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Default Extension="wmf" ContentType="image/x-wmf"/>
  <Default Extension="emf" ContentType="image/x-emf"/>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docProps/custom.xml" ContentType="application/vnd.openxmlformats-officedocument.custom-properties+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C6BD9" w:rsidRDefault="00600FDF" w:rsidP="00600FDF">
      <w:pPr>
        <w:spacing w:before="60" w:after="60"/>
        <w:ind w:firstLine="883"/>
        <w:jc w:val="center"/>
        <w:outlineLvl w:val="0"/>
        <w:rPr>
          <w:rFonts w:ascii="宋体"/>
          <w:b/>
          <w:spacing w:val="40"/>
          <w:w w:val="90"/>
          <w:sz w:val="44"/>
        </w:rPr>
      </w:pPr>
      <w:bookmarkStart w:id="0" w:name="_Toc524717122"/>
      <w:bookmarkStart w:id="1" w:name="_Toc311812618"/>
      <w:bookmarkStart w:id="2" w:name="_Toc33416048"/>
      <w:bookmarkStart w:id="3" w:name="_Toc456001754"/>
      <w:bookmarkStart w:id="4" w:name="_Toc453042530"/>
      <w:bookmarkStart w:id="5" w:name="_Toc457301396"/>
      <w:bookmarkStart w:id="6" w:name="_Toc324839519"/>
      <w:bookmarkStart w:id="7" w:name="_Toc324839222"/>
      <w:r>
        <w:rPr>
          <w:rFonts w:ascii="宋体"/>
          <w:b/>
          <w:noProof/>
          <w:spacing w:val="40"/>
          <w:sz w:val="44"/>
        </w:rPr>
        <w:drawing>
          <wp:anchor distT="0" distB="0" distL="114300" distR="114300" simplePos="0" relativeHeight="251808256" behindDoc="0" locked="0" layoutInCell="1" allowOverlap="1">
            <wp:simplePos x="0" y="0"/>
            <wp:positionH relativeFrom="column">
              <wp:posOffset>-207645</wp:posOffset>
            </wp:positionH>
            <wp:positionV relativeFrom="paragraph">
              <wp:posOffset>-109729</wp:posOffset>
            </wp:positionV>
            <wp:extent cx="5631942" cy="8207607"/>
            <wp:effectExtent l="19050" t="0" r="6858" b="0"/>
            <wp:wrapNone/>
            <wp:docPr id="212"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9"/>
                    <a:srcRect/>
                    <a:stretch>
                      <a:fillRect/>
                    </a:stretch>
                  </pic:blipFill>
                  <pic:spPr bwMode="auto">
                    <a:xfrm>
                      <a:off x="0" y="0"/>
                      <a:ext cx="5631578" cy="8207076"/>
                    </a:xfrm>
                    <a:prstGeom prst="rect">
                      <a:avLst/>
                    </a:prstGeom>
                    <a:noFill/>
                    <a:ln w="9525">
                      <a:noFill/>
                      <a:miter lim="800000"/>
                      <a:headEnd/>
                      <a:tailEnd/>
                    </a:ln>
                  </pic:spPr>
                </pic:pic>
              </a:graphicData>
            </a:graphic>
          </wp:anchor>
        </w:drawing>
      </w:r>
    </w:p>
    <w:p w:rsidR="009C6BD9" w:rsidRDefault="009C6BD9" w:rsidP="009C6BD9">
      <w:pPr>
        <w:tabs>
          <w:tab w:val="left" w:pos="658"/>
        </w:tabs>
        <w:spacing w:before="60" w:after="60" w:line="0" w:lineRule="atLeast"/>
        <w:ind w:firstLine="803"/>
        <w:rPr>
          <w:rFonts w:ascii="黑体" w:eastAsia="黑体" w:hAnsi="黑体"/>
          <w:b/>
          <w:bCs/>
          <w:sz w:val="40"/>
          <w:szCs w:val="44"/>
        </w:rPr>
      </w:pPr>
    </w:p>
    <w:p w:rsidR="006C1E91" w:rsidRDefault="006C1E91" w:rsidP="006C1E91">
      <w:pPr>
        <w:tabs>
          <w:tab w:val="left" w:pos="4830"/>
          <w:tab w:val="left" w:pos="4935"/>
          <w:tab w:val="left" w:pos="5565"/>
        </w:tabs>
        <w:ind w:firstLine="1034"/>
        <w:jc w:val="center"/>
        <w:rPr>
          <w:rFonts w:ascii="黑体" w:eastAsia="黑体" w:hAnsi="黑体"/>
          <w:b/>
          <w:spacing w:val="40"/>
          <w:w w:val="90"/>
          <w:sz w:val="48"/>
          <w:szCs w:val="48"/>
        </w:rPr>
      </w:pPr>
    </w:p>
    <w:p w:rsidR="006C1E91" w:rsidRDefault="006C1E91" w:rsidP="006C1E91">
      <w:pPr>
        <w:tabs>
          <w:tab w:val="left" w:pos="4830"/>
          <w:tab w:val="left" w:pos="4935"/>
          <w:tab w:val="left" w:pos="5565"/>
        </w:tabs>
        <w:ind w:firstLine="1034"/>
        <w:jc w:val="center"/>
        <w:rPr>
          <w:rFonts w:ascii="黑体" w:eastAsia="黑体" w:hAnsi="黑体"/>
          <w:b/>
          <w:spacing w:val="40"/>
          <w:w w:val="90"/>
          <w:sz w:val="48"/>
          <w:szCs w:val="48"/>
        </w:rPr>
      </w:pPr>
    </w:p>
    <w:p w:rsidR="006C1E91" w:rsidRDefault="006C1E91" w:rsidP="006C1E91">
      <w:pPr>
        <w:tabs>
          <w:tab w:val="left" w:pos="4830"/>
          <w:tab w:val="left" w:pos="4935"/>
          <w:tab w:val="left" w:pos="5565"/>
        </w:tabs>
        <w:ind w:firstLine="1034"/>
        <w:jc w:val="center"/>
        <w:rPr>
          <w:rFonts w:ascii="黑体" w:eastAsia="黑体" w:hAnsi="黑体"/>
          <w:b/>
          <w:spacing w:val="40"/>
          <w:w w:val="90"/>
          <w:sz w:val="48"/>
          <w:szCs w:val="48"/>
        </w:rPr>
      </w:pPr>
    </w:p>
    <w:p w:rsidR="006C1E91" w:rsidRDefault="006C1E91" w:rsidP="006C1E91">
      <w:pPr>
        <w:tabs>
          <w:tab w:val="left" w:pos="4830"/>
          <w:tab w:val="left" w:pos="4935"/>
          <w:tab w:val="left" w:pos="5565"/>
        </w:tabs>
        <w:ind w:firstLine="1034"/>
        <w:jc w:val="center"/>
        <w:rPr>
          <w:rFonts w:ascii="黑体" w:eastAsia="黑体" w:hAnsi="黑体"/>
          <w:b/>
          <w:spacing w:val="40"/>
          <w:w w:val="90"/>
          <w:sz w:val="48"/>
          <w:szCs w:val="48"/>
        </w:rPr>
      </w:pPr>
    </w:p>
    <w:p w:rsidR="006C1E91" w:rsidRDefault="006C1E91" w:rsidP="006C1E91">
      <w:pPr>
        <w:tabs>
          <w:tab w:val="left" w:pos="4830"/>
          <w:tab w:val="left" w:pos="4935"/>
          <w:tab w:val="left" w:pos="5565"/>
        </w:tabs>
        <w:ind w:firstLine="1034"/>
        <w:jc w:val="center"/>
        <w:rPr>
          <w:rFonts w:ascii="黑体" w:eastAsia="黑体" w:hAnsi="黑体"/>
          <w:b/>
          <w:spacing w:val="40"/>
          <w:w w:val="90"/>
          <w:sz w:val="48"/>
          <w:szCs w:val="48"/>
        </w:rPr>
      </w:pPr>
    </w:p>
    <w:p w:rsidR="006C1E91" w:rsidRDefault="006C1E91" w:rsidP="006C1E91">
      <w:pPr>
        <w:tabs>
          <w:tab w:val="left" w:pos="4830"/>
          <w:tab w:val="left" w:pos="4935"/>
          <w:tab w:val="left" w:pos="5565"/>
        </w:tabs>
        <w:ind w:firstLine="1034"/>
        <w:jc w:val="center"/>
        <w:rPr>
          <w:rFonts w:ascii="黑体" w:eastAsia="黑体" w:hAnsi="黑体"/>
          <w:b/>
          <w:spacing w:val="40"/>
          <w:w w:val="90"/>
          <w:sz w:val="48"/>
          <w:szCs w:val="48"/>
        </w:rPr>
      </w:pPr>
    </w:p>
    <w:p w:rsidR="006C1E91" w:rsidRDefault="006C1E91" w:rsidP="006C1E91">
      <w:pPr>
        <w:tabs>
          <w:tab w:val="left" w:pos="4830"/>
          <w:tab w:val="left" w:pos="4935"/>
          <w:tab w:val="left" w:pos="5565"/>
        </w:tabs>
        <w:ind w:firstLine="1034"/>
        <w:jc w:val="center"/>
        <w:rPr>
          <w:rFonts w:ascii="黑体" w:eastAsia="黑体" w:hAnsi="黑体"/>
          <w:b/>
          <w:spacing w:val="40"/>
          <w:w w:val="90"/>
          <w:sz w:val="48"/>
          <w:szCs w:val="48"/>
        </w:rPr>
      </w:pPr>
    </w:p>
    <w:p w:rsidR="006C1E91" w:rsidRDefault="006C1E91" w:rsidP="006C1E91">
      <w:pPr>
        <w:tabs>
          <w:tab w:val="left" w:pos="4830"/>
          <w:tab w:val="left" w:pos="4935"/>
          <w:tab w:val="left" w:pos="5565"/>
        </w:tabs>
        <w:ind w:firstLine="1034"/>
        <w:jc w:val="center"/>
        <w:rPr>
          <w:rFonts w:ascii="黑体" w:eastAsia="黑体" w:hAnsi="黑体"/>
          <w:b/>
          <w:spacing w:val="40"/>
          <w:w w:val="90"/>
          <w:sz w:val="48"/>
          <w:szCs w:val="48"/>
        </w:rPr>
      </w:pPr>
    </w:p>
    <w:p w:rsidR="006C1E91" w:rsidRDefault="006C1E91" w:rsidP="006C1E91">
      <w:pPr>
        <w:tabs>
          <w:tab w:val="left" w:pos="4830"/>
          <w:tab w:val="left" w:pos="4935"/>
          <w:tab w:val="left" w:pos="5565"/>
        </w:tabs>
        <w:ind w:firstLine="1034"/>
        <w:jc w:val="center"/>
        <w:rPr>
          <w:rFonts w:ascii="黑体" w:eastAsia="黑体" w:hAnsi="黑体"/>
          <w:b/>
          <w:spacing w:val="40"/>
          <w:w w:val="90"/>
          <w:sz w:val="48"/>
          <w:szCs w:val="48"/>
        </w:rPr>
      </w:pPr>
    </w:p>
    <w:p w:rsidR="006C1E91" w:rsidRDefault="006C1E91" w:rsidP="006C1E91">
      <w:pPr>
        <w:tabs>
          <w:tab w:val="left" w:pos="4830"/>
          <w:tab w:val="left" w:pos="4935"/>
          <w:tab w:val="left" w:pos="5565"/>
        </w:tabs>
        <w:ind w:firstLine="1034"/>
        <w:jc w:val="center"/>
        <w:rPr>
          <w:rFonts w:ascii="黑体" w:eastAsia="黑体" w:hAnsi="黑体"/>
          <w:b/>
          <w:spacing w:val="40"/>
          <w:w w:val="90"/>
          <w:sz w:val="48"/>
          <w:szCs w:val="48"/>
        </w:rPr>
      </w:pPr>
    </w:p>
    <w:p w:rsidR="006C1E91" w:rsidRDefault="006C1E91" w:rsidP="006C1E91">
      <w:pPr>
        <w:tabs>
          <w:tab w:val="left" w:pos="4830"/>
          <w:tab w:val="left" w:pos="4935"/>
          <w:tab w:val="left" w:pos="5565"/>
        </w:tabs>
        <w:ind w:firstLine="1034"/>
        <w:jc w:val="center"/>
        <w:rPr>
          <w:rFonts w:ascii="黑体" w:eastAsia="黑体" w:hAnsi="黑体"/>
          <w:b/>
          <w:spacing w:val="40"/>
          <w:w w:val="90"/>
          <w:sz w:val="48"/>
          <w:szCs w:val="48"/>
        </w:rPr>
      </w:pPr>
    </w:p>
    <w:p w:rsidR="006C1E91" w:rsidRDefault="006C1E91" w:rsidP="006C1E91">
      <w:pPr>
        <w:tabs>
          <w:tab w:val="left" w:pos="4830"/>
          <w:tab w:val="left" w:pos="4935"/>
          <w:tab w:val="left" w:pos="5565"/>
        </w:tabs>
        <w:ind w:firstLine="1034"/>
        <w:jc w:val="center"/>
        <w:rPr>
          <w:rFonts w:ascii="黑体" w:eastAsia="黑体" w:hAnsi="黑体"/>
          <w:b/>
          <w:spacing w:val="40"/>
          <w:w w:val="90"/>
          <w:sz w:val="48"/>
          <w:szCs w:val="48"/>
        </w:rPr>
      </w:pPr>
    </w:p>
    <w:p w:rsidR="006C1E91" w:rsidRDefault="006C1E91" w:rsidP="006C1E91">
      <w:pPr>
        <w:tabs>
          <w:tab w:val="left" w:pos="4830"/>
          <w:tab w:val="left" w:pos="4935"/>
          <w:tab w:val="left" w:pos="5565"/>
        </w:tabs>
        <w:ind w:firstLine="1034"/>
        <w:jc w:val="center"/>
        <w:rPr>
          <w:rFonts w:ascii="黑体" w:eastAsia="黑体" w:hAnsi="黑体"/>
          <w:b/>
          <w:spacing w:val="40"/>
          <w:w w:val="90"/>
          <w:sz w:val="48"/>
          <w:szCs w:val="48"/>
        </w:rPr>
      </w:pPr>
    </w:p>
    <w:p w:rsidR="006C1E91" w:rsidRDefault="006C1E91" w:rsidP="006C1E91">
      <w:pPr>
        <w:tabs>
          <w:tab w:val="left" w:pos="4830"/>
          <w:tab w:val="left" w:pos="4935"/>
          <w:tab w:val="left" w:pos="5565"/>
        </w:tabs>
        <w:ind w:firstLine="1034"/>
        <w:jc w:val="center"/>
        <w:rPr>
          <w:rFonts w:ascii="黑体" w:eastAsia="黑体" w:hAnsi="黑体"/>
          <w:b/>
          <w:spacing w:val="40"/>
          <w:w w:val="90"/>
          <w:sz w:val="48"/>
          <w:szCs w:val="48"/>
        </w:rPr>
      </w:pPr>
    </w:p>
    <w:p w:rsidR="006C1E91" w:rsidRDefault="006C1E91" w:rsidP="006C1E91">
      <w:pPr>
        <w:tabs>
          <w:tab w:val="left" w:pos="4830"/>
          <w:tab w:val="left" w:pos="4935"/>
          <w:tab w:val="left" w:pos="5565"/>
        </w:tabs>
        <w:ind w:firstLine="1034"/>
        <w:jc w:val="center"/>
        <w:rPr>
          <w:rFonts w:ascii="黑体" w:eastAsia="黑体" w:hAnsi="黑体"/>
          <w:b/>
          <w:spacing w:val="40"/>
          <w:w w:val="90"/>
          <w:sz w:val="48"/>
          <w:szCs w:val="48"/>
        </w:rPr>
      </w:pPr>
    </w:p>
    <w:p w:rsidR="006C1E91" w:rsidRDefault="006C1E91" w:rsidP="006C1E91">
      <w:pPr>
        <w:tabs>
          <w:tab w:val="left" w:pos="4830"/>
          <w:tab w:val="left" w:pos="4935"/>
          <w:tab w:val="left" w:pos="5565"/>
        </w:tabs>
        <w:ind w:firstLine="1034"/>
        <w:jc w:val="center"/>
        <w:rPr>
          <w:rFonts w:ascii="黑体" w:eastAsia="黑体" w:hAnsi="黑体"/>
          <w:b/>
          <w:spacing w:val="40"/>
          <w:w w:val="90"/>
          <w:sz w:val="48"/>
          <w:szCs w:val="48"/>
        </w:rPr>
      </w:pPr>
    </w:p>
    <w:p w:rsidR="006C1E91" w:rsidRDefault="006C1E91" w:rsidP="006C1E91">
      <w:pPr>
        <w:tabs>
          <w:tab w:val="left" w:pos="4830"/>
          <w:tab w:val="left" w:pos="4935"/>
          <w:tab w:val="left" w:pos="5565"/>
        </w:tabs>
        <w:ind w:firstLine="1034"/>
        <w:jc w:val="center"/>
        <w:rPr>
          <w:rFonts w:ascii="黑体" w:eastAsia="黑体" w:hAnsi="黑体"/>
          <w:b/>
          <w:spacing w:val="40"/>
          <w:w w:val="90"/>
          <w:sz w:val="48"/>
          <w:szCs w:val="48"/>
        </w:rPr>
      </w:pPr>
    </w:p>
    <w:p w:rsidR="006C1E91" w:rsidRDefault="006C1E91" w:rsidP="006C1E91">
      <w:pPr>
        <w:tabs>
          <w:tab w:val="left" w:pos="4830"/>
          <w:tab w:val="left" w:pos="4935"/>
          <w:tab w:val="left" w:pos="5565"/>
        </w:tabs>
        <w:ind w:firstLine="1034"/>
        <w:jc w:val="center"/>
        <w:rPr>
          <w:rFonts w:ascii="黑体" w:eastAsia="黑体" w:hAnsi="黑体"/>
          <w:b/>
          <w:spacing w:val="40"/>
          <w:w w:val="90"/>
          <w:sz w:val="48"/>
          <w:szCs w:val="48"/>
        </w:rPr>
      </w:pPr>
    </w:p>
    <w:p w:rsidR="006C1E91" w:rsidRDefault="006C1E91" w:rsidP="006C1E91">
      <w:pPr>
        <w:tabs>
          <w:tab w:val="left" w:pos="4830"/>
          <w:tab w:val="left" w:pos="4935"/>
          <w:tab w:val="left" w:pos="5565"/>
        </w:tabs>
        <w:ind w:firstLine="1034"/>
        <w:jc w:val="center"/>
        <w:rPr>
          <w:rFonts w:ascii="黑体" w:eastAsia="黑体" w:hAnsi="黑体"/>
          <w:b/>
          <w:spacing w:val="40"/>
          <w:w w:val="90"/>
          <w:sz w:val="48"/>
          <w:szCs w:val="48"/>
        </w:rPr>
      </w:pPr>
    </w:p>
    <w:p w:rsidR="006C1E91" w:rsidRDefault="006C1E91" w:rsidP="006C1E91">
      <w:pPr>
        <w:tabs>
          <w:tab w:val="left" w:pos="4830"/>
          <w:tab w:val="left" w:pos="4935"/>
          <w:tab w:val="left" w:pos="5565"/>
        </w:tabs>
        <w:ind w:firstLine="1034"/>
        <w:jc w:val="center"/>
        <w:rPr>
          <w:rFonts w:ascii="黑体" w:eastAsia="黑体" w:hAnsi="黑体"/>
          <w:b/>
          <w:spacing w:val="40"/>
          <w:w w:val="90"/>
          <w:sz w:val="48"/>
          <w:szCs w:val="48"/>
        </w:rPr>
      </w:pPr>
    </w:p>
    <w:p w:rsidR="006C1E91" w:rsidRDefault="006C1E91" w:rsidP="006C1E91">
      <w:pPr>
        <w:tabs>
          <w:tab w:val="left" w:pos="4830"/>
          <w:tab w:val="left" w:pos="4935"/>
          <w:tab w:val="left" w:pos="5565"/>
        </w:tabs>
        <w:ind w:firstLine="1034"/>
        <w:jc w:val="center"/>
        <w:rPr>
          <w:rFonts w:ascii="黑体" w:eastAsia="黑体" w:hAnsi="黑体"/>
          <w:b/>
          <w:spacing w:val="40"/>
          <w:w w:val="90"/>
          <w:sz w:val="48"/>
          <w:szCs w:val="48"/>
        </w:rPr>
      </w:pPr>
    </w:p>
    <w:p w:rsidR="006C1E91" w:rsidRDefault="006C1E91" w:rsidP="006C1E91">
      <w:pPr>
        <w:tabs>
          <w:tab w:val="left" w:pos="4830"/>
          <w:tab w:val="left" w:pos="4935"/>
          <w:tab w:val="left" w:pos="5565"/>
        </w:tabs>
        <w:ind w:firstLine="1034"/>
        <w:jc w:val="center"/>
        <w:rPr>
          <w:rFonts w:ascii="黑体" w:eastAsia="黑体" w:hAnsi="黑体"/>
          <w:b/>
          <w:spacing w:val="40"/>
          <w:w w:val="90"/>
          <w:sz w:val="48"/>
          <w:szCs w:val="48"/>
        </w:rPr>
      </w:pPr>
    </w:p>
    <w:p w:rsidR="006C1E91" w:rsidRDefault="006C1E91" w:rsidP="006C1E91">
      <w:pPr>
        <w:tabs>
          <w:tab w:val="left" w:pos="4830"/>
          <w:tab w:val="left" w:pos="4935"/>
          <w:tab w:val="left" w:pos="5565"/>
        </w:tabs>
        <w:ind w:firstLine="1034"/>
        <w:jc w:val="center"/>
        <w:rPr>
          <w:rFonts w:ascii="黑体" w:eastAsia="黑体" w:hAnsi="黑体"/>
          <w:b/>
          <w:spacing w:val="40"/>
          <w:w w:val="90"/>
          <w:sz w:val="48"/>
          <w:szCs w:val="48"/>
        </w:rPr>
      </w:pPr>
    </w:p>
    <w:p w:rsidR="009C6BD9" w:rsidRDefault="009C6BD9" w:rsidP="006C1E91">
      <w:pPr>
        <w:tabs>
          <w:tab w:val="left" w:pos="4830"/>
          <w:tab w:val="left" w:pos="4935"/>
          <w:tab w:val="left" w:pos="5565"/>
        </w:tabs>
        <w:ind w:firstLine="583"/>
        <w:jc w:val="center"/>
        <w:rPr>
          <w:rFonts w:ascii="宋体" w:hAnsi="宋体"/>
          <w:b/>
          <w:spacing w:val="40"/>
          <w:w w:val="90"/>
          <w:sz w:val="32"/>
        </w:rPr>
      </w:pPr>
      <w:r>
        <w:rPr>
          <w:rFonts w:ascii="宋体" w:hAnsi="宋体" w:hint="eastAsia"/>
          <w:b/>
          <w:noProof/>
          <w:spacing w:val="40"/>
          <w:w w:val="90"/>
          <w:sz w:val="32"/>
        </w:rPr>
        <w:lastRenderedPageBreak/>
        <w:drawing>
          <wp:anchor distT="0" distB="0" distL="114300" distR="114300" simplePos="0" relativeHeight="251725312" behindDoc="0" locked="0" layoutInCell="1" allowOverlap="1">
            <wp:simplePos x="0" y="0"/>
            <wp:positionH relativeFrom="column">
              <wp:posOffset>-207645</wp:posOffset>
            </wp:positionH>
            <wp:positionV relativeFrom="paragraph">
              <wp:posOffset>164592</wp:posOffset>
            </wp:positionV>
            <wp:extent cx="5814822" cy="7552584"/>
            <wp:effectExtent l="19050" t="0" r="0" b="0"/>
            <wp:wrapNone/>
            <wp:docPr id="17"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
                    <a:srcRect/>
                    <a:stretch>
                      <a:fillRect/>
                    </a:stretch>
                  </pic:blipFill>
                  <pic:spPr bwMode="auto">
                    <a:xfrm>
                      <a:off x="0" y="0"/>
                      <a:ext cx="5808137" cy="7543901"/>
                    </a:xfrm>
                    <a:prstGeom prst="rect">
                      <a:avLst/>
                    </a:prstGeom>
                    <a:noFill/>
                    <a:ln w="9525">
                      <a:noFill/>
                      <a:miter lim="800000"/>
                      <a:headEnd/>
                      <a:tailEnd/>
                    </a:ln>
                  </pic:spPr>
                </pic:pic>
              </a:graphicData>
            </a:graphic>
          </wp:anchor>
        </w:drawing>
      </w:r>
    </w:p>
    <w:p w:rsidR="009C6BD9" w:rsidRDefault="009C6BD9">
      <w:pPr>
        <w:widowControl/>
        <w:adjustRightInd/>
        <w:snapToGrid/>
        <w:spacing w:line="240" w:lineRule="auto"/>
        <w:ind w:firstLineChars="0" w:firstLine="0"/>
        <w:jc w:val="left"/>
        <w:textAlignment w:val="auto"/>
        <w:rPr>
          <w:rFonts w:ascii="宋体" w:hAnsi="宋体"/>
          <w:b/>
          <w:spacing w:val="40"/>
          <w:w w:val="90"/>
          <w:sz w:val="32"/>
        </w:rPr>
        <w:sectPr w:rsidR="009C6BD9">
          <w:headerReference w:type="even" r:id="rId11"/>
          <w:headerReference w:type="default" r:id="rId12"/>
          <w:footerReference w:type="even" r:id="rId13"/>
          <w:footerReference w:type="default" r:id="rId14"/>
          <w:headerReference w:type="first" r:id="rId15"/>
          <w:footerReference w:type="first" r:id="rId16"/>
          <w:pgSz w:w="11907" w:h="16840"/>
          <w:pgMar w:top="1440" w:right="1797" w:bottom="1440" w:left="1797" w:header="907" w:footer="907" w:gutter="0"/>
          <w:pgNumType w:fmt="upperRoman" w:start="1"/>
          <w:cols w:space="720"/>
          <w:docGrid w:linePitch="380"/>
        </w:sectPr>
      </w:pPr>
    </w:p>
    <w:p w:rsidR="006C1E91" w:rsidRDefault="006C1E91">
      <w:pPr>
        <w:widowControl/>
        <w:adjustRightInd/>
        <w:snapToGrid/>
        <w:spacing w:line="240" w:lineRule="auto"/>
        <w:ind w:firstLineChars="0" w:firstLine="0"/>
        <w:jc w:val="left"/>
        <w:textAlignment w:val="auto"/>
        <w:rPr>
          <w:rFonts w:ascii="宋体" w:hAnsi="宋体"/>
          <w:b/>
          <w:spacing w:val="40"/>
          <w:w w:val="90"/>
          <w:sz w:val="32"/>
        </w:rPr>
        <w:sectPr w:rsidR="006C1E91">
          <w:pgSz w:w="11907" w:h="16840"/>
          <w:pgMar w:top="1440" w:right="1797" w:bottom="1440" w:left="1797" w:header="907" w:footer="907" w:gutter="0"/>
          <w:pgNumType w:fmt="upperRoman" w:start="1"/>
          <w:cols w:space="720"/>
          <w:docGrid w:linePitch="380"/>
        </w:sectPr>
      </w:pPr>
      <w:r>
        <w:rPr>
          <w:rFonts w:ascii="宋体" w:hAnsi="宋体"/>
          <w:b/>
          <w:noProof/>
          <w:spacing w:val="40"/>
          <w:w w:val="90"/>
          <w:sz w:val="32"/>
        </w:rPr>
        <w:lastRenderedPageBreak/>
        <w:drawing>
          <wp:anchor distT="0" distB="0" distL="114300" distR="114300" simplePos="0" relativeHeight="251726336" behindDoc="0" locked="0" layoutInCell="1" allowOverlap="1">
            <wp:simplePos x="0" y="0"/>
            <wp:positionH relativeFrom="column">
              <wp:posOffset>-445389</wp:posOffset>
            </wp:positionH>
            <wp:positionV relativeFrom="paragraph">
              <wp:posOffset>-109728</wp:posOffset>
            </wp:positionV>
            <wp:extent cx="6363462" cy="8239135"/>
            <wp:effectExtent l="19050" t="0" r="0" b="0"/>
            <wp:wrapNone/>
            <wp:docPr id="53"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
                    <a:srcRect/>
                    <a:stretch>
                      <a:fillRect/>
                    </a:stretch>
                  </pic:blipFill>
                  <pic:spPr bwMode="auto">
                    <a:xfrm>
                      <a:off x="0" y="0"/>
                      <a:ext cx="6366096" cy="8242545"/>
                    </a:xfrm>
                    <a:prstGeom prst="rect">
                      <a:avLst/>
                    </a:prstGeom>
                    <a:noFill/>
                    <a:ln w="9525">
                      <a:noFill/>
                      <a:miter lim="800000"/>
                      <a:headEnd/>
                      <a:tailEnd/>
                    </a:ln>
                  </pic:spPr>
                </pic:pic>
              </a:graphicData>
            </a:graphic>
          </wp:anchor>
        </w:drawing>
      </w:r>
    </w:p>
    <w:p w:rsidR="006C1E91" w:rsidRDefault="006C1E91">
      <w:pPr>
        <w:widowControl/>
        <w:adjustRightInd/>
        <w:snapToGrid/>
        <w:spacing w:line="240" w:lineRule="auto"/>
        <w:ind w:firstLineChars="0" w:firstLine="0"/>
        <w:jc w:val="left"/>
        <w:textAlignment w:val="auto"/>
        <w:rPr>
          <w:rFonts w:ascii="宋体" w:hAnsi="宋体"/>
          <w:b/>
          <w:spacing w:val="40"/>
          <w:w w:val="90"/>
          <w:sz w:val="32"/>
        </w:rPr>
        <w:sectPr w:rsidR="006C1E91" w:rsidSect="006C1E91">
          <w:pgSz w:w="16840" w:h="11907" w:orient="landscape"/>
          <w:pgMar w:top="1797" w:right="1440" w:bottom="1797" w:left="1440" w:header="907" w:footer="907" w:gutter="0"/>
          <w:pgNumType w:fmt="upperRoman" w:start="1"/>
          <w:cols w:space="720"/>
          <w:docGrid w:linePitch="380"/>
        </w:sectPr>
      </w:pPr>
      <w:r>
        <w:rPr>
          <w:rFonts w:ascii="宋体" w:hAnsi="宋体"/>
          <w:b/>
          <w:noProof/>
          <w:spacing w:val="40"/>
          <w:w w:val="90"/>
          <w:sz w:val="32"/>
        </w:rPr>
        <w:lastRenderedPageBreak/>
        <w:drawing>
          <wp:anchor distT="0" distB="0" distL="114300" distR="114300" simplePos="0" relativeHeight="251728384" behindDoc="0" locked="0" layoutInCell="1" allowOverlap="1">
            <wp:simplePos x="0" y="0"/>
            <wp:positionH relativeFrom="column">
              <wp:posOffset>531114</wp:posOffset>
            </wp:positionH>
            <wp:positionV relativeFrom="paragraph">
              <wp:posOffset>-336423</wp:posOffset>
            </wp:positionV>
            <wp:extent cx="8027670" cy="5669280"/>
            <wp:effectExtent l="19050" t="0" r="0" b="0"/>
            <wp:wrapNone/>
            <wp:docPr id="11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
                    <a:srcRect/>
                    <a:stretch>
                      <a:fillRect/>
                    </a:stretch>
                  </pic:blipFill>
                  <pic:spPr bwMode="auto">
                    <a:xfrm>
                      <a:off x="0" y="0"/>
                      <a:ext cx="8027670" cy="5669280"/>
                    </a:xfrm>
                    <a:prstGeom prst="rect">
                      <a:avLst/>
                    </a:prstGeom>
                    <a:noFill/>
                    <a:ln w="9525">
                      <a:noFill/>
                      <a:miter lim="800000"/>
                      <a:headEnd/>
                      <a:tailEnd/>
                    </a:ln>
                  </pic:spPr>
                </pic:pic>
              </a:graphicData>
            </a:graphic>
          </wp:anchor>
        </w:drawing>
      </w:r>
    </w:p>
    <w:p w:rsidR="006C1E91" w:rsidRDefault="00600FDF">
      <w:pPr>
        <w:widowControl/>
        <w:adjustRightInd/>
        <w:snapToGrid/>
        <w:spacing w:line="240" w:lineRule="auto"/>
        <w:ind w:firstLineChars="0" w:firstLine="0"/>
        <w:jc w:val="left"/>
        <w:textAlignment w:val="auto"/>
        <w:rPr>
          <w:rFonts w:ascii="宋体" w:hAnsi="宋体"/>
          <w:b/>
          <w:spacing w:val="40"/>
          <w:w w:val="90"/>
          <w:sz w:val="32"/>
        </w:rPr>
        <w:sectPr w:rsidR="006C1E91" w:rsidSect="006C1E91">
          <w:pgSz w:w="11907" w:h="16840"/>
          <w:pgMar w:top="1440" w:right="1797" w:bottom="1440" w:left="1797" w:header="907" w:footer="907" w:gutter="0"/>
          <w:pgNumType w:fmt="upperRoman" w:start="1"/>
          <w:cols w:space="720"/>
          <w:docGrid w:linePitch="380"/>
        </w:sectPr>
      </w:pPr>
      <w:r>
        <w:rPr>
          <w:rFonts w:ascii="宋体" w:hAnsi="宋体"/>
          <w:b/>
          <w:noProof/>
          <w:spacing w:val="40"/>
          <w:w w:val="90"/>
          <w:sz w:val="32"/>
        </w:rPr>
        <w:lastRenderedPageBreak/>
        <w:drawing>
          <wp:anchor distT="0" distB="0" distL="114300" distR="114300" simplePos="0" relativeHeight="251809280" behindDoc="0" locked="0" layoutInCell="1" allowOverlap="1">
            <wp:simplePos x="0" y="0"/>
            <wp:positionH relativeFrom="column">
              <wp:posOffset>-317373</wp:posOffset>
            </wp:positionH>
            <wp:positionV relativeFrom="paragraph">
              <wp:posOffset>-274320</wp:posOffset>
            </wp:positionV>
            <wp:extent cx="5959856" cy="9326880"/>
            <wp:effectExtent l="19050" t="0" r="2794" b="0"/>
            <wp:wrapNone/>
            <wp:docPr id="213"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9"/>
                    <a:srcRect/>
                    <a:stretch>
                      <a:fillRect/>
                    </a:stretch>
                  </pic:blipFill>
                  <pic:spPr bwMode="auto">
                    <a:xfrm>
                      <a:off x="0" y="0"/>
                      <a:ext cx="5959856" cy="9326880"/>
                    </a:xfrm>
                    <a:prstGeom prst="rect">
                      <a:avLst/>
                    </a:prstGeom>
                    <a:noFill/>
                    <a:ln w="9525">
                      <a:noFill/>
                      <a:miter lim="800000"/>
                      <a:headEnd/>
                      <a:tailEnd/>
                    </a:ln>
                  </pic:spPr>
                </pic:pic>
              </a:graphicData>
            </a:graphic>
          </wp:anchor>
        </w:drawing>
      </w:r>
    </w:p>
    <w:p w:rsidR="006C1E91" w:rsidRDefault="006C1E91">
      <w:pPr>
        <w:widowControl/>
        <w:adjustRightInd/>
        <w:snapToGrid/>
        <w:spacing w:line="240" w:lineRule="auto"/>
        <w:ind w:firstLineChars="0" w:firstLine="0"/>
        <w:jc w:val="left"/>
        <w:textAlignment w:val="auto"/>
        <w:rPr>
          <w:rFonts w:ascii="宋体" w:hAnsi="宋体"/>
          <w:b/>
          <w:spacing w:val="40"/>
          <w:w w:val="90"/>
          <w:sz w:val="32"/>
        </w:rPr>
        <w:sectPr w:rsidR="006C1E91" w:rsidSect="006C1E91">
          <w:pgSz w:w="16840" w:h="11907" w:orient="landscape"/>
          <w:pgMar w:top="1797" w:right="1440" w:bottom="1797" w:left="1440" w:header="907" w:footer="907" w:gutter="0"/>
          <w:pgNumType w:fmt="upperRoman" w:start="1"/>
          <w:cols w:space="720"/>
          <w:docGrid w:linePitch="380"/>
        </w:sectPr>
      </w:pPr>
      <w:r>
        <w:rPr>
          <w:rFonts w:ascii="宋体" w:hAnsi="宋体"/>
          <w:b/>
          <w:noProof/>
          <w:spacing w:val="40"/>
          <w:w w:val="90"/>
          <w:sz w:val="32"/>
        </w:rPr>
        <w:lastRenderedPageBreak/>
        <w:drawing>
          <wp:anchor distT="0" distB="0" distL="114300" distR="114300" simplePos="0" relativeHeight="251727360" behindDoc="0" locked="0" layoutInCell="1" allowOverlap="1">
            <wp:simplePos x="0" y="0"/>
            <wp:positionH relativeFrom="column">
              <wp:posOffset>110490</wp:posOffset>
            </wp:positionH>
            <wp:positionV relativeFrom="paragraph">
              <wp:posOffset>-501015</wp:posOffset>
            </wp:positionV>
            <wp:extent cx="8860663" cy="6400800"/>
            <wp:effectExtent l="19050" t="0" r="0" b="0"/>
            <wp:wrapNone/>
            <wp:docPr id="11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0"/>
                    <a:srcRect/>
                    <a:stretch>
                      <a:fillRect/>
                    </a:stretch>
                  </pic:blipFill>
                  <pic:spPr bwMode="auto">
                    <a:xfrm>
                      <a:off x="0" y="0"/>
                      <a:ext cx="8860663" cy="6400800"/>
                    </a:xfrm>
                    <a:prstGeom prst="rect">
                      <a:avLst/>
                    </a:prstGeom>
                    <a:noFill/>
                    <a:ln w="9525">
                      <a:noFill/>
                      <a:miter lim="800000"/>
                      <a:headEnd/>
                      <a:tailEnd/>
                    </a:ln>
                  </pic:spPr>
                </pic:pic>
              </a:graphicData>
            </a:graphic>
          </wp:anchor>
        </w:drawing>
      </w:r>
    </w:p>
    <w:p w:rsidR="009C6BD9" w:rsidRDefault="009C6BD9">
      <w:pPr>
        <w:widowControl/>
        <w:adjustRightInd/>
        <w:snapToGrid/>
        <w:spacing w:line="240" w:lineRule="auto"/>
        <w:ind w:firstLineChars="0" w:firstLine="0"/>
        <w:jc w:val="left"/>
        <w:textAlignment w:val="auto"/>
        <w:rPr>
          <w:rFonts w:ascii="宋体" w:hAnsi="宋体"/>
          <w:b/>
          <w:spacing w:val="40"/>
          <w:w w:val="90"/>
          <w:sz w:val="32"/>
        </w:rPr>
      </w:pPr>
    </w:p>
    <w:p w:rsidR="00EE56C0" w:rsidRDefault="000F36A1">
      <w:pPr>
        <w:pStyle w:val="af"/>
      </w:pPr>
      <w:r>
        <w:rPr>
          <w:rFonts w:hint="eastAsia"/>
        </w:rPr>
        <w:t>目</w:t>
      </w:r>
      <w:r>
        <w:rPr>
          <w:rFonts w:hint="eastAsia"/>
        </w:rPr>
        <w:t xml:space="preserve">   </w:t>
      </w:r>
      <w:r>
        <w:rPr>
          <w:rFonts w:hint="eastAsia"/>
        </w:rPr>
        <w:t>录</w:t>
      </w:r>
      <w:bookmarkEnd w:id="0"/>
    </w:p>
    <w:p w:rsidR="00EE56C0" w:rsidRDefault="00340837">
      <w:pPr>
        <w:pStyle w:val="10"/>
        <w:rPr>
          <w:rFonts w:ascii="Calibri" w:hAnsi="Calibri"/>
          <w:b w:val="0"/>
          <w:bCs w:val="0"/>
          <w:caps w:val="0"/>
          <w:kern w:val="2"/>
          <w:sz w:val="21"/>
          <w:szCs w:val="22"/>
        </w:rPr>
      </w:pPr>
      <w:r w:rsidRPr="00340837">
        <w:rPr>
          <w:rFonts w:ascii="Calibri" w:hAnsi="Calibri"/>
          <w:smallCaps/>
          <w:sz w:val="24"/>
          <w:szCs w:val="20"/>
        </w:rPr>
        <w:fldChar w:fldCharType="begin"/>
      </w:r>
      <w:r w:rsidR="000F36A1">
        <w:rPr>
          <w:rFonts w:ascii="Calibri" w:hAnsi="Calibri"/>
        </w:rPr>
        <w:instrText xml:space="preserve"> TOC \o "1-2" \f \u </w:instrText>
      </w:r>
      <w:r w:rsidRPr="00340837">
        <w:rPr>
          <w:rFonts w:ascii="Calibri" w:hAnsi="Calibri"/>
          <w:smallCaps/>
          <w:sz w:val="24"/>
          <w:szCs w:val="20"/>
        </w:rPr>
        <w:fldChar w:fldCharType="separate"/>
      </w:r>
      <w:r w:rsidR="000F36A1">
        <w:rPr>
          <w:rFonts w:hint="eastAsia"/>
          <w:snapToGrid w:val="0"/>
          <w:w w:val="0"/>
        </w:rPr>
        <w:t>第</w:t>
      </w:r>
      <w:r w:rsidR="000F36A1">
        <w:rPr>
          <w:rFonts w:hint="eastAsia"/>
          <w:snapToGrid w:val="0"/>
          <w:w w:val="0"/>
        </w:rPr>
        <w:t xml:space="preserve"> 1 </w:t>
      </w:r>
      <w:r w:rsidR="000F36A1">
        <w:rPr>
          <w:rFonts w:hint="eastAsia"/>
          <w:snapToGrid w:val="0"/>
          <w:w w:val="0"/>
        </w:rPr>
        <w:t>章</w:t>
      </w:r>
      <w:r w:rsidR="000F36A1">
        <w:rPr>
          <w:rFonts w:ascii="Calibri" w:hAnsi="Calibri"/>
          <w:b w:val="0"/>
          <w:bCs w:val="0"/>
          <w:caps w:val="0"/>
          <w:kern w:val="2"/>
          <w:sz w:val="21"/>
          <w:szCs w:val="22"/>
        </w:rPr>
        <w:tab/>
      </w:r>
      <w:r w:rsidR="000F36A1">
        <w:rPr>
          <w:rFonts w:hint="eastAsia"/>
        </w:rPr>
        <w:t>概述</w:t>
      </w:r>
      <w:r w:rsidR="000F36A1">
        <w:tab/>
      </w:r>
      <w:r>
        <w:fldChar w:fldCharType="begin"/>
      </w:r>
      <w:r w:rsidR="000F36A1">
        <w:instrText xml:space="preserve"> PAGEREF _Toc25400880 \h </w:instrText>
      </w:r>
      <w:r>
        <w:fldChar w:fldCharType="separate"/>
      </w:r>
      <w:r w:rsidR="00C527D3">
        <w:rPr>
          <w:noProof/>
        </w:rPr>
        <w:t>1</w:t>
      </w:r>
      <w:r>
        <w:fldChar w:fldCharType="end"/>
      </w:r>
    </w:p>
    <w:p w:rsidR="00EE56C0" w:rsidRDefault="000F36A1">
      <w:pPr>
        <w:pStyle w:val="20"/>
        <w:rPr>
          <w:rFonts w:ascii="Calibri" w:hAnsi="Calibri"/>
          <w:smallCaps w:val="0"/>
          <w:kern w:val="2"/>
          <w:sz w:val="21"/>
          <w:szCs w:val="22"/>
        </w:rPr>
      </w:pPr>
      <w:r>
        <w:rPr>
          <w:snapToGrid w:val="0"/>
          <w:w w:val="0"/>
        </w:rPr>
        <w:t>1.1</w:t>
      </w:r>
      <w:r>
        <w:rPr>
          <w:rFonts w:ascii="Calibri" w:hAnsi="Calibri"/>
          <w:smallCaps w:val="0"/>
          <w:kern w:val="2"/>
          <w:sz w:val="21"/>
          <w:szCs w:val="22"/>
        </w:rPr>
        <w:tab/>
      </w:r>
      <w:r>
        <w:rPr>
          <w:rFonts w:hint="eastAsia"/>
        </w:rPr>
        <w:t>项目由来</w:t>
      </w:r>
      <w:r>
        <w:tab/>
      </w:r>
      <w:r w:rsidR="00340837">
        <w:fldChar w:fldCharType="begin"/>
      </w:r>
      <w:r>
        <w:instrText xml:space="preserve"> PAGEREF _Toc25400881 \h </w:instrText>
      </w:r>
      <w:r w:rsidR="00340837">
        <w:fldChar w:fldCharType="separate"/>
      </w:r>
      <w:r w:rsidR="00C527D3">
        <w:rPr>
          <w:noProof/>
        </w:rPr>
        <w:t>1</w:t>
      </w:r>
      <w:r w:rsidR="00340837">
        <w:fldChar w:fldCharType="end"/>
      </w:r>
    </w:p>
    <w:p w:rsidR="00EE56C0" w:rsidRDefault="000F36A1">
      <w:pPr>
        <w:pStyle w:val="20"/>
        <w:rPr>
          <w:rFonts w:ascii="Calibri" w:hAnsi="Calibri"/>
          <w:smallCaps w:val="0"/>
          <w:kern w:val="2"/>
          <w:sz w:val="21"/>
          <w:szCs w:val="22"/>
        </w:rPr>
      </w:pPr>
      <w:r>
        <w:rPr>
          <w:snapToGrid w:val="0"/>
          <w:w w:val="0"/>
        </w:rPr>
        <w:t>1.2</w:t>
      </w:r>
      <w:r>
        <w:rPr>
          <w:rFonts w:ascii="Calibri" w:hAnsi="Calibri"/>
          <w:smallCaps w:val="0"/>
          <w:kern w:val="2"/>
          <w:sz w:val="21"/>
          <w:szCs w:val="22"/>
        </w:rPr>
        <w:tab/>
      </w:r>
      <w:r>
        <w:rPr>
          <w:rFonts w:hint="eastAsia"/>
        </w:rPr>
        <w:t>工程和环境特点</w:t>
      </w:r>
      <w:r>
        <w:tab/>
      </w:r>
      <w:r w:rsidR="00340837">
        <w:fldChar w:fldCharType="begin"/>
      </w:r>
      <w:r>
        <w:instrText xml:space="preserve"> PAGEREF _Toc25400882 \h </w:instrText>
      </w:r>
      <w:r w:rsidR="00340837">
        <w:fldChar w:fldCharType="separate"/>
      </w:r>
      <w:r w:rsidR="00C527D3">
        <w:rPr>
          <w:noProof/>
        </w:rPr>
        <w:t>3</w:t>
      </w:r>
      <w:r w:rsidR="00340837">
        <w:fldChar w:fldCharType="end"/>
      </w:r>
    </w:p>
    <w:p w:rsidR="00EE56C0" w:rsidRDefault="000F36A1">
      <w:pPr>
        <w:pStyle w:val="20"/>
        <w:rPr>
          <w:rFonts w:ascii="Calibri" w:hAnsi="Calibri"/>
          <w:smallCaps w:val="0"/>
          <w:kern w:val="2"/>
          <w:sz w:val="21"/>
          <w:szCs w:val="22"/>
        </w:rPr>
      </w:pPr>
      <w:r>
        <w:rPr>
          <w:snapToGrid w:val="0"/>
          <w:w w:val="0"/>
        </w:rPr>
        <w:t>1.3</w:t>
      </w:r>
      <w:r>
        <w:rPr>
          <w:rFonts w:ascii="Calibri" w:hAnsi="Calibri"/>
          <w:smallCaps w:val="0"/>
          <w:kern w:val="2"/>
          <w:sz w:val="21"/>
          <w:szCs w:val="22"/>
        </w:rPr>
        <w:tab/>
      </w:r>
      <w:r>
        <w:rPr>
          <w:rFonts w:hint="eastAsia"/>
        </w:rPr>
        <w:t>环境影响评价的工作过程</w:t>
      </w:r>
      <w:r>
        <w:tab/>
      </w:r>
      <w:r w:rsidR="00340837">
        <w:fldChar w:fldCharType="begin"/>
      </w:r>
      <w:r>
        <w:instrText xml:space="preserve"> PAGEREF _Toc25400883 \h </w:instrText>
      </w:r>
      <w:r w:rsidR="00340837">
        <w:fldChar w:fldCharType="separate"/>
      </w:r>
      <w:r w:rsidR="00C527D3">
        <w:rPr>
          <w:noProof/>
        </w:rPr>
        <w:t>4</w:t>
      </w:r>
      <w:r w:rsidR="00340837">
        <w:fldChar w:fldCharType="end"/>
      </w:r>
    </w:p>
    <w:p w:rsidR="00EE56C0" w:rsidRDefault="000F36A1">
      <w:pPr>
        <w:pStyle w:val="20"/>
        <w:rPr>
          <w:rFonts w:ascii="Calibri" w:hAnsi="Calibri"/>
          <w:smallCaps w:val="0"/>
          <w:kern w:val="2"/>
          <w:sz w:val="21"/>
          <w:szCs w:val="22"/>
        </w:rPr>
      </w:pPr>
      <w:r>
        <w:rPr>
          <w:snapToGrid w:val="0"/>
          <w:w w:val="0"/>
        </w:rPr>
        <w:t>1.4</w:t>
      </w:r>
      <w:r>
        <w:rPr>
          <w:rFonts w:ascii="Calibri" w:hAnsi="Calibri"/>
          <w:smallCaps w:val="0"/>
          <w:kern w:val="2"/>
          <w:sz w:val="21"/>
          <w:szCs w:val="22"/>
        </w:rPr>
        <w:tab/>
      </w:r>
      <w:r>
        <w:rPr>
          <w:rFonts w:hint="eastAsia"/>
        </w:rPr>
        <w:t>关注的主要环境问题及环境影响</w:t>
      </w:r>
      <w:r>
        <w:tab/>
      </w:r>
      <w:r w:rsidR="00340837">
        <w:fldChar w:fldCharType="begin"/>
      </w:r>
      <w:r>
        <w:instrText xml:space="preserve"> PAGEREF _Toc25400884 \h </w:instrText>
      </w:r>
      <w:r w:rsidR="00340837">
        <w:fldChar w:fldCharType="separate"/>
      </w:r>
      <w:r w:rsidR="00C527D3">
        <w:rPr>
          <w:noProof/>
        </w:rPr>
        <w:t>4</w:t>
      </w:r>
      <w:r w:rsidR="00340837">
        <w:fldChar w:fldCharType="end"/>
      </w:r>
    </w:p>
    <w:p w:rsidR="00EE56C0" w:rsidRDefault="000F36A1">
      <w:pPr>
        <w:pStyle w:val="20"/>
        <w:rPr>
          <w:rFonts w:ascii="Calibri" w:hAnsi="Calibri"/>
          <w:smallCaps w:val="0"/>
          <w:kern w:val="2"/>
          <w:sz w:val="21"/>
          <w:szCs w:val="22"/>
        </w:rPr>
      </w:pPr>
      <w:r>
        <w:rPr>
          <w:snapToGrid w:val="0"/>
          <w:w w:val="0"/>
        </w:rPr>
        <w:t>1.5</w:t>
      </w:r>
      <w:r>
        <w:rPr>
          <w:rFonts w:ascii="Calibri" w:hAnsi="Calibri"/>
          <w:smallCaps w:val="0"/>
          <w:kern w:val="2"/>
          <w:sz w:val="21"/>
          <w:szCs w:val="22"/>
        </w:rPr>
        <w:tab/>
      </w:r>
      <w:r>
        <w:rPr>
          <w:rFonts w:hint="eastAsia"/>
        </w:rPr>
        <w:t>与产业政策、区域规划的相符性</w:t>
      </w:r>
      <w:r>
        <w:tab/>
      </w:r>
      <w:r w:rsidR="00340837">
        <w:fldChar w:fldCharType="begin"/>
      </w:r>
      <w:r>
        <w:instrText xml:space="preserve"> PAGEREF _Toc25400885 \h </w:instrText>
      </w:r>
      <w:r w:rsidR="00340837">
        <w:fldChar w:fldCharType="separate"/>
      </w:r>
      <w:r w:rsidR="00C527D3">
        <w:rPr>
          <w:noProof/>
        </w:rPr>
        <w:t>5</w:t>
      </w:r>
      <w:r w:rsidR="00340837">
        <w:fldChar w:fldCharType="end"/>
      </w:r>
    </w:p>
    <w:p w:rsidR="00EE56C0" w:rsidRDefault="000F36A1">
      <w:pPr>
        <w:pStyle w:val="20"/>
        <w:rPr>
          <w:rFonts w:ascii="Calibri" w:hAnsi="Calibri"/>
          <w:smallCaps w:val="0"/>
          <w:kern w:val="2"/>
          <w:sz w:val="21"/>
          <w:szCs w:val="22"/>
        </w:rPr>
      </w:pPr>
      <w:r>
        <w:rPr>
          <w:snapToGrid w:val="0"/>
          <w:w w:val="0"/>
        </w:rPr>
        <w:t>1.6</w:t>
      </w:r>
      <w:r>
        <w:rPr>
          <w:rFonts w:ascii="Calibri" w:hAnsi="Calibri"/>
          <w:smallCaps w:val="0"/>
          <w:kern w:val="2"/>
          <w:sz w:val="21"/>
          <w:szCs w:val="22"/>
        </w:rPr>
        <w:tab/>
      </w:r>
      <w:r>
        <w:rPr>
          <w:rFonts w:hint="eastAsia"/>
        </w:rPr>
        <w:t>评价思路及重点</w:t>
      </w:r>
      <w:r>
        <w:tab/>
      </w:r>
      <w:r>
        <w:rPr>
          <w:rFonts w:hint="eastAsia"/>
        </w:rPr>
        <w:t>6</w:t>
      </w:r>
    </w:p>
    <w:p w:rsidR="00EE56C0" w:rsidRDefault="000F36A1">
      <w:pPr>
        <w:pStyle w:val="20"/>
        <w:rPr>
          <w:rFonts w:ascii="Calibri" w:hAnsi="Calibri"/>
          <w:smallCaps w:val="0"/>
          <w:kern w:val="2"/>
          <w:sz w:val="21"/>
          <w:szCs w:val="22"/>
        </w:rPr>
      </w:pPr>
      <w:r>
        <w:rPr>
          <w:snapToGrid w:val="0"/>
          <w:w w:val="0"/>
        </w:rPr>
        <w:t>1.7</w:t>
      </w:r>
      <w:r>
        <w:rPr>
          <w:rFonts w:ascii="Calibri" w:hAnsi="Calibri"/>
          <w:smallCaps w:val="0"/>
          <w:kern w:val="2"/>
          <w:sz w:val="21"/>
          <w:szCs w:val="22"/>
        </w:rPr>
        <w:tab/>
      </w:r>
      <w:r>
        <w:rPr>
          <w:rFonts w:hint="eastAsia"/>
        </w:rPr>
        <w:t>评价工作程序</w:t>
      </w:r>
      <w:r>
        <w:tab/>
      </w:r>
      <w:r w:rsidR="00340837">
        <w:fldChar w:fldCharType="begin"/>
      </w:r>
      <w:r>
        <w:instrText xml:space="preserve"> PAGEREF _Toc25400887 \h </w:instrText>
      </w:r>
      <w:r w:rsidR="00340837">
        <w:fldChar w:fldCharType="separate"/>
      </w:r>
      <w:r w:rsidR="00C527D3">
        <w:rPr>
          <w:noProof/>
        </w:rPr>
        <w:t>7</w:t>
      </w:r>
      <w:r w:rsidR="00340837">
        <w:fldChar w:fldCharType="end"/>
      </w:r>
    </w:p>
    <w:p w:rsidR="00EE56C0" w:rsidRDefault="000F36A1">
      <w:pPr>
        <w:pStyle w:val="20"/>
        <w:rPr>
          <w:rFonts w:ascii="Calibri" w:hAnsi="Calibri"/>
          <w:smallCaps w:val="0"/>
          <w:kern w:val="2"/>
          <w:sz w:val="21"/>
          <w:szCs w:val="22"/>
        </w:rPr>
      </w:pPr>
      <w:r>
        <w:rPr>
          <w:snapToGrid w:val="0"/>
          <w:w w:val="0"/>
        </w:rPr>
        <w:t>1.8</w:t>
      </w:r>
      <w:r>
        <w:rPr>
          <w:rFonts w:ascii="Calibri" w:hAnsi="Calibri"/>
          <w:smallCaps w:val="0"/>
          <w:kern w:val="2"/>
          <w:sz w:val="21"/>
          <w:szCs w:val="22"/>
        </w:rPr>
        <w:tab/>
      </w:r>
      <w:r>
        <w:rPr>
          <w:rFonts w:hint="eastAsia"/>
        </w:rPr>
        <w:t>环境影响评价的主要结论</w:t>
      </w:r>
      <w:r>
        <w:tab/>
      </w:r>
      <w:r w:rsidR="00340837">
        <w:fldChar w:fldCharType="begin"/>
      </w:r>
      <w:r>
        <w:instrText xml:space="preserve"> PAGEREF _Toc25400888 \h </w:instrText>
      </w:r>
      <w:r w:rsidR="00340837">
        <w:fldChar w:fldCharType="separate"/>
      </w:r>
      <w:r w:rsidR="00C527D3">
        <w:rPr>
          <w:noProof/>
        </w:rPr>
        <w:t>8</w:t>
      </w:r>
      <w:r w:rsidR="00340837">
        <w:fldChar w:fldCharType="end"/>
      </w:r>
    </w:p>
    <w:p w:rsidR="00EE56C0" w:rsidRDefault="000F36A1">
      <w:pPr>
        <w:pStyle w:val="10"/>
        <w:rPr>
          <w:rFonts w:ascii="Calibri" w:hAnsi="Calibri"/>
          <w:b w:val="0"/>
          <w:bCs w:val="0"/>
          <w:caps w:val="0"/>
          <w:kern w:val="2"/>
          <w:sz w:val="21"/>
          <w:szCs w:val="22"/>
        </w:rPr>
      </w:pPr>
      <w:r>
        <w:rPr>
          <w:rFonts w:hint="eastAsia"/>
          <w:snapToGrid w:val="0"/>
          <w:w w:val="0"/>
        </w:rPr>
        <w:t>第</w:t>
      </w:r>
      <w:r>
        <w:rPr>
          <w:rFonts w:hint="eastAsia"/>
          <w:snapToGrid w:val="0"/>
          <w:w w:val="0"/>
        </w:rPr>
        <w:t xml:space="preserve"> 2 </w:t>
      </w:r>
      <w:r>
        <w:rPr>
          <w:rFonts w:hint="eastAsia"/>
          <w:snapToGrid w:val="0"/>
          <w:w w:val="0"/>
        </w:rPr>
        <w:t>章</w:t>
      </w:r>
      <w:r>
        <w:rPr>
          <w:rFonts w:ascii="Calibri" w:hAnsi="Calibri"/>
          <w:b w:val="0"/>
          <w:bCs w:val="0"/>
          <w:caps w:val="0"/>
          <w:kern w:val="2"/>
          <w:sz w:val="21"/>
          <w:szCs w:val="22"/>
        </w:rPr>
        <w:tab/>
      </w:r>
      <w:r>
        <w:rPr>
          <w:rFonts w:hint="eastAsia"/>
        </w:rPr>
        <w:t>总则</w:t>
      </w:r>
      <w:r>
        <w:tab/>
      </w:r>
      <w:r w:rsidR="00340837">
        <w:fldChar w:fldCharType="begin"/>
      </w:r>
      <w:r>
        <w:instrText xml:space="preserve"> PAGEREF _Toc25400889 \h </w:instrText>
      </w:r>
      <w:r w:rsidR="00340837">
        <w:fldChar w:fldCharType="separate"/>
      </w:r>
      <w:r w:rsidR="00C527D3">
        <w:rPr>
          <w:noProof/>
        </w:rPr>
        <w:t>10</w:t>
      </w:r>
      <w:r w:rsidR="00340837">
        <w:fldChar w:fldCharType="end"/>
      </w:r>
    </w:p>
    <w:p w:rsidR="00EE56C0" w:rsidRDefault="000F36A1">
      <w:pPr>
        <w:pStyle w:val="20"/>
        <w:rPr>
          <w:rFonts w:ascii="Calibri" w:hAnsi="Calibri"/>
          <w:smallCaps w:val="0"/>
          <w:kern w:val="2"/>
          <w:sz w:val="21"/>
          <w:szCs w:val="22"/>
        </w:rPr>
      </w:pPr>
      <w:r>
        <w:rPr>
          <w:snapToGrid w:val="0"/>
          <w:w w:val="0"/>
        </w:rPr>
        <w:t>2.1</w:t>
      </w:r>
      <w:r>
        <w:rPr>
          <w:rFonts w:ascii="Calibri" w:hAnsi="Calibri"/>
          <w:smallCaps w:val="0"/>
          <w:kern w:val="2"/>
          <w:sz w:val="21"/>
          <w:szCs w:val="22"/>
        </w:rPr>
        <w:tab/>
      </w:r>
      <w:r>
        <w:rPr>
          <w:rFonts w:hint="eastAsia"/>
        </w:rPr>
        <w:t>编制依据</w:t>
      </w:r>
      <w:r>
        <w:tab/>
      </w:r>
      <w:r w:rsidR="00340837">
        <w:fldChar w:fldCharType="begin"/>
      </w:r>
      <w:r>
        <w:instrText xml:space="preserve"> PAGEREF _Toc25400890 \h </w:instrText>
      </w:r>
      <w:r w:rsidR="00340837">
        <w:fldChar w:fldCharType="separate"/>
      </w:r>
      <w:r w:rsidR="00C527D3">
        <w:rPr>
          <w:noProof/>
        </w:rPr>
        <w:t>10</w:t>
      </w:r>
      <w:r w:rsidR="00340837">
        <w:fldChar w:fldCharType="end"/>
      </w:r>
    </w:p>
    <w:p w:rsidR="00EE56C0" w:rsidRDefault="000F36A1">
      <w:pPr>
        <w:pStyle w:val="20"/>
        <w:rPr>
          <w:rFonts w:ascii="Calibri" w:hAnsi="Calibri"/>
          <w:smallCaps w:val="0"/>
          <w:kern w:val="2"/>
          <w:sz w:val="21"/>
          <w:szCs w:val="22"/>
        </w:rPr>
      </w:pPr>
      <w:r>
        <w:rPr>
          <w:snapToGrid w:val="0"/>
          <w:w w:val="0"/>
        </w:rPr>
        <w:t>2.2</w:t>
      </w:r>
      <w:r>
        <w:rPr>
          <w:rFonts w:ascii="Calibri" w:hAnsi="Calibri"/>
          <w:smallCaps w:val="0"/>
          <w:kern w:val="2"/>
          <w:sz w:val="21"/>
          <w:szCs w:val="22"/>
        </w:rPr>
        <w:tab/>
      </w:r>
      <w:r>
        <w:rPr>
          <w:rFonts w:hint="eastAsia"/>
        </w:rPr>
        <w:t>评价对象、评价目的、评价原则</w:t>
      </w:r>
      <w:r>
        <w:tab/>
      </w:r>
      <w:r w:rsidR="00340837">
        <w:fldChar w:fldCharType="begin"/>
      </w:r>
      <w:r>
        <w:instrText xml:space="preserve"> PAGEREF _Toc25400891 \h </w:instrText>
      </w:r>
      <w:r w:rsidR="00340837">
        <w:fldChar w:fldCharType="separate"/>
      </w:r>
      <w:r w:rsidR="00C527D3">
        <w:rPr>
          <w:noProof/>
        </w:rPr>
        <w:t>12</w:t>
      </w:r>
      <w:r w:rsidR="00340837">
        <w:fldChar w:fldCharType="end"/>
      </w:r>
    </w:p>
    <w:p w:rsidR="00EE56C0" w:rsidRDefault="000F36A1">
      <w:pPr>
        <w:pStyle w:val="20"/>
        <w:rPr>
          <w:rFonts w:ascii="Calibri" w:hAnsi="Calibri"/>
          <w:smallCaps w:val="0"/>
          <w:kern w:val="2"/>
          <w:sz w:val="21"/>
          <w:szCs w:val="22"/>
        </w:rPr>
      </w:pPr>
      <w:r>
        <w:rPr>
          <w:snapToGrid w:val="0"/>
          <w:w w:val="0"/>
        </w:rPr>
        <w:t>2.3</w:t>
      </w:r>
      <w:r>
        <w:rPr>
          <w:rFonts w:ascii="Calibri" w:hAnsi="Calibri"/>
          <w:smallCaps w:val="0"/>
          <w:kern w:val="2"/>
          <w:sz w:val="21"/>
          <w:szCs w:val="22"/>
        </w:rPr>
        <w:tab/>
      </w:r>
      <w:r>
        <w:rPr>
          <w:rFonts w:hint="eastAsia"/>
        </w:rPr>
        <w:t>环境影响因子识别与筛选</w:t>
      </w:r>
      <w:r>
        <w:tab/>
      </w:r>
      <w:r w:rsidR="00340837">
        <w:fldChar w:fldCharType="begin"/>
      </w:r>
      <w:r>
        <w:instrText xml:space="preserve"> PAGEREF _Toc25400892 \h </w:instrText>
      </w:r>
      <w:r w:rsidR="00340837">
        <w:fldChar w:fldCharType="separate"/>
      </w:r>
      <w:r w:rsidR="00C527D3">
        <w:rPr>
          <w:noProof/>
        </w:rPr>
        <w:t>14</w:t>
      </w:r>
      <w:r w:rsidR="00340837">
        <w:fldChar w:fldCharType="end"/>
      </w:r>
    </w:p>
    <w:p w:rsidR="00EE56C0" w:rsidRDefault="000F36A1">
      <w:pPr>
        <w:pStyle w:val="20"/>
        <w:rPr>
          <w:rFonts w:ascii="Calibri" w:hAnsi="Calibri"/>
          <w:smallCaps w:val="0"/>
          <w:kern w:val="2"/>
          <w:sz w:val="21"/>
          <w:szCs w:val="22"/>
        </w:rPr>
      </w:pPr>
      <w:r>
        <w:rPr>
          <w:snapToGrid w:val="0"/>
          <w:w w:val="0"/>
        </w:rPr>
        <w:t>2.4</w:t>
      </w:r>
      <w:r>
        <w:rPr>
          <w:rFonts w:ascii="Calibri" w:hAnsi="Calibri"/>
          <w:smallCaps w:val="0"/>
          <w:kern w:val="2"/>
          <w:sz w:val="21"/>
          <w:szCs w:val="22"/>
        </w:rPr>
        <w:tab/>
      </w:r>
      <w:r>
        <w:rPr>
          <w:rFonts w:hint="eastAsia"/>
        </w:rPr>
        <w:t>评价范围</w:t>
      </w:r>
      <w:r>
        <w:tab/>
      </w:r>
      <w:r w:rsidR="00340837">
        <w:fldChar w:fldCharType="begin"/>
      </w:r>
      <w:r>
        <w:instrText xml:space="preserve"> PAGEREF _Toc25400893 \h </w:instrText>
      </w:r>
      <w:r w:rsidR="00340837">
        <w:fldChar w:fldCharType="separate"/>
      </w:r>
      <w:r w:rsidR="00C527D3">
        <w:rPr>
          <w:noProof/>
        </w:rPr>
        <w:t>15</w:t>
      </w:r>
      <w:r w:rsidR="00340837">
        <w:fldChar w:fldCharType="end"/>
      </w:r>
    </w:p>
    <w:p w:rsidR="00EE56C0" w:rsidRDefault="000F36A1">
      <w:pPr>
        <w:pStyle w:val="20"/>
        <w:rPr>
          <w:rFonts w:ascii="Calibri" w:hAnsi="Calibri"/>
          <w:smallCaps w:val="0"/>
          <w:kern w:val="2"/>
          <w:sz w:val="21"/>
          <w:szCs w:val="22"/>
        </w:rPr>
      </w:pPr>
      <w:r>
        <w:rPr>
          <w:snapToGrid w:val="0"/>
          <w:w w:val="0"/>
        </w:rPr>
        <w:t>2.5</w:t>
      </w:r>
      <w:r>
        <w:rPr>
          <w:rFonts w:ascii="Calibri" w:hAnsi="Calibri"/>
          <w:smallCaps w:val="0"/>
          <w:kern w:val="2"/>
          <w:sz w:val="21"/>
          <w:szCs w:val="22"/>
        </w:rPr>
        <w:tab/>
      </w:r>
      <w:r>
        <w:rPr>
          <w:rFonts w:hint="eastAsia"/>
        </w:rPr>
        <w:t>评价等级</w:t>
      </w:r>
      <w:r>
        <w:tab/>
      </w:r>
      <w:r w:rsidR="00340837">
        <w:fldChar w:fldCharType="begin"/>
      </w:r>
      <w:r>
        <w:instrText xml:space="preserve"> PAGEREF _Toc25400894 \h </w:instrText>
      </w:r>
      <w:r w:rsidR="00340837">
        <w:fldChar w:fldCharType="separate"/>
      </w:r>
      <w:r w:rsidR="00C527D3">
        <w:rPr>
          <w:noProof/>
        </w:rPr>
        <w:t>16</w:t>
      </w:r>
      <w:r w:rsidR="00340837">
        <w:fldChar w:fldCharType="end"/>
      </w:r>
    </w:p>
    <w:p w:rsidR="00EE56C0" w:rsidRDefault="000F36A1">
      <w:pPr>
        <w:pStyle w:val="20"/>
        <w:rPr>
          <w:rFonts w:ascii="Calibri" w:hAnsi="Calibri"/>
          <w:smallCaps w:val="0"/>
          <w:kern w:val="2"/>
          <w:sz w:val="21"/>
          <w:szCs w:val="22"/>
        </w:rPr>
      </w:pPr>
      <w:r>
        <w:rPr>
          <w:snapToGrid w:val="0"/>
          <w:w w:val="0"/>
        </w:rPr>
        <w:t>2.6</w:t>
      </w:r>
      <w:r>
        <w:rPr>
          <w:rFonts w:ascii="Calibri" w:hAnsi="Calibri"/>
          <w:smallCaps w:val="0"/>
          <w:kern w:val="2"/>
          <w:sz w:val="21"/>
          <w:szCs w:val="22"/>
        </w:rPr>
        <w:tab/>
      </w:r>
      <w:r>
        <w:rPr>
          <w:rFonts w:hint="eastAsia"/>
        </w:rPr>
        <w:t>污染控制与环境保护目标</w:t>
      </w:r>
      <w:r>
        <w:tab/>
      </w:r>
      <w:r w:rsidR="00340837">
        <w:fldChar w:fldCharType="begin"/>
      </w:r>
      <w:r>
        <w:instrText xml:space="preserve"> PAGEREF _Toc25400895 \h </w:instrText>
      </w:r>
      <w:r w:rsidR="00340837">
        <w:fldChar w:fldCharType="separate"/>
      </w:r>
      <w:r w:rsidR="00C527D3">
        <w:rPr>
          <w:noProof/>
        </w:rPr>
        <w:t>18</w:t>
      </w:r>
      <w:r w:rsidR="00340837">
        <w:fldChar w:fldCharType="end"/>
      </w:r>
    </w:p>
    <w:p w:rsidR="00EE56C0" w:rsidRDefault="000F36A1">
      <w:pPr>
        <w:pStyle w:val="20"/>
        <w:rPr>
          <w:rFonts w:ascii="Calibri" w:hAnsi="Calibri"/>
          <w:smallCaps w:val="0"/>
          <w:kern w:val="2"/>
          <w:sz w:val="21"/>
          <w:szCs w:val="22"/>
        </w:rPr>
      </w:pPr>
      <w:r>
        <w:rPr>
          <w:snapToGrid w:val="0"/>
          <w:w w:val="0"/>
        </w:rPr>
        <w:t>2.7</w:t>
      </w:r>
      <w:r>
        <w:rPr>
          <w:rFonts w:ascii="Calibri" w:hAnsi="Calibri"/>
          <w:smallCaps w:val="0"/>
          <w:kern w:val="2"/>
          <w:sz w:val="21"/>
          <w:szCs w:val="22"/>
        </w:rPr>
        <w:tab/>
      </w:r>
      <w:r>
        <w:rPr>
          <w:rFonts w:hint="eastAsia"/>
        </w:rPr>
        <w:t>环境敏感点概述</w:t>
      </w:r>
      <w:r>
        <w:tab/>
      </w:r>
      <w:r w:rsidR="00340837">
        <w:fldChar w:fldCharType="begin"/>
      </w:r>
      <w:r>
        <w:instrText xml:space="preserve"> PAGEREF _Toc25400896 \h </w:instrText>
      </w:r>
      <w:r w:rsidR="00340837">
        <w:fldChar w:fldCharType="separate"/>
      </w:r>
      <w:r w:rsidR="00C527D3">
        <w:rPr>
          <w:noProof/>
        </w:rPr>
        <w:t>19</w:t>
      </w:r>
      <w:r w:rsidR="00340837">
        <w:fldChar w:fldCharType="end"/>
      </w:r>
    </w:p>
    <w:p w:rsidR="00EE56C0" w:rsidRDefault="000F36A1">
      <w:pPr>
        <w:pStyle w:val="20"/>
        <w:rPr>
          <w:rFonts w:ascii="Calibri" w:hAnsi="Calibri"/>
          <w:smallCaps w:val="0"/>
          <w:kern w:val="2"/>
          <w:sz w:val="21"/>
          <w:szCs w:val="22"/>
        </w:rPr>
      </w:pPr>
      <w:r>
        <w:rPr>
          <w:snapToGrid w:val="0"/>
          <w:w w:val="0"/>
        </w:rPr>
        <w:t>2.8</w:t>
      </w:r>
      <w:r>
        <w:rPr>
          <w:rFonts w:ascii="Calibri" w:hAnsi="Calibri"/>
          <w:smallCaps w:val="0"/>
          <w:kern w:val="2"/>
          <w:sz w:val="21"/>
          <w:szCs w:val="22"/>
        </w:rPr>
        <w:tab/>
      </w:r>
      <w:r>
        <w:rPr>
          <w:rFonts w:hint="eastAsia"/>
        </w:rPr>
        <w:t>评价标准</w:t>
      </w:r>
      <w:r>
        <w:tab/>
      </w:r>
      <w:r w:rsidR="00340837">
        <w:fldChar w:fldCharType="begin"/>
      </w:r>
      <w:r>
        <w:instrText xml:space="preserve"> PAGEREF _Toc25400897 \h </w:instrText>
      </w:r>
      <w:r w:rsidR="00340837">
        <w:fldChar w:fldCharType="separate"/>
      </w:r>
      <w:r w:rsidR="00C527D3">
        <w:rPr>
          <w:noProof/>
        </w:rPr>
        <w:t>21</w:t>
      </w:r>
      <w:r w:rsidR="00340837">
        <w:fldChar w:fldCharType="end"/>
      </w:r>
    </w:p>
    <w:p w:rsidR="00EE56C0" w:rsidRDefault="000F36A1">
      <w:pPr>
        <w:pStyle w:val="20"/>
        <w:rPr>
          <w:rFonts w:ascii="Calibri" w:hAnsi="Calibri"/>
          <w:smallCaps w:val="0"/>
          <w:kern w:val="2"/>
          <w:sz w:val="21"/>
          <w:szCs w:val="22"/>
        </w:rPr>
      </w:pPr>
      <w:r>
        <w:rPr>
          <w:snapToGrid w:val="0"/>
          <w:w w:val="0"/>
        </w:rPr>
        <w:t>2.9</w:t>
      </w:r>
      <w:r>
        <w:rPr>
          <w:rFonts w:ascii="Calibri" w:hAnsi="Calibri"/>
          <w:smallCaps w:val="0"/>
          <w:kern w:val="2"/>
          <w:sz w:val="21"/>
          <w:szCs w:val="22"/>
        </w:rPr>
        <w:tab/>
      </w:r>
      <w:r>
        <w:rPr>
          <w:rFonts w:hint="eastAsia"/>
        </w:rPr>
        <w:t>环境功能区划</w:t>
      </w:r>
      <w:r>
        <w:tab/>
      </w:r>
      <w:r w:rsidR="00340837">
        <w:fldChar w:fldCharType="begin"/>
      </w:r>
      <w:r>
        <w:instrText xml:space="preserve"> PAGEREF _Toc25400898 \h </w:instrText>
      </w:r>
      <w:r w:rsidR="00340837">
        <w:fldChar w:fldCharType="separate"/>
      </w:r>
      <w:r w:rsidR="00C527D3">
        <w:rPr>
          <w:noProof/>
        </w:rPr>
        <w:t>25</w:t>
      </w:r>
      <w:r w:rsidR="00340837">
        <w:fldChar w:fldCharType="end"/>
      </w:r>
    </w:p>
    <w:p w:rsidR="00EE56C0" w:rsidRDefault="000F36A1">
      <w:pPr>
        <w:pStyle w:val="20"/>
        <w:rPr>
          <w:rFonts w:ascii="Calibri" w:hAnsi="Calibri"/>
          <w:smallCaps w:val="0"/>
          <w:kern w:val="2"/>
          <w:sz w:val="21"/>
          <w:szCs w:val="22"/>
        </w:rPr>
      </w:pPr>
      <w:r>
        <w:rPr>
          <w:snapToGrid w:val="0"/>
          <w:w w:val="0"/>
        </w:rPr>
        <w:t>2.10</w:t>
      </w:r>
      <w:r>
        <w:rPr>
          <w:rFonts w:ascii="Calibri" w:hAnsi="Calibri"/>
          <w:smallCaps w:val="0"/>
          <w:kern w:val="2"/>
          <w:sz w:val="21"/>
          <w:szCs w:val="22"/>
        </w:rPr>
        <w:tab/>
      </w:r>
      <w:r>
        <w:rPr>
          <w:rFonts w:hint="eastAsia"/>
        </w:rPr>
        <w:t>规划相符性分析</w:t>
      </w:r>
      <w:r>
        <w:tab/>
      </w:r>
      <w:r w:rsidR="00340837">
        <w:fldChar w:fldCharType="begin"/>
      </w:r>
      <w:r>
        <w:instrText xml:space="preserve"> PAGEREF _Toc25400899 \h </w:instrText>
      </w:r>
      <w:r w:rsidR="00340837">
        <w:fldChar w:fldCharType="separate"/>
      </w:r>
      <w:r w:rsidR="00C527D3">
        <w:rPr>
          <w:noProof/>
        </w:rPr>
        <w:t>27</w:t>
      </w:r>
      <w:r w:rsidR="00340837">
        <w:fldChar w:fldCharType="end"/>
      </w:r>
    </w:p>
    <w:p w:rsidR="00EE56C0" w:rsidRDefault="000F36A1">
      <w:pPr>
        <w:pStyle w:val="20"/>
        <w:rPr>
          <w:rFonts w:ascii="Calibri" w:hAnsi="Calibri"/>
          <w:smallCaps w:val="0"/>
          <w:kern w:val="2"/>
          <w:sz w:val="21"/>
          <w:szCs w:val="22"/>
        </w:rPr>
      </w:pPr>
      <w:r>
        <w:rPr>
          <w:snapToGrid w:val="0"/>
          <w:w w:val="0"/>
        </w:rPr>
        <w:t>2.11</w:t>
      </w:r>
      <w:r>
        <w:rPr>
          <w:rFonts w:ascii="Calibri" w:hAnsi="Calibri"/>
          <w:smallCaps w:val="0"/>
          <w:kern w:val="2"/>
          <w:sz w:val="21"/>
          <w:szCs w:val="22"/>
        </w:rPr>
        <w:tab/>
      </w:r>
      <w:r>
        <w:rPr>
          <w:rFonts w:hint="eastAsia"/>
        </w:rPr>
        <w:t>政策相符性分析</w:t>
      </w:r>
      <w:r>
        <w:tab/>
      </w:r>
      <w:r>
        <w:rPr>
          <w:rFonts w:hint="eastAsia"/>
        </w:rPr>
        <w:t>39</w:t>
      </w:r>
    </w:p>
    <w:p w:rsidR="00EE56C0" w:rsidRDefault="000F36A1">
      <w:pPr>
        <w:pStyle w:val="10"/>
        <w:rPr>
          <w:rFonts w:ascii="Calibri" w:hAnsi="Calibri"/>
          <w:b w:val="0"/>
          <w:bCs w:val="0"/>
          <w:caps w:val="0"/>
          <w:kern w:val="2"/>
          <w:sz w:val="21"/>
          <w:szCs w:val="22"/>
        </w:rPr>
      </w:pPr>
      <w:r>
        <w:rPr>
          <w:rFonts w:hint="eastAsia"/>
          <w:snapToGrid w:val="0"/>
          <w:w w:val="0"/>
        </w:rPr>
        <w:t>第</w:t>
      </w:r>
      <w:r>
        <w:rPr>
          <w:rFonts w:hint="eastAsia"/>
          <w:snapToGrid w:val="0"/>
          <w:w w:val="0"/>
        </w:rPr>
        <w:t xml:space="preserve"> 3 </w:t>
      </w:r>
      <w:r>
        <w:rPr>
          <w:rFonts w:hint="eastAsia"/>
          <w:snapToGrid w:val="0"/>
          <w:w w:val="0"/>
        </w:rPr>
        <w:t>章</w:t>
      </w:r>
      <w:r>
        <w:rPr>
          <w:rFonts w:ascii="Calibri" w:hAnsi="Calibri"/>
          <w:b w:val="0"/>
          <w:bCs w:val="0"/>
          <w:caps w:val="0"/>
          <w:kern w:val="2"/>
          <w:sz w:val="21"/>
          <w:szCs w:val="22"/>
        </w:rPr>
        <w:tab/>
      </w:r>
      <w:r>
        <w:rPr>
          <w:rFonts w:ascii="Calibri" w:hAnsi="Calibri" w:hint="eastAsia"/>
          <w:bCs w:val="0"/>
          <w:caps w:val="0"/>
          <w:kern w:val="2"/>
          <w:szCs w:val="22"/>
        </w:rPr>
        <w:t>建设项目</w:t>
      </w:r>
      <w:r>
        <w:rPr>
          <w:rFonts w:hint="eastAsia"/>
        </w:rPr>
        <w:t>工程分析</w:t>
      </w:r>
      <w:r>
        <w:tab/>
      </w:r>
      <w:r w:rsidR="00340837">
        <w:fldChar w:fldCharType="begin"/>
      </w:r>
      <w:r>
        <w:instrText xml:space="preserve"> PAGEREF _Toc25400901 \h </w:instrText>
      </w:r>
      <w:r w:rsidR="00340837">
        <w:fldChar w:fldCharType="separate"/>
      </w:r>
      <w:r w:rsidR="00C527D3">
        <w:rPr>
          <w:noProof/>
        </w:rPr>
        <w:t>59</w:t>
      </w:r>
      <w:r w:rsidR="00340837">
        <w:fldChar w:fldCharType="end"/>
      </w:r>
    </w:p>
    <w:p w:rsidR="00EE56C0" w:rsidRDefault="000F36A1">
      <w:pPr>
        <w:pStyle w:val="20"/>
      </w:pPr>
      <w:r>
        <w:rPr>
          <w:snapToGrid w:val="0"/>
          <w:w w:val="0"/>
        </w:rPr>
        <w:t>3.1</w:t>
      </w:r>
      <w:r>
        <w:rPr>
          <w:rFonts w:ascii="Calibri" w:hAnsi="Calibri"/>
          <w:smallCaps w:val="0"/>
          <w:kern w:val="2"/>
          <w:sz w:val="21"/>
          <w:szCs w:val="22"/>
        </w:rPr>
        <w:tab/>
      </w:r>
      <w:r>
        <w:rPr>
          <w:rFonts w:hint="eastAsia"/>
        </w:rPr>
        <w:t>现有项目工程分析</w:t>
      </w:r>
      <w:r>
        <w:tab/>
      </w:r>
      <w:r w:rsidR="00340837">
        <w:fldChar w:fldCharType="begin"/>
      </w:r>
      <w:r>
        <w:instrText xml:space="preserve"> PAGEREF _Toc25400902 \h </w:instrText>
      </w:r>
      <w:r w:rsidR="00340837">
        <w:fldChar w:fldCharType="separate"/>
      </w:r>
      <w:r w:rsidR="00C527D3">
        <w:rPr>
          <w:noProof/>
        </w:rPr>
        <w:t>61</w:t>
      </w:r>
      <w:r w:rsidR="00340837">
        <w:fldChar w:fldCharType="end"/>
      </w:r>
    </w:p>
    <w:p w:rsidR="00EE56C0" w:rsidRDefault="000F36A1">
      <w:pPr>
        <w:pStyle w:val="20"/>
      </w:pPr>
      <w:r>
        <w:rPr>
          <w:snapToGrid w:val="0"/>
          <w:w w:val="0"/>
        </w:rPr>
        <w:t>3.</w:t>
      </w:r>
      <w:r>
        <w:rPr>
          <w:rFonts w:hint="eastAsia"/>
          <w:snapToGrid w:val="0"/>
          <w:w w:val="0"/>
        </w:rPr>
        <w:t>2</w:t>
      </w:r>
      <w:r>
        <w:rPr>
          <w:rFonts w:ascii="Calibri" w:hAnsi="Calibri"/>
          <w:smallCaps w:val="0"/>
          <w:kern w:val="2"/>
          <w:sz w:val="21"/>
          <w:szCs w:val="22"/>
        </w:rPr>
        <w:tab/>
      </w:r>
      <w:r>
        <w:rPr>
          <w:rFonts w:ascii="Calibri" w:hAnsi="Calibri" w:hint="eastAsia"/>
          <w:smallCaps w:val="0"/>
          <w:kern w:val="2"/>
          <w:szCs w:val="22"/>
        </w:rPr>
        <w:t>本</w:t>
      </w:r>
      <w:r>
        <w:rPr>
          <w:rFonts w:hint="eastAsia"/>
        </w:rPr>
        <w:t>项目概况</w:t>
      </w:r>
      <w:r>
        <w:tab/>
      </w:r>
      <w:r>
        <w:rPr>
          <w:rFonts w:hint="eastAsia"/>
        </w:rPr>
        <w:t>74</w:t>
      </w:r>
    </w:p>
    <w:p w:rsidR="00EE56C0" w:rsidRDefault="00EE56C0">
      <w:pPr>
        <w:ind w:firstLine="480"/>
      </w:pPr>
    </w:p>
    <w:p w:rsidR="00EE56C0" w:rsidRDefault="000F36A1">
      <w:pPr>
        <w:pStyle w:val="20"/>
      </w:pPr>
      <w:r>
        <w:rPr>
          <w:snapToGrid w:val="0"/>
          <w:w w:val="0"/>
        </w:rPr>
        <w:t>3.</w:t>
      </w:r>
      <w:r>
        <w:rPr>
          <w:rFonts w:hint="eastAsia"/>
          <w:snapToGrid w:val="0"/>
          <w:w w:val="0"/>
        </w:rPr>
        <w:t>3</w:t>
      </w:r>
      <w:r>
        <w:rPr>
          <w:rFonts w:ascii="Calibri" w:hAnsi="Calibri"/>
          <w:smallCaps w:val="0"/>
          <w:kern w:val="2"/>
          <w:sz w:val="21"/>
          <w:szCs w:val="22"/>
        </w:rPr>
        <w:tab/>
      </w:r>
      <w:r>
        <w:rPr>
          <w:rFonts w:ascii="Calibri" w:hAnsi="Calibri" w:hint="eastAsia"/>
          <w:smallCaps w:val="0"/>
          <w:kern w:val="2"/>
          <w:szCs w:val="22"/>
        </w:rPr>
        <w:t>本项目</w:t>
      </w:r>
      <w:r>
        <w:rPr>
          <w:rFonts w:hint="eastAsia"/>
        </w:rPr>
        <w:t>生产工艺及产污环节</w:t>
      </w:r>
      <w:r>
        <w:tab/>
      </w:r>
      <w:r>
        <w:rPr>
          <w:rFonts w:hint="eastAsia"/>
        </w:rPr>
        <w:t>82</w:t>
      </w:r>
    </w:p>
    <w:p w:rsidR="00EE56C0" w:rsidRDefault="000F36A1">
      <w:pPr>
        <w:pStyle w:val="20"/>
      </w:pPr>
      <w:r>
        <w:rPr>
          <w:snapToGrid w:val="0"/>
          <w:w w:val="0"/>
        </w:rPr>
        <w:t>3.</w:t>
      </w:r>
      <w:r>
        <w:rPr>
          <w:rFonts w:hint="eastAsia"/>
          <w:snapToGrid w:val="0"/>
          <w:w w:val="0"/>
        </w:rPr>
        <w:t>4</w:t>
      </w:r>
      <w:r>
        <w:rPr>
          <w:rFonts w:ascii="Calibri" w:hAnsi="Calibri"/>
          <w:smallCaps w:val="0"/>
          <w:kern w:val="2"/>
          <w:sz w:val="21"/>
          <w:szCs w:val="22"/>
        </w:rPr>
        <w:tab/>
      </w:r>
      <w:r>
        <w:rPr>
          <w:rFonts w:hint="eastAsia"/>
        </w:rPr>
        <w:t>产污环节及治理措施</w:t>
      </w:r>
      <w:r>
        <w:tab/>
      </w:r>
      <w:r>
        <w:rPr>
          <w:rFonts w:hint="eastAsia"/>
        </w:rPr>
        <w:t>86</w:t>
      </w:r>
    </w:p>
    <w:p w:rsidR="00EE56C0" w:rsidRDefault="000F36A1">
      <w:pPr>
        <w:pStyle w:val="20"/>
      </w:pPr>
      <w:r>
        <w:rPr>
          <w:snapToGrid w:val="0"/>
          <w:w w:val="0"/>
        </w:rPr>
        <w:t>3.</w:t>
      </w:r>
      <w:r>
        <w:rPr>
          <w:rFonts w:hint="eastAsia"/>
          <w:snapToGrid w:val="0"/>
          <w:w w:val="0"/>
        </w:rPr>
        <w:t>5</w:t>
      </w:r>
      <w:r>
        <w:rPr>
          <w:rFonts w:ascii="Calibri" w:hAnsi="Calibri"/>
          <w:smallCaps w:val="0"/>
          <w:kern w:val="2"/>
          <w:sz w:val="21"/>
          <w:szCs w:val="22"/>
        </w:rPr>
        <w:tab/>
      </w:r>
      <w:r>
        <w:rPr>
          <w:rFonts w:hint="eastAsia"/>
        </w:rPr>
        <w:t>物料平衡</w:t>
      </w:r>
      <w:r>
        <w:tab/>
      </w:r>
      <w:r w:rsidR="00340837">
        <w:fldChar w:fldCharType="begin"/>
      </w:r>
      <w:r>
        <w:instrText xml:space="preserve"> PAGEREF _Toc25400904 \h </w:instrText>
      </w:r>
      <w:r w:rsidR="00340837">
        <w:fldChar w:fldCharType="separate"/>
      </w:r>
      <w:r w:rsidR="00C527D3">
        <w:rPr>
          <w:noProof/>
        </w:rPr>
        <w:t>71</w:t>
      </w:r>
      <w:r w:rsidR="00340837">
        <w:fldChar w:fldCharType="end"/>
      </w:r>
    </w:p>
    <w:p w:rsidR="00EE56C0" w:rsidRDefault="000F36A1">
      <w:pPr>
        <w:pStyle w:val="20"/>
        <w:rPr>
          <w:rFonts w:ascii="Calibri" w:hAnsi="Calibri"/>
          <w:smallCaps w:val="0"/>
          <w:kern w:val="2"/>
          <w:sz w:val="21"/>
          <w:szCs w:val="22"/>
        </w:rPr>
      </w:pPr>
      <w:r>
        <w:rPr>
          <w:snapToGrid w:val="0"/>
          <w:w w:val="0"/>
        </w:rPr>
        <w:t>3.</w:t>
      </w:r>
      <w:r>
        <w:rPr>
          <w:rFonts w:hint="eastAsia"/>
          <w:snapToGrid w:val="0"/>
          <w:w w:val="0"/>
        </w:rPr>
        <w:t>6</w:t>
      </w:r>
      <w:r>
        <w:rPr>
          <w:rFonts w:ascii="Calibri" w:hAnsi="Calibri"/>
          <w:smallCaps w:val="0"/>
          <w:kern w:val="2"/>
          <w:sz w:val="21"/>
          <w:szCs w:val="22"/>
        </w:rPr>
        <w:tab/>
      </w:r>
      <w:r>
        <w:rPr>
          <w:rFonts w:hint="eastAsia"/>
        </w:rPr>
        <w:t>水平衡</w:t>
      </w:r>
      <w:r>
        <w:tab/>
      </w:r>
      <w:r w:rsidR="00340837">
        <w:fldChar w:fldCharType="begin"/>
      </w:r>
      <w:r>
        <w:instrText xml:space="preserve"> PAGEREF _Toc25400905 \h </w:instrText>
      </w:r>
      <w:r w:rsidR="00340837">
        <w:fldChar w:fldCharType="separate"/>
      </w:r>
      <w:r w:rsidR="00C527D3">
        <w:rPr>
          <w:noProof/>
        </w:rPr>
        <w:t>96</w:t>
      </w:r>
      <w:r w:rsidR="00340837">
        <w:fldChar w:fldCharType="end"/>
      </w:r>
      <w:r>
        <w:rPr>
          <w:rFonts w:hint="eastAsia"/>
        </w:rPr>
        <w:t>3</w:t>
      </w:r>
    </w:p>
    <w:p w:rsidR="00EE56C0" w:rsidRDefault="000F36A1">
      <w:pPr>
        <w:pStyle w:val="20"/>
        <w:rPr>
          <w:rFonts w:ascii="Calibri" w:hAnsi="Calibri"/>
          <w:smallCaps w:val="0"/>
          <w:kern w:val="2"/>
          <w:sz w:val="21"/>
          <w:szCs w:val="22"/>
        </w:rPr>
      </w:pPr>
      <w:r>
        <w:rPr>
          <w:snapToGrid w:val="0"/>
          <w:w w:val="0"/>
        </w:rPr>
        <w:t>3.</w:t>
      </w:r>
      <w:r>
        <w:rPr>
          <w:rFonts w:hint="eastAsia"/>
          <w:snapToGrid w:val="0"/>
          <w:w w:val="0"/>
        </w:rPr>
        <w:t>7</w:t>
      </w:r>
      <w:r>
        <w:rPr>
          <w:rFonts w:ascii="Calibri" w:hAnsi="Calibri"/>
          <w:smallCaps w:val="0"/>
          <w:kern w:val="2"/>
          <w:sz w:val="21"/>
          <w:szCs w:val="22"/>
        </w:rPr>
        <w:tab/>
      </w:r>
      <w:r>
        <w:rPr>
          <w:rFonts w:hint="eastAsia"/>
        </w:rPr>
        <w:t>污染物产排情况</w:t>
      </w:r>
      <w:r>
        <w:tab/>
      </w:r>
      <w:r w:rsidR="00340837">
        <w:fldChar w:fldCharType="begin"/>
      </w:r>
      <w:r>
        <w:instrText xml:space="preserve"> PAGEREF _Toc25400906 \h </w:instrText>
      </w:r>
      <w:r w:rsidR="00340837">
        <w:fldChar w:fldCharType="separate"/>
      </w:r>
      <w:r w:rsidR="00C527D3">
        <w:rPr>
          <w:noProof/>
        </w:rPr>
        <w:t>97</w:t>
      </w:r>
      <w:r w:rsidR="00340837">
        <w:fldChar w:fldCharType="end"/>
      </w:r>
    </w:p>
    <w:p w:rsidR="00EE56C0" w:rsidRDefault="000F36A1">
      <w:pPr>
        <w:pStyle w:val="20"/>
        <w:rPr>
          <w:rFonts w:ascii="Calibri" w:hAnsi="Calibri"/>
          <w:smallCaps w:val="0"/>
          <w:kern w:val="2"/>
          <w:sz w:val="21"/>
          <w:szCs w:val="22"/>
        </w:rPr>
      </w:pPr>
      <w:r>
        <w:rPr>
          <w:snapToGrid w:val="0"/>
          <w:w w:val="0"/>
        </w:rPr>
        <w:t>3.</w:t>
      </w:r>
      <w:r>
        <w:rPr>
          <w:rFonts w:hint="eastAsia"/>
          <w:snapToGrid w:val="0"/>
          <w:w w:val="0"/>
        </w:rPr>
        <w:t>8</w:t>
      </w:r>
      <w:r>
        <w:rPr>
          <w:rFonts w:ascii="Calibri" w:hAnsi="Calibri"/>
          <w:smallCaps w:val="0"/>
          <w:kern w:val="2"/>
          <w:sz w:val="21"/>
          <w:szCs w:val="22"/>
        </w:rPr>
        <w:tab/>
      </w:r>
      <w:r>
        <w:rPr>
          <w:rFonts w:hint="eastAsia"/>
        </w:rPr>
        <w:t>非正常工况污染因素分析</w:t>
      </w:r>
      <w:r>
        <w:tab/>
      </w:r>
      <w:r w:rsidR="00340837">
        <w:fldChar w:fldCharType="begin"/>
      </w:r>
      <w:r>
        <w:instrText xml:space="preserve"> PAGEREF _Toc25400907 \h </w:instrText>
      </w:r>
      <w:r w:rsidR="00340837">
        <w:fldChar w:fldCharType="separate"/>
      </w:r>
      <w:r w:rsidR="00C527D3">
        <w:rPr>
          <w:noProof/>
        </w:rPr>
        <w:t>133</w:t>
      </w:r>
      <w:r w:rsidR="00340837">
        <w:fldChar w:fldCharType="end"/>
      </w:r>
    </w:p>
    <w:p w:rsidR="00EE56C0" w:rsidRDefault="000F36A1">
      <w:pPr>
        <w:pStyle w:val="20"/>
        <w:rPr>
          <w:rFonts w:ascii="Calibri" w:hAnsi="Calibri"/>
          <w:smallCaps w:val="0"/>
          <w:kern w:val="2"/>
          <w:sz w:val="21"/>
          <w:szCs w:val="22"/>
        </w:rPr>
      </w:pPr>
      <w:r>
        <w:rPr>
          <w:snapToGrid w:val="0"/>
          <w:w w:val="0"/>
        </w:rPr>
        <w:t>3.</w:t>
      </w:r>
      <w:r>
        <w:rPr>
          <w:rFonts w:hint="eastAsia"/>
          <w:snapToGrid w:val="0"/>
          <w:w w:val="0"/>
        </w:rPr>
        <w:t>9</w:t>
      </w:r>
      <w:r>
        <w:rPr>
          <w:rFonts w:ascii="Calibri" w:hAnsi="Calibri"/>
          <w:smallCaps w:val="0"/>
          <w:kern w:val="2"/>
          <w:sz w:val="21"/>
          <w:szCs w:val="22"/>
        </w:rPr>
        <w:tab/>
      </w:r>
      <w:r>
        <w:rPr>
          <w:rFonts w:hint="eastAsia"/>
        </w:rPr>
        <w:t>污染物排放情况汇总</w:t>
      </w:r>
      <w:r>
        <w:tab/>
      </w:r>
      <w:r w:rsidR="00340837">
        <w:fldChar w:fldCharType="begin"/>
      </w:r>
      <w:r>
        <w:instrText xml:space="preserve"> PAGEREF _Toc25400908 \h </w:instrText>
      </w:r>
      <w:r w:rsidR="00340837">
        <w:fldChar w:fldCharType="separate"/>
      </w:r>
      <w:r w:rsidR="00C527D3">
        <w:rPr>
          <w:noProof/>
        </w:rPr>
        <w:t>136</w:t>
      </w:r>
      <w:r w:rsidR="00340837">
        <w:fldChar w:fldCharType="end"/>
      </w:r>
    </w:p>
    <w:p w:rsidR="00EE56C0" w:rsidRDefault="000F36A1">
      <w:pPr>
        <w:pStyle w:val="20"/>
        <w:rPr>
          <w:rFonts w:ascii="Calibri" w:hAnsi="Calibri"/>
          <w:smallCaps w:val="0"/>
          <w:kern w:val="2"/>
          <w:sz w:val="21"/>
          <w:szCs w:val="22"/>
        </w:rPr>
      </w:pPr>
      <w:r>
        <w:rPr>
          <w:snapToGrid w:val="0"/>
          <w:w w:val="0"/>
        </w:rPr>
        <w:t>3.</w:t>
      </w:r>
      <w:r>
        <w:rPr>
          <w:rFonts w:hint="eastAsia"/>
          <w:snapToGrid w:val="0"/>
          <w:w w:val="0"/>
        </w:rPr>
        <w:t>10</w:t>
      </w:r>
      <w:r>
        <w:rPr>
          <w:rFonts w:ascii="Calibri" w:hAnsi="Calibri"/>
          <w:smallCaps w:val="0"/>
          <w:kern w:val="2"/>
          <w:sz w:val="21"/>
          <w:szCs w:val="22"/>
        </w:rPr>
        <w:tab/>
      </w:r>
      <w:r>
        <w:rPr>
          <w:rFonts w:hint="eastAsia"/>
        </w:rPr>
        <w:t>本项目清洁生产分析</w:t>
      </w:r>
      <w:r>
        <w:tab/>
      </w:r>
      <w:r w:rsidR="00340837">
        <w:fldChar w:fldCharType="begin"/>
      </w:r>
      <w:r>
        <w:instrText xml:space="preserve"> PAGEREF _Toc25400909 \h </w:instrText>
      </w:r>
      <w:r w:rsidR="00340837">
        <w:fldChar w:fldCharType="separate"/>
      </w:r>
      <w:r w:rsidR="00C527D3">
        <w:rPr>
          <w:noProof/>
        </w:rPr>
        <w:t>136</w:t>
      </w:r>
      <w:r w:rsidR="00340837">
        <w:fldChar w:fldCharType="end"/>
      </w:r>
    </w:p>
    <w:p w:rsidR="00EE56C0" w:rsidRDefault="000F36A1">
      <w:pPr>
        <w:pStyle w:val="10"/>
        <w:rPr>
          <w:rFonts w:ascii="Calibri" w:hAnsi="Calibri"/>
          <w:b w:val="0"/>
          <w:bCs w:val="0"/>
          <w:caps w:val="0"/>
          <w:kern w:val="2"/>
          <w:sz w:val="21"/>
          <w:szCs w:val="22"/>
        </w:rPr>
      </w:pPr>
      <w:r>
        <w:rPr>
          <w:rFonts w:hint="eastAsia"/>
          <w:snapToGrid w:val="0"/>
          <w:w w:val="0"/>
        </w:rPr>
        <w:t>第</w:t>
      </w:r>
      <w:r>
        <w:rPr>
          <w:rFonts w:hint="eastAsia"/>
          <w:snapToGrid w:val="0"/>
          <w:w w:val="0"/>
        </w:rPr>
        <w:t xml:space="preserve"> 4 </w:t>
      </w:r>
      <w:r>
        <w:rPr>
          <w:rFonts w:hint="eastAsia"/>
          <w:snapToGrid w:val="0"/>
          <w:w w:val="0"/>
        </w:rPr>
        <w:t>章</w:t>
      </w:r>
      <w:r>
        <w:rPr>
          <w:rFonts w:ascii="Calibri" w:hAnsi="Calibri"/>
          <w:b w:val="0"/>
          <w:bCs w:val="0"/>
          <w:caps w:val="0"/>
          <w:kern w:val="2"/>
          <w:sz w:val="21"/>
          <w:szCs w:val="22"/>
        </w:rPr>
        <w:tab/>
      </w:r>
      <w:r>
        <w:rPr>
          <w:rFonts w:hint="eastAsia"/>
        </w:rPr>
        <w:t>环境现状调查与评价</w:t>
      </w:r>
      <w:r>
        <w:tab/>
      </w:r>
      <w:r w:rsidR="00340837">
        <w:fldChar w:fldCharType="begin"/>
      </w:r>
      <w:r>
        <w:instrText xml:space="preserve"> PAGEREF _Toc25400910 \h </w:instrText>
      </w:r>
      <w:r w:rsidR="00340837">
        <w:fldChar w:fldCharType="separate"/>
      </w:r>
      <w:r w:rsidR="00C527D3">
        <w:rPr>
          <w:noProof/>
        </w:rPr>
        <w:t>153</w:t>
      </w:r>
      <w:r w:rsidR="00340837">
        <w:fldChar w:fldCharType="end"/>
      </w:r>
    </w:p>
    <w:p w:rsidR="00EE56C0" w:rsidRDefault="000F36A1">
      <w:pPr>
        <w:pStyle w:val="20"/>
        <w:rPr>
          <w:rFonts w:ascii="Calibri" w:hAnsi="Calibri"/>
          <w:smallCaps w:val="0"/>
          <w:kern w:val="2"/>
          <w:sz w:val="21"/>
          <w:szCs w:val="22"/>
        </w:rPr>
      </w:pPr>
      <w:r>
        <w:rPr>
          <w:snapToGrid w:val="0"/>
          <w:w w:val="0"/>
        </w:rPr>
        <w:t>4.1</w:t>
      </w:r>
      <w:r>
        <w:rPr>
          <w:rFonts w:ascii="Calibri" w:hAnsi="Calibri"/>
          <w:smallCaps w:val="0"/>
          <w:kern w:val="2"/>
          <w:sz w:val="21"/>
          <w:szCs w:val="22"/>
        </w:rPr>
        <w:tab/>
      </w:r>
      <w:r>
        <w:rPr>
          <w:rFonts w:hint="eastAsia"/>
        </w:rPr>
        <w:t>自然环境概况</w:t>
      </w:r>
      <w:r>
        <w:tab/>
      </w:r>
      <w:r w:rsidR="00340837">
        <w:fldChar w:fldCharType="begin"/>
      </w:r>
      <w:r>
        <w:instrText xml:space="preserve"> PAGEREF _Toc25400911 \h </w:instrText>
      </w:r>
      <w:r w:rsidR="00340837">
        <w:fldChar w:fldCharType="separate"/>
      </w:r>
      <w:r w:rsidR="00C527D3">
        <w:rPr>
          <w:noProof/>
        </w:rPr>
        <w:t>153</w:t>
      </w:r>
      <w:r w:rsidR="00340837">
        <w:fldChar w:fldCharType="end"/>
      </w:r>
    </w:p>
    <w:p w:rsidR="00EE56C0" w:rsidRDefault="000F36A1">
      <w:pPr>
        <w:pStyle w:val="20"/>
        <w:rPr>
          <w:rFonts w:ascii="Calibri" w:hAnsi="Calibri"/>
          <w:smallCaps w:val="0"/>
          <w:kern w:val="2"/>
          <w:sz w:val="21"/>
          <w:szCs w:val="22"/>
        </w:rPr>
      </w:pPr>
      <w:r>
        <w:rPr>
          <w:snapToGrid w:val="0"/>
          <w:w w:val="0"/>
        </w:rPr>
        <w:t>4.2</w:t>
      </w:r>
      <w:r>
        <w:rPr>
          <w:rFonts w:ascii="Calibri" w:hAnsi="Calibri"/>
          <w:smallCaps w:val="0"/>
          <w:kern w:val="2"/>
          <w:sz w:val="21"/>
          <w:szCs w:val="22"/>
        </w:rPr>
        <w:tab/>
      </w:r>
      <w:r>
        <w:rPr>
          <w:rFonts w:hint="eastAsia"/>
        </w:rPr>
        <w:t>环境质量现状监测与评价</w:t>
      </w:r>
      <w:r>
        <w:tab/>
      </w:r>
      <w:r w:rsidR="00340837">
        <w:fldChar w:fldCharType="begin"/>
      </w:r>
      <w:r>
        <w:instrText xml:space="preserve"> PAGEREF _Toc25400912 \h </w:instrText>
      </w:r>
      <w:r w:rsidR="00340837">
        <w:fldChar w:fldCharType="separate"/>
      </w:r>
      <w:r w:rsidR="00C527D3">
        <w:rPr>
          <w:noProof/>
        </w:rPr>
        <w:t>158</w:t>
      </w:r>
      <w:r w:rsidR="00340837">
        <w:fldChar w:fldCharType="end"/>
      </w:r>
    </w:p>
    <w:p w:rsidR="00EE56C0" w:rsidRDefault="000F36A1">
      <w:pPr>
        <w:pStyle w:val="20"/>
        <w:rPr>
          <w:rFonts w:ascii="Calibri" w:hAnsi="Calibri"/>
          <w:smallCaps w:val="0"/>
          <w:kern w:val="2"/>
          <w:sz w:val="21"/>
          <w:szCs w:val="22"/>
        </w:rPr>
      </w:pPr>
      <w:r>
        <w:rPr>
          <w:snapToGrid w:val="0"/>
          <w:w w:val="0"/>
        </w:rPr>
        <w:t>4.3</w:t>
      </w:r>
      <w:r>
        <w:rPr>
          <w:rFonts w:ascii="Calibri" w:hAnsi="Calibri"/>
          <w:smallCaps w:val="0"/>
          <w:kern w:val="2"/>
          <w:sz w:val="21"/>
          <w:szCs w:val="22"/>
        </w:rPr>
        <w:tab/>
      </w:r>
      <w:r>
        <w:rPr>
          <w:rFonts w:hint="eastAsia"/>
        </w:rPr>
        <w:t>区域污染源调查</w:t>
      </w:r>
      <w:r>
        <w:tab/>
      </w:r>
      <w:r w:rsidR="00340837">
        <w:fldChar w:fldCharType="begin"/>
      </w:r>
      <w:r>
        <w:instrText xml:space="preserve"> PAGEREF _Toc25400913 \h </w:instrText>
      </w:r>
      <w:r w:rsidR="00340837">
        <w:fldChar w:fldCharType="separate"/>
      </w:r>
      <w:r w:rsidR="00C527D3">
        <w:rPr>
          <w:noProof/>
        </w:rPr>
        <w:t>179</w:t>
      </w:r>
      <w:r w:rsidR="00340837">
        <w:fldChar w:fldCharType="end"/>
      </w:r>
    </w:p>
    <w:p w:rsidR="00EE56C0" w:rsidRDefault="000F36A1">
      <w:pPr>
        <w:pStyle w:val="10"/>
        <w:rPr>
          <w:rFonts w:ascii="Calibri" w:hAnsi="Calibri"/>
          <w:b w:val="0"/>
          <w:bCs w:val="0"/>
          <w:caps w:val="0"/>
          <w:kern w:val="2"/>
          <w:sz w:val="21"/>
          <w:szCs w:val="22"/>
        </w:rPr>
      </w:pPr>
      <w:r>
        <w:rPr>
          <w:rFonts w:hint="eastAsia"/>
          <w:snapToGrid w:val="0"/>
          <w:w w:val="0"/>
        </w:rPr>
        <w:t>第</w:t>
      </w:r>
      <w:r>
        <w:rPr>
          <w:rFonts w:hint="eastAsia"/>
          <w:snapToGrid w:val="0"/>
          <w:w w:val="0"/>
        </w:rPr>
        <w:t xml:space="preserve"> 5 </w:t>
      </w:r>
      <w:r>
        <w:rPr>
          <w:rFonts w:hint="eastAsia"/>
          <w:snapToGrid w:val="0"/>
          <w:w w:val="0"/>
        </w:rPr>
        <w:t>章</w:t>
      </w:r>
      <w:r>
        <w:rPr>
          <w:rFonts w:ascii="Calibri" w:hAnsi="Calibri"/>
          <w:b w:val="0"/>
          <w:bCs w:val="0"/>
          <w:caps w:val="0"/>
          <w:kern w:val="2"/>
          <w:sz w:val="21"/>
          <w:szCs w:val="22"/>
        </w:rPr>
        <w:tab/>
      </w:r>
      <w:r>
        <w:rPr>
          <w:rFonts w:hint="eastAsia"/>
        </w:rPr>
        <w:t>环境影响预测与评价</w:t>
      </w:r>
      <w:r>
        <w:tab/>
      </w:r>
      <w:r w:rsidR="00340837">
        <w:fldChar w:fldCharType="begin"/>
      </w:r>
      <w:r>
        <w:instrText xml:space="preserve"> PAGEREF _Toc25400914 \h </w:instrText>
      </w:r>
      <w:r w:rsidR="00340837">
        <w:fldChar w:fldCharType="separate"/>
      </w:r>
      <w:r w:rsidR="00C527D3">
        <w:rPr>
          <w:noProof/>
        </w:rPr>
        <w:t>181</w:t>
      </w:r>
      <w:r w:rsidR="00340837">
        <w:fldChar w:fldCharType="end"/>
      </w:r>
    </w:p>
    <w:p w:rsidR="00EE56C0" w:rsidRDefault="000F36A1">
      <w:pPr>
        <w:pStyle w:val="20"/>
        <w:rPr>
          <w:rFonts w:ascii="Calibri" w:hAnsi="Calibri"/>
          <w:smallCaps w:val="0"/>
          <w:kern w:val="2"/>
          <w:sz w:val="21"/>
          <w:szCs w:val="22"/>
        </w:rPr>
      </w:pPr>
      <w:r>
        <w:rPr>
          <w:snapToGrid w:val="0"/>
          <w:w w:val="0"/>
        </w:rPr>
        <w:t>5.1</w:t>
      </w:r>
      <w:r>
        <w:rPr>
          <w:rFonts w:ascii="Calibri" w:hAnsi="Calibri"/>
          <w:smallCaps w:val="0"/>
          <w:kern w:val="2"/>
          <w:sz w:val="21"/>
          <w:szCs w:val="22"/>
        </w:rPr>
        <w:tab/>
      </w:r>
      <w:r>
        <w:rPr>
          <w:rFonts w:hint="eastAsia"/>
        </w:rPr>
        <w:t>环境空气质量影响预测</w:t>
      </w:r>
      <w:r>
        <w:tab/>
      </w:r>
      <w:r w:rsidR="00340837">
        <w:fldChar w:fldCharType="begin"/>
      </w:r>
      <w:r>
        <w:instrText xml:space="preserve"> PAGEREF _Toc25400915 \h </w:instrText>
      </w:r>
      <w:r w:rsidR="00340837">
        <w:fldChar w:fldCharType="separate"/>
      </w:r>
      <w:r w:rsidR="00C527D3">
        <w:rPr>
          <w:noProof/>
        </w:rPr>
        <w:t>181</w:t>
      </w:r>
      <w:r w:rsidR="00340837">
        <w:fldChar w:fldCharType="end"/>
      </w:r>
    </w:p>
    <w:p w:rsidR="00EE56C0" w:rsidRDefault="000F36A1">
      <w:pPr>
        <w:pStyle w:val="20"/>
        <w:rPr>
          <w:rFonts w:ascii="Calibri" w:hAnsi="Calibri"/>
          <w:smallCaps w:val="0"/>
          <w:kern w:val="2"/>
          <w:sz w:val="21"/>
          <w:szCs w:val="22"/>
        </w:rPr>
      </w:pPr>
      <w:r>
        <w:rPr>
          <w:snapToGrid w:val="0"/>
          <w:w w:val="0"/>
        </w:rPr>
        <w:t>5.2</w:t>
      </w:r>
      <w:r>
        <w:rPr>
          <w:rFonts w:ascii="Calibri" w:hAnsi="Calibri"/>
          <w:smallCaps w:val="0"/>
          <w:kern w:val="2"/>
          <w:sz w:val="21"/>
          <w:szCs w:val="22"/>
        </w:rPr>
        <w:tab/>
      </w:r>
      <w:r>
        <w:rPr>
          <w:rFonts w:hint="eastAsia"/>
        </w:rPr>
        <w:t>地表水环境影响分析</w:t>
      </w:r>
      <w:r>
        <w:tab/>
      </w:r>
      <w:r w:rsidR="00340837">
        <w:fldChar w:fldCharType="begin"/>
      </w:r>
      <w:r>
        <w:instrText xml:space="preserve"> PAGEREF _Toc25400916 \h </w:instrText>
      </w:r>
      <w:r w:rsidR="00340837">
        <w:fldChar w:fldCharType="separate"/>
      </w:r>
      <w:r w:rsidR="00C527D3">
        <w:rPr>
          <w:noProof/>
        </w:rPr>
        <w:t>223</w:t>
      </w:r>
      <w:r w:rsidR="00340837">
        <w:fldChar w:fldCharType="end"/>
      </w:r>
    </w:p>
    <w:p w:rsidR="00EE56C0" w:rsidRDefault="000F36A1">
      <w:pPr>
        <w:pStyle w:val="20"/>
        <w:rPr>
          <w:rFonts w:ascii="Calibri" w:hAnsi="Calibri"/>
          <w:smallCaps w:val="0"/>
          <w:kern w:val="2"/>
          <w:sz w:val="21"/>
          <w:szCs w:val="22"/>
        </w:rPr>
      </w:pPr>
      <w:r>
        <w:rPr>
          <w:snapToGrid w:val="0"/>
          <w:w w:val="0"/>
        </w:rPr>
        <w:t>5.3</w:t>
      </w:r>
      <w:r>
        <w:rPr>
          <w:rFonts w:ascii="Calibri" w:hAnsi="Calibri"/>
          <w:smallCaps w:val="0"/>
          <w:kern w:val="2"/>
          <w:sz w:val="21"/>
          <w:szCs w:val="22"/>
        </w:rPr>
        <w:tab/>
      </w:r>
      <w:r>
        <w:rPr>
          <w:rFonts w:hint="eastAsia"/>
        </w:rPr>
        <w:t>地下水环境影响分析</w:t>
      </w:r>
      <w:r>
        <w:tab/>
      </w:r>
      <w:r w:rsidR="00340837">
        <w:fldChar w:fldCharType="begin"/>
      </w:r>
      <w:r>
        <w:instrText xml:space="preserve"> PAGEREF _Toc25400917 \h </w:instrText>
      </w:r>
      <w:r w:rsidR="00340837">
        <w:fldChar w:fldCharType="separate"/>
      </w:r>
      <w:r w:rsidR="00C527D3">
        <w:rPr>
          <w:noProof/>
        </w:rPr>
        <w:t>226</w:t>
      </w:r>
      <w:r w:rsidR="00340837">
        <w:fldChar w:fldCharType="end"/>
      </w:r>
    </w:p>
    <w:p w:rsidR="00EE56C0" w:rsidRDefault="000F36A1">
      <w:pPr>
        <w:pStyle w:val="20"/>
        <w:rPr>
          <w:rFonts w:ascii="Calibri" w:hAnsi="Calibri"/>
          <w:smallCaps w:val="0"/>
          <w:kern w:val="2"/>
          <w:sz w:val="21"/>
          <w:szCs w:val="22"/>
        </w:rPr>
      </w:pPr>
      <w:r>
        <w:rPr>
          <w:snapToGrid w:val="0"/>
          <w:w w:val="0"/>
        </w:rPr>
        <w:t>5.4</w:t>
      </w:r>
      <w:r>
        <w:rPr>
          <w:rFonts w:ascii="Calibri" w:hAnsi="Calibri"/>
          <w:smallCaps w:val="0"/>
          <w:kern w:val="2"/>
          <w:sz w:val="21"/>
          <w:szCs w:val="22"/>
        </w:rPr>
        <w:tab/>
      </w:r>
      <w:r>
        <w:rPr>
          <w:rFonts w:hint="eastAsia"/>
        </w:rPr>
        <w:t>声环境影响分析</w:t>
      </w:r>
      <w:r>
        <w:tab/>
      </w:r>
      <w:r w:rsidR="00340837">
        <w:fldChar w:fldCharType="begin"/>
      </w:r>
      <w:r>
        <w:instrText xml:space="preserve"> PAGEREF _Toc25400918 \h </w:instrText>
      </w:r>
      <w:r w:rsidR="00340837">
        <w:fldChar w:fldCharType="separate"/>
      </w:r>
      <w:r w:rsidR="00C527D3">
        <w:rPr>
          <w:noProof/>
        </w:rPr>
        <w:t>241</w:t>
      </w:r>
      <w:r w:rsidR="00340837">
        <w:fldChar w:fldCharType="end"/>
      </w:r>
    </w:p>
    <w:p w:rsidR="00EE56C0" w:rsidRDefault="000F36A1">
      <w:pPr>
        <w:pStyle w:val="20"/>
        <w:rPr>
          <w:rFonts w:ascii="Calibri" w:hAnsi="Calibri"/>
          <w:smallCaps w:val="0"/>
          <w:kern w:val="2"/>
          <w:sz w:val="21"/>
          <w:szCs w:val="22"/>
        </w:rPr>
      </w:pPr>
      <w:r>
        <w:rPr>
          <w:snapToGrid w:val="0"/>
          <w:w w:val="0"/>
        </w:rPr>
        <w:t>5.5</w:t>
      </w:r>
      <w:r>
        <w:rPr>
          <w:rFonts w:ascii="Calibri" w:hAnsi="Calibri"/>
          <w:smallCaps w:val="0"/>
          <w:kern w:val="2"/>
          <w:sz w:val="21"/>
          <w:szCs w:val="22"/>
        </w:rPr>
        <w:tab/>
      </w:r>
      <w:r>
        <w:rPr>
          <w:rFonts w:hint="eastAsia"/>
        </w:rPr>
        <w:t>固体废物环境影响分析</w:t>
      </w:r>
      <w:r>
        <w:tab/>
      </w:r>
      <w:r w:rsidR="00340837">
        <w:fldChar w:fldCharType="begin"/>
      </w:r>
      <w:r>
        <w:instrText xml:space="preserve"> PAGEREF _Toc25400919 \h </w:instrText>
      </w:r>
      <w:r w:rsidR="00340837">
        <w:fldChar w:fldCharType="separate"/>
      </w:r>
      <w:r w:rsidR="00C527D3">
        <w:rPr>
          <w:noProof/>
        </w:rPr>
        <w:t>245</w:t>
      </w:r>
      <w:r w:rsidR="00340837">
        <w:fldChar w:fldCharType="end"/>
      </w:r>
    </w:p>
    <w:p w:rsidR="00EE56C0" w:rsidRDefault="000F36A1">
      <w:pPr>
        <w:pStyle w:val="20"/>
        <w:rPr>
          <w:rFonts w:ascii="Calibri" w:hAnsi="Calibri"/>
          <w:smallCaps w:val="0"/>
          <w:kern w:val="2"/>
          <w:sz w:val="21"/>
          <w:szCs w:val="22"/>
        </w:rPr>
      </w:pPr>
      <w:r>
        <w:rPr>
          <w:snapToGrid w:val="0"/>
          <w:w w:val="0"/>
        </w:rPr>
        <w:t>5.6</w:t>
      </w:r>
      <w:r>
        <w:rPr>
          <w:rFonts w:ascii="Calibri" w:hAnsi="Calibri"/>
          <w:smallCaps w:val="0"/>
          <w:kern w:val="2"/>
          <w:sz w:val="21"/>
          <w:szCs w:val="22"/>
        </w:rPr>
        <w:tab/>
      </w:r>
      <w:r>
        <w:rPr>
          <w:rFonts w:hint="eastAsia"/>
        </w:rPr>
        <w:t>土壤环境影响预测</w:t>
      </w:r>
      <w:r>
        <w:tab/>
      </w:r>
      <w:r w:rsidR="00340837">
        <w:fldChar w:fldCharType="begin"/>
      </w:r>
      <w:r>
        <w:instrText xml:space="preserve"> PAGEREF _Toc25400920 \h </w:instrText>
      </w:r>
      <w:r w:rsidR="00340837">
        <w:fldChar w:fldCharType="separate"/>
      </w:r>
      <w:r w:rsidR="00C527D3">
        <w:rPr>
          <w:noProof/>
        </w:rPr>
        <w:t>246</w:t>
      </w:r>
      <w:r w:rsidR="00340837">
        <w:fldChar w:fldCharType="end"/>
      </w:r>
    </w:p>
    <w:p w:rsidR="00EE56C0" w:rsidRDefault="000F36A1">
      <w:pPr>
        <w:pStyle w:val="20"/>
        <w:rPr>
          <w:rFonts w:ascii="Calibri" w:hAnsi="Calibri"/>
          <w:smallCaps w:val="0"/>
          <w:kern w:val="2"/>
          <w:sz w:val="21"/>
          <w:szCs w:val="22"/>
        </w:rPr>
      </w:pPr>
      <w:r>
        <w:rPr>
          <w:snapToGrid w:val="0"/>
          <w:w w:val="0"/>
        </w:rPr>
        <w:t>5.7</w:t>
      </w:r>
      <w:r>
        <w:rPr>
          <w:rFonts w:ascii="Calibri" w:hAnsi="Calibri"/>
          <w:smallCaps w:val="0"/>
          <w:kern w:val="2"/>
          <w:sz w:val="21"/>
          <w:szCs w:val="22"/>
        </w:rPr>
        <w:tab/>
      </w:r>
      <w:r>
        <w:rPr>
          <w:rFonts w:hint="eastAsia"/>
        </w:rPr>
        <w:t>环境风险分析</w:t>
      </w:r>
      <w:r>
        <w:tab/>
      </w:r>
      <w:r w:rsidR="00340837">
        <w:fldChar w:fldCharType="begin"/>
      </w:r>
      <w:r>
        <w:instrText xml:space="preserve"> PAGEREF _Toc25400921 \h </w:instrText>
      </w:r>
      <w:r w:rsidR="00340837">
        <w:fldChar w:fldCharType="separate"/>
      </w:r>
      <w:r w:rsidR="00C527D3">
        <w:rPr>
          <w:noProof/>
        </w:rPr>
        <w:t>249</w:t>
      </w:r>
      <w:r w:rsidR="00340837">
        <w:fldChar w:fldCharType="end"/>
      </w:r>
    </w:p>
    <w:p w:rsidR="00EE56C0" w:rsidRDefault="000F36A1">
      <w:pPr>
        <w:pStyle w:val="10"/>
        <w:rPr>
          <w:rFonts w:ascii="Calibri" w:hAnsi="Calibri"/>
          <w:b w:val="0"/>
          <w:bCs w:val="0"/>
          <w:caps w:val="0"/>
          <w:kern w:val="2"/>
          <w:sz w:val="21"/>
          <w:szCs w:val="22"/>
        </w:rPr>
      </w:pPr>
      <w:r>
        <w:rPr>
          <w:rFonts w:hint="eastAsia"/>
          <w:snapToGrid w:val="0"/>
          <w:w w:val="0"/>
        </w:rPr>
        <w:t>第</w:t>
      </w:r>
      <w:r>
        <w:rPr>
          <w:rFonts w:hint="eastAsia"/>
          <w:snapToGrid w:val="0"/>
          <w:w w:val="0"/>
        </w:rPr>
        <w:t xml:space="preserve"> 6 </w:t>
      </w:r>
      <w:r>
        <w:rPr>
          <w:rFonts w:hint="eastAsia"/>
          <w:snapToGrid w:val="0"/>
          <w:w w:val="0"/>
        </w:rPr>
        <w:t>章</w:t>
      </w:r>
      <w:r>
        <w:rPr>
          <w:rFonts w:ascii="Calibri" w:hAnsi="Calibri"/>
          <w:b w:val="0"/>
          <w:bCs w:val="0"/>
          <w:caps w:val="0"/>
          <w:kern w:val="2"/>
          <w:sz w:val="21"/>
          <w:szCs w:val="22"/>
        </w:rPr>
        <w:tab/>
      </w:r>
      <w:r>
        <w:rPr>
          <w:rFonts w:hint="eastAsia"/>
        </w:rPr>
        <w:t>环境保护措施及其可行性论证</w:t>
      </w:r>
      <w:r>
        <w:tab/>
      </w:r>
      <w:r w:rsidR="00340837">
        <w:fldChar w:fldCharType="begin"/>
      </w:r>
      <w:r>
        <w:instrText xml:space="preserve"> PAGEREF _Toc25400923 \h </w:instrText>
      </w:r>
      <w:r w:rsidR="00340837">
        <w:fldChar w:fldCharType="separate"/>
      </w:r>
      <w:r w:rsidR="00C527D3">
        <w:rPr>
          <w:noProof/>
        </w:rPr>
        <w:t>261</w:t>
      </w:r>
      <w:r w:rsidR="00340837">
        <w:fldChar w:fldCharType="end"/>
      </w:r>
    </w:p>
    <w:p w:rsidR="00EE56C0" w:rsidRDefault="000F36A1">
      <w:pPr>
        <w:pStyle w:val="20"/>
        <w:rPr>
          <w:rFonts w:ascii="Calibri" w:hAnsi="Calibri"/>
          <w:smallCaps w:val="0"/>
          <w:kern w:val="2"/>
          <w:sz w:val="21"/>
          <w:szCs w:val="22"/>
        </w:rPr>
      </w:pPr>
      <w:r>
        <w:rPr>
          <w:snapToGrid w:val="0"/>
          <w:w w:val="0"/>
        </w:rPr>
        <w:t>6.1</w:t>
      </w:r>
      <w:r>
        <w:rPr>
          <w:rFonts w:ascii="Calibri" w:hAnsi="Calibri"/>
          <w:smallCaps w:val="0"/>
          <w:kern w:val="2"/>
          <w:sz w:val="21"/>
          <w:szCs w:val="22"/>
        </w:rPr>
        <w:tab/>
      </w:r>
      <w:r>
        <w:rPr>
          <w:rFonts w:hint="eastAsia"/>
        </w:rPr>
        <w:t>废水污染防治措施分析</w:t>
      </w:r>
      <w:r>
        <w:tab/>
      </w:r>
      <w:r w:rsidR="00340837">
        <w:fldChar w:fldCharType="begin"/>
      </w:r>
      <w:r>
        <w:instrText xml:space="preserve"> PAGEREF _Toc25400924 \h </w:instrText>
      </w:r>
      <w:r w:rsidR="00340837">
        <w:fldChar w:fldCharType="separate"/>
      </w:r>
      <w:r w:rsidR="00C527D3">
        <w:rPr>
          <w:noProof/>
        </w:rPr>
        <w:t>261</w:t>
      </w:r>
      <w:r w:rsidR="00340837">
        <w:fldChar w:fldCharType="end"/>
      </w:r>
    </w:p>
    <w:p w:rsidR="00EE56C0" w:rsidRDefault="000F36A1">
      <w:pPr>
        <w:pStyle w:val="20"/>
        <w:rPr>
          <w:rFonts w:ascii="Calibri" w:hAnsi="Calibri"/>
          <w:smallCaps w:val="0"/>
          <w:kern w:val="2"/>
          <w:sz w:val="21"/>
          <w:szCs w:val="22"/>
        </w:rPr>
      </w:pPr>
      <w:r>
        <w:rPr>
          <w:snapToGrid w:val="0"/>
          <w:w w:val="0"/>
        </w:rPr>
        <w:t>6.2</w:t>
      </w:r>
      <w:r>
        <w:rPr>
          <w:rFonts w:ascii="Calibri" w:hAnsi="Calibri"/>
          <w:smallCaps w:val="0"/>
          <w:kern w:val="2"/>
          <w:sz w:val="21"/>
          <w:szCs w:val="22"/>
        </w:rPr>
        <w:tab/>
      </w:r>
      <w:r>
        <w:rPr>
          <w:rFonts w:hint="eastAsia"/>
        </w:rPr>
        <w:t>废气污染防治措施可行性分析</w:t>
      </w:r>
      <w:r>
        <w:tab/>
      </w:r>
      <w:r w:rsidR="00340837">
        <w:fldChar w:fldCharType="begin"/>
      </w:r>
      <w:r>
        <w:instrText xml:space="preserve"> PAGEREF _Toc25400925 \h </w:instrText>
      </w:r>
      <w:r w:rsidR="00340837">
        <w:fldChar w:fldCharType="separate"/>
      </w:r>
      <w:r w:rsidR="00C527D3">
        <w:rPr>
          <w:noProof/>
        </w:rPr>
        <w:t>262</w:t>
      </w:r>
      <w:r w:rsidR="00340837">
        <w:fldChar w:fldCharType="end"/>
      </w:r>
    </w:p>
    <w:p w:rsidR="00EE56C0" w:rsidRDefault="000F36A1">
      <w:pPr>
        <w:pStyle w:val="20"/>
        <w:rPr>
          <w:rFonts w:ascii="Calibri" w:hAnsi="Calibri"/>
          <w:smallCaps w:val="0"/>
          <w:kern w:val="2"/>
          <w:sz w:val="21"/>
          <w:szCs w:val="22"/>
        </w:rPr>
      </w:pPr>
      <w:r>
        <w:rPr>
          <w:snapToGrid w:val="0"/>
          <w:w w:val="0"/>
        </w:rPr>
        <w:t>6.3</w:t>
      </w:r>
      <w:r>
        <w:rPr>
          <w:rFonts w:ascii="Calibri" w:hAnsi="Calibri"/>
          <w:smallCaps w:val="0"/>
          <w:kern w:val="2"/>
          <w:sz w:val="21"/>
          <w:szCs w:val="22"/>
        </w:rPr>
        <w:tab/>
      </w:r>
      <w:r>
        <w:rPr>
          <w:rFonts w:hint="eastAsia"/>
        </w:rPr>
        <w:t>噪声污染防治措施可行性分析</w:t>
      </w:r>
      <w:r>
        <w:tab/>
      </w:r>
      <w:r w:rsidR="00340837">
        <w:fldChar w:fldCharType="begin"/>
      </w:r>
      <w:r>
        <w:instrText xml:space="preserve"> PAGEREF _Toc25400926 \h </w:instrText>
      </w:r>
      <w:r w:rsidR="00340837">
        <w:fldChar w:fldCharType="separate"/>
      </w:r>
      <w:r w:rsidR="00C527D3">
        <w:rPr>
          <w:noProof/>
        </w:rPr>
        <w:t>268</w:t>
      </w:r>
      <w:r w:rsidR="00340837">
        <w:fldChar w:fldCharType="end"/>
      </w:r>
    </w:p>
    <w:p w:rsidR="00EE56C0" w:rsidRDefault="000F36A1">
      <w:pPr>
        <w:pStyle w:val="20"/>
        <w:rPr>
          <w:rFonts w:ascii="Calibri" w:hAnsi="Calibri"/>
          <w:smallCaps w:val="0"/>
          <w:kern w:val="2"/>
          <w:sz w:val="21"/>
          <w:szCs w:val="22"/>
        </w:rPr>
      </w:pPr>
      <w:r>
        <w:rPr>
          <w:snapToGrid w:val="0"/>
          <w:w w:val="0"/>
        </w:rPr>
        <w:t>6.4</w:t>
      </w:r>
      <w:r>
        <w:rPr>
          <w:rFonts w:ascii="Calibri" w:hAnsi="Calibri"/>
          <w:smallCaps w:val="0"/>
          <w:kern w:val="2"/>
          <w:sz w:val="21"/>
          <w:szCs w:val="22"/>
        </w:rPr>
        <w:tab/>
      </w:r>
      <w:r>
        <w:rPr>
          <w:rFonts w:hint="eastAsia"/>
        </w:rPr>
        <w:t>固体废物防治措施可行性分析</w:t>
      </w:r>
      <w:r>
        <w:tab/>
      </w:r>
      <w:r w:rsidR="00340837">
        <w:fldChar w:fldCharType="begin"/>
      </w:r>
      <w:r>
        <w:instrText xml:space="preserve"> PAGEREF _Toc25400927 \h </w:instrText>
      </w:r>
      <w:r w:rsidR="00340837">
        <w:fldChar w:fldCharType="separate"/>
      </w:r>
      <w:r w:rsidR="00C527D3">
        <w:rPr>
          <w:noProof/>
        </w:rPr>
        <w:t>269</w:t>
      </w:r>
      <w:r w:rsidR="00340837">
        <w:fldChar w:fldCharType="end"/>
      </w:r>
    </w:p>
    <w:p w:rsidR="00EE56C0" w:rsidRDefault="000F36A1">
      <w:pPr>
        <w:pStyle w:val="20"/>
        <w:rPr>
          <w:rFonts w:ascii="Calibri" w:hAnsi="Calibri"/>
          <w:smallCaps w:val="0"/>
          <w:kern w:val="2"/>
          <w:sz w:val="21"/>
          <w:szCs w:val="22"/>
        </w:rPr>
      </w:pPr>
      <w:r>
        <w:rPr>
          <w:snapToGrid w:val="0"/>
          <w:w w:val="0"/>
        </w:rPr>
        <w:t>6.5</w:t>
      </w:r>
      <w:r>
        <w:rPr>
          <w:rFonts w:ascii="Calibri" w:hAnsi="Calibri"/>
          <w:smallCaps w:val="0"/>
          <w:kern w:val="2"/>
          <w:sz w:val="21"/>
          <w:szCs w:val="22"/>
        </w:rPr>
        <w:tab/>
      </w:r>
      <w:r>
        <w:rPr>
          <w:rFonts w:hint="eastAsia"/>
        </w:rPr>
        <w:t>地下水污染防治措施</w:t>
      </w:r>
      <w:r>
        <w:tab/>
      </w:r>
      <w:r w:rsidR="00340837">
        <w:fldChar w:fldCharType="begin"/>
      </w:r>
      <w:r>
        <w:instrText xml:space="preserve"> PAGEREF _Toc25400928 \h </w:instrText>
      </w:r>
      <w:r w:rsidR="00340837">
        <w:fldChar w:fldCharType="separate"/>
      </w:r>
      <w:r w:rsidR="00C527D3">
        <w:rPr>
          <w:noProof/>
        </w:rPr>
        <w:t>270</w:t>
      </w:r>
      <w:r w:rsidR="00340837">
        <w:fldChar w:fldCharType="end"/>
      </w:r>
    </w:p>
    <w:p w:rsidR="00EE56C0" w:rsidRDefault="000F36A1">
      <w:pPr>
        <w:pStyle w:val="20"/>
        <w:rPr>
          <w:rFonts w:ascii="Calibri" w:hAnsi="Calibri"/>
          <w:smallCaps w:val="0"/>
          <w:kern w:val="2"/>
          <w:sz w:val="21"/>
          <w:szCs w:val="22"/>
        </w:rPr>
      </w:pPr>
      <w:r>
        <w:rPr>
          <w:snapToGrid w:val="0"/>
          <w:w w:val="0"/>
        </w:rPr>
        <w:t>6.6</w:t>
      </w:r>
      <w:r>
        <w:rPr>
          <w:rFonts w:ascii="Calibri" w:hAnsi="Calibri"/>
          <w:smallCaps w:val="0"/>
          <w:kern w:val="2"/>
          <w:sz w:val="21"/>
          <w:szCs w:val="22"/>
        </w:rPr>
        <w:tab/>
      </w:r>
      <w:r>
        <w:rPr>
          <w:rFonts w:hint="eastAsia"/>
        </w:rPr>
        <w:t>工程污染防治措施汇总</w:t>
      </w:r>
      <w:r>
        <w:tab/>
      </w:r>
      <w:r w:rsidR="00340837">
        <w:fldChar w:fldCharType="begin"/>
      </w:r>
      <w:r>
        <w:instrText xml:space="preserve"> PAGEREF _Toc25400929 \h </w:instrText>
      </w:r>
      <w:r w:rsidR="00340837">
        <w:fldChar w:fldCharType="separate"/>
      </w:r>
      <w:r w:rsidR="00C527D3">
        <w:rPr>
          <w:noProof/>
        </w:rPr>
        <w:t>273</w:t>
      </w:r>
      <w:r w:rsidR="00340837">
        <w:fldChar w:fldCharType="end"/>
      </w:r>
    </w:p>
    <w:p w:rsidR="00EE56C0" w:rsidRDefault="000F36A1">
      <w:pPr>
        <w:pStyle w:val="20"/>
        <w:rPr>
          <w:rFonts w:ascii="Calibri" w:hAnsi="Calibri"/>
          <w:smallCaps w:val="0"/>
          <w:kern w:val="2"/>
          <w:sz w:val="21"/>
          <w:szCs w:val="22"/>
        </w:rPr>
      </w:pPr>
      <w:r>
        <w:rPr>
          <w:snapToGrid w:val="0"/>
          <w:w w:val="0"/>
        </w:rPr>
        <w:lastRenderedPageBreak/>
        <w:t>6.7</w:t>
      </w:r>
      <w:r>
        <w:rPr>
          <w:rFonts w:ascii="Calibri" w:hAnsi="Calibri"/>
          <w:smallCaps w:val="0"/>
          <w:kern w:val="2"/>
          <w:sz w:val="21"/>
          <w:szCs w:val="22"/>
        </w:rPr>
        <w:tab/>
      </w:r>
      <w:r>
        <w:rPr>
          <w:rFonts w:hint="eastAsia"/>
        </w:rPr>
        <w:t>厂址选择可行性</w:t>
      </w:r>
      <w:r>
        <w:tab/>
      </w:r>
      <w:r w:rsidR="00340837">
        <w:fldChar w:fldCharType="begin"/>
      </w:r>
      <w:r>
        <w:instrText xml:space="preserve"> PAGEREF _Toc25400930 \h </w:instrText>
      </w:r>
      <w:r w:rsidR="00340837">
        <w:fldChar w:fldCharType="separate"/>
      </w:r>
      <w:r w:rsidR="00C527D3">
        <w:rPr>
          <w:noProof/>
        </w:rPr>
        <w:t>278</w:t>
      </w:r>
      <w:r w:rsidR="00340837">
        <w:fldChar w:fldCharType="end"/>
      </w:r>
    </w:p>
    <w:p w:rsidR="00EE56C0" w:rsidRDefault="000F36A1">
      <w:pPr>
        <w:pStyle w:val="20"/>
        <w:rPr>
          <w:rFonts w:ascii="Calibri" w:hAnsi="Calibri"/>
          <w:smallCaps w:val="0"/>
          <w:kern w:val="2"/>
          <w:sz w:val="21"/>
          <w:szCs w:val="22"/>
        </w:rPr>
      </w:pPr>
      <w:r>
        <w:rPr>
          <w:snapToGrid w:val="0"/>
          <w:w w:val="0"/>
        </w:rPr>
        <w:t>6.8</w:t>
      </w:r>
      <w:r>
        <w:rPr>
          <w:rFonts w:ascii="Calibri" w:hAnsi="Calibri"/>
          <w:smallCaps w:val="0"/>
          <w:kern w:val="2"/>
          <w:sz w:val="21"/>
          <w:szCs w:val="22"/>
        </w:rPr>
        <w:tab/>
      </w:r>
      <w:r>
        <w:rPr>
          <w:rFonts w:hint="eastAsia"/>
        </w:rPr>
        <w:t>总量控制分析</w:t>
      </w:r>
      <w:r>
        <w:tab/>
      </w:r>
      <w:r w:rsidR="00340837">
        <w:fldChar w:fldCharType="begin"/>
      </w:r>
      <w:r>
        <w:instrText xml:space="preserve"> PAGEREF _Toc25400931 \h </w:instrText>
      </w:r>
      <w:r w:rsidR="00340837">
        <w:fldChar w:fldCharType="separate"/>
      </w:r>
      <w:r w:rsidR="00C527D3">
        <w:rPr>
          <w:noProof/>
        </w:rPr>
        <w:t>280</w:t>
      </w:r>
      <w:r w:rsidR="00340837">
        <w:fldChar w:fldCharType="end"/>
      </w:r>
    </w:p>
    <w:p w:rsidR="00EE56C0" w:rsidRDefault="000F36A1">
      <w:pPr>
        <w:pStyle w:val="20"/>
        <w:rPr>
          <w:rFonts w:ascii="Calibri" w:hAnsi="Calibri"/>
          <w:smallCaps w:val="0"/>
          <w:kern w:val="2"/>
          <w:sz w:val="21"/>
          <w:szCs w:val="22"/>
        </w:rPr>
      </w:pPr>
      <w:r>
        <w:rPr>
          <w:snapToGrid w:val="0"/>
          <w:w w:val="0"/>
        </w:rPr>
        <w:t>6.9</w:t>
      </w:r>
      <w:r>
        <w:rPr>
          <w:rFonts w:ascii="Calibri" w:hAnsi="Calibri"/>
          <w:smallCaps w:val="0"/>
          <w:kern w:val="2"/>
          <w:sz w:val="21"/>
          <w:szCs w:val="22"/>
        </w:rPr>
        <w:tab/>
      </w:r>
      <w:r>
        <w:rPr>
          <w:rFonts w:hint="eastAsia"/>
        </w:rPr>
        <w:t>污染物排放情况汇总</w:t>
      </w:r>
      <w:r>
        <w:tab/>
      </w:r>
      <w:r w:rsidR="00340837">
        <w:fldChar w:fldCharType="begin"/>
      </w:r>
      <w:r>
        <w:instrText xml:space="preserve"> PAGEREF _Toc25400932 \h </w:instrText>
      </w:r>
      <w:r w:rsidR="00340837">
        <w:fldChar w:fldCharType="separate"/>
      </w:r>
      <w:r w:rsidR="00C527D3">
        <w:rPr>
          <w:noProof/>
        </w:rPr>
        <w:t>282</w:t>
      </w:r>
      <w:r w:rsidR="00340837">
        <w:fldChar w:fldCharType="end"/>
      </w:r>
    </w:p>
    <w:p w:rsidR="00EE56C0" w:rsidRDefault="000F36A1">
      <w:pPr>
        <w:pStyle w:val="10"/>
        <w:rPr>
          <w:rFonts w:ascii="Calibri" w:hAnsi="Calibri"/>
          <w:b w:val="0"/>
          <w:bCs w:val="0"/>
          <w:caps w:val="0"/>
          <w:kern w:val="2"/>
          <w:sz w:val="21"/>
          <w:szCs w:val="22"/>
        </w:rPr>
      </w:pPr>
      <w:r>
        <w:rPr>
          <w:rFonts w:hint="eastAsia"/>
          <w:snapToGrid w:val="0"/>
          <w:w w:val="0"/>
        </w:rPr>
        <w:t>第</w:t>
      </w:r>
      <w:r>
        <w:rPr>
          <w:rFonts w:hint="eastAsia"/>
          <w:snapToGrid w:val="0"/>
          <w:w w:val="0"/>
        </w:rPr>
        <w:t xml:space="preserve"> 7 </w:t>
      </w:r>
      <w:r>
        <w:rPr>
          <w:rFonts w:hint="eastAsia"/>
          <w:snapToGrid w:val="0"/>
          <w:w w:val="0"/>
        </w:rPr>
        <w:t>章</w:t>
      </w:r>
      <w:r>
        <w:rPr>
          <w:rFonts w:ascii="Calibri" w:hAnsi="Calibri"/>
          <w:b w:val="0"/>
          <w:bCs w:val="0"/>
          <w:caps w:val="0"/>
          <w:kern w:val="2"/>
          <w:sz w:val="21"/>
          <w:szCs w:val="22"/>
        </w:rPr>
        <w:tab/>
      </w:r>
      <w:r>
        <w:rPr>
          <w:rFonts w:hint="eastAsia"/>
        </w:rPr>
        <w:t>环境影响经济损益分析</w:t>
      </w:r>
      <w:r>
        <w:tab/>
      </w:r>
      <w:r>
        <w:rPr>
          <w:rFonts w:hint="eastAsia"/>
        </w:rPr>
        <w:t>284</w:t>
      </w:r>
    </w:p>
    <w:p w:rsidR="00EE56C0" w:rsidRDefault="000F36A1">
      <w:pPr>
        <w:pStyle w:val="20"/>
        <w:rPr>
          <w:rFonts w:ascii="Calibri" w:hAnsi="Calibri"/>
          <w:smallCaps w:val="0"/>
          <w:kern w:val="2"/>
          <w:sz w:val="21"/>
          <w:szCs w:val="22"/>
        </w:rPr>
      </w:pPr>
      <w:r>
        <w:rPr>
          <w:snapToGrid w:val="0"/>
          <w:w w:val="0"/>
        </w:rPr>
        <w:t>7.1</w:t>
      </w:r>
      <w:r>
        <w:rPr>
          <w:rFonts w:ascii="Calibri" w:hAnsi="Calibri"/>
          <w:smallCaps w:val="0"/>
          <w:kern w:val="2"/>
          <w:sz w:val="21"/>
          <w:szCs w:val="22"/>
        </w:rPr>
        <w:tab/>
      </w:r>
      <w:r>
        <w:rPr>
          <w:rFonts w:hint="eastAsia"/>
        </w:rPr>
        <w:t>社会效益分析</w:t>
      </w:r>
      <w:r>
        <w:tab/>
      </w:r>
      <w:r>
        <w:rPr>
          <w:rFonts w:hint="eastAsia"/>
        </w:rPr>
        <w:t>284</w:t>
      </w:r>
    </w:p>
    <w:p w:rsidR="00EE56C0" w:rsidRDefault="000F36A1">
      <w:pPr>
        <w:pStyle w:val="20"/>
        <w:rPr>
          <w:rFonts w:ascii="Calibri" w:hAnsi="Calibri"/>
          <w:smallCaps w:val="0"/>
          <w:kern w:val="2"/>
          <w:sz w:val="21"/>
          <w:szCs w:val="22"/>
        </w:rPr>
      </w:pPr>
      <w:r>
        <w:rPr>
          <w:snapToGrid w:val="0"/>
          <w:w w:val="0"/>
        </w:rPr>
        <w:t>7.2</w:t>
      </w:r>
      <w:r>
        <w:rPr>
          <w:rFonts w:ascii="Calibri" w:hAnsi="Calibri"/>
          <w:smallCaps w:val="0"/>
          <w:kern w:val="2"/>
          <w:sz w:val="21"/>
          <w:szCs w:val="22"/>
        </w:rPr>
        <w:tab/>
      </w:r>
      <w:r>
        <w:rPr>
          <w:rFonts w:hint="eastAsia"/>
        </w:rPr>
        <w:t>经济效益分析</w:t>
      </w:r>
      <w:r>
        <w:tab/>
      </w:r>
      <w:r>
        <w:rPr>
          <w:rFonts w:hint="eastAsia"/>
        </w:rPr>
        <w:t>284</w:t>
      </w:r>
    </w:p>
    <w:p w:rsidR="00EE56C0" w:rsidRDefault="000F36A1">
      <w:pPr>
        <w:pStyle w:val="20"/>
        <w:rPr>
          <w:rFonts w:ascii="Calibri" w:hAnsi="Calibri"/>
          <w:smallCaps w:val="0"/>
          <w:kern w:val="2"/>
          <w:sz w:val="21"/>
          <w:szCs w:val="22"/>
        </w:rPr>
      </w:pPr>
      <w:r>
        <w:rPr>
          <w:snapToGrid w:val="0"/>
          <w:w w:val="0"/>
        </w:rPr>
        <w:t>7.3</w:t>
      </w:r>
      <w:r>
        <w:rPr>
          <w:rFonts w:ascii="Calibri" w:hAnsi="Calibri"/>
          <w:smallCaps w:val="0"/>
          <w:kern w:val="2"/>
          <w:sz w:val="21"/>
          <w:szCs w:val="22"/>
        </w:rPr>
        <w:tab/>
      </w:r>
      <w:r>
        <w:rPr>
          <w:rFonts w:hint="eastAsia"/>
        </w:rPr>
        <w:t>环境损益分析</w:t>
      </w:r>
      <w:r>
        <w:tab/>
      </w:r>
      <w:r>
        <w:rPr>
          <w:rFonts w:hint="eastAsia"/>
        </w:rPr>
        <w:t>285</w:t>
      </w:r>
    </w:p>
    <w:p w:rsidR="00EE56C0" w:rsidRDefault="000F36A1">
      <w:pPr>
        <w:pStyle w:val="10"/>
        <w:rPr>
          <w:rFonts w:ascii="Calibri" w:hAnsi="Calibri"/>
          <w:b w:val="0"/>
          <w:bCs w:val="0"/>
          <w:caps w:val="0"/>
          <w:kern w:val="2"/>
          <w:sz w:val="21"/>
          <w:szCs w:val="22"/>
        </w:rPr>
      </w:pPr>
      <w:r>
        <w:rPr>
          <w:rFonts w:hint="eastAsia"/>
          <w:snapToGrid w:val="0"/>
          <w:w w:val="0"/>
        </w:rPr>
        <w:t>第</w:t>
      </w:r>
      <w:r>
        <w:rPr>
          <w:rFonts w:hint="eastAsia"/>
          <w:snapToGrid w:val="0"/>
          <w:w w:val="0"/>
        </w:rPr>
        <w:t xml:space="preserve"> 8 </w:t>
      </w:r>
      <w:r>
        <w:rPr>
          <w:rFonts w:hint="eastAsia"/>
          <w:snapToGrid w:val="0"/>
          <w:w w:val="0"/>
        </w:rPr>
        <w:t>章</w:t>
      </w:r>
      <w:r>
        <w:rPr>
          <w:rFonts w:ascii="Calibri" w:hAnsi="Calibri"/>
          <w:b w:val="0"/>
          <w:bCs w:val="0"/>
          <w:caps w:val="0"/>
          <w:kern w:val="2"/>
          <w:sz w:val="21"/>
          <w:szCs w:val="22"/>
        </w:rPr>
        <w:tab/>
      </w:r>
      <w:r>
        <w:rPr>
          <w:rFonts w:hint="eastAsia"/>
        </w:rPr>
        <w:t>环境管理与监测计划</w:t>
      </w:r>
      <w:r>
        <w:tab/>
      </w:r>
      <w:r>
        <w:rPr>
          <w:rFonts w:hint="eastAsia"/>
        </w:rPr>
        <w:t>291</w:t>
      </w:r>
    </w:p>
    <w:p w:rsidR="00EE56C0" w:rsidRDefault="000F36A1">
      <w:pPr>
        <w:pStyle w:val="20"/>
        <w:rPr>
          <w:rFonts w:ascii="Calibri" w:hAnsi="Calibri"/>
          <w:smallCaps w:val="0"/>
          <w:kern w:val="2"/>
          <w:sz w:val="21"/>
          <w:szCs w:val="22"/>
        </w:rPr>
      </w:pPr>
      <w:r>
        <w:rPr>
          <w:snapToGrid w:val="0"/>
          <w:w w:val="0"/>
        </w:rPr>
        <w:t>8.1</w:t>
      </w:r>
      <w:r>
        <w:rPr>
          <w:rFonts w:ascii="Calibri" w:hAnsi="Calibri"/>
          <w:smallCaps w:val="0"/>
          <w:kern w:val="2"/>
          <w:sz w:val="21"/>
          <w:szCs w:val="22"/>
        </w:rPr>
        <w:tab/>
      </w:r>
      <w:r>
        <w:rPr>
          <w:rFonts w:hint="eastAsia"/>
        </w:rPr>
        <w:t>环境管理</w:t>
      </w:r>
      <w:r>
        <w:tab/>
      </w:r>
      <w:r>
        <w:rPr>
          <w:rFonts w:hint="eastAsia"/>
        </w:rPr>
        <w:t>291</w:t>
      </w:r>
    </w:p>
    <w:p w:rsidR="00EE56C0" w:rsidRDefault="000F36A1">
      <w:pPr>
        <w:pStyle w:val="20"/>
        <w:rPr>
          <w:rFonts w:ascii="Calibri" w:hAnsi="Calibri"/>
          <w:smallCaps w:val="0"/>
          <w:kern w:val="2"/>
          <w:sz w:val="21"/>
          <w:szCs w:val="22"/>
        </w:rPr>
      </w:pPr>
      <w:r>
        <w:rPr>
          <w:snapToGrid w:val="0"/>
          <w:w w:val="0"/>
        </w:rPr>
        <w:t>8.2</w:t>
      </w:r>
      <w:r>
        <w:rPr>
          <w:rFonts w:ascii="Calibri" w:hAnsi="Calibri"/>
          <w:smallCaps w:val="0"/>
          <w:kern w:val="2"/>
          <w:sz w:val="21"/>
          <w:szCs w:val="22"/>
        </w:rPr>
        <w:tab/>
      </w:r>
      <w:r>
        <w:rPr>
          <w:rFonts w:hint="eastAsia"/>
        </w:rPr>
        <w:t>环境监测计划</w:t>
      </w:r>
      <w:r>
        <w:tab/>
      </w:r>
      <w:r>
        <w:rPr>
          <w:rFonts w:hint="eastAsia"/>
        </w:rPr>
        <w:t>293</w:t>
      </w:r>
    </w:p>
    <w:p w:rsidR="00EE56C0" w:rsidRDefault="000F36A1">
      <w:pPr>
        <w:pStyle w:val="20"/>
        <w:rPr>
          <w:rFonts w:ascii="Calibri" w:hAnsi="Calibri"/>
          <w:smallCaps w:val="0"/>
          <w:kern w:val="2"/>
          <w:sz w:val="21"/>
          <w:szCs w:val="22"/>
        </w:rPr>
      </w:pPr>
      <w:r>
        <w:rPr>
          <w:snapToGrid w:val="0"/>
          <w:w w:val="0"/>
        </w:rPr>
        <w:t>8.3</w:t>
      </w:r>
      <w:r>
        <w:rPr>
          <w:rFonts w:ascii="Calibri" w:hAnsi="Calibri"/>
          <w:smallCaps w:val="0"/>
          <w:kern w:val="2"/>
          <w:sz w:val="21"/>
          <w:szCs w:val="22"/>
        </w:rPr>
        <w:tab/>
      </w:r>
      <w:r>
        <w:rPr>
          <w:rFonts w:hint="eastAsia"/>
        </w:rPr>
        <w:t>工程概况及信息公开内容</w:t>
      </w:r>
      <w:r>
        <w:tab/>
      </w:r>
      <w:r>
        <w:rPr>
          <w:rFonts w:hint="eastAsia"/>
        </w:rPr>
        <w:t>295</w:t>
      </w:r>
    </w:p>
    <w:p w:rsidR="00EE56C0" w:rsidRDefault="000F36A1">
      <w:pPr>
        <w:pStyle w:val="20"/>
        <w:rPr>
          <w:rFonts w:ascii="Calibri" w:hAnsi="Calibri"/>
          <w:smallCaps w:val="0"/>
          <w:kern w:val="2"/>
          <w:sz w:val="21"/>
          <w:szCs w:val="22"/>
        </w:rPr>
      </w:pPr>
      <w:r>
        <w:rPr>
          <w:snapToGrid w:val="0"/>
          <w:w w:val="0"/>
        </w:rPr>
        <w:t>8.4</w:t>
      </w:r>
      <w:r>
        <w:rPr>
          <w:rFonts w:ascii="Calibri" w:hAnsi="Calibri"/>
          <w:smallCaps w:val="0"/>
          <w:kern w:val="2"/>
          <w:sz w:val="21"/>
          <w:szCs w:val="22"/>
        </w:rPr>
        <w:tab/>
      </w:r>
      <w:r>
        <w:rPr>
          <w:rFonts w:hint="eastAsia"/>
        </w:rPr>
        <w:t>工程污染物总量控制分析</w:t>
      </w:r>
      <w:r>
        <w:tab/>
      </w:r>
      <w:r>
        <w:rPr>
          <w:rFonts w:hint="eastAsia"/>
        </w:rPr>
        <w:t>298</w:t>
      </w:r>
    </w:p>
    <w:p w:rsidR="00EE56C0" w:rsidRDefault="000F36A1">
      <w:pPr>
        <w:pStyle w:val="20"/>
        <w:rPr>
          <w:rFonts w:ascii="Calibri" w:hAnsi="Calibri"/>
          <w:smallCaps w:val="0"/>
          <w:kern w:val="2"/>
          <w:sz w:val="21"/>
          <w:szCs w:val="22"/>
        </w:rPr>
      </w:pPr>
      <w:r>
        <w:rPr>
          <w:snapToGrid w:val="0"/>
          <w:w w:val="0"/>
        </w:rPr>
        <w:t>8.5</w:t>
      </w:r>
      <w:r>
        <w:rPr>
          <w:rFonts w:ascii="Calibri" w:hAnsi="Calibri"/>
          <w:smallCaps w:val="0"/>
          <w:kern w:val="2"/>
          <w:sz w:val="21"/>
          <w:szCs w:val="22"/>
        </w:rPr>
        <w:tab/>
      </w:r>
      <w:r>
        <w:rPr>
          <w:rFonts w:hint="eastAsia"/>
        </w:rPr>
        <w:t>排污口标志管理</w:t>
      </w:r>
      <w:r>
        <w:tab/>
      </w:r>
      <w:r w:rsidR="00340837">
        <w:fldChar w:fldCharType="begin"/>
      </w:r>
      <w:r>
        <w:instrText xml:space="preserve"> PAGEREF _Toc25400942 \h </w:instrText>
      </w:r>
      <w:r w:rsidR="00340837">
        <w:fldChar w:fldCharType="separate"/>
      </w:r>
      <w:r w:rsidR="00C527D3">
        <w:rPr>
          <w:noProof/>
        </w:rPr>
        <w:t>306</w:t>
      </w:r>
      <w:r w:rsidR="00340837">
        <w:fldChar w:fldCharType="end"/>
      </w:r>
    </w:p>
    <w:p w:rsidR="00EE56C0" w:rsidRDefault="000F36A1">
      <w:pPr>
        <w:pStyle w:val="10"/>
        <w:rPr>
          <w:rFonts w:ascii="Calibri" w:hAnsi="Calibri"/>
          <w:b w:val="0"/>
          <w:bCs w:val="0"/>
          <w:caps w:val="0"/>
          <w:kern w:val="2"/>
          <w:sz w:val="21"/>
          <w:szCs w:val="22"/>
        </w:rPr>
      </w:pPr>
      <w:r>
        <w:rPr>
          <w:rFonts w:hint="eastAsia"/>
          <w:snapToGrid w:val="0"/>
          <w:w w:val="0"/>
        </w:rPr>
        <w:t>第</w:t>
      </w:r>
      <w:r>
        <w:rPr>
          <w:rFonts w:hint="eastAsia"/>
          <w:snapToGrid w:val="0"/>
          <w:w w:val="0"/>
        </w:rPr>
        <w:t xml:space="preserve"> 9 </w:t>
      </w:r>
      <w:r>
        <w:rPr>
          <w:rFonts w:hint="eastAsia"/>
          <w:snapToGrid w:val="0"/>
          <w:w w:val="0"/>
        </w:rPr>
        <w:t>章</w:t>
      </w:r>
      <w:r>
        <w:rPr>
          <w:rFonts w:ascii="Calibri" w:hAnsi="Calibri"/>
          <w:b w:val="0"/>
          <w:bCs w:val="0"/>
          <w:caps w:val="0"/>
          <w:kern w:val="2"/>
          <w:sz w:val="21"/>
          <w:szCs w:val="22"/>
        </w:rPr>
        <w:tab/>
      </w:r>
      <w:r>
        <w:rPr>
          <w:rFonts w:hint="eastAsia"/>
        </w:rPr>
        <w:t>环境影响评价结论</w:t>
      </w:r>
      <w:r>
        <w:tab/>
      </w:r>
      <w:r w:rsidR="00340837">
        <w:fldChar w:fldCharType="begin"/>
      </w:r>
      <w:r>
        <w:instrText xml:space="preserve"> PAGEREF _Toc25400943 \h </w:instrText>
      </w:r>
      <w:r w:rsidR="00340837">
        <w:fldChar w:fldCharType="separate"/>
      </w:r>
      <w:r w:rsidR="00C527D3">
        <w:rPr>
          <w:noProof/>
        </w:rPr>
        <w:t>308</w:t>
      </w:r>
      <w:r w:rsidR="00340837">
        <w:fldChar w:fldCharType="end"/>
      </w:r>
    </w:p>
    <w:p w:rsidR="00EE56C0" w:rsidRDefault="000F36A1">
      <w:pPr>
        <w:pStyle w:val="20"/>
        <w:rPr>
          <w:rFonts w:ascii="Calibri" w:hAnsi="Calibri"/>
          <w:smallCaps w:val="0"/>
          <w:kern w:val="2"/>
          <w:sz w:val="21"/>
          <w:szCs w:val="22"/>
        </w:rPr>
      </w:pPr>
      <w:r>
        <w:rPr>
          <w:snapToGrid w:val="0"/>
          <w:w w:val="0"/>
        </w:rPr>
        <w:t>9.1</w:t>
      </w:r>
      <w:r>
        <w:rPr>
          <w:rFonts w:ascii="Calibri" w:hAnsi="Calibri"/>
          <w:smallCaps w:val="0"/>
          <w:kern w:val="2"/>
          <w:sz w:val="21"/>
          <w:szCs w:val="22"/>
        </w:rPr>
        <w:tab/>
      </w:r>
      <w:r>
        <w:rPr>
          <w:rFonts w:hint="eastAsia"/>
        </w:rPr>
        <w:t>评价结论</w:t>
      </w:r>
      <w:r>
        <w:tab/>
      </w:r>
      <w:r w:rsidR="00340837">
        <w:fldChar w:fldCharType="begin"/>
      </w:r>
      <w:r>
        <w:instrText xml:space="preserve"> PAGEREF _Toc25400944 \h </w:instrText>
      </w:r>
      <w:r w:rsidR="00340837">
        <w:fldChar w:fldCharType="separate"/>
      </w:r>
      <w:r w:rsidR="00C527D3">
        <w:rPr>
          <w:noProof/>
        </w:rPr>
        <w:t>308</w:t>
      </w:r>
      <w:r w:rsidR="00340837">
        <w:fldChar w:fldCharType="end"/>
      </w:r>
    </w:p>
    <w:p w:rsidR="00EE56C0" w:rsidRDefault="000F36A1">
      <w:pPr>
        <w:pStyle w:val="20"/>
        <w:rPr>
          <w:rFonts w:ascii="Calibri" w:hAnsi="Calibri"/>
          <w:smallCaps w:val="0"/>
          <w:kern w:val="2"/>
          <w:sz w:val="21"/>
          <w:szCs w:val="22"/>
        </w:rPr>
      </w:pPr>
      <w:r>
        <w:rPr>
          <w:snapToGrid w:val="0"/>
          <w:w w:val="0"/>
        </w:rPr>
        <w:t>9.2</w:t>
      </w:r>
      <w:r>
        <w:rPr>
          <w:rFonts w:ascii="Calibri" w:hAnsi="Calibri"/>
          <w:smallCaps w:val="0"/>
          <w:kern w:val="2"/>
          <w:sz w:val="21"/>
          <w:szCs w:val="22"/>
        </w:rPr>
        <w:tab/>
      </w:r>
      <w:r>
        <w:rPr>
          <w:rFonts w:hint="eastAsia"/>
        </w:rPr>
        <w:t>建议</w:t>
      </w:r>
      <w:r>
        <w:tab/>
      </w:r>
      <w:r w:rsidR="00340837">
        <w:fldChar w:fldCharType="begin"/>
      </w:r>
      <w:r>
        <w:instrText xml:space="preserve"> PAGEREF _Toc25400945 \h </w:instrText>
      </w:r>
      <w:r w:rsidR="00340837">
        <w:fldChar w:fldCharType="separate"/>
      </w:r>
      <w:r w:rsidR="00C527D3">
        <w:rPr>
          <w:noProof/>
        </w:rPr>
        <w:t>314</w:t>
      </w:r>
      <w:r w:rsidR="00340837">
        <w:fldChar w:fldCharType="end"/>
      </w:r>
    </w:p>
    <w:p w:rsidR="00EE56C0" w:rsidRDefault="000F36A1">
      <w:pPr>
        <w:pStyle w:val="20"/>
        <w:rPr>
          <w:rFonts w:ascii="Calibri" w:hAnsi="Calibri"/>
          <w:smallCaps w:val="0"/>
          <w:kern w:val="2"/>
          <w:sz w:val="21"/>
          <w:szCs w:val="22"/>
        </w:rPr>
      </w:pPr>
      <w:r>
        <w:rPr>
          <w:snapToGrid w:val="0"/>
          <w:w w:val="0"/>
        </w:rPr>
        <w:t>9.3</w:t>
      </w:r>
      <w:r>
        <w:rPr>
          <w:rFonts w:ascii="Calibri" w:hAnsi="Calibri"/>
          <w:smallCaps w:val="0"/>
          <w:kern w:val="2"/>
          <w:sz w:val="21"/>
          <w:szCs w:val="22"/>
        </w:rPr>
        <w:tab/>
      </w:r>
      <w:r>
        <w:rPr>
          <w:rFonts w:hint="eastAsia"/>
        </w:rPr>
        <w:t>总结论</w:t>
      </w:r>
      <w:r>
        <w:tab/>
      </w:r>
      <w:r w:rsidR="00340837">
        <w:fldChar w:fldCharType="begin"/>
      </w:r>
      <w:r>
        <w:instrText xml:space="preserve"> PAGEREF _Toc25400946 \h </w:instrText>
      </w:r>
      <w:r w:rsidR="00340837">
        <w:fldChar w:fldCharType="separate"/>
      </w:r>
      <w:r w:rsidR="00C527D3">
        <w:rPr>
          <w:noProof/>
        </w:rPr>
        <w:t>315</w:t>
      </w:r>
      <w:r w:rsidR="00340837">
        <w:fldChar w:fldCharType="end"/>
      </w:r>
    </w:p>
    <w:p w:rsidR="00EE56C0" w:rsidRDefault="00340837">
      <w:pPr>
        <w:ind w:firstLine="560"/>
        <w:rPr>
          <w:rFonts w:ascii="Calibri" w:hAnsi="Calibri"/>
          <w:sz w:val="28"/>
          <w:szCs w:val="28"/>
        </w:rPr>
      </w:pPr>
      <w:r>
        <w:rPr>
          <w:rFonts w:ascii="Calibri" w:hAnsi="Calibri"/>
          <w:sz w:val="28"/>
          <w:szCs w:val="28"/>
        </w:rPr>
        <w:fldChar w:fldCharType="end"/>
      </w:r>
    </w:p>
    <w:p w:rsidR="00EE56C0" w:rsidRDefault="00EE56C0">
      <w:pPr>
        <w:ind w:firstLine="560"/>
        <w:rPr>
          <w:rFonts w:ascii="Calibri" w:hAnsi="Calibri"/>
          <w:sz w:val="28"/>
          <w:szCs w:val="28"/>
        </w:rPr>
      </w:pPr>
    </w:p>
    <w:p w:rsidR="00EE56C0" w:rsidRDefault="00EE56C0">
      <w:pPr>
        <w:ind w:firstLine="560"/>
        <w:rPr>
          <w:rFonts w:ascii="Calibri" w:hAnsi="Calibri"/>
          <w:sz w:val="28"/>
          <w:szCs w:val="28"/>
        </w:rPr>
      </w:pPr>
    </w:p>
    <w:p w:rsidR="00EE56C0" w:rsidRDefault="00EE56C0">
      <w:pPr>
        <w:ind w:firstLine="560"/>
        <w:rPr>
          <w:rFonts w:ascii="Calibri" w:hAnsi="Calibri"/>
          <w:sz w:val="28"/>
          <w:szCs w:val="28"/>
        </w:rPr>
      </w:pPr>
    </w:p>
    <w:p w:rsidR="00EE56C0" w:rsidRDefault="00EE56C0">
      <w:pPr>
        <w:ind w:firstLine="560"/>
        <w:rPr>
          <w:rFonts w:ascii="Calibri" w:hAnsi="Calibri"/>
          <w:sz w:val="28"/>
          <w:szCs w:val="28"/>
        </w:rPr>
      </w:pPr>
    </w:p>
    <w:p w:rsidR="00EE56C0" w:rsidRDefault="00EE56C0">
      <w:pPr>
        <w:ind w:firstLine="560"/>
        <w:rPr>
          <w:rFonts w:ascii="Calibri" w:hAnsi="Calibri"/>
          <w:sz w:val="28"/>
          <w:szCs w:val="28"/>
        </w:rPr>
      </w:pPr>
    </w:p>
    <w:p w:rsidR="00EE56C0" w:rsidRDefault="00EE56C0">
      <w:pPr>
        <w:ind w:firstLine="560"/>
        <w:rPr>
          <w:rFonts w:ascii="Calibri" w:hAnsi="Calibri"/>
          <w:sz w:val="28"/>
          <w:szCs w:val="28"/>
        </w:rPr>
      </w:pPr>
    </w:p>
    <w:p w:rsidR="00EE56C0" w:rsidRDefault="00EE56C0">
      <w:pPr>
        <w:ind w:firstLine="560"/>
        <w:rPr>
          <w:rFonts w:ascii="Calibri" w:hAnsi="Calibri"/>
          <w:sz w:val="28"/>
          <w:szCs w:val="28"/>
        </w:rPr>
      </w:pPr>
    </w:p>
    <w:p w:rsidR="00EE56C0" w:rsidRDefault="00EE56C0">
      <w:pPr>
        <w:ind w:firstLine="560"/>
        <w:rPr>
          <w:rFonts w:ascii="Calibri" w:hAnsi="Calibri"/>
          <w:sz w:val="28"/>
          <w:szCs w:val="28"/>
        </w:rPr>
      </w:pPr>
    </w:p>
    <w:p w:rsidR="00EE56C0" w:rsidRDefault="00EE56C0">
      <w:pPr>
        <w:ind w:firstLine="560"/>
        <w:rPr>
          <w:rFonts w:ascii="Calibri" w:hAnsi="Calibri"/>
          <w:sz w:val="28"/>
          <w:szCs w:val="28"/>
        </w:rPr>
      </w:pPr>
    </w:p>
    <w:p w:rsidR="00EE56C0" w:rsidRDefault="00EE56C0">
      <w:pPr>
        <w:ind w:firstLine="560"/>
        <w:rPr>
          <w:rFonts w:ascii="Calibri" w:hAnsi="Calibri"/>
          <w:sz w:val="28"/>
          <w:szCs w:val="28"/>
        </w:rPr>
      </w:pPr>
    </w:p>
    <w:p w:rsidR="00EE56C0" w:rsidRDefault="000F36A1">
      <w:pPr>
        <w:ind w:firstLine="482"/>
        <w:rPr>
          <w:b/>
        </w:rPr>
      </w:pPr>
      <w:r>
        <w:rPr>
          <w:rFonts w:hint="eastAsia"/>
          <w:b/>
        </w:rPr>
        <w:t>附图：</w:t>
      </w:r>
    </w:p>
    <w:p w:rsidR="00EE56C0" w:rsidRDefault="000F36A1">
      <w:pPr>
        <w:ind w:firstLine="480"/>
      </w:pPr>
      <w:r>
        <w:rPr>
          <w:rFonts w:ascii="宋体" w:hAnsi="宋体" w:hint="eastAsia"/>
          <w:szCs w:val="24"/>
        </w:rPr>
        <w:t>附图一、</w:t>
      </w:r>
      <w:r>
        <w:rPr>
          <w:rFonts w:hint="eastAsia"/>
        </w:rPr>
        <w:t>新乡经济技术产业集聚区用地规划图及项目地理位置</w:t>
      </w:r>
    </w:p>
    <w:p w:rsidR="00EE56C0" w:rsidRDefault="000F36A1">
      <w:pPr>
        <w:ind w:firstLine="480"/>
      </w:pPr>
      <w:r>
        <w:rPr>
          <w:rFonts w:ascii="宋体" w:hAnsi="宋体" w:hint="eastAsia"/>
        </w:rPr>
        <w:t>附图二、</w:t>
      </w:r>
      <w:r>
        <w:rPr>
          <w:rFonts w:hint="eastAsia"/>
        </w:rPr>
        <w:t>项目周边环境及保护目标图</w:t>
      </w:r>
    </w:p>
    <w:p w:rsidR="00EE56C0" w:rsidRDefault="000F36A1">
      <w:pPr>
        <w:ind w:firstLine="480"/>
      </w:pPr>
      <w:r>
        <w:rPr>
          <w:rFonts w:hint="eastAsia"/>
        </w:rPr>
        <w:t>附图三、厂区平面布置图</w:t>
      </w:r>
    </w:p>
    <w:p w:rsidR="00EE56C0" w:rsidRDefault="000F36A1">
      <w:pPr>
        <w:ind w:firstLine="480"/>
      </w:pPr>
      <w:r>
        <w:rPr>
          <w:rFonts w:hint="eastAsia"/>
        </w:rPr>
        <w:t>附图四、项目环境现状监测布点图</w:t>
      </w:r>
    </w:p>
    <w:p w:rsidR="00EE56C0" w:rsidRDefault="000F36A1">
      <w:pPr>
        <w:ind w:firstLine="480"/>
      </w:pPr>
      <w:r>
        <w:rPr>
          <w:rFonts w:hint="eastAsia"/>
        </w:rPr>
        <w:t>附图五、厂区分区防渗图</w:t>
      </w:r>
    </w:p>
    <w:p w:rsidR="00EE56C0" w:rsidRDefault="000F36A1">
      <w:pPr>
        <w:ind w:firstLine="480"/>
      </w:pPr>
      <w:r>
        <w:rPr>
          <w:rFonts w:hint="eastAsia"/>
        </w:rPr>
        <w:t>附图六、现有废气治理设施图</w:t>
      </w:r>
    </w:p>
    <w:p w:rsidR="00EE56C0" w:rsidRDefault="00EE56C0">
      <w:pPr>
        <w:ind w:firstLine="480"/>
      </w:pPr>
    </w:p>
    <w:p w:rsidR="00EE56C0" w:rsidRDefault="00EE56C0">
      <w:pPr>
        <w:ind w:firstLine="480"/>
      </w:pPr>
    </w:p>
    <w:p w:rsidR="00EE56C0" w:rsidRDefault="000F36A1">
      <w:pPr>
        <w:ind w:firstLine="482"/>
        <w:rPr>
          <w:b/>
        </w:rPr>
      </w:pPr>
      <w:r>
        <w:rPr>
          <w:rFonts w:hint="eastAsia"/>
          <w:b/>
        </w:rPr>
        <w:t>附件：</w:t>
      </w:r>
    </w:p>
    <w:p w:rsidR="00EE56C0" w:rsidRDefault="000F36A1">
      <w:pPr>
        <w:ind w:firstLine="480"/>
      </w:pPr>
      <w:r>
        <w:rPr>
          <w:rFonts w:hint="eastAsia"/>
        </w:rPr>
        <w:t>附件一、项目开展环评委托书</w:t>
      </w:r>
    </w:p>
    <w:p w:rsidR="00EE56C0" w:rsidRDefault="000F36A1">
      <w:pPr>
        <w:ind w:firstLine="480"/>
      </w:pPr>
      <w:r>
        <w:rPr>
          <w:rFonts w:hint="eastAsia"/>
        </w:rPr>
        <w:t>附件二、项目备案书</w:t>
      </w:r>
    </w:p>
    <w:p w:rsidR="00EE56C0" w:rsidRDefault="000F36A1">
      <w:pPr>
        <w:ind w:firstLine="480"/>
      </w:pPr>
      <w:r>
        <w:rPr>
          <w:rFonts w:hint="eastAsia"/>
        </w:rPr>
        <w:t>附件三、项目环境影响评价执行标准</w:t>
      </w:r>
    </w:p>
    <w:p w:rsidR="00EE56C0" w:rsidRDefault="000F36A1">
      <w:pPr>
        <w:ind w:firstLine="480"/>
      </w:pPr>
      <w:r>
        <w:rPr>
          <w:rFonts w:hint="eastAsia"/>
        </w:rPr>
        <w:t>附件四、现有项目手续</w:t>
      </w:r>
    </w:p>
    <w:p w:rsidR="00EE56C0" w:rsidRDefault="000F36A1">
      <w:pPr>
        <w:ind w:firstLine="480"/>
      </w:pPr>
      <w:r>
        <w:rPr>
          <w:rFonts w:hint="eastAsia"/>
        </w:rPr>
        <w:t>附件五、现状监测报告</w:t>
      </w:r>
    </w:p>
    <w:p w:rsidR="00EE56C0" w:rsidRDefault="000F36A1">
      <w:pPr>
        <w:ind w:firstLine="480"/>
      </w:pPr>
      <w:r>
        <w:rPr>
          <w:rFonts w:hint="eastAsia"/>
        </w:rPr>
        <w:t>附件六、</w:t>
      </w:r>
      <w:r w:rsidR="00525DA7">
        <w:rPr>
          <w:rFonts w:hint="eastAsia"/>
        </w:rPr>
        <w:t>漆料</w:t>
      </w:r>
      <w:r>
        <w:rPr>
          <w:rFonts w:hint="eastAsia"/>
        </w:rPr>
        <w:t>监测报告</w:t>
      </w:r>
    </w:p>
    <w:p w:rsidR="00525DA7" w:rsidRPr="00525DA7" w:rsidRDefault="00525DA7" w:rsidP="00525DA7">
      <w:pPr>
        <w:ind w:firstLine="482"/>
        <w:rPr>
          <w:b/>
          <w:u w:val="single"/>
        </w:rPr>
      </w:pPr>
      <w:r w:rsidRPr="00525DA7">
        <w:rPr>
          <w:rFonts w:hint="eastAsia"/>
          <w:b/>
          <w:u w:val="single"/>
        </w:rPr>
        <w:t>附件七、技术评审意见</w:t>
      </w:r>
    </w:p>
    <w:p w:rsidR="00EE56C0" w:rsidRDefault="00EE56C0">
      <w:pPr>
        <w:ind w:firstLine="480"/>
        <w:sectPr w:rsidR="00EE56C0" w:rsidSect="009C6BD9">
          <w:footerReference w:type="default" r:id="rId21"/>
          <w:pgSz w:w="11907" w:h="16840"/>
          <w:pgMar w:top="1440" w:right="1797" w:bottom="1440" w:left="1797" w:header="907" w:footer="907" w:gutter="0"/>
          <w:pgNumType w:fmt="upperRoman" w:start="1"/>
          <w:cols w:space="720"/>
          <w:docGrid w:linePitch="380"/>
        </w:sectPr>
      </w:pPr>
    </w:p>
    <w:p w:rsidR="00EE56C0" w:rsidRDefault="000F36A1">
      <w:pPr>
        <w:pStyle w:val="1"/>
        <w:numPr>
          <w:ilvl w:val="0"/>
          <w:numId w:val="1"/>
        </w:numPr>
        <w:spacing w:before="360" w:after="480"/>
      </w:pPr>
      <w:bookmarkStart w:id="8" w:name="_Toc25400880"/>
      <w:r>
        <w:rPr>
          <w:rFonts w:hint="eastAsia"/>
        </w:rPr>
        <w:lastRenderedPageBreak/>
        <w:t>概述</w:t>
      </w:r>
      <w:bookmarkEnd w:id="8"/>
    </w:p>
    <w:p w:rsidR="00EE56C0" w:rsidRDefault="000F36A1">
      <w:pPr>
        <w:pStyle w:val="2"/>
        <w:ind w:left="301" w:firstLineChars="0" w:firstLine="0"/>
      </w:pPr>
      <w:bookmarkStart w:id="9" w:name="_Toc174155849"/>
      <w:bookmarkStart w:id="10" w:name="_Toc429318377"/>
      <w:bookmarkStart w:id="11" w:name="_Toc25400881"/>
      <w:bookmarkStart w:id="12" w:name="_Toc428286754"/>
      <w:bookmarkStart w:id="13" w:name="_Toc428287148"/>
      <w:r>
        <w:rPr>
          <w:rFonts w:hint="eastAsia"/>
        </w:rPr>
        <w:t>1.1</w:t>
      </w:r>
      <w:r>
        <w:rPr>
          <w:rFonts w:hint="eastAsia"/>
        </w:rPr>
        <w:t>项目由来</w:t>
      </w:r>
      <w:bookmarkEnd w:id="9"/>
      <w:bookmarkEnd w:id="10"/>
      <w:bookmarkEnd w:id="11"/>
      <w:bookmarkEnd w:id="12"/>
      <w:bookmarkEnd w:id="13"/>
    </w:p>
    <w:p w:rsidR="00EE56C0" w:rsidRDefault="000F36A1">
      <w:pPr>
        <w:ind w:firstLine="480"/>
      </w:pPr>
      <w:r>
        <w:rPr>
          <w:rFonts w:hint="eastAsia"/>
        </w:rPr>
        <w:t>河南华洋铜业集团有限公司</w:t>
      </w:r>
      <w:r>
        <w:t>创建于</w:t>
      </w:r>
      <w:r>
        <w:t>1994</w:t>
      </w:r>
      <w:r>
        <w:t>年，是集科研、生产于一体的现代化漆包线生产企业。公司总部位于新乡经济技术产</w:t>
      </w:r>
      <w:r>
        <w:rPr>
          <w:rFonts w:hint="eastAsia"/>
        </w:rPr>
        <w:t>业</w:t>
      </w:r>
      <w:r>
        <w:t>集聚区远大路西段。</w:t>
      </w:r>
    </w:p>
    <w:p w:rsidR="00EE56C0" w:rsidRDefault="000F36A1">
      <w:pPr>
        <w:ind w:firstLine="480"/>
      </w:pPr>
      <w:r>
        <w:rPr>
          <w:rFonts w:hint="eastAsia"/>
        </w:rPr>
        <w:t>由于产业结构调整及规范管理需要，</w:t>
      </w:r>
      <w:r>
        <w:t>2018</w:t>
      </w:r>
      <w:r>
        <w:rPr>
          <w:rFonts w:hint="eastAsia"/>
        </w:rPr>
        <w:t>年</w:t>
      </w:r>
      <w:r>
        <w:t>2</w:t>
      </w:r>
      <w:r>
        <w:rPr>
          <w:rFonts w:hint="eastAsia"/>
        </w:rPr>
        <w:t>月由河南华洋铜业集团有限公司出资成立全资子公司：新乡市华洋电工材料有限公司。该公司主要经营范围为铜杆、塑料制品制造、销售，将“年产</w:t>
      </w:r>
      <w:r>
        <w:rPr>
          <w:rFonts w:hint="eastAsia"/>
        </w:rPr>
        <w:t>5</w:t>
      </w:r>
      <w:r>
        <w:rPr>
          <w:rFonts w:hint="eastAsia"/>
        </w:rPr>
        <w:t>万吨风力发电、轨道交通特种线项目”、“</w:t>
      </w:r>
      <w:r>
        <w:rPr>
          <w:rFonts w:hint="eastAsia"/>
          <w:lang w:val="pt-BR"/>
        </w:rPr>
        <w:t>年产</w:t>
      </w:r>
      <w:r>
        <w:rPr>
          <w:lang w:val="pt-BR"/>
        </w:rPr>
        <w:t>2</w:t>
      </w:r>
      <w:r>
        <w:rPr>
          <w:rFonts w:hint="eastAsia"/>
          <w:lang w:val="pt-BR"/>
        </w:rPr>
        <w:t>万吨无氧铜杆项目</w:t>
      </w:r>
      <w:r>
        <w:rPr>
          <w:rFonts w:hint="eastAsia"/>
        </w:rPr>
        <w:t>”、“</w:t>
      </w:r>
      <w:r>
        <w:rPr>
          <w:rFonts w:hint="eastAsia"/>
          <w:lang w:val="pt-BR"/>
        </w:rPr>
        <w:t>年产</w:t>
      </w:r>
      <w:r>
        <w:rPr>
          <w:rFonts w:hint="eastAsia"/>
          <w:lang w:val="pt-BR"/>
        </w:rPr>
        <w:t>200</w:t>
      </w:r>
      <w:r>
        <w:rPr>
          <w:rFonts w:hint="eastAsia"/>
          <w:lang w:val="pt-BR"/>
        </w:rPr>
        <w:t>万只包装线盘项目</w:t>
      </w:r>
      <w:r>
        <w:rPr>
          <w:rFonts w:hint="eastAsia"/>
        </w:rPr>
        <w:t>”的厂房、设备和相关资质等划归、变更到华洋电工材料实行单独核算，并已在工商部门备案，公司情况说明见附件。</w:t>
      </w:r>
    </w:p>
    <w:p w:rsidR="00EE56C0" w:rsidRDefault="000F36A1">
      <w:pPr>
        <w:ind w:firstLine="480"/>
      </w:pPr>
      <w:r>
        <w:rPr>
          <w:rFonts w:hint="eastAsia"/>
        </w:rPr>
        <w:t>河南华洋铜业集团有限公司于</w:t>
      </w:r>
      <w:r>
        <w:t>2019</w:t>
      </w:r>
      <w:r>
        <w:rPr>
          <w:rFonts w:hint="eastAsia"/>
        </w:rPr>
        <w:t>年</w:t>
      </w:r>
      <w:r>
        <w:rPr>
          <w:rFonts w:hint="eastAsia"/>
        </w:rPr>
        <w:t>8</w:t>
      </w:r>
      <w:r>
        <w:rPr>
          <w:rFonts w:hint="eastAsia"/>
        </w:rPr>
        <w:t>月</w:t>
      </w:r>
      <w:r>
        <w:t>1</w:t>
      </w:r>
      <w:r>
        <w:rPr>
          <w:rFonts w:hint="eastAsia"/>
        </w:rPr>
        <w:t>6</w:t>
      </w:r>
      <w:r>
        <w:rPr>
          <w:rFonts w:hint="eastAsia"/>
        </w:rPr>
        <w:t>日更名为</w:t>
      </w:r>
      <w:r>
        <w:t>“</w:t>
      </w:r>
      <w:r>
        <w:rPr>
          <w:rFonts w:hint="eastAsia"/>
        </w:rPr>
        <w:t>河南华洋电工科技集团有限公司</w:t>
      </w:r>
      <w:r>
        <w:t>”</w:t>
      </w:r>
      <w:r>
        <w:rPr>
          <w:rFonts w:hint="eastAsia"/>
        </w:rPr>
        <w:t>，该公司主要经营范围为电磁线制造、加工等，该公司名下项目包括：“年产</w:t>
      </w:r>
      <w:r>
        <w:t>4</w:t>
      </w:r>
      <w:r>
        <w:rPr>
          <w:rFonts w:hint="eastAsia"/>
        </w:rPr>
        <w:t>万吨高效节能电机、节能变压器专用线项目”、“年产</w:t>
      </w:r>
      <w:r>
        <w:rPr>
          <w:rFonts w:hint="eastAsia"/>
        </w:rPr>
        <w:t>2</w:t>
      </w:r>
      <w:r>
        <w:rPr>
          <w:rFonts w:hint="eastAsia"/>
        </w:rPr>
        <w:t>万吨新能源汽车电器专用线项目”，合计绝缘线</w:t>
      </w:r>
      <w:r>
        <w:rPr>
          <w:rFonts w:hint="eastAsia"/>
        </w:rPr>
        <w:t>6</w:t>
      </w:r>
      <w:r>
        <w:rPr>
          <w:rFonts w:hint="eastAsia"/>
        </w:rPr>
        <w:t>万吨</w:t>
      </w:r>
      <w:r>
        <w:rPr>
          <w:rFonts w:hint="eastAsia"/>
        </w:rPr>
        <w:t>/</w:t>
      </w:r>
      <w:r>
        <w:rPr>
          <w:rFonts w:hint="eastAsia"/>
        </w:rPr>
        <w:t>年，并于</w:t>
      </w:r>
      <w:r>
        <w:t>2019</w:t>
      </w:r>
      <w:r>
        <w:rPr>
          <w:rFonts w:hint="eastAsia"/>
        </w:rPr>
        <w:t>年</w:t>
      </w:r>
      <w:r>
        <w:t>11</w:t>
      </w:r>
      <w:r>
        <w:rPr>
          <w:rFonts w:hint="eastAsia"/>
        </w:rPr>
        <w:t>月</w:t>
      </w:r>
      <w:r>
        <w:t>15</w:t>
      </w:r>
      <w:r>
        <w:rPr>
          <w:rFonts w:hint="eastAsia"/>
        </w:rPr>
        <w:t>日正式办理营业执照。企业名称变更通知书及营业执照见附件。</w:t>
      </w:r>
    </w:p>
    <w:p w:rsidR="00EE56C0" w:rsidRDefault="000F36A1">
      <w:pPr>
        <w:ind w:firstLine="480"/>
      </w:pPr>
      <w:r>
        <w:rPr>
          <w:rFonts w:hint="eastAsia"/>
        </w:rPr>
        <w:t>该公司现有项目环保手续见下表。</w:t>
      </w:r>
    </w:p>
    <w:p w:rsidR="00EE56C0" w:rsidRDefault="000F36A1">
      <w:pPr>
        <w:spacing w:line="440" w:lineRule="exact"/>
        <w:ind w:firstLine="480"/>
        <w:jc w:val="left"/>
        <w:rPr>
          <w:rFonts w:eastAsia="黑体"/>
        </w:rPr>
      </w:pPr>
      <w:r>
        <w:rPr>
          <w:rFonts w:eastAsia="黑体" w:hAnsi="黑体" w:hint="eastAsia"/>
        </w:rPr>
        <w:t>表</w:t>
      </w:r>
      <w:r>
        <w:rPr>
          <w:rFonts w:eastAsia="黑体" w:hAnsi="黑体" w:hint="eastAsia"/>
        </w:rPr>
        <w:t>1-</w:t>
      </w:r>
      <w:r>
        <w:rPr>
          <w:rFonts w:eastAsia="黑体"/>
        </w:rPr>
        <w:t xml:space="preserve">1                   </w:t>
      </w:r>
      <w:r>
        <w:rPr>
          <w:rFonts w:eastAsia="黑体" w:hAnsi="黑体" w:hint="eastAsia"/>
        </w:rPr>
        <w:t>公司现有项目环保手续一览表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0"/>
        <w:gridCol w:w="2898"/>
        <w:gridCol w:w="1661"/>
        <w:gridCol w:w="1165"/>
        <w:gridCol w:w="1264"/>
        <w:gridCol w:w="1080"/>
      </w:tblGrid>
      <w:tr w:rsidR="00EE56C0">
        <w:trPr>
          <w:trHeight w:val="340"/>
          <w:jc w:val="center"/>
        </w:trPr>
        <w:tc>
          <w:tcPr>
            <w:tcW w:w="270" w:type="pct"/>
            <w:vAlign w:val="center"/>
          </w:tcPr>
          <w:p w:rsidR="00EE56C0" w:rsidRDefault="000F36A1">
            <w:pPr>
              <w:pStyle w:val="aff1"/>
              <w:rPr>
                <w:color w:val="auto"/>
                <w:lang w:val="pt-BR"/>
              </w:rPr>
            </w:pPr>
            <w:r>
              <w:rPr>
                <w:rFonts w:hint="eastAsia"/>
                <w:color w:val="auto"/>
                <w:lang w:val="pt-BR"/>
              </w:rPr>
              <w:t>序号</w:t>
            </w:r>
          </w:p>
        </w:tc>
        <w:tc>
          <w:tcPr>
            <w:tcW w:w="1699" w:type="pct"/>
            <w:vAlign w:val="center"/>
          </w:tcPr>
          <w:p w:rsidR="00EE56C0" w:rsidRDefault="000F36A1">
            <w:pPr>
              <w:pStyle w:val="aff1"/>
              <w:rPr>
                <w:color w:val="auto"/>
                <w:lang w:val="pt-BR"/>
              </w:rPr>
            </w:pPr>
            <w:r>
              <w:rPr>
                <w:rFonts w:hint="eastAsia"/>
                <w:color w:val="auto"/>
                <w:lang w:val="pt-BR"/>
              </w:rPr>
              <w:t>项目名称</w:t>
            </w:r>
          </w:p>
        </w:tc>
        <w:tc>
          <w:tcPr>
            <w:tcW w:w="974" w:type="pct"/>
            <w:vAlign w:val="center"/>
          </w:tcPr>
          <w:p w:rsidR="00EE56C0" w:rsidRDefault="000F36A1">
            <w:pPr>
              <w:pStyle w:val="aff1"/>
              <w:rPr>
                <w:color w:val="auto"/>
                <w:lang w:val="pt-BR"/>
              </w:rPr>
            </w:pPr>
            <w:r>
              <w:rPr>
                <w:rFonts w:hint="eastAsia"/>
                <w:color w:val="auto"/>
                <w:lang w:val="pt-BR"/>
              </w:rPr>
              <w:t>报告类别</w:t>
            </w:r>
          </w:p>
        </w:tc>
        <w:tc>
          <w:tcPr>
            <w:tcW w:w="683" w:type="pct"/>
            <w:vAlign w:val="center"/>
          </w:tcPr>
          <w:p w:rsidR="00EE56C0" w:rsidRDefault="000F36A1">
            <w:pPr>
              <w:pStyle w:val="aff1"/>
              <w:rPr>
                <w:color w:val="auto"/>
                <w:lang w:val="pt-BR"/>
              </w:rPr>
            </w:pPr>
            <w:r>
              <w:rPr>
                <w:rFonts w:hint="eastAsia"/>
                <w:color w:val="auto"/>
                <w:lang w:val="pt-BR"/>
              </w:rPr>
              <w:t>批复文号</w:t>
            </w:r>
          </w:p>
        </w:tc>
        <w:tc>
          <w:tcPr>
            <w:tcW w:w="741" w:type="pct"/>
            <w:vAlign w:val="center"/>
          </w:tcPr>
          <w:p w:rsidR="00EE56C0" w:rsidRDefault="000F36A1">
            <w:pPr>
              <w:pStyle w:val="aff1"/>
              <w:rPr>
                <w:color w:val="auto"/>
                <w:lang w:val="pt-BR"/>
              </w:rPr>
            </w:pPr>
            <w:r>
              <w:rPr>
                <w:rFonts w:hint="eastAsia"/>
                <w:color w:val="auto"/>
                <w:lang w:val="pt-BR"/>
              </w:rPr>
              <w:t>验收文号</w:t>
            </w:r>
          </w:p>
        </w:tc>
        <w:tc>
          <w:tcPr>
            <w:tcW w:w="633" w:type="pct"/>
            <w:vAlign w:val="center"/>
          </w:tcPr>
          <w:p w:rsidR="00EE56C0" w:rsidRDefault="000F36A1">
            <w:pPr>
              <w:pStyle w:val="aff1"/>
              <w:rPr>
                <w:color w:val="auto"/>
                <w:lang w:val="pt-BR"/>
              </w:rPr>
            </w:pPr>
            <w:r>
              <w:rPr>
                <w:rFonts w:hint="eastAsia"/>
                <w:color w:val="auto"/>
                <w:lang w:val="pt-BR"/>
              </w:rPr>
              <w:t>生产情况</w:t>
            </w:r>
          </w:p>
        </w:tc>
      </w:tr>
      <w:tr w:rsidR="00EE56C0">
        <w:trPr>
          <w:trHeight w:val="340"/>
          <w:jc w:val="center"/>
        </w:trPr>
        <w:tc>
          <w:tcPr>
            <w:tcW w:w="270" w:type="pct"/>
            <w:vAlign w:val="center"/>
          </w:tcPr>
          <w:p w:rsidR="00EE56C0" w:rsidRDefault="000F36A1">
            <w:pPr>
              <w:pStyle w:val="afa"/>
              <w:rPr>
                <w:lang w:val="pt-BR"/>
              </w:rPr>
            </w:pPr>
            <w:r>
              <w:rPr>
                <w:rFonts w:hint="eastAsia"/>
                <w:lang w:val="pt-BR"/>
              </w:rPr>
              <w:t>1</w:t>
            </w:r>
          </w:p>
        </w:tc>
        <w:tc>
          <w:tcPr>
            <w:tcW w:w="1699" w:type="pct"/>
            <w:vAlign w:val="center"/>
          </w:tcPr>
          <w:p w:rsidR="00EE56C0" w:rsidRDefault="000F36A1">
            <w:pPr>
              <w:pStyle w:val="afa"/>
              <w:rPr>
                <w:lang w:val="pt-BR"/>
              </w:rPr>
            </w:pPr>
            <w:r>
              <w:t>年产</w:t>
            </w:r>
            <w:r>
              <w:t>4</w:t>
            </w:r>
            <w:r>
              <w:t>万吨高效节能电机、节能变压器专用线项目</w:t>
            </w:r>
          </w:p>
        </w:tc>
        <w:tc>
          <w:tcPr>
            <w:tcW w:w="974" w:type="pct"/>
            <w:vAlign w:val="center"/>
          </w:tcPr>
          <w:p w:rsidR="00EE56C0" w:rsidRDefault="000F36A1">
            <w:pPr>
              <w:pStyle w:val="afa"/>
              <w:rPr>
                <w:lang w:val="pt-BR"/>
              </w:rPr>
            </w:pPr>
            <w:r>
              <w:rPr>
                <w:rFonts w:hint="eastAsia"/>
                <w:lang w:val="pt-BR"/>
              </w:rPr>
              <w:t>环境影响评价报告表</w:t>
            </w:r>
          </w:p>
        </w:tc>
        <w:tc>
          <w:tcPr>
            <w:tcW w:w="683" w:type="pct"/>
            <w:vAlign w:val="center"/>
          </w:tcPr>
          <w:p w:rsidR="00EE56C0" w:rsidRDefault="000F36A1">
            <w:pPr>
              <w:pStyle w:val="afa"/>
              <w:rPr>
                <w:lang w:val="pt-BR"/>
              </w:rPr>
            </w:pPr>
            <w:r>
              <w:t>新环监（</w:t>
            </w:r>
            <w:r>
              <w:t>2013</w:t>
            </w:r>
            <w:r>
              <w:t>）</w:t>
            </w:r>
            <w:r>
              <w:t>303</w:t>
            </w:r>
            <w:r>
              <w:t>号</w:t>
            </w:r>
          </w:p>
        </w:tc>
        <w:tc>
          <w:tcPr>
            <w:tcW w:w="741" w:type="pct"/>
            <w:vAlign w:val="center"/>
          </w:tcPr>
          <w:p w:rsidR="00EE56C0" w:rsidRDefault="000F36A1">
            <w:pPr>
              <w:pStyle w:val="afa"/>
              <w:rPr>
                <w:lang w:val="pt-BR"/>
              </w:rPr>
            </w:pPr>
            <w:r>
              <w:t>新环验（</w:t>
            </w:r>
            <w:r>
              <w:t>2015</w:t>
            </w:r>
            <w:r>
              <w:t>）</w:t>
            </w:r>
            <w:r>
              <w:t>172</w:t>
            </w:r>
            <w:r>
              <w:t>号</w:t>
            </w:r>
          </w:p>
        </w:tc>
        <w:tc>
          <w:tcPr>
            <w:tcW w:w="634" w:type="pct"/>
            <w:vAlign w:val="center"/>
          </w:tcPr>
          <w:p w:rsidR="00EE56C0" w:rsidRDefault="000F36A1">
            <w:pPr>
              <w:pStyle w:val="afa"/>
              <w:rPr>
                <w:lang w:val="pt-BR"/>
              </w:rPr>
            </w:pPr>
            <w:r>
              <w:rPr>
                <w:rFonts w:hint="eastAsia"/>
                <w:lang w:val="pt-BR"/>
              </w:rPr>
              <w:t>正常生产</w:t>
            </w:r>
          </w:p>
        </w:tc>
      </w:tr>
      <w:tr w:rsidR="00EE56C0">
        <w:trPr>
          <w:trHeight w:val="340"/>
          <w:jc w:val="center"/>
        </w:trPr>
        <w:tc>
          <w:tcPr>
            <w:tcW w:w="270" w:type="pct"/>
            <w:vAlign w:val="center"/>
          </w:tcPr>
          <w:p w:rsidR="00EE56C0" w:rsidRDefault="000F36A1">
            <w:pPr>
              <w:pStyle w:val="afa"/>
              <w:rPr>
                <w:lang w:val="pt-BR"/>
              </w:rPr>
            </w:pPr>
            <w:r>
              <w:rPr>
                <w:rFonts w:hint="eastAsia"/>
                <w:lang w:val="pt-BR"/>
              </w:rPr>
              <w:t>2</w:t>
            </w:r>
          </w:p>
        </w:tc>
        <w:tc>
          <w:tcPr>
            <w:tcW w:w="1699" w:type="pct"/>
            <w:vAlign w:val="center"/>
          </w:tcPr>
          <w:p w:rsidR="00EE56C0" w:rsidRDefault="000F36A1">
            <w:pPr>
              <w:pStyle w:val="afa"/>
              <w:rPr>
                <w:lang w:val="pt-BR"/>
              </w:rPr>
            </w:pPr>
            <w:r>
              <w:rPr>
                <w:rFonts w:hint="eastAsia"/>
                <w:lang w:val="pt-BR"/>
              </w:rPr>
              <w:t>年产</w:t>
            </w:r>
            <w:r>
              <w:rPr>
                <w:rFonts w:hint="eastAsia"/>
                <w:lang w:val="pt-BR"/>
              </w:rPr>
              <w:t>5</w:t>
            </w:r>
            <w:r>
              <w:rPr>
                <w:rFonts w:hint="eastAsia"/>
                <w:lang w:val="pt-BR"/>
              </w:rPr>
              <w:t>万吨风力发电、轨道交通特种线项目</w:t>
            </w:r>
          </w:p>
        </w:tc>
        <w:tc>
          <w:tcPr>
            <w:tcW w:w="974" w:type="pct"/>
            <w:vAlign w:val="center"/>
          </w:tcPr>
          <w:p w:rsidR="00EE56C0" w:rsidRDefault="000F36A1">
            <w:pPr>
              <w:pStyle w:val="afa"/>
              <w:rPr>
                <w:lang w:val="pt-BR"/>
              </w:rPr>
            </w:pPr>
            <w:r>
              <w:rPr>
                <w:rFonts w:hint="eastAsia"/>
                <w:lang w:val="pt-BR"/>
              </w:rPr>
              <w:t>现状环境影响评估报告</w:t>
            </w:r>
          </w:p>
        </w:tc>
        <w:tc>
          <w:tcPr>
            <w:tcW w:w="683" w:type="pct"/>
            <w:vAlign w:val="center"/>
          </w:tcPr>
          <w:p w:rsidR="00EE56C0" w:rsidRDefault="000F36A1">
            <w:pPr>
              <w:pStyle w:val="afa"/>
              <w:rPr>
                <w:lang w:val="pt-BR"/>
              </w:rPr>
            </w:pPr>
            <w:r>
              <w:rPr>
                <w:rFonts w:hint="eastAsia"/>
                <w:lang w:val="pt-BR"/>
              </w:rPr>
              <w:t>新环清备第</w:t>
            </w:r>
            <w:r>
              <w:rPr>
                <w:rFonts w:hint="eastAsia"/>
                <w:lang w:val="pt-BR"/>
              </w:rPr>
              <w:t>10</w:t>
            </w:r>
            <w:r>
              <w:rPr>
                <w:rFonts w:hint="eastAsia"/>
                <w:lang w:val="pt-BR"/>
              </w:rPr>
              <w:t>号</w:t>
            </w:r>
          </w:p>
        </w:tc>
        <w:tc>
          <w:tcPr>
            <w:tcW w:w="741" w:type="pct"/>
            <w:vAlign w:val="center"/>
          </w:tcPr>
          <w:p w:rsidR="00EE56C0" w:rsidRDefault="000F36A1">
            <w:pPr>
              <w:pStyle w:val="afa"/>
              <w:rPr>
                <w:lang w:val="pt-BR"/>
              </w:rPr>
            </w:pPr>
            <w:r>
              <w:rPr>
                <w:rFonts w:hint="eastAsia"/>
                <w:lang w:val="pt-BR"/>
              </w:rPr>
              <w:t>/</w:t>
            </w:r>
          </w:p>
        </w:tc>
        <w:tc>
          <w:tcPr>
            <w:tcW w:w="634" w:type="pct"/>
          </w:tcPr>
          <w:p w:rsidR="00EE56C0" w:rsidRDefault="000F36A1">
            <w:pPr>
              <w:pStyle w:val="afa"/>
              <w:rPr>
                <w:lang w:val="pt-BR"/>
              </w:rPr>
            </w:pPr>
            <w:r>
              <w:rPr>
                <w:rFonts w:hint="eastAsia"/>
                <w:lang w:val="pt-BR"/>
              </w:rPr>
              <w:t>正常生产</w:t>
            </w:r>
          </w:p>
        </w:tc>
      </w:tr>
      <w:tr w:rsidR="00EE56C0">
        <w:trPr>
          <w:trHeight w:val="340"/>
          <w:jc w:val="center"/>
        </w:trPr>
        <w:tc>
          <w:tcPr>
            <w:tcW w:w="270" w:type="pct"/>
            <w:vAlign w:val="center"/>
          </w:tcPr>
          <w:p w:rsidR="00EE56C0" w:rsidRDefault="000F36A1">
            <w:pPr>
              <w:pStyle w:val="afa"/>
              <w:rPr>
                <w:lang w:val="pt-BR"/>
              </w:rPr>
            </w:pPr>
            <w:r>
              <w:rPr>
                <w:rFonts w:hint="eastAsia"/>
                <w:lang w:val="pt-BR"/>
              </w:rPr>
              <w:t>3</w:t>
            </w:r>
          </w:p>
        </w:tc>
        <w:tc>
          <w:tcPr>
            <w:tcW w:w="1699" w:type="pct"/>
            <w:vAlign w:val="center"/>
          </w:tcPr>
          <w:p w:rsidR="00EE56C0" w:rsidRDefault="000F36A1">
            <w:pPr>
              <w:pStyle w:val="afa"/>
              <w:rPr>
                <w:lang w:val="pt-BR"/>
              </w:rPr>
            </w:pPr>
            <w:r>
              <w:rPr>
                <w:rFonts w:hint="eastAsia"/>
                <w:lang w:val="pt-BR"/>
              </w:rPr>
              <w:t>年产</w:t>
            </w:r>
            <w:r>
              <w:rPr>
                <w:rFonts w:hint="eastAsia"/>
                <w:lang w:val="pt-BR"/>
              </w:rPr>
              <w:t>2</w:t>
            </w:r>
            <w:r>
              <w:rPr>
                <w:rFonts w:hint="eastAsia"/>
                <w:lang w:val="pt-BR"/>
              </w:rPr>
              <w:t>万吨无氧铜杆项目</w:t>
            </w:r>
          </w:p>
        </w:tc>
        <w:tc>
          <w:tcPr>
            <w:tcW w:w="974" w:type="pct"/>
            <w:vMerge w:val="restart"/>
            <w:vAlign w:val="center"/>
          </w:tcPr>
          <w:p w:rsidR="00EE56C0" w:rsidRDefault="000F36A1">
            <w:pPr>
              <w:pStyle w:val="afa"/>
              <w:rPr>
                <w:lang w:val="pt-BR"/>
              </w:rPr>
            </w:pPr>
            <w:r>
              <w:rPr>
                <w:rFonts w:hint="eastAsia"/>
                <w:lang w:val="pt-BR"/>
              </w:rPr>
              <w:t>环境影响评价报告表</w:t>
            </w:r>
          </w:p>
        </w:tc>
        <w:tc>
          <w:tcPr>
            <w:tcW w:w="683" w:type="pct"/>
            <w:vAlign w:val="center"/>
          </w:tcPr>
          <w:p w:rsidR="00EE56C0" w:rsidRDefault="000F36A1">
            <w:pPr>
              <w:pStyle w:val="afa"/>
              <w:rPr>
                <w:lang w:val="pt-BR"/>
              </w:rPr>
            </w:pPr>
            <w:r>
              <w:rPr>
                <w:rFonts w:hint="eastAsia"/>
                <w:lang w:val="pt-BR"/>
              </w:rPr>
              <w:t>新环表审</w:t>
            </w:r>
            <w:r>
              <w:rPr>
                <w:lang w:val="pt-BR"/>
              </w:rPr>
              <w:t>[2017]134</w:t>
            </w:r>
            <w:r>
              <w:rPr>
                <w:rFonts w:hint="eastAsia"/>
                <w:lang w:val="pt-BR"/>
              </w:rPr>
              <w:t>号</w:t>
            </w:r>
          </w:p>
        </w:tc>
        <w:tc>
          <w:tcPr>
            <w:tcW w:w="741" w:type="pct"/>
            <w:vAlign w:val="center"/>
          </w:tcPr>
          <w:p w:rsidR="00EE56C0" w:rsidRDefault="000F36A1">
            <w:pPr>
              <w:pStyle w:val="afa"/>
              <w:rPr>
                <w:lang w:val="pt-BR"/>
              </w:rPr>
            </w:pPr>
            <w:r>
              <w:rPr>
                <w:rFonts w:hint="eastAsia"/>
                <w:lang w:val="pt-BR"/>
              </w:rPr>
              <w:t>已完成自主验收</w:t>
            </w:r>
          </w:p>
        </w:tc>
        <w:tc>
          <w:tcPr>
            <w:tcW w:w="634" w:type="pct"/>
            <w:vAlign w:val="center"/>
          </w:tcPr>
          <w:p w:rsidR="00EE56C0" w:rsidRDefault="000F36A1">
            <w:pPr>
              <w:pStyle w:val="afa"/>
              <w:rPr>
                <w:lang w:val="pt-BR"/>
              </w:rPr>
            </w:pPr>
            <w:r>
              <w:rPr>
                <w:rFonts w:hint="eastAsia"/>
                <w:lang w:val="pt-BR"/>
              </w:rPr>
              <w:t>正常生产</w:t>
            </w:r>
          </w:p>
        </w:tc>
      </w:tr>
      <w:tr w:rsidR="00EE56C0">
        <w:trPr>
          <w:trHeight w:val="340"/>
          <w:jc w:val="center"/>
        </w:trPr>
        <w:tc>
          <w:tcPr>
            <w:tcW w:w="270" w:type="pct"/>
            <w:vAlign w:val="center"/>
          </w:tcPr>
          <w:p w:rsidR="00EE56C0" w:rsidRDefault="000F36A1">
            <w:pPr>
              <w:pStyle w:val="afa"/>
              <w:rPr>
                <w:lang w:val="pt-BR"/>
              </w:rPr>
            </w:pPr>
            <w:r>
              <w:rPr>
                <w:rFonts w:hint="eastAsia"/>
                <w:lang w:val="pt-BR"/>
              </w:rPr>
              <w:t>4</w:t>
            </w:r>
          </w:p>
        </w:tc>
        <w:tc>
          <w:tcPr>
            <w:tcW w:w="1699" w:type="pct"/>
            <w:vAlign w:val="center"/>
          </w:tcPr>
          <w:p w:rsidR="00EE56C0" w:rsidRDefault="000F36A1">
            <w:pPr>
              <w:pStyle w:val="afa"/>
              <w:rPr>
                <w:lang w:val="pt-BR"/>
              </w:rPr>
            </w:pPr>
            <w:r>
              <w:rPr>
                <w:rFonts w:hint="eastAsia"/>
                <w:lang w:val="pt-BR"/>
              </w:rPr>
              <w:t>年产</w:t>
            </w:r>
            <w:r>
              <w:rPr>
                <w:rFonts w:hint="eastAsia"/>
                <w:lang w:val="pt-BR"/>
              </w:rPr>
              <w:t>200</w:t>
            </w:r>
            <w:r>
              <w:rPr>
                <w:rFonts w:hint="eastAsia"/>
                <w:lang w:val="pt-BR"/>
              </w:rPr>
              <w:t>万只包装线盘项目</w:t>
            </w:r>
          </w:p>
        </w:tc>
        <w:tc>
          <w:tcPr>
            <w:tcW w:w="974" w:type="pct"/>
            <w:vMerge/>
            <w:vAlign w:val="center"/>
          </w:tcPr>
          <w:p w:rsidR="00EE56C0" w:rsidRDefault="00EE56C0">
            <w:pPr>
              <w:pStyle w:val="afa"/>
              <w:rPr>
                <w:lang w:val="pt-BR"/>
              </w:rPr>
            </w:pPr>
          </w:p>
        </w:tc>
        <w:tc>
          <w:tcPr>
            <w:tcW w:w="683" w:type="pct"/>
            <w:vAlign w:val="center"/>
          </w:tcPr>
          <w:p w:rsidR="00EE56C0" w:rsidRDefault="000F36A1">
            <w:pPr>
              <w:pStyle w:val="afa"/>
              <w:rPr>
                <w:lang w:val="pt-BR"/>
              </w:rPr>
            </w:pPr>
            <w:r>
              <w:rPr>
                <w:rFonts w:hint="eastAsia"/>
                <w:lang w:val="pt-BR"/>
              </w:rPr>
              <w:t>新环表</w:t>
            </w:r>
          </w:p>
          <w:p w:rsidR="00EE56C0" w:rsidRDefault="000F36A1">
            <w:pPr>
              <w:pStyle w:val="afa"/>
              <w:rPr>
                <w:lang w:val="pt-BR"/>
              </w:rPr>
            </w:pPr>
            <w:r>
              <w:rPr>
                <w:lang w:val="pt-BR"/>
              </w:rPr>
              <w:t>[2017]014</w:t>
            </w:r>
            <w:r>
              <w:rPr>
                <w:rFonts w:hint="eastAsia"/>
                <w:lang w:val="pt-BR"/>
              </w:rPr>
              <w:t>号</w:t>
            </w:r>
          </w:p>
        </w:tc>
        <w:tc>
          <w:tcPr>
            <w:tcW w:w="741" w:type="pct"/>
            <w:vAlign w:val="center"/>
          </w:tcPr>
          <w:p w:rsidR="00EE56C0" w:rsidRDefault="000F36A1">
            <w:pPr>
              <w:pStyle w:val="afa"/>
              <w:rPr>
                <w:lang w:val="pt-BR"/>
              </w:rPr>
            </w:pPr>
            <w:r>
              <w:rPr>
                <w:rFonts w:hint="eastAsia"/>
                <w:lang w:val="pt-BR"/>
              </w:rPr>
              <w:t>新环评验</w:t>
            </w:r>
            <w:r>
              <w:rPr>
                <w:lang w:val="pt-BR"/>
              </w:rPr>
              <w:t>[2018]011</w:t>
            </w:r>
            <w:r>
              <w:rPr>
                <w:rFonts w:hint="eastAsia"/>
                <w:lang w:val="pt-BR"/>
              </w:rPr>
              <w:t>号</w:t>
            </w:r>
          </w:p>
        </w:tc>
        <w:tc>
          <w:tcPr>
            <w:tcW w:w="633" w:type="pct"/>
            <w:vAlign w:val="center"/>
          </w:tcPr>
          <w:p w:rsidR="00EE56C0" w:rsidRDefault="000F36A1">
            <w:pPr>
              <w:pStyle w:val="afa"/>
              <w:rPr>
                <w:lang w:val="pt-BR"/>
              </w:rPr>
            </w:pPr>
            <w:r>
              <w:rPr>
                <w:rFonts w:hint="eastAsia"/>
                <w:lang w:val="pt-BR"/>
              </w:rPr>
              <w:t>正常生产</w:t>
            </w:r>
          </w:p>
        </w:tc>
      </w:tr>
      <w:tr w:rsidR="00EE56C0">
        <w:trPr>
          <w:trHeight w:val="340"/>
          <w:jc w:val="center"/>
        </w:trPr>
        <w:tc>
          <w:tcPr>
            <w:tcW w:w="270" w:type="pct"/>
            <w:vAlign w:val="center"/>
          </w:tcPr>
          <w:p w:rsidR="00EE56C0" w:rsidRDefault="000F36A1">
            <w:pPr>
              <w:pStyle w:val="afa"/>
              <w:rPr>
                <w:lang w:val="pt-BR"/>
              </w:rPr>
            </w:pPr>
            <w:r>
              <w:rPr>
                <w:lang w:val="pt-BR"/>
              </w:rPr>
              <w:t>5</w:t>
            </w:r>
          </w:p>
        </w:tc>
        <w:tc>
          <w:tcPr>
            <w:tcW w:w="1699" w:type="pct"/>
            <w:vAlign w:val="center"/>
          </w:tcPr>
          <w:p w:rsidR="00EE56C0" w:rsidRDefault="000F36A1">
            <w:pPr>
              <w:pStyle w:val="afa"/>
              <w:rPr>
                <w:lang w:val="pt-BR"/>
              </w:rPr>
            </w:pPr>
            <w:r>
              <w:rPr>
                <w:rFonts w:hint="eastAsia"/>
              </w:rPr>
              <w:t>年产</w:t>
            </w:r>
            <w:r>
              <w:rPr>
                <w:rFonts w:hint="eastAsia"/>
              </w:rPr>
              <w:t>2</w:t>
            </w:r>
            <w:r>
              <w:rPr>
                <w:rFonts w:hint="eastAsia"/>
              </w:rPr>
              <w:t>万吨新能源汽车电器专</w:t>
            </w:r>
            <w:r>
              <w:rPr>
                <w:rFonts w:hint="eastAsia"/>
              </w:rPr>
              <w:lastRenderedPageBreak/>
              <w:t>用线项目</w:t>
            </w:r>
          </w:p>
        </w:tc>
        <w:tc>
          <w:tcPr>
            <w:tcW w:w="974" w:type="pct"/>
            <w:vMerge/>
            <w:vAlign w:val="center"/>
          </w:tcPr>
          <w:p w:rsidR="00EE56C0" w:rsidRDefault="00EE56C0">
            <w:pPr>
              <w:pStyle w:val="afa"/>
              <w:rPr>
                <w:lang w:val="pt-BR"/>
              </w:rPr>
            </w:pPr>
          </w:p>
        </w:tc>
        <w:tc>
          <w:tcPr>
            <w:tcW w:w="683" w:type="pct"/>
            <w:vAlign w:val="center"/>
          </w:tcPr>
          <w:p w:rsidR="00EE56C0" w:rsidRDefault="000F36A1">
            <w:pPr>
              <w:pStyle w:val="afa"/>
              <w:rPr>
                <w:lang w:val="pt-BR"/>
              </w:rPr>
            </w:pPr>
            <w:r>
              <w:rPr>
                <w:rFonts w:hint="eastAsia"/>
              </w:rPr>
              <w:t>新环表</w:t>
            </w:r>
            <w:r>
              <w:rPr>
                <w:rFonts w:hint="eastAsia"/>
              </w:rPr>
              <w:lastRenderedPageBreak/>
              <w:t>（</w:t>
            </w:r>
            <w:r>
              <w:t>2018</w:t>
            </w:r>
            <w:r>
              <w:rPr>
                <w:rFonts w:hint="eastAsia"/>
              </w:rPr>
              <w:t>）</w:t>
            </w:r>
            <w:r>
              <w:t>052</w:t>
            </w:r>
            <w:r>
              <w:rPr>
                <w:rFonts w:hint="eastAsia"/>
              </w:rPr>
              <w:t>号</w:t>
            </w:r>
          </w:p>
        </w:tc>
        <w:tc>
          <w:tcPr>
            <w:tcW w:w="741" w:type="pct"/>
            <w:vAlign w:val="center"/>
          </w:tcPr>
          <w:p w:rsidR="00EE56C0" w:rsidRDefault="000F36A1">
            <w:pPr>
              <w:pStyle w:val="afa"/>
              <w:rPr>
                <w:lang w:val="pt-BR"/>
              </w:rPr>
            </w:pPr>
            <w:r>
              <w:rPr>
                <w:rFonts w:hint="eastAsia"/>
                <w:lang w:val="pt-BR"/>
              </w:rPr>
              <w:lastRenderedPageBreak/>
              <w:t>已完成自</w:t>
            </w:r>
            <w:r>
              <w:rPr>
                <w:rFonts w:hint="eastAsia"/>
                <w:lang w:val="pt-BR"/>
              </w:rPr>
              <w:lastRenderedPageBreak/>
              <w:t>主验收</w:t>
            </w:r>
          </w:p>
        </w:tc>
        <w:tc>
          <w:tcPr>
            <w:tcW w:w="633" w:type="pct"/>
            <w:vAlign w:val="center"/>
          </w:tcPr>
          <w:p w:rsidR="00EE56C0" w:rsidRDefault="000F36A1">
            <w:pPr>
              <w:pStyle w:val="afa"/>
              <w:rPr>
                <w:lang w:val="pt-BR"/>
              </w:rPr>
            </w:pPr>
            <w:r>
              <w:rPr>
                <w:rFonts w:hint="eastAsia"/>
                <w:lang w:val="pt-BR"/>
              </w:rPr>
              <w:lastRenderedPageBreak/>
              <w:t>正常生产</w:t>
            </w:r>
          </w:p>
        </w:tc>
      </w:tr>
    </w:tbl>
    <w:p w:rsidR="00EE56C0" w:rsidRDefault="000F36A1">
      <w:pPr>
        <w:spacing w:line="480" w:lineRule="exact"/>
        <w:ind w:firstLine="480"/>
        <w:jc w:val="left"/>
      </w:pPr>
      <w:r>
        <w:rPr>
          <w:rFonts w:hint="eastAsia"/>
        </w:rPr>
        <w:lastRenderedPageBreak/>
        <w:t>综上，与本项目有关的现有项目及</w:t>
      </w:r>
      <w:r>
        <w:t>环保手续</w:t>
      </w:r>
      <w:r>
        <w:rPr>
          <w:rFonts w:hint="eastAsia"/>
        </w:rPr>
        <w:t>见下表：</w:t>
      </w:r>
    </w:p>
    <w:p w:rsidR="00EE56C0" w:rsidRDefault="000F36A1">
      <w:pPr>
        <w:spacing w:line="440" w:lineRule="exact"/>
        <w:ind w:firstLine="480"/>
        <w:jc w:val="left"/>
        <w:rPr>
          <w:rFonts w:eastAsia="黑体" w:hAnsi="黑体"/>
        </w:rPr>
      </w:pPr>
      <w:r>
        <w:rPr>
          <w:rFonts w:eastAsia="黑体" w:hAnsi="黑体"/>
        </w:rPr>
        <w:t>表</w:t>
      </w:r>
      <w:r>
        <w:rPr>
          <w:rFonts w:eastAsia="黑体" w:hAnsi="黑体" w:hint="eastAsia"/>
        </w:rPr>
        <w:t>1-</w:t>
      </w:r>
      <w:r>
        <w:rPr>
          <w:rFonts w:eastAsia="黑体" w:hint="eastAsia"/>
        </w:rPr>
        <w:t xml:space="preserve">2        </w:t>
      </w:r>
      <w:r>
        <w:rPr>
          <w:rFonts w:eastAsia="黑体" w:hAnsi="黑体" w:hint="eastAsia"/>
        </w:rPr>
        <w:t>与本项目有关的</w:t>
      </w:r>
      <w:r>
        <w:rPr>
          <w:rFonts w:eastAsia="黑体" w:hAnsi="黑体"/>
        </w:rPr>
        <w:t>现有项目环保手续一览表</w:t>
      </w:r>
    </w:p>
    <w:tbl>
      <w:tblPr>
        <w:tblW w:w="5000" w:type="pct"/>
        <w:jc w:val="center"/>
        <w:tblBorders>
          <w:top w:val="single" w:sz="12" w:space="0" w:color="auto"/>
          <w:bottom w:val="single" w:sz="12" w:space="0" w:color="auto"/>
          <w:insideH w:val="single" w:sz="6" w:space="0" w:color="auto"/>
          <w:insideV w:val="single" w:sz="6" w:space="0" w:color="auto"/>
        </w:tblBorders>
        <w:tblLook w:val="04A0"/>
      </w:tblPr>
      <w:tblGrid>
        <w:gridCol w:w="694"/>
        <w:gridCol w:w="2390"/>
        <w:gridCol w:w="1349"/>
        <w:gridCol w:w="1502"/>
        <w:gridCol w:w="1377"/>
        <w:gridCol w:w="1216"/>
      </w:tblGrid>
      <w:tr w:rsidR="00EE56C0">
        <w:trPr>
          <w:trHeight w:val="454"/>
          <w:jc w:val="center"/>
        </w:trPr>
        <w:tc>
          <w:tcPr>
            <w:tcW w:w="732" w:type="dxa"/>
            <w:tcBorders>
              <w:top w:val="single" w:sz="4" w:space="0" w:color="auto"/>
              <w:left w:val="single" w:sz="4" w:space="0" w:color="auto"/>
              <w:bottom w:val="single" w:sz="4" w:space="0" w:color="auto"/>
            </w:tcBorders>
            <w:vAlign w:val="center"/>
          </w:tcPr>
          <w:p w:rsidR="00EE56C0" w:rsidRDefault="000F36A1">
            <w:pPr>
              <w:pStyle w:val="aff1"/>
              <w:rPr>
                <w:color w:val="auto"/>
                <w:lang w:val="pt-BR"/>
              </w:rPr>
            </w:pPr>
            <w:r>
              <w:rPr>
                <w:color w:val="auto"/>
                <w:lang w:val="pt-BR"/>
              </w:rPr>
              <w:t>序号</w:t>
            </w:r>
          </w:p>
        </w:tc>
        <w:tc>
          <w:tcPr>
            <w:tcW w:w="2634" w:type="dxa"/>
            <w:tcBorders>
              <w:top w:val="single" w:sz="4" w:space="0" w:color="auto"/>
              <w:bottom w:val="single" w:sz="4" w:space="0" w:color="auto"/>
            </w:tcBorders>
            <w:vAlign w:val="center"/>
          </w:tcPr>
          <w:p w:rsidR="00EE56C0" w:rsidRDefault="000F36A1">
            <w:pPr>
              <w:pStyle w:val="aff1"/>
              <w:rPr>
                <w:color w:val="auto"/>
                <w:lang w:val="pt-BR"/>
              </w:rPr>
            </w:pPr>
            <w:r>
              <w:rPr>
                <w:color w:val="auto"/>
                <w:lang w:val="pt-BR"/>
              </w:rPr>
              <w:t>项目名称</w:t>
            </w:r>
          </w:p>
        </w:tc>
        <w:tc>
          <w:tcPr>
            <w:tcW w:w="1477" w:type="dxa"/>
            <w:tcBorders>
              <w:top w:val="single" w:sz="4" w:space="0" w:color="auto"/>
              <w:bottom w:val="single" w:sz="4" w:space="0" w:color="auto"/>
              <w:right w:val="single" w:sz="4" w:space="0" w:color="auto"/>
            </w:tcBorders>
            <w:vAlign w:val="center"/>
          </w:tcPr>
          <w:p w:rsidR="00EE56C0" w:rsidRDefault="000F36A1">
            <w:pPr>
              <w:pStyle w:val="aff1"/>
              <w:rPr>
                <w:color w:val="auto"/>
                <w:lang w:val="pt-BR"/>
              </w:rPr>
            </w:pPr>
            <w:r>
              <w:rPr>
                <w:color w:val="auto"/>
                <w:lang w:val="pt-BR"/>
              </w:rPr>
              <w:t>报告类别</w:t>
            </w:r>
          </w:p>
        </w:tc>
        <w:tc>
          <w:tcPr>
            <w:tcW w:w="1559" w:type="dxa"/>
            <w:tcBorders>
              <w:top w:val="single" w:sz="4" w:space="0" w:color="auto"/>
              <w:left w:val="single" w:sz="4" w:space="0" w:color="auto"/>
              <w:bottom w:val="single" w:sz="4" w:space="0" w:color="auto"/>
            </w:tcBorders>
            <w:vAlign w:val="center"/>
          </w:tcPr>
          <w:p w:rsidR="00EE56C0" w:rsidRDefault="000F36A1">
            <w:pPr>
              <w:pStyle w:val="aff1"/>
              <w:rPr>
                <w:color w:val="auto"/>
                <w:lang w:val="pt-BR"/>
              </w:rPr>
            </w:pPr>
            <w:r>
              <w:rPr>
                <w:color w:val="auto"/>
                <w:lang w:val="pt-BR"/>
              </w:rPr>
              <w:t>批复文号</w:t>
            </w:r>
          </w:p>
        </w:tc>
        <w:tc>
          <w:tcPr>
            <w:tcW w:w="1418" w:type="dxa"/>
            <w:tcBorders>
              <w:top w:val="single" w:sz="4" w:space="0" w:color="auto"/>
              <w:bottom w:val="single" w:sz="4" w:space="0" w:color="auto"/>
              <w:right w:val="single" w:sz="4" w:space="0" w:color="auto"/>
            </w:tcBorders>
            <w:vAlign w:val="center"/>
          </w:tcPr>
          <w:p w:rsidR="00EE56C0" w:rsidRDefault="000F36A1">
            <w:pPr>
              <w:pStyle w:val="aff1"/>
              <w:rPr>
                <w:color w:val="auto"/>
                <w:lang w:val="pt-BR"/>
              </w:rPr>
            </w:pPr>
            <w:r>
              <w:rPr>
                <w:color w:val="auto"/>
                <w:lang w:val="pt-BR"/>
              </w:rPr>
              <w:t>验收文号</w:t>
            </w:r>
          </w:p>
        </w:tc>
        <w:tc>
          <w:tcPr>
            <w:tcW w:w="1297" w:type="dxa"/>
            <w:tcBorders>
              <w:top w:val="single" w:sz="4" w:space="0" w:color="auto"/>
              <w:left w:val="single" w:sz="4" w:space="0" w:color="auto"/>
              <w:bottom w:val="single" w:sz="4" w:space="0" w:color="auto"/>
              <w:right w:val="single" w:sz="4" w:space="0" w:color="auto"/>
            </w:tcBorders>
            <w:vAlign w:val="center"/>
          </w:tcPr>
          <w:p w:rsidR="00EE56C0" w:rsidRDefault="000F36A1">
            <w:pPr>
              <w:pStyle w:val="aff1"/>
              <w:rPr>
                <w:color w:val="auto"/>
                <w:lang w:val="pt-BR"/>
              </w:rPr>
            </w:pPr>
            <w:r>
              <w:rPr>
                <w:rFonts w:hint="eastAsia"/>
                <w:color w:val="auto"/>
                <w:lang w:val="pt-BR"/>
              </w:rPr>
              <w:t>本项目涉及内容</w:t>
            </w:r>
          </w:p>
        </w:tc>
      </w:tr>
      <w:tr w:rsidR="00EE56C0">
        <w:trPr>
          <w:trHeight w:val="454"/>
          <w:jc w:val="center"/>
        </w:trPr>
        <w:tc>
          <w:tcPr>
            <w:tcW w:w="732" w:type="dxa"/>
            <w:tcBorders>
              <w:top w:val="single" w:sz="4" w:space="0" w:color="auto"/>
              <w:left w:val="single" w:sz="4" w:space="0" w:color="auto"/>
              <w:bottom w:val="single" w:sz="4" w:space="0" w:color="auto"/>
            </w:tcBorders>
            <w:vAlign w:val="center"/>
          </w:tcPr>
          <w:p w:rsidR="00EE56C0" w:rsidRDefault="000F36A1">
            <w:pPr>
              <w:pStyle w:val="afa"/>
              <w:rPr>
                <w:lang w:val="pt-BR"/>
              </w:rPr>
            </w:pPr>
            <w:r>
              <w:rPr>
                <w:lang w:val="pt-BR"/>
              </w:rPr>
              <w:t>1</w:t>
            </w:r>
          </w:p>
        </w:tc>
        <w:tc>
          <w:tcPr>
            <w:tcW w:w="2634" w:type="dxa"/>
            <w:tcBorders>
              <w:top w:val="single" w:sz="4" w:space="0" w:color="auto"/>
              <w:bottom w:val="single" w:sz="4" w:space="0" w:color="auto"/>
            </w:tcBorders>
            <w:vAlign w:val="center"/>
          </w:tcPr>
          <w:p w:rsidR="00EE56C0" w:rsidRDefault="000F36A1">
            <w:pPr>
              <w:pStyle w:val="afa"/>
              <w:rPr>
                <w:lang w:val="pt-BR"/>
              </w:rPr>
            </w:pPr>
            <w:r>
              <w:t>年产</w:t>
            </w:r>
            <w:r>
              <w:t>4</w:t>
            </w:r>
            <w:r>
              <w:t>万吨高效节能电机、节能变压器专用线项目</w:t>
            </w:r>
          </w:p>
        </w:tc>
        <w:tc>
          <w:tcPr>
            <w:tcW w:w="1477" w:type="dxa"/>
            <w:tcBorders>
              <w:top w:val="single" w:sz="4" w:space="0" w:color="auto"/>
              <w:right w:val="single" w:sz="4" w:space="0" w:color="auto"/>
            </w:tcBorders>
            <w:vAlign w:val="center"/>
          </w:tcPr>
          <w:p w:rsidR="00EE56C0" w:rsidRDefault="000F36A1">
            <w:pPr>
              <w:pStyle w:val="afa"/>
              <w:rPr>
                <w:lang w:val="pt-BR"/>
              </w:rPr>
            </w:pPr>
            <w:r>
              <w:rPr>
                <w:lang w:val="pt-BR"/>
              </w:rPr>
              <w:t>环境影响评价报告表</w:t>
            </w:r>
          </w:p>
        </w:tc>
        <w:tc>
          <w:tcPr>
            <w:tcW w:w="1559" w:type="dxa"/>
            <w:tcBorders>
              <w:top w:val="single" w:sz="4" w:space="0" w:color="auto"/>
              <w:left w:val="single" w:sz="4" w:space="0" w:color="auto"/>
            </w:tcBorders>
            <w:vAlign w:val="center"/>
          </w:tcPr>
          <w:p w:rsidR="00EE56C0" w:rsidRDefault="000F36A1">
            <w:pPr>
              <w:pStyle w:val="afa"/>
              <w:rPr>
                <w:lang w:val="pt-BR"/>
              </w:rPr>
            </w:pPr>
            <w:r>
              <w:t>新环监（</w:t>
            </w:r>
            <w:r>
              <w:t>2013</w:t>
            </w:r>
            <w:r>
              <w:t>）</w:t>
            </w:r>
            <w:r>
              <w:t>303</w:t>
            </w:r>
            <w:r>
              <w:t>号</w:t>
            </w:r>
          </w:p>
        </w:tc>
        <w:tc>
          <w:tcPr>
            <w:tcW w:w="1418" w:type="dxa"/>
            <w:tcBorders>
              <w:top w:val="single" w:sz="4" w:space="0" w:color="auto"/>
              <w:right w:val="single" w:sz="4" w:space="0" w:color="auto"/>
            </w:tcBorders>
            <w:vAlign w:val="center"/>
          </w:tcPr>
          <w:p w:rsidR="00EE56C0" w:rsidRDefault="000F36A1">
            <w:pPr>
              <w:pStyle w:val="afa"/>
              <w:rPr>
                <w:lang w:val="pt-BR"/>
              </w:rPr>
            </w:pPr>
            <w:r>
              <w:t>新环验（</w:t>
            </w:r>
            <w:r>
              <w:t>2015</w:t>
            </w:r>
            <w:r>
              <w:t>）</w:t>
            </w:r>
            <w:r>
              <w:t>172</w:t>
            </w:r>
            <w:r>
              <w:t>号</w:t>
            </w:r>
          </w:p>
        </w:tc>
        <w:tc>
          <w:tcPr>
            <w:tcW w:w="1297" w:type="dxa"/>
            <w:tcBorders>
              <w:top w:val="single" w:sz="4" w:space="0" w:color="auto"/>
              <w:left w:val="single" w:sz="4" w:space="0" w:color="auto"/>
              <w:right w:val="single" w:sz="4" w:space="0" w:color="auto"/>
            </w:tcBorders>
            <w:vAlign w:val="center"/>
          </w:tcPr>
          <w:p w:rsidR="00EE56C0" w:rsidRDefault="000F36A1">
            <w:pPr>
              <w:pStyle w:val="afa"/>
              <w:rPr>
                <w:lang w:val="pt-BR"/>
              </w:rPr>
            </w:pPr>
            <w:r>
              <w:rPr>
                <w:rFonts w:hint="eastAsia"/>
                <w:lang w:val="pt-BR"/>
              </w:rPr>
              <w:t>纸包线、丝包线、烧结产能扩大</w:t>
            </w:r>
          </w:p>
        </w:tc>
      </w:tr>
      <w:tr w:rsidR="00EE56C0">
        <w:trPr>
          <w:trHeight w:val="454"/>
          <w:jc w:val="center"/>
        </w:trPr>
        <w:tc>
          <w:tcPr>
            <w:tcW w:w="732" w:type="dxa"/>
            <w:tcBorders>
              <w:top w:val="single" w:sz="4" w:space="0" w:color="auto"/>
              <w:left w:val="single" w:sz="4" w:space="0" w:color="auto"/>
              <w:bottom w:val="single" w:sz="4" w:space="0" w:color="auto"/>
            </w:tcBorders>
            <w:vAlign w:val="center"/>
          </w:tcPr>
          <w:p w:rsidR="00EE56C0" w:rsidRDefault="000F36A1">
            <w:pPr>
              <w:pStyle w:val="afa"/>
              <w:rPr>
                <w:lang w:val="pt-BR"/>
              </w:rPr>
            </w:pPr>
            <w:r>
              <w:rPr>
                <w:lang w:val="pt-BR"/>
              </w:rPr>
              <w:t>2</w:t>
            </w:r>
          </w:p>
        </w:tc>
        <w:tc>
          <w:tcPr>
            <w:tcW w:w="2634" w:type="dxa"/>
            <w:tcBorders>
              <w:top w:val="single" w:sz="4" w:space="0" w:color="auto"/>
              <w:bottom w:val="single" w:sz="4" w:space="0" w:color="auto"/>
            </w:tcBorders>
            <w:vAlign w:val="center"/>
          </w:tcPr>
          <w:p w:rsidR="00EE56C0" w:rsidRDefault="000F36A1">
            <w:pPr>
              <w:pStyle w:val="afa"/>
              <w:rPr>
                <w:lang w:val="pt-BR"/>
              </w:rPr>
            </w:pPr>
            <w:r>
              <w:t>年产</w:t>
            </w:r>
            <w:r>
              <w:t>2</w:t>
            </w:r>
            <w:r>
              <w:t>万吨新能源汽车电器专用线项目</w:t>
            </w:r>
          </w:p>
        </w:tc>
        <w:tc>
          <w:tcPr>
            <w:tcW w:w="1477" w:type="dxa"/>
            <w:tcBorders>
              <w:right w:val="single" w:sz="4" w:space="0" w:color="auto"/>
            </w:tcBorders>
            <w:vAlign w:val="center"/>
          </w:tcPr>
          <w:p w:rsidR="00EE56C0" w:rsidRDefault="000F36A1">
            <w:pPr>
              <w:pStyle w:val="afa"/>
              <w:rPr>
                <w:lang w:val="pt-BR"/>
              </w:rPr>
            </w:pPr>
            <w:r>
              <w:rPr>
                <w:lang w:val="pt-BR"/>
              </w:rPr>
              <w:t>环境影响评价报告表</w:t>
            </w:r>
          </w:p>
        </w:tc>
        <w:tc>
          <w:tcPr>
            <w:tcW w:w="1559" w:type="dxa"/>
            <w:tcBorders>
              <w:left w:val="single" w:sz="4" w:space="0" w:color="auto"/>
            </w:tcBorders>
            <w:vAlign w:val="center"/>
          </w:tcPr>
          <w:p w:rsidR="00EE56C0" w:rsidRDefault="000F36A1">
            <w:pPr>
              <w:pStyle w:val="afa"/>
              <w:rPr>
                <w:lang w:val="pt-BR"/>
              </w:rPr>
            </w:pPr>
            <w:r>
              <w:t>新环表（</w:t>
            </w:r>
            <w:r>
              <w:t>2018</w:t>
            </w:r>
            <w:r>
              <w:t>）</w:t>
            </w:r>
            <w:r>
              <w:t>052</w:t>
            </w:r>
            <w:r>
              <w:t>号</w:t>
            </w:r>
          </w:p>
        </w:tc>
        <w:tc>
          <w:tcPr>
            <w:tcW w:w="1418" w:type="dxa"/>
            <w:tcBorders>
              <w:right w:val="single" w:sz="4" w:space="0" w:color="auto"/>
            </w:tcBorders>
            <w:vAlign w:val="center"/>
          </w:tcPr>
          <w:p w:rsidR="00EE56C0" w:rsidRDefault="000F36A1">
            <w:pPr>
              <w:pStyle w:val="afa"/>
              <w:rPr>
                <w:lang w:val="pt-BR"/>
              </w:rPr>
            </w:pPr>
            <w:r>
              <w:rPr>
                <w:lang w:val="pt-BR"/>
              </w:rPr>
              <w:t>/</w:t>
            </w:r>
          </w:p>
        </w:tc>
        <w:tc>
          <w:tcPr>
            <w:tcW w:w="1297" w:type="dxa"/>
            <w:tcBorders>
              <w:left w:val="single" w:sz="4" w:space="0" w:color="auto"/>
              <w:right w:val="single" w:sz="4" w:space="0" w:color="auto"/>
            </w:tcBorders>
            <w:vAlign w:val="center"/>
          </w:tcPr>
          <w:p w:rsidR="00EE56C0" w:rsidRDefault="000F36A1">
            <w:pPr>
              <w:pStyle w:val="afa"/>
              <w:rPr>
                <w:lang w:val="pt-BR"/>
              </w:rPr>
            </w:pPr>
            <w:r>
              <w:rPr>
                <w:rFonts w:hint="eastAsia"/>
                <w:lang w:val="pt-BR"/>
              </w:rPr>
              <w:t>涉及漆包机设备改建</w:t>
            </w:r>
          </w:p>
        </w:tc>
      </w:tr>
      <w:tr w:rsidR="00EE56C0">
        <w:trPr>
          <w:trHeight w:val="454"/>
          <w:jc w:val="center"/>
        </w:trPr>
        <w:tc>
          <w:tcPr>
            <w:tcW w:w="732" w:type="dxa"/>
            <w:tcBorders>
              <w:top w:val="single" w:sz="4" w:space="0" w:color="auto"/>
              <w:left w:val="single" w:sz="4" w:space="0" w:color="auto"/>
              <w:bottom w:val="single" w:sz="4" w:space="0" w:color="auto"/>
            </w:tcBorders>
            <w:vAlign w:val="center"/>
          </w:tcPr>
          <w:p w:rsidR="00EE56C0" w:rsidRDefault="000F36A1">
            <w:pPr>
              <w:pStyle w:val="afa"/>
              <w:rPr>
                <w:lang w:val="pt-BR"/>
              </w:rPr>
            </w:pPr>
            <w:r>
              <w:rPr>
                <w:rFonts w:hint="eastAsia"/>
                <w:lang w:val="pt-BR"/>
              </w:rPr>
              <w:t>3</w:t>
            </w:r>
          </w:p>
        </w:tc>
        <w:tc>
          <w:tcPr>
            <w:tcW w:w="2634" w:type="dxa"/>
            <w:tcBorders>
              <w:top w:val="single" w:sz="4" w:space="0" w:color="auto"/>
              <w:bottom w:val="single" w:sz="4" w:space="0" w:color="auto"/>
            </w:tcBorders>
            <w:vAlign w:val="center"/>
          </w:tcPr>
          <w:p w:rsidR="00EE56C0" w:rsidRDefault="000F36A1">
            <w:pPr>
              <w:pStyle w:val="afa"/>
            </w:pPr>
            <w:r>
              <w:rPr>
                <w:rFonts w:hint="eastAsia"/>
                <w:lang w:val="pt-BR"/>
              </w:rPr>
              <w:t>年产</w:t>
            </w:r>
            <w:r>
              <w:rPr>
                <w:rFonts w:hint="eastAsia"/>
                <w:lang w:val="pt-BR"/>
              </w:rPr>
              <w:t>200</w:t>
            </w:r>
            <w:r>
              <w:rPr>
                <w:rFonts w:hint="eastAsia"/>
                <w:lang w:val="pt-BR"/>
              </w:rPr>
              <w:t>万只包装线盘项目</w:t>
            </w:r>
            <w:r>
              <w:rPr>
                <w:rFonts w:hint="eastAsia"/>
                <w:lang w:val="pt-BR"/>
              </w:rPr>
              <w:t>*</w:t>
            </w:r>
          </w:p>
        </w:tc>
        <w:tc>
          <w:tcPr>
            <w:tcW w:w="1477" w:type="dxa"/>
            <w:tcBorders>
              <w:bottom w:val="single" w:sz="4" w:space="0" w:color="auto"/>
              <w:right w:val="single" w:sz="4" w:space="0" w:color="auto"/>
            </w:tcBorders>
            <w:vAlign w:val="center"/>
          </w:tcPr>
          <w:p w:rsidR="00EE56C0" w:rsidRDefault="000F36A1">
            <w:pPr>
              <w:pStyle w:val="afa"/>
              <w:rPr>
                <w:lang w:val="pt-BR"/>
              </w:rPr>
            </w:pPr>
            <w:r>
              <w:rPr>
                <w:rFonts w:hint="eastAsia"/>
                <w:lang w:val="pt-BR"/>
              </w:rPr>
              <w:t>环境影响评价报告表</w:t>
            </w:r>
          </w:p>
        </w:tc>
        <w:tc>
          <w:tcPr>
            <w:tcW w:w="1559" w:type="dxa"/>
            <w:tcBorders>
              <w:left w:val="single" w:sz="4" w:space="0" w:color="auto"/>
              <w:bottom w:val="single" w:sz="4" w:space="0" w:color="auto"/>
            </w:tcBorders>
            <w:vAlign w:val="center"/>
          </w:tcPr>
          <w:p w:rsidR="00EE56C0" w:rsidRDefault="000F36A1">
            <w:pPr>
              <w:pStyle w:val="afa"/>
              <w:rPr>
                <w:lang w:val="pt-BR"/>
              </w:rPr>
            </w:pPr>
            <w:r>
              <w:rPr>
                <w:rFonts w:hint="eastAsia"/>
                <w:lang w:val="pt-BR"/>
              </w:rPr>
              <w:t>新环表</w:t>
            </w:r>
          </w:p>
          <w:p w:rsidR="00EE56C0" w:rsidRDefault="000F36A1">
            <w:pPr>
              <w:pStyle w:val="afa"/>
              <w:rPr>
                <w:lang w:val="pt-BR"/>
              </w:rPr>
            </w:pPr>
            <w:r>
              <w:rPr>
                <w:lang w:val="pt-BR"/>
              </w:rPr>
              <w:t>[2017]014</w:t>
            </w:r>
            <w:r>
              <w:rPr>
                <w:rFonts w:hint="eastAsia"/>
                <w:lang w:val="pt-BR"/>
              </w:rPr>
              <w:t>号</w:t>
            </w:r>
          </w:p>
        </w:tc>
        <w:tc>
          <w:tcPr>
            <w:tcW w:w="1418" w:type="dxa"/>
            <w:tcBorders>
              <w:bottom w:val="single" w:sz="4" w:space="0" w:color="auto"/>
              <w:right w:val="single" w:sz="4" w:space="0" w:color="auto"/>
            </w:tcBorders>
            <w:vAlign w:val="center"/>
          </w:tcPr>
          <w:p w:rsidR="00EE56C0" w:rsidRDefault="000F36A1">
            <w:pPr>
              <w:pStyle w:val="afa"/>
              <w:rPr>
                <w:lang w:val="pt-BR"/>
              </w:rPr>
            </w:pPr>
            <w:r>
              <w:rPr>
                <w:rFonts w:hint="eastAsia"/>
                <w:lang w:val="pt-BR"/>
              </w:rPr>
              <w:t>新环评验</w:t>
            </w:r>
            <w:r>
              <w:rPr>
                <w:lang w:val="pt-BR"/>
              </w:rPr>
              <w:t>[2018]011</w:t>
            </w:r>
            <w:r>
              <w:rPr>
                <w:rFonts w:hint="eastAsia"/>
                <w:lang w:val="pt-BR"/>
              </w:rPr>
              <w:t>号</w:t>
            </w:r>
          </w:p>
        </w:tc>
        <w:tc>
          <w:tcPr>
            <w:tcW w:w="1297" w:type="dxa"/>
            <w:tcBorders>
              <w:left w:val="single" w:sz="4" w:space="0" w:color="auto"/>
              <w:bottom w:val="single" w:sz="4" w:space="0" w:color="auto"/>
              <w:right w:val="single" w:sz="4" w:space="0" w:color="auto"/>
            </w:tcBorders>
            <w:vAlign w:val="center"/>
          </w:tcPr>
          <w:p w:rsidR="00EE56C0" w:rsidRDefault="000F36A1">
            <w:pPr>
              <w:pStyle w:val="afa"/>
              <w:rPr>
                <w:lang w:val="pt-BR"/>
              </w:rPr>
            </w:pPr>
            <w:r>
              <w:rPr>
                <w:rFonts w:hint="eastAsia"/>
                <w:lang w:val="pt-BR"/>
              </w:rPr>
              <w:t>不涉及</w:t>
            </w:r>
          </w:p>
        </w:tc>
      </w:tr>
    </w:tbl>
    <w:p w:rsidR="00EE56C0" w:rsidRDefault="000F36A1">
      <w:pPr>
        <w:pStyle w:val="a4"/>
        <w:ind w:firstLine="422"/>
      </w:pPr>
      <w:r>
        <w:rPr>
          <w:rFonts w:hint="eastAsia"/>
        </w:rPr>
        <w:t>注：</w:t>
      </w:r>
      <w:r>
        <w:rPr>
          <w:rFonts w:hint="eastAsia"/>
        </w:rPr>
        <w:t>*</w:t>
      </w:r>
      <w:r>
        <w:rPr>
          <w:rFonts w:hint="eastAsia"/>
        </w:rPr>
        <w:t>：“年产</w:t>
      </w:r>
      <w:r>
        <w:rPr>
          <w:rFonts w:hint="eastAsia"/>
        </w:rPr>
        <w:t>200</w:t>
      </w:r>
      <w:r>
        <w:rPr>
          <w:rFonts w:hint="eastAsia"/>
        </w:rPr>
        <w:t>万只包装线盘项目归属于新乡市华洋电工材料有限公司，但该项目有机废气依托本公司“活性炭转轮吸附</w:t>
      </w:r>
      <w:r>
        <w:rPr>
          <w:rFonts w:hint="eastAsia"/>
        </w:rPr>
        <w:t>-</w:t>
      </w:r>
      <w:r>
        <w:rPr>
          <w:rFonts w:hint="eastAsia"/>
        </w:rPr>
        <w:t>催化燃烧装置”措施进行治理，因此该项目废气排放纳入河南华洋电工科技集团有限公司进行管理。</w:t>
      </w:r>
    </w:p>
    <w:p w:rsidR="00EE56C0" w:rsidRDefault="000F36A1">
      <w:pPr>
        <w:ind w:firstLine="480"/>
      </w:pPr>
      <w:r>
        <w:rPr>
          <w:rFonts w:hint="eastAsia"/>
        </w:rPr>
        <w:t>该公</w:t>
      </w:r>
      <w:r>
        <w:rPr>
          <w:rFonts w:eastAsiaTheme="majorEastAsia" w:hAnsiTheme="majorEastAsia"/>
        </w:rPr>
        <w:t>司于</w:t>
      </w:r>
      <w:r>
        <w:rPr>
          <w:rFonts w:eastAsiaTheme="majorEastAsia"/>
        </w:rPr>
        <w:t>2020</w:t>
      </w:r>
      <w:r>
        <w:rPr>
          <w:rFonts w:eastAsiaTheme="majorEastAsia" w:hAnsiTheme="majorEastAsia"/>
        </w:rPr>
        <w:t>年</w:t>
      </w:r>
      <w:r>
        <w:rPr>
          <w:rFonts w:eastAsiaTheme="majorEastAsia"/>
        </w:rPr>
        <w:t>6</w:t>
      </w:r>
      <w:r>
        <w:rPr>
          <w:rFonts w:eastAsiaTheme="majorEastAsia" w:hAnsiTheme="majorEastAsia"/>
        </w:rPr>
        <w:t>月</w:t>
      </w:r>
      <w:r>
        <w:rPr>
          <w:rFonts w:eastAsiaTheme="majorEastAsia"/>
        </w:rPr>
        <w:t>23</w:t>
      </w:r>
      <w:r>
        <w:rPr>
          <w:rFonts w:eastAsiaTheme="majorEastAsia" w:hAnsiTheme="majorEastAsia"/>
        </w:rPr>
        <w:t>日取得排污许可证，属于简化管理，排污许可证编号为</w:t>
      </w:r>
      <w:r w:rsidRPr="00196B7E">
        <w:rPr>
          <w:rFonts w:eastAsiaTheme="majorEastAsia"/>
          <w:szCs w:val="24"/>
        </w:rPr>
        <w:t>914107217066142661001Y</w:t>
      </w:r>
      <w:r w:rsidRPr="00196B7E">
        <w:rPr>
          <w:rFonts w:eastAsiaTheme="majorEastAsia" w:hAnsiTheme="majorEastAsia"/>
          <w:szCs w:val="24"/>
        </w:rPr>
        <w:t>，有效期：</w:t>
      </w:r>
      <w:r w:rsidRPr="00196B7E">
        <w:rPr>
          <w:rFonts w:eastAsiaTheme="majorEastAsia"/>
          <w:szCs w:val="24"/>
        </w:rPr>
        <w:t>2020</w:t>
      </w:r>
      <w:r w:rsidRPr="00196B7E">
        <w:rPr>
          <w:rFonts w:eastAsiaTheme="majorEastAsia" w:hAnsiTheme="majorEastAsia"/>
          <w:szCs w:val="24"/>
        </w:rPr>
        <w:t>年</w:t>
      </w:r>
      <w:r w:rsidRPr="00196B7E">
        <w:rPr>
          <w:rFonts w:eastAsiaTheme="majorEastAsia"/>
          <w:szCs w:val="24"/>
        </w:rPr>
        <w:t>6</w:t>
      </w:r>
      <w:r w:rsidRPr="00196B7E">
        <w:rPr>
          <w:rFonts w:eastAsiaTheme="majorEastAsia" w:hAnsiTheme="majorEastAsia"/>
          <w:szCs w:val="24"/>
        </w:rPr>
        <w:t>月</w:t>
      </w:r>
      <w:r w:rsidRPr="00196B7E">
        <w:rPr>
          <w:rFonts w:eastAsiaTheme="majorEastAsia"/>
          <w:szCs w:val="24"/>
        </w:rPr>
        <w:t>23</w:t>
      </w:r>
      <w:r w:rsidRPr="00196B7E">
        <w:rPr>
          <w:rFonts w:eastAsiaTheme="majorEastAsia" w:hAnsiTheme="majorEastAsia"/>
          <w:szCs w:val="24"/>
        </w:rPr>
        <w:t>日至</w:t>
      </w:r>
      <w:r w:rsidRPr="00196B7E">
        <w:rPr>
          <w:rFonts w:eastAsiaTheme="majorEastAsia"/>
          <w:szCs w:val="24"/>
        </w:rPr>
        <w:t>2022</w:t>
      </w:r>
      <w:r w:rsidRPr="00196B7E">
        <w:rPr>
          <w:rFonts w:eastAsiaTheme="majorEastAsia" w:hAnsiTheme="majorEastAsia"/>
          <w:szCs w:val="24"/>
        </w:rPr>
        <w:t>年</w:t>
      </w:r>
      <w:r w:rsidRPr="00196B7E">
        <w:rPr>
          <w:rFonts w:eastAsiaTheme="majorEastAsia"/>
          <w:szCs w:val="24"/>
        </w:rPr>
        <w:t>6</w:t>
      </w:r>
      <w:r w:rsidRPr="00196B7E">
        <w:rPr>
          <w:rFonts w:eastAsiaTheme="majorEastAsia" w:hAnsiTheme="majorEastAsia"/>
          <w:szCs w:val="24"/>
        </w:rPr>
        <w:t>月</w:t>
      </w:r>
      <w:r w:rsidRPr="00196B7E">
        <w:rPr>
          <w:rFonts w:eastAsiaTheme="majorEastAsia"/>
          <w:szCs w:val="24"/>
        </w:rPr>
        <w:t>23</w:t>
      </w:r>
      <w:r w:rsidRPr="00196B7E">
        <w:rPr>
          <w:rFonts w:eastAsiaTheme="majorEastAsia" w:hAnsiTheme="majorEastAsia"/>
          <w:szCs w:val="24"/>
        </w:rPr>
        <w:t>日。</w:t>
      </w:r>
    </w:p>
    <w:p w:rsidR="00EE56C0" w:rsidRDefault="000F36A1">
      <w:pPr>
        <w:ind w:firstLine="480"/>
      </w:pPr>
      <w:r>
        <w:t>河南华洋电工科技集团有限公司拟投资</w:t>
      </w:r>
      <w:r>
        <w:t>1</w:t>
      </w:r>
      <w:r>
        <w:rPr>
          <w:rFonts w:hint="eastAsia"/>
        </w:rPr>
        <w:t>3750</w:t>
      </w:r>
      <w:r>
        <w:t>万元</w:t>
      </w:r>
      <w:r>
        <w:rPr>
          <w:rFonts w:hint="eastAsia"/>
        </w:rPr>
        <w:t>进行改扩建，利用现有厂房建设高可靠性抗高压耐热绕组线项目，建设性质为改扩建项目，建设内容分两期进行，如下：</w:t>
      </w:r>
    </w:p>
    <w:p w:rsidR="00EE56C0" w:rsidRDefault="000F36A1">
      <w:pPr>
        <w:ind w:firstLine="480"/>
      </w:pPr>
      <w:r>
        <w:rPr>
          <w:rFonts w:hint="eastAsia"/>
        </w:rPr>
        <w:t>一期内容为：对现有漆包线的</w:t>
      </w:r>
      <w:r>
        <w:rPr>
          <w:rFonts w:hint="eastAsia"/>
        </w:rPr>
        <w:t>10</w:t>
      </w:r>
      <w:r>
        <w:rPr>
          <w:rFonts w:hint="eastAsia"/>
        </w:rPr>
        <w:t>台（</w:t>
      </w:r>
      <w:r>
        <w:rPr>
          <w:rFonts w:hint="eastAsia"/>
        </w:rPr>
        <w:t>6</w:t>
      </w:r>
      <w:r>
        <w:rPr>
          <w:rFonts w:hint="eastAsia"/>
        </w:rPr>
        <w:t>台卧式漆包机、</w:t>
      </w:r>
      <w:r>
        <w:rPr>
          <w:rFonts w:hint="eastAsia"/>
        </w:rPr>
        <w:t>4</w:t>
      </w:r>
      <w:r>
        <w:rPr>
          <w:rFonts w:hint="eastAsia"/>
        </w:rPr>
        <w:t>台立式漆包机）设备进行改建，同时新增漆包机</w:t>
      </w:r>
      <w:r>
        <w:rPr>
          <w:rFonts w:hint="eastAsia"/>
        </w:rPr>
        <w:t>1</w:t>
      </w:r>
      <w:r>
        <w:rPr>
          <w:rFonts w:hint="eastAsia"/>
        </w:rPr>
        <w:t>台、拉包机</w:t>
      </w:r>
      <w:r>
        <w:rPr>
          <w:rFonts w:hint="eastAsia"/>
        </w:rPr>
        <w:t>5</w:t>
      </w:r>
      <w:r>
        <w:rPr>
          <w:rFonts w:hint="eastAsia"/>
        </w:rPr>
        <w:t>台、丝包机</w:t>
      </w:r>
      <w:r>
        <w:rPr>
          <w:rFonts w:hint="eastAsia"/>
        </w:rPr>
        <w:t>19</w:t>
      </w:r>
      <w:r>
        <w:rPr>
          <w:rFonts w:hint="eastAsia"/>
        </w:rPr>
        <w:t>台、纸包机</w:t>
      </w:r>
      <w:r>
        <w:rPr>
          <w:rFonts w:hint="eastAsia"/>
        </w:rPr>
        <w:t>4</w:t>
      </w:r>
      <w:r>
        <w:rPr>
          <w:rFonts w:hint="eastAsia"/>
        </w:rPr>
        <w:t>台、烧结机</w:t>
      </w:r>
      <w:r>
        <w:rPr>
          <w:rFonts w:hint="eastAsia"/>
        </w:rPr>
        <w:t>2</w:t>
      </w:r>
      <w:r>
        <w:rPr>
          <w:rFonts w:hint="eastAsia"/>
        </w:rPr>
        <w:t>台及相关配套设备。一期建成后，新增漆包线</w:t>
      </w:r>
      <w:r>
        <w:rPr>
          <w:rFonts w:hint="eastAsia"/>
        </w:rPr>
        <w:t>7700</w:t>
      </w:r>
      <w:r>
        <w:rPr>
          <w:rFonts w:hint="eastAsia"/>
        </w:rPr>
        <w:t>吨</w:t>
      </w:r>
      <w:r>
        <w:rPr>
          <w:rFonts w:hint="eastAsia"/>
        </w:rPr>
        <w:t>/</w:t>
      </w:r>
      <w:r>
        <w:rPr>
          <w:rFonts w:hint="eastAsia"/>
        </w:rPr>
        <w:t>年、丝包线</w:t>
      </w:r>
      <w:r>
        <w:rPr>
          <w:rFonts w:hint="eastAsia"/>
        </w:rPr>
        <w:t>4940</w:t>
      </w:r>
      <w:r>
        <w:rPr>
          <w:rFonts w:hint="eastAsia"/>
        </w:rPr>
        <w:t>吨</w:t>
      </w:r>
      <w:r>
        <w:rPr>
          <w:rFonts w:hint="eastAsia"/>
        </w:rPr>
        <w:t>/</w:t>
      </w:r>
      <w:r>
        <w:rPr>
          <w:rFonts w:hint="eastAsia"/>
        </w:rPr>
        <w:t>年、纸包线</w:t>
      </w:r>
      <w:r>
        <w:rPr>
          <w:rFonts w:hint="eastAsia"/>
        </w:rPr>
        <w:t>1440</w:t>
      </w:r>
      <w:r>
        <w:rPr>
          <w:rFonts w:hint="eastAsia"/>
        </w:rPr>
        <w:t>吨</w:t>
      </w:r>
      <w:r>
        <w:rPr>
          <w:rFonts w:hint="eastAsia"/>
        </w:rPr>
        <w:t>/</w:t>
      </w:r>
      <w:r>
        <w:rPr>
          <w:rFonts w:hint="eastAsia"/>
        </w:rPr>
        <w:t>年、烧结线</w:t>
      </w:r>
      <w:r>
        <w:rPr>
          <w:rFonts w:hint="eastAsia"/>
        </w:rPr>
        <w:t>240</w:t>
      </w:r>
      <w:r>
        <w:rPr>
          <w:rFonts w:hint="eastAsia"/>
        </w:rPr>
        <w:t>吨</w:t>
      </w:r>
      <w:r>
        <w:rPr>
          <w:rFonts w:hint="eastAsia"/>
        </w:rPr>
        <w:t>/</w:t>
      </w:r>
      <w:r>
        <w:rPr>
          <w:rFonts w:hint="eastAsia"/>
        </w:rPr>
        <w:t>年，合计产能</w:t>
      </w:r>
      <w:r>
        <w:rPr>
          <w:rFonts w:hint="eastAsia"/>
        </w:rPr>
        <w:t>14320</w:t>
      </w:r>
      <w:r>
        <w:rPr>
          <w:rFonts w:hint="eastAsia"/>
        </w:rPr>
        <w:t>吨</w:t>
      </w:r>
      <w:r>
        <w:rPr>
          <w:rFonts w:hint="eastAsia"/>
        </w:rPr>
        <w:t>/</w:t>
      </w:r>
      <w:r>
        <w:rPr>
          <w:rFonts w:hint="eastAsia"/>
        </w:rPr>
        <w:t>年。</w:t>
      </w:r>
    </w:p>
    <w:p w:rsidR="00EE56C0" w:rsidRDefault="000F36A1">
      <w:pPr>
        <w:ind w:firstLine="480"/>
      </w:pPr>
      <w:r>
        <w:rPr>
          <w:rFonts w:hint="eastAsia"/>
        </w:rPr>
        <w:t>二期内容为：对现有漆包线的</w:t>
      </w:r>
      <w:r>
        <w:rPr>
          <w:rFonts w:hint="eastAsia"/>
        </w:rPr>
        <w:t>6</w:t>
      </w:r>
      <w:r>
        <w:rPr>
          <w:rFonts w:hint="eastAsia"/>
        </w:rPr>
        <w:t>台漆包机进行改建，同时新增漆包机</w:t>
      </w:r>
      <w:r>
        <w:rPr>
          <w:rFonts w:hint="eastAsia"/>
        </w:rPr>
        <w:t>3</w:t>
      </w:r>
      <w:r>
        <w:rPr>
          <w:rFonts w:hint="eastAsia"/>
        </w:rPr>
        <w:t>台、拉包机</w:t>
      </w:r>
      <w:r>
        <w:rPr>
          <w:rFonts w:hint="eastAsia"/>
        </w:rPr>
        <w:t>14</w:t>
      </w:r>
      <w:r>
        <w:rPr>
          <w:rFonts w:hint="eastAsia"/>
        </w:rPr>
        <w:t>台、丝包机</w:t>
      </w:r>
      <w:r>
        <w:rPr>
          <w:rFonts w:hint="eastAsia"/>
        </w:rPr>
        <w:t>15</w:t>
      </w:r>
      <w:r>
        <w:rPr>
          <w:rFonts w:hint="eastAsia"/>
        </w:rPr>
        <w:t>台、烧结机</w:t>
      </w:r>
      <w:r>
        <w:rPr>
          <w:rFonts w:hint="eastAsia"/>
        </w:rPr>
        <w:t>4</w:t>
      </w:r>
      <w:r>
        <w:rPr>
          <w:rFonts w:hint="eastAsia"/>
        </w:rPr>
        <w:t>台及相关配套设备。二期建成后，新增漆包线</w:t>
      </w:r>
      <w:r>
        <w:rPr>
          <w:rFonts w:hint="eastAsia"/>
        </w:rPr>
        <w:t>21300</w:t>
      </w:r>
      <w:r>
        <w:rPr>
          <w:rFonts w:hint="eastAsia"/>
        </w:rPr>
        <w:t>吨</w:t>
      </w:r>
      <w:r>
        <w:rPr>
          <w:rFonts w:hint="eastAsia"/>
        </w:rPr>
        <w:t>/</w:t>
      </w:r>
      <w:r>
        <w:rPr>
          <w:rFonts w:hint="eastAsia"/>
        </w:rPr>
        <w:t>年、丝包线</w:t>
      </w:r>
      <w:r>
        <w:rPr>
          <w:rFonts w:hint="eastAsia"/>
        </w:rPr>
        <w:t>3900</w:t>
      </w:r>
      <w:r>
        <w:rPr>
          <w:rFonts w:hint="eastAsia"/>
        </w:rPr>
        <w:t>吨</w:t>
      </w:r>
      <w:r>
        <w:rPr>
          <w:rFonts w:hint="eastAsia"/>
        </w:rPr>
        <w:t>/</w:t>
      </w:r>
      <w:r>
        <w:rPr>
          <w:rFonts w:hint="eastAsia"/>
        </w:rPr>
        <w:t>年、烧结线</w:t>
      </w:r>
      <w:r>
        <w:rPr>
          <w:rFonts w:hint="eastAsia"/>
        </w:rPr>
        <w:t>480</w:t>
      </w:r>
      <w:r>
        <w:rPr>
          <w:rFonts w:hint="eastAsia"/>
        </w:rPr>
        <w:t>吨</w:t>
      </w:r>
      <w:r>
        <w:rPr>
          <w:rFonts w:hint="eastAsia"/>
        </w:rPr>
        <w:t>/</w:t>
      </w:r>
      <w:r>
        <w:rPr>
          <w:rFonts w:hint="eastAsia"/>
        </w:rPr>
        <w:t>年，合计产能</w:t>
      </w:r>
      <w:r>
        <w:rPr>
          <w:rFonts w:hint="eastAsia"/>
        </w:rPr>
        <w:t>25680</w:t>
      </w:r>
      <w:r>
        <w:rPr>
          <w:rFonts w:hint="eastAsia"/>
        </w:rPr>
        <w:t>吨</w:t>
      </w:r>
      <w:r>
        <w:rPr>
          <w:rFonts w:hint="eastAsia"/>
        </w:rPr>
        <w:t>/</w:t>
      </w:r>
      <w:r>
        <w:rPr>
          <w:rFonts w:hint="eastAsia"/>
        </w:rPr>
        <w:t>年。</w:t>
      </w:r>
    </w:p>
    <w:p w:rsidR="00EE56C0" w:rsidRDefault="000F36A1">
      <w:pPr>
        <w:ind w:firstLine="480"/>
      </w:pPr>
      <w:r>
        <w:rPr>
          <w:rFonts w:hint="eastAsia"/>
        </w:rPr>
        <w:t>一期、二期建成后，全厂漆包线</w:t>
      </w:r>
      <w:r>
        <w:rPr>
          <w:rFonts w:hint="eastAsia"/>
        </w:rPr>
        <w:t>79400</w:t>
      </w:r>
      <w:r>
        <w:rPr>
          <w:rFonts w:hint="eastAsia"/>
        </w:rPr>
        <w:t>吨</w:t>
      </w:r>
      <w:r>
        <w:rPr>
          <w:rFonts w:hint="eastAsia"/>
        </w:rPr>
        <w:t>/</w:t>
      </w:r>
      <w:r>
        <w:rPr>
          <w:rFonts w:hint="eastAsia"/>
        </w:rPr>
        <w:t>年、丝包线</w:t>
      </w:r>
      <w:r>
        <w:rPr>
          <w:rFonts w:hint="eastAsia"/>
        </w:rPr>
        <w:t>11720</w:t>
      </w:r>
      <w:r>
        <w:rPr>
          <w:rFonts w:hint="eastAsia"/>
        </w:rPr>
        <w:t>吨</w:t>
      </w:r>
      <w:r>
        <w:rPr>
          <w:rFonts w:hint="eastAsia"/>
        </w:rPr>
        <w:t>/</w:t>
      </w:r>
      <w:r>
        <w:rPr>
          <w:rFonts w:hint="eastAsia"/>
        </w:rPr>
        <w:t>年、纸包线</w:t>
      </w:r>
      <w:r>
        <w:rPr>
          <w:rFonts w:hint="eastAsia"/>
        </w:rPr>
        <w:t>6160</w:t>
      </w:r>
      <w:r>
        <w:rPr>
          <w:rFonts w:hint="eastAsia"/>
        </w:rPr>
        <w:t>吨</w:t>
      </w:r>
      <w:r>
        <w:rPr>
          <w:rFonts w:hint="eastAsia"/>
        </w:rPr>
        <w:t>/</w:t>
      </w:r>
      <w:r>
        <w:rPr>
          <w:rFonts w:hint="eastAsia"/>
        </w:rPr>
        <w:t>年、烧结线</w:t>
      </w:r>
      <w:r>
        <w:rPr>
          <w:rFonts w:hint="eastAsia"/>
        </w:rPr>
        <w:t>2720</w:t>
      </w:r>
      <w:r>
        <w:rPr>
          <w:rFonts w:hint="eastAsia"/>
        </w:rPr>
        <w:t>吨</w:t>
      </w:r>
      <w:r>
        <w:rPr>
          <w:rFonts w:hint="eastAsia"/>
        </w:rPr>
        <w:t>/</w:t>
      </w:r>
      <w:r>
        <w:rPr>
          <w:rFonts w:hint="eastAsia"/>
        </w:rPr>
        <w:t>年，绝缘线生产能力达到</w:t>
      </w:r>
      <w:r>
        <w:rPr>
          <w:rFonts w:hint="eastAsia"/>
        </w:rPr>
        <w:t>10</w:t>
      </w:r>
      <w:r>
        <w:rPr>
          <w:rFonts w:hint="eastAsia"/>
        </w:rPr>
        <w:t>万吨</w:t>
      </w:r>
      <w:r>
        <w:rPr>
          <w:rFonts w:hint="eastAsia"/>
        </w:rPr>
        <w:t>/</w:t>
      </w:r>
      <w:r>
        <w:rPr>
          <w:rFonts w:hint="eastAsia"/>
        </w:rPr>
        <w:t>年。</w:t>
      </w:r>
    </w:p>
    <w:p w:rsidR="00EE56C0" w:rsidRDefault="000F36A1">
      <w:pPr>
        <w:ind w:firstLine="480"/>
      </w:pPr>
      <w:r>
        <w:rPr>
          <w:rFonts w:hint="eastAsia"/>
        </w:rPr>
        <w:t>根据《产业结构调整指导目录（</w:t>
      </w:r>
      <w:r>
        <w:rPr>
          <w:rFonts w:hint="eastAsia"/>
        </w:rPr>
        <w:t>2019</w:t>
      </w:r>
      <w:r>
        <w:rPr>
          <w:rFonts w:hint="eastAsia"/>
        </w:rPr>
        <w:t>年本）》</w:t>
      </w:r>
      <w:r w:rsidR="00C96DE7">
        <w:rPr>
          <w:rFonts w:hint="eastAsia"/>
        </w:rPr>
        <w:t>及修改文件</w:t>
      </w:r>
      <w:r>
        <w:rPr>
          <w:rFonts w:hint="eastAsia"/>
        </w:rPr>
        <w:t>，该项目不属于</w:t>
      </w:r>
      <w:r>
        <w:rPr>
          <w:rFonts w:hint="eastAsia"/>
        </w:rPr>
        <w:lastRenderedPageBreak/>
        <w:t>鼓励类、限制类或淘汰类，属于允许类项目。该项目已经由河南新乡经济技术集聚区管理委员会备案，项目代码：</w:t>
      </w:r>
      <w:r>
        <w:rPr>
          <w:rFonts w:hint="eastAsia"/>
        </w:rPr>
        <w:t>2020-410721-38-03-078138</w:t>
      </w:r>
      <w:r>
        <w:rPr>
          <w:rFonts w:hint="eastAsia"/>
        </w:rPr>
        <w:t>，详见附件二。</w:t>
      </w:r>
    </w:p>
    <w:p w:rsidR="00EE56C0" w:rsidRDefault="000F36A1">
      <w:pPr>
        <w:ind w:firstLine="480"/>
      </w:pPr>
      <w:r>
        <w:rPr>
          <w:rFonts w:hint="eastAsia"/>
        </w:rPr>
        <w:t>依据《建设项目环境影响评价分类管理名录》（</w:t>
      </w:r>
      <w:r>
        <w:rPr>
          <w:rFonts w:hint="eastAsia"/>
        </w:rPr>
        <w:t>2021</w:t>
      </w:r>
      <w:r>
        <w:rPr>
          <w:rFonts w:hint="eastAsia"/>
        </w:rPr>
        <w:t>版），本项目属于第三十五类“电气机械和器材制造业</w:t>
      </w:r>
      <w:r>
        <w:rPr>
          <w:rFonts w:hint="eastAsia"/>
        </w:rPr>
        <w:t>38</w:t>
      </w:r>
      <w:r>
        <w:rPr>
          <w:rFonts w:hint="eastAsia"/>
        </w:rPr>
        <w:t>”</w:t>
      </w:r>
      <w:r>
        <w:t>第</w:t>
      </w:r>
      <w:r>
        <w:rPr>
          <w:rFonts w:hint="eastAsia"/>
        </w:rPr>
        <w:t>77</w:t>
      </w:r>
      <w:r>
        <w:t>条</w:t>
      </w:r>
      <w:r>
        <w:rPr>
          <w:rFonts w:hint="eastAsia"/>
        </w:rPr>
        <w:t>：电线、电缆、光缆及电工器材制造</w:t>
      </w:r>
      <w:r>
        <w:t>383</w:t>
      </w:r>
      <w:r>
        <w:rPr>
          <w:rFonts w:hint="eastAsia"/>
        </w:rPr>
        <w:t>。名录规定：“</w:t>
      </w:r>
      <w:r>
        <w:rPr>
          <w:rFonts w:hint="eastAsia"/>
          <w:szCs w:val="21"/>
        </w:rPr>
        <w:t>铅蓄电池制造；太阳能电池片生产；有电镀工艺的；年用溶剂型涂料（含稀释剂）</w:t>
      </w:r>
      <w:r>
        <w:rPr>
          <w:rFonts w:hint="eastAsia"/>
          <w:szCs w:val="21"/>
        </w:rPr>
        <w:t>10</w:t>
      </w:r>
      <w:r>
        <w:rPr>
          <w:rFonts w:hint="eastAsia"/>
          <w:szCs w:val="21"/>
        </w:rPr>
        <w:t>吨及以上的</w:t>
      </w:r>
      <w:r>
        <w:rPr>
          <w:rFonts w:hint="eastAsia"/>
        </w:rPr>
        <w:t>”项目需要编制环境影响报告书，其他（仅分割、焊接、组装的除外；年用非溶剂型低</w:t>
      </w:r>
      <w:r>
        <w:rPr>
          <w:rFonts w:hint="eastAsia"/>
        </w:rPr>
        <w:t>VOCs</w:t>
      </w:r>
      <w:r>
        <w:rPr>
          <w:rFonts w:hint="eastAsia"/>
        </w:rPr>
        <w:t>含量涂料</w:t>
      </w:r>
      <w:r>
        <w:rPr>
          <w:rFonts w:hint="eastAsia"/>
        </w:rPr>
        <w:t>10</w:t>
      </w:r>
      <w:r>
        <w:rPr>
          <w:rFonts w:hint="eastAsia"/>
        </w:rPr>
        <w:t>吨以下的除外）项目需要编制环境影响报告表。本项目产品漆包线、丝包线属于电气机械和器材制造业，且</w:t>
      </w:r>
      <w:r>
        <w:rPr>
          <w:rFonts w:hint="eastAsia"/>
          <w:szCs w:val="21"/>
        </w:rPr>
        <w:t>年用溶剂型涂料在</w:t>
      </w:r>
      <w:r>
        <w:rPr>
          <w:rFonts w:hint="eastAsia"/>
          <w:szCs w:val="21"/>
        </w:rPr>
        <w:t>10</w:t>
      </w:r>
      <w:r>
        <w:rPr>
          <w:rFonts w:hint="eastAsia"/>
          <w:szCs w:val="21"/>
        </w:rPr>
        <w:t>吨以上</w:t>
      </w:r>
      <w:r>
        <w:rPr>
          <w:rFonts w:hint="eastAsia"/>
        </w:rPr>
        <w:t>，因此应编制环境影响报告书。</w:t>
      </w:r>
    </w:p>
    <w:p w:rsidR="00EE56C0" w:rsidRDefault="000F36A1">
      <w:pPr>
        <w:ind w:firstLine="480"/>
      </w:pPr>
      <w:r>
        <w:rPr>
          <w:rFonts w:hint="eastAsia"/>
        </w:rPr>
        <w:t>受建设单位委托，河南蓝天环境工程有限公司承担了该项目环境影响评价工作。根据《中华人民共和国环境影响评价法》，在现场踏勘和收集资料的基础上，依据《环境影响评价技术导则》相关要求，按照“突出环境影响评价的源头预防作用，坚持保护和改善环境质量”的原则，编制完成了《河南华洋电工科技集团有限公司高可靠性抗高压耐热绕组线项目环境影响报告书》。</w:t>
      </w:r>
    </w:p>
    <w:p w:rsidR="00EE56C0" w:rsidRDefault="000F36A1">
      <w:pPr>
        <w:pStyle w:val="2"/>
        <w:ind w:left="301" w:firstLineChars="0" w:firstLine="0"/>
      </w:pPr>
      <w:bookmarkStart w:id="14" w:name="_Toc429318380"/>
      <w:bookmarkStart w:id="15" w:name="_Toc428287158"/>
      <w:bookmarkStart w:id="16" w:name="_Toc25400882"/>
      <w:bookmarkStart w:id="17" w:name="_Toc428286764"/>
      <w:r>
        <w:rPr>
          <w:rFonts w:hint="eastAsia"/>
        </w:rPr>
        <w:t>1.2</w:t>
      </w:r>
      <w:r>
        <w:rPr>
          <w:rFonts w:hint="eastAsia"/>
        </w:rPr>
        <w:t>工程和环境特点</w:t>
      </w:r>
      <w:bookmarkEnd w:id="14"/>
      <w:bookmarkEnd w:id="15"/>
      <w:bookmarkEnd w:id="16"/>
      <w:bookmarkEnd w:id="17"/>
    </w:p>
    <w:p w:rsidR="00EE56C0" w:rsidRDefault="000F36A1">
      <w:pPr>
        <w:pStyle w:val="3"/>
        <w:spacing w:before="240" w:after="120"/>
      </w:pPr>
      <w:bookmarkStart w:id="18" w:name="_Toc428286765"/>
      <w:bookmarkStart w:id="19" w:name="_Toc428287511"/>
      <w:bookmarkStart w:id="20" w:name="_Toc428287159"/>
      <w:r>
        <w:rPr>
          <w:rFonts w:hint="eastAsia"/>
        </w:rPr>
        <w:t>1.2.1</w:t>
      </w:r>
      <w:r>
        <w:rPr>
          <w:rFonts w:hint="eastAsia"/>
        </w:rPr>
        <w:t>工程特点</w:t>
      </w:r>
      <w:bookmarkEnd w:id="18"/>
      <w:bookmarkEnd w:id="19"/>
      <w:bookmarkEnd w:id="20"/>
    </w:p>
    <w:p w:rsidR="00EE56C0" w:rsidRDefault="000F36A1">
      <w:pPr>
        <w:ind w:firstLine="480"/>
      </w:pPr>
      <w:r>
        <w:rPr>
          <w:rFonts w:hint="eastAsia"/>
        </w:rPr>
        <w:t>①项目属于《产业结构调整指导目录（</w:t>
      </w:r>
      <w:r>
        <w:rPr>
          <w:rFonts w:hint="eastAsia"/>
        </w:rPr>
        <w:t>2019</w:t>
      </w:r>
      <w:r>
        <w:rPr>
          <w:rFonts w:hint="eastAsia"/>
        </w:rPr>
        <w:t>年本）》</w:t>
      </w:r>
      <w:r w:rsidR="00C96DE7">
        <w:rPr>
          <w:rFonts w:hint="eastAsia"/>
        </w:rPr>
        <w:t>及修改文件</w:t>
      </w:r>
      <w:r>
        <w:rPr>
          <w:rFonts w:hint="eastAsia"/>
        </w:rPr>
        <w:t>允许类项目，符合国家产业政策；</w:t>
      </w:r>
    </w:p>
    <w:p w:rsidR="00EE56C0" w:rsidRDefault="000F36A1">
      <w:pPr>
        <w:ind w:firstLine="480"/>
      </w:pPr>
      <w:r>
        <w:rPr>
          <w:rFonts w:hint="eastAsia"/>
        </w:rPr>
        <w:t>②项目厂址位于新乡市新乡县新乡经济技术集聚区远大路西段，根据《</w:t>
      </w:r>
      <w:r>
        <w:t>新乡经济技术产业集聚区总体发展规划（</w:t>
      </w:r>
      <w:r>
        <w:t>201</w:t>
      </w:r>
      <w:r>
        <w:rPr>
          <w:rFonts w:hint="eastAsia"/>
        </w:rPr>
        <w:t>7</w:t>
      </w:r>
      <w:r>
        <w:t>-2025</w:t>
      </w:r>
      <w:r>
        <w:t>）</w:t>
      </w:r>
      <w:r>
        <w:rPr>
          <w:rFonts w:hint="eastAsia"/>
        </w:rPr>
        <w:t>》用地规划图，本项目用地属于二类工业用地，符合</w:t>
      </w:r>
      <w:r>
        <w:t>新乡经济技术产业集聚区</w:t>
      </w:r>
      <w:r>
        <w:rPr>
          <w:rFonts w:hint="eastAsia"/>
        </w:rPr>
        <w:t>土地利用规划；</w:t>
      </w:r>
    </w:p>
    <w:p w:rsidR="00EE56C0" w:rsidRDefault="000F36A1">
      <w:pPr>
        <w:ind w:firstLine="480"/>
      </w:pPr>
      <w:r>
        <w:rPr>
          <w:rFonts w:hint="eastAsia"/>
        </w:rPr>
        <w:t>③本项目供水来自厂区自备井，排水主要为生活污水和反渗透浓水，目前为厂区绿化，待管网接通后，在厂区总排口经管网进入新乡县综合污水处理厂进行处理。</w:t>
      </w:r>
    </w:p>
    <w:p w:rsidR="00EE56C0" w:rsidRDefault="000F36A1">
      <w:pPr>
        <w:ind w:firstLine="480"/>
      </w:pPr>
      <w:r>
        <w:rPr>
          <w:rFonts w:hint="eastAsia"/>
        </w:rPr>
        <w:t>④项目属于电气机械和器材制造业，项目漆包线、丝包线采用浸漆工艺，生</w:t>
      </w:r>
      <w:r>
        <w:rPr>
          <w:rFonts w:hint="eastAsia"/>
        </w:rPr>
        <w:lastRenderedPageBreak/>
        <w:t>产过程中会产生一些有机气体和固体废物。根据项目排污特点，工程具有成熟的治理技术，可以保证废气、废水、噪声达标排放，固废有效处置。工程排污应严格执行国家相关排放标准。</w:t>
      </w:r>
    </w:p>
    <w:p w:rsidR="00EE56C0" w:rsidRDefault="000F36A1">
      <w:pPr>
        <w:pStyle w:val="3"/>
        <w:spacing w:before="240" w:after="120"/>
      </w:pPr>
      <w:bookmarkStart w:id="21" w:name="_Toc428286766"/>
      <w:bookmarkStart w:id="22" w:name="_Toc428287512"/>
      <w:bookmarkStart w:id="23" w:name="_Toc428287160"/>
      <w:r>
        <w:rPr>
          <w:rFonts w:hint="eastAsia"/>
        </w:rPr>
        <w:t>1.2.2</w:t>
      </w:r>
      <w:r>
        <w:rPr>
          <w:rFonts w:hint="eastAsia"/>
        </w:rPr>
        <w:t>环境特点</w:t>
      </w:r>
      <w:bookmarkEnd w:id="21"/>
      <w:bookmarkEnd w:id="22"/>
      <w:bookmarkEnd w:id="23"/>
    </w:p>
    <w:p w:rsidR="00EE56C0" w:rsidRDefault="000F36A1">
      <w:pPr>
        <w:ind w:firstLine="480"/>
      </w:pPr>
      <w:r>
        <w:rPr>
          <w:rFonts w:hint="eastAsia"/>
        </w:rPr>
        <w:t>①工程厂址周围主要为农田、工业企业，噪声环境质量现状较好；空气质量属于未达标区。</w:t>
      </w:r>
    </w:p>
    <w:p w:rsidR="00EE56C0" w:rsidRDefault="000F36A1">
      <w:pPr>
        <w:ind w:firstLine="480"/>
      </w:pPr>
      <w:r>
        <w:rPr>
          <w:rFonts w:hint="eastAsia"/>
        </w:rPr>
        <w:t>②该项目纳污水体为东孟姜女河，属海河流域，水域规划功能为Ⅳ类，目前不能满足规划要求。工程所排废水在达标排放的基础上必须满足区域总量控制规划要求。</w:t>
      </w:r>
    </w:p>
    <w:p w:rsidR="00EE56C0" w:rsidRDefault="000F36A1">
      <w:pPr>
        <w:ind w:firstLine="480"/>
      </w:pPr>
      <w:r>
        <w:rPr>
          <w:rFonts w:hint="eastAsia"/>
        </w:rPr>
        <w:t>③项目厂址不在新乡市饮用水源保护区范围内。</w:t>
      </w:r>
    </w:p>
    <w:p w:rsidR="00EE56C0" w:rsidRDefault="000F36A1">
      <w:pPr>
        <w:ind w:firstLine="480"/>
      </w:pPr>
      <w:r>
        <w:rPr>
          <w:rFonts w:hint="eastAsia"/>
        </w:rPr>
        <w:t>④项目厂址</w:t>
      </w:r>
      <w:r>
        <w:rPr>
          <w:rFonts w:hint="eastAsia"/>
        </w:rPr>
        <w:t>1km</w:t>
      </w:r>
      <w:r>
        <w:rPr>
          <w:rFonts w:hint="eastAsia"/>
        </w:rPr>
        <w:t>范围内暂未发现文物保护单位。</w:t>
      </w:r>
    </w:p>
    <w:p w:rsidR="00EE56C0" w:rsidRDefault="000F36A1">
      <w:pPr>
        <w:pStyle w:val="2"/>
        <w:ind w:firstLine="301"/>
      </w:pPr>
      <w:bookmarkStart w:id="24" w:name="_Toc25400883"/>
      <w:r>
        <w:rPr>
          <w:rFonts w:hint="eastAsia"/>
        </w:rPr>
        <w:t>1.3</w:t>
      </w:r>
      <w:r>
        <w:rPr>
          <w:rFonts w:hint="eastAsia"/>
        </w:rPr>
        <w:t>环境影响评价的工作过程</w:t>
      </w:r>
      <w:bookmarkEnd w:id="24"/>
    </w:p>
    <w:p w:rsidR="00EE56C0" w:rsidRDefault="000F36A1">
      <w:pPr>
        <w:ind w:firstLine="480"/>
      </w:pPr>
      <w:r>
        <w:rPr>
          <w:rFonts w:hint="eastAsia"/>
        </w:rPr>
        <w:t>2021</w:t>
      </w:r>
      <w:r>
        <w:rPr>
          <w:rFonts w:hint="eastAsia"/>
        </w:rPr>
        <w:t>年</w:t>
      </w:r>
      <w:r>
        <w:rPr>
          <w:rFonts w:hint="eastAsia"/>
        </w:rPr>
        <w:t>3</w:t>
      </w:r>
      <w:r>
        <w:rPr>
          <w:rFonts w:hint="eastAsia"/>
        </w:rPr>
        <w:t>月，接受建设单位的委托，项目启动，河南蓝天环境工程有限公司对拟建厂址及周围环境情况进行了实地踏勘，并收集了相关资料。</w:t>
      </w:r>
    </w:p>
    <w:p w:rsidR="00EE56C0" w:rsidRDefault="000F36A1">
      <w:pPr>
        <w:ind w:firstLine="480"/>
      </w:pPr>
      <w:r>
        <w:rPr>
          <w:rFonts w:hint="eastAsia"/>
        </w:rPr>
        <w:t>2021</w:t>
      </w:r>
      <w:r>
        <w:rPr>
          <w:rFonts w:hint="eastAsia"/>
        </w:rPr>
        <w:t>年</w:t>
      </w:r>
      <w:r>
        <w:rPr>
          <w:rFonts w:hint="eastAsia"/>
        </w:rPr>
        <w:t>4</w:t>
      </w:r>
      <w:r>
        <w:rPr>
          <w:rFonts w:hint="eastAsia"/>
        </w:rPr>
        <w:t>月，河南蓝天环境工程有限公司对建设单位的生产情况、工艺过程、设备及原料、产排污情况进行了考察记录。</w:t>
      </w:r>
    </w:p>
    <w:p w:rsidR="00EE56C0" w:rsidRDefault="000F36A1">
      <w:pPr>
        <w:ind w:firstLine="480"/>
      </w:pPr>
      <w:r>
        <w:t>202</w:t>
      </w:r>
      <w:r>
        <w:rPr>
          <w:rFonts w:hint="eastAsia"/>
        </w:rPr>
        <w:t>1</w:t>
      </w:r>
      <w:r>
        <w:rPr>
          <w:rFonts w:hint="eastAsia"/>
        </w:rPr>
        <w:t>年</w:t>
      </w:r>
      <w:r>
        <w:rPr>
          <w:rFonts w:hint="eastAsia"/>
        </w:rPr>
        <w:t>3</w:t>
      </w:r>
      <w:r>
        <w:rPr>
          <w:rFonts w:hint="eastAsia"/>
        </w:rPr>
        <w:t>月</w:t>
      </w:r>
      <w:r>
        <w:rPr>
          <w:rFonts w:hint="eastAsia"/>
        </w:rPr>
        <w:t>22</w:t>
      </w:r>
      <w:r>
        <w:rPr>
          <w:rFonts w:hint="eastAsia"/>
        </w:rPr>
        <w:t>日～</w:t>
      </w:r>
      <w:r>
        <w:t>202</w:t>
      </w:r>
      <w:r>
        <w:rPr>
          <w:rFonts w:hint="eastAsia"/>
        </w:rPr>
        <w:t>1</w:t>
      </w:r>
      <w:r>
        <w:rPr>
          <w:rFonts w:hint="eastAsia"/>
        </w:rPr>
        <w:t>年</w:t>
      </w:r>
      <w:r>
        <w:rPr>
          <w:rFonts w:hint="eastAsia"/>
        </w:rPr>
        <w:t>4</w:t>
      </w:r>
      <w:r>
        <w:rPr>
          <w:rFonts w:hint="eastAsia"/>
        </w:rPr>
        <w:t>月</w:t>
      </w:r>
      <w:r>
        <w:rPr>
          <w:rFonts w:hint="eastAsia"/>
        </w:rPr>
        <w:t>2</w:t>
      </w:r>
      <w:r>
        <w:rPr>
          <w:rFonts w:hint="eastAsia"/>
        </w:rPr>
        <w:t>日在河南大豫环境网上进行了第一次媒体公示；并</w:t>
      </w:r>
      <w:r>
        <w:rPr>
          <w:rFonts w:hint="eastAsia"/>
          <w:szCs w:val="24"/>
        </w:rPr>
        <w:t>于</w:t>
      </w:r>
      <w:r>
        <w:rPr>
          <w:rFonts w:hint="eastAsia"/>
          <w:spacing w:val="6"/>
          <w:szCs w:val="24"/>
        </w:rPr>
        <w:t>2021</w:t>
      </w:r>
      <w:r>
        <w:rPr>
          <w:rFonts w:hint="eastAsia"/>
          <w:spacing w:val="6"/>
          <w:szCs w:val="24"/>
        </w:rPr>
        <w:t>年</w:t>
      </w:r>
      <w:r>
        <w:rPr>
          <w:rFonts w:hint="eastAsia"/>
          <w:spacing w:val="6"/>
          <w:szCs w:val="24"/>
        </w:rPr>
        <w:t>7</w:t>
      </w:r>
      <w:r>
        <w:rPr>
          <w:rFonts w:hint="eastAsia"/>
          <w:spacing w:val="6"/>
          <w:szCs w:val="24"/>
        </w:rPr>
        <w:t>月</w:t>
      </w:r>
      <w:r>
        <w:rPr>
          <w:rFonts w:hint="eastAsia"/>
          <w:spacing w:val="6"/>
          <w:szCs w:val="24"/>
        </w:rPr>
        <w:t>29</w:t>
      </w:r>
      <w:r>
        <w:rPr>
          <w:rFonts w:hint="eastAsia"/>
          <w:spacing w:val="6"/>
          <w:szCs w:val="24"/>
        </w:rPr>
        <w:t>日</w:t>
      </w:r>
      <w:r>
        <w:rPr>
          <w:rFonts w:hint="eastAsia"/>
          <w:spacing w:val="6"/>
          <w:szCs w:val="24"/>
        </w:rPr>
        <w:t>~2021</w:t>
      </w:r>
      <w:r>
        <w:rPr>
          <w:rFonts w:hint="eastAsia"/>
          <w:spacing w:val="6"/>
          <w:szCs w:val="24"/>
        </w:rPr>
        <w:t>年</w:t>
      </w:r>
      <w:r>
        <w:rPr>
          <w:rFonts w:hint="eastAsia"/>
          <w:spacing w:val="6"/>
          <w:szCs w:val="24"/>
        </w:rPr>
        <w:t>8</w:t>
      </w:r>
      <w:r>
        <w:rPr>
          <w:rFonts w:hint="eastAsia"/>
          <w:spacing w:val="6"/>
          <w:szCs w:val="24"/>
        </w:rPr>
        <w:t>月</w:t>
      </w:r>
      <w:r>
        <w:rPr>
          <w:rFonts w:hint="eastAsia"/>
          <w:spacing w:val="6"/>
          <w:szCs w:val="24"/>
        </w:rPr>
        <w:t>11</w:t>
      </w:r>
      <w:r>
        <w:rPr>
          <w:rFonts w:hint="eastAsia"/>
          <w:spacing w:val="6"/>
          <w:szCs w:val="24"/>
        </w:rPr>
        <w:t>日</w:t>
      </w:r>
      <w:r>
        <w:rPr>
          <w:rFonts w:hint="eastAsia"/>
          <w:szCs w:val="24"/>
        </w:rPr>
        <w:t>在大豫</w:t>
      </w:r>
      <w:r>
        <w:rPr>
          <w:rFonts w:hint="eastAsia"/>
        </w:rPr>
        <w:t>环境保护网进行了征求意见稿全文公示并征求公众意见，同时分别于</w:t>
      </w:r>
      <w:r>
        <w:t>202</w:t>
      </w:r>
      <w:r>
        <w:rPr>
          <w:rFonts w:hint="eastAsia"/>
        </w:rPr>
        <w:t>1</w:t>
      </w:r>
      <w:r>
        <w:rPr>
          <w:rFonts w:hint="eastAsia"/>
        </w:rPr>
        <w:t>年</w:t>
      </w:r>
      <w:r>
        <w:rPr>
          <w:rFonts w:hint="eastAsia"/>
        </w:rPr>
        <w:t>8</w:t>
      </w:r>
      <w:r>
        <w:rPr>
          <w:rFonts w:hint="eastAsia"/>
        </w:rPr>
        <w:t>月</w:t>
      </w:r>
      <w:r>
        <w:rPr>
          <w:rFonts w:hint="eastAsia"/>
        </w:rPr>
        <w:t>10</w:t>
      </w:r>
      <w:r>
        <w:rPr>
          <w:rFonts w:hint="eastAsia"/>
        </w:rPr>
        <w:t>日和</w:t>
      </w:r>
      <w:r>
        <w:rPr>
          <w:rFonts w:hint="eastAsia"/>
        </w:rPr>
        <w:t>8</w:t>
      </w:r>
      <w:r>
        <w:rPr>
          <w:rFonts w:hint="eastAsia"/>
        </w:rPr>
        <w:t>月</w:t>
      </w:r>
      <w:r>
        <w:rPr>
          <w:rFonts w:hint="eastAsia"/>
        </w:rPr>
        <w:t>11</w:t>
      </w:r>
      <w:r>
        <w:rPr>
          <w:rFonts w:hint="eastAsia"/>
        </w:rPr>
        <w:t>日在《新乡日报》上进行了信息公示并征求公众意见。</w:t>
      </w:r>
    </w:p>
    <w:p w:rsidR="00EE56C0" w:rsidRDefault="000F36A1">
      <w:pPr>
        <w:ind w:firstLine="480"/>
      </w:pPr>
      <w:r>
        <w:rPr>
          <w:rFonts w:hint="eastAsia"/>
        </w:rPr>
        <w:t>2021</w:t>
      </w:r>
      <w:r>
        <w:rPr>
          <w:rFonts w:hint="eastAsia"/>
        </w:rPr>
        <w:t>年</w:t>
      </w:r>
      <w:r>
        <w:rPr>
          <w:rFonts w:hint="eastAsia"/>
        </w:rPr>
        <w:t>10</w:t>
      </w:r>
      <w:r>
        <w:rPr>
          <w:rFonts w:hint="eastAsia"/>
        </w:rPr>
        <w:t>月，河南蓝天环境工程有限公司完成环境影响报告书初稿。</w:t>
      </w:r>
    </w:p>
    <w:p w:rsidR="00EE56C0" w:rsidRDefault="000F36A1">
      <w:pPr>
        <w:pStyle w:val="2"/>
        <w:ind w:firstLine="301"/>
      </w:pPr>
      <w:bookmarkStart w:id="25" w:name="_Toc25400884"/>
      <w:r>
        <w:rPr>
          <w:rFonts w:hint="eastAsia"/>
        </w:rPr>
        <w:t>1.4</w:t>
      </w:r>
      <w:r>
        <w:rPr>
          <w:rFonts w:hint="eastAsia"/>
        </w:rPr>
        <w:t>关注的主要环境问题及环境影响</w:t>
      </w:r>
      <w:bookmarkEnd w:id="25"/>
    </w:p>
    <w:p w:rsidR="00EE56C0" w:rsidRDefault="000F36A1">
      <w:pPr>
        <w:ind w:firstLine="480"/>
      </w:pPr>
      <w:r>
        <w:rPr>
          <w:rFonts w:hint="eastAsia"/>
        </w:rPr>
        <w:t>环境空气：重点关注项目建设对区域环境空气质量及敏感点的影响；</w:t>
      </w:r>
    </w:p>
    <w:p w:rsidR="00EE56C0" w:rsidRDefault="000F36A1">
      <w:pPr>
        <w:ind w:firstLine="480"/>
      </w:pPr>
      <w:r>
        <w:rPr>
          <w:rFonts w:hint="eastAsia"/>
        </w:rPr>
        <w:t>地表水环境：重点关注项目废水收集、处理措施的可行性、区域污水处理厂</w:t>
      </w:r>
      <w:r>
        <w:rPr>
          <w:rFonts w:hint="eastAsia"/>
        </w:rPr>
        <w:lastRenderedPageBreak/>
        <w:t>的可依托性；</w:t>
      </w:r>
    </w:p>
    <w:p w:rsidR="00EE56C0" w:rsidRDefault="000F36A1">
      <w:pPr>
        <w:ind w:firstLine="480"/>
      </w:pPr>
      <w:r>
        <w:rPr>
          <w:rFonts w:hint="eastAsia"/>
        </w:rPr>
        <w:t>地下水环境：重点关注项目危险废物暂存间、污水处理设施的防渗措施的可行性；</w:t>
      </w:r>
    </w:p>
    <w:p w:rsidR="00EE56C0" w:rsidRDefault="000F36A1">
      <w:pPr>
        <w:ind w:firstLine="480"/>
      </w:pPr>
      <w:r>
        <w:rPr>
          <w:rFonts w:hint="eastAsia"/>
        </w:rPr>
        <w:t>声环境：重点关注项目实施后高噪声设备对区域声环境及敏感点的影响；</w:t>
      </w:r>
    </w:p>
    <w:p w:rsidR="00EE56C0" w:rsidRDefault="000F36A1">
      <w:pPr>
        <w:ind w:firstLine="480"/>
      </w:pPr>
      <w:r>
        <w:rPr>
          <w:rFonts w:hint="eastAsia"/>
        </w:rPr>
        <w:t>固体废物：重点关注项目产生的固废收集、暂存、处置措施的合理性，防止二次污染。</w:t>
      </w:r>
      <w:bookmarkStart w:id="26" w:name="_Toc428287173"/>
      <w:bookmarkStart w:id="27" w:name="_Toc428286779"/>
      <w:bookmarkStart w:id="28" w:name="_Toc429318387"/>
    </w:p>
    <w:p w:rsidR="00EE56C0" w:rsidRDefault="000F36A1">
      <w:pPr>
        <w:ind w:firstLine="480"/>
      </w:pPr>
      <w:r>
        <w:rPr>
          <w:rFonts w:hint="eastAsia"/>
        </w:rPr>
        <w:t>土壤环境：重点关注项目土壤环境现状以及项目生产对周边土壤可能的影响分析，针对土壤污染预防提出合理有效的预防措施。</w:t>
      </w:r>
    </w:p>
    <w:p w:rsidR="00EE56C0" w:rsidRDefault="000F36A1">
      <w:pPr>
        <w:pStyle w:val="2"/>
        <w:ind w:firstLine="301"/>
      </w:pPr>
      <w:bookmarkStart w:id="29" w:name="_Toc25400885"/>
      <w:r>
        <w:rPr>
          <w:rFonts w:hint="eastAsia"/>
        </w:rPr>
        <w:t>1.5</w:t>
      </w:r>
      <w:r>
        <w:rPr>
          <w:rFonts w:hint="eastAsia"/>
        </w:rPr>
        <w:t>与产业政策、区域规划的相符性</w:t>
      </w:r>
      <w:bookmarkEnd w:id="29"/>
    </w:p>
    <w:p w:rsidR="00EE56C0" w:rsidRDefault="000F36A1">
      <w:pPr>
        <w:ind w:firstLine="480"/>
      </w:pPr>
      <w:r>
        <w:rPr>
          <w:rFonts w:hint="eastAsia"/>
        </w:rPr>
        <w:t>（</w:t>
      </w:r>
      <w:r>
        <w:rPr>
          <w:rFonts w:hint="eastAsia"/>
        </w:rPr>
        <w:t>1</w:t>
      </w:r>
      <w:r>
        <w:rPr>
          <w:rFonts w:hint="eastAsia"/>
        </w:rPr>
        <w:t>）产业政策相符性</w:t>
      </w:r>
    </w:p>
    <w:p w:rsidR="00EE56C0" w:rsidRDefault="000F36A1">
      <w:pPr>
        <w:ind w:firstLine="480"/>
      </w:pPr>
      <w:r>
        <w:rPr>
          <w:rFonts w:hint="eastAsia"/>
        </w:rPr>
        <w:t>本项目属于电气机械和器材制造业项目，属于《产业结构调整指导目录（</w:t>
      </w:r>
      <w:r>
        <w:rPr>
          <w:rFonts w:hint="eastAsia"/>
        </w:rPr>
        <w:t>2019</w:t>
      </w:r>
      <w:r>
        <w:rPr>
          <w:rFonts w:hint="eastAsia"/>
        </w:rPr>
        <w:t>年本）》</w:t>
      </w:r>
      <w:r w:rsidR="00C96DE7">
        <w:rPr>
          <w:rFonts w:hint="eastAsia"/>
        </w:rPr>
        <w:t>及修改文件</w:t>
      </w:r>
      <w:r>
        <w:rPr>
          <w:rFonts w:hint="eastAsia"/>
        </w:rPr>
        <w:t>中的允许类项目。</w:t>
      </w:r>
    </w:p>
    <w:p w:rsidR="00EE56C0" w:rsidRDefault="000F36A1">
      <w:pPr>
        <w:ind w:firstLine="480"/>
      </w:pPr>
      <w:r>
        <w:rPr>
          <w:rFonts w:hint="eastAsia"/>
        </w:rPr>
        <w:t>项目建设符合《</w:t>
      </w:r>
      <w:r>
        <w:rPr>
          <w:rFonts w:hint="eastAsia"/>
        </w:rPr>
        <w:t>2021-2022</w:t>
      </w:r>
      <w:r>
        <w:rPr>
          <w:rFonts w:hint="eastAsia"/>
        </w:rPr>
        <w:t>年秋冬季大气污染综合治理攻坚方案》（环大气</w:t>
      </w:r>
      <w:r>
        <w:rPr>
          <w:rFonts w:hint="eastAsia"/>
        </w:rPr>
        <w:t>[2021]104</w:t>
      </w:r>
      <w:r>
        <w:rPr>
          <w:rFonts w:hint="eastAsia"/>
        </w:rPr>
        <w:t>号）、</w:t>
      </w:r>
      <w:r>
        <w:t>《新乡市</w:t>
      </w:r>
      <w:r>
        <w:t>2021</w:t>
      </w:r>
      <w:r>
        <w:t>年大气、水、土壤污染防治攻坚战及农业农村污染治理攻坚战实施方案》（新环攻坚办〔</w:t>
      </w:r>
      <w:r>
        <w:t>2021</w:t>
      </w:r>
      <w:r>
        <w:t>〕</w:t>
      </w:r>
      <w:r>
        <w:t>90</w:t>
      </w:r>
      <w:r>
        <w:t>号）</w:t>
      </w:r>
      <w:r>
        <w:rPr>
          <w:rFonts w:hint="eastAsia"/>
          <w:b/>
        </w:rPr>
        <w:t>、</w:t>
      </w:r>
      <w:r>
        <w:rPr>
          <w:rFonts w:hint="eastAsia"/>
        </w:rPr>
        <w:t>《新乡市“三线一单”生态环境准入清单（试行）》、</w:t>
      </w:r>
      <w:r>
        <w:t>《</w:t>
      </w:r>
      <w:r>
        <w:rPr>
          <w:rFonts w:hint="eastAsia"/>
        </w:rPr>
        <w:t>挥发性有机物无组织排放控制标准</w:t>
      </w:r>
      <w:r>
        <w:t>》</w:t>
      </w:r>
      <w:r>
        <w:rPr>
          <w:rFonts w:hint="eastAsia"/>
        </w:rPr>
        <w:t>（</w:t>
      </w:r>
      <w:r>
        <w:rPr>
          <w:rFonts w:hint="eastAsia"/>
        </w:rPr>
        <w:t>GB37822-2019</w:t>
      </w:r>
      <w:r>
        <w:rPr>
          <w:rFonts w:hint="eastAsia"/>
        </w:rPr>
        <w:t>）、</w:t>
      </w:r>
      <w:r>
        <w:t>《</w:t>
      </w:r>
      <w:r>
        <w:t>2020</w:t>
      </w:r>
      <w:r>
        <w:t>年挥发性有机物治理攻坚方案》</w:t>
      </w:r>
      <w:r>
        <w:rPr>
          <w:rFonts w:hint="eastAsia"/>
        </w:rPr>
        <w:t>、《重污染天气重点行业应急减排措施制定技术指南》（</w:t>
      </w:r>
      <w:r>
        <w:rPr>
          <w:rFonts w:hint="eastAsia"/>
        </w:rPr>
        <w:t>2020</w:t>
      </w:r>
      <w:r>
        <w:rPr>
          <w:rFonts w:hint="eastAsia"/>
        </w:rPr>
        <w:t>年修订版）工业涂装</w:t>
      </w:r>
      <w:r>
        <w:rPr>
          <w:rFonts w:hint="eastAsia"/>
        </w:rPr>
        <w:t>B</w:t>
      </w:r>
      <w:r>
        <w:rPr>
          <w:rFonts w:hint="eastAsia"/>
        </w:rPr>
        <w:t>级的相关要求。</w:t>
      </w:r>
    </w:p>
    <w:p w:rsidR="00EE56C0" w:rsidRDefault="000F36A1">
      <w:pPr>
        <w:ind w:firstLine="480"/>
      </w:pPr>
      <w:r>
        <w:rPr>
          <w:rFonts w:hint="eastAsia"/>
        </w:rPr>
        <w:t>（</w:t>
      </w:r>
      <w:r>
        <w:rPr>
          <w:rFonts w:hint="eastAsia"/>
        </w:rPr>
        <w:t>2</w:t>
      </w:r>
      <w:r>
        <w:rPr>
          <w:rFonts w:hint="eastAsia"/>
        </w:rPr>
        <w:t>）区域规划相符性</w:t>
      </w:r>
    </w:p>
    <w:p w:rsidR="00EE56C0" w:rsidRDefault="000F36A1">
      <w:pPr>
        <w:ind w:firstLine="480"/>
      </w:pPr>
      <w:r>
        <w:rPr>
          <w:rFonts w:hint="eastAsia"/>
        </w:rPr>
        <w:t>拟建项目位于新乡县新乡经济技术集聚区，属于电气机械和器材制造业项目，</w:t>
      </w:r>
      <w:r>
        <w:t>位于</w:t>
      </w:r>
      <w:r>
        <w:rPr>
          <w:rFonts w:hint="eastAsia"/>
        </w:rPr>
        <w:t>新乡县新乡经济技术集聚区</w:t>
      </w:r>
      <w:r>
        <w:rPr>
          <w:rFonts w:ascii="宋体" w:hAnsi="宋体" w:hint="eastAsia"/>
          <w:szCs w:val="21"/>
        </w:rPr>
        <w:t>中区的装备制造产业园</w:t>
      </w:r>
      <w:r>
        <w:t>。本项目的建设符合</w:t>
      </w:r>
      <w:r>
        <w:rPr>
          <w:rFonts w:hint="eastAsia"/>
        </w:rPr>
        <w:t>新乡县新乡经济技术集聚区</w:t>
      </w:r>
      <w:r>
        <w:t>的规划和环保要求。</w:t>
      </w:r>
    </w:p>
    <w:p w:rsidR="00EE56C0" w:rsidRDefault="000F36A1">
      <w:pPr>
        <w:ind w:firstLine="480"/>
      </w:pPr>
      <w:r>
        <w:rPr>
          <w:rFonts w:hint="eastAsia"/>
        </w:rPr>
        <w:t>根据《</w:t>
      </w:r>
      <w:r>
        <w:t>新乡经济技术产业集聚区总体发展规划（</w:t>
      </w:r>
      <w:r>
        <w:t>201</w:t>
      </w:r>
      <w:r>
        <w:rPr>
          <w:rFonts w:hint="eastAsia"/>
        </w:rPr>
        <w:t>7</w:t>
      </w:r>
      <w:r>
        <w:t>-2025</w:t>
      </w:r>
      <w:r>
        <w:t>）</w:t>
      </w:r>
      <w:r>
        <w:rPr>
          <w:rFonts w:hint="eastAsia"/>
        </w:rPr>
        <w:t>》用地规划图，占地属于工业用地，符合用地规划要求。根据《</w:t>
      </w:r>
      <w:r>
        <w:t>新乡经济技术产业集聚区总体发</w:t>
      </w:r>
      <w:r>
        <w:lastRenderedPageBreak/>
        <w:t>展规划（</w:t>
      </w:r>
      <w:r>
        <w:t>20</w:t>
      </w:r>
      <w:r>
        <w:rPr>
          <w:rFonts w:hint="eastAsia"/>
        </w:rPr>
        <w:t>17</w:t>
      </w:r>
      <w:r>
        <w:t>-2025</w:t>
      </w:r>
      <w:r>
        <w:t>）</w:t>
      </w:r>
      <w:r>
        <w:rPr>
          <w:rFonts w:hint="eastAsia"/>
        </w:rPr>
        <w:t>》产业布局图，项目所在地块属于装备制造产业用地，符合产业布局要求。</w:t>
      </w:r>
    </w:p>
    <w:p w:rsidR="00EE56C0" w:rsidRDefault="000F36A1">
      <w:pPr>
        <w:pStyle w:val="2"/>
        <w:ind w:firstLine="301"/>
      </w:pPr>
      <w:bookmarkStart w:id="30" w:name="_Toc25400886"/>
      <w:r>
        <w:rPr>
          <w:rFonts w:hint="eastAsia"/>
        </w:rPr>
        <w:t>1.6</w:t>
      </w:r>
      <w:r>
        <w:rPr>
          <w:rFonts w:hint="eastAsia"/>
        </w:rPr>
        <w:t>评价思路及重点</w:t>
      </w:r>
      <w:bookmarkEnd w:id="26"/>
      <w:bookmarkEnd w:id="27"/>
      <w:bookmarkEnd w:id="28"/>
      <w:bookmarkEnd w:id="30"/>
    </w:p>
    <w:p w:rsidR="00EE56C0" w:rsidRDefault="000F36A1">
      <w:pPr>
        <w:ind w:firstLine="480"/>
      </w:pPr>
      <w:r>
        <w:rPr>
          <w:rFonts w:hint="eastAsia"/>
        </w:rPr>
        <w:t>根据项目特点及周围地区环境特征，确定评价专题设置及工作重点如下表</w:t>
      </w:r>
      <w:r>
        <w:t>1</w:t>
      </w:r>
      <w:r>
        <w:rPr>
          <w:rFonts w:hint="eastAsia"/>
        </w:rPr>
        <w:t>-1</w:t>
      </w:r>
      <w:r>
        <w:rPr>
          <w:rFonts w:hint="eastAsia"/>
        </w:rPr>
        <w:t>：</w:t>
      </w:r>
    </w:p>
    <w:p w:rsidR="00EE56C0" w:rsidRDefault="000F36A1">
      <w:pPr>
        <w:pStyle w:val="afd"/>
        <w:spacing w:before="120" w:after="120"/>
        <w:ind w:firstLine="482"/>
      </w:pPr>
      <w:r>
        <w:rPr>
          <w:rFonts w:hint="eastAsia"/>
        </w:rPr>
        <w:t>表</w:t>
      </w:r>
      <w:r>
        <w:t>1</w:t>
      </w:r>
      <w:r>
        <w:rPr>
          <w:rFonts w:hint="eastAsia"/>
        </w:rPr>
        <w:t xml:space="preserve">-3               </w:t>
      </w:r>
      <w:r>
        <w:rPr>
          <w:rFonts w:hint="eastAsia"/>
        </w:rPr>
        <w:t>评价专题设置及评价重点</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2000"/>
        <w:gridCol w:w="4452"/>
        <w:gridCol w:w="2076"/>
      </w:tblGrid>
      <w:tr w:rsidR="00EE56C0">
        <w:trPr>
          <w:trHeight w:val="425"/>
          <w:tblHeader/>
          <w:jc w:val="center"/>
        </w:trPr>
        <w:tc>
          <w:tcPr>
            <w:tcW w:w="1173" w:type="pct"/>
            <w:vAlign w:val="center"/>
          </w:tcPr>
          <w:p w:rsidR="00EE56C0" w:rsidRDefault="000F36A1">
            <w:pPr>
              <w:pStyle w:val="aff1"/>
              <w:rPr>
                <w:color w:val="auto"/>
              </w:rPr>
            </w:pPr>
            <w:r>
              <w:rPr>
                <w:rFonts w:hint="eastAsia"/>
                <w:color w:val="auto"/>
              </w:rPr>
              <w:t>章节序列</w:t>
            </w:r>
          </w:p>
        </w:tc>
        <w:tc>
          <w:tcPr>
            <w:tcW w:w="2610" w:type="pct"/>
            <w:vAlign w:val="center"/>
          </w:tcPr>
          <w:p w:rsidR="00EE56C0" w:rsidRDefault="000F36A1">
            <w:pPr>
              <w:pStyle w:val="aff1"/>
              <w:rPr>
                <w:color w:val="auto"/>
              </w:rPr>
            </w:pPr>
            <w:r>
              <w:rPr>
                <w:rFonts w:hint="eastAsia"/>
                <w:color w:val="auto"/>
              </w:rPr>
              <w:t>专题设置</w:t>
            </w:r>
          </w:p>
        </w:tc>
        <w:tc>
          <w:tcPr>
            <w:tcW w:w="1217" w:type="pct"/>
            <w:vAlign w:val="center"/>
          </w:tcPr>
          <w:p w:rsidR="00EE56C0" w:rsidRDefault="000F36A1">
            <w:pPr>
              <w:pStyle w:val="aff1"/>
              <w:rPr>
                <w:color w:val="auto"/>
              </w:rPr>
            </w:pPr>
            <w:r>
              <w:rPr>
                <w:rFonts w:hint="eastAsia"/>
                <w:color w:val="auto"/>
              </w:rPr>
              <w:t>评价重点</w:t>
            </w:r>
          </w:p>
        </w:tc>
      </w:tr>
      <w:tr w:rsidR="00EE56C0">
        <w:trPr>
          <w:trHeight w:val="425"/>
          <w:tblHeader/>
          <w:jc w:val="center"/>
        </w:trPr>
        <w:tc>
          <w:tcPr>
            <w:tcW w:w="1173" w:type="pct"/>
            <w:vAlign w:val="center"/>
          </w:tcPr>
          <w:p w:rsidR="00EE56C0" w:rsidRDefault="000F36A1">
            <w:pPr>
              <w:pStyle w:val="afa"/>
            </w:pPr>
            <w:r>
              <w:rPr>
                <w:rFonts w:hint="eastAsia"/>
              </w:rPr>
              <w:t>第一章</w:t>
            </w:r>
          </w:p>
        </w:tc>
        <w:tc>
          <w:tcPr>
            <w:tcW w:w="2610" w:type="pct"/>
            <w:vAlign w:val="center"/>
          </w:tcPr>
          <w:p w:rsidR="00EE56C0" w:rsidRDefault="000F36A1">
            <w:pPr>
              <w:pStyle w:val="afa"/>
            </w:pPr>
            <w:r>
              <w:rPr>
                <w:rFonts w:hint="eastAsia"/>
              </w:rPr>
              <w:t>概述</w:t>
            </w:r>
          </w:p>
        </w:tc>
        <w:tc>
          <w:tcPr>
            <w:tcW w:w="1217" w:type="pct"/>
            <w:vAlign w:val="center"/>
          </w:tcPr>
          <w:p w:rsidR="00EE56C0" w:rsidRDefault="00EE56C0">
            <w:pPr>
              <w:pStyle w:val="afa"/>
            </w:pPr>
          </w:p>
        </w:tc>
      </w:tr>
      <w:tr w:rsidR="00EE56C0">
        <w:trPr>
          <w:trHeight w:val="425"/>
          <w:jc w:val="center"/>
        </w:trPr>
        <w:tc>
          <w:tcPr>
            <w:tcW w:w="1173" w:type="pct"/>
            <w:vAlign w:val="center"/>
          </w:tcPr>
          <w:p w:rsidR="00EE56C0" w:rsidRDefault="000F36A1">
            <w:pPr>
              <w:pStyle w:val="afa"/>
            </w:pPr>
            <w:r>
              <w:rPr>
                <w:rFonts w:hint="eastAsia"/>
              </w:rPr>
              <w:t>第二章</w:t>
            </w:r>
          </w:p>
        </w:tc>
        <w:tc>
          <w:tcPr>
            <w:tcW w:w="2610" w:type="pct"/>
            <w:vAlign w:val="center"/>
          </w:tcPr>
          <w:p w:rsidR="00EE56C0" w:rsidRDefault="000F36A1">
            <w:pPr>
              <w:pStyle w:val="afa"/>
            </w:pPr>
            <w:r>
              <w:rPr>
                <w:rFonts w:hint="eastAsia"/>
              </w:rPr>
              <w:t>总则</w:t>
            </w:r>
          </w:p>
        </w:tc>
        <w:tc>
          <w:tcPr>
            <w:tcW w:w="1217" w:type="pct"/>
            <w:vAlign w:val="center"/>
          </w:tcPr>
          <w:p w:rsidR="00EE56C0" w:rsidRDefault="00EE56C0">
            <w:pPr>
              <w:pStyle w:val="afa"/>
            </w:pPr>
          </w:p>
        </w:tc>
      </w:tr>
      <w:tr w:rsidR="00EE56C0">
        <w:trPr>
          <w:trHeight w:val="425"/>
          <w:jc w:val="center"/>
        </w:trPr>
        <w:tc>
          <w:tcPr>
            <w:tcW w:w="1173" w:type="pct"/>
            <w:vAlign w:val="center"/>
          </w:tcPr>
          <w:p w:rsidR="00EE56C0" w:rsidRDefault="000F36A1">
            <w:pPr>
              <w:pStyle w:val="afa"/>
            </w:pPr>
            <w:r>
              <w:rPr>
                <w:rFonts w:hint="eastAsia"/>
              </w:rPr>
              <w:t>第三章</w:t>
            </w:r>
          </w:p>
        </w:tc>
        <w:tc>
          <w:tcPr>
            <w:tcW w:w="2610" w:type="pct"/>
            <w:vAlign w:val="center"/>
          </w:tcPr>
          <w:p w:rsidR="00EE56C0" w:rsidRDefault="000F36A1">
            <w:pPr>
              <w:pStyle w:val="afa"/>
            </w:pPr>
            <w:r>
              <w:rPr>
                <w:rFonts w:hint="eastAsia"/>
              </w:rPr>
              <w:t>建设项目工程分析</w:t>
            </w:r>
          </w:p>
        </w:tc>
        <w:tc>
          <w:tcPr>
            <w:tcW w:w="1217" w:type="pct"/>
            <w:vAlign w:val="center"/>
          </w:tcPr>
          <w:p w:rsidR="00EE56C0" w:rsidRDefault="000F36A1">
            <w:pPr>
              <w:pStyle w:val="afa"/>
            </w:pPr>
            <w:r>
              <w:rPr>
                <w:rFonts w:hint="eastAsia"/>
              </w:rPr>
              <w:t>★</w:t>
            </w:r>
          </w:p>
        </w:tc>
      </w:tr>
      <w:tr w:rsidR="00EE56C0">
        <w:trPr>
          <w:trHeight w:val="425"/>
          <w:jc w:val="center"/>
        </w:trPr>
        <w:tc>
          <w:tcPr>
            <w:tcW w:w="1173" w:type="pct"/>
            <w:vAlign w:val="center"/>
          </w:tcPr>
          <w:p w:rsidR="00EE56C0" w:rsidRDefault="000F36A1">
            <w:pPr>
              <w:pStyle w:val="afa"/>
            </w:pPr>
            <w:r>
              <w:rPr>
                <w:rFonts w:hint="eastAsia"/>
              </w:rPr>
              <w:t>第四章</w:t>
            </w:r>
          </w:p>
        </w:tc>
        <w:tc>
          <w:tcPr>
            <w:tcW w:w="2610" w:type="pct"/>
            <w:vAlign w:val="center"/>
          </w:tcPr>
          <w:p w:rsidR="00EE56C0" w:rsidRDefault="000F36A1">
            <w:pPr>
              <w:pStyle w:val="afa"/>
            </w:pPr>
            <w:r>
              <w:rPr>
                <w:rFonts w:hint="eastAsia"/>
              </w:rPr>
              <w:t>环境现状调查与评价</w:t>
            </w:r>
          </w:p>
        </w:tc>
        <w:tc>
          <w:tcPr>
            <w:tcW w:w="1217" w:type="pct"/>
            <w:vAlign w:val="center"/>
          </w:tcPr>
          <w:p w:rsidR="00EE56C0" w:rsidRDefault="000F36A1">
            <w:pPr>
              <w:pStyle w:val="afa"/>
            </w:pPr>
            <w:r>
              <w:rPr>
                <w:rFonts w:hint="eastAsia"/>
              </w:rPr>
              <w:t>★</w:t>
            </w:r>
          </w:p>
        </w:tc>
      </w:tr>
      <w:tr w:rsidR="00EE56C0">
        <w:trPr>
          <w:trHeight w:val="425"/>
          <w:jc w:val="center"/>
        </w:trPr>
        <w:tc>
          <w:tcPr>
            <w:tcW w:w="1173" w:type="pct"/>
            <w:vAlign w:val="center"/>
          </w:tcPr>
          <w:p w:rsidR="00EE56C0" w:rsidRDefault="000F36A1">
            <w:pPr>
              <w:pStyle w:val="afa"/>
            </w:pPr>
            <w:r>
              <w:rPr>
                <w:rFonts w:hint="eastAsia"/>
              </w:rPr>
              <w:t>第五章</w:t>
            </w:r>
          </w:p>
        </w:tc>
        <w:tc>
          <w:tcPr>
            <w:tcW w:w="2610" w:type="pct"/>
            <w:vAlign w:val="center"/>
          </w:tcPr>
          <w:p w:rsidR="00EE56C0" w:rsidRDefault="000F36A1">
            <w:pPr>
              <w:pStyle w:val="afa"/>
            </w:pPr>
            <w:r>
              <w:rPr>
                <w:rFonts w:hint="eastAsia"/>
              </w:rPr>
              <w:t>环境影响预测与评价</w:t>
            </w:r>
          </w:p>
        </w:tc>
        <w:tc>
          <w:tcPr>
            <w:tcW w:w="1217" w:type="pct"/>
            <w:vAlign w:val="center"/>
          </w:tcPr>
          <w:p w:rsidR="00EE56C0" w:rsidRDefault="000F36A1">
            <w:pPr>
              <w:pStyle w:val="afa"/>
            </w:pPr>
            <w:r>
              <w:rPr>
                <w:rFonts w:hint="eastAsia"/>
              </w:rPr>
              <w:t>★</w:t>
            </w:r>
          </w:p>
        </w:tc>
      </w:tr>
      <w:tr w:rsidR="00EE56C0">
        <w:trPr>
          <w:trHeight w:val="425"/>
          <w:jc w:val="center"/>
        </w:trPr>
        <w:tc>
          <w:tcPr>
            <w:tcW w:w="1173" w:type="pct"/>
            <w:vAlign w:val="center"/>
          </w:tcPr>
          <w:p w:rsidR="00EE56C0" w:rsidRDefault="000F36A1">
            <w:pPr>
              <w:pStyle w:val="afa"/>
            </w:pPr>
            <w:r>
              <w:rPr>
                <w:rFonts w:hint="eastAsia"/>
              </w:rPr>
              <w:t>第六章</w:t>
            </w:r>
          </w:p>
        </w:tc>
        <w:tc>
          <w:tcPr>
            <w:tcW w:w="2610" w:type="pct"/>
            <w:vAlign w:val="center"/>
          </w:tcPr>
          <w:p w:rsidR="00EE56C0" w:rsidRDefault="000F36A1">
            <w:pPr>
              <w:pStyle w:val="afa"/>
            </w:pPr>
            <w:r>
              <w:rPr>
                <w:rFonts w:hint="eastAsia"/>
              </w:rPr>
              <w:t>环境保护措施及其可行性论证</w:t>
            </w:r>
          </w:p>
        </w:tc>
        <w:tc>
          <w:tcPr>
            <w:tcW w:w="1217" w:type="pct"/>
            <w:vAlign w:val="center"/>
          </w:tcPr>
          <w:p w:rsidR="00EE56C0" w:rsidRDefault="000F36A1">
            <w:pPr>
              <w:pStyle w:val="afa"/>
            </w:pPr>
            <w:r>
              <w:rPr>
                <w:rFonts w:hint="eastAsia"/>
              </w:rPr>
              <w:t>★</w:t>
            </w:r>
          </w:p>
        </w:tc>
      </w:tr>
      <w:tr w:rsidR="00EE56C0">
        <w:trPr>
          <w:trHeight w:val="425"/>
          <w:jc w:val="center"/>
        </w:trPr>
        <w:tc>
          <w:tcPr>
            <w:tcW w:w="1173" w:type="pct"/>
            <w:vAlign w:val="center"/>
          </w:tcPr>
          <w:p w:rsidR="00EE56C0" w:rsidRDefault="000F36A1">
            <w:pPr>
              <w:pStyle w:val="afa"/>
            </w:pPr>
            <w:r>
              <w:rPr>
                <w:rFonts w:hint="eastAsia"/>
              </w:rPr>
              <w:t>第七章</w:t>
            </w:r>
          </w:p>
        </w:tc>
        <w:tc>
          <w:tcPr>
            <w:tcW w:w="2610" w:type="pct"/>
            <w:vAlign w:val="center"/>
          </w:tcPr>
          <w:p w:rsidR="00EE56C0" w:rsidRDefault="000F36A1">
            <w:pPr>
              <w:pStyle w:val="afa"/>
            </w:pPr>
            <w:r>
              <w:rPr>
                <w:rFonts w:hint="eastAsia"/>
              </w:rPr>
              <w:t>环境影响经济损益分析</w:t>
            </w:r>
          </w:p>
        </w:tc>
        <w:tc>
          <w:tcPr>
            <w:tcW w:w="1217" w:type="pct"/>
            <w:vAlign w:val="center"/>
          </w:tcPr>
          <w:p w:rsidR="00EE56C0" w:rsidRDefault="00EE56C0">
            <w:pPr>
              <w:pStyle w:val="afa"/>
            </w:pPr>
          </w:p>
        </w:tc>
      </w:tr>
      <w:tr w:rsidR="00EE56C0">
        <w:trPr>
          <w:trHeight w:val="425"/>
          <w:jc w:val="center"/>
        </w:trPr>
        <w:tc>
          <w:tcPr>
            <w:tcW w:w="1173" w:type="pct"/>
            <w:vAlign w:val="center"/>
          </w:tcPr>
          <w:p w:rsidR="00EE56C0" w:rsidRDefault="000F36A1">
            <w:pPr>
              <w:pStyle w:val="afa"/>
            </w:pPr>
            <w:r>
              <w:rPr>
                <w:rFonts w:hint="eastAsia"/>
              </w:rPr>
              <w:t>第八章</w:t>
            </w:r>
          </w:p>
        </w:tc>
        <w:tc>
          <w:tcPr>
            <w:tcW w:w="2610" w:type="pct"/>
            <w:vAlign w:val="center"/>
          </w:tcPr>
          <w:p w:rsidR="00EE56C0" w:rsidRDefault="000F36A1">
            <w:pPr>
              <w:pStyle w:val="afa"/>
            </w:pPr>
            <w:r>
              <w:rPr>
                <w:rFonts w:hint="eastAsia"/>
              </w:rPr>
              <w:t>环境管理与监测计划</w:t>
            </w:r>
          </w:p>
        </w:tc>
        <w:tc>
          <w:tcPr>
            <w:tcW w:w="1217" w:type="pct"/>
            <w:vAlign w:val="center"/>
          </w:tcPr>
          <w:p w:rsidR="00EE56C0" w:rsidRDefault="000F36A1">
            <w:pPr>
              <w:pStyle w:val="afa"/>
            </w:pPr>
            <w:r>
              <w:rPr>
                <w:rFonts w:hint="eastAsia"/>
              </w:rPr>
              <w:t>★</w:t>
            </w:r>
          </w:p>
        </w:tc>
      </w:tr>
      <w:tr w:rsidR="00EE56C0">
        <w:trPr>
          <w:trHeight w:val="425"/>
          <w:jc w:val="center"/>
        </w:trPr>
        <w:tc>
          <w:tcPr>
            <w:tcW w:w="1173" w:type="pct"/>
            <w:vAlign w:val="center"/>
          </w:tcPr>
          <w:p w:rsidR="00EE56C0" w:rsidRDefault="000F36A1">
            <w:pPr>
              <w:pStyle w:val="afa"/>
            </w:pPr>
            <w:r>
              <w:rPr>
                <w:rFonts w:hint="eastAsia"/>
              </w:rPr>
              <w:t>第九章</w:t>
            </w:r>
          </w:p>
        </w:tc>
        <w:tc>
          <w:tcPr>
            <w:tcW w:w="2610" w:type="pct"/>
            <w:vAlign w:val="center"/>
          </w:tcPr>
          <w:p w:rsidR="00EE56C0" w:rsidRDefault="000F36A1">
            <w:pPr>
              <w:pStyle w:val="afa"/>
            </w:pPr>
            <w:r>
              <w:rPr>
                <w:rFonts w:hint="eastAsia"/>
              </w:rPr>
              <w:t>环境影响评价结论</w:t>
            </w:r>
          </w:p>
        </w:tc>
        <w:tc>
          <w:tcPr>
            <w:tcW w:w="1217" w:type="pct"/>
            <w:vAlign w:val="center"/>
          </w:tcPr>
          <w:p w:rsidR="00EE56C0" w:rsidRDefault="00EE56C0">
            <w:pPr>
              <w:pStyle w:val="afa"/>
            </w:pPr>
          </w:p>
        </w:tc>
      </w:tr>
    </w:tbl>
    <w:p w:rsidR="00EE56C0" w:rsidRDefault="000F36A1">
      <w:pPr>
        <w:ind w:firstLine="480"/>
      </w:pPr>
      <w:r>
        <w:rPr>
          <w:rFonts w:hint="eastAsia"/>
        </w:rPr>
        <w:t>评价遵循“清洁生产、达标排放、总量控制”的原则，进行细致、全面、科学、客观的评价。</w:t>
      </w:r>
    </w:p>
    <w:p w:rsidR="00EE56C0" w:rsidRDefault="000F36A1">
      <w:pPr>
        <w:ind w:firstLine="480"/>
      </w:pPr>
      <w:r>
        <w:rPr>
          <w:rFonts w:hint="eastAsia"/>
        </w:rPr>
        <w:t>（</w:t>
      </w:r>
      <w:r>
        <w:rPr>
          <w:rFonts w:hint="eastAsia"/>
        </w:rPr>
        <w:t>1</w:t>
      </w:r>
      <w:r>
        <w:rPr>
          <w:rFonts w:hint="eastAsia"/>
        </w:rPr>
        <w:t>）根据工程生产工艺及产污环节分析，在物料衡算、类比分析的基础上，确定工程排污源强。依据工程拟采取的污染防治措施及处理效果，对工程排放污染物进行达标分析并计算工程污染物排放量。</w:t>
      </w:r>
    </w:p>
    <w:p w:rsidR="00EE56C0" w:rsidRDefault="000F36A1">
      <w:pPr>
        <w:ind w:firstLine="480"/>
      </w:pPr>
      <w:r>
        <w:rPr>
          <w:rFonts w:hint="eastAsia"/>
        </w:rPr>
        <w:t>（</w:t>
      </w:r>
      <w:r>
        <w:rPr>
          <w:rFonts w:hint="eastAsia"/>
        </w:rPr>
        <w:t>2</w:t>
      </w:r>
      <w:r>
        <w:rPr>
          <w:rFonts w:hint="eastAsia"/>
        </w:rPr>
        <w:t>）对区域环境空气质量现状进行监测分析，确定评价区域环境空气质量现状；根据工程废气污染源强参数，按照环评导则推荐的模式就工程对环境空气质量影响进行预测分析。</w:t>
      </w:r>
    </w:p>
    <w:p w:rsidR="00EE56C0" w:rsidRDefault="000F36A1">
      <w:pPr>
        <w:ind w:firstLine="480"/>
      </w:pPr>
      <w:r>
        <w:rPr>
          <w:rFonts w:hint="eastAsia"/>
        </w:rPr>
        <w:t>（</w:t>
      </w:r>
      <w:r>
        <w:rPr>
          <w:rFonts w:hint="eastAsia"/>
        </w:rPr>
        <w:t>3</w:t>
      </w:r>
      <w:r>
        <w:rPr>
          <w:rFonts w:hint="eastAsia"/>
        </w:rPr>
        <w:t>）收集地表水环境质量现状监测数据，根据工程建成后的废水综合利用及排放情况，分析工程废水对水环境影响进行分析论证。</w:t>
      </w:r>
    </w:p>
    <w:p w:rsidR="00EE56C0" w:rsidRDefault="000F36A1">
      <w:pPr>
        <w:ind w:firstLine="480"/>
      </w:pPr>
      <w:r>
        <w:rPr>
          <w:rFonts w:hint="eastAsia"/>
        </w:rPr>
        <w:t>（</w:t>
      </w:r>
      <w:r>
        <w:rPr>
          <w:rFonts w:hint="eastAsia"/>
        </w:rPr>
        <w:t>4</w:t>
      </w:r>
      <w:r>
        <w:rPr>
          <w:rFonts w:hint="eastAsia"/>
        </w:rPr>
        <w:t>）对地下水环境质量现状进行监测分析，弄清评价区域地下水环境质量</w:t>
      </w:r>
      <w:r>
        <w:rPr>
          <w:rFonts w:hint="eastAsia"/>
        </w:rPr>
        <w:lastRenderedPageBreak/>
        <w:t>现状，针对工程建设提出厂区防渗措施，防止地下水污染。</w:t>
      </w:r>
    </w:p>
    <w:p w:rsidR="00EE56C0" w:rsidRDefault="000F36A1">
      <w:pPr>
        <w:ind w:firstLine="480"/>
      </w:pPr>
      <w:r>
        <w:rPr>
          <w:rFonts w:hint="eastAsia"/>
        </w:rPr>
        <w:t>（</w:t>
      </w:r>
      <w:r>
        <w:rPr>
          <w:rFonts w:hint="eastAsia"/>
        </w:rPr>
        <w:t>5</w:t>
      </w:r>
      <w:r>
        <w:rPr>
          <w:rFonts w:hint="eastAsia"/>
        </w:rPr>
        <w:t>）对工程厂界噪声进行监测，根据工程设备噪声对工程建成后厂界噪声进行预测分析。</w:t>
      </w:r>
    </w:p>
    <w:p w:rsidR="00EE56C0" w:rsidRDefault="000F36A1">
      <w:pPr>
        <w:ind w:firstLine="480"/>
      </w:pPr>
      <w:r>
        <w:rPr>
          <w:rFonts w:hint="eastAsia"/>
        </w:rPr>
        <w:t>（</w:t>
      </w:r>
      <w:r>
        <w:rPr>
          <w:rFonts w:hint="eastAsia"/>
        </w:rPr>
        <w:t>6</w:t>
      </w:r>
      <w:r>
        <w:rPr>
          <w:rFonts w:hint="eastAsia"/>
        </w:rPr>
        <w:t>）对土壤环境质量现状进行监测分析，了解评价区域土壤环境质量现状，针对工程建设提出厂区防渗措施，防止土壤污染。</w:t>
      </w:r>
    </w:p>
    <w:p w:rsidR="00EE56C0" w:rsidRDefault="000F36A1">
      <w:pPr>
        <w:ind w:firstLine="480"/>
      </w:pPr>
      <w:r>
        <w:rPr>
          <w:rFonts w:hint="eastAsia"/>
        </w:rPr>
        <w:t>（</w:t>
      </w:r>
      <w:r>
        <w:rPr>
          <w:rFonts w:hint="eastAsia"/>
        </w:rPr>
        <w:t>7</w:t>
      </w:r>
      <w:r>
        <w:rPr>
          <w:rFonts w:hint="eastAsia"/>
        </w:rPr>
        <w:t>）分析本次工程固废产生及处置情况，并对其综合利用和处置措施进行分析。</w:t>
      </w:r>
    </w:p>
    <w:p w:rsidR="00EE56C0" w:rsidRDefault="000F36A1">
      <w:pPr>
        <w:ind w:firstLine="480"/>
      </w:pPr>
      <w:r>
        <w:rPr>
          <w:rFonts w:hint="eastAsia"/>
        </w:rPr>
        <w:t>（</w:t>
      </w:r>
      <w:r>
        <w:rPr>
          <w:rFonts w:hint="eastAsia"/>
        </w:rPr>
        <w:t>8</w:t>
      </w:r>
      <w:r>
        <w:rPr>
          <w:rFonts w:hint="eastAsia"/>
        </w:rPr>
        <w:t>）根据清洁生产分析及本此工程拟采取的污染防治措施结论，在污染物达标排放的基础上，结合区域规划要求，分析本次工程污染物排放总量是否满足环保管理部门下达的总量控制指标要求。</w:t>
      </w:r>
    </w:p>
    <w:p w:rsidR="00EE56C0" w:rsidRDefault="000F36A1">
      <w:pPr>
        <w:ind w:firstLine="480"/>
      </w:pPr>
      <w:r>
        <w:rPr>
          <w:rFonts w:hint="eastAsia"/>
        </w:rPr>
        <w:t>（</w:t>
      </w:r>
      <w:r>
        <w:rPr>
          <w:rFonts w:hint="eastAsia"/>
        </w:rPr>
        <w:t>9</w:t>
      </w:r>
      <w:r>
        <w:rPr>
          <w:rFonts w:hint="eastAsia"/>
        </w:rPr>
        <w:t>）根据本次工程原料、产品及生产过程特性，从风险识别、源项分析入手，找出工程原料、产品贮运及生产过程中存在的主要环境风险源，按照风险事故类型，提出风险防范措施、风险管理、应急预案和应急监测等相关内容。</w:t>
      </w:r>
    </w:p>
    <w:p w:rsidR="00EE56C0" w:rsidRDefault="000F36A1">
      <w:pPr>
        <w:ind w:firstLine="480"/>
      </w:pPr>
      <w:r>
        <w:rPr>
          <w:rFonts w:hint="eastAsia"/>
        </w:rPr>
        <w:t>（</w:t>
      </w:r>
      <w:r>
        <w:rPr>
          <w:rFonts w:hint="eastAsia"/>
        </w:rPr>
        <w:t>10</w:t>
      </w:r>
      <w:r>
        <w:rPr>
          <w:rFonts w:hint="eastAsia"/>
        </w:rPr>
        <w:t>）从环保角度对工程建设及厂址选择的可行性做出明确结论；对工程采取环保措施的可行性、可靠性进行论证，并对存在的问题，提出可行的对策建议。</w:t>
      </w:r>
    </w:p>
    <w:p w:rsidR="00EE56C0" w:rsidRDefault="000F36A1">
      <w:pPr>
        <w:pStyle w:val="2"/>
        <w:ind w:firstLine="301"/>
      </w:pPr>
      <w:bookmarkStart w:id="31" w:name="_Toc428286780"/>
      <w:bookmarkStart w:id="32" w:name="_Toc428287174"/>
      <w:bookmarkStart w:id="33" w:name="_Toc25400887"/>
      <w:bookmarkStart w:id="34" w:name="_Toc429318388"/>
      <w:r>
        <w:rPr>
          <w:rFonts w:hint="eastAsia"/>
        </w:rPr>
        <w:t>1.7</w:t>
      </w:r>
      <w:r>
        <w:rPr>
          <w:rFonts w:hint="eastAsia"/>
        </w:rPr>
        <w:t>评价工作程序</w:t>
      </w:r>
      <w:bookmarkEnd w:id="31"/>
      <w:bookmarkEnd w:id="32"/>
      <w:bookmarkEnd w:id="33"/>
      <w:bookmarkEnd w:id="34"/>
    </w:p>
    <w:p w:rsidR="00EE56C0" w:rsidRDefault="000F36A1">
      <w:pPr>
        <w:ind w:firstLine="480"/>
      </w:pPr>
      <w:r>
        <w:rPr>
          <w:rFonts w:hint="eastAsia"/>
        </w:rPr>
        <w:t>评价工作程序见图</w:t>
      </w:r>
      <w:r>
        <w:rPr>
          <w:rFonts w:hint="eastAsia"/>
        </w:rPr>
        <w:t>1-1</w:t>
      </w:r>
      <w:r>
        <w:rPr>
          <w:rFonts w:hint="eastAsia"/>
        </w:rPr>
        <w:t>。</w:t>
      </w:r>
    </w:p>
    <w:p w:rsidR="00EE56C0" w:rsidRDefault="000F36A1">
      <w:pPr>
        <w:pStyle w:val="aff8"/>
      </w:pPr>
      <w:r>
        <w:rPr>
          <w:noProof/>
        </w:rPr>
        <w:lastRenderedPageBreak/>
        <w:drawing>
          <wp:inline distT="0" distB="0" distL="0" distR="0">
            <wp:extent cx="5423535" cy="6353810"/>
            <wp:effectExtent l="19050" t="0" r="571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22"/>
                    <a:srcRect l="5621" t="957" r="8401" b="89"/>
                    <a:stretch>
                      <a:fillRect/>
                    </a:stretch>
                  </pic:blipFill>
                  <pic:spPr>
                    <a:xfrm>
                      <a:off x="0" y="0"/>
                      <a:ext cx="5423535" cy="6353810"/>
                    </a:xfrm>
                    <a:prstGeom prst="rect">
                      <a:avLst/>
                    </a:prstGeom>
                    <a:noFill/>
                    <a:ln w="9525">
                      <a:noFill/>
                      <a:miter lim="800000"/>
                      <a:headEnd/>
                      <a:tailEnd/>
                    </a:ln>
                  </pic:spPr>
                </pic:pic>
              </a:graphicData>
            </a:graphic>
          </wp:inline>
        </w:drawing>
      </w:r>
    </w:p>
    <w:p w:rsidR="00EE56C0" w:rsidRDefault="000F36A1">
      <w:pPr>
        <w:pStyle w:val="aff8"/>
      </w:pPr>
      <w:r>
        <w:rPr>
          <w:rFonts w:hint="eastAsia"/>
        </w:rPr>
        <w:t>图</w:t>
      </w:r>
      <w:r>
        <w:rPr>
          <w:rFonts w:hint="eastAsia"/>
        </w:rPr>
        <w:t xml:space="preserve">1-1  </w:t>
      </w:r>
      <w:r>
        <w:rPr>
          <w:rFonts w:hint="eastAsia"/>
        </w:rPr>
        <w:t>环境影响评价工作程序</w:t>
      </w:r>
    </w:p>
    <w:p w:rsidR="00EE56C0" w:rsidRDefault="000F36A1">
      <w:pPr>
        <w:pStyle w:val="2"/>
        <w:ind w:firstLine="301"/>
      </w:pPr>
      <w:bookmarkStart w:id="35" w:name="_Toc25400888"/>
      <w:r>
        <w:rPr>
          <w:rFonts w:hint="eastAsia"/>
        </w:rPr>
        <w:t>1.8</w:t>
      </w:r>
      <w:r>
        <w:rPr>
          <w:rFonts w:hint="eastAsia"/>
        </w:rPr>
        <w:t>环境影响评价的主要结论</w:t>
      </w:r>
      <w:bookmarkEnd w:id="35"/>
    </w:p>
    <w:p w:rsidR="00EE56C0" w:rsidRDefault="000F36A1">
      <w:pPr>
        <w:ind w:firstLine="480"/>
        <w:rPr>
          <w:sz w:val="21"/>
        </w:rPr>
      </w:pPr>
      <w:r>
        <w:rPr>
          <w:rFonts w:hint="eastAsia"/>
        </w:rPr>
        <w:t>河南华洋电工科技集团有限公司高可靠性抗高压耐热绕组线项目属于《产业结构调整指导目录（</w:t>
      </w:r>
      <w:r>
        <w:t>201</w:t>
      </w:r>
      <w:r>
        <w:rPr>
          <w:rFonts w:hint="eastAsia"/>
        </w:rPr>
        <w:t>9</w:t>
      </w:r>
      <w:r>
        <w:rPr>
          <w:rFonts w:hint="eastAsia"/>
        </w:rPr>
        <w:t>年本）》</w:t>
      </w:r>
      <w:r w:rsidR="00640296">
        <w:rPr>
          <w:rFonts w:hint="eastAsia"/>
        </w:rPr>
        <w:t>及修改</w:t>
      </w:r>
      <w:r w:rsidR="00C96DE7">
        <w:rPr>
          <w:rFonts w:hint="eastAsia"/>
        </w:rPr>
        <w:t>文件</w:t>
      </w:r>
      <w:r>
        <w:rPr>
          <w:rFonts w:hint="eastAsia"/>
        </w:rPr>
        <w:t>中的允许类，符合国家产业政策；项目用地为工业用地，符合园区总体发展规划要求；根据环境影响预测结果：在保证评价要求和工程设计的防治措施正常运行的条件下，本项目对周围大气环境、</w:t>
      </w:r>
      <w:r>
        <w:rPr>
          <w:rFonts w:hint="eastAsia"/>
        </w:rPr>
        <w:lastRenderedPageBreak/>
        <w:t>地表水环境、地下水环境、土壤环境以及声环境的影响可接受；工程环境风险可接受；工程完成后，各项污染防治措施可行，全厂废水、废气、噪声污染物能够做到达标排放，固废采取了有效的处置措施；公众参与调查结果表明，公众对项目的建设无反对意见。从环保角度而言，该项目建设可行。</w:t>
      </w:r>
    </w:p>
    <w:p w:rsidR="00EE56C0" w:rsidRDefault="00EE56C0">
      <w:pPr>
        <w:ind w:firstLine="480"/>
      </w:pPr>
    </w:p>
    <w:p w:rsidR="00EE56C0" w:rsidRDefault="000F36A1">
      <w:pPr>
        <w:pStyle w:val="1"/>
        <w:numPr>
          <w:ilvl w:val="0"/>
          <w:numId w:val="1"/>
        </w:numPr>
        <w:spacing w:before="360" w:after="480"/>
      </w:pPr>
      <w:bookmarkStart w:id="36" w:name="_Toc25400889"/>
      <w:bookmarkStart w:id="37" w:name="_Toc428286755"/>
      <w:bookmarkStart w:id="38" w:name="_Toc174155850"/>
      <w:bookmarkStart w:id="39" w:name="_Toc428287149"/>
      <w:bookmarkStart w:id="40" w:name="_Toc429318378"/>
      <w:r>
        <w:rPr>
          <w:rFonts w:hint="eastAsia"/>
        </w:rPr>
        <w:lastRenderedPageBreak/>
        <w:t>总则</w:t>
      </w:r>
      <w:bookmarkEnd w:id="36"/>
    </w:p>
    <w:p w:rsidR="00EE56C0" w:rsidRDefault="000F36A1">
      <w:pPr>
        <w:pStyle w:val="2"/>
        <w:ind w:left="301" w:firstLineChars="0" w:firstLine="0"/>
      </w:pPr>
      <w:bookmarkStart w:id="41" w:name="_Toc25400890"/>
      <w:r>
        <w:rPr>
          <w:rFonts w:hint="eastAsia"/>
        </w:rPr>
        <w:t>2.1</w:t>
      </w:r>
      <w:r>
        <w:rPr>
          <w:rFonts w:hint="eastAsia"/>
        </w:rPr>
        <w:t>编制依据</w:t>
      </w:r>
      <w:bookmarkEnd w:id="37"/>
      <w:bookmarkEnd w:id="38"/>
      <w:bookmarkEnd w:id="39"/>
      <w:bookmarkEnd w:id="40"/>
      <w:bookmarkEnd w:id="41"/>
    </w:p>
    <w:p w:rsidR="00EE56C0" w:rsidRDefault="000F36A1">
      <w:pPr>
        <w:pStyle w:val="3"/>
        <w:spacing w:before="240" w:after="120"/>
      </w:pPr>
      <w:bookmarkStart w:id="42" w:name="_Toc428286756"/>
      <w:bookmarkStart w:id="43" w:name="_Toc428287150"/>
      <w:bookmarkStart w:id="44" w:name="_Toc428287502"/>
      <w:r>
        <w:rPr>
          <w:rFonts w:hint="eastAsia"/>
        </w:rPr>
        <w:t>2.1.1</w:t>
      </w:r>
      <w:r>
        <w:t>法律法规</w:t>
      </w:r>
      <w:bookmarkEnd w:id="42"/>
      <w:bookmarkEnd w:id="43"/>
      <w:bookmarkEnd w:id="44"/>
    </w:p>
    <w:p w:rsidR="00EE56C0" w:rsidRDefault="000F36A1">
      <w:pPr>
        <w:ind w:firstLine="480"/>
      </w:pPr>
      <w:r>
        <w:rPr>
          <w:rFonts w:hint="eastAsia"/>
        </w:rPr>
        <w:t>（</w:t>
      </w:r>
      <w:r>
        <w:rPr>
          <w:rFonts w:hint="eastAsia"/>
        </w:rPr>
        <w:t>1</w:t>
      </w:r>
      <w:r>
        <w:rPr>
          <w:rFonts w:hint="eastAsia"/>
        </w:rPr>
        <w:t>）《中华人民共和国环境保护法》（</w:t>
      </w:r>
      <w:r>
        <w:rPr>
          <w:rFonts w:hint="eastAsia"/>
        </w:rPr>
        <w:t>2014</w:t>
      </w:r>
      <w:r>
        <w:rPr>
          <w:rFonts w:hint="eastAsia"/>
        </w:rPr>
        <w:t>年修订）</w:t>
      </w:r>
    </w:p>
    <w:p w:rsidR="00EE56C0" w:rsidRDefault="000F36A1">
      <w:pPr>
        <w:ind w:firstLine="480"/>
      </w:pPr>
      <w:r>
        <w:rPr>
          <w:rFonts w:hint="eastAsia"/>
        </w:rPr>
        <w:t>（</w:t>
      </w:r>
      <w:r>
        <w:rPr>
          <w:rFonts w:hint="eastAsia"/>
        </w:rPr>
        <w:t>2</w:t>
      </w:r>
      <w:r>
        <w:rPr>
          <w:rFonts w:hint="eastAsia"/>
        </w:rPr>
        <w:t>）《中华人民共和国环境影响评价法》（</w:t>
      </w:r>
      <w:r>
        <w:rPr>
          <w:rFonts w:hint="eastAsia"/>
        </w:rPr>
        <w:t>2018</w:t>
      </w:r>
      <w:r>
        <w:rPr>
          <w:rFonts w:hint="eastAsia"/>
        </w:rPr>
        <w:t>年</w:t>
      </w:r>
      <w:r>
        <w:rPr>
          <w:rFonts w:hint="eastAsia"/>
        </w:rPr>
        <w:t>12</w:t>
      </w:r>
      <w:r>
        <w:rPr>
          <w:rFonts w:hint="eastAsia"/>
        </w:rPr>
        <w:t>月</w:t>
      </w:r>
      <w:r>
        <w:rPr>
          <w:rFonts w:hint="eastAsia"/>
        </w:rPr>
        <w:t>29</w:t>
      </w:r>
      <w:r>
        <w:rPr>
          <w:rFonts w:hint="eastAsia"/>
        </w:rPr>
        <w:t>日修订）</w:t>
      </w:r>
    </w:p>
    <w:p w:rsidR="00EE56C0" w:rsidRDefault="000F36A1">
      <w:pPr>
        <w:ind w:firstLine="480"/>
      </w:pPr>
      <w:r>
        <w:rPr>
          <w:rFonts w:hint="eastAsia"/>
        </w:rPr>
        <w:t>（</w:t>
      </w:r>
      <w:r>
        <w:rPr>
          <w:rFonts w:hint="eastAsia"/>
        </w:rPr>
        <w:t>3</w:t>
      </w:r>
      <w:r>
        <w:rPr>
          <w:rFonts w:hint="eastAsia"/>
        </w:rPr>
        <w:t>）《中华人民共和国大气污染防治法》（</w:t>
      </w:r>
      <w:r>
        <w:rPr>
          <w:rFonts w:hint="eastAsia"/>
        </w:rPr>
        <w:t>2018</w:t>
      </w:r>
      <w:r>
        <w:rPr>
          <w:rFonts w:hint="eastAsia"/>
        </w:rPr>
        <w:t>年</w:t>
      </w:r>
      <w:r>
        <w:rPr>
          <w:rFonts w:hint="eastAsia"/>
        </w:rPr>
        <w:t>10</w:t>
      </w:r>
      <w:r>
        <w:rPr>
          <w:rFonts w:hint="eastAsia"/>
        </w:rPr>
        <w:t>月</w:t>
      </w:r>
      <w:r>
        <w:rPr>
          <w:rFonts w:hint="eastAsia"/>
        </w:rPr>
        <w:t>26</w:t>
      </w:r>
      <w:r>
        <w:rPr>
          <w:rFonts w:hint="eastAsia"/>
        </w:rPr>
        <w:t>日修订）</w:t>
      </w:r>
    </w:p>
    <w:p w:rsidR="00EE56C0" w:rsidRDefault="000F36A1">
      <w:pPr>
        <w:ind w:firstLine="480"/>
      </w:pPr>
      <w:r>
        <w:rPr>
          <w:rFonts w:hint="eastAsia"/>
        </w:rPr>
        <w:t>（</w:t>
      </w:r>
      <w:r>
        <w:rPr>
          <w:rFonts w:hint="eastAsia"/>
        </w:rPr>
        <w:t>4</w:t>
      </w:r>
      <w:r>
        <w:rPr>
          <w:rFonts w:hint="eastAsia"/>
        </w:rPr>
        <w:t>）《中华人民共和国水污染防治法》（</w:t>
      </w:r>
      <w:r>
        <w:rPr>
          <w:rFonts w:hint="eastAsia"/>
        </w:rPr>
        <w:t>2018.1.1</w:t>
      </w:r>
      <w:r>
        <w:rPr>
          <w:rFonts w:hint="eastAsia"/>
        </w:rPr>
        <w:t>）</w:t>
      </w:r>
    </w:p>
    <w:p w:rsidR="00EE56C0" w:rsidRDefault="000F36A1">
      <w:pPr>
        <w:ind w:firstLine="480"/>
      </w:pPr>
      <w:r>
        <w:rPr>
          <w:rFonts w:hint="eastAsia"/>
        </w:rPr>
        <w:t>（</w:t>
      </w:r>
      <w:r>
        <w:rPr>
          <w:rFonts w:hint="eastAsia"/>
        </w:rPr>
        <w:t>5</w:t>
      </w:r>
      <w:r>
        <w:rPr>
          <w:rFonts w:hint="eastAsia"/>
        </w:rPr>
        <w:t>）《中华人民共和国环境噪声污染防治法》（</w:t>
      </w:r>
      <w:r>
        <w:rPr>
          <w:rFonts w:hint="eastAsia"/>
        </w:rPr>
        <w:t>2018</w:t>
      </w:r>
      <w:r>
        <w:rPr>
          <w:rFonts w:hint="eastAsia"/>
        </w:rPr>
        <w:t>年</w:t>
      </w:r>
      <w:r>
        <w:rPr>
          <w:rFonts w:hint="eastAsia"/>
        </w:rPr>
        <w:t>12</w:t>
      </w:r>
      <w:r>
        <w:rPr>
          <w:rFonts w:hint="eastAsia"/>
        </w:rPr>
        <w:t>月</w:t>
      </w:r>
      <w:r>
        <w:rPr>
          <w:rFonts w:hint="eastAsia"/>
        </w:rPr>
        <w:t>29</w:t>
      </w:r>
      <w:r>
        <w:rPr>
          <w:rFonts w:hint="eastAsia"/>
        </w:rPr>
        <w:t>日修订）</w:t>
      </w:r>
    </w:p>
    <w:p w:rsidR="00EE56C0" w:rsidRDefault="000F36A1">
      <w:pPr>
        <w:ind w:firstLine="480"/>
      </w:pPr>
      <w:r>
        <w:rPr>
          <w:rFonts w:hint="eastAsia"/>
        </w:rPr>
        <w:t>（</w:t>
      </w:r>
      <w:r>
        <w:rPr>
          <w:rFonts w:hint="eastAsia"/>
        </w:rPr>
        <w:t>6</w:t>
      </w:r>
      <w:r>
        <w:rPr>
          <w:rFonts w:hint="eastAsia"/>
        </w:rPr>
        <w:t>）《中华人民共和国固体废物污染环境防治法》（</w:t>
      </w:r>
      <w:r>
        <w:rPr>
          <w:rFonts w:hint="eastAsia"/>
        </w:rPr>
        <w:t>2015.4.24</w:t>
      </w:r>
      <w:r>
        <w:rPr>
          <w:rFonts w:hint="eastAsia"/>
        </w:rPr>
        <w:t>）</w:t>
      </w:r>
    </w:p>
    <w:p w:rsidR="00EE56C0" w:rsidRDefault="000F36A1">
      <w:pPr>
        <w:ind w:firstLine="480"/>
      </w:pPr>
      <w:r>
        <w:rPr>
          <w:rFonts w:hint="eastAsia"/>
        </w:rPr>
        <w:t>（</w:t>
      </w:r>
      <w:r>
        <w:rPr>
          <w:rFonts w:hint="eastAsia"/>
        </w:rPr>
        <w:t>7</w:t>
      </w:r>
      <w:r>
        <w:rPr>
          <w:rFonts w:hint="eastAsia"/>
        </w:rPr>
        <w:t>）《中华人民共和国土壤污染防治法》（</w:t>
      </w:r>
      <w:r>
        <w:rPr>
          <w:rFonts w:hint="eastAsia"/>
        </w:rPr>
        <w:t>2019.1.1</w:t>
      </w:r>
      <w:r>
        <w:rPr>
          <w:rFonts w:hint="eastAsia"/>
        </w:rPr>
        <w:t>日）</w:t>
      </w:r>
    </w:p>
    <w:p w:rsidR="00EE56C0" w:rsidRDefault="000F36A1">
      <w:pPr>
        <w:ind w:firstLine="480"/>
      </w:pPr>
      <w:r>
        <w:rPr>
          <w:rFonts w:hint="eastAsia"/>
        </w:rPr>
        <w:t>（</w:t>
      </w:r>
      <w:r>
        <w:rPr>
          <w:rFonts w:hint="eastAsia"/>
        </w:rPr>
        <w:t>8</w:t>
      </w:r>
      <w:r>
        <w:rPr>
          <w:rFonts w:hint="eastAsia"/>
        </w:rPr>
        <w:t>）《建设项目环境保护管理条例》（国务院第</w:t>
      </w:r>
      <w:r>
        <w:rPr>
          <w:rFonts w:hint="eastAsia"/>
        </w:rPr>
        <w:t>682</w:t>
      </w:r>
      <w:r>
        <w:rPr>
          <w:rFonts w:hint="eastAsia"/>
        </w:rPr>
        <w:t>号令</w:t>
      </w:r>
      <w:r>
        <w:rPr>
          <w:rFonts w:hint="eastAsia"/>
        </w:rPr>
        <w:t>.2017.10.1</w:t>
      </w:r>
      <w:r>
        <w:rPr>
          <w:rFonts w:hint="eastAsia"/>
        </w:rPr>
        <w:t>）</w:t>
      </w:r>
    </w:p>
    <w:p w:rsidR="00EE56C0" w:rsidRDefault="000F36A1">
      <w:pPr>
        <w:ind w:firstLine="480"/>
      </w:pPr>
      <w:r>
        <w:rPr>
          <w:rFonts w:hint="eastAsia"/>
        </w:rPr>
        <w:t>（</w:t>
      </w:r>
      <w:r>
        <w:rPr>
          <w:rFonts w:hint="eastAsia"/>
        </w:rPr>
        <w:t>9</w:t>
      </w:r>
      <w:r>
        <w:rPr>
          <w:rFonts w:hint="eastAsia"/>
        </w:rPr>
        <w:t>）《中华人民共和国清洁生产促进法》（</w:t>
      </w:r>
      <w:r>
        <w:rPr>
          <w:rFonts w:hint="eastAsia"/>
        </w:rPr>
        <w:t>2012.7.1</w:t>
      </w:r>
      <w:r>
        <w:rPr>
          <w:rFonts w:hint="eastAsia"/>
        </w:rPr>
        <w:t>）</w:t>
      </w:r>
    </w:p>
    <w:p w:rsidR="00EE56C0" w:rsidRDefault="000F36A1">
      <w:pPr>
        <w:ind w:firstLine="480"/>
      </w:pPr>
      <w:r>
        <w:rPr>
          <w:rFonts w:hint="eastAsia"/>
        </w:rPr>
        <w:t>（</w:t>
      </w:r>
      <w:r>
        <w:rPr>
          <w:rFonts w:hint="eastAsia"/>
        </w:rPr>
        <w:t>10</w:t>
      </w:r>
      <w:r>
        <w:rPr>
          <w:rFonts w:hint="eastAsia"/>
        </w:rPr>
        <w:t>）《环境影响评价公众参与办法》（生态环境部令第</w:t>
      </w:r>
      <w:r>
        <w:rPr>
          <w:rFonts w:hint="eastAsia"/>
        </w:rPr>
        <w:t>4</w:t>
      </w:r>
      <w:r>
        <w:rPr>
          <w:rFonts w:hint="eastAsia"/>
        </w:rPr>
        <w:t>号）</w:t>
      </w:r>
    </w:p>
    <w:p w:rsidR="00EE56C0" w:rsidRDefault="000F36A1">
      <w:pPr>
        <w:ind w:firstLine="480"/>
      </w:pPr>
      <w:r>
        <w:rPr>
          <w:rFonts w:hint="eastAsia"/>
        </w:rPr>
        <w:t>（</w:t>
      </w:r>
      <w:r>
        <w:rPr>
          <w:rFonts w:hint="eastAsia"/>
        </w:rPr>
        <w:t>11</w:t>
      </w:r>
      <w:r>
        <w:rPr>
          <w:rFonts w:hint="eastAsia"/>
        </w:rPr>
        <w:t>）《河南省水污染防治条例》（</w:t>
      </w:r>
      <w:r>
        <w:rPr>
          <w:rFonts w:hint="eastAsia"/>
        </w:rPr>
        <w:t>2019.10.1</w:t>
      </w:r>
      <w:r>
        <w:rPr>
          <w:rFonts w:hint="eastAsia"/>
        </w:rPr>
        <w:t>）</w:t>
      </w:r>
    </w:p>
    <w:p w:rsidR="00EE56C0" w:rsidRDefault="000F36A1">
      <w:pPr>
        <w:ind w:firstLine="480"/>
      </w:pPr>
      <w:r>
        <w:rPr>
          <w:rFonts w:hint="eastAsia"/>
        </w:rPr>
        <w:t>（</w:t>
      </w:r>
      <w:r>
        <w:rPr>
          <w:rFonts w:hint="eastAsia"/>
        </w:rPr>
        <w:t>12</w:t>
      </w:r>
      <w:r>
        <w:rPr>
          <w:rFonts w:hint="eastAsia"/>
        </w:rPr>
        <w:t>）《河南省大气污染防治条例》（</w:t>
      </w:r>
      <w:r>
        <w:rPr>
          <w:rFonts w:hint="eastAsia"/>
        </w:rPr>
        <w:t>2018.3.1</w:t>
      </w:r>
      <w:r>
        <w:rPr>
          <w:rFonts w:hint="eastAsia"/>
        </w:rPr>
        <w:t>）</w:t>
      </w:r>
    </w:p>
    <w:p w:rsidR="00EE56C0" w:rsidRDefault="000F36A1">
      <w:pPr>
        <w:ind w:firstLine="480"/>
      </w:pPr>
      <w:r>
        <w:rPr>
          <w:rFonts w:hint="eastAsia"/>
        </w:rPr>
        <w:t>（</w:t>
      </w:r>
      <w:r>
        <w:rPr>
          <w:rFonts w:hint="eastAsia"/>
        </w:rPr>
        <w:t>13</w:t>
      </w:r>
      <w:r>
        <w:rPr>
          <w:rFonts w:hint="eastAsia"/>
        </w:rPr>
        <w:t>）《河南省固体废物污染环境防治条例》（</w:t>
      </w:r>
      <w:r>
        <w:rPr>
          <w:rFonts w:hint="eastAsia"/>
        </w:rPr>
        <w:t>2012.1.1</w:t>
      </w:r>
      <w:r>
        <w:rPr>
          <w:rFonts w:hint="eastAsia"/>
        </w:rPr>
        <w:t>）</w:t>
      </w:r>
    </w:p>
    <w:p w:rsidR="00EE56C0" w:rsidRDefault="000F36A1">
      <w:pPr>
        <w:ind w:firstLine="480"/>
      </w:pPr>
      <w:r>
        <w:rPr>
          <w:rFonts w:hint="eastAsia"/>
        </w:rPr>
        <w:t>（</w:t>
      </w:r>
      <w:r>
        <w:rPr>
          <w:rFonts w:hint="eastAsia"/>
        </w:rPr>
        <w:t>14</w:t>
      </w:r>
      <w:r>
        <w:rPr>
          <w:rFonts w:hint="eastAsia"/>
        </w:rPr>
        <w:t>）《河南省建设项目环境保护条例》</w:t>
      </w:r>
    </w:p>
    <w:p w:rsidR="00EE56C0" w:rsidRDefault="000F36A1">
      <w:pPr>
        <w:pStyle w:val="3"/>
        <w:spacing w:before="240" w:after="120"/>
      </w:pPr>
      <w:bookmarkStart w:id="45" w:name="_Toc428286757"/>
      <w:bookmarkStart w:id="46" w:name="_Toc428287503"/>
      <w:bookmarkStart w:id="47" w:name="_Toc428287151"/>
      <w:r>
        <w:rPr>
          <w:rFonts w:hint="eastAsia"/>
        </w:rPr>
        <w:t>2.1.2</w:t>
      </w:r>
      <w:r>
        <w:rPr>
          <w:rFonts w:hint="eastAsia"/>
        </w:rPr>
        <w:t>相关政策及规划</w:t>
      </w:r>
      <w:bookmarkEnd w:id="45"/>
      <w:bookmarkEnd w:id="46"/>
      <w:bookmarkEnd w:id="47"/>
    </w:p>
    <w:p w:rsidR="00EE56C0" w:rsidRDefault="000F36A1">
      <w:pPr>
        <w:ind w:firstLine="480"/>
      </w:pPr>
      <w:r>
        <w:rPr>
          <w:rFonts w:hint="eastAsia"/>
        </w:rPr>
        <w:t>（</w:t>
      </w:r>
      <w:r>
        <w:rPr>
          <w:rFonts w:hint="eastAsia"/>
        </w:rPr>
        <w:t>1</w:t>
      </w:r>
      <w:r>
        <w:rPr>
          <w:rFonts w:hint="eastAsia"/>
        </w:rPr>
        <w:t>）《建设项目环境影响评价分类管理名录》（</w:t>
      </w:r>
      <w:r>
        <w:rPr>
          <w:rFonts w:hint="eastAsia"/>
        </w:rPr>
        <w:t>2021</w:t>
      </w:r>
      <w:r>
        <w:rPr>
          <w:rFonts w:hint="eastAsia"/>
        </w:rPr>
        <w:t>年版）</w:t>
      </w:r>
    </w:p>
    <w:p w:rsidR="00EE56C0" w:rsidRDefault="000F36A1">
      <w:pPr>
        <w:ind w:firstLine="480"/>
      </w:pPr>
      <w:r>
        <w:rPr>
          <w:rFonts w:hint="eastAsia"/>
        </w:rPr>
        <w:t>（</w:t>
      </w:r>
      <w:r>
        <w:rPr>
          <w:rFonts w:hint="eastAsia"/>
        </w:rPr>
        <w:t>2</w:t>
      </w:r>
      <w:r>
        <w:rPr>
          <w:rFonts w:hint="eastAsia"/>
        </w:rPr>
        <w:t>）《产业结构调整指导目录（</w:t>
      </w:r>
      <w:r>
        <w:rPr>
          <w:rFonts w:hint="eastAsia"/>
        </w:rPr>
        <w:t>2019</w:t>
      </w:r>
      <w:r>
        <w:rPr>
          <w:rFonts w:hint="eastAsia"/>
        </w:rPr>
        <w:t>年本）》</w:t>
      </w:r>
      <w:r w:rsidR="00640296">
        <w:rPr>
          <w:rFonts w:hint="eastAsia"/>
        </w:rPr>
        <w:t>及</w:t>
      </w:r>
      <w:r w:rsidR="00C96DE7">
        <w:rPr>
          <w:rFonts w:hint="eastAsia"/>
        </w:rPr>
        <w:t>修改文件</w:t>
      </w:r>
    </w:p>
    <w:p w:rsidR="00EE56C0" w:rsidRDefault="000F36A1">
      <w:pPr>
        <w:ind w:firstLine="480"/>
      </w:pPr>
      <w:r>
        <w:rPr>
          <w:rFonts w:hint="eastAsia"/>
        </w:rPr>
        <w:t>（</w:t>
      </w:r>
      <w:r>
        <w:rPr>
          <w:rFonts w:hint="eastAsia"/>
        </w:rPr>
        <w:t>3</w:t>
      </w:r>
      <w:r>
        <w:rPr>
          <w:rFonts w:hint="eastAsia"/>
        </w:rPr>
        <w:t>）《新乡市城市饮用水水源地保护区划分报告》（</w:t>
      </w:r>
      <w:r>
        <w:rPr>
          <w:rFonts w:hint="eastAsia"/>
        </w:rPr>
        <w:t>2007.4</w:t>
      </w:r>
      <w:r>
        <w:rPr>
          <w:rFonts w:hint="eastAsia"/>
        </w:rPr>
        <w:t>）</w:t>
      </w:r>
    </w:p>
    <w:p w:rsidR="00EE56C0" w:rsidRDefault="000F36A1">
      <w:pPr>
        <w:ind w:firstLine="480"/>
      </w:pPr>
      <w:r>
        <w:rPr>
          <w:rFonts w:hint="eastAsia"/>
        </w:rPr>
        <w:t>（</w:t>
      </w:r>
      <w:r>
        <w:rPr>
          <w:rFonts w:hint="eastAsia"/>
        </w:rPr>
        <w:t>4</w:t>
      </w:r>
      <w:r>
        <w:rPr>
          <w:rFonts w:hint="eastAsia"/>
        </w:rPr>
        <w:t>）</w:t>
      </w:r>
      <w:r>
        <w:rPr>
          <w:rFonts w:cs="宋体"/>
        </w:rPr>
        <w:t>《</w:t>
      </w:r>
      <w:r>
        <w:rPr>
          <w:rFonts w:cs="宋体"/>
        </w:rPr>
        <w:t>2020</w:t>
      </w:r>
      <w:r>
        <w:rPr>
          <w:rFonts w:cs="宋体"/>
        </w:rPr>
        <w:t>年挥发性有机物治理攻坚方案》（环大气〔</w:t>
      </w:r>
      <w:r>
        <w:rPr>
          <w:rFonts w:cs="宋体"/>
        </w:rPr>
        <w:t>2020</w:t>
      </w:r>
      <w:r>
        <w:rPr>
          <w:rFonts w:cs="宋体"/>
        </w:rPr>
        <w:t>〕</w:t>
      </w:r>
      <w:r>
        <w:rPr>
          <w:rFonts w:cs="宋体"/>
        </w:rPr>
        <w:t>33</w:t>
      </w:r>
      <w:r>
        <w:rPr>
          <w:rFonts w:cs="宋体"/>
        </w:rPr>
        <w:t>号）</w:t>
      </w:r>
    </w:p>
    <w:p w:rsidR="00EE56C0" w:rsidRDefault="000F36A1">
      <w:pPr>
        <w:ind w:firstLine="480"/>
      </w:pPr>
      <w:r>
        <w:rPr>
          <w:rFonts w:hint="eastAsia"/>
        </w:rPr>
        <w:t>（</w:t>
      </w:r>
      <w:r>
        <w:rPr>
          <w:rFonts w:hint="eastAsia"/>
        </w:rPr>
        <w:t>5</w:t>
      </w:r>
      <w:r>
        <w:rPr>
          <w:rFonts w:hint="eastAsia"/>
        </w:rPr>
        <w:t>）《</w:t>
      </w:r>
      <w:r>
        <w:rPr>
          <w:rFonts w:hint="eastAsia"/>
        </w:rPr>
        <w:t>2021-2022</w:t>
      </w:r>
      <w:r>
        <w:rPr>
          <w:rFonts w:hint="eastAsia"/>
        </w:rPr>
        <w:t>年秋冬季大气污染综合治理攻坚方案》（环大气</w:t>
      </w:r>
      <w:r>
        <w:rPr>
          <w:rFonts w:hint="eastAsia"/>
        </w:rPr>
        <w:t>[2021]104</w:t>
      </w:r>
      <w:r>
        <w:rPr>
          <w:rFonts w:hint="eastAsia"/>
        </w:rPr>
        <w:t>号）</w:t>
      </w:r>
    </w:p>
    <w:p w:rsidR="00EE56C0" w:rsidRDefault="000F36A1">
      <w:pPr>
        <w:ind w:firstLine="480"/>
      </w:pPr>
      <w:r>
        <w:rPr>
          <w:rFonts w:hint="eastAsia"/>
        </w:rPr>
        <w:lastRenderedPageBreak/>
        <w:t>（</w:t>
      </w:r>
      <w:r>
        <w:rPr>
          <w:rFonts w:hint="eastAsia"/>
        </w:rPr>
        <w:t>6</w:t>
      </w:r>
      <w:r>
        <w:rPr>
          <w:rFonts w:hint="eastAsia"/>
        </w:rPr>
        <w:t>）</w:t>
      </w:r>
      <w:r>
        <w:t>《新乡市</w:t>
      </w:r>
      <w:r>
        <w:t>2021</w:t>
      </w:r>
      <w:r>
        <w:t>年大气、水、土壤污染防治攻坚战及农业农村污染治理攻坚战实施方案》（新环攻坚办〔</w:t>
      </w:r>
      <w:r>
        <w:t>2021</w:t>
      </w:r>
      <w:r>
        <w:t>〕</w:t>
      </w:r>
      <w:r>
        <w:t>90</w:t>
      </w:r>
      <w:r>
        <w:t>号）</w:t>
      </w:r>
    </w:p>
    <w:p w:rsidR="00EE56C0" w:rsidRDefault="000F36A1">
      <w:pPr>
        <w:ind w:firstLine="480"/>
        <w:rPr>
          <w:rFonts w:cs="宋体"/>
        </w:rPr>
      </w:pPr>
      <w:r>
        <w:rPr>
          <w:rFonts w:hint="eastAsia"/>
        </w:rPr>
        <w:t>（</w:t>
      </w:r>
      <w:r>
        <w:rPr>
          <w:rFonts w:hint="eastAsia"/>
        </w:rPr>
        <w:t>7</w:t>
      </w:r>
      <w:r>
        <w:rPr>
          <w:rFonts w:hint="eastAsia"/>
        </w:rPr>
        <w:t>）</w:t>
      </w:r>
      <w:r>
        <w:t>《河南省生态环境厅关于印发河南省工业大气污染防治</w:t>
      </w:r>
      <w:r>
        <w:t>6</w:t>
      </w:r>
      <w:r>
        <w:t>个专项方案的通知》</w:t>
      </w:r>
    </w:p>
    <w:p w:rsidR="00EE56C0" w:rsidRDefault="000F36A1">
      <w:pPr>
        <w:ind w:firstLine="480"/>
      </w:pPr>
      <w:r>
        <w:rPr>
          <w:rFonts w:hint="eastAsia"/>
        </w:rPr>
        <w:t>（</w:t>
      </w:r>
      <w:r>
        <w:rPr>
          <w:rFonts w:hint="eastAsia"/>
        </w:rPr>
        <w:t>8</w:t>
      </w:r>
      <w:r>
        <w:rPr>
          <w:rFonts w:hint="eastAsia"/>
        </w:rPr>
        <w:t>）《新乡市“三线一单”生态环境准入清单（试行）》</w:t>
      </w:r>
    </w:p>
    <w:p w:rsidR="00EE56C0" w:rsidRDefault="000F36A1">
      <w:pPr>
        <w:ind w:firstLine="480"/>
      </w:pPr>
      <w:r>
        <w:rPr>
          <w:rFonts w:hint="eastAsia"/>
        </w:rPr>
        <w:t>（</w:t>
      </w:r>
      <w:r>
        <w:rPr>
          <w:rFonts w:hint="eastAsia"/>
        </w:rPr>
        <w:t>9</w:t>
      </w:r>
      <w:r>
        <w:rPr>
          <w:rFonts w:hint="eastAsia"/>
        </w:rPr>
        <w:t>）《重污染天气重点行业应急减排措施制定技术指南》（</w:t>
      </w:r>
      <w:r>
        <w:rPr>
          <w:rFonts w:hint="eastAsia"/>
        </w:rPr>
        <w:t>2020</w:t>
      </w:r>
      <w:r>
        <w:rPr>
          <w:rFonts w:hint="eastAsia"/>
        </w:rPr>
        <w:t>年修订版）</w:t>
      </w:r>
    </w:p>
    <w:p w:rsidR="00EE56C0" w:rsidRDefault="000F36A1">
      <w:pPr>
        <w:ind w:firstLine="482"/>
        <w:rPr>
          <w:b/>
          <w:u w:val="single"/>
        </w:rPr>
      </w:pPr>
      <w:r>
        <w:rPr>
          <w:rFonts w:hint="eastAsia"/>
          <w:b/>
          <w:u w:val="single"/>
        </w:rPr>
        <w:t>（</w:t>
      </w:r>
      <w:r>
        <w:rPr>
          <w:rFonts w:hint="eastAsia"/>
          <w:b/>
          <w:u w:val="single"/>
        </w:rPr>
        <w:t>10</w:t>
      </w:r>
      <w:r>
        <w:rPr>
          <w:rFonts w:hint="eastAsia"/>
          <w:b/>
          <w:u w:val="single"/>
        </w:rPr>
        <w:t>）</w:t>
      </w:r>
      <w:r>
        <w:rPr>
          <w:b/>
          <w:u w:val="single"/>
        </w:rPr>
        <w:t>《新乡市城市饮用水水源地保护区划分报告》（</w:t>
      </w:r>
      <w:r>
        <w:rPr>
          <w:b/>
          <w:u w:val="single"/>
        </w:rPr>
        <w:t>2007.5</w:t>
      </w:r>
      <w:r>
        <w:rPr>
          <w:b/>
          <w:u w:val="single"/>
        </w:rPr>
        <w:t>）</w:t>
      </w:r>
    </w:p>
    <w:p w:rsidR="00EE56C0" w:rsidRDefault="000F36A1">
      <w:pPr>
        <w:pStyle w:val="3"/>
        <w:spacing w:before="240" w:after="120"/>
      </w:pPr>
      <w:bookmarkStart w:id="48" w:name="_Toc428286758"/>
      <w:bookmarkStart w:id="49" w:name="_Toc428287152"/>
      <w:bookmarkStart w:id="50" w:name="_Toc428287504"/>
      <w:r>
        <w:rPr>
          <w:rFonts w:hint="eastAsia"/>
        </w:rPr>
        <w:t>2.1.3</w:t>
      </w:r>
      <w:r>
        <w:rPr>
          <w:rFonts w:hint="eastAsia"/>
        </w:rPr>
        <w:t>技术规范</w:t>
      </w:r>
      <w:bookmarkEnd w:id="48"/>
      <w:bookmarkEnd w:id="49"/>
      <w:bookmarkEnd w:id="50"/>
    </w:p>
    <w:p w:rsidR="00EE56C0" w:rsidRDefault="000F36A1">
      <w:pPr>
        <w:ind w:firstLine="480"/>
      </w:pPr>
      <w:r>
        <w:rPr>
          <w:rFonts w:hint="eastAsia"/>
        </w:rPr>
        <w:t>（</w:t>
      </w:r>
      <w:r>
        <w:rPr>
          <w:rFonts w:hint="eastAsia"/>
        </w:rPr>
        <w:t>1</w:t>
      </w:r>
      <w:r>
        <w:rPr>
          <w:rFonts w:hint="eastAsia"/>
        </w:rPr>
        <w:t>）《环境影响评价技术导则</w:t>
      </w:r>
      <w:r>
        <w:rPr>
          <w:rFonts w:hint="eastAsia"/>
        </w:rPr>
        <w:t xml:space="preserve"> </w:t>
      </w:r>
      <w:r>
        <w:rPr>
          <w:rFonts w:hint="eastAsia"/>
        </w:rPr>
        <w:t>总纲》</w:t>
      </w:r>
      <w:r>
        <w:rPr>
          <w:rFonts w:hint="eastAsia"/>
        </w:rPr>
        <w:t>(HJ2.1-2016)</w:t>
      </w:r>
    </w:p>
    <w:p w:rsidR="00EE56C0" w:rsidRDefault="000F36A1">
      <w:pPr>
        <w:ind w:firstLine="480"/>
      </w:pPr>
      <w:r>
        <w:rPr>
          <w:rFonts w:hint="eastAsia"/>
        </w:rPr>
        <w:t>（</w:t>
      </w:r>
      <w:r>
        <w:rPr>
          <w:rFonts w:hint="eastAsia"/>
        </w:rPr>
        <w:t>2</w:t>
      </w:r>
      <w:r>
        <w:rPr>
          <w:rFonts w:hint="eastAsia"/>
        </w:rPr>
        <w:t>）《环境影响评价技术导则</w:t>
      </w:r>
      <w:r>
        <w:rPr>
          <w:rFonts w:hint="eastAsia"/>
        </w:rPr>
        <w:t xml:space="preserve"> </w:t>
      </w:r>
      <w:r>
        <w:rPr>
          <w:rFonts w:hint="eastAsia"/>
        </w:rPr>
        <w:t>大气环境》（</w:t>
      </w:r>
      <w:r>
        <w:rPr>
          <w:rFonts w:hint="eastAsia"/>
        </w:rPr>
        <w:t>HJ2.2-2018</w:t>
      </w:r>
      <w:r>
        <w:rPr>
          <w:rFonts w:hint="eastAsia"/>
        </w:rPr>
        <w:t>）</w:t>
      </w:r>
    </w:p>
    <w:p w:rsidR="00EE56C0" w:rsidRDefault="000F36A1">
      <w:pPr>
        <w:ind w:firstLine="480"/>
      </w:pPr>
      <w:r>
        <w:rPr>
          <w:rFonts w:hint="eastAsia"/>
        </w:rPr>
        <w:t>（</w:t>
      </w:r>
      <w:r>
        <w:rPr>
          <w:rFonts w:hint="eastAsia"/>
        </w:rPr>
        <w:t>3</w:t>
      </w:r>
      <w:r>
        <w:rPr>
          <w:rFonts w:hint="eastAsia"/>
        </w:rPr>
        <w:t>）《环境影响评价技术导则</w:t>
      </w:r>
      <w:r>
        <w:rPr>
          <w:rFonts w:hint="eastAsia"/>
        </w:rPr>
        <w:t xml:space="preserve"> </w:t>
      </w:r>
      <w:r>
        <w:rPr>
          <w:rFonts w:hint="eastAsia"/>
        </w:rPr>
        <w:t>地表水环境》（</w:t>
      </w:r>
      <w:r>
        <w:rPr>
          <w:rFonts w:hint="eastAsia"/>
        </w:rPr>
        <w:t>HJ2.3-2018</w:t>
      </w:r>
      <w:r>
        <w:rPr>
          <w:rFonts w:hint="eastAsia"/>
        </w:rPr>
        <w:t>）</w:t>
      </w:r>
    </w:p>
    <w:p w:rsidR="00EE56C0" w:rsidRDefault="000F36A1">
      <w:pPr>
        <w:ind w:firstLine="480"/>
      </w:pPr>
      <w:r>
        <w:rPr>
          <w:rFonts w:hint="eastAsia"/>
        </w:rPr>
        <w:t>（</w:t>
      </w:r>
      <w:r>
        <w:rPr>
          <w:rFonts w:hint="eastAsia"/>
        </w:rPr>
        <w:t>4</w:t>
      </w:r>
      <w:r>
        <w:rPr>
          <w:rFonts w:hint="eastAsia"/>
        </w:rPr>
        <w:t>）《环境影响评价技术导则</w:t>
      </w:r>
      <w:r>
        <w:rPr>
          <w:rFonts w:hint="eastAsia"/>
        </w:rPr>
        <w:t xml:space="preserve"> </w:t>
      </w:r>
      <w:r>
        <w:rPr>
          <w:rFonts w:hint="eastAsia"/>
        </w:rPr>
        <w:t>声环境》</w:t>
      </w:r>
      <w:r>
        <w:rPr>
          <w:rFonts w:hint="eastAsia"/>
        </w:rPr>
        <w:t>(HJ2.4-2009)</w:t>
      </w:r>
    </w:p>
    <w:p w:rsidR="00EE56C0" w:rsidRDefault="000F36A1">
      <w:pPr>
        <w:ind w:firstLine="480"/>
      </w:pPr>
      <w:r>
        <w:rPr>
          <w:rFonts w:hint="eastAsia"/>
        </w:rPr>
        <w:t>（</w:t>
      </w:r>
      <w:r>
        <w:rPr>
          <w:rFonts w:hint="eastAsia"/>
        </w:rPr>
        <w:t>5</w:t>
      </w:r>
      <w:r>
        <w:rPr>
          <w:rFonts w:hint="eastAsia"/>
        </w:rPr>
        <w:t>）《环境影响评价技术导则</w:t>
      </w:r>
      <w:r>
        <w:rPr>
          <w:rFonts w:hint="eastAsia"/>
        </w:rPr>
        <w:t xml:space="preserve"> </w:t>
      </w:r>
      <w:r>
        <w:rPr>
          <w:rFonts w:hint="eastAsia"/>
        </w:rPr>
        <w:t>地下水环境》（</w:t>
      </w:r>
      <w:r>
        <w:t>HJ 610-2016</w:t>
      </w:r>
      <w:r>
        <w:rPr>
          <w:rFonts w:hint="eastAsia"/>
        </w:rPr>
        <w:t>）</w:t>
      </w:r>
    </w:p>
    <w:p w:rsidR="00EE56C0" w:rsidRDefault="000F36A1">
      <w:pPr>
        <w:ind w:firstLine="480"/>
      </w:pPr>
      <w:r>
        <w:rPr>
          <w:rFonts w:hint="eastAsia"/>
        </w:rPr>
        <w:t>（</w:t>
      </w:r>
      <w:r>
        <w:rPr>
          <w:rFonts w:hint="eastAsia"/>
        </w:rPr>
        <w:t>6</w:t>
      </w:r>
      <w:r>
        <w:rPr>
          <w:rFonts w:hint="eastAsia"/>
        </w:rPr>
        <w:t>）《环境影响评价技术导则</w:t>
      </w:r>
      <w:r>
        <w:rPr>
          <w:rFonts w:hint="eastAsia"/>
        </w:rPr>
        <w:t xml:space="preserve"> </w:t>
      </w:r>
      <w:r>
        <w:rPr>
          <w:rFonts w:hint="eastAsia"/>
        </w:rPr>
        <w:t>土壤环境（试行）》（</w:t>
      </w:r>
      <w:r>
        <w:t>HJ</w:t>
      </w:r>
      <w:r>
        <w:rPr>
          <w:rFonts w:hint="eastAsia"/>
        </w:rPr>
        <w:t>964</w:t>
      </w:r>
      <w:r>
        <w:t>-201</w:t>
      </w:r>
      <w:r>
        <w:rPr>
          <w:rFonts w:hint="eastAsia"/>
        </w:rPr>
        <w:t>8</w:t>
      </w:r>
      <w:r>
        <w:rPr>
          <w:rFonts w:hint="eastAsia"/>
        </w:rPr>
        <w:t>）</w:t>
      </w:r>
    </w:p>
    <w:p w:rsidR="00EE56C0" w:rsidRDefault="000F36A1">
      <w:pPr>
        <w:ind w:firstLine="480"/>
      </w:pPr>
      <w:r>
        <w:t>（</w:t>
      </w:r>
      <w:r>
        <w:rPr>
          <w:rFonts w:hint="eastAsia"/>
        </w:rPr>
        <w:t>7</w:t>
      </w:r>
      <w:r>
        <w:t>）</w:t>
      </w:r>
      <w:r>
        <w:rPr>
          <w:rFonts w:hint="eastAsia"/>
        </w:rPr>
        <w:t>《建设项目环境风险评价技术导则》（</w:t>
      </w:r>
      <w:r>
        <w:rPr>
          <w:rFonts w:hint="eastAsia"/>
        </w:rPr>
        <w:t>HJ169-2018</w:t>
      </w:r>
      <w:r>
        <w:rPr>
          <w:rFonts w:hint="eastAsia"/>
        </w:rPr>
        <w:t>）</w:t>
      </w:r>
    </w:p>
    <w:p w:rsidR="00EE56C0" w:rsidRDefault="000F36A1">
      <w:pPr>
        <w:ind w:firstLine="480"/>
      </w:pPr>
      <w:r>
        <w:t>（</w:t>
      </w:r>
      <w:r>
        <w:rPr>
          <w:rFonts w:hint="eastAsia"/>
        </w:rPr>
        <w:t>8</w:t>
      </w:r>
      <w:r>
        <w:t>）《重大危险源辨识》（</w:t>
      </w:r>
      <w:r>
        <w:t>GB18218-2009</w:t>
      </w:r>
      <w:r>
        <w:t>）</w:t>
      </w:r>
    </w:p>
    <w:p w:rsidR="00EE56C0" w:rsidRDefault="000F36A1">
      <w:pPr>
        <w:ind w:firstLine="480"/>
      </w:pPr>
      <w:r>
        <w:rPr>
          <w:rFonts w:hint="eastAsia"/>
        </w:rPr>
        <w:t>（</w:t>
      </w:r>
      <w:r>
        <w:rPr>
          <w:rFonts w:hint="eastAsia"/>
        </w:rPr>
        <w:t>9</w:t>
      </w:r>
      <w:r>
        <w:rPr>
          <w:rFonts w:hint="eastAsia"/>
        </w:rPr>
        <w:t>）</w:t>
      </w:r>
      <w:r>
        <w:t>《国家危险废物名录》（</w:t>
      </w:r>
      <w:r>
        <w:t>20</w:t>
      </w:r>
      <w:r>
        <w:rPr>
          <w:rFonts w:hint="eastAsia"/>
        </w:rPr>
        <w:t>21</w:t>
      </w:r>
      <w:r>
        <w:t>）</w:t>
      </w:r>
    </w:p>
    <w:p w:rsidR="00EE56C0" w:rsidRDefault="000F36A1">
      <w:pPr>
        <w:ind w:firstLine="480"/>
      </w:pPr>
      <w:r>
        <w:rPr>
          <w:rFonts w:hint="eastAsia"/>
        </w:rPr>
        <w:t>（</w:t>
      </w:r>
      <w:r>
        <w:rPr>
          <w:rFonts w:hint="eastAsia"/>
        </w:rPr>
        <w:t>10</w:t>
      </w:r>
      <w:r>
        <w:rPr>
          <w:rFonts w:hint="eastAsia"/>
        </w:rPr>
        <w:t>）《涂装行业清洁生产评价指标体系》（</w:t>
      </w:r>
      <w:r>
        <w:rPr>
          <w:rFonts w:hint="eastAsia"/>
        </w:rPr>
        <w:t>2016</w:t>
      </w:r>
      <w:r>
        <w:rPr>
          <w:rFonts w:hint="eastAsia"/>
        </w:rPr>
        <w:t>年第</w:t>
      </w:r>
      <w:r>
        <w:rPr>
          <w:rFonts w:hint="eastAsia"/>
        </w:rPr>
        <w:t>21</w:t>
      </w:r>
      <w:r>
        <w:rPr>
          <w:rFonts w:hint="eastAsia"/>
        </w:rPr>
        <w:t>号）</w:t>
      </w:r>
    </w:p>
    <w:p w:rsidR="00EE56C0" w:rsidRDefault="000F36A1">
      <w:pPr>
        <w:ind w:firstLine="480"/>
      </w:pPr>
      <w:r>
        <w:rPr>
          <w:rFonts w:hint="eastAsia"/>
        </w:rPr>
        <w:t>（</w:t>
      </w:r>
      <w:r>
        <w:rPr>
          <w:rFonts w:hint="eastAsia"/>
        </w:rPr>
        <w:t>11</w:t>
      </w:r>
      <w:r>
        <w:rPr>
          <w:rFonts w:hint="eastAsia"/>
        </w:rPr>
        <w:t>）《排污单位自行监测技术指南</w:t>
      </w:r>
      <w:r>
        <w:rPr>
          <w:rFonts w:hint="eastAsia"/>
        </w:rPr>
        <w:t xml:space="preserve"> </w:t>
      </w:r>
      <w:r>
        <w:rPr>
          <w:rFonts w:hint="eastAsia"/>
        </w:rPr>
        <w:t>总则》（</w:t>
      </w:r>
      <w:r>
        <w:rPr>
          <w:rFonts w:hint="eastAsia"/>
        </w:rPr>
        <w:t>HJ819-2017</w:t>
      </w:r>
      <w:r>
        <w:rPr>
          <w:rFonts w:hint="eastAsia"/>
        </w:rPr>
        <w:t>）</w:t>
      </w:r>
    </w:p>
    <w:p w:rsidR="00EE56C0" w:rsidRDefault="000F36A1">
      <w:pPr>
        <w:ind w:leftChars="50" w:left="120" w:firstLineChars="150" w:firstLine="360"/>
      </w:pPr>
      <w:r>
        <w:rPr>
          <w:rFonts w:hint="eastAsia"/>
        </w:rPr>
        <w:t>（</w:t>
      </w:r>
      <w:r>
        <w:rPr>
          <w:rFonts w:hint="eastAsia"/>
        </w:rPr>
        <w:t>12</w:t>
      </w:r>
      <w:r>
        <w:rPr>
          <w:rFonts w:hint="eastAsia"/>
        </w:rPr>
        <w:t>）《污染源源强核算技术指南</w:t>
      </w:r>
      <w:r>
        <w:rPr>
          <w:rFonts w:hint="eastAsia"/>
        </w:rPr>
        <w:t xml:space="preserve">  </w:t>
      </w:r>
      <w:r>
        <w:rPr>
          <w:rFonts w:hint="eastAsia"/>
        </w:rPr>
        <w:t>准则》（</w:t>
      </w:r>
      <w:r>
        <w:rPr>
          <w:rFonts w:hint="eastAsia"/>
        </w:rPr>
        <w:t>HJ884-2018</w:t>
      </w:r>
      <w:r>
        <w:rPr>
          <w:rFonts w:hint="eastAsia"/>
        </w:rPr>
        <w:t>）</w:t>
      </w:r>
    </w:p>
    <w:p w:rsidR="00EE56C0" w:rsidRDefault="000F36A1">
      <w:pPr>
        <w:ind w:firstLine="480"/>
      </w:pPr>
      <w:r>
        <w:rPr>
          <w:rFonts w:hint="eastAsia"/>
        </w:rPr>
        <w:t>（</w:t>
      </w:r>
      <w:r>
        <w:rPr>
          <w:rFonts w:hint="eastAsia"/>
        </w:rPr>
        <w:t>13</w:t>
      </w:r>
      <w:r>
        <w:rPr>
          <w:rFonts w:hint="eastAsia"/>
        </w:rPr>
        <w:t>）《固体废物鉴别标准</w:t>
      </w:r>
      <w:r>
        <w:rPr>
          <w:rFonts w:hint="eastAsia"/>
        </w:rPr>
        <w:t xml:space="preserve"> </w:t>
      </w:r>
      <w:r>
        <w:rPr>
          <w:rFonts w:hint="eastAsia"/>
        </w:rPr>
        <w:t>通则》（</w:t>
      </w:r>
      <w:r>
        <w:rPr>
          <w:rFonts w:hint="eastAsia"/>
        </w:rPr>
        <w:t>GB34330-2017</w:t>
      </w:r>
      <w:r>
        <w:rPr>
          <w:rFonts w:hint="eastAsia"/>
        </w:rPr>
        <w:t>）</w:t>
      </w:r>
    </w:p>
    <w:p w:rsidR="00EE56C0" w:rsidRDefault="000F36A1">
      <w:pPr>
        <w:ind w:firstLine="480"/>
      </w:pPr>
      <w:r>
        <w:rPr>
          <w:rFonts w:hint="eastAsia"/>
        </w:rPr>
        <w:t>（</w:t>
      </w:r>
      <w:r>
        <w:rPr>
          <w:rFonts w:hint="eastAsia"/>
        </w:rPr>
        <w:t>14</w:t>
      </w:r>
      <w:r>
        <w:rPr>
          <w:rFonts w:hint="eastAsia"/>
        </w:rPr>
        <w:t>）《建设项目危险废物环境影响评价指南》（公告</w:t>
      </w:r>
      <w:r>
        <w:rPr>
          <w:rFonts w:hint="eastAsia"/>
        </w:rPr>
        <w:t>2017</w:t>
      </w:r>
      <w:r>
        <w:rPr>
          <w:rFonts w:hint="eastAsia"/>
        </w:rPr>
        <w:t>年第</w:t>
      </w:r>
      <w:r>
        <w:rPr>
          <w:rFonts w:hint="eastAsia"/>
        </w:rPr>
        <w:t>43</w:t>
      </w:r>
      <w:r>
        <w:rPr>
          <w:rFonts w:hint="eastAsia"/>
        </w:rPr>
        <w:t>号）</w:t>
      </w:r>
    </w:p>
    <w:p w:rsidR="00EE56C0" w:rsidRDefault="000F36A1">
      <w:pPr>
        <w:ind w:firstLine="480"/>
      </w:pPr>
      <w:r>
        <w:rPr>
          <w:rFonts w:hint="eastAsia"/>
        </w:rPr>
        <w:t>（</w:t>
      </w:r>
      <w:r>
        <w:rPr>
          <w:rFonts w:hint="eastAsia"/>
        </w:rPr>
        <w:t>15</w:t>
      </w:r>
      <w:r>
        <w:rPr>
          <w:rFonts w:hint="eastAsia"/>
        </w:rPr>
        <w:t>）《环境监测技术规范》（大气部分）</w:t>
      </w:r>
    </w:p>
    <w:p w:rsidR="00EE56C0" w:rsidRDefault="000F36A1">
      <w:pPr>
        <w:ind w:firstLine="480"/>
      </w:pPr>
      <w:r>
        <w:rPr>
          <w:rFonts w:hint="eastAsia"/>
        </w:rPr>
        <w:t>（</w:t>
      </w:r>
      <w:r>
        <w:rPr>
          <w:rFonts w:hint="eastAsia"/>
        </w:rPr>
        <w:t>16</w:t>
      </w:r>
      <w:r>
        <w:rPr>
          <w:rFonts w:hint="eastAsia"/>
        </w:rPr>
        <w:t>）</w:t>
      </w:r>
      <w:r>
        <w:t>《</w:t>
      </w:r>
      <w:r>
        <w:rPr>
          <w:rFonts w:hint="eastAsia"/>
        </w:rPr>
        <w:t>空气和废气监测分析方法</w:t>
      </w:r>
      <w:r>
        <w:t>》</w:t>
      </w:r>
    </w:p>
    <w:p w:rsidR="00EE56C0" w:rsidRDefault="000F36A1">
      <w:pPr>
        <w:pStyle w:val="3"/>
        <w:spacing w:before="240" w:after="120"/>
      </w:pPr>
      <w:bookmarkStart w:id="51" w:name="_Toc428286759"/>
      <w:bookmarkStart w:id="52" w:name="_Toc428287505"/>
      <w:bookmarkStart w:id="53" w:name="_Toc428287153"/>
      <w:r>
        <w:rPr>
          <w:rFonts w:hint="eastAsia"/>
        </w:rPr>
        <w:lastRenderedPageBreak/>
        <w:t>2.1.4</w:t>
      </w:r>
      <w:r>
        <w:rPr>
          <w:rFonts w:hint="eastAsia"/>
        </w:rPr>
        <w:t>项目依据</w:t>
      </w:r>
      <w:bookmarkEnd w:id="51"/>
      <w:bookmarkEnd w:id="52"/>
      <w:bookmarkEnd w:id="53"/>
    </w:p>
    <w:p w:rsidR="00EE56C0" w:rsidRDefault="000F36A1">
      <w:pPr>
        <w:ind w:firstLine="480"/>
      </w:pPr>
      <w:r>
        <w:rPr>
          <w:rFonts w:hint="eastAsia"/>
        </w:rPr>
        <w:t>（</w:t>
      </w:r>
      <w:r>
        <w:rPr>
          <w:rFonts w:hint="eastAsia"/>
        </w:rPr>
        <w:t>1</w:t>
      </w:r>
      <w:r>
        <w:rPr>
          <w:rFonts w:hint="eastAsia"/>
        </w:rPr>
        <w:t>）河南华洋电工科技集团有限公司关于《河南华洋电工科技集团有限公司高可靠性抗高压耐热绕组线项目》的环境影响评价委托书；</w:t>
      </w:r>
    </w:p>
    <w:p w:rsidR="00EE56C0" w:rsidRDefault="000F36A1">
      <w:pPr>
        <w:ind w:firstLine="480"/>
      </w:pPr>
      <w:r>
        <w:rPr>
          <w:rFonts w:hint="eastAsia"/>
        </w:rPr>
        <w:t>（</w:t>
      </w:r>
      <w:r>
        <w:rPr>
          <w:rFonts w:hint="eastAsia"/>
        </w:rPr>
        <w:t>2</w:t>
      </w:r>
      <w:r>
        <w:rPr>
          <w:rFonts w:hint="eastAsia"/>
        </w:rPr>
        <w:t>）《河南华洋电工科技集团有限公司高可靠性抗高压耐热绕组线项目》备案证明（</w:t>
      </w:r>
      <w:r>
        <w:t>20</w:t>
      </w:r>
      <w:r>
        <w:rPr>
          <w:rFonts w:hint="eastAsia"/>
        </w:rPr>
        <w:t>20</w:t>
      </w:r>
      <w:r>
        <w:t>-4107</w:t>
      </w:r>
      <w:r>
        <w:rPr>
          <w:rFonts w:hint="eastAsia"/>
        </w:rPr>
        <w:t>21</w:t>
      </w:r>
      <w:r>
        <w:t>-3</w:t>
      </w:r>
      <w:r>
        <w:rPr>
          <w:rFonts w:hint="eastAsia"/>
        </w:rPr>
        <w:t>8</w:t>
      </w:r>
      <w:r>
        <w:t>-03-0</w:t>
      </w:r>
      <w:r>
        <w:rPr>
          <w:rFonts w:hint="eastAsia"/>
        </w:rPr>
        <w:t>78138</w:t>
      </w:r>
      <w:r>
        <w:rPr>
          <w:rFonts w:hint="eastAsia"/>
        </w:rPr>
        <w:t>）；</w:t>
      </w:r>
    </w:p>
    <w:p w:rsidR="00EE56C0" w:rsidRDefault="000F36A1">
      <w:pPr>
        <w:ind w:firstLine="480"/>
      </w:pPr>
      <w:r>
        <w:rPr>
          <w:rFonts w:hint="eastAsia"/>
        </w:rPr>
        <w:t>（</w:t>
      </w:r>
      <w:r>
        <w:rPr>
          <w:rFonts w:hint="eastAsia"/>
        </w:rPr>
        <w:t>3</w:t>
      </w:r>
      <w:r>
        <w:rPr>
          <w:rFonts w:hint="eastAsia"/>
        </w:rPr>
        <w:t>）新乡县环境保护局《关于河南华洋电工科技集团有限公司高可靠性抗高压耐热绕组线项目环境影响评价执行标准的意见》；</w:t>
      </w:r>
    </w:p>
    <w:p w:rsidR="00EE56C0" w:rsidRDefault="000F36A1">
      <w:pPr>
        <w:ind w:firstLine="480"/>
      </w:pPr>
      <w:r>
        <w:rPr>
          <w:rFonts w:hint="eastAsia"/>
        </w:rPr>
        <w:t>（</w:t>
      </w:r>
      <w:r>
        <w:rPr>
          <w:rFonts w:hint="eastAsia"/>
        </w:rPr>
        <w:t>4</w:t>
      </w:r>
      <w:r>
        <w:rPr>
          <w:rFonts w:hint="eastAsia"/>
        </w:rPr>
        <w:t>）建设单位提供的其他技术资料。</w:t>
      </w:r>
    </w:p>
    <w:p w:rsidR="00EE56C0" w:rsidRDefault="000F36A1">
      <w:pPr>
        <w:pStyle w:val="3"/>
        <w:spacing w:before="240" w:after="120"/>
      </w:pPr>
      <w:bookmarkStart w:id="54" w:name="_Toc428286760"/>
      <w:bookmarkStart w:id="55" w:name="_Toc428287154"/>
      <w:bookmarkStart w:id="56" w:name="_Toc428287506"/>
      <w:r>
        <w:rPr>
          <w:rFonts w:hint="eastAsia"/>
        </w:rPr>
        <w:t>2.1.5</w:t>
      </w:r>
      <w:r>
        <w:rPr>
          <w:rFonts w:hint="eastAsia"/>
        </w:rPr>
        <w:t>其他参考技术文件</w:t>
      </w:r>
      <w:bookmarkEnd w:id="54"/>
      <w:bookmarkEnd w:id="55"/>
      <w:bookmarkEnd w:id="56"/>
    </w:p>
    <w:p w:rsidR="00EE56C0" w:rsidRDefault="000F36A1">
      <w:pPr>
        <w:ind w:firstLine="480"/>
      </w:pPr>
      <w:bookmarkStart w:id="57" w:name="_Toc428286761"/>
      <w:bookmarkStart w:id="58" w:name="_Toc428287155"/>
      <w:bookmarkStart w:id="59" w:name="_Toc429318379"/>
      <w:bookmarkStart w:id="60" w:name="_Toc174155851"/>
      <w:r>
        <w:rPr>
          <w:rFonts w:hint="eastAsia"/>
        </w:rPr>
        <w:t>（</w:t>
      </w:r>
      <w:r>
        <w:rPr>
          <w:rFonts w:hint="eastAsia"/>
        </w:rPr>
        <w:t>1</w:t>
      </w:r>
      <w:r>
        <w:rPr>
          <w:rFonts w:hint="eastAsia"/>
        </w:rPr>
        <w:t>）</w:t>
      </w:r>
      <w:r>
        <w:t>《新乡经济技术产业集聚区总体发展规划（</w:t>
      </w:r>
      <w:r>
        <w:t>2015-2025</w:t>
      </w:r>
      <w:r>
        <w:t>）</w:t>
      </w:r>
      <w:r>
        <w:rPr>
          <w:rFonts w:hint="eastAsia"/>
        </w:rPr>
        <w:t>》；</w:t>
      </w:r>
    </w:p>
    <w:p w:rsidR="00EE56C0" w:rsidRDefault="000F36A1">
      <w:pPr>
        <w:ind w:firstLine="480"/>
      </w:pPr>
      <w:r>
        <w:rPr>
          <w:rFonts w:hint="eastAsia"/>
        </w:rPr>
        <w:t>（</w:t>
      </w:r>
      <w:r>
        <w:rPr>
          <w:rFonts w:hint="eastAsia"/>
        </w:rPr>
        <w:t>2</w:t>
      </w:r>
      <w:r>
        <w:rPr>
          <w:rFonts w:hint="eastAsia"/>
        </w:rPr>
        <w:t>）《新乡经济技术产业集聚区总体发展规划（</w:t>
      </w:r>
      <w:r>
        <w:rPr>
          <w:rFonts w:hint="eastAsia"/>
        </w:rPr>
        <w:t>2017-2025</w:t>
      </w:r>
      <w:r>
        <w:rPr>
          <w:rFonts w:hint="eastAsia"/>
        </w:rPr>
        <w:t>）环境影响评价补充分析报告》。</w:t>
      </w:r>
    </w:p>
    <w:p w:rsidR="00EE56C0" w:rsidRDefault="000F36A1">
      <w:pPr>
        <w:pStyle w:val="2"/>
        <w:ind w:left="301" w:firstLineChars="0" w:firstLine="0"/>
      </w:pPr>
      <w:bookmarkStart w:id="61" w:name="_Toc25400891"/>
      <w:r>
        <w:rPr>
          <w:rFonts w:hint="eastAsia"/>
        </w:rPr>
        <w:t>2.2</w:t>
      </w:r>
      <w:r>
        <w:rPr>
          <w:rFonts w:hint="eastAsia"/>
        </w:rPr>
        <w:t>评价对象、评价目的</w:t>
      </w:r>
      <w:bookmarkEnd w:id="57"/>
      <w:bookmarkEnd w:id="58"/>
      <w:bookmarkEnd w:id="59"/>
      <w:r>
        <w:rPr>
          <w:rFonts w:hint="eastAsia"/>
        </w:rPr>
        <w:t>、评价原则</w:t>
      </w:r>
      <w:bookmarkEnd w:id="61"/>
    </w:p>
    <w:p w:rsidR="00EE56C0" w:rsidRDefault="000F36A1">
      <w:pPr>
        <w:pStyle w:val="3"/>
        <w:spacing w:before="240" w:after="120"/>
      </w:pPr>
      <w:bookmarkStart w:id="62" w:name="_Toc428286762"/>
      <w:bookmarkStart w:id="63" w:name="_Toc428287156"/>
      <w:bookmarkStart w:id="64" w:name="_Toc428287508"/>
      <w:r>
        <w:rPr>
          <w:rFonts w:hint="eastAsia"/>
        </w:rPr>
        <w:t>2.2.1</w:t>
      </w:r>
      <w:r>
        <w:rPr>
          <w:rFonts w:hint="eastAsia"/>
        </w:rPr>
        <w:t>评价对象</w:t>
      </w:r>
      <w:bookmarkEnd w:id="62"/>
      <w:bookmarkEnd w:id="63"/>
      <w:bookmarkEnd w:id="64"/>
    </w:p>
    <w:p w:rsidR="00EE56C0" w:rsidRDefault="000F36A1">
      <w:pPr>
        <w:ind w:firstLine="480"/>
        <w:rPr>
          <w:b/>
          <w:highlight w:val="yellow"/>
        </w:rPr>
      </w:pPr>
      <w:r>
        <w:rPr>
          <w:rFonts w:hint="eastAsia"/>
        </w:rPr>
        <w:t>本次评价对象为“河南华洋电工科技集团有限公司高可靠性抗高压耐热绕组线项目”，工程性质为改扩建。</w:t>
      </w:r>
    </w:p>
    <w:p w:rsidR="00EE56C0" w:rsidRDefault="000F36A1">
      <w:pPr>
        <w:pStyle w:val="3"/>
        <w:spacing w:before="240" w:after="120"/>
      </w:pPr>
      <w:bookmarkStart w:id="65" w:name="_Toc428286763"/>
      <w:bookmarkStart w:id="66" w:name="_Toc428287509"/>
      <w:bookmarkStart w:id="67" w:name="_Toc428287157"/>
      <w:r>
        <w:rPr>
          <w:rFonts w:hint="eastAsia"/>
        </w:rPr>
        <w:t>2.2.2</w:t>
      </w:r>
      <w:r>
        <w:rPr>
          <w:rFonts w:hint="eastAsia"/>
        </w:rPr>
        <w:t>评价目的</w:t>
      </w:r>
      <w:bookmarkEnd w:id="65"/>
      <w:bookmarkEnd w:id="66"/>
      <w:bookmarkEnd w:id="67"/>
    </w:p>
    <w:p w:rsidR="00EE56C0" w:rsidRDefault="000F36A1">
      <w:pPr>
        <w:ind w:firstLine="480"/>
      </w:pPr>
      <w:r>
        <w:rPr>
          <w:rFonts w:hint="eastAsia"/>
        </w:rPr>
        <w:t>本次评价目的是通过对评价区环境空气、地表水、地下水、声环境、土壤环境的调查，查清环境质量现状，结合工程实际，分析工程对环境影响的程度和范围。从环保角度出发，对项目的可行性给出结论。在项目实施过程中做到事前预防污染，为主管部门审批决策、监督管理，为工程设计、工程建设及日后的生产管理提供科学依据和基础资料。</w:t>
      </w:r>
    </w:p>
    <w:p w:rsidR="00EE56C0" w:rsidRDefault="000F36A1">
      <w:pPr>
        <w:ind w:firstLine="480"/>
      </w:pPr>
      <w:r>
        <w:rPr>
          <w:rFonts w:hint="eastAsia"/>
        </w:rPr>
        <w:t>根据项目的具体情况，结合项目厂址周围的环境状况，评价工作拟达到以下目的：</w:t>
      </w:r>
    </w:p>
    <w:p w:rsidR="00EE56C0" w:rsidRDefault="000F36A1">
      <w:pPr>
        <w:ind w:firstLine="480"/>
      </w:pPr>
      <w:r>
        <w:rPr>
          <w:rFonts w:hint="eastAsia"/>
        </w:rPr>
        <w:lastRenderedPageBreak/>
        <w:t>（</w:t>
      </w:r>
      <w:r>
        <w:rPr>
          <w:rFonts w:hint="eastAsia"/>
        </w:rPr>
        <w:t>1</w:t>
      </w:r>
      <w:r>
        <w:rPr>
          <w:rFonts w:hint="eastAsia"/>
        </w:rPr>
        <w:t>）从国家产业政策的角度出发，结合当地总体规划要求，确定项目的建设是否符合产业政策及规划要求。</w:t>
      </w:r>
    </w:p>
    <w:p w:rsidR="00EE56C0" w:rsidRDefault="000F36A1">
      <w:pPr>
        <w:ind w:firstLine="480"/>
      </w:pPr>
      <w:r>
        <w:rPr>
          <w:rFonts w:hint="eastAsia"/>
        </w:rPr>
        <w:t>（</w:t>
      </w:r>
      <w:r>
        <w:rPr>
          <w:rFonts w:hint="eastAsia"/>
        </w:rPr>
        <w:t>2</w:t>
      </w:r>
      <w:r>
        <w:rPr>
          <w:rFonts w:hint="eastAsia"/>
        </w:rPr>
        <w:t>）在对拟建工程厂址周边自然环境现状进行调查分析的基础上，掌握评价区域内主要环境敏感目标、保护环境目标；充分利用现有资料并进行现场踏勘和环境现状监测，查清评价区域环境现状（环境空气、地表水环境、地下水质量、声环境、土壤环境），并做出现状评价；调查并明确区域内的主要污染源及环境特征。</w:t>
      </w:r>
    </w:p>
    <w:p w:rsidR="00EE56C0" w:rsidRDefault="000F36A1">
      <w:pPr>
        <w:ind w:firstLine="480"/>
      </w:pPr>
      <w:r>
        <w:rPr>
          <w:rFonts w:hint="eastAsia"/>
        </w:rPr>
        <w:t>（</w:t>
      </w:r>
      <w:r>
        <w:rPr>
          <w:rFonts w:hint="eastAsia"/>
        </w:rPr>
        <w:t>3</w:t>
      </w:r>
      <w:r>
        <w:rPr>
          <w:rFonts w:hint="eastAsia"/>
        </w:rPr>
        <w:t>）全面分析拟建工程建设内容，掌握生产设备及设施主要污染物的产生特征，根据物料衡算及类比分析计算污染物产生量和排放量。根据区域环境特征和工程污染物排放特点，预测工程建成投产后对周围环境影响的程度和范围，采用模式计算和类比调查的方式预测、分析项目投产后排放污染物的影响范围以及引起的周围环境质量变化情况，从环境保护角度分析论证建设工程的可行性。</w:t>
      </w:r>
    </w:p>
    <w:p w:rsidR="00EE56C0" w:rsidRDefault="000F36A1">
      <w:pPr>
        <w:ind w:firstLine="480"/>
      </w:pPr>
      <w:r>
        <w:rPr>
          <w:rFonts w:hint="eastAsia"/>
        </w:rPr>
        <w:t>（</w:t>
      </w:r>
      <w:r>
        <w:rPr>
          <w:rFonts w:hint="eastAsia"/>
        </w:rPr>
        <w:t>4</w:t>
      </w:r>
      <w:r>
        <w:rPr>
          <w:rFonts w:hint="eastAsia"/>
        </w:rPr>
        <w:t>）根据国家对企业在“清洁生产、达标排放、节能减排、总量控制”等方面的要求，多方面论述建设项目产品、生产工艺与技术装备的先进性。通过对工程环保设施的技术经济合理性、达标水平的可靠性分析，进一步提出减缓污染的对策建议，为优化环境工程设计、合理施工和工程投产后的环境管理提供科学依据和措施建议，更好地达到社会经济与环境保护协调发展的目的。</w:t>
      </w:r>
    </w:p>
    <w:p w:rsidR="00EE56C0" w:rsidRDefault="000F36A1">
      <w:pPr>
        <w:pStyle w:val="3"/>
        <w:spacing w:before="240" w:after="120"/>
      </w:pPr>
      <w:bookmarkStart w:id="68" w:name="_Toc508269673"/>
      <w:bookmarkStart w:id="69" w:name="_Toc428287161"/>
      <w:bookmarkStart w:id="70" w:name="_Toc428286767"/>
      <w:bookmarkStart w:id="71" w:name="_Toc174155855"/>
      <w:bookmarkStart w:id="72" w:name="_Toc429318381"/>
      <w:bookmarkEnd w:id="60"/>
      <w:r>
        <w:rPr>
          <w:rFonts w:hint="eastAsia"/>
        </w:rPr>
        <w:t>2.2.3</w:t>
      </w:r>
      <w:r>
        <w:rPr>
          <w:rFonts w:hint="eastAsia"/>
        </w:rPr>
        <w:t>评价原则</w:t>
      </w:r>
      <w:bookmarkEnd w:id="68"/>
    </w:p>
    <w:p w:rsidR="00EE56C0" w:rsidRDefault="000F36A1">
      <w:pPr>
        <w:ind w:firstLine="480"/>
      </w:pPr>
      <w:r>
        <w:rPr>
          <w:rFonts w:hint="eastAsia"/>
        </w:rPr>
        <w:t>贯彻“清洁生产”和“节约与合理利用资源、能源”的原则，分析建设项目采用生产工艺的“清洁生产”水平。对拟建工程实施全过程的污染控制，实现资源及中间产品的合理使用、实现废料的综合利用，有效地控制污染物的产生量和削减污染物的排放量。</w:t>
      </w:r>
    </w:p>
    <w:p w:rsidR="00EE56C0" w:rsidRDefault="000F36A1">
      <w:pPr>
        <w:ind w:firstLine="480"/>
      </w:pPr>
      <w:r>
        <w:rPr>
          <w:rFonts w:hint="eastAsia"/>
        </w:rPr>
        <w:t>贯彻“达标排放”和“总量控制”原则，采取有效治理措施，使污染物排放达到国家和地方相应的排放标准；并根据当地总量控制要求，确定拟建工程总量控制方案和控制措施，提出总量控制指标建议。</w:t>
      </w:r>
    </w:p>
    <w:p w:rsidR="00EE56C0" w:rsidRDefault="000F36A1">
      <w:pPr>
        <w:ind w:firstLine="480"/>
      </w:pPr>
      <w:r>
        <w:rPr>
          <w:rFonts w:hint="eastAsia"/>
        </w:rPr>
        <w:lastRenderedPageBreak/>
        <w:t>在评价工作中，全面收集评价区域已有资料，认真研究和分析自然环境、社会环境和环境质量现状资料的可靠性和时效性，充分利用其合理部分，避免不必要的重复工作，做到真实、客观、公正，结论明确。</w:t>
      </w:r>
    </w:p>
    <w:p w:rsidR="00EE56C0" w:rsidRDefault="000F36A1">
      <w:pPr>
        <w:ind w:firstLine="480"/>
      </w:pPr>
      <w:r>
        <w:rPr>
          <w:rFonts w:hint="eastAsia"/>
        </w:rPr>
        <w:t>从发展经济和保护环境的角度出发，提出可行的污染防治对策、措施和建议，做到环境效益、经济效益和社会效益的协调统一。</w:t>
      </w:r>
    </w:p>
    <w:p w:rsidR="00EE56C0" w:rsidRDefault="000F36A1">
      <w:pPr>
        <w:pStyle w:val="2"/>
        <w:ind w:firstLine="301"/>
      </w:pPr>
      <w:bookmarkStart w:id="73" w:name="_Toc25400892"/>
      <w:r>
        <w:rPr>
          <w:rFonts w:hint="eastAsia"/>
        </w:rPr>
        <w:t>2.3</w:t>
      </w:r>
      <w:r>
        <w:rPr>
          <w:rFonts w:hint="eastAsia"/>
        </w:rPr>
        <w:t>环境影响因子识别与筛选</w:t>
      </w:r>
      <w:bookmarkEnd w:id="69"/>
      <w:bookmarkEnd w:id="70"/>
      <w:bookmarkEnd w:id="71"/>
      <w:bookmarkEnd w:id="72"/>
      <w:bookmarkEnd w:id="73"/>
    </w:p>
    <w:p w:rsidR="00EE56C0" w:rsidRDefault="000F36A1">
      <w:pPr>
        <w:pStyle w:val="3"/>
        <w:spacing w:before="240" w:after="120"/>
      </w:pPr>
      <w:bookmarkStart w:id="74" w:name="_Toc428287162"/>
      <w:bookmarkStart w:id="75" w:name="_Toc428287514"/>
      <w:bookmarkStart w:id="76" w:name="_Toc428286768"/>
      <w:r>
        <w:rPr>
          <w:rFonts w:hint="eastAsia"/>
        </w:rPr>
        <w:t>2.3.1</w:t>
      </w:r>
      <w:r>
        <w:rPr>
          <w:rFonts w:hint="eastAsia"/>
        </w:rPr>
        <w:t>环境影响识别</w:t>
      </w:r>
      <w:bookmarkEnd w:id="74"/>
      <w:bookmarkEnd w:id="75"/>
      <w:bookmarkEnd w:id="76"/>
    </w:p>
    <w:p w:rsidR="00EE56C0" w:rsidRDefault="000F36A1">
      <w:pPr>
        <w:ind w:firstLine="480"/>
      </w:pPr>
      <w:r>
        <w:rPr>
          <w:rFonts w:hint="eastAsia"/>
        </w:rPr>
        <w:t>根据工程施工期及营运期产污情况分析以及评价区域环境质量现状，对工程环境影响因子进行识别，结果见表</w:t>
      </w:r>
      <w:r>
        <w:rPr>
          <w:rFonts w:hint="eastAsia"/>
        </w:rPr>
        <w:t>2-1</w:t>
      </w:r>
      <w:r>
        <w:rPr>
          <w:rFonts w:hint="eastAsia"/>
        </w:rPr>
        <w:t>。</w:t>
      </w:r>
    </w:p>
    <w:p w:rsidR="00EE56C0" w:rsidRDefault="000F36A1">
      <w:pPr>
        <w:pStyle w:val="afd"/>
        <w:spacing w:before="120" w:after="120"/>
        <w:ind w:firstLine="482"/>
      </w:pPr>
      <w:r>
        <w:rPr>
          <w:rFonts w:hint="eastAsia"/>
        </w:rPr>
        <w:t>表</w:t>
      </w:r>
      <w:r>
        <w:rPr>
          <w:rFonts w:hint="eastAsia"/>
        </w:rPr>
        <w:t xml:space="preserve">2-1                  </w:t>
      </w:r>
      <w:r>
        <w:rPr>
          <w:rFonts w:hint="eastAsia"/>
        </w:rPr>
        <w:t>环境影响因子识别表</w:t>
      </w:r>
    </w:p>
    <w:tbl>
      <w:tblPr>
        <w:tblW w:w="4893"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648"/>
        <w:gridCol w:w="1187"/>
        <w:gridCol w:w="910"/>
        <w:gridCol w:w="1080"/>
        <w:gridCol w:w="1157"/>
        <w:gridCol w:w="699"/>
        <w:gridCol w:w="1311"/>
        <w:gridCol w:w="669"/>
        <w:gridCol w:w="685"/>
      </w:tblGrid>
      <w:tr w:rsidR="00EE56C0">
        <w:trPr>
          <w:cantSplit/>
          <w:trHeight w:val="397"/>
          <w:jc w:val="center"/>
        </w:trPr>
        <w:tc>
          <w:tcPr>
            <w:tcW w:w="1122" w:type="pct"/>
            <w:gridSpan w:val="2"/>
            <w:vMerge w:val="restart"/>
            <w:tcBorders>
              <w:tl2br w:val="single" w:sz="4" w:space="0" w:color="auto"/>
            </w:tcBorders>
            <w:vAlign w:val="center"/>
          </w:tcPr>
          <w:p w:rsidR="00EE56C0" w:rsidRDefault="000F36A1">
            <w:pPr>
              <w:pStyle w:val="aff1"/>
              <w:rPr>
                <w:color w:val="auto"/>
              </w:rPr>
            </w:pPr>
            <w:r>
              <w:rPr>
                <w:rFonts w:hint="eastAsia"/>
                <w:color w:val="auto"/>
              </w:rPr>
              <w:t xml:space="preserve">       </w:t>
            </w:r>
            <w:r>
              <w:rPr>
                <w:rFonts w:hint="eastAsia"/>
                <w:color w:val="auto"/>
              </w:rPr>
              <w:t>影响因素</w:t>
            </w:r>
          </w:p>
          <w:p w:rsidR="00EE56C0" w:rsidRDefault="000F36A1">
            <w:pPr>
              <w:pStyle w:val="aff1"/>
              <w:jc w:val="both"/>
              <w:rPr>
                <w:color w:val="auto"/>
              </w:rPr>
            </w:pPr>
            <w:r>
              <w:rPr>
                <w:rFonts w:hint="eastAsia"/>
                <w:color w:val="auto"/>
              </w:rPr>
              <w:t>类别</w:t>
            </w:r>
          </w:p>
        </w:tc>
        <w:tc>
          <w:tcPr>
            <w:tcW w:w="557" w:type="pct"/>
            <w:vMerge w:val="restart"/>
            <w:vAlign w:val="center"/>
          </w:tcPr>
          <w:p w:rsidR="00EE56C0" w:rsidRDefault="000F36A1">
            <w:pPr>
              <w:pStyle w:val="aff1"/>
              <w:rPr>
                <w:color w:val="auto"/>
              </w:rPr>
            </w:pPr>
            <w:r>
              <w:rPr>
                <w:rFonts w:hint="eastAsia"/>
                <w:color w:val="auto"/>
              </w:rPr>
              <w:t>施工期</w:t>
            </w:r>
          </w:p>
        </w:tc>
        <w:tc>
          <w:tcPr>
            <w:tcW w:w="3421" w:type="pct"/>
            <w:gridSpan w:val="6"/>
            <w:vAlign w:val="center"/>
          </w:tcPr>
          <w:p w:rsidR="00EE56C0" w:rsidRDefault="000F36A1">
            <w:pPr>
              <w:pStyle w:val="aff1"/>
              <w:rPr>
                <w:color w:val="auto"/>
              </w:rPr>
            </w:pPr>
            <w:r>
              <w:rPr>
                <w:rFonts w:hint="eastAsia"/>
                <w:color w:val="auto"/>
              </w:rPr>
              <w:t>运行期</w:t>
            </w:r>
          </w:p>
        </w:tc>
      </w:tr>
      <w:tr w:rsidR="00EE56C0">
        <w:trPr>
          <w:cantSplit/>
          <w:trHeight w:val="397"/>
          <w:jc w:val="center"/>
        </w:trPr>
        <w:tc>
          <w:tcPr>
            <w:tcW w:w="1122" w:type="pct"/>
            <w:gridSpan w:val="2"/>
            <w:vMerge/>
            <w:vAlign w:val="center"/>
          </w:tcPr>
          <w:p w:rsidR="00EE56C0" w:rsidRDefault="00EE56C0">
            <w:pPr>
              <w:pStyle w:val="aff1"/>
              <w:rPr>
                <w:color w:val="auto"/>
              </w:rPr>
            </w:pPr>
          </w:p>
        </w:tc>
        <w:tc>
          <w:tcPr>
            <w:tcW w:w="557" w:type="pct"/>
            <w:vMerge/>
            <w:vAlign w:val="center"/>
          </w:tcPr>
          <w:p w:rsidR="00EE56C0" w:rsidRDefault="00EE56C0">
            <w:pPr>
              <w:pStyle w:val="aff1"/>
              <w:rPr>
                <w:color w:val="auto"/>
              </w:rPr>
            </w:pPr>
          </w:p>
        </w:tc>
        <w:tc>
          <w:tcPr>
            <w:tcW w:w="659" w:type="pct"/>
            <w:vAlign w:val="center"/>
          </w:tcPr>
          <w:p w:rsidR="00EE56C0" w:rsidRDefault="000F36A1">
            <w:pPr>
              <w:pStyle w:val="aff1"/>
              <w:rPr>
                <w:color w:val="auto"/>
              </w:rPr>
            </w:pPr>
            <w:r>
              <w:rPr>
                <w:rFonts w:hint="eastAsia"/>
                <w:color w:val="auto"/>
              </w:rPr>
              <w:t>工程排水</w:t>
            </w:r>
          </w:p>
        </w:tc>
        <w:tc>
          <w:tcPr>
            <w:tcW w:w="705" w:type="pct"/>
            <w:vAlign w:val="center"/>
          </w:tcPr>
          <w:p w:rsidR="00EE56C0" w:rsidRDefault="000F36A1">
            <w:pPr>
              <w:pStyle w:val="aff1"/>
              <w:rPr>
                <w:color w:val="auto"/>
              </w:rPr>
            </w:pPr>
            <w:r>
              <w:rPr>
                <w:rFonts w:hint="eastAsia"/>
                <w:color w:val="auto"/>
              </w:rPr>
              <w:t>工程排气</w:t>
            </w:r>
          </w:p>
        </w:tc>
        <w:tc>
          <w:tcPr>
            <w:tcW w:w="430" w:type="pct"/>
            <w:vAlign w:val="center"/>
          </w:tcPr>
          <w:p w:rsidR="00EE56C0" w:rsidRDefault="000F36A1">
            <w:pPr>
              <w:pStyle w:val="aff1"/>
              <w:rPr>
                <w:color w:val="auto"/>
              </w:rPr>
            </w:pPr>
            <w:r>
              <w:rPr>
                <w:rFonts w:hint="eastAsia"/>
                <w:color w:val="auto"/>
              </w:rPr>
              <w:t>固废</w:t>
            </w:r>
          </w:p>
        </w:tc>
        <w:tc>
          <w:tcPr>
            <w:tcW w:w="797" w:type="pct"/>
            <w:vAlign w:val="center"/>
          </w:tcPr>
          <w:p w:rsidR="00EE56C0" w:rsidRDefault="000F36A1">
            <w:pPr>
              <w:pStyle w:val="aff1"/>
              <w:rPr>
                <w:color w:val="auto"/>
              </w:rPr>
            </w:pPr>
            <w:r>
              <w:rPr>
                <w:rFonts w:hint="eastAsia"/>
                <w:color w:val="auto"/>
              </w:rPr>
              <w:t>噪声及振动</w:t>
            </w:r>
          </w:p>
        </w:tc>
        <w:tc>
          <w:tcPr>
            <w:tcW w:w="412" w:type="pct"/>
            <w:vAlign w:val="center"/>
          </w:tcPr>
          <w:p w:rsidR="00EE56C0" w:rsidRDefault="000F36A1">
            <w:pPr>
              <w:pStyle w:val="aff1"/>
              <w:rPr>
                <w:color w:val="auto"/>
              </w:rPr>
            </w:pPr>
            <w:r>
              <w:rPr>
                <w:rFonts w:hint="eastAsia"/>
                <w:color w:val="auto"/>
              </w:rPr>
              <w:t>运输</w:t>
            </w:r>
          </w:p>
        </w:tc>
        <w:tc>
          <w:tcPr>
            <w:tcW w:w="419" w:type="pct"/>
            <w:vAlign w:val="center"/>
          </w:tcPr>
          <w:p w:rsidR="00EE56C0" w:rsidRDefault="000F36A1">
            <w:pPr>
              <w:pStyle w:val="aff1"/>
              <w:rPr>
                <w:color w:val="auto"/>
              </w:rPr>
            </w:pPr>
            <w:r>
              <w:rPr>
                <w:rFonts w:hint="eastAsia"/>
                <w:color w:val="auto"/>
              </w:rPr>
              <w:t>效益</w:t>
            </w:r>
          </w:p>
        </w:tc>
      </w:tr>
      <w:tr w:rsidR="00EE56C0">
        <w:trPr>
          <w:cantSplit/>
          <w:trHeight w:val="397"/>
          <w:jc w:val="center"/>
        </w:trPr>
        <w:tc>
          <w:tcPr>
            <w:tcW w:w="400" w:type="pct"/>
            <w:vMerge w:val="restart"/>
            <w:vAlign w:val="center"/>
          </w:tcPr>
          <w:p w:rsidR="00EE56C0" w:rsidRDefault="000F36A1">
            <w:pPr>
              <w:pStyle w:val="afa"/>
            </w:pPr>
            <w:r>
              <w:rPr>
                <w:rFonts w:hint="eastAsia"/>
              </w:rPr>
              <w:t>自然生态环境</w:t>
            </w:r>
          </w:p>
        </w:tc>
        <w:tc>
          <w:tcPr>
            <w:tcW w:w="723" w:type="pct"/>
            <w:vAlign w:val="center"/>
          </w:tcPr>
          <w:p w:rsidR="00EE56C0" w:rsidRDefault="000F36A1">
            <w:pPr>
              <w:pStyle w:val="afa"/>
            </w:pPr>
            <w:r>
              <w:rPr>
                <w:rFonts w:hint="eastAsia"/>
              </w:rPr>
              <w:t>地表水</w:t>
            </w:r>
          </w:p>
        </w:tc>
        <w:tc>
          <w:tcPr>
            <w:tcW w:w="557" w:type="pct"/>
            <w:vAlign w:val="center"/>
          </w:tcPr>
          <w:p w:rsidR="00EE56C0" w:rsidRDefault="00EE56C0">
            <w:pPr>
              <w:pStyle w:val="afa"/>
            </w:pPr>
          </w:p>
        </w:tc>
        <w:tc>
          <w:tcPr>
            <w:tcW w:w="659" w:type="pct"/>
            <w:vAlign w:val="center"/>
          </w:tcPr>
          <w:p w:rsidR="00EE56C0" w:rsidRDefault="000F36A1">
            <w:pPr>
              <w:pStyle w:val="afa"/>
            </w:pPr>
            <w:r>
              <w:rPr>
                <w:rFonts w:hint="eastAsia"/>
              </w:rPr>
              <w:t>-1LP</w:t>
            </w:r>
          </w:p>
        </w:tc>
        <w:tc>
          <w:tcPr>
            <w:tcW w:w="705" w:type="pct"/>
            <w:vAlign w:val="center"/>
          </w:tcPr>
          <w:p w:rsidR="00EE56C0" w:rsidRDefault="00EE56C0">
            <w:pPr>
              <w:pStyle w:val="afa"/>
            </w:pPr>
          </w:p>
        </w:tc>
        <w:tc>
          <w:tcPr>
            <w:tcW w:w="430" w:type="pct"/>
            <w:vAlign w:val="center"/>
          </w:tcPr>
          <w:p w:rsidR="00EE56C0" w:rsidRDefault="00EE56C0">
            <w:pPr>
              <w:pStyle w:val="afa"/>
            </w:pPr>
          </w:p>
        </w:tc>
        <w:tc>
          <w:tcPr>
            <w:tcW w:w="797" w:type="pct"/>
            <w:vAlign w:val="center"/>
          </w:tcPr>
          <w:p w:rsidR="00EE56C0" w:rsidRDefault="00EE56C0">
            <w:pPr>
              <w:pStyle w:val="afa"/>
            </w:pPr>
          </w:p>
        </w:tc>
        <w:tc>
          <w:tcPr>
            <w:tcW w:w="412" w:type="pct"/>
            <w:vAlign w:val="center"/>
          </w:tcPr>
          <w:p w:rsidR="00EE56C0" w:rsidRDefault="00EE56C0">
            <w:pPr>
              <w:pStyle w:val="afa"/>
            </w:pPr>
          </w:p>
        </w:tc>
        <w:tc>
          <w:tcPr>
            <w:tcW w:w="419" w:type="pct"/>
            <w:vAlign w:val="center"/>
          </w:tcPr>
          <w:p w:rsidR="00EE56C0" w:rsidRDefault="00EE56C0">
            <w:pPr>
              <w:pStyle w:val="afa"/>
            </w:pPr>
          </w:p>
        </w:tc>
      </w:tr>
      <w:tr w:rsidR="00EE56C0">
        <w:trPr>
          <w:cantSplit/>
          <w:trHeight w:val="397"/>
          <w:jc w:val="center"/>
        </w:trPr>
        <w:tc>
          <w:tcPr>
            <w:tcW w:w="400" w:type="pct"/>
            <w:vMerge/>
            <w:vAlign w:val="center"/>
          </w:tcPr>
          <w:p w:rsidR="00EE56C0" w:rsidRDefault="00EE56C0">
            <w:pPr>
              <w:pStyle w:val="afa"/>
            </w:pPr>
          </w:p>
        </w:tc>
        <w:tc>
          <w:tcPr>
            <w:tcW w:w="723" w:type="pct"/>
            <w:vAlign w:val="center"/>
          </w:tcPr>
          <w:p w:rsidR="00EE56C0" w:rsidRDefault="000F36A1">
            <w:pPr>
              <w:pStyle w:val="afa"/>
            </w:pPr>
            <w:r>
              <w:rPr>
                <w:rFonts w:hint="eastAsia"/>
              </w:rPr>
              <w:t>地下水</w:t>
            </w:r>
          </w:p>
        </w:tc>
        <w:tc>
          <w:tcPr>
            <w:tcW w:w="557" w:type="pct"/>
            <w:vAlign w:val="center"/>
          </w:tcPr>
          <w:p w:rsidR="00EE56C0" w:rsidRDefault="00EE56C0">
            <w:pPr>
              <w:pStyle w:val="afa"/>
            </w:pPr>
          </w:p>
        </w:tc>
        <w:tc>
          <w:tcPr>
            <w:tcW w:w="659" w:type="pct"/>
            <w:vAlign w:val="center"/>
          </w:tcPr>
          <w:p w:rsidR="00EE56C0" w:rsidRDefault="000F36A1">
            <w:pPr>
              <w:pStyle w:val="afa"/>
            </w:pPr>
            <w:r>
              <w:rPr>
                <w:rFonts w:hint="eastAsia"/>
              </w:rPr>
              <w:t>-1LP</w:t>
            </w:r>
          </w:p>
        </w:tc>
        <w:tc>
          <w:tcPr>
            <w:tcW w:w="705" w:type="pct"/>
            <w:vAlign w:val="center"/>
          </w:tcPr>
          <w:p w:rsidR="00EE56C0" w:rsidRDefault="00EE56C0">
            <w:pPr>
              <w:pStyle w:val="afa"/>
            </w:pPr>
          </w:p>
        </w:tc>
        <w:tc>
          <w:tcPr>
            <w:tcW w:w="430" w:type="pct"/>
            <w:vAlign w:val="center"/>
          </w:tcPr>
          <w:p w:rsidR="00EE56C0" w:rsidRDefault="00EE56C0">
            <w:pPr>
              <w:pStyle w:val="afa"/>
            </w:pPr>
          </w:p>
        </w:tc>
        <w:tc>
          <w:tcPr>
            <w:tcW w:w="797" w:type="pct"/>
            <w:vAlign w:val="center"/>
          </w:tcPr>
          <w:p w:rsidR="00EE56C0" w:rsidRDefault="00EE56C0">
            <w:pPr>
              <w:pStyle w:val="afa"/>
            </w:pPr>
          </w:p>
        </w:tc>
        <w:tc>
          <w:tcPr>
            <w:tcW w:w="412" w:type="pct"/>
            <w:vAlign w:val="center"/>
          </w:tcPr>
          <w:p w:rsidR="00EE56C0" w:rsidRDefault="00EE56C0">
            <w:pPr>
              <w:pStyle w:val="afa"/>
            </w:pPr>
          </w:p>
        </w:tc>
        <w:tc>
          <w:tcPr>
            <w:tcW w:w="419" w:type="pct"/>
            <w:vAlign w:val="center"/>
          </w:tcPr>
          <w:p w:rsidR="00EE56C0" w:rsidRDefault="00EE56C0">
            <w:pPr>
              <w:pStyle w:val="afa"/>
            </w:pPr>
          </w:p>
        </w:tc>
      </w:tr>
      <w:tr w:rsidR="00EE56C0">
        <w:trPr>
          <w:cantSplit/>
          <w:trHeight w:val="397"/>
          <w:jc w:val="center"/>
        </w:trPr>
        <w:tc>
          <w:tcPr>
            <w:tcW w:w="400" w:type="pct"/>
            <w:vMerge/>
            <w:vAlign w:val="center"/>
          </w:tcPr>
          <w:p w:rsidR="00EE56C0" w:rsidRDefault="00EE56C0">
            <w:pPr>
              <w:pStyle w:val="afa"/>
            </w:pPr>
          </w:p>
        </w:tc>
        <w:tc>
          <w:tcPr>
            <w:tcW w:w="723" w:type="pct"/>
            <w:vAlign w:val="center"/>
          </w:tcPr>
          <w:p w:rsidR="00EE56C0" w:rsidRDefault="000F36A1">
            <w:pPr>
              <w:pStyle w:val="afa"/>
            </w:pPr>
            <w:r>
              <w:rPr>
                <w:rFonts w:hint="eastAsia"/>
              </w:rPr>
              <w:t>大气环境</w:t>
            </w:r>
          </w:p>
        </w:tc>
        <w:tc>
          <w:tcPr>
            <w:tcW w:w="557" w:type="pct"/>
            <w:vAlign w:val="center"/>
          </w:tcPr>
          <w:p w:rsidR="00EE56C0" w:rsidRDefault="000F36A1">
            <w:pPr>
              <w:pStyle w:val="afa"/>
            </w:pPr>
            <w:r>
              <w:rPr>
                <w:rFonts w:hint="eastAsia"/>
              </w:rPr>
              <w:t>-1SP</w:t>
            </w:r>
          </w:p>
        </w:tc>
        <w:tc>
          <w:tcPr>
            <w:tcW w:w="659" w:type="pct"/>
            <w:vAlign w:val="center"/>
          </w:tcPr>
          <w:p w:rsidR="00EE56C0" w:rsidRDefault="00EE56C0">
            <w:pPr>
              <w:pStyle w:val="afa"/>
            </w:pPr>
          </w:p>
        </w:tc>
        <w:tc>
          <w:tcPr>
            <w:tcW w:w="705" w:type="pct"/>
            <w:vAlign w:val="center"/>
          </w:tcPr>
          <w:p w:rsidR="00EE56C0" w:rsidRDefault="000F36A1">
            <w:pPr>
              <w:pStyle w:val="afa"/>
            </w:pPr>
            <w:r>
              <w:rPr>
                <w:rFonts w:hint="eastAsia"/>
              </w:rPr>
              <w:t>-1LP</w:t>
            </w:r>
          </w:p>
        </w:tc>
        <w:tc>
          <w:tcPr>
            <w:tcW w:w="430" w:type="pct"/>
            <w:vAlign w:val="center"/>
          </w:tcPr>
          <w:p w:rsidR="00EE56C0" w:rsidRDefault="00EE56C0">
            <w:pPr>
              <w:pStyle w:val="afa"/>
            </w:pPr>
          </w:p>
        </w:tc>
        <w:tc>
          <w:tcPr>
            <w:tcW w:w="797" w:type="pct"/>
            <w:vAlign w:val="center"/>
          </w:tcPr>
          <w:p w:rsidR="00EE56C0" w:rsidRDefault="00EE56C0">
            <w:pPr>
              <w:pStyle w:val="afa"/>
            </w:pPr>
          </w:p>
        </w:tc>
        <w:tc>
          <w:tcPr>
            <w:tcW w:w="412" w:type="pct"/>
            <w:vAlign w:val="center"/>
          </w:tcPr>
          <w:p w:rsidR="00EE56C0" w:rsidRDefault="000F36A1">
            <w:pPr>
              <w:pStyle w:val="afa"/>
            </w:pPr>
            <w:r>
              <w:rPr>
                <w:rFonts w:hint="eastAsia"/>
              </w:rPr>
              <w:t>-1LP</w:t>
            </w:r>
          </w:p>
        </w:tc>
        <w:tc>
          <w:tcPr>
            <w:tcW w:w="419" w:type="pct"/>
            <w:vAlign w:val="center"/>
          </w:tcPr>
          <w:p w:rsidR="00EE56C0" w:rsidRDefault="00EE56C0">
            <w:pPr>
              <w:pStyle w:val="afa"/>
            </w:pPr>
          </w:p>
        </w:tc>
      </w:tr>
      <w:tr w:rsidR="00EE56C0">
        <w:trPr>
          <w:cantSplit/>
          <w:trHeight w:val="397"/>
          <w:jc w:val="center"/>
        </w:trPr>
        <w:tc>
          <w:tcPr>
            <w:tcW w:w="400" w:type="pct"/>
            <w:vMerge/>
            <w:vAlign w:val="center"/>
          </w:tcPr>
          <w:p w:rsidR="00EE56C0" w:rsidRDefault="00EE56C0">
            <w:pPr>
              <w:pStyle w:val="afa"/>
            </w:pPr>
          </w:p>
        </w:tc>
        <w:tc>
          <w:tcPr>
            <w:tcW w:w="723" w:type="pct"/>
            <w:vAlign w:val="center"/>
          </w:tcPr>
          <w:p w:rsidR="00EE56C0" w:rsidRDefault="000F36A1">
            <w:pPr>
              <w:pStyle w:val="afa"/>
            </w:pPr>
            <w:r>
              <w:rPr>
                <w:rFonts w:hint="eastAsia"/>
              </w:rPr>
              <w:t>声环境</w:t>
            </w:r>
          </w:p>
        </w:tc>
        <w:tc>
          <w:tcPr>
            <w:tcW w:w="557" w:type="pct"/>
            <w:vAlign w:val="center"/>
          </w:tcPr>
          <w:p w:rsidR="00EE56C0" w:rsidRDefault="000F36A1">
            <w:pPr>
              <w:pStyle w:val="afa"/>
            </w:pPr>
            <w:r>
              <w:rPr>
                <w:rFonts w:hint="eastAsia"/>
              </w:rPr>
              <w:t>-1SP</w:t>
            </w:r>
          </w:p>
        </w:tc>
        <w:tc>
          <w:tcPr>
            <w:tcW w:w="659" w:type="pct"/>
            <w:vAlign w:val="center"/>
          </w:tcPr>
          <w:p w:rsidR="00EE56C0" w:rsidRDefault="00EE56C0">
            <w:pPr>
              <w:pStyle w:val="afa"/>
            </w:pPr>
          </w:p>
        </w:tc>
        <w:tc>
          <w:tcPr>
            <w:tcW w:w="705" w:type="pct"/>
            <w:vAlign w:val="center"/>
          </w:tcPr>
          <w:p w:rsidR="00EE56C0" w:rsidRDefault="00EE56C0">
            <w:pPr>
              <w:pStyle w:val="afa"/>
            </w:pPr>
          </w:p>
        </w:tc>
        <w:tc>
          <w:tcPr>
            <w:tcW w:w="430" w:type="pct"/>
            <w:vAlign w:val="center"/>
          </w:tcPr>
          <w:p w:rsidR="00EE56C0" w:rsidRDefault="00EE56C0">
            <w:pPr>
              <w:pStyle w:val="afa"/>
            </w:pPr>
          </w:p>
        </w:tc>
        <w:tc>
          <w:tcPr>
            <w:tcW w:w="797" w:type="pct"/>
            <w:vAlign w:val="center"/>
          </w:tcPr>
          <w:p w:rsidR="00EE56C0" w:rsidRDefault="000F36A1">
            <w:pPr>
              <w:pStyle w:val="afa"/>
            </w:pPr>
            <w:r>
              <w:rPr>
                <w:rFonts w:hint="eastAsia"/>
              </w:rPr>
              <w:t>-1LP</w:t>
            </w:r>
          </w:p>
        </w:tc>
        <w:tc>
          <w:tcPr>
            <w:tcW w:w="412" w:type="pct"/>
            <w:vAlign w:val="center"/>
          </w:tcPr>
          <w:p w:rsidR="00EE56C0" w:rsidRDefault="000F36A1">
            <w:pPr>
              <w:pStyle w:val="afa"/>
            </w:pPr>
            <w:r>
              <w:rPr>
                <w:rFonts w:hint="eastAsia"/>
              </w:rPr>
              <w:t>-1LP</w:t>
            </w:r>
          </w:p>
        </w:tc>
        <w:tc>
          <w:tcPr>
            <w:tcW w:w="419" w:type="pct"/>
            <w:vAlign w:val="center"/>
          </w:tcPr>
          <w:p w:rsidR="00EE56C0" w:rsidRDefault="00EE56C0">
            <w:pPr>
              <w:pStyle w:val="afa"/>
            </w:pPr>
          </w:p>
        </w:tc>
      </w:tr>
      <w:tr w:rsidR="00EE56C0">
        <w:trPr>
          <w:cantSplit/>
          <w:trHeight w:val="397"/>
          <w:jc w:val="center"/>
        </w:trPr>
        <w:tc>
          <w:tcPr>
            <w:tcW w:w="400" w:type="pct"/>
            <w:vMerge/>
            <w:vAlign w:val="center"/>
          </w:tcPr>
          <w:p w:rsidR="00EE56C0" w:rsidRDefault="00EE56C0">
            <w:pPr>
              <w:pStyle w:val="afa"/>
            </w:pPr>
          </w:p>
        </w:tc>
        <w:tc>
          <w:tcPr>
            <w:tcW w:w="723" w:type="pct"/>
            <w:vAlign w:val="center"/>
          </w:tcPr>
          <w:p w:rsidR="00EE56C0" w:rsidRDefault="000F36A1">
            <w:pPr>
              <w:pStyle w:val="afa"/>
            </w:pPr>
            <w:r>
              <w:rPr>
                <w:rFonts w:hint="eastAsia"/>
              </w:rPr>
              <w:t>地表</w:t>
            </w:r>
          </w:p>
        </w:tc>
        <w:tc>
          <w:tcPr>
            <w:tcW w:w="557" w:type="pct"/>
            <w:vAlign w:val="center"/>
          </w:tcPr>
          <w:p w:rsidR="00EE56C0" w:rsidRDefault="000F36A1">
            <w:pPr>
              <w:pStyle w:val="afa"/>
            </w:pPr>
            <w:r>
              <w:rPr>
                <w:rFonts w:hint="eastAsia"/>
              </w:rPr>
              <w:t>-1SP</w:t>
            </w:r>
          </w:p>
        </w:tc>
        <w:tc>
          <w:tcPr>
            <w:tcW w:w="659" w:type="pct"/>
            <w:vAlign w:val="center"/>
          </w:tcPr>
          <w:p w:rsidR="00EE56C0" w:rsidRDefault="00EE56C0">
            <w:pPr>
              <w:pStyle w:val="afa"/>
            </w:pPr>
          </w:p>
        </w:tc>
        <w:tc>
          <w:tcPr>
            <w:tcW w:w="705" w:type="pct"/>
            <w:vAlign w:val="center"/>
          </w:tcPr>
          <w:p w:rsidR="00EE56C0" w:rsidRDefault="00EE56C0">
            <w:pPr>
              <w:pStyle w:val="afa"/>
            </w:pPr>
          </w:p>
        </w:tc>
        <w:tc>
          <w:tcPr>
            <w:tcW w:w="430" w:type="pct"/>
            <w:vAlign w:val="center"/>
          </w:tcPr>
          <w:p w:rsidR="00EE56C0" w:rsidRDefault="000F36A1">
            <w:pPr>
              <w:pStyle w:val="afa"/>
            </w:pPr>
            <w:r>
              <w:rPr>
                <w:rFonts w:hint="eastAsia"/>
              </w:rPr>
              <w:t>-1</w:t>
            </w:r>
            <w:r>
              <w:t>LP</w:t>
            </w:r>
          </w:p>
        </w:tc>
        <w:tc>
          <w:tcPr>
            <w:tcW w:w="797" w:type="pct"/>
            <w:vAlign w:val="center"/>
          </w:tcPr>
          <w:p w:rsidR="00EE56C0" w:rsidRDefault="00EE56C0">
            <w:pPr>
              <w:pStyle w:val="afa"/>
            </w:pPr>
          </w:p>
        </w:tc>
        <w:tc>
          <w:tcPr>
            <w:tcW w:w="412" w:type="pct"/>
            <w:vAlign w:val="center"/>
          </w:tcPr>
          <w:p w:rsidR="00EE56C0" w:rsidRDefault="00EE56C0">
            <w:pPr>
              <w:pStyle w:val="afa"/>
            </w:pPr>
          </w:p>
        </w:tc>
        <w:tc>
          <w:tcPr>
            <w:tcW w:w="419" w:type="pct"/>
            <w:vAlign w:val="center"/>
          </w:tcPr>
          <w:p w:rsidR="00EE56C0" w:rsidRDefault="00EE56C0">
            <w:pPr>
              <w:pStyle w:val="afa"/>
            </w:pPr>
          </w:p>
        </w:tc>
      </w:tr>
      <w:tr w:rsidR="00EE56C0">
        <w:trPr>
          <w:cantSplit/>
          <w:trHeight w:val="397"/>
          <w:jc w:val="center"/>
        </w:trPr>
        <w:tc>
          <w:tcPr>
            <w:tcW w:w="400" w:type="pct"/>
            <w:vMerge/>
            <w:vAlign w:val="center"/>
          </w:tcPr>
          <w:p w:rsidR="00EE56C0" w:rsidRDefault="00EE56C0">
            <w:pPr>
              <w:pStyle w:val="afa"/>
            </w:pPr>
          </w:p>
        </w:tc>
        <w:tc>
          <w:tcPr>
            <w:tcW w:w="723" w:type="pct"/>
            <w:vAlign w:val="center"/>
          </w:tcPr>
          <w:p w:rsidR="00EE56C0" w:rsidRDefault="000F36A1">
            <w:pPr>
              <w:pStyle w:val="afa"/>
            </w:pPr>
            <w:r>
              <w:rPr>
                <w:rFonts w:hint="eastAsia"/>
              </w:rPr>
              <w:t>土壤</w:t>
            </w:r>
          </w:p>
        </w:tc>
        <w:tc>
          <w:tcPr>
            <w:tcW w:w="557" w:type="pct"/>
            <w:vAlign w:val="center"/>
          </w:tcPr>
          <w:p w:rsidR="00EE56C0" w:rsidRDefault="000F36A1">
            <w:pPr>
              <w:pStyle w:val="afa"/>
            </w:pPr>
            <w:r>
              <w:rPr>
                <w:rFonts w:hint="eastAsia"/>
              </w:rPr>
              <w:t>-1SP</w:t>
            </w:r>
          </w:p>
        </w:tc>
        <w:tc>
          <w:tcPr>
            <w:tcW w:w="659" w:type="pct"/>
            <w:vAlign w:val="center"/>
          </w:tcPr>
          <w:p w:rsidR="00EE56C0" w:rsidRDefault="00EE56C0">
            <w:pPr>
              <w:pStyle w:val="afa"/>
            </w:pPr>
          </w:p>
        </w:tc>
        <w:tc>
          <w:tcPr>
            <w:tcW w:w="705" w:type="pct"/>
            <w:vAlign w:val="center"/>
          </w:tcPr>
          <w:p w:rsidR="00EE56C0" w:rsidRDefault="000F36A1">
            <w:pPr>
              <w:pStyle w:val="afa"/>
            </w:pPr>
            <w:r>
              <w:rPr>
                <w:rFonts w:hint="eastAsia"/>
              </w:rPr>
              <w:t>-1LP</w:t>
            </w:r>
          </w:p>
        </w:tc>
        <w:tc>
          <w:tcPr>
            <w:tcW w:w="430" w:type="pct"/>
            <w:vAlign w:val="center"/>
          </w:tcPr>
          <w:p w:rsidR="00EE56C0" w:rsidRDefault="00EE56C0">
            <w:pPr>
              <w:pStyle w:val="afa"/>
            </w:pPr>
          </w:p>
        </w:tc>
        <w:tc>
          <w:tcPr>
            <w:tcW w:w="797" w:type="pct"/>
            <w:vAlign w:val="center"/>
          </w:tcPr>
          <w:p w:rsidR="00EE56C0" w:rsidRDefault="00EE56C0">
            <w:pPr>
              <w:pStyle w:val="afa"/>
            </w:pPr>
          </w:p>
        </w:tc>
        <w:tc>
          <w:tcPr>
            <w:tcW w:w="412" w:type="pct"/>
            <w:vAlign w:val="center"/>
          </w:tcPr>
          <w:p w:rsidR="00EE56C0" w:rsidRDefault="00EE56C0">
            <w:pPr>
              <w:pStyle w:val="afa"/>
            </w:pPr>
          </w:p>
        </w:tc>
        <w:tc>
          <w:tcPr>
            <w:tcW w:w="419" w:type="pct"/>
            <w:vAlign w:val="center"/>
          </w:tcPr>
          <w:p w:rsidR="00EE56C0" w:rsidRDefault="00EE56C0">
            <w:pPr>
              <w:pStyle w:val="afa"/>
            </w:pPr>
          </w:p>
        </w:tc>
      </w:tr>
      <w:tr w:rsidR="00EE56C0">
        <w:trPr>
          <w:cantSplit/>
          <w:trHeight w:val="397"/>
          <w:jc w:val="center"/>
        </w:trPr>
        <w:tc>
          <w:tcPr>
            <w:tcW w:w="400" w:type="pct"/>
            <w:vMerge/>
            <w:vAlign w:val="center"/>
          </w:tcPr>
          <w:p w:rsidR="00EE56C0" w:rsidRDefault="00EE56C0">
            <w:pPr>
              <w:pStyle w:val="afa"/>
            </w:pPr>
          </w:p>
        </w:tc>
        <w:tc>
          <w:tcPr>
            <w:tcW w:w="723" w:type="pct"/>
            <w:tcBorders>
              <w:top w:val="single" w:sz="4" w:space="0" w:color="auto"/>
            </w:tcBorders>
            <w:vAlign w:val="center"/>
          </w:tcPr>
          <w:p w:rsidR="00EE56C0" w:rsidRDefault="000F36A1">
            <w:pPr>
              <w:pStyle w:val="afa"/>
            </w:pPr>
            <w:r>
              <w:rPr>
                <w:rFonts w:hint="eastAsia"/>
              </w:rPr>
              <w:t>植被</w:t>
            </w:r>
          </w:p>
        </w:tc>
        <w:tc>
          <w:tcPr>
            <w:tcW w:w="557" w:type="pct"/>
            <w:vAlign w:val="center"/>
          </w:tcPr>
          <w:p w:rsidR="00EE56C0" w:rsidRDefault="00EE56C0">
            <w:pPr>
              <w:pStyle w:val="afa"/>
            </w:pPr>
          </w:p>
        </w:tc>
        <w:tc>
          <w:tcPr>
            <w:tcW w:w="659" w:type="pct"/>
            <w:vAlign w:val="center"/>
          </w:tcPr>
          <w:p w:rsidR="00EE56C0" w:rsidRDefault="00EE56C0">
            <w:pPr>
              <w:pStyle w:val="afa"/>
            </w:pPr>
          </w:p>
        </w:tc>
        <w:tc>
          <w:tcPr>
            <w:tcW w:w="705" w:type="pct"/>
            <w:vAlign w:val="center"/>
          </w:tcPr>
          <w:p w:rsidR="00EE56C0" w:rsidRDefault="000F36A1">
            <w:pPr>
              <w:pStyle w:val="afa"/>
            </w:pPr>
            <w:r>
              <w:rPr>
                <w:rFonts w:hint="eastAsia"/>
              </w:rPr>
              <w:t>-1LP</w:t>
            </w:r>
          </w:p>
        </w:tc>
        <w:tc>
          <w:tcPr>
            <w:tcW w:w="430" w:type="pct"/>
            <w:vAlign w:val="center"/>
          </w:tcPr>
          <w:p w:rsidR="00EE56C0" w:rsidRDefault="00EE56C0">
            <w:pPr>
              <w:pStyle w:val="afa"/>
            </w:pPr>
          </w:p>
        </w:tc>
        <w:tc>
          <w:tcPr>
            <w:tcW w:w="797" w:type="pct"/>
            <w:vAlign w:val="center"/>
          </w:tcPr>
          <w:p w:rsidR="00EE56C0" w:rsidRDefault="00EE56C0">
            <w:pPr>
              <w:pStyle w:val="afa"/>
            </w:pPr>
          </w:p>
        </w:tc>
        <w:tc>
          <w:tcPr>
            <w:tcW w:w="412" w:type="pct"/>
            <w:vAlign w:val="center"/>
          </w:tcPr>
          <w:p w:rsidR="00EE56C0" w:rsidRDefault="00EE56C0">
            <w:pPr>
              <w:pStyle w:val="afa"/>
            </w:pPr>
          </w:p>
        </w:tc>
        <w:tc>
          <w:tcPr>
            <w:tcW w:w="419" w:type="pct"/>
            <w:vAlign w:val="center"/>
          </w:tcPr>
          <w:p w:rsidR="00EE56C0" w:rsidRDefault="00EE56C0">
            <w:pPr>
              <w:pStyle w:val="afa"/>
            </w:pPr>
          </w:p>
        </w:tc>
      </w:tr>
      <w:tr w:rsidR="00EE56C0">
        <w:trPr>
          <w:cantSplit/>
          <w:trHeight w:val="397"/>
          <w:jc w:val="center"/>
        </w:trPr>
        <w:tc>
          <w:tcPr>
            <w:tcW w:w="400" w:type="pct"/>
            <w:vMerge w:val="restart"/>
            <w:vAlign w:val="center"/>
          </w:tcPr>
          <w:p w:rsidR="00EE56C0" w:rsidRDefault="000F36A1">
            <w:pPr>
              <w:pStyle w:val="afa"/>
            </w:pPr>
            <w:r>
              <w:rPr>
                <w:rFonts w:hint="eastAsia"/>
              </w:rPr>
              <w:t>社会经济环境</w:t>
            </w:r>
          </w:p>
        </w:tc>
        <w:tc>
          <w:tcPr>
            <w:tcW w:w="723" w:type="pct"/>
            <w:vAlign w:val="center"/>
          </w:tcPr>
          <w:p w:rsidR="00EE56C0" w:rsidRDefault="000F36A1">
            <w:pPr>
              <w:pStyle w:val="afa"/>
            </w:pPr>
            <w:r>
              <w:rPr>
                <w:rFonts w:hint="eastAsia"/>
              </w:rPr>
              <w:t>工业</w:t>
            </w:r>
          </w:p>
        </w:tc>
        <w:tc>
          <w:tcPr>
            <w:tcW w:w="557" w:type="pct"/>
            <w:vAlign w:val="center"/>
          </w:tcPr>
          <w:p w:rsidR="00EE56C0" w:rsidRDefault="000F36A1">
            <w:pPr>
              <w:pStyle w:val="afa"/>
            </w:pPr>
            <w:r>
              <w:rPr>
                <w:rFonts w:hint="eastAsia"/>
              </w:rPr>
              <w:t>-1SP</w:t>
            </w:r>
          </w:p>
        </w:tc>
        <w:tc>
          <w:tcPr>
            <w:tcW w:w="659" w:type="pct"/>
            <w:vAlign w:val="center"/>
          </w:tcPr>
          <w:p w:rsidR="00EE56C0" w:rsidRDefault="00EE56C0">
            <w:pPr>
              <w:pStyle w:val="afa"/>
            </w:pPr>
          </w:p>
        </w:tc>
        <w:tc>
          <w:tcPr>
            <w:tcW w:w="705" w:type="pct"/>
            <w:vAlign w:val="center"/>
          </w:tcPr>
          <w:p w:rsidR="00EE56C0" w:rsidRDefault="00EE56C0">
            <w:pPr>
              <w:pStyle w:val="afa"/>
            </w:pPr>
          </w:p>
        </w:tc>
        <w:tc>
          <w:tcPr>
            <w:tcW w:w="430" w:type="pct"/>
            <w:vAlign w:val="center"/>
          </w:tcPr>
          <w:p w:rsidR="00EE56C0" w:rsidRDefault="00EE56C0">
            <w:pPr>
              <w:pStyle w:val="afa"/>
            </w:pPr>
          </w:p>
        </w:tc>
        <w:tc>
          <w:tcPr>
            <w:tcW w:w="797" w:type="pct"/>
            <w:vAlign w:val="center"/>
          </w:tcPr>
          <w:p w:rsidR="00EE56C0" w:rsidRDefault="00EE56C0">
            <w:pPr>
              <w:pStyle w:val="afa"/>
            </w:pPr>
          </w:p>
        </w:tc>
        <w:tc>
          <w:tcPr>
            <w:tcW w:w="412" w:type="pct"/>
            <w:vAlign w:val="center"/>
          </w:tcPr>
          <w:p w:rsidR="00EE56C0" w:rsidRDefault="00EE56C0">
            <w:pPr>
              <w:pStyle w:val="afa"/>
            </w:pPr>
          </w:p>
        </w:tc>
        <w:tc>
          <w:tcPr>
            <w:tcW w:w="419" w:type="pct"/>
            <w:vAlign w:val="center"/>
          </w:tcPr>
          <w:p w:rsidR="00EE56C0" w:rsidRDefault="000F36A1">
            <w:pPr>
              <w:pStyle w:val="afa"/>
            </w:pPr>
            <w:r>
              <w:rPr>
                <w:rFonts w:hint="eastAsia"/>
              </w:rPr>
              <w:t>+2LP</w:t>
            </w:r>
          </w:p>
        </w:tc>
      </w:tr>
      <w:tr w:rsidR="00EE56C0">
        <w:trPr>
          <w:cantSplit/>
          <w:trHeight w:val="397"/>
          <w:jc w:val="center"/>
        </w:trPr>
        <w:tc>
          <w:tcPr>
            <w:tcW w:w="400" w:type="pct"/>
            <w:vMerge/>
            <w:vAlign w:val="center"/>
          </w:tcPr>
          <w:p w:rsidR="00EE56C0" w:rsidRDefault="00EE56C0">
            <w:pPr>
              <w:pStyle w:val="afa"/>
            </w:pPr>
          </w:p>
        </w:tc>
        <w:tc>
          <w:tcPr>
            <w:tcW w:w="723" w:type="pct"/>
            <w:vAlign w:val="center"/>
          </w:tcPr>
          <w:p w:rsidR="00EE56C0" w:rsidRDefault="000F36A1">
            <w:pPr>
              <w:pStyle w:val="afa"/>
            </w:pPr>
            <w:r>
              <w:rPr>
                <w:rFonts w:hint="eastAsia"/>
              </w:rPr>
              <w:t>农业</w:t>
            </w:r>
          </w:p>
        </w:tc>
        <w:tc>
          <w:tcPr>
            <w:tcW w:w="557" w:type="pct"/>
            <w:vAlign w:val="center"/>
          </w:tcPr>
          <w:p w:rsidR="00EE56C0" w:rsidRDefault="000F36A1">
            <w:pPr>
              <w:pStyle w:val="afa"/>
            </w:pPr>
            <w:r>
              <w:rPr>
                <w:rFonts w:hint="eastAsia"/>
              </w:rPr>
              <w:t>-1SP</w:t>
            </w:r>
          </w:p>
        </w:tc>
        <w:tc>
          <w:tcPr>
            <w:tcW w:w="659" w:type="pct"/>
            <w:vAlign w:val="center"/>
          </w:tcPr>
          <w:p w:rsidR="00EE56C0" w:rsidRDefault="00EE56C0">
            <w:pPr>
              <w:pStyle w:val="afa"/>
            </w:pPr>
          </w:p>
        </w:tc>
        <w:tc>
          <w:tcPr>
            <w:tcW w:w="705" w:type="pct"/>
            <w:vAlign w:val="center"/>
          </w:tcPr>
          <w:p w:rsidR="00EE56C0" w:rsidRDefault="000F36A1">
            <w:pPr>
              <w:pStyle w:val="afa"/>
            </w:pPr>
            <w:r>
              <w:rPr>
                <w:rFonts w:hint="eastAsia"/>
              </w:rPr>
              <w:t>-1LP</w:t>
            </w:r>
          </w:p>
        </w:tc>
        <w:tc>
          <w:tcPr>
            <w:tcW w:w="430" w:type="pct"/>
            <w:vAlign w:val="center"/>
          </w:tcPr>
          <w:p w:rsidR="00EE56C0" w:rsidRDefault="00EE56C0">
            <w:pPr>
              <w:pStyle w:val="afa"/>
            </w:pPr>
          </w:p>
        </w:tc>
        <w:tc>
          <w:tcPr>
            <w:tcW w:w="797" w:type="pct"/>
            <w:vAlign w:val="center"/>
          </w:tcPr>
          <w:p w:rsidR="00EE56C0" w:rsidRDefault="00EE56C0">
            <w:pPr>
              <w:pStyle w:val="afa"/>
            </w:pPr>
          </w:p>
        </w:tc>
        <w:tc>
          <w:tcPr>
            <w:tcW w:w="412" w:type="pct"/>
            <w:vAlign w:val="center"/>
          </w:tcPr>
          <w:p w:rsidR="00EE56C0" w:rsidRDefault="00EE56C0">
            <w:pPr>
              <w:pStyle w:val="afa"/>
            </w:pPr>
          </w:p>
        </w:tc>
        <w:tc>
          <w:tcPr>
            <w:tcW w:w="419" w:type="pct"/>
            <w:vAlign w:val="center"/>
          </w:tcPr>
          <w:p w:rsidR="00EE56C0" w:rsidRDefault="00EE56C0">
            <w:pPr>
              <w:pStyle w:val="afa"/>
            </w:pPr>
          </w:p>
        </w:tc>
      </w:tr>
      <w:tr w:rsidR="00EE56C0">
        <w:trPr>
          <w:cantSplit/>
          <w:trHeight w:val="397"/>
          <w:jc w:val="center"/>
        </w:trPr>
        <w:tc>
          <w:tcPr>
            <w:tcW w:w="400" w:type="pct"/>
            <w:vMerge/>
            <w:vAlign w:val="center"/>
          </w:tcPr>
          <w:p w:rsidR="00EE56C0" w:rsidRDefault="00EE56C0">
            <w:pPr>
              <w:pStyle w:val="afa"/>
            </w:pPr>
          </w:p>
        </w:tc>
        <w:tc>
          <w:tcPr>
            <w:tcW w:w="723" w:type="pct"/>
            <w:vAlign w:val="center"/>
          </w:tcPr>
          <w:p w:rsidR="00EE56C0" w:rsidRDefault="000F36A1">
            <w:pPr>
              <w:pStyle w:val="afa"/>
            </w:pPr>
            <w:r>
              <w:rPr>
                <w:rFonts w:hint="eastAsia"/>
              </w:rPr>
              <w:t>交通</w:t>
            </w:r>
          </w:p>
        </w:tc>
        <w:tc>
          <w:tcPr>
            <w:tcW w:w="557" w:type="pct"/>
            <w:vAlign w:val="center"/>
          </w:tcPr>
          <w:p w:rsidR="00EE56C0" w:rsidRDefault="000F36A1">
            <w:pPr>
              <w:pStyle w:val="afa"/>
            </w:pPr>
            <w:r>
              <w:rPr>
                <w:rFonts w:hint="eastAsia"/>
              </w:rPr>
              <w:t>-1SP</w:t>
            </w:r>
          </w:p>
        </w:tc>
        <w:tc>
          <w:tcPr>
            <w:tcW w:w="659" w:type="pct"/>
            <w:vAlign w:val="center"/>
          </w:tcPr>
          <w:p w:rsidR="00EE56C0" w:rsidRDefault="00EE56C0">
            <w:pPr>
              <w:pStyle w:val="afa"/>
            </w:pPr>
          </w:p>
        </w:tc>
        <w:tc>
          <w:tcPr>
            <w:tcW w:w="705" w:type="pct"/>
            <w:vAlign w:val="center"/>
          </w:tcPr>
          <w:p w:rsidR="00EE56C0" w:rsidRDefault="00EE56C0">
            <w:pPr>
              <w:pStyle w:val="afa"/>
            </w:pPr>
          </w:p>
        </w:tc>
        <w:tc>
          <w:tcPr>
            <w:tcW w:w="430" w:type="pct"/>
            <w:vAlign w:val="center"/>
          </w:tcPr>
          <w:p w:rsidR="00EE56C0" w:rsidRDefault="00EE56C0">
            <w:pPr>
              <w:pStyle w:val="afa"/>
            </w:pPr>
          </w:p>
        </w:tc>
        <w:tc>
          <w:tcPr>
            <w:tcW w:w="797" w:type="pct"/>
            <w:vAlign w:val="center"/>
          </w:tcPr>
          <w:p w:rsidR="00EE56C0" w:rsidRDefault="00EE56C0">
            <w:pPr>
              <w:pStyle w:val="afa"/>
            </w:pPr>
          </w:p>
        </w:tc>
        <w:tc>
          <w:tcPr>
            <w:tcW w:w="412" w:type="pct"/>
            <w:vAlign w:val="center"/>
          </w:tcPr>
          <w:p w:rsidR="00EE56C0" w:rsidRDefault="000F36A1">
            <w:pPr>
              <w:pStyle w:val="afa"/>
            </w:pPr>
            <w:r>
              <w:rPr>
                <w:rFonts w:hint="eastAsia"/>
              </w:rPr>
              <w:t>-1LP</w:t>
            </w:r>
          </w:p>
        </w:tc>
        <w:tc>
          <w:tcPr>
            <w:tcW w:w="419" w:type="pct"/>
            <w:vAlign w:val="center"/>
          </w:tcPr>
          <w:p w:rsidR="00EE56C0" w:rsidRDefault="00EE56C0">
            <w:pPr>
              <w:pStyle w:val="afa"/>
            </w:pPr>
          </w:p>
        </w:tc>
      </w:tr>
      <w:tr w:rsidR="00EE56C0">
        <w:trPr>
          <w:cantSplit/>
          <w:trHeight w:val="397"/>
          <w:jc w:val="center"/>
        </w:trPr>
        <w:tc>
          <w:tcPr>
            <w:tcW w:w="400" w:type="pct"/>
            <w:vMerge/>
            <w:vAlign w:val="center"/>
          </w:tcPr>
          <w:p w:rsidR="00EE56C0" w:rsidRDefault="00EE56C0">
            <w:pPr>
              <w:pStyle w:val="afa"/>
            </w:pPr>
          </w:p>
        </w:tc>
        <w:tc>
          <w:tcPr>
            <w:tcW w:w="723" w:type="pct"/>
            <w:vAlign w:val="center"/>
          </w:tcPr>
          <w:p w:rsidR="00EE56C0" w:rsidRDefault="000F36A1">
            <w:pPr>
              <w:pStyle w:val="afa"/>
            </w:pPr>
            <w:r>
              <w:rPr>
                <w:rFonts w:hint="eastAsia"/>
              </w:rPr>
              <w:t>公众健康</w:t>
            </w:r>
          </w:p>
        </w:tc>
        <w:tc>
          <w:tcPr>
            <w:tcW w:w="557" w:type="pct"/>
            <w:vAlign w:val="center"/>
          </w:tcPr>
          <w:p w:rsidR="00EE56C0" w:rsidRDefault="000F36A1">
            <w:pPr>
              <w:pStyle w:val="afa"/>
            </w:pPr>
            <w:r>
              <w:rPr>
                <w:rFonts w:hint="eastAsia"/>
              </w:rPr>
              <w:t>-1SP</w:t>
            </w:r>
          </w:p>
        </w:tc>
        <w:tc>
          <w:tcPr>
            <w:tcW w:w="659" w:type="pct"/>
            <w:vAlign w:val="center"/>
          </w:tcPr>
          <w:p w:rsidR="00EE56C0" w:rsidRDefault="00EE56C0">
            <w:pPr>
              <w:pStyle w:val="afa"/>
            </w:pPr>
          </w:p>
        </w:tc>
        <w:tc>
          <w:tcPr>
            <w:tcW w:w="705" w:type="pct"/>
            <w:vAlign w:val="center"/>
          </w:tcPr>
          <w:p w:rsidR="00EE56C0" w:rsidRDefault="000F36A1">
            <w:pPr>
              <w:pStyle w:val="afa"/>
            </w:pPr>
            <w:r>
              <w:rPr>
                <w:rFonts w:hint="eastAsia"/>
              </w:rPr>
              <w:t>-1LP</w:t>
            </w:r>
          </w:p>
        </w:tc>
        <w:tc>
          <w:tcPr>
            <w:tcW w:w="430" w:type="pct"/>
            <w:vAlign w:val="center"/>
          </w:tcPr>
          <w:p w:rsidR="00EE56C0" w:rsidRDefault="00EE56C0">
            <w:pPr>
              <w:pStyle w:val="afa"/>
            </w:pPr>
          </w:p>
        </w:tc>
        <w:tc>
          <w:tcPr>
            <w:tcW w:w="797" w:type="pct"/>
            <w:vAlign w:val="center"/>
          </w:tcPr>
          <w:p w:rsidR="00EE56C0" w:rsidRDefault="000F36A1">
            <w:pPr>
              <w:pStyle w:val="afa"/>
            </w:pPr>
            <w:r>
              <w:rPr>
                <w:rFonts w:hint="eastAsia"/>
              </w:rPr>
              <w:t>-1LP</w:t>
            </w:r>
          </w:p>
        </w:tc>
        <w:tc>
          <w:tcPr>
            <w:tcW w:w="412" w:type="pct"/>
            <w:vAlign w:val="center"/>
          </w:tcPr>
          <w:p w:rsidR="00EE56C0" w:rsidRDefault="00EE56C0">
            <w:pPr>
              <w:pStyle w:val="afa"/>
            </w:pPr>
          </w:p>
        </w:tc>
        <w:tc>
          <w:tcPr>
            <w:tcW w:w="419" w:type="pct"/>
            <w:vAlign w:val="center"/>
          </w:tcPr>
          <w:p w:rsidR="00EE56C0" w:rsidRDefault="00EE56C0">
            <w:pPr>
              <w:pStyle w:val="afa"/>
            </w:pPr>
          </w:p>
        </w:tc>
      </w:tr>
      <w:tr w:rsidR="00EE56C0">
        <w:trPr>
          <w:cantSplit/>
          <w:trHeight w:val="397"/>
          <w:jc w:val="center"/>
        </w:trPr>
        <w:tc>
          <w:tcPr>
            <w:tcW w:w="400" w:type="pct"/>
            <w:vMerge/>
            <w:vAlign w:val="center"/>
          </w:tcPr>
          <w:p w:rsidR="00EE56C0" w:rsidRDefault="00EE56C0">
            <w:pPr>
              <w:pStyle w:val="afa"/>
            </w:pPr>
          </w:p>
        </w:tc>
        <w:tc>
          <w:tcPr>
            <w:tcW w:w="723" w:type="pct"/>
            <w:vAlign w:val="center"/>
          </w:tcPr>
          <w:p w:rsidR="00EE56C0" w:rsidRDefault="000F36A1">
            <w:pPr>
              <w:pStyle w:val="afa"/>
            </w:pPr>
            <w:r>
              <w:rPr>
                <w:rFonts w:hint="eastAsia"/>
              </w:rPr>
              <w:t>生活质量</w:t>
            </w:r>
          </w:p>
        </w:tc>
        <w:tc>
          <w:tcPr>
            <w:tcW w:w="557" w:type="pct"/>
            <w:vAlign w:val="center"/>
          </w:tcPr>
          <w:p w:rsidR="00EE56C0" w:rsidRDefault="00EE56C0">
            <w:pPr>
              <w:pStyle w:val="afa"/>
            </w:pPr>
          </w:p>
        </w:tc>
        <w:tc>
          <w:tcPr>
            <w:tcW w:w="659" w:type="pct"/>
            <w:vAlign w:val="center"/>
          </w:tcPr>
          <w:p w:rsidR="00EE56C0" w:rsidRDefault="00EE56C0">
            <w:pPr>
              <w:pStyle w:val="afa"/>
            </w:pPr>
          </w:p>
        </w:tc>
        <w:tc>
          <w:tcPr>
            <w:tcW w:w="705" w:type="pct"/>
            <w:vAlign w:val="center"/>
          </w:tcPr>
          <w:p w:rsidR="00EE56C0" w:rsidRDefault="000F36A1">
            <w:pPr>
              <w:pStyle w:val="afa"/>
            </w:pPr>
            <w:r>
              <w:rPr>
                <w:rFonts w:hint="eastAsia"/>
              </w:rPr>
              <w:t>-1LP</w:t>
            </w:r>
          </w:p>
        </w:tc>
        <w:tc>
          <w:tcPr>
            <w:tcW w:w="430" w:type="pct"/>
            <w:vAlign w:val="center"/>
          </w:tcPr>
          <w:p w:rsidR="00EE56C0" w:rsidRDefault="00EE56C0">
            <w:pPr>
              <w:pStyle w:val="afa"/>
            </w:pPr>
          </w:p>
        </w:tc>
        <w:tc>
          <w:tcPr>
            <w:tcW w:w="797" w:type="pct"/>
            <w:vAlign w:val="center"/>
          </w:tcPr>
          <w:p w:rsidR="00EE56C0" w:rsidRDefault="000F36A1">
            <w:pPr>
              <w:pStyle w:val="afa"/>
            </w:pPr>
            <w:r>
              <w:rPr>
                <w:rFonts w:hint="eastAsia"/>
              </w:rPr>
              <w:t>-1LP</w:t>
            </w:r>
          </w:p>
        </w:tc>
        <w:tc>
          <w:tcPr>
            <w:tcW w:w="412" w:type="pct"/>
            <w:vAlign w:val="center"/>
          </w:tcPr>
          <w:p w:rsidR="00EE56C0" w:rsidRDefault="00EE56C0">
            <w:pPr>
              <w:pStyle w:val="afa"/>
            </w:pPr>
          </w:p>
        </w:tc>
        <w:tc>
          <w:tcPr>
            <w:tcW w:w="419" w:type="pct"/>
            <w:vAlign w:val="center"/>
          </w:tcPr>
          <w:p w:rsidR="00EE56C0" w:rsidRDefault="00EE56C0">
            <w:pPr>
              <w:pStyle w:val="afa"/>
            </w:pPr>
          </w:p>
        </w:tc>
      </w:tr>
      <w:tr w:rsidR="00EE56C0">
        <w:trPr>
          <w:cantSplit/>
          <w:trHeight w:val="397"/>
          <w:jc w:val="center"/>
        </w:trPr>
        <w:tc>
          <w:tcPr>
            <w:tcW w:w="400" w:type="pct"/>
            <w:vMerge/>
            <w:vAlign w:val="center"/>
          </w:tcPr>
          <w:p w:rsidR="00EE56C0" w:rsidRDefault="00EE56C0">
            <w:pPr>
              <w:pStyle w:val="afa"/>
            </w:pPr>
          </w:p>
        </w:tc>
        <w:tc>
          <w:tcPr>
            <w:tcW w:w="723" w:type="pct"/>
            <w:vAlign w:val="center"/>
          </w:tcPr>
          <w:p w:rsidR="00EE56C0" w:rsidRDefault="000F36A1">
            <w:pPr>
              <w:pStyle w:val="afa"/>
            </w:pPr>
            <w:r>
              <w:rPr>
                <w:rFonts w:hint="eastAsia"/>
              </w:rPr>
              <w:t>就业</w:t>
            </w:r>
          </w:p>
        </w:tc>
        <w:tc>
          <w:tcPr>
            <w:tcW w:w="557" w:type="pct"/>
            <w:vAlign w:val="center"/>
          </w:tcPr>
          <w:p w:rsidR="00EE56C0" w:rsidRDefault="00EE56C0">
            <w:pPr>
              <w:pStyle w:val="afa"/>
            </w:pPr>
          </w:p>
        </w:tc>
        <w:tc>
          <w:tcPr>
            <w:tcW w:w="659" w:type="pct"/>
            <w:vAlign w:val="center"/>
          </w:tcPr>
          <w:p w:rsidR="00EE56C0" w:rsidRDefault="00EE56C0">
            <w:pPr>
              <w:pStyle w:val="afa"/>
            </w:pPr>
          </w:p>
        </w:tc>
        <w:tc>
          <w:tcPr>
            <w:tcW w:w="705" w:type="pct"/>
            <w:vAlign w:val="center"/>
          </w:tcPr>
          <w:p w:rsidR="00EE56C0" w:rsidRDefault="00EE56C0">
            <w:pPr>
              <w:pStyle w:val="afa"/>
            </w:pPr>
          </w:p>
        </w:tc>
        <w:tc>
          <w:tcPr>
            <w:tcW w:w="430" w:type="pct"/>
            <w:vAlign w:val="center"/>
          </w:tcPr>
          <w:p w:rsidR="00EE56C0" w:rsidRDefault="00EE56C0">
            <w:pPr>
              <w:pStyle w:val="afa"/>
            </w:pPr>
          </w:p>
        </w:tc>
        <w:tc>
          <w:tcPr>
            <w:tcW w:w="797" w:type="pct"/>
            <w:vAlign w:val="center"/>
          </w:tcPr>
          <w:p w:rsidR="00EE56C0" w:rsidRDefault="00EE56C0">
            <w:pPr>
              <w:pStyle w:val="afa"/>
            </w:pPr>
          </w:p>
        </w:tc>
        <w:tc>
          <w:tcPr>
            <w:tcW w:w="412" w:type="pct"/>
            <w:vAlign w:val="center"/>
          </w:tcPr>
          <w:p w:rsidR="00EE56C0" w:rsidRDefault="00EE56C0">
            <w:pPr>
              <w:pStyle w:val="afa"/>
            </w:pPr>
          </w:p>
        </w:tc>
        <w:tc>
          <w:tcPr>
            <w:tcW w:w="419" w:type="pct"/>
            <w:vAlign w:val="center"/>
          </w:tcPr>
          <w:p w:rsidR="00EE56C0" w:rsidRDefault="000F36A1">
            <w:pPr>
              <w:pStyle w:val="afa"/>
            </w:pPr>
            <w:r>
              <w:rPr>
                <w:rFonts w:hint="eastAsia"/>
              </w:rPr>
              <w:t>+2LP</w:t>
            </w:r>
          </w:p>
        </w:tc>
      </w:tr>
      <w:tr w:rsidR="00EE56C0">
        <w:trPr>
          <w:cantSplit/>
          <w:trHeight w:val="397"/>
          <w:jc w:val="center"/>
        </w:trPr>
        <w:tc>
          <w:tcPr>
            <w:tcW w:w="5000" w:type="pct"/>
            <w:gridSpan w:val="9"/>
            <w:vAlign w:val="center"/>
          </w:tcPr>
          <w:p w:rsidR="00EE56C0" w:rsidRDefault="000F36A1">
            <w:pPr>
              <w:pStyle w:val="a4"/>
              <w:ind w:firstLine="422"/>
            </w:pPr>
            <w:r>
              <w:rPr>
                <w:rFonts w:hint="eastAsia"/>
              </w:rPr>
              <w:t>备注：影响程度：</w:t>
            </w:r>
            <w:r>
              <w:rPr>
                <w:rFonts w:hint="eastAsia"/>
              </w:rPr>
              <w:t>1-</w:t>
            </w:r>
            <w:r>
              <w:rPr>
                <w:rFonts w:hint="eastAsia"/>
              </w:rPr>
              <w:t>轻微；</w:t>
            </w:r>
            <w:r>
              <w:rPr>
                <w:rFonts w:hint="eastAsia"/>
              </w:rPr>
              <w:t>2-</w:t>
            </w:r>
            <w:r>
              <w:rPr>
                <w:rFonts w:hint="eastAsia"/>
              </w:rPr>
              <w:t>一般；</w:t>
            </w:r>
            <w:r>
              <w:rPr>
                <w:rFonts w:hint="eastAsia"/>
              </w:rPr>
              <w:t>3-</w:t>
            </w:r>
            <w:r>
              <w:rPr>
                <w:rFonts w:hint="eastAsia"/>
              </w:rPr>
              <w:t>显著</w:t>
            </w:r>
            <w:r>
              <w:rPr>
                <w:rFonts w:hint="eastAsia"/>
              </w:rPr>
              <w:t xml:space="preserve">        </w:t>
            </w:r>
            <w:r>
              <w:rPr>
                <w:rFonts w:hint="eastAsia"/>
              </w:rPr>
              <w:t>影响时段：</w:t>
            </w:r>
            <w:r>
              <w:rPr>
                <w:rFonts w:hint="eastAsia"/>
              </w:rPr>
              <w:t>S-</w:t>
            </w:r>
            <w:r>
              <w:rPr>
                <w:rFonts w:hint="eastAsia"/>
              </w:rPr>
              <w:t>短期；</w:t>
            </w:r>
            <w:r>
              <w:rPr>
                <w:rFonts w:hint="eastAsia"/>
              </w:rPr>
              <w:t>L-</w:t>
            </w:r>
            <w:r>
              <w:rPr>
                <w:rFonts w:hint="eastAsia"/>
              </w:rPr>
              <w:t>长期</w:t>
            </w:r>
          </w:p>
          <w:p w:rsidR="00EE56C0" w:rsidRDefault="000F36A1">
            <w:pPr>
              <w:pStyle w:val="a4"/>
              <w:ind w:firstLine="422"/>
            </w:pPr>
            <w:r>
              <w:rPr>
                <w:rFonts w:hint="eastAsia"/>
              </w:rPr>
              <w:t>影响范围：</w:t>
            </w:r>
            <w:r>
              <w:rPr>
                <w:rFonts w:hint="eastAsia"/>
              </w:rPr>
              <w:t>P-</w:t>
            </w:r>
            <w:r>
              <w:rPr>
                <w:rFonts w:hint="eastAsia"/>
              </w:rPr>
              <w:t>局部；</w:t>
            </w:r>
            <w:r>
              <w:rPr>
                <w:rFonts w:hint="eastAsia"/>
              </w:rPr>
              <w:t>W-</w:t>
            </w:r>
            <w:r>
              <w:rPr>
                <w:rFonts w:hint="eastAsia"/>
              </w:rPr>
              <w:t>大范围</w:t>
            </w:r>
            <w:r>
              <w:rPr>
                <w:rFonts w:hint="eastAsia"/>
              </w:rPr>
              <w:t xml:space="preserve">              </w:t>
            </w:r>
            <w:r>
              <w:rPr>
                <w:rFonts w:hint="eastAsia"/>
              </w:rPr>
              <w:t>影响性质：</w:t>
            </w:r>
            <w:r>
              <w:rPr>
                <w:rFonts w:hint="eastAsia"/>
              </w:rPr>
              <w:t>+-</w:t>
            </w:r>
            <w:r>
              <w:rPr>
                <w:rFonts w:hint="eastAsia"/>
              </w:rPr>
              <w:t>有利；</w:t>
            </w:r>
            <w:r>
              <w:rPr>
                <w:rFonts w:hint="eastAsia"/>
              </w:rPr>
              <w:t>--</w:t>
            </w:r>
            <w:r>
              <w:rPr>
                <w:rFonts w:hint="eastAsia"/>
              </w:rPr>
              <w:t>不利</w:t>
            </w:r>
          </w:p>
        </w:tc>
      </w:tr>
    </w:tbl>
    <w:p w:rsidR="00EE56C0" w:rsidRDefault="000F36A1">
      <w:pPr>
        <w:ind w:firstLine="480"/>
      </w:pPr>
      <w:r>
        <w:rPr>
          <w:rFonts w:hint="eastAsia"/>
        </w:rPr>
        <w:t>由表</w:t>
      </w:r>
      <w:r>
        <w:rPr>
          <w:rFonts w:hint="eastAsia"/>
        </w:rPr>
        <w:t>2-1</w:t>
      </w:r>
      <w:r>
        <w:rPr>
          <w:rFonts w:hint="eastAsia"/>
        </w:rPr>
        <w:t>可以看出，本工程在施工期对周围自然环境、社会环境的影响是短期、局部的，工程运行期主要是工程废气、废水对区域环境空气和地表水的不利</w:t>
      </w:r>
      <w:r>
        <w:rPr>
          <w:rFonts w:hint="eastAsia"/>
        </w:rPr>
        <w:lastRenderedPageBreak/>
        <w:t>影响。评价把废气、废水污染控制可行性及可靠性作为重点内容。</w:t>
      </w:r>
    </w:p>
    <w:p w:rsidR="00EE56C0" w:rsidRDefault="000F36A1">
      <w:pPr>
        <w:pStyle w:val="3"/>
        <w:spacing w:before="240" w:after="120"/>
      </w:pPr>
      <w:bookmarkStart w:id="77" w:name="_Toc428287515"/>
      <w:bookmarkStart w:id="78" w:name="_Toc428286769"/>
      <w:bookmarkStart w:id="79" w:name="_Toc428287163"/>
      <w:r>
        <w:rPr>
          <w:rFonts w:hint="eastAsia"/>
        </w:rPr>
        <w:t>2.3.2</w:t>
      </w:r>
      <w:r>
        <w:rPr>
          <w:rFonts w:hint="eastAsia"/>
        </w:rPr>
        <w:t>环境影响因子筛选</w:t>
      </w:r>
      <w:bookmarkEnd w:id="77"/>
      <w:bookmarkEnd w:id="78"/>
      <w:bookmarkEnd w:id="79"/>
    </w:p>
    <w:p w:rsidR="00EE56C0" w:rsidRDefault="000F36A1">
      <w:pPr>
        <w:ind w:firstLine="480"/>
      </w:pPr>
      <w:r>
        <w:t>根据本</w:t>
      </w:r>
      <w:r>
        <w:rPr>
          <w:rFonts w:hint="eastAsia"/>
        </w:rPr>
        <w:t>项目</w:t>
      </w:r>
      <w:r>
        <w:t>污染源分析</w:t>
      </w:r>
      <w:r>
        <w:rPr>
          <w:rFonts w:hint="eastAsia"/>
        </w:rPr>
        <w:t>及</w:t>
      </w:r>
      <w:r>
        <w:t>环境影响因子</w:t>
      </w:r>
      <w:r>
        <w:rPr>
          <w:rFonts w:hint="eastAsia"/>
        </w:rPr>
        <w:t>识别</w:t>
      </w:r>
      <w:r>
        <w:t>，依据国家有关环保标准、规定所列控制指标，并结合项目所处区域环境特征，筛选出本项目评价因子见表</w:t>
      </w:r>
      <w:r>
        <w:rPr>
          <w:rFonts w:hint="eastAsia"/>
        </w:rPr>
        <w:t>2</w:t>
      </w:r>
      <w:r>
        <w:t>-</w:t>
      </w:r>
      <w:r>
        <w:rPr>
          <w:rFonts w:hint="eastAsia"/>
        </w:rPr>
        <w:t>2</w:t>
      </w:r>
      <w:r>
        <w:t>。</w:t>
      </w:r>
    </w:p>
    <w:p w:rsidR="00EE56C0" w:rsidRDefault="000F36A1">
      <w:pPr>
        <w:pStyle w:val="afd"/>
        <w:spacing w:before="120" w:after="120"/>
        <w:ind w:firstLine="482"/>
      </w:pPr>
      <w:r>
        <w:rPr>
          <w:rFonts w:hint="eastAsia"/>
        </w:rPr>
        <w:t>表</w:t>
      </w:r>
      <w:r>
        <w:rPr>
          <w:rFonts w:hint="eastAsia"/>
        </w:rPr>
        <w:t xml:space="preserve">2-2                   </w:t>
      </w:r>
      <w:r>
        <w:t>评价因子一览表</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1102"/>
        <w:gridCol w:w="4818"/>
        <w:gridCol w:w="2608"/>
      </w:tblGrid>
      <w:tr w:rsidR="00EE56C0">
        <w:trPr>
          <w:trHeight w:val="454"/>
          <w:jc w:val="center"/>
        </w:trPr>
        <w:tc>
          <w:tcPr>
            <w:tcW w:w="646" w:type="pct"/>
            <w:vAlign w:val="center"/>
          </w:tcPr>
          <w:p w:rsidR="00EE56C0" w:rsidRDefault="000F36A1">
            <w:pPr>
              <w:pStyle w:val="aff1"/>
              <w:rPr>
                <w:color w:val="auto"/>
              </w:rPr>
            </w:pPr>
            <w:r>
              <w:rPr>
                <w:color w:val="auto"/>
              </w:rPr>
              <w:t>评价要素</w:t>
            </w:r>
          </w:p>
        </w:tc>
        <w:tc>
          <w:tcPr>
            <w:tcW w:w="2825" w:type="pct"/>
            <w:vAlign w:val="center"/>
          </w:tcPr>
          <w:p w:rsidR="00EE56C0" w:rsidRDefault="000F36A1">
            <w:pPr>
              <w:pStyle w:val="aff1"/>
              <w:rPr>
                <w:color w:val="auto"/>
              </w:rPr>
            </w:pPr>
            <w:r>
              <w:rPr>
                <w:color w:val="auto"/>
              </w:rPr>
              <w:t>评价因子</w:t>
            </w:r>
          </w:p>
        </w:tc>
        <w:tc>
          <w:tcPr>
            <w:tcW w:w="1529" w:type="pct"/>
            <w:vAlign w:val="center"/>
          </w:tcPr>
          <w:p w:rsidR="00EE56C0" w:rsidRDefault="000F36A1">
            <w:pPr>
              <w:pStyle w:val="aff1"/>
              <w:rPr>
                <w:color w:val="auto"/>
              </w:rPr>
            </w:pPr>
            <w:r>
              <w:rPr>
                <w:rFonts w:hint="eastAsia"/>
                <w:color w:val="auto"/>
              </w:rPr>
              <w:t>预测因子</w:t>
            </w:r>
          </w:p>
        </w:tc>
      </w:tr>
      <w:tr w:rsidR="00EE56C0">
        <w:trPr>
          <w:trHeight w:val="454"/>
          <w:jc w:val="center"/>
        </w:trPr>
        <w:tc>
          <w:tcPr>
            <w:tcW w:w="646" w:type="pct"/>
            <w:vAlign w:val="center"/>
          </w:tcPr>
          <w:p w:rsidR="00EE56C0" w:rsidRDefault="000F36A1">
            <w:pPr>
              <w:pStyle w:val="afa"/>
            </w:pPr>
            <w:r>
              <w:t>环境空气</w:t>
            </w:r>
          </w:p>
        </w:tc>
        <w:tc>
          <w:tcPr>
            <w:tcW w:w="2825" w:type="pct"/>
            <w:vAlign w:val="center"/>
          </w:tcPr>
          <w:p w:rsidR="00EE56C0" w:rsidRDefault="000F36A1">
            <w:pPr>
              <w:pStyle w:val="afa"/>
            </w:pPr>
            <w:r>
              <w:t>SO</w:t>
            </w:r>
            <w:r>
              <w:rPr>
                <w:vertAlign w:val="subscript"/>
              </w:rPr>
              <w:t>2</w:t>
            </w:r>
            <w:r>
              <w:t>、</w:t>
            </w:r>
            <w:r>
              <w:t>NO</w:t>
            </w:r>
            <w:r>
              <w:rPr>
                <w:vertAlign w:val="subscript"/>
              </w:rPr>
              <w:t>2</w:t>
            </w:r>
            <w:r>
              <w:t>、</w:t>
            </w:r>
            <w:r>
              <w:t>PM</w:t>
            </w:r>
            <w:r>
              <w:rPr>
                <w:vertAlign w:val="subscript"/>
              </w:rPr>
              <w:t>10</w:t>
            </w:r>
            <w:r>
              <w:t>、</w:t>
            </w:r>
            <w:r>
              <w:t>PM</w:t>
            </w:r>
            <w:r>
              <w:rPr>
                <w:rFonts w:hint="eastAsia"/>
                <w:vertAlign w:val="subscript"/>
              </w:rPr>
              <w:t>2.5</w:t>
            </w:r>
            <w:r>
              <w:t>、</w:t>
            </w:r>
            <w:r>
              <w:rPr>
                <w:rFonts w:hint="eastAsia"/>
              </w:rPr>
              <w:t>CO</w:t>
            </w:r>
            <w:r>
              <w:rPr>
                <w:rFonts w:hint="eastAsia"/>
              </w:rPr>
              <w:t>、</w:t>
            </w:r>
            <w:r>
              <w:rPr>
                <w:rFonts w:hint="eastAsia"/>
              </w:rPr>
              <w:t>O</w:t>
            </w:r>
            <w:r>
              <w:rPr>
                <w:rFonts w:hint="eastAsia"/>
                <w:vertAlign w:val="subscript"/>
              </w:rPr>
              <w:t>3</w:t>
            </w:r>
            <w:r>
              <w:rPr>
                <w:rFonts w:hint="eastAsia"/>
              </w:rPr>
              <w:t>、酚、非甲烷总烃、二甲苯、甲苯</w:t>
            </w:r>
            <w:r>
              <w:t>、</w:t>
            </w:r>
            <w:r>
              <w:rPr>
                <w:rFonts w:hint="eastAsia"/>
              </w:rPr>
              <w:t>苯</w:t>
            </w:r>
          </w:p>
        </w:tc>
        <w:tc>
          <w:tcPr>
            <w:tcW w:w="1529" w:type="pct"/>
            <w:vAlign w:val="center"/>
          </w:tcPr>
          <w:p w:rsidR="00EE56C0" w:rsidRDefault="000F36A1">
            <w:pPr>
              <w:pStyle w:val="afa"/>
            </w:pPr>
            <w:r>
              <w:rPr>
                <w:rFonts w:hint="eastAsia"/>
              </w:rPr>
              <w:t>酚、非甲烷总烃、二甲苯、甲苯</w:t>
            </w:r>
            <w:r>
              <w:t>、</w:t>
            </w:r>
            <w:r>
              <w:rPr>
                <w:rFonts w:hint="eastAsia"/>
              </w:rPr>
              <w:t>苯</w:t>
            </w:r>
          </w:p>
        </w:tc>
      </w:tr>
      <w:tr w:rsidR="00EE56C0">
        <w:trPr>
          <w:trHeight w:val="454"/>
          <w:jc w:val="center"/>
        </w:trPr>
        <w:tc>
          <w:tcPr>
            <w:tcW w:w="646" w:type="pct"/>
            <w:vAlign w:val="center"/>
          </w:tcPr>
          <w:p w:rsidR="00EE56C0" w:rsidRDefault="000F36A1">
            <w:pPr>
              <w:pStyle w:val="afa"/>
            </w:pPr>
            <w:r>
              <w:t>声环境</w:t>
            </w:r>
          </w:p>
        </w:tc>
        <w:tc>
          <w:tcPr>
            <w:tcW w:w="2825" w:type="pct"/>
            <w:vAlign w:val="center"/>
          </w:tcPr>
          <w:p w:rsidR="00EE56C0" w:rsidRDefault="000F36A1">
            <w:pPr>
              <w:pStyle w:val="afa"/>
            </w:pPr>
            <w:r>
              <w:t>连续等效</w:t>
            </w:r>
            <w:r>
              <w:t>A</w:t>
            </w:r>
            <w:r>
              <w:t>声级</w:t>
            </w:r>
          </w:p>
        </w:tc>
        <w:tc>
          <w:tcPr>
            <w:tcW w:w="1529" w:type="pct"/>
            <w:vAlign w:val="center"/>
          </w:tcPr>
          <w:p w:rsidR="00EE56C0" w:rsidRDefault="000F36A1">
            <w:pPr>
              <w:pStyle w:val="afa"/>
            </w:pPr>
            <w:r>
              <w:t>连续等效</w:t>
            </w:r>
            <w:r>
              <w:t>A</w:t>
            </w:r>
            <w:r>
              <w:t>声级</w:t>
            </w:r>
          </w:p>
        </w:tc>
      </w:tr>
      <w:tr w:rsidR="00EE56C0">
        <w:trPr>
          <w:trHeight w:val="454"/>
          <w:jc w:val="center"/>
        </w:trPr>
        <w:tc>
          <w:tcPr>
            <w:tcW w:w="646" w:type="pct"/>
            <w:vAlign w:val="center"/>
          </w:tcPr>
          <w:p w:rsidR="00EE56C0" w:rsidRDefault="000F36A1">
            <w:pPr>
              <w:pStyle w:val="afa"/>
            </w:pPr>
            <w:r>
              <w:t>地表水</w:t>
            </w:r>
          </w:p>
        </w:tc>
        <w:tc>
          <w:tcPr>
            <w:tcW w:w="2825" w:type="pct"/>
            <w:vAlign w:val="center"/>
          </w:tcPr>
          <w:p w:rsidR="00EE56C0" w:rsidRDefault="000F36A1">
            <w:pPr>
              <w:pStyle w:val="afa"/>
            </w:pPr>
            <w:r>
              <w:t>COD</w:t>
            </w:r>
            <w:r>
              <w:t>、氨氮</w:t>
            </w:r>
            <w:r>
              <w:rPr>
                <w:rFonts w:hint="eastAsia"/>
              </w:rPr>
              <w:t>、总磷、总氮</w:t>
            </w:r>
          </w:p>
        </w:tc>
        <w:tc>
          <w:tcPr>
            <w:tcW w:w="1529" w:type="pct"/>
            <w:vAlign w:val="center"/>
          </w:tcPr>
          <w:p w:rsidR="00EE56C0" w:rsidRDefault="000F36A1">
            <w:pPr>
              <w:pStyle w:val="afa"/>
            </w:pPr>
            <w:r>
              <w:t>COD</w:t>
            </w:r>
            <w:r>
              <w:t>、氨氮</w:t>
            </w:r>
            <w:r>
              <w:rPr>
                <w:rFonts w:hint="eastAsia"/>
              </w:rPr>
              <w:t>、总磷、总氮</w:t>
            </w:r>
          </w:p>
        </w:tc>
      </w:tr>
      <w:tr w:rsidR="00EE56C0">
        <w:trPr>
          <w:trHeight w:val="454"/>
          <w:jc w:val="center"/>
        </w:trPr>
        <w:tc>
          <w:tcPr>
            <w:tcW w:w="646" w:type="pct"/>
            <w:vAlign w:val="center"/>
          </w:tcPr>
          <w:p w:rsidR="00EE56C0" w:rsidRDefault="000F36A1">
            <w:pPr>
              <w:pStyle w:val="afa"/>
            </w:pPr>
            <w:r>
              <w:t>地下水</w:t>
            </w:r>
          </w:p>
        </w:tc>
        <w:tc>
          <w:tcPr>
            <w:tcW w:w="2825" w:type="pct"/>
            <w:vAlign w:val="center"/>
          </w:tcPr>
          <w:p w:rsidR="00EE56C0" w:rsidRDefault="000F36A1">
            <w:pPr>
              <w:pStyle w:val="afa"/>
            </w:pPr>
            <w:r>
              <w:t>pH</w:t>
            </w:r>
            <w:r>
              <w:rPr>
                <w:rFonts w:hint="eastAsia"/>
              </w:rPr>
              <w:t>、氨氮、硝酸盐、亚硝酸盐、挥发性酚类、氰化物、砷、汞、铬（六价）、总硬度、铅、氟、镉、铁、锰、溶解性总固体、高锰酸盐指数、</w:t>
            </w:r>
            <w:r>
              <w:t>K</w:t>
            </w:r>
            <w:r>
              <w:rPr>
                <w:vertAlign w:val="superscript"/>
              </w:rPr>
              <w:t>+</w:t>
            </w:r>
            <w:r>
              <w:rPr>
                <w:rFonts w:hint="eastAsia"/>
              </w:rPr>
              <w:t>、</w:t>
            </w:r>
            <w:r>
              <w:t>Na</w:t>
            </w:r>
            <w:r>
              <w:rPr>
                <w:vertAlign w:val="superscript"/>
              </w:rPr>
              <w:t>+</w:t>
            </w:r>
            <w:r>
              <w:rPr>
                <w:rFonts w:hint="eastAsia"/>
              </w:rPr>
              <w:t>、</w:t>
            </w:r>
            <w:r>
              <w:t>Ca</w:t>
            </w:r>
            <w:r>
              <w:rPr>
                <w:vertAlign w:val="superscript"/>
              </w:rPr>
              <w:t>2+</w:t>
            </w:r>
            <w:r>
              <w:rPr>
                <w:rFonts w:hint="eastAsia"/>
              </w:rPr>
              <w:t>、</w:t>
            </w:r>
            <w:r>
              <w:t>Mg</w:t>
            </w:r>
            <w:r>
              <w:rPr>
                <w:vertAlign w:val="superscript"/>
              </w:rPr>
              <w:t>+</w:t>
            </w:r>
            <w:r>
              <w:rPr>
                <w:rFonts w:hint="eastAsia"/>
              </w:rPr>
              <w:t>、</w:t>
            </w:r>
            <w:r>
              <w:t>CO3</w:t>
            </w:r>
            <w:r>
              <w:rPr>
                <w:vertAlign w:val="superscript"/>
              </w:rPr>
              <w:t>2-</w:t>
            </w:r>
            <w:r>
              <w:rPr>
                <w:rFonts w:hint="eastAsia"/>
              </w:rPr>
              <w:t>、</w:t>
            </w:r>
            <w:r>
              <w:t>HCO</w:t>
            </w:r>
            <w:r>
              <w:rPr>
                <w:vertAlign w:val="superscript"/>
              </w:rPr>
              <w:t>3-</w:t>
            </w:r>
            <w:r>
              <w:rPr>
                <w:rFonts w:hint="eastAsia"/>
              </w:rPr>
              <w:t>、</w:t>
            </w:r>
            <w:r>
              <w:t>Cl</w:t>
            </w:r>
            <w:r>
              <w:rPr>
                <w:vertAlign w:val="superscript"/>
              </w:rPr>
              <w:t>-</w:t>
            </w:r>
            <w:r>
              <w:rPr>
                <w:rFonts w:hint="eastAsia"/>
              </w:rPr>
              <w:t>、</w:t>
            </w:r>
            <w:r>
              <w:t>SO</w:t>
            </w:r>
            <w:r>
              <w:rPr>
                <w:vertAlign w:val="subscript"/>
              </w:rPr>
              <w:t>4</w:t>
            </w:r>
            <w:r>
              <w:rPr>
                <w:vertAlign w:val="superscript"/>
              </w:rPr>
              <w:t>2-</w:t>
            </w:r>
          </w:p>
        </w:tc>
        <w:tc>
          <w:tcPr>
            <w:tcW w:w="1529" w:type="pct"/>
            <w:vAlign w:val="center"/>
          </w:tcPr>
          <w:p w:rsidR="00EE56C0" w:rsidRDefault="000F36A1">
            <w:pPr>
              <w:pStyle w:val="afa"/>
            </w:pPr>
            <w:r>
              <w:rPr>
                <w:rFonts w:hint="eastAsia"/>
              </w:rPr>
              <w:t>耗氧量、氨氮</w:t>
            </w:r>
          </w:p>
        </w:tc>
      </w:tr>
      <w:tr w:rsidR="00EE56C0">
        <w:trPr>
          <w:trHeight w:val="454"/>
          <w:jc w:val="center"/>
        </w:trPr>
        <w:tc>
          <w:tcPr>
            <w:tcW w:w="646" w:type="pct"/>
            <w:vAlign w:val="center"/>
          </w:tcPr>
          <w:p w:rsidR="00EE56C0" w:rsidRDefault="000F36A1">
            <w:pPr>
              <w:pStyle w:val="afa"/>
            </w:pPr>
            <w:r>
              <w:rPr>
                <w:rFonts w:hint="eastAsia"/>
              </w:rPr>
              <w:t>土壤</w:t>
            </w:r>
          </w:p>
        </w:tc>
        <w:tc>
          <w:tcPr>
            <w:tcW w:w="2825" w:type="pct"/>
            <w:vAlign w:val="center"/>
          </w:tcPr>
          <w:p w:rsidR="00EE56C0" w:rsidRDefault="000F36A1">
            <w:pPr>
              <w:pStyle w:val="afa"/>
            </w:pPr>
            <w:r>
              <w:rPr>
                <w:rFonts w:hint="eastAsia"/>
              </w:rPr>
              <w:t>苯、甲苯、二甲苯、非甲烷总烃、酚、石油烃</w:t>
            </w:r>
          </w:p>
        </w:tc>
        <w:tc>
          <w:tcPr>
            <w:tcW w:w="1529" w:type="pct"/>
            <w:vAlign w:val="center"/>
          </w:tcPr>
          <w:p w:rsidR="00EE56C0" w:rsidRDefault="000F36A1">
            <w:pPr>
              <w:pStyle w:val="afa"/>
            </w:pPr>
            <w:r>
              <w:rPr>
                <w:rFonts w:hint="eastAsia"/>
              </w:rPr>
              <w:t>二甲苯、甲苯、苯、石油烃</w:t>
            </w:r>
          </w:p>
        </w:tc>
      </w:tr>
    </w:tbl>
    <w:p w:rsidR="00EE56C0" w:rsidRDefault="000F36A1">
      <w:pPr>
        <w:pStyle w:val="2"/>
        <w:ind w:firstLine="301"/>
      </w:pPr>
      <w:bookmarkStart w:id="80" w:name="_Toc428286777"/>
      <w:bookmarkStart w:id="81" w:name="_Toc429318384"/>
      <w:bookmarkStart w:id="82" w:name="_Toc25400893"/>
      <w:bookmarkStart w:id="83" w:name="_Toc428287171"/>
      <w:bookmarkStart w:id="84" w:name="_Toc428287165"/>
      <w:bookmarkStart w:id="85" w:name="_Toc428286771"/>
      <w:bookmarkStart w:id="86" w:name="_Toc429318383"/>
      <w:r>
        <w:rPr>
          <w:rFonts w:hint="eastAsia"/>
        </w:rPr>
        <w:t>2.4</w:t>
      </w:r>
      <w:r>
        <w:rPr>
          <w:rFonts w:hint="eastAsia"/>
        </w:rPr>
        <w:t>评价范围</w:t>
      </w:r>
      <w:bookmarkEnd w:id="80"/>
      <w:bookmarkEnd w:id="81"/>
      <w:bookmarkEnd w:id="82"/>
      <w:bookmarkEnd w:id="83"/>
    </w:p>
    <w:p w:rsidR="00EE56C0" w:rsidRDefault="000F36A1">
      <w:pPr>
        <w:ind w:firstLine="480"/>
      </w:pPr>
      <w:r>
        <w:rPr>
          <w:rFonts w:hint="eastAsia"/>
        </w:rPr>
        <w:t>根据评价分级结果，结合工程特点及项目所在区域环境特征，确定各单项环境要素评价范围，具体情况见表</w:t>
      </w:r>
      <w:r>
        <w:rPr>
          <w:rFonts w:hint="eastAsia"/>
        </w:rPr>
        <w:t>2-3</w:t>
      </w:r>
      <w:r>
        <w:rPr>
          <w:rFonts w:hint="eastAsia"/>
        </w:rPr>
        <w:t>。</w:t>
      </w:r>
    </w:p>
    <w:p w:rsidR="00EE56C0" w:rsidRDefault="000F36A1">
      <w:pPr>
        <w:pStyle w:val="afd"/>
        <w:spacing w:before="120" w:after="120"/>
        <w:ind w:firstLine="482"/>
      </w:pPr>
      <w:r>
        <w:rPr>
          <w:rFonts w:hint="eastAsia"/>
        </w:rPr>
        <w:t>表</w:t>
      </w:r>
      <w:r>
        <w:rPr>
          <w:rFonts w:hint="eastAsia"/>
        </w:rPr>
        <w:t xml:space="preserve">2-3               </w:t>
      </w:r>
      <w:r>
        <w:rPr>
          <w:rFonts w:hint="eastAsia"/>
        </w:rPr>
        <w:t>工程各环境要素的评价范围</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740"/>
        <w:gridCol w:w="1718"/>
        <w:gridCol w:w="6070"/>
      </w:tblGrid>
      <w:tr w:rsidR="00EE56C0">
        <w:trPr>
          <w:trHeight w:val="454"/>
          <w:jc w:val="center"/>
        </w:trPr>
        <w:tc>
          <w:tcPr>
            <w:tcW w:w="434" w:type="pct"/>
            <w:vAlign w:val="center"/>
          </w:tcPr>
          <w:p w:rsidR="00EE56C0" w:rsidRDefault="000F36A1">
            <w:pPr>
              <w:pStyle w:val="aff1"/>
              <w:rPr>
                <w:color w:val="auto"/>
              </w:rPr>
            </w:pPr>
            <w:r>
              <w:rPr>
                <w:rFonts w:hint="eastAsia"/>
                <w:color w:val="auto"/>
              </w:rPr>
              <w:t>序号</w:t>
            </w:r>
          </w:p>
        </w:tc>
        <w:tc>
          <w:tcPr>
            <w:tcW w:w="1007" w:type="pct"/>
            <w:vAlign w:val="center"/>
          </w:tcPr>
          <w:p w:rsidR="00EE56C0" w:rsidRDefault="000F36A1">
            <w:pPr>
              <w:pStyle w:val="aff1"/>
              <w:rPr>
                <w:color w:val="auto"/>
              </w:rPr>
            </w:pPr>
            <w:r>
              <w:rPr>
                <w:rFonts w:hint="eastAsia"/>
                <w:color w:val="auto"/>
              </w:rPr>
              <w:t>评价项目</w:t>
            </w:r>
          </w:p>
        </w:tc>
        <w:tc>
          <w:tcPr>
            <w:tcW w:w="3559" w:type="pct"/>
            <w:vAlign w:val="center"/>
          </w:tcPr>
          <w:p w:rsidR="00EE56C0" w:rsidRDefault="000F36A1">
            <w:pPr>
              <w:pStyle w:val="aff1"/>
              <w:rPr>
                <w:color w:val="auto"/>
              </w:rPr>
            </w:pPr>
            <w:r>
              <w:rPr>
                <w:rFonts w:hint="eastAsia"/>
                <w:color w:val="auto"/>
              </w:rPr>
              <w:t>评</w:t>
            </w:r>
            <w:r>
              <w:rPr>
                <w:rFonts w:hint="eastAsia"/>
                <w:color w:val="auto"/>
              </w:rPr>
              <w:t xml:space="preserve"> </w:t>
            </w:r>
            <w:r>
              <w:rPr>
                <w:rFonts w:hint="eastAsia"/>
                <w:color w:val="auto"/>
              </w:rPr>
              <w:t>价</w:t>
            </w:r>
            <w:r>
              <w:rPr>
                <w:rFonts w:hint="eastAsia"/>
                <w:color w:val="auto"/>
              </w:rPr>
              <w:t xml:space="preserve"> </w:t>
            </w:r>
            <w:r>
              <w:rPr>
                <w:rFonts w:hint="eastAsia"/>
                <w:color w:val="auto"/>
              </w:rPr>
              <w:t>范</w:t>
            </w:r>
            <w:r>
              <w:rPr>
                <w:rFonts w:hint="eastAsia"/>
                <w:color w:val="auto"/>
              </w:rPr>
              <w:t xml:space="preserve"> </w:t>
            </w:r>
            <w:r>
              <w:rPr>
                <w:rFonts w:hint="eastAsia"/>
                <w:color w:val="auto"/>
              </w:rPr>
              <w:t>围</w:t>
            </w:r>
          </w:p>
        </w:tc>
      </w:tr>
      <w:tr w:rsidR="00EE56C0">
        <w:trPr>
          <w:trHeight w:val="454"/>
          <w:jc w:val="center"/>
        </w:trPr>
        <w:tc>
          <w:tcPr>
            <w:tcW w:w="434" w:type="pct"/>
            <w:vAlign w:val="center"/>
          </w:tcPr>
          <w:p w:rsidR="00EE56C0" w:rsidRDefault="000F36A1">
            <w:pPr>
              <w:pStyle w:val="afa"/>
            </w:pPr>
            <w:r>
              <w:rPr>
                <w:rFonts w:hint="eastAsia"/>
              </w:rPr>
              <w:t>1</w:t>
            </w:r>
          </w:p>
        </w:tc>
        <w:tc>
          <w:tcPr>
            <w:tcW w:w="1007" w:type="pct"/>
            <w:vAlign w:val="center"/>
          </w:tcPr>
          <w:p w:rsidR="00EE56C0" w:rsidRDefault="000F36A1">
            <w:pPr>
              <w:pStyle w:val="afa"/>
            </w:pPr>
            <w:r>
              <w:rPr>
                <w:rFonts w:hint="eastAsia"/>
              </w:rPr>
              <w:t>地表水环境</w:t>
            </w:r>
          </w:p>
        </w:tc>
        <w:tc>
          <w:tcPr>
            <w:tcW w:w="3559" w:type="pct"/>
            <w:vAlign w:val="center"/>
          </w:tcPr>
          <w:p w:rsidR="00EE56C0" w:rsidRDefault="000F36A1">
            <w:pPr>
              <w:pStyle w:val="afa"/>
            </w:pPr>
            <w:r>
              <w:rPr>
                <w:rFonts w:hint="eastAsia"/>
              </w:rPr>
              <w:t>从水质、水量等方面满足依托新乡县综合污水处理厂可行性分析的要求</w:t>
            </w:r>
          </w:p>
        </w:tc>
      </w:tr>
      <w:tr w:rsidR="00EE56C0">
        <w:trPr>
          <w:trHeight w:val="454"/>
          <w:jc w:val="center"/>
        </w:trPr>
        <w:tc>
          <w:tcPr>
            <w:tcW w:w="434" w:type="pct"/>
            <w:vAlign w:val="center"/>
          </w:tcPr>
          <w:p w:rsidR="00EE56C0" w:rsidRDefault="000F36A1">
            <w:pPr>
              <w:pStyle w:val="afa"/>
            </w:pPr>
            <w:r>
              <w:rPr>
                <w:rFonts w:hint="eastAsia"/>
              </w:rPr>
              <w:t>2</w:t>
            </w:r>
          </w:p>
        </w:tc>
        <w:tc>
          <w:tcPr>
            <w:tcW w:w="1007" w:type="pct"/>
            <w:vAlign w:val="center"/>
          </w:tcPr>
          <w:p w:rsidR="00EE56C0" w:rsidRDefault="000F36A1">
            <w:pPr>
              <w:pStyle w:val="afa"/>
            </w:pPr>
            <w:r>
              <w:rPr>
                <w:rFonts w:hint="eastAsia"/>
              </w:rPr>
              <w:t>环境空气</w:t>
            </w:r>
          </w:p>
        </w:tc>
        <w:tc>
          <w:tcPr>
            <w:tcW w:w="3559" w:type="pct"/>
            <w:vAlign w:val="center"/>
          </w:tcPr>
          <w:p w:rsidR="00EE56C0" w:rsidRDefault="000F36A1">
            <w:pPr>
              <w:pStyle w:val="afa"/>
              <w:rPr>
                <w:highlight w:val="yellow"/>
              </w:rPr>
            </w:pPr>
            <w:r>
              <w:rPr>
                <w:rFonts w:hint="eastAsia"/>
              </w:rPr>
              <w:t>以</w:t>
            </w:r>
            <w:r>
              <w:t>本工程厂址为中心</w:t>
            </w:r>
            <w:r>
              <w:rPr>
                <w:rFonts w:hint="eastAsia"/>
              </w:rPr>
              <w:t>，以厂界外延</w:t>
            </w:r>
            <w:r>
              <w:rPr>
                <w:rFonts w:hint="eastAsia"/>
              </w:rPr>
              <w:t>4000m</w:t>
            </w:r>
            <w:r>
              <w:rPr>
                <w:rFonts w:hint="eastAsia"/>
              </w:rPr>
              <w:t>的区域</w:t>
            </w:r>
          </w:p>
        </w:tc>
      </w:tr>
      <w:tr w:rsidR="00EE56C0">
        <w:trPr>
          <w:trHeight w:val="454"/>
          <w:jc w:val="center"/>
        </w:trPr>
        <w:tc>
          <w:tcPr>
            <w:tcW w:w="434" w:type="pct"/>
            <w:vAlign w:val="center"/>
          </w:tcPr>
          <w:p w:rsidR="00EE56C0" w:rsidRDefault="000F36A1">
            <w:pPr>
              <w:pStyle w:val="afa"/>
            </w:pPr>
            <w:r>
              <w:rPr>
                <w:rFonts w:hint="eastAsia"/>
              </w:rPr>
              <w:t>3</w:t>
            </w:r>
          </w:p>
        </w:tc>
        <w:tc>
          <w:tcPr>
            <w:tcW w:w="1007" w:type="pct"/>
            <w:vAlign w:val="center"/>
          </w:tcPr>
          <w:p w:rsidR="00EE56C0" w:rsidRDefault="000F36A1">
            <w:pPr>
              <w:pStyle w:val="afa"/>
            </w:pPr>
            <w:r>
              <w:rPr>
                <w:rFonts w:hint="eastAsia"/>
              </w:rPr>
              <w:t>地下水环境</w:t>
            </w:r>
          </w:p>
        </w:tc>
        <w:tc>
          <w:tcPr>
            <w:tcW w:w="3559" w:type="pct"/>
            <w:vAlign w:val="center"/>
          </w:tcPr>
          <w:p w:rsidR="00EE56C0" w:rsidRDefault="000F36A1">
            <w:pPr>
              <w:pStyle w:val="afa"/>
              <w:rPr>
                <w:highlight w:val="yellow"/>
              </w:rPr>
            </w:pPr>
            <w:r>
              <w:rPr>
                <w:rFonts w:hint="eastAsia"/>
              </w:rPr>
              <w:t>项目区域浅层地下水，</w:t>
            </w:r>
            <w:r>
              <w:t>评价范围为</w:t>
            </w:r>
            <w:r>
              <w:rPr>
                <w:rFonts w:hint="eastAsia"/>
              </w:rPr>
              <w:t>6</w:t>
            </w:r>
            <w:r>
              <w:t>km</w:t>
            </w:r>
            <w:r>
              <w:rPr>
                <w:vertAlign w:val="superscript"/>
              </w:rPr>
              <w:t>2</w:t>
            </w:r>
            <w:r>
              <w:rPr>
                <w:rFonts w:hint="eastAsia"/>
              </w:rPr>
              <w:t>，上游及两侧各</w:t>
            </w:r>
            <w:r>
              <w:rPr>
                <w:rFonts w:hint="eastAsia"/>
              </w:rPr>
              <w:t>1km</w:t>
            </w:r>
            <w:r>
              <w:rPr>
                <w:rFonts w:hint="eastAsia"/>
              </w:rPr>
              <w:t>，下游</w:t>
            </w:r>
            <w:r>
              <w:rPr>
                <w:rFonts w:hint="eastAsia"/>
              </w:rPr>
              <w:t>2km</w:t>
            </w:r>
          </w:p>
        </w:tc>
      </w:tr>
      <w:tr w:rsidR="00EE56C0">
        <w:trPr>
          <w:trHeight w:val="454"/>
          <w:jc w:val="center"/>
        </w:trPr>
        <w:tc>
          <w:tcPr>
            <w:tcW w:w="434" w:type="pct"/>
            <w:vAlign w:val="center"/>
          </w:tcPr>
          <w:p w:rsidR="00EE56C0" w:rsidRDefault="000F36A1">
            <w:pPr>
              <w:pStyle w:val="afa"/>
            </w:pPr>
            <w:r>
              <w:rPr>
                <w:rFonts w:hint="eastAsia"/>
              </w:rPr>
              <w:t>4</w:t>
            </w:r>
          </w:p>
        </w:tc>
        <w:tc>
          <w:tcPr>
            <w:tcW w:w="1007" w:type="pct"/>
            <w:vAlign w:val="center"/>
          </w:tcPr>
          <w:p w:rsidR="00EE56C0" w:rsidRDefault="000F36A1">
            <w:pPr>
              <w:pStyle w:val="afa"/>
            </w:pPr>
            <w:r>
              <w:rPr>
                <w:rFonts w:hint="eastAsia"/>
              </w:rPr>
              <w:t>声环境</w:t>
            </w:r>
          </w:p>
        </w:tc>
        <w:tc>
          <w:tcPr>
            <w:tcW w:w="3559" w:type="pct"/>
            <w:vAlign w:val="center"/>
          </w:tcPr>
          <w:p w:rsidR="00EE56C0" w:rsidRDefault="000F36A1">
            <w:pPr>
              <w:pStyle w:val="afa"/>
              <w:rPr>
                <w:highlight w:val="yellow"/>
              </w:rPr>
            </w:pPr>
            <w:r>
              <w:rPr>
                <w:rFonts w:hint="eastAsia"/>
              </w:rPr>
              <w:t>厂界外</w:t>
            </w:r>
            <w:r>
              <w:rPr>
                <w:rFonts w:hint="eastAsia"/>
              </w:rPr>
              <w:t>200m</w:t>
            </w:r>
            <w:r>
              <w:rPr>
                <w:rFonts w:hint="eastAsia"/>
              </w:rPr>
              <w:t>范围</w:t>
            </w:r>
          </w:p>
        </w:tc>
      </w:tr>
      <w:tr w:rsidR="00EE56C0">
        <w:trPr>
          <w:trHeight w:val="454"/>
          <w:jc w:val="center"/>
        </w:trPr>
        <w:tc>
          <w:tcPr>
            <w:tcW w:w="434" w:type="pct"/>
            <w:vAlign w:val="center"/>
          </w:tcPr>
          <w:p w:rsidR="00EE56C0" w:rsidRDefault="000F36A1">
            <w:pPr>
              <w:pStyle w:val="afa"/>
            </w:pPr>
            <w:r>
              <w:rPr>
                <w:rFonts w:hint="eastAsia"/>
              </w:rPr>
              <w:t>5</w:t>
            </w:r>
          </w:p>
        </w:tc>
        <w:tc>
          <w:tcPr>
            <w:tcW w:w="1007" w:type="pct"/>
            <w:vAlign w:val="center"/>
          </w:tcPr>
          <w:p w:rsidR="00EE56C0" w:rsidRDefault="000F36A1">
            <w:pPr>
              <w:pStyle w:val="afa"/>
              <w:rPr>
                <w:u w:val="single"/>
              </w:rPr>
            </w:pPr>
            <w:r>
              <w:rPr>
                <w:rFonts w:hint="eastAsia"/>
                <w:u w:val="single"/>
              </w:rPr>
              <w:t>土壤环境</w:t>
            </w:r>
          </w:p>
        </w:tc>
        <w:tc>
          <w:tcPr>
            <w:tcW w:w="3559" w:type="pct"/>
            <w:vAlign w:val="center"/>
          </w:tcPr>
          <w:p w:rsidR="00EE56C0" w:rsidRDefault="000F36A1">
            <w:pPr>
              <w:pStyle w:val="afa"/>
              <w:rPr>
                <w:u w:val="single"/>
              </w:rPr>
            </w:pPr>
            <w:r>
              <w:rPr>
                <w:u w:val="single"/>
              </w:rPr>
              <w:t>项目周边</w:t>
            </w:r>
            <w:r>
              <w:rPr>
                <w:u w:val="single"/>
              </w:rPr>
              <w:t>200m</w:t>
            </w:r>
            <w:r>
              <w:rPr>
                <w:u w:val="single"/>
              </w:rPr>
              <w:t>范围</w:t>
            </w:r>
          </w:p>
        </w:tc>
      </w:tr>
    </w:tbl>
    <w:p w:rsidR="00EE56C0" w:rsidRDefault="000F36A1">
      <w:pPr>
        <w:pStyle w:val="2"/>
        <w:ind w:firstLine="301"/>
      </w:pPr>
      <w:bookmarkStart w:id="87" w:name="_Toc25400894"/>
      <w:r>
        <w:rPr>
          <w:rFonts w:hint="eastAsia"/>
        </w:rPr>
        <w:lastRenderedPageBreak/>
        <w:t>2.5</w:t>
      </w:r>
      <w:r>
        <w:rPr>
          <w:rFonts w:hint="eastAsia"/>
        </w:rPr>
        <w:t>评价等级</w:t>
      </w:r>
      <w:bookmarkEnd w:id="84"/>
      <w:bookmarkEnd w:id="85"/>
      <w:bookmarkEnd w:id="86"/>
      <w:bookmarkEnd w:id="87"/>
    </w:p>
    <w:p w:rsidR="00EE56C0" w:rsidRDefault="000F36A1">
      <w:pPr>
        <w:pStyle w:val="3"/>
        <w:spacing w:before="240" w:after="120"/>
      </w:pPr>
      <w:bookmarkStart w:id="88" w:name="_Toc428286772"/>
      <w:bookmarkStart w:id="89" w:name="_Toc428287166"/>
      <w:bookmarkStart w:id="90" w:name="_Toc428287518"/>
      <w:r>
        <w:rPr>
          <w:rFonts w:hint="eastAsia"/>
        </w:rPr>
        <w:t>2.5.1</w:t>
      </w:r>
      <w:r>
        <w:rPr>
          <w:rFonts w:hint="eastAsia"/>
        </w:rPr>
        <w:t>环境空气评价等级</w:t>
      </w:r>
      <w:bookmarkEnd w:id="88"/>
      <w:bookmarkEnd w:id="89"/>
      <w:bookmarkEnd w:id="90"/>
    </w:p>
    <w:p w:rsidR="00EE56C0" w:rsidRDefault="000F36A1">
      <w:pPr>
        <w:ind w:firstLine="480"/>
      </w:pPr>
      <w:bookmarkStart w:id="91" w:name="_Toc428287167"/>
      <w:bookmarkStart w:id="92" w:name="_Toc428286773"/>
      <w:bookmarkStart w:id="93" w:name="_Toc428287519"/>
      <w:r>
        <w:rPr>
          <w:snapToGrid w:val="0"/>
        </w:rPr>
        <w:t>本次环境空气评价工作等级采用</w:t>
      </w:r>
      <w:r>
        <w:t>《环境影响评价技术导则</w:t>
      </w:r>
      <w:r>
        <w:t xml:space="preserve">  </w:t>
      </w:r>
      <w:r>
        <w:t>大气环境》</w:t>
      </w:r>
      <w:r>
        <w:rPr>
          <w:rFonts w:hint="eastAsia"/>
        </w:rPr>
        <w:t>（</w:t>
      </w:r>
      <w:r>
        <w:t>HJ2.2-20</w:t>
      </w:r>
      <w:r>
        <w:rPr>
          <w:rFonts w:hint="eastAsia"/>
        </w:rPr>
        <w:t>18</w:t>
      </w:r>
      <w:r>
        <w:rPr>
          <w:rFonts w:hint="eastAsia"/>
        </w:rPr>
        <w:t>）</w:t>
      </w:r>
      <w:r>
        <w:t>推荐的估算模式</w:t>
      </w:r>
      <w:r>
        <w:rPr>
          <w:rFonts w:hint="eastAsia"/>
        </w:rPr>
        <w:t>AERSCREEN</w:t>
      </w:r>
      <w:r>
        <w:t>及</w:t>
      </w:r>
      <w:r>
        <w:rPr>
          <w:snapToGrid w:val="0"/>
        </w:rPr>
        <w:t>导则相关规定确定</w:t>
      </w:r>
      <w:r>
        <w:rPr>
          <w:rFonts w:hint="eastAsia"/>
          <w:snapToGrid w:val="0"/>
        </w:rPr>
        <w:t>，</w:t>
      </w:r>
      <w:r>
        <w:rPr>
          <w:rFonts w:hint="eastAsia"/>
        </w:rPr>
        <w:t>根据估算模式计算，本工程大气评价等级为一级，分级判据见下表。</w:t>
      </w:r>
    </w:p>
    <w:p w:rsidR="00EE56C0" w:rsidRDefault="000F36A1">
      <w:pPr>
        <w:pStyle w:val="afd"/>
        <w:spacing w:before="120" w:after="120"/>
        <w:ind w:firstLine="482"/>
      </w:pPr>
      <w:r>
        <w:rPr>
          <w:rFonts w:hint="eastAsia"/>
        </w:rPr>
        <w:t>表</w:t>
      </w:r>
      <w:r>
        <w:rPr>
          <w:rFonts w:hint="eastAsia"/>
        </w:rPr>
        <w:t>2</w:t>
      </w:r>
      <w:r>
        <w:t>-</w:t>
      </w:r>
      <w:r>
        <w:rPr>
          <w:rFonts w:hint="eastAsia"/>
        </w:rPr>
        <w:t xml:space="preserve">4            </w:t>
      </w:r>
      <w:r>
        <w:rPr>
          <w:rFonts w:hint="eastAsia"/>
        </w:rPr>
        <w:t>环境空气分级判据表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1"/>
        <w:gridCol w:w="571"/>
        <w:gridCol w:w="873"/>
        <w:gridCol w:w="1615"/>
        <w:gridCol w:w="1743"/>
        <w:gridCol w:w="1306"/>
        <w:gridCol w:w="860"/>
        <w:gridCol w:w="1039"/>
      </w:tblGrid>
      <w:tr w:rsidR="00EE56C0">
        <w:trPr>
          <w:trHeight w:val="454"/>
        </w:trPr>
        <w:tc>
          <w:tcPr>
            <w:tcW w:w="1152" w:type="pct"/>
            <w:gridSpan w:val="3"/>
            <w:vAlign w:val="center"/>
          </w:tcPr>
          <w:p w:rsidR="00EE56C0" w:rsidRDefault="000F36A1">
            <w:pPr>
              <w:pStyle w:val="afa"/>
              <w:ind w:firstLine="482"/>
              <w:rPr>
                <w:b/>
              </w:rPr>
            </w:pPr>
            <w:r>
              <w:rPr>
                <w:rFonts w:hint="eastAsia"/>
                <w:b/>
              </w:rPr>
              <w:t>项目</w:t>
            </w:r>
          </w:p>
        </w:tc>
        <w:tc>
          <w:tcPr>
            <w:tcW w:w="947" w:type="pct"/>
            <w:vAlign w:val="center"/>
          </w:tcPr>
          <w:p w:rsidR="00EE56C0" w:rsidRDefault="000F36A1">
            <w:pPr>
              <w:pStyle w:val="afa"/>
              <w:rPr>
                <w:b/>
              </w:rPr>
            </w:pPr>
            <w:r>
              <w:rPr>
                <w:rFonts w:hint="eastAsia"/>
                <w:b/>
              </w:rPr>
              <w:t>P</w:t>
            </w:r>
            <w:r>
              <w:rPr>
                <w:rFonts w:hint="eastAsia"/>
                <w:b/>
                <w:vertAlign w:val="subscript"/>
              </w:rPr>
              <w:t>max</w:t>
            </w:r>
            <w:r>
              <w:rPr>
                <w:rFonts w:hint="eastAsia"/>
                <w:b/>
              </w:rPr>
              <w:t>占标率（</w:t>
            </w:r>
            <w:r>
              <w:rPr>
                <w:rFonts w:hint="eastAsia"/>
                <w:b/>
              </w:rPr>
              <w:t>%</w:t>
            </w:r>
            <w:r>
              <w:rPr>
                <w:rFonts w:hint="eastAsia"/>
                <w:b/>
              </w:rPr>
              <w:t>）</w:t>
            </w:r>
          </w:p>
        </w:tc>
        <w:tc>
          <w:tcPr>
            <w:tcW w:w="1022" w:type="pct"/>
            <w:vAlign w:val="center"/>
          </w:tcPr>
          <w:p w:rsidR="00EE56C0" w:rsidRDefault="000F36A1">
            <w:pPr>
              <w:pStyle w:val="afa"/>
              <w:rPr>
                <w:b/>
              </w:rPr>
            </w:pPr>
            <w:r>
              <w:rPr>
                <w:rFonts w:hint="eastAsia"/>
                <w:b/>
              </w:rPr>
              <w:t>D</w:t>
            </w:r>
            <w:r>
              <w:rPr>
                <w:rFonts w:hint="eastAsia"/>
                <w:b/>
                <w:vertAlign w:val="subscript"/>
              </w:rPr>
              <w:t>10%</w:t>
            </w:r>
            <w:r>
              <w:rPr>
                <w:rFonts w:hint="eastAsia"/>
                <w:b/>
              </w:rPr>
              <w:t>(m)</w:t>
            </w:r>
          </w:p>
        </w:tc>
        <w:tc>
          <w:tcPr>
            <w:tcW w:w="766" w:type="pct"/>
            <w:vAlign w:val="center"/>
          </w:tcPr>
          <w:p w:rsidR="00EE56C0" w:rsidRDefault="000F36A1">
            <w:pPr>
              <w:pStyle w:val="afa"/>
              <w:rPr>
                <w:b/>
              </w:rPr>
            </w:pPr>
            <w:r>
              <w:rPr>
                <w:rFonts w:hint="eastAsia"/>
                <w:b/>
              </w:rPr>
              <w:t>分级判据</w:t>
            </w:r>
          </w:p>
        </w:tc>
        <w:tc>
          <w:tcPr>
            <w:tcW w:w="1113" w:type="pct"/>
            <w:gridSpan w:val="2"/>
            <w:vAlign w:val="center"/>
          </w:tcPr>
          <w:p w:rsidR="00EE56C0" w:rsidRDefault="000F36A1">
            <w:pPr>
              <w:pStyle w:val="afa"/>
              <w:rPr>
                <w:b/>
              </w:rPr>
            </w:pPr>
            <w:r>
              <w:rPr>
                <w:b/>
              </w:rPr>
              <w:t>评价等级</w:t>
            </w:r>
          </w:p>
        </w:tc>
      </w:tr>
      <w:tr w:rsidR="00EE56C0">
        <w:trPr>
          <w:trHeight w:val="454"/>
        </w:trPr>
        <w:tc>
          <w:tcPr>
            <w:tcW w:w="305" w:type="pct"/>
            <w:vMerge w:val="restart"/>
            <w:vAlign w:val="center"/>
          </w:tcPr>
          <w:p w:rsidR="00EE56C0" w:rsidRDefault="000F36A1">
            <w:pPr>
              <w:pStyle w:val="afa"/>
            </w:pPr>
            <w:r>
              <w:rPr>
                <w:rFonts w:hint="eastAsia"/>
              </w:rPr>
              <w:t>有组织</w:t>
            </w:r>
          </w:p>
        </w:tc>
        <w:tc>
          <w:tcPr>
            <w:tcW w:w="335" w:type="pct"/>
            <w:vMerge w:val="restart"/>
            <w:vAlign w:val="center"/>
          </w:tcPr>
          <w:p w:rsidR="00EE56C0" w:rsidRDefault="008660AC">
            <w:pPr>
              <w:pStyle w:val="afa"/>
            </w:pPr>
            <w:r>
              <w:rPr>
                <w:rFonts w:hint="eastAsia"/>
              </w:rPr>
              <w:t>排气筒</w:t>
            </w:r>
          </w:p>
        </w:tc>
        <w:tc>
          <w:tcPr>
            <w:tcW w:w="512" w:type="pct"/>
            <w:vAlign w:val="center"/>
          </w:tcPr>
          <w:p w:rsidR="00EE56C0" w:rsidRDefault="000F36A1">
            <w:pPr>
              <w:pStyle w:val="afa"/>
            </w:pPr>
            <w:r>
              <w:rPr>
                <w:rFonts w:hint="eastAsia"/>
              </w:rPr>
              <w:t>酚</w:t>
            </w:r>
          </w:p>
        </w:tc>
        <w:tc>
          <w:tcPr>
            <w:tcW w:w="947" w:type="pct"/>
            <w:vAlign w:val="center"/>
          </w:tcPr>
          <w:p w:rsidR="00EE56C0" w:rsidRDefault="000F36A1">
            <w:pPr>
              <w:pStyle w:val="afa"/>
            </w:pPr>
            <w:r>
              <w:rPr>
                <w:rFonts w:hint="eastAsia"/>
              </w:rPr>
              <w:t>11.89</w:t>
            </w:r>
          </w:p>
        </w:tc>
        <w:tc>
          <w:tcPr>
            <w:tcW w:w="1022" w:type="pct"/>
            <w:vAlign w:val="center"/>
          </w:tcPr>
          <w:p w:rsidR="00EE56C0" w:rsidRDefault="000F36A1">
            <w:pPr>
              <w:pStyle w:val="afa"/>
            </w:pPr>
            <w:r>
              <w:rPr>
                <w:rFonts w:hint="eastAsia"/>
              </w:rPr>
              <w:t>350</w:t>
            </w:r>
          </w:p>
        </w:tc>
        <w:tc>
          <w:tcPr>
            <w:tcW w:w="766" w:type="pct"/>
            <w:vMerge w:val="restart"/>
            <w:vAlign w:val="center"/>
          </w:tcPr>
          <w:p w:rsidR="00EE56C0" w:rsidRDefault="000F36A1">
            <w:pPr>
              <w:pStyle w:val="afa"/>
            </w:pPr>
            <w:r>
              <w:rPr>
                <w:rFonts w:hint="eastAsia"/>
              </w:rPr>
              <w:t>P</w:t>
            </w:r>
            <w:r>
              <w:rPr>
                <w:rFonts w:hint="eastAsia"/>
                <w:vertAlign w:val="subscript"/>
              </w:rPr>
              <w:t>max</w:t>
            </w:r>
            <w:r>
              <w:rPr>
                <w:rFonts w:asciiTheme="minorEastAsia" w:hAnsiTheme="minorEastAsia" w:hint="eastAsia"/>
              </w:rPr>
              <w:t>＞</w:t>
            </w:r>
            <w:r>
              <w:rPr>
                <w:rFonts w:hint="eastAsia"/>
              </w:rPr>
              <w:t>10%</w:t>
            </w:r>
          </w:p>
        </w:tc>
        <w:tc>
          <w:tcPr>
            <w:tcW w:w="504" w:type="pct"/>
            <w:vMerge w:val="restart"/>
            <w:vAlign w:val="center"/>
          </w:tcPr>
          <w:p w:rsidR="00EE56C0" w:rsidRDefault="000F36A1">
            <w:pPr>
              <w:pStyle w:val="afa"/>
            </w:pPr>
            <w:r>
              <w:rPr>
                <w:rFonts w:hint="eastAsia"/>
              </w:rPr>
              <w:t>一</w:t>
            </w:r>
            <w:r>
              <w:t>级</w:t>
            </w:r>
          </w:p>
        </w:tc>
        <w:tc>
          <w:tcPr>
            <w:tcW w:w="609" w:type="pct"/>
            <w:vMerge w:val="restart"/>
            <w:vAlign w:val="center"/>
          </w:tcPr>
          <w:p w:rsidR="00EE56C0" w:rsidRDefault="000F36A1">
            <w:pPr>
              <w:pStyle w:val="afa"/>
            </w:pPr>
            <w:r>
              <w:rPr>
                <w:rFonts w:hint="eastAsia"/>
              </w:rPr>
              <w:t>一</w:t>
            </w:r>
            <w:r>
              <w:t xml:space="preserve"> </w:t>
            </w:r>
            <w:r>
              <w:t>级</w:t>
            </w:r>
          </w:p>
        </w:tc>
      </w:tr>
      <w:tr w:rsidR="00EE56C0">
        <w:trPr>
          <w:trHeight w:val="454"/>
        </w:trPr>
        <w:tc>
          <w:tcPr>
            <w:tcW w:w="305" w:type="pct"/>
            <w:vMerge/>
            <w:vAlign w:val="center"/>
          </w:tcPr>
          <w:p w:rsidR="00EE56C0" w:rsidRDefault="00EE56C0">
            <w:pPr>
              <w:pStyle w:val="afa"/>
            </w:pPr>
          </w:p>
        </w:tc>
        <w:tc>
          <w:tcPr>
            <w:tcW w:w="335" w:type="pct"/>
            <w:vMerge/>
            <w:vAlign w:val="center"/>
          </w:tcPr>
          <w:p w:rsidR="00EE56C0" w:rsidRDefault="00EE56C0">
            <w:pPr>
              <w:pStyle w:val="afa"/>
            </w:pPr>
          </w:p>
        </w:tc>
        <w:tc>
          <w:tcPr>
            <w:tcW w:w="512" w:type="pct"/>
            <w:vAlign w:val="center"/>
          </w:tcPr>
          <w:p w:rsidR="00EE56C0" w:rsidRDefault="000F36A1">
            <w:pPr>
              <w:pStyle w:val="afa"/>
            </w:pPr>
            <w:r>
              <w:rPr>
                <w:rFonts w:hint="eastAsia"/>
              </w:rPr>
              <w:t>非甲烷总烃</w:t>
            </w:r>
          </w:p>
        </w:tc>
        <w:tc>
          <w:tcPr>
            <w:tcW w:w="947" w:type="pct"/>
            <w:vAlign w:val="center"/>
          </w:tcPr>
          <w:p w:rsidR="00EE56C0" w:rsidRDefault="000F36A1">
            <w:pPr>
              <w:pStyle w:val="afa"/>
            </w:pPr>
            <w:r>
              <w:rPr>
                <w:rFonts w:hint="eastAsia"/>
              </w:rPr>
              <w:t>0.62</w:t>
            </w:r>
          </w:p>
        </w:tc>
        <w:tc>
          <w:tcPr>
            <w:tcW w:w="1022" w:type="pct"/>
            <w:vAlign w:val="center"/>
          </w:tcPr>
          <w:p w:rsidR="00EE56C0" w:rsidRDefault="000F36A1">
            <w:pPr>
              <w:pStyle w:val="afa"/>
            </w:pPr>
            <w:r>
              <w:rPr>
                <w:rFonts w:hint="eastAsia"/>
              </w:rPr>
              <w:t>0</w:t>
            </w:r>
          </w:p>
        </w:tc>
        <w:tc>
          <w:tcPr>
            <w:tcW w:w="766" w:type="pct"/>
            <w:vMerge/>
            <w:vAlign w:val="center"/>
          </w:tcPr>
          <w:p w:rsidR="00EE56C0" w:rsidRDefault="00EE56C0">
            <w:pPr>
              <w:pStyle w:val="afa"/>
            </w:pPr>
          </w:p>
        </w:tc>
        <w:tc>
          <w:tcPr>
            <w:tcW w:w="504" w:type="pct"/>
            <w:vMerge/>
            <w:vAlign w:val="center"/>
          </w:tcPr>
          <w:p w:rsidR="00EE56C0" w:rsidRDefault="00EE56C0">
            <w:pPr>
              <w:pStyle w:val="afa"/>
            </w:pPr>
          </w:p>
        </w:tc>
        <w:tc>
          <w:tcPr>
            <w:tcW w:w="609" w:type="pct"/>
            <w:vMerge/>
            <w:vAlign w:val="center"/>
          </w:tcPr>
          <w:p w:rsidR="00EE56C0" w:rsidRDefault="00EE56C0">
            <w:pPr>
              <w:pStyle w:val="afa"/>
            </w:pPr>
          </w:p>
        </w:tc>
      </w:tr>
      <w:tr w:rsidR="00EE56C0">
        <w:trPr>
          <w:trHeight w:val="454"/>
        </w:trPr>
        <w:tc>
          <w:tcPr>
            <w:tcW w:w="305" w:type="pct"/>
            <w:vMerge/>
            <w:vAlign w:val="center"/>
          </w:tcPr>
          <w:p w:rsidR="00EE56C0" w:rsidRDefault="00EE56C0">
            <w:pPr>
              <w:pStyle w:val="afa"/>
            </w:pPr>
          </w:p>
        </w:tc>
        <w:tc>
          <w:tcPr>
            <w:tcW w:w="335" w:type="pct"/>
            <w:vMerge/>
            <w:vAlign w:val="center"/>
          </w:tcPr>
          <w:p w:rsidR="00EE56C0" w:rsidRDefault="00EE56C0">
            <w:pPr>
              <w:pStyle w:val="afa"/>
            </w:pPr>
          </w:p>
        </w:tc>
        <w:tc>
          <w:tcPr>
            <w:tcW w:w="512" w:type="pct"/>
            <w:vAlign w:val="center"/>
          </w:tcPr>
          <w:p w:rsidR="00EE56C0" w:rsidRDefault="000F36A1">
            <w:pPr>
              <w:pStyle w:val="afa"/>
            </w:pPr>
            <w:r>
              <w:rPr>
                <w:rFonts w:hint="eastAsia"/>
              </w:rPr>
              <w:t>二甲苯</w:t>
            </w:r>
          </w:p>
        </w:tc>
        <w:tc>
          <w:tcPr>
            <w:tcW w:w="947" w:type="pct"/>
            <w:vAlign w:val="center"/>
          </w:tcPr>
          <w:p w:rsidR="00EE56C0" w:rsidRDefault="000F36A1">
            <w:pPr>
              <w:pStyle w:val="afa"/>
            </w:pPr>
            <w:r>
              <w:rPr>
                <w:rFonts w:hint="eastAsia"/>
              </w:rPr>
              <w:t>8.65</w:t>
            </w:r>
          </w:p>
        </w:tc>
        <w:tc>
          <w:tcPr>
            <w:tcW w:w="1022" w:type="pct"/>
            <w:vAlign w:val="center"/>
          </w:tcPr>
          <w:p w:rsidR="00EE56C0" w:rsidRDefault="000F36A1">
            <w:pPr>
              <w:pStyle w:val="afa"/>
            </w:pPr>
            <w:r>
              <w:rPr>
                <w:rFonts w:hint="eastAsia"/>
              </w:rPr>
              <w:t>0</w:t>
            </w:r>
          </w:p>
        </w:tc>
        <w:tc>
          <w:tcPr>
            <w:tcW w:w="766" w:type="pct"/>
            <w:vMerge/>
            <w:vAlign w:val="center"/>
          </w:tcPr>
          <w:p w:rsidR="00EE56C0" w:rsidRDefault="00EE56C0">
            <w:pPr>
              <w:pStyle w:val="afa"/>
            </w:pPr>
          </w:p>
        </w:tc>
        <w:tc>
          <w:tcPr>
            <w:tcW w:w="504" w:type="pct"/>
            <w:vMerge/>
            <w:vAlign w:val="center"/>
          </w:tcPr>
          <w:p w:rsidR="00EE56C0" w:rsidRDefault="00EE56C0">
            <w:pPr>
              <w:pStyle w:val="afa"/>
            </w:pPr>
          </w:p>
        </w:tc>
        <w:tc>
          <w:tcPr>
            <w:tcW w:w="609" w:type="pct"/>
            <w:vMerge/>
            <w:vAlign w:val="center"/>
          </w:tcPr>
          <w:p w:rsidR="00EE56C0" w:rsidRDefault="00EE56C0">
            <w:pPr>
              <w:pStyle w:val="afa"/>
            </w:pPr>
          </w:p>
        </w:tc>
      </w:tr>
      <w:tr w:rsidR="00EE56C0">
        <w:trPr>
          <w:trHeight w:val="454"/>
        </w:trPr>
        <w:tc>
          <w:tcPr>
            <w:tcW w:w="305" w:type="pct"/>
            <w:vMerge/>
            <w:vAlign w:val="center"/>
          </w:tcPr>
          <w:p w:rsidR="00EE56C0" w:rsidRDefault="00EE56C0">
            <w:pPr>
              <w:pStyle w:val="afa"/>
            </w:pPr>
          </w:p>
        </w:tc>
        <w:tc>
          <w:tcPr>
            <w:tcW w:w="335" w:type="pct"/>
            <w:vMerge/>
            <w:vAlign w:val="center"/>
          </w:tcPr>
          <w:p w:rsidR="00EE56C0" w:rsidRDefault="00EE56C0">
            <w:pPr>
              <w:pStyle w:val="afa"/>
            </w:pPr>
          </w:p>
        </w:tc>
        <w:tc>
          <w:tcPr>
            <w:tcW w:w="512" w:type="pct"/>
            <w:vAlign w:val="center"/>
          </w:tcPr>
          <w:p w:rsidR="00EE56C0" w:rsidRDefault="000F36A1">
            <w:pPr>
              <w:pStyle w:val="afa"/>
            </w:pPr>
            <w:r>
              <w:rPr>
                <w:rFonts w:hint="eastAsia"/>
              </w:rPr>
              <w:t>甲苯</w:t>
            </w:r>
          </w:p>
        </w:tc>
        <w:tc>
          <w:tcPr>
            <w:tcW w:w="947" w:type="pct"/>
            <w:vAlign w:val="center"/>
          </w:tcPr>
          <w:p w:rsidR="00EE56C0" w:rsidRDefault="000F36A1">
            <w:pPr>
              <w:pStyle w:val="afa"/>
            </w:pPr>
            <w:r>
              <w:rPr>
                <w:rFonts w:hint="eastAsia"/>
              </w:rPr>
              <w:t>4.12</w:t>
            </w:r>
          </w:p>
        </w:tc>
        <w:tc>
          <w:tcPr>
            <w:tcW w:w="1022" w:type="pct"/>
            <w:vAlign w:val="center"/>
          </w:tcPr>
          <w:p w:rsidR="00EE56C0" w:rsidRDefault="000F36A1">
            <w:pPr>
              <w:pStyle w:val="afa"/>
            </w:pPr>
            <w:r>
              <w:rPr>
                <w:rFonts w:hint="eastAsia"/>
              </w:rPr>
              <w:t>0</w:t>
            </w:r>
          </w:p>
        </w:tc>
        <w:tc>
          <w:tcPr>
            <w:tcW w:w="766" w:type="pct"/>
            <w:vMerge/>
            <w:vAlign w:val="center"/>
          </w:tcPr>
          <w:p w:rsidR="00EE56C0" w:rsidRDefault="00EE56C0">
            <w:pPr>
              <w:pStyle w:val="afa"/>
            </w:pPr>
          </w:p>
        </w:tc>
        <w:tc>
          <w:tcPr>
            <w:tcW w:w="504" w:type="pct"/>
            <w:vMerge/>
            <w:vAlign w:val="center"/>
          </w:tcPr>
          <w:p w:rsidR="00EE56C0" w:rsidRDefault="00EE56C0">
            <w:pPr>
              <w:pStyle w:val="afa"/>
            </w:pPr>
          </w:p>
        </w:tc>
        <w:tc>
          <w:tcPr>
            <w:tcW w:w="609" w:type="pct"/>
            <w:vMerge/>
            <w:vAlign w:val="center"/>
          </w:tcPr>
          <w:p w:rsidR="00EE56C0" w:rsidRDefault="00EE56C0">
            <w:pPr>
              <w:pStyle w:val="afa"/>
            </w:pPr>
          </w:p>
        </w:tc>
      </w:tr>
      <w:tr w:rsidR="00EE56C0">
        <w:trPr>
          <w:trHeight w:val="454"/>
        </w:trPr>
        <w:tc>
          <w:tcPr>
            <w:tcW w:w="305" w:type="pct"/>
            <w:vMerge/>
            <w:vAlign w:val="center"/>
          </w:tcPr>
          <w:p w:rsidR="00EE56C0" w:rsidRDefault="00EE56C0">
            <w:pPr>
              <w:pStyle w:val="afa"/>
            </w:pPr>
          </w:p>
        </w:tc>
        <w:tc>
          <w:tcPr>
            <w:tcW w:w="335" w:type="pct"/>
            <w:vMerge/>
            <w:vAlign w:val="center"/>
          </w:tcPr>
          <w:p w:rsidR="00EE56C0" w:rsidRDefault="00EE56C0">
            <w:pPr>
              <w:pStyle w:val="afa"/>
            </w:pPr>
          </w:p>
        </w:tc>
        <w:tc>
          <w:tcPr>
            <w:tcW w:w="512" w:type="pct"/>
            <w:vAlign w:val="center"/>
          </w:tcPr>
          <w:p w:rsidR="00EE56C0" w:rsidRDefault="000F36A1">
            <w:pPr>
              <w:pStyle w:val="afa"/>
            </w:pPr>
            <w:r>
              <w:rPr>
                <w:rFonts w:hint="eastAsia"/>
              </w:rPr>
              <w:t>苯</w:t>
            </w:r>
          </w:p>
        </w:tc>
        <w:tc>
          <w:tcPr>
            <w:tcW w:w="947" w:type="pct"/>
            <w:vAlign w:val="center"/>
          </w:tcPr>
          <w:p w:rsidR="00EE56C0" w:rsidRDefault="000F36A1">
            <w:pPr>
              <w:pStyle w:val="afa"/>
            </w:pPr>
            <w:r>
              <w:rPr>
                <w:rFonts w:hint="eastAsia"/>
              </w:rPr>
              <w:t>0.83</w:t>
            </w:r>
          </w:p>
        </w:tc>
        <w:tc>
          <w:tcPr>
            <w:tcW w:w="1022" w:type="pct"/>
            <w:vAlign w:val="center"/>
          </w:tcPr>
          <w:p w:rsidR="00EE56C0" w:rsidRDefault="000F36A1">
            <w:pPr>
              <w:pStyle w:val="afa"/>
            </w:pPr>
            <w:r>
              <w:rPr>
                <w:rFonts w:hint="eastAsia"/>
              </w:rPr>
              <w:t>0</w:t>
            </w:r>
          </w:p>
        </w:tc>
        <w:tc>
          <w:tcPr>
            <w:tcW w:w="766" w:type="pct"/>
            <w:vMerge/>
            <w:vAlign w:val="center"/>
          </w:tcPr>
          <w:p w:rsidR="00EE56C0" w:rsidRDefault="00EE56C0">
            <w:pPr>
              <w:pStyle w:val="afa"/>
            </w:pPr>
          </w:p>
        </w:tc>
        <w:tc>
          <w:tcPr>
            <w:tcW w:w="504" w:type="pct"/>
            <w:vMerge/>
            <w:vAlign w:val="center"/>
          </w:tcPr>
          <w:p w:rsidR="00EE56C0" w:rsidRDefault="00EE56C0">
            <w:pPr>
              <w:pStyle w:val="afa"/>
            </w:pPr>
          </w:p>
        </w:tc>
        <w:tc>
          <w:tcPr>
            <w:tcW w:w="609" w:type="pct"/>
            <w:vMerge/>
            <w:vAlign w:val="center"/>
          </w:tcPr>
          <w:p w:rsidR="00EE56C0" w:rsidRDefault="00EE56C0">
            <w:pPr>
              <w:pStyle w:val="afa"/>
            </w:pPr>
          </w:p>
        </w:tc>
      </w:tr>
      <w:tr w:rsidR="00EE56C0">
        <w:trPr>
          <w:trHeight w:val="454"/>
        </w:trPr>
        <w:tc>
          <w:tcPr>
            <w:tcW w:w="305" w:type="pct"/>
            <w:vMerge w:val="restart"/>
            <w:vAlign w:val="center"/>
          </w:tcPr>
          <w:p w:rsidR="00EE56C0" w:rsidRDefault="000F36A1">
            <w:pPr>
              <w:pStyle w:val="afa"/>
            </w:pPr>
            <w:r>
              <w:rPr>
                <w:rFonts w:hint="eastAsia"/>
              </w:rPr>
              <w:t>无组织</w:t>
            </w:r>
          </w:p>
        </w:tc>
        <w:tc>
          <w:tcPr>
            <w:tcW w:w="335" w:type="pct"/>
            <w:vMerge w:val="restart"/>
            <w:vAlign w:val="center"/>
          </w:tcPr>
          <w:p w:rsidR="00EE56C0" w:rsidRDefault="000F36A1">
            <w:pPr>
              <w:pStyle w:val="afa"/>
            </w:pPr>
            <w:r>
              <w:rPr>
                <w:rFonts w:hint="eastAsia"/>
              </w:rPr>
              <w:t>全厂</w:t>
            </w:r>
          </w:p>
        </w:tc>
        <w:tc>
          <w:tcPr>
            <w:tcW w:w="512" w:type="pct"/>
            <w:vAlign w:val="center"/>
          </w:tcPr>
          <w:p w:rsidR="00EE56C0" w:rsidRDefault="000F36A1">
            <w:pPr>
              <w:pStyle w:val="afa"/>
              <w:rPr>
                <w:u w:val="single"/>
              </w:rPr>
            </w:pPr>
            <w:r>
              <w:rPr>
                <w:rFonts w:hint="eastAsia"/>
                <w:u w:val="single"/>
              </w:rPr>
              <w:t>酚</w:t>
            </w:r>
          </w:p>
        </w:tc>
        <w:tc>
          <w:tcPr>
            <w:tcW w:w="947" w:type="pct"/>
            <w:vAlign w:val="center"/>
          </w:tcPr>
          <w:p w:rsidR="00EE56C0" w:rsidRDefault="000F36A1">
            <w:pPr>
              <w:pStyle w:val="afa"/>
              <w:rPr>
                <w:u w:val="single"/>
              </w:rPr>
            </w:pPr>
            <w:r>
              <w:rPr>
                <w:rFonts w:hint="eastAsia"/>
                <w:u w:val="single"/>
              </w:rPr>
              <w:t>64.2</w:t>
            </w:r>
          </w:p>
        </w:tc>
        <w:tc>
          <w:tcPr>
            <w:tcW w:w="1022" w:type="pct"/>
            <w:vAlign w:val="center"/>
          </w:tcPr>
          <w:p w:rsidR="00EE56C0" w:rsidRDefault="000F36A1">
            <w:pPr>
              <w:pStyle w:val="afa"/>
              <w:rPr>
                <w:u w:val="single"/>
              </w:rPr>
            </w:pPr>
            <w:r>
              <w:rPr>
                <w:rFonts w:hint="eastAsia"/>
                <w:u w:val="single"/>
              </w:rPr>
              <w:t>3675</w:t>
            </w:r>
          </w:p>
        </w:tc>
        <w:tc>
          <w:tcPr>
            <w:tcW w:w="766" w:type="pct"/>
            <w:vMerge w:val="restart"/>
            <w:vAlign w:val="center"/>
          </w:tcPr>
          <w:p w:rsidR="00EE56C0" w:rsidRDefault="000F36A1">
            <w:pPr>
              <w:pStyle w:val="afa"/>
            </w:pPr>
            <w:r>
              <w:rPr>
                <w:rFonts w:hint="eastAsia"/>
              </w:rPr>
              <w:t>P</w:t>
            </w:r>
            <w:r>
              <w:rPr>
                <w:rFonts w:hint="eastAsia"/>
                <w:vertAlign w:val="subscript"/>
              </w:rPr>
              <w:t>max</w:t>
            </w:r>
            <w:r>
              <w:rPr>
                <w:rFonts w:asciiTheme="minorEastAsia" w:hAnsiTheme="minorEastAsia" w:hint="eastAsia"/>
              </w:rPr>
              <w:t>＞</w:t>
            </w:r>
            <w:r>
              <w:rPr>
                <w:rFonts w:hint="eastAsia"/>
              </w:rPr>
              <w:t>10%</w:t>
            </w:r>
          </w:p>
        </w:tc>
        <w:tc>
          <w:tcPr>
            <w:tcW w:w="504" w:type="pct"/>
            <w:vMerge w:val="restart"/>
            <w:vAlign w:val="center"/>
          </w:tcPr>
          <w:p w:rsidR="00EE56C0" w:rsidRDefault="000F36A1">
            <w:pPr>
              <w:pStyle w:val="afa"/>
            </w:pPr>
            <w:r>
              <w:rPr>
                <w:rFonts w:hint="eastAsia"/>
              </w:rPr>
              <w:t>一</w:t>
            </w:r>
            <w:r>
              <w:t>级</w:t>
            </w:r>
          </w:p>
        </w:tc>
        <w:tc>
          <w:tcPr>
            <w:tcW w:w="609" w:type="pct"/>
            <w:vMerge/>
            <w:vAlign w:val="center"/>
          </w:tcPr>
          <w:p w:rsidR="00EE56C0" w:rsidRDefault="00EE56C0">
            <w:pPr>
              <w:pStyle w:val="afa"/>
            </w:pPr>
          </w:p>
        </w:tc>
      </w:tr>
      <w:tr w:rsidR="00EE56C0">
        <w:trPr>
          <w:trHeight w:val="454"/>
        </w:trPr>
        <w:tc>
          <w:tcPr>
            <w:tcW w:w="305" w:type="pct"/>
            <w:vMerge/>
            <w:vAlign w:val="center"/>
          </w:tcPr>
          <w:p w:rsidR="00EE56C0" w:rsidRDefault="00EE56C0">
            <w:pPr>
              <w:pStyle w:val="afa"/>
            </w:pPr>
          </w:p>
        </w:tc>
        <w:tc>
          <w:tcPr>
            <w:tcW w:w="335" w:type="pct"/>
            <w:vMerge/>
            <w:vAlign w:val="center"/>
          </w:tcPr>
          <w:p w:rsidR="00EE56C0" w:rsidRDefault="00EE56C0">
            <w:pPr>
              <w:pStyle w:val="afa"/>
            </w:pPr>
          </w:p>
        </w:tc>
        <w:tc>
          <w:tcPr>
            <w:tcW w:w="512" w:type="pct"/>
            <w:vAlign w:val="center"/>
          </w:tcPr>
          <w:p w:rsidR="00EE56C0" w:rsidRDefault="000F36A1">
            <w:pPr>
              <w:pStyle w:val="afa"/>
            </w:pPr>
            <w:r>
              <w:rPr>
                <w:rFonts w:hint="eastAsia"/>
              </w:rPr>
              <w:t>非甲烷总烃</w:t>
            </w:r>
          </w:p>
        </w:tc>
        <w:tc>
          <w:tcPr>
            <w:tcW w:w="947" w:type="pct"/>
            <w:vAlign w:val="center"/>
          </w:tcPr>
          <w:p w:rsidR="00EE56C0" w:rsidRDefault="000F36A1">
            <w:pPr>
              <w:pStyle w:val="afa"/>
            </w:pPr>
            <w:r>
              <w:rPr>
                <w:rFonts w:hint="eastAsia"/>
              </w:rPr>
              <w:t>1.44</w:t>
            </w:r>
          </w:p>
        </w:tc>
        <w:tc>
          <w:tcPr>
            <w:tcW w:w="1022" w:type="pct"/>
            <w:vAlign w:val="center"/>
          </w:tcPr>
          <w:p w:rsidR="00EE56C0" w:rsidRDefault="000F36A1">
            <w:pPr>
              <w:pStyle w:val="afa"/>
            </w:pPr>
            <w:r>
              <w:rPr>
                <w:rFonts w:hint="eastAsia"/>
              </w:rPr>
              <w:t>0</w:t>
            </w:r>
          </w:p>
        </w:tc>
        <w:tc>
          <w:tcPr>
            <w:tcW w:w="766" w:type="pct"/>
            <w:vMerge/>
            <w:vAlign w:val="center"/>
          </w:tcPr>
          <w:p w:rsidR="00EE56C0" w:rsidRDefault="00EE56C0">
            <w:pPr>
              <w:pStyle w:val="afa"/>
            </w:pPr>
          </w:p>
        </w:tc>
        <w:tc>
          <w:tcPr>
            <w:tcW w:w="504" w:type="pct"/>
            <w:vMerge/>
            <w:vAlign w:val="center"/>
          </w:tcPr>
          <w:p w:rsidR="00EE56C0" w:rsidRDefault="00EE56C0">
            <w:pPr>
              <w:pStyle w:val="afa"/>
            </w:pPr>
          </w:p>
        </w:tc>
        <w:tc>
          <w:tcPr>
            <w:tcW w:w="609" w:type="pct"/>
            <w:vMerge/>
            <w:vAlign w:val="center"/>
          </w:tcPr>
          <w:p w:rsidR="00EE56C0" w:rsidRDefault="00EE56C0">
            <w:pPr>
              <w:pStyle w:val="afa"/>
            </w:pPr>
          </w:p>
        </w:tc>
      </w:tr>
      <w:tr w:rsidR="00EE56C0">
        <w:trPr>
          <w:trHeight w:val="454"/>
        </w:trPr>
        <w:tc>
          <w:tcPr>
            <w:tcW w:w="305" w:type="pct"/>
            <w:vMerge/>
            <w:vAlign w:val="center"/>
          </w:tcPr>
          <w:p w:rsidR="00EE56C0" w:rsidRDefault="00EE56C0">
            <w:pPr>
              <w:pStyle w:val="afa"/>
            </w:pPr>
          </w:p>
        </w:tc>
        <w:tc>
          <w:tcPr>
            <w:tcW w:w="335" w:type="pct"/>
            <w:vMerge/>
            <w:vAlign w:val="center"/>
          </w:tcPr>
          <w:p w:rsidR="00EE56C0" w:rsidRDefault="00EE56C0">
            <w:pPr>
              <w:pStyle w:val="afa"/>
            </w:pPr>
          </w:p>
        </w:tc>
        <w:tc>
          <w:tcPr>
            <w:tcW w:w="512" w:type="pct"/>
            <w:vAlign w:val="center"/>
          </w:tcPr>
          <w:p w:rsidR="00EE56C0" w:rsidRDefault="000F36A1">
            <w:pPr>
              <w:pStyle w:val="afa"/>
            </w:pPr>
            <w:r>
              <w:rPr>
                <w:rFonts w:hint="eastAsia"/>
              </w:rPr>
              <w:t>二甲苯</w:t>
            </w:r>
          </w:p>
        </w:tc>
        <w:tc>
          <w:tcPr>
            <w:tcW w:w="947" w:type="pct"/>
            <w:vAlign w:val="center"/>
          </w:tcPr>
          <w:p w:rsidR="00EE56C0" w:rsidRDefault="000F36A1">
            <w:pPr>
              <w:pStyle w:val="afa"/>
            </w:pPr>
            <w:r>
              <w:rPr>
                <w:rFonts w:hint="eastAsia"/>
              </w:rPr>
              <w:t>1.0</w:t>
            </w:r>
          </w:p>
        </w:tc>
        <w:tc>
          <w:tcPr>
            <w:tcW w:w="1022" w:type="pct"/>
            <w:vAlign w:val="center"/>
          </w:tcPr>
          <w:p w:rsidR="00EE56C0" w:rsidRDefault="000F36A1">
            <w:pPr>
              <w:pStyle w:val="afa"/>
            </w:pPr>
            <w:r>
              <w:rPr>
                <w:rFonts w:hint="eastAsia"/>
              </w:rPr>
              <w:t>0</w:t>
            </w:r>
          </w:p>
        </w:tc>
        <w:tc>
          <w:tcPr>
            <w:tcW w:w="766" w:type="pct"/>
            <w:vMerge/>
            <w:vAlign w:val="center"/>
          </w:tcPr>
          <w:p w:rsidR="00EE56C0" w:rsidRDefault="00EE56C0">
            <w:pPr>
              <w:pStyle w:val="afa"/>
            </w:pPr>
          </w:p>
        </w:tc>
        <w:tc>
          <w:tcPr>
            <w:tcW w:w="504" w:type="pct"/>
            <w:vMerge/>
            <w:vAlign w:val="center"/>
          </w:tcPr>
          <w:p w:rsidR="00EE56C0" w:rsidRDefault="00EE56C0">
            <w:pPr>
              <w:pStyle w:val="afa"/>
            </w:pPr>
          </w:p>
        </w:tc>
        <w:tc>
          <w:tcPr>
            <w:tcW w:w="609" w:type="pct"/>
            <w:vMerge/>
            <w:vAlign w:val="center"/>
          </w:tcPr>
          <w:p w:rsidR="00EE56C0" w:rsidRDefault="00EE56C0">
            <w:pPr>
              <w:pStyle w:val="afa"/>
            </w:pPr>
          </w:p>
        </w:tc>
      </w:tr>
      <w:tr w:rsidR="00EE56C0">
        <w:trPr>
          <w:trHeight w:val="454"/>
        </w:trPr>
        <w:tc>
          <w:tcPr>
            <w:tcW w:w="305" w:type="pct"/>
            <w:vMerge/>
            <w:vAlign w:val="center"/>
          </w:tcPr>
          <w:p w:rsidR="00EE56C0" w:rsidRDefault="00EE56C0">
            <w:pPr>
              <w:pStyle w:val="afa"/>
            </w:pPr>
          </w:p>
        </w:tc>
        <w:tc>
          <w:tcPr>
            <w:tcW w:w="335" w:type="pct"/>
            <w:vMerge/>
            <w:vAlign w:val="center"/>
          </w:tcPr>
          <w:p w:rsidR="00EE56C0" w:rsidRDefault="00EE56C0">
            <w:pPr>
              <w:pStyle w:val="afa"/>
            </w:pPr>
          </w:p>
        </w:tc>
        <w:tc>
          <w:tcPr>
            <w:tcW w:w="512" w:type="pct"/>
            <w:vAlign w:val="center"/>
          </w:tcPr>
          <w:p w:rsidR="00EE56C0" w:rsidRDefault="000F36A1">
            <w:pPr>
              <w:pStyle w:val="afa"/>
            </w:pPr>
            <w:r>
              <w:rPr>
                <w:rFonts w:hint="eastAsia"/>
              </w:rPr>
              <w:t>甲苯</w:t>
            </w:r>
          </w:p>
        </w:tc>
        <w:tc>
          <w:tcPr>
            <w:tcW w:w="947" w:type="pct"/>
            <w:vAlign w:val="center"/>
          </w:tcPr>
          <w:p w:rsidR="00EE56C0" w:rsidRDefault="000F36A1">
            <w:pPr>
              <w:pStyle w:val="afa"/>
            </w:pPr>
            <w:r>
              <w:rPr>
                <w:rFonts w:hint="eastAsia"/>
              </w:rPr>
              <w:t>1</w:t>
            </w:r>
          </w:p>
        </w:tc>
        <w:tc>
          <w:tcPr>
            <w:tcW w:w="1022" w:type="pct"/>
            <w:vAlign w:val="center"/>
          </w:tcPr>
          <w:p w:rsidR="00EE56C0" w:rsidRDefault="000F36A1">
            <w:pPr>
              <w:pStyle w:val="afa"/>
            </w:pPr>
            <w:r>
              <w:rPr>
                <w:rFonts w:hint="eastAsia"/>
              </w:rPr>
              <w:t>0</w:t>
            </w:r>
          </w:p>
        </w:tc>
        <w:tc>
          <w:tcPr>
            <w:tcW w:w="766" w:type="pct"/>
            <w:vMerge/>
            <w:vAlign w:val="center"/>
          </w:tcPr>
          <w:p w:rsidR="00EE56C0" w:rsidRDefault="00EE56C0">
            <w:pPr>
              <w:pStyle w:val="afa"/>
            </w:pPr>
          </w:p>
        </w:tc>
        <w:tc>
          <w:tcPr>
            <w:tcW w:w="504" w:type="pct"/>
            <w:vMerge/>
            <w:vAlign w:val="center"/>
          </w:tcPr>
          <w:p w:rsidR="00EE56C0" w:rsidRDefault="00EE56C0">
            <w:pPr>
              <w:pStyle w:val="afa"/>
            </w:pPr>
          </w:p>
        </w:tc>
        <w:tc>
          <w:tcPr>
            <w:tcW w:w="609" w:type="pct"/>
            <w:vMerge/>
            <w:vAlign w:val="center"/>
          </w:tcPr>
          <w:p w:rsidR="00EE56C0" w:rsidRDefault="00EE56C0">
            <w:pPr>
              <w:pStyle w:val="afa"/>
            </w:pPr>
          </w:p>
        </w:tc>
      </w:tr>
      <w:tr w:rsidR="00EE56C0">
        <w:trPr>
          <w:trHeight w:val="454"/>
        </w:trPr>
        <w:tc>
          <w:tcPr>
            <w:tcW w:w="305" w:type="pct"/>
            <w:vMerge/>
            <w:vAlign w:val="center"/>
          </w:tcPr>
          <w:p w:rsidR="00EE56C0" w:rsidRDefault="00EE56C0">
            <w:pPr>
              <w:pStyle w:val="afa"/>
            </w:pPr>
          </w:p>
        </w:tc>
        <w:tc>
          <w:tcPr>
            <w:tcW w:w="335" w:type="pct"/>
            <w:vMerge/>
            <w:vAlign w:val="center"/>
          </w:tcPr>
          <w:p w:rsidR="00EE56C0" w:rsidRDefault="00EE56C0">
            <w:pPr>
              <w:pStyle w:val="afa"/>
            </w:pPr>
          </w:p>
        </w:tc>
        <w:tc>
          <w:tcPr>
            <w:tcW w:w="512" w:type="pct"/>
            <w:vAlign w:val="center"/>
          </w:tcPr>
          <w:p w:rsidR="00EE56C0" w:rsidRDefault="000F36A1">
            <w:pPr>
              <w:pStyle w:val="afa"/>
            </w:pPr>
            <w:r>
              <w:rPr>
                <w:rFonts w:hint="eastAsia"/>
              </w:rPr>
              <w:t>苯</w:t>
            </w:r>
          </w:p>
        </w:tc>
        <w:tc>
          <w:tcPr>
            <w:tcW w:w="947" w:type="pct"/>
            <w:vAlign w:val="center"/>
          </w:tcPr>
          <w:p w:rsidR="00EE56C0" w:rsidRDefault="000F36A1">
            <w:pPr>
              <w:pStyle w:val="afa"/>
            </w:pPr>
            <w:r>
              <w:rPr>
                <w:rFonts w:hint="eastAsia"/>
              </w:rPr>
              <w:t>0.52</w:t>
            </w:r>
          </w:p>
        </w:tc>
        <w:tc>
          <w:tcPr>
            <w:tcW w:w="1022" w:type="pct"/>
            <w:vAlign w:val="center"/>
          </w:tcPr>
          <w:p w:rsidR="00EE56C0" w:rsidRDefault="000F36A1">
            <w:pPr>
              <w:pStyle w:val="afa"/>
            </w:pPr>
            <w:r>
              <w:rPr>
                <w:rFonts w:hint="eastAsia"/>
              </w:rPr>
              <w:t>0</w:t>
            </w:r>
          </w:p>
        </w:tc>
        <w:tc>
          <w:tcPr>
            <w:tcW w:w="766" w:type="pct"/>
            <w:vMerge/>
            <w:vAlign w:val="center"/>
          </w:tcPr>
          <w:p w:rsidR="00EE56C0" w:rsidRDefault="00EE56C0">
            <w:pPr>
              <w:pStyle w:val="afa"/>
            </w:pPr>
          </w:p>
        </w:tc>
        <w:tc>
          <w:tcPr>
            <w:tcW w:w="504" w:type="pct"/>
            <w:vMerge/>
            <w:vAlign w:val="center"/>
          </w:tcPr>
          <w:p w:rsidR="00EE56C0" w:rsidRDefault="00EE56C0">
            <w:pPr>
              <w:pStyle w:val="afa"/>
            </w:pPr>
          </w:p>
        </w:tc>
        <w:tc>
          <w:tcPr>
            <w:tcW w:w="609" w:type="pct"/>
            <w:vMerge/>
            <w:vAlign w:val="center"/>
          </w:tcPr>
          <w:p w:rsidR="00EE56C0" w:rsidRDefault="00EE56C0">
            <w:pPr>
              <w:pStyle w:val="afa"/>
            </w:pPr>
          </w:p>
        </w:tc>
      </w:tr>
    </w:tbl>
    <w:p w:rsidR="00EE56C0" w:rsidRDefault="000F36A1">
      <w:pPr>
        <w:pStyle w:val="3"/>
        <w:spacing w:before="240" w:after="120"/>
      </w:pPr>
      <w:r>
        <w:rPr>
          <w:rFonts w:hint="eastAsia"/>
        </w:rPr>
        <w:t>2.5.2</w:t>
      </w:r>
      <w:r>
        <w:rPr>
          <w:rFonts w:hint="eastAsia"/>
        </w:rPr>
        <w:t>地表水环境评价等级</w:t>
      </w:r>
      <w:bookmarkEnd w:id="91"/>
      <w:bookmarkEnd w:id="92"/>
      <w:bookmarkEnd w:id="93"/>
    </w:p>
    <w:p w:rsidR="00EE56C0" w:rsidRDefault="000F36A1">
      <w:pPr>
        <w:ind w:firstLine="480"/>
      </w:pPr>
      <w:bookmarkStart w:id="94" w:name="_Toc428286774"/>
      <w:bookmarkStart w:id="95" w:name="_Toc428287520"/>
      <w:bookmarkStart w:id="96" w:name="_Toc428287168"/>
      <w:r>
        <w:t>根据《环境影响评价技术导则</w:t>
      </w:r>
      <w:r>
        <w:t>-</w:t>
      </w:r>
      <w:r>
        <w:t>地面水环境》（</w:t>
      </w:r>
      <w:r>
        <w:t>HJ/T2.3-</w:t>
      </w:r>
      <w:r>
        <w:rPr>
          <w:rFonts w:hint="eastAsia"/>
        </w:rPr>
        <w:t>2018</w:t>
      </w:r>
      <w:r>
        <w:t>），直接排放</w:t>
      </w:r>
      <w:r>
        <w:rPr>
          <w:rFonts w:hint="eastAsia"/>
        </w:rPr>
        <w:t>的</w:t>
      </w:r>
      <w:r>
        <w:t>建设项目评价等级分为一级、二级和三级</w:t>
      </w:r>
      <w:r>
        <w:rPr>
          <w:rFonts w:eastAsia="Times New Roman"/>
        </w:rPr>
        <w:t>A</w:t>
      </w:r>
      <w:r>
        <w:t>，间接排放</w:t>
      </w:r>
      <w:r>
        <w:rPr>
          <w:rFonts w:hint="eastAsia"/>
        </w:rPr>
        <w:t>的</w:t>
      </w:r>
      <w:r>
        <w:t>建设项目评价等级为三级</w:t>
      </w:r>
      <w:r>
        <w:rPr>
          <w:rFonts w:eastAsia="Times New Roman"/>
        </w:rPr>
        <w:t>B</w:t>
      </w:r>
      <w:r>
        <w:rPr>
          <w:rFonts w:hint="eastAsia"/>
        </w:rPr>
        <w:t>。本项目废水经污水管网进入新乡县综合污水处理厂，因此属于间接排放，评价等级为三级</w:t>
      </w:r>
      <w:r>
        <w:rPr>
          <w:rFonts w:hint="eastAsia"/>
        </w:rPr>
        <w:t>B</w:t>
      </w:r>
      <w:r>
        <w:t>。</w:t>
      </w:r>
    </w:p>
    <w:p w:rsidR="00EE56C0" w:rsidRDefault="000F36A1">
      <w:pPr>
        <w:pStyle w:val="3"/>
        <w:spacing w:before="240" w:after="120"/>
      </w:pPr>
      <w:r>
        <w:rPr>
          <w:rFonts w:hint="eastAsia"/>
        </w:rPr>
        <w:t>2.5.3</w:t>
      </w:r>
      <w:r>
        <w:rPr>
          <w:rFonts w:hint="eastAsia"/>
        </w:rPr>
        <w:t>地下水环境评价等级</w:t>
      </w:r>
      <w:bookmarkEnd w:id="94"/>
      <w:bookmarkEnd w:id="95"/>
      <w:bookmarkEnd w:id="96"/>
    </w:p>
    <w:p w:rsidR="00EE56C0" w:rsidRDefault="000F36A1">
      <w:pPr>
        <w:ind w:firstLine="480"/>
      </w:pPr>
      <w:r>
        <w:rPr>
          <w:rFonts w:hint="eastAsia"/>
        </w:rPr>
        <w:t>根据《环境影响评价技术导则</w:t>
      </w:r>
      <w:r>
        <w:rPr>
          <w:rFonts w:hint="eastAsia"/>
        </w:rPr>
        <w:t xml:space="preserve">  </w:t>
      </w:r>
      <w:r>
        <w:rPr>
          <w:rFonts w:hint="eastAsia"/>
        </w:rPr>
        <w:t>地下水环境》（</w:t>
      </w:r>
      <w:r>
        <w:rPr>
          <w:rFonts w:hint="eastAsia"/>
        </w:rPr>
        <w:t>HJ610-</w:t>
      </w:r>
      <w:r>
        <w:t>2016</w:t>
      </w:r>
      <w:r>
        <w:rPr>
          <w:rFonts w:hint="eastAsia"/>
        </w:rPr>
        <w:t>）建设项目对地下水环境影响的特征及分类，本项目属于</w:t>
      </w:r>
      <w:r>
        <w:rPr>
          <w:rFonts w:hint="eastAsia"/>
        </w:rPr>
        <w:t>III</w:t>
      </w:r>
      <w:r>
        <w:t>类</w:t>
      </w:r>
      <w:r>
        <w:rPr>
          <w:rFonts w:hint="eastAsia"/>
        </w:rPr>
        <w:t>项目，</w:t>
      </w:r>
      <w:r>
        <w:t>项目厂址属于</w:t>
      </w:r>
      <w:r>
        <w:rPr>
          <w:rFonts w:hint="eastAsia"/>
        </w:rPr>
        <w:t>较</w:t>
      </w:r>
      <w:r>
        <w:t>敏感区。</w:t>
      </w:r>
      <w:r>
        <w:rPr>
          <w:rFonts w:hint="eastAsia"/>
        </w:rPr>
        <w:lastRenderedPageBreak/>
        <w:t>根据《环境影响评价技术导则</w:t>
      </w:r>
      <w:r>
        <w:rPr>
          <w:rFonts w:hint="eastAsia"/>
        </w:rPr>
        <w:t xml:space="preserve">  </w:t>
      </w:r>
      <w:r>
        <w:rPr>
          <w:rFonts w:hint="eastAsia"/>
        </w:rPr>
        <w:t>地下水环境》（</w:t>
      </w:r>
      <w:r>
        <w:rPr>
          <w:rFonts w:hint="eastAsia"/>
        </w:rPr>
        <w:t>HJ610-</w:t>
      </w:r>
      <w:r>
        <w:t>2016</w:t>
      </w:r>
      <w:r>
        <w:rPr>
          <w:rFonts w:hint="eastAsia"/>
        </w:rPr>
        <w:t>）本项目地下水评价等级为三级，具体指标判断见表</w:t>
      </w:r>
      <w:r>
        <w:rPr>
          <w:rFonts w:hint="eastAsia"/>
        </w:rPr>
        <w:t>2-5</w:t>
      </w:r>
      <w:r>
        <w:rPr>
          <w:rFonts w:hint="eastAsia"/>
        </w:rPr>
        <w:t>。</w:t>
      </w:r>
    </w:p>
    <w:p w:rsidR="00EE56C0" w:rsidRDefault="000F36A1">
      <w:pPr>
        <w:pStyle w:val="afd"/>
        <w:spacing w:before="120" w:after="120"/>
        <w:ind w:firstLine="482"/>
      </w:pPr>
      <w:bookmarkStart w:id="97" w:name="_Toc428286775"/>
      <w:bookmarkStart w:id="98" w:name="_Toc428287521"/>
      <w:bookmarkStart w:id="99" w:name="_Toc428287169"/>
      <w:r>
        <w:rPr>
          <w:rFonts w:ascii="宋体" w:cs="宋体" w:hint="eastAsia"/>
        </w:rPr>
        <w:t>表</w:t>
      </w:r>
      <w:r>
        <w:rPr>
          <w:rFonts w:hint="eastAsia"/>
        </w:rPr>
        <w:t xml:space="preserve">2-5             </w:t>
      </w:r>
      <w:r>
        <w:rPr>
          <w:rFonts w:ascii="宋体" w:cs="宋体" w:hint="eastAsia"/>
        </w:rPr>
        <w:t>地下水环境评价工作等级分级表</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3201"/>
        <w:gridCol w:w="1832"/>
        <w:gridCol w:w="1706"/>
        <w:gridCol w:w="1789"/>
      </w:tblGrid>
      <w:tr w:rsidR="00EE56C0">
        <w:trPr>
          <w:trHeight w:val="425"/>
          <w:jc w:val="center"/>
        </w:trPr>
        <w:tc>
          <w:tcPr>
            <w:tcW w:w="1877" w:type="pct"/>
            <w:tcBorders>
              <w:tl2br w:val="single" w:sz="4" w:space="0" w:color="auto"/>
            </w:tcBorders>
            <w:vAlign w:val="center"/>
          </w:tcPr>
          <w:p w:rsidR="00EE56C0" w:rsidRDefault="000F36A1">
            <w:pPr>
              <w:pStyle w:val="aff1"/>
              <w:rPr>
                <w:color w:val="auto"/>
              </w:rPr>
            </w:pPr>
            <w:r>
              <w:rPr>
                <w:rFonts w:hint="eastAsia"/>
                <w:color w:val="auto"/>
              </w:rPr>
              <w:t xml:space="preserve">            </w:t>
            </w:r>
            <w:r>
              <w:rPr>
                <w:rFonts w:hint="eastAsia"/>
                <w:color w:val="auto"/>
              </w:rPr>
              <w:t>项目类别</w:t>
            </w:r>
          </w:p>
          <w:p w:rsidR="00EE56C0" w:rsidRDefault="000F36A1">
            <w:pPr>
              <w:pStyle w:val="aff1"/>
              <w:ind w:firstLineChars="50" w:firstLine="105"/>
              <w:jc w:val="both"/>
              <w:rPr>
                <w:color w:val="auto"/>
              </w:rPr>
            </w:pPr>
            <w:r>
              <w:rPr>
                <w:rFonts w:hint="eastAsia"/>
                <w:color w:val="auto"/>
              </w:rPr>
              <w:t>环境敏感程度</w:t>
            </w:r>
            <w:r>
              <w:rPr>
                <w:rFonts w:hint="eastAsia"/>
                <w:color w:val="auto"/>
              </w:rPr>
              <w:t xml:space="preserve"> </w:t>
            </w:r>
          </w:p>
        </w:tc>
        <w:tc>
          <w:tcPr>
            <w:tcW w:w="1074" w:type="pct"/>
            <w:vAlign w:val="center"/>
          </w:tcPr>
          <w:p w:rsidR="00EE56C0" w:rsidRDefault="00340837">
            <w:pPr>
              <w:pStyle w:val="aff1"/>
              <w:rPr>
                <w:color w:val="auto"/>
              </w:rPr>
            </w:pPr>
            <w:r>
              <w:rPr>
                <w:color w:val="auto"/>
              </w:rPr>
              <w:fldChar w:fldCharType="begin"/>
            </w:r>
            <w:r w:rsidR="000F36A1">
              <w:rPr>
                <w:color w:val="auto"/>
              </w:rPr>
              <w:instrText xml:space="preserve"> = 1 \* ROMAN \* MERGEFORMAT </w:instrText>
            </w:r>
            <w:r>
              <w:rPr>
                <w:color w:val="auto"/>
              </w:rPr>
              <w:fldChar w:fldCharType="separate"/>
            </w:r>
            <w:r w:rsidR="000F36A1">
              <w:rPr>
                <w:color w:val="auto"/>
              </w:rPr>
              <w:t>I</w:t>
            </w:r>
            <w:r>
              <w:rPr>
                <w:color w:val="auto"/>
              </w:rPr>
              <w:fldChar w:fldCharType="end"/>
            </w:r>
            <w:r w:rsidR="000F36A1">
              <w:rPr>
                <w:rFonts w:hint="eastAsia"/>
                <w:color w:val="auto"/>
              </w:rPr>
              <w:t>类</w:t>
            </w:r>
            <w:r w:rsidR="000F36A1">
              <w:rPr>
                <w:color w:val="auto"/>
              </w:rPr>
              <w:t>项目</w:t>
            </w:r>
          </w:p>
        </w:tc>
        <w:tc>
          <w:tcPr>
            <w:tcW w:w="1000" w:type="pct"/>
            <w:vAlign w:val="center"/>
          </w:tcPr>
          <w:p w:rsidR="00EE56C0" w:rsidRDefault="00340837">
            <w:pPr>
              <w:pStyle w:val="aff1"/>
              <w:rPr>
                <w:color w:val="auto"/>
              </w:rPr>
            </w:pPr>
            <w:r>
              <w:rPr>
                <w:color w:val="auto"/>
              </w:rPr>
              <w:fldChar w:fldCharType="begin"/>
            </w:r>
            <w:r w:rsidR="000F36A1">
              <w:rPr>
                <w:color w:val="auto"/>
              </w:rPr>
              <w:instrText xml:space="preserve"> = 2 \* ROMAN \* MERGEFORMAT </w:instrText>
            </w:r>
            <w:r>
              <w:rPr>
                <w:color w:val="auto"/>
              </w:rPr>
              <w:fldChar w:fldCharType="separate"/>
            </w:r>
            <w:r w:rsidR="000F36A1">
              <w:rPr>
                <w:color w:val="auto"/>
              </w:rPr>
              <w:t>II</w:t>
            </w:r>
            <w:r>
              <w:rPr>
                <w:color w:val="auto"/>
              </w:rPr>
              <w:fldChar w:fldCharType="end"/>
            </w:r>
            <w:r w:rsidR="000F36A1">
              <w:rPr>
                <w:rFonts w:hint="eastAsia"/>
                <w:color w:val="auto"/>
              </w:rPr>
              <w:t>类项目</w:t>
            </w:r>
          </w:p>
        </w:tc>
        <w:tc>
          <w:tcPr>
            <w:tcW w:w="1049" w:type="pct"/>
            <w:vAlign w:val="center"/>
          </w:tcPr>
          <w:p w:rsidR="00EE56C0" w:rsidRDefault="00340837">
            <w:pPr>
              <w:pStyle w:val="aff1"/>
              <w:rPr>
                <w:color w:val="auto"/>
              </w:rPr>
            </w:pPr>
            <w:r>
              <w:rPr>
                <w:color w:val="auto"/>
              </w:rPr>
              <w:fldChar w:fldCharType="begin"/>
            </w:r>
            <w:r w:rsidR="000F36A1">
              <w:rPr>
                <w:color w:val="auto"/>
              </w:rPr>
              <w:instrText xml:space="preserve"> = 3 \* ROMAN \* MERGEFORMAT </w:instrText>
            </w:r>
            <w:r>
              <w:rPr>
                <w:color w:val="auto"/>
              </w:rPr>
              <w:fldChar w:fldCharType="separate"/>
            </w:r>
            <w:r w:rsidR="000F36A1">
              <w:rPr>
                <w:color w:val="auto"/>
              </w:rPr>
              <w:t>III</w:t>
            </w:r>
            <w:r>
              <w:rPr>
                <w:color w:val="auto"/>
              </w:rPr>
              <w:fldChar w:fldCharType="end"/>
            </w:r>
            <w:r w:rsidR="000F36A1">
              <w:rPr>
                <w:color w:val="auto"/>
              </w:rPr>
              <w:t>类</w:t>
            </w:r>
            <w:r w:rsidR="000F36A1">
              <w:rPr>
                <w:rFonts w:hint="eastAsia"/>
                <w:color w:val="auto"/>
              </w:rPr>
              <w:t>项目</w:t>
            </w:r>
          </w:p>
        </w:tc>
      </w:tr>
      <w:tr w:rsidR="00EE56C0">
        <w:trPr>
          <w:trHeight w:val="425"/>
          <w:jc w:val="center"/>
        </w:trPr>
        <w:tc>
          <w:tcPr>
            <w:tcW w:w="1877" w:type="pct"/>
            <w:vAlign w:val="center"/>
          </w:tcPr>
          <w:p w:rsidR="00EE56C0" w:rsidRDefault="000F36A1">
            <w:pPr>
              <w:pStyle w:val="afa"/>
            </w:pPr>
            <w:r>
              <w:rPr>
                <w:rFonts w:hint="eastAsia"/>
              </w:rPr>
              <w:t>敏感</w:t>
            </w:r>
          </w:p>
        </w:tc>
        <w:tc>
          <w:tcPr>
            <w:tcW w:w="1074" w:type="pct"/>
            <w:vAlign w:val="center"/>
          </w:tcPr>
          <w:p w:rsidR="00EE56C0" w:rsidRDefault="000F36A1">
            <w:pPr>
              <w:pStyle w:val="afa"/>
            </w:pPr>
            <w:r>
              <w:rPr>
                <w:rFonts w:hint="eastAsia"/>
              </w:rPr>
              <w:t>一</w:t>
            </w:r>
          </w:p>
        </w:tc>
        <w:tc>
          <w:tcPr>
            <w:tcW w:w="1000" w:type="pct"/>
            <w:vAlign w:val="center"/>
          </w:tcPr>
          <w:p w:rsidR="00EE56C0" w:rsidRDefault="000F36A1">
            <w:pPr>
              <w:pStyle w:val="afa"/>
            </w:pPr>
            <w:r>
              <w:rPr>
                <w:rFonts w:hint="eastAsia"/>
              </w:rPr>
              <w:t>一</w:t>
            </w:r>
          </w:p>
        </w:tc>
        <w:tc>
          <w:tcPr>
            <w:tcW w:w="1049" w:type="pct"/>
            <w:vAlign w:val="center"/>
          </w:tcPr>
          <w:p w:rsidR="00EE56C0" w:rsidRDefault="000F36A1">
            <w:pPr>
              <w:pStyle w:val="afa"/>
            </w:pPr>
            <w:r>
              <w:rPr>
                <w:rFonts w:hint="eastAsia"/>
              </w:rPr>
              <w:t>二</w:t>
            </w:r>
          </w:p>
        </w:tc>
      </w:tr>
      <w:tr w:rsidR="00EE56C0">
        <w:trPr>
          <w:trHeight w:val="425"/>
          <w:jc w:val="center"/>
        </w:trPr>
        <w:tc>
          <w:tcPr>
            <w:tcW w:w="1877" w:type="pct"/>
            <w:vAlign w:val="center"/>
          </w:tcPr>
          <w:p w:rsidR="00EE56C0" w:rsidRDefault="000F36A1">
            <w:pPr>
              <w:pStyle w:val="afa"/>
            </w:pPr>
            <w:r>
              <w:rPr>
                <w:rFonts w:hint="eastAsia"/>
              </w:rPr>
              <w:t>较敏感</w:t>
            </w:r>
          </w:p>
        </w:tc>
        <w:tc>
          <w:tcPr>
            <w:tcW w:w="1074" w:type="pct"/>
            <w:vAlign w:val="center"/>
          </w:tcPr>
          <w:p w:rsidR="00EE56C0" w:rsidRDefault="000F36A1">
            <w:pPr>
              <w:pStyle w:val="afa"/>
            </w:pPr>
            <w:r>
              <w:rPr>
                <w:rFonts w:hint="eastAsia"/>
              </w:rPr>
              <w:t>一</w:t>
            </w:r>
          </w:p>
        </w:tc>
        <w:tc>
          <w:tcPr>
            <w:tcW w:w="1000" w:type="pct"/>
            <w:vAlign w:val="center"/>
          </w:tcPr>
          <w:p w:rsidR="00EE56C0" w:rsidRDefault="000F36A1">
            <w:pPr>
              <w:pStyle w:val="afa"/>
            </w:pPr>
            <w:r>
              <w:rPr>
                <w:rFonts w:hint="eastAsia"/>
              </w:rPr>
              <w:t>二</w:t>
            </w:r>
          </w:p>
        </w:tc>
        <w:tc>
          <w:tcPr>
            <w:tcW w:w="1049" w:type="pct"/>
            <w:vAlign w:val="center"/>
          </w:tcPr>
          <w:p w:rsidR="00EE56C0" w:rsidRDefault="000F36A1">
            <w:pPr>
              <w:pStyle w:val="afa"/>
            </w:pPr>
            <w:r>
              <w:rPr>
                <w:rFonts w:hint="eastAsia"/>
              </w:rPr>
              <w:t>三</w:t>
            </w:r>
          </w:p>
        </w:tc>
      </w:tr>
      <w:tr w:rsidR="00EE56C0">
        <w:trPr>
          <w:trHeight w:val="425"/>
          <w:jc w:val="center"/>
        </w:trPr>
        <w:tc>
          <w:tcPr>
            <w:tcW w:w="1877" w:type="pct"/>
            <w:vAlign w:val="center"/>
          </w:tcPr>
          <w:p w:rsidR="00EE56C0" w:rsidRDefault="000F36A1">
            <w:pPr>
              <w:pStyle w:val="afa"/>
            </w:pPr>
            <w:r>
              <w:rPr>
                <w:rFonts w:hint="eastAsia"/>
              </w:rPr>
              <w:t>不敏感</w:t>
            </w:r>
          </w:p>
        </w:tc>
        <w:tc>
          <w:tcPr>
            <w:tcW w:w="1074" w:type="pct"/>
            <w:vAlign w:val="center"/>
          </w:tcPr>
          <w:p w:rsidR="00EE56C0" w:rsidRDefault="000F36A1">
            <w:pPr>
              <w:pStyle w:val="afa"/>
            </w:pPr>
            <w:r>
              <w:rPr>
                <w:rFonts w:hint="eastAsia"/>
              </w:rPr>
              <w:t>二</w:t>
            </w:r>
          </w:p>
        </w:tc>
        <w:tc>
          <w:tcPr>
            <w:tcW w:w="1000" w:type="pct"/>
            <w:vAlign w:val="center"/>
          </w:tcPr>
          <w:p w:rsidR="00EE56C0" w:rsidRDefault="000F36A1">
            <w:pPr>
              <w:pStyle w:val="afa"/>
            </w:pPr>
            <w:r>
              <w:rPr>
                <w:rFonts w:hint="eastAsia"/>
              </w:rPr>
              <w:t>三</w:t>
            </w:r>
          </w:p>
        </w:tc>
        <w:tc>
          <w:tcPr>
            <w:tcW w:w="1049" w:type="pct"/>
            <w:vAlign w:val="center"/>
          </w:tcPr>
          <w:p w:rsidR="00EE56C0" w:rsidRDefault="000F36A1">
            <w:pPr>
              <w:pStyle w:val="afa"/>
            </w:pPr>
            <w:r>
              <w:rPr>
                <w:rFonts w:hint="eastAsia"/>
              </w:rPr>
              <w:t>三</w:t>
            </w:r>
          </w:p>
        </w:tc>
      </w:tr>
    </w:tbl>
    <w:p w:rsidR="00EE56C0" w:rsidRDefault="000F36A1">
      <w:pPr>
        <w:pStyle w:val="3"/>
        <w:spacing w:before="240" w:after="120"/>
      </w:pPr>
      <w:r>
        <w:rPr>
          <w:rFonts w:hint="eastAsia"/>
        </w:rPr>
        <w:t>2.5.4</w:t>
      </w:r>
      <w:r>
        <w:rPr>
          <w:rFonts w:hint="eastAsia"/>
        </w:rPr>
        <w:t>土壤环境评价等级</w:t>
      </w:r>
    </w:p>
    <w:p w:rsidR="00EE56C0" w:rsidRDefault="000F36A1">
      <w:pPr>
        <w:ind w:firstLine="482"/>
        <w:rPr>
          <w:b/>
          <w:u w:val="single"/>
        </w:rPr>
      </w:pPr>
      <w:r>
        <w:rPr>
          <w:rFonts w:hint="eastAsia"/>
          <w:b/>
          <w:u w:val="single"/>
        </w:rPr>
        <w:t>本项目属于中型建设项目，土壤环境敏感程度不敏感，为Ⅰ类项目。</w:t>
      </w:r>
    </w:p>
    <w:p w:rsidR="00EE56C0" w:rsidRDefault="000F36A1">
      <w:pPr>
        <w:ind w:firstLine="482"/>
      </w:pPr>
      <w:r>
        <w:rPr>
          <w:rFonts w:hint="eastAsia"/>
          <w:b/>
          <w:u w:val="single"/>
        </w:rPr>
        <w:t>根据《环境影响评价技术导则土壤环境（试行）》（</w:t>
      </w:r>
      <w:r>
        <w:rPr>
          <w:b/>
          <w:u w:val="single"/>
        </w:rPr>
        <w:t>HJ 964-2018</w:t>
      </w:r>
      <w:r>
        <w:rPr>
          <w:rFonts w:hint="eastAsia"/>
          <w:b/>
          <w:u w:val="single"/>
        </w:rPr>
        <w:t>）附录</w:t>
      </w:r>
      <w:r>
        <w:rPr>
          <w:b/>
          <w:u w:val="single"/>
        </w:rPr>
        <w:t>A</w:t>
      </w:r>
      <w:r>
        <w:rPr>
          <w:rFonts w:hint="eastAsia"/>
          <w:b/>
          <w:u w:val="single"/>
        </w:rPr>
        <w:t>，本项目评价等级为二级。污染影响型评价工作等级划分依据见下表</w:t>
      </w:r>
      <w:r>
        <w:rPr>
          <w:rFonts w:hint="eastAsia"/>
        </w:rPr>
        <w:t>：</w:t>
      </w:r>
    </w:p>
    <w:p w:rsidR="00EE56C0" w:rsidRDefault="000F36A1">
      <w:pPr>
        <w:pStyle w:val="afd"/>
        <w:spacing w:before="120" w:after="120"/>
        <w:ind w:firstLine="482"/>
      </w:pPr>
      <w:r>
        <w:rPr>
          <w:rFonts w:hint="eastAsia"/>
        </w:rPr>
        <w:t>表</w:t>
      </w:r>
      <w:r>
        <w:rPr>
          <w:rFonts w:hint="eastAsia"/>
        </w:rPr>
        <w:t>2</w:t>
      </w:r>
      <w:r>
        <w:t>-</w:t>
      </w:r>
      <w:r>
        <w:rPr>
          <w:rFonts w:hint="eastAsia"/>
        </w:rPr>
        <w:t>6</w:t>
      </w:r>
      <w:r>
        <w:rPr>
          <w:rFonts w:hint="eastAsia"/>
        </w:rPr>
        <w:t>污染影响型评价工作等级划分表</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1950"/>
        <w:gridCol w:w="851"/>
        <w:gridCol w:w="704"/>
        <w:gridCol w:w="708"/>
        <w:gridCol w:w="710"/>
        <w:gridCol w:w="710"/>
        <w:gridCol w:w="711"/>
        <w:gridCol w:w="710"/>
        <w:gridCol w:w="706"/>
        <w:gridCol w:w="768"/>
      </w:tblGrid>
      <w:tr w:rsidR="00EE56C0">
        <w:trPr>
          <w:trHeight w:val="510"/>
          <w:jc w:val="center"/>
        </w:trPr>
        <w:tc>
          <w:tcPr>
            <w:tcW w:w="1144" w:type="pct"/>
            <w:vMerge w:val="restart"/>
            <w:tcBorders>
              <w:top w:val="single" w:sz="8" w:space="0" w:color="auto"/>
              <w:left w:val="single" w:sz="8" w:space="0" w:color="auto"/>
              <w:bottom w:val="single" w:sz="6" w:space="0" w:color="auto"/>
              <w:right w:val="single" w:sz="6" w:space="0" w:color="auto"/>
            </w:tcBorders>
            <w:vAlign w:val="center"/>
          </w:tcPr>
          <w:p w:rsidR="00EE56C0" w:rsidRDefault="00340837">
            <w:pPr>
              <w:pStyle w:val="afa"/>
            </w:pPr>
            <w:r>
              <w:pict>
                <v:shapetype id="_x0000_t32" coordsize="21600,21600" o:spt="32" o:oned="t" path="m,l21600,21600e" filled="f">
                  <v:path arrowok="t" fillok="f" o:connecttype="none"/>
                  <o:lock v:ext="edit" shapetype="t"/>
                </v:shapetype>
                <v:shape id="自选图形 3517" o:spid="_x0000_s2142" type="#_x0000_t32" style="position:absolute;left:0;text-align:left;margin-left:-5.1pt;margin-top:25.4pt;width:97.2pt;height:24.65pt;flip:x y;z-index:251685376" o:connectortype="straight" strokeweight=".5pt"/>
              </w:pict>
            </w:r>
            <w:r>
              <w:pict>
                <v:shape id="自选图形 3516" o:spid="_x0000_s2141" type="#_x0000_t32" style="position:absolute;left:0;text-align:left;margin-left:29.45pt;margin-top:-.9pt;width:62.4pt;height:51pt;z-index:251684352" o:connectortype="straight" strokeweight=".5pt"/>
              </w:pict>
            </w:r>
            <w:r>
              <w:pict>
                <v:shapetype id="_x0000_t202" coordsize="21600,21600" o:spt="202" path="m,l,21600r21600,l21600,xe">
                  <v:stroke joinstyle="miter"/>
                  <v:path gradientshapeok="t" o:connecttype="rect"/>
                </v:shapetype>
                <v:shape id="文本框 3520" o:spid="_x0000_s2145" type="#_x0000_t202" style="position:absolute;left:0;text-align:left;margin-left:-9.95pt;margin-top:29.5pt;width:61.1pt;height:20.7pt;z-index:251688448" filled="f" stroked="f">
                  <v:textbox>
                    <w:txbxContent>
                      <w:p w:rsidR="009C6BD9" w:rsidRDefault="009C6BD9">
                        <w:pPr>
                          <w:pStyle w:val="afa"/>
                          <w:rPr>
                            <w:b/>
                          </w:rPr>
                        </w:pPr>
                        <w:r>
                          <w:rPr>
                            <w:rFonts w:hint="eastAsia"/>
                            <w:b/>
                          </w:rPr>
                          <w:t>敏感程度</w:t>
                        </w:r>
                      </w:p>
                    </w:txbxContent>
                  </v:textbox>
                </v:shape>
              </w:pict>
            </w:r>
            <w:r>
              <w:pict>
                <v:shape id="文本框 3519" o:spid="_x0000_s2144" type="#_x0000_t202" style="position:absolute;left:0;text-align:left;margin-left:-13.4pt;margin-top:11.45pt;width:81.65pt;height:20.7pt;z-index:251687424" filled="f" stroked="f">
                  <v:textbox>
                    <w:txbxContent>
                      <w:p w:rsidR="009C6BD9" w:rsidRDefault="009C6BD9">
                        <w:pPr>
                          <w:pStyle w:val="afa"/>
                          <w:jc w:val="both"/>
                          <w:rPr>
                            <w:b/>
                          </w:rPr>
                        </w:pPr>
                        <w:r>
                          <w:rPr>
                            <w:rFonts w:hint="eastAsia"/>
                            <w:b/>
                          </w:rPr>
                          <w:t>评价工作等级</w:t>
                        </w:r>
                      </w:p>
                    </w:txbxContent>
                  </v:textbox>
                </v:shape>
              </w:pict>
            </w:r>
            <w:r>
              <w:pict>
                <v:shape id="文本框 3518" o:spid="_x0000_s2143" type="#_x0000_t202" style="position:absolute;left:0;text-align:left;margin-left:35.2pt;margin-top:-.05pt;width:61.1pt;height:20.7pt;z-index:251686400" filled="f" stroked="f">
                  <v:textbox>
                    <w:txbxContent>
                      <w:p w:rsidR="009C6BD9" w:rsidRDefault="009C6BD9">
                        <w:pPr>
                          <w:pStyle w:val="afa"/>
                          <w:rPr>
                            <w:b/>
                          </w:rPr>
                        </w:pPr>
                        <w:r>
                          <w:rPr>
                            <w:rFonts w:hint="eastAsia"/>
                            <w:b/>
                          </w:rPr>
                          <w:t>占地规模</w:t>
                        </w:r>
                      </w:p>
                    </w:txbxContent>
                  </v:textbox>
                </v:shape>
              </w:pict>
            </w:r>
          </w:p>
        </w:tc>
        <w:tc>
          <w:tcPr>
            <w:tcW w:w="1327" w:type="pct"/>
            <w:gridSpan w:val="3"/>
            <w:tcBorders>
              <w:top w:val="single" w:sz="8" w:space="0" w:color="auto"/>
              <w:left w:val="single" w:sz="6" w:space="0" w:color="auto"/>
              <w:bottom w:val="single" w:sz="6" w:space="0" w:color="auto"/>
              <w:right w:val="single" w:sz="6" w:space="0" w:color="auto"/>
            </w:tcBorders>
            <w:vAlign w:val="center"/>
          </w:tcPr>
          <w:p w:rsidR="00EE56C0" w:rsidRDefault="000F36A1">
            <w:pPr>
              <w:pStyle w:val="afa"/>
              <w:rPr>
                <w:b/>
              </w:rPr>
            </w:pPr>
            <w:r>
              <w:rPr>
                <w:rFonts w:hint="eastAsia"/>
                <w:b/>
              </w:rPr>
              <w:t>Ⅰ类</w:t>
            </w:r>
          </w:p>
        </w:tc>
        <w:tc>
          <w:tcPr>
            <w:tcW w:w="1249" w:type="pct"/>
            <w:gridSpan w:val="3"/>
            <w:tcBorders>
              <w:top w:val="single" w:sz="8" w:space="0" w:color="auto"/>
              <w:left w:val="single" w:sz="6" w:space="0" w:color="auto"/>
              <w:bottom w:val="single" w:sz="6" w:space="0" w:color="auto"/>
              <w:right w:val="single" w:sz="6" w:space="0" w:color="auto"/>
            </w:tcBorders>
            <w:vAlign w:val="center"/>
          </w:tcPr>
          <w:p w:rsidR="00EE56C0" w:rsidRDefault="000F36A1">
            <w:pPr>
              <w:pStyle w:val="afa"/>
              <w:rPr>
                <w:b/>
              </w:rPr>
            </w:pPr>
            <w:r>
              <w:rPr>
                <w:rFonts w:hint="eastAsia"/>
                <w:b/>
              </w:rPr>
              <w:t>Ⅱ类</w:t>
            </w:r>
          </w:p>
        </w:tc>
        <w:tc>
          <w:tcPr>
            <w:tcW w:w="1280" w:type="pct"/>
            <w:gridSpan w:val="3"/>
            <w:tcBorders>
              <w:top w:val="single" w:sz="8" w:space="0" w:color="auto"/>
              <w:left w:val="single" w:sz="6" w:space="0" w:color="auto"/>
              <w:bottom w:val="single" w:sz="6" w:space="0" w:color="auto"/>
              <w:right w:val="single" w:sz="8" w:space="0" w:color="auto"/>
            </w:tcBorders>
            <w:vAlign w:val="center"/>
          </w:tcPr>
          <w:p w:rsidR="00EE56C0" w:rsidRDefault="000F36A1">
            <w:pPr>
              <w:pStyle w:val="afa"/>
              <w:rPr>
                <w:b/>
              </w:rPr>
            </w:pPr>
            <w:r>
              <w:rPr>
                <w:rFonts w:hint="eastAsia"/>
                <w:b/>
              </w:rPr>
              <w:t>Ⅲ类</w:t>
            </w:r>
          </w:p>
        </w:tc>
      </w:tr>
      <w:tr w:rsidR="00EE56C0">
        <w:trPr>
          <w:trHeight w:val="510"/>
          <w:jc w:val="center"/>
        </w:trPr>
        <w:tc>
          <w:tcPr>
            <w:tcW w:w="0" w:type="auto"/>
            <w:vMerge/>
            <w:tcBorders>
              <w:top w:val="single" w:sz="8" w:space="0" w:color="auto"/>
              <w:left w:val="single" w:sz="8" w:space="0" w:color="auto"/>
              <w:bottom w:val="single" w:sz="6" w:space="0" w:color="auto"/>
              <w:right w:val="single" w:sz="6" w:space="0" w:color="auto"/>
            </w:tcBorders>
            <w:vAlign w:val="center"/>
          </w:tcPr>
          <w:p w:rsidR="00EE56C0" w:rsidRDefault="00EE56C0">
            <w:pPr>
              <w:widowControl/>
              <w:adjustRightInd/>
              <w:snapToGrid/>
              <w:spacing w:line="240" w:lineRule="auto"/>
              <w:ind w:firstLineChars="0" w:firstLine="0"/>
              <w:jc w:val="left"/>
              <w:rPr>
                <w:kern w:val="2"/>
                <w:sz w:val="21"/>
                <w:szCs w:val="21"/>
              </w:rPr>
            </w:pPr>
          </w:p>
        </w:tc>
        <w:tc>
          <w:tcPr>
            <w:tcW w:w="499" w:type="pct"/>
            <w:tcBorders>
              <w:top w:val="single" w:sz="6" w:space="0" w:color="auto"/>
              <w:left w:val="single" w:sz="6" w:space="0" w:color="auto"/>
              <w:bottom w:val="single" w:sz="6" w:space="0" w:color="auto"/>
              <w:right w:val="single" w:sz="6" w:space="0" w:color="auto"/>
            </w:tcBorders>
            <w:vAlign w:val="center"/>
          </w:tcPr>
          <w:p w:rsidR="00EE56C0" w:rsidRDefault="000F36A1">
            <w:pPr>
              <w:pStyle w:val="afa"/>
              <w:rPr>
                <w:b/>
              </w:rPr>
            </w:pPr>
            <w:r>
              <w:rPr>
                <w:rFonts w:hint="eastAsia"/>
                <w:b/>
              </w:rPr>
              <w:t>大</w:t>
            </w:r>
          </w:p>
        </w:tc>
        <w:tc>
          <w:tcPr>
            <w:tcW w:w="413" w:type="pct"/>
            <w:tcBorders>
              <w:top w:val="single" w:sz="6" w:space="0" w:color="auto"/>
              <w:left w:val="single" w:sz="6" w:space="0" w:color="auto"/>
              <w:bottom w:val="single" w:sz="6" w:space="0" w:color="auto"/>
              <w:right w:val="single" w:sz="6" w:space="0" w:color="auto"/>
            </w:tcBorders>
            <w:vAlign w:val="center"/>
          </w:tcPr>
          <w:p w:rsidR="00EE56C0" w:rsidRDefault="000F36A1">
            <w:pPr>
              <w:pStyle w:val="afa"/>
              <w:rPr>
                <w:b/>
              </w:rPr>
            </w:pPr>
            <w:r>
              <w:rPr>
                <w:rFonts w:hint="eastAsia"/>
                <w:b/>
              </w:rPr>
              <w:t>中</w:t>
            </w:r>
          </w:p>
        </w:tc>
        <w:tc>
          <w:tcPr>
            <w:tcW w:w="415" w:type="pct"/>
            <w:tcBorders>
              <w:top w:val="single" w:sz="6" w:space="0" w:color="auto"/>
              <w:left w:val="single" w:sz="6" w:space="0" w:color="auto"/>
              <w:bottom w:val="single" w:sz="6" w:space="0" w:color="auto"/>
              <w:right w:val="single" w:sz="6" w:space="0" w:color="auto"/>
            </w:tcBorders>
            <w:vAlign w:val="center"/>
          </w:tcPr>
          <w:p w:rsidR="00EE56C0" w:rsidRDefault="000F36A1">
            <w:pPr>
              <w:pStyle w:val="afa"/>
              <w:rPr>
                <w:b/>
              </w:rPr>
            </w:pPr>
            <w:r>
              <w:rPr>
                <w:rFonts w:hint="eastAsia"/>
                <w:b/>
              </w:rPr>
              <w:t>小</w:t>
            </w:r>
          </w:p>
        </w:tc>
        <w:tc>
          <w:tcPr>
            <w:tcW w:w="416" w:type="pct"/>
            <w:tcBorders>
              <w:top w:val="single" w:sz="6" w:space="0" w:color="auto"/>
              <w:left w:val="single" w:sz="6" w:space="0" w:color="auto"/>
              <w:bottom w:val="single" w:sz="6" w:space="0" w:color="auto"/>
              <w:right w:val="single" w:sz="6" w:space="0" w:color="auto"/>
            </w:tcBorders>
            <w:vAlign w:val="center"/>
          </w:tcPr>
          <w:p w:rsidR="00EE56C0" w:rsidRDefault="000F36A1">
            <w:pPr>
              <w:pStyle w:val="afa"/>
              <w:rPr>
                <w:b/>
              </w:rPr>
            </w:pPr>
            <w:r>
              <w:rPr>
                <w:rFonts w:hint="eastAsia"/>
                <w:b/>
              </w:rPr>
              <w:t>大</w:t>
            </w:r>
          </w:p>
        </w:tc>
        <w:tc>
          <w:tcPr>
            <w:tcW w:w="416" w:type="pct"/>
            <w:tcBorders>
              <w:top w:val="single" w:sz="6" w:space="0" w:color="auto"/>
              <w:left w:val="single" w:sz="6" w:space="0" w:color="auto"/>
              <w:bottom w:val="single" w:sz="6" w:space="0" w:color="auto"/>
              <w:right w:val="single" w:sz="6" w:space="0" w:color="auto"/>
            </w:tcBorders>
            <w:vAlign w:val="center"/>
          </w:tcPr>
          <w:p w:rsidR="00EE56C0" w:rsidRDefault="000F36A1">
            <w:pPr>
              <w:pStyle w:val="afa"/>
              <w:rPr>
                <w:b/>
              </w:rPr>
            </w:pPr>
            <w:r>
              <w:rPr>
                <w:rFonts w:hint="eastAsia"/>
                <w:b/>
              </w:rPr>
              <w:t>中</w:t>
            </w:r>
          </w:p>
        </w:tc>
        <w:tc>
          <w:tcPr>
            <w:tcW w:w="417" w:type="pct"/>
            <w:tcBorders>
              <w:top w:val="single" w:sz="6" w:space="0" w:color="auto"/>
              <w:left w:val="single" w:sz="6" w:space="0" w:color="auto"/>
              <w:bottom w:val="single" w:sz="6" w:space="0" w:color="auto"/>
              <w:right w:val="single" w:sz="6" w:space="0" w:color="auto"/>
            </w:tcBorders>
            <w:vAlign w:val="center"/>
          </w:tcPr>
          <w:p w:rsidR="00EE56C0" w:rsidRDefault="000F36A1">
            <w:pPr>
              <w:pStyle w:val="afa"/>
              <w:rPr>
                <w:b/>
              </w:rPr>
            </w:pPr>
            <w:r>
              <w:rPr>
                <w:rFonts w:hint="eastAsia"/>
                <w:b/>
              </w:rPr>
              <w:t>小</w:t>
            </w:r>
          </w:p>
        </w:tc>
        <w:tc>
          <w:tcPr>
            <w:tcW w:w="416" w:type="pct"/>
            <w:tcBorders>
              <w:top w:val="single" w:sz="6" w:space="0" w:color="auto"/>
              <w:left w:val="single" w:sz="6" w:space="0" w:color="auto"/>
              <w:bottom w:val="single" w:sz="6" w:space="0" w:color="auto"/>
              <w:right w:val="single" w:sz="4" w:space="0" w:color="auto"/>
            </w:tcBorders>
            <w:vAlign w:val="center"/>
          </w:tcPr>
          <w:p w:rsidR="00EE56C0" w:rsidRDefault="000F36A1">
            <w:pPr>
              <w:pStyle w:val="afa"/>
              <w:rPr>
                <w:b/>
              </w:rPr>
            </w:pPr>
            <w:r>
              <w:rPr>
                <w:rFonts w:hint="eastAsia"/>
                <w:b/>
              </w:rPr>
              <w:t>大</w:t>
            </w:r>
          </w:p>
        </w:tc>
        <w:tc>
          <w:tcPr>
            <w:tcW w:w="414" w:type="pct"/>
            <w:tcBorders>
              <w:top w:val="single" w:sz="6" w:space="0" w:color="auto"/>
              <w:left w:val="single" w:sz="4" w:space="0" w:color="auto"/>
              <w:bottom w:val="single" w:sz="6" w:space="0" w:color="auto"/>
              <w:right w:val="single" w:sz="4" w:space="0" w:color="auto"/>
            </w:tcBorders>
            <w:vAlign w:val="center"/>
          </w:tcPr>
          <w:p w:rsidR="00EE56C0" w:rsidRDefault="000F36A1">
            <w:pPr>
              <w:pStyle w:val="afa"/>
              <w:rPr>
                <w:b/>
              </w:rPr>
            </w:pPr>
            <w:r>
              <w:rPr>
                <w:rFonts w:hint="eastAsia"/>
                <w:b/>
              </w:rPr>
              <w:t>中</w:t>
            </w:r>
          </w:p>
        </w:tc>
        <w:tc>
          <w:tcPr>
            <w:tcW w:w="450" w:type="pct"/>
            <w:tcBorders>
              <w:top w:val="single" w:sz="6" w:space="0" w:color="auto"/>
              <w:left w:val="single" w:sz="4" w:space="0" w:color="auto"/>
              <w:bottom w:val="single" w:sz="6" w:space="0" w:color="auto"/>
              <w:right w:val="single" w:sz="8" w:space="0" w:color="auto"/>
            </w:tcBorders>
            <w:vAlign w:val="center"/>
          </w:tcPr>
          <w:p w:rsidR="00EE56C0" w:rsidRDefault="000F36A1">
            <w:pPr>
              <w:pStyle w:val="afa"/>
              <w:rPr>
                <w:b/>
              </w:rPr>
            </w:pPr>
            <w:r>
              <w:rPr>
                <w:rFonts w:hint="eastAsia"/>
                <w:b/>
              </w:rPr>
              <w:t>小</w:t>
            </w:r>
          </w:p>
        </w:tc>
      </w:tr>
      <w:tr w:rsidR="00EE56C0">
        <w:trPr>
          <w:trHeight w:val="510"/>
          <w:jc w:val="center"/>
        </w:trPr>
        <w:tc>
          <w:tcPr>
            <w:tcW w:w="1144" w:type="pct"/>
            <w:tcBorders>
              <w:top w:val="single" w:sz="6" w:space="0" w:color="auto"/>
              <w:left w:val="single" w:sz="8" w:space="0" w:color="auto"/>
              <w:bottom w:val="single" w:sz="6" w:space="0" w:color="auto"/>
              <w:right w:val="single" w:sz="6" w:space="0" w:color="auto"/>
            </w:tcBorders>
            <w:vAlign w:val="center"/>
          </w:tcPr>
          <w:p w:rsidR="00EE56C0" w:rsidRDefault="000F36A1">
            <w:pPr>
              <w:pStyle w:val="afa"/>
            </w:pPr>
            <w:r>
              <w:rPr>
                <w:rFonts w:hint="eastAsia"/>
              </w:rPr>
              <w:t>敏感</w:t>
            </w:r>
          </w:p>
        </w:tc>
        <w:tc>
          <w:tcPr>
            <w:tcW w:w="499" w:type="pct"/>
            <w:tcBorders>
              <w:top w:val="single" w:sz="6" w:space="0" w:color="auto"/>
              <w:left w:val="single" w:sz="6" w:space="0" w:color="auto"/>
              <w:bottom w:val="single" w:sz="6" w:space="0" w:color="auto"/>
              <w:right w:val="single" w:sz="6" w:space="0" w:color="auto"/>
            </w:tcBorders>
            <w:vAlign w:val="center"/>
          </w:tcPr>
          <w:p w:rsidR="00EE56C0" w:rsidRDefault="000F36A1">
            <w:pPr>
              <w:pStyle w:val="afa"/>
            </w:pPr>
            <w:r>
              <w:rPr>
                <w:rFonts w:hint="eastAsia"/>
              </w:rPr>
              <w:t>一级</w:t>
            </w:r>
          </w:p>
        </w:tc>
        <w:tc>
          <w:tcPr>
            <w:tcW w:w="413" w:type="pct"/>
            <w:tcBorders>
              <w:top w:val="single" w:sz="6" w:space="0" w:color="auto"/>
              <w:left w:val="single" w:sz="6" w:space="0" w:color="auto"/>
              <w:bottom w:val="single" w:sz="6" w:space="0" w:color="auto"/>
              <w:right w:val="single" w:sz="6" w:space="0" w:color="auto"/>
            </w:tcBorders>
            <w:vAlign w:val="center"/>
          </w:tcPr>
          <w:p w:rsidR="00EE56C0" w:rsidRDefault="000F36A1">
            <w:pPr>
              <w:pStyle w:val="afa"/>
            </w:pPr>
            <w:r>
              <w:rPr>
                <w:rFonts w:hint="eastAsia"/>
              </w:rPr>
              <w:t>一级</w:t>
            </w:r>
          </w:p>
        </w:tc>
        <w:tc>
          <w:tcPr>
            <w:tcW w:w="415" w:type="pct"/>
            <w:tcBorders>
              <w:top w:val="single" w:sz="6" w:space="0" w:color="auto"/>
              <w:left w:val="single" w:sz="6" w:space="0" w:color="auto"/>
              <w:bottom w:val="single" w:sz="6" w:space="0" w:color="auto"/>
              <w:right w:val="single" w:sz="6" w:space="0" w:color="auto"/>
            </w:tcBorders>
            <w:vAlign w:val="center"/>
          </w:tcPr>
          <w:p w:rsidR="00EE56C0" w:rsidRDefault="000F36A1">
            <w:pPr>
              <w:pStyle w:val="afa"/>
            </w:pPr>
            <w:r>
              <w:rPr>
                <w:rFonts w:hint="eastAsia"/>
              </w:rPr>
              <w:t>一级</w:t>
            </w:r>
          </w:p>
        </w:tc>
        <w:tc>
          <w:tcPr>
            <w:tcW w:w="416" w:type="pct"/>
            <w:tcBorders>
              <w:top w:val="single" w:sz="6" w:space="0" w:color="auto"/>
              <w:left w:val="single" w:sz="6" w:space="0" w:color="auto"/>
              <w:bottom w:val="single" w:sz="6" w:space="0" w:color="auto"/>
              <w:right w:val="single" w:sz="6" w:space="0" w:color="auto"/>
            </w:tcBorders>
            <w:vAlign w:val="center"/>
          </w:tcPr>
          <w:p w:rsidR="00EE56C0" w:rsidRDefault="000F36A1">
            <w:pPr>
              <w:pStyle w:val="afa"/>
            </w:pPr>
            <w:r>
              <w:rPr>
                <w:rFonts w:hint="eastAsia"/>
              </w:rPr>
              <w:t>二级</w:t>
            </w:r>
          </w:p>
        </w:tc>
        <w:tc>
          <w:tcPr>
            <w:tcW w:w="416" w:type="pct"/>
            <w:tcBorders>
              <w:top w:val="single" w:sz="6" w:space="0" w:color="auto"/>
              <w:left w:val="single" w:sz="6" w:space="0" w:color="auto"/>
              <w:bottom w:val="single" w:sz="6" w:space="0" w:color="auto"/>
              <w:right w:val="single" w:sz="6" w:space="0" w:color="auto"/>
            </w:tcBorders>
            <w:vAlign w:val="center"/>
          </w:tcPr>
          <w:p w:rsidR="00EE56C0" w:rsidRDefault="000F36A1">
            <w:pPr>
              <w:pStyle w:val="afa"/>
            </w:pPr>
            <w:r>
              <w:rPr>
                <w:rFonts w:hint="eastAsia"/>
              </w:rPr>
              <w:t>二级</w:t>
            </w:r>
          </w:p>
        </w:tc>
        <w:tc>
          <w:tcPr>
            <w:tcW w:w="417" w:type="pct"/>
            <w:tcBorders>
              <w:top w:val="single" w:sz="6" w:space="0" w:color="auto"/>
              <w:left w:val="single" w:sz="6" w:space="0" w:color="auto"/>
              <w:bottom w:val="single" w:sz="6" w:space="0" w:color="auto"/>
              <w:right w:val="single" w:sz="6" w:space="0" w:color="auto"/>
            </w:tcBorders>
            <w:vAlign w:val="center"/>
          </w:tcPr>
          <w:p w:rsidR="00EE56C0" w:rsidRDefault="000F36A1">
            <w:pPr>
              <w:pStyle w:val="afa"/>
            </w:pPr>
            <w:r>
              <w:rPr>
                <w:rFonts w:hint="eastAsia"/>
              </w:rPr>
              <w:t>二级</w:t>
            </w:r>
          </w:p>
        </w:tc>
        <w:tc>
          <w:tcPr>
            <w:tcW w:w="416" w:type="pct"/>
            <w:tcBorders>
              <w:top w:val="single" w:sz="6" w:space="0" w:color="auto"/>
              <w:left w:val="single" w:sz="6" w:space="0" w:color="auto"/>
              <w:bottom w:val="single" w:sz="6" w:space="0" w:color="auto"/>
              <w:right w:val="single" w:sz="4" w:space="0" w:color="auto"/>
            </w:tcBorders>
            <w:vAlign w:val="center"/>
          </w:tcPr>
          <w:p w:rsidR="00EE56C0" w:rsidRDefault="000F36A1">
            <w:pPr>
              <w:pStyle w:val="afa"/>
            </w:pPr>
            <w:r>
              <w:rPr>
                <w:rFonts w:hint="eastAsia"/>
              </w:rPr>
              <w:t>三级</w:t>
            </w:r>
          </w:p>
        </w:tc>
        <w:tc>
          <w:tcPr>
            <w:tcW w:w="414" w:type="pct"/>
            <w:tcBorders>
              <w:top w:val="single" w:sz="6" w:space="0" w:color="auto"/>
              <w:left w:val="single" w:sz="4" w:space="0" w:color="auto"/>
              <w:bottom w:val="single" w:sz="6" w:space="0" w:color="auto"/>
              <w:right w:val="single" w:sz="4" w:space="0" w:color="auto"/>
            </w:tcBorders>
            <w:vAlign w:val="center"/>
          </w:tcPr>
          <w:p w:rsidR="00EE56C0" w:rsidRDefault="000F36A1">
            <w:pPr>
              <w:pStyle w:val="afa"/>
            </w:pPr>
            <w:r>
              <w:rPr>
                <w:rFonts w:hint="eastAsia"/>
              </w:rPr>
              <w:t>三级</w:t>
            </w:r>
          </w:p>
        </w:tc>
        <w:tc>
          <w:tcPr>
            <w:tcW w:w="450" w:type="pct"/>
            <w:tcBorders>
              <w:top w:val="single" w:sz="6" w:space="0" w:color="auto"/>
              <w:left w:val="single" w:sz="4" w:space="0" w:color="auto"/>
              <w:bottom w:val="single" w:sz="6" w:space="0" w:color="auto"/>
              <w:right w:val="single" w:sz="8" w:space="0" w:color="auto"/>
            </w:tcBorders>
            <w:vAlign w:val="center"/>
          </w:tcPr>
          <w:p w:rsidR="00EE56C0" w:rsidRDefault="000F36A1">
            <w:pPr>
              <w:pStyle w:val="afa"/>
            </w:pPr>
            <w:r>
              <w:rPr>
                <w:rFonts w:hint="eastAsia"/>
              </w:rPr>
              <w:t>三级</w:t>
            </w:r>
          </w:p>
        </w:tc>
      </w:tr>
      <w:tr w:rsidR="00EE56C0">
        <w:trPr>
          <w:trHeight w:val="510"/>
          <w:jc w:val="center"/>
        </w:trPr>
        <w:tc>
          <w:tcPr>
            <w:tcW w:w="1144" w:type="pct"/>
            <w:tcBorders>
              <w:top w:val="single" w:sz="6" w:space="0" w:color="auto"/>
              <w:left w:val="single" w:sz="8" w:space="0" w:color="auto"/>
              <w:bottom w:val="single" w:sz="6" w:space="0" w:color="auto"/>
              <w:right w:val="single" w:sz="6" w:space="0" w:color="auto"/>
            </w:tcBorders>
            <w:vAlign w:val="center"/>
          </w:tcPr>
          <w:p w:rsidR="00EE56C0" w:rsidRDefault="000F36A1">
            <w:pPr>
              <w:pStyle w:val="afa"/>
            </w:pPr>
            <w:r>
              <w:rPr>
                <w:rFonts w:hint="eastAsia"/>
              </w:rPr>
              <w:t>较敏感</w:t>
            </w:r>
          </w:p>
        </w:tc>
        <w:tc>
          <w:tcPr>
            <w:tcW w:w="499" w:type="pct"/>
            <w:tcBorders>
              <w:top w:val="single" w:sz="6" w:space="0" w:color="auto"/>
              <w:left w:val="single" w:sz="6" w:space="0" w:color="auto"/>
              <w:bottom w:val="single" w:sz="6" w:space="0" w:color="auto"/>
              <w:right w:val="single" w:sz="6" w:space="0" w:color="auto"/>
            </w:tcBorders>
            <w:vAlign w:val="center"/>
          </w:tcPr>
          <w:p w:rsidR="00EE56C0" w:rsidRDefault="000F36A1">
            <w:pPr>
              <w:pStyle w:val="afa"/>
            </w:pPr>
            <w:r>
              <w:rPr>
                <w:rFonts w:hint="eastAsia"/>
              </w:rPr>
              <w:t>一级</w:t>
            </w:r>
          </w:p>
        </w:tc>
        <w:tc>
          <w:tcPr>
            <w:tcW w:w="413" w:type="pct"/>
            <w:tcBorders>
              <w:top w:val="single" w:sz="6" w:space="0" w:color="auto"/>
              <w:left w:val="single" w:sz="6" w:space="0" w:color="auto"/>
              <w:bottom w:val="single" w:sz="6" w:space="0" w:color="auto"/>
              <w:right w:val="single" w:sz="6" w:space="0" w:color="auto"/>
            </w:tcBorders>
            <w:vAlign w:val="center"/>
          </w:tcPr>
          <w:p w:rsidR="00EE56C0" w:rsidRDefault="000F36A1">
            <w:pPr>
              <w:pStyle w:val="afa"/>
            </w:pPr>
            <w:r>
              <w:rPr>
                <w:rFonts w:hint="eastAsia"/>
              </w:rPr>
              <w:t>一级</w:t>
            </w:r>
          </w:p>
        </w:tc>
        <w:tc>
          <w:tcPr>
            <w:tcW w:w="415" w:type="pct"/>
            <w:tcBorders>
              <w:top w:val="single" w:sz="6" w:space="0" w:color="auto"/>
              <w:left w:val="single" w:sz="6" w:space="0" w:color="auto"/>
              <w:bottom w:val="single" w:sz="6" w:space="0" w:color="auto"/>
              <w:right w:val="single" w:sz="6" w:space="0" w:color="auto"/>
            </w:tcBorders>
            <w:vAlign w:val="center"/>
          </w:tcPr>
          <w:p w:rsidR="00EE56C0" w:rsidRDefault="000F36A1">
            <w:pPr>
              <w:pStyle w:val="afa"/>
            </w:pPr>
            <w:r>
              <w:rPr>
                <w:rFonts w:hint="eastAsia"/>
              </w:rPr>
              <w:t>二级</w:t>
            </w:r>
          </w:p>
        </w:tc>
        <w:tc>
          <w:tcPr>
            <w:tcW w:w="416" w:type="pct"/>
            <w:tcBorders>
              <w:top w:val="single" w:sz="6" w:space="0" w:color="auto"/>
              <w:left w:val="single" w:sz="6" w:space="0" w:color="auto"/>
              <w:bottom w:val="single" w:sz="6" w:space="0" w:color="auto"/>
              <w:right w:val="single" w:sz="6" w:space="0" w:color="auto"/>
            </w:tcBorders>
            <w:vAlign w:val="center"/>
          </w:tcPr>
          <w:p w:rsidR="00EE56C0" w:rsidRDefault="000F36A1">
            <w:pPr>
              <w:pStyle w:val="afa"/>
            </w:pPr>
            <w:r>
              <w:rPr>
                <w:rFonts w:hint="eastAsia"/>
              </w:rPr>
              <w:t>二级</w:t>
            </w:r>
          </w:p>
        </w:tc>
        <w:tc>
          <w:tcPr>
            <w:tcW w:w="416" w:type="pct"/>
            <w:tcBorders>
              <w:top w:val="single" w:sz="6" w:space="0" w:color="auto"/>
              <w:left w:val="single" w:sz="6" w:space="0" w:color="auto"/>
              <w:bottom w:val="single" w:sz="6" w:space="0" w:color="auto"/>
              <w:right w:val="single" w:sz="6" w:space="0" w:color="auto"/>
            </w:tcBorders>
            <w:vAlign w:val="center"/>
          </w:tcPr>
          <w:p w:rsidR="00EE56C0" w:rsidRDefault="000F36A1">
            <w:pPr>
              <w:pStyle w:val="afa"/>
            </w:pPr>
            <w:r>
              <w:rPr>
                <w:rFonts w:hint="eastAsia"/>
              </w:rPr>
              <w:t>二级</w:t>
            </w:r>
          </w:p>
        </w:tc>
        <w:tc>
          <w:tcPr>
            <w:tcW w:w="417" w:type="pct"/>
            <w:tcBorders>
              <w:top w:val="single" w:sz="6" w:space="0" w:color="auto"/>
              <w:left w:val="single" w:sz="6" w:space="0" w:color="auto"/>
              <w:bottom w:val="single" w:sz="6" w:space="0" w:color="auto"/>
              <w:right w:val="single" w:sz="6" w:space="0" w:color="auto"/>
            </w:tcBorders>
            <w:vAlign w:val="center"/>
          </w:tcPr>
          <w:p w:rsidR="00EE56C0" w:rsidRDefault="000F36A1">
            <w:pPr>
              <w:pStyle w:val="afa"/>
            </w:pPr>
            <w:r>
              <w:rPr>
                <w:rFonts w:hint="eastAsia"/>
              </w:rPr>
              <w:t>三级</w:t>
            </w:r>
          </w:p>
        </w:tc>
        <w:tc>
          <w:tcPr>
            <w:tcW w:w="416" w:type="pct"/>
            <w:tcBorders>
              <w:top w:val="single" w:sz="6" w:space="0" w:color="auto"/>
              <w:left w:val="single" w:sz="6" w:space="0" w:color="auto"/>
              <w:bottom w:val="single" w:sz="6" w:space="0" w:color="auto"/>
              <w:right w:val="single" w:sz="4" w:space="0" w:color="auto"/>
            </w:tcBorders>
            <w:vAlign w:val="center"/>
          </w:tcPr>
          <w:p w:rsidR="00EE56C0" w:rsidRDefault="000F36A1">
            <w:pPr>
              <w:pStyle w:val="afa"/>
            </w:pPr>
            <w:r>
              <w:rPr>
                <w:rFonts w:hint="eastAsia"/>
              </w:rPr>
              <w:t>三级</w:t>
            </w:r>
          </w:p>
        </w:tc>
        <w:tc>
          <w:tcPr>
            <w:tcW w:w="414" w:type="pct"/>
            <w:tcBorders>
              <w:top w:val="single" w:sz="6" w:space="0" w:color="auto"/>
              <w:left w:val="single" w:sz="4" w:space="0" w:color="auto"/>
              <w:bottom w:val="single" w:sz="6" w:space="0" w:color="auto"/>
              <w:right w:val="single" w:sz="4" w:space="0" w:color="auto"/>
            </w:tcBorders>
            <w:vAlign w:val="center"/>
          </w:tcPr>
          <w:p w:rsidR="00EE56C0" w:rsidRDefault="000F36A1">
            <w:pPr>
              <w:pStyle w:val="afa"/>
            </w:pPr>
            <w:r>
              <w:rPr>
                <w:rFonts w:hint="eastAsia"/>
              </w:rPr>
              <w:t>三级</w:t>
            </w:r>
          </w:p>
        </w:tc>
        <w:tc>
          <w:tcPr>
            <w:tcW w:w="450" w:type="pct"/>
            <w:tcBorders>
              <w:top w:val="single" w:sz="6" w:space="0" w:color="auto"/>
              <w:left w:val="single" w:sz="4" w:space="0" w:color="auto"/>
              <w:bottom w:val="single" w:sz="6" w:space="0" w:color="auto"/>
              <w:right w:val="single" w:sz="8" w:space="0" w:color="auto"/>
            </w:tcBorders>
            <w:vAlign w:val="center"/>
          </w:tcPr>
          <w:p w:rsidR="00EE56C0" w:rsidRDefault="000F36A1">
            <w:pPr>
              <w:pStyle w:val="afa"/>
            </w:pPr>
            <w:r>
              <w:t>-</w:t>
            </w:r>
          </w:p>
        </w:tc>
      </w:tr>
      <w:tr w:rsidR="00EE56C0">
        <w:trPr>
          <w:trHeight w:val="510"/>
          <w:jc w:val="center"/>
        </w:trPr>
        <w:tc>
          <w:tcPr>
            <w:tcW w:w="1144" w:type="pct"/>
            <w:tcBorders>
              <w:top w:val="single" w:sz="6" w:space="0" w:color="auto"/>
              <w:left w:val="single" w:sz="8" w:space="0" w:color="auto"/>
              <w:bottom w:val="single" w:sz="6" w:space="0" w:color="auto"/>
              <w:right w:val="single" w:sz="6" w:space="0" w:color="auto"/>
            </w:tcBorders>
            <w:vAlign w:val="center"/>
          </w:tcPr>
          <w:p w:rsidR="00EE56C0" w:rsidRDefault="000F36A1">
            <w:pPr>
              <w:pStyle w:val="afa"/>
            </w:pPr>
            <w:r>
              <w:rPr>
                <w:rFonts w:hint="eastAsia"/>
              </w:rPr>
              <w:t>不敏感</w:t>
            </w:r>
          </w:p>
        </w:tc>
        <w:tc>
          <w:tcPr>
            <w:tcW w:w="499" w:type="pct"/>
            <w:tcBorders>
              <w:top w:val="single" w:sz="6" w:space="0" w:color="auto"/>
              <w:left w:val="single" w:sz="6" w:space="0" w:color="auto"/>
              <w:bottom w:val="single" w:sz="6" w:space="0" w:color="auto"/>
              <w:right w:val="single" w:sz="6" w:space="0" w:color="auto"/>
            </w:tcBorders>
            <w:vAlign w:val="center"/>
          </w:tcPr>
          <w:p w:rsidR="00EE56C0" w:rsidRDefault="000F36A1">
            <w:pPr>
              <w:pStyle w:val="afa"/>
            </w:pPr>
            <w:r>
              <w:rPr>
                <w:rFonts w:hint="eastAsia"/>
              </w:rPr>
              <w:t>一级</w:t>
            </w:r>
          </w:p>
        </w:tc>
        <w:tc>
          <w:tcPr>
            <w:tcW w:w="413" w:type="pct"/>
            <w:tcBorders>
              <w:top w:val="single" w:sz="6" w:space="0" w:color="auto"/>
              <w:left w:val="single" w:sz="6" w:space="0" w:color="auto"/>
              <w:bottom w:val="single" w:sz="6" w:space="0" w:color="auto"/>
              <w:right w:val="single" w:sz="6" w:space="0" w:color="auto"/>
            </w:tcBorders>
            <w:vAlign w:val="center"/>
          </w:tcPr>
          <w:p w:rsidR="00EE56C0" w:rsidRDefault="000F36A1">
            <w:pPr>
              <w:pStyle w:val="afa"/>
            </w:pPr>
            <w:r>
              <w:rPr>
                <w:rFonts w:hint="eastAsia"/>
              </w:rPr>
              <w:t>二级</w:t>
            </w:r>
          </w:p>
        </w:tc>
        <w:tc>
          <w:tcPr>
            <w:tcW w:w="415" w:type="pct"/>
            <w:tcBorders>
              <w:top w:val="single" w:sz="6" w:space="0" w:color="auto"/>
              <w:left w:val="single" w:sz="6" w:space="0" w:color="auto"/>
              <w:bottom w:val="single" w:sz="6" w:space="0" w:color="auto"/>
              <w:right w:val="single" w:sz="6" w:space="0" w:color="auto"/>
            </w:tcBorders>
            <w:vAlign w:val="center"/>
          </w:tcPr>
          <w:p w:rsidR="00EE56C0" w:rsidRDefault="000F36A1">
            <w:pPr>
              <w:pStyle w:val="afa"/>
            </w:pPr>
            <w:r>
              <w:rPr>
                <w:rFonts w:hint="eastAsia"/>
              </w:rPr>
              <w:t>二级</w:t>
            </w:r>
          </w:p>
        </w:tc>
        <w:tc>
          <w:tcPr>
            <w:tcW w:w="416" w:type="pct"/>
            <w:tcBorders>
              <w:top w:val="single" w:sz="6" w:space="0" w:color="auto"/>
              <w:left w:val="single" w:sz="6" w:space="0" w:color="auto"/>
              <w:bottom w:val="single" w:sz="6" w:space="0" w:color="auto"/>
              <w:right w:val="single" w:sz="6" w:space="0" w:color="auto"/>
            </w:tcBorders>
            <w:vAlign w:val="center"/>
          </w:tcPr>
          <w:p w:rsidR="00EE56C0" w:rsidRDefault="000F36A1">
            <w:pPr>
              <w:pStyle w:val="afa"/>
            </w:pPr>
            <w:r>
              <w:rPr>
                <w:rFonts w:hint="eastAsia"/>
              </w:rPr>
              <w:t>二级</w:t>
            </w:r>
          </w:p>
        </w:tc>
        <w:tc>
          <w:tcPr>
            <w:tcW w:w="416" w:type="pct"/>
            <w:tcBorders>
              <w:top w:val="single" w:sz="6" w:space="0" w:color="auto"/>
              <w:left w:val="single" w:sz="6" w:space="0" w:color="auto"/>
              <w:bottom w:val="single" w:sz="6" w:space="0" w:color="auto"/>
              <w:right w:val="single" w:sz="6" w:space="0" w:color="auto"/>
            </w:tcBorders>
            <w:vAlign w:val="center"/>
          </w:tcPr>
          <w:p w:rsidR="00EE56C0" w:rsidRDefault="000F36A1">
            <w:pPr>
              <w:pStyle w:val="afa"/>
            </w:pPr>
            <w:r>
              <w:rPr>
                <w:rFonts w:hint="eastAsia"/>
              </w:rPr>
              <w:t>三级</w:t>
            </w:r>
          </w:p>
        </w:tc>
        <w:tc>
          <w:tcPr>
            <w:tcW w:w="417" w:type="pct"/>
            <w:tcBorders>
              <w:top w:val="single" w:sz="6" w:space="0" w:color="auto"/>
              <w:left w:val="single" w:sz="6" w:space="0" w:color="auto"/>
              <w:bottom w:val="single" w:sz="6" w:space="0" w:color="auto"/>
              <w:right w:val="single" w:sz="6" w:space="0" w:color="auto"/>
            </w:tcBorders>
            <w:vAlign w:val="center"/>
          </w:tcPr>
          <w:p w:rsidR="00EE56C0" w:rsidRDefault="000F36A1">
            <w:pPr>
              <w:pStyle w:val="afa"/>
            </w:pPr>
            <w:r>
              <w:rPr>
                <w:rFonts w:hint="eastAsia"/>
              </w:rPr>
              <w:t>三级</w:t>
            </w:r>
          </w:p>
        </w:tc>
        <w:tc>
          <w:tcPr>
            <w:tcW w:w="416" w:type="pct"/>
            <w:tcBorders>
              <w:top w:val="single" w:sz="6" w:space="0" w:color="auto"/>
              <w:left w:val="single" w:sz="6" w:space="0" w:color="auto"/>
              <w:bottom w:val="single" w:sz="6" w:space="0" w:color="auto"/>
              <w:right w:val="single" w:sz="4" w:space="0" w:color="auto"/>
            </w:tcBorders>
            <w:vAlign w:val="center"/>
          </w:tcPr>
          <w:p w:rsidR="00EE56C0" w:rsidRDefault="000F36A1">
            <w:pPr>
              <w:pStyle w:val="afa"/>
            </w:pPr>
            <w:r>
              <w:rPr>
                <w:rFonts w:hint="eastAsia"/>
              </w:rPr>
              <w:t>三级</w:t>
            </w:r>
          </w:p>
        </w:tc>
        <w:tc>
          <w:tcPr>
            <w:tcW w:w="414" w:type="pct"/>
            <w:tcBorders>
              <w:top w:val="single" w:sz="6" w:space="0" w:color="auto"/>
              <w:left w:val="single" w:sz="4" w:space="0" w:color="auto"/>
              <w:bottom w:val="single" w:sz="6" w:space="0" w:color="auto"/>
              <w:right w:val="single" w:sz="4" w:space="0" w:color="auto"/>
            </w:tcBorders>
            <w:vAlign w:val="center"/>
          </w:tcPr>
          <w:p w:rsidR="00EE56C0" w:rsidRDefault="000F36A1">
            <w:pPr>
              <w:pStyle w:val="afa"/>
            </w:pPr>
            <w:r>
              <w:t>-</w:t>
            </w:r>
          </w:p>
        </w:tc>
        <w:tc>
          <w:tcPr>
            <w:tcW w:w="450" w:type="pct"/>
            <w:tcBorders>
              <w:top w:val="single" w:sz="6" w:space="0" w:color="auto"/>
              <w:left w:val="single" w:sz="4" w:space="0" w:color="auto"/>
              <w:bottom w:val="single" w:sz="6" w:space="0" w:color="auto"/>
              <w:right w:val="single" w:sz="8" w:space="0" w:color="auto"/>
            </w:tcBorders>
            <w:vAlign w:val="center"/>
          </w:tcPr>
          <w:p w:rsidR="00EE56C0" w:rsidRDefault="000F36A1">
            <w:pPr>
              <w:pStyle w:val="afa"/>
            </w:pPr>
            <w:r>
              <w:t>-</w:t>
            </w:r>
          </w:p>
        </w:tc>
      </w:tr>
      <w:tr w:rsidR="00EE56C0">
        <w:trPr>
          <w:trHeight w:val="510"/>
          <w:jc w:val="center"/>
        </w:trPr>
        <w:tc>
          <w:tcPr>
            <w:tcW w:w="5000" w:type="pct"/>
            <w:gridSpan w:val="10"/>
            <w:tcBorders>
              <w:top w:val="single" w:sz="6" w:space="0" w:color="auto"/>
              <w:left w:val="single" w:sz="8" w:space="0" w:color="auto"/>
              <w:bottom w:val="single" w:sz="8" w:space="0" w:color="auto"/>
              <w:right w:val="single" w:sz="8" w:space="0" w:color="auto"/>
            </w:tcBorders>
            <w:vAlign w:val="center"/>
          </w:tcPr>
          <w:p w:rsidR="00EE56C0" w:rsidRDefault="000F36A1">
            <w:pPr>
              <w:pStyle w:val="afa"/>
            </w:pPr>
            <w:r>
              <w:rPr>
                <w:rFonts w:hint="eastAsia"/>
              </w:rPr>
              <w:t>注：“</w:t>
            </w:r>
            <w:r>
              <w:t>-</w:t>
            </w:r>
            <w:r>
              <w:rPr>
                <w:rFonts w:hint="eastAsia"/>
              </w:rPr>
              <w:t>”表示可不开展土壤环境影响评价工作。</w:t>
            </w:r>
          </w:p>
        </w:tc>
      </w:tr>
    </w:tbl>
    <w:p w:rsidR="00EE56C0" w:rsidRDefault="000F36A1">
      <w:pPr>
        <w:pStyle w:val="3"/>
        <w:spacing w:before="240" w:after="120"/>
      </w:pPr>
      <w:r>
        <w:rPr>
          <w:rFonts w:hint="eastAsia"/>
        </w:rPr>
        <w:t>2.5.5</w:t>
      </w:r>
      <w:r>
        <w:rPr>
          <w:rFonts w:hint="eastAsia"/>
        </w:rPr>
        <w:t>声环境评价等级</w:t>
      </w:r>
      <w:bookmarkEnd w:id="97"/>
      <w:bookmarkEnd w:id="98"/>
      <w:bookmarkEnd w:id="99"/>
    </w:p>
    <w:p w:rsidR="00EE56C0" w:rsidRDefault="000F36A1">
      <w:pPr>
        <w:ind w:firstLine="480"/>
      </w:pPr>
      <w:r>
        <w:rPr>
          <w:rFonts w:hint="eastAsia"/>
        </w:rPr>
        <w:t>根据《环境影响评价技术导则</w:t>
      </w:r>
      <w:r>
        <w:rPr>
          <w:rFonts w:hint="eastAsia"/>
        </w:rPr>
        <w:t xml:space="preserve">  </w:t>
      </w:r>
      <w:r>
        <w:rPr>
          <w:rFonts w:hint="eastAsia"/>
        </w:rPr>
        <w:t>声环境》（</w:t>
      </w:r>
      <w:r>
        <w:rPr>
          <w:rFonts w:hint="eastAsia"/>
        </w:rPr>
        <w:t>HJ2.4-2009</w:t>
      </w:r>
      <w:r>
        <w:rPr>
          <w:rFonts w:hint="eastAsia"/>
        </w:rPr>
        <w:t>）有关评价等级划分原则，确定拟建工程声环境影响评价等级为三级，评价依据详见表</w:t>
      </w:r>
      <w:r>
        <w:rPr>
          <w:rFonts w:hint="eastAsia"/>
        </w:rPr>
        <w:t>2-7</w:t>
      </w:r>
      <w:r>
        <w:rPr>
          <w:rFonts w:hint="eastAsia"/>
        </w:rPr>
        <w:t>。</w:t>
      </w:r>
    </w:p>
    <w:p w:rsidR="00EE56C0" w:rsidRDefault="000F36A1">
      <w:pPr>
        <w:pStyle w:val="afd"/>
        <w:spacing w:before="120" w:after="120"/>
        <w:ind w:firstLine="482"/>
      </w:pPr>
      <w:r>
        <w:t>表</w:t>
      </w:r>
      <w:r>
        <w:rPr>
          <w:rFonts w:hint="eastAsia"/>
        </w:rPr>
        <w:t>2</w:t>
      </w:r>
      <w:r>
        <w:t>-</w:t>
      </w:r>
      <w:r>
        <w:rPr>
          <w:rFonts w:hint="eastAsia"/>
        </w:rPr>
        <w:t xml:space="preserve">7                      </w:t>
      </w:r>
      <w:r>
        <w:t>声环境评价等级</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4508"/>
        <w:gridCol w:w="4020"/>
      </w:tblGrid>
      <w:tr w:rsidR="00EE56C0">
        <w:trPr>
          <w:trHeight w:val="454"/>
          <w:jc w:val="center"/>
        </w:trPr>
        <w:tc>
          <w:tcPr>
            <w:tcW w:w="2643" w:type="pct"/>
            <w:vAlign w:val="center"/>
          </w:tcPr>
          <w:p w:rsidR="00EE56C0" w:rsidRDefault="000F36A1">
            <w:pPr>
              <w:pStyle w:val="aff1"/>
              <w:rPr>
                <w:color w:val="auto"/>
              </w:rPr>
            </w:pPr>
            <w:r>
              <w:rPr>
                <w:color w:val="auto"/>
              </w:rPr>
              <w:t>项</w:t>
            </w:r>
            <w:r>
              <w:rPr>
                <w:color w:val="auto"/>
              </w:rPr>
              <w:t xml:space="preserve">    </w:t>
            </w:r>
            <w:r>
              <w:rPr>
                <w:color w:val="auto"/>
              </w:rPr>
              <w:t>目</w:t>
            </w:r>
          </w:p>
        </w:tc>
        <w:tc>
          <w:tcPr>
            <w:tcW w:w="2357" w:type="pct"/>
            <w:vAlign w:val="center"/>
          </w:tcPr>
          <w:p w:rsidR="00EE56C0" w:rsidRDefault="000F36A1">
            <w:pPr>
              <w:pStyle w:val="aff1"/>
              <w:rPr>
                <w:color w:val="auto"/>
              </w:rPr>
            </w:pPr>
            <w:r>
              <w:rPr>
                <w:color w:val="auto"/>
              </w:rPr>
              <w:t>指</w:t>
            </w:r>
            <w:r>
              <w:rPr>
                <w:color w:val="auto"/>
              </w:rPr>
              <w:t xml:space="preserve">   </w:t>
            </w:r>
            <w:r>
              <w:rPr>
                <w:color w:val="auto"/>
              </w:rPr>
              <w:t>标</w:t>
            </w:r>
          </w:p>
        </w:tc>
      </w:tr>
      <w:tr w:rsidR="00EE56C0">
        <w:trPr>
          <w:trHeight w:val="454"/>
          <w:jc w:val="center"/>
        </w:trPr>
        <w:tc>
          <w:tcPr>
            <w:tcW w:w="2643" w:type="pct"/>
            <w:vAlign w:val="center"/>
          </w:tcPr>
          <w:p w:rsidR="00EE56C0" w:rsidRDefault="000F36A1">
            <w:pPr>
              <w:pStyle w:val="afa"/>
            </w:pPr>
            <w:r>
              <w:t>建设项目所在区功能</w:t>
            </w:r>
          </w:p>
        </w:tc>
        <w:tc>
          <w:tcPr>
            <w:tcW w:w="2357" w:type="pct"/>
            <w:vAlign w:val="center"/>
          </w:tcPr>
          <w:p w:rsidR="00EE56C0" w:rsidRDefault="000F36A1">
            <w:pPr>
              <w:pStyle w:val="afa"/>
            </w:pPr>
            <w:r>
              <w:rPr>
                <w:rFonts w:hint="eastAsia"/>
              </w:rPr>
              <w:t>3</w:t>
            </w:r>
            <w:r>
              <w:rPr>
                <w:rFonts w:hint="eastAsia"/>
              </w:rPr>
              <w:t>类</w:t>
            </w:r>
          </w:p>
        </w:tc>
      </w:tr>
      <w:tr w:rsidR="00EE56C0">
        <w:trPr>
          <w:trHeight w:val="454"/>
          <w:jc w:val="center"/>
        </w:trPr>
        <w:tc>
          <w:tcPr>
            <w:tcW w:w="2643" w:type="pct"/>
            <w:vAlign w:val="center"/>
          </w:tcPr>
          <w:p w:rsidR="00EE56C0" w:rsidRDefault="000F36A1">
            <w:pPr>
              <w:pStyle w:val="afa"/>
            </w:pPr>
            <w:r>
              <w:t>建设前后噪声级增加量</w:t>
            </w:r>
          </w:p>
        </w:tc>
        <w:tc>
          <w:tcPr>
            <w:tcW w:w="2357" w:type="pct"/>
            <w:vAlign w:val="center"/>
          </w:tcPr>
          <w:p w:rsidR="00EE56C0" w:rsidRDefault="000F36A1">
            <w:pPr>
              <w:pStyle w:val="afa"/>
            </w:pPr>
            <w:r>
              <w:t>声级增加量</w:t>
            </w:r>
            <w:r>
              <w:rPr>
                <w:rFonts w:hint="eastAsia"/>
              </w:rPr>
              <w:t>小于</w:t>
            </w:r>
            <w:r>
              <w:t>3dB</w:t>
            </w:r>
            <w:r>
              <w:t>（</w:t>
            </w:r>
            <w:r>
              <w:t>A</w:t>
            </w:r>
            <w:r>
              <w:t>）</w:t>
            </w:r>
          </w:p>
        </w:tc>
      </w:tr>
      <w:tr w:rsidR="00EE56C0">
        <w:trPr>
          <w:trHeight w:val="454"/>
          <w:jc w:val="center"/>
        </w:trPr>
        <w:tc>
          <w:tcPr>
            <w:tcW w:w="2643" w:type="pct"/>
            <w:vAlign w:val="center"/>
          </w:tcPr>
          <w:p w:rsidR="00EE56C0" w:rsidRDefault="000F36A1">
            <w:pPr>
              <w:pStyle w:val="afa"/>
            </w:pPr>
            <w:r>
              <w:lastRenderedPageBreak/>
              <w:t>建设前后受影响人口变化情况</w:t>
            </w:r>
          </w:p>
        </w:tc>
        <w:tc>
          <w:tcPr>
            <w:tcW w:w="2357" w:type="pct"/>
            <w:vAlign w:val="center"/>
          </w:tcPr>
          <w:p w:rsidR="00EE56C0" w:rsidRDefault="000F36A1">
            <w:pPr>
              <w:pStyle w:val="afa"/>
            </w:pPr>
            <w:r>
              <w:t>变化不大</w:t>
            </w:r>
          </w:p>
        </w:tc>
      </w:tr>
      <w:tr w:rsidR="00EE56C0">
        <w:trPr>
          <w:trHeight w:val="454"/>
          <w:jc w:val="center"/>
        </w:trPr>
        <w:tc>
          <w:tcPr>
            <w:tcW w:w="2643" w:type="pct"/>
            <w:vAlign w:val="center"/>
          </w:tcPr>
          <w:p w:rsidR="00EE56C0" w:rsidRDefault="000F36A1">
            <w:pPr>
              <w:pStyle w:val="afa"/>
            </w:pPr>
            <w:r>
              <w:t>评价等级</w:t>
            </w:r>
          </w:p>
        </w:tc>
        <w:tc>
          <w:tcPr>
            <w:tcW w:w="2357" w:type="pct"/>
            <w:vAlign w:val="center"/>
          </w:tcPr>
          <w:p w:rsidR="00EE56C0" w:rsidRDefault="000F36A1">
            <w:pPr>
              <w:pStyle w:val="afa"/>
            </w:pPr>
            <w:r>
              <w:rPr>
                <w:rFonts w:hint="eastAsia"/>
              </w:rPr>
              <w:t>三级</w:t>
            </w:r>
          </w:p>
        </w:tc>
      </w:tr>
    </w:tbl>
    <w:p w:rsidR="00EE56C0" w:rsidRDefault="000F36A1">
      <w:pPr>
        <w:pStyle w:val="3"/>
        <w:spacing w:before="240" w:after="120"/>
      </w:pPr>
      <w:bookmarkStart w:id="100" w:name="_Toc428287170"/>
      <w:bookmarkStart w:id="101" w:name="_Toc428287522"/>
      <w:bookmarkStart w:id="102" w:name="_Toc428286776"/>
      <w:r>
        <w:rPr>
          <w:rFonts w:hint="eastAsia"/>
        </w:rPr>
        <w:t>2.5.6</w:t>
      </w:r>
      <w:r>
        <w:rPr>
          <w:rFonts w:hint="eastAsia"/>
        </w:rPr>
        <w:t>环境风险评价等级</w:t>
      </w:r>
      <w:bookmarkEnd w:id="100"/>
      <w:bookmarkEnd w:id="101"/>
      <w:bookmarkEnd w:id="102"/>
    </w:p>
    <w:p w:rsidR="00EE56C0" w:rsidRDefault="000F36A1">
      <w:pPr>
        <w:ind w:firstLine="480"/>
      </w:pPr>
      <w:bookmarkStart w:id="103" w:name="_Toc174155856"/>
      <w:bookmarkStart w:id="104" w:name="_Toc428287164"/>
      <w:bookmarkStart w:id="105" w:name="_Toc428286770"/>
      <w:bookmarkStart w:id="106" w:name="_Toc429318382"/>
      <w:bookmarkStart w:id="107" w:name="_Toc429318385"/>
      <w:bookmarkStart w:id="108" w:name="_Toc428287172"/>
      <w:bookmarkStart w:id="109" w:name="_Toc428286778"/>
      <w:r>
        <w:rPr>
          <w:rFonts w:hint="eastAsia"/>
        </w:rPr>
        <w:t>根据《建设项目环境风险评价技术导则》（</w:t>
      </w:r>
      <w:r>
        <w:rPr>
          <w:rFonts w:hint="eastAsia"/>
        </w:rPr>
        <w:t>HJ/T169-2018</w:t>
      </w:r>
      <w:r>
        <w:rPr>
          <w:rFonts w:hint="eastAsia"/>
        </w:rPr>
        <w:t>），风险评价工作级别划分见表</w:t>
      </w:r>
      <w:r>
        <w:rPr>
          <w:rFonts w:hint="eastAsia"/>
        </w:rPr>
        <w:t>2</w:t>
      </w:r>
      <w:r>
        <w:t>-</w:t>
      </w:r>
      <w:r>
        <w:rPr>
          <w:rFonts w:hint="eastAsia"/>
        </w:rPr>
        <w:t>8</w:t>
      </w:r>
      <w:r>
        <w:rPr>
          <w:rFonts w:hint="eastAsia"/>
        </w:rPr>
        <w:t>。</w:t>
      </w:r>
    </w:p>
    <w:p w:rsidR="00EE56C0" w:rsidRDefault="000F36A1">
      <w:pPr>
        <w:pStyle w:val="afd"/>
        <w:spacing w:before="120" w:after="120"/>
        <w:ind w:firstLine="482"/>
      </w:pPr>
      <w:r>
        <w:rPr>
          <w:rFonts w:hint="eastAsia"/>
        </w:rPr>
        <w:t>表</w:t>
      </w:r>
      <w:r>
        <w:rPr>
          <w:rFonts w:hint="eastAsia"/>
        </w:rPr>
        <w:t>2</w:t>
      </w:r>
      <w:r>
        <w:t>-</w:t>
      </w:r>
      <w:r>
        <w:rPr>
          <w:rFonts w:hint="eastAsia"/>
        </w:rPr>
        <w:t xml:space="preserve">8                </w:t>
      </w:r>
      <w:r>
        <w:rPr>
          <w:rFonts w:hint="eastAsia"/>
        </w:rPr>
        <w:t>评价等级划分一览表</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1701"/>
        <w:gridCol w:w="1709"/>
        <w:gridCol w:w="1706"/>
        <w:gridCol w:w="1706"/>
        <w:gridCol w:w="1706"/>
      </w:tblGrid>
      <w:tr w:rsidR="00EE56C0">
        <w:trPr>
          <w:trHeight w:val="425"/>
          <w:jc w:val="center"/>
        </w:trPr>
        <w:tc>
          <w:tcPr>
            <w:tcW w:w="998" w:type="pct"/>
            <w:vAlign w:val="center"/>
          </w:tcPr>
          <w:p w:rsidR="00EE56C0" w:rsidRDefault="000F36A1">
            <w:pPr>
              <w:pStyle w:val="aff1"/>
              <w:rPr>
                <w:color w:val="auto"/>
              </w:rPr>
            </w:pPr>
            <w:r>
              <w:rPr>
                <w:rFonts w:hint="eastAsia"/>
                <w:color w:val="auto"/>
              </w:rPr>
              <w:t>环境风险潜势</w:t>
            </w:r>
          </w:p>
        </w:tc>
        <w:tc>
          <w:tcPr>
            <w:tcW w:w="1002" w:type="pct"/>
            <w:vAlign w:val="center"/>
          </w:tcPr>
          <w:p w:rsidR="00EE56C0" w:rsidRDefault="000F36A1">
            <w:pPr>
              <w:pStyle w:val="aff1"/>
              <w:rPr>
                <w:color w:val="auto"/>
              </w:rPr>
            </w:pPr>
            <w:r>
              <w:rPr>
                <w:rFonts w:hint="eastAsia"/>
                <w:color w:val="auto"/>
              </w:rPr>
              <w:t>Ⅳ、Ⅳ</w:t>
            </w:r>
            <w:r>
              <w:rPr>
                <w:rFonts w:hint="eastAsia"/>
                <w:color w:val="auto"/>
                <w:vertAlign w:val="superscript"/>
              </w:rPr>
              <w:t>+</w:t>
            </w:r>
          </w:p>
        </w:tc>
        <w:tc>
          <w:tcPr>
            <w:tcW w:w="1000" w:type="pct"/>
            <w:vAlign w:val="center"/>
          </w:tcPr>
          <w:p w:rsidR="00EE56C0" w:rsidRDefault="000F36A1">
            <w:pPr>
              <w:pStyle w:val="aff1"/>
              <w:rPr>
                <w:color w:val="auto"/>
              </w:rPr>
            </w:pPr>
            <w:r>
              <w:rPr>
                <w:rFonts w:hint="eastAsia"/>
                <w:color w:val="auto"/>
              </w:rPr>
              <w:t>Ⅲ</w:t>
            </w:r>
          </w:p>
        </w:tc>
        <w:tc>
          <w:tcPr>
            <w:tcW w:w="1000" w:type="pct"/>
            <w:vAlign w:val="center"/>
          </w:tcPr>
          <w:p w:rsidR="00EE56C0" w:rsidRDefault="000F36A1">
            <w:pPr>
              <w:pStyle w:val="aff1"/>
              <w:rPr>
                <w:color w:val="auto"/>
              </w:rPr>
            </w:pPr>
            <w:r>
              <w:rPr>
                <w:rFonts w:hint="eastAsia"/>
                <w:color w:val="auto"/>
              </w:rPr>
              <w:t>Ⅱ</w:t>
            </w:r>
          </w:p>
        </w:tc>
        <w:tc>
          <w:tcPr>
            <w:tcW w:w="1000" w:type="pct"/>
            <w:vAlign w:val="center"/>
          </w:tcPr>
          <w:p w:rsidR="00EE56C0" w:rsidRDefault="000F36A1">
            <w:pPr>
              <w:pStyle w:val="aff1"/>
              <w:rPr>
                <w:color w:val="auto"/>
              </w:rPr>
            </w:pPr>
            <w:r>
              <w:rPr>
                <w:rFonts w:hint="eastAsia"/>
                <w:color w:val="auto"/>
              </w:rPr>
              <w:t>Ⅰ</w:t>
            </w:r>
          </w:p>
        </w:tc>
      </w:tr>
      <w:tr w:rsidR="00EE56C0">
        <w:trPr>
          <w:trHeight w:val="425"/>
          <w:jc w:val="center"/>
        </w:trPr>
        <w:tc>
          <w:tcPr>
            <w:tcW w:w="998" w:type="pct"/>
            <w:vAlign w:val="center"/>
          </w:tcPr>
          <w:p w:rsidR="00EE56C0" w:rsidRDefault="000F36A1">
            <w:pPr>
              <w:pStyle w:val="afa"/>
            </w:pPr>
            <w:r>
              <w:rPr>
                <w:rFonts w:hint="eastAsia"/>
              </w:rPr>
              <w:t>评价工作等级</w:t>
            </w:r>
          </w:p>
        </w:tc>
        <w:tc>
          <w:tcPr>
            <w:tcW w:w="1002" w:type="pct"/>
            <w:vAlign w:val="center"/>
          </w:tcPr>
          <w:p w:rsidR="00EE56C0" w:rsidRDefault="000F36A1">
            <w:pPr>
              <w:pStyle w:val="afa"/>
            </w:pPr>
            <w:r>
              <w:rPr>
                <w:rFonts w:hint="eastAsia"/>
              </w:rPr>
              <w:t>一</w:t>
            </w:r>
          </w:p>
        </w:tc>
        <w:tc>
          <w:tcPr>
            <w:tcW w:w="1000" w:type="pct"/>
            <w:vAlign w:val="center"/>
          </w:tcPr>
          <w:p w:rsidR="00EE56C0" w:rsidRDefault="000F36A1">
            <w:pPr>
              <w:pStyle w:val="afa"/>
            </w:pPr>
            <w:r>
              <w:rPr>
                <w:rFonts w:hint="eastAsia"/>
              </w:rPr>
              <w:t>二</w:t>
            </w:r>
          </w:p>
        </w:tc>
        <w:tc>
          <w:tcPr>
            <w:tcW w:w="1000" w:type="pct"/>
            <w:vAlign w:val="center"/>
          </w:tcPr>
          <w:p w:rsidR="00EE56C0" w:rsidRDefault="000F36A1">
            <w:pPr>
              <w:pStyle w:val="afa"/>
            </w:pPr>
            <w:r>
              <w:rPr>
                <w:rFonts w:hint="eastAsia"/>
              </w:rPr>
              <w:t>三</w:t>
            </w:r>
          </w:p>
        </w:tc>
        <w:tc>
          <w:tcPr>
            <w:tcW w:w="1000" w:type="pct"/>
            <w:vAlign w:val="center"/>
          </w:tcPr>
          <w:p w:rsidR="00EE56C0" w:rsidRDefault="000F36A1">
            <w:pPr>
              <w:pStyle w:val="afa"/>
            </w:pPr>
            <w:r>
              <w:rPr>
                <w:rFonts w:hint="eastAsia"/>
              </w:rPr>
              <w:t>简单分析</w:t>
            </w:r>
          </w:p>
        </w:tc>
      </w:tr>
    </w:tbl>
    <w:p w:rsidR="00EE56C0" w:rsidRDefault="000F36A1">
      <w:pPr>
        <w:ind w:firstLine="480"/>
      </w:pPr>
      <w:r>
        <w:rPr>
          <w:rFonts w:hint="eastAsia"/>
          <w:szCs w:val="24"/>
        </w:rPr>
        <w:t>本项目风险潜势为</w:t>
      </w:r>
      <w:r>
        <w:rPr>
          <w:rFonts w:hint="eastAsia"/>
          <w:szCs w:val="24"/>
        </w:rPr>
        <w:t>I</w:t>
      </w:r>
      <w:r>
        <w:rPr>
          <w:szCs w:val="24"/>
        </w:rPr>
        <w:t>级</w:t>
      </w:r>
      <w:r>
        <w:rPr>
          <w:rFonts w:hint="eastAsia"/>
          <w:szCs w:val="24"/>
        </w:rPr>
        <w:t>，因此开展简单分析即可。</w:t>
      </w:r>
    </w:p>
    <w:p w:rsidR="00EE56C0" w:rsidRDefault="000F36A1">
      <w:pPr>
        <w:pStyle w:val="2"/>
        <w:ind w:firstLine="301"/>
      </w:pPr>
      <w:bookmarkStart w:id="110" w:name="_Toc25400895"/>
      <w:r>
        <w:rPr>
          <w:rFonts w:hint="eastAsia"/>
        </w:rPr>
        <w:t>2.6</w:t>
      </w:r>
      <w:r>
        <w:rPr>
          <w:rFonts w:hint="eastAsia"/>
        </w:rPr>
        <w:t>污染控制与环境保护目标</w:t>
      </w:r>
      <w:bookmarkEnd w:id="103"/>
      <w:bookmarkEnd w:id="104"/>
      <w:bookmarkEnd w:id="105"/>
      <w:bookmarkEnd w:id="106"/>
      <w:bookmarkEnd w:id="110"/>
    </w:p>
    <w:p w:rsidR="00EE56C0" w:rsidRDefault="000F36A1">
      <w:pPr>
        <w:ind w:firstLine="480"/>
      </w:pPr>
      <w:r>
        <w:rPr>
          <w:rFonts w:hint="eastAsia"/>
        </w:rPr>
        <w:t>根据本项目特点，污染控制主要依据以下原则：</w:t>
      </w:r>
    </w:p>
    <w:p w:rsidR="00EE56C0" w:rsidRDefault="000F36A1">
      <w:pPr>
        <w:ind w:firstLine="480"/>
      </w:pPr>
      <w:r>
        <w:rPr>
          <w:rFonts w:hint="eastAsia"/>
        </w:rPr>
        <w:t>（</w:t>
      </w:r>
      <w:r>
        <w:rPr>
          <w:rFonts w:hint="eastAsia"/>
        </w:rPr>
        <w:t>1</w:t>
      </w:r>
      <w:r>
        <w:rPr>
          <w:rFonts w:hint="eastAsia"/>
        </w:rPr>
        <w:t>）以废气、固废污染控制为主；</w:t>
      </w:r>
    </w:p>
    <w:p w:rsidR="00EE56C0" w:rsidRDefault="000F36A1">
      <w:pPr>
        <w:ind w:firstLine="480"/>
      </w:pPr>
      <w:r>
        <w:rPr>
          <w:rFonts w:hint="eastAsia"/>
        </w:rPr>
        <w:t>（</w:t>
      </w:r>
      <w:r>
        <w:rPr>
          <w:rFonts w:hint="eastAsia"/>
        </w:rPr>
        <w:t>2</w:t>
      </w:r>
      <w:r>
        <w:rPr>
          <w:rFonts w:hint="eastAsia"/>
        </w:rPr>
        <w:t>）满足“清洁生产、达标排放、增产减污、总量控制”的要求；</w:t>
      </w:r>
    </w:p>
    <w:p w:rsidR="00EE56C0" w:rsidRDefault="000F36A1">
      <w:pPr>
        <w:ind w:firstLine="480"/>
      </w:pPr>
      <w:r>
        <w:rPr>
          <w:rFonts w:hint="eastAsia"/>
        </w:rPr>
        <w:t>（</w:t>
      </w:r>
      <w:r>
        <w:rPr>
          <w:rFonts w:hint="eastAsia"/>
        </w:rPr>
        <w:t>3</w:t>
      </w:r>
      <w:r>
        <w:rPr>
          <w:rFonts w:hint="eastAsia"/>
        </w:rPr>
        <w:t>）过程控制和末端控制相结合。</w:t>
      </w:r>
    </w:p>
    <w:p w:rsidR="00EE56C0" w:rsidRDefault="000F36A1">
      <w:pPr>
        <w:ind w:firstLine="480"/>
      </w:pPr>
      <w:r>
        <w:rPr>
          <w:rFonts w:hint="eastAsia"/>
        </w:rPr>
        <w:t>本项目污染控制内容及环境保护目标见表</w:t>
      </w:r>
      <w:r>
        <w:rPr>
          <w:rFonts w:hint="eastAsia"/>
        </w:rPr>
        <w:t>2-9</w:t>
      </w:r>
      <w:r>
        <w:rPr>
          <w:rFonts w:hint="eastAsia"/>
        </w:rPr>
        <w:t>。</w:t>
      </w:r>
    </w:p>
    <w:p w:rsidR="00EE56C0" w:rsidRDefault="000F36A1">
      <w:pPr>
        <w:pStyle w:val="afd"/>
        <w:spacing w:before="120" w:after="120"/>
        <w:ind w:firstLine="482"/>
      </w:pPr>
      <w:r>
        <w:rPr>
          <w:rFonts w:hint="eastAsia"/>
        </w:rPr>
        <w:t>表</w:t>
      </w:r>
      <w:r>
        <w:rPr>
          <w:rFonts w:hint="eastAsia"/>
        </w:rPr>
        <w:t xml:space="preserve">2-9            </w:t>
      </w:r>
      <w:r>
        <w:rPr>
          <w:rFonts w:hint="eastAsia"/>
        </w:rPr>
        <w:t>污染控制内容与环境保护目标</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CellMar>
          <w:left w:w="28" w:type="dxa"/>
          <w:right w:w="28" w:type="dxa"/>
        </w:tblCellMar>
        <w:tblLook w:val="04A0"/>
      </w:tblPr>
      <w:tblGrid>
        <w:gridCol w:w="821"/>
        <w:gridCol w:w="1334"/>
        <w:gridCol w:w="4678"/>
        <w:gridCol w:w="1535"/>
      </w:tblGrid>
      <w:tr w:rsidR="00EE56C0">
        <w:trPr>
          <w:trHeight w:val="454"/>
          <w:jc w:val="center"/>
        </w:trPr>
        <w:tc>
          <w:tcPr>
            <w:tcW w:w="491" w:type="pct"/>
            <w:vAlign w:val="center"/>
          </w:tcPr>
          <w:p w:rsidR="00EE56C0" w:rsidRDefault="000F36A1">
            <w:pPr>
              <w:pStyle w:val="aff1"/>
              <w:rPr>
                <w:color w:val="auto"/>
              </w:rPr>
            </w:pPr>
            <w:r>
              <w:rPr>
                <w:rFonts w:hint="eastAsia"/>
                <w:color w:val="auto"/>
              </w:rPr>
              <w:t>污染物</w:t>
            </w:r>
          </w:p>
        </w:tc>
        <w:tc>
          <w:tcPr>
            <w:tcW w:w="3592" w:type="pct"/>
            <w:gridSpan w:val="2"/>
            <w:vAlign w:val="center"/>
          </w:tcPr>
          <w:p w:rsidR="00EE56C0" w:rsidRDefault="000F36A1">
            <w:pPr>
              <w:pStyle w:val="aff1"/>
              <w:rPr>
                <w:color w:val="auto"/>
              </w:rPr>
            </w:pPr>
            <w:r>
              <w:rPr>
                <w:rFonts w:hint="eastAsia"/>
                <w:color w:val="auto"/>
              </w:rPr>
              <w:t>控</w:t>
            </w:r>
            <w:r>
              <w:rPr>
                <w:rFonts w:hint="eastAsia"/>
                <w:color w:val="auto"/>
              </w:rPr>
              <w:t xml:space="preserve"> </w:t>
            </w:r>
            <w:r>
              <w:rPr>
                <w:rFonts w:hint="eastAsia"/>
                <w:color w:val="auto"/>
              </w:rPr>
              <w:t>制</w:t>
            </w:r>
            <w:r>
              <w:rPr>
                <w:rFonts w:hint="eastAsia"/>
                <w:color w:val="auto"/>
              </w:rPr>
              <w:t xml:space="preserve"> </w:t>
            </w:r>
            <w:r>
              <w:rPr>
                <w:rFonts w:hint="eastAsia"/>
                <w:color w:val="auto"/>
              </w:rPr>
              <w:t>内</w:t>
            </w:r>
            <w:r>
              <w:rPr>
                <w:rFonts w:hint="eastAsia"/>
                <w:color w:val="auto"/>
              </w:rPr>
              <w:t xml:space="preserve"> </w:t>
            </w:r>
            <w:r>
              <w:rPr>
                <w:rFonts w:hint="eastAsia"/>
                <w:color w:val="auto"/>
              </w:rPr>
              <w:t>容</w:t>
            </w:r>
          </w:p>
        </w:tc>
        <w:tc>
          <w:tcPr>
            <w:tcW w:w="917" w:type="pct"/>
            <w:vAlign w:val="center"/>
          </w:tcPr>
          <w:p w:rsidR="00EE56C0" w:rsidRDefault="000F36A1">
            <w:pPr>
              <w:pStyle w:val="aff1"/>
              <w:rPr>
                <w:color w:val="auto"/>
              </w:rPr>
            </w:pPr>
            <w:r>
              <w:rPr>
                <w:rFonts w:hint="eastAsia"/>
                <w:color w:val="auto"/>
              </w:rPr>
              <w:t>环境保护目标</w:t>
            </w:r>
          </w:p>
        </w:tc>
      </w:tr>
      <w:tr w:rsidR="00EE56C0">
        <w:trPr>
          <w:trHeight w:val="454"/>
          <w:jc w:val="center"/>
        </w:trPr>
        <w:tc>
          <w:tcPr>
            <w:tcW w:w="491" w:type="pct"/>
            <w:vAlign w:val="center"/>
          </w:tcPr>
          <w:p w:rsidR="00EE56C0" w:rsidRDefault="000F36A1">
            <w:pPr>
              <w:pStyle w:val="afa"/>
            </w:pPr>
            <w:r>
              <w:rPr>
                <w:rFonts w:hint="eastAsia"/>
              </w:rPr>
              <w:t>废水</w:t>
            </w:r>
          </w:p>
        </w:tc>
        <w:tc>
          <w:tcPr>
            <w:tcW w:w="797" w:type="pct"/>
            <w:vAlign w:val="center"/>
          </w:tcPr>
          <w:p w:rsidR="00EE56C0" w:rsidRDefault="000F36A1">
            <w:pPr>
              <w:pStyle w:val="afa"/>
            </w:pPr>
            <w:r>
              <w:rPr>
                <w:rFonts w:hint="eastAsia"/>
              </w:rPr>
              <w:t>生产废水、生活污水</w:t>
            </w:r>
          </w:p>
        </w:tc>
        <w:tc>
          <w:tcPr>
            <w:tcW w:w="2795" w:type="pct"/>
            <w:vAlign w:val="center"/>
          </w:tcPr>
          <w:p w:rsidR="00EE56C0" w:rsidRDefault="000F36A1">
            <w:pPr>
              <w:pStyle w:val="afa"/>
            </w:pPr>
            <w:r>
              <w:rPr>
                <w:rFonts w:hint="eastAsia"/>
              </w:rPr>
              <w:t>控制因子：</w:t>
            </w:r>
            <w:r>
              <w:rPr>
                <w:rFonts w:hint="eastAsia"/>
              </w:rPr>
              <w:t>COD</w:t>
            </w:r>
            <w:r>
              <w:rPr>
                <w:rFonts w:hint="eastAsia"/>
              </w:rPr>
              <w:t>、氨氮、</w:t>
            </w:r>
            <w:r>
              <w:rPr>
                <w:rFonts w:hint="eastAsia"/>
              </w:rPr>
              <w:t>TP</w:t>
            </w:r>
            <w:r>
              <w:rPr>
                <w:rFonts w:hint="eastAsia"/>
              </w:rPr>
              <w:t>、</w:t>
            </w:r>
            <w:r>
              <w:rPr>
                <w:rFonts w:hint="eastAsia"/>
              </w:rPr>
              <w:t>TN</w:t>
            </w:r>
            <w:r>
              <w:rPr>
                <w:rFonts w:hint="eastAsia"/>
              </w:rPr>
              <w:t>，</w:t>
            </w:r>
            <w:r>
              <w:rPr>
                <w:rFonts w:hAnsi="Calibri"/>
                <w:bCs/>
              </w:rPr>
              <w:t>《污水排污城镇下水道水质标准》（</w:t>
            </w:r>
            <w:r>
              <w:rPr>
                <w:rFonts w:hAnsi="Calibri"/>
                <w:bCs/>
              </w:rPr>
              <w:t>GB/T31962-2015</w:t>
            </w:r>
            <w:r>
              <w:rPr>
                <w:rFonts w:hAnsi="Calibri"/>
                <w:bCs/>
              </w:rPr>
              <w:t>）</w:t>
            </w:r>
          </w:p>
        </w:tc>
        <w:tc>
          <w:tcPr>
            <w:tcW w:w="917" w:type="pct"/>
            <w:vAlign w:val="center"/>
          </w:tcPr>
          <w:p w:rsidR="00EE56C0" w:rsidRDefault="000F36A1">
            <w:pPr>
              <w:pStyle w:val="afa"/>
            </w:pPr>
            <w:r>
              <w:rPr>
                <w:rFonts w:hint="eastAsia"/>
              </w:rPr>
              <w:t>评价纳污河段及沿岸浅层地下水</w:t>
            </w:r>
          </w:p>
        </w:tc>
      </w:tr>
      <w:tr w:rsidR="00EE56C0">
        <w:trPr>
          <w:trHeight w:val="454"/>
          <w:jc w:val="center"/>
        </w:trPr>
        <w:tc>
          <w:tcPr>
            <w:tcW w:w="491" w:type="pct"/>
            <w:vAlign w:val="center"/>
          </w:tcPr>
          <w:p w:rsidR="00EE56C0" w:rsidRDefault="000F36A1">
            <w:pPr>
              <w:pStyle w:val="afa"/>
            </w:pPr>
            <w:r>
              <w:rPr>
                <w:rFonts w:hint="eastAsia"/>
              </w:rPr>
              <w:t>废气</w:t>
            </w:r>
          </w:p>
        </w:tc>
        <w:tc>
          <w:tcPr>
            <w:tcW w:w="797" w:type="pct"/>
            <w:vAlign w:val="center"/>
          </w:tcPr>
          <w:p w:rsidR="00EE56C0" w:rsidRDefault="000F36A1">
            <w:pPr>
              <w:pStyle w:val="afa"/>
            </w:pPr>
            <w:r>
              <w:rPr>
                <w:rFonts w:hint="eastAsia"/>
              </w:rPr>
              <w:t>废气</w:t>
            </w:r>
          </w:p>
        </w:tc>
        <w:tc>
          <w:tcPr>
            <w:tcW w:w="2795" w:type="pct"/>
            <w:vAlign w:val="center"/>
          </w:tcPr>
          <w:p w:rsidR="00EE56C0" w:rsidRDefault="000F36A1">
            <w:pPr>
              <w:pStyle w:val="afa"/>
            </w:pPr>
            <w:r>
              <w:rPr>
                <w:rFonts w:hint="eastAsia"/>
              </w:rPr>
              <w:t>控制因子：苯、甲苯、二甲苯、非甲烷总烃、酚</w:t>
            </w:r>
          </w:p>
          <w:p w:rsidR="00EE56C0" w:rsidRDefault="000F36A1">
            <w:pPr>
              <w:pStyle w:val="afa"/>
            </w:pPr>
            <w:r>
              <w:rPr>
                <w:rFonts w:hint="eastAsia"/>
              </w:rPr>
              <w:t>《工业涂装工序挥发性有机物排放标准》（</w:t>
            </w:r>
            <w:r>
              <w:rPr>
                <w:rFonts w:hint="eastAsia"/>
              </w:rPr>
              <w:t>DB41/1951-2020</w:t>
            </w:r>
            <w:r>
              <w:rPr>
                <w:rFonts w:hint="eastAsia"/>
              </w:rPr>
              <w:t>）表</w:t>
            </w:r>
            <w:r>
              <w:rPr>
                <w:rFonts w:hint="eastAsia"/>
              </w:rPr>
              <w:t>1</w:t>
            </w:r>
            <w:r>
              <w:rPr>
                <w:rFonts w:hint="eastAsia"/>
              </w:rPr>
              <w:t>、</w:t>
            </w:r>
            <w:r>
              <w:t>《大气污染物综合排放标准》（</w:t>
            </w:r>
            <w:r>
              <w:t>GB16297-1996</w:t>
            </w:r>
            <w:r>
              <w:t>）表</w:t>
            </w:r>
            <w:r>
              <w:t>2</w:t>
            </w:r>
            <w:r>
              <w:rPr>
                <w:rFonts w:hint="eastAsia"/>
              </w:rPr>
              <w:t>、</w:t>
            </w:r>
            <w:r>
              <w:rPr>
                <w:rFonts w:hint="eastAsia"/>
                <w:b/>
                <w:u w:val="single"/>
              </w:rPr>
              <w:t>《关于全省开展工业企业挥发性有机物专项治理工作中排放建议值的通知》（豫环攻坚办（</w:t>
            </w:r>
            <w:r>
              <w:rPr>
                <w:rFonts w:hint="eastAsia"/>
                <w:b/>
                <w:u w:val="single"/>
              </w:rPr>
              <w:t>2017</w:t>
            </w:r>
            <w:r>
              <w:rPr>
                <w:rFonts w:hint="eastAsia"/>
                <w:b/>
                <w:u w:val="single"/>
              </w:rPr>
              <w:t>）</w:t>
            </w:r>
            <w:r>
              <w:rPr>
                <w:rFonts w:hint="eastAsia"/>
                <w:b/>
                <w:u w:val="single"/>
              </w:rPr>
              <w:t>162</w:t>
            </w:r>
            <w:r>
              <w:rPr>
                <w:rFonts w:hint="eastAsia"/>
                <w:b/>
                <w:u w:val="single"/>
              </w:rPr>
              <w:t>号）</w:t>
            </w:r>
          </w:p>
        </w:tc>
        <w:tc>
          <w:tcPr>
            <w:tcW w:w="917" w:type="pct"/>
            <w:vAlign w:val="center"/>
          </w:tcPr>
          <w:p w:rsidR="00EE56C0" w:rsidRDefault="000F36A1">
            <w:pPr>
              <w:pStyle w:val="afa"/>
            </w:pPr>
            <w:r>
              <w:rPr>
                <w:rFonts w:hint="eastAsia"/>
              </w:rPr>
              <w:t>评价范围内居民区等环境敏感点</w:t>
            </w:r>
          </w:p>
        </w:tc>
      </w:tr>
      <w:tr w:rsidR="00EE56C0">
        <w:trPr>
          <w:trHeight w:val="454"/>
          <w:jc w:val="center"/>
        </w:trPr>
        <w:tc>
          <w:tcPr>
            <w:tcW w:w="491" w:type="pct"/>
            <w:vAlign w:val="center"/>
          </w:tcPr>
          <w:p w:rsidR="00EE56C0" w:rsidRDefault="000F36A1">
            <w:pPr>
              <w:pStyle w:val="afa"/>
            </w:pPr>
            <w:r>
              <w:rPr>
                <w:rFonts w:hint="eastAsia"/>
              </w:rPr>
              <w:t>噪声</w:t>
            </w:r>
          </w:p>
        </w:tc>
        <w:tc>
          <w:tcPr>
            <w:tcW w:w="797" w:type="pct"/>
            <w:vAlign w:val="center"/>
          </w:tcPr>
          <w:p w:rsidR="00EE56C0" w:rsidRDefault="000F36A1">
            <w:pPr>
              <w:pStyle w:val="afa"/>
            </w:pPr>
            <w:r>
              <w:rPr>
                <w:rFonts w:hint="eastAsia"/>
              </w:rPr>
              <w:t>设备噪声</w:t>
            </w:r>
          </w:p>
        </w:tc>
        <w:tc>
          <w:tcPr>
            <w:tcW w:w="2795" w:type="pct"/>
            <w:vAlign w:val="center"/>
          </w:tcPr>
          <w:p w:rsidR="00EE56C0" w:rsidRDefault="000F36A1">
            <w:pPr>
              <w:pStyle w:val="afa"/>
            </w:pPr>
            <w:r>
              <w:rPr>
                <w:rFonts w:hint="eastAsia"/>
              </w:rPr>
              <w:t>《工业企业厂界环境噪声排放标准》（</w:t>
            </w:r>
            <w:r>
              <w:rPr>
                <w:rFonts w:hint="eastAsia"/>
              </w:rPr>
              <w:t>GB12348-2008</w:t>
            </w:r>
            <w:r>
              <w:rPr>
                <w:rFonts w:hint="eastAsia"/>
              </w:rPr>
              <w:t>）</w:t>
            </w:r>
            <w:r>
              <w:rPr>
                <w:rFonts w:hint="eastAsia"/>
              </w:rPr>
              <w:t>3</w:t>
            </w:r>
            <w:r>
              <w:rPr>
                <w:rFonts w:hint="eastAsia"/>
              </w:rPr>
              <w:t>类</w:t>
            </w:r>
          </w:p>
        </w:tc>
        <w:tc>
          <w:tcPr>
            <w:tcW w:w="917" w:type="pct"/>
            <w:vAlign w:val="center"/>
          </w:tcPr>
          <w:p w:rsidR="00EE56C0" w:rsidRDefault="000F36A1">
            <w:pPr>
              <w:pStyle w:val="afa"/>
            </w:pPr>
            <w:r>
              <w:rPr>
                <w:rFonts w:hint="eastAsia"/>
              </w:rPr>
              <w:t>厂界</w:t>
            </w:r>
          </w:p>
        </w:tc>
      </w:tr>
      <w:tr w:rsidR="00EE56C0">
        <w:trPr>
          <w:trHeight w:val="454"/>
          <w:jc w:val="center"/>
        </w:trPr>
        <w:tc>
          <w:tcPr>
            <w:tcW w:w="491" w:type="pct"/>
            <w:vAlign w:val="center"/>
          </w:tcPr>
          <w:p w:rsidR="00EE56C0" w:rsidRDefault="000F36A1">
            <w:pPr>
              <w:pStyle w:val="afa"/>
            </w:pPr>
            <w:r>
              <w:rPr>
                <w:rFonts w:hint="eastAsia"/>
              </w:rPr>
              <w:t>固废</w:t>
            </w:r>
          </w:p>
        </w:tc>
        <w:tc>
          <w:tcPr>
            <w:tcW w:w="797" w:type="pct"/>
            <w:vAlign w:val="center"/>
          </w:tcPr>
          <w:p w:rsidR="00EE56C0" w:rsidRDefault="000F36A1">
            <w:pPr>
              <w:pStyle w:val="afa"/>
            </w:pPr>
            <w:r>
              <w:rPr>
                <w:rFonts w:hint="eastAsia"/>
              </w:rPr>
              <w:t>一般工业固体废物、危险废物</w:t>
            </w:r>
          </w:p>
        </w:tc>
        <w:tc>
          <w:tcPr>
            <w:tcW w:w="2795" w:type="pct"/>
            <w:vAlign w:val="center"/>
          </w:tcPr>
          <w:p w:rsidR="00EE56C0" w:rsidRDefault="000F36A1">
            <w:pPr>
              <w:pStyle w:val="afa"/>
            </w:pPr>
            <w:r>
              <w:rPr>
                <w:rFonts w:hint="eastAsia"/>
              </w:rPr>
              <w:t>《一般工业固体废物贮存和填埋污染控制标准》（</w:t>
            </w:r>
            <w:r>
              <w:rPr>
                <w:rFonts w:hint="eastAsia"/>
              </w:rPr>
              <w:t>GB18599-2020</w:t>
            </w:r>
            <w:r>
              <w:rPr>
                <w:rFonts w:hint="eastAsia"/>
              </w:rPr>
              <w:t>）中的防渗要求、《危险废物贮存污染控制标准》（</w:t>
            </w:r>
            <w:r>
              <w:rPr>
                <w:rFonts w:hint="eastAsia"/>
              </w:rPr>
              <w:t>GB18597-2001</w:t>
            </w:r>
            <w:r>
              <w:rPr>
                <w:rFonts w:hint="eastAsia"/>
              </w:rPr>
              <w:t>）及其修改单（环境保护部公告</w:t>
            </w:r>
            <w:r>
              <w:rPr>
                <w:rFonts w:hint="eastAsia"/>
              </w:rPr>
              <w:t>2013</w:t>
            </w:r>
            <w:r>
              <w:rPr>
                <w:rFonts w:hint="eastAsia"/>
              </w:rPr>
              <w:t>年第</w:t>
            </w:r>
            <w:r>
              <w:rPr>
                <w:rFonts w:hint="eastAsia"/>
              </w:rPr>
              <w:t>36</w:t>
            </w:r>
            <w:r>
              <w:rPr>
                <w:rFonts w:hint="eastAsia"/>
              </w:rPr>
              <w:t>号）进行控制</w:t>
            </w:r>
          </w:p>
        </w:tc>
        <w:tc>
          <w:tcPr>
            <w:tcW w:w="917" w:type="pct"/>
            <w:vAlign w:val="center"/>
          </w:tcPr>
          <w:p w:rsidR="00EE56C0" w:rsidRDefault="000F36A1">
            <w:pPr>
              <w:pStyle w:val="afa"/>
            </w:pPr>
            <w:r>
              <w:rPr>
                <w:rFonts w:hint="eastAsia"/>
              </w:rPr>
              <w:t>厂区及周围环境</w:t>
            </w:r>
          </w:p>
        </w:tc>
      </w:tr>
      <w:tr w:rsidR="00EE56C0">
        <w:trPr>
          <w:trHeight w:val="454"/>
          <w:jc w:val="center"/>
        </w:trPr>
        <w:tc>
          <w:tcPr>
            <w:tcW w:w="491" w:type="pct"/>
            <w:vAlign w:val="center"/>
          </w:tcPr>
          <w:p w:rsidR="00EE56C0" w:rsidRDefault="000F36A1">
            <w:pPr>
              <w:pStyle w:val="afa"/>
            </w:pPr>
            <w:r>
              <w:rPr>
                <w:rFonts w:hint="eastAsia"/>
              </w:rPr>
              <w:t>土壤</w:t>
            </w:r>
          </w:p>
        </w:tc>
        <w:tc>
          <w:tcPr>
            <w:tcW w:w="3592" w:type="pct"/>
            <w:gridSpan w:val="2"/>
            <w:vAlign w:val="center"/>
          </w:tcPr>
          <w:p w:rsidR="00EE56C0" w:rsidRDefault="000F36A1">
            <w:pPr>
              <w:pStyle w:val="afa"/>
            </w:pPr>
            <w:r>
              <w:rPr>
                <w:rFonts w:hint="eastAsia"/>
              </w:rPr>
              <w:t>《土壤环境质量</w:t>
            </w:r>
            <w:r>
              <w:rPr>
                <w:rFonts w:hint="eastAsia"/>
              </w:rPr>
              <w:t>-</w:t>
            </w:r>
            <w:r>
              <w:rPr>
                <w:rFonts w:hint="eastAsia"/>
              </w:rPr>
              <w:t>建设用地土壤污染风险管控标准（试行）》（</w:t>
            </w:r>
            <w:r>
              <w:rPr>
                <w:rFonts w:hint="eastAsia"/>
              </w:rPr>
              <w:t>GB36600-2018</w:t>
            </w:r>
            <w:r>
              <w:rPr>
                <w:rFonts w:hint="eastAsia"/>
              </w:rPr>
              <w:t>）、</w:t>
            </w:r>
            <w:r>
              <w:rPr>
                <w:rFonts w:hint="eastAsia"/>
                <w:b/>
                <w:u w:val="single"/>
              </w:rPr>
              <w:t>《土壤环境质量</w:t>
            </w:r>
            <w:r>
              <w:rPr>
                <w:rFonts w:hint="eastAsia"/>
                <w:b/>
                <w:u w:val="single"/>
              </w:rPr>
              <w:t>-</w:t>
            </w:r>
            <w:r>
              <w:rPr>
                <w:rFonts w:hint="eastAsia"/>
                <w:b/>
                <w:u w:val="single"/>
              </w:rPr>
              <w:t>农用地土壤污染风险管控标准</w:t>
            </w:r>
            <w:r>
              <w:rPr>
                <w:rFonts w:hint="eastAsia"/>
                <w:b/>
                <w:u w:val="single"/>
              </w:rPr>
              <w:lastRenderedPageBreak/>
              <w:t>（试行）》（</w:t>
            </w:r>
            <w:r>
              <w:rPr>
                <w:rFonts w:hint="eastAsia"/>
                <w:b/>
                <w:u w:val="single"/>
              </w:rPr>
              <w:t>GB15618-2018</w:t>
            </w:r>
            <w:r>
              <w:rPr>
                <w:rFonts w:hint="eastAsia"/>
                <w:b/>
                <w:u w:val="single"/>
              </w:rPr>
              <w:t>）表</w:t>
            </w:r>
            <w:r>
              <w:rPr>
                <w:rFonts w:hint="eastAsia"/>
                <w:b/>
                <w:u w:val="single"/>
              </w:rPr>
              <w:t>1</w:t>
            </w:r>
          </w:p>
        </w:tc>
        <w:tc>
          <w:tcPr>
            <w:tcW w:w="917" w:type="pct"/>
            <w:vAlign w:val="center"/>
          </w:tcPr>
          <w:p w:rsidR="00EE56C0" w:rsidRDefault="000F36A1">
            <w:pPr>
              <w:pStyle w:val="afa"/>
            </w:pPr>
            <w:r>
              <w:rPr>
                <w:rFonts w:hint="eastAsia"/>
              </w:rPr>
              <w:lastRenderedPageBreak/>
              <w:t>厂区及周围土壤</w:t>
            </w:r>
          </w:p>
        </w:tc>
      </w:tr>
    </w:tbl>
    <w:p w:rsidR="00EE56C0" w:rsidRDefault="000F36A1">
      <w:pPr>
        <w:pStyle w:val="2"/>
        <w:ind w:firstLine="301"/>
      </w:pPr>
      <w:bookmarkStart w:id="111" w:name="_Toc25400896"/>
      <w:r>
        <w:rPr>
          <w:rFonts w:hint="eastAsia"/>
        </w:rPr>
        <w:lastRenderedPageBreak/>
        <w:t>2.7</w:t>
      </w:r>
      <w:r>
        <w:rPr>
          <w:rFonts w:hint="eastAsia"/>
        </w:rPr>
        <w:t>环境敏感点概述</w:t>
      </w:r>
      <w:bookmarkEnd w:id="107"/>
      <w:bookmarkEnd w:id="111"/>
    </w:p>
    <w:p w:rsidR="00EE56C0" w:rsidRDefault="000F36A1">
      <w:pPr>
        <w:ind w:firstLine="480"/>
      </w:pPr>
      <w:bookmarkStart w:id="112" w:name="_Toc429318386"/>
      <w:r>
        <w:rPr>
          <w:rFonts w:hint="eastAsia"/>
        </w:rPr>
        <w:t>本项目距离周围环境敏感点较远，较近的敏感点为东南</w:t>
      </w:r>
      <w:r>
        <w:rPr>
          <w:rFonts w:hint="eastAsia"/>
        </w:rPr>
        <w:t>850m</w:t>
      </w:r>
      <w:r>
        <w:rPr>
          <w:rFonts w:hint="eastAsia"/>
        </w:rPr>
        <w:t>处的南王庄村、东南</w:t>
      </w:r>
      <w:r>
        <w:rPr>
          <w:rFonts w:hint="eastAsia"/>
        </w:rPr>
        <w:t>790m</w:t>
      </w:r>
      <w:r>
        <w:rPr>
          <w:rFonts w:hint="eastAsia"/>
        </w:rPr>
        <w:t>处</w:t>
      </w:r>
      <w:r>
        <w:rPr>
          <w:rFonts w:hAnsi="宋体" w:hint="eastAsia"/>
        </w:rPr>
        <w:t>刘店村</w:t>
      </w:r>
      <w:r>
        <w:rPr>
          <w:rFonts w:hint="eastAsia"/>
        </w:rPr>
        <w:t>，</w:t>
      </w:r>
      <w:r>
        <w:t>周围环境敏感保护目标与项目位置的距离、方位见表</w:t>
      </w:r>
      <w:r>
        <w:rPr>
          <w:rFonts w:hint="eastAsia"/>
        </w:rPr>
        <w:t>2-10</w:t>
      </w:r>
      <w:r>
        <w:rPr>
          <w:rFonts w:hint="eastAsia"/>
        </w:rPr>
        <w:t>和图</w:t>
      </w:r>
      <w:r>
        <w:rPr>
          <w:rFonts w:hint="eastAsia"/>
        </w:rPr>
        <w:t>2-1</w:t>
      </w:r>
      <w:r>
        <w:rPr>
          <w:rFonts w:hint="eastAsia"/>
        </w:rPr>
        <w:t>：</w:t>
      </w:r>
    </w:p>
    <w:p w:rsidR="00EE56C0" w:rsidRDefault="000F36A1">
      <w:pPr>
        <w:pStyle w:val="aff8"/>
        <w:ind w:leftChars="-118" w:left="-283"/>
      </w:pPr>
      <w:r>
        <w:rPr>
          <w:noProof/>
        </w:rPr>
        <w:drawing>
          <wp:inline distT="0" distB="0" distL="0" distR="0">
            <wp:extent cx="5278120" cy="4122420"/>
            <wp:effectExtent l="19050" t="0" r="0" b="0"/>
            <wp:docPr id="111" name="图片 42" descr="H:\我的资料\0正在编制\1环评及验收\0已完成\1华洋电工报告书\华洋预测\2敏感点图5k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42" descr="H:\我的资料\0正在编制\1环评及验收\0已完成\1华洋电工报告书\华洋预测\2敏感点图5km.jpg"/>
                    <pic:cNvPicPr>
                      <a:picLocks noChangeAspect="1" noChangeArrowheads="1"/>
                    </pic:cNvPicPr>
                  </pic:nvPicPr>
                  <pic:blipFill>
                    <a:blip r:embed="rId23"/>
                    <a:srcRect/>
                    <a:stretch>
                      <a:fillRect/>
                    </a:stretch>
                  </pic:blipFill>
                  <pic:spPr>
                    <a:xfrm>
                      <a:off x="0" y="0"/>
                      <a:ext cx="5278120" cy="4122584"/>
                    </a:xfrm>
                    <a:prstGeom prst="rect">
                      <a:avLst/>
                    </a:prstGeom>
                    <a:noFill/>
                    <a:ln w="9525">
                      <a:noFill/>
                      <a:miter lim="800000"/>
                      <a:headEnd/>
                      <a:tailEnd/>
                    </a:ln>
                  </pic:spPr>
                </pic:pic>
              </a:graphicData>
            </a:graphic>
          </wp:inline>
        </w:drawing>
      </w:r>
    </w:p>
    <w:p w:rsidR="00EE56C0" w:rsidRDefault="000F36A1">
      <w:pPr>
        <w:pStyle w:val="aff8"/>
        <w:ind w:leftChars="-118" w:left="-283"/>
        <w:rPr>
          <w:rFonts w:eastAsia="黑体"/>
        </w:rPr>
      </w:pPr>
      <w:r>
        <w:rPr>
          <w:rFonts w:eastAsia="黑体"/>
        </w:rPr>
        <w:t>图</w:t>
      </w:r>
      <w:r>
        <w:rPr>
          <w:rFonts w:eastAsia="黑体" w:hint="eastAsia"/>
        </w:rPr>
        <w:t>2</w:t>
      </w:r>
      <w:r>
        <w:rPr>
          <w:rFonts w:eastAsia="黑体"/>
        </w:rPr>
        <w:t xml:space="preserve">-1  </w:t>
      </w:r>
      <w:r>
        <w:rPr>
          <w:rFonts w:eastAsia="黑体"/>
        </w:rPr>
        <w:t>本项目</w:t>
      </w:r>
      <w:r>
        <w:rPr>
          <w:rFonts w:eastAsia="黑体" w:hint="eastAsia"/>
        </w:rPr>
        <w:t>四周</w:t>
      </w:r>
      <w:r>
        <w:rPr>
          <w:rFonts w:eastAsia="黑体"/>
        </w:rPr>
        <w:t>环境敏感点示意图</w:t>
      </w:r>
    </w:p>
    <w:p w:rsidR="00EE56C0" w:rsidRDefault="000F36A1">
      <w:pPr>
        <w:pStyle w:val="afd"/>
        <w:spacing w:before="120" w:after="120"/>
        <w:ind w:firstLine="482"/>
      </w:pPr>
      <w:r>
        <w:t>表</w:t>
      </w:r>
      <w:r>
        <w:rPr>
          <w:rFonts w:hint="eastAsia"/>
        </w:rPr>
        <w:t>2</w:t>
      </w:r>
      <w:r>
        <w:t>-</w:t>
      </w:r>
      <w:r>
        <w:rPr>
          <w:rFonts w:hint="eastAsia"/>
        </w:rPr>
        <w:t>10</w:t>
      </w:r>
      <w:r>
        <w:t>评价区域敏感点情况</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tblPr>
      <w:tblGrid>
        <w:gridCol w:w="536"/>
        <w:gridCol w:w="1416"/>
        <w:gridCol w:w="1279"/>
        <w:gridCol w:w="849"/>
        <w:gridCol w:w="1134"/>
        <w:gridCol w:w="1561"/>
        <w:gridCol w:w="943"/>
        <w:gridCol w:w="810"/>
      </w:tblGrid>
      <w:tr w:rsidR="00EE56C0">
        <w:trPr>
          <w:trHeight w:val="425"/>
          <w:tblHeader/>
          <w:jc w:val="center"/>
        </w:trPr>
        <w:tc>
          <w:tcPr>
            <w:tcW w:w="314" w:type="pct"/>
            <w:vMerge w:val="restart"/>
            <w:vAlign w:val="center"/>
          </w:tcPr>
          <w:p w:rsidR="00EE56C0" w:rsidRDefault="00340837">
            <w:pPr>
              <w:pStyle w:val="aff1"/>
              <w:rPr>
                <w:color w:val="auto"/>
              </w:rPr>
            </w:pPr>
            <w:r>
              <w:rPr>
                <w:color w:val="auto"/>
              </w:rPr>
              <w:pict>
                <v:shape id="文本框 8725" o:spid="_x0000_s2179" type="#_x0000_t202" style="position:absolute;left:0;text-align:left;margin-left:39.35pt;margin-top:-192.15pt;width:21.65pt;height:19.65pt;z-index:251707904" o:gfxdata="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" filled="f" stroked="f" strokeweight="1pt">
                  <v:textbox>
                    <w:txbxContent>
                      <w:p w:rsidR="009C6BD9" w:rsidRDefault="009C6BD9">
                        <w:pPr>
                          <w:ind w:firstLine="482"/>
                          <w:rPr>
                            <w:b/>
                            <w:color w:val="FF0000"/>
                            <w:szCs w:val="21"/>
                          </w:rPr>
                        </w:pPr>
                        <w:r>
                          <w:rPr>
                            <w:rFonts w:hint="eastAsia"/>
                            <w:b/>
                            <w:color w:val="FF0000"/>
                            <w:szCs w:val="21"/>
                          </w:rPr>
                          <w:t>3</w:t>
                        </w:r>
                      </w:p>
                    </w:txbxContent>
                  </v:textbox>
                </v:shape>
              </w:pict>
            </w:r>
            <w:r w:rsidR="000F36A1">
              <w:rPr>
                <w:rFonts w:hAnsi="宋体"/>
                <w:color w:val="auto"/>
              </w:rPr>
              <w:t>序列</w:t>
            </w:r>
          </w:p>
        </w:tc>
        <w:tc>
          <w:tcPr>
            <w:tcW w:w="830" w:type="pct"/>
            <w:vMerge w:val="restart"/>
            <w:tcBorders>
              <w:right w:val="single" w:sz="4" w:space="0" w:color="auto"/>
            </w:tcBorders>
            <w:vAlign w:val="center"/>
          </w:tcPr>
          <w:p w:rsidR="00EE56C0" w:rsidRDefault="000F36A1">
            <w:pPr>
              <w:pStyle w:val="aff1"/>
              <w:rPr>
                <w:color w:val="auto"/>
              </w:rPr>
            </w:pPr>
            <w:r>
              <w:rPr>
                <w:rFonts w:hAnsi="宋体"/>
                <w:color w:val="auto"/>
              </w:rPr>
              <w:t>保护目标</w:t>
            </w:r>
          </w:p>
        </w:tc>
        <w:tc>
          <w:tcPr>
            <w:tcW w:w="1248" w:type="pct"/>
            <w:gridSpan w:val="2"/>
            <w:tcBorders>
              <w:left w:val="single" w:sz="4" w:space="0" w:color="auto"/>
            </w:tcBorders>
            <w:vAlign w:val="center"/>
          </w:tcPr>
          <w:p w:rsidR="00EE56C0" w:rsidRDefault="000F36A1">
            <w:pPr>
              <w:pStyle w:val="afa"/>
              <w:rPr>
                <w:b/>
              </w:rPr>
            </w:pPr>
            <w:r>
              <w:rPr>
                <w:b/>
              </w:rPr>
              <w:t>坐标（</w:t>
            </w:r>
            <w:r>
              <w:rPr>
                <w:b/>
              </w:rPr>
              <w:t>m</w:t>
            </w:r>
            <w:r>
              <w:rPr>
                <w:b/>
              </w:rPr>
              <w:t>）</w:t>
            </w:r>
          </w:p>
        </w:tc>
        <w:tc>
          <w:tcPr>
            <w:tcW w:w="665" w:type="pct"/>
            <w:vMerge w:val="restart"/>
            <w:tcBorders>
              <w:right w:val="single" w:sz="4" w:space="0" w:color="auto"/>
            </w:tcBorders>
            <w:vAlign w:val="center"/>
          </w:tcPr>
          <w:p w:rsidR="00EE56C0" w:rsidRDefault="000F36A1">
            <w:pPr>
              <w:pStyle w:val="aff1"/>
              <w:rPr>
                <w:color w:val="auto"/>
              </w:rPr>
            </w:pPr>
            <w:r>
              <w:rPr>
                <w:rFonts w:hAnsi="宋体"/>
                <w:color w:val="auto"/>
              </w:rPr>
              <w:t>保护对象</w:t>
            </w:r>
          </w:p>
        </w:tc>
        <w:tc>
          <w:tcPr>
            <w:tcW w:w="915" w:type="pct"/>
            <w:vMerge w:val="restart"/>
            <w:tcBorders>
              <w:left w:val="single" w:sz="4" w:space="0" w:color="auto"/>
              <w:right w:val="single" w:sz="4" w:space="0" w:color="auto"/>
            </w:tcBorders>
            <w:vAlign w:val="center"/>
          </w:tcPr>
          <w:p w:rsidR="00EE56C0" w:rsidRDefault="000F36A1">
            <w:pPr>
              <w:pStyle w:val="aff1"/>
              <w:rPr>
                <w:color w:val="auto"/>
              </w:rPr>
            </w:pPr>
            <w:r>
              <w:rPr>
                <w:rFonts w:hAnsi="宋体"/>
                <w:color w:val="auto"/>
              </w:rPr>
              <w:t>保护内容</w:t>
            </w:r>
          </w:p>
        </w:tc>
        <w:tc>
          <w:tcPr>
            <w:tcW w:w="553" w:type="pct"/>
            <w:vMerge w:val="restart"/>
            <w:tcBorders>
              <w:left w:val="single" w:sz="4" w:space="0" w:color="auto"/>
            </w:tcBorders>
            <w:vAlign w:val="center"/>
          </w:tcPr>
          <w:p w:rsidR="00EE56C0" w:rsidRDefault="000F36A1">
            <w:pPr>
              <w:pStyle w:val="aff1"/>
              <w:rPr>
                <w:color w:val="auto"/>
              </w:rPr>
            </w:pPr>
            <w:r>
              <w:rPr>
                <w:rFonts w:hAnsi="宋体"/>
                <w:color w:val="auto"/>
              </w:rPr>
              <w:t>相对</w:t>
            </w:r>
          </w:p>
          <w:p w:rsidR="00EE56C0" w:rsidRDefault="000F36A1">
            <w:pPr>
              <w:pStyle w:val="aff1"/>
              <w:rPr>
                <w:color w:val="auto"/>
              </w:rPr>
            </w:pPr>
            <w:r>
              <w:rPr>
                <w:rFonts w:hAnsi="宋体"/>
                <w:color w:val="auto"/>
              </w:rPr>
              <w:t>方位</w:t>
            </w:r>
          </w:p>
        </w:tc>
        <w:tc>
          <w:tcPr>
            <w:tcW w:w="475" w:type="pct"/>
            <w:vMerge w:val="restart"/>
            <w:vAlign w:val="center"/>
          </w:tcPr>
          <w:p w:rsidR="00EE56C0" w:rsidRDefault="000F36A1">
            <w:pPr>
              <w:pStyle w:val="aff1"/>
              <w:rPr>
                <w:color w:val="auto"/>
              </w:rPr>
            </w:pPr>
            <w:r>
              <w:rPr>
                <w:rFonts w:hAnsi="宋体"/>
                <w:color w:val="auto"/>
              </w:rPr>
              <w:t>距离（</w:t>
            </w:r>
            <w:r>
              <w:rPr>
                <w:color w:val="auto"/>
              </w:rPr>
              <w:t>m</w:t>
            </w:r>
            <w:r>
              <w:rPr>
                <w:rFonts w:hAnsi="宋体"/>
                <w:color w:val="auto"/>
              </w:rPr>
              <w:t>）</w:t>
            </w:r>
          </w:p>
        </w:tc>
      </w:tr>
      <w:tr w:rsidR="00EE56C0">
        <w:trPr>
          <w:trHeight w:val="425"/>
          <w:tblHeader/>
          <w:jc w:val="center"/>
        </w:trPr>
        <w:tc>
          <w:tcPr>
            <w:tcW w:w="314" w:type="pct"/>
            <w:vMerge/>
            <w:vAlign w:val="center"/>
          </w:tcPr>
          <w:p w:rsidR="00EE56C0" w:rsidRDefault="00EE56C0">
            <w:pPr>
              <w:pStyle w:val="afa"/>
            </w:pPr>
          </w:p>
        </w:tc>
        <w:tc>
          <w:tcPr>
            <w:tcW w:w="830" w:type="pct"/>
            <w:vMerge/>
            <w:tcBorders>
              <w:right w:val="single" w:sz="4" w:space="0" w:color="auto"/>
            </w:tcBorders>
            <w:vAlign w:val="center"/>
          </w:tcPr>
          <w:p w:rsidR="00EE56C0" w:rsidRDefault="00EE56C0">
            <w:pPr>
              <w:pStyle w:val="afa"/>
            </w:pPr>
          </w:p>
        </w:tc>
        <w:tc>
          <w:tcPr>
            <w:tcW w:w="750" w:type="pct"/>
            <w:tcBorders>
              <w:left w:val="single" w:sz="4" w:space="0" w:color="auto"/>
              <w:right w:val="single" w:sz="4" w:space="0" w:color="auto"/>
            </w:tcBorders>
            <w:vAlign w:val="center"/>
          </w:tcPr>
          <w:p w:rsidR="00EE56C0" w:rsidRDefault="000F36A1">
            <w:pPr>
              <w:pStyle w:val="afa"/>
              <w:rPr>
                <w:b/>
              </w:rPr>
            </w:pPr>
            <w:r>
              <w:rPr>
                <w:b/>
              </w:rPr>
              <w:t>X</w:t>
            </w:r>
          </w:p>
        </w:tc>
        <w:tc>
          <w:tcPr>
            <w:tcW w:w="498" w:type="pct"/>
            <w:tcBorders>
              <w:left w:val="single" w:sz="4" w:space="0" w:color="auto"/>
            </w:tcBorders>
            <w:vAlign w:val="center"/>
          </w:tcPr>
          <w:p w:rsidR="00EE56C0" w:rsidRDefault="000F36A1">
            <w:pPr>
              <w:pStyle w:val="afa"/>
              <w:rPr>
                <w:b/>
              </w:rPr>
            </w:pPr>
            <w:r>
              <w:rPr>
                <w:b/>
              </w:rPr>
              <w:t>Y</w:t>
            </w:r>
          </w:p>
        </w:tc>
        <w:tc>
          <w:tcPr>
            <w:tcW w:w="665" w:type="pct"/>
            <w:vMerge/>
            <w:tcBorders>
              <w:right w:val="single" w:sz="4" w:space="0" w:color="auto"/>
            </w:tcBorders>
            <w:vAlign w:val="center"/>
          </w:tcPr>
          <w:p w:rsidR="00EE56C0" w:rsidRDefault="00EE56C0">
            <w:pPr>
              <w:pStyle w:val="afa"/>
            </w:pPr>
          </w:p>
        </w:tc>
        <w:tc>
          <w:tcPr>
            <w:tcW w:w="915" w:type="pct"/>
            <w:vMerge/>
            <w:tcBorders>
              <w:left w:val="single" w:sz="4" w:space="0" w:color="auto"/>
              <w:right w:val="single" w:sz="4" w:space="0" w:color="auto"/>
            </w:tcBorders>
            <w:vAlign w:val="center"/>
          </w:tcPr>
          <w:p w:rsidR="00EE56C0" w:rsidRDefault="00EE56C0">
            <w:pPr>
              <w:pStyle w:val="afa"/>
            </w:pPr>
          </w:p>
        </w:tc>
        <w:tc>
          <w:tcPr>
            <w:tcW w:w="553" w:type="pct"/>
            <w:vMerge/>
            <w:tcBorders>
              <w:left w:val="single" w:sz="4" w:space="0" w:color="auto"/>
            </w:tcBorders>
            <w:vAlign w:val="center"/>
          </w:tcPr>
          <w:p w:rsidR="00EE56C0" w:rsidRDefault="00EE56C0">
            <w:pPr>
              <w:pStyle w:val="afa"/>
            </w:pPr>
          </w:p>
        </w:tc>
        <w:tc>
          <w:tcPr>
            <w:tcW w:w="475" w:type="pct"/>
            <w:vMerge/>
            <w:vAlign w:val="center"/>
          </w:tcPr>
          <w:p w:rsidR="00EE56C0" w:rsidRDefault="00EE56C0">
            <w:pPr>
              <w:pStyle w:val="afa"/>
            </w:pPr>
          </w:p>
        </w:tc>
      </w:tr>
      <w:tr w:rsidR="00EE56C0">
        <w:trPr>
          <w:trHeight w:val="425"/>
          <w:jc w:val="center"/>
        </w:trPr>
        <w:tc>
          <w:tcPr>
            <w:tcW w:w="314" w:type="pct"/>
            <w:vAlign w:val="center"/>
          </w:tcPr>
          <w:p w:rsidR="00EE56C0" w:rsidRDefault="000F36A1">
            <w:pPr>
              <w:pStyle w:val="afa"/>
            </w:pPr>
            <w:r>
              <w:t>1</w:t>
            </w:r>
          </w:p>
        </w:tc>
        <w:tc>
          <w:tcPr>
            <w:tcW w:w="830" w:type="pct"/>
            <w:tcBorders>
              <w:right w:val="single" w:sz="4" w:space="0" w:color="auto"/>
            </w:tcBorders>
            <w:vAlign w:val="center"/>
          </w:tcPr>
          <w:p w:rsidR="00EE56C0" w:rsidRDefault="000F36A1">
            <w:pPr>
              <w:pStyle w:val="afa"/>
              <w:rPr>
                <w:b/>
              </w:rPr>
            </w:pPr>
            <w:r>
              <w:rPr>
                <w:rFonts w:hAnsi="宋体" w:hint="eastAsia"/>
              </w:rPr>
              <w:t>南王庄村</w:t>
            </w:r>
          </w:p>
        </w:tc>
        <w:tc>
          <w:tcPr>
            <w:tcW w:w="750" w:type="pct"/>
            <w:tcBorders>
              <w:left w:val="single" w:sz="4" w:space="0" w:color="auto"/>
              <w:right w:val="single" w:sz="4" w:space="0" w:color="auto"/>
            </w:tcBorders>
            <w:vAlign w:val="center"/>
          </w:tcPr>
          <w:p w:rsidR="00EE56C0" w:rsidRDefault="000F36A1">
            <w:pPr>
              <w:pStyle w:val="afa"/>
            </w:pPr>
            <w:r>
              <w:t>365</w:t>
            </w:r>
          </w:p>
        </w:tc>
        <w:tc>
          <w:tcPr>
            <w:tcW w:w="498" w:type="pct"/>
            <w:tcBorders>
              <w:left w:val="single" w:sz="4" w:space="0" w:color="auto"/>
            </w:tcBorders>
            <w:vAlign w:val="center"/>
          </w:tcPr>
          <w:p w:rsidR="00EE56C0" w:rsidRDefault="000F36A1">
            <w:pPr>
              <w:pStyle w:val="afa"/>
            </w:pPr>
            <w:r>
              <w:t>-1006</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pPr>
            <w:r>
              <w:rPr>
                <w:rFonts w:hint="eastAsia"/>
              </w:rPr>
              <w:t>东南</w:t>
            </w:r>
          </w:p>
        </w:tc>
        <w:tc>
          <w:tcPr>
            <w:tcW w:w="475" w:type="pct"/>
            <w:vAlign w:val="center"/>
          </w:tcPr>
          <w:p w:rsidR="00EE56C0" w:rsidRDefault="000F36A1">
            <w:pPr>
              <w:pStyle w:val="afa"/>
            </w:pPr>
            <w:r>
              <w:rPr>
                <w:rFonts w:hint="eastAsia"/>
              </w:rPr>
              <w:t>850</w:t>
            </w:r>
          </w:p>
        </w:tc>
      </w:tr>
      <w:tr w:rsidR="00EE56C0">
        <w:trPr>
          <w:trHeight w:val="425"/>
          <w:jc w:val="center"/>
        </w:trPr>
        <w:tc>
          <w:tcPr>
            <w:tcW w:w="314" w:type="pct"/>
            <w:vAlign w:val="center"/>
          </w:tcPr>
          <w:p w:rsidR="00EE56C0" w:rsidRDefault="000F36A1">
            <w:pPr>
              <w:pStyle w:val="afa"/>
            </w:pPr>
            <w:r>
              <w:t>2</w:t>
            </w:r>
          </w:p>
        </w:tc>
        <w:tc>
          <w:tcPr>
            <w:tcW w:w="830" w:type="pct"/>
            <w:tcBorders>
              <w:right w:val="single" w:sz="4" w:space="0" w:color="auto"/>
            </w:tcBorders>
            <w:vAlign w:val="center"/>
          </w:tcPr>
          <w:p w:rsidR="00EE56C0" w:rsidRDefault="000F36A1">
            <w:pPr>
              <w:pStyle w:val="afa"/>
            </w:pPr>
            <w:r>
              <w:rPr>
                <w:rFonts w:hAnsi="宋体" w:hint="eastAsia"/>
              </w:rPr>
              <w:t>刘店村</w:t>
            </w:r>
          </w:p>
        </w:tc>
        <w:tc>
          <w:tcPr>
            <w:tcW w:w="750" w:type="pct"/>
            <w:tcBorders>
              <w:left w:val="single" w:sz="4" w:space="0" w:color="auto"/>
              <w:right w:val="single" w:sz="4" w:space="0" w:color="auto"/>
            </w:tcBorders>
            <w:vAlign w:val="center"/>
          </w:tcPr>
          <w:p w:rsidR="00EE56C0" w:rsidRDefault="000F36A1">
            <w:pPr>
              <w:pStyle w:val="afa"/>
            </w:pPr>
            <w:r>
              <w:t>1260</w:t>
            </w:r>
          </w:p>
        </w:tc>
        <w:tc>
          <w:tcPr>
            <w:tcW w:w="498" w:type="pct"/>
            <w:tcBorders>
              <w:left w:val="single" w:sz="4" w:space="0" w:color="auto"/>
            </w:tcBorders>
            <w:vAlign w:val="center"/>
          </w:tcPr>
          <w:p w:rsidR="00EE56C0" w:rsidRDefault="000F36A1">
            <w:pPr>
              <w:pStyle w:val="afa"/>
            </w:pPr>
            <w:r>
              <w:t>-1131</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pPr>
            <w:r>
              <w:rPr>
                <w:rFonts w:hint="eastAsia"/>
              </w:rPr>
              <w:t>东南</w:t>
            </w:r>
          </w:p>
        </w:tc>
        <w:tc>
          <w:tcPr>
            <w:tcW w:w="475" w:type="pct"/>
            <w:vAlign w:val="center"/>
          </w:tcPr>
          <w:p w:rsidR="00EE56C0" w:rsidRDefault="000F36A1">
            <w:pPr>
              <w:pStyle w:val="afa"/>
            </w:pPr>
            <w:r>
              <w:rPr>
                <w:rFonts w:hint="eastAsia"/>
              </w:rPr>
              <w:t>790</w:t>
            </w:r>
          </w:p>
        </w:tc>
      </w:tr>
      <w:tr w:rsidR="00EE56C0">
        <w:trPr>
          <w:trHeight w:val="425"/>
          <w:jc w:val="center"/>
        </w:trPr>
        <w:tc>
          <w:tcPr>
            <w:tcW w:w="314" w:type="pct"/>
            <w:vAlign w:val="center"/>
          </w:tcPr>
          <w:p w:rsidR="00EE56C0" w:rsidRDefault="000F36A1">
            <w:pPr>
              <w:pStyle w:val="afa"/>
            </w:pPr>
            <w:r>
              <w:rPr>
                <w:rFonts w:hint="eastAsia"/>
              </w:rPr>
              <w:t>3</w:t>
            </w:r>
          </w:p>
        </w:tc>
        <w:tc>
          <w:tcPr>
            <w:tcW w:w="830" w:type="pct"/>
            <w:tcBorders>
              <w:right w:val="single" w:sz="4" w:space="0" w:color="auto"/>
            </w:tcBorders>
            <w:vAlign w:val="center"/>
          </w:tcPr>
          <w:p w:rsidR="00EE56C0" w:rsidRDefault="000F36A1">
            <w:pPr>
              <w:pStyle w:val="afa"/>
              <w:rPr>
                <w:rFonts w:hAnsi="宋体"/>
              </w:rPr>
            </w:pPr>
            <w:r>
              <w:rPr>
                <w:rFonts w:hAnsi="宋体" w:hint="eastAsia"/>
              </w:rPr>
              <w:t>马庄村</w:t>
            </w:r>
          </w:p>
        </w:tc>
        <w:tc>
          <w:tcPr>
            <w:tcW w:w="750" w:type="pct"/>
            <w:tcBorders>
              <w:left w:val="single" w:sz="4" w:space="0" w:color="auto"/>
              <w:right w:val="single" w:sz="4" w:space="0" w:color="auto"/>
            </w:tcBorders>
            <w:vAlign w:val="center"/>
          </w:tcPr>
          <w:p w:rsidR="00EE56C0" w:rsidRDefault="000F36A1">
            <w:pPr>
              <w:pStyle w:val="afa"/>
            </w:pPr>
            <w:r>
              <w:t>1035</w:t>
            </w:r>
          </w:p>
        </w:tc>
        <w:tc>
          <w:tcPr>
            <w:tcW w:w="498" w:type="pct"/>
            <w:tcBorders>
              <w:left w:val="single" w:sz="4" w:space="0" w:color="auto"/>
            </w:tcBorders>
            <w:vAlign w:val="center"/>
          </w:tcPr>
          <w:p w:rsidR="00EE56C0" w:rsidRDefault="000F36A1">
            <w:pPr>
              <w:pStyle w:val="afa"/>
            </w:pPr>
            <w:r>
              <w:t>-2352</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int="eastAsia"/>
              </w:rPr>
              <w:t>东南</w:t>
            </w:r>
          </w:p>
        </w:tc>
        <w:tc>
          <w:tcPr>
            <w:tcW w:w="475" w:type="pct"/>
            <w:vAlign w:val="center"/>
          </w:tcPr>
          <w:p w:rsidR="00EE56C0" w:rsidRDefault="000F36A1">
            <w:pPr>
              <w:pStyle w:val="afa"/>
            </w:pPr>
            <w:r>
              <w:rPr>
                <w:rFonts w:hint="eastAsia"/>
              </w:rPr>
              <w:t>2000</w:t>
            </w:r>
          </w:p>
        </w:tc>
      </w:tr>
      <w:tr w:rsidR="00EE56C0">
        <w:trPr>
          <w:trHeight w:val="425"/>
          <w:jc w:val="center"/>
        </w:trPr>
        <w:tc>
          <w:tcPr>
            <w:tcW w:w="314" w:type="pct"/>
            <w:vAlign w:val="center"/>
          </w:tcPr>
          <w:p w:rsidR="00EE56C0" w:rsidRDefault="000F36A1">
            <w:pPr>
              <w:pStyle w:val="afa"/>
            </w:pPr>
            <w:r>
              <w:rPr>
                <w:rFonts w:hint="eastAsia"/>
              </w:rPr>
              <w:t>4</w:t>
            </w:r>
          </w:p>
        </w:tc>
        <w:tc>
          <w:tcPr>
            <w:tcW w:w="830" w:type="pct"/>
            <w:tcBorders>
              <w:right w:val="single" w:sz="4" w:space="0" w:color="auto"/>
            </w:tcBorders>
            <w:vAlign w:val="center"/>
          </w:tcPr>
          <w:p w:rsidR="00EE56C0" w:rsidRDefault="000F36A1">
            <w:pPr>
              <w:pStyle w:val="afa"/>
              <w:rPr>
                <w:rFonts w:hAnsi="宋体"/>
              </w:rPr>
            </w:pPr>
            <w:r>
              <w:rPr>
                <w:rFonts w:hAnsi="宋体" w:hint="eastAsia"/>
              </w:rPr>
              <w:t>康庄村</w:t>
            </w:r>
          </w:p>
        </w:tc>
        <w:tc>
          <w:tcPr>
            <w:tcW w:w="750" w:type="pct"/>
            <w:tcBorders>
              <w:left w:val="single" w:sz="4" w:space="0" w:color="auto"/>
              <w:right w:val="single" w:sz="4" w:space="0" w:color="auto"/>
            </w:tcBorders>
            <w:vAlign w:val="center"/>
          </w:tcPr>
          <w:p w:rsidR="00EE56C0" w:rsidRDefault="000F36A1">
            <w:pPr>
              <w:pStyle w:val="afa"/>
            </w:pPr>
            <w:r>
              <w:t>-1894</w:t>
            </w:r>
          </w:p>
        </w:tc>
        <w:tc>
          <w:tcPr>
            <w:tcW w:w="498" w:type="pct"/>
            <w:tcBorders>
              <w:left w:val="single" w:sz="4" w:space="0" w:color="auto"/>
            </w:tcBorders>
            <w:vAlign w:val="center"/>
          </w:tcPr>
          <w:p w:rsidR="00EE56C0" w:rsidRDefault="000F36A1">
            <w:pPr>
              <w:pStyle w:val="afa"/>
            </w:pPr>
            <w:r>
              <w:t>-1678</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Ansi="宋体" w:hint="eastAsia"/>
              </w:rPr>
              <w:t>西南</w:t>
            </w:r>
          </w:p>
        </w:tc>
        <w:tc>
          <w:tcPr>
            <w:tcW w:w="475" w:type="pct"/>
            <w:vAlign w:val="center"/>
          </w:tcPr>
          <w:p w:rsidR="00EE56C0" w:rsidRDefault="000F36A1">
            <w:pPr>
              <w:pStyle w:val="afa"/>
            </w:pPr>
            <w:r>
              <w:rPr>
                <w:rFonts w:hint="eastAsia"/>
              </w:rPr>
              <w:t>1765</w:t>
            </w:r>
          </w:p>
        </w:tc>
      </w:tr>
      <w:tr w:rsidR="00EE56C0">
        <w:trPr>
          <w:trHeight w:val="425"/>
          <w:jc w:val="center"/>
        </w:trPr>
        <w:tc>
          <w:tcPr>
            <w:tcW w:w="314" w:type="pct"/>
            <w:vAlign w:val="center"/>
          </w:tcPr>
          <w:p w:rsidR="00EE56C0" w:rsidRDefault="000F36A1">
            <w:pPr>
              <w:pStyle w:val="afa"/>
            </w:pPr>
            <w:r>
              <w:rPr>
                <w:rFonts w:hint="eastAsia"/>
              </w:rPr>
              <w:t>5</w:t>
            </w:r>
          </w:p>
        </w:tc>
        <w:tc>
          <w:tcPr>
            <w:tcW w:w="830" w:type="pct"/>
            <w:tcBorders>
              <w:right w:val="single" w:sz="4" w:space="0" w:color="auto"/>
            </w:tcBorders>
            <w:vAlign w:val="center"/>
          </w:tcPr>
          <w:p w:rsidR="00EE56C0" w:rsidRDefault="000F36A1">
            <w:pPr>
              <w:pStyle w:val="afa"/>
              <w:rPr>
                <w:rFonts w:hAnsi="宋体"/>
              </w:rPr>
            </w:pPr>
            <w:r>
              <w:rPr>
                <w:rFonts w:hAnsi="宋体" w:hint="eastAsia"/>
              </w:rPr>
              <w:t>府庄村</w:t>
            </w:r>
          </w:p>
        </w:tc>
        <w:tc>
          <w:tcPr>
            <w:tcW w:w="750" w:type="pct"/>
            <w:tcBorders>
              <w:left w:val="single" w:sz="4" w:space="0" w:color="auto"/>
              <w:right w:val="single" w:sz="4" w:space="0" w:color="auto"/>
            </w:tcBorders>
            <w:vAlign w:val="center"/>
          </w:tcPr>
          <w:p w:rsidR="00EE56C0" w:rsidRDefault="000F36A1">
            <w:pPr>
              <w:pStyle w:val="afa"/>
            </w:pPr>
            <w:r>
              <w:t>841</w:t>
            </w:r>
          </w:p>
        </w:tc>
        <w:tc>
          <w:tcPr>
            <w:tcW w:w="498" w:type="pct"/>
            <w:tcBorders>
              <w:left w:val="single" w:sz="4" w:space="0" w:color="auto"/>
            </w:tcBorders>
            <w:vAlign w:val="center"/>
          </w:tcPr>
          <w:p w:rsidR="00EE56C0" w:rsidRDefault="000F36A1">
            <w:pPr>
              <w:pStyle w:val="afa"/>
            </w:pPr>
            <w:r>
              <w:t>-3331</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Ansi="宋体" w:hint="eastAsia"/>
              </w:rPr>
              <w:t>南</w:t>
            </w:r>
          </w:p>
        </w:tc>
        <w:tc>
          <w:tcPr>
            <w:tcW w:w="475" w:type="pct"/>
            <w:vAlign w:val="center"/>
          </w:tcPr>
          <w:p w:rsidR="00EE56C0" w:rsidRDefault="000F36A1">
            <w:pPr>
              <w:pStyle w:val="afa"/>
            </w:pPr>
            <w:r>
              <w:rPr>
                <w:rFonts w:hint="eastAsia"/>
              </w:rPr>
              <w:t>2900</w:t>
            </w:r>
          </w:p>
        </w:tc>
      </w:tr>
      <w:tr w:rsidR="00EE56C0">
        <w:trPr>
          <w:trHeight w:val="425"/>
          <w:jc w:val="center"/>
        </w:trPr>
        <w:tc>
          <w:tcPr>
            <w:tcW w:w="314" w:type="pct"/>
            <w:vAlign w:val="center"/>
          </w:tcPr>
          <w:p w:rsidR="00EE56C0" w:rsidRDefault="000F36A1">
            <w:pPr>
              <w:pStyle w:val="afa"/>
            </w:pPr>
            <w:r>
              <w:rPr>
                <w:rFonts w:hint="eastAsia"/>
              </w:rPr>
              <w:lastRenderedPageBreak/>
              <w:t>6</w:t>
            </w:r>
          </w:p>
        </w:tc>
        <w:tc>
          <w:tcPr>
            <w:tcW w:w="830" w:type="pct"/>
            <w:tcBorders>
              <w:right w:val="single" w:sz="4" w:space="0" w:color="auto"/>
            </w:tcBorders>
            <w:vAlign w:val="center"/>
          </w:tcPr>
          <w:p w:rsidR="00EE56C0" w:rsidRDefault="000F36A1">
            <w:pPr>
              <w:pStyle w:val="afa"/>
              <w:rPr>
                <w:rFonts w:hAnsi="宋体"/>
              </w:rPr>
            </w:pPr>
            <w:r>
              <w:rPr>
                <w:rFonts w:hAnsi="宋体" w:hint="eastAsia"/>
              </w:rPr>
              <w:t>大张庄村</w:t>
            </w:r>
          </w:p>
        </w:tc>
        <w:tc>
          <w:tcPr>
            <w:tcW w:w="750" w:type="pct"/>
            <w:tcBorders>
              <w:left w:val="single" w:sz="4" w:space="0" w:color="auto"/>
              <w:right w:val="single" w:sz="4" w:space="0" w:color="auto"/>
            </w:tcBorders>
            <w:vAlign w:val="center"/>
          </w:tcPr>
          <w:p w:rsidR="00EE56C0" w:rsidRDefault="000F36A1">
            <w:pPr>
              <w:pStyle w:val="afa"/>
            </w:pPr>
            <w:r>
              <w:t>1970</w:t>
            </w:r>
          </w:p>
        </w:tc>
        <w:tc>
          <w:tcPr>
            <w:tcW w:w="498" w:type="pct"/>
            <w:tcBorders>
              <w:left w:val="single" w:sz="4" w:space="0" w:color="auto"/>
            </w:tcBorders>
            <w:vAlign w:val="center"/>
          </w:tcPr>
          <w:p w:rsidR="00EE56C0" w:rsidRDefault="000F36A1">
            <w:pPr>
              <w:pStyle w:val="afa"/>
            </w:pPr>
            <w:r>
              <w:t>-3738</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int="eastAsia"/>
              </w:rPr>
              <w:t>东南</w:t>
            </w:r>
          </w:p>
        </w:tc>
        <w:tc>
          <w:tcPr>
            <w:tcW w:w="475" w:type="pct"/>
            <w:vAlign w:val="center"/>
          </w:tcPr>
          <w:p w:rsidR="00EE56C0" w:rsidRDefault="000F36A1">
            <w:pPr>
              <w:pStyle w:val="afa"/>
            </w:pPr>
            <w:r>
              <w:rPr>
                <w:rFonts w:hint="eastAsia"/>
              </w:rPr>
              <w:t>3400</w:t>
            </w:r>
          </w:p>
        </w:tc>
      </w:tr>
      <w:tr w:rsidR="00EE56C0">
        <w:trPr>
          <w:trHeight w:val="425"/>
          <w:jc w:val="center"/>
        </w:trPr>
        <w:tc>
          <w:tcPr>
            <w:tcW w:w="314" w:type="pct"/>
            <w:vAlign w:val="center"/>
          </w:tcPr>
          <w:p w:rsidR="00EE56C0" w:rsidRDefault="000F36A1">
            <w:pPr>
              <w:pStyle w:val="afa"/>
            </w:pPr>
            <w:r>
              <w:rPr>
                <w:rFonts w:hint="eastAsia"/>
              </w:rPr>
              <w:t>7</w:t>
            </w:r>
          </w:p>
        </w:tc>
        <w:tc>
          <w:tcPr>
            <w:tcW w:w="830" w:type="pct"/>
            <w:tcBorders>
              <w:right w:val="single" w:sz="4" w:space="0" w:color="auto"/>
            </w:tcBorders>
            <w:vAlign w:val="center"/>
          </w:tcPr>
          <w:p w:rsidR="00EE56C0" w:rsidRDefault="000F36A1">
            <w:pPr>
              <w:pStyle w:val="afa"/>
              <w:rPr>
                <w:rFonts w:hAnsi="宋体"/>
              </w:rPr>
            </w:pPr>
            <w:r>
              <w:rPr>
                <w:rFonts w:hAnsi="宋体" w:hint="eastAsia"/>
              </w:rPr>
              <w:t>大赵庄村</w:t>
            </w:r>
          </w:p>
        </w:tc>
        <w:tc>
          <w:tcPr>
            <w:tcW w:w="750" w:type="pct"/>
            <w:tcBorders>
              <w:left w:val="single" w:sz="4" w:space="0" w:color="auto"/>
              <w:right w:val="single" w:sz="4" w:space="0" w:color="auto"/>
            </w:tcBorders>
            <w:vAlign w:val="center"/>
          </w:tcPr>
          <w:p w:rsidR="00EE56C0" w:rsidRDefault="000F36A1">
            <w:pPr>
              <w:pStyle w:val="afa"/>
            </w:pPr>
            <w:r>
              <w:t>-544</w:t>
            </w:r>
          </w:p>
        </w:tc>
        <w:tc>
          <w:tcPr>
            <w:tcW w:w="498" w:type="pct"/>
            <w:tcBorders>
              <w:left w:val="single" w:sz="4" w:space="0" w:color="auto"/>
            </w:tcBorders>
            <w:vAlign w:val="center"/>
          </w:tcPr>
          <w:p w:rsidR="00EE56C0" w:rsidRDefault="000F36A1">
            <w:pPr>
              <w:pStyle w:val="afa"/>
            </w:pPr>
            <w:r>
              <w:t>-3301</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Ansi="宋体" w:hint="eastAsia"/>
              </w:rPr>
              <w:t>南</w:t>
            </w:r>
          </w:p>
        </w:tc>
        <w:tc>
          <w:tcPr>
            <w:tcW w:w="475" w:type="pct"/>
            <w:vAlign w:val="center"/>
          </w:tcPr>
          <w:p w:rsidR="00EE56C0" w:rsidRDefault="000F36A1">
            <w:pPr>
              <w:pStyle w:val="afa"/>
            </w:pPr>
            <w:r>
              <w:rPr>
                <w:rFonts w:hint="eastAsia"/>
              </w:rPr>
              <w:t>2800</w:t>
            </w:r>
          </w:p>
        </w:tc>
      </w:tr>
      <w:tr w:rsidR="00EE56C0">
        <w:trPr>
          <w:trHeight w:val="425"/>
          <w:jc w:val="center"/>
        </w:trPr>
        <w:tc>
          <w:tcPr>
            <w:tcW w:w="314" w:type="pct"/>
            <w:vAlign w:val="center"/>
          </w:tcPr>
          <w:p w:rsidR="00EE56C0" w:rsidRDefault="000F36A1">
            <w:pPr>
              <w:pStyle w:val="afa"/>
            </w:pPr>
            <w:r>
              <w:rPr>
                <w:rFonts w:hint="eastAsia"/>
              </w:rPr>
              <w:t>8</w:t>
            </w:r>
          </w:p>
        </w:tc>
        <w:tc>
          <w:tcPr>
            <w:tcW w:w="830" w:type="pct"/>
            <w:tcBorders>
              <w:right w:val="single" w:sz="4" w:space="0" w:color="auto"/>
            </w:tcBorders>
            <w:vAlign w:val="center"/>
          </w:tcPr>
          <w:p w:rsidR="00EE56C0" w:rsidRDefault="000F36A1">
            <w:pPr>
              <w:pStyle w:val="afa"/>
              <w:rPr>
                <w:rFonts w:hAnsi="宋体"/>
              </w:rPr>
            </w:pPr>
            <w:r>
              <w:rPr>
                <w:rFonts w:hAnsi="宋体" w:hint="eastAsia"/>
              </w:rPr>
              <w:t>丁庄村</w:t>
            </w:r>
          </w:p>
        </w:tc>
        <w:tc>
          <w:tcPr>
            <w:tcW w:w="750" w:type="pct"/>
            <w:tcBorders>
              <w:left w:val="single" w:sz="4" w:space="0" w:color="auto"/>
              <w:right w:val="single" w:sz="4" w:space="0" w:color="auto"/>
            </w:tcBorders>
            <w:vAlign w:val="center"/>
          </w:tcPr>
          <w:p w:rsidR="00EE56C0" w:rsidRDefault="000F36A1">
            <w:pPr>
              <w:pStyle w:val="afa"/>
            </w:pPr>
            <w:r>
              <w:t>-2712</w:t>
            </w:r>
          </w:p>
        </w:tc>
        <w:tc>
          <w:tcPr>
            <w:tcW w:w="498" w:type="pct"/>
            <w:tcBorders>
              <w:left w:val="single" w:sz="4" w:space="0" w:color="auto"/>
            </w:tcBorders>
            <w:vAlign w:val="center"/>
          </w:tcPr>
          <w:p w:rsidR="00EE56C0" w:rsidRDefault="000F36A1">
            <w:pPr>
              <w:pStyle w:val="afa"/>
            </w:pPr>
            <w:r>
              <w:t>-3180</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Ansi="宋体" w:hint="eastAsia"/>
              </w:rPr>
              <w:t>西南</w:t>
            </w:r>
          </w:p>
        </w:tc>
        <w:tc>
          <w:tcPr>
            <w:tcW w:w="475" w:type="pct"/>
            <w:vAlign w:val="center"/>
          </w:tcPr>
          <w:p w:rsidR="00EE56C0" w:rsidRDefault="000F36A1">
            <w:pPr>
              <w:pStyle w:val="afa"/>
            </w:pPr>
            <w:r>
              <w:rPr>
                <w:rFonts w:hint="eastAsia"/>
              </w:rPr>
              <w:t>3190</w:t>
            </w:r>
          </w:p>
        </w:tc>
      </w:tr>
      <w:tr w:rsidR="00EE56C0">
        <w:trPr>
          <w:trHeight w:val="425"/>
          <w:jc w:val="center"/>
        </w:trPr>
        <w:tc>
          <w:tcPr>
            <w:tcW w:w="314" w:type="pct"/>
            <w:vAlign w:val="center"/>
          </w:tcPr>
          <w:p w:rsidR="00EE56C0" w:rsidRDefault="000F36A1">
            <w:pPr>
              <w:pStyle w:val="afa"/>
            </w:pPr>
            <w:r>
              <w:rPr>
                <w:rFonts w:hint="eastAsia"/>
              </w:rPr>
              <w:t>9</w:t>
            </w:r>
          </w:p>
        </w:tc>
        <w:tc>
          <w:tcPr>
            <w:tcW w:w="830" w:type="pct"/>
            <w:tcBorders>
              <w:right w:val="single" w:sz="4" w:space="0" w:color="auto"/>
            </w:tcBorders>
            <w:vAlign w:val="center"/>
          </w:tcPr>
          <w:p w:rsidR="00EE56C0" w:rsidRDefault="000F36A1">
            <w:pPr>
              <w:pStyle w:val="afa"/>
              <w:rPr>
                <w:rFonts w:hAnsi="宋体"/>
              </w:rPr>
            </w:pPr>
            <w:r>
              <w:rPr>
                <w:rFonts w:hAnsi="宋体" w:hint="eastAsia"/>
              </w:rPr>
              <w:t>刘八庄村</w:t>
            </w:r>
          </w:p>
        </w:tc>
        <w:tc>
          <w:tcPr>
            <w:tcW w:w="750" w:type="pct"/>
            <w:tcBorders>
              <w:left w:val="single" w:sz="4" w:space="0" w:color="auto"/>
              <w:right w:val="single" w:sz="4" w:space="0" w:color="auto"/>
            </w:tcBorders>
            <w:vAlign w:val="center"/>
          </w:tcPr>
          <w:p w:rsidR="00EE56C0" w:rsidRDefault="000F36A1">
            <w:pPr>
              <w:pStyle w:val="afa"/>
            </w:pPr>
            <w:r>
              <w:t>-4549</w:t>
            </w:r>
          </w:p>
        </w:tc>
        <w:tc>
          <w:tcPr>
            <w:tcW w:w="498" w:type="pct"/>
            <w:tcBorders>
              <w:left w:val="single" w:sz="4" w:space="0" w:color="auto"/>
            </w:tcBorders>
            <w:vAlign w:val="center"/>
          </w:tcPr>
          <w:p w:rsidR="00EE56C0" w:rsidRDefault="000F36A1">
            <w:pPr>
              <w:pStyle w:val="afa"/>
            </w:pPr>
            <w:r>
              <w:t>-3195</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Ansi="宋体" w:hint="eastAsia"/>
              </w:rPr>
              <w:t>西南</w:t>
            </w:r>
          </w:p>
        </w:tc>
        <w:tc>
          <w:tcPr>
            <w:tcW w:w="475" w:type="pct"/>
            <w:vAlign w:val="center"/>
          </w:tcPr>
          <w:p w:rsidR="00EE56C0" w:rsidRDefault="000F36A1">
            <w:pPr>
              <w:pStyle w:val="afa"/>
            </w:pPr>
            <w:r>
              <w:rPr>
                <w:rFonts w:hint="eastAsia"/>
              </w:rPr>
              <w:t>4100</w:t>
            </w:r>
          </w:p>
        </w:tc>
      </w:tr>
      <w:tr w:rsidR="00EE56C0">
        <w:trPr>
          <w:trHeight w:val="425"/>
          <w:jc w:val="center"/>
        </w:trPr>
        <w:tc>
          <w:tcPr>
            <w:tcW w:w="314" w:type="pct"/>
            <w:vAlign w:val="center"/>
          </w:tcPr>
          <w:p w:rsidR="00EE56C0" w:rsidRDefault="000F36A1">
            <w:pPr>
              <w:pStyle w:val="afa"/>
            </w:pPr>
            <w:r>
              <w:rPr>
                <w:rFonts w:hint="eastAsia"/>
              </w:rPr>
              <w:t>10</w:t>
            </w:r>
          </w:p>
        </w:tc>
        <w:tc>
          <w:tcPr>
            <w:tcW w:w="830" w:type="pct"/>
            <w:tcBorders>
              <w:right w:val="single" w:sz="4" w:space="0" w:color="auto"/>
            </w:tcBorders>
            <w:vAlign w:val="center"/>
          </w:tcPr>
          <w:p w:rsidR="00EE56C0" w:rsidRDefault="000F36A1">
            <w:pPr>
              <w:pStyle w:val="afa"/>
              <w:rPr>
                <w:rFonts w:hAnsi="宋体"/>
              </w:rPr>
            </w:pPr>
            <w:r>
              <w:rPr>
                <w:rFonts w:hAnsi="宋体" w:hint="eastAsia"/>
              </w:rPr>
              <w:t>王贵楼村</w:t>
            </w:r>
          </w:p>
        </w:tc>
        <w:tc>
          <w:tcPr>
            <w:tcW w:w="750" w:type="pct"/>
            <w:tcBorders>
              <w:left w:val="single" w:sz="4" w:space="0" w:color="auto"/>
              <w:right w:val="single" w:sz="4" w:space="0" w:color="auto"/>
            </w:tcBorders>
            <w:vAlign w:val="center"/>
          </w:tcPr>
          <w:p w:rsidR="00EE56C0" w:rsidRDefault="000F36A1">
            <w:pPr>
              <w:pStyle w:val="afa"/>
            </w:pPr>
            <w:r>
              <w:t>-5001</w:t>
            </w:r>
          </w:p>
        </w:tc>
        <w:tc>
          <w:tcPr>
            <w:tcW w:w="498" w:type="pct"/>
            <w:tcBorders>
              <w:left w:val="single" w:sz="4" w:space="0" w:color="auto"/>
            </w:tcBorders>
            <w:vAlign w:val="center"/>
          </w:tcPr>
          <w:p w:rsidR="00EE56C0" w:rsidRDefault="000F36A1">
            <w:pPr>
              <w:pStyle w:val="afa"/>
            </w:pPr>
            <w:r>
              <w:t>-3768</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Ansi="宋体" w:hint="eastAsia"/>
              </w:rPr>
              <w:t>西南</w:t>
            </w:r>
          </w:p>
        </w:tc>
        <w:tc>
          <w:tcPr>
            <w:tcW w:w="475" w:type="pct"/>
            <w:vAlign w:val="center"/>
          </w:tcPr>
          <w:p w:rsidR="00EE56C0" w:rsidRDefault="000F36A1">
            <w:pPr>
              <w:pStyle w:val="afa"/>
            </w:pPr>
            <w:r>
              <w:rPr>
                <w:rFonts w:hint="eastAsia"/>
              </w:rPr>
              <w:t>4750</w:t>
            </w:r>
          </w:p>
        </w:tc>
      </w:tr>
      <w:tr w:rsidR="00EE56C0">
        <w:trPr>
          <w:trHeight w:val="425"/>
          <w:jc w:val="center"/>
        </w:trPr>
        <w:tc>
          <w:tcPr>
            <w:tcW w:w="314" w:type="pct"/>
            <w:vAlign w:val="center"/>
          </w:tcPr>
          <w:p w:rsidR="00EE56C0" w:rsidRDefault="000F36A1">
            <w:pPr>
              <w:pStyle w:val="afa"/>
            </w:pPr>
            <w:r>
              <w:rPr>
                <w:rFonts w:hint="eastAsia"/>
              </w:rPr>
              <w:t>11</w:t>
            </w:r>
          </w:p>
        </w:tc>
        <w:tc>
          <w:tcPr>
            <w:tcW w:w="830" w:type="pct"/>
            <w:tcBorders>
              <w:right w:val="single" w:sz="4" w:space="0" w:color="auto"/>
            </w:tcBorders>
            <w:vAlign w:val="center"/>
          </w:tcPr>
          <w:p w:rsidR="00EE56C0" w:rsidRDefault="000F36A1">
            <w:pPr>
              <w:pStyle w:val="afa"/>
            </w:pPr>
            <w:r>
              <w:rPr>
                <w:rFonts w:hAnsi="宋体" w:hint="eastAsia"/>
              </w:rPr>
              <w:t>罗滩村</w:t>
            </w:r>
          </w:p>
        </w:tc>
        <w:tc>
          <w:tcPr>
            <w:tcW w:w="750" w:type="pct"/>
            <w:tcBorders>
              <w:left w:val="single" w:sz="4" w:space="0" w:color="auto"/>
              <w:right w:val="single" w:sz="4" w:space="0" w:color="auto"/>
            </w:tcBorders>
            <w:vAlign w:val="center"/>
          </w:tcPr>
          <w:p w:rsidR="00EE56C0" w:rsidRDefault="000F36A1">
            <w:pPr>
              <w:pStyle w:val="afa"/>
            </w:pPr>
            <w:r>
              <w:t>-3209</w:t>
            </w:r>
          </w:p>
        </w:tc>
        <w:tc>
          <w:tcPr>
            <w:tcW w:w="498" w:type="pct"/>
            <w:tcBorders>
              <w:left w:val="single" w:sz="4" w:space="0" w:color="auto"/>
            </w:tcBorders>
            <w:vAlign w:val="center"/>
          </w:tcPr>
          <w:p w:rsidR="00EE56C0" w:rsidRDefault="000F36A1">
            <w:pPr>
              <w:pStyle w:val="afa"/>
            </w:pPr>
            <w:r>
              <w:t>-304</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pPr>
            <w:r>
              <w:rPr>
                <w:rFonts w:hint="eastAsia"/>
              </w:rPr>
              <w:t>西</w:t>
            </w:r>
          </w:p>
        </w:tc>
        <w:tc>
          <w:tcPr>
            <w:tcW w:w="475" w:type="pct"/>
            <w:vAlign w:val="center"/>
          </w:tcPr>
          <w:p w:rsidR="00EE56C0" w:rsidRDefault="000F36A1">
            <w:pPr>
              <w:pStyle w:val="afa"/>
            </w:pPr>
            <w:r>
              <w:rPr>
                <w:rFonts w:hint="eastAsia"/>
              </w:rPr>
              <w:t>1920</w:t>
            </w:r>
          </w:p>
        </w:tc>
      </w:tr>
      <w:tr w:rsidR="00EE56C0">
        <w:trPr>
          <w:trHeight w:val="425"/>
          <w:jc w:val="center"/>
        </w:trPr>
        <w:tc>
          <w:tcPr>
            <w:tcW w:w="314" w:type="pct"/>
            <w:vAlign w:val="center"/>
          </w:tcPr>
          <w:p w:rsidR="00EE56C0" w:rsidRDefault="000F36A1">
            <w:pPr>
              <w:pStyle w:val="afa"/>
            </w:pPr>
            <w:r>
              <w:rPr>
                <w:rFonts w:hint="eastAsia"/>
              </w:rPr>
              <w:t>12</w:t>
            </w:r>
          </w:p>
        </w:tc>
        <w:tc>
          <w:tcPr>
            <w:tcW w:w="830" w:type="pct"/>
            <w:tcBorders>
              <w:right w:val="single" w:sz="4" w:space="0" w:color="auto"/>
            </w:tcBorders>
            <w:vAlign w:val="center"/>
          </w:tcPr>
          <w:p w:rsidR="00EE56C0" w:rsidRDefault="000F36A1">
            <w:pPr>
              <w:pStyle w:val="afa"/>
              <w:rPr>
                <w:rFonts w:hAnsi="宋体"/>
              </w:rPr>
            </w:pPr>
            <w:r>
              <w:rPr>
                <w:rFonts w:hAnsi="宋体" w:hint="eastAsia"/>
              </w:rPr>
              <w:t>杨庄村</w:t>
            </w:r>
          </w:p>
        </w:tc>
        <w:tc>
          <w:tcPr>
            <w:tcW w:w="750" w:type="pct"/>
            <w:tcBorders>
              <w:left w:val="single" w:sz="4" w:space="0" w:color="auto"/>
              <w:right w:val="single" w:sz="4" w:space="0" w:color="auto"/>
            </w:tcBorders>
            <w:vAlign w:val="center"/>
          </w:tcPr>
          <w:p w:rsidR="00EE56C0" w:rsidRDefault="000F36A1">
            <w:pPr>
              <w:pStyle w:val="afa"/>
            </w:pPr>
            <w:r>
              <w:t>-4082</w:t>
            </w:r>
          </w:p>
        </w:tc>
        <w:tc>
          <w:tcPr>
            <w:tcW w:w="498" w:type="pct"/>
            <w:tcBorders>
              <w:left w:val="single" w:sz="4" w:space="0" w:color="auto"/>
            </w:tcBorders>
            <w:vAlign w:val="center"/>
          </w:tcPr>
          <w:p w:rsidR="00EE56C0" w:rsidRDefault="000F36A1">
            <w:pPr>
              <w:pStyle w:val="afa"/>
            </w:pPr>
            <w:r>
              <w:t>-771</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int="eastAsia"/>
              </w:rPr>
              <w:t>西</w:t>
            </w:r>
          </w:p>
        </w:tc>
        <w:tc>
          <w:tcPr>
            <w:tcW w:w="475" w:type="pct"/>
            <w:vAlign w:val="center"/>
          </w:tcPr>
          <w:p w:rsidR="00EE56C0" w:rsidRDefault="000F36A1">
            <w:pPr>
              <w:pStyle w:val="afa"/>
            </w:pPr>
            <w:r>
              <w:rPr>
                <w:rFonts w:hint="eastAsia"/>
              </w:rPr>
              <w:t>2750</w:t>
            </w:r>
          </w:p>
        </w:tc>
      </w:tr>
      <w:tr w:rsidR="00EE56C0">
        <w:trPr>
          <w:trHeight w:val="425"/>
          <w:jc w:val="center"/>
        </w:trPr>
        <w:tc>
          <w:tcPr>
            <w:tcW w:w="314" w:type="pct"/>
            <w:vAlign w:val="center"/>
          </w:tcPr>
          <w:p w:rsidR="00EE56C0" w:rsidRDefault="000F36A1">
            <w:pPr>
              <w:pStyle w:val="afa"/>
            </w:pPr>
            <w:r>
              <w:rPr>
                <w:rFonts w:hint="eastAsia"/>
              </w:rPr>
              <w:t>13</w:t>
            </w:r>
          </w:p>
        </w:tc>
        <w:tc>
          <w:tcPr>
            <w:tcW w:w="830" w:type="pct"/>
            <w:tcBorders>
              <w:right w:val="single" w:sz="4" w:space="0" w:color="auto"/>
            </w:tcBorders>
            <w:vAlign w:val="center"/>
          </w:tcPr>
          <w:p w:rsidR="00EE56C0" w:rsidRDefault="000F36A1">
            <w:pPr>
              <w:pStyle w:val="afa"/>
              <w:rPr>
                <w:rFonts w:hAnsi="宋体"/>
              </w:rPr>
            </w:pPr>
            <w:r>
              <w:rPr>
                <w:rFonts w:hAnsi="宋体" w:hint="eastAsia"/>
              </w:rPr>
              <w:t>杨堤村</w:t>
            </w:r>
          </w:p>
        </w:tc>
        <w:tc>
          <w:tcPr>
            <w:tcW w:w="750" w:type="pct"/>
            <w:tcBorders>
              <w:left w:val="single" w:sz="4" w:space="0" w:color="auto"/>
              <w:right w:val="single" w:sz="4" w:space="0" w:color="auto"/>
            </w:tcBorders>
            <w:vAlign w:val="center"/>
          </w:tcPr>
          <w:p w:rsidR="00EE56C0" w:rsidRDefault="000F36A1">
            <w:pPr>
              <w:pStyle w:val="afa"/>
            </w:pPr>
            <w:r>
              <w:t>-4022</w:t>
            </w:r>
          </w:p>
        </w:tc>
        <w:tc>
          <w:tcPr>
            <w:tcW w:w="498" w:type="pct"/>
            <w:tcBorders>
              <w:left w:val="single" w:sz="4" w:space="0" w:color="auto"/>
            </w:tcBorders>
            <w:vAlign w:val="center"/>
          </w:tcPr>
          <w:p w:rsidR="00EE56C0" w:rsidRDefault="000F36A1">
            <w:pPr>
              <w:pStyle w:val="afa"/>
            </w:pPr>
            <w:r>
              <w:t>102</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int="eastAsia"/>
              </w:rPr>
              <w:t>西</w:t>
            </w:r>
          </w:p>
        </w:tc>
        <w:tc>
          <w:tcPr>
            <w:tcW w:w="475" w:type="pct"/>
            <w:vAlign w:val="center"/>
          </w:tcPr>
          <w:p w:rsidR="00EE56C0" w:rsidRDefault="000F36A1">
            <w:pPr>
              <w:pStyle w:val="afa"/>
            </w:pPr>
            <w:r>
              <w:rPr>
                <w:rFonts w:hint="eastAsia"/>
              </w:rPr>
              <w:t>2600</w:t>
            </w:r>
          </w:p>
        </w:tc>
      </w:tr>
      <w:tr w:rsidR="00EE56C0">
        <w:trPr>
          <w:trHeight w:val="425"/>
          <w:jc w:val="center"/>
        </w:trPr>
        <w:tc>
          <w:tcPr>
            <w:tcW w:w="314" w:type="pct"/>
            <w:vAlign w:val="center"/>
          </w:tcPr>
          <w:p w:rsidR="00EE56C0" w:rsidRDefault="000F36A1">
            <w:pPr>
              <w:pStyle w:val="afa"/>
            </w:pPr>
            <w:r>
              <w:rPr>
                <w:rFonts w:hint="eastAsia"/>
              </w:rPr>
              <w:t>14</w:t>
            </w:r>
          </w:p>
        </w:tc>
        <w:tc>
          <w:tcPr>
            <w:tcW w:w="830" w:type="pct"/>
            <w:tcBorders>
              <w:right w:val="single" w:sz="4" w:space="0" w:color="auto"/>
            </w:tcBorders>
            <w:vAlign w:val="center"/>
          </w:tcPr>
          <w:p w:rsidR="00EE56C0" w:rsidRDefault="000F36A1">
            <w:pPr>
              <w:pStyle w:val="afa"/>
              <w:rPr>
                <w:rFonts w:hAnsi="宋体"/>
              </w:rPr>
            </w:pPr>
            <w:r>
              <w:rPr>
                <w:rFonts w:hAnsi="宋体" w:hint="eastAsia"/>
              </w:rPr>
              <w:t>西曹村</w:t>
            </w:r>
          </w:p>
        </w:tc>
        <w:tc>
          <w:tcPr>
            <w:tcW w:w="750" w:type="pct"/>
            <w:tcBorders>
              <w:left w:val="single" w:sz="4" w:space="0" w:color="auto"/>
              <w:right w:val="single" w:sz="4" w:space="0" w:color="auto"/>
            </w:tcBorders>
            <w:vAlign w:val="center"/>
          </w:tcPr>
          <w:p w:rsidR="00EE56C0" w:rsidRDefault="000F36A1">
            <w:pPr>
              <w:pStyle w:val="afa"/>
            </w:pPr>
            <w:r>
              <w:t>-3134</w:t>
            </w:r>
          </w:p>
        </w:tc>
        <w:tc>
          <w:tcPr>
            <w:tcW w:w="498" w:type="pct"/>
            <w:tcBorders>
              <w:left w:val="single" w:sz="4" w:space="0" w:color="auto"/>
            </w:tcBorders>
            <w:vAlign w:val="center"/>
          </w:tcPr>
          <w:p w:rsidR="00EE56C0" w:rsidRDefault="000F36A1">
            <w:pPr>
              <w:pStyle w:val="afa"/>
            </w:pPr>
            <w:r>
              <w:t>975</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Ansi="宋体" w:hint="eastAsia"/>
              </w:rPr>
              <w:t>西北</w:t>
            </w:r>
          </w:p>
        </w:tc>
        <w:tc>
          <w:tcPr>
            <w:tcW w:w="475" w:type="pct"/>
            <w:vAlign w:val="center"/>
          </w:tcPr>
          <w:p w:rsidR="00EE56C0" w:rsidRDefault="000F36A1">
            <w:pPr>
              <w:pStyle w:val="afa"/>
            </w:pPr>
            <w:r>
              <w:rPr>
                <w:rFonts w:hint="eastAsia"/>
              </w:rPr>
              <w:t>2150</w:t>
            </w:r>
          </w:p>
        </w:tc>
      </w:tr>
      <w:tr w:rsidR="00EE56C0">
        <w:trPr>
          <w:trHeight w:val="425"/>
          <w:jc w:val="center"/>
        </w:trPr>
        <w:tc>
          <w:tcPr>
            <w:tcW w:w="314" w:type="pct"/>
            <w:vAlign w:val="center"/>
          </w:tcPr>
          <w:p w:rsidR="00EE56C0" w:rsidRDefault="000F36A1">
            <w:pPr>
              <w:pStyle w:val="afa"/>
            </w:pPr>
            <w:r>
              <w:rPr>
                <w:rFonts w:hint="eastAsia"/>
              </w:rPr>
              <w:t>15</w:t>
            </w:r>
          </w:p>
        </w:tc>
        <w:tc>
          <w:tcPr>
            <w:tcW w:w="830" w:type="pct"/>
            <w:tcBorders>
              <w:right w:val="single" w:sz="4" w:space="0" w:color="auto"/>
            </w:tcBorders>
            <w:vAlign w:val="center"/>
          </w:tcPr>
          <w:p w:rsidR="00EE56C0" w:rsidRDefault="000F36A1">
            <w:pPr>
              <w:pStyle w:val="afa"/>
              <w:rPr>
                <w:rFonts w:hAnsi="宋体"/>
              </w:rPr>
            </w:pPr>
            <w:r>
              <w:rPr>
                <w:rFonts w:hAnsi="宋体" w:hint="eastAsia"/>
              </w:rPr>
              <w:t>中曹村</w:t>
            </w:r>
          </w:p>
        </w:tc>
        <w:tc>
          <w:tcPr>
            <w:tcW w:w="750" w:type="pct"/>
            <w:tcBorders>
              <w:left w:val="single" w:sz="4" w:space="0" w:color="auto"/>
              <w:right w:val="single" w:sz="4" w:space="0" w:color="auto"/>
            </w:tcBorders>
            <w:vAlign w:val="center"/>
          </w:tcPr>
          <w:p w:rsidR="00EE56C0" w:rsidRDefault="000F36A1">
            <w:pPr>
              <w:pStyle w:val="afa"/>
            </w:pPr>
            <w:r>
              <w:t>-2471</w:t>
            </w:r>
          </w:p>
        </w:tc>
        <w:tc>
          <w:tcPr>
            <w:tcW w:w="498" w:type="pct"/>
            <w:tcBorders>
              <w:left w:val="single" w:sz="4" w:space="0" w:color="auto"/>
            </w:tcBorders>
            <w:vAlign w:val="center"/>
          </w:tcPr>
          <w:p w:rsidR="00EE56C0" w:rsidRDefault="000F36A1">
            <w:pPr>
              <w:pStyle w:val="afa"/>
            </w:pPr>
            <w:r>
              <w:t>1216</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Ansi="宋体" w:hint="eastAsia"/>
              </w:rPr>
              <w:t>西北</w:t>
            </w:r>
          </w:p>
        </w:tc>
        <w:tc>
          <w:tcPr>
            <w:tcW w:w="475" w:type="pct"/>
            <w:vAlign w:val="center"/>
          </w:tcPr>
          <w:p w:rsidR="00EE56C0" w:rsidRDefault="000F36A1">
            <w:pPr>
              <w:pStyle w:val="afa"/>
            </w:pPr>
            <w:r>
              <w:rPr>
                <w:rFonts w:hint="eastAsia"/>
              </w:rPr>
              <w:t>1140</w:t>
            </w:r>
          </w:p>
        </w:tc>
      </w:tr>
      <w:tr w:rsidR="00EE56C0">
        <w:trPr>
          <w:trHeight w:val="425"/>
          <w:jc w:val="center"/>
        </w:trPr>
        <w:tc>
          <w:tcPr>
            <w:tcW w:w="314" w:type="pct"/>
            <w:vAlign w:val="center"/>
          </w:tcPr>
          <w:p w:rsidR="00EE56C0" w:rsidRDefault="000F36A1">
            <w:pPr>
              <w:pStyle w:val="afa"/>
            </w:pPr>
            <w:r>
              <w:rPr>
                <w:rFonts w:hint="eastAsia"/>
              </w:rPr>
              <w:t>16</w:t>
            </w:r>
          </w:p>
        </w:tc>
        <w:tc>
          <w:tcPr>
            <w:tcW w:w="830" w:type="pct"/>
            <w:tcBorders>
              <w:right w:val="single" w:sz="4" w:space="0" w:color="auto"/>
            </w:tcBorders>
            <w:vAlign w:val="center"/>
          </w:tcPr>
          <w:p w:rsidR="00EE56C0" w:rsidRDefault="000F36A1">
            <w:pPr>
              <w:pStyle w:val="afa"/>
              <w:rPr>
                <w:rFonts w:hAnsi="宋体"/>
              </w:rPr>
            </w:pPr>
            <w:r>
              <w:rPr>
                <w:rFonts w:hAnsi="宋体" w:hint="eastAsia"/>
              </w:rPr>
              <w:t>东曹村</w:t>
            </w:r>
          </w:p>
        </w:tc>
        <w:tc>
          <w:tcPr>
            <w:tcW w:w="750" w:type="pct"/>
            <w:tcBorders>
              <w:left w:val="single" w:sz="4" w:space="0" w:color="auto"/>
              <w:right w:val="single" w:sz="4" w:space="0" w:color="auto"/>
            </w:tcBorders>
            <w:vAlign w:val="center"/>
          </w:tcPr>
          <w:p w:rsidR="00EE56C0" w:rsidRDefault="000F36A1">
            <w:pPr>
              <w:pStyle w:val="afa"/>
            </w:pPr>
            <w:r>
              <w:t>-2140</w:t>
            </w:r>
          </w:p>
        </w:tc>
        <w:tc>
          <w:tcPr>
            <w:tcW w:w="498" w:type="pct"/>
            <w:tcBorders>
              <w:left w:val="single" w:sz="4" w:space="0" w:color="auto"/>
            </w:tcBorders>
            <w:vAlign w:val="center"/>
          </w:tcPr>
          <w:p w:rsidR="00EE56C0" w:rsidRDefault="000F36A1">
            <w:pPr>
              <w:pStyle w:val="afa"/>
            </w:pPr>
            <w:r>
              <w:t>1593</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Ansi="宋体" w:hint="eastAsia"/>
              </w:rPr>
              <w:t>西北</w:t>
            </w:r>
          </w:p>
        </w:tc>
        <w:tc>
          <w:tcPr>
            <w:tcW w:w="475" w:type="pct"/>
            <w:vAlign w:val="center"/>
          </w:tcPr>
          <w:p w:rsidR="00EE56C0" w:rsidRDefault="000F36A1">
            <w:pPr>
              <w:pStyle w:val="afa"/>
            </w:pPr>
            <w:r>
              <w:rPr>
                <w:rFonts w:hint="eastAsia"/>
              </w:rPr>
              <w:t>1820</w:t>
            </w:r>
          </w:p>
        </w:tc>
      </w:tr>
      <w:tr w:rsidR="00EE56C0">
        <w:trPr>
          <w:trHeight w:val="425"/>
          <w:jc w:val="center"/>
        </w:trPr>
        <w:tc>
          <w:tcPr>
            <w:tcW w:w="314" w:type="pct"/>
            <w:vAlign w:val="center"/>
          </w:tcPr>
          <w:p w:rsidR="00EE56C0" w:rsidRDefault="000F36A1">
            <w:pPr>
              <w:pStyle w:val="afa"/>
            </w:pPr>
            <w:r>
              <w:rPr>
                <w:rFonts w:hint="eastAsia"/>
              </w:rPr>
              <w:t>17</w:t>
            </w:r>
          </w:p>
        </w:tc>
        <w:tc>
          <w:tcPr>
            <w:tcW w:w="830" w:type="pct"/>
            <w:tcBorders>
              <w:right w:val="single" w:sz="4" w:space="0" w:color="auto"/>
            </w:tcBorders>
            <w:vAlign w:val="center"/>
          </w:tcPr>
          <w:p w:rsidR="00EE56C0" w:rsidRDefault="000F36A1">
            <w:pPr>
              <w:pStyle w:val="afa"/>
              <w:rPr>
                <w:rFonts w:hAnsi="宋体"/>
              </w:rPr>
            </w:pPr>
            <w:r>
              <w:rPr>
                <w:rFonts w:hAnsi="宋体" w:hint="eastAsia"/>
              </w:rPr>
              <w:t>七里营镇</w:t>
            </w:r>
          </w:p>
        </w:tc>
        <w:tc>
          <w:tcPr>
            <w:tcW w:w="750" w:type="pct"/>
            <w:tcBorders>
              <w:left w:val="single" w:sz="4" w:space="0" w:color="auto"/>
              <w:right w:val="single" w:sz="4" w:space="0" w:color="auto"/>
            </w:tcBorders>
            <w:vAlign w:val="center"/>
          </w:tcPr>
          <w:p w:rsidR="00EE56C0" w:rsidRDefault="000F36A1">
            <w:pPr>
              <w:pStyle w:val="afa"/>
            </w:pPr>
            <w:r>
              <w:t>555</w:t>
            </w:r>
          </w:p>
        </w:tc>
        <w:tc>
          <w:tcPr>
            <w:tcW w:w="498" w:type="pct"/>
            <w:tcBorders>
              <w:left w:val="single" w:sz="4" w:space="0" w:color="auto"/>
            </w:tcBorders>
            <w:vAlign w:val="center"/>
          </w:tcPr>
          <w:p w:rsidR="00EE56C0" w:rsidRDefault="000F36A1">
            <w:pPr>
              <w:pStyle w:val="afa"/>
            </w:pPr>
            <w:r>
              <w:t>1834</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Ansi="宋体" w:hint="eastAsia"/>
              </w:rPr>
              <w:t>北</w:t>
            </w:r>
          </w:p>
        </w:tc>
        <w:tc>
          <w:tcPr>
            <w:tcW w:w="475" w:type="pct"/>
            <w:vAlign w:val="center"/>
          </w:tcPr>
          <w:p w:rsidR="00EE56C0" w:rsidRDefault="000F36A1">
            <w:pPr>
              <w:pStyle w:val="afa"/>
            </w:pPr>
            <w:r>
              <w:rPr>
                <w:rFonts w:hint="eastAsia"/>
              </w:rPr>
              <w:t>1500</w:t>
            </w:r>
          </w:p>
        </w:tc>
      </w:tr>
      <w:tr w:rsidR="00EE56C0">
        <w:trPr>
          <w:trHeight w:val="425"/>
          <w:jc w:val="center"/>
        </w:trPr>
        <w:tc>
          <w:tcPr>
            <w:tcW w:w="314" w:type="pct"/>
            <w:vAlign w:val="center"/>
          </w:tcPr>
          <w:p w:rsidR="00EE56C0" w:rsidRDefault="000F36A1">
            <w:pPr>
              <w:pStyle w:val="afa"/>
            </w:pPr>
            <w:r>
              <w:rPr>
                <w:rFonts w:hint="eastAsia"/>
              </w:rPr>
              <w:t>18</w:t>
            </w:r>
          </w:p>
        </w:tc>
        <w:tc>
          <w:tcPr>
            <w:tcW w:w="830" w:type="pct"/>
            <w:tcBorders>
              <w:right w:val="single" w:sz="4" w:space="0" w:color="auto"/>
            </w:tcBorders>
            <w:vAlign w:val="center"/>
          </w:tcPr>
          <w:p w:rsidR="00EE56C0" w:rsidRDefault="000F36A1">
            <w:pPr>
              <w:pStyle w:val="afa"/>
              <w:rPr>
                <w:rFonts w:hAnsi="宋体"/>
              </w:rPr>
            </w:pPr>
            <w:r>
              <w:rPr>
                <w:rFonts w:hAnsi="宋体" w:hint="eastAsia"/>
              </w:rPr>
              <w:t>七二村</w:t>
            </w:r>
          </w:p>
        </w:tc>
        <w:tc>
          <w:tcPr>
            <w:tcW w:w="750" w:type="pct"/>
            <w:tcBorders>
              <w:left w:val="single" w:sz="4" w:space="0" w:color="auto"/>
              <w:right w:val="single" w:sz="4" w:space="0" w:color="auto"/>
            </w:tcBorders>
            <w:vAlign w:val="center"/>
          </w:tcPr>
          <w:p w:rsidR="00EE56C0" w:rsidRDefault="000F36A1">
            <w:pPr>
              <w:pStyle w:val="afa"/>
            </w:pPr>
            <w:r>
              <w:t>329</w:t>
            </w:r>
          </w:p>
        </w:tc>
        <w:tc>
          <w:tcPr>
            <w:tcW w:w="498" w:type="pct"/>
            <w:tcBorders>
              <w:left w:val="single" w:sz="4" w:space="0" w:color="auto"/>
            </w:tcBorders>
            <w:vAlign w:val="center"/>
          </w:tcPr>
          <w:p w:rsidR="00EE56C0" w:rsidRDefault="000F36A1">
            <w:pPr>
              <w:pStyle w:val="afa"/>
            </w:pPr>
            <w:r>
              <w:t>2737</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Ansi="宋体" w:hint="eastAsia"/>
              </w:rPr>
              <w:t>北</w:t>
            </w:r>
          </w:p>
        </w:tc>
        <w:tc>
          <w:tcPr>
            <w:tcW w:w="475" w:type="pct"/>
            <w:vAlign w:val="center"/>
          </w:tcPr>
          <w:p w:rsidR="00EE56C0" w:rsidRDefault="000F36A1">
            <w:pPr>
              <w:pStyle w:val="afa"/>
            </w:pPr>
            <w:r>
              <w:rPr>
                <w:rFonts w:hint="eastAsia"/>
              </w:rPr>
              <w:t>2500</w:t>
            </w:r>
          </w:p>
        </w:tc>
      </w:tr>
      <w:tr w:rsidR="00EE56C0">
        <w:trPr>
          <w:trHeight w:val="425"/>
          <w:jc w:val="center"/>
        </w:trPr>
        <w:tc>
          <w:tcPr>
            <w:tcW w:w="314" w:type="pct"/>
            <w:vAlign w:val="center"/>
          </w:tcPr>
          <w:p w:rsidR="00EE56C0" w:rsidRDefault="000F36A1">
            <w:pPr>
              <w:pStyle w:val="afa"/>
            </w:pPr>
            <w:r>
              <w:rPr>
                <w:rFonts w:hint="eastAsia"/>
              </w:rPr>
              <w:t>19</w:t>
            </w:r>
          </w:p>
        </w:tc>
        <w:tc>
          <w:tcPr>
            <w:tcW w:w="830" w:type="pct"/>
            <w:tcBorders>
              <w:right w:val="single" w:sz="4" w:space="0" w:color="auto"/>
            </w:tcBorders>
            <w:vAlign w:val="center"/>
          </w:tcPr>
          <w:p w:rsidR="00EE56C0" w:rsidRDefault="000F36A1">
            <w:pPr>
              <w:pStyle w:val="afa"/>
            </w:pPr>
            <w:r>
              <w:rPr>
                <w:rFonts w:hAnsi="宋体" w:hint="eastAsia"/>
              </w:rPr>
              <w:t>刘庄</w:t>
            </w:r>
          </w:p>
        </w:tc>
        <w:tc>
          <w:tcPr>
            <w:tcW w:w="750" w:type="pct"/>
            <w:tcBorders>
              <w:left w:val="single" w:sz="4" w:space="0" w:color="auto"/>
              <w:right w:val="single" w:sz="4" w:space="0" w:color="auto"/>
            </w:tcBorders>
            <w:vAlign w:val="center"/>
          </w:tcPr>
          <w:p w:rsidR="00EE56C0" w:rsidRDefault="000F36A1">
            <w:pPr>
              <w:pStyle w:val="afa"/>
            </w:pPr>
            <w:r>
              <w:t>3085</w:t>
            </w:r>
          </w:p>
        </w:tc>
        <w:tc>
          <w:tcPr>
            <w:tcW w:w="498" w:type="pct"/>
            <w:tcBorders>
              <w:left w:val="single" w:sz="4" w:space="0" w:color="auto"/>
            </w:tcBorders>
            <w:vAlign w:val="center"/>
          </w:tcPr>
          <w:p w:rsidR="00EE56C0" w:rsidRDefault="000F36A1">
            <w:pPr>
              <w:pStyle w:val="afa"/>
            </w:pPr>
            <w:r>
              <w:t>102</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Ansi="宋体" w:hint="eastAsia"/>
              </w:rPr>
              <w:t>东</w:t>
            </w:r>
          </w:p>
        </w:tc>
        <w:tc>
          <w:tcPr>
            <w:tcW w:w="475" w:type="pct"/>
            <w:vAlign w:val="center"/>
          </w:tcPr>
          <w:p w:rsidR="00EE56C0" w:rsidRDefault="000F36A1">
            <w:pPr>
              <w:pStyle w:val="afa"/>
            </w:pPr>
            <w:r>
              <w:rPr>
                <w:rFonts w:hint="eastAsia"/>
              </w:rPr>
              <w:t>1780</w:t>
            </w:r>
          </w:p>
        </w:tc>
      </w:tr>
      <w:tr w:rsidR="00EE56C0">
        <w:trPr>
          <w:trHeight w:val="425"/>
          <w:jc w:val="center"/>
        </w:trPr>
        <w:tc>
          <w:tcPr>
            <w:tcW w:w="314" w:type="pct"/>
            <w:vAlign w:val="center"/>
          </w:tcPr>
          <w:p w:rsidR="00EE56C0" w:rsidRDefault="000F36A1">
            <w:pPr>
              <w:pStyle w:val="afa"/>
            </w:pPr>
            <w:r>
              <w:rPr>
                <w:rFonts w:hint="eastAsia"/>
              </w:rPr>
              <w:t>20</w:t>
            </w:r>
          </w:p>
        </w:tc>
        <w:tc>
          <w:tcPr>
            <w:tcW w:w="830" w:type="pct"/>
            <w:tcBorders>
              <w:right w:val="single" w:sz="4" w:space="0" w:color="auto"/>
            </w:tcBorders>
            <w:vAlign w:val="center"/>
          </w:tcPr>
          <w:p w:rsidR="00EE56C0" w:rsidRDefault="000F36A1">
            <w:pPr>
              <w:pStyle w:val="afa"/>
            </w:pPr>
            <w:r>
              <w:rPr>
                <w:rFonts w:hAnsi="宋体" w:hint="eastAsia"/>
              </w:rPr>
              <w:t>陈庄村</w:t>
            </w:r>
          </w:p>
        </w:tc>
        <w:tc>
          <w:tcPr>
            <w:tcW w:w="750" w:type="pct"/>
            <w:tcBorders>
              <w:left w:val="single" w:sz="4" w:space="0" w:color="auto"/>
              <w:right w:val="single" w:sz="4" w:space="0" w:color="auto"/>
            </w:tcBorders>
            <w:vAlign w:val="center"/>
          </w:tcPr>
          <w:p w:rsidR="00EE56C0" w:rsidRDefault="000F36A1">
            <w:pPr>
              <w:pStyle w:val="afa"/>
            </w:pPr>
            <w:r>
              <w:t>3566</w:t>
            </w:r>
          </w:p>
        </w:tc>
        <w:tc>
          <w:tcPr>
            <w:tcW w:w="498" w:type="pct"/>
            <w:tcBorders>
              <w:left w:val="single" w:sz="4" w:space="0" w:color="auto"/>
            </w:tcBorders>
            <w:vAlign w:val="center"/>
          </w:tcPr>
          <w:p w:rsidR="00EE56C0" w:rsidRDefault="000F36A1">
            <w:pPr>
              <w:pStyle w:val="afa"/>
            </w:pPr>
            <w:r>
              <w:t>-410</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Ansi="宋体" w:hint="eastAsia"/>
              </w:rPr>
              <w:t>东南</w:t>
            </w:r>
          </w:p>
        </w:tc>
        <w:tc>
          <w:tcPr>
            <w:tcW w:w="475" w:type="pct"/>
            <w:vAlign w:val="center"/>
          </w:tcPr>
          <w:p w:rsidR="00EE56C0" w:rsidRDefault="000F36A1">
            <w:pPr>
              <w:pStyle w:val="afa"/>
            </w:pPr>
            <w:r>
              <w:rPr>
                <w:rFonts w:hint="eastAsia"/>
              </w:rPr>
              <w:t>2450</w:t>
            </w:r>
          </w:p>
        </w:tc>
      </w:tr>
      <w:tr w:rsidR="00EE56C0">
        <w:trPr>
          <w:trHeight w:val="425"/>
          <w:jc w:val="center"/>
        </w:trPr>
        <w:tc>
          <w:tcPr>
            <w:tcW w:w="314" w:type="pct"/>
            <w:vAlign w:val="center"/>
          </w:tcPr>
          <w:p w:rsidR="00EE56C0" w:rsidRDefault="000F36A1">
            <w:pPr>
              <w:pStyle w:val="afa"/>
            </w:pPr>
            <w:r>
              <w:rPr>
                <w:rFonts w:hint="eastAsia"/>
              </w:rPr>
              <w:t>21</w:t>
            </w:r>
          </w:p>
        </w:tc>
        <w:tc>
          <w:tcPr>
            <w:tcW w:w="830" w:type="pct"/>
            <w:tcBorders>
              <w:right w:val="single" w:sz="4" w:space="0" w:color="auto"/>
            </w:tcBorders>
            <w:vAlign w:val="center"/>
          </w:tcPr>
          <w:p w:rsidR="00EE56C0" w:rsidRDefault="000F36A1">
            <w:pPr>
              <w:pStyle w:val="afa"/>
              <w:rPr>
                <w:rFonts w:hAnsi="宋体"/>
              </w:rPr>
            </w:pPr>
            <w:r>
              <w:rPr>
                <w:rFonts w:hAnsi="宋体" w:hint="eastAsia"/>
                <w:bCs/>
              </w:rPr>
              <w:t>位庄村</w:t>
            </w:r>
          </w:p>
        </w:tc>
        <w:tc>
          <w:tcPr>
            <w:tcW w:w="750" w:type="pct"/>
            <w:tcBorders>
              <w:left w:val="single" w:sz="4" w:space="0" w:color="auto"/>
              <w:right w:val="single" w:sz="4" w:space="0" w:color="auto"/>
            </w:tcBorders>
            <w:vAlign w:val="center"/>
          </w:tcPr>
          <w:p w:rsidR="00EE56C0" w:rsidRDefault="000F36A1">
            <w:pPr>
              <w:pStyle w:val="afa"/>
            </w:pPr>
            <w:r>
              <w:t>3386</w:t>
            </w:r>
          </w:p>
        </w:tc>
        <w:tc>
          <w:tcPr>
            <w:tcW w:w="498" w:type="pct"/>
            <w:tcBorders>
              <w:left w:val="single" w:sz="4" w:space="0" w:color="auto"/>
            </w:tcBorders>
            <w:vAlign w:val="center"/>
          </w:tcPr>
          <w:p w:rsidR="00EE56C0" w:rsidRDefault="000F36A1">
            <w:pPr>
              <w:pStyle w:val="afa"/>
            </w:pPr>
            <w:r>
              <w:t>-1599</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pPr>
            <w:r>
              <w:rPr>
                <w:rFonts w:hint="eastAsia"/>
              </w:rPr>
              <w:t>东南</w:t>
            </w:r>
          </w:p>
        </w:tc>
        <w:tc>
          <w:tcPr>
            <w:tcW w:w="475" w:type="pct"/>
            <w:vAlign w:val="center"/>
          </w:tcPr>
          <w:p w:rsidR="00EE56C0" w:rsidRDefault="000F36A1">
            <w:pPr>
              <w:pStyle w:val="afa"/>
            </w:pPr>
            <w:r>
              <w:rPr>
                <w:rFonts w:hint="eastAsia"/>
              </w:rPr>
              <w:t>2650</w:t>
            </w:r>
          </w:p>
        </w:tc>
      </w:tr>
      <w:tr w:rsidR="00EE56C0">
        <w:trPr>
          <w:trHeight w:val="425"/>
          <w:jc w:val="center"/>
        </w:trPr>
        <w:tc>
          <w:tcPr>
            <w:tcW w:w="314" w:type="pct"/>
            <w:vAlign w:val="center"/>
          </w:tcPr>
          <w:p w:rsidR="00EE56C0" w:rsidRDefault="000F36A1">
            <w:pPr>
              <w:pStyle w:val="afa"/>
            </w:pPr>
            <w:r>
              <w:rPr>
                <w:rFonts w:hint="eastAsia"/>
              </w:rPr>
              <w:t>22</w:t>
            </w:r>
          </w:p>
        </w:tc>
        <w:tc>
          <w:tcPr>
            <w:tcW w:w="830" w:type="pct"/>
            <w:tcBorders>
              <w:right w:val="single" w:sz="4" w:space="0" w:color="auto"/>
            </w:tcBorders>
            <w:vAlign w:val="center"/>
          </w:tcPr>
          <w:p w:rsidR="00EE56C0" w:rsidRDefault="000F36A1">
            <w:pPr>
              <w:pStyle w:val="afa"/>
              <w:rPr>
                <w:rFonts w:hAnsi="宋体"/>
              </w:rPr>
            </w:pPr>
            <w:r>
              <w:rPr>
                <w:rFonts w:hAnsi="宋体" w:hint="eastAsia"/>
              </w:rPr>
              <w:t>南魏庄</w:t>
            </w:r>
          </w:p>
        </w:tc>
        <w:tc>
          <w:tcPr>
            <w:tcW w:w="750" w:type="pct"/>
            <w:tcBorders>
              <w:left w:val="single" w:sz="4" w:space="0" w:color="auto"/>
              <w:right w:val="single" w:sz="4" w:space="0" w:color="auto"/>
            </w:tcBorders>
            <w:vAlign w:val="center"/>
          </w:tcPr>
          <w:p w:rsidR="00EE56C0" w:rsidRDefault="000F36A1">
            <w:pPr>
              <w:pStyle w:val="afa"/>
            </w:pPr>
            <w:r>
              <w:t>3085</w:t>
            </w:r>
          </w:p>
        </w:tc>
        <w:tc>
          <w:tcPr>
            <w:tcW w:w="498" w:type="pct"/>
            <w:tcBorders>
              <w:left w:val="single" w:sz="4" w:space="0" w:color="auto"/>
            </w:tcBorders>
            <w:vAlign w:val="center"/>
          </w:tcPr>
          <w:p w:rsidR="00EE56C0" w:rsidRDefault="000F36A1">
            <w:pPr>
              <w:pStyle w:val="afa"/>
            </w:pPr>
            <w:r>
              <w:t>-1825</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pPr>
            <w:r>
              <w:rPr>
                <w:rFonts w:hint="eastAsia"/>
              </w:rPr>
              <w:t>东南</w:t>
            </w:r>
          </w:p>
        </w:tc>
        <w:tc>
          <w:tcPr>
            <w:tcW w:w="475" w:type="pct"/>
            <w:vAlign w:val="center"/>
          </w:tcPr>
          <w:p w:rsidR="00EE56C0" w:rsidRDefault="000F36A1">
            <w:pPr>
              <w:pStyle w:val="afa"/>
            </w:pPr>
            <w:r>
              <w:rPr>
                <w:rFonts w:hint="eastAsia"/>
              </w:rPr>
              <w:t>2570</w:t>
            </w:r>
          </w:p>
        </w:tc>
      </w:tr>
      <w:tr w:rsidR="00EE56C0">
        <w:trPr>
          <w:trHeight w:val="425"/>
          <w:jc w:val="center"/>
        </w:trPr>
        <w:tc>
          <w:tcPr>
            <w:tcW w:w="314" w:type="pct"/>
            <w:vAlign w:val="center"/>
          </w:tcPr>
          <w:p w:rsidR="00EE56C0" w:rsidRDefault="000F36A1">
            <w:pPr>
              <w:pStyle w:val="afa"/>
            </w:pPr>
            <w:r>
              <w:rPr>
                <w:rFonts w:hint="eastAsia"/>
              </w:rPr>
              <w:t>23</w:t>
            </w:r>
          </w:p>
        </w:tc>
        <w:tc>
          <w:tcPr>
            <w:tcW w:w="830" w:type="pct"/>
            <w:tcBorders>
              <w:right w:val="single" w:sz="4" w:space="0" w:color="auto"/>
            </w:tcBorders>
            <w:vAlign w:val="center"/>
          </w:tcPr>
          <w:p w:rsidR="00EE56C0" w:rsidRDefault="000F36A1">
            <w:pPr>
              <w:pStyle w:val="afa"/>
              <w:rPr>
                <w:rFonts w:hAnsi="宋体"/>
              </w:rPr>
            </w:pPr>
            <w:r>
              <w:rPr>
                <w:rFonts w:hAnsi="宋体" w:hint="eastAsia"/>
              </w:rPr>
              <w:t>曹庄村</w:t>
            </w:r>
          </w:p>
        </w:tc>
        <w:tc>
          <w:tcPr>
            <w:tcW w:w="750" w:type="pct"/>
            <w:tcBorders>
              <w:left w:val="single" w:sz="4" w:space="0" w:color="auto"/>
              <w:right w:val="single" w:sz="4" w:space="0" w:color="auto"/>
            </w:tcBorders>
            <w:vAlign w:val="center"/>
          </w:tcPr>
          <w:p w:rsidR="00EE56C0" w:rsidRDefault="000F36A1">
            <w:pPr>
              <w:pStyle w:val="afa"/>
            </w:pPr>
            <w:r>
              <w:t>2964</w:t>
            </w:r>
          </w:p>
        </w:tc>
        <w:tc>
          <w:tcPr>
            <w:tcW w:w="498" w:type="pct"/>
            <w:tcBorders>
              <w:left w:val="single" w:sz="4" w:space="0" w:color="auto"/>
            </w:tcBorders>
            <w:vAlign w:val="center"/>
          </w:tcPr>
          <w:p w:rsidR="00EE56C0" w:rsidRDefault="000F36A1">
            <w:pPr>
              <w:pStyle w:val="afa"/>
            </w:pPr>
            <w:r>
              <w:t>-2533</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int="eastAsia"/>
              </w:rPr>
              <w:t>东南</w:t>
            </w:r>
          </w:p>
        </w:tc>
        <w:tc>
          <w:tcPr>
            <w:tcW w:w="475" w:type="pct"/>
            <w:vAlign w:val="center"/>
          </w:tcPr>
          <w:p w:rsidR="00EE56C0" w:rsidRDefault="000F36A1">
            <w:pPr>
              <w:pStyle w:val="afa"/>
            </w:pPr>
            <w:r>
              <w:rPr>
                <w:rFonts w:hint="eastAsia"/>
              </w:rPr>
              <w:t>2950</w:t>
            </w:r>
          </w:p>
        </w:tc>
      </w:tr>
      <w:tr w:rsidR="00EE56C0">
        <w:trPr>
          <w:trHeight w:val="425"/>
          <w:jc w:val="center"/>
        </w:trPr>
        <w:tc>
          <w:tcPr>
            <w:tcW w:w="314" w:type="pct"/>
            <w:vAlign w:val="center"/>
          </w:tcPr>
          <w:p w:rsidR="00EE56C0" w:rsidRDefault="000F36A1">
            <w:pPr>
              <w:pStyle w:val="afa"/>
            </w:pPr>
            <w:r>
              <w:rPr>
                <w:rFonts w:hint="eastAsia"/>
              </w:rPr>
              <w:t>24</w:t>
            </w:r>
          </w:p>
        </w:tc>
        <w:tc>
          <w:tcPr>
            <w:tcW w:w="830" w:type="pct"/>
            <w:tcBorders>
              <w:right w:val="single" w:sz="4" w:space="0" w:color="auto"/>
            </w:tcBorders>
            <w:vAlign w:val="center"/>
          </w:tcPr>
          <w:p w:rsidR="00EE56C0" w:rsidRDefault="000F36A1">
            <w:pPr>
              <w:pStyle w:val="afa"/>
            </w:pPr>
            <w:r>
              <w:rPr>
                <w:rFonts w:hint="eastAsia"/>
              </w:rPr>
              <w:t>新</w:t>
            </w:r>
            <w:r>
              <w:rPr>
                <w:rFonts w:hAnsi="宋体" w:hint="eastAsia"/>
              </w:rPr>
              <w:t>庄</w:t>
            </w:r>
            <w:r>
              <w:rPr>
                <w:rFonts w:hint="eastAsia"/>
              </w:rPr>
              <w:t>村</w:t>
            </w:r>
          </w:p>
        </w:tc>
        <w:tc>
          <w:tcPr>
            <w:tcW w:w="750" w:type="pct"/>
            <w:tcBorders>
              <w:left w:val="single" w:sz="4" w:space="0" w:color="auto"/>
              <w:right w:val="single" w:sz="4" w:space="0" w:color="auto"/>
            </w:tcBorders>
            <w:vAlign w:val="center"/>
          </w:tcPr>
          <w:p w:rsidR="00EE56C0" w:rsidRDefault="000F36A1">
            <w:pPr>
              <w:pStyle w:val="afa"/>
            </w:pPr>
            <w:r>
              <w:t>4018</w:t>
            </w:r>
          </w:p>
        </w:tc>
        <w:tc>
          <w:tcPr>
            <w:tcW w:w="498" w:type="pct"/>
            <w:tcBorders>
              <w:left w:val="single" w:sz="4" w:space="0" w:color="auto"/>
            </w:tcBorders>
            <w:vAlign w:val="center"/>
          </w:tcPr>
          <w:p w:rsidR="00EE56C0" w:rsidRDefault="000F36A1">
            <w:pPr>
              <w:pStyle w:val="afa"/>
            </w:pPr>
            <w:r>
              <w:t>-3903</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pPr>
            <w:r>
              <w:rPr>
                <w:rFonts w:hint="eastAsia"/>
              </w:rPr>
              <w:t>东南</w:t>
            </w:r>
          </w:p>
        </w:tc>
        <w:tc>
          <w:tcPr>
            <w:tcW w:w="475" w:type="pct"/>
            <w:vAlign w:val="center"/>
          </w:tcPr>
          <w:p w:rsidR="00EE56C0" w:rsidRDefault="000F36A1">
            <w:pPr>
              <w:pStyle w:val="afa"/>
            </w:pPr>
            <w:r>
              <w:rPr>
                <w:rFonts w:hint="eastAsia"/>
              </w:rPr>
              <w:t>4450</w:t>
            </w:r>
          </w:p>
        </w:tc>
      </w:tr>
      <w:tr w:rsidR="00EE56C0">
        <w:trPr>
          <w:trHeight w:val="425"/>
          <w:jc w:val="center"/>
        </w:trPr>
        <w:tc>
          <w:tcPr>
            <w:tcW w:w="314" w:type="pct"/>
            <w:vAlign w:val="center"/>
          </w:tcPr>
          <w:p w:rsidR="00EE56C0" w:rsidRDefault="000F36A1">
            <w:pPr>
              <w:pStyle w:val="afa"/>
            </w:pPr>
            <w:r>
              <w:rPr>
                <w:rFonts w:hint="eastAsia"/>
              </w:rPr>
              <w:t>25</w:t>
            </w:r>
          </w:p>
        </w:tc>
        <w:tc>
          <w:tcPr>
            <w:tcW w:w="830" w:type="pct"/>
            <w:tcBorders>
              <w:right w:val="single" w:sz="4" w:space="0" w:color="auto"/>
            </w:tcBorders>
            <w:vAlign w:val="center"/>
          </w:tcPr>
          <w:p w:rsidR="00EE56C0" w:rsidRDefault="000F36A1">
            <w:pPr>
              <w:pStyle w:val="afa"/>
            </w:pPr>
            <w:r>
              <w:rPr>
                <w:rFonts w:hint="eastAsia"/>
              </w:rPr>
              <w:t>刘纪岗</w:t>
            </w:r>
            <w:r>
              <w:rPr>
                <w:rFonts w:hAnsi="宋体" w:hint="eastAsia"/>
              </w:rPr>
              <w:t>庄</w:t>
            </w:r>
            <w:r>
              <w:rPr>
                <w:rFonts w:hint="eastAsia"/>
              </w:rPr>
              <w:t>村</w:t>
            </w:r>
          </w:p>
        </w:tc>
        <w:tc>
          <w:tcPr>
            <w:tcW w:w="750" w:type="pct"/>
            <w:tcBorders>
              <w:left w:val="single" w:sz="4" w:space="0" w:color="auto"/>
              <w:right w:val="single" w:sz="4" w:space="0" w:color="auto"/>
            </w:tcBorders>
            <w:vAlign w:val="center"/>
          </w:tcPr>
          <w:p w:rsidR="00EE56C0" w:rsidRDefault="000F36A1">
            <w:pPr>
              <w:pStyle w:val="afa"/>
            </w:pPr>
            <w:r>
              <w:t>5433</w:t>
            </w:r>
          </w:p>
        </w:tc>
        <w:tc>
          <w:tcPr>
            <w:tcW w:w="498" w:type="pct"/>
            <w:tcBorders>
              <w:left w:val="single" w:sz="4" w:space="0" w:color="auto"/>
            </w:tcBorders>
            <w:vAlign w:val="center"/>
          </w:tcPr>
          <w:p w:rsidR="00EE56C0" w:rsidRDefault="000F36A1">
            <w:pPr>
              <w:pStyle w:val="afa"/>
            </w:pPr>
            <w:r>
              <w:t>-4234</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pPr>
            <w:r>
              <w:rPr>
                <w:rFonts w:hint="eastAsia"/>
              </w:rPr>
              <w:t>东南</w:t>
            </w:r>
          </w:p>
        </w:tc>
        <w:tc>
          <w:tcPr>
            <w:tcW w:w="475" w:type="pct"/>
            <w:vAlign w:val="center"/>
          </w:tcPr>
          <w:p w:rsidR="00EE56C0" w:rsidRDefault="000F36A1">
            <w:pPr>
              <w:pStyle w:val="afa"/>
            </w:pPr>
            <w:r>
              <w:rPr>
                <w:rFonts w:hint="eastAsia"/>
              </w:rPr>
              <w:t>5330</w:t>
            </w:r>
          </w:p>
        </w:tc>
      </w:tr>
      <w:tr w:rsidR="00EE56C0">
        <w:trPr>
          <w:trHeight w:val="425"/>
          <w:jc w:val="center"/>
        </w:trPr>
        <w:tc>
          <w:tcPr>
            <w:tcW w:w="314" w:type="pct"/>
            <w:vAlign w:val="center"/>
          </w:tcPr>
          <w:p w:rsidR="00EE56C0" w:rsidRDefault="000F36A1">
            <w:pPr>
              <w:pStyle w:val="afa"/>
            </w:pPr>
            <w:r>
              <w:rPr>
                <w:rFonts w:hint="eastAsia"/>
              </w:rPr>
              <w:t>26</w:t>
            </w:r>
          </w:p>
        </w:tc>
        <w:tc>
          <w:tcPr>
            <w:tcW w:w="830" w:type="pct"/>
            <w:tcBorders>
              <w:right w:val="single" w:sz="4" w:space="0" w:color="auto"/>
            </w:tcBorders>
            <w:vAlign w:val="center"/>
          </w:tcPr>
          <w:p w:rsidR="00EE56C0" w:rsidRDefault="000F36A1">
            <w:pPr>
              <w:pStyle w:val="afa"/>
            </w:pPr>
            <w:r>
              <w:rPr>
                <w:rFonts w:hint="eastAsia"/>
              </w:rPr>
              <w:t>小张庄村</w:t>
            </w:r>
          </w:p>
        </w:tc>
        <w:tc>
          <w:tcPr>
            <w:tcW w:w="750" w:type="pct"/>
            <w:tcBorders>
              <w:left w:val="single" w:sz="4" w:space="0" w:color="auto"/>
              <w:right w:val="single" w:sz="4" w:space="0" w:color="auto"/>
            </w:tcBorders>
            <w:vAlign w:val="center"/>
          </w:tcPr>
          <w:p w:rsidR="00EE56C0" w:rsidRDefault="000F36A1">
            <w:pPr>
              <w:pStyle w:val="afa"/>
            </w:pPr>
            <w:r>
              <w:t>4605</w:t>
            </w:r>
          </w:p>
        </w:tc>
        <w:tc>
          <w:tcPr>
            <w:tcW w:w="498" w:type="pct"/>
            <w:tcBorders>
              <w:left w:val="single" w:sz="4" w:space="0" w:color="auto"/>
            </w:tcBorders>
            <w:vAlign w:val="center"/>
          </w:tcPr>
          <w:p w:rsidR="00EE56C0" w:rsidRDefault="000F36A1">
            <w:pPr>
              <w:pStyle w:val="afa"/>
            </w:pPr>
            <w:r>
              <w:t>-1599</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pPr>
            <w:r>
              <w:rPr>
                <w:rFonts w:hint="eastAsia"/>
              </w:rPr>
              <w:t>东南</w:t>
            </w:r>
          </w:p>
        </w:tc>
        <w:tc>
          <w:tcPr>
            <w:tcW w:w="475" w:type="pct"/>
            <w:vAlign w:val="center"/>
          </w:tcPr>
          <w:p w:rsidR="00EE56C0" w:rsidRDefault="000F36A1">
            <w:pPr>
              <w:pStyle w:val="afa"/>
            </w:pPr>
            <w:r>
              <w:rPr>
                <w:rFonts w:hint="eastAsia"/>
              </w:rPr>
              <w:t>3445</w:t>
            </w:r>
          </w:p>
        </w:tc>
      </w:tr>
      <w:tr w:rsidR="00EE56C0">
        <w:trPr>
          <w:trHeight w:val="425"/>
          <w:jc w:val="center"/>
        </w:trPr>
        <w:tc>
          <w:tcPr>
            <w:tcW w:w="314" w:type="pct"/>
            <w:vAlign w:val="center"/>
          </w:tcPr>
          <w:p w:rsidR="00EE56C0" w:rsidRDefault="000F36A1">
            <w:pPr>
              <w:pStyle w:val="afa"/>
            </w:pPr>
            <w:r>
              <w:rPr>
                <w:rFonts w:hint="eastAsia"/>
              </w:rPr>
              <w:t>27</w:t>
            </w:r>
          </w:p>
        </w:tc>
        <w:tc>
          <w:tcPr>
            <w:tcW w:w="830" w:type="pct"/>
            <w:tcBorders>
              <w:right w:val="single" w:sz="4" w:space="0" w:color="auto"/>
            </w:tcBorders>
            <w:vAlign w:val="center"/>
          </w:tcPr>
          <w:p w:rsidR="00EE56C0" w:rsidRDefault="000F36A1">
            <w:pPr>
              <w:pStyle w:val="afa"/>
            </w:pPr>
            <w:r>
              <w:rPr>
                <w:rFonts w:hint="eastAsia"/>
              </w:rPr>
              <w:t>苗庄村</w:t>
            </w:r>
          </w:p>
        </w:tc>
        <w:tc>
          <w:tcPr>
            <w:tcW w:w="750" w:type="pct"/>
            <w:tcBorders>
              <w:left w:val="single" w:sz="4" w:space="0" w:color="auto"/>
              <w:right w:val="single" w:sz="4" w:space="0" w:color="auto"/>
            </w:tcBorders>
            <w:vAlign w:val="center"/>
          </w:tcPr>
          <w:p w:rsidR="00EE56C0" w:rsidRDefault="000F36A1">
            <w:pPr>
              <w:pStyle w:val="afa"/>
            </w:pPr>
            <w:r>
              <w:t>5840</w:t>
            </w:r>
          </w:p>
        </w:tc>
        <w:tc>
          <w:tcPr>
            <w:tcW w:w="498" w:type="pct"/>
            <w:tcBorders>
              <w:left w:val="single" w:sz="4" w:space="0" w:color="auto"/>
            </w:tcBorders>
            <w:vAlign w:val="center"/>
          </w:tcPr>
          <w:p w:rsidR="00EE56C0" w:rsidRDefault="000F36A1">
            <w:pPr>
              <w:pStyle w:val="afa"/>
            </w:pPr>
            <w:r>
              <w:t>-2202</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pPr>
            <w:r>
              <w:rPr>
                <w:rFonts w:hint="eastAsia"/>
              </w:rPr>
              <w:t>东南</w:t>
            </w:r>
          </w:p>
        </w:tc>
        <w:tc>
          <w:tcPr>
            <w:tcW w:w="475" w:type="pct"/>
            <w:vAlign w:val="center"/>
          </w:tcPr>
          <w:p w:rsidR="00EE56C0" w:rsidRDefault="000F36A1">
            <w:pPr>
              <w:pStyle w:val="afa"/>
            </w:pPr>
            <w:r>
              <w:rPr>
                <w:rFonts w:hint="eastAsia"/>
              </w:rPr>
              <w:t>4520</w:t>
            </w:r>
          </w:p>
        </w:tc>
      </w:tr>
      <w:tr w:rsidR="00EE56C0">
        <w:trPr>
          <w:trHeight w:val="425"/>
          <w:jc w:val="center"/>
        </w:trPr>
        <w:tc>
          <w:tcPr>
            <w:tcW w:w="314" w:type="pct"/>
            <w:vAlign w:val="center"/>
          </w:tcPr>
          <w:p w:rsidR="00EE56C0" w:rsidRDefault="000F36A1">
            <w:pPr>
              <w:pStyle w:val="afa"/>
            </w:pPr>
            <w:r>
              <w:rPr>
                <w:rFonts w:hint="eastAsia"/>
              </w:rPr>
              <w:t>28</w:t>
            </w:r>
          </w:p>
        </w:tc>
        <w:tc>
          <w:tcPr>
            <w:tcW w:w="830" w:type="pct"/>
            <w:tcBorders>
              <w:right w:val="single" w:sz="4" w:space="0" w:color="auto"/>
            </w:tcBorders>
            <w:vAlign w:val="center"/>
          </w:tcPr>
          <w:p w:rsidR="00EE56C0" w:rsidRDefault="000F36A1">
            <w:pPr>
              <w:pStyle w:val="afa"/>
            </w:pPr>
            <w:r>
              <w:rPr>
                <w:rFonts w:hint="eastAsia"/>
              </w:rPr>
              <w:t>沟王村</w:t>
            </w:r>
          </w:p>
        </w:tc>
        <w:tc>
          <w:tcPr>
            <w:tcW w:w="750" w:type="pct"/>
            <w:tcBorders>
              <w:left w:val="single" w:sz="4" w:space="0" w:color="auto"/>
              <w:right w:val="single" w:sz="4" w:space="0" w:color="auto"/>
            </w:tcBorders>
            <w:vAlign w:val="center"/>
          </w:tcPr>
          <w:p w:rsidR="00EE56C0" w:rsidRDefault="000F36A1">
            <w:pPr>
              <w:pStyle w:val="afa"/>
            </w:pPr>
            <w:r>
              <w:t>5117</w:t>
            </w:r>
          </w:p>
        </w:tc>
        <w:tc>
          <w:tcPr>
            <w:tcW w:w="498" w:type="pct"/>
            <w:tcBorders>
              <w:left w:val="single" w:sz="4" w:space="0" w:color="auto"/>
            </w:tcBorders>
            <w:vAlign w:val="center"/>
          </w:tcPr>
          <w:p w:rsidR="00EE56C0" w:rsidRDefault="000F36A1">
            <w:pPr>
              <w:pStyle w:val="afa"/>
            </w:pPr>
            <w:r>
              <w:t>-801</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pPr>
            <w:r>
              <w:rPr>
                <w:rFonts w:hint="eastAsia"/>
              </w:rPr>
              <w:t>东南</w:t>
            </w:r>
          </w:p>
        </w:tc>
        <w:tc>
          <w:tcPr>
            <w:tcW w:w="475" w:type="pct"/>
            <w:vAlign w:val="center"/>
          </w:tcPr>
          <w:p w:rsidR="00EE56C0" w:rsidRDefault="000F36A1">
            <w:pPr>
              <w:pStyle w:val="afa"/>
            </w:pPr>
            <w:r>
              <w:rPr>
                <w:rFonts w:hint="eastAsia"/>
              </w:rPr>
              <w:t>3640</w:t>
            </w:r>
          </w:p>
        </w:tc>
      </w:tr>
      <w:tr w:rsidR="00EE56C0">
        <w:trPr>
          <w:trHeight w:val="425"/>
          <w:jc w:val="center"/>
        </w:trPr>
        <w:tc>
          <w:tcPr>
            <w:tcW w:w="314" w:type="pct"/>
            <w:vAlign w:val="center"/>
          </w:tcPr>
          <w:p w:rsidR="00EE56C0" w:rsidRDefault="000F36A1">
            <w:pPr>
              <w:pStyle w:val="afa"/>
            </w:pPr>
            <w:r>
              <w:rPr>
                <w:rFonts w:hint="eastAsia"/>
              </w:rPr>
              <w:t>29</w:t>
            </w:r>
          </w:p>
        </w:tc>
        <w:tc>
          <w:tcPr>
            <w:tcW w:w="830" w:type="pct"/>
            <w:tcBorders>
              <w:right w:val="single" w:sz="4" w:space="0" w:color="auto"/>
            </w:tcBorders>
            <w:vAlign w:val="center"/>
          </w:tcPr>
          <w:p w:rsidR="00EE56C0" w:rsidRDefault="000F36A1">
            <w:pPr>
              <w:pStyle w:val="afa"/>
            </w:pPr>
            <w:r>
              <w:rPr>
                <w:rFonts w:hint="eastAsia"/>
              </w:rPr>
              <w:t>八柳树村</w:t>
            </w:r>
          </w:p>
        </w:tc>
        <w:tc>
          <w:tcPr>
            <w:tcW w:w="750" w:type="pct"/>
            <w:tcBorders>
              <w:left w:val="single" w:sz="4" w:space="0" w:color="auto"/>
              <w:right w:val="single" w:sz="4" w:space="0" w:color="auto"/>
            </w:tcBorders>
            <w:vAlign w:val="center"/>
          </w:tcPr>
          <w:p w:rsidR="00EE56C0" w:rsidRDefault="000F36A1">
            <w:pPr>
              <w:pStyle w:val="afa"/>
            </w:pPr>
            <w:r>
              <w:t>4726</w:t>
            </w:r>
          </w:p>
        </w:tc>
        <w:tc>
          <w:tcPr>
            <w:tcW w:w="498" w:type="pct"/>
            <w:tcBorders>
              <w:left w:val="single" w:sz="4" w:space="0" w:color="auto"/>
            </w:tcBorders>
            <w:vAlign w:val="center"/>
          </w:tcPr>
          <w:p w:rsidR="00EE56C0" w:rsidRDefault="000F36A1">
            <w:pPr>
              <w:pStyle w:val="afa"/>
            </w:pPr>
            <w:r>
              <w:t>1036</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pPr>
            <w:r>
              <w:rPr>
                <w:rFonts w:hint="eastAsia"/>
              </w:rPr>
              <w:t>东北</w:t>
            </w:r>
          </w:p>
        </w:tc>
        <w:tc>
          <w:tcPr>
            <w:tcW w:w="475" w:type="pct"/>
            <w:vAlign w:val="center"/>
          </w:tcPr>
          <w:p w:rsidR="00EE56C0" w:rsidRDefault="000F36A1">
            <w:pPr>
              <w:pStyle w:val="afa"/>
            </w:pPr>
            <w:r>
              <w:rPr>
                <w:rFonts w:hint="eastAsia"/>
              </w:rPr>
              <w:t>3580</w:t>
            </w:r>
          </w:p>
        </w:tc>
      </w:tr>
      <w:tr w:rsidR="00EE56C0">
        <w:trPr>
          <w:trHeight w:val="425"/>
          <w:jc w:val="center"/>
        </w:trPr>
        <w:tc>
          <w:tcPr>
            <w:tcW w:w="314" w:type="pct"/>
            <w:vAlign w:val="center"/>
          </w:tcPr>
          <w:p w:rsidR="00EE56C0" w:rsidRDefault="000F36A1">
            <w:pPr>
              <w:pStyle w:val="afa"/>
            </w:pPr>
            <w:r>
              <w:rPr>
                <w:rFonts w:hint="eastAsia"/>
              </w:rPr>
              <w:t>30</w:t>
            </w:r>
          </w:p>
        </w:tc>
        <w:tc>
          <w:tcPr>
            <w:tcW w:w="830" w:type="pct"/>
            <w:tcBorders>
              <w:right w:val="single" w:sz="4" w:space="0" w:color="auto"/>
            </w:tcBorders>
            <w:vAlign w:val="center"/>
          </w:tcPr>
          <w:p w:rsidR="00EE56C0" w:rsidRDefault="000F36A1">
            <w:pPr>
              <w:pStyle w:val="afa"/>
            </w:pPr>
            <w:r>
              <w:rPr>
                <w:rFonts w:hint="eastAsia"/>
              </w:rPr>
              <w:t>宋庄村</w:t>
            </w:r>
          </w:p>
        </w:tc>
        <w:tc>
          <w:tcPr>
            <w:tcW w:w="750" w:type="pct"/>
            <w:tcBorders>
              <w:left w:val="single" w:sz="4" w:space="0" w:color="auto"/>
              <w:right w:val="single" w:sz="4" w:space="0" w:color="auto"/>
            </w:tcBorders>
            <w:vAlign w:val="center"/>
          </w:tcPr>
          <w:p w:rsidR="00EE56C0" w:rsidRDefault="000F36A1">
            <w:pPr>
              <w:pStyle w:val="afa"/>
            </w:pPr>
            <w:r>
              <w:t>3220</w:t>
            </w:r>
          </w:p>
        </w:tc>
        <w:tc>
          <w:tcPr>
            <w:tcW w:w="498" w:type="pct"/>
            <w:tcBorders>
              <w:left w:val="single" w:sz="4" w:space="0" w:color="auto"/>
            </w:tcBorders>
            <w:vAlign w:val="center"/>
          </w:tcPr>
          <w:p w:rsidR="00EE56C0" w:rsidRDefault="000F36A1">
            <w:pPr>
              <w:pStyle w:val="afa"/>
            </w:pPr>
            <w:r>
              <w:t>2918</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pPr>
            <w:r>
              <w:rPr>
                <w:rFonts w:hint="eastAsia"/>
              </w:rPr>
              <w:t>东北</w:t>
            </w:r>
          </w:p>
        </w:tc>
        <w:tc>
          <w:tcPr>
            <w:tcW w:w="475" w:type="pct"/>
            <w:vAlign w:val="center"/>
          </w:tcPr>
          <w:p w:rsidR="00EE56C0" w:rsidRDefault="000F36A1">
            <w:pPr>
              <w:pStyle w:val="afa"/>
            </w:pPr>
            <w:r>
              <w:rPr>
                <w:rFonts w:hint="eastAsia"/>
              </w:rPr>
              <w:t>3420</w:t>
            </w:r>
          </w:p>
        </w:tc>
      </w:tr>
      <w:tr w:rsidR="00EE56C0">
        <w:trPr>
          <w:trHeight w:val="425"/>
          <w:jc w:val="center"/>
        </w:trPr>
        <w:tc>
          <w:tcPr>
            <w:tcW w:w="314" w:type="pct"/>
            <w:vAlign w:val="center"/>
          </w:tcPr>
          <w:p w:rsidR="00EE56C0" w:rsidRDefault="000F36A1">
            <w:pPr>
              <w:pStyle w:val="afa"/>
            </w:pPr>
            <w:r>
              <w:rPr>
                <w:rFonts w:hint="eastAsia"/>
              </w:rPr>
              <w:t>31</w:t>
            </w:r>
          </w:p>
        </w:tc>
        <w:tc>
          <w:tcPr>
            <w:tcW w:w="830" w:type="pct"/>
            <w:tcBorders>
              <w:right w:val="single" w:sz="4" w:space="0" w:color="auto"/>
            </w:tcBorders>
            <w:vAlign w:val="center"/>
          </w:tcPr>
          <w:p w:rsidR="00EE56C0" w:rsidRDefault="000F36A1">
            <w:pPr>
              <w:pStyle w:val="afa"/>
            </w:pPr>
            <w:r>
              <w:rPr>
                <w:rFonts w:hint="eastAsia"/>
              </w:rPr>
              <w:t>东王庄村</w:t>
            </w:r>
          </w:p>
        </w:tc>
        <w:tc>
          <w:tcPr>
            <w:tcW w:w="750" w:type="pct"/>
            <w:tcBorders>
              <w:left w:val="single" w:sz="4" w:space="0" w:color="auto"/>
              <w:right w:val="single" w:sz="4" w:space="0" w:color="auto"/>
            </w:tcBorders>
            <w:vAlign w:val="center"/>
          </w:tcPr>
          <w:p w:rsidR="00EE56C0" w:rsidRDefault="000F36A1">
            <w:pPr>
              <w:pStyle w:val="afa"/>
            </w:pPr>
            <w:r>
              <w:t>3898</w:t>
            </w:r>
          </w:p>
        </w:tc>
        <w:tc>
          <w:tcPr>
            <w:tcW w:w="498" w:type="pct"/>
            <w:tcBorders>
              <w:left w:val="single" w:sz="4" w:space="0" w:color="auto"/>
            </w:tcBorders>
            <w:vAlign w:val="center"/>
          </w:tcPr>
          <w:p w:rsidR="00EE56C0" w:rsidRDefault="000F36A1">
            <w:pPr>
              <w:pStyle w:val="afa"/>
            </w:pPr>
            <w:r>
              <w:t>3881</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int="eastAsia"/>
              </w:rPr>
              <w:t>东北</w:t>
            </w:r>
          </w:p>
        </w:tc>
        <w:tc>
          <w:tcPr>
            <w:tcW w:w="475" w:type="pct"/>
            <w:vAlign w:val="center"/>
          </w:tcPr>
          <w:p w:rsidR="00EE56C0" w:rsidRDefault="000F36A1">
            <w:pPr>
              <w:pStyle w:val="afa"/>
            </w:pPr>
            <w:r>
              <w:rPr>
                <w:rFonts w:hint="eastAsia"/>
              </w:rPr>
              <w:t>4480</w:t>
            </w:r>
          </w:p>
        </w:tc>
      </w:tr>
      <w:tr w:rsidR="00EE56C0">
        <w:trPr>
          <w:trHeight w:val="425"/>
          <w:jc w:val="center"/>
        </w:trPr>
        <w:tc>
          <w:tcPr>
            <w:tcW w:w="314" w:type="pct"/>
            <w:vAlign w:val="center"/>
          </w:tcPr>
          <w:p w:rsidR="00EE56C0" w:rsidRDefault="000F36A1">
            <w:pPr>
              <w:pStyle w:val="afa"/>
            </w:pPr>
            <w:r>
              <w:rPr>
                <w:rFonts w:hint="eastAsia"/>
              </w:rPr>
              <w:t>32</w:t>
            </w:r>
          </w:p>
        </w:tc>
        <w:tc>
          <w:tcPr>
            <w:tcW w:w="830" w:type="pct"/>
            <w:tcBorders>
              <w:right w:val="single" w:sz="4" w:space="0" w:color="auto"/>
            </w:tcBorders>
            <w:vAlign w:val="center"/>
          </w:tcPr>
          <w:p w:rsidR="00EE56C0" w:rsidRDefault="000F36A1">
            <w:pPr>
              <w:pStyle w:val="afa"/>
            </w:pPr>
            <w:r>
              <w:rPr>
                <w:rFonts w:hint="eastAsia"/>
              </w:rPr>
              <w:t>大兴村</w:t>
            </w:r>
          </w:p>
        </w:tc>
        <w:tc>
          <w:tcPr>
            <w:tcW w:w="750" w:type="pct"/>
            <w:tcBorders>
              <w:left w:val="single" w:sz="4" w:space="0" w:color="auto"/>
              <w:right w:val="single" w:sz="4" w:space="0" w:color="auto"/>
            </w:tcBorders>
            <w:vAlign w:val="center"/>
          </w:tcPr>
          <w:p w:rsidR="00EE56C0" w:rsidRDefault="000F36A1">
            <w:pPr>
              <w:pStyle w:val="afa"/>
            </w:pPr>
            <w:r>
              <w:t>1790</w:t>
            </w:r>
          </w:p>
        </w:tc>
        <w:tc>
          <w:tcPr>
            <w:tcW w:w="498" w:type="pct"/>
            <w:tcBorders>
              <w:left w:val="single" w:sz="4" w:space="0" w:color="auto"/>
            </w:tcBorders>
            <w:vAlign w:val="center"/>
          </w:tcPr>
          <w:p w:rsidR="00EE56C0" w:rsidRDefault="000F36A1">
            <w:pPr>
              <w:pStyle w:val="afa"/>
            </w:pPr>
            <w:r>
              <w:t>4785</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int="eastAsia"/>
              </w:rPr>
              <w:t>东北</w:t>
            </w:r>
          </w:p>
        </w:tc>
        <w:tc>
          <w:tcPr>
            <w:tcW w:w="475" w:type="pct"/>
            <w:vAlign w:val="center"/>
          </w:tcPr>
          <w:p w:rsidR="00EE56C0" w:rsidRDefault="000F36A1">
            <w:pPr>
              <w:pStyle w:val="afa"/>
            </w:pPr>
            <w:r>
              <w:rPr>
                <w:rFonts w:hint="eastAsia"/>
              </w:rPr>
              <w:t>4340</w:t>
            </w:r>
          </w:p>
        </w:tc>
      </w:tr>
      <w:tr w:rsidR="00EE56C0">
        <w:trPr>
          <w:trHeight w:val="425"/>
          <w:jc w:val="center"/>
        </w:trPr>
        <w:tc>
          <w:tcPr>
            <w:tcW w:w="314" w:type="pct"/>
            <w:vAlign w:val="center"/>
          </w:tcPr>
          <w:p w:rsidR="00EE56C0" w:rsidRDefault="000F36A1">
            <w:pPr>
              <w:pStyle w:val="afa"/>
            </w:pPr>
            <w:r>
              <w:rPr>
                <w:rFonts w:hint="eastAsia"/>
              </w:rPr>
              <w:t>33</w:t>
            </w:r>
          </w:p>
        </w:tc>
        <w:tc>
          <w:tcPr>
            <w:tcW w:w="830" w:type="pct"/>
            <w:tcBorders>
              <w:right w:val="single" w:sz="4" w:space="0" w:color="auto"/>
            </w:tcBorders>
            <w:vAlign w:val="center"/>
          </w:tcPr>
          <w:p w:rsidR="00EE56C0" w:rsidRDefault="000F36A1">
            <w:pPr>
              <w:pStyle w:val="afa"/>
            </w:pPr>
            <w:r>
              <w:rPr>
                <w:rFonts w:hint="eastAsia"/>
              </w:rPr>
              <w:t>东贾城村</w:t>
            </w:r>
          </w:p>
        </w:tc>
        <w:tc>
          <w:tcPr>
            <w:tcW w:w="750" w:type="pct"/>
            <w:tcBorders>
              <w:left w:val="single" w:sz="4" w:space="0" w:color="auto"/>
              <w:right w:val="single" w:sz="4" w:space="0" w:color="auto"/>
            </w:tcBorders>
            <w:vAlign w:val="center"/>
          </w:tcPr>
          <w:p w:rsidR="00EE56C0" w:rsidRDefault="000F36A1">
            <w:pPr>
              <w:pStyle w:val="afa"/>
            </w:pPr>
            <w:r>
              <w:t>-1041</w:t>
            </w:r>
          </w:p>
        </w:tc>
        <w:tc>
          <w:tcPr>
            <w:tcW w:w="498" w:type="pct"/>
            <w:tcBorders>
              <w:left w:val="single" w:sz="4" w:space="0" w:color="auto"/>
            </w:tcBorders>
            <w:vAlign w:val="center"/>
          </w:tcPr>
          <w:p w:rsidR="00EE56C0" w:rsidRDefault="000F36A1">
            <w:pPr>
              <w:pStyle w:val="afa"/>
            </w:pPr>
            <w:r>
              <w:t>4800</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Ansi="宋体" w:hint="eastAsia"/>
              </w:rPr>
              <w:t>北</w:t>
            </w:r>
          </w:p>
        </w:tc>
        <w:tc>
          <w:tcPr>
            <w:tcW w:w="475" w:type="pct"/>
            <w:vAlign w:val="center"/>
          </w:tcPr>
          <w:p w:rsidR="00EE56C0" w:rsidRDefault="000F36A1">
            <w:pPr>
              <w:pStyle w:val="afa"/>
            </w:pPr>
            <w:r>
              <w:rPr>
                <w:rFonts w:hint="eastAsia"/>
              </w:rPr>
              <w:t>4250</w:t>
            </w:r>
          </w:p>
        </w:tc>
      </w:tr>
      <w:tr w:rsidR="00EE56C0">
        <w:trPr>
          <w:trHeight w:val="425"/>
          <w:jc w:val="center"/>
        </w:trPr>
        <w:tc>
          <w:tcPr>
            <w:tcW w:w="314" w:type="pct"/>
            <w:vAlign w:val="center"/>
          </w:tcPr>
          <w:p w:rsidR="00EE56C0" w:rsidRDefault="000F36A1">
            <w:pPr>
              <w:pStyle w:val="afa"/>
            </w:pPr>
            <w:r>
              <w:rPr>
                <w:rFonts w:hint="eastAsia"/>
              </w:rPr>
              <w:t>34</w:t>
            </w:r>
          </w:p>
        </w:tc>
        <w:tc>
          <w:tcPr>
            <w:tcW w:w="830" w:type="pct"/>
            <w:tcBorders>
              <w:right w:val="single" w:sz="4" w:space="0" w:color="auto"/>
            </w:tcBorders>
            <w:vAlign w:val="center"/>
          </w:tcPr>
          <w:p w:rsidR="00EE56C0" w:rsidRDefault="000F36A1">
            <w:pPr>
              <w:pStyle w:val="afa"/>
            </w:pPr>
            <w:r>
              <w:rPr>
                <w:rFonts w:hint="eastAsia"/>
              </w:rPr>
              <w:t>高村</w:t>
            </w:r>
          </w:p>
        </w:tc>
        <w:tc>
          <w:tcPr>
            <w:tcW w:w="750" w:type="pct"/>
            <w:tcBorders>
              <w:left w:val="single" w:sz="4" w:space="0" w:color="auto"/>
              <w:right w:val="single" w:sz="4" w:space="0" w:color="auto"/>
            </w:tcBorders>
            <w:vAlign w:val="center"/>
          </w:tcPr>
          <w:p w:rsidR="00EE56C0" w:rsidRDefault="000F36A1">
            <w:pPr>
              <w:pStyle w:val="afa"/>
            </w:pPr>
            <w:r>
              <w:t>-2155</w:t>
            </w:r>
          </w:p>
        </w:tc>
        <w:tc>
          <w:tcPr>
            <w:tcW w:w="498" w:type="pct"/>
            <w:tcBorders>
              <w:left w:val="single" w:sz="4" w:space="0" w:color="auto"/>
            </w:tcBorders>
            <w:vAlign w:val="center"/>
          </w:tcPr>
          <w:p w:rsidR="00EE56C0" w:rsidRDefault="000F36A1">
            <w:pPr>
              <w:pStyle w:val="afa"/>
            </w:pPr>
            <w:r>
              <w:t>4122</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Ansi="宋体" w:hint="eastAsia"/>
              </w:rPr>
              <w:t>西北</w:t>
            </w:r>
          </w:p>
        </w:tc>
        <w:tc>
          <w:tcPr>
            <w:tcW w:w="475" w:type="pct"/>
            <w:vAlign w:val="center"/>
          </w:tcPr>
          <w:p w:rsidR="00EE56C0" w:rsidRDefault="000F36A1">
            <w:pPr>
              <w:pStyle w:val="afa"/>
            </w:pPr>
            <w:r>
              <w:rPr>
                <w:rFonts w:hint="eastAsia"/>
              </w:rPr>
              <w:t>3940</w:t>
            </w:r>
          </w:p>
        </w:tc>
      </w:tr>
      <w:tr w:rsidR="00EE56C0">
        <w:trPr>
          <w:trHeight w:val="425"/>
          <w:jc w:val="center"/>
        </w:trPr>
        <w:tc>
          <w:tcPr>
            <w:tcW w:w="314" w:type="pct"/>
            <w:vAlign w:val="center"/>
          </w:tcPr>
          <w:p w:rsidR="00EE56C0" w:rsidRDefault="000F36A1">
            <w:pPr>
              <w:pStyle w:val="afa"/>
            </w:pPr>
            <w:r>
              <w:rPr>
                <w:rFonts w:hint="eastAsia"/>
              </w:rPr>
              <w:lastRenderedPageBreak/>
              <w:t>35</w:t>
            </w:r>
          </w:p>
        </w:tc>
        <w:tc>
          <w:tcPr>
            <w:tcW w:w="830" w:type="pct"/>
            <w:tcBorders>
              <w:right w:val="single" w:sz="4" w:space="0" w:color="auto"/>
            </w:tcBorders>
            <w:vAlign w:val="center"/>
          </w:tcPr>
          <w:p w:rsidR="00EE56C0" w:rsidRDefault="000F36A1">
            <w:pPr>
              <w:pStyle w:val="afa"/>
            </w:pPr>
            <w:r>
              <w:rPr>
                <w:rFonts w:hint="eastAsia"/>
              </w:rPr>
              <w:t>侯庄村</w:t>
            </w:r>
          </w:p>
        </w:tc>
        <w:tc>
          <w:tcPr>
            <w:tcW w:w="750" w:type="pct"/>
            <w:tcBorders>
              <w:left w:val="single" w:sz="4" w:space="0" w:color="auto"/>
              <w:right w:val="single" w:sz="4" w:space="0" w:color="auto"/>
            </w:tcBorders>
            <w:vAlign w:val="center"/>
          </w:tcPr>
          <w:p w:rsidR="00EE56C0" w:rsidRDefault="000F36A1">
            <w:pPr>
              <w:pStyle w:val="afa"/>
            </w:pPr>
            <w:r>
              <w:t>-3676</w:t>
            </w:r>
          </w:p>
        </w:tc>
        <w:tc>
          <w:tcPr>
            <w:tcW w:w="498" w:type="pct"/>
            <w:tcBorders>
              <w:left w:val="single" w:sz="4" w:space="0" w:color="auto"/>
            </w:tcBorders>
            <w:vAlign w:val="center"/>
          </w:tcPr>
          <w:p w:rsidR="00EE56C0" w:rsidRDefault="000F36A1">
            <w:pPr>
              <w:pStyle w:val="afa"/>
            </w:pPr>
            <w:r>
              <w:t>4168</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Ansi="宋体" w:hint="eastAsia"/>
              </w:rPr>
              <w:t>西北</w:t>
            </w:r>
          </w:p>
        </w:tc>
        <w:tc>
          <w:tcPr>
            <w:tcW w:w="475" w:type="pct"/>
            <w:vAlign w:val="center"/>
          </w:tcPr>
          <w:p w:rsidR="00EE56C0" w:rsidRDefault="000F36A1">
            <w:pPr>
              <w:pStyle w:val="afa"/>
            </w:pPr>
            <w:r>
              <w:rPr>
                <w:rFonts w:hint="eastAsia"/>
              </w:rPr>
              <w:t>4500</w:t>
            </w:r>
          </w:p>
        </w:tc>
      </w:tr>
      <w:tr w:rsidR="00EE56C0">
        <w:trPr>
          <w:trHeight w:val="425"/>
          <w:jc w:val="center"/>
        </w:trPr>
        <w:tc>
          <w:tcPr>
            <w:tcW w:w="314" w:type="pct"/>
            <w:vAlign w:val="center"/>
          </w:tcPr>
          <w:p w:rsidR="00EE56C0" w:rsidRDefault="000F36A1">
            <w:pPr>
              <w:pStyle w:val="afa"/>
            </w:pPr>
            <w:r>
              <w:rPr>
                <w:rFonts w:hint="eastAsia"/>
              </w:rPr>
              <w:t>36</w:t>
            </w:r>
          </w:p>
        </w:tc>
        <w:tc>
          <w:tcPr>
            <w:tcW w:w="830" w:type="pct"/>
            <w:tcBorders>
              <w:right w:val="single" w:sz="4" w:space="0" w:color="auto"/>
            </w:tcBorders>
            <w:vAlign w:val="center"/>
          </w:tcPr>
          <w:p w:rsidR="00EE56C0" w:rsidRDefault="000F36A1">
            <w:pPr>
              <w:pStyle w:val="afa"/>
            </w:pPr>
            <w:r>
              <w:rPr>
                <w:rFonts w:hint="eastAsia"/>
              </w:rPr>
              <w:t>东石碑村</w:t>
            </w:r>
          </w:p>
        </w:tc>
        <w:tc>
          <w:tcPr>
            <w:tcW w:w="750" w:type="pct"/>
            <w:tcBorders>
              <w:left w:val="single" w:sz="4" w:space="0" w:color="auto"/>
              <w:right w:val="single" w:sz="4" w:space="0" w:color="auto"/>
            </w:tcBorders>
            <w:vAlign w:val="center"/>
          </w:tcPr>
          <w:p w:rsidR="00EE56C0" w:rsidRDefault="000F36A1">
            <w:pPr>
              <w:pStyle w:val="afa"/>
            </w:pPr>
            <w:r>
              <w:t>-4323</w:t>
            </w:r>
          </w:p>
        </w:tc>
        <w:tc>
          <w:tcPr>
            <w:tcW w:w="498" w:type="pct"/>
            <w:tcBorders>
              <w:left w:val="single" w:sz="4" w:space="0" w:color="auto"/>
            </w:tcBorders>
            <w:vAlign w:val="center"/>
          </w:tcPr>
          <w:p w:rsidR="00EE56C0" w:rsidRDefault="000F36A1">
            <w:pPr>
              <w:pStyle w:val="afa"/>
            </w:pPr>
            <w:r>
              <w:t>3264</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Ansi="宋体" w:hint="eastAsia"/>
              </w:rPr>
              <w:t>西北</w:t>
            </w:r>
          </w:p>
        </w:tc>
        <w:tc>
          <w:tcPr>
            <w:tcW w:w="475" w:type="pct"/>
            <w:vAlign w:val="center"/>
          </w:tcPr>
          <w:p w:rsidR="00EE56C0" w:rsidRDefault="000F36A1">
            <w:pPr>
              <w:pStyle w:val="afa"/>
            </w:pPr>
            <w:r>
              <w:rPr>
                <w:rFonts w:hint="eastAsia"/>
              </w:rPr>
              <w:t>4100</w:t>
            </w:r>
          </w:p>
        </w:tc>
      </w:tr>
      <w:tr w:rsidR="00EE56C0">
        <w:trPr>
          <w:trHeight w:val="425"/>
          <w:jc w:val="center"/>
        </w:trPr>
        <w:tc>
          <w:tcPr>
            <w:tcW w:w="314" w:type="pct"/>
            <w:vAlign w:val="center"/>
          </w:tcPr>
          <w:p w:rsidR="00EE56C0" w:rsidRDefault="000F36A1">
            <w:pPr>
              <w:pStyle w:val="afa"/>
            </w:pPr>
            <w:r>
              <w:rPr>
                <w:rFonts w:hint="eastAsia"/>
              </w:rPr>
              <w:t>37</w:t>
            </w:r>
          </w:p>
        </w:tc>
        <w:tc>
          <w:tcPr>
            <w:tcW w:w="830" w:type="pct"/>
            <w:tcBorders>
              <w:right w:val="single" w:sz="4" w:space="0" w:color="auto"/>
            </w:tcBorders>
            <w:vAlign w:val="center"/>
          </w:tcPr>
          <w:p w:rsidR="00EE56C0" w:rsidRDefault="000F36A1">
            <w:pPr>
              <w:pStyle w:val="afa"/>
            </w:pPr>
            <w:r>
              <w:rPr>
                <w:rFonts w:hint="eastAsia"/>
              </w:rPr>
              <w:t>杏庄村</w:t>
            </w:r>
          </w:p>
        </w:tc>
        <w:tc>
          <w:tcPr>
            <w:tcW w:w="750" w:type="pct"/>
            <w:tcBorders>
              <w:left w:val="single" w:sz="4" w:space="0" w:color="auto"/>
              <w:right w:val="single" w:sz="4" w:space="0" w:color="auto"/>
            </w:tcBorders>
            <w:vAlign w:val="center"/>
          </w:tcPr>
          <w:p w:rsidR="00EE56C0" w:rsidRDefault="000F36A1">
            <w:pPr>
              <w:pStyle w:val="afa"/>
            </w:pPr>
            <w:r>
              <w:t>-5302</w:t>
            </w:r>
          </w:p>
        </w:tc>
        <w:tc>
          <w:tcPr>
            <w:tcW w:w="498" w:type="pct"/>
            <w:tcBorders>
              <w:left w:val="single" w:sz="4" w:space="0" w:color="auto"/>
            </w:tcBorders>
            <w:vAlign w:val="center"/>
          </w:tcPr>
          <w:p w:rsidR="00EE56C0" w:rsidRDefault="000F36A1">
            <w:pPr>
              <w:pStyle w:val="afa"/>
            </w:pPr>
            <w:r>
              <w:t>3686</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Ansi="宋体" w:hint="eastAsia"/>
              </w:rPr>
              <w:t>西北</w:t>
            </w:r>
          </w:p>
        </w:tc>
        <w:tc>
          <w:tcPr>
            <w:tcW w:w="475" w:type="pct"/>
            <w:vAlign w:val="center"/>
          </w:tcPr>
          <w:p w:rsidR="00EE56C0" w:rsidRDefault="000F36A1">
            <w:pPr>
              <w:pStyle w:val="afa"/>
            </w:pPr>
            <w:r>
              <w:rPr>
                <w:rFonts w:hint="eastAsia"/>
              </w:rPr>
              <w:t>4850</w:t>
            </w:r>
          </w:p>
        </w:tc>
      </w:tr>
      <w:tr w:rsidR="00EE56C0">
        <w:trPr>
          <w:trHeight w:val="425"/>
          <w:jc w:val="center"/>
        </w:trPr>
        <w:tc>
          <w:tcPr>
            <w:tcW w:w="314" w:type="pct"/>
            <w:vAlign w:val="center"/>
          </w:tcPr>
          <w:p w:rsidR="00EE56C0" w:rsidRDefault="000F36A1">
            <w:pPr>
              <w:pStyle w:val="afa"/>
            </w:pPr>
            <w:r>
              <w:rPr>
                <w:rFonts w:hint="eastAsia"/>
              </w:rPr>
              <w:t>38</w:t>
            </w:r>
          </w:p>
        </w:tc>
        <w:tc>
          <w:tcPr>
            <w:tcW w:w="830" w:type="pct"/>
            <w:tcBorders>
              <w:right w:val="single" w:sz="4" w:space="0" w:color="auto"/>
            </w:tcBorders>
            <w:vAlign w:val="center"/>
          </w:tcPr>
          <w:p w:rsidR="00EE56C0" w:rsidRDefault="000F36A1">
            <w:pPr>
              <w:pStyle w:val="afa"/>
            </w:pPr>
            <w:r>
              <w:rPr>
                <w:rFonts w:hint="eastAsia"/>
              </w:rPr>
              <w:t>敦留店村</w:t>
            </w:r>
          </w:p>
        </w:tc>
        <w:tc>
          <w:tcPr>
            <w:tcW w:w="750" w:type="pct"/>
            <w:tcBorders>
              <w:left w:val="single" w:sz="4" w:space="0" w:color="auto"/>
              <w:right w:val="single" w:sz="4" w:space="0" w:color="auto"/>
            </w:tcBorders>
            <w:vAlign w:val="center"/>
          </w:tcPr>
          <w:p w:rsidR="00EE56C0" w:rsidRDefault="000F36A1">
            <w:pPr>
              <w:pStyle w:val="afa"/>
            </w:pPr>
            <w:r>
              <w:t>-5196</w:t>
            </w:r>
          </w:p>
        </w:tc>
        <w:tc>
          <w:tcPr>
            <w:tcW w:w="498" w:type="pct"/>
            <w:tcBorders>
              <w:left w:val="single" w:sz="4" w:space="0" w:color="auto"/>
            </w:tcBorders>
            <w:vAlign w:val="center"/>
          </w:tcPr>
          <w:p w:rsidR="00EE56C0" w:rsidRDefault="000F36A1">
            <w:pPr>
              <w:pStyle w:val="afa"/>
            </w:pPr>
            <w:r>
              <w:t>1969</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Ansi="宋体" w:hint="eastAsia"/>
              </w:rPr>
              <w:t>西北</w:t>
            </w:r>
          </w:p>
        </w:tc>
        <w:tc>
          <w:tcPr>
            <w:tcW w:w="475" w:type="pct"/>
            <w:vAlign w:val="center"/>
          </w:tcPr>
          <w:p w:rsidR="00EE56C0" w:rsidRDefault="000F36A1">
            <w:pPr>
              <w:pStyle w:val="afa"/>
            </w:pPr>
            <w:r>
              <w:rPr>
                <w:rFonts w:hint="eastAsia"/>
              </w:rPr>
              <w:t>3760</w:t>
            </w:r>
          </w:p>
        </w:tc>
      </w:tr>
      <w:tr w:rsidR="00EE56C0">
        <w:trPr>
          <w:trHeight w:val="425"/>
          <w:jc w:val="center"/>
        </w:trPr>
        <w:tc>
          <w:tcPr>
            <w:tcW w:w="314" w:type="pct"/>
            <w:vAlign w:val="center"/>
          </w:tcPr>
          <w:p w:rsidR="00EE56C0" w:rsidRDefault="000F36A1">
            <w:pPr>
              <w:pStyle w:val="afa"/>
            </w:pPr>
            <w:r>
              <w:rPr>
                <w:rFonts w:hint="eastAsia"/>
              </w:rPr>
              <w:t>39</w:t>
            </w:r>
          </w:p>
        </w:tc>
        <w:tc>
          <w:tcPr>
            <w:tcW w:w="830" w:type="pct"/>
            <w:tcBorders>
              <w:right w:val="single" w:sz="4" w:space="0" w:color="auto"/>
            </w:tcBorders>
            <w:vAlign w:val="center"/>
          </w:tcPr>
          <w:p w:rsidR="00EE56C0" w:rsidRDefault="000F36A1">
            <w:pPr>
              <w:pStyle w:val="afa"/>
            </w:pPr>
            <w:r>
              <w:rPr>
                <w:rFonts w:hint="eastAsia"/>
              </w:rPr>
              <w:t>李道堤村</w:t>
            </w:r>
          </w:p>
        </w:tc>
        <w:tc>
          <w:tcPr>
            <w:tcW w:w="750" w:type="pct"/>
            <w:tcBorders>
              <w:left w:val="single" w:sz="4" w:space="0" w:color="auto"/>
              <w:right w:val="single" w:sz="4" w:space="0" w:color="auto"/>
            </w:tcBorders>
            <w:vAlign w:val="center"/>
          </w:tcPr>
          <w:p w:rsidR="00EE56C0" w:rsidRDefault="000F36A1">
            <w:pPr>
              <w:pStyle w:val="afa"/>
            </w:pPr>
            <w:r>
              <w:t>-6025</w:t>
            </w:r>
          </w:p>
        </w:tc>
        <w:tc>
          <w:tcPr>
            <w:tcW w:w="498" w:type="pct"/>
            <w:tcBorders>
              <w:left w:val="single" w:sz="4" w:space="0" w:color="auto"/>
            </w:tcBorders>
            <w:vAlign w:val="center"/>
          </w:tcPr>
          <w:p w:rsidR="00EE56C0" w:rsidRDefault="000F36A1">
            <w:pPr>
              <w:pStyle w:val="afa"/>
            </w:pPr>
            <w:r>
              <w:t>2225</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pPr>
            <w:r>
              <w:rPr>
                <w:rFonts w:hAnsi="宋体" w:hint="eastAsia"/>
              </w:rPr>
              <w:t>西北</w:t>
            </w:r>
          </w:p>
        </w:tc>
        <w:tc>
          <w:tcPr>
            <w:tcW w:w="475" w:type="pct"/>
            <w:vAlign w:val="center"/>
          </w:tcPr>
          <w:p w:rsidR="00EE56C0" w:rsidRDefault="000F36A1">
            <w:pPr>
              <w:pStyle w:val="afa"/>
            </w:pPr>
            <w:r>
              <w:rPr>
                <w:rFonts w:hint="eastAsia"/>
              </w:rPr>
              <w:t>4520</w:t>
            </w:r>
          </w:p>
        </w:tc>
      </w:tr>
    </w:tbl>
    <w:p w:rsidR="00EE56C0" w:rsidRDefault="000F36A1">
      <w:pPr>
        <w:pStyle w:val="2"/>
        <w:ind w:firstLine="301"/>
      </w:pPr>
      <w:bookmarkStart w:id="113" w:name="_Toc25400897"/>
      <w:r>
        <w:rPr>
          <w:rFonts w:hint="eastAsia"/>
        </w:rPr>
        <w:t>2.8</w:t>
      </w:r>
      <w:r>
        <w:rPr>
          <w:rFonts w:hint="eastAsia"/>
        </w:rPr>
        <w:t>评价标准</w:t>
      </w:r>
      <w:bookmarkEnd w:id="108"/>
      <w:bookmarkEnd w:id="109"/>
      <w:bookmarkEnd w:id="112"/>
      <w:bookmarkEnd w:id="113"/>
    </w:p>
    <w:p w:rsidR="00EE56C0" w:rsidRDefault="000F36A1">
      <w:pPr>
        <w:pStyle w:val="3"/>
        <w:spacing w:before="240" w:after="120"/>
      </w:pPr>
      <w:r>
        <w:rPr>
          <w:rFonts w:hint="eastAsia"/>
        </w:rPr>
        <w:t>2.8.1</w:t>
      </w:r>
      <w:r>
        <w:rPr>
          <w:rFonts w:hint="eastAsia"/>
        </w:rPr>
        <w:t>环境质量标准</w:t>
      </w:r>
    </w:p>
    <w:p w:rsidR="00EE56C0" w:rsidRDefault="000F36A1">
      <w:pPr>
        <w:ind w:firstLine="480"/>
      </w:pPr>
      <w:r>
        <w:rPr>
          <w:rFonts w:hint="eastAsia"/>
        </w:rPr>
        <w:t>根据新乡县环境保护局对该项目环境影响评价标准的意见，本次评价环境质量标准执行以下标准。</w:t>
      </w:r>
    </w:p>
    <w:p w:rsidR="00EE56C0" w:rsidRDefault="000F36A1">
      <w:pPr>
        <w:pStyle w:val="afd"/>
        <w:spacing w:before="120" w:after="120"/>
        <w:ind w:firstLine="482"/>
      </w:pPr>
      <w:r>
        <w:rPr>
          <w:rFonts w:hint="eastAsia"/>
        </w:rPr>
        <w:t>表</w:t>
      </w:r>
      <w:r>
        <w:rPr>
          <w:rFonts w:hint="eastAsia"/>
        </w:rPr>
        <w:t xml:space="preserve">2-11                  </w:t>
      </w:r>
      <w:r>
        <w:rPr>
          <w:rFonts w:hint="eastAsia"/>
        </w:rPr>
        <w:t>环境质量标准</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1318"/>
        <w:gridCol w:w="2632"/>
        <w:gridCol w:w="1545"/>
        <w:gridCol w:w="1842"/>
        <w:gridCol w:w="1191"/>
      </w:tblGrid>
      <w:tr w:rsidR="00EE56C0">
        <w:trPr>
          <w:cantSplit/>
          <w:trHeight w:val="454"/>
          <w:tblHeader/>
          <w:jc w:val="center"/>
        </w:trPr>
        <w:tc>
          <w:tcPr>
            <w:tcW w:w="773" w:type="pct"/>
            <w:vAlign w:val="center"/>
          </w:tcPr>
          <w:p w:rsidR="00EE56C0" w:rsidRDefault="000F36A1">
            <w:pPr>
              <w:pStyle w:val="aff1"/>
              <w:rPr>
                <w:color w:val="auto"/>
              </w:rPr>
            </w:pPr>
            <w:r>
              <w:rPr>
                <w:rFonts w:hint="eastAsia"/>
                <w:color w:val="auto"/>
              </w:rPr>
              <w:t>环境要素</w:t>
            </w:r>
          </w:p>
        </w:tc>
        <w:tc>
          <w:tcPr>
            <w:tcW w:w="1543" w:type="pct"/>
            <w:vAlign w:val="center"/>
          </w:tcPr>
          <w:p w:rsidR="00EE56C0" w:rsidRDefault="000F36A1">
            <w:pPr>
              <w:pStyle w:val="aff1"/>
              <w:rPr>
                <w:color w:val="auto"/>
              </w:rPr>
            </w:pPr>
            <w:r>
              <w:rPr>
                <w:rFonts w:hint="eastAsia"/>
                <w:color w:val="auto"/>
              </w:rPr>
              <w:t>标准名称</w:t>
            </w:r>
          </w:p>
        </w:tc>
        <w:tc>
          <w:tcPr>
            <w:tcW w:w="906" w:type="pct"/>
            <w:vAlign w:val="center"/>
          </w:tcPr>
          <w:p w:rsidR="00EE56C0" w:rsidRDefault="000F36A1">
            <w:pPr>
              <w:pStyle w:val="aff1"/>
              <w:rPr>
                <w:color w:val="auto"/>
              </w:rPr>
            </w:pPr>
            <w:r>
              <w:rPr>
                <w:rFonts w:hint="eastAsia"/>
                <w:color w:val="auto"/>
              </w:rPr>
              <w:t>项目</w:t>
            </w:r>
          </w:p>
        </w:tc>
        <w:tc>
          <w:tcPr>
            <w:tcW w:w="1778" w:type="pct"/>
            <w:gridSpan w:val="2"/>
            <w:vAlign w:val="center"/>
          </w:tcPr>
          <w:p w:rsidR="00EE56C0" w:rsidRDefault="000F36A1">
            <w:pPr>
              <w:pStyle w:val="aff1"/>
              <w:rPr>
                <w:color w:val="auto"/>
              </w:rPr>
            </w:pPr>
            <w:r>
              <w:rPr>
                <w:rFonts w:hint="eastAsia"/>
                <w:color w:val="auto"/>
              </w:rPr>
              <w:t>标准值</w:t>
            </w:r>
          </w:p>
        </w:tc>
      </w:tr>
      <w:tr w:rsidR="00EE56C0">
        <w:trPr>
          <w:cantSplit/>
          <w:trHeight w:val="454"/>
          <w:jc w:val="center"/>
        </w:trPr>
        <w:tc>
          <w:tcPr>
            <w:tcW w:w="773" w:type="pct"/>
            <w:vMerge w:val="restart"/>
            <w:vAlign w:val="center"/>
          </w:tcPr>
          <w:p w:rsidR="00EE56C0" w:rsidRDefault="000F36A1">
            <w:pPr>
              <w:pStyle w:val="afa"/>
            </w:pPr>
            <w:r>
              <w:rPr>
                <w:rFonts w:hint="eastAsia"/>
              </w:rPr>
              <w:t>地表水</w:t>
            </w:r>
          </w:p>
        </w:tc>
        <w:tc>
          <w:tcPr>
            <w:tcW w:w="1543" w:type="pct"/>
            <w:vMerge w:val="restart"/>
            <w:vAlign w:val="center"/>
          </w:tcPr>
          <w:p w:rsidR="00EE56C0" w:rsidRDefault="000F36A1">
            <w:pPr>
              <w:pStyle w:val="afa"/>
            </w:pPr>
            <w:r>
              <w:rPr>
                <w:rFonts w:hint="eastAsia"/>
              </w:rPr>
              <w:t>《地表水环境质量标准》（</w:t>
            </w:r>
            <w:r>
              <w:rPr>
                <w:rFonts w:hint="eastAsia"/>
              </w:rPr>
              <w:t>GB3838-2002</w:t>
            </w:r>
            <w:r>
              <w:rPr>
                <w:rFonts w:hint="eastAsia"/>
              </w:rPr>
              <w:t>）</w:t>
            </w:r>
            <w:r>
              <w:rPr>
                <w:rFonts w:asciiTheme="minorEastAsia" w:hAnsiTheme="minorEastAsia" w:hint="eastAsia"/>
              </w:rPr>
              <w:t>Ⅳ</w:t>
            </w:r>
            <w:r>
              <w:rPr>
                <w:rFonts w:hint="eastAsia"/>
              </w:rPr>
              <w:t>类</w:t>
            </w:r>
          </w:p>
        </w:tc>
        <w:tc>
          <w:tcPr>
            <w:tcW w:w="906" w:type="pct"/>
            <w:vAlign w:val="center"/>
          </w:tcPr>
          <w:p w:rsidR="00EE56C0" w:rsidRDefault="000F36A1">
            <w:pPr>
              <w:pStyle w:val="afa"/>
            </w:pPr>
            <w:r>
              <w:rPr>
                <w:rFonts w:hint="eastAsia"/>
              </w:rPr>
              <w:t>pH</w:t>
            </w:r>
          </w:p>
        </w:tc>
        <w:tc>
          <w:tcPr>
            <w:tcW w:w="1778" w:type="pct"/>
            <w:gridSpan w:val="2"/>
            <w:vAlign w:val="center"/>
          </w:tcPr>
          <w:p w:rsidR="00EE56C0" w:rsidRDefault="000F36A1">
            <w:pPr>
              <w:pStyle w:val="afa"/>
            </w:pPr>
            <w:r>
              <w:rPr>
                <w:rFonts w:hint="eastAsia"/>
              </w:rPr>
              <w:t>6-9</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rPr>
                <w:rFonts w:hint="eastAsia"/>
              </w:rPr>
              <w:t>COD</w:t>
            </w:r>
          </w:p>
        </w:tc>
        <w:tc>
          <w:tcPr>
            <w:tcW w:w="1778" w:type="pct"/>
            <w:gridSpan w:val="2"/>
            <w:vAlign w:val="center"/>
          </w:tcPr>
          <w:p w:rsidR="00EE56C0" w:rsidRDefault="000F36A1">
            <w:pPr>
              <w:pStyle w:val="afa"/>
            </w:pPr>
            <w:r>
              <w:rPr>
                <w:rFonts w:hint="eastAsia"/>
              </w:rPr>
              <w:t>30mg/L</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rPr>
                <w:rFonts w:hint="eastAsia"/>
              </w:rPr>
              <w:t>BOD</w:t>
            </w:r>
            <w:r>
              <w:rPr>
                <w:rFonts w:hint="eastAsia"/>
                <w:vertAlign w:val="subscript"/>
              </w:rPr>
              <w:t>5</w:t>
            </w:r>
          </w:p>
        </w:tc>
        <w:tc>
          <w:tcPr>
            <w:tcW w:w="1778" w:type="pct"/>
            <w:gridSpan w:val="2"/>
            <w:vAlign w:val="center"/>
          </w:tcPr>
          <w:p w:rsidR="00EE56C0" w:rsidRDefault="000F36A1">
            <w:pPr>
              <w:pStyle w:val="afa"/>
            </w:pPr>
            <w:r>
              <w:rPr>
                <w:rFonts w:hint="eastAsia"/>
              </w:rPr>
              <w:t>6mg/L</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rPr>
                <w:rFonts w:hint="eastAsia"/>
              </w:rPr>
              <w:t>NH</w:t>
            </w:r>
            <w:r>
              <w:rPr>
                <w:rFonts w:hint="eastAsia"/>
                <w:vertAlign w:val="subscript"/>
              </w:rPr>
              <w:t>3</w:t>
            </w:r>
            <w:r>
              <w:rPr>
                <w:rFonts w:hint="eastAsia"/>
              </w:rPr>
              <w:t>-N</w:t>
            </w:r>
          </w:p>
        </w:tc>
        <w:tc>
          <w:tcPr>
            <w:tcW w:w="1778" w:type="pct"/>
            <w:gridSpan w:val="2"/>
            <w:vAlign w:val="center"/>
          </w:tcPr>
          <w:p w:rsidR="00EE56C0" w:rsidRDefault="000F36A1">
            <w:pPr>
              <w:pStyle w:val="afa"/>
            </w:pPr>
            <w:r>
              <w:rPr>
                <w:rFonts w:hint="eastAsia"/>
              </w:rPr>
              <w:t>1.5mg/L</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rPr>
                <w:rFonts w:hint="eastAsia"/>
              </w:rPr>
              <w:t>TP</w:t>
            </w:r>
          </w:p>
        </w:tc>
        <w:tc>
          <w:tcPr>
            <w:tcW w:w="1778" w:type="pct"/>
            <w:gridSpan w:val="2"/>
            <w:vAlign w:val="center"/>
          </w:tcPr>
          <w:p w:rsidR="00EE56C0" w:rsidRDefault="000F36A1">
            <w:pPr>
              <w:pStyle w:val="afa"/>
            </w:pPr>
            <w:r>
              <w:rPr>
                <w:rFonts w:hint="eastAsia"/>
              </w:rPr>
              <w:t>0.3mg/L</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rPr>
                <w:rFonts w:hint="eastAsia"/>
              </w:rPr>
              <w:t>TN</w:t>
            </w:r>
          </w:p>
        </w:tc>
        <w:tc>
          <w:tcPr>
            <w:tcW w:w="1778" w:type="pct"/>
            <w:gridSpan w:val="2"/>
            <w:vAlign w:val="center"/>
          </w:tcPr>
          <w:p w:rsidR="00EE56C0" w:rsidRDefault="000F36A1">
            <w:pPr>
              <w:pStyle w:val="afa"/>
            </w:pPr>
            <w:r>
              <w:rPr>
                <w:rFonts w:hint="eastAsia"/>
              </w:rPr>
              <w:t>1.5mg/L</w:t>
            </w:r>
          </w:p>
        </w:tc>
      </w:tr>
      <w:tr w:rsidR="00EE56C0">
        <w:trPr>
          <w:cantSplit/>
          <w:trHeight w:val="454"/>
          <w:jc w:val="center"/>
        </w:trPr>
        <w:tc>
          <w:tcPr>
            <w:tcW w:w="773" w:type="pct"/>
            <w:vMerge w:val="restart"/>
            <w:vAlign w:val="center"/>
          </w:tcPr>
          <w:p w:rsidR="00EE56C0" w:rsidRDefault="000F36A1">
            <w:pPr>
              <w:pStyle w:val="afa"/>
            </w:pPr>
            <w:r>
              <w:rPr>
                <w:rFonts w:hint="eastAsia"/>
              </w:rPr>
              <w:t>环境空气</w:t>
            </w:r>
          </w:p>
        </w:tc>
        <w:tc>
          <w:tcPr>
            <w:tcW w:w="1543" w:type="pct"/>
            <w:vMerge w:val="restart"/>
            <w:vAlign w:val="center"/>
          </w:tcPr>
          <w:p w:rsidR="00EE56C0" w:rsidRDefault="000F36A1">
            <w:pPr>
              <w:pStyle w:val="afa"/>
            </w:pPr>
            <w:r>
              <w:rPr>
                <w:rFonts w:hint="eastAsia"/>
              </w:rPr>
              <w:t>《环境空气质量标准》（</w:t>
            </w:r>
            <w:r>
              <w:rPr>
                <w:rFonts w:hint="eastAsia"/>
              </w:rPr>
              <w:t>GB3095-2012</w:t>
            </w:r>
            <w:r>
              <w:rPr>
                <w:rFonts w:hint="eastAsia"/>
              </w:rPr>
              <w:t>）二级</w:t>
            </w:r>
          </w:p>
        </w:tc>
        <w:tc>
          <w:tcPr>
            <w:tcW w:w="906" w:type="pct"/>
            <w:vMerge w:val="restart"/>
            <w:vAlign w:val="center"/>
          </w:tcPr>
          <w:p w:rsidR="00EE56C0" w:rsidRDefault="000F36A1">
            <w:pPr>
              <w:pStyle w:val="afa"/>
            </w:pPr>
            <w:r>
              <w:rPr>
                <w:rFonts w:hint="eastAsia"/>
              </w:rPr>
              <w:t>PM</w:t>
            </w:r>
            <w:r>
              <w:rPr>
                <w:rFonts w:hint="eastAsia"/>
                <w:vertAlign w:val="subscript"/>
              </w:rPr>
              <w:t>2.5</w:t>
            </w:r>
          </w:p>
        </w:tc>
        <w:tc>
          <w:tcPr>
            <w:tcW w:w="1778" w:type="pct"/>
            <w:gridSpan w:val="2"/>
            <w:vAlign w:val="center"/>
          </w:tcPr>
          <w:p w:rsidR="00EE56C0" w:rsidRDefault="000F36A1">
            <w:pPr>
              <w:pStyle w:val="afa"/>
            </w:pPr>
            <w:r>
              <w:rPr>
                <w:rFonts w:hint="eastAsia"/>
              </w:rPr>
              <w:t>24</w:t>
            </w:r>
            <w:r>
              <w:rPr>
                <w:rFonts w:hint="eastAsia"/>
              </w:rPr>
              <w:t>小时平均</w:t>
            </w:r>
            <w:r>
              <w:rPr>
                <w:rFonts w:hint="eastAsia"/>
              </w:rPr>
              <w:t xml:space="preserve">   75</w:t>
            </w:r>
            <w:r>
              <w:t>μg</w:t>
            </w:r>
            <w:r>
              <w:rPr>
                <w:rFonts w:hint="eastAsia"/>
              </w:rPr>
              <w:t>/m</w:t>
            </w:r>
            <w:r>
              <w:rPr>
                <w:rFonts w:hint="eastAsia"/>
                <w:vertAlign w:val="superscript"/>
              </w:rPr>
              <w:t>3</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Merge/>
            <w:vAlign w:val="center"/>
          </w:tcPr>
          <w:p w:rsidR="00EE56C0" w:rsidRDefault="00EE56C0">
            <w:pPr>
              <w:pStyle w:val="afa"/>
            </w:pPr>
          </w:p>
        </w:tc>
        <w:tc>
          <w:tcPr>
            <w:tcW w:w="1778" w:type="pct"/>
            <w:gridSpan w:val="2"/>
            <w:vAlign w:val="center"/>
          </w:tcPr>
          <w:p w:rsidR="00EE56C0" w:rsidRDefault="000F36A1">
            <w:pPr>
              <w:pStyle w:val="afa"/>
            </w:pPr>
            <w:r>
              <w:rPr>
                <w:rFonts w:hint="eastAsia"/>
              </w:rPr>
              <w:t>年平均</w:t>
            </w:r>
            <w:r>
              <w:rPr>
                <w:rFonts w:hint="eastAsia"/>
              </w:rPr>
              <w:t xml:space="preserve">        35</w:t>
            </w:r>
            <w:r>
              <w:t>μg</w:t>
            </w:r>
            <w:r>
              <w:rPr>
                <w:rFonts w:hint="eastAsia"/>
              </w:rPr>
              <w:t>/m</w:t>
            </w:r>
            <w:r>
              <w:rPr>
                <w:rFonts w:hint="eastAsia"/>
                <w:vertAlign w:val="superscript"/>
              </w:rPr>
              <w:t>3</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Merge w:val="restart"/>
            <w:vAlign w:val="center"/>
          </w:tcPr>
          <w:p w:rsidR="00EE56C0" w:rsidRDefault="000F36A1">
            <w:pPr>
              <w:pStyle w:val="afa"/>
            </w:pPr>
            <w:r>
              <w:rPr>
                <w:rFonts w:hint="eastAsia"/>
              </w:rPr>
              <w:t>PM</w:t>
            </w:r>
            <w:r>
              <w:rPr>
                <w:rFonts w:hint="eastAsia"/>
                <w:vertAlign w:val="subscript"/>
              </w:rPr>
              <w:t>10</w:t>
            </w:r>
          </w:p>
        </w:tc>
        <w:tc>
          <w:tcPr>
            <w:tcW w:w="1778" w:type="pct"/>
            <w:gridSpan w:val="2"/>
            <w:vAlign w:val="center"/>
          </w:tcPr>
          <w:p w:rsidR="00EE56C0" w:rsidRDefault="000F36A1">
            <w:pPr>
              <w:pStyle w:val="afa"/>
            </w:pPr>
            <w:r>
              <w:rPr>
                <w:rFonts w:hint="eastAsia"/>
              </w:rPr>
              <w:t>24</w:t>
            </w:r>
            <w:r>
              <w:rPr>
                <w:rFonts w:hint="eastAsia"/>
              </w:rPr>
              <w:t>小时平均</w:t>
            </w:r>
            <w:r>
              <w:rPr>
                <w:rFonts w:hint="eastAsia"/>
              </w:rPr>
              <w:t xml:space="preserve">   150</w:t>
            </w:r>
            <w:r>
              <w:t>μg</w:t>
            </w:r>
            <w:r>
              <w:rPr>
                <w:rFonts w:hint="eastAsia"/>
              </w:rPr>
              <w:t>/m</w:t>
            </w:r>
            <w:r>
              <w:rPr>
                <w:rFonts w:hint="eastAsia"/>
                <w:vertAlign w:val="superscript"/>
              </w:rPr>
              <w:t>3</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Merge/>
            <w:vAlign w:val="center"/>
          </w:tcPr>
          <w:p w:rsidR="00EE56C0" w:rsidRDefault="00EE56C0">
            <w:pPr>
              <w:pStyle w:val="afa"/>
            </w:pPr>
          </w:p>
        </w:tc>
        <w:tc>
          <w:tcPr>
            <w:tcW w:w="1778" w:type="pct"/>
            <w:gridSpan w:val="2"/>
            <w:vAlign w:val="center"/>
          </w:tcPr>
          <w:p w:rsidR="00EE56C0" w:rsidRDefault="000F36A1">
            <w:pPr>
              <w:pStyle w:val="afa"/>
            </w:pPr>
            <w:r>
              <w:rPr>
                <w:rFonts w:hint="eastAsia"/>
              </w:rPr>
              <w:t>年平均</w:t>
            </w:r>
            <w:r>
              <w:rPr>
                <w:rFonts w:hint="eastAsia"/>
              </w:rPr>
              <w:t xml:space="preserve">        70</w:t>
            </w:r>
            <w:r>
              <w:t>μg</w:t>
            </w:r>
            <w:r>
              <w:rPr>
                <w:rFonts w:hint="eastAsia"/>
              </w:rPr>
              <w:t>/m</w:t>
            </w:r>
            <w:r>
              <w:rPr>
                <w:rFonts w:hint="eastAsia"/>
                <w:vertAlign w:val="superscript"/>
              </w:rPr>
              <w:t>3</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Merge w:val="restart"/>
            <w:vAlign w:val="center"/>
          </w:tcPr>
          <w:p w:rsidR="00EE56C0" w:rsidRDefault="000F36A1">
            <w:pPr>
              <w:pStyle w:val="afa"/>
            </w:pPr>
            <w:r>
              <w:rPr>
                <w:rFonts w:hint="eastAsia"/>
              </w:rPr>
              <w:t>SO</w:t>
            </w:r>
            <w:r>
              <w:rPr>
                <w:rFonts w:hint="eastAsia"/>
                <w:vertAlign w:val="subscript"/>
              </w:rPr>
              <w:t>2</w:t>
            </w:r>
          </w:p>
        </w:tc>
        <w:tc>
          <w:tcPr>
            <w:tcW w:w="1778" w:type="pct"/>
            <w:gridSpan w:val="2"/>
            <w:vAlign w:val="center"/>
          </w:tcPr>
          <w:p w:rsidR="00EE56C0" w:rsidRDefault="000F36A1">
            <w:pPr>
              <w:pStyle w:val="afa"/>
            </w:pPr>
            <w:r>
              <w:rPr>
                <w:rFonts w:hint="eastAsia"/>
              </w:rPr>
              <w:t>1</w:t>
            </w:r>
            <w:r>
              <w:rPr>
                <w:rFonts w:hint="eastAsia"/>
              </w:rPr>
              <w:t>小时平均</w:t>
            </w:r>
            <w:r>
              <w:rPr>
                <w:rFonts w:hint="eastAsia"/>
              </w:rPr>
              <w:t xml:space="preserve">    500</w:t>
            </w:r>
            <w:r>
              <w:t>μg</w:t>
            </w:r>
            <w:r>
              <w:rPr>
                <w:rFonts w:hint="eastAsia"/>
              </w:rPr>
              <w:t>/m</w:t>
            </w:r>
            <w:r>
              <w:rPr>
                <w:rFonts w:hint="eastAsia"/>
                <w:vertAlign w:val="superscript"/>
              </w:rPr>
              <w:t>3</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Merge/>
            <w:vAlign w:val="center"/>
          </w:tcPr>
          <w:p w:rsidR="00EE56C0" w:rsidRDefault="00EE56C0">
            <w:pPr>
              <w:pStyle w:val="afa"/>
            </w:pPr>
          </w:p>
        </w:tc>
        <w:tc>
          <w:tcPr>
            <w:tcW w:w="1778" w:type="pct"/>
            <w:gridSpan w:val="2"/>
            <w:vAlign w:val="center"/>
          </w:tcPr>
          <w:p w:rsidR="00EE56C0" w:rsidRDefault="000F36A1">
            <w:pPr>
              <w:pStyle w:val="afa"/>
            </w:pPr>
            <w:r>
              <w:rPr>
                <w:rFonts w:hint="eastAsia"/>
              </w:rPr>
              <w:t>24</w:t>
            </w:r>
            <w:r>
              <w:rPr>
                <w:rFonts w:hint="eastAsia"/>
              </w:rPr>
              <w:t>小时平均</w:t>
            </w:r>
            <w:r>
              <w:rPr>
                <w:rFonts w:hint="eastAsia"/>
              </w:rPr>
              <w:t xml:space="preserve">   150</w:t>
            </w:r>
            <w:r>
              <w:t>μg</w:t>
            </w:r>
            <w:r>
              <w:rPr>
                <w:rFonts w:hint="eastAsia"/>
              </w:rPr>
              <w:t>/m</w:t>
            </w:r>
            <w:r>
              <w:rPr>
                <w:rFonts w:hint="eastAsia"/>
                <w:vertAlign w:val="superscript"/>
              </w:rPr>
              <w:t>3</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Merge/>
            <w:vAlign w:val="center"/>
          </w:tcPr>
          <w:p w:rsidR="00EE56C0" w:rsidRDefault="00EE56C0">
            <w:pPr>
              <w:pStyle w:val="afa"/>
            </w:pPr>
          </w:p>
        </w:tc>
        <w:tc>
          <w:tcPr>
            <w:tcW w:w="1778" w:type="pct"/>
            <w:gridSpan w:val="2"/>
            <w:vAlign w:val="center"/>
          </w:tcPr>
          <w:p w:rsidR="00EE56C0" w:rsidRDefault="000F36A1">
            <w:pPr>
              <w:pStyle w:val="afa"/>
            </w:pPr>
            <w:r>
              <w:rPr>
                <w:rFonts w:hint="eastAsia"/>
              </w:rPr>
              <w:t>年平均</w:t>
            </w:r>
            <w:r>
              <w:rPr>
                <w:rFonts w:hint="eastAsia"/>
              </w:rPr>
              <w:t xml:space="preserve">        60</w:t>
            </w:r>
            <w:r>
              <w:t>μg</w:t>
            </w:r>
            <w:r>
              <w:rPr>
                <w:rFonts w:hint="eastAsia"/>
              </w:rPr>
              <w:t>/m</w:t>
            </w:r>
            <w:r>
              <w:rPr>
                <w:rFonts w:hint="eastAsia"/>
                <w:vertAlign w:val="superscript"/>
              </w:rPr>
              <w:t>3</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Merge w:val="restart"/>
            <w:vAlign w:val="center"/>
          </w:tcPr>
          <w:p w:rsidR="00EE56C0" w:rsidRDefault="000F36A1">
            <w:pPr>
              <w:pStyle w:val="afa"/>
            </w:pPr>
            <w:r>
              <w:rPr>
                <w:rFonts w:hint="eastAsia"/>
              </w:rPr>
              <w:t>NO</w:t>
            </w:r>
            <w:r>
              <w:rPr>
                <w:rFonts w:hint="eastAsia"/>
                <w:vertAlign w:val="subscript"/>
              </w:rPr>
              <w:t>2</w:t>
            </w:r>
          </w:p>
        </w:tc>
        <w:tc>
          <w:tcPr>
            <w:tcW w:w="1778" w:type="pct"/>
            <w:gridSpan w:val="2"/>
            <w:vAlign w:val="center"/>
          </w:tcPr>
          <w:p w:rsidR="00EE56C0" w:rsidRDefault="000F36A1">
            <w:pPr>
              <w:pStyle w:val="afa"/>
            </w:pPr>
            <w:r>
              <w:rPr>
                <w:rFonts w:hint="eastAsia"/>
              </w:rPr>
              <w:t>1</w:t>
            </w:r>
            <w:r>
              <w:rPr>
                <w:rFonts w:hint="eastAsia"/>
              </w:rPr>
              <w:t>小时平均</w:t>
            </w:r>
            <w:r>
              <w:rPr>
                <w:rFonts w:hint="eastAsia"/>
              </w:rPr>
              <w:t xml:space="preserve">    200</w:t>
            </w:r>
            <w:r>
              <w:t>μg</w:t>
            </w:r>
            <w:r>
              <w:rPr>
                <w:rFonts w:hint="eastAsia"/>
              </w:rPr>
              <w:t>/m</w:t>
            </w:r>
            <w:r>
              <w:rPr>
                <w:rFonts w:hint="eastAsia"/>
                <w:vertAlign w:val="superscript"/>
              </w:rPr>
              <w:t>3</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Merge/>
            <w:vAlign w:val="center"/>
          </w:tcPr>
          <w:p w:rsidR="00EE56C0" w:rsidRDefault="00EE56C0">
            <w:pPr>
              <w:pStyle w:val="afa"/>
            </w:pPr>
          </w:p>
        </w:tc>
        <w:tc>
          <w:tcPr>
            <w:tcW w:w="1778" w:type="pct"/>
            <w:gridSpan w:val="2"/>
            <w:vAlign w:val="center"/>
          </w:tcPr>
          <w:p w:rsidR="00EE56C0" w:rsidRDefault="000F36A1">
            <w:pPr>
              <w:pStyle w:val="afa"/>
            </w:pPr>
            <w:r>
              <w:rPr>
                <w:rFonts w:hint="eastAsia"/>
              </w:rPr>
              <w:t>24</w:t>
            </w:r>
            <w:r>
              <w:rPr>
                <w:rFonts w:hint="eastAsia"/>
              </w:rPr>
              <w:t>小时平均</w:t>
            </w:r>
            <w:r>
              <w:rPr>
                <w:rFonts w:hint="eastAsia"/>
              </w:rPr>
              <w:t xml:space="preserve">    80</w:t>
            </w:r>
            <w:r>
              <w:t>μg</w:t>
            </w:r>
            <w:r>
              <w:rPr>
                <w:rFonts w:hint="eastAsia"/>
              </w:rPr>
              <w:t>/m</w:t>
            </w:r>
            <w:r>
              <w:rPr>
                <w:rFonts w:hint="eastAsia"/>
                <w:vertAlign w:val="superscript"/>
              </w:rPr>
              <w:t>3</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Merge/>
            <w:vAlign w:val="center"/>
          </w:tcPr>
          <w:p w:rsidR="00EE56C0" w:rsidRDefault="00EE56C0">
            <w:pPr>
              <w:pStyle w:val="afa"/>
            </w:pPr>
          </w:p>
        </w:tc>
        <w:tc>
          <w:tcPr>
            <w:tcW w:w="1778" w:type="pct"/>
            <w:gridSpan w:val="2"/>
            <w:vAlign w:val="center"/>
          </w:tcPr>
          <w:p w:rsidR="00EE56C0" w:rsidRDefault="000F36A1">
            <w:pPr>
              <w:pStyle w:val="afa"/>
            </w:pPr>
            <w:r>
              <w:rPr>
                <w:rFonts w:hint="eastAsia"/>
              </w:rPr>
              <w:t>年平均</w:t>
            </w:r>
            <w:r>
              <w:rPr>
                <w:rFonts w:hint="eastAsia"/>
              </w:rPr>
              <w:t xml:space="preserve">         40</w:t>
            </w:r>
            <w:r>
              <w:t>μg</w:t>
            </w:r>
            <w:r>
              <w:rPr>
                <w:rFonts w:hint="eastAsia"/>
              </w:rPr>
              <w:t>/m</w:t>
            </w:r>
            <w:r>
              <w:rPr>
                <w:rFonts w:hint="eastAsia"/>
                <w:vertAlign w:val="superscript"/>
              </w:rPr>
              <w:t>3</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Merge w:val="restart"/>
            <w:vAlign w:val="center"/>
          </w:tcPr>
          <w:p w:rsidR="00EE56C0" w:rsidRDefault="000F36A1">
            <w:pPr>
              <w:pStyle w:val="afa"/>
            </w:pPr>
            <w:r>
              <w:rPr>
                <w:rFonts w:hint="eastAsia"/>
              </w:rPr>
              <w:t>O</w:t>
            </w:r>
            <w:r>
              <w:rPr>
                <w:rFonts w:hint="eastAsia"/>
                <w:vertAlign w:val="subscript"/>
              </w:rPr>
              <w:t>3</w:t>
            </w:r>
          </w:p>
        </w:tc>
        <w:tc>
          <w:tcPr>
            <w:tcW w:w="1778" w:type="pct"/>
            <w:gridSpan w:val="2"/>
            <w:vAlign w:val="center"/>
          </w:tcPr>
          <w:p w:rsidR="00EE56C0" w:rsidRDefault="000F36A1">
            <w:pPr>
              <w:pStyle w:val="afa"/>
            </w:pPr>
            <w:r>
              <w:rPr>
                <w:rFonts w:hint="eastAsia"/>
              </w:rPr>
              <w:t>1</w:t>
            </w:r>
            <w:r>
              <w:rPr>
                <w:rFonts w:hint="eastAsia"/>
              </w:rPr>
              <w:t>小时平均</w:t>
            </w:r>
            <w:r>
              <w:rPr>
                <w:rFonts w:hint="eastAsia"/>
              </w:rPr>
              <w:t xml:space="preserve">    200</w:t>
            </w:r>
            <w:r>
              <w:t>μg</w:t>
            </w:r>
            <w:r>
              <w:rPr>
                <w:rFonts w:hint="eastAsia"/>
              </w:rPr>
              <w:t>/m</w:t>
            </w:r>
            <w:r>
              <w:rPr>
                <w:rFonts w:hint="eastAsia"/>
                <w:vertAlign w:val="superscript"/>
              </w:rPr>
              <w:t>3</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Merge/>
            <w:vAlign w:val="center"/>
          </w:tcPr>
          <w:p w:rsidR="00EE56C0" w:rsidRDefault="00EE56C0">
            <w:pPr>
              <w:pStyle w:val="afa"/>
            </w:pPr>
          </w:p>
        </w:tc>
        <w:tc>
          <w:tcPr>
            <w:tcW w:w="1778" w:type="pct"/>
            <w:gridSpan w:val="2"/>
            <w:vAlign w:val="center"/>
          </w:tcPr>
          <w:p w:rsidR="00EE56C0" w:rsidRDefault="000F36A1">
            <w:pPr>
              <w:pStyle w:val="afa"/>
            </w:pPr>
            <w:r>
              <w:rPr>
                <w:rFonts w:hint="eastAsia"/>
              </w:rPr>
              <w:t>日最大</w:t>
            </w:r>
            <w:r>
              <w:rPr>
                <w:rFonts w:hint="eastAsia"/>
              </w:rPr>
              <w:t>8</w:t>
            </w:r>
            <w:r>
              <w:rPr>
                <w:rFonts w:hint="eastAsia"/>
              </w:rPr>
              <w:t>小时平均</w:t>
            </w:r>
            <w:r>
              <w:rPr>
                <w:rFonts w:hint="eastAsia"/>
              </w:rPr>
              <w:t xml:space="preserve"> 160</w:t>
            </w:r>
            <w:r>
              <w:t>μg</w:t>
            </w:r>
            <w:r>
              <w:rPr>
                <w:rFonts w:hint="eastAsia"/>
              </w:rPr>
              <w:t>/m</w:t>
            </w:r>
            <w:r>
              <w:rPr>
                <w:rFonts w:hint="eastAsia"/>
                <w:vertAlign w:val="superscript"/>
              </w:rPr>
              <w:t>3</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Merge w:val="restart"/>
            <w:vAlign w:val="center"/>
          </w:tcPr>
          <w:p w:rsidR="00EE56C0" w:rsidRDefault="000F36A1">
            <w:pPr>
              <w:pStyle w:val="afa"/>
            </w:pPr>
            <w:r>
              <w:rPr>
                <w:rFonts w:hint="eastAsia"/>
              </w:rPr>
              <w:t>CO</w:t>
            </w:r>
          </w:p>
        </w:tc>
        <w:tc>
          <w:tcPr>
            <w:tcW w:w="1778" w:type="pct"/>
            <w:gridSpan w:val="2"/>
            <w:vAlign w:val="center"/>
          </w:tcPr>
          <w:p w:rsidR="00EE56C0" w:rsidRDefault="000F36A1">
            <w:pPr>
              <w:pStyle w:val="afa"/>
            </w:pPr>
            <w:r>
              <w:rPr>
                <w:rFonts w:hint="eastAsia"/>
              </w:rPr>
              <w:t>1</w:t>
            </w:r>
            <w:r>
              <w:rPr>
                <w:rFonts w:hint="eastAsia"/>
              </w:rPr>
              <w:t>小时平均</w:t>
            </w:r>
            <w:r>
              <w:rPr>
                <w:rFonts w:hint="eastAsia"/>
              </w:rPr>
              <w:t xml:space="preserve">     10</w:t>
            </w:r>
            <w:r>
              <w:t>mg</w:t>
            </w:r>
            <w:r>
              <w:rPr>
                <w:rFonts w:hint="eastAsia"/>
              </w:rPr>
              <w:t>/m</w:t>
            </w:r>
            <w:r>
              <w:rPr>
                <w:rFonts w:hint="eastAsia"/>
                <w:vertAlign w:val="superscript"/>
              </w:rPr>
              <w:t>3</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Merge/>
            <w:vAlign w:val="center"/>
          </w:tcPr>
          <w:p w:rsidR="00EE56C0" w:rsidRDefault="00EE56C0">
            <w:pPr>
              <w:pStyle w:val="afa"/>
            </w:pPr>
          </w:p>
        </w:tc>
        <w:tc>
          <w:tcPr>
            <w:tcW w:w="1778" w:type="pct"/>
            <w:gridSpan w:val="2"/>
            <w:vAlign w:val="center"/>
          </w:tcPr>
          <w:p w:rsidR="00EE56C0" w:rsidRDefault="000F36A1">
            <w:pPr>
              <w:pStyle w:val="afa"/>
            </w:pPr>
            <w:r>
              <w:rPr>
                <w:rFonts w:hint="eastAsia"/>
              </w:rPr>
              <w:t>24</w:t>
            </w:r>
            <w:r>
              <w:rPr>
                <w:rFonts w:hint="eastAsia"/>
              </w:rPr>
              <w:t>小时平均</w:t>
            </w:r>
            <w:r>
              <w:rPr>
                <w:rFonts w:hint="eastAsia"/>
              </w:rPr>
              <w:t xml:space="preserve">    4</w:t>
            </w:r>
            <w:r>
              <w:t>mg</w:t>
            </w:r>
            <w:r>
              <w:rPr>
                <w:rFonts w:hint="eastAsia"/>
              </w:rPr>
              <w:t>/m</w:t>
            </w:r>
            <w:r>
              <w:rPr>
                <w:rFonts w:hint="eastAsia"/>
                <w:vertAlign w:val="superscript"/>
              </w:rPr>
              <w:t>3</w:t>
            </w:r>
          </w:p>
        </w:tc>
      </w:tr>
      <w:tr w:rsidR="00EE56C0">
        <w:trPr>
          <w:cantSplit/>
          <w:trHeight w:val="454"/>
          <w:jc w:val="center"/>
        </w:trPr>
        <w:tc>
          <w:tcPr>
            <w:tcW w:w="773" w:type="pct"/>
            <w:vMerge/>
            <w:vAlign w:val="center"/>
          </w:tcPr>
          <w:p w:rsidR="00EE56C0" w:rsidRDefault="00EE56C0">
            <w:pPr>
              <w:pStyle w:val="afa"/>
            </w:pPr>
          </w:p>
        </w:tc>
        <w:tc>
          <w:tcPr>
            <w:tcW w:w="1543" w:type="pct"/>
            <w:vMerge w:val="restart"/>
            <w:vAlign w:val="center"/>
          </w:tcPr>
          <w:p w:rsidR="00EE56C0" w:rsidRDefault="000F36A1">
            <w:pPr>
              <w:pStyle w:val="afa"/>
              <w:rPr>
                <w:highlight w:val="yellow"/>
              </w:rPr>
            </w:pPr>
            <w:r>
              <w:rPr>
                <w:rFonts w:hint="eastAsia"/>
              </w:rPr>
              <w:t>《环境影响评价技术导则</w:t>
            </w:r>
            <w:r>
              <w:rPr>
                <w:rFonts w:hint="eastAsia"/>
              </w:rPr>
              <w:t xml:space="preserve"> </w:t>
            </w:r>
            <w:r>
              <w:rPr>
                <w:rFonts w:hint="eastAsia"/>
              </w:rPr>
              <w:t>大气环境》（</w:t>
            </w:r>
            <w:r>
              <w:rPr>
                <w:rFonts w:hint="eastAsia"/>
              </w:rPr>
              <w:t>HJ2.2-2018</w:t>
            </w:r>
            <w:r>
              <w:rPr>
                <w:rFonts w:hint="eastAsia"/>
              </w:rPr>
              <w:t>）附录</w:t>
            </w:r>
            <w:r>
              <w:rPr>
                <w:rFonts w:hint="eastAsia"/>
              </w:rPr>
              <w:t>D</w:t>
            </w:r>
          </w:p>
        </w:tc>
        <w:tc>
          <w:tcPr>
            <w:tcW w:w="906" w:type="pct"/>
            <w:tcBorders>
              <w:bottom w:val="single" w:sz="4" w:space="0" w:color="auto"/>
            </w:tcBorders>
            <w:vAlign w:val="center"/>
          </w:tcPr>
          <w:p w:rsidR="00EE56C0" w:rsidRDefault="000F36A1">
            <w:pPr>
              <w:pStyle w:val="afa"/>
            </w:pPr>
            <w:r>
              <w:rPr>
                <w:rFonts w:hint="eastAsia"/>
              </w:rPr>
              <w:t>苯</w:t>
            </w:r>
          </w:p>
        </w:tc>
        <w:tc>
          <w:tcPr>
            <w:tcW w:w="1778" w:type="pct"/>
            <w:gridSpan w:val="2"/>
            <w:vAlign w:val="center"/>
          </w:tcPr>
          <w:p w:rsidR="00EE56C0" w:rsidRDefault="000F36A1">
            <w:pPr>
              <w:pStyle w:val="afa"/>
            </w:pPr>
            <w:r>
              <w:t>小时平均：</w:t>
            </w:r>
            <w:r>
              <w:t>0.11mg/m</w:t>
            </w:r>
            <w:r>
              <w:rPr>
                <w:vertAlign w:val="superscript"/>
              </w:rPr>
              <w:t>3</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tcBorders>
              <w:top w:val="single" w:sz="4" w:space="0" w:color="auto"/>
            </w:tcBorders>
            <w:vAlign w:val="center"/>
          </w:tcPr>
          <w:p w:rsidR="00EE56C0" w:rsidRDefault="000F36A1">
            <w:pPr>
              <w:pStyle w:val="afa"/>
            </w:pPr>
            <w:r>
              <w:rPr>
                <w:rFonts w:hint="eastAsia"/>
              </w:rPr>
              <w:t>甲苯</w:t>
            </w:r>
          </w:p>
        </w:tc>
        <w:tc>
          <w:tcPr>
            <w:tcW w:w="1778" w:type="pct"/>
            <w:gridSpan w:val="2"/>
            <w:vAlign w:val="center"/>
          </w:tcPr>
          <w:p w:rsidR="00EE56C0" w:rsidRDefault="000F36A1">
            <w:pPr>
              <w:pStyle w:val="afa"/>
            </w:pPr>
            <w:r>
              <w:t>小时平均：</w:t>
            </w:r>
            <w:r>
              <w:t>0.2mg/m</w:t>
            </w:r>
            <w:r>
              <w:rPr>
                <w:vertAlign w:val="superscript"/>
              </w:rPr>
              <w:t>3</w:t>
            </w:r>
          </w:p>
        </w:tc>
      </w:tr>
      <w:tr w:rsidR="00EE56C0">
        <w:trPr>
          <w:cantSplit/>
          <w:trHeight w:val="454"/>
          <w:jc w:val="center"/>
        </w:trPr>
        <w:tc>
          <w:tcPr>
            <w:tcW w:w="773" w:type="pct"/>
            <w:vMerge/>
            <w:vAlign w:val="center"/>
          </w:tcPr>
          <w:p w:rsidR="00EE56C0" w:rsidRDefault="00EE56C0">
            <w:pPr>
              <w:pStyle w:val="afa"/>
            </w:pPr>
          </w:p>
        </w:tc>
        <w:tc>
          <w:tcPr>
            <w:tcW w:w="1543" w:type="pct"/>
            <w:vMerge/>
            <w:tcBorders>
              <w:bottom w:val="single" w:sz="4" w:space="0" w:color="auto"/>
            </w:tcBorders>
            <w:vAlign w:val="center"/>
          </w:tcPr>
          <w:p w:rsidR="00EE56C0" w:rsidRDefault="00EE56C0">
            <w:pPr>
              <w:pStyle w:val="afa"/>
            </w:pPr>
          </w:p>
        </w:tc>
        <w:tc>
          <w:tcPr>
            <w:tcW w:w="906" w:type="pct"/>
            <w:tcBorders>
              <w:bottom w:val="single" w:sz="4" w:space="0" w:color="auto"/>
            </w:tcBorders>
            <w:vAlign w:val="center"/>
          </w:tcPr>
          <w:p w:rsidR="00EE56C0" w:rsidRDefault="000F36A1">
            <w:pPr>
              <w:pStyle w:val="afa"/>
            </w:pPr>
            <w:r>
              <w:rPr>
                <w:rFonts w:hint="eastAsia"/>
              </w:rPr>
              <w:t>二甲苯</w:t>
            </w:r>
          </w:p>
        </w:tc>
        <w:tc>
          <w:tcPr>
            <w:tcW w:w="1778" w:type="pct"/>
            <w:gridSpan w:val="2"/>
            <w:vAlign w:val="center"/>
          </w:tcPr>
          <w:p w:rsidR="00EE56C0" w:rsidRDefault="000F36A1">
            <w:pPr>
              <w:pStyle w:val="afa"/>
            </w:pPr>
            <w:r>
              <w:t>小时平均：</w:t>
            </w:r>
            <w:r>
              <w:t>0.2mg/m</w:t>
            </w:r>
            <w:r>
              <w:rPr>
                <w:vertAlign w:val="superscript"/>
              </w:rPr>
              <w:t>3</w:t>
            </w:r>
          </w:p>
        </w:tc>
      </w:tr>
      <w:tr w:rsidR="00EE56C0">
        <w:trPr>
          <w:cantSplit/>
          <w:trHeight w:val="454"/>
          <w:jc w:val="center"/>
        </w:trPr>
        <w:tc>
          <w:tcPr>
            <w:tcW w:w="773" w:type="pct"/>
            <w:vMerge/>
            <w:vAlign w:val="center"/>
          </w:tcPr>
          <w:p w:rsidR="00EE56C0" w:rsidRDefault="00EE56C0">
            <w:pPr>
              <w:pStyle w:val="afa"/>
            </w:pPr>
          </w:p>
        </w:tc>
        <w:tc>
          <w:tcPr>
            <w:tcW w:w="1543" w:type="pct"/>
            <w:tcBorders>
              <w:top w:val="single" w:sz="4" w:space="0" w:color="auto"/>
            </w:tcBorders>
            <w:vAlign w:val="center"/>
          </w:tcPr>
          <w:p w:rsidR="00EE56C0" w:rsidRDefault="000F36A1">
            <w:pPr>
              <w:pStyle w:val="afa"/>
            </w:pPr>
            <w:r>
              <w:rPr>
                <w:rFonts w:hint="eastAsia"/>
              </w:rPr>
              <w:t>《大气综合污染物排放标准详解》第四章标准值说明</w:t>
            </w:r>
            <w:r>
              <w:t>-</w:t>
            </w:r>
            <w:r>
              <w:rPr>
                <w:rFonts w:hint="eastAsia"/>
              </w:rPr>
              <w:t>三十一、非甲烷总烃</w:t>
            </w:r>
          </w:p>
        </w:tc>
        <w:tc>
          <w:tcPr>
            <w:tcW w:w="906" w:type="pct"/>
            <w:tcBorders>
              <w:top w:val="single" w:sz="4" w:space="0" w:color="auto"/>
            </w:tcBorders>
            <w:vAlign w:val="center"/>
          </w:tcPr>
          <w:p w:rsidR="00EE56C0" w:rsidRDefault="000F36A1">
            <w:pPr>
              <w:pStyle w:val="afa"/>
            </w:pPr>
            <w:r>
              <w:rPr>
                <w:rFonts w:hint="eastAsia"/>
              </w:rPr>
              <w:t>非甲烷总烃</w:t>
            </w:r>
          </w:p>
        </w:tc>
        <w:tc>
          <w:tcPr>
            <w:tcW w:w="1778" w:type="pct"/>
            <w:gridSpan w:val="2"/>
            <w:vAlign w:val="center"/>
          </w:tcPr>
          <w:p w:rsidR="00EE56C0" w:rsidRDefault="000F36A1">
            <w:pPr>
              <w:pStyle w:val="afa"/>
            </w:pPr>
            <w:r>
              <w:rPr>
                <w:rFonts w:hint="eastAsia"/>
              </w:rPr>
              <w:t>小时平均：</w:t>
            </w:r>
            <w:r>
              <w:t>2.0mg/m</w:t>
            </w:r>
            <w:r>
              <w:rPr>
                <w:vertAlign w:val="superscript"/>
              </w:rPr>
              <w:t>3</w:t>
            </w:r>
          </w:p>
        </w:tc>
      </w:tr>
      <w:tr w:rsidR="00EE56C0">
        <w:trPr>
          <w:cantSplit/>
          <w:trHeight w:val="454"/>
          <w:jc w:val="center"/>
        </w:trPr>
        <w:tc>
          <w:tcPr>
            <w:tcW w:w="773" w:type="pct"/>
            <w:vMerge/>
            <w:vAlign w:val="center"/>
          </w:tcPr>
          <w:p w:rsidR="00EE56C0" w:rsidRDefault="00EE56C0">
            <w:pPr>
              <w:pStyle w:val="afa"/>
            </w:pPr>
          </w:p>
        </w:tc>
        <w:tc>
          <w:tcPr>
            <w:tcW w:w="1543" w:type="pct"/>
            <w:vAlign w:val="center"/>
          </w:tcPr>
          <w:p w:rsidR="00EE56C0" w:rsidRDefault="000F36A1">
            <w:pPr>
              <w:pStyle w:val="afa"/>
              <w:rPr>
                <w:b/>
                <w:u w:val="single"/>
              </w:rPr>
            </w:pPr>
            <w:r>
              <w:rPr>
                <w:rFonts w:hint="eastAsia"/>
                <w:b/>
                <w:u w:val="single"/>
              </w:rPr>
              <w:t>《居住区大气中酚卫生标准》（</w:t>
            </w:r>
            <w:r>
              <w:rPr>
                <w:rFonts w:hint="eastAsia"/>
                <w:b/>
                <w:u w:val="single"/>
              </w:rPr>
              <w:t>GB18067-2000</w:t>
            </w:r>
            <w:r>
              <w:rPr>
                <w:rFonts w:hint="eastAsia"/>
                <w:b/>
                <w:u w:val="single"/>
              </w:rPr>
              <w:t>）</w:t>
            </w:r>
          </w:p>
        </w:tc>
        <w:tc>
          <w:tcPr>
            <w:tcW w:w="906" w:type="pct"/>
            <w:vAlign w:val="center"/>
          </w:tcPr>
          <w:p w:rsidR="00EE56C0" w:rsidRDefault="000F36A1">
            <w:pPr>
              <w:pStyle w:val="afa"/>
              <w:rPr>
                <w:b/>
                <w:u w:val="single"/>
              </w:rPr>
            </w:pPr>
            <w:r>
              <w:rPr>
                <w:b/>
                <w:u w:val="single"/>
              </w:rPr>
              <w:t>酚</w:t>
            </w:r>
          </w:p>
        </w:tc>
        <w:tc>
          <w:tcPr>
            <w:tcW w:w="1778" w:type="pct"/>
            <w:gridSpan w:val="2"/>
            <w:vAlign w:val="center"/>
          </w:tcPr>
          <w:p w:rsidR="00EE56C0" w:rsidRDefault="000F36A1">
            <w:pPr>
              <w:pStyle w:val="afa"/>
              <w:rPr>
                <w:b/>
                <w:spacing w:val="-5"/>
                <w:u w:val="single"/>
              </w:rPr>
            </w:pPr>
            <w:r>
              <w:rPr>
                <w:rFonts w:hint="eastAsia"/>
                <w:b/>
                <w:u w:val="single"/>
              </w:rPr>
              <w:t>小时平均</w:t>
            </w:r>
            <w:r>
              <w:rPr>
                <w:b/>
                <w:u w:val="single"/>
              </w:rPr>
              <w:t>：</w:t>
            </w:r>
            <w:r>
              <w:rPr>
                <w:b/>
                <w:spacing w:val="-5"/>
                <w:u w:val="single"/>
              </w:rPr>
              <w:t>0.0</w:t>
            </w:r>
            <w:r>
              <w:rPr>
                <w:rFonts w:hint="eastAsia"/>
                <w:b/>
                <w:spacing w:val="-5"/>
                <w:u w:val="single"/>
              </w:rPr>
              <w:t>5</w:t>
            </w:r>
            <w:r>
              <w:rPr>
                <w:b/>
                <w:u w:val="single"/>
              </w:rPr>
              <w:t>mg/m</w:t>
            </w:r>
            <w:r>
              <w:rPr>
                <w:b/>
                <w:u w:val="single"/>
                <w:vertAlign w:val="superscript"/>
              </w:rPr>
              <w:t>3</w:t>
            </w:r>
          </w:p>
        </w:tc>
      </w:tr>
      <w:tr w:rsidR="00EE56C0">
        <w:trPr>
          <w:cantSplit/>
          <w:trHeight w:val="454"/>
          <w:jc w:val="center"/>
        </w:trPr>
        <w:tc>
          <w:tcPr>
            <w:tcW w:w="773" w:type="pct"/>
            <w:vMerge w:val="restart"/>
            <w:vAlign w:val="center"/>
          </w:tcPr>
          <w:p w:rsidR="00EE56C0" w:rsidRDefault="000F36A1">
            <w:pPr>
              <w:pStyle w:val="afa"/>
            </w:pPr>
            <w:r>
              <w:rPr>
                <w:rFonts w:hint="eastAsia"/>
              </w:rPr>
              <w:t>地下水</w:t>
            </w:r>
          </w:p>
        </w:tc>
        <w:tc>
          <w:tcPr>
            <w:tcW w:w="1543" w:type="pct"/>
            <w:vMerge w:val="restart"/>
            <w:vAlign w:val="center"/>
          </w:tcPr>
          <w:p w:rsidR="00EE56C0" w:rsidRDefault="000F36A1">
            <w:pPr>
              <w:pStyle w:val="afa"/>
            </w:pPr>
            <w:r>
              <w:rPr>
                <w:rFonts w:hint="eastAsia"/>
              </w:rPr>
              <w:t>《地下水质量标准》（</w:t>
            </w:r>
            <w:r>
              <w:rPr>
                <w:rFonts w:hint="eastAsia"/>
              </w:rPr>
              <w:t>GB/T14848-2017</w:t>
            </w:r>
            <w:r>
              <w:rPr>
                <w:rFonts w:hint="eastAsia"/>
              </w:rPr>
              <w:t>）Ⅲ类</w:t>
            </w:r>
          </w:p>
        </w:tc>
        <w:tc>
          <w:tcPr>
            <w:tcW w:w="906" w:type="pct"/>
            <w:vAlign w:val="center"/>
          </w:tcPr>
          <w:p w:rsidR="00EE56C0" w:rsidRDefault="000F36A1">
            <w:pPr>
              <w:pStyle w:val="afa"/>
            </w:pPr>
            <w:r>
              <w:rPr>
                <w:rFonts w:hint="eastAsia"/>
              </w:rPr>
              <w:t>pH</w:t>
            </w:r>
          </w:p>
        </w:tc>
        <w:tc>
          <w:tcPr>
            <w:tcW w:w="1778" w:type="pct"/>
            <w:gridSpan w:val="2"/>
            <w:vAlign w:val="center"/>
          </w:tcPr>
          <w:p w:rsidR="00EE56C0" w:rsidRDefault="000F36A1">
            <w:pPr>
              <w:pStyle w:val="afa"/>
            </w:pPr>
            <w:r>
              <w:rPr>
                <w:rFonts w:hint="eastAsia"/>
              </w:rPr>
              <w:t>6.5-8.5</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rPr>
                <w:rFonts w:hint="eastAsia"/>
              </w:rPr>
              <w:t>总硬度</w:t>
            </w:r>
          </w:p>
        </w:tc>
        <w:tc>
          <w:tcPr>
            <w:tcW w:w="1778" w:type="pct"/>
            <w:gridSpan w:val="2"/>
            <w:vAlign w:val="center"/>
          </w:tcPr>
          <w:p w:rsidR="00EE56C0" w:rsidRDefault="000F36A1">
            <w:pPr>
              <w:pStyle w:val="afa"/>
            </w:pPr>
            <w:r>
              <w:rPr>
                <w:rFonts w:hint="eastAsia"/>
              </w:rPr>
              <w:t>450mg/L</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rPr>
                <w:rFonts w:hint="eastAsia"/>
              </w:rPr>
              <w:t>溶解性总固体</w:t>
            </w:r>
          </w:p>
        </w:tc>
        <w:tc>
          <w:tcPr>
            <w:tcW w:w="1778" w:type="pct"/>
            <w:gridSpan w:val="2"/>
            <w:vAlign w:val="center"/>
          </w:tcPr>
          <w:p w:rsidR="00EE56C0" w:rsidRDefault="000F36A1">
            <w:pPr>
              <w:pStyle w:val="afa"/>
            </w:pPr>
            <w:r>
              <w:rPr>
                <w:rFonts w:hint="eastAsia"/>
              </w:rPr>
              <w:t>1000mg/L</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rPr>
                <w:rFonts w:hint="eastAsia"/>
              </w:rPr>
              <w:t>耗氧量（</w:t>
            </w:r>
            <w:r>
              <w:rPr>
                <w:rFonts w:hint="eastAsia"/>
              </w:rPr>
              <w:t>COD</w:t>
            </w:r>
            <w:r>
              <w:rPr>
                <w:rFonts w:hint="eastAsia"/>
                <w:vertAlign w:val="subscript"/>
              </w:rPr>
              <w:t>Mn</w:t>
            </w:r>
            <w:r>
              <w:rPr>
                <w:rFonts w:hint="eastAsia"/>
              </w:rPr>
              <w:t>法，以</w:t>
            </w:r>
            <w:r>
              <w:rPr>
                <w:rFonts w:hint="eastAsia"/>
              </w:rPr>
              <w:t>O</w:t>
            </w:r>
            <w:r>
              <w:rPr>
                <w:rFonts w:hint="eastAsia"/>
                <w:vertAlign w:val="subscript"/>
              </w:rPr>
              <w:t>2</w:t>
            </w:r>
            <w:r>
              <w:rPr>
                <w:rFonts w:hint="eastAsia"/>
              </w:rPr>
              <w:t>计）</w:t>
            </w:r>
          </w:p>
        </w:tc>
        <w:tc>
          <w:tcPr>
            <w:tcW w:w="1778" w:type="pct"/>
            <w:gridSpan w:val="2"/>
            <w:vAlign w:val="center"/>
          </w:tcPr>
          <w:p w:rsidR="00EE56C0" w:rsidRDefault="000F36A1">
            <w:pPr>
              <w:pStyle w:val="afa"/>
            </w:pPr>
            <w:r>
              <w:rPr>
                <w:rFonts w:hint="eastAsia"/>
              </w:rPr>
              <w:t>3.0mg/L</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rPr>
                <w:rFonts w:hint="eastAsia"/>
              </w:rPr>
              <w:t>氨氮</w:t>
            </w:r>
          </w:p>
        </w:tc>
        <w:tc>
          <w:tcPr>
            <w:tcW w:w="1778" w:type="pct"/>
            <w:gridSpan w:val="2"/>
            <w:vAlign w:val="center"/>
          </w:tcPr>
          <w:p w:rsidR="00EE56C0" w:rsidRDefault="000F36A1">
            <w:pPr>
              <w:pStyle w:val="afa"/>
            </w:pPr>
            <w:r>
              <w:rPr>
                <w:rFonts w:hint="eastAsia"/>
              </w:rPr>
              <w:t>0.5mg/L</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rPr>
                <w:rFonts w:hint="eastAsia"/>
              </w:rPr>
              <w:t>氯化物</w:t>
            </w:r>
          </w:p>
        </w:tc>
        <w:tc>
          <w:tcPr>
            <w:tcW w:w="1778" w:type="pct"/>
            <w:gridSpan w:val="2"/>
            <w:vAlign w:val="center"/>
          </w:tcPr>
          <w:p w:rsidR="00EE56C0" w:rsidRDefault="000F36A1">
            <w:pPr>
              <w:pStyle w:val="afa"/>
            </w:pPr>
            <w:r>
              <w:rPr>
                <w:rFonts w:hint="eastAsia"/>
              </w:rPr>
              <w:t>250mg/L</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rPr>
                <w:rFonts w:hint="eastAsia"/>
              </w:rPr>
              <w:t>硫酸盐</w:t>
            </w:r>
          </w:p>
        </w:tc>
        <w:tc>
          <w:tcPr>
            <w:tcW w:w="1778" w:type="pct"/>
            <w:gridSpan w:val="2"/>
            <w:vAlign w:val="center"/>
          </w:tcPr>
          <w:p w:rsidR="00EE56C0" w:rsidRDefault="000F36A1">
            <w:pPr>
              <w:pStyle w:val="afa"/>
            </w:pPr>
            <w:r>
              <w:rPr>
                <w:rFonts w:hint="eastAsia"/>
              </w:rPr>
              <w:t>250mg/L</w:t>
            </w:r>
          </w:p>
        </w:tc>
      </w:tr>
      <w:tr w:rsidR="00EE56C0">
        <w:trPr>
          <w:cantSplit/>
          <w:trHeight w:val="454"/>
          <w:jc w:val="center"/>
        </w:trPr>
        <w:tc>
          <w:tcPr>
            <w:tcW w:w="773" w:type="pct"/>
            <w:vMerge w:val="restart"/>
            <w:vAlign w:val="center"/>
          </w:tcPr>
          <w:p w:rsidR="00EE56C0" w:rsidRDefault="000F36A1">
            <w:pPr>
              <w:pStyle w:val="afa"/>
            </w:pPr>
            <w:r>
              <w:rPr>
                <w:rFonts w:hint="eastAsia"/>
              </w:rPr>
              <w:t>声环境</w:t>
            </w:r>
          </w:p>
        </w:tc>
        <w:tc>
          <w:tcPr>
            <w:tcW w:w="1543" w:type="pct"/>
            <w:vMerge w:val="restart"/>
            <w:vAlign w:val="center"/>
          </w:tcPr>
          <w:p w:rsidR="00EE56C0" w:rsidRDefault="000F36A1">
            <w:pPr>
              <w:pStyle w:val="afa"/>
            </w:pPr>
            <w:r>
              <w:rPr>
                <w:rFonts w:hint="eastAsia"/>
              </w:rPr>
              <w:t>《声环境质量标准》（</w:t>
            </w:r>
            <w:r>
              <w:rPr>
                <w:rFonts w:hint="eastAsia"/>
              </w:rPr>
              <w:t>GB3096-2008</w:t>
            </w:r>
            <w:r>
              <w:rPr>
                <w:rFonts w:hint="eastAsia"/>
              </w:rPr>
              <w:t>）</w:t>
            </w:r>
            <w:r>
              <w:rPr>
                <w:rFonts w:hint="eastAsia"/>
              </w:rPr>
              <w:t>3</w:t>
            </w:r>
            <w:r>
              <w:rPr>
                <w:rFonts w:hint="eastAsia"/>
              </w:rPr>
              <w:t>类</w:t>
            </w:r>
          </w:p>
        </w:tc>
        <w:tc>
          <w:tcPr>
            <w:tcW w:w="906" w:type="pct"/>
            <w:vMerge w:val="restart"/>
            <w:vAlign w:val="center"/>
          </w:tcPr>
          <w:p w:rsidR="00EE56C0" w:rsidRDefault="000F36A1">
            <w:pPr>
              <w:pStyle w:val="afa"/>
            </w:pPr>
            <w:r>
              <w:t>Leq(A)</w:t>
            </w:r>
          </w:p>
        </w:tc>
        <w:tc>
          <w:tcPr>
            <w:tcW w:w="1080" w:type="pct"/>
            <w:vAlign w:val="center"/>
          </w:tcPr>
          <w:p w:rsidR="00EE56C0" w:rsidRDefault="000F36A1">
            <w:pPr>
              <w:pStyle w:val="afa"/>
            </w:pPr>
            <w:r>
              <w:rPr>
                <w:rFonts w:hint="eastAsia"/>
              </w:rPr>
              <w:t>昼间</w:t>
            </w:r>
          </w:p>
        </w:tc>
        <w:tc>
          <w:tcPr>
            <w:tcW w:w="698" w:type="pct"/>
            <w:vAlign w:val="center"/>
          </w:tcPr>
          <w:p w:rsidR="00EE56C0" w:rsidRDefault="000F36A1">
            <w:pPr>
              <w:pStyle w:val="afa"/>
            </w:pPr>
            <w:r>
              <w:rPr>
                <w:rFonts w:hint="eastAsia"/>
              </w:rPr>
              <w:t>65dB(A)</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Merge/>
            <w:vAlign w:val="center"/>
          </w:tcPr>
          <w:p w:rsidR="00EE56C0" w:rsidRDefault="00EE56C0">
            <w:pPr>
              <w:pStyle w:val="afa"/>
            </w:pPr>
          </w:p>
        </w:tc>
        <w:tc>
          <w:tcPr>
            <w:tcW w:w="1080" w:type="pct"/>
            <w:vAlign w:val="center"/>
          </w:tcPr>
          <w:p w:rsidR="00EE56C0" w:rsidRDefault="000F36A1">
            <w:pPr>
              <w:pStyle w:val="afa"/>
            </w:pPr>
            <w:r>
              <w:rPr>
                <w:rFonts w:hint="eastAsia"/>
              </w:rPr>
              <w:t>夜间</w:t>
            </w:r>
          </w:p>
        </w:tc>
        <w:tc>
          <w:tcPr>
            <w:tcW w:w="698" w:type="pct"/>
            <w:vAlign w:val="center"/>
          </w:tcPr>
          <w:p w:rsidR="00EE56C0" w:rsidRDefault="000F36A1">
            <w:pPr>
              <w:pStyle w:val="afa"/>
            </w:pPr>
            <w:r>
              <w:rPr>
                <w:rFonts w:hint="eastAsia"/>
              </w:rPr>
              <w:t>55dB(A)</w:t>
            </w:r>
          </w:p>
        </w:tc>
      </w:tr>
      <w:tr w:rsidR="00EE56C0">
        <w:trPr>
          <w:cantSplit/>
          <w:trHeight w:val="454"/>
          <w:jc w:val="center"/>
        </w:trPr>
        <w:tc>
          <w:tcPr>
            <w:tcW w:w="773" w:type="pct"/>
            <w:vMerge w:val="restart"/>
            <w:vAlign w:val="center"/>
          </w:tcPr>
          <w:p w:rsidR="00EE56C0" w:rsidRDefault="000F36A1">
            <w:pPr>
              <w:pStyle w:val="afa"/>
            </w:pPr>
            <w:r>
              <w:rPr>
                <w:rFonts w:hint="eastAsia"/>
              </w:rPr>
              <w:t>土壤环境</w:t>
            </w:r>
          </w:p>
        </w:tc>
        <w:tc>
          <w:tcPr>
            <w:tcW w:w="1543" w:type="pct"/>
            <w:vMerge w:val="restart"/>
            <w:vAlign w:val="center"/>
          </w:tcPr>
          <w:p w:rsidR="00EE56C0" w:rsidRDefault="000F36A1">
            <w:pPr>
              <w:pStyle w:val="afa"/>
            </w:pPr>
            <w:r>
              <w:rPr>
                <w:rFonts w:hAnsi="宋体" w:hint="eastAsia"/>
              </w:rPr>
              <w:t>《土壤环境质量</w:t>
            </w:r>
            <w:r>
              <w:rPr>
                <w:rFonts w:hAnsi="宋体" w:hint="eastAsia"/>
              </w:rPr>
              <w:t>-</w:t>
            </w:r>
            <w:r>
              <w:rPr>
                <w:rFonts w:hAnsi="宋体" w:hint="eastAsia"/>
              </w:rPr>
              <w:t>建设用地土壤污染风险管控标准（试行）》（</w:t>
            </w:r>
            <w:r>
              <w:rPr>
                <w:rFonts w:hAnsi="宋体" w:hint="eastAsia"/>
              </w:rPr>
              <w:t>GB36600-2018</w:t>
            </w:r>
            <w:r>
              <w:rPr>
                <w:rFonts w:hAnsi="宋体" w:hint="eastAsia"/>
              </w:rPr>
              <w:t>）表</w:t>
            </w:r>
            <w:r>
              <w:rPr>
                <w:rFonts w:hAnsi="宋体" w:hint="eastAsia"/>
              </w:rPr>
              <w:t>1</w:t>
            </w:r>
            <w:r>
              <w:rPr>
                <w:rFonts w:hAnsi="宋体" w:hint="eastAsia"/>
              </w:rPr>
              <w:t>基本项目、表</w:t>
            </w:r>
            <w:r>
              <w:rPr>
                <w:rFonts w:hAnsi="宋体" w:hint="eastAsia"/>
              </w:rPr>
              <w:t>2</w:t>
            </w:r>
            <w:r>
              <w:rPr>
                <w:rFonts w:hAnsi="宋体" w:hint="eastAsia"/>
              </w:rPr>
              <w:t>第二类用地筛选值</w:t>
            </w:r>
          </w:p>
          <w:p w:rsidR="00EE56C0" w:rsidRDefault="00EE56C0">
            <w:pPr>
              <w:pStyle w:val="afa"/>
            </w:pPr>
          </w:p>
        </w:tc>
        <w:tc>
          <w:tcPr>
            <w:tcW w:w="906" w:type="pct"/>
            <w:vAlign w:val="center"/>
          </w:tcPr>
          <w:p w:rsidR="00EE56C0" w:rsidRDefault="000F36A1">
            <w:pPr>
              <w:pStyle w:val="afa"/>
            </w:pPr>
            <w:r>
              <w:t>砷</w:t>
            </w:r>
          </w:p>
        </w:tc>
        <w:tc>
          <w:tcPr>
            <w:tcW w:w="1778" w:type="pct"/>
            <w:gridSpan w:val="2"/>
            <w:vAlign w:val="center"/>
          </w:tcPr>
          <w:p w:rsidR="00EE56C0" w:rsidRDefault="000F36A1">
            <w:pPr>
              <w:pStyle w:val="afa"/>
            </w:pPr>
            <w:r>
              <w:t>60</w:t>
            </w:r>
            <w:r>
              <w:rPr>
                <w:rFonts w:hint="eastAsia"/>
              </w:rPr>
              <w:t>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t>镉</w:t>
            </w:r>
          </w:p>
        </w:tc>
        <w:tc>
          <w:tcPr>
            <w:tcW w:w="1778" w:type="pct"/>
            <w:gridSpan w:val="2"/>
            <w:vAlign w:val="center"/>
          </w:tcPr>
          <w:p w:rsidR="00EE56C0" w:rsidRDefault="000F36A1">
            <w:pPr>
              <w:pStyle w:val="afa"/>
            </w:pPr>
            <w:r>
              <w:t>65</w:t>
            </w:r>
            <w:r>
              <w:rPr>
                <w:rFonts w:hint="eastAsia"/>
              </w:rPr>
              <w:t>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t>铬</w:t>
            </w:r>
            <w:r>
              <w:rPr>
                <w:rFonts w:hint="eastAsia"/>
              </w:rPr>
              <w:t>（</w:t>
            </w:r>
            <w:r>
              <w:t>六价</w:t>
            </w:r>
            <w:r>
              <w:rPr>
                <w:rFonts w:hint="eastAsia"/>
              </w:rPr>
              <w:t>）</w:t>
            </w:r>
          </w:p>
        </w:tc>
        <w:tc>
          <w:tcPr>
            <w:tcW w:w="1778" w:type="pct"/>
            <w:gridSpan w:val="2"/>
            <w:vAlign w:val="center"/>
          </w:tcPr>
          <w:p w:rsidR="00EE56C0" w:rsidRDefault="000F36A1">
            <w:pPr>
              <w:pStyle w:val="afa"/>
            </w:pPr>
            <w:r>
              <w:t>5.7</w:t>
            </w:r>
            <w:r>
              <w:rPr>
                <w:rFonts w:hint="eastAsia"/>
              </w:rPr>
              <w:t>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t>铜</w:t>
            </w:r>
          </w:p>
        </w:tc>
        <w:tc>
          <w:tcPr>
            <w:tcW w:w="1778" w:type="pct"/>
            <w:gridSpan w:val="2"/>
            <w:vAlign w:val="center"/>
          </w:tcPr>
          <w:p w:rsidR="00EE56C0" w:rsidRDefault="000F36A1">
            <w:pPr>
              <w:pStyle w:val="afa"/>
            </w:pPr>
            <w:r>
              <w:t>18000</w:t>
            </w:r>
            <w:r>
              <w:rPr>
                <w:rFonts w:hint="eastAsia"/>
              </w:rPr>
              <w:t>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t>铅</w:t>
            </w:r>
          </w:p>
        </w:tc>
        <w:tc>
          <w:tcPr>
            <w:tcW w:w="1778" w:type="pct"/>
            <w:gridSpan w:val="2"/>
            <w:vAlign w:val="center"/>
          </w:tcPr>
          <w:p w:rsidR="00EE56C0" w:rsidRDefault="000F36A1">
            <w:pPr>
              <w:pStyle w:val="afa"/>
            </w:pPr>
            <w:r>
              <w:t>800</w:t>
            </w:r>
            <w:r>
              <w:rPr>
                <w:rFonts w:hint="eastAsia"/>
              </w:rPr>
              <w:t>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t>汞</w:t>
            </w:r>
          </w:p>
        </w:tc>
        <w:tc>
          <w:tcPr>
            <w:tcW w:w="1778" w:type="pct"/>
            <w:gridSpan w:val="2"/>
            <w:vAlign w:val="center"/>
          </w:tcPr>
          <w:p w:rsidR="00EE56C0" w:rsidRDefault="000F36A1">
            <w:pPr>
              <w:pStyle w:val="afa"/>
            </w:pPr>
            <w:r>
              <w:t>38</w:t>
            </w:r>
            <w:r>
              <w:rPr>
                <w:rFonts w:hint="eastAsia"/>
              </w:rPr>
              <w:t>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t>镍</w:t>
            </w:r>
          </w:p>
        </w:tc>
        <w:tc>
          <w:tcPr>
            <w:tcW w:w="1778" w:type="pct"/>
            <w:gridSpan w:val="2"/>
            <w:vAlign w:val="center"/>
          </w:tcPr>
          <w:p w:rsidR="00EE56C0" w:rsidRDefault="000F36A1">
            <w:pPr>
              <w:pStyle w:val="afa"/>
            </w:pPr>
            <w:r>
              <w:t>900</w:t>
            </w:r>
            <w:r>
              <w:rPr>
                <w:rFonts w:hint="eastAsia"/>
              </w:rPr>
              <w:t>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t>四氯化碳</w:t>
            </w:r>
          </w:p>
        </w:tc>
        <w:tc>
          <w:tcPr>
            <w:tcW w:w="1778" w:type="pct"/>
            <w:gridSpan w:val="2"/>
            <w:vAlign w:val="center"/>
          </w:tcPr>
          <w:p w:rsidR="00EE56C0" w:rsidRDefault="000F36A1">
            <w:pPr>
              <w:pStyle w:val="afa"/>
            </w:pPr>
            <w:r>
              <w:t>2.8</w:t>
            </w:r>
            <w:r>
              <w:rPr>
                <w:rFonts w:hint="eastAsia"/>
              </w:rPr>
              <w:t>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t>氯仿</w:t>
            </w:r>
          </w:p>
        </w:tc>
        <w:tc>
          <w:tcPr>
            <w:tcW w:w="1778" w:type="pct"/>
            <w:gridSpan w:val="2"/>
            <w:vAlign w:val="center"/>
          </w:tcPr>
          <w:p w:rsidR="00EE56C0" w:rsidRDefault="000F36A1">
            <w:pPr>
              <w:pStyle w:val="afa"/>
            </w:pPr>
            <w:r>
              <w:t>0.9</w:t>
            </w:r>
            <w:r>
              <w:rPr>
                <w:rFonts w:hint="eastAsia"/>
              </w:rPr>
              <w:t>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t>氯甲烷</w:t>
            </w:r>
          </w:p>
        </w:tc>
        <w:tc>
          <w:tcPr>
            <w:tcW w:w="1778" w:type="pct"/>
            <w:gridSpan w:val="2"/>
            <w:vAlign w:val="center"/>
          </w:tcPr>
          <w:p w:rsidR="00EE56C0" w:rsidRDefault="000F36A1">
            <w:pPr>
              <w:pStyle w:val="afa"/>
            </w:pPr>
            <w:r>
              <w:t>37</w:t>
            </w:r>
            <w:r>
              <w:rPr>
                <w:rFonts w:hint="eastAsia"/>
              </w:rPr>
              <w:t>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t>1</w:t>
            </w:r>
            <w:r>
              <w:t>，</w:t>
            </w:r>
            <w:r>
              <w:t>1-</w:t>
            </w:r>
            <w:r>
              <w:t>二氯乙烷</w:t>
            </w:r>
          </w:p>
        </w:tc>
        <w:tc>
          <w:tcPr>
            <w:tcW w:w="1778" w:type="pct"/>
            <w:gridSpan w:val="2"/>
            <w:vAlign w:val="center"/>
          </w:tcPr>
          <w:p w:rsidR="00EE56C0" w:rsidRDefault="000F36A1">
            <w:pPr>
              <w:pStyle w:val="afa"/>
            </w:pPr>
            <w:r>
              <w:t>9</w:t>
            </w:r>
            <w:r>
              <w:rPr>
                <w:rFonts w:hint="eastAsia"/>
              </w:rPr>
              <w:t>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t>1</w:t>
            </w:r>
            <w:r>
              <w:t>，</w:t>
            </w:r>
            <w:r>
              <w:t>2-</w:t>
            </w:r>
            <w:r>
              <w:t>二氯乙烷</w:t>
            </w:r>
          </w:p>
        </w:tc>
        <w:tc>
          <w:tcPr>
            <w:tcW w:w="1778" w:type="pct"/>
            <w:gridSpan w:val="2"/>
            <w:vAlign w:val="center"/>
          </w:tcPr>
          <w:p w:rsidR="00EE56C0" w:rsidRDefault="000F36A1">
            <w:pPr>
              <w:pStyle w:val="afa"/>
            </w:pPr>
            <w:r>
              <w:t>5</w:t>
            </w:r>
            <w:r>
              <w:rPr>
                <w:rFonts w:hint="eastAsia"/>
              </w:rPr>
              <w:t>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t>1</w:t>
            </w:r>
            <w:r>
              <w:t>，</w:t>
            </w:r>
            <w:r>
              <w:t>1-</w:t>
            </w:r>
            <w:r>
              <w:t>二氯乙烯</w:t>
            </w:r>
          </w:p>
        </w:tc>
        <w:tc>
          <w:tcPr>
            <w:tcW w:w="1778" w:type="pct"/>
            <w:gridSpan w:val="2"/>
            <w:vAlign w:val="center"/>
          </w:tcPr>
          <w:p w:rsidR="00EE56C0" w:rsidRDefault="000F36A1">
            <w:pPr>
              <w:pStyle w:val="afa"/>
            </w:pPr>
            <w:r>
              <w:t>66</w:t>
            </w:r>
            <w:r>
              <w:rPr>
                <w:rFonts w:hint="eastAsia"/>
              </w:rPr>
              <w:t>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t>顺</w:t>
            </w:r>
            <w:r>
              <w:t>1</w:t>
            </w:r>
            <w:r>
              <w:t>，</w:t>
            </w:r>
            <w:r>
              <w:t>2-</w:t>
            </w:r>
            <w:r>
              <w:t>二氯乙烯</w:t>
            </w:r>
          </w:p>
        </w:tc>
        <w:tc>
          <w:tcPr>
            <w:tcW w:w="1778" w:type="pct"/>
            <w:gridSpan w:val="2"/>
            <w:vAlign w:val="center"/>
          </w:tcPr>
          <w:p w:rsidR="00EE56C0" w:rsidRDefault="000F36A1">
            <w:pPr>
              <w:pStyle w:val="afa"/>
            </w:pPr>
            <w:r>
              <w:t>596</w:t>
            </w:r>
            <w:r>
              <w:rPr>
                <w:rFonts w:hint="eastAsia"/>
              </w:rPr>
              <w:t>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t>反</w:t>
            </w:r>
            <w:r>
              <w:t>1</w:t>
            </w:r>
            <w:r>
              <w:t>，</w:t>
            </w:r>
            <w:r>
              <w:t>2-</w:t>
            </w:r>
            <w:r>
              <w:t>二氯乙烯</w:t>
            </w:r>
          </w:p>
        </w:tc>
        <w:tc>
          <w:tcPr>
            <w:tcW w:w="1778" w:type="pct"/>
            <w:gridSpan w:val="2"/>
            <w:vAlign w:val="center"/>
          </w:tcPr>
          <w:p w:rsidR="00EE56C0" w:rsidRDefault="000F36A1">
            <w:pPr>
              <w:pStyle w:val="afa"/>
            </w:pPr>
            <w:r>
              <w:t>54</w:t>
            </w:r>
            <w:r>
              <w:rPr>
                <w:rFonts w:hint="eastAsia"/>
              </w:rPr>
              <w:t>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t>二氯甲烷</w:t>
            </w:r>
          </w:p>
        </w:tc>
        <w:tc>
          <w:tcPr>
            <w:tcW w:w="1778" w:type="pct"/>
            <w:gridSpan w:val="2"/>
            <w:vAlign w:val="center"/>
          </w:tcPr>
          <w:p w:rsidR="00EE56C0" w:rsidRDefault="000F36A1">
            <w:pPr>
              <w:pStyle w:val="afa"/>
            </w:pPr>
            <w:r>
              <w:t>616</w:t>
            </w:r>
            <w:r>
              <w:rPr>
                <w:rFonts w:hint="eastAsia"/>
              </w:rPr>
              <w:t>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t>1</w:t>
            </w:r>
            <w:r>
              <w:t>，</w:t>
            </w:r>
            <w:r>
              <w:t>2-</w:t>
            </w:r>
            <w:r>
              <w:t>二氯丙烷</w:t>
            </w:r>
          </w:p>
        </w:tc>
        <w:tc>
          <w:tcPr>
            <w:tcW w:w="1778" w:type="pct"/>
            <w:gridSpan w:val="2"/>
            <w:vAlign w:val="center"/>
          </w:tcPr>
          <w:p w:rsidR="00EE56C0" w:rsidRDefault="000F36A1">
            <w:pPr>
              <w:pStyle w:val="afa"/>
            </w:pPr>
            <w:r>
              <w:t>5</w:t>
            </w:r>
            <w:r>
              <w:rPr>
                <w:rFonts w:hint="eastAsia"/>
              </w:rPr>
              <w:t>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t>1,1,1,2-</w:t>
            </w:r>
            <w:r>
              <w:t>四氯乙烷</w:t>
            </w:r>
          </w:p>
        </w:tc>
        <w:tc>
          <w:tcPr>
            <w:tcW w:w="1778" w:type="pct"/>
            <w:gridSpan w:val="2"/>
            <w:vAlign w:val="center"/>
          </w:tcPr>
          <w:p w:rsidR="00EE56C0" w:rsidRDefault="000F36A1">
            <w:pPr>
              <w:pStyle w:val="afa"/>
            </w:pPr>
            <w:r>
              <w:t>10</w:t>
            </w:r>
            <w:r>
              <w:rPr>
                <w:rFonts w:hint="eastAsia"/>
              </w:rPr>
              <w:t>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t>1,1,2,2-</w:t>
            </w:r>
            <w:r>
              <w:t>四氯乙烷</w:t>
            </w:r>
          </w:p>
        </w:tc>
        <w:tc>
          <w:tcPr>
            <w:tcW w:w="1778" w:type="pct"/>
            <w:gridSpan w:val="2"/>
            <w:vAlign w:val="center"/>
          </w:tcPr>
          <w:p w:rsidR="00EE56C0" w:rsidRDefault="000F36A1">
            <w:pPr>
              <w:pStyle w:val="afa"/>
            </w:pPr>
            <w:r>
              <w:t>6.8</w:t>
            </w:r>
            <w:r>
              <w:rPr>
                <w:rFonts w:hint="eastAsia"/>
              </w:rPr>
              <w:t>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t>四氯乙烯</w:t>
            </w:r>
          </w:p>
        </w:tc>
        <w:tc>
          <w:tcPr>
            <w:tcW w:w="1778" w:type="pct"/>
            <w:gridSpan w:val="2"/>
            <w:vAlign w:val="center"/>
          </w:tcPr>
          <w:p w:rsidR="00EE56C0" w:rsidRDefault="000F36A1">
            <w:pPr>
              <w:pStyle w:val="afa"/>
            </w:pPr>
            <w:r>
              <w:t>53</w:t>
            </w:r>
            <w:r>
              <w:rPr>
                <w:rFonts w:hint="eastAsia"/>
              </w:rPr>
              <w:t>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t>1,1,1-</w:t>
            </w:r>
            <w:r>
              <w:t>三氯乙烷</w:t>
            </w:r>
          </w:p>
        </w:tc>
        <w:tc>
          <w:tcPr>
            <w:tcW w:w="1778" w:type="pct"/>
            <w:gridSpan w:val="2"/>
            <w:vAlign w:val="center"/>
          </w:tcPr>
          <w:p w:rsidR="00EE56C0" w:rsidRDefault="000F36A1">
            <w:pPr>
              <w:pStyle w:val="afa"/>
            </w:pPr>
            <w:r>
              <w:t>840</w:t>
            </w:r>
            <w:r>
              <w:rPr>
                <w:rFonts w:hint="eastAsia"/>
              </w:rPr>
              <w:t>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t>1,1,2-</w:t>
            </w:r>
            <w:r>
              <w:t>三氯乙烷</w:t>
            </w:r>
          </w:p>
        </w:tc>
        <w:tc>
          <w:tcPr>
            <w:tcW w:w="1778" w:type="pct"/>
            <w:gridSpan w:val="2"/>
            <w:vAlign w:val="center"/>
          </w:tcPr>
          <w:p w:rsidR="00EE56C0" w:rsidRDefault="000F36A1">
            <w:pPr>
              <w:pStyle w:val="afa"/>
            </w:pPr>
            <w:r>
              <w:t>2.8</w:t>
            </w:r>
            <w:r>
              <w:rPr>
                <w:rFonts w:hint="eastAsia"/>
              </w:rPr>
              <w:t>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t>三氯乙烯</w:t>
            </w:r>
          </w:p>
        </w:tc>
        <w:tc>
          <w:tcPr>
            <w:tcW w:w="1778" w:type="pct"/>
            <w:gridSpan w:val="2"/>
            <w:vAlign w:val="center"/>
          </w:tcPr>
          <w:p w:rsidR="00EE56C0" w:rsidRDefault="000F36A1">
            <w:pPr>
              <w:pStyle w:val="afa"/>
            </w:pPr>
            <w:r>
              <w:t>2.8</w:t>
            </w:r>
            <w:r>
              <w:rPr>
                <w:rFonts w:hint="eastAsia"/>
              </w:rPr>
              <w:t>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t>1,2,3-</w:t>
            </w:r>
            <w:r>
              <w:t>三氯丙烷</w:t>
            </w:r>
          </w:p>
        </w:tc>
        <w:tc>
          <w:tcPr>
            <w:tcW w:w="1778" w:type="pct"/>
            <w:gridSpan w:val="2"/>
            <w:vAlign w:val="center"/>
          </w:tcPr>
          <w:p w:rsidR="00EE56C0" w:rsidRDefault="000F36A1">
            <w:pPr>
              <w:pStyle w:val="afa"/>
            </w:pPr>
            <w:r>
              <w:t>0.5</w:t>
            </w:r>
            <w:r>
              <w:rPr>
                <w:rFonts w:hint="eastAsia"/>
              </w:rPr>
              <w:t>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t>氯乙烯</w:t>
            </w:r>
          </w:p>
        </w:tc>
        <w:tc>
          <w:tcPr>
            <w:tcW w:w="1778" w:type="pct"/>
            <w:gridSpan w:val="2"/>
            <w:vAlign w:val="center"/>
          </w:tcPr>
          <w:p w:rsidR="00EE56C0" w:rsidRDefault="000F36A1">
            <w:pPr>
              <w:pStyle w:val="afa"/>
            </w:pPr>
            <w:r>
              <w:t>0.43</w:t>
            </w:r>
            <w:r>
              <w:rPr>
                <w:rFonts w:hint="eastAsia"/>
              </w:rPr>
              <w:t>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t>苯</w:t>
            </w:r>
          </w:p>
        </w:tc>
        <w:tc>
          <w:tcPr>
            <w:tcW w:w="1778" w:type="pct"/>
            <w:gridSpan w:val="2"/>
            <w:vAlign w:val="center"/>
          </w:tcPr>
          <w:p w:rsidR="00EE56C0" w:rsidRDefault="000F36A1">
            <w:pPr>
              <w:pStyle w:val="afa"/>
            </w:pPr>
            <w:r>
              <w:t>4</w:t>
            </w:r>
            <w:r>
              <w:rPr>
                <w:rFonts w:hint="eastAsia"/>
              </w:rPr>
              <w:t>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t>氯苯</w:t>
            </w:r>
          </w:p>
        </w:tc>
        <w:tc>
          <w:tcPr>
            <w:tcW w:w="1778" w:type="pct"/>
            <w:gridSpan w:val="2"/>
            <w:vAlign w:val="center"/>
          </w:tcPr>
          <w:p w:rsidR="00EE56C0" w:rsidRDefault="000F36A1">
            <w:pPr>
              <w:pStyle w:val="afa"/>
            </w:pPr>
            <w:r>
              <w:t>270</w:t>
            </w:r>
            <w:r>
              <w:rPr>
                <w:rFonts w:hint="eastAsia"/>
              </w:rPr>
              <w:t>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t>1,2-</w:t>
            </w:r>
            <w:r>
              <w:t>二氯苯</w:t>
            </w:r>
          </w:p>
        </w:tc>
        <w:tc>
          <w:tcPr>
            <w:tcW w:w="1778" w:type="pct"/>
            <w:gridSpan w:val="2"/>
            <w:vAlign w:val="center"/>
          </w:tcPr>
          <w:p w:rsidR="00EE56C0" w:rsidRDefault="000F36A1">
            <w:pPr>
              <w:pStyle w:val="afa"/>
            </w:pPr>
            <w:r>
              <w:t>560</w:t>
            </w:r>
            <w:r>
              <w:rPr>
                <w:rFonts w:hint="eastAsia"/>
              </w:rPr>
              <w:t>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t>1,4-</w:t>
            </w:r>
            <w:r>
              <w:t>二氯苯</w:t>
            </w:r>
          </w:p>
        </w:tc>
        <w:tc>
          <w:tcPr>
            <w:tcW w:w="1778" w:type="pct"/>
            <w:gridSpan w:val="2"/>
            <w:vAlign w:val="center"/>
          </w:tcPr>
          <w:p w:rsidR="00EE56C0" w:rsidRDefault="000F36A1">
            <w:pPr>
              <w:pStyle w:val="afa"/>
            </w:pPr>
            <w:r>
              <w:t>20</w:t>
            </w:r>
            <w:r>
              <w:rPr>
                <w:rFonts w:hint="eastAsia"/>
              </w:rPr>
              <w:t>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t>乙苯</w:t>
            </w:r>
          </w:p>
        </w:tc>
        <w:tc>
          <w:tcPr>
            <w:tcW w:w="1778" w:type="pct"/>
            <w:gridSpan w:val="2"/>
            <w:vAlign w:val="center"/>
          </w:tcPr>
          <w:p w:rsidR="00EE56C0" w:rsidRDefault="000F36A1">
            <w:pPr>
              <w:pStyle w:val="afa"/>
            </w:pPr>
            <w:r>
              <w:t>28</w:t>
            </w:r>
            <w:r>
              <w:rPr>
                <w:rFonts w:hint="eastAsia"/>
              </w:rPr>
              <w:t>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t>苯乙烯</w:t>
            </w:r>
          </w:p>
        </w:tc>
        <w:tc>
          <w:tcPr>
            <w:tcW w:w="1778" w:type="pct"/>
            <w:gridSpan w:val="2"/>
            <w:vAlign w:val="center"/>
          </w:tcPr>
          <w:p w:rsidR="00EE56C0" w:rsidRDefault="000F36A1">
            <w:pPr>
              <w:pStyle w:val="afa"/>
            </w:pPr>
            <w:r>
              <w:t>1290</w:t>
            </w:r>
            <w:r>
              <w:rPr>
                <w:rFonts w:hint="eastAsia"/>
              </w:rPr>
              <w:t>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t>甲苯</w:t>
            </w:r>
          </w:p>
        </w:tc>
        <w:tc>
          <w:tcPr>
            <w:tcW w:w="1778" w:type="pct"/>
            <w:gridSpan w:val="2"/>
            <w:vAlign w:val="center"/>
          </w:tcPr>
          <w:p w:rsidR="00EE56C0" w:rsidRDefault="000F36A1">
            <w:pPr>
              <w:pStyle w:val="afa"/>
            </w:pPr>
            <w:r>
              <w:t>1200</w:t>
            </w:r>
            <w:r>
              <w:rPr>
                <w:rFonts w:hint="eastAsia"/>
              </w:rPr>
              <w:t>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t>间二甲苯</w:t>
            </w:r>
            <w:r>
              <w:t>+</w:t>
            </w:r>
            <w:r>
              <w:t>对二甲苯</w:t>
            </w:r>
          </w:p>
        </w:tc>
        <w:tc>
          <w:tcPr>
            <w:tcW w:w="1778" w:type="pct"/>
            <w:gridSpan w:val="2"/>
            <w:vAlign w:val="center"/>
          </w:tcPr>
          <w:p w:rsidR="00EE56C0" w:rsidRDefault="000F36A1">
            <w:pPr>
              <w:pStyle w:val="afa"/>
            </w:pPr>
            <w:r>
              <w:t>570</w:t>
            </w:r>
            <w:r>
              <w:rPr>
                <w:rFonts w:hint="eastAsia"/>
              </w:rPr>
              <w:t>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t>邻二甲苯</w:t>
            </w:r>
          </w:p>
        </w:tc>
        <w:tc>
          <w:tcPr>
            <w:tcW w:w="1778" w:type="pct"/>
            <w:gridSpan w:val="2"/>
            <w:vAlign w:val="center"/>
          </w:tcPr>
          <w:p w:rsidR="00EE56C0" w:rsidRDefault="000F36A1">
            <w:pPr>
              <w:pStyle w:val="afa"/>
            </w:pPr>
            <w:r>
              <w:t>640</w:t>
            </w:r>
            <w:r>
              <w:rPr>
                <w:rFonts w:hint="eastAsia"/>
              </w:rPr>
              <w:t>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t>硝基苯</w:t>
            </w:r>
          </w:p>
        </w:tc>
        <w:tc>
          <w:tcPr>
            <w:tcW w:w="1778" w:type="pct"/>
            <w:gridSpan w:val="2"/>
            <w:vAlign w:val="center"/>
          </w:tcPr>
          <w:p w:rsidR="00EE56C0" w:rsidRDefault="000F36A1">
            <w:pPr>
              <w:pStyle w:val="afa"/>
            </w:pPr>
            <w:r>
              <w:t>76</w:t>
            </w:r>
            <w:r>
              <w:rPr>
                <w:rFonts w:hint="eastAsia"/>
              </w:rPr>
              <w:t>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t>苯胺</w:t>
            </w:r>
          </w:p>
        </w:tc>
        <w:tc>
          <w:tcPr>
            <w:tcW w:w="1778" w:type="pct"/>
            <w:gridSpan w:val="2"/>
            <w:vAlign w:val="center"/>
          </w:tcPr>
          <w:p w:rsidR="00EE56C0" w:rsidRDefault="000F36A1">
            <w:pPr>
              <w:pStyle w:val="afa"/>
            </w:pPr>
            <w:r>
              <w:t>260</w:t>
            </w:r>
            <w:r>
              <w:rPr>
                <w:rFonts w:hint="eastAsia"/>
              </w:rPr>
              <w:t>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t>2-</w:t>
            </w:r>
            <w:r>
              <w:t>氯酚</w:t>
            </w:r>
          </w:p>
        </w:tc>
        <w:tc>
          <w:tcPr>
            <w:tcW w:w="1778" w:type="pct"/>
            <w:gridSpan w:val="2"/>
            <w:vAlign w:val="center"/>
          </w:tcPr>
          <w:p w:rsidR="00EE56C0" w:rsidRDefault="000F36A1">
            <w:pPr>
              <w:pStyle w:val="afa"/>
            </w:pPr>
            <w:r>
              <w:t>2256</w:t>
            </w:r>
            <w:r>
              <w:rPr>
                <w:rFonts w:hint="eastAsia"/>
              </w:rPr>
              <w:t>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t>苯并</w:t>
            </w:r>
            <w:r>
              <w:t>[a]</w:t>
            </w:r>
            <w:r>
              <w:t>蒽</w:t>
            </w:r>
          </w:p>
        </w:tc>
        <w:tc>
          <w:tcPr>
            <w:tcW w:w="1778" w:type="pct"/>
            <w:gridSpan w:val="2"/>
            <w:vAlign w:val="center"/>
          </w:tcPr>
          <w:p w:rsidR="00EE56C0" w:rsidRDefault="000F36A1">
            <w:pPr>
              <w:pStyle w:val="afa"/>
            </w:pPr>
            <w:r>
              <w:t>15</w:t>
            </w:r>
            <w:r>
              <w:rPr>
                <w:rFonts w:hint="eastAsia"/>
              </w:rPr>
              <w:t>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t>苯并</w:t>
            </w:r>
            <w:r>
              <w:t>[a]</w:t>
            </w:r>
            <w:r>
              <w:t>芘</w:t>
            </w:r>
          </w:p>
        </w:tc>
        <w:tc>
          <w:tcPr>
            <w:tcW w:w="1778" w:type="pct"/>
            <w:gridSpan w:val="2"/>
            <w:vAlign w:val="center"/>
          </w:tcPr>
          <w:p w:rsidR="00EE56C0" w:rsidRDefault="000F36A1">
            <w:pPr>
              <w:pStyle w:val="afa"/>
            </w:pPr>
            <w:r>
              <w:t>1.5</w:t>
            </w:r>
            <w:r>
              <w:rPr>
                <w:rFonts w:hint="eastAsia"/>
              </w:rPr>
              <w:t>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t>苯并</w:t>
            </w:r>
            <w:r>
              <w:t>[b]</w:t>
            </w:r>
            <w:r>
              <w:t>荧蒽</w:t>
            </w:r>
          </w:p>
        </w:tc>
        <w:tc>
          <w:tcPr>
            <w:tcW w:w="1778" w:type="pct"/>
            <w:gridSpan w:val="2"/>
            <w:vAlign w:val="center"/>
          </w:tcPr>
          <w:p w:rsidR="00EE56C0" w:rsidRDefault="000F36A1">
            <w:pPr>
              <w:pStyle w:val="afa"/>
            </w:pPr>
            <w:r>
              <w:t>15</w:t>
            </w:r>
            <w:r>
              <w:rPr>
                <w:rFonts w:hint="eastAsia"/>
              </w:rPr>
              <w:t>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t>苯并</w:t>
            </w:r>
            <w:r>
              <w:t>[k]</w:t>
            </w:r>
            <w:r>
              <w:t>荧蒽</w:t>
            </w:r>
          </w:p>
        </w:tc>
        <w:tc>
          <w:tcPr>
            <w:tcW w:w="1778" w:type="pct"/>
            <w:gridSpan w:val="2"/>
            <w:vAlign w:val="center"/>
          </w:tcPr>
          <w:p w:rsidR="00EE56C0" w:rsidRDefault="000F36A1">
            <w:pPr>
              <w:pStyle w:val="afa"/>
            </w:pPr>
            <w:r>
              <w:t>151</w:t>
            </w:r>
            <w:r>
              <w:rPr>
                <w:rFonts w:hint="eastAsia"/>
              </w:rPr>
              <w:t>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t>崫</w:t>
            </w:r>
          </w:p>
        </w:tc>
        <w:tc>
          <w:tcPr>
            <w:tcW w:w="1778" w:type="pct"/>
            <w:gridSpan w:val="2"/>
            <w:vAlign w:val="center"/>
          </w:tcPr>
          <w:p w:rsidR="00EE56C0" w:rsidRDefault="000F36A1">
            <w:pPr>
              <w:pStyle w:val="afa"/>
            </w:pPr>
            <w:r>
              <w:t>1293</w:t>
            </w:r>
            <w:r>
              <w:rPr>
                <w:rFonts w:hint="eastAsia"/>
              </w:rPr>
              <w:t>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t>二苯并</w:t>
            </w:r>
            <w:r>
              <w:t>[a,h]</w:t>
            </w:r>
            <w:r>
              <w:t>蒽</w:t>
            </w:r>
          </w:p>
        </w:tc>
        <w:tc>
          <w:tcPr>
            <w:tcW w:w="1778" w:type="pct"/>
            <w:gridSpan w:val="2"/>
            <w:vAlign w:val="center"/>
          </w:tcPr>
          <w:p w:rsidR="00EE56C0" w:rsidRDefault="000F36A1">
            <w:pPr>
              <w:pStyle w:val="afa"/>
            </w:pPr>
            <w:r>
              <w:t>1.5</w:t>
            </w:r>
            <w:r>
              <w:rPr>
                <w:rFonts w:hint="eastAsia"/>
              </w:rPr>
              <w:t>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t>茚并</w:t>
            </w:r>
            <w:r>
              <w:t>[1,2,3-cd]</w:t>
            </w:r>
            <w:r>
              <w:t>芘</w:t>
            </w:r>
          </w:p>
        </w:tc>
        <w:tc>
          <w:tcPr>
            <w:tcW w:w="1778" w:type="pct"/>
            <w:gridSpan w:val="2"/>
            <w:vAlign w:val="center"/>
          </w:tcPr>
          <w:p w:rsidR="00EE56C0" w:rsidRDefault="000F36A1">
            <w:pPr>
              <w:pStyle w:val="afa"/>
            </w:pPr>
            <w:r>
              <w:t>15</w:t>
            </w:r>
            <w:r>
              <w:rPr>
                <w:rFonts w:hint="eastAsia"/>
              </w:rPr>
              <w:t>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t>萘</w:t>
            </w:r>
          </w:p>
        </w:tc>
        <w:tc>
          <w:tcPr>
            <w:tcW w:w="1778" w:type="pct"/>
            <w:gridSpan w:val="2"/>
            <w:vAlign w:val="center"/>
          </w:tcPr>
          <w:p w:rsidR="00EE56C0" w:rsidRDefault="000F36A1">
            <w:pPr>
              <w:pStyle w:val="afa"/>
            </w:pPr>
            <w:r>
              <w:t>70</w:t>
            </w:r>
            <w:r>
              <w:rPr>
                <w:rFonts w:hint="eastAsia"/>
              </w:rPr>
              <w:t>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rPr>
                <w:rFonts w:hint="eastAsia"/>
              </w:rPr>
              <w:t>石油烃</w:t>
            </w:r>
          </w:p>
        </w:tc>
        <w:tc>
          <w:tcPr>
            <w:tcW w:w="1778" w:type="pct"/>
            <w:gridSpan w:val="2"/>
            <w:vAlign w:val="center"/>
          </w:tcPr>
          <w:p w:rsidR="00EE56C0" w:rsidRDefault="000F36A1">
            <w:pPr>
              <w:pStyle w:val="afa"/>
            </w:pPr>
            <w:r>
              <w:rPr>
                <w:rFonts w:hint="eastAsia"/>
              </w:rPr>
              <w:t>4500mg/kg</w:t>
            </w:r>
          </w:p>
        </w:tc>
      </w:tr>
      <w:tr w:rsidR="00EE56C0">
        <w:trPr>
          <w:cantSplit/>
          <w:trHeight w:val="454"/>
          <w:jc w:val="center"/>
        </w:trPr>
        <w:tc>
          <w:tcPr>
            <w:tcW w:w="773" w:type="pct"/>
            <w:vMerge/>
            <w:vAlign w:val="center"/>
          </w:tcPr>
          <w:p w:rsidR="00EE56C0" w:rsidRDefault="00EE56C0">
            <w:pPr>
              <w:pStyle w:val="afa"/>
            </w:pPr>
          </w:p>
        </w:tc>
        <w:tc>
          <w:tcPr>
            <w:tcW w:w="1543" w:type="pct"/>
            <w:vMerge w:val="restart"/>
            <w:vAlign w:val="center"/>
          </w:tcPr>
          <w:p w:rsidR="00EE56C0" w:rsidRDefault="000F36A1">
            <w:pPr>
              <w:pStyle w:val="afa"/>
            </w:pPr>
            <w:r>
              <w:rPr>
                <w:rFonts w:hint="eastAsia"/>
              </w:rPr>
              <w:t>《土壤环境质量</w:t>
            </w:r>
            <w:r>
              <w:rPr>
                <w:rFonts w:hint="eastAsia"/>
              </w:rPr>
              <w:t>-</w:t>
            </w:r>
            <w:r>
              <w:rPr>
                <w:rFonts w:hint="eastAsia"/>
              </w:rPr>
              <w:t>农用地土壤污染风险管控标准（试行）》（</w:t>
            </w:r>
            <w:r>
              <w:rPr>
                <w:rFonts w:hint="eastAsia"/>
              </w:rPr>
              <w:t>GB15618-2018</w:t>
            </w:r>
            <w:r>
              <w:rPr>
                <w:rFonts w:hint="eastAsia"/>
              </w:rPr>
              <w:t>）表</w:t>
            </w:r>
            <w:r>
              <w:rPr>
                <w:rFonts w:hint="eastAsia"/>
              </w:rPr>
              <w:t xml:space="preserve">1 </w:t>
            </w:r>
          </w:p>
        </w:tc>
        <w:tc>
          <w:tcPr>
            <w:tcW w:w="906" w:type="pct"/>
            <w:vAlign w:val="center"/>
          </w:tcPr>
          <w:p w:rsidR="00EE56C0" w:rsidRDefault="000F36A1">
            <w:pPr>
              <w:pStyle w:val="afa"/>
            </w:pPr>
            <w:r>
              <w:rPr>
                <w:rFonts w:hint="eastAsia"/>
              </w:rPr>
              <w:t>砷</w:t>
            </w:r>
          </w:p>
        </w:tc>
        <w:tc>
          <w:tcPr>
            <w:tcW w:w="1778" w:type="pct"/>
            <w:gridSpan w:val="2"/>
            <w:vAlign w:val="center"/>
          </w:tcPr>
          <w:p w:rsidR="00EE56C0" w:rsidRDefault="000F36A1">
            <w:pPr>
              <w:pStyle w:val="afa"/>
            </w:pPr>
            <w:r>
              <w:rPr>
                <w:rFonts w:hint="eastAsia"/>
              </w:rPr>
              <w:t>30mg/kg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rPr>
                <w:rFonts w:hint="eastAsia"/>
              </w:rPr>
              <w:t>镉</w:t>
            </w:r>
          </w:p>
        </w:tc>
        <w:tc>
          <w:tcPr>
            <w:tcW w:w="1778" w:type="pct"/>
            <w:gridSpan w:val="2"/>
            <w:vAlign w:val="center"/>
          </w:tcPr>
          <w:p w:rsidR="00EE56C0" w:rsidRDefault="000F36A1">
            <w:pPr>
              <w:pStyle w:val="afa"/>
            </w:pPr>
            <w:r>
              <w:rPr>
                <w:rFonts w:hint="eastAsia"/>
              </w:rPr>
              <w:t>0.3mg/kg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rPr>
                <w:rFonts w:hint="eastAsia"/>
              </w:rPr>
              <w:t>铬</w:t>
            </w:r>
          </w:p>
        </w:tc>
        <w:tc>
          <w:tcPr>
            <w:tcW w:w="1778" w:type="pct"/>
            <w:gridSpan w:val="2"/>
            <w:vAlign w:val="center"/>
          </w:tcPr>
          <w:p w:rsidR="00EE56C0" w:rsidRDefault="000F36A1">
            <w:pPr>
              <w:pStyle w:val="afa"/>
            </w:pPr>
            <w:r>
              <w:rPr>
                <w:rFonts w:hint="eastAsia"/>
              </w:rPr>
              <w:t>200mg/kg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rPr>
                <w:rFonts w:hint="eastAsia"/>
              </w:rPr>
              <w:t>铜</w:t>
            </w:r>
          </w:p>
        </w:tc>
        <w:tc>
          <w:tcPr>
            <w:tcW w:w="1778" w:type="pct"/>
            <w:gridSpan w:val="2"/>
            <w:vAlign w:val="center"/>
          </w:tcPr>
          <w:p w:rsidR="00EE56C0" w:rsidRDefault="000F36A1">
            <w:pPr>
              <w:pStyle w:val="afa"/>
            </w:pPr>
            <w:r>
              <w:rPr>
                <w:rFonts w:hint="eastAsia"/>
              </w:rPr>
              <w:t>100mg/kg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rPr>
                <w:rFonts w:hint="eastAsia"/>
              </w:rPr>
              <w:t>铅</w:t>
            </w:r>
          </w:p>
        </w:tc>
        <w:tc>
          <w:tcPr>
            <w:tcW w:w="1778" w:type="pct"/>
            <w:gridSpan w:val="2"/>
            <w:vAlign w:val="center"/>
          </w:tcPr>
          <w:p w:rsidR="00EE56C0" w:rsidRDefault="000F36A1">
            <w:pPr>
              <w:pStyle w:val="afa"/>
            </w:pPr>
            <w:r>
              <w:rPr>
                <w:rFonts w:hint="eastAsia"/>
              </w:rPr>
              <w:t>120mg/kg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rPr>
                <w:rFonts w:hint="eastAsia"/>
              </w:rPr>
              <w:t>汞</w:t>
            </w:r>
          </w:p>
        </w:tc>
        <w:tc>
          <w:tcPr>
            <w:tcW w:w="1778" w:type="pct"/>
            <w:gridSpan w:val="2"/>
            <w:vAlign w:val="center"/>
          </w:tcPr>
          <w:p w:rsidR="00EE56C0" w:rsidRDefault="000F36A1">
            <w:pPr>
              <w:pStyle w:val="afa"/>
            </w:pPr>
            <w:r>
              <w:rPr>
                <w:rFonts w:hint="eastAsia"/>
              </w:rPr>
              <w:t>2.4mg/kg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rPr>
                <w:rFonts w:hint="eastAsia"/>
              </w:rPr>
              <w:t>镍</w:t>
            </w:r>
          </w:p>
        </w:tc>
        <w:tc>
          <w:tcPr>
            <w:tcW w:w="1778" w:type="pct"/>
            <w:gridSpan w:val="2"/>
            <w:vAlign w:val="center"/>
          </w:tcPr>
          <w:p w:rsidR="00EE56C0" w:rsidRDefault="000F36A1">
            <w:pPr>
              <w:pStyle w:val="afa"/>
            </w:pPr>
            <w:r>
              <w:rPr>
                <w:rFonts w:hint="eastAsia"/>
              </w:rPr>
              <w:t>100mg/kg</w:t>
            </w:r>
          </w:p>
        </w:tc>
      </w:tr>
      <w:tr w:rsidR="00EE56C0">
        <w:trPr>
          <w:cantSplit/>
          <w:trHeight w:val="454"/>
          <w:jc w:val="center"/>
        </w:trPr>
        <w:tc>
          <w:tcPr>
            <w:tcW w:w="773" w:type="pct"/>
            <w:vMerge/>
            <w:vAlign w:val="center"/>
          </w:tcPr>
          <w:p w:rsidR="00EE56C0" w:rsidRDefault="00EE56C0">
            <w:pPr>
              <w:pStyle w:val="afa"/>
            </w:pPr>
          </w:p>
        </w:tc>
        <w:tc>
          <w:tcPr>
            <w:tcW w:w="1543" w:type="pct"/>
            <w:vMerge/>
            <w:vAlign w:val="center"/>
          </w:tcPr>
          <w:p w:rsidR="00EE56C0" w:rsidRDefault="00EE56C0">
            <w:pPr>
              <w:pStyle w:val="afa"/>
            </w:pPr>
          </w:p>
        </w:tc>
        <w:tc>
          <w:tcPr>
            <w:tcW w:w="906" w:type="pct"/>
            <w:vAlign w:val="center"/>
          </w:tcPr>
          <w:p w:rsidR="00EE56C0" w:rsidRDefault="000F36A1">
            <w:pPr>
              <w:pStyle w:val="afa"/>
            </w:pPr>
            <w:r>
              <w:rPr>
                <w:rFonts w:hint="eastAsia"/>
              </w:rPr>
              <w:t>锌</w:t>
            </w:r>
          </w:p>
        </w:tc>
        <w:tc>
          <w:tcPr>
            <w:tcW w:w="1778" w:type="pct"/>
            <w:gridSpan w:val="2"/>
            <w:vAlign w:val="center"/>
          </w:tcPr>
          <w:p w:rsidR="00EE56C0" w:rsidRDefault="000F36A1">
            <w:pPr>
              <w:pStyle w:val="afa"/>
            </w:pPr>
            <w:r>
              <w:rPr>
                <w:rFonts w:hint="eastAsia"/>
              </w:rPr>
              <w:t>250mg/kg</w:t>
            </w:r>
          </w:p>
        </w:tc>
      </w:tr>
    </w:tbl>
    <w:p w:rsidR="00EE56C0" w:rsidRDefault="000F36A1">
      <w:pPr>
        <w:pStyle w:val="3"/>
        <w:spacing w:before="240" w:after="120"/>
      </w:pPr>
      <w:bookmarkStart w:id="114" w:name="_Toc428287191"/>
      <w:bookmarkStart w:id="115" w:name="_Toc429318393"/>
      <w:bookmarkStart w:id="116" w:name="_Toc428286797"/>
      <w:r>
        <w:rPr>
          <w:rFonts w:hint="eastAsia"/>
        </w:rPr>
        <w:t>2.8.2</w:t>
      </w:r>
      <w:r>
        <w:rPr>
          <w:rFonts w:hint="eastAsia"/>
        </w:rPr>
        <w:t>污染物排放标准</w:t>
      </w:r>
    </w:p>
    <w:p w:rsidR="00EE56C0" w:rsidRDefault="000F36A1">
      <w:pPr>
        <w:ind w:firstLine="480"/>
      </w:pPr>
      <w:r>
        <w:rPr>
          <w:rFonts w:hint="eastAsia"/>
        </w:rPr>
        <w:t>本次评价污染物排放标准标准执行以下标准。</w:t>
      </w:r>
    </w:p>
    <w:p w:rsidR="00EE56C0" w:rsidRDefault="00EE56C0">
      <w:pPr>
        <w:pStyle w:val="afd"/>
        <w:spacing w:before="120" w:after="120"/>
        <w:ind w:firstLine="482"/>
      </w:pPr>
    </w:p>
    <w:p w:rsidR="00EE56C0" w:rsidRDefault="00EE56C0">
      <w:pPr>
        <w:pStyle w:val="afd"/>
        <w:spacing w:before="120" w:after="120"/>
        <w:ind w:firstLine="482"/>
      </w:pPr>
    </w:p>
    <w:p w:rsidR="00EE56C0" w:rsidRDefault="00EE56C0">
      <w:pPr>
        <w:pStyle w:val="afd"/>
        <w:spacing w:before="120" w:after="120"/>
        <w:ind w:firstLine="482"/>
      </w:pPr>
    </w:p>
    <w:p w:rsidR="00EE56C0" w:rsidRDefault="00EE56C0">
      <w:pPr>
        <w:pStyle w:val="afd"/>
        <w:spacing w:before="120" w:after="120"/>
        <w:ind w:firstLine="482"/>
      </w:pPr>
    </w:p>
    <w:p w:rsidR="00EE56C0" w:rsidRDefault="000F36A1">
      <w:pPr>
        <w:pStyle w:val="afd"/>
        <w:spacing w:before="120" w:after="120"/>
        <w:ind w:firstLine="482"/>
      </w:pPr>
      <w:r>
        <w:lastRenderedPageBreak/>
        <w:t>表</w:t>
      </w:r>
      <w:r>
        <w:rPr>
          <w:rFonts w:hint="eastAsia"/>
        </w:rPr>
        <w:t>2</w:t>
      </w:r>
      <w:r>
        <w:noBreakHyphen/>
      </w:r>
      <w:r>
        <w:rPr>
          <w:rFonts w:hint="eastAsia"/>
        </w:rPr>
        <w:t>12</w:t>
      </w:r>
      <w:r>
        <w:t xml:space="preserve">           </w:t>
      </w:r>
      <w:r>
        <w:t>污染物排放执行标准一览表</w:t>
      </w:r>
    </w:p>
    <w:tbl>
      <w:tblPr>
        <w:tblW w:w="5000" w:type="pct"/>
        <w:jc w:val="center"/>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ook w:val="04A0"/>
      </w:tblPr>
      <w:tblGrid>
        <w:gridCol w:w="900"/>
        <w:gridCol w:w="2130"/>
        <w:gridCol w:w="954"/>
        <w:gridCol w:w="1510"/>
        <w:gridCol w:w="1252"/>
        <w:gridCol w:w="1680"/>
      </w:tblGrid>
      <w:tr w:rsidR="00EE56C0">
        <w:trPr>
          <w:cantSplit/>
          <w:trHeight w:val="397"/>
          <w:tblHeader/>
          <w:jc w:val="center"/>
        </w:trPr>
        <w:tc>
          <w:tcPr>
            <w:tcW w:w="534" w:type="pct"/>
            <w:tcMar>
              <w:top w:w="11" w:type="dxa"/>
              <w:left w:w="57" w:type="dxa"/>
              <w:bottom w:w="11" w:type="dxa"/>
              <w:right w:w="57" w:type="dxa"/>
            </w:tcMar>
            <w:vAlign w:val="center"/>
          </w:tcPr>
          <w:p w:rsidR="00EE56C0" w:rsidRDefault="000F36A1">
            <w:pPr>
              <w:pStyle w:val="aff1"/>
              <w:rPr>
                <w:color w:val="auto"/>
              </w:rPr>
            </w:pPr>
            <w:r>
              <w:rPr>
                <w:color w:val="auto"/>
              </w:rPr>
              <w:t>污染</w:t>
            </w:r>
          </w:p>
          <w:p w:rsidR="00EE56C0" w:rsidRDefault="000F36A1">
            <w:pPr>
              <w:pStyle w:val="aff1"/>
              <w:rPr>
                <w:color w:val="auto"/>
              </w:rPr>
            </w:pPr>
            <w:r>
              <w:rPr>
                <w:color w:val="auto"/>
              </w:rPr>
              <w:t>类别</w:t>
            </w:r>
          </w:p>
        </w:tc>
        <w:tc>
          <w:tcPr>
            <w:tcW w:w="1264" w:type="pct"/>
            <w:tcMar>
              <w:top w:w="11" w:type="dxa"/>
              <w:left w:w="57" w:type="dxa"/>
              <w:bottom w:w="11" w:type="dxa"/>
              <w:right w:w="57" w:type="dxa"/>
            </w:tcMar>
            <w:vAlign w:val="center"/>
          </w:tcPr>
          <w:p w:rsidR="00EE56C0" w:rsidRDefault="000F36A1">
            <w:pPr>
              <w:pStyle w:val="aff1"/>
              <w:rPr>
                <w:color w:val="auto"/>
              </w:rPr>
            </w:pPr>
            <w:r>
              <w:rPr>
                <w:color w:val="auto"/>
              </w:rPr>
              <w:t>执行标准</w:t>
            </w:r>
          </w:p>
        </w:tc>
        <w:tc>
          <w:tcPr>
            <w:tcW w:w="566" w:type="pct"/>
            <w:tcMar>
              <w:top w:w="11" w:type="dxa"/>
              <w:left w:w="57" w:type="dxa"/>
              <w:bottom w:w="11" w:type="dxa"/>
              <w:right w:w="57" w:type="dxa"/>
            </w:tcMar>
            <w:vAlign w:val="center"/>
          </w:tcPr>
          <w:p w:rsidR="00EE56C0" w:rsidRDefault="000F36A1">
            <w:pPr>
              <w:pStyle w:val="aff1"/>
              <w:rPr>
                <w:color w:val="auto"/>
              </w:rPr>
            </w:pPr>
            <w:r>
              <w:rPr>
                <w:color w:val="auto"/>
              </w:rPr>
              <w:t>级</w:t>
            </w:r>
            <w:r>
              <w:rPr>
                <w:color w:val="auto"/>
              </w:rPr>
              <w:t>(</w:t>
            </w:r>
            <w:r>
              <w:rPr>
                <w:color w:val="auto"/>
              </w:rPr>
              <w:t>类</w:t>
            </w:r>
            <w:r>
              <w:rPr>
                <w:color w:val="auto"/>
              </w:rPr>
              <w:t>)</w:t>
            </w:r>
            <w:r>
              <w:rPr>
                <w:color w:val="auto"/>
              </w:rPr>
              <w:t>别</w:t>
            </w:r>
          </w:p>
        </w:tc>
        <w:tc>
          <w:tcPr>
            <w:tcW w:w="896" w:type="pct"/>
            <w:tcMar>
              <w:top w:w="11" w:type="dxa"/>
              <w:left w:w="57" w:type="dxa"/>
              <w:bottom w:w="11" w:type="dxa"/>
              <w:right w:w="57" w:type="dxa"/>
            </w:tcMar>
            <w:vAlign w:val="center"/>
          </w:tcPr>
          <w:p w:rsidR="00EE56C0" w:rsidRDefault="000F36A1">
            <w:pPr>
              <w:pStyle w:val="aff1"/>
              <w:rPr>
                <w:color w:val="auto"/>
              </w:rPr>
            </w:pPr>
            <w:r>
              <w:rPr>
                <w:color w:val="auto"/>
              </w:rPr>
              <w:t>污染因子</w:t>
            </w:r>
          </w:p>
        </w:tc>
        <w:tc>
          <w:tcPr>
            <w:tcW w:w="1740" w:type="pct"/>
            <w:gridSpan w:val="2"/>
            <w:tcMar>
              <w:top w:w="11" w:type="dxa"/>
              <w:left w:w="57" w:type="dxa"/>
              <w:bottom w:w="11" w:type="dxa"/>
              <w:right w:w="57" w:type="dxa"/>
            </w:tcMar>
            <w:vAlign w:val="center"/>
          </w:tcPr>
          <w:p w:rsidR="00EE56C0" w:rsidRDefault="000F36A1">
            <w:pPr>
              <w:pStyle w:val="aff1"/>
              <w:rPr>
                <w:color w:val="auto"/>
              </w:rPr>
            </w:pPr>
            <w:r>
              <w:rPr>
                <w:color w:val="auto"/>
              </w:rPr>
              <w:t>标准</w:t>
            </w:r>
            <w:r>
              <w:rPr>
                <w:rFonts w:hint="eastAsia"/>
                <w:color w:val="auto"/>
              </w:rPr>
              <w:t>限</w:t>
            </w:r>
            <w:r>
              <w:rPr>
                <w:color w:val="auto"/>
              </w:rPr>
              <w:t>值</w:t>
            </w:r>
          </w:p>
        </w:tc>
      </w:tr>
      <w:tr w:rsidR="00EE56C0">
        <w:trPr>
          <w:cantSplit/>
          <w:trHeight w:val="397"/>
          <w:jc w:val="center"/>
        </w:trPr>
        <w:tc>
          <w:tcPr>
            <w:tcW w:w="534" w:type="pct"/>
            <w:vMerge w:val="restart"/>
            <w:tcBorders>
              <w:top w:val="single" w:sz="4" w:space="0" w:color="auto"/>
            </w:tcBorders>
            <w:tcMar>
              <w:top w:w="11" w:type="dxa"/>
              <w:left w:w="57" w:type="dxa"/>
              <w:bottom w:w="11" w:type="dxa"/>
              <w:right w:w="57" w:type="dxa"/>
            </w:tcMar>
            <w:vAlign w:val="center"/>
          </w:tcPr>
          <w:p w:rsidR="00EE56C0" w:rsidRDefault="000F36A1">
            <w:pPr>
              <w:pStyle w:val="afa"/>
            </w:pPr>
            <w:r>
              <w:t>大气污染物</w:t>
            </w:r>
          </w:p>
        </w:tc>
        <w:tc>
          <w:tcPr>
            <w:tcW w:w="1264" w:type="pct"/>
            <w:vMerge w:val="restart"/>
            <w:tcMar>
              <w:top w:w="11" w:type="dxa"/>
              <w:left w:w="57" w:type="dxa"/>
              <w:bottom w:w="11" w:type="dxa"/>
              <w:right w:w="57" w:type="dxa"/>
            </w:tcMar>
            <w:vAlign w:val="center"/>
          </w:tcPr>
          <w:p w:rsidR="00EE56C0" w:rsidRDefault="000F36A1">
            <w:pPr>
              <w:pStyle w:val="afa"/>
            </w:pPr>
            <w:r>
              <w:t>《大气污染物综合排放标准》（</w:t>
            </w:r>
            <w:r>
              <w:t>GB16297-1996</w:t>
            </w:r>
            <w:r>
              <w:t>）</w:t>
            </w:r>
          </w:p>
        </w:tc>
        <w:tc>
          <w:tcPr>
            <w:tcW w:w="566" w:type="pct"/>
            <w:vMerge w:val="restart"/>
            <w:tcMar>
              <w:top w:w="11" w:type="dxa"/>
              <w:left w:w="57" w:type="dxa"/>
              <w:bottom w:w="11" w:type="dxa"/>
              <w:right w:w="57" w:type="dxa"/>
            </w:tcMar>
            <w:vAlign w:val="center"/>
          </w:tcPr>
          <w:p w:rsidR="00EE56C0" w:rsidRDefault="000F36A1">
            <w:pPr>
              <w:pStyle w:val="afa"/>
            </w:pPr>
            <w:r>
              <w:t>表</w:t>
            </w:r>
            <w:r>
              <w:t>2</w:t>
            </w:r>
          </w:p>
        </w:tc>
        <w:tc>
          <w:tcPr>
            <w:tcW w:w="896" w:type="pct"/>
            <w:vMerge w:val="restart"/>
            <w:tcMar>
              <w:top w:w="11" w:type="dxa"/>
              <w:left w:w="57" w:type="dxa"/>
              <w:bottom w:w="11" w:type="dxa"/>
              <w:right w:w="57" w:type="dxa"/>
            </w:tcMar>
            <w:vAlign w:val="center"/>
          </w:tcPr>
          <w:p w:rsidR="00EE56C0" w:rsidRDefault="000F36A1">
            <w:pPr>
              <w:pStyle w:val="afa"/>
            </w:pPr>
            <w:r>
              <w:rPr>
                <w:rFonts w:hint="eastAsia"/>
              </w:rPr>
              <w:t>酚</w:t>
            </w:r>
          </w:p>
        </w:tc>
        <w:tc>
          <w:tcPr>
            <w:tcW w:w="743" w:type="pct"/>
            <w:tcBorders>
              <w:right w:val="single" w:sz="4" w:space="0" w:color="auto"/>
            </w:tcBorders>
            <w:tcMar>
              <w:top w:w="11" w:type="dxa"/>
              <w:left w:w="57" w:type="dxa"/>
              <w:bottom w:w="11" w:type="dxa"/>
              <w:right w:w="57" w:type="dxa"/>
            </w:tcMar>
            <w:vAlign w:val="center"/>
          </w:tcPr>
          <w:p w:rsidR="00EE56C0" w:rsidRDefault="000F36A1">
            <w:pPr>
              <w:pStyle w:val="afa"/>
            </w:pPr>
            <w:r>
              <w:t>有组织</w:t>
            </w:r>
          </w:p>
          <w:p w:rsidR="00EE56C0" w:rsidRDefault="000F36A1">
            <w:pPr>
              <w:pStyle w:val="afa"/>
            </w:pPr>
            <w:r>
              <w:rPr>
                <w:bCs/>
                <w:iCs/>
                <w:lang w:val="zh-CN"/>
              </w:rPr>
              <w:t>（</w:t>
            </w:r>
            <w:r>
              <w:rPr>
                <w:bCs/>
                <w:iCs/>
              </w:rPr>
              <w:t>15m</w:t>
            </w:r>
            <w:r>
              <w:rPr>
                <w:bCs/>
                <w:iCs/>
              </w:rPr>
              <w:t>高排气筒</w:t>
            </w:r>
            <w:r>
              <w:rPr>
                <w:bCs/>
                <w:iCs/>
                <w:lang w:val="zh-CN"/>
              </w:rPr>
              <w:t>）</w:t>
            </w:r>
          </w:p>
        </w:tc>
        <w:tc>
          <w:tcPr>
            <w:tcW w:w="997" w:type="pct"/>
            <w:tcBorders>
              <w:left w:val="single" w:sz="4" w:space="0" w:color="auto"/>
            </w:tcBorders>
            <w:vAlign w:val="center"/>
          </w:tcPr>
          <w:p w:rsidR="00EE56C0" w:rsidRDefault="000F36A1">
            <w:pPr>
              <w:pStyle w:val="afa"/>
            </w:pPr>
            <w:r>
              <w:t>100mg/m</w:t>
            </w:r>
            <w:r>
              <w:rPr>
                <w:vertAlign w:val="superscript"/>
              </w:rPr>
              <w:t>3</w:t>
            </w:r>
            <w:r>
              <w:t>、</w:t>
            </w:r>
          </w:p>
          <w:p w:rsidR="00EE56C0" w:rsidRDefault="000F36A1">
            <w:pPr>
              <w:pStyle w:val="afa"/>
            </w:pPr>
            <w:r>
              <w:t>0.1kg/h</w:t>
            </w:r>
          </w:p>
        </w:tc>
      </w:tr>
      <w:tr w:rsidR="00EE56C0">
        <w:trPr>
          <w:cantSplit/>
          <w:trHeight w:val="397"/>
          <w:jc w:val="center"/>
        </w:trPr>
        <w:tc>
          <w:tcPr>
            <w:tcW w:w="534" w:type="pct"/>
            <w:vMerge/>
            <w:tcMar>
              <w:top w:w="11" w:type="dxa"/>
              <w:left w:w="57" w:type="dxa"/>
              <w:bottom w:w="11" w:type="dxa"/>
              <w:right w:w="57" w:type="dxa"/>
            </w:tcMar>
            <w:vAlign w:val="center"/>
          </w:tcPr>
          <w:p w:rsidR="00EE56C0" w:rsidRDefault="00EE56C0">
            <w:pPr>
              <w:pStyle w:val="afa"/>
            </w:pPr>
          </w:p>
        </w:tc>
        <w:tc>
          <w:tcPr>
            <w:tcW w:w="1264" w:type="pct"/>
            <w:vMerge/>
            <w:tcBorders>
              <w:bottom w:val="single" w:sz="4" w:space="0" w:color="auto"/>
            </w:tcBorders>
            <w:tcMar>
              <w:top w:w="11" w:type="dxa"/>
              <w:left w:w="57" w:type="dxa"/>
              <w:bottom w:w="11" w:type="dxa"/>
              <w:right w:w="57" w:type="dxa"/>
            </w:tcMar>
            <w:vAlign w:val="center"/>
          </w:tcPr>
          <w:p w:rsidR="00EE56C0" w:rsidRDefault="00EE56C0">
            <w:pPr>
              <w:pStyle w:val="afa"/>
              <w:rPr>
                <w:rFonts w:hAnsi="宋体"/>
              </w:rPr>
            </w:pPr>
          </w:p>
        </w:tc>
        <w:tc>
          <w:tcPr>
            <w:tcW w:w="566" w:type="pct"/>
            <w:vMerge/>
            <w:tcBorders>
              <w:bottom w:val="single" w:sz="4" w:space="0" w:color="auto"/>
            </w:tcBorders>
            <w:tcMar>
              <w:top w:w="11" w:type="dxa"/>
              <w:left w:w="57" w:type="dxa"/>
              <w:bottom w:w="11" w:type="dxa"/>
              <w:right w:w="57" w:type="dxa"/>
            </w:tcMar>
            <w:vAlign w:val="center"/>
          </w:tcPr>
          <w:p w:rsidR="00EE56C0" w:rsidRDefault="00EE56C0">
            <w:pPr>
              <w:pStyle w:val="afa"/>
              <w:rPr>
                <w:rFonts w:hAnsi="宋体"/>
              </w:rPr>
            </w:pPr>
          </w:p>
        </w:tc>
        <w:tc>
          <w:tcPr>
            <w:tcW w:w="896" w:type="pct"/>
            <w:vMerge/>
            <w:tcMar>
              <w:top w:w="11" w:type="dxa"/>
              <w:left w:w="57" w:type="dxa"/>
              <w:bottom w:w="11" w:type="dxa"/>
              <w:right w:w="57" w:type="dxa"/>
            </w:tcMar>
            <w:vAlign w:val="center"/>
          </w:tcPr>
          <w:p w:rsidR="00EE56C0" w:rsidRDefault="00EE56C0">
            <w:pPr>
              <w:pStyle w:val="afa"/>
            </w:pPr>
          </w:p>
        </w:tc>
        <w:tc>
          <w:tcPr>
            <w:tcW w:w="743" w:type="pct"/>
            <w:tcBorders>
              <w:right w:val="single" w:sz="4" w:space="0" w:color="auto"/>
            </w:tcBorders>
            <w:tcMar>
              <w:top w:w="11" w:type="dxa"/>
              <w:left w:w="57" w:type="dxa"/>
              <w:bottom w:w="11" w:type="dxa"/>
              <w:right w:w="57" w:type="dxa"/>
            </w:tcMar>
            <w:vAlign w:val="center"/>
          </w:tcPr>
          <w:p w:rsidR="00EE56C0" w:rsidRDefault="000F36A1">
            <w:pPr>
              <w:pStyle w:val="afa"/>
            </w:pPr>
            <w:r>
              <w:t>无组织</w:t>
            </w:r>
          </w:p>
        </w:tc>
        <w:tc>
          <w:tcPr>
            <w:tcW w:w="997" w:type="pct"/>
            <w:tcBorders>
              <w:left w:val="single" w:sz="4" w:space="0" w:color="auto"/>
            </w:tcBorders>
            <w:vAlign w:val="center"/>
          </w:tcPr>
          <w:p w:rsidR="00EE56C0" w:rsidRDefault="000F36A1">
            <w:pPr>
              <w:pStyle w:val="afa"/>
            </w:pPr>
            <w:r>
              <w:t>0.08mg/m</w:t>
            </w:r>
            <w:r>
              <w:rPr>
                <w:vertAlign w:val="superscript"/>
              </w:rPr>
              <w:t>3</w:t>
            </w:r>
          </w:p>
        </w:tc>
      </w:tr>
      <w:tr w:rsidR="00EE56C0">
        <w:trPr>
          <w:cantSplit/>
          <w:trHeight w:val="397"/>
          <w:jc w:val="center"/>
        </w:trPr>
        <w:tc>
          <w:tcPr>
            <w:tcW w:w="534" w:type="pct"/>
            <w:vMerge/>
            <w:tcMar>
              <w:top w:w="11" w:type="dxa"/>
              <w:left w:w="57" w:type="dxa"/>
              <w:bottom w:w="11" w:type="dxa"/>
              <w:right w:w="57" w:type="dxa"/>
            </w:tcMar>
            <w:vAlign w:val="center"/>
          </w:tcPr>
          <w:p w:rsidR="00EE56C0" w:rsidRDefault="00EE56C0">
            <w:pPr>
              <w:pStyle w:val="afa"/>
            </w:pPr>
          </w:p>
        </w:tc>
        <w:tc>
          <w:tcPr>
            <w:tcW w:w="1264" w:type="pct"/>
            <w:vMerge w:val="restart"/>
            <w:tcBorders>
              <w:top w:val="single" w:sz="4" w:space="0" w:color="auto"/>
            </w:tcBorders>
            <w:tcMar>
              <w:top w:w="11" w:type="dxa"/>
              <w:left w:w="57" w:type="dxa"/>
              <w:bottom w:w="11" w:type="dxa"/>
              <w:right w:w="57" w:type="dxa"/>
            </w:tcMar>
            <w:vAlign w:val="center"/>
          </w:tcPr>
          <w:p w:rsidR="00EE56C0" w:rsidRDefault="000F36A1">
            <w:pPr>
              <w:pStyle w:val="afa"/>
              <w:rPr>
                <w:rFonts w:hAnsi="宋体"/>
              </w:rPr>
            </w:pPr>
            <w:r>
              <w:rPr>
                <w:rFonts w:hint="eastAsia"/>
              </w:rPr>
              <w:t>《关于全省开展工业企业挥发性有机物专项治理工作中排放建议值的通知》（豫环攻坚办（</w:t>
            </w:r>
            <w:r>
              <w:rPr>
                <w:rFonts w:hint="eastAsia"/>
              </w:rPr>
              <w:t>2017</w:t>
            </w:r>
            <w:r>
              <w:rPr>
                <w:rFonts w:hint="eastAsia"/>
              </w:rPr>
              <w:t>）</w:t>
            </w:r>
            <w:r>
              <w:rPr>
                <w:rFonts w:hint="eastAsia"/>
              </w:rPr>
              <w:t>162</w:t>
            </w:r>
            <w:r>
              <w:rPr>
                <w:rFonts w:hint="eastAsia"/>
              </w:rPr>
              <w:t>号）</w:t>
            </w:r>
          </w:p>
        </w:tc>
        <w:tc>
          <w:tcPr>
            <w:tcW w:w="566" w:type="pct"/>
            <w:vMerge w:val="restart"/>
            <w:tcBorders>
              <w:top w:val="single" w:sz="4" w:space="0" w:color="auto"/>
            </w:tcBorders>
            <w:tcMar>
              <w:top w:w="11" w:type="dxa"/>
              <w:left w:w="57" w:type="dxa"/>
              <w:bottom w:w="11" w:type="dxa"/>
              <w:right w:w="57" w:type="dxa"/>
            </w:tcMar>
            <w:vAlign w:val="center"/>
          </w:tcPr>
          <w:p w:rsidR="00EE56C0" w:rsidRDefault="000F36A1">
            <w:pPr>
              <w:pStyle w:val="afa"/>
              <w:rPr>
                <w:rFonts w:hAnsi="宋体"/>
              </w:rPr>
            </w:pPr>
            <w:r>
              <w:rPr>
                <w:rFonts w:hint="eastAsia"/>
              </w:rPr>
              <w:t>附件</w:t>
            </w:r>
            <w:r>
              <w:rPr>
                <w:rFonts w:hint="eastAsia"/>
              </w:rPr>
              <w:t>2</w:t>
            </w:r>
          </w:p>
        </w:tc>
        <w:tc>
          <w:tcPr>
            <w:tcW w:w="896" w:type="pct"/>
            <w:tcMar>
              <w:top w:w="11" w:type="dxa"/>
              <w:left w:w="57" w:type="dxa"/>
              <w:bottom w:w="11" w:type="dxa"/>
              <w:right w:w="57" w:type="dxa"/>
            </w:tcMar>
            <w:vAlign w:val="center"/>
          </w:tcPr>
          <w:p w:rsidR="00EE56C0" w:rsidRDefault="000F36A1">
            <w:pPr>
              <w:pStyle w:val="afa"/>
            </w:pPr>
            <w:r>
              <w:rPr>
                <w:rFonts w:hint="eastAsia"/>
              </w:rPr>
              <w:t>非甲烷总烃</w:t>
            </w:r>
          </w:p>
        </w:tc>
        <w:tc>
          <w:tcPr>
            <w:tcW w:w="743" w:type="pct"/>
            <w:vMerge w:val="restart"/>
            <w:tcBorders>
              <w:right w:val="single" w:sz="4" w:space="0" w:color="auto"/>
            </w:tcBorders>
            <w:tcMar>
              <w:top w:w="11" w:type="dxa"/>
              <w:left w:w="57" w:type="dxa"/>
              <w:bottom w:w="11" w:type="dxa"/>
              <w:right w:w="57" w:type="dxa"/>
            </w:tcMar>
            <w:vAlign w:val="center"/>
          </w:tcPr>
          <w:p w:rsidR="00EE56C0" w:rsidRDefault="000F36A1">
            <w:pPr>
              <w:pStyle w:val="afa"/>
            </w:pPr>
            <w:r>
              <w:rPr>
                <w:rFonts w:hint="eastAsia"/>
              </w:rPr>
              <w:t>工业企业边界</w:t>
            </w:r>
          </w:p>
        </w:tc>
        <w:tc>
          <w:tcPr>
            <w:tcW w:w="997" w:type="pct"/>
            <w:tcBorders>
              <w:left w:val="single" w:sz="4" w:space="0" w:color="auto"/>
            </w:tcBorders>
            <w:vAlign w:val="center"/>
          </w:tcPr>
          <w:p w:rsidR="00EE56C0" w:rsidRDefault="000F36A1">
            <w:pPr>
              <w:pStyle w:val="afa"/>
            </w:pPr>
            <w:r>
              <w:rPr>
                <w:rFonts w:hint="eastAsia"/>
              </w:rPr>
              <w:t>2.0</w:t>
            </w:r>
            <w:r>
              <w:t>mg/m</w:t>
            </w:r>
            <w:r>
              <w:rPr>
                <w:vertAlign w:val="superscript"/>
              </w:rPr>
              <w:t>3</w:t>
            </w:r>
          </w:p>
        </w:tc>
      </w:tr>
      <w:tr w:rsidR="00EE56C0">
        <w:trPr>
          <w:cantSplit/>
          <w:trHeight w:val="397"/>
          <w:jc w:val="center"/>
        </w:trPr>
        <w:tc>
          <w:tcPr>
            <w:tcW w:w="534" w:type="pct"/>
            <w:vMerge/>
            <w:tcMar>
              <w:top w:w="11" w:type="dxa"/>
              <w:left w:w="57" w:type="dxa"/>
              <w:bottom w:w="11" w:type="dxa"/>
              <w:right w:w="57" w:type="dxa"/>
            </w:tcMar>
            <w:vAlign w:val="center"/>
          </w:tcPr>
          <w:p w:rsidR="00EE56C0" w:rsidRDefault="00EE56C0">
            <w:pPr>
              <w:pStyle w:val="afa"/>
            </w:pPr>
          </w:p>
        </w:tc>
        <w:tc>
          <w:tcPr>
            <w:tcW w:w="1264" w:type="pct"/>
            <w:vMerge/>
            <w:tcBorders>
              <w:bottom w:val="single" w:sz="4" w:space="0" w:color="auto"/>
            </w:tcBorders>
            <w:tcMar>
              <w:top w:w="11" w:type="dxa"/>
              <w:left w:w="57" w:type="dxa"/>
              <w:bottom w:w="11" w:type="dxa"/>
              <w:right w:w="57" w:type="dxa"/>
            </w:tcMar>
            <w:vAlign w:val="center"/>
          </w:tcPr>
          <w:p w:rsidR="00EE56C0" w:rsidRDefault="00EE56C0">
            <w:pPr>
              <w:pStyle w:val="afa"/>
              <w:rPr>
                <w:rFonts w:hAnsi="宋体"/>
              </w:rPr>
            </w:pPr>
          </w:p>
        </w:tc>
        <w:tc>
          <w:tcPr>
            <w:tcW w:w="566" w:type="pct"/>
            <w:vMerge/>
            <w:tcBorders>
              <w:bottom w:val="single" w:sz="4" w:space="0" w:color="auto"/>
            </w:tcBorders>
            <w:tcMar>
              <w:top w:w="11" w:type="dxa"/>
              <w:left w:w="57" w:type="dxa"/>
              <w:bottom w:w="11" w:type="dxa"/>
              <w:right w:w="57" w:type="dxa"/>
            </w:tcMar>
            <w:vAlign w:val="center"/>
          </w:tcPr>
          <w:p w:rsidR="00EE56C0" w:rsidRDefault="00EE56C0">
            <w:pPr>
              <w:pStyle w:val="afa"/>
              <w:rPr>
                <w:rFonts w:hAnsi="宋体"/>
              </w:rPr>
            </w:pPr>
          </w:p>
        </w:tc>
        <w:tc>
          <w:tcPr>
            <w:tcW w:w="896" w:type="pct"/>
            <w:tcMar>
              <w:top w:w="11" w:type="dxa"/>
              <w:left w:w="57" w:type="dxa"/>
              <w:bottom w:w="11" w:type="dxa"/>
              <w:right w:w="57" w:type="dxa"/>
            </w:tcMar>
            <w:vAlign w:val="center"/>
          </w:tcPr>
          <w:p w:rsidR="00EE56C0" w:rsidRDefault="000F36A1">
            <w:pPr>
              <w:pStyle w:val="afa"/>
            </w:pPr>
            <w:r>
              <w:rPr>
                <w:rFonts w:hint="eastAsia"/>
              </w:rPr>
              <w:t>苯</w:t>
            </w:r>
          </w:p>
        </w:tc>
        <w:tc>
          <w:tcPr>
            <w:tcW w:w="743" w:type="pct"/>
            <w:vMerge/>
            <w:tcBorders>
              <w:right w:val="single" w:sz="4" w:space="0" w:color="auto"/>
            </w:tcBorders>
            <w:tcMar>
              <w:top w:w="11" w:type="dxa"/>
              <w:left w:w="57" w:type="dxa"/>
              <w:bottom w:w="11" w:type="dxa"/>
              <w:right w:w="57" w:type="dxa"/>
            </w:tcMar>
            <w:vAlign w:val="center"/>
          </w:tcPr>
          <w:p w:rsidR="00EE56C0" w:rsidRDefault="00EE56C0">
            <w:pPr>
              <w:pStyle w:val="afa"/>
            </w:pPr>
          </w:p>
        </w:tc>
        <w:tc>
          <w:tcPr>
            <w:tcW w:w="997" w:type="pct"/>
            <w:tcBorders>
              <w:left w:val="single" w:sz="4" w:space="0" w:color="auto"/>
            </w:tcBorders>
            <w:vAlign w:val="center"/>
          </w:tcPr>
          <w:p w:rsidR="00EE56C0" w:rsidRDefault="000F36A1">
            <w:pPr>
              <w:pStyle w:val="afa"/>
            </w:pPr>
            <w:r>
              <w:rPr>
                <w:rFonts w:hint="eastAsia"/>
              </w:rPr>
              <w:t>0.1</w:t>
            </w:r>
            <w:r>
              <w:t>mg/m</w:t>
            </w:r>
            <w:r>
              <w:rPr>
                <w:vertAlign w:val="superscript"/>
              </w:rPr>
              <w:t>3</w:t>
            </w:r>
          </w:p>
        </w:tc>
      </w:tr>
      <w:tr w:rsidR="00EE56C0">
        <w:trPr>
          <w:cantSplit/>
          <w:trHeight w:val="397"/>
          <w:jc w:val="center"/>
        </w:trPr>
        <w:tc>
          <w:tcPr>
            <w:tcW w:w="534" w:type="pct"/>
            <w:vMerge/>
            <w:tcMar>
              <w:top w:w="11" w:type="dxa"/>
              <w:left w:w="57" w:type="dxa"/>
              <w:bottom w:w="11" w:type="dxa"/>
              <w:right w:w="57" w:type="dxa"/>
            </w:tcMar>
            <w:vAlign w:val="center"/>
          </w:tcPr>
          <w:p w:rsidR="00EE56C0" w:rsidRDefault="00EE56C0">
            <w:pPr>
              <w:pStyle w:val="afa"/>
            </w:pPr>
          </w:p>
        </w:tc>
        <w:tc>
          <w:tcPr>
            <w:tcW w:w="1264" w:type="pct"/>
            <w:vMerge/>
            <w:tcBorders>
              <w:bottom w:val="single" w:sz="4" w:space="0" w:color="auto"/>
            </w:tcBorders>
            <w:tcMar>
              <w:top w:w="11" w:type="dxa"/>
              <w:left w:w="57" w:type="dxa"/>
              <w:bottom w:w="11" w:type="dxa"/>
              <w:right w:w="57" w:type="dxa"/>
            </w:tcMar>
            <w:vAlign w:val="center"/>
          </w:tcPr>
          <w:p w:rsidR="00EE56C0" w:rsidRDefault="00EE56C0">
            <w:pPr>
              <w:pStyle w:val="afa"/>
              <w:rPr>
                <w:rFonts w:hAnsi="宋体"/>
              </w:rPr>
            </w:pPr>
          </w:p>
        </w:tc>
        <w:tc>
          <w:tcPr>
            <w:tcW w:w="566" w:type="pct"/>
            <w:vMerge/>
            <w:tcBorders>
              <w:bottom w:val="single" w:sz="4" w:space="0" w:color="auto"/>
            </w:tcBorders>
            <w:tcMar>
              <w:top w:w="11" w:type="dxa"/>
              <w:left w:w="57" w:type="dxa"/>
              <w:bottom w:w="11" w:type="dxa"/>
              <w:right w:w="57" w:type="dxa"/>
            </w:tcMar>
            <w:vAlign w:val="center"/>
          </w:tcPr>
          <w:p w:rsidR="00EE56C0" w:rsidRDefault="00EE56C0">
            <w:pPr>
              <w:pStyle w:val="afa"/>
              <w:rPr>
                <w:rFonts w:hAnsi="宋体"/>
              </w:rPr>
            </w:pPr>
          </w:p>
        </w:tc>
        <w:tc>
          <w:tcPr>
            <w:tcW w:w="896" w:type="pct"/>
            <w:tcMar>
              <w:top w:w="11" w:type="dxa"/>
              <w:left w:w="57" w:type="dxa"/>
              <w:bottom w:w="11" w:type="dxa"/>
              <w:right w:w="57" w:type="dxa"/>
            </w:tcMar>
            <w:vAlign w:val="center"/>
          </w:tcPr>
          <w:p w:rsidR="00EE56C0" w:rsidRDefault="000F36A1">
            <w:pPr>
              <w:pStyle w:val="afa"/>
            </w:pPr>
            <w:r>
              <w:rPr>
                <w:rFonts w:hint="eastAsia"/>
              </w:rPr>
              <w:t>甲苯</w:t>
            </w:r>
          </w:p>
        </w:tc>
        <w:tc>
          <w:tcPr>
            <w:tcW w:w="743" w:type="pct"/>
            <w:vMerge/>
            <w:tcBorders>
              <w:right w:val="single" w:sz="4" w:space="0" w:color="auto"/>
            </w:tcBorders>
            <w:tcMar>
              <w:top w:w="11" w:type="dxa"/>
              <w:left w:w="57" w:type="dxa"/>
              <w:bottom w:w="11" w:type="dxa"/>
              <w:right w:w="57" w:type="dxa"/>
            </w:tcMar>
            <w:vAlign w:val="center"/>
          </w:tcPr>
          <w:p w:rsidR="00EE56C0" w:rsidRDefault="00EE56C0">
            <w:pPr>
              <w:pStyle w:val="afa"/>
            </w:pPr>
          </w:p>
        </w:tc>
        <w:tc>
          <w:tcPr>
            <w:tcW w:w="997" w:type="pct"/>
            <w:tcBorders>
              <w:left w:val="single" w:sz="4" w:space="0" w:color="auto"/>
            </w:tcBorders>
            <w:vAlign w:val="center"/>
          </w:tcPr>
          <w:p w:rsidR="00EE56C0" w:rsidRDefault="000F36A1">
            <w:pPr>
              <w:pStyle w:val="afa"/>
            </w:pPr>
            <w:r>
              <w:rPr>
                <w:rFonts w:hint="eastAsia"/>
              </w:rPr>
              <w:t>0.6</w:t>
            </w:r>
            <w:r>
              <w:t>mg/m</w:t>
            </w:r>
            <w:r>
              <w:rPr>
                <w:vertAlign w:val="superscript"/>
              </w:rPr>
              <w:t>3</w:t>
            </w:r>
          </w:p>
        </w:tc>
      </w:tr>
      <w:tr w:rsidR="00EE56C0">
        <w:trPr>
          <w:cantSplit/>
          <w:trHeight w:val="397"/>
          <w:jc w:val="center"/>
        </w:trPr>
        <w:tc>
          <w:tcPr>
            <w:tcW w:w="534" w:type="pct"/>
            <w:vMerge/>
            <w:tcMar>
              <w:top w:w="11" w:type="dxa"/>
              <w:left w:w="57" w:type="dxa"/>
              <w:bottom w:w="11" w:type="dxa"/>
              <w:right w:w="57" w:type="dxa"/>
            </w:tcMar>
            <w:vAlign w:val="center"/>
          </w:tcPr>
          <w:p w:rsidR="00EE56C0" w:rsidRDefault="00EE56C0">
            <w:pPr>
              <w:pStyle w:val="afa"/>
            </w:pPr>
          </w:p>
        </w:tc>
        <w:tc>
          <w:tcPr>
            <w:tcW w:w="1264" w:type="pct"/>
            <w:vMerge/>
            <w:tcBorders>
              <w:bottom w:val="single" w:sz="4" w:space="0" w:color="auto"/>
            </w:tcBorders>
            <w:tcMar>
              <w:top w:w="11" w:type="dxa"/>
              <w:left w:w="57" w:type="dxa"/>
              <w:bottom w:w="11" w:type="dxa"/>
              <w:right w:w="57" w:type="dxa"/>
            </w:tcMar>
            <w:vAlign w:val="center"/>
          </w:tcPr>
          <w:p w:rsidR="00EE56C0" w:rsidRDefault="00EE56C0">
            <w:pPr>
              <w:pStyle w:val="afa"/>
              <w:rPr>
                <w:rFonts w:hAnsi="宋体"/>
              </w:rPr>
            </w:pPr>
          </w:p>
        </w:tc>
        <w:tc>
          <w:tcPr>
            <w:tcW w:w="566" w:type="pct"/>
            <w:vMerge/>
            <w:tcBorders>
              <w:bottom w:val="single" w:sz="4" w:space="0" w:color="auto"/>
            </w:tcBorders>
            <w:tcMar>
              <w:top w:w="11" w:type="dxa"/>
              <w:left w:w="57" w:type="dxa"/>
              <w:bottom w:w="11" w:type="dxa"/>
              <w:right w:w="57" w:type="dxa"/>
            </w:tcMar>
            <w:vAlign w:val="center"/>
          </w:tcPr>
          <w:p w:rsidR="00EE56C0" w:rsidRDefault="00EE56C0">
            <w:pPr>
              <w:pStyle w:val="afa"/>
              <w:rPr>
                <w:rFonts w:hAnsi="宋体"/>
              </w:rPr>
            </w:pPr>
          </w:p>
        </w:tc>
        <w:tc>
          <w:tcPr>
            <w:tcW w:w="896" w:type="pct"/>
            <w:tcMar>
              <w:top w:w="11" w:type="dxa"/>
              <w:left w:w="57" w:type="dxa"/>
              <w:bottom w:w="11" w:type="dxa"/>
              <w:right w:w="57" w:type="dxa"/>
            </w:tcMar>
            <w:vAlign w:val="center"/>
          </w:tcPr>
          <w:p w:rsidR="00EE56C0" w:rsidRDefault="000F36A1">
            <w:pPr>
              <w:pStyle w:val="afa"/>
            </w:pPr>
            <w:r>
              <w:rPr>
                <w:rFonts w:hint="eastAsia"/>
              </w:rPr>
              <w:t>二甲苯</w:t>
            </w:r>
          </w:p>
        </w:tc>
        <w:tc>
          <w:tcPr>
            <w:tcW w:w="743" w:type="pct"/>
            <w:vMerge/>
            <w:tcBorders>
              <w:right w:val="single" w:sz="4" w:space="0" w:color="auto"/>
            </w:tcBorders>
            <w:tcMar>
              <w:top w:w="11" w:type="dxa"/>
              <w:left w:w="57" w:type="dxa"/>
              <w:bottom w:w="11" w:type="dxa"/>
              <w:right w:w="57" w:type="dxa"/>
            </w:tcMar>
            <w:vAlign w:val="center"/>
          </w:tcPr>
          <w:p w:rsidR="00EE56C0" w:rsidRDefault="00EE56C0">
            <w:pPr>
              <w:pStyle w:val="afa"/>
            </w:pPr>
          </w:p>
        </w:tc>
        <w:tc>
          <w:tcPr>
            <w:tcW w:w="997" w:type="pct"/>
            <w:tcBorders>
              <w:left w:val="single" w:sz="4" w:space="0" w:color="auto"/>
            </w:tcBorders>
            <w:vAlign w:val="center"/>
          </w:tcPr>
          <w:p w:rsidR="00EE56C0" w:rsidRDefault="000F36A1">
            <w:pPr>
              <w:pStyle w:val="afa"/>
            </w:pPr>
            <w:r>
              <w:rPr>
                <w:rFonts w:hint="eastAsia"/>
              </w:rPr>
              <w:t>0.2</w:t>
            </w:r>
            <w:r>
              <w:t>mg/m</w:t>
            </w:r>
            <w:r>
              <w:rPr>
                <w:vertAlign w:val="superscript"/>
              </w:rPr>
              <w:t>3</w:t>
            </w:r>
          </w:p>
        </w:tc>
      </w:tr>
      <w:tr w:rsidR="00EE56C0">
        <w:trPr>
          <w:cantSplit/>
          <w:trHeight w:val="397"/>
          <w:jc w:val="center"/>
        </w:trPr>
        <w:tc>
          <w:tcPr>
            <w:tcW w:w="534" w:type="pct"/>
            <w:vMerge/>
            <w:tcMar>
              <w:top w:w="11" w:type="dxa"/>
              <w:left w:w="57" w:type="dxa"/>
              <w:bottom w:w="11" w:type="dxa"/>
              <w:right w:w="57" w:type="dxa"/>
            </w:tcMar>
            <w:vAlign w:val="center"/>
          </w:tcPr>
          <w:p w:rsidR="00EE56C0" w:rsidRDefault="00EE56C0">
            <w:pPr>
              <w:pStyle w:val="afa"/>
            </w:pPr>
          </w:p>
        </w:tc>
        <w:tc>
          <w:tcPr>
            <w:tcW w:w="1264" w:type="pct"/>
            <w:vMerge w:val="restart"/>
            <w:tcBorders>
              <w:top w:val="single" w:sz="4" w:space="0" w:color="auto"/>
            </w:tcBorders>
            <w:tcMar>
              <w:top w:w="11" w:type="dxa"/>
              <w:left w:w="57" w:type="dxa"/>
              <w:bottom w:w="11" w:type="dxa"/>
              <w:right w:w="57" w:type="dxa"/>
            </w:tcMar>
            <w:vAlign w:val="center"/>
          </w:tcPr>
          <w:p w:rsidR="00EE56C0" w:rsidRDefault="000F36A1">
            <w:pPr>
              <w:pStyle w:val="afa"/>
              <w:rPr>
                <w:rFonts w:hAnsi="宋体"/>
              </w:rPr>
            </w:pPr>
            <w:r>
              <w:rPr>
                <w:rFonts w:hint="eastAsia"/>
              </w:rPr>
              <w:t>《工业涂装工序挥发性有机物排放标准》（</w:t>
            </w:r>
            <w:r>
              <w:rPr>
                <w:rFonts w:hint="eastAsia"/>
              </w:rPr>
              <w:t>DB41/1951-2020</w:t>
            </w:r>
            <w:r>
              <w:rPr>
                <w:rFonts w:hint="eastAsia"/>
              </w:rPr>
              <w:t>）</w:t>
            </w:r>
          </w:p>
        </w:tc>
        <w:tc>
          <w:tcPr>
            <w:tcW w:w="566" w:type="pct"/>
            <w:vMerge w:val="restart"/>
            <w:tcBorders>
              <w:top w:val="single" w:sz="4" w:space="0" w:color="auto"/>
            </w:tcBorders>
            <w:tcMar>
              <w:top w:w="11" w:type="dxa"/>
              <w:left w:w="57" w:type="dxa"/>
              <w:bottom w:w="11" w:type="dxa"/>
              <w:right w:w="57" w:type="dxa"/>
            </w:tcMar>
            <w:vAlign w:val="center"/>
          </w:tcPr>
          <w:p w:rsidR="00EE56C0" w:rsidRDefault="000F36A1">
            <w:pPr>
              <w:pStyle w:val="afa"/>
              <w:rPr>
                <w:rFonts w:hAnsi="宋体"/>
              </w:rPr>
            </w:pPr>
            <w:r>
              <w:rPr>
                <w:rFonts w:hint="eastAsia"/>
              </w:rPr>
              <w:t>表</w:t>
            </w:r>
            <w:r>
              <w:rPr>
                <w:rFonts w:hint="eastAsia"/>
              </w:rPr>
              <w:t>1</w:t>
            </w:r>
          </w:p>
        </w:tc>
        <w:tc>
          <w:tcPr>
            <w:tcW w:w="896" w:type="pct"/>
            <w:tcMar>
              <w:top w:w="11" w:type="dxa"/>
              <w:left w:w="57" w:type="dxa"/>
              <w:bottom w:w="11" w:type="dxa"/>
              <w:right w:w="57" w:type="dxa"/>
            </w:tcMar>
            <w:vAlign w:val="center"/>
          </w:tcPr>
          <w:p w:rsidR="00EE56C0" w:rsidRDefault="000F36A1">
            <w:pPr>
              <w:pStyle w:val="afa"/>
            </w:pPr>
            <w:r>
              <w:rPr>
                <w:rFonts w:hint="eastAsia"/>
              </w:rPr>
              <w:t>非甲烷总烃</w:t>
            </w:r>
          </w:p>
        </w:tc>
        <w:tc>
          <w:tcPr>
            <w:tcW w:w="743" w:type="pct"/>
            <w:vMerge w:val="restart"/>
            <w:tcBorders>
              <w:right w:val="single" w:sz="4" w:space="0" w:color="auto"/>
            </w:tcBorders>
            <w:tcMar>
              <w:top w:w="11" w:type="dxa"/>
              <w:left w:w="57" w:type="dxa"/>
              <w:bottom w:w="11" w:type="dxa"/>
              <w:right w:w="57" w:type="dxa"/>
            </w:tcMar>
            <w:vAlign w:val="center"/>
          </w:tcPr>
          <w:p w:rsidR="00EE56C0" w:rsidRDefault="000F36A1">
            <w:pPr>
              <w:pStyle w:val="afa"/>
            </w:pPr>
            <w:r>
              <w:rPr>
                <w:rFonts w:hint="eastAsia"/>
              </w:rPr>
              <w:t>表</w:t>
            </w:r>
            <w:r>
              <w:rPr>
                <w:rFonts w:hint="eastAsia"/>
              </w:rPr>
              <w:t>1</w:t>
            </w:r>
            <w:r>
              <w:rPr>
                <w:rFonts w:hint="eastAsia"/>
              </w:rPr>
              <w:t>有组织：电气机械和器材制造业（</w:t>
            </w:r>
            <w:r>
              <w:rPr>
                <w:rFonts w:hint="eastAsia"/>
              </w:rPr>
              <w:t>C38</w:t>
            </w:r>
            <w:r>
              <w:rPr>
                <w:rFonts w:hint="eastAsia"/>
              </w:rPr>
              <w:t>）</w:t>
            </w:r>
          </w:p>
        </w:tc>
        <w:tc>
          <w:tcPr>
            <w:tcW w:w="997" w:type="pct"/>
            <w:tcBorders>
              <w:left w:val="single" w:sz="4" w:space="0" w:color="auto"/>
            </w:tcBorders>
            <w:vAlign w:val="center"/>
          </w:tcPr>
          <w:p w:rsidR="00EE56C0" w:rsidRDefault="000F36A1">
            <w:pPr>
              <w:pStyle w:val="afa"/>
            </w:pPr>
            <w:r>
              <w:rPr>
                <w:rFonts w:hint="eastAsia"/>
              </w:rPr>
              <w:t>50</w:t>
            </w:r>
            <w:r>
              <w:t>mg/m</w:t>
            </w:r>
            <w:r>
              <w:rPr>
                <w:vertAlign w:val="superscript"/>
              </w:rPr>
              <w:t>3</w:t>
            </w:r>
          </w:p>
        </w:tc>
      </w:tr>
      <w:tr w:rsidR="00EE56C0">
        <w:trPr>
          <w:cantSplit/>
          <w:trHeight w:val="397"/>
          <w:jc w:val="center"/>
        </w:trPr>
        <w:tc>
          <w:tcPr>
            <w:tcW w:w="534" w:type="pct"/>
            <w:vMerge/>
            <w:tcMar>
              <w:top w:w="11" w:type="dxa"/>
              <w:left w:w="57" w:type="dxa"/>
              <w:bottom w:w="11" w:type="dxa"/>
              <w:right w:w="57" w:type="dxa"/>
            </w:tcMar>
            <w:textDirection w:val="tbRlV"/>
            <w:vAlign w:val="center"/>
          </w:tcPr>
          <w:p w:rsidR="00EE56C0" w:rsidRDefault="00EE56C0">
            <w:pPr>
              <w:pStyle w:val="afa"/>
            </w:pPr>
          </w:p>
        </w:tc>
        <w:tc>
          <w:tcPr>
            <w:tcW w:w="1264" w:type="pct"/>
            <w:vMerge/>
            <w:tcMar>
              <w:top w:w="11" w:type="dxa"/>
              <w:left w:w="57" w:type="dxa"/>
              <w:bottom w:w="11" w:type="dxa"/>
              <w:right w:w="57" w:type="dxa"/>
            </w:tcMar>
            <w:vAlign w:val="center"/>
          </w:tcPr>
          <w:p w:rsidR="00EE56C0" w:rsidRDefault="00EE56C0">
            <w:pPr>
              <w:pStyle w:val="afa"/>
              <w:rPr>
                <w:rFonts w:hAnsi="宋体"/>
              </w:rPr>
            </w:pPr>
          </w:p>
        </w:tc>
        <w:tc>
          <w:tcPr>
            <w:tcW w:w="566" w:type="pct"/>
            <w:vMerge/>
            <w:tcMar>
              <w:top w:w="11" w:type="dxa"/>
              <w:left w:w="57" w:type="dxa"/>
              <w:bottom w:w="11" w:type="dxa"/>
              <w:right w:w="57" w:type="dxa"/>
            </w:tcMar>
            <w:vAlign w:val="center"/>
          </w:tcPr>
          <w:p w:rsidR="00EE56C0" w:rsidRDefault="00EE56C0">
            <w:pPr>
              <w:pStyle w:val="afa"/>
            </w:pPr>
          </w:p>
        </w:tc>
        <w:tc>
          <w:tcPr>
            <w:tcW w:w="896" w:type="pct"/>
            <w:tcMar>
              <w:top w:w="11" w:type="dxa"/>
              <w:left w:w="57" w:type="dxa"/>
              <w:bottom w:w="11" w:type="dxa"/>
              <w:right w:w="57" w:type="dxa"/>
            </w:tcMar>
            <w:vAlign w:val="center"/>
          </w:tcPr>
          <w:p w:rsidR="00EE56C0" w:rsidRDefault="000F36A1">
            <w:pPr>
              <w:pStyle w:val="afa"/>
            </w:pPr>
            <w:r>
              <w:rPr>
                <w:rFonts w:hint="eastAsia"/>
              </w:rPr>
              <w:t>苯</w:t>
            </w:r>
          </w:p>
        </w:tc>
        <w:tc>
          <w:tcPr>
            <w:tcW w:w="743" w:type="pct"/>
            <w:vMerge/>
            <w:tcBorders>
              <w:right w:val="single" w:sz="4" w:space="0" w:color="auto"/>
            </w:tcBorders>
            <w:tcMar>
              <w:top w:w="11" w:type="dxa"/>
              <w:left w:w="57" w:type="dxa"/>
              <w:bottom w:w="11" w:type="dxa"/>
              <w:right w:w="57" w:type="dxa"/>
            </w:tcMar>
            <w:vAlign w:val="center"/>
          </w:tcPr>
          <w:p w:rsidR="00EE56C0" w:rsidRDefault="00EE56C0">
            <w:pPr>
              <w:pStyle w:val="afa"/>
              <w:rPr>
                <w:highlight w:val="yellow"/>
              </w:rPr>
            </w:pPr>
          </w:p>
        </w:tc>
        <w:tc>
          <w:tcPr>
            <w:tcW w:w="997" w:type="pct"/>
            <w:tcBorders>
              <w:left w:val="single" w:sz="4" w:space="0" w:color="auto"/>
            </w:tcBorders>
            <w:vAlign w:val="center"/>
          </w:tcPr>
          <w:p w:rsidR="00EE56C0" w:rsidRDefault="000F36A1">
            <w:pPr>
              <w:pStyle w:val="afa"/>
            </w:pPr>
            <w:r>
              <w:rPr>
                <w:rFonts w:hint="eastAsia"/>
              </w:rPr>
              <w:t>1</w:t>
            </w:r>
            <w:r>
              <w:t>mg/m</w:t>
            </w:r>
            <w:r>
              <w:rPr>
                <w:vertAlign w:val="superscript"/>
              </w:rPr>
              <w:t>3</w:t>
            </w:r>
          </w:p>
        </w:tc>
      </w:tr>
      <w:tr w:rsidR="00EE56C0">
        <w:trPr>
          <w:cantSplit/>
          <w:trHeight w:val="397"/>
          <w:jc w:val="center"/>
        </w:trPr>
        <w:tc>
          <w:tcPr>
            <w:tcW w:w="534" w:type="pct"/>
            <w:vMerge/>
            <w:tcMar>
              <w:top w:w="11" w:type="dxa"/>
              <w:left w:w="57" w:type="dxa"/>
              <w:bottom w:w="11" w:type="dxa"/>
              <w:right w:w="57" w:type="dxa"/>
            </w:tcMar>
            <w:textDirection w:val="tbRlV"/>
            <w:vAlign w:val="center"/>
          </w:tcPr>
          <w:p w:rsidR="00EE56C0" w:rsidRDefault="00EE56C0">
            <w:pPr>
              <w:pStyle w:val="afa"/>
            </w:pPr>
          </w:p>
        </w:tc>
        <w:tc>
          <w:tcPr>
            <w:tcW w:w="1264" w:type="pct"/>
            <w:vMerge/>
            <w:tcMar>
              <w:top w:w="11" w:type="dxa"/>
              <w:left w:w="57" w:type="dxa"/>
              <w:bottom w:w="11" w:type="dxa"/>
              <w:right w:w="57" w:type="dxa"/>
            </w:tcMar>
            <w:vAlign w:val="center"/>
          </w:tcPr>
          <w:p w:rsidR="00EE56C0" w:rsidRDefault="00EE56C0">
            <w:pPr>
              <w:pStyle w:val="afa"/>
              <w:rPr>
                <w:rFonts w:hAnsi="宋体"/>
              </w:rPr>
            </w:pPr>
          </w:p>
        </w:tc>
        <w:tc>
          <w:tcPr>
            <w:tcW w:w="566" w:type="pct"/>
            <w:vMerge/>
            <w:tcMar>
              <w:top w:w="11" w:type="dxa"/>
              <w:left w:w="57" w:type="dxa"/>
              <w:bottom w:w="11" w:type="dxa"/>
              <w:right w:w="57" w:type="dxa"/>
            </w:tcMar>
            <w:vAlign w:val="center"/>
          </w:tcPr>
          <w:p w:rsidR="00EE56C0" w:rsidRDefault="00EE56C0">
            <w:pPr>
              <w:pStyle w:val="afa"/>
            </w:pPr>
          </w:p>
        </w:tc>
        <w:tc>
          <w:tcPr>
            <w:tcW w:w="896" w:type="pct"/>
            <w:tcMar>
              <w:top w:w="11" w:type="dxa"/>
              <w:left w:w="57" w:type="dxa"/>
              <w:bottom w:w="11" w:type="dxa"/>
              <w:right w:w="57" w:type="dxa"/>
            </w:tcMar>
            <w:vAlign w:val="center"/>
          </w:tcPr>
          <w:p w:rsidR="00EE56C0" w:rsidRDefault="000F36A1">
            <w:pPr>
              <w:pStyle w:val="afa"/>
            </w:pPr>
            <w:r>
              <w:rPr>
                <w:rFonts w:hint="eastAsia"/>
              </w:rPr>
              <w:t>甲苯与二甲苯合计</w:t>
            </w:r>
          </w:p>
        </w:tc>
        <w:tc>
          <w:tcPr>
            <w:tcW w:w="743" w:type="pct"/>
            <w:vMerge/>
            <w:tcBorders>
              <w:right w:val="single" w:sz="4" w:space="0" w:color="auto"/>
            </w:tcBorders>
            <w:tcMar>
              <w:top w:w="11" w:type="dxa"/>
              <w:left w:w="57" w:type="dxa"/>
              <w:bottom w:w="11" w:type="dxa"/>
              <w:right w:w="57" w:type="dxa"/>
            </w:tcMar>
            <w:vAlign w:val="center"/>
          </w:tcPr>
          <w:p w:rsidR="00EE56C0" w:rsidRDefault="00EE56C0">
            <w:pPr>
              <w:pStyle w:val="afa"/>
              <w:rPr>
                <w:highlight w:val="yellow"/>
              </w:rPr>
            </w:pPr>
          </w:p>
        </w:tc>
        <w:tc>
          <w:tcPr>
            <w:tcW w:w="997" w:type="pct"/>
            <w:tcBorders>
              <w:left w:val="single" w:sz="4" w:space="0" w:color="auto"/>
            </w:tcBorders>
            <w:vAlign w:val="center"/>
          </w:tcPr>
          <w:p w:rsidR="00EE56C0" w:rsidRDefault="000F36A1">
            <w:pPr>
              <w:pStyle w:val="afa"/>
            </w:pPr>
            <w:r>
              <w:rPr>
                <w:rFonts w:hint="eastAsia"/>
              </w:rPr>
              <w:t>20</w:t>
            </w:r>
            <w:r>
              <w:t>mg/m</w:t>
            </w:r>
            <w:r>
              <w:rPr>
                <w:vertAlign w:val="superscript"/>
              </w:rPr>
              <w:t>3</w:t>
            </w:r>
          </w:p>
        </w:tc>
      </w:tr>
      <w:tr w:rsidR="00EE56C0">
        <w:trPr>
          <w:cantSplit/>
          <w:trHeight w:val="397"/>
          <w:jc w:val="center"/>
        </w:trPr>
        <w:tc>
          <w:tcPr>
            <w:tcW w:w="534" w:type="pct"/>
            <w:vMerge w:val="restart"/>
            <w:tcBorders>
              <w:top w:val="single" w:sz="4" w:space="0" w:color="auto"/>
            </w:tcBorders>
            <w:vAlign w:val="center"/>
          </w:tcPr>
          <w:p w:rsidR="00EE56C0" w:rsidRDefault="000F36A1">
            <w:pPr>
              <w:pStyle w:val="afa"/>
            </w:pPr>
            <w:r>
              <w:t>水污</w:t>
            </w:r>
          </w:p>
          <w:p w:rsidR="00EE56C0" w:rsidRDefault="000F36A1">
            <w:pPr>
              <w:pStyle w:val="afa"/>
            </w:pPr>
            <w:r>
              <w:t>染物</w:t>
            </w:r>
          </w:p>
        </w:tc>
        <w:tc>
          <w:tcPr>
            <w:tcW w:w="1264" w:type="pct"/>
            <w:vMerge w:val="restart"/>
            <w:tcBorders>
              <w:top w:val="single" w:sz="4" w:space="0" w:color="auto"/>
            </w:tcBorders>
            <w:vAlign w:val="center"/>
          </w:tcPr>
          <w:p w:rsidR="00EE56C0" w:rsidRDefault="000F36A1">
            <w:pPr>
              <w:pStyle w:val="afa"/>
            </w:pPr>
            <w:r>
              <w:rPr>
                <w:rFonts w:hAnsi="Calibri"/>
                <w:bCs/>
              </w:rPr>
              <w:t>《污水排污城镇下水道水质标准》（</w:t>
            </w:r>
            <w:r>
              <w:rPr>
                <w:rFonts w:hAnsi="Calibri"/>
                <w:bCs/>
              </w:rPr>
              <w:t>GB/T31962-2015</w:t>
            </w:r>
            <w:r>
              <w:rPr>
                <w:rFonts w:hAnsi="Calibri"/>
                <w:bCs/>
              </w:rPr>
              <w:t>）</w:t>
            </w:r>
          </w:p>
        </w:tc>
        <w:tc>
          <w:tcPr>
            <w:tcW w:w="566" w:type="pct"/>
            <w:vMerge w:val="restart"/>
            <w:tcBorders>
              <w:top w:val="single" w:sz="4" w:space="0" w:color="auto"/>
            </w:tcBorders>
            <w:vAlign w:val="center"/>
          </w:tcPr>
          <w:p w:rsidR="00EE56C0" w:rsidRDefault="000F36A1">
            <w:pPr>
              <w:pStyle w:val="afa"/>
            </w:pPr>
            <w:r>
              <w:rPr>
                <w:rFonts w:hAnsi="Calibri"/>
                <w:bCs/>
              </w:rPr>
              <w:t>C</w:t>
            </w:r>
            <w:r>
              <w:rPr>
                <w:rFonts w:hAnsi="Calibri"/>
                <w:bCs/>
              </w:rPr>
              <w:t>级</w:t>
            </w:r>
          </w:p>
        </w:tc>
        <w:tc>
          <w:tcPr>
            <w:tcW w:w="896" w:type="pct"/>
            <w:tcMar>
              <w:top w:w="11" w:type="dxa"/>
              <w:left w:w="57" w:type="dxa"/>
              <w:bottom w:w="11" w:type="dxa"/>
              <w:right w:w="57" w:type="dxa"/>
            </w:tcMar>
            <w:vAlign w:val="center"/>
          </w:tcPr>
          <w:p w:rsidR="00EE56C0" w:rsidRDefault="000F36A1">
            <w:pPr>
              <w:pStyle w:val="afa"/>
            </w:pPr>
            <w:r>
              <w:t>COD</w:t>
            </w:r>
          </w:p>
        </w:tc>
        <w:tc>
          <w:tcPr>
            <w:tcW w:w="1740" w:type="pct"/>
            <w:gridSpan w:val="2"/>
            <w:tcMar>
              <w:top w:w="11" w:type="dxa"/>
              <w:left w:w="57" w:type="dxa"/>
              <w:bottom w:w="11" w:type="dxa"/>
              <w:right w:w="57" w:type="dxa"/>
            </w:tcMar>
            <w:vAlign w:val="center"/>
          </w:tcPr>
          <w:p w:rsidR="00EE56C0" w:rsidRDefault="000F36A1">
            <w:pPr>
              <w:pStyle w:val="afa"/>
            </w:pPr>
            <w:r>
              <w:rPr>
                <w:rFonts w:hint="eastAsia"/>
              </w:rPr>
              <w:t>300mg/L</w:t>
            </w:r>
          </w:p>
        </w:tc>
      </w:tr>
      <w:tr w:rsidR="00EE56C0">
        <w:trPr>
          <w:cantSplit/>
          <w:trHeight w:val="397"/>
          <w:jc w:val="center"/>
        </w:trPr>
        <w:tc>
          <w:tcPr>
            <w:tcW w:w="534" w:type="pct"/>
            <w:vMerge/>
            <w:vAlign w:val="center"/>
          </w:tcPr>
          <w:p w:rsidR="00EE56C0" w:rsidRDefault="00EE56C0">
            <w:pPr>
              <w:pStyle w:val="afa"/>
            </w:pPr>
          </w:p>
        </w:tc>
        <w:tc>
          <w:tcPr>
            <w:tcW w:w="1264" w:type="pct"/>
            <w:vMerge/>
            <w:vAlign w:val="center"/>
          </w:tcPr>
          <w:p w:rsidR="00EE56C0" w:rsidRDefault="00EE56C0">
            <w:pPr>
              <w:pStyle w:val="afa"/>
            </w:pPr>
          </w:p>
        </w:tc>
        <w:tc>
          <w:tcPr>
            <w:tcW w:w="566" w:type="pct"/>
            <w:vMerge/>
            <w:vAlign w:val="center"/>
          </w:tcPr>
          <w:p w:rsidR="00EE56C0" w:rsidRDefault="00EE56C0">
            <w:pPr>
              <w:pStyle w:val="afa"/>
            </w:pPr>
          </w:p>
        </w:tc>
        <w:tc>
          <w:tcPr>
            <w:tcW w:w="896" w:type="pct"/>
            <w:tcMar>
              <w:top w:w="11" w:type="dxa"/>
              <w:left w:w="57" w:type="dxa"/>
              <w:bottom w:w="11" w:type="dxa"/>
              <w:right w:w="57" w:type="dxa"/>
            </w:tcMar>
            <w:vAlign w:val="center"/>
          </w:tcPr>
          <w:p w:rsidR="00EE56C0" w:rsidRDefault="000F36A1">
            <w:pPr>
              <w:pStyle w:val="afa"/>
            </w:pPr>
            <w:r>
              <w:t>SS</w:t>
            </w:r>
          </w:p>
        </w:tc>
        <w:tc>
          <w:tcPr>
            <w:tcW w:w="1740" w:type="pct"/>
            <w:gridSpan w:val="2"/>
            <w:tcMar>
              <w:top w:w="11" w:type="dxa"/>
              <w:left w:w="57" w:type="dxa"/>
              <w:bottom w:w="11" w:type="dxa"/>
              <w:right w:w="57" w:type="dxa"/>
            </w:tcMar>
            <w:vAlign w:val="center"/>
          </w:tcPr>
          <w:p w:rsidR="00EE56C0" w:rsidRDefault="000F36A1">
            <w:pPr>
              <w:pStyle w:val="afa"/>
            </w:pPr>
            <w:r>
              <w:rPr>
                <w:rFonts w:hint="eastAsia"/>
              </w:rPr>
              <w:t>250mg/L</w:t>
            </w:r>
          </w:p>
        </w:tc>
      </w:tr>
      <w:tr w:rsidR="00EE56C0">
        <w:trPr>
          <w:cantSplit/>
          <w:trHeight w:val="397"/>
          <w:jc w:val="center"/>
        </w:trPr>
        <w:tc>
          <w:tcPr>
            <w:tcW w:w="534" w:type="pct"/>
            <w:vMerge/>
            <w:vAlign w:val="center"/>
          </w:tcPr>
          <w:p w:rsidR="00EE56C0" w:rsidRDefault="00EE56C0">
            <w:pPr>
              <w:pStyle w:val="afa"/>
            </w:pPr>
          </w:p>
        </w:tc>
        <w:tc>
          <w:tcPr>
            <w:tcW w:w="1264" w:type="pct"/>
            <w:vMerge/>
            <w:vAlign w:val="center"/>
          </w:tcPr>
          <w:p w:rsidR="00EE56C0" w:rsidRDefault="00EE56C0">
            <w:pPr>
              <w:pStyle w:val="afa"/>
            </w:pPr>
          </w:p>
        </w:tc>
        <w:tc>
          <w:tcPr>
            <w:tcW w:w="566" w:type="pct"/>
            <w:vMerge/>
            <w:vAlign w:val="center"/>
          </w:tcPr>
          <w:p w:rsidR="00EE56C0" w:rsidRDefault="00EE56C0">
            <w:pPr>
              <w:pStyle w:val="afa"/>
            </w:pPr>
          </w:p>
        </w:tc>
        <w:tc>
          <w:tcPr>
            <w:tcW w:w="896" w:type="pct"/>
            <w:tcMar>
              <w:top w:w="11" w:type="dxa"/>
              <w:left w:w="57" w:type="dxa"/>
              <w:bottom w:w="11" w:type="dxa"/>
              <w:right w:w="57" w:type="dxa"/>
            </w:tcMar>
            <w:vAlign w:val="center"/>
          </w:tcPr>
          <w:p w:rsidR="00EE56C0" w:rsidRDefault="000F36A1">
            <w:pPr>
              <w:pStyle w:val="afa"/>
            </w:pPr>
            <w:r>
              <w:t>NH</w:t>
            </w:r>
            <w:r>
              <w:rPr>
                <w:vertAlign w:val="subscript"/>
              </w:rPr>
              <w:t>3</w:t>
            </w:r>
            <w:r>
              <w:t>-N</w:t>
            </w:r>
          </w:p>
        </w:tc>
        <w:tc>
          <w:tcPr>
            <w:tcW w:w="1740" w:type="pct"/>
            <w:gridSpan w:val="2"/>
            <w:tcMar>
              <w:top w:w="11" w:type="dxa"/>
              <w:left w:w="57" w:type="dxa"/>
              <w:bottom w:w="11" w:type="dxa"/>
              <w:right w:w="57" w:type="dxa"/>
            </w:tcMar>
            <w:vAlign w:val="center"/>
          </w:tcPr>
          <w:p w:rsidR="00EE56C0" w:rsidRDefault="000F36A1">
            <w:pPr>
              <w:pStyle w:val="afa"/>
            </w:pPr>
            <w:r>
              <w:rPr>
                <w:rFonts w:hint="eastAsia"/>
              </w:rPr>
              <w:t>25mg/L</w:t>
            </w:r>
          </w:p>
        </w:tc>
      </w:tr>
      <w:tr w:rsidR="00EE56C0">
        <w:trPr>
          <w:cantSplit/>
          <w:trHeight w:val="397"/>
          <w:jc w:val="center"/>
        </w:trPr>
        <w:tc>
          <w:tcPr>
            <w:tcW w:w="534" w:type="pct"/>
            <w:vMerge/>
            <w:vAlign w:val="center"/>
          </w:tcPr>
          <w:p w:rsidR="00EE56C0" w:rsidRDefault="00EE56C0">
            <w:pPr>
              <w:pStyle w:val="afa"/>
            </w:pPr>
          </w:p>
        </w:tc>
        <w:tc>
          <w:tcPr>
            <w:tcW w:w="1264" w:type="pct"/>
            <w:vMerge/>
            <w:vAlign w:val="center"/>
          </w:tcPr>
          <w:p w:rsidR="00EE56C0" w:rsidRDefault="00EE56C0">
            <w:pPr>
              <w:pStyle w:val="afa"/>
            </w:pPr>
          </w:p>
        </w:tc>
        <w:tc>
          <w:tcPr>
            <w:tcW w:w="566" w:type="pct"/>
            <w:vMerge/>
            <w:vAlign w:val="center"/>
          </w:tcPr>
          <w:p w:rsidR="00EE56C0" w:rsidRDefault="00EE56C0">
            <w:pPr>
              <w:pStyle w:val="afa"/>
            </w:pPr>
          </w:p>
        </w:tc>
        <w:tc>
          <w:tcPr>
            <w:tcW w:w="896" w:type="pct"/>
            <w:tcMar>
              <w:top w:w="11" w:type="dxa"/>
              <w:left w:w="57" w:type="dxa"/>
              <w:bottom w:w="11" w:type="dxa"/>
              <w:right w:w="57" w:type="dxa"/>
            </w:tcMar>
            <w:vAlign w:val="center"/>
          </w:tcPr>
          <w:p w:rsidR="00EE56C0" w:rsidRDefault="000F36A1">
            <w:pPr>
              <w:pStyle w:val="afa"/>
            </w:pPr>
            <w:r>
              <w:rPr>
                <w:rFonts w:hint="eastAsia"/>
              </w:rPr>
              <w:t>TP</w:t>
            </w:r>
          </w:p>
        </w:tc>
        <w:tc>
          <w:tcPr>
            <w:tcW w:w="1740" w:type="pct"/>
            <w:gridSpan w:val="2"/>
            <w:tcMar>
              <w:top w:w="11" w:type="dxa"/>
              <w:left w:w="57" w:type="dxa"/>
              <w:bottom w:w="11" w:type="dxa"/>
              <w:right w:w="57" w:type="dxa"/>
            </w:tcMar>
            <w:vAlign w:val="center"/>
          </w:tcPr>
          <w:p w:rsidR="00EE56C0" w:rsidRDefault="000F36A1">
            <w:pPr>
              <w:pStyle w:val="afa"/>
            </w:pPr>
            <w:r>
              <w:rPr>
                <w:rFonts w:hint="eastAsia"/>
              </w:rPr>
              <w:t>5mg/ L</w:t>
            </w:r>
          </w:p>
        </w:tc>
      </w:tr>
      <w:tr w:rsidR="00EE56C0">
        <w:trPr>
          <w:cantSplit/>
          <w:trHeight w:val="397"/>
          <w:jc w:val="center"/>
        </w:trPr>
        <w:tc>
          <w:tcPr>
            <w:tcW w:w="534" w:type="pct"/>
            <w:vMerge/>
            <w:vAlign w:val="center"/>
          </w:tcPr>
          <w:p w:rsidR="00EE56C0" w:rsidRDefault="00EE56C0">
            <w:pPr>
              <w:pStyle w:val="afa"/>
            </w:pPr>
          </w:p>
        </w:tc>
        <w:tc>
          <w:tcPr>
            <w:tcW w:w="1264" w:type="pct"/>
            <w:vMerge/>
            <w:vAlign w:val="center"/>
          </w:tcPr>
          <w:p w:rsidR="00EE56C0" w:rsidRDefault="00EE56C0">
            <w:pPr>
              <w:pStyle w:val="afa"/>
            </w:pPr>
          </w:p>
        </w:tc>
        <w:tc>
          <w:tcPr>
            <w:tcW w:w="566" w:type="pct"/>
            <w:vMerge/>
            <w:vAlign w:val="center"/>
          </w:tcPr>
          <w:p w:rsidR="00EE56C0" w:rsidRDefault="00EE56C0">
            <w:pPr>
              <w:pStyle w:val="afa"/>
            </w:pPr>
          </w:p>
        </w:tc>
        <w:tc>
          <w:tcPr>
            <w:tcW w:w="896" w:type="pct"/>
            <w:tcMar>
              <w:top w:w="11" w:type="dxa"/>
              <w:left w:w="57" w:type="dxa"/>
              <w:bottom w:w="11" w:type="dxa"/>
              <w:right w:w="57" w:type="dxa"/>
            </w:tcMar>
            <w:vAlign w:val="center"/>
          </w:tcPr>
          <w:p w:rsidR="00EE56C0" w:rsidRDefault="000F36A1">
            <w:pPr>
              <w:pStyle w:val="afa"/>
            </w:pPr>
            <w:r>
              <w:rPr>
                <w:rFonts w:hint="eastAsia"/>
              </w:rPr>
              <w:t>TN</w:t>
            </w:r>
          </w:p>
        </w:tc>
        <w:tc>
          <w:tcPr>
            <w:tcW w:w="1740" w:type="pct"/>
            <w:gridSpan w:val="2"/>
            <w:tcMar>
              <w:top w:w="11" w:type="dxa"/>
              <w:left w:w="57" w:type="dxa"/>
              <w:bottom w:w="11" w:type="dxa"/>
              <w:right w:w="57" w:type="dxa"/>
            </w:tcMar>
            <w:vAlign w:val="center"/>
          </w:tcPr>
          <w:p w:rsidR="00EE56C0" w:rsidRDefault="000F36A1">
            <w:pPr>
              <w:pStyle w:val="afa"/>
            </w:pPr>
            <w:r>
              <w:rPr>
                <w:rFonts w:hint="eastAsia"/>
              </w:rPr>
              <w:t>45mg/L</w:t>
            </w:r>
          </w:p>
        </w:tc>
      </w:tr>
      <w:tr w:rsidR="00EE56C0">
        <w:trPr>
          <w:cantSplit/>
          <w:trHeight w:val="397"/>
          <w:jc w:val="center"/>
        </w:trPr>
        <w:tc>
          <w:tcPr>
            <w:tcW w:w="534" w:type="pct"/>
            <w:vMerge/>
            <w:vAlign w:val="center"/>
          </w:tcPr>
          <w:p w:rsidR="00EE56C0" w:rsidRDefault="00EE56C0">
            <w:pPr>
              <w:pStyle w:val="afa"/>
            </w:pPr>
          </w:p>
        </w:tc>
        <w:tc>
          <w:tcPr>
            <w:tcW w:w="1264" w:type="pct"/>
            <w:vMerge/>
            <w:vAlign w:val="center"/>
          </w:tcPr>
          <w:p w:rsidR="00EE56C0" w:rsidRDefault="00EE56C0">
            <w:pPr>
              <w:pStyle w:val="afa"/>
            </w:pPr>
          </w:p>
        </w:tc>
        <w:tc>
          <w:tcPr>
            <w:tcW w:w="566" w:type="pct"/>
            <w:vMerge/>
            <w:vAlign w:val="center"/>
          </w:tcPr>
          <w:p w:rsidR="00EE56C0" w:rsidRDefault="00EE56C0">
            <w:pPr>
              <w:pStyle w:val="afa"/>
            </w:pPr>
          </w:p>
        </w:tc>
        <w:tc>
          <w:tcPr>
            <w:tcW w:w="896" w:type="pct"/>
            <w:tcMar>
              <w:top w:w="11" w:type="dxa"/>
              <w:left w:w="57" w:type="dxa"/>
              <w:bottom w:w="11" w:type="dxa"/>
              <w:right w:w="57" w:type="dxa"/>
            </w:tcMar>
            <w:vAlign w:val="center"/>
          </w:tcPr>
          <w:p w:rsidR="00EE56C0" w:rsidRDefault="000F36A1">
            <w:pPr>
              <w:pStyle w:val="afa"/>
            </w:pPr>
            <w:r>
              <w:rPr>
                <w:rFonts w:hint="eastAsia"/>
              </w:rPr>
              <w:t>动植物油</w:t>
            </w:r>
          </w:p>
        </w:tc>
        <w:tc>
          <w:tcPr>
            <w:tcW w:w="1740" w:type="pct"/>
            <w:gridSpan w:val="2"/>
            <w:tcMar>
              <w:top w:w="11" w:type="dxa"/>
              <w:left w:w="57" w:type="dxa"/>
              <w:bottom w:w="11" w:type="dxa"/>
              <w:right w:w="57" w:type="dxa"/>
            </w:tcMar>
            <w:vAlign w:val="center"/>
          </w:tcPr>
          <w:p w:rsidR="00EE56C0" w:rsidRDefault="000F36A1">
            <w:pPr>
              <w:pStyle w:val="afa"/>
            </w:pPr>
            <w:r>
              <w:rPr>
                <w:rFonts w:hint="eastAsia"/>
              </w:rPr>
              <w:t>100mg/L</w:t>
            </w:r>
          </w:p>
        </w:tc>
      </w:tr>
      <w:tr w:rsidR="00EE56C0">
        <w:trPr>
          <w:cantSplit/>
          <w:trHeight w:val="397"/>
          <w:jc w:val="center"/>
        </w:trPr>
        <w:tc>
          <w:tcPr>
            <w:tcW w:w="534" w:type="pct"/>
            <w:vMerge/>
            <w:vAlign w:val="center"/>
          </w:tcPr>
          <w:p w:rsidR="00EE56C0" w:rsidRDefault="00EE56C0">
            <w:pPr>
              <w:pStyle w:val="afa"/>
            </w:pPr>
          </w:p>
        </w:tc>
        <w:tc>
          <w:tcPr>
            <w:tcW w:w="1264" w:type="pct"/>
            <w:vMerge w:val="restart"/>
            <w:vAlign w:val="center"/>
          </w:tcPr>
          <w:p w:rsidR="00EE56C0" w:rsidRDefault="000F36A1">
            <w:pPr>
              <w:pStyle w:val="afa"/>
            </w:pPr>
            <w:r>
              <w:rPr>
                <w:rFonts w:hint="eastAsia"/>
              </w:rPr>
              <w:t>新乡县综合污水处理厂收水标准</w:t>
            </w:r>
          </w:p>
        </w:tc>
        <w:tc>
          <w:tcPr>
            <w:tcW w:w="566" w:type="pct"/>
            <w:vMerge w:val="restart"/>
            <w:vAlign w:val="center"/>
          </w:tcPr>
          <w:p w:rsidR="00EE56C0" w:rsidRDefault="000F36A1">
            <w:pPr>
              <w:pStyle w:val="afa"/>
            </w:pPr>
            <w:r>
              <w:rPr>
                <w:rFonts w:hint="eastAsia"/>
              </w:rPr>
              <w:t>/</w:t>
            </w:r>
          </w:p>
        </w:tc>
        <w:tc>
          <w:tcPr>
            <w:tcW w:w="896" w:type="pct"/>
            <w:tcMar>
              <w:top w:w="11" w:type="dxa"/>
              <w:left w:w="57" w:type="dxa"/>
              <w:bottom w:w="11" w:type="dxa"/>
              <w:right w:w="57" w:type="dxa"/>
            </w:tcMar>
            <w:vAlign w:val="center"/>
          </w:tcPr>
          <w:p w:rsidR="00EE56C0" w:rsidRDefault="000F36A1">
            <w:pPr>
              <w:pStyle w:val="afa"/>
            </w:pPr>
            <w:r>
              <w:t>COD</w:t>
            </w:r>
          </w:p>
        </w:tc>
        <w:tc>
          <w:tcPr>
            <w:tcW w:w="1740" w:type="pct"/>
            <w:gridSpan w:val="2"/>
            <w:tcMar>
              <w:top w:w="11" w:type="dxa"/>
              <w:left w:w="57" w:type="dxa"/>
              <w:bottom w:w="11" w:type="dxa"/>
              <w:right w:w="57" w:type="dxa"/>
            </w:tcMar>
            <w:vAlign w:val="center"/>
          </w:tcPr>
          <w:p w:rsidR="00EE56C0" w:rsidRDefault="000F36A1">
            <w:pPr>
              <w:pStyle w:val="afa"/>
            </w:pPr>
            <w:r>
              <w:rPr>
                <w:rFonts w:hint="eastAsia"/>
              </w:rPr>
              <w:t>400mg/L</w:t>
            </w:r>
          </w:p>
        </w:tc>
      </w:tr>
      <w:tr w:rsidR="00EE56C0">
        <w:trPr>
          <w:cantSplit/>
          <w:trHeight w:val="397"/>
          <w:jc w:val="center"/>
        </w:trPr>
        <w:tc>
          <w:tcPr>
            <w:tcW w:w="534" w:type="pct"/>
            <w:vMerge/>
            <w:vAlign w:val="center"/>
          </w:tcPr>
          <w:p w:rsidR="00EE56C0" w:rsidRDefault="00EE56C0">
            <w:pPr>
              <w:pStyle w:val="afa"/>
            </w:pPr>
          </w:p>
        </w:tc>
        <w:tc>
          <w:tcPr>
            <w:tcW w:w="1264" w:type="pct"/>
            <w:vMerge/>
            <w:vAlign w:val="center"/>
          </w:tcPr>
          <w:p w:rsidR="00EE56C0" w:rsidRDefault="00EE56C0">
            <w:pPr>
              <w:pStyle w:val="afa"/>
            </w:pPr>
          </w:p>
        </w:tc>
        <w:tc>
          <w:tcPr>
            <w:tcW w:w="566" w:type="pct"/>
            <w:vMerge/>
            <w:vAlign w:val="center"/>
          </w:tcPr>
          <w:p w:rsidR="00EE56C0" w:rsidRDefault="00EE56C0">
            <w:pPr>
              <w:pStyle w:val="afa"/>
            </w:pPr>
          </w:p>
        </w:tc>
        <w:tc>
          <w:tcPr>
            <w:tcW w:w="896" w:type="pct"/>
            <w:tcMar>
              <w:top w:w="11" w:type="dxa"/>
              <w:left w:w="57" w:type="dxa"/>
              <w:bottom w:w="11" w:type="dxa"/>
              <w:right w:w="57" w:type="dxa"/>
            </w:tcMar>
            <w:vAlign w:val="center"/>
          </w:tcPr>
          <w:p w:rsidR="00EE56C0" w:rsidRDefault="000F36A1">
            <w:pPr>
              <w:pStyle w:val="afa"/>
            </w:pPr>
            <w:r>
              <w:t>SS</w:t>
            </w:r>
          </w:p>
        </w:tc>
        <w:tc>
          <w:tcPr>
            <w:tcW w:w="1740" w:type="pct"/>
            <w:gridSpan w:val="2"/>
            <w:tcMar>
              <w:top w:w="11" w:type="dxa"/>
              <w:left w:w="57" w:type="dxa"/>
              <w:bottom w:w="11" w:type="dxa"/>
              <w:right w:w="57" w:type="dxa"/>
            </w:tcMar>
            <w:vAlign w:val="center"/>
          </w:tcPr>
          <w:p w:rsidR="00EE56C0" w:rsidRDefault="000F36A1">
            <w:pPr>
              <w:pStyle w:val="afa"/>
            </w:pPr>
            <w:r>
              <w:rPr>
                <w:rFonts w:hint="eastAsia"/>
              </w:rPr>
              <w:t>180mg/L</w:t>
            </w:r>
          </w:p>
        </w:tc>
      </w:tr>
      <w:tr w:rsidR="00EE56C0">
        <w:trPr>
          <w:cantSplit/>
          <w:trHeight w:val="397"/>
          <w:jc w:val="center"/>
        </w:trPr>
        <w:tc>
          <w:tcPr>
            <w:tcW w:w="534" w:type="pct"/>
            <w:vMerge/>
            <w:vAlign w:val="center"/>
          </w:tcPr>
          <w:p w:rsidR="00EE56C0" w:rsidRDefault="00EE56C0">
            <w:pPr>
              <w:pStyle w:val="afa"/>
            </w:pPr>
          </w:p>
        </w:tc>
        <w:tc>
          <w:tcPr>
            <w:tcW w:w="1264" w:type="pct"/>
            <w:vMerge/>
            <w:vAlign w:val="center"/>
          </w:tcPr>
          <w:p w:rsidR="00EE56C0" w:rsidRDefault="00EE56C0">
            <w:pPr>
              <w:pStyle w:val="afa"/>
            </w:pPr>
          </w:p>
        </w:tc>
        <w:tc>
          <w:tcPr>
            <w:tcW w:w="566" w:type="pct"/>
            <w:vMerge/>
            <w:vAlign w:val="center"/>
          </w:tcPr>
          <w:p w:rsidR="00EE56C0" w:rsidRDefault="00EE56C0">
            <w:pPr>
              <w:pStyle w:val="afa"/>
            </w:pPr>
          </w:p>
        </w:tc>
        <w:tc>
          <w:tcPr>
            <w:tcW w:w="896" w:type="pct"/>
            <w:tcMar>
              <w:top w:w="11" w:type="dxa"/>
              <w:left w:w="57" w:type="dxa"/>
              <w:bottom w:w="11" w:type="dxa"/>
              <w:right w:w="57" w:type="dxa"/>
            </w:tcMar>
            <w:vAlign w:val="center"/>
          </w:tcPr>
          <w:p w:rsidR="00EE56C0" w:rsidRDefault="000F36A1">
            <w:pPr>
              <w:pStyle w:val="afa"/>
            </w:pPr>
            <w:r>
              <w:t>NH</w:t>
            </w:r>
            <w:r>
              <w:rPr>
                <w:vertAlign w:val="subscript"/>
              </w:rPr>
              <w:t>3</w:t>
            </w:r>
            <w:r>
              <w:t>-N</w:t>
            </w:r>
          </w:p>
        </w:tc>
        <w:tc>
          <w:tcPr>
            <w:tcW w:w="1740" w:type="pct"/>
            <w:gridSpan w:val="2"/>
            <w:tcMar>
              <w:top w:w="11" w:type="dxa"/>
              <w:left w:w="57" w:type="dxa"/>
              <w:bottom w:w="11" w:type="dxa"/>
              <w:right w:w="57" w:type="dxa"/>
            </w:tcMar>
            <w:vAlign w:val="center"/>
          </w:tcPr>
          <w:p w:rsidR="00EE56C0" w:rsidRDefault="000F36A1">
            <w:pPr>
              <w:pStyle w:val="afa"/>
            </w:pPr>
            <w:r>
              <w:rPr>
                <w:rFonts w:hint="eastAsia"/>
              </w:rPr>
              <w:t>59mg/L</w:t>
            </w:r>
          </w:p>
        </w:tc>
      </w:tr>
      <w:tr w:rsidR="00EE56C0">
        <w:trPr>
          <w:cantSplit/>
          <w:trHeight w:val="397"/>
          <w:jc w:val="center"/>
        </w:trPr>
        <w:tc>
          <w:tcPr>
            <w:tcW w:w="534" w:type="pct"/>
            <w:vMerge/>
            <w:vAlign w:val="center"/>
          </w:tcPr>
          <w:p w:rsidR="00EE56C0" w:rsidRDefault="00EE56C0">
            <w:pPr>
              <w:pStyle w:val="afa"/>
            </w:pPr>
          </w:p>
        </w:tc>
        <w:tc>
          <w:tcPr>
            <w:tcW w:w="1264" w:type="pct"/>
            <w:vMerge/>
            <w:vAlign w:val="center"/>
          </w:tcPr>
          <w:p w:rsidR="00EE56C0" w:rsidRDefault="00EE56C0">
            <w:pPr>
              <w:pStyle w:val="afa"/>
            </w:pPr>
          </w:p>
        </w:tc>
        <w:tc>
          <w:tcPr>
            <w:tcW w:w="566" w:type="pct"/>
            <w:vMerge/>
            <w:vAlign w:val="center"/>
          </w:tcPr>
          <w:p w:rsidR="00EE56C0" w:rsidRDefault="00EE56C0">
            <w:pPr>
              <w:pStyle w:val="afa"/>
            </w:pPr>
          </w:p>
        </w:tc>
        <w:tc>
          <w:tcPr>
            <w:tcW w:w="896" w:type="pct"/>
            <w:tcMar>
              <w:top w:w="11" w:type="dxa"/>
              <w:left w:w="57" w:type="dxa"/>
              <w:bottom w:w="11" w:type="dxa"/>
              <w:right w:w="57" w:type="dxa"/>
            </w:tcMar>
            <w:vAlign w:val="center"/>
          </w:tcPr>
          <w:p w:rsidR="00EE56C0" w:rsidRDefault="000F36A1">
            <w:pPr>
              <w:pStyle w:val="afa"/>
            </w:pPr>
            <w:r>
              <w:rPr>
                <w:rFonts w:hint="eastAsia"/>
              </w:rPr>
              <w:t>TP</w:t>
            </w:r>
          </w:p>
        </w:tc>
        <w:tc>
          <w:tcPr>
            <w:tcW w:w="1740" w:type="pct"/>
            <w:gridSpan w:val="2"/>
            <w:tcMar>
              <w:top w:w="11" w:type="dxa"/>
              <w:left w:w="57" w:type="dxa"/>
              <w:bottom w:w="11" w:type="dxa"/>
              <w:right w:w="57" w:type="dxa"/>
            </w:tcMar>
            <w:vAlign w:val="center"/>
          </w:tcPr>
          <w:p w:rsidR="00EE56C0" w:rsidRDefault="000F36A1">
            <w:pPr>
              <w:pStyle w:val="afa"/>
            </w:pPr>
            <w:r>
              <w:rPr>
                <w:rFonts w:hint="eastAsia"/>
              </w:rPr>
              <w:t>4mg/ L</w:t>
            </w:r>
          </w:p>
        </w:tc>
      </w:tr>
      <w:tr w:rsidR="00EE56C0">
        <w:trPr>
          <w:cantSplit/>
          <w:trHeight w:val="397"/>
          <w:jc w:val="center"/>
        </w:trPr>
        <w:tc>
          <w:tcPr>
            <w:tcW w:w="534" w:type="pct"/>
            <w:vMerge/>
            <w:vAlign w:val="center"/>
          </w:tcPr>
          <w:p w:rsidR="00EE56C0" w:rsidRDefault="00EE56C0">
            <w:pPr>
              <w:pStyle w:val="afa"/>
            </w:pPr>
          </w:p>
        </w:tc>
        <w:tc>
          <w:tcPr>
            <w:tcW w:w="1264" w:type="pct"/>
            <w:vMerge/>
            <w:vAlign w:val="center"/>
          </w:tcPr>
          <w:p w:rsidR="00EE56C0" w:rsidRDefault="00EE56C0">
            <w:pPr>
              <w:pStyle w:val="afa"/>
            </w:pPr>
          </w:p>
        </w:tc>
        <w:tc>
          <w:tcPr>
            <w:tcW w:w="566" w:type="pct"/>
            <w:vMerge/>
            <w:vAlign w:val="center"/>
          </w:tcPr>
          <w:p w:rsidR="00EE56C0" w:rsidRDefault="00EE56C0">
            <w:pPr>
              <w:pStyle w:val="afa"/>
            </w:pPr>
          </w:p>
        </w:tc>
        <w:tc>
          <w:tcPr>
            <w:tcW w:w="896" w:type="pct"/>
            <w:tcMar>
              <w:top w:w="11" w:type="dxa"/>
              <w:left w:w="57" w:type="dxa"/>
              <w:bottom w:w="11" w:type="dxa"/>
              <w:right w:w="57" w:type="dxa"/>
            </w:tcMar>
            <w:vAlign w:val="center"/>
          </w:tcPr>
          <w:p w:rsidR="00EE56C0" w:rsidRDefault="000F36A1">
            <w:pPr>
              <w:pStyle w:val="afa"/>
            </w:pPr>
            <w:r>
              <w:rPr>
                <w:rFonts w:hint="eastAsia"/>
              </w:rPr>
              <w:t>TN</w:t>
            </w:r>
          </w:p>
        </w:tc>
        <w:tc>
          <w:tcPr>
            <w:tcW w:w="1740" w:type="pct"/>
            <w:gridSpan w:val="2"/>
            <w:tcMar>
              <w:top w:w="11" w:type="dxa"/>
              <w:left w:w="57" w:type="dxa"/>
              <w:bottom w:w="11" w:type="dxa"/>
              <w:right w:w="57" w:type="dxa"/>
            </w:tcMar>
            <w:vAlign w:val="center"/>
          </w:tcPr>
          <w:p w:rsidR="00EE56C0" w:rsidRDefault="000F36A1">
            <w:pPr>
              <w:pStyle w:val="afa"/>
            </w:pPr>
            <w:r>
              <w:rPr>
                <w:rFonts w:hint="eastAsia"/>
              </w:rPr>
              <w:t>70mg/L</w:t>
            </w:r>
          </w:p>
        </w:tc>
      </w:tr>
      <w:tr w:rsidR="00EE56C0">
        <w:trPr>
          <w:cantSplit/>
          <w:trHeight w:val="397"/>
          <w:jc w:val="center"/>
        </w:trPr>
        <w:tc>
          <w:tcPr>
            <w:tcW w:w="534" w:type="pct"/>
            <w:vMerge w:val="restart"/>
            <w:vAlign w:val="center"/>
          </w:tcPr>
          <w:p w:rsidR="00EE56C0" w:rsidRDefault="000F36A1">
            <w:pPr>
              <w:pStyle w:val="afa"/>
            </w:pPr>
            <w:r>
              <w:t>噪声</w:t>
            </w:r>
          </w:p>
        </w:tc>
        <w:tc>
          <w:tcPr>
            <w:tcW w:w="1264" w:type="pct"/>
            <w:vMerge w:val="restart"/>
            <w:vAlign w:val="center"/>
          </w:tcPr>
          <w:p w:rsidR="00EE56C0" w:rsidRDefault="000F36A1">
            <w:pPr>
              <w:pStyle w:val="afa"/>
            </w:pPr>
            <w:r>
              <w:t>《工业企业厂界环境噪声排放标准》</w:t>
            </w:r>
            <w:r>
              <w:rPr>
                <w:rFonts w:hint="eastAsia"/>
              </w:rPr>
              <w:t>（</w:t>
            </w:r>
            <w:r>
              <w:t>GB12348-2008</w:t>
            </w:r>
            <w:r>
              <w:rPr>
                <w:rFonts w:hint="eastAsia"/>
              </w:rPr>
              <w:t>）</w:t>
            </w:r>
          </w:p>
        </w:tc>
        <w:tc>
          <w:tcPr>
            <w:tcW w:w="566" w:type="pct"/>
            <w:vMerge w:val="restart"/>
            <w:vAlign w:val="center"/>
          </w:tcPr>
          <w:p w:rsidR="00EE56C0" w:rsidRDefault="000F36A1">
            <w:pPr>
              <w:pStyle w:val="afa"/>
            </w:pPr>
            <w:r>
              <w:rPr>
                <w:rFonts w:hint="eastAsia"/>
              </w:rPr>
              <w:t>3</w:t>
            </w:r>
            <w:r>
              <w:t>类</w:t>
            </w:r>
          </w:p>
        </w:tc>
        <w:tc>
          <w:tcPr>
            <w:tcW w:w="896" w:type="pct"/>
            <w:vMerge w:val="restart"/>
            <w:tcMar>
              <w:top w:w="11" w:type="dxa"/>
              <w:left w:w="57" w:type="dxa"/>
              <w:bottom w:w="11" w:type="dxa"/>
              <w:right w:w="57" w:type="dxa"/>
            </w:tcMar>
            <w:vAlign w:val="center"/>
          </w:tcPr>
          <w:p w:rsidR="00EE56C0" w:rsidRDefault="000F36A1">
            <w:pPr>
              <w:pStyle w:val="afa"/>
            </w:pPr>
            <w:r>
              <w:rPr>
                <w:rFonts w:hint="eastAsia"/>
              </w:rPr>
              <w:t>噪声</w:t>
            </w:r>
          </w:p>
        </w:tc>
        <w:tc>
          <w:tcPr>
            <w:tcW w:w="1740" w:type="pct"/>
            <w:gridSpan w:val="2"/>
            <w:tcMar>
              <w:top w:w="11" w:type="dxa"/>
              <w:left w:w="57" w:type="dxa"/>
              <w:bottom w:w="11" w:type="dxa"/>
              <w:right w:w="57" w:type="dxa"/>
            </w:tcMar>
            <w:vAlign w:val="center"/>
          </w:tcPr>
          <w:p w:rsidR="00EE56C0" w:rsidRDefault="000F36A1">
            <w:pPr>
              <w:pStyle w:val="afa"/>
            </w:pPr>
            <w:r>
              <w:t>昼</w:t>
            </w:r>
            <w:r>
              <w:t>6</w:t>
            </w:r>
            <w:r>
              <w:rPr>
                <w:rFonts w:hint="eastAsia"/>
              </w:rPr>
              <w:t>5</w:t>
            </w:r>
            <w:r>
              <w:t>dB(A)</w:t>
            </w:r>
          </w:p>
        </w:tc>
      </w:tr>
      <w:tr w:rsidR="00EE56C0">
        <w:trPr>
          <w:cantSplit/>
          <w:trHeight w:val="397"/>
          <w:jc w:val="center"/>
        </w:trPr>
        <w:tc>
          <w:tcPr>
            <w:tcW w:w="534" w:type="pct"/>
            <w:vMerge/>
            <w:vAlign w:val="center"/>
          </w:tcPr>
          <w:p w:rsidR="00EE56C0" w:rsidRDefault="00EE56C0">
            <w:pPr>
              <w:pStyle w:val="afa"/>
            </w:pPr>
          </w:p>
        </w:tc>
        <w:tc>
          <w:tcPr>
            <w:tcW w:w="1264" w:type="pct"/>
            <w:vMerge/>
            <w:vAlign w:val="center"/>
          </w:tcPr>
          <w:p w:rsidR="00EE56C0" w:rsidRDefault="00EE56C0">
            <w:pPr>
              <w:pStyle w:val="afa"/>
            </w:pPr>
          </w:p>
        </w:tc>
        <w:tc>
          <w:tcPr>
            <w:tcW w:w="566" w:type="pct"/>
            <w:vMerge/>
            <w:vAlign w:val="center"/>
          </w:tcPr>
          <w:p w:rsidR="00EE56C0" w:rsidRDefault="00EE56C0">
            <w:pPr>
              <w:pStyle w:val="afa"/>
            </w:pPr>
          </w:p>
        </w:tc>
        <w:tc>
          <w:tcPr>
            <w:tcW w:w="896" w:type="pct"/>
            <w:vMerge/>
            <w:tcMar>
              <w:top w:w="11" w:type="dxa"/>
              <w:left w:w="57" w:type="dxa"/>
              <w:bottom w:w="11" w:type="dxa"/>
              <w:right w:w="57" w:type="dxa"/>
            </w:tcMar>
            <w:vAlign w:val="center"/>
          </w:tcPr>
          <w:p w:rsidR="00EE56C0" w:rsidRDefault="00EE56C0">
            <w:pPr>
              <w:pStyle w:val="afa"/>
            </w:pPr>
          </w:p>
        </w:tc>
        <w:tc>
          <w:tcPr>
            <w:tcW w:w="1740" w:type="pct"/>
            <w:gridSpan w:val="2"/>
            <w:tcMar>
              <w:top w:w="11" w:type="dxa"/>
              <w:left w:w="57" w:type="dxa"/>
              <w:bottom w:w="11" w:type="dxa"/>
              <w:right w:w="57" w:type="dxa"/>
            </w:tcMar>
            <w:vAlign w:val="center"/>
          </w:tcPr>
          <w:p w:rsidR="00EE56C0" w:rsidRDefault="000F36A1">
            <w:pPr>
              <w:pStyle w:val="afa"/>
            </w:pPr>
            <w:r>
              <w:t>夜</w:t>
            </w:r>
            <w:r>
              <w:t>5</w:t>
            </w:r>
            <w:r>
              <w:rPr>
                <w:rFonts w:hint="eastAsia"/>
              </w:rPr>
              <w:t>5</w:t>
            </w:r>
            <w:r>
              <w:t>dB(A)</w:t>
            </w:r>
          </w:p>
        </w:tc>
      </w:tr>
      <w:tr w:rsidR="00EE56C0">
        <w:trPr>
          <w:cantSplit/>
          <w:trHeight w:val="397"/>
          <w:jc w:val="center"/>
        </w:trPr>
        <w:tc>
          <w:tcPr>
            <w:tcW w:w="534" w:type="pct"/>
            <w:vMerge w:val="restart"/>
            <w:tcMar>
              <w:top w:w="11" w:type="dxa"/>
              <w:left w:w="57" w:type="dxa"/>
              <w:bottom w:w="11" w:type="dxa"/>
              <w:right w:w="57" w:type="dxa"/>
            </w:tcMar>
            <w:vAlign w:val="center"/>
          </w:tcPr>
          <w:p w:rsidR="00EE56C0" w:rsidRDefault="000F36A1">
            <w:pPr>
              <w:pStyle w:val="afa"/>
            </w:pPr>
            <w:r>
              <w:t>固体</w:t>
            </w:r>
          </w:p>
          <w:p w:rsidR="00EE56C0" w:rsidRDefault="000F36A1">
            <w:pPr>
              <w:pStyle w:val="afa"/>
            </w:pPr>
            <w:r>
              <w:t>废物</w:t>
            </w:r>
          </w:p>
        </w:tc>
        <w:tc>
          <w:tcPr>
            <w:tcW w:w="4466" w:type="pct"/>
            <w:gridSpan w:val="5"/>
            <w:tcMar>
              <w:top w:w="11" w:type="dxa"/>
              <w:left w:w="57" w:type="dxa"/>
              <w:bottom w:w="11" w:type="dxa"/>
              <w:right w:w="57" w:type="dxa"/>
            </w:tcMar>
            <w:vAlign w:val="center"/>
          </w:tcPr>
          <w:p w:rsidR="00EE56C0" w:rsidRDefault="000F36A1">
            <w:pPr>
              <w:pStyle w:val="afa"/>
            </w:pPr>
            <w:r>
              <w:t>《一般工业固体废物贮存和填埋污染控制标准》（</w:t>
            </w:r>
            <w:r>
              <w:t>GB18599-2020</w:t>
            </w:r>
            <w:r>
              <w:t>）</w:t>
            </w:r>
            <w:r>
              <w:rPr>
                <w:rFonts w:hint="eastAsia"/>
              </w:rPr>
              <w:t>中的“防渗漏、防雨淋、防扬尘”要求</w:t>
            </w:r>
          </w:p>
        </w:tc>
      </w:tr>
      <w:tr w:rsidR="00EE56C0">
        <w:trPr>
          <w:cantSplit/>
          <w:trHeight w:val="397"/>
          <w:jc w:val="center"/>
        </w:trPr>
        <w:tc>
          <w:tcPr>
            <w:tcW w:w="534" w:type="pct"/>
            <w:vMerge/>
            <w:tcMar>
              <w:top w:w="11" w:type="dxa"/>
              <w:left w:w="57" w:type="dxa"/>
              <w:bottom w:w="11" w:type="dxa"/>
              <w:right w:w="57" w:type="dxa"/>
            </w:tcMar>
            <w:vAlign w:val="center"/>
          </w:tcPr>
          <w:p w:rsidR="00EE56C0" w:rsidRDefault="00EE56C0">
            <w:pPr>
              <w:pStyle w:val="afa"/>
            </w:pPr>
          </w:p>
        </w:tc>
        <w:tc>
          <w:tcPr>
            <w:tcW w:w="4466" w:type="pct"/>
            <w:gridSpan w:val="5"/>
            <w:tcMar>
              <w:top w:w="11" w:type="dxa"/>
              <w:left w:w="57" w:type="dxa"/>
              <w:bottom w:w="11" w:type="dxa"/>
              <w:right w:w="57" w:type="dxa"/>
            </w:tcMar>
            <w:vAlign w:val="center"/>
          </w:tcPr>
          <w:p w:rsidR="00EE56C0" w:rsidRDefault="000F36A1">
            <w:pPr>
              <w:pStyle w:val="afa"/>
            </w:pPr>
            <w:r>
              <w:t>《危险废物贮存污染控制标准》</w:t>
            </w:r>
            <w:r>
              <w:t>GB18597-2001</w:t>
            </w:r>
            <w:r>
              <w:rPr>
                <w:rFonts w:hint="eastAsia"/>
              </w:rPr>
              <w:t>及</w:t>
            </w:r>
            <w:r>
              <w:rPr>
                <w:rFonts w:hint="eastAsia"/>
              </w:rPr>
              <w:t>2013</w:t>
            </w:r>
            <w:r>
              <w:rPr>
                <w:rFonts w:hint="eastAsia"/>
              </w:rPr>
              <w:t>修改单</w:t>
            </w:r>
          </w:p>
        </w:tc>
      </w:tr>
    </w:tbl>
    <w:p w:rsidR="00EE56C0" w:rsidRDefault="000F36A1">
      <w:pPr>
        <w:spacing w:line="240" w:lineRule="auto"/>
        <w:ind w:firstLine="420"/>
      </w:pPr>
      <w:bookmarkStart w:id="117" w:name="_Toc25400898"/>
      <w:r>
        <w:rPr>
          <w:rFonts w:ascii="黑体" w:eastAsia="黑体" w:hAnsi="黑体" w:hint="eastAsia"/>
          <w:sz w:val="21"/>
        </w:rPr>
        <w:t>注</w:t>
      </w:r>
      <w:r>
        <w:rPr>
          <w:rFonts w:eastAsia="黑体" w:hAnsi="黑体"/>
          <w:sz w:val="21"/>
        </w:rPr>
        <w:t>：</w:t>
      </w:r>
      <w:r>
        <w:rPr>
          <w:rFonts w:eastAsia="黑体" w:hAnsi="黑体" w:hint="eastAsia"/>
          <w:sz w:val="21"/>
          <w:u w:val="single"/>
        </w:rPr>
        <w:t>由于“年产</w:t>
      </w:r>
      <w:r>
        <w:rPr>
          <w:rFonts w:eastAsia="黑体" w:hAnsi="黑体" w:hint="eastAsia"/>
          <w:sz w:val="21"/>
          <w:u w:val="single"/>
        </w:rPr>
        <w:t>200</w:t>
      </w:r>
      <w:r>
        <w:rPr>
          <w:rFonts w:eastAsia="黑体" w:hAnsi="黑体" w:hint="eastAsia"/>
          <w:sz w:val="21"/>
          <w:u w:val="single"/>
        </w:rPr>
        <w:t>万只包装线盘项目”注塑工艺废气依托现有废气措施治理后排放，</w:t>
      </w:r>
      <w:r>
        <w:rPr>
          <w:rFonts w:eastAsia="黑体" w:hAnsi="黑体" w:hint="eastAsia"/>
          <w:sz w:val="21"/>
        </w:rPr>
        <w:t>注塑废气执行</w:t>
      </w:r>
      <w:r>
        <w:rPr>
          <w:rFonts w:eastAsia="黑体" w:hAnsi="黑体"/>
          <w:sz w:val="21"/>
        </w:rPr>
        <w:t>《合成树脂工业污染物排放标准》（</w:t>
      </w:r>
      <w:r>
        <w:rPr>
          <w:rFonts w:eastAsia="黑体"/>
          <w:sz w:val="21"/>
        </w:rPr>
        <w:t>GB31572-2015</w:t>
      </w:r>
      <w:r>
        <w:rPr>
          <w:rFonts w:eastAsia="黑体" w:hAnsi="黑体"/>
          <w:sz w:val="21"/>
        </w:rPr>
        <w:t>）表</w:t>
      </w:r>
      <w:r>
        <w:rPr>
          <w:rFonts w:eastAsia="黑体"/>
          <w:sz w:val="21"/>
        </w:rPr>
        <w:t>4</w:t>
      </w:r>
      <w:r>
        <w:rPr>
          <w:rFonts w:eastAsia="黑体" w:hAnsi="黑体"/>
          <w:sz w:val="21"/>
        </w:rPr>
        <w:t>：</w:t>
      </w:r>
      <w:r>
        <w:rPr>
          <w:rFonts w:eastAsia="黑体" w:hAnsi="黑体"/>
          <w:bCs/>
          <w:sz w:val="21"/>
        </w:rPr>
        <w:t>非甲烷总烃</w:t>
      </w:r>
      <w:r>
        <w:rPr>
          <w:rFonts w:eastAsia="黑体"/>
          <w:bCs/>
          <w:sz w:val="21"/>
        </w:rPr>
        <w:t>100</w:t>
      </w:r>
      <w:r>
        <w:rPr>
          <w:rFonts w:eastAsia="黑体"/>
          <w:sz w:val="21"/>
        </w:rPr>
        <w:t>mg/m</w:t>
      </w:r>
      <w:r>
        <w:rPr>
          <w:rFonts w:eastAsia="黑体"/>
          <w:sz w:val="21"/>
          <w:vertAlign w:val="superscript"/>
        </w:rPr>
        <w:t>3</w:t>
      </w:r>
      <w:r>
        <w:rPr>
          <w:rFonts w:eastAsia="黑体" w:hAnsi="黑体"/>
          <w:sz w:val="21"/>
        </w:rPr>
        <w:t>要求，比《工业涂装工序挥发性有机物排放标准》（</w:t>
      </w:r>
      <w:r>
        <w:rPr>
          <w:rFonts w:eastAsia="黑体"/>
          <w:sz w:val="21"/>
        </w:rPr>
        <w:t>DB41/1951-2020</w:t>
      </w:r>
      <w:r>
        <w:rPr>
          <w:rFonts w:eastAsia="黑体" w:hAnsi="黑体"/>
          <w:sz w:val="21"/>
        </w:rPr>
        <w:t>）</w:t>
      </w:r>
      <w:r>
        <w:rPr>
          <w:rFonts w:eastAsia="黑体" w:hAnsi="黑体"/>
          <w:bCs/>
          <w:sz w:val="21"/>
        </w:rPr>
        <w:t>非甲烷总烃</w:t>
      </w:r>
      <w:r>
        <w:rPr>
          <w:rFonts w:eastAsia="黑体"/>
          <w:bCs/>
          <w:sz w:val="21"/>
        </w:rPr>
        <w:t>50</w:t>
      </w:r>
      <w:r>
        <w:rPr>
          <w:rFonts w:eastAsia="黑体"/>
          <w:sz w:val="21"/>
        </w:rPr>
        <w:t>mg/m</w:t>
      </w:r>
      <w:r>
        <w:rPr>
          <w:rFonts w:eastAsia="黑体"/>
          <w:sz w:val="21"/>
          <w:vertAlign w:val="superscript"/>
        </w:rPr>
        <w:t>3</w:t>
      </w:r>
      <w:r>
        <w:rPr>
          <w:rFonts w:eastAsia="黑体" w:hAnsi="黑体"/>
          <w:sz w:val="21"/>
        </w:rPr>
        <w:t>限值要求宽松，因此非甲烷总烃执行标准不再考虑《合成树脂工业污染物排放标准》（</w:t>
      </w:r>
      <w:r>
        <w:rPr>
          <w:rFonts w:eastAsia="黑体"/>
          <w:sz w:val="21"/>
        </w:rPr>
        <w:t>GB31572-2015</w:t>
      </w:r>
      <w:r>
        <w:rPr>
          <w:rFonts w:eastAsia="黑体" w:hAnsi="黑体"/>
          <w:sz w:val="21"/>
        </w:rPr>
        <w:t>）表</w:t>
      </w:r>
      <w:r>
        <w:rPr>
          <w:rFonts w:eastAsia="黑体"/>
          <w:sz w:val="21"/>
        </w:rPr>
        <w:t>4</w:t>
      </w:r>
      <w:r>
        <w:rPr>
          <w:rFonts w:eastAsia="黑体" w:hAnsi="黑体"/>
          <w:sz w:val="21"/>
        </w:rPr>
        <w:t>：</w:t>
      </w:r>
      <w:r>
        <w:rPr>
          <w:rFonts w:eastAsia="黑体" w:hAnsi="黑体"/>
          <w:bCs/>
          <w:sz w:val="21"/>
        </w:rPr>
        <w:t>非甲烷总烃</w:t>
      </w:r>
      <w:r>
        <w:rPr>
          <w:rFonts w:eastAsia="黑体"/>
          <w:bCs/>
          <w:sz w:val="21"/>
        </w:rPr>
        <w:t>100</w:t>
      </w:r>
      <w:r>
        <w:rPr>
          <w:rFonts w:eastAsia="黑体"/>
          <w:sz w:val="21"/>
        </w:rPr>
        <w:t>mg/m</w:t>
      </w:r>
      <w:r>
        <w:rPr>
          <w:rFonts w:eastAsia="黑体"/>
          <w:sz w:val="21"/>
          <w:vertAlign w:val="superscript"/>
        </w:rPr>
        <w:t>3</w:t>
      </w:r>
      <w:r>
        <w:rPr>
          <w:rFonts w:eastAsia="黑体" w:hAnsi="黑体"/>
          <w:sz w:val="21"/>
        </w:rPr>
        <w:t>限值要求</w:t>
      </w:r>
      <w:r>
        <w:rPr>
          <w:rFonts w:hint="eastAsia"/>
        </w:rPr>
        <w:t>。</w:t>
      </w:r>
    </w:p>
    <w:p w:rsidR="00EE56C0" w:rsidRDefault="000F36A1">
      <w:pPr>
        <w:pStyle w:val="2"/>
        <w:ind w:firstLine="301"/>
      </w:pPr>
      <w:r>
        <w:rPr>
          <w:rFonts w:hint="eastAsia"/>
        </w:rPr>
        <w:lastRenderedPageBreak/>
        <w:t>2.9</w:t>
      </w:r>
      <w:r>
        <w:rPr>
          <w:rFonts w:hint="eastAsia"/>
        </w:rPr>
        <w:t>环境功能区划</w:t>
      </w:r>
      <w:bookmarkEnd w:id="114"/>
      <w:bookmarkEnd w:id="115"/>
      <w:bookmarkEnd w:id="116"/>
      <w:bookmarkEnd w:id="117"/>
    </w:p>
    <w:p w:rsidR="00EE56C0" w:rsidRDefault="000F36A1">
      <w:pPr>
        <w:pStyle w:val="3"/>
        <w:spacing w:before="240" w:after="120"/>
      </w:pPr>
      <w:bookmarkStart w:id="118" w:name="_Toc428287192"/>
      <w:bookmarkStart w:id="119" w:name="_Toc428286798"/>
      <w:bookmarkStart w:id="120" w:name="_Toc428287544"/>
      <w:r>
        <w:rPr>
          <w:rFonts w:hint="eastAsia"/>
        </w:rPr>
        <w:t>2.9.1</w:t>
      </w:r>
      <w:r>
        <w:rPr>
          <w:rFonts w:hint="eastAsia"/>
        </w:rPr>
        <w:t>环境空气</w:t>
      </w:r>
      <w:bookmarkEnd w:id="118"/>
      <w:bookmarkEnd w:id="119"/>
      <w:bookmarkEnd w:id="120"/>
    </w:p>
    <w:p w:rsidR="00EE56C0" w:rsidRDefault="000F36A1">
      <w:pPr>
        <w:ind w:firstLine="480"/>
      </w:pPr>
      <w:r>
        <w:t>评价范围内</w:t>
      </w:r>
      <w:r>
        <w:rPr>
          <w:rFonts w:hint="eastAsia"/>
        </w:rPr>
        <w:t>环境空气</w:t>
      </w:r>
      <w:r>
        <w:t>属二类环境功能区。</w:t>
      </w:r>
    </w:p>
    <w:p w:rsidR="00EE56C0" w:rsidRDefault="000F36A1">
      <w:pPr>
        <w:pStyle w:val="3"/>
        <w:spacing w:before="240" w:after="120"/>
      </w:pPr>
      <w:bookmarkStart w:id="121" w:name="_Toc428286799"/>
      <w:bookmarkStart w:id="122" w:name="_Toc428287545"/>
      <w:bookmarkStart w:id="123" w:name="_Toc428287193"/>
      <w:r>
        <w:rPr>
          <w:rFonts w:hint="eastAsia"/>
        </w:rPr>
        <w:t>2.9.2</w:t>
      </w:r>
      <w:r>
        <w:rPr>
          <w:rFonts w:hint="eastAsia"/>
        </w:rPr>
        <w:t>地表水</w:t>
      </w:r>
      <w:bookmarkEnd w:id="121"/>
      <w:bookmarkEnd w:id="122"/>
      <w:bookmarkEnd w:id="123"/>
    </w:p>
    <w:p w:rsidR="00EE56C0" w:rsidRDefault="000F36A1">
      <w:pPr>
        <w:ind w:firstLine="480"/>
      </w:pPr>
      <w:r>
        <w:t>项目纳污水体为</w:t>
      </w:r>
      <w:r>
        <w:rPr>
          <w:rFonts w:hint="eastAsia"/>
        </w:rPr>
        <w:t>东孟姜女河</w:t>
      </w:r>
      <w:r>
        <w:t>，根据</w:t>
      </w:r>
      <w:r>
        <w:rPr>
          <w:rFonts w:hint="eastAsia"/>
        </w:rPr>
        <w:t>新乡市《“十四五”及</w:t>
      </w:r>
      <w:r>
        <w:rPr>
          <w:rFonts w:hint="eastAsia"/>
        </w:rPr>
        <w:t>2021</w:t>
      </w:r>
      <w:r>
        <w:rPr>
          <w:rFonts w:hint="eastAsia"/>
        </w:rPr>
        <w:t>年地表水环境质量目标》，东孟姜女河为Ⅳ类</w:t>
      </w:r>
      <w:r>
        <w:t>水环境功能区。</w:t>
      </w:r>
    </w:p>
    <w:p w:rsidR="00EE56C0" w:rsidRDefault="000F36A1">
      <w:pPr>
        <w:pStyle w:val="3"/>
        <w:spacing w:before="240" w:after="120"/>
      </w:pPr>
      <w:bookmarkStart w:id="124" w:name="_Toc428287546"/>
      <w:bookmarkStart w:id="125" w:name="_Toc428287194"/>
      <w:bookmarkStart w:id="126" w:name="_Toc428286800"/>
      <w:r>
        <w:rPr>
          <w:rFonts w:hint="eastAsia"/>
        </w:rPr>
        <w:t>2.9.3</w:t>
      </w:r>
      <w:r>
        <w:rPr>
          <w:rFonts w:hint="eastAsia"/>
        </w:rPr>
        <w:t>声环境</w:t>
      </w:r>
      <w:bookmarkEnd w:id="124"/>
      <w:bookmarkEnd w:id="125"/>
      <w:bookmarkEnd w:id="126"/>
    </w:p>
    <w:p w:rsidR="00EE56C0" w:rsidRDefault="000F36A1">
      <w:pPr>
        <w:ind w:firstLine="480"/>
      </w:pPr>
      <w:bookmarkStart w:id="127" w:name="_Toc426019293"/>
      <w:bookmarkStart w:id="128" w:name="_Toc428287195"/>
      <w:bookmarkStart w:id="129" w:name="_Toc428286801"/>
      <w:bookmarkStart w:id="130" w:name="_Toc428287547"/>
      <w:bookmarkStart w:id="131" w:name="_Toc310408256"/>
      <w:r>
        <w:t>按照区域环境功能，项目所在地属于环境噪声</w:t>
      </w:r>
      <w:r>
        <w:rPr>
          <w:rFonts w:hint="eastAsia"/>
        </w:rPr>
        <w:t>3</w:t>
      </w:r>
      <w:r>
        <w:t>类功能区。</w:t>
      </w:r>
    </w:p>
    <w:p w:rsidR="00EE56C0" w:rsidRDefault="000F36A1">
      <w:pPr>
        <w:pStyle w:val="3"/>
        <w:spacing w:before="240" w:after="120"/>
      </w:pPr>
      <w:r>
        <w:rPr>
          <w:rFonts w:hint="eastAsia"/>
        </w:rPr>
        <w:t>2.9.4</w:t>
      </w:r>
      <w:r>
        <w:rPr>
          <w:rFonts w:hint="eastAsia"/>
        </w:rPr>
        <w:t>环境质量现状</w:t>
      </w:r>
      <w:bookmarkEnd w:id="127"/>
      <w:bookmarkEnd w:id="128"/>
      <w:bookmarkEnd w:id="129"/>
      <w:bookmarkEnd w:id="130"/>
      <w:bookmarkEnd w:id="131"/>
    </w:p>
    <w:p w:rsidR="00EE56C0" w:rsidRDefault="000F36A1">
      <w:pPr>
        <w:ind w:firstLine="480"/>
      </w:pPr>
      <w:r>
        <w:rPr>
          <w:rFonts w:hint="eastAsia"/>
        </w:rPr>
        <w:t>环境空气质量：</w:t>
      </w:r>
      <w:r>
        <w:t>评价区</w:t>
      </w:r>
      <w:r>
        <w:rPr>
          <w:rFonts w:hint="eastAsia"/>
        </w:rPr>
        <w:t>基本污染物（</w:t>
      </w:r>
      <w:r>
        <w:t>SO</w:t>
      </w:r>
      <w:r>
        <w:rPr>
          <w:vertAlign w:val="subscript"/>
        </w:rPr>
        <w:t>2</w:t>
      </w:r>
      <w:r>
        <w:t>、</w:t>
      </w:r>
      <w:r>
        <w:t>NO</w:t>
      </w:r>
      <w:r>
        <w:rPr>
          <w:vertAlign w:val="subscript"/>
        </w:rPr>
        <w:t>2</w:t>
      </w:r>
      <w:r>
        <w:t>、</w:t>
      </w:r>
      <w:r>
        <w:t>PM</w:t>
      </w:r>
      <w:r>
        <w:rPr>
          <w:vertAlign w:val="subscript"/>
        </w:rPr>
        <w:t>10</w:t>
      </w:r>
      <w:r>
        <w:t>、</w:t>
      </w:r>
      <w:r>
        <w:t>PM</w:t>
      </w:r>
      <w:r>
        <w:rPr>
          <w:rFonts w:hint="eastAsia"/>
          <w:vertAlign w:val="subscript"/>
        </w:rPr>
        <w:t>2.5</w:t>
      </w:r>
      <w:r>
        <w:t>、</w:t>
      </w:r>
      <w:r>
        <w:rPr>
          <w:rFonts w:hint="eastAsia"/>
        </w:rPr>
        <w:t>CO</w:t>
      </w:r>
      <w:r>
        <w:rPr>
          <w:rFonts w:hint="eastAsia"/>
        </w:rPr>
        <w:t>、</w:t>
      </w:r>
      <w:r>
        <w:rPr>
          <w:rFonts w:hint="eastAsia"/>
        </w:rPr>
        <w:t>O</w:t>
      </w:r>
      <w:r>
        <w:rPr>
          <w:rFonts w:hint="eastAsia"/>
          <w:vertAlign w:val="subscript"/>
        </w:rPr>
        <w:t>3</w:t>
      </w:r>
      <w:r>
        <w:rPr>
          <w:rFonts w:hint="eastAsia"/>
        </w:rPr>
        <w:t>）环境质量现状</w:t>
      </w:r>
      <w:r>
        <w:t>监测结果</w:t>
      </w:r>
      <w:r>
        <w:rPr>
          <w:rFonts w:hint="eastAsia"/>
        </w:rPr>
        <w:t>不</w:t>
      </w:r>
      <w:r>
        <w:t>能</w:t>
      </w:r>
      <w:r>
        <w:rPr>
          <w:rFonts w:hint="eastAsia"/>
        </w:rPr>
        <w:t>全部</w:t>
      </w:r>
      <w:r>
        <w:t>满足《环境空气质量标准》（</w:t>
      </w:r>
      <w:r>
        <w:t>GB3095-2012</w:t>
      </w:r>
      <w:r>
        <w:t>）二级标准要求</w:t>
      </w:r>
      <w:r>
        <w:rPr>
          <w:rFonts w:hint="eastAsia"/>
        </w:rPr>
        <w:t>，属于不达标区。</w:t>
      </w:r>
      <w:r>
        <w:t>评价区</w:t>
      </w:r>
      <w:r>
        <w:rPr>
          <w:rFonts w:hint="eastAsia"/>
        </w:rPr>
        <w:t>其他污染物：苯、甲苯、二甲苯《环境影响评价技术导则</w:t>
      </w:r>
      <w:r>
        <w:rPr>
          <w:rFonts w:hint="eastAsia"/>
        </w:rPr>
        <w:t xml:space="preserve"> </w:t>
      </w:r>
      <w:r>
        <w:rPr>
          <w:rFonts w:hint="eastAsia"/>
        </w:rPr>
        <w:t>大气环境》（</w:t>
      </w:r>
      <w:r>
        <w:rPr>
          <w:rFonts w:hint="eastAsia"/>
        </w:rPr>
        <w:t>HJ2.2-2018</w:t>
      </w:r>
      <w:r>
        <w:rPr>
          <w:rFonts w:hint="eastAsia"/>
        </w:rPr>
        <w:t>）附录</w:t>
      </w:r>
      <w:r>
        <w:rPr>
          <w:rFonts w:hint="eastAsia"/>
        </w:rPr>
        <w:t>D</w:t>
      </w:r>
      <w:r>
        <w:rPr>
          <w:rFonts w:hint="eastAsia"/>
        </w:rPr>
        <w:t>的限值要求；非甲烷总烃环境质量现状够满足根据《大气综合污染物排放标准详解》第四章标准值说明</w:t>
      </w:r>
      <w:r>
        <w:t>-</w:t>
      </w:r>
      <w:r>
        <w:rPr>
          <w:rFonts w:hint="eastAsia"/>
        </w:rPr>
        <w:t>三十一、非甲烷总烃的限值要求；酚环境质量现状够满足</w:t>
      </w:r>
      <w:r>
        <w:rPr>
          <w:rFonts w:hint="eastAsia"/>
          <w:b/>
          <w:u w:val="single"/>
        </w:rPr>
        <w:t>《居住区大气中酚卫生标准》（</w:t>
      </w:r>
      <w:r>
        <w:rPr>
          <w:rFonts w:hint="eastAsia"/>
          <w:b/>
          <w:u w:val="single"/>
        </w:rPr>
        <w:t>GB18067-2000</w:t>
      </w:r>
      <w:r>
        <w:rPr>
          <w:rFonts w:hint="eastAsia"/>
          <w:b/>
          <w:u w:val="single"/>
        </w:rPr>
        <w:t>）</w:t>
      </w:r>
      <w:r>
        <w:rPr>
          <w:rFonts w:hint="eastAsia"/>
        </w:rPr>
        <w:t>的限值要求。</w:t>
      </w:r>
    </w:p>
    <w:p w:rsidR="00EE56C0" w:rsidRDefault="000F36A1">
      <w:pPr>
        <w:ind w:firstLine="480"/>
      </w:pPr>
      <w:r>
        <w:rPr>
          <w:rFonts w:hint="eastAsia"/>
        </w:rPr>
        <w:t>地表水环境：该项目纳污水体为东孟姜女河</w:t>
      </w:r>
      <w:r>
        <w:t>，</w:t>
      </w:r>
      <w:r>
        <w:rPr>
          <w:rFonts w:hint="eastAsia"/>
        </w:rPr>
        <w:t>功能区划类别为Ⅳ类，根据新乡市环境监测站编制的监测通报，水质未达到《地表水环境质量标准》（</w:t>
      </w:r>
      <w:r>
        <w:rPr>
          <w:rFonts w:hint="eastAsia"/>
        </w:rPr>
        <w:t>GB3838-2002</w:t>
      </w:r>
      <w:r>
        <w:rPr>
          <w:rFonts w:hint="eastAsia"/>
        </w:rPr>
        <w:t>）Ⅳ类标准。</w:t>
      </w:r>
    </w:p>
    <w:p w:rsidR="00EE56C0" w:rsidRDefault="000F36A1">
      <w:pPr>
        <w:ind w:firstLine="480"/>
      </w:pPr>
      <w:r>
        <w:rPr>
          <w:rFonts w:hint="eastAsia"/>
        </w:rPr>
        <w:t>地下水环境：根据监测结果，评价区地下水</w:t>
      </w:r>
      <w:r>
        <w:rPr>
          <w:rFonts w:hint="eastAsia"/>
        </w:rPr>
        <w:t>pH</w:t>
      </w:r>
      <w:r>
        <w:rPr>
          <w:rFonts w:hint="eastAsia"/>
        </w:rPr>
        <w:t>、耗氧量、氨氮等指标均能满足《地下水质量标准》（</w:t>
      </w:r>
      <w:r>
        <w:rPr>
          <w:rFonts w:hint="eastAsia"/>
        </w:rPr>
        <w:t>GB/T14848-2017</w:t>
      </w:r>
      <w:r>
        <w:rPr>
          <w:rFonts w:hint="eastAsia"/>
        </w:rPr>
        <w:t>）Ⅲ类的标准要求。</w:t>
      </w:r>
    </w:p>
    <w:p w:rsidR="00EE56C0" w:rsidRDefault="000F36A1">
      <w:pPr>
        <w:ind w:firstLine="480"/>
      </w:pPr>
      <w:r>
        <w:rPr>
          <w:rFonts w:hint="eastAsia"/>
        </w:rPr>
        <w:t>声环境：项目周围声环境质量能达到《声环境质量标准》（</w:t>
      </w:r>
      <w:r>
        <w:t>GB3096</w:t>
      </w:r>
      <w:r>
        <w:rPr>
          <w:rFonts w:hint="eastAsia"/>
        </w:rPr>
        <w:t>-2008</w:t>
      </w:r>
      <w:r>
        <w:rPr>
          <w:rFonts w:hint="eastAsia"/>
        </w:rPr>
        <w:t>）</w:t>
      </w:r>
      <w:r>
        <w:rPr>
          <w:rFonts w:hint="eastAsia"/>
        </w:rPr>
        <w:t>3</w:t>
      </w:r>
      <w:r>
        <w:rPr>
          <w:rFonts w:hint="eastAsia"/>
        </w:rPr>
        <w:t>类标准。</w:t>
      </w:r>
    </w:p>
    <w:p w:rsidR="00EE56C0" w:rsidRDefault="000F36A1">
      <w:pPr>
        <w:ind w:firstLine="480"/>
      </w:pPr>
      <w:r>
        <w:rPr>
          <w:rFonts w:hint="eastAsia"/>
        </w:rPr>
        <w:t>土壤环境：项目区域土壤环境能达到</w:t>
      </w:r>
      <w:r>
        <w:rPr>
          <w:rFonts w:hAnsi="宋体" w:hint="eastAsia"/>
        </w:rPr>
        <w:t>《土壤环境质量</w:t>
      </w:r>
      <w:r>
        <w:rPr>
          <w:rFonts w:hAnsi="宋体"/>
        </w:rPr>
        <w:t>-</w:t>
      </w:r>
      <w:r>
        <w:rPr>
          <w:rFonts w:hAnsi="宋体" w:hint="eastAsia"/>
        </w:rPr>
        <w:t>建设用地土壤污染风</w:t>
      </w:r>
      <w:r>
        <w:rPr>
          <w:rFonts w:hAnsi="宋体" w:hint="eastAsia"/>
        </w:rPr>
        <w:lastRenderedPageBreak/>
        <w:t>险管控标准（试行）》（</w:t>
      </w:r>
      <w:r>
        <w:rPr>
          <w:rFonts w:hAnsi="宋体"/>
        </w:rPr>
        <w:t>GB36600-2018</w:t>
      </w:r>
      <w:r>
        <w:rPr>
          <w:rFonts w:hAnsi="宋体" w:hint="eastAsia"/>
        </w:rPr>
        <w:t>）。</w:t>
      </w:r>
    </w:p>
    <w:p w:rsidR="00EE56C0" w:rsidRDefault="000F36A1">
      <w:pPr>
        <w:pStyle w:val="2"/>
        <w:ind w:firstLine="301"/>
      </w:pPr>
      <w:bookmarkStart w:id="132" w:name="_Toc429318392"/>
      <w:bookmarkStart w:id="133" w:name="_Toc428286794"/>
      <w:bookmarkStart w:id="134" w:name="_Toc428287188"/>
      <w:bookmarkStart w:id="135" w:name="_Toc25400899"/>
      <w:bookmarkStart w:id="136" w:name="_Toc429318395"/>
      <w:bookmarkStart w:id="137" w:name="_Toc428287200"/>
      <w:bookmarkStart w:id="138" w:name="_Toc395517229"/>
      <w:bookmarkStart w:id="139" w:name="_Toc417375756"/>
      <w:bookmarkStart w:id="140" w:name="_Toc428286806"/>
      <w:r>
        <w:rPr>
          <w:rFonts w:hint="eastAsia"/>
        </w:rPr>
        <w:t>2.10</w:t>
      </w:r>
      <w:r>
        <w:rPr>
          <w:rFonts w:hint="eastAsia"/>
        </w:rPr>
        <w:t>规划相符性分析</w:t>
      </w:r>
      <w:bookmarkEnd w:id="132"/>
      <w:bookmarkEnd w:id="133"/>
      <w:bookmarkEnd w:id="134"/>
      <w:bookmarkEnd w:id="135"/>
    </w:p>
    <w:p w:rsidR="00EE56C0" w:rsidRDefault="000F36A1">
      <w:pPr>
        <w:pStyle w:val="3"/>
        <w:spacing w:before="240" w:after="120"/>
      </w:pPr>
      <w:bookmarkStart w:id="141" w:name="_Toc428287189"/>
      <w:bookmarkStart w:id="142" w:name="_Toc428287541"/>
      <w:bookmarkStart w:id="143" w:name="_Toc428286795"/>
      <w:r>
        <w:rPr>
          <w:rFonts w:hint="eastAsia"/>
        </w:rPr>
        <w:t>2.10.1</w:t>
      </w:r>
      <w:r>
        <w:rPr>
          <w:rFonts w:hint="eastAsia"/>
        </w:rPr>
        <w:t>《</w:t>
      </w:r>
      <w:r>
        <w:t>新乡</w:t>
      </w:r>
      <w:r>
        <w:rPr>
          <w:rFonts w:hint="eastAsia"/>
        </w:rPr>
        <w:t>县城乡</w:t>
      </w:r>
      <w:r>
        <w:t>总体规划</w:t>
      </w:r>
      <w:bookmarkEnd w:id="141"/>
      <w:bookmarkEnd w:id="142"/>
      <w:bookmarkEnd w:id="143"/>
      <w:r>
        <w:rPr>
          <w:rFonts w:hint="eastAsia"/>
        </w:rPr>
        <w:t>（</w:t>
      </w:r>
      <w:r>
        <w:rPr>
          <w:rFonts w:hint="eastAsia"/>
        </w:rPr>
        <w:t>2012-2030</w:t>
      </w:r>
      <w:r>
        <w:rPr>
          <w:rFonts w:hint="eastAsia"/>
        </w:rPr>
        <w:t>年）》</w:t>
      </w:r>
    </w:p>
    <w:p w:rsidR="00EE56C0" w:rsidRDefault="000F36A1">
      <w:pPr>
        <w:pStyle w:val="4"/>
        <w:ind w:left="120" w:firstLine="241"/>
      </w:pPr>
      <w:r>
        <w:rPr>
          <w:rFonts w:hint="eastAsia"/>
        </w:rPr>
        <w:t>2.10.1.1</w:t>
      </w:r>
      <w:r>
        <w:t>规划</w:t>
      </w:r>
      <w:r>
        <w:rPr>
          <w:rFonts w:hint="eastAsia"/>
        </w:rPr>
        <w:t>目标</w:t>
      </w:r>
    </w:p>
    <w:p w:rsidR="00EE56C0" w:rsidRDefault="000F36A1">
      <w:pPr>
        <w:ind w:firstLine="480"/>
      </w:pPr>
      <w:r>
        <w:t>（一）有机更新的生态宜居城市。大力提升中心城区的居住品质，美化居住环境，建设与生态环境和谐共生的、宜居的生态型城市。</w:t>
      </w:r>
    </w:p>
    <w:p w:rsidR="00EE56C0" w:rsidRDefault="000F36A1">
      <w:pPr>
        <w:ind w:firstLine="480"/>
      </w:pPr>
      <w:r>
        <w:t>（二）产城一体的空间结构。以产兴城，以城促产，促进二者的有机融合。协调产业集聚区与县城的发展关系，形成二者的基础设施对接化、城区功能的一体化。</w:t>
      </w:r>
    </w:p>
    <w:p w:rsidR="00EE56C0" w:rsidRDefault="000F36A1">
      <w:pPr>
        <w:ind w:firstLine="480"/>
      </w:pPr>
      <w:r>
        <w:t>（三）可持续发展的空间架构。大力推进城区的内涵式发展，增强城区的服务职能，织补、缝合内部的建设用地，积极推进人口的集聚、产业的集聚与城市功能的完善。</w:t>
      </w:r>
    </w:p>
    <w:p w:rsidR="00EE56C0" w:rsidRDefault="000F36A1">
      <w:pPr>
        <w:ind w:firstLine="480"/>
      </w:pPr>
      <w:r>
        <w:t>（四）新乡市的环外新城。统筹县城与新乡市区的发展关系，做好二者之间的功能互补、产业分工以及设施共享。</w:t>
      </w:r>
    </w:p>
    <w:p w:rsidR="00EE56C0" w:rsidRDefault="000F36A1">
      <w:pPr>
        <w:pStyle w:val="4"/>
        <w:ind w:left="120" w:firstLine="241"/>
      </w:pPr>
      <w:r>
        <w:rPr>
          <w:rFonts w:hint="eastAsia"/>
        </w:rPr>
        <w:t>2.10.1.2</w:t>
      </w:r>
      <w:r>
        <w:rPr>
          <w:rFonts w:hint="eastAsia"/>
        </w:rPr>
        <w:t>城市范围</w:t>
      </w:r>
    </w:p>
    <w:p w:rsidR="00EE56C0" w:rsidRDefault="000F36A1">
      <w:pPr>
        <w:ind w:firstLine="480"/>
      </w:pPr>
      <w:r>
        <w:t>西至西孟姜女河、东至石武客运高铁、南北分别至县界，涵盖了小冀、七里营、朗公庙、翟坡镇四个乡镇，总面积约为</w:t>
      </w:r>
      <w:r>
        <w:t>231</w:t>
      </w:r>
      <w:r>
        <w:t>平方公里。</w:t>
      </w:r>
    </w:p>
    <w:p w:rsidR="00EE56C0" w:rsidRDefault="000F36A1">
      <w:pPr>
        <w:pStyle w:val="4"/>
        <w:ind w:left="120" w:firstLine="241"/>
      </w:pPr>
      <w:r>
        <w:rPr>
          <w:rFonts w:hint="eastAsia"/>
        </w:rPr>
        <w:t>2.10.1.3</w:t>
      </w:r>
      <w:r>
        <w:rPr>
          <w:rFonts w:hint="eastAsia"/>
        </w:rPr>
        <w:t>城市性质</w:t>
      </w:r>
    </w:p>
    <w:p w:rsidR="00EE56C0" w:rsidRDefault="000F36A1">
      <w:pPr>
        <w:ind w:firstLine="480"/>
      </w:pPr>
      <w:r>
        <w:t>新乡都市区南部城市组团，以机械制造、生物医药、精细化工、现代服务业为主导的生态宜居城市，著名红色旅游目的地。</w:t>
      </w:r>
    </w:p>
    <w:p w:rsidR="00EE56C0" w:rsidRDefault="000F36A1">
      <w:pPr>
        <w:pStyle w:val="4"/>
        <w:ind w:left="120" w:firstLine="241"/>
      </w:pPr>
      <w:r>
        <w:rPr>
          <w:rFonts w:hint="eastAsia"/>
        </w:rPr>
        <w:t>2.10.1.4</w:t>
      </w:r>
      <w:r>
        <w:t>人口规模</w:t>
      </w:r>
    </w:p>
    <w:p w:rsidR="00EE56C0" w:rsidRDefault="000F36A1">
      <w:pPr>
        <w:ind w:firstLine="480"/>
      </w:pPr>
      <w:r>
        <w:t>中心城区人口规模近期达</w:t>
      </w:r>
      <w:r>
        <w:t>17</w:t>
      </w:r>
      <w:r>
        <w:t>万人，中期达</w:t>
      </w:r>
      <w:r>
        <w:t>24</w:t>
      </w:r>
      <w:r>
        <w:t>万人，远期达</w:t>
      </w:r>
      <w:r>
        <w:t>35</w:t>
      </w:r>
      <w:r>
        <w:t>万人。</w:t>
      </w:r>
    </w:p>
    <w:p w:rsidR="00EE56C0" w:rsidRDefault="000F36A1">
      <w:pPr>
        <w:pStyle w:val="4"/>
        <w:ind w:left="120" w:firstLine="241"/>
      </w:pPr>
      <w:r>
        <w:rPr>
          <w:rFonts w:hint="eastAsia"/>
        </w:rPr>
        <w:t>2.10.1.5</w:t>
      </w:r>
      <w:r>
        <w:t>用地规模</w:t>
      </w:r>
    </w:p>
    <w:p w:rsidR="00EE56C0" w:rsidRDefault="000F36A1">
      <w:pPr>
        <w:ind w:firstLine="540"/>
      </w:pPr>
      <w:r>
        <w:rPr>
          <w:rFonts w:hAnsi="宋体"/>
          <w:sz w:val="27"/>
        </w:rPr>
        <w:t>202</w:t>
      </w:r>
      <w:r>
        <w:t>0</w:t>
      </w:r>
      <w:r>
        <w:t>年规划城市建设用地</w:t>
      </w:r>
      <w:r>
        <w:t>31 km²</w:t>
      </w:r>
      <w:r>
        <w:t>，人均控制在</w:t>
      </w:r>
      <w:r>
        <w:t>140m²/</w:t>
      </w:r>
      <w:r>
        <w:t>人以内。</w:t>
      </w:r>
      <w:r>
        <w:t>2030</w:t>
      </w:r>
      <w:r>
        <w:t>年规划城市建设用地</w:t>
      </w:r>
      <w:r>
        <w:t xml:space="preserve"> 40km²</w:t>
      </w:r>
      <w:r>
        <w:t>，人均控制在</w:t>
      </w:r>
      <w:r>
        <w:t>115m</w:t>
      </w:r>
      <w:r>
        <w:rPr>
          <w:vertAlign w:val="superscript"/>
        </w:rPr>
        <w:t>2</w:t>
      </w:r>
      <w:r>
        <w:t>以内</w:t>
      </w:r>
      <w:r>
        <w:rPr>
          <w:rFonts w:ascii="宋体" w:hAnsi="宋体"/>
          <w:sz w:val="27"/>
        </w:rPr>
        <w:t>。</w:t>
      </w:r>
      <w:r>
        <w:t>。</w:t>
      </w:r>
    </w:p>
    <w:p w:rsidR="00EE56C0" w:rsidRDefault="000F36A1">
      <w:pPr>
        <w:pStyle w:val="4"/>
        <w:ind w:left="120" w:firstLine="241"/>
      </w:pPr>
      <w:r>
        <w:rPr>
          <w:rFonts w:hint="eastAsia"/>
        </w:rPr>
        <w:lastRenderedPageBreak/>
        <w:t>2.10.1.6</w:t>
      </w:r>
      <w:r>
        <w:rPr>
          <w:rFonts w:hint="eastAsia"/>
        </w:rPr>
        <w:t>城市空间布局结构</w:t>
      </w:r>
    </w:p>
    <w:p w:rsidR="00EE56C0" w:rsidRDefault="000F36A1">
      <w:pPr>
        <w:ind w:firstLine="480"/>
        <w:rPr>
          <w:szCs w:val="24"/>
        </w:rPr>
      </w:pPr>
      <w:r>
        <w:rPr>
          <w:szCs w:val="24"/>
        </w:rPr>
        <w:t>形成</w:t>
      </w:r>
      <w:r>
        <w:rPr>
          <w:rFonts w:hint="eastAsia"/>
          <w:szCs w:val="24"/>
        </w:rPr>
        <w:t>“</w:t>
      </w:r>
      <w:r>
        <w:rPr>
          <w:szCs w:val="24"/>
        </w:rPr>
        <w:t>一轴三心、三廊六片</w:t>
      </w:r>
      <w:r>
        <w:rPr>
          <w:rFonts w:hint="eastAsia"/>
          <w:szCs w:val="24"/>
        </w:rPr>
        <w:t>”</w:t>
      </w:r>
      <w:r>
        <w:rPr>
          <w:szCs w:val="24"/>
        </w:rPr>
        <w:t>的空间结构。</w:t>
      </w:r>
    </w:p>
    <w:p w:rsidR="00EE56C0" w:rsidRDefault="000F36A1">
      <w:pPr>
        <w:ind w:firstLine="480"/>
        <w:rPr>
          <w:rFonts w:ascii="宋体" w:hAnsi="宋体"/>
          <w:szCs w:val="24"/>
        </w:rPr>
      </w:pPr>
      <w:r>
        <w:rPr>
          <w:rFonts w:ascii="宋体" w:hAnsi="宋体"/>
          <w:szCs w:val="24"/>
        </w:rPr>
        <w:t>“一轴”</w:t>
      </w:r>
      <w:r>
        <w:rPr>
          <w:rFonts w:ascii="宋体" w:hAnsi="宋体" w:hint="eastAsia"/>
          <w:szCs w:val="24"/>
        </w:rPr>
        <w:t>：</w:t>
      </w:r>
      <w:r>
        <w:rPr>
          <w:rFonts w:ascii="宋体" w:hAnsi="宋体"/>
          <w:szCs w:val="24"/>
        </w:rPr>
        <w:t>中央大道南北城市综合发展轴线。依托中央大道联系起新城商务中心以及老的行政中心，构建起城区的公共服务设施延展脊，体现出新乡县城区的空间拓展进程与现代城市风貌。</w:t>
      </w:r>
    </w:p>
    <w:p w:rsidR="00EE56C0" w:rsidRDefault="000F36A1">
      <w:pPr>
        <w:ind w:firstLine="480"/>
        <w:rPr>
          <w:rFonts w:ascii="宋体" w:hAnsi="宋体"/>
          <w:szCs w:val="24"/>
        </w:rPr>
      </w:pPr>
      <w:r>
        <w:rPr>
          <w:rFonts w:ascii="宋体" w:hAnsi="宋体"/>
          <w:szCs w:val="24"/>
        </w:rPr>
        <w:t>“三心”</w:t>
      </w:r>
      <w:r>
        <w:rPr>
          <w:rFonts w:ascii="宋体" w:hAnsi="宋体" w:hint="eastAsia"/>
          <w:szCs w:val="24"/>
        </w:rPr>
        <w:t>：</w:t>
      </w:r>
      <w:r>
        <w:rPr>
          <w:rFonts w:ascii="宋体" w:hAnsi="宋体"/>
          <w:szCs w:val="24"/>
        </w:rPr>
        <w:t>分别为城市综合服务中心、小冀商贸服务中心以及金融服务中心，强化三大中心的公共服务职能，加速提升城区的整体的服务能力，成为新乡县城的生活开放空间、城市客厅和服务平台。</w:t>
      </w:r>
    </w:p>
    <w:p w:rsidR="00EE56C0" w:rsidRDefault="000F36A1">
      <w:pPr>
        <w:ind w:firstLine="480"/>
        <w:rPr>
          <w:rFonts w:ascii="宋体" w:hAnsi="宋体"/>
          <w:szCs w:val="24"/>
        </w:rPr>
      </w:pPr>
      <w:r>
        <w:rPr>
          <w:rFonts w:ascii="宋体" w:hAnsi="宋体"/>
          <w:szCs w:val="24"/>
        </w:rPr>
        <w:t>“三廊”</w:t>
      </w:r>
      <w:r>
        <w:rPr>
          <w:rFonts w:ascii="宋体" w:hAnsi="宋体" w:hint="eastAsia"/>
          <w:szCs w:val="24"/>
        </w:rPr>
        <w:t>：</w:t>
      </w:r>
      <w:r>
        <w:rPr>
          <w:rFonts w:ascii="宋体" w:hAnsi="宋体"/>
          <w:szCs w:val="24"/>
        </w:rPr>
        <w:t>分别为沿京广铁路生态廊道、人民胜利渠生态廊道以及东孟姜女河生态廊道，积极疏通河道水系，维护基地原有生态系统和水文系统，提高城市防洪排涝能力，为城市建设集中区提供碳汇空间，改善小气候，同时提供市民休闲场所。</w:t>
      </w:r>
    </w:p>
    <w:p w:rsidR="00EE56C0" w:rsidRDefault="000F36A1">
      <w:pPr>
        <w:ind w:firstLine="480"/>
        <w:rPr>
          <w:szCs w:val="24"/>
        </w:rPr>
      </w:pPr>
      <w:r>
        <w:rPr>
          <w:rFonts w:ascii="宋体" w:hAnsi="宋体"/>
          <w:szCs w:val="24"/>
        </w:rPr>
        <w:t>“六片”</w:t>
      </w:r>
      <w:r>
        <w:rPr>
          <w:rFonts w:ascii="宋体" w:hAnsi="宋体" w:hint="eastAsia"/>
          <w:szCs w:val="24"/>
        </w:rPr>
        <w:t>：</w:t>
      </w:r>
      <w:r>
        <w:rPr>
          <w:rFonts w:ascii="宋体" w:hAnsi="宋体"/>
          <w:szCs w:val="24"/>
        </w:rPr>
        <w:t>人民胜利渠以北、中央大道以西以及京广铁路之间的区域为小冀居住片区；人民胜利渠以南、中央大道以西为七里营居住片区；人民胜利渠以南、中央大道以东为新城居住片区；七里营南环路以南以及小冀镇北部分别为产业集聚区南区、产业集聚区北区</w:t>
      </w:r>
      <w:r>
        <w:rPr>
          <w:rFonts w:ascii="宋体" w:hAnsi="宋体" w:hint="eastAsia"/>
          <w:szCs w:val="24"/>
        </w:rPr>
        <w:t>。</w:t>
      </w:r>
    </w:p>
    <w:p w:rsidR="00EE56C0" w:rsidRDefault="000F36A1">
      <w:pPr>
        <w:pStyle w:val="4"/>
        <w:ind w:left="120" w:firstLine="241"/>
        <w:rPr>
          <w:szCs w:val="24"/>
        </w:rPr>
      </w:pPr>
      <w:r>
        <w:rPr>
          <w:rFonts w:hint="eastAsia"/>
          <w:szCs w:val="24"/>
        </w:rPr>
        <w:t>2.10.1.7</w:t>
      </w:r>
      <w:r>
        <w:rPr>
          <w:rFonts w:hint="eastAsia"/>
          <w:szCs w:val="24"/>
        </w:rPr>
        <w:t>市政基础设施</w:t>
      </w:r>
    </w:p>
    <w:p w:rsidR="00EE56C0" w:rsidRDefault="000F36A1">
      <w:pPr>
        <w:ind w:firstLine="480"/>
        <w:rPr>
          <w:szCs w:val="24"/>
        </w:rPr>
      </w:pPr>
      <w:r>
        <w:rPr>
          <w:rFonts w:hint="eastAsia"/>
          <w:szCs w:val="24"/>
        </w:rPr>
        <w:t>（一）给水工程规划</w:t>
      </w:r>
    </w:p>
    <w:p w:rsidR="00EE56C0" w:rsidRDefault="000F36A1">
      <w:pPr>
        <w:ind w:firstLine="480"/>
        <w:rPr>
          <w:rFonts w:ascii="宋体" w:hAnsi="宋体"/>
          <w:szCs w:val="24"/>
        </w:rPr>
      </w:pPr>
      <w:r>
        <w:rPr>
          <w:rFonts w:ascii="宋体" w:hAnsi="宋体" w:hint="eastAsia"/>
          <w:szCs w:val="24"/>
        </w:rPr>
        <w:t>1、</w:t>
      </w:r>
      <w:r>
        <w:rPr>
          <w:rFonts w:ascii="宋体" w:hAnsi="宋体"/>
          <w:szCs w:val="24"/>
        </w:rPr>
        <w:t>用水量</w:t>
      </w:r>
    </w:p>
    <w:p w:rsidR="00EE56C0" w:rsidRDefault="000F36A1">
      <w:pPr>
        <w:ind w:firstLine="480"/>
        <w:rPr>
          <w:rFonts w:ascii="宋体" w:hAnsi="宋体"/>
          <w:szCs w:val="24"/>
        </w:rPr>
      </w:pPr>
      <w:r>
        <w:rPr>
          <w:rFonts w:ascii="宋体" w:hAnsi="宋体"/>
          <w:szCs w:val="24"/>
        </w:rPr>
        <w:t>规划远期中心城区人均综合用水量指标中心城区取</w:t>
      </w:r>
      <w:r>
        <w:rPr>
          <w:rFonts w:hAnsi="宋体"/>
          <w:szCs w:val="24"/>
        </w:rPr>
        <w:t>450 L/</w:t>
      </w:r>
      <w:r>
        <w:rPr>
          <w:rFonts w:ascii="宋体" w:hAnsi="宋体"/>
          <w:szCs w:val="24"/>
        </w:rPr>
        <w:t>人•</w:t>
      </w:r>
      <w:r>
        <w:rPr>
          <w:rFonts w:hAnsi="宋体"/>
          <w:szCs w:val="24"/>
        </w:rPr>
        <w:t>d</w:t>
      </w:r>
      <w:r>
        <w:rPr>
          <w:rFonts w:ascii="宋体" w:hAnsi="宋体"/>
          <w:szCs w:val="24"/>
        </w:rPr>
        <w:t>，其它乡镇取</w:t>
      </w:r>
      <w:r>
        <w:rPr>
          <w:rFonts w:hAnsi="宋体"/>
          <w:szCs w:val="24"/>
        </w:rPr>
        <w:t>300 L/</w:t>
      </w:r>
      <w:r>
        <w:rPr>
          <w:rFonts w:ascii="宋体" w:hAnsi="宋体"/>
          <w:szCs w:val="24"/>
        </w:rPr>
        <w:t>人•</w:t>
      </w:r>
      <w:r>
        <w:rPr>
          <w:rFonts w:hAnsi="宋体"/>
          <w:szCs w:val="24"/>
        </w:rPr>
        <w:t>d</w:t>
      </w:r>
      <w:r>
        <w:rPr>
          <w:rFonts w:ascii="宋体" w:hAnsi="宋体"/>
          <w:szCs w:val="24"/>
        </w:rPr>
        <w:t>，农村社区生活用水取</w:t>
      </w:r>
      <w:r>
        <w:rPr>
          <w:rFonts w:hAnsi="宋体"/>
          <w:szCs w:val="24"/>
        </w:rPr>
        <w:t>200 L/</w:t>
      </w:r>
      <w:r>
        <w:rPr>
          <w:rFonts w:ascii="宋体" w:hAnsi="宋体"/>
          <w:szCs w:val="24"/>
        </w:rPr>
        <w:t>人•</w:t>
      </w:r>
      <w:r>
        <w:rPr>
          <w:rFonts w:hAnsi="宋体"/>
          <w:szCs w:val="24"/>
        </w:rPr>
        <w:t>d</w:t>
      </w:r>
      <w:r>
        <w:rPr>
          <w:rFonts w:ascii="宋体" w:hAnsi="宋体"/>
          <w:szCs w:val="24"/>
        </w:rPr>
        <w:t>。</w:t>
      </w:r>
    </w:p>
    <w:p w:rsidR="00EE56C0" w:rsidRDefault="000F36A1">
      <w:pPr>
        <w:ind w:firstLine="480"/>
        <w:rPr>
          <w:rFonts w:ascii="宋体" w:hAnsi="宋体"/>
          <w:szCs w:val="24"/>
        </w:rPr>
      </w:pPr>
      <w:r>
        <w:rPr>
          <w:rFonts w:ascii="宋体" w:hAnsi="宋体"/>
          <w:szCs w:val="24"/>
        </w:rPr>
        <w:t>预测县域远期城乡居民点最高日用水量为</w:t>
      </w:r>
      <w:r>
        <w:rPr>
          <w:rFonts w:hAnsi="宋体"/>
          <w:szCs w:val="24"/>
        </w:rPr>
        <w:t>26</w:t>
      </w:r>
      <w:r>
        <w:rPr>
          <w:rFonts w:ascii="宋体" w:hAnsi="宋体"/>
          <w:szCs w:val="24"/>
        </w:rPr>
        <w:t>万立方米。消防给水按同一时间火灾次数为</w:t>
      </w:r>
      <w:r>
        <w:rPr>
          <w:rFonts w:hAnsi="宋体"/>
          <w:szCs w:val="24"/>
        </w:rPr>
        <w:t>2</w:t>
      </w:r>
      <w:r>
        <w:rPr>
          <w:rFonts w:ascii="宋体" w:hAnsi="宋体"/>
          <w:szCs w:val="24"/>
        </w:rPr>
        <w:t>次，一次灭火用水量为</w:t>
      </w:r>
      <w:r>
        <w:rPr>
          <w:rFonts w:hAnsi="宋体"/>
          <w:szCs w:val="24"/>
        </w:rPr>
        <w:t>65L/s</w:t>
      </w:r>
      <w:r>
        <w:rPr>
          <w:rFonts w:ascii="宋体" w:hAnsi="宋体"/>
          <w:szCs w:val="24"/>
        </w:rPr>
        <w:t>。</w:t>
      </w:r>
    </w:p>
    <w:p w:rsidR="00EE56C0" w:rsidRDefault="000F36A1">
      <w:pPr>
        <w:ind w:firstLine="480"/>
        <w:rPr>
          <w:szCs w:val="24"/>
        </w:rPr>
      </w:pPr>
      <w:r>
        <w:rPr>
          <w:szCs w:val="24"/>
        </w:rPr>
        <w:t>2</w:t>
      </w:r>
      <w:r>
        <w:rPr>
          <w:rFonts w:hAnsi="宋体"/>
          <w:szCs w:val="24"/>
        </w:rPr>
        <w:t>、水源规划</w:t>
      </w:r>
    </w:p>
    <w:p w:rsidR="00EE56C0" w:rsidRDefault="000F36A1">
      <w:pPr>
        <w:ind w:firstLine="480"/>
        <w:rPr>
          <w:szCs w:val="24"/>
        </w:rPr>
      </w:pPr>
      <w:r>
        <w:rPr>
          <w:rFonts w:hAnsi="宋体"/>
          <w:szCs w:val="24"/>
        </w:rPr>
        <w:t>县域近期以黄河水和地下水作为水源，远期逐步关闭地下水源，以黄河水和南水北调水作为水源，地下水作为应急水源。</w:t>
      </w:r>
    </w:p>
    <w:p w:rsidR="00EE56C0" w:rsidRDefault="000F36A1">
      <w:pPr>
        <w:ind w:firstLine="480"/>
        <w:rPr>
          <w:rFonts w:ascii="宋体" w:hAnsi="宋体"/>
          <w:szCs w:val="24"/>
        </w:rPr>
      </w:pPr>
      <w:r>
        <w:rPr>
          <w:szCs w:val="24"/>
        </w:rPr>
        <w:lastRenderedPageBreak/>
        <w:t>3</w:t>
      </w:r>
      <w:r>
        <w:rPr>
          <w:rFonts w:hAnsi="宋体"/>
          <w:szCs w:val="24"/>
        </w:rPr>
        <w:t>、设施</w:t>
      </w:r>
      <w:r>
        <w:rPr>
          <w:rFonts w:ascii="宋体" w:hAnsi="宋体"/>
          <w:szCs w:val="24"/>
        </w:rPr>
        <w:t>建设</w:t>
      </w:r>
    </w:p>
    <w:p w:rsidR="00EE56C0" w:rsidRDefault="000F36A1">
      <w:pPr>
        <w:ind w:firstLine="480"/>
        <w:rPr>
          <w:rFonts w:ascii="宋体" w:hAnsi="宋体"/>
          <w:szCs w:val="24"/>
        </w:rPr>
      </w:pPr>
      <w:r>
        <w:rPr>
          <w:rFonts w:ascii="宋体" w:hAnsi="宋体" w:hint="eastAsia"/>
          <w:szCs w:val="24"/>
        </w:rPr>
        <w:t>（1）</w:t>
      </w:r>
      <w:r>
        <w:rPr>
          <w:rFonts w:ascii="宋体" w:hAnsi="宋体"/>
          <w:szCs w:val="24"/>
        </w:rPr>
        <w:t>以各乡镇镇区为中心建设供水厂，搞好给水管网建设，改造城镇供水管网，使各镇区供水管网形成环网供水，新建合河水厂与大召营水厂，扩建城区本源水厂、古固寨水厂与朗公庙水厂。</w:t>
      </w:r>
    </w:p>
    <w:p w:rsidR="00EE56C0" w:rsidRDefault="000F36A1">
      <w:pPr>
        <w:ind w:firstLine="480"/>
        <w:rPr>
          <w:rFonts w:ascii="宋体" w:hAnsi="宋体"/>
          <w:szCs w:val="24"/>
        </w:rPr>
      </w:pPr>
      <w:r>
        <w:rPr>
          <w:rFonts w:ascii="宋体" w:hAnsi="宋体" w:hint="eastAsia"/>
          <w:szCs w:val="24"/>
        </w:rPr>
        <w:t>（2）</w:t>
      </w:r>
      <w:r>
        <w:rPr>
          <w:rFonts w:ascii="宋体" w:hAnsi="宋体"/>
          <w:szCs w:val="24"/>
        </w:rPr>
        <w:t>县域各农村社区结合所处区位情况，纳入邻近镇区供水管网系统，或以地表水为水源自建集中供水点，配套给水管网系统。</w:t>
      </w:r>
    </w:p>
    <w:p w:rsidR="00EE56C0" w:rsidRDefault="000F36A1">
      <w:pPr>
        <w:ind w:firstLine="480"/>
        <w:rPr>
          <w:szCs w:val="24"/>
        </w:rPr>
      </w:pPr>
      <w:r>
        <w:rPr>
          <w:rFonts w:hint="eastAsia"/>
          <w:szCs w:val="24"/>
        </w:rPr>
        <w:t>（</w:t>
      </w:r>
      <w:r>
        <w:rPr>
          <w:rFonts w:hint="eastAsia"/>
          <w:szCs w:val="24"/>
        </w:rPr>
        <w:t>3</w:t>
      </w:r>
      <w:r>
        <w:rPr>
          <w:rFonts w:hint="eastAsia"/>
          <w:szCs w:val="24"/>
        </w:rPr>
        <w:t>）</w:t>
      </w:r>
      <w:r>
        <w:rPr>
          <w:szCs w:val="24"/>
        </w:rPr>
        <w:t>远期逐步建设区域分质供水系统，综合利用再生水。积极建设输水管网系统及村内管道和入户管道。</w:t>
      </w:r>
    </w:p>
    <w:p w:rsidR="00EE56C0" w:rsidRDefault="000F36A1">
      <w:pPr>
        <w:ind w:firstLine="480"/>
        <w:rPr>
          <w:szCs w:val="24"/>
        </w:rPr>
      </w:pPr>
      <w:r>
        <w:rPr>
          <w:rFonts w:hint="eastAsia"/>
          <w:szCs w:val="24"/>
        </w:rPr>
        <w:t>（二）排水工程规划</w:t>
      </w:r>
    </w:p>
    <w:p w:rsidR="00EE56C0" w:rsidRDefault="000F36A1">
      <w:pPr>
        <w:ind w:firstLine="480"/>
        <w:rPr>
          <w:szCs w:val="24"/>
        </w:rPr>
      </w:pPr>
      <w:r>
        <w:rPr>
          <w:rFonts w:hint="eastAsia"/>
          <w:szCs w:val="24"/>
        </w:rPr>
        <w:t>1</w:t>
      </w:r>
      <w:r>
        <w:rPr>
          <w:rFonts w:hint="eastAsia"/>
          <w:szCs w:val="24"/>
        </w:rPr>
        <w:t>、排水体制：</w:t>
      </w:r>
      <w:r>
        <w:rPr>
          <w:szCs w:val="24"/>
        </w:rPr>
        <w:t>中心城区及各建制镇镇区采用雨污分流制。县域各村庄结合实际完善排水管网系统，通过沼气池、化粪池等方式实现污水综合处理和利用</w:t>
      </w:r>
      <w:r>
        <w:rPr>
          <w:rFonts w:hint="eastAsia"/>
          <w:szCs w:val="24"/>
        </w:rPr>
        <w:t>。</w:t>
      </w:r>
    </w:p>
    <w:p w:rsidR="00EE56C0" w:rsidRDefault="000F36A1">
      <w:pPr>
        <w:ind w:firstLine="480"/>
        <w:rPr>
          <w:szCs w:val="24"/>
        </w:rPr>
      </w:pPr>
      <w:r>
        <w:rPr>
          <w:rFonts w:hint="eastAsia"/>
          <w:szCs w:val="24"/>
        </w:rPr>
        <w:t>2</w:t>
      </w:r>
      <w:r>
        <w:rPr>
          <w:rFonts w:hint="eastAsia"/>
          <w:szCs w:val="24"/>
        </w:rPr>
        <w:t>、</w:t>
      </w:r>
      <w:r>
        <w:rPr>
          <w:szCs w:val="24"/>
        </w:rPr>
        <w:t>设施建设</w:t>
      </w:r>
    </w:p>
    <w:p w:rsidR="00EE56C0" w:rsidRDefault="000F36A1">
      <w:pPr>
        <w:ind w:firstLine="480"/>
      </w:pPr>
      <w:r>
        <w:rPr>
          <w:rFonts w:hint="eastAsia"/>
        </w:rPr>
        <w:t>（</w:t>
      </w:r>
      <w:r>
        <w:rPr>
          <w:rFonts w:hint="eastAsia"/>
        </w:rPr>
        <w:t>1</w:t>
      </w:r>
      <w:r>
        <w:rPr>
          <w:rFonts w:hint="eastAsia"/>
        </w:rPr>
        <w:t>）</w:t>
      </w:r>
      <w:r>
        <w:t>中心城区</w:t>
      </w:r>
    </w:p>
    <w:p w:rsidR="00EE56C0" w:rsidRDefault="000F36A1">
      <w:pPr>
        <w:ind w:firstLine="480"/>
      </w:pPr>
      <w:r>
        <w:t>新乡县城以及朗公庙镇、翟坡镇属于新乡市新乡县综合污水处理厂的收水范围，污水主干管沿东孟姜女河布置。</w:t>
      </w:r>
    </w:p>
    <w:p w:rsidR="00EE56C0" w:rsidRDefault="000F36A1">
      <w:pPr>
        <w:ind w:firstLine="480"/>
      </w:pPr>
      <w:r>
        <w:rPr>
          <w:rFonts w:hint="eastAsia"/>
        </w:rPr>
        <w:t>（</w:t>
      </w:r>
      <w:r>
        <w:rPr>
          <w:rFonts w:hint="eastAsia"/>
        </w:rPr>
        <w:t>2</w:t>
      </w:r>
      <w:r>
        <w:rPr>
          <w:rFonts w:hint="eastAsia"/>
        </w:rPr>
        <w:t>）</w:t>
      </w:r>
      <w:r>
        <w:t>各乡镇</w:t>
      </w:r>
    </w:p>
    <w:p w:rsidR="00EE56C0" w:rsidRDefault="000F36A1">
      <w:pPr>
        <w:ind w:firstLine="480"/>
      </w:pPr>
      <w:r>
        <w:t>各镇区分别建设污水处理设施，并积极发展新建小区的中水系统，实现污水资源化。建设大召营镇、合河镇污水处理厂，扩建古固寨污水处理厂。</w:t>
      </w:r>
    </w:p>
    <w:p w:rsidR="00EE56C0" w:rsidRDefault="000F36A1">
      <w:pPr>
        <w:ind w:firstLine="480"/>
      </w:pPr>
      <w:r>
        <w:rPr>
          <w:rFonts w:hint="eastAsia"/>
        </w:rPr>
        <w:t>（</w:t>
      </w:r>
      <w:r>
        <w:rPr>
          <w:rFonts w:hint="eastAsia"/>
        </w:rPr>
        <w:t>3</w:t>
      </w:r>
      <w:r>
        <w:rPr>
          <w:rFonts w:hint="eastAsia"/>
        </w:rPr>
        <w:t>）</w:t>
      </w:r>
      <w:r>
        <w:t>农村社区</w:t>
      </w:r>
    </w:p>
    <w:p w:rsidR="00EE56C0" w:rsidRDefault="000F36A1">
      <w:pPr>
        <w:ind w:firstLine="480"/>
      </w:pPr>
      <w:r>
        <w:t>能与乡镇合用污水处理厂的村庄与乡镇合用污水处理厂，不能与乡镇或城区合用污水处理厂的村庄建设化粪池或几个比较近的村庄合建小型污水处理设施</w:t>
      </w:r>
      <w:r>
        <w:rPr>
          <w:rFonts w:hint="eastAsia"/>
        </w:rPr>
        <w:t>。</w:t>
      </w:r>
    </w:p>
    <w:p w:rsidR="00EE56C0" w:rsidRDefault="000F36A1">
      <w:pPr>
        <w:ind w:firstLine="480"/>
      </w:pPr>
      <w:r>
        <w:rPr>
          <w:rFonts w:hint="eastAsia"/>
        </w:rPr>
        <w:t>（三）燃气工程规划</w:t>
      </w:r>
    </w:p>
    <w:p w:rsidR="00EE56C0" w:rsidRDefault="000F36A1">
      <w:pPr>
        <w:ind w:firstLine="480"/>
        <w:rPr>
          <w:rFonts w:ascii="宋体" w:hAnsi="宋体"/>
          <w:b/>
          <w:sz w:val="27"/>
        </w:rPr>
      </w:pPr>
      <w:r>
        <w:rPr>
          <w:rFonts w:ascii="宋体" w:hAnsi="宋体" w:hint="eastAsia"/>
        </w:rPr>
        <w:t>1、</w:t>
      </w:r>
      <w:r>
        <w:rPr>
          <w:rFonts w:ascii="宋体" w:hAnsi="宋体"/>
        </w:rPr>
        <w:t>气源规划</w:t>
      </w:r>
    </w:p>
    <w:p w:rsidR="00EE56C0" w:rsidRDefault="000F36A1">
      <w:pPr>
        <w:ind w:firstLine="480"/>
        <w:rPr>
          <w:rFonts w:ascii="宋体" w:hAnsi="宋体"/>
          <w:szCs w:val="24"/>
        </w:rPr>
      </w:pPr>
      <w:r>
        <w:rPr>
          <w:rFonts w:ascii="宋体" w:hAnsi="宋体"/>
          <w:szCs w:val="24"/>
        </w:rPr>
        <w:t>气源为西气东输接线豫北支线。</w:t>
      </w:r>
    </w:p>
    <w:p w:rsidR="00EE56C0" w:rsidRDefault="000F36A1">
      <w:pPr>
        <w:ind w:firstLine="480"/>
        <w:rPr>
          <w:rFonts w:ascii="宋体" w:hAnsi="宋体"/>
          <w:sz w:val="27"/>
        </w:rPr>
      </w:pPr>
      <w:r>
        <w:rPr>
          <w:rFonts w:ascii="宋体" w:hAnsi="宋体" w:hint="eastAsia"/>
        </w:rPr>
        <w:t>2、</w:t>
      </w:r>
      <w:r>
        <w:rPr>
          <w:rFonts w:ascii="宋体" w:hAnsi="宋体"/>
        </w:rPr>
        <w:t>城镇设施规划</w:t>
      </w:r>
    </w:p>
    <w:p w:rsidR="00EE56C0" w:rsidRDefault="000F36A1">
      <w:pPr>
        <w:ind w:firstLine="480"/>
        <w:rPr>
          <w:rFonts w:ascii="宋体" w:hAnsi="宋体"/>
          <w:sz w:val="27"/>
        </w:rPr>
      </w:pPr>
      <w:r>
        <w:rPr>
          <w:rFonts w:ascii="宋体" w:hAnsi="宋体"/>
        </w:rPr>
        <w:t>规划远期县城管道天燃气气化率达到</w:t>
      </w:r>
      <w:r>
        <w:rPr>
          <w:rFonts w:hAnsi="宋体"/>
        </w:rPr>
        <w:t>95%</w:t>
      </w:r>
      <w:r>
        <w:rPr>
          <w:rFonts w:ascii="宋体" w:hAnsi="宋体"/>
        </w:rPr>
        <w:t>，积极做好小宋佛门站的维护工作，</w:t>
      </w:r>
      <w:r>
        <w:rPr>
          <w:rFonts w:ascii="宋体" w:hAnsi="宋体"/>
        </w:rPr>
        <w:lastRenderedPageBreak/>
        <w:t>其它乡镇建设小型储气站。</w:t>
      </w:r>
    </w:p>
    <w:p w:rsidR="00EE56C0" w:rsidRDefault="000F36A1">
      <w:pPr>
        <w:ind w:firstLine="480"/>
        <w:rPr>
          <w:rFonts w:ascii="宋体" w:hAnsi="宋体"/>
          <w:sz w:val="27"/>
        </w:rPr>
      </w:pPr>
      <w:r>
        <w:rPr>
          <w:rFonts w:ascii="宋体" w:hAnsi="宋体" w:hint="eastAsia"/>
        </w:rPr>
        <w:t>3、</w:t>
      </w:r>
      <w:r>
        <w:rPr>
          <w:rFonts w:ascii="宋体" w:hAnsi="宋体"/>
        </w:rPr>
        <w:t>农村社区燃气工程</w:t>
      </w:r>
    </w:p>
    <w:p w:rsidR="00EE56C0" w:rsidRDefault="000F36A1">
      <w:pPr>
        <w:ind w:firstLine="480"/>
      </w:pPr>
      <w:r>
        <w:rPr>
          <w:rFonts w:ascii="宋体" w:hAnsi="宋体"/>
        </w:rPr>
        <w:t>乡村居民点供气推荐采用</w:t>
      </w:r>
      <w:r>
        <w:rPr>
          <w:rFonts w:hAnsi="宋体"/>
        </w:rPr>
        <w:t>2</w:t>
      </w:r>
      <w:r>
        <w:rPr>
          <w:rFonts w:ascii="宋体" w:hAnsi="宋体"/>
        </w:rPr>
        <w:t>种气源，一是瓶装液化石油气传统气源，二是沼气或秸秆气化气等生物质气源。部分离天然气管网较近的社区居民点考虑引入中压管道供气。</w:t>
      </w:r>
    </w:p>
    <w:p w:rsidR="00EE56C0" w:rsidRDefault="000F36A1">
      <w:pPr>
        <w:ind w:firstLine="480"/>
      </w:pPr>
      <w:r>
        <w:rPr>
          <w:rFonts w:hint="eastAsia"/>
        </w:rPr>
        <w:t>（四）</w:t>
      </w:r>
      <w:r>
        <w:t>供热工程规划</w:t>
      </w:r>
    </w:p>
    <w:p w:rsidR="00EE56C0" w:rsidRDefault="000F36A1">
      <w:pPr>
        <w:ind w:firstLine="480"/>
      </w:pPr>
      <w:r>
        <w:rPr>
          <w:rFonts w:hint="eastAsia"/>
        </w:rPr>
        <w:t>1</w:t>
      </w:r>
      <w:r>
        <w:rPr>
          <w:rFonts w:hint="eastAsia"/>
        </w:rPr>
        <w:t>、</w:t>
      </w:r>
      <w:r>
        <w:t>城镇供热规划</w:t>
      </w:r>
    </w:p>
    <w:p w:rsidR="00EE56C0" w:rsidRDefault="000F36A1">
      <w:pPr>
        <w:ind w:firstLine="480"/>
      </w:pPr>
      <w:r>
        <w:t>中心城区及各乡镇镇区主要公建区和大片集中居住区以建设集中供热为主，以分散的多种能源供热为补充。建设新乡县热电厂，实现热电联产，朗公庙镇与翟坡镇纳入城区供热体系，其它乡镇以镇区为中心建设集中供热设施。</w:t>
      </w:r>
    </w:p>
    <w:p w:rsidR="00EE56C0" w:rsidRDefault="000F36A1">
      <w:pPr>
        <w:ind w:firstLine="480"/>
      </w:pPr>
      <w:r>
        <w:rPr>
          <w:rFonts w:hint="eastAsia"/>
        </w:rPr>
        <w:t>2</w:t>
      </w:r>
      <w:r>
        <w:rPr>
          <w:rFonts w:hint="eastAsia"/>
        </w:rPr>
        <w:t>、</w:t>
      </w:r>
      <w:r>
        <w:t>农村地区供热规划</w:t>
      </w:r>
    </w:p>
    <w:p w:rsidR="00EE56C0" w:rsidRDefault="000F36A1">
      <w:pPr>
        <w:ind w:firstLine="480"/>
      </w:pPr>
      <w:r>
        <w:t>距离集中热源和主管网较近的社区以及居民点，可直接引入高温水管道入社区，通过设置换热站供暖。距离主管网较远的社区和居民点，建议积极采取多种能源形式和各种资源条件，有限度地发展分户采暖和连片供热。建议采取分户式燃气炉采暖或太阳能采暖。</w:t>
      </w:r>
    </w:p>
    <w:p w:rsidR="00EE56C0" w:rsidRDefault="000F36A1">
      <w:pPr>
        <w:ind w:firstLine="480"/>
      </w:pPr>
      <w:r>
        <w:rPr>
          <w:rFonts w:hint="eastAsia"/>
        </w:rPr>
        <w:t>本项目位于</w:t>
      </w:r>
      <w:r>
        <w:rPr>
          <w:rFonts w:ascii="宋体" w:hAnsi="宋体" w:hint="eastAsia"/>
          <w:szCs w:val="21"/>
        </w:rPr>
        <w:t>新乡经济技术产业集聚区</w:t>
      </w:r>
      <w:r>
        <w:rPr>
          <w:rFonts w:hint="eastAsia"/>
        </w:rPr>
        <w:t>，供水由自备井提供，在</w:t>
      </w:r>
      <w:r>
        <w:t>新乡市新乡县综合污水处理厂的收水范围</w:t>
      </w:r>
      <w:r>
        <w:rPr>
          <w:rFonts w:hint="eastAsia"/>
        </w:rPr>
        <w:t>内，但目前管网未接通，厂区废水经治理后用于厂区绿化，待管网接通后，经管网排入</w:t>
      </w:r>
      <w:r>
        <w:t>新乡市新乡县综合污水处理厂</w:t>
      </w:r>
      <w:r>
        <w:rPr>
          <w:rFonts w:hint="eastAsia"/>
        </w:rPr>
        <w:t>进一步处理。符合规划要求。</w:t>
      </w:r>
    </w:p>
    <w:p w:rsidR="00EE56C0" w:rsidRDefault="000F36A1">
      <w:pPr>
        <w:pStyle w:val="3"/>
        <w:spacing w:before="240" w:after="120"/>
      </w:pPr>
      <w:r>
        <w:rPr>
          <w:rFonts w:hint="eastAsia"/>
        </w:rPr>
        <w:t>2.10.2</w:t>
      </w:r>
      <w:r>
        <w:rPr>
          <w:rFonts w:hint="eastAsia"/>
        </w:rPr>
        <w:t>《新乡经济技术产业集聚区总体发展规划（</w:t>
      </w:r>
      <w:r>
        <w:rPr>
          <w:rFonts w:hint="eastAsia"/>
        </w:rPr>
        <w:t>2015-2025</w:t>
      </w:r>
      <w:r>
        <w:rPr>
          <w:rFonts w:hint="eastAsia"/>
        </w:rPr>
        <w:t>）》</w:t>
      </w:r>
    </w:p>
    <w:p w:rsidR="00EE56C0" w:rsidRDefault="000F36A1">
      <w:pPr>
        <w:spacing w:line="540" w:lineRule="exact"/>
        <w:ind w:firstLine="480"/>
      </w:pPr>
      <w:r>
        <w:t>《新乡经济技术产业集聚区总体发展规划（</w:t>
      </w:r>
      <w:r>
        <w:t>2015-2025</w:t>
      </w:r>
      <w:r>
        <w:t>）环境影响报告书》（报批版）由河南省正大环境科技咨询工程有限公司于</w:t>
      </w:r>
      <w:r>
        <w:t>2018</w:t>
      </w:r>
      <w:r>
        <w:t>年</w:t>
      </w:r>
      <w:r>
        <w:t>2</w:t>
      </w:r>
      <w:r>
        <w:t>月编制完成，已通过河南省环保厅的批复，批复文号豫环函【</w:t>
      </w:r>
      <w:r>
        <w:t>2018</w:t>
      </w:r>
      <w:r>
        <w:t>】</w:t>
      </w:r>
      <w:r>
        <w:t>28</w:t>
      </w:r>
      <w:r>
        <w:t>号。</w:t>
      </w:r>
      <w:r>
        <w:t>2019</w:t>
      </w:r>
      <w:r>
        <w:t>年</w:t>
      </w:r>
      <w:r>
        <w:t>1</w:t>
      </w:r>
      <w:r>
        <w:t>月，由于集聚区周围环境、基础设施规划、产业政策要求发生了变化，河南省正大环境科技咨询工程有限公司于</w:t>
      </w:r>
      <w:r>
        <w:t>2019</w:t>
      </w:r>
      <w:r>
        <w:t>年</w:t>
      </w:r>
      <w:r>
        <w:t>1</w:t>
      </w:r>
      <w:r>
        <w:t>月根据集聚区调整后的情况编制了补充分析</w:t>
      </w:r>
      <w:r>
        <w:lastRenderedPageBreak/>
        <w:t>报告，该补充报告于</w:t>
      </w:r>
      <w:r>
        <w:t>2019</w:t>
      </w:r>
      <w:r>
        <w:t>年</w:t>
      </w:r>
      <w:r>
        <w:t>2</w:t>
      </w:r>
      <w:r>
        <w:t>月通过了河南省环保厅的批复，批复文号</w:t>
      </w:r>
      <w:r>
        <w:rPr>
          <w:rFonts w:hint="eastAsia"/>
        </w:rPr>
        <w:t>为</w:t>
      </w:r>
      <w:r>
        <w:t>豫环函【</w:t>
      </w:r>
      <w:r>
        <w:t>2019</w:t>
      </w:r>
      <w:r>
        <w:t>】</w:t>
      </w:r>
      <w:r>
        <w:t>39</w:t>
      </w:r>
      <w:r>
        <w:t>号。</w:t>
      </w:r>
    </w:p>
    <w:p w:rsidR="00EE56C0" w:rsidRDefault="000F36A1">
      <w:pPr>
        <w:pStyle w:val="4"/>
        <w:ind w:left="120" w:firstLine="241"/>
      </w:pPr>
      <w:r>
        <w:rPr>
          <w:rFonts w:hint="eastAsia"/>
        </w:rPr>
        <w:t>2.10.2.1</w:t>
      </w:r>
      <w:r>
        <w:t>规划范围和期限</w:t>
      </w:r>
    </w:p>
    <w:p w:rsidR="00EE56C0" w:rsidRDefault="000F36A1">
      <w:pPr>
        <w:spacing w:line="540" w:lineRule="exact"/>
        <w:ind w:firstLine="480"/>
      </w:pPr>
      <w:r>
        <w:rPr>
          <w:rFonts w:hint="eastAsia"/>
        </w:rPr>
        <w:t>规划范围：</w:t>
      </w:r>
      <w:r>
        <w:t>本次集聚区规划范围分为北、中、南三个区，北区位于新乡县中心城区的东北部，青龙路和新菏铁路之间位置；中区位于七里营镇区南环路南部和二支排的北部位置；南区位于七里营镇府庄村南、胡韦线两侧位置。总规划总面积为</w:t>
      </w:r>
      <w:r>
        <w:t>19.9 km</w:t>
      </w:r>
      <w:r>
        <w:rPr>
          <w:vertAlign w:val="superscript"/>
        </w:rPr>
        <w:t>2</w:t>
      </w:r>
      <w:r>
        <w:t>，比原规划增加</w:t>
      </w:r>
      <w:r>
        <w:t>0.97 km</w:t>
      </w:r>
      <w:r>
        <w:rPr>
          <w:vertAlign w:val="superscript"/>
        </w:rPr>
        <w:t>2</w:t>
      </w:r>
      <w:r>
        <w:t>。具体规划范围如下：</w:t>
      </w:r>
    </w:p>
    <w:p w:rsidR="00EE56C0" w:rsidRDefault="000F36A1">
      <w:pPr>
        <w:spacing w:line="540" w:lineRule="exact"/>
        <w:ind w:firstLine="480"/>
      </w:pPr>
      <w:r>
        <w:t>（</w:t>
      </w:r>
      <w:r>
        <w:t>1</w:t>
      </w:r>
      <w:r>
        <w:t>）北区规划范围</w:t>
      </w:r>
      <w:r>
        <w:t>——</w:t>
      </w:r>
      <w:r>
        <w:t>东至文化路，南以青龙路为界，西至消防大队西侧规划路（环城东路），北至新荷铁路南</w:t>
      </w:r>
      <w:r>
        <w:t xml:space="preserve"> 240 m</w:t>
      </w:r>
      <w:r>
        <w:t>处规划路（化工一路），规划总面积</w:t>
      </w:r>
      <w:r>
        <w:t xml:space="preserve"> 3.71 km</w:t>
      </w:r>
      <w:r>
        <w:rPr>
          <w:vertAlign w:val="superscript"/>
        </w:rPr>
        <w:t>2</w:t>
      </w:r>
      <w:r>
        <w:t>。</w:t>
      </w:r>
    </w:p>
    <w:p w:rsidR="00EE56C0" w:rsidRDefault="000F36A1">
      <w:pPr>
        <w:spacing w:line="540" w:lineRule="exact"/>
        <w:ind w:firstLine="480"/>
      </w:pPr>
      <w:r>
        <w:t>（</w:t>
      </w:r>
      <w:r>
        <w:t>2</w:t>
      </w:r>
      <w:r>
        <w:t>）中区规划范围</w:t>
      </w:r>
      <w:r>
        <w:t>——</w:t>
      </w:r>
      <w:r>
        <w:t>东至阳光西路、中央大道、青年路，南至二支排，西至胡韦线、青年路，北至七里营南环路、金融大道，规划总面积</w:t>
      </w:r>
      <w:r>
        <w:t xml:space="preserve"> 13.03 km</w:t>
      </w:r>
      <w:r>
        <w:rPr>
          <w:vertAlign w:val="superscript"/>
        </w:rPr>
        <w:t>2</w:t>
      </w:r>
      <w:r>
        <w:t>。</w:t>
      </w:r>
    </w:p>
    <w:p w:rsidR="00EE56C0" w:rsidRDefault="000F36A1">
      <w:pPr>
        <w:ind w:firstLine="480"/>
      </w:pPr>
      <w:r>
        <w:t>（</w:t>
      </w:r>
      <w:r>
        <w:t>3</w:t>
      </w:r>
      <w:r>
        <w:t>）南区规划范围</w:t>
      </w:r>
      <w:r>
        <w:t>——</w:t>
      </w:r>
      <w:r>
        <w:t>东至规划的经五路，南至胡韦线南段，西至印海西路（规划的经一路），北至府庄南路（规划的纬二路），规划面积</w:t>
      </w:r>
      <w:r>
        <w:t>3.16 km</w:t>
      </w:r>
      <w:r>
        <w:rPr>
          <w:vertAlign w:val="superscript"/>
        </w:rPr>
        <w:t>2</w:t>
      </w:r>
      <w:r>
        <w:rPr>
          <w:rFonts w:hint="eastAsia"/>
        </w:rPr>
        <w:t>。</w:t>
      </w:r>
    </w:p>
    <w:p w:rsidR="00EE56C0" w:rsidRDefault="000F36A1">
      <w:pPr>
        <w:ind w:firstLine="480"/>
      </w:pPr>
      <w:r>
        <w:t>规划期限：规划的期限为</w:t>
      </w:r>
      <w:r>
        <w:t>2015</w:t>
      </w:r>
      <w:r>
        <w:t>～</w:t>
      </w:r>
      <w:r>
        <w:t>2025</w:t>
      </w:r>
      <w:r>
        <w:rPr>
          <w:spacing w:val="1"/>
        </w:rPr>
        <w:t>年，分近期和远期。其中近期为</w:t>
      </w:r>
      <w:r>
        <w:rPr>
          <w:spacing w:val="1"/>
        </w:rPr>
        <w:t>2015</w:t>
      </w:r>
      <w:r>
        <w:t>～</w:t>
      </w:r>
      <w:r>
        <w:rPr>
          <w:spacing w:val="1"/>
        </w:rPr>
        <w:t>2020</w:t>
      </w:r>
      <w:r>
        <w:rPr>
          <w:spacing w:val="2"/>
        </w:rPr>
        <w:t>年，</w:t>
      </w:r>
      <w:r>
        <w:t>远期为</w:t>
      </w:r>
      <w:r>
        <w:t>2021</w:t>
      </w:r>
      <w:r>
        <w:t>～</w:t>
      </w:r>
      <w:r>
        <w:t>2025</w:t>
      </w:r>
      <w:r>
        <w:t>年</w:t>
      </w:r>
      <w:r>
        <w:rPr>
          <w:rFonts w:hint="eastAsia"/>
        </w:rPr>
        <w:t>。</w:t>
      </w:r>
    </w:p>
    <w:p w:rsidR="00EE56C0" w:rsidRDefault="000F36A1">
      <w:pPr>
        <w:pStyle w:val="4"/>
        <w:ind w:left="120" w:firstLine="241"/>
      </w:pPr>
      <w:r>
        <w:rPr>
          <w:rFonts w:hint="eastAsia"/>
        </w:rPr>
        <w:t>2.10.2.2</w:t>
      </w:r>
      <w:r>
        <w:rPr>
          <w:rFonts w:hint="eastAsia"/>
        </w:rPr>
        <w:t>集聚区</w:t>
      </w:r>
      <w:r>
        <w:t>定位</w:t>
      </w:r>
      <w:r>
        <w:rPr>
          <w:rFonts w:hint="eastAsia"/>
        </w:rPr>
        <w:t>及产业选择</w:t>
      </w:r>
    </w:p>
    <w:p w:rsidR="00EE56C0" w:rsidRDefault="000F36A1">
      <w:pPr>
        <w:ind w:firstLine="482"/>
        <w:rPr>
          <w:rFonts w:cs="宋体"/>
          <w:b/>
        </w:rPr>
      </w:pPr>
      <w:r>
        <w:rPr>
          <w:rFonts w:cs="宋体" w:hint="eastAsia"/>
          <w:b/>
        </w:rPr>
        <w:t>（</w:t>
      </w:r>
      <w:r>
        <w:rPr>
          <w:rFonts w:cs="宋体" w:hint="eastAsia"/>
          <w:b/>
        </w:rPr>
        <w:t>1</w:t>
      </w:r>
      <w:r>
        <w:rPr>
          <w:rFonts w:cs="宋体" w:hint="eastAsia"/>
          <w:b/>
        </w:rPr>
        <w:t>）总体定位</w:t>
      </w:r>
    </w:p>
    <w:p w:rsidR="00EE56C0" w:rsidRDefault="000F36A1">
      <w:pPr>
        <w:ind w:firstLine="456"/>
        <w:rPr>
          <w:rFonts w:cs="宋体"/>
          <w:b/>
        </w:rPr>
      </w:pPr>
      <w:r>
        <w:rPr>
          <w:spacing w:val="-6"/>
        </w:rPr>
        <w:t>中原经济区具有竞争活力的产业集聚高地，以装备制造、化工及医药为主导的综合性产业聚集区和现代化城市功能服务区</w:t>
      </w:r>
    </w:p>
    <w:p w:rsidR="00EE56C0" w:rsidRDefault="000F36A1">
      <w:pPr>
        <w:ind w:firstLine="482"/>
        <w:rPr>
          <w:rFonts w:cs="宋体"/>
          <w:b/>
        </w:rPr>
      </w:pPr>
      <w:r>
        <w:rPr>
          <w:rFonts w:cs="宋体" w:hint="eastAsia"/>
          <w:b/>
        </w:rPr>
        <w:t>（</w:t>
      </w:r>
      <w:r>
        <w:rPr>
          <w:rFonts w:cs="宋体" w:hint="eastAsia"/>
          <w:b/>
        </w:rPr>
        <w:t>2</w:t>
      </w:r>
      <w:r>
        <w:rPr>
          <w:rFonts w:cs="宋体" w:hint="eastAsia"/>
          <w:b/>
        </w:rPr>
        <w:t>）产业选择</w:t>
      </w:r>
    </w:p>
    <w:p w:rsidR="00EE56C0" w:rsidRDefault="000F36A1">
      <w:pPr>
        <w:spacing w:line="540" w:lineRule="exact"/>
        <w:ind w:firstLine="480"/>
      </w:pPr>
      <w:r>
        <w:t>本次集聚区规划主导产业为装备制造、医药及化工，重点培育智能装备产业集群、医药产业集群、化工产业集群，同时培育现代纸制品印刷包装、家用电器和现代服务业产业集群。</w:t>
      </w:r>
    </w:p>
    <w:p w:rsidR="00EE56C0" w:rsidRDefault="000F36A1">
      <w:pPr>
        <w:spacing w:line="540" w:lineRule="exact"/>
        <w:ind w:firstLine="480"/>
      </w:pPr>
      <w:r>
        <w:rPr>
          <w:rFonts w:ascii="宋体"/>
        </w:rPr>
        <w:t>①</w:t>
      </w:r>
      <w:r>
        <w:rPr>
          <w:bCs/>
        </w:rPr>
        <w:t>装备制造：</w:t>
      </w:r>
      <w:r>
        <w:t>整合现有产业资源，优化机械装备制造产业结构，拉长产业链</w:t>
      </w:r>
      <w:r>
        <w:lastRenderedPageBreak/>
        <w:t>条，以节能环保、轻型产业为主要发展方向。建设成为具有技术先进、具有自主研发能力的国家级以振动机械产业为主导、煤化工装备为支撑的特色装备制造产业基地。同时，利用新飞家电产业园的品牌优势，引进聚集一批家电企业。</w:t>
      </w:r>
    </w:p>
    <w:p w:rsidR="00EE56C0" w:rsidRDefault="000F36A1">
      <w:pPr>
        <w:spacing w:line="540" w:lineRule="exact"/>
        <w:ind w:firstLineChars="150" w:firstLine="360"/>
        <w:rPr>
          <w:bCs/>
        </w:rPr>
      </w:pPr>
      <w:r>
        <w:rPr>
          <w:rFonts w:ascii="宋体"/>
        </w:rPr>
        <w:t>②</w:t>
      </w:r>
      <w:r>
        <w:rPr>
          <w:bCs/>
        </w:rPr>
        <w:t>化工产业：</w:t>
      </w:r>
      <w:r>
        <w:t>加快化工行业原料结构调整和技术完善，淘汰置换落后产能，加强环境治理，实施节能改造，推广应用先进、适用技术。主要依托现有企业河南心连心化学工业集团股份有限公司发展，重点发展基础化工及下游产业链产品，延长煤化工产业链，做强、做大煤化工主导产业，保持行业竞争优势。重点发展大型尿素、联产三聚氰胺、甲胺及二甲基甲酰胺等产品，促进化工行业向大规模、低成本、节能型方向发展。</w:t>
      </w:r>
    </w:p>
    <w:p w:rsidR="00EE56C0" w:rsidRDefault="000F36A1">
      <w:pPr>
        <w:spacing w:line="540" w:lineRule="exact"/>
        <w:ind w:firstLine="480"/>
      </w:pPr>
      <w:r>
        <w:rPr>
          <w:rFonts w:ascii="宋体"/>
          <w:bCs/>
        </w:rPr>
        <w:t>③</w:t>
      </w:r>
      <w:r>
        <w:rPr>
          <w:bCs/>
        </w:rPr>
        <w:t>医药产业：</w:t>
      </w:r>
      <w:r>
        <w:t>产业发展重点以中药饮片加工及中药配方颗粒制剂、中成药及中药制剂、生物技术药物、生物制剂、卫生材料及医药用品制造等为重点，积极培育拉长产业链条，密切关注创新药物、生物工程药物、生物医学工程等前沿技术，寻机发展。</w:t>
      </w:r>
    </w:p>
    <w:p w:rsidR="00EE56C0" w:rsidRDefault="000F36A1">
      <w:pPr>
        <w:ind w:firstLine="480"/>
        <w:rPr>
          <w:rFonts w:cs="宋体"/>
          <w:b/>
          <w:highlight w:val="yellow"/>
        </w:rPr>
      </w:pPr>
      <w:r>
        <w:rPr>
          <w:rFonts w:ascii="宋体"/>
          <w:bCs/>
        </w:rPr>
        <w:t>④</w:t>
      </w:r>
      <w:r>
        <w:t>纸制品印刷包装：产业发展重点以印海智谷纸制品印刷包装为龙头，结合当地新亚纸业发展包装产业</w:t>
      </w:r>
      <w:r>
        <w:rPr>
          <w:rFonts w:hint="eastAsia"/>
        </w:rPr>
        <w:t>。</w:t>
      </w:r>
    </w:p>
    <w:p w:rsidR="00EE56C0" w:rsidRDefault="000F36A1">
      <w:pPr>
        <w:pStyle w:val="4"/>
        <w:ind w:left="120" w:firstLine="241"/>
      </w:pPr>
      <w:r>
        <w:rPr>
          <w:rFonts w:hint="eastAsia"/>
        </w:rPr>
        <w:t>2.10.2.3</w:t>
      </w:r>
      <w:r>
        <w:rPr>
          <w:rFonts w:hint="eastAsia"/>
        </w:rPr>
        <w:t>规划布局</w:t>
      </w:r>
    </w:p>
    <w:p w:rsidR="00EE56C0" w:rsidRDefault="000F36A1">
      <w:pPr>
        <w:ind w:firstLine="480"/>
      </w:pPr>
      <w:r>
        <w:rPr>
          <w:rFonts w:hint="eastAsia"/>
        </w:rPr>
        <w:t>（</w:t>
      </w:r>
      <w:r>
        <w:rPr>
          <w:rFonts w:hint="eastAsia"/>
        </w:rPr>
        <w:t>1</w:t>
      </w:r>
      <w:r>
        <w:rPr>
          <w:rFonts w:hint="eastAsia"/>
        </w:rPr>
        <w:t>）空间布局结构</w:t>
      </w:r>
    </w:p>
    <w:p w:rsidR="00EE56C0" w:rsidRDefault="000F36A1">
      <w:pPr>
        <w:pStyle w:val="a3"/>
        <w:adjustRightInd w:val="0"/>
        <w:snapToGrid w:val="0"/>
        <w:spacing w:line="540" w:lineRule="exact"/>
        <w:ind w:firstLine="480"/>
        <w:rPr>
          <w:sz w:val="24"/>
        </w:rPr>
      </w:pPr>
      <w:r>
        <w:rPr>
          <w:sz w:val="24"/>
        </w:rPr>
        <w:t>规划结构概括为</w:t>
      </w:r>
      <w:r>
        <w:rPr>
          <w:sz w:val="24"/>
        </w:rPr>
        <w:t>“</w:t>
      </w:r>
      <w:r>
        <w:rPr>
          <w:sz w:val="24"/>
        </w:rPr>
        <w:t>四轴、三区、多园</w:t>
      </w:r>
      <w:r>
        <w:rPr>
          <w:sz w:val="24"/>
        </w:rPr>
        <w:t>”</w:t>
      </w:r>
      <w:r>
        <w:rPr>
          <w:sz w:val="24"/>
        </w:rPr>
        <w:t>。</w:t>
      </w:r>
    </w:p>
    <w:p w:rsidR="00EE56C0" w:rsidRDefault="000F36A1">
      <w:pPr>
        <w:pStyle w:val="a3"/>
        <w:adjustRightInd w:val="0"/>
        <w:snapToGrid w:val="0"/>
        <w:spacing w:line="540" w:lineRule="exact"/>
        <w:ind w:firstLine="480"/>
        <w:rPr>
          <w:sz w:val="24"/>
        </w:rPr>
      </w:pPr>
      <w:r>
        <w:rPr>
          <w:sz w:val="24"/>
        </w:rPr>
        <w:t>“</w:t>
      </w:r>
      <w:r>
        <w:rPr>
          <w:sz w:val="24"/>
        </w:rPr>
        <w:t>四轴</w:t>
      </w:r>
      <w:r>
        <w:rPr>
          <w:sz w:val="24"/>
        </w:rPr>
        <w:t>”</w:t>
      </w:r>
      <w:r>
        <w:rPr>
          <w:sz w:val="24"/>
        </w:rPr>
        <w:t>是指沿产业集聚区南北向的胡韦线、大成路两条道路轴线，沿二支排规划的二支排路空间联系轴以及青龙路道路轴线；</w:t>
      </w:r>
    </w:p>
    <w:p w:rsidR="00EE56C0" w:rsidRDefault="000F36A1">
      <w:pPr>
        <w:pStyle w:val="a3"/>
        <w:adjustRightInd w:val="0"/>
        <w:snapToGrid w:val="0"/>
        <w:spacing w:line="540" w:lineRule="exact"/>
        <w:ind w:firstLine="480"/>
        <w:rPr>
          <w:sz w:val="24"/>
        </w:rPr>
      </w:pPr>
      <w:r>
        <w:rPr>
          <w:sz w:val="24"/>
        </w:rPr>
        <w:t>“</w:t>
      </w:r>
      <w:r>
        <w:rPr>
          <w:sz w:val="24"/>
        </w:rPr>
        <w:t>三区</w:t>
      </w:r>
      <w:r>
        <w:rPr>
          <w:sz w:val="24"/>
        </w:rPr>
        <w:t>”</w:t>
      </w:r>
      <w:r>
        <w:rPr>
          <w:sz w:val="24"/>
        </w:rPr>
        <w:t>是指产业集聚区的南区、中区和北区；</w:t>
      </w:r>
    </w:p>
    <w:p w:rsidR="00EE56C0" w:rsidRDefault="000F36A1">
      <w:pPr>
        <w:ind w:firstLine="480"/>
      </w:pPr>
      <w:r>
        <w:rPr>
          <w:szCs w:val="24"/>
        </w:rPr>
        <w:t>“</w:t>
      </w:r>
      <w:r>
        <w:rPr>
          <w:szCs w:val="24"/>
        </w:rPr>
        <w:t>多园</w:t>
      </w:r>
      <w:r>
        <w:rPr>
          <w:szCs w:val="24"/>
        </w:rPr>
        <w:t xml:space="preserve">” </w:t>
      </w:r>
      <w:r>
        <w:rPr>
          <w:szCs w:val="24"/>
        </w:rPr>
        <w:t>是指北区的化工产业园区，中区的装备制造产业园和医药产业园、南区的纸制品产业园和装备制造产业园等多个园区</w:t>
      </w:r>
      <w:r>
        <w:rPr>
          <w:rFonts w:hint="eastAsia"/>
          <w:szCs w:val="24"/>
        </w:rPr>
        <w:t>。</w:t>
      </w:r>
    </w:p>
    <w:p w:rsidR="00EE56C0" w:rsidRDefault="000F36A1">
      <w:pPr>
        <w:ind w:firstLine="480"/>
      </w:pPr>
      <w:r>
        <w:rPr>
          <w:rFonts w:hint="eastAsia"/>
        </w:rPr>
        <w:t>（</w:t>
      </w:r>
      <w:r>
        <w:rPr>
          <w:rFonts w:hint="eastAsia"/>
        </w:rPr>
        <w:t>2</w:t>
      </w:r>
      <w:r>
        <w:rPr>
          <w:rFonts w:hint="eastAsia"/>
        </w:rPr>
        <w:t>）功能分区</w:t>
      </w:r>
    </w:p>
    <w:p w:rsidR="00EE56C0" w:rsidRDefault="000F36A1">
      <w:pPr>
        <w:ind w:firstLine="480"/>
        <w:rPr>
          <w:szCs w:val="24"/>
        </w:rPr>
      </w:pPr>
      <w:r>
        <w:rPr>
          <w:rFonts w:hint="eastAsia"/>
        </w:rPr>
        <w:t>化工产业园：</w:t>
      </w:r>
      <w:r>
        <w:rPr>
          <w:szCs w:val="24"/>
        </w:rPr>
        <w:t>占地面积为</w:t>
      </w:r>
      <w:r>
        <w:rPr>
          <w:szCs w:val="24"/>
        </w:rPr>
        <w:t>371</w:t>
      </w:r>
      <w:r>
        <w:rPr>
          <w:szCs w:val="24"/>
        </w:rPr>
        <w:t>公顷（含道路和配套服务用地）。产业发展重</w:t>
      </w:r>
      <w:r>
        <w:rPr>
          <w:szCs w:val="24"/>
        </w:rPr>
        <w:lastRenderedPageBreak/>
        <w:t>点</w:t>
      </w:r>
      <w:r>
        <w:rPr>
          <w:szCs w:val="24"/>
        </w:rPr>
        <w:t>——</w:t>
      </w:r>
      <w:r>
        <w:rPr>
          <w:szCs w:val="24"/>
        </w:rPr>
        <w:t>加快化肥企业原料结构调整和技术完善，淘汰置换落后产能，加强环境治理，实施节能改造，推广应用先进、适用技术。主要依托现有企业河南心连心化学工业集团股份有限公司发展，重点发展基础化工及下游产业链产品，延长煤化工产业链</w:t>
      </w:r>
      <w:r>
        <w:rPr>
          <w:rFonts w:hint="eastAsia"/>
          <w:szCs w:val="24"/>
        </w:rPr>
        <w:t>。</w:t>
      </w:r>
    </w:p>
    <w:p w:rsidR="00EE56C0" w:rsidRDefault="000F36A1">
      <w:pPr>
        <w:ind w:firstLine="480"/>
        <w:rPr>
          <w:highlight w:val="yellow"/>
        </w:rPr>
      </w:pPr>
      <w:r>
        <w:rPr>
          <w:rFonts w:hint="eastAsia"/>
        </w:rPr>
        <w:t>装备</w:t>
      </w:r>
      <w:r>
        <w:rPr>
          <w:szCs w:val="24"/>
        </w:rPr>
        <w:t>制造产业园</w:t>
      </w:r>
      <w:r>
        <w:rPr>
          <w:rFonts w:hint="eastAsia"/>
          <w:szCs w:val="24"/>
        </w:rPr>
        <w:t>：</w:t>
      </w:r>
      <w:r>
        <w:t>占地面积为</w:t>
      </w:r>
      <w:r>
        <w:t>510</w:t>
      </w:r>
      <w:r>
        <w:t>公顷（含道路和配套服务用地）。产业发展重点</w:t>
      </w:r>
      <w:r>
        <w:t>——</w:t>
      </w:r>
      <w:r>
        <w:t>依托现有龙头企业，培育振动机械产业，逐步扩大生产形成产业链；同时，利用新飞家电产业园的品牌优势，引进聚集一批家电企业</w:t>
      </w:r>
    </w:p>
    <w:p w:rsidR="00EE56C0" w:rsidRDefault="000F36A1">
      <w:pPr>
        <w:ind w:firstLine="480"/>
        <w:rPr>
          <w:szCs w:val="24"/>
        </w:rPr>
      </w:pPr>
      <w:r>
        <w:rPr>
          <w:szCs w:val="24"/>
        </w:rPr>
        <w:t>医药产业园</w:t>
      </w:r>
      <w:r>
        <w:rPr>
          <w:rFonts w:hint="eastAsia"/>
          <w:szCs w:val="24"/>
        </w:rPr>
        <w:t>：</w:t>
      </w:r>
      <w:r>
        <w:rPr>
          <w:szCs w:val="24"/>
        </w:rPr>
        <w:t>占地面积为</w:t>
      </w:r>
      <w:r>
        <w:rPr>
          <w:szCs w:val="24"/>
        </w:rPr>
        <w:t>229</w:t>
      </w:r>
      <w:r>
        <w:rPr>
          <w:szCs w:val="24"/>
        </w:rPr>
        <w:t>公顷（含道路和配套服务用地）。产业发展重点</w:t>
      </w:r>
      <w:r>
        <w:rPr>
          <w:szCs w:val="24"/>
        </w:rPr>
        <w:t>——</w:t>
      </w:r>
      <w:r>
        <w:rPr>
          <w:szCs w:val="24"/>
        </w:rPr>
        <w:t>以中药饮片加工及中药配方颗粒制剂、中成药及中药制剂、生物技术药物、生物制剂、卫生材料及医药用品制造等为重点，积极培育拉长产业链条，密切关注创新药物、生物工程药物、生物医学工程等前沿技术，寻机发展。扩大与国内外优势企业的战略合作，解决产业集中度低、技术支撑力弱、品牌影响力差等问题，逐步形成以优势骨干企业为支撑、产业链条完善、特色优势突出的新型医药产业发展格局</w:t>
      </w:r>
      <w:r>
        <w:rPr>
          <w:rFonts w:hint="eastAsia"/>
          <w:szCs w:val="24"/>
        </w:rPr>
        <w:t>。</w:t>
      </w:r>
    </w:p>
    <w:p w:rsidR="00EE56C0" w:rsidRDefault="000F36A1">
      <w:pPr>
        <w:ind w:firstLine="480"/>
        <w:rPr>
          <w:highlight w:val="yellow"/>
        </w:rPr>
      </w:pPr>
      <w:r>
        <w:rPr>
          <w:szCs w:val="24"/>
        </w:rPr>
        <w:t>纸制品</w:t>
      </w:r>
      <w:r>
        <w:rPr>
          <w:rFonts w:hint="eastAsia"/>
          <w:szCs w:val="24"/>
        </w:rPr>
        <w:t>印刷包装</w:t>
      </w:r>
      <w:r>
        <w:rPr>
          <w:szCs w:val="24"/>
        </w:rPr>
        <w:t>产业</w:t>
      </w:r>
      <w:r>
        <w:rPr>
          <w:rFonts w:hint="eastAsia"/>
          <w:szCs w:val="24"/>
        </w:rPr>
        <w:t>园：</w:t>
      </w:r>
      <w:r>
        <w:rPr>
          <w:szCs w:val="24"/>
        </w:rPr>
        <w:t>占地面积为</w:t>
      </w:r>
      <w:r>
        <w:rPr>
          <w:szCs w:val="24"/>
        </w:rPr>
        <w:t>145</w:t>
      </w:r>
      <w:r>
        <w:rPr>
          <w:szCs w:val="24"/>
        </w:rPr>
        <w:t>公顷（含道路和配套服务用地）。产业发展重点</w:t>
      </w:r>
      <w:r>
        <w:rPr>
          <w:szCs w:val="24"/>
        </w:rPr>
        <w:t>——</w:t>
      </w:r>
      <w:r>
        <w:rPr>
          <w:szCs w:val="24"/>
        </w:rPr>
        <w:t>以印海智谷纸制品印刷包装为龙头，结合新亚纸业发展包装产业</w:t>
      </w:r>
      <w:r>
        <w:rPr>
          <w:rFonts w:hint="eastAsia"/>
          <w:szCs w:val="24"/>
        </w:rPr>
        <w:t>。</w:t>
      </w:r>
    </w:p>
    <w:p w:rsidR="00EE56C0" w:rsidRDefault="000F36A1">
      <w:pPr>
        <w:ind w:firstLine="480"/>
      </w:pPr>
      <w:r>
        <w:rPr>
          <w:rFonts w:hint="eastAsia"/>
        </w:rPr>
        <w:t>生活配套区：</w:t>
      </w:r>
      <w:r>
        <w:rPr>
          <w:szCs w:val="24"/>
        </w:rPr>
        <w:t>占地面积为</w:t>
      </w:r>
      <w:r>
        <w:rPr>
          <w:szCs w:val="24"/>
        </w:rPr>
        <w:t>282.3</w:t>
      </w:r>
      <w:r>
        <w:rPr>
          <w:szCs w:val="24"/>
        </w:rPr>
        <w:t>公顷（含道路和配套公建用地）。重点培育现代生产型服务业的集中区，包括办公、商务、文化娱乐、商业金融、餐饮、医疗卫生等业态，建设以满足不同需求的多元化新型社区，不但是产业集聚区的生活配套保障，也是城市居住区文化的重要组成部分。发展建议</w:t>
      </w:r>
      <w:r>
        <w:rPr>
          <w:szCs w:val="24"/>
        </w:rPr>
        <w:t xml:space="preserve">—— </w:t>
      </w:r>
      <w:r>
        <w:rPr>
          <w:szCs w:val="24"/>
        </w:rPr>
        <w:t>生活配套区主要承载着产业集聚区的生活、娱乐、休憩场所功能，因此建议以解决产业集聚区从业人员居住问题同时，设置拆迁安置区。居住类型以中高档住宅为主</w:t>
      </w:r>
      <w:r>
        <w:rPr>
          <w:rFonts w:hint="eastAsia"/>
          <w:szCs w:val="24"/>
        </w:rPr>
        <w:t>。</w:t>
      </w:r>
    </w:p>
    <w:p w:rsidR="00EE56C0" w:rsidRDefault="000F36A1">
      <w:pPr>
        <w:ind w:firstLine="480"/>
      </w:pPr>
      <w:r>
        <w:rPr>
          <w:rFonts w:hint="eastAsia"/>
        </w:rPr>
        <w:t>本项目位于新乡市新乡县新乡经济技术集聚区远大路西段，用地属于工业用地。本项目类型属于电气机械及器材制造业，符合产业集聚区总体定位、产业选择和规划布局、土地利用规划。因此，项目建设符合新乡经济技术产业集聚区的</w:t>
      </w:r>
      <w:r>
        <w:rPr>
          <w:rFonts w:hint="eastAsia"/>
        </w:rPr>
        <w:lastRenderedPageBreak/>
        <w:t>总体发展规划要求。</w:t>
      </w:r>
    </w:p>
    <w:p w:rsidR="00EE56C0" w:rsidRDefault="000F36A1">
      <w:pPr>
        <w:pStyle w:val="3"/>
        <w:spacing w:before="240" w:after="120"/>
      </w:pPr>
      <w:r>
        <w:rPr>
          <w:rFonts w:hint="eastAsia"/>
        </w:rPr>
        <w:t>2.10.3</w:t>
      </w:r>
      <w:r>
        <w:rPr>
          <w:rFonts w:hint="eastAsia"/>
        </w:rPr>
        <w:t>与《新乡经济技术产业集聚区总体发展规划（</w:t>
      </w:r>
      <w:r>
        <w:rPr>
          <w:rFonts w:hint="eastAsia"/>
        </w:rPr>
        <w:t>2017-2025</w:t>
      </w:r>
      <w:r>
        <w:rPr>
          <w:rFonts w:hint="eastAsia"/>
        </w:rPr>
        <w:t>）环境影响评价补充分析报告》相符性分析</w:t>
      </w:r>
    </w:p>
    <w:p w:rsidR="00EE56C0" w:rsidRPr="00A10664" w:rsidRDefault="000F36A1" w:rsidP="00A10664">
      <w:pPr>
        <w:ind w:firstLine="482"/>
        <w:rPr>
          <w:b/>
          <w:u w:val="single"/>
        </w:rPr>
      </w:pPr>
      <w:r w:rsidRPr="00A10664">
        <w:rPr>
          <w:b/>
          <w:u w:val="single"/>
        </w:rPr>
        <w:t>《新乡经济技术产业集聚区总体发展规划（</w:t>
      </w:r>
      <w:r w:rsidRPr="00A10664">
        <w:rPr>
          <w:b/>
          <w:u w:val="single"/>
        </w:rPr>
        <w:t>201</w:t>
      </w:r>
      <w:r w:rsidRPr="00A10664">
        <w:rPr>
          <w:rFonts w:hint="eastAsia"/>
          <w:b/>
          <w:u w:val="single"/>
        </w:rPr>
        <w:t>7</w:t>
      </w:r>
      <w:r w:rsidRPr="00A10664">
        <w:rPr>
          <w:b/>
          <w:u w:val="single"/>
        </w:rPr>
        <w:t>-2025</w:t>
      </w:r>
      <w:r w:rsidRPr="00A10664">
        <w:rPr>
          <w:b/>
          <w:u w:val="single"/>
        </w:rPr>
        <w:t>）环境影响报告书》（报批版）由河南省正大环境科技咨询工程有限公司于</w:t>
      </w:r>
      <w:r w:rsidRPr="00A10664">
        <w:rPr>
          <w:b/>
          <w:u w:val="single"/>
        </w:rPr>
        <w:t>2018</w:t>
      </w:r>
      <w:r w:rsidRPr="00A10664">
        <w:rPr>
          <w:b/>
          <w:u w:val="single"/>
        </w:rPr>
        <w:t>年</w:t>
      </w:r>
      <w:r w:rsidRPr="00A10664">
        <w:rPr>
          <w:b/>
          <w:u w:val="single"/>
        </w:rPr>
        <w:t>2</w:t>
      </w:r>
      <w:r w:rsidRPr="00A10664">
        <w:rPr>
          <w:b/>
          <w:u w:val="single"/>
        </w:rPr>
        <w:t>月编制完成，已通过河南省环保厅的批复，批复文号豫环函【</w:t>
      </w:r>
      <w:r w:rsidRPr="00A10664">
        <w:rPr>
          <w:b/>
          <w:u w:val="single"/>
        </w:rPr>
        <w:t>2018</w:t>
      </w:r>
      <w:r w:rsidRPr="00A10664">
        <w:rPr>
          <w:b/>
          <w:u w:val="single"/>
        </w:rPr>
        <w:t>】</w:t>
      </w:r>
      <w:r w:rsidRPr="00A10664">
        <w:rPr>
          <w:b/>
          <w:u w:val="single"/>
        </w:rPr>
        <w:t>28</w:t>
      </w:r>
      <w:r w:rsidRPr="00A10664">
        <w:rPr>
          <w:b/>
          <w:u w:val="single"/>
        </w:rPr>
        <w:t>号。</w:t>
      </w:r>
      <w:r w:rsidRPr="00A10664">
        <w:rPr>
          <w:b/>
          <w:u w:val="single"/>
        </w:rPr>
        <w:t>2019</w:t>
      </w:r>
      <w:r w:rsidRPr="00A10664">
        <w:rPr>
          <w:b/>
          <w:u w:val="single"/>
        </w:rPr>
        <w:t>年</w:t>
      </w:r>
      <w:r w:rsidRPr="00A10664">
        <w:rPr>
          <w:b/>
          <w:u w:val="single"/>
        </w:rPr>
        <w:t>1</w:t>
      </w:r>
      <w:r w:rsidRPr="00A10664">
        <w:rPr>
          <w:b/>
          <w:u w:val="single"/>
        </w:rPr>
        <w:t>月，由于集聚区周围环境、基础设施规划、产业政策要求发生了变化，河南省正大环境科技咨询工程有限公司于</w:t>
      </w:r>
      <w:r w:rsidRPr="00A10664">
        <w:rPr>
          <w:b/>
          <w:u w:val="single"/>
        </w:rPr>
        <w:t>2019</w:t>
      </w:r>
      <w:r w:rsidRPr="00A10664">
        <w:rPr>
          <w:b/>
          <w:u w:val="single"/>
        </w:rPr>
        <w:t>年</w:t>
      </w:r>
      <w:r w:rsidRPr="00A10664">
        <w:rPr>
          <w:b/>
          <w:u w:val="single"/>
        </w:rPr>
        <w:t>1</w:t>
      </w:r>
      <w:r w:rsidRPr="00A10664">
        <w:rPr>
          <w:b/>
          <w:u w:val="single"/>
        </w:rPr>
        <w:t>月根据集聚区调整后的情况编制了补充分析报告，该补充报告于</w:t>
      </w:r>
      <w:r w:rsidRPr="00A10664">
        <w:rPr>
          <w:b/>
          <w:u w:val="single"/>
        </w:rPr>
        <w:t>2019</w:t>
      </w:r>
      <w:r w:rsidRPr="00A10664">
        <w:rPr>
          <w:b/>
          <w:u w:val="single"/>
        </w:rPr>
        <w:t>年</w:t>
      </w:r>
      <w:r w:rsidRPr="00A10664">
        <w:rPr>
          <w:b/>
          <w:u w:val="single"/>
        </w:rPr>
        <w:t>2</w:t>
      </w:r>
      <w:r w:rsidRPr="00A10664">
        <w:rPr>
          <w:b/>
          <w:u w:val="single"/>
        </w:rPr>
        <w:t>月通过了河南省环保厅的批复，批复文号豫环函</w:t>
      </w:r>
      <w:r w:rsidRPr="00A10664">
        <w:rPr>
          <w:rFonts w:hint="eastAsia"/>
          <w:b/>
          <w:u w:val="single"/>
        </w:rPr>
        <w:t>[</w:t>
      </w:r>
      <w:r w:rsidRPr="00A10664">
        <w:rPr>
          <w:b/>
          <w:u w:val="single"/>
        </w:rPr>
        <w:t>2019</w:t>
      </w:r>
      <w:r w:rsidRPr="00A10664">
        <w:rPr>
          <w:rFonts w:hint="eastAsia"/>
          <w:b/>
          <w:u w:val="single"/>
        </w:rPr>
        <w:t>]</w:t>
      </w:r>
      <w:r w:rsidRPr="00A10664">
        <w:rPr>
          <w:b/>
          <w:u w:val="single"/>
        </w:rPr>
        <w:t>39</w:t>
      </w:r>
      <w:r w:rsidRPr="00A10664">
        <w:rPr>
          <w:b/>
          <w:u w:val="single"/>
        </w:rPr>
        <w:t>号</w:t>
      </w:r>
      <w:r w:rsidR="00A10664" w:rsidRPr="00A10664">
        <w:rPr>
          <w:rFonts w:hint="eastAsia"/>
          <w:b/>
          <w:u w:val="single"/>
        </w:rPr>
        <w:t>。</w:t>
      </w:r>
    </w:p>
    <w:p w:rsidR="00EE56C0" w:rsidRDefault="000F36A1">
      <w:pPr>
        <w:pStyle w:val="4"/>
        <w:ind w:left="120" w:firstLine="241"/>
        <w:rPr>
          <w:u w:val="single"/>
        </w:rPr>
      </w:pPr>
      <w:r>
        <w:rPr>
          <w:rFonts w:hint="eastAsia"/>
          <w:u w:val="single"/>
        </w:rPr>
        <w:t>2.10.3.1</w:t>
      </w:r>
      <w:r>
        <w:rPr>
          <w:rFonts w:hint="eastAsia"/>
          <w:u w:val="single"/>
        </w:rPr>
        <w:t>基础设施规划</w:t>
      </w:r>
    </w:p>
    <w:p w:rsidR="00EE56C0" w:rsidRDefault="000F36A1">
      <w:pPr>
        <w:ind w:firstLine="482"/>
        <w:rPr>
          <w:b/>
          <w:u w:val="single"/>
        </w:rPr>
      </w:pPr>
      <w:r>
        <w:rPr>
          <w:rFonts w:hint="eastAsia"/>
          <w:b/>
          <w:u w:val="single"/>
        </w:rPr>
        <w:t>（一）给水：集聚区规划末期总用水量为</w:t>
      </w:r>
      <w:r>
        <w:rPr>
          <w:rFonts w:hint="eastAsia"/>
          <w:b/>
          <w:u w:val="single"/>
        </w:rPr>
        <w:t>12.21</w:t>
      </w:r>
      <w:r>
        <w:rPr>
          <w:rFonts w:hint="eastAsia"/>
          <w:b/>
          <w:u w:val="single"/>
        </w:rPr>
        <w:t>万</w:t>
      </w:r>
      <w:r>
        <w:rPr>
          <w:rFonts w:hint="eastAsia"/>
          <w:b/>
          <w:u w:val="single"/>
        </w:rPr>
        <w:t>m</w:t>
      </w:r>
      <w:r>
        <w:rPr>
          <w:rFonts w:hint="eastAsia"/>
          <w:b/>
          <w:u w:val="single"/>
          <w:vertAlign w:val="superscript"/>
        </w:rPr>
        <w:t>3</w:t>
      </w:r>
      <w:r>
        <w:rPr>
          <w:rFonts w:hint="eastAsia"/>
          <w:b/>
          <w:u w:val="single"/>
        </w:rPr>
        <w:t>/d</w:t>
      </w:r>
      <w:r>
        <w:rPr>
          <w:rFonts w:hint="eastAsia"/>
          <w:b/>
          <w:u w:val="single"/>
        </w:rPr>
        <w:t>，其中中水补充量为</w:t>
      </w:r>
      <w:r>
        <w:rPr>
          <w:rFonts w:hint="eastAsia"/>
          <w:b/>
          <w:u w:val="single"/>
        </w:rPr>
        <w:t>2.94</w:t>
      </w:r>
      <w:r>
        <w:rPr>
          <w:rFonts w:hint="eastAsia"/>
          <w:b/>
          <w:u w:val="single"/>
        </w:rPr>
        <w:t>万</w:t>
      </w:r>
      <w:r>
        <w:rPr>
          <w:rFonts w:hint="eastAsia"/>
          <w:b/>
          <w:u w:val="single"/>
        </w:rPr>
        <w:t>m</w:t>
      </w:r>
      <w:r>
        <w:rPr>
          <w:rFonts w:hint="eastAsia"/>
          <w:b/>
          <w:u w:val="single"/>
          <w:vertAlign w:val="superscript"/>
        </w:rPr>
        <w:t>3</w:t>
      </w:r>
      <w:r>
        <w:rPr>
          <w:rFonts w:hint="eastAsia"/>
          <w:b/>
          <w:u w:val="single"/>
        </w:rPr>
        <w:t>/d</w:t>
      </w:r>
      <w:r>
        <w:rPr>
          <w:rFonts w:hint="eastAsia"/>
          <w:b/>
          <w:u w:val="single"/>
        </w:rPr>
        <w:t>，新鲜水需求量为</w:t>
      </w:r>
      <w:r>
        <w:rPr>
          <w:rFonts w:hint="eastAsia"/>
          <w:b/>
          <w:u w:val="single"/>
        </w:rPr>
        <w:t>9.27</w:t>
      </w:r>
      <w:r>
        <w:rPr>
          <w:rFonts w:hint="eastAsia"/>
          <w:b/>
          <w:u w:val="single"/>
        </w:rPr>
        <w:t>万</w:t>
      </w:r>
      <w:r>
        <w:rPr>
          <w:rFonts w:hint="eastAsia"/>
          <w:b/>
          <w:u w:val="single"/>
        </w:rPr>
        <w:t>m</w:t>
      </w:r>
      <w:r>
        <w:rPr>
          <w:rFonts w:hint="eastAsia"/>
          <w:b/>
          <w:u w:val="single"/>
          <w:vertAlign w:val="superscript"/>
        </w:rPr>
        <w:t>3</w:t>
      </w:r>
      <w:r>
        <w:rPr>
          <w:rFonts w:hint="eastAsia"/>
          <w:b/>
          <w:u w:val="single"/>
        </w:rPr>
        <w:t>/d</w:t>
      </w:r>
      <w:r>
        <w:rPr>
          <w:rFonts w:hint="eastAsia"/>
          <w:b/>
          <w:u w:val="single"/>
        </w:rPr>
        <w:t>，集聚区规划依托新乡县水厂供水，新乡县水厂规划水源近期以黄河水和地下水作为水源，远期逐步关闭地下水源，以南水北调水及黄河水作为水源。目前采用水源为地下水，黄河水作为作为应急备用水源。</w:t>
      </w:r>
    </w:p>
    <w:p w:rsidR="00EE56C0" w:rsidRDefault="000F36A1">
      <w:pPr>
        <w:ind w:firstLine="482"/>
        <w:rPr>
          <w:b/>
          <w:szCs w:val="24"/>
          <w:u w:val="single"/>
        </w:rPr>
      </w:pPr>
      <w:r>
        <w:rPr>
          <w:rFonts w:hint="eastAsia"/>
          <w:b/>
          <w:u w:val="single"/>
        </w:rPr>
        <w:t>（二）排水</w:t>
      </w:r>
      <w:r>
        <w:rPr>
          <w:rFonts w:hint="eastAsia"/>
          <w:b/>
          <w:szCs w:val="24"/>
          <w:u w:val="single"/>
        </w:rPr>
        <w:t>：规划期末集聚区污水产生量为</w:t>
      </w:r>
      <w:r>
        <w:rPr>
          <w:rFonts w:hint="eastAsia"/>
          <w:b/>
          <w:szCs w:val="24"/>
          <w:u w:val="single"/>
        </w:rPr>
        <w:t>8.96</w:t>
      </w:r>
      <w:r>
        <w:rPr>
          <w:rFonts w:hint="eastAsia"/>
          <w:b/>
          <w:szCs w:val="24"/>
          <w:u w:val="single"/>
        </w:rPr>
        <w:t>万</w:t>
      </w:r>
      <w:r>
        <w:rPr>
          <w:rFonts w:hint="eastAsia"/>
          <w:b/>
          <w:szCs w:val="24"/>
          <w:u w:val="single"/>
        </w:rPr>
        <w:t>m</w:t>
      </w:r>
      <w:r>
        <w:rPr>
          <w:rFonts w:hint="eastAsia"/>
          <w:b/>
          <w:szCs w:val="24"/>
          <w:u w:val="single"/>
          <w:vertAlign w:val="superscript"/>
        </w:rPr>
        <w:t>3</w:t>
      </w:r>
      <w:r>
        <w:rPr>
          <w:rFonts w:hint="eastAsia"/>
          <w:b/>
          <w:szCs w:val="24"/>
          <w:u w:val="single"/>
        </w:rPr>
        <w:t>/d</w:t>
      </w:r>
      <w:r>
        <w:rPr>
          <w:rFonts w:hint="eastAsia"/>
          <w:b/>
          <w:szCs w:val="24"/>
          <w:u w:val="single"/>
        </w:rPr>
        <w:t>，规划全部进入贾屯污水处理厂。根据实际调查，贾屯污水处理厂收水量已达到满负荷，目前，集聚区内部分污水已进入新乡县综合污水处理厂进行处理，</w:t>
      </w:r>
      <w:r>
        <w:rPr>
          <w:rFonts w:ascii="宋体" w:hAnsi="宋体" w:cs="宋体" w:hint="eastAsia"/>
          <w:b/>
          <w:bCs/>
          <w:szCs w:val="24"/>
          <w:u w:val="single"/>
        </w:rPr>
        <w:t>新乡县综合污水处理厂及配套管网均已建成，正在调试中。</w:t>
      </w:r>
    </w:p>
    <w:p w:rsidR="00EE56C0" w:rsidRDefault="000F36A1">
      <w:pPr>
        <w:ind w:firstLine="482"/>
        <w:rPr>
          <w:b/>
          <w:u w:val="single"/>
        </w:rPr>
      </w:pPr>
      <w:r>
        <w:rPr>
          <w:rFonts w:ascii="宋体" w:hAnsi="宋体" w:cs="宋体" w:hint="eastAsia"/>
          <w:b/>
          <w:bCs/>
          <w:szCs w:val="24"/>
          <w:u w:val="single"/>
        </w:rPr>
        <w:t>新乡县综合污水处理厂</w:t>
      </w:r>
      <w:r>
        <w:rPr>
          <w:rFonts w:hint="eastAsia"/>
          <w:b/>
          <w:szCs w:val="24"/>
          <w:u w:val="single"/>
        </w:rPr>
        <w:t>位于新乡县产业集聚区北区，胜利路以东、青龙路以北，文化路以西，东孟姜女河以南。占地面积约</w:t>
      </w:r>
      <w:r>
        <w:rPr>
          <w:rFonts w:hint="eastAsia"/>
          <w:b/>
          <w:szCs w:val="24"/>
          <w:u w:val="single"/>
        </w:rPr>
        <w:t>256.57</w:t>
      </w:r>
      <w:r>
        <w:rPr>
          <w:rFonts w:hint="eastAsia"/>
          <w:b/>
          <w:szCs w:val="24"/>
          <w:u w:val="single"/>
        </w:rPr>
        <w:t>亩</w:t>
      </w:r>
      <w:r>
        <w:rPr>
          <w:b/>
          <w:szCs w:val="24"/>
          <w:u w:val="single"/>
        </w:rPr>
        <w:t>，服务范围主要为</w:t>
      </w:r>
      <w:r>
        <w:rPr>
          <w:rFonts w:hint="eastAsia"/>
          <w:b/>
          <w:szCs w:val="24"/>
          <w:u w:val="single"/>
        </w:rPr>
        <w:t>新乡县中心城区、新乡经济技术产</w:t>
      </w:r>
      <w:r>
        <w:rPr>
          <w:b/>
          <w:szCs w:val="24"/>
          <w:u w:val="single"/>
        </w:rPr>
        <w:t>业集聚区（</w:t>
      </w:r>
      <w:r>
        <w:rPr>
          <w:rFonts w:hAnsi="宋体"/>
          <w:b/>
          <w:szCs w:val="24"/>
          <w:u w:val="single"/>
        </w:rPr>
        <w:t>纸制品印刷包装产业园和装备制造产业园</w:t>
      </w:r>
      <w:r>
        <w:rPr>
          <w:b/>
          <w:szCs w:val="24"/>
          <w:u w:val="single"/>
        </w:rPr>
        <w:t>）、朗公庙镇中心镇区等区域。污水处理厂总设计处理规模为</w:t>
      </w:r>
      <w:r>
        <w:rPr>
          <w:b/>
          <w:szCs w:val="24"/>
          <w:u w:val="single"/>
        </w:rPr>
        <w:t>15</w:t>
      </w:r>
      <w:r>
        <w:rPr>
          <w:b/>
          <w:szCs w:val="24"/>
          <w:u w:val="single"/>
        </w:rPr>
        <w:t>万</w:t>
      </w:r>
      <w:r>
        <w:rPr>
          <w:b/>
          <w:szCs w:val="24"/>
          <w:u w:val="single"/>
        </w:rPr>
        <w:t>t/d</w:t>
      </w:r>
      <w:r>
        <w:rPr>
          <w:b/>
          <w:szCs w:val="24"/>
          <w:u w:val="single"/>
        </w:rPr>
        <w:t>，</w:t>
      </w:r>
      <w:r>
        <w:rPr>
          <w:rFonts w:hAnsi="宋体"/>
          <w:b/>
          <w:szCs w:val="24"/>
          <w:u w:val="single"/>
        </w:rPr>
        <w:t>污水处理工艺采用</w:t>
      </w:r>
      <w:r>
        <w:rPr>
          <w:b/>
          <w:szCs w:val="24"/>
          <w:u w:val="single"/>
        </w:rPr>
        <w:t>“</w:t>
      </w:r>
      <w:r>
        <w:rPr>
          <w:rFonts w:hAnsi="宋体"/>
          <w:b/>
          <w:szCs w:val="24"/>
          <w:u w:val="single"/>
        </w:rPr>
        <w:t>格栅</w:t>
      </w:r>
      <w:r>
        <w:rPr>
          <w:b/>
          <w:szCs w:val="24"/>
          <w:u w:val="single"/>
        </w:rPr>
        <w:t>+</w:t>
      </w:r>
      <w:r>
        <w:rPr>
          <w:rFonts w:hAnsi="宋体"/>
          <w:b/>
          <w:szCs w:val="24"/>
          <w:u w:val="single"/>
        </w:rPr>
        <w:t>水解酸化</w:t>
      </w:r>
      <w:r>
        <w:rPr>
          <w:b/>
          <w:szCs w:val="24"/>
          <w:u w:val="single"/>
        </w:rPr>
        <w:t>+AAOAO+</w:t>
      </w:r>
      <w:r>
        <w:rPr>
          <w:rFonts w:hAnsi="宋体"/>
          <w:b/>
          <w:szCs w:val="24"/>
          <w:u w:val="single"/>
        </w:rPr>
        <w:t>沉淀</w:t>
      </w:r>
      <w:r>
        <w:rPr>
          <w:b/>
          <w:szCs w:val="24"/>
          <w:u w:val="single"/>
        </w:rPr>
        <w:t>+V</w:t>
      </w:r>
      <w:r>
        <w:rPr>
          <w:rFonts w:hAnsi="宋体"/>
          <w:b/>
          <w:szCs w:val="24"/>
          <w:u w:val="single"/>
        </w:rPr>
        <w:t>型过滤</w:t>
      </w:r>
      <w:r>
        <w:rPr>
          <w:b/>
          <w:szCs w:val="24"/>
          <w:u w:val="single"/>
        </w:rPr>
        <w:t>+</w:t>
      </w:r>
      <w:r>
        <w:rPr>
          <w:rFonts w:hAnsi="宋体"/>
          <w:b/>
          <w:szCs w:val="24"/>
          <w:u w:val="single"/>
        </w:rPr>
        <w:t>臭氧接触</w:t>
      </w:r>
      <w:r>
        <w:rPr>
          <w:b/>
          <w:szCs w:val="24"/>
          <w:u w:val="single"/>
        </w:rPr>
        <w:t>+</w:t>
      </w:r>
      <w:r>
        <w:rPr>
          <w:rFonts w:hAnsi="宋体"/>
          <w:b/>
          <w:szCs w:val="24"/>
          <w:u w:val="single"/>
        </w:rPr>
        <w:t>活性炭过滤</w:t>
      </w:r>
      <w:r>
        <w:rPr>
          <w:b/>
          <w:szCs w:val="24"/>
          <w:u w:val="single"/>
        </w:rPr>
        <w:t>”</w:t>
      </w:r>
      <w:r>
        <w:rPr>
          <w:b/>
          <w:szCs w:val="24"/>
          <w:u w:val="single"/>
        </w:rPr>
        <w:t>，出水执行</w:t>
      </w:r>
      <w:r>
        <w:rPr>
          <w:rFonts w:hAnsi="宋体"/>
          <w:b/>
          <w:szCs w:val="24"/>
          <w:u w:val="single"/>
        </w:rPr>
        <w:t>《地表水环境质量标准》（</w:t>
      </w:r>
      <w:r>
        <w:rPr>
          <w:b/>
          <w:szCs w:val="24"/>
          <w:u w:val="single"/>
        </w:rPr>
        <w:t>GB3838-2002</w:t>
      </w:r>
      <w:r>
        <w:rPr>
          <w:rFonts w:hAnsi="宋体"/>
          <w:b/>
          <w:szCs w:val="24"/>
          <w:u w:val="single"/>
        </w:rPr>
        <w:t>）</w:t>
      </w:r>
      <w:r>
        <w:rPr>
          <w:b/>
          <w:szCs w:val="24"/>
          <w:u w:val="single"/>
        </w:rPr>
        <w:t>V</w:t>
      </w:r>
      <w:r>
        <w:rPr>
          <w:rFonts w:hAnsi="宋体"/>
          <w:b/>
          <w:szCs w:val="24"/>
          <w:u w:val="single"/>
        </w:rPr>
        <w:t>类标准（总氮除</w:t>
      </w:r>
      <w:r>
        <w:rPr>
          <w:rFonts w:hAnsi="宋体"/>
          <w:b/>
          <w:szCs w:val="24"/>
          <w:u w:val="single"/>
        </w:rPr>
        <w:lastRenderedPageBreak/>
        <w:t>外），总氮执行《城镇污水处理</w:t>
      </w:r>
      <w:r>
        <w:rPr>
          <w:rFonts w:hAnsi="宋体"/>
          <w:b/>
          <w:u w:val="single"/>
        </w:rPr>
        <w:t>厂污染物排放标准》（</w:t>
      </w:r>
      <w:r>
        <w:rPr>
          <w:b/>
          <w:u w:val="single"/>
        </w:rPr>
        <w:t>GB18918-2002</w:t>
      </w:r>
      <w:r>
        <w:rPr>
          <w:rFonts w:hAnsi="宋体"/>
          <w:b/>
          <w:u w:val="single"/>
        </w:rPr>
        <w:t>）表</w:t>
      </w:r>
      <w:r>
        <w:rPr>
          <w:b/>
          <w:u w:val="single"/>
        </w:rPr>
        <w:t>1</w:t>
      </w:r>
      <w:r>
        <w:rPr>
          <w:rFonts w:hAnsi="宋体"/>
          <w:b/>
          <w:u w:val="single"/>
        </w:rPr>
        <w:t>一级</w:t>
      </w:r>
      <w:r>
        <w:rPr>
          <w:b/>
          <w:u w:val="single"/>
        </w:rPr>
        <w:t>A</w:t>
      </w:r>
      <w:r>
        <w:rPr>
          <w:rFonts w:hAnsi="宋体"/>
          <w:b/>
          <w:u w:val="single"/>
        </w:rPr>
        <w:t>标准后排入东孟姜女河，而后汇入卫河</w:t>
      </w:r>
      <w:r>
        <w:rPr>
          <w:b/>
          <w:u w:val="single"/>
        </w:rPr>
        <w:t>。</w:t>
      </w:r>
    </w:p>
    <w:p w:rsidR="00EE56C0" w:rsidRDefault="000F36A1">
      <w:pPr>
        <w:ind w:firstLine="482"/>
        <w:rPr>
          <w:b/>
          <w:u w:val="single"/>
        </w:rPr>
      </w:pPr>
      <w:r>
        <w:rPr>
          <w:rFonts w:hint="eastAsia"/>
          <w:b/>
          <w:u w:val="single"/>
        </w:rPr>
        <w:t>（三）供热：根据规划，规划区总需热量</w:t>
      </w:r>
      <w:r>
        <w:rPr>
          <w:rFonts w:hint="eastAsia"/>
          <w:b/>
          <w:u w:val="single"/>
        </w:rPr>
        <w:t>308.41MW</w:t>
      </w:r>
      <w:r>
        <w:rPr>
          <w:rFonts w:hint="eastAsia"/>
          <w:b/>
          <w:u w:val="single"/>
        </w:rPr>
        <w:t>（其中工业用热</w:t>
      </w:r>
      <w:r>
        <w:rPr>
          <w:rFonts w:hint="eastAsia"/>
          <w:b/>
          <w:u w:val="single"/>
        </w:rPr>
        <w:t>275.28MW</w:t>
      </w:r>
      <w:r>
        <w:rPr>
          <w:rFonts w:hint="eastAsia"/>
          <w:b/>
          <w:u w:val="single"/>
        </w:rPr>
        <w:t>、其他用热</w:t>
      </w:r>
      <w:r>
        <w:rPr>
          <w:rFonts w:hint="eastAsia"/>
          <w:b/>
          <w:u w:val="single"/>
        </w:rPr>
        <w:t>33.13MW</w:t>
      </w:r>
      <w:r>
        <w:rPr>
          <w:rFonts w:hint="eastAsia"/>
          <w:b/>
          <w:u w:val="single"/>
        </w:rPr>
        <w:t>），依托新乡县县城集中供热设施。</w:t>
      </w:r>
    </w:p>
    <w:p w:rsidR="00EE56C0" w:rsidRDefault="000F36A1">
      <w:pPr>
        <w:ind w:firstLine="482"/>
        <w:rPr>
          <w:b/>
          <w:u w:val="single"/>
        </w:rPr>
      </w:pPr>
      <w:r>
        <w:rPr>
          <w:rFonts w:hint="eastAsia"/>
          <w:b/>
          <w:u w:val="single"/>
        </w:rPr>
        <w:t>（四）供气：集聚区用气包括居民用气、工业用气及不可预见用气等，总需气量</w:t>
      </w:r>
      <w:r>
        <w:rPr>
          <w:rFonts w:hint="eastAsia"/>
          <w:b/>
          <w:u w:val="single"/>
        </w:rPr>
        <w:t>4146.765</w:t>
      </w:r>
      <w:r>
        <w:rPr>
          <w:rFonts w:hint="eastAsia"/>
          <w:b/>
          <w:u w:val="single"/>
        </w:rPr>
        <w:t>万</w:t>
      </w:r>
      <w:r>
        <w:rPr>
          <w:rFonts w:hint="eastAsia"/>
          <w:b/>
          <w:u w:val="single"/>
        </w:rPr>
        <w:t>m3/a</w:t>
      </w:r>
      <w:r>
        <w:rPr>
          <w:rFonts w:hint="eastAsia"/>
          <w:b/>
          <w:u w:val="single"/>
        </w:rPr>
        <w:t>。结合新乡县县城城乡总体规划，在东孟姜女河和青龙路交叉口规划一处天然气调压站作为集聚区的气源，在中央大道敷设主干管，向人民胜利渠以西地区供气；另外，新奥燃气公司由东干道经青龙路敷设主干管向人民胜利渠以东地区供气，作为集聚区的第二个气源。</w:t>
      </w:r>
    </w:p>
    <w:p w:rsidR="00EE56C0" w:rsidRDefault="000F36A1">
      <w:pPr>
        <w:ind w:firstLine="482"/>
        <w:rPr>
          <w:b/>
          <w:u w:val="single"/>
        </w:rPr>
      </w:pPr>
      <w:r>
        <w:rPr>
          <w:rFonts w:hint="eastAsia"/>
          <w:b/>
          <w:u w:val="single"/>
        </w:rPr>
        <w:t>（五）环卫设施：生活垃圾处理：近期袋装化收集达到</w:t>
      </w:r>
      <w:r>
        <w:rPr>
          <w:rFonts w:hint="eastAsia"/>
          <w:b/>
          <w:u w:val="single"/>
        </w:rPr>
        <w:t>80%</w:t>
      </w:r>
      <w:r>
        <w:rPr>
          <w:rFonts w:hint="eastAsia"/>
          <w:b/>
          <w:u w:val="single"/>
        </w:rPr>
        <w:t>，远期达到</w:t>
      </w:r>
      <w:r>
        <w:rPr>
          <w:rFonts w:hint="eastAsia"/>
          <w:b/>
          <w:u w:val="single"/>
        </w:rPr>
        <w:t>100%</w:t>
      </w:r>
      <w:r>
        <w:rPr>
          <w:rFonts w:hint="eastAsia"/>
          <w:b/>
          <w:u w:val="single"/>
        </w:rPr>
        <w:t>；分类收集近期达到</w:t>
      </w:r>
      <w:r>
        <w:rPr>
          <w:rFonts w:hint="eastAsia"/>
          <w:b/>
          <w:u w:val="single"/>
        </w:rPr>
        <w:t>20%</w:t>
      </w:r>
      <w:r>
        <w:rPr>
          <w:rFonts w:hint="eastAsia"/>
          <w:b/>
          <w:u w:val="single"/>
        </w:rPr>
        <w:t>，远期达到</w:t>
      </w:r>
      <w:r>
        <w:rPr>
          <w:rFonts w:hint="eastAsia"/>
          <w:b/>
          <w:u w:val="single"/>
        </w:rPr>
        <w:t>80%</w:t>
      </w:r>
      <w:r>
        <w:rPr>
          <w:rFonts w:hint="eastAsia"/>
          <w:b/>
          <w:u w:val="single"/>
        </w:rPr>
        <w:t>。根据分类收集的品种，或回收再利用，或运至垃圾填埋场处理或垃圾处理厂处理。工业固体废物垃圾处理：加强对废弃物的回收利用，提供利用率，最终废弃物运至垃圾填埋场作填埋处理或垃圾处理厂处理。建筑垃圾处理：根据建设需求，部分可作为地基回填，部分可作为建材利用，其余废弃物由环卫部门收集清运后送垃圾处理厂处理。</w:t>
      </w:r>
    </w:p>
    <w:p w:rsidR="00EE56C0" w:rsidRDefault="000F36A1">
      <w:pPr>
        <w:ind w:firstLine="482"/>
        <w:rPr>
          <w:b/>
          <w:u w:val="single"/>
        </w:rPr>
      </w:pPr>
      <w:r>
        <w:rPr>
          <w:rFonts w:hint="eastAsia"/>
          <w:b/>
          <w:u w:val="single"/>
        </w:rPr>
        <w:t>根据调查，厂区西侧沿胡韦线铺设有污水管网，集聚区内废水规划进入新乡县综合污水处理厂进行处理，该污水处理厂配套管网均已建成，正在调试中。</w:t>
      </w:r>
      <w:r>
        <w:rPr>
          <w:b/>
          <w:u w:val="single"/>
        </w:rPr>
        <w:t>本项目</w:t>
      </w:r>
      <w:r>
        <w:rPr>
          <w:rFonts w:hint="eastAsia"/>
          <w:b/>
          <w:u w:val="single"/>
        </w:rPr>
        <w:t>位于新乡经济技术产业集聚区内，厂区采用自备井供水，后期待自来水管网铺设完成后，厂区不再使用自备井供水。项目废水可进入附近污水管网，生活污水经化粪池处理后，与反渗透浓水在总排口汇合后进入污水管网，再进入新乡县综合污水处理厂进一步处理后排放。</w:t>
      </w:r>
    </w:p>
    <w:p w:rsidR="00EE56C0" w:rsidRDefault="000F36A1">
      <w:pPr>
        <w:pStyle w:val="4"/>
        <w:ind w:left="120" w:firstLine="241"/>
      </w:pPr>
      <w:r>
        <w:rPr>
          <w:rFonts w:hint="eastAsia"/>
        </w:rPr>
        <w:t>2.10.3.2</w:t>
      </w:r>
      <w:r>
        <w:rPr>
          <w:rFonts w:hint="eastAsia"/>
        </w:rPr>
        <w:t>与集聚区准入条件、负面清单规划环评审查意见相符性分析</w:t>
      </w:r>
    </w:p>
    <w:p w:rsidR="00EE56C0" w:rsidRDefault="000F36A1">
      <w:pPr>
        <w:ind w:firstLine="480"/>
      </w:pPr>
      <w:r>
        <w:t>本项目与</w:t>
      </w:r>
      <w:r>
        <w:rPr>
          <w:rFonts w:hint="eastAsia"/>
        </w:rPr>
        <w:t>《新乡经济技术产业集聚区总体发展规划（</w:t>
      </w:r>
      <w:r>
        <w:rPr>
          <w:rFonts w:hint="eastAsia"/>
        </w:rPr>
        <w:t>2017-2025</w:t>
      </w:r>
      <w:r>
        <w:rPr>
          <w:rFonts w:hint="eastAsia"/>
        </w:rPr>
        <w:t>）环境影响评价补充分析报告》</w:t>
      </w:r>
      <w:r>
        <w:t>准入条件相符性详见表</w:t>
      </w:r>
      <w:r>
        <w:rPr>
          <w:rFonts w:hint="eastAsia"/>
        </w:rPr>
        <w:t>2</w:t>
      </w:r>
      <w:r>
        <w:t>-</w:t>
      </w:r>
      <w:r>
        <w:rPr>
          <w:rFonts w:hint="eastAsia"/>
        </w:rPr>
        <w:t>13</w:t>
      </w:r>
      <w:r>
        <w:rPr>
          <w:rFonts w:hint="eastAsia"/>
        </w:rPr>
        <w:t>，与园区环境准入负面清单</w:t>
      </w:r>
      <w:r>
        <w:t>相符性详见表</w:t>
      </w:r>
      <w:r>
        <w:rPr>
          <w:rFonts w:hint="eastAsia"/>
        </w:rPr>
        <w:t>2</w:t>
      </w:r>
      <w:r>
        <w:t>-</w:t>
      </w:r>
      <w:r>
        <w:rPr>
          <w:rFonts w:hint="eastAsia"/>
        </w:rPr>
        <w:t>14</w:t>
      </w:r>
      <w:r>
        <w:t>。</w:t>
      </w:r>
      <w:r>
        <w:rPr>
          <w:b/>
          <w:bCs/>
          <w:u w:val="single"/>
        </w:rPr>
        <w:t>项目建设与集聚区</w:t>
      </w:r>
      <w:r>
        <w:rPr>
          <w:rFonts w:hint="eastAsia"/>
          <w:b/>
          <w:bCs/>
          <w:u w:val="single"/>
        </w:rPr>
        <w:t>规划环评审查意见相符性分析一览表</w:t>
      </w:r>
      <w:r>
        <w:rPr>
          <w:b/>
          <w:bCs/>
          <w:u w:val="single"/>
        </w:rPr>
        <w:t>见表</w:t>
      </w:r>
      <w:r>
        <w:rPr>
          <w:rFonts w:hint="eastAsia"/>
          <w:b/>
          <w:bCs/>
          <w:u w:val="single"/>
        </w:rPr>
        <w:t>2-15</w:t>
      </w:r>
      <w:r>
        <w:rPr>
          <w:rFonts w:hint="eastAsia"/>
          <w:b/>
          <w:bCs/>
          <w:u w:val="single"/>
        </w:rPr>
        <w:t>。</w:t>
      </w:r>
    </w:p>
    <w:p w:rsidR="00EE56C0" w:rsidRDefault="00EE56C0">
      <w:pPr>
        <w:pStyle w:val="afd"/>
        <w:spacing w:before="120" w:after="120"/>
        <w:ind w:firstLine="482"/>
      </w:pPr>
    </w:p>
    <w:p w:rsidR="00EE56C0" w:rsidRDefault="000F36A1">
      <w:pPr>
        <w:pStyle w:val="afd"/>
        <w:spacing w:before="120" w:after="120"/>
        <w:ind w:firstLine="482"/>
      </w:pPr>
      <w:r>
        <w:lastRenderedPageBreak/>
        <w:t>表</w:t>
      </w:r>
      <w:r>
        <w:rPr>
          <w:rFonts w:hint="eastAsia"/>
        </w:rPr>
        <w:t>2</w:t>
      </w:r>
      <w:r>
        <w:t>-1</w:t>
      </w:r>
      <w:r>
        <w:rPr>
          <w:rFonts w:hint="eastAsia"/>
        </w:rPr>
        <w:t xml:space="preserve">3            </w:t>
      </w:r>
      <w:r>
        <w:t>与集聚区准入条件对比分析一览表</w:t>
      </w:r>
    </w:p>
    <w:tbl>
      <w:tblPr>
        <w:tblW w:w="5000" w:type="pct"/>
        <w:jc w:val="center"/>
        <w:tblBorders>
          <w:top w:val="single" w:sz="8" w:space="0" w:color="auto"/>
          <w:left w:val="single" w:sz="4" w:space="0" w:color="auto"/>
          <w:bottom w:val="single" w:sz="8" w:space="0" w:color="auto"/>
          <w:right w:val="single" w:sz="4" w:space="0" w:color="auto"/>
          <w:insideH w:val="single" w:sz="4" w:space="0" w:color="auto"/>
          <w:insideV w:val="single" w:sz="4" w:space="0" w:color="auto"/>
        </w:tblBorders>
        <w:tblLook w:val="04A0"/>
      </w:tblPr>
      <w:tblGrid>
        <w:gridCol w:w="426"/>
        <w:gridCol w:w="426"/>
        <w:gridCol w:w="5722"/>
        <w:gridCol w:w="1420"/>
        <w:gridCol w:w="534"/>
      </w:tblGrid>
      <w:tr w:rsidR="00EE56C0">
        <w:trPr>
          <w:trHeight w:val="397"/>
          <w:jc w:val="center"/>
        </w:trPr>
        <w:tc>
          <w:tcPr>
            <w:tcW w:w="471" w:type="pct"/>
            <w:gridSpan w:val="2"/>
            <w:vAlign w:val="center"/>
          </w:tcPr>
          <w:p w:rsidR="00EE56C0" w:rsidRDefault="000F36A1">
            <w:pPr>
              <w:pStyle w:val="afa"/>
              <w:rPr>
                <w:b/>
              </w:rPr>
            </w:pPr>
            <w:r>
              <w:rPr>
                <w:b/>
              </w:rPr>
              <w:t>类别</w:t>
            </w:r>
          </w:p>
        </w:tc>
        <w:tc>
          <w:tcPr>
            <w:tcW w:w="3364" w:type="pct"/>
            <w:vAlign w:val="center"/>
          </w:tcPr>
          <w:p w:rsidR="00EE56C0" w:rsidRDefault="000F36A1">
            <w:pPr>
              <w:pStyle w:val="afa"/>
              <w:rPr>
                <w:b/>
              </w:rPr>
            </w:pPr>
            <w:r>
              <w:rPr>
                <w:b/>
              </w:rPr>
              <w:t>准入条件</w:t>
            </w:r>
          </w:p>
        </w:tc>
        <w:tc>
          <w:tcPr>
            <w:tcW w:w="842" w:type="pct"/>
            <w:vAlign w:val="center"/>
          </w:tcPr>
          <w:p w:rsidR="00EE56C0" w:rsidRDefault="000F36A1">
            <w:pPr>
              <w:pStyle w:val="afa"/>
              <w:rPr>
                <w:b/>
              </w:rPr>
            </w:pPr>
            <w:r>
              <w:rPr>
                <w:b/>
              </w:rPr>
              <w:t>本项目情况</w:t>
            </w:r>
          </w:p>
        </w:tc>
        <w:tc>
          <w:tcPr>
            <w:tcW w:w="323" w:type="pct"/>
            <w:vAlign w:val="center"/>
          </w:tcPr>
          <w:p w:rsidR="00EE56C0" w:rsidRDefault="000F36A1">
            <w:pPr>
              <w:pStyle w:val="afa"/>
              <w:rPr>
                <w:b/>
              </w:rPr>
            </w:pPr>
            <w:r>
              <w:rPr>
                <w:rFonts w:hint="eastAsia"/>
                <w:b/>
              </w:rPr>
              <w:t>相符性</w:t>
            </w:r>
          </w:p>
        </w:tc>
      </w:tr>
      <w:tr w:rsidR="00EE56C0">
        <w:trPr>
          <w:trHeight w:val="397"/>
          <w:jc w:val="center"/>
        </w:trPr>
        <w:tc>
          <w:tcPr>
            <w:tcW w:w="228" w:type="pct"/>
            <w:vMerge w:val="restart"/>
            <w:vAlign w:val="center"/>
          </w:tcPr>
          <w:p w:rsidR="00EE56C0" w:rsidRDefault="000F36A1">
            <w:pPr>
              <w:pStyle w:val="afa"/>
            </w:pPr>
            <w:r>
              <w:t>产业政策</w:t>
            </w:r>
          </w:p>
        </w:tc>
        <w:tc>
          <w:tcPr>
            <w:tcW w:w="244" w:type="pct"/>
            <w:vAlign w:val="center"/>
          </w:tcPr>
          <w:p w:rsidR="00EE56C0" w:rsidRDefault="000F36A1">
            <w:pPr>
              <w:pStyle w:val="afa"/>
            </w:pPr>
            <w:r>
              <w:t>鼓励引进的项目和优先发展行业</w:t>
            </w:r>
          </w:p>
        </w:tc>
        <w:tc>
          <w:tcPr>
            <w:tcW w:w="3364" w:type="pct"/>
            <w:vAlign w:val="center"/>
          </w:tcPr>
          <w:p w:rsidR="00EE56C0" w:rsidRDefault="000F36A1">
            <w:pPr>
              <w:pStyle w:val="afa"/>
              <w:jc w:val="both"/>
            </w:pPr>
            <w:r>
              <w:rPr>
                <w:rFonts w:ascii="宋体" w:hAnsi="宋体" w:cs="宋体" w:hint="eastAsia"/>
              </w:rPr>
              <w:t>①</w:t>
            </w:r>
            <w:r>
              <w:t>集聚区已按照主导产业及辅助产业对各园区功能布局进行合理布局，企业入驻应按照产业政策要求优先入驻与主导产业相符的产业，鼓励入驻《产业结构调整指导目录》鼓励类项目。</w:t>
            </w:r>
          </w:p>
          <w:p w:rsidR="00EE56C0" w:rsidRDefault="000F36A1">
            <w:pPr>
              <w:pStyle w:val="afa"/>
              <w:jc w:val="both"/>
            </w:pPr>
            <w:r>
              <w:rPr>
                <w:rFonts w:ascii="宋体" w:hAnsi="宋体" w:cs="宋体" w:hint="eastAsia"/>
              </w:rPr>
              <w:t>②</w:t>
            </w:r>
            <w:r>
              <w:t>鼓励中水回用项目、污水深度治理等基础设施、资源综合利用项目入驻集聚区。</w:t>
            </w:r>
          </w:p>
          <w:p w:rsidR="00EE56C0" w:rsidRDefault="000F36A1">
            <w:pPr>
              <w:pStyle w:val="afa"/>
              <w:jc w:val="both"/>
            </w:pPr>
            <w:r>
              <w:rPr>
                <w:rFonts w:ascii="宋体" w:hAnsi="宋体" w:cs="宋体" w:hint="eastAsia"/>
              </w:rPr>
              <w:t>③</w:t>
            </w:r>
            <w:r>
              <w:t xml:space="preserve"> </w:t>
            </w:r>
            <w:r>
              <w:t>鼓励清洁生产水平较高，且能够进一步拉长集聚区产业链，符合集聚区产业定位的企业入驻集聚区。</w:t>
            </w:r>
          </w:p>
          <w:p w:rsidR="00EE56C0" w:rsidRDefault="000F36A1">
            <w:pPr>
              <w:pStyle w:val="afa"/>
              <w:jc w:val="both"/>
            </w:pPr>
            <w:r>
              <w:rPr>
                <w:rFonts w:ascii="宋体" w:hAnsi="宋体" w:cs="宋体" w:hint="eastAsia"/>
              </w:rPr>
              <w:t>④</w:t>
            </w:r>
            <w:r>
              <w:t>鼓励园区内符合产业定位的现有企业对产品进行提升，延长产业链条。</w:t>
            </w:r>
          </w:p>
          <w:p w:rsidR="00EE56C0" w:rsidRDefault="000F36A1">
            <w:pPr>
              <w:pStyle w:val="afa"/>
              <w:jc w:val="both"/>
              <w:rPr>
                <w:spacing w:val="-2"/>
              </w:rPr>
            </w:pPr>
            <w:r>
              <w:rPr>
                <w:rFonts w:ascii="宋体" w:hAnsi="宋体" w:cs="宋体" w:hint="eastAsia"/>
                <w:spacing w:val="-2"/>
              </w:rPr>
              <w:t>⑤</w:t>
            </w:r>
            <w:r>
              <w:rPr>
                <w:spacing w:val="-2"/>
              </w:rPr>
              <w:t>以化工、医药、装备制造作为主导产业。其中化工产业重点依托现有企业河南心连心化肥有限公司发展，支持现有心连心企业的升级改造，重点发展以现有产品为原料的基础化工及下游产业链产品，延长煤化工产业链；医药产业重点发展方向以中药饮片加工及中药配方颗粒制剂、中成药及中药制剂、生物技术药物、生物制剂、卫生材料及医药用品制造等为重点，同时，支持华星药业在发酵原料药方面加快技术改造步伐，推进原料药向产业链下游延伸；装备制造业主要以振动机械、石化及煤化装备、家电设备为主。</w:t>
            </w:r>
          </w:p>
          <w:p w:rsidR="00EE56C0" w:rsidRDefault="000F36A1">
            <w:pPr>
              <w:pStyle w:val="afa"/>
              <w:jc w:val="both"/>
            </w:pPr>
            <w:r>
              <w:rPr>
                <w:rFonts w:ascii="宋体" w:hAnsi="宋体" w:cs="宋体" w:hint="eastAsia"/>
              </w:rPr>
              <w:t>⑥</w:t>
            </w:r>
            <w:r>
              <w:t>允许入驻符合集聚区产业定位及产业类别的医药、装备制造以及煤化工的下游企业，符合集聚区循环经济发展产业链上下游产业的补链项目。</w:t>
            </w:r>
          </w:p>
        </w:tc>
        <w:tc>
          <w:tcPr>
            <w:tcW w:w="842" w:type="pct"/>
            <w:vAlign w:val="center"/>
          </w:tcPr>
          <w:p w:rsidR="00EE56C0" w:rsidRDefault="000F36A1">
            <w:pPr>
              <w:pStyle w:val="afa"/>
            </w:pPr>
            <w:r>
              <w:rPr>
                <w:rFonts w:hint="eastAsia"/>
              </w:rPr>
              <w:t>项目</w:t>
            </w:r>
            <w:r>
              <w:t>位于装备制造产业园区</w:t>
            </w:r>
            <w:r>
              <w:rPr>
                <w:rFonts w:hint="eastAsia"/>
              </w:rPr>
              <w:t>，产品为纸包线、烧结线、丝包线，利用子公司生产的铜杆生产漆包线、纸包线、烧结线、丝包线，延长</w:t>
            </w:r>
            <w:r>
              <w:t>产业链条。</w:t>
            </w:r>
          </w:p>
        </w:tc>
        <w:tc>
          <w:tcPr>
            <w:tcW w:w="323" w:type="pct"/>
            <w:vMerge w:val="restart"/>
            <w:vAlign w:val="center"/>
          </w:tcPr>
          <w:p w:rsidR="00EE56C0" w:rsidRDefault="000F36A1">
            <w:pPr>
              <w:pStyle w:val="afa"/>
            </w:pPr>
            <w:r>
              <w:t>属于允许入驻项目</w:t>
            </w:r>
          </w:p>
        </w:tc>
      </w:tr>
      <w:tr w:rsidR="00EE56C0">
        <w:trPr>
          <w:trHeight w:val="397"/>
          <w:jc w:val="center"/>
        </w:trPr>
        <w:tc>
          <w:tcPr>
            <w:tcW w:w="228" w:type="pct"/>
            <w:vMerge/>
            <w:vAlign w:val="center"/>
          </w:tcPr>
          <w:p w:rsidR="00EE56C0" w:rsidRDefault="00EE56C0">
            <w:pPr>
              <w:pStyle w:val="afa"/>
            </w:pPr>
          </w:p>
        </w:tc>
        <w:tc>
          <w:tcPr>
            <w:tcW w:w="244" w:type="pct"/>
            <w:vAlign w:val="center"/>
          </w:tcPr>
          <w:p w:rsidR="00EE56C0" w:rsidRDefault="000F36A1">
            <w:pPr>
              <w:pStyle w:val="afa"/>
            </w:pPr>
            <w:r>
              <w:t>限制或禁止入驻项目</w:t>
            </w:r>
          </w:p>
        </w:tc>
        <w:tc>
          <w:tcPr>
            <w:tcW w:w="3364" w:type="pct"/>
            <w:vAlign w:val="center"/>
          </w:tcPr>
          <w:p w:rsidR="00EE56C0" w:rsidRDefault="000F36A1">
            <w:pPr>
              <w:pStyle w:val="afa"/>
              <w:jc w:val="both"/>
            </w:pPr>
            <w:r>
              <w:rPr>
                <w:rFonts w:ascii="宋体" w:hAnsi="宋体" w:cs="宋体" w:hint="eastAsia"/>
              </w:rPr>
              <w:t>①</w:t>
            </w:r>
            <w:r>
              <w:t>原则上仅允许入驻符合集聚区产业定位，且项目选址须符合集聚区产业布局及用地性质的项目。</w:t>
            </w:r>
          </w:p>
          <w:p w:rsidR="00EE56C0" w:rsidRDefault="000F36A1">
            <w:pPr>
              <w:pStyle w:val="afa"/>
              <w:jc w:val="both"/>
            </w:pPr>
            <w:r>
              <w:rPr>
                <w:rFonts w:ascii="宋体" w:hAnsi="宋体" w:cs="宋体" w:hint="eastAsia"/>
              </w:rPr>
              <w:t>②</w:t>
            </w:r>
            <w:r>
              <w:t>按照国家相关产业政策，严禁淘汰和限制类工业企业入园。</w:t>
            </w:r>
          </w:p>
          <w:p w:rsidR="00EE56C0" w:rsidRDefault="000F36A1">
            <w:pPr>
              <w:pStyle w:val="afa"/>
              <w:jc w:val="both"/>
              <w:rPr>
                <w:spacing w:val="-2"/>
              </w:rPr>
            </w:pPr>
            <w:r>
              <w:rPr>
                <w:rFonts w:ascii="宋体" w:hAnsi="宋体" w:cs="宋体" w:hint="eastAsia"/>
                <w:spacing w:val="-2"/>
              </w:rPr>
              <w:t>③ 建议</w:t>
            </w:r>
            <w:r>
              <w:rPr>
                <w:spacing w:val="-2"/>
              </w:rPr>
              <w:t>化工园区</w:t>
            </w:r>
            <w:r>
              <w:rPr>
                <w:rFonts w:ascii="宋体" w:hAnsi="宋体" w:cs="宋体" w:hint="eastAsia"/>
                <w:spacing w:val="-2"/>
              </w:rPr>
              <w:t>发展方向立足于河南心连心化肥有限公司退城入园项目和该公司自身产业链的发展项目，控制其用地（包括三类工业用地）和产业发展规模。</w:t>
            </w:r>
          </w:p>
          <w:p w:rsidR="00EE56C0" w:rsidRDefault="000F36A1">
            <w:pPr>
              <w:pStyle w:val="afa"/>
              <w:jc w:val="both"/>
              <w:rPr>
                <w:spacing w:val="-2"/>
              </w:rPr>
            </w:pPr>
            <w:r>
              <w:rPr>
                <w:rFonts w:ascii="宋体" w:hAnsi="宋体" w:cs="宋体" w:hint="eastAsia"/>
                <w:spacing w:val="-2"/>
              </w:rPr>
              <w:t>④</w:t>
            </w:r>
            <w:r>
              <w:rPr>
                <w:spacing w:val="-2"/>
              </w:rPr>
              <w:t>建议化工园区重点发展以河南心连心化肥有限公司现有产品为原料的基础化工及下游产业链产品，延长煤化工产业链；同时，禁止新建或单纯扩大产能的以煤为原料的煤化工项目，升级改造项目、符合条件的退城入园项目入驻园区不得增加区域燃煤总量，且合成氨和甲醇产能应进行等量置换。建议化工园区合成氨和甲醇年总产能控制为</w:t>
            </w:r>
            <w:r>
              <w:rPr>
                <w:spacing w:val="-2"/>
              </w:rPr>
              <w:t>200</w:t>
            </w:r>
            <w:r>
              <w:rPr>
                <w:spacing w:val="-2"/>
              </w:rPr>
              <w:t>万吨。</w:t>
            </w:r>
          </w:p>
          <w:p w:rsidR="00EE56C0" w:rsidRDefault="000F36A1">
            <w:pPr>
              <w:pStyle w:val="afa"/>
              <w:jc w:val="both"/>
            </w:pPr>
            <w:r>
              <w:rPr>
                <w:rFonts w:ascii="宋体" w:hAnsi="宋体" w:cs="宋体" w:hint="eastAsia"/>
              </w:rPr>
              <w:t>⑤</w:t>
            </w:r>
            <w:r>
              <w:t>禁止建设或使用《产业结构调整指导目录（</w:t>
            </w:r>
            <w:r>
              <w:t>2011</w:t>
            </w:r>
            <w:r>
              <w:t>年本）（</w:t>
            </w:r>
            <w:r>
              <w:t>2013</w:t>
            </w:r>
            <w:r>
              <w:t>年修正）》明令淘汰的生产工艺或设备</w:t>
            </w:r>
          </w:p>
        </w:tc>
        <w:tc>
          <w:tcPr>
            <w:tcW w:w="842" w:type="pct"/>
            <w:vAlign w:val="center"/>
          </w:tcPr>
          <w:p w:rsidR="00EE56C0" w:rsidRDefault="000F36A1">
            <w:pPr>
              <w:pStyle w:val="afa"/>
              <w:jc w:val="both"/>
            </w:pPr>
            <w:r>
              <w:rPr>
                <w:rFonts w:hint="eastAsia"/>
              </w:rPr>
              <w:t>项目属于电气机械和器材制造业，不在化工园区；</w:t>
            </w:r>
            <w:r>
              <w:t>项目符合国家及地方产业政策要求，不属于国家产业政策命令淘汰、限制发展的项目类别</w:t>
            </w:r>
            <w:r>
              <w:rPr>
                <w:rFonts w:hint="eastAsia"/>
              </w:rPr>
              <w:t>。</w:t>
            </w:r>
          </w:p>
        </w:tc>
        <w:tc>
          <w:tcPr>
            <w:tcW w:w="323" w:type="pct"/>
            <w:vMerge/>
            <w:vAlign w:val="center"/>
          </w:tcPr>
          <w:p w:rsidR="00EE56C0" w:rsidRDefault="00EE56C0">
            <w:pPr>
              <w:pStyle w:val="afa"/>
            </w:pPr>
          </w:p>
        </w:tc>
      </w:tr>
      <w:tr w:rsidR="00EE56C0">
        <w:trPr>
          <w:trHeight w:val="397"/>
          <w:jc w:val="center"/>
        </w:trPr>
        <w:tc>
          <w:tcPr>
            <w:tcW w:w="471" w:type="pct"/>
            <w:gridSpan w:val="2"/>
            <w:vAlign w:val="center"/>
          </w:tcPr>
          <w:p w:rsidR="00EE56C0" w:rsidRDefault="000F36A1">
            <w:pPr>
              <w:pStyle w:val="afa"/>
            </w:pPr>
            <w:r>
              <w:t>生产规模和工艺装备水平</w:t>
            </w:r>
          </w:p>
        </w:tc>
        <w:tc>
          <w:tcPr>
            <w:tcW w:w="3364" w:type="pct"/>
            <w:vAlign w:val="center"/>
          </w:tcPr>
          <w:p w:rsidR="00EE56C0" w:rsidRDefault="000F36A1">
            <w:pPr>
              <w:pStyle w:val="afa"/>
              <w:jc w:val="both"/>
              <w:rPr>
                <w:spacing w:val="-4"/>
              </w:rPr>
            </w:pPr>
            <w:r>
              <w:rPr>
                <w:spacing w:val="-4"/>
              </w:rPr>
              <w:t>（</w:t>
            </w:r>
            <w:r>
              <w:rPr>
                <w:spacing w:val="-4"/>
              </w:rPr>
              <w:t>1</w:t>
            </w:r>
            <w:r>
              <w:rPr>
                <w:spacing w:val="-4"/>
              </w:rPr>
              <w:t>）入区企业建设规模应符合国家相关行业准入条件中的经济、产品规模和生产工艺要求；</w:t>
            </w:r>
          </w:p>
          <w:p w:rsidR="00EE56C0" w:rsidRDefault="000F36A1">
            <w:pPr>
              <w:pStyle w:val="afa"/>
              <w:jc w:val="both"/>
            </w:pPr>
            <w:r>
              <w:t>（</w:t>
            </w:r>
            <w:r>
              <w:t>2</w:t>
            </w:r>
            <w:r>
              <w:t>）在生产工艺、技术水平、装备规格上，要求入区项目达到国内行业领先水平、或具备国际先进水平</w:t>
            </w:r>
          </w:p>
        </w:tc>
        <w:tc>
          <w:tcPr>
            <w:tcW w:w="842" w:type="pct"/>
            <w:vAlign w:val="center"/>
          </w:tcPr>
          <w:p w:rsidR="00EE56C0" w:rsidRDefault="000F36A1">
            <w:pPr>
              <w:pStyle w:val="afa"/>
              <w:jc w:val="both"/>
            </w:pPr>
            <w:r>
              <w:rPr>
                <w:rFonts w:hint="eastAsia"/>
              </w:rPr>
              <w:t>项目建设</w:t>
            </w:r>
            <w:r>
              <w:t>规模符合国家相关行业准入条件中的经济、产品规模和生产工艺要求；本项目可以达到国内同行业</w:t>
            </w:r>
            <w:r>
              <w:lastRenderedPageBreak/>
              <w:t>领先水平</w:t>
            </w:r>
            <w:r>
              <w:rPr>
                <w:rFonts w:hint="eastAsia"/>
              </w:rPr>
              <w:t>。</w:t>
            </w:r>
          </w:p>
        </w:tc>
        <w:tc>
          <w:tcPr>
            <w:tcW w:w="323" w:type="pct"/>
            <w:vAlign w:val="center"/>
          </w:tcPr>
          <w:p w:rsidR="00EE56C0" w:rsidRDefault="000F36A1">
            <w:pPr>
              <w:pStyle w:val="afa"/>
            </w:pPr>
            <w:r>
              <w:lastRenderedPageBreak/>
              <w:t>符合</w:t>
            </w:r>
          </w:p>
        </w:tc>
      </w:tr>
      <w:tr w:rsidR="00EE56C0">
        <w:trPr>
          <w:trHeight w:val="397"/>
          <w:jc w:val="center"/>
        </w:trPr>
        <w:tc>
          <w:tcPr>
            <w:tcW w:w="471" w:type="pct"/>
            <w:gridSpan w:val="2"/>
            <w:vAlign w:val="center"/>
          </w:tcPr>
          <w:p w:rsidR="00EE56C0" w:rsidRDefault="000F36A1">
            <w:pPr>
              <w:pStyle w:val="afa"/>
            </w:pPr>
            <w:r>
              <w:lastRenderedPageBreak/>
              <w:t>清洁生产水平</w:t>
            </w:r>
          </w:p>
        </w:tc>
        <w:tc>
          <w:tcPr>
            <w:tcW w:w="3364" w:type="pct"/>
            <w:vAlign w:val="center"/>
          </w:tcPr>
          <w:p w:rsidR="00EE56C0" w:rsidRDefault="000F36A1">
            <w:pPr>
              <w:pStyle w:val="afa"/>
              <w:jc w:val="both"/>
            </w:pPr>
            <w:r>
              <w:t>（</w:t>
            </w:r>
            <w:r>
              <w:t>1</w:t>
            </w:r>
            <w:r>
              <w:t>）应选择使用原料和产品为环境友好型的项目，避免集聚区大规模建设造成的不良辐射效应，诱使国家明令禁止项目在集聚区周边出现；</w:t>
            </w:r>
          </w:p>
          <w:p w:rsidR="00EE56C0" w:rsidRDefault="000F36A1">
            <w:pPr>
              <w:pStyle w:val="afa"/>
              <w:jc w:val="both"/>
            </w:pPr>
            <w:r>
              <w:t>（</w:t>
            </w:r>
            <w:r>
              <w:t>2</w:t>
            </w:r>
            <w:r>
              <w:t>）入区项目在单位产品水耗、能耗、污染物排放量等清洁生产指标应达到国内同类行业先进水平；</w:t>
            </w:r>
          </w:p>
          <w:p w:rsidR="00EE56C0" w:rsidRDefault="000F36A1">
            <w:pPr>
              <w:pStyle w:val="afa"/>
              <w:jc w:val="both"/>
            </w:pPr>
            <w:r>
              <w:t>（</w:t>
            </w:r>
            <w:r>
              <w:t>3</w:t>
            </w:r>
            <w:r>
              <w:t>）按照循环经济发展之路，评价建议能够与集聚区定位发展产业形成良好循环经济链条的项目可优先入园</w:t>
            </w:r>
          </w:p>
        </w:tc>
        <w:tc>
          <w:tcPr>
            <w:tcW w:w="842" w:type="pct"/>
            <w:vAlign w:val="center"/>
          </w:tcPr>
          <w:p w:rsidR="00EE56C0" w:rsidRDefault="000F36A1">
            <w:pPr>
              <w:pStyle w:val="afa"/>
              <w:jc w:val="both"/>
            </w:pPr>
            <w:r>
              <w:t>本项目使用原料和产品不会造成不良辐射效应；单位产品水耗、电耗、综合能耗等清洁生产指标应达到国内相关行业指标要求</w:t>
            </w:r>
            <w:r>
              <w:rPr>
                <w:rFonts w:hint="eastAsia"/>
              </w:rPr>
              <w:t>。</w:t>
            </w:r>
          </w:p>
        </w:tc>
        <w:tc>
          <w:tcPr>
            <w:tcW w:w="323" w:type="pct"/>
            <w:vAlign w:val="center"/>
          </w:tcPr>
          <w:p w:rsidR="00EE56C0" w:rsidRDefault="000F36A1">
            <w:pPr>
              <w:pStyle w:val="afa"/>
            </w:pPr>
            <w:r>
              <w:t>符合</w:t>
            </w:r>
          </w:p>
        </w:tc>
      </w:tr>
      <w:tr w:rsidR="00EE56C0">
        <w:trPr>
          <w:trHeight w:val="397"/>
          <w:jc w:val="center"/>
        </w:trPr>
        <w:tc>
          <w:tcPr>
            <w:tcW w:w="471" w:type="pct"/>
            <w:gridSpan w:val="2"/>
            <w:vAlign w:val="center"/>
          </w:tcPr>
          <w:p w:rsidR="00EE56C0" w:rsidRDefault="000F36A1">
            <w:pPr>
              <w:pStyle w:val="afa"/>
            </w:pPr>
            <w:r>
              <w:t>污染物排放总量控制</w:t>
            </w:r>
          </w:p>
        </w:tc>
        <w:tc>
          <w:tcPr>
            <w:tcW w:w="3364" w:type="pct"/>
            <w:vAlign w:val="center"/>
          </w:tcPr>
          <w:p w:rsidR="00EE56C0" w:rsidRDefault="000F36A1">
            <w:pPr>
              <w:pStyle w:val="afa"/>
              <w:jc w:val="both"/>
            </w:pPr>
            <w:r>
              <w:rPr>
                <w:rFonts w:hint="eastAsia"/>
              </w:rPr>
              <w:t>（</w:t>
            </w:r>
            <w:r>
              <w:rPr>
                <w:rFonts w:hint="eastAsia"/>
              </w:rPr>
              <w:t>1</w:t>
            </w:r>
            <w:r>
              <w:rPr>
                <w:rFonts w:hint="eastAsia"/>
              </w:rPr>
              <w:t>）</w:t>
            </w:r>
            <w:r>
              <w:t>新建项目的污染物排放指标必须满足区域总量要求；</w:t>
            </w:r>
          </w:p>
          <w:p w:rsidR="00EE56C0" w:rsidRDefault="000F36A1">
            <w:pPr>
              <w:pStyle w:val="afa"/>
              <w:jc w:val="both"/>
            </w:pPr>
            <w:r>
              <w:rPr>
                <w:rFonts w:hint="eastAsia"/>
              </w:rPr>
              <w:t>（</w:t>
            </w:r>
            <w:r>
              <w:rPr>
                <w:rFonts w:hint="eastAsia"/>
              </w:rPr>
              <w:t>2</w:t>
            </w:r>
            <w:r>
              <w:rPr>
                <w:rFonts w:hint="eastAsia"/>
              </w:rPr>
              <w:t>）</w:t>
            </w:r>
            <w:r>
              <w:t>禁止发展环境污染严重、无污染治理技术或治理技术在技术经济上不可行的项目；</w:t>
            </w:r>
          </w:p>
          <w:p w:rsidR="00EE56C0" w:rsidRDefault="000F36A1">
            <w:pPr>
              <w:pStyle w:val="afa"/>
              <w:jc w:val="both"/>
            </w:pPr>
            <w:r>
              <w:rPr>
                <w:rFonts w:hint="eastAsia"/>
              </w:rPr>
              <w:t>（</w:t>
            </w:r>
            <w:r>
              <w:rPr>
                <w:rFonts w:hint="eastAsia"/>
              </w:rPr>
              <w:t>3</w:t>
            </w:r>
            <w:r>
              <w:rPr>
                <w:rFonts w:hint="eastAsia"/>
              </w:rPr>
              <w:t>）</w:t>
            </w:r>
            <w:r>
              <w:t>新建项目的大气污染物处理达到相关行业标准或大气污染物综合排放标准后方可排放，水污染物排放应达到相关行业标准或水污染物综合排放标准后才能进入集聚区污水处理厂</w:t>
            </w:r>
            <w:r>
              <w:rPr>
                <w:rFonts w:hint="eastAsia"/>
              </w:rPr>
              <w:t>。</w:t>
            </w:r>
          </w:p>
        </w:tc>
        <w:tc>
          <w:tcPr>
            <w:tcW w:w="842" w:type="pct"/>
            <w:vAlign w:val="center"/>
          </w:tcPr>
          <w:p w:rsidR="00EE56C0" w:rsidRDefault="000F36A1">
            <w:pPr>
              <w:pStyle w:val="afa"/>
              <w:jc w:val="both"/>
            </w:pPr>
            <w:r>
              <w:rPr>
                <w:rFonts w:hint="eastAsia"/>
              </w:rPr>
              <w:t>本项目废气进入静电除油</w:t>
            </w:r>
            <w:r>
              <w:rPr>
                <w:rFonts w:hint="eastAsia"/>
              </w:rPr>
              <w:t>+</w:t>
            </w:r>
            <w:r>
              <w:rPr>
                <w:rFonts w:hint="eastAsia"/>
              </w:rPr>
              <w:t>活性炭吸附</w:t>
            </w:r>
            <w:r>
              <w:rPr>
                <w:rFonts w:hint="eastAsia"/>
              </w:rPr>
              <w:t>-</w:t>
            </w:r>
            <w:r>
              <w:rPr>
                <w:rFonts w:hint="eastAsia"/>
              </w:rPr>
              <w:t>脱附</w:t>
            </w:r>
            <w:r>
              <w:rPr>
                <w:rFonts w:hint="eastAsia"/>
              </w:rPr>
              <w:t>-</w:t>
            </w:r>
            <w:r>
              <w:rPr>
                <w:rFonts w:hint="eastAsia"/>
              </w:rPr>
              <w:t>催化燃烧装置或沸石吸附</w:t>
            </w:r>
            <w:r>
              <w:rPr>
                <w:rFonts w:hint="eastAsia"/>
              </w:rPr>
              <w:t>-</w:t>
            </w:r>
            <w:r>
              <w:rPr>
                <w:rFonts w:hint="eastAsia"/>
              </w:rPr>
              <w:t>脱附</w:t>
            </w:r>
            <w:r>
              <w:rPr>
                <w:rFonts w:hint="eastAsia"/>
              </w:rPr>
              <w:t>-</w:t>
            </w:r>
            <w:r>
              <w:rPr>
                <w:rFonts w:hint="eastAsia"/>
              </w:rPr>
              <w:t>催化燃烧装置治理后达标排放。管网接通前，项目废水用于厂区绿化，管网接通后，经管网排入新乡县综合污水处理厂，满足相关标准。</w:t>
            </w:r>
          </w:p>
        </w:tc>
        <w:tc>
          <w:tcPr>
            <w:tcW w:w="323" w:type="pct"/>
            <w:vAlign w:val="center"/>
          </w:tcPr>
          <w:p w:rsidR="00EE56C0" w:rsidRDefault="000F36A1">
            <w:pPr>
              <w:pStyle w:val="afa"/>
            </w:pPr>
            <w:r>
              <w:t>符合</w:t>
            </w:r>
          </w:p>
        </w:tc>
      </w:tr>
      <w:tr w:rsidR="00EE56C0">
        <w:trPr>
          <w:trHeight w:val="397"/>
          <w:jc w:val="center"/>
        </w:trPr>
        <w:tc>
          <w:tcPr>
            <w:tcW w:w="471" w:type="pct"/>
            <w:gridSpan w:val="2"/>
            <w:vAlign w:val="center"/>
          </w:tcPr>
          <w:p w:rsidR="00EE56C0" w:rsidRDefault="000F36A1">
            <w:pPr>
              <w:pStyle w:val="afa"/>
            </w:pPr>
            <w:r>
              <w:t>土地利用</w:t>
            </w:r>
          </w:p>
        </w:tc>
        <w:tc>
          <w:tcPr>
            <w:tcW w:w="3364" w:type="pct"/>
            <w:vAlign w:val="center"/>
          </w:tcPr>
          <w:p w:rsidR="00EE56C0" w:rsidRDefault="000F36A1">
            <w:pPr>
              <w:pStyle w:val="afa"/>
              <w:jc w:val="both"/>
            </w:pPr>
            <w:r>
              <w:t>（</w:t>
            </w:r>
            <w:r>
              <w:t>1</w:t>
            </w:r>
            <w:r>
              <w:t>）入园项目必须达到《河南省工业项目建设用地控制指标》要求；</w:t>
            </w:r>
          </w:p>
          <w:p w:rsidR="00EE56C0" w:rsidRDefault="000F36A1">
            <w:pPr>
              <w:pStyle w:val="afa"/>
              <w:jc w:val="both"/>
            </w:pPr>
            <w:r>
              <w:t>（</w:t>
            </w:r>
            <w:r>
              <w:t>2</w:t>
            </w:r>
            <w:r>
              <w:t>）入园项目用地必须符合集聚区土地利用规划要求。</w:t>
            </w:r>
          </w:p>
          <w:p w:rsidR="00EE56C0" w:rsidRDefault="000F36A1">
            <w:pPr>
              <w:pStyle w:val="afa"/>
              <w:jc w:val="both"/>
            </w:pPr>
            <w:r>
              <w:t>（</w:t>
            </w:r>
            <w:r>
              <w:t>3</w:t>
            </w:r>
            <w:r>
              <w:t>）入园项目必须符合园区产业布局要求。</w:t>
            </w:r>
          </w:p>
        </w:tc>
        <w:tc>
          <w:tcPr>
            <w:tcW w:w="842" w:type="pct"/>
            <w:vAlign w:val="center"/>
          </w:tcPr>
          <w:p w:rsidR="00EE56C0" w:rsidRDefault="000F36A1">
            <w:pPr>
              <w:pStyle w:val="afa"/>
              <w:jc w:val="both"/>
            </w:pPr>
            <w:r>
              <w:rPr>
                <w:rFonts w:hint="eastAsia"/>
              </w:rPr>
              <w:t>项目占地符合</w:t>
            </w:r>
            <w:r>
              <w:t>《河南省工业项目建设用地控制指标》要求</w:t>
            </w:r>
            <w:r>
              <w:rPr>
                <w:rFonts w:hint="eastAsia"/>
              </w:rPr>
              <w:t>，占地为工业用地，符合集聚区土地利用规划。</w:t>
            </w:r>
          </w:p>
        </w:tc>
        <w:tc>
          <w:tcPr>
            <w:tcW w:w="323" w:type="pct"/>
            <w:vAlign w:val="center"/>
          </w:tcPr>
          <w:p w:rsidR="00EE56C0" w:rsidRDefault="000F36A1">
            <w:pPr>
              <w:pStyle w:val="afa"/>
            </w:pPr>
            <w:r>
              <w:t>符合</w:t>
            </w:r>
          </w:p>
        </w:tc>
      </w:tr>
    </w:tbl>
    <w:p w:rsidR="00EE56C0" w:rsidRDefault="000F36A1">
      <w:pPr>
        <w:pStyle w:val="afd"/>
        <w:spacing w:before="120" w:after="120"/>
        <w:ind w:firstLine="482"/>
      </w:pPr>
      <w:r>
        <w:t>表</w:t>
      </w:r>
      <w:r>
        <w:rPr>
          <w:rFonts w:hint="eastAsia"/>
        </w:rPr>
        <w:t>2</w:t>
      </w:r>
      <w:r>
        <w:t>-1</w:t>
      </w:r>
      <w:r>
        <w:rPr>
          <w:rFonts w:hint="eastAsia"/>
        </w:rPr>
        <w:t xml:space="preserve">4   </w:t>
      </w:r>
      <w:r>
        <w:t>与集聚区</w:t>
      </w:r>
      <w:r>
        <w:rPr>
          <w:rFonts w:hint="eastAsia"/>
        </w:rPr>
        <w:t>环境准入负面清单（禁止和限制发展项目）</w:t>
      </w:r>
      <w:r>
        <w:t>对比一览表</w:t>
      </w:r>
    </w:p>
    <w:tbl>
      <w:tblPr>
        <w:tblW w:w="5000" w:type="pct"/>
        <w:tblBorders>
          <w:top w:val="single" w:sz="8" w:space="0" w:color="auto"/>
          <w:left w:val="single" w:sz="4" w:space="0" w:color="auto"/>
          <w:bottom w:val="single" w:sz="8" w:space="0" w:color="auto"/>
          <w:right w:val="single" w:sz="4" w:space="0" w:color="auto"/>
          <w:insideH w:val="single" w:sz="4" w:space="0" w:color="auto"/>
          <w:insideV w:val="single" w:sz="4" w:space="0" w:color="auto"/>
        </w:tblBorders>
        <w:tblCellMar>
          <w:top w:w="85" w:type="dxa"/>
          <w:left w:w="57" w:type="dxa"/>
          <w:bottom w:w="85" w:type="dxa"/>
          <w:right w:w="57" w:type="dxa"/>
        </w:tblCellMar>
        <w:tblLook w:val="04A0"/>
      </w:tblPr>
      <w:tblGrid>
        <w:gridCol w:w="908"/>
        <w:gridCol w:w="993"/>
        <w:gridCol w:w="4366"/>
        <w:gridCol w:w="2159"/>
      </w:tblGrid>
      <w:tr w:rsidR="00EE56C0">
        <w:trPr>
          <w:trHeight w:val="397"/>
        </w:trPr>
        <w:tc>
          <w:tcPr>
            <w:tcW w:w="539" w:type="pct"/>
            <w:tcMar>
              <w:top w:w="28" w:type="dxa"/>
              <w:bottom w:w="57" w:type="dxa"/>
            </w:tcMar>
            <w:vAlign w:val="center"/>
          </w:tcPr>
          <w:p w:rsidR="00EE56C0" w:rsidRDefault="000F36A1">
            <w:pPr>
              <w:pStyle w:val="aff1"/>
              <w:rPr>
                <w:color w:val="auto"/>
              </w:rPr>
            </w:pPr>
            <w:r>
              <w:rPr>
                <w:color w:val="auto"/>
              </w:rPr>
              <w:t>要求</w:t>
            </w:r>
          </w:p>
        </w:tc>
        <w:tc>
          <w:tcPr>
            <w:tcW w:w="589" w:type="pct"/>
            <w:tcMar>
              <w:top w:w="28" w:type="dxa"/>
              <w:bottom w:w="57" w:type="dxa"/>
            </w:tcMar>
            <w:vAlign w:val="center"/>
          </w:tcPr>
          <w:p w:rsidR="00EE56C0" w:rsidRDefault="000F36A1">
            <w:pPr>
              <w:pStyle w:val="aff1"/>
              <w:rPr>
                <w:color w:val="auto"/>
              </w:rPr>
            </w:pPr>
            <w:r>
              <w:rPr>
                <w:color w:val="auto"/>
              </w:rPr>
              <w:t>行业</w:t>
            </w:r>
          </w:p>
        </w:tc>
        <w:tc>
          <w:tcPr>
            <w:tcW w:w="2591" w:type="pct"/>
            <w:tcMar>
              <w:top w:w="28" w:type="dxa"/>
              <w:bottom w:w="57" w:type="dxa"/>
            </w:tcMar>
            <w:vAlign w:val="center"/>
          </w:tcPr>
          <w:p w:rsidR="00EE56C0" w:rsidRDefault="000F36A1">
            <w:pPr>
              <w:pStyle w:val="aff1"/>
              <w:rPr>
                <w:color w:val="auto"/>
              </w:rPr>
            </w:pPr>
            <w:r>
              <w:rPr>
                <w:color w:val="auto"/>
              </w:rPr>
              <w:t>禁止和限制发展内容</w:t>
            </w:r>
          </w:p>
        </w:tc>
        <w:tc>
          <w:tcPr>
            <w:tcW w:w="1281" w:type="pct"/>
            <w:vAlign w:val="center"/>
          </w:tcPr>
          <w:p w:rsidR="00EE56C0" w:rsidRDefault="000F36A1">
            <w:pPr>
              <w:pStyle w:val="aff1"/>
              <w:rPr>
                <w:color w:val="auto"/>
              </w:rPr>
            </w:pPr>
            <w:r>
              <w:rPr>
                <w:rFonts w:hint="eastAsia"/>
                <w:color w:val="auto"/>
              </w:rPr>
              <w:t>本项目情况</w:t>
            </w:r>
          </w:p>
        </w:tc>
      </w:tr>
      <w:tr w:rsidR="00EE56C0">
        <w:trPr>
          <w:trHeight w:val="397"/>
        </w:trPr>
        <w:tc>
          <w:tcPr>
            <w:tcW w:w="539" w:type="pct"/>
            <w:vMerge w:val="restart"/>
            <w:tcMar>
              <w:top w:w="28" w:type="dxa"/>
              <w:bottom w:w="57" w:type="dxa"/>
            </w:tcMar>
            <w:vAlign w:val="center"/>
          </w:tcPr>
          <w:p w:rsidR="00EE56C0" w:rsidRDefault="000F36A1">
            <w:pPr>
              <w:pStyle w:val="afa"/>
            </w:pPr>
            <w:r>
              <w:t>不符合国家政策，属于淘汰和产品，能耗大、污</w:t>
            </w:r>
            <w:r>
              <w:lastRenderedPageBreak/>
              <w:t>染物产生量大，产业规模达不到要求及国家限制发展行业</w:t>
            </w:r>
          </w:p>
        </w:tc>
        <w:tc>
          <w:tcPr>
            <w:tcW w:w="589" w:type="pct"/>
            <w:vMerge w:val="restart"/>
            <w:tcMar>
              <w:top w:w="28" w:type="dxa"/>
              <w:bottom w:w="57" w:type="dxa"/>
            </w:tcMar>
            <w:vAlign w:val="center"/>
          </w:tcPr>
          <w:p w:rsidR="00EE56C0" w:rsidRDefault="000F36A1">
            <w:pPr>
              <w:pStyle w:val="afa"/>
            </w:pPr>
            <w:r>
              <w:lastRenderedPageBreak/>
              <w:t>化工</w:t>
            </w:r>
          </w:p>
        </w:tc>
        <w:tc>
          <w:tcPr>
            <w:tcW w:w="2591" w:type="pct"/>
            <w:tcMar>
              <w:top w:w="28" w:type="dxa"/>
              <w:bottom w:w="57" w:type="dxa"/>
            </w:tcMar>
            <w:vAlign w:val="center"/>
          </w:tcPr>
          <w:p w:rsidR="00EE56C0" w:rsidRDefault="000F36A1">
            <w:pPr>
              <w:pStyle w:val="afa"/>
            </w:pPr>
            <w:r>
              <w:t>禁止新建或单纯扩大产能的以煤为原料的煤化工项目；同时升级改造项目、符合条件的退城入园项目，入驻园区不得增加区域燃煤总量，且合成氨和甲醇产能应进行等量置换，不得新增河南省区域合成氨和甲醇产能，建议化工园区合成氨和甲醇年总产能控制为</w:t>
            </w:r>
            <w:r>
              <w:t>200</w:t>
            </w:r>
            <w:r>
              <w:t>万吨。</w:t>
            </w:r>
          </w:p>
        </w:tc>
        <w:tc>
          <w:tcPr>
            <w:tcW w:w="1281" w:type="pct"/>
            <w:vMerge w:val="restart"/>
            <w:vAlign w:val="center"/>
          </w:tcPr>
          <w:p w:rsidR="00EE56C0" w:rsidRDefault="000F36A1">
            <w:pPr>
              <w:pStyle w:val="afa"/>
            </w:pPr>
            <w:r>
              <w:rPr>
                <w:rFonts w:hint="eastAsia"/>
              </w:rPr>
              <w:t>本项目不属于化工行业</w:t>
            </w:r>
          </w:p>
        </w:tc>
      </w:tr>
      <w:tr w:rsidR="00EE56C0">
        <w:trPr>
          <w:trHeight w:val="397"/>
        </w:trPr>
        <w:tc>
          <w:tcPr>
            <w:tcW w:w="539" w:type="pct"/>
            <w:vMerge/>
            <w:tcMar>
              <w:top w:w="28" w:type="dxa"/>
              <w:bottom w:w="57" w:type="dxa"/>
            </w:tcMar>
            <w:vAlign w:val="center"/>
          </w:tcPr>
          <w:p w:rsidR="00EE56C0" w:rsidRDefault="00EE56C0">
            <w:pPr>
              <w:pStyle w:val="afa"/>
              <w:rPr>
                <w:u w:val="single"/>
              </w:rPr>
            </w:pPr>
          </w:p>
        </w:tc>
        <w:tc>
          <w:tcPr>
            <w:tcW w:w="589" w:type="pct"/>
            <w:vMerge/>
            <w:tcMar>
              <w:top w:w="28" w:type="dxa"/>
              <w:bottom w:w="57" w:type="dxa"/>
            </w:tcMar>
            <w:vAlign w:val="center"/>
          </w:tcPr>
          <w:p w:rsidR="00EE56C0" w:rsidRDefault="00EE56C0">
            <w:pPr>
              <w:pStyle w:val="afa"/>
              <w:rPr>
                <w:u w:val="single"/>
              </w:rPr>
            </w:pPr>
          </w:p>
        </w:tc>
        <w:tc>
          <w:tcPr>
            <w:tcW w:w="2591" w:type="pct"/>
            <w:tcMar>
              <w:top w:w="28" w:type="dxa"/>
              <w:bottom w:w="57" w:type="dxa"/>
            </w:tcMar>
            <w:vAlign w:val="center"/>
          </w:tcPr>
          <w:p w:rsidR="00EE56C0" w:rsidRDefault="000F36A1">
            <w:pPr>
              <w:pStyle w:val="afa"/>
            </w:pPr>
            <w:r>
              <w:t>禁止新建或扩建以天然气为原料生产甲醇及甲醇生产下游产品；禁止以天然气代煤制甲醇项目</w:t>
            </w:r>
          </w:p>
        </w:tc>
        <w:tc>
          <w:tcPr>
            <w:tcW w:w="1281" w:type="pct"/>
            <w:vMerge/>
            <w:vAlign w:val="center"/>
          </w:tcPr>
          <w:p w:rsidR="00EE56C0" w:rsidRDefault="00EE56C0">
            <w:pPr>
              <w:pStyle w:val="afa"/>
            </w:pPr>
          </w:p>
        </w:tc>
      </w:tr>
      <w:tr w:rsidR="00EE56C0">
        <w:trPr>
          <w:trHeight w:val="397"/>
        </w:trPr>
        <w:tc>
          <w:tcPr>
            <w:tcW w:w="539" w:type="pct"/>
            <w:vMerge/>
            <w:tcMar>
              <w:top w:w="28" w:type="dxa"/>
              <w:bottom w:w="57" w:type="dxa"/>
            </w:tcMar>
            <w:vAlign w:val="center"/>
          </w:tcPr>
          <w:p w:rsidR="00EE56C0" w:rsidRDefault="00EE56C0">
            <w:pPr>
              <w:pStyle w:val="afa"/>
              <w:rPr>
                <w:u w:val="single"/>
              </w:rPr>
            </w:pPr>
          </w:p>
        </w:tc>
        <w:tc>
          <w:tcPr>
            <w:tcW w:w="589" w:type="pct"/>
            <w:vMerge/>
            <w:tcMar>
              <w:top w:w="28" w:type="dxa"/>
              <w:bottom w:w="57" w:type="dxa"/>
            </w:tcMar>
            <w:vAlign w:val="center"/>
          </w:tcPr>
          <w:p w:rsidR="00EE56C0" w:rsidRDefault="00EE56C0">
            <w:pPr>
              <w:pStyle w:val="afa"/>
              <w:rPr>
                <w:u w:val="single"/>
              </w:rPr>
            </w:pPr>
          </w:p>
        </w:tc>
        <w:tc>
          <w:tcPr>
            <w:tcW w:w="2591" w:type="pct"/>
            <w:tcMar>
              <w:top w:w="28" w:type="dxa"/>
              <w:bottom w:w="57" w:type="dxa"/>
            </w:tcMar>
            <w:vAlign w:val="center"/>
          </w:tcPr>
          <w:p w:rsidR="00EE56C0" w:rsidRDefault="000F36A1">
            <w:pPr>
              <w:pStyle w:val="afa"/>
            </w:pPr>
            <w:r>
              <w:t>禁止焦化行业炼焦和煤焦油加工项目入驻</w:t>
            </w:r>
          </w:p>
        </w:tc>
        <w:tc>
          <w:tcPr>
            <w:tcW w:w="1281" w:type="pct"/>
            <w:vMerge/>
            <w:vAlign w:val="center"/>
          </w:tcPr>
          <w:p w:rsidR="00EE56C0" w:rsidRDefault="00EE56C0">
            <w:pPr>
              <w:pStyle w:val="afa"/>
            </w:pPr>
          </w:p>
        </w:tc>
      </w:tr>
      <w:tr w:rsidR="00EE56C0">
        <w:trPr>
          <w:trHeight w:val="397"/>
        </w:trPr>
        <w:tc>
          <w:tcPr>
            <w:tcW w:w="539" w:type="pct"/>
            <w:vMerge/>
            <w:tcMar>
              <w:top w:w="28" w:type="dxa"/>
              <w:bottom w:w="57" w:type="dxa"/>
            </w:tcMar>
            <w:vAlign w:val="center"/>
          </w:tcPr>
          <w:p w:rsidR="00EE56C0" w:rsidRDefault="00EE56C0">
            <w:pPr>
              <w:pStyle w:val="afa"/>
              <w:rPr>
                <w:u w:val="single"/>
              </w:rPr>
            </w:pPr>
          </w:p>
        </w:tc>
        <w:tc>
          <w:tcPr>
            <w:tcW w:w="589" w:type="pct"/>
            <w:vMerge/>
            <w:tcMar>
              <w:top w:w="28" w:type="dxa"/>
              <w:bottom w:w="57" w:type="dxa"/>
            </w:tcMar>
            <w:vAlign w:val="center"/>
          </w:tcPr>
          <w:p w:rsidR="00EE56C0" w:rsidRDefault="00EE56C0">
            <w:pPr>
              <w:pStyle w:val="afa"/>
              <w:rPr>
                <w:u w:val="single"/>
              </w:rPr>
            </w:pPr>
          </w:p>
        </w:tc>
        <w:tc>
          <w:tcPr>
            <w:tcW w:w="2591" w:type="pct"/>
            <w:tcMar>
              <w:top w:w="28" w:type="dxa"/>
              <w:bottom w:w="57" w:type="dxa"/>
            </w:tcMar>
            <w:vAlign w:val="center"/>
          </w:tcPr>
          <w:p w:rsidR="00EE56C0" w:rsidRDefault="000F36A1">
            <w:pPr>
              <w:pStyle w:val="afa"/>
            </w:pPr>
            <w:r>
              <w:t>限制新建、扩建以天然气为原料的合成氨项目</w:t>
            </w:r>
          </w:p>
        </w:tc>
        <w:tc>
          <w:tcPr>
            <w:tcW w:w="1281" w:type="pct"/>
            <w:vMerge/>
            <w:vAlign w:val="center"/>
          </w:tcPr>
          <w:p w:rsidR="00EE56C0" w:rsidRDefault="00EE56C0">
            <w:pPr>
              <w:pStyle w:val="afa"/>
            </w:pPr>
          </w:p>
        </w:tc>
      </w:tr>
      <w:tr w:rsidR="00EE56C0">
        <w:trPr>
          <w:trHeight w:val="397"/>
        </w:trPr>
        <w:tc>
          <w:tcPr>
            <w:tcW w:w="539" w:type="pct"/>
            <w:vMerge/>
            <w:tcMar>
              <w:top w:w="28" w:type="dxa"/>
              <w:bottom w:w="57" w:type="dxa"/>
            </w:tcMar>
            <w:vAlign w:val="center"/>
          </w:tcPr>
          <w:p w:rsidR="00EE56C0" w:rsidRDefault="00EE56C0">
            <w:pPr>
              <w:pStyle w:val="afa"/>
              <w:rPr>
                <w:u w:val="single"/>
              </w:rPr>
            </w:pPr>
          </w:p>
        </w:tc>
        <w:tc>
          <w:tcPr>
            <w:tcW w:w="589" w:type="pct"/>
            <w:vMerge/>
            <w:tcMar>
              <w:top w:w="28" w:type="dxa"/>
              <w:bottom w:w="57" w:type="dxa"/>
            </w:tcMar>
            <w:vAlign w:val="center"/>
          </w:tcPr>
          <w:p w:rsidR="00EE56C0" w:rsidRDefault="00EE56C0">
            <w:pPr>
              <w:pStyle w:val="afa"/>
              <w:rPr>
                <w:u w:val="single"/>
              </w:rPr>
            </w:pPr>
          </w:p>
        </w:tc>
        <w:tc>
          <w:tcPr>
            <w:tcW w:w="2591" w:type="pct"/>
            <w:tcMar>
              <w:top w:w="28" w:type="dxa"/>
              <w:bottom w:w="57" w:type="dxa"/>
            </w:tcMar>
            <w:vAlign w:val="center"/>
          </w:tcPr>
          <w:p w:rsidR="00EE56C0" w:rsidRDefault="000F36A1">
            <w:pPr>
              <w:pStyle w:val="afa"/>
            </w:pPr>
            <w:r>
              <w:t>其它行业政策禁止或限制发展的化工项目</w:t>
            </w:r>
          </w:p>
        </w:tc>
        <w:tc>
          <w:tcPr>
            <w:tcW w:w="1281" w:type="pct"/>
            <w:vMerge/>
            <w:vAlign w:val="center"/>
          </w:tcPr>
          <w:p w:rsidR="00EE56C0" w:rsidRDefault="00EE56C0">
            <w:pPr>
              <w:pStyle w:val="afa"/>
            </w:pPr>
          </w:p>
        </w:tc>
      </w:tr>
      <w:tr w:rsidR="00EE56C0">
        <w:trPr>
          <w:trHeight w:val="397"/>
        </w:trPr>
        <w:tc>
          <w:tcPr>
            <w:tcW w:w="539" w:type="pct"/>
            <w:vMerge/>
            <w:tcMar>
              <w:top w:w="28" w:type="dxa"/>
              <w:bottom w:w="57" w:type="dxa"/>
            </w:tcMar>
            <w:vAlign w:val="center"/>
          </w:tcPr>
          <w:p w:rsidR="00EE56C0" w:rsidRDefault="00EE56C0">
            <w:pPr>
              <w:pStyle w:val="afa"/>
              <w:rPr>
                <w:u w:val="single"/>
              </w:rPr>
            </w:pPr>
          </w:p>
        </w:tc>
        <w:tc>
          <w:tcPr>
            <w:tcW w:w="589" w:type="pct"/>
            <w:vMerge w:val="restart"/>
            <w:tcMar>
              <w:top w:w="28" w:type="dxa"/>
              <w:bottom w:w="57" w:type="dxa"/>
            </w:tcMar>
            <w:vAlign w:val="center"/>
          </w:tcPr>
          <w:p w:rsidR="00EE56C0" w:rsidRDefault="000F36A1">
            <w:pPr>
              <w:pStyle w:val="afa"/>
            </w:pPr>
            <w:r>
              <w:t>医药</w:t>
            </w:r>
          </w:p>
        </w:tc>
        <w:tc>
          <w:tcPr>
            <w:tcW w:w="2591" w:type="pct"/>
            <w:tcMar>
              <w:top w:w="28" w:type="dxa"/>
              <w:bottom w:w="57" w:type="dxa"/>
            </w:tcMar>
            <w:vAlign w:val="center"/>
          </w:tcPr>
          <w:p w:rsidR="00EE56C0" w:rsidRDefault="000F36A1">
            <w:pPr>
              <w:pStyle w:val="afa"/>
            </w:pPr>
            <w:r>
              <w:t>禁止发展化学合成制药企业（单纯分装、复配除外）</w:t>
            </w:r>
          </w:p>
        </w:tc>
        <w:tc>
          <w:tcPr>
            <w:tcW w:w="1281" w:type="pct"/>
            <w:vMerge w:val="restart"/>
            <w:vAlign w:val="center"/>
          </w:tcPr>
          <w:p w:rsidR="00EE56C0" w:rsidRDefault="000F36A1">
            <w:pPr>
              <w:pStyle w:val="afa"/>
            </w:pPr>
            <w:r>
              <w:rPr>
                <w:rFonts w:hint="eastAsia"/>
              </w:rPr>
              <w:t>本项目不属于</w:t>
            </w:r>
            <w:r>
              <w:t>医药</w:t>
            </w:r>
            <w:r>
              <w:rPr>
                <w:rFonts w:hint="eastAsia"/>
              </w:rPr>
              <w:t>行业</w:t>
            </w:r>
          </w:p>
        </w:tc>
      </w:tr>
      <w:tr w:rsidR="00EE56C0">
        <w:trPr>
          <w:trHeight w:val="397"/>
        </w:trPr>
        <w:tc>
          <w:tcPr>
            <w:tcW w:w="539" w:type="pct"/>
            <w:vMerge/>
            <w:tcMar>
              <w:top w:w="28" w:type="dxa"/>
              <w:bottom w:w="57" w:type="dxa"/>
            </w:tcMar>
            <w:vAlign w:val="center"/>
          </w:tcPr>
          <w:p w:rsidR="00EE56C0" w:rsidRDefault="00EE56C0">
            <w:pPr>
              <w:pStyle w:val="afa"/>
              <w:rPr>
                <w:u w:val="single"/>
              </w:rPr>
            </w:pPr>
          </w:p>
        </w:tc>
        <w:tc>
          <w:tcPr>
            <w:tcW w:w="589" w:type="pct"/>
            <w:vMerge/>
            <w:tcMar>
              <w:top w:w="28" w:type="dxa"/>
              <w:bottom w:w="57" w:type="dxa"/>
            </w:tcMar>
            <w:vAlign w:val="center"/>
          </w:tcPr>
          <w:p w:rsidR="00EE56C0" w:rsidRDefault="00EE56C0">
            <w:pPr>
              <w:pStyle w:val="afa"/>
            </w:pPr>
          </w:p>
        </w:tc>
        <w:tc>
          <w:tcPr>
            <w:tcW w:w="2591" w:type="pct"/>
            <w:tcMar>
              <w:top w:w="28" w:type="dxa"/>
              <w:bottom w:w="57" w:type="dxa"/>
            </w:tcMar>
            <w:vAlign w:val="center"/>
          </w:tcPr>
          <w:p w:rsidR="00EE56C0" w:rsidRDefault="000F36A1">
            <w:pPr>
              <w:pStyle w:val="afa"/>
            </w:pPr>
            <w:r>
              <w:t>禁止新建、单纯扩建生物发酵制药项目（单纯分装、复配以及现有企业升级改造项目除外）</w:t>
            </w:r>
          </w:p>
        </w:tc>
        <w:tc>
          <w:tcPr>
            <w:tcW w:w="1281" w:type="pct"/>
            <w:vMerge/>
            <w:vAlign w:val="center"/>
          </w:tcPr>
          <w:p w:rsidR="00EE56C0" w:rsidRDefault="00EE56C0">
            <w:pPr>
              <w:pStyle w:val="afa"/>
            </w:pPr>
          </w:p>
        </w:tc>
      </w:tr>
      <w:tr w:rsidR="00EE56C0">
        <w:trPr>
          <w:trHeight w:val="397"/>
        </w:trPr>
        <w:tc>
          <w:tcPr>
            <w:tcW w:w="539" w:type="pct"/>
            <w:vMerge/>
            <w:tcMar>
              <w:top w:w="28" w:type="dxa"/>
              <w:bottom w:w="57" w:type="dxa"/>
            </w:tcMar>
            <w:vAlign w:val="center"/>
          </w:tcPr>
          <w:p w:rsidR="00EE56C0" w:rsidRDefault="00EE56C0">
            <w:pPr>
              <w:pStyle w:val="afa"/>
              <w:rPr>
                <w:u w:val="single"/>
              </w:rPr>
            </w:pPr>
          </w:p>
        </w:tc>
        <w:tc>
          <w:tcPr>
            <w:tcW w:w="589" w:type="pct"/>
            <w:vMerge/>
            <w:tcMar>
              <w:top w:w="28" w:type="dxa"/>
              <w:bottom w:w="57" w:type="dxa"/>
            </w:tcMar>
            <w:vAlign w:val="center"/>
          </w:tcPr>
          <w:p w:rsidR="00EE56C0" w:rsidRDefault="00EE56C0">
            <w:pPr>
              <w:pStyle w:val="afa"/>
            </w:pPr>
          </w:p>
        </w:tc>
        <w:tc>
          <w:tcPr>
            <w:tcW w:w="2591" w:type="pct"/>
            <w:tcMar>
              <w:top w:w="28" w:type="dxa"/>
              <w:bottom w:w="57" w:type="dxa"/>
            </w:tcMar>
            <w:vAlign w:val="center"/>
          </w:tcPr>
          <w:p w:rsidR="00EE56C0" w:rsidRDefault="000F36A1">
            <w:pPr>
              <w:pStyle w:val="afa"/>
            </w:pPr>
            <w:r>
              <w:t>禁止农药类项目</w:t>
            </w:r>
          </w:p>
        </w:tc>
        <w:tc>
          <w:tcPr>
            <w:tcW w:w="1281" w:type="pct"/>
            <w:vMerge/>
            <w:vAlign w:val="center"/>
          </w:tcPr>
          <w:p w:rsidR="00EE56C0" w:rsidRDefault="00EE56C0">
            <w:pPr>
              <w:pStyle w:val="afa"/>
            </w:pPr>
          </w:p>
        </w:tc>
      </w:tr>
      <w:tr w:rsidR="00EE56C0">
        <w:trPr>
          <w:trHeight w:val="397"/>
        </w:trPr>
        <w:tc>
          <w:tcPr>
            <w:tcW w:w="539" w:type="pct"/>
            <w:vMerge/>
            <w:tcMar>
              <w:top w:w="28" w:type="dxa"/>
              <w:bottom w:w="57" w:type="dxa"/>
            </w:tcMar>
            <w:vAlign w:val="center"/>
          </w:tcPr>
          <w:p w:rsidR="00EE56C0" w:rsidRDefault="00EE56C0">
            <w:pPr>
              <w:pStyle w:val="afa"/>
              <w:rPr>
                <w:u w:val="single"/>
              </w:rPr>
            </w:pPr>
          </w:p>
        </w:tc>
        <w:tc>
          <w:tcPr>
            <w:tcW w:w="589" w:type="pct"/>
            <w:tcMar>
              <w:top w:w="28" w:type="dxa"/>
              <w:bottom w:w="57" w:type="dxa"/>
            </w:tcMar>
            <w:vAlign w:val="center"/>
          </w:tcPr>
          <w:p w:rsidR="00EE56C0" w:rsidRDefault="000F36A1">
            <w:pPr>
              <w:pStyle w:val="afa"/>
            </w:pPr>
            <w:r>
              <w:t>装备制造</w:t>
            </w:r>
          </w:p>
        </w:tc>
        <w:tc>
          <w:tcPr>
            <w:tcW w:w="2591" w:type="pct"/>
            <w:tcMar>
              <w:top w:w="28" w:type="dxa"/>
              <w:bottom w:w="57" w:type="dxa"/>
            </w:tcMar>
            <w:vAlign w:val="center"/>
          </w:tcPr>
          <w:p w:rsidR="00EE56C0" w:rsidRDefault="000F36A1">
            <w:pPr>
              <w:pStyle w:val="afa"/>
            </w:pPr>
            <w:r>
              <w:t>禁止建设独立电镀项目</w:t>
            </w:r>
          </w:p>
        </w:tc>
        <w:tc>
          <w:tcPr>
            <w:tcW w:w="1281" w:type="pct"/>
            <w:vAlign w:val="center"/>
          </w:tcPr>
          <w:p w:rsidR="00EE56C0" w:rsidRDefault="000F36A1">
            <w:pPr>
              <w:pStyle w:val="afa"/>
            </w:pPr>
            <w:r>
              <w:rPr>
                <w:rFonts w:hint="eastAsia"/>
              </w:rPr>
              <w:t>本项目不属于</w:t>
            </w:r>
            <w:r>
              <w:t>独立电镀</w:t>
            </w:r>
            <w:r>
              <w:rPr>
                <w:rFonts w:hint="eastAsia"/>
              </w:rPr>
              <w:t>项目</w:t>
            </w:r>
          </w:p>
        </w:tc>
      </w:tr>
      <w:tr w:rsidR="00EE56C0">
        <w:trPr>
          <w:trHeight w:val="397"/>
        </w:trPr>
        <w:tc>
          <w:tcPr>
            <w:tcW w:w="539" w:type="pct"/>
            <w:vMerge/>
            <w:tcMar>
              <w:top w:w="28" w:type="dxa"/>
              <w:bottom w:w="57" w:type="dxa"/>
            </w:tcMar>
            <w:vAlign w:val="center"/>
          </w:tcPr>
          <w:p w:rsidR="00EE56C0" w:rsidRDefault="00EE56C0">
            <w:pPr>
              <w:pStyle w:val="afa"/>
              <w:rPr>
                <w:u w:val="single"/>
              </w:rPr>
            </w:pPr>
          </w:p>
        </w:tc>
        <w:tc>
          <w:tcPr>
            <w:tcW w:w="589" w:type="pct"/>
            <w:tcMar>
              <w:top w:w="28" w:type="dxa"/>
              <w:bottom w:w="57" w:type="dxa"/>
            </w:tcMar>
            <w:vAlign w:val="center"/>
          </w:tcPr>
          <w:p w:rsidR="00EE56C0" w:rsidRDefault="000F36A1">
            <w:pPr>
              <w:pStyle w:val="afa"/>
            </w:pPr>
            <w:r>
              <w:t>纸制品印刷包装</w:t>
            </w:r>
          </w:p>
        </w:tc>
        <w:tc>
          <w:tcPr>
            <w:tcW w:w="2591" w:type="pct"/>
            <w:tcMar>
              <w:top w:w="28" w:type="dxa"/>
              <w:bottom w:w="57" w:type="dxa"/>
            </w:tcMar>
            <w:vAlign w:val="center"/>
          </w:tcPr>
          <w:p w:rsidR="00EE56C0" w:rsidRDefault="000F36A1">
            <w:pPr>
              <w:pStyle w:val="afa"/>
            </w:pPr>
            <w:r>
              <w:t>禁止造纸制浆、油墨生产（单纯分装、复配除外）项目入驻</w:t>
            </w:r>
          </w:p>
        </w:tc>
        <w:tc>
          <w:tcPr>
            <w:tcW w:w="1281" w:type="pct"/>
            <w:vAlign w:val="center"/>
          </w:tcPr>
          <w:p w:rsidR="00EE56C0" w:rsidRDefault="000F36A1">
            <w:pPr>
              <w:pStyle w:val="afa"/>
            </w:pPr>
            <w:r>
              <w:rPr>
                <w:rFonts w:hint="eastAsia"/>
              </w:rPr>
              <w:t>本项目不属于</w:t>
            </w:r>
            <w:r>
              <w:t>纸制品印刷包装</w:t>
            </w:r>
            <w:r>
              <w:rPr>
                <w:rFonts w:hint="eastAsia"/>
              </w:rPr>
              <w:t>项目</w:t>
            </w:r>
          </w:p>
        </w:tc>
      </w:tr>
      <w:tr w:rsidR="00EE56C0">
        <w:trPr>
          <w:trHeight w:val="397"/>
        </w:trPr>
        <w:tc>
          <w:tcPr>
            <w:tcW w:w="539" w:type="pct"/>
            <w:vMerge/>
            <w:tcMar>
              <w:top w:w="28" w:type="dxa"/>
              <w:bottom w:w="57" w:type="dxa"/>
            </w:tcMar>
            <w:vAlign w:val="center"/>
          </w:tcPr>
          <w:p w:rsidR="00EE56C0" w:rsidRDefault="00EE56C0">
            <w:pPr>
              <w:pStyle w:val="afa"/>
              <w:rPr>
                <w:u w:val="single"/>
              </w:rPr>
            </w:pPr>
          </w:p>
        </w:tc>
        <w:tc>
          <w:tcPr>
            <w:tcW w:w="589" w:type="pct"/>
            <w:tcMar>
              <w:top w:w="28" w:type="dxa"/>
              <w:bottom w:w="57" w:type="dxa"/>
            </w:tcMar>
            <w:vAlign w:val="center"/>
          </w:tcPr>
          <w:p w:rsidR="00EE56C0" w:rsidRDefault="000F36A1">
            <w:pPr>
              <w:pStyle w:val="afa"/>
            </w:pPr>
            <w:r>
              <w:t>其他</w:t>
            </w:r>
          </w:p>
        </w:tc>
        <w:tc>
          <w:tcPr>
            <w:tcW w:w="2591" w:type="pct"/>
            <w:tcMar>
              <w:top w:w="28" w:type="dxa"/>
              <w:bottom w:w="57" w:type="dxa"/>
            </w:tcMar>
            <w:vAlign w:val="center"/>
          </w:tcPr>
          <w:p w:rsidR="00EE56C0" w:rsidRDefault="000F36A1">
            <w:pPr>
              <w:pStyle w:val="afa"/>
            </w:pPr>
            <w:r>
              <w:t>禁止发展</w:t>
            </w:r>
            <w:r>
              <w:rPr>
                <w:rFonts w:hint="eastAsia"/>
              </w:rPr>
              <w:t>不符合</w:t>
            </w:r>
            <w:r>
              <w:t>园区产业定位的制革、化纤浆粕、黑色冶金、焦化、独立电镀、皂素、金属冶炼</w:t>
            </w:r>
            <w:r>
              <w:rPr>
                <w:rFonts w:hint="eastAsia"/>
              </w:rPr>
              <w:t>等不符合园区产业定位且污染较重的</w:t>
            </w:r>
            <w:r>
              <w:t>项目</w:t>
            </w:r>
            <w:r>
              <w:rPr>
                <w:rFonts w:hint="eastAsia"/>
              </w:rPr>
              <w:t>。</w:t>
            </w:r>
          </w:p>
        </w:tc>
        <w:tc>
          <w:tcPr>
            <w:tcW w:w="1281" w:type="pct"/>
            <w:vAlign w:val="center"/>
          </w:tcPr>
          <w:p w:rsidR="00EE56C0" w:rsidRDefault="000F36A1">
            <w:pPr>
              <w:pStyle w:val="afa"/>
            </w:pPr>
            <w:r>
              <w:rPr>
                <w:rFonts w:hint="eastAsia"/>
              </w:rPr>
              <w:t>本项目不属于</w:t>
            </w:r>
            <w:r>
              <w:t>制革、化纤浆粕、黑色冶金、焦化、独立电镀、皂素、金属冶炼</w:t>
            </w:r>
            <w:r>
              <w:rPr>
                <w:rFonts w:hint="eastAsia"/>
              </w:rPr>
              <w:t>等染较重的</w:t>
            </w:r>
            <w:r>
              <w:t>项目</w:t>
            </w:r>
            <w:r>
              <w:rPr>
                <w:rFonts w:hint="eastAsia"/>
              </w:rPr>
              <w:t>。</w:t>
            </w:r>
          </w:p>
        </w:tc>
      </w:tr>
    </w:tbl>
    <w:p w:rsidR="00EE56C0" w:rsidRDefault="000F36A1">
      <w:pPr>
        <w:ind w:firstLine="480"/>
      </w:pPr>
      <w:r>
        <w:rPr>
          <w:rFonts w:ascii="宋体" w:hAnsi="宋体" w:hint="eastAsia"/>
        </w:rPr>
        <w:t>本项目位于装备制造产业园区，</w:t>
      </w:r>
      <w:r>
        <w:t>装备制造产业园区</w:t>
      </w:r>
      <w:r>
        <w:rPr>
          <w:rFonts w:hint="eastAsia"/>
        </w:rPr>
        <w:t>产业选择：以节能环保、轻型产业为主要发展方向，建设成为具有技术先进、具有自主研发能力的国家级以振动机械产业为主导、煤化工装备为支撑的特色装备制造产业基地。</w:t>
      </w:r>
    </w:p>
    <w:p w:rsidR="00EE56C0" w:rsidRDefault="000F36A1">
      <w:pPr>
        <w:ind w:firstLine="480"/>
      </w:pPr>
      <w:r>
        <w:rPr>
          <w:rFonts w:hint="eastAsia"/>
        </w:rPr>
        <w:t>厂区主要生产高效节能电机及节能变压器专用线、</w:t>
      </w:r>
      <w:r>
        <w:rPr>
          <w:rFonts w:hint="eastAsia"/>
          <w:lang w:val="pt-BR"/>
        </w:rPr>
        <w:t>包装线盘等，属于机械</w:t>
      </w:r>
      <w:r>
        <w:rPr>
          <w:rFonts w:hint="eastAsia"/>
        </w:rPr>
        <w:t>产业</w:t>
      </w:r>
      <w:r>
        <w:rPr>
          <w:rFonts w:hint="eastAsia"/>
          <w:lang w:val="pt-BR"/>
        </w:rPr>
        <w:t>、</w:t>
      </w:r>
      <w:r>
        <w:rPr>
          <w:rFonts w:hint="eastAsia"/>
        </w:rPr>
        <w:t>煤化工装备配套产业的下游企业；项目产品为漆包线、纸包线、烧结线、丝包线，不是电镀项目，</w:t>
      </w:r>
      <w:r>
        <w:t>项目设备、原料、成品均不在</w:t>
      </w:r>
      <w:r>
        <w:rPr>
          <w:rFonts w:hint="eastAsia"/>
        </w:rPr>
        <w:t>“</w:t>
      </w:r>
      <w:r>
        <w:t>限制类</w:t>
      </w:r>
      <w:r>
        <w:rPr>
          <w:rFonts w:hint="eastAsia"/>
        </w:rPr>
        <w:t>”</w:t>
      </w:r>
      <w:r>
        <w:t>和</w:t>
      </w:r>
      <w:r>
        <w:rPr>
          <w:rFonts w:hint="eastAsia"/>
        </w:rPr>
        <w:t>“</w:t>
      </w:r>
      <w:r>
        <w:t>淘汰类</w:t>
      </w:r>
      <w:r>
        <w:rPr>
          <w:rFonts w:hint="eastAsia"/>
        </w:rPr>
        <w:t>”</w:t>
      </w:r>
      <w:r>
        <w:t>之列，属于</w:t>
      </w:r>
      <w:r>
        <w:rPr>
          <w:rFonts w:hint="eastAsia"/>
        </w:rPr>
        <w:t>“</w:t>
      </w:r>
      <w:r>
        <w:t>允许类</w:t>
      </w:r>
      <w:r>
        <w:rPr>
          <w:rFonts w:hint="eastAsia"/>
        </w:rPr>
        <w:t>”</w:t>
      </w:r>
      <w:r>
        <w:t>，项目符合国家产业政策</w:t>
      </w:r>
      <w:r>
        <w:rPr>
          <w:rFonts w:hint="eastAsia"/>
        </w:rPr>
        <w:t>，废气经治理后达标排放。因此，本项目不在集聚区负面清单列表中。</w:t>
      </w:r>
    </w:p>
    <w:p w:rsidR="00A10664" w:rsidRDefault="00A10664">
      <w:pPr>
        <w:spacing w:line="540" w:lineRule="exact"/>
        <w:ind w:firstLine="482"/>
        <w:rPr>
          <w:rFonts w:ascii="宋体" w:hAnsi="宋体"/>
          <w:b/>
          <w:bCs/>
          <w:u w:val="single"/>
        </w:rPr>
      </w:pPr>
    </w:p>
    <w:p w:rsidR="00A10664" w:rsidRDefault="00A10664">
      <w:pPr>
        <w:spacing w:line="540" w:lineRule="exact"/>
        <w:ind w:firstLine="482"/>
        <w:rPr>
          <w:rFonts w:ascii="宋体" w:hAnsi="宋体"/>
          <w:b/>
          <w:bCs/>
          <w:u w:val="single"/>
        </w:rPr>
      </w:pPr>
    </w:p>
    <w:p w:rsidR="00A10664" w:rsidRDefault="00A10664">
      <w:pPr>
        <w:spacing w:line="540" w:lineRule="exact"/>
        <w:ind w:firstLine="482"/>
        <w:rPr>
          <w:rFonts w:ascii="宋体" w:hAnsi="宋体"/>
          <w:b/>
          <w:bCs/>
          <w:u w:val="single"/>
        </w:rPr>
      </w:pPr>
    </w:p>
    <w:p w:rsidR="00EE56C0" w:rsidRDefault="000F36A1">
      <w:pPr>
        <w:spacing w:line="540" w:lineRule="exact"/>
        <w:ind w:firstLine="482"/>
        <w:rPr>
          <w:rFonts w:ascii="宋体" w:hAnsi="宋体"/>
          <w:b/>
          <w:bCs/>
          <w:u w:val="single"/>
        </w:rPr>
      </w:pPr>
      <w:r>
        <w:rPr>
          <w:rFonts w:ascii="宋体" w:hAnsi="宋体"/>
          <w:b/>
          <w:bCs/>
          <w:u w:val="single"/>
        </w:rPr>
        <w:lastRenderedPageBreak/>
        <w:t>表</w:t>
      </w:r>
      <w:r>
        <w:rPr>
          <w:rFonts w:asciiTheme="majorEastAsia" w:eastAsiaTheme="majorEastAsia" w:hAnsiTheme="majorEastAsia" w:hint="eastAsia"/>
          <w:b/>
          <w:bCs/>
          <w:u w:val="single"/>
        </w:rPr>
        <w:t>2-15</w:t>
      </w:r>
      <w:r>
        <w:rPr>
          <w:rFonts w:ascii="宋体" w:hAnsi="宋体"/>
          <w:b/>
          <w:bCs/>
          <w:u w:val="single"/>
        </w:rPr>
        <w:tab/>
      </w:r>
      <w:r>
        <w:rPr>
          <w:rFonts w:ascii="宋体" w:hAnsi="宋体" w:hint="eastAsia"/>
          <w:b/>
          <w:bCs/>
          <w:u w:val="single"/>
        </w:rPr>
        <w:t>项目建设</w:t>
      </w:r>
      <w:r>
        <w:rPr>
          <w:rFonts w:ascii="宋体" w:hAnsi="宋体"/>
          <w:b/>
          <w:bCs/>
          <w:u w:val="single"/>
        </w:rPr>
        <w:t>与规划环评审查意见相符性分析一览表</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4A0"/>
      </w:tblPr>
      <w:tblGrid>
        <w:gridCol w:w="1028"/>
        <w:gridCol w:w="4262"/>
        <w:gridCol w:w="2386"/>
        <w:gridCol w:w="642"/>
      </w:tblGrid>
      <w:tr w:rsidR="00EE56C0">
        <w:trPr>
          <w:cantSplit/>
          <w:trHeight w:val="24"/>
          <w:jc w:val="center"/>
        </w:trPr>
        <w:tc>
          <w:tcPr>
            <w:tcW w:w="618" w:type="pct"/>
            <w:vAlign w:val="center"/>
          </w:tcPr>
          <w:p w:rsidR="00EE56C0" w:rsidRDefault="000F36A1" w:rsidP="00A10664">
            <w:pPr>
              <w:pStyle w:val="TableParagraph"/>
              <w:adjustRightInd w:val="0"/>
              <w:snapToGrid w:val="0"/>
              <w:jc w:val="center"/>
              <w:textAlignment w:val="center"/>
              <w:rPr>
                <w:b/>
                <w:sz w:val="21"/>
                <w:szCs w:val="21"/>
                <w:u w:val="single"/>
              </w:rPr>
            </w:pPr>
            <w:r>
              <w:rPr>
                <w:rFonts w:hint="eastAsia"/>
                <w:b/>
                <w:spacing w:val="2"/>
                <w:sz w:val="21"/>
                <w:szCs w:val="21"/>
                <w:u w:val="single"/>
              </w:rPr>
              <w:t>类</w:t>
            </w:r>
            <w:r>
              <w:rPr>
                <w:rFonts w:hint="eastAsia"/>
                <w:b/>
                <w:sz w:val="21"/>
                <w:szCs w:val="21"/>
                <w:u w:val="single"/>
              </w:rPr>
              <w:t>别</w:t>
            </w:r>
          </w:p>
        </w:tc>
        <w:tc>
          <w:tcPr>
            <w:tcW w:w="2562" w:type="pct"/>
            <w:vAlign w:val="center"/>
          </w:tcPr>
          <w:p w:rsidR="00EE56C0" w:rsidRDefault="000F36A1" w:rsidP="00A10664">
            <w:pPr>
              <w:pStyle w:val="TableParagraph"/>
              <w:adjustRightInd w:val="0"/>
              <w:snapToGrid w:val="0"/>
              <w:jc w:val="center"/>
              <w:textAlignment w:val="center"/>
              <w:rPr>
                <w:b/>
                <w:sz w:val="21"/>
                <w:szCs w:val="21"/>
                <w:u w:val="single"/>
              </w:rPr>
            </w:pPr>
            <w:r>
              <w:rPr>
                <w:rFonts w:hint="eastAsia"/>
                <w:b/>
                <w:spacing w:val="2"/>
                <w:sz w:val="21"/>
                <w:szCs w:val="21"/>
                <w:u w:val="single"/>
              </w:rPr>
              <w:t>审查意</w:t>
            </w:r>
            <w:r>
              <w:rPr>
                <w:rFonts w:hint="eastAsia"/>
                <w:b/>
                <w:sz w:val="21"/>
                <w:szCs w:val="21"/>
                <w:u w:val="single"/>
              </w:rPr>
              <w:t>见（豫环函【2019】39号）</w:t>
            </w:r>
          </w:p>
        </w:tc>
        <w:tc>
          <w:tcPr>
            <w:tcW w:w="1434" w:type="pct"/>
            <w:tcBorders>
              <w:right w:val="single" w:sz="4" w:space="0" w:color="auto"/>
            </w:tcBorders>
            <w:vAlign w:val="center"/>
          </w:tcPr>
          <w:p w:rsidR="00EE56C0" w:rsidRDefault="000F36A1" w:rsidP="00A10664">
            <w:pPr>
              <w:pStyle w:val="TableParagraph"/>
              <w:adjustRightInd w:val="0"/>
              <w:snapToGrid w:val="0"/>
              <w:jc w:val="center"/>
              <w:textAlignment w:val="center"/>
              <w:rPr>
                <w:b/>
                <w:sz w:val="21"/>
                <w:szCs w:val="21"/>
                <w:u w:val="single"/>
              </w:rPr>
            </w:pPr>
            <w:r>
              <w:rPr>
                <w:b/>
                <w:sz w:val="21"/>
                <w:szCs w:val="21"/>
                <w:u w:val="single"/>
              </w:rPr>
              <w:t>本项目情况</w:t>
            </w:r>
          </w:p>
        </w:tc>
        <w:tc>
          <w:tcPr>
            <w:tcW w:w="386" w:type="pct"/>
            <w:tcBorders>
              <w:left w:val="single" w:sz="4" w:space="0" w:color="auto"/>
            </w:tcBorders>
          </w:tcPr>
          <w:p w:rsidR="00EE56C0" w:rsidRDefault="000F36A1" w:rsidP="00A10664">
            <w:pPr>
              <w:pStyle w:val="TableParagraph"/>
              <w:adjustRightInd w:val="0"/>
              <w:snapToGrid w:val="0"/>
              <w:jc w:val="center"/>
              <w:textAlignment w:val="center"/>
              <w:rPr>
                <w:b/>
                <w:spacing w:val="2"/>
                <w:sz w:val="21"/>
                <w:szCs w:val="21"/>
                <w:u w:val="single"/>
              </w:rPr>
            </w:pPr>
            <w:r>
              <w:rPr>
                <w:rFonts w:hint="eastAsia"/>
                <w:b/>
                <w:spacing w:val="2"/>
                <w:sz w:val="21"/>
                <w:szCs w:val="21"/>
                <w:u w:val="single"/>
              </w:rPr>
              <w:t>相符性分析</w:t>
            </w:r>
          </w:p>
        </w:tc>
      </w:tr>
      <w:tr w:rsidR="00EE56C0">
        <w:trPr>
          <w:cantSplit/>
          <w:trHeight w:val="2715"/>
          <w:jc w:val="center"/>
        </w:trPr>
        <w:tc>
          <w:tcPr>
            <w:tcW w:w="618" w:type="pct"/>
            <w:vAlign w:val="center"/>
          </w:tcPr>
          <w:p w:rsidR="00EE56C0" w:rsidRDefault="000F36A1" w:rsidP="00A10664">
            <w:pPr>
              <w:pStyle w:val="4"/>
              <w:keepNext w:val="0"/>
              <w:numPr>
                <w:ilvl w:val="3"/>
                <w:numId w:val="0"/>
              </w:numPr>
              <w:tabs>
                <w:tab w:val="left" w:pos="454"/>
              </w:tabs>
              <w:spacing w:line="240" w:lineRule="auto"/>
              <w:jc w:val="center"/>
              <w:textAlignment w:val="center"/>
              <w:rPr>
                <w:rFonts w:ascii="宋体" w:hAnsi="宋体" w:cs="宋体"/>
                <w:b w:val="0"/>
                <w:bCs/>
                <w:sz w:val="21"/>
                <w:szCs w:val="21"/>
                <w:u w:val="single"/>
              </w:rPr>
            </w:pPr>
            <w:r>
              <w:rPr>
                <w:rFonts w:ascii="宋体" w:hAnsi="宋体" w:cs="宋体" w:hint="eastAsia"/>
                <w:b w:val="0"/>
                <w:bCs/>
                <w:sz w:val="21"/>
                <w:szCs w:val="21"/>
                <w:u w:val="single"/>
              </w:rPr>
              <w:t>合理用</w:t>
            </w:r>
          </w:p>
          <w:p w:rsidR="00EE56C0" w:rsidRDefault="000F36A1" w:rsidP="00A10664">
            <w:pPr>
              <w:pStyle w:val="4"/>
              <w:keepNext w:val="0"/>
              <w:numPr>
                <w:ilvl w:val="3"/>
                <w:numId w:val="0"/>
              </w:numPr>
              <w:tabs>
                <w:tab w:val="left" w:pos="454"/>
              </w:tabs>
              <w:spacing w:line="240" w:lineRule="auto"/>
              <w:jc w:val="center"/>
              <w:textAlignment w:val="center"/>
              <w:rPr>
                <w:rFonts w:ascii="宋体" w:hAnsi="宋体" w:cs="宋体"/>
                <w:b w:val="0"/>
                <w:bCs/>
                <w:sz w:val="21"/>
                <w:szCs w:val="21"/>
                <w:u w:val="single"/>
              </w:rPr>
            </w:pPr>
            <w:r>
              <w:rPr>
                <w:rFonts w:ascii="宋体" w:hAnsi="宋体" w:cs="宋体" w:hint="eastAsia"/>
                <w:b w:val="0"/>
                <w:bCs/>
                <w:sz w:val="21"/>
                <w:szCs w:val="21"/>
                <w:u w:val="single"/>
              </w:rPr>
              <w:t>地布局</w:t>
            </w:r>
          </w:p>
        </w:tc>
        <w:tc>
          <w:tcPr>
            <w:tcW w:w="2562" w:type="pct"/>
            <w:vAlign w:val="center"/>
          </w:tcPr>
          <w:p w:rsidR="00EE56C0" w:rsidRDefault="000F36A1" w:rsidP="00A10664">
            <w:pPr>
              <w:pStyle w:val="4"/>
              <w:keepNext w:val="0"/>
              <w:numPr>
                <w:ilvl w:val="3"/>
                <w:numId w:val="0"/>
              </w:numPr>
              <w:tabs>
                <w:tab w:val="left" w:pos="454"/>
              </w:tabs>
              <w:spacing w:line="240" w:lineRule="auto"/>
              <w:textAlignment w:val="center"/>
              <w:rPr>
                <w:rFonts w:ascii="宋体" w:hAnsi="宋体" w:cs="宋体"/>
                <w:b w:val="0"/>
                <w:bCs/>
                <w:sz w:val="21"/>
                <w:szCs w:val="21"/>
                <w:u w:val="single"/>
              </w:rPr>
            </w:pPr>
            <w:r>
              <w:rPr>
                <w:rFonts w:ascii="宋体" w:hAnsi="宋体" w:cs="宋体" w:hint="eastAsia"/>
                <w:b w:val="0"/>
                <w:bCs/>
                <w:sz w:val="21"/>
                <w:szCs w:val="21"/>
                <w:u w:val="single"/>
              </w:rPr>
              <w:t>进一步加强与新乡县城乡规划、土地利用总体规划等衔接，保持规划的一致性与协调性；鉴于新乡市贾太湖饮用水源地取消，北区东孟姜女河北侧规划的农林用地调整为工业用地；北区距新乡县中心城区较近的西侧边界区域规划的二类工业用地调整为农林用地；在北区东侧和南侧边界均设置绿化隔高带，减轻对周围环境的不利影响。</w:t>
            </w:r>
          </w:p>
        </w:tc>
        <w:tc>
          <w:tcPr>
            <w:tcW w:w="1434" w:type="pct"/>
            <w:tcBorders>
              <w:right w:val="single" w:sz="4" w:space="0" w:color="auto"/>
            </w:tcBorders>
            <w:vAlign w:val="center"/>
          </w:tcPr>
          <w:p w:rsidR="00EE56C0" w:rsidRDefault="000F36A1" w:rsidP="00A10664">
            <w:pPr>
              <w:pStyle w:val="4"/>
              <w:keepNext w:val="0"/>
              <w:numPr>
                <w:ilvl w:val="3"/>
                <w:numId w:val="0"/>
              </w:numPr>
              <w:tabs>
                <w:tab w:val="left" w:pos="454"/>
              </w:tabs>
              <w:spacing w:line="240" w:lineRule="auto"/>
              <w:jc w:val="center"/>
              <w:textAlignment w:val="center"/>
              <w:rPr>
                <w:rFonts w:ascii="宋体" w:hAnsi="宋体" w:cs="宋体"/>
                <w:b w:val="0"/>
                <w:bCs/>
                <w:sz w:val="21"/>
                <w:szCs w:val="21"/>
                <w:u w:val="single"/>
              </w:rPr>
            </w:pPr>
            <w:r>
              <w:rPr>
                <w:rFonts w:ascii="宋体" w:hAnsi="宋体" w:cs="宋体" w:hint="eastAsia"/>
                <w:b w:val="0"/>
                <w:bCs/>
                <w:sz w:val="21"/>
                <w:szCs w:val="21"/>
                <w:u w:val="single"/>
              </w:rPr>
              <w:t>本项目位于新乡经济技术产业集聚区中区，用地属于规划的二类工业用地。</w:t>
            </w:r>
          </w:p>
        </w:tc>
        <w:tc>
          <w:tcPr>
            <w:tcW w:w="386" w:type="pct"/>
            <w:tcBorders>
              <w:left w:val="single" w:sz="4" w:space="0" w:color="auto"/>
            </w:tcBorders>
            <w:vAlign w:val="center"/>
          </w:tcPr>
          <w:p w:rsidR="00EE56C0" w:rsidRDefault="000F36A1" w:rsidP="00A10664">
            <w:pPr>
              <w:pStyle w:val="4"/>
              <w:keepNext w:val="0"/>
              <w:numPr>
                <w:ilvl w:val="3"/>
                <w:numId w:val="0"/>
              </w:numPr>
              <w:tabs>
                <w:tab w:val="left" w:pos="454"/>
              </w:tabs>
              <w:spacing w:line="240" w:lineRule="auto"/>
              <w:jc w:val="center"/>
              <w:textAlignment w:val="center"/>
              <w:rPr>
                <w:rFonts w:ascii="宋体" w:hAnsi="宋体" w:cs="宋体"/>
                <w:b w:val="0"/>
                <w:bCs/>
                <w:sz w:val="21"/>
                <w:szCs w:val="21"/>
                <w:u w:val="single"/>
              </w:rPr>
            </w:pPr>
            <w:r>
              <w:rPr>
                <w:rFonts w:ascii="宋体" w:hAnsi="宋体" w:cs="宋体" w:hint="eastAsia"/>
                <w:b w:val="0"/>
                <w:bCs/>
                <w:spacing w:val="2"/>
                <w:sz w:val="21"/>
                <w:szCs w:val="21"/>
                <w:u w:val="single"/>
              </w:rPr>
              <w:t>相符</w:t>
            </w:r>
          </w:p>
        </w:tc>
      </w:tr>
      <w:tr w:rsidR="00EE56C0">
        <w:trPr>
          <w:cantSplit/>
          <w:trHeight w:val="24"/>
          <w:jc w:val="center"/>
        </w:trPr>
        <w:tc>
          <w:tcPr>
            <w:tcW w:w="618" w:type="pct"/>
            <w:vAlign w:val="center"/>
          </w:tcPr>
          <w:p w:rsidR="00EE56C0" w:rsidRDefault="000F36A1" w:rsidP="00A10664">
            <w:pPr>
              <w:pStyle w:val="4"/>
              <w:keepNext w:val="0"/>
              <w:numPr>
                <w:ilvl w:val="3"/>
                <w:numId w:val="0"/>
              </w:numPr>
              <w:tabs>
                <w:tab w:val="left" w:pos="454"/>
              </w:tabs>
              <w:spacing w:line="240" w:lineRule="auto"/>
              <w:jc w:val="center"/>
              <w:textAlignment w:val="center"/>
              <w:rPr>
                <w:rFonts w:ascii="宋体" w:hAnsi="宋体" w:cs="宋体"/>
                <w:b w:val="0"/>
                <w:bCs/>
                <w:sz w:val="21"/>
                <w:szCs w:val="21"/>
                <w:u w:val="single"/>
              </w:rPr>
            </w:pPr>
            <w:r>
              <w:rPr>
                <w:rFonts w:ascii="宋体" w:hAnsi="宋体" w:cs="宋体" w:hint="eastAsia"/>
                <w:b w:val="0"/>
                <w:bCs/>
                <w:sz w:val="21"/>
                <w:szCs w:val="21"/>
                <w:u w:val="single"/>
              </w:rPr>
              <w:t>严格传统煤化工建设项目环境准入</w:t>
            </w:r>
          </w:p>
        </w:tc>
        <w:tc>
          <w:tcPr>
            <w:tcW w:w="2562" w:type="pct"/>
            <w:vAlign w:val="center"/>
          </w:tcPr>
          <w:p w:rsidR="00EE56C0" w:rsidRDefault="000F36A1" w:rsidP="00A10664">
            <w:pPr>
              <w:pStyle w:val="4"/>
              <w:keepNext w:val="0"/>
              <w:numPr>
                <w:ilvl w:val="3"/>
                <w:numId w:val="0"/>
              </w:numPr>
              <w:tabs>
                <w:tab w:val="left" w:pos="454"/>
              </w:tabs>
              <w:spacing w:line="240" w:lineRule="auto"/>
              <w:textAlignment w:val="center"/>
              <w:rPr>
                <w:rFonts w:ascii="宋体" w:hAnsi="宋体" w:cs="宋体"/>
                <w:b w:val="0"/>
                <w:bCs/>
                <w:sz w:val="21"/>
                <w:szCs w:val="21"/>
                <w:u w:val="single"/>
              </w:rPr>
            </w:pPr>
            <w:r>
              <w:rPr>
                <w:rFonts w:ascii="宋体" w:hAnsi="宋体" w:cs="宋体" w:hint="eastAsia"/>
                <w:b w:val="0"/>
                <w:bCs/>
                <w:sz w:val="21"/>
                <w:szCs w:val="21"/>
                <w:u w:val="single"/>
              </w:rPr>
              <w:t>产业园区北区重点发展以河南心连心化学工业集团有限公司现有产品为原料的基础化工和下游产业链产品，延长化工产业链；煤化工行业的发展应严格落实《河南省传统煤化工行业转型发展行动方案(2018-2020年)》(豫政办【2018】82号)要求。园区禁止新建或单纯扩大产能的以煤为原料的化工项目，升级改造项目、符合条件的退城入园的合成氨和甲醇项目产能应实现等量置换，且合成氨和甲醇总产能控制在200万吨，并按照要求落实煤炭及污染物排放总量的区域削减替代。</w:t>
            </w:r>
          </w:p>
        </w:tc>
        <w:tc>
          <w:tcPr>
            <w:tcW w:w="1434" w:type="pct"/>
            <w:tcBorders>
              <w:right w:val="single" w:sz="4" w:space="0" w:color="auto"/>
            </w:tcBorders>
            <w:vAlign w:val="center"/>
          </w:tcPr>
          <w:p w:rsidR="00EE56C0" w:rsidRDefault="000F36A1" w:rsidP="00A10664">
            <w:pPr>
              <w:pStyle w:val="4"/>
              <w:keepNext w:val="0"/>
              <w:numPr>
                <w:ilvl w:val="3"/>
                <w:numId w:val="0"/>
              </w:numPr>
              <w:tabs>
                <w:tab w:val="left" w:pos="454"/>
              </w:tabs>
              <w:spacing w:line="240" w:lineRule="auto"/>
              <w:jc w:val="left"/>
              <w:textAlignment w:val="center"/>
              <w:rPr>
                <w:rFonts w:ascii="宋体" w:hAnsi="宋体" w:cs="宋体"/>
                <w:b w:val="0"/>
                <w:bCs/>
                <w:sz w:val="21"/>
                <w:szCs w:val="21"/>
                <w:u w:val="single"/>
              </w:rPr>
            </w:pPr>
            <w:r>
              <w:rPr>
                <w:rFonts w:ascii="宋体" w:hAnsi="宋体" w:cs="宋体" w:hint="eastAsia"/>
                <w:b w:val="0"/>
                <w:bCs/>
                <w:sz w:val="21"/>
                <w:szCs w:val="21"/>
                <w:u w:val="single"/>
              </w:rPr>
              <w:t>本项目为电气机械和器材制造业，非化工行业。</w:t>
            </w:r>
          </w:p>
        </w:tc>
        <w:tc>
          <w:tcPr>
            <w:tcW w:w="386" w:type="pct"/>
            <w:tcBorders>
              <w:left w:val="single" w:sz="4" w:space="0" w:color="auto"/>
            </w:tcBorders>
            <w:vAlign w:val="center"/>
          </w:tcPr>
          <w:p w:rsidR="00EE56C0" w:rsidRDefault="000F36A1" w:rsidP="00A10664">
            <w:pPr>
              <w:pStyle w:val="4"/>
              <w:keepNext w:val="0"/>
              <w:numPr>
                <w:ilvl w:val="3"/>
                <w:numId w:val="0"/>
              </w:numPr>
              <w:tabs>
                <w:tab w:val="left" w:pos="454"/>
              </w:tabs>
              <w:spacing w:line="240" w:lineRule="auto"/>
              <w:jc w:val="center"/>
              <w:textAlignment w:val="center"/>
              <w:rPr>
                <w:rFonts w:ascii="宋体" w:hAnsi="宋体" w:cs="宋体"/>
                <w:b w:val="0"/>
                <w:bCs/>
                <w:sz w:val="21"/>
                <w:szCs w:val="21"/>
                <w:u w:val="single"/>
              </w:rPr>
            </w:pPr>
            <w:r>
              <w:rPr>
                <w:rFonts w:ascii="宋体" w:hAnsi="宋体" w:cs="宋体" w:hint="eastAsia"/>
                <w:b w:val="0"/>
                <w:bCs/>
                <w:sz w:val="21"/>
                <w:szCs w:val="21"/>
                <w:u w:val="single"/>
              </w:rPr>
              <w:t>相符</w:t>
            </w:r>
          </w:p>
        </w:tc>
      </w:tr>
      <w:tr w:rsidR="00EE56C0">
        <w:trPr>
          <w:cantSplit/>
          <w:trHeight w:val="3360"/>
          <w:jc w:val="center"/>
        </w:trPr>
        <w:tc>
          <w:tcPr>
            <w:tcW w:w="618" w:type="pct"/>
            <w:vAlign w:val="center"/>
          </w:tcPr>
          <w:p w:rsidR="00EE56C0" w:rsidRDefault="000F36A1" w:rsidP="00A10664">
            <w:pPr>
              <w:pStyle w:val="4"/>
              <w:keepNext w:val="0"/>
              <w:numPr>
                <w:ilvl w:val="3"/>
                <w:numId w:val="0"/>
              </w:numPr>
              <w:tabs>
                <w:tab w:val="left" w:pos="454"/>
              </w:tabs>
              <w:spacing w:line="240" w:lineRule="auto"/>
              <w:jc w:val="center"/>
              <w:textAlignment w:val="center"/>
              <w:rPr>
                <w:rFonts w:ascii="宋体" w:hAnsi="宋体" w:cs="宋体"/>
                <w:b w:val="0"/>
                <w:bCs/>
                <w:sz w:val="21"/>
                <w:szCs w:val="21"/>
                <w:u w:val="single"/>
              </w:rPr>
            </w:pPr>
            <w:r>
              <w:rPr>
                <w:rFonts w:ascii="宋体" w:hAnsi="宋体" w:cs="宋体" w:hint="eastAsia"/>
                <w:b w:val="0"/>
                <w:bCs/>
                <w:sz w:val="21"/>
                <w:szCs w:val="21"/>
                <w:u w:val="single"/>
              </w:rPr>
              <w:t>尽快完善环保基础设施</w:t>
            </w:r>
          </w:p>
        </w:tc>
        <w:tc>
          <w:tcPr>
            <w:tcW w:w="2562" w:type="pct"/>
            <w:vAlign w:val="center"/>
          </w:tcPr>
          <w:p w:rsidR="00EE56C0" w:rsidRDefault="000F36A1" w:rsidP="00A10664">
            <w:pPr>
              <w:pStyle w:val="4"/>
              <w:keepNext w:val="0"/>
              <w:numPr>
                <w:ilvl w:val="3"/>
                <w:numId w:val="0"/>
              </w:numPr>
              <w:tabs>
                <w:tab w:val="left" w:pos="454"/>
              </w:tabs>
              <w:spacing w:line="240" w:lineRule="auto"/>
              <w:textAlignment w:val="center"/>
              <w:rPr>
                <w:rFonts w:ascii="宋体" w:hAnsi="宋体" w:cs="宋体"/>
                <w:b w:val="0"/>
                <w:bCs/>
                <w:sz w:val="21"/>
                <w:szCs w:val="21"/>
                <w:u w:val="single"/>
              </w:rPr>
            </w:pPr>
            <w:r>
              <w:rPr>
                <w:rFonts w:ascii="宋体" w:hAnsi="宋体" w:cs="宋体" w:hint="eastAsia"/>
                <w:b w:val="0"/>
                <w:bCs/>
                <w:sz w:val="21"/>
                <w:szCs w:val="21"/>
                <w:u w:val="single"/>
              </w:rPr>
              <w:t>加快新乡县东孟姜女河流域新建污水处理厂及配套管网建设，以满足园区企业污水处理的需求，确保入区企业外排废水全部经管网收集后进入污水处理厂处理，入园企业不得单独设置废水排放口。</w:t>
            </w:r>
          </w:p>
        </w:tc>
        <w:tc>
          <w:tcPr>
            <w:tcW w:w="1434" w:type="pct"/>
            <w:tcBorders>
              <w:right w:val="single" w:sz="4" w:space="0" w:color="auto"/>
            </w:tcBorders>
            <w:vAlign w:val="center"/>
          </w:tcPr>
          <w:p w:rsidR="00EE56C0" w:rsidRDefault="000F36A1" w:rsidP="00A10664">
            <w:pPr>
              <w:pStyle w:val="4"/>
              <w:keepNext w:val="0"/>
              <w:numPr>
                <w:ilvl w:val="3"/>
                <w:numId w:val="0"/>
              </w:numPr>
              <w:tabs>
                <w:tab w:val="left" w:pos="454"/>
              </w:tabs>
              <w:spacing w:line="240" w:lineRule="auto"/>
              <w:textAlignment w:val="center"/>
              <w:rPr>
                <w:rFonts w:ascii="宋体" w:hAnsi="宋体" w:cs="宋体"/>
                <w:b w:val="0"/>
                <w:bCs/>
                <w:sz w:val="21"/>
                <w:szCs w:val="21"/>
                <w:u w:val="single"/>
              </w:rPr>
            </w:pPr>
            <w:r>
              <w:rPr>
                <w:rFonts w:ascii="宋体" w:hAnsi="宋体" w:cs="宋体" w:hint="eastAsia"/>
                <w:b w:val="0"/>
                <w:bCs/>
                <w:sz w:val="21"/>
                <w:szCs w:val="21"/>
                <w:u w:val="single"/>
              </w:rPr>
              <w:t>本项目生活污水、反渗透浓水在厂区总排口汇合后排放，经管网入新乡县综合污水处理厂进一步处理后，排入东孟姜女河，本项目不单独设置废水排放口。目前新乡县综合污水处理厂及配套管网均已建成，正在调试中。</w:t>
            </w:r>
          </w:p>
        </w:tc>
        <w:tc>
          <w:tcPr>
            <w:tcW w:w="386" w:type="pct"/>
            <w:tcBorders>
              <w:left w:val="single" w:sz="4" w:space="0" w:color="auto"/>
            </w:tcBorders>
            <w:vAlign w:val="center"/>
          </w:tcPr>
          <w:p w:rsidR="00EE56C0" w:rsidRDefault="000F36A1" w:rsidP="00A10664">
            <w:pPr>
              <w:pStyle w:val="4"/>
              <w:keepNext w:val="0"/>
              <w:numPr>
                <w:ilvl w:val="3"/>
                <w:numId w:val="0"/>
              </w:numPr>
              <w:tabs>
                <w:tab w:val="left" w:pos="454"/>
              </w:tabs>
              <w:spacing w:line="240" w:lineRule="auto"/>
              <w:jc w:val="center"/>
              <w:textAlignment w:val="center"/>
              <w:rPr>
                <w:rFonts w:ascii="宋体" w:hAnsi="宋体" w:cs="宋体"/>
                <w:b w:val="0"/>
                <w:bCs/>
                <w:sz w:val="21"/>
                <w:szCs w:val="21"/>
                <w:u w:val="single"/>
              </w:rPr>
            </w:pPr>
            <w:r>
              <w:rPr>
                <w:rFonts w:ascii="宋体" w:hAnsi="宋体" w:cs="宋体" w:hint="eastAsia"/>
                <w:b w:val="0"/>
                <w:bCs/>
                <w:sz w:val="21"/>
                <w:szCs w:val="21"/>
                <w:u w:val="single"/>
              </w:rPr>
              <w:t>相符</w:t>
            </w:r>
          </w:p>
        </w:tc>
      </w:tr>
    </w:tbl>
    <w:p w:rsidR="00EE56C0" w:rsidRDefault="000F36A1">
      <w:pPr>
        <w:pStyle w:val="3"/>
        <w:spacing w:before="240" w:after="120"/>
      </w:pPr>
      <w:r>
        <w:rPr>
          <w:rFonts w:hint="eastAsia"/>
        </w:rPr>
        <w:t>2.10.4</w:t>
      </w:r>
      <w:r>
        <w:t>新乡市城市饮用水源保护规划</w:t>
      </w:r>
      <w:bookmarkEnd w:id="136"/>
      <w:bookmarkEnd w:id="137"/>
      <w:bookmarkEnd w:id="138"/>
      <w:bookmarkEnd w:id="139"/>
      <w:bookmarkEnd w:id="140"/>
    </w:p>
    <w:p w:rsidR="00EE56C0" w:rsidRDefault="000F36A1">
      <w:pPr>
        <w:pStyle w:val="4"/>
        <w:ind w:left="120" w:firstLine="241"/>
      </w:pPr>
      <w:bookmarkStart w:id="144" w:name="_Toc428286807"/>
      <w:bookmarkStart w:id="145" w:name="_Toc428287553"/>
      <w:bookmarkStart w:id="146" w:name="_Toc428287201"/>
      <w:r>
        <w:rPr>
          <w:rFonts w:hint="eastAsia"/>
        </w:rPr>
        <w:t>2.10.4.1</w:t>
      </w:r>
      <w:r>
        <w:t>新乡市饮用水源</w:t>
      </w:r>
      <w:r>
        <w:rPr>
          <w:rFonts w:hint="eastAsia"/>
        </w:rPr>
        <w:t>保护区</w:t>
      </w:r>
      <w:bookmarkEnd w:id="144"/>
      <w:bookmarkEnd w:id="145"/>
      <w:bookmarkEnd w:id="146"/>
    </w:p>
    <w:p w:rsidR="00EE56C0" w:rsidRDefault="000F36A1">
      <w:pPr>
        <w:ind w:firstLine="480"/>
      </w:pPr>
      <w:r>
        <w:t>《新乡市城市饮用水水源地保护区划分报告》（</w:t>
      </w:r>
      <w:r>
        <w:t>2007.5</w:t>
      </w:r>
      <w:r>
        <w:t>）已由河南省人民政府以豫政办</w:t>
      </w:r>
      <w:r>
        <w:t>[2007]125</w:t>
      </w:r>
      <w:r>
        <w:t>号文批复，具体划分结果如下表。</w:t>
      </w:r>
    </w:p>
    <w:p w:rsidR="00A10664" w:rsidRDefault="00A10664">
      <w:pPr>
        <w:ind w:firstLine="480"/>
      </w:pPr>
    </w:p>
    <w:p w:rsidR="00EE56C0" w:rsidRDefault="000F36A1">
      <w:pPr>
        <w:pStyle w:val="afd"/>
        <w:spacing w:before="120" w:after="120"/>
        <w:ind w:firstLine="482"/>
      </w:pPr>
      <w:r>
        <w:lastRenderedPageBreak/>
        <w:t>表</w:t>
      </w:r>
      <w:r>
        <w:rPr>
          <w:rFonts w:hint="eastAsia"/>
        </w:rPr>
        <w:t>2</w:t>
      </w:r>
      <w:r>
        <w:t>-</w:t>
      </w:r>
      <w:r>
        <w:rPr>
          <w:rFonts w:hint="eastAsia"/>
        </w:rPr>
        <w:t xml:space="preserve">15         </w:t>
      </w:r>
      <w:r>
        <w:t>新乡市城市集中饮用水源地</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688"/>
        <w:gridCol w:w="1973"/>
        <w:gridCol w:w="3118"/>
        <w:gridCol w:w="2749"/>
      </w:tblGrid>
      <w:tr w:rsidR="00EE56C0">
        <w:trPr>
          <w:trHeight w:val="567"/>
          <w:tblHeader/>
          <w:jc w:val="center"/>
        </w:trPr>
        <w:tc>
          <w:tcPr>
            <w:tcW w:w="403" w:type="pct"/>
            <w:vAlign w:val="center"/>
          </w:tcPr>
          <w:p w:rsidR="00EE56C0" w:rsidRDefault="000F36A1">
            <w:pPr>
              <w:pStyle w:val="aff1"/>
              <w:rPr>
                <w:color w:val="auto"/>
              </w:rPr>
            </w:pPr>
            <w:r>
              <w:rPr>
                <w:color w:val="auto"/>
              </w:rPr>
              <w:t>序号</w:t>
            </w:r>
          </w:p>
        </w:tc>
        <w:tc>
          <w:tcPr>
            <w:tcW w:w="1157" w:type="pct"/>
            <w:vAlign w:val="center"/>
          </w:tcPr>
          <w:p w:rsidR="00EE56C0" w:rsidRDefault="000F36A1">
            <w:pPr>
              <w:pStyle w:val="aff1"/>
              <w:rPr>
                <w:color w:val="auto"/>
              </w:rPr>
            </w:pPr>
            <w:r>
              <w:rPr>
                <w:color w:val="auto"/>
              </w:rPr>
              <w:t>水源地名称</w:t>
            </w:r>
          </w:p>
        </w:tc>
        <w:tc>
          <w:tcPr>
            <w:tcW w:w="1828" w:type="pct"/>
            <w:vAlign w:val="center"/>
          </w:tcPr>
          <w:p w:rsidR="00EE56C0" w:rsidRDefault="000F36A1">
            <w:pPr>
              <w:pStyle w:val="aff1"/>
              <w:rPr>
                <w:color w:val="auto"/>
              </w:rPr>
            </w:pPr>
            <w:r>
              <w:rPr>
                <w:color w:val="auto"/>
              </w:rPr>
              <w:t>一级保护区</w:t>
            </w:r>
          </w:p>
        </w:tc>
        <w:tc>
          <w:tcPr>
            <w:tcW w:w="1612" w:type="pct"/>
            <w:vAlign w:val="center"/>
          </w:tcPr>
          <w:p w:rsidR="00EE56C0" w:rsidRDefault="000F36A1">
            <w:pPr>
              <w:pStyle w:val="aff1"/>
              <w:rPr>
                <w:color w:val="auto"/>
              </w:rPr>
            </w:pPr>
            <w:r>
              <w:rPr>
                <w:color w:val="auto"/>
              </w:rPr>
              <w:t>二级保护区</w:t>
            </w:r>
          </w:p>
        </w:tc>
      </w:tr>
      <w:tr w:rsidR="00EE56C0">
        <w:trPr>
          <w:trHeight w:val="567"/>
          <w:jc w:val="center"/>
        </w:trPr>
        <w:tc>
          <w:tcPr>
            <w:tcW w:w="403" w:type="pct"/>
            <w:vAlign w:val="center"/>
          </w:tcPr>
          <w:p w:rsidR="00EE56C0" w:rsidRDefault="000F36A1">
            <w:pPr>
              <w:pStyle w:val="afa"/>
            </w:pPr>
            <w:r>
              <w:t>1</w:t>
            </w:r>
          </w:p>
        </w:tc>
        <w:tc>
          <w:tcPr>
            <w:tcW w:w="1157" w:type="pct"/>
            <w:vAlign w:val="center"/>
          </w:tcPr>
          <w:p w:rsidR="00EE56C0" w:rsidRDefault="000F36A1">
            <w:pPr>
              <w:pStyle w:val="afa"/>
            </w:pPr>
            <w:r>
              <w:t>黄河贾太湖地表水饮用水源保护区</w:t>
            </w:r>
          </w:p>
        </w:tc>
        <w:tc>
          <w:tcPr>
            <w:tcW w:w="3440" w:type="pct"/>
            <w:gridSpan w:val="2"/>
            <w:vAlign w:val="center"/>
          </w:tcPr>
          <w:p w:rsidR="00EE56C0" w:rsidRDefault="000F36A1">
            <w:pPr>
              <w:pStyle w:val="afa"/>
            </w:pPr>
            <w:r>
              <w:rPr>
                <w:rFonts w:hint="eastAsia"/>
              </w:rPr>
              <w:t>豫政文</w:t>
            </w:r>
            <w:r>
              <w:rPr>
                <w:rFonts w:hint="eastAsia"/>
              </w:rPr>
              <w:t>[2018]114</w:t>
            </w:r>
            <w:r>
              <w:rPr>
                <w:rFonts w:hint="eastAsia"/>
              </w:rPr>
              <w:t>号文将其取消</w:t>
            </w:r>
          </w:p>
        </w:tc>
      </w:tr>
      <w:tr w:rsidR="00EE56C0">
        <w:trPr>
          <w:trHeight w:val="567"/>
          <w:jc w:val="center"/>
        </w:trPr>
        <w:tc>
          <w:tcPr>
            <w:tcW w:w="403" w:type="pct"/>
            <w:vAlign w:val="center"/>
          </w:tcPr>
          <w:p w:rsidR="00EE56C0" w:rsidRDefault="000F36A1">
            <w:pPr>
              <w:pStyle w:val="afa"/>
            </w:pPr>
            <w:r>
              <w:t>2</w:t>
            </w:r>
          </w:p>
        </w:tc>
        <w:tc>
          <w:tcPr>
            <w:tcW w:w="1157" w:type="pct"/>
            <w:vAlign w:val="center"/>
          </w:tcPr>
          <w:p w:rsidR="00EE56C0" w:rsidRDefault="000F36A1">
            <w:pPr>
              <w:pStyle w:val="afa"/>
            </w:pPr>
            <w:r>
              <w:t>黄河原阳中岳地表水饮用水源保护区</w:t>
            </w:r>
          </w:p>
        </w:tc>
        <w:tc>
          <w:tcPr>
            <w:tcW w:w="3440" w:type="pct"/>
            <w:gridSpan w:val="2"/>
            <w:vAlign w:val="center"/>
          </w:tcPr>
          <w:p w:rsidR="00EE56C0" w:rsidRDefault="000F36A1">
            <w:pPr>
              <w:pStyle w:val="afa"/>
            </w:pPr>
            <w:r>
              <w:rPr>
                <w:rFonts w:hint="eastAsia"/>
              </w:rPr>
              <w:t>豫政文</w:t>
            </w:r>
            <w:r>
              <w:rPr>
                <w:rFonts w:hint="eastAsia"/>
              </w:rPr>
              <w:t>[2018]114</w:t>
            </w:r>
            <w:r>
              <w:rPr>
                <w:rFonts w:hint="eastAsia"/>
              </w:rPr>
              <w:t>号文将其取消</w:t>
            </w:r>
          </w:p>
        </w:tc>
      </w:tr>
      <w:tr w:rsidR="00EE56C0">
        <w:trPr>
          <w:trHeight w:val="567"/>
          <w:jc w:val="center"/>
        </w:trPr>
        <w:tc>
          <w:tcPr>
            <w:tcW w:w="403" w:type="pct"/>
            <w:vAlign w:val="center"/>
          </w:tcPr>
          <w:p w:rsidR="00EE56C0" w:rsidRDefault="000F36A1">
            <w:pPr>
              <w:pStyle w:val="afa"/>
            </w:pPr>
            <w:r>
              <w:t>3</w:t>
            </w:r>
          </w:p>
        </w:tc>
        <w:tc>
          <w:tcPr>
            <w:tcW w:w="1157" w:type="pct"/>
            <w:vAlign w:val="center"/>
          </w:tcPr>
          <w:p w:rsidR="00EE56C0" w:rsidRDefault="000F36A1">
            <w:pPr>
              <w:pStyle w:val="afa"/>
            </w:pPr>
            <w:r>
              <w:t>三水厂地下水饮用水源保护区</w:t>
            </w:r>
          </w:p>
        </w:tc>
        <w:tc>
          <w:tcPr>
            <w:tcW w:w="3440" w:type="pct"/>
            <w:gridSpan w:val="2"/>
            <w:vAlign w:val="center"/>
          </w:tcPr>
          <w:p w:rsidR="00EE56C0" w:rsidRDefault="000F36A1">
            <w:pPr>
              <w:pStyle w:val="afa"/>
            </w:pPr>
            <w:r>
              <w:rPr>
                <w:rFonts w:hint="eastAsia"/>
              </w:rPr>
              <w:t>豫政文</w:t>
            </w:r>
            <w:r>
              <w:rPr>
                <w:rFonts w:hint="eastAsia"/>
              </w:rPr>
              <w:t>[2018]114</w:t>
            </w:r>
            <w:r>
              <w:rPr>
                <w:rFonts w:hint="eastAsia"/>
              </w:rPr>
              <w:t>号文将其取消</w:t>
            </w:r>
          </w:p>
        </w:tc>
      </w:tr>
      <w:tr w:rsidR="00EE56C0">
        <w:trPr>
          <w:trHeight w:val="567"/>
          <w:jc w:val="center"/>
        </w:trPr>
        <w:tc>
          <w:tcPr>
            <w:tcW w:w="403" w:type="pct"/>
            <w:vAlign w:val="center"/>
          </w:tcPr>
          <w:p w:rsidR="00EE56C0" w:rsidRDefault="000F36A1">
            <w:pPr>
              <w:pStyle w:val="afa"/>
            </w:pPr>
            <w:r>
              <w:t>4</w:t>
            </w:r>
          </w:p>
        </w:tc>
        <w:tc>
          <w:tcPr>
            <w:tcW w:w="1157" w:type="pct"/>
            <w:vAlign w:val="center"/>
          </w:tcPr>
          <w:p w:rsidR="00EE56C0" w:rsidRDefault="000F36A1">
            <w:pPr>
              <w:pStyle w:val="afa"/>
            </w:pPr>
            <w:r>
              <w:t>四水厂地下水饮用水源保护区</w:t>
            </w:r>
          </w:p>
        </w:tc>
        <w:tc>
          <w:tcPr>
            <w:tcW w:w="3440" w:type="pct"/>
            <w:gridSpan w:val="2"/>
            <w:vAlign w:val="center"/>
          </w:tcPr>
          <w:p w:rsidR="00EE56C0" w:rsidRDefault="000F36A1">
            <w:pPr>
              <w:pStyle w:val="afa"/>
            </w:pPr>
            <w:r>
              <w:rPr>
                <w:rFonts w:hint="eastAsia"/>
                <w:color w:val="000000"/>
              </w:rPr>
              <w:t>豫政文</w:t>
            </w:r>
            <w:r>
              <w:rPr>
                <w:rFonts w:hint="eastAsia"/>
                <w:color w:val="000000"/>
              </w:rPr>
              <w:t>[2021]72</w:t>
            </w:r>
            <w:r>
              <w:rPr>
                <w:rFonts w:hint="eastAsia"/>
                <w:color w:val="000000"/>
              </w:rPr>
              <w:t>号文将其取消</w:t>
            </w:r>
          </w:p>
        </w:tc>
      </w:tr>
      <w:tr w:rsidR="00EE56C0">
        <w:trPr>
          <w:trHeight w:val="567"/>
          <w:jc w:val="center"/>
        </w:trPr>
        <w:tc>
          <w:tcPr>
            <w:tcW w:w="403" w:type="pct"/>
            <w:vAlign w:val="center"/>
          </w:tcPr>
          <w:p w:rsidR="00EE56C0" w:rsidRDefault="000F36A1">
            <w:pPr>
              <w:pStyle w:val="afa"/>
            </w:pPr>
            <w:r>
              <w:t>5</w:t>
            </w:r>
          </w:p>
        </w:tc>
        <w:tc>
          <w:tcPr>
            <w:tcW w:w="1157" w:type="pct"/>
            <w:vAlign w:val="center"/>
          </w:tcPr>
          <w:p w:rsidR="00EE56C0" w:rsidRDefault="000F36A1">
            <w:pPr>
              <w:pStyle w:val="afa"/>
            </w:pPr>
            <w:r>
              <w:t>凤泉水厂地下水饮用水源保护区</w:t>
            </w:r>
          </w:p>
        </w:tc>
        <w:tc>
          <w:tcPr>
            <w:tcW w:w="1828" w:type="pct"/>
            <w:vAlign w:val="center"/>
          </w:tcPr>
          <w:p w:rsidR="00EE56C0" w:rsidRDefault="000F36A1">
            <w:pPr>
              <w:pStyle w:val="afa"/>
            </w:pPr>
            <w:r>
              <w:t>以水厂东、西两院的院墙为界向外</w:t>
            </w:r>
            <w:r>
              <w:t>10</w:t>
            </w:r>
            <w:r>
              <w:t>米以及输水管线两侧</w:t>
            </w:r>
            <w:r>
              <w:t>10</w:t>
            </w:r>
            <w:r>
              <w:t>米的区域。</w:t>
            </w:r>
          </w:p>
        </w:tc>
        <w:tc>
          <w:tcPr>
            <w:tcW w:w="1612" w:type="pct"/>
            <w:vAlign w:val="center"/>
          </w:tcPr>
          <w:p w:rsidR="00EE56C0" w:rsidRDefault="000F36A1">
            <w:pPr>
              <w:pStyle w:val="afa"/>
            </w:pPr>
            <w:r>
              <w:t>东以团结路为界，其他三面以水厂院墙为界，向外</w:t>
            </w:r>
            <w:r>
              <w:t>100</w:t>
            </w:r>
            <w:r>
              <w:t>米的区域。</w:t>
            </w:r>
          </w:p>
        </w:tc>
      </w:tr>
      <w:tr w:rsidR="00EE56C0">
        <w:trPr>
          <w:trHeight w:val="567"/>
          <w:jc w:val="center"/>
        </w:trPr>
        <w:tc>
          <w:tcPr>
            <w:tcW w:w="403" w:type="pct"/>
            <w:vAlign w:val="center"/>
          </w:tcPr>
          <w:p w:rsidR="00EE56C0" w:rsidRDefault="000F36A1">
            <w:pPr>
              <w:pStyle w:val="afa"/>
            </w:pPr>
            <w:r>
              <w:t>6</w:t>
            </w:r>
          </w:p>
        </w:tc>
        <w:tc>
          <w:tcPr>
            <w:tcW w:w="1157" w:type="pct"/>
            <w:vAlign w:val="center"/>
          </w:tcPr>
          <w:p w:rsidR="00EE56C0" w:rsidRDefault="000F36A1">
            <w:pPr>
              <w:pStyle w:val="afa"/>
            </w:pPr>
            <w:r>
              <w:t>卫辉市塔岗水库地表水饮用水源保护区</w:t>
            </w:r>
          </w:p>
        </w:tc>
        <w:tc>
          <w:tcPr>
            <w:tcW w:w="1828" w:type="pct"/>
            <w:vAlign w:val="center"/>
          </w:tcPr>
          <w:p w:rsidR="00EE56C0" w:rsidRDefault="000F36A1">
            <w:pPr>
              <w:pStyle w:val="afa"/>
            </w:pPr>
            <w:r>
              <w:t>取水口外围</w:t>
            </w:r>
            <w:r>
              <w:t>300</w:t>
            </w:r>
            <w:r>
              <w:t>米的水域、正常水位线取水口一侧</w:t>
            </w:r>
            <w:r>
              <w:t>200</w:t>
            </w:r>
            <w:r>
              <w:t>米的陆域及输水管道两侧</w:t>
            </w:r>
            <w:r>
              <w:t>10</w:t>
            </w:r>
            <w:r>
              <w:t>米的陆域。</w:t>
            </w:r>
          </w:p>
        </w:tc>
        <w:tc>
          <w:tcPr>
            <w:tcW w:w="1612" w:type="pct"/>
            <w:vAlign w:val="center"/>
          </w:tcPr>
          <w:p w:rsidR="00EE56C0" w:rsidRDefault="000F36A1">
            <w:pPr>
              <w:pStyle w:val="afa"/>
            </w:pPr>
            <w:r>
              <w:t>一级保护区外的水域及山脊线内、入库河流上游</w:t>
            </w:r>
            <w:r>
              <w:t>3000</w:t>
            </w:r>
            <w:r>
              <w:t>米的陆域。</w:t>
            </w:r>
          </w:p>
        </w:tc>
      </w:tr>
      <w:tr w:rsidR="00EE56C0">
        <w:trPr>
          <w:trHeight w:val="567"/>
          <w:jc w:val="center"/>
        </w:trPr>
        <w:tc>
          <w:tcPr>
            <w:tcW w:w="403" w:type="pct"/>
            <w:vAlign w:val="center"/>
          </w:tcPr>
          <w:p w:rsidR="00EE56C0" w:rsidRDefault="000F36A1">
            <w:pPr>
              <w:pStyle w:val="afa"/>
            </w:pPr>
            <w:r>
              <w:t>7</w:t>
            </w:r>
          </w:p>
        </w:tc>
        <w:tc>
          <w:tcPr>
            <w:tcW w:w="1157" w:type="pct"/>
            <w:vAlign w:val="center"/>
          </w:tcPr>
          <w:p w:rsidR="00EE56C0" w:rsidRDefault="000F36A1">
            <w:pPr>
              <w:pStyle w:val="afa"/>
            </w:pPr>
            <w:r>
              <w:t>辉县市段屯地下水饮用水源保护区</w:t>
            </w:r>
          </w:p>
        </w:tc>
        <w:tc>
          <w:tcPr>
            <w:tcW w:w="1828" w:type="pct"/>
            <w:vAlign w:val="center"/>
          </w:tcPr>
          <w:p w:rsidR="00EE56C0" w:rsidRDefault="000F36A1">
            <w:pPr>
              <w:pStyle w:val="afa"/>
            </w:pPr>
            <w:r>
              <w:t>井群外围线以外</w:t>
            </w:r>
            <w:r>
              <w:t>30</w:t>
            </w:r>
            <w:r>
              <w:t>米的区域及输水管道两侧</w:t>
            </w:r>
            <w:r>
              <w:t>10</w:t>
            </w:r>
            <w:r>
              <w:t>米的陆域。</w:t>
            </w:r>
          </w:p>
        </w:tc>
        <w:tc>
          <w:tcPr>
            <w:tcW w:w="1612" w:type="pct"/>
            <w:vAlign w:val="center"/>
          </w:tcPr>
          <w:p w:rsidR="00EE56C0" w:rsidRDefault="000F36A1">
            <w:pPr>
              <w:pStyle w:val="afa"/>
            </w:pPr>
            <w:r>
              <w:t>卫柿路以北，东外环路以东，井群外围线外</w:t>
            </w:r>
            <w:r>
              <w:t>300</w:t>
            </w:r>
            <w:r>
              <w:t>米以西和以南的区域。</w:t>
            </w:r>
          </w:p>
        </w:tc>
      </w:tr>
    </w:tbl>
    <w:p w:rsidR="00EE56C0" w:rsidRDefault="000F36A1">
      <w:pPr>
        <w:ind w:firstLine="480"/>
      </w:pPr>
      <w:r>
        <w:t>距本项目最近的城市饮用水水源地保护区为凤泉水厂地下水饮用水源保护区，</w:t>
      </w:r>
      <w:r>
        <w:rPr>
          <w:rFonts w:hint="eastAsia"/>
        </w:rPr>
        <w:t>本项目</w:t>
      </w:r>
      <w:r>
        <w:t>距离</w:t>
      </w:r>
      <w:r>
        <w:rPr>
          <w:rFonts w:hint="eastAsia"/>
        </w:rPr>
        <w:t>其</w:t>
      </w:r>
      <w:r>
        <w:t>约</w:t>
      </w:r>
      <w:r>
        <w:rPr>
          <w:rFonts w:hint="eastAsia"/>
        </w:rPr>
        <w:t>31.25k</w:t>
      </w:r>
      <w:r>
        <w:t>m</w:t>
      </w:r>
      <w:r>
        <w:rPr>
          <w:rFonts w:hint="eastAsia"/>
        </w:rPr>
        <w:t>，不在其保护区范围内，具体相对位置如下图：</w:t>
      </w:r>
    </w:p>
    <w:p w:rsidR="00EE56C0" w:rsidRDefault="000F36A1">
      <w:pPr>
        <w:ind w:firstLine="480"/>
      </w:pPr>
      <w:r>
        <w:rPr>
          <w:noProof/>
        </w:rPr>
        <w:drawing>
          <wp:anchor distT="0" distB="0" distL="114300" distR="114300" simplePos="0" relativeHeight="251596288" behindDoc="0" locked="0" layoutInCell="1" allowOverlap="1">
            <wp:simplePos x="0" y="0"/>
            <wp:positionH relativeFrom="column">
              <wp:posOffset>168910</wp:posOffset>
            </wp:positionH>
            <wp:positionV relativeFrom="paragraph">
              <wp:posOffset>58420</wp:posOffset>
            </wp:positionV>
            <wp:extent cx="5130800" cy="3980815"/>
            <wp:effectExtent l="19050" t="0" r="0" b="0"/>
            <wp:wrapNone/>
            <wp:docPr id="12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32"/>
                    <pic:cNvPicPr>
                      <a:picLocks noChangeAspect="1" noChangeArrowheads="1"/>
                    </pic:cNvPicPr>
                  </pic:nvPicPr>
                  <pic:blipFill>
                    <a:blip r:embed="rId24"/>
                    <a:srcRect/>
                    <a:stretch>
                      <a:fillRect/>
                    </a:stretch>
                  </pic:blipFill>
                  <pic:spPr>
                    <a:xfrm>
                      <a:off x="0" y="0"/>
                      <a:ext cx="5131476" cy="3981542"/>
                    </a:xfrm>
                    <a:prstGeom prst="rect">
                      <a:avLst/>
                    </a:prstGeom>
                    <a:noFill/>
                    <a:ln w="9525">
                      <a:noFill/>
                      <a:miter lim="800000"/>
                      <a:headEnd/>
                      <a:tailEnd/>
                    </a:ln>
                  </pic:spPr>
                </pic:pic>
              </a:graphicData>
            </a:graphic>
          </wp:anchor>
        </w:drawing>
      </w:r>
      <w:r w:rsidR="00340837">
        <w:pict>
          <v:shape id="文本框 1522" o:spid="_x0000_s2156" type="#_x0000_t202" style="position:absolute;left:0;text-align:left;margin-left:378.6pt;margin-top:6.9pt;width:45pt;height:31pt;z-index:251696640;mso-position-horizontal-relative:text;mso-position-vertical-relative:text" filled="f" stroked="f">
            <v:textbox>
              <w:txbxContent>
                <w:p w:rsidR="009C6BD9" w:rsidRDefault="009C6BD9">
                  <w:pPr>
                    <w:pStyle w:val="aff8"/>
                    <w:spacing w:before="120"/>
                  </w:pPr>
                  <w:r>
                    <w:rPr>
                      <w:rFonts w:hint="eastAsia"/>
                    </w:rPr>
                    <w:t>北</w:t>
                  </w:r>
                </w:p>
              </w:txbxContent>
            </v:textbox>
          </v:shape>
        </w:pict>
      </w:r>
    </w:p>
    <w:p w:rsidR="00EE56C0" w:rsidRDefault="00EE56C0">
      <w:pPr>
        <w:pStyle w:val="aff8"/>
      </w:pPr>
    </w:p>
    <w:p w:rsidR="00EE56C0" w:rsidRDefault="00340837">
      <w:pPr>
        <w:pStyle w:val="aff8"/>
      </w:pPr>
      <w:r>
        <w:pict>
          <v:line id="直线 1519" o:spid="_x0000_s2152" style="position:absolute;left:0;text-align:left;flip:y;z-index:251693568" from="85.4pt,10.3pt" to="186.4pt,251pt" strokecolor="yellow" strokeweight="1pt">
            <v:stroke startarrow="classic" startarrowlength="long" endarrow="classic" endarrowlength="long"/>
          </v:line>
        </w:pict>
      </w:r>
      <w: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自选图形 1521" o:spid="_x0000_s2153" type="#_x0000_t68" style="position:absolute;left:0;text-align:left;margin-left:394.55pt;margin-top:10.3pt;width:13.4pt;height:31.2pt;z-index:251694592" filled="f" strokeweight="1.5pt">
            <v:textbox style="layout-flow:vertical-ideographic"/>
          </v:shape>
        </w:pict>
      </w:r>
    </w:p>
    <w:p w:rsidR="00EE56C0" w:rsidRDefault="00EE56C0">
      <w:pPr>
        <w:pStyle w:val="aff8"/>
      </w:pPr>
    </w:p>
    <w:p w:rsidR="00EE56C0" w:rsidRDefault="00EE56C0">
      <w:pPr>
        <w:pStyle w:val="aff8"/>
      </w:pPr>
    </w:p>
    <w:p w:rsidR="00EE56C0" w:rsidRDefault="00EE56C0">
      <w:pPr>
        <w:pStyle w:val="aff8"/>
      </w:pPr>
    </w:p>
    <w:p w:rsidR="00EE56C0" w:rsidRDefault="00EE56C0">
      <w:pPr>
        <w:pStyle w:val="aff8"/>
      </w:pPr>
    </w:p>
    <w:p w:rsidR="00EE56C0" w:rsidRDefault="00EE56C0">
      <w:pPr>
        <w:pStyle w:val="aff8"/>
      </w:pPr>
    </w:p>
    <w:p w:rsidR="00EE56C0" w:rsidRDefault="00EE56C0">
      <w:pPr>
        <w:pStyle w:val="aff8"/>
      </w:pPr>
    </w:p>
    <w:p w:rsidR="00EE56C0" w:rsidRDefault="00EE56C0">
      <w:pPr>
        <w:pStyle w:val="aff8"/>
      </w:pPr>
    </w:p>
    <w:p w:rsidR="00EE56C0" w:rsidRDefault="00EE56C0">
      <w:pPr>
        <w:pStyle w:val="aff8"/>
      </w:pPr>
    </w:p>
    <w:p w:rsidR="00EE56C0" w:rsidRDefault="00340837">
      <w:pPr>
        <w:pStyle w:val="aff8"/>
      </w:pPr>
      <w:r>
        <w:pict>
          <v:shape id="文本框 1525" o:spid="_x0000_s2154" type="#_x0000_t202" style="position:absolute;left:0;text-align:left;margin-left:120.45pt;margin-top:9.95pt;width:67.65pt;height:28.95pt;z-index:251695616" filled="f" stroked="f">
            <v:textbox>
              <w:txbxContent>
                <w:p w:rsidR="009C6BD9" w:rsidRDefault="009C6BD9">
                  <w:pPr>
                    <w:pStyle w:val="aff8"/>
                    <w:spacing w:before="120"/>
                    <w:rPr>
                      <w:color w:val="FFFF00"/>
                    </w:rPr>
                  </w:pPr>
                  <w:r>
                    <w:rPr>
                      <w:rFonts w:hint="eastAsia"/>
                      <w:color w:val="FFFF00"/>
                    </w:rPr>
                    <w:t>31.25km</w:t>
                  </w:r>
                </w:p>
              </w:txbxContent>
            </v:textbox>
          </v:shape>
        </w:pict>
      </w:r>
    </w:p>
    <w:p w:rsidR="00EE56C0" w:rsidRDefault="00EE56C0">
      <w:pPr>
        <w:pStyle w:val="aff8"/>
      </w:pPr>
    </w:p>
    <w:p w:rsidR="00EE56C0" w:rsidRDefault="00EE56C0">
      <w:pPr>
        <w:pStyle w:val="aff8"/>
      </w:pPr>
    </w:p>
    <w:p w:rsidR="00EE56C0" w:rsidRDefault="00EE56C0">
      <w:pPr>
        <w:pStyle w:val="aff8"/>
      </w:pPr>
    </w:p>
    <w:p w:rsidR="00EE56C0" w:rsidRDefault="00EE56C0">
      <w:pPr>
        <w:pStyle w:val="aff8"/>
      </w:pPr>
    </w:p>
    <w:p w:rsidR="00EE56C0" w:rsidRDefault="00EE56C0">
      <w:pPr>
        <w:pStyle w:val="aff8"/>
      </w:pPr>
    </w:p>
    <w:p w:rsidR="00EE56C0" w:rsidRDefault="00EE56C0">
      <w:pPr>
        <w:pStyle w:val="aff8"/>
      </w:pPr>
    </w:p>
    <w:p w:rsidR="00EE56C0" w:rsidRDefault="00EE56C0">
      <w:pPr>
        <w:pStyle w:val="aff8"/>
      </w:pPr>
    </w:p>
    <w:p w:rsidR="00EE56C0" w:rsidRDefault="00EE56C0">
      <w:pPr>
        <w:pStyle w:val="aff8"/>
      </w:pPr>
    </w:p>
    <w:p w:rsidR="00EE56C0" w:rsidRDefault="00EE56C0">
      <w:pPr>
        <w:pStyle w:val="aff8"/>
      </w:pPr>
    </w:p>
    <w:p w:rsidR="00EE56C0" w:rsidRDefault="00EE56C0">
      <w:pPr>
        <w:pStyle w:val="aff8"/>
        <w:rPr>
          <w:rFonts w:ascii="宋体" w:hAnsi="宋体" w:cs="宋体"/>
          <w:kern w:val="0"/>
          <w:szCs w:val="24"/>
        </w:rPr>
      </w:pPr>
    </w:p>
    <w:p w:rsidR="00EE56C0" w:rsidRDefault="000F36A1">
      <w:pPr>
        <w:pStyle w:val="aff8"/>
      </w:pPr>
      <w:r>
        <w:rPr>
          <w:rFonts w:hint="eastAsia"/>
        </w:rPr>
        <w:t>图</w:t>
      </w:r>
      <w:r>
        <w:rPr>
          <w:rFonts w:hint="eastAsia"/>
        </w:rPr>
        <w:t xml:space="preserve">2-2   </w:t>
      </w:r>
      <w:r>
        <w:rPr>
          <w:rFonts w:hint="eastAsia"/>
        </w:rPr>
        <w:t>本项目选址与新乡市集中式饮用水水源地相对位置图</w:t>
      </w:r>
    </w:p>
    <w:p w:rsidR="00EE56C0" w:rsidRDefault="000F36A1">
      <w:pPr>
        <w:ind w:firstLine="480"/>
      </w:pPr>
      <w:r>
        <w:rPr>
          <w:rFonts w:hint="eastAsia"/>
        </w:rPr>
        <w:lastRenderedPageBreak/>
        <w:t>由上图可知：本项目不在</w:t>
      </w:r>
      <w:r>
        <w:t>凤泉水厂地下水饮用水源保护区</w:t>
      </w:r>
      <w:r>
        <w:rPr>
          <w:rFonts w:hint="eastAsia"/>
        </w:rPr>
        <w:t>范围内，不会对其产生影响。</w:t>
      </w:r>
    </w:p>
    <w:p w:rsidR="00EE56C0" w:rsidRDefault="000F36A1">
      <w:pPr>
        <w:pStyle w:val="4"/>
        <w:ind w:left="120" w:firstLine="241"/>
        <w:rPr>
          <w:u w:val="single"/>
        </w:rPr>
      </w:pPr>
      <w:bookmarkStart w:id="147" w:name="_Toc428287554"/>
      <w:bookmarkStart w:id="148" w:name="_Toc428287202"/>
      <w:bookmarkStart w:id="149" w:name="_Toc428286808"/>
      <w:r>
        <w:rPr>
          <w:rFonts w:hint="eastAsia"/>
          <w:u w:val="single"/>
        </w:rPr>
        <w:t>2.10.4.2</w:t>
      </w:r>
      <w:r>
        <w:rPr>
          <w:rFonts w:hint="eastAsia"/>
          <w:u w:val="single"/>
        </w:rPr>
        <w:t>新乡市县级饮用水源保护区</w:t>
      </w:r>
    </w:p>
    <w:p w:rsidR="00EE56C0" w:rsidRDefault="000F36A1">
      <w:pPr>
        <w:ind w:firstLine="482"/>
        <w:rPr>
          <w:b/>
          <w:u w:val="single"/>
        </w:rPr>
      </w:pPr>
      <w:r>
        <w:rPr>
          <w:rFonts w:hint="eastAsia"/>
          <w:b/>
          <w:u w:val="single"/>
        </w:rPr>
        <w:t>根据《河南省人民政府办公厅关于印发河南省县级集中式饮用水水源保护区划的通知》（豫政办</w:t>
      </w:r>
      <w:r>
        <w:rPr>
          <w:rFonts w:hint="eastAsia"/>
          <w:b/>
          <w:u w:val="single"/>
        </w:rPr>
        <w:t xml:space="preserve"> </w:t>
      </w:r>
      <w:r>
        <w:rPr>
          <w:rFonts w:hint="eastAsia"/>
          <w:b/>
          <w:u w:val="single"/>
        </w:rPr>
        <w:t>〔</w:t>
      </w:r>
      <w:r>
        <w:rPr>
          <w:rFonts w:hint="eastAsia"/>
          <w:b/>
          <w:u w:val="single"/>
        </w:rPr>
        <w:t>2013</w:t>
      </w:r>
      <w:r>
        <w:rPr>
          <w:rFonts w:hint="eastAsia"/>
          <w:b/>
          <w:u w:val="single"/>
        </w:rPr>
        <w:t>〕</w:t>
      </w:r>
      <w:r>
        <w:rPr>
          <w:rFonts w:hint="eastAsia"/>
          <w:b/>
          <w:u w:val="single"/>
        </w:rPr>
        <w:t>107</w:t>
      </w:r>
      <w:r>
        <w:rPr>
          <w:rFonts w:hint="eastAsia"/>
          <w:b/>
          <w:u w:val="single"/>
        </w:rPr>
        <w:t>号），新乡市县级饮用水源保护区主要分布于获嘉县、原阳县、延津县、封丘县、平原新区，新乡县无县级饮用水源保护区，因此不再对照分析。</w:t>
      </w:r>
    </w:p>
    <w:p w:rsidR="00EE56C0" w:rsidRDefault="000F36A1">
      <w:pPr>
        <w:pStyle w:val="4"/>
        <w:ind w:left="120" w:firstLine="241"/>
      </w:pPr>
      <w:r>
        <w:rPr>
          <w:rFonts w:hint="eastAsia"/>
        </w:rPr>
        <w:t>2.10.4.3</w:t>
      </w:r>
      <w:r>
        <w:rPr>
          <w:rFonts w:hint="eastAsia"/>
        </w:rPr>
        <w:t>新乡市乡镇饮用水源保护区</w:t>
      </w:r>
      <w:bookmarkEnd w:id="147"/>
      <w:bookmarkEnd w:id="148"/>
      <w:bookmarkEnd w:id="149"/>
    </w:p>
    <w:p w:rsidR="00EE56C0" w:rsidRDefault="000F36A1">
      <w:pPr>
        <w:ind w:firstLine="480"/>
      </w:pPr>
      <w:r>
        <w:rPr>
          <w:rFonts w:hint="eastAsia"/>
        </w:rPr>
        <w:t>根据现场调查，距离本项目最近的新乡市乡镇饮用水源为厂址北</w:t>
      </w:r>
      <w:r>
        <w:rPr>
          <w:rFonts w:hint="eastAsia"/>
        </w:rPr>
        <w:t>12.35km</w:t>
      </w:r>
      <w:r>
        <w:rPr>
          <w:rFonts w:hint="eastAsia"/>
        </w:rPr>
        <w:t>处的</w:t>
      </w:r>
      <w:r>
        <w:rPr>
          <w:rFonts w:ascii="宋体" w:hAnsi="宋体" w:cs="宋体" w:hint="eastAsia"/>
        </w:rPr>
        <w:t>新乡县翟坡镇水厂地下水井群</w:t>
      </w:r>
      <w:r>
        <w:rPr>
          <w:rFonts w:hint="eastAsia"/>
        </w:rPr>
        <w:t>。该保护区范围为：</w:t>
      </w:r>
      <w:r>
        <w:rPr>
          <w:rFonts w:ascii="宋体" w:hAnsi="宋体" w:cs="宋体" w:hint="eastAsia"/>
        </w:rPr>
        <w:t>一级保护区范围:取水井外围50米的区域</w:t>
      </w:r>
      <w:r>
        <w:rPr>
          <w:rFonts w:hint="eastAsia"/>
        </w:rPr>
        <w:t>。具体相对位置如下图：</w:t>
      </w:r>
    </w:p>
    <w:p w:rsidR="00EE56C0" w:rsidRDefault="00340837">
      <w:pPr>
        <w:ind w:firstLine="480"/>
      </w:pPr>
      <w:r>
        <w:pict>
          <v:shape id="文本框 3768" o:spid="_x0000_s2164" type="#_x0000_t202" style="position:absolute;left:0;text-align:left;margin-left:378.6pt;margin-top:.85pt;width:45pt;height:31pt;z-index:251702784" filled="f" stroked="f">
            <v:textbox>
              <w:txbxContent>
                <w:p w:rsidR="009C6BD9" w:rsidRDefault="009C6BD9">
                  <w:pPr>
                    <w:pStyle w:val="aff8"/>
                    <w:spacing w:before="120"/>
                  </w:pPr>
                  <w:r>
                    <w:rPr>
                      <w:rFonts w:hint="eastAsia"/>
                    </w:rPr>
                    <w:t>北</w:t>
                  </w:r>
                </w:p>
              </w:txbxContent>
            </v:textbox>
          </v:shape>
        </w:pict>
      </w:r>
      <w:r>
        <w:pict>
          <v:shape id="文本框 3766" o:spid="_x0000_s2162" type="#_x0000_t202" style="position:absolute;left:0;text-align:left;margin-left:176.85pt;margin-top:23.8pt;width:77.05pt;height:37.15pt;z-index:251700736" filled="f" stroked="f" strokecolor="red" strokeweight="1pt">
            <v:textbox>
              <w:txbxContent>
                <w:p w:rsidR="009C6BD9" w:rsidRDefault="009C6BD9">
                  <w:pPr>
                    <w:spacing w:line="240" w:lineRule="auto"/>
                    <w:ind w:firstLineChars="0" w:firstLine="0"/>
                    <w:jc w:val="center"/>
                    <w:rPr>
                      <w:color w:val="FFFF00"/>
                      <w:sz w:val="21"/>
                    </w:rPr>
                  </w:pPr>
                  <w:r>
                    <w:rPr>
                      <w:rFonts w:hint="eastAsia"/>
                      <w:color w:val="FFFF00"/>
                      <w:sz w:val="21"/>
                    </w:rPr>
                    <w:t>翟坡镇水厂饮用水源地</w:t>
                  </w:r>
                </w:p>
              </w:txbxContent>
            </v:textbox>
          </v:shape>
        </w:pict>
      </w:r>
      <w:r w:rsidR="000F36A1">
        <w:rPr>
          <w:rFonts w:hint="eastAsia"/>
          <w:noProof/>
        </w:rPr>
        <w:drawing>
          <wp:anchor distT="0" distB="0" distL="114300" distR="114300" simplePos="0" relativeHeight="251670016" behindDoc="0" locked="0" layoutInCell="1" allowOverlap="1">
            <wp:simplePos x="0" y="0"/>
            <wp:positionH relativeFrom="column">
              <wp:posOffset>17780</wp:posOffset>
            </wp:positionH>
            <wp:positionV relativeFrom="paragraph">
              <wp:posOffset>23495</wp:posOffset>
            </wp:positionV>
            <wp:extent cx="5271135" cy="4389120"/>
            <wp:effectExtent l="19050" t="19050" r="24765" b="11430"/>
            <wp:wrapNone/>
            <wp:docPr id="11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40"/>
                    <pic:cNvPicPr>
                      <a:picLocks noChangeAspect="1" noChangeArrowheads="1"/>
                    </pic:cNvPicPr>
                  </pic:nvPicPr>
                  <pic:blipFill>
                    <a:blip r:embed="rId25"/>
                    <a:srcRect/>
                    <a:stretch>
                      <a:fillRect/>
                    </a:stretch>
                  </pic:blipFill>
                  <pic:spPr>
                    <a:xfrm>
                      <a:off x="0" y="0"/>
                      <a:ext cx="5271135" cy="4389120"/>
                    </a:xfrm>
                    <a:prstGeom prst="rect">
                      <a:avLst/>
                    </a:prstGeom>
                    <a:noFill/>
                    <a:ln w="9525">
                      <a:solidFill>
                        <a:srgbClr val="000000"/>
                      </a:solidFill>
                      <a:miter lim="800000"/>
                      <a:headEnd/>
                      <a:tailEnd/>
                    </a:ln>
                  </pic:spPr>
                </pic:pic>
              </a:graphicData>
            </a:graphic>
          </wp:anchor>
        </w:drawing>
      </w:r>
    </w:p>
    <w:p w:rsidR="00EE56C0" w:rsidRDefault="00340837">
      <w:pPr>
        <w:ind w:firstLine="480"/>
      </w:pPr>
      <w:r>
        <w:pict>
          <v:shape id="自选图形 3767" o:spid="_x0000_s2163" type="#_x0000_t68" style="position:absolute;left:0;text-align:left;margin-left:394.75pt;margin-top:1.1pt;width:13.4pt;height:31.2pt;z-index:251701760" filled="f" strokeweight="1.5pt">
            <v:textbox style="layout-flow:vertical-ideographic"/>
          </v:shape>
        </w:pict>
      </w:r>
      <w:r>
        <w:pict>
          <v:shape id="自选图形 3763" o:spid="_x0000_s2159" type="#_x0000_t32" style="position:absolute;left:0;text-align:left;margin-left:169.35pt;margin-top:1.1pt;width:11pt;height:300.7pt;flip:x;z-index:251697664" o:connectortype="straight" strokecolor="yellow" strokeweight="1pt">
            <v:stroke startarrow="classic" endarrow="classic"/>
          </v:shape>
        </w:pict>
      </w:r>
    </w:p>
    <w:p w:rsidR="00EE56C0" w:rsidRDefault="00EE56C0">
      <w:pPr>
        <w:ind w:firstLine="480"/>
      </w:pPr>
    </w:p>
    <w:p w:rsidR="00EE56C0" w:rsidRDefault="00EE56C0">
      <w:pPr>
        <w:ind w:firstLine="480"/>
      </w:pPr>
    </w:p>
    <w:p w:rsidR="00EE56C0" w:rsidRDefault="00EE56C0">
      <w:pPr>
        <w:ind w:firstLine="480"/>
      </w:pPr>
    </w:p>
    <w:p w:rsidR="00EE56C0" w:rsidRDefault="00340837">
      <w:pPr>
        <w:ind w:firstLine="480"/>
      </w:pPr>
      <w:r>
        <w:pict>
          <v:shape id="文本框 3764" o:spid="_x0000_s2160" type="#_x0000_t202" style="position:absolute;left:0;text-align:left;margin-left:168.85pt;margin-top:12.65pt;width:67.55pt;height:22.65pt;z-index:251698688" filled="f" stroked="f" strokecolor="red" strokeweight="1pt">
            <v:textbox>
              <w:txbxContent>
                <w:p w:rsidR="009C6BD9" w:rsidRDefault="009C6BD9">
                  <w:pPr>
                    <w:spacing w:line="240" w:lineRule="auto"/>
                    <w:ind w:firstLineChars="0" w:firstLine="0"/>
                    <w:rPr>
                      <w:color w:val="FFFF00"/>
                    </w:rPr>
                  </w:pPr>
                  <w:r>
                    <w:rPr>
                      <w:rFonts w:hint="eastAsia"/>
                      <w:color w:val="FFFF00"/>
                    </w:rPr>
                    <w:t>12.35km</w:t>
                  </w:r>
                </w:p>
              </w:txbxContent>
            </v:textbox>
          </v:shape>
        </w:pict>
      </w:r>
    </w:p>
    <w:p w:rsidR="00EE56C0" w:rsidRDefault="00EE56C0">
      <w:pPr>
        <w:ind w:firstLine="480"/>
      </w:pPr>
    </w:p>
    <w:p w:rsidR="00EE56C0" w:rsidRDefault="00EE56C0">
      <w:pPr>
        <w:ind w:firstLine="480"/>
      </w:pPr>
    </w:p>
    <w:p w:rsidR="00EE56C0" w:rsidRDefault="00EE56C0">
      <w:pPr>
        <w:ind w:firstLine="480"/>
      </w:pPr>
    </w:p>
    <w:p w:rsidR="00EE56C0" w:rsidRDefault="00EE56C0">
      <w:pPr>
        <w:ind w:firstLine="480"/>
      </w:pPr>
    </w:p>
    <w:p w:rsidR="00EE56C0" w:rsidRDefault="00EE56C0">
      <w:pPr>
        <w:ind w:firstLine="480"/>
      </w:pPr>
    </w:p>
    <w:p w:rsidR="00EE56C0" w:rsidRDefault="00EE56C0">
      <w:pPr>
        <w:ind w:firstLine="480"/>
      </w:pPr>
    </w:p>
    <w:p w:rsidR="00EE56C0" w:rsidRDefault="00340837">
      <w:pPr>
        <w:ind w:firstLine="480"/>
      </w:pPr>
      <w:r>
        <w:pict>
          <v:shape id="文本框 3765" o:spid="_x0000_s2161" type="#_x0000_t202" style="position:absolute;left:0;text-align:left;margin-left:143.6pt;margin-top:15.8pt;width:62pt;height:20.05pt;z-index:251699712" filled="f" stroked="f" strokecolor="red" strokeweight="1pt">
            <v:textbox>
              <w:txbxContent>
                <w:p w:rsidR="009C6BD9" w:rsidRDefault="009C6BD9">
                  <w:pPr>
                    <w:spacing w:line="240" w:lineRule="auto"/>
                    <w:ind w:firstLineChars="0" w:firstLine="0"/>
                    <w:rPr>
                      <w:color w:val="FFFF00"/>
                      <w:sz w:val="21"/>
                      <w:szCs w:val="21"/>
                    </w:rPr>
                  </w:pPr>
                  <w:r>
                    <w:rPr>
                      <w:rFonts w:hint="eastAsia"/>
                      <w:color w:val="FFFF00"/>
                      <w:sz w:val="21"/>
                      <w:szCs w:val="21"/>
                    </w:rPr>
                    <w:t>项目位置</w:t>
                  </w:r>
                </w:p>
              </w:txbxContent>
            </v:textbox>
          </v:shape>
        </w:pict>
      </w:r>
    </w:p>
    <w:p w:rsidR="00EE56C0" w:rsidRDefault="00EE56C0">
      <w:pPr>
        <w:pStyle w:val="aff8"/>
        <w:rPr>
          <w:rFonts w:eastAsia="黑体"/>
        </w:rPr>
      </w:pPr>
    </w:p>
    <w:p w:rsidR="00EE56C0" w:rsidRDefault="000F36A1">
      <w:pPr>
        <w:pStyle w:val="aff8"/>
      </w:pPr>
      <w:r>
        <w:rPr>
          <w:rFonts w:hint="eastAsia"/>
        </w:rPr>
        <w:t>图</w:t>
      </w:r>
      <w:r>
        <w:rPr>
          <w:rFonts w:hint="eastAsia"/>
        </w:rPr>
        <w:t xml:space="preserve">2-3 </w:t>
      </w:r>
      <w:r>
        <w:rPr>
          <w:rFonts w:hint="eastAsia"/>
        </w:rPr>
        <w:t>本项目选址与</w:t>
      </w:r>
      <w:r>
        <w:rPr>
          <w:rFonts w:ascii="宋体" w:hAnsi="宋体" w:cs="宋体" w:hint="eastAsia"/>
        </w:rPr>
        <w:t>新乡县翟坡镇水厂</w:t>
      </w:r>
      <w:r>
        <w:rPr>
          <w:rFonts w:hint="eastAsia"/>
        </w:rPr>
        <w:t>地下水井群相对位置图</w:t>
      </w:r>
    </w:p>
    <w:p w:rsidR="00EE56C0" w:rsidRDefault="000F36A1">
      <w:pPr>
        <w:ind w:firstLine="480"/>
      </w:pPr>
      <w:r>
        <w:rPr>
          <w:rFonts w:hint="eastAsia"/>
        </w:rPr>
        <w:t>由图</w:t>
      </w:r>
      <w:r>
        <w:rPr>
          <w:rFonts w:hint="eastAsia"/>
        </w:rPr>
        <w:t>2-2</w:t>
      </w:r>
      <w:r>
        <w:rPr>
          <w:rFonts w:hint="eastAsia"/>
        </w:rPr>
        <w:t>和</w:t>
      </w:r>
      <w:r>
        <w:rPr>
          <w:rFonts w:hint="eastAsia"/>
        </w:rPr>
        <w:t>2-3</w:t>
      </w:r>
      <w:r>
        <w:rPr>
          <w:rFonts w:hint="eastAsia"/>
        </w:rPr>
        <w:t>可知，本项目选址不在</w:t>
      </w:r>
      <w:r>
        <w:t>新乡市饮用水源</w:t>
      </w:r>
      <w:r>
        <w:rPr>
          <w:rFonts w:hint="eastAsia"/>
        </w:rPr>
        <w:t>保护区和新乡市乡镇</w:t>
      </w:r>
      <w:r>
        <w:rPr>
          <w:rFonts w:hint="eastAsia"/>
        </w:rPr>
        <w:lastRenderedPageBreak/>
        <w:t>饮用水源保护区范围内。</w:t>
      </w:r>
    </w:p>
    <w:p w:rsidR="00EE56C0" w:rsidRDefault="000F36A1">
      <w:pPr>
        <w:pStyle w:val="2"/>
        <w:ind w:firstLine="301"/>
      </w:pPr>
      <w:bookmarkStart w:id="150" w:name="_Toc428286810"/>
      <w:bookmarkStart w:id="151" w:name="_Toc429318396"/>
      <w:bookmarkStart w:id="152" w:name="_Toc25400900"/>
      <w:bookmarkStart w:id="153" w:name="_Toc428287204"/>
      <w:r>
        <w:rPr>
          <w:rFonts w:hint="eastAsia"/>
        </w:rPr>
        <w:t>2.11</w:t>
      </w:r>
      <w:r>
        <w:rPr>
          <w:rFonts w:hint="eastAsia"/>
        </w:rPr>
        <w:t>政策相符性分析</w:t>
      </w:r>
      <w:bookmarkStart w:id="154" w:name="_Toc417375758"/>
      <w:bookmarkEnd w:id="150"/>
      <w:bookmarkEnd w:id="151"/>
      <w:bookmarkEnd w:id="152"/>
      <w:bookmarkEnd w:id="153"/>
    </w:p>
    <w:p w:rsidR="00EE56C0" w:rsidRDefault="000F36A1">
      <w:pPr>
        <w:pStyle w:val="3"/>
        <w:spacing w:before="240" w:after="120"/>
      </w:pPr>
      <w:bookmarkStart w:id="155" w:name="_Toc428286811"/>
      <w:bookmarkStart w:id="156" w:name="_Toc428287557"/>
      <w:bookmarkStart w:id="157" w:name="_Toc428287205"/>
      <w:r>
        <w:rPr>
          <w:rFonts w:hint="eastAsia"/>
        </w:rPr>
        <w:t>2.11.1</w:t>
      </w:r>
      <w:r>
        <w:rPr>
          <w:rFonts w:hint="eastAsia"/>
        </w:rPr>
        <w:t>产业政策及备案相符性分析</w:t>
      </w:r>
      <w:bookmarkEnd w:id="155"/>
      <w:bookmarkEnd w:id="156"/>
      <w:bookmarkEnd w:id="157"/>
      <w:r>
        <w:tab/>
      </w:r>
    </w:p>
    <w:p w:rsidR="00EE56C0" w:rsidRDefault="000F36A1">
      <w:pPr>
        <w:ind w:firstLine="480"/>
      </w:pPr>
      <w:r>
        <w:rPr>
          <w:rFonts w:hint="eastAsia"/>
        </w:rPr>
        <w:t>（</w:t>
      </w:r>
      <w:r>
        <w:rPr>
          <w:rFonts w:hint="eastAsia"/>
        </w:rPr>
        <w:t>1</w:t>
      </w:r>
      <w:r>
        <w:rPr>
          <w:rFonts w:hint="eastAsia"/>
        </w:rPr>
        <w:t>）项目与备案的相符性分析</w:t>
      </w:r>
    </w:p>
    <w:p w:rsidR="00EE56C0" w:rsidRDefault="000F36A1">
      <w:pPr>
        <w:ind w:firstLine="480"/>
      </w:pPr>
      <w:r>
        <w:rPr>
          <w:rFonts w:hint="eastAsia"/>
        </w:rPr>
        <w:t>项目</w:t>
      </w:r>
      <w:r>
        <w:t>已经</w:t>
      </w:r>
      <w:r>
        <w:rPr>
          <w:rFonts w:hint="eastAsia"/>
        </w:rPr>
        <w:t>河南新乡经济技术集聚区管理委员会备案，项目代码：</w:t>
      </w:r>
      <w:r>
        <w:rPr>
          <w:rFonts w:hint="eastAsia"/>
        </w:rPr>
        <w:t>2020-410721-38-03-078138</w:t>
      </w:r>
      <w:r>
        <w:t>，符合国家产业政策。</w:t>
      </w:r>
      <w:r>
        <w:rPr>
          <w:rFonts w:hint="eastAsia"/>
        </w:rPr>
        <w:t>详见表</w:t>
      </w:r>
      <w:r>
        <w:rPr>
          <w:rFonts w:hint="eastAsia"/>
        </w:rPr>
        <w:t>2-16</w:t>
      </w:r>
      <w:r>
        <w:rPr>
          <w:rFonts w:hint="eastAsia"/>
        </w:rPr>
        <w:t>。</w:t>
      </w:r>
    </w:p>
    <w:p w:rsidR="00EE56C0" w:rsidRDefault="000F36A1">
      <w:pPr>
        <w:pStyle w:val="afd"/>
        <w:spacing w:before="120" w:after="120"/>
        <w:ind w:firstLine="482"/>
      </w:pPr>
      <w:r>
        <w:rPr>
          <w:rFonts w:hint="eastAsia"/>
        </w:rPr>
        <w:t>表</w:t>
      </w:r>
      <w:r>
        <w:rPr>
          <w:rFonts w:hint="eastAsia"/>
        </w:rPr>
        <w:t xml:space="preserve">2-16            </w:t>
      </w:r>
      <w:r>
        <w:rPr>
          <w:rFonts w:hint="eastAsia"/>
        </w:rPr>
        <w:t>本项目与备案相符性分析表</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1102"/>
        <w:gridCol w:w="3259"/>
        <w:gridCol w:w="3118"/>
        <w:gridCol w:w="1049"/>
      </w:tblGrid>
      <w:tr w:rsidR="00EE56C0">
        <w:trPr>
          <w:trHeight w:val="425"/>
          <w:jc w:val="center"/>
        </w:trPr>
        <w:tc>
          <w:tcPr>
            <w:tcW w:w="646" w:type="pct"/>
            <w:vAlign w:val="center"/>
          </w:tcPr>
          <w:p w:rsidR="00EE56C0" w:rsidRDefault="000F36A1">
            <w:pPr>
              <w:pStyle w:val="aff1"/>
              <w:rPr>
                <w:color w:val="auto"/>
              </w:rPr>
            </w:pPr>
            <w:r>
              <w:rPr>
                <w:rFonts w:hint="eastAsia"/>
                <w:color w:val="auto"/>
              </w:rPr>
              <w:t>名称</w:t>
            </w:r>
          </w:p>
        </w:tc>
        <w:tc>
          <w:tcPr>
            <w:tcW w:w="1911" w:type="pct"/>
            <w:vAlign w:val="center"/>
          </w:tcPr>
          <w:p w:rsidR="00EE56C0" w:rsidRDefault="000F36A1">
            <w:pPr>
              <w:pStyle w:val="aff1"/>
              <w:rPr>
                <w:color w:val="auto"/>
              </w:rPr>
            </w:pPr>
            <w:r>
              <w:rPr>
                <w:rFonts w:hint="eastAsia"/>
                <w:color w:val="auto"/>
              </w:rPr>
              <w:t>项目备案</w:t>
            </w:r>
          </w:p>
        </w:tc>
        <w:tc>
          <w:tcPr>
            <w:tcW w:w="1828" w:type="pct"/>
            <w:vAlign w:val="center"/>
          </w:tcPr>
          <w:p w:rsidR="00EE56C0" w:rsidRDefault="000F36A1">
            <w:pPr>
              <w:pStyle w:val="aff1"/>
              <w:rPr>
                <w:color w:val="auto"/>
              </w:rPr>
            </w:pPr>
            <w:r>
              <w:rPr>
                <w:rFonts w:hint="eastAsia"/>
                <w:color w:val="auto"/>
              </w:rPr>
              <w:t>项目基本情况</w:t>
            </w:r>
          </w:p>
        </w:tc>
        <w:tc>
          <w:tcPr>
            <w:tcW w:w="615" w:type="pct"/>
            <w:vAlign w:val="center"/>
          </w:tcPr>
          <w:p w:rsidR="00EE56C0" w:rsidRDefault="000F36A1">
            <w:pPr>
              <w:pStyle w:val="aff1"/>
              <w:rPr>
                <w:color w:val="auto"/>
              </w:rPr>
            </w:pPr>
            <w:r>
              <w:rPr>
                <w:color w:val="auto"/>
              </w:rPr>
              <w:t>相符性分析</w:t>
            </w:r>
          </w:p>
        </w:tc>
      </w:tr>
      <w:tr w:rsidR="00EE56C0">
        <w:trPr>
          <w:trHeight w:val="425"/>
          <w:jc w:val="center"/>
        </w:trPr>
        <w:tc>
          <w:tcPr>
            <w:tcW w:w="646" w:type="pct"/>
            <w:vAlign w:val="center"/>
          </w:tcPr>
          <w:p w:rsidR="00EE56C0" w:rsidRDefault="000F36A1">
            <w:pPr>
              <w:pStyle w:val="afa"/>
            </w:pPr>
            <w:r>
              <w:rPr>
                <w:rFonts w:hint="eastAsia"/>
              </w:rPr>
              <w:t>项目</w:t>
            </w:r>
          </w:p>
        </w:tc>
        <w:tc>
          <w:tcPr>
            <w:tcW w:w="1911" w:type="pct"/>
            <w:vAlign w:val="center"/>
          </w:tcPr>
          <w:p w:rsidR="00EE56C0" w:rsidRDefault="000F36A1">
            <w:pPr>
              <w:pStyle w:val="afa"/>
            </w:pPr>
            <w:r>
              <w:t>河南华洋电工科技集团有限公司</w:t>
            </w:r>
            <w:r>
              <w:rPr>
                <w:rFonts w:hint="eastAsia"/>
              </w:rPr>
              <w:t>高可靠性抗高压耐热绕组线项目</w:t>
            </w:r>
          </w:p>
        </w:tc>
        <w:tc>
          <w:tcPr>
            <w:tcW w:w="1828" w:type="pct"/>
            <w:vAlign w:val="center"/>
          </w:tcPr>
          <w:p w:rsidR="00EE56C0" w:rsidRDefault="000F36A1">
            <w:pPr>
              <w:pStyle w:val="afa"/>
            </w:pPr>
            <w:r>
              <w:t>河南华洋电工科技集团有限公司</w:t>
            </w:r>
            <w:r>
              <w:rPr>
                <w:rFonts w:hint="eastAsia"/>
              </w:rPr>
              <w:t>高可靠性抗高压耐热绕组线项目</w:t>
            </w:r>
          </w:p>
        </w:tc>
        <w:tc>
          <w:tcPr>
            <w:tcW w:w="615" w:type="pct"/>
            <w:vAlign w:val="center"/>
          </w:tcPr>
          <w:p w:rsidR="00EE56C0" w:rsidRDefault="000F36A1">
            <w:pPr>
              <w:pStyle w:val="afa"/>
            </w:pPr>
            <w:r>
              <w:rPr>
                <w:rFonts w:hint="eastAsia"/>
              </w:rPr>
              <w:t>相符</w:t>
            </w:r>
          </w:p>
        </w:tc>
      </w:tr>
      <w:tr w:rsidR="00EE56C0">
        <w:trPr>
          <w:trHeight w:val="425"/>
          <w:jc w:val="center"/>
        </w:trPr>
        <w:tc>
          <w:tcPr>
            <w:tcW w:w="646" w:type="pct"/>
            <w:vAlign w:val="center"/>
          </w:tcPr>
          <w:p w:rsidR="00EE56C0" w:rsidRDefault="000F36A1">
            <w:pPr>
              <w:pStyle w:val="afa"/>
            </w:pPr>
            <w:r>
              <w:rPr>
                <w:rFonts w:hint="eastAsia"/>
              </w:rPr>
              <w:t>设备</w:t>
            </w:r>
          </w:p>
        </w:tc>
        <w:tc>
          <w:tcPr>
            <w:tcW w:w="1911" w:type="pct"/>
            <w:vAlign w:val="center"/>
          </w:tcPr>
          <w:p w:rsidR="00EE56C0" w:rsidRDefault="000F36A1">
            <w:pPr>
              <w:pStyle w:val="afa"/>
            </w:pPr>
            <w:r>
              <w:rPr>
                <w:rFonts w:hint="eastAsia"/>
              </w:rPr>
              <w:t>漆包机及配套设备等</w:t>
            </w:r>
          </w:p>
        </w:tc>
        <w:tc>
          <w:tcPr>
            <w:tcW w:w="1828" w:type="pct"/>
            <w:vAlign w:val="center"/>
          </w:tcPr>
          <w:p w:rsidR="00EE56C0" w:rsidRDefault="000F36A1">
            <w:pPr>
              <w:pStyle w:val="afa"/>
            </w:pPr>
            <w:r>
              <w:rPr>
                <w:rFonts w:hint="eastAsia"/>
              </w:rPr>
              <w:t>漆包机及配套设备等</w:t>
            </w:r>
          </w:p>
        </w:tc>
        <w:tc>
          <w:tcPr>
            <w:tcW w:w="615" w:type="pct"/>
            <w:vAlign w:val="center"/>
          </w:tcPr>
          <w:p w:rsidR="00EE56C0" w:rsidRDefault="000F36A1">
            <w:pPr>
              <w:pStyle w:val="afa"/>
            </w:pPr>
            <w:r>
              <w:rPr>
                <w:rFonts w:hint="eastAsia"/>
              </w:rPr>
              <w:t>相符</w:t>
            </w:r>
          </w:p>
        </w:tc>
      </w:tr>
      <w:tr w:rsidR="00EE56C0">
        <w:trPr>
          <w:trHeight w:val="425"/>
          <w:jc w:val="center"/>
        </w:trPr>
        <w:tc>
          <w:tcPr>
            <w:tcW w:w="646" w:type="pct"/>
            <w:vAlign w:val="center"/>
          </w:tcPr>
          <w:p w:rsidR="00EE56C0" w:rsidRDefault="000F36A1">
            <w:pPr>
              <w:pStyle w:val="afa"/>
            </w:pPr>
            <w:r>
              <w:rPr>
                <w:rFonts w:hint="eastAsia"/>
              </w:rPr>
              <w:t>投资</w:t>
            </w:r>
          </w:p>
        </w:tc>
        <w:tc>
          <w:tcPr>
            <w:tcW w:w="1911" w:type="pct"/>
            <w:vAlign w:val="center"/>
          </w:tcPr>
          <w:p w:rsidR="00EE56C0" w:rsidRDefault="000F36A1">
            <w:pPr>
              <w:pStyle w:val="afa"/>
            </w:pPr>
            <w:r>
              <w:rPr>
                <w:rFonts w:hint="eastAsia"/>
              </w:rPr>
              <w:t>13750</w:t>
            </w:r>
            <w:r>
              <w:rPr>
                <w:rFonts w:hint="eastAsia"/>
              </w:rPr>
              <w:t>万元</w:t>
            </w:r>
          </w:p>
        </w:tc>
        <w:tc>
          <w:tcPr>
            <w:tcW w:w="1828" w:type="pct"/>
            <w:vAlign w:val="center"/>
          </w:tcPr>
          <w:p w:rsidR="00EE56C0" w:rsidRDefault="000F36A1">
            <w:pPr>
              <w:pStyle w:val="afa"/>
            </w:pPr>
            <w:r>
              <w:rPr>
                <w:rFonts w:hint="eastAsia"/>
              </w:rPr>
              <w:t>13750</w:t>
            </w:r>
            <w:r>
              <w:rPr>
                <w:rFonts w:hint="eastAsia"/>
              </w:rPr>
              <w:t>万元</w:t>
            </w:r>
          </w:p>
        </w:tc>
        <w:tc>
          <w:tcPr>
            <w:tcW w:w="615" w:type="pct"/>
            <w:vAlign w:val="center"/>
          </w:tcPr>
          <w:p w:rsidR="00EE56C0" w:rsidRDefault="000F36A1">
            <w:pPr>
              <w:pStyle w:val="afa"/>
            </w:pPr>
            <w:r>
              <w:rPr>
                <w:rFonts w:hint="eastAsia"/>
              </w:rPr>
              <w:t>相符</w:t>
            </w:r>
          </w:p>
        </w:tc>
      </w:tr>
      <w:tr w:rsidR="00EE56C0">
        <w:trPr>
          <w:trHeight w:val="425"/>
          <w:jc w:val="center"/>
        </w:trPr>
        <w:tc>
          <w:tcPr>
            <w:tcW w:w="646" w:type="pct"/>
            <w:vAlign w:val="center"/>
          </w:tcPr>
          <w:p w:rsidR="00EE56C0" w:rsidRDefault="000F36A1">
            <w:pPr>
              <w:pStyle w:val="afa"/>
            </w:pPr>
            <w:r>
              <w:rPr>
                <w:rFonts w:hint="eastAsia"/>
              </w:rPr>
              <w:t>生产规模</w:t>
            </w:r>
          </w:p>
        </w:tc>
        <w:tc>
          <w:tcPr>
            <w:tcW w:w="1911" w:type="pct"/>
            <w:vAlign w:val="center"/>
          </w:tcPr>
          <w:p w:rsidR="00EE56C0" w:rsidRDefault="000F36A1">
            <w:pPr>
              <w:pStyle w:val="afa"/>
            </w:pPr>
            <w:r>
              <w:rPr>
                <w:rFonts w:hint="eastAsia"/>
              </w:rPr>
              <w:t>项目分一期、二期建设，新增</w:t>
            </w:r>
            <w:r>
              <w:rPr>
                <w:rFonts w:hint="eastAsia"/>
              </w:rPr>
              <w:t>40000</w:t>
            </w:r>
            <w:r>
              <w:rPr>
                <w:rFonts w:hint="eastAsia"/>
              </w:rPr>
              <w:t>吨，建成后全厂达到</w:t>
            </w:r>
            <w:r>
              <w:rPr>
                <w:rFonts w:hint="eastAsia"/>
              </w:rPr>
              <w:t>10</w:t>
            </w:r>
            <w:r>
              <w:rPr>
                <w:rFonts w:hint="eastAsia"/>
              </w:rPr>
              <w:t>万吨规模</w:t>
            </w:r>
          </w:p>
        </w:tc>
        <w:tc>
          <w:tcPr>
            <w:tcW w:w="1828" w:type="pct"/>
            <w:vAlign w:val="center"/>
          </w:tcPr>
          <w:p w:rsidR="00EE56C0" w:rsidRDefault="000F36A1">
            <w:pPr>
              <w:pStyle w:val="afa"/>
            </w:pPr>
            <w:r>
              <w:rPr>
                <w:rFonts w:hint="eastAsia"/>
              </w:rPr>
              <w:t>项目分一期、二期建设，新增</w:t>
            </w:r>
            <w:r>
              <w:rPr>
                <w:rFonts w:hint="eastAsia"/>
              </w:rPr>
              <w:t>40000</w:t>
            </w:r>
            <w:r>
              <w:rPr>
                <w:rFonts w:hint="eastAsia"/>
              </w:rPr>
              <w:t>吨，建成后全厂达到</w:t>
            </w:r>
            <w:r>
              <w:rPr>
                <w:rFonts w:hint="eastAsia"/>
              </w:rPr>
              <w:t>10</w:t>
            </w:r>
            <w:r>
              <w:rPr>
                <w:rFonts w:hint="eastAsia"/>
              </w:rPr>
              <w:t>万吨规模</w:t>
            </w:r>
          </w:p>
        </w:tc>
        <w:tc>
          <w:tcPr>
            <w:tcW w:w="615" w:type="pct"/>
            <w:vAlign w:val="center"/>
          </w:tcPr>
          <w:p w:rsidR="00EE56C0" w:rsidRDefault="000F36A1">
            <w:pPr>
              <w:pStyle w:val="afa"/>
            </w:pPr>
            <w:r>
              <w:rPr>
                <w:rFonts w:hint="eastAsia"/>
              </w:rPr>
              <w:t>相符</w:t>
            </w:r>
          </w:p>
        </w:tc>
      </w:tr>
    </w:tbl>
    <w:p w:rsidR="00EE56C0" w:rsidRDefault="000F36A1">
      <w:pPr>
        <w:ind w:firstLine="480"/>
      </w:pPr>
      <w:r>
        <w:rPr>
          <w:rFonts w:hint="eastAsia"/>
        </w:rPr>
        <w:t>由上表可知，本项目建设与备案情况一致。</w:t>
      </w:r>
    </w:p>
    <w:p w:rsidR="00EE56C0" w:rsidRDefault="000F36A1">
      <w:pPr>
        <w:ind w:firstLine="480"/>
      </w:pPr>
      <w:r>
        <w:rPr>
          <w:rFonts w:hint="eastAsia"/>
        </w:rPr>
        <w:t>（</w:t>
      </w:r>
      <w:r>
        <w:rPr>
          <w:rFonts w:hint="eastAsia"/>
        </w:rPr>
        <w:t>2</w:t>
      </w:r>
      <w:r>
        <w:rPr>
          <w:rFonts w:hint="eastAsia"/>
        </w:rPr>
        <w:t>）项目与产业政策的相符性分析</w:t>
      </w:r>
    </w:p>
    <w:p w:rsidR="00EE56C0" w:rsidRDefault="000F36A1">
      <w:pPr>
        <w:ind w:firstLine="480"/>
      </w:pPr>
      <w:r>
        <w:rPr>
          <w:rFonts w:hint="eastAsia"/>
        </w:rPr>
        <w:t>根据《产业结构调整指导目录》（</w:t>
      </w:r>
      <w:r>
        <w:t>201</w:t>
      </w:r>
      <w:r>
        <w:rPr>
          <w:rFonts w:hint="eastAsia"/>
        </w:rPr>
        <w:t>9</w:t>
      </w:r>
      <w:r>
        <w:t>年</w:t>
      </w:r>
      <w:r>
        <w:rPr>
          <w:rFonts w:hint="eastAsia"/>
        </w:rPr>
        <w:t>本），</w:t>
      </w:r>
      <w:r>
        <w:t>该项目生产设备、原料、成品均不在</w:t>
      </w:r>
      <w:r>
        <w:t>“</w:t>
      </w:r>
      <w:r>
        <w:t>限制类</w:t>
      </w:r>
      <w:r>
        <w:t>”</w:t>
      </w:r>
      <w:r>
        <w:t>和</w:t>
      </w:r>
      <w:r>
        <w:t>“</w:t>
      </w:r>
      <w:r>
        <w:t>淘汰类</w:t>
      </w:r>
      <w:r>
        <w:t>”</w:t>
      </w:r>
      <w:r>
        <w:t>之列，属于</w:t>
      </w:r>
      <w:r>
        <w:t>“</w:t>
      </w:r>
      <w:r>
        <w:t>允许类</w:t>
      </w:r>
      <w:r>
        <w:t>”</w:t>
      </w:r>
      <w:r>
        <w:t>，项目符合国家产业政策。项目已由</w:t>
      </w:r>
      <w:r>
        <w:rPr>
          <w:rFonts w:hint="eastAsia"/>
        </w:rPr>
        <w:t>河南新乡经济技术集聚区管理委员会备案，项目代码：</w:t>
      </w:r>
      <w:r>
        <w:rPr>
          <w:rFonts w:hint="eastAsia"/>
        </w:rPr>
        <w:t>2020-410721-38-03-078138</w:t>
      </w:r>
      <w:r>
        <w:t>（详见附件），项目建设符合国家相关产业政策。</w:t>
      </w:r>
    </w:p>
    <w:p w:rsidR="00EE56C0" w:rsidRDefault="000F36A1">
      <w:pPr>
        <w:pStyle w:val="3"/>
        <w:spacing w:before="240" w:after="120"/>
      </w:pPr>
      <w:r>
        <w:rPr>
          <w:rFonts w:hint="eastAsia"/>
        </w:rPr>
        <w:t>2.11.2</w:t>
      </w:r>
      <w:r>
        <w:rPr>
          <w:rFonts w:hint="eastAsia"/>
        </w:rPr>
        <w:t>与《挥发性有机物无组织排放控制标准》（</w:t>
      </w:r>
      <w:r>
        <w:t>GB37822-2019</w:t>
      </w:r>
      <w:r>
        <w:rPr>
          <w:rFonts w:hint="eastAsia"/>
        </w:rPr>
        <w:t>）的相符性分析</w:t>
      </w:r>
    </w:p>
    <w:p w:rsidR="00EE56C0" w:rsidRDefault="000F36A1">
      <w:pPr>
        <w:pStyle w:val="afd"/>
        <w:spacing w:before="120" w:after="120"/>
        <w:ind w:firstLine="482"/>
        <w:rPr>
          <w:lang w:val="pt-BR"/>
        </w:rPr>
      </w:pPr>
      <w:r>
        <w:rPr>
          <w:rFonts w:hint="eastAsia"/>
          <w:lang w:val="pt-BR"/>
        </w:rPr>
        <w:t>表</w:t>
      </w:r>
      <w:r>
        <w:rPr>
          <w:rFonts w:hint="eastAsia"/>
          <w:lang w:val="pt-BR"/>
        </w:rPr>
        <w:t xml:space="preserve">2-17          </w:t>
      </w:r>
      <w:r>
        <w:rPr>
          <w:rFonts w:hint="eastAsia"/>
          <w:lang w:val="pt-BR"/>
        </w:rPr>
        <w:t>本项目与</w:t>
      </w:r>
      <w:r>
        <w:rPr>
          <w:rFonts w:hint="eastAsia"/>
        </w:rPr>
        <w:t>《</w:t>
      </w:r>
      <w:r>
        <w:t>GB37822-2019</w:t>
      </w:r>
      <w:r>
        <w:rPr>
          <w:rFonts w:hint="eastAsia"/>
        </w:rPr>
        <w:t>》</w:t>
      </w:r>
      <w:r>
        <w:rPr>
          <w:rFonts w:hint="eastAsia"/>
          <w:lang w:val="pt-BR"/>
        </w:rPr>
        <w:t>对比分析一览表</w:t>
      </w:r>
    </w:p>
    <w:tbl>
      <w:tblPr>
        <w:tblW w:w="5000" w:type="pct"/>
        <w:tblBorders>
          <w:top w:val="single" w:sz="8" w:space="0" w:color="auto"/>
          <w:bottom w:val="single" w:sz="8" w:space="0" w:color="auto"/>
          <w:insideH w:val="single" w:sz="4" w:space="0" w:color="auto"/>
          <w:insideV w:val="single" w:sz="4" w:space="0" w:color="auto"/>
        </w:tblBorders>
        <w:tblLook w:val="04A0"/>
      </w:tblPr>
      <w:tblGrid>
        <w:gridCol w:w="999"/>
        <w:gridCol w:w="3992"/>
        <w:gridCol w:w="2663"/>
        <w:gridCol w:w="874"/>
      </w:tblGrid>
      <w:tr w:rsidR="00EE56C0">
        <w:trPr>
          <w:trHeight w:val="397"/>
        </w:trPr>
        <w:tc>
          <w:tcPr>
            <w:tcW w:w="5410" w:type="dxa"/>
            <w:gridSpan w:val="2"/>
            <w:tcBorders>
              <w:top w:val="single" w:sz="8" w:space="0" w:color="auto"/>
              <w:left w:val="single" w:sz="4" w:space="0" w:color="auto"/>
              <w:bottom w:val="single" w:sz="4" w:space="0" w:color="auto"/>
              <w:right w:val="single" w:sz="4" w:space="0" w:color="auto"/>
            </w:tcBorders>
            <w:vAlign w:val="center"/>
          </w:tcPr>
          <w:p w:rsidR="00EE56C0" w:rsidRDefault="000F36A1">
            <w:pPr>
              <w:pStyle w:val="aff1"/>
              <w:rPr>
                <w:rFonts w:cs="Times New Roman"/>
                <w:color w:val="auto"/>
              </w:rPr>
            </w:pPr>
            <w:r>
              <w:rPr>
                <w:rFonts w:cs="Times New Roman"/>
                <w:color w:val="auto"/>
              </w:rPr>
              <w:t>与本项目有关的内容</w:t>
            </w:r>
          </w:p>
        </w:tc>
        <w:tc>
          <w:tcPr>
            <w:tcW w:w="2757" w:type="dxa"/>
            <w:tcBorders>
              <w:top w:val="single" w:sz="8" w:space="0" w:color="auto"/>
              <w:left w:val="single" w:sz="4" w:space="0" w:color="auto"/>
              <w:bottom w:val="single" w:sz="4" w:space="0" w:color="auto"/>
              <w:right w:val="single" w:sz="4" w:space="0" w:color="auto"/>
            </w:tcBorders>
            <w:vAlign w:val="center"/>
          </w:tcPr>
          <w:p w:rsidR="00EE56C0" w:rsidRDefault="000F36A1">
            <w:pPr>
              <w:pStyle w:val="aff1"/>
              <w:rPr>
                <w:rFonts w:cs="Times New Roman"/>
                <w:color w:val="auto"/>
              </w:rPr>
            </w:pPr>
            <w:r>
              <w:rPr>
                <w:rFonts w:cs="Times New Roman"/>
                <w:color w:val="auto"/>
              </w:rPr>
              <w:t>本项目情况</w:t>
            </w:r>
          </w:p>
        </w:tc>
        <w:tc>
          <w:tcPr>
            <w:tcW w:w="950" w:type="dxa"/>
            <w:tcBorders>
              <w:top w:val="single" w:sz="8" w:space="0" w:color="auto"/>
              <w:left w:val="single" w:sz="4" w:space="0" w:color="auto"/>
              <w:bottom w:val="single" w:sz="4" w:space="0" w:color="auto"/>
              <w:right w:val="single" w:sz="4" w:space="0" w:color="auto"/>
            </w:tcBorders>
            <w:vAlign w:val="center"/>
          </w:tcPr>
          <w:p w:rsidR="00EE56C0" w:rsidRDefault="000F36A1">
            <w:pPr>
              <w:pStyle w:val="aff1"/>
              <w:rPr>
                <w:rFonts w:cs="Times New Roman"/>
                <w:color w:val="auto"/>
              </w:rPr>
            </w:pPr>
            <w:r>
              <w:rPr>
                <w:rFonts w:cs="Times New Roman"/>
                <w:color w:val="auto"/>
              </w:rPr>
              <w:t>是否符合要求</w:t>
            </w:r>
          </w:p>
        </w:tc>
      </w:tr>
      <w:tr w:rsidR="00EE56C0">
        <w:trPr>
          <w:trHeight w:val="397"/>
        </w:trPr>
        <w:tc>
          <w:tcPr>
            <w:tcW w:w="1016" w:type="dxa"/>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t>5.VOCs</w:t>
            </w:r>
            <w:r>
              <w:t>物料储存无组织排放控制要</w:t>
            </w:r>
            <w:r>
              <w:lastRenderedPageBreak/>
              <w:t>求</w:t>
            </w:r>
          </w:p>
        </w:tc>
        <w:tc>
          <w:tcPr>
            <w:tcW w:w="4394" w:type="dxa"/>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lastRenderedPageBreak/>
              <w:t>5.1.1 VOCs</w:t>
            </w:r>
            <w:r>
              <w:t>物料应储存于密闭的容器、包装袋、储罐、储库、料仓中。</w:t>
            </w:r>
          </w:p>
        </w:tc>
        <w:tc>
          <w:tcPr>
            <w:tcW w:w="2757" w:type="dxa"/>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rPr>
                <w:bCs/>
              </w:rPr>
              <w:t>本项目原料主要为铜杆、漆料，</w:t>
            </w:r>
            <w:r>
              <w:t>漆料均为密闭包装桶</w:t>
            </w:r>
            <w:r>
              <w:rPr>
                <w:bCs/>
              </w:rPr>
              <w:t>。</w:t>
            </w:r>
          </w:p>
        </w:tc>
        <w:tc>
          <w:tcPr>
            <w:tcW w:w="950" w:type="dxa"/>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t>符合</w:t>
            </w:r>
          </w:p>
        </w:tc>
      </w:tr>
      <w:tr w:rsidR="00EE56C0">
        <w:trPr>
          <w:trHeight w:val="397"/>
        </w:trPr>
        <w:tc>
          <w:tcPr>
            <w:tcW w:w="1016" w:type="dxa"/>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lastRenderedPageBreak/>
              <w:t xml:space="preserve">6.VOCs </w:t>
            </w:r>
            <w:r>
              <w:t>物料转移和输送无组织排放控制要求</w:t>
            </w:r>
          </w:p>
        </w:tc>
        <w:tc>
          <w:tcPr>
            <w:tcW w:w="4394" w:type="dxa"/>
            <w:tcBorders>
              <w:top w:val="single" w:sz="4" w:space="0" w:color="auto"/>
              <w:left w:val="single" w:sz="4" w:space="0" w:color="auto"/>
              <w:bottom w:val="single" w:sz="4" w:space="0" w:color="auto"/>
              <w:right w:val="single" w:sz="4" w:space="0" w:color="auto"/>
            </w:tcBorders>
            <w:vAlign w:val="center"/>
          </w:tcPr>
          <w:p w:rsidR="00EE56C0" w:rsidRDefault="000F36A1">
            <w:pPr>
              <w:pStyle w:val="afa"/>
              <w:jc w:val="both"/>
            </w:pPr>
            <w:r>
              <w:t>1.</w:t>
            </w:r>
            <w:r>
              <w:t>液态</w:t>
            </w:r>
            <w:r>
              <w:t>VOCs</w:t>
            </w:r>
            <w:r>
              <w:t>物料应采用密闭管道输送。采用非管道输送方式转移液态</w:t>
            </w:r>
            <w:r>
              <w:t>VOCs</w:t>
            </w:r>
            <w:r>
              <w:t>物料时，应采用密闭容器、罐车。</w:t>
            </w:r>
          </w:p>
          <w:p w:rsidR="00EE56C0" w:rsidRDefault="000F36A1">
            <w:pPr>
              <w:pStyle w:val="afa"/>
              <w:jc w:val="both"/>
            </w:pPr>
            <w:r>
              <w:t>2.</w:t>
            </w:r>
            <w:r>
              <w:t>粉状、粒状</w:t>
            </w:r>
            <w:r>
              <w:t>VOCs</w:t>
            </w:r>
            <w:r>
              <w:t>物料应采用气力输送设备、管状带式输送机、螺旋输送机等密闭输送方式，或者采用密闭的包装袋、容器或罐车进行物料转移。</w:t>
            </w:r>
          </w:p>
        </w:tc>
        <w:tc>
          <w:tcPr>
            <w:tcW w:w="2757" w:type="dxa"/>
            <w:tcBorders>
              <w:top w:val="single" w:sz="4" w:space="0" w:color="auto"/>
              <w:left w:val="single" w:sz="4" w:space="0" w:color="auto"/>
              <w:bottom w:val="single" w:sz="4" w:space="0" w:color="auto"/>
              <w:right w:val="single" w:sz="4" w:space="0" w:color="auto"/>
            </w:tcBorders>
            <w:vAlign w:val="center"/>
          </w:tcPr>
          <w:p w:rsidR="00EE56C0" w:rsidRDefault="000F36A1">
            <w:pPr>
              <w:pStyle w:val="afa"/>
              <w:jc w:val="both"/>
            </w:pPr>
            <w:r>
              <w:t>项目漆包线漆料采用密闭管道输送，丝包专用漆输送时采用密闭容器转移</w:t>
            </w:r>
            <w:r>
              <w:rPr>
                <w:bCs/>
              </w:rPr>
              <w:t>，且不使用</w:t>
            </w:r>
            <w:r>
              <w:t>粉状、粒状</w:t>
            </w:r>
            <w:r>
              <w:t>VOCs</w:t>
            </w:r>
            <w:r>
              <w:t>物料。</w:t>
            </w:r>
          </w:p>
        </w:tc>
        <w:tc>
          <w:tcPr>
            <w:tcW w:w="950" w:type="dxa"/>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t>符合</w:t>
            </w:r>
          </w:p>
        </w:tc>
      </w:tr>
      <w:tr w:rsidR="00EE56C0">
        <w:trPr>
          <w:trHeight w:val="397"/>
        </w:trPr>
        <w:tc>
          <w:tcPr>
            <w:tcW w:w="1016" w:type="dxa"/>
            <w:vMerge w:val="restart"/>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t>7</w:t>
            </w:r>
            <w:r>
              <w:t>、工艺工程</w:t>
            </w:r>
            <w:r>
              <w:t>VOC</w:t>
            </w:r>
            <w:r>
              <w:rPr>
                <w:vertAlign w:val="subscript"/>
              </w:rPr>
              <w:t>S</w:t>
            </w:r>
            <w:r>
              <w:t>无组织排放控制要求</w:t>
            </w:r>
          </w:p>
        </w:tc>
        <w:tc>
          <w:tcPr>
            <w:tcW w:w="4394" w:type="dxa"/>
            <w:tcBorders>
              <w:top w:val="single" w:sz="4" w:space="0" w:color="auto"/>
              <w:left w:val="single" w:sz="4" w:space="0" w:color="auto"/>
              <w:bottom w:val="single" w:sz="4" w:space="0" w:color="auto"/>
              <w:right w:val="single" w:sz="4" w:space="0" w:color="auto"/>
            </w:tcBorders>
            <w:vAlign w:val="center"/>
          </w:tcPr>
          <w:p w:rsidR="00EE56C0" w:rsidRDefault="000F36A1">
            <w:pPr>
              <w:pStyle w:val="afa"/>
              <w:jc w:val="both"/>
            </w:pPr>
            <w:r>
              <w:t>7.1.5</w:t>
            </w:r>
            <w:r>
              <w:t>配料加工和含</w:t>
            </w:r>
            <w:r>
              <w:t>VOCs</w:t>
            </w:r>
            <w:r>
              <w:t>产品的包装</w:t>
            </w:r>
            <w:r>
              <w:t>VOCs</w:t>
            </w:r>
            <w:r>
              <w:t>物料混合、搅拌、研磨、造粒、切片、压块等配料加工过程，以及含</w:t>
            </w:r>
            <w:r>
              <w:t>VOCs</w:t>
            </w:r>
            <w:r>
              <w:t>产品的包装</w:t>
            </w:r>
            <w:r>
              <w:t>(</w:t>
            </w:r>
            <w:r>
              <w:t>灌袋分装</w:t>
            </w:r>
            <w:r>
              <w:t>)</w:t>
            </w:r>
            <w:r>
              <w:t>过程应采用密闭设备或在密闭空间内操作，废气应排至</w:t>
            </w:r>
            <w:r>
              <w:t>VOCs</w:t>
            </w:r>
            <w:r>
              <w:t>废气收集处理系统</w:t>
            </w:r>
            <w:r>
              <w:t>:</w:t>
            </w:r>
            <w:r>
              <w:t>无法密闭时，应采取局部气体收集措施，废气应排至</w:t>
            </w:r>
            <w:r>
              <w:t>VOCs</w:t>
            </w:r>
            <w:r>
              <w:t>废气收集处理系统。</w:t>
            </w:r>
          </w:p>
        </w:tc>
        <w:tc>
          <w:tcPr>
            <w:tcW w:w="2757" w:type="dxa"/>
            <w:tcBorders>
              <w:top w:val="single" w:sz="4" w:space="0" w:color="auto"/>
              <w:left w:val="single" w:sz="4" w:space="0" w:color="auto"/>
              <w:bottom w:val="single" w:sz="4" w:space="0" w:color="auto"/>
              <w:right w:val="single" w:sz="4" w:space="0" w:color="auto"/>
            </w:tcBorders>
            <w:vAlign w:val="center"/>
          </w:tcPr>
          <w:p w:rsidR="00EE56C0" w:rsidRDefault="000F36A1">
            <w:pPr>
              <w:pStyle w:val="afa"/>
              <w:jc w:val="both"/>
            </w:pPr>
            <w:r>
              <w:t>本项目产生</w:t>
            </w:r>
            <w:r>
              <w:t>VOCs</w:t>
            </w:r>
            <w:r>
              <w:t>的工序为浸漆、烘干工段，有机废气收集后引入采用活性炭吸附</w:t>
            </w:r>
            <w:r>
              <w:t>-</w:t>
            </w:r>
            <w:r>
              <w:t>脱附</w:t>
            </w:r>
            <w:r>
              <w:t>-</w:t>
            </w:r>
            <w:r>
              <w:t>催化燃烧装置</w:t>
            </w:r>
            <w:r>
              <w:rPr>
                <w:rFonts w:hint="eastAsia"/>
              </w:rPr>
              <w:t>和沸石</w:t>
            </w:r>
            <w:r>
              <w:t>吸附</w:t>
            </w:r>
            <w:r>
              <w:t>-</w:t>
            </w:r>
            <w:r>
              <w:t>脱附</w:t>
            </w:r>
            <w:r>
              <w:t>-</w:t>
            </w:r>
            <w:r>
              <w:t>催化燃烧装置处理，经排气筒有组织排放。</w:t>
            </w:r>
          </w:p>
        </w:tc>
        <w:tc>
          <w:tcPr>
            <w:tcW w:w="950" w:type="dxa"/>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t>符合</w:t>
            </w:r>
          </w:p>
        </w:tc>
      </w:tr>
      <w:tr w:rsidR="00EE56C0">
        <w:trPr>
          <w:trHeight w:val="1550"/>
        </w:trPr>
        <w:tc>
          <w:tcPr>
            <w:tcW w:w="1016" w:type="dxa"/>
            <w:vMerge/>
            <w:tcBorders>
              <w:top w:val="single" w:sz="4" w:space="0" w:color="auto"/>
              <w:left w:val="single" w:sz="4" w:space="0" w:color="auto"/>
              <w:bottom w:val="single" w:sz="4" w:space="0" w:color="auto"/>
              <w:right w:val="single" w:sz="4" w:space="0" w:color="auto"/>
            </w:tcBorders>
            <w:vAlign w:val="center"/>
          </w:tcPr>
          <w:p w:rsidR="00EE56C0" w:rsidRDefault="00EE56C0">
            <w:pPr>
              <w:pStyle w:val="afa"/>
            </w:pPr>
          </w:p>
        </w:tc>
        <w:tc>
          <w:tcPr>
            <w:tcW w:w="4394" w:type="dxa"/>
            <w:tcBorders>
              <w:top w:val="single" w:sz="4" w:space="0" w:color="auto"/>
              <w:left w:val="single" w:sz="4" w:space="0" w:color="auto"/>
              <w:right w:val="single" w:sz="4" w:space="0" w:color="auto"/>
            </w:tcBorders>
            <w:vAlign w:val="center"/>
          </w:tcPr>
          <w:p w:rsidR="00EE56C0" w:rsidRDefault="000F36A1">
            <w:pPr>
              <w:pStyle w:val="afa"/>
              <w:jc w:val="both"/>
            </w:pPr>
            <w:r>
              <w:t>7.3</w:t>
            </w:r>
            <w:r>
              <w:t>其他要求</w:t>
            </w:r>
          </w:p>
          <w:p w:rsidR="00EE56C0" w:rsidRDefault="000F36A1">
            <w:pPr>
              <w:pStyle w:val="afa"/>
              <w:jc w:val="both"/>
            </w:pPr>
            <w:r>
              <w:t xml:space="preserve">7.3.1 </w:t>
            </w:r>
            <w:r>
              <w:t>企业应建立台账，记录含</w:t>
            </w:r>
            <w:r>
              <w:t>VOCs</w:t>
            </w:r>
            <w:r>
              <w:t>原辅材料和含</w:t>
            </w:r>
            <w:r>
              <w:t xml:space="preserve">VOCs </w:t>
            </w:r>
            <w:r>
              <w:t>产品的名称、使用量、回收量、废弃量、去向以及</w:t>
            </w:r>
            <w:r>
              <w:t>VOCs</w:t>
            </w:r>
            <w:r>
              <w:t>含量等信息。台账保存期限不少于</w:t>
            </w:r>
            <w:r>
              <w:t xml:space="preserve">3 </w:t>
            </w:r>
            <w:r>
              <w:t>年。</w:t>
            </w:r>
          </w:p>
        </w:tc>
        <w:tc>
          <w:tcPr>
            <w:tcW w:w="2757" w:type="dxa"/>
            <w:tcBorders>
              <w:top w:val="single" w:sz="4" w:space="0" w:color="auto"/>
              <w:left w:val="single" w:sz="4" w:space="0" w:color="auto"/>
              <w:right w:val="single" w:sz="4" w:space="0" w:color="auto"/>
            </w:tcBorders>
            <w:vAlign w:val="center"/>
          </w:tcPr>
          <w:p w:rsidR="00EE56C0" w:rsidRDefault="000F36A1">
            <w:pPr>
              <w:pStyle w:val="afa"/>
              <w:jc w:val="both"/>
            </w:pPr>
            <w:r>
              <w:t>本项目建成后，将按要求如实记录漆料的使用量、回收量、废弃量、去向以及</w:t>
            </w:r>
            <w:r>
              <w:t xml:space="preserve">VOCs </w:t>
            </w:r>
            <w:r>
              <w:t>含量等信息，保存期限至少</w:t>
            </w:r>
            <w:r>
              <w:t>3</w:t>
            </w:r>
            <w:r>
              <w:t>年。</w:t>
            </w:r>
          </w:p>
        </w:tc>
        <w:tc>
          <w:tcPr>
            <w:tcW w:w="950" w:type="dxa"/>
            <w:tcBorders>
              <w:top w:val="single" w:sz="4" w:space="0" w:color="auto"/>
              <w:left w:val="single" w:sz="4" w:space="0" w:color="auto"/>
              <w:right w:val="single" w:sz="4" w:space="0" w:color="auto"/>
            </w:tcBorders>
            <w:vAlign w:val="center"/>
          </w:tcPr>
          <w:p w:rsidR="00EE56C0" w:rsidRDefault="000F36A1">
            <w:pPr>
              <w:pStyle w:val="afa"/>
            </w:pPr>
            <w:r>
              <w:t>符合</w:t>
            </w:r>
          </w:p>
        </w:tc>
      </w:tr>
      <w:tr w:rsidR="00EE56C0">
        <w:trPr>
          <w:trHeight w:val="397"/>
        </w:trPr>
        <w:tc>
          <w:tcPr>
            <w:tcW w:w="1016" w:type="dxa"/>
            <w:vMerge w:val="restart"/>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t>10</w:t>
            </w:r>
            <w:r>
              <w:t>、</w:t>
            </w:r>
            <w:r>
              <w:t>VOCs</w:t>
            </w:r>
            <w:r>
              <w:t>无组织排放废气收集处理系统要求</w:t>
            </w:r>
          </w:p>
        </w:tc>
        <w:tc>
          <w:tcPr>
            <w:tcW w:w="4394" w:type="dxa"/>
            <w:tcBorders>
              <w:top w:val="single" w:sz="4" w:space="0" w:color="auto"/>
              <w:left w:val="single" w:sz="4" w:space="0" w:color="auto"/>
              <w:bottom w:val="single" w:sz="4" w:space="0" w:color="auto"/>
              <w:right w:val="single" w:sz="4" w:space="0" w:color="auto"/>
            </w:tcBorders>
            <w:vAlign w:val="center"/>
          </w:tcPr>
          <w:p w:rsidR="00EE56C0" w:rsidRDefault="000F36A1">
            <w:pPr>
              <w:pStyle w:val="afa"/>
              <w:jc w:val="both"/>
            </w:pPr>
            <w:r>
              <w:t xml:space="preserve">10.1 </w:t>
            </w:r>
            <w:r>
              <w:t>基本要求</w:t>
            </w:r>
          </w:p>
          <w:p w:rsidR="00EE56C0" w:rsidRDefault="000F36A1">
            <w:pPr>
              <w:pStyle w:val="afa"/>
              <w:jc w:val="both"/>
            </w:pPr>
            <w:r>
              <w:t xml:space="preserve">10.1.1 </w:t>
            </w:r>
            <w:r>
              <w:t>针对</w:t>
            </w:r>
            <w:r>
              <w:t xml:space="preserve">VOCs </w:t>
            </w:r>
            <w:r>
              <w:t>无组织排放设置的废气收集处理系统应满足本章要求。</w:t>
            </w:r>
          </w:p>
          <w:p w:rsidR="00EE56C0" w:rsidRDefault="000F36A1">
            <w:pPr>
              <w:pStyle w:val="afa"/>
              <w:jc w:val="both"/>
            </w:pPr>
            <w:r>
              <w:t xml:space="preserve">10.1.2 VOCs </w:t>
            </w:r>
            <w:r>
              <w:t>废气收集处理系统应与生产工艺设备同步运行。</w:t>
            </w:r>
            <w:r>
              <w:t xml:space="preserve">VOCs </w:t>
            </w:r>
            <w:r>
              <w:t>废气收集处理系统发生故障或检修时，对应的生产工艺设备应停止运行，待检修完毕后同步投入使用；生产工艺设备不能停止运行或不能及时停止运行的，应设置废气应急处理设施或采取其他替代措施。</w:t>
            </w:r>
          </w:p>
        </w:tc>
        <w:tc>
          <w:tcPr>
            <w:tcW w:w="2757" w:type="dxa"/>
            <w:tcBorders>
              <w:top w:val="single" w:sz="4" w:space="0" w:color="auto"/>
              <w:left w:val="single" w:sz="4" w:space="0" w:color="auto"/>
              <w:bottom w:val="single" w:sz="4" w:space="0" w:color="auto"/>
              <w:right w:val="single" w:sz="4" w:space="0" w:color="auto"/>
            </w:tcBorders>
            <w:vAlign w:val="center"/>
          </w:tcPr>
          <w:p w:rsidR="00EE56C0" w:rsidRDefault="000F36A1">
            <w:pPr>
              <w:pStyle w:val="afa"/>
              <w:jc w:val="both"/>
            </w:pPr>
            <w:r>
              <w:t>本项目建成后，</w:t>
            </w:r>
            <w:r>
              <w:t>VOCs</w:t>
            </w:r>
            <w:r>
              <w:t>废气收集处理系统与生产工艺设备同步运行，废气处理系统发生故障或检修时，对应的生产工艺设备应停止运行，待检修完毕后同步投入使用。</w:t>
            </w:r>
          </w:p>
        </w:tc>
        <w:tc>
          <w:tcPr>
            <w:tcW w:w="950" w:type="dxa"/>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t>符合</w:t>
            </w:r>
          </w:p>
        </w:tc>
      </w:tr>
      <w:tr w:rsidR="00EE56C0">
        <w:trPr>
          <w:trHeight w:val="397"/>
        </w:trPr>
        <w:tc>
          <w:tcPr>
            <w:tcW w:w="1016" w:type="dxa"/>
            <w:vMerge/>
            <w:tcBorders>
              <w:top w:val="single" w:sz="4" w:space="0" w:color="auto"/>
              <w:left w:val="single" w:sz="4" w:space="0" w:color="auto"/>
              <w:bottom w:val="single" w:sz="4" w:space="0" w:color="auto"/>
              <w:right w:val="single" w:sz="4" w:space="0" w:color="auto"/>
            </w:tcBorders>
            <w:vAlign w:val="center"/>
          </w:tcPr>
          <w:p w:rsidR="00EE56C0" w:rsidRDefault="00EE56C0">
            <w:pPr>
              <w:pStyle w:val="afa"/>
            </w:pPr>
          </w:p>
        </w:tc>
        <w:tc>
          <w:tcPr>
            <w:tcW w:w="4394" w:type="dxa"/>
            <w:tcBorders>
              <w:top w:val="single" w:sz="4" w:space="0" w:color="auto"/>
              <w:left w:val="single" w:sz="4" w:space="0" w:color="auto"/>
              <w:bottom w:val="single" w:sz="4" w:space="0" w:color="auto"/>
              <w:right w:val="single" w:sz="4" w:space="0" w:color="auto"/>
            </w:tcBorders>
            <w:vAlign w:val="center"/>
          </w:tcPr>
          <w:p w:rsidR="00EE56C0" w:rsidRDefault="000F36A1">
            <w:pPr>
              <w:pStyle w:val="afa"/>
              <w:jc w:val="both"/>
            </w:pPr>
            <w:r>
              <w:t xml:space="preserve">10.2 </w:t>
            </w:r>
            <w:r>
              <w:t>废气收集系统要求</w:t>
            </w:r>
          </w:p>
          <w:p w:rsidR="00EE56C0" w:rsidRDefault="000F36A1">
            <w:pPr>
              <w:pStyle w:val="afa"/>
              <w:jc w:val="both"/>
            </w:pPr>
            <w:r>
              <w:t xml:space="preserve">10.2.1 </w:t>
            </w:r>
            <w:r>
              <w:t>企业应考虑生产工艺、操作方式、废气性质、处理方法等因素，对</w:t>
            </w:r>
            <w:r>
              <w:t>VOCs</w:t>
            </w:r>
            <w:r>
              <w:t>废气进行分类收集。</w:t>
            </w:r>
          </w:p>
          <w:p w:rsidR="00EE56C0" w:rsidRDefault="000F36A1">
            <w:pPr>
              <w:pStyle w:val="afa"/>
              <w:jc w:val="both"/>
            </w:pPr>
            <w:r>
              <w:t xml:space="preserve">10.2.2 </w:t>
            </w:r>
            <w:r>
              <w:t>废气收集系统排风罩（集气罩）的设置应符合</w:t>
            </w:r>
            <w:r>
              <w:t>GB/T16758</w:t>
            </w:r>
            <w:r>
              <w:t>的规定。采用外部排风罩的，应按</w:t>
            </w:r>
            <w:r>
              <w:t>GB/T16758</w:t>
            </w:r>
            <w:r>
              <w:t>、</w:t>
            </w:r>
            <w:r>
              <w:t>AQ/T4274-2016</w:t>
            </w:r>
            <w:r>
              <w:t>规定的方法测量控制风速，测量点应选取在距排风罩开口面最远处的</w:t>
            </w:r>
            <w:r>
              <w:t>VOCs</w:t>
            </w:r>
            <w:r>
              <w:t>无组织排放位置，控制风速不应低于</w:t>
            </w:r>
            <w:r>
              <w:t>0.3m/s</w:t>
            </w:r>
            <w:r>
              <w:t>（行业相关规范有具体规定的，按相关规定执行）。</w:t>
            </w:r>
          </w:p>
        </w:tc>
        <w:tc>
          <w:tcPr>
            <w:tcW w:w="2757" w:type="dxa"/>
            <w:tcBorders>
              <w:top w:val="single" w:sz="4" w:space="0" w:color="auto"/>
              <w:left w:val="single" w:sz="4" w:space="0" w:color="auto"/>
              <w:bottom w:val="single" w:sz="4" w:space="0" w:color="auto"/>
              <w:right w:val="single" w:sz="4" w:space="0" w:color="auto"/>
            </w:tcBorders>
            <w:vAlign w:val="center"/>
          </w:tcPr>
          <w:p w:rsidR="00EE56C0" w:rsidRDefault="000F36A1">
            <w:pPr>
              <w:pStyle w:val="afa"/>
              <w:jc w:val="both"/>
            </w:pPr>
            <w:r>
              <w:t>本项目产生</w:t>
            </w:r>
            <w:r>
              <w:t>VOCs</w:t>
            </w:r>
            <w:r>
              <w:t>的工序为浸漆、烘干工段，评价要求对浸漆废气经集气罩收集，烘干废气经收集、治理后有组织排放。</w:t>
            </w:r>
          </w:p>
        </w:tc>
        <w:tc>
          <w:tcPr>
            <w:tcW w:w="950" w:type="dxa"/>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t>符合</w:t>
            </w:r>
          </w:p>
        </w:tc>
      </w:tr>
      <w:tr w:rsidR="00EE56C0">
        <w:trPr>
          <w:trHeight w:val="397"/>
        </w:trPr>
        <w:tc>
          <w:tcPr>
            <w:tcW w:w="1016" w:type="dxa"/>
            <w:vMerge/>
            <w:tcBorders>
              <w:top w:val="single" w:sz="4" w:space="0" w:color="auto"/>
              <w:left w:val="single" w:sz="4" w:space="0" w:color="auto"/>
              <w:bottom w:val="single" w:sz="4" w:space="0" w:color="auto"/>
              <w:right w:val="single" w:sz="4" w:space="0" w:color="auto"/>
            </w:tcBorders>
            <w:vAlign w:val="center"/>
          </w:tcPr>
          <w:p w:rsidR="00EE56C0" w:rsidRDefault="00EE56C0">
            <w:pPr>
              <w:pStyle w:val="afa"/>
            </w:pPr>
          </w:p>
        </w:tc>
        <w:tc>
          <w:tcPr>
            <w:tcW w:w="4394" w:type="dxa"/>
            <w:tcBorders>
              <w:top w:val="single" w:sz="4" w:space="0" w:color="auto"/>
              <w:left w:val="single" w:sz="4" w:space="0" w:color="auto"/>
              <w:bottom w:val="single" w:sz="4" w:space="0" w:color="auto"/>
              <w:right w:val="single" w:sz="4" w:space="0" w:color="auto"/>
            </w:tcBorders>
            <w:vAlign w:val="center"/>
          </w:tcPr>
          <w:p w:rsidR="00EE56C0" w:rsidRDefault="000F36A1">
            <w:pPr>
              <w:pStyle w:val="afa"/>
              <w:jc w:val="both"/>
            </w:pPr>
            <w:r>
              <w:t>10.3 VOCs</w:t>
            </w:r>
            <w:r>
              <w:t>排放控制要求</w:t>
            </w:r>
          </w:p>
          <w:p w:rsidR="00EE56C0" w:rsidRDefault="000F36A1">
            <w:pPr>
              <w:pStyle w:val="afa"/>
              <w:jc w:val="both"/>
            </w:pPr>
            <w:r>
              <w:t>10.3.1VOCs</w:t>
            </w:r>
            <w:r>
              <w:t>废气收集处理系统污染物排放应符合</w:t>
            </w:r>
            <w:r>
              <w:t>GB16297</w:t>
            </w:r>
            <w:r>
              <w:t>或相关行业排放标准的规定。</w:t>
            </w:r>
          </w:p>
          <w:p w:rsidR="00EE56C0" w:rsidRDefault="000F36A1">
            <w:pPr>
              <w:pStyle w:val="afa"/>
              <w:jc w:val="both"/>
            </w:pPr>
            <w:r>
              <w:t>10.3.2</w:t>
            </w:r>
            <w:r>
              <w:t>收集的废气中</w:t>
            </w:r>
            <w:r>
              <w:t>NMHC</w:t>
            </w:r>
            <w:r>
              <w:t>初始排放速率</w:t>
            </w:r>
            <w:r>
              <w:lastRenderedPageBreak/>
              <w:t>≥3kg/h</w:t>
            </w:r>
            <w:r>
              <w:t>时，应配置</w:t>
            </w:r>
            <w:r>
              <w:t>VOCs</w:t>
            </w:r>
            <w:r>
              <w:t>处理设施，处理效率不应低于</w:t>
            </w:r>
            <w:r>
              <w:t>80%</w:t>
            </w:r>
            <w:r>
              <w:t>；对于重点地区，收集的废气中</w:t>
            </w:r>
            <w:r>
              <w:t>NMHC</w:t>
            </w:r>
            <w:r>
              <w:t>初始排放速率</w:t>
            </w:r>
            <w:r>
              <w:t>≥2kg/h</w:t>
            </w:r>
            <w:r>
              <w:t>时，应配置</w:t>
            </w:r>
            <w:r>
              <w:t>VOCs</w:t>
            </w:r>
            <w:r>
              <w:t>处理设施，处理效率不应低于</w:t>
            </w:r>
            <w:r>
              <w:t>80%</w:t>
            </w:r>
            <w:r>
              <w:t>；采用的原辅材料符合国家有关低</w:t>
            </w:r>
            <w:r>
              <w:t>VOCs</w:t>
            </w:r>
            <w:r>
              <w:t>含量产品规定的除外。</w:t>
            </w:r>
          </w:p>
          <w:p w:rsidR="00EE56C0" w:rsidRDefault="000F36A1">
            <w:pPr>
              <w:pStyle w:val="afa"/>
              <w:jc w:val="both"/>
            </w:pPr>
            <w:r>
              <w:t>10.3.4</w:t>
            </w:r>
            <w:r>
              <w:t>排气筒高度不低于</w:t>
            </w:r>
            <w:r>
              <w:t>15m</w:t>
            </w:r>
            <w:r>
              <w:t>（因安全考虑或有特殊工艺要求的除外），具体高度以及与周围建筑物的相对高度关系应根据环境影响评价文件确定。</w:t>
            </w:r>
          </w:p>
          <w:p w:rsidR="00EE56C0" w:rsidRDefault="000F36A1">
            <w:pPr>
              <w:pStyle w:val="afa"/>
              <w:jc w:val="both"/>
            </w:pPr>
            <w:r>
              <w:t>10.3.5</w:t>
            </w:r>
            <w:r>
              <w:t>当执行不同排放控制要求的废气合并排气筒排放时，应在废气混合前进行监测，并执行相应的排放控制要求；若可选择的监控位置只能对混合后的废气进行监测，则应按各排放控制要求中最严格的规定执行。</w:t>
            </w:r>
          </w:p>
        </w:tc>
        <w:tc>
          <w:tcPr>
            <w:tcW w:w="2757" w:type="dxa"/>
            <w:tcBorders>
              <w:top w:val="single" w:sz="4" w:space="0" w:color="auto"/>
              <w:left w:val="single" w:sz="4" w:space="0" w:color="auto"/>
              <w:bottom w:val="single" w:sz="4" w:space="0" w:color="auto"/>
              <w:right w:val="single" w:sz="4" w:space="0" w:color="auto"/>
            </w:tcBorders>
            <w:vAlign w:val="center"/>
          </w:tcPr>
          <w:p w:rsidR="00EE56C0" w:rsidRDefault="000F36A1">
            <w:pPr>
              <w:pStyle w:val="afa"/>
              <w:jc w:val="both"/>
            </w:pPr>
            <w:r>
              <w:lastRenderedPageBreak/>
              <w:t>本项目废气污染物排放满足《大气污染物综合排放标准》（</w:t>
            </w:r>
            <w:r>
              <w:t>GB16297-1996</w:t>
            </w:r>
            <w:r>
              <w:t>）表</w:t>
            </w:r>
            <w:r>
              <w:t>2</w:t>
            </w:r>
            <w:r>
              <w:t>、《工业涂装工序挥发性有机物排放标准》</w:t>
            </w:r>
            <w:r>
              <w:lastRenderedPageBreak/>
              <w:t>（</w:t>
            </w:r>
            <w:r>
              <w:t>DB41/1951-2020</w:t>
            </w:r>
            <w:r>
              <w:t>）表</w:t>
            </w:r>
            <w:r>
              <w:t xml:space="preserve"> 1</w:t>
            </w:r>
            <w:r>
              <w:t>标准要求。有机废气收集后引入采用活性炭吸附</w:t>
            </w:r>
            <w:r>
              <w:t>-</w:t>
            </w:r>
            <w:r>
              <w:t>脱附</w:t>
            </w:r>
            <w:r>
              <w:t>-</w:t>
            </w:r>
            <w:r>
              <w:t>催化燃烧装置</w:t>
            </w:r>
            <w:r>
              <w:rPr>
                <w:rFonts w:hint="eastAsia"/>
              </w:rPr>
              <w:t>和沸石</w:t>
            </w:r>
            <w:r>
              <w:t>吸附</w:t>
            </w:r>
            <w:r>
              <w:t>-</w:t>
            </w:r>
            <w:r>
              <w:t>脱附</w:t>
            </w:r>
            <w:r>
              <w:t>-</w:t>
            </w:r>
            <w:r>
              <w:t>催化燃烧装置处理，处理效率高于</w:t>
            </w:r>
            <w:r>
              <w:t>80%</w:t>
            </w:r>
            <w:r>
              <w:t>。</w:t>
            </w:r>
            <w:r>
              <w:t xml:space="preserve"> </w:t>
            </w:r>
          </w:p>
          <w:p w:rsidR="00EE56C0" w:rsidRDefault="000F36A1">
            <w:pPr>
              <w:pStyle w:val="afa"/>
              <w:jc w:val="both"/>
            </w:pPr>
            <w:r>
              <w:t>本项目属于重点地区，收集的有机废气采用活性炭吸附</w:t>
            </w:r>
            <w:r>
              <w:t>-</w:t>
            </w:r>
            <w:r>
              <w:t>脱附</w:t>
            </w:r>
            <w:r>
              <w:t>-</w:t>
            </w:r>
            <w:r>
              <w:t>催化燃烧装置</w:t>
            </w:r>
            <w:r>
              <w:rPr>
                <w:rFonts w:hint="eastAsia"/>
              </w:rPr>
              <w:t>和沸石</w:t>
            </w:r>
            <w:r>
              <w:t>吸附</w:t>
            </w:r>
            <w:r>
              <w:t>-</w:t>
            </w:r>
            <w:r>
              <w:t>脱附</w:t>
            </w:r>
            <w:r>
              <w:t>-</w:t>
            </w:r>
            <w:r>
              <w:t>催化燃烧装置处理。</w:t>
            </w:r>
          </w:p>
          <w:p w:rsidR="00EE56C0" w:rsidRDefault="000F36A1">
            <w:pPr>
              <w:pStyle w:val="afa"/>
              <w:jc w:val="both"/>
            </w:pPr>
            <w:r>
              <w:t>本项目排气筒高度为</w:t>
            </w:r>
            <w:r>
              <w:t>26.5m</w:t>
            </w:r>
            <w:r>
              <w:t>。</w:t>
            </w:r>
          </w:p>
          <w:p w:rsidR="00EE56C0" w:rsidRDefault="000F36A1">
            <w:pPr>
              <w:pStyle w:val="afa"/>
              <w:jc w:val="both"/>
              <w:rPr>
                <w:b/>
                <w:u w:val="single"/>
              </w:rPr>
            </w:pPr>
            <w:r>
              <w:rPr>
                <w:b/>
                <w:u w:val="single"/>
              </w:rPr>
              <w:t>本项目存在执行不同排放控制要求的废气合并排气筒排放情况</w:t>
            </w:r>
            <w:r>
              <w:rPr>
                <w:rFonts w:hint="eastAsia"/>
                <w:b/>
                <w:u w:val="single"/>
              </w:rPr>
              <w:t>，按要求</w:t>
            </w:r>
            <w:r>
              <w:rPr>
                <w:b/>
                <w:u w:val="single"/>
              </w:rPr>
              <w:t>在废气混合前进行监测，并执行相应的排放控制要求</w:t>
            </w:r>
            <w:r>
              <w:rPr>
                <w:rFonts w:hint="eastAsia"/>
                <w:b/>
                <w:u w:val="single"/>
              </w:rPr>
              <w:t>中最严格的规定</w:t>
            </w:r>
            <w:r>
              <w:rPr>
                <w:b/>
                <w:u w:val="single"/>
              </w:rPr>
              <w:t>。</w:t>
            </w:r>
          </w:p>
        </w:tc>
        <w:tc>
          <w:tcPr>
            <w:tcW w:w="950" w:type="dxa"/>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lastRenderedPageBreak/>
              <w:t>符合</w:t>
            </w:r>
          </w:p>
        </w:tc>
      </w:tr>
      <w:tr w:rsidR="00EE56C0">
        <w:trPr>
          <w:trHeight w:val="397"/>
        </w:trPr>
        <w:tc>
          <w:tcPr>
            <w:tcW w:w="1016" w:type="dxa"/>
            <w:vMerge/>
            <w:tcBorders>
              <w:top w:val="single" w:sz="4" w:space="0" w:color="auto"/>
              <w:left w:val="single" w:sz="4" w:space="0" w:color="auto"/>
              <w:bottom w:val="single" w:sz="4" w:space="0" w:color="auto"/>
              <w:right w:val="single" w:sz="4" w:space="0" w:color="auto"/>
            </w:tcBorders>
            <w:vAlign w:val="center"/>
          </w:tcPr>
          <w:p w:rsidR="00EE56C0" w:rsidRDefault="00EE56C0">
            <w:pPr>
              <w:pStyle w:val="afa"/>
            </w:pPr>
          </w:p>
        </w:tc>
        <w:tc>
          <w:tcPr>
            <w:tcW w:w="4394" w:type="dxa"/>
            <w:tcBorders>
              <w:top w:val="single" w:sz="4" w:space="0" w:color="auto"/>
              <w:left w:val="single" w:sz="4" w:space="0" w:color="auto"/>
              <w:bottom w:val="single" w:sz="4" w:space="0" w:color="auto"/>
              <w:right w:val="single" w:sz="4" w:space="0" w:color="auto"/>
            </w:tcBorders>
            <w:vAlign w:val="center"/>
          </w:tcPr>
          <w:p w:rsidR="00EE56C0" w:rsidRDefault="000F36A1">
            <w:pPr>
              <w:pStyle w:val="afa"/>
              <w:jc w:val="both"/>
            </w:pPr>
            <w:r>
              <w:t>10.4</w:t>
            </w:r>
            <w:r>
              <w:t>记录要求</w:t>
            </w:r>
          </w:p>
          <w:p w:rsidR="00EE56C0" w:rsidRDefault="000F36A1">
            <w:pPr>
              <w:pStyle w:val="afa"/>
              <w:jc w:val="both"/>
            </w:pPr>
            <w:r>
              <w:t>企业应建立台账，记录废气收集系统、</w:t>
            </w:r>
            <w:r>
              <w:t>VOCs</w:t>
            </w:r>
            <w:r>
              <w:t>处理设施的主要运行和维护信息，如运行时间、废气处理量、操作温度、停留时间、吸附剂再生</w:t>
            </w:r>
            <w:r>
              <w:t>/</w:t>
            </w:r>
            <w:r>
              <w:t>更换周期和更换量、催化剂更换周期和更换量、吸收液</w:t>
            </w:r>
            <w:r>
              <w:t>pH</w:t>
            </w:r>
            <w:r>
              <w:t>值等关键运行参数。台账保存期限不少于</w:t>
            </w:r>
            <w:r>
              <w:t>3</w:t>
            </w:r>
            <w:r>
              <w:t>年。</w:t>
            </w:r>
          </w:p>
        </w:tc>
        <w:tc>
          <w:tcPr>
            <w:tcW w:w="2757" w:type="dxa"/>
            <w:tcBorders>
              <w:top w:val="single" w:sz="4" w:space="0" w:color="auto"/>
              <w:left w:val="single" w:sz="4" w:space="0" w:color="auto"/>
              <w:bottom w:val="single" w:sz="4" w:space="0" w:color="auto"/>
              <w:right w:val="single" w:sz="4" w:space="0" w:color="auto"/>
            </w:tcBorders>
            <w:vAlign w:val="center"/>
          </w:tcPr>
          <w:p w:rsidR="00EE56C0" w:rsidRDefault="000F36A1">
            <w:pPr>
              <w:pStyle w:val="afa"/>
              <w:jc w:val="both"/>
            </w:pPr>
            <w:r>
              <w:t>本项目建成后，企业将按相关要求建立台账，记录废气收集系统、</w:t>
            </w:r>
            <w:r>
              <w:t>VOCs</w:t>
            </w:r>
            <w:r>
              <w:t>处理设施的主要运行和维护信息。台账保存期限不少于</w:t>
            </w:r>
            <w:r>
              <w:t>3</w:t>
            </w:r>
            <w:r>
              <w:t>年。</w:t>
            </w:r>
          </w:p>
        </w:tc>
        <w:tc>
          <w:tcPr>
            <w:tcW w:w="950" w:type="dxa"/>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t>符合</w:t>
            </w:r>
          </w:p>
        </w:tc>
      </w:tr>
      <w:tr w:rsidR="00EE56C0">
        <w:trPr>
          <w:trHeight w:val="397"/>
        </w:trPr>
        <w:tc>
          <w:tcPr>
            <w:tcW w:w="1016" w:type="dxa"/>
            <w:vMerge w:val="restart"/>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t>11</w:t>
            </w:r>
            <w:r>
              <w:t>、企业厂区内及周边污染监控要求</w:t>
            </w:r>
          </w:p>
        </w:tc>
        <w:tc>
          <w:tcPr>
            <w:tcW w:w="4394" w:type="dxa"/>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t>11.1</w:t>
            </w:r>
            <w:r>
              <w:t>企业边界及周边</w:t>
            </w:r>
            <w:r>
              <w:t>VOCs</w:t>
            </w:r>
            <w:r>
              <w:t>监控要求执行</w:t>
            </w:r>
            <w:r>
              <w:t>GB 16297</w:t>
            </w:r>
            <w:r>
              <w:t>或相关行业排放标准的规定。</w:t>
            </w:r>
          </w:p>
        </w:tc>
        <w:tc>
          <w:tcPr>
            <w:tcW w:w="2757" w:type="dxa"/>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t>经预测，本项目无组织废气排放满足相关排放要求。</w:t>
            </w:r>
          </w:p>
        </w:tc>
        <w:tc>
          <w:tcPr>
            <w:tcW w:w="950" w:type="dxa"/>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t>符合</w:t>
            </w:r>
          </w:p>
        </w:tc>
      </w:tr>
      <w:tr w:rsidR="00EE56C0">
        <w:trPr>
          <w:trHeight w:val="397"/>
        </w:trPr>
        <w:tc>
          <w:tcPr>
            <w:tcW w:w="1016" w:type="dxa"/>
            <w:vMerge/>
            <w:tcBorders>
              <w:top w:val="single" w:sz="4" w:space="0" w:color="auto"/>
              <w:left w:val="single" w:sz="4" w:space="0" w:color="auto"/>
              <w:bottom w:val="single" w:sz="4" w:space="0" w:color="auto"/>
              <w:right w:val="single" w:sz="4" w:space="0" w:color="auto"/>
            </w:tcBorders>
            <w:vAlign w:val="center"/>
          </w:tcPr>
          <w:p w:rsidR="00EE56C0" w:rsidRDefault="00EE56C0">
            <w:pPr>
              <w:pStyle w:val="afa"/>
            </w:pPr>
          </w:p>
        </w:tc>
        <w:tc>
          <w:tcPr>
            <w:tcW w:w="4394" w:type="dxa"/>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t>11.2</w:t>
            </w:r>
            <w:r>
              <w:t>地方生态环境主管部门可根据当地环境保护需要，对厂区内</w:t>
            </w:r>
            <w:r>
              <w:t>VOCs</w:t>
            </w:r>
            <w:r>
              <w:t>无组织排放状况进行监控，具体实施方式由各地自行确定。厂区内</w:t>
            </w:r>
            <w:r>
              <w:t>VOCs</w:t>
            </w:r>
            <w:r>
              <w:t>无组织排放监控要求：监控点处</w:t>
            </w:r>
            <w:r>
              <w:t>1h</w:t>
            </w:r>
            <w:r>
              <w:t>平均浓度值</w:t>
            </w:r>
            <w:r>
              <w:t>≤6mg/m³</w:t>
            </w:r>
            <w:r>
              <w:t>、监控点处任意一次浓度值</w:t>
            </w:r>
            <w:r>
              <w:t>≤20mg/m³</w:t>
            </w:r>
            <w:r>
              <w:t>。</w:t>
            </w:r>
          </w:p>
        </w:tc>
        <w:tc>
          <w:tcPr>
            <w:tcW w:w="2757" w:type="dxa"/>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t>本项目厂区内</w:t>
            </w:r>
            <w:r>
              <w:t>VOCs</w:t>
            </w:r>
            <w:r>
              <w:t>无组织排放满足</w:t>
            </w:r>
            <w:r>
              <w:t>6mg/m</w:t>
            </w:r>
            <w:r>
              <w:rPr>
                <w:vertAlign w:val="superscript"/>
              </w:rPr>
              <w:t>3</w:t>
            </w:r>
            <w:r>
              <w:t>标准要求。</w:t>
            </w:r>
          </w:p>
        </w:tc>
        <w:tc>
          <w:tcPr>
            <w:tcW w:w="950" w:type="dxa"/>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t>符合</w:t>
            </w:r>
          </w:p>
        </w:tc>
      </w:tr>
      <w:tr w:rsidR="00EE56C0">
        <w:trPr>
          <w:trHeight w:val="397"/>
        </w:trPr>
        <w:tc>
          <w:tcPr>
            <w:tcW w:w="1016" w:type="dxa"/>
            <w:vMerge w:val="restart"/>
            <w:tcBorders>
              <w:top w:val="single" w:sz="4" w:space="0" w:color="auto"/>
              <w:left w:val="single" w:sz="4" w:space="0" w:color="auto"/>
              <w:bottom w:val="single" w:sz="8" w:space="0" w:color="auto"/>
              <w:right w:val="single" w:sz="4" w:space="0" w:color="auto"/>
            </w:tcBorders>
            <w:vAlign w:val="center"/>
          </w:tcPr>
          <w:p w:rsidR="00EE56C0" w:rsidRDefault="000F36A1">
            <w:pPr>
              <w:pStyle w:val="afa"/>
            </w:pPr>
            <w:r>
              <w:t>12</w:t>
            </w:r>
            <w:r>
              <w:t>污染物监测要求</w:t>
            </w:r>
          </w:p>
        </w:tc>
        <w:tc>
          <w:tcPr>
            <w:tcW w:w="4394" w:type="dxa"/>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t>12.1</w:t>
            </w:r>
            <w:r>
              <w:t>企业应按照有关法律、《环境监测管理办法》和</w:t>
            </w:r>
            <w:r>
              <w:t>HJ819</w:t>
            </w:r>
            <w:r>
              <w:t>等规定，建立企业监测制度，制订监测方案，对污染物排放状况及其对周边环境质量的影响开展自行监测，保存原始监测记录，并公布监测结果。</w:t>
            </w:r>
          </w:p>
        </w:tc>
        <w:tc>
          <w:tcPr>
            <w:tcW w:w="2757" w:type="dxa"/>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t>本项目建成后将建立企业监测制度，制订监测方案，对污染物排放状况及其对周边环境质量的影响开展自行监测，保存原始监测记录，并公布监测结果。</w:t>
            </w:r>
          </w:p>
        </w:tc>
        <w:tc>
          <w:tcPr>
            <w:tcW w:w="950" w:type="dxa"/>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t>符合</w:t>
            </w:r>
          </w:p>
        </w:tc>
      </w:tr>
      <w:tr w:rsidR="00EE56C0">
        <w:trPr>
          <w:trHeight w:val="397"/>
        </w:trPr>
        <w:tc>
          <w:tcPr>
            <w:tcW w:w="1016" w:type="dxa"/>
            <w:vMerge/>
            <w:tcBorders>
              <w:top w:val="single" w:sz="4" w:space="0" w:color="auto"/>
              <w:left w:val="single" w:sz="4" w:space="0" w:color="auto"/>
              <w:bottom w:val="single" w:sz="8" w:space="0" w:color="auto"/>
              <w:right w:val="single" w:sz="4" w:space="0" w:color="auto"/>
            </w:tcBorders>
            <w:vAlign w:val="center"/>
          </w:tcPr>
          <w:p w:rsidR="00EE56C0" w:rsidRDefault="00EE56C0">
            <w:pPr>
              <w:pStyle w:val="afa"/>
            </w:pPr>
          </w:p>
        </w:tc>
        <w:tc>
          <w:tcPr>
            <w:tcW w:w="4394" w:type="dxa"/>
            <w:tcBorders>
              <w:top w:val="single" w:sz="4" w:space="0" w:color="auto"/>
              <w:left w:val="single" w:sz="4" w:space="0" w:color="auto"/>
              <w:bottom w:val="single" w:sz="8" w:space="0" w:color="auto"/>
              <w:right w:val="single" w:sz="4" w:space="0" w:color="auto"/>
            </w:tcBorders>
            <w:vAlign w:val="center"/>
          </w:tcPr>
          <w:p w:rsidR="00EE56C0" w:rsidRDefault="000F36A1">
            <w:pPr>
              <w:pStyle w:val="afa"/>
            </w:pPr>
            <w:r>
              <w:t>12.2</w:t>
            </w:r>
            <w:r>
              <w:t>新建企业和现有企业安装污染物排放自动监控设备的要求，按有关法律和《污染源自动监控管理办法》等规定执行。</w:t>
            </w:r>
          </w:p>
        </w:tc>
        <w:tc>
          <w:tcPr>
            <w:tcW w:w="2757" w:type="dxa"/>
            <w:tcBorders>
              <w:top w:val="single" w:sz="4" w:space="0" w:color="auto"/>
              <w:left w:val="single" w:sz="4" w:space="0" w:color="auto"/>
              <w:bottom w:val="single" w:sz="8" w:space="0" w:color="auto"/>
              <w:right w:val="single" w:sz="4" w:space="0" w:color="auto"/>
            </w:tcBorders>
            <w:vAlign w:val="center"/>
          </w:tcPr>
          <w:p w:rsidR="00EE56C0" w:rsidRDefault="000F36A1">
            <w:pPr>
              <w:pStyle w:val="afa"/>
            </w:pPr>
            <w:r>
              <w:t>本项目建成后将按环保部门的管理要求统一安装污染物排放自动监控设备。</w:t>
            </w:r>
          </w:p>
        </w:tc>
        <w:tc>
          <w:tcPr>
            <w:tcW w:w="950" w:type="dxa"/>
            <w:tcBorders>
              <w:top w:val="single" w:sz="4" w:space="0" w:color="auto"/>
              <w:left w:val="single" w:sz="4" w:space="0" w:color="auto"/>
              <w:bottom w:val="single" w:sz="8" w:space="0" w:color="auto"/>
              <w:right w:val="single" w:sz="4" w:space="0" w:color="auto"/>
            </w:tcBorders>
            <w:vAlign w:val="center"/>
          </w:tcPr>
          <w:p w:rsidR="00EE56C0" w:rsidRDefault="000F36A1">
            <w:pPr>
              <w:pStyle w:val="afa"/>
            </w:pPr>
            <w:r>
              <w:t>符合</w:t>
            </w:r>
          </w:p>
        </w:tc>
      </w:tr>
    </w:tbl>
    <w:p w:rsidR="00EE56C0" w:rsidRDefault="000F36A1">
      <w:pPr>
        <w:pStyle w:val="3"/>
        <w:spacing w:before="240" w:after="120"/>
      </w:pPr>
      <w:r>
        <w:rPr>
          <w:rFonts w:hint="eastAsia"/>
        </w:rPr>
        <w:t>2.11.3</w:t>
      </w:r>
      <w:r>
        <w:rPr>
          <w:rFonts w:hint="eastAsia"/>
        </w:rPr>
        <w:t>与《</w:t>
      </w:r>
      <w:r>
        <w:rPr>
          <w:rFonts w:hint="eastAsia"/>
        </w:rPr>
        <w:t>2021-2022</w:t>
      </w:r>
      <w:r>
        <w:rPr>
          <w:rFonts w:hint="eastAsia"/>
        </w:rPr>
        <w:t>年秋冬季大气污染综合治理攻坚方案》（环大气</w:t>
      </w:r>
      <w:r>
        <w:rPr>
          <w:rFonts w:hint="eastAsia"/>
        </w:rPr>
        <w:t>[2021]104</w:t>
      </w:r>
      <w:r>
        <w:rPr>
          <w:rFonts w:hint="eastAsia"/>
        </w:rPr>
        <w:t>号）相符性分析</w:t>
      </w:r>
    </w:p>
    <w:p w:rsidR="00EE56C0" w:rsidRDefault="000F36A1">
      <w:pPr>
        <w:ind w:firstLine="480"/>
      </w:pPr>
      <w:r>
        <w:rPr>
          <w:rFonts w:hint="eastAsia"/>
        </w:rPr>
        <w:t>根据《</w:t>
      </w:r>
      <w:r>
        <w:rPr>
          <w:rFonts w:hint="eastAsia"/>
        </w:rPr>
        <w:t>2021-2022</w:t>
      </w:r>
      <w:r>
        <w:rPr>
          <w:rFonts w:hint="eastAsia"/>
        </w:rPr>
        <w:t>年秋冬季大气污染综合治理攻坚方案》（环大气</w:t>
      </w:r>
      <w:r>
        <w:rPr>
          <w:rFonts w:hint="eastAsia"/>
        </w:rPr>
        <w:t>[2021]104</w:t>
      </w:r>
      <w:r>
        <w:rPr>
          <w:rFonts w:hint="eastAsia"/>
        </w:rPr>
        <w:lastRenderedPageBreak/>
        <w:t>号）的内容，本项目涉及挥发性有机物，因此，该方案中涉及到本项目的内容有：</w:t>
      </w:r>
    </w:p>
    <w:p w:rsidR="00EE56C0" w:rsidRDefault="000F36A1">
      <w:pPr>
        <w:pStyle w:val="afd"/>
        <w:spacing w:before="120" w:after="120"/>
        <w:ind w:firstLine="482"/>
        <w:rPr>
          <w:lang w:val="pt-BR"/>
        </w:rPr>
      </w:pPr>
      <w:r>
        <w:rPr>
          <w:rFonts w:hint="eastAsia"/>
          <w:lang w:val="pt-BR"/>
        </w:rPr>
        <w:t>表</w:t>
      </w:r>
      <w:r>
        <w:rPr>
          <w:rFonts w:hint="eastAsia"/>
          <w:lang w:val="pt-BR"/>
        </w:rPr>
        <w:t xml:space="preserve">2-18       </w:t>
      </w:r>
      <w:r>
        <w:rPr>
          <w:rFonts w:hint="eastAsia"/>
          <w:lang w:val="pt-BR"/>
        </w:rPr>
        <w:t>本项目与《</w:t>
      </w:r>
      <w:r>
        <w:rPr>
          <w:rFonts w:hint="eastAsia"/>
        </w:rPr>
        <w:t>环大气</w:t>
      </w:r>
      <w:r>
        <w:rPr>
          <w:rFonts w:hint="eastAsia"/>
        </w:rPr>
        <w:t>[2021]104</w:t>
      </w:r>
      <w:r>
        <w:rPr>
          <w:rFonts w:hint="eastAsia"/>
        </w:rPr>
        <w:t>号》</w:t>
      </w:r>
      <w:r>
        <w:rPr>
          <w:rFonts w:hint="eastAsia"/>
          <w:lang w:val="pt-BR"/>
        </w:rPr>
        <w:t>对比分析一览表</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1161"/>
        <w:gridCol w:w="4334"/>
        <w:gridCol w:w="2284"/>
        <w:gridCol w:w="749"/>
      </w:tblGrid>
      <w:tr w:rsidR="00EE56C0">
        <w:trPr>
          <w:trHeight w:val="425"/>
          <w:tblHeader/>
          <w:jc w:val="center"/>
        </w:trPr>
        <w:tc>
          <w:tcPr>
            <w:tcW w:w="3222" w:type="pct"/>
            <w:gridSpan w:val="2"/>
            <w:vAlign w:val="center"/>
          </w:tcPr>
          <w:p w:rsidR="00EE56C0" w:rsidRDefault="000F36A1">
            <w:pPr>
              <w:pStyle w:val="aff1"/>
              <w:rPr>
                <w:color w:val="auto"/>
              </w:rPr>
            </w:pPr>
            <w:r>
              <w:rPr>
                <w:rFonts w:hint="eastAsia"/>
                <w:color w:val="auto"/>
              </w:rPr>
              <w:t>与本项目有关的内容</w:t>
            </w:r>
          </w:p>
        </w:tc>
        <w:tc>
          <w:tcPr>
            <w:tcW w:w="1339" w:type="pct"/>
            <w:vAlign w:val="center"/>
          </w:tcPr>
          <w:p w:rsidR="00EE56C0" w:rsidRDefault="000F36A1">
            <w:pPr>
              <w:pStyle w:val="aff1"/>
              <w:rPr>
                <w:color w:val="auto"/>
              </w:rPr>
            </w:pPr>
            <w:r>
              <w:rPr>
                <w:rFonts w:hint="eastAsia"/>
                <w:color w:val="auto"/>
              </w:rPr>
              <w:t>本项目情况</w:t>
            </w:r>
          </w:p>
        </w:tc>
        <w:tc>
          <w:tcPr>
            <w:tcW w:w="439" w:type="pct"/>
            <w:vAlign w:val="center"/>
          </w:tcPr>
          <w:p w:rsidR="00EE56C0" w:rsidRDefault="000F36A1">
            <w:pPr>
              <w:pStyle w:val="aff1"/>
              <w:rPr>
                <w:color w:val="auto"/>
              </w:rPr>
            </w:pPr>
            <w:r>
              <w:rPr>
                <w:rFonts w:hint="eastAsia"/>
                <w:color w:val="auto"/>
              </w:rPr>
              <w:t>对比</w:t>
            </w:r>
          </w:p>
        </w:tc>
      </w:tr>
      <w:tr w:rsidR="00EE56C0">
        <w:trPr>
          <w:trHeight w:val="425"/>
          <w:jc w:val="center"/>
        </w:trPr>
        <w:tc>
          <w:tcPr>
            <w:tcW w:w="681" w:type="pct"/>
            <w:vAlign w:val="center"/>
          </w:tcPr>
          <w:p w:rsidR="00EE56C0" w:rsidRDefault="000F36A1">
            <w:pPr>
              <w:pStyle w:val="afa"/>
            </w:pPr>
            <w:r>
              <w:rPr>
                <w:rFonts w:hint="eastAsia"/>
              </w:rPr>
              <w:t>（五）扎实推进</w:t>
            </w:r>
            <w:r>
              <w:rPr>
                <w:rFonts w:hint="eastAsia"/>
              </w:rPr>
              <w:t>VOCs</w:t>
            </w:r>
            <w:r>
              <w:rPr>
                <w:rFonts w:hint="eastAsia"/>
              </w:rPr>
              <w:t>治理突出问题排查整治</w:t>
            </w:r>
          </w:p>
        </w:tc>
        <w:tc>
          <w:tcPr>
            <w:tcW w:w="2541" w:type="pct"/>
            <w:vAlign w:val="center"/>
          </w:tcPr>
          <w:p w:rsidR="00EE56C0" w:rsidRDefault="000F36A1">
            <w:pPr>
              <w:pStyle w:val="aff0"/>
              <w:ind w:firstLineChars="0" w:firstLine="0"/>
            </w:pPr>
            <w:r>
              <w:rPr>
                <w:rFonts w:hint="eastAsia"/>
              </w:rPr>
              <w:t>严格落实《关于加快解决当前挥发性有机物治理突出问题的通知》有关要求，高质量完成排查治理工作。</w:t>
            </w:r>
            <w:r>
              <w:rPr>
                <w:rFonts w:hint="eastAsia"/>
              </w:rPr>
              <w:t>2021</w:t>
            </w:r>
            <w:r>
              <w:rPr>
                <w:rFonts w:hint="eastAsia"/>
              </w:rPr>
              <w:t>年</w:t>
            </w:r>
            <w:r>
              <w:rPr>
                <w:rFonts w:hint="eastAsia"/>
              </w:rPr>
              <w:t>10</w:t>
            </w:r>
            <w:r>
              <w:rPr>
                <w:rFonts w:hint="eastAsia"/>
              </w:rPr>
              <w:t>月底前，以石化、化工、工业涂装、包装印刷以及油品储运销为重点，结合本地特色产业，组织企业针对挥发性有机液体储罐、装卸、敞开液面、泄漏检测与修复、废气收集、废气旁路、治理设施、加油站、非正常工况、产品</w:t>
            </w:r>
            <w:r>
              <w:rPr>
                <w:rFonts w:hint="eastAsia"/>
              </w:rPr>
              <w:t xml:space="preserve">VOCs </w:t>
            </w:r>
            <w:r>
              <w:rPr>
                <w:rFonts w:hint="eastAsia"/>
              </w:rPr>
              <w:t>含量等</w:t>
            </w:r>
            <w:r>
              <w:rPr>
                <w:rFonts w:hint="eastAsia"/>
              </w:rPr>
              <w:t>10</w:t>
            </w:r>
            <w:r>
              <w:rPr>
                <w:rFonts w:hint="eastAsia"/>
              </w:rPr>
              <w:t>个关键环节完成一轮排查工作。在企业自查基础上，各地生态环境部门开展一轮检查抽测，对排污许可重点管理企业全覆盖。</w:t>
            </w:r>
            <w:r>
              <w:rPr>
                <w:rFonts w:hint="eastAsia"/>
              </w:rPr>
              <w:t>2021</w:t>
            </w:r>
            <w:r>
              <w:rPr>
                <w:rFonts w:hint="eastAsia"/>
              </w:rPr>
              <w:t>年</w:t>
            </w:r>
            <w:r>
              <w:rPr>
                <w:rFonts w:hint="eastAsia"/>
              </w:rPr>
              <w:t>12</w:t>
            </w:r>
            <w:r>
              <w:rPr>
                <w:rFonts w:hint="eastAsia"/>
              </w:rPr>
              <w:t>月底前，各地对检查抽测以及夏季臭氧污染防治监督帮扶工作中发现存在的突出问题，指导企业制定整改方案加快按照治理要求进行整治，提高</w:t>
            </w:r>
            <w:r>
              <w:rPr>
                <w:rFonts w:hint="eastAsia"/>
              </w:rPr>
              <w:t>VOCs</w:t>
            </w:r>
            <w:r>
              <w:rPr>
                <w:rFonts w:hint="eastAsia"/>
              </w:rPr>
              <w:t>治理工作的针对性和有效性，做到“夏病冬治”。加强国家和地方涂料、油墨、胶粘剂、清洗剂等产品</w:t>
            </w:r>
            <w:r>
              <w:rPr>
                <w:rFonts w:hint="eastAsia"/>
              </w:rPr>
              <w:t>VOCs</w:t>
            </w:r>
            <w:r>
              <w:rPr>
                <w:rFonts w:hint="eastAsia"/>
              </w:rPr>
              <w:t>含量限值标准执行情况的监督检查。培育树立一批</w:t>
            </w:r>
            <w:r>
              <w:rPr>
                <w:rFonts w:hint="eastAsia"/>
              </w:rPr>
              <w:t>VOCs</w:t>
            </w:r>
            <w:r>
              <w:rPr>
                <w:rFonts w:hint="eastAsia"/>
              </w:rPr>
              <w:t>治理的标杆企业，加大宣传力度，形成带动效应。</w:t>
            </w:r>
          </w:p>
        </w:tc>
        <w:tc>
          <w:tcPr>
            <w:tcW w:w="1339" w:type="pct"/>
            <w:vAlign w:val="center"/>
          </w:tcPr>
          <w:p w:rsidR="00EE56C0" w:rsidRDefault="000F36A1">
            <w:pPr>
              <w:pStyle w:val="aff0"/>
              <w:ind w:firstLine="210"/>
            </w:pPr>
            <w:r>
              <w:rPr>
                <w:rFonts w:hint="eastAsia"/>
              </w:rPr>
              <w:t>本项目属于电气机械和器材制造业，含浸漆工艺，企业在废气收集方面做到应收尽收，无应急旁路，治理设施属于高效措施，产品</w:t>
            </w:r>
            <w:r>
              <w:rPr>
                <w:rFonts w:hint="eastAsia"/>
              </w:rPr>
              <w:t xml:space="preserve">VOCs </w:t>
            </w:r>
            <w:r>
              <w:rPr>
                <w:rFonts w:hint="eastAsia"/>
              </w:rPr>
              <w:t>含量符合相关技术要求。</w:t>
            </w:r>
          </w:p>
        </w:tc>
        <w:tc>
          <w:tcPr>
            <w:tcW w:w="439" w:type="pct"/>
            <w:vAlign w:val="center"/>
          </w:tcPr>
          <w:p w:rsidR="00EE56C0" w:rsidRDefault="000F36A1">
            <w:pPr>
              <w:pStyle w:val="afa"/>
            </w:pPr>
            <w:r>
              <w:rPr>
                <w:rFonts w:hint="eastAsia"/>
              </w:rPr>
              <w:t>符合</w:t>
            </w:r>
          </w:p>
        </w:tc>
      </w:tr>
    </w:tbl>
    <w:p w:rsidR="00EE56C0" w:rsidRDefault="000F36A1">
      <w:pPr>
        <w:pStyle w:val="3"/>
        <w:spacing w:before="240" w:after="120"/>
      </w:pPr>
      <w:r>
        <w:rPr>
          <w:rFonts w:hint="eastAsia"/>
        </w:rPr>
        <w:t>2.11.4</w:t>
      </w:r>
      <w:r>
        <w:rPr>
          <w:rFonts w:hint="eastAsia"/>
        </w:rPr>
        <w:t>与</w:t>
      </w:r>
      <w:r>
        <w:t>《新乡市</w:t>
      </w:r>
      <w:r>
        <w:t>2021</w:t>
      </w:r>
      <w:r>
        <w:t>年大气、水、土壤污染防治攻坚战及农业农村污染治理攻坚战实施方案》（新环攻坚办〔</w:t>
      </w:r>
      <w:r>
        <w:t>2021</w:t>
      </w:r>
      <w:r>
        <w:t>〕</w:t>
      </w:r>
      <w:r>
        <w:t>90</w:t>
      </w:r>
      <w:r>
        <w:t>号）</w:t>
      </w:r>
      <w:r>
        <w:rPr>
          <w:rFonts w:hint="eastAsia"/>
        </w:rPr>
        <w:t>相符性分析</w:t>
      </w:r>
    </w:p>
    <w:p w:rsidR="00EE56C0" w:rsidRDefault="000F36A1">
      <w:pPr>
        <w:ind w:firstLine="480"/>
      </w:pPr>
      <w:r>
        <w:rPr>
          <w:rFonts w:hint="eastAsia"/>
        </w:rPr>
        <w:t>根据《新乡市环境污染防治攻坚指挥部办公室关于印发新乡市</w:t>
      </w:r>
      <w:r>
        <w:rPr>
          <w:rFonts w:hint="eastAsia"/>
        </w:rPr>
        <w:t>2021</w:t>
      </w:r>
      <w:r>
        <w:rPr>
          <w:rFonts w:hint="eastAsia"/>
        </w:rPr>
        <w:t>年大气、水、土壤污染防治攻坚战及农业农村污染治理攻坚战实施方案的通知》（新环攻坚办〔</w:t>
      </w:r>
      <w:r>
        <w:rPr>
          <w:rFonts w:hint="eastAsia"/>
        </w:rPr>
        <w:t>2021</w:t>
      </w:r>
      <w:r>
        <w:rPr>
          <w:rFonts w:hint="eastAsia"/>
        </w:rPr>
        <w:t>〕</w:t>
      </w:r>
      <w:r>
        <w:rPr>
          <w:rFonts w:hint="eastAsia"/>
        </w:rPr>
        <w:t>90</w:t>
      </w:r>
      <w:r>
        <w:rPr>
          <w:rFonts w:hint="eastAsia"/>
        </w:rPr>
        <w:t>号）的内容，结合本项目的情况，该方案中涉及到本项目的内容与本项目实际情况的对比情况有：</w:t>
      </w:r>
    </w:p>
    <w:p w:rsidR="00EE56C0" w:rsidRDefault="000F36A1">
      <w:pPr>
        <w:pStyle w:val="afd"/>
        <w:spacing w:before="120" w:after="120"/>
        <w:ind w:firstLine="482"/>
      </w:pPr>
      <w:r>
        <w:t>表</w:t>
      </w:r>
      <w:r>
        <w:rPr>
          <w:rFonts w:hint="eastAsia"/>
        </w:rPr>
        <w:t xml:space="preserve">2-19  </w:t>
      </w:r>
      <w:r>
        <w:rPr>
          <w:rFonts w:hint="eastAsia"/>
        </w:rPr>
        <w:t>本项目建设与《新环攻坚办〔</w:t>
      </w:r>
      <w:r>
        <w:rPr>
          <w:rFonts w:hint="eastAsia"/>
        </w:rPr>
        <w:t>2021</w:t>
      </w:r>
      <w:r>
        <w:rPr>
          <w:rFonts w:hint="eastAsia"/>
        </w:rPr>
        <w:t>〕</w:t>
      </w:r>
      <w:r>
        <w:rPr>
          <w:rFonts w:hint="eastAsia"/>
        </w:rPr>
        <w:t>90</w:t>
      </w:r>
      <w:r>
        <w:rPr>
          <w:rFonts w:hint="eastAsia"/>
        </w:rPr>
        <w:t>号》</w:t>
      </w:r>
      <w:r>
        <w:t>对比分析表</w:t>
      </w:r>
    </w:p>
    <w:tbl>
      <w:tblPr>
        <w:tblW w:w="5000" w:type="pct"/>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tblPr>
      <w:tblGrid>
        <w:gridCol w:w="1162"/>
        <w:gridCol w:w="4051"/>
        <w:gridCol w:w="2268"/>
        <w:gridCol w:w="1047"/>
      </w:tblGrid>
      <w:tr w:rsidR="00EE56C0">
        <w:trPr>
          <w:trHeight w:val="397"/>
        </w:trPr>
        <w:tc>
          <w:tcPr>
            <w:tcW w:w="681" w:type="pct"/>
            <w:vAlign w:val="center"/>
          </w:tcPr>
          <w:p w:rsidR="00EE56C0" w:rsidRDefault="000F36A1">
            <w:pPr>
              <w:pStyle w:val="aff1"/>
              <w:rPr>
                <w:color w:val="auto"/>
              </w:rPr>
            </w:pPr>
            <w:r>
              <w:rPr>
                <w:rFonts w:hint="eastAsia"/>
                <w:color w:val="auto"/>
              </w:rPr>
              <w:t>项目</w:t>
            </w:r>
          </w:p>
        </w:tc>
        <w:tc>
          <w:tcPr>
            <w:tcW w:w="2375" w:type="pct"/>
            <w:vAlign w:val="center"/>
          </w:tcPr>
          <w:p w:rsidR="00EE56C0" w:rsidRDefault="000F36A1">
            <w:pPr>
              <w:pStyle w:val="aff1"/>
              <w:rPr>
                <w:color w:val="auto"/>
              </w:rPr>
            </w:pPr>
            <w:r>
              <w:rPr>
                <w:rFonts w:hint="eastAsia"/>
                <w:color w:val="auto"/>
              </w:rPr>
              <w:t>实施方案</w:t>
            </w:r>
          </w:p>
        </w:tc>
        <w:tc>
          <w:tcPr>
            <w:tcW w:w="1330" w:type="pct"/>
            <w:vAlign w:val="center"/>
          </w:tcPr>
          <w:p w:rsidR="00EE56C0" w:rsidRDefault="000F36A1">
            <w:pPr>
              <w:pStyle w:val="aff1"/>
              <w:rPr>
                <w:color w:val="auto"/>
              </w:rPr>
            </w:pPr>
            <w:r>
              <w:rPr>
                <w:rFonts w:hint="eastAsia"/>
                <w:color w:val="auto"/>
              </w:rPr>
              <w:t>本项目建设情况</w:t>
            </w:r>
          </w:p>
        </w:tc>
        <w:tc>
          <w:tcPr>
            <w:tcW w:w="614" w:type="pct"/>
            <w:vAlign w:val="center"/>
          </w:tcPr>
          <w:p w:rsidR="00EE56C0" w:rsidRDefault="000F36A1">
            <w:pPr>
              <w:pStyle w:val="aff1"/>
              <w:rPr>
                <w:color w:val="auto"/>
              </w:rPr>
            </w:pPr>
            <w:r>
              <w:rPr>
                <w:rFonts w:hint="eastAsia"/>
                <w:color w:val="auto"/>
              </w:rPr>
              <w:t>是否符合要求</w:t>
            </w:r>
          </w:p>
        </w:tc>
      </w:tr>
      <w:tr w:rsidR="00EE56C0">
        <w:trPr>
          <w:trHeight w:val="397"/>
        </w:trPr>
        <w:tc>
          <w:tcPr>
            <w:tcW w:w="5000" w:type="pct"/>
            <w:gridSpan w:val="4"/>
            <w:vAlign w:val="center"/>
          </w:tcPr>
          <w:p w:rsidR="00EE56C0" w:rsidRDefault="000F36A1">
            <w:pPr>
              <w:pStyle w:val="aff1"/>
              <w:rPr>
                <w:color w:val="auto"/>
              </w:rPr>
            </w:pPr>
            <w:r>
              <w:rPr>
                <w:rFonts w:hint="eastAsia"/>
                <w:color w:val="auto"/>
              </w:rPr>
              <w:t>新乡市</w:t>
            </w:r>
            <w:r>
              <w:rPr>
                <w:rFonts w:hint="eastAsia"/>
                <w:color w:val="auto"/>
              </w:rPr>
              <w:t>2021</w:t>
            </w:r>
            <w:r>
              <w:rPr>
                <w:rFonts w:hint="eastAsia"/>
                <w:color w:val="auto"/>
              </w:rPr>
              <w:t>年大气污染防治攻坚战实施方案</w:t>
            </w:r>
          </w:p>
        </w:tc>
      </w:tr>
      <w:tr w:rsidR="00EE56C0">
        <w:trPr>
          <w:trHeight w:val="397"/>
        </w:trPr>
        <w:tc>
          <w:tcPr>
            <w:tcW w:w="681" w:type="pct"/>
            <w:vAlign w:val="center"/>
          </w:tcPr>
          <w:p w:rsidR="00EE56C0" w:rsidRDefault="000F36A1">
            <w:pPr>
              <w:pStyle w:val="afa"/>
            </w:pPr>
            <w:r>
              <w:rPr>
                <w:rFonts w:hint="eastAsia"/>
              </w:rPr>
              <w:t>2.</w:t>
            </w:r>
            <w:r>
              <w:rPr>
                <w:rFonts w:hint="eastAsia"/>
              </w:rPr>
              <w:t>严格环境准入</w:t>
            </w:r>
          </w:p>
        </w:tc>
        <w:tc>
          <w:tcPr>
            <w:tcW w:w="2375" w:type="pct"/>
            <w:vAlign w:val="center"/>
          </w:tcPr>
          <w:p w:rsidR="00EE56C0" w:rsidRDefault="000F36A1">
            <w:pPr>
              <w:pStyle w:val="aff0"/>
              <w:ind w:firstLineChars="0" w:firstLine="0"/>
            </w:pPr>
            <w:r>
              <w:rPr>
                <w:rFonts w:hint="eastAsia"/>
              </w:rPr>
              <w:t>落实“三线一单”（生态保护红线、环境质量底线、资源利用上线和生态环境准入清单）生态环境分区管控要求，从严从紧从实控制高耗能、高排放项目建设，全市原则上禁止新建、扩建单纯新增产能的钢铁、电解铝、水泥、平板玻璃、传统煤化</w:t>
            </w:r>
            <w:r>
              <w:rPr>
                <w:rFonts w:hint="eastAsia"/>
              </w:rPr>
              <w:lastRenderedPageBreak/>
              <w:t>工（甲醇、合成氨）、焦化、铸造、铝用炭素、耐火材料制品、砖瓦窑、铅锌冶炼</w:t>
            </w:r>
            <w:r>
              <w:rPr>
                <w:rFonts w:hint="eastAsia"/>
              </w:rPr>
              <w:t>(</w:t>
            </w:r>
            <w:r>
              <w:rPr>
                <w:rFonts w:hint="eastAsia"/>
              </w:rPr>
              <w:t>含再生铅</w:t>
            </w:r>
            <w:r>
              <w:rPr>
                <w:rFonts w:hint="eastAsia"/>
              </w:rPr>
              <w:t>)</w:t>
            </w:r>
            <w:r>
              <w:rPr>
                <w:rFonts w:hint="eastAsia"/>
              </w:rPr>
              <w:t>等高耗能、高排放和产能过剩的产业项目，严格项目备案审查，强化项目现场核查，保持违规新增产能项目露头就打的高压态势。完善生态环境准入清单，强化项目环评及“三同时”管理，国家、省绩效分级重点行业的新建、改建、扩建项目达到</w:t>
            </w:r>
            <w:r>
              <w:rPr>
                <w:rFonts w:hint="eastAsia"/>
              </w:rPr>
              <w:t>B</w:t>
            </w:r>
            <w:r>
              <w:rPr>
                <w:rFonts w:hint="eastAsia"/>
              </w:rPr>
              <w:t>级以上要求。</w:t>
            </w:r>
          </w:p>
        </w:tc>
        <w:tc>
          <w:tcPr>
            <w:tcW w:w="1330" w:type="pct"/>
            <w:vAlign w:val="center"/>
          </w:tcPr>
          <w:p w:rsidR="00EE56C0" w:rsidRDefault="000F36A1">
            <w:pPr>
              <w:pStyle w:val="aff0"/>
              <w:ind w:firstLineChars="0" w:firstLine="0"/>
            </w:pPr>
            <w:r>
              <w:rPr>
                <w:rFonts w:hint="eastAsia"/>
              </w:rPr>
              <w:lastRenderedPageBreak/>
              <w:t>本项目为改扩建项目，不属于钢铁、电解铝、水泥、平板玻璃、传统煤化工（甲醇、合成氨）、焦化、铸造、铝用炭素、砖瓦窑、铅锌</w:t>
            </w:r>
            <w:r>
              <w:rPr>
                <w:rFonts w:hint="eastAsia"/>
              </w:rPr>
              <w:lastRenderedPageBreak/>
              <w:t>冶炼（含再生铅）等高耗能、高排放和产能过剩的产业项目。</w:t>
            </w:r>
          </w:p>
          <w:p w:rsidR="00EE56C0" w:rsidRDefault="000F36A1">
            <w:pPr>
              <w:pStyle w:val="aff0"/>
              <w:ind w:firstLineChars="0" w:firstLine="0"/>
            </w:pPr>
            <w:r>
              <w:rPr>
                <w:rFonts w:hint="eastAsia"/>
              </w:rPr>
              <w:t>本项目将严格按照生态环境准入要求建设，按要求进行环评及</w:t>
            </w:r>
            <w:r>
              <w:t>“</w:t>
            </w:r>
            <w:r>
              <w:rPr>
                <w:rFonts w:hint="eastAsia"/>
              </w:rPr>
              <w:t>三同时</w:t>
            </w:r>
            <w:r>
              <w:t>”</w:t>
            </w:r>
            <w:r>
              <w:rPr>
                <w:rFonts w:hint="eastAsia"/>
              </w:rPr>
              <w:t>建设，本项目将按国家、省绩效分级</w:t>
            </w:r>
            <w:r>
              <w:t>B</w:t>
            </w:r>
            <w:r>
              <w:rPr>
                <w:rFonts w:hint="eastAsia"/>
              </w:rPr>
              <w:t>级以上要求进行建设。</w:t>
            </w:r>
          </w:p>
        </w:tc>
        <w:tc>
          <w:tcPr>
            <w:tcW w:w="614" w:type="pct"/>
            <w:vAlign w:val="center"/>
          </w:tcPr>
          <w:p w:rsidR="00EE56C0" w:rsidRDefault="000F36A1">
            <w:pPr>
              <w:pStyle w:val="afa"/>
            </w:pPr>
            <w:r>
              <w:rPr>
                <w:rFonts w:hint="eastAsia"/>
              </w:rPr>
              <w:lastRenderedPageBreak/>
              <w:t>符合</w:t>
            </w:r>
          </w:p>
        </w:tc>
      </w:tr>
      <w:tr w:rsidR="00EE56C0">
        <w:trPr>
          <w:trHeight w:val="397"/>
        </w:trPr>
        <w:tc>
          <w:tcPr>
            <w:tcW w:w="681" w:type="pct"/>
            <w:vAlign w:val="center"/>
          </w:tcPr>
          <w:p w:rsidR="00EE56C0" w:rsidRDefault="000F36A1">
            <w:pPr>
              <w:pStyle w:val="afa"/>
            </w:pPr>
            <w:r>
              <w:rPr>
                <w:rFonts w:hint="eastAsia"/>
              </w:rPr>
              <w:lastRenderedPageBreak/>
              <w:t>3</w:t>
            </w:r>
            <w:r>
              <w:rPr>
                <w:rFonts w:hint="eastAsia"/>
              </w:rPr>
              <w:t>、加快落后产能淘汰</w:t>
            </w:r>
          </w:p>
        </w:tc>
        <w:tc>
          <w:tcPr>
            <w:tcW w:w="2375" w:type="pct"/>
            <w:vAlign w:val="center"/>
          </w:tcPr>
          <w:p w:rsidR="00EE56C0" w:rsidRDefault="000F36A1">
            <w:pPr>
              <w:pStyle w:val="aff0"/>
              <w:ind w:firstLineChars="0" w:firstLine="0"/>
            </w:pPr>
            <w:r>
              <w:rPr>
                <w:rFonts w:hint="eastAsia"/>
              </w:rPr>
              <w:t>按照《河南省淘汰落后产能综合标准体系（</w:t>
            </w:r>
            <w:r>
              <w:rPr>
                <w:rFonts w:hint="eastAsia"/>
              </w:rPr>
              <w:t>2020</w:t>
            </w:r>
            <w:r>
              <w:rPr>
                <w:rFonts w:hint="eastAsia"/>
              </w:rPr>
              <w:t>年本）》，严格执行能耗、环保、质量、安全、技术等法规标准。工业和信息化部门牵头组织相关部门按照省定工作方案要求，对国家和我省明确的落后生产工艺装备和落后产品，开展全面排查摸底，实施落后产能清零行动，巩固落后产能淘汰工作成效，于</w:t>
            </w:r>
            <w:r>
              <w:rPr>
                <w:rFonts w:hint="eastAsia"/>
              </w:rPr>
              <w:t>2021</w:t>
            </w:r>
            <w:r>
              <w:rPr>
                <w:rFonts w:hint="eastAsia"/>
              </w:rPr>
              <w:t>年</w:t>
            </w:r>
            <w:r>
              <w:rPr>
                <w:rFonts w:hint="eastAsia"/>
              </w:rPr>
              <w:t>10</w:t>
            </w:r>
            <w:r>
              <w:rPr>
                <w:rFonts w:hint="eastAsia"/>
              </w:rPr>
              <w:t>月底前完成淘汰落后产能项目验收工作。</w:t>
            </w:r>
          </w:p>
        </w:tc>
        <w:tc>
          <w:tcPr>
            <w:tcW w:w="1330" w:type="pct"/>
            <w:vAlign w:val="center"/>
          </w:tcPr>
          <w:p w:rsidR="00EE56C0" w:rsidRDefault="000F36A1">
            <w:pPr>
              <w:pStyle w:val="aff0"/>
              <w:ind w:firstLineChars="0" w:firstLine="0"/>
            </w:pPr>
            <w:r>
              <w:t>本项目建成后</w:t>
            </w:r>
            <w:r>
              <w:rPr>
                <w:rFonts w:hint="eastAsia"/>
              </w:rPr>
              <w:t>将</w:t>
            </w:r>
            <w:r>
              <w:t>按照</w:t>
            </w:r>
            <w:r>
              <w:rPr>
                <w:rFonts w:hint="eastAsia"/>
              </w:rPr>
              <w:t>《河南省淘汰落后产能综合标准体系（</w:t>
            </w:r>
            <w:r>
              <w:t>2020</w:t>
            </w:r>
            <w:r>
              <w:rPr>
                <w:rFonts w:hint="eastAsia"/>
              </w:rPr>
              <w:t>年本）》严格执行能耗、环保、质量、安全、技术等法规标准。本项目不涉及落后生产工艺装备和落后产品。</w:t>
            </w:r>
          </w:p>
        </w:tc>
        <w:tc>
          <w:tcPr>
            <w:tcW w:w="614" w:type="pct"/>
            <w:vAlign w:val="center"/>
          </w:tcPr>
          <w:p w:rsidR="00EE56C0" w:rsidRDefault="000F36A1">
            <w:pPr>
              <w:pStyle w:val="afa"/>
            </w:pPr>
            <w:r>
              <w:rPr>
                <w:rFonts w:hint="eastAsia"/>
              </w:rPr>
              <w:t>符合</w:t>
            </w:r>
          </w:p>
        </w:tc>
      </w:tr>
      <w:tr w:rsidR="00EE56C0">
        <w:trPr>
          <w:trHeight w:val="397"/>
        </w:trPr>
        <w:tc>
          <w:tcPr>
            <w:tcW w:w="681" w:type="pct"/>
            <w:vAlign w:val="center"/>
          </w:tcPr>
          <w:p w:rsidR="00EE56C0" w:rsidRDefault="000F36A1">
            <w:pPr>
              <w:pStyle w:val="afa"/>
            </w:pPr>
            <w:r>
              <w:rPr>
                <w:rFonts w:hint="eastAsia"/>
              </w:rPr>
              <w:t>6</w:t>
            </w:r>
            <w:r>
              <w:rPr>
                <w:rFonts w:hint="eastAsia"/>
              </w:rPr>
              <w:t>、持续排查整治“散乱污”企业</w:t>
            </w:r>
          </w:p>
        </w:tc>
        <w:tc>
          <w:tcPr>
            <w:tcW w:w="2375" w:type="pct"/>
            <w:vAlign w:val="center"/>
          </w:tcPr>
          <w:p w:rsidR="00EE56C0" w:rsidRDefault="000F36A1">
            <w:pPr>
              <w:pStyle w:val="aff0"/>
              <w:ind w:firstLineChars="0" w:firstLine="0"/>
            </w:pPr>
            <w:r>
              <w:rPr>
                <w:rFonts w:hint="eastAsia"/>
              </w:rPr>
              <w:t>健全落实省、市、县、乡四级联动监管机制，压实县（市、区）、乡镇（街道）主体责任，加强环境监管和巡查检查，实行拉网式排查和清单式、台账式、网格化管理，坚决杜绝“散乱污”企业项目建设和已取缔的“散乱污”企业死灰复燃、异地转移。</w:t>
            </w:r>
          </w:p>
        </w:tc>
        <w:tc>
          <w:tcPr>
            <w:tcW w:w="1330" w:type="pct"/>
            <w:vAlign w:val="center"/>
          </w:tcPr>
          <w:p w:rsidR="00EE56C0" w:rsidRDefault="000F36A1">
            <w:pPr>
              <w:pStyle w:val="aff0"/>
              <w:ind w:firstLineChars="0" w:firstLine="0"/>
            </w:pPr>
            <w:r>
              <w:rPr>
                <w:rFonts w:hint="eastAsia"/>
              </w:rPr>
              <w:t>本项目不属于“散乱污”企业，将严格按照管理要求进行建设及生产。</w:t>
            </w:r>
          </w:p>
        </w:tc>
        <w:tc>
          <w:tcPr>
            <w:tcW w:w="614" w:type="pct"/>
            <w:vAlign w:val="center"/>
          </w:tcPr>
          <w:p w:rsidR="00EE56C0" w:rsidRDefault="000F36A1">
            <w:pPr>
              <w:pStyle w:val="afa"/>
            </w:pPr>
            <w:r>
              <w:rPr>
                <w:rFonts w:hint="eastAsia"/>
              </w:rPr>
              <w:t>符合</w:t>
            </w:r>
          </w:p>
        </w:tc>
      </w:tr>
      <w:tr w:rsidR="00EE56C0">
        <w:trPr>
          <w:trHeight w:val="397"/>
        </w:trPr>
        <w:tc>
          <w:tcPr>
            <w:tcW w:w="681" w:type="pct"/>
            <w:vAlign w:val="center"/>
          </w:tcPr>
          <w:p w:rsidR="00EE56C0" w:rsidRDefault="000F36A1">
            <w:pPr>
              <w:pStyle w:val="afa"/>
            </w:pPr>
            <w:r>
              <w:rPr>
                <w:rFonts w:hint="eastAsia"/>
              </w:rPr>
              <w:t>23</w:t>
            </w:r>
            <w:r>
              <w:rPr>
                <w:rFonts w:hint="eastAsia"/>
              </w:rPr>
              <w:t>、开展工业企业全面达标行动</w:t>
            </w:r>
          </w:p>
        </w:tc>
        <w:tc>
          <w:tcPr>
            <w:tcW w:w="2375" w:type="pct"/>
            <w:vAlign w:val="center"/>
          </w:tcPr>
          <w:p w:rsidR="00EE56C0" w:rsidRDefault="000F36A1">
            <w:pPr>
              <w:pStyle w:val="aff0"/>
              <w:ind w:firstLineChars="0" w:firstLine="0"/>
            </w:pPr>
            <w:r>
              <w:rPr>
                <w:rFonts w:hint="eastAsia"/>
              </w:rPr>
              <w:t>贯彻落实《排污许可管理条例》，按照源头预防、过程控制、清洁生产、损害赔偿、责任追究，实现固定污染源全过程管理。严格执行国家和河南省大气污染物排放标准，持续推进电力、水泥、铝工业、碳素、陶瓷、砖瓦窑、铸造、铁合金、耐材、玻璃、有色金属冶炼及压延、化工、包装印刷行业和其他涉及工业涂装、工业窑炉、锅炉等行业废气污染物全面达标排放，将烟气在线监测数据作为执法依据，加大超标处罚和联合惩戒力度，严厉打击各类大气环境违法行为。开展重点行业企业废气污染物达标排放执法检查，对不能稳定达标排放、不满足无组织控制要求的企业，依法实施停产治理</w:t>
            </w:r>
          </w:p>
        </w:tc>
        <w:tc>
          <w:tcPr>
            <w:tcW w:w="1330" w:type="pct"/>
            <w:vAlign w:val="center"/>
          </w:tcPr>
          <w:p w:rsidR="00EE56C0" w:rsidRDefault="000F36A1">
            <w:pPr>
              <w:pStyle w:val="aff0"/>
              <w:ind w:firstLineChars="0" w:firstLine="0"/>
            </w:pPr>
            <w:r>
              <w:rPr>
                <w:rFonts w:hint="eastAsia"/>
              </w:rPr>
              <w:t>本项目将严格执行《排污许可管理条例》相关要求，配合各项管理，严格按标准进行大气污染物的排放。本项目属于工业涂装行业，废气污染物全面达标排放，将按要求做到废气。本项目将严格管理，保证稳定达标排放、满足无组织控制要求。</w:t>
            </w:r>
          </w:p>
        </w:tc>
        <w:tc>
          <w:tcPr>
            <w:tcW w:w="614" w:type="pct"/>
            <w:vAlign w:val="center"/>
          </w:tcPr>
          <w:p w:rsidR="00EE56C0" w:rsidRDefault="000F36A1">
            <w:pPr>
              <w:pStyle w:val="afa"/>
            </w:pPr>
            <w:r>
              <w:rPr>
                <w:rFonts w:hint="eastAsia"/>
              </w:rPr>
              <w:t>符合</w:t>
            </w:r>
          </w:p>
        </w:tc>
      </w:tr>
      <w:tr w:rsidR="00EE56C0">
        <w:trPr>
          <w:trHeight w:val="397"/>
        </w:trPr>
        <w:tc>
          <w:tcPr>
            <w:tcW w:w="681" w:type="pct"/>
            <w:vAlign w:val="center"/>
          </w:tcPr>
          <w:p w:rsidR="00EE56C0" w:rsidRDefault="000F36A1">
            <w:pPr>
              <w:pStyle w:val="afa"/>
            </w:pPr>
            <w:r>
              <w:rPr>
                <w:rFonts w:hint="eastAsia"/>
              </w:rPr>
              <w:t>28</w:t>
            </w:r>
            <w:r>
              <w:rPr>
                <w:rFonts w:hint="eastAsia"/>
              </w:rPr>
              <w:t>、强化重点涉气行业清洁生产审核</w:t>
            </w:r>
          </w:p>
        </w:tc>
        <w:tc>
          <w:tcPr>
            <w:tcW w:w="2375" w:type="pct"/>
            <w:vAlign w:val="center"/>
          </w:tcPr>
          <w:p w:rsidR="00EE56C0" w:rsidRDefault="000F36A1">
            <w:pPr>
              <w:pStyle w:val="aff0"/>
              <w:ind w:firstLineChars="0" w:firstLine="0"/>
            </w:pPr>
            <w:r>
              <w:rPr>
                <w:rFonts w:hint="eastAsia"/>
              </w:rPr>
              <w:t>认真落实《关于深入推进重点行业清洁生产审核工作的通知》要求，以能源、冶金、建材、有色、化工、原料药、铸造、炭素、工业涂装、包装印刷等行业作为清洁生产审核的重点，制定清洁生产审核实施方案（</w:t>
            </w:r>
            <w:r>
              <w:rPr>
                <w:rFonts w:hint="eastAsia"/>
              </w:rPr>
              <w:t xml:space="preserve">2021-2023 </w:t>
            </w:r>
            <w:r>
              <w:rPr>
                <w:rFonts w:hint="eastAsia"/>
              </w:rPr>
              <w:t>年），全面落实强制性清洁生产审核要求，将企业清洁生产审核情况纳入企业环境信用评价体系和环境信息强制性披露范围，对违反《中华人民共和国</w:t>
            </w:r>
            <w:r>
              <w:rPr>
                <w:rFonts w:hint="eastAsia"/>
              </w:rPr>
              <w:lastRenderedPageBreak/>
              <w:t>清洁生产促进法》和《清洁生产审核办法》相关规定并受到处罚的企业，依法依规上报省生态环境厅，通过“信用中国”网站等渠道向社会公布，并记入其信用记录。</w:t>
            </w:r>
          </w:p>
        </w:tc>
        <w:tc>
          <w:tcPr>
            <w:tcW w:w="1330" w:type="pct"/>
            <w:vAlign w:val="center"/>
          </w:tcPr>
          <w:p w:rsidR="00EE56C0" w:rsidRDefault="000F36A1">
            <w:pPr>
              <w:pStyle w:val="aff0"/>
              <w:ind w:firstLineChars="0" w:firstLine="0"/>
            </w:pPr>
            <w:r>
              <w:rPr>
                <w:rFonts w:hint="eastAsia"/>
              </w:rPr>
              <w:lastRenderedPageBreak/>
              <w:t>本项目属于工业涂装行业，将按照要求进行清洁生产审核。</w:t>
            </w:r>
          </w:p>
        </w:tc>
        <w:tc>
          <w:tcPr>
            <w:tcW w:w="614" w:type="pct"/>
            <w:vAlign w:val="center"/>
          </w:tcPr>
          <w:p w:rsidR="00EE56C0" w:rsidRDefault="000F36A1">
            <w:pPr>
              <w:pStyle w:val="afa"/>
            </w:pPr>
            <w:r>
              <w:rPr>
                <w:rFonts w:hint="eastAsia"/>
              </w:rPr>
              <w:t>符合</w:t>
            </w:r>
          </w:p>
        </w:tc>
      </w:tr>
      <w:tr w:rsidR="00EE56C0">
        <w:trPr>
          <w:trHeight w:val="397"/>
        </w:trPr>
        <w:tc>
          <w:tcPr>
            <w:tcW w:w="681" w:type="pct"/>
            <w:vAlign w:val="center"/>
          </w:tcPr>
          <w:p w:rsidR="00EE56C0" w:rsidRDefault="000F36A1">
            <w:pPr>
              <w:pStyle w:val="afa"/>
            </w:pPr>
            <w:r>
              <w:rPr>
                <w:rFonts w:hint="eastAsia"/>
              </w:rPr>
              <w:lastRenderedPageBreak/>
              <w:t>29</w:t>
            </w:r>
            <w:r>
              <w:rPr>
                <w:rFonts w:hint="eastAsia"/>
              </w:rPr>
              <w:t>、大力推进源头替代。</w:t>
            </w:r>
          </w:p>
        </w:tc>
        <w:tc>
          <w:tcPr>
            <w:tcW w:w="2375" w:type="pct"/>
            <w:vAlign w:val="center"/>
          </w:tcPr>
          <w:p w:rsidR="00EE56C0" w:rsidRDefault="000F36A1">
            <w:pPr>
              <w:pStyle w:val="aff0"/>
              <w:ind w:firstLineChars="0" w:firstLine="0"/>
            </w:pPr>
            <w:r>
              <w:rPr>
                <w:rFonts w:hint="eastAsia"/>
              </w:rPr>
              <w:t>通过使用水性、粉末、高固体分、无溶剂、辐射固化等低</w:t>
            </w:r>
            <w:r>
              <w:rPr>
                <w:rFonts w:hint="eastAsia"/>
              </w:rPr>
              <w:t>VOCs</w:t>
            </w:r>
            <w:r>
              <w:rPr>
                <w:rFonts w:hint="eastAsia"/>
              </w:rPr>
              <w:t>含量的涂料，水性、辐射固化、植物基等低</w:t>
            </w:r>
            <w:r>
              <w:rPr>
                <w:rFonts w:hint="eastAsia"/>
              </w:rPr>
              <w:t>VOCs</w:t>
            </w:r>
            <w:r>
              <w:rPr>
                <w:rFonts w:hint="eastAsia"/>
              </w:rPr>
              <w:t>含量的油墨，水基、热熔、无溶剂、辐射固化、改性、生物降解等低</w:t>
            </w:r>
            <w:r>
              <w:rPr>
                <w:rFonts w:hint="eastAsia"/>
              </w:rPr>
              <w:t>VOCs</w:t>
            </w:r>
            <w:r>
              <w:rPr>
                <w:rFonts w:hint="eastAsia"/>
              </w:rPr>
              <w:t>含量的胶粘剂，以及低</w:t>
            </w:r>
            <w:r>
              <w:rPr>
                <w:rFonts w:hint="eastAsia"/>
              </w:rPr>
              <w:t>VOCs</w:t>
            </w:r>
            <w:r>
              <w:rPr>
                <w:rFonts w:hint="eastAsia"/>
              </w:rPr>
              <w:t>含量、低反应活性的清洗剂等，替代溶剂型涂料、油墨、胶粘剂、清洗剂</w:t>
            </w:r>
          </w:p>
          <w:p w:rsidR="00EE56C0" w:rsidRDefault="000F36A1">
            <w:pPr>
              <w:pStyle w:val="aff0"/>
              <w:ind w:firstLineChars="0" w:firstLine="0"/>
            </w:pPr>
            <w:r>
              <w:rPr>
                <w:rFonts w:hint="eastAsia"/>
              </w:rPr>
              <w:t>等，从源头减少</w:t>
            </w:r>
            <w:r>
              <w:rPr>
                <w:rFonts w:hint="eastAsia"/>
              </w:rPr>
              <w:t>VOCs</w:t>
            </w:r>
            <w:r>
              <w:rPr>
                <w:rFonts w:hint="eastAsia"/>
              </w:rPr>
              <w:t>产生。加强对全市低</w:t>
            </w:r>
            <w:r>
              <w:rPr>
                <w:rFonts w:hint="eastAsia"/>
              </w:rPr>
              <w:t>VOCs</w:t>
            </w:r>
            <w:r>
              <w:rPr>
                <w:rFonts w:hint="eastAsia"/>
              </w:rPr>
              <w:t>含量涂料、油墨、胶粘剂、清洗剂等产品生产销售环节监管，严厉打击劣质不合格产品。全省家具制造、制鞋、汽车整车制造、工程机械整机制造、包装印刷及含涂装工序企业，</w:t>
            </w:r>
            <w:r>
              <w:rPr>
                <w:rFonts w:hint="eastAsia"/>
              </w:rPr>
              <w:t>2021</w:t>
            </w:r>
            <w:r>
              <w:rPr>
                <w:rFonts w:hint="eastAsia"/>
              </w:rPr>
              <w:t>年</w:t>
            </w:r>
            <w:r>
              <w:rPr>
                <w:rFonts w:hint="eastAsia"/>
              </w:rPr>
              <w:t>5</w:t>
            </w:r>
            <w:r>
              <w:rPr>
                <w:rFonts w:hint="eastAsia"/>
              </w:rPr>
              <w:t>月底前原辅材料达到重点行业绩效分级</w:t>
            </w:r>
            <w:r>
              <w:rPr>
                <w:rFonts w:hint="eastAsia"/>
              </w:rPr>
              <w:t>B</w:t>
            </w:r>
            <w:r>
              <w:rPr>
                <w:rFonts w:hint="eastAsia"/>
              </w:rPr>
              <w:t>级及以上或绩效引领指标要求，达不到要求的企业纳入包括夏季在内的错峰生产调控。</w:t>
            </w:r>
          </w:p>
        </w:tc>
        <w:tc>
          <w:tcPr>
            <w:tcW w:w="1330" w:type="pct"/>
            <w:vAlign w:val="center"/>
          </w:tcPr>
          <w:p w:rsidR="00EE56C0" w:rsidRDefault="000F36A1">
            <w:pPr>
              <w:pStyle w:val="aff0"/>
              <w:ind w:firstLineChars="0" w:firstLine="0"/>
            </w:pPr>
            <w:r>
              <w:rPr>
                <w:rFonts w:hint="eastAsia"/>
              </w:rPr>
              <w:t>本项目所用绝缘漆主要为聚酯漆和聚酰胺酰亚胺漆，聚酯漆主要成分为聚酯树脂</w:t>
            </w:r>
            <w:r>
              <w:rPr>
                <w:rFonts w:hint="eastAsia"/>
              </w:rPr>
              <w:t>44%</w:t>
            </w:r>
            <w:r>
              <w:rPr>
                <w:rFonts w:hint="eastAsia"/>
              </w:rPr>
              <w:t>、甲酚</w:t>
            </w:r>
            <w:r>
              <w:rPr>
                <w:rFonts w:hint="eastAsia"/>
              </w:rPr>
              <w:t>20-50%</w:t>
            </w:r>
            <w:r>
              <w:rPr>
                <w:rFonts w:hint="eastAsia"/>
              </w:rPr>
              <w:t>、芳烃溶剂油</w:t>
            </w:r>
            <w:r>
              <w:rPr>
                <w:rFonts w:hint="eastAsia"/>
              </w:rPr>
              <w:t>10-20%</w:t>
            </w:r>
            <w:r>
              <w:rPr>
                <w:rFonts w:hint="eastAsia"/>
              </w:rPr>
              <w:t>；聚酰胺酰亚胺漆主要成分为聚酰胺酰亚胺树脂</w:t>
            </w:r>
            <w:r>
              <w:rPr>
                <w:rFonts w:hint="eastAsia"/>
              </w:rPr>
              <w:t>20-40%</w:t>
            </w:r>
            <w:r>
              <w:rPr>
                <w:rFonts w:hint="eastAsia"/>
              </w:rPr>
              <w:t>、</w:t>
            </w:r>
            <w:r>
              <w:rPr>
                <w:rFonts w:hint="eastAsia"/>
              </w:rPr>
              <w:t>NMP-</w:t>
            </w:r>
            <w:r>
              <w:rPr>
                <w:rFonts w:hint="eastAsia"/>
              </w:rPr>
              <w:t>甲基吡咯烷酮</w:t>
            </w:r>
            <w:r>
              <w:rPr>
                <w:rFonts w:hint="eastAsia"/>
              </w:rPr>
              <w:t>20-70%</w:t>
            </w:r>
            <w:r>
              <w:rPr>
                <w:rFonts w:hint="eastAsia"/>
              </w:rPr>
              <w:t>、二甲苯</w:t>
            </w:r>
            <w:r>
              <w:rPr>
                <w:rFonts w:hint="eastAsia"/>
              </w:rPr>
              <w:t>0-15%</w:t>
            </w:r>
            <w:r>
              <w:rPr>
                <w:rFonts w:hint="eastAsia"/>
              </w:rPr>
              <w:t>。</w:t>
            </w:r>
          </w:p>
          <w:p w:rsidR="00EE56C0" w:rsidRDefault="000F36A1">
            <w:pPr>
              <w:pStyle w:val="aff0"/>
              <w:ind w:firstLineChars="0" w:firstLine="0"/>
            </w:pPr>
            <w:r>
              <w:rPr>
                <w:rFonts w:hint="eastAsia"/>
              </w:rPr>
              <w:t>经查《工业防护涂料中有害物质限量》标准，里边明确指出，特殊功能性涂料（包含绝缘涂料）不参照此标准。</w:t>
            </w:r>
          </w:p>
        </w:tc>
        <w:tc>
          <w:tcPr>
            <w:tcW w:w="614" w:type="pct"/>
            <w:vAlign w:val="center"/>
          </w:tcPr>
          <w:p w:rsidR="00EE56C0" w:rsidRDefault="000F36A1">
            <w:pPr>
              <w:pStyle w:val="afa"/>
            </w:pPr>
            <w:r>
              <w:rPr>
                <w:rFonts w:hint="eastAsia"/>
              </w:rPr>
              <w:t>本项目所用涂料属于重点行业绩效分级</w:t>
            </w:r>
            <w:r>
              <w:rPr>
                <w:rFonts w:hint="eastAsia"/>
              </w:rPr>
              <w:t>B</w:t>
            </w:r>
            <w:r>
              <w:rPr>
                <w:rFonts w:hint="eastAsia"/>
              </w:rPr>
              <w:t>级以上要求。</w:t>
            </w:r>
          </w:p>
        </w:tc>
      </w:tr>
      <w:tr w:rsidR="00EE56C0">
        <w:trPr>
          <w:trHeight w:val="397"/>
        </w:trPr>
        <w:tc>
          <w:tcPr>
            <w:tcW w:w="681" w:type="pct"/>
            <w:vAlign w:val="center"/>
          </w:tcPr>
          <w:p w:rsidR="00EE56C0" w:rsidRDefault="000F36A1">
            <w:pPr>
              <w:pStyle w:val="afa"/>
            </w:pPr>
            <w:r>
              <w:rPr>
                <w:rFonts w:hint="eastAsia"/>
              </w:rPr>
              <w:t>30</w:t>
            </w:r>
            <w:r>
              <w:rPr>
                <w:rFonts w:hint="eastAsia"/>
              </w:rPr>
              <w:t>、加强工业企业</w:t>
            </w:r>
            <w:r>
              <w:rPr>
                <w:rFonts w:hint="eastAsia"/>
              </w:rPr>
              <w:t xml:space="preserve">VOCs </w:t>
            </w:r>
            <w:r>
              <w:rPr>
                <w:rFonts w:hint="eastAsia"/>
              </w:rPr>
              <w:t>全过程运行管理。</w:t>
            </w:r>
          </w:p>
        </w:tc>
        <w:tc>
          <w:tcPr>
            <w:tcW w:w="2375" w:type="pct"/>
            <w:vAlign w:val="center"/>
          </w:tcPr>
          <w:p w:rsidR="00EE56C0" w:rsidRDefault="000F36A1">
            <w:pPr>
              <w:pStyle w:val="aff0"/>
              <w:ind w:firstLineChars="0" w:firstLine="0"/>
            </w:pPr>
            <w:r>
              <w:rPr>
                <w:rFonts w:hint="eastAsia"/>
              </w:rPr>
              <w:t>巩固</w:t>
            </w:r>
            <w:r>
              <w:rPr>
                <w:rFonts w:hint="eastAsia"/>
              </w:rPr>
              <w:t>VOCs</w:t>
            </w:r>
            <w:r>
              <w:rPr>
                <w:rFonts w:hint="eastAsia"/>
              </w:rPr>
              <w:t>综合治理成效，聚焦提升企业废气收集率、治理设施同步运行率和去除</w:t>
            </w:r>
          </w:p>
          <w:p w:rsidR="00EE56C0" w:rsidRDefault="000F36A1">
            <w:pPr>
              <w:pStyle w:val="aff0"/>
              <w:ind w:firstLineChars="0" w:firstLine="0"/>
            </w:pPr>
            <w:r>
              <w:rPr>
                <w:rFonts w:hint="eastAsia"/>
              </w:rPr>
              <w:t>率，鼓励企业采用高于现行标准要求的治理措施，取消废气排放系统旁路设置，因安全生产等原因必须保留的，应将旁路保留清单报市生态环境局备案并加强日常监管。强化</w:t>
            </w:r>
            <w:r>
              <w:rPr>
                <w:rFonts w:hint="eastAsia"/>
              </w:rPr>
              <w:t>VOCs</w:t>
            </w:r>
            <w:r>
              <w:rPr>
                <w:rFonts w:hint="eastAsia"/>
              </w:rPr>
              <w:t>无组织排放收集，在保证安全的前提下，实施含</w:t>
            </w:r>
            <w:r>
              <w:rPr>
                <w:rFonts w:hint="eastAsia"/>
              </w:rPr>
              <w:t>VOCs</w:t>
            </w:r>
            <w:r>
              <w:rPr>
                <w:rFonts w:hint="eastAsia"/>
              </w:rPr>
              <w:t>物料全方位、全链条、全环节密闭管理，实现厂房由开敞变密闭、由常压变负压、由逸散变聚合、空气由污浊变清新的“四由四变”目标。</w:t>
            </w:r>
            <w:r>
              <w:rPr>
                <w:rFonts w:hint="eastAsia"/>
              </w:rPr>
              <w:t>2021</w:t>
            </w:r>
            <w:r>
              <w:rPr>
                <w:rFonts w:hint="eastAsia"/>
              </w:rPr>
              <w:t>年</w:t>
            </w:r>
            <w:r>
              <w:rPr>
                <w:rFonts w:hint="eastAsia"/>
              </w:rPr>
              <w:t>5</w:t>
            </w:r>
            <w:r>
              <w:rPr>
                <w:rFonts w:hint="eastAsia"/>
              </w:rPr>
              <w:t>月起，生态环境部门组织开展夏季</w:t>
            </w:r>
            <w:r>
              <w:rPr>
                <w:rFonts w:hint="eastAsia"/>
              </w:rPr>
              <w:t>VOCs</w:t>
            </w:r>
            <w:r>
              <w:rPr>
                <w:rFonts w:hint="eastAsia"/>
              </w:rPr>
              <w:t>重点排放单位专项检查。</w:t>
            </w:r>
          </w:p>
        </w:tc>
        <w:tc>
          <w:tcPr>
            <w:tcW w:w="1330" w:type="pct"/>
            <w:vAlign w:val="center"/>
          </w:tcPr>
          <w:p w:rsidR="00EE56C0" w:rsidRDefault="000F36A1">
            <w:pPr>
              <w:pStyle w:val="aff0"/>
              <w:ind w:firstLineChars="0" w:firstLine="0"/>
            </w:pPr>
            <w:r>
              <w:rPr>
                <w:rFonts w:hint="eastAsia"/>
              </w:rPr>
              <w:t>本项目不设置废气排放系统旁路，按要求对漆料采取全方位、全链条、全环节密闭管理，实现厂房由开敞变密闭、由常压变负压、由逸散变聚合、空气由污浊变清新的目标。</w:t>
            </w:r>
          </w:p>
        </w:tc>
        <w:tc>
          <w:tcPr>
            <w:tcW w:w="614" w:type="pct"/>
            <w:vAlign w:val="center"/>
          </w:tcPr>
          <w:p w:rsidR="00EE56C0" w:rsidRDefault="000F36A1">
            <w:pPr>
              <w:pStyle w:val="afa"/>
            </w:pPr>
            <w:r>
              <w:rPr>
                <w:rFonts w:hint="eastAsia"/>
              </w:rPr>
              <w:t>符合</w:t>
            </w:r>
          </w:p>
        </w:tc>
      </w:tr>
      <w:tr w:rsidR="00EE56C0">
        <w:trPr>
          <w:trHeight w:val="397"/>
        </w:trPr>
        <w:tc>
          <w:tcPr>
            <w:tcW w:w="681" w:type="pct"/>
            <w:vAlign w:val="center"/>
          </w:tcPr>
          <w:p w:rsidR="00EE56C0" w:rsidRDefault="000F36A1">
            <w:pPr>
              <w:pStyle w:val="afa"/>
            </w:pPr>
            <w:r>
              <w:rPr>
                <w:rFonts w:hint="eastAsia"/>
              </w:rPr>
              <w:t>36</w:t>
            </w:r>
            <w:r>
              <w:rPr>
                <w:rFonts w:hint="eastAsia"/>
              </w:rPr>
              <w:t>、实施重点行业错峰生产。</w:t>
            </w:r>
          </w:p>
        </w:tc>
        <w:tc>
          <w:tcPr>
            <w:tcW w:w="2375" w:type="pct"/>
            <w:vAlign w:val="center"/>
          </w:tcPr>
          <w:p w:rsidR="00EE56C0" w:rsidRDefault="000F36A1">
            <w:pPr>
              <w:pStyle w:val="aff0"/>
              <w:ind w:firstLineChars="0" w:firstLine="0"/>
            </w:pPr>
            <w:r>
              <w:rPr>
                <w:rFonts w:hint="eastAsia"/>
              </w:rPr>
              <w:t>制定错峰生产方案，加强臭氧污染天气下的挥发性有机物排放管控措施，减少采暖期大气污染物排放。对石化、化工、制药、农药、工业涂装、包装印刷等行业，采取调整生产负荷方式分阶段或时段实施错峰生产调控。对水泥、耐材、陶瓷、砖瓦窑等生产工序不可中断或短时间难以完成停产的行业，结合生产特点和对空气质量的影响，实施错峰生产调控。结合当地工业企业布局、生产特点和对环境空气质量影</w:t>
            </w:r>
          </w:p>
          <w:p w:rsidR="00EE56C0" w:rsidRDefault="000F36A1">
            <w:pPr>
              <w:pStyle w:val="aff0"/>
              <w:ind w:firstLineChars="0" w:firstLine="0"/>
            </w:pPr>
            <w:r>
              <w:rPr>
                <w:rFonts w:hint="eastAsia"/>
              </w:rPr>
              <w:t>响，研究制定差别化的错峰生产调控措施。</w:t>
            </w:r>
          </w:p>
        </w:tc>
        <w:tc>
          <w:tcPr>
            <w:tcW w:w="1330" w:type="pct"/>
            <w:vAlign w:val="center"/>
          </w:tcPr>
          <w:p w:rsidR="00EE56C0" w:rsidRDefault="000F36A1">
            <w:pPr>
              <w:pStyle w:val="aff0"/>
              <w:ind w:firstLineChars="0" w:firstLine="0"/>
            </w:pPr>
            <w:r>
              <w:rPr>
                <w:rFonts w:hint="eastAsia"/>
              </w:rPr>
              <w:t>本项目属于工业涂装行业，按要求进行错峰生产。</w:t>
            </w:r>
          </w:p>
        </w:tc>
        <w:tc>
          <w:tcPr>
            <w:tcW w:w="614" w:type="pct"/>
            <w:vAlign w:val="center"/>
          </w:tcPr>
          <w:p w:rsidR="00EE56C0" w:rsidRDefault="00EE56C0">
            <w:pPr>
              <w:pStyle w:val="afa"/>
            </w:pPr>
          </w:p>
        </w:tc>
      </w:tr>
      <w:tr w:rsidR="00EE56C0">
        <w:trPr>
          <w:trHeight w:val="397"/>
        </w:trPr>
        <w:tc>
          <w:tcPr>
            <w:tcW w:w="5000" w:type="pct"/>
            <w:gridSpan w:val="4"/>
            <w:vAlign w:val="center"/>
          </w:tcPr>
          <w:p w:rsidR="00EE56C0" w:rsidRDefault="000F36A1">
            <w:pPr>
              <w:pStyle w:val="aff1"/>
              <w:rPr>
                <w:color w:val="auto"/>
              </w:rPr>
            </w:pPr>
            <w:r>
              <w:rPr>
                <w:rFonts w:hint="eastAsia"/>
                <w:color w:val="auto"/>
              </w:rPr>
              <w:t>新乡市</w:t>
            </w:r>
            <w:r>
              <w:rPr>
                <w:rFonts w:hint="eastAsia"/>
                <w:color w:val="auto"/>
              </w:rPr>
              <w:t>2021</w:t>
            </w:r>
            <w:r>
              <w:rPr>
                <w:rFonts w:hint="eastAsia"/>
                <w:color w:val="auto"/>
              </w:rPr>
              <w:t>年水污染防治攻坚战实施方案</w:t>
            </w:r>
          </w:p>
        </w:tc>
      </w:tr>
      <w:tr w:rsidR="00EE56C0">
        <w:trPr>
          <w:trHeight w:val="397"/>
        </w:trPr>
        <w:tc>
          <w:tcPr>
            <w:tcW w:w="681" w:type="pct"/>
            <w:vAlign w:val="center"/>
          </w:tcPr>
          <w:p w:rsidR="00EE56C0" w:rsidRDefault="000F36A1">
            <w:pPr>
              <w:pStyle w:val="afa"/>
            </w:pPr>
            <w:r>
              <w:rPr>
                <w:rFonts w:hint="eastAsia"/>
              </w:rPr>
              <w:t>五、</w:t>
            </w:r>
            <w:r>
              <w:rPr>
                <w:rFonts w:hint="eastAsia"/>
              </w:rPr>
              <w:t>4</w:t>
            </w:r>
            <w:r>
              <w:t>.</w:t>
            </w:r>
            <w:r>
              <w:rPr>
                <w:rFonts w:hint="eastAsia"/>
              </w:rPr>
              <w:t>严格环境准入</w:t>
            </w:r>
          </w:p>
        </w:tc>
        <w:tc>
          <w:tcPr>
            <w:tcW w:w="2375" w:type="pct"/>
            <w:vAlign w:val="center"/>
          </w:tcPr>
          <w:p w:rsidR="00EE56C0" w:rsidRDefault="000F36A1">
            <w:pPr>
              <w:pStyle w:val="aff0"/>
              <w:ind w:firstLineChars="0" w:firstLine="0"/>
            </w:pPr>
            <w:r>
              <w:rPr>
                <w:rFonts w:hint="eastAsia"/>
              </w:rPr>
              <w:t>深化“放、管、服”改革，强化项目事中、事后监管，提升服务水平。推进“三线一单”生态环境分区管控要求落地应用，严控新建高耗水、高排放工业项目。把好项</w:t>
            </w:r>
            <w:r>
              <w:rPr>
                <w:rFonts w:hint="eastAsia"/>
              </w:rPr>
              <w:lastRenderedPageBreak/>
              <w:t>目环境准入关。</w:t>
            </w:r>
          </w:p>
        </w:tc>
        <w:tc>
          <w:tcPr>
            <w:tcW w:w="1330" w:type="pct"/>
            <w:vAlign w:val="center"/>
          </w:tcPr>
          <w:p w:rsidR="00EE56C0" w:rsidRDefault="000F36A1">
            <w:pPr>
              <w:pStyle w:val="aff0"/>
              <w:ind w:firstLineChars="0" w:firstLine="0"/>
            </w:pPr>
            <w:r>
              <w:lastRenderedPageBreak/>
              <w:t>本项目为</w:t>
            </w:r>
            <w:r>
              <w:rPr>
                <w:rFonts w:hint="eastAsia"/>
              </w:rPr>
              <w:t>改扩</w:t>
            </w:r>
            <w:r>
              <w:t>建项目</w:t>
            </w:r>
            <w:r>
              <w:rPr>
                <w:rFonts w:hint="eastAsia"/>
              </w:rPr>
              <w:t>，严格执行“三线一单”生态环境分区管控要求。</w:t>
            </w:r>
          </w:p>
        </w:tc>
        <w:tc>
          <w:tcPr>
            <w:tcW w:w="614" w:type="pct"/>
            <w:vAlign w:val="center"/>
          </w:tcPr>
          <w:p w:rsidR="00EE56C0" w:rsidRDefault="000F36A1">
            <w:pPr>
              <w:pStyle w:val="afa"/>
            </w:pPr>
            <w:r>
              <w:t>符合</w:t>
            </w:r>
          </w:p>
        </w:tc>
      </w:tr>
      <w:tr w:rsidR="00EE56C0">
        <w:trPr>
          <w:trHeight w:val="397"/>
        </w:trPr>
        <w:tc>
          <w:tcPr>
            <w:tcW w:w="5000" w:type="pct"/>
            <w:gridSpan w:val="4"/>
            <w:vAlign w:val="center"/>
          </w:tcPr>
          <w:p w:rsidR="00EE56C0" w:rsidRDefault="000F36A1">
            <w:pPr>
              <w:pStyle w:val="aff1"/>
              <w:rPr>
                <w:color w:val="auto"/>
              </w:rPr>
            </w:pPr>
            <w:r>
              <w:rPr>
                <w:rFonts w:hint="eastAsia"/>
                <w:color w:val="auto"/>
              </w:rPr>
              <w:lastRenderedPageBreak/>
              <w:t>新乡市</w:t>
            </w:r>
            <w:r>
              <w:rPr>
                <w:rFonts w:hint="eastAsia"/>
                <w:color w:val="auto"/>
              </w:rPr>
              <w:t>2021</w:t>
            </w:r>
            <w:r>
              <w:rPr>
                <w:rFonts w:hint="eastAsia"/>
                <w:color w:val="auto"/>
              </w:rPr>
              <w:t>年土壤污染防治攻坚战实施方案</w:t>
            </w:r>
          </w:p>
        </w:tc>
      </w:tr>
      <w:tr w:rsidR="00EE56C0">
        <w:trPr>
          <w:trHeight w:val="397"/>
        </w:trPr>
        <w:tc>
          <w:tcPr>
            <w:tcW w:w="681" w:type="pct"/>
            <w:vAlign w:val="center"/>
          </w:tcPr>
          <w:p w:rsidR="00EE56C0" w:rsidRDefault="000F36A1">
            <w:pPr>
              <w:pStyle w:val="afa"/>
            </w:pPr>
            <w:r>
              <w:rPr>
                <w:rFonts w:hint="eastAsia"/>
              </w:rPr>
              <w:t>（二）</w:t>
            </w:r>
            <w:r>
              <w:rPr>
                <w:rFonts w:hint="eastAsia"/>
              </w:rPr>
              <w:t>3.</w:t>
            </w:r>
            <w:r>
              <w:rPr>
                <w:rFonts w:hint="eastAsia"/>
              </w:rPr>
              <w:t>严格危险废物管理</w:t>
            </w:r>
          </w:p>
        </w:tc>
        <w:tc>
          <w:tcPr>
            <w:tcW w:w="2375" w:type="pct"/>
            <w:vAlign w:val="center"/>
          </w:tcPr>
          <w:p w:rsidR="00EE56C0" w:rsidRDefault="000F36A1">
            <w:pPr>
              <w:pStyle w:val="aff0"/>
              <w:ind w:firstLineChars="0" w:firstLine="0"/>
              <w:jc w:val="both"/>
            </w:pPr>
            <w:r>
              <w:rPr>
                <w:rFonts w:hint="eastAsia"/>
              </w:rPr>
              <w:t>严格危险废物管理。落实危险废物“三个能力”提升方案，推进危险废物集中处置设施建设，健全危险废物收运体系，开展废铅蓄电池收集试点工作。深入开展危险废物规范化环境管理与专项整治，危险废物产生和经营单位规范化管理考核合格率均达到</w:t>
            </w:r>
            <w:r>
              <w:rPr>
                <w:rFonts w:hint="eastAsia"/>
              </w:rPr>
              <w:t>92%</w:t>
            </w:r>
            <w:r>
              <w:rPr>
                <w:rFonts w:hint="eastAsia"/>
              </w:rPr>
              <w:t>以上，动态更新危险废物“四个清单”，强化危险废物信息化管理。</w:t>
            </w:r>
          </w:p>
        </w:tc>
        <w:tc>
          <w:tcPr>
            <w:tcW w:w="1330" w:type="pct"/>
            <w:vAlign w:val="center"/>
          </w:tcPr>
          <w:p w:rsidR="00EE56C0" w:rsidRDefault="000F36A1">
            <w:pPr>
              <w:pStyle w:val="aff0"/>
              <w:ind w:firstLineChars="0" w:firstLine="0"/>
            </w:pPr>
            <w:r>
              <w:rPr>
                <w:rFonts w:hint="eastAsia"/>
              </w:rPr>
              <w:t>本项目将严格按照要求进行危险废物的规范化管理。</w:t>
            </w:r>
          </w:p>
        </w:tc>
        <w:tc>
          <w:tcPr>
            <w:tcW w:w="614" w:type="pct"/>
            <w:vAlign w:val="center"/>
          </w:tcPr>
          <w:p w:rsidR="00EE56C0" w:rsidRDefault="000F36A1">
            <w:pPr>
              <w:pStyle w:val="afa"/>
            </w:pPr>
            <w:r>
              <w:t>符合</w:t>
            </w:r>
          </w:p>
        </w:tc>
      </w:tr>
      <w:tr w:rsidR="00EE56C0">
        <w:trPr>
          <w:trHeight w:val="397"/>
        </w:trPr>
        <w:tc>
          <w:tcPr>
            <w:tcW w:w="681" w:type="pct"/>
            <w:vAlign w:val="center"/>
          </w:tcPr>
          <w:p w:rsidR="00EE56C0" w:rsidRDefault="000F36A1">
            <w:pPr>
              <w:pStyle w:val="afa"/>
            </w:pPr>
            <w:r>
              <w:rPr>
                <w:rFonts w:hint="eastAsia"/>
              </w:rPr>
              <w:t>（三）</w:t>
            </w:r>
            <w:r>
              <w:rPr>
                <w:rFonts w:hint="eastAsia"/>
              </w:rPr>
              <w:t>7</w:t>
            </w:r>
            <w:r>
              <w:t>.</w:t>
            </w:r>
            <w:r>
              <w:rPr>
                <w:rFonts w:hint="eastAsia"/>
              </w:rPr>
              <w:t>严格建设项目环境准入</w:t>
            </w:r>
          </w:p>
        </w:tc>
        <w:tc>
          <w:tcPr>
            <w:tcW w:w="2375" w:type="pct"/>
            <w:vAlign w:val="center"/>
          </w:tcPr>
          <w:p w:rsidR="00EE56C0" w:rsidRDefault="000F36A1">
            <w:pPr>
              <w:pStyle w:val="aff0"/>
              <w:ind w:firstLineChars="0" w:firstLine="0"/>
            </w:pPr>
            <w:r>
              <w:rPr>
                <w:rFonts w:hint="eastAsia"/>
              </w:rPr>
              <w:t>推进</w:t>
            </w:r>
            <w:r>
              <w:t>“</w:t>
            </w:r>
            <w:r>
              <w:rPr>
                <w:rFonts w:hint="eastAsia"/>
              </w:rPr>
              <w:t>三线一单</w:t>
            </w:r>
            <w:r>
              <w:t>”</w:t>
            </w:r>
            <w:r>
              <w:rPr>
                <w:rFonts w:hint="eastAsia"/>
              </w:rPr>
              <w:t>生态环境分区管控要求落地应用，严控不符合土壤环境管控要求的项目落地；把好建设项目环境准入关，对可能造成土壤污染的建设项目依法开展环境影响评价，并强化土壤环评相关内容，提出有效的防范措施。</w:t>
            </w:r>
          </w:p>
        </w:tc>
        <w:tc>
          <w:tcPr>
            <w:tcW w:w="1330" w:type="pct"/>
            <w:vAlign w:val="center"/>
          </w:tcPr>
          <w:p w:rsidR="00EE56C0" w:rsidRDefault="000F36A1">
            <w:pPr>
              <w:pStyle w:val="aff0"/>
              <w:ind w:firstLineChars="0" w:firstLine="0"/>
            </w:pPr>
            <w:r>
              <w:rPr>
                <w:rFonts w:hint="eastAsia"/>
              </w:rPr>
              <w:t>本项目符合土壤环境管控要求。根据第五章土壤环境影响预测内容，本项目在采取严格控制措施的情况下不会对土壤造成污染。</w:t>
            </w:r>
          </w:p>
        </w:tc>
        <w:tc>
          <w:tcPr>
            <w:tcW w:w="614" w:type="pct"/>
            <w:vAlign w:val="center"/>
          </w:tcPr>
          <w:p w:rsidR="00EE56C0" w:rsidRDefault="000F36A1">
            <w:pPr>
              <w:pStyle w:val="afa"/>
            </w:pPr>
            <w:r>
              <w:rPr>
                <w:rFonts w:hint="eastAsia"/>
              </w:rPr>
              <w:t>符合</w:t>
            </w:r>
          </w:p>
        </w:tc>
      </w:tr>
    </w:tbl>
    <w:p w:rsidR="00EE56C0" w:rsidRDefault="000F36A1">
      <w:pPr>
        <w:pStyle w:val="3"/>
        <w:spacing w:before="240" w:after="120"/>
      </w:pPr>
      <w:r>
        <w:rPr>
          <w:rFonts w:hint="eastAsia"/>
        </w:rPr>
        <w:t>2.11.5</w:t>
      </w:r>
      <w:r>
        <w:rPr>
          <w:rFonts w:hint="eastAsia"/>
        </w:rPr>
        <w:t>与《</w:t>
      </w:r>
      <w:r>
        <w:rPr>
          <w:rFonts w:hint="eastAsia"/>
        </w:rPr>
        <w:t>2020</w:t>
      </w:r>
      <w:r>
        <w:rPr>
          <w:rFonts w:hint="eastAsia"/>
        </w:rPr>
        <w:t>年挥发性有机物治理攻坚方案》（环大气〔</w:t>
      </w:r>
      <w:r>
        <w:rPr>
          <w:rFonts w:hint="eastAsia"/>
        </w:rPr>
        <w:t>2020</w:t>
      </w:r>
      <w:r>
        <w:rPr>
          <w:rFonts w:hint="eastAsia"/>
        </w:rPr>
        <w:t>〕</w:t>
      </w:r>
      <w:r>
        <w:rPr>
          <w:rFonts w:hint="eastAsia"/>
        </w:rPr>
        <w:t>33</w:t>
      </w:r>
      <w:r>
        <w:rPr>
          <w:rFonts w:hint="eastAsia"/>
        </w:rPr>
        <w:t>号）相符性分析</w:t>
      </w:r>
    </w:p>
    <w:p w:rsidR="00EE56C0" w:rsidRDefault="000F36A1">
      <w:pPr>
        <w:ind w:firstLine="480"/>
      </w:pPr>
      <w:r>
        <w:rPr>
          <w:rFonts w:hint="eastAsia"/>
        </w:rPr>
        <w:t>本项目与《</w:t>
      </w:r>
      <w:r>
        <w:rPr>
          <w:rFonts w:hint="eastAsia"/>
        </w:rPr>
        <w:t>2020</w:t>
      </w:r>
      <w:r>
        <w:rPr>
          <w:rFonts w:hint="eastAsia"/>
        </w:rPr>
        <w:t>年挥发性有机物治理攻坚方案》（环大气〔</w:t>
      </w:r>
      <w:r>
        <w:rPr>
          <w:rFonts w:hint="eastAsia"/>
        </w:rPr>
        <w:t>2020</w:t>
      </w:r>
      <w:r>
        <w:rPr>
          <w:rFonts w:hint="eastAsia"/>
        </w:rPr>
        <w:t>〕</w:t>
      </w:r>
      <w:r>
        <w:rPr>
          <w:rFonts w:hint="eastAsia"/>
        </w:rPr>
        <w:t>33</w:t>
      </w:r>
      <w:r>
        <w:rPr>
          <w:rFonts w:hint="eastAsia"/>
        </w:rPr>
        <w:t>号）相符性分析见下表：</w:t>
      </w:r>
    </w:p>
    <w:p w:rsidR="00EE56C0" w:rsidRDefault="000F36A1">
      <w:pPr>
        <w:pStyle w:val="afd"/>
        <w:spacing w:before="120" w:after="120"/>
        <w:ind w:firstLine="482"/>
      </w:pPr>
      <w:r>
        <w:rPr>
          <w:rFonts w:hint="eastAsia"/>
        </w:rPr>
        <w:t>表</w:t>
      </w:r>
      <w:r>
        <w:rPr>
          <w:rFonts w:hint="eastAsia"/>
        </w:rPr>
        <w:t xml:space="preserve">2-20      </w:t>
      </w:r>
      <w:r>
        <w:rPr>
          <w:rFonts w:hint="eastAsia"/>
        </w:rPr>
        <w:t>本项目与《环大气〔</w:t>
      </w:r>
      <w:r>
        <w:rPr>
          <w:rFonts w:hint="eastAsia"/>
        </w:rPr>
        <w:t>2020</w:t>
      </w:r>
      <w:r>
        <w:rPr>
          <w:rFonts w:hint="eastAsia"/>
        </w:rPr>
        <w:t>〕</w:t>
      </w:r>
      <w:r>
        <w:rPr>
          <w:rFonts w:hint="eastAsia"/>
        </w:rPr>
        <w:t>33</w:t>
      </w:r>
      <w:r>
        <w:rPr>
          <w:rFonts w:hint="eastAsia"/>
        </w:rPr>
        <w:t>号》相符性分析</w:t>
      </w:r>
    </w:p>
    <w:tbl>
      <w:tblPr>
        <w:tblW w:w="5000" w:type="pct"/>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tblPr>
      <w:tblGrid>
        <w:gridCol w:w="675"/>
        <w:gridCol w:w="5103"/>
        <w:gridCol w:w="1994"/>
        <w:gridCol w:w="756"/>
      </w:tblGrid>
      <w:tr w:rsidR="00EE56C0">
        <w:trPr>
          <w:trHeight w:val="369"/>
          <w:tblHeader/>
        </w:trPr>
        <w:tc>
          <w:tcPr>
            <w:tcW w:w="396" w:type="pct"/>
            <w:vAlign w:val="center"/>
          </w:tcPr>
          <w:p w:rsidR="00EE56C0" w:rsidRDefault="000F36A1">
            <w:pPr>
              <w:pStyle w:val="aff1"/>
              <w:rPr>
                <w:color w:val="auto"/>
              </w:rPr>
            </w:pPr>
            <w:r>
              <w:rPr>
                <w:rFonts w:hint="eastAsia"/>
                <w:color w:val="auto"/>
              </w:rPr>
              <w:t>类别</w:t>
            </w:r>
          </w:p>
        </w:tc>
        <w:tc>
          <w:tcPr>
            <w:tcW w:w="2992" w:type="pct"/>
            <w:vAlign w:val="center"/>
          </w:tcPr>
          <w:p w:rsidR="00EE56C0" w:rsidRDefault="000F36A1">
            <w:pPr>
              <w:pStyle w:val="aff1"/>
              <w:rPr>
                <w:color w:val="auto"/>
              </w:rPr>
            </w:pPr>
            <w:r>
              <w:rPr>
                <w:rFonts w:hint="eastAsia"/>
                <w:color w:val="auto"/>
              </w:rPr>
              <w:t>主要要求</w:t>
            </w:r>
          </w:p>
        </w:tc>
        <w:tc>
          <w:tcPr>
            <w:tcW w:w="1169" w:type="pct"/>
            <w:vAlign w:val="center"/>
          </w:tcPr>
          <w:p w:rsidR="00EE56C0" w:rsidRDefault="000F36A1">
            <w:pPr>
              <w:pStyle w:val="aff1"/>
              <w:rPr>
                <w:color w:val="auto"/>
              </w:rPr>
            </w:pPr>
            <w:r>
              <w:rPr>
                <w:rFonts w:hint="eastAsia"/>
                <w:color w:val="auto"/>
              </w:rPr>
              <w:t>本项目情况</w:t>
            </w:r>
          </w:p>
        </w:tc>
        <w:tc>
          <w:tcPr>
            <w:tcW w:w="443" w:type="pct"/>
            <w:vAlign w:val="center"/>
          </w:tcPr>
          <w:p w:rsidR="00EE56C0" w:rsidRDefault="000F36A1">
            <w:pPr>
              <w:pStyle w:val="aff1"/>
              <w:rPr>
                <w:color w:val="auto"/>
              </w:rPr>
            </w:pPr>
            <w:r>
              <w:rPr>
                <w:rFonts w:hint="eastAsia"/>
                <w:color w:val="auto"/>
              </w:rPr>
              <w:t>相符性</w:t>
            </w:r>
          </w:p>
        </w:tc>
      </w:tr>
      <w:tr w:rsidR="00EE56C0">
        <w:trPr>
          <w:trHeight w:val="369"/>
        </w:trPr>
        <w:tc>
          <w:tcPr>
            <w:tcW w:w="396" w:type="pct"/>
            <w:vMerge w:val="restart"/>
            <w:vAlign w:val="center"/>
          </w:tcPr>
          <w:p w:rsidR="00EE56C0" w:rsidRDefault="000F36A1">
            <w:pPr>
              <w:pStyle w:val="afa"/>
            </w:pPr>
            <w:r>
              <w:rPr>
                <w:rFonts w:hint="eastAsia"/>
              </w:rPr>
              <w:t>一、大力推进源头替代，有效减少</w:t>
            </w:r>
            <w:r>
              <w:rPr>
                <w:rFonts w:hint="eastAsia"/>
              </w:rPr>
              <w:t>VOCs</w:t>
            </w:r>
            <w:r>
              <w:rPr>
                <w:rFonts w:hint="eastAsia"/>
              </w:rPr>
              <w:t>产生</w:t>
            </w:r>
          </w:p>
        </w:tc>
        <w:tc>
          <w:tcPr>
            <w:tcW w:w="2992" w:type="pct"/>
            <w:vAlign w:val="center"/>
          </w:tcPr>
          <w:p w:rsidR="00EE56C0" w:rsidRDefault="000F36A1">
            <w:pPr>
              <w:pStyle w:val="afa"/>
            </w:pPr>
            <w:r>
              <w:rPr>
                <w:rFonts w:hint="eastAsia"/>
              </w:rPr>
              <w:t>严格落实国家和地方产品</w:t>
            </w:r>
            <w:r>
              <w:rPr>
                <w:rFonts w:hint="eastAsia"/>
              </w:rPr>
              <w:t>VOCs</w:t>
            </w:r>
            <w:r>
              <w:rPr>
                <w:rFonts w:hint="eastAsia"/>
              </w:rPr>
              <w:t>含量限值标准。</w:t>
            </w:r>
            <w:r>
              <w:rPr>
                <w:rFonts w:hint="eastAsia"/>
              </w:rPr>
              <w:t>2020</w:t>
            </w:r>
            <w:r>
              <w:rPr>
                <w:rFonts w:hint="eastAsia"/>
              </w:rPr>
              <w:t>年</w:t>
            </w:r>
            <w:r>
              <w:rPr>
                <w:rFonts w:hint="eastAsia"/>
              </w:rPr>
              <w:t>7</w:t>
            </w:r>
            <w:r>
              <w:rPr>
                <w:rFonts w:hint="eastAsia"/>
              </w:rPr>
              <w:t>月</w:t>
            </w:r>
            <w:r>
              <w:rPr>
                <w:rFonts w:hint="eastAsia"/>
              </w:rPr>
              <w:t>1</w:t>
            </w:r>
            <w:r>
              <w:rPr>
                <w:rFonts w:hint="eastAsia"/>
              </w:rPr>
              <w:t>日起，船舶涂料和地坪涂料生产、销售和使用应满足新颁布实施的国家产品有害物质限量标准要求。京津冀地区建筑类涂料和胶粘剂产品须满足《建筑类涂料与胶粘剂挥发性有机化合物含量限值标准》要求。督促生产企业提前做好油墨、胶粘剂、清洗剂及木器、车辆、建筑用外墙、工业防护涂料等有害物质限量标准实施准备工作，在标准正式生效前有序完成切换，有条件的地区根据环境空气质量改善需要提前实施。</w:t>
            </w:r>
          </w:p>
        </w:tc>
        <w:tc>
          <w:tcPr>
            <w:tcW w:w="1169" w:type="pct"/>
            <w:vAlign w:val="center"/>
          </w:tcPr>
          <w:p w:rsidR="00EE56C0" w:rsidRDefault="000F36A1" w:rsidP="00505AD2">
            <w:pPr>
              <w:pStyle w:val="afa"/>
              <w:rPr>
                <w:rFonts w:ascii="宋体" w:hAnsi="宋体" w:cs="宋体"/>
              </w:rPr>
            </w:pPr>
            <w:r w:rsidRPr="00505AD2">
              <w:rPr>
                <w:rFonts w:hint="eastAsia"/>
                <w:b/>
                <w:u w:val="single"/>
              </w:rPr>
              <w:t>本项目丝包专用漆</w:t>
            </w:r>
            <w:r w:rsidRPr="00505AD2">
              <w:rPr>
                <w:rFonts w:hint="eastAsia"/>
                <w:b/>
                <w:u w:val="single"/>
              </w:rPr>
              <w:t>VOCs</w:t>
            </w:r>
            <w:r w:rsidRPr="00505AD2">
              <w:rPr>
                <w:rFonts w:hint="eastAsia"/>
                <w:b/>
                <w:u w:val="single"/>
              </w:rPr>
              <w:t>含量为</w:t>
            </w:r>
            <w:r w:rsidRPr="00505AD2">
              <w:rPr>
                <w:rFonts w:hint="eastAsia"/>
                <w:b/>
                <w:u w:val="single"/>
              </w:rPr>
              <w:t>3</w:t>
            </w:r>
            <w:r w:rsidR="00505AD2" w:rsidRPr="00505AD2">
              <w:rPr>
                <w:rFonts w:hint="eastAsia"/>
                <w:b/>
                <w:u w:val="single"/>
              </w:rPr>
              <w:t>30</w:t>
            </w:r>
            <w:r w:rsidRPr="00505AD2">
              <w:rPr>
                <w:rFonts w:hint="eastAsia"/>
                <w:b/>
                <w:u w:val="single"/>
              </w:rPr>
              <w:t>g/L</w:t>
            </w:r>
            <w:r w:rsidRPr="00505AD2">
              <w:rPr>
                <w:rFonts w:hint="eastAsia"/>
                <w:b/>
                <w:u w:val="single"/>
              </w:rPr>
              <w:t>、漆包线</w:t>
            </w:r>
            <w:r w:rsidR="00505AD2" w:rsidRPr="00505AD2">
              <w:rPr>
                <w:rFonts w:hint="eastAsia"/>
                <w:b/>
                <w:u w:val="single"/>
              </w:rPr>
              <w:t>聚酯漆</w:t>
            </w:r>
            <w:r w:rsidR="00505AD2" w:rsidRPr="00505AD2">
              <w:rPr>
                <w:rFonts w:hint="eastAsia"/>
                <w:b/>
                <w:u w:val="single"/>
              </w:rPr>
              <w:t>VOCs</w:t>
            </w:r>
            <w:r w:rsidR="00505AD2" w:rsidRPr="00505AD2">
              <w:rPr>
                <w:rFonts w:hint="eastAsia"/>
                <w:b/>
                <w:u w:val="single"/>
              </w:rPr>
              <w:t>含量为</w:t>
            </w:r>
            <w:r w:rsidR="00505AD2" w:rsidRPr="00505AD2">
              <w:rPr>
                <w:rFonts w:hint="eastAsia"/>
                <w:b/>
                <w:u w:val="single"/>
              </w:rPr>
              <w:t>344g/L</w:t>
            </w:r>
            <w:r w:rsidR="00505AD2" w:rsidRPr="00505AD2">
              <w:rPr>
                <w:rFonts w:hint="eastAsia"/>
                <w:b/>
                <w:u w:val="single"/>
              </w:rPr>
              <w:t>，聚酰胺酰亚胺漆</w:t>
            </w:r>
            <w:r w:rsidR="00505AD2" w:rsidRPr="00505AD2">
              <w:rPr>
                <w:rFonts w:hint="eastAsia"/>
                <w:b/>
                <w:u w:val="single"/>
              </w:rPr>
              <w:t>VOCs</w:t>
            </w:r>
            <w:r w:rsidR="00505AD2" w:rsidRPr="00505AD2">
              <w:rPr>
                <w:rFonts w:hint="eastAsia"/>
                <w:b/>
                <w:u w:val="single"/>
              </w:rPr>
              <w:t>含量</w:t>
            </w:r>
            <w:r w:rsidR="00505AD2" w:rsidRPr="00505AD2">
              <w:rPr>
                <w:rFonts w:hint="eastAsia"/>
                <w:b/>
                <w:u w:val="single"/>
              </w:rPr>
              <w:t>402g/L</w:t>
            </w:r>
            <w:r>
              <w:rPr>
                <w:rFonts w:hint="eastAsia"/>
              </w:rPr>
              <w:t>，参照《低挥发性有机化合物含量涂料产品技术要求》中表</w:t>
            </w:r>
            <w:r>
              <w:rPr>
                <w:rFonts w:hint="eastAsia"/>
              </w:rPr>
              <w:t>2</w:t>
            </w:r>
            <w:r>
              <w:rPr>
                <w:rFonts w:hint="eastAsia"/>
              </w:rPr>
              <w:t>金属基材防腐涂料（双组份涂料：面漆）</w:t>
            </w:r>
            <w:r>
              <w:rPr>
                <w:rFonts w:hint="eastAsia"/>
              </w:rPr>
              <w:t>450g/L</w:t>
            </w:r>
            <w:r>
              <w:rPr>
                <w:rFonts w:hint="eastAsia"/>
              </w:rPr>
              <w:t>限值要求进行对比，低于其限值要求，即所用漆料属于低挥发性有机化合物含量涂料。</w:t>
            </w:r>
          </w:p>
        </w:tc>
        <w:tc>
          <w:tcPr>
            <w:tcW w:w="443" w:type="pct"/>
            <w:vAlign w:val="center"/>
          </w:tcPr>
          <w:p w:rsidR="00EE56C0" w:rsidRDefault="000F36A1">
            <w:pPr>
              <w:pStyle w:val="afa"/>
            </w:pPr>
            <w:r>
              <w:rPr>
                <w:rFonts w:hint="eastAsia"/>
              </w:rPr>
              <w:t>相符</w:t>
            </w:r>
          </w:p>
        </w:tc>
      </w:tr>
      <w:tr w:rsidR="00EE56C0">
        <w:trPr>
          <w:trHeight w:val="369"/>
        </w:trPr>
        <w:tc>
          <w:tcPr>
            <w:tcW w:w="396" w:type="pct"/>
            <w:vMerge/>
            <w:vAlign w:val="center"/>
          </w:tcPr>
          <w:p w:rsidR="00EE56C0" w:rsidRDefault="00EE56C0">
            <w:pPr>
              <w:pStyle w:val="afa"/>
            </w:pPr>
          </w:p>
        </w:tc>
        <w:tc>
          <w:tcPr>
            <w:tcW w:w="2992" w:type="pct"/>
            <w:vAlign w:val="center"/>
          </w:tcPr>
          <w:p w:rsidR="00EE56C0" w:rsidRDefault="000F36A1">
            <w:pPr>
              <w:pStyle w:val="aff0"/>
              <w:ind w:firstLine="210"/>
            </w:pPr>
            <w:r>
              <w:rPr>
                <w:rFonts w:hint="eastAsia"/>
              </w:rPr>
              <w:t>大力推进低（无）</w:t>
            </w:r>
            <w:r>
              <w:rPr>
                <w:rFonts w:hint="eastAsia"/>
              </w:rPr>
              <w:t>VOCs</w:t>
            </w:r>
            <w:r>
              <w:rPr>
                <w:rFonts w:hint="eastAsia"/>
              </w:rPr>
              <w:t>含量原辅材料替代。将全面使用符合国家要求的低</w:t>
            </w:r>
            <w:r>
              <w:rPr>
                <w:rFonts w:hint="eastAsia"/>
              </w:rPr>
              <w:t>VOCs</w:t>
            </w:r>
            <w:r>
              <w:rPr>
                <w:rFonts w:hint="eastAsia"/>
              </w:rPr>
              <w:t>含量原辅材料的企业纳</w:t>
            </w:r>
            <w:r>
              <w:rPr>
                <w:rFonts w:hint="eastAsia"/>
              </w:rPr>
              <w:lastRenderedPageBreak/>
              <w:t>入正面清单和政府绿色采购清单。企业应建立原辅材料台账，记录</w:t>
            </w:r>
            <w:r>
              <w:rPr>
                <w:rFonts w:hint="eastAsia"/>
              </w:rPr>
              <w:t>VOCs</w:t>
            </w:r>
            <w:r>
              <w:rPr>
                <w:rFonts w:hint="eastAsia"/>
              </w:rPr>
              <w:t>原辅材料名称、成分、</w:t>
            </w:r>
            <w:r>
              <w:rPr>
                <w:rFonts w:hint="eastAsia"/>
              </w:rPr>
              <w:t>VOCs</w:t>
            </w:r>
            <w:r>
              <w:rPr>
                <w:rFonts w:hint="eastAsia"/>
              </w:rPr>
              <w:t>含量、采购量、使用量、库存量、回收方式、回收量等信息，并保存相关证明材料。采用符合国家有关低</w:t>
            </w:r>
            <w:r>
              <w:rPr>
                <w:rFonts w:hint="eastAsia"/>
              </w:rPr>
              <w:t>VOCs</w:t>
            </w:r>
            <w:r>
              <w:rPr>
                <w:rFonts w:hint="eastAsia"/>
              </w:rPr>
              <w:t>含量产品规定的涂料、油墨、胶粘剂等，排放浓度稳定达标且排放速率满足相关规定的，相应生产工序可不要求建设末端治理设施。使用的原辅材料</w:t>
            </w:r>
            <w:r>
              <w:rPr>
                <w:rFonts w:hint="eastAsia"/>
              </w:rPr>
              <w:t>VOCs</w:t>
            </w:r>
            <w:r>
              <w:rPr>
                <w:rFonts w:hint="eastAsia"/>
              </w:rPr>
              <w:t>含量（质量比）均低于</w:t>
            </w:r>
            <w:r>
              <w:rPr>
                <w:rFonts w:hint="eastAsia"/>
              </w:rPr>
              <w:t>10%</w:t>
            </w:r>
            <w:r>
              <w:rPr>
                <w:rFonts w:hint="eastAsia"/>
              </w:rPr>
              <w:t>的工序，可不要求采取无组织排放收集和处理措施。推进政府绿色采购，要求家具、印刷等政府定点招标采购企业优先使用低挥发性原辅材料，鼓励汽车维修等政府定点招标采购企业使用低挥发性原辅材料；将低</w:t>
            </w:r>
            <w:r>
              <w:rPr>
                <w:rFonts w:hint="eastAsia"/>
              </w:rPr>
              <w:t>VOCs</w:t>
            </w:r>
            <w:r>
              <w:rPr>
                <w:rFonts w:hint="eastAsia"/>
              </w:rPr>
              <w:t>含量产品纳入政府采购名录，并在政府投资项目中优先使用；引导将使用低</w:t>
            </w:r>
            <w:r>
              <w:rPr>
                <w:rFonts w:hint="eastAsia"/>
              </w:rPr>
              <w:t>VOCs</w:t>
            </w:r>
            <w:r>
              <w:rPr>
                <w:rFonts w:hint="eastAsia"/>
              </w:rPr>
              <w:t>含量涂料、胶粘剂等纳入政府采购装修合同环保条款。</w:t>
            </w:r>
          </w:p>
        </w:tc>
        <w:tc>
          <w:tcPr>
            <w:tcW w:w="1169" w:type="pct"/>
            <w:vAlign w:val="center"/>
          </w:tcPr>
          <w:p w:rsidR="00EE56C0" w:rsidRDefault="000F36A1">
            <w:pPr>
              <w:pStyle w:val="aff0"/>
              <w:ind w:firstLine="210"/>
            </w:pPr>
            <w:r>
              <w:rPr>
                <w:rFonts w:hint="eastAsia"/>
              </w:rPr>
              <w:lastRenderedPageBreak/>
              <w:t>项目建成后按要求建立原辅材料台</w:t>
            </w:r>
            <w:r>
              <w:rPr>
                <w:rFonts w:hint="eastAsia"/>
              </w:rPr>
              <w:lastRenderedPageBreak/>
              <w:t>账、记录相关信息，所用漆料属于低</w:t>
            </w:r>
            <w:r>
              <w:rPr>
                <w:rFonts w:hint="eastAsia"/>
              </w:rPr>
              <w:t>VOCs</w:t>
            </w:r>
            <w:r>
              <w:rPr>
                <w:rFonts w:hint="eastAsia"/>
              </w:rPr>
              <w:t>含量的涂料。</w:t>
            </w:r>
          </w:p>
        </w:tc>
        <w:tc>
          <w:tcPr>
            <w:tcW w:w="443" w:type="pct"/>
            <w:vAlign w:val="center"/>
          </w:tcPr>
          <w:p w:rsidR="00EE56C0" w:rsidRDefault="000F36A1">
            <w:pPr>
              <w:pStyle w:val="afa"/>
            </w:pPr>
            <w:r>
              <w:rPr>
                <w:rFonts w:hint="eastAsia"/>
              </w:rPr>
              <w:lastRenderedPageBreak/>
              <w:t>相符</w:t>
            </w:r>
          </w:p>
        </w:tc>
      </w:tr>
      <w:tr w:rsidR="00EE56C0">
        <w:trPr>
          <w:trHeight w:val="369"/>
        </w:trPr>
        <w:tc>
          <w:tcPr>
            <w:tcW w:w="396" w:type="pct"/>
            <w:vMerge w:val="restart"/>
            <w:vAlign w:val="center"/>
          </w:tcPr>
          <w:p w:rsidR="00EE56C0" w:rsidRDefault="000F36A1">
            <w:pPr>
              <w:pStyle w:val="afa"/>
            </w:pPr>
            <w:r>
              <w:rPr>
                <w:rFonts w:hint="eastAsia"/>
              </w:rPr>
              <w:lastRenderedPageBreak/>
              <w:t>二、全面落实标准要求，强化无组织排放控制</w:t>
            </w:r>
          </w:p>
          <w:p w:rsidR="00EE56C0" w:rsidRDefault="00EE56C0">
            <w:pPr>
              <w:pStyle w:val="afa"/>
            </w:pPr>
          </w:p>
        </w:tc>
        <w:tc>
          <w:tcPr>
            <w:tcW w:w="2992" w:type="pct"/>
            <w:vAlign w:val="center"/>
          </w:tcPr>
          <w:p w:rsidR="00EE56C0" w:rsidRDefault="000F36A1">
            <w:pPr>
              <w:pStyle w:val="afa"/>
            </w:pPr>
            <w:r>
              <w:rPr>
                <w:rFonts w:hint="eastAsia"/>
              </w:rPr>
              <w:t>2020</w:t>
            </w:r>
            <w:r>
              <w:rPr>
                <w:rFonts w:hint="eastAsia"/>
              </w:rPr>
              <w:t>年</w:t>
            </w:r>
            <w:r>
              <w:rPr>
                <w:rFonts w:hint="eastAsia"/>
              </w:rPr>
              <w:t>7</w:t>
            </w:r>
            <w:r>
              <w:rPr>
                <w:rFonts w:hint="eastAsia"/>
              </w:rPr>
              <w:t>月</w:t>
            </w:r>
            <w:r>
              <w:rPr>
                <w:rFonts w:hint="eastAsia"/>
              </w:rPr>
              <w:t>1</w:t>
            </w:r>
            <w:r>
              <w:rPr>
                <w:rFonts w:hint="eastAsia"/>
              </w:rPr>
              <w:t>日起，全面执行《挥发性有机物无组织排放控制标准》，重点区域应落实无组织排放特别控制要求。各地要加大标准生效时间、涉及行业及控制要求等宣贯力度，通过现场指导、组织培训、新媒体信息推送、发放明白纸等多种方式，督促指导企业对照标准要求开展含</w:t>
            </w:r>
            <w:r>
              <w:rPr>
                <w:rFonts w:hint="eastAsia"/>
              </w:rPr>
              <w:t>VOCs</w:t>
            </w:r>
            <w:r>
              <w:rPr>
                <w:rFonts w:hint="eastAsia"/>
              </w:rPr>
              <w:t>物料（包括含</w:t>
            </w:r>
            <w:r>
              <w:rPr>
                <w:rFonts w:hint="eastAsia"/>
              </w:rPr>
              <w:t>VOCs</w:t>
            </w:r>
            <w:r>
              <w:rPr>
                <w:rFonts w:hint="eastAsia"/>
              </w:rPr>
              <w:t>原辅材料、含</w:t>
            </w:r>
            <w:r>
              <w:rPr>
                <w:rFonts w:hint="eastAsia"/>
              </w:rPr>
              <w:t>VOCs</w:t>
            </w:r>
            <w:r>
              <w:rPr>
                <w:rFonts w:hint="eastAsia"/>
              </w:rPr>
              <w:t>产品、含</w:t>
            </w:r>
            <w:r>
              <w:rPr>
                <w:rFonts w:hint="eastAsia"/>
              </w:rPr>
              <w:t>VOCs</w:t>
            </w:r>
            <w:r>
              <w:rPr>
                <w:rFonts w:hint="eastAsia"/>
              </w:rPr>
              <w:t>废料以及有机聚合物材料等）储存、转移和输送、设备与管线组件泄漏、敞开液面逸散以及工艺过程等无组织排放环节排查整治，对达不到要求的加快整改。指导企业制定</w:t>
            </w:r>
            <w:r>
              <w:rPr>
                <w:rFonts w:hint="eastAsia"/>
              </w:rPr>
              <w:t>VOCs</w:t>
            </w:r>
            <w:r>
              <w:rPr>
                <w:rFonts w:hint="eastAsia"/>
              </w:rPr>
              <w:t>无组织排放控制规程，细化到具体工序和生产环节，以及启停机、检维修作业等，落实到具体责任人；健全内部考核制度，严格按照操作规程生产。</w:t>
            </w:r>
          </w:p>
        </w:tc>
        <w:tc>
          <w:tcPr>
            <w:tcW w:w="1169" w:type="pct"/>
            <w:vAlign w:val="center"/>
          </w:tcPr>
          <w:p w:rsidR="00EE56C0" w:rsidRDefault="000F36A1">
            <w:pPr>
              <w:pStyle w:val="afa"/>
            </w:pPr>
            <w:r>
              <w:rPr>
                <w:rFonts w:hint="eastAsia"/>
              </w:rPr>
              <w:t>本项目建成后执行《挥发性有机物无组织排放控制标准》，制定</w:t>
            </w:r>
            <w:r>
              <w:rPr>
                <w:rFonts w:hint="eastAsia"/>
              </w:rPr>
              <w:t>VOCs</w:t>
            </w:r>
            <w:r>
              <w:rPr>
                <w:rFonts w:hint="eastAsia"/>
              </w:rPr>
              <w:t>无组织排放控制规程及考核制度等。</w:t>
            </w:r>
          </w:p>
        </w:tc>
        <w:tc>
          <w:tcPr>
            <w:tcW w:w="443" w:type="pct"/>
            <w:vAlign w:val="center"/>
          </w:tcPr>
          <w:p w:rsidR="00EE56C0" w:rsidRDefault="000F36A1">
            <w:pPr>
              <w:pStyle w:val="afa"/>
            </w:pPr>
            <w:r>
              <w:rPr>
                <w:rFonts w:hint="eastAsia"/>
              </w:rPr>
              <w:t>相符</w:t>
            </w:r>
          </w:p>
        </w:tc>
      </w:tr>
      <w:tr w:rsidR="00EE56C0">
        <w:trPr>
          <w:trHeight w:val="369"/>
        </w:trPr>
        <w:tc>
          <w:tcPr>
            <w:tcW w:w="396" w:type="pct"/>
            <w:vMerge/>
            <w:vAlign w:val="center"/>
          </w:tcPr>
          <w:p w:rsidR="00EE56C0" w:rsidRDefault="00EE56C0">
            <w:pPr>
              <w:pStyle w:val="afa"/>
            </w:pPr>
          </w:p>
        </w:tc>
        <w:tc>
          <w:tcPr>
            <w:tcW w:w="2992" w:type="pct"/>
            <w:vAlign w:val="center"/>
          </w:tcPr>
          <w:p w:rsidR="00EE56C0" w:rsidRDefault="000F36A1">
            <w:pPr>
              <w:pStyle w:val="afa"/>
            </w:pPr>
            <w:r>
              <w:rPr>
                <w:rFonts w:hint="eastAsia"/>
              </w:rPr>
              <w:t>企业在无组织排放排查整治过程中，在保证安全的前提下，加强含</w:t>
            </w:r>
            <w:r>
              <w:rPr>
                <w:rFonts w:hint="eastAsia"/>
              </w:rPr>
              <w:t>VOCs</w:t>
            </w:r>
            <w:r>
              <w:rPr>
                <w:rFonts w:hint="eastAsia"/>
              </w:rPr>
              <w:t>物料全方位、全链条、全环节密闭管理。储存环节应采用密闭容器、包装袋，高效密封储罐，封闭式储库、料仓等。装卸、转移和输送环节应采用密闭管道或密闭容器、罐车等。生产和使用环节应采用密闭设备，或在密闭空间中操作并有效收集废气，或进行局部气体收集；非取用状态时容器应密闭。处置环节应将盛装过</w:t>
            </w:r>
            <w:r>
              <w:rPr>
                <w:rFonts w:hint="eastAsia"/>
              </w:rPr>
              <w:t>VOCs</w:t>
            </w:r>
            <w:r>
              <w:rPr>
                <w:rFonts w:hint="eastAsia"/>
              </w:rPr>
              <w:t>物料的包装容器、含</w:t>
            </w:r>
            <w:r>
              <w:rPr>
                <w:rFonts w:hint="eastAsia"/>
              </w:rPr>
              <w:t>VOCs</w:t>
            </w:r>
            <w:r>
              <w:rPr>
                <w:rFonts w:hint="eastAsia"/>
              </w:rPr>
              <w:t>废料（渣、液）、废吸附剂等通过加盖、封装等方式密闭，妥善存放，不得随意丢弃，</w:t>
            </w:r>
            <w:r>
              <w:rPr>
                <w:rFonts w:hint="eastAsia"/>
              </w:rPr>
              <w:t>7</w:t>
            </w:r>
            <w:r>
              <w:rPr>
                <w:rFonts w:hint="eastAsia"/>
              </w:rPr>
              <w:t>月</w:t>
            </w:r>
            <w:r>
              <w:rPr>
                <w:rFonts w:hint="eastAsia"/>
              </w:rPr>
              <w:t>15</w:t>
            </w:r>
            <w:r>
              <w:rPr>
                <w:rFonts w:hint="eastAsia"/>
              </w:rPr>
              <w:t>日前集中清运一次，交有资质的单位处置；处置单位在贮存、清洗、破碎等环节应按要求对</w:t>
            </w:r>
            <w:r>
              <w:rPr>
                <w:rFonts w:hint="eastAsia"/>
              </w:rPr>
              <w:t>VOCs</w:t>
            </w:r>
            <w:r>
              <w:rPr>
                <w:rFonts w:hint="eastAsia"/>
              </w:rPr>
              <w:t>无组织排放废气进行收集、处理。高</w:t>
            </w:r>
            <w:r>
              <w:rPr>
                <w:rFonts w:hint="eastAsia"/>
              </w:rPr>
              <w:t>VOCs</w:t>
            </w:r>
            <w:r>
              <w:rPr>
                <w:rFonts w:hint="eastAsia"/>
              </w:rPr>
              <w:t>含量废水的集输、储存和处理环节，应加盖密闭。企业中载有气态、液态</w:t>
            </w:r>
            <w:r>
              <w:rPr>
                <w:rFonts w:hint="eastAsia"/>
              </w:rPr>
              <w:t>VOCs</w:t>
            </w:r>
            <w:r>
              <w:rPr>
                <w:rFonts w:hint="eastAsia"/>
              </w:rPr>
              <w:t>物料的设备与管线组件密封点大于等于</w:t>
            </w:r>
            <w:r>
              <w:rPr>
                <w:rFonts w:hint="eastAsia"/>
              </w:rPr>
              <w:t>2000</w:t>
            </w:r>
            <w:r>
              <w:rPr>
                <w:rFonts w:hint="eastAsia"/>
              </w:rPr>
              <w:t>个的，应全面梳理建立台账，</w:t>
            </w:r>
            <w:r>
              <w:rPr>
                <w:rFonts w:hint="eastAsia"/>
              </w:rPr>
              <w:t>6-9</w:t>
            </w:r>
            <w:r>
              <w:rPr>
                <w:rFonts w:hint="eastAsia"/>
              </w:rPr>
              <w:t>月完成一轮泄漏检测与修复（</w:t>
            </w:r>
            <w:r>
              <w:rPr>
                <w:rFonts w:hint="eastAsia"/>
              </w:rPr>
              <w:t>LDAR</w:t>
            </w:r>
            <w:r>
              <w:rPr>
                <w:rFonts w:hint="eastAsia"/>
              </w:rPr>
              <w:t>）工作，及时修复泄漏源；石油炼制、石油化工、合成树脂企业严格按照排放标准要求开展</w:t>
            </w:r>
            <w:r>
              <w:rPr>
                <w:rFonts w:hint="eastAsia"/>
              </w:rPr>
              <w:t>LDAR</w:t>
            </w:r>
            <w:r>
              <w:rPr>
                <w:rFonts w:hint="eastAsia"/>
              </w:rPr>
              <w:t>工作，加强备用泵、在用泵、调节阀、搅拌器、</w:t>
            </w:r>
            <w:r>
              <w:rPr>
                <w:rFonts w:hint="eastAsia"/>
              </w:rPr>
              <w:lastRenderedPageBreak/>
              <w:t>开口管线等检测工作，强化质量控制；要将</w:t>
            </w:r>
            <w:r>
              <w:rPr>
                <w:rFonts w:hint="eastAsia"/>
              </w:rPr>
              <w:t>VOCs</w:t>
            </w:r>
            <w:r>
              <w:rPr>
                <w:rFonts w:hint="eastAsia"/>
              </w:rPr>
              <w:t>治理设施和储罐的密封点纳入检测计划中。</w:t>
            </w:r>
          </w:p>
        </w:tc>
        <w:tc>
          <w:tcPr>
            <w:tcW w:w="1169" w:type="pct"/>
            <w:vAlign w:val="center"/>
          </w:tcPr>
          <w:p w:rsidR="00EE56C0" w:rsidRDefault="000F36A1">
            <w:pPr>
              <w:pStyle w:val="afa"/>
            </w:pPr>
            <w:r>
              <w:rPr>
                <w:rFonts w:hint="eastAsia"/>
              </w:rPr>
              <w:lastRenderedPageBreak/>
              <w:t>本项目建成后</w:t>
            </w:r>
            <w:r>
              <w:rPr>
                <w:rFonts w:hint="eastAsia"/>
              </w:rPr>
              <w:t>VOCs</w:t>
            </w:r>
            <w:r>
              <w:rPr>
                <w:rFonts w:hint="eastAsia"/>
              </w:rPr>
              <w:t>物料实施全方位、全链条、全环节密闭管理，漆料采用密闭包装桶包装，储存与负压漆库中，转移环节应采用密闭容器，</w:t>
            </w:r>
          </w:p>
          <w:p w:rsidR="00EE56C0" w:rsidRDefault="000F36A1">
            <w:pPr>
              <w:pStyle w:val="afa"/>
            </w:pPr>
            <w:r>
              <w:rPr>
                <w:rFonts w:hint="eastAsia"/>
              </w:rPr>
              <w:t>丝包漆倒入漆槽，非取用状态时漆桶密闭，漆槽外部设置封闭集气罩并有效收集废气，漆包线漆料经管道输送至漆槽，漆槽进行局部气体收集。处置环节：漆桶加盖密闭，含漆毛毡、含</w:t>
            </w:r>
            <w:r>
              <w:rPr>
                <w:rFonts w:hint="eastAsia"/>
              </w:rPr>
              <w:t>VOCs</w:t>
            </w:r>
            <w:r>
              <w:rPr>
                <w:rFonts w:hint="eastAsia"/>
              </w:rPr>
              <w:t>活性炭采</w:t>
            </w:r>
            <w:r>
              <w:rPr>
                <w:rFonts w:hint="eastAsia"/>
              </w:rPr>
              <w:lastRenderedPageBreak/>
              <w:t>用密闭容器储存，交有资质的单位处置，不涉及高</w:t>
            </w:r>
            <w:r>
              <w:rPr>
                <w:rFonts w:hint="eastAsia"/>
              </w:rPr>
              <w:t>VOCs</w:t>
            </w:r>
            <w:r>
              <w:rPr>
                <w:rFonts w:hint="eastAsia"/>
              </w:rPr>
              <w:t>含量的废水。</w:t>
            </w:r>
          </w:p>
        </w:tc>
        <w:tc>
          <w:tcPr>
            <w:tcW w:w="443" w:type="pct"/>
            <w:vAlign w:val="center"/>
          </w:tcPr>
          <w:p w:rsidR="00EE56C0" w:rsidRDefault="000F36A1">
            <w:pPr>
              <w:pStyle w:val="afa"/>
            </w:pPr>
            <w:r>
              <w:rPr>
                <w:rFonts w:hint="eastAsia"/>
              </w:rPr>
              <w:lastRenderedPageBreak/>
              <w:t>相符</w:t>
            </w:r>
          </w:p>
        </w:tc>
      </w:tr>
      <w:tr w:rsidR="00EE56C0">
        <w:trPr>
          <w:trHeight w:val="369"/>
        </w:trPr>
        <w:tc>
          <w:tcPr>
            <w:tcW w:w="396" w:type="pct"/>
            <w:vMerge w:val="restart"/>
            <w:vAlign w:val="center"/>
          </w:tcPr>
          <w:p w:rsidR="00EE56C0" w:rsidRDefault="000F36A1">
            <w:pPr>
              <w:pStyle w:val="afa"/>
            </w:pPr>
            <w:r>
              <w:rPr>
                <w:rFonts w:hint="eastAsia"/>
              </w:rPr>
              <w:lastRenderedPageBreak/>
              <w:t>三、聚焦治污设施“三率”，提升综合治理效率</w:t>
            </w:r>
          </w:p>
        </w:tc>
        <w:tc>
          <w:tcPr>
            <w:tcW w:w="2992" w:type="pct"/>
            <w:vAlign w:val="center"/>
          </w:tcPr>
          <w:p w:rsidR="00EE56C0" w:rsidRDefault="000F36A1">
            <w:pPr>
              <w:pStyle w:val="afa"/>
            </w:pPr>
            <w:r>
              <w:rPr>
                <w:rFonts w:hint="eastAsia"/>
              </w:rPr>
              <w:t>组织企业对现有</w:t>
            </w:r>
            <w:r>
              <w:rPr>
                <w:rFonts w:hint="eastAsia"/>
              </w:rPr>
              <w:t>VOCs</w:t>
            </w:r>
            <w:r>
              <w:rPr>
                <w:rFonts w:hint="eastAsia"/>
              </w:rPr>
              <w:t>废气收集率、治理设施同步运行率和去除率开展自查，重点关注单一采用光氧化、光催化、低温等离子、一次性活性炭吸附、喷淋吸收等工艺的治理设施，</w:t>
            </w:r>
            <w:r>
              <w:rPr>
                <w:rFonts w:hint="eastAsia"/>
              </w:rPr>
              <w:t>7</w:t>
            </w:r>
            <w:r>
              <w:rPr>
                <w:rFonts w:hint="eastAsia"/>
              </w:rPr>
              <w:t>月</w:t>
            </w:r>
            <w:r>
              <w:rPr>
                <w:rFonts w:hint="eastAsia"/>
              </w:rPr>
              <w:t>15</w:t>
            </w:r>
            <w:r>
              <w:rPr>
                <w:rFonts w:hint="eastAsia"/>
              </w:rPr>
              <w:t>日前完成。对达不到要求的</w:t>
            </w:r>
            <w:r>
              <w:rPr>
                <w:rFonts w:hint="eastAsia"/>
              </w:rPr>
              <w:t>VOCs</w:t>
            </w:r>
            <w:r>
              <w:rPr>
                <w:rFonts w:hint="eastAsia"/>
              </w:rPr>
              <w:t>收集、治理设施进行更换或升级改造，确保实现达标排放。除恶臭异味治理外，一般不采用低温等离子、光催化、光氧化等技术。行业排放标准中规定特别排放限值和控制要求的，应按相关规定执行；未制定行业标准的应执行大气污染物综合排放标准和挥发性有机物无组织排放控制标准；已制定更严格地方排放标准的，按地方标准执行。</w:t>
            </w:r>
          </w:p>
        </w:tc>
        <w:tc>
          <w:tcPr>
            <w:tcW w:w="1169" w:type="pct"/>
            <w:vAlign w:val="center"/>
          </w:tcPr>
          <w:p w:rsidR="00EE56C0" w:rsidRDefault="000F36A1">
            <w:pPr>
              <w:pStyle w:val="afa"/>
            </w:pPr>
            <w:r>
              <w:rPr>
                <w:rFonts w:hint="eastAsia"/>
              </w:rPr>
              <w:t>有机废气收集后引入“静电除油</w:t>
            </w:r>
            <w:r>
              <w:rPr>
                <w:rFonts w:hint="eastAsia"/>
              </w:rPr>
              <w:t>+</w:t>
            </w:r>
            <w:r>
              <w:rPr>
                <w:rFonts w:hint="eastAsia"/>
              </w:rPr>
              <w:t>活性炭吸附</w:t>
            </w:r>
            <w:r>
              <w:rPr>
                <w:rFonts w:hint="eastAsia"/>
              </w:rPr>
              <w:t>-</w:t>
            </w:r>
            <w:r>
              <w:rPr>
                <w:rFonts w:hint="eastAsia"/>
              </w:rPr>
              <w:t>脱附</w:t>
            </w:r>
            <w:r>
              <w:rPr>
                <w:rFonts w:hint="eastAsia"/>
              </w:rPr>
              <w:t>-</w:t>
            </w:r>
            <w:r>
              <w:rPr>
                <w:rFonts w:hint="eastAsia"/>
              </w:rPr>
              <w:t>催化燃烧装置”</w:t>
            </w:r>
            <w:r>
              <w:rPr>
                <w:rFonts w:hint="eastAsia"/>
              </w:rPr>
              <w:t xml:space="preserve"> </w:t>
            </w:r>
            <w:r>
              <w:rPr>
                <w:rFonts w:hint="eastAsia"/>
              </w:rPr>
              <w:t>和“沸石吸附</w:t>
            </w:r>
            <w:r>
              <w:rPr>
                <w:rFonts w:hint="eastAsia"/>
              </w:rPr>
              <w:t>-</w:t>
            </w:r>
            <w:r>
              <w:rPr>
                <w:rFonts w:hint="eastAsia"/>
              </w:rPr>
              <w:t>脱附</w:t>
            </w:r>
            <w:r>
              <w:rPr>
                <w:rFonts w:hint="eastAsia"/>
              </w:rPr>
              <w:t>-</w:t>
            </w:r>
            <w:r>
              <w:rPr>
                <w:rFonts w:hint="eastAsia"/>
              </w:rPr>
              <w:t>催化燃烧装置”进行处理</w:t>
            </w:r>
            <w:r>
              <w:t>，废气排放能够满足《大气污染物综合排放标准》（</w:t>
            </w:r>
            <w:r>
              <w:t>GB16297-1996</w:t>
            </w:r>
            <w:r>
              <w:t>）表</w:t>
            </w:r>
            <w:r>
              <w:t>2</w:t>
            </w:r>
            <w:r>
              <w:rPr>
                <w:rFonts w:hint="eastAsia"/>
              </w:rPr>
              <w:t>、《工业涂装工序挥发性有机物排放标准》（</w:t>
            </w:r>
            <w:r>
              <w:rPr>
                <w:rFonts w:hint="eastAsia"/>
              </w:rPr>
              <w:t>DB41/1951-2020</w:t>
            </w:r>
            <w:r>
              <w:rPr>
                <w:rFonts w:hint="eastAsia"/>
              </w:rPr>
              <w:t>）表</w:t>
            </w:r>
            <w:r>
              <w:rPr>
                <w:rFonts w:hint="eastAsia"/>
              </w:rPr>
              <w:t>1</w:t>
            </w:r>
            <w:r>
              <w:rPr>
                <w:rFonts w:hint="eastAsia"/>
              </w:rPr>
              <w:t>标准要求。</w:t>
            </w:r>
          </w:p>
        </w:tc>
        <w:tc>
          <w:tcPr>
            <w:tcW w:w="443" w:type="pct"/>
            <w:vAlign w:val="center"/>
          </w:tcPr>
          <w:p w:rsidR="00EE56C0" w:rsidRDefault="000F36A1">
            <w:pPr>
              <w:pStyle w:val="afa"/>
            </w:pPr>
            <w:r>
              <w:rPr>
                <w:rFonts w:hint="eastAsia"/>
              </w:rPr>
              <w:t>相符</w:t>
            </w:r>
          </w:p>
        </w:tc>
      </w:tr>
      <w:tr w:rsidR="00EE56C0">
        <w:trPr>
          <w:trHeight w:val="369"/>
        </w:trPr>
        <w:tc>
          <w:tcPr>
            <w:tcW w:w="396" w:type="pct"/>
            <w:vMerge/>
            <w:vAlign w:val="center"/>
          </w:tcPr>
          <w:p w:rsidR="00EE56C0" w:rsidRDefault="00EE56C0">
            <w:pPr>
              <w:pStyle w:val="afa"/>
            </w:pPr>
          </w:p>
        </w:tc>
        <w:tc>
          <w:tcPr>
            <w:tcW w:w="2992" w:type="pct"/>
            <w:vAlign w:val="center"/>
          </w:tcPr>
          <w:p w:rsidR="00EE56C0" w:rsidRDefault="000F36A1">
            <w:pPr>
              <w:pStyle w:val="afa"/>
            </w:pPr>
            <w:r>
              <w:rPr>
                <w:rFonts w:hint="eastAsia"/>
              </w:rPr>
              <w:t>按照“应收尽收”的原则提升废气收集率。推动取消废气排放系统旁路，因安全生产等原因必须保留的，应将保留旁路清单报当地生态环境部门，旁路在非紧急情况下保持关闭，并通过铅封、安装自动监控设施、流量计等方式加强监管，开启后应及时向当地生态环境部门报告，做好台账记录。将无组织排放转变为有组织排放进行控制，优先采用密闭设备、在密闭空间中操作或采用全密闭集气罩收集方式；对于采用局部集气罩的，应根据废气排放特点合理选择收集点位，距集气罩开口面最远处的</w:t>
            </w:r>
            <w:r>
              <w:rPr>
                <w:rFonts w:hint="eastAsia"/>
              </w:rPr>
              <w:t>VOCs</w:t>
            </w:r>
            <w:r>
              <w:rPr>
                <w:rFonts w:hint="eastAsia"/>
              </w:rPr>
              <w:t>无组织排放位置，控制风速不低于</w:t>
            </w:r>
            <w:r>
              <w:rPr>
                <w:rFonts w:hint="eastAsia"/>
              </w:rPr>
              <w:t>0.3</w:t>
            </w:r>
            <w:r>
              <w:rPr>
                <w:rFonts w:hint="eastAsia"/>
              </w:rPr>
              <w:t>米</w:t>
            </w:r>
            <w:r>
              <w:rPr>
                <w:rFonts w:hint="eastAsia"/>
              </w:rPr>
              <w:t>/</w:t>
            </w:r>
            <w:r>
              <w:rPr>
                <w:rFonts w:hint="eastAsia"/>
              </w:rPr>
              <w:t>秒，达不到要求的通过更换大功率风机、增设烟道风机、增加垂帘等方式及时改造；加强生产车间密闭管理，在符合安全生产、职业卫生相关规定前提下，采用自动卷帘门、密闭性好的塑钢门窗等，在非必要时保持关闭。按照与生产设备“同启同停”的原则提升治理设施运行率。根据处理工艺要求，在处理设施达到正常运行条件后方可启动生产设备，在生产设备停止、残留</w:t>
            </w:r>
            <w:r>
              <w:rPr>
                <w:rFonts w:hint="eastAsia"/>
              </w:rPr>
              <w:t>VOCs</w:t>
            </w:r>
            <w:r>
              <w:rPr>
                <w:rFonts w:hint="eastAsia"/>
              </w:rPr>
              <w:t>废气收集处理完毕后，方可停运处理设施。</w:t>
            </w:r>
            <w:r>
              <w:rPr>
                <w:rFonts w:hint="eastAsia"/>
              </w:rPr>
              <w:t>VOCs</w:t>
            </w:r>
            <w:r>
              <w:rPr>
                <w:rFonts w:hint="eastAsia"/>
              </w:rPr>
              <w:t>废气处理系统发生故障或检修时，对应生产工艺设备应停止运行，待检修完毕后同步投入使用；因安全等因素生产工艺设备不能停止或不能及时停止运行的，应设置废气应急处理设施或采取其他替代措施。按照“适宜高效”的原则提高治理设施去除率，不得稀释排放。企业新建治污设施或对现有治污设施实施改造，应依据排放废气特征、</w:t>
            </w:r>
            <w:r>
              <w:rPr>
                <w:rFonts w:hint="eastAsia"/>
              </w:rPr>
              <w:t>VOCs</w:t>
            </w:r>
            <w:r>
              <w:rPr>
                <w:rFonts w:hint="eastAsia"/>
              </w:rPr>
              <w:t>组分及浓度、生产工况等，合理选择治理技术，对治理难度大、单一治理工艺难以稳定达标的，要采用多种技术的组合工艺。采用活性炭吸附技术的，</w:t>
            </w:r>
            <w:r>
              <w:rPr>
                <w:rFonts w:hint="eastAsia"/>
              </w:rPr>
              <w:lastRenderedPageBreak/>
              <w:t>应选择碘值不低于</w:t>
            </w:r>
            <w:r>
              <w:rPr>
                <w:rFonts w:hint="eastAsia"/>
              </w:rPr>
              <w:t>800</w:t>
            </w:r>
            <w:r>
              <w:rPr>
                <w:rFonts w:hint="eastAsia"/>
              </w:rPr>
              <w:t>毫克</w:t>
            </w:r>
            <w:r>
              <w:rPr>
                <w:rFonts w:hint="eastAsia"/>
              </w:rPr>
              <w:t>/</w:t>
            </w:r>
            <w:r>
              <w:rPr>
                <w:rFonts w:hint="eastAsia"/>
              </w:rPr>
              <w:t>克的活性炭，并按设计要求足量添加、及时更换；各地要督促行政区域内采用一次性活性炭吸附技术的企业按期更换活性炭，对于长期未进行更换的，于</w:t>
            </w:r>
            <w:r>
              <w:rPr>
                <w:rFonts w:hint="eastAsia"/>
              </w:rPr>
              <w:t>7</w:t>
            </w:r>
            <w:r>
              <w:rPr>
                <w:rFonts w:hint="eastAsia"/>
              </w:rPr>
              <w:t>月底前全部更换一次，并将废旧活性炭交有资质的单位处理处置，记录更换时间和使用量。</w:t>
            </w:r>
          </w:p>
        </w:tc>
        <w:tc>
          <w:tcPr>
            <w:tcW w:w="1169" w:type="pct"/>
            <w:vAlign w:val="center"/>
          </w:tcPr>
          <w:p w:rsidR="00EE56C0" w:rsidRDefault="000F36A1">
            <w:pPr>
              <w:pStyle w:val="afa"/>
            </w:pPr>
            <w:r>
              <w:lastRenderedPageBreak/>
              <w:t>本项目将</w:t>
            </w:r>
            <w:r>
              <w:rPr>
                <w:shd w:val="clear" w:color="auto" w:fill="FFFFFF"/>
              </w:rPr>
              <w:t>按照</w:t>
            </w:r>
            <w:r>
              <w:rPr>
                <w:shd w:val="clear" w:color="auto" w:fill="FFFFFF"/>
              </w:rPr>
              <w:t>“</w:t>
            </w:r>
            <w:r>
              <w:rPr>
                <w:shd w:val="clear" w:color="auto" w:fill="FFFFFF"/>
              </w:rPr>
              <w:t>应收尽收</w:t>
            </w:r>
            <w:r>
              <w:rPr>
                <w:shd w:val="clear" w:color="auto" w:fill="FFFFFF"/>
              </w:rPr>
              <w:t>”</w:t>
            </w:r>
            <w:r>
              <w:rPr>
                <w:shd w:val="clear" w:color="auto" w:fill="FFFFFF"/>
              </w:rPr>
              <w:t>的原则提升废气收集率。</w:t>
            </w:r>
            <w:r>
              <w:t>本项目</w:t>
            </w:r>
            <w:r>
              <w:rPr>
                <w:rFonts w:hint="eastAsia"/>
              </w:rPr>
              <w:t>有机废气收集后引入“静电除油</w:t>
            </w:r>
            <w:r>
              <w:rPr>
                <w:rFonts w:hint="eastAsia"/>
              </w:rPr>
              <w:t>+</w:t>
            </w:r>
            <w:r>
              <w:rPr>
                <w:rFonts w:hint="eastAsia"/>
              </w:rPr>
              <w:t>活性炭吸附</w:t>
            </w:r>
            <w:r>
              <w:rPr>
                <w:rFonts w:hint="eastAsia"/>
              </w:rPr>
              <w:t>-</w:t>
            </w:r>
            <w:r>
              <w:rPr>
                <w:rFonts w:hint="eastAsia"/>
              </w:rPr>
              <w:t>脱附</w:t>
            </w:r>
            <w:r>
              <w:rPr>
                <w:rFonts w:hint="eastAsia"/>
              </w:rPr>
              <w:t>-</w:t>
            </w:r>
            <w:r>
              <w:rPr>
                <w:rFonts w:hint="eastAsia"/>
              </w:rPr>
              <w:t>催化燃烧装置”和“沸石吸附</w:t>
            </w:r>
            <w:r>
              <w:rPr>
                <w:rFonts w:hint="eastAsia"/>
              </w:rPr>
              <w:t>-</w:t>
            </w:r>
            <w:r>
              <w:rPr>
                <w:rFonts w:hint="eastAsia"/>
              </w:rPr>
              <w:t>脱附</w:t>
            </w:r>
            <w:r>
              <w:rPr>
                <w:rFonts w:hint="eastAsia"/>
              </w:rPr>
              <w:t>-</w:t>
            </w:r>
            <w:r>
              <w:rPr>
                <w:rFonts w:hint="eastAsia"/>
              </w:rPr>
              <w:t>催化燃烧装置”，</w:t>
            </w:r>
            <w:r>
              <w:t>活性炭采用碘值不低于</w:t>
            </w:r>
            <w:r>
              <w:t>800</w:t>
            </w:r>
            <w:r>
              <w:t>毫克</w:t>
            </w:r>
            <w:r>
              <w:t>/</w:t>
            </w:r>
            <w:r>
              <w:t>克的活性炭，同时根据活性炭填充量、设计更换周期进行更换</w:t>
            </w:r>
            <w:r>
              <w:rPr>
                <w:rFonts w:hint="eastAsia"/>
              </w:rPr>
              <w:t>；</w:t>
            </w:r>
            <w:r>
              <w:t>生产设备与废气处理设施按照</w:t>
            </w:r>
            <w:r>
              <w:t>“</w:t>
            </w:r>
            <w:r>
              <w:t>同启同停</w:t>
            </w:r>
            <w:r>
              <w:t>”</w:t>
            </w:r>
            <w:r>
              <w:t>原则</w:t>
            </w:r>
            <w:r>
              <w:rPr>
                <w:rFonts w:hint="eastAsia"/>
              </w:rPr>
              <w:t>，</w:t>
            </w:r>
            <w:r>
              <w:t>VOCs</w:t>
            </w:r>
            <w:r>
              <w:t>废气处理系统发生故障或检修时，对应生产工艺设备停止运行，待检修完毕后同步投入使用</w:t>
            </w:r>
            <w:r>
              <w:rPr>
                <w:rFonts w:hint="eastAsia"/>
              </w:rPr>
              <w:t>；</w:t>
            </w:r>
            <w:r>
              <w:t>同时按照</w:t>
            </w:r>
            <w:r>
              <w:t>“</w:t>
            </w:r>
            <w:r>
              <w:t>适宜高效</w:t>
            </w:r>
            <w:r>
              <w:t>”</w:t>
            </w:r>
            <w:r>
              <w:t>的原则提高治理设施去除率</w:t>
            </w:r>
            <w:r>
              <w:rPr>
                <w:rFonts w:hint="eastAsia"/>
              </w:rPr>
              <w:t>。</w:t>
            </w:r>
          </w:p>
        </w:tc>
        <w:tc>
          <w:tcPr>
            <w:tcW w:w="443" w:type="pct"/>
            <w:vAlign w:val="center"/>
          </w:tcPr>
          <w:p w:rsidR="00EE56C0" w:rsidRDefault="000F36A1">
            <w:pPr>
              <w:pStyle w:val="afa"/>
            </w:pPr>
            <w:r>
              <w:rPr>
                <w:rFonts w:hint="eastAsia"/>
              </w:rPr>
              <w:t>相符</w:t>
            </w:r>
          </w:p>
        </w:tc>
      </w:tr>
      <w:tr w:rsidR="00EE56C0">
        <w:trPr>
          <w:trHeight w:val="369"/>
        </w:trPr>
        <w:tc>
          <w:tcPr>
            <w:tcW w:w="396" w:type="pct"/>
            <w:vAlign w:val="center"/>
          </w:tcPr>
          <w:p w:rsidR="00EE56C0" w:rsidRDefault="000F36A1">
            <w:pPr>
              <w:pStyle w:val="afa"/>
            </w:pPr>
            <w:r>
              <w:rPr>
                <w:rFonts w:hint="eastAsia"/>
              </w:rPr>
              <w:lastRenderedPageBreak/>
              <w:t>七、完善监测监控体系，提高精准治理水平</w:t>
            </w:r>
          </w:p>
        </w:tc>
        <w:tc>
          <w:tcPr>
            <w:tcW w:w="2992" w:type="pct"/>
            <w:vAlign w:val="center"/>
          </w:tcPr>
          <w:p w:rsidR="00EE56C0" w:rsidRDefault="000F36A1">
            <w:pPr>
              <w:pStyle w:val="afa"/>
            </w:pPr>
            <w:r>
              <w:rPr>
                <w:rFonts w:hint="eastAsia"/>
              </w:rPr>
              <w:t>加强污染源</w:t>
            </w:r>
            <w:r>
              <w:rPr>
                <w:rFonts w:hint="eastAsia"/>
              </w:rPr>
              <w:t>VOCs</w:t>
            </w:r>
            <w:r>
              <w:rPr>
                <w:rFonts w:hint="eastAsia"/>
              </w:rPr>
              <w:t>监测监控。重点区域要对石化、化工、包装印刷、工业涂装等行业</w:t>
            </w:r>
            <w:r>
              <w:rPr>
                <w:rFonts w:hint="eastAsia"/>
              </w:rPr>
              <w:t>VOCs</w:t>
            </w:r>
            <w:r>
              <w:rPr>
                <w:rFonts w:hint="eastAsia"/>
              </w:rPr>
              <w:t>自动监控设施建设和运行情况开展排查，达不到《固定污染源废气中非甲烷总烃排放连续监测技术指南（试行）》规范要求的及时整改。其他地区要加快</w:t>
            </w:r>
            <w:r>
              <w:rPr>
                <w:rFonts w:hint="eastAsia"/>
              </w:rPr>
              <w:t>VOCs</w:t>
            </w:r>
            <w:r>
              <w:rPr>
                <w:rFonts w:hint="eastAsia"/>
              </w:rPr>
              <w:t>重点排污单位自动监控设施建设，并与当地生态环境部门联网，苏皖鲁豫交界地区</w:t>
            </w:r>
            <w:r>
              <w:rPr>
                <w:rFonts w:hint="eastAsia"/>
              </w:rPr>
              <w:t>9</w:t>
            </w:r>
            <w:r>
              <w:rPr>
                <w:rFonts w:hint="eastAsia"/>
              </w:rPr>
              <w:t>月底前基本完成，全国</w:t>
            </w:r>
            <w:r>
              <w:rPr>
                <w:rFonts w:hint="eastAsia"/>
              </w:rPr>
              <w:t>12</w:t>
            </w:r>
            <w:r>
              <w:rPr>
                <w:rFonts w:hint="eastAsia"/>
              </w:rPr>
              <w:t>月底前基本完成。鼓励各地按照《挥发性有机物无组织排放控制标准》附录</w:t>
            </w:r>
            <w:r>
              <w:rPr>
                <w:rFonts w:hint="eastAsia"/>
              </w:rPr>
              <w:t>A</w:t>
            </w:r>
            <w:r>
              <w:rPr>
                <w:rFonts w:hint="eastAsia"/>
              </w:rPr>
              <w:t>要求，开展重点管控企业厂区内无组织排放监测，监控企业综合控制效果。鼓励各地对纳入重点排污单位名录的企业安装用电监控系统、视频监控设施等。加快推进储油库、加油站油气回收装置自动监控设施建设。加强对企业自行监测及第三方检测机构的监督管理，提高企业自行监测数据质量，公开一批监测数据质量差甚至篡改、伪造监测数据的机构和人员名单。</w:t>
            </w:r>
          </w:p>
        </w:tc>
        <w:tc>
          <w:tcPr>
            <w:tcW w:w="1169" w:type="pct"/>
            <w:vAlign w:val="center"/>
          </w:tcPr>
          <w:p w:rsidR="00EE56C0" w:rsidRDefault="000F36A1">
            <w:pPr>
              <w:pStyle w:val="aff0"/>
              <w:ind w:firstLine="210"/>
            </w:pPr>
            <w:r>
              <w:rPr>
                <w:rFonts w:hint="eastAsia"/>
                <w:szCs w:val="21"/>
              </w:rPr>
              <w:t>项目建成后按要求按照</w:t>
            </w:r>
            <w:r>
              <w:rPr>
                <w:szCs w:val="21"/>
              </w:rPr>
              <w:t>安装</w:t>
            </w:r>
            <w:r>
              <w:rPr>
                <w:szCs w:val="21"/>
              </w:rPr>
              <w:t>VOCs</w:t>
            </w:r>
            <w:r>
              <w:rPr>
                <w:szCs w:val="21"/>
              </w:rPr>
              <w:t>在线监控装置，用电量监控系统和视频监控设施。</w:t>
            </w:r>
          </w:p>
        </w:tc>
        <w:tc>
          <w:tcPr>
            <w:tcW w:w="443" w:type="pct"/>
            <w:vAlign w:val="center"/>
          </w:tcPr>
          <w:p w:rsidR="00EE56C0" w:rsidRDefault="000F36A1">
            <w:pPr>
              <w:pStyle w:val="afa"/>
            </w:pPr>
            <w:r>
              <w:rPr>
                <w:rFonts w:hint="eastAsia"/>
              </w:rPr>
              <w:t>相符</w:t>
            </w:r>
          </w:p>
        </w:tc>
      </w:tr>
    </w:tbl>
    <w:p w:rsidR="00EE56C0" w:rsidRDefault="000F36A1">
      <w:pPr>
        <w:pStyle w:val="3"/>
        <w:spacing w:before="240" w:after="120"/>
      </w:pPr>
      <w:bookmarkStart w:id="158" w:name="_Toc405905028"/>
      <w:bookmarkStart w:id="159" w:name="_Toc428287558"/>
      <w:bookmarkStart w:id="160" w:name="_Toc428286812"/>
      <w:bookmarkStart w:id="161" w:name="_Toc428287206"/>
      <w:r>
        <w:rPr>
          <w:rFonts w:hint="eastAsia"/>
        </w:rPr>
        <w:t>2.11.6</w:t>
      </w:r>
      <w:r>
        <w:rPr>
          <w:rFonts w:hint="eastAsia"/>
        </w:rPr>
        <w:t>与</w:t>
      </w:r>
      <w:r>
        <w:t>《河南省生态环境厅关于印发河南省工业大气污染防治</w:t>
      </w:r>
      <w:r>
        <w:t>6</w:t>
      </w:r>
      <w:r>
        <w:t>个专项方案的通知》</w:t>
      </w:r>
      <w:r>
        <w:rPr>
          <w:rFonts w:hint="eastAsia"/>
        </w:rPr>
        <w:t>对比分析</w:t>
      </w:r>
    </w:p>
    <w:p w:rsidR="00EE56C0" w:rsidRDefault="000F36A1">
      <w:pPr>
        <w:ind w:firstLine="480"/>
        <w:jc w:val="left"/>
      </w:pPr>
      <w:r>
        <w:t>2019</w:t>
      </w:r>
      <w:r>
        <w:t>年</w:t>
      </w:r>
      <w:r>
        <w:t>4</w:t>
      </w:r>
      <w:r>
        <w:t>月</w:t>
      </w:r>
      <w:r>
        <w:t>9</w:t>
      </w:r>
      <w:r>
        <w:t>日河南省生态环境厅发布了《河南省生态环境厅关于印发河南省工业大气污染防治</w:t>
      </w:r>
      <w:r>
        <w:t>6</w:t>
      </w:r>
      <w:r>
        <w:t>个专项方案的通知》，与本项目相关的为《河南省</w:t>
      </w:r>
      <w:r>
        <w:t>2019</w:t>
      </w:r>
      <w:r>
        <w:t>年挥发性有机物治理方案》，本项目情况与其相关内容的对比情况见表</w:t>
      </w:r>
      <w:r>
        <w:t>2-22</w:t>
      </w:r>
      <w:r>
        <w:t>。</w:t>
      </w:r>
    </w:p>
    <w:p w:rsidR="00EE56C0" w:rsidRDefault="000F36A1">
      <w:pPr>
        <w:pStyle w:val="afd"/>
        <w:spacing w:before="120" w:after="120"/>
        <w:ind w:firstLine="482"/>
        <w:rPr>
          <w:lang w:val="pt-BR"/>
        </w:rPr>
      </w:pPr>
      <w:r>
        <w:rPr>
          <w:lang w:val="pt-BR"/>
        </w:rPr>
        <w:t>表</w:t>
      </w:r>
      <w:r>
        <w:rPr>
          <w:lang w:val="pt-BR"/>
        </w:rPr>
        <w:t>2-2</w:t>
      </w:r>
      <w:r>
        <w:rPr>
          <w:rFonts w:hint="eastAsia"/>
          <w:lang w:val="pt-BR"/>
        </w:rPr>
        <w:t>1</w:t>
      </w:r>
      <w:r>
        <w:rPr>
          <w:lang w:val="pt-BR"/>
        </w:rPr>
        <w:t xml:space="preserve">      </w:t>
      </w:r>
      <w:r>
        <w:rPr>
          <w:lang w:val="pt-BR"/>
        </w:rPr>
        <w:t>与《河南省</w:t>
      </w:r>
      <w:r>
        <w:rPr>
          <w:lang w:val="pt-BR"/>
        </w:rPr>
        <w:t>2019</w:t>
      </w:r>
      <w:r>
        <w:rPr>
          <w:lang w:val="pt-BR"/>
        </w:rPr>
        <w:t>挥发性有机物治理方案》对比分析</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tblPr>
      <w:tblGrid>
        <w:gridCol w:w="959"/>
        <w:gridCol w:w="4484"/>
        <w:gridCol w:w="2232"/>
        <w:gridCol w:w="853"/>
      </w:tblGrid>
      <w:tr w:rsidR="00EE56C0">
        <w:trPr>
          <w:trHeight w:val="397"/>
          <w:jc w:val="center"/>
        </w:trPr>
        <w:tc>
          <w:tcPr>
            <w:tcW w:w="5443" w:type="dxa"/>
            <w:gridSpan w:val="2"/>
            <w:vAlign w:val="center"/>
          </w:tcPr>
          <w:p w:rsidR="00EE56C0" w:rsidRDefault="000F36A1">
            <w:pPr>
              <w:spacing w:line="240" w:lineRule="auto"/>
              <w:ind w:firstLineChars="0" w:firstLine="0"/>
              <w:jc w:val="center"/>
              <w:rPr>
                <w:b/>
                <w:sz w:val="21"/>
                <w:szCs w:val="21"/>
              </w:rPr>
            </w:pPr>
            <w:r>
              <w:rPr>
                <w:b/>
                <w:sz w:val="21"/>
                <w:szCs w:val="21"/>
              </w:rPr>
              <w:t>与本项目相关条文</w:t>
            </w:r>
          </w:p>
        </w:tc>
        <w:tc>
          <w:tcPr>
            <w:tcW w:w="2232" w:type="dxa"/>
            <w:vAlign w:val="center"/>
          </w:tcPr>
          <w:p w:rsidR="00EE56C0" w:rsidRDefault="000F36A1">
            <w:pPr>
              <w:spacing w:line="240" w:lineRule="auto"/>
              <w:ind w:firstLineChars="0" w:firstLine="0"/>
              <w:jc w:val="center"/>
              <w:rPr>
                <w:b/>
                <w:sz w:val="21"/>
                <w:szCs w:val="21"/>
              </w:rPr>
            </w:pPr>
            <w:r>
              <w:rPr>
                <w:b/>
                <w:sz w:val="21"/>
                <w:szCs w:val="21"/>
              </w:rPr>
              <w:t>本项目情况</w:t>
            </w:r>
          </w:p>
        </w:tc>
        <w:tc>
          <w:tcPr>
            <w:tcW w:w="853" w:type="dxa"/>
            <w:vAlign w:val="center"/>
          </w:tcPr>
          <w:p w:rsidR="00EE56C0" w:rsidRDefault="000F36A1">
            <w:pPr>
              <w:spacing w:line="240" w:lineRule="auto"/>
              <w:ind w:firstLineChars="0" w:firstLine="0"/>
              <w:jc w:val="center"/>
              <w:rPr>
                <w:b/>
                <w:sz w:val="21"/>
                <w:szCs w:val="21"/>
              </w:rPr>
            </w:pPr>
            <w:r>
              <w:rPr>
                <w:b/>
                <w:sz w:val="21"/>
                <w:szCs w:val="21"/>
              </w:rPr>
              <w:t>对比</w:t>
            </w:r>
          </w:p>
          <w:p w:rsidR="00EE56C0" w:rsidRDefault="000F36A1">
            <w:pPr>
              <w:spacing w:line="240" w:lineRule="auto"/>
              <w:ind w:firstLineChars="0" w:firstLine="0"/>
              <w:jc w:val="center"/>
              <w:rPr>
                <w:b/>
                <w:sz w:val="21"/>
                <w:szCs w:val="21"/>
              </w:rPr>
            </w:pPr>
            <w:r>
              <w:rPr>
                <w:b/>
                <w:sz w:val="21"/>
                <w:szCs w:val="21"/>
              </w:rPr>
              <w:t>结果</w:t>
            </w:r>
          </w:p>
        </w:tc>
      </w:tr>
      <w:tr w:rsidR="00EE56C0">
        <w:trPr>
          <w:trHeight w:val="397"/>
          <w:jc w:val="center"/>
        </w:trPr>
        <w:tc>
          <w:tcPr>
            <w:tcW w:w="8528" w:type="dxa"/>
            <w:gridSpan w:val="4"/>
            <w:vAlign w:val="center"/>
          </w:tcPr>
          <w:p w:rsidR="00EE56C0" w:rsidRDefault="000F36A1">
            <w:pPr>
              <w:spacing w:line="240" w:lineRule="auto"/>
              <w:ind w:firstLineChars="0" w:firstLine="0"/>
              <w:jc w:val="center"/>
              <w:rPr>
                <w:rFonts w:ascii="宋体" w:hAnsi="宋体"/>
                <w:b/>
                <w:sz w:val="21"/>
                <w:szCs w:val="21"/>
              </w:rPr>
            </w:pPr>
            <w:r>
              <w:rPr>
                <w:rFonts w:ascii="宋体" w:hAnsi="宋体"/>
                <w:b/>
                <w:lang w:val="pt-BR"/>
              </w:rPr>
              <w:t>《河南省2019挥发性有机物治理方案》</w:t>
            </w:r>
          </w:p>
        </w:tc>
      </w:tr>
      <w:tr w:rsidR="00EE56C0">
        <w:trPr>
          <w:trHeight w:val="397"/>
          <w:jc w:val="center"/>
        </w:trPr>
        <w:tc>
          <w:tcPr>
            <w:tcW w:w="959" w:type="dxa"/>
            <w:vAlign w:val="center"/>
          </w:tcPr>
          <w:p w:rsidR="00EE56C0" w:rsidRDefault="000F36A1">
            <w:pPr>
              <w:spacing w:line="240" w:lineRule="auto"/>
              <w:ind w:firstLineChars="0" w:firstLine="0"/>
              <w:jc w:val="center"/>
              <w:rPr>
                <w:sz w:val="21"/>
                <w:szCs w:val="21"/>
              </w:rPr>
            </w:pPr>
            <w:r>
              <w:rPr>
                <w:sz w:val="21"/>
                <w:szCs w:val="21"/>
              </w:rPr>
              <w:t>一、（二）工作目标。</w:t>
            </w:r>
          </w:p>
        </w:tc>
        <w:tc>
          <w:tcPr>
            <w:tcW w:w="4484" w:type="dxa"/>
            <w:vAlign w:val="center"/>
          </w:tcPr>
          <w:p w:rsidR="00EE56C0" w:rsidRDefault="000F36A1">
            <w:pPr>
              <w:pStyle w:val="afa"/>
            </w:pPr>
            <w:r>
              <w:t xml:space="preserve">2019 </w:t>
            </w:r>
            <w:r>
              <w:rPr>
                <w:rFonts w:hint="eastAsia"/>
              </w:rPr>
              <w:t>年</w:t>
            </w:r>
            <w:r>
              <w:t>6</w:t>
            </w:r>
            <w:r>
              <w:rPr>
                <w:rFonts w:hint="eastAsia"/>
              </w:rPr>
              <w:t>月底前，全省石油化学、石油炼制、工业涂装、包装印刷、化工、制药等工业企业，全面完成</w:t>
            </w:r>
            <w:r>
              <w:t>VOCs</w:t>
            </w:r>
            <w:r>
              <w:rPr>
                <w:rFonts w:hint="eastAsia"/>
              </w:rPr>
              <w:t>污染治理；</w:t>
            </w:r>
            <w:r>
              <w:t>8</w:t>
            </w:r>
            <w:r>
              <w:rPr>
                <w:rFonts w:hint="eastAsia"/>
              </w:rPr>
              <w:t>月底前，全省石油化学、石油炼制企业完成</w:t>
            </w:r>
            <w:r>
              <w:t>VOCs</w:t>
            </w:r>
            <w:r>
              <w:rPr>
                <w:rFonts w:hint="eastAsia"/>
              </w:rPr>
              <w:t>深度治理和泄漏检测与修复（</w:t>
            </w:r>
            <w:r>
              <w:t>LDAR</w:t>
            </w:r>
            <w:r>
              <w:rPr>
                <w:rFonts w:hint="eastAsia"/>
              </w:rPr>
              <w:t>）治理；</w:t>
            </w:r>
            <w:r>
              <w:t>12</w:t>
            </w:r>
            <w:r>
              <w:rPr>
                <w:rFonts w:hint="eastAsia"/>
              </w:rPr>
              <w:t>月底前，省辖市建成区全面淘汰开启式干洗机。</w:t>
            </w:r>
          </w:p>
        </w:tc>
        <w:tc>
          <w:tcPr>
            <w:tcW w:w="2232" w:type="dxa"/>
            <w:vAlign w:val="center"/>
          </w:tcPr>
          <w:p w:rsidR="00EE56C0" w:rsidRDefault="000F36A1">
            <w:pPr>
              <w:pStyle w:val="afa"/>
            </w:pPr>
            <w:r>
              <w:rPr>
                <w:rFonts w:hint="eastAsia"/>
              </w:rPr>
              <w:t>本项目属于</w:t>
            </w:r>
            <w:r>
              <w:t>电气机械和器材制造</w:t>
            </w:r>
            <w:r>
              <w:rPr>
                <w:rFonts w:hint="eastAsia"/>
              </w:rPr>
              <w:t>业，含浸漆工艺，按照工业涂装行业对比分析，评价提出本项目按照治理方案标准进行建设。</w:t>
            </w:r>
          </w:p>
        </w:tc>
        <w:tc>
          <w:tcPr>
            <w:tcW w:w="853" w:type="dxa"/>
            <w:vAlign w:val="center"/>
          </w:tcPr>
          <w:p w:rsidR="00EE56C0" w:rsidRDefault="000F36A1">
            <w:pPr>
              <w:spacing w:line="240" w:lineRule="auto"/>
              <w:ind w:firstLineChars="0" w:firstLine="0"/>
              <w:jc w:val="center"/>
              <w:rPr>
                <w:sz w:val="21"/>
                <w:szCs w:val="21"/>
              </w:rPr>
            </w:pPr>
            <w:r>
              <w:rPr>
                <w:sz w:val="21"/>
                <w:szCs w:val="21"/>
              </w:rPr>
              <w:t>符合</w:t>
            </w:r>
          </w:p>
          <w:p w:rsidR="00EE56C0" w:rsidRDefault="000F36A1">
            <w:pPr>
              <w:spacing w:line="240" w:lineRule="auto"/>
              <w:ind w:firstLineChars="0" w:firstLine="0"/>
              <w:jc w:val="center"/>
              <w:rPr>
                <w:sz w:val="21"/>
                <w:szCs w:val="21"/>
              </w:rPr>
            </w:pPr>
            <w:r>
              <w:rPr>
                <w:sz w:val="21"/>
                <w:szCs w:val="21"/>
              </w:rPr>
              <w:t>要求</w:t>
            </w:r>
          </w:p>
        </w:tc>
      </w:tr>
      <w:tr w:rsidR="00EE56C0">
        <w:trPr>
          <w:trHeight w:val="397"/>
          <w:jc w:val="center"/>
        </w:trPr>
        <w:tc>
          <w:tcPr>
            <w:tcW w:w="959" w:type="dxa"/>
            <w:vAlign w:val="center"/>
          </w:tcPr>
          <w:p w:rsidR="00EE56C0" w:rsidRDefault="000F36A1">
            <w:pPr>
              <w:spacing w:line="240" w:lineRule="auto"/>
              <w:ind w:firstLineChars="0" w:firstLine="0"/>
              <w:jc w:val="center"/>
              <w:rPr>
                <w:sz w:val="21"/>
                <w:szCs w:val="21"/>
              </w:rPr>
            </w:pPr>
            <w:r>
              <w:rPr>
                <w:sz w:val="21"/>
                <w:szCs w:val="21"/>
              </w:rPr>
              <w:t>二、（四）推进工业涂装整治升</w:t>
            </w:r>
            <w:r>
              <w:rPr>
                <w:sz w:val="21"/>
                <w:szCs w:val="21"/>
              </w:rPr>
              <w:lastRenderedPageBreak/>
              <w:t>级</w:t>
            </w:r>
          </w:p>
        </w:tc>
        <w:tc>
          <w:tcPr>
            <w:tcW w:w="4484" w:type="dxa"/>
            <w:vAlign w:val="center"/>
          </w:tcPr>
          <w:p w:rsidR="00EE56C0" w:rsidRDefault="000F36A1">
            <w:pPr>
              <w:pStyle w:val="afa"/>
            </w:pPr>
            <w:r>
              <w:rPr>
                <w:rFonts w:hint="eastAsia"/>
              </w:rPr>
              <w:lastRenderedPageBreak/>
              <w:t>改进涂装工艺，提高涂着效率，金属件涂装行业推广使用</w:t>
            </w:r>
            <w:r>
              <w:t>3C1B(</w:t>
            </w:r>
            <w:r>
              <w:rPr>
                <w:rFonts w:hint="eastAsia"/>
              </w:rPr>
              <w:t>三涂一烘</w:t>
            </w:r>
            <w:r>
              <w:t>)</w:t>
            </w:r>
            <w:r>
              <w:rPr>
                <w:rFonts w:hint="eastAsia"/>
              </w:rPr>
              <w:t>或</w:t>
            </w:r>
            <w:r>
              <w:t>2C1B(</w:t>
            </w:r>
            <w:r>
              <w:rPr>
                <w:rFonts w:hint="eastAsia"/>
              </w:rPr>
              <w:t>两涂一烘</w:t>
            </w:r>
            <w:r>
              <w:t>)</w:t>
            </w:r>
            <w:r>
              <w:rPr>
                <w:rFonts w:hint="eastAsia"/>
              </w:rPr>
              <w:t>等紧凑型涂装工艺，采用内外板全自动、静电喷涂技术，喷漆房、烘干室配置密闭收集系统。</w:t>
            </w:r>
            <w:r>
              <w:rPr>
                <w:rFonts w:hint="eastAsia"/>
              </w:rPr>
              <w:lastRenderedPageBreak/>
              <w:t>平面木质家具制造行业，推广使用自动喷涂或辊涂等先进工艺技术。加强末端治理，喷漆、流平和烘干等生产环节应处于全封闭车间内，并配备高效有机废气收集系统，有机废气收集率不低于</w:t>
            </w:r>
            <w:r>
              <w:t>80%</w:t>
            </w:r>
            <w:r>
              <w:rPr>
                <w:rFonts w:hint="eastAsia"/>
              </w:rPr>
              <w:t>，其中整车制造企业有机废气收集率不低于</w:t>
            </w:r>
            <w:r>
              <w:t>90%</w:t>
            </w:r>
            <w:r>
              <w:rPr>
                <w:rFonts w:hint="eastAsia"/>
              </w:rPr>
              <w:t>。整车制造企业收集的有机废气需采用蓄热式焚烧</w:t>
            </w:r>
            <w:r>
              <w:t>( RTO )</w:t>
            </w:r>
            <w:r>
              <w:rPr>
                <w:rFonts w:hint="eastAsia"/>
              </w:rPr>
              <w:t>处理方式，其他企业低浓度有机废气或恶臭气体采用低温等离子体技术、</w:t>
            </w:r>
            <w:r>
              <w:t>UV</w:t>
            </w:r>
            <w:r>
              <w:rPr>
                <w:rFonts w:hint="eastAsia"/>
              </w:rPr>
              <w:t>光催化氧化技术、活性炭吸附技术等两种或两种以上组合工艺，禁止使用单一吸附、催化氧化等处理技术。</w:t>
            </w:r>
          </w:p>
        </w:tc>
        <w:tc>
          <w:tcPr>
            <w:tcW w:w="2232" w:type="dxa"/>
            <w:vAlign w:val="center"/>
          </w:tcPr>
          <w:p w:rsidR="00EE56C0" w:rsidRDefault="000F36A1">
            <w:pPr>
              <w:pStyle w:val="afa"/>
            </w:pPr>
            <w:r>
              <w:rPr>
                <w:rFonts w:hint="eastAsia"/>
              </w:rPr>
              <w:lastRenderedPageBreak/>
              <w:t>本项目属于</w:t>
            </w:r>
            <w:r>
              <w:t>电气机械和器材制造</w:t>
            </w:r>
            <w:r>
              <w:rPr>
                <w:rFonts w:hint="eastAsia"/>
              </w:rPr>
              <w:t>业，含浸漆工艺，浸漆、烘干等生产环节全封闭，且位于</w:t>
            </w:r>
            <w:r>
              <w:rPr>
                <w:rFonts w:hint="eastAsia"/>
              </w:rPr>
              <w:lastRenderedPageBreak/>
              <w:t>密封操作间内，采用负压抽风，有机废气收集效率达到</w:t>
            </w:r>
            <w:r>
              <w:t>80%</w:t>
            </w:r>
            <w:r>
              <w:rPr>
                <w:rFonts w:hint="eastAsia"/>
              </w:rPr>
              <w:t>以上。</w:t>
            </w:r>
          </w:p>
          <w:p w:rsidR="00EE56C0" w:rsidRDefault="000F36A1">
            <w:pPr>
              <w:pStyle w:val="afa"/>
            </w:pPr>
            <w:r>
              <w:t>本项目</w:t>
            </w:r>
            <w:r>
              <w:rPr>
                <w:rFonts w:hint="eastAsia"/>
              </w:rPr>
              <w:t>有机废气收集后引入“静电除油</w:t>
            </w:r>
            <w:r>
              <w:rPr>
                <w:rFonts w:hint="eastAsia"/>
              </w:rPr>
              <w:t>+</w:t>
            </w:r>
            <w:r>
              <w:rPr>
                <w:rFonts w:hint="eastAsia"/>
              </w:rPr>
              <w:t>活性炭吸附</w:t>
            </w:r>
            <w:r>
              <w:rPr>
                <w:rFonts w:hint="eastAsia"/>
              </w:rPr>
              <w:t>-</w:t>
            </w:r>
            <w:r>
              <w:rPr>
                <w:rFonts w:hint="eastAsia"/>
              </w:rPr>
              <w:t>脱附</w:t>
            </w:r>
            <w:r>
              <w:rPr>
                <w:rFonts w:hint="eastAsia"/>
              </w:rPr>
              <w:t>-</w:t>
            </w:r>
            <w:r>
              <w:rPr>
                <w:rFonts w:hint="eastAsia"/>
              </w:rPr>
              <w:t>催化燃烧装置”和“沸石吸附</w:t>
            </w:r>
            <w:r>
              <w:rPr>
                <w:rFonts w:hint="eastAsia"/>
              </w:rPr>
              <w:t>-</w:t>
            </w:r>
            <w:r>
              <w:rPr>
                <w:rFonts w:hint="eastAsia"/>
              </w:rPr>
              <w:t>脱附</w:t>
            </w:r>
            <w:r>
              <w:rPr>
                <w:rFonts w:hint="eastAsia"/>
              </w:rPr>
              <w:t>-</w:t>
            </w:r>
            <w:r>
              <w:rPr>
                <w:rFonts w:hint="eastAsia"/>
              </w:rPr>
              <w:t>催化燃烧装置”处理，均属于高效治理措施，可保证有机废气稳定达标排放。</w:t>
            </w:r>
          </w:p>
        </w:tc>
        <w:tc>
          <w:tcPr>
            <w:tcW w:w="853" w:type="dxa"/>
            <w:vAlign w:val="center"/>
          </w:tcPr>
          <w:p w:rsidR="00EE56C0" w:rsidRDefault="000F36A1">
            <w:pPr>
              <w:spacing w:line="240" w:lineRule="auto"/>
              <w:ind w:firstLineChars="0" w:firstLine="0"/>
              <w:jc w:val="center"/>
              <w:rPr>
                <w:sz w:val="21"/>
                <w:szCs w:val="21"/>
              </w:rPr>
            </w:pPr>
            <w:r>
              <w:rPr>
                <w:sz w:val="21"/>
                <w:szCs w:val="21"/>
              </w:rPr>
              <w:lastRenderedPageBreak/>
              <w:t>符合</w:t>
            </w:r>
          </w:p>
          <w:p w:rsidR="00EE56C0" w:rsidRDefault="000F36A1">
            <w:pPr>
              <w:spacing w:line="240" w:lineRule="auto"/>
              <w:ind w:firstLineChars="0" w:firstLine="0"/>
              <w:jc w:val="center"/>
              <w:rPr>
                <w:sz w:val="21"/>
                <w:szCs w:val="21"/>
              </w:rPr>
            </w:pPr>
            <w:r>
              <w:rPr>
                <w:sz w:val="21"/>
                <w:szCs w:val="21"/>
              </w:rPr>
              <w:t>要求</w:t>
            </w:r>
          </w:p>
        </w:tc>
      </w:tr>
    </w:tbl>
    <w:p w:rsidR="00EE56C0" w:rsidRDefault="000F36A1">
      <w:pPr>
        <w:pStyle w:val="3"/>
        <w:spacing w:before="240" w:after="120"/>
      </w:pPr>
      <w:r>
        <w:rPr>
          <w:rFonts w:hint="eastAsia"/>
        </w:rPr>
        <w:lastRenderedPageBreak/>
        <w:t>2.11.7</w:t>
      </w:r>
      <w:r>
        <w:rPr>
          <w:rFonts w:hint="eastAsia"/>
        </w:rPr>
        <w:t>与</w:t>
      </w:r>
      <w:r>
        <w:rPr>
          <w:rFonts w:hint="eastAsia"/>
        </w:rPr>
        <w:t xml:space="preserve"> </w:t>
      </w:r>
      <w:r>
        <w:rPr>
          <w:rFonts w:hint="eastAsia"/>
        </w:rPr>
        <w:t>“三线一单”相符性分析</w:t>
      </w:r>
    </w:p>
    <w:p w:rsidR="00EE56C0" w:rsidRDefault="000F36A1">
      <w:pPr>
        <w:pStyle w:val="a7"/>
        <w:spacing w:line="460" w:lineRule="exact"/>
        <w:ind w:firstLine="480"/>
        <w:jc w:val="both"/>
        <w:rPr>
          <w:bCs/>
          <w:color w:val="000000"/>
          <w:szCs w:val="24"/>
        </w:rPr>
      </w:pPr>
      <w:r>
        <w:rPr>
          <w:rFonts w:hint="eastAsia"/>
          <w:bCs/>
          <w:color w:val="000000"/>
          <w:szCs w:val="24"/>
        </w:rPr>
        <w:t>1</w:t>
      </w:r>
      <w:r>
        <w:rPr>
          <w:rFonts w:hint="eastAsia"/>
          <w:bCs/>
          <w:color w:val="000000"/>
          <w:szCs w:val="24"/>
        </w:rPr>
        <w:t>、生态保护红线制约性</w:t>
      </w:r>
    </w:p>
    <w:p w:rsidR="00EE56C0" w:rsidRDefault="000F36A1">
      <w:pPr>
        <w:pStyle w:val="a7"/>
        <w:spacing w:line="460" w:lineRule="exact"/>
        <w:ind w:firstLine="480"/>
        <w:jc w:val="both"/>
        <w:rPr>
          <w:bCs/>
          <w:color w:val="000000"/>
          <w:szCs w:val="24"/>
        </w:rPr>
      </w:pPr>
      <w:r>
        <w:rPr>
          <w:rFonts w:hint="eastAsia"/>
          <w:bCs/>
          <w:color w:val="000000"/>
          <w:szCs w:val="24"/>
        </w:rPr>
        <w:t>本项目位于</w:t>
      </w:r>
      <w:r>
        <w:rPr>
          <w:rFonts w:hint="eastAsia"/>
        </w:rPr>
        <w:t>新乡市</w:t>
      </w:r>
      <w:r>
        <w:rPr>
          <w:rFonts w:ascii="宋体" w:hAnsi="宋体" w:hint="eastAsia"/>
          <w:szCs w:val="21"/>
        </w:rPr>
        <w:t>新乡经济技术产业集聚区远大路西段</w:t>
      </w:r>
      <w:r>
        <w:rPr>
          <w:rFonts w:hint="eastAsia"/>
          <w:bCs/>
          <w:color w:val="000000"/>
          <w:szCs w:val="24"/>
        </w:rPr>
        <w:t>，占地为</w:t>
      </w:r>
      <w:r>
        <w:rPr>
          <w:rFonts w:hint="eastAsia"/>
        </w:rPr>
        <w:t>二类工业用地</w:t>
      </w:r>
      <w:r>
        <w:rPr>
          <w:rFonts w:hint="eastAsia"/>
          <w:bCs/>
          <w:color w:val="000000"/>
          <w:szCs w:val="24"/>
        </w:rPr>
        <w:t>，根据《河南省生态保护红线划定方案》，本项目不在当地饮用水源、风景区、自然保护区等生态保护区内，不在环境功能区划等相关文件划定的生态保护红线范围内，满足生态保护红线要求。本项目选址范围不涉及生态保护红线。</w:t>
      </w:r>
    </w:p>
    <w:p w:rsidR="00EE56C0" w:rsidRDefault="000F36A1">
      <w:pPr>
        <w:pStyle w:val="a7"/>
        <w:spacing w:line="460" w:lineRule="exact"/>
        <w:ind w:firstLine="480"/>
        <w:jc w:val="both"/>
        <w:rPr>
          <w:bCs/>
          <w:color w:val="000000"/>
          <w:szCs w:val="24"/>
        </w:rPr>
      </w:pPr>
      <w:r>
        <w:rPr>
          <w:rFonts w:hint="eastAsia"/>
          <w:bCs/>
          <w:color w:val="000000"/>
          <w:szCs w:val="24"/>
        </w:rPr>
        <w:t>2</w:t>
      </w:r>
      <w:r>
        <w:rPr>
          <w:rFonts w:hint="eastAsia"/>
          <w:bCs/>
          <w:color w:val="000000"/>
          <w:szCs w:val="24"/>
        </w:rPr>
        <w:t>、资源利用上线制约性</w:t>
      </w:r>
    </w:p>
    <w:p w:rsidR="00EE56C0" w:rsidRDefault="000F36A1">
      <w:pPr>
        <w:pStyle w:val="a7"/>
        <w:spacing w:line="460" w:lineRule="exact"/>
        <w:ind w:firstLine="480"/>
        <w:jc w:val="both"/>
        <w:rPr>
          <w:bCs/>
          <w:color w:val="000000"/>
          <w:szCs w:val="24"/>
        </w:rPr>
      </w:pPr>
      <w:r>
        <w:rPr>
          <w:rFonts w:hint="eastAsia"/>
          <w:bCs/>
          <w:color w:val="000000"/>
          <w:szCs w:val="24"/>
        </w:rPr>
        <w:t>本项目用水由厂区自备井供应；能源主要为电，由当地供电部门统一供电。项目建成运行后通过内部管理、设备选择、原辅材料的选用和管理、废物回收利用、污染治理等多方面采取合理可行的防治措施，以“节能、降耗、减污”为目标，有效地控制污染。项目的水资源利用不会突破区域的资源利用上线。</w:t>
      </w:r>
    </w:p>
    <w:p w:rsidR="00EE56C0" w:rsidRDefault="000F36A1">
      <w:pPr>
        <w:pStyle w:val="a7"/>
        <w:spacing w:line="460" w:lineRule="exact"/>
        <w:ind w:firstLine="480"/>
        <w:jc w:val="both"/>
        <w:rPr>
          <w:bCs/>
          <w:color w:val="000000"/>
          <w:szCs w:val="24"/>
        </w:rPr>
      </w:pPr>
      <w:r>
        <w:rPr>
          <w:rFonts w:hint="eastAsia"/>
          <w:bCs/>
          <w:color w:val="000000"/>
          <w:szCs w:val="24"/>
        </w:rPr>
        <w:t>3</w:t>
      </w:r>
      <w:r>
        <w:rPr>
          <w:rFonts w:hint="eastAsia"/>
          <w:bCs/>
          <w:color w:val="000000"/>
          <w:szCs w:val="24"/>
        </w:rPr>
        <w:t>、环境质量底线制约性</w:t>
      </w:r>
    </w:p>
    <w:p w:rsidR="00EE56C0" w:rsidRDefault="000F36A1">
      <w:pPr>
        <w:pStyle w:val="a7"/>
        <w:spacing w:line="460" w:lineRule="exact"/>
        <w:ind w:firstLine="480"/>
        <w:jc w:val="both"/>
        <w:rPr>
          <w:bCs/>
          <w:color w:val="000000"/>
          <w:szCs w:val="24"/>
        </w:rPr>
      </w:pPr>
      <w:r>
        <w:rPr>
          <w:rFonts w:hint="eastAsia"/>
          <w:bCs/>
          <w:color w:val="000000"/>
          <w:szCs w:val="24"/>
        </w:rPr>
        <w:t>本项目废气、废水、噪声排放不改变区域环境质量功能区划，环境影响可接受。项目对周边大气环境、地表水环境、地下水环境、声环境、土壤环境影响均可接受。</w:t>
      </w:r>
    </w:p>
    <w:p w:rsidR="00EE56C0" w:rsidRDefault="000F36A1">
      <w:pPr>
        <w:ind w:firstLine="480"/>
      </w:pPr>
      <w:r>
        <w:rPr>
          <w:rFonts w:hint="eastAsia"/>
        </w:rPr>
        <w:t>4</w:t>
      </w:r>
      <w:r>
        <w:rPr>
          <w:rFonts w:hint="eastAsia"/>
        </w:rPr>
        <w:t>、与《新乡市“三线一单”生态环境准入清单（试行）》符合性分析</w:t>
      </w:r>
    </w:p>
    <w:p w:rsidR="00EE56C0" w:rsidRDefault="000F36A1">
      <w:pPr>
        <w:ind w:firstLine="480"/>
      </w:pPr>
      <w:r>
        <w:rPr>
          <w:rFonts w:hint="eastAsia"/>
        </w:rPr>
        <w:t>根据《新乡市环境管控单元图》，本项目属于重点管控单元，详</w:t>
      </w:r>
      <w:r>
        <w:t>见下图</w:t>
      </w:r>
      <w:r>
        <w:rPr>
          <w:rFonts w:hint="eastAsia"/>
        </w:rPr>
        <w:t>：</w:t>
      </w:r>
    </w:p>
    <w:p w:rsidR="00EE56C0" w:rsidRDefault="00EE56C0">
      <w:pPr>
        <w:ind w:firstLine="480"/>
      </w:pPr>
    </w:p>
    <w:p w:rsidR="00EE56C0" w:rsidRDefault="00EE56C0">
      <w:pPr>
        <w:ind w:firstLine="480"/>
      </w:pPr>
    </w:p>
    <w:p w:rsidR="00EE56C0" w:rsidRDefault="00EE56C0">
      <w:pPr>
        <w:ind w:firstLine="480"/>
      </w:pPr>
    </w:p>
    <w:p w:rsidR="00EE56C0" w:rsidRDefault="00EE56C0">
      <w:pPr>
        <w:ind w:firstLine="480"/>
      </w:pPr>
    </w:p>
    <w:p w:rsidR="00EE56C0" w:rsidRDefault="00EE56C0">
      <w:pPr>
        <w:ind w:firstLine="480"/>
      </w:pPr>
    </w:p>
    <w:p w:rsidR="00EE56C0" w:rsidRDefault="000F36A1">
      <w:pPr>
        <w:ind w:firstLine="480"/>
      </w:pPr>
      <w:r>
        <w:rPr>
          <w:noProof/>
        </w:rPr>
        <w:drawing>
          <wp:anchor distT="0" distB="0" distL="114300" distR="114300" simplePos="0" relativeHeight="251597312" behindDoc="0" locked="0" layoutInCell="1" allowOverlap="1">
            <wp:simplePos x="0" y="0"/>
            <wp:positionH relativeFrom="column">
              <wp:posOffset>111125</wp:posOffset>
            </wp:positionH>
            <wp:positionV relativeFrom="paragraph">
              <wp:posOffset>32385</wp:posOffset>
            </wp:positionV>
            <wp:extent cx="5266690" cy="3465830"/>
            <wp:effectExtent l="19050" t="0" r="0" b="0"/>
            <wp:wrapNone/>
            <wp:docPr id="119"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51"/>
                    <pic:cNvPicPr>
                      <a:picLocks noChangeAspect="1" noChangeArrowheads="1"/>
                    </pic:cNvPicPr>
                  </pic:nvPicPr>
                  <pic:blipFill>
                    <a:blip r:embed="rId26"/>
                    <a:srcRect/>
                    <a:stretch>
                      <a:fillRect/>
                    </a:stretch>
                  </pic:blipFill>
                  <pic:spPr>
                    <a:xfrm>
                      <a:off x="0" y="0"/>
                      <a:ext cx="5266690" cy="3465830"/>
                    </a:xfrm>
                    <a:prstGeom prst="rect">
                      <a:avLst/>
                    </a:prstGeom>
                    <a:noFill/>
                    <a:ln w="9525">
                      <a:noFill/>
                      <a:miter lim="800000"/>
                      <a:headEnd/>
                      <a:tailEnd/>
                    </a:ln>
                  </pic:spPr>
                </pic:pic>
              </a:graphicData>
            </a:graphic>
          </wp:anchor>
        </w:drawing>
      </w:r>
    </w:p>
    <w:p w:rsidR="00EE56C0" w:rsidRDefault="00EE56C0">
      <w:pPr>
        <w:ind w:firstLine="480"/>
      </w:pPr>
    </w:p>
    <w:p w:rsidR="00EE56C0" w:rsidRDefault="00EE56C0">
      <w:pPr>
        <w:ind w:firstLine="480"/>
      </w:pPr>
    </w:p>
    <w:p w:rsidR="00EE56C0" w:rsidRDefault="00EE56C0">
      <w:pPr>
        <w:ind w:firstLine="480"/>
      </w:pPr>
    </w:p>
    <w:p w:rsidR="00EE56C0" w:rsidRDefault="00EE56C0">
      <w:pPr>
        <w:ind w:firstLine="480"/>
      </w:pPr>
    </w:p>
    <w:p w:rsidR="00EE56C0" w:rsidRDefault="00340837">
      <w:pPr>
        <w:ind w:firstLine="480"/>
      </w:pPr>
      <w: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自选图形 3770" o:spid="_x0000_s2167" type="#_x0000_t62" style="position:absolute;left:0;text-align:left;margin-left:141pt;margin-top:22.65pt;width:62.4pt;height:25.6pt;z-index:251704832" adj="-7321,15441" strokecolor="red" strokeweight="1pt">
            <v:textbox>
              <w:txbxContent>
                <w:p w:rsidR="009C6BD9" w:rsidRDefault="009C6BD9">
                  <w:pPr>
                    <w:pStyle w:val="afa"/>
                  </w:pPr>
                  <w:r>
                    <w:rPr>
                      <w:rFonts w:hint="eastAsia"/>
                    </w:rPr>
                    <w:t>项目位置</w:t>
                  </w:r>
                </w:p>
              </w:txbxContent>
            </v:textbox>
          </v:shape>
        </w:pict>
      </w:r>
    </w:p>
    <w:p w:rsidR="00EE56C0" w:rsidRDefault="00340837">
      <w:pPr>
        <w:ind w:firstLine="480"/>
      </w:pPr>
      <w:r>
        <w:pict>
          <v:oval id="椭圆 3769" o:spid="_x0000_s2166" style="position:absolute;left:0;text-align:left;margin-left:113.7pt;margin-top:15.1pt;width:1.4pt;height:1.4pt;z-index:251703808" fillcolor="#06f" strokecolor="#06f" strokeweight="3pt">
            <v:shadow on="t" type="perspective" color="#7f7f7f" opacity=".5" offset="1pt" offset2="-1pt,-2pt"/>
          </v:oval>
        </w:pict>
      </w:r>
    </w:p>
    <w:p w:rsidR="00EE56C0" w:rsidRDefault="00EE56C0">
      <w:pPr>
        <w:ind w:firstLine="480"/>
      </w:pPr>
    </w:p>
    <w:p w:rsidR="00EE56C0" w:rsidRDefault="00EE56C0">
      <w:pPr>
        <w:ind w:firstLine="480"/>
      </w:pPr>
    </w:p>
    <w:p w:rsidR="00EE56C0" w:rsidRDefault="00EE56C0">
      <w:pPr>
        <w:pStyle w:val="aff8"/>
        <w:rPr>
          <w:rFonts w:eastAsia="黑体"/>
        </w:rPr>
      </w:pPr>
    </w:p>
    <w:p w:rsidR="00EE56C0" w:rsidRDefault="00EE56C0">
      <w:pPr>
        <w:pStyle w:val="aff8"/>
        <w:rPr>
          <w:rFonts w:eastAsia="黑体"/>
        </w:rPr>
      </w:pPr>
    </w:p>
    <w:p w:rsidR="00EE56C0" w:rsidRDefault="00EE56C0">
      <w:pPr>
        <w:pStyle w:val="aff8"/>
        <w:rPr>
          <w:rFonts w:eastAsia="黑体"/>
        </w:rPr>
      </w:pPr>
    </w:p>
    <w:p w:rsidR="00EE56C0" w:rsidRDefault="000F36A1">
      <w:pPr>
        <w:pStyle w:val="aff8"/>
      </w:pPr>
      <w:r>
        <w:rPr>
          <w:rFonts w:hint="eastAsia"/>
        </w:rPr>
        <w:t>图</w:t>
      </w:r>
      <w:r>
        <w:rPr>
          <w:rFonts w:hint="eastAsia"/>
        </w:rPr>
        <w:t xml:space="preserve">2-4  </w:t>
      </w:r>
      <w:r>
        <w:rPr>
          <w:rFonts w:hint="eastAsia"/>
        </w:rPr>
        <w:t>新乡市环境管控单元图</w:t>
      </w:r>
    </w:p>
    <w:p w:rsidR="00EE56C0" w:rsidRDefault="000F36A1">
      <w:pPr>
        <w:ind w:firstLine="480"/>
      </w:pPr>
      <w:r>
        <w:rPr>
          <w:rFonts w:hint="eastAsia"/>
        </w:rPr>
        <w:t>根据上图</w:t>
      </w:r>
      <w:r>
        <w:t>，</w:t>
      </w:r>
      <w:r>
        <w:rPr>
          <w:rFonts w:hint="eastAsia"/>
        </w:rPr>
        <w:t>本项目选址位于新乡市</w:t>
      </w:r>
      <w:r>
        <w:rPr>
          <w:rFonts w:ascii="宋体" w:hAnsi="宋体" w:hint="eastAsia"/>
          <w:szCs w:val="21"/>
        </w:rPr>
        <w:t>新乡经济技术产业集聚区远大路西段</w:t>
      </w:r>
      <w:r>
        <w:rPr>
          <w:rFonts w:hint="eastAsia"/>
        </w:rPr>
        <w:t>，</w:t>
      </w:r>
      <w:r>
        <w:t>本属于重点管控单元</w:t>
      </w:r>
      <w:r>
        <w:rPr>
          <w:rFonts w:hint="eastAsia"/>
        </w:rPr>
        <w:t>。因此，本项目与《新乡市“三线一单”生态环境准入清单（试行）》中的“</w:t>
      </w:r>
      <w:r>
        <w:rPr>
          <w:rFonts w:ascii="宋体" w:hAnsi="宋体" w:hint="eastAsia"/>
          <w:szCs w:val="21"/>
        </w:rPr>
        <w:t>新乡经济技术产业集聚区</w:t>
      </w:r>
      <w:r>
        <w:rPr>
          <w:rFonts w:hint="eastAsia"/>
        </w:rPr>
        <w:t>环境管控单元生态环境准入清单”（以下简称《生态环境准入清单》）内容对比一致性分析见下表。</w:t>
      </w:r>
    </w:p>
    <w:p w:rsidR="00EE56C0" w:rsidRDefault="000F36A1">
      <w:pPr>
        <w:pStyle w:val="afd"/>
        <w:spacing w:before="120" w:after="120"/>
        <w:ind w:firstLine="482"/>
        <w:rPr>
          <w:lang w:val="pt-BR"/>
        </w:rPr>
      </w:pPr>
      <w:r>
        <w:rPr>
          <w:lang w:val="pt-BR"/>
        </w:rPr>
        <w:t>表</w:t>
      </w:r>
      <w:r>
        <w:rPr>
          <w:rFonts w:hint="eastAsia"/>
          <w:lang w:val="pt-BR"/>
        </w:rPr>
        <w:t xml:space="preserve">2-22        </w:t>
      </w:r>
      <w:r>
        <w:rPr>
          <w:rFonts w:hint="eastAsia"/>
          <w:lang w:val="pt-BR"/>
        </w:rPr>
        <w:t>本项目与《</w:t>
      </w:r>
      <w:r>
        <w:rPr>
          <w:rFonts w:hint="eastAsia"/>
        </w:rPr>
        <w:t>生态环境准入</w:t>
      </w:r>
      <w:r>
        <w:rPr>
          <w:rFonts w:hint="eastAsia"/>
          <w:lang w:val="pt-BR"/>
        </w:rPr>
        <w:t>清单》对比分析一览表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left w:w="57" w:type="dxa"/>
          <w:bottom w:w="85" w:type="dxa"/>
          <w:right w:w="57" w:type="dxa"/>
        </w:tblCellMar>
        <w:tblLook w:val="04A0"/>
      </w:tblPr>
      <w:tblGrid>
        <w:gridCol w:w="598"/>
        <w:gridCol w:w="542"/>
        <w:gridCol w:w="404"/>
        <w:gridCol w:w="4080"/>
        <w:gridCol w:w="2214"/>
        <w:gridCol w:w="588"/>
      </w:tblGrid>
      <w:tr w:rsidR="00EE56C0">
        <w:trPr>
          <w:trHeight w:val="397"/>
        </w:trPr>
        <w:tc>
          <w:tcPr>
            <w:tcW w:w="370" w:type="pct"/>
            <w:tcMar>
              <w:top w:w="28" w:type="dxa"/>
              <w:bottom w:w="57" w:type="dxa"/>
            </w:tcMar>
            <w:vAlign w:val="center"/>
          </w:tcPr>
          <w:p w:rsidR="00EE56C0" w:rsidRDefault="000F36A1">
            <w:pPr>
              <w:pStyle w:val="afa"/>
              <w:rPr>
                <w:b/>
                <w:snapToGrid w:val="0"/>
              </w:rPr>
            </w:pPr>
            <w:r>
              <w:rPr>
                <w:b/>
                <w:snapToGrid w:val="0"/>
              </w:rPr>
              <w:t>环境管控单元名称</w:t>
            </w:r>
          </w:p>
        </w:tc>
        <w:tc>
          <w:tcPr>
            <w:tcW w:w="337" w:type="pct"/>
            <w:tcMar>
              <w:top w:w="28" w:type="dxa"/>
              <w:bottom w:w="57" w:type="dxa"/>
            </w:tcMar>
            <w:vAlign w:val="center"/>
          </w:tcPr>
          <w:p w:rsidR="00EE56C0" w:rsidRDefault="000F36A1">
            <w:pPr>
              <w:pStyle w:val="afa"/>
              <w:rPr>
                <w:b/>
                <w:snapToGrid w:val="0"/>
              </w:rPr>
            </w:pPr>
            <w:r>
              <w:rPr>
                <w:b/>
                <w:snapToGrid w:val="0"/>
              </w:rPr>
              <w:t>管控单元分类</w:t>
            </w:r>
          </w:p>
        </w:tc>
        <w:tc>
          <w:tcPr>
            <w:tcW w:w="2691" w:type="pct"/>
            <w:gridSpan w:val="2"/>
            <w:tcMar>
              <w:top w:w="28" w:type="dxa"/>
              <w:bottom w:w="57" w:type="dxa"/>
            </w:tcMar>
            <w:vAlign w:val="center"/>
          </w:tcPr>
          <w:p w:rsidR="00EE56C0" w:rsidRDefault="000F36A1">
            <w:pPr>
              <w:pStyle w:val="afa"/>
              <w:rPr>
                <w:b/>
              </w:rPr>
            </w:pPr>
            <w:r>
              <w:rPr>
                <w:rFonts w:hint="eastAsia"/>
                <w:b/>
              </w:rPr>
              <w:t>管控要求</w:t>
            </w:r>
          </w:p>
        </w:tc>
        <w:tc>
          <w:tcPr>
            <w:tcW w:w="1238" w:type="pct"/>
            <w:vAlign w:val="center"/>
          </w:tcPr>
          <w:p w:rsidR="00EE56C0" w:rsidRDefault="000F36A1">
            <w:pPr>
              <w:pStyle w:val="afa"/>
              <w:rPr>
                <w:b/>
              </w:rPr>
            </w:pPr>
            <w:r>
              <w:rPr>
                <w:rFonts w:hint="eastAsia"/>
                <w:b/>
              </w:rPr>
              <w:t>本项目情况</w:t>
            </w:r>
          </w:p>
        </w:tc>
        <w:tc>
          <w:tcPr>
            <w:tcW w:w="364" w:type="pct"/>
            <w:vAlign w:val="center"/>
          </w:tcPr>
          <w:p w:rsidR="00EE56C0" w:rsidRDefault="000F36A1">
            <w:pPr>
              <w:pStyle w:val="afa"/>
              <w:rPr>
                <w:b/>
              </w:rPr>
            </w:pPr>
            <w:r>
              <w:rPr>
                <w:rFonts w:hint="eastAsia"/>
                <w:b/>
              </w:rPr>
              <w:t>是否符合</w:t>
            </w:r>
          </w:p>
        </w:tc>
      </w:tr>
      <w:tr w:rsidR="00EE56C0">
        <w:trPr>
          <w:trHeight w:val="1412"/>
        </w:trPr>
        <w:tc>
          <w:tcPr>
            <w:tcW w:w="370" w:type="pct"/>
            <w:vMerge w:val="restart"/>
            <w:tcMar>
              <w:top w:w="28" w:type="dxa"/>
              <w:bottom w:w="57" w:type="dxa"/>
            </w:tcMar>
            <w:vAlign w:val="center"/>
          </w:tcPr>
          <w:p w:rsidR="00EE56C0" w:rsidRDefault="000F36A1">
            <w:pPr>
              <w:pStyle w:val="afa"/>
            </w:pPr>
            <w:r>
              <w:rPr>
                <w:rFonts w:hint="eastAsia"/>
              </w:rPr>
              <w:t>新乡经济技术产业集聚区</w:t>
            </w:r>
          </w:p>
        </w:tc>
        <w:tc>
          <w:tcPr>
            <w:tcW w:w="337" w:type="pct"/>
            <w:vMerge w:val="restart"/>
            <w:tcMar>
              <w:top w:w="28" w:type="dxa"/>
              <w:bottom w:w="57" w:type="dxa"/>
            </w:tcMar>
            <w:vAlign w:val="center"/>
          </w:tcPr>
          <w:p w:rsidR="00EE56C0" w:rsidRDefault="000F36A1">
            <w:pPr>
              <w:pStyle w:val="afa"/>
            </w:pPr>
            <w:r>
              <w:t>重点管控单元</w:t>
            </w:r>
            <w:r>
              <w:t>1</w:t>
            </w:r>
          </w:p>
        </w:tc>
        <w:tc>
          <w:tcPr>
            <w:tcW w:w="255" w:type="pct"/>
            <w:vMerge w:val="restart"/>
            <w:tcMar>
              <w:top w:w="28" w:type="dxa"/>
              <w:bottom w:w="57" w:type="dxa"/>
            </w:tcMar>
            <w:vAlign w:val="center"/>
          </w:tcPr>
          <w:p w:rsidR="00EE56C0" w:rsidRDefault="000F36A1">
            <w:pPr>
              <w:pStyle w:val="afa"/>
            </w:pPr>
            <w:r>
              <w:t>空间布局约束</w:t>
            </w:r>
          </w:p>
        </w:tc>
        <w:tc>
          <w:tcPr>
            <w:tcW w:w="2436" w:type="pct"/>
          </w:tcPr>
          <w:p w:rsidR="00EE56C0" w:rsidRDefault="000F36A1">
            <w:pPr>
              <w:pStyle w:val="afa"/>
              <w:jc w:val="both"/>
            </w:pPr>
            <w:r>
              <w:rPr>
                <w:rFonts w:cs="仿宋" w:hint="eastAsia"/>
                <w:color w:val="000000"/>
              </w:rPr>
              <w:t>1</w:t>
            </w:r>
            <w:r>
              <w:rPr>
                <w:rFonts w:cs="仿宋" w:hint="eastAsia"/>
                <w:color w:val="000000"/>
              </w:rPr>
              <w:t>、北区严控其用地（包括三类工业用地）和产业发展规模，在距离新乡县主城区近的园区西侧设置二类工业用地，布置二类工业企业，不再规划发展化工项目，同时设置绿化带，防止工业对城区及周边生活环境造成不良影响。</w:t>
            </w:r>
          </w:p>
        </w:tc>
        <w:tc>
          <w:tcPr>
            <w:tcW w:w="1238" w:type="pct"/>
            <w:vAlign w:val="center"/>
          </w:tcPr>
          <w:p w:rsidR="00EE56C0" w:rsidRDefault="000F36A1">
            <w:pPr>
              <w:pStyle w:val="afa"/>
              <w:jc w:val="both"/>
            </w:pPr>
            <w:r>
              <w:rPr>
                <w:rFonts w:hint="eastAsia"/>
              </w:rPr>
              <w:t>1</w:t>
            </w:r>
            <w:r>
              <w:rPr>
                <w:rFonts w:hint="eastAsia"/>
              </w:rPr>
              <w:t>、本项目位于中区的装备制造产业园，用地属于二类工业用地，属于电气机械和器材制造业，不涉及化工。</w:t>
            </w:r>
          </w:p>
        </w:tc>
        <w:tc>
          <w:tcPr>
            <w:tcW w:w="364" w:type="pct"/>
            <w:vMerge w:val="restart"/>
            <w:vAlign w:val="center"/>
          </w:tcPr>
          <w:p w:rsidR="00EE56C0" w:rsidRDefault="000F36A1">
            <w:pPr>
              <w:pStyle w:val="afa"/>
            </w:pPr>
            <w:r>
              <w:rPr>
                <w:rFonts w:hint="eastAsia"/>
              </w:rPr>
              <w:t>符合</w:t>
            </w:r>
          </w:p>
        </w:tc>
      </w:tr>
      <w:tr w:rsidR="00EE56C0">
        <w:trPr>
          <w:trHeight w:val="964"/>
        </w:trPr>
        <w:tc>
          <w:tcPr>
            <w:tcW w:w="370" w:type="pct"/>
            <w:vMerge/>
            <w:tcMar>
              <w:top w:w="28" w:type="dxa"/>
              <w:bottom w:w="57" w:type="dxa"/>
            </w:tcMar>
            <w:vAlign w:val="center"/>
          </w:tcPr>
          <w:p w:rsidR="00EE56C0" w:rsidRDefault="00EE56C0">
            <w:pPr>
              <w:pStyle w:val="afa"/>
            </w:pPr>
          </w:p>
        </w:tc>
        <w:tc>
          <w:tcPr>
            <w:tcW w:w="337" w:type="pct"/>
            <w:vMerge/>
            <w:tcMar>
              <w:top w:w="28" w:type="dxa"/>
              <w:bottom w:w="57" w:type="dxa"/>
            </w:tcMar>
            <w:vAlign w:val="center"/>
          </w:tcPr>
          <w:p w:rsidR="00EE56C0" w:rsidRDefault="00EE56C0">
            <w:pPr>
              <w:pStyle w:val="afa"/>
            </w:pPr>
          </w:p>
        </w:tc>
        <w:tc>
          <w:tcPr>
            <w:tcW w:w="255" w:type="pct"/>
            <w:vMerge/>
            <w:tcMar>
              <w:top w:w="28" w:type="dxa"/>
              <w:bottom w:w="57" w:type="dxa"/>
            </w:tcMar>
            <w:vAlign w:val="center"/>
          </w:tcPr>
          <w:p w:rsidR="00EE56C0" w:rsidRDefault="00EE56C0">
            <w:pPr>
              <w:pStyle w:val="afa"/>
            </w:pPr>
          </w:p>
        </w:tc>
        <w:tc>
          <w:tcPr>
            <w:tcW w:w="2436" w:type="pct"/>
          </w:tcPr>
          <w:p w:rsidR="00EE56C0" w:rsidRDefault="000F36A1">
            <w:pPr>
              <w:pStyle w:val="afa"/>
              <w:jc w:val="both"/>
              <w:rPr>
                <w:rFonts w:cs="仿宋"/>
                <w:color w:val="000000"/>
              </w:rPr>
            </w:pPr>
            <w:r>
              <w:rPr>
                <w:rFonts w:cs="仿宋" w:hint="eastAsia"/>
                <w:color w:val="000000"/>
              </w:rPr>
              <w:t>2</w:t>
            </w:r>
            <w:r>
              <w:rPr>
                <w:rFonts w:cs="仿宋" w:hint="eastAsia"/>
                <w:color w:val="000000"/>
              </w:rPr>
              <w:t>、冷藏冷冻产业园内现有食品企业周围</w:t>
            </w:r>
            <w:r>
              <w:rPr>
                <w:rFonts w:cs="仿宋" w:hint="eastAsia"/>
                <w:color w:val="000000"/>
              </w:rPr>
              <w:t xml:space="preserve">100 </w:t>
            </w:r>
            <w:r>
              <w:rPr>
                <w:rFonts w:cs="仿宋" w:hint="eastAsia"/>
                <w:color w:val="000000"/>
              </w:rPr>
              <w:t>米范围内不再布置喷漆等对食品企业有影响的企业。</w:t>
            </w:r>
          </w:p>
        </w:tc>
        <w:tc>
          <w:tcPr>
            <w:tcW w:w="1238" w:type="pct"/>
            <w:vAlign w:val="center"/>
          </w:tcPr>
          <w:p w:rsidR="00EE56C0" w:rsidRDefault="000F36A1">
            <w:pPr>
              <w:pStyle w:val="afa"/>
              <w:jc w:val="both"/>
            </w:pPr>
            <w:r>
              <w:rPr>
                <w:rFonts w:hint="eastAsia"/>
              </w:rPr>
              <w:t>2</w:t>
            </w:r>
            <w:r>
              <w:rPr>
                <w:rFonts w:hint="eastAsia"/>
              </w:rPr>
              <w:t>、本项目厂区边界距离冷藏冷冻产业园</w:t>
            </w:r>
            <w:r>
              <w:rPr>
                <w:rFonts w:hint="eastAsia"/>
              </w:rPr>
              <w:t>480m</w:t>
            </w:r>
            <w:r>
              <w:rPr>
                <w:rFonts w:hint="eastAsia"/>
              </w:rPr>
              <w:t>，本项目含浸漆工艺，不属于喷漆类项目。</w:t>
            </w:r>
          </w:p>
        </w:tc>
        <w:tc>
          <w:tcPr>
            <w:tcW w:w="364" w:type="pct"/>
            <w:vMerge/>
            <w:vAlign w:val="center"/>
          </w:tcPr>
          <w:p w:rsidR="00EE56C0" w:rsidRDefault="00EE56C0">
            <w:pPr>
              <w:pStyle w:val="afa"/>
            </w:pPr>
          </w:p>
        </w:tc>
      </w:tr>
      <w:tr w:rsidR="00EE56C0">
        <w:trPr>
          <w:trHeight w:val="1595"/>
        </w:trPr>
        <w:tc>
          <w:tcPr>
            <w:tcW w:w="370" w:type="pct"/>
            <w:vMerge/>
            <w:tcMar>
              <w:top w:w="28" w:type="dxa"/>
              <w:bottom w:w="57" w:type="dxa"/>
            </w:tcMar>
            <w:vAlign w:val="center"/>
          </w:tcPr>
          <w:p w:rsidR="00EE56C0" w:rsidRDefault="00EE56C0">
            <w:pPr>
              <w:pStyle w:val="afa"/>
            </w:pPr>
          </w:p>
        </w:tc>
        <w:tc>
          <w:tcPr>
            <w:tcW w:w="337" w:type="pct"/>
            <w:vMerge/>
            <w:tcMar>
              <w:top w:w="28" w:type="dxa"/>
              <w:bottom w:w="57" w:type="dxa"/>
            </w:tcMar>
            <w:vAlign w:val="center"/>
          </w:tcPr>
          <w:p w:rsidR="00EE56C0" w:rsidRDefault="00EE56C0">
            <w:pPr>
              <w:pStyle w:val="afa"/>
            </w:pPr>
          </w:p>
        </w:tc>
        <w:tc>
          <w:tcPr>
            <w:tcW w:w="255" w:type="pct"/>
            <w:vMerge/>
            <w:tcMar>
              <w:top w:w="28" w:type="dxa"/>
              <w:bottom w:w="57" w:type="dxa"/>
            </w:tcMar>
            <w:vAlign w:val="center"/>
          </w:tcPr>
          <w:p w:rsidR="00EE56C0" w:rsidRDefault="00EE56C0">
            <w:pPr>
              <w:pStyle w:val="afa"/>
            </w:pPr>
          </w:p>
        </w:tc>
        <w:tc>
          <w:tcPr>
            <w:tcW w:w="2436" w:type="pct"/>
          </w:tcPr>
          <w:p w:rsidR="00EE56C0" w:rsidRDefault="000F36A1">
            <w:pPr>
              <w:pStyle w:val="afa"/>
              <w:jc w:val="both"/>
              <w:rPr>
                <w:rFonts w:cs="仿宋"/>
                <w:color w:val="000000"/>
              </w:rPr>
            </w:pPr>
            <w:r>
              <w:rPr>
                <w:rFonts w:cs="仿宋" w:hint="eastAsia"/>
                <w:color w:val="000000"/>
              </w:rPr>
              <w:t>3</w:t>
            </w:r>
            <w:r>
              <w:rPr>
                <w:rFonts w:cs="仿宋" w:hint="eastAsia"/>
                <w:color w:val="000000"/>
              </w:rPr>
              <w:t>、禁止新建或单纯扩大产能的以煤为原料的煤化工项目，升级改造项目、符合条件的退城入园的合成氨和甲醇项目产能应实现等量置换，且合成氨和甲醇总产能控制在</w:t>
            </w:r>
            <w:r>
              <w:rPr>
                <w:rFonts w:cs="仿宋" w:hint="eastAsia"/>
                <w:color w:val="000000"/>
              </w:rPr>
              <w:t>200</w:t>
            </w:r>
            <w:r>
              <w:rPr>
                <w:rFonts w:cs="仿宋" w:hint="eastAsia"/>
                <w:color w:val="000000"/>
              </w:rPr>
              <w:t>万吨，并按照要求落实煤炭及污染物排放总量的区域削减替代。</w:t>
            </w:r>
          </w:p>
        </w:tc>
        <w:tc>
          <w:tcPr>
            <w:tcW w:w="1238" w:type="pct"/>
            <w:vAlign w:val="center"/>
          </w:tcPr>
          <w:p w:rsidR="00EE56C0" w:rsidRDefault="000F36A1">
            <w:pPr>
              <w:pStyle w:val="afa"/>
              <w:jc w:val="both"/>
            </w:pPr>
            <w:r>
              <w:rPr>
                <w:rFonts w:hint="eastAsia"/>
              </w:rPr>
              <w:t>3</w:t>
            </w:r>
            <w:r>
              <w:rPr>
                <w:rFonts w:hint="eastAsia"/>
              </w:rPr>
              <w:t>、本项目不属于</w:t>
            </w:r>
            <w:r>
              <w:t>煤化工项目</w:t>
            </w:r>
            <w:r>
              <w:rPr>
                <w:rFonts w:hint="eastAsia"/>
              </w:rPr>
              <w:t>。</w:t>
            </w:r>
          </w:p>
        </w:tc>
        <w:tc>
          <w:tcPr>
            <w:tcW w:w="364" w:type="pct"/>
            <w:vMerge/>
            <w:vAlign w:val="center"/>
          </w:tcPr>
          <w:p w:rsidR="00EE56C0" w:rsidRDefault="00EE56C0">
            <w:pPr>
              <w:pStyle w:val="afa"/>
            </w:pPr>
          </w:p>
        </w:tc>
      </w:tr>
      <w:tr w:rsidR="00EE56C0">
        <w:trPr>
          <w:trHeight w:val="2046"/>
        </w:trPr>
        <w:tc>
          <w:tcPr>
            <w:tcW w:w="370" w:type="pct"/>
            <w:vMerge/>
            <w:tcMar>
              <w:top w:w="28" w:type="dxa"/>
              <w:bottom w:w="57" w:type="dxa"/>
            </w:tcMar>
            <w:vAlign w:val="center"/>
          </w:tcPr>
          <w:p w:rsidR="00EE56C0" w:rsidRDefault="00EE56C0">
            <w:pPr>
              <w:pStyle w:val="afa"/>
            </w:pPr>
          </w:p>
        </w:tc>
        <w:tc>
          <w:tcPr>
            <w:tcW w:w="337" w:type="pct"/>
            <w:vMerge/>
            <w:tcMar>
              <w:top w:w="28" w:type="dxa"/>
              <w:bottom w:w="57" w:type="dxa"/>
            </w:tcMar>
            <w:vAlign w:val="center"/>
          </w:tcPr>
          <w:p w:rsidR="00EE56C0" w:rsidRDefault="00EE56C0">
            <w:pPr>
              <w:pStyle w:val="afa"/>
            </w:pPr>
          </w:p>
        </w:tc>
        <w:tc>
          <w:tcPr>
            <w:tcW w:w="255" w:type="pct"/>
            <w:vMerge/>
            <w:tcMar>
              <w:top w:w="28" w:type="dxa"/>
              <w:bottom w:w="57" w:type="dxa"/>
            </w:tcMar>
            <w:vAlign w:val="center"/>
          </w:tcPr>
          <w:p w:rsidR="00EE56C0" w:rsidRDefault="00EE56C0">
            <w:pPr>
              <w:pStyle w:val="afa"/>
            </w:pPr>
          </w:p>
        </w:tc>
        <w:tc>
          <w:tcPr>
            <w:tcW w:w="2436" w:type="pct"/>
          </w:tcPr>
          <w:p w:rsidR="00EE56C0" w:rsidRDefault="000F36A1">
            <w:pPr>
              <w:pStyle w:val="afa"/>
              <w:jc w:val="both"/>
              <w:rPr>
                <w:rFonts w:cs="仿宋"/>
                <w:color w:val="000000"/>
              </w:rPr>
            </w:pPr>
            <w:r>
              <w:rPr>
                <w:rFonts w:cs="仿宋" w:hint="eastAsia"/>
                <w:color w:val="000000"/>
              </w:rPr>
              <w:t>4</w:t>
            </w:r>
            <w:r>
              <w:rPr>
                <w:rFonts w:cs="仿宋" w:hint="eastAsia"/>
                <w:color w:val="000000"/>
              </w:rPr>
              <w:t>、禁止发展化学合成制药项目（单纯分装、复配除外），单纯新建、扩建生物发酵制药项目（单纯分装、复配以及现有企业升级改造项目除外）；禁止农药类项目、独立电镀项目、造纸制浆、油墨生产（单纯分装、复配除外）项目入驻；禁止发展制革、化纤浆柏、黑色冶金、焦化、煤焦油加工、金属冶炼等不符合园区产业定位且污染较重的项目。</w:t>
            </w:r>
          </w:p>
        </w:tc>
        <w:tc>
          <w:tcPr>
            <w:tcW w:w="1238" w:type="pct"/>
            <w:vAlign w:val="center"/>
          </w:tcPr>
          <w:p w:rsidR="00EE56C0" w:rsidRDefault="000F36A1">
            <w:pPr>
              <w:pStyle w:val="afa"/>
              <w:jc w:val="both"/>
            </w:pPr>
            <w:r>
              <w:rPr>
                <w:rFonts w:hint="eastAsia"/>
              </w:rPr>
              <w:t>4</w:t>
            </w:r>
            <w:r>
              <w:rPr>
                <w:rFonts w:hint="eastAsia"/>
              </w:rPr>
              <w:t>、本项目为电气机械和器材制造业，不属于</w:t>
            </w:r>
            <w:r>
              <w:t>禁止</w:t>
            </w:r>
            <w:r>
              <w:rPr>
                <w:rFonts w:hint="eastAsia"/>
              </w:rPr>
              <w:t>类行业等不符合园区产业定位且污染较重的项目。</w:t>
            </w:r>
          </w:p>
          <w:p w:rsidR="00EE56C0" w:rsidRDefault="00EE56C0">
            <w:pPr>
              <w:pStyle w:val="afa"/>
              <w:jc w:val="both"/>
            </w:pPr>
          </w:p>
        </w:tc>
        <w:tc>
          <w:tcPr>
            <w:tcW w:w="364" w:type="pct"/>
            <w:vMerge/>
            <w:vAlign w:val="center"/>
          </w:tcPr>
          <w:p w:rsidR="00EE56C0" w:rsidRDefault="00EE56C0">
            <w:pPr>
              <w:pStyle w:val="afa"/>
            </w:pPr>
          </w:p>
        </w:tc>
      </w:tr>
      <w:tr w:rsidR="00EE56C0">
        <w:trPr>
          <w:trHeight w:val="805"/>
        </w:trPr>
        <w:tc>
          <w:tcPr>
            <w:tcW w:w="370" w:type="pct"/>
            <w:vMerge/>
            <w:tcMar>
              <w:top w:w="28" w:type="dxa"/>
              <w:bottom w:w="57" w:type="dxa"/>
            </w:tcMar>
            <w:vAlign w:val="center"/>
          </w:tcPr>
          <w:p w:rsidR="00EE56C0" w:rsidRDefault="00EE56C0">
            <w:pPr>
              <w:pStyle w:val="afa"/>
            </w:pPr>
          </w:p>
        </w:tc>
        <w:tc>
          <w:tcPr>
            <w:tcW w:w="337" w:type="pct"/>
            <w:vMerge/>
            <w:tcMar>
              <w:top w:w="28" w:type="dxa"/>
              <w:bottom w:w="57" w:type="dxa"/>
            </w:tcMar>
            <w:vAlign w:val="center"/>
          </w:tcPr>
          <w:p w:rsidR="00EE56C0" w:rsidRDefault="00EE56C0">
            <w:pPr>
              <w:pStyle w:val="afa"/>
            </w:pPr>
          </w:p>
        </w:tc>
        <w:tc>
          <w:tcPr>
            <w:tcW w:w="255" w:type="pct"/>
            <w:vMerge/>
            <w:tcMar>
              <w:top w:w="28" w:type="dxa"/>
              <w:bottom w:w="57" w:type="dxa"/>
            </w:tcMar>
            <w:vAlign w:val="center"/>
          </w:tcPr>
          <w:p w:rsidR="00EE56C0" w:rsidRDefault="00EE56C0">
            <w:pPr>
              <w:pStyle w:val="afa"/>
            </w:pPr>
          </w:p>
        </w:tc>
        <w:tc>
          <w:tcPr>
            <w:tcW w:w="2436" w:type="pct"/>
          </w:tcPr>
          <w:p w:rsidR="00EE56C0" w:rsidRDefault="000F36A1">
            <w:pPr>
              <w:pStyle w:val="afa"/>
              <w:jc w:val="both"/>
              <w:rPr>
                <w:rFonts w:cs="仿宋"/>
                <w:color w:val="000000"/>
              </w:rPr>
            </w:pPr>
            <w:r>
              <w:rPr>
                <w:rFonts w:cs="仿宋" w:hint="eastAsia"/>
                <w:color w:val="000000"/>
              </w:rPr>
              <w:t>5</w:t>
            </w:r>
            <w:r>
              <w:rPr>
                <w:rFonts w:cs="仿宋" w:hint="eastAsia"/>
                <w:color w:val="000000"/>
              </w:rPr>
              <w:t>、淘汰不符合国家产业政策的涉重行业企业生产工艺装备。鼓励产能严重过剩行业的涉重金属排放企业主动退出市场。</w:t>
            </w:r>
          </w:p>
        </w:tc>
        <w:tc>
          <w:tcPr>
            <w:tcW w:w="1238" w:type="pct"/>
            <w:vAlign w:val="center"/>
          </w:tcPr>
          <w:p w:rsidR="00EE56C0" w:rsidRDefault="000F36A1">
            <w:pPr>
              <w:pStyle w:val="afa"/>
              <w:jc w:val="both"/>
            </w:pPr>
            <w:r>
              <w:rPr>
                <w:rFonts w:hint="eastAsia"/>
              </w:rPr>
              <w:t>5</w:t>
            </w:r>
            <w:r>
              <w:rPr>
                <w:rFonts w:hint="eastAsia"/>
              </w:rPr>
              <w:t>、本项目不涉</w:t>
            </w:r>
            <w:r>
              <w:t>重金属排放</w:t>
            </w:r>
            <w:r>
              <w:rPr>
                <w:rFonts w:hint="eastAsia"/>
              </w:rPr>
              <w:t>。</w:t>
            </w:r>
          </w:p>
        </w:tc>
        <w:tc>
          <w:tcPr>
            <w:tcW w:w="364" w:type="pct"/>
            <w:vMerge/>
            <w:vAlign w:val="center"/>
          </w:tcPr>
          <w:p w:rsidR="00EE56C0" w:rsidRDefault="00EE56C0">
            <w:pPr>
              <w:pStyle w:val="afa"/>
            </w:pPr>
          </w:p>
        </w:tc>
      </w:tr>
      <w:tr w:rsidR="00EE56C0">
        <w:trPr>
          <w:trHeight w:val="960"/>
        </w:trPr>
        <w:tc>
          <w:tcPr>
            <w:tcW w:w="370" w:type="pct"/>
            <w:vMerge/>
            <w:tcMar>
              <w:top w:w="28" w:type="dxa"/>
              <w:bottom w:w="57" w:type="dxa"/>
            </w:tcMar>
            <w:vAlign w:val="center"/>
          </w:tcPr>
          <w:p w:rsidR="00EE56C0" w:rsidRDefault="00EE56C0">
            <w:pPr>
              <w:pStyle w:val="afa"/>
            </w:pPr>
          </w:p>
        </w:tc>
        <w:tc>
          <w:tcPr>
            <w:tcW w:w="337" w:type="pct"/>
            <w:vMerge/>
            <w:tcMar>
              <w:top w:w="28" w:type="dxa"/>
              <w:bottom w:w="57" w:type="dxa"/>
            </w:tcMar>
            <w:vAlign w:val="center"/>
          </w:tcPr>
          <w:p w:rsidR="00EE56C0" w:rsidRDefault="00EE56C0">
            <w:pPr>
              <w:pStyle w:val="afa"/>
            </w:pPr>
          </w:p>
        </w:tc>
        <w:tc>
          <w:tcPr>
            <w:tcW w:w="255" w:type="pct"/>
            <w:vMerge/>
            <w:tcMar>
              <w:top w:w="28" w:type="dxa"/>
              <w:bottom w:w="57" w:type="dxa"/>
            </w:tcMar>
            <w:vAlign w:val="center"/>
          </w:tcPr>
          <w:p w:rsidR="00EE56C0" w:rsidRDefault="00EE56C0">
            <w:pPr>
              <w:pStyle w:val="afa"/>
            </w:pPr>
          </w:p>
        </w:tc>
        <w:tc>
          <w:tcPr>
            <w:tcW w:w="2436" w:type="pct"/>
          </w:tcPr>
          <w:p w:rsidR="00EE56C0" w:rsidRDefault="000F36A1">
            <w:pPr>
              <w:pStyle w:val="afa"/>
              <w:jc w:val="both"/>
              <w:rPr>
                <w:rFonts w:cs="仿宋"/>
                <w:color w:val="000000"/>
              </w:rPr>
            </w:pPr>
            <w:r>
              <w:rPr>
                <w:rFonts w:cs="仿宋" w:hint="eastAsia"/>
                <w:color w:val="000000"/>
              </w:rPr>
              <w:t>6</w:t>
            </w:r>
            <w:r>
              <w:rPr>
                <w:rFonts w:cs="仿宋" w:hint="eastAsia"/>
                <w:color w:val="000000"/>
              </w:rPr>
              <w:t>、对列入疑似污染地块名单的地块，未经土壤污染状况调查确定为未污染地块的，不得进入用地程序，自然资源部门不得核发建设工程规划许可证。</w:t>
            </w:r>
          </w:p>
        </w:tc>
        <w:tc>
          <w:tcPr>
            <w:tcW w:w="1238" w:type="pct"/>
            <w:vAlign w:val="center"/>
          </w:tcPr>
          <w:p w:rsidR="00EE56C0" w:rsidRDefault="000F36A1">
            <w:pPr>
              <w:pStyle w:val="afa"/>
              <w:jc w:val="both"/>
            </w:pPr>
            <w:r>
              <w:rPr>
                <w:rFonts w:hint="eastAsia"/>
              </w:rPr>
              <w:t>6</w:t>
            </w:r>
            <w:r>
              <w:rPr>
                <w:rFonts w:hint="eastAsia"/>
              </w:rPr>
              <w:t>、本项目占地不属于</w:t>
            </w:r>
            <w:r>
              <w:rPr>
                <w:rFonts w:cs="仿宋" w:hint="eastAsia"/>
                <w:color w:val="000000"/>
              </w:rPr>
              <w:t>疑似污染地块。</w:t>
            </w:r>
          </w:p>
        </w:tc>
        <w:tc>
          <w:tcPr>
            <w:tcW w:w="364" w:type="pct"/>
            <w:vMerge/>
            <w:vAlign w:val="center"/>
          </w:tcPr>
          <w:p w:rsidR="00EE56C0" w:rsidRDefault="00EE56C0">
            <w:pPr>
              <w:pStyle w:val="afa"/>
            </w:pPr>
          </w:p>
        </w:tc>
      </w:tr>
      <w:tr w:rsidR="00EE56C0">
        <w:trPr>
          <w:trHeight w:val="1532"/>
        </w:trPr>
        <w:tc>
          <w:tcPr>
            <w:tcW w:w="370" w:type="pct"/>
            <w:vMerge/>
            <w:tcMar>
              <w:top w:w="28" w:type="dxa"/>
              <w:bottom w:w="57" w:type="dxa"/>
            </w:tcMar>
            <w:vAlign w:val="center"/>
          </w:tcPr>
          <w:p w:rsidR="00EE56C0" w:rsidRDefault="00EE56C0">
            <w:pPr>
              <w:pStyle w:val="afa"/>
            </w:pPr>
          </w:p>
        </w:tc>
        <w:tc>
          <w:tcPr>
            <w:tcW w:w="337" w:type="pct"/>
            <w:vMerge/>
            <w:tcMar>
              <w:top w:w="28" w:type="dxa"/>
              <w:bottom w:w="57" w:type="dxa"/>
            </w:tcMar>
            <w:vAlign w:val="center"/>
          </w:tcPr>
          <w:p w:rsidR="00EE56C0" w:rsidRDefault="00EE56C0">
            <w:pPr>
              <w:pStyle w:val="afa"/>
            </w:pPr>
          </w:p>
        </w:tc>
        <w:tc>
          <w:tcPr>
            <w:tcW w:w="255" w:type="pct"/>
            <w:vMerge/>
            <w:tcMar>
              <w:top w:w="28" w:type="dxa"/>
              <w:bottom w:w="57" w:type="dxa"/>
            </w:tcMar>
            <w:vAlign w:val="center"/>
          </w:tcPr>
          <w:p w:rsidR="00EE56C0" w:rsidRDefault="00EE56C0">
            <w:pPr>
              <w:pStyle w:val="afa"/>
            </w:pPr>
          </w:p>
        </w:tc>
        <w:tc>
          <w:tcPr>
            <w:tcW w:w="2436" w:type="pct"/>
          </w:tcPr>
          <w:p w:rsidR="00EE56C0" w:rsidRDefault="000F36A1">
            <w:pPr>
              <w:pStyle w:val="afa"/>
              <w:jc w:val="both"/>
              <w:rPr>
                <w:rFonts w:cs="仿宋"/>
                <w:color w:val="000000"/>
              </w:rPr>
            </w:pPr>
            <w:r>
              <w:rPr>
                <w:rFonts w:cs="仿宋" w:hint="eastAsia"/>
                <w:color w:val="000000"/>
                <w:kern w:val="0"/>
              </w:rPr>
              <w:t>7</w:t>
            </w:r>
            <w:r>
              <w:rPr>
                <w:rFonts w:cs="仿宋" w:hint="eastAsia"/>
                <w:color w:val="000000"/>
                <w:kern w:val="0"/>
              </w:rPr>
              <w:t>、新建、改建、扩建“两高”项目须符合生态环境保护法律法规和相关法定规划，满足重点污染物排放总量控制、碳排放达峰目标、生态环境准入清单、相关规划环评和相应行业建设项目环境准入条件、环评文件审批原则要求。</w:t>
            </w:r>
          </w:p>
        </w:tc>
        <w:tc>
          <w:tcPr>
            <w:tcW w:w="1238" w:type="pct"/>
            <w:vAlign w:val="center"/>
          </w:tcPr>
          <w:p w:rsidR="00EE56C0" w:rsidRDefault="000F36A1">
            <w:pPr>
              <w:pStyle w:val="afa"/>
              <w:jc w:val="both"/>
            </w:pPr>
            <w:r>
              <w:rPr>
                <w:rFonts w:hint="eastAsia"/>
              </w:rPr>
              <w:t>7</w:t>
            </w:r>
            <w:r>
              <w:rPr>
                <w:rFonts w:hint="eastAsia"/>
              </w:rPr>
              <w:t>、本项目不属于</w:t>
            </w:r>
            <w:r>
              <w:rPr>
                <w:rFonts w:cs="仿宋" w:hint="eastAsia"/>
                <w:color w:val="000000"/>
                <w:kern w:val="0"/>
              </w:rPr>
              <w:t>“两高”项目。</w:t>
            </w:r>
          </w:p>
        </w:tc>
        <w:tc>
          <w:tcPr>
            <w:tcW w:w="364" w:type="pct"/>
            <w:vMerge/>
            <w:vAlign w:val="center"/>
          </w:tcPr>
          <w:p w:rsidR="00EE56C0" w:rsidRDefault="00EE56C0">
            <w:pPr>
              <w:pStyle w:val="afa"/>
            </w:pPr>
          </w:p>
        </w:tc>
      </w:tr>
      <w:tr w:rsidR="00EE56C0">
        <w:trPr>
          <w:trHeight w:val="570"/>
        </w:trPr>
        <w:tc>
          <w:tcPr>
            <w:tcW w:w="370" w:type="pct"/>
            <w:vMerge/>
            <w:tcMar>
              <w:top w:w="28" w:type="dxa"/>
              <w:bottom w:w="57" w:type="dxa"/>
            </w:tcMar>
            <w:vAlign w:val="center"/>
          </w:tcPr>
          <w:p w:rsidR="00EE56C0" w:rsidRDefault="00EE56C0">
            <w:pPr>
              <w:pStyle w:val="afa"/>
            </w:pPr>
          </w:p>
        </w:tc>
        <w:tc>
          <w:tcPr>
            <w:tcW w:w="337" w:type="pct"/>
            <w:vMerge/>
            <w:tcMar>
              <w:top w:w="28" w:type="dxa"/>
              <w:bottom w:w="57" w:type="dxa"/>
            </w:tcMar>
            <w:vAlign w:val="center"/>
          </w:tcPr>
          <w:p w:rsidR="00EE56C0" w:rsidRDefault="00EE56C0">
            <w:pPr>
              <w:pStyle w:val="afa"/>
              <w:rPr>
                <w:u w:val="single"/>
              </w:rPr>
            </w:pPr>
          </w:p>
        </w:tc>
        <w:tc>
          <w:tcPr>
            <w:tcW w:w="255" w:type="pct"/>
            <w:vMerge w:val="restart"/>
            <w:tcMar>
              <w:top w:w="28" w:type="dxa"/>
              <w:bottom w:w="57" w:type="dxa"/>
            </w:tcMar>
            <w:vAlign w:val="center"/>
          </w:tcPr>
          <w:p w:rsidR="00EE56C0" w:rsidRDefault="000F36A1">
            <w:pPr>
              <w:pStyle w:val="afa"/>
            </w:pPr>
            <w:r>
              <w:t>污染物排放管控</w:t>
            </w:r>
          </w:p>
        </w:tc>
        <w:tc>
          <w:tcPr>
            <w:tcW w:w="2436" w:type="pct"/>
            <w:vAlign w:val="center"/>
          </w:tcPr>
          <w:p w:rsidR="00EE56C0" w:rsidRDefault="000F36A1">
            <w:pPr>
              <w:pStyle w:val="afa"/>
              <w:jc w:val="both"/>
            </w:pPr>
            <w:r>
              <w:rPr>
                <w:rFonts w:eastAsia="宋体" w:cs="仿宋" w:hint="eastAsia"/>
                <w:color w:val="000000"/>
                <w:kern w:val="0"/>
              </w:rPr>
              <w:t>1</w:t>
            </w:r>
            <w:r>
              <w:rPr>
                <w:rFonts w:eastAsia="宋体" w:cs="仿宋" w:hint="eastAsia"/>
                <w:color w:val="000000"/>
                <w:kern w:val="0"/>
              </w:rPr>
              <w:t>、二氧化硫、氮氧化物、颗粒物、</w:t>
            </w:r>
            <w:r>
              <w:rPr>
                <w:rFonts w:eastAsia="宋体" w:cs="仿宋" w:hint="eastAsia"/>
                <w:color w:val="000000"/>
                <w:kern w:val="0"/>
              </w:rPr>
              <w:t>VOCs</w:t>
            </w:r>
            <w:r>
              <w:rPr>
                <w:rFonts w:eastAsia="宋体" w:cs="仿宋" w:hint="eastAsia"/>
                <w:color w:val="000000"/>
                <w:kern w:val="0"/>
              </w:rPr>
              <w:t>全面执行大气污染物特别排放限值。</w:t>
            </w:r>
          </w:p>
        </w:tc>
        <w:tc>
          <w:tcPr>
            <w:tcW w:w="1238" w:type="pct"/>
            <w:vAlign w:val="center"/>
          </w:tcPr>
          <w:p w:rsidR="00EE56C0" w:rsidRDefault="000F36A1">
            <w:pPr>
              <w:pStyle w:val="afa"/>
              <w:jc w:val="both"/>
            </w:pPr>
            <w:r>
              <w:rPr>
                <w:rFonts w:hint="eastAsia"/>
              </w:rPr>
              <w:t>1</w:t>
            </w:r>
            <w:r>
              <w:rPr>
                <w:rFonts w:hint="eastAsia"/>
              </w:rPr>
              <w:t>、本项目</w:t>
            </w:r>
            <w:r>
              <w:rPr>
                <w:rFonts w:hint="eastAsia"/>
              </w:rPr>
              <w:t>VOCs</w:t>
            </w:r>
            <w:r>
              <w:rPr>
                <w:rFonts w:hint="eastAsia"/>
              </w:rPr>
              <w:t>执行《工业涂装工序挥发性有机物排放标准（</w:t>
            </w:r>
            <w:r>
              <w:rPr>
                <w:rFonts w:hint="eastAsia"/>
              </w:rPr>
              <w:t>DB41/1951-2020</w:t>
            </w:r>
            <w:r>
              <w:rPr>
                <w:rFonts w:hint="eastAsia"/>
              </w:rPr>
              <w:t>）》、</w:t>
            </w:r>
            <w:r>
              <w:t>《大气污染物综合排放标准》（</w:t>
            </w:r>
            <w:r>
              <w:t>GB16297-1996</w:t>
            </w:r>
            <w:r>
              <w:t>）</w:t>
            </w:r>
            <w:r>
              <w:rPr>
                <w:rFonts w:hint="eastAsia"/>
              </w:rPr>
              <w:t>标准，标准中无特别排放限值。</w:t>
            </w:r>
          </w:p>
        </w:tc>
        <w:tc>
          <w:tcPr>
            <w:tcW w:w="364" w:type="pct"/>
            <w:vMerge w:val="restart"/>
            <w:vAlign w:val="center"/>
          </w:tcPr>
          <w:p w:rsidR="00EE56C0" w:rsidRDefault="000F36A1">
            <w:pPr>
              <w:pStyle w:val="afa"/>
            </w:pPr>
            <w:r>
              <w:rPr>
                <w:rFonts w:hint="eastAsia"/>
              </w:rPr>
              <w:t>符合</w:t>
            </w:r>
          </w:p>
        </w:tc>
      </w:tr>
      <w:tr w:rsidR="00EE56C0">
        <w:trPr>
          <w:trHeight w:val="2037"/>
        </w:trPr>
        <w:tc>
          <w:tcPr>
            <w:tcW w:w="370" w:type="pct"/>
            <w:vMerge/>
            <w:tcMar>
              <w:top w:w="28" w:type="dxa"/>
              <w:bottom w:w="57" w:type="dxa"/>
            </w:tcMar>
            <w:vAlign w:val="center"/>
          </w:tcPr>
          <w:p w:rsidR="00EE56C0" w:rsidRDefault="00EE56C0">
            <w:pPr>
              <w:pStyle w:val="afa"/>
            </w:pPr>
          </w:p>
        </w:tc>
        <w:tc>
          <w:tcPr>
            <w:tcW w:w="337" w:type="pct"/>
            <w:vMerge/>
            <w:tcMar>
              <w:top w:w="28" w:type="dxa"/>
              <w:bottom w:w="57" w:type="dxa"/>
            </w:tcMar>
            <w:vAlign w:val="center"/>
          </w:tcPr>
          <w:p w:rsidR="00EE56C0" w:rsidRDefault="00EE56C0">
            <w:pPr>
              <w:pStyle w:val="afa"/>
              <w:rPr>
                <w:u w:val="single"/>
              </w:rPr>
            </w:pPr>
          </w:p>
        </w:tc>
        <w:tc>
          <w:tcPr>
            <w:tcW w:w="255" w:type="pct"/>
            <w:vMerge/>
            <w:tcMar>
              <w:top w:w="28" w:type="dxa"/>
              <w:bottom w:w="57" w:type="dxa"/>
            </w:tcMar>
            <w:vAlign w:val="center"/>
          </w:tcPr>
          <w:p w:rsidR="00EE56C0" w:rsidRDefault="00EE56C0">
            <w:pPr>
              <w:pStyle w:val="afa"/>
            </w:pPr>
          </w:p>
        </w:tc>
        <w:tc>
          <w:tcPr>
            <w:tcW w:w="2436" w:type="pct"/>
            <w:vAlign w:val="center"/>
          </w:tcPr>
          <w:p w:rsidR="00EE56C0" w:rsidRDefault="000F36A1">
            <w:pPr>
              <w:pStyle w:val="afa"/>
              <w:jc w:val="both"/>
              <w:rPr>
                <w:rFonts w:cs="仿宋"/>
                <w:color w:val="000000"/>
                <w:kern w:val="0"/>
              </w:rPr>
            </w:pPr>
            <w:r>
              <w:rPr>
                <w:rFonts w:eastAsia="宋体" w:cs="仿宋" w:hint="eastAsia"/>
                <w:color w:val="000000"/>
                <w:kern w:val="0"/>
              </w:rPr>
              <w:t>2</w:t>
            </w:r>
            <w:r>
              <w:rPr>
                <w:rFonts w:eastAsia="宋体" w:cs="仿宋" w:hint="eastAsia"/>
                <w:color w:val="000000"/>
                <w:kern w:val="0"/>
              </w:rPr>
              <w:t>、污水处理厂逐步实施技改，出水执行《地表水环境质量标准》（</w:t>
            </w:r>
            <w:r>
              <w:rPr>
                <w:rFonts w:eastAsia="宋体" w:cs="仿宋" w:hint="eastAsia"/>
                <w:color w:val="000000"/>
                <w:kern w:val="0"/>
              </w:rPr>
              <w:t>GB3838-2002</w:t>
            </w:r>
            <w:r>
              <w:rPr>
                <w:rFonts w:eastAsia="宋体" w:cs="仿宋" w:hint="eastAsia"/>
                <w:color w:val="000000"/>
                <w:kern w:val="0"/>
              </w:rPr>
              <w:t>）Ⅴ类标准要求，减少对纳污水体的影响；加快新乡县东孟姜女河流域新建污水处理厂及配套管网建设，以满足园区企业污水处理的需求，确保入区企业外排废水全部经管网收集后进入污水处理厂处理。</w:t>
            </w:r>
          </w:p>
        </w:tc>
        <w:tc>
          <w:tcPr>
            <w:tcW w:w="1238" w:type="pct"/>
            <w:vAlign w:val="center"/>
          </w:tcPr>
          <w:p w:rsidR="00EE56C0" w:rsidRDefault="000F36A1">
            <w:pPr>
              <w:pStyle w:val="afa"/>
              <w:jc w:val="both"/>
            </w:pPr>
            <w:r>
              <w:rPr>
                <w:rFonts w:hint="eastAsia"/>
              </w:rPr>
              <w:t>2</w:t>
            </w:r>
            <w:r>
              <w:rPr>
                <w:rFonts w:hint="eastAsia"/>
              </w:rPr>
              <w:t>、新乡县综合污水处理厂出水执行</w:t>
            </w:r>
            <w:r>
              <w:rPr>
                <w:rFonts w:hAnsi="宋体"/>
              </w:rPr>
              <w:t>《地表水环境质量标准》（</w:t>
            </w:r>
            <w:r>
              <w:t>GB3838-2002</w:t>
            </w:r>
            <w:r>
              <w:rPr>
                <w:rFonts w:hAnsi="宋体"/>
              </w:rPr>
              <w:t>）</w:t>
            </w:r>
            <w:r w:rsidR="00340837">
              <w:fldChar w:fldCharType="begin"/>
            </w:r>
            <w:r>
              <w:instrText xml:space="preserve"> = 4 \* ROMAN </w:instrText>
            </w:r>
            <w:r w:rsidR="00340837">
              <w:fldChar w:fldCharType="separate"/>
            </w:r>
            <w:r>
              <w:t>V</w:t>
            </w:r>
            <w:r w:rsidR="00340837">
              <w:fldChar w:fldCharType="end"/>
            </w:r>
            <w:r>
              <w:rPr>
                <w:rFonts w:hAnsi="宋体"/>
              </w:rPr>
              <w:t>类标准（总氮除外）</w:t>
            </w:r>
            <w:r>
              <w:rPr>
                <w:rFonts w:hint="eastAsia"/>
              </w:rPr>
              <w:t>；厂区周边管网未接通，待管网接通后，废水经管网排入新乡县综合污水处理</w:t>
            </w:r>
          </w:p>
        </w:tc>
        <w:tc>
          <w:tcPr>
            <w:tcW w:w="364" w:type="pct"/>
            <w:vMerge/>
            <w:vAlign w:val="center"/>
          </w:tcPr>
          <w:p w:rsidR="00EE56C0" w:rsidRDefault="00EE56C0">
            <w:pPr>
              <w:pStyle w:val="afa"/>
            </w:pPr>
          </w:p>
        </w:tc>
      </w:tr>
      <w:tr w:rsidR="00EE56C0">
        <w:trPr>
          <w:trHeight w:val="1508"/>
        </w:trPr>
        <w:tc>
          <w:tcPr>
            <w:tcW w:w="370" w:type="pct"/>
            <w:vMerge/>
            <w:tcMar>
              <w:top w:w="28" w:type="dxa"/>
              <w:bottom w:w="57" w:type="dxa"/>
            </w:tcMar>
            <w:vAlign w:val="center"/>
          </w:tcPr>
          <w:p w:rsidR="00EE56C0" w:rsidRDefault="00EE56C0">
            <w:pPr>
              <w:pStyle w:val="afa"/>
            </w:pPr>
          </w:p>
        </w:tc>
        <w:tc>
          <w:tcPr>
            <w:tcW w:w="337" w:type="pct"/>
            <w:vMerge/>
            <w:tcMar>
              <w:top w:w="28" w:type="dxa"/>
              <w:bottom w:w="57" w:type="dxa"/>
            </w:tcMar>
            <w:vAlign w:val="center"/>
          </w:tcPr>
          <w:p w:rsidR="00EE56C0" w:rsidRDefault="00EE56C0">
            <w:pPr>
              <w:pStyle w:val="afa"/>
              <w:rPr>
                <w:u w:val="single"/>
              </w:rPr>
            </w:pPr>
          </w:p>
        </w:tc>
        <w:tc>
          <w:tcPr>
            <w:tcW w:w="255" w:type="pct"/>
            <w:vMerge/>
            <w:tcMar>
              <w:top w:w="28" w:type="dxa"/>
              <w:bottom w:w="57" w:type="dxa"/>
            </w:tcMar>
            <w:vAlign w:val="center"/>
          </w:tcPr>
          <w:p w:rsidR="00EE56C0" w:rsidRDefault="00EE56C0">
            <w:pPr>
              <w:pStyle w:val="afa"/>
            </w:pPr>
          </w:p>
        </w:tc>
        <w:tc>
          <w:tcPr>
            <w:tcW w:w="2436" w:type="pct"/>
            <w:vAlign w:val="center"/>
          </w:tcPr>
          <w:p w:rsidR="00EE56C0" w:rsidRDefault="000F36A1">
            <w:pPr>
              <w:pStyle w:val="afa"/>
              <w:jc w:val="both"/>
              <w:rPr>
                <w:rFonts w:cs="仿宋"/>
                <w:color w:val="000000"/>
                <w:kern w:val="0"/>
              </w:rPr>
            </w:pPr>
            <w:r>
              <w:rPr>
                <w:rFonts w:eastAsia="宋体" w:cs="仿宋" w:hint="eastAsia"/>
                <w:color w:val="000000"/>
                <w:kern w:val="0"/>
              </w:rPr>
              <w:t>3</w:t>
            </w:r>
            <w:r>
              <w:rPr>
                <w:rFonts w:eastAsia="宋体" w:cs="仿宋" w:hint="eastAsia"/>
                <w:color w:val="000000"/>
                <w:kern w:val="0"/>
              </w:rPr>
              <w:t>、新建“两高”项目应按照《关于加强重点行业建设项目区域削减措施监督管理的通知》要求，依据区域环境质量改善目标，制定配套区域污染物削减方案，采取有效的污染物区域削减措施，腾出足够的环境容量。</w:t>
            </w:r>
          </w:p>
        </w:tc>
        <w:tc>
          <w:tcPr>
            <w:tcW w:w="1238" w:type="pct"/>
            <w:vAlign w:val="center"/>
          </w:tcPr>
          <w:p w:rsidR="00EE56C0" w:rsidRDefault="000F36A1">
            <w:pPr>
              <w:pStyle w:val="afa"/>
              <w:jc w:val="both"/>
            </w:pPr>
            <w:r>
              <w:rPr>
                <w:rFonts w:hint="eastAsia"/>
              </w:rPr>
              <w:t>3</w:t>
            </w:r>
            <w:r>
              <w:rPr>
                <w:rFonts w:hint="eastAsia"/>
              </w:rPr>
              <w:t>、本项目不属于</w:t>
            </w:r>
            <w:r>
              <w:rPr>
                <w:rFonts w:cs="仿宋" w:hint="eastAsia"/>
                <w:color w:val="000000"/>
                <w:kern w:val="0"/>
              </w:rPr>
              <w:t>“两高”项目。</w:t>
            </w:r>
          </w:p>
        </w:tc>
        <w:tc>
          <w:tcPr>
            <w:tcW w:w="364" w:type="pct"/>
            <w:vMerge/>
            <w:vAlign w:val="center"/>
          </w:tcPr>
          <w:p w:rsidR="00EE56C0" w:rsidRDefault="00EE56C0">
            <w:pPr>
              <w:pStyle w:val="afa"/>
            </w:pPr>
          </w:p>
        </w:tc>
      </w:tr>
      <w:tr w:rsidR="00EE56C0">
        <w:trPr>
          <w:trHeight w:val="801"/>
        </w:trPr>
        <w:tc>
          <w:tcPr>
            <w:tcW w:w="370" w:type="pct"/>
            <w:vMerge/>
            <w:tcMar>
              <w:top w:w="28" w:type="dxa"/>
              <w:bottom w:w="57" w:type="dxa"/>
            </w:tcMar>
            <w:vAlign w:val="center"/>
          </w:tcPr>
          <w:p w:rsidR="00EE56C0" w:rsidRDefault="00EE56C0">
            <w:pPr>
              <w:pStyle w:val="afa"/>
            </w:pPr>
          </w:p>
        </w:tc>
        <w:tc>
          <w:tcPr>
            <w:tcW w:w="337" w:type="pct"/>
            <w:vMerge/>
            <w:tcMar>
              <w:top w:w="28" w:type="dxa"/>
              <w:bottom w:w="57" w:type="dxa"/>
            </w:tcMar>
            <w:vAlign w:val="center"/>
          </w:tcPr>
          <w:p w:rsidR="00EE56C0" w:rsidRDefault="00EE56C0">
            <w:pPr>
              <w:pStyle w:val="afa"/>
              <w:rPr>
                <w:u w:val="single"/>
              </w:rPr>
            </w:pPr>
          </w:p>
        </w:tc>
        <w:tc>
          <w:tcPr>
            <w:tcW w:w="255" w:type="pct"/>
            <w:vMerge/>
            <w:tcMar>
              <w:top w:w="28" w:type="dxa"/>
              <w:bottom w:w="57" w:type="dxa"/>
            </w:tcMar>
            <w:vAlign w:val="center"/>
          </w:tcPr>
          <w:p w:rsidR="00EE56C0" w:rsidRDefault="00EE56C0">
            <w:pPr>
              <w:pStyle w:val="afa"/>
            </w:pPr>
          </w:p>
        </w:tc>
        <w:tc>
          <w:tcPr>
            <w:tcW w:w="2436" w:type="pct"/>
            <w:vAlign w:val="center"/>
          </w:tcPr>
          <w:p w:rsidR="00EE56C0" w:rsidRDefault="000F36A1">
            <w:pPr>
              <w:pStyle w:val="afa"/>
              <w:jc w:val="both"/>
              <w:rPr>
                <w:rFonts w:cs="仿宋"/>
                <w:color w:val="000000"/>
                <w:kern w:val="0"/>
              </w:rPr>
            </w:pPr>
            <w:r>
              <w:rPr>
                <w:rFonts w:eastAsia="宋体" w:cs="仿宋" w:hint="eastAsia"/>
                <w:color w:val="000000"/>
                <w:kern w:val="0"/>
              </w:rPr>
              <w:t>4</w:t>
            </w:r>
            <w:r>
              <w:rPr>
                <w:rFonts w:eastAsia="宋体" w:cs="仿宋" w:hint="eastAsia"/>
                <w:color w:val="000000"/>
                <w:kern w:val="0"/>
              </w:rPr>
              <w:t>、新建耗煤项目还应严格按规定采取煤炭消费减量替代措施，不得使用高污染燃料作为煤炭减量替代措施。</w:t>
            </w:r>
          </w:p>
        </w:tc>
        <w:tc>
          <w:tcPr>
            <w:tcW w:w="1238" w:type="pct"/>
            <w:vAlign w:val="center"/>
          </w:tcPr>
          <w:p w:rsidR="00EE56C0" w:rsidRDefault="000F36A1">
            <w:pPr>
              <w:pStyle w:val="afa"/>
              <w:jc w:val="both"/>
            </w:pPr>
            <w:r>
              <w:rPr>
                <w:rFonts w:hint="eastAsia"/>
              </w:rPr>
              <w:t>4</w:t>
            </w:r>
            <w:r>
              <w:rPr>
                <w:rFonts w:hint="eastAsia"/>
              </w:rPr>
              <w:t>、本项目不</w:t>
            </w:r>
            <w:r>
              <w:rPr>
                <w:rFonts w:cs="仿宋" w:hint="eastAsia"/>
                <w:color w:val="000000"/>
                <w:kern w:val="0"/>
              </w:rPr>
              <w:t>使用</w:t>
            </w:r>
            <w:r>
              <w:rPr>
                <w:rFonts w:eastAsia="宋体" w:cs="仿宋" w:hint="eastAsia"/>
                <w:color w:val="000000"/>
                <w:kern w:val="0"/>
              </w:rPr>
              <w:t>煤</w:t>
            </w:r>
            <w:r>
              <w:rPr>
                <w:rFonts w:cs="仿宋" w:hint="eastAsia"/>
                <w:color w:val="000000"/>
                <w:kern w:val="0"/>
              </w:rPr>
              <w:t>等</w:t>
            </w:r>
            <w:r>
              <w:rPr>
                <w:rFonts w:eastAsia="宋体" w:cs="仿宋" w:hint="eastAsia"/>
                <w:color w:val="000000"/>
                <w:kern w:val="0"/>
              </w:rPr>
              <w:t>高污染燃料</w:t>
            </w:r>
            <w:r>
              <w:rPr>
                <w:rFonts w:cs="仿宋" w:hint="eastAsia"/>
                <w:color w:val="000000"/>
                <w:kern w:val="0"/>
              </w:rPr>
              <w:t>。</w:t>
            </w:r>
          </w:p>
        </w:tc>
        <w:tc>
          <w:tcPr>
            <w:tcW w:w="364" w:type="pct"/>
            <w:vMerge/>
            <w:vAlign w:val="center"/>
          </w:tcPr>
          <w:p w:rsidR="00EE56C0" w:rsidRDefault="00EE56C0">
            <w:pPr>
              <w:pStyle w:val="afa"/>
            </w:pPr>
          </w:p>
        </w:tc>
      </w:tr>
      <w:tr w:rsidR="00EE56C0">
        <w:trPr>
          <w:trHeight w:val="685"/>
        </w:trPr>
        <w:tc>
          <w:tcPr>
            <w:tcW w:w="370" w:type="pct"/>
            <w:vMerge/>
            <w:tcMar>
              <w:top w:w="28" w:type="dxa"/>
              <w:bottom w:w="57" w:type="dxa"/>
            </w:tcMar>
            <w:vAlign w:val="center"/>
          </w:tcPr>
          <w:p w:rsidR="00EE56C0" w:rsidRDefault="00EE56C0">
            <w:pPr>
              <w:pStyle w:val="afa"/>
            </w:pPr>
          </w:p>
        </w:tc>
        <w:tc>
          <w:tcPr>
            <w:tcW w:w="337" w:type="pct"/>
            <w:vMerge/>
            <w:tcMar>
              <w:top w:w="28" w:type="dxa"/>
              <w:bottom w:w="57" w:type="dxa"/>
            </w:tcMar>
            <w:vAlign w:val="center"/>
          </w:tcPr>
          <w:p w:rsidR="00EE56C0" w:rsidRDefault="00EE56C0">
            <w:pPr>
              <w:pStyle w:val="afa"/>
              <w:rPr>
                <w:u w:val="single"/>
              </w:rPr>
            </w:pPr>
          </w:p>
        </w:tc>
        <w:tc>
          <w:tcPr>
            <w:tcW w:w="255" w:type="pct"/>
            <w:vMerge/>
            <w:tcMar>
              <w:top w:w="28" w:type="dxa"/>
              <w:bottom w:w="57" w:type="dxa"/>
            </w:tcMar>
            <w:vAlign w:val="center"/>
          </w:tcPr>
          <w:p w:rsidR="00EE56C0" w:rsidRDefault="00EE56C0">
            <w:pPr>
              <w:pStyle w:val="afa"/>
            </w:pPr>
          </w:p>
        </w:tc>
        <w:tc>
          <w:tcPr>
            <w:tcW w:w="2436" w:type="pct"/>
            <w:vAlign w:val="center"/>
          </w:tcPr>
          <w:p w:rsidR="00EE56C0" w:rsidRDefault="000F36A1">
            <w:pPr>
              <w:pStyle w:val="afa"/>
              <w:jc w:val="both"/>
              <w:rPr>
                <w:rFonts w:cs="仿宋"/>
                <w:color w:val="000000"/>
                <w:kern w:val="0"/>
              </w:rPr>
            </w:pPr>
            <w:r>
              <w:rPr>
                <w:rFonts w:eastAsia="宋体" w:cs="仿宋" w:hint="eastAsia"/>
                <w:color w:val="000000"/>
                <w:kern w:val="0"/>
              </w:rPr>
              <w:t>5</w:t>
            </w:r>
            <w:r>
              <w:rPr>
                <w:rFonts w:eastAsia="宋体" w:cs="仿宋" w:hint="eastAsia"/>
                <w:color w:val="000000"/>
                <w:kern w:val="0"/>
              </w:rPr>
              <w:t>、已出台超低排放要求的“两高”行业建设项目应满足超低排放要求。</w:t>
            </w:r>
          </w:p>
        </w:tc>
        <w:tc>
          <w:tcPr>
            <w:tcW w:w="1238" w:type="pct"/>
            <w:vAlign w:val="center"/>
          </w:tcPr>
          <w:p w:rsidR="00EE56C0" w:rsidRDefault="000F36A1">
            <w:pPr>
              <w:pStyle w:val="afa"/>
              <w:jc w:val="both"/>
            </w:pPr>
            <w:r>
              <w:rPr>
                <w:rFonts w:hint="eastAsia"/>
              </w:rPr>
              <w:t>5</w:t>
            </w:r>
            <w:r>
              <w:rPr>
                <w:rFonts w:hint="eastAsia"/>
              </w:rPr>
              <w:t>、本项目不属于</w:t>
            </w:r>
            <w:r>
              <w:rPr>
                <w:rFonts w:cs="仿宋" w:hint="eastAsia"/>
                <w:color w:val="000000"/>
                <w:kern w:val="0"/>
              </w:rPr>
              <w:t>“两高”项目。</w:t>
            </w:r>
          </w:p>
        </w:tc>
        <w:tc>
          <w:tcPr>
            <w:tcW w:w="364" w:type="pct"/>
            <w:vMerge/>
            <w:vAlign w:val="center"/>
          </w:tcPr>
          <w:p w:rsidR="00EE56C0" w:rsidRDefault="00EE56C0">
            <w:pPr>
              <w:pStyle w:val="afa"/>
            </w:pPr>
          </w:p>
        </w:tc>
      </w:tr>
      <w:tr w:rsidR="00EE56C0">
        <w:trPr>
          <w:trHeight w:val="816"/>
        </w:trPr>
        <w:tc>
          <w:tcPr>
            <w:tcW w:w="370" w:type="pct"/>
            <w:vMerge/>
            <w:tcMar>
              <w:top w:w="28" w:type="dxa"/>
              <w:bottom w:w="57" w:type="dxa"/>
            </w:tcMar>
            <w:vAlign w:val="center"/>
          </w:tcPr>
          <w:p w:rsidR="00EE56C0" w:rsidRDefault="00EE56C0">
            <w:pPr>
              <w:pStyle w:val="afa"/>
              <w:rPr>
                <w:u w:val="single"/>
              </w:rPr>
            </w:pPr>
          </w:p>
        </w:tc>
        <w:tc>
          <w:tcPr>
            <w:tcW w:w="337" w:type="pct"/>
            <w:vMerge/>
            <w:tcMar>
              <w:top w:w="28" w:type="dxa"/>
              <w:bottom w:w="57" w:type="dxa"/>
            </w:tcMar>
            <w:vAlign w:val="center"/>
          </w:tcPr>
          <w:p w:rsidR="00EE56C0" w:rsidRDefault="00EE56C0">
            <w:pPr>
              <w:pStyle w:val="afa"/>
              <w:rPr>
                <w:u w:val="single"/>
              </w:rPr>
            </w:pPr>
          </w:p>
        </w:tc>
        <w:tc>
          <w:tcPr>
            <w:tcW w:w="255" w:type="pct"/>
            <w:vMerge w:val="restart"/>
            <w:tcMar>
              <w:top w:w="28" w:type="dxa"/>
              <w:bottom w:w="57" w:type="dxa"/>
            </w:tcMar>
            <w:vAlign w:val="center"/>
          </w:tcPr>
          <w:p w:rsidR="00EE56C0" w:rsidRDefault="000F36A1">
            <w:pPr>
              <w:pStyle w:val="afa"/>
            </w:pPr>
            <w:r>
              <w:t>环境风险防控</w:t>
            </w:r>
          </w:p>
        </w:tc>
        <w:tc>
          <w:tcPr>
            <w:tcW w:w="2436" w:type="pct"/>
            <w:vAlign w:val="center"/>
          </w:tcPr>
          <w:p w:rsidR="00EE56C0" w:rsidRDefault="000F36A1">
            <w:pPr>
              <w:pStyle w:val="afa"/>
              <w:jc w:val="both"/>
              <w:rPr>
                <w:rFonts w:cs="仿宋"/>
                <w:color w:val="000000"/>
                <w:kern w:val="0"/>
              </w:rPr>
            </w:pPr>
            <w:r>
              <w:rPr>
                <w:rFonts w:eastAsia="宋体" w:cs="仿宋" w:hint="eastAsia"/>
                <w:color w:val="000000"/>
                <w:kern w:val="0"/>
              </w:rPr>
              <w:t>1</w:t>
            </w:r>
            <w:r>
              <w:rPr>
                <w:rFonts w:eastAsia="宋体" w:cs="仿宋" w:hint="eastAsia"/>
                <w:color w:val="000000"/>
                <w:kern w:val="0"/>
              </w:rPr>
              <w:t>、规范产业集聚区建设，对涉重行业企业加强管理，建立土壤和地下水污染隐患排查治理制度、风险防控体系和长效监管机制。</w:t>
            </w:r>
          </w:p>
        </w:tc>
        <w:tc>
          <w:tcPr>
            <w:tcW w:w="1238" w:type="pct"/>
            <w:vAlign w:val="center"/>
          </w:tcPr>
          <w:p w:rsidR="00EE56C0" w:rsidRDefault="000F36A1">
            <w:pPr>
              <w:pStyle w:val="afa"/>
              <w:jc w:val="both"/>
            </w:pPr>
            <w:r>
              <w:rPr>
                <w:rFonts w:hint="eastAsia"/>
              </w:rPr>
              <w:t>1</w:t>
            </w:r>
            <w:r>
              <w:rPr>
                <w:rFonts w:hint="eastAsia"/>
              </w:rPr>
              <w:t>、本项目不属于</w:t>
            </w:r>
            <w:r>
              <w:rPr>
                <w:rFonts w:eastAsia="宋体" w:cs="仿宋" w:hint="eastAsia"/>
                <w:color w:val="000000"/>
                <w:kern w:val="0"/>
              </w:rPr>
              <w:t>涉重行业</w:t>
            </w:r>
            <w:r>
              <w:rPr>
                <w:rFonts w:cs="仿宋" w:hint="eastAsia"/>
                <w:color w:val="000000"/>
                <w:kern w:val="0"/>
              </w:rPr>
              <w:t>。</w:t>
            </w:r>
          </w:p>
        </w:tc>
        <w:tc>
          <w:tcPr>
            <w:tcW w:w="364" w:type="pct"/>
            <w:vMerge w:val="restart"/>
            <w:vAlign w:val="center"/>
          </w:tcPr>
          <w:p w:rsidR="00EE56C0" w:rsidRDefault="000F36A1">
            <w:pPr>
              <w:pStyle w:val="afa"/>
            </w:pPr>
            <w:r>
              <w:rPr>
                <w:rFonts w:hint="eastAsia"/>
              </w:rPr>
              <w:t>符合</w:t>
            </w:r>
          </w:p>
        </w:tc>
      </w:tr>
      <w:tr w:rsidR="00EE56C0">
        <w:trPr>
          <w:trHeight w:val="810"/>
        </w:trPr>
        <w:tc>
          <w:tcPr>
            <w:tcW w:w="370" w:type="pct"/>
            <w:vMerge/>
            <w:tcMar>
              <w:top w:w="28" w:type="dxa"/>
              <w:bottom w:w="57" w:type="dxa"/>
            </w:tcMar>
            <w:vAlign w:val="center"/>
          </w:tcPr>
          <w:p w:rsidR="00EE56C0" w:rsidRDefault="00EE56C0">
            <w:pPr>
              <w:pStyle w:val="afa"/>
              <w:rPr>
                <w:u w:val="single"/>
              </w:rPr>
            </w:pPr>
          </w:p>
        </w:tc>
        <w:tc>
          <w:tcPr>
            <w:tcW w:w="337" w:type="pct"/>
            <w:vMerge/>
            <w:tcMar>
              <w:top w:w="28" w:type="dxa"/>
              <w:bottom w:w="57" w:type="dxa"/>
            </w:tcMar>
            <w:vAlign w:val="center"/>
          </w:tcPr>
          <w:p w:rsidR="00EE56C0" w:rsidRDefault="00EE56C0">
            <w:pPr>
              <w:pStyle w:val="afa"/>
              <w:rPr>
                <w:u w:val="single"/>
              </w:rPr>
            </w:pPr>
          </w:p>
        </w:tc>
        <w:tc>
          <w:tcPr>
            <w:tcW w:w="255" w:type="pct"/>
            <w:vMerge/>
            <w:tcMar>
              <w:top w:w="28" w:type="dxa"/>
              <w:bottom w:w="57" w:type="dxa"/>
            </w:tcMar>
            <w:vAlign w:val="center"/>
          </w:tcPr>
          <w:p w:rsidR="00EE56C0" w:rsidRDefault="00EE56C0">
            <w:pPr>
              <w:pStyle w:val="afa"/>
            </w:pPr>
          </w:p>
        </w:tc>
        <w:tc>
          <w:tcPr>
            <w:tcW w:w="2436" w:type="pct"/>
            <w:vAlign w:val="center"/>
          </w:tcPr>
          <w:p w:rsidR="00EE56C0" w:rsidRDefault="000F36A1">
            <w:pPr>
              <w:pStyle w:val="afa"/>
              <w:jc w:val="both"/>
              <w:rPr>
                <w:rFonts w:cs="仿宋"/>
                <w:color w:val="000000"/>
                <w:kern w:val="0"/>
              </w:rPr>
            </w:pPr>
            <w:r>
              <w:rPr>
                <w:rFonts w:eastAsia="宋体" w:cs="仿宋" w:hint="eastAsia"/>
                <w:color w:val="000000"/>
                <w:kern w:val="0"/>
              </w:rPr>
              <w:t>2</w:t>
            </w:r>
            <w:r>
              <w:rPr>
                <w:rFonts w:eastAsia="宋体" w:cs="仿宋" w:hint="eastAsia"/>
                <w:color w:val="000000"/>
                <w:kern w:val="0"/>
              </w:rPr>
              <w:t>、高关注地块划分污染风险等级，纳入优先管控名录。</w:t>
            </w:r>
          </w:p>
        </w:tc>
        <w:tc>
          <w:tcPr>
            <w:tcW w:w="1238" w:type="pct"/>
            <w:vAlign w:val="center"/>
          </w:tcPr>
          <w:p w:rsidR="00EE56C0" w:rsidRDefault="000F36A1">
            <w:pPr>
              <w:pStyle w:val="afa"/>
              <w:jc w:val="both"/>
            </w:pPr>
            <w:r>
              <w:rPr>
                <w:rFonts w:hint="eastAsia"/>
              </w:rPr>
              <w:t>2</w:t>
            </w:r>
            <w:r>
              <w:rPr>
                <w:rFonts w:hint="eastAsia"/>
              </w:rPr>
              <w:t>、本项目占地不属于</w:t>
            </w:r>
            <w:r>
              <w:rPr>
                <w:rFonts w:eastAsia="宋体" w:cs="仿宋" w:hint="eastAsia"/>
                <w:color w:val="000000"/>
                <w:kern w:val="0"/>
              </w:rPr>
              <w:t>高关注地块</w:t>
            </w:r>
            <w:r>
              <w:rPr>
                <w:rFonts w:cs="仿宋" w:hint="eastAsia"/>
                <w:color w:val="000000"/>
                <w:kern w:val="0"/>
              </w:rPr>
              <w:t>。</w:t>
            </w:r>
          </w:p>
        </w:tc>
        <w:tc>
          <w:tcPr>
            <w:tcW w:w="364" w:type="pct"/>
            <w:vMerge/>
            <w:vAlign w:val="center"/>
          </w:tcPr>
          <w:p w:rsidR="00EE56C0" w:rsidRDefault="00EE56C0">
            <w:pPr>
              <w:pStyle w:val="afa"/>
            </w:pPr>
          </w:p>
        </w:tc>
      </w:tr>
      <w:tr w:rsidR="00EE56C0">
        <w:trPr>
          <w:trHeight w:val="1032"/>
        </w:trPr>
        <w:tc>
          <w:tcPr>
            <w:tcW w:w="370" w:type="pct"/>
            <w:vMerge/>
            <w:tcMar>
              <w:top w:w="28" w:type="dxa"/>
              <w:bottom w:w="57" w:type="dxa"/>
            </w:tcMar>
            <w:vAlign w:val="center"/>
          </w:tcPr>
          <w:p w:rsidR="00EE56C0" w:rsidRDefault="00EE56C0">
            <w:pPr>
              <w:pStyle w:val="afa"/>
              <w:rPr>
                <w:u w:val="single"/>
              </w:rPr>
            </w:pPr>
          </w:p>
        </w:tc>
        <w:tc>
          <w:tcPr>
            <w:tcW w:w="337" w:type="pct"/>
            <w:vMerge/>
            <w:tcMar>
              <w:top w:w="28" w:type="dxa"/>
              <w:bottom w:w="57" w:type="dxa"/>
            </w:tcMar>
            <w:vAlign w:val="center"/>
          </w:tcPr>
          <w:p w:rsidR="00EE56C0" w:rsidRDefault="00EE56C0">
            <w:pPr>
              <w:pStyle w:val="afa"/>
              <w:rPr>
                <w:u w:val="single"/>
              </w:rPr>
            </w:pPr>
          </w:p>
        </w:tc>
        <w:tc>
          <w:tcPr>
            <w:tcW w:w="255" w:type="pct"/>
            <w:vMerge w:val="restart"/>
            <w:tcMar>
              <w:top w:w="28" w:type="dxa"/>
              <w:bottom w:w="57" w:type="dxa"/>
            </w:tcMar>
            <w:vAlign w:val="center"/>
          </w:tcPr>
          <w:p w:rsidR="00EE56C0" w:rsidRDefault="000F36A1">
            <w:pPr>
              <w:pStyle w:val="afa"/>
            </w:pPr>
            <w:r>
              <w:t>资源利用效率要求</w:t>
            </w:r>
          </w:p>
        </w:tc>
        <w:tc>
          <w:tcPr>
            <w:tcW w:w="2436" w:type="pct"/>
            <w:vAlign w:val="center"/>
          </w:tcPr>
          <w:p w:rsidR="00EE56C0" w:rsidRDefault="000F36A1">
            <w:pPr>
              <w:pStyle w:val="afa"/>
              <w:jc w:val="both"/>
              <w:rPr>
                <w:rFonts w:cs="仿宋"/>
                <w:color w:val="000000"/>
                <w:kern w:val="0"/>
              </w:rPr>
            </w:pPr>
            <w:r>
              <w:rPr>
                <w:rFonts w:eastAsia="宋体" w:cs="仿宋" w:hint="eastAsia"/>
                <w:color w:val="000000"/>
                <w:kern w:val="0"/>
              </w:rPr>
              <w:t>1</w:t>
            </w:r>
            <w:r>
              <w:rPr>
                <w:rFonts w:eastAsia="宋体" w:cs="仿宋" w:hint="eastAsia"/>
                <w:color w:val="000000"/>
                <w:kern w:val="0"/>
              </w:rPr>
              <w:t>、集聚区应实施集中供热、供气，进一步优化能源结构，加快集中供热中心及配套供热管网建设，区内不得建设分散燃煤锅炉。</w:t>
            </w:r>
          </w:p>
        </w:tc>
        <w:tc>
          <w:tcPr>
            <w:tcW w:w="1238" w:type="pct"/>
            <w:vAlign w:val="center"/>
          </w:tcPr>
          <w:p w:rsidR="00EE56C0" w:rsidRDefault="000F36A1">
            <w:pPr>
              <w:pStyle w:val="afa"/>
              <w:jc w:val="both"/>
            </w:pPr>
            <w:r>
              <w:rPr>
                <w:rFonts w:hint="eastAsia"/>
              </w:rPr>
              <w:t>1</w:t>
            </w:r>
            <w:r>
              <w:rPr>
                <w:rFonts w:hint="eastAsia"/>
              </w:rPr>
              <w:t>、本项目以电为能源，不需要蒸汽、天然气等能源，且不</w:t>
            </w:r>
            <w:r>
              <w:rPr>
                <w:rFonts w:eastAsia="宋体" w:cs="仿宋" w:hint="eastAsia"/>
                <w:color w:val="000000"/>
                <w:kern w:val="0"/>
              </w:rPr>
              <w:t>设燃煤锅炉</w:t>
            </w:r>
            <w:r>
              <w:rPr>
                <w:rFonts w:cs="仿宋" w:hint="eastAsia"/>
                <w:color w:val="000000"/>
                <w:kern w:val="0"/>
              </w:rPr>
              <w:t>。</w:t>
            </w:r>
          </w:p>
          <w:p w:rsidR="00EE56C0" w:rsidRDefault="00EE56C0">
            <w:pPr>
              <w:pStyle w:val="afa"/>
              <w:jc w:val="both"/>
            </w:pPr>
          </w:p>
        </w:tc>
        <w:tc>
          <w:tcPr>
            <w:tcW w:w="364" w:type="pct"/>
            <w:vMerge w:val="restart"/>
            <w:vAlign w:val="center"/>
          </w:tcPr>
          <w:p w:rsidR="00EE56C0" w:rsidRDefault="000F36A1">
            <w:pPr>
              <w:pStyle w:val="afa"/>
            </w:pPr>
            <w:r>
              <w:rPr>
                <w:rFonts w:hint="eastAsia"/>
              </w:rPr>
              <w:t>符合</w:t>
            </w:r>
          </w:p>
        </w:tc>
      </w:tr>
      <w:tr w:rsidR="00EE56C0">
        <w:trPr>
          <w:trHeight w:val="615"/>
        </w:trPr>
        <w:tc>
          <w:tcPr>
            <w:tcW w:w="370" w:type="pct"/>
            <w:vMerge/>
            <w:tcMar>
              <w:top w:w="28" w:type="dxa"/>
              <w:bottom w:w="57" w:type="dxa"/>
            </w:tcMar>
            <w:vAlign w:val="center"/>
          </w:tcPr>
          <w:p w:rsidR="00EE56C0" w:rsidRDefault="00EE56C0">
            <w:pPr>
              <w:pStyle w:val="afa"/>
              <w:rPr>
                <w:u w:val="single"/>
              </w:rPr>
            </w:pPr>
          </w:p>
        </w:tc>
        <w:tc>
          <w:tcPr>
            <w:tcW w:w="337" w:type="pct"/>
            <w:vMerge/>
            <w:tcMar>
              <w:top w:w="28" w:type="dxa"/>
              <w:bottom w:w="57" w:type="dxa"/>
            </w:tcMar>
            <w:vAlign w:val="center"/>
          </w:tcPr>
          <w:p w:rsidR="00EE56C0" w:rsidRDefault="00EE56C0">
            <w:pPr>
              <w:pStyle w:val="afa"/>
              <w:rPr>
                <w:u w:val="single"/>
              </w:rPr>
            </w:pPr>
          </w:p>
        </w:tc>
        <w:tc>
          <w:tcPr>
            <w:tcW w:w="255" w:type="pct"/>
            <w:vMerge/>
            <w:tcMar>
              <w:top w:w="28" w:type="dxa"/>
              <w:bottom w:w="57" w:type="dxa"/>
            </w:tcMar>
            <w:vAlign w:val="center"/>
          </w:tcPr>
          <w:p w:rsidR="00EE56C0" w:rsidRDefault="00EE56C0">
            <w:pPr>
              <w:pStyle w:val="afa"/>
            </w:pPr>
          </w:p>
        </w:tc>
        <w:tc>
          <w:tcPr>
            <w:tcW w:w="2436" w:type="pct"/>
            <w:vAlign w:val="center"/>
          </w:tcPr>
          <w:p w:rsidR="00EE56C0" w:rsidRDefault="000F36A1">
            <w:pPr>
              <w:pStyle w:val="afa"/>
              <w:jc w:val="both"/>
              <w:rPr>
                <w:rFonts w:cs="仿宋"/>
                <w:color w:val="000000"/>
                <w:kern w:val="0"/>
              </w:rPr>
            </w:pPr>
            <w:r>
              <w:rPr>
                <w:rFonts w:eastAsia="宋体" w:cs="仿宋" w:hint="eastAsia"/>
                <w:color w:val="000000"/>
                <w:kern w:val="0"/>
              </w:rPr>
              <w:t>2</w:t>
            </w:r>
            <w:r>
              <w:rPr>
                <w:rFonts w:eastAsia="宋体" w:cs="仿宋" w:hint="eastAsia"/>
                <w:color w:val="000000"/>
                <w:kern w:val="0"/>
              </w:rPr>
              <w:t>、尽快实现集聚区集中供水，逐步关停企业自备水井。</w:t>
            </w:r>
          </w:p>
        </w:tc>
        <w:tc>
          <w:tcPr>
            <w:tcW w:w="1238" w:type="pct"/>
            <w:vAlign w:val="center"/>
          </w:tcPr>
          <w:p w:rsidR="00EE56C0" w:rsidRDefault="000F36A1">
            <w:pPr>
              <w:pStyle w:val="afa"/>
              <w:jc w:val="both"/>
            </w:pPr>
            <w:r>
              <w:rPr>
                <w:rFonts w:hint="eastAsia"/>
              </w:rPr>
              <w:t>2</w:t>
            </w:r>
            <w:r>
              <w:rPr>
                <w:rFonts w:hint="eastAsia"/>
              </w:rPr>
              <w:t>、待</w:t>
            </w:r>
            <w:r>
              <w:t>集聚区实现集中供水，</w:t>
            </w:r>
            <w:r>
              <w:rPr>
                <w:rFonts w:hint="eastAsia"/>
              </w:rPr>
              <w:t>本项目</w:t>
            </w:r>
            <w:r>
              <w:t>关停自备水井</w:t>
            </w:r>
            <w:r>
              <w:rPr>
                <w:rFonts w:hint="eastAsia"/>
              </w:rPr>
              <w:t>。</w:t>
            </w:r>
            <w:r>
              <w:rPr>
                <w:rFonts w:hint="eastAsia"/>
              </w:rPr>
              <w:t xml:space="preserve"> </w:t>
            </w:r>
          </w:p>
        </w:tc>
        <w:tc>
          <w:tcPr>
            <w:tcW w:w="364" w:type="pct"/>
            <w:vMerge/>
            <w:vAlign w:val="center"/>
          </w:tcPr>
          <w:p w:rsidR="00EE56C0" w:rsidRDefault="00EE56C0">
            <w:pPr>
              <w:pStyle w:val="afa"/>
            </w:pPr>
          </w:p>
        </w:tc>
      </w:tr>
      <w:tr w:rsidR="00EE56C0">
        <w:trPr>
          <w:trHeight w:val="655"/>
        </w:trPr>
        <w:tc>
          <w:tcPr>
            <w:tcW w:w="370" w:type="pct"/>
            <w:vMerge/>
            <w:tcMar>
              <w:top w:w="28" w:type="dxa"/>
              <w:bottom w:w="57" w:type="dxa"/>
            </w:tcMar>
            <w:vAlign w:val="center"/>
          </w:tcPr>
          <w:p w:rsidR="00EE56C0" w:rsidRDefault="00EE56C0">
            <w:pPr>
              <w:pStyle w:val="afa"/>
              <w:rPr>
                <w:u w:val="single"/>
              </w:rPr>
            </w:pPr>
          </w:p>
        </w:tc>
        <w:tc>
          <w:tcPr>
            <w:tcW w:w="337" w:type="pct"/>
            <w:vMerge/>
            <w:tcMar>
              <w:top w:w="28" w:type="dxa"/>
              <w:bottom w:w="57" w:type="dxa"/>
            </w:tcMar>
            <w:vAlign w:val="center"/>
          </w:tcPr>
          <w:p w:rsidR="00EE56C0" w:rsidRDefault="00EE56C0">
            <w:pPr>
              <w:pStyle w:val="afa"/>
              <w:rPr>
                <w:u w:val="single"/>
              </w:rPr>
            </w:pPr>
          </w:p>
        </w:tc>
        <w:tc>
          <w:tcPr>
            <w:tcW w:w="255" w:type="pct"/>
            <w:vMerge/>
            <w:tcMar>
              <w:top w:w="28" w:type="dxa"/>
              <w:bottom w:w="57" w:type="dxa"/>
            </w:tcMar>
            <w:vAlign w:val="center"/>
          </w:tcPr>
          <w:p w:rsidR="00EE56C0" w:rsidRDefault="00EE56C0">
            <w:pPr>
              <w:pStyle w:val="afa"/>
            </w:pPr>
          </w:p>
        </w:tc>
        <w:tc>
          <w:tcPr>
            <w:tcW w:w="2436" w:type="pct"/>
            <w:vAlign w:val="center"/>
          </w:tcPr>
          <w:p w:rsidR="00EE56C0" w:rsidRDefault="000F36A1">
            <w:pPr>
              <w:pStyle w:val="afa"/>
              <w:jc w:val="both"/>
              <w:rPr>
                <w:rFonts w:cs="仿宋"/>
                <w:color w:val="000000"/>
                <w:kern w:val="0"/>
              </w:rPr>
            </w:pPr>
            <w:r>
              <w:rPr>
                <w:rFonts w:eastAsia="宋体" w:cs="仿宋" w:hint="eastAsia"/>
                <w:color w:val="000000"/>
                <w:kern w:val="0"/>
              </w:rPr>
              <w:t>3</w:t>
            </w:r>
            <w:r>
              <w:rPr>
                <w:rFonts w:eastAsia="宋体" w:cs="仿宋" w:hint="eastAsia"/>
                <w:color w:val="000000"/>
                <w:kern w:val="0"/>
              </w:rPr>
              <w:t>、抓紧实施中水回用工程，完善配套中水回用管网。</w:t>
            </w:r>
          </w:p>
        </w:tc>
        <w:tc>
          <w:tcPr>
            <w:tcW w:w="1238" w:type="pct"/>
            <w:vAlign w:val="center"/>
          </w:tcPr>
          <w:p w:rsidR="00EE56C0" w:rsidRDefault="000F36A1">
            <w:pPr>
              <w:pStyle w:val="afa"/>
            </w:pPr>
            <w:r>
              <w:rPr>
                <w:rFonts w:hint="eastAsia"/>
              </w:rPr>
              <w:t>/</w:t>
            </w:r>
          </w:p>
        </w:tc>
        <w:tc>
          <w:tcPr>
            <w:tcW w:w="364" w:type="pct"/>
            <w:vMerge/>
            <w:vAlign w:val="center"/>
          </w:tcPr>
          <w:p w:rsidR="00EE56C0" w:rsidRDefault="00EE56C0">
            <w:pPr>
              <w:pStyle w:val="afa"/>
            </w:pPr>
          </w:p>
        </w:tc>
      </w:tr>
    </w:tbl>
    <w:p w:rsidR="00EE56C0" w:rsidRDefault="000F36A1">
      <w:pPr>
        <w:ind w:firstLine="480"/>
      </w:pPr>
      <w:r>
        <w:rPr>
          <w:rFonts w:hint="eastAsia"/>
        </w:rPr>
        <w:t>综上，本项目建设符合新乡市“三线一单”的管理要求。</w:t>
      </w:r>
    </w:p>
    <w:p w:rsidR="00EE56C0" w:rsidRDefault="000F36A1">
      <w:pPr>
        <w:pStyle w:val="3"/>
        <w:spacing w:before="240" w:after="120"/>
      </w:pPr>
      <w:r>
        <w:rPr>
          <w:rFonts w:hint="eastAsia"/>
        </w:rPr>
        <w:t>2.11.8</w:t>
      </w:r>
      <w:r>
        <w:rPr>
          <w:rFonts w:hint="eastAsia"/>
        </w:rPr>
        <w:t>与《重污染天气重点行业应急减排措施制定技术指南》（</w:t>
      </w:r>
      <w:r>
        <w:rPr>
          <w:rFonts w:hint="eastAsia"/>
        </w:rPr>
        <w:t>2020</w:t>
      </w:r>
      <w:r>
        <w:rPr>
          <w:rFonts w:hint="eastAsia"/>
        </w:rPr>
        <w:t>年修订版）相符性分析</w:t>
      </w:r>
    </w:p>
    <w:p w:rsidR="00EE56C0" w:rsidRDefault="000F36A1">
      <w:pPr>
        <w:ind w:firstLine="480"/>
        <w:rPr>
          <w:u w:val="single"/>
        </w:rPr>
      </w:pPr>
      <w:r>
        <w:rPr>
          <w:rFonts w:hint="eastAsia"/>
          <w:u w:val="single"/>
        </w:rPr>
        <w:t>由于企业现有工程于</w:t>
      </w:r>
      <w:r>
        <w:rPr>
          <w:rFonts w:hint="eastAsia"/>
          <w:u w:val="single"/>
        </w:rPr>
        <w:t>2020</w:t>
      </w:r>
      <w:r>
        <w:rPr>
          <w:rFonts w:hint="eastAsia"/>
          <w:u w:val="single"/>
        </w:rPr>
        <w:t>年已通过《重污染天气重点行业应急减排措施制定技术指南（</w:t>
      </w:r>
      <w:r>
        <w:rPr>
          <w:rFonts w:hint="eastAsia"/>
          <w:u w:val="single"/>
        </w:rPr>
        <w:t>2020</w:t>
      </w:r>
      <w:r>
        <w:rPr>
          <w:rFonts w:hint="eastAsia"/>
          <w:u w:val="single"/>
        </w:rPr>
        <w:t>年修订版）》中工业涂装行业</w:t>
      </w:r>
      <w:r>
        <w:rPr>
          <w:rStyle w:val="Charf4"/>
          <w:rFonts w:hint="eastAsia"/>
          <w:u w:val="single"/>
        </w:rPr>
        <w:t>B</w:t>
      </w:r>
      <w:r>
        <w:rPr>
          <w:rStyle w:val="Charf4"/>
          <w:rFonts w:hint="eastAsia"/>
          <w:u w:val="single"/>
        </w:rPr>
        <w:t>级企业评审</w:t>
      </w:r>
      <w:r>
        <w:rPr>
          <w:rFonts w:hint="eastAsia"/>
          <w:u w:val="single"/>
        </w:rPr>
        <w:t>。根据《重污染天气重点行业应急减排措施制定技术指南》（</w:t>
      </w:r>
      <w:r>
        <w:rPr>
          <w:rFonts w:hint="eastAsia"/>
          <w:u w:val="single"/>
        </w:rPr>
        <w:t>2020</w:t>
      </w:r>
      <w:r>
        <w:rPr>
          <w:rFonts w:hint="eastAsia"/>
          <w:u w:val="single"/>
        </w:rPr>
        <w:t>年修订版）中工业涂装的要求，结合本项目的情况，</w:t>
      </w:r>
      <w:r w:rsidR="0036297E">
        <w:rPr>
          <w:rFonts w:hint="eastAsia"/>
          <w:u w:val="single"/>
        </w:rPr>
        <w:t>按照技术指南</w:t>
      </w:r>
      <w:r>
        <w:rPr>
          <w:rFonts w:hint="eastAsia"/>
          <w:u w:val="single"/>
        </w:rPr>
        <w:t>A</w:t>
      </w:r>
      <w:r>
        <w:rPr>
          <w:rFonts w:hint="eastAsia"/>
          <w:u w:val="single"/>
        </w:rPr>
        <w:t>级指标中涉及到</w:t>
      </w:r>
      <w:r w:rsidR="0036297E">
        <w:rPr>
          <w:rFonts w:hint="eastAsia"/>
          <w:u w:val="single"/>
        </w:rPr>
        <w:t>的内容与本项目实际情况</w:t>
      </w:r>
      <w:r>
        <w:rPr>
          <w:rFonts w:hint="eastAsia"/>
          <w:u w:val="single"/>
        </w:rPr>
        <w:t>对比</w:t>
      </w:r>
      <w:r w:rsidR="0036297E">
        <w:rPr>
          <w:rFonts w:hint="eastAsia"/>
          <w:u w:val="single"/>
        </w:rPr>
        <w:t>如下</w:t>
      </w:r>
      <w:r>
        <w:rPr>
          <w:rFonts w:hint="eastAsia"/>
          <w:u w:val="single"/>
        </w:rPr>
        <w:t>：</w:t>
      </w:r>
    </w:p>
    <w:p w:rsidR="00EE56C0" w:rsidRDefault="00EE56C0">
      <w:pPr>
        <w:ind w:firstLine="480"/>
        <w:rPr>
          <w:u w:val="single"/>
        </w:rPr>
      </w:pPr>
    </w:p>
    <w:p w:rsidR="00EE56C0" w:rsidRDefault="000F36A1">
      <w:pPr>
        <w:pStyle w:val="afd"/>
        <w:spacing w:before="120" w:after="120"/>
        <w:ind w:firstLine="482"/>
        <w:rPr>
          <w:u w:val="single"/>
        </w:rPr>
      </w:pPr>
      <w:r>
        <w:rPr>
          <w:u w:val="single"/>
        </w:rPr>
        <w:lastRenderedPageBreak/>
        <w:t>表</w:t>
      </w:r>
      <w:r>
        <w:rPr>
          <w:rFonts w:hint="eastAsia"/>
          <w:u w:val="single"/>
        </w:rPr>
        <w:t xml:space="preserve">2-23  </w:t>
      </w:r>
      <w:r>
        <w:rPr>
          <w:rFonts w:hint="eastAsia"/>
          <w:u w:val="single"/>
        </w:rPr>
        <w:t>本项目与《重污染天气重点行业应急减排措施指南》</w:t>
      </w:r>
      <w:r>
        <w:rPr>
          <w:u w:val="single"/>
        </w:rPr>
        <w:t>对比分析</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82"/>
        <w:gridCol w:w="4627"/>
        <w:gridCol w:w="2112"/>
        <w:gridCol w:w="907"/>
      </w:tblGrid>
      <w:tr w:rsidR="00EE56C0">
        <w:trPr>
          <w:trHeight w:val="397"/>
        </w:trPr>
        <w:tc>
          <w:tcPr>
            <w:tcW w:w="517" w:type="pct"/>
            <w:vAlign w:val="center"/>
          </w:tcPr>
          <w:p w:rsidR="00EE56C0" w:rsidRDefault="000F36A1">
            <w:pPr>
              <w:pStyle w:val="aff1"/>
              <w:rPr>
                <w:color w:val="auto"/>
                <w:u w:val="single"/>
              </w:rPr>
            </w:pPr>
            <w:r>
              <w:rPr>
                <w:color w:val="auto"/>
                <w:u w:val="single"/>
              </w:rPr>
              <w:t>差异化指标</w:t>
            </w:r>
          </w:p>
        </w:tc>
        <w:tc>
          <w:tcPr>
            <w:tcW w:w="2713" w:type="pct"/>
            <w:vAlign w:val="center"/>
          </w:tcPr>
          <w:p w:rsidR="00EE56C0" w:rsidRDefault="000F36A1">
            <w:pPr>
              <w:pStyle w:val="aff1"/>
              <w:rPr>
                <w:color w:val="auto"/>
                <w:u w:val="single"/>
              </w:rPr>
            </w:pPr>
            <w:r>
              <w:rPr>
                <w:rFonts w:hint="eastAsia"/>
                <w:color w:val="auto"/>
                <w:u w:val="single"/>
              </w:rPr>
              <w:t>A</w:t>
            </w:r>
            <w:r>
              <w:rPr>
                <w:color w:val="auto"/>
                <w:u w:val="single"/>
              </w:rPr>
              <w:t>级</w:t>
            </w:r>
            <w:r>
              <w:rPr>
                <w:rFonts w:hint="eastAsia"/>
                <w:color w:val="auto"/>
                <w:u w:val="single"/>
              </w:rPr>
              <w:t>要求</w:t>
            </w:r>
          </w:p>
        </w:tc>
        <w:tc>
          <w:tcPr>
            <w:tcW w:w="1238" w:type="pct"/>
            <w:vAlign w:val="center"/>
          </w:tcPr>
          <w:p w:rsidR="00EE56C0" w:rsidRDefault="000F36A1">
            <w:pPr>
              <w:pStyle w:val="aff1"/>
              <w:rPr>
                <w:color w:val="auto"/>
                <w:u w:val="single"/>
              </w:rPr>
            </w:pPr>
            <w:r>
              <w:rPr>
                <w:rFonts w:hint="eastAsia"/>
                <w:color w:val="auto"/>
                <w:u w:val="single"/>
              </w:rPr>
              <w:t>本项目拟建设情况</w:t>
            </w:r>
          </w:p>
        </w:tc>
        <w:tc>
          <w:tcPr>
            <w:tcW w:w="532" w:type="pct"/>
            <w:vAlign w:val="center"/>
          </w:tcPr>
          <w:p w:rsidR="00EE56C0" w:rsidRDefault="000F36A1">
            <w:pPr>
              <w:pStyle w:val="aff1"/>
              <w:rPr>
                <w:color w:val="auto"/>
                <w:u w:val="single"/>
              </w:rPr>
            </w:pPr>
            <w:r>
              <w:rPr>
                <w:rFonts w:hint="eastAsia"/>
                <w:color w:val="auto"/>
                <w:u w:val="single"/>
              </w:rPr>
              <w:t>对比</w:t>
            </w:r>
          </w:p>
          <w:p w:rsidR="00EE56C0" w:rsidRDefault="000F36A1">
            <w:pPr>
              <w:pStyle w:val="aff1"/>
              <w:rPr>
                <w:color w:val="auto"/>
                <w:u w:val="single"/>
              </w:rPr>
            </w:pPr>
            <w:r>
              <w:rPr>
                <w:rFonts w:hint="eastAsia"/>
                <w:color w:val="auto"/>
                <w:u w:val="single"/>
              </w:rPr>
              <w:t>结果</w:t>
            </w:r>
          </w:p>
        </w:tc>
      </w:tr>
      <w:tr w:rsidR="00EE56C0">
        <w:trPr>
          <w:trHeight w:val="397"/>
        </w:trPr>
        <w:tc>
          <w:tcPr>
            <w:tcW w:w="517" w:type="pct"/>
            <w:vMerge w:val="restart"/>
            <w:vAlign w:val="center"/>
          </w:tcPr>
          <w:p w:rsidR="00EE56C0" w:rsidRDefault="000F36A1">
            <w:pPr>
              <w:pStyle w:val="afa"/>
              <w:rPr>
                <w:bCs/>
                <w:u w:val="single"/>
              </w:rPr>
            </w:pPr>
            <w:r>
              <w:rPr>
                <w:u w:val="single"/>
              </w:rPr>
              <w:t>原辅材料</w:t>
            </w:r>
          </w:p>
        </w:tc>
        <w:tc>
          <w:tcPr>
            <w:tcW w:w="2713" w:type="pct"/>
            <w:vAlign w:val="center"/>
          </w:tcPr>
          <w:p w:rsidR="00EE56C0" w:rsidRDefault="000F36A1">
            <w:pPr>
              <w:spacing w:line="400" w:lineRule="exact"/>
              <w:ind w:firstLineChars="0" w:firstLine="0"/>
              <w:jc w:val="left"/>
              <w:rPr>
                <w:rFonts w:cs="宋体"/>
                <w:color w:val="000000"/>
                <w:sz w:val="21"/>
                <w:szCs w:val="21"/>
                <w:u w:val="single"/>
              </w:rPr>
            </w:pPr>
            <w:r>
              <w:rPr>
                <w:rFonts w:cs="宋体"/>
                <w:color w:val="000000"/>
                <w:sz w:val="21"/>
                <w:szCs w:val="21"/>
                <w:u w:val="single"/>
              </w:rPr>
              <w:t>1</w:t>
            </w:r>
            <w:r>
              <w:rPr>
                <w:rFonts w:cs="宋体" w:hint="eastAsia"/>
                <w:color w:val="000000"/>
                <w:sz w:val="21"/>
                <w:szCs w:val="21"/>
                <w:u w:val="single"/>
              </w:rPr>
              <w:t>、使用粉末涂料；</w:t>
            </w:r>
          </w:p>
          <w:p w:rsidR="00EE56C0" w:rsidRDefault="000F36A1">
            <w:pPr>
              <w:pStyle w:val="afa"/>
              <w:jc w:val="both"/>
              <w:rPr>
                <w:bCs/>
                <w:u w:val="single"/>
              </w:rPr>
            </w:pPr>
            <w:r>
              <w:rPr>
                <w:rFonts w:eastAsia="宋体" w:cs="宋体"/>
                <w:color w:val="000000"/>
                <w:u w:val="single"/>
              </w:rPr>
              <w:t>2</w:t>
            </w:r>
            <w:r>
              <w:rPr>
                <w:rFonts w:eastAsia="宋体" w:cs="宋体" w:hint="eastAsia"/>
                <w:color w:val="000000"/>
                <w:u w:val="single"/>
              </w:rPr>
              <w:t>、使用符合《低挥发性有机化合物含量涂料产品技术要求》（</w:t>
            </w:r>
            <w:r>
              <w:rPr>
                <w:rFonts w:eastAsia="宋体" w:cs="宋体"/>
                <w:color w:val="000000"/>
                <w:u w:val="single"/>
              </w:rPr>
              <w:t>GB/T38597-2020</w:t>
            </w:r>
            <w:r>
              <w:rPr>
                <w:rFonts w:eastAsia="宋体" w:cs="宋体" w:hint="eastAsia"/>
                <w:color w:val="000000"/>
                <w:u w:val="single"/>
              </w:rPr>
              <w:t>）规定的低</w:t>
            </w:r>
            <w:r>
              <w:rPr>
                <w:rFonts w:eastAsia="宋体" w:cs="宋体"/>
                <w:color w:val="000000"/>
                <w:u w:val="single"/>
              </w:rPr>
              <w:t>VOCs</w:t>
            </w:r>
            <w:r>
              <w:rPr>
                <w:rFonts w:eastAsia="宋体" w:cs="宋体" w:hint="eastAsia"/>
                <w:color w:val="000000"/>
                <w:u w:val="single"/>
              </w:rPr>
              <w:t>含量涂料产品；</w:t>
            </w:r>
          </w:p>
        </w:tc>
        <w:tc>
          <w:tcPr>
            <w:tcW w:w="1238" w:type="pct"/>
            <w:vMerge w:val="restart"/>
            <w:vAlign w:val="center"/>
          </w:tcPr>
          <w:p w:rsidR="00EE56C0" w:rsidRPr="00505AD2" w:rsidRDefault="000F36A1">
            <w:pPr>
              <w:pStyle w:val="afa"/>
              <w:jc w:val="both"/>
              <w:rPr>
                <w:b/>
                <w:u w:val="single"/>
              </w:rPr>
            </w:pPr>
            <w:r w:rsidRPr="00505AD2">
              <w:rPr>
                <w:rFonts w:hint="eastAsia"/>
                <w:b/>
                <w:u w:val="single"/>
              </w:rPr>
              <w:t>本项目丝包专用漆</w:t>
            </w:r>
          </w:p>
          <w:p w:rsidR="00EE56C0" w:rsidRDefault="000F36A1" w:rsidP="00505AD2">
            <w:pPr>
              <w:pStyle w:val="afa"/>
              <w:jc w:val="both"/>
              <w:rPr>
                <w:bCs/>
                <w:u w:val="single"/>
              </w:rPr>
            </w:pPr>
            <w:r w:rsidRPr="00505AD2">
              <w:rPr>
                <w:rFonts w:hint="eastAsia"/>
                <w:b/>
                <w:u w:val="single"/>
              </w:rPr>
              <w:t>VOCs</w:t>
            </w:r>
            <w:r w:rsidRPr="00505AD2">
              <w:rPr>
                <w:rFonts w:hint="eastAsia"/>
                <w:b/>
                <w:u w:val="single"/>
              </w:rPr>
              <w:t>含量为</w:t>
            </w:r>
            <w:r w:rsidRPr="00505AD2">
              <w:rPr>
                <w:rFonts w:hint="eastAsia"/>
                <w:b/>
                <w:u w:val="single"/>
              </w:rPr>
              <w:t>3</w:t>
            </w:r>
            <w:r w:rsidR="00505AD2" w:rsidRPr="00505AD2">
              <w:rPr>
                <w:rFonts w:hint="eastAsia"/>
                <w:b/>
                <w:u w:val="single"/>
              </w:rPr>
              <w:t>30</w:t>
            </w:r>
            <w:r w:rsidRPr="00505AD2">
              <w:rPr>
                <w:rFonts w:hint="eastAsia"/>
                <w:b/>
                <w:u w:val="single"/>
              </w:rPr>
              <w:t>g/L</w:t>
            </w:r>
            <w:r w:rsidRPr="00505AD2">
              <w:rPr>
                <w:rFonts w:hint="eastAsia"/>
                <w:b/>
                <w:u w:val="single"/>
              </w:rPr>
              <w:t>、漆包线</w:t>
            </w:r>
            <w:r w:rsidR="00505AD2" w:rsidRPr="00505AD2">
              <w:rPr>
                <w:rFonts w:hint="eastAsia"/>
                <w:b/>
                <w:u w:val="single"/>
              </w:rPr>
              <w:t>聚酯漆</w:t>
            </w:r>
            <w:r w:rsidR="00505AD2" w:rsidRPr="00505AD2">
              <w:rPr>
                <w:rFonts w:hint="eastAsia"/>
                <w:b/>
                <w:u w:val="single"/>
              </w:rPr>
              <w:t>VOCs</w:t>
            </w:r>
            <w:r w:rsidR="00505AD2" w:rsidRPr="00505AD2">
              <w:rPr>
                <w:rFonts w:hint="eastAsia"/>
                <w:b/>
                <w:u w:val="single"/>
              </w:rPr>
              <w:t>含量为</w:t>
            </w:r>
            <w:r w:rsidR="00505AD2" w:rsidRPr="00505AD2">
              <w:rPr>
                <w:rFonts w:hint="eastAsia"/>
                <w:b/>
                <w:u w:val="single"/>
              </w:rPr>
              <w:t>344g/L</w:t>
            </w:r>
            <w:r w:rsidR="00505AD2" w:rsidRPr="00505AD2">
              <w:rPr>
                <w:rFonts w:hint="eastAsia"/>
                <w:b/>
                <w:u w:val="single"/>
              </w:rPr>
              <w:t>，聚酰胺酰亚胺漆</w:t>
            </w:r>
            <w:r w:rsidR="00505AD2" w:rsidRPr="00505AD2">
              <w:rPr>
                <w:rFonts w:hint="eastAsia"/>
                <w:b/>
                <w:u w:val="single"/>
              </w:rPr>
              <w:t>VOCs</w:t>
            </w:r>
            <w:r w:rsidR="00505AD2" w:rsidRPr="00505AD2">
              <w:rPr>
                <w:rFonts w:hint="eastAsia"/>
                <w:b/>
                <w:u w:val="single"/>
              </w:rPr>
              <w:t>含量</w:t>
            </w:r>
            <w:r w:rsidR="00505AD2" w:rsidRPr="00505AD2">
              <w:rPr>
                <w:rFonts w:hint="eastAsia"/>
                <w:b/>
                <w:u w:val="single"/>
              </w:rPr>
              <w:t>402g/L</w:t>
            </w:r>
            <w:r>
              <w:rPr>
                <w:rFonts w:hint="eastAsia"/>
                <w:u w:val="single"/>
              </w:rPr>
              <w:t>，参照《低挥发性有机化合物含量涂料产品技术要求》中表</w:t>
            </w:r>
            <w:r>
              <w:rPr>
                <w:rFonts w:hint="eastAsia"/>
                <w:u w:val="single"/>
              </w:rPr>
              <w:t>2</w:t>
            </w:r>
            <w:r>
              <w:rPr>
                <w:rFonts w:hint="eastAsia"/>
                <w:u w:val="single"/>
              </w:rPr>
              <w:t>金属基材防腐涂料（双组份涂料：面漆）</w:t>
            </w:r>
            <w:r>
              <w:rPr>
                <w:rFonts w:hint="eastAsia"/>
                <w:u w:val="single"/>
              </w:rPr>
              <w:t>450g/L</w:t>
            </w:r>
            <w:r>
              <w:rPr>
                <w:rFonts w:hint="eastAsia"/>
                <w:u w:val="single"/>
              </w:rPr>
              <w:t>限值要求进行对比，低于其限值要求，即所用漆料属于低挥发性有机化合物含量涂料。</w:t>
            </w:r>
          </w:p>
        </w:tc>
        <w:tc>
          <w:tcPr>
            <w:tcW w:w="532" w:type="pct"/>
            <w:vMerge w:val="restart"/>
            <w:vAlign w:val="center"/>
          </w:tcPr>
          <w:p w:rsidR="00EE56C0" w:rsidRDefault="000F36A1">
            <w:pPr>
              <w:pStyle w:val="afa"/>
              <w:rPr>
                <w:bCs/>
                <w:u w:val="single"/>
              </w:rPr>
            </w:pPr>
            <w:r>
              <w:rPr>
                <w:bCs/>
                <w:u w:val="single"/>
              </w:rPr>
              <w:t>满足</w:t>
            </w:r>
          </w:p>
          <w:p w:rsidR="00EE56C0" w:rsidRDefault="000F36A1">
            <w:pPr>
              <w:pStyle w:val="afa"/>
              <w:rPr>
                <w:bCs/>
                <w:u w:val="single"/>
              </w:rPr>
            </w:pPr>
            <w:r>
              <w:rPr>
                <w:bCs/>
                <w:u w:val="single"/>
              </w:rPr>
              <w:t>要求</w:t>
            </w:r>
          </w:p>
        </w:tc>
      </w:tr>
      <w:tr w:rsidR="00EE56C0">
        <w:trPr>
          <w:trHeight w:val="397"/>
        </w:trPr>
        <w:tc>
          <w:tcPr>
            <w:tcW w:w="517" w:type="pct"/>
            <w:vMerge/>
            <w:vAlign w:val="center"/>
          </w:tcPr>
          <w:p w:rsidR="00EE56C0" w:rsidRDefault="00EE56C0">
            <w:pPr>
              <w:pStyle w:val="afa"/>
              <w:rPr>
                <w:u w:val="single"/>
              </w:rPr>
            </w:pPr>
          </w:p>
        </w:tc>
        <w:tc>
          <w:tcPr>
            <w:tcW w:w="2713" w:type="pct"/>
            <w:vAlign w:val="center"/>
          </w:tcPr>
          <w:p w:rsidR="00EE56C0" w:rsidRDefault="000F36A1">
            <w:pPr>
              <w:pStyle w:val="afa"/>
              <w:jc w:val="both"/>
              <w:rPr>
                <w:bCs/>
                <w:u w:val="single"/>
              </w:rPr>
            </w:pPr>
            <w:r>
              <w:rPr>
                <w:u w:val="single"/>
              </w:rPr>
              <w:t>备注：对于申报</w:t>
            </w:r>
            <w:r>
              <w:rPr>
                <w:u w:val="single"/>
              </w:rPr>
              <w:t>A</w:t>
            </w:r>
            <w:r>
              <w:rPr>
                <w:u w:val="single"/>
              </w:rPr>
              <w:t>、</w:t>
            </w:r>
            <w:r>
              <w:rPr>
                <w:u w:val="single"/>
              </w:rPr>
              <w:t>B</w:t>
            </w:r>
            <w:r>
              <w:rPr>
                <w:u w:val="single"/>
              </w:rPr>
              <w:t>级的企业，若某一工序使用的涂料无低</w:t>
            </w:r>
            <w:r>
              <w:rPr>
                <w:u w:val="single"/>
              </w:rPr>
              <w:t xml:space="preserve"> VOCs </w:t>
            </w:r>
            <w:r>
              <w:rPr>
                <w:u w:val="single"/>
              </w:rPr>
              <w:t>含量涂料产品替代方案，其</w:t>
            </w:r>
            <w:r>
              <w:rPr>
                <w:u w:val="single"/>
              </w:rPr>
              <w:t xml:space="preserve"> VOCs </w:t>
            </w:r>
            <w:r>
              <w:rPr>
                <w:u w:val="single"/>
              </w:rPr>
              <w:t>含量应满足《船舶涂料中有害物质限量》（</w:t>
            </w:r>
            <w:r>
              <w:rPr>
                <w:u w:val="single"/>
              </w:rPr>
              <w:t>GB38469-2019</w:t>
            </w:r>
            <w:r>
              <w:rPr>
                <w:u w:val="single"/>
              </w:rPr>
              <w:t>）、《木器涂料中有害物质限量》（</w:t>
            </w:r>
            <w:r>
              <w:rPr>
                <w:u w:val="single"/>
              </w:rPr>
              <w:t>GB18581-2020</w:t>
            </w:r>
            <w:r>
              <w:rPr>
                <w:u w:val="single"/>
              </w:rPr>
              <w:t>）、《车辆涂料中有害物质限量》（</w:t>
            </w:r>
            <w:r>
              <w:rPr>
                <w:u w:val="single"/>
              </w:rPr>
              <w:t>GB24409-2020</w:t>
            </w:r>
            <w:r>
              <w:rPr>
                <w:u w:val="single"/>
              </w:rPr>
              <w:t>）、《工业防护涂料中有害物质限量》（</w:t>
            </w:r>
            <w:r>
              <w:rPr>
                <w:u w:val="single"/>
              </w:rPr>
              <w:t>GB30981-2020</w:t>
            </w:r>
            <w:r>
              <w:rPr>
                <w:u w:val="single"/>
              </w:rPr>
              <w:t>）等标准的要求。</w:t>
            </w:r>
          </w:p>
        </w:tc>
        <w:tc>
          <w:tcPr>
            <w:tcW w:w="1238" w:type="pct"/>
            <w:vMerge/>
            <w:vAlign w:val="center"/>
          </w:tcPr>
          <w:p w:rsidR="00EE56C0" w:rsidRDefault="00EE56C0">
            <w:pPr>
              <w:pStyle w:val="afa"/>
              <w:rPr>
                <w:bCs/>
                <w:u w:val="single"/>
              </w:rPr>
            </w:pPr>
          </w:p>
        </w:tc>
        <w:tc>
          <w:tcPr>
            <w:tcW w:w="532" w:type="pct"/>
            <w:vMerge/>
            <w:vAlign w:val="center"/>
          </w:tcPr>
          <w:p w:rsidR="00EE56C0" w:rsidRDefault="00EE56C0">
            <w:pPr>
              <w:pStyle w:val="afa"/>
              <w:rPr>
                <w:bCs/>
                <w:u w:val="single"/>
              </w:rPr>
            </w:pPr>
          </w:p>
        </w:tc>
      </w:tr>
      <w:tr w:rsidR="00EE56C0">
        <w:trPr>
          <w:trHeight w:val="397"/>
        </w:trPr>
        <w:tc>
          <w:tcPr>
            <w:tcW w:w="517" w:type="pct"/>
            <w:vAlign w:val="center"/>
          </w:tcPr>
          <w:p w:rsidR="00EE56C0" w:rsidRDefault="000F36A1">
            <w:pPr>
              <w:pStyle w:val="afa"/>
              <w:rPr>
                <w:bCs/>
                <w:u w:val="single"/>
              </w:rPr>
            </w:pPr>
            <w:r>
              <w:rPr>
                <w:u w:val="single"/>
              </w:rPr>
              <w:t>无组织排放</w:t>
            </w:r>
          </w:p>
        </w:tc>
        <w:tc>
          <w:tcPr>
            <w:tcW w:w="2713" w:type="pct"/>
            <w:vAlign w:val="center"/>
          </w:tcPr>
          <w:p w:rsidR="00EE56C0" w:rsidRDefault="000F36A1">
            <w:pPr>
              <w:pStyle w:val="afa"/>
              <w:jc w:val="both"/>
              <w:rPr>
                <w:u w:val="single"/>
              </w:rPr>
            </w:pPr>
            <w:r>
              <w:rPr>
                <w:rFonts w:eastAsia="宋体" w:cs="宋体"/>
                <w:color w:val="000000"/>
                <w:u w:val="single"/>
              </w:rPr>
              <w:t>1</w:t>
            </w:r>
            <w:r>
              <w:rPr>
                <w:rFonts w:eastAsia="宋体" w:cs="宋体"/>
                <w:color w:val="000000"/>
                <w:u w:val="single"/>
              </w:rPr>
              <w:t>、满足《挥发性有机物无组织排放控制标准》（</w:t>
            </w:r>
            <w:r>
              <w:rPr>
                <w:rFonts w:eastAsia="宋体" w:cs="宋体"/>
                <w:color w:val="000000"/>
                <w:u w:val="single"/>
              </w:rPr>
              <w:t>GB 37822-2019</w:t>
            </w:r>
            <w:r>
              <w:rPr>
                <w:rFonts w:eastAsia="宋体" w:cs="宋体"/>
                <w:color w:val="000000"/>
                <w:u w:val="single"/>
              </w:rPr>
              <w:t>）特别控制要求；</w:t>
            </w:r>
            <w:r>
              <w:rPr>
                <w:rFonts w:eastAsia="宋体" w:cs="宋体"/>
                <w:color w:val="000000"/>
                <w:u w:val="single"/>
              </w:rPr>
              <w:t>2</w:t>
            </w:r>
            <w:r>
              <w:rPr>
                <w:rFonts w:eastAsia="宋体" w:cs="宋体"/>
                <w:color w:val="000000"/>
                <w:u w:val="single"/>
              </w:rPr>
              <w:t>、</w:t>
            </w:r>
            <w:r>
              <w:rPr>
                <w:rFonts w:eastAsia="宋体" w:cs="宋体"/>
                <w:color w:val="000000"/>
                <w:u w:val="single"/>
              </w:rPr>
              <w:t>VOCs</w:t>
            </w:r>
            <w:r>
              <w:rPr>
                <w:rFonts w:eastAsia="宋体" w:cs="宋体"/>
                <w:color w:val="000000"/>
                <w:u w:val="single"/>
              </w:rPr>
              <w:t>物料存储于密闭容器或包装袋中，盛装</w:t>
            </w:r>
            <w:r>
              <w:rPr>
                <w:rFonts w:eastAsia="宋体" w:cs="宋体"/>
                <w:color w:val="000000"/>
                <w:u w:val="single"/>
              </w:rPr>
              <w:t>VOCs</w:t>
            </w:r>
            <w:r>
              <w:rPr>
                <w:rFonts w:eastAsia="宋体" w:cs="宋体"/>
                <w:color w:val="000000"/>
                <w:u w:val="single"/>
              </w:rPr>
              <w:t>物料的容器或包装袋存放于密闭负压的储库、料仓内；</w:t>
            </w:r>
            <w:r>
              <w:rPr>
                <w:rFonts w:eastAsia="宋体" w:cs="宋体"/>
                <w:color w:val="000000"/>
                <w:u w:val="single"/>
              </w:rPr>
              <w:t>3</w:t>
            </w:r>
            <w:r>
              <w:rPr>
                <w:rFonts w:eastAsia="宋体" w:cs="宋体"/>
                <w:color w:val="000000"/>
                <w:u w:val="single"/>
              </w:rPr>
              <w:t>、除大型工件特殊作业（例如，船舶制造行业的分段总组、船台、船坞、造船码头等涂装工序）外，调漆、喷漆、流平、烘干、清洗等工序在密闭设备或密闭负压空间内操作；</w:t>
            </w:r>
            <w:r>
              <w:rPr>
                <w:rFonts w:eastAsia="宋体" w:cs="宋体"/>
                <w:color w:val="000000"/>
                <w:u w:val="single"/>
              </w:rPr>
              <w:t>4</w:t>
            </w:r>
            <w:r>
              <w:rPr>
                <w:rFonts w:eastAsia="宋体" w:cs="宋体"/>
                <w:color w:val="000000"/>
                <w:u w:val="single"/>
              </w:rPr>
              <w:t>、密闭回收废清洗剂；</w:t>
            </w:r>
            <w:r>
              <w:rPr>
                <w:rFonts w:eastAsia="宋体" w:cs="宋体"/>
                <w:color w:val="000000"/>
                <w:u w:val="single"/>
              </w:rPr>
              <w:t>5</w:t>
            </w:r>
            <w:r>
              <w:rPr>
                <w:rFonts w:eastAsia="宋体" w:cs="宋体"/>
                <w:color w:val="000000"/>
                <w:u w:val="single"/>
              </w:rPr>
              <w:t>、建设干式喷漆房；使用湿式喷漆房时，循环水泵间和刮渣间应密闭，安装废气收集设施；</w:t>
            </w:r>
            <w:r>
              <w:rPr>
                <w:rFonts w:eastAsia="宋体" w:cs="宋体" w:hint="eastAsia"/>
                <w:color w:val="000000"/>
                <w:u w:val="single"/>
              </w:rPr>
              <w:t xml:space="preserve"> 6</w:t>
            </w:r>
            <w:r>
              <w:rPr>
                <w:rFonts w:eastAsia="宋体" w:cs="宋体" w:hint="eastAsia"/>
                <w:color w:val="000000"/>
                <w:u w:val="single"/>
              </w:rPr>
              <w:t>、采用静电喷涂、自动喷涂、高压无气喷涂或高流低压（</w:t>
            </w:r>
            <w:r>
              <w:rPr>
                <w:rFonts w:eastAsia="宋体" w:cs="宋体" w:hint="eastAsia"/>
                <w:color w:val="000000"/>
                <w:u w:val="single"/>
              </w:rPr>
              <w:t>HVLP</w:t>
            </w:r>
            <w:r>
              <w:rPr>
                <w:rFonts w:eastAsia="宋体" w:cs="宋体" w:hint="eastAsia"/>
                <w:color w:val="000000"/>
                <w:u w:val="single"/>
              </w:rPr>
              <w:t>）喷枪等高效涂装技术，不可使用手动空气喷涂技术；</w:t>
            </w:r>
          </w:p>
        </w:tc>
        <w:tc>
          <w:tcPr>
            <w:tcW w:w="1238" w:type="pct"/>
            <w:vAlign w:val="center"/>
          </w:tcPr>
          <w:p w:rsidR="00EE56C0" w:rsidRDefault="000F36A1">
            <w:pPr>
              <w:pStyle w:val="afa"/>
              <w:jc w:val="both"/>
              <w:rPr>
                <w:u w:val="single"/>
              </w:rPr>
            </w:pPr>
            <w:r>
              <w:rPr>
                <w:rFonts w:hint="eastAsia"/>
                <w:u w:val="single"/>
              </w:rPr>
              <w:t>1</w:t>
            </w:r>
            <w:r>
              <w:rPr>
                <w:rFonts w:hint="eastAsia"/>
                <w:u w:val="single"/>
              </w:rPr>
              <w:t>、根据无组织在线监测，满足</w:t>
            </w:r>
            <w:r>
              <w:rPr>
                <w:u w:val="single"/>
              </w:rPr>
              <w:t>《挥发性有机物无组织排放控制标准》（</w:t>
            </w:r>
            <w:r>
              <w:rPr>
                <w:u w:val="single"/>
              </w:rPr>
              <w:t>GB 37822-2019</w:t>
            </w:r>
            <w:r>
              <w:rPr>
                <w:u w:val="single"/>
              </w:rPr>
              <w:t>）特别控制要求</w:t>
            </w:r>
            <w:r>
              <w:rPr>
                <w:rFonts w:hint="eastAsia"/>
                <w:u w:val="single"/>
              </w:rPr>
              <w:t>。</w:t>
            </w:r>
          </w:p>
          <w:p w:rsidR="00EE56C0" w:rsidRDefault="000F36A1">
            <w:pPr>
              <w:pStyle w:val="afa"/>
              <w:jc w:val="both"/>
              <w:rPr>
                <w:u w:val="single"/>
              </w:rPr>
            </w:pPr>
            <w:r>
              <w:rPr>
                <w:rFonts w:hint="eastAsia"/>
                <w:u w:val="single"/>
              </w:rPr>
              <w:t>2</w:t>
            </w:r>
            <w:r>
              <w:rPr>
                <w:rFonts w:hint="eastAsia"/>
                <w:u w:val="single"/>
              </w:rPr>
              <w:t>、本项目用</w:t>
            </w:r>
            <w:r>
              <w:rPr>
                <w:u w:val="single"/>
              </w:rPr>
              <w:t>VOCs</w:t>
            </w:r>
            <w:r>
              <w:rPr>
                <w:u w:val="single"/>
              </w:rPr>
              <w:t>物料</w:t>
            </w:r>
            <w:r>
              <w:rPr>
                <w:rFonts w:hint="eastAsia"/>
                <w:u w:val="single"/>
              </w:rPr>
              <w:t>均为桶装，且</w:t>
            </w:r>
          </w:p>
          <w:p w:rsidR="00EE56C0" w:rsidRDefault="000F36A1">
            <w:pPr>
              <w:pStyle w:val="afa"/>
              <w:jc w:val="both"/>
              <w:rPr>
                <w:u w:val="single"/>
              </w:rPr>
            </w:pPr>
            <w:r>
              <w:rPr>
                <w:u w:val="single"/>
              </w:rPr>
              <w:t>存储于负压的储库内。</w:t>
            </w:r>
          </w:p>
          <w:p w:rsidR="00EE56C0" w:rsidRDefault="000F36A1">
            <w:pPr>
              <w:pStyle w:val="afa"/>
              <w:jc w:val="both"/>
              <w:rPr>
                <w:bCs/>
                <w:u w:val="single"/>
              </w:rPr>
            </w:pPr>
            <w:r>
              <w:rPr>
                <w:bCs/>
                <w:u w:val="single"/>
              </w:rPr>
              <w:t>3</w:t>
            </w:r>
            <w:r>
              <w:rPr>
                <w:bCs/>
                <w:u w:val="single"/>
              </w:rPr>
              <w:t>、</w:t>
            </w:r>
            <w:r>
              <w:rPr>
                <w:rFonts w:hint="eastAsia"/>
                <w:bCs/>
                <w:u w:val="single"/>
              </w:rPr>
              <w:t>本项目浸漆是在半封闭漆盒且负压空间内操作，烘干是在密闭</w:t>
            </w:r>
            <w:r>
              <w:rPr>
                <w:u w:val="single"/>
              </w:rPr>
              <w:t>设备内操作</w:t>
            </w:r>
            <w:r>
              <w:rPr>
                <w:rFonts w:hint="eastAsia"/>
                <w:u w:val="single"/>
              </w:rPr>
              <w:t>；</w:t>
            </w:r>
          </w:p>
          <w:p w:rsidR="00EE56C0" w:rsidRDefault="000F36A1">
            <w:pPr>
              <w:pStyle w:val="afa"/>
              <w:jc w:val="both"/>
              <w:rPr>
                <w:bCs/>
                <w:u w:val="single"/>
              </w:rPr>
            </w:pPr>
            <w:r>
              <w:rPr>
                <w:bCs/>
                <w:u w:val="single"/>
              </w:rPr>
              <w:t>4</w:t>
            </w:r>
            <w:r>
              <w:rPr>
                <w:bCs/>
                <w:u w:val="single"/>
              </w:rPr>
              <w:t>、</w:t>
            </w:r>
            <w:r>
              <w:rPr>
                <w:rFonts w:hint="eastAsia"/>
                <w:bCs/>
                <w:u w:val="single"/>
              </w:rPr>
              <w:t>本项目不涉及清洗剂；</w:t>
            </w:r>
          </w:p>
          <w:p w:rsidR="00EE56C0" w:rsidRDefault="000F36A1">
            <w:pPr>
              <w:pStyle w:val="afa"/>
              <w:jc w:val="both"/>
              <w:rPr>
                <w:bCs/>
                <w:u w:val="single"/>
              </w:rPr>
            </w:pPr>
            <w:r>
              <w:rPr>
                <w:bCs/>
                <w:u w:val="single"/>
              </w:rPr>
              <w:t>5</w:t>
            </w:r>
            <w:r>
              <w:rPr>
                <w:bCs/>
                <w:u w:val="single"/>
              </w:rPr>
              <w:t>、</w:t>
            </w:r>
            <w:r>
              <w:rPr>
                <w:rFonts w:hint="eastAsia"/>
                <w:bCs/>
                <w:u w:val="single"/>
              </w:rPr>
              <w:t>本项目为浸漆工艺，不涉及</w:t>
            </w:r>
            <w:r>
              <w:rPr>
                <w:u w:val="single"/>
              </w:rPr>
              <w:t>喷漆房</w:t>
            </w:r>
            <w:r>
              <w:rPr>
                <w:rFonts w:hint="eastAsia"/>
                <w:u w:val="single"/>
              </w:rPr>
              <w:t>；</w:t>
            </w:r>
          </w:p>
          <w:p w:rsidR="00EE56C0" w:rsidRDefault="000F36A1">
            <w:pPr>
              <w:pStyle w:val="afa"/>
              <w:jc w:val="both"/>
              <w:rPr>
                <w:bCs/>
                <w:u w:val="single"/>
              </w:rPr>
            </w:pPr>
            <w:r>
              <w:rPr>
                <w:bCs/>
                <w:u w:val="single"/>
              </w:rPr>
              <w:t>6</w:t>
            </w:r>
            <w:r>
              <w:rPr>
                <w:bCs/>
                <w:u w:val="single"/>
              </w:rPr>
              <w:t>：</w:t>
            </w:r>
            <w:r>
              <w:rPr>
                <w:rFonts w:hint="eastAsia"/>
                <w:bCs/>
                <w:u w:val="single"/>
              </w:rPr>
              <w:t>本项目为浸漆工艺，</w:t>
            </w:r>
            <w:r>
              <w:rPr>
                <w:bCs/>
                <w:u w:val="single"/>
              </w:rPr>
              <w:t>不涉及</w:t>
            </w:r>
            <w:r>
              <w:rPr>
                <w:u w:val="single"/>
              </w:rPr>
              <w:t>高效涂装技术</w:t>
            </w:r>
            <w:r>
              <w:rPr>
                <w:rFonts w:hint="eastAsia"/>
                <w:u w:val="single"/>
              </w:rPr>
              <w:t>、</w:t>
            </w:r>
            <w:r>
              <w:rPr>
                <w:u w:val="single"/>
              </w:rPr>
              <w:t>手动空气喷涂技术</w:t>
            </w:r>
            <w:r>
              <w:rPr>
                <w:rFonts w:hint="eastAsia"/>
                <w:u w:val="single"/>
              </w:rPr>
              <w:t>。</w:t>
            </w:r>
          </w:p>
        </w:tc>
        <w:tc>
          <w:tcPr>
            <w:tcW w:w="532" w:type="pct"/>
            <w:vAlign w:val="center"/>
          </w:tcPr>
          <w:p w:rsidR="00EE56C0" w:rsidRDefault="000F36A1">
            <w:pPr>
              <w:pStyle w:val="afa"/>
              <w:rPr>
                <w:bCs/>
                <w:u w:val="single"/>
              </w:rPr>
            </w:pPr>
            <w:r>
              <w:rPr>
                <w:bCs/>
                <w:u w:val="single"/>
              </w:rPr>
              <w:t>满足</w:t>
            </w:r>
          </w:p>
          <w:p w:rsidR="00EE56C0" w:rsidRDefault="000F36A1">
            <w:pPr>
              <w:pStyle w:val="afa"/>
              <w:rPr>
                <w:bCs/>
                <w:u w:val="single"/>
              </w:rPr>
            </w:pPr>
            <w:r>
              <w:rPr>
                <w:bCs/>
                <w:u w:val="single"/>
              </w:rPr>
              <w:t>要求</w:t>
            </w:r>
          </w:p>
        </w:tc>
      </w:tr>
      <w:tr w:rsidR="00EE56C0">
        <w:trPr>
          <w:trHeight w:val="397"/>
        </w:trPr>
        <w:tc>
          <w:tcPr>
            <w:tcW w:w="517" w:type="pct"/>
            <w:vMerge w:val="restart"/>
            <w:vAlign w:val="center"/>
          </w:tcPr>
          <w:p w:rsidR="00EE56C0" w:rsidRDefault="000F36A1">
            <w:pPr>
              <w:pStyle w:val="afa"/>
              <w:rPr>
                <w:bCs/>
                <w:u w:val="single"/>
              </w:rPr>
            </w:pPr>
            <w:r>
              <w:rPr>
                <w:u w:val="single"/>
              </w:rPr>
              <w:t xml:space="preserve">VOCs </w:t>
            </w:r>
            <w:r>
              <w:rPr>
                <w:u w:val="single"/>
              </w:rPr>
              <w:t>治污设施</w:t>
            </w:r>
          </w:p>
        </w:tc>
        <w:tc>
          <w:tcPr>
            <w:tcW w:w="2713" w:type="pct"/>
            <w:tcBorders>
              <w:bottom w:val="single" w:sz="4" w:space="0" w:color="auto"/>
            </w:tcBorders>
            <w:vAlign w:val="center"/>
          </w:tcPr>
          <w:p w:rsidR="00EE56C0" w:rsidRDefault="000F36A1">
            <w:pPr>
              <w:pStyle w:val="afa"/>
              <w:jc w:val="both"/>
              <w:rPr>
                <w:u w:val="single"/>
                <w:lang w:val="zh-CN" w:bidi="zh-CN"/>
              </w:rPr>
            </w:pPr>
            <w:r>
              <w:rPr>
                <w:u w:val="single"/>
                <w:lang w:val="zh-CN" w:bidi="zh-CN"/>
              </w:rPr>
              <w:t>1</w:t>
            </w:r>
            <w:r>
              <w:rPr>
                <w:u w:val="single"/>
                <w:lang w:val="zh-CN" w:bidi="zh-CN"/>
              </w:rPr>
              <w:t>、喷涂废气设置干式的石灰石、纸盒或湿式的文丘里等高效漆雾处理装置；</w:t>
            </w:r>
          </w:p>
        </w:tc>
        <w:tc>
          <w:tcPr>
            <w:tcW w:w="1238" w:type="pct"/>
            <w:tcBorders>
              <w:bottom w:val="single" w:sz="4" w:space="0" w:color="auto"/>
            </w:tcBorders>
            <w:vAlign w:val="center"/>
          </w:tcPr>
          <w:p w:rsidR="00EE56C0" w:rsidRDefault="000F36A1">
            <w:pPr>
              <w:pStyle w:val="afa"/>
              <w:rPr>
                <w:u w:val="single"/>
                <w:lang w:val="zh-CN" w:bidi="zh-CN"/>
              </w:rPr>
            </w:pPr>
            <w:r>
              <w:rPr>
                <w:u w:val="single"/>
                <w:lang w:val="zh-CN" w:bidi="zh-CN"/>
              </w:rPr>
              <w:t>1</w:t>
            </w:r>
            <w:r>
              <w:rPr>
                <w:u w:val="single"/>
                <w:lang w:val="zh-CN" w:bidi="zh-CN"/>
              </w:rPr>
              <w:t>、</w:t>
            </w:r>
            <w:r>
              <w:rPr>
                <w:rFonts w:hint="eastAsia"/>
                <w:u w:val="single"/>
                <w:lang w:val="zh-CN" w:bidi="zh-CN"/>
              </w:rPr>
              <w:t>本项目为浸漆工艺，不涉及</w:t>
            </w:r>
            <w:r>
              <w:rPr>
                <w:u w:val="single"/>
                <w:lang w:val="zh-CN" w:bidi="zh-CN"/>
              </w:rPr>
              <w:t>漆雾处理装置</w:t>
            </w:r>
            <w:r>
              <w:rPr>
                <w:rFonts w:hint="eastAsia"/>
                <w:u w:val="single"/>
                <w:lang w:val="zh-CN" w:bidi="zh-CN"/>
              </w:rPr>
              <w:t>；</w:t>
            </w:r>
          </w:p>
        </w:tc>
        <w:tc>
          <w:tcPr>
            <w:tcW w:w="532" w:type="pct"/>
            <w:tcBorders>
              <w:bottom w:val="single" w:sz="4" w:space="0" w:color="auto"/>
            </w:tcBorders>
            <w:vAlign w:val="center"/>
          </w:tcPr>
          <w:p w:rsidR="00EE56C0" w:rsidRDefault="00EE56C0">
            <w:pPr>
              <w:pStyle w:val="afa"/>
              <w:rPr>
                <w:u w:val="single"/>
                <w:lang w:val="zh-CN" w:bidi="zh-CN"/>
              </w:rPr>
            </w:pPr>
          </w:p>
        </w:tc>
      </w:tr>
      <w:tr w:rsidR="00EE56C0">
        <w:trPr>
          <w:trHeight w:val="397"/>
        </w:trPr>
        <w:tc>
          <w:tcPr>
            <w:tcW w:w="517" w:type="pct"/>
            <w:vMerge/>
            <w:vAlign w:val="center"/>
          </w:tcPr>
          <w:p w:rsidR="00EE56C0" w:rsidRDefault="00EE56C0">
            <w:pPr>
              <w:pStyle w:val="afa"/>
              <w:rPr>
                <w:u w:val="single"/>
              </w:rPr>
            </w:pPr>
          </w:p>
        </w:tc>
        <w:tc>
          <w:tcPr>
            <w:tcW w:w="2713" w:type="pct"/>
            <w:tcBorders>
              <w:top w:val="single" w:sz="4" w:space="0" w:color="auto"/>
              <w:bottom w:val="single" w:sz="4" w:space="0" w:color="auto"/>
            </w:tcBorders>
            <w:vAlign w:val="center"/>
          </w:tcPr>
          <w:p w:rsidR="00EE56C0" w:rsidRDefault="000F36A1">
            <w:pPr>
              <w:pStyle w:val="afa"/>
              <w:jc w:val="both"/>
              <w:rPr>
                <w:u w:val="single"/>
                <w:lang w:val="zh-CN" w:bidi="zh-CN"/>
              </w:rPr>
            </w:pPr>
            <w:r>
              <w:rPr>
                <w:u w:val="single"/>
                <w:lang w:val="zh-CN" w:bidi="zh-CN"/>
              </w:rPr>
              <w:t>2</w:t>
            </w:r>
            <w:r>
              <w:rPr>
                <w:u w:val="single"/>
                <w:lang w:val="zh-CN" w:bidi="zh-CN"/>
              </w:rPr>
              <w:t>、使用溶剂型涂料时，调漆、喷漆、流平、烘干、清洗等工序含</w:t>
            </w:r>
            <w:r>
              <w:rPr>
                <w:u w:val="single"/>
                <w:lang w:val="zh-CN" w:bidi="zh-CN"/>
              </w:rPr>
              <w:t>VOCs</w:t>
            </w:r>
            <w:r>
              <w:rPr>
                <w:u w:val="single"/>
                <w:lang w:val="zh-CN" w:bidi="zh-CN"/>
              </w:rPr>
              <w:t>废气采用吸附浓缩</w:t>
            </w:r>
            <w:r>
              <w:rPr>
                <w:u w:val="single"/>
                <w:lang w:val="zh-CN" w:bidi="zh-CN"/>
              </w:rPr>
              <w:t>+</w:t>
            </w:r>
            <w:r>
              <w:rPr>
                <w:u w:val="single"/>
                <w:lang w:val="zh-CN" w:bidi="zh-CN"/>
              </w:rPr>
              <w:t>燃烧、燃烧等治理技术，处理效率</w:t>
            </w:r>
            <w:r>
              <w:rPr>
                <w:u w:val="single"/>
                <w:lang w:val="zh-CN" w:bidi="zh-CN"/>
              </w:rPr>
              <w:t>≥</w:t>
            </w:r>
            <w:r>
              <w:rPr>
                <w:rFonts w:hint="eastAsia"/>
                <w:u w:val="single"/>
                <w:lang w:val="zh-CN" w:bidi="zh-CN"/>
              </w:rPr>
              <w:t>95</w:t>
            </w:r>
            <w:r>
              <w:rPr>
                <w:u w:val="single"/>
                <w:lang w:val="zh-CN" w:bidi="zh-CN"/>
              </w:rPr>
              <w:t>%</w:t>
            </w:r>
            <w:r>
              <w:rPr>
                <w:u w:val="single"/>
                <w:lang w:val="zh-CN" w:bidi="zh-CN"/>
              </w:rPr>
              <w:t>；</w:t>
            </w:r>
          </w:p>
        </w:tc>
        <w:tc>
          <w:tcPr>
            <w:tcW w:w="1238" w:type="pct"/>
            <w:tcBorders>
              <w:top w:val="single" w:sz="4" w:space="0" w:color="auto"/>
              <w:bottom w:val="single" w:sz="4" w:space="0" w:color="auto"/>
            </w:tcBorders>
            <w:vAlign w:val="center"/>
          </w:tcPr>
          <w:p w:rsidR="00EE56C0" w:rsidRDefault="000F36A1">
            <w:pPr>
              <w:pStyle w:val="afa"/>
              <w:rPr>
                <w:u w:val="single"/>
                <w:lang w:val="zh-CN" w:bidi="zh-CN"/>
              </w:rPr>
            </w:pPr>
            <w:r>
              <w:rPr>
                <w:rFonts w:hint="eastAsia"/>
                <w:u w:val="single"/>
                <w:lang w:val="zh-CN" w:bidi="zh-CN"/>
              </w:rPr>
              <w:t>本项目浸漆、烘干</w:t>
            </w:r>
            <w:r>
              <w:rPr>
                <w:u w:val="single"/>
                <w:lang w:val="zh-CN" w:bidi="zh-CN"/>
              </w:rPr>
              <w:t>等工序含</w:t>
            </w:r>
            <w:r>
              <w:rPr>
                <w:u w:val="single"/>
                <w:lang w:val="zh-CN" w:bidi="zh-CN"/>
              </w:rPr>
              <w:t>VOCs</w:t>
            </w:r>
            <w:r>
              <w:rPr>
                <w:u w:val="single"/>
                <w:lang w:val="zh-CN" w:bidi="zh-CN"/>
              </w:rPr>
              <w:t>废气采用</w:t>
            </w:r>
            <w:r>
              <w:rPr>
                <w:rFonts w:hint="eastAsia"/>
                <w:u w:val="single"/>
                <w:lang w:val="zh-CN" w:bidi="zh-CN"/>
              </w:rPr>
              <w:t>活性炭</w:t>
            </w:r>
            <w:r>
              <w:rPr>
                <w:u w:val="single"/>
                <w:lang w:val="zh-CN" w:bidi="zh-CN"/>
              </w:rPr>
              <w:t>吸附浓缩</w:t>
            </w:r>
            <w:r>
              <w:rPr>
                <w:rFonts w:hint="eastAsia"/>
                <w:u w:val="single"/>
                <w:lang w:val="zh-CN" w:bidi="zh-CN"/>
              </w:rPr>
              <w:t>-</w:t>
            </w:r>
            <w:r>
              <w:rPr>
                <w:rFonts w:hint="eastAsia"/>
                <w:u w:val="single"/>
                <w:lang w:val="zh-CN" w:bidi="zh-CN"/>
              </w:rPr>
              <w:t>催化</w:t>
            </w:r>
            <w:r>
              <w:rPr>
                <w:u w:val="single"/>
                <w:lang w:val="zh-CN" w:bidi="zh-CN"/>
              </w:rPr>
              <w:t>燃烧</w:t>
            </w:r>
            <w:r>
              <w:rPr>
                <w:rFonts w:hint="eastAsia"/>
                <w:u w:val="single"/>
                <w:lang w:val="zh-CN" w:bidi="zh-CN"/>
              </w:rPr>
              <w:t>装置处理，处理效率</w:t>
            </w:r>
            <w:r>
              <w:rPr>
                <w:u w:val="single"/>
                <w:lang w:val="zh-CN" w:bidi="zh-CN"/>
              </w:rPr>
              <w:t>≥</w:t>
            </w:r>
            <w:r>
              <w:rPr>
                <w:rFonts w:hint="eastAsia"/>
                <w:u w:val="single"/>
                <w:lang w:val="zh-CN" w:bidi="zh-CN"/>
              </w:rPr>
              <w:t>95</w:t>
            </w:r>
            <w:r>
              <w:rPr>
                <w:u w:val="single"/>
                <w:lang w:val="zh-CN" w:bidi="zh-CN"/>
              </w:rPr>
              <w:t>%</w:t>
            </w:r>
            <w:r>
              <w:rPr>
                <w:rFonts w:hint="eastAsia"/>
                <w:u w:val="single"/>
                <w:lang w:val="zh-CN" w:bidi="zh-CN"/>
              </w:rPr>
              <w:t>。</w:t>
            </w:r>
          </w:p>
        </w:tc>
        <w:tc>
          <w:tcPr>
            <w:tcW w:w="532" w:type="pct"/>
            <w:tcBorders>
              <w:top w:val="single" w:sz="4" w:space="0" w:color="auto"/>
              <w:bottom w:val="single" w:sz="4" w:space="0" w:color="auto"/>
            </w:tcBorders>
            <w:vAlign w:val="center"/>
          </w:tcPr>
          <w:p w:rsidR="00EE56C0" w:rsidRDefault="000F36A1">
            <w:pPr>
              <w:pStyle w:val="afa"/>
              <w:rPr>
                <w:szCs w:val="28"/>
                <w:u w:val="single"/>
              </w:rPr>
            </w:pPr>
            <w:r>
              <w:rPr>
                <w:rFonts w:hint="eastAsia"/>
                <w:szCs w:val="28"/>
                <w:u w:val="single"/>
              </w:rPr>
              <w:t>符合</w:t>
            </w:r>
          </w:p>
          <w:p w:rsidR="00EE56C0" w:rsidRDefault="000F36A1">
            <w:pPr>
              <w:pStyle w:val="afa"/>
              <w:rPr>
                <w:u w:val="single"/>
                <w:lang w:val="zh-CN" w:bidi="zh-CN"/>
              </w:rPr>
            </w:pPr>
            <w:r>
              <w:rPr>
                <w:rFonts w:hint="eastAsia"/>
                <w:szCs w:val="28"/>
                <w:u w:val="single"/>
              </w:rPr>
              <w:t>要求</w:t>
            </w:r>
          </w:p>
        </w:tc>
      </w:tr>
      <w:tr w:rsidR="00EE56C0">
        <w:trPr>
          <w:trHeight w:val="397"/>
        </w:trPr>
        <w:tc>
          <w:tcPr>
            <w:tcW w:w="517" w:type="pct"/>
            <w:vMerge/>
            <w:vAlign w:val="center"/>
          </w:tcPr>
          <w:p w:rsidR="00EE56C0" w:rsidRDefault="00EE56C0">
            <w:pPr>
              <w:pStyle w:val="afa"/>
              <w:rPr>
                <w:u w:val="single"/>
              </w:rPr>
            </w:pPr>
          </w:p>
        </w:tc>
        <w:tc>
          <w:tcPr>
            <w:tcW w:w="2713" w:type="pct"/>
            <w:tcBorders>
              <w:top w:val="single" w:sz="4" w:space="0" w:color="auto"/>
            </w:tcBorders>
            <w:vAlign w:val="center"/>
          </w:tcPr>
          <w:p w:rsidR="00EE56C0" w:rsidRDefault="000F36A1">
            <w:pPr>
              <w:pStyle w:val="afa"/>
              <w:jc w:val="both"/>
              <w:rPr>
                <w:u w:val="single"/>
                <w:lang w:val="zh-CN" w:bidi="zh-CN"/>
              </w:rPr>
            </w:pPr>
            <w:r>
              <w:rPr>
                <w:u w:val="single"/>
                <w:lang w:val="zh-CN" w:bidi="zh-CN"/>
              </w:rPr>
              <w:t>3</w:t>
            </w:r>
            <w:r>
              <w:rPr>
                <w:u w:val="single"/>
                <w:lang w:val="zh-CN" w:bidi="zh-CN"/>
              </w:rPr>
              <w:t>、使用水性涂料（含水性</w:t>
            </w:r>
            <w:r>
              <w:rPr>
                <w:u w:val="single"/>
                <w:lang w:val="zh-CN" w:bidi="zh-CN"/>
              </w:rPr>
              <w:t>UV</w:t>
            </w:r>
            <w:r>
              <w:rPr>
                <w:u w:val="single"/>
                <w:lang w:val="zh-CN" w:bidi="zh-CN"/>
              </w:rPr>
              <w:t>）时，</w:t>
            </w:r>
            <w:r>
              <w:rPr>
                <w:u w:val="single"/>
                <w:lang w:val="zh-CN" w:bidi="zh-CN"/>
              </w:rPr>
              <w:t xml:space="preserve"> </w:t>
            </w:r>
            <w:r>
              <w:rPr>
                <w:u w:val="single"/>
                <w:lang w:val="zh-CN" w:bidi="zh-CN"/>
              </w:rPr>
              <w:t>当车间或生产设施排气中</w:t>
            </w:r>
            <w:r>
              <w:rPr>
                <w:u w:val="single"/>
                <w:lang w:val="zh-CN" w:bidi="zh-CN"/>
              </w:rPr>
              <w:t>NMHC</w:t>
            </w:r>
            <w:r>
              <w:rPr>
                <w:u w:val="single"/>
                <w:lang w:val="zh-CN" w:bidi="zh-CN"/>
              </w:rPr>
              <w:t>初始排放速率</w:t>
            </w:r>
            <w:r>
              <w:rPr>
                <w:u w:val="single"/>
                <w:lang w:val="zh-CN" w:bidi="zh-CN"/>
              </w:rPr>
              <w:t>≥2 kg/h</w:t>
            </w:r>
            <w:r>
              <w:rPr>
                <w:u w:val="single"/>
                <w:lang w:val="zh-CN" w:bidi="zh-CN"/>
              </w:rPr>
              <w:t>时，建设末端治污设施</w:t>
            </w:r>
            <w:r>
              <w:rPr>
                <w:rFonts w:hint="eastAsia"/>
                <w:u w:val="single"/>
                <w:lang w:val="zh-CN" w:bidi="zh-CN"/>
              </w:rPr>
              <w:t>。</w:t>
            </w:r>
          </w:p>
        </w:tc>
        <w:tc>
          <w:tcPr>
            <w:tcW w:w="1238" w:type="pct"/>
            <w:tcBorders>
              <w:top w:val="single" w:sz="4" w:space="0" w:color="auto"/>
            </w:tcBorders>
            <w:vAlign w:val="center"/>
          </w:tcPr>
          <w:p w:rsidR="00EE56C0" w:rsidRDefault="000F36A1">
            <w:pPr>
              <w:pStyle w:val="afa"/>
              <w:rPr>
                <w:u w:val="single"/>
                <w:lang w:val="zh-CN" w:bidi="zh-CN"/>
              </w:rPr>
            </w:pPr>
            <w:r>
              <w:rPr>
                <w:rFonts w:hint="eastAsia"/>
                <w:u w:val="single"/>
                <w:lang w:val="zh-CN" w:bidi="zh-CN"/>
              </w:rPr>
              <w:t>本项目不涉及</w:t>
            </w:r>
            <w:r>
              <w:rPr>
                <w:u w:val="single"/>
                <w:lang w:val="zh-CN" w:bidi="zh-CN"/>
              </w:rPr>
              <w:t>水性涂料</w:t>
            </w:r>
            <w:r>
              <w:rPr>
                <w:rFonts w:hint="eastAsia"/>
                <w:u w:val="single"/>
                <w:lang w:val="zh-CN" w:bidi="zh-CN"/>
              </w:rPr>
              <w:t>的使用。</w:t>
            </w:r>
          </w:p>
        </w:tc>
        <w:tc>
          <w:tcPr>
            <w:tcW w:w="532" w:type="pct"/>
            <w:tcBorders>
              <w:top w:val="single" w:sz="4" w:space="0" w:color="auto"/>
            </w:tcBorders>
            <w:vAlign w:val="center"/>
          </w:tcPr>
          <w:p w:rsidR="00EE56C0" w:rsidRDefault="000F36A1">
            <w:pPr>
              <w:pStyle w:val="afa"/>
              <w:rPr>
                <w:u w:val="single"/>
                <w:lang w:val="zh-CN" w:bidi="zh-CN"/>
              </w:rPr>
            </w:pPr>
            <w:r>
              <w:rPr>
                <w:rFonts w:hint="eastAsia"/>
                <w:u w:val="single"/>
                <w:lang w:val="zh-CN" w:bidi="zh-CN"/>
              </w:rPr>
              <w:t>/</w:t>
            </w:r>
          </w:p>
        </w:tc>
      </w:tr>
      <w:tr w:rsidR="00EE56C0">
        <w:trPr>
          <w:trHeight w:val="397"/>
        </w:trPr>
        <w:tc>
          <w:tcPr>
            <w:tcW w:w="517" w:type="pct"/>
            <w:vMerge/>
            <w:vAlign w:val="center"/>
          </w:tcPr>
          <w:p w:rsidR="00EE56C0" w:rsidRDefault="00EE56C0">
            <w:pPr>
              <w:pStyle w:val="afa"/>
              <w:rPr>
                <w:bCs/>
                <w:u w:val="single"/>
              </w:rPr>
            </w:pPr>
          </w:p>
        </w:tc>
        <w:tc>
          <w:tcPr>
            <w:tcW w:w="2713" w:type="pct"/>
            <w:vAlign w:val="center"/>
          </w:tcPr>
          <w:p w:rsidR="00EE56C0" w:rsidRDefault="000F36A1">
            <w:pPr>
              <w:pStyle w:val="afa"/>
              <w:jc w:val="both"/>
              <w:rPr>
                <w:u w:val="single"/>
              </w:rPr>
            </w:pPr>
            <w:r>
              <w:rPr>
                <w:u w:val="single"/>
              </w:rPr>
              <w:t>备注：采用粉末涂料或</w:t>
            </w:r>
            <w:r>
              <w:rPr>
                <w:u w:val="single"/>
              </w:rPr>
              <w:t>VOCs</w:t>
            </w:r>
            <w:r>
              <w:rPr>
                <w:u w:val="single"/>
              </w:rPr>
              <w:t>含量</w:t>
            </w:r>
            <w:r>
              <w:rPr>
                <w:u w:val="single"/>
              </w:rPr>
              <w:t>≤60g/L</w:t>
            </w:r>
            <w:r>
              <w:rPr>
                <w:u w:val="single"/>
              </w:rPr>
              <w:t>的无溶剂涂料时，排放浓度稳定达标且排放速率、排放绩效等满足相关规定的，相应生产工序可不要求建设末端治理设施。</w:t>
            </w:r>
          </w:p>
        </w:tc>
        <w:tc>
          <w:tcPr>
            <w:tcW w:w="1238" w:type="pct"/>
            <w:vAlign w:val="center"/>
          </w:tcPr>
          <w:p w:rsidR="00EE56C0" w:rsidRDefault="000F36A1">
            <w:pPr>
              <w:pStyle w:val="afa"/>
              <w:rPr>
                <w:u w:val="single"/>
                <w:lang w:val="zh-CN" w:bidi="zh-CN"/>
              </w:rPr>
            </w:pPr>
            <w:r>
              <w:rPr>
                <w:u w:val="single"/>
                <w:lang w:val="zh-CN" w:bidi="zh-CN"/>
              </w:rPr>
              <w:t>/</w:t>
            </w:r>
          </w:p>
        </w:tc>
        <w:tc>
          <w:tcPr>
            <w:tcW w:w="532" w:type="pct"/>
            <w:vAlign w:val="center"/>
          </w:tcPr>
          <w:p w:rsidR="00EE56C0" w:rsidRDefault="000F36A1">
            <w:pPr>
              <w:pStyle w:val="afa"/>
              <w:rPr>
                <w:u w:val="single"/>
                <w:lang w:val="zh-CN" w:bidi="zh-CN"/>
              </w:rPr>
            </w:pPr>
            <w:r>
              <w:rPr>
                <w:u w:val="single"/>
                <w:lang w:val="zh-CN" w:bidi="zh-CN"/>
              </w:rPr>
              <w:t>/</w:t>
            </w:r>
          </w:p>
        </w:tc>
      </w:tr>
      <w:tr w:rsidR="00EE56C0">
        <w:trPr>
          <w:trHeight w:val="3947"/>
        </w:trPr>
        <w:tc>
          <w:tcPr>
            <w:tcW w:w="517" w:type="pct"/>
            <w:vMerge w:val="restart"/>
            <w:vAlign w:val="center"/>
          </w:tcPr>
          <w:p w:rsidR="00EE56C0" w:rsidRDefault="000F36A1">
            <w:pPr>
              <w:pStyle w:val="afa"/>
              <w:rPr>
                <w:bCs/>
                <w:u w:val="single"/>
              </w:rPr>
            </w:pPr>
            <w:r>
              <w:rPr>
                <w:u w:val="single"/>
              </w:rPr>
              <w:t>排放限值</w:t>
            </w:r>
          </w:p>
        </w:tc>
        <w:tc>
          <w:tcPr>
            <w:tcW w:w="2713" w:type="pct"/>
            <w:vAlign w:val="center"/>
          </w:tcPr>
          <w:p w:rsidR="00EE56C0" w:rsidRDefault="000F36A1">
            <w:pPr>
              <w:pStyle w:val="afa"/>
              <w:jc w:val="both"/>
              <w:rPr>
                <w:rFonts w:eastAsia="宋体" w:cs="宋体"/>
                <w:color w:val="000000"/>
                <w:u w:val="single"/>
              </w:rPr>
            </w:pPr>
            <w:r>
              <w:rPr>
                <w:rFonts w:eastAsia="宋体" w:cs="宋体" w:hint="eastAsia"/>
                <w:color w:val="000000"/>
                <w:u w:val="single"/>
              </w:rPr>
              <w:t>1</w:t>
            </w:r>
            <w:r>
              <w:rPr>
                <w:rFonts w:eastAsia="宋体" w:cs="宋体" w:hint="eastAsia"/>
                <w:color w:val="000000"/>
                <w:u w:val="single"/>
              </w:rPr>
              <w:t>、在连续一年的监测数据中，车间或生产</w:t>
            </w:r>
            <w:r>
              <w:rPr>
                <w:rFonts w:eastAsia="宋体" w:cs="宋体" w:hint="eastAsia"/>
                <w:u w:val="single"/>
              </w:rPr>
              <w:t>设施排气筒排放的</w:t>
            </w:r>
            <w:r>
              <w:rPr>
                <w:rFonts w:eastAsia="宋体" w:cs="宋体" w:hint="eastAsia"/>
                <w:u w:val="single"/>
              </w:rPr>
              <w:t>NMHC</w:t>
            </w:r>
            <w:r>
              <w:rPr>
                <w:rFonts w:eastAsia="宋体" w:cs="宋体" w:hint="eastAsia"/>
                <w:u w:val="single"/>
              </w:rPr>
              <w:t>为</w:t>
            </w:r>
            <w:r>
              <w:rPr>
                <w:rFonts w:eastAsia="宋体" w:cs="宋体" w:hint="eastAsia"/>
                <w:u w:val="single"/>
              </w:rPr>
              <w:t>20-30mg/m</w:t>
            </w:r>
            <w:r>
              <w:rPr>
                <w:rFonts w:eastAsia="宋体" w:cs="宋体" w:hint="eastAsia"/>
                <w:u w:val="single"/>
                <w:vertAlign w:val="superscript"/>
              </w:rPr>
              <w:t>3</w:t>
            </w:r>
            <w:r>
              <w:rPr>
                <w:rFonts w:eastAsia="宋体" w:cs="宋体" w:hint="eastAsia"/>
                <w:u w:val="single"/>
              </w:rPr>
              <w:t>、</w:t>
            </w:r>
            <w:r>
              <w:rPr>
                <w:rFonts w:eastAsia="宋体" w:cs="宋体" w:hint="eastAsia"/>
                <w:u w:val="single"/>
              </w:rPr>
              <w:t>TVOC</w:t>
            </w:r>
            <w:r>
              <w:rPr>
                <w:rFonts w:eastAsia="宋体" w:cs="宋体" w:hint="eastAsia"/>
                <w:u w:val="single"/>
              </w:rPr>
              <w:t>为</w:t>
            </w:r>
            <w:r>
              <w:rPr>
                <w:rFonts w:eastAsia="宋体" w:cs="宋体" w:hint="eastAsia"/>
                <w:u w:val="single"/>
              </w:rPr>
              <w:t>40-50mg/m</w:t>
            </w:r>
            <w:r>
              <w:rPr>
                <w:rFonts w:eastAsia="宋体" w:cs="宋体" w:hint="eastAsia"/>
                <w:u w:val="single"/>
                <w:vertAlign w:val="superscript"/>
              </w:rPr>
              <w:t>3</w:t>
            </w:r>
            <w:r>
              <w:rPr>
                <w:rFonts w:eastAsia="宋体" w:cs="宋体" w:hint="eastAsia"/>
                <w:color w:val="000000"/>
                <w:u w:val="single"/>
              </w:rPr>
              <w:t>；</w:t>
            </w:r>
          </w:p>
          <w:p w:rsidR="00EE56C0" w:rsidRDefault="000F36A1">
            <w:pPr>
              <w:pStyle w:val="afa"/>
              <w:jc w:val="both"/>
              <w:rPr>
                <w:rFonts w:eastAsia="宋体" w:cs="宋体"/>
                <w:color w:val="000000"/>
                <w:u w:val="single"/>
              </w:rPr>
            </w:pPr>
            <w:r>
              <w:rPr>
                <w:rFonts w:eastAsia="宋体" w:cs="宋体" w:hint="eastAsia"/>
                <w:color w:val="000000"/>
                <w:u w:val="single"/>
              </w:rPr>
              <w:t>2</w:t>
            </w:r>
            <w:r>
              <w:rPr>
                <w:rFonts w:eastAsia="宋体" w:cs="宋体" w:hint="eastAsia"/>
                <w:color w:val="000000"/>
                <w:u w:val="single"/>
              </w:rPr>
              <w:t>、厂区内无组织排放监控点</w:t>
            </w:r>
            <w:r>
              <w:rPr>
                <w:rFonts w:eastAsia="宋体" w:cs="宋体" w:hint="eastAsia"/>
                <w:color w:val="000000"/>
                <w:u w:val="single"/>
              </w:rPr>
              <w:t>NMHC</w:t>
            </w:r>
            <w:r>
              <w:rPr>
                <w:rFonts w:eastAsia="宋体" w:cs="宋体" w:hint="eastAsia"/>
                <w:color w:val="000000"/>
                <w:u w:val="single"/>
              </w:rPr>
              <w:t>的</w:t>
            </w:r>
            <w:r>
              <w:rPr>
                <w:rFonts w:eastAsia="宋体" w:cs="宋体" w:hint="eastAsia"/>
                <w:color w:val="000000"/>
                <w:u w:val="single"/>
              </w:rPr>
              <w:t>1h</w:t>
            </w:r>
            <w:r>
              <w:rPr>
                <w:rFonts w:eastAsia="宋体" w:cs="宋体" w:hint="eastAsia"/>
                <w:color w:val="000000"/>
                <w:u w:val="single"/>
              </w:rPr>
              <w:t>平均浓度值不超过</w:t>
            </w:r>
            <w:r>
              <w:rPr>
                <w:rFonts w:eastAsia="宋体" w:cs="宋体" w:hint="eastAsia"/>
                <w:color w:val="000000"/>
                <w:u w:val="single"/>
              </w:rPr>
              <w:t>6mg/m</w:t>
            </w:r>
            <w:r>
              <w:rPr>
                <w:rFonts w:eastAsia="宋体" w:cs="宋体" w:hint="eastAsia"/>
                <w:color w:val="000000"/>
                <w:u w:val="single"/>
                <w:vertAlign w:val="superscript"/>
              </w:rPr>
              <w:t>3</w:t>
            </w:r>
            <w:r>
              <w:rPr>
                <w:rFonts w:eastAsia="宋体" w:cs="宋体" w:hint="eastAsia"/>
                <w:color w:val="000000"/>
                <w:u w:val="single"/>
              </w:rPr>
              <w:t>、任意一次浓度值不超过</w:t>
            </w:r>
            <w:r>
              <w:rPr>
                <w:rFonts w:eastAsia="宋体" w:cs="宋体" w:hint="eastAsia"/>
                <w:color w:val="000000"/>
                <w:u w:val="single"/>
              </w:rPr>
              <w:t>20mg/m</w:t>
            </w:r>
            <w:r>
              <w:rPr>
                <w:rFonts w:eastAsia="宋体" w:cs="宋体" w:hint="eastAsia"/>
                <w:color w:val="000000"/>
                <w:u w:val="single"/>
                <w:vertAlign w:val="superscript"/>
              </w:rPr>
              <w:t>3</w:t>
            </w:r>
            <w:r>
              <w:rPr>
                <w:rFonts w:eastAsia="宋体" w:cs="宋体" w:hint="eastAsia"/>
                <w:color w:val="000000"/>
                <w:u w:val="single"/>
              </w:rPr>
              <w:t>；</w:t>
            </w:r>
          </w:p>
          <w:p w:rsidR="00EE56C0" w:rsidRDefault="000F36A1">
            <w:pPr>
              <w:pStyle w:val="afa"/>
              <w:jc w:val="both"/>
              <w:rPr>
                <w:u w:val="single"/>
                <w:lang w:val="zh-CN" w:bidi="zh-CN"/>
              </w:rPr>
            </w:pPr>
            <w:r>
              <w:rPr>
                <w:rFonts w:eastAsia="宋体" w:cs="宋体" w:hint="eastAsia"/>
                <w:color w:val="000000"/>
                <w:u w:val="single"/>
              </w:rPr>
              <w:t>3</w:t>
            </w:r>
            <w:r>
              <w:rPr>
                <w:rFonts w:eastAsia="宋体" w:cs="宋体" w:hint="eastAsia"/>
                <w:color w:val="000000"/>
                <w:u w:val="single"/>
              </w:rPr>
              <w:t>、其他各项污染物稳定达到现行排放控制要求，并从严地方要求；</w:t>
            </w:r>
          </w:p>
        </w:tc>
        <w:tc>
          <w:tcPr>
            <w:tcW w:w="1238" w:type="pct"/>
            <w:vMerge w:val="restart"/>
            <w:vAlign w:val="center"/>
          </w:tcPr>
          <w:p w:rsidR="00EE56C0" w:rsidRDefault="000F36A1">
            <w:pPr>
              <w:pStyle w:val="afa"/>
              <w:rPr>
                <w:u w:val="single"/>
                <w:lang w:val="zh-CN" w:bidi="zh-CN"/>
              </w:rPr>
            </w:pPr>
            <w:r>
              <w:rPr>
                <w:u w:val="single"/>
                <w:lang w:val="zh-CN" w:bidi="zh-CN"/>
              </w:rPr>
              <w:t>1</w:t>
            </w:r>
            <w:r>
              <w:rPr>
                <w:u w:val="single"/>
                <w:lang w:val="zh-CN" w:bidi="zh-CN"/>
              </w:rPr>
              <w:t>、</w:t>
            </w:r>
            <w:r>
              <w:rPr>
                <w:rFonts w:hint="eastAsia"/>
                <w:u w:val="single"/>
                <w:lang w:val="zh-CN" w:bidi="zh-CN"/>
              </w:rPr>
              <w:t>根据在线监控数据，现有工程于</w:t>
            </w:r>
            <w:r>
              <w:rPr>
                <w:rFonts w:hint="eastAsia"/>
                <w:u w:val="single"/>
                <w:lang w:val="zh-CN" w:bidi="zh-CN"/>
              </w:rPr>
              <w:t>2021</w:t>
            </w:r>
            <w:r>
              <w:rPr>
                <w:rFonts w:hint="eastAsia"/>
                <w:u w:val="single"/>
                <w:lang w:val="zh-CN" w:bidi="zh-CN"/>
              </w:rPr>
              <w:t>年整改到位后，截至目前</w:t>
            </w:r>
            <w:r>
              <w:rPr>
                <w:rFonts w:eastAsia="宋体" w:cs="宋体" w:hint="eastAsia"/>
                <w:color w:val="000000"/>
                <w:u w:val="single"/>
              </w:rPr>
              <w:t>的监测数据中，</w:t>
            </w:r>
            <w:r>
              <w:rPr>
                <w:u w:val="single"/>
                <w:lang w:val="zh-CN" w:bidi="zh-CN"/>
              </w:rPr>
              <w:t>车间排气筒排放的</w:t>
            </w:r>
            <w:r>
              <w:rPr>
                <w:u w:val="single"/>
                <w:lang w:val="zh-CN" w:bidi="zh-CN"/>
              </w:rPr>
              <w:t>NMHC</w:t>
            </w:r>
            <w:r>
              <w:rPr>
                <w:u w:val="single"/>
                <w:lang w:val="zh-CN" w:bidi="zh-CN"/>
              </w:rPr>
              <w:t>为</w:t>
            </w:r>
            <w:r>
              <w:rPr>
                <w:rFonts w:eastAsia="宋体" w:cs="宋体" w:hint="eastAsia"/>
                <w:u w:val="single"/>
              </w:rPr>
              <w:t>20-30</w:t>
            </w:r>
            <w:r>
              <w:rPr>
                <w:u w:val="single"/>
                <w:lang w:val="zh-CN" w:bidi="zh-CN"/>
              </w:rPr>
              <w:t>mg/m</w:t>
            </w:r>
            <w:r>
              <w:rPr>
                <w:u w:val="single"/>
                <w:vertAlign w:val="superscript"/>
                <w:lang w:val="zh-CN" w:bidi="zh-CN"/>
              </w:rPr>
              <w:t>3</w:t>
            </w:r>
            <w:r>
              <w:rPr>
                <w:rFonts w:hint="eastAsia"/>
                <w:u w:val="single"/>
                <w:lang w:val="zh-CN" w:bidi="zh-CN"/>
              </w:rPr>
              <w:t>，本项目建成后将</w:t>
            </w:r>
            <w:r>
              <w:rPr>
                <w:u w:val="single"/>
                <w:lang w:val="zh-CN" w:bidi="zh-CN"/>
              </w:rPr>
              <w:t>NMHC</w:t>
            </w:r>
            <w:r>
              <w:rPr>
                <w:rFonts w:hint="eastAsia"/>
                <w:u w:val="single"/>
                <w:lang w:val="zh-CN" w:bidi="zh-CN"/>
              </w:rPr>
              <w:t>排放控制在</w:t>
            </w:r>
            <w:r>
              <w:rPr>
                <w:rFonts w:eastAsia="宋体" w:cs="宋体" w:hint="eastAsia"/>
                <w:u w:val="single"/>
              </w:rPr>
              <w:t>20-30</w:t>
            </w:r>
            <w:r>
              <w:rPr>
                <w:u w:val="single"/>
                <w:lang w:val="zh-CN" w:bidi="zh-CN"/>
              </w:rPr>
              <w:t>mg/m</w:t>
            </w:r>
            <w:r>
              <w:rPr>
                <w:u w:val="single"/>
                <w:vertAlign w:val="superscript"/>
                <w:lang w:val="zh-CN" w:bidi="zh-CN"/>
              </w:rPr>
              <w:t>3</w:t>
            </w:r>
            <w:r>
              <w:rPr>
                <w:rFonts w:hint="eastAsia"/>
                <w:u w:val="single"/>
                <w:lang w:val="zh-CN" w:bidi="zh-CN"/>
              </w:rPr>
              <w:t>；</w:t>
            </w:r>
          </w:p>
          <w:p w:rsidR="00EE56C0" w:rsidRDefault="000F36A1">
            <w:pPr>
              <w:pStyle w:val="afa"/>
              <w:rPr>
                <w:u w:val="single"/>
                <w:lang w:val="zh-CN" w:bidi="zh-CN"/>
              </w:rPr>
            </w:pPr>
            <w:r>
              <w:rPr>
                <w:rFonts w:hint="eastAsia"/>
                <w:u w:val="single"/>
                <w:lang w:val="zh-CN" w:bidi="zh-CN"/>
              </w:rPr>
              <w:t>2</w:t>
            </w:r>
            <w:r>
              <w:rPr>
                <w:rFonts w:hint="eastAsia"/>
                <w:u w:val="single"/>
                <w:lang w:val="zh-CN" w:bidi="zh-CN"/>
              </w:rPr>
              <w:t>、根据在线监控数据，</w:t>
            </w:r>
            <w:r>
              <w:rPr>
                <w:u w:val="single"/>
                <w:lang w:val="zh-CN" w:bidi="zh-CN"/>
              </w:rPr>
              <w:t>厂区内无组织排放监控点</w:t>
            </w:r>
            <w:r>
              <w:rPr>
                <w:u w:val="single"/>
                <w:lang w:val="zh-CN" w:bidi="zh-CN"/>
              </w:rPr>
              <w:t>NMHC</w:t>
            </w:r>
            <w:r>
              <w:rPr>
                <w:u w:val="single"/>
                <w:lang w:val="zh-CN" w:bidi="zh-CN"/>
              </w:rPr>
              <w:t>的</w:t>
            </w:r>
            <w:r>
              <w:rPr>
                <w:u w:val="single"/>
                <w:lang w:val="zh-CN" w:bidi="zh-CN"/>
              </w:rPr>
              <w:t>1h</w:t>
            </w:r>
            <w:r>
              <w:rPr>
                <w:u w:val="single"/>
                <w:lang w:val="zh-CN" w:bidi="zh-CN"/>
              </w:rPr>
              <w:t>平均浓度值不超过</w:t>
            </w:r>
            <w:r>
              <w:rPr>
                <w:u w:val="single"/>
                <w:lang w:val="zh-CN" w:bidi="zh-CN"/>
              </w:rPr>
              <w:t>6mg/m</w:t>
            </w:r>
            <w:r>
              <w:rPr>
                <w:u w:val="single"/>
                <w:vertAlign w:val="superscript"/>
                <w:lang w:val="zh-CN" w:bidi="zh-CN"/>
              </w:rPr>
              <w:t>3</w:t>
            </w:r>
            <w:r>
              <w:rPr>
                <w:rFonts w:hint="eastAsia"/>
                <w:u w:val="single"/>
                <w:lang w:val="zh-CN" w:bidi="zh-CN"/>
              </w:rPr>
              <w:t>，建成后控制</w:t>
            </w:r>
            <w:r>
              <w:rPr>
                <w:u w:val="single"/>
                <w:lang w:val="zh-CN" w:bidi="zh-CN"/>
              </w:rPr>
              <w:t>NMHC</w:t>
            </w:r>
            <w:r>
              <w:rPr>
                <w:u w:val="single"/>
                <w:lang w:val="zh-CN" w:bidi="zh-CN"/>
              </w:rPr>
              <w:t>的</w:t>
            </w:r>
            <w:r>
              <w:rPr>
                <w:u w:val="single"/>
                <w:lang w:val="zh-CN" w:bidi="zh-CN"/>
              </w:rPr>
              <w:t>1h</w:t>
            </w:r>
            <w:r>
              <w:rPr>
                <w:u w:val="single"/>
                <w:lang w:val="zh-CN" w:bidi="zh-CN"/>
              </w:rPr>
              <w:t>平均浓度值不超过</w:t>
            </w:r>
            <w:r>
              <w:rPr>
                <w:u w:val="single"/>
                <w:lang w:val="zh-CN" w:bidi="zh-CN"/>
              </w:rPr>
              <w:t>6mg/m</w:t>
            </w:r>
            <w:r>
              <w:rPr>
                <w:u w:val="single"/>
                <w:vertAlign w:val="superscript"/>
                <w:lang w:val="zh-CN" w:bidi="zh-CN"/>
              </w:rPr>
              <w:t>3</w:t>
            </w:r>
            <w:r>
              <w:rPr>
                <w:u w:val="single"/>
                <w:lang w:val="zh-CN" w:bidi="zh-CN"/>
              </w:rPr>
              <w:t>、任意一次浓度值不超过</w:t>
            </w:r>
            <w:r>
              <w:rPr>
                <w:u w:val="single"/>
                <w:lang w:val="zh-CN" w:bidi="zh-CN"/>
              </w:rPr>
              <w:t>20mg/m</w:t>
            </w:r>
            <w:r>
              <w:rPr>
                <w:u w:val="single"/>
                <w:vertAlign w:val="superscript"/>
                <w:lang w:val="zh-CN" w:bidi="zh-CN"/>
              </w:rPr>
              <w:t>3</w:t>
            </w:r>
            <w:r>
              <w:rPr>
                <w:rFonts w:hint="eastAsia"/>
                <w:u w:val="single"/>
                <w:lang w:val="zh-CN" w:bidi="zh-CN"/>
              </w:rPr>
              <w:t>。</w:t>
            </w:r>
          </w:p>
        </w:tc>
        <w:tc>
          <w:tcPr>
            <w:tcW w:w="532" w:type="pct"/>
            <w:vMerge w:val="restart"/>
            <w:vAlign w:val="center"/>
          </w:tcPr>
          <w:p w:rsidR="00EE56C0" w:rsidRDefault="000F36A1">
            <w:pPr>
              <w:pStyle w:val="afa"/>
              <w:rPr>
                <w:szCs w:val="28"/>
                <w:u w:val="single"/>
              </w:rPr>
            </w:pPr>
            <w:r>
              <w:rPr>
                <w:rFonts w:hint="eastAsia"/>
                <w:szCs w:val="28"/>
                <w:u w:val="single"/>
              </w:rPr>
              <w:t>符合</w:t>
            </w:r>
          </w:p>
          <w:p w:rsidR="00EE56C0" w:rsidRDefault="000F36A1">
            <w:pPr>
              <w:pStyle w:val="afa"/>
              <w:rPr>
                <w:u w:val="single"/>
                <w:lang w:val="zh-CN" w:bidi="zh-CN"/>
              </w:rPr>
            </w:pPr>
            <w:r>
              <w:rPr>
                <w:rFonts w:hint="eastAsia"/>
                <w:szCs w:val="28"/>
                <w:u w:val="single"/>
              </w:rPr>
              <w:t>要求</w:t>
            </w:r>
          </w:p>
        </w:tc>
      </w:tr>
      <w:tr w:rsidR="00EE56C0">
        <w:trPr>
          <w:trHeight w:val="397"/>
        </w:trPr>
        <w:tc>
          <w:tcPr>
            <w:tcW w:w="517" w:type="pct"/>
            <w:vMerge/>
            <w:vAlign w:val="center"/>
          </w:tcPr>
          <w:p w:rsidR="00EE56C0" w:rsidRDefault="00EE56C0">
            <w:pPr>
              <w:pStyle w:val="afa"/>
              <w:rPr>
                <w:bCs/>
                <w:u w:val="single"/>
              </w:rPr>
            </w:pPr>
          </w:p>
        </w:tc>
        <w:tc>
          <w:tcPr>
            <w:tcW w:w="2713" w:type="pct"/>
            <w:vAlign w:val="center"/>
          </w:tcPr>
          <w:p w:rsidR="00EE56C0" w:rsidRDefault="000F36A1">
            <w:pPr>
              <w:pStyle w:val="afa"/>
              <w:jc w:val="both"/>
              <w:rPr>
                <w:bCs/>
                <w:u w:val="single"/>
              </w:rPr>
            </w:pPr>
            <w:r>
              <w:rPr>
                <w:u w:val="single"/>
              </w:rPr>
              <w:t>备注：车间或生产设施排气筒排放的</w:t>
            </w:r>
            <w:r>
              <w:rPr>
                <w:u w:val="single"/>
              </w:rPr>
              <w:t>TVOC</w:t>
            </w:r>
            <w:r>
              <w:rPr>
                <w:u w:val="single"/>
              </w:rPr>
              <w:t>浓度限值要求待相应的监测标准发布后执行。</w:t>
            </w:r>
          </w:p>
        </w:tc>
        <w:tc>
          <w:tcPr>
            <w:tcW w:w="1238" w:type="pct"/>
            <w:vMerge/>
            <w:vAlign w:val="center"/>
          </w:tcPr>
          <w:p w:rsidR="00EE56C0" w:rsidRDefault="00EE56C0">
            <w:pPr>
              <w:pStyle w:val="afa"/>
              <w:rPr>
                <w:bCs/>
                <w:u w:val="single"/>
              </w:rPr>
            </w:pPr>
          </w:p>
        </w:tc>
        <w:tc>
          <w:tcPr>
            <w:tcW w:w="532" w:type="pct"/>
            <w:vMerge/>
            <w:vAlign w:val="center"/>
          </w:tcPr>
          <w:p w:rsidR="00EE56C0" w:rsidRDefault="00EE56C0">
            <w:pPr>
              <w:pStyle w:val="afa"/>
              <w:rPr>
                <w:bCs/>
                <w:u w:val="single"/>
              </w:rPr>
            </w:pPr>
          </w:p>
        </w:tc>
      </w:tr>
      <w:tr w:rsidR="00EE56C0">
        <w:trPr>
          <w:trHeight w:val="3184"/>
        </w:trPr>
        <w:tc>
          <w:tcPr>
            <w:tcW w:w="517" w:type="pct"/>
            <w:vAlign w:val="center"/>
          </w:tcPr>
          <w:p w:rsidR="00EE56C0" w:rsidRDefault="00EE56C0">
            <w:pPr>
              <w:pStyle w:val="afa"/>
              <w:rPr>
                <w:u w:val="single"/>
              </w:rPr>
            </w:pPr>
          </w:p>
          <w:p w:rsidR="00EE56C0" w:rsidRDefault="000F36A1">
            <w:pPr>
              <w:pStyle w:val="afa"/>
              <w:rPr>
                <w:u w:val="single"/>
              </w:rPr>
            </w:pPr>
            <w:r>
              <w:rPr>
                <w:u w:val="single"/>
              </w:rPr>
              <w:t>监测监控水平</w:t>
            </w:r>
          </w:p>
        </w:tc>
        <w:tc>
          <w:tcPr>
            <w:tcW w:w="2713" w:type="pct"/>
          </w:tcPr>
          <w:p w:rsidR="00EE56C0" w:rsidRDefault="000F36A1">
            <w:pPr>
              <w:spacing w:line="400" w:lineRule="exact"/>
              <w:ind w:firstLineChars="0" w:firstLine="0"/>
              <w:jc w:val="left"/>
              <w:rPr>
                <w:rFonts w:cs="宋体"/>
                <w:color w:val="000000"/>
                <w:sz w:val="21"/>
                <w:szCs w:val="21"/>
                <w:u w:val="single"/>
              </w:rPr>
            </w:pPr>
            <w:r>
              <w:rPr>
                <w:rFonts w:cs="宋体" w:hint="eastAsia"/>
                <w:color w:val="000000"/>
                <w:sz w:val="21"/>
                <w:szCs w:val="21"/>
                <w:u w:val="single"/>
              </w:rPr>
              <w:t>1</w:t>
            </w:r>
            <w:r>
              <w:rPr>
                <w:rFonts w:cs="宋体" w:hint="eastAsia"/>
                <w:color w:val="000000"/>
                <w:sz w:val="21"/>
                <w:szCs w:val="21"/>
                <w:u w:val="single"/>
              </w:rPr>
              <w:t>、严格执行《排污许可证申请与核发技术规范总则》（</w:t>
            </w:r>
            <w:r>
              <w:rPr>
                <w:rFonts w:cs="宋体" w:hint="eastAsia"/>
                <w:color w:val="000000"/>
                <w:sz w:val="21"/>
                <w:szCs w:val="21"/>
                <w:u w:val="single"/>
              </w:rPr>
              <w:t>HJ 942</w:t>
            </w:r>
            <w:r>
              <w:rPr>
                <w:rFonts w:cs="宋体" w:hint="eastAsia"/>
                <w:color w:val="000000"/>
                <w:sz w:val="21"/>
                <w:szCs w:val="21"/>
                <w:u w:val="single"/>
              </w:rPr>
              <w:t>－</w:t>
            </w:r>
            <w:r>
              <w:rPr>
                <w:rFonts w:cs="宋体" w:hint="eastAsia"/>
                <w:color w:val="000000"/>
                <w:sz w:val="21"/>
                <w:szCs w:val="21"/>
                <w:u w:val="single"/>
              </w:rPr>
              <w:t>2018</w:t>
            </w:r>
            <w:r>
              <w:rPr>
                <w:rFonts w:cs="宋体" w:hint="eastAsia"/>
                <w:color w:val="000000"/>
                <w:sz w:val="21"/>
                <w:szCs w:val="21"/>
                <w:u w:val="single"/>
              </w:rPr>
              <w:t>）以及相关行业排污许可证申请与核发技术规范规定的自行监测管理要求；</w:t>
            </w:r>
          </w:p>
          <w:p w:rsidR="00EE56C0" w:rsidRDefault="000F36A1">
            <w:pPr>
              <w:spacing w:line="400" w:lineRule="exact"/>
              <w:ind w:firstLineChars="0" w:firstLine="0"/>
              <w:jc w:val="left"/>
              <w:rPr>
                <w:rFonts w:cs="宋体"/>
                <w:color w:val="000000"/>
                <w:sz w:val="21"/>
                <w:szCs w:val="21"/>
                <w:u w:val="single"/>
              </w:rPr>
            </w:pPr>
            <w:r>
              <w:rPr>
                <w:rFonts w:cs="宋体" w:hint="eastAsia"/>
                <w:color w:val="000000"/>
                <w:sz w:val="21"/>
                <w:szCs w:val="21"/>
                <w:u w:val="single"/>
              </w:rPr>
              <w:t>2</w:t>
            </w:r>
            <w:r>
              <w:rPr>
                <w:rFonts w:cs="宋体" w:hint="eastAsia"/>
                <w:color w:val="000000"/>
                <w:sz w:val="21"/>
                <w:szCs w:val="21"/>
                <w:u w:val="single"/>
              </w:rPr>
              <w:t>、重点排污企业风量大于</w:t>
            </w:r>
            <w:r>
              <w:rPr>
                <w:rFonts w:cs="宋体" w:hint="eastAsia"/>
                <w:color w:val="000000"/>
                <w:sz w:val="21"/>
                <w:szCs w:val="21"/>
                <w:u w:val="single"/>
              </w:rPr>
              <w:t>10000 m</w:t>
            </w:r>
            <w:r>
              <w:rPr>
                <w:rFonts w:cs="宋体" w:hint="eastAsia"/>
                <w:color w:val="000000"/>
                <w:sz w:val="21"/>
                <w:szCs w:val="21"/>
                <w:u w:val="single"/>
                <w:vertAlign w:val="superscript"/>
              </w:rPr>
              <w:t>3</w:t>
            </w:r>
            <w:r>
              <w:rPr>
                <w:rFonts w:cs="宋体" w:hint="eastAsia"/>
                <w:color w:val="000000"/>
                <w:sz w:val="21"/>
                <w:szCs w:val="21"/>
                <w:u w:val="single"/>
              </w:rPr>
              <w:t>/h</w:t>
            </w:r>
            <w:r>
              <w:rPr>
                <w:rFonts w:cs="宋体" w:hint="eastAsia"/>
                <w:color w:val="000000"/>
                <w:sz w:val="21"/>
                <w:szCs w:val="21"/>
                <w:u w:val="single"/>
              </w:rPr>
              <w:t>的主要排放口，有机废气排放口安装</w:t>
            </w:r>
            <w:r>
              <w:rPr>
                <w:rFonts w:cs="宋体" w:hint="eastAsia"/>
                <w:color w:val="000000"/>
                <w:sz w:val="21"/>
                <w:szCs w:val="21"/>
                <w:u w:val="single"/>
              </w:rPr>
              <w:t>NMHC</w:t>
            </w:r>
            <w:r>
              <w:rPr>
                <w:rFonts w:cs="宋体" w:hint="eastAsia"/>
                <w:color w:val="000000"/>
                <w:sz w:val="21"/>
                <w:szCs w:val="21"/>
                <w:u w:val="single"/>
              </w:rPr>
              <w:t>在线监测设施（</w:t>
            </w:r>
            <w:r>
              <w:rPr>
                <w:rFonts w:cs="宋体" w:hint="eastAsia"/>
                <w:color w:val="000000"/>
                <w:sz w:val="21"/>
                <w:szCs w:val="21"/>
                <w:u w:val="single"/>
              </w:rPr>
              <w:t>FID</w:t>
            </w:r>
            <w:r>
              <w:rPr>
                <w:rFonts w:cs="宋体" w:hint="eastAsia"/>
                <w:color w:val="000000"/>
                <w:sz w:val="21"/>
                <w:szCs w:val="21"/>
                <w:u w:val="single"/>
              </w:rPr>
              <w:t>检测器），自动监控数据保存一年以上；</w:t>
            </w:r>
          </w:p>
          <w:p w:rsidR="00EE56C0" w:rsidRDefault="000F36A1">
            <w:pPr>
              <w:spacing w:line="400" w:lineRule="exact"/>
              <w:ind w:firstLineChars="0" w:firstLine="0"/>
              <w:jc w:val="left"/>
              <w:rPr>
                <w:rFonts w:cs="宋体"/>
                <w:color w:val="000000"/>
                <w:sz w:val="21"/>
                <w:szCs w:val="21"/>
                <w:u w:val="single"/>
              </w:rPr>
            </w:pPr>
            <w:r>
              <w:rPr>
                <w:rFonts w:cs="宋体" w:hint="eastAsia"/>
                <w:color w:val="000000"/>
                <w:sz w:val="21"/>
                <w:szCs w:val="21"/>
                <w:u w:val="single"/>
              </w:rPr>
              <w:t>3</w:t>
            </w:r>
            <w:r>
              <w:rPr>
                <w:rFonts w:cs="宋体" w:hint="eastAsia"/>
                <w:color w:val="000000"/>
                <w:sz w:val="21"/>
                <w:szCs w:val="21"/>
                <w:u w:val="single"/>
              </w:rPr>
              <w:t>、安装</w:t>
            </w:r>
            <w:r>
              <w:rPr>
                <w:rFonts w:cs="宋体" w:hint="eastAsia"/>
                <w:color w:val="000000"/>
                <w:sz w:val="21"/>
                <w:szCs w:val="21"/>
                <w:u w:val="single"/>
              </w:rPr>
              <w:t>DCS</w:t>
            </w:r>
            <w:r>
              <w:rPr>
                <w:rFonts w:cs="宋体" w:hint="eastAsia"/>
                <w:color w:val="000000"/>
                <w:sz w:val="21"/>
                <w:szCs w:val="21"/>
                <w:u w:val="single"/>
              </w:rPr>
              <w:t>系统、仪器仪表等装置，连续测量并记录治理设施控制指标温度、压力（压差）、时间和频率值。再生式活性炭连续自动测量并记录温度、再生时间和更换周期；更换式活性炭记录温度、更换周期及更换量；数据保存一年以上。</w:t>
            </w:r>
          </w:p>
        </w:tc>
        <w:tc>
          <w:tcPr>
            <w:tcW w:w="1238" w:type="pct"/>
            <w:vAlign w:val="center"/>
          </w:tcPr>
          <w:p w:rsidR="00EE56C0" w:rsidRDefault="000F36A1">
            <w:pPr>
              <w:pStyle w:val="afa"/>
              <w:jc w:val="both"/>
              <w:rPr>
                <w:u w:val="single"/>
              </w:rPr>
            </w:pPr>
            <w:r>
              <w:rPr>
                <w:bCs/>
                <w:u w:val="single"/>
              </w:rPr>
              <w:t>1</w:t>
            </w:r>
            <w:r>
              <w:rPr>
                <w:bCs/>
                <w:u w:val="single"/>
              </w:rPr>
              <w:t>、</w:t>
            </w:r>
            <w:r>
              <w:rPr>
                <w:u w:val="single"/>
              </w:rPr>
              <w:t>自行监测管理要求符合</w:t>
            </w:r>
            <w:r>
              <w:rPr>
                <w:spacing w:val="-13"/>
                <w:u w:val="single"/>
              </w:rPr>
              <w:t>《排污许可证申请与核发</w:t>
            </w:r>
            <w:r>
              <w:rPr>
                <w:spacing w:val="-21"/>
                <w:u w:val="single"/>
              </w:rPr>
              <w:t>技术规范</w:t>
            </w:r>
            <w:r>
              <w:rPr>
                <w:spacing w:val="-21"/>
                <w:u w:val="single"/>
              </w:rPr>
              <w:t xml:space="preserve"> </w:t>
            </w:r>
            <w:r>
              <w:rPr>
                <w:spacing w:val="-21"/>
                <w:u w:val="single"/>
              </w:rPr>
              <w:t>总则》</w:t>
            </w:r>
            <w:r>
              <w:rPr>
                <w:u w:val="single"/>
              </w:rPr>
              <w:t>（</w:t>
            </w:r>
            <w:r>
              <w:rPr>
                <w:u w:val="single"/>
              </w:rPr>
              <w:t>HJ942</w:t>
            </w:r>
            <w:r>
              <w:rPr>
                <w:rFonts w:hint="eastAsia"/>
                <w:u w:val="single"/>
              </w:rPr>
              <w:t>-</w:t>
            </w:r>
            <w:r>
              <w:rPr>
                <w:u w:val="single"/>
              </w:rPr>
              <w:t>2018</w:t>
            </w:r>
            <w:r>
              <w:rPr>
                <w:u w:val="single"/>
              </w:rPr>
              <w:t>）要求；</w:t>
            </w:r>
          </w:p>
          <w:p w:rsidR="00EE56C0" w:rsidRDefault="000F36A1">
            <w:pPr>
              <w:pStyle w:val="afa"/>
              <w:jc w:val="both"/>
              <w:rPr>
                <w:spacing w:val="-2"/>
                <w:u w:val="single"/>
              </w:rPr>
            </w:pPr>
            <w:r>
              <w:rPr>
                <w:u w:val="single"/>
              </w:rPr>
              <w:t>2</w:t>
            </w:r>
            <w:r>
              <w:rPr>
                <w:u w:val="single"/>
              </w:rPr>
              <w:t>、评价要求建成后在</w:t>
            </w:r>
            <w:r>
              <w:rPr>
                <w:spacing w:val="14"/>
                <w:u w:val="single"/>
              </w:rPr>
              <w:t>主要排放口安装</w:t>
            </w:r>
            <w:r>
              <w:rPr>
                <w:spacing w:val="3"/>
                <w:u w:val="single"/>
              </w:rPr>
              <w:t>NMHC</w:t>
            </w:r>
            <w:r>
              <w:rPr>
                <w:spacing w:val="14"/>
                <w:u w:val="single"/>
              </w:rPr>
              <w:t>在线监测</w:t>
            </w:r>
            <w:r>
              <w:rPr>
                <w:spacing w:val="-2"/>
                <w:u w:val="single"/>
              </w:rPr>
              <w:t>设施，自动监控数据保存一年以上；</w:t>
            </w:r>
          </w:p>
          <w:p w:rsidR="00EE56C0" w:rsidRDefault="000F36A1">
            <w:pPr>
              <w:pStyle w:val="afa"/>
              <w:jc w:val="both"/>
              <w:rPr>
                <w:spacing w:val="-7"/>
                <w:u w:val="single"/>
              </w:rPr>
            </w:pPr>
            <w:r>
              <w:rPr>
                <w:spacing w:val="-2"/>
                <w:u w:val="single"/>
              </w:rPr>
              <w:t>3</w:t>
            </w:r>
            <w:r>
              <w:rPr>
                <w:spacing w:val="-2"/>
                <w:u w:val="single"/>
              </w:rPr>
              <w:t>、</w:t>
            </w:r>
            <w:r>
              <w:rPr>
                <w:rFonts w:hint="eastAsia"/>
                <w:spacing w:val="-2"/>
                <w:u w:val="single"/>
              </w:rPr>
              <w:t>项目</w:t>
            </w:r>
            <w:r>
              <w:rPr>
                <w:spacing w:val="-2"/>
                <w:u w:val="single"/>
              </w:rPr>
              <w:t>建成后</w:t>
            </w:r>
            <w:r>
              <w:rPr>
                <w:rFonts w:hint="eastAsia"/>
                <w:spacing w:val="-2"/>
                <w:u w:val="single"/>
              </w:rPr>
              <w:t>依托现有</w:t>
            </w:r>
            <w:r>
              <w:rPr>
                <w:u w:val="single"/>
              </w:rPr>
              <w:t>DCS</w:t>
            </w:r>
            <w:r>
              <w:rPr>
                <w:spacing w:val="-10"/>
                <w:u w:val="single"/>
              </w:rPr>
              <w:t>系统</w:t>
            </w:r>
            <w:r>
              <w:rPr>
                <w:spacing w:val="-6"/>
                <w:u w:val="single"/>
              </w:rPr>
              <w:t>、仪器仪</w:t>
            </w:r>
            <w:r>
              <w:rPr>
                <w:spacing w:val="-7"/>
                <w:u w:val="single"/>
              </w:rPr>
              <w:t>表等装置，</w:t>
            </w:r>
            <w:r>
              <w:rPr>
                <w:rFonts w:eastAsia="宋体" w:cs="宋体" w:hint="eastAsia"/>
                <w:color w:val="000000"/>
                <w:u w:val="single"/>
              </w:rPr>
              <w:t>连续测量并记录治理设施控制指标温度、压力（压差）、时间和频率值，</w:t>
            </w:r>
          </w:p>
          <w:p w:rsidR="00EE56C0" w:rsidRDefault="000F36A1">
            <w:pPr>
              <w:pStyle w:val="afa"/>
              <w:jc w:val="both"/>
              <w:rPr>
                <w:bCs/>
                <w:u w:val="single"/>
              </w:rPr>
            </w:pPr>
            <w:r>
              <w:rPr>
                <w:u w:val="single"/>
              </w:rPr>
              <w:t>数据</w:t>
            </w:r>
            <w:r>
              <w:rPr>
                <w:rFonts w:hint="eastAsia"/>
                <w:u w:val="single"/>
              </w:rPr>
              <w:t>可以</w:t>
            </w:r>
            <w:r>
              <w:rPr>
                <w:u w:val="single"/>
              </w:rPr>
              <w:t>保存一年以上。</w:t>
            </w:r>
          </w:p>
        </w:tc>
        <w:tc>
          <w:tcPr>
            <w:tcW w:w="532" w:type="pct"/>
            <w:vAlign w:val="center"/>
          </w:tcPr>
          <w:p w:rsidR="00EE56C0" w:rsidRDefault="000F36A1">
            <w:pPr>
              <w:pStyle w:val="afa"/>
              <w:rPr>
                <w:szCs w:val="28"/>
                <w:u w:val="single"/>
              </w:rPr>
            </w:pPr>
            <w:r>
              <w:rPr>
                <w:rFonts w:hint="eastAsia"/>
                <w:szCs w:val="28"/>
                <w:u w:val="single"/>
              </w:rPr>
              <w:t>符合</w:t>
            </w:r>
          </w:p>
          <w:p w:rsidR="00EE56C0" w:rsidRDefault="000F36A1">
            <w:pPr>
              <w:pStyle w:val="afa"/>
              <w:rPr>
                <w:bCs/>
                <w:u w:val="single"/>
              </w:rPr>
            </w:pPr>
            <w:r>
              <w:rPr>
                <w:rFonts w:hint="eastAsia"/>
                <w:szCs w:val="28"/>
                <w:u w:val="single"/>
              </w:rPr>
              <w:t>要求</w:t>
            </w:r>
          </w:p>
        </w:tc>
      </w:tr>
      <w:tr w:rsidR="00EE56C0">
        <w:trPr>
          <w:trHeight w:val="397"/>
        </w:trPr>
        <w:tc>
          <w:tcPr>
            <w:tcW w:w="517" w:type="pct"/>
            <w:vMerge w:val="restart"/>
            <w:vAlign w:val="center"/>
          </w:tcPr>
          <w:p w:rsidR="00EE56C0" w:rsidRDefault="000F36A1">
            <w:pPr>
              <w:pStyle w:val="afa"/>
              <w:rPr>
                <w:bCs/>
                <w:u w:val="single"/>
              </w:rPr>
            </w:pPr>
            <w:r>
              <w:rPr>
                <w:u w:val="single"/>
              </w:rPr>
              <w:t>环境管理水平</w:t>
            </w:r>
          </w:p>
        </w:tc>
        <w:tc>
          <w:tcPr>
            <w:tcW w:w="2713" w:type="pct"/>
            <w:vAlign w:val="center"/>
          </w:tcPr>
          <w:p w:rsidR="00EE56C0" w:rsidRDefault="000F36A1">
            <w:pPr>
              <w:pStyle w:val="afa"/>
              <w:jc w:val="both"/>
              <w:rPr>
                <w:bCs/>
                <w:u w:val="single"/>
              </w:rPr>
            </w:pPr>
            <w:r>
              <w:rPr>
                <w:u w:val="single"/>
              </w:rPr>
              <w:t>环保档案齐全：</w:t>
            </w:r>
            <w:r>
              <w:rPr>
                <w:u w:val="single"/>
              </w:rPr>
              <w:t>1</w:t>
            </w:r>
            <w:r>
              <w:rPr>
                <w:u w:val="single"/>
              </w:rPr>
              <w:t>、环评批复文件；</w:t>
            </w:r>
            <w:r>
              <w:rPr>
                <w:u w:val="single"/>
              </w:rPr>
              <w:t>2</w:t>
            </w:r>
            <w:r>
              <w:rPr>
                <w:u w:val="single"/>
              </w:rPr>
              <w:t>、排污许可证及季度、年度执行报告；</w:t>
            </w:r>
            <w:r>
              <w:rPr>
                <w:u w:val="single"/>
              </w:rPr>
              <w:t>3</w:t>
            </w:r>
            <w:r>
              <w:rPr>
                <w:u w:val="single"/>
              </w:rPr>
              <w:t>、竣工验收文件；</w:t>
            </w:r>
            <w:r>
              <w:rPr>
                <w:u w:val="single"/>
              </w:rPr>
              <w:t>4</w:t>
            </w:r>
            <w:r>
              <w:rPr>
                <w:u w:val="single"/>
              </w:rPr>
              <w:t>、废气治理设施运行管理规程；</w:t>
            </w:r>
            <w:r>
              <w:rPr>
                <w:u w:val="single"/>
              </w:rPr>
              <w:t>5</w:t>
            </w:r>
            <w:r>
              <w:rPr>
                <w:u w:val="single"/>
              </w:rPr>
              <w:t>、一年内废气监测报告</w:t>
            </w:r>
          </w:p>
        </w:tc>
        <w:tc>
          <w:tcPr>
            <w:tcW w:w="1238" w:type="pct"/>
            <w:tcBorders>
              <w:bottom w:val="single" w:sz="4" w:space="0" w:color="auto"/>
            </w:tcBorders>
            <w:vAlign w:val="center"/>
          </w:tcPr>
          <w:p w:rsidR="00EE56C0" w:rsidRDefault="000F36A1">
            <w:pPr>
              <w:pStyle w:val="afa"/>
              <w:jc w:val="both"/>
              <w:rPr>
                <w:bCs/>
                <w:u w:val="single"/>
              </w:rPr>
            </w:pPr>
            <w:r>
              <w:rPr>
                <w:rFonts w:hint="eastAsia"/>
                <w:bCs/>
                <w:u w:val="single"/>
              </w:rPr>
              <w:t>本项目建成后将按要求将所要求文件存档备查。</w:t>
            </w:r>
          </w:p>
        </w:tc>
        <w:tc>
          <w:tcPr>
            <w:tcW w:w="532" w:type="pct"/>
            <w:tcBorders>
              <w:bottom w:val="single" w:sz="4" w:space="0" w:color="auto"/>
            </w:tcBorders>
            <w:vAlign w:val="center"/>
          </w:tcPr>
          <w:p w:rsidR="00EE56C0" w:rsidRDefault="000F36A1">
            <w:pPr>
              <w:pStyle w:val="afa"/>
              <w:rPr>
                <w:szCs w:val="28"/>
                <w:u w:val="single"/>
              </w:rPr>
            </w:pPr>
            <w:r>
              <w:rPr>
                <w:rFonts w:hint="eastAsia"/>
                <w:szCs w:val="28"/>
                <w:u w:val="single"/>
              </w:rPr>
              <w:t>符合</w:t>
            </w:r>
          </w:p>
          <w:p w:rsidR="00EE56C0" w:rsidRDefault="000F36A1">
            <w:pPr>
              <w:pStyle w:val="afa"/>
              <w:rPr>
                <w:bCs/>
                <w:u w:val="single"/>
              </w:rPr>
            </w:pPr>
            <w:r>
              <w:rPr>
                <w:rFonts w:hint="eastAsia"/>
                <w:szCs w:val="28"/>
                <w:u w:val="single"/>
              </w:rPr>
              <w:t>要求</w:t>
            </w:r>
          </w:p>
        </w:tc>
      </w:tr>
      <w:tr w:rsidR="00EE56C0">
        <w:trPr>
          <w:trHeight w:val="397"/>
        </w:trPr>
        <w:tc>
          <w:tcPr>
            <w:tcW w:w="517" w:type="pct"/>
            <w:vMerge/>
            <w:vAlign w:val="center"/>
          </w:tcPr>
          <w:p w:rsidR="00EE56C0" w:rsidRDefault="00EE56C0">
            <w:pPr>
              <w:pStyle w:val="afa"/>
              <w:rPr>
                <w:bCs/>
                <w:u w:val="single"/>
              </w:rPr>
            </w:pPr>
          </w:p>
        </w:tc>
        <w:tc>
          <w:tcPr>
            <w:tcW w:w="2713" w:type="pct"/>
            <w:vAlign w:val="center"/>
          </w:tcPr>
          <w:p w:rsidR="00EE56C0" w:rsidRDefault="000F36A1">
            <w:pPr>
              <w:pStyle w:val="afa"/>
              <w:jc w:val="both"/>
              <w:rPr>
                <w:bCs/>
                <w:u w:val="single"/>
              </w:rPr>
            </w:pPr>
            <w:r>
              <w:rPr>
                <w:u w:val="single"/>
              </w:rPr>
              <w:t>台账记录：</w:t>
            </w:r>
            <w:r>
              <w:rPr>
                <w:u w:val="single"/>
              </w:rPr>
              <w:t>1</w:t>
            </w:r>
            <w:r>
              <w:rPr>
                <w:u w:val="single"/>
              </w:rPr>
              <w:t>、生产设施运行管理信息（生产时间、</w:t>
            </w:r>
            <w:r>
              <w:rPr>
                <w:u w:val="single"/>
              </w:rPr>
              <w:lastRenderedPageBreak/>
              <w:t>运行负荷、产品产量等，必须具备近一年及以上所用涂料的密度、扣水后</w:t>
            </w:r>
            <w:r>
              <w:rPr>
                <w:u w:val="single"/>
              </w:rPr>
              <w:t>VOCs</w:t>
            </w:r>
            <w:r>
              <w:rPr>
                <w:u w:val="single"/>
              </w:rPr>
              <w:t>含量、含水率（水性涂料）等信息的检测报告）；</w:t>
            </w:r>
            <w:r>
              <w:rPr>
                <w:u w:val="single"/>
              </w:rPr>
              <w:t>2</w:t>
            </w:r>
            <w:r>
              <w:rPr>
                <w:u w:val="single"/>
              </w:rPr>
              <w:t>、废气污染治理设施运行管理信息（燃烧室温度、冷凝温度、过滤材料更换频次、吸附剂更换频次、催化剂更换频次）；</w:t>
            </w:r>
            <w:r>
              <w:rPr>
                <w:u w:val="single"/>
              </w:rPr>
              <w:t>3</w:t>
            </w:r>
            <w:r>
              <w:rPr>
                <w:u w:val="single"/>
              </w:rPr>
              <w:t>、监测记录信息（主要污染排放口废气排放记录（手工监测或在线监测）等）；</w:t>
            </w:r>
            <w:r>
              <w:rPr>
                <w:u w:val="single"/>
              </w:rPr>
              <w:t>4</w:t>
            </w:r>
            <w:r>
              <w:rPr>
                <w:u w:val="single"/>
              </w:rPr>
              <w:t>、主要原辅材料消耗记录；</w:t>
            </w:r>
            <w:r>
              <w:rPr>
                <w:u w:val="single"/>
              </w:rPr>
              <w:t>5</w:t>
            </w:r>
            <w:r>
              <w:rPr>
                <w:u w:val="single"/>
              </w:rPr>
              <w:t>、燃料（天然气）消耗记录</w:t>
            </w:r>
          </w:p>
        </w:tc>
        <w:tc>
          <w:tcPr>
            <w:tcW w:w="1238" w:type="pct"/>
            <w:tcBorders>
              <w:top w:val="single" w:sz="4" w:space="0" w:color="auto"/>
              <w:bottom w:val="single" w:sz="4" w:space="0" w:color="auto"/>
            </w:tcBorders>
            <w:vAlign w:val="center"/>
          </w:tcPr>
          <w:p w:rsidR="00EE56C0" w:rsidRDefault="000F36A1">
            <w:pPr>
              <w:pStyle w:val="afa"/>
              <w:jc w:val="both"/>
              <w:rPr>
                <w:u w:val="single"/>
              </w:rPr>
            </w:pPr>
            <w:r>
              <w:rPr>
                <w:rFonts w:hint="eastAsia"/>
                <w:u w:val="single"/>
              </w:rPr>
              <w:lastRenderedPageBreak/>
              <w:t>本项目建成后将按要</w:t>
            </w:r>
            <w:r>
              <w:rPr>
                <w:rFonts w:hint="eastAsia"/>
                <w:u w:val="single"/>
              </w:rPr>
              <w:lastRenderedPageBreak/>
              <w:t>求进行台账记录。</w:t>
            </w:r>
          </w:p>
        </w:tc>
        <w:tc>
          <w:tcPr>
            <w:tcW w:w="532" w:type="pct"/>
            <w:vMerge w:val="restart"/>
            <w:tcBorders>
              <w:top w:val="single" w:sz="4" w:space="0" w:color="auto"/>
            </w:tcBorders>
            <w:vAlign w:val="center"/>
          </w:tcPr>
          <w:p w:rsidR="00EE56C0" w:rsidRDefault="000F36A1">
            <w:pPr>
              <w:pStyle w:val="afa"/>
              <w:rPr>
                <w:szCs w:val="28"/>
                <w:u w:val="single"/>
              </w:rPr>
            </w:pPr>
            <w:r>
              <w:rPr>
                <w:rFonts w:hint="eastAsia"/>
                <w:szCs w:val="28"/>
                <w:u w:val="single"/>
              </w:rPr>
              <w:lastRenderedPageBreak/>
              <w:t>符合</w:t>
            </w:r>
          </w:p>
          <w:p w:rsidR="00EE56C0" w:rsidRDefault="000F36A1">
            <w:pPr>
              <w:pStyle w:val="afa"/>
              <w:rPr>
                <w:bCs/>
                <w:u w:val="single"/>
              </w:rPr>
            </w:pPr>
            <w:r>
              <w:rPr>
                <w:rFonts w:hint="eastAsia"/>
                <w:szCs w:val="28"/>
                <w:u w:val="single"/>
              </w:rPr>
              <w:lastRenderedPageBreak/>
              <w:t>要求</w:t>
            </w:r>
          </w:p>
        </w:tc>
      </w:tr>
      <w:tr w:rsidR="00EE56C0">
        <w:trPr>
          <w:trHeight w:val="397"/>
        </w:trPr>
        <w:tc>
          <w:tcPr>
            <w:tcW w:w="517" w:type="pct"/>
            <w:vMerge/>
            <w:vAlign w:val="center"/>
          </w:tcPr>
          <w:p w:rsidR="00EE56C0" w:rsidRDefault="00EE56C0">
            <w:pPr>
              <w:pStyle w:val="afa"/>
              <w:rPr>
                <w:bCs/>
                <w:u w:val="single"/>
              </w:rPr>
            </w:pPr>
          </w:p>
        </w:tc>
        <w:tc>
          <w:tcPr>
            <w:tcW w:w="2713" w:type="pct"/>
            <w:vAlign w:val="center"/>
          </w:tcPr>
          <w:p w:rsidR="00EE56C0" w:rsidRDefault="000F36A1">
            <w:pPr>
              <w:pStyle w:val="afa"/>
              <w:jc w:val="both"/>
              <w:rPr>
                <w:bCs/>
                <w:u w:val="single"/>
              </w:rPr>
            </w:pPr>
            <w:r>
              <w:rPr>
                <w:u w:val="single"/>
              </w:rPr>
              <w:t>人员配置：设置环保部门，配备专职环保人员，并具备相应的环境管理能力</w:t>
            </w:r>
            <w:r>
              <w:rPr>
                <w:rFonts w:hint="eastAsia"/>
                <w:u w:val="single"/>
              </w:rPr>
              <w:t>。</w:t>
            </w:r>
          </w:p>
        </w:tc>
        <w:tc>
          <w:tcPr>
            <w:tcW w:w="1238" w:type="pct"/>
            <w:tcBorders>
              <w:top w:val="single" w:sz="4" w:space="0" w:color="auto"/>
            </w:tcBorders>
            <w:vAlign w:val="center"/>
          </w:tcPr>
          <w:p w:rsidR="00EE56C0" w:rsidRDefault="000F36A1">
            <w:pPr>
              <w:pStyle w:val="afa"/>
              <w:jc w:val="both"/>
              <w:rPr>
                <w:bCs/>
                <w:u w:val="single"/>
              </w:rPr>
            </w:pPr>
            <w:r>
              <w:rPr>
                <w:rFonts w:hint="eastAsia"/>
                <w:u w:val="single"/>
              </w:rPr>
              <w:t>本项目将配备专职环保人员，并具备相应的环境管理能力。</w:t>
            </w:r>
          </w:p>
        </w:tc>
        <w:tc>
          <w:tcPr>
            <w:tcW w:w="532" w:type="pct"/>
            <w:vMerge/>
            <w:vAlign w:val="center"/>
          </w:tcPr>
          <w:p w:rsidR="00EE56C0" w:rsidRDefault="00EE56C0">
            <w:pPr>
              <w:pStyle w:val="afa"/>
              <w:rPr>
                <w:bCs/>
                <w:u w:val="single"/>
              </w:rPr>
            </w:pPr>
          </w:p>
        </w:tc>
      </w:tr>
      <w:tr w:rsidR="00EE56C0">
        <w:trPr>
          <w:trHeight w:val="397"/>
        </w:trPr>
        <w:tc>
          <w:tcPr>
            <w:tcW w:w="517" w:type="pct"/>
            <w:vAlign w:val="center"/>
          </w:tcPr>
          <w:p w:rsidR="00EE56C0" w:rsidRDefault="000F36A1">
            <w:pPr>
              <w:pStyle w:val="afa"/>
              <w:rPr>
                <w:bCs/>
                <w:u w:val="single"/>
              </w:rPr>
            </w:pPr>
            <w:r>
              <w:rPr>
                <w:u w:val="single"/>
              </w:rPr>
              <w:t>运输方式</w:t>
            </w:r>
          </w:p>
        </w:tc>
        <w:tc>
          <w:tcPr>
            <w:tcW w:w="2713" w:type="pct"/>
            <w:vAlign w:val="center"/>
          </w:tcPr>
          <w:p w:rsidR="00EE56C0" w:rsidRDefault="000F36A1">
            <w:pPr>
              <w:pStyle w:val="afa"/>
              <w:jc w:val="both"/>
              <w:rPr>
                <w:u w:val="single"/>
              </w:rPr>
            </w:pPr>
            <w:r>
              <w:rPr>
                <w:u w:val="single"/>
              </w:rPr>
              <w:t>1</w:t>
            </w:r>
            <w:r>
              <w:rPr>
                <w:u w:val="single"/>
              </w:rPr>
              <w:t>、物料公路运输使用达到国五及以上排放标准重型载货车辆（含燃气）</w:t>
            </w:r>
            <w:r>
              <w:rPr>
                <w:u w:val="single"/>
              </w:rPr>
              <w:t xml:space="preserve"> </w:t>
            </w:r>
            <w:r>
              <w:rPr>
                <w:u w:val="single"/>
              </w:rPr>
              <w:t>或新能源车辆占比不低于</w:t>
            </w:r>
            <w:r>
              <w:rPr>
                <w:u w:val="single"/>
              </w:rPr>
              <w:t>80%</w:t>
            </w:r>
            <w:r>
              <w:rPr>
                <w:u w:val="single"/>
              </w:rPr>
              <w:t>，其他车辆达到国四排放标准；</w:t>
            </w:r>
          </w:p>
          <w:p w:rsidR="00EE56C0" w:rsidRDefault="000F36A1">
            <w:pPr>
              <w:pStyle w:val="afa"/>
              <w:jc w:val="both"/>
              <w:rPr>
                <w:u w:val="single"/>
              </w:rPr>
            </w:pPr>
            <w:r>
              <w:rPr>
                <w:spacing w:val="5"/>
                <w:u w:val="single"/>
              </w:rPr>
              <w:t>2</w:t>
            </w:r>
            <w:r>
              <w:rPr>
                <w:spacing w:val="3"/>
                <w:u w:val="single"/>
              </w:rPr>
              <w:t>、厂内运输使用达到国五及以上排</w:t>
            </w:r>
            <w:r>
              <w:rPr>
                <w:spacing w:val="-4"/>
                <w:u w:val="single"/>
              </w:rPr>
              <w:t>放标准车辆</w:t>
            </w:r>
            <w:r>
              <w:rPr>
                <w:u w:val="single"/>
              </w:rPr>
              <w:t>（含燃气</w:t>
            </w:r>
            <w:r>
              <w:rPr>
                <w:spacing w:val="-17"/>
                <w:u w:val="single"/>
              </w:rPr>
              <w:t>）</w:t>
            </w:r>
            <w:r>
              <w:rPr>
                <w:spacing w:val="-2"/>
                <w:u w:val="single"/>
              </w:rPr>
              <w:t>或新能源车辆</w:t>
            </w:r>
            <w:r>
              <w:rPr>
                <w:u w:val="single"/>
              </w:rPr>
              <w:t>比例不低于</w:t>
            </w:r>
            <w:r>
              <w:rPr>
                <w:u w:val="single"/>
              </w:rPr>
              <w:t>80%</w:t>
            </w:r>
            <w:r>
              <w:rPr>
                <w:spacing w:val="-2"/>
                <w:u w:val="single"/>
              </w:rPr>
              <w:t>，其他车辆达到国四</w:t>
            </w:r>
            <w:r>
              <w:rPr>
                <w:u w:val="single"/>
              </w:rPr>
              <w:t>排放标准；</w:t>
            </w:r>
          </w:p>
          <w:p w:rsidR="00EE56C0" w:rsidRDefault="000F36A1">
            <w:pPr>
              <w:pStyle w:val="afa"/>
              <w:jc w:val="both"/>
              <w:rPr>
                <w:u w:val="single"/>
              </w:rPr>
            </w:pPr>
            <w:r>
              <w:rPr>
                <w:u w:val="single"/>
              </w:rPr>
              <w:t>3</w:t>
            </w:r>
            <w:r>
              <w:rPr>
                <w:u w:val="single"/>
              </w:rPr>
              <w:t>、厂内非道路移动机械使用达到国三及以上排放标准或新能源机械比例不低于</w:t>
            </w:r>
            <w:r>
              <w:rPr>
                <w:u w:val="single"/>
              </w:rPr>
              <w:t>80%</w:t>
            </w:r>
            <w:r>
              <w:rPr>
                <w:rFonts w:hint="eastAsia"/>
                <w:u w:val="single"/>
              </w:rPr>
              <w:t>。</w:t>
            </w:r>
          </w:p>
        </w:tc>
        <w:tc>
          <w:tcPr>
            <w:tcW w:w="1238" w:type="pct"/>
            <w:vAlign w:val="center"/>
          </w:tcPr>
          <w:p w:rsidR="00EE56C0" w:rsidRDefault="000F36A1">
            <w:pPr>
              <w:pStyle w:val="afa"/>
              <w:jc w:val="both"/>
              <w:rPr>
                <w:bCs/>
                <w:u w:val="single"/>
              </w:rPr>
            </w:pPr>
            <w:r>
              <w:rPr>
                <w:rFonts w:hint="eastAsia"/>
                <w:u w:val="single"/>
              </w:rPr>
              <w:t>本项目建成后将使用符合要求的物料公路运输车辆、</w:t>
            </w:r>
            <w:r>
              <w:rPr>
                <w:spacing w:val="3"/>
                <w:u w:val="single"/>
              </w:rPr>
              <w:t>厂内运输</w:t>
            </w:r>
            <w:r>
              <w:rPr>
                <w:spacing w:val="-4"/>
                <w:u w:val="single"/>
              </w:rPr>
              <w:t>车辆</w:t>
            </w:r>
            <w:r>
              <w:rPr>
                <w:rFonts w:hint="eastAsia"/>
                <w:u w:val="single"/>
              </w:rPr>
              <w:t>，</w:t>
            </w:r>
            <w:r>
              <w:rPr>
                <w:u w:val="single"/>
              </w:rPr>
              <w:t>非道路移动机械</w:t>
            </w:r>
            <w:r>
              <w:rPr>
                <w:rFonts w:hint="eastAsia"/>
                <w:u w:val="single"/>
              </w:rPr>
              <w:t>。</w:t>
            </w:r>
          </w:p>
        </w:tc>
        <w:tc>
          <w:tcPr>
            <w:tcW w:w="532" w:type="pct"/>
            <w:vAlign w:val="center"/>
          </w:tcPr>
          <w:p w:rsidR="00EE56C0" w:rsidRDefault="000F36A1">
            <w:pPr>
              <w:pStyle w:val="afa"/>
              <w:rPr>
                <w:bCs/>
                <w:u w:val="single"/>
              </w:rPr>
            </w:pPr>
            <w:r>
              <w:rPr>
                <w:rFonts w:hint="eastAsia"/>
                <w:szCs w:val="28"/>
                <w:u w:val="single"/>
              </w:rPr>
              <w:t>按要求进行使用</w:t>
            </w:r>
          </w:p>
        </w:tc>
      </w:tr>
      <w:tr w:rsidR="00EE56C0">
        <w:trPr>
          <w:trHeight w:val="397"/>
        </w:trPr>
        <w:tc>
          <w:tcPr>
            <w:tcW w:w="517" w:type="pct"/>
            <w:vAlign w:val="center"/>
          </w:tcPr>
          <w:p w:rsidR="00EE56C0" w:rsidRDefault="000F36A1">
            <w:pPr>
              <w:pStyle w:val="afa"/>
              <w:rPr>
                <w:bCs/>
                <w:u w:val="single"/>
              </w:rPr>
            </w:pPr>
            <w:r>
              <w:rPr>
                <w:u w:val="single"/>
              </w:rPr>
              <w:t>运输监管</w:t>
            </w:r>
          </w:p>
        </w:tc>
        <w:tc>
          <w:tcPr>
            <w:tcW w:w="2713" w:type="pct"/>
            <w:vAlign w:val="center"/>
          </w:tcPr>
          <w:p w:rsidR="00EE56C0" w:rsidRDefault="000F36A1">
            <w:pPr>
              <w:pStyle w:val="afa"/>
              <w:jc w:val="both"/>
              <w:rPr>
                <w:bCs/>
                <w:u w:val="single"/>
              </w:rPr>
            </w:pPr>
            <w:r>
              <w:rPr>
                <w:u w:val="single"/>
              </w:rPr>
              <w:t>参照《重污染天气重点行业移动源应急管理技术指南》建立门禁系统和电子台账</w:t>
            </w:r>
            <w:r>
              <w:rPr>
                <w:rFonts w:hint="eastAsia"/>
                <w:u w:val="single"/>
              </w:rPr>
              <w:t>。</w:t>
            </w:r>
          </w:p>
        </w:tc>
        <w:tc>
          <w:tcPr>
            <w:tcW w:w="1238" w:type="pct"/>
            <w:vAlign w:val="center"/>
          </w:tcPr>
          <w:p w:rsidR="00EE56C0" w:rsidRDefault="000F36A1">
            <w:pPr>
              <w:pStyle w:val="afa"/>
              <w:jc w:val="both"/>
              <w:rPr>
                <w:bCs/>
                <w:u w:val="single"/>
              </w:rPr>
            </w:pPr>
            <w:r>
              <w:rPr>
                <w:rFonts w:hint="eastAsia"/>
                <w:u w:val="single"/>
              </w:rPr>
              <w:t>本项目建成后依托现有</w:t>
            </w:r>
            <w:r>
              <w:rPr>
                <w:u w:val="single"/>
              </w:rPr>
              <w:t>门禁系统</w:t>
            </w:r>
            <w:r>
              <w:rPr>
                <w:rFonts w:hint="eastAsia"/>
                <w:u w:val="single"/>
              </w:rPr>
              <w:t>，并按要求建立</w:t>
            </w:r>
            <w:r>
              <w:rPr>
                <w:u w:val="single"/>
              </w:rPr>
              <w:t>电子台账</w:t>
            </w:r>
            <w:r>
              <w:rPr>
                <w:rFonts w:hint="eastAsia"/>
                <w:u w:val="single"/>
              </w:rPr>
              <w:t>。</w:t>
            </w:r>
          </w:p>
        </w:tc>
        <w:tc>
          <w:tcPr>
            <w:tcW w:w="532" w:type="pct"/>
            <w:vAlign w:val="center"/>
          </w:tcPr>
          <w:p w:rsidR="00EE56C0" w:rsidRDefault="000F36A1">
            <w:pPr>
              <w:pStyle w:val="afa"/>
              <w:rPr>
                <w:szCs w:val="28"/>
                <w:u w:val="single"/>
              </w:rPr>
            </w:pPr>
            <w:r>
              <w:rPr>
                <w:rFonts w:hint="eastAsia"/>
                <w:szCs w:val="28"/>
                <w:u w:val="single"/>
              </w:rPr>
              <w:t>符合</w:t>
            </w:r>
          </w:p>
          <w:p w:rsidR="00EE56C0" w:rsidRDefault="000F36A1">
            <w:pPr>
              <w:pStyle w:val="afa"/>
              <w:rPr>
                <w:bCs/>
                <w:u w:val="single"/>
              </w:rPr>
            </w:pPr>
            <w:r>
              <w:rPr>
                <w:rFonts w:hint="eastAsia"/>
                <w:szCs w:val="28"/>
                <w:u w:val="single"/>
              </w:rPr>
              <w:t>要求</w:t>
            </w:r>
          </w:p>
        </w:tc>
      </w:tr>
    </w:tbl>
    <w:p w:rsidR="00EE56C0" w:rsidRDefault="000F36A1">
      <w:pPr>
        <w:ind w:firstLine="480"/>
        <w:rPr>
          <w:u w:val="single"/>
        </w:rPr>
      </w:pPr>
      <w:r>
        <w:rPr>
          <w:rFonts w:hint="eastAsia"/>
          <w:u w:val="single"/>
        </w:rPr>
        <w:t>评价要求：本项目严格按照</w:t>
      </w:r>
      <w:r>
        <w:rPr>
          <w:rFonts w:hint="eastAsia"/>
          <w:u w:val="single"/>
        </w:rPr>
        <w:t>A</w:t>
      </w:r>
      <w:r>
        <w:rPr>
          <w:rFonts w:hint="eastAsia"/>
          <w:u w:val="single"/>
        </w:rPr>
        <w:t>级上述要求进行建设，并积极接受生态环境管理部门的监督检查。</w:t>
      </w:r>
    </w:p>
    <w:p w:rsidR="00EE56C0" w:rsidRDefault="00EE56C0">
      <w:pPr>
        <w:ind w:firstLine="480"/>
      </w:pPr>
    </w:p>
    <w:p w:rsidR="00EE56C0" w:rsidRDefault="000F36A1">
      <w:pPr>
        <w:pStyle w:val="1"/>
        <w:numPr>
          <w:ilvl w:val="0"/>
          <w:numId w:val="1"/>
        </w:numPr>
        <w:spacing w:before="360" w:after="480"/>
      </w:pPr>
      <w:bookmarkStart w:id="162" w:name="_Toc324839551"/>
      <w:bookmarkStart w:id="163" w:name="_Toc324839254"/>
      <w:bookmarkStart w:id="164" w:name="_Toc311812636"/>
      <w:bookmarkStart w:id="165" w:name="_Toc25400901"/>
      <w:bookmarkStart w:id="166" w:name="_Toc453042543"/>
      <w:bookmarkEnd w:id="1"/>
      <w:bookmarkEnd w:id="2"/>
      <w:bookmarkEnd w:id="3"/>
      <w:bookmarkEnd w:id="4"/>
      <w:bookmarkEnd w:id="5"/>
      <w:bookmarkEnd w:id="6"/>
      <w:bookmarkEnd w:id="7"/>
      <w:bookmarkEnd w:id="154"/>
      <w:bookmarkEnd w:id="158"/>
      <w:bookmarkEnd w:id="159"/>
      <w:bookmarkEnd w:id="160"/>
      <w:bookmarkEnd w:id="161"/>
      <w:r>
        <w:rPr>
          <w:rFonts w:hint="eastAsia"/>
        </w:rPr>
        <w:lastRenderedPageBreak/>
        <w:t>建设项目工程分析</w:t>
      </w:r>
      <w:bookmarkEnd w:id="162"/>
      <w:bookmarkEnd w:id="163"/>
      <w:bookmarkEnd w:id="164"/>
      <w:bookmarkEnd w:id="165"/>
    </w:p>
    <w:p w:rsidR="00EE56C0" w:rsidRDefault="000F36A1">
      <w:pPr>
        <w:spacing w:line="460" w:lineRule="exact"/>
        <w:ind w:firstLine="480"/>
        <w:jc w:val="left"/>
      </w:pPr>
      <w:bookmarkStart w:id="167" w:name="_Toc428286816"/>
      <w:bookmarkStart w:id="168" w:name="_Toc428287562"/>
      <w:bookmarkStart w:id="169" w:name="_Toc428287210"/>
      <w:bookmarkStart w:id="170" w:name="_Toc311812641"/>
      <w:bookmarkEnd w:id="166"/>
      <w:r>
        <w:rPr>
          <w:rFonts w:hint="eastAsia"/>
        </w:rPr>
        <w:t>河南华洋铜业集团有限公司</w:t>
      </w:r>
      <w:r>
        <w:t>创建于</w:t>
      </w:r>
      <w:r>
        <w:t>1994</w:t>
      </w:r>
      <w:r>
        <w:t>年，是集科研、生产于一体的现代化漆包线生产企业。公司总部位于新乡经济技术产</w:t>
      </w:r>
      <w:r>
        <w:rPr>
          <w:rFonts w:hint="eastAsia"/>
        </w:rPr>
        <w:t>业</w:t>
      </w:r>
      <w:r>
        <w:t>集聚区远大路西段。</w:t>
      </w:r>
    </w:p>
    <w:p w:rsidR="00EE56C0" w:rsidRDefault="000F36A1">
      <w:pPr>
        <w:spacing w:line="480" w:lineRule="exact"/>
        <w:ind w:firstLine="480"/>
        <w:jc w:val="left"/>
      </w:pPr>
      <w:r>
        <w:rPr>
          <w:rFonts w:hint="eastAsia"/>
        </w:rPr>
        <w:t>由于产业结构调整及规范管理需要，</w:t>
      </w:r>
      <w:r>
        <w:t>2018</w:t>
      </w:r>
      <w:r>
        <w:rPr>
          <w:rFonts w:hint="eastAsia"/>
        </w:rPr>
        <w:t>年</w:t>
      </w:r>
      <w:r>
        <w:t>2</w:t>
      </w:r>
      <w:r>
        <w:rPr>
          <w:rFonts w:hint="eastAsia"/>
        </w:rPr>
        <w:t>月由河南华洋铜业集团有限公司出资成立全资子公司：新乡市华洋电工材料有限公司。该公司主要经营范围为铜杆、塑料制品制造、销售，将“年产</w:t>
      </w:r>
      <w:r>
        <w:rPr>
          <w:rFonts w:hint="eastAsia"/>
        </w:rPr>
        <w:t>5</w:t>
      </w:r>
      <w:r>
        <w:rPr>
          <w:rFonts w:hint="eastAsia"/>
        </w:rPr>
        <w:t>万吨风力发电、轨道交通特种线项目”、“</w:t>
      </w:r>
      <w:r>
        <w:rPr>
          <w:rFonts w:hint="eastAsia"/>
          <w:lang w:val="pt-BR"/>
        </w:rPr>
        <w:t>年产</w:t>
      </w:r>
      <w:r>
        <w:rPr>
          <w:lang w:val="pt-BR"/>
        </w:rPr>
        <w:t>2</w:t>
      </w:r>
      <w:r>
        <w:rPr>
          <w:rFonts w:hint="eastAsia"/>
          <w:lang w:val="pt-BR"/>
        </w:rPr>
        <w:t>万吨无氧铜杆项目</w:t>
      </w:r>
      <w:r>
        <w:rPr>
          <w:rFonts w:hint="eastAsia"/>
        </w:rPr>
        <w:t>”、“</w:t>
      </w:r>
      <w:r>
        <w:rPr>
          <w:rFonts w:hint="eastAsia"/>
          <w:lang w:val="pt-BR"/>
        </w:rPr>
        <w:t>年产</w:t>
      </w:r>
      <w:r>
        <w:rPr>
          <w:rFonts w:hint="eastAsia"/>
          <w:lang w:val="pt-BR"/>
        </w:rPr>
        <w:t>200</w:t>
      </w:r>
      <w:r>
        <w:rPr>
          <w:rFonts w:hint="eastAsia"/>
          <w:lang w:val="pt-BR"/>
        </w:rPr>
        <w:t>万只包装线盘项目</w:t>
      </w:r>
      <w:r>
        <w:rPr>
          <w:rFonts w:hint="eastAsia"/>
        </w:rPr>
        <w:t>”的厂房、设备和相关资质等划归、变更到华洋电工材料实行单独核算，并已在工商部门备案，公司情况说明见附件。</w:t>
      </w:r>
    </w:p>
    <w:p w:rsidR="00EE56C0" w:rsidRDefault="000F36A1">
      <w:pPr>
        <w:ind w:firstLine="480"/>
      </w:pPr>
      <w:r>
        <w:rPr>
          <w:rFonts w:hint="eastAsia"/>
        </w:rPr>
        <w:t>河南华洋铜业集团有限公司于</w:t>
      </w:r>
      <w:r>
        <w:t>2019</w:t>
      </w:r>
      <w:r>
        <w:rPr>
          <w:rFonts w:hint="eastAsia"/>
        </w:rPr>
        <w:t>年</w:t>
      </w:r>
      <w:r>
        <w:rPr>
          <w:rFonts w:hint="eastAsia"/>
        </w:rPr>
        <w:t>8</w:t>
      </w:r>
      <w:r>
        <w:rPr>
          <w:rFonts w:hint="eastAsia"/>
        </w:rPr>
        <w:t>月</w:t>
      </w:r>
      <w:r>
        <w:t>1</w:t>
      </w:r>
      <w:r>
        <w:rPr>
          <w:rFonts w:hint="eastAsia"/>
        </w:rPr>
        <w:t>6</w:t>
      </w:r>
      <w:r>
        <w:rPr>
          <w:rFonts w:hint="eastAsia"/>
        </w:rPr>
        <w:t>日更名为</w:t>
      </w:r>
      <w:r>
        <w:t>“</w:t>
      </w:r>
      <w:r>
        <w:rPr>
          <w:rFonts w:hint="eastAsia"/>
        </w:rPr>
        <w:t>河南华洋电工科技集团有限公司</w:t>
      </w:r>
      <w:r>
        <w:t>”</w:t>
      </w:r>
      <w:r>
        <w:rPr>
          <w:rFonts w:hint="eastAsia"/>
        </w:rPr>
        <w:t>，该公司主要经营范围为电磁线制造、加工等，该公司名下项目包括：“年产</w:t>
      </w:r>
      <w:r>
        <w:t>4</w:t>
      </w:r>
      <w:r>
        <w:rPr>
          <w:rFonts w:hint="eastAsia"/>
        </w:rPr>
        <w:t>万吨高效节能电机、节能变压器专用线项目”、“年产</w:t>
      </w:r>
      <w:r>
        <w:rPr>
          <w:rFonts w:hint="eastAsia"/>
        </w:rPr>
        <w:t>2</w:t>
      </w:r>
      <w:r>
        <w:rPr>
          <w:rFonts w:hint="eastAsia"/>
        </w:rPr>
        <w:t>万吨新能源汽车电器专用线项目”，并于</w:t>
      </w:r>
      <w:r>
        <w:t>2019</w:t>
      </w:r>
      <w:r>
        <w:rPr>
          <w:rFonts w:hint="eastAsia"/>
        </w:rPr>
        <w:t>年</w:t>
      </w:r>
      <w:r>
        <w:t>11</w:t>
      </w:r>
      <w:r>
        <w:rPr>
          <w:rFonts w:hint="eastAsia"/>
        </w:rPr>
        <w:t>月</w:t>
      </w:r>
      <w:r>
        <w:t>15</w:t>
      </w:r>
      <w:r>
        <w:rPr>
          <w:rFonts w:hint="eastAsia"/>
        </w:rPr>
        <w:t>日正式办理营业执照。企业名称变更通知书及营业执照见附件。</w:t>
      </w:r>
    </w:p>
    <w:p w:rsidR="00EE56C0" w:rsidRDefault="000F36A1">
      <w:pPr>
        <w:ind w:firstLine="480"/>
      </w:pPr>
      <w:r>
        <w:rPr>
          <w:rFonts w:hint="eastAsia"/>
        </w:rPr>
        <w:t>该公司现有项目环保手续见下表。</w:t>
      </w:r>
    </w:p>
    <w:p w:rsidR="00EE56C0" w:rsidRDefault="000F36A1">
      <w:pPr>
        <w:pStyle w:val="afd"/>
        <w:spacing w:before="120" w:after="120"/>
        <w:ind w:firstLine="482"/>
      </w:pPr>
      <w:r>
        <w:rPr>
          <w:rFonts w:hAnsi="黑体" w:hint="eastAsia"/>
        </w:rPr>
        <w:t>表</w:t>
      </w:r>
      <w:r>
        <w:rPr>
          <w:rFonts w:hAnsi="黑体" w:hint="eastAsia"/>
        </w:rPr>
        <w:t>3-</w:t>
      </w:r>
      <w:r>
        <w:t xml:space="preserve">1                   </w:t>
      </w:r>
      <w:r>
        <w:rPr>
          <w:rFonts w:hAnsi="黑体" w:hint="eastAsia"/>
        </w:rPr>
        <w:t>公司现有项目环保手续一览表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34"/>
        <w:gridCol w:w="2824"/>
        <w:gridCol w:w="1661"/>
        <w:gridCol w:w="1165"/>
        <w:gridCol w:w="1264"/>
        <w:gridCol w:w="1080"/>
      </w:tblGrid>
      <w:tr w:rsidR="00EE56C0">
        <w:trPr>
          <w:trHeight w:val="340"/>
          <w:jc w:val="center"/>
        </w:trPr>
        <w:tc>
          <w:tcPr>
            <w:tcW w:w="313" w:type="pct"/>
            <w:vAlign w:val="center"/>
          </w:tcPr>
          <w:p w:rsidR="00EE56C0" w:rsidRDefault="000F36A1">
            <w:pPr>
              <w:pStyle w:val="afa"/>
              <w:rPr>
                <w:b/>
                <w:lang w:val="pt-BR"/>
              </w:rPr>
            </w:pPr>
            <w:r>
              <w:rPr>
                <w:rFonts w:hint="eastAsia"/>
                <w:b/>
                <w:lang w:val="pt-BR"/>
              </w:rPr>
              <w:t>序号</w:t>
            </w:r>
          </w:p>
        </w:tc>
        <w:tc>
          <w:tcPr>
            <w:tcW w:w="1656" w:type="pct"/>
            <w:vAlign w:val="center"/>
          </w:tcPr>
          <w:p w:rsidR="00EE56C0" w:rsidRDefault="000F36A1">
            <w:pPr>
              <w:pStyle w:val="afa"/>
              <w:rPr>
                <w:b/>
                <w:lang w:val="pt-BR"/>
              </w:rPr>
            </w:pPr>
            <w:r>
              <w:rPr>
                <w:rFonts w:hint="eastAsia"/>
                <w:b/>
                <w:lang w:val="pt-BR"/>
              </w:rPr>
              <w:t>项目名称</w:t>
            </w:r>
          </w:p>
        </w:tc>
        <w:tc>
          <w:tcPr>
            <w:tcW w:w="974" w:type="pct"/>
            <w:vAlign w:val="center"/>
          </w:tcPr>
          <w:p w:rsidR="00EE56C0" w:rsidRDefault="000F36A1">
            <w:pPr>
              <w:pStyle w:val="afa"/>
              <w:rPr>
                <w:b/>
                <w:lang w:val="pt-BR"/>
              </w:rPr>
            </w:pPr>
            <w:r>
              <w:rPr>
                <w:rFonts w:hint="eastAsia"/>
                <w:b/>
                <w:lang w:val="pt-BR"/>
              </w:rPr>
              <w:t>报告类别</w:t>
            </w:r>
          </w:p>
        </w:tc>
        <w:tc>
          <w:tcPr>
            <w:tcW w:w="683" w:type="pct"/>
            <w:vAlign w:val="center"/>
          </w:tcPr>
          <w:p w:rsidR="00EE56C0" w:rsidRDefault="000F36A1">
            <w:pPr>
              <w:pStyle w:val="afa"/>
              <w:rPr>
                <w:b/>
                <w:lang w:val="pt-BR"/>
              </w:rPr>
            </w:pPr>
            <w:r>
              <w:rPr>
                <w:rFonts w:hint="eastAsia"/>
                <w:b/>
                <w:lang w:val="pt-BR"/>
              </w:rPr>
              <w:t>批复文号</w:t>
            </w:r>
          </w:p>
        </w:tc>
        <w:tc>
          <w:tcPr>
            <w:tcW w:w="741" w:type="pct"/>
            <w:vAlign w:val="center"/>
          </w:tcPr>
          <w:p w:rsidR="00EE56C0" w:rsidRDefault="000F36A1">
            <w:pPr>
              <w:pStyle w:val="afa"/>
              <w:rPr>
                <w:b/>
                <w:lang w:val="pt-BR"/>
              </w:rPr>
            </w:pPr>
            <w:r>
              <w:rPr>
                <w:rFonts w:hint="eastAsia"/>
                <w:b/>
                <w:lang w:val="pt-BR"/>
              </w:rPr>
              <w:t>验收文号</w:t>
            </w:r>
          </w:p>
        </w:tc>
        <w:tc>
          <w:tcPr>
            <w:tcW w:w="633" w:type="pct"/>
            <w:vAlign w:val="center"/>
          </w:tcPr>
          <w:p w:rsidR="00EE56C0" w:rsidRDefault="000F36A1">
            <w:pPr>
              <w:pStyle w:val="afa"/>
              <w:rPr>
                <w:b/>
                <w:lang w:val="pt-BR"/>
              </w:rPr>
            </w:pPr>
            <w:r>
              <w:rPr>
                <w:rFonts w:hint="eastAsia"/>
                <w:b/>
                <w:lang w:val="pt-BR"/>
              </w:rPr>
              <w:t>生产情况</w:t>
            </w:r>
          </w:p>
        </w:tc>
      </w:tr>
      <w:tr w:rsidR="00EE56C0">
        <w:trPr>
          <w:trHeight w:val="340"/>
          <w:jc w:val="center"/>
        </w:trPr>
        <w:tc>
          <w:tcPr>
            <w:tcW w:w="313" w:type="pct"/>
            <w:vAlign w:val="center"/>
          </w:tcPr>
          <w:p w:rsidR="00EE56C0" w:rsidRDefault="000F36A1">
            <w:pPr>
              <w:pStyle w:val="afa"/>
              <w:rPr>
                <w:lang w:val="pt-BR"/>
              </w:rPr>
            </w:pPr>
            <w:r>
              <w:rPr>
                <w:rFonts w:hint="eastAsia"/>
                <w:lang w:val="pt-BR"/>
              </w:rPr>
              <w:t>1</w:t>
            </w:r>
          </w:p>
        </w:tc>
        <w:tc>
          <w:tcPr>
            <w:tcW w:w="1656" w:type="pct"/>
            <w:vAlign w:val="center"/>
          </w:tcPr>
          <w:p w:rsidR="00EE56C0" w:rsidRDefault="000F36A1">
            <w:pPr>
              <w:pStyle w:val="afa"/>
              <w:rPr>
                <w:lang w:val="pt-BR"/>
              </w:rPr>
            </w:pPr>
            <w:r>
              <w:t>年产</w:t>
            </w:r>
            <w:r>
              <w:t>4</w:t>
            </w:r>
            <w:r>
              <w:t>万吨高效节能电机、节能变压器专用线项目</w:t>
            </w:r>
          </w:p>
        </w:tc>
        <w:tc>
          <w:tcPr>
            <w:tcW w:w="974" w:type="pct"/>
            <w:vAlign w:val="center"/>
          </w:tcPr>
          <w:p w:rsidR="00EE56C0" w:rsidRDefault="000F36A1">
            <w:pPr>
              <w:pStyle w:val="afa"/>
              <w:rPr>
                <w:lang w:val="pt-BR"/>
              </w:rPr>
            </w:pPr>
            <w:r>
              <w:rPr>
                <w:rFonts w:hint="eastAsia"/>
                <w:lang w:val="pt-BR"/>
              </w:rPr>
              <w:t>环境影响评价报告表</w:t>
            </w:r>
          </w:p>
        </w:tc>
        <w:tc>
          <w:tcPr>
            <w:tcW w:w="683" w:type="pct"/>
            <w:vAlign w:val="center"/>
          </w:tcPr>
          <w:p w:rsidR="00EE56C0" w:rsidRDefault="000F36A1">
            <w:pPr>
              <w:pStyle w:val="afa"/>
              <w:rPr>
                <w:lang w:val="pt-BR"/>
              </w:rPr>
            </w:pPr>
            <w:r>
              <w:t>新环监（</w:t>
            </w:r>
            <w:r>
              <w:t>2013</w:t>
            </w:r>
            <w:r>
              <w:t>）</w:t>
            </w:r>
            <w:r>
              <w:t>303</w:t>
            </w:r>
            <w:r>
              <w:t>号</w:t>
            </w:r>
          </w:p>
        </w:tc>
        <w:tc>
          <w:tcPr>
            <w:tcW w:w="741" w:type="pct"/>
            <w:vAlign w:val="center"/>
          </w:tcPr>
          <w:p w:rsidR="00EE56C0" w:rsidRDefault="000F36A1">
            <w:pPr>
              <w:pStyle w:val="afa"/>
              <w:rPr>
                <w:lang w:val="pt-BR"/>
              </w:rPr>
            </w:pPr>
            <w:r>
              <w:t>新环验（</w:t>
            </w:r>
            <w:r>
              <w:t>2015</w:t>
            </w:r>
            <w:r>
              <w:t>）</w:t>
            </w:r>
            <w:r>
              <w:t>172</w:t>
            </w:r>
            <w:r>
              <w:t>号</w:t>
            </w:r>
          </w:p>
        </w:tc>
        <w:tc>
          <w:tcPr>
            <w:tcW w:w="633" w:type="pct"/>
            <w:vAlign w:val="center"/>
          </w:tcPr>
          <w:p w:rsidR="00EE56C0" w:rsidRDefault="000F36A1">
            <w:pPr>
              <w:pStyle w:val="afa"/>
              <w:rPr>
                <w:lang w:val="pt-BR"/>
              </w:rPr>
            </w:pPr>
            <w:r>
              <w:rPr>
                <w:rFonts w:hint="eastAsia"/>
                <w:lang w:val="pt-BR"/>
              </w:rPr>
              <w:t>正常生产</w:t>
            </w:r>
          </w:p>
        </w:tc>
      </w:tr>
      <w:tr w:rsidR="00EE56C0">
        <w:trPr>
          <w:trHeight w:val="340"/>
          <w:jc w:val="center"/>
        </w:trPr>
        <w:tc>
          <w:tcPr>
            <w:tcW w:w="313" w:type="pct"/>
            <w:vAlign w:val="center"/>
          </w:tcPr>
          <w:p w:rsidR="00EE56C0" w:rsidRDefault="000F36A1">
            <w:pPr>
              <w:pStyle w:val="afa"/>
              <w:rPr>
                <w:lang w:val="pt-BR"/>
              </w:rPr>
            </w:pPr>
            <w:r>
              <w:rPr>
                <w:rFonts w:hint="eastAsia"/>
                <w:lang w:val="pt-BR"/>
              </w:rPr>
              <w:t>2</w:t>
            </w:r>
          </w:p>
        </w:tc>
        <w:tc>
          <w:tcPr>
            <w:tcW w:w="1656" w:type="pct"/>
            <w:vAlign w:val="center"/>
          </w:tcPr>
          <w:p w:rsidR="00EE56C0" w:rsidRDefault="000F36A1">
            <w:pPr>
              <w:pStyle w:val="afa"/>
              <w:rPr>
                <w:lang w:val="pt-BR"/>
              </w:rPr>
            </w:pPr>
            <w:r>
              <w:rPr>
                <w:rFonts w:hint="eastAsia"/>
                <w:lang w:val="pt-BR"/>
              </w:rPr>
              <w:t>年产</w:t>
            </w:r>
            <w:r>
              <w:rPr>
                <w:rFonts w:hint="eastAsia"/>
                <w:lang w:val="pt-BR"/>
              </w:rPr>
              <w:t>5</w:t>
            </w:r>
            <w:r>
              <w:rPr>
                <w:rFonts w:hint="eastAsia"/>
                <w:lang w:val="pt-BR"/>
              </w:rPr>
              <w:t>万吨风力发电、轨道交通特种线项目</w:t>
            </w:r>
          </w:p>
        </w:tc>
        <w:tc>
          <w:tcPr>
            <w:tcW w:w="974" w:type="pct"/>
            <w:vAlign w:val="center"/>
          </w:tcPr>
          <w:p w:rsidR="00EE56C0" w:rsidRDefault="000F36A1">
            <w:pPr>
              <w:pStyle w:val="afa"/>
              <w:rPr>
                <w:lang w:val="pt-BR"/>
              </w:rPr>
            </w:pPr>
            <w:r>
              <w:rPr>
                <w:rFonts w:hint="eastAsia"/>
                <w:lang w:val="pt-BR"/>
              </w:rPr>
              <w:t>现状环境影响评估报告</w:t>
            </w:r>
          </w:p>
        </w:tc>
        <w:tc>
          <w:tcPr>
            <w:tcW w:w="683" w:type="pct"/>
            <w:vAlign w:val="center"/>
          </w:tcPr>
          <w:p w:rsidR="00EE56C0" w:rsidRDefault="000F36A1">
            <w:pPr>
              <w:pStyle w:val="afa"/>
              <w:rPr>
                <w:lang w:val="pt-BR"/>
              </w:rPr>
            </w:pPr>
            <w:r>
              <w:rPr>
                <w:rFonts w:hint="eastAsia"/>
                <w:lang w:val="pt-BR"/>
              </w:rPr>
              <w:t>新环清备第</w:t>
            </w:r>
            <w:r>
              <w:rPr>
                <w:rFonts w:hint="eastAsia"/>
                <w:lang w:val="pt-BR"/>
              </w:rPr>
              <w:t>10</w:t>
            </w:r>
            <w:r>
              <w:rPr>
                <w:rFonts w:hint="eastAsia"/>
                <w:lang w:val="pt-BR"/>
              </w:rPr>
              <w:t>号</w:t>
            </w:r>
          </w:p>
        </w:tc>
        <w:tc>
          <w:tcPr>
            <w:tcW w:w="741" w:type="pct"/>
            <w:vAlign w:val="center"/>
          </w:tcPr>
          <w:p w:rsidR="00EE56C0" w:rsidRDefault="000F36A1">
            <w:pPr>
              <w:pStyle w:val="afa"/>
              <w:rPr>
                <w:lang w:val="pt-BR"/>
              </w:rPr>
            </w:pPr>
            <w:r>
              <w:rPr>
                <w:rFonts w:hint="eastAsia"/>
                <w:lang w:val="pt-BR"/>
              </w:rPr>
              <w:t>/</w:t>
            </w:r>
          </w:p>
        </w:tc>
        <w:tc>
          <w:tcPr>
            <w:tcW w:w="633" w:type="pct"/>
          </w:tcPr>
          <w:p w:rsidR="00EE56C0" w:rsidRDefault="000F36A1">
            <w:pPr>
              <w:pStyle w:val="afa"/>
              <w:rPr>
                <w:lang w:val="pt-BR"/>
              </w:rPr>
            </w:pPr>
            <w:r>
              <w:rPr>
                <w:rFonts w:hint="eastAsia"/>
                <w:lang w:val="pt-BR"/>
              </w:rPr>
              <w:t>正常生产</w:t>
            </w:r>
          </w:p>
        </w:tc>
      </w:tr>
      <w:tr w:rsidR="00EE56C0">
        <w:trPr>
          <w:trHeight w:val="340"/>
          <w:jc w:val="center"/>
        </w:trPr>
        <w:tc>
          <w:tcPr>
            <w:tcW w:w="313" w:type="pct"/>
            <w:vAlign w:val="center"/>
          </w:tcPr>
          <w:p w:rsidR="00EE56C0" w:rsidRDefault="000F36A1">
            <w:pPr>
              <w:pStyle w:val="afa"/>
              <w:rPr>
                <w:lang w:val="pt-BR"/>
              </w:rPr>
            </w:pPr>
            <w:r>
              <w:rPr>
                <w:rFonts w:hint="eastAsia"/>
                <w:lang w:val="pt-BR"/>
              </w:rPr>
              <w:t>3</w:t>
            </w:r>
          </w:p>
        </w:tc>
        <w:tc>
          <w:tcPr>
            <w:tcW w:w="1656" w:type="pct"/>
            <w:vAlign w:val="center"/>
          </w:tcPr>
          <w:p w:rsidR="00EE56C0" w:rsidRDefault="000F36A1">
            <w:pPr>
              <w:pStyle w:val="afa"/>
              <w:rPr>
                <w:lang w:val="pt-BR"/>
              </w:rPr>
            </w:pPr>
            <w:r>
              <w:rPr>
                <w:rFonts w:hint="eastAsia"/>
                <w:lang w:val="pt-BR"/>
              </w:rPr>
              <w:t>年产</w:t>
            </w:r>
            <w:r>
              <w:rPr>
                <w:rFonts w:hint="eastAsia"/>
                <w:lang w:val="pt-BR"/>
              </w:rPr>
              <w:t>2</w:t>
            </w:r>
            <w:r>
              <w:rPr>
                <w:rFonts w:hint="eastAsia"/>
                <w:lang w:val="pt-BR"/>
              </w:rPr>
              <w:t>万吨无氧铜杆项目</w:t>
            </w:r>
          </w:p>
        </w:tc>
        <w:tc>
          <w:tcPr>
            <w:tcW w:w="974" w:type="pct"/>
            <w:vMerge w:val="restart"/>
            <w:vAlign w:val="center"/>
          </w:tcPr>
          <w:p w:rsidR="00EE56C0" w:rsidRDefault="000F36A1">
            <w:pPr>
              <w:pStyle w:val="afa"/>
              <w:rPr>
                <w:lang w:val="pt-BR"/>
              </w:rPr>
            </w:pPr>
            <w:r>
              <w:rPr>
                <w:rFonts w:hint="eastAsia"/>
                <w:lang w:val="pt-BR"/>
              </w:rPr>
              <w:t>环境影响评价报告表</w:t>
            </w:r>
          </w:p>
        </w:tc>
        <w:tc>
          <w:tcPr>
            <w:tcW w:w="683" w:type="pct"/>
            <w:vAlign w:val="center"/>
          </w:tcPr>
          <w:p w:rsidR="00EE56C0" w:rsidRDefault="000F36A1">
            <w:pPr>
              <w:pStyle w:val="afa"/>
              <w:rPr>
                <w:lang w:val="pt-BR"/>
              </w:rPr>
            </w:pPr>
            <w:r>
              <w:rPr>
                <w:rFonts w:hint="eastAsia"/>
                <w:lang w:val="pt-BR"/>
              </w:rPr>
              <w:t>新环表审</w:t>
            </w:r>
            <w:r>
              <w:rPr>
                <w:lang w:val="pt-BR"/>
              </w:rPr>
              <w:t>[2017]134</w:t>
            </w:r>
            <w:r>
              <w:rPr>
                <w:rFonts w:hint="eastAsia"/>
                <w:lang w:val="pt-BR"/>
              </w:rPr>
              <w:t>号</w:t>
            </w:r>
          </w:p>
        </w:tc>
        <w:tc>
          <w:tcPr>
            <w:tcW w:w="741" w:type="pct"/>
            <w:vAlign w:val="center"/>
          </w:tcPr>
          <w:p w:rsidR="00EE56C0" w:rsidRDefault="000F36A1">
            <w:pPr>
              <w:pStyle w:val="afa"/>
              <w:rPr>
                <w:lang w:val="pt-BR"/>
              </w:rPr>
            </w:pPr>
            <w:r>
              <w:rPr>
                <w:rFonts w:hint="eastAsia"/>
                <w:lang w:val="pt-BR"/>
              </w:rPr>
              <w:t>已完成自主验收</w:t>
            </w:r>
          </w:p>
        </w:tc>
        <w:tc>
          <w:tcPr>
            <w:tcW w:w="633" w:type="pct"/>
            <w:vAlign w:val="center"/>
          </w:tcPr>
          <w:p w:rsidR="00EE56C0" w:rsidRDefault="000F36A1">
            <w:pPr>
              <w:pStyle w:val="afa"/>
              <w:rPr>
                <w:lang w:val="pt-BR"/>
              </w:rPr>
            </w:pPr>
            <w:r>
              <w:rPr>
                <w:rFonts w:hint="eastAsia"/>
                <w:lang w:val="pt-BR"/>
              </w:rPr>
              <w:t>正常生产</w:t>
            </w:r>
          </w:p>
        </w:tc>
      </w:tr>
      <w:tr w:rsidR="00EE56C0">
        <w:trPr>
          <w:trHeight w:val="340"/>
          <w:jc w:val="center"/>
        </w:trPr>
        <w:tc>
          <w:tcPr>
            <w:tcW w:w="313" w:type="pct"/>
            <w:vAlign w:val="center"/>
          </w:tcPr>
          <w:p w:rsidR="00EE56C0" w:rsidRDefault="000F36A1">
            <w:pPr>
              <w:pStyle w:val="afa"/>
              <w:rPr>
                <w:lang w:val="pt-BR"/>
              </w:rPr>
            </w:pPr>
            <w:r>
              <w:rPr>
                <w:rFonts w:hint="eastAsia"/>
                <w:lang w:val="pt-BR"/>
              </w:rPr>
              <w:t>4</w:t>
            </w:r>
          </w:p>
        </w:tc>
        <w:tc>
          <w:tcPr>
            <w:tcW w:w="1656" w:type="pct"/>
            <w:vAlign w:val="center"/>
          </w:tcPr>
          <w:p w:rsidR="00EE56C0" w:rsidRDefault="000F36A1">
            <w:pPr>
              <w:pStyle w:val="afa"/>
              <w:rPr>
                <w:lang w:val="pt-BR"/>
              </w:rPr>
            </w:pPr>
            <w:r>
              <w:rPr>
                <w:rFonts w:hint="eastAsia"/>
                <w:lang w:val="pt-BR"/>
              </w:rPr>
              <w:t>年产</w:t>
            </w:r>
            <w:r>
              <w:rPr>
                <w:rFonts w:hint="eastAsia"/>
                <w:lang w:val="pt-BR"/>
              </w:rPr>
              <w:t>200</w:t>
            </w:r>
            <w:r>
              <w:rPr>
                <w:rFonts w:hint="eastAsia"/>
                <w:lang w:val="pt-BR"/>
              </w:rPr>
              <w:t>万只包装线盘项目</w:t>
            </w:r>
          </w:p>
        </w:tc>
        <w:tc>
          <w:tcPr>
            <w:tcW w:w="974" w:type="pct"/>
            <w:vMerge/>
            <w:vAlign w:val="center"/>
          </w:tcPr>
          <w:p w:rsidR="00EE56C0" w:rsidRDefault="00EE56C0">
            <w:pPr>
              <w:pStyle w:val="afa"/>
              <w:rPr>
                <w:lang w:val="pt-BR"/>
              </w:rPr>
            </w:pPr>
          </w:p>
        </w:tc>
        <w:tc>
          <w:tcPr>
            <w:tcW w:w="683" w:type="pct"/>
            <w:vAlign w:val="center"/>
          </w:tcPr>
          <w:p w:rsidR="00EE56C0" w:rsidRDefault="000F36A1">
            <w:pPr>
              <w:pStyle w:val="afa"/>
              <w:rPr>
                <w:lang w:val="pt-BR"/>
              </w:rPr>
            </w:pPr>
            <w:r>
              <w:rPr>
                <w:rFonts w:hint="eastAsia"/>
                <w:lang w:val="pt-BR"/>
              </w:rPr>
              <w:t>新环表</w:t>
            </w:r>
          </w:p>
          <w:p w:rsidR="00EE56C0" w:rsidRDefault="000F36A1">
            <w:pPr>
              <w:pStyle w:val="afa"/>
              <w:rPr>
                <w:lang w:val="pt-BR"/>
              </w:rPr>
            </w:pPr>
            <w:r>
              <w:rPr>
                <w:lang w:val="pt-BR"/>
              </w:rPr>
              <w:t>[2017]014</w:t>
            </w:r>
            <w:r>
              <w:rPr>
                <w:rFonts w:hint="eastAsia"/>
                <w:lang w:val="pt-BR"/>
              </w:rPr>
              <w:t>号</w:t>
            </w:r>
          </w:p>
        </w:tc>
        <w:tc>
          <w:tcPr>
            <w:tcW w:w="741" w:type="pct"/>
            <w:vAlign w:val="center"/>
          </w:tcPr>
          <w:p w:rsidR="00EE56C0" w:rsidRDefault="000F36A1">
            <w:pPr>
              <w:pStyle w:val="afa"/>
              <w:rPr>
                <w:lang w:val="pt-BR"/>
              </w:rPr>
            </w:pPr>
            <w:r>
              <w:rPr>
                <w:rFonts w:hint="eastAsia"/>
                <w:lang w:val="pt-BR"/>
              </w:rPr>
              <w:t>新环评验</w:t>
            </w:r>
            <w:r>
              <w:rPr>
                <w:lang w:val="pt-BR"/>
              </w:rPr>
              <w:t>[2018]011</w:t>
            </w:r>
            <w:r>
              <w:rPr>
                <w:rFonts w:hint="eastAsia"/>
                <w:lang w:val="pt-BR"/>
              </w:rPr>
              <w:t>号</w:t>
            </w:r>
          </w:p>
        </w:tc>
        <w:tc>
          <w:tcPr>
            <w:tcW w:w="633" w:type="pct"/>
            <w:vAlign w:val="center"/>
          </w:tcPr>
          <w:p w:rsidR="00EE56C0" w:rsidRDefault="000F36A1">
            <w:pPr>
              <w:pStyle w:val="afa"/>
              <w:rPr>
                <w:lang w:val="pt-BR"/>
              </w:rPr>
            </w:pPr>
            <w:r>
              <w:rPr>
                <w:rFonts w:hint="eastAsia"/>
                <w:lang w:val="pt-BR"/>
              </w:rPr>
              <w:t>正常生产</w:t>
            </w:r>
          </w:p>
        </w:tc>
      </w:tr>
      <w:tr w:rsidR="00EE56C0">
        <w:trPr>
          <w:trHeight w:val="340"/>
          <w:jc w:val="center"/>
        </w:trPr>
        <w:tc>
          <w:tcPr>
            <w:tcW w:w="313" w:type="pct"/>
            <w:vAlign w:val="center"/>
          </w:tcPr>
          <w:p w:rsidR="00EE56C0" w:rsidRDefault="000F36A1">
            <w:pPr>
              <w:pStyle w:val="afa"/>
              <w:rPr>
                <w:lang w:val="pt-BR"/>
              </w:rPr>
            </w:pPr>
            <w:r>
              <w:rPr>
                <w:lang w:val="pt-BR"/>
              </w:rPr>
              <w:t>5</w:t>
            </w:r>
          </w:p>
        </w:tc>
        <w:tc>
          <w:tcPr>
            <w:tcW w:w="1656" w:type="pct"/>
            <w:vAlign w:val="center"/>
          </w:tcPr>
          <w:p w:rsidR="00EE56C0" w:rsidRDefault="000F36A1">
            <w:pPr>
              <w:pStyle w:val="afa"/>
              <w:rPr>
                <w:lang w:val="pt-BR"/>
              </w:rPr>
            </w:pPr>
            <w:r>
              <w:rPr>
                <w:rFonts w:hint="eastAsia"/>
              </w:rPr>
              <w:t>年产</w:t>
            </w:r>
            <w:r>
              <w:rPr>
                <w:rFonts w:hint="eastAsia"/>
              </w:rPr>
              <w:t>2</w:t>
            </w:r>
            <w:r>
              <w:rPr>
                <w:rFonts w:hint="eastAsia"/>
              </w:rPr>
              <w:t>万吨新能源汽车电器专用线项目</w:t>
            </w:r>
          </w:p>
        </w:tc>
        <w:tc>
          <w:tcPr>
            <w:tcW w:w="974" w:type="pct"/>
            <w:vMerge/>
            <w:vAlign w:val="center"/>
          </w:tcPr>
          <w:p w:rsidR="00EE56C0" w:rsidRDefault="00EE56C0">
            <w:pPr>
              <w:pStyle w:val="afa"/>
              <w:rPr>
                <w:lang w:val="pt-BR"/>
              </w:rPr>
            </w:pPr>
          </w:p>
        </w:tc>
        <w:tc>
          <w:tcPr>
            <w:tcW w:w="683" w:type="pct"/>
            <w:vAlign w:val="center"/>
          </w:tcPr>
          <w:p w:rsidR="00EE56C0" w:rsidRDefault="000F36A1">
            <w:pPr>
              <w:pStyle w:val="afa"/>
              <w:rPr>
                <w:lang w:val="pt-BR"/>
              </w:rPr>
            </w:pPr>
            <w:r>
              <w:rPr>
                <w:rFonts w:hint="eastAsia"/>
              </w:rPr>
              <w:t>新环表（</w:t>
            </w:r>
            <w:r>
              <w:t>2018</w:t>
            </w:r>
            <w:r>
              <w:rPr>
                <w:rFonts w:hint="eastAsia"/>
              </w:rPr>
              <w:t>）</w:t>
            </w:r>
            <w:r>
              <w:t>052</w:t>
            </w:r>
            <w:r>
              <w:rPr>
                <w:rFonts w:hint="eastAsia"/>
              </w:rPr>
              <w:t>号</w:t>
            </w:r>
          </w:p>
        </w:tc>
        <w:tc>
          <w:tcPr>
            <w:tcW w:w="741" w:type="pct"/>
            <w:vAlign w:val="center"/>
          </w:tcPr>
          <w:p w:rsidR="00EE56C0" w:rsidRDefault="000F36A1">
            <w:pPr>
              <w:pStyle w:val="afa"/>
              <w:rPr>
                <w:lang w:val="pt-BR"/>
              </w:rPr>
            </w:pPr>
            <w:r>
              <w:rPr>
                <w:rFonts w:hint="eastAsia"/>
                <w:lang w:val="pt-BR"/>
              </w:rPr>
              <w:t>已完成自主验收</w:t>
            </w:r>
          </w:p>
        </w:tc>
        <w:tc>
          <w:tcPr>
            <w:tcW w:w="633" w:type="pct"/>
            <w:vAlign w:val="center"/>
          </w:tcPr>
          <w:p w:rsidR="00EE56C0" w:rsidRDefault="000F36A1">
            <w:pPr>
              <w:pStyle w:val="afa"/>
              <w:rPr>
                <w:lang w:val="pt-BR"/>
              </w:rPr>
            </w:pPr>
            <w:r>
              <w:rPr>
                <w:rFonts w:hint="eastAsia"/>
                <w:lang w:val="pt-BR"/>
              </w:rPr>
              <w:t>正常生产</w:t>
            </w:r>
          </w:p>
        </w:tc>
      </w:tr>
    </w:tbl>
    <w:p w:rsidR="00EE56C0" w:rsidRDefault="000F36A1">
      <w:pPr>
        <w:ind w:firstLine="480"/>
      </w:pPr>
      <w:r>
        <w:rPr>
          <w:rFonts w:hint="eastAsia"/>
        </w:rPr>
        <w:lastRenderedPageBreak/>
        <w:t>综上，与本项目有关的现有项目及</w:t>
      </w:r>
      <w:r>
        <w:t>环保手续</w:t>
      </w:r>
      <w:r>
        <w:rPr>
          <w:rFonts w:hint="eastAsia"/>
        </w:rPr>
        <w:t>见下表：</w:t>
      </w:r>
    </w:p>
    <w:p w:rsidR="00EE56C0" w:rsidRDefault="000F36A1">
      <w:pPr>
        <w:pStyle w:val="afd"/>
        <w:spacing w:before="120" w:after="120"/>
        <w:ind w:firstLine="482"/>
      </w:pPr>
      <w:r>
        <w:t>表</w:t>
      </w:r>
      <w:r>
        <w:rPr>
          <w:rFonts w:hint="eastAsia"/>
        </w:rPr>
        <w:t xml:space="preserve">3-2     </w:t>
      </w:r>
      <w:r>
        <w:rPr>
          <w:rFonts w:hint="eastAsia"/>
        </w:rPr>
        <w:t>与本项目有关的</w:t>
      </w:r>
      <w:r>
        <w:t>现有项目环保手续一览表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80"/>
        <w:gridCol w:w="1471"/>
        <w:gridCol w:w="851"/>
        <w:gridCol w:w="1275"/>
        <w:gridCol w:w="1276"/>
        <w:gridCol w:w="1559"/>
        <w:gridCol w:w="1616"/>
      </w:tblGrid>
      <w:tr w:rsidR="00EE56C0">
        <w:trPr>
          <w:trHeight w:val="454"/>
          <w:jc w:val="center"/>
        </w:trPr>
        <w:tc>
          <w:tcPr>
            <w:tcW w:w="480" w:type="dxa"/>
            <w:vAlign w:val="center"/>
          </w:tcPr>
          <w:p w:rsidR="00EE56C0" w:rsidRDefault="000F36A1">
            <w:pPr>
              <w:pStyle w:val="aff1"/>
              <w:rPr>
                <w:color w:val="auto"/>
                <w:lang w:val="pt-BR"/>
              </w:rPr>
            </w:pPr>
            <w:r>
              <w:rPr>
                <w:color w:val="auto"/>
                <w:lang w:val="pt-BR"/>
              </w:rPr>
              <w:t>序号</w:t>
            </w:r>
          </w:p>
        </w:tc>
        <w:tc>
          <w:tcPr>
            <w:tcW w:w="1471" w:type="dxa"/>
            <w:vAlign w:val="center"/>
          </w:tcPr>
          <w:p w:rsidR="00EE56C0" w:rsidRDefault="000F36A1">
            <w:pPr>
              <w:pStyle w:val="aff1"/>
              <w:rPr>
                <w:color w:val="auto"/>
                <w:lang w:val="pt-BR"/>
              </w:rPr>
            </w:pPr>
            <w:r>
              <w:rPr>
                <w:color w:val="auto"/>
                <w:lang w:val="pt-BR"/>
              </w:rPr>
              <w:t>项目名称</w:t>
            </w:r>
          </w:p>
        </w:tc>
        <w:tc>
          <w:tcPr>
            <w:tcW w:w="851" w:type="dxa"/>
            <w:vAlign w:val="center"/>
          </w:tcPr>
          <w:p w:rsidR="00EE56C0" w:rsidRDefault="000F36A1">
            <w:pPr>
              <w:pStyle w:val="aff1"/>
              <w:rPr>
                <w:color w:val="auto"/>
                <w:lang w:val="pt-BR"/>
              </w:rPr>
            </w:pPr>
            <w:r>
              <w:rPr>
                <w:color w:val="auto"/>
                <w:lang w:val="pt-BR"/>
              </w:rPr>
              <w:t>报告类别</w:t>
            </w:r>
          </w:p>
        </w:tc>
        <w:tc>
          <w:tcPr>
            <w:tcW w:w="1275" w:type="dxa"/>
            <w:vAlign w:val="center"/>
          </w:tcPr>
          <w:p w:rsidR="00EE56C0" w:rsidRDefault="000F36A1">
            <w:pPr>
              <w:pStyle w:val="aff1"/>
              <w:rPr>
                <w:color w:val="auto"/>
                <w:lang w:val="pt-BR"/>
              </w:rPr>
            </w:pPr>
            <w:r>
              <w:rPr>
                <w:color w:val="auto"/>
                <w:lang w:val="pt-BR"/>
              </w:rPr>
              <w:t>批复文号</w:t>
            </w:r>
          </w:p>
        </w:tc>
        <w:tc>
          <w:tcPr>
            <w:tcW w:w="1276" w:type="dxa"/>
            <w:vAlign w:val="center"/>
          </w:tcPr>
          <w:p w:rsidR="00EE56C0" w:rsidRDefault="000F36A1">
            <w:pPr>
              <w:pStyle w:val="aff1"/>
              <w:rPr>
                <w:color w:val="auto"/>
                <w:lang w:val="pt-BR"/>
              </w:rPr>
            </w:pPr>
            <w:r>
              <w:rPr>
                <w:color w:val="auto"/>
                <w:lang w:val="pt-BR"/>
              </w:rPr>
              <w:t>验收文号</w:t>
            </w:r>
          </w:p>
        </w:tc>
        <w:tc>
          <w:tcPr>
            <w:tcW w:w="1559" w:type="dxa"/>
            <w:vAlign w:val="center"/>
          </w:tcPr>
          <w:p w:rsidR="00EE56C0" w:rsidRDefault="000F36A1">
            <w:pPr>
              <w:pStyle w:val="aff1"/>
              <w:rPr>
                <w:color w:val="auto"/>
                <w:lang w:val="pt-BR"/>
              </w:rPr>
            </w:pPr>
            <w:r>
              <w:rPr>
                <w:rFonts w:hint="eastAsia"/>
                <w:color w:val="auto"/>
                <w:lang w:val="pt-BR"/>
              </w:rPr>
              <w:t>排污许可证</w:t>
            </w:r>
          </w:p>
        </w:tc>
        <w:tc>
          <w:tcPr>
            <w:tcW w:w="1616" w:type="dxa"/>
            <w:vAlign w:val="center"/>
          </w:tcPr>
          <w:p w:rsidR="00EE56C0" w:rsidRDefault="000F36A1">
            <w:pPr>
              <w:pStyle w:val="aff1"/>
              <w:rPr>
                <w:color w:val="auto"/>
                <w:lang w:val="pt-BR"/>
              </w:rPr>
            </w:pPr>
            <w:r>
              <w:rPr>
                <w:rFonts w:hint="eastAsia"/>
                <w:color w:val="auto"/>
                <w:lang w:val="pt-BR"/>
              </w:rPr>
              <w:t>本项目涉及内容</w:t>
            </w:r>
          </w:p>
        </w:tc>
      </w:tr>
      <w:tr w:rsidR="00EE56C0">
        <w:trPr>
          <w:trHeight w:val="454"/>
          <w:jc w:val="center"/>
        </w:trPr>
        <w:tc>
          <w:tcPr>
            <w:tcW w:w="480" w:type="dxa"/>
            <w:vAlign w:val="center"/>
          </w:tcPr>
          <w:p w:rsidR="00EE56C0" w:rsidRDefault="000F36A1">
            <w:pPr>
              <w:pStyle w:val="afa"/>
              <w:rPr>
                <w:lang w:val="pt-BR"/>
              </w:rPr>
            </w:pPr>
            <w:r>
              <w:rPr>
                <w:lang w:val="pt-BR"/>
              </w:rPr>
              <w:t>1</w:t>
            </w:r>
          </w:p>
        </w:tc>
        <w:tc>
          <w:tcPr>
            <w:tcW w:w="1471" w:type="dxa"/>
            <w:vAlign w:val="center"/>
          </w:tcPr>
          <w:p w:rsidR="00EE56C0" w:rsidRDefault="000F36A1">
            <w:pPr>
              <w:pStyle w:val="afa"/>
              <w:rPr>
                <w:lang w:val="pt-BR"/>
              </w:rPr>
            </w:pPr>
            <w:r>
              <w:t>年产</w:t>
            </w:r>
            <w:r>
              <w:t>4</w:t>
            </w:r>
            <w:r>
              <w:t>万吨高效节能电机、节能变压器专用线项目</w:t>
            </w:r>
          </w:p>
        </w:tc>
        <w:tc>
          <w:tcPr>
            <w:tcW w:w="851" w:type="dxa"/>
            <w:vAlign w:val="center"/>
          </w:tcPr>
          <w:p w:rsidR="00EE56C0" w:rsidRDefault="000F36A1">
            <w:pPr>
              <w:pStyle w:val="afa"/>
              <w:rPr>
                <w:lang w:val="pt-BR"/>
              </w:rPr>
            </w:pPr>
            <w:r>
              <w:rPr>
                <w:lang w:val="pt-BR"/>
              </w:rPr>
              <w:t>环境影响报告表</w:t>
            </w:r>
          </w:p>
        </w:tc>
        <w:tc>
          <w:tcPr>
            <w:tcW w:w="1275" w:type="dxa"/>
            <w:vAlign w:val="center"/>
          </w:tcPr>
          <w:p w:rsidR="00EE56C0" w:rsidRDefault="000F36A1">
            <w:pPr>
              <w:pStyle w:val="afa"/>
              <w:rPr>
                <w:lang w:val="pt-BR"/>
              </w:rPr>
            </w:pPr>
            <w:r>
              <w:t>新环监（</w:t>
            </w:r>
            <w:r>
              <w:t>2013</w:t>
            </w:r>
            <w:r>
              <w:t>）</w:t>
            </w:r>
            <w:r>
              <w:t>303</w:t>
            </w:r>
            <w:r>
              <w:t>号</w:t>
            </w:r>
          </w:p>
        </w:tc>
        <w:tc>
          <w:tcPr>
            <w:tcW w:w="1276" w:type="dxa"/>
            <w:vAlign w:val="center"/>
          </w:tcPr>
          <w:p w:rsidR="00EE56C0" w:rsidRDefault="000F36A1">
            <w:pPr>
              <w:pStyle w:val="afa"/>
              <w:rPr>
                <w:lang w:val="pt-BR"/>
              </w:rPr>
            </w:pPr>
            <w:r>
              <w:t>新环验（</w:t>
            </w:r>
            <w:r>
              <w:t>2015</w:t>
            </w:r>
            <w:r>
              <w:t>）</w:t>
            </w:r>
            <w:r>
              <w:t>172</w:t>
            </w:r>
            <w:r>
              <w:t>号</w:t>
            </w:r>
          </w:p>
        </w:tc>
        <w:tc>
          <w:tcPr>
            <w:tcW w:w="1559" w:type="dxa"/>
            <w:vMerge w:val="restart"/>
            <w:vAlign w:val="center"/>
          </w:tcPr>
          <w:p w:rsidR="00EE56C0" w:rsidRDefault="000F36A1">
            <w:pPr>
              <w:pStyle w:val="afa"/>
              <w:rPr>
                <w:lang w:val="pt-BR"/>
              </w:rPr>
            </w:pPr>
            <w:r>
              <w:rPr>
                <w:lang w:val="pt-BR"/>
              </w:rPr>
              <w:t>914107217066142661001Y</w:t>
            </w:r>
          </w:p>
        </w:tc>
        <w:tc>
          <w:tcPr>
            <w:tcW w:w="1616" w:type="dxa"/>
            <w:vAlign w:val="center"/>
          </w:tcPr>
          <w:p w:rsidR="00EE56C0" w:rsidRDefault="000F36A1">
            <w:pPr>
              <w:pStyle w:val="afa"/>
              <w:rPr>
                <w:lang w:val="pt-BR"/>
              </w:rPr>
            </w:pPr>
            <w:r>
              <w:rPr>
                <w:rFonts w:hint="eastAsia"/>
                <w:lang w:val="pt-BR"/>
              </w:rPr>
              <w:t>涉及部分漆包线改建，同时纸包线、丝包线、烧结产能扩大</w:t>
            </w:r>
          </w:p>
        </w:tc>
      </w:tr>
      <w:tr w:rsidR="00EE56C0">
        <w:trPr>
          <w:trHeight w:val="454"/>
          <w:jc w:val="center"/>
        </w:trPr>
        <w:tc>
          <w:tcPr>
            <w:tcW w:w="480" w:type="dxa"/>
            <w:vAlign w:val="center"/>
          </w:tcPr>
          <w:p w:rsidR="00EE56C0" w:rsidRDefault="000F36A1">
            <w:pPr>
              <w:pStyle w:val="afa"/>
              <w:rPr>
                <w:lang w:val="pt-BR"/>
              </w:rPr>
            </w:pPr>
            <w:r>
              <w:rPr>
                <w:lang w:val="pt-BR"/>
              </w:rPr>
              <w:t>2</w:t>
            </w:r>
          </w:p>
        </w:tc>
        <w:tc>
          <w:tcPr>
            <w:tcW w:w="1471" w:type="dxa"/>
            <w:vAlign w:val="center"/>
          </w:tcPr>
          <w:p w:rsidR="00EE56C0" w:rsidRDefault="000F36A1">
            <w:pPr>
              <w:pStyle w:val="afa"/>
              <w:rPr>
                <w:lang w:val="pt-BR"/>
              </w:rPr>
            </w:pPr>
            <w:r>
              <w:t>年产</w:t>
            </w:r>
            <w:r>
              <w:t>2</w:t>
            </w:r>
            <w:r>
              <w:t>万吨新能源汽车电器专用线项目</w:t>
            </w:r>
          </w:p>
        </w:tc>
        <w:tc>
          <w:tcPr>
            <w:tcW w:w="851" w:type="dxa"/>
            <w:vAlign w:val="center"/>
          </w:tcPr>
          <w:p w:rsidR="00EE56C0" w:rsidRDefault="000F36A1">
            <w:pPr>
              <w:pStyle w:val="afa"/>
              <w:rPr>
                <w:lang w:val="pt-BR"/>
              </w:rPr>
            </w:pPr>
            <w:r>
              <w:rPr>
                <w:lang w:val="pt-BR"/>
              </w:rPr>
              <w:t>环境影响报告表</w:t>
            </w:r>
          </w:p>
        </w:tc>
        <w:tc>
          <w:tcPr>
            <w:tcW w:w="1275" w:type="dxa"/>
            <w:vAlign w:val="center"/>
          </w:tcPr>
          <w:p w:rsidR="00EE56C0" w:rsidRDefault="000F36A1">
            <w:pPr>
              <w:pStyle w:val="afa"/>
              <w:rPr>
                <w:lang w:val="pt-BR"/>
              </w:rPr>
            </w:pPr>
            <w:r>
              <w:t>新环表（</w:t>
            </w:r>
            <w:r>
              <w:t>2018</w:t>
            </w:r>
            <w:r>
              <w:t>）</w:t>
            </w:r>
            <w:r>
              <w:t>052</w:t>
            </w:r>
            <w:r>
              <w:t>号</w:t>
            </w:r>
          </w:p>
        </w:tc>
        <w:tc>
          <w:tcPr>
            <w:tcW w:w="1276" w:type="dxa"/>
            <w:vAlign w:val="center"/>
          </w:tcPr>
          <w:p w:rsidR="00EE56C0" w:rsidRDefault="000F36A1">
            <w:pPr>
              <w:pStyle w:val="afa"/>
              <w:rPr>
                <w:lang w:val="pt-BR"/>
              </w:rPr>
            </w:pPr>
            <w:r>
              <w:rPr>
                <w:lang w:val="pt-BR"/>
              </w:rPr>
              <w:t>/</w:t>
            </w:r>
          </w:p>
        </w:tc>
        <w:tc>
          <w:tcPr>
            <w:tcW w:w="1559" w:type="dxa"/>
            <w:vMerge/>
            <w:vAlign w:val="center"/>
          </w:tcPr>
          <w:p w:rsidR="00EE56C0" w:rsidRDefault="00EE56C0">
            <w:pPr>
              <w:pStyle w:val="afa"/>
              <w:rPr>
                <w:lang w:val="pt-BR"/>
              </w:rPr>
            </w:pPr>
          </w:p>
        </w:tc>
        <w:tc>
          <w:tcPr>
            <w:tcW w:w="1616" w:type="dxa"/>
            <w:vAlign w:val="center"/>
          </w:tcPr>
          <w:p w:rsidR="00EE56C0" w:rsidRDefault="000F36A1">
            <w:pPr>
              <w:pStyle w:val="afa"/>
              <w:rPr>
                <w:lang w:val="pt-BR"/>
              </w:rPr>
            </w:pPr>
            <w:r>
              <w:rPr>
                <w:rFonts w:hint="eastAsia"/>
                <w:lang w:val="pt-BR"/>
              </w:rPr>
              <w:t>涉及</w:t>
            </w:r>
            <w:r>
              <w:rPr>
                <w:rFonts w:hint="eastAsia"/>
                <w:lang w:val="pt-BR"/>
              </w:rPr>
              <w:t>2</w:t>
            </w:r>
            <w:r>
              <w:rPr>
                <w:rFonts w:hint="eastAsia"/>
                <w:lang w:val="pt-BR"/>
              </w:rPr>
              <w:t>台改建</w:t>
            </w:r>
          </w:p>
        </w:tc>
      </w:tr>
      <w:tr w:rsidR="00EE56C0">
        <w:trPr>
          <w:trHeight w:val="454"/>
          <w:jc w:val="center"/>
        </w:trPr>
        <w:tc>
          <w:tcPr>
            <w:tcW w:w="480" w:type="dxa"/>
            <w:vAlign w:val="center"/>
          </w:tcPr>
          <w:p w:rsidR="00EE56C0" w:rsidRDefault="000F36A1">
            <w:pPr>
              <w:pStyle w:val="afa"/>
              <w:rPr>
                <w:lang w:val="pt-BR"/>
              </w:rPr>
            </w:pPr>
            <w:r>
              <w:rPr>
                <w:rFonts w:hint="eastAsia"/>
                <w:lang w:val="pt-BR"/>
              </w:rPr>
              <w:t>3</w:t>
            </w:r>
          </w:p>
        </w:tc>
        <w:tc>
          <w:tcPr>
            <w:tcW w:w="1471" w:type="dxa"/>
            <w:vAlign w:val="center"/>
          </w:tcPr>
          <w:p w:rsidR="00EE56C0" w:rsidRDefault="000F36A1">
            <w:pPr>
              <w:pStyle w:val="afa"/>
            </w:pPr>
            <w:r>
              <w:rPr>
                <w:rFonts w:hint="eastAsia"/>
                <w:lang w:val="pt-BR"/>
              </w:rPr>
              <w:t>年产</w:t>
            </w:r>
            <w:r>
              <w:rPr>
                <w:rFonts w:hint="eastAsia"/>
                <w:lang w:val="pt-BR"/>
              </w:rPr>
              <w:t>200</w:t>
            </w:r>
            <w:r>
              <w:rPr>
                <w:rFonts w:hint="eastAsia"/>
                <w:lang w:val="pt-BR"/>
              </w:rPr>
              <w:t>万只包装线盘项目</w:t>
            </w:r>
            <w:r>
              <w:rPr>
                <w:rFonts w:hint="eastAsia"/>
                <w:lang w:val="pt-BR"/>
              </w:rPr>
              <w:t>*</w:t>
            </w:r>
          </w:p>
        </w:tc>
        <w:tc>
          <w:tcPr>
            <w:tcW w:w="851" w:type="dxa"/>
            <w:vAlign w:val="center"/>
          </w:tcPr>
          <w:p w:rsidR="00EE56C0" w:rsidRDefault="000F36A1">
            <w:pPr>
              <w:pStyle w:val="afa"/>
              <w:rPr>
                <w:lang w:val="pt-BR"/>
              </w:rPr>
            </w:pPr>
            <w:r>
              <w:rPr>
                <w:rFonts w:hint="eastAsia"/>
                <w:lang w:val="pt-BR"/>
              </w:rPr>
              <w:t>环境影响报告表</w:t>
            </w:r>
          </w:p>
        </w:tc>
        <w:tc>
          <w:tcPr>
            <w:tcW w:w="1275" w:type="dxa"/>
            <w:vAlign w:val="center"/>
          </w:tcPr>
          <w:p w:rsidR="00EE56C0" w:rsidRDefault="000F36A1">
            <w:pPr>
              <w:pStyle w:val="afa"/>
              <w:rPr>
                <w:lang w:val="pt-BR"/>
              </w:rPr>
            </w:pPr>
            <w:r>
              <w:rPr>
                <w:rFonts w:hint="eastAsia"/>
                <w:lang w:val="pt-BR"/>
              </w:rPr>
              <w:t>新环表</w:t>
            </w:r>
          </w:p>
          <w:p w:rsidR="00EE56C0" w:rsidRDefault="000F36A1">
            <w:pPr>
              <w:pStyle w:val="afa"/>
              <w:rPr>
                <w:lang w:val="pt-BR"/>
              </w:rPr>
            </w:pPr>
            <w:r>
              <w:rPr>
                <w:lang w:val="pt-BR"/>
              </w:rPr>
              <w:t>[2017]014</w:t>
            </w:r>
            <w:r>
              <w:rPr>
                <w:rFonts w:hint="eastAsia"/>
                <w:lang w:val="pt-BR"/>
              </w:rPr>
              <w:t>号</w:t>
            </w:r>
          </w:p>
        </w:tc>
        <w:tc>
          <w:tcPr>
            <w:tcW w:w="1276" w:type="dxa"/>
            <w:vAlign w:val="center"/>
          </w:tcPr>
          <w:p w:rsidR="00EE56C0" w:rsidRDefault="000F36A1">
            <w:pPr>
              <w:pStyle w:val="afa"/>
              <w:rPr>
                <w:lang w:val="pt-BR"/>
              </w:rPr>
            </w:pPr>
            <w:r>
              <w:rPr>
                <w:rFonts w:hint="eastAsia"/>
                <w:lang w:val="pt-BR"/>
              </w:rPr>
              <w:t>新环评验</w:t>
            </w:r>
            <w:r>
              <w:rPr>
                <w:lang w:val="pt-BR"/>
              </w:rPr>
              <w:t>[2018]011</w:t>
            </w:r>
            <w:r>
              <w:rPr>
                <w:rFonts w:hint="eastAsia"/>
                <w:lang w:val="pt-BR"/>
              </w:rPr>
              <w:t>号</w:t>
            </w:r>
          </w:p>
        </w:tc>
        <w:tc>
          <w:tcPr>
            <w:tcW w:w="1559" w:type="dxa"/>
            <w:vAlign w:val="center"/>
          </w:tcPr>
          <w:p w:rsidR="00EE56C0" w:rsidRDefault="000F36A1">
            <w:pPr>
              <w:pStyle w:val="afa"/>
              <w:rPr>
                <w:lang w:val="pt-BR"/>
              </w:rPr>
            </w:pPr>
            <w:r>
              <w:rPr>
                <w:rFonts w:hint="eastAsia"/>
                <w:lang w:val="pt-BR"/>
              </w:rPr>
              <w:t>91410721554232698Y001P</w:t>
            </w:r>
          </w:p>
        </w:tc>
        <w:tc>
          <w:tcPr>
            <w:tcW w:w="1616" w:type="dxa"/>
            <w:vAlign w:val="center"/>
          </w:tcPr>
          <w:p w:rsidR="00EE56C0" w:rsidRDefault="000F36A1">
            <w:pPr>
              <w:pStyle w:val="afa"/>
              <w:rPr>
                <w:lang w:val="pt-BR"/>
              </w:rPr>
            </w:pPr>
            <w:r>
              <w:rPr>
                <w:rFonts w:hint="eastAsia"/>
                <w:lang w:val="pt-BR"/>
              </w:rPr>
              <w:t>不涉及</w:t>
            </w:r>
          </w:p>
        </w:tc>
      </w:tr>
    </w:tbl>
    <w:p w:rsidR="00EE56C0" w:rsidRDefault="000F36A1">
      <w:pPr>
        <w:spacing w:line="240" w:lineRule="auto"/>
        <w:ind w:firstLine="440"/>
        <w:rPr>
          <w:rFonts w:ascii="黑体" w:eastAsia="黑体" w:hAnsi="黑体"/>
          <w:sz w:val="22"/>
        </w:rPr>
      </w:pPr>
      <w:r>
        <w:rPr>
          <w:rFonts w:ascii="黑体" w:eastAsia="黑体" w:hAnsi="黑体" w:hint="eastAsia"/>
          <w:sz w:val="22"/>
        </w:rPr>
        <w:t>注：*：“年产200万只包装线盘项目归属于新乡市华洋电工材料有限公司，但该项目有机废气依托本公司“活性炭吸附-脱附-催化燃烧装置”措施进行治理，因此该项目废气排放纳入河南华洋电工科技集团有限公司进行管理。</w:t>
      </w:r>
    </w:p>
    <w:p w:rsidR="00EE56C0" w:rsidRDefault="000F36A1">
      <w:pPr>
        <w:ind w:firstLine="480"/>
      </w:pPr>
      <w:r>
        <w:rPr>
          <w:rFonts w:hint="eastAsia"/>
        </w:rPr>
        <w:t>该公</w:t>
      </w:r>
      <w:r>
        <w:rPr>
          <w:rFonts w:eastAsiaTheme="majorEastAsia" w:hAnsiTheme="majorEastAsia"/>
        </w:rPr>
        <w:t>司于</w:t>
      </w:r>
      <w:r>
        <w:rPr>
          <w:rFonts w:eastAsiaTheme="majorEastAsia"/>
        </w:rPr>
        <w:t>2020</w:t>
      </w:r>
      <w:r>
        <w:rPr>
          <w:rFonts w:eastAsiaTheme="majorEastAsia" w:hAnsiTheme="majorEastAsia"/>
        </w:rPr>
        <w:t>年</w:t>
      </w:r>
      <w:r>
        <w:rPr>
          <w:rFonts w:eastAsiaTheme="majorEastAsia"/>
        </w:rPr>
        <w:t>6</w:t>
      </w:r>
      <w:r>
        <w:rPr>
          <w:rFonts w:eastAsiaTheme="majorEastAsia" w:hAnsiTheme="majorEastAsia"/>
        </w:rPr>
        <w:t>月</w:t>
      </w:r>
      <w:r>
        <w:rPr>
          <w:rFonts w:eastAsiaTheme="majorEastAsia"/>
        </w:rPr>
        <w:t>23</w:t>
      </w:r>
      <w:r>
        <w:rPr>
          <w:rFonts w:eastAsiaTheme="majorEastAsia" w:hAnsiTheme="majorEastAsia"/>
        </w:rPr>
        <w:t>日取得排污许可证，属于简化管理，排污许可证编号为</w:t>
      </w:r>
      <w:r>
        <w:rPr>
          <w:rFonts w:eastAsiaTheme="majorEastAsia"/>
          <w:szCs w:val="24"/>
          <w:shd w:val="clear" w:color="auto" w:fill="FFFFFF"/>
        </w:rPr>
        <w:t>914107217066142661001Y</w:t>
      </w:r>
      <w:r>
        <w:rPr>
          <w:rFonts w:eastAsiaTheme="majorEastAsia" w:hAnsiTheme="majorEastAsia"/>
          <w:szCs w:val="24"/>
          <w:shd w:val="clear" w:color="auto" w:fill="FFFFFF"/>
        </w:rPr>
        <w:t>，有效期：</w:t>
      </w:r>
      <w:r>
        <w:rPr>
          <w:rFonts w:eastAsiaTheme="majorEastAsia"/>
          <w:szCs w:val="24"/>
          <w:shd w:val="clear" w:color="auto" w:fill="FFFFFF"/>
        </w:rPr>
        <w:t>2020</w:t>
      </w:r>
      <w:r>
        <w:rPr>
          <w:rFonts w:eastAsiaTheme="majorEastAsia" w:hAnsiTheme="majorEastAsia"/>
          <w:szCs w:val="24"/>
          <w:shd w:val="clear" w:color="auto" w:fill="FFFFFF"/>
        </w:rPr>
        <w:t>年</w:t>
      </w:r>
      <w:r>
        <w:rPr>
          <w:rFonts w:eastAsiaTheme="majorEastAsia"/>
          <w:szCs w:val="24"/>
          <w:shd w:val="clear" w:color="auto" w:fill="FFFFFF"/>
        </w:rPr>
        <w:t>6</w:t>
      </w:r>
      <w:r>
        <w:rPr>
          <w:rFonts w:eastAsiaTheme="majorEastAsia" w:hAnsiTheme="majorEastAsia"/>
          <w:szCs w:val="24"/>
          <w:shd w:val="clear" w:color="auto" w:fill="FFFFFF"/>
        </w:rPr>
        <w:t>月</w:t>
      </w:r>
      <w:r>
        <w:rPr>
          <w:rFonts w:eastAsiaTheme="majorEastAsia"/>
          <w:szCs w:val="24"/>
          <w:shd w:val="clear" w:color="auto" w:fill="FFFFFF"/>
        </w:rPr>
        <w:t>23</w:t>
      </w:r>
      <w:r>
        <w:rPr>
          <w:rFonts w:eastAsiaTheme="majorEastAsia" w:hAnsiTheme="majorEastAsia"/>
          <w:szCs w:val="24"/>
          <w:shd w:val="clear" w:color="auto" w:fill="FFFFFF"/>
        </w:rPr>
        <w:t>日至</w:t>
      </w:r>
      <w:r>
        <w:rPr>
          <w:rFonts w:eastAsiaTheme="majorEastAsia"/>
          <w:szCs w:val="24"/>
          <w:shd w:val="clear" w:color="auto" w:fill="FFFFFF"/>
        </w:rPr>
        <w:t>2022</w:t>
      </w:r>
      <w:r>
        <w:rPr>
          <w:rFonts w:eastAsiaTheme="majorEastAsia" w:hAnsiTheme="majorEastAsia"/>
          <w:szCs w:val="24"/>
          <w:shd w:val="clear" w:color="auto" w:fill="FFFFFF"/>
        </w:rPr>
        <w:t>年</w:t>
      </w:r>
      <w:r>
        <w:rPr>
          <w:rFonts w:eastAsiaTheme="majorEastAsia"/>
          <w:szCs w:val="24"/>
          <w:shd w:val="clear" w:color="auto" w:fill="FFFFFF"/>
        </w:rPr>
        <w:t>6</w:t>
      </w:r>
      <w:r>
        <w:rPr>
          <w:rFonts w:eastAsiaTheme="majorEastAsia" w:hAnsiTheme="majorEastAsia"/>
          <w:szCs w:val="24"/>
          <w:shd w:val="clear" w:color="auto" w:fill="FFFFFF"/>
        </w:rPr>
        <w:t>月</w:t>
      </w:r>
      <w:r>
        <w:rPr>
          <w:rFonts w:eastAsiaTheme="majorEastAsia"/>
          <w:szCs w:val="24"/>
          <w:shd w:val="clear" w:color="auto" w:fill="FFFFFF"/>
        </w:rPr>
        <w:t>23</w:t>
      </w:r>
      <w:r>
        <w:rPr>
          <w:rFonts w:eastAsiaTheme="majorEastAsia" w:hAnsiTheme="majorEastAsia"/>
          <w:szCs w:val="24"/>
          <w:shd w:val="clear" w:color="auto" w:fill="FFFFFF"/>
        </w:rPr>
        <w:t>日。</w:t>
      </w:r>
    </w:p>
    <w:p w:rsidR="00EE56C0" w:rsidRDefault="000F36A1">
      <w:pPr>
        <w:ind w:firstLine="480"/>
      </w:pPr>
      <w:r>
        <w:t>河南华洋电工科技集团有限公司拟投资</w:t>
      </w:r>
      <w:r>
        <w:t>1</w:t>
      </w:r>
      <w:r>
        <w:rPr>
          <w:rFonts w:hint="eastAsia"/>
        </w:rPr>
        <w:t>3750</w:t>
      </w:r>
      <w:r>
        <w:t>万元</w:t>
      </w:r>
      <w:r>
        <w:rPr>
          <w:rFonts w:hint="eastAsia"/>
        </w:rPr>
        <w:t>进行改扩建，利用现有厂房建设高可靠性抗高压耐热绕组线项目，建设性质为改扩建项目，建设内容分两期进行，如下：</w:t>
      </w:r>
    </w:p>
    <w:p w:rsidR="00EE56C0" w:rsidRDefault="000F36A1">
      <w:pPr>
        <w:ind w:firstLine="480"/>
      </w:pPr>
      <w:r>
        <w:rPr>
          <w:rFonts w:hint="eastAsia"/>
        </w:rPr>
        <w:t>一期内容为：对现有漆包线的</w:t>
      </w:r>
      <w:r>
        <w:rPr>
          <w:rFonts w:hint="eastAsia"/>
        </w:rPr>
        <w:t>10</w:t>
      </w:r>
      <w:r>
        <w:rPr>
          <w:rFonts w:hint="eastAsia"/>
        </w:rPr>
        <w:t>台（</w:t>
      </w:r>
      <w:r>
        <w:rPr>
          <w:rFonts w:hint="eastAsia"/>
        </w:rPr>
        <w:t>6</w:t>
      </w:r>
      <w:r>
        <w:rPr>
          <w:rFonts w:hint="eastAsia"/>
        </w:rPr>
        <w:t>台卧式漆包机、</w:t>
      </w:r>
      <w:r>
        <w:rPr>
          <w:rFonts w:hint="eastAsia"/>
        </w:rPr>
        <w:t>4</w:t>
      </w:r>
      <w:r>
        <w:rPr>
          <w:rFonts w:hint="eastAsia"/>
        </w:rPr>
        <w:t>台立式漆包机）设备进行改建，同时新增漆包机</w:t>
      </w:r>
      <w:r>
        <w:rPr>
          <w:rFonts w:hint="eastAsia"/>
        </w:rPr>
        <w:t>1</w:t>
      </w:r>
      <w:r>
        <w:rPr>
          <w:rFonts w:hint="eastAsia"/>
        </w:rPr>
        <w:t>台、拉包机</w:t>
      </w:r>
      <w:r>
        <w:rPr>
          <w:rFonts w:hint="eastAsia"/>
        </w:rPr>
        <w:t>5</w:t>
      </w:r>
      <w:r>
        <w:rPr>
          <w:rFonts w:hint="eastAsia"/>
        </w:rPr>
        <w:t>台、丝包机</w:t>
      </w:r>
      <w:r>
        <w:rPr>
          <w:rFonts w:hint="eastAsia"/>
        </w:rPr>
        <w:t>19</w:t>
      </w:r>
      <w:r>
        <w:rPr>
          <w:rFonts w:hint="eastAsia"/>
        </w:rPr>
        <w:t>台、纸包机</w:t>
      </w:r>
      <w:r>
        <w:rPr>
          <w:rFonts w:hint="eastAsia"/>
        </w:rPr>
        <w:t>4</w:t>
      </w:r>
      <w:r>
        <w:rPr>
          <w:rFonts w:hint="eastAsia"/>
        </w:rPr>
        <w:t>台、烧结机</w:t>
      </w:r>
      <w:r>
        <w:rPr>
          <w:rFonts w:hint="eastAsia"/>
        </w:rPr>
        <w:t>2</w:t>
      </w:r>
      <w:r>
        <w:rPr>
          <w:rFonts w:hint="eastAsia"/>
        </w:rPr>
        <w:t>台及相关配套设备。一期建成后，新增漆包线</w:t>
      </w:r>
      <w:r>
        <w:rPr>
          <w:rFonts w:hint="eastAsia"/>
        </w:rPr>
        <w:t>7700</w:t>
      </w:r>
      <w:r>
        <w:rPr>
          <w:rFonts w:hint="eastAsia"/>
        </w:rPr>
        <w:t>吨</w:t>
      </w:r>
      <w:r>
        <w:rPr>
          <w:rFonts w:hint="eastAsia"/>
        </w:rPr>
        <w:t>/</w:t>
      </w:r>
      <w:r>
        <w:rPr>
          <w:rFonts w:hint="eastAsia"/>
        </w:rPr>
        <w:t>年、丝包线</w:t>
      </w:r>
      <w:r>
        <w:rPr>
          <w:rFonts w:hint="eastAsia"/>
        </w:rPr>
        <w:t>4940</w:t>
      </w:r>
      <w:r>
        <w:rPr>
          <w:rFonts w:hint="eastAsia"/>
        </w:rPr>
        <w:t>吨</w:t>
      </w:r>
      <w:r>
        <w:rPr>
          <w:rFonts w:hint="eastAsia"/>
        </w:rPr>
        <w:t>/</w:t>
      </w:r>
      <w:r>
        <w:rPr>
          <w:rFonts w:hint="eastAsia"/>
        </w:rPr>
        <w:t>年、纸包线</w:t>
      </w:r>
      <w:r>
        <w:rPr>
          <w:rFonts w:hint="eastAsia"/>
        </w:rPr>
        <w:t>1440</w:t>
      </w:r>
      <w:r>
        <w:rPr>
          <w:rFonts w:hint="eastAsia"/>
        </w:rPr>
        <w:t>吨</w:t>
      </w:r>
      <w:r>
        <w:rPr>
          <w:rFonts w:hint="eastAsia"/>
        </w:rPr>
        <w:t>/</w:t>
      </w:r>
      <w:r>
        <w:rPr>
          <w:rFonts w:hint="eastAsia"/>
        </w:rPr>
        <w:t>年、烧结线</w:t>
      </w:r>
      <w:r>
        <w:rPr>
          <w:rFonts w:hint="eastAsia"/>
        </w:rPr>
        <w:t>240</w:t>
      </w:r>
      <w:r>
        <w:rPr>
          <w:rFonts w:hint="eastAsia"/>
        </w:rPr>
        <w:t>吨</w:t>
      </w:r>
      <w:r>
        <w:rPr>
          <w:rFonts w:hint="eastAsia"/>
        </w:rPr>
        <w:t>/</w:t>
      </w:r>
      <w:r>
        <w:rPr>
          <w:rFonts w:hint="eastAsia"/>
        </w:rPr>
        <w:t>年，合计产能</w:t>
      </w:r>
      <w:r>
        <w:rPr>
          <w:rFonts w:hint="eastAsia"/>
        </w:rPr>
        <w:t>14320</w:t>
      </w:r>
      <w:r>
        <w:rPr>
          <w:rFonts w:hint="eastAsia"/>
        </w:rPr>
        <w:t>吨</w:t>
      </w:r>
      <w:r>
        <w:rPr>
          <w:rFonts w:hint="eastAsia"/>
        </w:rPr>
        <w:t>/</w:t>
      </w:r>
      <w:r>
        <w:rPr>
          <w:rFonts w:hint="eastAsia"/>
        </w:rPr>
        <w:t>年。</w:t>
      </w:r>
    </w:p>
    <w:p w:rsidR="00EE56C0" w:rsidRDefault="000F36A1">
      <w:pPr>
        <w:ind w:firstLine="480"/>
      </w:pPr>
      <w:r>
        <w:rPr>
          <w:rFonts w:hint="eastAsia"/>
        </w:rPr>
        <w:t>二期内容为：对现有漆包线的</w:t>
      </w:r>
      <w:r>
        <w:rPr>
          <w:rFonts w:hint="eastAsia"/>
        </w:rPr>
        <w:t>6</w:t>
      </w:r>
      <w:r>
        <w:rPr>
          <w:rFonts w:hint="eastAsia"/>
        </w:rPr>
        <w:t>台漆包机进行改建，同时新增漆包机</w:t>
      </w:r>
      <w:r>
        <w:rPr>
          <w:rFonts w:hint="eastAsia"/>
        </w:rPr>
        <w:t>3</w:t>
      </w:r>
      <w:r>
        <w:rPr>
          <w:rFonts w:hint="eastAsia"/>
        </w:rPr>
        <w:t>台、拉包机</w:t>
      </w:r>
      <w:r>
        <w:rPr>
          <w:rFonts w:hint="eastAsia"/>
        </w:rPr>
        <w:t>14</w:t>
      </w:r>
      <w:r>
        <w:rPr>
          <w:rFonts w:hint="eastAsia"/>
        </w:rPr>
        <w:t>台、丝包机</w:t>
      </w:r>
      <w:r>
        <w:rPr>
          <w:rFonts w:hint="eastAsia"/>
        </w:rPr>
        <w:t>15</w:t>
      </w:r>
      <w:r>
        <w:rPr>
          <w:rFonts w:hint="eastAsia"/>
        </w:rPr>
        <w:t>台、烧结机</w:t>
      </w:r>
      <w:r>
        <w:rPr>
          <w:rFonts w:hint="eastAsia"/>
        </w:rPr>
        <w:t>4</w:t>
      </w:r>
      <w:r>
        <w:rPr>
          <w:rFonts w:hint="eastAsia"/>
        </w:rPr>
        <w:t>台及相关配套设备。二期建成后，新增漆包线</w:t>
      </w:r>
      <w:r>
        <w:rPr>
          <w:rFonts w:hint="eastAsia"/>
        </w:rPr>
        <w:t>21300</w:t>
      </w:r>
      <w:r>
        <w:rPr>
          <w:rFonts w:hint="eastAsia"/>
        </w:rPr>
        <w:t>吨</w:t>
      </w:r>
      <w:r>
        <w:rPr>
          <w:rFonts w:hint="eastAsia"/>
        </w:rPr>
        <w:t>/</w:t>
      </w:r>
      <w:r>
        <w:rPr>
          <w:rFonts w:hint="eastAsia"/>
        </w:rPr>
        <w:t>年、丝包线</w:t>
      </w:r>
      <w:r>
        <w:rPr>
          <w:rFonts w:hint="eastAsia"/>
        </w:rPr>
        <w:t>3900</w:t>
      </w:r>
      <w:r>
        <w:rPr>
          <w:rFonts w:hint="eastAsia"/>
        </w:rPr>
        <w:t>吨</w:t>
      </w:r>
      <w:r>
        <w:rPr>
          <w:rFonts w:hint="eastAsia"/>
        </w:rPr>
        <w:t>/</w:t>
      </w:r>
      <w:r>
        <w:rPr>
          <w:rFonts w:hint="eastAsia"/>
        </w:rPr>
        <w:t>年、烧结线</w:t>
      </w:r>
      <w:r>
        <w:rPr>
          <w:rFonts w:hint="eastAsia"/>
        </w:rPr>
        <w:t>480</w:t>
      </w:r>
      <w:r>
        <w:rPr>
          <w:rFonts w:hint="eastAsia"/>
        </w:rPr>
        <w:t>吨</w:t>
      </w:r>
      <w:r>
        <w:rPr>
          <w:rFonts w:hint="eastAsia"/>
        </w:rPr>
        <w:t>/</w:t>
      </w:r>
      <w:r>
        <w:rPr>
          <w:rFonts w:hint="eastAsia"/>
        </w:rPr>
        <w:t>年，合计产能</w:t>
      </w:r>
      <w:r>
        <w:rPr>
          <w:rFonts w:hint="eastAsia"/>
        </w:rPr>
        <w:t>25680</w:t>
      </w:r>
      <w:r>
        <w:rPr>
          <w:rFonts w:hint="eastAsia"/>
        </w:rPr>
        <w:t>吨</w:t>
      </w:r>
      <w:r>
        <w:rPr>
          <w:rFonts w:hint="eastAsia"/>
        </w:rPr>
        <w:t>/</w:t>
      </w:r>
      <w:r>
        <w:rPr>
          <w:rFonts w:hint="eastAsia"/>
        </w:rPr>
        <w:t>年。</w:t>
      </w:r>
    </w:p>
    <w:p w:rsidR="00EE56C0" w:rsidRDefault="000F36A1">
      <w:pPr>
        <w:ind w:firstLine="480"/>
      </w:pPr>
      <w:r>
        <w:rPr>
          <w:rFonts w:hint="eastAsia"/>
        </w:rPr>
        <w:t>一期、二期建成后，全厂漆包线</w:t>
      </w:r>
      <w:r>
        <w:rPr>
          <w:rFonts w:hint="eastAsia"/>
        </w:rPr>
        <w:t>79400</w:t>
      </w:r>
      <w:r>
        <w:rPr>
          <w:rFonts w:hint="eastAsia"/>
        </w:rPr>
        <w:t>吨</w:t>
      </w:r>
      <w:r>
        <w:rPr>
          <w:rFonts w:hint="eastAsia"/>
        </w:rPr>
        <w:t>/</w:t>
      </w:r>
      <w:r>
        <w:rPr>
          <w:rFonts w:hint="eastAsia"/>
        </w:rPr>
        <w:t>年、丝包线</w:t>
      </w:r>
      <w:r>
        <w:rPr>
          <w:rFonts w:hint="eastAsia"/>
        </w:rPr>
        <w:t>11720</w:t>
      </w:r>
      <w:r>
        <w:rPr>
          <w:rFonts w:hint="eastAsia"/>
        </w:rPr>
        <w:t>吨</w:t>
      </w:r>
      <w:r>
        <w:rPr>
          <w:rFonts w:hint="eastAsia"/>
        </w:rPr>
        <w:t>/</w:t>
      </w:r>
      <w:r>
        <w:rPr>
          <w:rFonts w:hint="eastAsia"/>
        </w:rPr>
        <w:t>年、纸包线</w:t>
      </w:r>
      <w:r>
        <w:rPr>
          <w:rFonts w:hint="eastAsia"/>
        </w:rPr>
        <w:t>6160</w:t>
      </w:r>
      <w:r>
        <w:rPr>
          <w:rFonts w:hint="eastAsia"/>
        </w:rPr>
        <w:t>吨</w:t>
      </w:r>
      <w:r>
        <w:rPr>
          <w:rFonts w:hint="eastAsia"/>
        </w:rPr>
        <w:t>/</w:t>
      </w:r>
      <w:r>
        <w:rPr>
          <w:rFonts w:hint="eastAsia"/>
        </w:rPr>
        <w:t>年、烧结线</w:t>
      </w:r>
      <w:r>
        <w:rPr>
          <w:rFonts w:hint="eastAsia"/>
        </w:rPr>
        <w:t>2720</w:t>
      </w:r>
      <w:r>
        <w:rPr>
          <w:rFonts w:hint="eastAsia"/>
        </w:rPr>
        <w:t>吨</w:t>
      </w:r>
      <w:r>
        <w:rPr>
          <w:rFonts w:hint="eastAsia"/>
        </w:rPr>
        <w:t>/</w:t>
      </w:r>
      <w:r>
        <w:rPr>
          <w:rFonts w:hint="eastAsia"/>
        </w:rPr>
        <w:t>年，绝缘线生产能力达到</w:t>
      </w:r>
      <w:r>
        <w:rPr>
          <w:rFonts w:hint="eastAsia"/>
        </w:rPr>
        <w:t>10</w:t>
      </w:r>
      <w:r>
        <w:rPr>
          <w:rFonts w:hint="eastAsia"/>
        </w:rPr>
        <w:t>万吨</w:t>
      </w:r>
      <w:r>
        <w:rPr>
          <w:rFonts w:hint="eastAsia"/>
        </w:rPr>
        <w:t>/</w:t>
      </w:r>
      <w:r>
        <w:rPr>
          <w:rFonts w:hint="eastAsia"/>
        </w:rPr>
        <w:t>年。</w:t>
      </w:r>
    </w:p>
    <w:p w:rsidR="00EE56C0" w:rsidRDefault="000F36A1">
      <w:pPr>
        <w:pStyle w:val="2"/>
        <w:ind w:firstLine="301"/>
      </w:pPr>
      <w:bookmarkStart w:id="171" w:name="_Toc25400902"/>
      <w:r>
        <w:rPr>
          <w:rFonts w:hint="eastAsia"/>
        </w:rPr>
        <w:lastRenderedPageBreak/>
        <w:t>3.1</w:t>
      </w:r>
      <w:r>
        <w:rPr>
          <w:rFonts w:hint="eastAsia"/>
        </w:rPr>
        <w:t>现有项目</w:t>
      </w:r>
      <w:bookmarkEnd w:id="171"/>
      <w:r>
        <w:rPr>
          <w:rFonts w:hint="eastAsia"/>
        </w:rPr>
        <w:t>工程分析</w:t>
      </w:r>
    </w:p>
    <w:p w:rsidR="00EE56C0" w:rsidRDefault="000F36A1">
      <w:pPr>
        <w:pStyle w:val="3"/>
        <w:spacing w:before="240" w:after="120"/>
      </w:pPr>
      <w:r>
        <w:rPr>
          <w:rFonts w:hint="eastAsia"/>
        </w:rPr>
        <w:t>3.1.1</w:t>
      </w:r>
      <w:r>
        <w:rPr>
          <w:rFonts w:hint="eastAsia"/>
        </w:rPr>
        <w:t>项目基本情况</w:t>
      </w:r>
      <w:bookmarkEnd w:id="167"/>
      <w:bookmarkEnd w:id="168"/>
      <w:bookmarkEnd w:id="169"/>
    </w:p>
    <w:p w:rsidR="00EE56C0" w:rsidRDefault="000F36A1">
      <w:pPr>
        <w:ind w:firstLine="480"/>
      </w:pPr>
      <w:r>
        <w:rPr>
          <w:rFonts w:hint="eastAsia"/>
        </w:rPr>
        <w:t>本项目基本情况见表</w:t>
      </w:r>
      <w:r>
        <w:rPr>
          <w:rFonts w:hint="eastAsia"/>
        </w:rPr>
        <w:t>3-3</w:t>
      </w:r>
      <w:r>
        <w:rPr>
          <w:rFonts w:hint="eastAsia"/>
        </w:rPr>
        <w:t>。</w:t>
      </w:r>
    </w:p>
    <w:p w:rsidR="00EE56C0" w:rsidRDefault="000F36A1">
      <w:pPr>
        <w:pStyle w:val="afd"/>
        <w:spacing w:before="120" w:after="120"/>
        <w:ind w:firstLine="482"/>
      </w:pPr>
      <w:r>
        <w:t>表</w:t>
      </w:r>
      <w:r>
        <w:rPr>
          <w:rFonts w:hint="eastAsia"/>
        </w:rPr>
        <w:t xml:space="preserve">3-3                    </w:t>
      </w:r>
      <w:r>
        <w:rPr>
          <w:rFonts w:hint="eastAsia"/>
        </w:rPr>
        <w:t>现有项目</w:t>
      </w:r>
      <w:r>
        <w:t>基本情况</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694"/>
        <w:gridCol w:w="1967"/>
        <w:gridCol w:w="5867"/>
      </w:tblGrid>
      <w:tr w:rsidR="00EE56C0">
        <w:trPr>
          <w:trHeight w:val="425"/>
          <w:jc w:val="center"/>
        </w:trPr>
        <w:tc>
          <w:tcPr>
            <w:tcW w:w="407" w:type="pct"/>
            <w:vAlign w:val="center"/>
          </w:tcPr>
          <w:p w:rsidR="00EE56C0" w:rsidRDefault="000F36A1">
            <w:pPr>
              <w:pStyle w:val="aff1"/>
              <w:rPr>
                <w:color w:val="auto"/>
              </w:rPr>
            </w:pPr>
            <w:r>
              <w:rPr>
                <w:color w:val="auto"/>
              </w:rPr>
              <w:t>序号</w:t>
            </w:r>
          </w:p>
        </w:tc>
        <w:tc>
          <w:tcPr>
            <w:tcW w:w="1153" w:type="pct"/>
            <w:vAlign w:val="center"/>
          </w:tcPr>
          <w:p w:rsidR="00EE56C0" w:rsidRDefault="000F36A1">
            <w:pPr>
              <w:pStyle w:val="aff1"/>
              <w:rPr>
                <w:color w:val="auto"/>
              </w:rPr>
            </w:pPr>
            <w:r>
              <w:rPr>
                <w:color w:val="auto"/>
              </w:rPr>
              <w:t>项目</w:t>
            </w:r>
          </w:p>
        </w:tc>
        <w:tc>
          <w:tcPr>
            <w:tcW w:w="3440" w:type="pct"/>
            <w:vAlign w:val="center"/>
          </w:tcPr>
          <w:p w:rsidR="00EE56C0" w:rsidRDefault="000F36A1">
            <w:pPr>
              <w:pStyle w:val="aff1"/>
              <w:rPr>
                <w:color w:val="auto"/>
              </w:rPr>
            </w:pPr>
            <w:r>
              <w:rPr>
                <w:color w:val="auto"/>
              </w:rPr>
              <w:t>内容</w:t>
            </w:r>
          </w:p>
        </w:tc>
      </w:tr>
      <w:tr w:rsidR="00EE56C0">
        <w:trPr>
          <w:trHeight w:val="425"/>
          <w:jc w:val="center"/>
        </w:trPr>
        <w:tc>
          <w:tcPr>
            <w:tcW w:w="407" w:type="pct"/>
            <w:vAlign w:val="center"/>
          </w:tcPr>
          <w:p w:rsidR="00EE56C0" w:rsidRDefault="000F36A1">
            <w:pPr>
              <w:pStyle w:val="afa"/>
            </w:pPr>
            <w:r>
              <w:t>1</w:t>
            </w:r>
          </w:p>
        </w:tc>
        <w:tc>
          <w:tcPr>
            <w:tcW w:w="1153" w:type="pct"/>
            <w:vAlign w:val="center"/>
          </w:tcPr>
          <w:p w:rsidR="00EE56C0" w:rsidRDefault="000F36A1">
            <w:pPr>
              <w:pStyle w:val="afa"/>
            </w:pPr>
            <w:r>
              <w:t>项目名称</w:t>
            </w:r>
          </w:p>
        </w:tc>
        <w:tc>
          <w:tcPr>
            <w:tcW w:w="3440" w:type="pct"/>
            <w:vAlign w:val="center"/>
          </w:tcPr>
          <w:p w:rsidR="00EE56C0" w:rsidRDefault="000F36A1">
            <w:pPr>
              <w:pStyle w:val="afa"/>
            </w:pPr>
            <w:r>
              <w:rPr>
                <w:rFonts w:hint="eastAsia"/>
              </w:rPr>
              <w:t>①</w:t>
            </w:r>
            <w:r>
              <w:t>年产</w:t>
            </w:r>
            <w:r>
              <w:t>4</w:t>
            </w:r>
            <w:r>
              <w:t>万吨高效节能电机、节能变压器专用线项目</w:t>
            </w:r>
            <w:r>
              <w:rPr>
                <w:rFonts w:hint="eastAsia"/>
              </w:rPr>
              <w:t>、②</w:t>
            </w:r>
            <w:r>
              <w:t>年产</w:t>
            </w:r>
            <w:r>
              <w:t>2</w:t>
            </w:r>
            <w:r>
              <w:t>万吨新能源汽车电器专用线项目</w:t>
            </w:r>
            <w:r>
              <w:rPr>
                <w:rFonts w:hint="eastAsia"/>
              </w:rPr>
              <w:t>、③</w:t>
            </w:r>
            <w:r>
              <w:rPr>
                <w:rFonts w:hint="eastAsia"/>
                <w:lang w:val="pt-BR"/>
              </w:rPr>
              <w:t>年产</w:t>
            </w:r>
            <w:r>
              <w:rPr>
                <w:rFonts w:hint="eastAsia"/>
                <w:lang w:val="pt-BR"/>
              </w:rPr>
              <w:t>200</w:t>
            </w:r>
            <w:r>
              <w:rPr>
                <w:rFonts w:hint="eastAsia"/>
                <w:lang w:val="pt-BR"/>
              </w:rPr>
              <w:t>万只包装线盘项目</w:t>
            </w:r>
          </w:p>
        </w:tc>
      </w:tr>
      <w:tr w:rsidR="00EE56C0">
        <w:trPr>
          <w:trHeight w:val="425"/>
          <w:jc w:val="center"/>
        </w:trPr>
        <w:tc>
          <w:tcPr>
            <w:tcW w:w="407" w:type="pct"/>
            <w:vAlign w:val="center"/>
          </w:tcPr>
          <w:p w:rsidR="00EE56C0" w:rsidRDefault="000F36A1">
            <w:pPr>
              <w:pStyle w:val="afa"/>
            </w:pPr>
            <w:r>
              <w:t>2</w:t>
            </w:r>
          </w:p>
        </w:tc>
        <w:tc>
          <w:tcPr>
            <w:tcW w:w="1153" w:type="pct"/>
            <w:vAlign w:val="center"/>
          </w:tcPr>
          <w:p w:rsidR="00EE56C0" w:rsidRDefault="000F36A1">
            <w:pPr>
              <w:pStyle w:val="afa"/>
            </w:pPr>
            <w:r>
              <w:t>建设单位</w:t>
            </w:r>
          </w:p>
        </w:tc>
        <w:tc>
          <w:tcPr>
            <w:tcW w:w="3440" w:type="pct"/>
            <w:vAlign w:val="center"/>
          </w:tcPr>
          <w:p w:rsidR="00EE56C0" w:rsidRDefault="000F36A1">
            <w:pPr>
              <w:pStyle w:val="afa"/>
            </w:pPr>
            <w:r>
              <w:rPr>
                <w:rFonts w:hint="eastAsia"/>
              </w:rPr>
              <w:t>河南华洋电工科技集团有限公司</w:t>
            </w:r>
          </w:p>
        </w:tc>
      </w:tr>
      <w:tr w:rsidR="00EE56C0">
        <w:trPr>
          <w:trHeight w:val="425"/>
          <w:jc w:val="center"/>
        </w:trPr>
        <w:tc>
          <w:tcPr>
            <w:tcW w:w="407" w:type="pct"/>
            <w:vAlign w:val="center"/>
          </w:tcPr>
          <w:p w:rsidR="00EE56C0" w:rsidRDefault="000F36A1">
            <w:pPr>
              <w:pStyle w:val="afa"/>
            </w:pPr>
            <w:r>
              <w:t>3</w:t>
            </w:r>
          </w:p>
        </w:tc>
        <w:tc>
          <w:tcPr>
            <w:tcW w:w="1153" w:type="pct"/>
            <w:vAlign w:val="center"/>
          </w:tcPr>
          <w:p w:rsidR="00EE56C0" w:rsidRDefault="000F36A1">
            <w:pPr>
              <w:pStyle w:val="afa"/>
            </w:pPr>
            <w:r>
              <w:t>建设地点</w:t>
            </w:r>
          </w:p>
        </w:tc>
        <w:tc>
          <w:tcPr>
            <w:tcW w:w="3440" w:type="pct"/>
            <w:vAlign w:val="center"/>
          </w:tcPr>
          <w:p w:rsidR="00EE56C0" w:rsidRDefault="000F36A1">
            <w:pPr>
              <w:pStyle w:val="afa"/>
            </w:pPr>
            <w:r>
              <w:rPr>
                <w:rFonts w:hint="eastAsia"/>
              </w:rPr>
              <w:t>新乡市新乡县新乡经济技术集聚区远大路西段</w:t>
            </w:r>
          </w:p>
          <w:p w:rsidR="00EE56C0" w:rsidRDefault="000F36A1">
            <w:pPr>
              <w:pStyle w:val="afa"/>
            </w:pPr>
            <w:r>
              <w:rPr>
                <w:rFonts w:hint="eastAsia"/>
              </w:rPr>
              <w:t>（中心地理位置坐标为东经</w:t>
            </w:r>
            <w:r>
              <w:rPr>
                <w:rFonts w:hint="eastAsia"/>
              </w:rPr>
              <w:t>113</w:t>
            </w:r>
            <w:r>
              <w:t>°</w:t>
            </w:r>
            <w:r>
              <w:rPr>
                <w:rFonts w:hint="eastAsia"/>
              </w:rPr>
              <w:t>47</w:t>
            </w:r>
            <w:r>
              <w:t>´</w:t>
            </w:r>
            <w:r>
              <w:rPr>
                <w:rFonts w:hint="eastAsia"/>
              </w:rPr>
              <w:t>2.412</w:t>
            </w:r>
            <w:r>
              <w:t>˝</w:t>
            </w:r>
            <w:r>
              <w:rPr>
                <w:rFonts w:hint="eastAsia"/>
              </w:rPr>
              <w:t>、北纬</w:t>
            </w:r>
            <w:r>
              <w:rPr>
                <w:rFonts w:hint="eastAsia"/>
              </w:rPr>
              <w:t>35</w:t>
            </w:r>
            <w:r>
              <w:t>°</w:t>
            </w:r>
            <w:r>
              <w:rPr>
                <w:rFonts w:hint="eastAsia"/>
              </w:rPr>
              <w:t>08</w:t>
            </w:r>
            <w:r>
              <w:t>´</w:t>
            </w:r>
            <w:r>
              <w:rPr>
                <w:rFonts w:hint="eastAsia"/>
              </w:rPr>
              <w:t>12.028</w:t>
            </w:r>
            <w:r>
              <w:t>˝</w:t>
            </w:r>
            <w:r>
              <w:rPr>
                <w:rFonts w:hint="eastAsia"/>
              </w:rPr>
              <w:t>）</w:t>
            </w:r>
          </w:p>
        </w:tc>
      </w:tr>
      <w:tr w:rsidR="00EE56C0">
        <w:trPr>
          <w:trHeight w:val="425"/>
          <w:jc w:val="center"/>
        </w:trPr>
        <w:tc>
          <w:tcPr>
            <w:tcW w:w="407" w:type="pct"/>
            <w:vAlign w:val="center"/>
          </w:tcPr>
          <w:p w:rsidR="00EE56C0" w:rsidRDefault="000F36A1">
            <w:pPr>
              <w:pStyle w:val="afa"/>
            </w:pPr>
            <w:r>
              <w:t>4</w:t>
            </w:r>
          </w:p>
        </w:tc>
        <w:tc>
          <w:tcPr>
            <w:tcW w:w="1153" w:type="pct"/>
            <w:vAlign w:val="center"/>
          </w:tcPr>
          <w:p w:rsidR="00EE56C0" w:rsidRDefault="000F36A1">
            <w:pPr>
              <w:pStyle w:val="afa"/>
            </w:pPr>
            <w:r>
              <w:t>投资</w:t>
            </w:r>
          </w:p>
        </w:tc>
        <w:tc>
          <w:tcPr>
            <w:tcW w:w="3440" w:type="pct"/>
            <w:vAlign w:val="center"/>
          </w:tcPr>
          <w:p w:rsidR="00EE56C0" w:rsidRDefault="000F36A1">
            <w:pPr>
              <w:pStyle w:val="afa"/>
            </w:pPr>
            <w:r>
              <w:rPr>
                <w:rFonts w:hint="eastAsia"/>
              </w:rPr>
              <w:t>54500</w:t>
            </w:r>
            <w:r>
              <w:rPr>
                <w:rFonts w:hint="eastAsia"/>
              </w:rPr>
              <w:t>万元</w:t>
            </w:r>
          </w:p>
        </w:tc>
      </w:tr>
      <w:tr w:rsidR="00EE56C0">
        <w:trPr>
          <w:trHeight w:val="425"/>
          <w:jc w:val="center"/>
        </w:trPr>
        <w:tc>
          <w:tcPr>
            <w:tcW w:w="407" w:type="pct"/>
            <w:vAlign w:val="center"/>
          </w:tcPr>
          <w:p w:rsidR="00EE56C0" w:rsidRDefault="000F36A1">
            <w:pPr>
              <w:pStyle w:val="afa"/>
            </w:pPr>
            <w:r>
              <w:t>5</w:t>
            </w:r>
          </w:p>
        </w:tc>
        <w:tc>
          <w:tcPr>
            <w:tcW w:w="1153" w:type="pct"/>
            <w:vAlign w:val="center"/>
          </w:tcPr>
          <w:p w:rsidR="00EE56C0" w:rsidRDefault="000F36A1">
            <w:pPr>
              <w:pStyle w:val="afa"/>
            </w:pPr>
            <w:r>
              <w:rPr>
                <w:rFonts w:hint="eastAsia"/>
              </w:rPr>
              <w:t>产品方案</w:t>
            </w:r>
          </w:p>
        </w:tc>
        <w:tc>
          <w:tcPr>
            <w:tcW w:w="3440" w:type="pct"/>
            <w:vAlign w:val="center"/>
          </w:tcPr>
          <w:p w:rsidR="00EE56C0" w:rsidRDefault="000F36A1">
            <w:pPr>
              <w:pStyle w:val="afa"/>
            </w:pPr>
            <w:r>
              <w:rPr>
                <w:rFonts w:hint="eastAsia"/>
              </w:rPr>
              <w:t>年产</w:t>
            </w:r>
            <w:r>
              <w:rPr>
                <w:rFonts w:hint="eastAsia"/>
              </w:rPr>
              <w:t>50400</w:t>
            </w:r>
            <w:r>
              <w:rPr>
                <w:rFonts w:hint="eastAsia"/>
              </w:rPr>
              <w:t>吨漆包线、</w:t>
            </w:r>
            <w:r>
              <w:rPr>
                <w:rFonts w:hint="eastAsia"/>
              </w:rPr>
              <w:t>2880</w:t>
            </w:r>
            <w:r>
              <w:rPr>
                <w:rFonts w:hint="eastAsia"/>
              </w:rPr>
              <w:t>吨丝包线、</w:t>
            </w:r>
            <w:r>
              <w:rPr>
                <w:rFonts w:hint="eastAsia"/>
              </w:rPr>
              <w:t>4720</w:t>
            </w:r>
            <w:r>
              <w:rPr>
                <w:rFonts w:hint="eastAsia"/>
              </w:rPr>
              <w:t>吨纸包线、</w:t>
            </w:r>
            <w:r>
              <w:rPr>
                <w:rFonts w:hint="eastAsia"/>
              </w:rPr>
              <w:t>2000</w:t>
            </w:r>
            <w:r>
              <w:rPr>
                <w:rFonts w:hint="eastAsia"/>
              </w:rPr>
              <w:t>吨薄膜烧结线</w:t>
            </w:r>
          </w:p>
        </w:tc>
      </w:tr>
      <w:tr w:rsidR="00EE56C0">
        <w:trPr>
          <w:trHeight w:val="425"/>
          <w:jc w:val="center"/>
        </w:trPr>
        <w:tc>
          <w:tcPr>
            <w:tcW w:w="407" w:type="pct"/>
            <w:vAlign w:val="center"/>
          </w:tcPr>
          <w:p w:rsidR="00EE56C0" w:rsidRDefault="000F36A1">
            <w:pPr>
              <w:pStyle w:val="afa"/>
            </w:pPr>
            <w:r>
              <w:t>6</w:t>
            </w:r>
          </w:p>
        </w:tc>
        <w:tc>
          <w:tcPr>
            <w:tcW w:w="1153" w:type="pct"/>
            <w:vAlign w:val="center"/>
          </w:tcPr>
          <w:p w:rsidR="00EE56C0" w:rsidRDefault="000F36A1">
            <w:pPr>
              <w:pStyle w:val="afa"/>
            </w:pPr>
            <w:r>
              <w:rPr>
                <w:rFonts w:hint="eastAsia"/>
              </w:rPr>
              <w:t>法人代表姓名</w:t>
            </w:r>
          </w:p>
        </w:tc>
        <w:tc>
          <w:tcPr>
            <w:tcW w:w="3440" w:type="pct"/>
            <w:vAlign w:val="center"/>
          </w:tcPr>
          <w:p w:rsidR="00EE56C0" w:rsidRDefault="000F36A1">
            <w:pPr>
              <w:pStyle w:val="afa"/>
            </w:pPr>
            <w:r>
              <w:rPr>
                <w:rFonts w:hint="eastAsia"/>
              </w:rPr>
              <w:t>刘万军（</w:t>
            </w:r>
            <w:r>
              <w:t>410721196208203039</w:t>
            </w:r>
            <w:r>
              <w:rPr>
                <w:rFonts w:hint="eastAsia"/>
              </w:rPr>
              <w:t>）</w:t>
            </w:r>
          </w:p>
        </w:tc>
      </w:tr>
      <w:tr w:rsidR="00EE56C0">
        <w:trPr>
          <w:trHeight w:val="425"/>
          <w:jc w:val="center"/>
        </w:trPr>
        <w:tc>
          <w:tcPr>
            <w:tcW w:w="407" w:type="pct"/>
            <w:vAlign w:val="center"/>
          </w:tcPr>
          <w:p w:rsidR="00EE56C0" w:rsidRDefault="000F36A1">
            <w:pPr>
              <w:pStyle w:val="afa"/>
            </w:pPr>
            <w:r>
              <w:t>7</w:t>
            </w:r>
          </w:p>
        </w:tc>
        <w:tc>
          <w:tcPr>
            <w:tcW w:w="1153" w:type="pct"/>
            <w:vAlign w:val="center"/>
          </w:tcPr>
          <w:p w:rsidR="00EE56C0" w:rsidRDefault="000F36A1">
            <w:pPr>
              <w:pStyle w:val="afa"/>
              <w:rPr>
                <w:rFonts w:hAnsi="宋体"/>
              </w:rPr>
            </w:pPr>
            <w:r>
              <w:rPr>
                <w:rFonts w:hAnsi="宋体"/>
              </w:rPr>
              <w:t>占地面积</w:t>
            </w:r>
          </w:p>
        </w:tc>
        <w:tc>
          <w:tcPr>
            <w:tcW w:w="3440" w:type="pct"/>
            <w:vAlign w:val="center"/>
          </w:tcPr>
          <w:p w:rsidR="00EE56C0" w:rsidRDefault="000F36A1">
            <w:pPr>
              <w:pStyle w:val="afa"/>
            </w:pPr>
            <w:r>
              <w:rPr>
                <w:rFonts w:hint="eastAsia"/>
              </w:rPr>
              <w:t>85740m</w:t>
            </w:r>
            <w:r>
              <w:rPr>
                <w:rFonts w:hint="eastAsia"/>
                <w:vertAlign w:val="superscript"/>
              </w:rPr>
              <w:t>2</w:t>
            </w:r>
            <w:r>
              <w:rPr>
                <w:rFonts w:hint="eastAsia"/>
              </w:rPr>
              <w:t>（</w:t>
            </w:r>
            <w:r>
              <w:rPr>
                <w:rFonts w:hint="eastAsia"/>
              </w:rPr>
              <w:t>128</w:t>
            </w:r>
            <w:r>
              <w:rPr>
                <w:rFonts w:hint="eastAsia"/>
              </w:rPr>
              <w:t>亩）</w:t>
            </w:r>
          </w:p>
        </w:tc>
      </w:tr>
      <w:tr w:rsidR="00EE56C0">
        <w:trPr>
          <w:trHeight w:val="425"/>
          <w:jc w:val="center"/>
        </w:trPr>
        <w:tc>
          <w:tcPr>
            <w:tcW w:w="407" w:type="pct"/>
            <w:vAlign w:val="center"/>
          </w:tcPr>
          <w:p w:rsidR="00EE56C0" w:rsidRDefault="000F36A1">
            <w:pPr>
              <w:pStyle w:val="afa"/>
            </w:pPr>
            <w:r>
              <w:t>8</w:t>
            </w:r>
          </w:p>
        </w:tc>
        <w:tc>
          <w:tcPr>
            <w:tcW w:w="1153" w:type="pct"/>
            <w:vAlign w:val="center"/>
          </w:tcPr>
          <w:p w:rsidR="00EE56C0" w:rsidRDefault="000F36A1">
            <w:pPr>
              <w:pStyle w:val="afa"/>
              <w:rPr>
                <w:rFonts w:hAnsi="宋体"/>
              </w:rPr>
            </w:pPr>
            <w:r>
              <w:rPr>
                <w:rFonts w:hAnsi="宋体"/>
              </w:rPr>
              <w:t>职工人数</w:t>
            </w:r>
          </w:p>
        </w:tc>
        <w:tc>
          <w:tcPr>
            <w:tcW w:w="3440" w:type="pct"/>
            <w:vAlign w:val="center"/>
          </w:tcPr>
          <w:p w:rsidR="00EE56C0" w:rsidRDefault="000F36A1">
            <w:pPr>
              <w:pStyle w:val="afa"/>
            </w:pPr>
            <w:r>
              <w:rPr>
                <w:rFonts w:hint="eastAsia"/>
              </w:rPr>
              <w:t>现有员工共计</w:t>
            </w:r>
            <w:r>
              <w:rPr>
                <w:rFonts w:hint="eastAsia"/>
              </w:rPr>
              <w:t>450</w:t>
            </w:r>
            <w:r>
              <w:rPr>
                <w:rFonts w:hint="eastAsia"/>
              </w:rPr>
              <w:t>人</w:t>
            </w:r>
          </w:p>
        </w:tc>
      </w:tr>
      <w:tr w:rsidR="00EE56C0">
        <w:trPr>
          <w:trHeight w:val="425"/>
          <w:jc w:val="center"/>
        </w:trPr>
        <w:tc>
          <w:tcPr>
            <w:tcW w:w="407" w:type="pct"/>
            <w:vAlign w:val="center"/>
          </w:tcPr>
          <w:p w:rsidR="00EE56C0" w:rsidRDefault="000F36A1">
            <w:pPr>
              <w:pStyle w:val="afa"/>
            </w:pPr>
            <w:r>
              <w:rPr>
                <w:rFonts w:hint="eastAsia"/>
              </w:rPr>
              <w:t>9</w:t>
            </w:r>
          </w:p>
        </w:tc>
        <w:tc>
          <w:tcPr>
            <w:tcW w:w="1153" w:type="pct"/>
            <w:vAlign w:val="center"/>
          </w:tcPr>
          <w:p w:rsidR="00EE56C0" w:rsidRDefault="000F36A1">
            <w:pPr>
              <w:pStyle w:val="afa"/>
              <w:rPr>
                <w:rFonts w:hAnsi="宋体"/>
              </w:rPr>
            </w:pPr>
            <w:r>
              <w:rPr>
                <w:rFonts w:hAnsi="宋体"/>
              </w:rPr>
              <w:t>生产制度</w:t>
            </w:r>
          </w:p>
        </w:tc>
        <w:tc>
          <w:tcPr>
            <w:tcW w:w="3440" w:type="pct"/>
            <w:vAlign w:val="center"/>
          </w:tcPr>
          <w:p w:rsidR="00EE56C0" w:rsidRDefault="000F36A1">
            <w:pPr>
              <w:pStyle w:val="afa"/>
            </w:pPr>
            <w:r>
              <w:rPr>
                <w:rFonts w:hint="eastAsia"/>
              </w:rPr>
              <w:t>年工作日</w:t>
            </w:r>
            <w:r>
              <w:rPr>
                <w:rFonts w:hint="eastAsia"/>
              </w:rPr>
              <w:t>300</w:t>
            </w:r>
            <w:r>
              <w:rPr>
                <w:rFonts w:hint="eastAsia"/>
              </w:rPr>
              <w:t>天，每天</w:t>
            </w:r>
            <w:r>
              <w:rPr>
                <w:rFonts w:hint="eastAsia"/>
              </w:rPr>
              <w:t>24</w:t>
            </w:r>
            <w:r>
              <w:rPr>
                <w:rFonts w:hint="eastAsia"/>
              </w:rPr>
              <w:t>小时，三班制</w:t>
            </w:r>
          </w:p>
        </w:tc>
      </w:tr>
      <w:tr w:rsidR="00EE56C0">
        <w:trPr>
          <w:trHeight w:val="425"/>
          <w:jc w:val="center"/>
        </w:trPr>
        <w:tc>
          <w:tcPr>
            <w:tcW w:w="407" w:type="pct"/>
            <w:vAlign w:val="center"/>
          </w:tcPr>
          <w:p w:rsidR="00EE56C0" w:rsidRDefault="000F36A1">
            <w:pPr>
              <w:pStyle w:val="afa"/>
            </w:pPr>
            <w:r>
              <w:rPr>
                <w:rFonts w:hint="eastAsia"/>
              </w:rPr>
              <w:t>10</w:t>
            </w:r>
          </w:p>
        </w:tc>
        <w:tc>
          <w:tcPr>
            <w:tcW w:w="1153" w:type="pct"/>
            <w:vAlign w:val="center"/>
          </w:tcPr>
          <w:p w:rsidR="00EE56C0" w:rsidRDefault="000F36A1">
            <w:pPr>
              <w:pStyle w:val="afa"/>
              <w:rPr>
                <w:rFonts w:hAnsi="宋体"/>
              </w:rPr>
            </w:pPr>
            <w:r>
              <w:rPr>
                <w:rFonts w:hAnsi="宋体" w:hint="eastAsia"/>
              </w:rPr>
              <w:t>供水</w:t>
            </w:r>
          </w:p>
        </w:tc>
        <w:tc>
          <w:tcPr>
            <w:tcW w:w="3440" w:type="pct"/>
            <w:vAlign w:val="center"/>
          </w:tcPr>
          <w:p w:rsidR="00EE56C0" w:rsidRDefault="000F36A1">
            <w:pPr>
              <w:pStyle w:val="afa"/>
            </w:pPr>
            <w:r>
              <w:rPr>
                <w:rFonts w:hint="eastAsia"/>
              </w:rPr>
              <w:t>厂区自备井</w:t>
            </w:r>
          </w:p>
        </w:tc>
      </w:tr>
      <w:tr w:rsidR="00EE56C0">
        <w:trPr>
          <w:trHeight w:val="425"/>
          <w:jc w:val="center"/>
        </w:trPr>
        <w:tc>
          <w:tcPr>
            <w:tcW w:w="407" w:type="pct"/>
            <w:vAlign w:val="center"/>
          </w:tcPr>
          <w:p w:rsidR="00EE56C0" w:rsidRDefault="000F36A1">
            <w:pPr>
              <w:pStyle w:val="afa"/>
            </w:pPr>
            <w:r>
              <w:rPr>
                <w:rFonts w:hint="eastAsia"/>
              </w:rPr>
              <w:t>11</w:t>
            </w:r>
          </w:p>
        </w:tc>
        <w:tc>
          <w:tcPr>
            <w:tcW w:w="1153" w:type="pct"/>
            <w:vAlign w:val="center"/>
          </w:tcPr>
          <w:p w:rsidR="00EE56C0" w:rsidRDefault="000F36A1">
            <w:pPr>
              <w:pStyle w:val="afa"/>
            </w:pPr>
            <w:r>
              <w:rPr>
                <w:rFonts w:hint="eastAsia"/>
              </w:rPr>
              <w:t>排水去向</w:t>
            </w:r>
          </w:p>
        </w:tc>
        <w:tc>
          <w:tcPr>
            <w:tcW w:w="3440" w:type="pct"/>
            <w:vAlign w:val="center"/>
          </w:tcPr>
          <w:p w:rsidR="00EE56C0" w:rsidRDefault="000F36A1">
            <w:pPr>
              <w:pStyle w:val="afa"/>
            </w:pPr>
            <w:r>
              <w:rPr>
                <w:rFonts w:hint="eastAsia"/>
              </w:rPr>
              <w:t>目前管网未接通，现有生活污水经“隔油池</w:t>
            </w:r>
            <w:r>
              <w:rPr>
                <w:rFonts w:hint="eastAsia"/>
              </w:rPr>
              <w:t>+</w:t>
            </w:r>
            <w:r>
              <w:rPr>
                <w:rFonts w:hint="eastAsia"/>
              </w:rPr>
              <w:t>化粪池”处理后进入厂区污水处理站（隔油</w:t>
            </w:r>
            <w:r>
              <w:rPr>
                <w:rFonts w:hint="eastAsia"/>
              </w:rPr>
              <w:t>+</w:t>
            </w:r>
            <w:r>
              <w:rPr>
                <w:rFonts w:hint="eastAsia"/>
              </w:rPr>
              <w:t>调节</w:t>
            </w:r>
            <w:r>
              <w:rPr>
                <w:rFonts w:hint="eastAsia"/>
              </w:rPr>
              <w:t>+MBR</w:t>
            </w:r>
            <w:r>
              <w:rPr>
                <w:rFonts w:hint="eastAsia"/>
              </w:rPr>
              <w:t>）处理后与反渗透浓水均用于厂区绿化，不外排。</w:t>
            </w:r>
            <w:r>
              <w:t>管网接通后，</w:t>
            </w:r>
            <w:r>
              <w:rPr>
                <w:rFonts w:hint="eastAsia"/>
              </w:rPr>
              <w:t>生活污水经“隔油池</w:t>
            </w:r>
            <w:r>
              <w:rPr>
                <w:rFonts w:hint="eastAsia"/>
              </w:rPr>
              <w:t>+</w:t>
            </w:r>
            <w:r>
              <w:rPr>
                <w:rFonts w:hint="eastAsia"/>
              </w:rPr>
              <w:t>化粪池”处理后与反渗透浓水在厂区总排口混合后，</w:t>
            </w:r>
            <w:r>
              <w:t>经污水管网排入新乡县综合污水处理厂进一步处理，届时企业污水处理站停止运行</w:t>
            </w:r>
            <w:r>
              <w:rPr>
                <w:rFonts w:hint="eastAsia"/>
              </w:rPr>
              <w:t>。</w:t>
            </w:r>
          </w:p>
        </w:tc>
      </w:tr>
    </w:tbl>
    <w:p w:rsidR="00EE56C0" w:rsidRDefault="000F36A1">
      <w:pPr>
        <w:pStyle w:val="3"/>
        <w:spacing w:before="240" w:after="120"/>
      </w:pPr>
      <w:r>
        <w:rPr>
          <w:rFonts w:hint="eastAsia"/>
        </w:rPr>
        <w:t>3.1.2</w:t>
      </w:r>
      <w:r>
        <w:rPr>
          <w:rFonts w:hint="eastAsia"/>
        </w:rPr>
        <w:t>现有产品方案</w:t>
      </w:r>
    </w:p>
    <w:p w:rsidR="00EE56C0" w:rsidRDefault="000F36A1">
      <w:pPr>
        <w:ind w:firstLine="480"/>
      </w:pPr>
      <w:r>
        <w:rPr>
          <w:rFonts w:hint="eastAsia"/>
        </w:rPr>
        <w:t>现有项目产品方案详情见下表：</w:t>
      </w:r>
    </w:p>
    <w:p w:rsidR="00EE56C0" w:rsidRDefault="000F36A1">
      <w:pPr>
        <w:pStyle w:val="afd"/>
        <w:spacing w:before="120" w:after="120"/>
        <w:ind w:firstLine="482"/>
      </w:pPr>
      <w:r>
        <w:rPr>
          <w:rFonts w:hint="eastAsia"/>
        </w:rPr>
        <w:t>表</w:t>
      </w:r>
      <w:r>
        <w:rPr>
          <w:rFonts w:hint="eastAsia"/>
        </w:rPr>
        <w:t xml:space="preserve">3-4              </w:t>
      </w:r>
      <w:r>
        <w:rPr>
          <w:rFonts w:hint="eastAsia"/>
        </w:rPr>
        <w:t>现有项目产品方案一览表</w:t>
      </w:r>
    </w:p>
    <w:tbl>
      <w:tblPr>
        <w:tblW w:w="5000" w:type="pct"/>
        <w:jc w:val="center"/>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ook w:val="04A0"/>
      </w:tblPr>
      <w:tblGrid>
        <w:gridCol w:w="1626"/>
        <w:gridCol w:w="3445"/>
        <w:gridCol w:w="3457"/>
      </w:tblGrid>
      <w:tr w:rsidR="00EE56C0">
        <w:trPr>
          <w:trHeight w:val="397"/>
          <w:jc w:val="center"/>
        </w:trPr>
        <w:tc>
          <w:tcPr>
            <w:tcW w:w="953" w:type="pct"/>
            <w:vAlign w:val="center"/>
          </w:tcPr>
          <w:p w:rsidR="00EE56C0" w:rsidRDefault="000F36A1">
            <w:pPr>
              <w:pStyle w:val="aff1"/>
              <w:rPr>
                <w:color w:val="auto"/>
              </w:rPr>
            </w:pPr>
            <w:r>
              <w:rPr>
                <w:rFonts w:hint="eastAsia"/>
                <w:color w:val="auto"/>
              </w:rPr>
              <w:t>序号</w:t>
            </w:r>
          </w:p>
        </w:tc>
        <w:tc>
          <w:tcPr>
            <w:tcW w:w="2020" w:type="pct"/>
            <w:vAlign w:val="center"/>
          </w:tcPr>
          <w:p w:rsidR="00EE56C0" w:rsidRDefault="000F36A1">
            <w:pPr>
              <w:pStyle w:val="aff1"/>
              <w:rPr>
                <w:color w:val="auto"/>
              </w:rPr>
            </w:pPr>
            <w:r>
              <w:rPr>
                <w:rFonts w:hint="eastAsia"/>
                <w:color w:val="auto"/>
              </w:rPr>
              <w:t>产品</w:t>
            </w:r>
          </w:p>
        </w:tc>
        <w:tc>
          <w:tcPr>
            <w:tcW w:w="2027" w:type="pct"/>
            <w:tcBorders>
              <w:right w:val="single" w:sz="4" w:space="0" w:color="auto"/>
            </w:tcBorders>
            <w:vAlign w:val="center"/>
          </w:tcPr>
          <w:p w:rsidR="00EE56C0" w:rsidRDefault="000F36A1">
            <w:pPr>
              <w:pStyle w:val="aff1"/>
              <w:rPr>
                <w:color w:val="auto"/>
              </w:rPr>
            </w:pPr>
            <w:r>
              <w:rPr>
                <w:rFonts w:hint="eastAsia"/>
                <w:color w:val="auto"/>
              </w:rPr>
              <w:t>产能（吨</w:t>
            </w:r>
            <w:r>
              <w:rPr>
                <w:rFonts w:hint="eastAsia"/>
                <w:color w:val="auto"/>
              </w:rPr>
              <w:t>/</w:t>
            </w:r>
            <w:r>
              <w:rPr>
                <w:rFonts w:hint="eastAsia"/>
                <w:color w:val="auto"/>
              </w:rPr>
              <w:t>年）</w:t>
            </w:r>
          </w:p>
        </w:tc>
      </w:tr>
      <w:tr w:rsidR="00EE56C0">
        <w:trPr>
          <w:trHeight w:val="397"/>
          <w:jc w:val="center"/>
        </w:trPr>
        <w:tc>
          <w:tcPr>
            <w:tcW w:w="953" w:type="pct"/>
            <w:vAlign w:val="center"/>
          </w:tcPr>
          <w:p w:rsidR="00EE56C0" w:rsidRDefault="000F36A1">
            <w:pPr>
              <w:pStyle w:val="afa"/>
            </w:pPr>
            <w:r>
              <w:t>1</w:t>
            </w:r>
          </w:p>
        </w:tc>
        <w:tc>
          <w:tcPr>
            <w:tcW w:w="2020" w:type="pct"/>
            <w:vAlign w:val="center"/>
          </w:tcPr>
          <w:p w:rsidR="00EE56C0" w:rsidRDefault="000F36A1">
            <w:pPr>
              <w:pStyle w:val="afa"/>
            </w:pPr>
            <w:r>
              <w:rPr>
                <w:rFonts w:hint="eastAsia"/>
              </w:rPr>
              <w:t>漆包线</w:t>
            </w:r>
          </w:p>
        </w:tc>
        <w:tc>
          <w:tcPr>
            <w:tcW w:w="2027" w:type="pct"/>
            <w:tcBorders>
              <w:right w:val="single" w:sz="4" w:space="0" w:color="auto"/>
            </w:tcBorders>
            <w:vAlign w:val="center"/>
          </w:tcPr>
          <w:p w:rsidR="00EE56C0" w:rsidRDefault="000F36A1">
            <w:pPr>
              <w:pStyle w:val="afa"/>
            </w:pPr>
            <w:r>
              <w:rPr>
                <w:rFonts w:hint="eastAsia"/>
              </w:rPr>
              <w:t>50400</w:t>
            </w:r>
          </w:p>
        </w:tc>
      </w:tr>
      <w:tr w:rsidR="00EE56C0">
        <w:trPr>
          <w:trHeight w:val="397"/>
          <w:jc w:val="center"/>
        </w:trPr>
        <w:tc>
          <w:tcPr>
            <w:tcW w:w="953" w:type="pct"/>
            <w:vAlign w:val="center"/>
          </w:tcPr>
          <w:p w:rsidR="00EE56C0" w:rsidRDefault="000F36A1">
            <w:pPr>
              <w:pStyle w:val="afa"/>
            </w:pPr>
            <w:r>
              <w:t>2</w:t>
            </w:r>
          </w:p>
        </w:tc>
        <w:tc>
          <w:tcPr>
            <w:tcW w:w="2020" w:type="pct"/>
            <w:vAlign w:val="center"/>
          </w:tcPr>
          <w:p w:rsidR="00EE56C0" w:rsidRDefault="000F36A1">
            <w:pPr>
              <w:pStyle w:val="afa"/>
            </w:pPr>
            <w:r>
              <w:rPr>
                <w:rFonts w:hint="eastAsia"/>
              </w:rPr>
              <w:t>丝包线</w:t>
            </w:r>
          </w:p>
        </w:tc>
        <w:tc>
          <w:tcPr>
            <w:tcW w:w="2027" w:type="pct"/>
            <w:tcBorders>
              <w:right w:val="single" w:sz="4" w:space="0" w:color="auto"/>
            </w:tcBorders>
            <w:vAlign w:val="center"/>
          </w:tcPr>
          <w:p w:rsidR="00EE56C0" w:rsidRDefault="000F36A1">
            <w:pPr>
              <w:pStyle w:val="afa"/>
            </w:pPr>
            <w:r>
              <w:rPr>
                <w:rFonts w:hint="eastAsia"/>
              </w:rPr>
              <w:t>2880</w:t>
            </w:r>
          </w:p>
        </w:tc>
      </w:tr>
      <w:tr w:rsidR="00EE56C0">
        <w:trPr>
          <w:trHeight w:val="397"/>
          <w:jc w:val="center"/>
        </w:trPr>
        <w:tc>
          <w:tcPr>
            <w:tcW w:w="953" w:type="pct"/>
            <w:vAlign w:val="center"/>
          </w:tcPr>
          <w:p w:rsidR="00EE56C0" w:rsidRDefault="000F36A1">
            <w:pPr>
              <w:pStyle w:val="afa"/>
            </w:pPr>
            <w:r>
              <w:rPr>
                <w:rFonts w:hint="eastAsia"/>
              </w:rPr>
              <w:t>3</w:t>
            </w:r>
          </w:p>
        </w:tc>
        <w:tc>
          <w:tcPr>
            <w:tcW w:w="2020" w:type="pct"/>
            <w:vAlign w:val="center"/>
          </w:tcPr>
          <w:p w:rsidR="00EE56C0" w:rsidRDefault="000F36A1">
            <w:pPr>
              <w:pStyle w:val="afa"/>
            </w:pPr>
            <w:r>
              <w:rPr>
                <w:rFonts w:hint="eastAsia"/>
              </w:rPr>
              <w:t>纸包线</w:t>
            </w:r>
          </w:p>
        </w:tc>
        <w:tc>
          <w:tcPr>
            <w:tcW w:w="2027" w:type="pct"/>
            <w:tcBorders>
              <w:right w:val="single" w:sz="4" w:space="0" w:color="auto"/>
            </w:tcBorders>
            <w:vAlign w:val="center"/>
          </w:tcPr>
          <w:p w:rsidR="00EE56C0" w:rsidRDefault="000F36A1">
            <w:pPr>
              <w:pStyle w:val="afa"/>
            </w:pPr>
            <w:r>
              <w:rPr>
                <w:rFonts w:hint="eastAsia"/>
              </w:rPr>
              <w:t>4720</w:t>
            </w:r>
          </w:p>
        </w:tc>
      </w:tr>
      <w:tr w:rsidR="00EE56C0">
        <w:trPr>
          <w:trHeight w:val="397"/>
          <w:jc w:val="center"/>
        </w:trPr>
        <w:tc>
          <w:tcPr>
            <w:tcW w:w="953" w:type="pct"/>
            <w:vAlign w:val="center"/>
          </w:tcPr>
          <w:p w:rsidR="00EE56C0" w:rsidRDefault="000F36A1">
            <w:pPr>
              <w:pStyle w:val="afa"/>
            </w:pPr>
            <w:r>
              <w:rPr>
                <w:rFonts w:hint="eastAsia"/>
              </w:rPr>
              <w:t>4</w:t>
            </w:r>
          </w:p>
        </w:tc>
        <w:tc>
          <w:tcPr>
            <w:tcW w:w="2020" w:type="pct"/>
            <w:vAlign w:val="center"/>
          </w:tcPr>
          <w:p w:rsidR="00EE56C0" w:rsidRDefault="000F36A1">
            <w:pPr>
              <w:pStyle w:val="afa"/>
            </w:pPr>
            <w:r>
              <w:rPr>
                <w:rFonts w:hint="eastAsia"/>
              </w:rPr>
              <w:t>烧结线</w:t>
            </w:r>
          </w:p>
        </w:tc>
        <w:tc>
          <w:tcPr>
            <w:tcW w:w="2027" w:type="pct"/>
            <w:tcBorders>
              <w:right w:val="single" w:sz="4" w:space="0" w:color="auto"/>
            </w:tcBorders>
            <w:vAlign w:val="center"/>
          </w:tcPr>
          <w:p w:rsidR="00EE56C0" w:rsidRDefault="000F36A1">
            <w:pPr>
              <w:pStyle w:val="afa"/>
            </w:pPr>
            <w:r>
              <w:rPr>
                <w:rFonts w:hint="eastAsia"/>
              </w:rPr>
              <w:t>2000</w:t>
            </w:r>
          </w:p>
        </w:tc>
      </w:tr>
      <w:tr w:rsidR="00EE56C0">
        <w:trPr>
          <w:trHeight w:val="397"/>
          <w:jc w:val="center"/>
        </w:trPr>
        <w:tc>
          <w:tcPr>
            <w:tcW w:w="953" w:type="pct"/>
            <w:vAlign w:val="center"/>
          </w:tcPr>
          <w:p w:rsidR="00EE56C0" w:rsidRDefault="000F36A1">
            <w:pPr>
              <w:pStyle w:val="afa"/>
            </w:pPr>
            <w:r>
              <w:rPr>
                <w:rFonts w:hint="eastAsia"/>
              </w:rPr>
              <w:t>5</w:t>
            </w:r>
          </w:p>
        </w:tc>
        <w:tc>
          <w:tcPr>
            <w:tcW w:w="2020" w:type="pct"/>
            <w:vAlign w:val="center"/>
          </w:tcPr>
          <w:p w:rsidR="00EE56C0" w:rsidRDefault="000F36A1">
            <w:pPr>
              <w:pStyle w:val="afa"/>
            </w:pPr>
            <w:r>
              <w:rPr>
                <w:rFonts w:hint="eastAsia"/>
              </w:rPr>
              <w:t>合计</w:t>
            </w:r>
          </w:p>
        </w:tc>
        <w:tc>
          <w:tcPr>
            <w:tcW w:w="2027" w:type="pct"/>
            <w:tcBorders>
              <w:right w:val="single" w:sz="4" w:space="0" w:color="auto"/>
            </w:tcBorders>
            <w:vAlign w:val="center"/>
          </w:tcPr>
          <w:p w:rsidR="00EE56C0" w:rsidRDefault="000F36A1">
            <w:pPr>
              <w:pStyle w:val="afa"/>
            </w:pPr>
            <w:r>
              <w:rPr>
                <w:rFonts w:hint="eastAsia"/>
              </w:rPr>
              <w:t>60000</w:t>
            </w:r>
          </w:p>
        </w:tc>
      </w:tr>
    </w:tbl>
    <w:p w:rsidR="00EE56C0" w:rsidRDefault="000F36A1">
      <w:pPr>
        <w:pStyle w:val="3"/>
        <w:spacing w:before="240" w:after="120"/>
      </w:pPr>
      <w:r>
        <w:rPr>
          <w:rFonts w:hint="eastAsia"/>
        </w:rPr>
        <w:lastRenderedPageBreak/>
        <w:t>3.1.3</w:t>
      </w:r>
      <w:r>
        <w:rPr>
          <w:rFonts w:hint="eastAsia"/>
        </w:rPr>
        <w:t>现有项目组成</w:t>
      </w:r>
    </w:p>
    <w:p w:rsidR="00EE56C0" w:rsidRDefault="000F36A1">
      <w:pPr>
        <w:ind w:firstLine="480"/>
      </w:pPr>
      <w:r>
        <w:rPr>
          <w:rFonts w:hint="eastAsia"/>
        </w:rPr>
        <w:t>现有项目主要组成情况见下表。</w:t>
      </w:r>
      <w:bookmarkStart w:id="172" w:name="_Toc428287564"/>
      <w:bookmarkStart w:id="173" w:name="_Toc428287212"/>
      <w:bookmarkStart w:id="174" w:name="_Toc428286818"/>
    </w:p>
    <w:p w:rsidR="00EE56C0" w:rsidRDefault="000F36A1">
      <w:pPr>
        <w:pStyle w:val="afd"/>
        <w:spacing w:before="120" w:after="120"/>
        <w:ind w:firstLine="482"/>
      </w:pPr>
      <w:r>
        <w:t>表</w:t>
      </w:r>
      <w:r>
        <w:rPr>
          <w:rFonts w:hint="eastAsia"/>
        </w:rPr>
        <w:t>3</w:t>
      </w:r>
      <w:r>
        <w:t>-</w:t>
      </w:r>
      <w:r>
        <w:rPr>
          <w:rFonts w:hint="eastAsia"/>
        </w:rPr>
        <w:t xml:space="preserve">5               </w:t>
      </w:r>
      <w:r>
        <w:rPr>
          <w:rFonts w:hint="eastAsia"/>
        </w:rPr>
        <w:t>现有项目</w:t>
      </w:r>
      <w:r>
        <w:t>主要</w:t>
      </w:r>
      <w:r>
        <w:rPr>
          <w:rFonts w:hint="eastAsia"/>
        </w:rPr>
        <w:t>组成</w:t>
      </w:r>
      <w:r>
        <w:t>一览表</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tblPr>
      <w:tblGrid>
        <w:gridCol w:w="605"/>
        <w:gridCol w:w="1057"/>
        <w:gridCol w:w="1533"/>
        <w:gridCol w:w="478"/>
        <w:gridCol w:w="653"/>
        <w:gridCol w:w="1312"/>
        <w:gridCol w:w="708"/>
        <w:gridCol w:w="570"/>
        <w:gridCol w:w="855"/>
        <w:gridCol w:w="757"/>
      </w:tblGrid>
      <w:tr w:rsidR="00EE56C0">
        <w:trPr>
          <w:trHeight w:val="397"/>
          <w:tblHeader/>
          <w:jc w:val="center"/>
        </w:trPr>
        <w:tc>
          <w:tcPr>
            <w:tcW w:w="355" w:type="pct"/>
            <w:vAlign w:val="center"/>
          </w:tcPr>
          <w:p w:rsidR="00EE56C0" w:rsidRDefault="000F36A1">
            <w:pPr>
              <w:pStyle w:val="aff1"/>
              <w:rPr>
                <w:color w:val="auto"/>
              </w:rPr>
            </w:pPr>
            <w:r>
              <w:rPr>
                <w:rFonts w:hint="eastAsia"/>
                <w:color w:val="auto"/>
              </w:rPr>
              <w:t>序号</w:t>
            </w:r>
          </w:p>
        </w:tc>
        <w:tc>
          <w:tcPr>
            <w:tcW w:w="620" w:type="pct"/>
            <w:vAlign w:val="center"/>
          </w:tcPr>
          <w:p w:rsidR="00EE56C0" w:rsidRDefault="000F36A1">
            <w:pPr>
              <w:pStyle w:val="aff1"/>
              <w:rPr>
                <w:color w:val="auto"/>
              </w:rPr>
            </w:pPr>
            <w:r>
              <w:rPr>
                <w:color w:val="auto"/>
              </w:rPr>
              <w:t>工程类别</w:t>
            </w:r>
          </w:p>
        </w:tc>
        <w:tc>
          <w:tcPr>
            <w:tcW w:w="899" w:type="pct"/>
            <w:vAlign w:val="center"/>
          </w:tcPr>
          <w:p w:rsidR="00EE56C0" w:rsidRDefault="000F36A1">
            <w:pPr>
              <w:pStyle w:val="aff1"/>
              <w:rPr>
                <w:color w:val="auto"/>
              </w:rPr>
            </w:pPr>
            <w:r>
              <w:rPr>
                <w:color w:val="auto"/>
              </w:rPr>
              <w:t>工程名称</w:t>
            </w:r>
          </w:p>
        </w:tc>
        <w:tc>
          <w:tcPr>
            <w:tcW w:w="3127" w:type="pct"/>
            <w:gridSpan w:val="7"/>
            <w:vAlign w:val="center"/>
          </w:tcPr>
          <w:p w:rsidR="00EE56C0" w:rsidRDefault="000F36A1">
            <w:pPr>
              <w:pStyle w:val="aff1"/>
              <w:rPr>
                <w:color w:val="auto"/>
              </w:rPr>
            </w:pPr>
            <w:r>
              <w:rPr>
                <w:rFonts w:hint="eastAsia"/>
                <w:color w:val="auto"/>
              </w:rPr>
              <w:t>内容</w:t>
            </w:r>
          </w:p>
        </w:tc>
      </w:tr>
      <w:tr w:rsidR="00EE56C0">
        <w:trPr>
          <w:trHeight w:val="397"/>
          <w:jc w:val="center"/>
        </w:trPr>
        <w:tc>
          <w:tcPr>
            <w:tcW w:w="355" w:type="pct"/>
            <w:vMerge w:val="restart"/>
            <w:vAlign w:val="center"/>
          </w:tcPr>
          <w:p w:rsidR="00EE56C0" w:rsidRDefault="000F36A1">
            <w:pPr>
              <w:pStyle w:val="afa"/>
            </w:pPr>
            <w:r>
              <w:rPr>
                <w:rFonts w:hint="eastAsia"/>
              </w:rPr>
              <w:t>1</w:t>
            </w:r>
          </w:p>
        </w:tc>
        <w:tc>
          <w:tcPr>
            <w:tcW w:w="620" w:type="pct"/>
            <w:vMerge w:val="restart"/>
            <w:vAlign w:val="center"/>
          </w:tcPr>
          <w:p w:rsidR="00EE56C0" w:rsidRDefault="000F36A1">
            <w:pPr>
              <w:pStyle w:val="afa"/>
            </w:pPr>
            <w:r>
              <w:t>主体工程</w:t>
            </w:r>
          </w:p>
        </w:tc>
        <w:tc>
          <w:tcPr>
            <w:tcW w:w="899" w:type="pct"/>
            <w:vAlign w:val="center"/>
          </w:tcPr>
          <w:p w:rsidR="00EE56C0" w:rsidRDefault="000F36A1">
            <w:pPr>
              <w:pStyle w:val="afa"/>
            </w:pPr>
            <w:r>
              <w:rPr>
                <w:rFonts w:hint="eastAsia"/>
              </w:rPr>
              <w:t>1#</w:t>
            </w:r>
            <w:r>
              <w:rPr>
                <w:rFonts w:hint="eastAsia"/>
              </w:rPr>
              <w:t>生产车间</w:t>
            </w:r>
          </w:p>
        </w:tc>
        <w:tc>
          <w:tcPr>
            <w:tcW w:w="3127" w:type="pct"/>
            <w:gridSpan w:val="7"/>
            <w:vAlign w:val="center"/>
          </w:tcPr>
          <w:p w:rsidR="00EE56C0" w:rsidRDefault="000F36A1">
            <w:pPr>
              <w:pStyle w:val="afa"/>
            </w:pPr>
            <w:r>
              <w:rPr>
                <w:rFonts w:hint="eastAsia"/>
              </w:rPr>
              <w:t>1</w:t>
            </w:r>
            <w:r>
              <w:rPr>
                <w:rFonts w:hint="eastAsia"/>
              </w:rPr>
              <w:t>座，建筑面积</w:t>
            </w:r>
            <w:r>
              <w:rPr>
                <w:rFonts w:hint="eastAsia"/>
              </w:rPr>
              <w:t>16800m</w:t>
            </w:r>
            <w:r>
              <w:rPr>
                <w:rFonts w:hint="eastAsia"/>
                <w:vertAlign w:val="superscript"/>
              </w:rPr>
              <w:t>2</w:t>
            </w:r>
            <w:r>
              <w:rPr>
                <w:rFonts w:hint="eastAsia"/>
              </w:rPr>
              <w:t>，生产丝包线、烧结线、纸包线</w:t>
            </w:r>
          </w:p>
        </w:tc>
      </w:tr>
      <w:tr w:rsidR="00EE56C0">
        <w:trPr>
          <w:trHeight w:val="397"/>
          <w:jc w:val="center"/>
        </w:trPr>
        <w:tc>
          <w:tcPr>
            <w:tcW w:w="355" w:type="pct"/>
            <w:vMerge/>
            <w:vAlign w:val="center"/>
          </w:tcPr>
          <w:p w:rsidR="00EE56C0" w:rsidRDefault="00EE56C0">
            <w:pPr>
              <w:pStyle w:val="afa"/>
            </w:pPr>
          </w:p>
        </w:tc>
        <w:tc>
          <w:tcPr>
            <w:tcW w:w="620" w:type="pct"/>
            <w:vMerge/>
            <w:vAlign w:val="center"/>
          </w:tcPr>
          <w:p w:rsidR="00EE56C0" w:rsidRDefault="00EE56C0">
            <w:pPr>
              <w:pStyle w:val="afa"/>
            </w:pPr>
          </w:p>
        </w:tc>
        <w:tc>
          <w:tcPr>
            <w:tcW w:w="899" w:type="pct"/>
            <w:vAlign w:val="center"/>
          </w:tcPr>
          <w:p w:rsidR="00EE56C0" w:rsidRDefault="000F36A1">
            <w:pPr>
              <w:pStyle w:val="afa"/>
            </w:pPr>
            <w:r>
              <w:rPr>
                <w:rFonts w:hint="eastAsia"/>
              </w:rPr>
              <w:t>2#</w:t>
            </w:r>
            <w:r>
              <w:rPr>
                <w:rFonts w:hint="eastAsia"/>
              </w:rPr>
              <w:t>生产车间</w:t>
            </w:r>
          </w:p>
        </w:tc>
        <w:tc>
          <w:tcPr>
            <w:tcW w:w="3127" w:type="pct"/>
            <w:gridSpan w:val="7"/>
            <w:vAlign w:val="center"/>
          </w:tcPr>
          <w:p w:rsidR="00EE56C0" w:rsidRDefault="000F36A1">
            <w:pPr>
              <w:pStyle w:val="afa"/>
            </w:pPr>
            <w:r>
              <w:rPr>
                <w:rFonts w:hint="eastAsia"/>
              </w:rPr>
              <w:t>1</w:t>
            </w:r>
            <w:r>
              <w:rPr>
                <w:rFonts w:hint="eastAsia"/>
              </w:rPr>
              <w:t>座，建筑面积</w:t>
            </w:r>
            <w:r>
              <w:rPr>
                <w:rFonts w:hint="eastAsia"/>
              </w:rPr>
              <w:t>16000m</w:t>
            </w:r>
            <w:r>
              <w:rPr>
                <w:rFonts w:hint="eastAsia"/>
                <w:vertAlign w:val="superscript"/>
              </w:rPr>
              <w:t>2</w:t>
            </w:r>
            <w:r>
              <w:rPr>
                <w:rFonts w:hint="eastAsia"/>
              </w:rPr>
              <w:t>，生产漆包线</w:t>
            </w:r>
          </w:p>
        </w:tc>
      </w:tr>
      <w:tr w:rsidR="00EE56C0">
        <w:trPr>
          <w:trHeight w:val="397"/>
          <w:jc w:val="center"/>
        </w:trPr>
        <w:tc>
          <w:tcPr>
            <w:tcW w:w="355" w:type="pct"/>
            <w:vMerge/>
            <w:vAlign w:val="center"/>
          </w:tcPr>
          <w:p w:rsidR="00EE56C0" w:rsidRDefault="00EE56C0">
            <w:pPr>
              <w:pStyle w:val="afa"/>
            </w:pPr>
          </w:p>
        </w:tc>
        <w:tc>
          <w:tcPr>
            <w:tcW w:w="620" w:type="pct"/>
            <w:vMerge/>
            <w:vAlign w:val="center"/>
          </w:tcPr>
          <w:p w:rsidR="00EE56C0" w:rsidRDefault="00EE56C0">
            <w:pPr>
              <w:pStyle w:val="afa"/>
            </w:pPr>
          </w:p>
        </w:tc>
        <w:tc>
          <w:tcPr>
            <w:tcW w:w="899" w:type="pct"/>
            <w:vAlign w:val="center"/>
          </w:tcPr>
          <w:p w:rsidR="00EE56C0" w:rsidRDefault="000F36A1">
            <w:pPr>
              <w:pStyle w:val="afa"/>
            </w:pPr>
            <w:r>
              <w:rPr>
                <w:rFonts w:hint="eastAsia"/>
              </w:rPr>
              <w:t>3#</w:t>
            </w:r>
            <w:r>
              <w:rPr>
                <w:rFonts w:hint="eastAsia"/>
              </w:rPr>
              <w:t>生产车间</w:t>
            </w:r>
          </w:p>
        </w:tc>
        <w:tc>
          <w:tcPr>
            <w:tcW w:w="3127" w:type="pct"/>
            <w:gridSpan w:val="7"/>
            <w:vAlign w:val="center"/>
          </w:tcPr>
          <w:p w:rsidR="00EE56C0" w:rsidRDefault="000F36A1">
            <w:pPr>
              <w:pStyle w:val="afa"/>
            </w:pPr>
            <w:r>
              <w:rPr>
                <w:rFonts w:hint="eastAsia"/>
              </w:rPr>
              <w:t>1</w:t>
            </w:r>
            <w:r>
              <w:rPr>
                <w:rFonts w:hint="eastAsia"/>
              </w:rPr>
              <w:t>座，建筑面积</w:t>
            </w:r>
            <w:r>
              <w:rPr>
                <w:rFonts w:hint="eastAsia"/>
              </w:rPr>
              <w:t>9200m</w:t>
            </w:r>
            <w:r>
              <w:rPr>
                <w:rFonts w:hint="eastAsia"/>
                <w:vertAlign w:val="superscript"/>
              </w:rPr>
              <w:t>2</w:t>
            </w:r>
            <w:r>
              <w:rPr>
                <w:rFonts w:hint="eastAsia"/>
              </w:rPr>
              <w:t>，拉丝区</w:t>
            </w:r>
          </w:p>
        </w:tc>
      </w:tr>
      <w:tr w:rsidR="00EE56C0">
        <w:trPr>
          <w:trHeight w:val="397"/>
          <w:jc w:val="center"/>
        </w:trPr>
        <w:tc>
          <w:tcPr>
            <w:tcW w:w="355" w:type="pct"/>
            <w:vMerge w:val="restart"/>
            <w:vAlign w:val="center"/>
          </w:tcPr>
          <w:p w:rsidR="00EE56C0" w:rsidRDefault="000F36A1">
            <w:pPr>
              <w:pStyle w:val="afa"/>
            </w:pPr>
            <w:r>
              <w:rPr>
                <w:rFonts w:hint="eastAsia"/>
              </w:rPr>
              <w:t>2</w:t>
            </w:r>
          </w:p>
        </w:tc>
        <w:tc>
          <w:tcPr>
            <w:tcW w:w="620" w:type="pct"/>
            <w:vMerge w:val="restart"/>
            <w:vAlign w:val="center"/>
          </w:tcPr>
          <w:p w:rsidR="00EE56C0" w:rsidRDefault="000F36A1">
            <w:pPr>
              <w:pStyle w:val="afa"/>
            </w:pPr>
            <w:r>
              <w:t>辅助工程</w:t>
            </w:r>
          </w:p>
        </w:tc>
        <w:tc>
          <w:tcPr>
            <w:tcW w:w="899" w:type="pct"/>
            <w:vAlign w:val="center"/>
          </w:tcPr>
          <w:p w:rsidR="00EE56C0" w:rsidRDefault="000F36A1">
            <w:pPr>
              <w:pStyle w:val="afa"/>
            </w:pPr>
            <w:r>
              <w:rPr>
                <w:rFonts w:hint="eastAsia"/>
              </w:rPr>
              <w:t>办公楼</w:t>
            </w:r>
          </w:p>
        </w:tc>
        <w:tc>
          <w:tcPr>
            <w:tcW w:w="3127" w:type="pct"/>
            <w:gridSpan w:val="7"/>
            <w:vAlign w:val="center"/>
          </w:tcPr>
          <w:p w:rsidR="00EE56C0" w:rsidRDefault="000F36A1">
            <w:pPr>
              <w:pStyle w:val="afa"/>
            </w:pPr>
            <w:r>
              <w:rPr>
                <w:rFonts w:hint="eastAsia"/>
              </w:rPr>
              <w:t>1</w:t>
            </w:r>
            <w:r>
              <w:rPr>
                <w:rFonts w:hint="eastAsia"/>
              </w:rPr>
              <w:t>座，建筑面积</w:t>
            </w:r>
            <w:r>
              <w:rPr>
                <w:rFonts w:hint="eastAsia"/>
              </w:rPr>
              <w:t>4500m</w:t>
            </w:r>
            <w:r>
              <w:rPr>
                <w:rFonts w:hint="eastAsia"/>
                <w:vertAlign w:val="superscript"/>
              </w:rPr>
              <w:t>2</w:t>
            </w:r>
          </w:p>
        </w:tc>
      </w:tr>
      <w:tr w:rsidR="00EE56C0">
        <w:trPr>
          <w:trHeight w:val="397"/>
          <w:jc w:val="center"/>
        </w:trPr>
        <w:tc>
          <w:tcPr>
            <w:tcW w:w="355" w:type="pct"/>
            <w:vMerge/>
            <w:vAlign w:val="center"/>
          </w:tcPr>
          <w:p w:rsidR="00EE56C0" w:rsidRDefault="00EE56C0">
            <w:pPr>
              <w:pStyle w:val="afa"/>
            </w:pPr>
          </w:p>
        </w:tc>
        <w:tc>
          <w:tcPr>
            <w:tcW w:w="620" w:type="pct"/>
            <w:vMerge/>
            <w:vAlign w:val="center"/>
          </w:tcPr>
          <w:p w:rsidR="00EE56C0" w:rsidRDefault="00EE56C0">
            <w:pPr>
              <w:pStyle w:val="afa"/>
            </w:pPr>
          </w:p>
        </w:tc>
        <w:tc>
          <w:tcPr>
            <w:tcW w:w="899" w:type="pct"/>
            <w:vAlign w:val="center"/>
          </w:tcPr>
          <w:p w:rsidR="00EE56C0" w:rsidRDefault="000F36A1">
            <w:pPr>
              <w:pStyle w:val="afa"/>
            </w:pPr>
            <w:r>
              <w:rPr>
                <w:rFonts w:hint="eastAsia"/>
              </w:rPr>
              <w:t>漆房</w:t>
            </w:r>
          </w:p>
        </w:tc>
        <w:tc>
          <w:tcPr>
            <w:tcW w:w="3127" w:type="pct"/>
            <w:gridSpan w:val="7"/>
            <w:vAlign w:val="center"/>
          </w:tcPr>
          <w:p w:rsidR="00EE56C0" w:rsidRDefault="000F36A1">
            <w:pPr>
              <w:pStyle w:val="afa"/>
            </w:pPr>
            <w:r>
              <w:rPr>
                <w:rFonts w:hint="eastAsia"/>
              </w:rPr>
              <w:t>1</w:t>
            </w:r>
            <w:r>
              <w:rPr>
                <w:rFonts w:hint="eastAsia"/>
              </w:rPr>
              <w:t>座，建筑面积</w:t>
            </w:r>
            <w:r>
              <w:rPr>
                <w:rFonts w:hint="eastAsia"/>
              </w:rPr>
              <w:t>2200m</w:t>
            </w:r>
            <w:r>
              <w:rPr>
                <w:rFonts w:hint="eastAsia"/>
                <w:vertAlign w:val="superscript"/>
              </w:rPr>
              <w:t>2</w:t>
            </w:r>
          </w:p>
        </w:tc>
      </w:tr>
      <w:tr w:rsidR="00EE56C0">
        <w:trPr>
          <w:trHeight w:val="397"/>
          <w:jc w:val="center"/>
        </w:trPr>
        <w:tc>
          <w:tcPr>
            <w:tcW w:w="355" w:type="pct"/>
            <w:vMerge/>
            <w:vAlign w:val="center"/>
          </w:tcPr>
          <w:p w:rsidR="00EE56C0" w:rsidRDefault="00EE56C0">
            <w:pPr>
              <w:pStyle w:val="afa"/>
            </w:pPr>
          </w:p>
        </w:tc>
        <w:tc>
          <w:tcPr>
            <w:tcW w:w="620" w:type="pct"/>
            <w:vMerge/>
            <w:vAlign w:val="center"/>
          </w:tcPr>
          <w:p w:rsidR="00EE56C0" w:rsidRDefault="00EE56C0">
            <w:pPr>
              <w:pStyle w:val="afa"/>
            </w:pPr>
          </w:p>
        </w:tc>
        <w:tc>
          <w:tcPr>
            <w:tcW w:w="899" w:type="pct"/>
            <w:vAlign w:val="center"/>
          </w:tcPr>
          <w:p w:rsidR="00EE56C0" w:rsidRDefault="000F36A1">
            <w:pPr>
              <w:pStyle w:val="afa"/>
            </w:pPr>
            <w:r>
              <w:rPr>
                <w:rFonts w:hint="eastAsia"/>
              </w:rPr>
              <w:t>成品仓库</w:t>
            </w:r>
          </w:p>
        </w:tc>
        <w:tc>
          <w:tcPr>
            <w:tcW w:w="3127" w:type="pct"/>
            <w:gridSpan w:val="7"/>
            <w:vAlign w:val="center"/>
          </w:tcPr>
          <w:p w:rsidR="00EE56C0" w:rsidRDefault="000F36A1">
            <w:pPr>
              <w:pStyle w:val="afa"/>
            </w:pPr>
            <w:r>
              <w:rPr>
                <w:rFonts w:hint="eastAsia"/>
              </w:rPr>
              <w:t>1</w:t>
            </w:r>
            <w:r>
              <w:rPr>
                <w:rFonts w:hint="eastAsia"/>
              </w:rPr>
              <w:t>座，建筑面积</w:t>
            </w:r>
            <w:r>
              <w:rPr>
                <w:rFonts w:hint="eastAsia"/>
              </w:rPr>
              <w:t>5020m</w:t>
            </w:r>
            <w:r>
              <w:rPr>
                <w:rFonts w:hint="eastAsia"/>
                <w:vertAlign w:val="superscript"/>
              </w:rPr>
              <w:t>2</w:t>
            </w:r>
          </w:p>
        </w:tc>
      </w:tr>
      <w:tr w:rsidR="00EE56C0">
        <w:trPr>
          <w:trHeight w:val="397"/>
          <w:jc w:val="center"/>
        </w:trPr>
        <w:tc>
          <w:tcPr>
            <w:tcW w:w="355" w:type="pct"/>
            <w:vMerge/>
            <w:vAlign w:val="center"/>
          </w:tcPr>
          <w:p w:rsidR="00EE56C0" w:rsidRDefault="00EE56C0">
            <w:pPr>
              <w:pStyle w:val="afa"/>
            </w:pPr>
          </w:p>
        </w:tc>
        <w:tc>
          <w:tcPr>
            <w:tcW w:w="620" w:type="pct"/>
            <w:vMerge/>
            <w:vAlign w:val="center"/>
          </w:tcPr>
          <w:p w:rsidR="00EE56C0" w:rsidRDefault="00EE56C0">
            <w:pPr>
              <w:pStyle w:val="afa"/>
            </w:pPr>
          </w:p>
        </w:tc>
        <w:tc>
          <w:tcPr>
            <w:tcW w:w="899" w:type="pct"/>
            <w:vAlign w:val="center"/>
          </w:tcPr>
          <w:p w:rsidR="00EE56C0" w:rsidRDefault="000F36A1">
            <w:pPr>
              <w:pStyle w:val="afa"/>
            </w:pPr>
            <w:r>
              <w:rPr>
                <w:rFonts w:hint="eastAsia"/>
              </w:rPr>
              <w:t>营销楼</w:t>
            </w:r>
          </w:p>
        </w:tc>
        <w:tc>
          <w:tcPr>
            <w:tcW w:w="3127" w:type="pct"/>
            <w:gridSpan w:val="7"/>
            <w:vAlign w:val="center"/>
          </w:tcPr>
          <w:p w:rsidR="00EE56C0" w:rsidRDefault="000F36A1">
            <w:pPr>
              <w:pStyle w:val="afa"/>
            </w:pPr>
            <w:r>
              <w:rPr>
                <w:rFonts w:hint="eastAsia"/>
              </w:rPr>
              <w:t>1</w:t>
            </w:r>
            <w:r>
              <w:rPr>
                <w:rFonts w:hint="eastAsia"/>
              </w:rPr>
              <w:t>座，</w:t>
            </w:r>
            <w:r>
              <w:rPr>
                <w:rFonts w:hint="eastAsia"/>
              </w:rPr>
              <w:t>3</w:t>
            </w:r>
            <w:r>
              <w:t>层</w:t>
            </w:r>
            <w:r>
              <w:rPr>
                <w:rFonts w:hint="eastAsia"/>
              </w:rPr>
              <w:t>，建筑面积</w:t>
            </w:r>
            <w:r>
              <w:rPr>
                <w:rFonts w:hint="eastAsia"/>
              </w:rPr>
              <w:t>1050m</w:t>
            </w:r>
            <w:r>
              <w:rPr>
                <w:rFonts w:hint="eastAsia"/>
                <w:vertAlign w:val="superscript"/>
              </w:rPr>
              <w:t>2</w:t>
            </w:r>
          </w:p>
        </w:tc>
      </w:tr>
      <w:tr w:rsidR="00EE56C0">
        <w:trPr>
          <w:trHeight w:val="397"/>
          <w:jc w:val="center"/>
        </w:trPr>
        <w:tc>
          <w:tcPr>
            <w:tcW w:w="355" w:type="pct"/>
            <w:vMerge w:val="restart"/>
            <w:vAlign w:val="center"/>
          </w:tcPr>
          <w:p w:rsidR="00EE56C0" w:rsidRDefault="000F36A1">
            <w:pPr>
              <w:pStyle w:val="afa"/>
            </w:pPr>
            <w:r>
              <w:rPr>
                <w:rFonts w:hint="eastAsia"/>
              </w:rPr>
              <w:t>3</w:t>
            </w:r>
          </w:p>
        </w:tc>
        <w:tc>
          <w:tcPr>
            <w:tcW w:w="620" w:type="pct"/>
            <w:vMerge w:val="restart"/>
            <w:vAlign w:val="center"/>
          </w:tcPr>
          <w:p w:rsidR="00EE56C0" w:rsidRDefault="000F36A1">
            <w:pPr>
              <w:pStyle w:val="afa"/>
            </w:pPr>
            <w:r>
              <w:rPr>
                <w:rFonts w:hint="eastAsia"/>
              </w:rPr>
              <w:t>公用工程</w:t>
            </w:r>
          </w:p>
        </w:tc>
        <w:tc>
          <w:tcPr>
            <w:tcW w:w="899" w:type="pct"/>
            <w:vAlign w:val="center"/>
          </w:tcPr>
          <w:p w:rsidR="00EE56C0" w:rsidRDefault="000F36A1">
            <w:pPr>
              <w:pStyle w:val="afa"/>
              <w:rPr>
                <w:rFonts w:hAnsi="宋体"/>
              </w:rPr>
            </w:pPr>
            <w:r>
              <w:rPr>
                <w:rFonts w:hAnsi="宋体" w:hint="eastAsia"/>
              </w:rPr>
              <w:t>供水</w:t>
            </w:r>
          </w:p>
        </w:tc>
        <w:tc>
          <w:tcPr>
            <w:tcW w:w="3127" w:type="pct"/>
            <w:gridSpan w:val="7"/>
            <w:vAlign w:val="center"/>
          </w:tcPr>
          <w:p w:rsidR="00EE56C0" w:rsidRDefault="000F36A1">
            <w:pPr>
              <w:pStyle w:val="afa"/>
              <w:rPr>
                <w:rFonts w:hAnsi="宋体"/>
              </w:rPr>
            </w:pPr>
            <w:r>
              <w:rPr>
                <w:rFonts w:hAnsi="宋体" w:hint="eastAsia"/>
              </w:rPr>
              <w:t>厂区自备井</w:t>
            </w:r>
          </w:p>
        </w:tc>
      </w:tr>
      <w:tr w:rsidR="00EE56C0">
        <w:trPr>
          <w:trHeight w:val="397"/>
          <w:jc w:val="center"/>
        </w:trPr>
        <w:tc>
          <w:tcPr>
            <w:tcW w:w="355" w:type="pct"/>
            <w:vMerge/>
            <w:vAlign w:val="center"/>
          </w:tcPr>
          <w:p w:rsidR="00EE56C0" w:rsidRDefault="00EE56C0">
            <w:pPr>
              <w:pStyle w:val="afa"/>
            </w:pPr>
          </w:p>
        </w:tc>
        <w:tc>
          <w:tcPr>
            <w:tcW w:w="620" w:type="pct"/>
            <w:vMerge/>
            <w:vAlign w:val="center"/>
          </w:tcPr>
          <w:p w:rsidR="00EE56C0" w:rsidRDefault="00EE56C0">
            <w:pPr>
              <w:pStyle w:val="afa"/>
            </w:pPr>
          </w:p>
        </w:tc>
        <w:tc>
          <w:tcPr>
            <w:tcW w:w="899" w:type="pct"/>
            <w:vAlign w:val="center"/>
          </w:tcPr>
          <w:p w:rsidR="00EE56C0" w:rsidRDefault="000F36A1">
            <w:pPr>
              <w:pStyle w:val="afa"/>
            </w:pPr>
            <w:r>
              <w:rPr>
                <w:rFonts w:hint="eastAsia"/>
              </w:rPr>
              <w:t>供电</w:t>
            </w:r>
          </w:p>
        </w:tc>
        <w:tc>
          <w:tcPr>
            <w:tcW w:w="3127" w:type="pct"/>
            <w:gridSpan w:val="7"/>
            <w:vAlign w:val="center"/>
          </w:tcPr>
          <w:p w:rsidR="00EE56C0" w:rsidRDefault="000F36A1">
            <w:pPr>
              <w:pStyle w:val="afa"/>
            </w:pPr>
            <w:r>
              <w:rPr>
                <w:rFonts w:hint="eastAsia"/>
              </w:rPr>
              <w:t>国家电网供电</w:t>
            </w:r>
          </w:p>
        </w:tc>
      </w:tr>
      <w:tr w:rsidR="00EE56C0">
        <w:trPr>
          <w:trHeight w:val="397"/>
          <w:jc w:val="center"/>
        </w:trPr>
        <w:tc>
          <w:tcPr>
            <w:tcW w:w="355" w:type="pct"/>
            <w:vMerge w:val="restart"/>
            <w:vAlign w:val="center"/>
          </w:tcPr>
          <w:p w:rsidR="00EE56C0" w:rsidRDefault="000F36A1">
            <w:pPr>
              <w:pStyle w:val="afa"/>
            </w:pPr>
            <w:r>
              <w:rPr>
                <w:rFonts w:hint="eastAsia"/>
              </w:rPr>
              <w:t>4</w:t>
            </w:r>
          </w:p>
        </w:tc>
        <w:tc>
          <w:tcPr>
            <w:tcW w:w="620" w:type="pct"/>
            <w:vMerge w:val="restart"/>
            <w:vAlign w:val="center"/>
          </w:tcPr>
          <w:p w:rsidR="00EE56C0" w:rsidRDefault="000F36A1">
            <w:pPr>
              <w:pStyle w:val="afa"/>
            </w:pPr>
            <w:r>
              <w:t>环保工程</w:t>
            </w:r>
          </w:p>
        </w:tc>
        <w:tc>
          <w:tcPr>
            <w:tcW w:w="899" w:type="pct"/>
            <w:vMerge w:val="restart"/>
            <w:vAlign w:val="center"/>
          </w:tcPr>
          <w:p w:rsidR="00EE56C0" w:rsidRDefault="000F36A1">
            <w:pPr>
              <w:pStyle w:val="afa"/>
            </w:pPr>
            <w:r>
              <w:t>废水处理设施</w:t>
            </w:r>
          </w:p>
        </w:tc>
        <w:tc>
          <w:tcPr>
            <w:tcW w:w="3127" w:type="pct"/>
            <w:gridSpan w:val="7"/>
            <w:vAlign w:val="center"/>
          </w:tcPr>
          <w:p w:rsidR="00EE56C0" w:rsidRDefault="000F36A1">
            <w:pPr>
              <w:pStyle w:val="afa"/>
            </w:pPr>
            <w:r>
              <w:rPr>
                <w:rFonts w:hint="eastAsia"/>
              </w:rPr>
              <w:t>调节</w:t>
            </w:r>
            <w:r>
              <w:rPr>
                <w:rFonts w:hint="eastAsia"/>
              </w:rPr>
              <w:t>+MBR</w:t>
            </w:r>
            <w:r>
              <w:rPr>
                <w:rFonts w:hint="eastAsia"/>
              </w:rPr>
              <w:t>：</w:t>
            </w:r>
            <w:r>
              <w:rPr>
                <w:rFonts w:hint="eastAsia"/>
              </w:rPr>
              <w:t>1</w:t>
            </w:r>
            <w:r>
              <w:rPr>
                <w:rFonts w:hint="eastAsia"/>
              </w:rPr>
              <w:t>座（</w:t>
            </w:r>
            <w:r>
              <w:rPr>
                <w:rFonts w:hint="eastAsia"/>
              </w:rPr>
              <w:t>16m</w:t>
            </w:r>
            <w:r>
              <w:rPr>
                <w:rFonts w:hint="eastAsia"/>
                <w:vertAlign w:val="superscript"/>
              </w:rPr>
              <w:t>3</w:t>
            </w:r>
            <w:r>
              <w:rPr>
                <w:rFonts w:hint="eastAsia"/>
              </w:rPr>
              <w:t>/d</w:t>
            </w:r>
            <w:r>
              <w:rPr>
                <w:rFonts w:hint="eastAsia"/>
              </w:rPr>
              <w:t>）</w:t>
            </w:r>
          </w:p>
        </w:tc>
      </w:tr>
      <w:tr w:rsidR="00EE56C0">
        <w:trPr>
          <w:trHeight w:val="397"/>
          <w:jc w:val="center"/>
        </w:trPr>
        <w:tc>
          <w:tcPr>
            <w:tcW w:w="355" w:type="pct"/>
            <w:vMerge/>
            <w:vAlign w:val="center"/>
          </w:tcPr>
          <w:p w:rsidR="00EE56C0" w:rsidRDefault="00EE56C0">
            <w:pPr>
              <w:pStyle w:val="afa"/>
            </w:pPr>
          </w:p>
        </w:tc>
        <w:tc>
          <w:tcPr>
            <w:tcW w:w="620" w:type="pct"/>
            <w:vMerge/>
            <w:vAlign w:val="center"/>
          </w:tcPr>
          <w:p w:rsidR="00EE56C0" w:rsidRDefault="00EE56C0">
            <w:pPr>
              <w:pStyle w:val="afa"/>
            </w:pPr>
          </w:p>
        </w:tc>
        <w:tc>
          <w:tcPr>
            <w:tcW w:w="899" w:type="pct"/>
            <w:vMerge/>
            <w:vAlign w:val="center"/>
          </w:tcPr>
          <w:p w:rsidR="00EE56C0" w:rsidRDefault="00EE56C0">
            <w:pPr>
              <w:pStyle w:val="afa"/>
            </w:pPr>
          </w:p>
        </w:tc>
        <w:tc>
          <w:tcPr>
            <w:tcW w:w="3127" w:type="pct"/>
            <w:gridSpan w:val="7"/>
            <w:vAlign w:val="center"/>
          </w:tcPr>
          <w:p w:rsidR="00EE56C0" w:rsidRDefault="000F36A1">
            <w:pPr>
              <w:pStyle w:val="afa"/>
            </w:pPr>
            <w:r>
              <w:rPr>
                <w:rFonts w:hint="eastAsia"/>
              </w:rPr>
              <w:t>化粪池</w:t>
            </w:r>
            <w:r>
              <w:rPr>
                <w:rFonts w:hint="eastAsia"/>
              </w:rPr>
              <w:t>1</w:t>
            </w:r>
            <w:r>
              <w:rPr>
                <w:rFonts w:hint="eastAsia"/>
              </w:rPr>
              <w:t>座，隔油池</w:t>
            </w:r>
            <w:r>
              <w:rPr>
                <w:rFonts w:hint="eastAsia"/>
              </w:rPr>
              <w:t>1</w:t>
            </w:r>
            <w:r>
              <w:rPr>
                <w:rFonts w:hint="eastAsia"/>
              </w:rPr>
              <w:t>座</w:t>
            </w:r>
          </w:p>
        </w:tc>
      </w:tr>
      <w:tr w:rsidR="00EE56C0">
        <w:trPr>
          <w:trHeight w:val="1372"/>
          <w:jc w:val="center"/>
        </w:trPr>
        <w:tc>
          <w:tcPr>
            <w:tcW w:w="355" w:type="pct"/>
            <w:vMerge/>
            <w:vAlign w:val="center"/>
          </w:tcPr>
          <w:p w:rsidR="00EE56C0" w:rsidRDefault="00EE56C0">
            <w:pPr>
              <w:pStyle w:val="afa"/>
            </w:pPr>
          </w:p>
        </w:tc>
        <w:tc>
          <w:tcPr>
            <w:tcW w:w="620" w:type="pct"/>
            <w:vMerge/>
            <w:vAlign w:val="center"/>
          </w:tcPr>
          <w:p w:rsidR="00EE56C0" w:rsidRDefault="00EE56C0">
            <w:pPr>
              <w:pStyle w:val="afa"/>
            </w:pPr>
          </w:p>
        </w:tc>
        <w:tc>
          <w:tcPr>
            <w:tcW w:w="899" w:type="pct"/>
            <w:vMerge w:val="restart"/>
            <w:vAlign w:val="center"/>
          </w:tcPr>
          <w:p w:rsidR="00EE56C0" w:rsidRDefault="000F36A1">
            <w:pPr>
              <w:pStyle w:val="afa"/>
            </w:pPr>
            <w:r>
              <w:rPr>
                <w:rFonts w:hint="eastAsia"/>
              </w:rPr>
              <w:t>废气处理设施</w:t>
            </w:r>
          </w:p>
        </w:tc>
        <w:tc>
          <w:tcPr>
            <w:tcW w:w="280" w:type="pct"/>
            <w:vMerge w:val="restart"/>
            <w:vAlign w:val="center"/>
          </w:tcPr>
          <w:p w:rsidR="00EE56C0" w:rsidRDefault="000F36A1">
            <w:pPr>
              <w:pStyle w:val="afa"/>
            </w:pPr>
            <w:r>
              <w:rPr>
                <w:rFonts w:hint="eastAsia"/>
              </w:rPr>
              <w:t>漆包线</w:t>
            </w:r>
          </w:p>
        </w:tc>
        <w:tc>
          <w:tcPr>
            <w:tcW w:w="383" w:type="pct"/>
            <w:vAlign w:val="center"/>
          </w:tcPr>
          <w:p w:rsidR="00EE56C0" w:rsidRDefault="000F36A1">
            <w:pPr>
              <w:pStyle w:val="afa"/>
            </w:pPr>
            <w:r>
              <w:rPr>
                <w:rFonts w:hint="eastAsia"/>
              </w:rPr>
              <w:t>卧式漆包机（</w:t>
            </w:r>
            <w:r>
              <w:rPr>
                <w:rFonts w:hint="eastAsia"/>
              </w:rPr>
              <w:t>15</w:t>
            </w:r>
            <w:r>
              <w:rPr>
                <w:rFonts w:hint="eastAsia"/>
              </w:rPr>
              <w:t>台）</w:t>
            </w:r>
          </w:p>
        </w:tc>
        <w:tc>
          <w:tcPr>
            <w:tcW w:w="769" w:type="pct"/>
            <w:vAlign w:val="center"/>
          </w:tcPr>
          <w:p w:rsidR="00EE56C0" w:rsidRDefault="000F36A1">
            <w:pPr>
              <w:pStyle w:val="afa"/>
            </w:pPr>
            <w:r>
              <w:rPr>
                <w:rFonts w:hint="eastAsia"/>
              </w:rPr>
              <w:t>涂漆区、烘炉进出口</w:t>
            </w:r>
          </w:p>
        </w:tc>
        <w:tc>
          <w:tcPr>
            <w:tcW w:w="748" w:type="pct"/>
            <w:gridSpan w:val="2"/>
            <w:vAlign w:val="center"/>
          </w:tcPr>
          <w:p w:rsidR="00EE56C0" w:rsidRDefault="000F36A1">
            <w:pPr>
              <w:pStyle w:val="afa"/>
            </w:pPr>
            <w:r>
              <w:rPr>
                <w:rFonts w:hint="eastAsia"/>
              </w:rPr>
              <w:t>封闭式集气罩</w:t>
            </w:r>
          </w:p>
        </w:tc>
        <w:tc>
          <w:tcPr>
            <w:tcW w:w="501" w:type="pct"/>
            <w:vMerge w:val="restart"/>
            <w:vAlign w:val="center"/>
          </w:tcPr>
          <w:p w:rsidR="00EE56C0" w:rsidRDefault="000F36A1">
            <w:pPr>
              <w:pStyle w:val="afa"/>
            </w:pPr>
            <w:r>
              <w:rPr>
                <w:rFonts w:hint="eastAsia"/>
              </w:rPr>
              <w:t>沸石吸附</w:t>
            </w:r>
            <w:r>
              <w:rPr>
                <w:rFonts w:hint="eastAsia"/>
              </w:rPr>
              <w:t>-</w:t>
            </w:r>
            <w:r>
              <w:rPr>
                <w:rFonts w:hint="eastAsia"/>
              </w:rPr>
              <w:t>脱附</w:t>
            </w:r>
            <w:r>
              <w:rPr>
                <w:rFonts w:hint="eastAsia"/>
              </w:rPr>
              <w:t>-</w:t>
            </w:r>
            <w:r>
              <w:rPr>
                <w:rFonts w:hint="eastAsia"/>
              </w:rPr>
              <w:t>催化燃烧</w:t>
            </w:r>
            <w:r>
              <w:rPr>
                <w:rFonts w:hint="eastAsia"/>
              </w:rPr>
              <w:t>F1</w:t>
            </w:r>
          </w:p>
        </w:tc>
        <w:tc>
          <w:tcPr>
            <w:tcW w:w="445" w:type="pct"/>
            <w:vMerge w:val="restart"/>
            <w:vAlign w:val="center"/>
          </w:tcPr>
          <w:p w:rsidR="00EE56C0" w:rsidRDefault="000F36A1" w:rsidP="008660AC">
            <w:pPr>
              <w:pStyle w:val="afa"/>
            </w:pPr>
            <w:r>
              <w:rPr>
                <w:rFonts w:hint="eastAsia"/>
              </w:rPr>
              <w:t>26.5m</w:t>
            </w:r>
            <w:r>
              <w:rPr>
                <w:rFonts w:hint="eastAsia"/>
              </w:rPr>
              <w:t>排气筒</w:t>
            </w:r>
            <w:r>
              <w:rPr>
                <w:rFonts w:hint="eastAsia"/>
              </w:rPr>
              <w:t>P</w:t>
            </w:r>
            <w:r>
              <w:rPr>
                <w:rFonts w:hint="eastAsia"/>
              </w:rPr>
              <w:t>（</w:t>
            </w:r>
            <w:r>
              <w:rPr>
                <w:rFonts w:hint="eastAsia"/>
              </w:rPr>
              <w:t>1</w:t>
            </w:r>
            <w:r>
              <w:rPr>
                <w:rFonts w:hint="eastAsia"/>
              </w:rPr>
              <w:t>套）</w:t>
            </w:r>
          </w:p>
        </w:tc>
      </w:tr>
      <w:tr w:rsidR="00EE56C0">
        <w:trPr>
          <w:trHeight w:val="397"/>
          <w:jc w:val="center"/>
        </w:trPr>
        <w:tc>
          <w:tcPr>
            <w:tcW w:w="355" w:type="pct"/>
            <w:vMerge/>
            <w:vAlign w:val="center"/>
          </w:tcPr>
          <w:p w:rsidR="00EE56C0" w:rsidRDefault="00EE56C0">
            <w:pPr>
              <w:pStyle w:val="afa"/>
            </w:pPr>
          </w:p>
        </w:tc>
        <w:tc>
          <w:tcPr>
            <w:tcW w:w="620" w:type="pct"/>
            <w:vMerge/>
            <w:vAlign w:val="center"/>
          </w:tcPr>
          <w:p w:rsidR="00EE56C0" w:rsidRDefault="00EE56C0">
            <w:pPr>
              <w:pStyle w:val="afa"/>
            </w:pPr>
          </w:p>
        </w:tc>
        <w:tc>
          <w:tcPr>
            <w:tcW w:w="899" w:type="pct"/>
            <w:vMerge/>
            <w:vAlign w:val="center"/>
          </w:tcPr>
          <w:p w:rsidR="00EE56C0" w:rsidRDefault="00EE56C0">
            <w:pPr>
              <w:pStyle w:val="afa"/>
            </w:pPr>
          </w:p>
        </w:tc>
        <w:tc>
          <w:tcPr>
            <w:tcW w:w="280" w:type="pct"/>
            <w:vMerge/>
            <w:vAlign w:val="center"/>
          </w:tcPr>
          <w:p w:rsidR="00EE56C0" w:rsidRDefault="00EE56C0">
            <w:pPr>
              <w:pStyle w:val="afa"/>
            </w:pPr>
          </w:p>
        </w:tc>
        <w:tc>
          <w:tcPr>
            <w:tcW w:w="383" w:type="pct"/>
            <w:vAlign w:val="center"/>
          </w:tcPr>
          <w:p w:rsidR="00EE56C0" w:rsidRDefault="000F36A1">
            <w:pPr>
              <w:pStyle w:val="afa"/>
            </w:pPr>
            <w:r>
              <w:rPr>
                <w:rFonts w:hint="eastAsia"/>
              </w:rPr>
              <w:t>立式漆包机</w:t>
            </w:r>
          </w:p>
        </w:tc>
        <w:tc>
          <w:tcPr>
            <w:tcW w:w="769" w:type="pct"/>
            <w:vAlign w:val="center"/>
          </w:tcPr>
          <w:p w:rsidR="00EE56C0" w:rsidRDefault="000F36A1">
            <w:pPr>
              <w:pStyle w:val="afa"/>
              <w:rPr>
                <w:lang w:val="pt-BR"/>
              </w:rPr>
            </w:pPr>
            <w:r>
              <w:rPr>
                <w:rFonts w:hint="eastAsia"/>
                <w:lang w:val="pt-BR"/>
              </w:rPr>
              <w:t>二次封闭通道</w:t>
            </w:r>
          </w:p>
        </w:tc>
        <w:tc>
          <w:tcPr>
            <w:tcW w:w="748" w:type="pct"/>
            <w:gridSpan w:val="2"/>
            <w:vAlign w:val="center"/>
          </w:tcPr>
          <w:p w:rsidR="00EE56C0" w:rsidRDefault="000F36A1">
            <w:pPr>
              <w:pStyle w:val="afa"/>
            </w:pPr>
            <w:r>
              <w:rPr>
                <w:rFonts w:hint="eastAsia"/>
              </w:rPr>
              <w:t>顶部抽风</w:t>
            </w:r>
          </w:p>
        </w:tc>
        <w:tc>
          <w:tcPr>
            <w:tcW w:w="501" w:type="pct"/>
            <w:vMerge/>
            <w:vAlign w:val="center"/>
          </w:tcPr>
          <w:p w:rsidR="00EE56C0" w:rsidRDefault="00EE56C0">
            <w:pPr>
              <w:pStyle w:val="afa"/>
            </w:pPr>
          </w:p>
        </w:tc>
        <w:tc>
          <w:tcPr>
            <w:tcW w:w="445" w:type="pct"/>
            <w:vMerge/>
            <w:vAlign w:val="center"/>
          </w:tcPr>
          <w:p w:rsidR="00EE56C0" w:rsidRDefault="00EE56C0">
            <w:pPr>
              <w:pStyle w:val="afa"/>
            </w:pPr>
          </w:p>
        </w:tc>
      </w:tr>
      <w:tr w:rsidR="00EE56C0">
        <w:trPr>
          <w:trHeight w:val="397"/>
          <w:jc w:val="center"/>
        </w:trPr>
        <w:tc>
          <w:tcPr>
            <w:tcW w:w="355" w:type="pct"/>
            <w:vMerge/>
            <w:vAlign w:val="center"/>
          </w:tcPr>
          <w:p w:rsidR="00EE56C0" w:rsidRDefault="00EE56C0">
            <w:pPr>
              <w:pStyle w:val="afa"/>
            </w:pPr>
          </w:p>
        </w:tc>
        <w:tc>
          <w:tcPr>
            <w:tcW w:w="620" w:type="pct"/>
            <w:vMerge/>
            <w:vAlign w:val="center"/>
          </w:tcPr>
          <w:p w:rsidR="00EE56C0" w:rsidRDefault="00EE56C0">
            <w:pPr>
              <w:pStyle w:val="afa"/>
            </w:pPr>
          </w:p>
        </w:tc>
        <w:tc>
          <w:tcPr>
            <w:tcW w:w="899" w:type="pct"/>
            <w:vMerge/>
            <w:vAlign w:val="center"/>
          </w:tcPr>
          <w:p w:rsidR="00EE56C0" w:rsidRDefault="00EE56C0">
            <w:pPr>
              <w:pStyle w:val="afa"/>
            </w:pPr>
          </w:p>
        </w:tc>
        <w:tc>
          <w:tcPr>
            <w:tcW w:w="280" w:type="pct"/>
            <w:vMerge/>
            <w:vAlign w:val="center"/>
          </w:tcPr>
          <w:p w:rsidR="00EE56C0" w:rsidRDefault="00EE56C0">
            <w:pPr>
              <w:pStyle w:val="afa"/>
            </w:pPr>
          </w:p>
        </w:tc>
        <w:tc>
          <w:tcPr>
            <w:tcW w:w="383" w:type="pct"/>
            <w:vAlign w:val="center"/>
          </w:tcPr>
          <w:p w:rsidR="00EE56C0" w:rsidRDefault="000F36A1">
            <w:pPr>
              <w:pStyle w:val="afa"/>
            </w:pPr>
            <w:r>
              <w:rPr>
                <w:rFonts w:hint="eastAsia"/>
              </w:rPr>
              <w:t>卧式漆包机（</w:t>
            </w:r>
            <w:r>
              <w:rPr>
                <w:rFonts w:hint="eastAsia"/>
              </w:rPr>
              <w:t>21</w:t>
            </w:r>
            <w:r>
              <w:rPr>
                <w:rFonts w:hint="eastAsia"/>
              </w:rPr>
              <w:t>台）</w:t>
            </w:r>
          </w:p>
        </w:tc>
        <w:tc>
          <w:tcPr>
            <w:tcW w:w="769" w:type="pct"/>
            <w:vAlign w:val="center"/>
          </w:tcPr>
          <w:p w:rsidR="00EE56C0" w:rsidRDefault="000F36A1">
            <w:pPr>
              <w:pStyle w:val="afa"/>
            </w:pPr>
            <w:r>
              <w:rPr>
                <w:rFonts w:hint="eastAsia"/>
              </w:rPr>
              <w:t>烘炉</w:t>
            </w:r>
          </w:p>
          <w:p w:rsidR="00EE56C0" w:rsidRDefault="000F36A1">
            <w:pPr>
              <w:pStyle w:val="afa"/>
            </w:pPr>
            <w:r>
              <w:rPr>
                <w:rFonts w:hint="eastAsia"/>
              </w:rPr>
              <w:t>内部</w:t>
            </w:r>
          </w:p>
        </w:tc>
        <w:tc>
          <w:tcPr>
            <w:tcW w:w="415" w:type="pct"/>
            <w:vAlign w:val="center"/>
          </w:tcPr>
          <w:p w:rsidR="00EE56C0" w:rsidRDefault="000F36A1">
            <w:pPr>
              <w:pStyle w:val="afa"/>
            </w:pPr>
            <w:r>
              <w:rPr>
                <w:rFonts w:hint="eastAsia"/>
              </w:rPr>
              <w:t>集气管道</w:t>
            </w:r>
            <w:r>
              <w:rPr>
                <w:rFonts w:hint="eastAsia"/>
              </w:rPr>
              <w:t xml:space="preserve"> </w:t>
            </w:r>
          </w:p>
        </w:tc>
        <w:tc>
          <w:tcPr>
            <w:tcW w:w="334" w:type="pct"/>
            <w:vMerge w:val="restart"/>
            <w:vAlign w:val="center"/>
          </w:tcPr>
          <w:p w:rsidR="00EE56C0" w:rsidRDefault="000F36A1">
            <w:pPr>
              <w:pStyle w:val="afa"/>
            </w:pPr>
            <w:r>
              <w:rPr>
                <w:rFonts w:hint="eastAsia"/>
              </w:rPr>
              <w:t>三次催化燃烧</w:t>
            </w:r>
          </w:p>
        </w:tc>
        <w:tc>
          <w:tcPr>
            <w:tcW w:w="501" w:type="pct"/>
            <w:vMerge w:val="restart"/>
            <w:vAlign w:val="center"/>
          </w:tcPr>
          <w:p w:rsidR="00EE56C0" w:rsidRDefault="000F36A1">
            <w:pPr>
              <w:pStyle w:val="afa"/>
            </w:pPr>
            <w:r>
              <w:rPr>
                <w:rFonts w:hint="eastAsia"/>
              </w:rPr>
              <w:t>活性炭吸附</w:t>
            </w:r>
            <w:r>
              <w:rPr>
                <w:rFonts w:hint="eastAsia"/>
              </w:rPr>
              <w:t>-</w:t>
            </w:r>
            <w:r>
              <w:rPr>
                <w:rFonts w:hint="eastAsia"/>
              </w:rPr>
              <w:t>脱附</w:t>
            </w:r>
            <w:r>
              <w:rPr>
                <w:rFonts w:hint="eastAsia"/>
              </w:rPr>
              <w:t>-</w:t>
            </w:r>
            <w:r>
              <w:rPr>
                <w:rFonts w:hint="eastAsia"/>
              </w:rPr>
              <w:t>催化燃烧</w:t>
            </w:r>
            <w:r>
              <w:rPr>
                <w:rFonts w:hint="eastAsia"/>
              </w:rPr>
              <w:t>T</w:t>
            </w:r>
          </w:p>
        </w:tc>
        <w:tc>
          <w:tcPr>
            <w:tcW w:w="445" w:type="pct"/>
            <w:vMerge/>
            <w:vAlign w:val="center"/>
          </w:tcPr>
          <w:p w:rsidR="00EE56C0" w:rsidRDefault="00EE56C0">
            <w:pPr>
              <w:pStyle w:val="afa"/>
            </w:pPr>
          </w:p>
        </w:tc>
      </w:tr>
      <w:tr w:rsidR="00EE56C0">
        <w:trPr>
          <w:trHeight w:val="397"/>
          <w:jc w:val="center"/>
        </w:trPr>
        <w:tc>
          <w:tcPr>
            <w:tcW w:w="355" w:type="pct"/>
            <w:vMerge/>
            <w:vAlign w:val="center"/>
          </w:tcPr>
          <w:p w:rsidR="00EE56C0" w:rsidRDefault="00EE56C0">
            <w:pPr>
              <w:pStyle w:val="afa"/>
            </w:pPr>
          </w:p>
        </w:tc>
        <w:tc>
          <w:tcPr>
            <w:tcW w:w="620" w:type="pct"/>
            <w:vMerge/>
            <w:vAlign w:val="center"/>
          </w:tcPr>
          <w:p w:rsidR="00EE56C0" w:rsidRDefault="00EE56C0">
            <w:pPr>
              <w:pStyle w:val="afa"/>
            </w:pPr>
          </w:p>
        </w:tc>
        <w:tc>
          <w:tcPr>
            <w:tcW w:w="899" w:type="pct"/>
            <w:vMerge/>
            <w:vAlign w:val="center"/>
          </w:tcPr>
          <w:p w:rsidR="00EE56C0" w:rsidRDefault="00EE56C0">
            <w:pPr>
              <w:pStyle w:val="afa"/>
            </w:pPr>
          </w:p>
        </w:tc>
        <w:tc>
          <w:tcPr>
            <w:tcW w:w="280" w:type="pct"/>
            <w:vMerge/>
            <w:vAlign w:val="center"/>
          </w:tcPr>
          <w:p w:rsidR="00EE56C0" w:rsidRDefault="00EE56C0">
            <w:pPr>
              <w:pStyle w:val="afa"/>
            </w:pPr>
          </w:p>
        </w:tc>
        <w:tc>
          <w:tcPr>
            <w:tcW w:w="383" w:type="pct"/>
            <w:vAlign w:val="center"/>
          </w:tcPr>
          <w:p w:rsidR="00EE56C0" w:rsidRDefault="000F36A1">
            <w:pPr>
              <w:pStyle w:val="afa"/>
            </w:pPr>
            <w:r>
              <w:rPr>
                <w:rFonts w:hint="eastAsia"/>
              </w:rPr>
              <w:t>卧式漆包机（</w:t>
            </w:r>
            <w:r>
              <w:rPr>
                <w:rFonts w:hint="eastAsia"/>
              </w:rPr>
              <w:t>6</w:t>
            </w:r>
            <w:r>
              <w:rPr>
                <w:rFonts w:hint="eastAsia"/>
              </w:rPr>
              <w:t>台）</w:t>
            </w:r>
          </w:p>
        </w:tc>
        <w:tc>
          <w:tcPr>
            <w:tcW w:w="769" w:type="pct"/>
            <w:vAlign w:val="center"/>
          </w:tcPr>
          <w:p w:rsidR="00EE56C0" w:rsidRDefault="000F36A1">
            <w:pPr>
              <w:pStyle w:val="afa"/>
            </w:pPr>
            <w:r>
              <w:rPr>
                <w:rFonts w:hint="eastAsia"/>
              </w:rPr>
              <w:t>涂漆区、烘炉进出口</w:t>
            </w:r>
          </w:p>
        </w:tc>
        <w:tc>
          <w:tcPr>
            <w:tcW w:w="415" w:type="pct"/>
            <w:vAlign w:val="center"/>
          </w:tcPr>
          <w:p w:rsidR="00EE56C0" w:rsidRDefault="000F36A1">
            <w:pPr>
              <w:pStyle w:val="afa"/>
            </w:pPr>
            <w:r>
              <w:rPr>
                <w:rFonts w:hint="eastAsia"/>
              </w:rPr>
              <w:t>集气罩</w:t>
            </w:r>
          </w:p>
        </w:tc>
        <w:tc>
          <w:tcPr>
            <w:tcW w:w="334" w:type="pct"/>
            <w:vMerge/>
            <w:vAlign w:val="center"/>
          </w:tcPr>
          <w:p w:rsidR="00EE56C0" w:rsidRDefault="00EE56C0">
            <w:pPr>
              <w:pStyle w:val="afa"/>
            </w:pPr>
          </w:p>
        </w:tc>
        <w:tc>
          <w:tcPr>
            <w:tcW w:w="501" w:type="pct"/>
            <w:vMerge/>
            <w:vAlign w:val="center"/>
          </w:tcPr>
          <w:p w:rsidR="00EE56C0" w:rsidRDefault="00EE56C0">
            <w:pPr>
              <w:pStyle w:val="afa"/>
            </w:pPr>
          </w:p>
        </w:tc>
        <w:tc>
          <w:tcPr>
            <w:tcW w:w="445" w:type="pct"/>
            <w:vMerge/>
            <w:vAlign w:val="center"/>
          </w:tcPr>
          <w:p w:rsidR="00EE56C0" w:rsidRDefault="00EE56C0">
            <w:pPr>
              <w:pStyle w:val="afa"/>
            </w:pPr>
          </w:p>
        </w:tc>
      </w:tr>
      <w:tr w:rsidR="00EE56C0">
        <w:trPr>
          <w:trHeight w:val="516"/>
          <w:jc w:val="center"/>
        </w:trPr>
        <w:tc>
          <w:tcPr>
            <w:tcW w:w="355" w:type="pct"/>
            <w:vMerge/>
            <w:vAlign w:val="center"/>
          </w:tcPr>
          <w:p w:rsidR="00EE56C0" w:rsidRDefault="00EE56C0">
            <w:pPr>
              <w:pStyle w:val="afa"/>
            </w:pPr>
          </w:p>
        </w:tc>
        <w:tc>
          <w:tcPr>
            <w:tcW w:w="620" w:type="pct"/>
            <w:vMerge/>
            <w:vAlign w:val="center"/>
          </w:tcPr>
          <w:p w:rsidR="00EE56C0" w:rsidRDefault="00EE56C0">
            <w:pPr>
              <w:pStyle w:val="afa"/>
            </w:pPr>
          </w:p>
        </w:tc>
        <w:tc>
          <w:tcPr>
            <w:tcW w:w="899" w:type="pct"/>
            <w:vMerge/>
            <w:vAlign w:val="center"/>
          </w:tcPr>
          <w:p w:rsidR="00EE56C0" w:rsidRDefault="00EE56C0">
            <w:pPr>
              <w:pStyle w:val="afa"/>
            </w:pPr>
          </w:p>
        </w:tc>
        <w:tc>
          <w:tcPr>
            <w:tcW w:w="280" w:type="pct"/>
            <w:vMerge/>
            <w:vAlign w:val="center"/>
          </w:tcPr>
          <w:p w:rsidR="00EE56C0" w:rsidRDefault="00EE56C0">
            <w:pPr>
              <w:pStyle w:val="afa"/>
            </w:pPr>
          </w:p>
        </w:tc>
        <w:tc>
          <w:tcPr>
            <w:tcW w:w="383" w:type="pct"/>
            <w:vMerge w:val="restart"/>
            <w:vAlign w:val="center"/>
          </w:tcPr>
          <w:p w:rsidR="00EE56C0" w:rsidRDefault="000F36A1">
            <w:pPr>
              <w:pStyle w:val="afa"/>
            </w:pPr>
            <w:r>
              <w:rPr>
                <w:rFonts w:hint="eastAsia"/>
              </w:rPr>
              <w:t>立式漆包机</w:t>
            </w:r>
          </w:p>
        </w:tc>
        <w:tc>
          <w:tcPr>
            <w:tcW w:w="769" w:type="pct"/>
            <w:vAlign w:val="center"/>
          </w:tcPr>
          <w:p w:rsidR="00EE56C0" w:rsidRDefault="000F36A1">
            <w:pPr>
              <w:pStyle w:val="afa"/>
              <w:rPr>
                <w:lang w:val="pt-BR"/>
              </w:rPr>
            </w:pPr>
            <w:r>
              <w:rPr>
                <w:rFonts w:hint="eastAsia"/>
                <w:lang w:val="pt-BR"/>
              </w:rPr>
              <w:t>涂漆</w:t>
            </w:r>
          </w:p>
        </w:tc>
        <w:tc>
          <w:tcPr>
            <w:tcW w:w="415" w:type="pct"/>
            <w:vAlign w:val="center"/>
          </w:tcPr>
          <w:p w:rsidR="00EE56C0" w:rsidRDefault="000F36A1">
            <w:pPr>
              <w:pStyle w:val="afa"/>
            </w:pPr>
            <w:r>
              <w:rPr>
                <w:rFonts w:hint="eastAsia"/>
                <w:lang w:val="pt-BR"/>
              </w:rPr>
              <w:t>涂漆间</w:t>
            </w:r>
          </w:p>
        </w:tc>
        <w:tc>
          <w:tcPr>
            <w:tcW w:w="334" w:type="pct"/>
            <w:vMerge/>
            <w:vAlign w:val="center"/>
          </w:tcPr>
          <w:p w:rsidR="00EE56C0" w:rsidRDefault="00EE56C0">
            <w:pPr>
              <w:pStyle w:val="afa"/>
            </w:pPr>
          </w:p>
        </w:tc>
        <w:tc>
          <w:tcPr>
            <w:tcW w:w="501" w:type="pct"/>
            <w:vMerge/>
            <w:vAlign w:val="center"/>
          </w:tcPr>
          <w:p w:rsidR="00EE56C0" w:rsidRDefault="00EE56C0">
            <w:pPr>
              <w:pStyle w:val="afa"/>
            </w:pPr>
          </w:p>
        </w:tc>
        <w:tc>
          <w:tcPr>
            <w:tcW w:w="445" w:type="pct"/>
            <w:vMerge/>
            <w:vAlign w:val="center"/>
          </w:tcPr>
          <w:p w:rsidR="00EE56C0" w:rsidRDefault="00EE56C0">
            <w:pPr>
              <w:pStyle w:val="afa"/>
            </w:pPr>
          </w:p>
        </w:tc>
      </w:tr>
      <w:tr w:rsidR="00EE56C0">
        <w:trPr>
          <w:trHeight w:val="830"/>
          <w:jc w:val="center"/>
        </w:trPr>
        <w:tc>
          <w:tcPr>
            <w:tcW w:w="355" w:type="pct"/>
            <w:vMerge/>
            <w:vAlign w:val="center"/>
          </w:tcPr>
          <w:p w:rsidR="00EE56C0" w:rsidRDefault="00EE56C0">
            <w:pPr>
              <w:pStyle w:val="afa"/>
            </w:pPr>
          </w:p>
        </w:tc>
        <w:tc>
          <w:tcPr>
            <w:tcW w:w="620" w:type="pct"/>
            <w:vMerge/>
            <w:vAlign w:val="center"/>
          </w:tcPr>
          <w:p w:rsidR="00EE56C0" w:rsidRDefault="00EE56C0">
            <w:pPr>
              <w:pStyle w:val="afa"/>
            </w:pPr>
          </w:p>
        </w:tc>
        <w:tc>
          <w:tcPr>
            <w:tcW w:w="899" w:type="pct"/>
            <w:vMerge/>
            <w:vAlign w:val="center"/>
          </w:tcPr>
          <w:p w:rsidR="00EE56C0" w:rsidRDefault="00EE56C0">
            <w:pPr>
              <w:pStyle w:val="afa"/>
            </w:pPr>
          </w:p>
        </w:tc>
        <w:tc>
          <w:tcPr>
            <w:tcW w:w="280" w:type="pct"/>
            <w:vMerge/>
            <w:vAlign w:val="center"/>
          </w:tcPr>
          <w:p w:rsidR="00EE56C0" w:rsidRDefault="00EE56C0">
            <w:pPr>
              <w:pStyle w:val="afa"/>
            </w:pPr>
          </w:p>
        </w:tc>
        <w:tc>
          <w:tcPr>
            <w:tcW w:w="383" w:type="pct"/>
            <w:vMerge/>
            <w:vAlign w:val="center"/>
          </w:tcPr>
          <w:p w:rsidR="00EE56C0" w:rsidRDefault="00EE56C0">
            <w:pPr>
              <w:pStyle w:val="afa"/>
            </w:pPr>
          </w:p>
        </w:tc>
        <w:tc>
          <w:tcPr>
            <w:tcW w:w="769" w:type="pct"/>
            <w:vAlign w:val="center"/>
          </w:tcPr>
          <w:p w:rsidR="00EE56C0" w:rsidRDefault="000F36A1">
            <w:pPr>
              <w:pStyle w:val="afa"/>
              <w:rPr>
                <w:lang w:val="pt-BR"/>
              </w:rPr>
            </w:pPr>
            <w:r>
              <w:rPr>
                <w:rFonts w:hint="eastAsia"/>
                <w:lang w:val="pt-BR"/>
              </w:rPr>
              <w:t>烘炉进出口</w:t>
            </w:r>
          </w:p>
        </w:tc>
        <w:tc>
          <w:tcPr>
            <w:tcW w:w="415" w:type="pct"/>
            <w:vAlign w:val="center"/>
          </w:tcPr>
          <w:p w:rsidR="00EE56C0" w:rsidRDefault="000F36A1">
            <w:pPr>
              <w:pStyle w:val="afa"/>
            </w:pPr>
            <w:r>
              <w:rPr>
                <w:rFonts w:hint="eastAsia"/>
              </w:rPr>
              <w:t>集气管道</w:t>
            </w:r>
          </w:p>
        </w:tc>
        <w:tc>
          <w:tcPr>
            <w:tcW w:w="334" w:type="pct"/>
            <w:vMerge/>
            <w:vAlign w:val="center"/>
          </w:tcPr>
          <w:p w:rsidR="00EE56C0" w:rsidRDefault="00EE56C0">
            <w:pPr>
              <w:pStyle w:val="afa"/>
            </w:pPr>
          </w:p>
        </w:tc>
        <w:tc>
          <w:tcPr>
            <w:tcW w:w="501" w:type="pct"/>
            <w:vMerge/>
            <w:vAlign w:val="center"/>
          </w:tcPr>
          <w:p w:rsidR="00EE56C0" w:rsidRDefault="00EE56C0">
            <w:pPr>
              <w:pStyle w:val="afa"/>
            </w:pPr>
          </w:p>
        </w:tc>
        <w:tc>
          <w:tcPr>
            <w:tcW w:w="445" w:type="pct"/>
            <w:vMerge/>
            <w:vAlign w:val="center"/>
          </w:tcPr>
          <w:p w:rsidR="00EE56C0" w:rsidRDefault="00EE56C0">
            <w:pPr>
              <w:pStyle w:val="afa"/>
            </w:pPr>
          </w:p>
        </w:tc>
      </w:tr>
      <w:tr w:rsidR="00EE56C0">
        <w:trPr>
          <w:trHeight w:val="397"/>
          <w:jc w:val="center"/>
        </w:trPr>
        <w:tc>
          <w:tcPr>
            <w:tcW w:w="355" w:type="pct"/>
            <w:vMerge/>
            <w:vAlign w:val="center"/>
          </w:tcPr>
          <w:p w:rsidR="00EE56C0" w:rsidRDefault="00EE56C0">
            <w:pPr>
              <w:pStyle w:val="afa"/>
            </w:pPr>
          </w:p>
        </w:tc>
        <w:tc>
          <w:tcPr>
            <w:tcW w:w="620" w:type="pct"/>
            <w:vMerge/>
            <w:vAlign w:val="center"/>
          </w:tcPr>
          <w:p w:rsidR="00EE56C0" w:rsidRDefault="00EE56C0">
            <w:pPr>
              <w:pStyle w:val="afa"/>
            </w:pPr>
          </w:p>
        </w:tc>
        <w:tc>
          <w:tcPr>
            <w:tcW w:w="899" w:type="pct"/>
            <w:vMerge/>
            <w:vAlign w:val="center"/>
          </w:tcPr>
          <w:p w:rsidR="00EE56C0" w:rsidRDefault="00EE56C0">
            <w:pPr>
              <w:pStyle w:val="afa"/>
            </w:pPr>
          </w:p>
        </w:tc>
        <w:tc>
          <w:tcPr>
            <w:tcW w:w="663" w:type="pct"/>
            <w:gridSpan w:val="2"/>
            <w:vMerge w:val="restart"/>
            <w:vAlign w:val="center"/>
          </w:tcPr>
          <w:p w:rsidR="00EE56C0" w:rsidRDefault="000F36A1">
            <w:pPr>
              <w:pStyle w:val="afa"/>
            </w:pPr>
            <w:r>
              <w:rPr>
                <w:rFonts w:hint="eastAsia"/>
              </w:rPr>
              <w:t>丝包线</w:t>
            </w:r>
          </w:p>
        </w:tc>
        <w:tc>
          <w:tcPr>
            <w:tcW w:w="769" w:type="pct"/>
            <w:vAlign w:val="center"/>
          </w:tcPr>
          <w:p w:rsidR="00EE56C0" w:rsidRDefault="000F36A1">
            <w:pPr>
              <w:pStyle w:val="afa"/>
              <w:rPr>
                <w:lang w:val="pt-BR"/>
              </w:rPr>
            </w:pPr>
            <w:r>
              <w:rPr>
                <w:rFonts w:hint="eastAsia"/>
                <w:lang w:val="pt-BR"/>
              </w:rPr>
              <w:t>涂漆、烘炉进口及出口</w:t>
            </w:r>
          </w:p>
        </w:tc>
        <w:tc>
          <w:tcPr>
            <w:tcW w:w="748" w:type="pct"/>
            <w:gridSpan w:val="2"/>
            <w:vAlign w:val="center"/>
          </w:tcPr>
          <w:p w:rsidR="00EE56C0" w:rsidRDefault="000F36A1">
            <w:pPr>
              <w:pStyle w:val="afa"/>
            </w:pPr>
            <w:r>
              <w:rPr>
                <w:rFonts w:hint="eastAsia"/>
              </w:rPr>
              <w:t>集气罩</w:t>
            </w:r>
            <w:r>
              <w:rPr>
                <w:rFonts w:hint="eastAsia"/>
              </w:rPr>
              <w:t>/</w:t>
            </w:r>
            <w:r>
              <w:rPr>
                <w:rFonts w:hint="eastAsia"/>
              </w:rPr>
              <w:t>风管</w:t>
            </w:r>
          </w:p>
        </w:tc>
        <w:tc>
          <w:tcPr>
            <w:tcW w:w="501" w:type="pct"/>
            <w:vMerge/>
            <w:vAlign w:val="center"/>
          </w:tcPr>
          <w:p w:rsidR="00EE56C0" w:rsidRDefault="00EE56C0">
            <w:pPr>
              <w:pStyle w:val="afa"/>
            </w:pPr>
          </w:p>
        </w:tc>
        <w:tc>
          <w:tcPr>
            <w:tcW w:w="445" w:type="pct"/>
            <w:vMerge/>
            <w:vAlign w:val="center"/>
          </w:tcPr>
          <w:p w:rsidR="00EE56C0" w:rsidRDefault="00EE56C0">
            <w:pPr>
              <w:pStyle w:val="afa"/>
            </w:pPr>
          </w:p>
        </w:tc>
      </w:tr>
      <w:tr w:rsidR="00EE56C0">
        <w:trPr>
          <w:trHeight w:val="397"/>
          <w:jc w:val="center"/>
        </w:trPr>
        <w:tc>
          <w:tcPr>
            <w:tcW w:w="355" w:type="pct"/>
            <w:vMerge/>
            <w:vAlign w:val="center"/>
          </w:tcPr>
          <w:p w:rsidR="00EE56C0" w:rsidRDefault="00EE56C0">
            <w:pPr>
              <w:pStyle w:val="afa"/>
            </w:pPr>
          </w:p>
        </w:tc>
        <w:tc>
          <w:tcPr>
            <w:tcW w:w="620" w:type="pct"/>
            <w:vMerge/>
            <w:vAlign w:val="center"/>
          </w:tcPr>
          <w:p w:rsidR="00EE56C0" w:rsidRDefault="00EE56C0">
            <w:pPr>
              <w:pStyle w:val="afa"/>
            </w:pPr>
          </w:p>
        </w:tc>
        <w:tc>
          <w:tcPr>
            <w:tcW w:w="899" w:type="pct"/>
            <w:vMerge/>
            <w:vAlign w:val="center"/>
          </w:tcPr>
          <w:p w:rsidR="00EE56C0" w:rsidRDefault="00EE56C0">
            <w:pPr>
              <w:pStyle w:val="afa"/>
            </w:pPr>
          </w:p>
        </w:tc>
        <w:tc>
          <w:tcPr>
            <w:tcW w:w="663" w:type="pct"/>
            <w:gridSpan w:val="2"/>
            <w:vMerge/>
            <w:vAlign w:val="center"/>
          </w:tcPr>
          <w:p w:rsidR="00EE56C0" w:rsidRDefault="00EE56C0">
            <w:pPr>
              <w:pStyle w:val="afa"/>
            </w:pPr>
          </w:p>
        </w:tc>
        <w:tc>
          <w:tcPr>
            <w:tcW w:w="769" w:type="pct"/>
            <w:vAlign w:val="center"/>
          </w:tcPr>
          <w:p w:rsidR="00EE56C0" w:rsidRDefault="000F36A1">
            <w:pPr>
              <w:pStyle w:val="afa"/>
              <w:rPr>
                <w:lang w:val="pt-BR"/>
              </w:rPr>
            </w:pPr>
            <w:r>
              <w:rPr>
                <w:rFonts w:hint="eastAsia"/>
                <w:lang w:val="pt-BR"/>
              </w:rPr>
              <w:t>操作间</w:t>
            </w:r>
          </w:p>
        </w:tc>
        <w:tc>
          <w:tcPr>
            <w:tcW w:w="748" w:type="pct"/>
            <w:gridSpan w:val="2"/>
            <w:vAlign w:val="center"/>
          </w:tcPr>
          <w:p w:rsidR="00EE56C0" w:rsidRDefault="000F36A1">
            <w:pPr>
              <w:pStyle w:val="afa"/>
            </w:pPr>
            <w:r>
              <w:rPr>
                <w:rFonts w:hint="eastAsia"/>
              </w:rPr>
              <w:t>顶部抽吸</w:t>
            </w:r>
          </w:p>
        </w:tc>
        <w:tc>
          <w:tcPr>
            <w:tcW w:w="501" w:type="pct"/>
            <w:vMerge/>
            <w:vAlign w:val="center"/>
          </w:tcPr>
          <w:p w:rsidR="00EE56C0" w:rsidRDefault="00EE56C0">
            <w:pPr>
              <w:pStyle w:val="afa"/>
            </w:pPr>
          </w:p>
        </w:tc>
        <w:tc>
          <w:tcPr>
            <w:tcW w:w="445" w:type="pct"/>
            <w:vMerge/>
            <w:vAlign w:val="center"/>
          </w:tcPr>
          <w:p w:rsidR="00EE56C0" w:rsidRDefault="00EE56C0">
            <w:pPr>
              <w:pStyle w:val="afa"/>
            </w:pPr>
          </w:p>
        </w:tc>
      </w:tr>
      <w:tr w:rsidR="00EE56C0">
        <w:trPr>
          <w:trHeight w:val="1231"/>
          <w:jc w:val="center"/>
        </w:trPr>
        <w:tc>
          <w:tcPr>
            <w:tcW w:w="355" w:type="pct"/>
            <w:vMerge/>
            <w:tcBorders>
              <w:bottom w:val="single" w:sz="8" w:space="0" w:color="auto"/>
            </w:tcBorders>
            <w:vAlign w:val="center"/>
          </w:tcPr>
          <w:p w:rsidR="00EE56C0" w:rsidRDefault="00EE56C0">
            <w:pPr>
              <w:pStyle w:val="afa"/>
            </w:pPr>
          </w:p>
        </w:tc>
        <w:tc>
          <w:tcPr>
            <w:tcW w:w="620" w:type="pct"/>
            <w:vMerge/>
            <w:tcBorders>
              <w:bottom w:val="single" w:sz="8" w:space="0" w:color="auto"/>
            </w:tcBorders>
            <w:vAlign w:val="center"/>
          </w:tcPr>
          <w:p w:rsidR="00EE56C0" w:rsidRDefault="00EE56C0">
            <w:pPr>
              <w:pStyle w:val="afa"/>
            </w:pPr>
          </w:p>
        </w:tc>
        <w:tc>
          <w:tcPr>
            <w:tcW w:w="899" w:type="pct"/>
            <w:vMerge/>
            <w:tcBorders>
              <w:bottom w:val="single" w:sz="8" w:space="0" w:color="auto"/>
            </w:tcBorders>
            <w:vAlign w:val="center"/>
          </w:tcPr>
          <w:p w:rsidR="00EE56C0" w:rsidRDefault="00EE56C0">
            <w:pPr>
              <w:pStyle w:val="afa"/>
            </w:pPr>
          </w:p>
        </w:tc>
        <w:tc>
          <w:tcPr>
            <w:tcW w:w="1432" w:type="pct"/>
            <w:gridSpan w:val="3"/>
            <w:tcBorders>
              <w:bottom w:val="single" w:sz="8" w:space="0" w:color="auto"/>
            </w:tcBorders>
            <w:vAlign w:val="center"/>
          </w:tcPr>
          <w:p w:rsidR="00EE56C0" w:rsidRDefault="000F36A1">
            <w:pPr>
              <w:pStyle w:val="afa"/>
            </w:pPr>
            <w:r>
              <w:rPr>
                <w:rFonts w:hint="eastAsia"/>
              </w:rPr>
              <w:t>注塑</w:t>
            </w:r>
          </w:p>
        </w:tc>
        <w:tc>
          <w:tcPr>
            <w:tcW w:w="748" w:type="pct"/>
            <w:gridSpan w:val="2"/>
            <w:tcBorders>
              <w:bottom w:val="single" w:sz="8" w:space="0" w:color="auto"/>
            </w:tcBorders>
            <w:vAlign w:val="center"/>
          </w:tcPr>
          <w:p w:rsidR="00EE56C0" w:rsidRDefault="000F36A1">
            <w:pPr>
              <w:pStyle w:val="afa"/>
            </w:pPr>
            <w:r>
              <w:rPr>
                <w:rFonts w:hint="eastAsia"/>
              </w:rPr>
              <w:t>集气罩</w:t>
            </w:r>
          </w:p>
        </w:tc>
        <w:tc>
          <w:tcPr>
            <w:tcW w:w="501" w:type="pct"/>
            <w:vMerge/>
            <w:tcBorders>
              <w:bottom w:val="single" w:sz="8" w:space="0" w:color="auto"/>
            </w:tcBorders>
            <w:vAlign w:val="center"/>
          </w:tcPr>
          <w:p w:rsidR="00EE56C0" w:rsidRDefault="00EE56C0">
            <w:pPr>
              <w:pStyle w:val="afa"/>
            </w:pPr>
          </w:p>
        </w:tc>
        <w:tc>
          <w:tcPr>
            <w:tcW w:w="445" w:type="pct"/>
            <w:vMerge/>
            <w:tcBorders>
              <w:bottom w:val="single" w:sz="8" w:space="0" w:color="auto"/>
            </w:tcBorders>
            <w:vAlign w:val="center"/>
          </w:tcPr>
          <w:p w:rsidR="00EE56C0" w:rsidRDefault="00EE56C0">
            <w:pPr>
              <w:pStyle w:val="afa"/>
            </w:pPr>
          </w:p>
        </w:tc>
      </w:tr>
      <w:tr w:rsidR="00EE56C0">
        <w:trPr>
          <w:trHeight w:val="397"/>
          <w:jc w:val="center"/>
        </w:trPr>
        <w:tc>
          <w:tcPr>
            <w:tcW w:w="355" w:type="pct"/>
            <w:vMerge/>
            <w:vAlign w:val="center"/>
          </w:tcPr>
          <w:p w:rsidR="00EE56C0" w:rsidRDefault="00EE56C0">
            <w:pPr>
              <w:pStyle w:val="afa"/>
            </w:pPr>
          </w:p>
        </w:tc>
        <w:tc>
          <w:tcPr>
            <w:tcW w:w="620" w:type="pct"/>
            <w:vMerge/>
            <w:vAlign w:val="center"/>
          </w:tcPr>
          <w:p w:rsidR="00EE56C0" w:rsidRDefault="00EE56C0">
            <w:pPr>
              <w:pStyle w:val="afa"/>
            </w:pPr>
          </w:p>
        </w:tc>
        <w:tc>
          <w:tcPr>
            <w:tcW w:w="899" w:type="pct"/>
            <w:vMerge w:val="restart"/>
            <w:vAlign w:val="center"/>
          </w:tcPr>
          <w:p w:rsidR="00EE56C0" w:rsidRDefault="000F36A1">
            <w:pPr>
              <w:pStyle w:val="afa"/>
            </w:pPr>
            <w:r>
              <w:rPr>
                <w:rFonts w:hint="eastAsia"/>
              </w:rPr>
              <w:t>固废处置设施</w:t>
            </w:r>
          </w:p>
        </w:tc>
        <w:tc>
          <w:tcPr>
            <w:tcW w:w="3127" w:type="pct"/>
            <w:gridSpan w:val="7"/>
            <w:vAlign w:val="center"/>
          </w:tcPr>
          <w:p w:rsidR="00EE56C0" w:rsidRDefault="000F36A1">
            <w:pPr>
              <w:pStyle w:val="afa"/>
            </w:pPr>
            <w:r>
              <w:rPr>
                <w:rFonts w:hint="eastAsia"/>
              </w:rPr>
              <w:t>危险废物暂存间</w:t>
            </w:r>
            <w:r>
              <w:rPr>
                <w:rFonts w:hint="eastAsia"/>
              </w:rPr>
              <w:t>2</w:t>
            </w:r>
            <w:r>
              <w:rPr>
                <w:rFonts w:hint="eastAsia"/>
              </w:rPr>
              <w:t>间（</w:t>
            </w:r>
            <w:r>
              <w:rPr>
                <w:rFonts w:hint="eastAsia"/>
              </w:rPr>
              <w:t>1#</w:t>
            </w:r>
            <w:r>
              <w:rPr>
                <w:rFonts w:hint="eastAsia"/>
              </w:rPr>
              <w:t>危废间</w:t>
            </w:r>
            <w:r>
              <w:rPr>
                <w:rFonts w:hint="eastAsia"/>
              </w:rPr>
              <w:t>27m</w:t>
            </w:r>
            <w:r>
              <w:rPr>
                <w:rFonts w:hint="eastAsia"/>
                <w:vertAlign w:val="superscript"/>
              </w:rPr>
              <w:t>2</w:t>
            </w:r>
            <w:r>
              <w:rPr>
                <w:rFonts w:hint="eastAsia"/>
              </w:rPr>
              <w:t>、</w:t>
            </w:r>
            <w:r>
              <w:rPr>
                <w:rFonts w:hint="eastAsia"/>
              </w:rPr>
              <w:t>2#</w:t>
            </w:r>
            <w:r>
              <w:rPr>
                <w:rFonts w:hint="eastAsia"/>
              </w:rPr>
              <w:t>危废间</w:t>
            </w:r>
            <w:r>
              <w:rPr>
                <w:rFonts w:hint="eastAsia"/>
              </w:rPr>
              <w:t>33m</w:t>
            </w:r>
            <w:r>
              <w:rPr>
                <w:rFonts w:hint="eastAsia"/>
                <w:vertAlign w:val="superscript"/>
              </w:rPr>
              <w:t>2</w:t>
            </w:r>
            <w:r>
              <w:rPr>
                <w:rFonts w:hint="eastAsia"/>
              </w:rPr>
              <w:t>）</w:t>
            </w:r>
          </w:p>
        </w:tc>
      </w:tr>
      <w:tr w:rsidR="00EE56C0">
        <w:trPr>
          <w:trHeight w:val="397"/>
          <w:jc w:val="center"/>
        </w:trPr>
        <w:tc>
          <w:tcPr>
            <w:tcW w:w="355" w:type="pct"/>
            <w:vMerge/>
            <w:vAlign w:val="center"/>
          </w:tcPr>
          <w:p w:rsidR="00EE56C0" w:rsidRDefault="00EE56C0">
            <w:pPr>
              <w:pStyle w:val="afa"/>
            </w:pPr>
          </w:p>
        </w:tc>
        <w:tc>
          <w:tcPr>
            <w:tcW w:w="620" w:type="pct"/>
            <w:vMerge/>
            <w:vAlign w:val="center"/>
          </w:tcPr>
          <w:p w:rsidR="00EE56C0" w:rsidRDefault="00EE56C0">
            <w:pPr>
              <w:pStyle w:val="afa"/>
            </w:pPr>
          </w:p>
        </w:tc>
        <w:tc>
          <w:tcPr>
            <w:tcW w:w="899" w:type="pct"/>
            <w:vMerge/>
            <w:vAlign w:val="center"/>
          </w:tcPr>
          <w:p w:rsidR="00EE56C0" w:rsidRDefault="00EE56C0">
            <w:pPr>
              <w:pStyle w:val="afa"/>
            </w:pPr>
          </w:p>
        </w:tc>
        <w:tc>
          <w:tcPr>
            <w:tcW w:w="3127" w:type="pct"/>
            <w:gridSpan w:val="7"/>
            <w:vAlign w:val="center"/>
          </w:tcPr>
          <w:p w:rsidR="00EE56C0" w:rsidRDefault="000F36A1">
            <w:pPr>
              <w:pStyle w:val="afa"/>
            </w:pPr>
            <w:r>
              <w:rPr>
                <w:rFonts w:hint="eastAsia"/>
              </w:rPr>
              <w:t>一般固废暂存场一处（</w:t>
            </w:r>
            <w:r>
              <w:rPr>
                <w:rFonts w:hint="eastAsia"/>
              </w:rPr>
              <w:t>60m</w:t>
            </w:r>
            <w:r>
              <w:rPr>
                <w:rFonts w:hint="eastAsia"/>
                <w:vertAlign w:val="superscript"/>
              </w:rPr>
              <w:t>2</w:t>
            </w:r>
            <w:r>
              <w:rPr>
                <w:rFonts w:hint="eastAsia"/>
              </w:rPr>
              <w:t>）</w:t>
            </w:r>
          </w:p>
        </w:tc>
      </w:tr>
      <w:tr w:rsidR="00EE56C0">
        <w:trPr>
          <w:trHeight w:val="397"/>
          <w:jc w:val="center"/>
        </w:trPr>
        <w:tc>
          <w:tcPr>
            <w:tcW w:w="355" w:type="pct"/>
            <w:vMerge/>
            <w:vAlign w:val="center"/>
          </w:tcPr>
          <w:p w:rsidR="00EE56C0" w:rsidRDefault="00EE56C0">
            <w:pPr>
              <w:pStyle w:val="afa"/>
            </w:pPr>
          </w:p>
        </w:tc>
        <w:tc>
          <w:tcPr>
            <w:tcW w:w="620" w:type="pct"/>
            <w:vMerge/>
            <w:vAlign w:val="center"/>
          </w:tcPr>
          <w:p w:rsidR="00EE56C0" w:rsidRDefault="00EE56C0">
            <w:pPr>
              <w:pStyle w:val="afa"/>
            </w:pPr>
          </w:p>
        </w:tc>
        <w:tc>
          <w:tcPr>
            <w:tcW w:w="899" w:type="pct"/>
            <w:vAlign w:val="center"/>
          </w:tcPr>
          <w:p w:rsidR="00EE56C0" w:rsidRDefault="000F36A1">
            <w:pPr>
              <w:pStyle w:val="afa"/>
            </w:pPr>
            <w:r>
              <w:rPr>
                <w:rFonts w:hint="eastAsia"/>
              </w:rPr>
              <w:t>风险防范措施</w:t>
            </w:r>
          </w:p>
        </w:tc>
        <w:tc>
          <w:tcPr>
            <w:tcW w:w="3127" w:type="pct"/>
            <w:gridSpan w:val="7"/>
            <w:vAlign w:val="center"/>
          </w:tcPr>
          <w:p w:rsidR="00EE56C0" w:rsidRDefault="000F36A1">
            <w:pPr>
              <w:pStyle w:val="afa"/>
            </w:pPr>
            <w:r>
              <w:rPr>
                <w:rFonts w:hint="eastAsia"/>
              </w:rPr>
              <w:t>事故水池</w:t>
            </w:r>
            <w:r>
              <w:rPr>
                <w:rFonts w:hint="eastAsia"/>
              </w:rPr>
              <w:t>1</w:t>
            </w:r>
            <w:r>
              <w:rPr>
                <w:rFonts w:hint="eastAsia"/>
              </w:rPr>
              <w:t>座（</w:t>
            </w:r>
            <w:r>
              <w:rPr>
                <w:rFonts w:hint="eastAsia"/>
              </w:rPr>
              <w:t>80m</w:t>
            </w:r>
            <w:r>
              <w:rPr>
                <w:rFonts w:hint="eastAsia"/>
                <w:vertAlign w:val="superscript"/>
              </w:rPr>
              <w:t>3</w:t>
            </w:r>
            <w:r>
              <w:rPr>
                <w:rFonts w:hint="eastAsia"/>
              </w:rPr>
              <w:t>）</w:t>
            </w:r>
          </w:p>
        </w:tc>
      </w:tr>
    </w:tbl>
    <w:p w:rsidR="00EE56C0" w:rsidRDefault="000F36A1">
      <w:pPr>
        <w:pStyle w:val="3"/>
        <w:spacing w:before="240" w:after="120"/>
      </w:pPr>
      <w:bookmarkStart w:id="175" w:name="_Toc428286831"/>
      <w:bookmarkStart w:id="176" w:name="_Toc428287567"/>
      <w:bookmarkStart w:id="177" w:name="_Toc428287215"/>
      <w:bookmarkStart w:id="178" w:name="_Toc428287213"/>
      <w:bookmarkStart w:id="179" w:name="_Toc428286819"/>
      <w:bookmarkStart w:id="180" w:name="_Toc428287565"/>
      <w:bookmarkEnd w:id="172"/>
      <w:bookmarkEnd w:id="173"/>
      <w:bookmarkEnd w:id="174"/>
      <w:r>
        <w:rPr>
          <w:rFonts w:hint="eastAsia"/>
        </w:rPr>
        <w:t>3.1.4</w:t>
      </w:r>
      <w:r>
        <w:rPr>
          <w:rFonts w:hint="eastAsia"/>
        </w:rPr>
        <w:t>生产设备</w:t>
      </w:r>
      <w:bookmarkEnd w:id="175"/>
      <w:bookmarkEnd w:id="176"/>
      <w:bookmarkEnd w:id="177"/>
    </w:p>
    <w:p w:rsidR="00EE56C0" w:rsidRDefault="000F36A1">
      <w:pPr>
        <w:ind w:firstLine="480"/>
      </w:pPr>
      <w:r>
        <w:rPr>
          <w:rFonts w:hint="eastAsia"/>
        </w:rPr>
        <w:t>现有项目主要生产设备见下表。</w:t>
      </w:r>
    </w:p>
    <w:p w:rsidR="00EE56C0" w:rsidRDefault="000F36A1">
      <w:pPr>
        <w:pStyle w:val="afd"/>
        <w:spacing w:before="120" w:after="120"/>
        <w:ind w:firstLine="482"/>
      </w:pPr>
      <w:r>
        <w:t>表</w:t>
      </w:r>
      <w:r>
        <w:rPr>
          <w:rFonts w:hint="eastAsia"/>
        </w:rPr>
        <w:t xml:space="preserve">3-6 </w:t>
      </w:r>
      <w:r w:rsidR="00B74F28">
        <w:rPr>
          <w:rFonts w:hint="eastAsia"/>
        </w:rPr>
        <w:t xml:space="preserve">              </w:t>
      </w:r>
      <w:r>
        <w:rPr>
          <w:rFonts w:hint="eastAsia"/>
        </w:rPr>
        <w:t xml:space="preserve"> </w:t>
      </w:r>
      <w:r>
        <w:rPr>
          <w:rFonts w:hint="eastAsia"/>
        </w:rPr>
        <w:t>现有</w:t>
      </w:r>
      <w:r>
        <w:t>主要设备一览表</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tblPr>
      <w:tblGrid>
        <w:gridCol w:w="817"/>
        <w:gridCol w:w="1666"/>
        <w:gridCol w:w="2728"/>
        <w:gridCol w:w="1418"/>
        <w:gridCol w:w="1899"/>
      </w:tblGrid>
      <w:tr w:rsidR="00EE56C0">
        <w:trPr>
          <w:cantSplit/>
          <w:trHeight w:val="397"/>
          <w:jc w:val="center"/>
        </w:trPr>
        <w:tc>
          <w:tcPr>
            <w:tcW w:w="817" w:type="dxa"/>
            <w:vAlign w:val="center"/>
          </w:tcPr>
          <w:p w:rsidR="00EE56C0" w:rsidRDefault="000F36A1">
            <w:pPr>
              <w:pStyle w:val="aff1"/>
              <w:rPr>
                <w:color w:val="auto"/>
                <w:kern w:val="0"/>
              </w:rPr>
            </w:pPr>
            <w:r>
              <w:rPr>
                <w:rFonts w:hint="eastAsia"/>
                <w:color w:val="auto"/>
                <w:kern w:val="0"/>
              </w:rPr>
              <w:t>序列</w:t>
            </w:r>
          </w:p>
        </w:tc>
        <w:tc>
          <w:tcPr>
            <w:tcW w:w="1666" w:type="dxa"/>
            <w:vAlign w:val="center"/>
          </w:tcPr>
          <w:p w:rsidR="00EE56C0" w:rsidRDefault="000F36A1">
            <w:pPr>
              <w:pStyle w:val="aff1"/>
              <w:rPr>
                <w:color w:val="auto"/>
                <w:kern w:val="0"/>
              </w:rPr>
            </w:pPr>
            <w:r>
              <w:rPr>
                <w:rFonts w:hint="eastAsia"/>
                <w:color w:val="auto"/>
                <w:kern w:val="0"/>
              </w:rPr>
              <w:t>设备名称</w:t>
            </w:r>
          </w:p>
        </w:tc>
        <w:tc>
          <w:tcPr>
            <w:tcW w:w="2728" w:type="dxa"/>
            <w:vAlign w:val="center"/>
          </w:tcPr>
          <w:p w:rsidR="00EE56C0" w:rsidRDefault="000F36A1">
            <w:pPr>
              <w:pStyle w:val="aff1"/>
              <w:rPr>
                <w:color w:val="auto"/>
                <w:kern w:val="0"/>
              </w:rPr>
            </w:pPr>
            <w:r>
              <w:rPr>
                <w:rFonts w:hint="eastAsia"/>
                <w:color w:val="auto"/>
                <w:kern w:val="0"/>
              </w:rPr>
              <w:t>型号</w:t>
            </w:r>
          </w:p>
        </w:tc>
        <w:tc>
          <w:tcPr>
            <w:tcW w:w="1418" w:type="dxa"/>
            <w:vAlign w:val="center"/>
          </w:tcPr>
          <w:p w:rsidR="00EE56C0" w:rsidRDefault="000F36A1">
            <w:pPr>
              <w:pStyle w:val="aff1"/>
              <w:rPr>
                <w:color w:val="auto"/>
                <w:kern w:val="0"/>
              </w:rPr>
            </w:pPr>
            <w:r>
              <w:rPr>
                <w:rFonts w:hint="eastAsia"/>
                <w:color w:val="auto"/>
                <w:kern w:val="0"/>
              </w:rPr>
              <w:t>数量</w:t>
            </w:r>
            <w:r>
              <w:rPr>
                <w:color w:val="auto"/>
                <w:kern w:val="0"/>
              </w:rPr>
              <w:t>(</w:t>
            </w:r>
            <w:r>
              <w:rPr>
                <w:rFonts w:hint="eastAsia"/>
                <w:color w:val="auto"/>
                <w:kern w:val="0"/>
              </w:rPr>
              <w:t>台</w:t>
            </w:r>
            <w:r>
              <w:rPr>
                <w:color w:val="auto"/>
                <w:kern w:val="0"/>
              </w:rPr>
              <w:t>)</w:t>
            </w:r>
          </w:p>
        </w:tc>
        <w:tc>
          <w:tcPr>
            <w:tcW w:w="1899" w:type="dxa"/>
            <w:vAlign w:val="center"/>
          </w:tcPr>
          <w:p w:rsidR="00EE56C0" w:rsidRDefault="000F36A1">
            <w:pPr>
              <w:pStyle w:val="aff1"/>
              <w:rPr>
                <w:color w:val="auto"/>
                <w:kern w:val="0"/>
              </w:rPr>
            </w:pPr>
            <w:r>
              <w:rPr>
                <w:rFonts w:hint="eastAsia"/>
                <w:color w:val="auto"/>
                <w:kern w:val="0"/>
              </w:rPr>
              <w:t>备注</w:t>
            </w:r>
          </w:p>
        </w:tc>
      </w:tr>
      <w:tr w:rsidR="00EE56C0">
        <w:trPr>
          <w:cantSplit/>
          <w:trHeight w:val="397"/>
          <w:jc w:val="center"/>
        </w:trPr>
        <w:tc>
          <w:tcPr>
            <w:tcW w:w="817" w:type="dxa"/>
            <w:vMerge w:val="restart"/>
            <w:vAlign w:val="center"/>
          </w:tcPr>
          <w:p w:rsidR="00EE56C0" w:rsidRDefault="000F36A1">
            <w:pPr>
              <w:pStyle w:val="afa"/>
            </w:pPr>
            <w:r>
              <w:rPr>
                <w:rFonts w:hint="eastAsia"/>
              </w:rPr>
              <w:t>1</w:t>
            </w:r>
          </w:p>
        </w:tc>
        <w:tc>
          <w:tcPr>
            <w:tcW w:w="1666" w:type="dxa"/>
            <w:vMerge w:val="restart"/>
            <w:vAlign w:val="center"/>
          </w:tcPr>
          <w:p w:rsidR="00EE56C0" w:rsidRDefault="000F36A1">
            <w:pPr>
              <w:pStyle w:val="afa"/>
            </w:pPr>
            <w:r>
              <w:rPr>
                <w:rFonts w:hint="eastAsia"/>
              </w:rPr>
              <w:t>大拉机（</w:t>
            </w:r>
            <w:r>
              <w:rPr>
                <w:rFonts w:hint="eastAsia"/>
              </w:rPr>
              <w:t>5</w:t>
            </w:r>
            <w:r>
              <w:rPr>
                <w:rFonts w:hint="eastAsia"/>
              </w:rPr>
              <w:t>台）</w:t>
            </w:r>
          </w:p>
        </w:tc>
        <w:tc>
          <w:tcPr>
            <w:tcW w:w="2728" w:type="dxa"/>
            <w:vAlign w:val="center"/>
          </w:tcPr>
          <w:p w:rsidR="00EE56C0" w:rsidRDefault="000F36A1">
            <w:pPr>
              <w:pStyle w:val="afa"/>
            </w:pPr>
            <w:r>
              <w:t>DL450/9-2</w:t>
            </w:r>
          </w:p>
        </w:tc>
        <w:tc>
          <w:tcPr>
            <w:tcW w:w="1418" w:type="dxa"/>
            <w:vAlign w:val="center"/>
          </w:tcPr>
          <w:p w:rsidR="00EE56C0" w:rsidRDefault="000F36A1">
            <w:pPr>
              <w:pStyle w:val="afa"/>
            </w:pPr>
            <w:r>
              <w:rPr>
                <w:rFonts w:hint="eastAsia"/>
              </w:rPr>
              <w:t>1</w:t>
            </w:r>
          </w:p>
        </w:tc>
        <w:tc>
          <w:tcPr>
            <w:tcW w:w="1899" w:type="dxa"/>
            <w:vAlign w:val="center"/>
          </w:tcPr>
          <w:p w:rsidR="00EE56C0" w:rsidRDefault="000F36A1">
            <w:pPr>
              <w:pStyle w:val="aff1"/>
              <w:rPr>
                <w:b w:val="0"/>
                <w:color w:val="auto"/>
                <w:szCs w:val="21"/>
              </w:rPr>
            </w:pPr>
            <w:r>
              <w:rPr>
                <w:rFonts w:hint="eastAsia"/>
                <w:b w:val="0"/>
                <w:color w:val="auto"/>
                <w:szCs w:val="21"/>
              </w:rPr>
              <w:t>保留</w:t>
            </w:r>
          </w:p>
        </w:tc>
      </w:tr>
      <w:tr w:rsidR="00EE56C0">
        <w:trPr>
          <w:cantSplit/>
          <w:trHeight w:val="397"/>
          <w:jc w:val="center"/>
        </w:trPr>
        <w:tc>
          <w:tcPr>
            <w:tcW w:w="817" w:type="dxa"/>
            <w:vMerge/>
            <w:vAlign w:val="center"/>
          </w:tcPr>
          <w:p w:rsidR="00EE56C0" w:rsidRDefault="00EE56C0">
            <w:pPr>
              <w:pStyle w:val="afa"/>
            </w:pPr>
          </w:p>
        </w:tc>
        <w:tc>
          <w:tcPr>
            <w:tcW w:w="1666" w:type="dxa"/>
            <w:vMerge/>
            <w:vAlign w:val="center"/>
          </w:tcPr>
          <w:p w:rsidR="00EE56C0" w:rsidRDefault="00EE56C0">
            <w:pPr>
              <w:pStyle w:val="afa"/>
            </w:pPr>
          </w:p>
        </w:tc>
        <w:tc>
          <w:tcPr>
            <w:tcW w:w="2728" w:type="dxa"/>
            <w:vAlign w:val="center"/>
          </w:tcPr>
          <w:p w:rsidR="00EE56C0" w:rsidRDefault="000F36A1">
            <w:pPr>
              <w:pStyle w:val="afa"/>
            </w:pPr>
            <w:r>
              <w:t>C738-2/ZF/9</w:t>
            </w:r>
          </w:p>
        </w:tc>
        <w:tc>
          <w:tcPr>
            <w:tcW w:w="1418" w:type="dxa"/>
            <w:vAlign w:val="center"/>
          </w:tcPr>
          <w:p w:rsidR="00EE56C0" w:rsidRDefault="000F36A1">
            <w:pPr>
              <w:pStyle w:val="afa"/>
            </w:pPr>
            <w:r>
              <w:t>1</w:t>
            </w:r>
          </w:p>
        </w:tc>
        <w:tc>
          <w:tcPr>
            <w:tcW w:w="1899" w:type="dxa"/>
            <w:vAlign w:val="center"/>
          </w:tcPr>
          <w:p w:rsidR="00EE56C0" w:rsidRDefault="000F36A1">
            <w:pPr>
              <w:pStyle w:val="aff1"/>
              <w:rPr>
                <w:b w:val="0"/>
                <w:color w:val="auto"/>
                <w:szCs w:val="21"/>
              </w:rPr>
            </w:pPr>
            <w:r>
              <w:rPr>
                <w:rFonts w:hint="eastAsia"/>
                <w:b w:val="0"/>
                <w:color w:val="auto"/>
                <w:szCs w:val="21"/>
              </w:rPr>
              <w:t>保留</w:t>
            </w:r>
          </w:p>
        </w:tc>
      </w:tr>
      <w:tr w:rsidR="00EE56C0">
        <w:trPr>
          <w:cantSplit/>
          <w:trHeight w:val="397"/>
          <w:jc w:val="center"/>
        </w:trPr>
        <w:tc>
          <w:tcPr>
            <w:tcW w:w="817" w:type="dxa"/>
            <w:vMerge/>
            <w:vAlign w:val="center"/>
          </w:tcPr>
          <w:p w:rsidR="00EE56C0" w:rsidRDefault="00EE56C0">
            <w:pPr>
              <w:pStyle w:val="afa"/>
            </w:pPr>
          </w:p>
        </w:tc>
        <w:tc>
          <w:tcPr>
            <w:tcW w:w="1666" w:type="dxa"/>
            <w:vMerge/>
            <w:vAlign w:val="center"/>
          </w:tcPr>
          <w:p w:rsidR="00EE56C0" w:rsidRDefault="00EE56C0">
            <w:pPr>
              <w:pStyle w:val="afa"/>
            </w:pPr>
          </w:p>
        </w:tc>
        <w:tc>
          <w:tcPr>
            <w:tcW w:w="2728" w:type="dxa"/>
            <w:vAlign w:val="center"/>
          </w:tcPr>
          <w:p w:rsidR="00EE56C0" w:rsidRDefault="000F36A1">
            <w:pPr>
              <w:pStyle w:val="afa"/>
            </w:pPr>
            <w:r>
              <w:t>C738-2/ZF/13</w:t>
            </w:r>
          </w:p>
        </w:tc>
        <w:tc>
          <w:tcPr>
            <w:tcW w:w="1418" w:type="dxa"/>
            <w:vAlign w:val="center"/>
          </w:tcPr>
          <w:p w:rsidR="00EE56C0" w:rsidRDefault="000F36A1">
            <w:pPr>
              <w:pStyle w:val="afa"/>
            </w:pPr>
            <w:r>
              <w:t>1</w:t>
            </w:r>
          </w:p>
        </w:tc>
        <w:tc>
          <w:tcPr>
            <w:tcW w:w="1899" w:type="dxa"/>
            <w:vAlign w:val="center"/>
          </w:tcPr>
          <w:p w:rsidR="00EE56C0" w:rsidRDefault="000F36A1">
            <w:pPr>
              <w:spacing w:line="240" w:lineRule="auto"/>
              <w:ind w:firstLineChars="0" w:firstLine="0"/>
              <w:jc w:val="center"/>
              <w:rPr>
                <w:sz w:val="21"/>
                <w:szCs w:val="21"/>
              </w:rPr>
            </w:pPr>
            <w:r>
              <w:rPr>
                <w:rFonts w:hint="eastAsia"/>
                <w:sz w:val="21"/>
                <w:szCs w:val="21"/>
              </w:rPr>
              <w:t>保留</w:t>
            </w:r>
          </w:p>
        </w:tc>
      </w:tr>
      <w:tr w:rsidR="00EE56C0">
        <w:trPr>
          <w:cantSplit/>
          <w:trHeight w:val="397"/>
          <w:jc w:val="center"/>
        </w:trPr>
        <w:tc>
          <w:tcPr>
            <w:tcW w:w="817" w:type="dxa"/>
            <w:vMerge/>
            <w:vAlign w:val="center"/>
          </w:tcPr>
          <w:p w:rsidR="00EE56C0" w:rsidRDefault="00EE56C0">
            <w:pPr>
              <w:pStyle w:val="afa"/>
            </w:pPr>
          </w:p>
        </w:tc>
        <w:tc>
          <w:tcPr>
            <w:tcW w:w="1666" w:type="dxa"/>
            <w:vMerge/>
            <w:vAlign w:val="center"/>
          </w:tcPr>
          <w:p w:rsidR="00EE56C0" w:rsidRDefault="00EE56C0">
            <w:pPr>
              <w:pStyle w:val="afa"/>
            </w:pPr>
          </w:p>
        </w:tc>
        <w:tc>
          <w:tcPr>
            <w:tcW w:w="2728" w:type="dxa"/>
            <w:vAlign w:val="center"/>
          </w:tcPr>
          <w:p w:rsidR="00EE56C0" w:rsidRDefault="000F36A1">
            <w:pPr>
              <w:pStyle w:val="afa"/>
            </w:pPr>
            <w:r>
              <w:t>DL400-9/YG400/WF800</w:t>
            </w:r>
          </w:p>
        </w:tc>
        <w:tc>
          <w:tcPr>
            <w:tcW w:w="1418" w:type="dxa"/>
            <w:vAlign w:val="center"/>
          </w:tcPr>
          <w:p w:rsidR="00EE56C0" w:rsidRDefault="000F36A1">
            <w:pPr>
              <w:pStyle w:val="afa"/>
            </w:pPr>
            <w:r>
              <w:t>1</w:t>
            </w:r>
          </w:p>
        </w:tc>
        <w:tc>
          <w:tcPr>
            <w:tcW w:w="1899" w:type="dxa"/>
            <w:vAlign w:val="center"/>
          </w:tcPr>
          <w:p w:rsidR="00EE56C0" w:rsidRDefault="000F36A1">
            <w:pPr>
              <w:spacing w:line="240" w:lineRule="auto"/>
              <w:ind w:firstLineChars="0" w:firstLine="0"/>
              <w:jc w:val="center"/>
              <w:rPr>
                <w:sz w:val="21"/>
                <w:szCs w:val="21"/>
              </w:rPr>
            </w:pPr>
            <w:r>
              <w:rPr>
                <w:rFonts w:hint="eastAsia"/>
                <w:sz w:val="21"/>
                <w:szCs w:val="21"/>
              </w:rPr>
              <w:t>保留</w:t>
            </w:r>
          </w:p>
        </w:tc>
      </w:tr>
      <w:tr w:rsidR="00EE56C0">
        <w:trPr>
          <w:cantSplit/>
          <w:trHeight w:val="397"/>
          <w:jc w:val="center"/>
        </w:trPr>
        <w:tc>
          <w:tcPr>
            <w:tcW w:w="817" w:type="dxa"/>
            <w:vMerge/>
            <w:vAlign w:val="center"/>
          </w:tcPr>
          <w:p w:rsidR="00EE56C0" w:rsidRDefault="00EE56C0">
            <w:pPr>
              <w:pStyle w:val="afa"/>
            </w:pPr>
          </w:p>
        </w:tc>
        <w:tc>
          <w:tcPr>
            <w:tcW w:w="1666" w:type="dxa"/>
            <w:vMerge/>
            <w:vAlign w:val="center"/>
          </w:tcPr>
          <w:p w:rsidR="00EE56C0" w:rsidRDefault="00EE56C0">
            <w:pPr>
              <w:pStyle w:val="afa"/>
            </w:pPr>
          </w:p>
        </w:tc>
        <w:tc>
          <w:tcPr>
            <w:tcW w:w="2728" w:type="dxa"/>
            <w:vAlign w:val="center"/>
          </w:tcPr>
          <w:p w:rsidR="00EE56C0" w:rsidRDefault="000F36A1">
            <w:pPr>
              <w:pStyle w:val="afa"/>
            </w:pPr>
            <w:r>
              <w:t>DL400-9/YG400/WF800</w:t>
            </w:r>
          </w:p>
        </w:tc>
        <w:tc>
          <w:tcPr>
            <w:tcW w:w="1418" w:type="dxa"/>
            <w:vAlign w:val="center"/>
          </w:tcPr>
          <w:p w:rsidR="00EE56C0" w:rsidRDefault="000F36A1">
            <w:pPr>
              <w:pStyle w:val="afa"/>
            </w:pPr>
            <w:r>
              <w:t>1</w:t>
            </w:r>
          </w:p>
        </w:tc>
        <w:tc>
          <w:tcPr>
            <w:tcW w:w="1899" w:type="dxa"/>
            <w:vAlign w:val="center"/>
          </w:tcPr>
          <w:p w:rsidR="00EE56C0" w:rsidRDefault="000F36A1">
            <w:pPr>
              <w:spacing w:line="240" w:lineRule="auto"/>
              <w:ind w:firstLineChars="0" w:firstLine="0"/>
              <w:jc w:val="center"/>
              <w:rPr>
                <w:sz w:val="21"/>
                <w:szCs w:val="21"/>
              </w:rPr>
            </w:pPr>
            <w:r>
              <w:rPr>
                <w:rFonts w:hint="eastAsia"/>
                <w:sz w:val="21"/>
                <w:szCs w:val="21"/>
              </w:rPr>
              <w:t>保留</w:t>
            </w:r>
          </w:p>
        </w:tc>
      </w:tr>
      <w:tr w:rsidR="00EE56C0">
        <w:trPr>
          <w:cantSplit/>
          <w:trHeight w:val="397"/>
          <w:jc w:val="center"/>
        </w:trPr>
        <w:tc>
          <w:tcPr>
            <w:tcW w:w="817" w:type="dxa"/>
            <w:vMerge w:val="restart"/>
            <w:vAlign w:val="center"/>
          </w:tcPr>
          <w:p w:rsidR="00EE56C0" w:rsidRDefault="000F36A1">
            <w:pPr>
              <w:pStyle w:val="afa"/>
            </w:pPr>
            <w:r>
              <w:rPr>
                <w:rFonts w:hint="eastAsia"/>
              </w:rPr>
              <w:t>2</w:t>
            </w:r>
          </w:p>
        </w:tc>
        <w:tc>
          <w:tcPr>
            <w:tcW w:w="1666" w:type="dxa"/>
            <w:vMerge w:val="restart"/>
            <w:vAlign w:val="center"/>
          </w:tcPr>
          <w:p w:rsidR="00EE56C0" w:rsidRDefault="000F36A1">
            <w:pPr>
              <w:pStyle w:val="afa"/>
            </w:pPr>
            <w:r>
              <w:rPr>
                <w:rFonts w:hint="eastAsia"/>
              </w:rPr>
              <w:t>中拉机（</w:t>
            </w:r>
            <w:r>
              <w:rPr>
                <w:rFonts w:hint="eastAsia"/>
              </w:rPr>
              <w:t>36</w:t>
            </w:r>
            <w:r>
              <w:rPr>
                <w:rFonts w:hint="eastAsia"/>
              </w:rPr>
              <w:t>台）</w:t>
            </w:r>
          </w:p>
        </w:tc>
        <w:tc>
          <w:tcPr>
            <w:tcW w:w="2728" w:type="dxa"/>
            <w:vAlign w:val="center"/>
          </w:tcPr>
          <w:p w:rsidR="00EE56C0" w:rsidRDefault="000F36A1">
            <w:pPr>
              <w:pStyle w:val="afa"/>
            </w:pPr>
            <w:r>
              <w:t>ZL250B/17-2</w:t>
            </w:r>
          </w:p>
        </w:tc>
        <w:tc>
          <w:tcPr>
            <w:tcW w:w="1418" w:type="dxa"/>
            <w:vAlign w:val="center"/>
          </w:tcPr>
          <w:p w:rsidR="00EE56C0" w:rsidRDefault="000F36A1">
            <w:pPr>
              <w:pStyle w:val="afa"/>
            </w:pPr>
            <w:r>
              <w:t>1</w:t>
            </w:r>
          </w:p>
        </w:tc>
        <w:tc>
          <w:tcPr>
            <w:tcW w:w="1899" w:type="dxa"/>
            <w:vAlign w:val="center"/>
          </w:tcPr>
          <w:p w:rsidR="00EE56C0" w:rsidRDefault="000F36A1">
            <w:pPr>
              <w:spacing w:line="240" w:lineRule="auto"/>
              <w:ind w:firstLineChars="0" w:firstLine="0"/>
              <w:jc w:val="center"/>
              <w:rPr>
                <w:sz w:val="21"/>
                <w:szCs w:val="21"/>
              </w:rPr>
            </w:pPr>
            <w:r>
              <w:rPr>
                <w:rFonts w:hint="eastAsia"/>
                <w:sz w:val="21"/>
                <w:szCs w:val="21"/>
              </w:rPr>
              <w:t>保留</w:t>
            </w:r>
          </w:p>
        </w:tc>
      </w:tr>
      <w:tr w:rsidR="00EE56C0">
        <w:trPr>
          <w:cantSplit/>
          <w:trHeight w:val="397"/>
          <w:jc w:val="center"/>
        </w:trPr>
        <w:tc>
          <w:tcPr>
            <w:tcW w:w="817" w:type="dxa"/>
            <w:vMerge/>
            <w:vAlign w:val="center"/>
          </w:tcPr>
          <w:p w:rsidR="00EE56C0" w:rsidRDefault="00EE56C0">
            <w:pPr>
              <w:pStyle w:val="afa"/>
            </w:pPr>
          </w:p>
        </w:tc>
        <w:tc>
          <w:tcPr>
            <w:tcW w:w="1666" w:type="dxa"/>
            <w:vMerge/>
            <w:vAlign w:val="center"/>
          </w:tcPr>
          <w:p w:rsidR="00EE56C0" w:rsidRDefault="00EE56C0">
            <w:pPr>
              <w:pStyle w:val="afa"/>
            </w:pPr>
          </w:p>
        </w:tc>
        <w:tc>
          <w:tcPr>
            <w:tcW w:w="2728" w:type="dxa"/>
            <w:vAlign w:val="center"/>
          </w:tcPr>
          <w:p w:rsidR="00EE56C0" w:rsidRDefault="000F36A1">
            <w:pPr>
              <w:pStyle w:val="afa"/>
            </w:pPr>
            <w:r>
              <w:t>HT250/17</w:t>
            </w:r>
          </w:p>
        </w:tc>
        <w:tc>
          <w:tcPr>
            <w:tcW w:w="1418" w:type="dxa"/>
            <w:vAlign w:val="center"/>
          </w:tcPr>
          <w:p w:rsidR="00EE56C0" w:rsidRDefault="000F36A1">
            <w:pPr>
              <w:pStyle w:val="afa"/>
            </w:pPr>
            <w:r>
              <w:t>27</w:t>
            </w:r>
          </w:p>
        </w:tc>
        <w:tc>
          <w:tcPr>
            <w:tcW w:w="1899" w:type="dxa"/>
            <w:vAlign w:val="center"/>
          </w:tcPr>
          <w:p w:rsidR="00EE56C0" w:rsidRDefault="000F36A1">
            <w:pPr>
              <w:spacing w:line="240" w:lineRule="auto"/>
              <w:ind w:firstLineChars="0" w:firstLine="0"/>
              <w:jc w:val="center"/>
              <w:rPr>
                <w:sz w:val="21"/>
                <w:szCs w:val="21"/>
              </w:rPr>
            </w:pPr>
            <w:r>
              <w:rPr>
                <w:rFonts w:hint="eastAsia"/>
                <w:sz w:val="21"/>
                <w:szCs w:val="21"/>
              </w:rPr>
              <w:t>保留</w:t>
            </w:r>
          </w:p>
        </w:tc>
      </w:tr>
      <w:tr w:rsidR="00EE56C0">
        <w:trPr>
          <w:cantSplit/>
          <w:trHeight w:val="397"/>
          <w:jc w:val="center"/>
        </w:trPr>
        <w:tc>
          <w:tcPr>
            <w:tcW w:w="817" w:type="dxa"/>
            <w:vMerge/>
            <w:vAlign w:val="center"/>
          </w:tcPr>
          <w:p w:rsidR="00EE56C0" w:rsidRDefault="00EE56C0">
            <w:pPr>
              <w:pStyle w:val="afa"/>
            </w:pPr>
          </w:p>
        </w:tc>
        <w:tc>
          <w:tcPr>
            <w:tcW w:w="1666" w:type="dxa"/>
            <w:vMerge/>
            <w:vAlign w:val="center"/>
          </w:tcPr>
          <w:p w:rsidR="00EE56C0" w:rsidRDefault="00EE56C0">
            <w:pPr>
              <w:pStyle w:val="afa"/>
            </w:pPr>
          </w:p>
        </w:tc>
        <w:tc>
          <w:tcPr>
            <w:tcW w:w="2728" w:type="dxa"/>
            <w:vAlign w:val="center"/>
          </w:tcPr>
          <w:p w:rsidR="00EE56C0" w:rsidRDefault="000F36A1">
            <w:pPr>
              <w:pStyle w:val="afa"/>
            </w:pPr>
            <w:r>
              <w:t>HT280/9</w:t>
            </w:r>
          </w:p>
        </w:tc>
        <w:tc>
          <w:tcPr>
            <w:tcW w:w="1418" w:type="dxa"/>
            <w:vAlign w:val="center"/>
          </w:tcPr>
          <w:p w:rsidR="00EE56C0" w:rsidRDefault="000F36A1">
            <w:pPr>
              <w:pStyle w:val="afa"/>
            </w:pPr>
            <w:r>
              <w:t>8</w:t>
            </w:r>
          </w:p>
        </w:tc>
        <w:tc>
          <w:tcPr>
            <w:tcW w:w="1899" w:type="dxa"/>
            <w:vAlign w:val="center"/>
          </w:tcPr>
          <w:p w:rsidR="00EE56C0" w:rsidRDefault="000F36A1">
            <w:pPr>
              <w:spacing w:line="240" w:lineRule="auto"/>
              <w:ind w:firstLineChars="0" w:firstLine="0"/>
              <w:jc w:val="center"/>
              <w:rPr>
                <w:sz w:val="21"/>
                <w:szCs w:val="21"/>
              </w:rPr>
            </w:pPr>
            <w:r>
              <w:rPr>
                <w:rFonts w:hint="eastAsia"/>
                <w:sz w:val="21"/>
                <w:szCs w:val="21"/>
              </w:rPr>
              <w:t>保留</w:t>
            </w:r>
          </w:p>
        </w:tc>
      </w:tr>
      <w:tr w:rsidR="00EE56C0">
        <w:trPr>
          <w:cantSplit/>
          <w:trHeight w:val="397"/>
          <w:jc w:val="center"/>
        </w:trPr>
        <w:tc>
          <w:tcPr>
            <w:tcW w:w="817" w:type="dxa"/>
            <w:vAlign w:val="center"/>
          </w:tcPr>
          <w:p w:rsidR="00EE56C0" w:rsidRDefault="000F36A1">
            <w:pPr>
              <w:pStyle w:val="afa"/>
            </w:pPr>
            <w:r>
              <w:rPr>
                <w:rFonts w:hint="eastAsia"/>
              </w:rPr>
              <w:t>3</w:t>
            </w:r>
          </w:p>
        </w:tc>
        <w:tc>
          <w:tcPr>
            <w:tcW w:w="1666" w:type="dxa"/>
            <w:vAlign w:val="center"/>
          </w:tcPr>
          <w:p w:rsidR="00EE56C0" w:rsidRDefault="000F36A1">
            <w:pPr>
              <w:pStyle w:val="afa"/>
            </w:pPr>
            <w:r>
              <w:rPr>
                <w:rFonts w:hint="eastAsia"/>
              </w:rPr>
              <w:t>全自动拉丝机</w:t>
            </w:r>
          </w:p>
        </w:tc>
        <w:tc>
          <w:tcPr>
            <w:tcW w:w="2728" w:type="dxa"/>
            <w:vAlign w:val="center"/>
          </w:tcPr>
          <w:p w:rsidR="00EE56C0" w:rsidRDefault="000F36A1">
            <w:pPr>
              <w:pStyle w:val="afa"/>
            </w:pPr>
            <w:r>
              <w:t>24DHA+SN300</w:t>
            </w:r>
          </w:p>
        </w:tc>
        <w:tc>
          <w:tcPr>
            <w:tcW w:w="1418" w:type="dxa"/>
            <w:vAlign w:val="center"/>
          </w:tcPr>
          <w:p w:rsidR="00EE56C0" w:rsidRDefault="000F36A1">
            <w:pPr>
              <w:pStyle w:val="afa"/>
            </w:pPr>
            <w:r>
              <w:t>5</w:t>
            </w:r>
          </w:p>
        </w:tc>
        <w:tc>
          <w:tcPr>
            <w:tcW w:w="1899" w:type="dxa"/>
            <w:vAlign w:val="center"/>
          </w:tcPr>
          <w:p w:rsidR="00EE56C0" w:rsidRDefault="000F36A1">
            <w:pPr>
              <w:spacing w:line="240" w:lineRule="auto"/>
              <w:ind w:firstLineChars="0" w:firstLine="0"/>
              <w:jc w:val="center"/>
              <w:rPr>
                <w:sz w:val="21"/>
                <w:szCs w:val="21"/>
              </w:rPr>
            </w:pPr>
            <w:r>
              <w:rPr>
                <w:rFonts w:hint="eastAsia"/>
                <w:sz w:val="21"/>
                <w:szCs w:val="21"/>
              </w:rPr>
              <w:t>保留</w:t>
            </w:r>
          </w:p>
        </w:tc>
      </w:tr>
      <w:tr w:rsidR="00EE56C0">
        <w:trPr>
          <w:cantSplit/>
          <w:trHeight w:val="397"/>
          <w:jc w:val="center"/>
        </w:trPr>
        <w:tc>
          <w:tcPr>
            <w:tcW w:w="817" w:type="dxa"/>
            <w:vAlign w:val="center"/>
          </w:tcPr>
          <w:p w:rsidR="00EE56C0" w:rsidRDefault="000F36A1">
            <w:pPr>
              <w:pStyle w:val="afa"/>
            </w:pPr>
            <w:r>
              <w:rPr>
                <w:rFonts w:hint="eastAsia"/>
              </w:rPr>
              <w:t>4</w:t>
            </w:r>
          </w:p>
        </w:tc>
        <w:tc>
          <w:tcPr>
            <w:tcW w:w="1666" w:type="dxa"/>
            <w:vAlign w:val="center"/>
          </w:tcPr>
          <w:p w:rsidR="00EE56C0" w:rsidRDefault="000F36A1">
            <w:pPr>
              <w:pStyle w:val="afa"/>
            </w:pPr>
            <w:r>
              <w:rPr>
                <w:rFonts w:hint="eastAsia"/>
              </w:rPr>
              <w:t>拉拔机</w:t>
            </w:r>
          </w:p>
        </w:tc>
        <w:tc>
          <w:tcPr>
            <w:tcW w:w="2728" w:type="dxa"/>
            <w:vAlign w:val="center"/>
          </w:tcPr>
          <w:p w:rsidR="00EE56C0" w:rsidRDefault="000F36A1">
            <w:pPr>
              <w:pStyle w:val="afa"/>
            </w:pPr>
            <w:r>
              <w:t>LHD500/7</w:t>
            </w:r>
          </w:p>
        </w:tc>
        <w:tc>
          <w:tcPr>
            <w:tcW w:w="1418" w:type="dxa"/>
            <w:vAlign w:val="center"/>
          </w:tcPr>
          <w:p w:rsidR="00EE56C0" w:rsidRDefault="000F36A1">
            <w:pPr>
              <w:pStyle w:val="afa"/>
            </w:pPr>
            <w:r>
              <w:t>2</w:t>
            </w:r>
          </w:p>
        </w:tc>
        <w:tc>
          <w:tcPr>
            <w:tcW w:w="1899" w:type="dxa"/>
            <w:vAlign w:val="center"/>
          </w:tcPr>
          <w:p w:rsidR="00EE56C0" w:rsidRDefault="000F36A1">
            <w:pPr>
              <w:spacing w:line="240" w:lineRule="auto"/>
              <w:ind w:firstLineChars="0" w:firstLine="0"/>
              <w:jc w:val="center"/>
              <w:rPr>
                <w:sz w:val="21"/>
                <w:szCs w:val="21"/>
              </w:rPr>
            </w:pPr>
            <w:r>
              <w:rPr>
                <w:rFonts w:hint="eastAsia"/>
                <w:sz w:val="21"/>
                <w:szCs w:val="21"/>
              </w:rPr>
              <w:t>保留</w:t>
            </w:r>
          </w:p>
        </w:tc>
      </w:tr>
      <w:tr w:rsidR="00EE56C0">
        <w:trPr>
          <w:cantSplit/>
          <w:trHeight w:val="397"/>
          <w:jc w:val="center"/>
        </w:trPr>
        <w:tc>
          <w:tcPr>
            <w:tcW w:w="817" w:type="dxa"/>
            <w:vMerge w:val="restart"/>
            <w:vAlign w:val="center"/>
          </w:tcPr>
          <w:p w:rsidR="00EE56C0" w:rsidRDefault="000F36A1">
            <w:pPr>
              <w:pStyle w:val="afa"/>
            </w:pPr>
            <w:r>
              <w:rPr>
                <w:rFonts w:hint="eastAsia"/>
              </w:rPr>
              <w:t>5</w:t>
            </w:r>
          </w:p>
        </w:tc>
        <w:tc>
          <w:tcPr>
            <w:tcW w:w="1666" w:type="dxa"/>
            <w:vMerge w:val="restart"/>
            <w:vAlign w:val="center"/>
          </w:tcPr>
          <w:p w:rsidR="00EE56C0" w:rsidRDefault="000F36A1">
            <w:pPr>
              <w:pStyle w:val="afa"/>
            </w:pPr>
            <w:r>
              <w:rPr>
                <w:rFonts w:hint="eastAsia"/>
              </w:rPr>
              <w:t>立式漆包机</w:t>
            </w:r>
          </w:p>
          <w:p w:rsidR="00EE56C0" w:rsidRDefault="000F36A1">
            <w:pPr>
              <w:pStyle w:val="afa"/>
            </w:pPr>
            <w:r>
              <w:rPr>
                <w:rFonts w:hint="eastAsia"/>
              </w:rPr>
              <w:t>（</w:t>
            </w:r>
            <w:r>
              <w:rPr>
                <w:rFonts w:hint="eastAsia"/>
              </w:rPr>
              <w:t>23</w:t>
            </w:r>
            <w:r>
              <w:rPr>
                <w:rFonts w:hint="eastAsia"/>
              </w:rPr>
              <w:t>台）</w:t>
            </w:r>
          </w:p>
        </w:tc>
        <w:tc>
          <w:tcPr>
            <w:tcW w:w="2728" w:type="dxa"/>
            <w:vAlign w:val="center"/>
          </w:tcPr>
          <w:p w:rsidR="00EE56C0" w:rsidRDefault="000F36A1">
            <w:pPr>
              <w:pStyle w:val="afa"/>
            </w:pPr>
            <w:r>
              <w:t>QHL/2-5+5/13</w:t>
            </w:r>
          </w:p>
        </w:tc>
        <w:tc>
          <w:tcPr>
            <w:tcW w:w="1418" w:type="dxa"/>
            <w:vAlign w:val="center"/>
          </w:tcPr>
          <w:p w:rsidR="00EE56C0" w:rsidRDefault="000F36A1">
            <w:pPr>
              <w:pStyle w:val="afa"/>
            </w:pPr>
            <w:r>
              <w:t>10</w:t>
            </w:r>
          </w:p>
        </w:tc>
        <w:tc>
          <w:tcPr>
            <w:tcW w:w="1899" w:type="dxa"/>
            <w:vAlign w:val="center"/>
          </w:tcPr>
          <w:p w:rsidR="00EE56C0" w:rsidRDefault="000F36A1">
            <w:pPr>
              <w:spacing w:line="240" w:lineRule="auto"/>
              <w:ind w:firstLineChars="0" w:firstLine="0"/>
              <w:jc w:val="center"/>
              <w:rPr>
                <w:sz w:val="21"/>
                <w:szCs w:val="21"/>
              </w:rPr>
            </w:pPr>
            <w:r>
              <w:rPr>
                <w:rFonts w:hint="eastAsia"/>
                <w:sz w:val="21"/>
                <w:szCs w:val="21"/>
              </w:rPr>
              <w:t>保留</w:t>
            </w:r>
          </w:p>
        </w:tc>
      </w:tr>
      <w:tr w:rsidR="00EE56C0">
        <w:trPr>
          <w:cantSplit/>
          <w:trHeight w:val="397"/>
          <w:jc w:val="center"/>
        </w:trPr>
        <w:tc>
          <w:tcPr>
            <w:tcW w:w="817" w:type="dxa"/>
            <w:vMerge/>
            <w:vAlign w:val="center"/>
          </w:tcPr>
          <w:p w:rsidR="00EE56C0" w:rsidRDefault="00EE56C0">
            <w:pPr>
              <w:pStyle w:val="afa"/>
            </w:pPr>
          </w:p>
        </w:tc>
        <w:tc>
          <w:tcPr>
            <w:tcW w:w="1666" w:type="dxa"/>
            <w:vMerge/>
            <w:vAlign w:val="center"/>
          </w:tcPr>
          <w:p w:rsidR="00EE56C0" w:rsidRDefault="00EE56C0">
            <w:pPr>
              <w:pStyle w:val="afa"/>
            </w:pPr>
          </w:p>
        </w:tc>
        <w:tc>
          <w:tcPr>
            <w:tcW w:w="2728" w:type="dxa"/>
            <w:vAlign w:val="center"/>
          </w:tcPr>
          <w:p w:rsidR="00EE56C0" w:rsidRDefault="000F36A1">
            <w:pPr>
              <w:pStyle w:val="afa"/>
            </w:pPr>
            <w:r>
              <w:t>QHL1/2-15+15/6</w:t>
            </w:r>
          </w:p>
        </w:tc>
        <w:tc>
          <w:tcPr>
            <w:tcW w:w="1418" w:type="dxa"/>
            <w:vAlign w:val="center"/>
          </w:tcPr>
          <w:p w:rsidR="00EE56C0" w:rsidRDefault="000F36A1">
            <w:pPr>
              <w:pStyle w:val="afa"/>
            </w:pPr>
            <w:r>
              <w:t>4</w:t>
            </w:r>
          </w:p>
        </w:tc>
        <w:tc>
          <w:tcPr>
            <w:tcW w:w="1899" w:type="dxa"/>
            <w:vAlign w:val="center"/>
          </w:tcPr>
          <w:p w:rsidR="00EE56C0" w:rsidRDefault="000F36A1">
            <w:pPr>
              <w:pStyle w:val="afa"/>
            </w:pPr>
            <w:r>
              <w:rPr>
                <w:rFonts w:hint="eastAsia"/>
              </w:rPr>
              <w:t>一期升级改造</w:t>
            </w:r>
          </w:p>
        </w:tc>
      </w:tr>
      <w:tr w:rsidR="00EE56C0">
        <w:trPr>
          <w:cantSplit/>
          <w:trHeight w:val="397"/>
          <w:jc w:val="center"/>
        </w:trPr>
        <w:tc>
          <w:tcPr>
            <w:tcW w:w="817" w:type="dxa"/>
            <w:vMerge/>
            <w:vAlign w:val="center"/>
          </w:tcPr>
          <w:p w:rsidR="00EE56C0" w:rsidRDefault="00EE56C0">
            <w:pPr>
              <w:pStyle w:val="afa"/>
            </w:pPr>
          </w:p>
        </w:tc>
        <w:tc>
          <w:tcPr>
            <w:tcW w:w="1666" w:type="dxa"/>
            <w:vMerge/>
            <w:vAlign w:val="center"/>
          </w:tcPr>
          <w:p w:rsidR="00EE56C0" w:rsidRDefault="00EE56C0">
            <w:pPr>
              <w:pStyle w:val="afa"/>
            </w:pPr>
          </w:p>
        </w:tc>
        <w:tc>
          <w:tcPr>
            <w:tcW w:w="2728" w:type="dxa"/>
            <w:vAlign w:val="center"/>
          </w:tcPr>
          <w:p w:rsidR="00EE56C0" w:rsidRDefault="000F36A1">
            <w:pPr>
              <w:pStyle w:val="afa"/>
            </w:pPr>
            <w:r>
              <w:t>QHL1/2-12+12/7</w:t>
            </w:r>
          </w:p>
        </w:tc>
        <w:tc>
          <w:tcPr>
            <w:tcW w:w="1418" w:type="dxa"/>
            <w:vAlign w:val="center"/>
          </w:tcPr>
          <w:p w:rsidR="00EE56C0" w:rsidRDefault="000F36A1">
            <w:pPr>
              <w:pStyle w:val="afa"/>
            </w:pPr>
            <w:r>
              <w:t>4</w:t>
            </w:r>
          </w:p>
        </w:tc>
        <w:tc>
          <w:tcPr>
            <w:tcW w:w="1899" w:type="dxa"/>
            <w:vAlign w:val="center"/>
          </w:tcPr>
          <w:p w:rsidR="00EE56C0" w:rsidRDefault="000F36A1">
            <w:pPr>
              <w:pStyle w:val="afa"/>
            </w:pPr>
            <w:r>
              <w:rPr>
                <w:rFonts w:hint="eastAsia"/>
              </w:rPr>
              <w:t>保留</w:t>
            </w:r>
          </w:p>
        </w:tc>
      </w:tr>
      <w:tr w:rsidR="00EE56C0">
        <w:trPr>
          <w:cantSplit/>
          <w:trHeight w:val="397"/>
          <w:jc w:val="center"/>
        </w:trPr>
        <w:tc>
          <w:tcPr>
            <w:tcW w:w="817" w:type="dxa"/>
            <w:vMerge/>
            <w:vAlign w:val="center"/>
          </w:tcPr>
          <w:p w:rsidR="00EE56C0" w:rsidRDefault="00EE56C0">
            <w:pPr>
              <w:pStyle w:val="afa"/>
            </w:pPr>
          </w:p>
        </w:tc>
        <w:tc>
          <w:tcPr>
            <w:tcW w:w="1666" w:type="dxa"/>
            <w:vMerge/>
            <w:vAlign w:val="center"/>
          </w:tcPr>
          <w:p w:rsidR="00EE56C0" w:rsidRDefault="00EE56C0">
            <w:pPr>
              <w:pStyle w:val="afa"/>
            </w:pPr>
          </w:p>
        </w:tc>
        <w:tc>
          <w:tcPr>
            <w:tcW w:w="2728" w:type="dxa"/>
            <w:vAlign w:val="center"/>
          </w:tcPr>
          <w:p w:rsidR="00EE56C0" w:rsidRDefault="000F36A1">
            <w:pPr>
              <w:pStyle w:val="afa"/>
            </w:pPr>
            <w:r>
              <w:t>MLQHLF-1/2-11+11/7(5+2)</w:t>
            </w:r>
          </w:p>
        </w:tc>
        <w:tc>
          <w:tcPr>
            <w:tcW w:w="1418" w:type="dxa"/>
            <w:vAlign w:val="center"/>
          </w:tcPr>
          <w:p w:rsidR="00EE56C0" w:rsidRDefault="000F36A1">
            <w:pPr>
              <w:pStyle w:val="afa"/>
            </w:pPr>
            <w:r>
              <w:t>3</w:t>
            </w:r>
          </w:p>
        </w:tc>
        <w:tc>
          <w:tcPr>
            <w:tcW w:w="1899" w:type="dxa"/>
            <w:vAlign w:val="center"/>
          </w:tcPr>
          <w:p w:rsidR="00EE56C0" w:rsidRDefault="000F36A1">
            <w:pPr>
              <w:pStyle w:val="afa"/>
            </w:pPr>
            <w:r>
              <w:rPr>
                <w:rFonts w:hint="eastAsia"/>
              </w:rPr>
              <w:t>保留</w:t>
            </w:r>
          </w:p>
        </w:tc>
      </w:tr>
      <w:tr w:rsidR="00EE56C0">
        <w:trPr>
          <w:cantSplit/>
          <w:trHeight w:val="397"/>
          <w:jc w:val="center"/>
        </w:trPr>
        <w:tc>
          <w:tcPr>
            <w:tcW w:w="817" w:type="dxa"/>
            <w:vMerge/>
            <w:vAlign w:val="center"/>
          </w:tcPr>
          <w:p w:rsidR="00EE56C0" w:rsidRDefault="00EE56C0">
            <w:pPr>
              <w:pStyle w:val="afa"/>
            </w:pPr>
          </w:p>
        </w:tc>
        <w:tc>
          <w:tcPr>
            <w:tcW w:w="1666" w:type="dxa"/>
            <w:vMerge/>
            <w:vAlign w:val="center"/>
          </w:tcPr>
          <w:p w:rsidR="00EE56C0" w:rsidRDefault="00EE56C0">
            <w:pPr>
              <w:pStyle w:val="afa"/>
            </w:pPr>
          </w:p>
        </w:tc>
        <w:tc>
          <w:tcPr>
            <w:tcW w:w="2728" w:type="dxa"/>
            <w:vAlign w:val="center"/>
          </w:tcPr>
          <w:p w:rsidR="00EE56C0" w:rsidRDefault="000F36A1">
            <w:pPr>
              <w:pStyle w:val="afa"/>
            </w:pPr>
            <w:r>
              <w:t>QHL1/2-19+19/6</w:t>
            </w:r>
          </w:p>
        </w:tc>
        <w:tc>
          <w:tcPr>
            <w:tcW w:w="1418" w:type="dxa"/>
            <w:vAlign w:val="center"/>
          </w:tcPr>
          <w:p w:rsidR="00EE56C0" w:rsidRDefault="000F36A1">
            <w:pPr>
              <w:pStyle w:val="afa"/>
            </w:pPr>
            <w:r>
              <w:rPr>
                <w:rFonts w:hint="eastAsia"/>
              </w:rPr>
              <w:t>2</w:t>
            </w:r>
          </w:p>
        </w:tc>
        <w:tc>
          <w:tcPr>
            <w:tcW w:w="1899" w:type="dxa"/>
            <w:vAlign w:val="center"/>
          </w:tcPr>
          <w:p w:rsidR="00EE56C0" w:rsidRDefault="000F36A1">
            <w:pPr>
              <w:pStyle w:val="afa"/>
            </w:pPr>
            <w:r>
              <w:rPr>
                <w:rFonts w:hint="eastAsia"/>
              </w:rPr>
              <w:t>保留</w:t>
            </w:r>
          </w:p>
        </w:tc>
      </w:tr>
      <w:tr w:rsidR="00EE56C0">
        <w:trPr>
          <w:cantSplit/>
          <w:trHeight w:val="397"/>
          <w:jc w:val="center"/>
        </w:trPr>
        <w:tc>
          <w:tcPr>
            <w:tcW w:w="817" w:type="dxa"/>
            <w:vMerge w:val="restart"/>
            <w:vAlign w:val="center"/>
          </w:tcPr>
          <w:p w:rsidR="00EE56C0" w:rsidRDefault="000F36A1">
            <w:pPr>
              <w:pStyle w:val="afa"/>
            </w:pPr>
            <w:r>
              <w:rPr>
                <w:rFonts w:hint="eastAsia"/>
              </w:rPr>
              <w:t>6</w:t>
            </w:r>
          </w:p>
        </w:tc>
        <w:tc>
          <w:tcPr>
            <w:tcW w:w="1666" w:type="dxa"/>
            <w:vMerge w:val="restart"/>
            <w:vAlign w:val="center"/>
          </w:tcPr>
          <w:p w:rsidR="00EE56C0" w:rsidRDefault="000F36A1">
            <w:pPr>
              <w:pStyle w:val="afa"/>
            </w:pPr>
            <w:r>
              <w:rPr>
                <w:rFonts w:hint="eastAsia"/>
              </w:rPr>
              <w:t>卧式漆包机</w:t>
            </w:r>
          </w:p>
          <w:p w:rsidR="00EE56C0" w:rsidRDefault="000F36A1">
            <w:pPr>
              <w:pStyle w:val="afa"/>
            </w:pPr>
            <w:r>
              <w:rPr>
                <w:rFonts w:hint="eastAsia"/>
              </w:rPr>
              <w:t>（</w:t>
            </w:r>
            <w:r>
              <w:rPr>
                <w:rFonts w:hint="eastAsia"/>
              </w:rPr>
              <w:t>21</w:t>
            </w:r>
            <w:r>
              <w:rPr>
                <w:rFonts w:hint="eastAsia"/>
              </w:rPr>
              <w:t>台）</w:t>
            </w:r>
          </w:p>
        </w:tc>
        <w:tc>
          <w:tcPr>
            <w:tcW w:w="2728" w:type="dxa"/>
            <w:vAlign w:val="center"/>
          </w:tcPr>
          <w:p w:rsidR="00EE56C0" w:rsidRDefault="000F36A1">
            <w:pPr>
              <w:pStyle w:val="afa"/>
            </w:pPr>
            <w:r>
              <w:t>QHW5/1-6+6/12</w:t>
            </w:r>
          </w:p>
        </w:tc>
        <w:tc>
          <w:tcPr>
            <w:tcW w:w="1418" w:type="dxa"/>
            <w:vAlign w:val="center"/>
          </w:tcPr>
          <w:p w:rsidR="00EE56C0" w:rsidRDefault="000F36A1">
            <w:pPr>
              <w:pStyle w:val="afa"/>
            </w:pPr>
            <w:r>
              <w:t>4</w:t>
            </w:r>
          </w:p>
        </w:tc>
        <w:tc>
          <w:tcPr>
            <w:tcW w:w="1899" w:type="dxa"/>
            <w:vAlign w:val="center"/>
          </w:tcPr>
          <w:p w:rsidR="00EE56C0" w:rsidRDefault="000F36A1">
            <w:pPr>
              <w:pStyle w:val="afa"/>
            </w:pPr>
            <w:r>
              <w:rPr>
                <w:rFonts w:hint="eastAsia"/>
              </w:rPr>
              <w:t>保留</w:t>
            </w:r>
          </w:p>
        </w:tc>
      </w:tr>
      <w:tr w:rsidR="00EE56C0">
        <w:trPr>
          <w:cantSplit/>
          <w:trHeight w:val="397"/>
          <w:jc w:val="center"/>
        </w:trPr>
        <w:tc>
          <w:tcPr>
            <w:tcW w:w="817" w:type="dxa"/>
            <w:vMerge/>
            <w:vAlign w:val="center"/>
          </w:tcPr>
          <w:p w:rsidR="00EE56C0" w:rsidRDefault="00EE56C0">
            <w:pPr>
              <w:pStyle w:val="afa"/>
            </w:pPr>
          </w:p>
        </w:tc>
        <w:tc>
          <w:tcPr>
            <w:tcW w:w="1666" w:type="dxa"/>
            <w:vMerge/>
            <w:vAlign w:val="center"/>
          </w:tcPr>
          <w:p w:rsidR="00EE56C0" w:rsidRDefault="00EE56C0">
            <w:pPr>
              <w:pStyle w:val="afa"/>
            </w:pPr>
          </w:p>
        </w:tc>
        <w:tc>
          <w:tcPr>
            <w:tcW w:w="2728" w:type="dxa"/>
            <w:vAlign w:val="center"/>
          </w:tcPr>
          <w:p w:rsidR="00EE56C0" w:rsidRDefault="000F36A1">
            <w:pPr>
              <w:pStyle w:val="afa"/>
            </w:pPr>
            <w:r>
              <w:t>QHW24</w:t>
            </w:r>
            <w:r>
              <w:rPr>
                <w:rFonts w:hAnsi="宋体" w:hint="eastAsia"/>
              </w:rPr>
              <w:t>（</w:t>
            </w:r>
            <w:r>
              <w:t>12+12</w:t>
            </w:r>
            <w:r>
              <w:rPr>
                <w:rFonts w:hAnsi="宋体" w:hint="eastAsia"/>
              </w:rPr>
              <w:t>）</w:t>
            </w:r>
            <w:r>
              <w:t>-7</w:t>
            </w:r>
          </w:p>
        </w:tc>
        <w:tc>
          <w:tcPr>
            <w:tcW w:w="1418" w:type="dxa"/>
            <w:vAlign w:val="center"/>
          </w:tcPr>
          <w:p w:rsidR="00EE56C0" w:rsidRDefault="000F36A1">
            <w:pPr>
              <w:pStyle w:val="afa"/>
            </w:pPr>
            <w:r>
              <w:t>6</w:t>
            </w:r>
          </w:p>
        </w:tc>
        <w:tc>
          <w:tcPr>
            <w:tcW w:w="1899" w:type="dxa"/>
            <w:vAlign w:val="center"/>
          </w:tcPr>
          <w:p w:rsidR="00EE56C0" w:rsidRDefault="000F36A1">
            <w:pPr>
              <w:pStyle w:val="afa"/>
            </w:pPr>
            <w:r>
              <w:rPr>
                <w:rFonts w:hint="eastAsia"/>
              </w:rPr>
              <w:t>二期升级改造</w:t>
            </w:r>
          </w:p>
        </w:tc>
      </w:tr>
      <w:tr w:rsidR="00EE56C0">
        <w:trPr>
          <w:cantSplit/>
          <w:trHeight w:val="397"/>
          <w:jc w:val="center"/>
        </w:trPr>
        <w:tc>
          <w:tcPr>
            <w:tcW w:w="817" w:type="dxa"/>
            <w:vMerge/>
            <w:vAlign w:val="center"/>
          </w:tcPr>
          <w:p w:rsidR="00EE56C0" w:rsidRDefault="00EE56C0">
            <w:pPr>
              <w:pStyle w:val="afa"/>
            </w:pPr>
          </w:p>
        </w:tc>
        <w:tc>
          <w:tcPr>
            <w:tcW w:w="1666" w:type="dxa"/>
            <w:vMerge/>
            <w:vAlign w:val="center"/>
          </w:tcPr>
          <w:p w:rsidR="00EE56C0" w:rsidRDefault="00EE56C0">
            <w:pPr>
              <w:pStyle w:val="afa"/>
            </w:pPr>
          </w:p>
        </w:tc>
        <w:tc>
          <w:tcPr>
            <w:tcW w:w="2728" w:type="dxa"/>
            <w:vAlign w:val="center"/>
          </w:tcPr>
          <w:p w:rsidR="00EE56C0" w:rsidRDefault="000F36A1">
            <w:pPr>
              <w:pStyle w:val="afa"/>
            </w:pPr>
            <w:r>
              <w:t>QHW5/1-18+18/8</w:t>
            </w:r>
          </w:p>
        </w:tc>
        <w:tc>
          <w:tcPr>
            <w:tcW w:w="1418" w:type="dxa"/>
            <w:vAlign w:val="center"/>
          </w:tcPr>
          <w:p w:rsidR="00EE56C0" w:rsidRDefault="000F36A1">
            <w:pPr>
              <w:pStyle w:val="afa"/>
            </w:pPr>
            <w:r>
              <w:t>2</w:t>
            </w:r>
          </w:p>
        </w:tc>
        <w:tc>
          <w:tcPr>
            <w:tcW w:w="1899" w:type="dxa"/>
            <w:vAlign w:val="center"/>
          </w:tcPr>
          <w:p w:rsidR="00EE56C0" w:rsidRDefault="000F36A1">
            <w:pPr>
              <w:pStyle w:val="afa"/>
            </w:pPr>
            <w:r>
              <w:rPr>
                <w:rFonts w:hint="eastAsia"/>
              </w:rPr>
              <w:t>一期升级改造</w:t>
            </w:r>
          </w:p>
        </w:tc>
      </w:tr>
      <w:tr w:rsidR="00EE56C0">
        <w:trPr>
          <w:cantSplit/>
          <w:trHeight w:val="397"/>
          <w:jc w:val="center"/>
        </w:trPr>
        <w:tc>
          <w:tcPr>
            <w:tcW w:w="817" w:type="dxa"/>
            <w:vMerge/>
            <w:vAlign w:val="center"/>
          </w:tcPr>
          <w:p w:rsidR="00EE56C0" w:rsidRDefault="00EE56C0">
            <w:pPr>
              <w:pStyle w:val="afa"/>
            </w:pPr>
          </w:p>
        </w:tc>
        <w:tc>
          <w:tcPr>
            <w:tcW w:w="1666" w:type="dxa"/>
            <w:vMerge/>
            <w:vAlign w:val="center"/>
          </w:tcPr>
          <w:p w:rsidR="00EE56C0" w:rsidRDefault="00EE56C0">
            <w:pPr>
              <w:pStyle w:val="afa"/>
            </w:pPr>
          </w:p>
        </w:tc>
        <w:tc>
          <w:tcPr>
            <w:tcW w:w="2728" w:type="dxa"/>
            <w:vAlign w:val="center"/>
          </w:tcPr>
          <w:p w:rsidR="00EE56C0" w:rsidRDefault="000F36A1">
            <w:pPr>
              <w:pStyle w:val="afa"/>
            </w:pPr>
            <w:r>
              <w:t>A3800MN-36(18+18)-8(7+1)</w:t>
            </w:r>
          </w:p>
        </w:tc>
        <w:tc>
          <w:tcPr>
            <w:tcW w:w="1418" w:type="dxa"/>
            <w:vAlign w:val="center"/>
          </w:tcPr>
          <w:p w:rsidR="00EE56C0" w:rsidRDefault="000F36A1">
            <w:pPr>
              <w:pStyle w:val="afa"/>
            </w:pPr>
            <w:r>
              <w:t>1</w:t>
            </w:r>
          </w:p>
        </w:tc>
        <w:tc>
          <w:tcPr>
            <w:tcW w:w="1899" w:type="dxa"/>
            <w:vAlign w:val="center"/>
          </w:tcPr>
          <w:p w:rsidR="00EE56C0" w:rsidRDefault="000F36A1">
            <w:pPr>
              <w:pStyle w:val="afa"/>
            </w:pPr>
            <w:r>
              <w:rPr>
                <w:rFonts w:hint="eastAsia"/>
              </w:rPr>
              <w:t>保留</w:t>
            </w:r>
          </w:p>
        </w:tc>
      </w:tr>
      <w:tr w:rsidR="00EE56C0">
        <w:trPr>
          <w:cantSplit/>
          <w:trHeight w:val="397"/>
          <w:jc w:val="center"/>
        </w:trPr>
        <w:tc>
          <w:tcPr>
            <w:tcW w:w="817" w:type="dxa"/>
            <w:vMerge/>
            <w:vAlign w:val="center"/>
          </w:tcPr>
          <w:p w:rsidR="00EE56C0" w:rsidRDefault="00EE56C0">
            <w:pPr>
              <w:pStyle w:val="afa"/>
            </w:pPr>
          </w:p>
        </w:tc>
        <w:tc>
          <w:tcPr>
            <w:tcW w:w="1666" w:type="dxa"/>
            <w:vMerge/>
            <w:vAlign w:val="center"/>
          </w:tcPr>
          <w:p w:rsidR="00EE56C0" w:rsidRDefault="00EE56C0">
            <w:pPr>
              <w:pStyle w:val="afa"/>
            </w:pPr>
          </w:p>
        </w:tc>
        <w:tc>
          <w:tcPr>
            <w:tcW w:w="2728" w:type="dxa"/>
            <w:vAlign w:val="center"/>
          </w:tcPr>
          <w:p w:rsidR="00EE56C0" w:rsidRDefault="000F36A1">
            <w:pPr>
              <w:pStyle w:val="afa"/>
            </w:pPr>
            <w:r>
              <w:t>RXMW/5000-20(10+10)-9</w:t>
            </w:r>
          </w:p>
        </w:tc>
        <w:tc>
          <w:tcPr>
            <w:tcW w:w="1418" w:type="dxa"/>
            <w:vAlign w:val="center"/>
          </w:tcPr>
          <w:p w:rsidR="00EE56C0" w:rsidRDefault="000F36A1">
            <w:pPr>
              <w:pStyle w:val="afa"/>
            </w:pPr>
            <w:r>
              <w:t>2</w:t>
            </w:r>
          </w:p>
        </w:tc>
        <w:tc>
          <w:tcPr>
            <w:tcW w:w="1899" w:type="dxa"/>
            <w:vAlign w:val="center"/>
          </w:tcPr>
          <w:p w:rsidR="00EE56C0" w:rsidRDefault="000F36A1">
            <w:pPr>
              <w:pStyle w:val="afa"/>
            </w:pPr>
            <w:r>
              <w:rPr>
                <w:rFonts w:hint="eastAsia"/>
              </w:rPr>
              <w:t>一期升级改造</w:t>
            </w:r>
          </w:p>
        </w:tc>
      </w:tr>
      <w:tr w:rsidR="00EE56C0">
        <w:trPr>
          <w:cantSplit/>
          <w:trHeight w:val="397"/>
          <w:jc w:val="center"/>
        </w:trPr>
        <w:tc>
          <w:tcPr>
            <w:tcW w:w="817" w:type="dxa"/>
            <w:vMerge/>
            <w:vAlign w:val="center"/>
          </w:tcPr>
          <w:p w:rsidR="00EE56C0" w:rsidRDefault="00EE56C0">
            <w:pPr>
              <w:pStyle w:val="afa"/>
            </w:pPr>
          </w:p>
        </w:tc>
        <w:tc>
          <w:tcPr>
            <w:tcW w:w="1666" w:type="dxa"/>
            <w:vMerge/>
            <w:vAlign w:val="center"/>
          </w:tcPr>
          <w:p w:rsidR="00EE56C0" w:rsidRDefault="00EE56C0">
            <w:pPr>
              <w:pStyle w:val="afa"/>
            </w:pPr>
          </w:p>
        </w:tc>
        <w:tc>
          <w:tcPr>
            <w:tcW w:w="2728" w:type="dxa"/>
            <w:vAlign w:val="center"/>
          </w:tcPr>
          <w:p w:rsidR="00EE56C0" w:rsidRDefault="000F36A1">
            <w:pPr>
              <w:pStyle w:val="afa"/>
            </w:pPr>
            <w:r>
              <w:rPr>
                <w:rFonts w:hint="eastAsia"/>
              </w:rPr>
              <w:t>MDZS5/4-4/16F</w:t>
            </w:r>
          </w:p>
        </w:tc>
        <w:tc>
          <w:tcPr>
            <w:tcW w:w="1418" w:type="dxa"/>
            <w:vAlign w:val="center"/>
          </w:tcPr>
          <w:p w:rsidR="00EE56C0" w:rsidRDefault="000F36A1">
            <w:pPr>
              <w:pStyle w:val="afa"/>
            </w:pPr>
            <w:r>
              <w:rPr>
                <w:rFonts w:hint="eastAsia"/>
              </w:rPr>
              <w:t>3</w:t>
            </w:r>
          </w:p>
        </w:tc>
        <w:tc>
          <w:tcPr>
            <w:tcW w:w="1899" w:type="dxa"/>
            <w:vAlign w:val="center"/>
          </w:tcPr>
          <w:p w:rsidR="00EE56C0" w:rsidRDefault="000F36A1">
            <w:pPr>
              <w:spacing w:line="240" w:lineRule="auto"/>
              <w:ind w:firstLineChars="0" w:firstLine="0"/>
              <w:jc w:val="center"/>
              <w:rPr>
                <w:sz w:val="21"/>
                <w:szCs w:val="21"/>
              </w:rPr>
            </w:pPr>
            <w:r>
              <w:rPr>
                <w:rFonts w:hint="eastAsia"/>
                <w:sz w:val="21"/>
                <w:szCs w:val="21"/>
              </w:rPr>
              <w:t>保留</w:t>
            </w:r>
          </w:p>
        </w:tc>
      </w:tr>
      <w:tr w:rsidR="00EE56C0">
        <w:trPr>
          <w:cantSplit/>
          <w:trHeight w:val="397"/>
          <w:jc w:val="center"/>
        </w:trPr>
        <w:tc>
          <w:tcPr>
            <w:tcW w:w="817" w:type="dxa"/>
            <w:vMerge/>
            <w:vAlign w:val="center"/>
          </w:tcPr>
          <w:p w:rsidR="00EE56C0" w:rsidRDefault="00EE56C0">
            <w:pPr>
              <w:pStyle w:val="afa"/>
            </w:pPr>
          </w:p>
        </w:tc>
        <w:tc>
          <w:tcPr>
            <w:tcW w:w="1666" w:type="dxa"/>
            <w:vMerge/>
            <w:vAlign w:val="center"/>
          </w:tcPr>
          <w:p w:rsidR="00EE56C0" w:rsidRDefault="00EE56C0">
            <w:pPr>
              <w:pStyle w:val="afa"/>
            </w:pPr>
          </w:p>
        </w:tc>
        <w:tc>
          <w:tcPr>
            <w:tcW w:w="2728" w:type="dxa"/>
            <w:vAlign w:val="center"/>
          </w:tcPr>
          <w:p w:rsidR="00EE56C0" w:rsidRDefault="000F36A1">
            <w:pPr>
              <w:pStyle w:val="afa"/>
            </w:pPr>
            <w:r>
              <w:rPr>
                <w:rFonts w:hint="eastAsia"/>
              </w:rPr>
              <w:t>MDZS5/4-8/16</w:t>
            </w:r>
          </w:p>
        </w:tc>
        <w:tc>
          <w:tcPr>
            <w:tcW w:w="1418" w:type="dxa"/>
            <w:vAlign w:val="center"/>
          </w:tcPr>
          <w:p w:rsidR="00EE56C0" w:rsidRDefault="000F36A1">
            <w:pPr>
              <w:pStyle w:val="afa"/>
            </w:pPr>
            <w:r>
              <w:rPr>
                <w:rFonts w:hint="eastAsia"/>
              </w:rPr>
              <w:t>3</w:t>
            </w:r>
          </w:p>
        </w:tc>
        <w:tc>
          <w:tcPr>
            <w:tcW w:w="1899" w:type="dxa"/>
            <w:vAlign w:val="center"/>
          </w:tcPr>
          <w:p w:rsidR="00EE56C0" w:rsidRDefault="000F36A1">
            <w:pPr>
              <w:spacing w:line="240" w:lineRule="auto"/>
              <w:ind w:firstLineChars="0" w:firstLine="0"/>
              <w:jc w:val="center"/>
              <w:rPr>
                <w:sz w:val="21"/>
                <w:szCs w:val="21"/>
              </w:rPr>
            </w:pPr>
            <w:r>
              <w:rPr>
                <w:rFonts w:hint="eastAsia"/>
                <w:sz w:val="21"/>
                <w:szCs w:val="21"/>
              </w:rPr>
              <w:t>保留</w:t>
            </w:r>
            <w:r>
              <w:rPr>
                <w:rFonts w:hint="eastAsia"/>
                <w:sz w:val="21"/>
                <w:szCs w:val="21"/>
              </w:rPr>
              <w:t>1</w:t>
            </w:r>
            <w:r>
              <w:rPr>
                <w:rFonts w:hint="eastAsia"/>
                <w:sz w:val="21"/>
                <w:szCs w:val="21"/>
              </w:rPr>
              <w:t>台，一期升级改造</w:t>
            </w:r>
            <w:r>
              <w:rPr>
                <w:rFonts w:hint="eastAsia"/>
                <w:sz w:val="21"/>
                <w:szCs w:val="21"/>
              </w:rPr>
              <w:t>2</w:t>
            </w:r>
            <w:r>
              <w:rPr>
                <w:rFonts w:hint="eastAsia"/>
                <w:sz w:val="21"/>
                <w:szCs w:val="21"/>
              </w:rPr>
              <w:t>台</w:t>
            </w:r>
          </w:p>
        </w:tc>
      </w:tr>
      <w:tr w:rsidR="00EE56C0">
        <w:trPr>
          <w:cantSplit/>
          <w:trHeight w:val="397"/>
          <w:jc w:val="center"/>
        </w:trPr>
        <w:tc>
          <w:tcPr>
            <w:tcW w:w="817" w:type="dxa"/>
            <w:vMerge w:val="restart"/>
            <w:vAlign w:val="center"/>
          </w:tcPr>
          <w:p w:rsidR="00EE56C0" w:rsidRDefault="000F36A1">
            <w:pPr>
              <w:pStyle w:val="afa"/>
            </w:pPr>
            <w:r>
              <w:rPr>
                <w:rFonts w:hint="eastAsia"/>
              </w:rPr>
              <w:t>7</w:t>
            </w:r>
          </w:p>
        </w:tc>
        <w:tc>
          <w:tcPr>
            <w:tcW w:w="1666" w:type="dxa"/>
            <w:vMerge w:val="restart"/>
            <w:vAlign w:val="center"/>
          </w:tcPr>
          <w:p w:rsidR="00EE56C0" w:rsidRDefault="000F36A1">
            <w:pPr>
              <w:pStyle w:val="afa"/>
            </w:pPr>
            <w:r>
              <w:rPr>
                <w:rFonts w:hint="eastAsia"/>
              </w:rPr>
              <w:t>薄膜包</w:t>
            </w:r>
            <w:r>
              <w:t>/</w:t>
            </w:r>
            <w:r>
              <w:rPr>
                <w:rFonts w:hint="eastAsia"/>
              </w:rPr>
              <w:t>丝包机（</w:t>
            </w:r>
            <w:r>
              <w:rPr>
                <w:rFonts w:hint="eastAsia"/>
              </w:rPr>
              <w:t>15</w:t>
            </w:r>
            <w:r>
              <w:rPr>
                <w:rFonts w:hint="eastAsia"/>
              </w:rPr>
              <w:t>台）</w:t>
            </w:r>
          </w:p>
        </w:tc>
        <w:tc>
          <w:tcPr>
            <w:tcW w:w="2728" w:type="dxa"/>
            <w:vAlign w:val="center"/>
          </w:tcPr>
          <w:p w:rsidR="00EE56C0" w:rsidRDefault="000F36A1">
            <w:pPr>
              <w:widowControl/>
              <w:spacing w:line="240" w:lineRule="auto"/>
              <w:ind w:firstLineChars="0" w:firstLine="0"/>
              <w:jc w:val="center"/>
              <w:rPr>
                <w:sz w:val="21"/>
                <w:szCs w:val="21"/>
              </w:rPr>
            </w:pPr>
            <w:r>
              <w:rPr>
                <w:sz w:val="21"/>
                <w:szCs w:val="21"/>
              </w:rPr>
              <w:t>5</w:t>
            </w:r>
            <w:r>
              <w:rPr>
                <w:rFonts w:hAnsi="宋体"/>
                <w:sz w:val="21"/>
                <w:szCs w:val="21"/>
              </w:rPr>
              <w:t>～</w:t>
            </w:r>
            <w:r>
              <w:rPr>
                <w:sz w:val="21"/>
                <w:szCs w:val="21"/>
              </w:rPr>
              <w:t>40</w:t>
            </w:r>
            <w:r>
              <w:rPr>
                <w:rFonts w:hint="eastAsia"/>
                <w:sz w:val="21"/>
                <w:szCs w:val="21"/>
              </w:rPr>
              <w:t>m</w:t>
            </w:r>
            <w:r>
              <w:rPr>
                <w:rFonts w:hint="eastAsia"/>
                <w:sz w:val="21"/>
                <w:szCs w:val="21"/>
                <w:vertAlign w:val="superscript"/>
              </w:rPr>
              <w:t>2</w:t>
            </w:r>
          </w:p>
        </w:tc>
        <w:tc>
          <w:tcPr>
            <w:tcW w:w="1418" w:type="dxa"/>
            <w:vAlign w:val="center"/>
          </w:tcPr>
          <w:p w:rsidR="00EE56C0" w:rsidRDefault="000F36A1">
            <w:pPr>
              <w:spacing w:line="240" w:lineRule="auto"/>
              <w:ind w:firstLineChars="0" w:firstLine="0"/>
              <w:jc w:val="center"/>
              <w:rPr>
                <w:sz w:val="21"/>
                <w:szCs w:val="21"/>
              </w:rPr>
            </w:pPr>
            <w:r>
              <w:rPr>
                <w:sz w:val="21"/>
                <w:szCs w:val="21"/>
              </w:rPr>
              <w:t>5</w:t>
            </w:r>
          </w:p>
        </w:tc>
        <w:tc>
          <w:tcPr>
            <w:tcW w:w="1899" w:type="dxa"/>
            <w:vAlign w:val="center"/>
          </w:tcPr>
          <w:p w:rsidR="00EE56C0" w:rsidRDefault="000F36A1">
            <w:pPr>
              <w:spacing w:line="240" w:lineRule="auto"/>
              <w:ind w:firstLineChars="0" w:firstLine="0"/>
              <w:jc w:val="center"/>
              <w:rPr>
                <w:sz w:val="21"/>
                <w:szCs w:val="21"/>
              </w:rPr>
            </w:pPr>
            <w:r>
              <w:rPr>
                <w:rFonts w:hint="eastAsia"/>
                <w:sz w:val="21"/>
                <w:szCs w:val="21"/>
              </w:rPr>
              <w:t>保留</w:t>
            </w:r>
          </w:p>
        </w:tc>
      </w:tr>
      <w:tr w:rsidR="00EE56C0">
        <w:trPr>
          <w:cantSplit/>
          <w:trHeight w:val="397"/>
          <w:jc w:val="center"/>
        </w:trPr>
        <w:tc>
          <w:tcPr>
            <w:tcW w:w="817" w:type="dxa"/>
            <w:vMerge/>
            <w:vAlign w:val="center"/>
          </w:tcPr>
          <w:p w:rsidR="00EE56C0" w:rsidRDefault="00EE56C0">
            <w:pPr>
              <w:pStyle w:val="afa"/>
            </w:pPr>
          </w:p>
        </w:tc>
        <w:tc>
          <w:tcPr>
            <w:tcW w:w="1666" w:type="dxa"/>
            <w:vMerge/>
            <w:vAlign w:val="center"/>
          </w:tcPr>
          <w:p w:rsidR="00EE56C0" w:rsidRDefault="00EE56C0">
            <w:pPr>
              <w:pStyle w:val="afa"/>
            </w:pPr>
          </w:p>
        </w:tc>
        <w:tc>
          <w:tcPr>
            <w:tcW w:w="2728" w:type="dxa"/>
            <w:vAlign w:val="center"/>
          </w:tcPr>
          <w:p w:rsidR="00EE56C0" w:rsidRDefault="000F36A1">
            <w:pPr>
              <w:widowControl/>
              <w:spacing w:line="240" w:lineRule="auto"/>
              <w:ind w:firstLineChars="0" w:firstLine="0"/>
              <w:jc w:val="center"/>
              <w:rPr>
                <w:sz w:val="21"/>
                <w:szCs w:val="21"/>
              </w:rPr>
            </w:pPr>
            <w:r>
              <w:rPr>
                <w:rFonts w:hAnsi="宋体" w:hint="eastAsia"/>
                <w:sz w:val="21"/>
                <w:szCs w:val="21"/>
              </w:rPr>
              <w:t>自粘双玻璃丝包机、烧结机</w:t>
            </w:r>
          </w:p>
        </w:tc>
        <w:tc>
          <w:tcPr>
            <w:tcW w:w="1418" w:type="dxa"/>
            <w:vAlign w:val="center"/>
          </w:tcPr>
          <w:p w:rsidR="00EE56C0" w:rsidRDefault="000F36A1">
            <w:pPr>
              <w:spacing w:line="240" w:lineRule="auto"/>
              <w:ind w:firstLineChars="0" w:firstLine="0"/>
              <w:jc w:val="center"/>
              <w:rPr>
                <w:sz w:val="21"/>
                <w:szCs w:val="21"/>
              </w:rPr>
            </w:pPr>
            <w:r>
              <w:rPr>
                <w:sz w:val="21"/>
                <w:szCs w:val="21"/>
              </w:rPr>
              <w:t>10</w:t>
            </w:r>
          </w:p>
        </w:tc>
        <w:tc>
          <w:tcPr>
            <w:tcW w:w="1899" w:type="dxa"/>
            <w:vAlign w:val="center"/>
          </w:tcPr>
          <w:p w:rsidR="00EE56C0" w:rsidRDefault="000F36A1">
            <w:pPr>
              <w:spacing w:line="240" w:lineRule="auto"/>
              <w:ind w:firstLineChars="0" w:firstLine="0"/>
              <w:jc w:val="center"/>
              <w:rPr>
                <w:sz w:val="21"/>
                <w:szCs w:val="21"/>
              </w:rPr>
            </w:pPr>
            <w:r>
              <w:rPr>
                <w:rFonts w:hint="eastAsia"/>
                <w:sz w:val="21"/>
                <w:szCs w:val="21"/>
              </w:rPr>
              <w:t>一期淘汰</w:t>
            </w:r>
            <w:r>
              <w:rPr>
                <w:rFonts w:hint="eastAsia"/>
                <w:sz w:val="21"/>
                <w:szCs w:val="21"/>
              </w:rPr>
              <w:t>5</w:t>
            </w:r>
            <w:r>
              <w:rPr>
                <w:rFonts w:hint="eastAsia"/>
                <w:sz w:val="21"/>
                <w:szCs w:val="21"/>
              </w:rPr>
              <w:t>台、保留</w:t>
            </w:r>
            <w:r>
              <w:rPr>
                <w:rFonts w:hint="eastAsia"/>
                <w:sz w:val="21"/>
                <w:szCs w:val="21"/>
              </w:rPr>
              <w:t>5</w:t>
            </w:r>
            <w:r>
              <w:rPr>
                <w:rFonts w:hint="eastAsia"/>
                <w:sz w:val="21"/>
                <w:szCs w:val="21"/>
              </w:rPr>
              <w:t>台</w:t>
            </w:r>
          </w:p>
        </w:tc>
      </w:tr>
      <w:tr w:rsidR="00EE56C0">
        <w:trPr>
          <w:cantSplit/>
          <w:trHeight w:val="397"/>
          <w:jc w:val="center"/>
        </w:trPr>
        <w:tc>
          <w:tcPr>
            <w:tcW w:w="817" w:type="dxa"/>
            <w:vMerge w:val="restart"/>
            <w:vAlign w:val="center"/>
          </w:tcPr>
          <w:p w:rsidR="00EE56C0" w:rsidRDefault="000F36A1">
            <w:pPr>
              <w:pStyle w:val="afa"/>
            </w:pPr>
            <w:r>
              <w:rPr>
                <w:rFonts w:hint="eastAsia"/>
              </w:rPr>
              <w:t>8</w:t>
            </w:r>
          </w:p>
        </w:tc>
        <w:tc>
          <w:tcPr>
            <w:tcW w:w="1666" w:type="dxa"/>
            <w:vMerge w:val="restart"/>
            <w:vAlign w:val="center"/>
          </w:tcPr>
          <w:p w:rsidR="00EE56C0" w:rsidRDefault="000F36A1">
            <w:pPr>
              <w:pStyle w:val="afa"/>
            </w:pPr>
            <w:r>
              <w:rPr>
                <w:rFonts w:hint="eastAsia"/>
              </w:rPr>
              <w:t>挤压机（</w:t>
            </w:r>
            <w:r>
              <w:rPr>
                <w:rFonts w:hint="eastAsia"/>
              </w:rPr>
              <w:t>7</w:t>
            </w:r>
            <w:r>
              <w:rPr>
                <w:rFonts w:hint="eastAsia"/>
              </w:rPr>
              <w:t>台）</w:t>
            </w:r>
          </w:p>
        </w:tc>
        <w:tc>
          <w:tcPr>
            <w:tcW w:w="2728" w:type="dxa"/>
            <w:vAlign w:val="center"/>
          </w:tcPr>
          <w:p w:rsidR="00EE56C0" w:rsidRDefault="000F36A1">
            <w:pPr>
              <w:widowControl/>
              <w:spacing w:line="240" w:lineRule="auto"/>
              <w:ind w:firstLineChars="0" w:firstLine="0"/>
              <w:jc w:val="center"/>
              <w:rPr>
                <w:sz w:val="21"/>
                <w:szCs w:val="21"/>
              </w:rPr>
            </w:pPr>
            <w:r>
              <w:rPr>
                <w:sz w:val="21"/>
                <w:szCs w:val="21"/>
              </w:rPr>
              <w:t>TLJ300</w:t>
            </w:r>
          </w:p>
        </w:tc>
        <w:tc>
          <w:tcPr>
            <w:tcW w:w="1418" w:type="dxa"/>
            <w:vAlign w:val="center"/>
          </w:tcPr>
          <w:p w:rsidR="00EE56C0" w:rsidRDefault="000F36A1">
            <w:pPr>
              <w:spacing w:line="240" w:lineRule="auto"/>
              <w:ind w:firstLineChars="0" w:firstLine="0"/>
              <w:jc w:val="center"/>
              <w:rPr>
                <w:sz w:val="21"/>
                <w:szCs w:val="21"/>
              </w:rPr>
            </w:pPr>
            <w:r>
              <w:rPr>
                <w:rFonts w:hint="eastAsia"/>
                <w:sz w:val="21"/>
                <w:szCs w:val="21"/>
              </w:rPr>
              <w:t>3</w:t>
            </w:r>
          </w:p>
        </w:tc>
        <w:tc>
          <w:tcPr>
            <w:tcW w:w="1899" w:type="dxa"/>
            <w:vAlign w:val="center"/>
          </w:tcPr>
          <w:p w:rsidR="00EE56C0" w:rsidRDefault="000F36A1">
            <w:pPr>
              <w:widowControl/>
              <w:spacing w:line="240" w:lineRule="auto"/>
              <w:ind w:firstLineChars="0" w:firstLine="0"/>
              <w:jc w:val="center"/>
              <w:rPr>
                <w:sz w:val="21"/>
                <w:szCs w:val="21"/>
              </w:rPr>
            </w:pPr>
            <w:r>
              <w:rPr>
                <w:rFonts w:hint="eastAsia"/>
                <w:sz w:val="21"/>
                <w:szCs w:val="21"/>
              </w:rPr>
              <w:t>保留</w:t>
            </w:r>
          </w:p>
        </w:tc>
      </w:tr>
      <w:tr w:rsidR="00EE56C0">
        <w:trPr>
          <w:cantSplit/>
          <w:trHeight w:val="397"/>
          <w:jc w:val="center"/>
        </w:trPr>
        <w:tc>
          <w:tcPr>
            <w:tcW w:w="817" w:type="dxa"/>
            <w:vMerge/>
            <w:vAlign w:val="center"/>
          </w:tcPr>
          <w:p w:rsidR="00EE56C0" w:rsidRDefault="00EE56C0">
            <w:pPr>
              <w:pStyle w:val="afa"/>
            </w:pPr>
          </w:p>
        </w:tc>
        <w:tc>
          <w:tcPr>
            <w:tcW w:w="1666" w:type="dxa"/>
            <w:vMerge/>
            <w:vAlign w:val="center"/>
          </w:tcPr>
          <w:p w:rsidR="00EE56C0" w:rsidRDefault="00EE56C0">
            <w:pPr>
              <w:pStyle w:val="afa"/>
            </w:pPr>
          </w:p>
        </w:tc>
        <w:tc>
          <w:tcPr>
            <w:tcW w:w="2728" w:type="dxa"/>
            <w:vAlign w:val="center"/>
          </w:tcPr>
          <w:p w:rsidR="00EE56C0" w:rsidRDefault="000F36A1">
            <w:pPr>
              <w:widowControl/>
              <w:spacing w:line="240" w:lineRule="auto"/>
              <w:ind w:firstLineChars="0" w:firstLine="0"/>
              <w:jc w:val="center"/>
              <w:rPr>
                <w:sz w:val="21"/>
                <w:szCs w:val="21"/>
              </w:rPr>
            </w:pPr>
            <w:r>
              <w:rPr>
                <w:sz w:val="21"/>
                <w:szCs w:val="21"/>
              </w:rPr>
              <w:t>TLJ400</w:t>
            </w:r>
          </w:p>
        </w:tc>
        <w:tc>
          <w:tcPr>
            <w:tcW w:w="1418" w:type="dxa"/>
            <w:vAlign w:val="center"/>
          </w:tcPr>
          <w:p w:rsidR="00EE56C0" w:rsidRDefault="000F36A1">
            <w:pPr>
              <w:spacing w:line="240" w:lineRule="auto"/>
              <w:ind w:firstLineChars="0" w:firstLine="0"/>
              <w:jc w:val="center"/>
              <w:rPr>
                <w:sz w:val="21"/>
                <w:szCs w:val="21"/>
              </w:rPr>
            </w:pPr>
            <w:r>
              <w:rPr>
                <w:rFonts w:hint="eastAsia"/>
                <w:sz w:val="21"/>
                <w:szCs w:val="21"/>
              </w:rPr>
              <w:t>4</w:t>
            </w:r>
          </w:p>
        </w:tc>
        <w:tc>
          <w:tcPr>
            <w:tcW w:w="1899" w:type="dxa"/>
            <w:vAlign w:val="center"/>
          </w:tcPr>
          <w:p w:rsidR="00EE56C0" w:rsidRDefault="000F36A1">
            <w:pPr>
              <w:widowControl/>
              <w:spacing w:line="240" w:lineRule="auto"/>
              <w:ind w:firstLineChars="0" w:firstLine="0"/>
              <w:jc w:val="center"/>
              <w:rPr>
                <w:sz w:val="21"/>
                <w:szCs w:val="21"/>
              </w:rPr>
            </w:pPr>
            <w:r>
              <w:rPr>
                <w:rFonts w:hint="eastAsia"/>
                <w:sz w:val="21"/>
                <w:szCs w:val="21"/>
              </w:rPr>
              <w:t>淘汰</w:t>
            </w:r>
          </w:p>
        </w:tc>
      </w:tr>
      <w:tr w:rsidR="00EE56C0">
        <w:trPr>
          <w:cantSplit/>
          <w:trHeight w:val="397"/>
          <w:jc w:val="center"/>
        </w:trPr>
        <w:tc>
          <w:tcPr>
            <w:tcW w:w="817" w:type="dxa"/>
            <w:vMerge w:val="restart"/>
            <w:vAlign w:val="center"/>
          </w:tcPr>
          <w:p w:rsidR="00EE56C0" w:rsidRDefault="000F36A1">
            <w:pPr>
              <w:pStyle w:val="afa"/>
            </w:pPr>
            <w:r>
              <w:rPr>
                <w:rFonts w:hint="eastAsia"/>
              </w:rPr>
              <w:t>9</w:t>
            </w:r>
          </w:p>
        </w:tc>
        <w:tc>
          <w:tcPr>
            <w:tcW w:w="1666" w:type="dxa"/>
            <w:vMerge w:val="restart"/>
            <w:vAlign w:val="center"/>
          </w:tcPr>
          <w:p w:rsidR="00EE56C0" w:rsidRDefault="000F36A1">
            <w:pPr>
              <w:pStyle w:val="afa"/>
            </w:pPr>
            <w:r>
              <w:rPr>
                <w:rFonts w:hint="eastAsia"/>
              </w:rPr>
              <w:t>纸包机（</w:t>
            </w:r>
            <w:r>
              <w:rPr>
                <w:rFonts w:hint="eastAsia"/>
              </w:rPr>
              <w:t>8</w:t>
            </w:r>
            <w:r>
              <w:rPr>
                <w:rFonts w:hint="eastAsia"/>
              </w:rPr>
              <w:t>台）</w:t>
            </w:r>
          </w:p>
        </w:tc>
        <w:tc>
          <w:tcPr>
            <w:tcW w:w="2728" w:type="dxa"/>
            <w:vAlign w:val="center"/>
          </w:tcPr>
          <w:p w:rsidR="00EE56C0" w:rsidRDefault="000F36A1">
            <w:pPr>
              <w:pStyle w:val="afa"/>
              <w:rPr>
                <w:rFonts w:ascii="宋体" w:hAnsi="宋体"/>
              </w:rPr>
            </w:pPr>
            <w:r>
              <w:t>5</w:t>
            </w:r>
            <w:r>
              <w:rPr>
                <w:rFonts w:ascii="宋体" w:hAnsi="宋体" w:hint="eastAsia"/>
              </w:rPr>
              <w:t>～1</w:t>
            </w:r>
            <w:r>
              <w:t>25mm</w:t>
            </w:r>
            <w:r>
              <w:rPr>
                <w:vertAlign w:val="superscript"/>
              </w:rPr>
              <w:t>2</w:t>
            </w:r>
            <w:r>
              <w:rPr>
                <w:rFonts w:hint="eastAsia"/>
              </w:rPr>
              <w:t>、</w:t>
            </w:r>
            <w:r>
              <w:t>5.6×22mm</w:t>
            </w:r>
          </w:p>
        </w:tc>
        <w:tc>
          <w:tcPr>
            <w:tcW w:w="1418" w:type="dxa"/>
            <w:vAlign w:val="center"/>
          </w:tcPr>
          <w:p w:rsidR="00EE56C0" w:rsidRDefault="000F36A1">
            <w:pPr>
              <w:pStyle w:val="afa"/>
            </w:pPr>
            <w:r>
              <w:rPr>
                <w:rFonts w:hint="eastAsia"/>
              </w:rPr>
              <w:t>6</w:t>
            </w:r>
          </w:p>
        </w:tc>
        <w:tc>
          <w:tcPr>
            <w:tcW w:w="1899" w:type="dxa"/>
            <w:vAlign w:val="center"/>
          </w:tcPr>
          <w:p w:rsidR="00EE56C0" w:rsidRDefault="000F36A1">
            <w:pPr>
              <w:spacing w:line="240" w:lineRule="auto"/>
              <w:ind w:firstLineChars="0" w:firstLine="0"/>
              <w:jc w:val="center"/>
              <w:rPr>
                <w:sz w:val="21"/>
                <w:szCs w:val="21"/>
              </w:rPr>
            </w:pPr>
            <w:r>
              <w:rPr>
                <w:rFonts w:hint="eastAsia"/>
                <w:sz w:val="21"/>
                <w:szCs w:val="21"/>
              </w:rPr>
              <w:t>保留</w:t>
            </w:r>
          </w:p>
        </w:tc>
      </w:tr>
      <w:tr w:rsidR="00EE56C0">
        <w:trPr>
          <w:cantSplit/>
          <w:trHeight w:val="397"/>
          <w:jc w:val="center"/>
        </w:trPr>
        <w:tc>
          <w:tcPr>
            <w:tcW w:w="817" w:type="dxa"/>
            <w:vMerge/>
            <w:vAlign w:val="center"/>
          </w:tcPr>
          <w:p w:rsidR="00EE56C0" w:rsidRDefault="00EE56C0">
            <w:pPr>
              <w:pStyle w:val="afa"/>
            </w:pPr>
          </w:p>
        </w:tc>
        <w:tc>
          <w:tcPr>
            <w:tcW w:w="1666" w:type="dxa"/>
            <w:vMerge/>
            <w:vAlign w:val="center"/>
          </w:tcPr>
          <w:p w:rsidR="00EE56C0" w:rsidRDefault="00EE56C0">
            <w:pPr>
              <w:pStyle w:val="afa"/>
            </w:pPr>
          </w:p>
        </w:tc>
        <w:tc>
          <w:tcPr>
            <w:tcW w:w="2728" w:type="dxa"/>
            <w:vAlign w:val="center"/>
          </w:tcPr>
          <w:p w:rsidR="00EE56C0" w:rsidRDefault="000F36A1">
            <w:pPr>
              <w:pStyle w:val="afa"/>
            </w:pPr>
            <w:r>
              <w:t>6</w:t>
            </w:r>
            <w:r>
              <w:rPr>
                <w:rFonts w:hint="eastAsia"/>
              </w:rPr>
              <w:t>层纸包</w:t>
            </w:r>
          </w:p>
        </w:tc>
        <w:tc>
          <w:tcPr>
            <w:tcW w:w="1418" w:type="dxa"/>
            <w:vAlign w:val="center"/>
          </w:tcPr>
          <w:p w:rsidR="00EE56C0" w:rsidRDefault="000F36A1">
            <w:pPr>
              <w:pStyle w:val="afa"/>
            </w:pPr>
            <w:r>
              <w:rPr>
                <w:rFonts w:hint="eastAsia"/>
              </w:rPr>
              <w:t>1</w:t>
            </w:r>
          </w:p>
        </w:tc>
        <w:tc>
          <w:tcPr>
            <w:tcW w:w="1899" w:type="dxa"/>
            <w:vAlign w:val="center"/>
          </w:tcPr>
          <w:p w:rsidR="00EE56C0" w:rsidRDefault="000F36A1">
            <w:pPr>
              <w:spacing w:line="240" w:lineRule="auto"/>
              <w:ind w:firstLineChars="0" w:firstLine="0"/>
              <w:jc w:val="center"/>
              <w:rPr>
                <w:sz w:val="21"/>
                <w:szCs w:val="21"/>
              </w:rPr>
            </w:pPr>
            <w:r>
              <w:rPr>
                <w:rFonts w:hint="eastAsia"/>
                <w:sz w:val="21"/>
                <w:szCs w:val="21"/>
              </w:rPr>
              <w:t>淘汰</w:t>
            </w:r>
          </w:p>
        </w:tc>
      </w:tr>
      <w:tr w:rsidR="00EE56C0">
        <w:trPr>
          <w:cantSplit/>
          <w:trHeight w:val="397"/>
          <w:jc w:val="center"/>
        </w:trPr>
        <w:tc>
          <w:tcPr>
            <w:tcW w:w="817" w:type="dxa"/>
            <w:vMerge/>
            <w:vAlign w:val="center"/>
          </w:tcPr>
          <w:p w:rsidR="00EE56C0" w:rsidRDefault="00EE56C0">
            <w:pPr>
              <w:pStyle w:val="afa"/>
            </w:pPr>
          </w:p>
        </w:tc>
        <w:tc>
          <w:tcPr>
            <w:tcW w:w="1666" w:type="dxa"/>
            <w:vMerge/>
            <w:vAlign w:val="center"/>
          </w:tcPr>
          <w:p w:rsidR="00EE56C0" w:rsidRDefault="00EE56C0">
            <w:pPr>
              <w:pStyle w:val="afa"/>
            </w:pPr>
          </w:p>
        </w:tc>
        <w:tc>
          <w:tcPr>
            <w:tcW w:w="2728" w:type="dxa"/>
            <w:vAlign w:val="center"/>
          </w:tcPr>
          <w:p w:rsidR="00EE56C0" w:rsidRDefault="000F36A1">
            <w:pPr>
              <w:widowControl/>
              <w:spacing w:line="240" w:lineRule="auto"/>
              <w:ind w:firstLineChars="0" w:firstLine="0"/>
              <w:jc w:val="center"/>
              <w:rPr>
                <w:sz w:val="21"/>
                <w:szCs w:val="21"/>
              </w:rPr>
            </w:pPr>
            <w:r>
              <w:rPr>
                <w:rFonts w:hAnsi="宋体"/>
                <w:sz w:val="21"/>
                <w:szCs w:val="21"/>
              </w:rPr>
              <w:t>9</w:t>
            </w:r>
            <w:r>
              <w:rPr>
                <w:rFonts w:hAnsi="宋体" w:hint="eastAsia"/>
                <w:sz w:val="21"/>
                <w:szCs w:val="21"/>
              </w:rPr>
              <w:t>层纸包</w:t>
            </w:r>
          </w:p>
        </w:tc>
        <w:tc>
          <w:tcPr>
            <w:tcW w:w="1418" w:type="dxa"/>
            <w:vAlign w:val="center"/>
          </w:tcPr>
          <w:p w:rsidR="00EE56C0" w:rsidRDefault="000F36A1">
            <w:pPr>
              <w:spacing w:line="240" w:lineRule="auto"/>
              <w:ind w:firstLineChars="0" w:firstLine="0"/>
              <w:jc w:val="center"/>
              <w:rPr>
                <w:sz w:val="21"/>
                <w:szCs w:val="21"/>
              </w:rPr>
            </w:pPr>
            <w:r>
              <w:rPr>
                <w:sz w:val="21"/>
                <w:szCs w:val="21"/>
              </w:rPr>
              <w:t>1</w:t>
            </w:r>
          </w:p>
        </w:tc>
        <w:tc>
          <w:tcPr>
            <w:tcW w:w="1899" w:type="dxa"/>
            <w:vAlign w:val="center"/>
          </w:tcPr>
          <w:p w:rsidR="00EE56C0" w:rsidRDefault="000F36A1">
            <w:pPr>
              <w:spacing w:line="240" w:lineRule="auto"/>
              <w:ind w:firstLineChars="0" w:firstLine="0"/>
              <w:jc w:val="center"/>
              <w:rPr>
                <w:sz w:val="21"/>
                <w:szCs w:val="21"/>
              </w:rPr>
            </w:pPr>
            <w:r>
              <w:rPr>
                <w:rFonts w:hint="eastAsia"/>
                <w:sz w:val="21"/>
                <w:szCs w:val="21"/>
              </w:rPr>
              <w:t>保留</w:t>
            </w:r>
          </w:p>
        </w:tc>
      </w:tr>
    </w:tbl>
    <w:p w:rsidR="00EE56C0" w:rsidRDefault="000F36A1">
      <w:pPr>
        <w:pStyle w:val="3"/>
        <w:spacing w:before="240" w:after="120"/>
      </w:pPr>
      <w:r>
        <w:rPr>
          <w:rFonts w:hint="eastAsia"/>
        </w:rPr>
        <w:t>3.1.5</w:t>
      </w:r>
      <w:r>
        <w:rPr>
          <w:rFonts w:hint="eastAsia"/>
        </w:rPr>
        <w:t>现有项目原辅材料及能源消耗</w:t>
      </w:r>
      <w:bookmarkEnd w:id="178"/>
      <w:bookmarkEnd w:id="179"/>
      <w:bookmarkEnd w:id="180"/>
    </w:p>
    <w:p w:rsidR="00EE56C0" w:rsidRDefault="000F36A1">
      <w:pPr>
        <w:ind w:firstLine="480"/>
      </w:pPr>
      <w:r>
        <w:rPr>
          <w:rFonts w:hint="eastAsia"/>
        </w:rPr>
        <w:t>现有项目主要原辅材料消耗见下表。</w:t>
      </w:r>
    </w:p>
    <w:p w:rsidR="00EE56C0" w:rsidRDefault="000F36A1">
      <w:pPr>
        <w:pStyle w:val="afd"/>
        <w:spacing w:before="120" w:after="120"/>
        <w:ind w:firstLine="482"/>
      </w:pPr>
      <w:bookmarkStart w:id="181" w:name="_Toc428287214"/>
      <w:bookmarkStart w:id="182" w:name="_Toc428287566"/>
      <w:bookmarkStart w:id="183" w:name="_Toc428286820"/>
      <w:r>
        <w:t>表</w:t>
      </w:r>
      <w:r>
        <w:rPr>
          <w:rFonts w:hint="eastAsia"/>
        </w:rPr>
        <w:t>3</w:t>
      </w:r>
      <w:r>
        <w:t>-</w:t>
      </w:r>
      <w:r>
        <w:rPr>
          <w:rFonts w:hint="eastAsia"/>
        </w:rPr>
        <w:t xml:space="preserve">7         </w:t>
      </w:r>
      <w:r>
        <w:rPr>
          <w:rFonts w:hint="eastAsia"/>
        </w:rPr>
        <w:t>现有</w:t>
      </w:r>
      <w:r>
        <w:t>原辅材料和能源消耗一览表</w:t>
      </w:r>
    </w:p>
    <w:tbl>
      <w:tblPr>
        <w:tblW w:w="9072"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tblPr>
      <w:tblGrid>
        <w:gridCol w:w="852"/>
        <w:gridCol w:w="707"/>
        <w:gridCol w:w="1136"/>
        <w:gridCol w:w="1417"/>
        <w:gridCol w:w="771"/>
        <w:gridCol w:w="647"/>
        <w:gridCol w:w="3542"/>
      </w:tblGrid>
      <w:tr w:rsidR="00EE56C0">
        <w:trPr>
          <w:trHeight w:val="454"/>
          <w:jc w:val="center"/>
        </w:trPr>
        <w:tc>
          <w:tcPr>
            <w:tcW w:w="852" w:type="dxa"/>
            <w:vAlign w:val="center"/>
          </w:tcPr>
          <w:p w:rsidR="00EE56C0" w:rsidRDefault="000F36A1">
            <w:pPr>
              <w:pStyle w:val="aff1"/>
              <w:rPr>
                <w:color w:val="auto"/>
              </w:rPr>
            </w:pPr>
            <w:r>
              <w:rPr>
                <w:color w:val="auto"/>
              </w:rPr>
              <w:t>分类</w:t>
            </w:r>
          </w:p>
        </w:tc>
        <w:tc>
          <w:tcPr>
            <w:tcW w:w="1843" w:type="dxa"/>
            <w:gridSpan w:val="2"/>
            <w:vAlign w:val="center"/>
          </w:tcPr>
          <w:p w:rsidR="00EE56C0" w:rsidRDefault="000F36A1">
            <w:pPr>
              <w:pStyle w:val="aff1"/>
              <w:rPr>
                <w:color w:val="auto"/>
              </w:rPr>
            </w:pPr>
            <w:r>
              <w:rPr>
                <w:color w:val="auto"/>
              </w:rPr>
              <w:t>原料名称</w:t>
            </w:r>
          </w:p>
        </w:tc>
        <w:tc>
          <w:tcPr>
            <w:tcW w:w="1417" w:type="dxa"/>
            <w:vAlign w:val="center"/>
          </w:tcPr>
          <w:p w:rsidR="00EE56C0" w:rsidRDefault="000F36A1">
            <w:pPr>
              <w:pStyle w:val="aff1"/>
              <w:rPr>
                <w:color w:val="auto"/>
              </w:rPr>
            </w:pPr>
            <w:r>
              <w:rPr>
                <w:color w:val="auto"/>
              </w:rPr>
              <w:t>规格</w:t>
            </w:r>
          </w:p>
        </w:tc>
        <w:tc>
          <w:tcPr>
            <w:tcW w:w="1418" w:type="dxa"/>
            <w:gridSpan w:val="2"/>
            <w:vAlign w:val="center"/>
          </w:tcPr>
          <w:p w:rsidR="00EE56C0" w:rsidRDefault="000F36A1">
            <w:pPr>
              <w:pStyle w:val="aff1"/>
              <w:rPr>
                <w:color w:val="auto"/>
              </w:rPr>
            </w:pPr>
            <w:r>
              <w:rPr>
                <w:rFonts w:hint="eastAsia"/>
                <w:color w:val="auto"/>
              </w:rPr>
              <w:t>年</w:t>
            </w:r>
            <w:r>
              <w:rPr>
                <w:color w:val="auto"/>
              </w:rPr>
              <w:t>用量</w:t>
            </w:r>
            <w:r>
              <w:rPr>
                <w:rFonts w:hint="eastAsia"/>
                <w:color w:val="auto"/>
              </w:rPr>
              <w:t>/</w:t>
            </w:r>
            <w:r>
              <w:rPr>
                <w:color w:val="auto"/>
              </w:rPr>
              <w:t>t</w:t>
            </w:r>
          </w:p>
        </w:tc>
        <w:tc>
          <w:tcPr>
            <w:tcW w:w="3542" w:type="dxa"/>
            <w:vAlign w:val="center"/>
          </w:tcPr>
          <w:p w:rsidR="00EE56C0" w:rsidRDefault="000F36A1">
            <w:pPr>
              <w:pStyle w:val="aff1"/>
              <w:rPr>
                <w:color w:val="auto"/>
              </w:rPr>
            </w:pPr>
            <w:r>
              <w:rPr>
                <w:color w:val="auto"/>
              </w:rPr>
              <w:t>备注</w:t>
            </w:r>
          </w:p>
        </w:tc>
      </w:tr>
      <w:tr w:rsidR="00EE56C0">
        <w:trPr>
          <w:trHeight w:val="454"/>
          <w:jc w:val="center"/>
        </w:trPr>
        <w:tc>
          <w:tcPr>
            <w:tcW w:w="852" w:type="dxa"/>
            <w:vMerge w:val="restart"/>
            <w:vAlign w:val="center"/>
          </w:tcPr>
          <w:p w:rsidR="00EE56C0" w:rsidRDefault="000F36A1">
            <w:pPr>
              <w:pStyle w:val="afa"/>
            </w:pPr>
            <w:r>
              <w:t>原辅料</w:t>
            </w:r>
          </w:p>
        </w:tc>
        <w:tc>
          <w:tcPr>
            <w:tcW w:w="1843" w:type="dxa"/>
            <w:gridSpan w:val="2"/>
            <w:vAlign w:val="center"/>
          </w:tcPr>
          <w:p w:rsidR="00EE56C0" w:rsidRDefault="000F36A1">
            <w:pPr>
              <w:pStyle w:val="afa"/>
            </w:pPr>
            <w:r>
              <w:t>铜杆</w:t>
            </w:r>
          </w:p>
        </w:tc>
        <w:tc>
          <w:tcPr>
            <w:tcW w:w="1417" w:type="dxa"/>
            <w:vAlign w:val="center"/>
          </w:tcPr>
          <w:p w:rsidR="00EE56C0" w:rsidRDefault="000F36A1">
            <w:pPr>
              <w:pStyle w:val="afa"/>
            </w:pPr>
            <w:r>
              <w:t>2t/</w:t>
            </w:r>
            <w:r>
              <w:t>盘</w:t>
            </w:r>
          </w:p>
        </w:tc>
        <w:tc>
          <w:tcPr>
            <w:tcW w:w="1418" w:type="dxa"/>
            <w:gridSpan w:val="2"/>
            <w:vAlign w:val="center"/>
          </w:tcPr>
          <w:p w:rsidR="00EE56C0" w:rsidRDefault="000F36A1">
            <w:pPr>
              <w:pStyle w:val="afa"/>
            </w:pPr>
            <w:r>
              <w:rPr>
                <w:rFonts w:hint="eastAsia"/>
              </w:rPr>
              <w:t>54400</w:t>
            </w:r>
          </w:p>
        </w:tc>
        <w:tc>
          <w:tcPr>
            <w:tcW w:w="3542" w:type="dxa"/>
            <w:vAlign w:val="center"/>
          </w:tcPr>
          <w:p w:rsidR="00EE56C0" w:rsidRDefault="000F36A1">
            <w:pPr>
              <w:pStyle w:val="afa"/>
            </w:pPr>
            <w:r>
              <w:t>外购</w:t>
            </w:r>
          </w:p>
        </w:tc>
      </w:tr>
      <w:tr w:rsidR="00EE56C0">
        <w:trPr>
          <w:trHeight w:val="454"/>
          <w:jc w:val="center"/>
        </w:trPr>
        <w:tc>
          <w:tcPr>
            <w:tcW w:w="852" w:type="dxa"/>
            <w:vMerge/>
            <w:vAlign w:val="center"/>
          </w:tcPr>
          <w:p w:rsidR="00EE56C0" w:rsidRDefault="00EE56C0">
            <w:pPr>
              <w:pStyle w:val="afa"/>
            </w:pPr>
          </w:p>
        </w:tc>
        <w:tc>
          <w:tcPr>
            <w:tcW w:w="1843" w:type="dxa"/>
            <w:gridSpan w:val="2"/>
            <w:vAlign w:val="center"/>
          </w:tcPr>
          <w:p w:rsidR="00EE56C0" w:rsidRDefault="000F36A1">
            <w:pPr>
              <w:pStyle w:val="afa"/>
            </w:pPr>
            <w:r>
              <w:rPr>
                <w:rFonts w:hint="eastAsia"/>
              </w:rPr>
              <w:t>铝</w:t>
            </w:r>
            <w:r>
              <w:t>杆</w:t>
            </w:r>
          </w:p>
        </w:tc>
        <w:tc>
          <w:tcPr>
            <w:tcW w:w="1417" w:type="dxa"/>
            <w:vAlign w:val="center"/>
          </w:tcPr>
          <w:p w:rsidR="00EE56C0" w:rsidRDefault="000F36A1">
            <w:pPr>
              <w:pStyle w:val="afa"/>
            </w:pPr>
            <w:r>
              <w:t>2t/</w:t>
            </w:r>
            <w:r>
              <w:t>盘</w:t>
            </w:r>
          </w:p>
        </w:tc>
        <w:tc>
          <w:tcPr>
            <w:tcW w:w="1418" w:type="dxa"/>
            <w:gridSpan w:val="2"/>
            <w:vAlign w:val="center"/>
          </w:tcPr>
          <w:p w:rsidR="00EE56C0" w:rsidRDefault="000F36A1">
            <w:pPr>
              <w:pStyle w:val="afa"/>
            </w:pPr>
            <w:r>
              <w:rPr>
                <w:rFonts w:hint="eastAsia"/>
              </w:rPr>
              <w:t>5000</w:t>
            </w:r>
          </w:p>
        </w:tc>
        <w:tc>
          <w:tcPr>
            <w:tcW w:w="3542" w:type="dxa"/>
            <w:vAlign w:val="center"/>
          </w:tcPr>
          <w:p w:rsidR="00EE56C0" w:rsidRDefault="000F36A1">
            <w:pPr>
              <w:pStyle w:val="afa"/>
            </w:pPr>
            <w:r>
              <w:t>外购</w:t>
            </w:r>
          </w:p>
        </w:tc>
      </w:tr>
      <w:tr w:rsidR="00EE56C0">
        <w:trPr>
          <w:trHeight w:val="454"/>
          <w:jc w:val="center"/>
        </w:trPr>
        <w:tc>
          <w:tcPr>
            <w:tcW w:w="852" w:type="dxa"/>
            <w:vMerge/>
            <w:vAlign w:val="center"/>
          </w:tcPr>
          <w:p w:rsidR="00EE56C0" w:rsidRDefault="00EE56C0">
            <w:pPr>
              <w:pStyle w:val="afa"/>
            </w:pPr>
          </w:p>
        </w:tc>
        <w:tc>
          <w:tcPr>
            <w:tcW w:w="707" w:type="dxa"/>
            <w:vMerge w:val="restart"/>
            <w:vAlign w:val="center"/>
          </w:tcPr>
          <w:p w:rsidR="00EE56C0" w:rsidRDefault="000F36A1">
            <w:pPr>
              <w:pStyle w:val="afa"/>
            </w:pPr>
            <w:r>
              <w:rPr>
                <w:rFonts w:hint="eastAsia"/>
              </w:rPr>
              <w:t>高温聚酯绝缘漆</w:t>
            </w:r>
          </w:p>
        </w:tc>
        <w:tc>
          <w:tcPr>
            <w:tcW w:w="1136" w:type="dxa"/>
            <w:vAlign w:val="center"/>
          </w:tcPr>
          <w:p w:rsidR="00EE56C0" w:rsidRDefault="000F36A1">
            <w:pPr>
              <w:pStyle w:val="afa"/>
              <w:rPr>
                <w:b/>
                <w:u w:val="single"/>
              </w:rPr>
            </w:pPr>
            <w:r>
              <w:rPr>
                <w:rFonts w:hint="eastAsia"/>
                <w:b/>
                <w:u w:val="single"/>
              </w:rPr>
              <w:t>聚酯漆</w:t>
            </w:r>
          </w:p>
        </w:tc>
        <w:tc>
          <w:tcPr>
            <w:tcW w:w="1417" w:type="dxa"/>
            <w:vAlign w:val="center"/>
          </w:tcPr>
          <w:p w:rsidR="00EE56C0" w:rsidRDefault="000F36A1">
            <w:pPr>
              <w:pStyle w:val="afa"/>
              <w:rPr>
                <w:b/>
                <w:u w:val="single"/>
              </w:rPr>
            </w:pPr>
            <w:r>
              <w:rPr>
                <w:b/>
                <w:u w:val="single"/>
              </w:rPr>
              <w:t>1t/</w:t>
            </w:r>
            <w:r>
              <w:rPr>
                <w:b/>
                <w:u w:val="single"/>
              </w:rPr>
              <w:t>桶</w:t>
            </w:r>
          </w:p>
        </w:tc>
        <w:tc>
          <w:tcPr>
            <w:tcW w:w="771" w:type="dxa"/>
            <w:vAlign w:val="center"/>
          </w:tcPr>
          <w:p w:rsidR="00EE56C0" w:rsidRDefault="000F36A1">
            <w:pPr>
              <w:pStyle w:val="afa"/>
              <w:rPr>
                <w:b/>
                <w:u w:val="single"/>
              </w:rPr>
            </w:pPr>
            <w:r>
              <w:rPr>
                <w:rFonts w:hint="eastAsia"/>
                <w:b/>
                <w:u w:val="single"/>
              </w:rPr>
              <w:t>1890</w:t>
            </w:r>
          </w:p>
        </w:tc>
        <w:tc>
          <w:tcPr>
            <w:tcW w:w="647" w:type="dxa"/>
            <w:vMerge w:val="restart"/>
            <w:vAlign w:val="center"/>
          </w:tcPr>
          <w:p w:rsidR="00EE56C0" w:rsidRDefault="000F36A1">
            <w:pPr>
              <w:pStyle w:val="afa"/>
              <w:rPr>
                <w:b/>
                <w:u w:val="single"/>
              </w:rPr>
            </w:pPr>
            <w:r>
              <w:rPr>
                <w:rFonts w:hint="eastAsia"/>
                <w:b/>
                <w:u w:val="single"/>
              </w:rPr>
              <w:t>2520</w:t>
            </w:r>
          </w:p>
        </w:tc>
        <w:tc>
          <w:tcPr>
            <w:tcW w:w="3542" w:type="dxa"/>
            <w:vAlign w:val="center"/>
          </w:tcPr>
          <w:p w:rsidR="00EE56C0" w:rsidRDefault="000F36A1" w:rsidP="007E26D1">
            <w:pPr>
              <w:pStyle w:val="afa"/>
              <w:rPr>
                <w:b/>
                <w:u w:val="single"/>
              </w:rPr>
            </w:pPr>
            <w:r>
              <w:rPr>
                <w:rFonts w:hint="eastAsia"/>
                <w:b/>
                <w:u w:val="single"/>
              </w:rPr>
              <w:t>成分为甲酚</w:t>
            </w:r>
            <w:r>
              <w:rPr>
                <w:rFonts w:hint="eastAsia"/>
                <w:b/>
                <w:u w:val="single"/>
              </w:rPr>
              <w:t>10~20%</w:t>
            </w:r>
            <w:r>
              <w:rPr>
                <w:rFonts w:hint="eastAsia"/>
                <w:b/>
                <w:u w:val="single"/>
              </w:rPr>
              <w:t>、苯酚</w:t>
            </w:r>
            <w:r>
              <w:rPr>
                <w:rFonts w:hint="eastAsia"/>
                <w:b/>
                <w:u w:val="single"/>
              </w:rPr>
              <w:t>20~30%</w:t>
            </w:r>
            <w:r>
              <w:rPr>
                <w:rFonts w:hint="eastAsia"/>
                <w:b/>
                <w:u w:val="single"/>
              </w:rPr>
              <w:t>、芳烃溶剂油</w:t>
            </w:r>
            <w:r>
              <w:rPr>
                <w:rFonts w:hint="eastAsia"/>
                <w:b/>
                <w:u w:val="single"/>
              </w:rPr>
              <w:t>15~25%</w:t>
            </w:r>
            <w:r>
              <w:rPr>
                <w:rFonts w:hint="eastAsia"/>
                <w:b/>
                <w:u w:val="single"/>
              </w:rPr>
              <w:t>、聚酯树脂</w:t>
            </w:r>
            <w:r>
              <w:rPr>
                <w:rFonts w:hint="eastAsia"/>
                <w:b/>
                <w:u w:val="single"/>
              </w:rPr>
              <w:t>3</w:t>
            </w:r>
            <w:r w:rsidR="007E26D1">
              <w:rPr>
                <w:rFonts w:hint="eastAsia"/>
                <w:b/>
                <w:u w:val="single"/>
              </w:rPr>
              <w:t>7</w:t>
            </w:r>
            <w:r>
              <w:rPr>
                <w:rFonts w:hint="eastAsia"/>
                <w:b/>
                <w:u w:val="single"/>
              </w:rPr>
              <w:t>%</w:t>
            </w:r>
          </w:p>
        </w:tc>
      </w:tr>
      <w:tr w:rsidR="00EE56C0">
        <w:trPr>
          <w:trHeight w:val="454"/>
          <w:jc w:val="center"/>
        </w:trPr>
        <w:tc>
          <w:tcPr>
            <w:tcW w:w="852" w:type="dxa"/>
            <w:vMerge/>
            <w:vAlign w:val="center"/>
          </w:tcPr>
          <w:p w:rsidR="00EE56C0" w:rsidRDefault="00EE56C0">
            <w:pPr>
              <w:pStyle w:val="afa"/>
            </w:pPr>
          </w:p>
        </w:tc>
        <w:tc>
          <w:tcPr>
            <w:tcW w:w="707" w:type="dxa"/>
            <w:vMerge/>
            <w:vAlign w:val="center"/>
          </w:tcPr>
          <w:p w:rsidR="00EE56C0" w:rsidRDefault="00EE56C0">
            <w:pPr>
              <w:pStyle w:val="afa"/>
            </w:pPr>
          </w:p>
        </w:tc>
        <w:tc>
          <w:tcPr>
            <w:tcW w:w="1136" w:type="dxa"/>
            <w:vAlign w:val="center"/>
          </w:tcPr>
          <w:p w:rsidR="00EE56C0" w:rsidRDefault="000F36A1">
            <w:pPr>
              <w:pStyle w:val="afa"/>
              <w:rPr>
                <w:b/>
                <w:u w:val="single"/>
              </w:rPr>
            </w:pPr>
            <w:r>
              <w:rPr>
                <w:rFonts w:hint="eastAsia"/>
                <w:b/>
                <w:u w:val="single"/>
              </w:rPr>
              <w:t>聚酰胺酰亚胺漆</w:t>
            </w:r>
          </w:p>
        </w:tc>
        <w:tc>
          <w:tcPr>
            <w:tcW w:w="1417" w:type="dxa"/>
            <w:vAlign w:val="center"/>
          </w:tcPr>
          <w:p w:rsidR="00EE56C0" w:rsidRDefault="000F36A1">
            <w:pPr>
              <w:pStyle w:val="afa"/>
              <w:rPr>
                <w:b/>
                <w:u w:val="single"/>
              </w:rPr>
            </w:pPr>
            <w:r>
              <w:rPr>
                <w:b/>
                <w:u w:val="single"/>
              </w:rPr>
              <w:t>1t/</w:t>
            </w:r>
            <w:r>
              <w:rPr>
                <w:b/>
                <w:u w:val="single"/>
              </w:rPr>
              <w:t>桶</w:t>
            </w:r>
          </w:p>
        </w:tc>
        <w:tc>
          <w:tcPr>
            <w:tcW w:w="771" w:type="dxa"/>
            <w:vAlign w:val="center"/>
          </w:tcPr>
          <w:p w:rsidR="00EE56C0" w:rsidRDefault="000F36A1">
            <w:pPr>
              <w:pStyle w:val="afa"/>
              <w:rPr>
                <w:b/>
                <w:u w:val="single"/>
              </w:rPr>
            </w:pPr>
            <w:r>
              <w:rPr>
                <w:rFonts w:hint="eastAsia"/>
                <w:b/>
                <w:u w:val="single"/>
              </w:rPr>
              <w:t>630</w:t>
            </w:r>
          </w:p>
        </w:tc>
        <w:tc>
          <w:tcPr>
            <w:tcW w:w="647" w:type="dxa"/>
            <w:vMerge/>
            <w:vAlign w:val="center"/>
          </w:tcPr>
          <w:p w:rsidR="00EE56C0" w:rsidRDefault="00EE56C0">
            <w:pPr>
              <w:pStyle w:val="afa"/>
              <w:rPr>
                <w:b/>
                <w:u w:val="single"/>
              </w:rPr>
            </w:pPr>
          </w:p>
        </w:tc>
        <w:tc>
          <w:tcPr>
            <w:tcW w:w="3542" w:type="dxa"/>
            <w:vAlign w:val="center"/>
          </w:tcPr>
          <w:p w:rsidR="00EE56C0" w:rsidRDefault="000F36A1">
            <w:pPr>
              <w:pStyle w:val="afa"/>
              <w:rPr>
                <w:b/>
                <w:u w:val="single"/>
              </w:rPr>
            </w:pPr>
            <w:r>
              <w:rPr>
                <w:rFonts w:hint="eastAsia"/>
                <w:b/>
                <w:u w:val="single"/>
              </w:rPr>
              <w:t>成分为</w:t>
            </w:r>
            <w:r>
              <w:rPr>
                <w:rFonts w:hint="eastAsia"/>
                <w:b/>
                <w:u w:val="single"/>
              </w:rPr>
              <w:t>N-</w:t>
            </w:r>
            <w:r>
              <w:rPr>
                <w:rFonts w:hint="eastAsia"/>
                <w:b/>
                <w:u w:val="single"/>
              </w:rPr>
              <w:t>甲基吡咯烷酮</w:t>
            </w:r>
            <w:r>
              <w:rPr>
                <w:rFonts w:hint="eastAsia"/>
                <w:b/>
                <w:u w:val="single"/>
              </w:rPr>
              <w:t>20~70%</w:t>
            </w:r>
            <w:r>
              <w:rPr>
                <w:rFonts w:hint="eastAsia"/>
                <w:b/>
                <w:u w:val="single"/>
              </w:rPr>
              <w:t>、二甲苯</w:t>
            </w:r>
            <w:r>
              <w:rPr>
                <w:rFonts w:hint="eastAsia"/>
                <w:b/>
                <w:u w:val="single"/>
              </w:rPr>
              <w:t>0~15%</w:t>
            </w:r>
            <w:r>
              <w:rPr>
                <w:rFonts w:hint="eastAsia"/>
                <w:b/>
                <w:u w:val="single"/>
              </w:rPr>
              <w:t>、聚酰胺亚酰胺树脂</w:t>
            </w:r>
            <w:r>
              <w:rPr>
                <w:rFonts w:hint="eastAsia"/>
                <w:b/>
                <w:u w:val="single"/>
              </w:rPr>
              <w:t>20~40%</w:t>
            </w:r>
          </w:p>
        </w:tc>
      </w:tr>
      <w:tr w:rsidR="00EE56C0">
        <w:trPr>
          <w:trHeight w:val="454"/>
          <w:jc w:val="center"/>
        </w:trPr>
        <w:tc>
          <w:tcPr>
            <w:tcW w:w="852" w:type="dxa"/>
            <w:vMerge/>
            <w:vAlign w:val="center"/>
          </w:tcPr>
          <w:p w:rsidR="00EE56C0" w:rsidRDefault="00EE56C0">
            <w:pPr>
              <w:pStyle w:val="afa"/>
            </w:pPr>
          </w:p>
        </w:tc>
        <w:tc>
          <w:tcPr>
            <w:tcW w:w="1843" w:type="dxa"/>
            <w:gridSpan w:val="2"/>
            <w:vAlign w:val="center"/>
          </w:tcPr>
          <w:p w:rsidR="00EE56C0" w:rsidRDefault="000F36A1">
            <w:pPr>
              <w:pStyle w:val="afa"/>
            </w:pPr>
            <w:r>
              <w:rPr>
                <w:rFonts w:hint="eastAsia"/>
              </w:rPr>
              <w:t>R-1449-G</w:t>
            </w:r>
            <w:r>
              <w:rPr>
                <w:rFonts w:hint="eastAsia"/>
              </w:rPr>
              <w:t>漆：玻璃丝包专用漆</w:t>
            </w:r>
          </w:p>
        </w:tc>
        <w:tc>
          <w:tcPr>
            <w:tcW w:w="1417" w:type="dxa"/>
            <w:vAlign w:val="center"/>
          </w:tcPr>
          <w:p w:rsidR="00EE56C0" w:rsidRDefault="000F36A1">
            <w:pPr>
              <w:pStyle w:val="afa"/>
            </w:pPr>
            <w:r>
              <w:rPr>
                <w:rFonts w:hint="eastAsia"/>
              </w:rPr>
              <w:t>25kg/</w:t>
            </w:r>
            <w:r>
              <w:rPr>
                <w:rFonts w:hint="eastAsia"/>
              </w:rPr>
              <w:t>桶</w:t>
            </w:r>
          </w:p>
        </w:tc>
        <w:tc>
          <w:tcPr>
            <w:tcW w:w="1418" w:type="dxa"/>
            <w:gridSpan w:val="2"/>
            <w:vAlign w:val="center"/>
          </w:tcPr>
          <w:p w:rsidR="00EE56C0" w:rsidRDefault="000F36A1">
            <w:pPr>
              <w:pStyle w:val="afa"/>
            </w:pPr>
            <w:r>
              <w:rPr>
                <w:rFonts w:hint="eastAsia"/>
              </w:rPr>
              <w:t>43.2</w:t>
            </w:r>
          </w:p>
        </w:tc>
        <w:tc>
          <w:tcPr>
            <w:tcW w:w="3542" w:type="dxa"/>
            <w:vAlign w:val="center"/>
          </w:tcPr>
          <w:p w:rsidR="00EE56C0" w:rsidRDefault="000F36A1">
            <w:pPr>
              <w:pStyle w:val="afa"/>
            </w:pPr>
            <w:r>
              <w:t>成分为</w:t>
            </w:r>
            <w:r>
              <w:rPr>
                <w:rFonts w:hint="eastAsia"/>
              </w:rPr>
              <w:t>环氧改性聚酯树脂</w:t>
            </w:r>
            <w:r>
              <w:rPr>
                <w:rFonts w:hint="eastAsia"/>
              </w:rPr>
              <w:t>60~65</w:t>
            </w:r>
            <w:r>
              <w:t>%</w:t>
            </w:r>
            <w:r>
              <w:rPr>
                <w:rFonts w:hint="eastAsia"/>
              </w:rPr>
              <w:t>，甲苯</w:t>
            </w:r>
            <w:r>
              <w:rPr>
                <w:rFonts w:hint="eastAsia"/>
              </w:rPr>
              <w:t>10~15</w:t>
            </w:r>
            <w:r>
              <w:t>%</w:t>
            </w:r>
            <w:r>
              <w:rPr>
                <w:rFonts w:hint="eastAsia"/>
              </w:rPr>
              <w:t>，二甲苯</w:t>
            </w:r>
            <w:r>
              <w:rPr>
                <w:rFonts w:hint="eastAsia"/>
              </w:rPr>
              <w:t>10~15</w:t>
            </w:r>
            <w:r>
              <w:t>%</w:t>
            </w:r>
            <w:r>
              <w:rPr>
                <w:rFonts w:hint="eastAsia"/>
              </w:rPr>
              <w:t>，丁醇＜</w:t>
            </w:r>
            <w:r>
              <w:rPr>
                <w:rFonts w:hint="eastAsia"/>
              </w:rPr>
              <w:t>5</w:t>
            </w:r>
            <w:r>
              <w:t>%</w:t>
            </w:r>
            <w:r>
              <w:rPr>
                <w:rFonts w:hint="eastAsia"/>
              </w:rPr>
              <w:t>，助剂＜</w:t>
            </w:r>
            <w:r>
              <w:rPr>
                <w:rFonts w:hint="eastAsia"/>
              </w:rPr>
              <w:t>5</w:t>
            </w:r>
            <w:r>
              <w:t>%</w:t>
            </w:r>
          </w:p>
        </w:tc>
      </w:tr>
      <w:tr w:rsidR="00EE56C0">
        <w:trPr>
          <w:trHeight w:val="454"/>
          <w:jc w:val="center"/>
        </w:trPr>
        <w:tc>
          <w:tcPr>
            <w:tcW w:w="852" w:type="dxa"/>
            <w:vMerge/>
            <w:vAlign w:val="center"/>
          </w:tcPr>
          <w:p w:rsidR="00EE56C0" w:rsidRDefault="00EE56C0">
            <w:pPr>
              <w:pStyle w:val="afa"/>
            </w:pPr>
          </w:p>
        </w:tc>
        <w:tc>
          <w:tcPr>
            <w:tcW w:w="1843" w:type="dxa"/>
            <w:gridSpan w:val="2"/>
            <w:vAlign w:val="center"/>
          </w:tcPr>
          <w:p w:rsidR="00EE56C0" w:rsidRDefault="000F36A1">
            <w:pPr>
              <w:pStyle w:val="afa"/>
            </w:pPr>
            <w:r>
              <w:rPr>
                <w:rFonts w:hint="eastAsia"/>
              </w:rPr>
              <w:t>纸</w:t>
            </w:r>
          </w:p>
        </w:tc>
        <w:tc>
          <w:tcPr>
            <w:tcW w:w="1417" w:type="dxa"/>
            <w:vAlign w:val="center"/>
          </w:tcPr>
          <w:p w:rsidR="00EE56C0" w:rsidRDefault="000F36A1">
            <w:pPr>
              <w:pStyle w:val="afa"/>
            </w:pPr>
            <w:r>
              <w:rPr>
                <w:rFonts w:hint="eastAsia"/>
              </w:rPr>
              <w:t>/</w:t>
            </w:r>
          </w:p>
        </w:tc>
        <w:tc>
          <w:tcPr>
            <w:tcW w:w="1418" w:type="dxa"/>
            <w:gridSpan w:val="2"/>
            <w:vAlign w:val="center"/>
          </w:tcPr>
          <w:p w:rsidR="00EE56C0" w:rsidRDefault="000F36A1">
            <w:pPr>
              <w:pStyle w:val="afa"/>
            </w:pPr>
            <w:r>
              <w:rPr>
                <w:rFonts w:hint="eastAsia"/>
              </w:rPr>
              <w:t>120</w:t>
            </w:r>
          </w:p>
        </w:tc>
        <w:tc>
          <w:tcPr>
            <w:tcW w:w="3542" w:type="dxa"/>
            <w:vAlign w:val="center"/>
          </w:tcPr>
          <w:p w:rsidR="00EE56C0" w:rsidRDefault="000F36A1">
            <w:pPr>
              <w:pStyle w:val="afa"/>
            </w:pPr>
            <w:r>
              <w:rPr>
                <w:rFonts w:hint="eastAsia"/>
              </w:rPr>
              <w:t>/</w:t>
            </w:r>
          </w:p>
        </w:tc>
      </w:tr>
      <w:tr w:rsidR="00EE56C0">
        <w:trPr>
          <w:trHeight w:val="454"/>
          <w:jc w:val="center"/>
        </w:trPr>
        <w:tc>
          <w:tcPr>
            <w:tcW w:w="852" w:type="dxa"/>
            <w:vMerge/>
            <w:vAlign w:val="center"/>
          </w:tcPr>
          <w:p w:rsidR="00EE56C0" w:rsidRDefault="00EE56C0">
            <w:pPr>
              <w:pStyle w:val="afa"/>
            </w:pPr>
          </w:p>
        </w:tc>
        <w:tc>
          <w:tcPr>
            <w:tcW w:w="1843" w:type="dxa"/>
            <w:gridSpan w:val="2"/>
            <w:vAlign w:val="center"/>
          </w:tcPr>
          <w:p w:rsidR="00EE56C0" w:rsidRDefault="000F36A1">
            <w:pPr>
              <w:pStyle w:val="afa"/>
            </w:pPr>
            <w:r>
              <w:rPr>
                <w:rFonts w:hint="eastAsia"/>
              </w:rPr>
              <w:t>玻璃纱</w:t>
            </w:r>
          </w:p>
        </w:tc>
        <w:tc>
          <w:tcPr>
            <w:tcW w:w="1417" w:type="dxa"/>
            <w:vAlign w:val="center"/>
          </w:tcPr>
          <w:p w:rsidR="00EE56C0" w:rsidRDefault="000F36A1">
            <w:pPr>
              <w:pStyle w:val="afa"/>
            </w:pPr>
            <w:r>
              <w:rPr>
                <w:rFonts w:hint="eastAsia"/>
              </w:rPr>
              <w:t>/</w:t>
            </w:r>
          </w:p>
        </w:tc>
        <w:tc>
          <w:tcPr>
            <w:tcW w:w="1418" w:type="dxa"/>
            <w:gridSpan w:val="2"/>
            <w:vAlign w:val="center"/>
          </w:tcPr>
          <w:p w:rsidR="00EE56C0" w:rsidRDefault="000F36A1">
            <w:pPr>
              <w:pStyle w:val="afa"/>
            </w:pPr>
            <w:r>
              <w:rPr>
                <w:rFonts w:hint="eastAsia"/>
              </w:rPr>
              <w:t>96</w:t>
            </w:r>
          </w:p>
        </w:tc>
        <w:tc>
          <w:tcPr>
            <w:tcW w:w="3542" w:type="dxa"/>
            <w:vAlign w:val="center"/>
          </w:tcPr>
          <w:p w:rsidR="00EE56C0" w:rsidRDefault="000F36A1">
            <w:pPr>
              <w:pStyle w:val="afa"/>
            </w:pPr>
            <w:r>
              <w:t>粘纤</w:t>
            </w:r>
            <w:r>
              <w:rPr>
                <w:rFonts w:hint="eastAsia"/>
              </w:rPr>
              <w:t>：</w:t>
            </w:r>
            <w:r>
              <w:t>93.1%</w:t>
            </w:r>
            <w:r>
              <w:rPr>
                <w:rFonts w:hint="eastAsia"/>
              </w:rPr>
              <w:t>、</w:t>
            </w:r>
            <w:r>
              <w:t>氨纶</w:t>
            </w:r>
            <w:r>
              <w:rPr>
                <w:rFonts w:hint="eastAsia"/>
              </w:rPr>
              <w:t>：</w:t>
            </w:r>
            <w:r>
              <w:t>6.9%</w:t>
            </w:r>
          </w:p>
        </w:tc>
      </w:tr>
      <w:tr w:rsidR="00EE56C0">
        <w:trPr>
          <w:trHeight w:val="454"/>
          <w:jc w:val="center"/>
        </w:trPr>
        <w:tc>
          <w:tcPr>
            <w:tcW w:w="852" w:type="dxa"/>
            <w:vMerge/>
            <w:vAlign w:val="center"/>
          </w:tcPr>
          <w:p w:rsidR="00EE56C0" w:rsidRDefault="00EE56C0">
            <w:pPr>
              <w:pStyle w:val="afa"/>
            </w:pPr>
          </w:p>
        </w:tc>
        <w:tc>
          <w:tcPr>
            <w:tcW w:w="1843" w:type="dxa"/>
            <w:gridSpan w:val="2"/>
            <w:vAlign w:val="center"/>
          </w:tcPr>
          <w:p w:rsidR="00EE56C0" w:rsidRDefault="000F36A1">
            <w:pPr>
              <w:pStyle w:val="afa"/>
            </w:pPr>
            <w:r>
              <w:t>聚酰亚胺</w:t>
            </w:r>
            <w:r>
              <w:rPr>
                <w:rFonts w:hint="eastAsia"/>
              </w:rPr>
              <w:t>薄膜</w:t>
            </w:r>
          </w:p>
        </w:tc>
        <w:tc>
          <w:tcPr>
            <w:tcW w:w="1417" w:type="dxa"/>
            <w:vAlign w:val="center"/>
          </w:tcPr>
          <w:p w:rsidR="00EE56C0" w:rsidRDefault="000F36A1">
            <w:pPr>
              <w:pStyle w:val="afa"/>
            </w:pPr>
            <w:r>
              <w:rPr>
                <w:rFonts w:hint="eastAsia"/>
              </w:rPr>
              <w:t>/</w:t>
            </w:r>
          </w:p>
        </w:tc>
        <w:tc>
          <w:tcPr>
            <w:tcW w:w="1418" w:type="dxa"/>
            <w:gridSpan w:val="2"/>
            <w:vAlign w:val="center"/>
          </w:tcPr>
          <w:p w:rsidR="00EE56C0" w:rsidRDefault="000F36A1">
            <w:pPr>
              <w:pStyle w:val="afa"/>
            </w:pPr>
            <w:r>
              <w:rPr>
                <w:rFonts w:hint="eastAsia"/>
              </w:rPr>
              <w:t>50</w:t>
            </w:r>
          </w:p>
        </w:tc>
        <w:tc>
          <w:tcPr>
            <w:tcW w:w="3542" w:type="dxa"/>
            <w:vAlign w:val="center"/>
          </w:tcPr>
          <w:p w:rsidR="00EE56C0" w:rsidRDefault="000F36A1">
            <w:pPr>
              <w:pStyle w:val="afa"/>
            </w:pPr>
            <w:r>
              <w:rPr>
                <w:rFonts w:hint="eastAsia"/>
              </w:rPr>
              <w:t>/</w:t>
            </w:r>
          </w:p>
        </w:tc>
      </w:tr>
      <w:tr w:rsidR="00EE56C0">
        <w:trPr>
          <w:trHeight w:val="454"/>
          <w:jc w:val="center"/>
        </w:trPr>
        <w:tc>
          <w:tcPr>
            <w:tcW w:w="852" w:type="dxa"/>
            <w:vMerge/>
            <w:vAlign w:val="center"/>
          </w:tcPr>
          <w:p w:rsidR="00EE56C0" w:rsidRDefault="00EE56C0">
            <w:pPr>
              <w:pStyle w:val="afa"/>
            </w:pPr>
          </w:p>
        </w:tc>
        <w:tc>
          <w:tcPr>
            <w:tcW w:w="1843" w:type="dxa"/>
            <w:gridSpan w:val="2"/>
            <w:vAlign w:val="center"/>
          </w:tcPr>
          <w:p w:rsidR="00EE56C0" w:rsidRDefault="000F36A1">
            <w:pPr>
              <w:pStyle w:val="afa"/>
            </w:pPr>
            <w:r>
              <w:t>拉丝油</w:t>
            </w:r>
          </w:p>
        </w:tc>
        <w:tc>
          <w:tcPr>
            <w:tcW w:w="1417" w:type="dxa"/>
            <w:vAlign w:val="center"/>
          </w:tcPr>
          <w:p w:rsidR="00EE56C0" w:rsidRDefault="000F36A1">
            <w:pPr>
              <w:pStyle w:val="afa"/>
            </w:pPr>
            <w:r>
              <w:t>200kg/</w:t>
            </w:r>
            <w:r>
              <w:t>桶</w:t>
            </w:r>
          </w:p>
        </w:tc>
        <w:tc>
          <w:tcPr>
            <w:tcW w:w="1418" w:type="dxa"/>
            <w:gridSpan w:val="2"/>
            <w:vAlign w:val="center"/>
          </w:tcPr>
          <w:p w:rsidR="00EE56C0" w:rsidRDefault="000F36A1">
            <w:pPr>
              <w:pStyle w:val="afa"/>
            </w:pPr>
            <w:r>
              <w:rPr>
                <w:rFonts w:hint="eastAsia"/>
              </w:rPr>
              <w:t>15</w:t>
            </w:r>
          </w:p>
        </w:tc>
        <w:tc>
          <w:tcPr>
            <w:tcW w:w="3542" w:type="dxa"/>
            <w:vAlign w:val="center"/>
          </w:tcPr>
          <w:p w:rsidR="00EE56C0" w:rsidRDefault="000F36A1">
            <w:pPr>
              <w:pStyle w:val="afa"/>
            </w:pPr>
            <w:r>
              <w:rPr>
                <w:rFonts w:hint="eastAsia"/>
              </w:rPr>
              <w:t>拉丝工序使</w:t>
            </w:r>
            <w:r>
              <w:t>用</w:t>
            </w:r>
          </w:p>
        </w:tc>
      </w:tr>
      <w:tr w:rsidR="00EE56C0">
        <w:trPr>
          <w:trHeight w:val="454"/>
          <w:jc w:val="center"/>
        </w:trPr>
        <w:tc>
          <w:tcPr>
            <w:tcW w:w="852" w:type="dxa"/>
            <w:vMerge/>
            <w:vAlign w:val="center"/>
          </w:tcPr>
          <w:p w:rsidR="00EE56C0" w:rsidRDefault="00EE56C0">
            <w:pPr>
              <w:pStyle w:val="afa"/>
            </w:pPr>
          </w:p>
        </w:tc>
        <w:tc>
          <w:tcPr>
            <w:tcW w:w="1843" w:type="dxa"/>
            <w:gridSpan w:val="2"/>
            <w:vAlign w:val="center"/>
          </w:tcPr>
          <w:p w:rsidR="00EE56C0" w:rsidRDefault="000F36A1">
            <w:pPr>
              <w:pStyle w:val="afa"/>
            </w:pPr>
            <w:r>
              <w:rPr>
                <w:rFonts w:hint="eastAsia"/>
              </w:rPr>
              <w:t>排线油</w:t>
            </w:r>
          </w:p>
        </w:tc>
        <w:tc>
          <w:tcPr>
            <w:tcW w:w="1417" w:type="dxa"/>
            <w:vAlign w:val="center"/>
          </w:tcPr>
          <w:p w:rsidR="00EE56C0" w:rsidRDefault="000F36A1">
            <w:pPr>
              <w:pStyle w:val="afa"/>
            </w:pPr>
            <w:r>
              <w:t>1t/</w:t>
            </w:r>
            <w:r>
              <w:t>桶</w:t>
            </w:r>
          </w:p>
        </w:tc>
        <w:tc>
          <w:tcPr>
            <w:tcW w:w="1418" w:type="dxa"/>
            <w:gridSpan w:val="2"/>
            <w:vAlign w:val="center"/>
          </w:tcPr>
          <w:p w:rsidR="00EE56C0" w:rsidRDefault="000F36A1">
            <w:pPr>
              <w:pStyle w:val="afa"/>
            </w:pPr>
            <w:r>
              <w:rPr>
                <w:rFonts w:hint="eastAsia"/>
              </w:rPr>
              <w:t>10</w:t>
            </w:r>
          </w:p>
        </w:tc>
        <w:tc>
          <w:tcPr>
            <w:tcW w:w="3542" w:type="dxa"/>
            <w:vAlign w:val="center"/>
          </w:tcPr>
          <w:p w:rsidR="00EE56C0" w:rsidRDefault="000F36A1">
            <w:pPr>
              <w:pStyle w:val="afa"/>
            </w:pPr>
            <w:r>
              <w:rPr>
                <w:rFonts w:hint="eastAsia"/>
              </w:rPr>
              <w:t>包装</w:t>
            </w:r>
          </w:p>
        </w:tc>
      </w:tr>
      <w:tr w:rsidR="00EE56C0">
        <w:trPr>
          <w:trHeight w:val="454"/>
          <w:jc w:val="center"/>
        </w:trPr>
        <w:tc>
          <w:tcPr>
            <w:tcW w:w="852" w:type="dxa"/>
            <w:vMerge w:val="restart"/>
            <w:vAlign w:val="center"/>
          </w:tcPr>
          <w:p w:rsidR="00EE56C0" w:rsidRDefault="000F36A1">
            <w:pPr>
              <w:pStyle w:val="afa"/>
            </w:pPr>
            <w:r>
              <w:t>能源</w:t>
            </w:r>
          </w:p>
        </w:tc>
        <w:tc>
          <w:tcPr>
            <w:tcW w:w="1843" w:type="dxa"/>
            <w:gridSpan w:val="2"/>
            <w:vAlign w:val="center"/>
          </w:tcPr>
          <w:p w:rsidR="00EE56C0" w:rsidRDefault="000F36A1">
            <w:pPr>
              <w:pStyle w:val="afa"/>
            </w:pPr>
            <w:r>
              <w:rPr>
                <w:rFonts w:hint="eastAsia"/>
              </w:rPr>
              <w:t>水</w:t>
            </w:r>
          </w:p>
        </w:tc>
        <w:tc>
          <w:tcPr>
            <w:tcW w:w="1417" w:type="dxa"/>
            <w:vAlign w:val="center"/>
          </w:tcPr>
          <w:p w:rsidR="00EE56C0" w:rsidRDefault="00EE56C0">
            <w:pPr>
              <w:pStyle w:val="afa"/>
            </w:pPr>
          </w:p>
        </w:tc>
        <w:tc>
          <w:tcPr>
            <w:tcW w:w="1418" w:type="dxa"/>
            <w:gridSpan w:val="2"/>
            <w:vAlign w:val="center"/>
          </w:tcPr>
          <w:p w:rsidR="00EE56C0" w:rsidRDefault="000F36A1">
            <w:pPr>
              <w:pStyle w:val="afa"/>
            </w:pPr>
            <w:r>
              <w:rPr>
                <w:rFonts w:hint="eastAsia"/>
              </w:rPr>
              <w:t>7039</w:t>
            </w:r>
          </w:p>
        </w:tc>
        <w:tc>
          <w:tcPr>
            <w:tcW w:w="3542" w:type="dxa"/>
            <w:vAlign w:val="center"/>
          </w:tcPr>
          <w:p w:rsidR="00EE56C0" w:rsidRDefault="000F36A1">
            <w:pPr>
              <w:pStyle w:val="afa"/>
            </w:pPr>
            <w:r>
              <w:rPr>
                <w:rFonts w:hint="eastAsia"/>
              </w:rPr>
              <w:t>自备井</w:t>
            </w:r>
          </w:p>
        </w:tc>
      </w:tr>
      <w:tr w:rsidR="00EE56C0">
        <w:trPr>
          <w:trHeight w:val="454"/>
          <w:jc w:val="center"/>
        </w:trPr>
        <w:tc>
          <w:tcPr>
            <w:tcW w:w="852" w:type="dxa"/>
            <w:vMerge/>
            <w:vAlign w:val="center"/>
          </w:tcPr>
          <w:p w:rsidR="00EE56C0" w:rsidRDefault="00EE56C0">
            <w:pPr>
              <w:pStyle w:val="afa"/>
            </w:pPr>
          </w:p>
        </w:tc>
        <w:tc>
          <w:tcPr>
            <w:tcW w:w="1843" w:type="dxa"/>
            <w:gridSpan w:val="2"/>
            <w:vAlign w:val="center"/>
          </w:tcPr>
          <w:p w:rsidR="00EE56C0" w:rsidRDefault="000F36A1">
            <w:pPr>
              <w:pStyle w:val="afa"/>
            </w:pPr>
            <w:r>
              <w:t>电</w:t>
            </w:r>
          </w:p>
        </w:tc>
        <w:tc>
          <w:tcPr>
            <w:tcW w:w="1417" w:type="dxa"/>
            <w:vAlign w:val="center"/>
          </w:tcPr>
          <w:p w:rsidR="00EE56C0" w:rsidRDefault="000F36A1">
            <w:pPr>
              <w:pStyle w:val="afa"/>
            </w:pPr>
            <w:r>
              <w:t>/</w:t>
            </w:r>
          </w:p>
        </w:tc>
        <w:tc>
          <w:tcPr>
            <w:tcW w:w="1418" w:type="dxa"/>
            <w:gridSpan w:val="2"/>
            <w:vAlign w:val="center"/>
          </w:tcPr>
          <w:p w:rsidR="00EE56C0" w:rsidRDefault="000F36A1">
            <w:pPr>
              <w:pStyle w:val="afa"/>
            </w:pPr>
            <w:r>
              <w:rPr>
                <w:rFonts w:hint="eastAsia"/>
              </w:rPr>
              <w:t>26</w:t>
            </w:r>
            <w:r>
              <w:t>万</w:t>
            </w:r>
            <w:r>
              <w:t>kwh</w:t>
            </w:r>
          </w:p>
        </w:tc>
        <w:tc>
          <w:tcPr>
            <w:tcW w:w="3542" w:type="dxa"/>
            <w:vAlign w:val="center"/>
          </w:tcPr>
          <w:p w:rsidR="00EE56C0" w:rsidRDefault="000F36A1">
            <w:pPr>
              <w:pStyle w:val="afa"/>
            </w:pPr>
            <w:r>
              <w:t>园区提供</w:t>
            </w:r>
          </w:p>
        </w:tc>
      </w:tr>
    </w:tbl>
    <w:p w:rsidR="00EE56C0" w:rsidRDefault="000F36A1">
      <w:pPr>
        <w:pStyle w:val="3"/>
        <w:spacing w:before="240" w:after="120"/>
        <w:rPr>
          <w:szCs w:val="32"/>
        </w:rPr>
      </w:pPr>
      <w:r>
        <w:rPr>
          <w:rFonts w:hint="eastAsia"/>
        </w:rPr>
        <w:lastRenderedPageBreak/>
        <w:t>3.1.6</w:t>
      </w:r>
      <w:r>
        <w:rPr>
          <w:rFonts w:hint="eastAsia"/>
        </w:rPr>
        <w:t>现有主要原材料的理化性质</w:t>
      </w:r>
      <w:bookmarkEnd w:id="181"/>
      <w:bookmarkEnd w:id="182"/>
      <w:bookmarkEnd w:id="183"/>
    </w:p>
    <w:p w:rsidR="00EE56C0" w:rsidRDefault="000F36A1">
      <w:pPr>
        <w:ind w:firstLine="480"/>
      </w:pPr>
      <w:bookmarkStart w:id="184" w:name="_Toc428286821"/>
      <w:r>
        <w:rPr>
          <w:rFonts w:hint="eastAsia"/>
        </w:rPr>
        <w:t>现有项目主要原料为：高温聚酯绝缘漆、</w:t>
      </w:r>
      <w:r>
        <w:rPr>
          <w:rFonts w:hint="eastAsia"/>
        </w:rPr>
        <w:t>R-1449-G</w:t>
      </w:r>
      <w:r>
        <w:rPr>
          <w:rFonts w:hint="eastAsia"/>
        </w:rPr>
        <w:t>漆：玻璃丝包专用漆、</w:t>
      </w:r>
      <w:r>
        <w:t>拉丝油</w:t>
      </w:r>
      <w:r>
        <w:rPr>
          <w:rFonts w:hint="eastAsia"/>
        </w:rPr>
        <w:t>、</w:t>
      </w:r>
      <w:r>
        <w:t>聚酰亚胺</w:t>
      </w:r>
      <w:r>
        <w:rPr>
          <w:rFonts w:hint="eastAsia"/>
        </w:rPr>
        <w:t>薄膜等原料，其理化性质除绝缘漆成分、比例不一致外，均与本次改扩建原料一致，不再赘述。</w:t>
      </w:r>
    </w:p>
    <w:p w:rsidR="00EE56C0" w:rsidRDefault="000F36A1">
      <w:pPr>
        <w:pStyle w:val="3"/>
        <w:spacing w:before="240" w:after="120"/>
      </w:pPr>
      <w:bookmarkStart w:id="185" w:name="_Toc428287216"/>
      <w:bookmarkStart w:id="186" w:name="_Toc428286832"/>
      <w:bookmarkStart w:id="187" w:name="_Toc428287568"/>
      <w:bookmarkStart w:id="188" w:name="_Toc25400903"/>
      <w:bookmarkEnd w:id="184"/>
      <w:r>
        <w:rPr>
          <w:rFonts w:hint="eastAsia"/>
        </w:rPr>
        <w:t>3.1.7</w:t>
      </w:r>
      <w:r>
        <w:rPr>
          <w:rFonts w:hint="eastAsia"/>
        </w:rPr>
        <w:t>现有生产工艺</w:t>
      </w:r>
      <w:bookmarkEnd w:id="185"/>
      <w:bookmarkEnd w:id="186"/>
      <w:bookmarkEnd w:id="187"/>
      <w:r>
        <w:rPr>
          <w:rFonts w:hint="eastAsia"/>
        </w:rPr>
        <w:t>及产污环节</w:t>
      </w:r>
      <w:bookmarkEnd w:id="188"/>
    </w:p>
    <w:p w:rsidR="00EE56C0" w:rsidRDefault="000F36A1">
      <w:pPr>
        <w:pStyle w:val="4"/>
        <w:ind w:left="120" w:firstLine="241"/>
      </w:pPr>
      <w:r>
        <w:rPr>
          <w:rFonts w:hint="eastAsia"/>
        </w:rPr>
        <w:t>3.1.7.1</w:t>
      </w:r>
      <w:r>
        <w:rPr>
          <w:rFonts w:hint="eastAsia"/>
        </w:rPr>
        <w:t>现有漆包线工艺</w:t>
      </w:r>
    </w:p>
    <w:p w:rsidR="00EE56C0" w:rsidRDefault="00340837">
      <w:pPr>
        <w:ind w:firstLine="480"/>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对象 3800" o:spid="_x0000_s2168" type="#_x0000_t75" style="position:absolute;left:0;text-align:left;margin-left:-39.35pt;margin-top:14.45pt;width:496.15pt;height:65pt;z-index:251705856">
            <v:imagedata r:id="rId27" o:title=""/>
          </v:shape>
          <o:OLEObject Type="Embed" ProgID="Visio.Drawing.11" ShapeID="对象 3800" DrawAspect="Content" ObjectID="_1705848366" r:id="rId28"/>
        </w:pict>
      </w:r>
    </w:p>
    <w:p w:rsidR="00EE56C0" w:rsidRDefault="00EE56C0">
      <w:pPr>
        <w:ind w:firstLine="480"/>
      </w:pPr>
    </w:p>
    <w:p w:rsidR="00EE56C0" w:rsidRDefault="00EE56C0">
      <w:pPr>
        <w:ind w:firstLine="480"/>
        <w:jc w:val="center"/>
      </w:pPr>
    </w:p>
    <w:p w:rsidR="00EE56C0" w:rsidRDefault="000F36A1">
      <w:pPr>
        <w:pStyle w:val="aff8"/>
        <w:spacing w:line="500" w:lineRule="exact"/>
        <w:jc w:val="left"/>
      </w:pPr>
      <w:r>
        <w:rPr>
          <w:rFonts w:eastAsia="黑体" w:hAnsi="黑体"/>
          <w:b w:val="0"/>
        </w:rPr>
        <w:t>注：</w:t>
      </w:r>
      <w:r>
        <w:rPr>
          <w:rFonts w:eastAsia="黑体"/>
          <w:b w:val="0"/>
        </w:rPr>
        <w:t>G</w:t>
      </w:r>
      <w:r>
        <w:rPr>
          <w:rFonts w:eastAsia="黑体" w:hAnsi="黑体"/>
          <w:b w:val="0"/>
        </w:rPr>
        <w:t>：废气</w:t>
      </w:r>
      <w:r>
        <w:rPr>
          <w:rFonts w:eastAsia="黑体"/>
          <w:b w:val="0"/>
        </w:rPr>
        <w:t xml:space="preserve">   S</w:t>
      </w:r>
      <w:r>
        <w:rPr>
          <w:rFonts w:eastAsia="黑体" w:hAnsi="黑体"/>
          <w:b w:val="0"/>
        </w:rPr>
        <w:t>：固废</w:t>
      </w:r>
      <w:r>
        <w:rPr>
          <w:rFonts w:eastAsia="黑体"/>
          <w:b w:val="0"/>
        </w:rPr>
        <w:t xml:space="preserve">   N</w:t>
      </w:r>
      <w:r>
        <w:rPr>
          <w:rFonts w:eastAsia="黑体" w:hAnsi="黑体"/>
          <w:b w:val="0"/>
        </w:rPr>
        <w:t>：噪声</w:t>
      </w:r>
    </w:p>
    <w:p w:rsidR="00EE56C0" w:rsidRDefault="000F36A1">
      <w:pPr>
        <w:pStyle w:val="aff8"/>
      </w:pPr>
      <w:r>
        <w:rPr>
          <w:rFonts w:hint="eastAsia"/>
        </w:rPr>
        <w:t>图</w:t>
      </w:r>
      <w:r>
        <w:rPr>
          <w:rFonts w:hint="eastAsia"/>
        </w:rPr>
        <w:t xml:space="preserve">3-1  </w:t>
      </w:r>
      <w:r>
        <w:rPr>
          <w:rFonts w:hint="eastAsia"/>
        </w:rPr>
        <w:t>现有漆包线工艺流程及产污环节图</w:t>
      </w:r>
    </w:p>
    <w:p w:rsidR="00EE56C0" w:rsidRDefault="000F36A1">
      <w:pPr>
        <w:spacing w:line="500" w:lineRule="exact"/>
        <w:ind w:firstLine="482"/>
        <w:rPr>
          <w:b/>
        </w:rPr>
      </w:pPr>
      <w:r>
        <w:rPr>
          <w:rFonts w:hint="eastAsia"/>
          <w:b/>
        </w:rPr>
        <w:t>工艺流程简述：</w:t>
      </w:r>
    </w:p>
    <w:p w:rsidR="00EE56C0" w:rsidRDefault="000F36A1">
      <w:pPr>
        <w:ind w:firstLine="482"/>
        <w:rPr>
          <w:b/>
        </w:rPr>
      </w:pPr>
      <w:r>
        <w:rPr>
          <w:b/>
        </w:rPr>
        <w:t>原料：</w:t>
      </w:r>
      <w:r>
        <w:t>本项目所用原材料为外购的</w:t>
      </w:r>
      <w:r>
        <w:t>8mm</w:t>
      </w:r>
      <w:r>
        <w:t>铜杆，铜杆规格为</w:t>
      </w:r>
      <w:r>
        <w:rPr>
          <w:rFonts w:hint="eastAsia"/>
        </w:rPr>
        <w:t>2</w:t>
      </w:r>
      <w:r>
        <w:t>t/</w:t>
      </w:r>
      <w:r>
        <w:t>盘。</w:t>
      </w:r>
    </w:p>
    <w:p w:rsidR="00EE56C0" w:rsidRDefault="000F36A1">
      <w:pPr>
        <w:ind w:firstLine="482"/>
        <w:rPr>
          <w:b/>
        </w:rPr>
      </w:pPr>
      <w:r>
        <w:rPr>
          <w:rFonts w:hint="eastAsia"/>
          <w:b/>
        </w:rPr>
        <w:t>拉拔：</w:t>
      </w:r>
      <w:r>
        <w:rPr>
          <w:rFonts w:hint="eastAsia"/>
        </w:rPr>
        <w:t>外购的</w:t>
      </w:r>
      <w:r>
        <w:t>8mm</w:t>
      </w:r>
      <w:r>
        <w:rPr>
          <w:rFonts w:hint="eastAsia"/>
        </w:rPr>
        <w:t>铜杆采用拉拔机拉成</w:t>
      </w:r>
      <w:r>
        <w:rPr>
          <w:rFonts w:hint="eastAsia"/>
        </w:rPr>
        <w:t>3.0mm</w:t>
      </w:r>
      <w:r>
        <w:rPr>
          <w:rFonts w:hint="eastAsia"/>
        </w:rPr>
        <w:t>圆线。拉拔工序会产生噪声。</w:t>
      </w:r>
    </w:p>
    <w:p w:rsidR="00EE56C0" w:rsidRDefault="000F36A1">
      <w:pPr>
        <w:ind w:firstLine="482"/>
      </w:pPr>
      <w:r>
        <w:rPr>
          <w:b/>
        </w:rPr>
        <w:t>拉丝：</w:t>
      </w:r>
      <w:r>
        <w:t>拉丝是指铜</w:t>
      </w:r>
      <w:r>
        <w:rPr>
          <w:rFonts w:hint="eastAsia"/>
        </w:rPr>
        <w:t>线</w:t>
      </w:r>
      <w:r>
        <w:t>通过模孔，在一定拉力作用下发生塑性变形，使其截面减少而长度增加的压力加工方法。拉丝过程主要通过拉丝机完成，本项目拉丝机包括大拉机、中拉机。将</w:t>
      </w:r>
      <w:r>
        <w:rPr>
          <w:rFonts w:hint="eastAsia"/>
        </w:rPr>
        <w:t>拉拔后的</w:t>
      </w:r>
      <w:r>
        <w:rPr>
          <w:rFonts w:hint="eastAsia"/>
        </w:rPr>
        <w:t>3.0mm</w:t>
      </w:r>
      <w:r>
        <w:rPr>
          <w:rFonts w:hint="eastAsia"/>
        </w:rPr>
        <w:t>圆线</w:t>
      </w:r>
      <w:r>
        <w:t>作为拉丝机的进线，在经过多道模具拉制成直径</w:t>
      </w:r>
      <w:r>
        <w:t>2.</w:t>
      </w:r>
      <w:r>
        <w:rPr>
          <w:rFonts w:hint="eastAsia"/>
        </w:rPr>
        <w:t>5</w:t>
      </w:r>
      <w:r>
        <w:t>mm</w:t>
      </w:r>
      <w:r>
        <w:t>的铜线，采用叉车将位于收线架上的成盘铜线转移至漆包机拉丝装置旁，经漆包机自带拉丝装置进一步拉制成直径</w:t>
      </w:r>
      <w:r>
        <w:rPr>
          <w:rFonts w:hint="eastAsia"/>
        </w:rPr>
        <w:t>为</w:t>
      </w:r>
      <w:r>
        <w:t>0.2~1.2mm</w:t>
      </w:r>
      <w:r>
        <w:t>的裸铜线。</w:t>
      </w:r>
      <w:r>
        <w:rPr>
          <w:rFonts w:hint="eastAsia"/>
        </w:rPr>
        <w:t>拉丝工序产生固废、噪声。</w:t>
      </w:r>
    </w:p>
    <w:p w:rsidR="00EE56C0" w:rsidRDefault="000F36A1">
      <w:pPr>
        <w:ind w:firstLine="480"/>
      </w:pPr>
      <w:r>
        <w:t>铜材拉丝过程中需使用拉丝液用作润滑剂，拉丝液</w:t>
      </w:r>
      <w:r>
        <w:rPr>
          <w:rFonts w:hint="eastAsia"/>
        </w:rPr>
        <w:t>是由纯水、拉丝油按</w:t>
      </w:r>
      <w:r>
        <w:rPr>
          <w:rFonts w:hint="eastAsia"/>
        </w:rPr>
        <w:t>9</w:t>
      </w:r>
      <w:r>
        <w:rPr>
          <w:rFonts w:hint="eastAsia"/>
        </w:rPr>
        <w:t>：</w:t>
      </w:r>
      <w:r>
        <w:rPr>
          <w:rFonts w:hint="eastAsia"/>
        </w:rPr>
        <w:t>1</w:t>
      </w:r>
      <w:r>
        <w:rPr>
          <w:rFonts w:hint="eastAsia"/>
        </w:rPr>
        <w:t>配比而成</w:t>
      </w:r>
      <w:r>
        <w:t>，以减少铜材的摩擦。此过程中产生的铜粉遗留在混合液中，混合液循环使用，一段时间后，将混合液沉淀，得到含铜废油泥。</w:t>
      </w:r>
      <w:r>
        <w:rPr>
          <w:rFonts w:hint="eastAsia"/>
        </w:rPr>
        <w:t>拉丝液定期更换，更换下来的废拉丝液和含铜废油泥暂存于危废暂存间，定期交由有资质单位安全处理。</w:t>
      </w:r>
    </w:p>
    <w:p w:rsidR="00EE56C0" w:rsidRDefault="000F36A1">
      <w:pPr>
        <w:ind w:firstLine="482"/>
      </w:pPr>
      <w:r>
        <w:rPr>
          <w:b/>
        </w:rPr>
        <w:t>退火：</w:t>
      </w:r>
      <w:r>
        <w:t>拉制后提高了铜线的强度和硬度，但延伸率及导电率均降低，同时电</w:t>
      </w:r>
      <w:r>
        <w:lastRenderedPageBreak/>
        <w:t>阻系数增大。为了达到产品技术要求，需对</w:t>
      </w:r>
      <w:r>
        <w:rPr>
          <w:rFonts w:hint="eastAsia"/>
        </w:rPr>
        <w:t>拉拔</w:t>
      </w:r>
      <w:r>
        <w:rPr>
          <w:rFonts w:hint="eastAsia"/>
        </w:rPr>
        <w:t>/</w:t>
      </w:r>
      <w:r>
        <w:t>拉</w:t>
      </w:r>
      <w:r>
        <w:rPr>
          <w:rFonts w:hint="eastAsia"/>
        </w:rPr>
        <w:t>丝</w:t>
      </w:r>
      <w:r>
        <w:t>后的铜线进行退火处理</w:t>
      </w:r>
      <w:r>
        <w:rPr>
          <w:rFonts w:hint="eastAsia"/>
        </w:rPr>
        <w:t>，即</w:t>
      </w:r>
      <w:r>
        <w:t>铜线加热</w:t>
      </w:r>
      <w:r>
        <w:rPr>
          <w:rFonts w:hint="eastAsia"/>
        </w:rPr>
        <w:t>至</w:t>
      </w:r>
      <w:r>
        <w:t>低于熔点的温度，退火炉采用电加热</w:t>
      </w:r>
      <w:r>
        <w:rPr>
          <w:rFonts w:hint="eastAsia"/>
        </w:rPr>
        <w:t>方式</w:t>
      </w:r>
      <w:r>
        <w:t>，退火温度为</w:t>
      </w:r>
      <w:r>
        <w:t>420~550</w:t>
      </w:r>
      <w:r>
        <w:rPr>
          <w:rFonts w:ascii="宋体" w:hAnsi="宋体" w:cs="宋体" w:hint="eastAsia"/>
        </w:rPr>
        <w:t>℃</w:t>
      </w:r>
      <w:r>
        <w:rPr>
          <w:rFonts w:ascii="宋体" w:hint="eastAsia"/>
        </w:rPr>
        <w:t>。</w:t>
      </w:r>
      <w:r>
        <w:rPr>
          <w:rFonts w:hint="eastAsia"/>
        </w:rPr>
        <w:t>铜线经去污毛毡的转轮后进入退火装置，确保铜线进入退火装置后无油污。因此退火装置无废气产生。</w:t>
      </w:r>
    </w:p>
    <w:p w:rsidR="00EE56C0" w:rsidRDefault="000F36A1">
      <w:pPr>
        <w:ind w:firstLine="482"/>
        <w:rPr>
          <w:b/>
        </w:rPr>
      </w:pPr>
      <w:r>
        <w:rPr>
          <w:rFonts w:hint="eastAsia"/>
          <w:b/>
        </w:rPr>
        <w:t>冷却：</w:t>
      </w:r>
      <w:r>
        <w:rPr>
          <w:rFonts w:hint="eastAsia"/>
        </w:rPr>
        <w:t>退火后的铜线经过水槽进行冷却，水槽内为纯水，再采用高压热风装置吹干，确保达到符合涂漆要求的洁净表面。</w:t>
      </w:r>
    </w:p>
    <w:p w:rsidR="00EE56C0" w:rsidRDefault="000F36A1">
      <w:pPr>
        <w:ind w:firstLine="482"/>
      </w:pPr>
      <w:r>
        <w:rPr>
          <w:rFonts w:hint="eastAsia"/>
          <w:b/>
        </w:rPr>
        <w:t>浸</w:t>
      </w:r>
      <w:r>
        <w:rPr>
          <w:b/>
        </w:rPr>
        <w:t>漆：</w:t>
      </w:r>
      <w:r>
        <w:t>铜线经</w:t>
      </w:r>
      <w:r>
        <w:rPr>
          <w:rFonts w:hint="eastAsia"/>
        </w:rPr>
        <w:t>水槽</w:t>
      </w:r>
      <w:r>
        <w:t>冷却</w:t>
      </w:r>
      <w:r>
        <w:rPr>
          <w:rFonts w:hint="eastAsia"/>
        </w:rPr>
        <w:t>至</w:t>
      </w:r>
      <w:r>
        <w:t>常温后，</w:t>
      </w:r>
      <w:r>
        <w:rPr>
          <w:rFonts w:hint="eastAsia"/>
        </w:rPr>
        <w:t>进入漆包机</w:t>
      </w:r>
      <w:r>
        <w:rPr>
          <w:rFonts w:hint="eastAsia"/>
        </w:rPr>
        <w:t>/</w:t>
      </w:r>
      <w:r>
        <w:rPr>
          <w:rFonts w:hint="eastAsia"/>
        </w:rPr>
        <w:t>拉包机</w:t>
      </w:r>
      <w:r>
        <w:t>经多次</w:t>
      </w:r>
      <w:r>
        <w:rPr>
          <w:rFonts w:hint="eastAsia"/>
        </w:rPr>
        <w:t>浸</w:t>
      </w:r>
      <w:r>
        <w:t>漆（底漆</w:t>
      </w:r>
      <w:r>
        <w:t>6~9</w:t>
      </w:r>
      <w:r>
        <w:t>道，面漆</w:t>
      </w:r>
      <w:r>
        <w:t>2~3</w:t>
      </w:r>
      <w:r>
        <w:t>道）、烘干，多次冷却、收线。</w:t>
      </w:r>
      <w:r>
        <w:rPr>
          <w:rFonts w:hint="eastAsia"/>
        </w:rPr>
        <w:t>浸</w:t>
      </w:r>
      <w:r>
        <w:t>漆</w:t>
      </w:r>
      <w:r>
        <w:rPr>
          <w:rFonts w:hint="eastAsia"/>
        </w:rPr>
        <w:t>工序产生有机废气。其中拉包机自带拉丝机，可替代中拉机、小拉机，漆包机需要配套拉拔机、</w:t>
      </w:r>
      <w:r>
        <w:t>拉丝</w:t>
      </w:r>
      <w:r>
        <w:rPr>
          <w:rFonts w:hint="eastAsia"/>
        </w:rPr>
        <w:t>机。</w:t>
      </w:r>
    </w:p>
    <w:p w:rsidR="00EE56C0" w:rsidRDefault="000F36A1">
      <w:pPr>
        <w:ind w:firstLine="480"/>
        <w:rPr>
          <w:b/>
        </w:rPr>
      </w:pPr>
      <w:r>
        <w:rPr>
          <w:rFonts w:hint="eastAsia"/>
        </w:rPr>
        <w:t>外购绝缘漆为成品桶装（</w:t>
      </w:r>
      <w:r>
        <w:rPr>
          <w:rFonts w:hint="eastAsia"/>
        </w:rPr>
        <w:t>1</w:t>
      </w:r>
      <w:r>
        <w:rPr>
          <w:rFonts w:hint="eastAsia"/>
        </w:rPr>
        <w:t>吨</w:t>
      </w:r>
      <w:r>
        <w:rPr>
          <w:rFonts w:hint="eastAsia"/>
        </w:rPr>
        <w:t>/</w:t>
      </w:r>
      <w:r>
        <w:rPr>
          <w:rFonts w:hint="eastAsia"/>
        </w:rPr>
        <w:t>桶），不需要调配，可直接使用，</w:t>
      </w:r>
      <w:r>
        <w:t>上漆前要预热至</w:t>
      </w:r>
      <w:r>
        <w:t>45</w:t>
      </w:r>
      <w:r>
        <w:rPr>
          <w:rFonts w:ascii="宋体" w:hAnsi="宋体" w:cs="宋体" w:hint="eastAsia"/>
        </w:rPr>
        <w:t>℃</w:t>
      </w:r>
      <w:r>
        <w:t>，此温度条件下，该漆的涂覆性能最佳，桶装漆经</w:t>
      </w:r>
      <w:r>
        <w:rPr>
          <w:rFonts w:hint="eastAsia"/>
        </w:rPr>
        <w:t>密闭</w:t>
      </w:r>
      <w:r>
        <w:t>管</w:t>
      </w:r>
      <w:r>
        <w:rPr>
          <w:rFonts w:hint="eastAsia"/>
        </w:rPr>
        <w:t>道</w:t>
      </w:r>
      <w:r>
        <w:t>输送至</w:t>
      </w:r>
      <w:r>
        <w:rPr>
          <w:rFonts w:hint="eastAsia"/>
        </w:rPr>
        <w:t>电</w:t>
      </w:r>
      <w:r>
        <w:t>加热系统进行</w:t>
      </w:r>
      <w:r>
        <w:rPr>
          <w:rFonts w:hint="eastAsia"/>
        </w:rPr>
        <w:t>预</w:t>
      </w:r>
      <w:r>
        <w:t>热，</w:t>
      </w:r>
      <w:r>
        <w:rPr>
          <w:rFonts w:hint="eastAsia"/>
        </w:rPr>
        <w:t>预热过程全密闭，预</w:t>
      </w:r>
      <w:r>
        <w:t>热后的漆料经</w:t>
      </w:r>
      <w:r>
        <w:rPr>
          <w:rFonts w:hint="eastAsia"/>
        </w:rPr>
        <w:t>密闭管道</w:t>
      </w:r>
      <w:r>
        <w:t>输送至漆盒</w:t>
      </w:r>
      <w:r>
        <w:rPr>
          <w:rFonts w:hint="eastAsia"/>
        </w:rPr>
        <w:t>内备用</w:t>
      </w:r>
      <w:r>
        <w:t>。漆料使用完</w:t>
      </w:r>
      <w:r>
        <w:rPr>
          <w:rFonts w:hint="eastAsia"/>
        </w:rPr>
        <w:t>，空油</w:t>
      </w:r>
      <w:r>
        <w:t>漆桶</w:t>
      </w:r>
      <w:r>
        <w:rPr>
          <w:rFonts w:hint="eastAsia"/>
        </w:rPr>
        <w:t>直接</w:t>
      </w:r>
      <w:r>
        <w:t>由厂家拉走循环利用。</w:t>
      </w:r>
      <w:r>
        <w:rPr>
          <w:rFonts w:hint="eastAsia"/>
        </w:rPr>
        <w:t>根据《固体废物鉴别标准</w:t>
      </w:r>
      <w:r>
        <w:rPr>
          <w:rFonts w:hint="eastAsia"/>
        </w:rPr>
        <w:t xml:space="preserve">  </w:t>
      </w:r>
      <w:r>
        <w:rPr>
          <w:rFonts w:hint="eastAsia"/>
        </w:rPr>
        <w:t>通则》（</w:t>
      </w:r>
      <w:r>
        <w:rPr>
          <w:rFonts w:hint="eastAsia"/>
        </w:rPr>
        <w:t>GB34330-2017</w:t>
      </w:r>
      <w:r>
        <w:rPr>
          <w:rFonts w:hint="eastAsia"/>
        </w:rPr>
        <w:t>）中</w:t>
      </w:r>
      <w:r>
        <w:rPr>
          <w:rFonts w:hint="eastAsia"/>
        </w:rPr>
        <w:t>6.1</w:t>
      </w:r>
      <w:r>
        <w:rPr>
          <w:rFonts w:hint="eastAsia"/>
        </w:rPr>
        <w:t>：任何不需要修复和加工即可用于其原始用途的物质，可不作为固体废物管理。因此，空油漆桶不属于固体废物。</w:t>
      </w:r>
    </w:p>
    <w:p w:rsidR="00EE56C0" w:rsidRDefault="000F36A1">
      <w:pPr>
        <w:ind w:firstLine="480"/>
      </w:pPr>
      <w:r>
        <w:rPr>
          <w:rFonts w:hint="eastAsia"/>
        </w:rPr>
        <w:t>浸漆</w:t>
      </w:r>
      <w:r>
        <w:t>工艺</w:t>
      </w:r>
      <w:r>
        <w:rPr>
          <w:rFonts w:hint="eastAsia"/>
        </w:rPr>
        <w:t>的作用是为</w:t>
      </w:r>
      <w:r>
        <w:t>导线涂覆一种或多种均匀而有一定厚度的漆膜，在</w:t>
      </w:r>
      <w:r>
        <w:rPr>
          <w:rFonts w:hint="eastAsia"/>
        </w:rPr>
        <w:t>浸</w:t>
      </w:r>
      <w:r>
        <w:t>漆过程中，预热后的漆料从漆盒模孔流出，同时铜丝从模孔之间穿过，使得漆液均匀涂覆在铜线表面，漆料流体从漆盒模孔流出后向下流至</w:t>
      </w:r>
      <w:r>
        <w:rPr>
          <w:rFonts w:hint="eastAsia"/>
        </w:rPr>
        <w:t>密封</w:t>
      </w:r>
      <w:r>
        <w:t>漆槽上，经漆槽收集后经管道将漆料再次输送至漆盒循环使用，从而形成一个闭路循环系统。</w:t>
      </w:r>
    </w:p>
    <w:p w:rsidR="00EE56C0" w:rsidRDefault="000F36A1">
      <w:pPr>
        <w:ind w:firstLine="480"/>
      </w:pPr>
      <w:r>
        <w:rPr>
          <w:rFonts w:hint="eastAsia"/>
        </w:rPr>
        <w:t>本项目漆包线漆料属于绝缘涂料，因此参照</w:t>
      </w:r>
      <w:r>
        <w:t>《低挥发性有机化合物含量涂料产品技术要求》（</w:t>
      </w:r>
      <w:r>
        <w:t>GB/T 38597-2020</w:t>
      </w:r>
      <w:r>
        <w:t>）</w:t>
      </w:r>
      <w:r>
        <w:rPr>
          <w:rFonts w:hint="eastAsia"/>
        </w:rPr>
        <w:t>中表</w:t>
      </w:r>
      <w:r>
        <w:rPr>
          <w:rFonts w:hint="eastAsia"/>
        </w:rPr>
        <w:t>2-</w:t>
      </w:r>
      <w:r>
        <w:rPr>
          <w:rFonts w:hint="eastAsia"/>
        </w:rPr>
        <w:t>金属基材防腐涂料（双组份涂料：面漆）</w:t>
      </w:r>
      <w:r>
        <w:rPr>
          <w:rFonts w:hint="eastAsia"/>
        </w:rPr>
        <w:t>450g/L</w:t>
      </w:r>
      <w:r>
        <w:rPr>
          <w:rFonts w:hint="eastAsia"/>
        </w:rPr>
        <w:t>限值要求进行对比。</w:t>
      </w:r>
      <w:r w:rsidR="00D7767C" w:rsidRPr="00D201A4">
        <w:rPr>
          <w:rFonts w:hint="eastAsia"/>
          <w:b/>
          <w:u w:val="single"/>
        </w:rPr>
        <w:t>根据企业提供的漆料</w:t>
      </w:r>
      <w:r w:rsidR="00D7767C" w:rsidRPr="00D201A4">
        <w:rPr>
          <w:rFonts w:hint="eastAsia"/>
          <w:b/>
          <w:u w:val="single"/>
        </w:rPr>
        <w:t>VOCs</w:t>
      </w:r>
      <w:r w:rsidR="00D7767C" w:rsidRPr="00D201A4">
        <w:rPr>
          <w:rFonts w:hint="eastAsia"/>
          <w:b/>
          <w:u w:val="single"/>
        </w:rPr>
        <w:t>监测报告，聚酯漆</w:t>
      </w:r>
      <w:r w:rsidR="00D7767C" w:rsidRPr="00D201A4">
        <w:rPr>
          <w:rFonts w:hint="eastAsia"/>
          <w:b/>
          <w:u w:val="single"/>
        </w:rPr>
        <w:t>VOCs</w:t>
      </w:r>
      <w:r w:rsidR="00D7767C" w:rsidRPr="00D201A4">
        <w:rPr>
          <w:rFonts w:hint="eastAsia"/>
          <w:b/>
          <w:u w:val="single"/>
        </w:rPr>
        <w:t>含量为</w:t>
      </w:r>
      <w:r w:rsidR="00D7767C" w:rsidRPr="00D201A4">
        <w:rPr>
          <w:rFonts w:hint="eastAsia"/>
          <w:b/>
          <w:u w:val="single"/>
        </w:rPr>
        <w:t>344g/L</w:t>
      </w:r>
      <w:r w:rsidR="00D7767C" w:rsidRPr="00D201A4">
        <w:rPr>
          <w:rFonts w:hint="eastAsia"/>
          <w:b/>
          <w:u w:val="single"/>
        </w:rPr>
        <w:t>，聚酰胺酰亚胺漆</w:t>
      </w:r>
      <w:r w:rsidR="00D7767C" w:rsidRPr="00D201A4">
        <w:rPr>
          <w:rFonts w:hint="eastAsia"/>
          <w:b/>
          <w:u w:val="single"/>
        </w:rPr>
        <w:t>VOCs</w:t>
      </w:r>
      <w:r w:rsidR="00D7767C" w:rsidRPr="00D201A4">
        <w:rPr>
          <w:rFonts w:hint="eastAsia"/>
          <w:b/>
          <w:u w:val="single"/>
        </w:rPr>
        <w:t>含量</w:t>
      </w:r>
      <w:r w:rsidR="00D7767C" w:rsidRPr="00D201A4">
        <w:rPr>
          <w:rFonts w:hint="eastAsia"/>
          <w:b/>
          <w:u w:val="single"/>
        </w:rPr>
        <w:t>402g/L</w:t>
      </w:r>
      <w:r w:rsidR="00D7767C" w:rsidRPr="00D201A4">
        <w:rPr>
          <w:rFonts w:hint="eastAsia"/>
          <w:b/>
          <w:u w:val="single"/>
        </w:rPr>
        <w:t>，均低于</w:t>
      </w:r>
      <w:r w:rsidR="00D7767C" w:rsidRPr="00D201A4">
        <w:rPr>
          <w:rFonts w:hint="eastAsia"/>
          <w:b/>
          <w:u w:val="single"/>
        </w:rPr>
        <w:t>450g/L</w:t>
      </w:r>
      <w:r w:rsidR="00D7767C" w:rsidRPr="00D201A4">
        <w:rPr>
          <w:rFonts w:hint="eastAsia"/>
          <w:b/>
          <w:u w:val="single"/>
        </w:rPr>
        <w:t>，即漆包线漆料属于低挥发性有机化合物含量涂料。</w:t>
      </w:r>
    </w:p>
    <w:p w:rsidR="00EE56C0" w:rsidRDefault="000F36A1">
      <w:pPr>
        <w:ind w:firstLine="482"/>
      </w:pPr>
      <w:r>
        <w:rPr>
          <w:rFonts w:hint="eastAsia"/>
          <w:b/>
        </w:rPr>
        <w:t>烘干：</w:t>
      </w:r>
      <w:r>
        <w:t>经涂覆的铜丝进入漆包机密封状态的烘箱，烘箱最高温度约</w:t>
      </w:r>
      <w:r>
        <w:t>630</w:t>
      </w:r>
      <w:r>
        <w:rPr>
          <w:rFonts w:ascii="宋体" w:hAnsi="宋体" w:cs="宋体" w:hint="eastAsia"/>
        </w:rPr>
        <w:t>℃</w:t>
      </w:r>
      <w:r>
        <w:rPr>
          <w:rFonts w:hint="eastAsia"/>
        </w:rPr>
        <w:t>，烘箱采用电加热方式加热，</w:t>
      </w:r>
      <w:r>
        <w:t>在烘箱内，酚类溶剂全部挥发，漆基高聚物从溶液状</w:t>
      </w:r>
      <w:r>
        <w:lastRenderedPageBreak/>
        <w:t>态变成固体。</w:t>
      </w:r>
      <w:r>
        <w:rPr>
          <w:rFonts w:hint="eastAsia"/>
        </w:rPr>
        <w:t>烘干工序产生废气。</w:t>
      </w:r>
      <w:r>
        <w:rPr>
          <w:rFonts w:hint="eastAsia"/>
        </w:rPr>
        <w:t xml:space="preserve"> </w:t>
      </w:r>
    </w:p>
    <w:p w:rsidR="00EE56C0" w:rsidRDefault="000F36A1">
      <w:pPr>
        <w:ind w:firstLine="480"/>
      </w:pPr>
      <w:r>
        <w:t>本项</w:t>
      </w:r>
      <w:r>
        <w:rPr>
          <w:rFonts w:hint="eastAsia"/>
        </w:rPr>
        <w:t>目浸</w:t>
      </w:r>
      <w:r>
        <w:t>漆过程的</w:t>
      </w:r>
      <w:r>
        <w:rPr>
          <w:rFonts w:hint="eastAsia"/>
        </w:rPr>
        <w:t>浸</w:t>
      </w:r>
      <w:r>
        <w:t>漆、烘干均在漆包机内完成，每台漆包机均配有</w:t>
      </w:r>
      <w:r>
        <w:rPr>
          <w:rFonts w:hint="eastAsia"/>
        </w:rPr>
        <w:t>三</w:t>
      </w:r>
      <w:r>
        <w:t>次催化燃烧热风系统，</w:t>
      </w:r>
      <w:r>
        <w:rPr>
          <w:rFonts w:hint="eastAsia"/>
        </w:rPr>
        <w:t>浸</w:t>
      </w:r>
      <w:r>
        <w:t>漆及烘干过程挥发的气态有机物进入漆包机配套的</w:t>
      </w:r>
      <w:r>
        <w:rPr>
          <w:rFonts w:hint="eastAsia"/>
        </w:rPr>
        <w:t>三</w:t>
      </w:r>
      <w:r>
        <w:t>次催化燃烧热风循环系统，经催化燃烧产生的热烟气经换热器将部分热量提供给烘箱</w:t>
      </w:r>
      <w:r>
        <w:rPr>
          <w:rFonts w:hint="eastAsia"/>
        </w:rPr>
        <w:t>，废气</w:t>
      </w:r>
      <w:r>
        <w:t>通过</w:t>
      </w:r>
      <w:r>
        <w:rPr>
          <w:rFonts w:hint="eastAsia"/>
        </w:rPr>
        <w:t>活性炭转轮吸附</w:t>
      </w:r>
      <w:r>
        <w:rPr>
          <w:rFonts w:hint="eastAsia"/>
        </w:rPr>
        <w:t>-</w:t>
      </w:r>
      <w:r>
        <w:rPr>
          <w:rFonts w:hint="eastAsia"/>
        </w:rPr>
        <w:t>脱附</w:t>
      </w:r>
      <w:r>
        <w:rPr>
          <w:rFonts w:hint="eastAsia"/>
        </w:rPr>
        <w:t>-</w:t>
      </w:r>
      <w:r>
        <w:rPr>
          <w:rFonts w:hint="eastAsia"/>
        </w:rPr>
        <w:t>催化燃烧装置进一步治理</w:t>
      </w:r>
      <w:r>
        <w:t>后经</w:t>
      </w:r>
      <w:r>
        <w:rPr>
          <w:rFonts w:hint="eastAsia"/>
        </w:rPr>
        <w:t>26.5</w:t>
      </w:r>
      <w:r>
        <w:t>m</w:t>
      </w:r>
      <w:r>
        <w:t>高排气筒排放。</w:t>
      </w:r>
    </w:p>
    <w:p w:rsidR="00EE56C0" w:rsidRDefault="000F36A1">
      <w:pPr>
        <w:ind w:firstLine="480"/>
      </w:pPr>
      <w:r>
        <w:rPr>
          <w:rFonts w:hint="eastAsia"/>
        </w:rPr>
        <w:t>三</w:t>
      </w:r>
      <w:r>
        <w:t>次催化燃烧热风循环系统原理简介：漆包机产生的</w:t>
      </w:r>
      <w:r>
        <w:rPr>
          <w:rFonts w:hint="eastAsia"/>
        </w:rPr>
        <w:t>烘干</w:t>
      </w:r>
      <w:r>
        <w:t>废气</w:t>
      </w:r>
      <w:r>
        <w:rPr>
          <w:rFonts w:hint="eastAsia"/>
        </w:rPr>
        <w:t>先</w:t>
      </w:r>
      <w:r>
        <w:t>进入</w:t>
      </w:r>
      <w:r>
        <w:rPr>
          <w:rFonts w:hint="eastAsia"/>
        </w:rPr>
        <w:t>第一次</w:t>
      </w:r>
      <w:r>
        <w:t>尾气处理装置进行催化燃烧，经过催化燃烧净化后</w:t>
      </w:r>
      <w:r>
        <w:rPr>
          <w:rFonts w:hint="eastAsia"/>
        </w:rPr>
        <w:t>的尾气</w:t>
      </w:r>
      <w:r>
        <w:t>生成高温热能气流，再进入热交换器与送入烘干炉内的新鲜空气进行充分的热能交换，交换后的高热能气流再由烘干炉进口送入烘干炉内进行热能利用，新鲜空气提供给催化燃烧充足的氧气，极大地提高了催化燃烧效率，</w:t>
      </w:r>
      <w:r>
        <w:rPr>
          <w:rFonts w:hint="eastAsia"/>
        </w:rPr>
        <w:t>少量</w:t>
      </w:r>
      <w:r>
        <w:t>废气再经过</w:t>
      </w:r>
      <w:r>
        <w:rPr>
          <w:rFonts w:hint="eastAsia"/>
        </w:rPr>
        <w:t>第二道催化燃烧装置处理</w:t>
      </w:r>
      <w:r>
        <w:t>后</w:t>
      </w:r>
      <w:r>
        <w:rPr>
          <w:rFonts w:hint="eastAsia"/>
        </w:rPr>
        <w:t>，尾气生成</w:t>
      </w:r>
      <w:r>
        <w:t>高温热能气流，再进入热交换器与送入烘干炉内的新鲜空气进行充分的热能交换，</w:t>
      </w:r>
      <w:r>
        <w:rPr>
          <w:rFonts w:hint="eastAsia"/>
        </w:rPr>
        <w:t>少量</w:t>
      </w:r>
      <w:r>
        <w:t>废气再经过</w:t>
      </w:r>
      <w:r>
        <w:rPr>
          <w:rFonts w:hint="eastAsia"/>
        </w:rPr>
        <w:t>第三道催化燃烧装置处理</w:t>
      </w:r>
      <w:r>
        <w:t>后排</w:t>
      </w:r>
      <w:r>
        <w:rPr>
          <w:rFonts w:hint="eastAsia"/>
        </w:rPr>
        <w:t>出</w:t>
      </w:r>
      <w:r>
        <w:t>炉体之外</w:t>
      </w:r>
      <w:r>
        <w:rPr>
          <w:rFonts w:hint="eastAsia"/>
        </w:rPr>
        <w:t>。</w:t>
      </w:r>
    </w:p>
    <w:p w:rsidR="00EE56C0" w:rsidRDefault="000F36A1">
      <w:pPr>
        <w:ind w:firstLine="482"/>
        <w:rPr>
          <w:b/>
        </w:rPr>
      </w:pPr>
      <w:r>
        <w:rPr>
          <w:b/>
        </w:rPr>
        <w:t>冷却：</w:t>
      </w:r>
      <w:r>
        <w:t>铜线</w:t>
      </w:r>
      <w:r>
        <w:rPr>
          <w:rFonts w:hint="eastAsia"/>
        </w:rPr>
        <w:t>浸</w:t>
      </w:r>
      <w:r>
        <w:t>漆后的漆膜经烘炉固化后，铜线从烘箱移出后的温度在</w:t>
      </w:r>
      <w:r>
        <w:t>100</w:t>
      </w:r>
      <w:r>
        <w:rPr>
          <w:rFonts w:ascii="宋体" w:hAnsi="宋体" w:cs="宋体" w:hint="eastAsia"/>
        </w:rPr>
        <w:t>℃</w:t>
      </w:r>
      <w:r>
        <w:t>以上，铜线无法工作，需要将其降温至</w:t>
      </w:r>
      <w:r>
        <w:t>60~70</w:t>
      </w:r>
      <w:r>
        <w:rPr>
          <w:rFonts w:ascii="宋体" w:hAnsi="宋体" w:cs="宋体" w:hint="eastAsia"/>
        </w:rPr>
        <w:t>℃</w:t>
      </w:r>
      <w:r>
        <w:t>，便于后期检验，采用自然风冷的方式进行冷却，</w:t>
      </w:r>
      <w:r>
        <w:rPr>
          <w:rFonts w:hint="eastAsia"/>
        </w:rPr>
        <w:t>利用</w:t>
      </w:r>
      <w:r>
        <w:t>风机将车间内自然风吸入风道内对铜线进一步冷却，使漆膜达到所需的硬度。</w:t>
      </w:r>
      <w:r>
        <w:rPr>
          <w:rFonts w:hint="eastAsia"/>
        </w:rPr>
        <w:t>冷却工序产生噪声。</w:t>
      </w:r>
    </w:p>
    <w:p w:rsidR="00EE56C0" w:rsidRDefault="000F36A1">
      <w:pPr>
        <w:ind w:firstLine="482"/>
      </w:pPr>
      <w:r>
        <w:rPr>
          <w:b/>
        </w:rPr>
        <w:t>检验：</w:t>
      </w:r>
      <w:r>
        <w:t>经多次冷却、收线后的产品使用自动在线监测装置检测其力学性能指标。</w:t>
      </w:r>
      <w:r>
        <w:rPr>
          <w:rFonts w:hint="eastAsia"/>
        </w:rPr>
        <w:t>检验工序产生残次品。</w:t>
      </w:r>
    </w:p>
    <w:p w:rsidR="00EE56C0" w:rsidRDefault="000F36A1">
      <w:pPr>
        <w:ind w:firstLine="482"/>
      </w:pPr>
      <w:r>
        <w:rPr>
          <w:b/>
        </w:rPr>
        <w:t>包装：</w:t>
      </w:r>
      <w:r>
        <w:t>检测合格的铜线</w:t>
      </w:r>
      <w:r>
        <w:rPr>
          <w:rFonts w:hint="eastAsia"/>
        </w:rPr>
        <w:t>收线前上一层排线油，将分装后的小桶装排线油倒入油槽，油槽内有毛毡，铜线经过毛毡时完成上油工序，利于客户在使用时减少摩擦方便防线，之后收线</w:t>
      </w:r>
      <w:r>
        <w:t>绕成盘、人工包纸后即为成品</w:t>
      </w:r>
    </w:p>
    <w:p w:rsidR="00EE56C0" w:rsidRDefault="000F36A1">
      <w:pPr>
        <w:pStyle w:val="4"/>
        <w:ind w:left="120" w:firstLine="241"/>
      </w:pPr>
      <w:r>
        <w:rPr>
          <w:rFonts w:hint="eastAsia"/>
        </w:rPr>
        <w:t>3.1.7.2</w:t>
      </w:r>
      <w:r>
        <w:rPr>
          <w:rFonts w:hint="eastAsia"/>
        </w:rPr>
        <w:t>现有纸包线、薄膜烧结线、丝包线工艺</w:t>
      </w:r>
    </w:p>
    <w:p w:rsidR="00EE56C0" w:rsidRDefault="000F36A1">
      <w:pPr>
        <w:ind w:firstLine="480"/>
      </w:pPr>
      <w:r>
        <w:rPr>
          <w:rFonts w:hint="eastAsia"/>
        </w:rPr>
        <w:t>本项目纸包线、薄膜烧结线、丝包线的生产工艺流程图见图</w:t>
      </w:r>
      <w:r>
        <w:rPr>
          <w:rFonts w:hint="eastAsia"/>
        </w:rPr>
        <w:t>3-2</w:t>
      </w:r>
      <w:r>
        <w:rPr>
          <w:rFonts w:hint="eastAsia"/>
        </w:rPr>
        <w:t>。</w:t>
      </w:r>
    </w:p>
    <w:p w:rsidR="00EE56C0" w:rsidRDefault="00EE56C0">
      <w:pPr>
        <w:ind w:firstLine="480"/>
      </w:pPr>
    </w:p>
    <w:p w:rsidR="00EE56C0" w:rsidRDefault="00EE56C0">
      <w:pPr>
        <w:ind w:firstLine="480"/>
      </w:pPr>
    </w:p>
    <w:p w:rsidR="00EE56C0" w:rsidRDefault="00EE56C0">
      <w:pPr>
        <w:ind w:firstLine="480"/>
      </w:pPr>
    </w:p>
    <w:p w:rsidR="00EE56C0" w:rsidRDefault="00340837">
      <w:pPr>
        <w:ind w:firstLine="480"/>
      </w:pPr>
      <w:r>
        <w:pict>
          <v:shape id="对象 3557" o:spid="_x0000_s2146" type="#_x0000_t75" style="position:absolute;left:0;text-align:left;margin-left:29.2pt;margin-top:-4.65pt;width:362.45pt;height:381.55pt;z-index:251689472">
            <v:imagedata r:id="rId29" o:title=""/>
          </v:shape>
          <o:OLEObject Type="Embed" ProgID="Visio.Drawing.11" ShapeID="对象 3557" DrawAspect="Content" ObjectID="_1705848367" r:id="rId30"/>
        </w:pict>
      </w:r>
    </w:p>
    <w:p w:rsidR="00EE56C0" w:rsidRDefault="00EE56C0">
      <w:pPr>
        <w:ind w:firstLine="480"/>
      </w:pPr>
    </w:p>
    <w:p w:rsidR="00EE56C0" w:rsidRDefault="00EE56C0">
      <w:pPr>
        <w:ind w:firstLine="480"/>
      </w:pPr>
    </w:p>
    <w:p w:rsidR="00EE56C0" w:rsidRDefault="00EE56C0">
      <w:pPr>
        <w:ind w:firstLine="480"/>
      </w:pPr>
    </w:p>
    <w:p w:rsidR="00EE56C0" w:rsidRDefault="00EE56C0">
      <w:pPr>
        <w:ind w:firstLine="480"/>
      </w:pPr>
    </w:p>
    <w:p w:rsidR="00EE56C0" w:rsidRDefault="00EE56C0">
      <w:pPr>
        <w:ind w:firstLine="480"/>
      </w:pPr>
    </w:p>
    <w:p w:rsidR="00EE56C0" w:rsidRDefault="00EE56C0">
      <w:pPr>
        <w:ind w:firstLine="480"/>
      </w:pPr>
    </w:p>
    <w:p w:rsidR="00EE56C0" w:rsidRDefault="00EE56C0">
      <w:pPr>
        <w:ind w:firstLine="480"/>
      </w:pPr>
    </w:p>
    <w:p w:rsidR="00EE56C0" w:rsidRDefault="00EE56C0">
      <w:pPr>
        <w:ind w:firstLine="480"/>
      </w:pPr>
    </w:p>
    <w:p w:rsidR="00EE56C0" w:rsidRDefault="00EE56C0">
      <w:pPr>
        <w:ind w:firstLine="480"/>
      </w:pPr>
    </w:p>
    <w:p w:rsidR="00EE56C0" w:rsidRDefault="00EE56C0">
      <w:pPr>
        <w:ind w:firstLine="480"/>
      </w:pPr>
    </w:p>
    <w:p w:rsidR="00EE56C0" w:rsidRDefault="00EE56C0">
      <w:pPr>
        <w:ind w:firstLine="480"/>
      </w:pPr>
    </w:p>
    <w:p w:rsidR="00EE56C0" w:rsidRDefault="00EE56C0">
      <w:pPr>
        <w:ind w:firstLine="480"/>
      </w:pPr>
    </w:p>
    <w:p w:rsidR="00EE56C0" w:rsidRDefault="000F36A1">
      <w:pPr>
        <w:spacing w:line="500" w:lineRule="exact"/>
        <w:ind w:firstLine="480"/>
        <w:rPr>
          <w:rFonts w:eastAsia="黑体"/>
        </w:rPr>
      </w:pPr>
      <w:r>
        <w:rPr>
          <w:rFonts w:eastAsia="黑体" w:hAnsi="黑体"/>
          <w:szCs w:val="22"/>
        </w:rPr>
        <w:t>注：</w:t>
      </w:r>
      <w:r>
        <w:rPr>
          <w:rFonts w:eastAsia="黑体"/>
          <w:szCs w:val="22"/>
        </w:rPr>
        <w:t>G</w:t>
      </w:r>
      <w:r>
        <w:rPr>
          <w:rFonts w:eastAsia="黑体" w:hAnsi="黑体"/>
          <w:szCs w:val="22"/>
        </w:rPr>
        <w:t>：废气、</w:t>
      </w:r>
      <w:r>
        <w:rPr>
          <w:rFonts w:eastAsia="黑体"/>
          <w:szCs w:val="22"/>
        </w:rPr>
        <w:t>N</w:t>
      </w:r>
      <w:r>
        <w:rPr>
          <w:rFonts w:eastAsia="黑体" w:hAnsi="黑体"/>
          <w:szCs w:val="22"/>
        </w:rPr>
        <w:t>：噪声</w:t>
      </w:r>
    </w:p>
    <w:p w:rsidR="00EE56C0" w:rsidRDefault="00EE56C0">
      <w:pPr>
        <w:pStyle w:val="aff8"/>
        <w:spacing w:line="500" w:lineRule="exact"/>
      </w:pPr>
    </w:p>
    <w:p w:rsidR="00EE56C0" w:rsidRDefault="000F36A1">
      <w:pPr>
        <w:pStyle w:val="aff8"/>
        <w:spacing w:line="500" w:lineRule="exact"/>
      </w:pPr>
      <w:r>
        <w:rPr>
          <w:rFonts w:hint="eastAsia"/>
        </w:rPr>
        <w:t>图</w:t>
      </w:r>
      <w:r>
        <w:rPr>
          <w:rFonts w:hint="eastAsia"/>
        </w:rPr>
        <w:t xml:space="preserve">3-2  </w:t>
      </w:r>
      <w:r>
        <w:rPr>
          <w:rFonts w:hint="eastAsia"/>
        </w:rPr>
        <w:t>现有丝包线、纸包线、薄膜烧结线工艺流程及产污环节图</w:t>
      </w:r>
    </w:p>
    <w:p w:rsidR="00EE56C0" w:rsidRDefault="000F36A1">
      <w:pPr>
        <w:ind w:firstLine="480"/>
      </w:pPr>
      <w:r>
        <w:rPr>
          <w:rFonts w:hint="eastAsia"/>
        </w:rPr>
        <w:t>工艺流程简述：</w:t>
      </w:r>
    </w:p>
    <w:p w:rsidR="00EE56C0" w:rsidRDefault="000F36A1">
      <w:pPr>
        <w:ind w:firstLine="480"/>
      </w:pPr>
      <w:r>
        <w:rPr>
          <w:rFonts w:ascii="宋体" w:hAnsi="宋体" w:hint="eastAsia"/>
        </w:rPr>
        <w:t>挤压：利用挤压机</w:t>
      </w:r>
      <w:r>
        <w:rPr>
          <w:rFonts w:hAnsi="宋体"/>
        </w:rPr>
        <w:t>将直径为</w:t>
      </w:r>
      <w:r>
        <w:t>12.5mm</w:t>
      </w:r>
      <w:r>
        <w:rPr>
          <w:rFonts w:hAnsi="宋体"/>
        </w:rPr>
        <w:t>的无氧铜杆挤压成</w:t>
      </w:r>
      <w:r>
        <w:t>4-80mm</w:t>
      </w:r>
      <w:r>
        <w:rPr>
          <w:vertAlign w:val="superscript"/>
        </w:rPr>
        <w:t>2</w:t>
      </w:r>
      <w:r>
        <w:rPr>
          <w:rFonts w:hAnsi="宋体"/>
        </w:rPr>
        <w:t>的软态铜线。</w:t>
      </w:r>
      <w:r>
        <w:rPr>
          <w:rFonts w:hint="eastAsia"/>
        </w:rPr>
        <w:t>挤压工序产生噪声。</w:t>
      </w:r>
    </w:p>
    <w:p w:rsidR="00EE56C0" w:rsidRDefault="000F36A1">
      <w:pPr>
        <w:ind w:firstLine="480"/>
      </w:pPr>
      <w:r>
        <w:rPr>
          <w:rFonts w:hAnsi="宋体"/>
        </w:rPr>
        <w:t>冷却：挤压后的不同直径的铜线经冷却后被收在线盘上。冷却过程以去离子水为介质进行冷却，去离子水与铜线不接触。冷却水循环使用，不外排。</w:t>
      </w:r>
    </w:p>
    <w:p w:rsidR="00EE56C0" w:rsidRDefault="000F36A1">
      <w:pPr>
        <w:ind w:firstLine="480"/>
        <w:rPr>
          <w:rFonts w:ascii="宋体" w:hAnsi="宋体"/>
        </w:rPr>
      </w:pPr>
      <w:r>
        <w:rPr>
          <w:rFonts w:hAnsi="宋体"/>
        </w:rPr>
        <w:t>纸包线：将铜线放线，利用纸包机将纸包覆在铜线上，然后将其收在线盘上即为成品纸包线</w:t>
      </w:r>
      <w:r>
        <w:rPr>
          <w:rFonts w:ascii="宋体" w:hAnsi="宋体" w:hint="eastAsia"/>
        </w:rPr>
        <w:t>。</w:t>
      </w:r>
    </w:p>
    <w:p w:rsidR="00EE56C0" w:rsidRDefault="000F36A1">
      <w:pPr>
        <w:ind w:firstLine="480"/>
        <w:rPr>
          <w:rFonts w:ascii="宋体" w:hAnsi="宋体"/>
        </w:rPr>
      </w:pPr>
      <w:r>
        <w:rPr>
          <w:rFonts w:hint="eastAsia"/>
        </w:rPr>
        <w:t>薄膜烧结线：将铜线放线，利用膜包机将聚酰亚胺薄膜包覆在铜线上，再利用高频烧结机将其加热固化，然后将其收在线盘上即为成品烧结线</w:t>
      </w:r>
      <w:r>
        <w:rPr>
          <w:rFonts w:ascii="宋体" w:hAnsi="宋体" w:hint="eastAsia"/>
        </w:rPr>
        <w:t>。</w:t>
      </w:r>
      <w:r>
        <w:rPr>
          <w:rFonts w:hAnsi="宋体"/>
        </w:rPr>
        <w:t>加热温度</w:t>
      </w:r>
      <w:r>
        <w:lastRenderedPageBreak/>
        <w:t>200~300</w:t>
      </w:r>
      <w:r>
        <w:rPr>
          <w:rFonts w:hAnsi="宋体"/>
        </w:rPr>
        <w:t>℃，</w:t>
      </w:r>
      <w:r>
        <w:t>聚酰亚胺薄膜在</w:t>
      </w:r>
      <w:r>
        <w:t>-200~300</w:t>
      </w:r>
      <w:r>
        <w:rPr>
          <w:rFonts w:ascii="宋体" w:hAnsi="宋体" w:cs="宋体" w:hint="eastAsia"/>
        </w:rPr>
        <w:t>℃</w:t>
      </w:r>
      <w:r>
        <w:t>条件下比较稳定</w:t>
      </w:r>
      <w:r>
        <w:rPr>
          <w:rFonts w:hint="eastAsia"/>
        </w:rPr>
        <w:t>，</w:t>
      </w:r>
      <w:r>
        <w:rPr>
          <w:rFonts w:hint="eastAsia"/>
          <w:bCs/>
        </w:rPr>
        <w:t>500</w:t>
      </w:r>
      <w:r>
        <w:rPr>
          <w:rFonts w:hint="eastAsia"/>
          <w:bCs/>
        </w:rPr>
        <w:t>℃左右开始发生分解</w:t>
      </w:r>
      <w:r>
        <w:rPr>
          <w:rFonts w:hAnsi="宋体"/>
        </w:rPr>
        <w:t>，</w:t>
      </w:r>
      <w:r>
        <w:rPr>
          <w:rFonts w:hAnsi="宋体" w:hint="eastAsia"/>
        </w:rPr>
        <w:t>加热固化</w:t>
      </w:r>
      <w:r>
        <w:rPr>
          <w:rFonts w:hAnsi="宋体"/>
        </w:rPr>
        <w:t>过程不产生废气。</w:t>
      </w:r>
    </w:p>
    <w:p w:rsidR="00EE56C0" w:rsidRDefault="000F36A1">
      <w:pPr>
        <w:ind w:firstLine="480"/>
      </w:pPr>
      <w:r>
        <w:rPr>
          <w:rFonts w:hint="eastAsia"/>
        </w:rPr>
        <w:t>丝包线：将铜线放线，利用丝包机将玻璃纱包覆在铜线上，包覆后进行涂漆。外购丝包漆为成品桶装（</w:t>
      </w:r>
      <w:r>
        <w:t>25kg</w:t>
      </w:r>
      <w:r>
        <w:rPr>
          <w:rFonts w:hint="eastAsia"/>
        </w:rPr>
        <w:t>/</w:t>
      </w:r>
      <w:r>
        <w:rPr>
          <w:rFonts w:hint="eastAsia"/>
        </w:rPr>
        <w:t>桶），不需要调配，可直接使用。人工将漆料倒入漆盒，加盖进行密封，铜线经过密封的漆盒后，其表面均匀布上一层漆，然后进入烘道进行电加热烘干，烘干温度为</w:t>
      </w:r>
      <w:r>
        <w:rPr>
          <w:rFonts w:hint="eastAsia"/>
        </w:rPr>
        <w:t>250~400</w:t>
      </w:r>
      <w:r>
        <w:rPr>
          <w:rFonts w:hint="eastAsia"/>
        </w:rPr>
        <w:t>℃，烘道为全密闭装置，仅留出原料进、出口，最后将其收在线盘上即为丝包铜线。涂漆、烘干工序会产生有机废气。</w:t>
      </w:r>
    </w:p>
    <w:p w:rsidR="00EE56C0" w:rsidRDefault="000F36A1">
      <w:pPr>
        <w:ind w:firstLine="480"/>
      </w:pPr>
      <w:r>
        <w:rPr>
          <w:rFonts w:hint="eastAsia"/>
          <w:bCs/>
        </w:rPr>
        <w:t>本项目丝包专用漆为外购调配好的漆料，</w:t>
      </w:r>
      <w:r w:rsidR="00D7767C" w:rsidRPr="00505AD2">
        <w:rPr>
          <w:rFonts w:hint="eastAsia"/>
          <w:b/>
          <w:u w:val="single"/>
        </w:rPr>
        <w:t>根据企业提供的漆料</w:t>
      </w:r>
      <w:r w:rsidR="00D7767C" w:rsidRPr="00505AD2">
        <w:rPr>
          <w:rFonts w:hint="eastAsia"/>
          <w:b/>
          <w:u w:val="single"/>
        </w:rPr>
        <w:t>VOCs</w:t>
      </w:r>
      <w:r w:rsidR="00D7767C" w:rsidRPr="00505AD2">
        <w:rPr>
          <w:rFonts w:hint="eastAsia"/>
          <w:b/>
          <w:u w:val="single"/>
        </w:rPr>
        <w:t>监测报告，</w:t>
      </w:r>
      <w:r w:rsidR="00D7767C" w:rsidRPr="00505AD2">
        <w:rPr>
          <w:rFonts w:hint="eastAsia"/>
          <w:b/>
          <w:bCs/>
          <w:u w:val="single"/>
        </w:rPr>
        <w:t>丝包</w:t>
      </w:r>
      <w:r w:rsidR="00D7767C" w:rsidRPr="00505AD2">
        <w:rPr>
          <w:rFonts w:hint="eastAsia"/>
          <w:b/>
          <w:u w:val="single"/>
        </w:rPr>
        <w:t>漆</w:t>
      </w:r>
      <w:r w:rsidR="00D7767C" w:rsidRPr="00505AD2">
        <w:rPr>
          <w:rFonts w:hint="eastAsia"/>
          <w:b/>
          <w:u w:val="single"/>
        </w:rPr>
        <w:t>VOCs</w:t>
      </w:r>
      <w:r w:rsidR="00D7767C" w:rsidRPr="00505AD2">
        <w:rPr>
          <w:rFonts w:hint="eastAsia"/>
          <w:b/>
          <w:u w:val="single"/>
        </w:rPr>
        <w:t>含量为</w:t>
      </w:r>
      <w:r w:rsidR="00D7767C" w:rsidRPr="00505AD2">
        <w:rPr>
          <w:rFonts w:hint="eastAsia"/>
          <w:b/>
          <w:u w:val="single"/>
        </w:rPr>
        <w:t>330g/L</w:t>
      </w:r>
      <w:r w:rsidR="00D7767C" w:rsidRPr="00505AD2">
        <w:rPr>
          <w:rFonts w:hint="eastAsia"/>
          <w:b/>
          <w:u w:val="single"/>
        </w:rPr>
        <w:t>，</w:t>
      </w:r>
      <w:r>
        <w:rPr>
          <w:rFonts w:hint="eastAsia"/>
        </w:rPr>
        <w:t>参照《低挥发性有机化合物含量涂料产品技术要求》中表</w:t>
      </w:r>
      <w:r>
        <w:rPr>
          <w:rFonts w:hint="eastAsia"/>
        </w:rPr>
        <w:t>2</w:t>
      </w:r>
      <w:r>
        <w:rPr>
          <w:rFonts w:hint="eastAsia"/>
        </w:rPr>
        <w:t>：工业防护涂料</w:t>
      </w:r>
      <w:r>
        <w:rPr>
          <w:rFonts w:hint="eastAsia"/>
        </w:rPr>
        <w:t>-</w:t>
      </w:r>
      <w:r>
        <w:rPr>
          <w:rFonts w:hint="eastAsia"/>
        </w:rPr>
        <w:t>金属基材防腐涂料</w:t>
      </w:r>
      <w:r>
        <w:rPr>
          <w:rFonts w:hint="eastAsia"/>
        </w:rPr>
        <w:t>450g/L</w:t>
      </w:r>
      <w:r>
        <w:rPr>
          <w:rFonts w:hint="eastAsia"/>
        </w:rPr>
        <w:t>限值要求</w:t>
      </w:r>
      <w:bookmarkStart w:id="189" w:name="_Toc428287569"/>
      <w:bookmarkStart w:id="190" w:name="_Toc428287217"/>
      <w:bookmarkStart w:id="191" w:name="_Toc428286833"/>
      <w:r>
        <w:rPr>
          <w:rFonts w:hint="eastAsia"/>
        </w:rPr>
        <w:t>进行对比，低于其限值要求。即漆料属于低挥发性有机化合物含量涂料。</w:t>
      </w:r>
    </w:p>
    <w:p w:rsidR="00EE56C0" w:rsidRDefault="000F36A1">
      <w:pPr>
        <w:pStyle w:val="3"/>
        <w:spacing w:before="240" w:after="120"/>
      </w:pPr>
      <w:r>
        <w:rPr>
          <w:rFonts w:hint="eastAsia"/>
        </w:rPr>
        <w:t>3.1.8</w:t>
      </w:r>
      <w:r>
        <w:rPr>
          <w:rFonts w:hint="eastAsia"/>
        </w:rPr>
        <w:t>现有项目水平衡</w:t>
      </w:r>
    </w:p>
    <w:p w:rsidR="00EE56C0" w:rsidRDefault="000F36A1">
      <w:pPr>
        <w:ind w:firstLine="480"/>
      </w:pPr>
      <w:r>
        <w:rPr>
          <w:rFonts w:hint="eastAsia"/>
        </w:rPr>
        <w:t>现有项目水平衡图见图</w:t>
      </w:r>
      <w:r>
        <w:rPr>
          <w:rFonts w:hint="eastAsia"/>
        </w:rPr>
        <w:t>3-3</w:t>
      </w:r>
      <w:r>
        <w:rPr>
          <w:rFonts w:hint="eastAsia"/>
        </w:rPr>
        <w:t>。</w:t>
      </w:r>
    </w:p>
    <w:p w:rsidR="00EE56C0" w:rsidRDefault="00EE56C0">
      <w:pPr>
        <w:pStyle w:val="aff8"/>
      </w:pPr>
      <w:r>
        <w:object w:dxaOrig="12294" w:dyaOrig="7351">
          <v:shape id="_x0000_i1025" type="#_x0000_t75" style="width:411.85pt;height:249.1pt" o:ole="">
            <v:imagedata r:id="rId31" o:title=""/>
          </v:shape>
          <o:OLEObject Type="Embed" ProgID="Visio.Drawing.11" ShapeID="_x0000_i1025" DrawAspect="Content" ObjectID="_1705848353" r:id="rId32"/>
        </w:object>
      </w:r>
    </w:p>
    <w:p w:rsidR="00EE56C0" w:rsidRDefault="000F36A1">
      <w:pPr>
        <w:pStyle w:val="aff8"/>
        <w:rPr>
          <w:u w:val="single"/>
        </w:rPr>
      </w:pPr>
      <w:r>
        <w:rPr>
          <w:rFonts w:hint="eastAsia"/>
          <w:u w:val="single"/>
        </w:rPr>
        <w:t>图</w:t>
      </w:r>
      <w:r>
        <w:rPr>
          <w:rFonts w:hint="eastAsia"/>
          <w:u w:val="single"/>
        </w:rPr>
        <w:t xml:space="preserve">3-3     </w:t>
      </w:r>
      <w:r>
        <w:rPr>
          <w:rFonts w:hint="eastAsia"/>
          <w:u w:val="single"/>
        </w:rPr>
        <w:t>现有项目水平衡图</w:t>
      </w:r>
      <w:r>
        <w:rPr>
          <w:rFonts w:hint="eastAsia"/>
          <w:u w:val="single"/>
        </w:rPr>
        <w:t xml:space="preserve">      </w:t>
      </w:r>
      <w:r>
        <w:rPr>
          <w:rFonts w:hint="eastAsia"/>
          <w:u w:val="single"/>
        </w:rPr>
        <w:t>单位：</w:t>
      </w:r>
      <w:r>
        <w:rPr>
          <w:rFonts w:hint="eastAsia"/>
          <w:u w:val="single"/>
        </w:rPr>
        <w:t>t/d</w:t>
      </w:r>
    </w:p>
    <w:p w:rsidR="00EE56C0" w:rsidRDefault="00EE56C0">
      <w:pPr>
        <w:pStyle w:val="aff8"/>
        <w:sectPr w:rsidR="00EE56C0">
          <w:headerReference w:type="even" r:id="rId33"/>
          <w:headerReference w:type="default" r:id="rId34"/>
          <w:footerReference w:type="even" r:id="rId35"/>
          <w:footerReference w:type="default" r:id="rId36"/>
          <w:headerReference w:type="first" r:id="rId37"/>
          <w:footerReference w:type="first" r:id="rId38"/>
          <w:type w:val="continuous"/>
          <w:pgSz w:w="11906" w:h="16838"/>
          <w:pgMar w:top="1440" w:right="1797" w:bottom="1440" w:left="1797" w:header="851" w:footer="992" w:gutter="0"/>
          <w:pgNumType w:start="1"/>
          <w:cols w:space="720"/>
          <w:docGrid w:linePitch="312"/>
        </w:sectPr>
      </w:pPr>
    </w:p>
    <w:p w:rsidR="00EE56C0" w:rsidRDefault="00EE56C0">
      <w:pPr>
        <w:pStyle w:val="aff8"/>
      </w:pPr>
    </w:p>
    <w:p w:rsidR="00EE56C0" w:rsidRDefault="000F36A1">
      <w:pPr>
        <w:pStyle w:val="3"/>
        <w:spacing w:before="240" w:after="120"/>
      </w:pPr>
      <w:r>
        <w:rPr>
          <w:rFonts w:hint="eastAsia"/>
        </w:rPr>
        <w:lastRenderedPageBreak/>
        <w:t>3.1.9</w:t>
      </w:r>
      <w:r>
        <w:rPr>
          <w:rFonts w:hint="eastAsia"/>
        </w:rPr>
        <w:t>现有产污环节及治理措施</w:t>
      </w:r>
    </w:p>
    <w:p w:rsidR="00EE56C0" w:rsidRDefault="000F36A1">
      <w:pPr>
        <w:ind w:firstLine="480"/>
      </w:pPr>
      <w:r>
        <w:rPr>
          <w:rFonts w:hint="eastAsia"/>
        </w:rPr>
        <w:t>根据上述工艺流程可知，现有项目生产过程中产生的污染因素有废水、废气、噪声和固废。</w:t>
      </w:r>
    </w:p>
    <w:p w:rsidR="00EE56C0" w:rsidRDefault="000F36A1">
      <w:pPr>
        <w:pStyle w:val="afd"/>
        <w:spacing w:before="120" w:after="120"/>
        <w:ind w:firstLine="482"/>
      </w:pPr>
      <w:r>
        <w:t>表</w:t>
      </w:r>
      <w:r>
        <w:rPr>
          <w:rFonts w:hint="eastAsia"/>
        </w:rPr>
        <w:t xml:space="preserve">3-8         </w:t>
      </w:r>
      <w:r w:rsidR="007C1566">
        <w:rPr>
          <w:rFonts w:hint="eastAsia"/>
        </w:rPr>
        <w:t>现有</w:t>
      </w:r>
      <w:r>
        <w:t>工程污染物产排及治理措施情况一览表</w:t>
      </w:r>
    </w:p>
    <w:tbl>
      <w:tblPr>
        <w:tblW w:w="5000" w:type="pct"/>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tblPr>
      <w:tblGrid>
        <w:gridCol w:w="535"/>
        <w:gridCol w:w="563"/>
        <w:gridCol w:w="710"/>
        <w:gridCol w:w="994"/>
        <w:gridCol w:w="1984"/>
        <w:gridCol w:w="851"/>
        <w:gridCol w:w="41"/>
        <w:gridCol w:w="454"/>
        <w:gridCol w:w="923"/>
        <w:gridCol w:w="711"/>
        <w:gridCol w:w="762"/>
      </w:tblGrid>
      <w:tr w:rsidR="00EE56C0">
        <w:trPr>
          <w:trHeight w:val="425"/>
          <w:tblHeader/>
        </w:trPr>
        <w:tc>
          <w:tcPr>
            <w:tcW w:w="314" w:type="pct"/>
            <w:vAlign w:val="center"/>
          </w:tcPr>
          <w:p w:rsidR="00EE56C0" w:rsidRDefault="000F36A1">
            <w:pPr>
              <w:pStyle w:val="aff1"/>
              <w:rPr>
                <w:color w:val="auto"/>
              </w:rPr>
            </w:pPr>
            <w:r>
              <w:rPr>
                <w:color w:val="auto"/>
              </w:rPr>
              <w:t>项目</w:t>
            </w:r>
          </w:p>
        </w:tc>
        <w:tc>
          <w:tcPr>
            <w:tcW w:w="1329" w:type="pct"/>
            <w:gridSpan w:val="3"/>
            <w:vAlign w:val="center"/>
          </w:tcPr>
          <w:p w:rsidR="00EE56C0" w:rsidRDefault="000F36A1">
            <w:pPr>
              <w:pStyle w:val="aff1"/>
              <w:rPr>
                <w:color w:val="auto"/>
              </w:rPr>
            </w:pPr>
            <w:r>
              <w:rPr>
                <w:color w:val="auto"/>
              </w:rPr>
              <w:t>产污环节</w:t>
            </w:r>
          </w:p>
        </w:tc>
        <w:tc>
          <w:tcPr>
            <w:tcW w:w="1163" w:type="pct"/>
            <w:vAlign w:val="center"/>
          </w:tcPr>
          <w:p w:rsidR="00EE56C0" w:rsidRDefault="000F36A1">
            <w:pPr>
              <w:pStyle w:val="aff1"/>
              <w:rPr>
                <w:color w:val="auto"/>
              </w:rPr>
            </w:pPr>
            <w:r>
              <w:rPr>
                <w:color w:val="auto"/>
              </w:rPr>
              <w:t>主要污染物</w:t>
            </w:r>
          </w:p>
        </w:tc>
        <w:tc>
          <w:tcPr>
            <w:tcW w:w="1747" w:type="pct"/>
            <w:gridSpan w:val="5"/>
            <w:vAlign w:val="center"/>
          </w:tcPr>
          <w:p w:rsidR="00EE56C0" w:rsidRDefault="000F36A1">
            <w:pPr>
              <w:pStyle w:val="aff1"/>
              <w:rPr>
                <w:color w:val="auto"/>
              </w:rPr>
            </w:pPr>
            <w:r>
              <w:rPr>
                <w:color w:val="auto"/>
              </w:rPr>
              <w:t>治理措施</w:t>
            </w:r>
          </w:p>
        </w:tc>
        <w:tc>
          <w:tcPr>
            <w:tcW w:w="447" w:type="pct"/>
            <w:vAlign w:val="center"/>
          </w:tcPr>
          <w:p w:rsidR="00EE56C0" w:rsidRDefault="000F36A1">
            <w:pPr>
              <w:pStyle w:val="aff1"/>
              <w:rPr>
                <w:color w:val="auto"/>
              </w:rPr>
            </w:pPr>
            <w:r>
              <w:rPr>
                <w:color w:val="auto"/>
              </w:rPr>
              <w:t>治理效果</w:t>
            </w:r>
          </w:p>
        </w:tc>
      </w:tr>
      <w:tr w:rsidR="00EE56C0">
        <w:trPr>
          <w:trHeight w:val="425"/>
        </w:trPr>
        <w:tc>
          <w:tcPr>
            <w:tcW w:w="314" w:type="pct"/>
            <w:vMerge w:val="restart"/>
            <w:vAlign w:val="center"/>
          </w:tcPr>
          <w:p w:rsidR="00EE56C0" w:rsidRDefault="000F36A1">
            <w:pPr>
              <w:pStyle w:val="afa"/>
            </w:pPr>
            <w:r>
              <w:t>废气</w:t>
            </w:r>
          </w:p>
        </w:tc>
        <w:tc>
          <w:tcPr>
            <w:tcW w:w="330" w:type="pct"/>
            <w:vMerge w:val="restart"/>
            <w:tcBorders>
              <w:right w:val="single" w:sz="4" w:space="0" w:color="auto"/>
            </w:tcBorders>
            <w:vAlign w:val="center"/>
          </w:tcPr>
          <w:p w:rsidR="00EE56C0" w:rsidRDefault="000F36A1">
            <w:pPr>
              <w:pStyle w:val="afa"/>
            </w:pPr>
            <w:r>
              <w:rPr>
                <w:rFonts w:hint="eastAsia"/>
              </w:rPr>
              <w:t>漆包线</w:t>
            </w:r>
          </w:p>
        </w:tc>
        <w:tc>
          <w:tcPr>
            <w:tcW w:w="416" w:type="pct"/>
            <w:tcBorders>
              <w:left w:val="single" w:sz="4" w:space="0" w:color="auto"/>
              <w:right w:val="single" w:sz="4" w:space="0" w:color="auto"/>
            </w:tcBorders>
            <w:vAlign w:val="center"/>
          </w:tcPr>
          <w:p w:rsidR="00EE56C0" w:rsidRDefault="000F36A1">
            <w:pPr>
              <w:pStyle w:val="afa"/>
            </w:pPr>
            <w:r>
              <w:rPr>
                <w:rFonts w:hint="eastAsia"/>
              </w:rPr>
              <w:t>卧式漆包机（</w:t>
            </w:r>
            <w:r>
              <w:rPr>
                <w:rFonts w:hint="eastAsia"/>
              </w:rPr>
              <w:t>15</w:t>
            </w:r>
            <w:r>
              <w:rPr>
                <w:rFonts w:hint="eastAsia"/>
              </w:rPr>
              <w:t>台）</w:t>
            </w:r>
          </w:p>
        </w:tc>
        <w:tc>
          <w:tcPr>
            <w:tcW w:w="583" w:type="pct"/>
            <w:tcBorders>
              <w:left w:val="single" w:sz="4" w:space="0" w:color="auto"/>
            </w:tcBorders>
            <w:vAlign w:val="center"/>
          </w:tcPr>
          <w:p w:rsidR="00EE56C0" w:rsidRDefault="000F36A1">
            <w:pPr>
              <w:pStyle w:val="afa"/>
            </w:pPr>
            <w:r>
              <w:rPr>
                <w:rFonts w:hint="eastAsia"/>
              </w:rPr>
              <w:t>涂漆区、烘炉进出口</w:t>
            </w:r>
          </w:p>
        </w:tc>
        <w:tc>
          <w:tcPr>
            <w:tcW w:w="1163" w:type="pct"/>
            <w:vMerge w:val="restart"/>
            <w:vAlign w:val="center"/>
          </w:tcPr>
          <w:p w:rsidR="00EE56C0" w:rsidRDefault="000F36A1">
            <w:pPr>
              <w:pStyle w:val="afa"/>
              <w:rPr>
                <w:b/>
              </w:rPr>
            </w:pPr>
            <w:r>
              <w:rPr>
                <w:rFonts w:hint="eastAsia"/>
              </w:rPr>
              <w:t>酚、非甲烷总烃、二甲苯、甲苯、苯</w:t>
            </w:r>
          </w:p>
        </w:tc>
        <w:tc>
          <w:tcPr>
            <w:tcW w:w="789" w:type="pct"/>
            <w:gridSpan w:val="3"/>
            <w:tcBorders>
              <w:right w:val="single" w:sz="4" w:space="0" w:color="auto"/>
            </w:tcBorders>
            <w:vAlign w:val="center"/>
          </w:tcPr>
          <w:p w:rsidR="00EE56C0" w:rsidRDefault="000F36A1">
            <w:pPr>
              <w:pStyle w:val="afa"/>
            </w:pPr>
            <w:r>
              <w:rPr>
                <w:rFonts w:hint="eastAsia"/>
              </w:rPr>
              <w:t>封闭式集气罩</w:t>
            </w:r>
          </w:p>
        </w:tc>
        <w:tc>
          <w:tcPr>
            <w:tcW w:w="541" w:type="pct"/>
            <w:vMerge w:val="restart"/>
            <w:tcBorders>
              <w:left w:val="single" w:sz="4" w:space="0" w:color="auto"/>
              <w:right w:val="single" w:sz="4" w:space="0" w:color="auto"/>
            </w:tcBorders>
            <w:vAlign w:val="center"/>
          </w:tcPr>
          <w:p w:rsidR="00EE56C0" w:rsidRDefault="000F36A1">
            <w:pPr>
              <w:pStyle w:val="afa"/>
            </w:pPr>
            <w:r>
              <w:rPr>
                <w:rFonts w:hint="eastAsia"/>
              </w:rPr>
              <w:t>沸石吸附</w:t>
            </w:r>
            <w:r>
              <w:rPr>
                <w:rFonts w:hint="eastAsia"/>
              </w:rPr>
              <w:t>-</w:t>
            </w:r>
            <w:r>
              <w:rPr>
                <w:rFonts w:hint="eastAsia"/>
              </w:rPr>
              <w:t>脱附</w:t>
            </w:r>
            <w:r>
              <w:rPr>
                <w:rFonts w:hint="eastAsia"/>
              </w:rPr>
              <w:t>-</w:t>
            </w:r>
            <w:r>
              <w:rPr>
                <w:rFonts w:hint="eastAsia"/>
              </w:rPr>
              <w:t>催化燃烧</w:t>
            </w:r>
          </w:p>
        </w:tc>
        <w:tc>
          <w:tcPr>
            <w:tcW w:w="417" w:type="pct"/>
            <w:vMerge w:val="restart"/>
            <w:tcBorders>
              <w:left w:val="single" w:sz="4" w:space="0" w:color="auto"/>
            </w:tcBorders>
            <w:vAlign w:val="center"/>
          </w:tcPr>
          <w:p w:rsidR="00EE56C0" w:rsidRDefault="000F36A1">
            <w:pPr>
              <w:pStyle w:val="afa"/>
            </w:pPr>
            <w:r>
              <w:rPr>
                <w:rFonts w:hint="eastAsia"/>
              </w:rPr>
              <w:t>26.5m</w:t>
            </w:r>
            <w:r>
              <w:rPr>
                <w:rFonts w:hint="eastAsia"/>
              </w:rPr>
              <w:t>排气筒</w:t>
            </w:r>
          </w:p>
        </w:tc>
        <w:tc>
          <w:tcPr>
            <w:tcW w:w="447" w:type="pct"/>
            <w:vMerge w:val="restart"/>
            <w:vAlign w:val="center"/>
          </w:tcPr>
          <w:p w:rsidR="00EE56C0" w:rsidRDefault="000F36A1">
            <w:pPr>
              <w:pStyle w:val="afa"/>
            </w:pPr>
            <w:r>
              <w:t>达标排放</w:t>
            </w:r>
          </w:p>
        </w:tc>
      </w:tr>
      <w:tr w:rsidR="00EE56C0">
        <w:trPr>
          <w:trHeight w:val="430"/>
        </w:trPr>
        <w:tc>
          <w:tcPr>
            <w:tcW w:w="314" w:type="pct"/>
            <w:vMerge/>
            <w:vAlign w:val="center"/>
          </w:tcPr>
          <w:p w:rsidR="00EE56C0" w:rsidRDefault="00EE56C0">
            <w:pPr>
              <w:pStyle w:val="afa"/>
            </w:pPr>
          </w:p>
        </w:tc>
        <w:tc>
          <w:tcPr>
            <w:tcW w:w="330" w:type="pct"/>
            <w:vMerge/>
            <w:tcBorders>
              <w:right w:val="single" w:sz="4" w:space="0" w:color="auto"/>
            </w:tcBorders>
            <w:vAlign w:val="center"/>
          </w:tcPr>
          <w:p w:rsidR="00EE56C0" w:rsidRDefault="00EE56C0">
            <w:pPr>
              <w:pStyle w:val="afa"/>
            </w:pPr>
          </w:p>
        </w:tc>
        <w:tc>
          <w:tcPr>
            <w:tcW w:w="416" w:type="pct"/>
            <w:tcBorders>
              <w:left w:val="single" w:sz="4" w:space="0" w:color="auto"/>
              <w:right w:val="single" w:sz="4" w:space="0" w:color="auto"/>
            </w:tcBorders>
            <w:vAlign w:val="center"/>
          </w:tcPr>
          <w:p w:rsidR="00EE56C0" w:rsidRDefault="000F36A1">
            <w:pPr>
              <w:pStyle w:val="afa"/>
            </w:pPr>
            <w:r>
              <w:rPr>
                <w:rFonts w:hint="eastAsia"/>
              </w:rPr>
              <w:t>立式漆包机</w:t>
            </w:r>
          </w:p>
        </w:tc>
        <w:tc>
          <w:tcPr>
            <w:tcW w:w="583" w:type="pct"/>
            <w:tcBorders>
              <w:left w:val="single" w:sz="4" w:space="0" w:color="auto"/>
            </w:tcBorders>
            <w:vAlign w:val="center"/>
          </w:tcPr>
          <w:p w:rsidR="00EE56C0" w:rsidRDefault="000F36A1">
            <w:pPr>
              <w:pStyle w:val="afa"/>
              <w:rPr>
                <w:lang w:val="pt-BR"/>
              </w:rPr>
            </w:pPr>
            <w:r>
              <w:rPr>
                <w:rFonts w:hint="eastAsia"/>
                <w:lang w:val="pt-BR"/>
              </w:rPr>
              <w:t>二次封闭通道</w:t>
            </w:r>
          </w:p>
        </w:tc>
        <w:tc>
          <w:tcPr>
            <w:tcW w:w="1163" w:type="pct"/>
            <w:vMerge/>
            <w:vAlign w:val="center"/>
          </w:tcPr>
          <w:p w:rsidR="00EE56C0" w:rsidRDefault="00EE56C0">
            <w:pPr>
              <w:pStyle w:val="afa"/>
            </w:pPr>
          </w:p>
        </w:tc>
        <w:tc>
          <w:tcPr>
            <w:tcW w:w="789" w:type="pct"/>
            <w:gridSpan w:val="3"/>
            <w:tcBorders>
              <w:right w:val="single" w:sz="4" w:space="0" w:color="auto"/>
            </w:tcBorders>
            <w:vAlign w:val="center"/>
          </w:tcPr>
          <w:p w:rsidR="00EE56C0" w:rsidRDefault="000F36A1">
            <w:pPr>
              <w:pStyle w:val="afa"/>
            </w:pPr>
            <w:r>
              <w:rPr>
                <w:rFonts w:hint="eastAsia"/>
              </w:rPr>
              <w:t>顶部抽风</w:t>
            </w:r>
          </w:p>
        </w:tc>
        <w:tc>
          <w:tcPr>
            <w:tcW w:w="541" w:type="pct"/>
            <w:vMerge/>
            <w:tcBorders>
              <w:left w:val="single" w:sz="4" w:space="0" w:color="auto"/>
              <w:right w:val="single" w:sz="4" w:space="0" w:color="auto"/>
            </w:tcBorders>
            <w:vAlign w:val="center"/>
          </w:tcPr>
          <w:p w:rsidR="00EE56C0" w:rsidRDefault="00EE56C0">
            <w:pPr>
              <w:pStyle w:val="afa"/>
            </w:pPr>
          </w:p>
        </w:tc>
        <w:tc>
          <w:tcPr>
            <w:tcW w:w="417" w:type="pct"/>
            <w:vMerge/>
            <w:tcBorders>
              <w:left w:val="single" w:sz="4" w:space="0" w:color="auto"/>
            </w:tcBorders>
            <w:vAlign w:val="center"/>
          </w:tcPr>
          <w:p w:rsidR="00EE56C0" w:rsidRDefault="00EE56C0">
            <w:pPr>
              <w:pStyle w:val="afa"/>
            </w:pPr>
          </w:p>
        </w:tc>
        <w:tc>
          <w:tcPr>
            <w:tcW w:w="447" w:type="pct"/>
            <w:vMerge/>
            <w:vAlign w:val="center"/>
          </w:tcPr>
          <w:p w:rsidR="00EE56C0" w:rsidRDefault="00EE56C0">
            <w:pPr>
              <w:pStyle w:val="afa"/>
            </w:pPr>
          </w:p>
        </w:tc>
      </w:tr>
      <w:tr w:rsidR="00EE56C0">
        <w:trPr>
          <w:trHeight w:val="425"/>
        </w:trPr>
        <w:tc>
          <w:tcPr>
            <w:tcW w:w="314" w:type="pct"/>
            <w:vMerge/>
            <w:vAlign w:val="center"/>
          </w:tcPr>
          <w:p w:rsidR="00EE56C0" w:rsidRDefault="00EE56C0">
            <w:pPr>
              <w:pStyle w:val="afa"/>
            </w:pPr>
          </w:p>
        </w:tc>
        <w:tc>
          <w:tcPr>
            <w:tcW w:w="330" w:type="pct"/>
            <w:vMerge/>
            <w:tcBorders>
              <w:right w:val="single" w:sz="4" w:space="0" w:color="auto"/>
            </w:tcBorders>
            <w:vAlign w:val="center"/>
          </w:tcPr>
          <w:p w:rsidR="00EE56C0" w:rsidRDefault="00EE56C0">
            <w:pPr>
              <w:pStyle w:val="afa"/>
            </w:pPr>
          </w:p>
        </w:tc>
        <w:tc>
          <w:tcPr>
            <w:tcW w:w="416" w:type="pct"/>
            <w:tcBorders>
              <w:left w:val="single" w:sz="4" w:space="0" w:color="auto"/>
              <w:right w:val="single" w:sz="4" w:space="0" w:color="auto"/>
            </w:tcBorders>
            <w:vAlign w:val="center"/>
          </w:tcPr>
          <w:p w:rsidR="00EE56C0" w:rsidRDefault="000F36A1">
            <w:pPr>
              <w:pStyle w:val="afa"/>
            </w:pPr>
            <w:r>
              <w:rPr>
                <w:rFonts w:hint="eastAsia"/>
              </w:rPr>
              <w:t>卧式漆包机（</w:t>
            </w:r>
            <w:r>
              <w:rPr>
                <w:rFonts w:hint="eastAsia"/>
              </w:rPr>
              <w:t>21</w:t>
            </w:r>
            <w:r>
              <w:rPr>
                <w:rFonts w:hint="eastAsia"/>
              </w:rPr>
              <w:t>台）</w:t>
            </w:r>
          </w:p>
        </w:tc>
        <w:tc>
          <w:tcPr>
            <w:tcW w:w="583" w:type="pct"/>
            <w:tcBorders>
              <w:left w:val="single" w:sz="4" w:space="0" w:color="auto"/>
            </w:tcBorders>
            <w:vAlign w:val="center"/>
          </w:tcPr>
          <w:p w:rsidR="00EE56C0" w:rsidRDefault="000F36A1">
            <w:pPr>
              <w:pStyle w:val="afa"/>
            </w:pPr>
            <w:r>
              <w:rPr>
                <w:rFonts w:hint="eastAsia"/>
              </w:rPr>
              <w:t>烘炉内部</w:t>
            </w:r>
          </w:p>
        </w:tc>
        <w:tc>
          <w:tcPr>
            <w:tcW w:w="1163" w:type="pct"/>
            <w:vMerge/>
            <w:vAlign w:val="center"/>
          </w:tcPr>
          <w:p w:rsidR="00EE56C0" w:rsidRDefault="00EE56C0">
            <w:pPr>
              <w:pStyle w:val="afa"/>
            </w:pPr>
          </w:p>
        </w:tc>
        <w:tc>
          <w:tcPr>
            <w:tcW w:w="523" w:type="pct"/>
            <w:gridSpan w:val="2"/>
            <w:tcBorders>
              <w:right w:val="single" w:sz="4" w:space="0" w:color="auto"/>
            </w:tcBorders>
            <w:vAlign w:val="center"/>
          </w:tcPr>
          <w:p w:rsidR="00EE56C0" w:rsidRDefault="000F36A1">
            <w:pPr>
              <w:pStyle w:val="afa"/>
            </w:pPr>
            <w:r>
              <w:rPr>
                <w:rFonts w:hint="eastAsia"/>
              </w:rPr>
              <w:t>集气</w:t>
            </w:r>
          </w:p>
          <w:p w:rsidR="00EE56C0" w:rsidRDefault="000F36A1">
            <w:pPr>
              <w:pStyle w:val="afa"/>
            </w:pPr>
            <w:r>
              <w:rPr>
                <w:rFonts w:hint="eastAsia"/>
              </w:rPr>
              <w:t>管道</w:t>
            </w:r>
          </w:p>
        </w:tc>
        <w:tc>
          <w:tcPr>
            <w:tcW w:w="266" w:type="pct"/>
            <w:vMerge w:val="restart"/>
            <w:tcBorders>
              <w:left w:val="single" w:sz="4" w:space="0" w:color="auto"/>
              <w:right w:val="single" w:sz="4" w:space="0" w:color="auto"/>
            </w:tcBorders>
            <w:vAlign w:val="center"/>
          </w:tcPr>
          <w:p w:rsidR="00EE56C0" w:rsidRDefault="000F36A1">
            <w:pPr>
              <w:pStyle w:val="afa"/>
            </w:pPr>
            <w:r>
              <w:rPr>
                <w:rFonts w:hint="eastAsia"/>
              </w:rPr>
              <w:t>三次催化燃烧</w:t>
            </w:r>
          </w:p>
          <w:p w:rsidR="00EE56C0" w:rsidRDefault="00EE56C0">
            <w:pPr>
              <w:widowControl/>
              <w:adjustRightInd/>
              <w:snapToGrid/>
              <w:spacing w:line="240" w:lineRule="auto"/>
              <w:ind w:firstLineChars="0" w:firstLine="0"/>
              <w:jc w:val="left"/>
              <w:textAlignment w:val="auto"/>
              <w:rPr>
                <w:sz w:val="21"/>
                <w:szCs w:val="21"/>
              </w:rPr>
            </w:pPr>
          </w:p>
          <w:p w:rsidR="00EE56C0" w:rsidRDefault="00EE56C0">
            <w:pPr>
              <w:pStyle w:val="afa"/>
            </w:pPr>
          </w:p>
        </w:tc>
        <w:tc>
          <w:tcPr>
            <w:tcW w:w="541" w:type="pct"/>
            <w:vMerge w:val="restart"/>
            <w:tcBorders>
              <w:left w:val="single" w:sz="4" w:space="0" w:color="auto"/>
              <w:right w:val="single" w:sz="4" w:space="0" w:color="auto"/>
            </w:tcBorders>
            <w:vAlign w:val="center"/>
          </w:tcPr>
          <w:p w:rsidR="00EE56C0" w:rsidRDefault="000F36A1">
            <w:pPr>
              <w:pStyle w:val="afa"/>
            </w:pPr>
            <w:r>
              <w:rPr>
                <w:rFonts w:hint="eastAsia"/>
              </w:rPr>
              <w:t>活性炭吸附</w:t>
            </w:r>
            <w:r>
              <w:rPr>
                <w:rFonts w:hint="eastAsia"/>
              </w:rPr>
              <w:t>-</w:t>
            </w:r>
            <w:r>
              <w:rPr>
                <w:rFonts w:hint="eastAsia"/>
              </w:rPr>
              <w:t>脱附</w:t>
            </w:r>
            <w:r>
              <w:rPr>
                <w:rFonts w:hint="eastAsia"/>
              </w:rPr>
              <w:t>-</w:t>
            </w:r>
            <w:r>
              <w:rPr>
                <w:rFonts w:hint="eastAsia"/>
              </w:rPr>
              <w:t>催化燃烧</w:t>
            </w:r>
          </w:p>
        </w:tc>
        <w:tc>
          <w:tcPr>
            <w:tcW w:w="417" w:type="pct"/>
            <w:vMerge/>
            <w:tcBorders>
              <w:left w:val="single" w:sz="4" w:space="0" w:color="auto"/>
            </w:tcBorders>
            <w:vAlign w:val="center"/>
          </w:tcPr>
          <w:p w:rsidR="00EE56C0" w:rsidRDefault="00EE56C0">
            <w:pPr>
              <w:pStyle w:val="afa"/>
            </w:pPr>
          </w:p>
        </w:tc>
        <w:tc>
          <w:tcPr>
            <w:tcW w:w="447" w:type="pct"/>
            <w:vMerge/>
            <w:vAlign w:val="center"/>
          </w:tcPr>
          <w:p w:rsidR="00EE56C0" w:rsidRDefault="00EE56C0">
            <w:pPr>
              <w:pStyle w:val="afa"/>
            </w:pPr>
          </w:p>
        </w:tc>
      </w:tr>
      <w:tr w:rsidR="00EE56C0">
        <w:trPr>
          <w:trHeight w:val="425"/>
        </w:trPr>
        <w:tc>
          <w:tcPr>
            <w:tcW w:w="314" w:type="pct"/>
            <w:vMerge/>
            <w:vAlign w:val="center"/>
          </w:tcPr>
          <w:p w:rsidR="00EE56C0" w:rsidRDefault="00EE56C0">
            <w:pPr>
              <w:pStyle w:val="afa"/>
            </w:pPr>
          </w:p>
        </w:tc>
        <w:tc>
          <w:tcPr>
            <w:tcW w:w="330" w:type="pct"/>
            <w:vMerge/>
            <w:tcBorders>
              <w:right w:val="single" w:sz="4" w:space="0" w:color="auto"/>
            </w:tcBorders>
            <w:vAlign w:val="center"/>
          </w:tcPr>
          <w:p w:rsidR="00EE56C0" w:rsidRDefault="00EE56C0">
            <w:pPr>
              <w:pStyle w:val="afa"/>
            </w:pPr>
          </w:p>
        </w:tc>
        <w:tc>
          <w:tcPr>
            <w:tcW w:w="416" w:type="pct"/>
            <w:tcBorders>
              <w:left w:val="single" w:sz="4" w:space="0" w:color="auto"/>
              <w:right w:val="single" w:sz="4" w:space="0" w:color="auto"/>
            </w:tcBorders>
            <w:vAlign w:val="center"/>
          </w:tcPr>
          <w:p w:rsidR="00EE56C0" w:rsidRDefault="000F36A1">
            <w:pPr>
              <w:pStyle w:val="afa"/>
            </w:pPr>
            <w:r>
              <w:rPr>
                <w:rFonts w:hint="eastAsia"/>
              </w:rPr>
              <w:t>卧式漆包机（</w:t>
            </w:r>
            <w:r>
              <w:rPr>
                <w:rFonts w:hint="eastAsia"/>
              </w:rPr>
              <w:t>6</w:t>
            </w:r>
            <w:r>
              <w:rPr>
                <w:rFonts w:hint="eastAsia"/>
              </w:rPr>
              <w:t>台）</w:t>
            </w:r>
          </w:p>
        </w:tc>
        <w:tc>
          <w:tcPr>
            <w:tcW w:w="583" w:type="pct"/>
            <w:tcBorders>
              <w:left w:val="single" w:sz="4" w:space="0" w:color="auto"/>
            </w:tcBorders>
            <w:vAlign w:val="center"/>
          </w:tcPr>
          <w:p w:rsidR="00EE56C0" w:rsidRDefault="000F36A1">
            <w:pPr>
              <w:pStyle w:val="afa"/>
            </w:pPr>
            <w:r>
              <w:rPr>
                <w:rFonts w:hint="eastAsia"/>
              </w:rPr>
              <w:t>涂漆区、烘炉进出口</w:t>
            </w:r>
          </w:p>
        </w:tc>
        <w:tc>
          <w:tcPr>
            <w:tcW w:w="1163" w:type="pct"/>
            <w:vMerge/>
            <w:vAlign w:val="center"/>
          </w:tcPr>
          <w:p w:rsidR="00EE56C0" w:rsidRDefault="00EE56C0">
            <w:pPr>
              <w:pStyle w:val="afa"/>
            </w:pPr>
          </w:p>
        </w:tc>
        <w:tc>
          <w:tcPr>
            <w:tcW w:w="523" w:type="pct"/>
            <w:gridSpan w:val="2"/>
            <w:tcBorders>
              <w:right w:val="single" w:sz="4" w:space="0" w:color="auto"/>
            </w:tcBorders>
            <w:vAlign w:val="center"/>
          </w:tcPr>
          <w:p w:rsidR="00EE56C0" w:rsidRDefault="000F36A1">
            <w:pPr>
              <w:pStyle w:val="afa"/>
            </w:pPr>
            <w:r>
              <w:rPr>
                <w:rFonts w:hint="eastAsia"/>
              </w:rPr>
              <w:t>集气罩</w:t>
            </w:r>
          </w:p>
        </w:tc>
        <w:tc>
          <w:tcPr>
            <w:tcW w:w="266" w:type="pct"/>
            <w:vMerge/>
            <w:tcBorders>
              <w:left w:val="single" w:sz="4" w:space="0" w:color="auto"/>
              <w:right w:val="single" w:sz="4" w:space="0" w:color="auto"/>
            </w:tcBorders>
            <w:vAlign w:val="center"/>
          </w:tcPr>
          <w:p w:rsidR="00EE56C0" w:rsidRDefault="00EE56C0">
            <w:pPr>
              <w:pStyle w:val="afa"/>
            </w:pPr>
          </w:p>
        </w:tc>
        <w:tc>
          <w:tcPr>
            <w:tcW w:w="541" w:type="pct"/>
            <w:vMerge/>
            <w:tcBorders>
              <w:left w:val="single" w:sz="4" w:space="0" w:color="auto"/>
              <w:right w:val="single" w:sz="4" w:space="0" w:color="auto"/>
            </w:tcBorders>
            <w:vAlign w:val="center"/>
          </w:tcPr>
          <w:p w:rsidR="00EE56C0" w:rsidRDefault="00EE56C0">
            <w:pPr>
              <w:pStyle w:val="afa"/>
            </w:pPr>
          </w:p>
        </w:tc>
        <w:tc>
          <w:tcPr>
            <w:tcW w:w="417" w:type="pct"/>
            <w:vMerge/>
            <w:tcBorders>
              <w:left w:val="single" w:sz="4" w:space="0" w:color="auto"/>
            </w:tcBorders>
            <w:vAlign w:val="center"/>
          </w:tcPr>
          <w:p w:rsidR="00EE56C0" w:rsidRDefault="00EE56C0">
            <w:pPr>
              <w:pStyle w:val="afa"/>
            </w:pPr>
          </w:p>
        </w:tc>
        <w:tc>
          <w:tcPr>
            <w:tcW w:w="447" w:type="pct"/>
            <w:vMerge/>
            <w:vAlign w:val="center"/>
          </w:tcPr>
          <w:p w:rsidR="00EE56C0" w:rsidRDefault="00EE56C0">
            <w:pPr>
              <w:pStyle w:val="afa"/>
            </w:pPr>
          </w:p>
        </w:tc>
      </w:tr>
      <w:tr w:rsidR="00EE56C0">
        <w:trPr>
          <w:trHeight w:val="425"/>
        </w:trPr>
        <w:tc>
          <w:tcPr>
            <w:tcW w:w="314" w:type="pct"/>
            <w:vMerge/>
            <w:vAlign w:val="center"/>
          </w:tcPr>
          <w:p w:rsidR="00EE56C0" w:rsidRDefault="00EE56C0">
            <w:pPr>
              <w:pStyle w:val="afa"/>
            </w:pPr>
          </w:p>
        </w:tc>
        <w:tc>
          <w:tcPr>
            <w:tcW w:w="330" w:type="pct"/>
            <w:vMerge/>
            <w:tcBorders>
              <w:right w:val="single" w:sz="4" w:space="0" w:color="auto"/>
            </w:tcBorders>
            <w:vAlign w:val="center"/>
          </w:tcPr>
          <w:p w:rsidR="00EE56C0" w:rsidRDefault="00EE56C0">
            <w:pPr>
              <w:pStyle w:val="afa"/>
            </w:pPr>
          </w:p>
        </w:tc>
        <w:tc>
          <w:tcPr>
            <w:tcW w:w="416" w:type="pct"/>
            <w:vMerge w:val="restart"/>
            <w:tcBorders>
              <w:left w:val="single" w:sz="4" w:space="0" w:color="auto"/>
              <w:right w:val="single" w:sz="4" w:space="0" w:color="auto"/>
            </w:tcBorders>
            <w:vAlign w:val="center"/>
          </w:tcPr>
          <w:p w:rsidR="00EE56C0" w:rsidRDefault="000F36A1">
            <w:pPr>
              <w:pStyle w:val="afa"/>
              <w:rPr>
                <w:lang w:val="pt-BR"/>
              </w:rPr>
            </w:pPr>
            <w:r>
              <w:rPr>
                <w:rFonts w:hint="eastAsia"/>
              </w:rPr>
              <w:t>立式漆包机</w:t>
            </w:r>
          </w:p>
        </w:tc>
        <w:tc>
          <w:tcPr>
            <w:tcW w:w="583" w:type="pct"/>
            <w:tcBorders>
              <w:left w:val="single" w:sz="4" w:space="0" w:color="auto"/>
            </w:tcBorders>
            <w:vAlign w:val="center"/>
          </w:tcPr>
          <w:p w:rsidR="00EE56C0" w:rsidRDefault="000F36A1">
            <w:pPr>
              <w:pStyle w:val="afa"/>
              <w:rPr>
                <w:lang w:val="pt-BR"/>
              </w:rPr>
            </w:pPr>
            <w:r>
              <w:rPr>
                <w:rFonts w:hint="eastAsia"/>
                <w:lang w:val="pt-BR"/>
              </w:rPr>
              <w:t>涂漆</w:t>
            </w:r>
          </w:p>
        </w:tc>
        <w:tc>
          <w:tcPr>
            <w:tcW w:w="1163" w:type="pct"/>
            <w:vMerge/>
            <w:vAlign w:val="center"/>
          </w:tcPr>
          <w:p w:rsidR="00EE56C0" w:rsidRDefault="00EE56C0">
            <w:pPr>
              <w:pStyle w:val="afa"/>
            </w:pPr>
          </w:p>
        </w:tc>
        <w:tc>
          <w:tcPr>
            <w:tcW w:w="523" w:type="pct"/>
            <w:gridSpan w:val="2"/>
            <w:tcBorders>
              <w:right w:val="single" w:sz="4" w:space="0" w:color="auto"/>
            </w:tcBorders>
            <w:vAlign w:val="center"/>
          </w:tcPr>
          <w:p w:rsidR="00EE56C0" w:rsidRDefault="000F36A1">
            <w:pPr>
              <w:pStyle w:val="afa"/>
            </w:pPr>
            <w:r>
              <w:rPr>
                <w:rFonts w:hint="eastAsia"/>
                <w:lang w:val="pt-BR"/>
              </w:rPr>
              <w:t>涂漆间</w:t>
            </w:r>
          </w:p>
        </w:tc>
        <w:tc>
          <w:tcPr>
            <w:tcW w:w="266" w:type="pct"/>
            <w:vMerge/>
            <w:tcBorders>
              <w:left w:val="single" w:sz="4" w:space="0" w:color="auto"/>
              <w:right w:val="single" w:sz="4" w:space="0" w:color="auto"/>
            </w:tcBorders>
            <w:vAlign w:val="center"/>
          </w:tcPr>
          <w:p w:rsidR="00EE56C0" w:rsidRDefault="00EE56C0">
            <w:pPr>
              <w:pStyle w:val="afa"/>
            </w:pPr>
          </w:p>
        </w:tc>
        <w:tc>
          <w:tcPr>
            <w:tcW w:w="541" w:type="pct"/>
            <w:vMerge/>
            <w:tcBorders>
              <w:left w:val="single" w:sz="4" w:space="0" w:color="auto"/>
              <w:right w:val="single" w:sz="4" w:space="0" w:color="auto"/>
            </w:tcBorders>
            <w:vAlign w:val="center"/>
          </w:tcPr>
          <w:p w:rsidR="00EE56C0" w:rsidRDefault="00EE56C0">
            <w:pPr>
              <w:pStyle w:val="afa"/>
            </w:pPr>
          </w:p>
        </w:tc>
        <w:tc>
          <w:tcPr>
            <w:tcW w:w="417" w:type="pct"/>
            <w:vMerge/>
            <w:tcBorders>
              <w:left w:val="single" w:sz="4" w:space="0" w:color="auto"/>
            </w:tcBorders>
            <w:vAlign w:val="center"/>
          </w:tcPr>
          <w:p w:rsidR="00EE56C0" w:rsidRDefault="00EE56C0">
            <w:pPr>
              <w:pStyle w:val="afa"/>
            </w:pPr>
          </w:p>
        </w:tc>
        <w:tc>
          <w:tcPr>
            <w:tcW w:w="447" w:type="pct"/>
            <w:vMerge/>
            <w:vAlign w:val="center"/>
          </w:tcPr>
          <w:p w:rsidR="00EE56C0" w:rsidRDefault="00EE56C0">
            <w:pPr>
              <w:pStyle w:val="afa"/>
            </w:pPr>
          </w:p>
        </w:tc>
      </w:tr>
      <w:tr w:rsidR="00EE56C0">
        <w:trPr>
          <w:trHeight w:val="1176"/>
        </w:trPr>
        <w:tc>
          <w:tcPr>
            <w:tcW w:w="314" w:type="pct"/>
            <w:vMerge/>
            <w:vAlign w:val="center"/>
          </w:tcPr>
          <w:p w:rsidR="00EE56C0" w:rsidRDefault="00EE56C0">
            <w:pPr>
              <w:pStyle w:val="afa"/>
            </w:pPr>
          </w:p>
        </w:tc>
        <w:tc>
          <w:tcPr>
            <w:tcW w:w="330" w:type="pct"/>
            <w:vMerge/>
            <w:tcBorders>
              <w:right w:val="single" w:sz="4" w:space="0" w:color="auto"/>
            </w:tcBorders>
            <w:vAlign w:val="center"/>
          </w:tcPr>
          <w:p w:rsidR="00EE56C0" w:rsidRDefault="00EE56C0">
            <w:pPr>
              <w:pStyle w:val="afa"/>
            </w:pPr>
          </w:p>
        </w:tc>
        <w:tc>
          <w:tcPr>
            <w:tcW w:w="416" w:type="pct"/>
            <w:vMerge/>
            <w:tcBorders>
              <w:left w:val="single" w:sz="4" w:space="0" w:color="auto"/>
              <w:right w:val="single" w:sz="4" w:space="0" w:color="auto"/>
            </w:tcBorders>
            <w:vAlign w:val="center"/>
          </w:tcPr>
          <w:p w:rsidR="00EE56C0" w:rsidRDefault="00EE56C0">
            <w:pPr>
              <w:pStyle w:val="afa"/>
              <w:rPr>
                <w:lang w:val="pt-BR"/>
              </w:rPr>
            </w:pPr>
          </w:p>
        </w:tc>
        <w:tc>
          <w:tcPr>
            <w:tcW w:w="583" w:type="pct"/>
            <w:tcBorders>
              <w:left w:val="single" w:sz="4" w:space="0" w:color="auto"/>
            </w:tcBorders>
            <w:vAlign w:val="center"/>
          </w:tcPr>
          <w:p w:rsidR="00EE56C0" w:rsidRDefault="000F36A1">
            <w:pPr>
              <w:pStyle w:val="afa"/>
              <w:rPr>
                <w:lang w:val="pt-BR"/>
              </w:rPr>
            </w:pPr>
            <w:r>
              <w:rPr>
                <w:rFonts w:hint="eastAsia"/>
                <w:lang w:val="pt-BR"/>
              </w:rPr>
              <w:t>烘炉进出口</w:t>
            </w:r>
          </w:p>
        </w:tc>
        <w:tc>
          <w:tcPr>
            <w:tcW w:w="1163" w:type="pct"/>
            <w:vMerge/>
            <w:vAlign w:val="center"/>
          </w:tcPr>
          <w:p w:rsidR="00EE56C0" w:rsidRDefault="00EE56C0">
            <w:pPr>
              <w:pStyle w:val="afa"/>
            </w:pPr>
          </w:p>
        </w:tc>
        <w:tc>
          <w:tcPr>
            <w:tcW w:w="523" w:type="pct"/>
            <w:gridSpan w:val="2"/>
            <w:tcBorders>
              <w:right w:val="single" w:sz="4" w:space="0" w:color="auto"/>
            </w:tcBorders>
            <w:vAlign w:val="center"/>
          </w:tcPr>
          <w:p w:rsidR="00EE56C0" w:rsidRDefault="000F36A1">
            <w:pPr>
              <w:pStyle w:val="afa"/>
            </w:pPr>
            <w:r>
              <w:rPr>
                <w:rFonts w:hint="eastAsia"/>
              </w:rPr>
              <w:t>集气</w:t>
            </w:r>
          </w:p>
          <w:p w:rsidR="00EE56C0" w:rsidRDefault="000F36A1">
            <w:pPr>
              <w:pStyle w:val="afa"/>
            </w:pPr>
            <w:r>
              <w:rPr>
                <w:rFonts w:hint="eastAsia"/>
              </w:rPr>
              <w:t>管道</w:t>
            </w:r>
          </w:p>
        </w:tc>
        <w:tc>
          <w:tcPr>
            <w:tcW w:w="266" w:type="pct"/>
            <w:vMerge/>
            <w:tcBorders>
              <w:left w:val="single" w:sz="4" w:space="0" w:color="auto"/>
              <w:right w:val="single" w:sz="4" w:space="0" w:color="auto"/>
            </w:tcBorders>
            <w:vAlign w:val="center"/>
          </w:tcPr>
          <w:p w:rsidR="00EE56C0" w:rsidRDefault="00EE56C0">
            <w:pPr>
              <w:pStyle w:val="afa"/>
            </w:pPr>
          </w:p>
        </w:tc>
        <w:tc>
          <w:tcPr>
            <w:tcW w:w="541" w:type="pct"/>
            <w:vMerge/>
            <w:tcBorders>
              <w:left w:val="single" w:sz="4" w:space="0" w:color="auto"/>
              <w:right w:val="single" w:sz="4" w:space="0" w:color="auto"/>
            </w:tcBorders>
            <w:vAlign w:val="center"/>
          </w:tcPr>
          <w:p w:rsidR="00EE56C0" w:rsidRDefault="00EE56C0">
            <w:pPr>
              <w:pStyle w:val="afa"/>
            </w:pPr>
          </w:p>
        </w:tc>
        <w:tc>
          <w:tcPr>
            <w:tcW w:w="417" w:type="pct"/>
            <w:vMerge/>
            <w:tcBorders>
              <w:left w:val="single" w:sz="4" w:space="0" w:color="auto"/>
            </w:tcBorders>
            <w:vAlign w:val="center"/>
          </w:tcPr>
          <w:p w:rsidR="00EE56C0" w:rsidRDefault="00EE56C0">
            <w:pPr>
              <w:pStyle w:val="afa"/>
            </w:pPr>
          </w:p>
        </w:tc>
        <w:tc>
          <w:tcPr>
            <w:tcW w:w="447" w:type="pct"/>
            <w:vMerge/>
            <w:vAlign w:val="center"/>
          </w:tcPr>
          <w:p w:rsidR="00EE56C0" w:rsidRDefault="00EE56C0">
            <w:pPr>
              <w:pStyle w:val="afa"/>
            </w:pPr>
          </w:p>
        </w:tc>
      </w:tr>
      <w:tr w:rsidR="00EE56C0">
        <w:trPr>
          <w:trHeight w:val="425"/>
        </w:trPr>
        <w:tc>
          <w:tcPr>
            <w:tcW w:w="314" w:type="pct"/>
            <w:vMerge/>
            <w:vAlign w:val="center"/>
          </w:tcPr>
          <w:p w:rsidR="00EE56C0" w:rsidRDefault="00EE56C0">
            <w:pPr>
              <w:pStyle w:val="afa"/>
            </w:pPr>
          </w:p>
        </w:tc>
        <w:tc>
          <w:tcPr>
            <w:tcW w:w="330" w:type="pct"/>
            <w:vMerge w:val="restart"/>
            <w:tcBorders>
              <w:right w:val="single" w:sz="4" w:space="0" w:color="auto"/>
            </w:tcBorders>
            <w:vAlign w:val="center"/>
          </w:tcPr>
          <w:p w:rsidR="00EE56C0" w:rsidRDefault="000F36A1">
            <w:pPr>
              <w:pStyle w:val="afa"/>
            </w:pPr>
            <w:r>
              <w:rPr>
                <w:rFonts w:hint="eastAsia"/>
              </w:rPr>
              <w:t>丝包线</w:t>
            </w:r>
          </w:p>
        </w:tc>
        <w:tc>
          <w:tcPr>
            <w:tcW w:w="999" w:type="pct"/>
            <w:gridSpan w:val="2"/>
            <w:tcBorders>
              <w:left w:val="single" w:sz="4" w:space="0" w:color="auto"/>
            </w:tcBorders>
            <w:vAlign w:val="center"/>
          </w:tcPr>
          <w:p w:rsidR="00EE56C0" w:rsidRDefault="000F36A1">
            <w:pPr>
              <w:pStyle w:val="afa"/>
              <w:rPr>
                <w:lang w:val="pt-BR"/>
              </w:rPr>
            </w:pPr>
            <w:r>
              <w:rPr>
                <w:rFonts w:hint="eastAsia"/>
                <w:lang w:val="pt-BR"/>
              </w:rPr>
              <w:t>涂漆、烘炉进口及出口</w:t>
            </w:r>
          </w:p>
        </w:tc>
        <w:tc>
          <w:tcPr>
            <w:tcW w:w="1163" w:type="pct"/>
            <w:vMerge w:val="restart"/>
            <w:vAlign w:val="center"/>
          </w:tcPr>
          <w:p w:rsidR="00EE56C0" w:rsidRDefault="000F36A1">
            <w:pPr>
              <w:pStyle w:val="afa"/>
            </w:pPr>
            <w:r>
              <w:rPr>
                <w:rFonts w:hint="eastAsia"/>
              </w:rPr>
              <w:t>苯、甲苯、二甲苯、非甲烷总烃</w:t>
            </w:r>
          </w:p>
        </w:tc>
        <w:tc>
          <w:tcPr>
            <w:tcW w:w="789" w:type="pct"/>
            <w:gridSpan w:val="3"/>
            <w:tcBorders>
              <w:right w:val="single" w:sz="4" w:space="0" w:color="auto"/>
            </w:tcBorders>
            <w:vAlign w:val="center"/>
          </w:tcPr>
          <w:p w:rsidR="00EE56C0" w:rsidRDefault="000F36A1">
            <w:pPr>
              <w:pStyle w:val="afa"/>
            </w:pPr>
            <w:r>
              <w:rPr>
                <w:rFonts w:hint="eastAsia"/>
              </w:rPr>
              <w:t>集气罩</w:t>
            </w:r>
          </w:p>
        </w:tc>
        <w:tc>
          <w:tcPr>
            <w:tcW w:w="541" w:type="pct"/>
            <w:vMerge/>
            <w:tcBorders>
              <w:left w:val="single" w:sz="4" w:space="0" w:color="auto"/>
              <w:right w:val="single" w:sz="4" w:space="0" w:color="auto"/>
            </w:tcBorders>
            <w:vAlign w:val="center"/>
          </w:tcPr>
          <w:p w:rsidR="00EE56C0" w:rsidRDefault="00EE56C0">
            <w:pPr>
              <w:pStyle w:val="afa"/>
            </w:pPr>
          </w:p>
        </w:tc>
        <w:tc>
          <w:tcPr>
            <w:tcW w:w="417" w:type="pct"/>
            <w:vMerge/>
            <w:tcBorders>
              <w:left w:val="single" w:sz="4" w:space="0" w:color="auto"/>
            </w:tcBorders>
            <w:vAlign w:val="center"/>
          </w:tcPr>
          <w:p w:rsidR="00EE56C0" w:rsidRDefault="00EE56C0">
            <w:pPr>
              <w:pStyle w:val="afa"/>
            </w:pPr>
          </w:p>
        </w:tc>
        <w:tc>
          <w:tcPr>
            <w:tcW w:w="447" w:type="pct"/>
            <w:vMerge/>
            <w:vAlign w:val="center"/>
          </w:tcPr>
          <w:p w:rsidR="00EE56C0" w:rsidRDefault="00EE56C0">
            <w:pPr>
              <w:pStyle w:val="afa"/>
            </w:pPr>
          </w:p>
        </w:tc>
      </w:tr>
      <w:tr w:rsidR="00EE56C0">
        <w:trPr>
          <w:trHeight w:val="705"/>
        </w:trPr>
        <w:tc>
          <w:tcPr>
            <w:tcW w:w="314" w:type="pct"/>
            <w:vMerge/>
            <w:vAlign w:val="center"/>
          </w:tcPr>
          <w:p w:rsidR="00EE56C0" w:rsidRDefault="00EE56C0">
            <w:pPr>
              <w:pStyle w:val="afa"/>
            </w:pPr>
          </w:p>
        </w:tc>
        <w:tc>
          <w:tcPr>
            <w:tcW w:w="330" w:type="pct"/>
            <w:vMerge/>
            <w:tcBorders>
              <w:right w:val="single" w:sz="4" w:space="0" w:color="auto"/>
            </w:tcBorders>
            <w:vAlign w:val="center"/>
          </w:tcPr>
          <w:p w:rsidR="00EE56C0" w:rsidRDefault="00EE56C0">
            <w:pPr>
              <w:pStyle w:val="afa"/>
            </w:pPr>
          </w:p>
        </w:tc>
        <w:tc>
          <w:tcPr>
            <w:tcW w:w="999" w:type="pct"/>
            <w:gridSpan w:val="2"/>
            <w:tcBorders>
              <w:left w:val="single" w:sz="4" w:space="0" w:color="auto"/>
            </w:tcBorders>
            <w:vAlign w:val="center"/>
          </w:tcPr>
          <w:p w:rsidR="00EE56C0" w:rsidRDefault="000F36A1">
            <w:pPr>
              <w:pStyle w:val="afa"/>
              <w:rPr>
                <w:lang w:val="pt-BR"/>
              </w:rPr>
            </w:pPr>
            <w:r>
              <w:rPr>
                <w:rFonts w:hint="eastAsia"/>
                <w:lang w:val="pt-BR"/>
              </w:rPr>
              <w:t>操作间</w:t>
            </w:r>
          </w:p>
        </w:tc>
        <w:tc>
          <w:tcPr>
            <w:tcW w:w="1163" w:type="pct"/>
            <w:vMerge/>
            <w:vAlign w:val="center"/>
          </w:tcPr>
          <w:p w:rsidR="00EE56C0" w:rsidRDefault="00EE56C0">
            <w:pPr>
              <w:pStyle w:val="afa"/>
            </w:pPr>
          </w:p>
        </w:tc>
        <w:tc>
          <w:tcPr>
            <w:tcW w:w="789" w:type="pct"/>
            <w:gridSpan w:val="3"/>
            <w:tcBorders>
              <w:right w:val="single" w:sz="4" w:space="0" w:color="auto"/>
            </w:tcBorders>
            <w:vAlign w:val="center"/>
          </w:tcPr>
          <w:p w:rsidR="00EE56C0" w:rsidRDefault="000F36A1">
            <w:pPr>
              <w:pStyle w:val="afa"/>
            </w:pPr>
            <w:r>
              <w:rPr>
                <w:rFonts w:hint="eastAsia"/>
              </w:rPr>
              <w:t>顶部抽吸</w:t>
            </w:r>
          </w:p>
        </w:tc>
        <w:tc>
          <w:tcPr>
            <w:tcW w:w="541" w:type="pct"/>
            <w:vMerge/>
            <w:tcBorders>
              <w:left w:val="single" w:sz="4" w:space="0" w:color="auto"/>
              <w:right w:val="single" w:sz="4" w:space="0" w:color="auto"/>
            </w:tcBorders>
            <w:vAlign w:val="center"/>
          </w:tcPr>
          <w:p w:rsidR="00EE56C0" w:rsidRDefault="00EE56C0">
            <w:pPr>
              <w:pStyle w:val="afa"/>
            </w:pPr>
          </w:p>
        </w:tc>
        <w:tc>
          <w:tcPr>
            <w:tcW w:w="417" w:type="pct"/>
            <w:vMerge/>
            <w:tcBorders>
              <w:left w:val="single" w:sz="4" w:space="0" w:color="auto"/>
            </w:tcBorders>
            <w:vAlign w:val="center"/>
          </w:tcPr>
          <w:p w:rsidR="00EE56C0" w:rsidRDefault="00EE56C0">
            <w:pPr>
              <w:pStyle w:val="afa"/>
            </w:pPr>
          </w:p>
        </w:tc>
        <w:tc>
          <w:tcPr>
            <w:tcW w:w="447" w:type="pct"/>
            <w:vMerge/>
            <w:vAlign w:val="center"/>
          </w:tcPr>
          <w:p w:rsidR="00EE56C0" w:rsidRDefault="00EE56C0">
            <w:pPr>
              <w:pStyle w:val="afa"/>
            </w:pPr>
          </w:p>
        </w:tc>
      </w:tr>
      <w:tr w:rsidR="00EE56C0">
        <w:trPr>
          <w:trHeight w:val="425"/>
        </w:trPr>
        <w:tc>
          <w:tcPr>
            <w:tcW w:w="314" w:type="pct"/>
            <w:vMerge/>
            <w:vAlign w:val="center"/>
          </w:tcPr>
          <w:p w:rsidR="00EE56C0" w:rsidRDefault="00EE56C0">
            <w:pPr>
              <w:pStyle w:val="afa"/>
            </w:pPr>
          </w:p>
        </w:tc>
        <w:tc>
          <w:tcPr>
            <w:tcW w:w="1329" w:type="pct"/>
            <w:gridSpan w:val="3"/>
            <w:vAlign w:val="center"/>
          </w:tcPr>
          <w:p w:rsidR="00EE56C0" w:rsidRDefault="000F36A1">
            <w:pPr>
              <w:pStyle w:val="afa"/>
            </w:pPr>
            <w:r>
              <w:rPr>
                <w:rFonts w:hint="eastAsia"/>
              </w:rPr>
              <w:t>注塑</w:t>
            </w:r>
          </w:p>
        </w:tc>
        <w:tc>
          <w:tcPr>
            <w:tcW w:w="1163" w:type="pct"/>
            <w:vAlign w:val="center"/>
          </w:tcPr>
          <w:p w:rsidR="00EE56C0" w:rsidRDefault="000F36A1">
            <w:pPr>
              <w:pStyle w:val="afa"/>
            </w:pPr>
            <w:r>
              <w:rPr>
                <w:rFonts w:hint="eastAsia"/>
              </w:rPr>
              <w:t>非甲烷总烃</w:t>
            </w:r>
          </w:p>
        </w:tc>
        <w:tc>
          <w:tcPr>
            <w:tcW w:w="789" w:type="pct"/>
            <w:gridSpan w:val="3"/>
            <w:tcBorders>
              <w:right w:val="single" w:sz="4" w:space="0" w:color="auto"/>
            </w:tcBorders>
            <w:vAlign w:val="center"/>
          </w:tcPr>
          <w:p w:rsidR="00EE56C0" w:rsidRDefault="000F36A1">
            <w:pPr>
              <w:pStyle w:val="afa"/>
            </w:pPr>
            <w:r>
              <w:rPr>
                <w:rFonts w:hint="eastAsia"/>
              </w:rPr>
              <w:t>集气罩</w:t>
            </w:r>
          </w:p>
        </w:tc>
        <w:tc>
          <w:tcPr>
            <w:tcW w:w="541" w:type="pct"/>
            <w:vMerge/>
            <w:tcBorders>
              <w:left w:val="single" w:sz="4" w:space="0" w:color="auto"/>
              <w:right w:val="single" w:sz="4" w:space="0" w:color="auto"/>
            </w:tcBorders>
            <w:vAlign w:val="center"/>
          </w:tcPr>
          <w:p w:rsidR="00EE56C0" w:rsidRDefault="00EE56C0">
            <w:pPr>
              <w:pStyle w:val="afa"/>
            </w:pPr>
          </w:p>
        </w:tc>
        <w:tc>
          <w:tcPr>
            <w:tcW w:w="417" w:type="pct"/>
            <w:vMerge/>
            <w:tcBorders>
              <w:left w:val="single" w:sz="4" w:space="0" w:color="auto"/>
            </w:tcBorders>
            <w:vAlign w:val="center"/>
          </w:tcPr>
          <w:p w:rsidR="00EE56C0" w:rsidRDefault="00EE56C0">
            <w:pPr>
              <w:pStyle w:val="afa"/>
            </w:pPr>
          </w:p>
        </w:tc>
        <w:tc>
          <w:tcPr>
            <w:tcW w:w="447" w:type="pct"/>
            <w:vMerge/>
            <w:tcBorders>
              <w:bottom w:val="single" w:sz="4" w:space="0" w:color="auto"/>
            </w:tcBorders>
            <w:vAlign w:val="center"/>
          </w:tcPr>
          <w:p w:rsidR="00EE56C0" w:rsidRDefault="00EE56C0">
            <w:pPr>
              <w:pStyle w:val="afa"/>
            </w:pPr>
          </w:p>
        </w:tc>
      </w:tr>
      <w:tr w:rsidR="00EE56C0">
        <w:trPr>
          <w:trHeight w:val="842"/>
        </w:trPr>
        <w:tc>
          <w:tcPr>
            <w:tcW w:w="314" w:type="pct"/>
            <w:vMerge w:val="restart"/>
            <w:tcBorders>
              <w:top w:val="single" w:sz="8" w:space="0" w:color="auto"/>
            </w:tcBorders>
            <w:vAlign w:val="center"/>
          </w:tcPr>
          <w:p w:rsidR="00EE56C0" w:rsidRDefault="000F36A1">
            <w:pPr>
              <w:pStyle w:val="afa"/>
            </w:pPr>
            <w:r>
              <w:t>废水</w:t>
            </w:r>
          </w:p>
        </w:tc>
        <w:tc>
          <w:tcPr>
            <w:tcW w:w="1329" w:type="pct"/>
            <w:gridSpan w:val="3"/>
            <w:vAlign w:val="center"/>
          </w:tcPr>
          <w:p w:rsidR="00EE56C0" w:rsidRDefault="000F36A1">
            <w:pPr>
              <w:pStyle w:val="afa"/>
            </w:pPr>
            <w:r>
              <w:rPr>
                <w:rFonts w:hint="eastAsia"/>
              </w:rPr>
              <w:t>生活污水</w:t>
            </w:r>
          </w:p>
        </w:tc>
        <w:tc>
          <w:tcPr>
            <w:tcW w:w="1163" w:type="pct"/>
            <w:tcBorders>
              <w:bottom w:val="single" w:sz="4" w:space="0" w:color="auto"/>
            </w:tcBorders>
            <w:vAlign w:val="center"/>
          </w:tcPr>
          <w:p w:rsidR="00EE56C0" w:rsidRDefault="000F36A1">
            <w:pPr>
              <w:pStyle w:val="afa"/>
            </w:pPr>
            <w:r>
              <w:t>COD</w:t>
            </w:r>
            <w:r>
              <w:t>、</w:t>
            </w:r>
            <w:r>
              <w:rPr>
                <w:rFonts w:hint="eastAsia"/>
              </w:rPr>
              <w:t>SS</w:t>
            </w:r>
            <w:r>
              <w:rPr>
                <w:rFonts w:hint="eastAsia"/>
              </w:rPr>
              <w:t>、</w:t>
            </w:r>
            <w:r>
              <w:rPr>
                <w:rFonts w:hint="eastAsia"/>
              </w:rPr>
              <w:t>NH</w:t>
            </w:r>
            <w:r>
              <w:rPr>
                <w:rFonts w:hint="eastAsia"/>
                <w:vertAlign w:val="subscript"/>
              </w:rPr>
              <w:t>3</w:t>
            </w:r>
            <w:r>
              <w:rPr>
                <w:rFonts w:hint="eastAsia"/>
              </w:rPr>
              <w:t>-N</w:t>
            </w:r>
            <w:r>
              <w:rPr>
                <w:rFonts w:hint="eastAsia"/>
              </w:rPr>
              <w:t>、</w:t>
            </w:r>
            <w:r>
              <w:rPr>
                <w:rFonts w:hint="eastAsia"/>
              </w:rPr>
              <w:t>TP</w:t>
            </w:r>
            <w:r>
              <w:rPr>
                <w:rFonts w:hint="eastAsia"/>
              </w:rPr>
              <w:t>、</w:t>
            </w:r>
            <w:r>
              <w:rPr>
                <w:rFonts w:hint="eastAsia"/>
              </w:rPr>
              <w:t>TN</w:t>
            </w:r>
            <w:r>
              <w:rPr>
                <w:rFonts w:hint="eastAsia"/>
              </w:rPr>
              <w:t>、动植物油</w:t>
            </w:r>
          </w:p>
        </w:tc>
        <w:tc>
          <w:tcPr>
            <w:tcW w:w="499" w:type="pct"/>
            <w:vMerge w:val="restart"/>
            <w:tcBorders>
              <w:right w:val="single" w:sz="4" w:space="0" w:color="auto"/>
            </w:tcBorders>
            <w:vAlign w:val="center"/>
          </w:tcPr>
          <w:p w:rsidR="00EE56C0" w:rsidRDefault="000F36A1">
            <w:pPr>
              <w:pStyle w:val="afa"/>
            </w:pPr>
            <w:r>
              <w:rPr>
                <w:rFonts w:hint="eastAsia"/>
              </w:rPr>
              <w:t>隔油池</w:t>
            </w:r>
            <w:r>
              <w:rPr>
                <w:rFonts w:hint="eastAsia"/>
              </w:rPr>
              <w:t>+</w:t>
            </w:r>
            <w:r>
              <w:t>化粪池</w:t>
            </w:r>
          </w:p>
        </w:tc>
        <w:tc>
          <w:tcPr>
            <w:tcW w:w="1248" w:type="pct"/>
            <w:gridSpan w:val="4"/>
            <w:vMerge w:val="restart"/>
            <w:tcBorders>
              <w:left w:val="single" w:sz="4" w:space="0" w:color="auto"/>
            </w:tcBorders>
            <w:vAlign w:val="center"/>
          </w:tcPr>
          <w:p w:rsidR="00EE56C0" w:rsidRDefault="000F36A1">
            <w:pPr>
              <w:pStyle w:val="afa"/>
              <w:rPr>
                <w:kern w:val="36"/>
              </w:rPr>
            </w:pPr>
            <w:r>
              <w:rPr>
                <w:rFonts w:hint="eastAsia"/>
                <w:kern w:val="36"/>
              </w:rPr>
              <w:t>管网接通前，经“</w:t>
            </w:r>
            <w:r>
              <w:rPr>
                <w:rFonts w:hint="eastAsia"/>
              </w:rPr>
              <w:t>隔油池</w:t>
            </w:r>
            <w:r>
              <w:rPr>
                <w:rFonts w:hint="eastAsia"/>
              </w:rPr>
              <w:t>+</w:t>
            </w:r>
            <w:r>
              <w:rPr>
                <w:rFonts w:hint="eastAsia"/>
                <w:kern w:val="36"/>
              </w:rPr>
              <w:t>化粪池”处理后的</w:t>
            </w:r>
            <w:r>
              <w:rPr>
                <w:rFonts w:hint="eastAsia"/>
              </w:rPr>
              <w:t>废</w:t>
            </w:r>
            <w:r>
              <w:rPr>
                <w:rFonts w:hint="eastAsia"/>
                <w:kern w:val="36"/>
              </w:rPr>
              <w:t>水经污水处理站（调节</w:t>
            </w:r>
            <w:r>
              <w:rPr>
                <w:rFonts w:hint="eastAsia"/>
                <w:kern w:val="36"/>
              </w:rPr>
              <w:t>+MBR</w:t>
            </w:r>
            <w:r>
              <w:rPr>
                <w:rFonts w:hint="eastAsia"/>
                <w:kern w:val="36"/>
              </w:rPr>
              <w:t>）装置处理后与反渗透浓水用于厂区绿化，不外</w:t>
            </w:r>
            <w:r>
              <w:rPr>
                <w:rFonts w:hint="eastAsia"/>
                <w:kern w:val="36"/>
              </w:rPr>
              <w:lastRenderedPageBreak/>
              <w:t>排；</w:t>
            </w:r>
          </w:p>
          <w:p w:rsidR="00EE56C0" w:rsidRDefault="000F36A1">
            <w:pPr>
              <w:pStyle w:val="afa"/>
              <w:rPr>
                <w:kern w:val="36"/>
              </w:rPr>
            </w:pPr>
            <w:r>
              <w:t>管网接通后，</w:t>
            </w:r>
            <w:r>
              <w:rPr>
                <w:rFonts w:hint="eastAsia"/>
                <w:kern w:val="36"/>
              </w:rPr>
              <w:t>“</w:t>
            </w:r>
            <w:r>
              <w:rPr>
                <w:rFonts w:hint="eastAsia"/>
              </w:rPr>
              <w:t>隔油池</w:t>
            </w:r>
            <w:r>
              <w:rPr>
                <w:rFonts w:hint="eastAsia"/>
              </w:rPr>
              <w:t>+</w:t>
            </w:r>
            <w:r>
              <w:rPr>
                <w:rFonts w:hint="eastAsia"/>
                <w:kern w:val="36"/>
              </w:rPr>
              <w:t>化粪池”处理后的</w:t>
            </w:r>
            <w:r>
              <w:rPr>
                <w:rFonts w:hint="eastAsia"/>
              </w:rPr>
              <w:t>废</w:t>
            </w:r>
            <w:r>
              <w:rPr>
                <w:rFonts w:hint="eastAsia"/>
                <w:kern w:val="36"/>
              </w:rPr>
              <w:t>水与反渗透浓水在</w:t>
            </w:r>
            <w:r>
              <w:rPr>
                <w:rFonts w:hint="eastAsia"/>
              </w:rPr>
              <w:t>总排口排入管网，届时污水站</w:t>
            </w:r>
            <w:r>
              <w:t>停止运行</w:t>
            </w:r>
          </w:p>
        </w:tc>
        <w:tc>
          <w:tcPr>
            <w:tcW w:w="447" w:type="pct"/>
            <w:vMerge w:val="restart"/>
            <w:tcBorders>
              <w:top w:val="single" w:sz="4" w:space="0" w:color="auto"/>
            </w:tcBorders>
            <w:vAlign w:val="center"/>
          </w:tcPr>
          <w:p w:rsidR="00EE56C0" w:rsidRDefault="000F36A1">
            <w:pPr>
              <w:pStyle w:val="afa"/>
            </w:pPr>
            <w:r>
              <w:rPr>
                <w:rFonts w:hint="eastAsia"/>
                <w:kern w:val="36"/>
              </w:rPr>
              <w:lastRenderedPageBreak/>
              <w:t>达标排放</w:t>
            </w:r>
          </w:p>
        </w:tc>
      </w:tr>
      <w:tr w:rsidR="00EE56C0">
        <w:trPr>
          <w:trHeight w:val="814"/>
        </w:trPr>
        <w:tc>
          <w:tcPr>
            <w:tcW w:w="314" w:type="pct"/>
            <w:vMerge/>
            <w:vAlign w:val="center"/>
          </w:tcPr>
          <w:p w:rsidR="00EE56C0" w:rsidRDefault="00EE56C0">
            <w:pPr>
              <w:pStyle w:val="afa"/>
            </w:pPr>
          </w:p>
        </w:tc>
        <w:tc>
          <w:tcPr>
            <w:tcW w:w="1329" w:type="pct"/>
            <w:gridSpan w:val="3"/>
            <w:tcBorders>
              <w:bottom w:val="single" w:sz="4" w:space="0" w:color="auto"/>
            </w:tcBorders>
            <w:vAlign w:val="center"/>
          </w:tcPr>
          <w:p w:rsidR="00EE56C0" w:rsidRDefault="000F36A1">
            <w:pPr>
              <w:pStyle w:val="afa"/>
            </w:pPr>
            <w:r>
              <w:rPr>
                <w:rFonts w:hint="eastAsia"/>
              </w:rPr>
              <w:t>车间地面清洗废水</w:t>
            </w:r>
          </w:p>
        </w:tc>
        <w:tc>
          <w:tcPr>
            <w:tcW w:w="1163" w:type="pct"/>
            <w:tcBorders>
              <w:top w:val="single" w:sz="4" w:space="0" w:color="auto"/>
              <w:bottom w:val="single" w:sz="4" w:space="0" w:color="auto"/>
            </w:tcBorders>
            <w:vAlign w:val="center"/>
          </w:tcPr>
          <w:p w:rsidR="00EE56C0" w:rsidRDefault="000F36A1">
            <w:pPr>
              <w:pStyle w:val="afa"/>
            </w:pPr>
            <w:r>
              <w:t>COD</w:t>
            </w:r>
            <w:r>
              <w:t>、</w:t>
            </w:r>
            <w:r>
              <w:rPr>
                <w:rFonts w:hint="eastAsia"/>
              </w:rPr>
              <w:t>SS</w:t>
            </w:r>
          </w:p>
        </w:tc>
        <w:tc>
          <w:tcPr>
            <w:tcW w:w="499" w:type="pct"/>
            <w:vMerge/>
            <w:tcBorders>
              <w:bottom w:val="single" w:sz="4" w:space="0" w:color="auto"/>
              <w:right w:val="single" w:sz="4" w:space="0" w:color="auto"/>
            </w:tcBorders>
            <w:vAlign w:val="center"/>
          </w:tcPr>
          <w:p w:rsidR="00EE56C0" w:rsidRDefault="00EE56C0">
            <w:pPr>
              <w:pStyle w:val="afa"/>
            </w:pPr>
          </w:p>
        </w:tc>
        <w:tc>
          <w:tcPr>
            <w:tcW w:w="1248" w:type="pct"/>
            <w:gridSpan w:val="4"/>
            <w:vMerge/>
            <w:tcBorders>
              <w:left w:val="single" w:sz="4" w:space="0" w:color="auto"/>
            </w:tcBorders>
            <w:vAlign w:val="center"/>
          </w:tcPr>
          <w:p w:rsidR="00EE56C0" w:rsidRDefault="00EE56C0">
            <w:pPr>
              <w:pStyle w:val="afa"/>
            </w:pPr>
          </w:p>
        </w:tc>
        <w:tc>
          <w:tcPr>
            <w:tcW w:w="447" w:type="pct"/>
            <w:vMerge/>
            <w:vAlign w:val="center"/>
          </w:tcPr>
          <w:p w:rsidR="00EE56C0" w:rsidRDefault="00EE56C0">
            <w:pPr>
              <w:pStyle w:val="afa"/>
            </w:pPr>
          </w:p>
        </w:tc>
      </w:tr>
      <w:tr w:rsidR="00EE56C0">
        <w:trPr>
          <w:trHeight w:val="2426"/>
        </w:trPr>
        <w:tc>
          <w:tcPr>
            <w:tcW w:w="314" w:type="pct"/>
            <w:vMerge/>
            <w:vAlign w:val="center"/>
          </w:tcPr>
          <w:p w:rsidR="00EE56C0" w:rsidRDefault="00EE56C0">
            <w:pPr>
              <w:pStyle w:val="afa"/>
            </w:pPr>
          </w:p>
        </w:tc>
        <w:tc>
          <w:tcPr>
            <w:tcW w:w="1329" w:type="pct"/>
            <w:gridSpan w:val="3"/>
            <w:tcBorders>
              <w:top w:val="single" w:sz="4" w:space="0" w:color="auto"/>
            </w:tcBorders>
            <w:vAlign w:val="center"/>
          </w:tcPr>
          <w:p w:rsidR="00EE56C0" w:rsidRDefault="000F36A1">
            <w:pPr>
              <w:pStyle w:val="afa"/>
            </w:pPr>
            <w:r>
              <w:rPr>
                <w:rFonts w:hint="eastAsia"/>
              </w:rPr>
              <w:t>反渗透浓水</w:t>
            </w:r>
          </w:p>
        </w:tc>
        <w:tc>
          <w:tcPr>
            <w:tcW w:w="1163" w:type="pct"/>
            <w:tcBorders>
              <w:top w:val="single" w:sz="4" w:space="0" w:color="auto"/>
            </w:tcBorders>
            <w:vAlign w:val="center"/>
          </w:tcPr>
          <w:p w:rsidR="00EE56C0" w:rsidRDefault="000F36A1">
            <w:pPr>
              <w:pStyle w:val="afa"/>
            </w:pPr>
            <w:r>
              <w:t>COD</w:t>
            </w:r>
            <w:r>
              <w:t>、</w:t>
            </w:r>
            <w:r>
              <w:t>SS</w:t>
            </w:r>
            <w:r>
              <w:rPr>
                <w:rFonts w:hint="eastAsia"/>
              </w:rPr>
              <w:t>、</w:t>
            </w:r>
            <w:r>
              <w:rPr>
                <w:rFonts w:hint="eastAsia"/>
              </w:rPr>
              <w:t>NH</w:t>
            </w:r>
            <w:r>
              <w:rPr>
                <w:rFonts w:hint="eastAsia"/>
                <w:vertAlign w:val="subscript"/>
              </w:rPr>
              <w:t>3</w:t>
            </w:r>
            <w:r>
              <w:rPr>
                <w:rFonts w:hint="eastAsia"/>
              </w:rPr>
              <w:t>-N</w:t>
            </w:r>
            <w:r>
              <w:rPr>
                <w:rFonts w:hint="eastAsia"/>
              </w:rPr>
              <w:t>、</w:t>
            </w:r>
            <w:r>
              <w:rPr>
                <w:rFonts w:hint="eastAsia"/>
              </w:rPr>
              <w:t>TP</w:t>
            </w:r>
          </w:p>
        </w:tc>
        <w:tc>
          <w:tcPr>
            <w:tcW w:w="499" w:type="pct"/>
            <w:tcBorders>
              <w:top w:val="single" w:sz="4" w:space="0" w:color="auto"/>
              <w:right w:val="single" w:sz="4" w:space="0" w:color="auto"/>
            </w:tcBorders>
            <w:vAlign w:val="center"/>
          </w:tcPr>
          <w:p w:rsidR="00EE56C0" w:rsidRDefault="000F36A1">
            <w:pPr>
              <w:pStyle w:val="afa"/>
            </w:pPr>
            <w:r>
              <w:rPr>
                <w:rFonts w:hint="eastAsia"/>
              </w:rPr>
              <w:t>/</w:t>
            </w:r>
          </w:p>
        </w:tc>
        <w:tc>
          <w:tcPr>
            <w:tcW w:w="1248" w:type="pct"/>
            <w:gridSpan w:val="4"/>
            <w:vMerge/>
            <w:tcBorders>
              <w:left w:val="single" w:sz="4" w:space="0" w:color="auto"/>
            </w:tcBorders>
            <w:vAlign w:val="center"/>
          </w:tcPr>
          <w:p w:rsidR="00EE56C0" w:rsidRDefault="00EE56C0">
            <w:pPr>
              <w:pStyle w:val="afa"/>
            </w:pPr>
          </w:p>
        </w:tc>
        <w:tc>
          <w:tcPr>
            <w:tcW w:w="447" w:type="pct"/>
            <w:vMerge/>
            <w:vAlign w:val="center"/>
          </w:tcPr>
          <w:p w:rsidR="00EE56C0" w:rsidRDefault="00EE56C0">
            <w:pPr>
              <w:pStyle w:val="afa"/>
            </w:pPr>
          </w:p>
        </w:tc>
      </w:tr>
      <w:tr w:rsidR="00EE56C0">
        <w:trPr>
          <w:trHeight w:val="425"/>
        </w:trPr>
        <w:tc>
          <w:tcPr>
            <w:tcW w:w="314" w:type="pct"/>
            <w:vMerge w:val="restart"/>
            <w:tcBorders>
              <w:top w:val="single" w:sz="8" w:space="0" w:color="auto"/>
            </w:tcBorders>
            <w:vAlign w:val="center"/>
          </w:tcPr>
          <w:p w:rsidR="00EE56C0" w:rsidRDefault="000F36A1">
            <w:pPr>
              <w:pStyle w:val="afa"/>
            </w:pPr>
            <w:r>
              <w:lastRenderedPageBreak/>
              <w:t>固废</w:t>
            </w:r>
          </w:p>
        </w:tc>
        <w:tc>
          <w:tcPr>
            <w:tcW w:w="1329" w:type="pct"/>
            <w:gridSpan w:val="3"/>
            <w:vAlign w:val="center"/>
          </w:tcPr>
          <w:p w:rsidR="00EE56C0" w:rsidRDefault="000F36A1">
            <w:pPr>
              <w:pStyle w:val="afa"/>
            </w:pPr>
            <w:r>
              <w:rPr>
                <w:rFonts w:hint="eastAsia"/>
              </w:rPr>
              <w:t>原料使用</w:t>
            </w:r>
          </w:p>
        </w:tc>
        <w:tc>
          <w:tcPr>
            <w:tcW w:w="1163" w:type="pct"/>
            <w:vAlign w:val="center"/>
          </w:tcPr>
          <w:p w:rsidR="00EE56C0" w:rsidRDefault="000F36A1">
            <w:pPr>
              <w:pStyle w:val="afa"/>
            </w:pPr>
            <w:r>
              <w:rPr>
                <w:rFonts w:hint="eastAsia"/>
              </w:rPr>
              <w:t>废包装袋</w:t>
            </w:r>
          </w:p>
        </w:tc>
        <w:tc>
          <w:tcPr>
            <w:tcW w:w="1747" w:type="pct"/>
            <w:gridSpan w:val="5"/>
            <w:vMerge w:val="restart"/>
            <w:vAlign w:val="center"/>
          </w:tcPr>
          <w:p w:rsidR="00EE56C0" w:rsidRDefault="000F36A1">
            <w:pPr>
              <w:pStyle w:val="afa"/>
            </w:pPr>
            <w:r>
              <w:rPr>
                <w:rFonts w:hint="eastAsia"/>
              </w:rPr>
              <w:t>外售综合利用</w:t>
            </w:r>
          </w:p>
        </w:tc>
        <w:tc>
          <w:tcPr>
            <w:tcW w:w="447" w:type="pct"/>
            <w:vMerge w:val="restart"/>
            <w:vAlign w:val="center"/>
          </w:tcPr>
          <w:p w:rsidR="00EE56C0" w:rsidRDefault="000F36A1">
            <w:pPr>
              <w:pStyle w:val="afa"/>
            </w:pPr>
            <w:r>
              <w:rPr>
                <w:rFonts w:hint="eastAsia"/>
              </w:rPr>
              <w:t>综合利用</w:t>
            </w:r>
          </w:p>
        </w:tc>
      </w:tr>
      <w:tr w:rsidR="00EE56C0">
        <w:trPr>
          <w:trHeight w:val="425"/>
        </w:trPr>
        <w:tc>
          <w:tcPr>
            <w:tcW w:w="314" w:type="pct"/>
            <w:vMerge/>
            <w:tcBorders>
              <w:top w:val="single" w:sz="8" w:space="0" w:color="auto"/>
            </w:tcBorders>
            <w:vAlign w:val="center"/>
          </w:tcPr>
          <w:p w:rsidR="00EE56C0" w:rsidRDefault="00EE56C0">
            <w:pPr>
              <w:pStyle w:val="afa"/>
            </w:pPr>
          </w:p>
        </w:tc>
        <w:tc>
          <w:tcPr>
            <w:tcW w:w="1329" w:type="pct"/>
            <w:gridSpan w:val="3"/>
            <w:vAlign w:val="center"/>
          </w:tcPr>
          <w:p w:rsidR="00EE56C0" w:rsidRDefault="000F36A1">
            <w:pPr>
              <w:pStyle w:val="afa"/>
            </w:pPr>
            <w:r>
              <w:rPr>
                <w:rFonts w:hint="eastAsia"/>
              </w:rPr>
              <w:t>生产过程</w:t>
            </w:r>
          </w:p>
        </w:tc>
        <w:tc>
          <w:tcPr>
            <w:tcW w:w="1163" w:type="pct"/>
            <w:vAlign w:val="center"/>
          </w:tcPr>
          <w:p w:rsidR="00EE56C0" w:rsidRDefault="000F36A1">
            <w:pPr>
              <w:pStyle w:val="afa"/>
            </w:pPr>
            <w:r>
              <w:rPr>
                <w:rFonts w:hint="eastAsia"/>
              </w:rPr>
              <w:t>废铜线</w:t>
            </w:r>
          </w:p>
        </w:tc>
        <w:tc>
          <w:tcPr>
            <w:tcW w:w="1747" w:type="pct"/>
            <w:gridSpan w:val="5"/>
            <w:vMerge/>
            <w:vAlign w:val="center"/>
          </w:tcPr>
          <w:p w:rsidR="00EE56C0" w:rsidRDefault="00EE56C0">
            <w:pPr>
              <w:pStyle w:val="afa"/>
            </w:pPr>
          </w:p>
        </w:tc>
        <w:tc>
          <w:tcPr>
            <w:tcW w:w="447" w:type="pct"/>
            <w:vMerge/>
            <w:vAlign w:val="center"/>
          </w:tcPr>
          <w:p w:rsidR="00EE56C0" w:rsidRDefault="00EE56C0">
            <w:pPr>
              <w:pStyle w:val="afa"/>
            </w:pPr>
          </w:p>
        </w:tc>
      </w:tr>
      <w:tr w:rsidR="00EE56C0">
        <w:trPr>
          <w:trHeight w:val="425"/>
        </w:trPr>
        <w:tc>
          <w:tcPr>
            <w:tcW w:w="314" w:type="pct"/>
            <w:vMerge/>
            <w:vAlign w:val="center"/>
          </w:tcPr>
          <w:p w:rsidR="00EE56C0" w:rsidRDefault="00EE56C0">
            <w:pPr>
              <w:pStyle w:val="afa"/>
            </w:pPr>
          </w:p>
        </w:tc>
        <w:tc>
          <w:tcPr>
            <w:tcW w:w="1329" w:type="pct"/>
            <w:gridSpan w:val="3"/>
            <w:vAlign w:val="center"/>
          </w:tcPr>
          <w:p w:rsidR="00EE56C0" w:rsidRDefault="000F36A1">
            <w:pPr>
              <w:pStyle w:val="afa"/>
            </w:pPr>
            <w:r>
              <w:rPr>
                <w:rFonts w:hint="eastAsia"/>
              </w:rPr>
              <w:t>生产过程</w:t>
            </w:r>
          </w:p>
        </w:tc>
        <w:tc>
          <w:tcPr>
            <w:tcW w:w="1163" w:type="pct"/>
            <w:vAlign w:val="center"/>
          </w:tcPr>
          <w:p w:rsidR="00EE56C0" w:rsidRDefault="000F36A1">
            <w:pPr>
              <w:pStyle w:val="afa"/>
            </w:pPr>
            <w:r>
              <w:rPr>
                <w:rFonts w:hint="eastAsia"/>
              </w:rPr>
              <w:t>残次品</w:t>
            </w:r>
          </w:p>
        </w:tc>
        <w:tc>
          <w:tcPr>
            <w:tcW w:w="1747" w:type="pct"/>
            <w:gridSpan w:val="5"/>
            <w:vMerge/>
            <w:vAlign w:val="center"/>
          </w:tcPr>
          <w:p w:rsidR="00EE56C0" w:rsidRDefault="00EE56C0">
            <w:pPr>
              <w:pStyle w:val="afa"/>
            </w:pPr>
          </w:p>
        </w:tc>
        <w:tc>
          <w:tcPr>
            <w:tcW w:w="447" w:type="pct"/>
            <w:vMerge/>
            <w:vAlign w:val="center"/>
          </w:tcPr>
          <w:p w:rsidR="00EE56C0" w:rsidRDefault="00EE56C0">
            <w:pPr>
              <w:pStyle w:val="afa"/>
            </w:pPr>
          </w:p>
        </w:tc>
      </w:tr>
      <w:tr w:rsidR="00EE56C0">
        <w:trPr>
          <w:trHeight w:val="425"/>
        </w:trPr>
        <w:tc>
          <w:tcPr>
            <w:tcW w:w="314" w:type="pct"/>
            <w:vMerge/>
            <w:vAlign w:val="center"/>
          </w:tcPr>
          <w:p w:rsidR="00EE56C0" w:rsidRDefault="00EE56C0">
            <w:pPr>
              <w:pStyle w:val="afa"/>
            </w:pPr>
          </w:p>
        </w:tc>
        <w:tc>
          <w:tcPr>
            <w:tcW w:w="1329" w:type="pct"/>
            <w:gridSpan w:val="3"/>
            <w:vAlign w:val="center"/>
          </w:tcPr>
          <w:p w:rsidR="00EE56C0" w:rsidRDefault="000F36A1">
            <w:pPr>
              <w:pStyle w:val="afa"/>
            </w:pPr>
            <w:r>
              <w:rPr>
                <w:rFonts w:hint="eastAsia"/>
              </w:rPr>
              <w:t>污水处理站</w:t>
            </w:r>
          </w:p>
        </w:tc>
        <w:tc>
          <w:tcPr>
            <w:tcW w:w="1163" w:type="pct"/>
            <w:vAlign w:val="center"/>
          </w:tcPr>
          <w:p w:rsidR="00EE56C0" w:rsidRDefault="000F36A1">
            <w:pPr>
              <w:pStyle w:val="afa"/>
            </w:pPr>
            <w:r>
              <w:t>污泥</w:t>
            </w:r>
          </w:p>
        </w:tc>
        <w:tc>
          <w:tcPr>
            <w:tcW w:w="1747" w:type="pct"/>
            <w:gridSpan w:val="5"/>
            <w:vAlign w:val="center"/>
          </w:tcPr>
          <w:p w:rsidR="00EE56C0" w:rsidRDefault="000F36A1">
            <w:pPr>
              <w:pStyle w:val="afa"/>
            </w:pPr>
            <w:r>
              <w:rPr>
                <w:rFonts w:hint="eastAsia"/>
                <w:kern w:val="36"/>
              </w:rPr>
              <w:t>板框压滤、污泥间暂存后送垃圾填埋场填埋</w:t>
            </w:r>
          </w:p>
        </w:tc>
        <w:tc>
          <w:tcPr>
            <w:tcW w:w="447" w:type="pct"/>
            <w:vMerge/>
            <w:vAlign w:val="center"/>
          </w:tcPr>
          <w:p w:rsidR="00EE56C0" w:rsidRDefault="00EE56C0">
            <w:pPr>
              <w:pStyle w:val="afa"/>
            </w:pPr>
          </w:p>
        </w:tc>
      </w:tr>
      <w:tr w:rsidR="00EE56C0">
        <w:trPr>
          <w:trHeight w:val="425"/>
        </w:trPr>
        <w:tc>
          <w:tcPr>
            <w:tcW w:w="314" w:type="pct"/>
            <w:vMerge/>
            <w:vAlign w:val="center"/>
          </w:tcPr>
          <w:p w:rsidR="00EE56C0" w:rsidRDefault="00EE56C0">
            <w:pPr>
              <w:pStyle w:val="afa"/>
            </w:pPr>
          </w:p>
        </w:tc>
        <w:tc>
          <w:tcPr>
            <w:tcW w:w="1329" w:type="pct"/>
            <w:gridSpan w:val="3"/>
            <w:vMerge w:val="restart"/>
            <w:vAlign w:val="center"/>
          </w:tcPr>
          <w:p w:rsidR="00EE56C0" w:rsidRDefault="000F36A1">
            <w:pPr>
              <w:pStyle w:val="afa"/>
            </w:pPr>
            <w:r>
              <w:rPr>
                <w:rFonts w:hint="eastAsia"/>
              </w:rPr>
              <w:t>拉丝</w:t>
            </w:r>
          </w:p>
        </w:tc>
        <w:tc>
          <w:tcPr>
            <w:tcW w:w="1163" w:type="pct"/>
            <w:vAlign w:val="center"/>
          </w:tcPr>
          <w:p w:rsidR="00EE56C0" w:rsidRDefault="000F36A1">
            <w:pPr>
              <w:pStyle w:val="afa"/>
            </w:pPr>
            <w:r>
              <w:rPr>
                <w:rFonts w:hint="eastAsia"/>
              </w:rPr>
              <w:t>含铜废油泥</w:t>
            </w:r>
          </w:p>
        </w:tc>
        <w:tc>
          <w:tcPr>
            <w:tcW w:w="1747" w:type="pct"/>
            <w:gridSpan w:val="5"/>
            <w:vMerge w:val="restart"/>
            <w:vAlign w:val="center"/>
          </w:tcPr>
          <w:p w:rsidR="00EE56C0" w:rsidRDefault="000F36A1">
            <w:pPr>
              <w:pStyle w:val="afa"/>
            </w:pPr>
            <w:r>
              <w:rPr>
                <w:rFonts w:hint="eastAsia"/>
              </w:rPr>
              <w:t>定期委托有危废处置资质的单位安全处置</w:t>
            </w:r>
          </w:p>
        </w:tc>
        <w:tc>
          <w:tcPr>
            <w:tcW w:w="447" w:type="pct"/>
            <w:vMerge/>
            <w:vAlign w:val="center"/>
          </w:tcPr>
          <w:p w:rsidR="00EE56C0" w:rsidRDefault="00EE56C0">
            <w:pPr>
              <w:pStyle w:val="afa"/>
            </w:pPr>
          </w:p>
        </w:tc>
      </w:tr>
      <w:tr w:rsidR="00EE56C0">
        <w:trPr>
          <w:trHeight w:val="425"/>
        </w:trPr>
        <w:tc>
          <w:tcPr>
            <w:tcW w:w="314" w:type="pct"/>
            <w:vMerge/>
            <w:vAlign w:val="center"/>
          </w:tcPr>
          <w:p w:rsidR="00EE56C0" w:rsidRDefault="00EE56C0">
            <w:pPr>
              <w:pStyle w:val="afa"/>
            </w:pPr>
          </w:p>
        </w:tc>
        <w:tc>
          <w:tcPr>
            <w:tcW w:w="1329" w:type="pct"/>
            <w:gridSpan w:val="3"/>
            <w:vMerge/>
            <w:vAlign w:val="center"/>
          </w:tcPr>
          <w:p w:rsidR="00EE56C0" w:rsidRDefault="00EE56C0">
            <w:pPr>
              <w:pStyle w:val="afa"/>
            </w:pPr>
          </w:p>
        </w:tc>
        <w:tc>
          <w:tcPr>
            <w:tcW w:w="1163" w:type="pct"/>
            <w:vAlign w:val="center"/>
          </w:tcPr>
          <w:p w:rsidR="00EE56C0" w:rsidRDefault="000F36A1">
            <w:pPr>
              <w:pStyle w:val="afa"/>
            </w:pPr>
            <w:r>
              <w:rPr>
                <w:rFonts w:hint="eastAsia"/>
              </w:rPr>
              <w:t>废拉丝液</w:t>
            </w:r>
          </w:p>
        </w:tc>
        <w:tc>
          <w:tcPr>
            <w:tcW w:w="1747" w:type="pct"/>
            <w:gridSpan w:val="5"/>
            <w:vMerge/>
            <w:vAlign w:val="center"/>
          </w:tcPr>
          <w:p w:rsidR="00EE56C0" w:rsidRDefault="00EE56C0">
            <w:pPr>
              <w:pStyle w:val="afa"/>
            </w:pPr>
          </w:p>
        </w:tc>
        <w:tc>
          <w:tcPr>
            <w:tcW w:w="447" w:type="pct"/>
            <w:vMerge/>
            <w:tcBorders>
              <w:bottom w:val="single" w:sz="4" w:space="0" w:color="auto"/>
            </w:tcBorders>
            <w:vAlign w:val="center"/>
          </w:tcPr>
          <w:p w:rsidR="00EE56C0" w:rsidRDefault="00EE56C0">
            <w:pPr>
              <w:pStyle w:val="afa"/>
            </w:pPr>
          </w:p>
        </w:tc>
      </w:tr>
      <w:tr w:rsidR="00EE56C0">
        <w:trPr>
          <w:trHeight w:val="425"/>
        </w:trPr>
        <w:tc>
          <w:tcPr>
            <w:tcW w:w="314" w:type="pct"/>
            <w:vMerge/>
            <w:vAlign w:val="center"/>
          </w:tcPr>
          <w:p w:rsidR="00EE56C0" w:rsidRDefault="00EE56C0">
            <w:pPr>
              <w:pStyle w:val="afa"/>
            </w:pPr>
          </w:p>
        </w:tc>
        <w:tc>
          <w:tcPr>
            <w:tcW w:w="1329" w:type="pct"/>
            <w:gridSpan w:val="3"/>
            <w:vAlign w:val="center"/>
          </w:tcPr>
          <w:p w:rsidR="00EE56C0" w:rsidRDefault="000F36A1">
            <w:pPr>
              <w:pStyle w:val="afa"/>
            </w:pPr>
            <w:r>
              <w:rPr>
                <w:rFonts w:hint="eastAsia"/>
              </w:rPr>
              <w:t>原料使用</w:t>
            </w:r>
          </w:p>
        </w:tc>
        <w:tc>
          <w:tcPr>
            <w:tcW w:w="1163" w:type="pct"/>
            <w:vAlign w:val="center"/>
          </w:tcPr>
          <w:p w:rsidR="00EE56C0" w:rsidRDefault="000F36A1">
            <w:pPr>
              <w:pStyle w:val="afa"/>
            </w:pPr>
            <w:r>
              <w:rPr>
                <w:rFonts w:hint="eastAsia"/>
              </w:rPr>
              <w:t>废丝包涂料桶</w:t>
            </w:r>
          </w:p>
        </w:tc>
        <w:tc>
          <w:tcPr>
            <w:tcW w:w="1747" w:type="pct"/>
            <w:gridSpan w:val="5"/>
            <w:vMerge/>
            <w:vAlign w:val="center"/>
          </w:tcPr>
          <w:p w:rsidR="00EE56C0" w:rsidRDefault="00EE56C0">
            <w:pPr>
              <w:pStyle w:val="afa"/>
            </w:pPr>
          </w:p>
        </w:tc>
        <w:tc>
          <w:tcPr>
            <w:tcW w:w="447" w:type="pct"/>
            <w:vMerge w:val="restart"/>
            <w:tcBorders>
              <w:top w:val="single" w:sz="4" w:space="0" w:color="auto"/>
            </w:tcBorders>
            <w:vAlign w:val="center"/>
          </w:tcPr>
          <w:p w:rsidR="00EE56C0" w:rsidRDefault="000F36A1">
            <w:pPr>
              <w:pStyle w:val="afa"/>
            </w:pPr>
            <w:r>
              <w:rPr>
                <w:rFonts w:hint="eastAsia"/>
              </w:rPr>
              <w:t>安全处置</w:t>
            </w:r>
          </w:p>
        </w:tc>
      </w:tr>
      <w:tr w:rsidR="00EE56C0">
        <w:trPr>
          <w:trHeight w:val="425"/>
        </w:trPr>
        <w:tc>
          <w:tcPr>
            <w:tcW w:w="314" w:type="pct"/>
            <w:vMerge/>
            <w:vAlign w:val="center"/>
          </w:tcPr>
          <w:p w:rsidR="00EE56C0" w:rsidRDefault="00EE56C0">
            <w:pPr>
              <w:pStyle w:val="afa"/>
            </w:pPr>
          </w:p>
        </w:tc>
        <w:tc>
          <w:tcPr>
            <w:tcW w:w="1329" w:type="pct"/>
            <w:gridSpan w:val="3"/>
            <w:vAlign w:val="center"/>
          </w:tcPr>
          <w:p w:rsidR="00EE56C0" w:rsidRDefault="000F36A1">
            <w:pPr>
              <w:pStyle w:val="afa"/>
            </w:pPr>
            <w:r>
              <w:rPr>
                <w:rFonts w:hint="eastAsia"/>
              </w:rPr>
              <w:t>生产过程</w:t>
            </w:r>
          </w:p>
        </w:tc>
        <w:tc>
          <w:tcPr>
            <w:tcW w:w="1163" w:type="pct"/>
            <w:vAlign w:val="center"/>
          </w:tcPr>
          <w:p w:rsidR="00EE56C0" w:rsidRDefault="000F36A1">
            <w:pPr>
              <w:pStyle w:val="afa"/>
            </w:pPr>
            <w:r>
              <w:rPr>
                <w:rFonts w:hint="eastAsia"/>
              </w:rPr>
              <w:t>含漆料</w:t>
            </w:r>
            <w:r>
              <w:rPr>
                <w:rFonts w:hint="eastAsia"/>
              </w:rPr>
              <w:t>/</w:t>
            </w:r>
            <w:r>
              <w:rPr>
                <w:rFonts w:hint="eastAsia"/>
              </w:rPr>
              <w:t>油的废毛毡</w:t>
            </w:r>
          </w:p>
        </w:tc>
        <w:tc>
          <w:tcPr>
            <w:tcW w:w="1747" w:type="pct"/>
            <w:gridSpan w:val="5"/>
            <w:vMerge/>
            <w:vAlign w:val="center"/>
          </w:tcPr>
          <w:p w:rsidR="00EE56C0" w:rsidRDefault="00EE56C0">
            <w:pPr>
              <w:pStyle w:val="afa"/>
            </w:pPr>
          </w:p>
        </w:tc>
        <w:tc>
          <w:tcPr>
            <w:tcW w:w="447" w:type="pct"/>
            <w:vMerge/>
            <w:tcBorders>
              <w:top w:val="single" w:sz="4" w:space="0" w:color="auto"/>
            </w:tcBorders>
            <w:vAlign w:val="center"/>
          </w:tcPr>
          <w:p w:rsidR="00EE56C0" w:rsidRDefault="00EE56C0">
            <w:pPr>
              <w:pStyle w:val="afa"/>
            </w:pPr>
          </w:p>
        </w:tc>
      </w:tr>
      <w:tr w:rsidR="00EE56C0">
        <w:trPr>
          <w:trHeight w:val="455"/>
        </w:trPr>
        <w:tc>
          <w:tcPr>
            <w:tcW w:w="314" w:type="pct"/>
            <w:vMerge/>
            <w:vAlign w:val="center"/>
          </w:tcPr>
          <w:p w:rsidR="00EE56C0" w:rsidRDefault="00EE56C0">
            <w:pPr>
              <w:pStyle w:val="afa"/>
            </w:pPr>
          </w:p>
        </w:tc>
        <w:tc>
          <w:tcPr>
            <w:tcW w:w="1329" w:type="pct"/>
            <w:gridSpan w:val="3"/>
            <w:vMerge w:val="restart"/>
            <w:vAlign w:val="center"/>
          </w:tcPr>
          <w:p w:rsidR="00EE56C0" w:rsidRDefault="000F36A1">
            <w:pPr>
              <w:pStyle w:val="afa"/>
            </w:pPr>
            <w:r>
              <w:rPr>
                <w:rFonts w:hint="eastAsia"/>
              </w:rPr>
              <w:t>废气设施</w:t>
            </w:r>
          </w:p>
        </w:tc>
        <w:tc>
          <w:tcPr>
            <w:tcW w:w="1163" w:type="pct"/>
            <w:tcBorders>
              <w:bottom w:val="single" w:sz="4" w:space="0" w:color="auto"/>
            </w:tcBorders>
            <w:vAlign w:val="center"/>
          </w:tcPr>
          <w:p w:rsidR="00EE56C0" w:rsidRDefault="000F36A1">
            <w:pPr>
              <w:pStyle w:val="afa"/>
            </w:pPr>
            <w:r>
              <w:rPr>
                <w:rFonts w:hint="eastAsia"/>
              </w:rPr>
              <w:t>废油</w:t>
            </w:r>
          </w:p>
        </w:tc>
        <w:tc>
          <w:tcPr>
            <w:tcW w:w="1747" w:type="pct"/>
            <w:gridSpan w:val="5"/>
            <w:vMerge/>
            <w:vAlign w:val="center"/>
          </w:tcPr>
          <w:p w:rsidR="00EE56C0" w:rsidRDefault="00EE56C0">
            <w:pPr>
              <w:pStyle w:val="afa"/>
            </w:pPr>
          </w:p>
        </w:tc>
        <w:tc>
          <w:tcPr>
            <w:tcW w:w="447" w:type="pct"/>
            <w:vMerge/>
            <w:vAlign w:val="center"/>
          </w:tcPr>
          <w:p w:rsidR="00EE56C0" w:rsidRDefault="00EE56C0">
            <w:pPr>
              <w:pStyle w:val="afa"/>
            </w:pPr>
          </w:p>
        </w:tc>
      </w:tr>
      <w:tr w:rsidR="00EE56C0">
        <w:trPr>
          <w:trHeight w:val="400"/>
        </w:trPr>
        <w:tc>
          <w:tcPr>
            <w:tcW w:w="314" w:type="pct"/>
            <w:vMerge/>
            <w:vAlign w:val="center"/>
          </w:tcPr>
          <w:p w:rsidR="00EE56C0" w:rsidRDefault="00EE56C0">
            <w:pPr>
              <w:pStyle w:val="afa"/>
            </w:pPr>
          </w:p>
        </w:tc>
        <w:tc>
          <w:tcPr>
            <w:tcW w:w="1329" w:type="pct"/>
            <w:gridSpan w:val="3"/>
            <w:vMerge/>
            <w:vAlign w:val="center"/>
          </w:tcPr>
          <w:p w:rsidR="00EE56C0" w:rsidRDefault="00EE56C0">
            <w:pPr>
              <w:pStyle w:val="afa"/>
            </w:pPr>
          </w:p>
        </w:tc>
        <w:tc>
          <w:tcPr>
            <w:tcW w:w="1163" w:type="pct"/>
            <w:tcBorders>
              <w:top w:val="single" w:sz="4" w:space="0" w:color="auto"/>
            </w:tcBorders>
            <w:vAlign w:val="center"/>
          </w:tcPr>
          <w:p w:rsidR="00EE56C0" w:rsidRDefault="000F36A1">
            <w:pPr>
              <w:pStyle w:val="afa"/>
            </w:pPr>
            <w:r>
              <w:rPr>
                <w:rFonts w:hint="eastAsia"/>
              </w:rPr>
              <w:t>废催化剂</w:t>
            </w:r>
          </w:p>
        </w:tc>
        <w:tc>
          <w:tcPr>
            <w:tcW w:w="1747" w:type="pct"/>
            <w:gridSpan w:val="5"/>
            <w:vMerge/>
            <w:vAlign w:val="center"/>
          </w:tcPr>
          <w:p w:rsidR="00EE56C0" w:rsidRDefault="00EE56C0">
            <w:pPr>
              <w:pStyle w:val="afa"/>
            </w:pPr>
          </w:p>
        </w:tc>
        <w:tc>
          <w:tcPr>
            <w:tcW w:w="447" w:type="pct"/>
            <w:vMerge/>
            <w:vAlign w:val="center"/>
          </w:tcPr>
          <w:p w:rsidR="00EE56C0" w:rsidRDefault="00EE56C0">
            <w:pPr>
              <w:pStyle w:val="afa"/>
            </w:pPr>
          </w:p>
        </w:tc>
      </w:tr>
      <w:tr w:rsidR="00EE56C0">
        <w:trPr>
          <w:trHeight w:val="425"/>
        </w:trPr>
        <w:tc>
          <w:tcPr>
            <w:tcW w:w="314" w:type="pct"/>
            <w:vMerge/>
            <w:vAlign w:val="center"/>
          </w:tcPr>
          <w:p w:rsidR="00EE56C0" w:rsidRDefault="00EE56C0">
            <w:pPr>
              <w:pStyle w:val="afa"/>
            </w:pPr>
          </w:p>
        </w:tc>
        <w:tc>
          <w:tcPr>
            <w:tcW w:w="1329" w:type="pct"/>
            <w:gridSpan w:val="3"/>
            <w:vMerge/>
            <w:vAlign w:val="center"/>
          </w:tcPr>
          <w:p w:rsidR="00EE56C0" w:rsidRDefault="00EE56C0">
            <w:pPr>
              <w:pStyle w:val="afa"/>
            </w:pPr>
          </w:p>
        </w:tc>
        <w:tc>
          <w:tcPr>
            <w:tcW w:w="1163" w:type="pct"/>
            <w:vAlign w:val="center"/>
          </w:tcPr>
          <w:p w:rsidR="00EE56C0" w:rsidRDefault="000F36A1">
            <w:pPr>
              <w:pStyle w:val="afa"/>
            </w:pPr>
            <w:r>
              <w:rPr>
                <w:rFonts w:hint="eastAsia"/>
              </w:rPr>
              <w:t>废活性炭</w:t>
            </w:r>
          </w:p>
        </w:tc>
        <w:tc>
          <w:tcPr>
            <w:tcW w:w="1747" w:type="pct"/>
            <w:gridSpan w:val="5"/>
            <w:vMerge/>
            <w:vAlign w:val="center"/>
          </w:tcPr>
          <w:p w:rsidR="00EE56C0" w:rsidRDefault="00EE56C0">
            <w:pPr>
              <w:pStyle w:val="afa"/>
            </w:pPr>
          </w:p>
        </w:tc>
        <w:tc>
          <w:tcPr>
            <w:tcW w:w="447" w:type="pct"/>
            <w:vMerge/>
            <w:vAlign w:val="center"/>
          </w:tcPr>
          <w:p w:rsidR="00EE56C0" w:rsidRDefault="00EE56C0">
            <w:pPr>
              <w:pStyle w:val="afa"/>
            </w:pPr>
          </w:p>
        </w:tc>
      </w:tr>
      <w:tr w:rsidR="00EE56C0">
        <w:trPr>
          <w:trHeight w:val="425"/>
        </w:trPr>
        <w:tc>
          <w:tcPr>
            <w:tcW w:w="314" w:type="pct"/>
            <w:vMerge/>
            <w:vAlign w:val="center"/>
          </w:tcPr>
          <w:p w:rsidR="00EE56C0" w:rsidRDefault="00EE56C0">
            <w:pPr>
              <w:pStyle w:val="afa"/>
            </w:pPr>
          </w:p>
        </w:tc>
        <w:tc>
          <w:tcPr>
            <w:tcW w:w="1329" w:type="pct"/>
            <w:gridSpan w:val="3"/>
            <w:vMerge/>
            <w:vAlign w:val="center"/>
          </w:tcPr>
          <w:p w:rsidR="00EE56C0" w:rsidRDefault="00EE56C0">
            <w:pPr>
              <w:pStyle w:val="afa"/>
            </w:pPr>
          </w:p>
        </w:tc>
        <w:tc>
          <w:tcPr>
            <w:tcW w:w="1163" w:type="pct"/>
            <w:vAlign w:val="center"/>
          </w:tcPr>
          <w:p w:rsidR="00EE56C0" w:rsidRDefault="000F36A1">
            <w:pPr>
              <w:pStyle w:val="afa"/>
            </w:pPr>
            <w:r>
              <w:rPr>
                <w:rFonts w:hint="eastAsia"/>
              </w:rPr>
              <w:t>废沸石分子筛</w:t>
            </w:r>
          </w:p>
        </w:tc>
        <w:tc>
          <w:tcPr>
            <w:tcW w:w="1747" w:type="pct"/>
            <w:gridSpan w:val="5"/>
            <w:vMerge/>
            <w:vAlign w:val="center"/>
          </w:tcPr>
          <w:p w:rsidR="00EE56C0" w:rsidRDefault="00EE56C0">
            <w:pPr>
              <w:pStyle w:val="afa"/>
            </w:pPr>
          </w:p>
        </w:tc>
        <w:tc>
          <w:tcPr>
            <w:tcW w:w="447" w:type="pct"/>
            <w:vMerge/>
            <w:vAlign w:val="center"/>
          </w:tcPr>
          <w:p w:rsidR="00EE56C0" w:rsidRDefault="00EE56C0">
            <w:pPr>
              <w:pStyle w:val="afa"/>
            </w:pPr>
          </w:p>
        </w:tc>
      </w:tr>
      <w:tr w:rsidR="00EE56C0">
        <w:trPr>
          <w:trHeight w:val="425"/>
        </w:trPr>
        <w:tc>
          <w:tcPr>
            <w:tcW w:w="314" w:type="pct"/>
            <w:vAlign w:val="center"/>
          </w:tcPr>
          <w:p w:rsidR="00EE56C0" w:rsidRDefault="000F36A1">
            <w:pPr>
              <w:pStyle w:val="afa"/>
            </w:pPr>
            <w:r>
              <w:t>噪声</w:t>
            </w:r>
          </w:p>
        </w:tc>
        <w:tc>
          <w:tcPr>
            <w:tcW w:w="1329" w:type="pct"/>
            <w:gridSpan w:val="3"/>
            <w:vAlign w:val="center"/>
          </w:tcPr>
          <w:p w:rsidR="00EE56C0" w:rsidRDefault="000F36A1">
            <w:pPr>
              <w:pStyle w:val="afa"/>
            </w:pPr>
            <w:r>
              <w:rPr>
                <w:rFonts w:hint="eastAsia"/>
              </w:rPr>
              <w:t>大垃机、中拉机、拉拔机、全自动拉丝机、漆包机、丝包机、挤压机、纸包机</w:t>
            </w:r>
            <w:r>
              <w:t>等</w:t>
            </w:r>
          </w:p>
        </w:tc>
        <w:tc>
          <w:tcPr>
            <w:tcW w:w="1163" w:type="pct"/>
            <w:vAlign w:val="center"/>
          </w:tcPr>
          <w:p w:rsidR="00EE56C0" w:rsidRDefault="000F36A1">
            <w:pPr>
              <w:pStyle w:val="afa"/>
            </w:pPr>
            <w:r>
              <w:t>机械噪声</w:t>
            </w:r>
          </w:p>
        </w:tc>
        <w:tc>
          <w:tcPr>
            <w:tcW w:w="1747" w:type="pct"/>
            <w:gridSpan w:val="5"/>
            <w:vAlign w:val="center"/>
          </w:tcPr>
          <w:p w:rsidR="00EE56C0" w:rsidRDefault="000F36A1">
            <w:pPr>
              <w:pStyle w:val="afa"/>
            </w:pPr>
            <w:r>
              <w:t>减振、隔声</w:t>
            </w:r>
          </w:p>
        </w:tc>
        <w:tc>
          <w:tcPr>
            <w:tcW w:w="447" w:type="pct"/>
            <w:vAlign w:val="center"/>
          </w:tcPr>
          <w:p w:rsidR="00EE56C0" w:rsidRDefault="000F36A1">
            <w:pPr>
              <w:pStyle w:val="afa"/>
            </w:pPr>
            <w:r>
              <w:rPr>
                <w:rFonts w:hint="eastAsia"/>
              </w:rPr>
              <w:t>厂界</w:t>
            </w:r>
            <w:r>
              <w:t>达标</w:t>
            </w:r>
          </w:p>
        </w:tc>
      </w:tr>
    </w:tbl>
    <w:p w:rsidR="00EE56C0" w:rsidRDefault="000F36A1">
      <w:pPr>
        <w:pStyle w:val="3"/>
        <w:spacing w:before="240" w:after="120"/>
        <w:rPr>
          <w:u w:val="single"/>
        </w:rPr>
      </w:pPr>
      <w:bookmarkStart w:id="192" w:name="_Toc25400904"/>
      <w:r>
        <w:rPr>
          <w:rFonts w:hint="eastAsia"/>
          <w:u w:val="single"/>
        </w:rPr>
        <w:t>3.1.10</w:t>
      </w:r>
      <w:r>
        <w:rPr>
          <w:rFonts w:hint="eastAsia"/>
          <w:u w:val="single"/>
        </w:rPr>
        <w:t>现有项目监控设施</w:t>
      </w:r>
    </w:p>
    <w:p w:rsidR="00EE56C0" w:rsidRDefault="000F36A1">
      <w:pPr>
        <w:ind w:firstLine="482"/>
        <w:rPr>
          <w:b/>
          <w:u w:val="single"/>
        </w:rPr>
      </w:pPr>
      <w:r>
        <w:rPr>
          <w:rFonts w:hint="eastAsia"/>
          <w:b/>
          <w:u w:val="single"/>
        </w:rPr>
        <w:t>根据相关文件要求，目前，企业已安装门禁系统，已在废气排气筒处安装有</w:t>
      </w:r>
      <w:r>
        <w:rPr>
          <w:rFonts w:hint="eastAsia"/>
          <w:b/>
          <w:u w:val="single"/>
        </w:rPr>
        <w:t>NMHC</w:t>
      </w:r>
      <w:r>
        <w:rPr>
          <w:rFonts w:hint="eastAsia"/>
          <w:b/>
          <w:u w:val="single"/>
        </w:rPr>
        <w:t>在线监测设施（</w:t>
      </w:r>
      <w:r>
        <w:rPr>
          <w:rFonts w:hint="eastAsia"/>
          <w:b/>
          <w:u w:val="single"/>
        </w:rPr>
        <w:t>FID</w:t>
      </w:r>
      <w:r>
        <w:rPr>
          <w:rFonts w:hint="eastAsia"/>
          <w:b/>
          <w:u w:val="single"/>
        </w:rPr>
        <w:t>检测器，自动监控数据保存一年以上），已在厂区上、下风向均安装无组织在线监测设施，废气治理措施已配套</w:t>
      </w:r>
      <w:r>
        <w:rPr>
          <w:rFonts w:hint="eastAsia"/>
          <w:b/>
          <w:u w:val="single"/>
        </w:rPr>
        <w:t>DCS</w:t>
      </w:r>
      <w:r>
        <w:rPr>
          <w:rFonts w:hint="eastAsia"/>
          <w:b/>
          <w:u w:val="single"/>
        </w:rPr>
        <w:t>系统、</w:t>
      </w:r>
      <w:r>
        <w:rPr>
          <w:rFonts w:hint="eastAsia"/>
          <w:b/>
          <w:u w:val="single"/>
        </w:rPr>
        <w:t>PLC</w:t>
      </w:r>
      <w:r>
        <w:rPr>
          <w:rFonts w:hint="eastAsia"/>
          <w:b/>
          <w:u w:val="single"/>
        </w:rPr>
        <w:t>系统等，可以连续测量并记录相关参数，数据可以保存一年以上。</w:t>
      </w:r>
    </w:p>
    <w:p w:rsidR="00EE56C0" w:rsidRDefault="000F36A1">
      <w:pPr>
        <w:pStyle w:val="3"/>
        <w:spacing w:before="240" w:after="120"/>
      </w:pPr>
      <w:r>
        <w:rPr>
          <w:rFonts w:hint="eastAsia"/>
        </w:rPr>
        <w:t>3.1.11</w:t>
      </w:r>
      <w:r>
        <w:rPr>
          <w:rFonts w:hint="eastAsia"/>
        </w:rPr>
        <w:t>现有项目污染物排放情况</w:t>
      </w:r>
    </w:p>
    <w:p w:rsidR="00EE56C0" w:rsidRDefault="000F36A1">
      <w:pPr>
        <w:spacing w:line="460" w:lineRule="exact"/>
        <w:ind w:firstLine="480"/>
      </w:pPr>
      <w:r>
        <w:rPr>
          <w:rFonts w:hint="eastAsia"/>
        </w:rPr>
        <w:t>根据现有工程的环评、验收报告、排污许可证及最新检测报告，对现有工程</w:t>
      </w:r>
      <w:r>
        <w:rPr>
          <w:rFonts w:hint="eastAsia"/>
        </w:rPr>
        <w:lastRenderedPageBreak/>
        <w:t>的产排污情况进行说明，具体如下：</w:t>
      </w:r>
    </w:p>
    <w:p w:rsidR="00EE56C0" w:rsidRDefault="000F36A1">
      <w:pPr>
        <w:pStyle w:val="4"/>
        <w:ind w:left="120" w:firstLine="241"/>
      </w:pPr>
      <w:r>
        <w:rPr>
          <w:rFonts w:hint="eastAsia"/>
        </w:rPr>
        <w:t>3.1.11.1</w:t>
      </w:r>
      <w:r>
        <w:rPr>
          <w:rFonts w:hint="eastAsia"/>
        </w:rPr>
        <w:t>现有项目废水</w:t>
      </w:r>
    </w:p>
    <w:p w:rsidR="00EE56C0" w:rsidRDefault="000F36A1">
      <w:pPr>
        <w:ind w:firstLine="480"/>
      </w:pPr>
      <w:r>
        <w:rPr>
          <w:rFonts w:hint="eastAsia"/>
        </w:rPr>
        <w:t>现有工程废水主要为</w:t>
      </w:r>
      <w:r>
        <w:t>生活污水</w:t>
      </w:r>
      <w:r>
        <w:rPr>
          <w:rFonts w:hint="eastAsia"/>
        </w:rPr>
        <w:t>、车间地面清洗废水、反渗透浓水。目前，由于管网未</w:t>
      </w:r>
      <w:r>
        <w:t>接通</w:t>
      </w:r>
      <w:r>
        <w:rPr>
          <w:rFonts w:hint="eastAsia"/>
        </w:rPr>
        <w:t>，反渗透浓水用于绿化，车间地面清洗废水随</w:t>
      </w:r>
      <w:r>
        <w:t>生活污水</w:t>
      </w:r>
      <w:r>
        <w:rPr>
          <w:rFonts w:hint="eastAsia"/>
        </w:rPr>
        <w:t>进入厂区已建污水处理站处理后用于绿化。</w:t>
      </w:r>
    </w:p>
    <w:p w:rsidR="00EE56C0" w:rsidRDefault="000F36A1">
      <w:pPr>
        <w:ind w:firstLine="480"/>
      </w:pPr>
      <w:r>
        <w:rPr>
          <w:rFonts w:hint="eastAsia"/>
        </w:rPr>
        <w:t>企业原计划</w:t>
      </w:r>
      <w:r>
        <w:t>生活污水</w:t>
      </w:r>
      <w:r>
        <w:rPr>
          <w:rFonts w:hint="eastAsia"/>
        </w:rPr>
        <w:t>进入厂区已建污水处理站（调节</w:t>
      </w:r>
      <w:r>
        <w:t>+MBR</w:t>
      </w:r>
      <w:r>
        <w:t>污水处理装置</w:t>
      </w:r>
      <w:r>
        <w:rPr>
          <w:rFonts w:hint="eastAsia"/>
        </w:rPr>
        <w:t>）处理，处理后排入东孟姜女河，待新乡县综合污水处理厂管网接通后进入新乡县综合污水处理厂处理。目前集聚区内污水管网铺设尚未完全竣工，厂区管网未与新乡县综合污水处理厂接通。</w:t>
      </w:r>
      <w:r>
        <w:t>管网接通</w:t>
      </w:r>
      <w:r>
        <w:rPr>
          <w:rFonts w:hint="eastAsia"/>
        </w:rPr>
        <w:t>前，企业实际生产过程中产生的</w:t>
      </w:r>
      <w:r>
        <w:t>生活污水</w:t>
      </w:r>
      <w:r>
        <w:rPr>
          <w:rFonts w:hint="eastAsia"/>
        </w:rPr>
        <w:t>经厂区污水处理站处理后与反渗透浓水均用于厂区绿化，不外排。</w:t>
      </w:r>
      <w:r>
        <w:t>管网接通后，</w:t>
      </w:r>
      <w:r>
        <w:rPr>
          <w:rFonts w:hint="eastAsia"/>
        </w:rPr>
        <w:t>现有</w:t>
      </w:r>
      <w:r>
        <w:t>项目</w:t>
      </w:r>
      <w:r>
        <w:rPr>
          <w:rFonts w:hint="eastAsia"/>
        </w:rPr>
        <w:t>生活污水经化粪池处理后与反渗透浓水在厂区总排口混合后，</w:t>
      </w:r>
      <w:r>
        <w:t>经污水管网排入新乡县综合污水处理厂进一步处理，届时企业污水处理站停止运行</w:t>
      </w:r>
      <w:r>
        <w:rPr>
          <w:rFonts w:hint="eastAsia"/>
        </w:rPr>
        <w:t>。</w:t>
      </w:r>
      <w:r>
        <w:t>新乡县综合污水处理厂出水执行</w:t>
      </w:r>
      <w:r>
        <w:rPr>
          <w:rFonts w:hAnsi="宋体"/>
          <w:szCs w:val="21"/>
        </w:rPr>
        <w:t>《地表水环境质量标准》（</w:t>
      </w:r>
      <w:r>
        <w:rPr>
          <w:szCs w:val="21"/>
        </w:rPr>
        <w:t>GB3838-2002</w:t>
      </w:r>
      <w:r>
        <w:rPr>
          <w:rFonts w:hAnsi="宋体"/>
          <w:szCs w:val="21"/>
        </w:rPr>
        <w:t>）</w:t>
      </w:r>
      <w:r w:rsidR="00340837">
        <w:rPr>
          <w:szCs w:val="21"/>
        </w:rPr>
        <w:fldChar w:fldCharType="begin"/>
      </w:r>
      <w:r>
        <w:rPr>
          <w:szCs w:val="21"/>
        </w:rPr>
        <w:instrText xml:space="preserve"> = 4 \* ROMAN </w:instrText>
      </w:r>
      <w:r w:rsidR="00340837">
        <w:rPr>
          <w:szCs w:val="21"/>
        </w:rPr>
        <w:fldChar w:fldCharType="separate"/>
      </w:r>
      <w:r>
        <w:rPr>
          <w:szCs w:val="21"/>
        </w:rPr>
        <w:t>V</w:t>
      </w:r>
      <w:r w:rsidR="00340837">
        <w:rPr>
          <w:szCs w:val="21"/>
        </w:rPr>
        <w:fldChar w:fldCharType="end"/>
      </w:r>
      <w:r>
        <w:rPr>
          <w:rFonts w:hAnsi="宋体"/>
          <w:szCs w:val="21"/>
        </w:rPr>
        <w:t>类标准（总氮除外），总氮执行《城镇污水处理厂污染物排放标准》（</w:t>
      </w:r>
      <w:r>
        <w:rPr>
          <w:szCs w:val="21"/>
        </w:rPr>
        <w:t>GB18918-2002</w:t>
      </w:r>
      <w:r>
        <w:rPr>
          <w:rFonts w:hAnsi="宋体"/>
          <w:szCs w:val="21"/>
        </w:rPr>
        <w:t>）表</w:t>
      </w:r>
      <w:r>
        <w:rPr>
          <w:szCs w:val="21"/>
        </w:rPr>
        <w:t>1</w:t>
      </w:r>
      <w:r>
        <w:rPr>
          <w:rFonts w:hAnsi="宋体"/>
          <w:szCs w:val="21"/>
        </w:rPr>
        <w:t>一级</w:t>
      </w:r>
      <w:r>
        <w:rPr>
          <w:szCs w:val="21"/>
        </w:rPr>
        <w:t>A</w:t>
      </w:r>
      <w:r>
        <w:rPr>
          <w:rFonts w:hAnsi="宋体"/>
          <w:szCs w:val="21"/>
        </w:rPr>
        <w:t>标准，即</w:t>
      </w:r>
      <w:r>
        <w:rPr>
          <w:rFonts w:hAnsi="宋体" w:hint="eastAsia"/>
          <w:szCs w:val="21"/>
        </w:rPr>
        <w:t>（</w:t>
      </w:r>
      <w:r>
        <w:t>COD40mg/L</w:t>
      </w:r>
      <w:r>
        <w:t>、</w:t>
      </w:r>
      <w:r>
        <w:t>SS 10mg/L</w:t>
      </w:r>
      <w:r>
        <w:t>、</w:t>
      </w:r>
      <w:r>
        <w:t>NH</w:t>
      </w:r>
      <w:r>
        <w:rPr>
          <w:vertAlign w:val="subscript"/>
        </w:rPr>
        <w:t>3</w:t>
      </w:r>
      <w:r>
        <w:t>-N 2mg/L</w:t>
      </w:r>
      <w:r>
        <w:t>、</w:t>
      </w:r>
      <w:r>
        <w:t>TP 0.4mg/L</w:t>
      </w:r>
      <w:r>
        <w:t>、</w:t>
      </w:r>
      <w:r>
        <w:t>TN 15mg/L</w:t>
      </w:r>
      <w:r>
        <w:rPr>
          <w:rFonts w:hint="eastAsia"/>
        </w:rPr>
        <w:t>）</w:t>
      </w:r>
      <w:r>
        <w:t>。</w:t>
      </w:r>
    </w:p>
    <w:p w:rsidR="00EE56C0" w:rsidRDefault="000F36A1">
      <w:pPr>
        <w:ind w:firstLine="480"/>
      </w:pPr>
      <w:r>
        <w:rPr>
          <w:rFonts w:hint="eastAsia"/>
        </w:rPr>
        <w:t>2021</w:t>
      </w:r>
      <w:r>
        <w:rPr>
          <w:rFonts w:hint="eastAsia"/>
        </w:rPr>
        <w:t>年</w:t>
      </w:r>
      <w:r>
        <w:rPr>
          <w:rFonts w:hint="eastAsia"/>
        </w:rPr>
        <w:t>4</w:t>
      </w:r>
      <w:r>
        <w:rPr>
          <w:rFonts w:hint="eastAsia"/>
        </w:rPr>
        <w:t>月</w:t>
      </w:r>
      <w:r>
        <w:rPr>
          <w:rFonts w:hint="eastAsia"/>
        </w:rPr>
        <w:t>16</w:t>
      </w:r>
      <w:r>
        <w:rPr>
          <w:rFonts w:hint="eastAsia"/>
        </w:rPr>
        <w:t>日河南人久检测技术服务有限公司对废水总排口进行检测，根据监测报告，污水处理站出水水质为：</w:t>
      </w:r>
      <w:r>
        <w:rPr>
          <w:rFonts w:hint="eastAsia"/>
        </w:rPr>
        <w:t>COD14mg/L</w:t>
      </w:r>
      <w:r>
        <w:rPr>
          <w:rFonts w:hint="eastAsia"/>
        </w:rPr>
        <w:t>、</w:t>
      </w:r>
      <w:r>
        <w:rPr>
          <w:rFonts w:hint="eastAsia"/>
        </w:rPr>
        <w:t>SS12mg/L</w:t>
      </w:r>
      <w:r>
        <w:rPr>
          <w:rFonts w:hint="eastAsia"/>
        </w:rPr>
        <w:t>、</w:t>
      </w:r>
      <w:r>
        <w:rPr>
          <w:rFonts w:hint="eastAsia"/>
        </w:rPr>
        <w:t>NH</w:t>
      </w:r>
      <w:r>
        <w:rPr>
          <w:rFonts w:hint="eastAsia"/>
          <w:vertAlign w:val="subscript"/>
        </w:rPr>
        <w:t>3</w:t>
      </w:r>
      <w:r>
        <w:rPr>
          <w:rFonts w:hint="eastAsia"/>
        </w:rPr>
        <w:t>-N0.086mg/L</w:t>
      </w:r>
      <w:r>
        <w:rPr>
          <w:rFonts w:hint="eastAsia"/>
        </w:rPr>
        <w:t>、</w:t>
      </w:r>
      <w:r>
        <w:rPr>
          <w:rFonts w:hint="eastAsia"/>
        </w:rPr>
        <w:t>TP0.32 mg/L</w:t>
      </w:r>
      <w:r>
        <w:rPr>
          <w:rFonts w:hint="eastAsia"/>
        </w:rPr>
        <w:t>、</w:t>
      </w:r>
      <w:r>
        <w:rPr>
          <w:rFonts w:hint="eastAsia"/>
        </w:rPr>
        <w:t>TN28.8mg/L</w:t>
      </w:r>
      <w:r>
        <w:rPr>
          <w:rFonts w:hint="eastAsia"/>
        </w:rPr>
        <w:t>、动植物油</w:t>
      </w:r>
      <w:r>
        <w:rPr>
          <w:rFonts w:hint="eastAsia"/>
        </w:rPr>
        <w:t>0.42mg/L</w:t>
      </w:r>
      <w:r>
        <w:rPr>
          <w:rFonts w:hint="eastAsia"/>
        </w:rPr>
        <w:t>，反渗透浓水水质为：</w:t>
      </w:r>
      <w:r>
        <w:rPr>
          <w:rFonts w:hint="eastAsia"/>
        </w:rPr>
        <w:t>COD16mg/L</w:t>
      </w:r>
      <w:r>
        <w:rPr>
          <w:rFonts w:hint="eastAsia"/>
        </w:rPr>
        <w:t>、</w:t>
      </w:r>
      <w:r>
        <w:rPr>
          <w:rFonts w:hint="eastAsia"/>
        </w:rPr>
        <w:t>SS19mg/L</w:t>
      </w:r>
      <w:r>
        <w:rPr>
          <w:rFonts w:hint="eastAsia"/>
        </w:rPr>
        <w:t>、</w:t>
      </w:r>
      <w:r>
        <w:rPr>
          <w:rFonts w:hint="eastAsia"/>
        </w:rPr>
        <w:t>NH</w:t>
      </w:r>
      <w:r>
        <w:rPr>
          <w:rFonts w:hint="eastAsia"/>
          <w:vertAlign w:val="subscript"/>
        </w:rPr>
        <w:t>3</w:t>
      </w:r>
      <w:r>
        <w:rPr>
          <w:rFonts w:hint="eastAsia"/>
        </w:rPr>
        <w:t>-N0.251mg/L</w:t>
      </w:r>
      <w:r>
        <w:rPr>
          <w:rFonts w:hint="eastAsia"/>
        </w:rPr>
        <w:t>、</w:t>
      </w:r>
      <w:r>
        <w:rPr>
          <w:rFonts w:hint="eastAsia"/>
        </w:rPr>
        <w:t>TP0.37mg/L</w:t>
      </w:r>
      <w:r>
        <w:rPr>
          <w:rFonts w:hint="eastAsia"/>
        </w:rPr>
        <w:t>、</w:t>
      </w:r>
      <w:r>
        <w:rPr>
          <w:rFonts w:hint="eastAsia"/>
        </w:rPr>
        <w:t>TN0.93mg/L</w:t>
      </w:r>
      <w:r>
        <w:rPr>
          <w:rFonts w:hint="eastAsia"/>
        </w:rPr>
        <w:t>，出水水质能够满足</w:t>
      </w:r>
      <w:r>
        <w:rPr>
          <w:rFonts w:hint="eastAsia"/>
          <w:szCs w:val="24"/>
        </w:rPr>
        <w:t>《城镇污水再生利用工程设计规范》（</w:t>
      </w:r>
      <w:r>
        <w:rPr>
          <w:rFonts w:hint="eastAsia"/>
          <w:szCs w:val="24"/>
        </w:rPr>
        <w:t>GB50335-2016</w:t>
      </w:r>
      <w:r>
        <w:rPr>
          <w:rFonts w:hint="eastAsia"/>
          <w:szCs w:val="24"/>
        </w:rPr>
        <w:t>）表</w:t>
      </w:r>
      <w:r>
        <w:rPr>
          <w:rFonts w:hint="eastAsia"/>
          <w:szCs w:val="24"/>
        </w:rPr>
        <w:t>5</w:t>
      </w:r>
      <w:r>
        <w:rPr>
          <w:rFonts w:hint="eastAsia"/>
          <w:szCs w:val="24"/>
        </w:rPr>
        <w:t>城市绿化用水水质标准：氨氮</w:t>
      </w:r>
      <w:r>
        <w:rPr>
          <w:rFonts w:hint="eastAsia"/>
          <w:szCs w:val="24"/>
        </w:rPr>
        <w:t>20</w:t>
      </w:r>
      <w:r>
        <w:rPr>
          <w:szCs w:val="24"/>
        </w:rPr>
        <w:t>mg/</w:t>
      </w:r>
      <w:r>
        <w:rPr>
          <w:rFonts w:hint="eastAsia"/>
          <w:szCs w:val="24"/>
        </w:rPr>
        <w:t>L</w:t>
      </w:r>
      <w:r>
        <w:rPr>
          <w:rFonts w:hint="eastAsia"/>
          <w:szCs w:val="24"/>
        </w:rPr>
        <w:t>。</w:t>
      </w:r>
    </w:p>
    <w:p w:rsidR="00EE56C0" w:rsidRDefault="000F36A1">
      <w:pPr>
        <w:ind w:firstLine="480"/>
      </w:pPr>
      <w:r>
        <w:rPr>
          <w:rFonts w:hint="eastAsia"/>
        </w:rPr>
        <w:t>根据环评报告及批复，现有废水许可</w:t>
      </w:r>
      <w:r>
        <w:t>污染物排放量为：</w:t>
      </w:r>
      <w:r>
        <w:t>COD</w:t>
      </w:r>
      <w:r>
        <w:rPr>
          <w:rFonts w:hint="eastAsia"/>
        </w:rPr>
        <w:t>0.1648</w:t>
      </w:r>
      <w:r>
        <w:t>t/a</w:t>
      </w:r>
      <w:r>
        <w:t>，</w:t>
      </w:r>
      <w:r>
        <w:t>NH</w:t>
      </w:r>
      <w:r>
        <w:rPr>
          <w:vertAlign w:val="subscript"/>
        </w:rPr>
        <w:t>3</w:t>
      </w:r>
      <w:r>
        <w:t>-N0.0</w:t>
      </w:r>
      <w:r>
        <w:rPr>
          <w:rFonts w:hint="eastAsia"/>
        </w:rPr>
        <w:t>1642</w:t>
      </w:r>
      <w:r>
        <w:t>t/a</w:t>
      </w:r>
      <w:r>
        <w:t>，</w:t>
      </w:r>
      <w:r>
        <w:t>TP0.0</w:t>
      </w:r>
      <w:r>
        <w:rPr>
          <w:rFonts w:hint="eastAsia"/>
        </w:rPr>
        <w:t>013</w:t>
      </w:r>
      <w:r>
        <w:t>t/a</w:t>
      </w:r>
      <w:r>
        <w:t>，</w:t>
      </w:r>
      <w:r>
        <w:t>TN0.0</w:t>
      </w:r>
      <w:r>
        <w:rPr>
          <w:rFonts w:hint="eastAsia"/>
        </w:rPr>
        <w:t>309</w:t>
      </w:r>
      <w:r>
        <w:t>t/a</w:t>
      </w:r>
      <w:r>
        <w:t>。</w:t>
      </w:r>
    </w:p>
    <w:p w:rsidR="00EE56C0" w:rsidRDefault="000F36A1">
      <w:pPr>
        <w:pStyle w:val="4"/>
        <w:ind w:left="120" w:firstLine="241"/>
      </w:pPr>
      <w:r>
        <w:rPr>
          <w:rFonts w:hint="eastAsia"/>
        </w:rPr>
        <w:t>3.1.11.2</w:t>
      </w:r>
      <w:r>
        <w:rPr>
          <w:rFonts w:hint="eastAsia"/>
        </w:rPr>
        <w:t>现有项目废气</w:t>
      </w:r>
    </w:p>
    <w:p w:rsidR="00EE56C0" w:rsidRDefault="000F36A1">
      <w:pPr>
        <w:ind w:firstLine="480"/>
      </w:pPr>
      <w:r>
        <w:rPr>
          <w:rFonts w:hint="eastAsia"/>
        </w:rPr>
        <w:t>现有工程废气主要为绕包线有机废气、漆包线有机废气、</w:t>
      </w:r>
      <w:r>
        <w:rPr>
          <w:rFonts w:hAnsi="宋体" w:hint="eastAsia"/>
        </w:rPr>
        <w:t>注塑</w:t>
      </w:r>
      <w:r>
        <w:rPr>
          <w:rFonts w:hint="eastAsia"/>
        </w:rPr>
        <w:t>有机</w:t>
      </w:r>
      <w:r>
        <w:rPr>
          <w:rFonts w:hAnsi="宋体" w:hint="eastAsia"/>
        </w:rPr>
        <w:t>废气</w:t>
      </w:r>
      <w:r>
        <w:rPr>
          <w:rFonts w:hint="eastAsia"/>
        </w:rPr>
        <w:t>。</w:t>
      </w:r>
    </w:p>
    <w:p w:rsidR="00EE56C0" w:rsidRDefault="000F36A1">
      <w:pPr>
        <w:spacing w:line="420" w:lineRule="exact"/>
        <w:ind w:firstLine="480"/>
        <w:jc w:val="left"/>
      </w:pPr>
      <w:r>
        <w:rPr>
          <w:rFonts w:hint="eastAsia"/>
        </w:rPr>
        <w:lastRenderedPageBreak/>
        <w:t>（</w:t>
      </w:r>
      <w:r>
        <w:rPr>
          <w:rFonts w:hint="eastAsia"/>
        </w:rPr>
        <w:t>1</w:t>
      </w:r>
      <w:r>
        <w:rPr>
          <w:rFonts w:hint="eastAsia"/>
        </w:rPr>
        <w:t>）有机废气：</w:t>
      </w:r>
    </w:p>
    <w:p w:rsidR="00EE56C0" w:rsidRDefault="000F36A1">
      <w:pPr>
        <w:spacing w:line="420" w:lineRule="exact"/>
        <w:ind w:firstLine="482"/>
        <w:jc w:val="left"/>
      </w:pPr>
      <w:r>
        <w:rPr>
          <w:rFonts w:hint="eastAsia"/>
          <w:b/>
          <w:u w:val="single"/>
        </w:rPr>
        <w:t>随着环保形势的日益严峻，同时国家及地方出台了《河南省</w:t>
      </w:r>
      <w:r>
        <w:rPr>
          <w:rFonts w:hint="eastAsia"/>
          <w:b/>
          <w:u w:val="single"/>
        </w:rPr>
        <w:t>2017</w:t>
      </w:r>
      <w:r>
        <w:rPr>
          <w:rFonts w:hint="eastAsia"/>
          <w:b/>
          <w:u w:val="single"/>
        </w:rPr>
        <w:t>年挥发性有机物专项治理工作方案》、《挥发性有机物无组织排放控制标准》（</w:t>
      </w:r>
      <w:r>
        <w:rPr>
          <w:rFonts w:hint="eastAsia"/>
          <w:b/>
          <w:u w:val="single"/>
        </w:rPr>
        <w:t>GB37822-2019</w:t>
      </w:r>
      <w:r>
        <w:rPr>
          <w:rFonts w:hint="eastAsia"/>
          <w:b/>
          <w:u w:val="single"/>
        </w:rPr>
        <w:t>）、《</w:t>
      </w:r>
      <w:r>
        <w:rPr>
          <w:rFonts w:hint="eastAsia"/>
          <w:b/>
          <w:u w:val="single"/>
        </w:rPr>
        <w:t>2020</w:t>
      </w:r>
      <w:r>
        <w:rPr>
          <w:rFonts w:hint="eastAsia"/>
          <w:b/>
          <w:u w:val="single"/>
        </w:rPr>
        <w:t>年挥发性有机物治理攻坚方案》等各项</w:t>
      </w:r>
      <w:r>
        <w:rPr>
          <w:rFonts w:hint="eastAsia"/>
          <w:b/>
          <w:u w:val="single"/>
        </w:rPr>
        <w:t>VOCs</w:t>
      </w:r>
      <w:r>
        <w:rPr>
          <w:rFonts w:hint="eastAsia"/>
          <w:b/>
          <w:u w:val="single"/>
        </w:rPr>
        <w:t>专项治理文件，企业对废气收集及措施进行了升级改造</w:t>
      </w:r>
      <w:r>
        <w:rPr>
          <w:rFonts w:hint="eastAsia"/>
        </w:rPr>
        <w:t>。</w:t>
      </w:r>
    </w:p>
    <w:p w:rsidR="00EE56C0" w:rsidRDefault="000F36A1">
      <w:pPr>
        <w:spacing w:line="420" w:lineRule="exact"/>
        <w:ind w:firstLine="482"/>
        <w:jc w:val="left"/>
        <w:rPr>
          <w:b/>
          <w:u w:val="single"/>
        </w:rPr>
      </w:pPr>
      <w:r>
        <w:rPr>
          <w:rFonts w:hint="eastAsia"/>
          <w:b/>
          <w:u w:val="single"/>
        </w:rPr>
        <w:t>升级改造前、后各工序有机废气治理措施见下表。</w:t>
      </w:r>
    </w:p>
    <w:p w:rsidR="00EE56C0" w:rsidRDefault="000F36A1">
      <w:pPr>
        <w:pStyle w:val="afd"/>
        <w:spacing w:before="120" w:after="120"/>
        <w:ind w:firstLine="482"/>
        <w:rPr>
          <w:lang w:val="pt-BR"/>
        </w:rPr>
      </w:pPr>
      <w:r>
        <w:rPr>
          <w:lang w:val="pt-BR"/>
        </w:rPr>
        <w:t>表</w:t>
      </w:r>
      <w:r>
        <w:rPr>
          <w:rFonts w:hint="eastAsia"/>
          <w:lang w:val="pt-BR"/>
        </w:rPr>
        <w:t xml:space="preserve">3-9   </w:t>
      </w:r>
      <w:r>
        <w:rPr>
          <w:rFonts w:hint="eastAsia"/>
        </w:rPr>
        <w:t>升级改造前、后</w:t>
      </w:r>
      <w:r>
        <w:rPr>
          <w:rFonts w:hint="eastAsia"/>
          <w:lang w:val="pt-BR"/>
        </w:rPr>
        <w:t>各工序有机废气收集、治理措施</w:t>
      </w:r>
      <w:r>
        <w:rPr>
          <w:lang w:val="pt-BR"/>
        </w:rPr>
        <w:t>情况一览表</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tblPr>
      <w:tblGrid>
        <w:gridCol w:w="676"/>
        <w:gridCol w:w="143"/>
        <w:gridCol w:w="1429"/>
        <w:gridCol w:w="2125"/>
        <w:gridCol w:w="1144"/>
        <w:gridCol w:w="829"/>
        <w:gridCol w:w="1421"/>
        <w:gridCol w:w="761"/>
      </w:tblGrid>
      <w:tr w:rsidR="00EE56C0">
        <w:trPr>
          <w:trHeight w:val="397"/>
          <w:jc w:val="center"/>
        </w:trPr>
        <w:tc>
          <w:tcPr>
            <w:tcW w:w="2564" w:type="pct"/>
            <w:gridSpan w:val="4"/>
            <w:vAlign w:val="center"/>
          </w:tcPr>
          <w:p w:rsidR="00EE56C0" w:rsidRDefault="000F36A1">
            <w:pPr>
              <w:pStyle w:val="afa"/>
            </w:pPr>
            <w:r>
              <w:rPr>
                <w:rFonts w:hint="eastAsia"/>
                <w:b/>
                <w:lang w:val="pt-BR"/>
              </w:rPr>
              <w:t>产污工序</w:t>
            </w:r>
          </w:p>
        </w:tc>
        <w:tc>
          <w:tcPr>
            <w:tcW w:w="1157" w:type="pct"/>
            <w:gridSpan w:val="2"/>
            <w:vAlign w:val="center"/>
          </w:tcPr>
          <w:p w:rsidR="00EE56C0" w:rsidRDefault="000F36A1">
            <w:pPr>
              <w:pStyle w:val="afa"/>
            </w:pPr>
            <w:r>
              <w:rPr>
                <w:rFonts w:hint="eastAsia"/>
                <w:b/>
                <w:lang w:val="pt-BR"/>
              </w:rPr>
              <w:t>收集措施</w:t>
            </w:r>
          </w:p>
        </w:tc>
        <w:tc>
          <w:tcPr>
            <w:tcW w:w="1279" w:type="pct"/>
            <w:gridSpan w:val="2"/>
            <w:vAlign w:val="center"/>
          </w:tcPr>
          <w:p w:rsidR="00EE56C0" w:rsidRDefault="000F36A1">
            <w:pPr>
              <w:pStyle w:val="afa"/>
            </w:pPr>
            <w:r>
              <w:rPr>
                <w:rFonts w:hint="eastAsia"/>
                <w:b/>
                <w:lang w:val="pt-BR"/>
              </w:rPr>
              <w:t>治理措施</w:t>
            </w:r>
          </w:p>
        </w:tc>
      </w:tr>
      <w:tr w:rsidR="00EE56C0">
        <w:trPr>
          <w:trHeight w:val="397"/>
          <w:jc w:val="center"/>
        </w:trPr>
        <w:tc>
          <w:tcPr>
            <w:tcW w:w="5000" w:type="pct"/>
            <w:gridSpan w:val="8"/>
            <w:vAlign w:val="center"/>
          </w:tcPr>
          <w:p w:rsidR="00EE56C0" w:rsidRDefault="000F36A1">
            <w:pPr>
              <w:pStyle w:val="afa"/>
              <w:rPr>
                <w:b/>
              </w:rPr>
            </w:pPr>
            <w:r>
              <w:rPr>
                <w:rFonts w:hint="eastAsia"/>
                <w:b/>
              </w:rPr>
              <w:t>改造前</w:t>
            </w:r>
          </w:p>
        </w:tc>
      </w:tr>
      <w:tr w:rsidR="00EE56C0">
        <w:trPr>
          <w:trHeight w:val="397"/>
          <w:jc w:val="center"/>
        </w:trPr>
        <w:tc>
          <w:tcPr>
            <w:tcW w:w="480" w:type="pct"/>
            <w:gridSpan w:val="2"/>
            <w:vMerge w:val="restart"/>
            <w:vAlign w:val="center"/>
          </w:tcPr>
          <w:p w:rsidR="00EE56C0" w:rsidRDefault="000F36A1">
            <w:pPr>
              <w:pStyle w:val="afa"/>
            </w:pPr>
            <w:r>
              <w:rPr>
                <w:rFonts w:hint="eastAsia"/>
              </w:rPr>
              <w:t>漆包线</w:t>
            </w:r>
          </w:p>
        </w:tc>
        <w:tc>
          <w:tcPr>
            <w:tcW w:w="838" w:type="pct"/>
            <w:vMerge w:val="restart"/>
            <w:vAlign w:val="center"/>
          </w:tcPr>
          <w:p w:rsidR="00EE56C0" w:rsidRDefault="000F36A1">
            <w:pPr>
              <w:pStyle w:val="afa"/>
            </w:pPr>
            <w:r>
              <w:rPr>
                <w:rFonts w:hint="eastAsia"/>
              </w:rPr>
              <w:t>卧式漆包机</w:t>
            </w:r>
          </w:p>
        </w:tc>
        <w:tc>
          <w:tcPr>
            <w:tcW w:w="1246" w:type="pct"/>
            <w:vAlign w:val="center"/>
          </w:tcPr>
          <w:p w:rsidR="00EE56C0" w:rsidRDefault="000F36A1">
            <w:pPr>
              <w:pStyle w:val="afa"/>
            </w:pPr>
            <w:r>
              <w:rPr>
                <w:rFonts w:hint="eastAsia"/>
              </w:rPr>
              <w:t>涂漆区、烘炉进出口</w:t>
            </w:r>
          </w:p>
        </w:tc>
        <w:tc>
          <w:tcPr>
            <w:tcW w:w="2436" w:type="pct"/>
            <w:gridSpan w:val="4"/>
            <w:vAlign w:val="center"/>
          </w:tcPr>
          <w:p w:rsidR="00EE56C0" w:rsidRDefault="000F36A1">
            <w:pPr>
              <w:pStyle w:val="afa"/>
            </w:pPr>
            <w:r>
              <w:rPr>
                <w:rFonts w:hint="eastAsia"/>
              </w:rPr>
              <w:t>加盖收集后在车间内无组织排放</w:t>
            </w:r>
          </w:p>
        </w:tc>
      </w:tr>
      <w:tr w:rsidR="00EE56C0">
        <w:trPr>
          <w:trHeight w:val="397"/>
          <w:jc w:val="center"/>
        </w:trPr>
        <w:tc>
          <w:tcPr>
            <w:tcW w:w="480" w:type="pct"/>
            <w:gridSpan w:val="2"/>
            <w:vMerge/>
            <w:vAlign w:val="center"/>
          </w:tcPr>
          <w:p w:rsidR="00EE56C0" w:rsidRDefault="00EE56C0">
            <w:pPr>
              <w:pStyle w:val="afa"/>
            </w:pPr>
          </w:p>
        </w:tc>
        <w:tc>
          <w:tcPr>
            <w:tcW w:w="838" w:type="pct"/>
            <w:vMerge/>
            <w:vAlign w:val="center"/>
          </w:tcPr>
          <w:p w:rsidR="00EE56C0" w:rsidRDefault="00EE56C0">
            <w:pPr>
              <w:pStyle w:val="afa"/>
            </w:pPr>
          </w:p>
        </w:tc>
        <w:tc>
          <w:tcPr>
            <w:tcW w:w="1246" w:type="pct"/>
            <w:vAlign w:val="center"/>
          </w:tcPr>
          <w:p w:rsidR="00EE56C0" w:rsidRDefault="000F36A1">
            <w:pPr>
              <w:pStyle w:val="afa"/>
            </w:pPr>
            <w:r>
              <w:rPr>
                <w:rFonts w:hint="eastAsia"/>
              </w:rPr>
              <w:t>烘炉内部</w:t>
            </w:r>
          </w:p>
        </w:tc>
        <w:tc>
          <w:tcPr>
            <w:tcW w:w="1157" w:type="pct"/>
            <w:gridSpan w:val="2"/>
            <w:vAlign w:val="center"/>
          </w:tcPr>
          <w:p w:rsidR="00EE56C0" w:rsidRDefault="000F36A1">
            <w:pPr>
              <w:pStyle w:val="afa"/>
            </w:pPr>
            <w:r>
              <w:rPr>
                <w:rFonts w:hint="eastAsia"/>
              </w:rPr>
              <w:t>集气管道</w:t>
            </w:r>
          </w:p>
        </w:tc>
        <w:tc>
          <w:tcPr>
            <w:tcW w:w="1279" w:type="pct"/>
            <w:gridSpan w:val="2"/>
            <w:vAlign w:val="center"/>
          </w:tcPr>
          <w:p w:rsidR="00EE56C0" w:rsidRDefault="000F36A1">
            <w:pPr>
              <w:pStyle w:val="afa"/>
            </w:pPr>
            <w:r>
              <w:rPr>
                <w:rFonts w:hint="eastAsia"/>
              </w:rPr>
              <w:t>三次催化燃烧</w:t>
            </w:r>
            <w:r>
              <w:rPr>
                <w:rFonts w:hint="eastAsia"/>
              </w:rPr>
              <w:t>+15m</w:t>
            </w:r>
            <w:r>
              <w:rPr>
                <w:rFonts w:hint="eastAsia"/>
              </w:rPr>
              <w:t>排气筒</w:t>
            </w:r>
          </w:p>
        </w:tc>
      </w:tr>
      <w:tr w:rsidR="00EE56C0">
        <w:trPr>
          <w:trHeight w:val="397"/>
          <w:jc w:val="center"/>
        </w:trPr>
        <w:tc>
          <w:tcPr>
            <w:tcW w:w="480" w:type="pct"/>
            <w:gridSpan w:val="2"/>
            <w:vMerge/>
            <w:vAlign w:val="center"/>
          </w:tcPr>
          <w:p w:rsidR="00EE56C0" w:rsidRDefault="00EE56C0">
            <w:pPr>
              <w:pStyle w:val="afa"/>
            </w:pPr>
          </w:p>
        </w:tc>
        <w:tc>
          <w:tcPr>
            <w:tcW w:w="838" w:type="pct"/>
            <w:vMerge w:val="restart"/>
            <w:vAlign w:val="center"/>
          </w:tcPr>
          <w:p w:rsidR="00EE56C0" w:rsidRDefault="000F36A1">
            <w:pPr>
              <w:pStyle w:val="afa"/>
            </w:pPr>
            <w:r>
              <w:rPr>
                <w:rFonts w:hint="eastAsia"/>
              </w:rPr>
              <w:t>立式漆包机</w:t>
            </w:r>
          </w:p>
        </w:tc>
        <w:tc>
          <w:tcPr>
            <w:tcW w:w="1246" w:type="pct"/>
            <w:vAlign w:val="center"/>
          </w:tcPr>
          <w:p w:rsidR="00EE56C0" w:rsidRDefault="000F36A1">
            <w:pPr>
              <w:pStyle w:val="afa"/>
            </w:pPr>
            <w:r>
              <w:rPr>
                <w:rFonts w:hint="eastAsia"/>
                <w:lang w:val="pt-BR"/>
              </w:rPr>
              <w:t>涂漆</w:t>
            </w:r>
          </w:p>
        </w:tc>
        <w:tc>
          <w:tcPr>
            <w:tcW w:w="1157" w:type="pct"/>
            <w:gridSpan w:val="2"/>
            <w:vAlign w:val="center"/>
          </w:tcPr>
          <w:p w:rsidR="00EE56C0" w:rsidRDefault="000F36A1">
            <w:pPr>
              <w:pStyle w:val="afa"/>
            </w:pPr>
            <w:r>
              <w:rPr>
                <w:rFonts w:hint="eastAsia"/>
                <w:lang w:val="pt-BR"/>
              </w:rPr>
              <w:t>涂漆间</w:t>
            </w:r>
          </w:p>
        </w:tc>
        <w:tc>
          <w:tcPr>
            <w:tcW w:w="1279" w:type="pct"/>
            <w:gridSpan w:val="2"/>
            <w:vAlign w:val="center"/>
          </w:tcPr>
          <w:p w:rsidR="00EE56C0" w:rsidRDefault="000F36A1">
            <w:pPr>
              <w:pStyle w:val="afa"/>
            </w:pPr>
            <w:r>
              <w:rPr>
                <w:rFonts w:hint="eastAsia"/>
              </w:rPr>
              <w:t>三次催化燃烧</w:t>
            </w:r>
            <w:r>
              <w:rPr>
                <w:rFonts w:hint="eastAsia"/>
              </w:rPr>
              <w:t>+15m</w:t>
            </w:r>
            <w:r>
              <w:rPr>
                <w:rFonts w:hint="eastAsia"/>
              </w:rPr>
              <w:t>排气筒</w:t>
            </w:r>
          </w:p>
        </w:tc>
      </w:tr>
      <w:tr w:rsidR="00EE56C0">
        <w:trPr>
          <w:trHeight w:val="397"/>
          <w:jc w:val="center"/>
        </w:trPr>
        <w:tc>
          <w:tcPr>
            <w:tcW w:w="480" w:type="pct"/>
            <w:gridSpan w:val="2"/>
            <w:vMerge/>
            <w:vAlign w:val="center"/>
          </w:tcPr>
          <w:p w:rsidR="00EE56C0" w:rsidRDefault="00EE56C0">
            <w:pPr>
              <w:pStyle w:val="afa"/>
            </w:pPr>
          </w:p>
        </w:tc>
        <w:tc>
          <w:tcPr>
            <w:tcW w:w="838" w:type="pct"/>
            <w:vMerge/>
            <w:vAlign w:val="center"/>
          </w:tcPr>
          <w:p w:rsidR="00EE56C0" w:rsidRDefault="00EE56C0">
            <w:pPr>
              <w:pStyle w:val="afa"/>
            </w:pPr>
          </w:p>
        </w:tc>
        <w:tc>
          <w:tcPr>
            <w:tcW w:w="1246" w:type="pct"/>
            <w:vAlign w:val="center"/>
          </w:tcPr>
          <w:p w:rsidR="00EE56C0" w:rsidRDefault="000F36A1">
            <w:pPr>
              <w:pStyle w:val="afa"/>
              <w:rPr>
                <w:lang w:val="pt-BR"/>
              </w:rPr>
            </w:pPr>
            <w:r>
              <w:rPr>
                <w:rFonts w:hint="eastAsia"/>
                <w:lang w:val="pt-BR"/>
              </w:rPr>
              <w:t>烘炉进、出口</w:t>
            </w:r>
          </w:p>
        </w:tc>
        <w:tc>
          <w:tcPr>
            <w:tcW w:w="2436" w:type="pct"/>
            <w:gridSpan w:val="4"/>
            <w:vAlign w:val="center"/>
          </w:tcPr>
          <w:p w:rsidR="00EE56C0" w:rsidRDefault="000F36A1">
            <w:pPr>
              <w:pStyle w:val="afa"/>
            </w:pPr>
            <w:r>
              <w:rPr>
                <w:rFonts w:hint="eastAsia"/>
              </w:rPr>
              <w:t>在车间内无组织排放</w:t>
            </w:r>
          </w:p>
        </w:tc>
      </w:tr>
      <w:tr w:rsidR="00EE56C0">
        <w:trPr>
          <w:trHeight w:val="397"/>
          <w:jc w:val="center"/>
        </w:trPr>
        <w:tc>
          <w:tcPr>
            <w:tcW w:w="1318" w:type="pct"/>
            <w:gridSpan w:val="3"/>
            <w:vMerge w:val="restart"/>
            <w:vAlign w:val="center"/>
          </w:tcPr>
          <w:p w:rsidR="00EE56C0" w:rsidRDefault="000F36A1">
            <w:pPr>
              <w:pStyle w:val="afa"/>
            </w:pPr>
            <w:r>
              <w:rPr>
                <w:rFonts w:hint="eastAsia"/>
              </w:rPr>
              <w:t>丝包线</w:t>
            </w:r>
          </w:p>
        </w:tc>
        <w:tc>
          <w:tcPr>
            <w:tcW w:w="1246" w:type="pct"/>
            <w:vAlign w:val="center"/>
          </w:tcPr>
          <w:p w:rsidR="00EE56C0" w:rsidRDefault="000F36A1">
            <w:pPr>
              <w:pStyle w:val="afa"/>
            </w:pPr>
            <w:r>
              <w:rPr>
                <w:rFonts w:hint="eastAsia"/>
              </w:rPr>
              <w:t>涂漆、烘干</w:t>
            </w:r>
          </w:p>
        </w:tc>
        <w:tc>
          <w:tcPr>
            <w:tcW w:w="1157" w:type="pct"/>
            <w:gridSpan w:val="2"/>
            <w:vAlign w:val="center"/>
          </w:tcPr>
          <w:p w:rsidR="00EE56C0" w:rsidRDefault="000F36A1">
            <w:pPr>
              <w:pStyle w:val="afa"/>
            </w:pPr>
            <w:r>
              <w:rPr>
                <w:rFonts w:hint="eastAsia"/>
              </w:rPr>
              <w:t>/</w:t>
            </w:r>
          </w:p>
        </w:tc>
        <w:tc>
          <w:tcPr>
            <w:tcW w:w="1279" w:type="pct"/>
            <w:gridSpan w:val="2"/>
            <w:vAlign w:val="center"/>
          </w:tcPr>
          <w:p w:rsidR="00EE56C0" w:rsidRDefault="000F36A1">
            <w:pPr>
              <w:pStyle w:val="afa"/>
            </w:pPr>
            <w:r>
              <w:rPr>
                <w:rFonts w:hint="eastAsia"/>
              </w:rPr>
              <w:t>/</w:t>
            </w:r>
          </w:p>
        </w:tc>
      </w:tr>
      <w:tr w:rsidR="00EE56C0">
        <w:trPr>
          <w:trHeight w:val="397"/>
          <w:jc w:val="center"/>
        </w:trPr>
        <w:tc>
          <w:tcPr>
            <w:tcW w:w="1318" w:type="pct"/>
            <w:gridSpan w:val="3"/>
            <w:vMerge/>
            <w:vAlign w:val="center"/>
          </w:tcPr>
          <w:p w:rsidR="00EE56C0" w:rsidRDefault="00EE56C0">
            <w:pPr>
              <w:pStyle w:val="afa"/>
            </w:pPr>
          </w:p>
        </w:tc>
        <w:tc>
          <w:tcPr>
            <w:tcW w:w="1246" w:type="pct"/>
            <w:vAlign w:val="center"/>
          </w:tcPr>
          <w:p w:rsidR="00EE56C0" w:rsidRDefault="000F36A1">
            <w:pPr>
              <w:pStyle w:val="afa"/>
              <w:rPr>
                <w:lang w:val="pt-BR"/>
              </w:rPr>
            </w:pPr>
            <w:r>
              <w:rPr>
                <w:rFonts w:hint="eastAsia"/>
                <w:lang w:val="pt-BR"/>
              </w:rPr>
              <w:t>操作间</w:t>
            </w:r>
          </w:p>
        </w:tc>
        <w:tc>
          <w:tcPr>
            <w:tcW w:w="1157" w:type="pct"/>
            <w:gridSpan w:val="2"/>
            <w:vAlign w:val="center"/>
          </w:tcPr>
          <w:p w:rsidR="00EE56C0" w:rsidRDefault="000F36A1">
            <w:pPr>
              <w:pStyle w:val="afa"/>
            </w:pPr>
            <w:r>
              <w:rPr>
                <w:rFonts w:hint="eastAsia"/>
              </w:rPr>
              <w:t>顶部抽吸</w:t>
            </w:r>
          </w:p>
        </w:tc>
        <w:tc>
          <w:tcPr>
            <w:tcW w:w="1279" w:type="pct"/>
            <w:gridSpan w:val="2"/>
            <w:vAlign w:val="center"/>
          </w:tcPr>
          <w:p w:rsidR="00EE56C0" w:rsidRDefault="000F36A1">
            <w:pPr>
              <w:pStyle w:val="afa"/>
            </w:pPr>
            <w:r>
              <w:rPr>
                <w:rFonts w:hint="eastAsia"/>
              </w:rPr>
              <w:t>UV</w:t>
            </w:r>
            <w:r>
              <w:rPr>
                <w:rFonts w:hint="eastAsia"/>
              </w:rPr>
              <w:t>光氧</w:t>
            </w:r>
            <w:r>
              <w:rPr>
                <w:rFonts w:hint="eastAsia"/>
              </w:rPr>
              <w:t>+15m</w:t>
            </w:r>
            <w:r>
              <w:rPr>
                <w:rFonts w:hint="eastAsia"/>
              </w:rPr>
              <w:t>排气筒</w:t>
            </w:r>
          </w:p>
        </w:tc>
      </w:tr>
      <w:tr w:rsidR="00EE56C0">
        <w:trPr>
          <w:trHeight w:val="397"/>
          <w:jc w:val="center"/>
        </w:trPr>
        <w:tc>
          <w:tcPr>
            <w:tcW w:w="1318" w:type="pct"/>
            <w:gridSpan w:val="3"/>
            <w:vAlign w:val="center"/>
          </w:tcPr>
          <w:p w:rsidR="00EE56C0" w:rsidRDefault="000F36A1">
            <w:pPr>
              <w:pStyle w:val="afa"/>
            </w:pPr>
            <w:r>
              <w:rPr>
                <w:rFonts w:hint="eastAsia"/>
              </w:rPr>
              <w:t>注塑</w:t>
            </w:r>
          </w:p>
        </w:tc>
        <w:tc>
          <w:tcPr>
            <w:tcW w:w="1246" w:type="pct"/>
            <w:vAlign w:val="center"/>
          </w:tcPr>
          <w:p w:rsidR="00EE56C0" w:rsidRDefault="000F36A1">
            <w:pPr>
              <w:pStyle w:val="afa"/>
            </w:pPr>
            <w:r>
              <w:rPr>
                <w:rFonts w:hint="eastAsia"/>
              </w:rPr>
              <w:t>注塑废气</w:t>
            </w:r>
          </w:p>
        </w:tc>
        <w:tc>
          <w:tcPr>
            <w:tcW w:w="1157" w:type="pct"/>
            <w:gridSpan w:val="2"/>
            <w:vAlign w:val="center"/>
          </w:tcPr>
          <w:p w:rsidR="00EE56C0" w:rsidRDefault="000F36A1">
            <w:pPr>
              <w:pStyle w:val="afa"/>
            </w:pPr>
            <w:r>
              <w:rPr>
                <w:rFonts w:hint="eastAsia"/>
              </w:rPr>
              <w:t>集气罩</w:t>
            </w:r>
          </w:p>
        </w:tc>
        <w:tc>
          <w:tcPr>
            <w:tcW w:w="1279" w:type="pct"/>
            <w:gridSpan w:val="2"/>
            <w:vAlign w:val="center"/>
          </w:tcPr>
          <w:p w:rsidR="00EE56C0" w:rsidRDefault="000F36A1">
            <w:pPr>
              <w:pStyle w:val="afa"/>
            </w:pPr>
            <w:r>
              <w:rPr>
                <w:rFonts w:hint="eastAsia"/>
              </w:rPr>
              <w:t>UV</w:t>
            </w:r>
            <w:r>
              <w:rPr>
                <w:rFonts w:hint="eastAsia"/>
              </w:rPr>
              <w:t>光氧</w:t>
            </w:r>
            <w:r>
              <w:rPr>
                <w:rFonts w:hint="eastAsia"/>
              </w:rPr>
              <w:t>-</w:t>
            </w:r>
            <w:r>
              <w:rPr>
                <w:rFonts w:hint="eastAsia"/>
              </w:rPr>
              <w:t>低温等离子一体机</w:t>
            </w:r>
            <w:r>
              <w:rPr>
                <w:rFonts w:hint="eastAsia"/>
              </w:rPr>
              <w:t>+15m</w:t>
            </w:r>
            <w:r>
              <w:rPr>
                <w:rFonts w:hint="eastAsia"/>
              </w:rPr>
              <w:t>排气筒</w:t>
            </w:r>
          </w:p>
        </w:tc>
      </w:tr>
      <w:tr w:rsidR="00EE56C0">
        <w:trPr>
          <w:trHeight w:val="397"/>
          <w:jc w:val="center"/>
        </w:trPr>
        <w:tc>
          <w:tcPr>
            <w:tcW w:w="5000" w:type="pct"/>
            <w:gridSpan w:val="8"/>
            <w:vAlign w:val="center"/>
          </w:tcPr>
          <w:p w:rsidR="00EE56C0" w:rsidRDefault="000F36A1">
            <w:pPr>
              <w:pStyle w:val="afa"/>
              <w:rPr>
                <w:b/>
              </w:rPr>
            </w:pPr>
            <w:r>
              <w:rPr>
                <w:rFonts w:hint="eastAsia"/>
                <w:b/>
              </w:rPr>
              <w:t>改造后</w:t>
            </w:r>
          </w:p>
        </w:tc>
      </w:tr>
      <w:tr w:rsidR="00EE56C0">
        <w:trPr>
          <w:trHeight w:val="454"/>
          <w:jc w:val="center"/>
        </w:trPr>
        <w:tc>
          <w:tcPr>
            <w:tcW w:w="396" w:type="pct"/>
            <w:vMerge w:val="restart"/>
            <w:vAlign w:val="center"/>
          </w:tcPr>
          <w:p w:rsidR="00EE56C0" w:rsidRDefault="000F36A1">
            <w:pPr>
              <w:pStyle w:val="afa"/>
            </w:pPr>
            <w:r>
              <w:rPr>
                <w:rFonts w:hint="eastAsia"/>
              </w:rPr>
              <w:t>漆包线</w:t>
            </w:r>
          </w:p>
        </w:tc>
        <w:tc>
          <w:tcPr>
            <w:tcW w:w="922" w:type="pct"/>
            <w:gridSpan w:val="2"/>
            <w:vAlign w:val="center"/>
          </w:tcPr>
          <w:p w:rsidR="00EE56C0" w:rsidRDefault="000F36A1">
            <w:pPr>
              <w:pStyle w:val="afa"/>
            </w:pPr>
            <w:r>
              <w:rPr>
                <w:rFonts w:hint="eastAsia"/>
              </w:rPr>
              <w:t>卧式漆包机（</w:t>
            </w:r>
            <w:r>
              <w:rPr>
                <w:rFonts w:hint="eastAsia"/>
              </w:rPr>
              <w:t>15</w:t>
            </w:r>
            <w:r>
              <w:rPr>
                <w:rFonts w:hint="eastAsia"/>
              </w:rPr>
              <w:t>台）</w:t>
            </w:r>
          </w:p>
        </w:tc>
        <w:tc>
          <w:tcPr>
            <w:tcW w:w="1246" w:type="pct"/>
            <w:vAlign w:val="center"/>
          </w:tcPr>
          <w:p w:rsidR="00EE56C0" w:rsidRDefault="000F36A1">
            <w:pPr>
              <w:pStyle w:val="afa"/>
            </w:pPr>
            <w:r>
              <w:rPr>
                <w:rFonts w:hint="eastAsia"/>
              </w:rPr>
              <w:t>涂漆区、烘炉进出口</w:t>
            </w:r>
          </w:p>
        </w:tc>
        <w:tc>
          <w:tcPr>
            <w:tcW w:w="1157" w:type="pct"/>
            <w:gridSpan w:val="2"/>
            <w:vAlign w:val="center"/>
          </w:tcPr>
          <w:p w:rsidR="00EE56C0" w:rsidRDefault="000F36A1">
            <w:pPr>
              <w:pStyle w:val="afa"/>
            </w:pPr>
            <w:r>
              <w:rPr>
                <w:rFonts w:hint="eastAsia"/>
              </w:rPr>
              <w:t>封闭式集气罩</w:t>
            </w:r>
          </w:p>
        </w:tc>
        <w:tc>
          <w:tcPr>
            <w:tcW w:w="833" w:type="pct"/>
            <w:vMerge w:val="restart"/>
            <w:vAlign w:val="center"/>
          </w:tcPr>
          <w:p w:rsidR="00EE56C0" w:rsidRDefault="000F36A1">
            <w:pPr>
              <w:pStyle w:val="afa"/>
            </w:pPr>
            <w:r>
              <w:rPr>
                <w:rFonts w:hint="eastAsia"/>
              </w:rPr>
              <w:t>沸石吸附</w:t>
            </w:r>
            <w:r>
              <w:rPr>
                <w:rFonts w:hint="eastAsia"/>
              </w:rPr>
              <w:t>-</w:t>
            </w:r>
            <w:r>
              <w:rPr>
                <w:rFonts w:hint="eastAsia"/>
              </w:rPr>
              <w:t>脱附</w:t>
            </w:r>
            <w:r>
              <w:rPr>
                <w:rFonts w:hint="eastAsia"/>
              </w:rPr>
              <w:t>-</w:t>
            </w:r>
            <w:r>
              <w:rPr>
                <w:rFonts w:hint="eastAsia"/>
              </w:rPr>
              <w:t>催化燃烧</w:t>
            </w:r>
            <w:r>
              <w:rPr>
                <w:rFonts w:hint="eastAsia"/>
              </w:rPr>
              <w:t>F</w:t>
            </w:r>
          </w:p>
        </w:tc>
        <w:tc>
          <w:tcPr>
            <w:tcW w:w="446" w:type="pct"/>
            <w:vMerge w:val="restart"/>
            <w:vAlign w:val="center"/>
          </w:tcPr>
          <w:p w:rsidR="00EE56C0" w:rsidRDefault="000F36A1">
            <w:pPr>
              <w:pStyle w:val="afa"/>
            </w:pPr>
            <w:r>
              <w:rPr>
                <w:rFonts w:hint="eastAsia"/>
              </w:rPr>
              <w:t>26.5m</w:t>
            </w:r>
            <w:r>
              <w:rPr>
                <w:rFonts w:hint="eastAsia"/>
              </w:rPr>
              <w:t>排气筒（</w:t>
            </w:r>
            <w:r>
              <w:rPr>
                <w:rFonts w:hint="eastAsia"/>
              </w:rPr>
              <w:t>1</w:t>
            </w:r>
            <w:r>
              <w:rPr>
                <w:rFonts w:hint="eastAsia"/>
              </w:rPr>
              <w:t>套）</w:t>
            </w:r>
          </w:p>
        </w:tc>
      </w:tr>
      <w:tr w:rsidR="00EE56C0">
        <w:trPr>
          <w:trHeight w:val="454"/>
          <w:jc w:val="center"/>
        </w:trPr>
        <w:tc>
          <w:tcPr>
            <w:tcW w:w="396" w:type="pct"/>
            <w:vMerge/>
            <w:vAlign w:val="center"/>
          </w:tcPr>
          <w:p w:rsidR="00EE56C0" w:rsidRDefault="00EE56C0">
            <w:pPr>
              <w:pStyle w:val="afa"/>
            </w:pPr>
          </w:p>
        </w:tc>
        <w:tc>
          <w:tcPr>
            <w:tcW w:w="922" w:type="pct"/>
            <w:gridSpan w:val="2"/>
            <w:vAlign w:val="center"/>
          </w:tcPr>
          <w:p w:rsidR="00EE56C0" w:rsidRDefault="000F36A1">
            <w:pPr>
              <w:pStyle w:val="afa"/>
            </w:pPr>
            <w:r>
              <w:rPr>
                <w:rFonts w:hint="eastAsia"/>
              </w:rPr>
              <w:t>立式漆包机</w:t>
            </w:r>
          </w:p>
        </w:tc>
        <w:tc>
          <w:tcPr>
            <w:tcW w:w="1246" w:type="pct"/>
            <w:vAlign w:val="center"/>
          </w:tcPr>
          <w:p w:rsidR="00EE56C0" w:rsidRDefault="000F36A1">
            <w:pPr>
              <w:pStyle w:val="afa"/>
              <w:rPr>
                <w:lang w:val="pt-BR"/>
              </w:rPr>
            </w:pPr>
            <w:r>
              <w:rPr>
                <w:rFonts w:hint="eastAsia"/>
                <w:lang w:val="pt-BR"/>
              </w:rPr>
              <w:t>二次封闭通道</w:t>
            </w:r>
          </w:p>
        </w:tc>
        <w:tc>
          <w:tcPr>
            <w:tcW w:w="1157" w:type="pct"/>
            <w:gridSpan w:val="2"/>
            <w:vAlign w:val="center"/>
          </w:tcPr>
          <w:p w:rsidR="00EE56C0" w:rsidRDefault="000F36A1">
            <w:pPr>
              <w:pStyle w:val="afa"/>
            </w:pPr>
            <w:r>
              <w:rPr>
                <w:rFonts w:hint="eastAsia"/>
              </w:rPr>
              <w:t>顶部抽风</w:t>
            </w:r>
          </w:p>
        </w:tc>
        <w:tc>
          <w:tcPr>
            <w:tcW w:w="833" w:type="pct"/>
            <w:vMerge/>
            <w:vAlign w:val="center"/>
          </w:tcPr>
          <w:p w:rsidR="00EE56C0" w:rsidRDefault="00EE56C0">
            <w:pPr>
              <w:pStyle w:val="afa"/>
            </w:pPr>
          </w:p>
        </w:tc>
        <w:tc>
          <w:tcPr>
            <w:tcW w:w="446" w:type="pct"/>
            <w:vMerge/>
            <w:vAlign w:val="center"/>
          </w:tcPr>
          <w:p w:rsidR="00EE56C0" w:rsidRDefault="00EE56C0">
            <w:pPr>
              <w:pStyle w:val="afa"/>
            </w:pPr>
          </w:p>
        </w:tc>
      </w:tr>
      <w:tr w:rsidR="00EE56C0">
        <w:trPr>
          <w:trHeight w:val="454"/>
          <w:jc w:val="center"/>
        </w:trPr>
        <w:tc>
          <w:tcPr>
            <w:tcW w:w="396" w:type="pct"/>
            <w:vMerge/>
            <w:vAlign w:val="center"/>
          </w:tcPr>
          <w:p w:rsidR="00EE56C0" w:rsidRDefault="00EE56C0">
            <w:pPr>
              <w:pStyle w:val="afa"/>
            </w:pPr>
          </w:p>
        </w:tc>
        <w:tc>
          <w:tcPr>
            <w:tcW w:w="922" w:type="pct"/>
            <w:gridSpan w:val="2"/>
            <w:vAlign w:val="center"/>
          </w:tcPr>
          <w:p w:rsidR="00EE56C0" w:rsidRDefault="000F36A1">
            <w:pPr>
              <w:pStyle w:val="afa"/>
            </w:pPr>
            <w:r>
              <w:rPr>
                <w:rFonts w:hint="eastAsia"/>
              </w:rPr>
              <w:t>卧式漆包机（</w:t>
            </w:r>
            <w:r>
              <w:rPr>
                <w:rFonts w:hint="eastAsia"/>
              </w:rPr>
              <w:t>21</w:t>
            </w:r>
            <w:r>
              <w:rPr>
                <w:rFonts w:hint="eastAsia"/>
              </w:rPr>
              <w:t>台）</w:t>
            </w:r>
          </w:p>
        </w:tc>
        <w:tc>
          <w:tcPr>
            <w:tcW w:w="1246" w:type="pct"/>
            <w:vAlign w:val="center"/>
          </w:tcPr>
          <w:p w:rsidR="00EE56C0" w:rsidRDefault="000F36A1">
            <w:pPr>
              <w:pStyle w:val="afa"/>
            </w:pPr>
            <w:r>
              <w:rPr>
                <w:rFonts w:hint="eastAsia"/>
              </w:rPr>
              <w:t>烘炉内部</w:t>
            </w:r>
          </w:p>
        </w:tc>
        <w:tc>
          <w:tcPr>
            <w:tcW w:w="671" w:type="pct"/>
            <w:vAlign w:val="center"/>
          </w:tcPr>
          <w:p w:rsidR="00EE56C0" w:rsidRDefault="000F36A1">
            <w:pPr>
              <w:pStyle w:val="afa"/>
            </w:pPr>
            <w:r>
              <w:rPr>
                <w:rFonts w:hint="eastAsia"/>
              </w:rPr>
              <w:t>集气管道</w:t>
            </w:r>
            <w:r>
              <w:rPr>
                <w:rFonts w:hint="eastAsia"/>
              </w:rPr>
              <w:t xml:space="preserve"> </w:t>
            </w:r>
          </w:p>
        </w:tc>
        <w:tc>
          <w:tcPr>
            <w:tcW w:w="486" w:type="pct"/>
            <w:vMerge w:val="restart"/>
            <w:vAlign w:val="center"/>
          </w:tcPr>
          <w:p w:rsidR="00EE56C0" w:rsidRDefault="000F36A1">
            <w:pPr>
              <w:pStyle w:val="afa"/>
            </w:pPr>
            <w:r>
              <w:rPr>
                <w:rFonts w:hint="eastAsia"/>
              </w:rPr>
              <w:t>三次催化燃烧</w:t>
            </w:r>
          </w:p>
        </w:tc>
        <w:tc>
          <w:tcPr>
            <w:tcW w:w="833" w:type="pct"/>
            <w:vMerge w:val="restart"/>
            <w:vAlign w:val="center"/>
          </w:tcPr>
          <w:p w:rsidR="00EE56C0" w:rsidRDefault="000F36A1">
            <w:pPr>
              <w:pStyle w:val="afa"/>
            </w:pPr>
            <w:r>
              <w:rPr>
                <w:rFonts w:hint="eastAsia"/>
              </w:rPr>
              <w:t>静电除油</w:t>
            </w:r>
            <w:r>
              <w:rPr>
                <w:rFonts w:hint="eastAsia"/>
              </w:rPr>
              <w:t>+</w:t>
            </w:r>
            <w:r>
              <w:rPr>
                <w:rFonts w:hint="eastAsia"/>
              </w:rPr>
              <w:t>活性炭吸附</w:t>
            </w:r>
            <w:r>
              <w:rPr>
                <w:rFonts w:hint="eastAsia"/>
              </w:rPr>
              <w:t>-</w:t>
            </w:r>
            <w:r>
              <w:rPr>
                <w:rFonts w:hint="eastAsia"/>
              </w:rPr>
              <w:t>脱附</w:t>
            </w:r>
            <w:r>
              <w:rPr>
                <w:rFonts w:hint="eastAsia"/>
              </w:rPr>
              <w:t>-</w:t>
            </w:r>
            <w:r>
              <w:rPr>
                <w:rFonts w:hint="eastAsia"/>
              </w:rPr>
              <w:t>催化燃烧</w:t>
            </w:r>
            <w:r>
              <w:rPr>
                <w:rFonts w:hint="eastAsia"/>
              </w:rPr>
              <w:t>T</w:t>
            </w:r>
          </w:p>
        </w:tc>
        <w:tc>
          <w:tcPr>
            <w:tcW w:w="446" w:type="pct"/>
            <w:vMerge/>
            <w:vAlign w:val="center"/>
          </w:tcPr>
          <w:p w:rsidR="00EE56C0" w:rsidRDefault="00EE56C0">
            <w:pPr>
              <w:pStyle w:val="afa"/>
            </w:pPr>
          </w:p>
        </w:tc>
      </w:tr>
      <w:tr w:rsidR="00EE56C0">
        <w:trPr>
          <w:trHeight w:val="454"/>
          <w:jc w:val="center"/>
        </w:trPr>
        <w:tc>
          <w:tcPr>
            <w:tcW w:w="396" w:type="pct"/>
            <w:vMerge/>
            <w:vAlign w:val="center"/>
          </w:tcPr>
          <w:p w:rsidR="00EE56C0" w:rsidRDefault="00EE56C0">
            <w:pPr>
              <w:pStyle w:val="afa"/>
            </w:pPr>
          </w:p>
        </w:tc>
        <w:tc>
          <w:tcPr>
            <w:tcW w:w="922" w:type="pct"/>
            <w:gridSpan w:val="2"/>
            <w:vAlign w:val="center"/>
          </w:tcPr>
          <w:p w:rsidR="00EE56C0" w:rsidRDefault="000F36A1">
            <w:pPr>
              <w:pStyle w:val="afa"/>
            </w:pPr>
            <w:r>
              <w:rPr>
                <w:rFonts w:hint="eastAsia"/>
              </w:rPr>
              <w:t>卧式漆包机（</w:t>
            </w:r>
            <w:r>
              <w:rPr>
                <w:rFonts w:hint="eastAsia"/>
              </w:rPr>
              <w:t>6</w:t>
            </w:r>
            <w:r>
              <w:rPr>
                <w:rFonts w:hint="eastAsia"/>
              </w:rPr>
              <w:t>台）</w:t>
            </w:r>
          </w:p>
        </w:tc>
        <w:tc>
          <w:tcPr>
            <w:tcW w:w="1246" w:type="pct"/>
            <w:vAlign w:val="center"/>
          </w:tcPr>
          <w:p w:rsidR="00EE56C0" w:rsidRDefault="000F36A1">
            <w:pPr>
              <w:pStyle w:val="afa"/>
            </w:pPr>
            <w:r>
              <w:rPr>
                <w:rFonts w:hint="eastAsia"/>
              </w:rPr>
              <w:t>涂漆区、烘炉进出口</w:t>
            </w:r>
          </w:p>
        </w:tc>
        <w:tc>
          <w:tcPr>
            <w:tcW w:w="671" w:type="pct"/>
            <w:vAlign w:val="center"/>
          </w:tcPr>
          <w:p w:rsidR="00EE56C0" w:rsidRDefault="000F36A1">
            <w:pPr>
              <w:pStyle w:val="afa"/>
            </w:pPr>
            <w:r>
              <w:rPr>
                <w:rFonts w:hint="eastAsia"/>
              </w:rPr>
              <w:t>集气罩</w:t>
            </w:r>
          </w:p>
        </w:tc>
        <w:tc>
          <w:tcPr>
            <w:tcW w:w="486" w:type="pct"/>
            <w:vMerge/>
            <w:vAlign w:val="center"/>
          </w:tcPr>
          <w:p w:rsidR="00EE56C0" w:rsidRDefault="00EE56C0">
            <w:pPr>
              <w:pStyle w:val="afa"/>
            </w:pPr>
          </w:p>
        </w:tc>
        <w:tc>
          <w:tcPr>
            <w:tcW w:w="833" w:type="pct"/>
            <w:vMerge/>
            <w:vAlign w:val="center"/>
          </w:tcPr>
          <w:p w:rsidR="00EE56C0" w:rsidRDefault="00EE56C0">
            <w:pPr>
              <w:pStyle w:val="afa"/>
            </w:pPr>
          </w:p>
        </w:tc>
        <w:tc>
          <w:tcPr>
            <w:tcW w:w="446" w:type="pct"/>
            <w:vMerge/>
            <w:vAlign w:val="center"/>
          </w:tcPr>
          <w:p w:rsidR="00EE56C0" w:rsidRDefault="00EE56C0">
            <w:pPr>
              <w:pStyle w:val="afa"/>
            </w:pPr>
          </w:p>
        </w:tc>
      </w:tr>
      <w:tr w:rsidR="00EE56C0">
        <w:trPr>
          <w:trHeight w:val="454"/>
          <w:jc w:val="center"/>
        </w:trPr>
        <w:tc>
          <w:tcPr>
            <w:tcW w:w="396" w:type="pct"/>
            <w:vMerge/>
            <w:vAlign w:val="center"/>
          </w:tcPr>
          <w:p w:rsidR="00EE56C0" w:rsidRDefault="00EE56C0">
            <w:pPr>
              <w:pStyle w:val="afa"/>
            </w:pPr>
          </w:p>
        </w:tc>
        <w:tc>
          <w:tcPr>
            <w:tcW w:w="922" w:type="pct"/>
            <w:gridSpan w:val="2"/>
            <w:vMerge w:val="restart"/>
            <w:vAlign w:val="center"/>
          </w:tcPr>
          <w:p w:rsidR="00EE56C0" w:rsidRDefault="000F36A1">
            <w:pPr>
              <w:pStyle w:val="afa"/>
            </w:pPr>
            <w:r>
              <w:rPr>
                <w:rFonts w:hint="eastAsia"/>
              </w:rPr>
              <w:t>立式漆包机</w:t>
            </w:r>
          </w:p>
        </w:tc>
        <w:tc>
          <w:tcPr>
            <w:tcW w:w="1246" w:type="pct"/>
            <w:vAlign w:val="center"/>
          </w:tcPr>
          <w:p w:rsidR="00EE56C0" w:rsidRDefault="000F36A1">
            <w:pPr>
              <w:pStyle w:val="afa"/>
              <w:rPr>
                <w:lang w:val="pt-BR"/>
              </w:rPr>
            </w:pPr>
            <w:r>
              <w:rPr>
                <w:rFonts w:hint="eastAsia"/>
                <w:lang w:val="pt-BR"/>
              </w:rPr>
              <w:t>涂漆</w:t>
            </w:r>
          </w:p>
        </w:tc>
        <w:tc>
          <w:tcPr>
            <w:tcW w:w="671" w:type="pct"/>
            <w:vAlign w:val="center"/>
          </w:tcPr>
          <w:p w:rsidR="00EE56C0" w:rsidRDefault="000F36A1">
            <w:pPr>
              <w:pStyle w:val="afa"/>
            </w:pPr>
            <w:r>
              <w:rPr>
                <w:rFonts w:hint="eastAsia"/>
                <w:lang w:val="pt-BR"/>
              </w:rPr>
              <w:t>涂漆间</w:t>
            </w:r>
          </w:p>
        </w:tc>
        <w:tc>
          <w:tcPr>
            <w:tcW w:w="486" w:type="pct"/>
            <w:vMerge/>
            <w:vAlign w:val="center"/>
          </w:tcPr>
          <w:p w:rsidR="00EE56C0" w:rsidRDefault="00EE56C0">
            <w:pPr>
              <w:pStyle w:val="afa"/>
            </w:pPr>
          </w:p>
        </w:tc>
        <w:tc>
          <w:tcPr>
            <w:tcW w:w="833" w:type="pct"/>
            <w:vMerge/>
            <w:vAlign w:val="center"/>
          </w:tcPr>
          <w:p w:rsidR="00EE56C0" w:rsidRDefault="00EE56C0">
            <w:pPr>
              <w:pStyle w:val="afa"/>
            </w:pPr>
          </w:p>
        </w:tc>
        <w:tc>
          <w:tcPr>
            <w:tcW w:w="446" w:type="pct"/>
            <w:vMerge/>
            <w:vAlign w:val="center"/>
          </w:tcPr>
          <w:p w:rsidR="00EE56C0" w:rsidRDefault="00EE56C0">
            <w:pPr>
              <w:pStyle w:val="afa"/>
            </w:pPr>
          </w:p>
        </w:tc>
      </w:tr>
      <w:tr w:rsidR="00EE56C0">
        <w:trPr>
          <w:trHeight w:val="454"/>
          <w:jc w:val="center"/>
        </w:trPr>
        <w:tc>
          <w:tcPr>
            <w:tcW w:w="396" w:type="pct"/>
            <w:vMerge/>
            <w:vAlign w:val="center"/>
          </w:tcPr>
          <w:p w:rsidR="00EE56C0" w:rsidRDefault="00EE56C0">
            <w:pPr>
              <w:pStyle w:val="afa"/>
            </w:pPr>
          </w:p>
        </w:tc>
        <w:tc>
          <w:tcPr>
            <w:tcW w:w="922" w:type="pct"/>
            <w:gridSpan w:val="2"/>
            <w:vMerge/>
            <w:vAlign w:val="center"/>
          </w:tcPr>
          <w:p w:rsidR="00EE56C0" w:rsidRDefault="00EE56C0">
            <w:pPr>
              <w:pStyle w:val="afa"/>
            </w:pPr>
          </w:p>
        </w:tc>
        <w:tc>
          <w:tcPr>
            <w:tcW w:w="1246" w:type="pct"/>
            <w:vAlign w:val="center"/>
          </w:tcPr>
          <w:p w:rsidR="00EE56C0" w:rsidRDefault="000F36A1">
            <w:pPr>
              <w:pStyle w:val="afa"/>
              <w:rPr>
                <w:lang w:val="pt-BR"/>
              </w:rPr>
            </w:pPr>
            <w:r>
              <w:rPr>
                <w:rFonts w:hint="eastAsia"/>
                <w:lang w:val="pt-BR"/>
              </w:rPr>
              <w:t>烘炉进、出口</w:t>
            </w:r>
          </w:p>
        </w:tc>
        <w:tc>
          <w:tcPr>
            <w:tcW w:w="671" w:type="pct"/>
            <w:vAlign w:val="center"/>
          </w:tcPr>
          <w:p w:rsidR="00EE56C0" w:rsidRDefault="000F36A1">
            <w:pPr>
              <w:pStyle w:val="afa"/>
            </w:pPr>
            <w:r>
              <w:rPr>
                <w:rFonts w:hint="eastAsia"/>
              </w:rPr>
              <w:t>集气管道</w:t>
            </w:r>
          </w:p>
        </w:tc>
        <w:tc>
          <w:tcPr>
            <w:tcW w:w="486" w:type="pct"/>
            <w:vMerge/>
            <w:vAlign w:val="center"/>
          </w:tcPr>
          <w:p w:rsidR="00EE56C0" w:rsidRDefault="00EE56C0">
            <w:pPr>
              <w:pStyle w:val="afa"/>
            </w:pPr>
          </w:p>
        </w:tc>
        <w:tc>
          <w:tcPr>
            <w:tcW w:w="833" w:type="pct"/>
            <w:vMerge/>
            <w:vAlign w:val="center"/>
          </w:tcPr>
          <w:p w:rsidR="00EE56C0" w:rsidRDefault="00EE56C0">
            <w:pPr>
              <w:pStyle w:val="afa"/>
            </w:pPr>
          </w:p>
        </w:tc>
        <w:tc>
          <w:tcPr>
            <w:tcW w:w="446" w:type="pct"/>
            <w:vMerge/>
            <w:vAlign w:val="center"/>
          </w:tcPr>
          <w:p w:rsidR="00EE56C0" w:rsidRDefault="00EE56C0">
            <w:pPr>
              <w:pStyle w:val="afa"/>
            </w:pPr>
          </w:p>
        </w:tc>
      </w:tr>
      <w:tr w:rsidR="00EE56C0">
        <w:trPr>
          <w:trHeight w:val="397"/>
          <w:jc w:val="center"/>
        </w:trPr>
        <w:tc>
          <w:tcPr>
            <w:tcW w:w="1318" w:type="pct"/>
            <w:gridSpan w:val="3"/>
            <w:vMerge w:val="restart"/>
            <w:vAlign w:val="center"/>
          </w:tcPr>
          <w:p w:rsidR="00EE56C0" w:rsidRDefault="000F36A1">
            <w:pPr>
              <w:pStyle w:val="afa"/>
            </w:pPr>
            <w:r>
              <w:rPr>
                <w:rFonts w:hint="eastAsia"/>
              </w:rPr>
              <w:t>丝包线</w:t>
            </w:r>
          </w:p>
        </w:tc>
        <w:tc>
          <w:tcPr>
            <w:tcW w:w="1246" w:type="pct"/>
            <w:vAlign w:val="center"/>
          </w:tcPr>
          <w:p w:rsidR="00EE56C0" w:rsidRDefault="000F36A1">
            <w:pPr>
              <w:pStyle w:val="afa"/>
              <w:rPr>
                <w:lang w:val="pt-BR"/>
              </w:rPr>
            </w:pPr>
            <w:r>
              <w:rPr>
                <w:rFonts w:hint="eastAsia"/>
                <w:lang w:val="pt-BR"/>
              </w:rPr>
              <w:t>涂漆、烘炉进口及出口</w:t>
            </w:r>
          </w:p>
        </w:tc>
        <w:tc>
          <w:tcPr>
            <w:tcW w:w="1157" w:type="pct"/>
            <w:gridSpan w:val="2"/>
            <w:vAlign w:val="center"/>
          </w:tcPr>
          <w:p w:rsidR="00EE56C0" w:rsidRDefault="000F36A1">
            <w:pPr>
              <w:pStyle w:val="afa"/>
            </w:pPr>
            <w:r>
              <w:rPr>
                <w:rFonts w:hint="eastAsia"/>
              </w:rPr>
              <w:t>封闭式集气罩</w:t>
            </w:r>
          </w:p>
        </w:tc>
        <w:tc>
          <w:tcPr>
            <w:tcW w:w="833" w:type="pct"/>
            <w:vMerge/>
            <w:vAlign w:val="center"/>
          </w:tcPr>
          <w:p w:rsidR="00EE56C0" w:rsidRDefault="00EE56C0">
            <w:pPr>
              <w:pStyle w:val="afa"/>
            </w:pPr>
          </w:p>
        </w:tc>
        <w:tc>
          <w:tcPr>
            <w:tcW w:w="446" w:type="pct"/>
            <w:vMerge/>
            <w:vAlign w:val="center"/>
          </w:tcPr>
          <w:p w:rsidR="00EE56C0" w:rsidRDefault="00EE56C0">
            <w:pPr>
              <w:pStyle w:val="afa"/>
            </w:pPr>
          </w:p>
        </w:tc>
      </w:tr>
      <w:tr w:rsidR="00EE56C0">
        <w:trPr>
          <w:trHeight w:val="397"/>
          <w:jc w:val="center"/>
        </w:trPr>
        <w:tc>
          <w:tcPr>
            <w:tcW w:w="1318" w:type="pct"/>
            <w:gridSpan w:val="3"/>
            <w:vMerge/>
            <w:vAlign w:val="center"/>
          </w:tcPr>
          <w:p w:rsidR="00EE56C0" w:rsidRDefault="00EE56C0">
            <w:pPr>
              <w:pStyle w:val="afa"/>
            </w:pPr>
          </w:p>
        </w:tc>
        <w:tc>
          <w:tcPr>
            <w:tcW w:w="1246" w:type="pct"/>
            <w:vAlign w:val="center"/>
          </w:tcPr>
          <w:p w:rsidR="00EE56C0" w:rsidRDefault="000F36A1">
            <w:pPr>
              <w:pStyle w:val="afa"/>
              <w:rPr>
                <w:lang w:val="pt-BR"/>
              </w:rPr>
            </w:pPr>
            <w:r>
              <w:rPr>
                <w:rFonts w:hint="eastAsia"/>
                <w:lang w:val="pt-BR"/>
              </w:rPr>
              <w:t>操作间</w:t>
            </w:r>
          </w:p>
        </w:tc>
        <w:tc>
          <w:tcPr>
            <w:tcW w:w="1157" w:type="pct"/>
            <w:gridSpan w:val="2"/>
            <w:vAlign w:val="center"/>
          </w:tcPr>
          <w:p w:rsidR="00EE56C0" w:rsidRDefault="000F36A1">
            <w:pPr>
              <w:pStyle w:val="afa"/>
            </w:pPr>
            <w:r>
              <w:rPr>
                <w:rFonts w:hint="eastAsia"/>
              </w:rPr>
              <w:t>顶部抽吸</w:t>
            </w:r>
          </w:p>
        </w:tc>
        <w:tc>
          <w:tcPr>
            <w:tcW w:w="833" w:type="pct"/>
            <w:vMerge/>
            <w:vAlign w:val="center"/>
          </w:tcPr>
          <w:p w:rsidR="00EE56C0" w:rsidRDefault="00EE56C0">
            <w:pPr>
              <w:pStyle w:val="afa"/>
            </w:pPr>
          </w:p>
        </w:tc>
        <w:tc>
          <w:tcPr>
            <w:tcW w:w="446" w:type="pct"/>
            <w:vMerge/>
            <w:vAlign w:val="center"/>
          </w:tcPr>
          <w:p w:rsidR="00EE56C0" w:rsidRDefault="00EE56C0">
            <w:pPr>
              <w:pStyle w:val="afa"/>
            </w:pPr>
          </w:p>
        </w:tc>
      </w:tr>
      <w:tr w:rsidR="00EE56C0">
        <w:trPr>
          <w:trHeight w:val="397"/>
          <w:jc w:val="center"/>
        </w:trPr>
        <w:tc>
          <w:tcPr>
            <w:tcW w:w="1318" w:type="pct"/>
            <w:gridSpan w:val="3"/>
            <w:tcBorders>
              <w:bottom w:val="single" w:sz="8" w:space="0" w:color="auto"/>
            </w:tcBorders>
            <w:vAlign w:val="center"/>
          </w:tcPr>
          <w:p w:rsidR="00EE56C0" w:rsidRDefault="000F36A1">
            <w:pPr>
              <w:pStyle w:val="afa"/>
            </w:pPr>
            <w:r>
              <w:rPr>
                <w:rFonts w:hint="eastAsia"/>
              </w:rPr>
              <w:t>注塑</w:t>
            </w:r>
          </w:p>
        </w:tc>
        <w:tc>
          <w:tcPr>
            <w:tcW w:w="1246" w:type="pct"/>
            <w:tcBorders>
              <w:bottom w:val="single" w:sz="8" w:space="0" w:color="auto"/>
            </w:tcBorders>
            <w:vAlign w:val="center"/>
          </w:tcPr>
          <w:p w:rsidR="00EE56C0" w:rsidRDefault="000F36A1">
            <w:pPr>
              <w:pStyle w:val="afa"/>
            </w:pPr>
            <w:r>
              <w:rPr>
                <w:rFonts w:hint="eastAsia"/>
              </w:rPr>
              <w:t>注塑</w:t>
            </w:r>
          </w:p>
        </w:tc>
        <w:tc>
          <w:tcPr>
            <w:tcW w:w="1157" w:type="pct"/>
            <w:gridSpan w:val="2"/>
            <w:tcBorders>
              <w:bottom w:val="single" w:sz="8" w:space="0" w:color="auto"/>
            </w:tcBorders>
            <w:vAlign w:val="center"/>
          </w:tcPr>
          <w:p w:rsidR="00EE56C0" w:rsidRDefault="000F36A1">
            <w:pPr>
              <w:pStyle w:val="afa"/>
            </w:pPr>
            <w:r>
              <w:rPr>
                <w:rFonts w:hint="eastAsia"/>
              </w:rPr>
              <w:t>集气罩</w:t>
            </w:r>
          </w:p>
        </w:tc>
        <w:tc>
          <w:tcPr>
            <w:tcW w:w="833" w:type="pct"/>
            <w:vMerge/>
            <w:tcBorders>
              <w:bottom w:val="single" w:sz="8" w:space="0" w:color="auto"/>
            </w:tcBorders>
            <w:vAlign w:val="center"/>
          </w:tcPr>
          <w:p w:rsidR="00EE56C0" w:rsidRDefault="00EE56C0">
            <w:pPr>
              <w:pStyle w:val="afa"/>
            </w:pPr>
          </w:p>
        </w:tc>
        <w:tc>
          <w:tcPr>
            <w:tcW w:w="446" w:type="pct"/>
            <w:vMerge/>
            <w:tcBorders>
              <w:bottom w:val="single" w:sz="8" w:space="0" w:color="auto"/>
            </w:tcBorders>
            <w:vAlign w:val="center"/>
          </w:tcPr>
          <w:p w:rsidR="00EE56C0" w:rsidRDefault="00EE56C0">
            <w:pPr>
              <w:pStyle w:val="afa"/>
            </w:pPr>
          </w:p>
        </w:tc>
      </w:tr>
    </w:tbl>
    <w:p w:rsidR="00EE56C0" w:rsidRDefault="000F36A1">
      <w:pPr>
        <w:ind w:firstLine="482"/>
        <w:rPr>
          <w:b/>
          <w:u w:val="single"/>
        </w:rPr>
      </w:pPr>
      <w:r>
        <w:rPr>
          <w:rFonts w:hint="eastAsia"/>
          <w:b/>
          <w:u w:val="single"/>
        </w:rPr>
        <w:t>由上表可知，与整改前相比，整改后，</w:t>
      </w:r>
      <w:r w:rsidR="003B19FA">
        <w:rPr>
          <w:rFonts w:hint="eastAsia"/>
          <w:b/>
          <w:u w:val="single"/>
        </w:rPr>
        <w:t>对</w:t>
      </w:r>
      <w:r>
        <w:rPr>
          <w:rFonts w:hint="eastAsia"/>
          <w:b/>
          <w:u w:val="single"/>
        </w:rPr>
        <w:t>废气进行了精准化收集，治理措施采用更高效的处理方式。整改后，车间环境得到较大改善，车间内无组织废气减少。</w:t>
      </w:r>
    </w:p>
    <w:p w:rsidR="00EE56C0" w:rsidRDefault="003B19FA">
      <w:pPr>
        <w:ind w:firstLine="480"/>
      </w:pPr>
      <w:r>
        <w:rPr>
          <w:rFonts w:hint="eastAsia"/>
        </w:rPr>
        <w:lastRenderedPageBreak/>
        <w:t>整改后，</w:t>
      </w:r>
      <w:r w:rsidR="000F36A1">
        <w:rPr>
          <w:rFonts w:hint="eastAsia"/>
        </w:rPr>
        <w:t>有机废气的整体处理方式是漆包线涂漆及烘炉进出口、丝包线涂漆及烘炉进出口和注塑工段产生的有机废气进静电除油</w:t>
      </w:r>
      <w:r w:rsidR="000F36A1">
        <w:rPr>
          <w:rFonts w:hint="eastAsia"/>
        </w:rPr>
        <w:t>+</w:t>
      </w:r>
      <w:r w:rsidR="000F36A1">
        <w:rPr>
          <w:rFonts w:hint="eastAsia"/>
        </w:rPr>
        <w:t>活性炭吸附</w:t>
      </w:r>
      <w:r w:rsidR="000F36A1">
        <w:rPr>
          <w:rFonts w:hint="eastAsia"/>
        </w:rPr>
        <w:t>-</w:t>
      </w:r>
      <w:r w:rsidR="000F36A1">
        <w:rPr>
          <w:rFonts w:hint="eastAsia"/>
        </w:rPr>
        <w:t>脱附</w:t>
      </w:r>
      <w:r w:rsidR="000F36A1">
        <w:rPr>
          <w:rFonts w:hint="eastAsia"/>
        </w:rPr>
        <w:t>-</w:t>
      </w:r>
      <w:r w:rsidR="000F36A1">
        <w:rPr>
          <w:rFonts w:hint="eastAsia"/>
        </w:rPr>
        <w:t>催化燃烧系统</w:t>
      </w:r>
      <w:r w:rsidR="000F36A1">
        <w:rPr>
          <w:rFonts w:hint="eastAsia"/>
        </w:rPr>
        <w:t>T</w:t>
      </w:r>
      <w:r w:rsidR="000F36A1">
        <w:rPr>
          <w:rFonts w:hint="eastAsia"/>
        </w:rPr>
        <w:t>，部分老卧机的涂漆区、烘炉进出口废气和立式漆包机二次封闭通道间废气进沸石吸附</w:t>
      </w:r>
      <w:r w:rsidR="000F36A1">
        <w:rPr>
          <w:rFonts w:hint="eastAsia"/>
        </w:rPr>
        <w:t>-</w:t>
      </w:r>
      <w:r w:rsidR="000F36A1">
        <w:rPr>
          <w:rFonts w:hint="eastAsia"/>
        </w:rPr>
        <w:t>脱附</w:t>
      </w:r>
      <w:r w:rsidR="000F36A1">
        <w:rPr>
          <w:rFonts w:hint="eastAsia"/>
        </w:rPr>
        <w:t>-</w:t>
      </w:r>
      <w:r w:rsidR="000F36A1">
        <w:rPr>
          <w:rFonts w:hint="eastAsia"/>
        </w:rPr>
        <w:t>催化燃烧</w:t>
      </w:r>
      <w:r w:rsidR="000F36A1">
        <w:rPr>
          <w:rFonts w:hint="eastAsia"/>
        </w:rPr>
        <w:t>F</w:t>
      </w:r>
      <w:r w:rsidR="000F36A1">
        <w:rPr>
          <w:rFonts w:hint="eastAsia"/>
        </w:rPr>
        <w:t>，最后经一根</w:t>
      </w:r>
      <w:r w:rsidR="000F36A1">
        <w:rPr>
          <w:rFonts w:hint="eastAsia"/>
        </w:rPr>
        <w:t>26.5m</w:t>
      </w:r>
      <w:r w:rsidR="000F36A1">
        <w:rPr>
          <w:rFonts w:hint="eastAsia"/>
        </w:rPr>
        <w:t>排气筒排放。</w:t>
      </w:r>
    </w:p>
    <w:p w:rsidR="00EE56C0" w:rsidRDefault="000F36A1">
      <w:pPr>
        <w:ind w:firstLine="480"/>
        <w:jc w:val="left"/>
      </w:pPr>
      <w:r>
        <w:rPr>
          <w:rFonts w:hint="eastAsia"/>
        </w:rPr>
        <w:t>2021</w:t>
      </w:r>
      <w:r>
        <w:rPr>
          <w:rFonts w:hint="eastAsia"/>
        </w:rPr>
        <w:t>年</w:t>
      </w:r>
      <w:r>
        <w:rPr>
          <w:rFonts w:hint="eastAsia"/>
        </w:rPr>
        <w:t>4</w:t>
      </w:r>
      <w:r>
        <w:rPr>
          <w:rFonts w:hint="eastAsia"/>
        </w:rPr>
        <w:t>月</w:t>
      </w:r>
      <w:r>
        <w:rPr>
          <w:rFonts w:hint="eastAsia"/>
        </w:rPr>
        <w:t>16</w:t>
      </w:r>
      <w:r>
        <w:rPr>
          <w:rFonts w:hint="eastAsia"/>
        </w:rPr>
        <w:t>日河南人久检测技术服务有限公司对总排口的废气排放</w:t>
      </w:r>
      <w:r>
        <w:t>筒</w:t>
      </w:r>
      <w:r>
        <w:rPr>
          <w:rFonts w:hint="eastAsia"/>
        </w:rPr>
        <w:t>进行检测，根据监测报告，各污染因子排放浓度及排放速率分别为：非甲烷总烃</w:t>
      </w:r>
      <w:r>
        <w:rPr>
          <w:rFonts w:hint="eastAsia"/>
        </w:rPr>
        <w:t>7.16~8.47mg/m</w:t>
      </w:r>
      <w:r>
        <w:rPr>
          <w:rFonts w:hint="eastAsia"/>
          <w:vertAlign w:val="superscript"/>
        </w:rPr>
        <w:t>3</w:t>
      </w:r>
      <w:r>
        <w:rPr>
          <w:rFonts w:hint="eastAsia"/>
        </w:rPr>
        <w:t>、</w:t>
      </w:r>
      <w:r>
        <w:rPr>
          <w:rFonts w:hint="eastAsia"/>
        </w:rPr>
        <w:t>0.496~0.602kg/h</w:t>
      </w:r>
      <w:r>
        <w:rPr>
          <w:rFonts w:hint="eastAsia"/>
        </w:rPr>
        <w:t>，苯</w:t>
      </w:r>
      <w:r>
        <w:rPr>
          <w:rFonts w:hint="eastAsia"/>
        </w:rPr>
        <w:t>0.176~0.268mg/m</w:t>
      </w:r>
      <w:r>
        <w:rPr>
          <w:rFonts w:hint="eastAsia"/>
          <w:vertAlign w:val="superscript"/>
        </w:rPr>
        <w:t>3</w:t>
      </w:r>
      <w:r>
        <w:rPr>
          <w:rFonts w:hint="eastAsia"/>
        </w:rPr>
        <w:t>、</w:t>
      </w:r>
      <w:r>
        <w:rPr>
          <w:rFonts w:hint="eastAsia"/>
        </w:rPr>
        <w:t>0.012~0.019kg/h</w:t>
      </w:r>
      <w:r>
        <w:rPr>
          <w:rFonts w:hint="eastAsia"/>
        </w:rPr>
        <w:t>，甲苯</w:t>
      </w:r>
      <w:r>
        <w:rPr>
          <w:rFonts w:hint="eastAsia"/>
        </w:rPr>
        <w:t>2.04~4.41mg/m</w:t>
      </w:r>
      <w:r>
        <w:rPr>
          <w:rFonts w:hint="eastAsia"/>
          <w:vertAlign w:val="superscript"/>
        </w:rPr>
        <w:t>3</w:t>
      </w:r>
      <w:r>
        <w:rPr>
          <w:rFonts w:hint="eastAsia"/>
        </w:rPr>
        <w:t>、</w:t>
      </w:r>
      <w:r>
        <w:rPr>
          <w:rFonts w:hint="eastAsia"/>
        </w:rPr>
        <w:t>0.145~0.326kg/h</w:t>
      </w:r>
      <w:r>
        <w:rPr>
          <w:rFonts w:hint="eastAsia"/>
        </w:rPr>
        <w:t>，二甲苯</w:t>
      </w:r>
      <w:r>
        <w:rPr>
          <w:rFonts w:hint="eastAsia"/>
        </w:rPr>
        <w:t>3.77~10.6mg/m</w:t>
      </w:r>
      <w:r>
        <w:rPr>
          <w:rFonts w:hint="eastAsia"/>
          <w:vertAlign w:val="superscript"/>
        </w:rPr>
        <w:t>3</w:t>
      </w:r>
      <w:r>
        <w:rPr>
          <w:rFonts w:hint="eastAsia"/>
        </w:rPr>
        <w:t>、</w:t>
      </w:r>
      <w:r>
        <w:rPr>
          <w:rFonts w:hint="eastAsia"/>
        </w:rPr>
        <w:t>0.267~0.753kg/h</w:t>
      </w:r>
      <w:r>
        <w:rPr>
          <w:rFonts w:hint="eastAsia"/>
        </w:rPr>
        <w:t>，酚类</w:t>
      </w:r>
      <w:r>
        <w:rPr>
          <w:rFonts w:hint="eastAsia"/>
        </w:rPr>
        <w:t>0.8~1.1mg/m</w:t>
      </w:r>
      <w:r>
        <w:rPr>
          <w:rFonts w:hint="eastAsia"/>
          <w:vertAlign w:val="superscript"/>
        </w:rPr>
        <w:t>3</w:t>
      </w:r>
      <w:r>
        <w:rPr>
          <w:rFonts w:hint="eastAsia"/>
        </w:rPr>
        <w:t>、</w:t>
      </w:r>
      <w:r>
        <w:rPr>
          <w:rFonts w:hint="eastAsia"/>
        </w:rPr>
        <w:t>0.056~0.078kg/h</w:t>
      </w:r>
      <w:r>
        <w:rPr>
          <w:rFonts w:hint="eastAsia"/>
        </w:rPr>
        <w:t>。</w:t>
      </w:r>
      <w:r>
        <w:rPr>
          <w:rFonts w:hint="eastAsia"/>
          <w:bCs/>
        </w:rPr>
        <w:t>非甲烷总烃、二甲苯满足《工业涂装工序挥发性有机物排放标准》（</w:t>
      </w:r>
      <w:r>
        <w:rPr>
          <w:rFonts w:hint="eastAsia"/>
          <w:bCs/>
        </w:rPr>
        <w:t>D</w:t>
      </w:r>
      <w:r>
        <w:rPr>
          <w:bCs/>
        </w:rPr>
        <w:t>B</w:t>
      </w:r>
      <w:r>
        <w:rPr>
          <w:rFonts w:hint="eastAsia"/>
          <w:bCs/>
        </w:rPr>
        <w:t>41/1951</w:t>
      </w:r>
      <w:r>
        <w:rPr>
          <w:bCs/>
        </w:rPr>
        <w:t>-</w:t>
      </w:r>
      <w:r>
        <w:rPr>
          <w:rFonts w:hint="eastAsia"/>
          <w:bCs/>
        </w:rPr>
        <w:t>2020</w:t>
      </w:r>
      <w:r>
        <w:rPr>
          <w:rFonts w:hint="eastAsia"/>
          <w:bCs/>
        </w:rPr>
        <w:t>）表</w:t>
      </w:r>
      <w:r>
        <w:rPr>
          <w:rFonts w:hint="eastAsia"/>
          <w:bCs/>
        </w:rPr>
        <w:t>1</w:t>
      </w:r>
      <w:r>
        <w:rPr>
          <w:rFonts w:hint="eastAsia"/>
          <w:bCs/>
        </w:rPr>
        <w:t>非甲烷总烃</w:t>
      </w:r>
      <w:r>
        <w:rPr>
          <w:rFonts w:hint="eastAsia"/>
          <w:bCs/>
        </w:rPr>
        <w:t>50</w:t>
      </w:r>
      <w:r>
        <w:rPr>
          <w:rFonts w:hint="eastAsia"/>
        </w:rPr>
        <w:t xml:space="preserve"> mg/m</w:t>
      </w:r>
      <w:r>
        <w:rPr>
          <w:rFonts w:hint="eastAsia"/>
          <w:vertAlign w:val="superscript"/>
        </w:rPr>
        <w:t>3</w:t>
      </w:r>
      <w:r>
        <w:rPr>
          <w:rFonts w:hint="eastAsia"/>
          <w:bCs/>
        </w:rPr>
        <w:t>、二甲苯</w:t>
      </w:r>
      <w:r>
        <w:rPr>
          <w:rFonts w:hint="eastAsia"/>
          <w:bCs/>
        </w:rPr>
        <w:t>20</w:t>
      </w:r>
      <w:r>
        <w:rPr>
          <w:rFonts w:hint="eastAsia"/>
        </w:rPr>
        <w:t xml:space="preserve"> mg/m</w:t>
      </w:r>
      <w:r>
        <w:rPr>
          <w:rFonts w:hint="eastAsia"/>
          <w:vertAlign w:val="superscript"/>
        </w:rPr>
        <w:t>3</w:t>
      </w:r>
      <w:r>
        <w:rPr>
          <w:rFonts w:hint="eastAsia"/>
          <w:bCs/>
        </w:rPr>
        <w:t>要求和</w:t>
      </w:r>
      <w:r>
        <w:rPr>
          <w:rFonts w:hint="eastAsia"/>
        </w:rPr>
        <w:t>《</w:t>
      </w:r>
      <w:r>
        <w:t>合成树脂工业污染物排放标准》（</w:t>
      </w:r>
      <w:r>
        <w:t>GB31572-2015</w:t>
      </w:r>
      <w:r>
        <w:t>）表</w:t>
      </w:r>
      <w:r>
        <w:t>4</w:t>
      </w:r>
      <w:r>
        <w:t>：</w:t>
      </w:r>
      <w:r>
        <w:rPr>
          <w:rFonts w:hint="eastAsia"/>
          <w:bCs/>
        </w:rPr>
        <w:t>非甲烷总烃</w:t>
      </w:r>
      <w:r>
        <w:rPr>
          <w:rFonts w:hint="eastAsia"/>
          <w:bCs/>
        </w:rPr>
        <w:t>100</w:t>
      </w:r>
      <w:r>
        <w:t>mg/m</w:t>
      </w:r>
      <w:r>
        <w:rPr>
          <w:vertAlign w:val="superscript"/>
        </w:rPr>
        <w:t>3</w:t>
      </w:r>
      <w:r>
        <w:t>要求</w:t>
      </w:r>
      <w:r>
        <w:rPr>
          <w:rFonts w:hint="eastAsia"/>
          <w:bCs/>
        </w:rPr>
        <w:t>，</w:t>
      </w:r>
      <w:r>
        <w:rPr>
          <w:rFonts w:hint="eastAsia"/>
        </w:rPr>
        <w:t>酚类</w:t>
      </w:r>
      <w:r>
        <w:rPr>
          <w:rFonts w:hint="eastAsia"/>
          <w:bCs/>
        </w:rPr>
        <w:t>满足《大气污染物综合排放标准》（</w:t>
      </w:r>
      <w:r>
        <w:rPr>
          <w:rFonts w:hint="eastAsia"/>
          <w:bCs/>
        </w:rPr>
        <w:t>GB16297-1996</w:t>
      </w:r>
      <w:r>
        <w:rPr>
          <w:rFonts w:hint="eastAsia"/>
          <w:bCs/>
        </w:rPr>
        <w:t>）表</w:t>
      </w:r>
      <w:r>
        <w:rPr>
          <w:rFonts w:hint="eastAsia"/>
          <w:bCs/>
        </w:rPr>
        <w:t>2</w:t>
      </w:r>
      <w:r>
        <w:rPr>
          <w:rFonts w:hint="eastAsia"/>
          <w:bCs/>
        </w:rPr>
        <w:t>二级</w:t>
      </w:r>
      <w:r>
        <w:rPr>
          <w:rFonts w:hint="eastAsia"/>
          <w:bCs/>
        </w:rPr>
        <w:t>100mg/m</w:t>
      </w:r>
      <w:r>
        <w:rPr>
          <w:rFonts w:hint="eastAsia"/>
          <w:bCs/>
          <w:vertAlign w:val="superscript"/>
        </w:rPr>
        <w:t>3</w:t>
      </w:r>
      <w:r>
        <w:rPr>
          <w:rFonts w:hint="eastAsia"/>
          <w:bCs/>
        </w:rPr>
        <w:t>、</w:t>
      </w:r>
      <w:r>
        <w:rPr>
          <w:bCs/>
        </w:rPr>
        <w:t>0.1kg/h</w:t>
      </w:r>
      <w:r>
        <w:t>要求</w:t>
      </w:r>
      <w:r>
        <w:rPr>
          <w:rFonts w:hint="eastAsia"/>
          <w:bCs/>
        </w:rPr>
        <w:t>，</w:t>
      </w:r>
      <w:r>
        <w:rPr>
          <w:rFonts w:hint="eastAsia"/>
        </w:rPr>
        <w:t>满足《关于</w:t>
      </w:r>
      <w:r>
        <w:t>全省开展工业企业挥发性有机物专项治理工作中排放建议值的通知》（豫环攻坚办（</w:t>
      </w:r>
      <w:r>
        <w:t>2017</w:t>
      </w:r>
      <w:r>
        <w:t>）</w:t>
      </w:r>
      <w:r>
        <w:t>162</w:t>
      </w:r>
      <w:r>
        <w:t>号）中表面涂装业有机废气排放口限值要求。年运行时间</w:t>
      </w:r>
      <w:r>
        <w:t>7200h</w:t>
      </w:r>
      <w:r>
        <w:t>，各污染物排放量</w:t>
      </w:r>
      <w:r>
        <w:rPr>
          <w:rFonts w:hint="eastAsia"/>
        </w:rPr>
        <w:t>按最大值计算，</w:t>
      </w:r>
      <w:r>
        <w:t>分别为酚</w:t>
      </w:r>
      <w:r>
        <w:rPr>
          <w:rFonts w:hint="eastAsia"/>
        </w:rPr>
        <w:t>0.5616</w:t>
      </w:r>
      <w:r>
        <w:t>t/a</w:t>
      </w:r>
      <w:r>
        <w:rPr>
          <w:rFonts w:hint="eastAsia"/>
        </w:rPr>
        <w:t>、</w:t>
      </w:r>
      <w:r>
        <w:t>非甲烷总烃</w:t>
      </w:r>
      <w:r>
        <w:rPr>
          <w:rFonts w:hint="eastAsia"/>
        </w:rPr>
        <w:t>4.3344</w:t>
      </w:r>
      <w:r>
        <w:t>t/a</w:t>
      </w:r>
      <w:r>
        <w:rPr>
          <w:rFonts w:hint="eastAsia"/>
        </w:rPr>
        <w:t>、</w:t>
      </w:r>
      <w:r>
        <w:t>二甲苯</w:t>
      </w:r>
      <w:r>
        <w:rPr>
          <w:rFonts w:hint="eastAsia"/>
        </w:rPr>
        <w:t>5.4216</w:t>
      </w:r>
      <w:r>
        <w:t>t/a</w:t>
      </w:r>
      <w:r>
        <w:t>、甲苯</w:t>
      </w:r>
      <w:r>
        <w:rPr>
          <w:rFonts w:hint="eastAsia"/>
        </w:rPr>
        <w:t>2.3472</w:t>
      </w:r>
      <w:r>
        <w:t>t/a</w:t>
      </w:r>
      <w:r>
        <w:t>、苯</w:t>
      </w:r>
      <w:r>
        <w:rPr>
          <w:rFonts w:hint="eastAsia"/>
        </w:rPr>
        <w:t>0.1368</w:t>
      </w:r>
      <w:r>
        <w:t>t/a</w:t>
      </w:r>
      <w:r>
        <w:t>，污染物</w:t>
      </w:r>
      <w:r>
        <w:rPr>
          <w:rFonts w:hint="eastAsia"/>
        </w:rPr>
        <w:t>有组织</w:t>
      </w:r>
      <w:r>
        <w:t>排放量共计</w:t>
      </w:r>
      <w:r>
        <w:t>12.</w:t>
      </w:r>
      <w:r>
        <w:rPr>
          <w:rFonts w:hint="eastAsia"/>
        </w:rPr>
        <w:t>8016</w:t>
      </w:r>
      <w:r>
        <w:t>t/a</w:t>
      </w:r>
      <w:r>
        <w:t>。</w:t>
      </w:r>
      <w:r>
        <w:rPr>
          <w:rFonts w:hint="eastAsia"/>
          <w:b/>
          <w:u w:val="single"/>
        </w:rPr>
        <w:t>无组织废气</w:t>
      </w:r>
      <w:r>
        <w:rPr>
          <w:b/>
          <w:u w:val="single"/>
        </w:rPr>
        <w:t>排放量</w:t>
      </w:r>
      <w:r>
        <w:rPr>
          <w:rFonts w:hint="eastAsia"/>
          <w:b/>
          <w:u w:val="single"/>
        </w:rPr>
        <w:t>为</w:t>
      </w:r>
      <w:r>
        <w:rPr>
          <w:rFonts w:hint="eastAsia"/>
          <w:b/>
          <w:u w:val="single"/>
        </w:rPr>
        <w:t>6.5493</w:t>
      </w:r>
      <w:r>
        <w:rPr>
          <w:b/>
          <w:u w:val="single"/>
        </w:rPr>
        <w:t>t/a</w:t>
      </w:r>
      <w:r>
        <w:rPr>
          <w:rFonts w:hint="eastAsia"/>
          <w:b/>
          <w:u w:val="single"/>
        </w:rPr>
        <w:t>。现有工程废气</w:t>
      </w:r>
      <w:r>
        <w:rPr>
          <w:b/>
          <w:u w:val="single"/>
        </w:rPr>
        <w:t>排放量共计</w:t>
      </w:r>
      <w:r>
        <w:rPr>
          <w:rFonts w:hint="eastAsia"/>
          <w:b/>
          <w:u w:val="single"/>
        </w:rPr>
        <w:t>19.3509</w:t>
      </w:r>
      <w:r>
        <w:rPr>
          <w:b/>
          <w:u w:val="single"/>
        </w:rPr>
        <w:t>t/a</w:t>
      </w:r>
      <w:r>
        <w:rPr>
          <w:b/>
          <w:u w:val="single"/>
        </w:rPr>
        <w:t>。</w:t>
      </w:r>
    </w:p>
    <w:p w:rsidR="00EE56C0" w:rsidRDefault="000F36A1">
      <w:pPr>
        <w:pStyle w:val="4"/>
        <w:ind w:left="120" w:firstLine="241"/>
      </w:pPr>
      <w:r>
        <w:rPr>
          <w:rFonts w:hint="eastAsia"/>
        </w:rPr>
        <w:t>3.1.10.3</w:t>
      </w:r>
      <w:r>
        <w:rPr>
          <w:rFonts w:hint="eastAsia"/>
        </w:rPr>
        <w:t>现有项目噪声</w:t>
      </w:r>
    </w:p>
    <w:p w:rsidR="00EE56C0" w:rsidRDefault="000F36A1">
      <w:pPr>
        <w:spacing w:line="460" w:lineRule="exact"/>
        <w:ind w:firstLine="480"/>
      </w:pPr>
      <w:r>
        <w:rPr>
          <w:rFonts w:hint="eastAsia"/>
        </w:rPr>
        <w:t>现有工程主要高噪声设备为</w:t>
      </w:r>
      <w:r>
        <w:rPr>
          <w:rFonts w:hint="eastAsia"/>
          <w:szCs w:val="21"/>
        </w:rPr>
        <w:t>挤压机、大垃机、漆包机、纸包机等</w:t>
      </w:r>
      <w:r>
        <w:rPr>
          <w:rFonts w:hint="eastAsia"/>
        </w:rPr>
        <w:t>，</w:t>
      </w:r>
      <w:r>
        <w:rPr>
          <w:rFonts w:hint="eastAsia"/>
          <w:bCs/>
        </w:rPr>
        <w:t>采取设备减振、厂房隔声等措施后能够达标排放。</w:t>
      </w:r>
      <w:r>
        <w:t>根据</w:t>
      </w:r>
      <w:r>
        <w:rPr>
          <w:rFonts w:hint="eastAsia"/>
        </w:rPr>
        <w:t>河南人久检测技术服务有限公司</w:t>
      </w:r>
      <w:r>
        <w:t>202</w:t>
      </w:r>
      <w:r>
        <w:rPr>
          <w:rFonts w:hint="eastAsia"/>
        </w:rPr>
        <w:t>1</w:t>
      </w:r>
      <w:r>
        <w:t>年</w:t>
      </w:r>
      <w:r>
        <w:rPr>
          <w:rFonts w:hint="eastAsia"/>
        </w:rPr>
        <w:t>4</w:t>
      </w:r>
      <w:r>
        <w:t>月</w:t>
      </w:r>
      <w:r>
        <w:rPr>
          <w:rFonts w:hint="eastAsia"/>
        </w:rPr>
        <w:t>26</w:t>
      </w:r>
      <w:r>
        <w:t>日对厂界噪声的检测结果可知</w:t>
      </w:r>
      <w:r>
        <w:rPr>
          <w:rFonts w:hint="eastAsia"/>
        </w:rPr>
        <w:t>，</w:t>
      </w:r>
      <w:r>
        <w:t>各厂界昼间噪声值为</w:t>
      </w:r>
      <w:r>
        <w:rPr>
          <w:rFonts w:hint="eastAsia"/>
        </w:rPr>
        <w:t>54.5~57.4</w:t>
      </w:r>
      <w:r>
        <w:t>dB</w:t>
      </w:r>
      <w:r>
        <w:t>（</w:t>
      </w:r>
      <w:r>
        <w:t>A</w:t>
      </w:r>
      <w:r>
        <w:t>）</w:t>
      </w:r>
      <w:r>
        <w:rPr>
          <w:rFonts w:hint="eastAsia"/>
        </w:rPr>
        <w:t>，</w:t>
      </w:r>
      <w:r>
        <w:t>夜间噪声值</w:t>
      </w:r>
      <w:r>
        <w:rPr>
          <w:rFonts w:hint="eastAsia"/>
        </w:rPr>
        <w:t>44.8~47.5</w:t>
      </w:r>
      <w:r>
        <w:t>dB</w:t>
      </w:r>
      <w:r>
        <w:t>（</w:t>
      </w:r>
      <w:r>
        <w:t>A</w:t>
      </w:r>
      <w:r>
        <w:t>）</w:t>
      </w:r>
      <w:r>
        <w:rPr>
          <w:rFonts w:hint="eastAsia"/>
        </w:rPr>
        <w:t>，</w:t>
      </w:r>
      <w:r>
        <w:t>可以满足《工业企业厂界环境噪声排放标准》（</w:t>
      </w:r>
      <w:r>
        <w:t>GB12348-2008</w:t>
      </w:r>
      <w:r>
        <w:t>）</w:t>
      </w:r>
      <w:r>
        <w:rPr>
          <w:rFonts w:hint="eastAsia"/>
        </w:rPr>
        <w:t>3</w:t>
      </w:r>
      <w:r>
        <w:t>类标准</w:t>
      </w:r>
      <w:r>
        <w:rPr>
          <w:rFonts w:hint="eastAsia"/>
        </w:rPr>
        <w:t>昼间</w:t>
      </w:r>
      <w:r>
        <w:rPr>
          <w:rFonts w:hint="eastAsia"/>
        </w:rPr>
        <w:t>65</w:t>
      </w:r>
      <w:r>
        <w:t>dB</w:t>
      </w:r>
      <w:r>
        <w:t>（</w:t>
      </w:r>
      <w:r>
        <w:t>A</w:t>
      </w:r>
      <w:r>
        <w:t>）</w:t>
      </w:r>
      <w:r>
        <w:rPr>
          <w:rFonts w:hint="eastAsia"/>
        </w:rPr>
        <w:t>、</w:t>
      </w:r>
      <w:r>
        <w:t>夜间</w:t>
      </w:r>
      <w:r>
        <w:rPr>
          <w:rFonts w:hint="eastAsia"/>
        </w:rPr>
        <w:t>55</w:t>
      </w:r>
      <w:r>
        <w:t>dB</w:t>
      </w:r>
      <w:r>
        <w:t>（</w:t>
      </w:r>
      <w:r>
        <w:t>A</w:t>
      </w:r>
      <w:r>
        <w:t>）</w:t>
      </w:r>
      <w:r>
        <w:rPr>
          <w:rFonts w:hint="eastAsia"/>
        </w:rPr>
        <w:t>的限值</w:t>
      </w:r>
      <w:r>
        <w:t>要求。</w:t>
      </w:r>
    </w:p>
    <w:p w:rsidR="00EE56C0" w:rsidRDefault="000F36A1">
      <w:pPr>
        <w:pStyle w:val="4"/>
        <w:ind w:left="120" w:firstLine="241"/>
      </w:pPr>
      <w:r>
        <w:rPr>
          <w:rFonts w:hint="eastAsia"/>
        </w:rPr>
        <w:t>3.1.10.4</w:t>
      </w:r>
      <w:r>
        <w:rPr>
          <w:rFonts w:hint="eastAsia"/>
        </w:rPr>
        <w:t>现有项目固废</w:t>
      </w:r>
    </w:p>
    <w:p w:rsidR="00EE56C0" w:rsidRDefault="000F36A1">
      <w:pPr>
        <w:ind w:firstLine="480"/>
      </w:pPr>
      <w:r>
        <w:rPr>
          <w:rFonts w:hint="eastAsia"/>
        </w:rPr>
        <w:t>现有工程营运期一般固废主要为废包材、</w:t>
      </w:r>
      <w:r>
        <w:t>废铜线</w:t>
      </w:r>
      <w:r>
        <w:rPr>
          <w:rFonts w:hint="eastAsia"/>
        </w:rPr>
        <w:t>、</w:t>
      </w:r>
      <w:r>
        <w:t>废铜线</w:t>
      </w:r>
      <w:r>
        <w:rPr>
          <w:rFonts w:hint="eastAsia"/>
        </w:rPr>
        <w:t>及塑料残次品、废</w:t>
      </w:r>
      <w:r>
        <w:rPr>
          <w:rFonts w:hint="eastAsia"/>
        </w:rPr>
        <w:lastRenderedPageBreak/>
        <w:t>塑料</w:t>
      </w:r>
      <w:r>
        <w:rPr>
          <w:rFonts w:hAnsi="宋体"/>
        </w:rPr>
        <w:t>边角料</w:t>
      </w:r>
      <w:r>
        <w:rPr>
          <w:rFonts w:hAnsi="宋体" w:hint="eastAsia"/>
        </w:rPr>
        <w:t>、</w:t>
      </w:r>
      <w:r>
        <w:rPr>
          <w:rFonts w:hint="eastAsia"/>
        </w:rPr>
        <w:t>污水站</w:t>
      </w:r>
      <w:r>
        <w:t>污泥</w:t>
      </w:r>
      <w:r>
        <w:rPr>
          <w:rFonts w:hint="eastAsia"/>
        </w:rPr>
        <w:t>，危险废物主要为</w:t>
      </w:r>
      <w:r>
        <w:t>含铜废油泥</w:t>
      </w:r>
      <w:r>
        <w:rPr>
          <w:rFonts w:hint="eastAsia"/>
        </w:rPr>
        <w:t>、废拉丝油、漆包线</w:t>
      </w:r>
      <w:r>
        <w:t>废漆桶</w:t>
      </w:r>
      <w:r>
        <w:rPr>
          <w:rFonts w:hint="eastAsia"/>
        </w:rPr>
        <w:t>、废活性炭、废沸石分子筛、含漆料</w:t>
      </w:r>
      <w:r>
        <w:rPr>
          <w:rFonts w:hint="eastAsia"/>
        </w:rPr>
        <w:t>/</w:t>
      </w:r>
      <w:r>
        <w:rPr>
          <w:rFonts w:hint="eastAsia"/>
        </w:rPr>
        <w:t>油的废毛毡。</w:t>
      </w:r>
    </w:p>
    <w:p w:rsidR="00EE56C0" w:rsidRDefault="000F36A1">
      <w:pPr>
        <w:ind w:firstLine="480"/>
        <w:rPr>
          <w:snapToGrid w:val="0"/>
        </w:rPr>
      </w:pPr>
      <w:r>
        <w:rPr>
          <w:rFonts w:hint="eastAsia"/>
          <w:snapToGrid w:val="0"/>
        </w:rPr>
        <w:t>各类固废产生及处置措施见下表。</w:t>
      </w:r>
    </w:p>
    <w:p w:rsidR="00EE56C0" w:rsidRDefault="000F36A1">
      <w:pPr>
        <w:pStyle w:val="afd"/>
        <w:spacing w:before="120" w:after="120"/>
        <w:ind w:firstLine="482"/>
      </w:pPr>
      <w:r>
        <w:rPr>
          <w:rFonts w:hint="eastAsia"/>
        </w:rPr>
        <w:t>表</w:t>
      </w:r>
      <w:r>
        <w:rPr>
          <w:rFonts w:hint="eastAsia"/>
        </w:rPr>
        <w:t xml:space="preserve">3-10          </w:t>
      </w:r>
      <w:r>
        <w:rPr>
          <w:rFonts w:hint="eastAsia"/>
        </w:rPr>
        <w:t>现有工程固体废弃物产生及处置情况</w:t>
      </w:r>
    </w:p>
    <w:tbl>
      <w:tblPr>
        <w:tblW w:w="5000" w:type="pct"/>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ook w:val="04A0"/>
      </w:tblPr>
      <w:tblGrid>
        <w:gridCol w:w="821"/>
        <w:gridCol w:w="855"/>
        <w:gridCol w:w="1700"/>
        <w:gridCol w:w="1269"/>
        <w:gridCol w:w="1417"/>
        <w:gridCol w:w="2466"/>
      </w:tblGrid>
      <w:tr w:rsidR="00EE56C0">
        <w:trPr>
          <w:trHeight w:val="369"/>
        </w:trPr>
        <w:tc>
          <w:tcPr>
            <w:tcW w:w="481" w:type="pct"/>
            <w:tcMar>
              <w:top w:w="28" w:type="dxa"/>
              <w:bottom w:w="28" w:type="dxa"/>
            </w:tcMar>
            <w:vAlign w:val="center"/>
          </w:tcPr>
          <w:p w:rsidR="00EE56C0" w:rsidRDefault="000F36A1">
            <w:pPr>
              <w:pStyle w:val="aff1"/>
              <w:rPr>
                <w:color w:val="auto"/>
              </w:rPr>
            </w:pPr>
            <w:r>
              <w:rPr>
                <w:color w:val="auto"/>
              </w:rPr>
              <w:t>项目</w:t>
            </w:r>
          </w:p>
        </w:tc>
        <w:tc>
          <w:tcPr>
            <w:tcW w:w="501" w:type="pct"/>
            <w:tcMar>
              <w:top w:w="28" w:type="dxa"/>
              <w:bottom w:w="28" w:type="dxa"/>
            </w:tcMar>
            <w:vAlign w:val="center"/>
          </w:tcPr>
          <w:p w:rsidR="00EE56C0" w:rsidRDefault="000F36A1">
            <w:pPr>
              <w:pStyle w:val="aff1"/>
              <w:rPr>
                <w:color w:val="auto"/>
              </w:rPr>
            </w:pPr>
            <w:r>
              <w:rPr>
                <w:color w:val="auto"/>
              </w:rPr>
              <w:t>序号</w:t>
            </w:r>
          </w:p>
        </w:tc>
        <w:tc>
          <w:tcPr>
            <w:tcW w:w="997" w:type="pct"/>
            <w:tcMar>
              <w:top w:w="28" w:type="dxa"/>
              <w:bottom w:w="28" w:type="dxa"/>
            </w:tcMar>
            <w:vAlign w:val="center"/>
          </w:tcPr>
          <w:p w:rsidR="00EE56C0" w:rsidRDefault="000F36A1">
            <w:pPr>
              <w:pStyle w:val="aff1"/>
              <w:rPr>
                <w:color w:val="auto"/>
              </w:rPr>
            </w:pPr>
            <w:r>
              <w:rPr>
                <w:color w:val="auto"/>
              </w:rPr>
              <w:t>产污环节</w:t>
            </w:r>
          </w:p>
        </w:tc>
        <w:tc>
          <w:tcPr>
            <w:tcW w:w="744" w:type="pct"/>
            <w:tcBorders>
              <w:right w:val="single" w:sz="4" w:space="0" w:color="auto"/>
            </w:tcBorders>
            <w:tcMar>
              <w:top w:w="28" w:type="dxa"/>
              <w:bottom w:w="28" w:type="dxa"/>
            </w:tcMar>
            <w:vAlign w:val="center"/>
          </w:tcPr>
          <w:p w:rsidR="00EE56C0" w:rsidRDefault="000F36A1">
            <w:pPr>
              <w:pStyle w:val="aff1"/>
              <w:rPr>
                <w:color w:val="auto"/>
              </w:rPr>
            </w:pPr>
            <w:r>
              <w:rPr>
                <w:rFonts w:hint="eastAsia"/>
                <w:color w:val="auto"/>
              </w:rPr>
              <w:t>废物特性</w:t>
            </w:r>
          </w:p>
        </w:tc>
        <w:tc>
          <w:tcPr>
            <w:tcW w:w="831" w:type="pct"/>
            <w:tcBorders>
              <w:left w:val="single" w:sz="4" w:space="0" w:color="auto"/>
            </w:tcBorders>
            <w:vAlign w:val="center"/>
          </w:tcPr>
          <w:p w:rsidR="00EE56C0" w:rsidRDefault="000F36A1">
            <w:pPr>
              <w:pStyle w:val="aff1"/>
              <w:rPr>
                <w:color w:val="auto"/>
              </w:rPr>
            </w:pPr>
            <w:r>
              <w:rPr>
                <w:rFonts w:hint="eastAsia"/>
                <w:color w:val="auto"/>
              </w:rPr>
              <w:t>产生量（</w:t>
            </w:r>
            <w:r>
              <w:rPr>
                <w:rFonts w:hint="eastAsia"/>
                <w:color w:val="auto"/>
              </w:rPr>
              <w:t>t/a</w:t>
            </w:r>
            <w:r>
              <w:rPr>
                <w:rFonts w:hint="eastAsia"/>
                <w:color w:val="auto"/>
              </w:rPr>
              <w:t>）</w:t>
            </w:r>
          </w:p>
        </w:tc>
        <w:tc>
          <w:tcPr>
            <w:tcW w:w="1446" w:type="pct"/>
            <w:vAlign w:val="center"/>
          </w:tcPr>
          <w:p w:rsidR="00EE56C0" w:rsidRDefault="000F36A1">
            <w:pPr>
              <w:pStyle w:val="aff1"/>
              <w:rPr>
                <w:color w:val="auto"/>
              </w:rPr>
            </w:pPr>
            <w:r>
              <w:rPr>
                <w:rFonts w:hint="eastAsia"/>
                <w:color w:val="auto"/>
              </w:rPr>
              <w:t>治理措施</w:t>
            </w:r>
          </w:p>
        </w:tc>
      </w:tr>
      <w:tr w:rsidR="00EE56C0">
        <w:trPr>
          <w:trHeight w:val="369"/>
        </w:trPr>
        <w:tc>
          <w:tcPr>
            <w:tcW w:w="481" w:type="pct"/>
            <w:vMerge w:val="restart"/>
            <w:tcMar>
              <w:top w:w="28" w:type="dxa"/>
              <w:bottom w:w="28" w:type="dxa"/>
            </w:tcMar>
            <w:vAlign w:val="center"/>
          </w:tcPr>
          <w:p w:rsidR="00EE56C0" w:rsidRDefault="000F36A1">
            <w:pPr>
              <w:pStyle w:val="afa"/>
            </w:pPr>
            <w:r>
              <w:t>固体</w:t>
            </w:r>
          </w:p>
          <w:p w:rsidR="00EE56C0" w:rsidRDefault="000F36A1">
            <w:pPr>
              <w:pStyle w:val="afa"/>
            </w:pPr>
            <w:r>
              <w:t>废物</w:t>
            </w:r>
          </w:p>
        </w:tc>
        <w:tc>
          <w:tcPr>
            <w:tcW w:w="501" w:type="pct"/>
            <w:tcMar>
              <w:top w:w="28" w:type="dxa"/>
              <w:bottom w:w="28" w:type="dxa"/>
            </w:tcMar>
            <w:vAlign w:val="center"/>
          </w:tcPr>
          <w:p w:rsidR="00EE56C0" w:rsidRDefault="000F36A1">
            <w:pPr>
              <w:pStyle w:val="afa"/>
            </w:pPr>
            <w:r>
              <w:rPr>
                <w:rFonts w:hint="eastAsia"/>
              </w:rPr>
              <w:t>S1</w:t>
            </w:r>
          </w:p>
        </w:tc>
        <w:tc>
          <w:tcPr>
            <w:tcW w:w="997" w:type="pct"/>
            <w:tcMar>
              <w:top w:w="28" w:type="dxa"/>
              <w:bottom w:w="28" w:type="dxa"/>
            </w:tcMar>
            <w:vAlign w:val="center"/>
          </w:tcPr>
          <w:p w:rsidR="00EE56C0" w:rsidRDefault="000F36A1">
            <w:pPr>
              <w:pStyle w:val="afa"/>
            </w:pPr>
            <w:r>
              <w:rPr>
                <w:rFonts w:hint="eastAsia"/>
              </w:rPr>
              <w:t>废包材</w:t>
            </w:r>
          </w:p>
        </w:tc>
        <w:tc>
          <w:tcPr>
            <w:tcW w:w="744" w:type="pct"/>
            <w:vMerge w:val="restart"/>
            <w:tcBorders>
              <w:right w:val="single" w:sz="4" w:space="0" w:color="auto"/>
            </w:tcBorders>
            <w:tcMar>
              <w:top w:w="28" w:type="dxa"/>
              <w:bottom w:w="28" w:type="dxa"/>
            </w:tcMar>
            <w:vAlign w:val="center"/>
          </w:tcPr>
          <w:p w:rsidR="00EE56C0" w:rsidRDefault="000F36A1">
            <w:pPr>
              <w:pStyle w:val="afa"/>
            </w:pPr>
            <w:r>
              <w:rPr>
                <w:rFonts w:hint="eastAsia"/>
              </w:rPr>
              <w:t>一般固废</w:t>
            </w:r>
          </w:p>
        </w:tc>
        <w:tc>
          <w:tcPr>
            <w:tcW w:w="831" w:type="pct"/>
            <w:tcBorders>
              <w:left w:val="single" w:sz="4" w:space="0" w:color="auto"/>
            </w:tcBorders>
            <w:vAlign w:val="center"/>
          </w:tcPr>
          <w:p w:rsidR="00EE56C0" w:rsidRDefault="000F36A1">
            <w:pPr>
              <w:pStyle w:val="afa"/>
            </w:pPr>
            <w:r>
              <w:rPr>
                <w:rFonts w:hint="eastAsia"/>
              </w:rPr>
              <w:t>1.2</w:t>
            </w:r>
          </w:p>
        </w:tc>
        <w:tc>
          <w:tcPr>
            <w:tcW w:w="1446" w:type="pct"/>
            <w:vAlign w:val="center"/>
          </w:tcPr>
          <w:p w:rsidR="00EE56C0" w:rsidRDefault="000F36A1">
            <w:pPr>
              <w:pStyle w:val="afa"/>
            </w:pPr>
            <w:r>
              <w:t>集中收集后出售</w:t>
            </w:r>
          </w:p>
        </w:tc>
      </w:tr>
      <w:tr w:rsidR="00EE56C0">
        <w:trPr>
          <w:trHeight w:val="369"/>
        </w:trPr>
        <w:tc>
          <w:tcPr>
            <w:tcW w:w="481" w:type="pct"/>
            <w:vMerge/>
            <w:tcMar>
              <w:top w:w="28" w:type="dxa"/>
              <w:bottom w:w="28" w:type="dxa"/>
            </w:tcMar>
            <w:vAlign w:val="center"/>
          </w:tcPr>
          <w:p w:rsidR="00EE56C0" w:rsidRDefault="00EE56C0">
            <w:pPr>
              <w:pStyle w:val="afa"/>
            </w:pPr>
          </w:p>
        </w:tc>
        <w:tc>
          <w:tcPr>
            <w:tcW w:w="501" w:type="pct"/>
            <w:tcMar>
              <w:top w:w="28" w:type="dxa"/>
              <w:bottom w:w="28" w:type="dxa"/>
            </w:tcMar>
            <w:vAlign w:val="center"/>
          </w:tcPr>
          <w:p w:rsidR="00EE56C0" w:rsidRDefault="000F36A1">
            <w:pPr>
              <w:pStyle w:val="afa"/>
            </w:pPr>
            <w:r>
              <w:t>S2</w:t>
            </w:r>
          </w:p>
        </w:tc>
        <w:tc>
          <w:tcPr>
            <w:tcW w:w="997" w:type="pct"/>
            <w:tcMar>
              <w:top w:w="28" w:type="dxa"/>
              <w:bottom w:w="28" w:type="dxa"/>
            </w:tcMar>
            <w:vAlign w:val="center"/>
          </w:tcPr>
          <w:p w:rsidR="00EE56C0" w:rsidRDefault="000F36A1">
            <w:pPr>
              <w:pStyle w:val="afa"/>
            </w:pPr>
            <w:r>
              <w:t>废铜线</w:t>
            </w:r>
          </w:p>
        </w:tc>
        <w:tc>
          <w:tcPr>
            <w:tcW w:w="744" w:type="pct"/>
            <w:vMerge/>
            <w:tcBorders>
              <w:right w:val="single" w:sz="4" w:space="0" w:color="auto"/>
            </w:tcBorders>
            <w:tcMar>
              <w:top w:w="28" w:type="dxa"/>
              <w:bottom w:w="28" w:type="dxa"/>
            </w:tcMar>
            <w:vAlign w:val="center"/>
          </w:tcPr>
          <w:p w:rsidR="00EE56C0" w:rsidRDefault="00EE56C0">
            <w:pPr>
              <w:pStyle w:val="afa"/>
            </w:pPr>
          </w:p>
        </w:tc>
        <w:tc>
          <w:tcPr>
            <w:tcW w:w="831" w:type="pct"/>
            <w:tcBorders>
              <w:left w:val="single" w:sz="4" w:space="0" w:color="auto"/>
            </w:tcBorders>
            <w:vAlign w:val="center"/>
          </w:tcPr>
          <w:p w:rsidR="00EE56C0" w:rsidRDefault="000F36A1">
            <w:pPr>
              <w:pStyle w:val="afa"/>
            </w:pPr>
            <w:r>
              <w:rPr>
                <w:rFonts w:hint="eastAsia"/>
              </w:rPr>
              <w:t>169</w:t>
            </w:r>
          </w:p>
        </w:tc>
        <w:tc>
          <w:tcPr>
            <w:tcW w:w="1446" w:type="pct"/>
            <w:vAlign w:val="center"/>
          </w:tcPr>
          <w:p w:rsidR="00EE56C0" w:rsidRDefault="000F36A1">
            <w:pPr>
              <w:pStyle w:val="afa"/>
            </w:pPr>
            <w:r>
              <w:t>集中收集后出售</w:t>
            </w:r>
          </w:p>
        </w:tc>
      </w:tr>
      <w:tr w:rsidR="00EE56C0">
        <w:trPr>
          <w:trHeight w:val="369"/>
        </w:trPr>
        <w:tc>
          <w:tcPr>
            <w:tcW w:w="481" w:type="pct"/>
            <w:vMerge/>
            <w:tcMar>
              <w:top w:w="28" w:type="dxa"/>
              <w:bottom w:w="28" w:type="dxa"/>
            </w:tcMar>
            <w:vAlign w:val="center"/>
          </w:tcPr>
          <w:p w:rsidR="00EE56C0" w:rsidRDefault="00EE56C0">
            <w:pPr>
              <w:pStyle w:val="afa"/>
            </w:pPr>
          </w:p>
        </w:tc>
        <w:tc>
          <w:tcPr>
            <w:tcW w:w="501" w:type="pct"/>
            <w:tcMar>
              <w:top w:w="28" w:type="dxa"/>
              <w:bottom w:w="28" w:type="dxa"/>
            </w:tcMar>
            <w:vAlign w:val="center"/>
          </w:tcPr>
          <w:p w:rsidR="00EE56C0" w:rsidRDefault="000F36A1">
            <w:pPr>
              <w:pStyle w:val="afa"/>
            </w:pPr>
            <w:r>
              <w:t>S3</w:t>
            </w:r>
          </w:p>
        </w:tc>
        <w:tc>
          <w:tcPr>
            <w:tcW w:w="997" w:type="pct"/>
            <w:tcMar>
              <w:top w:w="28" w:type="dxa"/>
              <w:bottom w:w="28" w:type="dxa"/>
            </w:tcMar>
            <w:vAlign w:val="center"/>
          </w:tcPr>
          <w:p w:rsidR="00EE56C0" w:rsidRDefault="000F36A1">
            <w:pPr>
              <w:pStyle w:val="afa"/>
            </w:pPr>
            <w:r>
              <w:rPr>
                <w:rFonts w:hint="eastAsia"/>
              </w:rPr>
              <w:t>残次品</w:t>
            </w:r>
          </w:p>
        </w:tc>
        <w:tc>
          <w:tcPr>
            <w:tcW w:w="744" w:type="pct"/>
            <w:vMerge/>
            <w:tcBorders>
              <w:right w:val="single" w:sz="4" w:space="0" w:color="auto"/>
            </w:tcBorders>
            <w:tcMar>
              <w:top w:w="28" w:type="dxa"/>
              <w:bottom w:w="28" w:type="dxa"/>
            </w:tcMar>
            <w:vAlign w:val="center"/>
          </w:tcPr>
          <w:p w:rsidR="00EE56C0" w:rsidRDefault="00EE56C0">
            <w:pPr>
              <w:pStyle w:val="afa"/>
            </w:pPr>
          </w:p>
        </w:tc>
        <w:tc>
          <w:tcPr>
            <w:tcW w:w="831" w:type="pct"/>
            <w:tcBorders>
              <w:left w:val="single" w:sz="4" w:space="0" w:color="auto"/>
            </w:tcBorders>
            <w:vAlign w:val="center"/>
          </w:tcPr>
          <w:p w:rsidR="00EE56C0" w:rsidRDefault="000F36A1">
            <w:pPr>
              <w:pStyle w:val="afa"/>
            </w:pPr>
            <w:r>
              <w:rPr>
                <w:rFonts w:hint="eastAsia"/>
              </w:rPr>
              <w:t>5</w:t>
            </w:r>
          </w:p>
        </w:tc>
        <w:tc>
          <w:tcPr>
            <w:tcW w:w="1446" w:type="pct"/>
            <w:vAlign w:val="center"/>
          </w:tcPr>
          <w:p w:rsidR="00EE56C0" w:rsidRDefault="000F36A1">
            <w:pPr>
              <w:pStyle w:val="afa"/>
            </w:pPr>
            <w:r>
              <w:t>集中收集后出售</w:t>
            </w:r>
          </w:p>
        </w:tc>
      </w:tr>
      <w:tr w:rsidR="00EE56C0">
        <w:trPr>
          <w:trHeight w:val="369"/>
        </w:trPr>
        <w:tc>
          <w:tcPr>
            <w:tcW w:w="481" w:type="pct"/>
            <w:vMerge/>
            <w:tcMar>
              <w:top w:w="28" w:type="dxa"/>
              <w:bottom w:w="28" w:type="dxa"/>
            </w:tcMar>
            <w:vAlign w:val="center"/>
          </w:tcPr>
          <w:p w:rsidR="00EE56C0" w:rsidRDefault="00EE56C0">
            <w:pPr>
              <w:pStyle w:val="afa"/>
            </w:pPr>
          </w:p>
        </w:tc>
        <w:tc>
          <w:tcPr>
            <w:tcW w:w="501" w:type="pct"/>
            <w:tcMar>
              <w:top w:w="28" w:type="dxa"/>
              <w:bottom w:w="28" w:type="dxa"/>
            </w:tcMar>
            <w:vAlign w:val="center"/>
          </w:tcPr>
          <w:p w:rsidR="00EE56C0" w:rsidRDefault="000F36A1">
            <w:pPr>
              <w:pStyle w:val="afa"/>
            </w:pPr>
            <w:r>
              <w:t>S4</w:t>
            </w:r>
          </w:p>
        </w:tc>
        <w:tc>
          <w:tcPr>
            <w:tcW w:w="997" w:type="pct"/>
            <w:tcMar>
              <w:top w:w="28" w:type="dxa"/>
              <w:bottom w:w="28" w:type="dxa"/>
            </w:tcMar>
            <w:vAlign w:val="center"/>
          </w:tcPr>
          <w:p w:rsidR="00EE56C0" w:rsidRDefault="000F36A1">
            <w:pPr>
              <w:pStyle w:val="afa"/>
            </w:pPr>
            <w:r>
              <w:rPr>
                <w:rFonts w:hint="eastAsia"/>
              </w:rPr>
              <w:t>污水站</w:t>
            </w:r>
            <w:r>
              <w:t>污泥</w:t>
            </w:r>
          </w:p>
        </w:tc>
        <w:tc>
          <w:tcPr>
            <w:tcW w:w="744" w:type="pct"/>
            <w:vMerge/>
            <w:tcBorders>
              <w:right w:val="single" w:sz="4" w:space="0" w:color="auto"/>
            </w:tcBorders>
            <w:tcMar>
              <w:top w:w="28" w:type="dxa"/>
              <w:bottom w:w="28" w:type="dxa"/>
            </w:tcMar>
            <w:vAlign w:val="center"/>
          </w:tcPr>
          <w:p w:rsidR="00EE56C0" w:rsidRDefault="00EE56C0">
            <w:pPr>
              <w:pStyle w:val="afa"/>
            </w:pPr>
          </w:p>
        </w:tc>
        <w:tc>
          <w:tcPr>
            <w:tcW w:w="831" w:type="pct"/>
            <w:tcBorders>
              <w:left w:val="single" w:sz="4" w:space="0" w:color="auto"/>
            </w:tcBorders>
            <w:vAlign w:val="center"/>
          </w:tcPr>
          <w:p w:rsidR="00EE56C0" w:rsidRDefault="000F36A1">
            <w:pPr>
              <w:pStyle w:val="afa"/>
            </w:pPr>
            <w:r>
              <w:rPr>
                <w:rFonts w:hint="eastAsia"/>
              </w:rPr>
              <w:t>1.78</w:t>
            </w:r>
          </w:p>
        </w:tc>
        <w:tc>
          <w:tcPr>
            <w:tcW w:w="1446" w:type="pct"/>
            <w:vAlign w:val="center"/>
          </w:tcPr>
          <w:p w:rsidR="00EE56C0" w:rsidRDefault="000F36A1">
            <w:pPr>
              <w:pStyle w:val="afa"/>
            </w:pPr>
            <w:r>
              <w:rPr>
                <w:rFonts w:hint="eastAsia"/>
                <w:kern w:val="36"/>
              </w:rPr>
              <w:t>板框压滤、污泥间暂存后送垃圾填埋场填埋</w:t>
            </w:r>
          </w:p>
        </w:tc>
      </w:tr>
      <w:tr w:rsidR="00EE56C0">
        <w:trPr>
          <w:trHeight w:val="369"/>
        </w:trPr>
        <w:tc>
          <w:tcPr>
            <w:tcW w:w="481" w:type="pct"/>
            <w:vMerge/>
            <w:tcMar>
              <w:top w:w="28" w:type="dxa"/>
              <w:bottom w:w="28" w:type="dxa"/>
            </w:tcMar>
            <w:vAlign w:val="center"/>
          </w:tcPr>
          <w:p w:rsidR="00EE56C0" w:rsidRDefault="00EE56C0">
            <w:pPr>
              <w:pStyle w:val="afa"/>
            </w:pPr>
          </w:p>
        </w:tc>
        <w:tc>
          <w:tcPr>
            <w:tcW w:w="501" w:type="pct"/>
            <w:tcMar>
              <w:top w:w="28" w:type="dxa"/>
              <w:bottom w:w="28" w:type="dxa"/>
            </w:tcMar>
            <w:vAlign w:val="center"/>
          </w:tcPr>
          <w:p w:rsidR="00EE56C0" w:rsidRDefault="000F36A1">
            <w:pPr>
              <w:pStyle w:val="afa"/>
            </w:pPr>
            <w:r>
              <w:rPr>
                <w:rFonts w:hint="eastAsia"/>
              </w:rPr>
              <w:t>S5</w:t>
            </w:r>
          </w:p>
        </w:tc>
        <w:tc>
          <w:tcPr>
            <w:tcW w:w="997" w:type="pct"/>
            <w:tcMar>
              <w:top w:w="28" w:type="dxa"/>
              <w:bottom w:w="28" w:type="dxa"/>
            </w:tcMar>
            <w:vAlign w:val="center"/>
          </w:tcPr>
          <w:p w:rsidR="00EE56C0" w:rsidRDefault="000F36A1">
            <w:pPr>
              <w:pStyle w:val="afa"/>
            </w:pPr>
            <w:r>
              <w:t>含铜废油泥</w:t>
            </w:r>
          </w:p>
        </w:tc>
        <w:tc>
          <w:tcPr>
            <w:tcW w:w="744" w:type="pct"/>
            <w:vMerge w:val="restart"/>
            <w:tcBorders>
              <w:right w:val="single" w:sz="4" w:space="0" w:color="auto"/>
            </w:tcBorders>
            <w:tcMar>
              <w:top w:w="28" w:type="dxa"/>
              <w:bottom w:w="28" w:type="dxa"/>
            </w:tcMar>
            <w:vAlign w:val="center"/>
          </w:tcPr>
          <w:p w:rsidR="00EE56C0" w:rsidRDefault="000F36A1">
            <w:pPr>
              <w:pStyle w:val="afa"/>
            </w:pPr>
            <w:r>
              <w:rPr>
                <w:rFonts w:hint="eastAsia"/>
              </w:rPr>
              <w:t>危险废物</w:t>
            </w:r>
          </w:p>
        </w:tc>
        <w:tc>
          <w:tcPr>
            <w:tcW w:w="831" w:type="pct"/>
            <w:tcBorders>
              <w:left w:val="single" w:sz="4" w:space="0" w:color="auto"/>
            </w:tcBorders>
            <w:vAlign w:val="center"/>
          </w:tcPr>
          <w:p w:rsidR="00EE56C0" w:rsidRDefault="000F36A1">
            <w:pPr>
              <w:pStyle w:val="afa"/>
            </w:pPr>
            <w:r>
              <w:rPr>
                <w:rFonts w:hint="eastAsia"/>
              </w:rPr>
              <w:t>14.2</w:t>
            </w:r>
          </w:p>
        </w:tc>
        <w:tc>
          <w:tcPr>
            <w:tcW w:w="1446" w:type="pct"/>
            <w:vMerge w:val="restart"/>
            <w:vAlign w:val="center"/>
          </w:tcPr>
          <w:p w:rsidR="00EE56C0" w:rsidRDefault="000F36A1">
            <w:pPr>
              <w:pStyle w:val="afa"/>
            </w:pPr>
            <w:r>
              <w:t>专用容器收集，在危废储存间分类暂存</w:t>
            </w:r>
            <w:r>
              <w:rPr>
                <w:rFonts w:hint="eastAsia"/>
              </w:rPr>
              <w:t>，</w:t>
            </w:r>
            <w:r>
              <w:t>定期送有</w:t>
            </w:r>
            <w:r>
              <w:rPr>
                <w:rFonts w:hint="eastAsia"/>
              </w:rPr>
              <w:t>相应</w:t>
            </w:r>
            <w:r>
              <w:t>危废</w:t>
            </w:r>
            <w:r>
              <w:rPr>
                <w:rFonts w:hint="eastAsia"/>
              </w:rPr>
              <w:t>处置</w:t>
            </w:r>
            <w:r>
              <w:t>资质的单位</w:t>
            </w:r>
            <w:r>
              <w:rPr>
                <w:rFonts w:hint="eastAsia"/>
              </w:rPr>
              <w:t>处置</w:t>
            </w:r>
          </w:p>
        </w:tc>
      </w:tr>
      <w:tr w:rsidR="00EE56C0">
        <w:trPr>
          <w:trHeight w:val="369"/>
        </w:trPr>
        <w:tc>
          <w:tcPr>
            <w:tcW w:w="481" w:type="pct"/>
            <w:vMerge/>
            <w:tcMar>
              <w:top w:w="28" w:type="dxa"/>
              <w:bottom w:w="28" w:type="dxa"/>
            </w:tcMar>
            <w:vAlign w:val="center"/>
          </w:tcPr>
          <w:p w:rsidR="00EE56C0" w:rsidRDefault="00EE56C0">
            <w:pPr>
              <w:pStyle w:val="afa"/>
            </w:pPr>
          </w:p>
        </w:tc>
        <w:tc>
          <w:tcPr>
            <w:tcW w:w="501" w:type="pct"/>
            <w:tcMar>
              <w:top w:w="28" w:type="dxa"/>
              <w:bottom w:w="28" w:type="dxa"/>
            </w:tcMar>
            <w:vAlign w:val="center"/>
          </w:tcPr>
          <w:p w:rsidR="00EE56C0" w:rsidRDefault="000F36A1">
            <w:pPr>
              <w:pStyle w:val="afa"/>
            </w:pPr>
            <w:r>
              <w:rPr>
                <w:rFonts w:hint="eastAsia"/>
              </w:rPr>
              <w:t>S6</w:t>
            </w:r>
          </w:p>
        </w:tc>
        <w:tc>
          <w:tcPr>
            <w:tcW w:w="997" w:type="pct"/>
            <w:tcMar>
              <w:top w:w="28" w:type="dxa"/>
              <w:bottom w:w="28" w:type="dxa"/>
            </w:tcMar>
            <w:vAlign w:val="center"/>
          </w:tcPr>
          <w:p w:rsidR="00EE56C0" w:rsidRDefault="000F36A1">
            <w:pPr>
              <w:pStyle w:val="afa"/>
            </w:pPr>
            <w:r>
              <w:rPr>
                <w:rFonts w:hint="eastAsia"/>
              </w:rPr>
              <w:t>废拉丝液</w:t>
            </w:r>
          </w:p>
        </w:tc>
        <w:tc>
          <w:tcPr>
            <w:tcW w:w="744" w:type="pct"/>
            <w:vMerge/>
            <w:tcBorders>
              <w:right w:val="single" w:sz="4" w:space="0" w:color="auto"/>
            </w:tcBorders>
            <w:tcMar>
              <w:top w:w="28" w:type="dxa"/>
              <w:bottom w:w="28" w:type="dxa"/>
            </w:tcMar>
            <w:vAlign w:val="center"/>
          </w:tcPr>
          <w:p w:rsidR="00EE56C0" w:rsidRDefault="00EE56C0">
            <w:pPr>
              <w:pStyle w:val="afa"/>
            </w:pPr>
          </w:p>
        </w:tc>
        <w:tc>
          <w:tcPr>
            <w:tcW w:w="831" w:type="pct"/>
            <w:tcBorders>
              <w:left w:val="single" w:sz="4" w:space="0" w:color="auto"/>
            </w:tcBorders>
            <w:vAlign w:val="center"/>
          </w:tcPr>
          <w:p w:rsidR="00EE56C0" w:rsidRDefault="000F36A1">
            <w:pPr>
              <w:pStyle w:val="afa"/>
            </w:pPr>
            <w:r>
              <w:rPr>
                <w:rFonts w:hint="eastAsia"/>
              </w:rPr>
              <w:t>100</w:t>
            </w:r>
          </w:p>
        </w:tc>
        <w:tc>
          <w:tcPr>
            <w:tcW w:w="1446" w:type="pct"/>
            <w:vMerge/>
            <w:vAlign w:val="center"/>
          </w:tcPr>
          <w:p w:rsidR="00EE56C0" w:rsidRDefault="00EE56C0">
            <w:pPr>
              <w:pStyle w:val="afa"/>
            </w:pPr>
          </w:p>
        </w:tc>
      </w:tr>
      <w:tr w:rsidR="00EE56C0">
        <w:trPr>
          <w:trHeight w:val="369"/>
        </w:trPr>
        <w:tc>
          <w:tcPr>
            <w:tcW w:w="481" w:type="pct"/>
            <w:vMerge/>
            <w:tcMar>
              <w:top w:w="28" w:type="dxa"/>
              <w:bottom w:w="28" w:type="dxa"/>
            </w:tcMar>
            <w:vAlign w:val="center"/>
          </w:tcPr>
          <w:p w:rsidR="00EE56C0" w:rsidRDefault="00EE56C0">
            <w:pPr>
              <w:pStyle w:val="afa"/>
            </w:pPr>
          </w:p>
        </w:tc>
        <w:tc>
          <w:tcPr>
            <w:tcW w:w="501" w:type="pct"/>
            <w:tcMar>
              <w:top w:w="28" w:type="dxa"/>
              <w:bottom w:w="28" w:type="dxa"/>
            </w:tcMar>
            <w:vAlign w:val="center"/>
          </w:tcPr>
          <w:p w:rsidR="00EE56C0" w:rsidRDefault="000F36A1">
            <w:pPr>
              <w:pStyle w:val="afa"/>
            </w:pPr>
            <w:r>
              <w:t>S</w:t>
            </w:r>
            <w:r>
              <w:rPr>
                <w:rFonts w:hint="eastAsia"/>
              </w:rPr>
              <w:t>7</w:t>
            </w:r>
          </w:p>
        </w:tc>
        <w:tc>
          <w:tcPr>
            <w:tcW w:w="997" w:type="pct"/>
            <w:tcMar>
              <w:top w:w="28" w:type="dxa"/>
              <w:bottom w:w="28" w:type="dxa"/>
            </w:tcMar>
            <w:vAlign w:val="center"/>
          </w:tcPr>
          <w:p w:rsidR="00EE56C0" w:rsidRDefault="000F36A1">
            <w:pPr>
              <w:pStyle w:val="afa"/>
            </w:pPr>
            <w:r>
              <w:rPr>
                <w:rFonts w:hint="eastAsia"/>
              </w:rPr>
              <w:t>丝包线废</w:t>
            </w:r>
            <w:r>
              <w:t>漆桶</w:t>
            </w:r>
          </w:p>
        </w:tc>
        <w:tc>
          <w:tcPr>
            <w:tcW w:w="744" w:type="pct"/>
            <w:vMerge/>
            <w:tcBorders>
              <w:right w:val="single" w:sz="4" w:space="0" w:color="auto"/>
            </w:tcBorders>
            <w:tcMar>
              <w:top w:w="28" w:type="dxa"/>
              <w:bottom w:w="28" w:type="dxa"/>
            </w:tcMar>
            <w:vAlign w:val="center"/>
          </w:tcPr>
          <w:p w:rsidR="00EE56C0" w:rsidRDefault="00EE56C0">
            <w:pPr>
              <w:pStyle w:val="afa"/>
            </w:pPr>
          </w:p>
        </w:tc>
        <w:tc>
          <w:tcPr>
            <w:tcW w:w="831" w:type="pct"/>
            <w:tcBorders>
              <w:left w:val="single" w:sz="4" w:space="0" w:color="auto"/>
            </w:tcBorders>
            <w:vAlign w:val="center"/>
          </w:tcPr>
          <w:p w:rsidR="00EE56C0" w:rsidRDefault="000F36A1">
            <w:pPr>
              <w:pStyle w:val="afa"/>
            </w:pPr>
            <w:r>
              <w:rPr>
                <w:rFonts w:hint="eastAsia"/>
              </w:rPr>
              <w:t>5</w:t>
            </w:r>
          </w:p>
        </w:tc>
        <w:tc>
          <w:tcPr>
            <w:tcW w:w="1446" w:type="pct"/>
            <w:vMerge/>
            <w:vAlign w:val="center"/>
          </w:tcPr>
          <w:p w:rsidR="00EE56C0" w:rsidRDefault="00EE56C0">
            <w:pPr>
              <w:pStyle w:val="afa"/>
            </w:pPr>
          </w:p>
        </w:tc>
      </w:tr>
      <w:tr w:rsidR="00EE56C0">
        <w:trPr>
          <w:trHeight w:val="369"/>
        </w:trPr>
        <w:tc>
          <w:tcPr>
            <w:tcW w:w="481" w:type="pct"/>
            <w:vMerge/>
            <w:tcMar>
              <w:top w:w="28" w:type="dxa"/>
              <w:bottom w:w="28" w:type="dxa"/>
            </w:tcMar>
            <w:vAlign w:val="center"/>
          </w:tcPr>
          <w:p w:rsidR="00EE56C0" w:rsidRDefault="00EE56C0">
            <w:pPr>
              <w:pStyle w:val="afa"/>
            </w:pPr>
          </w:p>
        </w:tc>
        <w:tc>
          <w:tcPr>
            <w:tcW w:w="501" w:type="pct"/>
            <w:tcMar>
              <w:top w:w="28" w:type="dxa"/>
              <w:bottom w:w="28" w:type="dxa"/>
            </w:tcMar>
            <w:vAlign w:val="center"/>
          </w:tcPr>
          <w:p w:rsidR="00EE56C0" w:rsidRDefault="000F36A1">
            <w:pPr>
              <w:pStyle w:val="afa"/>
            </w:pPr>
            <w:r>
              <w:rPr>
                <w:rFonts w:hint="eastAsia"/>
              </w:rPr>
              <w:t>S8</w:t>
            </w:r>
          </w:p>
        </w:tc>
        <w:tc>
          <w:tcPr>
            <w:tcW w:w="997" w:type="pct"/>
            <w:tcMar>
              <w:top w:w="28" w:type="dxa"/>
              <w:bottom w:w="28" w:type="dxa"/>
            </w:tcMar>
            <w:vAlign w:val="center"/>
          </w:tcPr>
          <w:p w:rsidR="00EE56C0" w:rsidRDefault="000F36A1">
            <w:pPr>
              <w:pStyle w:val="afa"/>
            </w:pPr>
            <w:r>
              <w:rPr>
                <w:rFonts w:hint="eastAsia"/>
              </w:rPr>
              <w:t>废活性炭</w:t>
            </w:r>
          </w:p>
        </w:tc>
        <w:tc>
          <w:tcPr>
            <w:tcW w:w="744" w:type="pct"/>
            <w:vMerge/>
            <w:tcBorders>
              <w:right w:val="single" w:sz="4" w:space="0" w:color="auto"/>
            </w:tcBorders>
            <w:tcMar>
              <w:top w:w="28" w:type="dxa"/>
              <w:bottom w:w="28" w:type="dxa"/>
            </w:tcMar>
            <w:vAlign w:val="center"/>
          </w:tcPr>
          <w:p w:rsidR="00EE56C0" w:rsidRDefault="00EE56C0">
            <w:pPr>
              <w:pStyle w:val="afa"/>
            </w:pPr>
          </w:p>
        </w:tc>
        <w:tc>
          <w:tcPr>
            <w:tcW w:w="831" w:type="pct"/>
            <w:tcBorders>
              <w:left w:val="single" w:sz="4" w:space="0" w:color="auto"/>
            </w:tcBorders>
            <w:vAlign w:val="center"/>
          </w:tcPr>
          <w:p w:rsidR="00EE56C0" w:rsidRDefault="000F36A1">
            <w:pPr>
              <w:pStyle w:val="afa"/>
            </w:pPr>
            <w:r>
              <w:rPr>
                <w:rFonts w:hint="eastAsia"/>
              </w:rPr>
              <w:t>2.5</w:t>
            </w:r>
          </w:p>
        </w:tc>
        <w:tc>
          <w:tcPr>
            <w:tcW w:w="1446" w:type="pct"/>
            <w:vMerge/>
            <w:vAlign w:val="center"/>
          </w:tcPr>
          <w:p w:rsidR="00EE56C0" w:rsidRDefault="00EE56C0">
            <w:pPr>
              <w:pStyle w:val="afa"/>
            </w:pPr>
          </w:p>
        </w:tc>
      </w:tr>
      <w:tr w:rsidR="00EE56C0">
        <w:trPr>
          <w:trHeight w:val="369"/>
        </w:trPr>
        <w:tc>
          <w:tcPr>
            <w:tcW w:w="481" w:type="pct"/>
            <w:vMerge/>
            <w:tcMar>
              <w:top w:w="28" w:type="dxa"/>
              <w:bottom w:w="28" w:type="dxa"/>
            </w:tcMar>
            <w:vAlign w:val="center"/>
          </w:tcPr>
          <w:p w:rsidR="00EE56C0" w:rsidRDefault="00EE56C0">
            <w:pPr>
              <w:pStyle w:val="afa"/>
            </w:pPr>
          </w:p>
        </w:tc>
        <w:tc>
          <w:tcPr>
            <w:tcW w:w="501" w:type="pct"/>
            <w:tcMar>
              <w:top w:w="28" w:type="dxa"/>
              <w:bottom w:w="28" w:type="dxa"/>
            </w:tcMar>
            <w:vAlign w:val="center"/>
          </w:tcPr>
          <w:p w:rsidR="00EE56C0" w:rsidRDefault="000F36A1">
            <w:pPr>
              <w:pStyle w:val="afa"/>
            </w:pPr>
            <w:r>
              <w:rPr>
                <w:rFonts w:hint="eastAsia"/>
              </w:rPr>
              <w:t>S9</w:t>
            </w:r>
          </w:p>
        </w:tc>
        <w:tc>
          <w:tcPr>
            <w:tcW w:w="997" w:type="pct"/>
            <w:tcMar>
              <w:top w:w="28" w:type="dxa"/>
              <w:bottom w:w="28" w:type="dxa"/>
            </w:tcMar>
            <w:vAlign w:val="center"/>
          </w:tcPr>
          <w:p w:rsidR="00EE56C0" w:rsidRDefault="000F36A1">
            <w:pPr>
              <w:pStyle w:val="afa"/>
            </w:pPr>
            <w:r>
              <w:t>废催化剂</w:t>
            </w:r>
          </w:p>
        </w:tc>
        <w:tc>
          <w:tcPr>
            <w:tcW w:w="744" w:type="pct"/>
            <w:vMerge/>
            <w:tcBorders>
              <w:right w:val="single" w:sz="4" w:space="0" w:color="auto"/>
            </w:tcBorders>
            <w:tcMar>
              <w:top w:w="28" w:type="dxa"/>
              <w:bottom w:w="28" w:type="dxa"/>
            </w:tcMar>
            <w:vAlign w:val="center"/>
          </w:tcPr>
          <w:p w:rsidR="00EE56C0" w:rsidRDefault="00EE56C0">
            <w:pPr>
              <w:pStyle w:val="afa"/>
            </w:pPr>
          </w:p>
        </w:tc>
        <w:tc>
          <w:tcPr>
            <w:tcW w:w="831" w:type="pct"/>
            <w:tcBorders>
              <w:left w:val="single" w:sz="4" w:space="0" w:color="auto"/>
            </w:tcBorders>
            <w:vAlign w:val="center"/>
          </w:tcPr>
          <w:p w:rsidR="00EE56C0" w:rsidRDefault="000F36A1">
            <w:pPr>
              <w:pStyle w:val="afa"/>
            </w:pPr>
            <w:r>
              <w:rPr>
                <w:rFonts w:hint="eastAsia"/>
              </w:rPr>
              <w:t>1.2</w:t>
            </w:r>
          </w:p>
        </w:tc>
        <w:tc>
          <w:tcPr>
            <w:tcW w:w="1446" w:type="pct"/>
            <w:vMerge/>
            <w:vAlign w:val="center"/>
          </w:tcPr>
          <w:p w:rsidR="00EE56C0" w:rsidRDefault="00EE56C0">
            <w:pPr>
              <w:pStyle w:val="afa"/>
            </w:pPr>
          </w:p>
        </w:tc>
      </w:tr>
      <w:tr w:rsidR="00EE56C0">
        <w:trPr>
          <w:trHeight w:val="369"/>
        </w:trPr>
        <w:tc>
          <w:tcPr>
            <w:tcW w:w="481" w:type="pct"/>
            <w:vMerge/>
            <w:tcMar>
              <w:top w:w="28" w:type="dxa"/>
              <w:bottom w:w="28" w:type="dxa"/>
            </w:tcMar>
            <w:vAlign w:val="center"/>
          </w:tcPr>
          <w:p w:rsidR="00EE56C0" w:rsidRDefault="00EE56C0">
            <w:pPr>
              <w:pStyle w:val="afa"/>
            </w:pPr>
          </w:p>
        </w:tc>
        <w:tc>
          <w:tcPr>
            <w:tcW w:w="501" w:type="pct"/>
            <w:tcMar>
              <w:top w:w="28" w:type="dxa"/>
              <w:bottom w:w="28" w:type="dxa"/>
            </w:tcMar>
            <w:vAlign w:val="center"/>
          </w:tcPr>
          <w:p w:rsidR="00EE56C0" w:rsidRDefault="000F36A1">
            <w:pPr>
              <w:pStyle w:val="afa"/>
            </w:pPr>
            <w:r>
              <w:rPr>
                <w:rFonts w:hint="eastAsia"/>
              </w:rPr>
              <w:t>S10</w:t>
            </w:r>
          </w:p>
        </w:tc>
        <w:tc>
          <w:tcPr>
            <w:tcW w:w="997" w:type="pct"/>
            <w:tcMar>
              <w:top w:w="28" w:type="dxa"/>
              <w:bottom w:w="28" w:type="dxa"/>
            </w:tcMar>
            <w:vAlign w:val="center"/>
          </w:tcPr>
          <w:p w:rsidR="00EE56C0" w:rsidRDefault="000F36A1">
            <w:pPr>
              <w:pStyle w:val="afa"/>
            </w:pPr>
            <w:r>
              <w:rPr>
                <w:rFonts w:hint="eastAsia"/>
              </w:rPr>
              <w:t>废沸石分子筛</w:t>
            </w:r>
          </w:p>
        </w:tc>
        <w:tc>
          <w:tcPr>
            <w:tcW w:w="744" w:type="pct"/>
            <w:vMerge/>
            <w:tcBorders>
              <w:right w:val="single" w:sz="4" w:space="0" w:color="auto"/>
            </w:tcBorders>
            <w:tcMar>
              <w:top w:w="28" w:type="dxa"/>
              <w:bottom w:w="28" w:type="dxa"/>
            </w:tcMar>
            <w:vAlign w:val="center"/>
          </w:tcPr>
          <w:p w:rsidR="00EE56C0" w:rsidRDefault="00EE56C0">
            <w:pPr>
              <w:pStyle w:val="afa"/>
            </w:pPr>
          </w:p>
        </w:tc>
        <w:tc>
          <w:tcPr>
            <w:tcW w:w="831" w:type="pct"/>
            <w:tcBorders>
              <w:left w:val="single" w:sz="4" w:space="0" w:color="auto"/>
            </w:tcBorders>
            <w:vAlign w:val="center"/>
          </w:tcPr>
          <w:p w:rsidR="00EE56C0" w:rsidRDefault="000F36A1">
            <w:pPr>
              <w:pStyle w:val="afa"/>
            </w:pPr>
            <w:r>
              <w:rPr>
                <w:rFonts w:hint="eastAsia"/>
              </w:rPr>
              <w:t>/</w:t>
            </w:r>
          </w:p>
        </w:tc>
        <w:tc>
          <w:tcPr>
            <w:tcW w:w="1446" w:type="pct"/>
            <w:vMerge/>
            <w:vAlign w:val="center"/>
          </w:tcPr>
          <w:p w:rsidR="00EE56C0" w:rsidRDefault="00EE56C0">
            <w:pPr>
              <w:pStyle w:val="afa"/>
            </w:pPr>
          </w:p>
        </w:tc>
      </w:tr>
      <w:tr w:rsidR="00EE56C0">
        <w:trPr>
          <w:trHeight w:val="369"/>
        </w:trPr>
        <w:tc>
          <w:tcPr>
            <w:tcW w:w="481" w:type="pct"/>
            <w:vMerge/>
            <w:tcMar>
              <w:top w:w="28" w:type="dxa"/>
              <w:bottom w:w="28" w:type="dxa"/>
            </w:tcMar>
            <w:vAlign w:val="center"/>
          </w:tcPr>
          <w:p w:rsidR="00EE56C0" w:rsidRDefault="00EE56C0">
            <w:pPr>
              <w:pStyle w:val="afa"/>
            </w:pPr>
          </w:p>
        </w:tc>
        <w:tc>
          <w:tcPr>
            <w:tcW w:w="501" w:type="pct"/>
            <w:tcMar>
              <w:top w:w="28" w:type="dxa"/>
              <w:bottom w:w="28" w:type="dxa"/>
            </w:tcMar>
            <w:vAlign w:val="center"/>
          </w:tcPr>
          <w:p w:rsidR="00EE56C0" w:rsidRDefault="000F36A1">
            <w:pPr>
              <w:pStyle w:val="afa"/>
            </w:pPr>
            <w:r>
              <w:rPr>
                <w:rFonts w:hint="eastAsia"/>
              </w:rPr>
              <w:t>S11</w:t>
            </w:r>
          </w:p>
        </w:tc>
        <w:tc>
          <w:tcPr>
            <w:tcW w:w="997" w:type="pct"/>
            <w:tcMar>
              <w:top w:w="28" w:type="dxa"/>
              <w:bottom w:w="28" w:type="dxa"/>
            </w:tcMar>
            <w:vAlign w:val="center"/>
          </w:tcPr>
          <w:p w:rsidR="00EE56C0" w:rsidRDefault="000F36A1">
            <w:pPr>
              <w:pStyle w:val="afa"/>
            </w:pPr>
            <w:r>
              <w:rPr>
                <w:rFonts w:hint="eastAsia"/>
              </w:rPr>
              <w:t>废油</w:t>
            </w:r>
          </w:p>
        </w:tc>
        <w:tc>
          <w:tcPr>
            <w:tcW w:w="744" w:type="pct"/>
            <w:vMerge/>
            <w:tcBorders>
              <w:right w:val="single" w:sz="4" w:space="0" w:color="auto"/>
            </w:tcBorders>
            <w:tcMar>
              <w:top w:w="28" w:type="dxa"/>
              <w:bottom w:w="28" w:type="dxa"/>
            </w:tcMar>
            <w:vAlign w:val="center"/>
          </w:tcPr>
          <w:p w:rsidR="00EE56C0" w:rsidRDefault="00EE56C0">
            <w:pPr>
              <w:pStyle w:val="afa"/>
            </w:pPr>
          </w:p>
        </w:tc>
        <w:tc>
          <w:tcPr>
            <w:tcW w:w="831" w:type="pct"/>
            <w:tcBorders>
              <w:left w:val="single" w:sz="4" w:space="0" w:color="auto"/>
            </w:tcBorders>
            <w:vAlign w:val="center"/>
          </w:tcPr>
          <w:p w:rsidR="00EE56C0" w:rsidRDefault="000F36A1">
            <w:pPr>
              <w:pStyle w:val="afa"/>
            </w:pPr>
            <w:r>
              <w:rPr>
                <w:rFonts w:hint="eastAsia"/>
              </w:rPr>
              <w:t>0.05</w:t>
            </w:r>
          </w:p>
        </w:tc>
        <w:tc>
          <w:tcPr>
            <w:tcW w:w="1446" w:type="pct"/>
            <w:vMerge/>
            <w:vAlign w:val="center"/>
          </w:tcPr>
          <w:p w:rsidR="00EE56C0" w:rsidRDefault="00EE56C0">
            <w:pPr>
              <w:pStyle w:val="afa"/>
            </w:pPr>
          </w:p>
        </w:tc>
      </w:tr>
      <w:tr w:rsidR="00EE56C0">
        <w:trPr>
          <w:trHeight w:val="369"/>
        </w:trPr>
        <w:tc>
          <w:tcPr>
            <w:tcW w:w="481" w:type="pct"/>
            <w:vMerge/>
            <w:tcMar>
              <w:top w:w="28" w:type="dxa"/>
              <w:bottom w:w="28" w:type="dxa"/>
            </w:tcMar>
            <w:vAlign w:val="center"/>
          </w:tcPr>
          <w:p w:rsidR="00EE56C0" w:rsidRDefault="00EE56C0">
            <w:pPr>
              <w:pStyle w:val="afa"/>
            </w:pPr>
          </w:p>
        </w:tc>
        <w:tc>
          <w:tcPr>
            <w:tcW w:w="501" w:type="pct"/>
            <w:tcMar>
              <w:top w:w="28" w:type="dxa"/>
              <w:bottom w:w="28" w:type="dxa"/>
            </w:tcMar>
            <w:vAlign w:val="center"/>
          </w:tcPr>
          <w:p w:rsidR="00EE56C0" w:rsidRDefault="000F36A1">
            <w:pPr>
              <w:pStyle w:val="afa"/>
            </w:pPr>
            <w:r>
              <w:rPr>
                <w:rFonts w:hint="eastAsia"/>
              </w:rPr>
              <w:t>S12</w:t>
            </w:r>
          </w:p>
        </w:tc>
        <w:tc>
          <w:tcPr>
            <w:tcW w:w="997" w:type="pct"/>
            <w:tcMar>
              <w:top w:w="28" w:type="dxa"/>
              <w:bottom w:w="28" w:type="dxa"/>
            </w:tcMar>
            <w:vAlign w:val="center"/>
          </w:tcPr>
          <w:p w:rsidR="00EE56C0" w:rsidRDefault="000F36A1">
            <w:pPr>
              <w:pStyle w:val="afa"/>
              <w:rPr>
                <w:highlight w:val="yellow"/>
              </w:rPr>
            </w:pPr>
            <w:r>
              <w:rPr>
                <w:rFonts w:hint="eastAsia"/>
              </w:rPr>
              <w:t>含漆料</w:t>
            </w:r>
            <w:r>
              <w:rPr>
                <w:rFonts w:hint="eastAsia"/>
              </w:rPr>
              <w:t>/</w:t>
            </w:r>
            <w:r>
              <w:rPr>
                <w:rFonts w:hint="eastAsia"/>
              </w:rPr>
              <w:t>油的废毛毡</w:t>
            </w:r>
          </w:p>
        </w:tc>
        <w:tc>
          <w:tcPr>
            <w:tcW w:w="744" w:type="pct"/>
            <w:vMerge/>
            <w:tcBorders>
              <w:right w:val="single" w:sz="4" w:space="0" w:color="auto"/>
            </w:tcBorders>
            <w:tcMar>
              <w:top w:w="28" w:type="dxa"/>
              <w:bottom w:w="28" w:type="dxa"/>
            </w:tcMar>
            <w:vAlign w:val="center"/>
          </w:tcPr>
          <w:p w:rsidR="00EE56C0" w:rsidRDefault="00EE56C0">
            <w:pPr>
              <w:pStyle w:val="afa"/>
            </w:pPr>
          </w:p>
        </w:tc>
        <w:tc>
          <w:tcPr>
            <w:tcW w:w="831" w:type="pct"/>
            <w:tcBorders>
              <w:left w:val="single" w:sz="4" w:space="0" w:color="auto"/>
            </w:tcBorders>
            <w:vAlign w:val="center"/>
          </w:tcPr>
          <w:p w:rsidR="00EE56C0" w:rsidRDefault="000F36A1">
            <w:pPr>
              <w:pStyle w:val="afa"/>
            </w:pPr>
            <w:r>
              <w:rPr>
                <w:rFonts w:hint="eastAsia"/>
              </w:rPr>
              <w:t>2</w:t>
            </w:r>
          </w:p>
        </w:tc>
        <w:tc>
          <w:tcPr>
            <w:tcW w:w="1446" w:type="pct"/>
            <w:vMerge/>
            <w:vAlign w:val="center"/>
          </w:tcPr>
          <w:p w:rsidR="00EE56C0" w:rsidRDefault="00EE56C0">
            <w:pPr>
              <w:pStyle w:val="afa"/>
            </w:pPr>
          </w:p>
        </w:tc>
      </w:tr>
    </w:tbl>
    <w:p w:rsidR="00EE56C0" w:rsidRDefault="000F36A1">
      <w:pPr>
        <w:ind w:firstLine="480"/>
      </w:pPr>
      <w:r>
        <w:rPr>
          <w:rFonts w:hint="eastAsia"/>
        </w:rPr>
        <w:t>建设单位已分别设置</w:t>
      </w:r>
      <w:r>
        <w:rPr>
          <w:rFonts w:hint="eastAsia"/>
        </w:rPr>
        <w:t>1</w:t>
      </w:r>
      <w:r>
        <w:rPr>
          <w:rFonts w:hint="eastAsia"/>
        </w:rPr>
        <w:t>个一般工业固废暂存间（</w:t>
      </w:r>
      <w:r>
        <w:rPr>
          <w:rFonts w:hint="eastAsia"/>
        </w:rPr>
        <w:t>60m</w:t>
      </w:r>
      <w:r>
        <w:rPr>
          <w:rFonts w:hint="eastAsia"/>
          <w:vertAlign w:val="superscript"/>
        </w:rPr>
        <w:t>2</w:t>
      </w:r>
      <w:r>
        <w:rPr>
          <w:rFonts w:hint="eastAsia"/>
        </w:rPr>
        <w:t>）和</w:t>
      </w:r>
      <w:r>
        <w:rPr>
          <w:rFonts w:hint="eastAsia"/>
        </w:rPr>
        <w:t>1</w:t>
      </w:r>
      <w:r>
        <w:rPr>
          <w:rFonts w:hint="eastAsia"/>
        </w:rPr>
        <w:t>座危险固废暂存间（</w:t>
      </w:r>
      <w:r>
        <w:rPr>
          <w:rFonts w:hint="eastAsia"/>
        </w:rPr>
        <w:t>33m</w:t>
      </w:r>
      <w:r>
        <w:rPr>
          <w:rFonts w:hint="eastAsia"/>
          <w:vertAlign w:val="superscript"/>
        </w:rPr>
        <w:t>2</w:t>
      </w:r>
      <w:r>
        <w:rPr>
          <w:rFonts w:hint="eastAsia"/>
        </w:rPr>
        <w:t>），对项目固废分类分区存放。</w:t>
      </w:r>
    </w:p>
    <w:p w:rsidR="00EE56C0" w:rsidRDefault="000F36A1">
      <w:pPr>
        <w:ind w:firstLine="480"/>
        <w:rPr>
          <w:snapToGrid w:val="0"/>
        </w:rPr>
      </w:pPr>
      <w:r>
        <w:rPr>
          <w:rFonts w:hint="eastAsia"/>
        </w:rPr>
        <w:t>一般工业固废暂存间地面已硬化，且防雨淋、防扬尘，符合按照</w:t>
      </w:r>
      <w:r>
        <w:t>《一般工业固体废物贮存和填埋污染控制标准》（</w:t>
      </w:r>
      <w:r>
        <w:t>GB18599-2020</w:t>
      </w:r>
      <w:r>
        <w:t>）</w:t>
      </w:r>
      <w:r>
        <w:rPr>
          <w:rFonts w:hint="eastAsia"/>
        </w:rPr>
        <w:t>的“防渗漏、防雨淋、防扬尘”环境保护要求</w:t>
      </w:r>
      <w:r>
        <w:rPr>
          <w:rFonts w:hint="eastAsia"/>
          <w:snapToGrid w:val="0"/>
        </w:rPr>
        <w:t>。</w:t>
      </w:r>
    </w:p>
    <w:p w:rsidR="00EE56C0" w:rsidRDefault="000F36A1">
      <w:pPr>
        <w:ind w:firstLine="480"/>
      </w:pPr>
      <w:r>
        <w:rPr>
          <w:rFonts w:hint="eastAsia"/>
        </w:rPr>
        <w:t>危险废物暂存间设置在公司车间内部，地面铺设不少于</w:t>
      </w:r>
      <w:r>
        <w:rPr>
          <w:rFonts w:hint="eastAsia"/>
        </w:rPr>
        <w:t>2mm</w:t>
      </w:r>
      <w:r>
        <w:rPr>
          <w:rFonts w:hint="eastAsia"/>
        </w:rPr>
        <w:t>厚的人工防水材料，且防水层在内墙面上翻</w:t>
      </w:r>
      <w:r>
        <w:rPr>
          <w:rFonts w:hint="eastAsia"/>
        </w:rPr>
        <w:t>300mm</w:t>
      </w:r>
      <w:r>
        <w:rPr>
          <w:rFonts w:hint="eastAsia"/>
        </w:rPr>
        <w:t>高，危废间内废气收集后引入现有废气治理措施（活性炭吸附</w:t>
      </w:r>
      <w:r>
        <w:rPr>
          <w:rFonts w:hint="eastAsia"/>
        </w:rPr>
        <w:t>-</w:t>
      </w:r>
      <w:r>
        <w:rPr>
          <w:rFonts w:hint="eastAsia"/>
        </w:rPr>
        <w:t>脱附</w:t>
      </w:r>
      <w:r>
        <w:rPr>
          <w:rFonts w:hint="eastAsia"/>
        </w:rPr>
        <w:t>-</w:t>
      </w:r>
      <w:r>
        <w:rPr>
          <w:rFonts w:hint="eastAsia"/>
        </w:rPr>
        <w:t>催化燃烧</w:t>
      </w:r>
      <w:r>
        <w:rPr>
          <w:rFonts w:hint="eastAsia"/>
        </w:rPr>
        <w:t>T</w:t>
      </w:r>
      <w:r>
        <w:rPr>
          <w:rFonts w:hint="eastAsia"/>
        </w:rPr>
        <w:t>）处理后排放，符合《危险废物贮存污染控制标准》（</w:t>
      </w:r>
      <w:r>
        <w:rPr>
          <w:rFonts w:hint="eastAsia"/>
        </w:rPr>
        <w:t>GB18597-2001</w:t>
      </w:r>
      <w:r>
        <w:rPr>
          <w:rFonts w:hint="eastAsia"/>
        </w:rPr>
        <w:t>）及</w:t>
      </w:r>
      <w:r>
        <w:rPr>
          <w:rFonts w:hint="eastAsia"/>
        </w:rPr>
        <w:t>2013</w:t>
      </w:r>
      <w:r>
        <w:rPr>
          <w:rFonts w:hint="eastAsia"/>
        </w:rPr>
        <w:t>修改单对危险废物的暂存要求。</w:t>
      </w:r>
    </w:p>
    <w:p w:rsidR="00EE56C0" w:rsidRDefault="000F36A1">
      <w:pPr>
        <w:pStyle w:val="3"/>
        <w:spacing w:before="240" w:after="120"/>
      </w:pPr>
      <w:r>
        <w:rPr>
          <w:rFonts w:hint="eastAsia"/>
        </w:rPr>
        <w:lastRenderedPageBreak/>
        <w:t>3.1.11</w:t>
      </w:r>
      <w:r>
        <w:rPr>
          <w:rFonts w:hint="eastAsia"/>
        </w:rPr>
        <w:t>现有项目存在的问题及整改措施</w:t>
      </w:r>
    </w:p>
    <w:p w:rsidR="00EE56C0" w:rsidRDefault="000F36A1">
      <w:pPr>
        <w:ind w:firstLine="482"/>
        <w:rPr>
          <w:b/>
          <w:u w:val="single"/>
        </w:rPr>
      </w:pPr>
      <w:r>
        <w:rPr>
          <w:rFonts w:hint="eastAsia"/>
          <w:b/>
          <w:u w:val="single"/>
        </w:rPr>
        <w:t>经现场核查，现有工程存在问题如下：</w:t>
      </w:r>
    </w:p>
    <w:p w:rsidR="00EE56C0" w:rsidRDefault="000F36A1">
      <w:pPr>
        <w:ind w:firstLine="482"/>
        <w:rPr>
          <w:b/>
          <w:u w:val="single"/>
        </w:rPr>
      </w:pPr>
      <w:r>
        <w:rPr>
          <w:rFonts w:hint="eastAsia"/>
          <w:b/>
          <w:u w:val="single"/>
        </w:rPr>
        <w:t>1</w:t>
      </w:r>
      <w:r>
        <w:rPr>
          <w:rFonts w:hint="eastAsia"/>
          <w:b/>
          <w:u w:val="single"/>
        </w:rPr>
        <w:t>、经与企业沟通，相对现有工程漆种，行业内有高固含的绝缘漆，建议企业将现有工程漆种更换为高固含的绝缘漆。</w:t>
      </w:r>
    </w:p>
    <w:p w:rsidR="00EE56C0" w:rsidRDefault="000F36A1">
      <w:pPr>
        <w:ind w:firstLine="482"/>
        <w:rPr>
          <w:b/>
          <w:u w:val="single"/>
        </w:rPr>
      </w:pPr>
      <w:r>
        <w:rPr>
          <w:rFonts w:hint="eastAsia"/>
          <w:b/>
          <w:u w:val="single"/>
        </w:rPr>
        <w:t>2</w:t>
      </w:r>
      <w:r>
        <w:rPr>
          <w:rFonts w:hint="eastAsia"/>
          <w:b/>
          <w:u w:val="single"/>
        </w:rPr>
        <w:t>、现有工程部分烘炉老旧，炉内催化剂处理效果不理想。建议企业市场调研后对老旧烘炉进行改造。</w:t>
      </w:r>
    </w:p>
    <w:p w:rsidR="00EE56C0" w:rsidRDefault="000F36A1">
      <w:pPr>
        <w:ind w:firstLine="482"/>
        <w:rPr>
          <w:b/>
          <w:u w:val="single"/>
        </w:rPr>
      </w:pPr>
      <w:r>
        <w:rPr>
          <w:rFonts w:hint="eastAsia"/>
          <w:b/>
          <w:u w:val="single"/>
        </w:rPr>
        <w:t>3</w:t>
      </w:r>
      <w:r>
        <w:rPr>
          <w:rFonts w:hint="eastAsia"/>
          <w:b/>
          <w:u w:val="single"/>
        </w:rPr>
        <w:t>、企业目前采用自备井供水，远期待自来水管网接通后，关停自备井，使用市政供水，减少地下水开采。</w:t>
      </w:r>
    </w:p>
    <w:p w:rsidR="00EE56C0" w:rsidRDefault="000F36A1">
      <w:pPr>
        <w:ind w:firstLine="480"/>
      </w:pPr>
      <w:r>
        <w:rPr>
          <w:rFonts w:hint="eastAsia"/>
        </w:rPr>
        <w:t>现有工程已初步通过生态环境部《重污染天气重点行业应急减排措施制定技术指南（</w:t>
      </w:r>
      <w:r>
        <w:rPr>
          <w:rFonts w:hint="eastAsia"/>
        </w:rPr>
        <w:t>2020</w:t>
      </w:r>
      <w:r>
        <w:rPr>
          <w:rFonts w:hint="eastAsia"/>
        </w:rPr>
        <w:t>年修订版）》中工业涂装行业</w:t>
      </w:r>
      <w:r>
        <w:rPr>
          <w:rStyle w:val="Charf4"/>
          <w:rFonts w:hint="eastAsia"/>
        </w:rPr>
        <w:t>A</w:t>
      </w:r>
      <w:r>
        <w:rPr>
          <w:rStyle w:val="Charf4"/>
          <w:rFonts w:hint="eastAsia"/>
        </w:rPr>
        <w:t>级企业评审。</w:t>
      </w:r>
    </w:p>
    <w:p w:rsidR="00EE56C0" w:rsidRDefault="000F36A1">
      <w:pPr>
        <w:pStyle w:val="3"/>
        <w:spacing w:before="240" w:after="120"/>
      </w:pPr>
      <w:r>
        <w:rPr>
          <w:rFonts w:hint="eastAsia"/>
        </w:rPr>
        <w:t>3.1.12</w:t>
      </w:r>
      <w:r>
        <w:rPr>
          <w:rFonts w:hint="eastAsia"/>
        </w:rPr>
        <w:t>现有项目污染物排放量</w:t>
      </w:r>
    </w:p>
    <w:p w:rsidR="00EE56C0" w:rsidRDefault="000F36A1">
      <w:pPr>
        <w:ind w:firstLine="480"/>
        <w:rPr>
          <w:snapToGrid w:val="0"/>
        </w:rPr>
      </w:pPr>
      <w:r>
        <w:rPr>
          <w:rFonts w:hint="eastAsia"/>
          <w:snapToGrid w:val="0"/>
        </w:rPr>
        <w:t>根据环评报告、验收报告、排污许可</w:t>
      </w:r>
      <w:r>
        <w:rPr>
          <w:rFonts w:hint="eastAsia"/>
        </w:rPr>
        <w:t>证</w:t>
      </w:r>
      <w:r>
        <w:rPr>
          <w:rFonts w:hint="eastAsia"/>
          <w:snapToGrid w:val="0"/>
        </w:rPr>
        <w:t>，现有工程的污染物允许排放总量见下表：</w:t>
      </w:r>
    </w:p>
    <w:p w:rsidR="00EE56C0" w:rsidRDefault="000F36A1">
      <w:pPr>
        <w:pStyle w:val="afd"/>
        <w:spacing w:before="120" w:after="120"/>
        <w:ind w:firstLine="482"/>
      </w:pPr>
      <w:r>
        <w:t>表</w:t>
      </w:r>
      <w:r>
        <w:rPr>
          <w:rFonts w:hint="eastAsia"/>
        </w:rPr>
        <w:t xml:space="preserve">3- 11         </w:t>
      </w:r>
      <w:r>
        <w:t>总量排放控制指标</w:t>
      </w:r>
      <w:r>
        <w:t xml:space="preserve">      </w:t>
      </w:r>
      <w:r>
        <w:t>单位：</w:t>
      </w:r>
      <w:r>
        <w:t>t/a</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tblPr>
      <w:tblGrid>
        <w:gridCol w:w="1183"/>
        <w:gridCol w:w="1835"/>
        <w:gridCol w:w="1682"/>
        <w:gridCol w:w="1721"/>
        <w:gridCol w:w="1235"/>
        <w:gridCol w:w="872"/>
      </w:tblGrid>
      <w:tr w:rsidR="00EE56C0">
        <w:trPr>
          <w:trHeight w:val="397"/>
          <w:jc w:val="center"/>
        </w:trPr>
        <w:tc>
          <w:tcPr>
            <w:tcW w:w="694" w:type="pct"/>
            <w:vAlign w:val="center"/>
          </w:tcPr>
          <w:p w:rsidR="00EE56C0" w:rsidRDefault="000F36A1">
            <w:pPr>
              <w:pStyle w:val="aff1"/>
              <w:rPr>
                <w:color w:val="auto"/>
                <w:lang w:val="pt-BR"/>
              </w:rPr>
            </w:pPr>
            <w:r>
              <w:rPr>
                <w:color w:val="auto"/>
                <w:lang w:val="pt-BR"/>
              </w:rPr>
              <w:t>污染</w:t>
            </w:r>
          </w:p>
          <w:p w:rsidR="00EE56C0" w:rsidRDefault="000F36A1">
            <w:pPr>
              <w:pStyle w:val="aff1"/>
              <w:rPr>
                <w:color w:val="auto"/>
                <w:lang w:val="pt-BR"/>
              </w:rPr>
            </w:pPr>
            <w:r>
              <w:rPr>
                <w:color w:val="auto"/>
                <w:lang w:val="pt-BR"/>
              </w:rPr>
              <w:t>因素</w:t>
            </w:r>
          </w:p>
        </w:tc>
        <w:tc>
          <w:tcPr>
            <w:tcW w:w="1076" w:type="pct"/>
            <w:vAlign w:val="center"/>
          </w:tcPr>
          <w:p w:rsidR="00EE56C0" w:rsidRDefault="000F36A1">
            <w:pPr>
              <w:pStyle w:val="aff1"/>
              <w:rPr>
                <w:color w:val="auto"/>
                <w:lang w:val="pt-BR"/>
              </w:rPr>
            </w:pPr>
            <w:r>
              <w:rPr>
                <w:color w:val="auto"/>
                <w:lang w:val="pt-BR"/>
              </w:rPr>
              <w:t>产污环节</w:t>
            </w:r>
          </w:p>
        </w:tc>
        <w:tc>
          <w:tcPr>
            <w:tcW w:w="986" w:type="pct"/>
            <w:vAlign w:val="center"/>
          </w:tcPr>
          <w:p w:rsidR="00EE56C0" w:rsidRDefault="000F36A1">
            <w:pPr>
              <w:pStyle w:val="aff1"/>
              <w:rPr>
                <w:color w:val="auto"/>
                <w:lang w:val="pt-BR"/>
              </w:rPr>
            </w:pPr>
            <w:r>
              <w:rPr>
                <w:color w:val="auto"/>
                <w:lang w:val="pt-BR"/>
              </w:rPr>
              <w:t>污染物</w:t>
            </w:r>
          </w:p>
        </w:tc>
        <w:tc>
          <w:tcPr>
            <w:tcW w:w="1009" w:type="pct"/>
            <w:vAlign w:val="center"/>
          </w:tcPr>
          <w:p w:rsidR="00EE56C0" w:rsidRDefault="000F36A1">
            <w:pPr>
              <w:pStyle w:val="aff1"/>
              <w:rPr>
                <w:color w:val="auto"/>
                <w:lang w:val="pt-BR"/>
              </w:rPr>
            </w:pPr>
            <w:r>
              <w:rPr>
                <w:rFonts w:hint="eastAsia"/>
                <w:color w:val="auto"/>
                <w:lang w:val="pt-BR"/>
              </w:rPr>
              <w:t>许可排放</w:t>
            </w:r>
            <w:r>
              <w:rPr>
                <w:color w:val="auto"/>
                <w:lang w:val="pt-BR"/>
              </w:rPr>
              <w:t>量（</w:t>
            </w:r>
            <w:r>
              <w:rPr>
                <w:color w:val="auto"/>
                <w:lang w:val="pt-BR"/>
              </w:rPr>
              <w:t>t/a</w:t>
            </w:r>
            <w:r>
              <w:rPr>
                <w:color w:val="auto"/>
                <w:lang w:val="pt-BR"/>
              </w:rPr>
              <w:t>）</w:t>
            </w:r>
          </w:p>
        </w:tc>
        <w:tc>
          <w:tcPr>
            <w:tcW w:w="1235" w:type="pct"/>
            <w:gridSpan w:val="2"/>
            <w:tcBorders>
              <w:right w:val="single" w:sz="4" w:space="0" w:color="auto"/>
            </w:tcBorders>
            <w:vAlign w:val="center"/>
          </w:tcPr>
          <w:p w:rsidR="00EE56C0" w:rsidRDefault="000F36A1">
            <w:pPr>
              <w:pStyle w:val="aff1"/>
              <w:rPr>
                <w:color w:val="auto"/>
                <w:lang w:val="pt-BR"/>
              </w:rPr>
            </w:pPr>
            <w:r>
              <w:rPr>
                <w:rFonts w:hint="eastAsia"/>
                <w:color w:val="auto"/>
                <w:lang w:val="pt-BR"/>
              </w:rPr>
              <w:t>实际</w:t>
            </w:r>
            <w:r>
              <w:rPr>
                <w:color w:val="auto"/>
                <w:lang w:val="pt-BR"/>
              </w:rPr>
              <w:t>排放量（</w:t>
            </w:r>
            <w:r>
              <w:rPr>
                <w:color w:val="auto"/>
                <w:lang w:val="pt-BR"/>
              </w:rPr>
              <w:t>t/a</w:t>
            </w:r>
            <w:r>
              <w:rPr>
                <w:color w:val="auto"/>
                <w:lang w:val="pt-BR"/>
              </w:rPr>
              <w:t>）</w:t>
            </w:r>
          </w:p>
        </w:tc>
      </w:tr>
      <w:tr w:rsidR="00EE56C0">
        <w:trPr>
          <w:trHeight w:val="397"/>
          <w:jc w:val="center"/>
        </w:trPr>
        <w:tc>
          <w:tcPr>
            <w:tcW w:w="694" w:type="pct"/>
            <w:vMerge w:val="restart"/>
            <w:vAlign w:val="center"/>
          </w:tcPr>
          <w:p w:rsidR="00EE56C0" w:rsidRDefault="000F36A1">
            <w:pPr>
              <w:pStyle w:val="afa"/>
              <w:rPr>
                <w:lang w:val="pt-BR"/>
              </w:rPr>
            </w:pPr>
            <w:r>
              <w:rPr>
                <w:rFonts w:hint="eastAsia"/>
                <w:lang w:val="pt-BR"/>
              </w:rPr>
              <w:t>废水</w:t>
            </w:r>
          </w:p>
        </w:tc>
        <w:tc>
          <w:tcPr>
            <w:tcW w:w="1076" w:type="pct"/>
            <w:vMerge w:val="restart"/>
            <w:vAlign w:val="center"/>
          </w:tcPr>
          <w:p w:rsidR="00EE56C0" w:rsidRDefault="000F36A1">
            <w:pPr>
              <w:pStyle w:val="afa"/>
              <w:rPr>
                <w:lang w:val="pt-BR"/>
              </w:rPr>
            </w:pPr>
            <w:r>
              <w:rPr>
                <w:rFonts w:hint="eastAsia"/>
                <w:lang w:val="pt-BR"/>
              </w:rPr>
              <w:t>生活污水、反渗透浓水（</w:t>
            </w:r>
            <w:r>
              <w:rPr>
                <w:rFonts w:hint="eastAsia"/>
              </w:rPr>
              <w:t>5553t/a</w:t>
            </w:r>
            <w:r>
              <w:rPr>
                <w:rFonts w:hint="eastAsia"/>
              </w:rPr>
              <w:t>）</w:t>
            </w:r>
          </w:p>
        </w:tc>
        <w:tc>
          <w:tcPr>
            <w:tcW w:w="986" w:type="pct"/>
            <w:vAlign w:val="center"/>
          </w:tcPr>
          <w:p w:rsidR="00EE56C0" w:rsidRDefault="000F36A1">
            <w:pPr>
              <w:pStyle w:val="afa"/>
              <w:rPr>
                <w:lang w:val="pt-BR"/>
              </w:rPr>
            </w:pPr>
            <w:r>
              <w:rPr>
                <w:lang w:val="pt-BR"/>
              </w:rPr>
              <w:t>COD</w:t>
            </w:r>
          </w:p>
        </w:tc>
        <w:tc>
          <w:tcPr>
            <w:tcW w:w="1009" w:type="pct"/>
            <w:vAlign w:val="center"/>
          </w:tcPr>
          <w:p w:rsidR="00EE56C0" w:rsidRDefault="000F36A1">
            <w:pPr>
              <w:pStyle w:val="afa"/>
              <w:rPr>
                <w:lang w:val="pt-BR"/>
              </w:rPr>
            </w:pPr>
            <w:r>
              <w:rPr>
                <w:rFonts w:hint="eastAsia"/>
              </w:rPr>
              <w:t>0.1648</w:t>
            </w:r>
          </w:p>
        </w:tc>
        <w:tc>
          <w:tcPr>
            <w:tcW w:w="1235" w:type="pct"/>
            <w:gridSpan w:val="2"/>
            <w:tcBorders>
              <w:right w:val="single" w:sz="4" w:space="0" w:color="auto"/>
            </w:tcBorders>
            <w:vAlign w:val="center"/>
          </w:tcPr>
          <w:p w:rsidR="00EE56C0" w:rsidRDefault="000F36A1">
            <w:pPr>
              <w:pStyle w:val="afa"/>
              <w:rPr>
                <w:lang w:val="pt-BR"/>
              </w:rPr>
            </w:pPr>
            <w:r>
              <w:rPr>
                <w:rFonts w:hint="eastAsia"/>
                <w:lang w:val="pt-BR"/>
              </w:rPr>
              <w:t>0</w:t>
            </w:r>
          </w:p>
        </w:tc>
      </w:tr>
      <w:tr w:rsidR="00EE56C0">
        <w:trPr>
          <w:trHeight w:val="397"/>
          <w:jc w:val="center"/>
        </w:trPr>
        <w:tc>
          <w:tcPr>
            <w:tcW w:w="694" w:type="pct"/>
            <w:vMerge/>
            <w:vAlign w:val="center"/>
          </w:tcPr>
          <w:p w:rsidR="00EE56C0" w:rsidRDefault="00EE56C0">
            <w:pPr>
              <w:pStyle w:val="afa"/>
              <w:rPr>
                <w:lang w:val="pt-BR"/>
              </w:rPr>
            </w:pPr>
          </w:p>
        </w:tc>
        <w:tc>
          <w:tcPr>
            <w:tcW w:w="1076" w:type="pct"/>
            <w:vMerge/>
            <w:vAlign w:val="center"/>
          </w:tcPr>
          <w:p w:rsidR="00EE56C0" w:rsidRDefault="00EE56C0">
            <w:pPr>
              <w:pStyle w:val="afa"/>
              <w:rPr>
                <w:lang w:val="pt-BR"/>
              </w:rPr>
            </w:pPr>
          </w:p>
        </w:tc>
        <w:tc>
          <w:tcPr>
            <w:tcW w:w="986" w:type="pct"/>
            <w:vAlign w:val="center"/>
          </w:tcPr>
          <w:p w:rsidR="00EE56C0" w:rsidRDefault="000F36A1">
            <w:pPr>
              <w:pStyle w:val="afa"/>
              <w:rPr>
                <w:lang w:val="pt-BR"/>
              </w:rPr>
            </w:pPr>
            <w:r>
              <w:rPr>
                <w:rFonts w:hint="eastAsia"/>
                <w:lang w:val="pt-BR"/>
              </w:rPr>
              <w:t>NH</w:t>
            </w:r>
            <w:r>
              <w:rPr>
                <w:rFonts w:hint="eastAsia"/>
                <w:vertAlign w:val="subscript"/>
                <w:lang w:val="pt-BR"/>
              </w:rPr>
              <w:t>3</w:t>
            </w:r>
            <w:r>
              <w:rPr>
                <w:rFonts w:hint="eastAsia"/>
                <w:lang w:val="pt-BR"/>
              </w:rPr>
              <w:t>-N</w:t>
            </w:r>
          </w:p>
        </w:tc>
        <w:tc>
          <w:tcPr>
            <w:tcW w:w="1009" w:type="pct"/>
            <w:vAlign w:val="center"/>
          </w:tcPr>
          <w:p w:rsidR="00EE56C0" w:rsidRDefault="000F36A1">
            <w:pPr>
              <w:pStyle w:val="afa"/>
              <w:rPr>
                <w:lang w:val="pt-BR"/>
              </w:rPr>
            </w:pPr>
            <w:r>
              <w:t>0.0</w:t>
            </w:r>
            <w:r>
              <w:rPr>
                <w:rFonts w:hint="eastAsia"/>
              </w:rPr>
              <w:t>1642</w:t>
            </w:r>
          </w:p>
        </w:tc>
        <w:tc>
          <w:tcPr>
            <w:tcW w:w="1235" w:type="pct"/>
            <w:gridSpan w:val="2"/>
            <w:tcBorders>
              <w:right w:val="single" w:sz="4" w:space="0" w:color="auto"/>
            </w:tcBorders>
            <w:vAlign w:val="center"/>
          </w:tcPr>
          <w:p w:rsidR="00EE56C0" w:rsidRDefault="000F36A1">
            <w:pPr>
              <w:pStyle w:val="afa"/>
              <w:rPr>
                <w:lang w:val="pt-BR"/>
              </w:rPr>
            </w:pPr>
            <w:r>
              <w:rPr>
                <w:rFonts w:hint="eastAsia"/>
                <w:lang w:val="pt-BR"/>
              </w:rPr>
              <w:t>0</w:t>
            </w:r>
          </w:p>
        </w:tc>
      </w:tr>
      <w:tr w:rsidR="00EE56C0">
        <w:trPr>
          <w:trHeight w:val="397"/>
          <w:jc w:val="center"/>
        </w:trPr>
        <w:tc>
          <w:tcPr>
            <w:tcW w:w="694" w:type="pct"/>
            <w:vMerge/>
            <w:vAlign w:val="center"/>
          </w:tcPr>
          <w:p w:rsidR="00EE56C0" w:rsidRDefault="00EE56C0">
            <w:pPr>
              <w:pStyle w:val="afa"/>
              <w:rPr>
                <w:lang w:val="pt-BR"/>
              </w:rPr>
            </w:pPr>
          </w:p>
        </w:tc>
        <w:tc>
          <w:tcPr>
            <w:tcW w:w="1076" w:type="pct"/>
            <w:vMerge/>
            <w:vAlign w:val="center"/>
          </w:tcPr>
          <w:p w:rsidR="00EE56C0" w:rsidRDefault="00EE56C0">
            <w:pPr>
              <w:pStyle w:val="afa"/>
              <w:rPr>
                <w:lang w:val="pt-BR"/>
              </w:rPr>
            </w:pPr>
          </w:p>
        </w:tc>
        <w:tc>
          <w:tcPr>
            <w:tcW w:w="986" w:type="pct"/>
            <w:vAlign w:val="center"/>
          </w:tcPr>
          <w:p w:rsidR="00EE56C0" w:rsidRDefault="000F36A1">
            <w:pPr>
              <w:pStyle w:val="afa"/>
              <w:rPr>
                <w:lang w:val="pt-BR"/>
              </w:rPr>
            </w:pPr>
            <w:r>
              <w:rPr>
                <w:rFonts w:hint="eastAsia"/>
                <w:lang w:val="pt-BR"/>
              </w:rPr>
              <w:t>TP</w:t>
            </w:r>
          </w:p>
        </w:tc>
        <w:tc>
          <w:tcPr>
            <w:tcW w:w="1009" w:type="pct"/>
            <w:vAlign w:val="center"/>
          </w:tcPr>
          <w:p w:rsidR="00EE56C0" w:rsidRDefault="000F36A1">
            <w:pPr>
              <w:pStyle w:val="afa"/>
              <w:rPr>
                <w:lang w:val="pt-BR"/>
              </w:rPr>
            </w:pPr>
            <w:r>
              <w:t>0.0</w:t>
            </w:r>
            <w:r>
              <w:rPr>
                <w:rFonts w:hint="eastAsia"/>
              </w:rPr>
              <w:t>013</w:t>
            </w:r>
          </w:p>
        </w:tc>
        <w:tc>
          <w:tcPr>
            <w:tcW w:w="1235" w:type="pct"/>
            <w:gridSpan w:val="2"/>
            <w:tcBorders>
              <w:right w:val="single" w:sz="4" w:space="0" w:color="auto"/>
            </w:tcBorders>
            <w:vAlign w:val="center"/>
          </w:tcPr>
          <w:p w:rsidR="00EE56C0" w:rsidRDefault="000F36A1">
            <w:pPr>
              <w:pStyle w:val="afa"/>
              <w:rPr>
                <w:lang w:val="pt-BR"/>
              </w:rPr>
            </w:pPr>
            <w:r>
              <w:rPr>
                <w:rFonts w:hint="eastAsia"/>
                <w:lang w:val="pt-BR"/>
              </w:rPr>
              <w:t>0</w:t>
            </w:r>
          </w:p>
        </w:tc>
      </w:tr>
      <w:tr w:rsidR="00EE56C0">
        <w:trPr>
          <w:trHeight w:val="397"/>
          <w:jc w:val="center"/>
        </w:trPr>
        <w:tc>
          <w:tcPr>
            <w:tcW w:w="694" w:type="pct"/>
            <w:vMerge/>
            <w:vAlign w:val="center"/>
          </w:tcPr>
          <w:p w:rsidR="00EE56C0" w:rsidRDefault="00EE56C0">
            <w:pPr>
              <w:pStyle w:val="afa"/>
              <w:rPr>
                <w:lang w:val="pt-BR"/>
              </w:rPr>
            </w:pPr>
          </w:p>
        </w:tc>
        <w:tc>
          <w:tcPr>
            <w:tcW w:w="1076" w:type="pct"/>
            <w:vMerge/>
            <w:vAlign w:val="center"/>
          </w:tcPr>
          <w:p w:rsidR="00EE56C0" w:rsidRDefault="00EE56C0">
            <w:pPr>
              <w:pStyle w:val="afa"/>
              <w:rPr>
                <w:lang w:val="pt-BR"/>
              </w:rPr>
            </w:pPr>
          </w:p>
        </w:tc>
        <w:tc>
          <w:tcPr>
            <w:tcW w:w="986" w:type="pct"/>
            <w:vAlign w:val="center"/>
          </w:tcPr>
          <w:p w:rsidR="00EE56C0" w:rsidRDefault="000F36A1">
            <w:pPr>
              <w:pStyle w:val="afa"/>
              <w:rPr>
                <w:lang w:val="pt-BR"/>
              </w:rPr>
            </w:pPr>
            <w:r>
              <w:rPr>
                <w:rFonts w:hint="eastAsia"/>
                <w:lang w:val="pt-BR"/>
              </w:rPr>
              <w:t>TN</w:t>
            </w:r>
          </w:p>
        </w:tc>
        <w:tc>
          <w:tcPr>
            <w:tcW w:w="1009" w:type="pct"/>
            <w:vAlign w:val="center"/>
          </w:tcPr>
          <w:p w:rsidR="00EE56C0" w:rsidRDefault="000F36A1">
            <w:pPr>
              <w:pStyle w:val="afa"/>
              <w:rPr>
                <w:lang w:val="pt-BR"/>
              </w:rPr>
            </w:pPr>
            <w:r>
              <w:t>0.0</w:t>
            </w:r>
            <w:r>
              <w:rPr>
                <w:rFonts w:hint="eastAsia"/>
              </w:rPr>
              <w:t>309</w:t>
            </w:r>
          </w:p>
        </w:tc>
        <w:tc>
          <w:tcPr>
            <w:tcW w:w="1235" w:type="pct"/>
            <w:gridSpan w:val="2"/>
            <w:tcBorders>
              <w:right w:val="single" w:sz="4" w:space="0" w:color="auto"/>
            </w:tcBorders>
            <w:vAlign w:val="center"/>
          </w:tcPr>
          <w:p w:rsidR="00EE56C0" w:rsidRDefault="000F36A1">
            <w:pPr>
              <w:pStyle w:val="afa"/>
              <w:rPr>
                <w:lang w:val="pt-BR"/>
              </w:rPr>
            </w:pPr>
            <w:r>
              <w:rPr>
                <w:rFonts w:hint="eastAsia"/>
                <w:lang w:val="pt-BR"/>
              </w:rPr>
              <w:t>0</w:t>
            </w:r>
          </w:p>
        </w:tc>
      </w:tr>
      <w:tr w:rsidR="00EE56C0">
        <w:trPr>
          <w:trHeight w:val="397"/>
          <w:jc w:val="center"/>
        </w:trPr>
        <w:tc>
          <w:tcPr>
            <w:tcW w:w="694" w:type="pct"/>
            <w:vMerge w:val="restart"/>
            <w:vAlign w:val="center"/>
          </w:tcPr>
          <w:p w:rsidR="00EE56C0" w:rsidRDefault="000F36A1">
            <w:pPr>
              <w:pStyle w:val="afa"/>
              <w:rPr>
                <w:spacing w:val="-4"/>
              </w:rPr>
            </w:pPr>
            <w:r>
              <w:rPr>
                <w:spacing w:val="-4"/>
              </w:rPr>
              <w:t>废气</w:t>
            </w:r>
          </w:p>
        </w:tc>
        <w:tc>
          <w:tcPr>
            <w:tcW w:w="1076" w:type="pct"/>
            <w:vMerge w:val="restart"/>
            <w:vAlign w:val="center"/>
          </w:tcPr>
          <w:p w:rsidR="00EE56C0" w:rsidRDefault="000F36A1">
            <w:pPr>
              <w:pStyle w:val="afa"/>
              <w:rPr>
                <w:spacing w:val="-4"/>
              </w:rPr>
            </w:pPr>
            <w:r>
              <w:rPr>
                <w:rFonts w:hint="eastAsia"/>
                <w:spacing w:val="-4"/>
              </w:rPr>
              <w:t>有组织</w:t>
            </w:r>
          </w:p>
        </w:tc>
        <w:tc>
          <w:tcPr>
            <w:tcW w:w="986" w:type="pct"/>
            <w:vAlign w:val="center"/>
          </w:tcPr>
          <w:p w:rsidR="00EE56C0" w:rsidRDefault="000F36A1">
            <w:pPr>
              <w:pStyle w:val="afa"/>
              <w:rPr>
                <w:spacing w:val="-4"/>
              </w:rPr>
            </w:pPr>
            <w:r>
              <w:rPr>
                <w:spacing w:val="-4"/>
              </w:rPr>
              <w:t>酚类</w:t>
            </w:r>
          </w:p>
        </w:tc>
        <w:tc>
          <w:tcPr>
            <w:tcW w:w="1009" w:type="pct"/>
            <w:vAlign w:val="center"/>
          </w:tcPr>
          <w:p w:rsidR="00EE56C0" w:rsidRDefault="000F36A1">
            <w:pPr>
              <w:pStyle w:val="afa"/>
            </w:pPr>
            <w:r>
              <w:rPr>
                <w:rFonts w:hint="eastAsia"/>
                <w:spacing w:val="-4"/>
              </w:rPr>
              <w:t>/</w:t>
            </w:r>
          </w:p>
        </w:tc>
        <w:tc>
          <w:tcPr>
            <w:tcW w:w="724" w:type="pct"/>
            <w:vAlign w:val="center"/>
          </w:tcPr>
          <w:p w:rsidR="00EE56C0" w:rsidRDefault="000F36A1">
            <w:pPr>
              <w:pStyle w:val="afa"/>
              <w:rPr>
                <w:spacing w:val="-4"/>
              </w:rPr>
            </w:pPr>
            <w:r>
              <w:rPr>
                <w:rFonts w:hint="eastAsia"/>
                <w:spacing w:val="-4"/>
              </w:rPr>
              <w:t>0.5616</w:t>
            </w:r>
          </w:p>
        </w:tc>
        <w:tc>
          <w:tcPr>
            <w:tcW w:w="511" w:type="pct"/>
            <w:vMerge w:val="restart"/>
            <w:vAlign w:val="center"/>
          </w:tcPr>
          <w:p w:rsidR="00EE56C0" w:rsidRDefault="000F36A1">
            <w:pPr>
              <w:pStyle w:val="afa"/>
              <w:rPr>
                <w:spacing w:val="-4"/>
              </w:rPr>
            </w:pPr>
            <w:r>
              <w:rPr>
                <w:rFonts w:hint="eastAsia"/>
                <w:spacing w:val="-4"/>
              </w:rPr>
              <w:t>19.3509</w:t>
            </w:r>
          </w:p>
        </w:tc>
      </w:tr>
      <w:tr w:rsidR="00EE56C0">
        <w:trPr>
          <w:trHeight w:val="397"/>
          <w:jc w:val="center"/>
        </w:trPr>
        <w:tc>
          <w:tcPr>
            <w:tcW w:w="694" w:type="pct"/>
            <w:vMerge/>
            <w:vAlign w:val="center"/>
          </w:tcPr>
          <w:p w:rsidR="00EE56C0" w:rsidRDefault="00EE56C0">
            <w:pPr>
              <w:pStyle w:val="afa"/>
              <w:rPr>
                <w:spacing w:val="-4"/>
              </w:rPr>
            </w:pPr>
          </w:p>
        </w:tc>
        <w:tc>
          <w:tcPr>
            <w:tcW w:w="1076" w:type="pct"/>
            <w:vMerge/>
            <w:vAlign w:val="center"/>
          </w:tcPr>
          <w:p w:rsidR="00EE56C0" w:rsidRDefault="00EE56C0">
            <w:pPr>
              <w:pStyle w:val="afa"/>
              <w:rPr>
                <w:spacing w:val="-4"/>
              </w:rPr>
            </w:pPr>
          </w:p>
        </w:tc>
        <w:tc>
          <w:tcPr>
            <w:tcW w:w="986" w:type="pct"/>
            <w:vAlign w:val="center"/>
          </w:tcPr>
          <w:p w:rsidR="00EE56C0" w:rsidRDefault="000F36A1">
            <w:pPr>
              <w:pStyle w:val="afa"/>
              <w:rPr>
                <w:spacing w:val="-4"/>
              </w:rPr>
            </w:pPr>
            <w:r>
              <w:rPr>
                <w:rFonts w:hint="eastAsia"/>
                <w:spacing w:val="-4"/>
              </w:rPr>
              <w:t>非甲烷总烃</w:t>
            </w:r>
          </w:p>
        </w:tc>
        <w:tc>
          <w:tcPr>
            <w:tcW w:w="1009" w:type="pct"/>
            <w:vAlign w:val="center"/>
          </w:tcPr>
          <w:p w:rsidR="00EE56C0" w:rsidRDefault="000F36A1">
            <w:pPr>
              <w:pStyle w:val="afa"/>
            </w:pPr>
            <w:r>
              <w:rPr>
                <w:rFonts w:hint="eastAsia"/>
                <w:spacing w:val="-4"/>
              </w:rPr>
              <w:t>/</w:t>
            </w:r>
          </w:p>
        </w:tc>
        <w:tc>
          <w:tcPr>
            <w:tcW w:w="724" w:type="pct"/>
            <w:vAlign w:val="center"/>
          </w:tcPr>
          <w:p w:rsidR="00EE56C0" w:rsidRDefault="000F36A1">
            <w:pPr>
              <w:pStyle w:val="afa"/>
              <w:rPr>
                <w:spacing w:val="-4"/>
              </w:rPr>
            </w:pPr>
            <w:r>
              <w:rPr>
                <w:rFonts w:hint="eastAsia"/>
                <w:spacing w:val="-4"/>
              </w:rPr>
              <w:t>4.3344</w:t>
            </w:r>
          </w:p>
        </w:tc>
        <w:tc>
          <w:tcPr>
            <w:tcW w:w="511" w:type="pct"/>
            <w:vMerge/>
            <w:vAlign w:val="center"/>
          </w:tcPr>
          <w:p w:rsidR="00EE56C0" w:rsidRDefault="00EE56C0">
            <w:pPr>
              <w:pStyle w:val="afa"/>
              <w:rPr>
                <w:spacing w:val="-4"/>
              </w:rPr>
            </w:pPr>
          </w:p>
        </w:tc>
      </w:tr>
      <w:tr w:rsidR="00EE56C0">
        <w:trPr>
          <w:trHeight w:val="397"/>
          <w:jc w:val="center"/>
        </w:trPr>
        <w:tc>
          <w:tcPr>
            <w:tcW w:w="694" w:type="pct"/>
            <w:vMerge/>
            <w:vAlign w:val="center"/>
          </w:tcPr>
          <w:p w:rsidR="00EE56C0" w:rsidRDefault="00EE56C0">
            <w:pPr>
              <w:pStyle w:val="afa"/>
              <w:rPr>
                <w:spacing w:val="-4"/>
              </w:rPr>
            </w:pPr>
          </w:p>
        </w:tc>
        <w:tc>
          <w:tcPr>
            <w:tcW w:w="1076" w:type="pct"/>
            <w:vMerge/>
            <w:vAlign w:val="center"/>
          </w:tcPr>
          <w:p w:rsidR="00EE56C0" w:rsidRDefault="00EE56C0">
            <w:pPr>
              <w:pStyle w:val="afa"/>
              <w:rPr>
                <w:spacing w:val="-4"/>
              </w:rPr>
            </w:pPr>
          </w:p>
        </w:tc>
        <w:tc>
          <w:tcPr>
            <w:tcW w:w="986" w:type="pct"/>
            <w:vAlign w:val="center"/>
          </w:tcPr>
          <w:p w:rsidR="00EE56C0" w:rsidRDefault="000F36A1">
            <w:pPr>
              <w:pStyle w:val="afa"/>
              <w:rPr>
                <w:spacing w:val="-4"/>
              </w:rPr>
            </w:pPr>
            <w:r>
              <w:rPr>
                <w:spacing w:val="-4"/>
              </w:rPr>
              <w:t>二甲苯</w:t>
            </w:r>
          </w:p>
        </w:tc>
        <w:tc>
          <w:tcPr>
            <w:tcW w:w="1009" w:type="pct"/>
            <w:vAlign w:val="center"/>
          </w:tcPr>
          <w:p w:rsidR="00EE56C0" w:rsidRDefault="000F36A1">
            <w:pPr>
              <w:pStyle w:val="afa"/>
              <w:rPr>
                <w:spacing w:val="-4"/>
              </w:rPr>
            </w:pPr>
            <w:r>
              <w:rPr>
                <w:rFonts w:hint="eastAsia"/>
                <w:spacing w:val="-4"/>
              </w:rPr>
              <w:t>/</w:t>
            </w:r>
          </w:p>
        </w:tc>
        <w:tc>
          <w:tcPr>
            <w:tcW w:w="724" w:type="pct"/>
            <w:vAlign w:val="center"/>
          </w:tcPr>
          <w:p w:rsidR="00EE56C0" w:rsidRDefault="000F36A1">
            <w:pPr>
              <w:pStyle w:val="afa"/>
              <w:rPr>
                <w:spacing w:val="-4"/>
              </w:rPr>
            </w:pPr>
            <w:r>
              <w:rPr>
                <w:rFonts w:hint="eastAsia"/>
                <w:spacing w:val="-4"/>
              </w:rPr>
              <w:t>5.4216</w:t>
            </w:r>
          </w:p>
        </w:tc>
        <w:tc>
          <w:tcPr>
            <w:tcW w:w="511" w:type="pct"/>
            <w:vMerge/>
            <w:vAlign w:val="center"/>
          </w:tcPr>
          <w:p w:rsidR="00EE56C0" w:rsidRDefault="00EE56C0">
            <w:pPr>
              <w:pStyle w:val="afa"/>
              <w:rPr>
                <w:spacing w:val="-4"/>
              </w:rPr>
            </w:pPr>
          </w:p>
        </w:tc>
      </w:tr>
      <w:tr w:rsidR="00EE56C0">
        <w:trPr>
          <w:trHeight w:val="397"/>
          <w:jc w:val="center"/>
        </w:trPr>
        <w:tc>
          <w:tcPr>
            <w:tcW w:w="694" w:type="pct"/>
            <w:vMerge/>
            <w:vAlign w:val="center"/>
          </w:tcPr>
          <w:p w:rsidR="00EE56C0" w:rsidRDefault="00EE56C0">
            <w:pPr>
              <w:pStyle w:val="afa"/>
              <w:rPr>
                <w:spacing w:val="-4"/>
              </w:rPr>
            </w:pPr>
          </w:p>
        </w:tc>
        <w:tc>
          <w:tcPr>
            <w:tcW w:w="1076" w:type="pct"/>
            <w:vMerge/>
            <w:vAlign w:val="center"/>
          </w:tcPr>
          <w:p w:rsidR="00EE56C0" w:rsidRDefault="00EE56C0">
            <w:pPr>
              <w:pStyle w:val="afa"/>
              <w:rPr>
                <w:spacing w:val="-4"/>
              </w:rPr>
            </w:pPr>
          </w:p>
        </w:tc>
        <w:tc>
          <w:tcPr>
            <w:tcW w:w="986" w:type="pct"/>
            <w:vAlign w:val="center"/>
          </w:tcPr>
          <w:p w:rsidR="00EE56C0" w:rsidRDefault="000F36A1">
            <w:pPr>
              <w:pStyle w:val="afa"/>
              <w:rPr>
                <w:spacing w:val="-4"/>
              </w:rPr>
            </w:pPr>
            <w:r>
              <w:rPr>
                <w:rFonts w:hint="eastAsia"/>
                <w:spacing w:val="-4"/>
              </w:rPr>
              <w:t>甲苯</w:t>
            </w:r>
          </w:p>
        </w:tc>
        <w:tc>
          <w:tcPr>
            <w:tcW w:w="1009" w:type="pct"/>
            <w:vAlign w:val="center"/>
          </w:tcPr>
          <w:p w:rsidR="00EE56C0" w:rsidRDefault="000F36A1">
            <w:pPr>
              <w:pStyle w:val="afa"/>
            </w:pPr>
            <w:r>
              <w:rPr>
                <w:rFonts w:hint="eastAsia"/>
                <w:spacing w:val="-4"/>
              </w:rPr>
              <w:t>/</w:t>
            </w:r>
          </w:p>
        </w:tc>
        <w:tc>
          <w:tcPr>
            <w:tcW w:w="724" w:type="pct"/>
            <w:vAlign w:val="center"/>
          </w:tcPr>
          <w:p w:rsidR="00EE56C0" w:rsidRDefault="000F36A1">
            <w:pPr>
              <w:pStyle w:val="afa"/>
              <w:rPr>
                <w:spacing w:val="-4"/>
              </w:rPr>
            </w:pPr>
            <w:r>
              <w:rPr>
                <w:rFonts w:hint="eastAsia"/>
                <w:spacing w:val="-4"/>
              </w:rPr>
              <w:t>2.3472</w:t>
            </w:r>
          </w:p>
        </w:tc>
        <w:tc>
          <w:tcPr>
            <w:tcW w:w="511" w:type="pct"/>
            <w:vMerge/>
            <w:vAlign w:val="center"/>
          </w:tcPr>
          <w:p w:rsidR="00EE56C0" w:rsidRDefault="00EE56C0">
            <w:pPr>
              <w:pStyle w:val="afa"/>
              <w:rPr>
                <w:spacing w:val="-4"/>
              </w:rPr>
            </w:pPr>
          </w:p>
        </w:tc>
      </w:tr>
      <w:tr w:rsidR="00EE56C0">
        <w:trPr>
          <w:trHeight w:val="397"/>
          <w:jc w:val="center"/>
        </w:trPr>
        <w:tc>
          <w:tcPr>
            <w:tcW w:w="694" w:type="pct"/>
            <w:vMerge/>
            <w:vAlign w:val="center"/>
          </w:tcPr>
          <w:p w:rsidR="00EE56C0" w:rsidRDefault="00EE56C0">
            <w:pPr>
              <w:pStyle w:val="afa"/>
              <w:rPr>
                <w:spacing w:val="-4"/>
              </w:rPr>
            </w:pPr>
          </w:p>
        </w:tc>
        <w:tc>
          <w:tcPr>
            <w:tcW w:w="1076" w:type="pct"/>
            <w:vMerge/>
            <w:vAlign w:val="center"/>
          </w:tcPr>
          <w:p w:rsidR="00EE56C0" w:rsidRDefault="00EE56C0">
            <w:pPr>
              <w:pStyle w:val="afa"/>
              <w:rPr>
                <w:spacing w:val="-4"/>
              </w:rPr>
            </w:pPr>
          </w:p>
        </w:tc>
        <w:tc>
          <w:tcPr>
            <w:tcW w:w="986" w:type="pct"/>
            <w:vAlign w:val="center"/>
          </w:tcPr>
          <w:p w:rsidR="00EE56C0" w:rsidRDefault="000F36A1">
            <w:pPr>
              <w:pStyle w:val="afa"/>
              <w:rPr>
                <w:spacing w:val="-4"/>
              </w:rPr>
            </w:pPr>
            <w:r>
              <w:rPr>
                <w:rFonts w:hint="eastAsia"/>
                <w:spacing w:val="-4"/>
              </w:rPr>
              <w:t>苯</w:t>
            </w:r>
          </w:p>
        </w:tc>
        <w:tc>
          <w:tcPr>
            <w:tcW w:w="1009" w:type="pct"/>
            <w:vAlign w:val="center"/>
          </w:tcPr>
          <w:p w:rsidR="00EE56C0" w:rsidRDefault="000F36A1">
            <w:pPr>
              <w:pStyle w:val="afa"/>
              <w:rPr>
                <w:spacing w:val="-4"/>
              </w:rPr>
            </w:pPr>
            <w:r>
              <w:rPr>
                <w:rFonts w:hint="eastAsia"/>
                <w:spacing w:val="-4"/>
              </w:rPr>
              <w:t>/</w:t>
            </w:r>
          </w:p>
        </w:tc>
        <w:tc>
          <w:tcPr>
            <w:tcW w:w="724" w:type="pct"/>
            <w:vAlign w:val="center"/>
          </w:tcPr>
          <w:p w:rsidR="00EE56C0" w:rsidRDefault="000F36A1">
            <w:pPr>
              <w:pStyle w:val="afa"/>
              <w:rPr>
                <w:spacing w:val="-4"/>
              </w:rPr>
            </w:pPr>
            <w:r>
              <w:rPr>
                <w:rFonts w:hint="eastAsia"/>
                <w:spacing w:val="-4"/>
              </w:rPr>
              <w:t>0.1368</w:t>
            </w:r>
          </w:p>
        </w:tc>
        <w:tc>
          <w:tcPr>
            <w:tcW w:w="511" w:type="pct"/>
            <w:vMerge/>
            <w:vAlign w:val="center"/>
          </w:tcPr>
          <w:p w:rsidR="00EE56C0" w:rsidRDefault="00EE56C0">
            <w:pPr>
              <w:pStyle w:val="afa"/>
              <w:rPr>
                <w:spacing w:val="-4"/>
              </w:rPr>
            </w:pPr>
          </w:p>
        </w:tc>
      </w:tr>
      <w:tr w:rsidR="00EE56C0">
        <w:trPr>
          <w:trHeight w:val="397"/>
          <w:jc w:val="center"/>
        </w:trPr>
        <w:tc>
          <w:tcPr>
            <w:tcW w:w="694" w:type="pct"/>
            <w:vMerge/>
            <w:vAlign w:val="center"/>
          </w:tcPr>
          <w:p w:rsidR="00EE56C0" w:rsidRDefault="00EE56C0">
            <w:pPr>
              <w:pStyle w:val="afa"/>
              <w:rPr>
                <w:spacing w:val="-4"/>
              </w:rPr>
            </w:pPr>
          </w:p>
        </w:tc>
        <w:tc>
          <w:tcPr>
            <w:tcW w:w="1076" w:type="pct"/>
            <w:vMerge/>
            <w:vAlign w:val="center"/>
          </w:tcPr>
          <w:p w:rsidR="00EE56C0" w:rsidRDefault="00EE56C0">
            <w:pPr>
              <w:pStyle w:val="afa"/>
              <w:rPr>
                <w:spacing w:val="-4"/>
              </w:rPr>
            </w:pPr>
          </w:p>
        </w:tc>
        <w:tc>
          <w:tcPr>
            <w:tcW w:w="986" w:type="pct"/>
            <w:vAlign w:val="center"/>
          </w:tcPr>
          <w:p w:rsidR="00EE56C0" w:rsidRDefault="000F36A1">
            <w:pPr>
              <w:pStyle w:val="afa"/>
              <w:rPr>
                <w:spacing w:val="-4"/>
              </w:rPr>
            </w:pPr>
            <w:r>
              <w:rPr>
                <w:rFonts w:hint="eastAsia"/>
                <w:spacing w:val="-4"/>
              </w:rPr>
              <w:t>VOCs</w:t>
            </w:r>
          </w:p>
        </w:tc>
        <w:tc>
          <w:tcPr>
            <w:tcW w:w="1009" w:type="pct"/>
            <w:vAlign w:val="center"/>
          </w:tcPr>
          <w:p w:rsidR="00EE56C0" w:rsidRDefault="00EE56C0">
            <w:pPr>
              <w:pStyle w:val="afa"/>
              <w:rPr>
                <w:spacing w:val="-4"/>
              </w:rPr>
            </w:pPr>
          </w:p>
        </w:tc>
        <w:tc>
          <w:tcPr>
            <w:tcW w:w="724" w:type="pct"/>
            <w:vAlign w:val="center"/>
          </w:tcPr>
          <w:p w:rsidR="00EE56C0" w:rsidRDefault="000F36A1">
            <w:pPr>
              <w:pStyle w:val="afa"/>
              <w:rPr>
                <w:spacing w:val="-4"/>
              </w:rPr>
            </w:pPr>
            <w:r>
              <w:rPr>
                <w:rFonts w:hint="eastAsia"/>
                <w:spacing w:val="-4"/>
              </w:rPr>
              <w:t>12.8016</w:t>
            </w:r>
          </w:p>
        </w:tc>
        <w:tc>
          <w:tcPr>
            <w:tcW w:w="511" w:type="pct"/>
            <w:vMerge/>
            <w:vAlign w:val="center"/>
          </w:tcPr>
          <w:p w:rsidR="00EE56C0" w:rsidRDefault="00EE56C0">
            <w:pPr>
              <w:pStyle w:val="afa"/>
              <w:rPr>
                <w:spacing w:val="-4"/>
              </w:rPr>
            </w:pPr>
          </w:p>
        </w:tc>
      </w:tr>
      <w:tr w:rsidR="00EE56C0">
        <w:trPr>
          <w:trHeight w:val="397"/>
          <w:jc w:val="center"/>
        </w:trPr>
        <w:tc>
          <w:tcPr>
            <w:tcW w:w="694" w:type="pct"/>
            <w:vMerge/>
            <w:vAlign w:val="center"/>
          </w:tcPr>
          <w:p w:rsidR="00EE56C0" w:rsidRDefault="00EE56C0">
            <w:pPr>
              <w:pStyle w:val="afa"/>
              <w:rPr>
                <w:spacing w:val="-4"/>
              </w:rPr>
            </w:pPr>
          </w:p>
        </w:tc>
        <w:tc>
          <w:tcPr>
            <w:tcW w:w="1076" w:type="pct"/>
            <w:vMerge w:val="restart"/>
            <w:vAlign w:val="center"/>
          </w:tcPr>
          <w:p w:rsidR="00EE56C0" w:rsidRDefault="000F36A1">
            <w:pPr>
              <w:pStyle w:val="afa"/>
              <w:rPr>
                <w:spacing w:val="-4"/>
              </w:rPr>
            </w:pPr>
            <w:r>
              <w:rPr>
                <w:rFonts w:hint="eastAsia"/>
                <w:spacing w:val="-4"/>
              </w:rPr>
              <w:t>无组织</w:t>
            </w:r>
          </w:p>
        </w:tc>
        <w:tc>
          <w:tcPr>
            <w:tcW w:w="986" w:type="pct"/>
            <w:vAlign w:val="center"/>
          </w:tcPr>
          <w:p w:rsidR="00EE56C0" w:rsidRDefault="000F36A1">
            <w:pPr>
              <w:pStyle w:val="afa"/>
              <w:rPr>
                <w:spacing w:val="-4"/>
              </w:rPr>
            </w:pPr>
            <w:r>
              <w:rPr>
                <w:spacing w:val="-4"/>
              </w:rPr>
              <w:t>酚类</w:t>
            </w:r>
          </w:p>
        </w:tc>
        <w:tc>
          <w:tcPr>
            <w:tcW w:w="1009" w:type="pct"/>
            <w:vAlign w:val="center"/>
          </w:tcPr>
          <w:p w:rsidR="00EE56C0" w:rsidRDefault="000F36A1">
            <w:pPr>
              <w:pStyle w:val="afa"/>
            </w:pPr>
            <w:r>
              <w:rPr>
                <w:rFonts w:hint="eastAsia"/>
                <w:spacing w:val="-4"/>
              </w:rPr>
              <w:t>/</w:t>
            </w:r>
          </w:p>
        </w:tc>
        <w:tc>
          <w:tcPr>
            <w:tcW w:w="724" w:type="pct"/>
            <w:vAlign w:val="center"/>
          </w:tcPr>
          <w:p w:rsidR="00EE56C0" w:rsidRDefault="000F36A1">
            <w:pPr>
              <w:pStyle w:val="afa"/>
              <w:rPr>
                <w:rFonts w:eastAsia="宋体"/>
              </w:rPr>
            </w:pPr>
            <w:r>
              <w:t xml:space="preserve">3.5876 </w:t>
            </w:r>
          </w:p>
        </w:tc>
        <w:tc>
          <w:tcPr>
            <w:tcW w:w="511" w:type="pct"/>
            <w:vMerge/>
            <w:vAlign w:val="center"/>
          </w:tcPr>
          <w:p w:rsidR="00EE56C0" w:rsidRDefault="00EE56C0">
            <w:pPr>
              <w:pStyle w:val="afa"/>
              <w:rPr>
                <w:spacing w:val="-4"/>
              </w:rPr>
            </w:pPr>
          </w:p>
        </w:tc>
      </w:tr>
      <w:tr w:rsidR="00EE56C0">
        <w:trPr>
          <w:trHeight w:val="397"/>
          <w:jc w:val="center"/>
        </w:trPr>
        <w:tc>
          <w:tcPr>
            <w:tcW w:w="694" w:type="pct"/>
            <w:vMerge/>
            <w:vAlign w:val="center"/>
          </w:tcPr>
          <w:p w:rsidR="00EE56C0" w:rsidRDefault="00EE56C0">
            <w:pPr>
              <w:pStyle w:val="afa"/>
              <w:rPr>
                <w:spacing w:val="-4"/>
              </w:rPr>
            </w:pPr>
          </w:p>
        </w:tc>
        <w:tc>
          <w:tcPr>
            <w:tcW w:w="1076" w:type="pct"/>
            <w:vMerge/>
            <w:vAlign w:val="center"/>
          </w:tcPr>
          <w:p w:rsidR="00EE56C0" w:rsidRDefault="00EE56C0">
            <w:pPr>
              <w:pStyle w:val="afa"/>
              <w:rPr>
                <w:spacing w:val="-4"/>
              </w:rPr>
            </w:pPr>
          </w:p>
        </w:tc>
        <w:tc>
          <w:tcPr>
            <w:tcW w:w="986" w:type="pct"/>
            <w:vAlign w:val="center"/>
          </w:tcPr>
          <w:p w:rsidR="00EE56C0" w:rsidRDefault="000F36A1">
            <w:pPr>
              <w:pStyle w:val="afa"/>
              <w:rPr>
                <w:spacing w:val="-4"/>
              </w:rPr>
            </w:pPr>
            <w:r>
              <w:rPr>
                <w:rFonts w:hint="eastAsia"/>
                <w:spacing w:val="-4"/>
              </w:rPr>
              <w:t>非甲烷总烃</w:t>
            </w:r>
          </w:p>
        </w:tc>
        <w:tc>
          <w:tcPr>
            <w:tcW w:w="1009" w:type="pct"/>
            <w:vAlign w:val="center"/>
          </w:tcPr>
          <w:p w:rsidR="00EE56C0" w:rsidRDefault="000F36A1">
            <w:pPr>
              <w:pStyle w:val="afa"/>
            </w:pPr>
            <w:r>
              <w:rPr>
                <w:rFonts w:hint="eastAsia"/>
                <w:spacing w:val="-4"/>
              </w:rPr>
              <w:t>/</w:t>
            </w:r>
          </w:p>
        </w:tc>
        <w:tc>
          <w:tcPr>
            <w:tcW w:w="724" w:type="pct"/>
            <w:vAlign w:val="center"/>
          </w:tcPr>
          <w:p w:rsidR="00EE56C0" w:rsidRDefault="000F36A1">
            <w:pPr>
              <w:pStyle w:val="afa"/>
              <w:rPr>
                <w:rFonts w:eastAsia="宋体"/>
              </w:rPr>
            </w:pPr>
            <w:r>
              <w:t xml:space="preserve">2.5232 </w:t>
            </w:r>
          </w:p>
        </w:tc>
        <w:tc>
          <w:tcPr>
            <w:tcW w:w="511" w:type="pct"/>
            <w:vMerge/>
            <w:vAlign w:val="center"/>
          </w:tcPr>
          <w:p w:rsidR="00EE56C0" w:rsidRDefault="00EE56C0">
            <w:pPr>
              <w:pStyle w:val="afa"/>
              <w:rPr>
                <w:spacing w:val="-4"/>
              </w:rPr>
            </w:pPr>
          </w:p>
        </w:tc>
      </w:tr>
      <w:tr w:rsidR="00EE56C0">
        <w:trPr>
          <w:trHeight w:val="397"/>
          <w:jc w:val="center"/>
        </w:trPr>
        <w:tc>
          <w:tcPr>
            <w:tcW w:w="694" w:type="pct"/>
            <w:vMerge/>
            <w:vAlign w:val="center"/>
          </w:tcPr>
          <w:p w:rsidR="00EE56C0" w:rsidRDefault="00EE56C0">
            <w:pPr>
              <w:pStyle w:val="afa"/>
              <w:rPr>
                <w:spacing w:val="-4"/>
              </w:rPr>
            </w:pPr>
          </w:p>
        </w:tc>
        <w:tc>
          <w:tcPr>
            <w:tcW w:w="1076" w:type="pct"/>
            <w:vMerge/>
            <w:vAlign w:val="center"/>
          </w:tcPr>
          <w:p w:rsidR="00EE56C0" w:rsidRDefault="00EE56C0">
            <w:pPr>
              <w:pStyle w:val="afa"/>
              <w:rPr>
                <w:spacing w:val="-4"/>
              </w:rPr>
            </w:pPr>
          </w:p>
        </w:tc>
        <w:tc>
          <w:tcPr>
            <w:tcW w:w="986" w:type="pct"/>
            <w:vAlign w:val="center"/>
          </w:tcPr>
          <w:p w:rsidR="00EE56C0" w:rsidRDefault="000F36A1">
            <w:pPr>
              <w:pStyle w:val="afa"/>
              <w:rPr>
                <w:spacing w:val="-4"/>
              </w:rPr>
            </w:pPr>
            <w:r>
              <w:rPr>
                <w:spacing w:val="-4"/>
              </w:rPr>
              <w:t>二甲苯</w:t>
            </w:r>
          </w:p>
        </w:tc>
        <w:tc>
          <w:tcPr>
            <w:tcW w:w="1009" w:type="pct"/>
            <w:vAlign w:val="center"/>
          </w:tcPr>
          <w:p w:rsidR="00EE56C0" w:rsidRDefault="000F36A1">
            <w:pPr>
              <w:pStyle w:val="afa"/>
              <w:rPr>
                <w:spacing w:val="-4"/>
              </w:rPr>
            </w:pPr>
            <w:r>
              <w:rPr>
                <w:rFonts w:hint="eastAsia"/>
                <w:spacing w:val="-4"/>
              </w:rPr>
              <w:t>/</w:t>
            </w:r>
          </w:p>
        </w:tc>
        <w:tc>
          <w:tcPr>
            <w:tcW w:w="724" w:type="pct"/>
            <w:vAlign w:val="center"/>
          </w:tcPr>
          <w:p w:rsidR="00EE56C0" w:rsidRDefault="000F36A1">
            <w:pPr>
              <w:pStyle w:val="afa"/>
              <w:rPr>
                <w:rFonts w:eastAsia="宋体"/>
              </w:rPr>
            </w:pPr>
            <w:r>
              <w:t xml:space="preserve">0.4061 </w:t>
            </w:r>
          </w:p>
        </w:tc>
        <w:tc>
          <w:tcPr>
            <w:tcW w:w="511" w:type="pct"/>
            <w:vMerge/>
            <w:vAlign w:val="center"/>
          </w:tcPr>
          <w:p w:rsidR="00EE56C0" w:rsidRDefault="00EE56C0">
            <w:pPr>
              <w:pStyle w:val="afa"/>
              <w:rPr>
                <w:spacing w:val="-4"/>
              </w:rPr>
            </w:pPr>
          </w:p>
        </w:tc>
      </w:tr>
      <w:tr w:rsidR="00EE56C0">
        <w:trPr>
          <w:trHeight w:val="397"/>
          <w:jc w:val="center"/>
        </w:trPr>
        <w:tc>
          <w:tcPr>
            <w:tcW w:w="694" w:type="pct"/>
            <w:vMerge/>
            <w:vAlign w:val="center"/>
          </w:tcPr>
          <w:p w:rsidR="00EE56C0" w:rsidRDefault="00EE56C0">
            <w:pPr>
              <w:pStyle w:val="afa"/>
              <w:rPr>
                <w:spacing w:val="-4"/>
              </w:rPr>
            </w:pPr>
          </w:p>
        </w:tc>
        <w:tc>
          <w:tcPr>
            <w:tcW w:w="1076" w:type="pct"/>
            <w:vMerge/>
            <w:vAlign w:val="center"/>
          </w:tcPr>
          <w:p w:rsidR="00EE56C0" w:rsidRDefault="00EE56C0">
            <w:pPr>
              <w:pStyle w:val="afa"/>
              <w:rPr>
                <w:spacing w:val="-4"/>
              </w:rPr>
            </w:pPr>
          </w:p>
        </w:tc>
        <w:tc>
          <w:tcPr>
            <w:tcW w:w="986" w:type="pct"/>
            <w:vAlign w:val="center"/>
          </w:tcPr>
          <w:p w:rsidR="00EE56C0" w:rsidRDefault="000F36A1">
            <w:pPr>
              <w:pStyle w:val="afa"/>
              <w:rPr>
                <w:spacing w:val="-4"/>
              </w:rPr>
            </w:pPr>
            <w:r>
              <w:rPr>
                <w:rFonts w:hint="eastAsia"/>
                <w:spacing w:val="-4"/>
              </w:rPr>
              <w:t>甲苯</w:t>
            </w:r>
          </w:p>
        </w:tc>
        <w:tc>
          <w:tcPr>
            <w:tcW w:w="1009" w:type="pct"/>
            <w:vAlign w:val="center"/>
          </w:tcPr>
          <w:p w:rsidR="00EE56C0" w:rsidRDefault="000F36A1">
            <w:pPr>
              <w:pStyle w:val="afa"/>
            </w:pPr>
            <w:r>
              <w:rPr>
                <w:rFonts w:hint="eastAsia"/>
                <w:spacing w:val="-4"/>
              </w:rPr>
              <w:t>/</w:t>
            </w:r>
          </w:p>
        </w:tc>
        <w:tc>
          <w:tcPr>
            <w:tcW w:w="724" w:type="pct"/>
            <w:vAlign w:val="center"/>
          </w:tcPr>
          <w:p w:rsidR="00EE56C0" w:rsidRDefault="000F36A1">
            <w:pPr>
              <w:pStyle w:val="afa"/>
              <w:rPr>
                <w:rFonts w:eastAsia="宋体"/>
              </w:rPr>
            </w:pPr>
            <w:r>
              <w:t xml:space="preserve">0.0324 </w:t>
            </w:r>
          </w:p>
        </w:tc>
        <w:tc>
          <w:tcPr>
            <w:tcW w:w="511" w:type="pct"/>
            <w:vMerge/>
            <w:vAlign w:val="center"/>
          </w:tcPr>
          <w:p w:rsidR="00EE56C0" w:rsidRDefault="00EE56C0">
            <w:pPr>
              <w:pStyle w:val="afa"/>
              <w:rPr>
                <w:spacing w:val="-4"/>
              </w:rPr>
            </w:pPr>
          </w:p>
        </w:tc>
      </w:tr>
      <w:tr w:rsidR="00EE56C0">
        <w:trPr>
          <w:trHeight w:val="397"/>
          <w:jc w:val="center"/>
        </w:trPr>
        <w:tc>
          <w:tcPr>
            <w:tcW w:w="694" w:type="pct"/>
            <w:vMerge/>
            <w:vAlign w:val="center"/>
          </w:tcPr>
          <w:p w:rsidR="00EE56C0" w:rsidRDefault="00EE56C0">
            <w:pPr>
              <w:pStyle w:val="afa"/>
              <w:rPr>
                <w:spacing w:val="-4"/>
              </w:rPr>
            </w:pPr>
          </w:p>
        </w:tc>
        <w:tc>
          <w:tcPr>
            <w:tcW w:w="1076" w:type="pct"/>
            <w:vMerge/>
            <w:vAlign w:val="center"/>
          </w:tcPr>
          <w:p w:rsidR="00EE56C0" w:rsidRDefault="00EE56C0">
            <w:pPr>
              <w:pStyle w:val="afa"/>
              <w:rPr>
                <w:spacing w:val="-4"/>
              </w:rPr>
            </w:pPr>
          </w:p>
        </w:tc>
        <w:tc>
          <w:tcPr>
            <w:tcW w:w="986" w:type="pct"/>
            <w:vAlign w:val="center"/>
          </w:tcPr>
          <w:p w:rsidR="00EE56C0" w:rsidRDefault="000F36A1">
            <w:pPr>
              <w:pStyle w:val="afa"/>
              <w:rPr>
                <w:spacing w:val="-4"/>
              </w:rPr>
            </w:pPr>
            <w:r>
              <w:rPr>
                <w:rFonts w:hint="eastAsia"/>
                <w:spacing w:val="-4"/>
              </w:rPr>
              <w:t>苯</w:t>
            </w:r>
          </w:p>
        </w:tc>
        <w:tc>
          <w:tcPr>
            <w:tcW w:w="1009" w:type="pct"/>
            <w:vAlign w:val="center"/>
          </w:tcPr>
          <w:p w:rsidR="00EE56C0" w:rsidRDefault="000F36A1">
            <w:pPr>
              <w:pStyle w:val="afa"/>
              <w:rPr>
                <w:spacing w:val="-4"/>
              </w:rPr>
            </w:pPr>
            <w:r>
              <w:rPr>
                <w:rFonts w:hint="eastAsia"/>
                <w:spacing w:val="-4"/>
              </w:rPr>
              <w:t>/</w:t>
            </w:r>
          </w:p>
        </w:tc>
        <w:tc>
          <w:tcPr>
            <w:tcW w:w="724" w:type="pct"/>
            <w:vAlign w:val="center"/>
          </w:tcPr>
          <w:p w:rsidR="00EE56C0" w:rsidRDefault="000F36A1">
            <w:pPr>
              <w:pStyle w:val="afa"/>
              <w:rPr>
                <w:rFonts w:eastAsia="宋体"/>
              </w:rPr>
            </w:pPr>
            <w:r>
              <w:t xml:space="preserve">0.00004 </w:t>
            </w:r>
          </w:p>
        </w:tc>
        <w:tc>
          <w:tcPr>
            <w:tcW w:w="511" w:type="pct"/>
            <w:vMerge/>
            <w:vAlign w:val="center"/>
          </w:tcPr>
          <w:p w:rsidR="00EE56C0" w:rsidRDefault="00EE56C0">
            <w:pPr>
              <w:pStyle w:val="afa"/>
              <w:rPr>
                <w:spacing w:val="-4"/>
              </w:rPr>
            </w:pPr>
          </w:p>
        </w:tc>
      </w:tr>
      <w:tr w:rsidR="00EE56C0">
        <w:trPr>
          <w:trHeight w:val="397"/>
          <w:jc w:val="center"/>
        </w:trPr>
        <w:tc>
          <w:tcPr>
            <w:tcW w:w="694" w:type="pct"/>
            <w:vMerge/>
            <w:vAlign w:val="center"/>
          </w:tcPr>
          <w:p w:rsidR="00EE56C0" w:rsidRDefault="00EE56C0">
            <w:pPr>
              <w:pStyle w:val="afa"/>
              <w:rPr>
                <w:spacing w:val="-4"/>
              </w:rPr>
            </w:pPr>
          </w:p>
        </w:tc>
        <w:tc>
          <w:tcPr>
            <w:tcW w:w="1076" w:type="pct"/>
            <w:vMerge/>
            <w:vAlign w:val="center"/>
          </w:tcPr>
          <w:p w:rsidR="00EE56C0" w:rsidRDefault="00EE56C0">
            <w:pPr>
              <w:pStyle w:val="afa"/>
              <w:rPr>
                <w:spacing w:val="-4"/>
              </w:rPr>
            </w:pPr>
          </w:p>
        </w:tc>
        <w:tc>
          <w:tcPr>
            <w:tcW w:w="986" w:type="pct"/>
            <w:vAlign w:val="center"/>
          </w:tcPr>
          <w:p w:rsidR="00EE56C0" w:rsidRDefault="000F36A1">
            <w:pPr>
              <w:pStyle w:val="afa"/>
              <w:rPr>
                <w:spacing w:val="-4"/>
              </w:rPr>
            </w:pPr>
            <w:r>
              <w:rPr>
                <w:rFonts w:hint="eastAsia"/>
                <w:spacing w:val="-4"/>
              </w:rPr>
              <w:t>VOCs</w:t>
            </w:r>
          </w:p>
        </w:tc>
        <w:tc>
          <w:tcPr>
            <w:tcW w:w="1009" w:type="pct"/>
            <w:vAlign w:val="center"/>
          </w:tcPr>
          <w:p w:rsidR="00EE56C0" w:rsidRDefault="000F36A1">
            <w:pPr>
              <w:pStyle w:val="afa"/>
              <w:rPr>
                <w:spacing w:val="-4"/>
              </w:rPr>
            </w:pPr>
            <w:r>
              <w:rPr>
                <w:rFonts w:hint="eastAsia"/>
                <w:spacing w:val="-4"/>
              </w:rPr>
              <w:t>/</w:t>
            </w:r>
          </w:p>
        </w:tc>
        <w:tc>
          <w:tcPr>
            <w:tcW w:w="724" w:type="pct"/>
            <w:vAlign w:val="center"/>
          </w:tcPr>
          <w:p w:rsidR="00EE56C0" w:rsidRDefault="000F36A1">
            <w:pPr>
              <w:pStyle w:val="afa"/>
              <w:rPr>
                <w:szCs w:val="22"/>
              </w:rPr>
            </w:pPr>
            <w:r>
              <w:rPr>
                <w:rFonts w:hint="eastAsia"/>
              </w:rPr>
              <w:t>6.5493</w:t>
            </w:r>
          </w:p>
        </w:tc>
        <w:tc>
          <w:tcPr>
            <w:tcW w:w="511" w:type="pct"/>
            <w:vMerge/>
            <w:vAlign w:val="center"/>
          </w:tcPr>
          <w:p w:rsidR="00EE56C0" w:rsidRDefault="00EE56C0">
            <w:pPr>
              <w:pStyle w:val="afa"/>
              <w:rPr>
                <w:spacing w:val="-4"/>
              </w:rPr>
            </w:pPr>
          </w:p>
        </w:tc>
      </w:tr>
    </w:tbl>
    <w:p w:rsidR="00EE56C0" w:rsidRDefault="000F36A1">
      <w:pPr>
        <w:pStyle w:val="2"/>
        <w:ind w:firstLine="301"/>
      </w:pPr>
      <w:r>
        <w:rPr>
          <w:rFonts w:hint="eastAsia"/>
        </w:rPr>
        <w:t>3.2</w:t>
      </w:r>
      <w:r>
        <w:rPr>
          <w:rFonts w:hint="eastAsia"/>
        </w:rPr>
        <w:t>本项目概况</w:t>
      </w:r>
    </w:p>
    <w:p w:rsidR="00EE56C0" w:rsidRDefault="000F36A1">
      <w:pPr>
        <w:pStyle w:val="3"/>
        <w:spacing w:before="240" w:after="120"/>
      </w:pPr>
      <w:r>
        <w:rPr>
          <w:rFonts w:hint="eastAsia"/>
        </w:rPr>
        <w:t>3.2.1</w:t>
      </w:r>
      <w:r>
        <w:rPr>
          <w:rFonts w:hint="eastAsia"/>
        </w:rPr>
        <w:t>本项目基本情况</w:t>
      </w:r>
    </w:p>
    <w:p w:rsidR="00EE56C0" w:rsidRDefault="000F36A1">
      <w:pPr>
        <w:ind w:firstLine="480"/>
      </w:pPr>
      <w:r>
        <w:rPr>
          <w:rFonts w:hint="eastAsia"/>
        </w:rPr>
        <w:t>随着工业信息化技术的提高，</w:t>
      </w:r>
      <w:r>
        <w:t>河南华洋电工科技集团有限公司</w:t>
      </w:r>
      <w:r>
        <w:rPr>
          <w:rFonts w:hint="eastAsia"/>
        </w:rPr>
        <w:t>决定引进智能化连拉连包漆包机及智能化物料转运系统，同时对部分漆包机进行节能减排升级改造。</w:t>
      </w:r>
      <w:r>
        <w:t>河南华洋电工科技集团有限公司</w:t>
      </w:r>
      <w:r>
        <w:rPr>
          <w:rFonts w:hint="eastAsia"/>
        </w:rPr>
        <w:t>利用现有厂房</w:t>
      </w:r>
      <w:r>
        <w:t>拟投资</w:t>
      </w:r>
      <w:r>
        <w:t>1</w:t>
      </w:r>
      <w:r>
        <w:rPr>
          <w:rFonts w:hint="eastAsia"/>
        </w:rPr>
        <w:t>375</w:t>
      </w:r>
      <w:r>
        <w:t>0</w:t>
      </w:r>
      <w:r>
        <w:t>万元</w:t>
      </w:r>
      <w:r>
        <w:rPr>
          <w:rFonts w:hint="eastAsia"/>
        </w:rPr>
        <w:t>进行改扩建，改扩建内容分两期进行。</w:t>
      </w:r>
    </w:p>
    <w:p w:rsidR="00EE56C0" w:rsidRDefault="000F36A1">
      <w:pPr>
        <w:ind w:firstLine="480"/>
      </w:pPr>
      <w:r>
        <w:rPr>
          <w:rFonts w:hint="eastAsia"/>
        </w:rPr>
        <w:t>一期内容为：对现有漆包线的</w:t>
      </w:r>
      <w:r>
        <w:rPr>
          <w:rFonts w:hint="eastAsia"/>
        </w:rPr>
        <w:t>10</w:t>
      </w:r>
      <w:r>
        <w:rPr>
          <w:rFonts w:hint="eastAsia"/>
        </w:rPr>
        <w:t>台（</w:t>
      </w:r>
      <w:r>
        <w:rPr>
          <w:rFonts w:hint="eastAsia"/>
        </w:rPr>
        <w:t>6</w:t>
      </w:r>
      <w:r>
        <w:rPr>
          <w:rFonts w:hint="eastAsia"/>
        </w:rPr>
        <w:t>台卧式漆包机、</w:t>
      </w:r>
      <w:r>
        <w:rPr>
          <w:rFonts w:hint="eastAsia"/>
        </w:rPr>
        <w:t>4</w:t>
      </w:r>
      <w:r>
        <w:rPr>
          <w:rFonts w:hint="eastAsia"/>
        </w:rPr>
        <w:t>台立式漆包机）设备进行升级改造，改造内容为</w:t>
      </w:r>
      <w:r>
        <w:rPr>
          <w:rFonts w:hint="eastAsia"/>
        </w:rPr>
        <w:t>6</w:t>
      </w:r>
      <w:r>
        <w:rPr>
          <w:rFonts w:hint="eastAsia"/>
        </w:rPr>
        <w:t>台卧式漆包机更换烘炉或自动换盘、卸盘，设备改造前、后，对应的产品、工艺、生产规模均不发生变化，</w:t>
      </w:r>
      <w:r>
        <w:rPr>
          <w:rFonts w:hint="eastAsia"/>
        </w:rPr>
        <w:t>4</w:t>
      </w:r>
      <w:r>
        <w:rPr>
          <w:rFonts w:hint="eastAsia"/>
        </w:rPr>
        <w:t>台立式漆包机的废气排放有所下降，其余设备仅提高自动化水平，排废不变。同时新增漆包机</w:t>
      </w:r>
      <w:r>
        <w:rPr>
          <w:rFonts w:hint="eastAsia"/>
        </w:rPr>
        <w:t>1</w:t>
      </w:r>
      <w:r>
        <w:rPr>
          <w:rFonts w:hint="eastAsia"/>
        </w:rPr>
        <w:t>台、拉包机</w:t>
      </w:r>
      <w:r>
        <w:rPr>
          <w:rFonts w:hint="eastAsia"/>
        </w:rPr>
        <w:t>5</w:t>
      </w:r>
      <w:r>
        <w:rPr>
          <w:rFonts w:hint="eastAsia"/>
        </w:rPr>
        <w:t>台、丝包机</w:t>
      </w:r>
      <w:r>
        <w:rPr>
          <w:rFonts w:hint="eastAsia"/>
        </w:rPr>
        <w:t>19</w:t>
      </w:r>
      <w:r>
        <w:rPr>
          <w:rFonts w:hint="eastAsia"/>
        </w:rPr>
        <w:t>台、纸包机</w:t>
      </w:r>
      <w:r>
        <w:rPr>
          <w:rFonts w:hint="eastAsia"/>
        </w:rPr>
        <w:t>4</w:t>
      </w:r>
      <w:r>
        <w:rPr>
          <w:rFonts w:hint="eastAsia"/>
        </w:rPr>
        <w:t>台、烧结机</w:t>
      </w:r>
      <w:r>
        <w:rPr>
          <w:rFonts w:hint="eastAsia"/>
        </w:rPr>
        <w:t>2</w:t>
      </w:r>
      <w:r>
        <w:rPr>
          <w:rFonts w:hint="eastAsia"/>
        </w:rPr>
        <w:t>台及相关配套设备。新增设备对应产能分别为：漆包线</w:t>
      </w:r>
      <w:r>
        <w:rPr>
          <w:rFonts w:hint="eastAsia"/>
        </w:rPr>
        <w:t>7700</w:t>
      </w:r>
      <w:r>
        <w:rPr>
          <w:rFonts w:hint="eastAsia"/>
        </w:rPr>
        <w:t>吨</w:t>
      </w:r>
      <w:r>
        <w:rPr>
          <w:rFonts w:hint="eastAsia"/>
        </w:rPr>
        <w:t>/</w:t>
      </w:r>
      <w:r>
        <w:rPr>
          <w:rFonts w:hint="eastAsia"/>
        </w:rPr>
        <w:t>年、纸包线</w:t>
      </w:r>
      <w:r>
        <w:rPr>
          <w:rFonts w:hint="eastAsia"/>
        </w:rPr>
        <w:t>1440</w:t>
      </w:r>
      <w:r>
        <w:rPr>
          <w:rFonts w:hint="eastAsia"/>
        </w:rPr>
        <w:t>吨</w:t>
      </w:r>
      <w:r>
        <w:rPr>
          <w:rFonts w:hint="eastAsia"/>
        </w:rPr>
        <w:t>/</w:t>
      </w:r>
      <w:r>
        <w:rPr>
          <w:rFonts w:hint="eastAsia"/>
        </w:rPr>
        <w:t>年、烧结线</w:t>
      </w:r>
      <w:r>
        <w:rPr>
          <w:rFonts w:hint="eastAsia"/>
        </w:rPr>
        <w:t>240</w:t>
      </w:r>
      <w:r>
        <w:rPr>
          <w:rFonts w:hint="eastAsia"/>
        </w:rPr>
        <w:t>吨</w:t>
      </w:r>
      <w:r>
        <w:rPr>
          <w:rFonts w:hint="eastAsia"/>
        </w:rPr>
        <w:t>/</w:t>
      </w:r>
      <w:r>
        <w:rPr>
          <w:rFonts w:hint="eastAsia"/>
        </w:rPr>
        <w:t>年、丝包线</w:t>
      </w:r>
      <w:r>
        <w:rPr>
          <w:rFonts w:hint="eastAsia"/>
        </w:rPr>
        <w:t>4940</w:t>
      </w:r>
      <w:r>
        <w:rPr>
          <w:rFonts w:hint="eastAsia"/>
        </w:rPr>
        <w:t>吨</w:t>
      </w:r>
      <w:r>
        <w:rPr>
          <w:rFonts w:hint="eastAsia"/>
        </w:rPr>
        <w:t>/</w:t>
      </w:r>
      <w:r>
        <w:rPr>
          <w:rFonts w:hint="eastAsia"/>
        </w:rPr>
        <w:t>年，共计新增产能</w:t>
      </w:r>
      <w:r>
        <w:rPr>
          <w:rFonts w:hint="eastAsia"/>
        </w:rPr>
        <w:t>14320</w:t>
      </w:r>
      <w:r>
        <w:rPr>
          <w:rFonts w:hint="eastAsia"/>
        </w:rPr>
        <w:t>吨</w:t>
      </w:r>
      <w:r>
        <w:rPr>
          <w:rFonts w:hint="eastAsia"/>
        </w:rPr>
        <w:t>/</w:t>
      </w:r>
      <w:r>
        <w:rPr>
          <w:rFonts w:hint="eastAsia"/>
        </w:rPr>
        <w:t>年。</w:t>
      </w:r>
    </w:p>
    <w:p w:rsidR="00EE56C0" w:rsidRDefault="000F36A1">
      <w:pPr>
        <w:ind w:firstLine="480"/>
      </w:pPr>
      <w:r>
        <w:rPr>
          <w:rFonts w:hint="eastAsia"/>
        </w:rPr>
        <w:t>二期内容为：对现有漆包线的</w:t>
      </w:r>
      <w:r>
        <w:rPr>
          <w:rFonts w:hint="eastAsia"/>
        </w:rPr>
        <w:t>6</w:t>
      </w:r>
      <w:r>
        <w:rPr>
          <w:rFonts w:hint="eastAsia"/>
        </w:rPr>
        <w:t>台漆包机烘炉进行改建，设备改造前后，对应的产品、工艺、生产规模均不发生变化，但废气排放有所下降。同时新增漆包机</w:t>
      </w:r>
      <w:r>
        <w:rPr>
          <w:rFonts w:hint="eastAsia"/>
        </w:rPr>
        <w:t>3</w:t>
      </w:r>
      <w:r>
        <w:rPr>
          <w:rFonts w:hint="eastAsia"/>
        </w:rPr>
        <w:t>台、拉包机</w:t>
      </w:r>
      <w:r>
        <w:rPr>
          <w:rFonts w:hint="eastAsia"/>
        </w:rPr>
        <w:t>14</w:t>
      </w:r>
      <w:r>
        <w:rPr>
          <w:rFonts w:hint="eastAsia"/>
        </w:rPr>
        <w:t>台、丝包机</w:t>
      </w:r>
      <w:r>
        <w:rPr>
          <w:rFonts w:hint="eastAsia"/>
        </w:rPr>
        <w:t>15</w:t>
      </w:r>
      <w:r>
        <w:rPr>
          <w:rFonts w:hint="eastAsia"/>
        </w:rPr>
        <w:t>台、烧结机</w:t>
      </w:r>
      <w:r>
        <w:rPr>
          <w:rFonts w:hint="eastAsia"/>
        </w:rPr>
        <w:t>4</w:t>
      </w:r>
      <w:r>
        <w:rPr>
          <w:rFonts w:hint="eastAsia"/>
        </w:rPr>
        <w:t>台及相关配套设备，新增设备对应产能分别为：漆包线</w:t>
      </w:r>
      <w:r>
        <w:rPr>
          <w:rFonts w:hint="eastAsia"/>
        </w:rPr>
        <w:t>21300</w:t>
      </w:r>
      <w:r>
        <w:rPr>
          <w:rFonts w:hint="eastAsia"/>
        </w:rPr>
        <w:t>吨</w:t>
      </w:r>
      <w:r>
        <w:rPr>
          <w:rFonts w:hint="eastAsia"/>
        </w:rPr>
        <w:t>/</w:t>
      </w:r>
      <w:r>
        <w:rPr>
          <w:rFonts w:hint="eastAsia"/>
        </w:rPr>
        <w:t>年、烧结线</w:t>
      </w:r>
      <w:r>
        <w:rPr>
          <w:rFonts w:hint="eastAsia"/>
        </w:rPr>
        <w:t>480</w:t>
      </w:r>
      <w:r>
        <w:rPr>
          <w:rFonts w:hint="eastAsia"/>
        </w:rPr>
        <w:t>吨</w:t>
      </w:r>
      <w:r>
        <w:rPr>
          <w:rFonts w:hint="eastAsia"/>
        </w:rPr>
        <w:t>/</w:t>
      </w:r>
      <w:r>
        <w:rPr>
          <w:rFonts w:hint="eastAsia"/>
        </w:rPr>
        <w:t>年、丝包线</w:t>
      </w:r>
      <w:r>
        <w:rPr>
          <w:rFonts w:hint="eastAsia"/>
        </w:rPr>
        <w:t>3900</w:t>
      </w:r>
      <w:r>
        <w:rPr>
          <w:rFonts w:hint="eastAsia"/>
        </w:rPr>
        <w:t>吨</w:t>
      </w:r>
      <w:r>
        <w:rPr>
          <w:rFonts w:hint="eastAsia"/>
        </w:rPr>
        <w:t>/</w:t>
      </w:r>
      <w:r>
        <w:rPr>
          <w:rFonts w:hint="eastAsia"/>
        </w:rPr>
        <w:t>年，共计新增产能</w:t>
      </w:r>
      <w:r>
        <w:rPr>
          <w:rFonts w:hint="eastAsia"/>
        </w:rPr>
        <w:t>25680</w:t>
      </w:r>
      <w:r>
        <w:rPr>
          <w:rFonts w:hint="eastAsia"/>
        </w:rPr>
        <w:t>吨</w:t>
      </w:r>
      <w:r>
        <w:rPr>
          <w:rFonts w:hint="eastAsia"/>
        </w:rPr>
        <w:t>/</w:t>
      </w:r>
      <w:r>
        <w:rPr>
          <w:rFonts w:hint="eastAsia"/>
        </w:rPr>
        <w:t>年。</w:t>
      </w:r>
    </w:p>
    <w:p w:rsidR="00EE56C0" w:rsidRDefault="000F36A1">
      <w:pPr>
        <w:ind w:firstLine="480"/>
      </w:pPr>
      <w:r>
        <w:rPr>
          <w:rFonts w:hint="eastAsia"/>
        </w:rPr>
        <w:t>一期、二期建成后，全厂漆包线</w:t>
      </w:r>
      <w:r>
        <w:rPr>
          <w:rFonts w:hint="eastAsia"/>
        </w:rPr>
        <w:t>79400</w:t>
      </w:r>
      <w:r>
        <w:rPr>
          <w:rFonts w:hint="eastAsia"/>
        </w:rPr>
        <w:t>吨</w:t>
      </w:r>
      <w:r>
        <w:rPr>
          <w:rFonts w:hint="eastAsia"/>
        </w:rPr>
        <w:t>/</w:t>
      </w:r>
      <w:r>
        <w:rPr>
          <w:rFonts w:hint="eastAsia"/>
        </w:rPr>
        <w:t>年、丝包线</w:t>
      </w:r>
      <w:r>
        <w:rPr>
          <w:rFonts w:hint="eastAsia"/>
        </w:rPr>
        <w:t>11720</w:t>
      </w:r>
      <w:r>
        <w:rPr>
          <w:rFonts w:hint="eastAsia"/>
        </w:rPr>
        <w:t>吨</w:t>
      </w:r>
      <w:r>
        <w:rPr>
          <w:rFonts w:hint="eastAsia"/>
        </w:rPr>
        <w:t>/</w:t>
      </w:r>
      <w:r>
        <w:rPr>
          <w:rFonts w:hint="eastAsia"/>
        </w:rPr>
        <w:t>年、纸包线</w:t>
      </w:r>
      <w:r>
        <w:rPr>
          <w:rFonts w:hint="eastAsia"/>
        </w:rPr>
        <w:t>6160</w:t>
      </w:r>
      <w:r>
        <w:rPr>
          <w:rFonts w:hint="eastAsia"/>
        </w:rPr>
        <w:t>吨</w:t>
      </w:r>
      <w:r>
        <w:rPr>
          <w:rFonts w:hint="eastAsia"/>
        </w:rPr>
        <w:t>/</w:t>
      </w:r>
      <w:r>
        <w:rPr>
          <w:rFonts w:hint="eastAsia"/>
        </w:rPr>
        <w:t>年、烧结线</w:t>
      </w:r>
      <w:r>
        <w:rPr>
          <w:rFonts w:hint="eastAsia"/>
        </w:rPr>
        <w:t>2720</w:t>
      </w:r>
      <w:r>
        <w:rPr>
          <w:rFonts w:hint="eastAsia"/>
        </w:rPr>
        <w:t>吨</w:t>
      </w:r>
      <w:r>
        <w:rPr>
          <w:rFonts w:hint="eastAsia"/>
        </w:rPr>
        <w:t>/</w:t>
      </w:r>
      <w:r>
        <w:rPr>
          <w:rFonts w:hint="eastAsia"/>
        </w:rPr>
        <w:t>年，绝缘线生产能力达到</w:t>
      </w:r>
      <w:r>
        <w:rPr>
          <w:rFonts w:hint="eastAsia"/>
        </w:rPr>
        <w:t>10</w:t>
      </w:r>
      <w:r>
        <w:rPr>
          <w:rFonts w:hint="eastAsia"/>
        </w:rPr>
        <w:t>万吨</w:t>
      </w:r>
      <w:r>
        <w:rPr>
          <w:rFonts w:hint="eastAsia"/>
        </w:rPr>
        <w:t>/</w:t>
      </w:r>
      <w:r>
        <w:rPr>
          <w:rFonts w:hint="eastAsia"/>
        </w:rPr>
        <w:t>年。</w:t>
      </w:r>
    </w:p>
    <w:p w:rsidR="0009365D" w:rsidRPr="0009365D" w:rsidRDefault="0009365D" w:rsidP="0009365D">
      <w:pPr>
        <w:ind w:firstLine="482"/>
        <w:rPr>
          <w:b/>
          <w:u w:val="single"/>
        </w:rPr>
      </w:pPr>
      <w:r w:rsidRPr="0009365D">
        <w:rPr>
          <w:rFonts w:hint="eastAsia"/>
          <w:b/>
          <w:u w:val="single"/>
        </w:rPr>
        <w:t>综上所述，改建内容：</w:t>
      </w:r>
      <w:r w:rsidRPr="0009365D">
        <w:rPr>
          <w:rFonts w:hint="eastAsia"/>
          <w:b/>
          <w:u w:val="single"/>
        </w:rPr>
        <w:t>1</w:t>
      </w:r>
      <w:r w:rsidRPr="0009365D">
        <w:rPr>
          <w:rFonts w:hint="eastAsia"/>
          <w:b/>
          <w:u w:val="single"/>
        </w:rPr>
        <w:t>、对现有部分漆包线烘干系统进行改造，改造后排废降低；</w:t>
      </w:r>
      <w:r w:rsidRPr="0009365D">
        <w:rPr>
          <w:rFonts w:hint="eastAsia"/>
          <w:b/>
          <w:u w:val="single"/>
        </w:rPr>
        <w:t>2</w:t>
      </w:r>
      <w:r w:rsidRPr="0009365D">
        <w:rPr>
          <w:rFonts w:hint="eastAsia"/>
          <w:b/>
          <w:u w:val="single"/>
        </w:rPr>
        <w:t>、提高部分漆包线自动化生产水平，增加自动换盘、卸盘，其产能、工艺、生产规模均不变）。扩建内容：新增漆包机、拉包机、丝包机、纸包机</w:t>
      </w:r>
      <w:r w:rsidRPr="0009365D">
        <w:rPr>
          <w:rFonts w:hint="eastAsia"/>
          <w:b/>
          <w:u w:val="single"/>
        </w:rPr>
        <w:lastRenderedPageBreak/>
        <w:t>及相关配套设备。项目完成后，新增产能</w:t>
      </w:r>
      <w:r w:rsidRPr="0009365D">
        <w:rPr>
          <w:rFonts w:hint="eastAsia"/>
          <w:b/>
          <w:u w:val="single"/>
        </w:rPr>
        <w:t>4</w:t>
      </w:r>
      <w:r w:rsidRPr="0009365D">
        <w:rPr>
          <w:rFonts w:hint="eastAsia"/>
          <w:b/>
          <w:u w:val="single"/>
        </w:rPr>
        <w:t>万吨</w:t>
      </w:r>
      <w:r w:rsidRPr="0009365D">
        <w:rPr>
          <w:rFonts w:hint="eastAsia"/>
          <w:b/>
          <w:u w:val="single"/>
        </w:rPr>
        <w:t>/</w:t>
      </w:r>
      <w:r w:rsidRPr="0009365D">
        <w:rPr>
          <w:rFonts w:hint="eastAsia"/>
          <w:b/>
          <w:u w:val="single"/>
        </w:rPr>
        <w:t>年，全厂产能</w:t>
      </w:r>
      <w:r w:rsidRPr="0009365D">
        <w:rPr>
          <w:rFonts w:hint="eastAsia"/>
          <w:b/>
          <w:u w:val="single"/>
        </w:rPr>
        <w:t>10</w:t>
      </w:r>
      <w:r w:rsidRPr="0009365D">
        <w:rPr>
          <w:rFonts w:hint="eastAsia"/>
          <w:b/>
          <w:u w:val="single"/>
        </w:rPr>
        <w:t>万吨</w:t>
      </w:r>
      <w:r w:rsidRPr="0009365D">
        <w:rPr>
          <w:rFonts w:hint="eastAsia"/>
          <w:b/>
          <w:u w:val="single"/>
        </w:rPr>
        <w:t>/</w:t>
      </w:r>
      <w:r w:rsidRPr="0009365D">
        <w:rPr>
          <w:rFonts w:hint="eastAsia"/>
          <w:b/>
          <w:u w:val="single"/>
        </w:rPr>
        <w:t>年。</w:t>
      </w:r>
    </w:p>
    <w:p w:rsidR="00EE56C0" w:rsidRDefault="000F36A1">
      <w:pPr>
        <w:ind w:firstLine="480"/>
      </w:pPr>
      <w:r>
        <w:rPr>
          <w:rFonts w:hint="eastAsia"/>
        </w:rPr>
        <w:t>本项目基本情况见下表。</w:t>
      </w:r>
    </w:p>
    <w:p w:rsidR="00EE56C0" w:rsidRDefault="000F36A1">
      <w:pPr>
        <w:pStyle w:val="afd"/>
        <w:spacing w:before="120" w:after="120"/>
        <w:ind w:firstLine="482"/>
      </w:pPr>
      <w:r>
        <w:t>表</w:t>
      </w:r>
      <w:r>
        <w:rPr>
          <w:rFonts w:hint="eastAsia"/>
        </w:rPr>
        <w:t xml:space="preserve">3-12                   </w:t>
      </w:r>
      <w:r>
        <w:rPr>
          <w:rFonts w:hint="eastAsia"/>
        </w:rPr>
        <w:t>项目</w:t>
      </w:r>
      <w:r>
        <w:t>基本情况</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tblPr>
      <w:tblGrid>
        <w:gridCol w:w="694"/>
        <w:gridCol w:w="1540"/>
        <w:gridCol w:w="6294"/>
      </w:tblGrid>
      <w:tr w:rsidR="00EE56C0">
        <w:trPr>
          <w:trHeight w:val="425"/>
          <w:jc w:val="center"/>
        </w:trPr>
        <w:tc>
          <w:tcPr>
            <w:tcW w:w="407" w:type="pct"/>
            <w:vAlign w:val="center"/>
          </w:tcPr>
          <w:p w:rsidR="00EE56C0" w:rsidRDefault="000F36A1">
            <w:pPr>
              <w:pStyle w:val="aff1"/>
              <w:rPr>
                <w:color w:val="auto"/>
              </w:rPr>
            </w:pPr>
            <w:r>
              <w:rPr>
                <w:color w:val="auto"/>
              </w:rPr>
              <w:t>序号</w:t>
            </w:r>
          </w:p>
        </w:tc>
        <w:tc>
          <w:tcPr>
            <w:tcW w:w="903" w:type="pct"/>
            <w:vAlign w:val="center"/>
          </w:tcPr>
          <w:p w:rsidR="00EE56C0" w:rsidRDefault="000F36A1">
            <w:pPr>
              <w:pStyle w:val="aff1"/>
              <w:rPr>
                <w:color w:val="auto"/>
              </w:rPr>
            </w:pPr>
            <w:r>
              <w:rPr>
                <w:color w:val="auto"/>
              </w:rPr>
              <w:t>项目</w:t>
            </w:r>
          </w:p>
        </w:tc>
        <w:tc>
          <w:tcPr>
            <w:tcW w:w="3690" w:type="pct"/>
            <w:vAlign w:val="center"/>
          </w:tcPr>
          <w:p w:rsidR="00EE56C0" w:rsidRDefault="000F36A1">
            <w:pPr>
              <w:pStyle w:val="aff1"/>
              <w:rPr>
                <w:color w:val="auto"/>
              </w:rPr>
            </w:pPr>
            <w:r>
              <w:rPr>
                <w:color w:val="auto"/>
              </w:rPr>
              <w:t>内容</w:t>
            </w:r>
          </w:p>
        </w:tc>
      </w:tr>
      <w:tr w:rsidR="00EE56C0">
        <w:trPr>
          <w:trHeight w:val="425"/>
          <w:jc w:val="center"/>
        </w:trPr>
        <w:tc>
          <w:tcPr>
            <w:tcW w:w="407" w:type="pct"/>
            <w:vAlign w:val="center"/>
          </w:tcPr>
          <w:p w:rsidR="00EE56C0" w:rsidRDefault="000F36A1">
            <w:pPr>
              <w:pStyle w:val="afa"/>
            </w:pPr>
            <w:r>
              <w:t>1</w:t>
            </w:r>
          </w:p>
        </w:tc>
        <w:tc>
          <w:tcPr>
            <w:tcW w:w="903" w:type="pct"/>
            <w:vAlign w:val="center"/>
          </w:tcPr>
          <w:p w:rsidR="00EE56C0" w:rsidRDefault="000F36A1">
            <w:pPr>
              <w:pStyle w:val="afa"/>
            </w:pPr>
            <w:r>
              <w:t>项目名称</w:t>
            </w:r>
          </w:p>
        </w:tc>
        <w:tc>
          <w:tcPr>
            <w:tcW w:w="3690" w:type="pct"/>
            <w:vAlign w:val="center"/>
          </w:tcPr>
          <w:p w:rsidR="00EE56C0" w:rsidRDefault="000F36A1">
            <w:pPr>
              <w:pStyle w:val="afa"/>
            </w:pPr>
            <w:r>
              <w:rPr>
                <w:rFonts w:hint="eastAsia"/>
              </w:rPr>
              <w:t>河南华洋电工科技集团有限公司高可靠性抗高压耐热绕组线项目</w:t>
            </w:r>
          </w:p>
        </w:tc>
      </w:tr>
      <w:tr w:rsidR="00EE56C0">
        <w:trPr>
          <w:trHeight w:val="425"/>
          <w:jc w:val="center"/>
        </w:trPr>
        <w:tc>
          <w:tcPr>
            <w:tcW w:w="407" w:type="pct"/>
            <w:vAlign w:val="center"/>
          </w:tcPr>
          <w:p w:rsidR="00EE56C0" w:rsidRDefault="000F36A1">
            <w:pPr>
              <w:pStyle w:val="afa"/>
            </w:pPr>
            <w:r>
              <w:t>2</w:t>
            </w:r>
          </w:p>
        </w:tc>
        <w:tc>
          <w:tcPr>
            <w:tcW w:w="903" w:type="pct"/>
            <w:vAlign w:val="center"/>
          </w:tcPr>
          <w:p w:rsidR="00EE56C0" w:rsidRDefault="000F36A1">
            <w:pPr>
              <w:pStyle w:val="afa"/>
            </w:pPr>
            <w:r>
              <w:t>建设单位</w:t>
            </w:r>
          </w:p>
        </w:tc>
        <w:tc>
          <w:tcPr>
            <w:tcW w:w="3690" w:type="pct"/>
            <w:vAlign w:val="center"/>
          </w:tcPr>
          <w:p w:rsidR="00EE56C0" w:rsidRDefault="000F36A1">
            <w:pPr>
              <w:pStyle w:val="afa"/>
            </w:pPr>
            <w:r>
              <w:rPr>
                <w:rFonts w:hint="eastAsia"/>
              </w:rPr>
              <w:t>河南华洋电工科技集团有限公司</w:t>
            </w:r>
          </w:p>
        </w:tc>
      </w:tr>
      <w:tr w:rsidR="00EE56C0">
        <w:trPr>
          <w:trHeight w:val="425"/>
          <w:jc w:val="center"/>
        </w:trPr>
        <w:tc>
          <w:tcPr>
            <w:tcW w:w="407" w:type="pct"/>
            <w:vAlign w:val="center"/>
          </w:tcPr>
          <w:p w:rsidR="00EE56C0" w:rsidRDefault="000F36A1">
            <w:pPr>
              <w:pStyle w:val="afa"/>
            </w:pPr>
            <w:r>
              <w:t>3</w:t>
            </w:r>
          </w:p>
        </w:tc>
        <w:tc>
          <w:tcPr>
            <w:tcW w:w="903" w:type="pct"/>
            <w:vAlign w:val="center"/>
          </w:tcPr>
          <w:p w:rsidR="00EE56C0" w:rsidRDefault="000F36A1">
            <w:pPr>
              <w:pStyle w:val="afa"/>
            </w:pPr>
            <w:r>
              <w:t>建设地点</w:t>
            </w:r>
          </w:p>
        </w:tc>
        <w:tc>
          <w:tcPr>
            <w:tcW w:w="3690" w:type="pct"/>
            <w:vAlign w:val="center"/>
          </w:tcPr>
          <w:p w:rsidR="00EE56C0" w:rsidRDefault="000F36A1">
            <w:pPr>
              <w:pStyle w:val="afa"/>
            </w:pPr>
            <w:r>
              <w:rPr>
                <w:rFonts w:hint="eastAsia"/>
              </w:rPr>
              <w:t>新乡市新乡县新乡经济技术集聚区远大路西段</w:t>
            </w:r>
          </w:p>
          <w:p w:rsidR="00EE56C0" w:rsidRDefault="000F36A1">
            <w:pPr>
              <w:pStyle w:val="afa"/>
            </w:pPr>
            <w:r>
              <w:rPr>
                <w:rFonts w:hint="eastAsia"/>
              </w:rPr>
              <w:t>（中心地理位置坐标为东经</w:t>
            </w:r>
            <w:r>
              <w:rPr>
                <w:rFonts w:hint="eastAsia"/>
              </w:rPr>
              <w:t>113</w:t>
            </w:r>
            <w:r>
              <w:t>°</w:t>
            </w:r>
            <w:r>
              <w:rPr>
                <w:rFonts w:hint="eastAsia"/>
              </w:rPr>
              <w:t>47</w:t>
            </w:r>
            <w:r>
              <w:t>´</w:t>
            </w:r>
            <w:r>
              <w:rPr>
                <w:rFonts w:hint="eastAsia"/>
              </w:rPr>
              <w:t>2.412</w:t>
            </w:r>
            <w:r>
              <w:t>˝</w:t>
            </w:r>
            <w:r>
              <w:rPr>
                <w:rFonts w:hint="eastAsia"/>
              </w:rPr>
              <w:t>、北纬</w:t>
            </w:r>
            <w:r>
              <w:rPr>
                <w:rFonts w:hint="eastAsia"/>
              </w:rPr>
              <w:t>35</w:t>
            </w:r>
            <w:r>
              <w:t>°</w:t>
            </w:r>
            <w:r>
              <w:rPr>
                <w:rFonts w:hint="eastAsia"/>
              </w:rPr>
              <w:t>08</w:t>
            </w:r>
            <w:r>
              <w:t>´</w:t>
            </w:r>
            <w:r>
              <w:rPr>
                <w:rFonts w:hint="eastAsia"/>
              </w:rPr>
              <w:t>12.028</w:t>
            </w:r>
            <w:r>
              <w:t>˝</w:t>
            </w:r>
            <w:r>
              <w:rPr>
                <w:rFonts w:hint="eastAsia"/>
              </w:rPr>
              <w:t>）</w:t>
            </w:r>
          </w:p>
        </w:tc>
      </w:tr>
      <w:tr w:rsidR="00EE56C0">
        <w:trPr>
          <w:trHeight w:val="425"/>
          <w:jc w:val="center"/>
        </w:trPr>
        <w:tc>
          <w:tcPr>
            <w:tcW w:w="407" w:type="pct"/>
            <w:vAlign w:val="center"/>
          </w:tcPr>
          <w:p w:rsidR="00EE56C0" w:rsidRDefault="000F36A1">
            <w:pPr>
              <w:pStyle w:val="afa"/>
            </w:pPr>
            <w:r>
              <w:t>4</w:t>
            </w:r>
          </w:p>
        </w:tc>
        <w:tc>
          <w:tcPr>
            <w:tcW w:w="903" w:type="pct"/>
            <w:vAlign w:val="center"/>
          </w:tcPr>
          <w:p w:rsidR="00EE56C0" w:rsidRDefault="000F36A1">
            <w:pPr>
              <w:pStyle w:val="afa"/>
            </w:pPr>
            <w:r>
              <w:t>投资</w:t>
            </w:r>
          </w:p>
        </w:tc>
        <w:tc>
          <w:tcPr>
            <w:tcW w:w="3690" w:type="pct"/>
            <w:vAlign w:val="center"/>
          </w:tcPr>
          <w:p w:rsidR="00EE56C0" w:rsidRDefault="000F36A1">
            <w:pPr>
              <w:pStyle w:val="afa"/>
            </w:pPr>
            <w:r>
              <w:rPr>
                <w:rFonts w:hint="eastAsia"/>
              </w:rPr>
              <w:t>13750</w:t>
            </w:r>
            <w:r>
              <w:rPr>
                <w:rFonts w:hint="eastAsia"/>
              </w:rPr>
              <w:t>万元（税收</w:t>
            </w:r>
            <w:r>
              <w:rPr>
                <w:rFonts w:hint="eastAsia"/>
              </w:rPr>
              <w:t>1680</w:t>
            </w:r>
            <w:r>
              <w:rPr>
                <w:rFonts w:hint="eastAsia"/>
              </w:rPr>
              <w:t>万）</w:t>
            </w:r>
          </w:p>
        </w:tc>
      </w:tr>
      <w:tr w:rsidR="00EE56C0">
        <w:trPr>
          <w:trHeight w:val="425"/>
          <w:jc w:val="center"/>
        </w:trPr>
        <w:tc>
          <w:tcPr>
            <w:tcW w:w="407" w:type="pct"/>
            <w:vAlign w:val="center"/>
          </w:tcPr>
          <w:p w:rsidR="00EE56C0" w:rsidRDefault="000F36A1">
            <w:pPr>
              <w:pStyle w:val="afa"/>
            </w:pPr>
            <w:r>
              <w:t>5</w:t>
            </w:r>
          </w:p>
        </w:tc>
        <w:tc>
          <w:tcPr>
            <w:tcW w:w="903" w:type="pct"/>
            <w:vAlign w:val="center"/>
          </w:tcPr>
          <w:p w:rsidR="00EE56C0" w:rsidRDefault="000F36A1">
            <w:pPr>
              <w:pStyle w:val="afa"/>
            </w:pPr>
            <w:r>
              <w:rPr>
                <w:rFonts w:hint="eastAsia"/>
              </w:rPr>
              <w:t>产品方案</w:t>
            </w:r>
          </w:p>
        </w:tc>
        <w:tc>
          <w:tcPr>
            <w:tcW w:w="3690" w:type="pct"/>
            <w:vAlign w:val="center"/>
          </w:tcPr>
          <w:p w:rsidR="00EE56C0" w:rsidRDefault="000F36A1">
            <w:pPr>
              <w:pStyle w:val="afa"/>
            </w:pPr>
            <w:r>
              <w:rPr>
                <w:rFonts w:hint="eastAsia"/>
              </w:rPr>
              <w:t>一期：漆包线</w:t>
            </w:r>
            <w:r>
              <w:rPr>
                <w:rFonts w:hint="eastAsia"/>
              </w:rPr>
              <w:t>7700</w:t>
            </w:r>
            <w:r>
              <w:rPr>
                <w:rFonts w:hint="eastAsia"/>
              </w:rPr>
              <w:t>吨</w:t>
            </w:r>
            <w:r>
              <w:rPr>
                <w:rFonts w:hint="eastAsia"/>
              </w:rPr>
              <w:t>/</w:t>
            </w:r>
            <w:r>
              <w:rPr>
                <w:rFonts w:hint="eastAsia"/>
              </w:rPr>
              <w:t>年、纸包线</w:t>
            </w:r>
            <w:r>
              <w:rPr>
                <w:rFonts w:hint="eastAsia"/>
              </w:rPr>
              <w:t>1440</w:t>
            </w:r>
            <w:r>
              <w:rPr>
                <w:rFonts w:hint="eastAsia"/>
              </w:rPr>
              <w:t>吨</w:t>
            </w:r>
            <w:r>
              <w:rPr>
                <w:rFonts w:hint="eastAsia"/>
              </w:rPr>
              <w:t>/</w:t>
            </w:r>
            <w:r>
              <w:rPr>
                <w:rFonts w:hint="eastAsia"/>
              </w:rPr>
              <w:t>年、烧结线</w:t>
            </w:r>
            <w:r>
              <w:rPr>
                <w:rFonts w:hint="eastAsia"/>
              </w:rPr>
              <w:t>240</w:t>
            </w:r>
            <w:r>
              <w:rPr>
                <w:rFonts w:hint="eastAsia"/>
              </w:rPr>
              <w:t>吨</w:t>
            </w:r>
            <w:r>
              <w:rPr>
                <w:rFonts w:hint="eastAsia"/>
              </w:rPr>
              <w:t>/</w:t>
            </w:r>
            <w:r>
              <w:rPr>
                <w:rFonts w:hint="eastAsia"/>
              </w:rPr>
              <w:t>年、丝包线</w:t>
            </w:r>
            <w:r>
              <w:rPr>
                <w:rFonts w:hint="eastAsia"/>
              </w:rPr>
              <w:t>4940</w:t>
            </w:r>
            <w:r>
              <w:rPr>
                <w:rFonts w:hint="eastAsia"/>
              </w:rPr>
              <w:t>吨</w:t>
            </w:r>
            <w:r>
              <w:rPr>
                <w:rFonts w:hint="eastAsia"/>
              </w:rPr>
              <w:t>/</w:t>
            </w:r>
            <w:r>
              <w:rPr>
                <w:rFonts w:hint="eastAsia"/>
              </w:rPr>
              <w:t>年；</w:t>
            </w:r>
          </w:p>
          <w:p w:rsidR="00EE56C0" w:rsidRDefault="000F36A1">
            <w:pPr>
              <w:pStyle w:val="afa"/>
            </w:pPr>
            <w:r>
              <w:rPr>
                <w:rFonts w:hint="eastAsia"/>
              </w:rPr>
              <w:t>二期：漆包线</w:t>
            </w:r>
            <w:r>
              <w:rPr>
                <w:rFonts w:hint="eastAsia"/>
              </w:rPr>
              <w:t>21300</w:t>
            </w:r>
            <w:r>
              <w:rPr>
                <w:rFonts w:hint="eastAsia"/>
              </w:rPr>
              <w:t>吨</w:t>
            </w:r>
            <w:r>
              <w:rPr>
                <w:rFonts w:hint="eastAsia"/>
              </w:rPr>
              <w:t>/</w:t>
            </w:r>
            <w:r>
              <w:rPr>
                <w:rFonts w:hint="eastAsia"/>
              </w:rPr>
              <w:t>年、烧结线</w:t>
            </w:r>
            <w:r>
              <w:rPr>
                <w:rFonts w:hint="eastAsia"/>
              </w:rPr>
              <w:t>480</w:t>
            </w:r>
            <w:r>
              <w:rPr>
                <w:rFonts w:hint="eastAsia"/>
              </w:rPr>
              <w:t>吨</w:t>
            </w:r>
            <w:r>
              <w:rPr>
                <w:rFonts w:hint="eastAsia"/>
              </w:rPr>
              <w:t>/</w:t>
            </w:r>
            <w:r>
              <w:rPr>
                <w:rFonts w:hint="eastAsia"/>
              </w:rPr>
              <w:t>年、丝包线</w:t>
            </w:r>
            <w:r>
              <w:rPr>
                <w:rFonts w:hint="eastAsia"/>
              </w:rPr>
              <w:t>3900</w:t>
            </w:r>
            <w:r>
              <w:rPr>
                <w:rFonts w:hint="eastAsia"/>
              </w:rPr>
              <w:t>吨</w:t>
            </w:r>
            <w:r>
              <w:rPr>
                <w:rFonts w:hint="eastAsia"/>
              </w:rPr>
              <w:t>/</w:t>
            </w:r>
            <w:r>
              <w:rPr>
                <w:rFonts w:hint="eastAsia"/>
              </w:rPr>
              <w:t>年</w:t>
            </w:r>
          </w:p>
        </w:tc>
      </w:tr>
      <w:tr w:rsidR="00EE56C0">
        <w:trPr>
          <w:trHeight w:val="425"/>
          <w:jc w:val="center"/>
        </w:trPr>
        <w:tc>
          <w:tcPr>
            <w:tcW w:w="407" w:type="pct"/>
            <w:vAlign w:val="center"/>
          </w:tcPr>
          <w:p w:rsidR="00EE56C0" w:rsidRDefault="000F36A1">
            <w:pPr>
              <w:pStyle w:val="afa"/>
            </w:pPr>
            <w:r>
              <w:t>6</w:t>
            </w:r>
          </w:p>
        </w:tc>
        <w:tc>
          <w:tcPr>
            <w:tcW w:w="903" w:type="pct"/>
            <w:vAlign w:val="center"/>
          </w:tcPr>
          <w:p w:rsidR="00EE56C0" w:rsidRDefault="000F36A1">
            <w:pPr>
              <w:pStyle w:val="afa"/>
            </w:pPr>
            <w:r>
              <w:rPr>
                <w:rFonts w:hint="eastAsia"/>
              </w:rPr>
              <w:t>法人代表姓名</w:t>
            </w:r>
          </w:p>
        </w:tc>
        <w:tc>
          <w:tcPr>
            <w:tcW w:w="3690" w:type="pct"/>
            <w:vAlign w:val="center"/>
          </w:tcPr>
          <w:p w:rsidR="00EE56C0" w:rsidRDefault="000F36A1">
            <w:pPr>
              <w:pStyle w:val="afa"/>
            </w:pPr>
            <w:r>
              <w:rPr>
                <w:rFonts w:hint="eastAsia"/>
              </w:rPr>
              <w:t>刘万军（</w:t>
            </w:r>
            <w:r>
              <w:t>410721196208203039</w:t>
            </w:r>
            <w:r>
              <w:rPr>
                <w:rFonts w:hint="eastAsia"/>
              </w:rPr>
              <w:t>）</w:t>
            </w:r>
          </w:p>
        </w:tc>
      </w:tr>
      <w:tr w:rsidR="00EE56C0">
        <w:trPr>
          <w:trHeight w:val="425"/>
          <w:jc w:val="center"/>
        </w:trPr>
        <w:tc>
          <w:tcPr>
            <w:tcW w:w="407" w:type="pct"/>
            <w:vAlign w:val="center"/>
          </w:tcPr>
          <w:p w:rsidR="00EE56C0" w:rsidRDefault="000F36A1">
            <w:pPr>
              <w:pStyle w:val="afa"/>
            </w:pPr>
            <w:r>
              <w:t>7</w:t>
            </w:r>
          </w:p>
        </w:tc>
        <w:tc>
          <w:tcPr>
            <w:tcW w:w="903" w:type="pct"/>
            <w:vAlign w:val="center"/>
          </w:tcPr>
          <w:p w:rsidR="00EE56C0" w:rsidRDefault="000F36A1">
            <w:pPr>
              <w:pStyle w:val="afa"/>
              <w:rPr>
                <w:rFonts w:hAnsi="宋体"/>
              </w:rPr>
            </w:pPr>
            <w:r>
              <w:rPr>
                <w:rFonts w:hAnsi="宋体"/>
              </w:rPr>
              <w:t>占地面积</w:t>
            </w:r>
          </w:p>
        </w:tc>
        <w:tc>
          <w:tcPr>
            <w:tcW w:w="3690" w:type="pct"/>
            <w:vAlign w:val="center"/>
          </w:tcPr>
          <w:p w:rsidR="00EE56C0" w:rsidRDefault="000F36A1">
            <w:pPr>
              <w:pStyle w:val="afa"/>
            </w:pPr>
            <w:r>
              <w:rPr>
                <w:rFonts w:hint="eastAsia"/>
              </w:rPr>
              <w:t>85740m</w:t>
            </w:r>
            <w:r>
              <w:rPr>
                <w:rFonts w:hint="eastAsia"/>
                <w:vertAlign w:val="superscript"/>
              </w:rPr>
              <w:t>2</w:t>
            </w:r>
            <w:r>
              <w:rPr>
                <w:rFonts w:hint="eastAsia"/>
              </w:rPr>
              <w:t>（</w:t>
            </w:r>
            <w:r>
              <w:rPr>
                <w:rFonts w:hint="eastAsia"/>
              </w:rPr>
              <w:t>128</w:t>
            </w:r>
            <w:r>
              <w:rPr>
                <w:rFonts w:hint="eastAsia"/>
              </w:rPr>
              <w:t>亩）</w:t>
            </w:r>
          </w:p>
        </w:tc>
      </w:tr>
      <w:tr w:rsidR="00EE56C0">
        <w:trPr>
          <w:trHeight w:val="425"/>
          <w:jc w:val="center"/>
        </w:trPr>
        <w:tc>
          <w:tcPr>
            <w:tcW w:w="407" w:type="pct"/>
            <w:vAlign w:val="center"/>
          </w:tcPr>
          <w:p w:rsidR="00EE56C0" w:rsidRDefault="000F36A1">
            <w:pPr>
              <w:pStyle w:val="afa"/>
            </w:pPr>
            <w:r>
              <w:t>8</w:t>
            </w:r>
          </w:p>
        </w:tc>
        <w:tc>
          <w:tcPr>
            <w:tcW w:w="903" w:type="pct"/>
            <w:vAlign w:val="center"/>
          </w:tcPr>
          <w:p w:rsidR="00EE56C0" w:rsidRDefault="000F36A1">
            <w:pPr>
              <w:pStyle w:val="afa"/>
              <w:rPr>
                <w:rFonts w:hAnsi="宋体"/>
              </w:rPr>
            </w:pPr>
            <w:r>
              <w:rPr>
                <w:rFonts w:hAnsi="宋体"/>
              </w:rPr>
              <w:t>职工人数</w:t>
            </w:r>
          </w:p>
        </w:tc>
        <w:tc>
          <w:tcPr>
            <w:tcW w:w="3690" w:type="pct"/>
            <w:vAlign w:val="center"/>
          </w:tcPr>
          <w:p w:rsidR="00EE56C0" w:rsidRDefault="000F36A1">
            <w:pPr>
              <w:pStyle w:val="afa"/>
            </w:pPr>
            <w:r>
              <w:rPr>
                <w:rFonts w:hint="eastAsia"/>
              </w:rPr>
              <w:t>一期新增</w:t>
            </w:r>
            <w:r>
              <w:rPr>
                <w:rFonts w:hint="eastAsia"/>
              </w:rPr>
              <w:t>30</w:t>
            </w:r>
            <w:r>
              <w:rPr>
                <w:rFonts w:hint="eastAsia"/>
              </w:rPr>
              <w:t>员工，二期新增员工</w:t>
            </w:r>
            <w:r>
              <w:rPr>
                <w:rFonts w:hint="eastAsia"/>
              </w:rPr>
              <w:t>130</w:t>
            </w:r>
            <w:r>
              <w:rPr>
                <w:rFonts w:hint="eastAsia"/>
              </w:rPr>
              <w:t>人</w:t>
            </w:r>
          </w:p>
        </w:tc>
      </w:tr>
      <w:tr w:rsidR="00EE56C0">
        <w:trPr>
          <w:trHeight w:val="425"/>
          <w:jc w:val="center"/>
        </w:trPr>
        <w:tc>
          <w:tcPr>
            <w:tcW w:w="407" w:type="pct"/>
            <w:vAlign w:val="center"/>
          </w:tcPr>
          <w:p w:rsidR="00EE56C0" w:rsidRDefault="000F36A1">
            <w:pPr>
              <w:pStyle w:val="afa"/>
            </w:pPr>
            <w:r>
              <w:rPr>
                <w:rFonts w:hint="eastAsia"/>
              </w:rPr>
              <w:t>9</w:t>
            </w:r>
          </w:p>
        </w:tc>
        <w:tc>
          <w:tcPr>
            <w:tcW w:w="903" w:type="pct"/>
            <w:vAlign w:val="center"/>
          </w:tcPr>
          <w:p w:rsidR="00EE56C0" w:rsidRDefault="000F36A1">
            <w:pPr>
              <w:pStyle w:val="afa"/>
              <w:rPr>
                <w:rFonts w:hAnsi="宋体"/>
              </w:rPr>
            </w:pPr>
            <w:r>
              <w:rPr>
                <w:rFonts w:hAnsi="宋体"/>
              </w:rPr>
              <w:t>生产制度</w:t>
            </w:r>
          </w:p>
        </w:tc>
        <w:tc>
          <w:tcPr>
            <w:tcW w:w="3690" w:type="pct"/>
            <w:vAlign w:val="center"/>
          </w:tcPr>
          <w:p w:rsidR="00EE56C0" w:rsidRDefault="000F36A1">
            <w:pPr>
              <w:pStyle w:val="afa"/>
            </w:pPr>
            <w:r>
              <w:rPr>
                <w:rFonts w:hint="eastAsia"/>
              </w:rPr>
              <w:t>年工作日</w:t>
            </w:r>
            <w:r>
              <w:rPr>
                <w:rFonts w:hint="eastAsia"/>
              </w:rPr>
              <w:t>300</w:t>
            </w:r>
            <w:r>
              <w:rPr>
                <w:rFonts w:hint="eastAsia"/>
              </w:rPr>
              <w:t>天，每天</w:t>
            </w:r>
            <w:r>
              <w:rPr>
                <w:rFonts w:hint="eastAsia"/>
              </w:rPr>
              <w:t>24</w:t>
            </w:r>
            <w:r>
              <w:rPr>
                <w:rFonts w:hint="eastAsia"/>
              </w:rPr>
              <w:t>小时，三班制</w:t>
            </w:r>
          </w:p>
        </w:tc>
      </w:tr>
      <w:tr w:rsidR="00EE56C0">
        <w:trPr>
          <w:trHeight w:val="425"/>
          <w:jc w:val="center"/>
        </w:trPr>
        <w:tc>
          <w:tcPr>
            <w:tcW w:w="407" w:type="pct"/>
            <w:vAlign w:val="center"/>
          </w:tcPr>
          <w:p w:rsidR="00EE56C0" w:rsidRDefault="000F36A1">
            <w:pPr>
              <w:pStyle w:val="afa"/>
            </w:pPr>
            <w:r>
              <w:rPr>
                <w:rFonts w:hint="eastAsia"/>
              </w:rPr>
              <w:t>10</w:t>
            </w:r>
          </w:p>
        </w:tc>
        <w:tc>
          <w:tcPr>
            <w:tcW w:w="903" w:type="pct"/>
            <w:vAlign w:val="center"/>
          </w:tcPr>
          <w:p w:rsidR="00EE56C0" w:rsidRDefault="000F36A1">
            <w:pPr>
              <w:pStyle w:val="afa"/>
              <w:rPr>
                <w:rFonts w:hAnsi="宋体"/>
              </w:rPr>
            </w:pPr>
            <w:r>
              <w:rPr>
                <w:rFonts w:hAnsi="宋体" w:hint="eastAsia"/>
              </w:rPr>
              <w:t>供水</w:t>
            </w:r>
          </w:p>
        </w:tc>
        <w:tc>
          <w:tcPr>
            <w:tcW w:w="3690" w:type="pct"/>
            <w:vAlign w:val="center"/>
          </w:tcPr>
          <w:p w:rsidR="00EE56C0" w:rsidRDefault="000F36A1">
            <w:pPr>
              <w:pStyle w:val="afa"/>
            </w:pPr>
            <w:r>
              <w:rPr>
                <w:rFonts w:hint="eastAsia"/>
              </w:rPr>
              <w:t>厂区自备井</w:t>
            </w:r>
          </w:p>
        </w:tc>
      </w:tr>
      <w:tr w:rsidR="00EE56C0">
        <w:trPr>
          <w:trHeight w:val="425"/>
          <w:jc w:val="center"/>
        </w:trPr>
        <w:tc>
          <w:tcPr>
            <w:tcW w:w="407" w:type="pct"/>
            <w:vAlign w:val="center"/>
          </w:tcPr>
          <w:p w:rsidR="00EE56C0" w:rsidRDefault="000F36A1">
            <w:pPr>
              <w:pStyle w:val="afa"/>
            </w:pPr>
            <w:r>
              <w:rPr>
                <w:rFonts w:hint="eastAsia"/>
              </w:rPr>
              <w:t>11</w:t>
            </w:r>
          </w:p>
        </w:tc>
        <w:tc>
          <w:tcPr>
            <w:tcW w:w="903" w:type="pct"/>
            <w:vAlign w:val="center"/>
          </w:tcPr>
          <w:p w:rsidR="00EE56C0" w:rsidRDefault="000F36A1">
            <w:pPr>
              <w:pStyle w:val="afa"/>
            </w:pPr>
            <w:r>
              <w:rPr>
                <w:rFonts w:hint="eastAsia"/>
              </w:rPr>
              <w:t>排水去向</w:t>
            </w:r>
          </w:p>
        </w:tc>
        <w:tc>
          <w:tcPr>
            <w:tcW w:w="3690" w:type="pct"/>
            <w:vAlign w:val="center"/>
          </w:tcPr>
          <w:p w:rsidR="00EE56C0" w:rsidRDefault="000F36A1">
            <w:pPr>
              <w:pStyle w:val="afa"/>
            </w:pPr>
            <w:r>
              <w:rPr>
                <w:rFonts w:hint="eastAsia"/>
                <w:u w:val="single"/>
              </w:rPr>
              <w:t>生活污水经“隔油池</w:t>
            </w:r>
            <w:r>
              <w:rPr>
                <w:rFonts w:hint="eastAsia"/>
                <w:u w:val="single"/>
              </w:rPr>
              <w:t>+</w:t>
            </w:r>
            <w:r>
              <w:rPr>
                <w:rFonts w:hint="eastAsia"/>
                <w:u w:val="single"/>
              </w:rPr>
              <w:t>化粪池”处理后与反渗透浓水在厂区总排口</w:t>
            </w:r>
            <w:r w:rsidR="0009365D">
              <w:rPr>
                <w:rFonts w:hint="eastAsia"/>
                <w:u w:val="single"/>
              </w:rPr>
              <w:t>汇合，</w:t>
            </w:r>
            <w:r>
              <w:rPr>
                <w:u w:val="single"/>
              </w:rPr>
              <w:t>经污水管网排入新乡县综合污水处理厂进一步处理</w:t>
            </w:r>
            <w:r>
              <w:rPr>
                <w:rFonts w:hint="eastAsia"/>
                <w:u w:val="single"/>
              </w:rPr>
              <w:t>，最终排入东孟姜女河。</w:t>
            </w:r>
          </w:p>
        </w:tc>
      </w:tr>
    </w:tbl>
    <w:p w:rsidR="00EE56C0" w:rsidRDefault="000F36A1">
      <w:pPr>
        <w:pStyle w:val="3"/>
        <w:spacing w:before="240" w:after="120"/>
      </w:pPr>
      <w:r>
        <w:rPr>
          <w:rFonts w:hint="eastAsia"/>
        </w:rPr>
        <w:t>3.2.2</w:t>
      </w:r>
      <w:r>
        <w:rPr>
          <w:rFonts w:hint="eastAsia"/>
        </w:rPr>
        <w:t>本项目产品方案</w:t>
      </w:r>
    </w:p>
    <w:p w:rsidR="00EE56C0" w:rsidRDefault="000F36A1">
      <w:pPr>
        <w:ind w:firstLine="480"/>
      </w:pPr>
      <w:r>
        <w:rPr>
          <w:rFonts w:hint="eastAsia"/>
        </w:rPr>
        <w:t>本项目产品方案详情见下表：</w:t>
      </w:r>
    </w:p>
    <w:p w:rsidR="00EE56C0" w:rsidRDefault="000F36A1">
      <w:pPr>
        <w:pStyle w:val="afd"/>
        <w:spacing w:before="120" w:after="120"/>
        <w:ind w:firstLine="482"/>
      </w:pPr>
      <w:r>
        <w:rPr>
          <w:rFonts w:hint="eastAsia"/>
        </w:rPr>
        <w:t>表</w:t>
      </w:r>
      <w:r>
        <w:rPr>
          <w:rFonts w:hint="eastAsia"/>
        </w:rPr>
        <w:t xml:space="preserve">3-13             </w:t>
      </w:r>
      <w:r>
        <w:rPr>
          <w:rFonts w:hint="eastAsia"/>
        </w:rPr>
        <w:t>本项目产品方案一览表</w:t>
      </w:r>
    </w:p>
    <w:tbl>
      <w:tblPr>
        <w:tblW w:w="5000" w:type="pct"/>
        <w:jc w:val="center"/>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ook w:val="04A0"/>
      </w:tblPr>
      <w:tblGrid>
        <w:gridCol w:w="1526"/>
        <w:gridCol w:w="853"/>
        <w:gridCol w:w="2265"/>
        <w:gridCol w:w="2572"/>
        <w:gridCol w:w="1312"/>
      </w:tblGrid>
      <w:tr w:rsidR="00EE56C0">
        <w:trPr>
          <w:trHeight w:val="340"/>
          <w:jc w:val="center"/>
        </w:trPr>
        <w:tc>
          <w:tcPr>
            <w:tcW w:w="895" w:type="pct"/>
            <w:vAlign w:val="center"/>
          </w:tcPr>
          <w:p w:rsidR="00EE56C0" w:rsidRDefault="000F36A1">
            <w:pPr>
              <w:pStyle w:val="aff1"/>
              <w:rPr>
                <w:rFonts w:cs="Times New Roman"/>
                <w:color w:val="auto"/>
                <w:szCs w:val="21"/>
              </w:rPr>
            </w:pPr>
            <w:r>
              <w:rPr>
                <w:rFonts w:cs="Times New Roman"/>
                <w:color w:val="auto"/>
                <w:szCs w:val="21"/>
              </w:rPr>
              <w:t>序号</w:t>
            </w:r>
          </w:p>
        </w:tc>
        <w:tc>
          <w:tcPr>
            <w:tcW w:w="1828" w:type="pct"/>
            <w:gridSpan w:val="2"/>
            <w:vAlign w:val="center"/>
          </w:tcPr>
          <w:p w:rsidR="00EE56C0" w:rsidRDefault="000F36A1">
            <w:pPr>
              <w:pStyle w:val="aff1"/>
              <w:rPr>
                <w:rFonts w:cs="Times New Roman"/>
                <w:color w:val="auto"/>
                <w:szCs w:val="21"/>
              </w:rPr>
            </w:pPr>
            <w:r>
              <w:rPr>
                <w:rFonts w:cs="Times New Roman"/>
                <w:color w:val="auto"/>
                <w:szCs w:val="21"/>
              </w:rPr>
              <w:t>产品名称</w:t>
            </w:r>
          </w:p>
        </w:tc>
        <w:tc>
          <w:tcPr>
            <w:tcW w:w="2277" w:type="pct"/>
            <w:gridSpan w:val="2"/>
            <w:tcBorders>
              <w:right w:val="single" w:sz="4" w:space="0" w:color="auto"/>
            </w:tcBorders>
            <w:vAlign w:val="center"/>
          </w:tcPr>
          <w:p w:rsidR="00EE56C0" w:rsidRDefault="000F36A1">
            <w:pPr>
              <w:pStyle w:val="aff1"/>
              <w:rPr>
                <w:rFonts w:cs="Times New Roman"/>
                <w:color w:val="auto"/>
                <w:szCs w:val="21"/>
              </w:rPr>
            </w:pPr>
            <w:r>
              <w:rPr>
                <w:rFonts w:cs="Times New Roman"/>
                <w:color w:val="auto"/>
                <w:szCs w:val="21"/>
              </w:rPr>
              <w:t>产能（</w:t>
            </w:r>
            <w:r>
              <w:rPr>
                <w:rFonts w:cs="Times New Roman" w:hint="eastAsia"/>
                <w:color w:val="auto"/>
                <w:szCs w:val="21"/>
              </w:rPr>
              <w:t>t</w:t>
            </w:r>
            <w:r>
              <w:rPr>
                <w:rFonts w:cs="Times New Roman"/>
                <w:color w:val="auto"/>
                <w:szCs w:val="21"/>
              </w:rPr>
              <w:t>/</w:t>
            </w:r>
            <w:r>
              <w:rPr>
                <w:rFonts w:cs="Times New Roman" w:hint="eastAsia"/>
                <w:color w:val="auto"/>
                <w:szCs w:val="21"/>
              </w:rPr>
              <w:t>a</w:t>
            </w:r>
            <w:r>
              <w:rPr>
                <w:rFonts w:cs="Times New Roman"/>
                <w:color w:val="auto"/>
                <w:szCs w:val="21"/>
              </w:rPr>
              <w:t>）</w:t>
            </w:r>
          </w:p>
        </w:tc>
      </w:tr>
      <w:tr w:rsidR="00EE56C0">
        <w:trPr>
          <w:trHeight w:val="340"/>
          <w:jc w:val="center"/>
        </w:trPr>
        <w:tc>
          <w:tcPr>
            <w:tcW w:w="895" w:type="pct"/>
            <w:vMerge w:val="restart"/>
            <w:vAlign w:val="center"/>
          </w:tcPr>
          <w:p w:rsidR="00EE56C0" w:rsidRDefault="000F36A1">
            <w:pPr>
              <w:pStyle w:val="afa"/>
              <w:rPr>
                <w:rFonts w:cs="Times New Roman"/>
              </w:rPr>
            </w:pPr>
            <w:r>
              <w:rPr>
                <w:rFonts w:cs="Times New Roman"/>
              </w:rPr>
              <w:t>现有</w:t>
            </w:r>
          </w:p>
        </w:tc>
        <w:tc>
          <w:tcPr>
            <w:tcW w:w="1828" w:type="pct"/>
            <w:gridSpan w:val="2"/>
            <w:vAlign w:val="center"/>
          </w:tcPr>
          <w:p w:rsidR="00EE56C0" w:rsidRDefault="000F36A1">
            <w:pPr>
              <w:pStyle w:val="afa"/>
              <w:rPr>
                <w:rFonts w:cs="Times New Roman"/>
              </w:rPr>
            </w:pPr>
            <w:r>
              <w:rPr>
                <w:rFonts w:cs="Times New Roman"/>
              </w:rPr>
              <w:t>漆包线</w:t>
            </w:r>
          </w:p>
        </w:tc>
        <w:tc>
          <w:tcPr>
            <w:tcW w:w="1508" w:type="pct"/>
            <w:tcBorders>
              <w:right w:val="single" w:sz="4" w:space="0" w:color="auto"/>
            </w:tcBorders>
            <w:vAlign w:val="center"/>
          </w:tcPr>
          <w:p w:rsidR="00EE56C0" w:rsidRDefault="000F36A1">
            <w:pPr>
              <w:pStyle w:val="afa"/>
              <w:rPr>
                <w:rFonts w:cs="Times New Roman"/>
              </w:rPr>
            </w:pPr>
            <w:r>
              <w:rPr>
                <w:rFonts w:cs="Times New Roman"/>
              </w:rPr>
              <w:t>50400</w:t>
            </w:r>
          </w:p>
        </w:tc>
        <w:tc>
          <w:tcPr>
            <w:tcW w:w="769" w:type="pct"/>
            <w:vMerge w:val="restart"/>
            <w:tcBorders>
              <w:left w:val="single" w:sz="4" w:space="0" w:color="auto"/>
              <w:right w:val="single" w:sz="4" w:space="0" w:color="auto"/>
            </w:tcBorders>
            <w:vAlign w:val="center"/>
          </w:tcPr>
          <w:p w:rsidR="00EE56C0" w:rsidRDefault="000F36A1">
            <w:pPr>
              <w:pStyle w:val="afa"/>
              <w:rPr>
                <w:rFonts w:cs="Times New Roman"/>
              </w:rPr>
            </w:pPr>
            <w:r>
              <w:rPr>
                <w:rFonts w:cs="Times New Roman"/>
              </w:rPr>
              <w:t>60000</w:t>
            </w:r>
          </w:p>
        </w:tc>
      </w:tr>
      <w:tr w:rsidR="00EE56C0">
        <w:trPr>
          <w:trHeight w:val="340"/>
          <w:jc w:val="center"/>
        </w:trPr>
        <w:tc>
          <w:tcPr>
            <w:tcW w:w="895" w:type="pct"/>
            <w:vMerge/>
            <w:vAlign w:val="center"/>
          </w:tcPr>
          <w:p w:rsidR="00EE56C0" w:rsidRDefault="00EE56C0">
            <w:pPr>
              <w:pStyle w:val="afa"/>
              <w:rPr>
                <w:rFonts w:cs="Times New Roman"/>
              </w:rPr>
            </w:pPr>
          </w:p>
        </w:tc>
        <w:tc>
          <w:tcPr>
            <w:tcW w:w="1828" w:type="pct"/>
            <w:gridSpan w:val="2"/>
            <w:vAlign w:val="center"/>
          </w:tcPr>
          <w:p w:rsidR="00EE56C0" w:rsidRDefault="000F36A1">
            <w:pPr>
              <w:pStyle w:val="afa"/>
              <w:rPr>
                <w:rFonts w:cs="Times New Roman"/>
              </w:rPr>
            </w:pPr>
            <w:r>
              <w:rPr>
                <w:rFonts w:cs="Times New Roman"/>
              </w:rPr>
              <w:t>丝包线</w:t>
            </w:r>
          </w:p>
        </w:tc>
        <w:tc>
          <w:tcPr>
            <w:tcW w:w="1508" w:type="pct"/>
            <w:tcBorders>
              <w:right w:val="single" w:sz="4" w:space="0" w:color="auto"/>
            </w:tcBorders>
            <w:vAlign w:val="center"/>
          </w:tcPr>
          <w:p w:rsidR="00EE56C0" w:rsidRDefault="000F36A1">
            <w:pPr>
              <w:pStyle w:val="afa"/>
              <w:rPr>
                <w:rFonts w:cs="Times New Roman"/>
              </w:rPr>
            </w:pPr>
            <w:r>
              <w:rPr>
                <w:rFonts w:cs="Times New Roman"/>
              </w:rPr>
              <w:t>2880</w:t>
            </w:r>
          </w:p>
        </w:tc>
        <w:tc>
          <w:tcPr>
            <w:tcW w:w="769" w:type="pct"/>
            <w:vMerge/>
            <w:tcBorders>
              <w:left w:val="single" w:sz="4" w:space="0" w:color="auto"/>
              <w:right w:val="single" w:sz="4" w:space="0" w:color="auto"/>
            </w:tcBorders>
            <w:vAlign w:val="center"/>
          </w:tcPr>
          <w:p w:rsidR="00EE56C0" w:rsidRDefault="00EE56C0">
            <w:pPr>
              <w:pStyle w:val="afa"/>
              <w:rPr>
                <w:rFonts w:cs="Times New Roman"/>
              </w:rPr>
            </w:pPr>
          </w:p>
        </w:tc>
      </w:tr>
      <w:tr w:rsidR="00EE56C0">
        <w:trPr>
          <w:trHeight w:val="340"/>
          <w:jc w:val="center"/>
        </w:trPr>
        <w:tc>
          <w:tcPr>
            <w:tcW w:w="895" w:type="pct"/>
            <w:vMerge/>
            <w:vAlign w:val="center"/>
          </w:tcPr>
          <w:p w:rsidR="00EE56C0" w:rsidRDefault="00EE56C0">
            <w:pPr>
              <w:pStyle w:val="afa"/>
              <w:rPr>
                <w:rFonts w:cs="Times New Roman"/>
              </w:rPr>
            </w:pPr>
          </w:p>
        </w:tc>
        <w:tc>
          <w:tcPr>
            <w:tcW w:w="1828" w:type="pct"/>
            <w:gridSpan w:val="2"/>
            <w:vAlign w:val="center"/>
          </w:tcPr>
          <w:p w:rsidR="00EE56C0" w:rsidRDefault="000F36A1">
            <w:pPr>
              <w:pStyle w:val="afa"/>
              <w:rPr>
                <w:rFonts w:cs="Times New Roman"/>
              </w:rPr>
            </w:pPr>
            <w:r>
              <w:rPr>
                <w:rFonts w:cs="Times New Roman"/>
              </w:rPr>
              <w:t>纸包线</w:t>
            </w:r>
          </w:p>
        </w:tc>
        <w:tc>
          <w:tcPr>
            <w:tcW w:w="1508" w:type="pct"/>
            <w:tcBorders>
              <w:right w:val="single" w:sz="4" w:space="0" w:color="auto"/>
            </w:tcBorders>
            <w:vAlign w:val="center"/>
          </w:tcPr>
          <w:p w:rsidR="00EE56C0" w:rsidRDefault="000F36A1">
            <w:pPr>
              <w:pStyle w:val="afa"/>
              <w:rPr>
                <w:rFonts w:cs="Times New Roman"/>
              </w:rPr>
            </w:pPr>
            <w:r>
              <w:rPr>
                <w:rFonts w:cs="Times New Roman"/>
              </w:rPr>
              <w:t>4720</w:t>
            </w:r>
          </w:p>
        </w:tc>
        <w:tc>
          <w:tcPr>
            <w:tcW w:w="769" w:type="pct"/>
            <w:vMerge/>
            <w:tcBorders>
              <w:left w:val="single" w:sz="4" w:space="0" w:color="auto"/>
              <w:right w:val="single" w:sz="4" w:space="0" w:color="auto"/>
            </w:tcBorders>
            <w:vAlign w:val="center"/>
          </w:tcPr>
          <w:p w:rsidR="00EE56C0" w:rsidRDefault="00EE56C0">
            <w:pPr>
              <w:pStyle w:val="afa"/>
              <w:rPr>
                <w:rFonts w:cs="Times New Roman"/>
              </w:rPr>
            </w:pPr>
          </w:p>
        </w:tc>
      </w:tr>
      <w:tr w:rsidR="00EE56C0">
        <w:trPr>
          <w:trHeight w:val="340"/>
          <w:jc w:val="center"/>
        </w:trPr>
        <w:tc>
          <w:tcPr>
            <w:tcW w:w="895" w:type="pct"/>
            <w:vMerge/>
            <w:vAlign w:val="center"/>
          </w:tcPr>
          <w:p w:rsidR="00EE56C0" w:rsidRDefault="00EE56C0">
            <w:pPr>
              <w:pStyle w:val="afa"/>
              <w:rPr>
                <w:rFonts w:cs="Times New Roman"/>
              </w:rPr>
            </w:pPr>
          </w:p>
        </w:tc>
        <w:tc>
          <w:tcPr>
            <w:tcW w:w="1828" w:type="pct"/>
            <w:gridSpan w:val="2"/>
            <w:vAlign w:val="center"/>
          </w:tcPr>
          <w:p w:rsidR="00EE56C0" w:rsidRDefault="000F36A1">
            <w:pPr>
              <w:pStyle w:val="afa"/>
              <w:rPr>
                <w:rFonts w:cs="Times New Roman"/>
              </w:rPr>
            </w:pPr>
            <w:r>
              <w:rPr>
                <w:rFonts w:cs="Times New Roman"/>
              </w:rPr>
              <w:t>烧结线</w:t>
            </w:r>
          </w:p>
        </w:tc>
        <w:tc>
          <w:tcPr>
            <w:tcW w:w="1508" w:type="pct"/>
            <w:tcBorders>
              <w:right w:val="single" w:sz="4" w:space="0" w:color="auto"/>
            </w:tcBorders>
            <w:vAlign w:val="center"/>
          </w:tcPr>
          <w:p w:rsidR="00EE56C0" w:rsidRDefault="000F36A1">
            <w:pPr>
              <w:pStyle w:val="afa"/>
              <w:rPr>
                <w:rFonts w:cs="Times New Roman"/>
              </w:rPr>
            </w:pPr>
            <w:r>
              <w:rPr>
                <w:rFonts w:cs="Times New Roman"/>
              </w:rPr>
              <w:t>2000</w:t>
            </w:r>
          </w:p>
        </w:tc>
        <w:tc>
          <w:tcPr>
            <w:tcW w:w="769" w:type="pct"/>
            <w:vMerge/>
            <w:tcBorders>
              <w:left w:val="single" w:sz="4" w:space="0" w:color="auto"/>
              <w:right w:val="single" w:sz="4" w:space="0" w:color="auto"/>
            </w:tcBorders>
            <w:vAlign w:val="center"/>
          </w:tcPr>
          <w:p w:rsidR="00EE56C0" w:rsidRDefault="00EE56C0">
            <w:pPr>
              <w:pStyle w:val="afa"/>
              <w:rPr>
                <w:rFonts w:cs="Times New Roman"/>
              </w:rPr>
            </w:pPr>
          </w:p>
        </w:tc>
      </w:tr>
      <w:tr w:rsidR="00EE56C0">
        <w:trPr>
          <w:trHeight w:val="340"/>
          <w:jc w:val="center"/>
        </w:trPr>
        <w:tc>
          <w:tcPr>
            <w:tcW w:w="895" w:type="pct"/>
            <w:vMerge w:val="restart"/>
            <w:vAlign w:val="center"/>
          </w:tcPr>
          <w:p w:rsidR="00EE56C0" w:rsidRDefault="000F36A1">
            <w:pPr>
              <w:pStyle w:val="afa"/>
              <w:rPr>
                <w:rFonts w:cs="Times New Roman"/>
              </w:rPr>
            </w:pPr>
            <w:r>
              <w:rPr>
                <w:rFonts w:cs="Times New Roman"/>
              </w:rPr>
              <w:t>本次新增</w:t>
            </w:r>
          </w:p>
        </w:tc>
        <w:tc>
          <w:tcPr>
            <w:tcW w:w="500" w:type="pct"/>
            <w:vMerge w:val="restart"/>
            <w:tcBorders>
              <w:right w:val="single" w:sz="4" w:space="0" w:color="auto"/>
            </w:tcBorders>
            <w:vAlign w:val="center"/>
          </w:tcPr>
          <w:p w:rsidR="00EE56C0" w:rsidRDefault="000F36A1">
            <w:pPr>
              <w:pStyle w:val="afa"/>
              <w:rPr>
                <w:rFonts w:cs="Times New Roman"/>
              </w:rPr>
            </w:pPr>
            <w:r>
              <w:rPr>
                <w:rFonts w:cs="Times New Roman"/>
              </w:rPr>
              <w:t>一期</w:t>
            </w:r>
          </w:p>
        </w:tc>
        <w:tc>
          <w:tcPr>
            <w:tcW w:w="1328" w:type="pct"/>
            <w:tcBorders>
              <w:left w:val="single" w:sz="4" w:space="0" w:color="auto"/>
            </w:tcBorders>
            <w:vAlign w:val="center"/>
          </w:tcPr>
          <w:p w:rsidR="00EE56C0" w:rsidRDefault="000F36A1">
            <w:pPr>
              <w:pStyle w:val="afa"/>
              <w:rPr>
                <w:rFonts w:cs="Times New Roman"/>
              </w:rPr>
            </w:pPr>
            <w:r>
              <w:rPr>
                <w:rFonts w:cs="Times New Roman"/>
              </w:rPr>
              <w:t>漆包线</w:t>
            </w:r>
          </w:p>
        </w:tc>
        <w:tc>
          <w:tcPr>
            <w:tcW w:w="1508" w:type="pct"/>
            <w:tcBorders>
              <w:right w:val="single" w:sz="4" w:space="0" w:color="auto"/>
            </w:tcBorders>
            <w:vAlign w:val="center"/>
          </w:tcPr>
          <w:p w:rsidR="00EE56C0" w:rsidRDefault="000F36A1">
            <w:pPr>
              <w:pStyle w:val="afa"/>
              <w:rPr>
                <w:rFonts w:cs="Times New Roman"/>
              </w:rPr>
            </w:pPr>
            <w:r>
              <w:rPr>
                <w:rFonts w:cs="Times New Roman"/>
              </w:rPr>
              <w:t>7700</w:t>
            </w:r>
          </w:p>
        </w:tc>
        <w:tc>
          <w:tcPr>
            <w:tcW w:w="769" w:type="pct"/>
            <w:vMerge w:val="restart"/>
            <w:tcBorders>
              <w:left w:val="single" w:sz="4" w:space="0" w:color="auto"/>
              <w:right w:val="single" w:sz="4" w:space="0" w:color="auto"/>
            </w:tcBorders>
            <w:vAlign w:val="center"/>
          </w:tcPr>
          <w:p w:rsidR="00EE56C0" w:rsidRDefault="000F36A1">
            <w:pPr>
              <w:pStyle w:val="afa"/>
              <w:rPr>
                <w:rFonts w:cs="Times New Roman"/>
              </w:rPr>
            </w:pPr>
            <w:r>
              <w:rPr>
                <w:rFonts w:cs="Times New Roman"/>
              </w:rPr>
              <w:t>14320</w:t>
            </w:r>
          </w:p>
        </w:tc>
      </w:tr>
      <w:tr w:rsidR="00EE56C0">
        <w:trPr>
          <w:trHeight w:val="340"/>
          <w:jc w:val="center"/>
        </w:trPr>
        <w:tc>
          <w:tcPr>
            <w:tcW w:w="895" w:type="pct"/>
            <w:vMerge/>
            <w:vAlign w:val="center"/>
          </w:tcPr>
          <w:p w:rsidR="00EE56C0" w:rsidRDefault="00EE56C0">
            <w:pPr>
              <w:pStyle w:val="afa"/>
              <w:rPr>
                <w:rFonts w:cs="Times New Roman"/>
              </w:rPr>
            </w:pPr>
          </w:p>
        </w:tc>
        <w:tc>
          <w:tcPr>
            <w:tcW w:w="500" w:type="pct"/>
            <w:vMerge/>
            <w:tcBorders>
              <w:right w:val="single" w:sz="4" w:space="0" w:color="auto"/>
            </w:tcBorders>
            <w:vAlign w:val="center"/>
          </w:tcPr>
          <w:p w:rsidR="00EE56C0" w:rsidRDefault="00EE56C0">
            <w:pPr>
              <w:pStyle w:val="afa"/>
              <w:rPr>
                <w:rFonts w:cs="Times New Roman"/>
              </w:rPr>
            </w:pPr>
          </w:p>
        </w:tc>
        <w:tc>
          <w:tcPr>
            <w:tcW w:w="1328" w:type="pct"/>
            <w:tcBorders>
              <w:left w:val="single" w:sz="4" w:space="0" w:color="auto"/>
            </w:tcBorders>
            <w:vAlign w:val="center"/>
          </w:tcPr>
          <w:p w:rsidR="00EE56C0" w:rsidRDefault="000F36A1">
            <w:pPr>
              <w:pStyle w:val="afa"/>
              <w:rPr>
                <w:rFonts w:cs="Times New Roman"/>
              </w:rPr>
            </w:pPr>
            <w:r>
              <w:rPr>
                <w:rFonts w:cs="Times New Roman"/>
              </w:rPr>
              <w:t>丝包线</w:t>
            </w:r>
          </w:p>
        </w:tc>
        <w:tc>
          <w:tcPr>
            <w:tcW w:w="1508" w:type="pct"/>
            <w:tcBorders>
              <w:right w:val="single" w:sz="4" w:space="0" w:color="auto"/>
            </w:tcBorders>
            <w:vAlign w:val="center"/>
          </w:tcPr>
          <w:p w:rsidR="00EE56C0" w:rsidRDefault="000F36A1">
            <w:pPr>
              <w:pStyle w:val="afa"/>
              <w:rPr>
                <w:rFonts w:cs="Times New Roman"/>
              </w:rPr>
            </w:pPr>
            <w:r>
              <w:rPr>
                <w:rFonts w:cs="Times New Roman"/>
              </w:rPr>
              <w:t>4940</w:t>
            </w:r>
          </w:p>
        </w:tc>
        <w:tc>
          <w:tcPr>
            <w:tcW w:w="769" w:type="pct"/>
            <w:vMerge/>
            <w:tcBorders>
              <w:left w:val="single" w:sz="4" w:space="0" w:color="auto"/>
              <w:right w:val="single" w:sz="4" w:space="0" w:color="auto"/>
            </w:tcBorders>
            <w:vAlign w:val="center"/>
          </w:tcPr>
          <w:p w:rsidR="00EE56C0" w:rsidRDefault="00EE56C0">
            <w:pPr>
              <w:pStyle w:val="afa"/>
              <w:rPr>
                <w:rFonts w:cs="Times New Roman"/>
              </w:rPr>
            </w:pPr>
          </w:p>
        </w:tc>
      </w:tr>
      <w:tr w:rsidR="00EE56C0">
        <w:trPr>
          <w:trHeight w:val="340"/>
          <w:jc w:val="center"/>
        </w:trPr>
        <w:tc>
          <w:tcPr>
            <w:tcW w:w="895" w:type="pct"/>
            <w:vMerge/>
            <w:vAlign w:val="center"/>
          </w:tcPr>
          <w:p w:rsidR="00EE56C0" w:rsidRDefault="00EE56C0">
            <w:pPr>
              <w:pStyle w:val="afa"/>
              <w:rPr>
                <w:rFonts w:cs="Times New Roman"/>
              </w:rPr>
            </w:pPr>
          </w:p>
        </w:tc>
        <w:tc>
          <w:tcPr>
            <w:tcW w:w="500" w:type="pct"/>
            <w:vMerge/>
            <w:tcBorders>
              <w:right w:val="single" w:sz="4" w:space="0" w:color="auto"/>
            </w:tcBorders>
            <w:vAlign w:val="center"/>
          </w:tcPr>
          <w:p w:rsidR="00EE56C0" w:rsidRDefault="00EE56C0">
            <w:pPr>
              <w:pStyle w:val="afa"/>
              <w:rPr>
                <w:rFonts w:cs="Times New Roman"/>
              </w:rPr>
            </w:pPr>
          </w:p>
        </w:tc>
        <w:tc>
          <w:tcPr>
            <w:tcW w:w="1328" w:type="pct"/>
            <w:tcBorders>
              <w:left w:val="single" w:sz="4" w:space="0" w:color="auto"/>
            </w:tcBorders>
            <w:vAlign w:val="center"/>
          </w:tcPr>
          <w:p w:rsidR="00EE56C0" w:rsidRDefault="000F36A1">
            <w:pPr>
              <w:pStyle w:val="afa"/>
              <w:rPr>
                <w:rFonts w:cs="Times New Roman"/>
              </w:rPr>
            </w:pPr>
            <w:r>
              <w:rPr>
                <w:rFonts w:cs="Times New Roman"/>
              </w:rPr>
              <w:t>纸包线</w:t>
            </w:r>
          </w:p>
        </w:tc>
        <w:tc>
          <w:tcPr>
            <w:tcW w:w="1508" w:type="pct"/>
            <w:tcBorders>
              <w:right w:val="single" w:sz="4" w:space="0" w:color="auto"/>
            </w:tcBorders>
            <w:vAlign w:val="center"/>
          </w:tcPr>
          <w:p w:rsidR="00EE56C0" w:rsidRDefault="000F36A1">
            <w:pPr>
              <w:pStyle w:val="afa"/>
              <w:rPr>
                <w:rFonts w:cs="Times New Roman"/>
              </w:rPr>
            </w:pPr>
            <w:r>
              <w:rPr>
                <w:rFonts w:cs="Times New Roman"/>
              </w:rPr>
              <w:t>1440</w:t>
            </w:r>
          </w:p>
        </w:tc>
        <w:tc>
          <w:tcPr>
            <w:tcW w:w="769" w:type="pct"/>
            <w:vMerge/>
            <w:tcBorders>
              <w:left w:val="single" w:sz="4" w:space="0" w:color="auto"/>
              <w:right w:val="single" w:sz="4" w:space="0" w:color="auto"/>
            </w:tcBorders>
            <w:vAlign w:val="center"/>
          </w:tcPr>
          <w:p w:rsidR="00EE56C0" w:rsidRDefault="00EE56C0">
            <w:pPr>
              <w:pStyle w:val="afa"/>
              <w:rPr>
                <w:rFonts w:cs="Times New Roman"/>
              </w:rPr>
            </w:pPr>
          </w:p>
        </w:tc>
      </w:tr>
      <w:tr w:rsidR="00EE56C0">
        <w:trPr>
          <w:trHeight w:val="340"/>
          <w:jc w:val="center"/>
        </w:trPr>
        <w:tc>
          <w:tcPr>
            <w:tcW w:w="895" w:type="pct"/>
            <w:vMerge/>
            <w:vAlign w:val="center"/>
          </w:tcPr>
          <w:p w:rsidR="00EE56C0" w:rsidRDefault="00EE56C0">
            <w:pPr>
              <w:pStyle w:val="afa"/>
              <w:rPr>
                <w:rFonts w:cs="Times New Roman"/>
              </w:rPr>
            </w:pPr>
          </w:p>
        </w:tc>
        <w:tc>
          <w:tcPr>
            <w:tcW w:w="500" w:type="pct"/>
            <w:vMerge/>
            <w:tcBorders>
              <w:right w:val="single" w:sz="4" w:space="0" w:color="auto"/>
            </w:tcBorders>
            <w:vAlign w:val="center"/>
          </w:tcPr>
          <w:p w:rsidR="00EE56C0" w:rsidRDefault="00EE56C0">
            <w:pPr>
              <w:pStyle w:val="afa"/>
              <w:rPr>
                <w:rFonts w:cs="Times New Roman"/>
              </w:rPr>
            </w:pPr>
          </w:p>
        </w:tc>
        <w:tc>
          <w:tcPr>
            <w:tcW w:w="1328" w:type="pct"/>
            <w:tcBorders>
              <w:left w:val="single" w:sz="4" w:space="0" w:color="auto"/>
            </w:tcBorders>
            <w:vAlign w:val="center"/>
          </w:tcPr>
          <w:p w:rsidR="00EE56C0" w:rsidRDefault="000F36A1">
            <w:pPr>
              <w:pStyle w:val="afa"/>
              <w:rPr>
                <w:rFonts w:cs="Times New Roman"/>
              </w:rPr>
            </w:pPr>
            <w:r>
              <w:rPr>
                <w:rFonts w:cs="Times New Roman"/>
              </w:rPr>
              <w:t>烧结线</w:t>
            </w:r>
          </w:p>
        </w:tc>
        <w:tc>
          <w:tcPr>
            <w:tcW w:w="1508" w:type="pct"/>
            <w:tcBorders>
              <w:right w:val="single" w:sz="4" w:space="0" w:color="auto"/>
            </w:tcBorders>
            <w:vAlign w:val="center"/>
          </w:tcPr>
          <w:p w:rsidR="00EE56C0" w:rsidRDefault="000F36A1">
            <w:pPr>
              <w:pStyle w:val="afa"/>
              <w:rPr>
                <w:rFonts w:cs="Times New Roman"/>
              </w:rPr>
            </w:pPr>
            <w:r>
              <w:rPr>
                <w:rFonts w:cs="Times New Roman"/>
              </w:rPr>
              <w:t>240</w:t>
            </w:r>
          </w:p>
        </w:tc>
        <w:tc>
          <w:tcPr>
            <w:tcW w:w="769" w:type="pct"/>
            <w:vMerge/>
            <w:tcBorders>
              <w:left w:val="single" w:sz="4" w:space="0" w:color="auto"/>
              <w:right w:val="single" w:sz="4" w:space="0" w:color="auto"/>
            </w:tcBorders>
            <w:vAlign w:val="center"/>
          </w:tcPr>
          <w:p w:rsidR="00EE56C0" w:rsidRDefault="00EE56C0">
            <w:pPr>
              <w:pStyle w:val="afa"/>
              <w:rPr>
                <w:rFonts w:cs="Times New Roman"/>
              </w:rPr>
            </w:pPr>
          </w:p>
        </w:tc>
      </w:tr>
      <w:tr w:rsidR="00EE56C0">
        <w:trPr>
          <w:trHeight w:val="340"/>
          <w:jc w:val="center"/>
        </w:trPr>
        <w:tc>
          <w:tcPr>
            <w:tcW w:w="895" w:type="pct"/>
            <w:vMerge/>
            <w:vAlign w:val="center"/>
          </w:tcPr>
          <w:p w:rsidR="00EE56C0" w:rsidRDefault="00EE56C0">
            <w:pPr>
              <w:pStyle w:val="afa"/>
              <w:rPr>
                <w:rFonts w:cs="Times New Roman"/>
              </w:rPr>
            </w:pPr>
          </w:p>
        </w:tc>
        <w:tc>
          <w:tcPr>
            <w:tcW w:w="500" w:type="pct"/>
            <w:vMerge w:val="restart"/>
            <w:tcBorders>
              <w:right w:val="single" w:sz="4" w:space="0" w:color="auto"/>
            </w:tcBorders>
            <w:vAlign w:val="center"/>
          </w:tcPr>
          <w:p w:rsidR="00EE56C0" w:rsidRDefault="000F36A1">
            <w:pPr>
              <w:pStyle w:val="afa"/>
              <w:rPr>
                <w:rFonts w:cs="Times New Roman"/>
              </w:rPr>
            </w:pPr>
            <w:r>
              <w:rPr>
                <w:rFonts w:cs="Times New Roman"/>
              </w:rPr>
              <w:t>二期</w:t>
            </w:r>
          </w:p>
        </w:tc>
        <w:tc>
          <w:tcPr>
            <w:tcW w:w="1328" w:type="pct"/>
            <w:tcBorders>
              <w:left w:val="single" w:sz="4" w:space="0" w:color="auto"/>
            </w:tcBorders>
            <w:vAlign w:val="center"/>
          </w:tcPr>
          <w:p w:rsidR="00EE56C0" w:rsidRDefault="000F36A1">
            <w:pPr>
              <w:pStyle w:val="afa"/>
              <w:rPr>
                <w:rFonts w:cs="Times New Roman"/>
              </w:rPr>
            </w:pPr>
            <w:r>
              <w:rPr>
                <w:rFonts w:cs="Times New Roman"/>
              </w:rPr>
              <w:t>漆包线</w:t>
            </w:r>
          </w:p>
        </w:tc>
        <w:tc>
          <w:tcPr>
            <w:tcW w:w="1508" w:type="pct"/>
            <w:tcBorders>
              <w:right w:val="single" w:sz="4" w:space="0" w:color="auto"/>
            </w:tcBorders>
            <w:vAlign w:val="center"/>
          </w:tcPr>
          <w:p w:rsidR="00EE56C0" w:rsidRDefault="000F36A1">
            <w:pPr>
              <w:pStyle w:val="afa"/>
              <w:rPr>
                <w:rFonts w:cs="Times New Roman"/>
              </w:rPr>
            </w:pPr>
            <w:r>
              <w:rPr>
                <w:rFonts w:cs="Times New Roman"/>
              </w:rPr>
              <w:t>21300</w:t>
            </w:r>
          </w:p>
        </w:tc>
        <w:tc>
          <w:tcPr>
            <w:tcW w:w="769" w:type="pct"/>
            <w:vMerge w:val="restart"/>
            <w:tcBorders>
              <w:left w:val="single" w:sz="4" w:space="0" w:color="auto"/>
              <w:right w:val="single" w:sz="4" w:space="0" w:color="auto"/>
            </w:tcBorders>
            <w:vAlign w:val="center"/>
          </w:tcPr>
          <w:p w:rsidR="00EE56C0" w:rsidRDefault="000F36A1">
            <w:pPr>
              <w:pStyle w:val="afa"/>
              <w:rPr>
                <w:rFonts w:cs="Times New Roman"/>
              </w:rPr>
            </w:pPr>
            <w:r>
              <w:rPr>
                <w:rFonts w:cs="Times New Roman"/>
              </w:rPr>
              <w:t>25680</w:t>
            </w:r>
          </w:p>
        </w:tc>
      </w:tr>
      <w:tr w:rsidR="00EE56C0">
        <w:trPr>
          <w:trHeight w:val="340"/>
          <w:jc w:val="center"/>
        </w:trPr>
        <w:tc>
          <w:tcPr>
            <w:tcW w:w="895" w:type="pct"/>
            <w:vMerge/>
            <w:vAlign w:val="center"/>
          </w:tcPr>
          <w:p w:rsidR="00EE56C0" w:rsidRDefault="00EE56C0">
            <w:pPr>
              <w:pStyle w:val="afa"/>
              <w:rPr>
                <w:rFonts w:cs="Times New Roman"/>
              </w:rPr>
            </w:pPr>
          </w:p>
        </w:tc>
        <w:tc>
          <w:tcPr>
            <w:tcW w:w="500" w:type="pct"/>
            <w:vMerge/>
            <w:tcBorders>
              <w:right w:val="single" w:sz="4" w:space="0" w:color="auto"/>
            </w:tcBorders>
            <w:vAlign w:val="center"/>
          </w:tcPr>
          <w:p w:rsidR="00EE56C0" w:rsidRDefault="00EE56C0">
            <w:pPr>
              <w:pStyle w:val="afa"/>
              <w:rPr>
                <w:rFonts w:cs="Times New Roman"/>
              </w:rPr>
            </w:pPr>
          </w:p>
        </w:tc>
        <w:tc>
          <w:tcPr>
            <w:tcW w:w="1328" w:type="pct"/>
            <w:tcBorders>
              <w:left w:val="single" w:sz="4" w:space="0" w:color="auto"/>
            </w:tcBorders>
            <w:vAlign w:val="center"/>
          </w:tcPr>
          <w:p w:rsidR="00EE56C0" w:rsidRDefault="000F36A1">
            <w:pPr>
              <w:pStyle w:val="afa"/>
              <w:rPr>
                <w:rFonts w:cs="Times New Roman"/>
              </w:rPr>
            </w:pPr>
            <w:r>
              <w:rPr>
                <w:rFonts w:cs="Times New Roman"/>
              </w:rPr>
              <w:t>丝包线</w:t>
            </w:r>
          </w:p>
        </w:tc>
        <w:tc>
          <w:tcPr>
            <w:tcW w:w="1508" w:type="pct"/>
            <w:tcBorders>
              <w:right w:val="single" w:sz="4" w:space="0" w:color="auto"/>
            </w:tcBorders>
            <w:vAlign w:val="center"/>
          </w:tcPr>
          <w:p w:rsidR="00EE56C0" w:rsidRDefault="000F36A1">
            <w:pPr>
              <w:pStyle w:val="afa"/>
              <w:rPr>
                <w:rFonts w:cs="Times New Roman"/>
              </w:rPr>
            </w:pPr>
            <w:r>
              <w:rPr>
                <w:rFonts w:cs="Times New Roman"/>
              </w:rPr>
              <w:t>3900</w:t>
            </w:r>
          </w:p>
        </w:tc>
        <w:tc>
          <w:tcPr>
            <w:tcW w:w="769" w:type="pct"/>
            <w:vMerge/>
            <w:tcBorders>
              <w:left w:val="single" w:sz="4" w:space="0" w:color="auto"/>
              <w:right w:val="single" w:sz="4" w:space="0" w:color="auto"/>
            </w:tcBorders>
            <w:vAlign w:val="center"/>
          </w:tcPr>
          <w:p w:rsidR="00EE56C0" w:rsidRDefault="00EE56C0">
            <w:pPr>
              <w:pStyle w:val="afa"/>
              <w:rPr>
                <w:rFonts w:cs="Times New Roman"/>
              </w:rPr>
            </w:pPr>
          </w:p>
        </w:tc>
      </w:tr>
      <w:tr w:rsidR="00EE56C0">
        <w:trPr>
          <w:trHeight w:val="340"/>
          <w:jc w:val="center"/>
        </w:trPr>
        <w:tc>
          <w:tcPr>
            <w:tcW w:w="895" w:type="pct"/>
            <w:vMerge/>
            <w:vAlign w:val="center"/>
          </w:tcPr>
          <w:p w:rsidR="00EE56C0" w:rsidRDefault="00EE56C0">
            <w:pPr>
              <w:pStyle w:val="afa"/>
              <w:rPr>
                <w:rFonts w:cs="Times New Roman"/>
              </w:rPr>
            </w:pPr>
          </w:p>
        </w:tc>
        <w:tc>
          <w:tcPr>
            <w:tcW w:w="500" w:type="pct"/>
            <w:vMerge/>
            <w:tcBorders>
              <w:right w:val="single" w:sz="4" w:space="0" w:color="auto"/>
            </w:tcBorders>
            <w:vAlign w:val="center"/>
          </w:tcPr>
          <w:p w:rsidR="00EE56C0" w:rsidRDefault="00EE56C0">
            <w:pPr>
              <w:pStyle w:val="afa"/>
              <w:rPr>
                <w:rFonts w:cs="Times New Roman"/>
              </w:rPr>
            </w:pPr>
          </w:p>
        </w:tc>
        <w:tc>
          <w:tcPr>
            <w:tcW w:w="1328" w:type="pct"/>
            <w:tcBorders>
              <w:left w:val="single" w:sz="4" w:space="0" w:color="auto"/>
            </w:tcBorders>
            <w:vAlign w:val="center"/>
          </w:tcPr>
          <w:p w:rsidR="00EE56C0" w:rsidRDefault="000F36A1">
            <w:pPr>
              <w:pStyle w:val="afa"/>
              <w:rPr>
                <w:rFonts w:cs="Times New Roman"/>
              </w:rPr>
            </w:pPr>
            <w:r>
              <w:rPr>
                <w:rFonts w:cs="Times New Roman"/>
              </w:rPr>
              <w:t>烧结线</w:t>
            </w:r>
          </w:p>
        </w:tc>
        <w:tc>
          <w:tcPr>
            <w:tcW w:w="1508" w:type="pct"/>
            <w:tcBorders>
              <w:right w:val="single" w:sz="4" w:space="0" w:color="auto"/>
            </w:tcBorders>
            <w:vAlign w:val="center"/>
          </w:tcPr>
          <w:p w:rsidR="00EE56C0" w:rsidRDefault="000F36A1">
            <w:pPr>
              <w:pStyle w:val="afa"/>
              <w:rPr>
                <w:rFonts w:cs="Times New Roman"/>
              </w:rPr>
            </w:pPr>
            <w:r>
              <w:rPr>
                <w:rFonts w:cs="Times New Roman"/>
              </w:rPr>
              <w:t>480</w:t>
            </w:r>
          </w:p>
        </w:tc>
        <w:tc>
          <w:tcPr>
            <w:tcW w:w="769" w:type="pct"/>
            <w:vMerge/>
            <w:tcBorders>
              <w:left w:val="single" w:sz="4" w:space="0" w:color="auto"/>
              <w:right w:val="single" w:sz="4" w:space="0" w:color="auto"/>
            </w:tcBorders>
            <w:vAlign w:val="center"/>
          </w:tcPr>
          <w:p w:rsidR="00EE56C0" w:rsidRDefault="00EE56C0">
            <w:pPr>
              <w:pStyle w:val="afa"/>
              <w:rPr>
                <w:rFonts w:cs="Times New Roman"/>
              </w:rPr>
            </w:pPr>
          </w:p>
        </w:tc>
      </w:tr>
      <w:tr w:rsidR="00EE56C0">
        <w:trPr>
          <w:trHeight w:val="340"/>
          <w:jc w:val="center"/>
        </w:trPr>
        <w:tc>
          <w:tcPr>
            <w:tcW w:w="895" w:type="pct"/>
            <w:vMerge w:val="restart"/>
            <w:vAlign w:val="center"/>
          </w:tcPr>
          <w:p w:rsidR="00EE56C0" w:rsidRDefault="000F36A1">
            <w:pPr>
              <w:pStyle w:val="afa"/>
              <w:rPr>
                <w:rFonts w:cs="Times New Roman"/>
              </w:rPr>
            </w:pPr>
            <w:r>
              <w:rPr>
                <w:rFonts w:cs="Times New Roman"/>
              </w:rPr>
              <w:t>改扩建后全厂</w:t>
            </w:r>
          </w:p>
        </w:tc>
        <w:tc>
          <w:tcPr>
            <w:tcW w:w="1828" w:type="pct"/>
            <w:gridSpan w:val="2"/>
            <w:vAlign w:val="center"/>
          </w:tcPr>
          <w:p w:rsidR="00EE56C0" w:rsidRDefault="000F36A1">
            <w:pPr>
              <w:pStyle w:val="afa"/>
              <w:rPr>
                <w:rFonts w:cs="Times New Roman"/>
              </w:rPr>
            </w:pPr>
            <w:r>
              <w:rPr>
                <w:rFonts w:cs="Times New Roman"/>
              </w:rPr>
              <w:t>漆包线</w:t>
            </w:r>
          </w:p>
        </w:tc>
        <w:tc>
          <w:tcPr>
            <w:tcW w:w="1508" w:type="pct"/>
            <w:tcBorders>
              <w:right w:val="single" w:sz="4" w:space="0" w:color="auto"/>
            </w:tcBorders>
            <w:vAlign w:val="center"/>
          </w:tcPr>
          <w:p w:rsidR="00EE56C0" w:rsidRDefault="000F36A1">
            <w:pPr>
              <w:pStyle w:val="afa"/>
              <w:rPr>
                <w:rFonts w:cs="Times New Roman"/>
              </w:rPr>
            </w:pPr>
            <w:r>
              <w:rPr>
                <w:rFonts w:cs="Times New Roman"/>
              </w:rPr>
              <w:t>79400</w:t>
            </w:r>
          </w:p>
        </w:tc>
        <w:tc>
          <w:tcPr>
            <w:tcW w:w="769" w:type="pct"/>
            <w:vMerge w:val="restart"/>
            <w:tcBorders>
              <w:left w:val="single" w:sz="4" w:space="0" w:color="auto"/>
              <w:right w:val="single" w:sz="4" w:space="0" w:color="auto"/>
            </w:tcBorders>
            <w:vAlign w:val="center"/>
          </w:tcPr>
          <w:p w:rsidR="00EE56C0" w:rsidRDefault="000F36A1">
            <w:pPr>
              <w:pStyle w:val="afa"/>
              <w:rPr>
                <w:rFonts w:cs="Times New Roman"/>
              </w:rPr>
            </w:pPr>
            <w:r>
              <w:rPr>
                <w:rFonts w:cs="Times New Roman"/>
              </w:rPr>
              <w:t>100000</w:t>
            </w:r>
          </w:p>
        </w:tc>
      </w:tr>
      <w:tr w:rsidR="00EE56C0">
        <w:trPr>
          <w:trHeight w:val="340"/>
          <w:jc w:val="center"/>
        </w:trPr>
        <w:tc>
          <w:tcPr>
            <w:tcW w:w="895" w:type="pct"/>
            <w:vMerge/>
            <w:vAlign w:val="center"/>
          </w:tcPr>
          <w:p w:rsidR="00EE56C0" w:rsidRDefault="00EE56C0">
            <w:pPr>
              <w:pStyle w:val="afa"/>
              <w:rPr>
                <w:rFonts w:cs="Times New Roman"/>
              </w:rPr>
            </w:pPr>
          </w:p>
        </w:tc>
        <w:tc>
          <w:tcPr>
            <w:tcW w:w="1828" w:type="pct"/>
            <w:gridSpan w:val="2"/>
            <w:vAlign w:val="center"/>
          </w:tcPr>
          <w:p w:rsidR="00EE56C0" w:rsidRDefault="000F36A1">
            <w:pPr>
              <w:pStyle w:val="afa"/>
              <w:rPr>
                <w:rFonts w:cs="Times New Roman"/>
              </w:rPr>
            </w:pPr>
            <w:r>
              <w:rPr>
                <w:rFonts w:cs="Times New Roman"/>
              </w:rPr>
              <w:t>丝包线</w:t>
            </w:r>
          </w:p>
        </w:tc>
        <w:tc>
          <w:tcPr>
            <w:tcW w:w="1508" w:type="pct"/>
            <w:tcBorders>
              <w:right w:val="single" w:sz="4" w:space="0" w:color="auto"/>
            </w:tcBorders>
            <w:vAlign w:val="center"/>
          </w:tcPr>
          <w:p w:rsidR="00EE56C0" w:rsidRDefault="000F36A1">
            <w:pPr>
              <w:pStyle w:val="afa"/>
              <w:rPr>
                <w:rFonts w:cs="Times New Roman"/>
              </w:rPr>
            </w:pPr>
            <w:r>
              <w:rPr>
                <w:rFonts w:cs="Times New Roman"/>
              </w:rPr>
              <w:t>11720</w:t>
            </w:r>
          </w:p>
        </w:tc>
        <w:tc>
          <w:tcPr>
            <w:tcW w:w="769" w:type="pct"/>
            <w:vMerge/>
            <w:tcBorders>
              <w:left w:val="single" w:sz="4" w:space="0" w:color="auto"/>
              <w:right w:val="single" w:sz="4" w:space="0" w:color="auto"/>
            </w:tcBorders>
            <w:vAlign w:val="center"/>
          </w:tcPr>
          <w:p w:rsidR="00EE56C0" w:rsidRDefault="00EE56C0">
            <w:pPr>
              <w:pStyle w:val="afa"/>
              <w:rPr>
                <w:rFonts w:cs="Times New Roman"/>
              </w:rPr>
            </w:pPr>
          </w:p>
        </w:tc>
      </w:tr>
      <w:tr w:rsidR="00EE56C0">
        <w:trPr>
          <w:trHeight w:val="340"/>
          <w:jc w:val="center"/>
        </w:trPr>
        <w:tc>
          <w:tcPr>
            <w:tcW w:w="895" w:type="pct"/>
            <w:vMerge/>
            <w:vAlign w:val="center"/>
          </w:tcPr>
          <w:p w:rsidR="00EE56C0" w:rsidRDefault="00EE56C0">
            <w:pPr>
              <w:pStyle w:val="afa"/>
              <w:rPr>
                <w:rFonts w:cs="Times New Roman"/>
              </w:rPr>
            </w:pPr>
          </w:p>
        </w:tc>
        <w:tc>
          <w:tcPr>
            <w:tcW w:w="1828" w:type="pct"/>
            <w:gridSpan w:val="2"/>
            <w:vAlign w:val="center"/>
          </w:tcPr>
          <w:p w:rsidR="00EE56C0" w:rsidRDefault="000F36A1">
            <w:pPr>
              <w:pStyle w:val="afa"/>
              <w:rPr>
                <w:rFonts w:cs="Times New Roman"/>
              </w:rPr>
            </w:pPr>
            <w:r>
              <w:rPr>
                <w:rFonts w:cs="Times New Roman"/>
              </w:rPr>
              <w:t>纸包线</w:t>
            </w:r>
          </w:p>
        </w:tc>
        <w:tc>
          <w:tcPr>
            <w:tcW w:w="1508" w:type="pct"/>
            <w:tcBorders>
              <w:right w:val="single" w:sz="4" w:space="0" w:color="auto"/>
            </w:tcBorders>
            <w:vAlign w:val="center"/>
          </w:tcPr>
          <w:p w:rsidR="00EE56C0" w:rsidRDefault="000F36A1">
            <w:pPr>
              <w:pStyle w:val="afa"/>
              <w:rPr>
                <w:rFonts w:cs="Times New Roman"/>
              </w:rPr>
            </w:pPr>
            <w:r>
              <w:rPr>
                <w:rFonts w:cs="Times New Roman"/>
              </w:rPr>
              <w:t>6160</w:t>
            </w:r>
          </w:p>
        </w:tc>
        <w:tc>
          <w:tcPr>
            <w:tcW w:w="769" w:type="pct"/>
            <w:vMerge/>
            <w:tcBorders>
              <w:left w:val="single" w:sz="4" w:space="0" w:color="auto"/>
              <w:right w:val="single" w:sz="4" w:space="0" w:color="auto"/>
            </w:tcBorders>
            <w:vAlign w:val="center"/>
          </w:tcPr>
          <w:p w:rsidR="00EE56C0" w:rsidRDefault="00EE56C0">
            <w:pPr>
              <w:pStyle w:val="afa"/>
              <w:rPr>
                <w:rFonts w:cs="Times New Roman"/>
              </w:rPr>
            </w:pPr>
          </w:p>
        </w:tc>
      </w:tr>
      <w:tr w:rsidR="00EE56C0">
        <w:trPr>
          <w:trHeight w:val="340"/>
          <w:jc w:val="center"/>
        </w:trPr>
        <w:tc>
          <w:tcPr>
            <w:tcW w:w="895" w:type="pct"/>
            <w:vMerge/>
            <w:vAlign w:val="center"/>
          </w:tcPr>
          <w:p w:rsidR="00EE56C0" w:rsidRDefault="00EE56C0">
            <w:pPr>
              <w:pStyle w:val="afa"/>
              <w:rPr>
                <w:rFonts w:cs="Times New Roman"/>
              </w:rPr>
            </w:pPr>
          </w:p>
        </w:tc>
        <w:tc>
          <w:tcPr>
            <w:tcW w:w="1828" w:type="pct"/>
            <w:gridSpan w:val="2"/>
            <w:vAlign w:val="center"/>
          </w:tcPr>
          <w:p w:rsidR="00EE56C0" w:rsidRDefault="000F36A1">
            <w:pPr>
              <w:pStyle w:val="afa"/>
              <w:rPr>
                <w:rFonts w:cs="Times New Roman"/>
              </w:rPr>
            </w:pPr>
            <w:r>
              <w:rPr>
                <w:rFonts w:cs="Times New Roman"/>
              </w:rPr>
              <w:t>烧结线</w:t>
            </w:r>
          </w:p>
        </w:tc>
        <w:tc>
          <w:tcPr>
            <w:tcW w:w="1508" w:type="pct"/>
            <w:tcBorders>
              <w:right w:val="single" w:sz="4" w:space="0" w:color="auto"/>
            </w:tcBorders>
            <w:vAlign w:val="center"/>
          </w:tcPr>
          <w:p w:rsidR="00EE56C0" w:rsidRDefault="000F36A1">
            <w:pPr>
              <w:pStyle w:val="afa"/>
              <w:rPr>
                <w:rFonts w:cs="Times New Roman"/>
              </w:rPr>
            </w:pPr>
            <w:r>
              <w:rPr>
                <w:rFonts w:cs="Times New Roman"/>
              </w:rPr>
              <w:t>2720</w:t>
            </w:r>
          </w:p>
        </w:tc>
        <w:tc>
          <w:tcPr>
            <w:tcW w:w="769" w:type="pct"/>
            <w:vMerge/>
            <w:tcBorders>
              <w:left w:val="single" w:sz="4" w:space="0" w:color="auto"/>
              <w:right w:val="single" w:sz="4" w:space="0" w:color="auto"/>
            </w:tcBorders>
            <w:vAlign w:val="center"/>
          </w:tcPr>
          <w:p w:rsidR="00EE56C0" w:rsidRDefault="00EE56C0">
            <w:pPr>
              <w:pStyle w:val="afa"/>
              <w:rPr>
                <w:rFonts w:cs="Times New Roman"/>
              </w:rPr>
            </w:pPr>
          </w:p>
        </w:tc>
      </w:tr>
    </w:tbl>
    <w:p w:rsidR="00EE56C0" w:rsidRDefault="000F36A1">
      <w:pPr>
        <w:pStyle w:val="3"/>
        <w:spacing w:before="240" w:after="120"/>
      </w:pPr>
      <w:r>
        <w:rPr>
          <w:rFonts w:hint="eastAsia"/>
        </w:rPr>
        <w:t>3.2.3</w:t>
      </w:r>
      <w:r>
        <w:rPr>
          <w:rFonts w:hint="eastAsia"/>
        </w:rPr>
        <w:t>本项目组成</w:t>
      </w:r>
    </w:p>
    <w:p w:rsidR="00EE56C0" w:rsidRDefault="000F36A1">
      <w:pPr>
        <w:ind w:firstLine="480"/>
      </w:pPr>
      <w:r>
        <w:rPr>
          <w:rFonts w:hint="eastAsia"/>
        </w:rPr>
        <w:t>本项目主要组成情况见下表。</w:t>
      </w:r>
    </w:p>
    <w:p w:rsidR="00EE56C0" w:rsidRDefault="000F36A1">
      <w:pPr>
        <w:pStyle w:val="afd"/>
        <w:spacing w:before="120" w:after="120"/>
        <w:ind w:firstLine="482"/>
      </w:pPr>
      <w:r>
        <w:t>表</w:t>
      </w:r>
      <w:r>
        <w:rPr>
          <w:rFonts w:hint="eastAsia"/>
        </w:rPr>
        <w:t>3</w:t>
      </w:r>
      <w:r>
        <w:t>-</w:t>
      </w:r>
      <w:r>
        <w:rPr>
          <w:rFonts w:hint="eastAsia"/>
        </w:rPr>
        <w:t xml:space="preserve">14               </w:t>
      </w:r>
      <w:r>
        <w:rPr>
          <w:rFonts w:hint="eastAsia"/>
        </w:rPr>
        <w:t>本项目</w:t>
      </w:r>
      <w:r>
        <w:t>主要</w:t>
      </w:r>
      <w:r>
        <w:rPr>
          <w:rFonts w:hint="eastAsia"/>
        </w:rPr>
        <w:t>组成</w:t>
      </w:r>
      <w:r>
        <w:t>一览表</w:t>
      </w:r>
    </w:p>
    <w:tbl>
      <w:tblPr>
        <w:tblW w:w="5193"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tblPr>
      <w:tblGrid>
        <w:gridCol w:w="663"/>
        <w:gridCol w:w="696"/>
        <w:gridCol w:w="994"/>
        <w:gridCol w:w="473"/>
        <w:gridCol w:w="423"/>
        <w:gridCol w:w="46"/>
        <w:gridCol w:w="907"/>
        <w:gridCol w:w="891"/>
        <w:gridCol w:w="712"/>
        <w:gridCol w:w="1555"/>
        <w:gridCol w:w="714"/>
        <w:gridCol w:w="783"/>
      </w:tblGrid>
      <w:tr w:rsidR="00EE56C0">
        <w:trPr>
          <w:trHeight w:val="454"/>
          <w:tblHeader/>
          <w:jc w:val="center"/>
        </w:trPr>
        <w:tc>
          <w:tcPr>
            <w:tcW w:w="374" w:type="pct"/>
            <w:vAlign w:val="center"/>
          </w:tcPr>
          <w:p w:rsidR="00EE56C0" w:rsidRDefault="000F36A1">
            <w:pPr>
              <w:pStyle w:val="aff1"/>
              <w:rPr>
                <w:color w:val="auto"/>
              </w:rPr>
            </w:pPr>
            <w:r>
              <w:rPr>
                <w:rFonts w:hint="eastAsia"/>
                <w:color w:val="auto"/>
              </w:rPr>
              <w:t>序号</w:t>
            </w:r>
          </w:p>
        </w:tc>
        <w:tc>
          <w:tcPr>
            <w:tcW w:w="393" w:type="pct"/>
            <w:vAlign w:val="center"/>
          </w:tcPr>
          <w:p w:rsidR="00EE56C0" w:rsidRDefault="000F36A1">
            <w:pPr>
              <w:pStyle w:val="aff1"/>
              <w:rPr>
                <w:color w:val="auto"/>
              </w:rPr>
            </w:pPr>
            <w:r>
              <w:rPr>
                <w:color w:val="auto"/>
              </w:rPr>
              <w:t>工程类别</w:t>
            </w:r>
          </w:p>
        </w:tc>
        <w:tc>
          <w:tcPr>
            <w:tcW w:w="561" w:type="pct"/>
            <w:vAlign w:val="center"/>
          </w:tcPr>
          <w:p w:rsidR="00EE56C0" w:rsidRDefault="000F36A1">
            <w:pPr>
              <w:pStyle w:val="aff1"/>
              <w:rPr>
                <w:color w:val="auto"/>
              </w:rPr>
            </w:pPr>
            <w:r>
              <w:rPr>
                <w:color w:val="auto"/>
              </w:rPr>
              <w:t>工程名称</w:t>
            </w:r>
          </w:p>
        </w:tc>
        <w:tc>
          <w:tcPr>
            <w:tcW w:w="3230" w:type="pct"/>
            <w:gridSpan w:val="8"/>
            <w:vAlign w:val="center"/>
          </w:tcPr>
          <w:p w:rsidR="00EE56C0" w:rsidRDefault="000F36A1">
            <w:pPr>
              <w:pStyle w:val="aff1"/>
              <w:rPr>
                <w:color w:val="auto"/>
              </w:rPr>
            </w:pPr>
            <w:r>
              <w:rPr>
                <w:rFonts w:hint="eastAsia"/>
                <w:color w:val="auto"/>
              </w:rPr>
              <w:t>内容</w:t>
            </w:r>
          </w:p>
        </w:tc>
        <w:tc>
          <w:tcPr>
            <w:tcW w:w="442" w:type="pct"/>
            <w:vAlign w:val="center"/>
          </w:tcPr>
          <w:p w:rsidR="00EE56C0" w:rsidRDefault="000F36A1">
            <w:pPr>
              <w:pStyle w:val="aff1"/>
              <w:rPr>
                <w:color w:val="auto"/>
              </w:rPr>
            </w:pPr>
            <w:r>
              <w:rPr>
                <w:rFonts w:hint="eastAsia"/>
                <w:color w:val="auto"/>
              </w:rPr>
              <w:t>备注</w:t>
            </w:r>
          </w:p>
        </w:tc>
      </w:tr>
      <w:tr w:rsidR="00EE56C0">
        <w:trPr>
          <w:trHeight w:val="454"/>
          <w:jc w:val="center"/>
        </w:trPr>
        <w:tc>
          <w:tcPr>
            <w:tcW w:w="374" w:type="pct"/>
            <w:vMerge w:val="restart"/>
            <w:vAlign w:val="center"/>
          </w:tcPr>
          <w:p w:rsidR="00EE56C0" w:rsidRDefault="000F36A1">
            <w:pPr>
              <w:pStyle w:val="afa"/>
            </w:pPr>
            <w:r>
              <w:rPr>
                <w:rFonts w:hint="eastAsia"/>
              </w:rPr>
              <w:t>1</w:t>
            </w:r>
          </w:p>
        </w:tc>
        <w:tc>
          <w:tcPr>
            <w:tcW w:w="393" w:type="pct"/>
            <w:vMerge w:val="restart"/>
            <w:vAlign w:val="center"/>
          </w:tcPr>
          <w:p w:rsidR="00EE56C0" w:rsidRDefault="000F36A1">
            <w:pPr>
              <w:pStyle w:val="afa"/>
            </w:pPr>
            <w:r>
              <w:t>主体工程</w:t>
            </w:r>
          </w:p>
        </w:tc>
        <w:tc>
          <w:tcPr>
            <w:tcW w:w="561" w:type="pct"/>
            <w:vAlign w:val="center"/>
          </w:tcPr>
          <w:p w:rsidR="00EE56C0" w:rsidRDefault="000F36A1">
            <w:pPr>
              <w:pStyle w:val="afa"/>
            </w:pPr>
            <w:r>
              <w:t>1</w:t>
            </w:r>
            <w:r>
              <w:t>＃</w:t>
            </w:r>
            <w:r>
              <w:rPr>
                <w:rFonts w:hint="eastAsia"/>
              </w:rPr>
              <w:t>生产</w:t>
            </w:r>
          </w:p>
          <w:p w:rsidR="00EE56C0" w:rsidRDefault="000F36A1">
            <w:pPr>
              <w:pStyle w:val="afa"/>
            </w:pPr>
            <w:r>
              <w:rPr>
                <w:rFonts w:hint="eastAsia"/>
              </w:rPr>
              <w:t>车间</w:t>
            </w:r>
          </w:p>
        </w:tc>
        <w:tc>
          <w:tcPr>
            <w:tcW w:w="3230" w:type="pct"/>
            <w:gridSpan w:val="8"/>
            <w:vAlign w:val="center"/>
          </w:tcPr>
          <w:p w:rsidR="00EE56C0" w:rsidRDefault="000F36A1">
            <w:pPr>
              <w:pStyle w:val="afa"/>
            </w:pPr>
            <w:r>
              <w:rPr>
                <w:rFonts w:hint="eastAsia"/>
              </w:rPr>
              <w:t>1</w:t>
            </w:r>
            <w:r>
              <w:rPr>
                <w:rFonts w:hint="eastAsia"/>
              </w:rPr>
              <w:t>座，建筑面积</w:t>
            </w:r>
            <w:r>
              <w:rPr>
                <w:rFonts w:hint="eastAsia"/>
              </w:rPr>
              <w:t>16800m</w:t>
            </w:r>
            <w:r>
              <w:rPr>
                <w:rFonts w:hint="eastAsia"/>
                <w:vertAlign w:val="superscript"/>
              </w:rPr>
              <w:t>2</w:t>
            </w:r>
            <w:r>
              <w:rPr>
                <w:rFonts w:hint="eastAsia"/>
              </w:rPr>
              <w:t>，生产丝包线、纸包线、烧结线，一期、二期共用</w:t>
            </w:r>
          </w:p>
        </w:tc>
        <w:tc>
          <w:tcPr>
            <w:tcW w:w="442" w:type="pct"/>
            <w:vAlign w:val="center"/>
          </w:tcPr>
          <w:p w:rsidR="00EE56C0" w:rsidRDefault="000F36A1">
            <w:pPr>
              <w:pStyle w:val="afa"/>
            </w:pPr>
            <w:r>
              <w:rPr>
                <w:rFonts w:hint="eastAsia"/>
              </w:rPr>
              <w:t>依托</w:t>
            </w:r>
          </w:p>
          <w:p w:rsidR="00EE56C0" w:rsidRDefault="000F36A1">
            <w:pPr>
              <w:pStyle w:val="afa"/>
            </w:pPr>
            <w:r>
              <w:rPr>
                <w:rFonts w:hint="eastAsia"/>
              </w:rPr>
              <w:t>现有</w:t>
            </w:r>
          </w:p>
        </w:tc>
      </w:tr>
      <w:tr w:rsidR="00EE56C0">
        <w:trPr>
          <w:trHeight w:val="454"/>
          <w:jc w:val="center"/>
        </w:trPr>
        <w:tc>
          <w:tcPr>
            <w:tcW w:w="374" w:type="pct"/>
            <w:vMerge/>
            <w:vAlign w:val="center"/>
          </w:tcPr>
          <w:p w:rsidR="00EE56C0" w:rsidRDefault="00EE56C0">
            <w:pPr>
              <w:pStyle w:val="afa"/>
            </w:pPr>
          </w:p>
        </w:tc>
        <w:tc>
          <w:tcPr>
            <w:tcW w:w="393" w:type="pct"/>
            <w:vMerge/>
            <w:vAlign w:val="center"/>
          </w:tcPr>
          <w:p w:rsidR="00EE56C0" w:rsidRDefault="00EE56C0">
            <w:pPr>
              <w:pStyle w:val="afa"/>
            </w:pPr>
          </w:p>
        </w:tc>
        <w:tc>
          <w:tcPr>
            <w:tcW w:w="561" w:type="pct"/>
            <w:vAlign w:val="center"/>
          </w:tcPr>
          <w:p w:rsidR="00EE56C0" w:rsidRDefault="000F36A1">
            <w:pPr>
              <w:pStyle w:val="afa"/>
            </w:pPr>
            <w:r>
              <w:rPr>
                <w:rFonts w:hint="eastAsia"/>
              </w:rPr>
              <w:t>2</w:t>
            </w:r>
            <w:r>
              <w:t>＃</w:t>
            </w:r>
            <w:r>
              <w:rPr>
                <w:rFonts w:hint="eastAsia"/>
              </w:rPr>
              <w:t>生产</w:t>
            </w:r>
          </w:p>
          <w:p w:rsidR="00EE56C0" w:rsidRDefault="000F36A1">
            <w:pPr>
              <w:pStyle w:val="afa"/>
            </w:pPr>
            <w:r>
              <w:rPr>
                <w:rFonts w:hint="eastAsia"/>
              </w:rPr>
              <w:t>车间</w:t>
            </w:r>
          </w:p>
        </w:tc>
        <w:tc>
          <w:tcPr>
            <w:tcW w:w="3230" w:type="pct"/>
            <w:gridSpan w:val="8"/>
            <w:vAlign w:val="center"/>
          </w:tcPr>
          <w:p w:rsidR="00EE56C0" w:rsidRDefault="000F36A1">
            <w:pPr>
              <w:pStyle w:val="afa"/>
            </w:pPr>
            <w:r>
              <w:rPr>
                <w:rFonts w:hint="eastAsia"/>
              </w:rPr>
              <w:t>1</w:t>
            </w:r>
            <w:r>
              <w:rPr>
                <w:rFonts w:hint="eastAsia"/>
              </w:rPr>
              <w:t>座，建筑面积</w:t>
            </w:r>
            <w:r>
              <w:rPr>
                <w:rFonts w:hint="eastAsia"/>
              </w:rPr>
              <w:t>16000m</w:t>
            </w:r>
            <w:r>
              <w:rPr>
                <w:rFonts w:hint="eastAsia"/>
                <w:vertAlign w:val="superscript"/>
              </w:rPr>
              <w:t>2</w:t>
            </w:r>
            <w:r>
              <w:rPr>
                <w:rFonts w:hint="eastAsia"/>
              </w:rPr>
              <w:t>，生产漆包线，一期、二期共用</w:t>
            </w:r>
          </w:p>
        </w:tc>
        <w:tc>
          <w:tcPr>
            <w:tcW w:w="442" w:type="pct"/>
            <w:vAlign w:val="center"/>
          </w:tcPr>
          <w:p w:rsidR="00EE56C0" w:rsidRDefault="000F36A1">
            <w:pPr>
              <w:pStyle w:val="afa"/>
            </w:pPr>
            <w:r>
              <w:rPr>
                <w:rFonts w:hint="eastAsia"/>
              </w:rPr>
              <w:t>依托</w:t>
            </w:r>
          </w:p>
          <w:p w:rsidR="00EE56C0" w:rsidRDefault="000F36A1">
            <w:pPr>
              <w:pStyle w:val="afa"/>
            </w:pPr>
            <w:r>
              <w:rPr>
                <w:rFonts w:hint="eastAsia"/>
              </w:rPr>
              <w:t>现有</w:t>
            </w:r>
          </w:p>
        </w:tc>
      </w:tr>
      <w:tr w:rsidR="00EE56C0">
        <w:trPr>
          <w:trHeight w:val="454"/>
          <w:jc w:val="center"/>
        </w:trPr>
        <w:tc>
          <w:tcPr>
            <w:tcW w:w="374" w:type="pct"/>
            <w:vMerge/>
            <w:vAlign w:val="center"/>
          </w:tcPr>
          <w:p w:rsidR="00EE56C0" w:rsidRDefault="00EE56C0">
            <w:pPr>
              <w:pStyle w:val="afa"/>
            </w:pPr>
          </w:p>
        </w:tc>
        <w:tc>
          <w:tcPr>
            <w:tcW w:w="393" w:type="pct"/>
            <w:vMerge/>
            <w:vAlign w:val="center"/>
          </w:tcPr>
          <w:p w:rsidR="00EE56C0" w:rsidRDefault="00EE56C0">
            <w:pPr>
              <w:pStyle w:val="afa"/>
            </w:pPr>
          </w:p>
        </w:tc>
        <w:tc>
          <w:tcPr>
            <w:tcW w:w="561" w:type="pct"/>
            <w:vAlign w:val="center"/>
          </w:tcPr>
          <w:p w:rsidR="00EE56C0" w:rsidRDefault="000F36A1">
            <w:pPr>
              <w:pStyle w:val="afa"/>
            </w:pPr>
            <w:r>
              <w:rPr>
                <w:rFonts w:hint="eastAsia"/>
              </w:rPr>
              <w:t>3</w:t>
            </w:r>
            <w:r>
              <w:t>＃</w:t>
            </w:r>
            <w:r>
              <w:rPr>
                <w:rFonts w:hint="eastAsia"/>
              </w:rPr>
              <w:t>生产</w:t>
            </w:r>
          </w:p>
          <w:p w:rsidR="00EE56C0" w:rsidRDefault="000F36A1">
            <w:pPr>
              <w:pStyle w:val="afa"/>
            </w:pPr>
            <w:r>
              <w:rPr>
                <w:rFonts w:hint="eastAsia"/>
              </w:rPr>
              <w:t>车间</w:t>
            </w:r>
          </w:p>
        </w:tc>
        <w:tc>
          <w:tcPr>
            <w:tcW w:w="3230" w:type="pct"/>
            <w:gridSpan w:val="8"/>
            <w:vAlign w:val="center"/>
          </w:tcPr>
          <w:p w:rsidR="00EE56C0" w:rsidRDefault="000F36A1">
            <w:pPr>
              <w:pStyle w:val="afa"/>
            </w:pPr>
            <w:r>
              <w:rPr>
                <w:rFonts w:hint="eastAsia"/>
              </w:rPr>
              <w:t>1</w:t>
            </w:r>
            <w:r>
              <w:rPr>
                <w:rFonts w:hint="eastAsia"/>
              </w:rPr>
              <w:t>座，建筑面积</w:t>
            </w:r>
            <w:r>
              <w:rPr>
                <w:rFonts w:hint="eastAsia"/>
              </w:rPr>
              <w:t>9200m</w:t>
            </w:r>
            <w:r>
              <w:rPr>
                <w:rFonts w:hint="eastAsia"/>
                <w:vertAlign w:val="superscript"/>
              </w:rPr>
              <w:t>2</w:t>
            </w:r>
            <w:r>
              <w:rPr>
                <w:rFonts w:hint="eastAsia"/>
              </w:rPr>
              <w:t>，拉丝、拉拔区，一期、二期共用</w:t>
            </w:r>
          </w:p>
        </w:tc>
        <w:tc>
          <w:tcPr>
            <w:tcW w:w="442" w:type="pct"/>
            <w:vAlign w:val="center"/>
          </w:tcPr>
          <w:p w:rsidR="00EE56C0" w:rsidRDefault="000F36A1">
            <w:pPr>
              <w:pStyle w:val="afa"/>
            </w:pPr>
            <w:r>
              <w:rPr>
                <w:rFonts w:hint="eastAsia"/>
              </w:rPr>
              <w:t>依托</w:t>
            </w:r>
          </w:p>
          <w:p w:rsidR="00EE56C0" w:rsidRDefault="000F36A1">
            <w:pPr>
              <w:pStyle w:val="afa"/>
            </w:pPr>
            <w:r>
              <w:rPr>
                <w:rFonts w:hint="eastAsia"/>
              </w:rPr>
              <w:t>现有</w:t>
            </w:r>
          </w:p>
        </w:tc>
      </w:tr>
      <w:tr w:rsidR="00EE56C0">
        <w:trPr>
          <w:trHeight w:val="454"/>
          <w:jc w:val="center"/>
        </w:trPr>
        <w:tc>
          <w:tcPr>
            <w:tcW w:w="374" w:type="pct"/>
            <w:vMerge w:val="restart"/>
            <w:vAlign w:val="center"/>
          </w:tcPr>
          <w:p w:rsidR="00EE56C0" w:rsidRDefault="000F36A1">
            <w:pPr>
              <w:pStyle w:val="afa"/>
            </w:pPr>
            <w:r>
              <w:rPr>
                <w:rFonts w:hint="eastAsia"/>
              </w:rPr>
              <w:t>2</w:t>
            </w:r>
          </w:p>
        </w:tc>
        <w:tc>
          <w:tcPr>
            <w:tcW w:w="393" w:type="pct"/>
            <w:vMerge w:val="restart"/>
            <w:vAlign w:val="center"/>
          </w:tcPr>
          <w:p w:rsidR="00EE56C0" w:rsidRDefault="000F36A1">
            <w:pPr>
              <w:pStyle w:val="afa"/>
            </w:pPr>
            <w:r>
              <w:t>辅助工程</w:t>
            </w:r>
          </w:p>
        </w:tc>
        <w:tc>
          <w:tcPr>
            <w:tcW w:w="561" w:type="pct"/>
            <w:vAlign w:val="center"/>
          </w:tcPr>
          <w:p w:rsidR="00EE56C0" w:rsidRDefault="000F36A1">
            <w:pPr>
              <w:pStyle w:val="afa"/>
            </w:pPr>
            <w:r>
              <w:rPr>
                <w:rFonts w:hint="eastAsia"/>
              </w:rPr>
              <w:t>办公楼</w:t>
            </w:r>
          </w:p>
        </w:tc>
        <w:tc>
          <w:tcPr>
            <w:tcW w:w="3230" w:type="pct"/>
            <w:gridSpan w:val="8"/>
            <w:vAlign w:val="center"/>
          </w:tcPr>
          <w:p w:rsidR="00EE56C0" w:rsidRDefault="000F36A1">
            <w:pPr>
              <w:pStyle w:val="afa"/>
            </w:pPr>
            <w:r>
              <w:rPr>
                <w:rFonts w:hint="eastAsia"/>
              </w:rPr>
              <w:t>1</w:t>
            </w:r>
            <w:r>
              <w:rPr>
                <w:rFonts w:hint="eastAsia"/>
              </w:rPr>
              <w:t>座，</w:t>
            </w:r>
            <w:r>
              <w:rPr>
                <w:rFonts w:hint="eastAsia"/>
              </w:rPr>
              <w:t>4</w:t>
            </w:r>
            <w:r>
              <w:t>层</w:t>
            </w:r>
            <w:r>
              <w:rPr>
                <w:rFonts w:hint="eastAsia"/>
              </w:rPr>
              <w:t>，建筑面积</w:t>
            </w:r>
            <w:r>
              <w:rPr>
                <w:rFonts w:hint="eastAsia"/>
              </w:rPr>
              <w:t>4500m</w:t>
            </w:r>
            <w:r>
              <w:rPr>
                <w:rFonts w:hint="eastAsia"/>
                <w:vertAlign w:val="superscript"/>
              </w:rPr>
              <w:t>2</w:t>
            </w:r>
            <w:r>
              <w:rPr>
                <w:rFonts w:hint="eastAsia"/>
              </w:rPr>
              <w:t>，一期、二期共用</w:t>
            </w:r>
          </w:p>
        </w:tc>
        <w:tc>
          <w:tcPr>
            <w:tcW w:w="442" w:type="pct"/>
            <w:vAlign w:val="center"/>
          </w:tcPr>
          <w:p w:rsidR="00EE56C0" w:rsidRDefault="000F36A1">
            <w:pPr>
              <w:pStyle w:val="afa"/>
            </w:pPr>
            <w:r>
              <w:rPr>
                <w:rFonts w:hint="eastAsia"/>
              </w:rPr>
              <w:t>依托</w:t>
            </w:r>
          </w:p>
          <w:p w:rsidR="00EE56C0" w:rsidRDefault="000F36A1">
            <w:pPr>
              <w:pStyle w:val="afa"/>
            </w:pPr>
            <w:r>
              <w:rPr>
                <w:rFonts w:hint="eastAsia"/>
              </w:rPr>
              <w:t>现有</w:t>
            </w:r>
          </w:p>
        </w:tc>
      </w:tr>
      <w:tr w:rsidR="00EE56C0">
        <w:trPr>
          <w:trHeight w:val="454"/>
          <w:jc w:val="center"/>
        </w:trPr>
        <w:tc>
          <w:tcPr>
            <w:tcW w:w="374" w:type="pct"/>
            <w:vMerge/>
            <w:vAlign w:val="center"/>
          </w:tcPr>
          <w:p w:rsidR="00EE56C0" w:rsidRDefault="00EE56C0">
            <w:pPr>
              <w:pStyle w:val="afa"/>
            </w:pPr>
          </w:p>
        </w:tc>
        <w:tc>
          <w:tcPr>
            <w:tcW w:w="393" w:type="pct"/>
            <w:vMerge/>
            <w:vAlign w:val="center"/>
          </w:tcPr>
          <w:p w:rsidR="00EE56C0" w:rsidRDefault="00EE56C0">
            <w:pPr>
              <w:pStyle w:val="afa"/>
            </w:pPr>
          </w:p>
        </w:tc>
        <w:tc>
          <w:tcPr>
            <w:tcW w:w="561" w:type="pct"/>
            <w:vAlign w:val="center"/>
          </w:tcPr>
          <w:p w:rsidR="00EE56C0" w:rsidRDefault="000F36A1">
            <w:pPr>
              <w:pStyle w:val="afa"/>
            </w:pPr>
            <w:r>
              <w:rPr>
                <w:rFonts w:hint="eastAsia"/>
              </w:rPr>
              <w:t>漆料库</w:t>
            </w:r>
          </w:p>
        </w:tc>
        <w:tc>
          <w:tcPr>
            <w:tcW w:w="3230" w:type="pct"/>
            <w:gridSpan w:val="8"/>
            <w:vAlign w:val="center"/>
          </w:tcPr>
          <w:p w:rsidR="00EE56C0" w:rsidRDefault="000F36A1">
            <w:pPr>
              <w:pStyle w:val="afa"/>
            </w:pPr>
            <w:r>
              <w:rPr>
                <w:rFonts w:hint="eastAsia"/>
              </w:rPr>
              <w:t>1</w:t>
            </w:r>
            <w:r>
              <w:rPr>
                <w:rFonts w:hint="eastAsia"/>
              </w:rPr>
              <w:t>座，建筑面积</w:t>
            </w:r>
            <w:r>
              <w:rPr>
                <w:rFonts w:hint="eastAsia"/>
              </w:rPr>
              <w:t>2200m</w:t>
            </w:r>
            <w:r>
              <w:rPr>
                <w:rFonts w:hint="eastAsia"/>
                <w:vertAlign w:val="superscript"/>
              </w:rPr>
              <w:t>2</w:t>
            </w:r>
            <w:r>
              <w:rPr>
                <w:rFonts w:hint="eastAsia"/>
              </w:rPr>
              <w:t>，一期、二期共用</w:t>
            </w:r>
          </w:p>
        </w:tc>
        <w:tc>
          <w:tcPr>
            <w:tcW w:w="442" w:type="pct"/>
            <w:vAlign w:val="center"/>
          </w:tcPr>
          <w:p w:rsidR="00EE56C0" w:rsidRDefault="000F36A1">
            <w:pPr>
              <w:pStyle w:val="afa"/>
            </w:pPr>
            <w:r>
              <w:rPr>
                <w:rFonts w:hint="eastAsia"/>
              </w:rPr>
              <w:t>依托</w:t>
            </w:r>
          </w:p>
          <w:p w:rsidR="00EE56C0" w:rsidRDefault="000F36A1">
            <w:pPr>
              <w:pStyle w:val="afa"/>
            </w:pPr>
            <w:r>
              <w:rPr>
                <w:rFonts w:hint="eastAsia"/>
              </w:rPr>
              <w:t>现有</w:t>
            </w:r>
          </w:p>
        </w:tc>
      </w:tr>
      <w:tr w:rsidR="00EE56C0">
        <w:trPr>
          <w:trHeight w:val="454"/>
          <w:jc w:val="center"/>
        </w:trPr>
        <w:tc>
          <w:tcPr>
            <w:tcW w:w="374" w:type="pct"/>
            <w:vMerge/>
            <w:vAlign w:val="center"/>
          </w:tcPr>
          <w:p w:rsidR="00EE56C0" w:rsidRDefault="00EE56C0">
            <w:pPr>
              <w:pStyle w:val="afa"/>
            </w:pPr>
          </w:p>
        </w:tc>
        <w:tc>
          <w:tcPr>
            <w:tcW w:w="393" w:type="pct"/>
            <w:vMerge/>
            <w:vAlign w:val="center"/>
          </w:tcPr>
          <w:p w:rsidR="00EE56C0" w:rsidRDefault="00EE56C0">
            <w:pPr>
              <w:pStyle w:val="afa"/>
            </w:pPr>
          </w:p>
        </w:tc>
        <w:tc>
          <w:tcPr>
            <w:tcW w:w="561" w:type="pct"/>
            <w:vAlign w:val="center"/>
          </w:tcPr>
          <w:p w:rsidR="00EE56C0" w:rsidRDefault="000F36A1">
            <w:pPr>
              <w:pStyle w:val="afa"/>
            </w:pPr>
            <w:r>
              <w:rPr>
                <w:rFonts w:hint="eastAsia"/>
              </w:rPr>
              <w:t>成品仓库</w:t>
            </w:r>
          </w:p>
        </w:tc>
        <w:tc>
          <w:tcPr>
            <w:tcW w:w="3230" w:type="pct"/>
            <w:gridSpan w:val="8"/>
            <w:vAlign w:val="center"/>
          </w:tcPr>
          <w:p w:rsidR="00EE56C0" w:rsidRDefault="000F36A1">
            <w:pPr>
              <w:pStyle w:val="afa"/>
            </w:pPr>
            <w:r>
              <w:rPr>
                <w:rFonts w:hint="eastAsia"/>
              </w:rPr>
              <w:t>1</w:t>
            </w:r>
            <w:r>
              <w:rPr>
                <w:rFonts w:hint="eastAsia"/>
              </w:rPr>
              <w:t>座，建筑面积</w:t>
            </w:r>
            <w:r>
              <w:rPr>
                <w:rFonts w:hint="eastAsia"/>
              </w:rPr>
              <w:t>5020m</w:t>
            </w:r>
            <w:r>
              <w:rPr>
                <w:rFonts w:hint="eastAsia"/>
                <w:vertAlign w:val="superscript"/>
              </w:rPr>
              <w:t>2</w:t>
            </w:r>
            <w:r>
              <w:rPr>
                <w:rFonts w:hint="eastAsia"/>
              </w:rPr>
              <w:t>，一期、二期共用</w:t>
            </w:r>
          </w:p>
        </w:tc>
        <w:tc>
          <w:tcPr>
            <w:tcW w:w="442" w:type="pct"/>
            <w:vAlign w:val="center"/>
          </w:tcPr>
          <w:p w:rsidR="00EE56C0" w:rsidRDefault="000F36A1">
            <w:pPr>
              <w:pStyle w:val="afa"/>
            </w:pPr>
            <w:r>
              <w:rPr>
                <w:rFonts w:hint="eastAsia"/>
              </w:rPr>
              <w:t>依托</w:t>
            </w:r>
          </w:p>
          <w:p w:rsidR="00EE56C0" w:rsidRDefault="000F36A1">
            <w:pPr>
              <w:pStyle w:val="afa"/>
            </w:pPr>
            <w:r>
              <w:rPr>
                <w:rFonts w:hint="eastAsia"/>
              </w:rPr>
              <w:t>现有</w:t>
            </w:r>
          </w:p>
        </w:tc>
      </w:tr>
      <w:tr w:rsidR="00EE56C0">
        <w:trPr>
          <w:trHeight w:val="454"/>
          <w:jc w:val="center"/>
        </w:trPr>
        <w:tc>
          <w:tcPr>
            <w:tcW w:w="374" w:type="pct"/>
            <w:vMerge/>
            <w:vAlign w:val="center"/>
          </w:tcPr>
          <w:p w:rsidR="00EE56C0" w:rsidRDefault="00EE56C0">
            <w:pPr>
              <w:pStyle w:val="afa"/>
            </w:pPr>
          </w:p>
        </w:tc>
        <w:tc>
          <w:tcPr>
            <w:tcW w:w="393" w:type="pct"/>
            <w:vMerge/>
            <w:vAlign w:val="center"/>
          </w:tcPr>
          <w:p w:rsidR="00EE56C0" w:rsidRDefault="00EE56C0">
            <w:pPr>
              <w:pStyle w:val="afa"/>
            </w:pPr>
          </w:p>
        </w:tc>
        <w:tc>
          <w:tcPr>
            <w:tcW w:w="561" w:type="pct"/>
            <w:vAlign w:val="center"/>
          </w:tcPr>
          <w:p w:rsidR="00EE56C0" w:rsidRDefault="000F36A1">
            <w:pPr>
              <w:pStyle w:val="afa"/>
            </w:pPr>
            <w:r>
              <w:rPr>
                <w:rFonts w:hint="eastAsia"/>
              </w:rPr>
              <w:t>营销楼</w:t>
            </w:r>
          </w:p>
        </w:tc>
        <w:tc>
          <w:tcPr>
            <w:tcW w:w="3230" w:type="pct"/>
            <w:gridSpan w:val="8"/>
            <w:vAlign w:val="center"/>
          </w:tcPr>
          <w:p w:rsidR="00EE56C0" w:rsidRDefault="000F36A1">
            <w:pPr>
              <w:pStyle w:val="afa"/>
            </w:pPr>
            <w:r>
              <w:rPr>
                <w:rFonts w:hint="eastAsia"/>
              </w:rPr>
              <w:t>1</w:t>
            </w:r>
            <w:r>
              <w:rPr>
                <w:rFonts w:hint="eastAsia"/>
              </w:rPr>
              <w:t>座，</w:t>
            </w:r>
            <w:r>
              <w:rPr>
                <w:rFonts w:hint="eastAsia"/>
              </w:rPr>
              <w:t>3</w:t>
            </w:r>
            <w:r>
              <w:t>层</w:t>
            </w:r>
            <w:r>
              <w:rPr>
                <w:rFonts w:hint="eastAsia"/>
              </w:rPr>
              <w:t>，建筑面积</w:t>
            </w:r>
            <w:r>
              <w:rPr>
                <w:rFonts w:hint="eastAsia"/>
              </w:rPr>
              <w:t>1050m</w:t>
            </w:r>
            <w:r>
              <w:rPr>
                <w:rFonts w:hint="eastAsia"/>
                <w:vertAlign w:val="superscript"/>
              </w:rPr>
              <w:t>2</w:t>
            </w:r>
          </w:p>
        </w:tc>
        <w:tc>
          <w:tcPr>
            <w:tcW w:w="442" w:type="pct"/>
            <w:vAlign w:val="center"/>
          </w:tcPr>
          <w:p w:rsidR="00EE56C0" w:rsidRDefault="000F36A1">
            <w:pPr>
              <w:pStyle w:val="afa"/>
            </w:pPr>
            <w:r>
              <w:rPr>
                <w:rFonts w:hint="eastAsia"/>
              </w:rPr>
              <w:t>依托</w:t>
            </w:r>
          </w:p>
          <w:p w:rsidR="00EE56C0" w:rsidRDefault="000F36A1">
            <w:pPr>
              <w:pStyle w:val="afa"/>
            </w:pPr>
            <w:r>
              <w:rPr>
                <w:rFonts w:hint="eastAsia"/>
              </w:rPr>
              <w:t>现有</w:t>
            </w:r>
          </w:p>
        </w:tc>
      </w:tr>
      <w:tr w:rsidR="00EE56C0">
        <w:trPr>
          <w:trHeight w:val="454"/>
          <w:jc w:val="center"/>
        </w:trPr>
        <w:tc>
          <w:tcPr>
            <w:tcW w:w="374" w:type="pct"/>
            <w:vMerge w:val="restart"/>
            <w:vAlign w:val="center"/>
          </w:tcPr>
          <w:p w:rsidR="00EE56C0" w:rsidRDefault="000F36A1">
            <w:pPr>
              <w:pStyle w:val="afa"/>
            </w:pPr>
            <w:r>
              <w:rPr>
                <w:rFonts w:hint="eastAsia"/>
              </w:rPr>
              <w:t>3</w:t>
            </w:r>
          </w:p>
        </w:tc>
        <w:tc>
          <w:tcPr>
            <w:tcW w:w="393" w:type="pct"/>
            <w:vMerge w:val="restart"/>
            <w:vAlign w:val="center"/>
          </w:tcPr>
          <w:p w:rsidR="00EE56C0" w:rsidRDefault="000F36A1">
            <w:pPr>
              <w:pStyle w:val="afa"/>
            </w:pPr>
            <w:r>
              <w:rPr>
                <w:rFonts w:hint="eastAsia"/>
              </w:rPr>
              <w:t>公用工程</w:t>
            </w:r>
          </w:p>
        </w:tc>
        <w:tc>
          <w:tcPr>
            <w:tcW w:w="561" w:type="pct"/>
            <w:vAlign w:val="center"/>
          </w:tcPr>
          <w:p w:rsidR="00EE56C0" w:rsidRDefault="000F36A1">
            <w:pPr>
              <w:pStyle w:val="afa"/>
              <w:rPr>
                <w:rFonts w:hAnsi="宋体"/>
              </w:rPr>
            </w:pPr>
            <w:r>
              <w:rPr>
                <w:rFonts w:hAnsi="宋体" w:hint="eastAsia"/>
              </w:rPr>
              <w:t>供水</w:t>
            </w:r>
          </w:p>
        </w:tc>
        <w:tc>
          <w:tcPr>
            <w:tcW w:w="3230" w:type="pct"/>
            <w:gridSpan w:val="8"/>
            <w:vAlign w:val="center"/>
          </w:tcPr>
          <w:p w:rsidR="00EE56C0" w:rsidRDefault="000F36A1">
            <w:pPr>
              <w:pStyle w:val="afa"/>
              <w:rPr>
                <w:rFonts w:hAnsi="宋体"/>
              </w:rPr>
            </w:pPr>
            <w:r>
              <w:rPr>
                <w:rFonts w:hAnsi="宋体" w:hint="eastAsia"/>
              </w:rPr>
              <w:t>厂区自备井</w:t>
            </w:r>
          </w:p>
        </w:tc>
        <w:tc>
          <w:tcPr>
            <w:tcW w:w="442" w:type="pct"/>
            <w:vAlign w:val="center"/>
          </w:tcPr>
          <w:p w:rsidR="00EE56C0" w:rsidRDefault="000F36A1">
            <w:pPr>
              <w:pStyle w:val="afa"/>
              <w:rPr>
                <w:rFonts w:hAnsi="宋体"/>
              </w:rPr>
            </w:pPr>
            <w:r>
              <w:rPr>
                <w:rFonts w:hAnsi="宋体" w:hint="eastAsia"/>
              </w:rPr>
              <w:t>/</w:t>
            </w:r>
          </w:p>
        </w:tc>
      </w:tr>
      <w:tr w:rsidR="00EE56C0">
        <w:trPr>
          <w:trHeight w:val="454"/>
          <w:jc w:val="center"/>
        </w:trPr>
        <w:tc>
          <w:tcPr>
            <w:tcW w:w="374" w:type="pct"/>
            <w:vMerge/>
            <w:vAlign w:val="center"/>
          </w:tcPr>
          <w:p w:rsidR="00EE56C0" w:rsidRDefault="00EE56C0">
            <w:pPr>
              <w:pStyle w:val="afa"/>
            </w:pPr>
          </w:p>
        </w:tc>
        <w:tc>
          <w:tcPr>
            <w:tcW w:w="393" w:type="pct"/>
            <w:vMerge/>
            <w:vAlign w:val="center"/>
          </w:tcPr>
          <w:p w:rsidR="00EE56C0" w:rsidRDefault="00EE56C0">
            <w:pPr>
              <w:pStyle w:val="afa"/>
            </w:pPr>
          </w:p>
        </w:tc>
        <w:tc>
          <w:tcPr>
            <w:tcW w:w="561" w:type="pct"/>
            <w:vAlign w:val="center"/>
          </w:tcPr>
          <w:p w:rsidR="00EE56C0" w:rsidRDefault="000F36A1">
            <w:pPr>
              <w:pStyle w:val="afa"/>
            </w:pPr>
            <w:r>
              <w:rPr>
                <w:rFonts w:hint="eastAsia"/>
              </w:rPr>
              <w:t>供电</w:t>
            </w:r>
          </w:p>
        </w:tc>
        <w:tc>
          <w:tcPr>
            <w:tcW w:w="3230" w:type="pct"/>
            <w:gridSpan w:val="8"/>
            <w:vAlign w:val="center"/>
          </w:tcPr>
          <w:p w:rsidR="00EE56C0" w:rsidRDefault="000F36A1">
            <w:pPr>
              <w:pStyle w:val="afa"/>
            </w:pPr>
            <w:r>
              <w:rPr>
                <w:rFonts w:hint="eastAsia"/>
              </w:rPr>
              <w:t>国家电网供电</w:t>
            </w:r>
          </w:p>
        </w:tc>
        <w:tc>
          <w:tcPr>
            <w:tcW w:w="442" w:type="pct"/>
            <w:vAlign w:val="center"/>
          </w:tcPr>
          <w:p w:rsidR="00EE56C0" w:rsidRDefault="000F36A1">
            <w:pPr>
              <w:pStyle w:val="afa"/>
            </w:pPr>
            <w:r>
              <w:rPr>
                <w:rFonts w:hint="eastAsia"/>
              </w:rPr>
              <w:t>/</w:t>
            </w:r>
          </w:p>
        </w:tc>
      </w:tr>
      <w:tr w:rsidR="00EE56C0">
        <w:trPr>
          <w:trHeight w:val="1019"/>
          <w:jc w:val="center"/>
        </w:trPr>
        <w:tc>
          <w:tcPr>
            <w:tcW w:w="374" w:type="pct"/>
            <w:vMerge w:val="restart"/>
            <w:vAlign w:val="center"/>
          </w:tcPr>
          <w:p w:rsidR="00EE56C0" w:rsidRDefault="000F36A1">
            <w:pPr>
              <w:pStyle w:val="afa"/>
            </w:pPr>
            <w:r>
              <w:rPr>
                <w:rFonts w:hint="eastAsia"/>
              </w:rPr>
              <w:t>4</w:t>
            </w:r>
          </w:p>
        </w:tc>
        <w:tc>
          <w:tcPr>
            <w:tcW w:w="393" w:type="pct"/>
            <w:vMerge w:val="restart"/>
            <w:vAlign w:val="center"/>
          </w:tcPr>
          <w:p w:rsidR="00EE56C0" w:rsidRDefault="000F36A1">
            <w:pPr>
              <w:pStyle w:val="afa"/>
            </w:pPr>
            <w:r>
              <w:t>环保工程</w:t>
            </w:r>
          </w:p>
        </w:tc>
        <w:tc>
          <w:tcPr>
            <w:tcW w:w="561" w:type="pct"/>
            <w:vAlign w:val="center"/>
          </w:tcPr>
          <w:p w:rsidR="00EE56C0" w:rsidRDefault="000F36A1">
            <w:pPr>
              <w:pStyle w:val="afa"/>
            </w:pPr>
            <w:r>
              <w:t>废水处理设施</w:t>
            </w:r>
          </w:p>
        </w:tc>
        <w:tc>
          <w:tcPr>
            <w:tcW w:w="3230" w:type="pct"/>
            <w:gridSpan w:val="8"/>
            <w:vAlign w:val="center"/>
          </w:tcPr>
          <w:p w:rsidR="00EE56C0" w:rsidRDefault="000F36A1">
            <w:pPr>
              <w:pStyle w:val="afa"/>
              <w:rPr>
                <w:b/>
                <w:u w:val="single"/>
              </w:rPr>
            </w:pPr>
            <w:r>
              <w:rPr>
                <w:rFonts w:hint="eastAsia"/>
                <w:b/>
                <w:u w:val="single"/>
              </w:rPr>
              <w:t>化粪池</w:t>
            </w:r>
            <w:r>
              <w:rPr>
                <w:rFonts w:hint="eastAsia"/>
                <w:b/>
                <w:u w:val="single"/>
              </w:rPr>
              <w:t>1</w:t>
            </w:r>
            <w:r>
              <w:rPr>
                <w:rFonts w:hint="eastAsia"/>
                <w:b/>
                <w:u w:val="single"/>
              </w:rPr>
              <w:t>座，隔油池</w:t>
            </w:r>
            <w:r>
              <w:rPr>
                <w:rFonts w:hint="eastAsia"/>
                <w:b/>
                <w:u w:val="single"/>
              </w:rPr>
              <w:t>1</w:t>
            </w:r>
            <w:r>
              <w:rPr>
                <w:rFonts w:hint="eastAsia"/>
                <w:b/>
                <w:u w:val="single"/>
              </w:rPr>
              <w:t>座</w:t>
            </w:r>
          </w:p>
        </w:tc>
        <w:tc>
          <w:tcPr>
            <w:tcW w:w="442" w:type="pct"/>
            <w:vAlign w:val="center"/>
          </w:tcPr>
          <w:p w:rsidR="00EE56C0" w:rsidRDefault="000F36A1">
            <w:pPr>
              <w:pStyle w:val="afa"/>
              <w:rPr>
                <w:b/>
                <w:u w:val="single"/>
              </w:rPr>
            </w:pPr>
            <w:r>
              <w:rPr>
                <w:rFonts w:hint="eastAsia"/>
                <w:b/>
                <w:u w:val="single"/>
              </w:rPr>
              <w:t>依托</w:t>
            </w:r>
          </w:p>
          <w:p w:rsidR="00EE56C0" w:rsidRDefault="000F36A1">
            <w:pPr>
              <w:pStyle w:val="afa"/>
              <w:rPr>
                <w:b/>
                <w:u w:val="single"/>
              </w:rPr>
            </w:pPr>
            <w:r>
              <w:rPr>
                <w:rFonts w:hint="eastAsia"/>
                <w:b/>
                <w:u w:val="single"/>
              </w:rPr>
              <w:t>现有</w:t>
            </w:r>
          </w:p>
        </w:tc>
      </w:tr>
      <w:tr w:rsidR="00EE56C0">
        <w:trPr>
          <w:trHeight w:val="454"/>
          <w:jc w:val="center"/>
        </w:trPr>
        <w:tc>
          <w:tcPr>
            <w:tcW w:w="374" w:type="pct"/>
            <w:vMerge/>
            <w:tcBorders>
              <w:bottom w:val="single" w:sz="4" w:space="0" w:color="auto"/>
            </w:tcBorders>
            <w:vAlign w:val="center"/>
          </w:tcPr>
          <w:p w:rsidR="00EE56C0" w:rsidRDefault="00EE56C0">
            <w:pPr>
              <w:pStyle w:val="afa"/>
            </w:pPr>
          </w:p>
        </w:tc>
        <w:tc>
          <w:tcPr>
            <w:tcW w:w="393" w:type="pct"/>
            <w:vMerge/>
            <w:tcBorders>
              <w:bottom w:val="single" w:sz="4" w:space="0" w:color="auto"/>
            </w:tcBorders>
            <w:vAlign w:val="center"/>
          </w:tcPr>
          <w:p w:rsidR="00EE56C0" w:rsidRDefault="00EE56C0">
            <w:pPr>
              <w:pStyle w:val="afa"/>
            </w:pPr>
          </w:p>
        </w:tc>
        <w:tc>
          <w:tcPr>
            <w:tcW w:w="561" w:type="pct"/>
            <w:vMerge w:val="restart"/>
            <w:tcBorders>
              <w:bottom w:val="single" w:sz="4" w:space="0" w:color="auto"/>
            </w:tcBorders>
            <w:vAlign w:val="center"/>
          </w:tcPr>
          <w:p w:rsidR="00EE56C0" w:rsidRDefault="000F36A1">
            <w:pPr>
              <w:pStyle w:val="afa"/>
            </w:pPr>
            <w:r>
              <w:rPr>
                <w:rFonts w:hint="eastAsia"/>
              </w:rPr>
              <w:t>废气处理设施</w:t>
            </w:r>
          </w:p>
        </w:tc>
        <w:tc>
          <w:tcPr>
            <w:tcW w:w="1044" w:type="pct"/>
            <w:gridSpan w:val="4"/>
            <w:tcBorders>
              <w:bottom w:val="single" w:sz="4" w:space="0" w:color="auto"/>
            </w:tcBorders>
            <w:vAlign w:val="center"/>
          </w:tcPr>
          <w:p w:rsidR="00EE56C0" w:rsidRDefault="000F36A1">
            <w:pPr>
              <w:pStyle w:val="afa"/>
            </w:pPr>
            <w:r>
              <w:rPr>
                <w:rFonts w:hint="eastAsia"/>
              </w:rPr>
              <w:t>油水分离器：不凝气</w:t>
            </w:r>
          </w:p>
        </w:tc>
        <w:tc>
          <w:tcPr>
            <w:tcW w:w="2186" w:type="pct"/>
            <w:gridSpan w:val="4"/>
            <w:tcBorders>
              <w:bottom w:val="single" w:sz="4" w:space="0" w:color="auto"/>
            </w:tcBorders>
            <w:vAlign w:val="center"/>
          </w:tcPr>
          <w:p w:rsidR="00EE56C0" w:rsidRDefault="000F36A1">
            <w:pPr>
              <w:pStyle w:val="afa"/>
            </w:pPr>
            <w:r>
              <w:rPr>
                <w:rFonts w:hint="eastAsia"/>
              </w:rPr>
              <w:t>集气管道</w:t>
            </w:r>
          </w:p>
        </w:tc>
        <w:tc>
          <w:tcPr>
            <w:tcW w:w="442" w:type="pct"/>
            <w:vMerge w:val="restart"/>
            <w:tcBorders>
              <w:bottom w:val="single" w:sz="4" w:space="0" w:color="auto"/>
            </w:tcBorders>
            <w:vAlign w:val="center"/>
          </w:tcPr>
          <w:p w:rsidR="00EE56C0" w:rsidRDefault="000F36A1">
            <w:pPr>
              <w:pStyle w:val="afa"/>
            </w:pPr>
            <w:r>
              <w:rPr>
                <w:rFonts w:hint="eastAsia"/>
              </w:rPr>
              <w:t>一期、二期均依托</w:t>
            </w:r>
          </w:p>
          <w:p w:rsidR="00EE56C0" w:rsidRDefault="000F36A1">
            <w:pPr>
              <w:pStyle w:val="afa"/>
            </w:pPr>
            <w:r>
              <w:rPr>
                <w:rFonts w:hint="eastAsia"/>
              </w:rPr>
              <w:t>现有</w:t>
            </w:r>
          </w:p>
        </w:tc>
      </w:tr>
      <w:tr w:rsidR="00EE56C0">
        <w:trPr>
          <w:trHeight w:val="454"/>
          <w:jc w:val="center"/>
        </w:trPr>
        <w:tc>
          <w:tcPr>
            <w:tcW w:w="374" w:type="pct"/>
            <w:vMerge/>
            <w:vAlign w:val="center"/>
          </w:tcPr>
          <w:p w:rsidR="00EE56C0" w:rsidRDefault="00EE56C0">
            <w:pPr>
              <w:pStyle w:val="afa"/>
            </w:pPr>
          </w:p>
        </w:tc>
        <w:tc>
          <w:tcPr>
            <w:tcW w:w="393" w:type="pct"/>
            <w:vMerge/>
            <w:vAlign w:val="center"/>
          </w:tcPr>
          <w:p w:rsidR="00EE56C0" w:rsidRDefault="00EE56C0">
            <w:pPr>
              <w:pStyle w:val="afa"/>
            </w:pPr>
          </w:p>
        </w:tc>
        <w:tc>
          <w:tcPr>
            <w:tcW w:w="561" w:type="pct"/>
            <w:vMerge/>
            <w:vAlign w:val="center"/>
          </w:tcPr>
          <w:p w:rsidR="00EE56C0" w:rsidRDefault="00EE56C0">
            <w:pPr>
              <w:pStyle w:val="afa"/>
            </w:pPr>
          </w:p>
        </w:tc>
        <w:tc>
          <w:tcPr>
            <w:tcW w:w="267" w:type="pct"/>
            <w:vMerge w:val="restart"/>
            <w:vAlign w:val="center"/>
          </w:tcPr>
          <w:p w:rsidR="00EE56C0" w:rsidRDefault="000F36A1">
            <w:pPr>
              <w:pStyle w:val="afa"/>
              <w:spacing w:line="240" w:lineRule="exact"/>
            </w:pPr>
            <w:r>
              <w:rPr>
                <w:rFonts w:hint="eastAsia"/>
              </w:rPr>
              <w:t>漆包线</w:t>
            </w:r>
          </w:p>
        </w:tc>
        <w:tc>
          <w:tcPr>
            <w:tcW w:w="265" w:type="pct"/>
            <w:gridSpan w:val="2"/>
            <w:vMerge w:val="restart"/>
            <w:vAlign w:val="center"/>
          </w:tcPr>
          <w:p w:rsidR="00EE56C0" w:rsidRDefault="000F36A1">
            <w:pPr>
              <w:pStyle w:val="afa"/>
              <w:spacing w:line="240" w:lineRule="exact"/>
            </w:pPr>
            <w:r>
              <w:rPr>
                <w:rFonts w:hint="eastAsia"/>
              </w:rPr>
              <w:t>卧机</w:t>
            </w:r>
          </w:p>
        </w:tc>
        <w:tc>
          <w:tcPr>
            <w:tcW w:w="512" w:type="pct"/>
            <w:vAlign w:val="center"/>
          </w:tcPr>
          <w:p w:rsidR="00EE56C0" w:rsidRDefault="000F36A1">
            <w:pPr>
              <w:pStyle w:val="afa"/>
              <w:spacing w:line="240" w:lineRule="exact"/>
            </w:pPr>
            <w:r>
              <w:rPr>
                <w:rFonts w:hint="eastAsia"/>
              </w:rPr>
              <w:t>涂漆</w:t>
            </w:r>
          </w:p>
        </w:tc>
        <w:tc>
          <w:tcPr>
            <w:tcW w:w="503" w:type="pct"/>
            <w:vAlign w:val="center"/>
          </w:tcPr>
          <w:p w:rsidR="00EE56C0" w:rsidRDefault="000F36A1">
            <w:pPr>
              <w:pStyle w:val="afa"/>
              <w:spacing w:line="240" w:lineRule="exact"/>
            </w:pPr>
            <w:r>
              <w:rPr>
                <w:rFonts w:hint="eastAsia"/>
              </w:rPr>
              <w:t>集气罩</w:t>
            </w:r>
          </w:p>
        </w:tc>
        <w:tc>
          <w:tcPr>
            <w:tcW w:w="402" w:type="pct"/>
            <w:vMerge w:val="restart"/>
            <w:vAlign w:val="center"/>
          </w:tcPr>
          <w:p w:rsidR="00EE56C0" w:rsidRDefault="000F36A1">
            <w:pPr>
              <w:pStyle w:val="afa"/>
              <w:spacing w:line="240" w:lineRule="exact"/>
            </w:pPr>
            <w:r>
              <w:rPr>
                <w:rFonts w:hint="eastAsia"/>
              </w:rPr>
              <w:t>炉内</w:t>
            </w:r>
            <w:r>
              <w:rPr>
                <w:rFonts w:hint="eastAsia"/>
              </w:rPr>
              <w:t>2</w:t>
            </w:r>
            <w:r>
              <w:rPr>
                <w:rFonts w:hint="eastAsia"/>
              </w:rPr>
              <w:t>次催化燃烧</w:t>
            </w:r>
          </w:p>
        </w:tc>
        <w:tc>
          <w:tcPr>
            <w:tcW w:w="878" w:type="pct"/>
            <w:vMerge w:val="restart"/>
            <w:vAlign w:val="center"/>
          </w:tcPr>
          <w:p w:rsidR="00EE56C0" w:rsidRDefault="000F36A1">
            <w:pPr>
              <w:pStyle w:val="afa"/>
              <w:spacing w:line="240" w:lineRule="exact"/>
            </w:pPr>
            <w:r>
              <w:rPr>
                <w:rFonts w:hint="eastAsia"/>
              </w:rPr>
              <w:t>拉包机：沸石吸附</w:t>
            </w:r>
            <w:r>
              <w:rPr>
                <w:rFonts w:hint="eastAsia"/>
              </w:rPr>
              <w:t>-</w:t>
            </w:r>
            <w:r>
              <w:rPr>
                <w:rFonts w:hint="eastAsia"/>
              </w:rPr>
              <w:t>脱附</w:t>
            </w:r>
            <w:r>
              <w:rPr>
                <w:rFonts w:hint="eastAsia"/>
              </w:rPr>
              <w:t>-</w:t>
            </w:r>
            <w:r>
              <w:rPr>
                <w:rFonts w:hint="eastAsia"/>
              </w:rPr>
              <w:t>催化燃烧</w:t>
            </w:r>
            <w:r>
              <w:rPr>
                <w:rFonts w:hint="eastAsia"/>
              </w:rPr>
              <w:t>F</w:t>
            </w:r>
            <w:r>
              <w:rPr>
                <w:rFonts w:hint="eastAsia"/>
              </w:rPr>
              <w:t>（</w:t>
            </w:r>
            <w:r>
              <w:t>依托现有</w:t>
            </w:r>
            <w:r>
              <w:rPr>
                <w:rFonts w:hint="eastAsia"/>
              </w:rPr>
              <w:t>）</w:t>
            </w:r>
          </w:p>
        </w:tc>
        <w:tc>
          <w:tcPr>
            <w:tcW w:w="403" w:type="pct"/>
            <w:vMerge w:val="restart"/>
            <w:tcBorders>
              <w:top w:val="single" w:sz="4" w:space="0" w:color="auto"/>
            </w:tcBorders>
            <w:vAlign w:val="center"/>
          </w:tcPr>
          <w:p w:rsidR="00EE56C0" w:rsidRDefault="000F36A1">
            <w:pPr>
              <w:pStyle w:val="afa"/>
            </w:pPr>
            <w:r>
              <w:rPr>
                <w:rFonts w:hint="eastAsia"/>
              </w:rPr>
              <w:t>26.</w:t>
            </w:r>
            <w:r>
              <w:t>5m</w:t>
            </w:r>
            <w:r>
              <w:t>排气筒</w:t>
            </w:r>
            <w:r>
              <w:rPr>
                <w:rFonts w:hint="eastAsia"/>
              </w:rPr>
              <w:t>P</w:t>
            </w:r>
            <w:r>
              <w:rPr>
                <w:rFonts w:hint="eastAsia"/>
              </w:rPr>
              <w:t>（</w:t>
            </w:r>
            <w:r>
              <w:t>依托现有</w:t>
            </w:r>
            <w:r>
              <w:rPr>
                <w:rFonts w:hint="eastAsia"/>
              </w:rPr>
              <w:t>）</w:t>
            </w:r>
          </w:p>
        </w:tc>
        <w:tc>
          <w:tcPr>
            <w:tcW w:w="442" w:type="pct"/>
            <w:vMerge/>
            <w:vAlign w:val="center"/>
          </w:tcPr>
          <w:p w:rsidR="00EE56C0" w:rsidRDefault="00EE56C0">
            <w:pPr>
              <w:pStyle w:val="afa"/>
            </w:pPr>
          </w:p>
        </w:tc>
      </w:tr>
      <w:tr w:rsidR="00EE56C0">
        <w:trPr>
          <w:trHeight w:val="454"/>
          <w:jc w:val="center"/>
        </w:trPr>
        <w:tc>
          <w:tcPr>
            <w:tcW w:w="374" w:type="pct"/>
            <w:vMerge/>
            <w:vAlign w:val="center"/>
          </w:tcPr>
          <w:p w:rsidR="00EE56C0" w:rsidRDefault="00EE56C0">
            <w:pPr>
              <w:pStyle w:val="afa"/>
            </w:pPr>
          </w:p>
        </w:tc>
        <w:tc>
          <w:tcPr>
            <w:tcW w:w="393" w:type="pct"/>
            <w:vMerge/>
            <w:vAlign w:val="center"/>
          </w:tcPr>
          <w:p w:rsidR="00EE56C0" w:rsidRDefault="00EE56C0">
            <w:pPr>
              <w:pStyle w:val="afa"/>
            </w:pPr>
          </w:p>
        </w:tc>
        <w:tc>
          <w:tcPr>
            <w:tcW w:w="561" w:type="pct"/>
            <w:vMerge/>
            <w:vAlign w:val="center"/>
          </w:tcPr>
          <w:p w:rsidR="00EE56C0" w:rsidRDefault="00EE56C0">
            <w:pPr>
              <w:pStyle w:val="afa"/>
            </w:pPr>
          </w:p>
        </w:tc>
        <w:tc>
          <w:tcPr>
            <w:tcW w:w="267" w:type="pct"/>
            <w:vMerge/>
            <w:vAlign w:val="center"/>
          </w:tcPr>
          <w:p w:rsidR="00EE56C0" w:rsidRDefault="00EE56C0">
            <w:pPr>
              <w:pStyle w:val="afa"/>
              <w:spacing w:line="240" w:lineRule="exact"/>
            </w:pPr>
          </w:p>
        </w:tc>
        <w:tc>
          <w:tcPr>
            <w:tcW w:w="265" w:type="pct"/>
            <w:gridSpan w:val="2"/>
            <w:vMerge/>
            <w:vAlign w:val="center"/>
          </w:tcPr>
          <w:p w:rsidR="00EE56C0" w:rsidRDefault="00EE56C0">
            <w:pPr>
              <w:pStyle w:val="afa"/>
              <w:spacing w:line="240" w:lineRule="exact"/>
            </w:pPr>
          </w:p>
        </w:tc>
        <w:tc>
          <w:tcPr>
            <w:tcW w:w="512" w:type="pct"/>
            <w:vAlign w:val="center"/>
          </w:tcPr>
          <w:p w:rsidR="00EE56C0" w:rsidRDefault="000F36A1">
            <w:pPr>
              <w:pStyle w:val="afa"/>
              <w:spacing w:line="240" w:lineRule="exact"/>
            </w:pPr>
            <w:r>
              <w:rPr>
                <w:rFonts w:hint="eastAsia"/>
              </w:rPr>
              <w:t>烘干</w:t>
            </w:r>
          </w:p>
        </w:tc>
        <w:tc>
          <w:tcPr>
            <w:tcW w:w="503" w:type="pct"/>
            <w:vAlign w:val="center"/>
          </w:tcPr>
          <w:p w:rsidR="00EE56C0" w:rsidRDefault="000F36A1">
            <w:pPr>
              <w:pStyle w:val="afa"/>
              <w:spacing w:line="240" w:lineRule="exact"/>
            </w:pPr>
            <w:r>
              <w:rPr>
                <w:rFonts w:hint="eastAsia"/>
              </w:rPr>
              <w:t>集气管道</w:t>
            </w:r>
          </w:p>
        </w:tc>
        <w:tc>
          <w:tcPr>
            <w:tcW w:w="402" w:type="pct"/>
            <w:vMerge/>
            <w:vAlign w:val="center"/>
          </w:tcPr>
          <w:p w:rsidR="00EE56C0" w:rsidRDefault="00EE56C0">
            <w:pPr>
              <w:pStyle w:val="afa"/>
              <w:spacing w:line="240" w:lineRule="exact"/>
            </w:pPr>
          </w:p>
        </w:tc>
        <w:tc>
          <w:tcPr>
            <w:tcW w:w="878" w:type="pct"/>
            <w:vMerge/>
            <w:vAlign w:val="center"/>
          </w:tcPr>
          <w:p w:rsidR="00EE56C0" w:rsidRDefault="00EE56C0">
            <w:pPr>
              <w:pStyle w:val="afa"/>
              <w:spacing w:line="240" w:lineRule="exact"/>
            </w:pPr>
          </w:p>
        </w:tc>
        <w:tc>
          <w:tcPr>
            <w:tcW w:w="403" w:type="pct"/>
            <w:vMerge/>
            <w:vAlign w:val="center"/>
          </w:tcPr>
          <w:p w:rsidR="00EE56C0" w:rsidRDefault="00EE56C0">
            <w:pPr>
              <w:pStyle w:val="afa"/>
            </w:pPr>
          </w:p>
        </w:tc>
        <w:tc>
          <w:tcPr>
            <w:tcW w:w="442" w:type="pct"/>
            <w:vMerge/>
            <w:vAlign w:val="center"/>
          </w:tcPr>
          <w:p w:rsidR="00EE56C0" w:rsidRDefault="00EE56C0">
            <w:pPr>
              <w:pStyle w:val="afa"/>
            </w:pPr>
          </w:p>
        </w:tc>
      </w:tr>
      <w:tr w:rsidR="00EE56C0">
        <w:trPr>
          <w:trHeight w:val="454"/>
          <w:jc w:val="center"/>
        </w:trPr>
        <w:tc>
          <w:tcPr>
            <w:tcW w:w="374" w:type="pct"/>
            <w:vMerge/>
            <w:vAlign w:val="center"/>
          </w:tcPr>
          <w:p w:rsidR="00EE56C0" w:rsidRDefault="00EE56C0">
            <w:pPr>
              <w:pStyle w:val="afa"/>
            </w:pPr>
          </w:p>
        </w:tc>
        <w:tc>
          <w:tcPr>
            <w:tcW w:w="393" w:type="pct"/>
            <w:vMerge/>
            <w:vAlign w:val="center"/>
          </w:tcPr>
          <w:p w:rsidR="00EE56C0" w:rsidRDefault="00EE56C0">
            <w:pPr>
              <w:pStyle w:val="afa"/>
            </w:pPr>
          </w:p>
        </w:tc>
        <w:tc>
          <w:tcPr>
            <w:tcW w:w="561" w:type="pct"/>
            <w:vMerge/>
            <w:vAlign w:val="center"/>
          </w:tcPr>
          <w:p w:rsidR="00EE56C0" w:rsidRDefault="00EE56C0">
            <w:pPr>
              <w:pStyle w:val="afa"/>
            </w:pPr>
          </w:p>
        </w:tc>
        <w:tc>
          <w:tcPr>
            <w:tcW w:w="267" w:type="pct"/>
            <w:vMerge/>
            <w:vAlign w:val="center"/>
          </w:tcPr>
          <w:p w:rsidR="00EE56C0" w:rsidRDefault="00EE56C0">
            <w:pPr>
              <w:pStyle w:val="afa"/>
              <w:spacing w:line="240" w:lineRule="exact"/>
            </w:pPr>
          </w:p>
        </w:tc>
        <w:tc>
          <w:tcPr>
            <w:tcW w:w="265" w:type="pct"/>
            <w:gridSpan w:val="2"/>
            <w:vMerge w:val="restart"/>
            <w:vAlign w:val="center"/>
          </w:tcPr>
          <w:p w:rsidR="00EE56C0" w:rsidRDefault="000F36A1">
            <w:pPr>
              <w:pStyle w:val="afa"/>
              <w:spacing w:line="240" w:lineRule="exact"/>
            </w:pPr>
            <w:r>
              <w:rPr>
                <w:rFonts w:hint="eastAsia"/>
              </w:rPr>
              <w:t>立机</w:t>
            </w:r>
          </w:p>
        </w:tc>
        <w:tc>
          <w:tcPr>
            <w:tcW w:w="512" w:type="pct"/>
            <w:vAlign w:val="center"/>
          </w:tcPr>
          <w:p w:rsidR="00EE56C0" w:rsidRDefault="000F36A1">
            <w:pPr>
              <w:pStyle w:val="afa"/>
              <w:spacing w:line="240" w:lineRule="exact"/>
            </w:pPr>
            <w:r>
              <w:rPr>
                <w:rFonts w:hint="eastAsia"/>
              </w:rPr>
              <w:t>涂漆</w:t>
            </w:r>
          </w:p>
        </w:tc>
        <w:tc>
          <w:tcPr>
            <w:tcW w:w="503" w:type="pct"/>
            <w:vAlign w:val="center"/>
          </w:tcPr>
          <w:p w:rsidR="00EE56C0" w:rsidRDefault="000F36A1">
            <w:pPr>
              <w:pStyle w:val="afa"/>
              <w:spacing w:line="240" w:lineRule="exact"/>
            </w:pPr>
            <w:r>
              <w:rPr>
                <w:rFonts w:hint="eastAsia"/>
              </w:rPr>
              <w:t>涂漆间</w:t>
            </w:r>
          </w:p>
        </w:tc>
        <w:tc>
          <w:tcPr>
            <w:tcW w:w="402" w:type="pct"/>
            <w:vMerge/>
            <w:vAlign w:val="center"/>
          </w:tcPr>
          <w:p w:rsidR="00EE56C0" w:rsidRDefault="00EE56C0">
            <w:pPr>
              <w:pStyle w:val="afa"/>
              <w:spacing w:line="240" w:lineRule="exact"/>
            </w:pPr>
          </w:p>
        </w:tc>
        <w:tc>
          <w:tcPr>
            <w:tcW w:w="878" w:type="pct"/>
            <w:vMerge w:val="restart"/>
            <w:vAlign w:val="center"/>
          </w:tcPr>
          <w:p w:rsidR="00EE56C0" w:rsidRDefault="000F36A1">
            <w:pPr>
              <w:pStyle w:val="afa"/>
              <w:spacing w:line="240" w:lineRule="exact"/>
            </w:pPr>
            <w:r>
              <w:rPr>
                <w:rFonts w:hint="eastAsia"/>
              </w:rPr>
              <w:t>漆包机：静电除油</w:t>
            </w:r>
            <w:r>
              <w:rPr>
                <w:rFonts w:hint="eastAsia"/>
              </w:rPr>
              <w:t>+</w:t>
            </w:r>
            <w:r>
              <w:rPr>
                <w:rFonts w:hint="eastAsia"/>
              </w:rPr>
              <w:t>活性炭吸附</w:t>
            </w:r>
            <w:r>
              <w:rPr>
                <w:rFonts w:hint="eastAsia"/>
              </w:rPr>
              <w:t>-</w:t>
            </w:r>
            <w:r>
              <w:rPr>
                <w:rFonts w:hint="eastAsia"/>
              </w:rPr>
              <w:t>脱附</w:t>
            </w:r>
            <w:r>
              <w:rPr>
                <w:rFonts w:hint="eastAsia"/>
              </w:rPr>
              <w:t>-</w:t>
            </w:r>
            <w:r>
              <w:rPr>
                <w:rFonts w:hint="eastAsia"/>
              </w:rPr>
              <w:t>催化燃烧装置</w:t>
            </w:r>
            <w:r>
              <w:rPr>
                <w:rFonts w:hint="eastAsia"/>
              </w:rPr>
              <w:t>T</w:t>
            </w:r>
            <w:r>
              <w:rPr>
                <w:rFonts w:hint="eastAsia"/>
              </w:rPr>
              <w:t>（</w:t>
            </w:r>
            <w:r>
              <w:t>依托现有</w:t>
            </w:r>
            <w:r>
              <w:rPr>
                <w:rFonts w:hint="eastAsia"/>
              </w:rPr>
              <w:t>）</w:t>
            </w:r>
          </w:p>
        </w:tc>
        <w:tc>
          <w:tcPr>
            <w:tcW w:w="403" w:type="pct"/>
            <w:vMerge/>
            <w:vAlign w:val="center"/>
          </w:tcPr>
          <w:p w:rsidR="00EE56C0" w:rsidRDefault="00EE56C0">
            <w:pPr>
              <w:pStyle w:val="afa"/>
            </w:pPr>
          </w:p>
        </w:tc>
        <w:tc>
          <w:tcPr>
            <w:tcW w:w="442" w:type="pct"/>
            <w:vMerge/>
            <w:vAlign w:val="center"/>
          </w:tcPr>
          <w:p w:rsidR="00EE56C0" w:rsidRDefault="00EE56C0">
            <w:pPr>
              <w:pStyle w:val="afa"/>
            </w:pPr>
          </w:p>
        </w:tc>
      </w:tr>
      <w:tr w:rsidR="00EE56C0">
        <w:trPr>
          <w:trHeight w:val="454"/>
          <w:jc w:val="center"/>
        </w:trPr>
        <w:tc>
          <w:tcPr>
            <w:tcW w:w="374" w:type="pct"/>
            <w:vMerge/>
            <w:tcBorders>
              <w:bottom w:val="single" w:sz="8" w:space="0" w:color="auto"/>
            </w:tcBorders>
            <w:vAlign w:val="center"/>
          </w:tcPr>
          <w:p w:rsidR="00EE56C0" w:rsidRDefault="00EE56C0">
            <w:pPr>
              <w:pStyle w:val="afa"/>
            </w:pPr>
          </w:p>
        </w:tc>
        <w:tc>
          <w:tcPr>
            <w:tcW w:w="393" w:type="pct"/>
            <w:vMerge/>
            <w:tcBorders>
              <w:bottom w:val="single" w:sz="8" w:space="0" w:color="auto"/>
            </w:tcBorders>
            <w:vAlign w:val="center"/>
          </w:tcPr>
          <w:p w:rsidR="00EE56C0" w:rsidRDefault="00EE56C0">
            <w:pPr>
              <w:pStyle w:val="afa"/>
            </w:pPr>
          </w:p>
        </w:tc>
        <w:tc>
          <w:tcPr>
            <w:tcW w:w="561" w:type="pct"/>
            <w:vMerge/>
            <w:tcBorders>
              <w:bottom w:val="single" w:sz="8" w:space="0" w:color="auto"/>
            </w:tcBorders>
            <w:vAlign w:val="center"/>
          </w:tcPr>
          <w:p w:rsidR="00EE56C0" w:rsidRDefault="00EE56C0">
            <w:pPr>
              <w:pStyle w:val="afa"/>
            </w:pPr>
          </w:p>
        </w:tc>
        <w:tc>
          <w:tcPr>
            <w:tcW w:w="267" w:type="pct"/>
            <w:vMerge/>
            <w:tcBorders>
              <w:bottom w:val="single" w:sz="8" w:space="0" w:color="auto"/>
            </w:tcBorders>
            <w:vAlign w:val="center"/>
          </w:tcPr>
          <w:p w:rsidR="00EE56C0" w:rsidRDefault="00EE56C0">
            <w:pPr>
              <w:pStyle w:val="afa"/>
              <w:spacing w:line="240" w:lineRule="exact"/>
            </w:pPr>
          </w:p>
        </w:tc>
        <w:tc>
          <w:tcPr>
            <w:tcW w:w="265" w:type="pct"/>
            <w:gridSpan w:val="2"/>
            <w:vMerge/>
            <w:tcBorders>
              <w:bottom w:val="single" w:sz="8" w:space="0" w:color="auto"/>
            </w:tcBorders>
            <w:vAlign w:val="center"/>
          </w:tcPr>
          <w:p w:rsidR="00EE56C0" w:rsidRDefault="00EE56C0">
            <w:pPr>
              <w:pStyle w:val="afa"/>
              <w:spacing w:line="240" w:lineRule="exact"/>
            </w:pPr>
          </w:p>
        </w:tc>
        <w:tc>
          <w:tcPr>
            <w:tcW w:w="512" w:type="pct"/>
            <w:vMerge w:val="restart"/>
            <w:vAlign w:val="center"/>
          </w:tcPr>
          <w:p w:rsidR="00EE56C0" w:rsidRDefault="000F36A1">
            <w:pPr>
              <w:pStyle w:val="afa"/>
              <w:spacing w:line="240" w:lineRule="exact"/>
            </w:pPr>
            <w:r>
              <w:rPr>
                <w:rFonts w:hint="eastAsia"/>
              </w:rPr>
              <w:t>烘干</w:t>
            </w:r>
          </w:p>
        </w:tc>
        <w:tc>
          <w:tcPr>
            <w:tcW w:w="503" w:type="pct"/>
            <w:vMerge w:val="restart"/>
            <w:vAlign w:val="center"/>
          </w:tcPr>
          <w:p w:rsidR="00EE56C0" w:rsidRDefault="000F36A1">
            <w:pPr>
              <w:pStyle w:val="afa"/>
              <w:spacing w:line="240" w:lineRule="exact"/>
            </w:pPr>
            <w:r>
              <w:rPr>
                <w:rFonts w:hint="eastAsia"/>
              </w:rPr>
              <w:t>集气管道</w:t>
            </w:r>
          </w:p>
        </w:tc>
        <w:tc>
          <w:tcPr>
            <w:tcW w:w="402" w:type="pct"/>
            <w:vMerge/>
            <w:vAlign w:val="center"/>
          </w:tcPr>
          <w:p w:rsidR="00EE56C0" w:rsidRDefault="00EE56C0">
            <w:pPr>
              <w:pStyle w:val="afa"/>
              <w:spacing w:line="240" w:lineRule="exact"/>
            </w:pPr>
          </w:p>
        </w:tc>
        <w:tc>
          <w:tcPr>
            <w:tcW w:w="878" w:type="pct"/>
            <w:vMerge/>
            <w:tcBorders>
              <w:bottom w:val="single" w:sz="4" w:space="0" w:color="auto"/>
            </w:tcBorders>
            <w:vAlign w:val="center"/>
          </w:tcPr>
          <w:p w:rsidR="00EE56C0" w:rsidRDefault="00EE56C0">
            <w:pPr>
              <w:pStyle w:val="afa"/>
              <w:spacing w:line="240" w:lineRule="exact"/>
            </w:pPr>
          </w:p>
        </w:tc>
        <w:tc>
          <w:tcPr>
            <w:tcW w:w="403" w:type="pct"/>
            <w:vMerge/>
            <w:vAlign w:val="center"/>
          </w:tcPr>
          <w:p w:rsidR="00EE56C0" w:rsidRDefault="00EE56C0">
            <w:pPr>
              <w:pStyle w:val="afa"/>
            </w:pPr>
          </w:p>
        </w:tc>
        <w:tc>
          <w:tcPr>
            <w:tcW w:w="442" w:type="pct"/>
            <w:vMerge/>
            <w:vAlign w:val="center"/>
          </w:tcPr>
          <w:p w:rsidR="00EE56C0" w:rsidRDefault="00EE56C0">
            <w:pPr>
              <w:pStyle w:val="afa"/>
            </w:pPr>
          </w:p>
        </w:tc>
      </w:tr>
      <w:tr w:rsidR="00EE56C0">
        <w:trPr>
          <w:trHeight w:val="454"/>
          <w:jc w:val="center"/>
        </w:trPr>
        <w:tc>
          <w:tcPr>
            <w:tcW w:w="374" w:type="pct"/>
            <w:vMerge/>
            <w:tcBorders>
              <w:bottom w:val="single" w:sz="8" w:space="0" w:color="auto"/>
            </w:tcBorders>
            <w:vAlign w:val="center"/>
          </w:tcPr>
          <w:p w:rsidR="00EE56C0" w:rsidRDefault="00EE56C0">
            <w:pPr>
              <w:pStyle w:val="afa"/>
            </w:pPr>
          </w:p>
        </w:tc>
        <w:tc>
          <w:tcPr>
            <w:tcW w:w="393" w:type="pct"/>
            <w:vMerge/>
            <w:tcBorders>
              <w:bottom w:val="single" w:sz="8" w:space="0" w:color="auto"/>
            </w:tcBorders>
            <w:vAlign w:val="center"/>
          </w:tcPr>
          <w:p w:rsidR="00EE56C0" w:rsidRDefault="00EE56C0">
            <w:pPr>
              <w:pStyle w:val="afa"/>
            </w:pPr>
          </w:p>
        </w:tc>
        <w:tc>
          <w:tcPr>
            <w:tcW w:w="561" w:type="pct"/>
            <w:vMerge/>
            <w:tcBorders>
              <w:bottom w:val="single" w:sz="8" w:space="0" w:color="auto"/>
            </w:tcBorders>
            <w:vAlign w:val="center"/>
          </w:tcPr>
          <w:p w:rsidR="00EE56C0" w:rsidRDefault="00EE56C0">
            <w:pPr>
              <w:pStyle w:val="afa"/>
            </w:pPr>
          </w:p>
        </w:tc>
        <w:tc>
          <w:tcPr>
            <w:tcW w:w="267" w:type="pct"/>
            <w:vMerge/>
            <w:tcBorders>
              <w:bottom w:val="single" w:sz="8" w:space="0" w:color="auto"/>
            </w:tcBorders>
            <w:vAlign w:val="center"/>
          </w:tcPr>
          <w:p w:rsidR="00EE56C0" w:rsidRDefault="00EE56C0">
            <w:pPr>
              <w:pStyle w:val="afa"/>
              <w:spacing w:line="240" w:lineRule="exact"/>
            </w:pPr>
          </w:p>
        </w:tc>
        <w:tc>
          <w:tcPr>
            <w:tcW w:w="265" w:type="pct"/>
            <w:gridSpan w:val="2"/>
            <w:vMerge/>
            <w:tcBorders>
              <w:bottom w:val="single" w:sz="8" w:space="0" w:color="auto"/>
            </w:tcBorders>
            <w:vAlign w:val="center"/>
          </w:tcPr>
          <w:p w:rsidR="00EE56C0" w:rsidRDefault="00EE56C0">
            <w:pPr>
              <w:pStyle w:val="afa"/>
              <w:spacing w:line="240" w:lineRule="exact"/>
            </w:pPr>
          </w:p>
        </w:tc>
        <w:tc>
          <w:tcPr>
            <w:tcW w:w="512" w:type="pct"/>
            <w:vMerge/>
            <w:tcBorders>
              <w:bottom w:val="single" w:sz="8" w:space="0" w:color="auto"/>
            </w:tcBorders>
            <w:vAlign w:val="center"/>
          </w:tcPr>
          <w:p w:rsidR="00EE56C0" w:rsidRDefault="00EE56C0">
            <w:pPr>
              <w:pStyle w:val="afa"/>
              <w:spacing w:line="240" w:lineRule="exact"/>
            </w:pPr>
          </w:p>
        </w:tc>
        <w:tc>
          <w:tcPr>
            <w:tcW w:w="503" w:type="pct"/>
            <w:vMerge/>
            <w:tcBorders>
              <w:bottom w:val="single" w:sz="8" w:space="0" w:color="auto"/>
            </w:tcBorders>
            <w:vAlign w:val="center"/>
          </w:tcPr>
          <w:p w:rsidR="00EE56C0" w:rsidRDefault="00EE56C0">
            <w:pPr>
              <w:pStyle w:val="afa"/>
              <w:spacing w:line="240" w:lineRule="exact"/>
            </w:pPr>
          </w:p>
        </w:tc>
        <w:tc>
          <w:tcPr>
            <w:tcW w:w="402" w:type="pct"/>
            <w:vMerge/>
            <w:tcBorders>
              <w:bottom w:val="single" w:sz="4" w:space="0" w:color="auto"/>
            </w:tcBorders>
            <w:vAlign w:val="center"/>
          </w:tcPr>
          <w:p w:rsidR="00EE56C0" w:rsidRDefault="00EE56C0">
            <w:pPr>
              <w:pStyle w:val="afa"/>
              <w:spacing w:line="240" w:lineRule="exact"/>
            </w:pPr>
          </w:p>
        </w:tc>
        <w:tc>
          <w:tcPr>
            <w:tcW w:w="878" w:type="pct"/>
            <w:tcBorders>
              <w:bottom w:val="single" w:sz="4" w:space="0" w:color="auto"/>
            </w:tcBorders>
            <w:vAlign w:val="center"/>
          </w:tcPr>
          <w:p w:rsidR="00EE56C0" w:rsidRDefault="000F36A1">
            <w:pPr>
              <w:pStyle w:val="afa"/>
              <w:spacing w:line="240" w:lineRule="exact"/>
            </w:pPr>
            <w:r>
              <w:rPr>
                <w:rFonts w:hint="eastAsia"/>
              </w:rPr>
              <w:t>拉包机：沸石吸附</w:t>
            </w:r>
            <w:r>
              <w:rPr>
                <w:rFonts w:hint="eastAsia"/>
              </w:rPr>
              <w:t>-</w:t>
            </w:r>
            <w:r>
              <w:rPr>
                <w:rFonts w:hint="eastAsia"/>
              </w:rPr>
              <w:t>脱附</w:t>
            </w:r>
            <w:r>
              <w:rPr>
                <w:rFonts w:hint="eastAsia"/>
              </w:rPr>
              <w:t>-</w:t>
            </w:r>
            <w:r>
              <w:rPr>
                <w:rFonts w:hint="eastAsia"/>
              </w:rPr>
              <w:t>催化燃烧</w:t>
            </w:r>
            <w:r>
              <w:rPr>
                <w:rFonts w:hint="eastAsia"/>
              </w:rPr>
              <w:t>F</w:t>
            </w:r>
            <w:r>
              <w:rPr>
                <w:rFonts w:hint="eastAsia"/>
              </w:rPr>
              <w:t>（</w:t>
            </w:r>
            <w:r>
              <w:t>依托</w:t>
            </w:r>
            <w:r>
              <w:lastRenderedPageBreak/>
              <w:t>现有</w:t>
            </w:r>
            <w:r>
              <w:rPr>
                <w:rFonts w:hint="eastAsia"/>
              </w:rPr>
              <w:t>）</w:t>
            </w:r>
          </w:p>
        </w:tc>
        <w:tc>
          <w:tcPr>
            <w:tcW w:w="403" w:type="pct"/>
            <w:vMerge/>
            <w:vAlign w:val="center"/>
          </w:tcPr>
          <w:p w:rsidR="00EE56C0" w:rsidRDefault="00EE56C0">
            <w:pPr>
              <w:pStyle w:val="afa"/>
            </w:pPr>
          </w:p>
        </w:tc>
        <w:tc>
          <w:tcPr>
            <w:tcW w:w="442" w:type="pct"/>
            <w:vMerge/>
            <w:vAlign w:val="center"/>
          </w:tcPr>
          <w:p w:rsidR="00EE56C0" w:rsidRDefault="00EE56C0">
            <w:pPr>
              <w:pStyle w:val="afa"/>
            </w:pPr>
          </w:p>
        </w:tc>
      </w:tr>
      <w:tr w:rsidR="00EE56C0">
        <w:trPr>
          <w:trHeight w:val="454"/>
          <w:jc w:val="center"/>
        </w:trPr>
        <w:tc>
          <w:tcPr>
            <w:tcW w:w="374" w:type="pct"/>
            <w:vMerge/>
            <w:tcBorders>
              <w:bottom w:val="single" w:sz="8" w:space="0" w:color="auto"/>
            </w:tcBorders>
            <w:vAlign w:val="center"/>
          </w:tcPr>
          <w:p w:rsidR="00EE56C0" w:rsidRDefault="00EE56C0">
            <w:pPr>
              <w:pStyle w:val="afa"/>
            </w:pPr>
          </w:p>
        </w:tc>
        <w:tc>
          <w:tcPr>
            <w:tcW w:w="393" w:type="pct"/>
            <w:vMerge/>
            <w:tcBorders>
              <w:bottom w:val="single" w:sz="8" w:space="0" w:color="auto"/>
            </w:tcBorders>
            <w:vAlign w:val="center"/>
          </w:tcPr>
          <w:p w:rsidR="00EE56C0" w:rsidRDefault="00EE56C0">
            <w:pPr>
              <w:pStyle w:val="afa"/>
            </w:pPr>
          </w:p>
        </w:tc>
        <w:tc>
          <w:tcPr>
            <w:tcW w:w="561" w:type="pct"/>
            <w:vMerge/>
            <w:tcBorders>
              <w:bottom w:val="single" w:sz="8" w:space="0" w:color="auto"/>
            </w:tcBorders>
            <w:vAlign w:val="center"/>
          </w:tcPr>
          <w:p w:rsidR="00EE56C0" w:rsidRDefault="00EE56C0">
            <w:pPr>
              <w:pStyle w:val="afa"/>
            </w:pPr>
          </w:p>
        </w:tc>
        <w:tc>
          <w:tcPr>
            <w:tcW w:w="267" w:type="pct"/>
            <w:vMerge/>
            <w:tcBorders>
              <w:bottom w:val="single" w:sz="8" w:space="0" w:color="auto"/>
            </w:tcBorders>
            <w:vAlign w:val="center"/>
          </w:tcPr>
          <w:p w:rsidR="00EE56C0" w:rsidRDefault="00EE56C0">
            <w:pPr>
              <w:pStyle w:val="afa"/>
              <w:spacing w:line="240" w:lineRule="exact"/>
            </w:pPr>
          </w:p>
        </w:tc>
        <w:tc>
          <w:tcPr>
            <w:tcW w:w="265" w:type="pct"/>
            <w:gridSpan w:val="2"/>
            <w:vMerge/>
            <w:tcBorders>
              <w:bottom w:val="single" w:sz="8" w:space="0" w:color="auto"/>
            </w:tcBorders>
            <w:vAlign w:val="center"/>
          </w:tcPr>
          <w:p w:rsidR="00EE56C0" w:rsidRDefault="00EE56C0">
            <w:pPr>
              <w:pStyle w:val="afa"/>
              <w:spacing w:line="240" w:lineRule="exact"/>
            </w:pPr>
          </w:p>
        </w:tc>
        <w:tc>
          <w:tcPr>
            <w:tcW w:w="512" w:type="pct"/>
            <w:tcBorders>
              <w:bottom w:val="single" w:sz="8" w:space="0" w:color="auto"/>
            </w:tcBorders>
            <w:vAlign w:val="center"/>
          </w:tcPr>
          <w:p w:rsidR="00EE56C0" w:rsidRDefault="000F36A1">
            <w:pPr>
              <w:pStyle w:val="afa"/>
              <w:spacing w:line="240" w:lineRule="exact"/>
            </w:pPr>
            <w:r>
              <w:rPr>
                <w:rFonts w:hint="eastAsia"/>
              </w:rPr>
              <w:t>二次封闭通道</w:t>
            </w:r>
          </w:p>
        </w:tc>
        <w:tc>
          <w:tcPr>
            <w:tcW w:w="503" w:type="pct"/>
            <w:tcBorders>
              <w:bottom w:val="single" w:sz="8" w:space="0" w:color="auto"/>
            </w:tcBorders>
            <w:vAlign w:val="center"/>
          </w:tcPr>
          <w:p w:rsidR="00EE56C0" w:rsidRDefault="000F36A1">
            <w:pPr>
              <w:pStyle w:val="afa"/>
              <w:spacing w:line="240" w:lineRule="exact"/>
            </w:pPr>
            <w:r>
              <w:rPr>
                <w:rFonts w:hint="eastAsia"/>
              </w:rPr>
              <w:t>集气管道</w:t>
            </w:r>
          </w:p>
        </w:tc>
        <w:tc>
          <w:tcPr>
            <w:tcW w:w="402" w:type="pct"/>
            <w:tcBorders>
              <w:bottom w:val="single" w:sz="4" w:space="0" w:color="auto"/>
            </w:tcBorders>
            <w:vAlign w:val="center"/>
          </w:tcPr>
          <w:p w:rsidR="00EE56C0" w:rsidRDefault="000F36A1">
            <w:pPr>
              <w:pStyle w:val="afa"/>
              <w:spacing w:line="240" w:lineRule="exact"/>
            </w:pPr>
            <w:r>
              <w:rPr>
                <w:rFonts w:hint="eastAsia"/>
              </w:rPr>
              <w:t>/</w:t>
            </w:r>
          </w:p>
        </w:tc>
        <w:tc>
          <w:tcPr>
            <w:tcW w:w="878" w:type="pct"/>
            <w:tcBorders>
              <w:bottom w:val="single" w:sz="4" w:space="0" w:color="auto"/>
            </w:tcBorders>
            <w:vAlign w:val="center"/>
          </w:tcPr>
          <w:p w:rsidR="00EE56C0" w:rsidRDefault="000F36A1">
            <w:pPr>
              <w:pStyle w:val="afa"/>
              <w:spacing w:line="240" w:lineRule="exact"/>
            </w:pPr>
            <w:r>
              <w:rPr>
                <w:rFonts w:hint="eastAsia"/>
              </w:rPr>
              <w:t>沸石吸附</w:t>
            </w:r>
            <w:r>
              <w:rPr>
                <w:rFonts w:hint="eastAsia"/>
              </w:rPr>
              <w:t>-</w:t>
            </w:r>
            <w:r>
              <w:rPr>
                <w:rFonts w:hint="eastAsia"/>
              </w:rPr>
              <w:t>脱附</w:t>
            </w:r>
            <w:r>
              <w:rPr>
                <w:rFonts w:hint="eastAsia"/>
              </w:rPr>
              <w:t>-</w:t>
            </w:r>
            <w:r>
              <w:rPr>
                <w:rFonts w:hint="eastAsia"/>
              </w:rPr>
              <w:t>催化燃烧</w:t>
            </w:r>
            <w:r>
              <w:rPr>
                <w:rFonts w:hint="eastAsia"/>
              </w:rPr>
              <w:t>F</w:t>
            </w:r>
            <w:r>
              <w:rPr>
                <w:rFonts w:hint="eastAsia"/>
              </w:rPr>
              <w:t>（</w:t>
            </w:r>
            <w:r>
              <w:t>依托现有</w:t>
            </w:r>
            <w:r>
              <w:rPr>
                <w:rFonts w:hint="eastAsia"/>
              </w:rPr>
              <w:t>）</w:t>
            </w:r>
          </w:p>
        </w:tc>
        <w:tc>
          <w:tcPr>
            <w:tcW w:w="403" w:type="pct"/>
            <w:vMerge/>
            <w:vAlign w:val="center"/>
          </w:tcPr>
          <w:p w:rsidR="00EE56C0" w:rsidRDefault="00EE56C0">
            <w:pPr>
              <w:pStyle w:val="afa"/>
            </w:pPr>
          </w:p>
        </w:tc>
        <w:tc>
          <w:tcPr>
            <w:tcW w:w="442" w:type="pct"/>
            <w:vMerge/>
            <w:vAlign w:val="center"/>
          </w:tcPr>
          <w:p w:rsidR="00EE56C0" w:rsidRDefault="00EE56C0">
            <w:pPr>
              <w:pStyle w:val="afa"/>
            </w:pPr>
          </w:p>
        </w:tc>
      </w:tr>
      <w:tr w:rsidR="00EE56C0">
        <w:trPr>
          <w:trHeight w:val="454"/>
          <w:jc w:val="center"/>
        </w:trPr>
        <w:tc>
          <w:tcPr>
            <w:tcW w:w="374" w:type="pct"/>
            <w:vMerge/>
            <w:vAlign w:val="center"/>
          </w:tcPr>
          <w:p w:rsidR="00EE56C0" w:rsidRDefault="00EE56C0">
            <w:pPr>
              <w:pStyle w:val="afa"/>
            </w:pPr>
          </w:p>
        </w:tc>
        <w:tc>
          <w:tcPr>
            <w:tcW w:w="393" w:type="pct"/>
            <w:vMerge/>
            <w:vAlign w:val="center"/>
          </w:tcPr>
          <w:p w:rsidR="00EE56C0" w:rsidRDefault="00EE56C0">
            <w:pPr>
              <w:pStyle w:val="afa"/>
            </w:pPr>
          </w:p>
        </w:tc>
        <w:tc>
          <w:tcPr>
            <w:tcW w:w="561" w:type="pct"/>
            <w:vMerge/>
            <w:vAlign w:val="center"/>
          </w:tcPr>
          <w:p w:rsidR="00EE56C0" w:rsidRDefault="00EE56C0">
            <w:pPr>
              <w:pStyle w:val="afa"/>
            </w:pPr>
          </w:p>
        </w:tc>
        <w:tc>
          <w:tcPr>
            <w:tcW w:w="506" w:type="pct"/>
            <w:gridSpan w:val="2"/>
            <w:vMerge w:val="restart"/>
            <w:vAlign w:val="center"/>
          </w:tcPr>
          <w:p w:rsidR="00EE56C0" w:rsidRDefault="000F36A1">
            <w:pPr>
              <w:pStyle w:val="afa"/>
              <w:spacing w:line="240" w:lineRule="exact"/>
            </w:pPr>
            <w:r>
              <w:rPr>
                <w:rFonts w:hint="eastAsia"/>
              </w:rPr>
              <w:t>丝包线</w:t>
            </w:r>
          </w:p>
        </w:tc>
        <w:tc>
          <w:tcPr>
            <w:tcW w:w="538" w:type="pct"/>
            <w:gridSpan w:val="2"/>
            <w:vAlign w:val="center"/>
          </w:tcPr>
          <w:p w:rsidR="00EE56C0" w:rsidRDefault="000F36A1">
            <w:pPr>
              <w:pStyle w:val="afa"/>
              <w:spacing w:line="240" w:lineRule="exact"/>
            </w:pPr>
            <w:r>
              <w:rPr>
                <w:rFonts w:hint="eastAsia"/>
              </w:rPr>
              <w:t>涂漆、烘干</w:t>
            </w:r>
          </w:p>
        </w:tc>
        <w:tc>
          <w:tcPr>
            <w:tcW w:w="905" w:type="pct"/>
            <w:gridSpan w:val="2"/>
            <w:vAlign w:val="center"/>
          </w:tcPr>
          <w:p w:rsidR="00EE56C0" w:rsidRDefault="000F36A1">
            <w:pPr>
              <w:pStyle w:val="afa"/>
              <w:spacing w:line="240" w:lineRule="exact"/>
            </w:pPr>
            <w:r>
              <w:rPr>
                <w:rFonts w:hint="eastAsia"/>
              </w:rPr>
              <w:t>集气罩</w:t>
            </w:r>
          </w:p>
        </w:tc>
        <w:tc>
          <w:tcPr>
            <w:tcW w:w="878" w:type="pct"/>
            <w:vMerge w:val="restart"/>
            <w:vAlign w:val="center"/>
          </w:tcPr>
          <w:p w:rsidR="00EE56C0" w:rsidRDefault="000F36A1">
            <w:pPr>
              <w:pStyle w:val="afa"/>
              <w:spacing w:line="240" w:lineRule="exact"/>
            </w:pPr>
            <w:r>
              <w:rPr>
                <w:rFonts w:hint="eastAsia"/>
              </w:rPr>
              <w:t>静电除油</w:t>
            </w:r>
            <w:r>
              <w:rPr>
                <w:rFonts w:hint="eastAsia"/>
              </w:rPr>
              <w:t>+</w:t>
            </w:r>
            <w:r>
              <w:rPr>
                <w:rFonts w:hint="eastAsia"/>
              </w:rPr>
              <w:t>活性炭吸附</w:t>
            </w:r>
            <w:r>
              <w:rPr>
                <w:rFonts w:hint="eastAsia"/>
              </w:rPr>
              <w:t>-</w:t>
            </w:r>
            <w:r>
              <w:rPr>
                <w:rFonts w:hint="eastAsia"/>
              </w:rPr>
              <w:t>脱附</w:t>
            </w:r>
            <w:r>
              <w:rPr>
                <w:rFonts w:hint="eastAsia"/>
              </w:rPr>
              <w:t>-</w:t>
            </w:r>
            <w:r>
              <w:rPr>
                <w:rFonts w:hint="eastAsia"/>
              </w:rPr>
              <w:t>催化燃烧装置</w:t>
            </w:r>
            <w:r>
              <w:rPr>
                <w:rFonts w:hint="eastAsia"/>
              </w:rPr>
              <w:t>T</w:t>
            </w:r>
            <w:r>
              <w:rPr>
                <w:rFonts w:hint="eastAsia"/>
              </w:rPr>
              <w:t>（</w:t>
            </w:r>
            <w:r>
              <w:t>依托现有</w:t>
            </w:r>
          </w:p>
        </w:tc>
        <w:tc>
          <w:tcPr>
            <w:tcW w:w="403" w:type="pct"/>
            <w:vMerge/>
            <w:vAlign w:val="center"/>
          </w:tcPr>
          <w:p w:rsidR="00EE56C0" w:rsidRDefault="00EE56C0">
            <w:pPr>
              <w:pStyle w:val="afa"/>
            </w:pPr>
          </w:p>
        </w:tc>
        <w:tc>
          <w:tcPr>
            <w:tcW w:w="442" w:type="pct"/>
            <w:vMerge/>
            <w:vAlign w:val="center"/>
          </w:tcPr>
          <w:p w:rsidR="00EE56C0" w:rsidRDefault="00EE56C0">
            <w:pPr>
              <w:pStyle w:val="afa"/>
            </w:pPr>
          </w:p>
        </w:tc>
      </w:tr>
      <w:tr w:rsidR="00EE56C0">
        <w:trPr>
          <w:trHeight w:val="454"/>
          <w:jc w:val="center"/>
        </w:trPr>
        <w:tc>
          <w:tcPr>
            <w:tcW w:w="374" w:type="pct"/>
            <w:vMerge/>
            <w:tcBorders>
              <w:bottom w:val="single" w:sz="8" w:space="0" w:color="auto"/>
            </w:tcBorders>
            <w:vAlign w:val="center"/>
          </w:tcPr>
          <w:p w:rsidR="00EE56C0" w:rsidRDefault="00EE56C0">
            <w:pPr>
              <w:pStyle w:val="afa"/>
            </w:pPr>
          </w:p>
        </w:tc>
        <w:tc>
          <w:tcPr>
            <w:tcW w:w="393" w:type="pct"/>
            <w:vMerge/>
            <w:tcBorders>
              <w:bottom w:val="single" w:sz="8" w:space="0" w:color="auto"/>
            </w:tcBorders>
            <w:vAlign w:val="center"/>
          </w:tcPr>
          <w:p w:rsidR="00EE56C0" w:rsidRDefault="00EE56C0">
            <w:pPr>
              <w:pStyle w:val="afa"/>
            </w:pPr>
          </w:p>
        </w:tc>
        <w:tc>
          <w:tcPr>
            <w:tcW w:w="561" w:type="pct"/>
            <w:vMerge/>
            <w:tcBorders>
              <w:bottom w:val="single" w:sz="8" w:space="0" w:color="auto"/>
            </w:tcBorders>
            <w:vAlign w:val="center"/>
          </w:tcPr>
          <w:p w:rsidR="00EE56C0" w:rsidRDefault="00EE56C0">
            <w:pPr>
              <w:pStyle w:val="afa"/>
            </w:pPr>
          </w:p>
        </w:tc>
        <w:tc>
          <w:tcPr>
            <w:tcW w:w="506" w:type="pct"/>
            <w:gridSpan w:val="2"/>
            <w:vMerge/>
            <w:tcBorders>
              <w:bottom w:val="single" w:sz="8" w:space="0" w:color="auto"/>
            </w:tcBorders>
            <w:vAlign w:val="center"/>
          </w:tcPr>
          <w:p w:rsidR="00EE56C0" w:rsidRDefault="00EE56C0">
            <w:pPr>
              <w:pStyle w:val="afa"/>
              <w:spacing w:line="240" w:lineRule="exact"/>
            </w:pPr>
          </w:p>
        </w:tc>
        <w:tc>
          <w:tcPr>
            <w:tcW w:w="538" w:type="pct"/>
            <w:gridSpan w:val="2"/>
            <w:tcBorders>
              <w:bottom w:val="single" w:sz="8" w:space="0" w:color="auto"/>
            </w:tcBorders>
            <w:vAlign w:val="center"/>
          </w:tcPr>
          <w:p w:rsidR="00EE56C0" w:rsidRDefault="000F36A1">
            <w:pPr>
              <w:pStyle w:val="afa"/>
              <w:spacing w:line="240" w:lineRule="exact"/>
            </w:pPr>
            <w:r>
              <w:rPr>
                <w:rFonts w:hint="eastAsia"/>
              </w:rPr>
              <w:t>操作间</w:t>
            </w:r>
          </w:p>
        </w:tc>
        <w:tc>
          <w:tcPr>
            <w:tcW w:w="905" w:type="pct"/>
            <w:gridSpan w:val="2"/>
            <w:tcBorders>
              <w:bottom w:val="single" w:sz="8" w:space="0" w:color="auto"/>
            </w:tcBorders>
            <w:vAlign w:val="center"/>
          </w:tcPr>
          <w:p w:rsidR="00EE56C0" w:rsidRDefault="000F36A1">
            <w:pPr>
              <w:pStyle w:val="afa"/>
              <w:spacing w:line="240" w:lineRule="exact"/>
            </w:pPr>
            <w:r>
              <w:rPr>
                <w:rFonts w:hint="eastAsia"/>
              </w:rPr>
              <w:t>顶部抽吸装置</w:t>
            </w:r>
          </w:p>
        </w:tc>
        <w:tc>
          <w:tcPr>
            <w:tcW w:w="878" w:type="pct"/>
            <w:vMerge/>
            <w:tcBorders>
              <w:bottom w:val="single" w:sz="8" w:space="0" w:color="auto"/>
            </w:tcBorders>
            <w:vAlign w:val="center"/>
          </w:tcPr>
          <w:p w:rsidR="00EE56C0" w:rsidRDefault="00EE56C0">
            <w:pPr>
              <w:pStyle w:val="afa"/>
              <w:spacing w:line="240" w:lineRule="exact"/>
            </w:pPr>
          </w:p>
        </w:tc>
        <w:tc>
          <w:tcPr>
            <w:tcW w:w="403" w:type="pct"/>
            <w:vMerge/>
            <w:tcBorders>
              <w:bottom w:val="single" w:sz="8" w:space="0" w:color="auto"/>
            </w:tcBorders>
            <w:vAlign w:val="center"/>
          </w:tcPr>
          <w:p w:rsidR="00EE56C0" w:rsidRDefault="00EE56C0">
            <w:pPr>
              <w:pStyle w:val="afa"/>
            </w:pPr>
          </w:p>
        </w:tc>
        <w:tc>
          <w:tcPr>
            <w:tcW w:w="442" w:type="pct"/>
            <w:vMerge/>
            <w:tcBorders>
              <w:bottom w:val="single" w:sz="8" w:space="0" w:color="auto"/>
            </w:tcBorders>
            <w:vAlign w:val="center"/>
          </w:tcPr>
          <w:p w:rsidR="00EE56C0" w:rsidRDefault="00EE56C0">
            <w:pPr>
              <w:pStyle w:val="afa"/>
            </w:pPr>
          </w:p>
        </w:tc>
      </w:tr>
      <w:tr w:rsidR="00EE56C0">
        <w:trPr>
          <w:trHeight w:val="454"/>
          <w:jc w:val="center"/>
        </w:trPr>
        <w:tc>
          <w:tcPr>
            <w:tcW w:w="374" w:type="pct"/>
            <w:vMerge/>
            <w:vAlign w:val="center"/>
          </w:tcPr>
          <w:p w:rsidR="00EE56C0" w:rsidRDefault="00EE56C0">
            <w:pPr>
              <w:pStyle w:val="afa"/>
            </w:pPr>
          </w:p>
        </w:tc>
        <w:tc>
          <w:tcPr>
            <w:tcW w:w="393" w:type="pct"/>
            <w:vMerge/>
            <w:vAlign w:val="center"/>
          </w:tcPr>
          <w:p w:rsidR="00EE56C0" w:rsidRDefault="00EE56C0">
            <w:pPr>
              <w:pStyle w:val="afa"/>
            </w:pPr>
          </w:p>
        </w:tc>
        <w:tc>
          <w:tcPr>
            <w:tcW w:w="561" w:type="pct"/>
            <w:vMerge w:val="restart"/>
            <w:vAlign w:val="center"/>
          </w:tcPr>
          <w:p w:rsidR="00EE56C0" w:rsidRDefault="000F36A1">
            <w:pPr>
              <w:pStyle w:val="afa"/>
            </w:pPr>
            <w:r>
              <w:rPr>
                <w:rFonts w:hint="eastAsia"/>
              </w:rPr>
              <w:t>固废处置设施</w:t>
            </w:r>
          </w:p>
        </w:tc>
        <w:tc>
          <w:tcPr>
            <w:tcW w:w="3230" w:type="pct"/>
            <w:gridSpan w:val="8"/>
            <w:vAlign w:val="center"/>
          </w:tcPr>
          <w:p w:rsidR="00EE56C0" w:rsidRDefault="000F36A1">
            <w:pPr>
              <w:pStyle w:val="afa"/>
              <w:spacing w:line="240" w:lineRule="exact"/>
            </w:pPr>
            <w:r>
              <w:rPr>
                <w:rFonts w:hint="eastAsia"/>
              </w:rPr>
              <w:t>危险废物暂存间</w:t>
            </w:r>
            <w:r>
              <w:rPr>
                <w:rFonts w:hint="eastAsia"/>
              </w:rPr>
              <w:t>2</w:t>
            </w:r>
            <w:r>
              <w:rPr>
                <w:rFonts w:hint="eastAsia"/>
              </w:rPr>
              <w:t>间（</w:t>
            </w:r>
            <w:r>
              <w:rPr>
                <w:rFonts w:hint="eastAsia"/>
              </w:rPr>
              <w:t>1#</w:t>
            </w:r>
            <w:r>
              <w:rPr>
                <w:rFonts w:hint="eastAsia"/>
              </w:rPr>
              <w:t>危废间</w:t>
            </w:r>
            <w:r>
              <w:rPr>
                <w:rFonts w:hint="eastAsia"/>
              </w:rPr>
              <w:t>27m</w:t>
            </w:r>
            <w:r>
              <w:rPr>
                <w:rFonts w:hint="eastAsia"/>
                <w:vertAlign w:val="superscript"/>
              </w:rPr>
              <w:t>2</w:t>
            </w:r>
            <w:r>
              <w:rPr>
                <w:rFonts w:hint="eastAsia"/>
              </w:rPr>
              <w:t>、</w:t>
            </w:r>
            <w:r>
              <w:rPr>
                <w:rFonts w:hint="eastAsia"/>
              </w:rPr>
              <w:t>2#</w:t>
            </w:r>
            <w:r>
              <w:rPr>
                <w:rFonts w:hint="eastAsia"/>
              </w:rPr>
              <w:t>危废间</w:t>
            </w:r>
            <w:r>
              <w:rPr>
                <w:rFonts w:hint="eastAsia"/>
              </w:rPr>
              <w:t>33m</w:t>
            </w:r>
            <w:r>
              <w:rPr>
                <w:rFonts w:hint="eastAsia"/>
                <w:vertAlign w:val="superscript"/>
              </w:rPr>
              <w:t>2</w:t>
            </w:r>
            <w:r>
              <w:rPr>
                <w:rFonts w:hint="eastAsia"/>
              </w:rPr>
              <w:t>）</w:t>
            </w:r>
          </w:p>
        </w:tc>
        <w:tc>
          <w:tcPr>
            <w:tcW w:w="442" w:type="pct"/>
            <w:vAlign w:val="center"/>
          </w:tcPr>
          <w:p w:rsidR="00EE56C0" w:rsidRDefault="000F36A1">
            <w:pPr>
              <w:pStyle w:val="afa"/>
            </w:pPr>
            <w:r>
              <w:rPr>
                <w:rFonts w:hint="eastAsia"/>
              </w:rPr>
              <w:t>依托</w:t>
            </w:r>
          </w:p>
          <w:p w:rsidR="00EE56C0" w:rsidRDefault="000F36A1">
            <w:pPr>
              <w:pStyle w:val="afa"/>
            </w:pPr>
            <w:r>
              <w:rPr>
                <w:rFonts w:hint="eastAsia"/>
              </w:rPr>
              <w:t>现有</w:t>
            </w:r>
          </w:p>
        </w:tc>
      </w:tr>
      <w:tr w:rsidR="00EE56C0">
        <w:trPr>
          <w:trHeight w:val="454"/>
          <w:jc w:val="center"/>
        </w:trPr>
        <w:tc>
          <w:tcPr>
            <w:tcW w:w="374" w:type="pct"/>
            <w:vMerge/>
            <w:vAlign w:val="center"/>
          </w:tcPr>
          <w:p w:rsidR="00EE56C0" w:rsidRDefault="00EE56C0">
            <w:pPr>
              <w:pStyle w:val="afa"/>
            </w:pPr>
          </w:p>
        </w:tc>
        <w:tc>
          <w:tcPr>
            <w:tcW w:w="393" w:type="pct"/>
            <w:vMerge/>
            <w:vAlign w:val="center"/>
          </w:tcPr>
          <w:p w:rsidR="00EE56C0" w:rsidRDefault="00EE56C0">
            <w:pPr>
              <w:pStyle w:val="afa"/>
            </w:pPr>
          </w:p>
        </w:tc>
        <w:tc>
          <w:tcPr>
            <w:tcW w:w="561" w:type="pct"/>
            <w:vMerge/>
            <w:vAlign w:val="center"/>
          </w:tcPr>
          <w:p w:rsidR="00EE56C0" w:rsidRDefault="00EE56C0">
            <w:pPr>
              <w:pStyle w:val="afa"/>
            </w:pPr>
          </w:p>
        </w:tc>
        <w:tc>
          <w:tcPr>
            <w:tcW w:w="3230" w:type="pct"/>
            <w:gridSpan w:val="8"/>
            <w:vAlign w:val="center"/>
          </w:tcPr>
          <w:p w:rsidR="00EE56C0" w:rsidRDefault="000F36A1">
            <w:pPr>
              <w:pStyle w:val="afa"/>
              <w:spacing w:line="240" w:lineRule="exact"/>
            </w:pPr>
            <w:r>
              <w:rPr>
                <w:rFonts w:hint="eastAsia"/>
              </w:rPr>
              <w:t>一般固废暂存场一处（</w:t>
            </w:r>
            <w:r>
              <w:rPr>
                <w:rFonts w:hint="eastAsia"/>
              </w:rPr>
              <w:t>60m</w:t>
            </w:r>
            <w:r>
              <w:rPr>
                <w:rFonts w:hint="eastAsia"/>
                <w:vertAlign w:val="superscript"/>
              </w:rPr>
              <w:t>2</w:t>
            </w:r>
            <w:r>
              <w:rPr>
                <w:rFonts w:hint="eastAsia"/>
              </w:rPr>
              <w:t>）</w:t>
            </w:r>
          </w:p>
        </w:tc>
        <w:tc>
          <w:tcPr>
            <w:tcW w:w="442" w:type="pct"/>
            <w:vAlign w:val="center"/>
          </w:tcPr>
          <w:p w:rsidR="00EE56C0" w:rsidRDefault="000F36A1">
            <w:pPr>
              <w:pStyle w:val="afa"/>
            </w:pPr>
            <w:r>
              <w:rPr>
                <w:rFonts w:hint="eastAsia"/>
              </w:rPr>
              <w:t>依托</w:t>
            </w:r>
          </w:p>
          <w:p w:rsidR="00EE56C0" w:rsidRDefault="000F36A1">
            <w:pPr>
              <w:pStyle w:val="afa"/>
            </w:pPr>
            <w:r>
              <w:rPr>
                <w:rFonts w:hint="eastAsia"/>
              </w:rPr>
              <w:t>现有</w:t>
            </w:r>
          </w:p>
        </w:tc>
      </w:tr>
      <w:tr w:rsidR="00EE56C0">
        <w:trPr>
          <w:trHeight w:val="454"/>
          <w:jc w:val="center"/>
        </w:trPr>
        <w:tc>
          <w:tcPr>
            <w:tcW w:w="374" w:type="pct"/>
            <w:vMerge/>
            <w:vAlign w:val="center"/>
          </w:tcPr>
          <w:p w:rsidR="00EE56C0" w:rsidRDefault="00EE56C0">
            <w:pPr>
              <w:pStyle w:val="afa"/>
            </w:pPr>
          </w:p>
        </w:tc>
        <w:tc>
          <w:tcPr>
            <w:tcW w:w="393" w:type="pct"/>
            <w:vMerge/>
            <w:vAlign w:val="center"/>
          </w:tcPr>
          <w:p w:rsidR="00EE56C0" w:rsidRDefault="00EE56C0">
            <w:pPr>
              <w:pStyle w:val="afa"/>
            </w:pPr>
          </w:p>
        </w:tc>
        <w:tc>
          <w:tcPr>
            <w:tcW w:w="561" w:type="pct"/>
            <w:vAlign w:val="center"/>
          </w:tcPr>
          <w:p w:rsidR="00EE56C0" w:rsidRDefault="000F36A1">
            <w:pPr>
              <w:pStyle w:val="afa"/>
            </w:pPr>
            <w:r>
              <w:rPr>
                <w:rFonts w:hint="eastAsia"/>
              </w:rPr>
              <w:t>风险防范措施</w:t>
            </w:r>
          </w:p>
        </w:tc>
        <w:tc>
          <w:tcPr>
            <w:tcW w:w="3230" w:type="pct"/>
            <w:gridSpan w:val="8"/>
            <w:vAlign w:val="center"/>
          </w:tcPr>
          <w:p w:rsidR="00EE56C0" w:rsidRDefault="000F36A1">
            <w:pPr>
              <w:pStyle w:val="afa"/>
              <w:spacing w:line="240" w:lineRule="exact"/>
            </w:pPr>
            <w:r>
              <w:rPr>
                <w:rFonts w:hint="eastAsia"/>
              </w:rPr>
              <w:t>事故水池</w:t>
            </w:r>
            <w:r>
              <w:rPr>
                <w:rFonts w:hint="eastAsia"/>
              </w:rPr>
              <w:t>1</w:t>
            </w:r>
            <w:r>
              <w:rPr>
                <w:rFonts w:hint="eastAsia"/>
              </w:rPr>
              <w:t>座（</w:t>
            </w:r>
            <w:r>
              <w:rPr>
                <w:rFonts w:hint="eastAsia"/>
              </w:rPr>
              <w:t>80m</w:t>
            </w:r>
            <w:r>
              <w:rPr>
                <w:rFonts w:hint="eastAsia"/>
                <w:vertAlign w:val="superscript"/>
              </w:rPr>
              <w:t>3</w:t>
            </w:r>
            <w:r>
              <w:rPr>
                <w:rFonts w:hint="eastAsia"/>
              </w:rPr>
              <w:t>）</w:t>
            </w:r>
          </w:p>
        </w:tc>
        <w:tc>
          <w:tcPr>
            <w:tcW w:w="442" w:type="pct"/>
            <w:vAlign w:val="center"/>
          </w:tcPr>
          <w:p w:rsidR="00EE56C0" w:rsidRDefault="000F36A1">
            <w:pPr>
              <w:pStyle w:val="afa"/>
            </w:pPr>
            <w:r>
              <w:rPr>
                <w:rFonts w:hint="eastAsia"/>
              </w:rPr>
              <w:t>依托</w:t>
            </w:r>
          </w:p>
          <w:p w:rsidR="00EE56C0" w:rsidRDefault="000F36A1">
            <w:pPr>
              <w:pStyle w:val="afa"/>
            </w:pPr>
            <w:r>
              <w:rPr>
                <w:rFonts w:hint="eastAsia"/>
              </w:rPr>
              <w:t>现有</w:t>
            </w:r>
          </w:p>
        </w:tc>
      </w:tr>
    </w:tbl>
    <w:p w:rsidR="00EE56C0" w:rsidRDefault="000F36A1">
      <w:pPr>
        <w:pStyle w:val="3"/>
        <w:spacing w:before="240" w:after="120"/>
      </w:pPr>
      <w:r>
        <w:rPr>
          <w:rFonts w:hint="eastAsia"/>
        </w:rPr>
        <w:t>3.2.4</w:t>
      </w:r>
      <w:r>
        <w:rPr>
          <w:rFonts w:hint="eastAsia"/>
        </w:rPr>
        <w:t>本项目生产设备</w:t>
      </w:r>
    </w:p>
    <w:p w:rsidR="00EE56C0" w:rsidRDefault="000F36A1">
      <w:pPr>
        <w:ind w:firstLine="480"/>
      </w:pPr>
      <w:r>
        <w:rPr>
          <w:rFonts w:hint="eastAsia"/>
        </w:rPr>
        <w:t>本项目主要生产设备见下表。</w:t>
      </w:r>
    </w:p>
    <w:p w:rsidR="00EE56C0" w:rsidRDefault="000F36A1">
      <w:pPr>
        <w:pStyle w:val="afd"/>
        <w:spacing w:before="120" w:after="120"/>
        <w:ind w:firstLine="482"/>
      </w:pPr>
      <w:r>
        <w:t>表</w:t>
      </w:r>
      <w:r>
        <w:rPr>
          <w:rFonts w:hint="eastAsia"/>
        </w:rPr>
        <w:t>3</w:t>
      </w:r>
      <w:r>
        <w:t>-</w:t>
      </w:r>
      <w:r>
        <w:rPr>
          <w:rFonts w:hint="eastAsia"/>
        </w:rPr>
        <w:t xml:space="preserve">15               </w:t>
      </w:r>
      <w:r>
        <w:rPr>
          <w:rFonts w:hint="eastAsia"/>
        </w:rPr>
        <w:t>本项目</w:t>
      </w:r>
      <w:r w:rsidR="006A6BF4">
        <w:rPr>
          <w:rFonts w:hint="eastAsia"/>
        </w:rPr>
        <w:t>改建</w:t>
      </w:r>
      <w:r>
        <w:rPr>
          <w:rFonts w:hint="eastAsia"/>
        </w:rPr>
        <w:t>设备</w:t>
      </w:r>
      <w:r>
        <w:t>一览表</w:t>
      </w:r>
    </w:p>
    <w:tbl>
      <w:tblPr>
        <w:tblpPr w:leftFromText="180" w:rightFromText="180" w:vertAnchor="text" w:tblpXSpec="center" w:tblpY="1"/>
        <w:tblOverlap w:val="never"/>
        <w:tblW w:w="5000" w:type="pct"/>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tblPr>
      <w:tblGrid>
        <w:gridCol w:w="960"/>
        <w:gridCol w:w="1842"/>
        <w:gridCol w:w="2835"/>
        <w:gridCol w:w="849"/>
        <w:gridCol w:w="2042"/>
      </w:tblGrid>
      <w:tr w:rsidR="006A6BF4" w:rsidTr="00B9172C">
        <w:trPr>
          <w:trHeight w:val="397"/>
          <w:tblHeader/>
        </w:trPr>
        <w:tc>
          <w:tcPr>
            <w:tcW w:w="563" w:type="pct"/>
            <w:noWrap/>
            <w:vAlign w:val="center"/>
          </w:tcPr>
          <w:p w:rsidR="006A6BF4" w:rsidRDefault="006A6BF4" w:rsidP="00B9172C">
            <w:pPr>
              <w:pStyle w:val="aff1"/>
              <w:rPr>
                <w:color w:val="auto"/>
                <w:szCs w:val="21"/>
              </w:rPr>
            </w:pPr>
            <w:r>
              <w:rPr>
                <w:rFonts w:hint="eastAsia"/>
                <w:color w:val="auto"/>
                <w:szCs w:val="21"/>
              </w:rPr>
              <w:t>项目</w:t>
            </w:r>
          </w:p>
        </w:tc>
        <w:tc>
          <w:tcPr>
            <w:tcW w:w="1080" w:type="pct"/>
            <w:noWrap/>
            <w:vAlign w:val="center"/>
          </w:tcPr>
          <w:p w:rsidR="006A6BF4" w:rsidRDefault="006A6BF4" w:rsidP="00B9172C">
            <w:pPr>
              <w:pStyle w:val="aff1"/>
              <w:rPr>
                <w:color w:val="auto"/>
                <w:szCs w:val="21"/>
              </w:rPr>
            </w:pPr>
            <w:r>
              <w:rPr>
                <w:rFonts w:hint="eastAsia"/>
                <w:color w:val="auto"/>
                <w:szCs w:val="21"/>
              </w:rPr>
              <w:t>主要设备</w:t>
            </w:r>
          </w:p>
        </w:tc>
        <w:tc>
          <w:tcPr>
            <w:tcW w:w="1662" w:type="pct"/>
            <w:noWrap/>
            <w:vAlign w:val="center"/>
          </w:tcPr>
          <w:p w:rsidR="006A6BF4" w:rsidRDefault="006A6BF4" w:rsidP="00B9172C">
            <w:pPr>
              <w:pStyle w:val="aff1"/>
              <w:rPr>
                <w:color w:val="auto"/>
                <w:szCs w:val="21"/>
              </w:rPr>
            </w:pPr>
            <w:r>
              <w:rPr>
                <w:rFonts w:hint="eastAsia"/>
                <w:color w:val="auto"/>
                <w:szCs w:val="21"/>
              </w:rPr>
              <w:t>型号</w:t>
            </w:r>
            <w:r>
              <w:rPr>
                <w:color w:val="auto"/>
                <w:szCs w:val="21"/>
              </w:rPr>
              <w:t>/</w:t>
            </w:r>
            <w:r>
              <w:rPr>
                <w:rFonts w:hint="eastAsia"/>
                <w:color w:val="auto"/>
                <w:szCs w:val="21"/>
              </w:rPr>
              <w:t>规格</w:t>
            </w:r>
          </w:p>
        </w:tc>
        <w:tc>
          <w:tcPr>
            <w:tcW w:w="498" w:type="pct"/>
            <w:noWrap/>
            <w:vAlign w:val="center"/>
          </w:tcPr>
          <w:p w:rsidR="006A6BF4" w:rsidRDefault="006A6BF4" w:rsidP="00B9172C">
            <w:pPr>
              <w:pStyle w:val="aff1"/>
              <w:rPr>
                <w:color w:val="auto"/>
                <w:szCs w:val="21"/>
              </w:rPr>
            </w:pPr>
            <w:r>
              <w:rPr>
                <w:rFonts w:hint="eastAsia"/>
                <w:color w:val="auto"/>
                <w:szCs w:val="21"/>
              </w:rPr>
              <w:t>数量</w:t>
            </w:r>
          </w:p>
        </w:tc>
        <w:tc>
          <w:tcPr>
            <w:tcW w:w="1197" w:type="pct"/>
            <w:vAlign w:val="center"/>
          </w:tcPr>
          <w:p w:rsidR="006A6BF4" w:rsidRDefault="006A6BF4" w:rsidP="00B9172C">
            <w:pPr>
              <w:pStyle w:val="aff1"/>
              <w:rPr>
                <w:color w:val="auto"/>
                <w:szCs w:val="21"/>
              </w:rPr>
            </w:pPr>
            <w:r>
              <w:rPr>
                <w:rFonts w:hint="eastAsia"/>
                <w:color w:val="auto"/>
                <w:szCs w:val="21"/>
              </w:rPr>
              <w:t>备注</w:t>
            </w:r>
          </w:p>
        </w:tc>
      </w:tr>
      <w:tr w:rsidR="006A6BF4" w:rsidTr="00B9172C">
        <w:trPr>
          <w:trHeight w:val="397"/>
          <w:tblHeader/>
        </w:trPr>
        <w:tc>
          <w:tcPr>
            <w:tcW w:w="5000" w:type="pct"/>
            <w:gridSpan w:val="5"/>
            <w:noWrap/>
            <w:vAlign w:val="center"/>
          </w:tcPr>
          <w:p w:rsidR="006A6BF4" w:rsidRDefault="006A6BF4" w:rsidP="00B9172C">
            <w:pPr>
              <w:spacing w:line="240" w:lineRule="auto"/>
              <w:ind w:firstLineChars="0" w:firstLine="0"/>
              <w:jc w:val="center"/>
              <w:rPr>
                <w:b/>
                <w:sz w:val="21"/>
                <w:szCs w:val="21"/>
              </w:rPr>
            </w:pPr>
            <w:r>
              <w:rPr>
                <w:rFonts w:hint="eastAsia"/>
                <w:b/>
                <w:sz w:val="21"/>
                <w:szCs w:val="21"/>
              </w:rPr>
              <w:t>现有淘汰设备</w:t>
            </w:r>
          </w:p>
        </w:tc>
      </w:tr>
      <w:tr w:rsidR="006A6BF4" w:rsidTr="00B9172C">
        <w:trPr>
          <w:trHeight w:val="397"/>
          <w:tblHeader/>
        </w:trPr>
        <w:tc>
          <w:tcPr>
            <w:tcW w:w="563" w:type="pct"/>
            <w:vMerge w:val="restart"/>
            <w:noWrap/>
            <w:vAlign w:val="center"/>
          </w:tcPr>
          <w:p w:rsidR="006A6BF4" w:rsidRDefault="006A6BF4" w:rsidP="00B9172C">
            <w:pPr>
              <w:pStyle w:val="aff1"/>
              <w:rPr>
                <w:color w:val="auto"/>
                <w:szCs w:val="21"/>
              </w:rPr>
            </w:pPr>
            <w:r>
              <w:rPr>
                <w:rFonts w:hint="eastAsia"/>
                <w:color w:val="auto"/>
                <w:szCs w:val="21"/>
              </w:rPr>
              <w:t>一期</w:t>
            </w:r>
          </w:p>
        </w:tc>
        <w:tc>
          <w:tcPr>
            <w:tcW w:w="1080" w:type="pct"/>
            <w:noWrap/>
            <w:vAlign w:val="center"/>
          </w:tcPr>
          <w:p w:rsidR="006A6BF4" w:rsidRDefault="006A6BF4" w:rsidP="00B9172C">
            <w:pPr>
              <w:pStyle w:val="aff1"/>
              <w:rPr>
                <w:b w:val="0"/>
                <w:color w:val="auto"/>
                <w:szCs w:val="21"/>
              </w:rPr>
            </w:pPr>
            <w:r>
              <w:rPr>
                <w:rFonts w:hint="eastAsia"/>
                <w:b w:val="0"/>
                <w:color w:val="auto"/>
                <w:kern w:val="0"/>
                <w:szCs w:val="21"/>
              </w:rPr>
              <w:t>薄膜包</w:t>
            </w:r>
            <w:r>
              <w:rPr>
                <w:b w:val="0"/>
                <w:color w:val="auto"/>
                <w:kern w:val="0"/>
                <w:szCs w:val="21"/>
              </w:rPr>
              <w:t>/</w:t>
            </w:r>
            <w:r>
              <w:rPr>
                <w:rFonts w:hint="eastAsia"/>
                <w:b w:val="0"/>
                <w:color w:val="auto"/>
                <w:kern w:val="0"/>
                <w:szCs w:val="21"/>
              </w:rPr>
              <w:t>丝包机</w:t>
            </w:r>
          </w:p>
        </w:tc>
        <w:tc>
          <w:tcPr>
            <w:tcW w:w="1662" w:type="pct"/>
            <w:noWrap/>
            <w:vAlign w:val="center"/>
          </w:tcPr>
          <w:p w:rsidR="006A6BF4" w:rsidRDefault="006A6BF4" w:rsidP="00B9172C">
            <w:pPr>
              <w:widowControl/>
              <w:spacing w:line="240" w:lineRule="auto"/>
              <w:ind w:firstLineChars="0" w:firstLine="0"/>
              <w:jc w:val="center"/>
              <w:rPr>
                <w:sz w:val="21"/>
                <w:szCs w:val="21"/>
              </w:rPr>
            </w:pPr>
            <w:r>
              <w:rPr>
                <w:rFonts w:hAnsi="宋体" w:hint="eastAsia"/>
                <w:sz w:val="21"/>
                <w:szCs w:val="21"/>
              </w:rPr>
              <w:t>自粘双玻璃丝包机、烧结机</w:t>
            </w:r>
          </w:p>
        </w:tc>
        <w:tc>
          <w:tcPr>
            <w:tcW w:w="498" w:type="pct"/>
            <w:noWrap/>
            <w:vAlign w:val="center"/>
          </w:tcPr>
          <w:p w:rsidR="006A6BF4" w:rsidRDefault="006A6BF4" w:rsidP="00B9172C">
            <w:pPr>
              <w:spacing w:line="240" w:lineRule="auto"/>
              <w:ind w:firstLineChars="0" w:firstLine="0"/>
              <w:jc w:val="center"/>
              <w:rPr>
                <w:sz w:val="21"/>
                <w:szCs w:val="21"/>
              </w:rPr>
            </w:pPr>
            <w:r>
              <w:rPr>
                <w:rFonts w:hint="eastAsia"/>
                <w:sz w:val="21"/>
                <w:szCs w:val="21"/>
              </w:rPr>
              <w:t>5</w:t>
            </w:r>
          </w:p>
        </w:tc>
        <w:tc>
          <w:tcPr>
            <w:tcW w:w="1197" w:type="pct"/>
            <w:vAlign w:val="center"/>
          </w:tcPr>
          <w:p w:rsidR="006A6BF4" w:rsidRDefault="006A6BF4" w:rsidP="00B9172C">
            <w:pPr>
              <w:spacing w:line="240" w:lineRule="auto"/>
              <w:ind w:firstLineChars="0" w:firstLine="0"/>
              <w:jc w:val="center"/>
              <w:rPr>
                <w:sz w:val="21"/>
                <w:szCs w:val="21"/>
              </w:rPr>
            </w:pPr>
            <w:r>
              <w:rPr>
                <w:rFonts w:hint="eastAsia"/>
                <w:sz w:val="21"/>
                <w:szCs w:val="21"/>
              </w:rPr>
              <w:t>淘汰</w:t>
            </w:r>
          </w:p>
        </w:tc>
      </w:tr>
      <w:tr w:rsidR="006A6BF4" w:rsidTr="00B9172C">
        <w:trPr>
          <w:trHeight w:val="397"/>
          <w:tblHeader/>
        </w:trPr>
        <w:tc>
          <w:tcPr>
            <w:tcW w:w="563" w:type="pct"/>
            <w:vMerge/>
            <w:noWrap/>
            <w:vAlign w:val="center"/>
          </w:tcPr>
          <w:p w:rsidR="006A6BF4" w:rsidRDefault="006A6BF4" w:rsidP="00B9172C">
            <w:pPr>
              <w:pStyle w:val="aff1"/>
              <w:rPr>
                <w:color w:val="auto"/>
                <w:szCs w:val="21"/>
              </w:rPr>
            </w:pPr>
          </w:p>
        </w:tc>
        <w:tc>
          <w:tcPr>
            <w:tcW w:w="1080" w:type="pct"/>
            <w:noWrap/>
            <w:vAlign w:val="center"/>
          </w:tcPr>
          <w:p w:rsidR="006A6BF4" w:rsidRDefault="006A6BF4" w:rsidP="00B9172C">
            <w:pPr>
              <w:pStyle w:val="aff1"/>
              <w:rPr>
                <w:b w:val="0"/>
                <w:color w:val="auto"/>
                <w:szCs w:val="21"/>
              </w:rPr>
            </w:pPr>
            <w:r>
              <w:rPr>
                <w:rFonts w:hint="eastAsia"/>
                <w:b w:val="0"/>
                <w:color w:val="auto"/>
                <w:kern w:val="0"/>
                <w:szCs w:val="21"/>
              </w:rPr>
              <w:t>挤压机</w:t>
            </w:r>
          </w:p>
        </w:tc>
        <w:tc>
          <w:tcPr>
            <w:tcW w:w="1662" w:type="pct"/>
            <w:noWrap/>
            <w:vAlign w:val="center"/>
          </w:tcPr>
          <w:p w:rsidR="006A6BF4" w:rsidRDefault="006A6BF4" w:rsidP="00B9172C">
            <w:pPr>
              <w:widowControl/>
              <w:spacing w:line="240" w:lineRule="auto"/>
              <w:ind w:firstLineChars="0" w:firstLine="0"/>
              <w:jc w:val="center"/>
              <w:rPr>
                <w:sz w:val="21"/>
                <w:szCs w:val="21"/>
              </w:rPr>
            </w:pPr>
            <w:r>
              <w:rPr>
                <w:sz w:val="21"/>
                <w:szCs w:val="21"/>
              </w:rPr>
              <w:t>TLJ400</w:t>
            </w:r>
          </w:p>
        </w:tc>
        <w:tc>
          <w:tcPr>
            <w:tcW w:w="498" w:type="pct"/>
            <w:noWrap/>
            <w:vAlign w:val="center"/>
          </w:tcPr>
          <w:p w:rsidR="006A6BF4" w:rsidRDefault="006A6BF4" w:rsidP="00B9172C">
            <w:pPr>
              <w:spacing w:line="240" w:lineRule="auto"/>
              <w:ind w:firstLineChars="0" w:firstLine="0"/>
              <w:jc w:val="center"/>
              <w:rPr>
                <w:sz w:val="21"/>
                <w:szCs w:val="21"/>
              </w:rPr>
            </w:pPr>
            <w:r>
              <w:rPr>
                <w:rFonts w:hint="eastAsia"/>
                <w:sz w:val="21"/>
                <w:szCs w:val="21"/>
              </w:rPr>
              <w:t>4</w:t>
            </w:r>
          </w:p>
        </w:tc>
        <w:tc>
          <w:tcPr>
            <w:tcW w:w="1197" w:type="pct"/>
            <w:vAlign w:val="center"/>
          </w:tcPr>
          <w:p w:rsidR="006A6BF4" w:rsidRDefault="006A6BF4" w:rsidP="00B9172C">
            <w:pPr>
              <w:widowControl/>
              <w:spacing w:line="240" w:lineRule="auto"/>
              <w:ind w:firstLineChars="0" w:firstLine="0"/>
              <w:jc w:val="center"/>
              <w:rPr>
                <w:sz w:val="21"/>
                <w:szCs w:val="21"/>
              </w:rPr>
            </w:pPr>
            <w:r>
              <w:rPr>
                <w:rFonts w:hint="eastAsia"/>
                <w:sz w:val="21"/>
                <w:szCs w:val="21"/>
              </w:rPr>
              <w:t>淘汰</w:t>
            </w:r>
          </w:p>
        </w:tc>
      </w:tr>
      <w:tr w:rsidR="006A6BF4" w:rsidTr="00B9172C">
        <w:trPr>
          <w:trHeight w:val="397"/>
          <w:tblHeader/>
        </w:trPr>
        <w:tc>
          <w:tcPr>
            <w:tcW w:w="563" w:type="pct"/>
            <w:vMerge/>
            <w:noWrap/>
            <w:vAlign w:val="center"/>
          </w:tcPr>
          <w:p w:rsidR="006A6BF4" w:rsidRDefault="006A6BF4" w:rsidP="00B9172C">
            <w:pPr>
              <w:pStyle w:val="aff1"/>
              <w:rPr>
                <w:color w:val="auto"/>
                <w:szCs w:val="21"/>
              </w:rPr>
            </w:pPr>
          </w:p>
        </w:tc>
        <w:tc>
          <w:tcPr>
            <w:tcW w:w="1080" w:type="pct"/>
            <w:noWrap/>
            <w:vAlign w:val="center"/>
          </w:tcPr>
          <w:p w:rsidR="006A6BF4" w:rsidRDefault="006A6BF4" w:rsidP="00B9172C">
            <w:pPr>
              <w:pStyle w:val="aff1"/>
              <w:rPr>
                <w:color w:val="auto"/>
                <w:szCs w:val="21"/>
              </w:rPr>
            </w:pPr>
            <w:r>
              <w:rPr>
                <w:rFonts w:hint="eastAsia"/>
                <w:b w:val="0"/>
                <w:color w:val="auto"/>
                <w:kern w:val="0"/>
                <w:szCs w:val="21"/>
              </w:rPr>
              <w:t>纸包机</w:t>
            </w:r>
          </w:p>
        </w:tc>
        <w:tc>
          <w:tcPr>
            <w:tcW w:w="1662" w:type="pct"/>
            <w:noWrap/>
            <w:vAlign w:val="center"/>
          </w:tcPr>
          <w:p w:rsidR="006A6BF4" w:rsidRDefault="006A6BF4" w:rsidP="00B9172C">
            <w:pPr>
              <w:widowControl/>
              <w:spacing w:line="240" w:lineRule="auto"/>
              <w:ind w:firstLineChars="0" w:firstLine="0"/>
              <w:jc w:val="center"/>
              <w:rPr>
                <w:sz w:val="21"/>
                <w:szCs w:val="21"/>
              </w:rPr>
            </w:pPr>
            <w:r>
              <w:rPr>
                <w:rFonts w:hAnsi="宋体"/>
                <w:sz w:val="21"/>
                <w:szCs w:val="21"/>
              </w:rPr>
              <w:t>6</w:t>
            </w:r>
            <w:r>
              <w:rPr>
                <w:rFonts w:hAnsi="宋体" w:hint="eastAsia"/>
                <w:sz w:val="21"/>
                <w:szCs w:val="21"/>
              </w:rPr>
              <w:t>层纸包</w:t>
            </w:r>
          </w:p>
        </w:tc>
        <w:tc>
          <w:tcPr>
            <w:tcW w:w="498" w:type="pct"/>
            <w:noWrap/>
            <w:vAlign w:val="center"/>
          </w:tcPr>
          <w:p w:rsidR="006A6BF4" w:rsidRDefault="006A6BF4" w:rsidP="00B9172C">
            <w:pPr>
              <w:spacing w:line="240" w:lineRule="auto"/>
              <w:ind w:firstLineChars="0" w:firstLine="0"/>
              <w:jc w:val="center"/>
              <w:rPr>
                <w:sz w:val="21"/>
                <w:szCs w:val="21"/>
              </w:rPr>
            </w:pPr>
            <w:r>
              <w:rPr>
                <w:sz w:val="21"/>
                <w:szCs w:val="21"/>
              </w:rPr>
              <w:t>1</w:t>
            </w:r>
          </w:p>
        </w:tc>
        <w:tc>
          <w:tcPr>
            <w:tcW w:w="1197" w:type="pct"/>
            <w:vAlign w:val="center"/>
          </w:tcPr>
          <w:p w:rsidR="006A6BF4" w:rsidRDefault="006A6BF4" w:rsidP="00B9172C">
            <w:pPr>
              <w:widowControl/>
              <w:spacing w:line="240" w:lineRule="auto"/>
              <w:ind w:firstLineChars="0" w:firstLine="0"/>
              <w:jc w:val="center"/>
              <w:rPr>
                <w:sz w:val="21"/>
                <w:szCs w:val="21"/>
              </w:rPr>
            </w:pPr>
            <w:r>
              <w:rPr>
                <w:rFonts w:hint="eastAsia"/>
                <w:sz w:val="21"/>
                <w:szCs w:val="21"/>
              </w:rPr>
              <w:t>淘汰</w:t>
            </w:r>
          </w:p>
        </w:tc>
      </w:tr>
      <w:tr w:rsidR="006A6BF4" w:rsidTr="00B9172C">
        <w:trPr>
          <w:trHeight w:val="397"/>
          <w:tblHeader/>
        </w:trPr>
        <w:tc>
          <w:tcPr>
            <w:tcW w:w="5000" w:type="pct"/>
            <w:gridSpan w:val="5"/>
            <w:noWrap/>
            <w:vAlign w:val="center"/>
          </w:tcPr>
          <w:p w:rsidR="006A6BF4" w:rsidRDefault="006A6BF4" w:rsidP="00B9172C">
            <w:pPr>
              <w:pStyle w:val="afa"/>
              <w:rPr>
                <w:b/>
              </w:rPr>
            </w:pPr>
            <w:r>
              <w:rPr>
                <w:rFonts w:hint="eastAsia"/>
                <w:b/>
              </w:rPr>
              <w:t>现有升级改造设备</w:t>
            </w:r>
          </w:p>
        </w:tc>
      </w:tr>
      <w:tr w:rsidR="006A6BF4" w:rsidTr="00B9172C">
        <w:trPr>
          <w:trHeight w:val="397"/>
          <w:tblHeader/>
        </w:trPr>
        <w:tc>
          <w:tcPr>
            <w:tcW w:w="563" w:type="pct"/>
            <w:vMerge w:val="restart"/>
            <w:noWrap/>
            <w:vAlign w:val="center"/>
          </w:tcPr>
          <w:p w:rsidR="006A6BF4" w:rsidRDefault="006A6BF4" w:rsidP="00B9172C">
            <w:pPr>
              <w:pStyle w:val="aff1"/>
              <w:rPr>
                <w:color w:val="auto"/>
                <w:szCs w:val="21"/>
              </w:rPr>
            </w:pPr>
            <w:r>
              <w:rPr>
                <w:rFonts w:hint="eastAsia"/>
              </w:rPr>
              <w:t>一期</w:t>
            </w:r>
          </w:p>
        </w:tc>
        <w:tc>
          <w:tcPr>
            <w:tcW w:w="1080" w:type="pct"/>
            <w:noWrap/>
            <w:vAlign w:val="center"/>
          </w:tcPr>
          <w:p w:rsidR="006A6BF4" w:rsidRDefault="006A6BF4" w:rsidP="00B9172C">
            <w:pPr>
              <w:pStyle w:val="afa"/>
            </w:pPr>
            <w:r>
              <w:rPr>
                <w:rFonts w:hint="eastAsia"/>
              </w:rPr>
              <w:t>立式漆包机</w:t>
            </w:r>
          </w:p>
        </w:tc>
        <w:tc>
          <w:tcPr>
            <w:tcW w:w="1662" w:type="pct"/>
            <w:noWrap/>
            <w:vAlign w:val="center"/>
          </w:tcPr>
          <w:p w:rsidR="006A6BF4" w:rsidRDefault="006A6BF4" w:rsidP="00B9172C">
            <w:pPr>
              <w:widowControl/>
              <w:spacing w:line="240" w:lineRule="auto"/>
              <w:ind w:firstLineChars="0" w:firstLine="0"/>
              <w:jc w:val="center"/>
              <w:rPr>
                <w:sz w:val="21"/>
                <w:szCs w:val="21"/>
              </w:rPr>
            </w:pPr>
            <w:r>
              <w:rPr>
                <w:sz w:val="21"/>
                <w:szCs w:val="21"/>
              </w:rPr>
              <w:t>QHL1/2-15+15/6</w:t>
            </w:r>
          </w:p>
        </w:tc>
        <w:tc>
          <w:tcPr>
            <w:tcW w:w="498" w:type="pct"/>
            <w:noWrap/>
            <w:vAlign w:val="center"/>
          </w:tcPr>
          <w:p w:rsidR="006A6BF4" w:rsidRDefault="006A6BF4" w:rsidP="00B9172C">
            <w:pPr>
              <w:spacing w:line="240" w:lineRule="auto"/>
              <w:ind w:firstLineChars="0" w:firstLine="0"/>
              <w:jc w:val="center"/>
              <w:rPr>
                <w:sz w:val="21"/>
                <w:szCs w:val="21"/>
              </w:rPr>
            </w:pPr>
            <w:r>
              <w:rPr>
                <w:sz w:val="21"/>
                <w:szCs w:val="21"/>
              </w:rPr>
              <w:t>4</w:t>
            </w:r>
          </w:p>
        </w:tc>
        <w:tc>
          <w:tcPr>
            <w:tcW w:w="1197" w:type="pct"/>
            <w:vAlign w:val="center"/>
          </w:tcPr>
          <w:p w:rsidR="006A6BF4" w:rsidRDefault="006A6BF4" w:rsidP="00B9172C">
            <w:pPr>
              <w:pStyle w:val="afa"/>
            </w:pPr>
            <w:r>
              <w:rPr>
                <w:rFonts w:hint="eastAsia"/>
              </w:rPr>
              <w:t>产能不变，更换烘炉</w:t>
            </w:r>
          </w:p>
        </w:tc>
      </w:tr>
      <w:tr w:rsidR="006A6BF4" w:rsidTr="00B9172C">
        <w:trPr>
          <w:trHeight w:val="397"/>
          <w:tblHeader/>
        </w:trPr>
        <w:tc>
          <w:tcPr>
            <w:tcW w:w="563" w:type="pct"/>
            <w:vMerge/>
            <w:noWrap/>
            <w:vAlign w:val="center"/>
          </w:tcPr>
          <w:p w:rsidR="006A6BF4" w:rsidRDefault="006A6BF4" w:rsidP="00B9172C">
            <w:pPr>
              <w:pStyle w:val="aff1"/>
              <w:rPr>
                <w:color w:val="auto"/>
                <w:szCs w:val="21"/>
              </w:rPr>
            </w:pPr>
          </w:p>
        </w:tc>
        <w:tc>
          <w:tcPr>
            <w:tcW w:w="1080" w:type="pct"/>
            <w:vMerge w:val="restart"/>
            <w:noWrap/>
            <w:vAlign w:val="center"/>
          </w:tcPr>
          <w:p w:rsidR="006A6BF4" w:rsidRDefault="006A6BF4" w:rsidP="00B9172C">
            <w:pPr>
              <w:pStyle w:val="afa"/>
            </w:pPr>
            <w:r>
              <w:rPr>
                <w:rFonts w:hint="eastAsia"/>
                <w:kern w:val="0"/>
              </w:rPr>
              <w:t>卧式漆包机</w:t>
            </w:r>
          </w:p>
        </w:tc>
        <w:tc>
          <w:tcPr>
            <w:tcW w:w="1662" w:type="pct"/>
            <w:noWrap/>
            <w:vAlign w:val="center"/>
          </w:tcPr>
          <w:p w:rsidR="006A6BF4" w:rsidRDefault="006A6BF4" w:rsidP="00B9172C">
            <w:pPr>
              <w:widowControl/>
              <w:spacing w:line="240" w:lineRule="auto"/>
              <w:ind w:firstLineChars="0" w:firstLine="0"/>
              <w:jc w:val="center"/>
              <w:rPr>
                <w:sz w:val="21"/>
                <w:szCs w:val="21"/>
              </w:rPr>
            </w:pPr>
            <w:r>
              <w:rPr>
                <w:sz w:val="21"/>
                <w:szCs w:val="21"/>
              </w:rPr>
              <w:t>QHW5/1-18+18/8</w:t>
            </w:r>
          </w:p>
        </w:tc>
        <w:tc>
          <w:tcPr>
            <w:tcW w:w="498" w:type="pct"/>
            <w:noWrap/>
            <w:vAlign w:val="center"/>
          </w:tcPr>
          <w:p w:rsidR="006A6BF4" w:rsidRDefault="006A6BF4" w:rsidP="00B9172C">
            <w:pPr>
              <w:spacing w:line="240" w:lineRule="auto"/>
              <w:ind w:firstLineChars="0" w:firstLine="0"/>
              <w:jc w:val="center"/>
              <w:rPr>
                <w:sz w:val="21"/>
                <w:szCs w:val="21"/>
              </w:rPr>
            </w:pPr>
            <w:r>
              <w:rPr>
                <w:sz w:val="21"/>
                <w:szCs w:val="21"/>
              </w:rPr>
              <w:t>2</w:t>
            </w:r>
          </w:p>
        </w:tc>
        <w:tc>
          <w:tcPr>
            <w:tcW w:w="1197" w:type="pct"/>
            <w:vMerge w:val="restart"/>
            <w:vAlign w:val="center"/>
          </w:tcPr>
          <w:p w:rsidR="006A6BF4" w:rsidRDefault="006A6BF4" w:rsidP="00B9172C">
            <w:pPr>
              <w:pStyle w:val="afa"/>
            </w:pPr>
            <w:r>
              <w:rPr>
                <w:rFonts w:hint="eastAsia"/>
              </w:rPr>
              <w:t>产能不变，提高自动化</w:t>
            </w:r>
          </w:p>
        </w:tc>
      </w:tr>
      <w:tr w:rsidR="006A6BF4" w:rsidTr="00B9172C">
        <w:trPr>
          <w:trHeight w:val="397"/>
          <w:tblHeader/>
        </w:trPr>
        <w:tc>
          <w:tcPr>
            <w:tcW w:w="563" w:type="pct"/>
            <w:vMerge/>
            <w:noWrap/>
            <w:vAlign w:val="center"/>
          </w:tcPr>
          <w:p w:rsidR="006A6BF4" w:rsidRDefault="006A6BF4" w:rsidP="00B9172C">
            <w:pPr>
              <w:pStyle w:val="aff1"/>
              <w:rPr>
                <w:color w:val="auto"/>
                <w:szCs w:val="21"/>
              </w:rPr>
            </w:pPr>
          </w:p>
        </w:tc>
        <w:tc>
          <w:tcPr>
            <w:tcW w:w="1080" w:type="pct"/>
            <w:vMerge/>
            <w:noWrap/>
            <w:vAlign w:val="center"/>
          </w:tcPr>
          <w:p w:rsidR="006A6BF4" w:rsidRDefault="006A6BF4" w:rsidP="00B9172C">
            <w:pPr>
              <w:pStyle w:val="aff1"/>
              <w:rPr>
                <w:b w:val="0"/>
                <w:color w:val="auto"/>
                <w:szCs w:val="21"/>
              </w:rPr>
            </w:pPr>
          </w:p>
        </w:tc>
        <w:tc>
          <w:tcPr>
            <w:tcW w:w="1662" w:type="pct"/>
            <w:noWrap/>
            <w:vAlign w:val="center"/>
          </w:tcPr>
          <w:p w:rsidR="006A6BF4" w:rsidRDefault="006A6BF4" w:rsidP="00B9172C">
            <w:pPr>
              <w:widowControl/>
              <w:spacing w:line="240" w:lineRule="auto"/>
              <w:ind w:firstLineChars="0" w:firstLine="0"/>
              <w:jc w:val="center"/>
              <w:rPr>
                <w:sz w:val="21"/>
                <w:szCs w:val="21"/>
              </w:rPr>
            </w:pPr>
            <w:r>
              <w:rPr>
                <w:sz w:val="21"/>
                <w:szCs w:val="21"/>
              </w:rPr>
              <w:t>RXMW/5000-20(10+10)-9</w:t>
            </w:r>
          </w:p>
        </w:tc>
        <w:tc>
          <w:tcPr>
            <w:tcW w:w="498" w:type="pct"/>
            <w:noWrap/>
            <w:vAlign w:val="center"/>
          </w:tcPr>
          <w:p w:rsidR="006A6BF4" w:rsidRDefault="006A6BF4" w:rsidP="00B9172C">
            <w:pPr>
              <w:spacing w:line="240" w:lineRule="auto"/>
              <w:ind w:firstLineChars="0" w:firstLine="0"/>
              <w:jc w:val="center"/>
              <w:rPr>
                <w:sz w:val="21"/>
                <w:szCs w:val="21"/>
              </w:rPr>
            </w:pPr>
            <w:r>
              <w:rPr>
                <w:sz w:val="21"/>
                <w:szCs w:val="21"/>
              </w:rPr>
              <w:t>2</w:t>
            </w:r>
          </w:p>
        </w:tc>
        <w:tc>
          <w:tcPr>
            <w:tcW w:w="1197" w:type="pct"/>
            <w:vMerge/>
            <w:vAlign w:val="center"/>
          </w:tcPr>
          <w:p w:rsidR="006A6BF4" w:rsidRDefault="006A6BF4" w:rsidP="00B9172C">
            <w:pPr>
              <w:pStyle w:val="afa"/>
            </w:pPr>
          </w:p>
        </w:tc>
      </w:tr>
      <w:tr w:rsidR="006A6BF4" w:rsidTr="00B9172C">
        <w:trPr>
          <w:trHeight w:val="419"/>
          <w:tblHeader/>
        </w:trPr>
        <w:tc>
          <w:tcPr>
            <w:tcW w:w="563" w:type="pct"/>
            <w:vMerge/>
            <w:noWrap/>
            <w:vAlign w:val="center"/>
          </w:tcPr>
          <w:p w:rsidR="006A6BF4" w:rsidRDefault="006A6BF4" w:rsidP="00B9172C">
            <w:pPr>
              <w:pStyle w:val="aff1"/>
              <w:rPr>
                <w:color w:val="auto"/>
                <w:szCs w:val="21"/>
              </w:rPr>
            </w:pPr>
          </w:p>
        </w:tc>
        <w:tc>
          <w:tcPr>
            <w:tcW w:w="1080" w:type="pct"/>
            <w:vMerge/>
            <w:noWrap/>
            <w:vAlign w:val="center"/>
          </w:tcPr>
          <w:p w:rsidR="006A6BF4" w:rsidRDefault="006A6BF4" w:rsidP="00B9172C">
            <w:pPr>
              <w:pStyle w:val="afa"/>
            </w:pPr>
          </w:p>
        </w:tc>
        <w:tc>
          <w:tcPr>
            <w:tcW w:w="1662" w:type="pct"/>
            <w:noWrap/>
            <w:vAlign w:val="center"/>
          </w:tcPr>
          <w:p w:rsidR="006A6BF4" w:rsidRDefault="006A6BF4" w:rsidP="00B9172C">
            <w:pPr>
              <w:widowControl/>
              <w:spacing w:line="240" w:lineRule="auto"/>
              <w:ind w:firstLineChars="0" w:firstLine="0"/>
              <w:jc w:val="center"/>
              <w:rPr>
                <w:sz w:val="21"/>
                <w:szCs w:val="21"/>
              </w:rPr>
            </w:pPr>
            <w:r>
              <w:rPr>
                <w:rFonts w:hint="eastAsia"/>
                <w:sz w:val="21"/>
                <w:szCs w:val="21"/>
              </w:rPr>
              <w:t>MDZS5/4-8/16</w:t>
            </w:r>
          </w:p>
        </w:tc>
        <w:tc>
          <w:tcPr>
            <w:tcW w:w="498" w:type="pct"/>
            <w:noWrap/>
            <w:vAlign w:val="center"/>
          </w:tcPr>
          <w:p w:rsidR="006A6BF4" w:rsidRDefault="006A6BF4" w:rsidP="00B9172C">
            <w:pPr>
              <w:spacing w:line="240" w:lineRule="auto"/>
              <w:ind w:firstLineChars="0" w:firstLine="0"/>
              <w:jc w:val="center"/>
              <w:rPr>
                <w:sz w:val="21"/>
                <w:szCs w:val="21"/>
              </w:rPr>
            </w:pPr>
            <w:r>
              <w:rPr>
                <w:rFonts w:hint="eastAsia"/>
                <w:sz w:val="21"/>
                <w:szCs w:val="21"/>
              </w:rPr>
              <w:t>2</w:t>
            </w:r>
          </w:p>
        </w:tc>
        <w:tc>
          <w:tcPr>
            <w:tcW w:w="1197" w:type="pct"/>
            <w:vMerge/>
            <w:vAlign w:val="center"/>
          </w:tcPr>
          <w:p w:rsidR="006A6BF4" w:rsidRDefault="006A6BF4" w:rsidP="00B9172C">
            <w:pPr>
              <w:pStyle w:val="afa"/>
            </w:pPr>
          </w:p>
        </w:tc>
      </w:tr>
      <w:tr w:rsidR="006A6BF4" w:rsidTr="00B9172C">
        <w:trPr>
          <w:trHeight w:val="397"/>
          <w:tblHeader/>
        </w:trPr>
        <w:tc>
          <w:tcPr>
            <w:tcW w:w="563" w:type="pct"/>
            <w:noWrap/>
            <w:vAlign w:val="center"/>
          </w:tcPr>
          <w:p w:rsidR="006A6BF4" w:rsidRDefault="006A6BF4" w:rsidP="00B9172C">
            <w:pPr>
              <w:pStyle w:val="aff1"/>
              <w:rPr>
                <w:color w:val="auto"/>
                <w:szCs w:val="21"/>
              </w:rPr>
            </w:pPr>
            <w:r>
              <w:rPr>
                <w:rFonts w:hint="eastAsia"/>
              </w:rPr>
              <w:t>二期</w:t>
            </w:r>
          </w:p>
        </w:tc>
        <w:tc>
          <w:tcPr>
            <w:tcW w:w="1080" w:type="pct"/>
            <w:noWrap/>
            <w:vAlign w:val="center"/>
          </w:tcPr>
          <w:p w:rsidR="006A6BF4" w:rsidRDefault="006A6BF4" w:rsidP="00B9172C">
            <w:pPr>
              <w:pStyle w:val="aff1"/>
              <w:rPr>
                <w:b w:val="0"/>
                <w:color w:val="auto"/>
                <w:szCs w:val="21"/>
              </w:rPr>
            </w:pPr>
            <w:r>
              <w:rPr>
                <w:rFonts w:hint="eastAsia"/>
                <w:b w:val="0"/>
                <w:color w:val="auto"/>
                <w:kern w:val="0"/>
                <w:szCs w:val="21"/>
              </w:rPr>
              <w:t>卧式漆包机</w:t>
            </w:r>
          </w:p>
        </w:tc>
        <w:tc>
          <w:tcPr>
            <w:tcW w:w="1662" w:type="pct"/>
            <w:noWrap/>
            <w:vAlign w:val="center"/>
          </w:tcPr>
          <w:p w:rsidR="006A6BF4" w:rsidRDefault="006A6BF4" w:rsidP="00B9172C">
            <w:pPr>
              <w:widowControl/>
              <w:spacing w:line="240" w:lineRule="auto"/>
              <w:ind w:firstLineChars="0" w:firstLine="0"/>
              <w:jc w:val="center"/>
              <w:rPr>
                <w:sz w:val="21"/>
                <w:szCs w:val="21"/>
              </w:rPr>
            </w:pPr>
            <w:r>
              <w:rPr>
                <w:sz w:val="21"/>
                <w:szCs w:val="21"/>
              </w:rPr>
              <w:t>QHW24</w:t>
            </w:r>
            <w:r>
              <w:rPr>
                <w:rFonts w:hAnsi="宋体" w:hint="eastAsia"/>
                <w:sz w:val="21"/>
                <w:szCs w:val="21"/>
              </w:rPr>
              <w:t>（</w:t>
            </w:r>
            <w:r>
              <w:rPr>
                <w:sz w:val="21"/>
                <w:szCs w:val="21"/>
              </w:rPr>
              <w:t>12+12</w:t>
            </w:r>
            <w:r>
              <w:rPr>
                <w:rFonts w:hAnsi="宋体" w:hint="eastAsia"/>
                <w:sz w:val="21"/>
                <w:szCs w:val="21"/>
              </w:rPr>
              <w:t>）</w:t>
            </w:r>
            <w:r>
              <w:rPr>
                <w:sz w:val="21"/>
                <w:szCs w:val="21"/>
              </w:rPr>
              <w:t>-7</w:t>
            </w:r>
          </w:p>
        </w:tc>
        <w:tc>
          <w:tcPr>
            <w:tcW w:w="498" w:type="pct"/>
            <w:noWrap/>
            <w:vAlign w:val="center"/>
          </w:tcPr>
          <w:p w:rsidR="006A6BF4" w:rsidRDefault="006A6BF4" w:rsidP="00B9172C">
            <w:pPr>
              <w:spacing w:line="240" w:lineRule="auto"/>
              <w:ind w:firstLineChars="0" w:firstLine="0"/>
              <w:jc w:val="center"/>
              <w:rPr>
                <w:sz w:val="21"/>
                <w:szCs w:val="21"/>
              </w:rPr>
            </w:pPr>
            <w:r>
              <w:rPr>
                <w:sz w:val="21"/>
                <w:szCs w:val="21"/>
              </w:rPr>
              <w:t>6</w:t>
            </w:r>
          </w:p>
        </w:tc>
        <w:tc>
          <w:tcPr>
            <w:tcW w:w="1197" w:type="pct"/>
            <w:vAlign w:val="center"/>
          </w:tcPr>
          <w:p w:rsidR="006A6BF4" w:rsidRDefault="006A6BF4" w:rsidP="00B9172C">
            <w:pPr>
              <w:pStyle w:val="afa"/>
            </w:pPr>
            <w:r>
              <w:rPr>
                <w:rFonts w:hint="eastAsia"/>
              </w:rPr>
              <w:t>产能不变，更换烘炉</w:t>
            </w:r>
          </w:p>
        </w:tc>
      </w:tr>
    </w:tbl>
    <w:p w:rsidR="006A6BF4" w:rsidRPr="006A6BF4" w:rsidRDefault="006A6BF4">
      <w:pPr>
        <w:pStyle w:val="afd"/>
        <w:spacing w:before="120" w:after="120"/>
        <w:ind w:firstLine="482"/>
      </w:pPr>
      <w:r>
        <w:t>表</w:t>
      </w:r>
      <w:r>
        <w:rPr>
          <w:rFonts w:hint="eastAsia"/>
        </w:rPr>
        <w:t>3</w:t>
      </w:r>
      <w:r>
        <w:t>-</w:t>
      </w:r>
      <w:r>
        <w:rPr>
          <w:rFonts w:hint="eastAsia"/>
        </w:rPr>
        <w:t xml:space="preserve">15               </w:t>
      </w:r>
      <w:r>
        <w:rPr>
          <w:rFonts w:hint="eastAsia"/>
        </w:rPr>
        <w:t>本项目扩建设备</w:t>
      </w:r>
      <w:r>
        <w:t>一览表</w:t>
      </w:r>
    </w:p>
    <w:tbl>
      <w:tblPr>
        <w:tblpPr w:leftFromText="180" w:rightFromText="180" w:vertAnchor="text" w:tblpXSpec="center" w:tblpY="1"/>
        <w:tblOverlap w:val="never"/>
        <w:tblW w:w="5000" w:type="pct"/>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tblPr>
      <w:tblGrid>
        <w:gridCol w:w="960"/>
        <w:gridCol w:w="849"/>
        <w:gridCol w:w="31"/>
        <w:gridCol w:w="962"/>
        <w:gridCol w:w="435"/>
        <w:gridCol w:w="2400"/>
        <w:gridCol w:w="849"/>
        <w:gridCol w:w="2042"/>
      </w:tblGrid>
      <w:tr w:rsidR="00EE56C0">
        <w:trPr>
          <w:trHeight w:val="397"/>
          <w:tblHeader/>
        </w:trPr>
        <w:tc>
          <w:tcPr>
            <w:tcW w:w="563" w:type="pct"/>
            <w:noWrap/>
            <w:vAlign w:val="center"/>
          </w:tcPr>
          <w:p w:rsidR="00EE56C0" w:rsidRDefault="000F36A1">
            <w:pPr>
              <w:pStyle w:val="aff1"/>
              <w:rPr>
                <w:color w:val="auto"/>
                <w:szCs w:val="21"/>
              </w:rPr>
            </w:pPr>
            <w:r>
              <w:rPr>
                <w:rFonts w:hint="eastAsia"/>
                <w:color w:val="auto"/>
                <w:szCs w:val="21"/>
              </w:rPr>
              <w:t>项目</w:t>
            </w:r>
          </w:p>
        </w:tc>
        <w:tc>
          <w:tcPr>
            <w:tcW w:w="1080" w:type="pct"/>
            <w:gridSpan w:val="3"/>
            <w:noWrap/>
            <w:vAlign w:val="center"/>
          </w:tcPr>
          <w:p w:rsidR="00EE56C0" w:rsidRDefault="000F36A1">
            <w:pPr>
              <w:pStyle w:val="aff1"/>
              <w:rPr>
                <w:color w:val="auto"/>
                <w:szCs w:val="21"/>
              </w:rPr>
            </w:pPr>
            <w:r>
              <w:rPr>
                <w:rFonts w:hint="eastAsia"/>
                <w:color w:val="auto"/>
                <w:szCs w:val="21"/>
              </w:rPr>
              <w:t>主要设备</w:t>
            </w:r>
          </w:p>
        </w:tc>
        <w:tc>
          <w:tcPr>
            <w:tcW w:w="1662" w:type="pct"/>
            <w:gridSpan w:val="2"/>
            <w:noWrap/>
            <w:vAlign w:val="center"/>
          </w:tcPr>
          <w:p w:rsidR="00EE56C0" w:rsidRDefault="000F36A1">
            <w:pPr>
              <w:pStyle w:val="aff1"/>
              <w:rPr>
                <w:color w:val="auto"/>
                <w:szCs w:val="21"/>
              </w:rPr>
            </w:pPr>
            <w:r>
              <w:rPr>
                <w:rFonts w:hint="eastAsia"/>
                <w:color w:val="auto"/>
                <w:szCs w:val="21"/>
              </w:rPr>
              <w:t>型号</w:t>
            </w:r>
            <w:r>
              <w:rPr>
                <w:color w:val="auto"/>
                <w:szCs w:val="21"/>
              </w:rPr>
              <w:t>/</w:t>
            </w:r>
            <w:r>
              <w:rPr>
                <w:rFonts w:hint="eastAsia"/>
                <w:color w:val="auto"/>
                <w:szCs w:val="21"/>
              </w:rPr>
              <w:t>规格</w:t>
            </w:r>
          </w:p>
        </w:tc>
        <w:tc>
          <w:tcPr>
            <w:tcW w:w="498" w:type="pct"/>
            <w:noWrap/>
            <w:vAlign w:val="center"/>
          </w:tcPr>
          <w:p w:rsidR="00EE56C0" w:rsidRDefault="000F36A1">
            <w:pPr>
              <w:pStyle w:val="aff1"/>
              <w:rPr>
                <w:color w:val="auto"/>
                <w:szCs w:val="21"/>
              </w:rPr>
            </w:pPr>
            <w:r>
              <w:rPr>
                <w:rFonts w:hint="eastAsia"/>
                <w:color w:val="auto"/>
                <w:szCs w:val="21"/>
              </w:rPr>
              <w:t>数量</w:t>
            </w:r>
          </w:p>
        </w:tc>
        <w:tc>
          <w:tcPr>
            <w:tcW w:w="1197" w:type="pct"/>
            <w:vAlign w:val="center"/>
          </w:tcPr>
          <w:p w:rsidR="00EE56C0" w:rsidRDefault="000F36A1">
            <w:pPr>
              <w:pStyle w:val="aff1"/>
              <w:rPr>
                <w:color w:val="auto"/>
                <w:szCs w:val="21"/>
              </w:rPr>
            </w:pPr>
            <w:r>
              <w:rPr>
                <w:rFonts w:hint="eastAsia"/>
                <w:color w:val="auto"/>
                <w:szCs w:val="21"/>
              </w:rPr>
              <w:t>备注</w:t>
            </w:r>
          </w:p>
        </w:tc>
      </w:tr>
      <w:tr w:rsidR="00EE56C0">
        <w:trPr>
          <w:trHeight w:val="397"/>
          <w:tblHeader/>
        </w:trPr>
        <w:tc>
          <w:tcPr>
            <w:tcW w:w="563" w:type="pct"/>
            <w:vMerge w:val="restart"/>
            <w:noWrap/>
            <w:vAlign w:val="center"/>
          </w:tcPr>
          <w:p w:rsidR="00EE56C0" w:rsidRDefault="000F36A1">
            <w:pPr>
              <w:pStyle w:val="aff1"/>
              <w:rPr>
                <w:color w:val="auto"/>
                <w:szCs w:val="21"/>
              </w:rPr>
            </w:pPr>
            <w:r>
              <w:rPr>
                <w:rFonts w:hint="eastAsia"/>
                <w:color w:val="auto"/>
                <w:szCs w:val="21"/>
              </w:rPr>
              <w:t>一期</w:t>
            </w:r>
          </w:p>
        </w:tc>
        <w:tc>
          <w:tcPr>
            <w:tcW w:w="4437" w:type="pct"/>
            <w:gridSpan w:val="7"/>
            <w:noWrap/>
            <w:vAlign w:val="center"/>
          </w:tcPr>
          <w:p w:rsidR="00EE56C0" w:rsidRDefault="000F36A1">
            <w:pPr>
              <w:pStyle w:val="aff1"/>
              <w:rPr>
                <w:b w:val="0"/>
                <w:color w:val="auto"/>
                <w:szCs w:val="21"/>
              </w:rPr>
            </w:pPr>
            <w:r>
              <w:rPr>
                <w:rFonts w:hint="eastAsia"/>
                <w:color w:val="auto"/>
                <w:szCs w:val="21"/>
              </w:rPr>
              <w:t>新增设备</w:t>
            </w:r>
          </w:p>
        </w:tc>
      </w:tr>
      <w:tr w:rsidR="00EE56C0">
        <w:trPr>
          <w:trHeight w:val="397"/>
          <w:tblHeader/>
        </w:trPr>
        <w:tc>
          <w:tcPr>
            <w:tcW w:w="563" w:type="pct"/>
            <w:vMerge/>
            <w:noWrap/>
            <w:vAlign w:val="center"/>
          </w:tcPr>
          <w:p w:rsidR="00EE56C0" w:rsidRDefault="00EE56C0">
            <w:pPr>
              <w:pStyle w:val="aff1"/>
              <w:rPr>
                <w:b w:val="0"/>
                <w:color w:val="auto"/>
                <w:szCs w:val="21"/>
              </w:rPr>
            </w:pPr>
          </w:p>
        </w:tc>
        <w:tc>
          <w:tcPr>
            <w:tcW w:w="1335" w:type="pct"/>
            <w:gridSpan w:val="4"/>
            <w:noWrap/>
            <w:vAlign w:val="center"/>
          </w:tcPr>
          <w:p w:rsidR="00EE56C0" w:rsidRDefault="000F36A1">
            <w:pPr>
              <w:spacing w:line="240" w:lineRule="auto"/>
              <w:ind w:firstLineChars="0" w:firstLine="0"/>
              <w:jc w:val="center"/>
              <w:rPr>
                <w:rFonts w:ascii="Calibri" w:hAnsi="Calibri"/>
                <w:sz w:val="21"/>
                <w:szCs w:val="21"/>
              </w:rPr>
            </w:pPr>
            <w:r>
              <w:rPr>
                <w:rFonts w:hint="eastAsia"/>
                <w:sz w:val="21"/>
                <w:szCs w:val="21"/>
              </w:rPr>
              <w:t>拉拔机</w:t>
            </w:r>
          </w:p>
        </w:tc>
        <w:tc>
          <w:tcPr>
            <w:tcW w:w="1407" w:type="pct"/>
            <w:noWrap/>
            <w:vAlign w:val="center"/>
          </w:tcPr>
          <w:p w:rsidR="00EE56C0" w:rsidRDefault="000F36A1">
            <w:pPr>
              <w:spacing w:line="240" w:lineRule="auto"/>
              <w:ind w:firstLineChars="0" w:firstLine="0"/>
              <w:jc w:val="center"/>
              <w:rPr>
                <w:rFonts w:ascii="Calibri" w:hAnsi="Calibri"/>
                <w:sz w:val="21"/>
                <w:szCs w:val="21"/>
              </w:rPr>
            </w:pPr>
            <w:r>
              <w:rPr>
                <w:sz w:val="21"/>
                <w:szCs w:val="21"/>
              </w:rPr>
              <w:t>LHD500/7</w:t>
            </w:r>
          </w:p>
        </w:tc>
        <w:tc>
          <w:tcPr>
            <w:tcW w:w="498" w:type="pct"/>
            <w:noWrap/>
            <w:vAlign w:val="center"/>
          </w:tcPr>
          <w:p w:rsidR="00EE56C0" w:rsidRDefault="000F36A1">
            <w:pPr>
              <w:spacing w:line="240" w:lineRule="auto"/>
              <w:ind w:firstLineChars="0" w:firstLine="0"/>
              <w:jc w:val="center"/>
              <w:rPr>
                <w:rFonts w:ascii="Calibri" w:hAnsi="Calibri"/>
                <w:sz w:val="21"/>
                <w:szCs w:val="21"/>
              </w:rPr>
            </w:pPr>
            <w:r>
              <w:rPr>
                <w:sz w:val="21"/>
                <w:szCs w:val="21"/>
              </w:rPr>
              <w:t>2</w:t>
            </w:r>
          </w:p>
        </w:tc>
        <w:tc>
          <w:tcPr>
            <w:tcW w:w="1197" w:type="pct"/>
            <w:vAlign w:val="center"/>
          </w:tcPr>
          <w:p w:rsidR="00EE56C0" w:rsidRDefault="00EE56C0">
            <w:pPr>
              <w:pStyle w:val="aff1"/>
              <w:rPr>
                <w:color w:val="auto"/>
                <w:szCs w:val="21"/>
              </w:rPr>
            </w:pPr>
          </w:p>
        </w:tc>
      </w:tr>
      <w:tr w:rsidR="00EE56C0">
        <w:trPr>
          <w:trHeight w:val="397"/>
          <w:tblHeader/>
        </w:trPr>
        <w:tc>
          <w:tcPr>
            <w:tcW w:w="563" w:type="pct"/>
            <w:vMerge/>
            <w:noWrap/>
            <w:vAlign w:val="center"/>
          </w:tcPr>
          <w:p w:rsidR="00EE56C0" w:rsidRDefault="00EE56C0">
            <w:pPr>
              <w:pStyle w:val="aff1"/>
              <w:rPr>
                <w:b w:val="0"/>
                <w:color w:val="auto"/>
                <w:szCs w:val="21"/>
              </w:rPr>
            </w:pPr>
          </w:p>
        </w:tc>
        <w:tc>
          <w:tcPr>
            <w:tcW w:w="1335" w:type="pct"/>
            <w:gridSpan w:val="4"/>
            <w:noWrap/>
            <w:vAlign w:val="center"/>
          </w:tcPr>
          <w:p w:rsidR="00EE56C0" w:rsidRDefault="000F36A1">
            <w:pPr>
              <w:spacing w:line="240" w:lineRule="auto"/>
              <w:ind w:firstLineChars="0" w:firstLine="0"/>
              <w:jc w:val="center"/>
              <w:rPr>
                <w:rFonts w:ascii="Calibri" w:hAnsi="Calibri"/>
                <w:sz w:val="21"/>
                <w:szCs w:val="21"/>
              </w:rPr>
            </w:pPr>
            <w:r>
              <w:rPr>
                <w:rFonts w:hint="eastAsia"/>
                <w:sz w:val="21"/>
                <w:szCs w:val="21"/>
              </w:rPr>
              <w:t>全自动拉丝机</w:t>
            </w:r>
          </w:p>
        </w:tc>
        <w:tc>
          <w:tcPr>
            <w:tcW w:w="1407" w:type="pct"/>
            <w:noWrap/>
            <w:vAlign w:val="center"/>
          </w:tcPr>
          <w:p w:rsidR="00EE56C0" w:rsidRDefault="000F36A1">
            <w:pPr>
              <w:spacing w:line="240" w:lineRule="auto"/>
              <w:ind w:firstLineChars="0" w:firstLine="0"/>
              <w:jc w:val="center"/>
              <w:rPr>
                <w:rFonts w:ascii="Calibri" w:hAnsi="Calibri"/>
                <w:sz w:val="21"/>
                <w:szCs w:val="21"/>
              </w:rPr>
            </w:pPr>
            <w:r>
              <w:rPr>
                <w:sz w:val="21"/>
                <w:szCs w:val="21"/>
              </w:rPr>
              <w:t>24DHA+SN300</w:t>
            </w:r>
          </w:p>
        </w:tc>
        <w:tc>
          <w:tcPr>
            <w:tcW w:w="498" w:type="pct"/>
            <w:noWrap/>
            <w:vAlign w:val="center"/>
          </w:tcPr>
          <w:p w:rsidR="00EE56C0" w:rsidRDefault="000F36A1">
            <w:pPr>
              <w:spacing w:line="240" w:lineRule="auto"/>
              <w:ind w:firstLineChars="0" w:firstLine="0"/>
              <w:jc w:val="center"/>
              <w:rPr>
                <w:rFonts w:ascii="Calibri" w:hAnsi="Calibri"/>
                <w:sz w:val="21"/>
                <w:szCs w:val="21"/>
              </w:rPr>
            </w:pPr>
            <w:r>
              <w:rPr>
                <w:sz w:val="21"/>
                <w:szCs w:val="21"/>
              </w:rPr>
              <w:t>5</w:t>
            </w:r>
          </w:p>
        </w:tc>
        <w:tc>
          <w:tcPr>
            <w:tcW w:w="1197" w:type="pct"/>
            <w:vAlign w:val="center"/>
          </w:tcPr>
          <w:p w:rsidR="00EE56C0" w:rsidRDefault="000F36A1">
            <w:pPr>
              <w:pStyle w:val="aff1"/>
              <w:rPr>
                <w:color w:val="auto"/>
                <w:szCs w:val="21"/>
              </w:rPr>
            </w:pPr>
            <w:r>
              <w:rPr>
                <w:rFonts w:hint="eastAsia"/>
                <w:color w:val="auto"/>
                <w:szCs w:val="21"/>
              </w:rPr>
              <w:t>/</w:t>
            </w:r>
          </w:p>
        </w:tc>
      </w:tr>
      <w:tr w:rsidR="00EE56C0">
        <w:trPr>
          <w:trHeight w:val="397"/>
          <w:tblHeader/>
        </w:trPr>
        <w:tc>
          <w:tcPr>
            <w:tcW w:w="563" w:type="pct"/>
            <w:vMerge/>
            <w:noWrap/>
            <w:vAlign w:val="center"/>
          </w:tcPr>
          <w:p w:rsidR="00EE56C0" w:rsidRDefault="00EE56C0">
            <w:pPr>
              <w:pStyle w:val="aff1"/>
              <w:rPr>
                <w:b w:val="0"/>
                <w:color w:val="auto"/>
                <w:szCs w:val="21"/>
              </w:rPr>
            </w:pPr>
          </w:p>
        </w:tc>
        <w:tc>
          <w:tcPr>
            <w:tcW w:w="516" w:type="pct"/>
            <w:gridSpan w:val="2"/>
            <w:vMerge w:val="restart"/>
            <w:noWrap/>
            <w:vAlign w:val="center"/>
          </w:tcPr>
          <w:p w:rsidR="00EE56C0" w:rsidRDefault="000F36A1">
            <w:pPr>
              <w:spacing w:line="240" w:lineRule="auto"/>
              <w:ind w:firstLineChars="0" w:firstLine="0"/>
              <w:jc w:val="center"/>
              <w:rPr>
                <w:b/>
                <w:sz w:val="21"/>
                <w:szCs w:val="21"/>
              </w:rPr>
            </w:pPr>
            <w:r>
              <w:rPr>
                <w:rFonts w:hint="eastAsia"/>
                <w:sz w:val="21"/>
                <w:szCs w:val="21"/>
              </w:rPr>
              <w:t>漆包线</w:t>
            </w:r>
          </w:p>
        </w:tc>
        <w:tc>
          <w:tcPr>
            <w:tcW w:w="819" w:type="pct"/>
            <w:gridSpan w:val="2"/>
            <w:vAlign w:val="center"/>
          </w:tcPr>
          <w:p w:rsidR="00EE56C0" w:rsidRDefault="000F36A1">
            <w:pPr>
              <w:pStyle w:val="aff1"/>
              <w:rPr>
                <w:b w:val="0"/>
                <w:color w:val="auto"/>
                <w:szCs w:val="21"/>
              </w:rPr>
            </w:pPr>
            <w:r>
              <w:rPr>
                <w:rFonts w:hint="eastAsia"/>
                <w:b w:val="0"/>
                <w:color w:val="auto"/>
                <w:szCs w:val="21"/>
              </w:rPr>
              <w:t>立式漆包机</w:t>
            </w:r>
          </w:p>
        </w:tc>
        <w:tc>
          <w:tcPr>
            <w:tcW w:w="1407" w:type="pct"/>
            <w:noWrap/>
            <w:vAlign w:val="center"/>
          </w:tcPr>
          <w:p w:rsidR="00EE56C0" w:rsidRDefault="000F36A1">
            <w:pPr>
              <w:pStyle w:val="afa"/>
            </w:pPr>
            <w:r>
              <w:t>QHL1/2-19+19/6</w:t>
            </w:r>
          </w:p>
        </w:tc>
        <w:tc>
          <w:tcPr>
            <w:tcW w:w="498" w:type="pct"/>
            <w:noWrap/>
            <w:vAlign w:val="center"/>
          </w:tcPr>
          <w:p w:rsidR="00EE56C0" w:rsidRDefault="000F36A1">
            <w:pPr>
              <w:pStyle w:val="aff1"/>
              <w:rPr>
                <w:b w:val="0"/>
                <w:color w:val="auto"/>
                <w:szCs w:val="21"/>
              </w:rPr>
            </w:pPr>
            <w:r>
              <w:rPr>
                <w:rFonts w:hint="eastAsia"/>
                <w:b w:val="0"/>
                <w:color w:val="auto"/>
                <w:szCs w:val="21"/>
              </w:rPr>
              <w:t>1</w:t>
            </w:r>
          </w:p>
        </w:tc>
        <w:tc>
          <w:tcPr>
            <w:tcW w:w="1197" w:type="pct"/>
            <w:vAlign w:val="center"/>
          </w:tcPr>
          <w:p w:rsidR="00EE56C0" w:rsidRDefault="000F36A1">
            <w:pPr>
              <w:pStyle w:val="afa"/>
            </w:pPr>
            <w:r>
              <w:rPr>
                <w:rFonts w:hint="eastAsia"/>
              </w:rPr>
              <w:t>/</w:t>
            </w:r>
          </w:p>
        </w:tc>
      </w:tr>
      <w:tr w:rsidR="00EE56C0">
        <w:trPr>
          <w:trHeight w:val="397"/>
          <w:tblHeader/>
        </w:trPr>
        <w:tc>
          <w:tcPr>
            <w:tcW w:w="563" w:type="pct"/>
            <w:vMerge/>
            <w:noWrap/>
            <w:vAlign w:val="center"/>
          </w:tcPr>
          <w:p w:rsidR="00EE56C0" w:rsidRDefault="00EE56C0">
            <w:pPr>
              <w:pStyle w:val="aff1"/>
              <w:rPr>
                <w:b w:val="0"/>
                <w:color w:val="auto"/>
                <w:szCs w:val="21"/>
              </w:rPr>
            </w:pPr>
          </w:p>
        </w:tc>
        <w:tc>
          <w:tcPr>
            <w:tcW w:w="516" w:type="pct"/>
            <w:gridSpan w:val="2"/>
            <w:vMerge/>
            <w:noWrap/>
            <w:vAlign w:val="center"/>
          </w:tcPr>
          <w:p w:rsidR="00EE56C0" w:rsidRDefault="00EE56C0">
            <w:pPr>
              <w:spacing w:line="240" w:lineRule="auto"/>
              <w:ind w:firstLineChars="0" w:firstLine="0"/>
              <w:jc w:val="center"/>
              <w:rPr>
                <w:b/>
                <w:sz w:val="21"/>
                <w:szCs w:val="21"/>
              </w:rPr>
            </w:pPr>
          </w:p>
        </w:tc>
        <w:tc>
          <w:tcPr>
            <w:tcW w:w="819" w:type="pct"/>
            <w:gridSpan w:val="2"/>
            <w:vMerge w:val="restart"/>
            <w:vAlign w:val="center"/>
          </w:tcPr>
          <w:p w:rsidR="00EE56C0" w:rsidRDefault="000F36A1">
            <w:pPr>
              <w:pStyle w:val="aff1"/>
              <w:rPr>
                <w:b w:val="0"/>
                <w:color w:val="auto"/>
                <w:szCs w:val="21"/>
              </w:rPr>
            </w:pPr>
            <w:r>
              <w:rPr>
                <w:rFonts w:hAnsi="宋体" w:cs="Times New Roman"/>
                <w:b w:val="0"/>
                <w:color w:val="auto"/>
                <w:kern w:val="0"/>
                <w:szCs w:val="21"/>
              </w:rPr>
              <w:t>卧</w:t>
            </w:r>
            <w:r>
              <w:rPr>
                <w:rFonts w:hint="eastAsia"/>
                <w:b w:val="0"/>
                <w:color w:val="auto"/>
                <w:szCs w:val="21"/>
              </w:rPr>
              <w:t>式</w:t>
            </w:r>
            <w:r>
              <w:rPr>
                <w:rFonts w:hAnsi="宋体" w:cs="Times New Roman"/>
                <w:b w:val="0"/>
                <w:color w:val="auto"/>
                <w:kern w:val="0"/>
                <w:szCs w:val="21"/>
              </w:rPr>
              <w:t>拉包</w:t>
            </w:r>
            <w:r>
              <w:rPr>
                <w:rFonts w:hAnsi="宋体" w:cs="Times New Roman" w:hint="eastAsia"/>
                <w:b w:val="0"/>
                <w:color w:val="auto"/>
                <w:kern w:val="0"/>
                <w:szCs w:val="21"/>
              </w:rPr>
              <w:t>机</w:t>
            </w:r>
          </w:p>
        </w:tc>
        <w:tc>
          <w:tcPr>
            <w:tcW w:w="1407" w:type="pct"/>
            <w:noWrap/>
            <w:vAlign w:val="center"/>
          </w:tcPr>
          <w:p w:rsidR="00EE56C0" w:rsidRDefault="000F36A1">
            <w:pPr>
              <w:pStyle w:val="afa"/>
            </w:pPr>
            <w:r>
              <w:t>HTZ5/4D-4/24</w:t>
            </w:r>
          </w:p>
        </w:tc>
        <w:tc>
          <w:tcPr>
            <w:tcW w:w="498" w:type="pct"/>
            <w:noWrap/>
            <w:vAlign w:val="center"/>
          </w:tcPr>
          <w:p w:rsidR="00EE56C0" w:rsidRDefault="000F36A1">
            <w:pPr>
              <w:pStyle w:val="aff1"/>
              <w:rPr>
                <w:b w:val="0"/>
                <w:color w:val="auto"/>
                <w:szCs w:val="21"/>
              </w:rPr>
            </w:pPr>
            <w:r>
              <w:rPr>
                <w:rFonts w:hint="eastAsia"/>
                <w:b w:val="0"/>
                <w:color w:val="auto"/>
                <w:szCs w:val="21"/>
              </w:rPr>
              <w:t>1</w:t>
            </w:r>
          </w:p>
        </w:tc>
        <w:tc>
          <w:tcPr>
            <w:tcW w:w="1197" w:type="pct"/>
            <w:vMerge w:val="restart"/>
            <w:vAlign w:val="center"/>
          </w:tcPr>
          <w:p w:rsidR="00EE56C0" w:rsidRDefault="000F36A1">
            <w:pPr>
              <w:pStyle w:val="afa"/>
            </w:pPr>
            <w:r>
              <w:rPr>
                <w:rFonts w:hint="eastAsia"/>
              </w:rPr>
              <w:t>/</w:t>
            </w:r>
          </w:p>
        </w:tc>
      </w:tr>
      <w:tr w:rsidR="00EE56C0">
        <w:trPr>
          <w:trHeight w:val="397"/>
          <w:tblHeader/>
        </w:trPr>
        <w:tc>
          <w:tcPr>
            <w:tcW w:w="563" w:type="pct"/>
            <w:vMerge/>
            <w:noWrap/>
            <w:vAlign w:val="center"/>
          </w:tcPr>
          <w:p w:rsidR="00EE56C0" w:rsidRDefault="00EE56C0">
            <w:pPr>
              <w:pStyle w:val="aff1"/>
              <w:rPr>
                <w:b w:val="0"/>
                <w:color w:val="auto"/>
                <w:szCs w:val="21"/>
              </w:rPr>
            </w:pPr>
          </w:p>
        </w:tc>
        <w:tc>
          <w:tcPr>
            <w:tcW w:w="516" w:type="pct"/>
            <w:gridSpan w:val="2"/>
            <w:vMerge/>
            <w:noWrap/>
            <w:vAlign w:val="center"/>
          </w:tcPr>
          <w:p w:rsidR="00EE56C0" w:rsidRDefault="00EE56C0">
            <w:pPr>
              <w:spacing w:line="240" w:lineRule="auto"/>
              <w:ind w:firstLineChars="0" w:firstLine="0"/>
              <w:jc w:val="center"/>
              <w:rPr>
                <w:b/>
                <w:sz w:val="21"/>
                <w:szCs w:val="21"/>
              </w:rPr>
            </w:pPr>
          </w:p>
        </w:tc>
        <w:tc>
          <w:tcPr>
            <w:tcW w:w="819" w:type="pct"/>
            <w:gridSpan w:val="2"/>
            <w:vMerge/>
            <w:vAlign w:val="center"/>
          </w:tcPr>
          <w:p w:rsidR="00EE56C0" w:rsidRDefault="00EE56C0">
            <w:pPr>
              <w:pStyle w:val="aff1"/>
              <w:rPr>
                <w:rFonts w:hAnsi="宋体" w:cs="Times New Roman"/>
                <w:b w:val="0"/>
                <w:color w:val="auto"/>
                <w:kern w:val="0"/>
                <w:szCs w:val="21"/>
              </w:rPr>
            </w:pPr>
          </w:p>
        </w:tc>
        <w:tc>
          <w:tcPr>
            <w:tcW w:w="1407" w:type="pct"/>
            <w:noWrap/>
            <w:vAlign w:val="center"/>
          </w:tcPr>
          <w:p w:rsidR="00EE56C0" w:rsidRDefault="000F36A1">
            <w:pPr>
              <w:pStyle w:val="afa"/>
            </w:pPr>
            <w:r>
              <w:t>HTZ6/4D-4/24</w:t>
            </w:r>
          </w:p>
        </w:tc>
        <w:tc>
          <w:tcPr>
            <w:tcW w:w="498" w:type="pct"/>
            <w:noWrap/>
            <w:vAlign w:val="center"/>
          </w:tcPr>
          <w:p w:rsidR="00EE56C0" w:rsidRDefault="000F36A1">
            <w:pPr>
              <w:pStyle w:val="aff1"/>
              <w:rPr>
                <w:b w:val="0"/>
                <w:color w:val="auto"/>
                <w:szCs w:val="21"/>
              </w:rPr>
            </w:pPr>
            <w:r>
              <w:rPr>
                <w:rFonts w:hint="eastAsia"/>
                <w:b w:val="0"/>
                <w:color w:val="auto"/>
                <w:szCs w:val="21"/>
              </w:rPr>
              <w:t>1</w:t>
            </w:r>
          </w:p>
        </w:tc>
        <w:tc>
          <w:tcPr>
            <w:tcW w:w="1197" w:type="pct"/>
            <w:vMerge/>
            <w:vAlign w:val="center"/>
          </w:tcPr>
          <w:p w:rsidR="00EE56C0" w:rsidRDefault="00EE56C0">
            <w:pPr>
              <w:pStyle w:val="afa"/>
            </w:pPr>
          </w:p>
        </w:tc>
      </w:tr>
      <w:tr w:rsidR="00EE56C0">
        <w:trPr>
          <w:trHeight w:val="397"/>
          <w:tblHeader/>
        </w:trPr>
        <w:tc>
          <w:tcPr>
            <w:tcW w:w="563" w:type="pct"/>
            <w:vMerge/>
            <w:noWrap/>
            <w:vAlign w:val="center"/>
          </w:tcPr>
          <w:p w:rsidR="00EE56C0" w:rsidRDefault="00EE56C0">
            <w:pPr>
              <w:pStyle w:val="aff1"/>
              <w:rPr>
                <w:b w:val="0"/>
                <w:color w:val="auto"/>
                <w:szCs w:val="21"/>
              </w:rPr>
            </w:pPr>
          </w:p>
        </w:tc>
        <w:tc>
          <w:tcPr>
            <w:tcW w:w="516" w:type="pct"/>
            <w:gridSpan w:val="2"/>
            <w:vMerge/>
            <w:noWrap/>
            <w:vAlign w:val="center"/>
          </w:tcPr>
          <w:p w:rsidR="00EE56C0" w:rsidRDefault="00EE56C0">
            <w:pPr>
              <w:spacing w:line="240" w:lineRule="auto"/>
              <w:ind w:firstLineChars="0" w:firstLine="0"/>
              <w:jc w:val="center"/>
              <w:rPr>
                <w:b/>
                <w:sz w:val="21"/>
                <w:szCs w:val="21"/>
              </w:rPr>
            </w:pPr>
          </w:p>
        </w:tc>
        <w:tc>
          <w:tcPr>
            <w:tcW w:w="819" w:type="pct"/>
            <w:gridSpan w:val="2"/>
            <w:vMerge/>
            <w:vAlign w:val="center"/>
          </w:tcPr>
          <w:p w:rsidR="00EE56C0" w:rsidRDefault="00EE56C0">
            <w:pPr>
              <w:pStyle w:val="aff1"/>
              <w:rPr>
                <w:rFonts w:hAnsi="宋体" w:cs="Times New Roman"/>
                <w:b w:val="0"/>
                <w:color w:val="auto"/>
                <w:kern w:val="0"/>
                <w:szCs w:val="21"/>
              </w:rPr>
            </w:pPr>
          </w:p>
        </w:tc>
        <w:tc>
          <w:tcPr>
            <w:tcW w:w="1407" w:type="pct"/>
            <w:noWrap/>
            <w:vAlign w:val="center"/>
          </w:tcPr>
          <w:p w:rsidR="00EE56C0" w:rsidRDefault="000F36A1">
            <w:pPr>
              <w:pStyle w:val="afa"/>
            </w:pPr>
            <w:r>
              <w:t>HTZ7/4D-4/24</w:t>
            </w:r>
          </w:p>
        </w:tc>
        <w:tc>
          <w:tcPr>
            <w:tcW w:w="498" w:type="pct"/>
            <w:noWrap/>
            <w:vAlign w:val="center"/>
          </w:tcPr>
          <w:p w:rsidR="00EE56C0" w:rsidRDefault="000F36A1">
            <w:pPr>
              <w:pStyle w:val="aff1"/>
              <w:rPr>
                <w:b w:val="0"/>
                <w:color w:val="auto"/>
                <w:szCs w:val="21"/>
              </w:rPr>
            </w:pPr>
            <w:r>
              <w:rPr>
                <w:rFonts w:hint="eastAsia"/>
                <w:b w:val="0"/>
                <w:color w:val="auto"/>
                <w:szCs w:val="21"/>
              </w:rPr>
              <w:t>1</w:t>
            </w:r>
          </w:p>
        </w:tc>
        <w:tc>
          <w:tcPr>
            <w:tcW w:w="1197" w:type="pct"/>
            <w:vMerge/>
            <w:vAlign w:val="center"/>
          </w:tcPr>
          <w:p w:rsidR="00EE56C0" w:rsidRDefault="00EE56C0">
            <w:pPr>
              <w:pStyle w:val="afa"/>
            </w:pPr>
          </w:p>
        </w:tc>
      </w:tr>
      <w:tr w:rsidR="00EE56C0">
        <w:trPr>
          <w:trHeight w:val="397"/>
          <w:tblHeader/>
        </w:trPr>
        <w:tc>
          <w:tcPr>
            <w:tcW w:w="563" w:type="pct"/>
            <w:vMerge/>
            <w:noWrap/>
            <w:vAlign w:val="center"/>
          </w:tcPr>
          <w:p w:rsidR="00EE56C0" w:rsidRDefault="00EE56C0">
            <w:pPr>
              <w:pStyle w:val="aff1"/>
              <w:rPr>
                <w:b w:val="0"/>
                <w:color w:val="auto"/>
                <w:szCs w:val="21"/>
              </w:rPr>
            </w:pPr>
          </w:p>
        </w:tc>
        <w:tc>
          <w:tcPr>
            <w:tcW w:w="516" w:type="pct"/>
            <w:gridSpan w:val="2"/>
            <w:vMerge/>
            <w:noWrap/>
            <w:vAlign w:val="center"/>
          </w:tcPr>
          <w:p w:rsidR="00EE56C0" w:rsidRDefault="00EE56C0">
            <w:pPr>
              <w:spacing w:line="240" w:lineRule="auto"/>
              <w:ind w:firstLineChars="0" w:firstLine="0"/>
              <w:jc w:val="center"/>
              <w:rPr>
                <w:b/>
                <w:sz w:val="21"/>
                <w:szCs w:val="21"/>
              </w:rPr>
            </w:pPr>
          </w:p>
        </w:tc>
        <w:tc>
          <w:tcPr>
            <w:tcW w:w="819" w:type="pct"/>
            <w:gridSpan w:val="2"/>
            <w:vMerge w:val="restart"/>
            <w:vAlign w:val="center"/>
          </w:tcPr>
          <w:p w:rsidR="00EE56C0" w:rsidRDefault="000F36A1">
            <w:pPr>
              <w:pStyle w:val="aff1"/>
              <w:rPr>
                <w:b w:val="0"/>
                <w:color w:val="auto"/>
                <w:szCs w:val="21"/>
              </w:rPr>
            </w:pPr>
            <w:r>
              <w:rPr>
                <w:rFonts w:hint="eastAsia"/>
                <w:b w:val="0"/>
                <w:color w:val="auto"/>
                <w:szCs w:val="21"/>
              </w:rPr>
              <w:t>立式</w:t>
            </w:r>
            <w:r>
              <w:rPr>
                <w:rFonts w:hAnsi="宋体" w:cs="Times New Roman"/>
                <w:b w:val="0"/>
                <w:color w:val="auto"/>
                <w:kern w:val="0"/>
                <w:szCs w:val="21"/>
              </w:rPr>
              <w:t>拉包</w:t>
            </w:r>
            <w:r>
              <w:rPr>
                <w:rFonts w:hAnsi="宋体" w:cs="Times New Roman" w:hint="eastAsia"/>
                <w:b w:val="0"/>
                <w:color w:val="auto"/>
                <w:kern w:val="0"/>
                <w:szCs w:val="21"/>
              </w:rPr>
              <w:t>机</w:t>
            </w:r>
          </w:p>
        </w:tc>
        <w:tc>
          <w:tcPr>
            <w:tcW w:w="1407" w:type="pct"/>
            <w:noWrap/>
            <w:vAlign w:val="center"/>
          </w:tcPr>
          <w:p w:rsidR="00EE56C0" w:rsidRDefault="000F36A1">
            <w:pPr>
              <w:pStyle w:val="afa"/>
            </w:pPr>
            <w:r>
              <w:t>MDLI/4-2+2/16A</w:t>
            </w:r>
          </w:p>
        </w:tc>
        <w:tc>
          <w:tcPr>
            <w:tcW w:w="498" w:type="pct"/>
            <w:noWrap/>
            <w:vAlign w:val="center"/>
          </w:tcPr>
          <w:p w:rsidR="00EE56C0" w:rsidRDefault="000F36A1">
            <w:pPr>
              <w:pStyle w:val="aff1"/>
              <w:rPr>
                <w:b w:val="0"/>
                <w:color w:val="auto"/>
                <w:szCs w:val="21"/>
              </w:rPr>
            </w:pPr>
            <w:r>
              <w:rPr>
                <w:rFonts w:hint="eastAsia"/>
                <w:b w:val="0"/>
                <w:color w:val="auto"/>
                <w:szCs w:val="21"/>
              </w:rPr>
              <w:t>1</w:t>
            </w:r>
          </w:p>
        </w:tc>
        <w:tc>
          <w:tcPr>
            <w:tcW w:w="1197" w:type="pct"/>
            <w:vMerge w:val="restart"/>
            <w:vAlign w:val="center"/>
          </w:tcPr>
          <w:p w:rsidR="00EE56C0" w:rsidRDefault="000F36A1">
            <w:pPr>
              <w:pStyle w:val="afa"/>
            </w:pPr>
            <w:r>
              <w:rPr>
                <w:rFonts w:hint="eastAsia"/>
              </w:rPr>
              <w:t>/</w:t>
            </w:r>
          </w:p>
        </w:tc>
      </w:tr>
      <w:tr w:rsidR="00EE56C0">
        <w:trPr>
          <w:trHeight w:val="397"/>
          <w:tblHeader/>
        </w:trPr>
        <w:tc>
          <w:tcPr>
            <w:tcW w:w="563" w:type="pct"/>
            <w:vMerge/>
            <w:noWrap/>
            <w:vAlign w:val="center"/>
          </w:tcPr>
          <w:p w:rsidR="00EE56C0" w:rsidRDefault="00EE56C0">
            <w:pPr>
              <w:pStyle w:val="aff1"/>
              <w:rPr>
                <w:b w:val="0"/>
                <w:color w:val="auto"/>
                <w:szCs w:val="21"/>
              </w:rPr>
            </w:pPr>
          </w:p>
        </w:tc>
        <w:tc>
          <w:tcPr>
            <w:tcW w:w="516" w:type="pct"/>
            <w:gridSpan w:val="2"/>
            <w:vMerge/>
            <w:noWrap/>
            <w:vAlign w:val="center"/>
          </w:tcPr>
          <w:p w:rsidR="00EE56C0" w:rsidRDefault="00EE56C0">
            <w:pPr>
              <w:spacing w:line="240" w:lineRule="auto"/>
              <w:ind w:firstLineChars="0" w:firstLine="0"/>
              <w:jc w:val="center"/>
              <w:rPr>
                <w:b/>
                <w:sz w:val="21"/>
                <w:szCs w:val="21"/>
              </w:rPr>
            </w:pPr>
          </w:p>
        </w:tc>
        <w:tc>
          <w:tcPr>
            <w:tcW w:w="819" w:type="pct"/>
            <w:gridSpan w:val="2"/>
            <w:vMerge/>
            <w:vAlign w:val="center"/>
          </w:tcPr>
          <w:p w:rsidR="00EE56C0" w:rsidRDefault="00EE56C0">
            <w:pPr>
              <w:pStyle w:val="aff1"/>
              <w:rPr>
                <w:b w:val="0"/>
                <w:color w:val="auto"/>
                <w:szCs w:val="21"/>
              </w:rPr>
            </w:pPr>
          </w:p>
        </w:tc>
        <w:tc>
          <w:tcPr>
            <w:tcW w:w="1407" w:type="pct"/>
            <w:noWrap/>
            <w:vAlign w:val="center"/>
          </w:tcPr>
          <w:p w:rsidR="00EE56C0" w:rsidRDefault="000F36A1">
            <w:pPr>
              <w:pStyle w:val="afa"/>
            </w:pPr>
            <w:r>
              <w:t>MDLF4/4-4/18</w:t>
            </w:r>
          </w:p>
        </w:tc>
        <w:tc>
          <w:tcPr>
            <w:tcW w:w="498" w:type="pct"/>
            <w:noWrap/>
            <w:vAlign w:val="center"/>
          </w:tcPr>
          <w:p w:rsidR="00EE56C0" w:rsidRDefault="000F36A1">
            <w:pPr>
              <w:pStyle w:val="aff1"/>
              <w:rPr>
                <w:b w:val="0"/>
                <w:color w:val="auto"/>
                <w:szCs w:val="21"/>
              </w:rPr>
            </w:pPr>
            <w:r>
              <w:rPr>
                <w:rFonts w:hint="eastAsia"/>
                <w:b w:val="0"/>
                <w:color w:val="auto"/>
                <w:szCs w:val="21"/>
              </w:rPr>
              <w:t>1</w:t>
            </w:r>
          </w:p>
        </w:tc>
        <w:tc>
          <w:tcPr>
            <w:tcW w:w="1197" w:type="pct"/>
            <w:vMerge/>
            <w:vAlign w:val="center"/>
          </w:tcPr>
          <w:p w:rsidR="00EE56C0" w:rsidRDefault="00EE56C0">
            <w:pPr>
              <w:pStyle w:val="afa"/>
            </w:pPr>
          </w:p>
        </w:tc>
      </w:tr>
      <w:tr w:rsidR="00EE56C0">
        <w:trPr>
          <w:trHeight w:val="397"/>
          <w:tblHeader/>
        </w:trPr>
        <w:tc>
          <w:tcPr>
            <w:tcW w:w="563" w:type="pct"/>
            <w:vMerge/>
            <w:noWrap/>
            <w:vAlign w:val="center"/>
          </w:tcPr>
          <w:p w:rsidR="00EE56C0" w:rsidRDefault="00EE56C0">
            <w:pPr>
              <w:pStyle w:val="aff1"/>
              <w:rPr>
                <w:b w:val="0"/>
                <w:color w:val="auto"/>
                <w:szCs w:val="21"/>
              </w:rPr>
            </w:pPr>
          </w:p>
        </w:tc>
        <w:tc>
          <w:tcPr>
            <w:tcW w:w="1335" w:type="pct"/>
            <w:gridSpan w:val="4"/>
            <w:noWrap/>
            <w:vAlign w:val="center"/>
          </w:tcPr>
          <w:p w:rsidR="00EE56C0" w:rsidRDefault="000F36A1">
            <w:pPr>
              <w:spacing w:line="240" w:lineRule="auto"/>
              <w:ind w:firstLineChars="0" w:firstLine="0"/>
              <w:jc w:val="center"/>
              <w:rPr>
                <w:rFonts w:ascii="Calibri" w:hAnsi="Calibri"/>
                <w:sz w:val="21"/>
                <w:szCs w:val="21"/>
              </w:rPr>
            </w:pPr>
            <w:r>
              <w:rPr>
                <w:rFonts w:hint="eastAsia"/>
                <w:sz w:val="21"/>
                <w:szCs w:val="21"/>
              </w:rPr>
              <w:t>挤压机</w:t>
            </w:r>
          </w:p>
        </w:tc>
        <w:tc>
          <w:tcPr>
            <w:tcW w:w="1407" w:type="pct"/>
            <w:noWrap/>
            <w:vAlign w:val="center"/>
          </w:tcPr>
          <w:p w:rsidR="00EE56C0" w:rsidRDefault="000F36A1">
            <w:pPr>
              <w:spacing w:line="240" w:lineRule="auto"/>
              <w:ind w:firstLineChars="0" w:firstLine="0"/>
              <w:jc w:val="center"/>
              <w:rPr>
                <w:rFonts w:ascii="Calibri" w:hAnsi="Calibri"/>
                <w:sz w:val="21"/>
                <w:szCs w:val="21"/>
              </w:rPr>
            </w:pPr>
            <w:r>
              <w:rPr>
                <w:sz w:val="21"/>
                <w:szCs w:val="21"/>
              </w:rPr>
              <w:t>TLJ300</w:t>
            </w:r>
          </w:p>
        </w:tc>
        <w:tc>
          <w:tcPr>
            <w:tcW w:w="498" w:type="pct"/>
            <w:noWrap/>
            <w:vAlign w:val="center"/>
          </w:tcPr>
          <w:p w:rsidR="00EE56C0" w:rsidRDefault="000F36A1">
            <w:pPr>
              <w:spacing w:line="240" w:lineRule="auto"/>
              <w:ind w:firstLineChars="0" w:firstLine="0"/>
              <w:jc w:val="center"/>
              <w:rPr>
                <w:rFonts w:ascii="Calibri" w:hAnsi="Calibri"/>
                <w:sz w:val="21"/>
                <w:szCs w:val="21"/>
              </w:rPr>
            </w:pPr>
            <w:r>
              <w:rPr>
                <w:rFonts w:hint="eastAsia"/>
                <w:sz w:val="21"/>
                <w:szCs w:val="21"/>
              </w:rPr>
              <w:t>9</w:t>
            </w:r>
          </w:p>
        </w:tc>
        <w:tc>
          <w:tcPr>
            <w:tcW w:w="1197" w:type="pct"/>
            <w:vAlign w:val="center"/>
          </w:tcPr>
          <w:p w:rsidR="00EE56C0" w:rsidRDefault="00EE56C0">
            <w:pPr>
              <w:pStyle w:val="afa"/>
            </w:pPr>
          </w:p>
        </w:tc>
      </w:tr>
      <w:tr w:rsidR="00EE56C0">
        <w:trPr>
          <w:trHeight w:val="397"/>
          <w:tblHeader/>
        </w:trPr>
        <w:tc>
          <w:tcPr>
            <w:tcW w:w="563" w:type="pct"/>
            <w:vMerge/>
            <w:noWrap/>
            <w:vAlign w:val="center"/>
          </w:tcPr>
          <w:p w:rsidR="00EE56C0" w:rsidRDefault="00EE56C0">
            <w:pPr>
              <w:pStyle w:val="aff1"/>
              <w:rPr>
                <w:b w:val="0"/>
                <w:color w:val="auto"/>
                <w:szCs w:val="21"/>
              </w:rPr>
            </w:pPr>
          </w:p>
        </w:tc>
        <w:tc>
          <w:tcPr>
            <w:tcW w:w="516" w:type="pct"/>
            <w:gridSpan w:val="2"/>
            <w:noWrap/>
            <w:vAlign w:val="center"/>
          </w:tcPr>
          <w:p w:rsidR="00EE56C0" w:rsidRDefault="000F36A1">
            <w:pPr>
              <w:spacing w:line="240" w:lineRule="auto"/>
              <w:ind w:firstLineChars="0" w:firstLine="0"/>
              <w:jc w:val="center"/>
              <w:rPr>
                <w:sz w:val="21"/>
                <w:szCs w:val="21"/>
              </w:rPr>
            </w:pPr>
            <w:r>
              <w:rPr>
                <w:rFonts w:hint="eastAsia"/>
                <w:sz w:val="21"/>
                <w:szCs w:val="21"/>
              </w:rPr>
              <w:t>丝包线</w:t>
            </w:r>
          </w:p>
        </w:tc>
        <w:tc>
          <w:tcPr>
            <w:tcW w:w="819" w:type="pct"/>
            <w:gridSpan w:val="2"/>
            <w:vAlign w:val="center"/>
          </w:tcPr>
          <w:p w:rsidR="00EE56C0" w:rsidRDefault="000F36A1">
            <w:pPr>
              <w:spacing w:line="240" w:lineRule="auto"/>
              <w:ind w:firstLineChars="0" w:firstLine="0"/>
              <w:jc w:val="center"/>
              <w:rPr>
                <w:sz w:val="21"/>
                <w:szCs w:val="21"/>
              </w:rPr>
            </w:pPr>
            <w:r>
              <w:rPr>
                <w:rFonts w:hint="eastAsia"/>
                <w:sz w:val="21"/>
                <w:szCs w:val="21"/>
              </w:rPr>
              <w:t>丝包机</w:t>
            </w:r>
          </w:p>
        </w:tc>
        <w:tc>
          <w:tcPr>
            <w:tcW w:w="1407" w:type="pct"/>
            <w:noWrap/>
            <w:vAlign w:val="center"/>
          </w:tcPr>
          <w:p w:rsidR="00EE56C0" w:rsidRDefault="000F36A1">
            <w:pPr>
              <w:spacing w:line="240" w:lineRule="auto"/>
              <w:ind w:firstLineChars="0" w:firstLine="0"/>
              <w:jc w:val="center"/>
              <w:rPr>
                <w:sz w:val="21"/>
                <w:szCs w:val="21"/>
              </w:rPr>
            </w:pPr>
            <w:r>
              <w:rPr>
                <w:rFonts w:hint="eastAsia"/>
                <w:sz w:val="21"/>
                <w:szCs w:val="21"/>
              </w:rPr>
              <w:t>/</w:t>
            </w:r>
          </w:p>
        </w:tc>
        <w:tc>
          <w:tcPr>
            <w:tcW w:w="498" w:type="pct"/>
            <w:noWrap/>
            <w:vAlign w:val="center"/>
          </w:tcPr>
          <w:p w:rsidR="00EE56C0" w:rsidRDefault="000F36A1">
            <w:pPr>
              <w:spacing w:line="240" w:lineRule="auto"/>
              <w:ind w:firstLineChars="0" w:firstLine="0"/>
              <w:jc w:val="center"/>
              <w:rPr>
                <w:sz w:val="21"/>
                <w:szCs w:val="21"/>
              </w:rPr>
            </w:pPr>
            <w:r>
              <w:rPr>
                <w:rFonts w:hint="eastAsia"/>
                <w:sz w:val="21"/>
                <w:szCs w:val="21"/>
              </w:rPr>
              <w:t>19</w:t>
            </w:r>
          </w:p>
        </w:tc>
        <w:tc>
          <w:tcPr>
            <w:tcW w:w="1197" w:type="pct"/>
            <w:vAlign w:val="center"/>
          </w:tcPr>
          <w:p w:rsidR="00EE56C0" w:rsidRDefault="000F36A1">
            <w:pPr>
              <w:pStyle w:val="afa"/>
            </w:pPr>
            <w:r>
              <w:rPr>
                <w:rFonts w:hint="eastAsia"/>
              </w:rPr>
              <w:t>/</w:t>
            </w:r>
          </w:p>
        </w:tc>
      </w:tr>
      <w:tr w:rsidR="00EE56C0">
        <w:trPr>
          <w:trHeight w:val="397"/>
          <w:tblHeader/>
        </w:trPr>
        <w:tc>
          <w:tcPr>
            <w:tcW w:w="563" w:type="pct"/>
            <w:vMerge/>
            <w:noWrap/>
            <w:vAlign w:val="center"/>
          </w:tcPr>
          <w:p w:rsidR="00EE56C0" w:rsidRDefault="00EE56C0">
            <w:pPr>
              <w:pStyle w:val="aff1"/>
              <w:rPr>
                <w:b w:val="0"/>
                <w:color w:val="auto"/>
                <w:szCs w:val="21"/>
              </w:rPr>
            </w:pPr>
          </w:p>
        </w:tc>
        <w:tc>
          <w:tcPr>
            <w:tcW w:w="516" w:type="pct"/>
            <w:gridSpan w:val="2"/>
            <w:noWrap/>
            <w:vAlign w:val="center"/>
          </w:tcPr>
          <w:p w:rsidR="00EE56C0" w:rsidRDefault="000F36A1">
            <w:pPr>
              <w:pStyle w:val="aff1"/>
              <w:rPr>
                <w:b w:val="0"/>
                <w:color w:val="auto"/>
                <w:szCs w:val="21"/>
              </w:rPr>
            </w:pPr>
            <w:r>
              <w:rPr>
                <w:rFonts w:hint="eastAsia"/>
                <w:b w:val="0"/>
                <w:color w:val="auto"/>
                <w:szCs w:val="21"/>
              </w:rPr>
              <w:t>纸包线</w:t>
            </w:r>
          </w:p>
        </w:tc>
        <w:tc>
          <w:tcPr>
            <w:tcW w:w="819" w:type="pct"/>
            <w:gridSpan w:val="2"/>
            <w:vAlign w:val="center"/>
          </w:tcPr>
          <w:p w:rsidR="00EE56C0" w:rsidRDefault="000F36A1">
            <w:pPr>
              <w:spacing w:line="240" w:lineRule="auto"/>
              <w:ind w:firstLineChars="0" w:firstLine="0"/>
              <w:jc w:val="center"/>
              <w:rPr>
                <w:rFonts w:ascii="Calibri" w:hAnsi="Calibri"/>
                <w:sz w:val="21"/>
                <w:szCs w:val="21"/>
              </w:rPr>
            </w:pPr>
            <w:r>
              <w:rPr>
                <w:rFonts w:hint="eastAsia"/>
                <w:sz w:val="21"/>
                <w:szCs w:val="21"/>
              </w:rPr>
              <w:t>纸包机</w:t>
            </w:r>
          </w:p>
        </w:tc>
        <w:tc>
          <w:tcPr>
            <w:tcW w:w="1407" w:type="pct"/>
            <w:noWrap/>
            <w:vAlign w:val="center"/>
          </w:tcPr>
          <w:p w:rsidR="00EE56C0" w:rsidRDefault="000F36A1">
            <w:pPr>
              <w:spacing w:line="240" w:lineRule="auto"/>
              <w:ind w:firstLineChars="0" w:firstLine="0"/>
              <w:jc w:val="center"/>
              <w:rPr>
                <w:rFonts w:ascii="Calibri" w:hAnsi="Calibri"/>
                <w:sz w:val="21"/>
                <w:szCs w:val="21"/>
              </w:rPr>
            </w:pPr>
            <w:r>
              <w:rPr>
                <w:sz w:val="21"/>
                <w:szCs w:val="21"/>
              </w:rPr>
              <w:t>6</w:t>
            </w:r>
            <w:r>
              <w:rPr>
                <w:rFonts w:hint="eastAsia"/>
                <w:sz w:val="21"/>
                <w:szCs w:val="21"/>
              </w:rPr>
              <w:t>层纸包</w:t>
            </w:r>
          </w:p>
        </w:tc>
        <w:tc>
          <w:tcPr>
            <w:tcW w:w="498" w:type="pct"/>
            <w:noWrap/>
            <w:vAlign w:val="center"/>
          </w:tcPr>
          <w:p w:rsidR="00EE56C0" w:rsidRDefault="000F36A1">
            <w:pPr>
              <w:spacing w:line="240" w:lineRule="auto"/>
              <w:ind w:firstLineChars="0" w:firstLine="0"/>
              <w:jc w:val="center"/>
              <w:rPr>
                <w:rFonts w:ascii="Calibri" w:hAnsi="Calibri"/>
                <w:sz w:val="21"/>
                <w:szCs w:val="21"/>
              </w:rPr>
            </w:pPr>
            <w:r>
              <w:rPr>
                <w:sz w:val="21"/>
                <w:szCs w:val="21"/>
              </w:rPr>
              <w:t>4</w:t>
            </w:r>
          </w:p>
        </w:tc>
        <w:tc>
          <w:tcPr>
            <w:tcW w:w="1197" w:type="pct"/>
            <w:vAlign w:val="center"/>
          </w:tcPr>
          <w:p w:rsidR="00EE56C0" w:rsidRDefault="000F36A1">
            <w:pPr>
              <w:pStyle w:val="afa"/>
            </w:pPr>
            <w:r>
              <w:rPr>
                <w:rFonts w:hint="eastAsia"/>
              </w:rPr>
              <w:t>/</w:t>
            </w:r>
          </w:p>
        </w:tc>
      </w:tr>
      <w:tr w:rsidR="00EE56C0">
        <w:trPr>
          <w:trHeight w:val="397"/>
          <w:tblHeader/>
        </w:trPr>
        <w:tc>
          <w:tcPr>
            <w:tcW w:w="563" w:type="pct"/>
            <w:vMerge/>
            <w:noWrap/>
            <w:vAlign w:val="center"/>
          </w:tcPr>
          <w:p w:rsidR="00EE56C0" w:rsidRDefault="00EE56C0">
            <w:pPr>
              <w:pStyle w:val="aff1"/>
              <w:rPr>
                <w:b w:val="0"/>
                <w:color w:val="auto"/>
                <w:szCs w:val="21"/>
              </w:rPr>
            </w:pPr>
          </w:p>
        </w:tc>
        <w:tc>
          <w:tcPr>
            <w:tcW w:w="516" w:type="pct"/>
            <w:gridSpan w:val="2"/>
            <w:vMerge w:val="restart"/>
            <w:noWrap/>
            <w:vAlign w:val="center"/>
          </w:tcPr>
          <w:p w:rsidR="00EE56C0" w:rsidRDefault="000F36A1">
            <w:pPr>
              <w:pStyle w:val="aff1"/>
              <w:rPr>
                <w:b w:val="0"/>
                <w:color w:val="auto"/>
                <w:szCs w:val="21"/>
              </w:rPr>
            </w:pPr>
            <w:r>
              <w:rPr>
                <w:rFonts w:hint="eastAsia"/>
                <w:b w:val="0"/>
                <w:color w:val="auto"/>
                <w:szCs w:val="21"/>
              </w:rPr>
              <w:t>烧结线</w:t>
            </w:r>
          </w:p>
        </w:tc>
        <w:tc>
          <w:tcPr>
            <w:tcW w:w="819" w:type="pct"/>
            <w:gridSpan w:val="2"/>
            <w:vAlign w:val="center"/>
          </w:tcPr>
          <w:p w:rsidR="00EE56C0" w:rsidRDefault="000F36A1">
            <w:pPr>
              <w:spacing w:line="240" w:lineRule="auto"/>
              <w:ind w:firstLineChars="0" w:firstLine="0"/>
              <w:jc w:val="center"/>
              <w:rPr>
                <w:sz w:val="21"/>
                <w:szCs w:val="21"/>
              </w:rPr>
            </w:pPr>
            <w:r>
              <w:rPr>
                <w:rFonts w:hint="eastAsia"/>
                <w:sz w:val="21"/>
                <w:szCs w:val="21"/>
              </w:rPr>
              <w:t>烧结机</w:t>
            </w:r>
          </w:p>
        </w:tc>
        <w:tc>
          <w:tcPr>
            <w:tcW w:w="1407" w:type="pct"/>
            <w:noWrap/>
            <w:vAlign w:val="center"/>
          </w:tcPr>
          <w:p w:rsidR="00EE56C0" w:rsidRDefault="000F36A1">
            <w:pPr>
              <w:spacing w:line="240" w:lineRule="auto"/>
              <w:ind w:firstLineChars="0" w:firstLine="0"/>
              <w:jc w:val="center"/>
              <w:rPr>
                <w:sz w:val="21"/>
                <w:szCs w:val="21"/>
              </w:rPr>
            </w:pPr>
            <w:r>
              <w:rPr>
                <w:rFonts w:hint="eastAsia"/>
                <w:sz w:val="21"/>
                <w:szCs w:val="21"/>
              </w:rPr>
              <w:t>/</w:t>
            </w:r>
          </w:p>
        </w:tc>
        <w:tc>
          <w:tcPr>
            <w:tcW w:w="498" w:type="pct"/>
            <w:noWrap/>
            <w:vAlign w:val="center"/>
          </w:tcPr>
          <w:p w:rsidR="00EE56C0" w:rsidRDefault="000F36A1">
            <w:pPr>
              <w:spacing w:line="240" w:lineRule="auto"/>
              <w:ind w:firstLineChars="0" w:firstLine="0"/>
              <w:jc w:val="center"/>
              <w:rPr>
                <w:sz w:val="21"/>
                <w:szCs w:val="21"/>
              </w:rPr>
            </w:pPr>
            <w:r>
              <w:rPr>
                <w:rFonts w:hint="eastAsia"/>
                <w:sz w:val="21"/>
                <w:szCs w:val="21"/>
              </w:rPr>
              <w:t>2</w:t>
            </w:r>
          </w:p>
        </w:tc>
        <w:tc>
          <w:tcPr>
            <w:tcW w:w="1197" w:type="pct"/>
            <w:vAlign w:val="center"/>
          </w:tcPr>
          <w:p w:rsidR="00EE56C0" w:rsidRDefault="000F36A1">
            <w:pPr>
              <w:pStyle w:val="afa"/>
            </w:pPr>
            <w:r>
              <w:rPr>
                <w:rFonts w:hint="eastAsia"/>
              </w:rPr>
              <w:t>/</w:t>
            </w:r>
          </w:p>
        </w:tc>
      </w:tr>
      <w:tr w:rsidR="00EE56C0">
        <w:trPr>
          <w:trHeight w:val="397"/>
          <w:tblHeader/>
        </w:trPr>
        <w:tc>
          <w:tcPr>
            <w:tcW w:w="563" w:type="pct"/>
            <w:vMerge/>
            <w:noWrap/>
            <w:vAlign w:val="center"/>
          </w:tcPr>
          <w:p w:rsidR="00EE56C0" w:rsidRDefault="00EE56C0">
            <w:pPr>
              <w:pStyle w:val="aff1"/>
              <w:rPr>
                <w:b w:val="0"/>
                <w:color w:val="auto"/>
                <w:szCs w:val="21"/>
              </w:rPr>
            </w:pPr>
          </w:p>
        </w:tc>
        <w:tc>
          <w:tcPr>
            <w:tcW w:w="516" w:type="pct"/>
            <w:gridSpan w:val="2"/>
            <w:vMerge/>
            <w:noWrap/>
            <w:vAlign w:val="center"/>
          </w:tcPr>
          <w:p w:rsidR="00EE56C0" w:rsidRDefault="00EE56C0">
            <w:pPr>
              <w:pStyle w:val="aff1"/>
              <w:rPr>
                <w:color w:val="auto"/>
                <w:szCs w:val="21"/>
              </w:rPr>
            </w:pPr>
          </w:p>
        </w:tc>
        <w:tc>
          <w:tcPr>
            <w:tcW w:w="819" w:type="pct"/>
            <w:gridSpan w:val="2"/>
            <w:vAlign w:val="center"/>
          </w:tcPr>
          <w:p w:rsidR="00EE56C0" w:rsidRDefault="000F36A1">
            <w:pPr>
              <w:spacing w:line="240" w:lineRule="auto"/>
              <w:ind w:firstLineChars="0" w:firstLine="0"/>
              <w:jc w:val="center"/>
              <w:rPr>
                <w:sz w:val="21"/>
                <w:szCs w:val="21"/>
              </w:rPr>
            </w:pPr>
            <w:r>
              <w:rPr>
                <w:rFonts w:hint="eastAsia"/>
                <w:sz w:val="21"/>
                <w:szCs w:val="21"/>
              </w:rPr>
              <w:t>膜包机</w:t>
            </w:r>
          </w:p>
        </w:tc>
        <w:tc>
          <w:tcPr>
            <w:tcW w:w="1407" w:type="pct"/>
            <w:noWrap/>
            <w:vAlign w:val="center"/>
          </w:tcPr>
          <w:p w:rsidR="00EE56C0" w:rsidRDefault="000F36A1">
            <w:pPr>
              <w:spacing w:line="240" w:lineRule="auto"/>
              <w:ind w:firstLineChars="0" w:firstLine="0"/>
              <w:jc w:val="center"/>
              <w:rPr>
                <w:sz w:val="21"/>
                <w:szCs w:val="21"/>
              </w:rPr>
            </w:pPr>
            <w:r>
              <w:rPr>
                <w:rFonts w:hint="eastAsia"/>
                <w:sz w:val="21"/>
                <w:szCs w:val="21"/>
              </w:rPr>
              <w:t>/</w:t>
            </w:r>
          </w:p>
        </w:tc>
        <w:tc>
          <w:tcPr>
            <w:tcW w:w="498" w:type="pct"/>
            <w:noWrap/>
            <w:vAlign w:val="center"/>
          </w:tcPr>
          <w:p w:rsidR="00EE56C0" w:rsidRDefault="000F36A1">
            <w:pPr>
              <w:spacing w:line="240" w:lineRule="auto"/>
              <w:ind w:firstLineChars="0" w:firstLine="0"/>
              <w:jc w:val="center"/>
              <w:rPr>
                <w:sz w:val="21"/>
                <w:szCs w:val="21"/>
              </w:rPr>
            </w:pPr>
            <w:r>
              <w:rPr>
                <w:rFonts w:hint="eastAsia"/>
                <w:sz w:val="21"/>
                <w:szCs w:val="21"/>
              </w:rPr>
              <w:t>1</w:t>
            </w:r>
          </w:p>
        </w:tc>
        <w:tc>
          <w:tcPr>
            <w:tcW w:w="1197" w:type="pct"/>
            <w:vAlign w:val="center"/>
          </w:tcPr>
          <w:p w:rsidR="00EE56C0" w:rsidRDefault="000F36A1">
            <w:pPr>
              <w:pStyle w:val="afa"/>
            </w:pPr>
            <w:r>
              <w:rPr>
                <w:rFonts w:hint="eastAsia"/>
              </w:rPr>
              <w:t>/</w:t>
            </w:r>
          </w:p>
        </w:tc>
      </w:tr>
      <w:tr w:rsidR="00EE56C0">
        <w:trPr>
          <w:trHeight w:val="397"/>
          <w:tblHeader/>
        </w:trPr>
        <w:tc>
          <w:tcPr>
            <w:tcW w:w="563" w:type="pct"/>
            <w:vMerge/>
            <w:noWrap/>
            <w:vAlign w:val="center"/>
          </w:tcPr>
          <w:p w:rsidR="00EE56C0" w:rsidRDefault="00EE56C0">
            <w:pPr>
              <w:pStyle w:val="aff1"/>
              <w:rPr>
                <w:b w:val="0"/>
                <w:color w:val="auto"/>
                <w:szCs w:val="21"/>
              </w:rPr>
            </w:pPr>
          </w:p>
        </w:tc>
        <w:tc>
          <w:tcPr>
            <w:tcW w:w="516" w:type="pct"/>
            <w:gridSpan w:val="2"/>
            <w:noWrap/>
            <w:vAlign w:val="center"/>
          </w:tcPr>
          <w:p w:rsidR="00EE56C0" w:rsidRDefault="000F36A1">
            <w:pPr>
              <w:spacing w:line="240" w:lineRule="auto"/>
              <w:ind w:firstLineChars="0" w:firstLine="0"/>
              <w:jc w:val="center"/>
              <w:rPr>
                <w:sz w:val="21"/>
                <w:szCs w:val="21"/>
              </w:rPr>
            </w:pPr>
            <w:r>
              <w:rPr>
                <w:rFonts w:hint="eastAsia"/>
                <w:sz w:val="21"/>
                <w:szCs w:val="21"/>
              </w:rPr>
              <w:t>仓库</w:t>
            </w:r>
          </w:p>
        </w:tc>
        <w:tc>
          <w:tcPr>
            <w:tcW w:w="819" w:type="pct"/>
            <w:gridSpan w:val="2"/>
            <w:vAlign w:val="center"/>
          </w:tcPr>
          <w:p w:rsidR="00EE56C0" w:rsidRDefault="000F36A1">
            <w:pPr>
              <w:spacing w:line="240" w:lineRule="auto"/>
              <w:ind w:firstLineChars="0" w:firstLine="0"/>
              <w:jc w:val="center"/>
              <w:rPr>
                <w:sz w:val="21"/>
                <w:szCs w:val="21"/>
              </w:rPr>
            </w:pPr>
            <w:r>
              <w:rPr>
                <w:rFonts w:hint="eastAsia"/>
                <w:sz w:val="21"/>
                <w:szCs w:val="21"/>
              </w:rPr>
              <w:t>自动包装机器人：成品仓库</w:t>
            </w:r>
          </w:p>
        </w:tc>
        <w:tc>
          <w:tcPr>
            <w:tcW w:w="1407" w:type="pct"/>
            <w:noWrap/>
            <w:vAlign w:val="center"/>
          </w:tcPr>
          <w:p w:rsidR="00EE56C0" w:rsidRDefault="000F36A1">
            <w:pPr>
              <w:spacing w:line="240" w:lineRule="auto"/>
              <w:ind w:firstLineChars="0" w:firstLine="0"/>
              <w:jc w:val="center"/>
              <w:rPr>
                <w:sz w:val="21"/>
                <w:szCs w:val="21"/>
              </w:rPr>
            </w:pPr>
            <w:r>
              <w:rPr>
                <w:rFonts w:hint="eastAsia"/>
                <w:sz w:val="21"/>
                <w:szCs w:val="21"/>
              </w:rPr>
              <w:t>/</w:t>
            </w:r>
          </w:p>
        </w:tc>
        <w:tc>
          <w:tcPr>
            <w:tcW w:w="498" w:type="pct"/>
            <w:noWrap/>
            <w:vAlign w:val="center"/>
          </w:tcPr>
          <w:p w:rsidR="00EE56C0" w:rsidRDefault="000F36A1">
            <w:pPr>
              <w:spacing w:line="240" w:lineRule="auto"/>
              <w:ind w:firstLineChars="0" w:firstLine="0"/>
              <w:jc w:val="center"/>
              <w:rPr>
                <w:sz w:val="21"/>
                <w:szCs w:val="21"/>
              </w:rPr>
            </w:pPr>
            <w:r>
              <w:rPr>
                <w:rFonts w:hint="eastAsia"/>
                <w:sz w:val="21"/>
                <w:szCs w:val="21"/>
              </w:rPr>
              <w:t>1</w:t>
            </w:r>
          </w:p>
        </w:tc>
        <w:tc>
          <w:tcPr>
            <w:tcW w:w="1197" w:type="pct"/>
            <w:vAlign w:val="center"/>
          </w:tcPr>
          <w:p w:rsidR="00EE56C0" w:rsidRDefault="000F36A1">
            <w:pPr>
              <w:pStyle w:val="afa"/>
            </w:pPr>
            <w:r>
              <w:rPr>
                <w:rFonts w:hint="eastAsia"/>
              </w:rPr>
              <w:t>/</w:t>
            </w:r>
          </w:p>
        </w:tc>
      </w:tr>
      <w:tr w:rsidR="00EE56C0">
        <w:trPr>
          <w:trHeight w:val="397"/>
          <w:tblHeader/>
        </w:trPr>
        <w:tc>
          <w:tcPr>
            <w:tcW w:w="563" w:type="pct"/>
            <w:vMerge/>
            <w:noWrap/>
            <w:vAlign w:val="center"/>
          </w:tcPr>
          <w:p w:rsidR="00EE56C0" w:rsidRDefault="00EE56C0">
            <w:pPr>
              <w:pStyle w:val="aff1"/>
              <w:rPr>
                <w:b w:val="0"/>
                <w:color w:val="auto"/>
                <w:szCs w:val="21"/>
              </w:rPr>
            </w:pPr>
          </w:p>
        </w:tc>
        <w:tc>
          <w:tcPr>
            <w:tcW w:w="1335" w:type="pct"/>
            <w:gridSpan w:val="4"/>
            <w:noWrap/>
            <w:vAlign w:val="center"/>
          </w:tcPr>
          <w:p w:rsidR="00EE56C0" w:rsidRDefault="000F36A1">
            <w:pPr>
              <w:spacing w:line="240" w:lineRule="auto"/>
              <w:ind w:firstLineChars="0" w:firstLine="0"/>
              <w:jc w:val="center"/>
              <w:rPr>
                <w:sz w:val="21"/>
                <w:szCs w:val="21"/>
              </w:rPr>
            </w:pPr>
            <w:r>
              <w:rPr>
                <w:rFonts w:hint="eastAsia"/>
                <w:sz w:val="21"/>
                <w:szCs w:val="21"/>
              </w:rPr>
              <w:t>油水分离器</w:t>
            </w:r>
          </w:p>
        </w:tc>
        <w:tc>
          <w:tcPr>
            <w:tcW w:w="1407" w:type="pct"/>
            <w:noWrap/>
            <w:vAlign w:val="center"/>
          </w:tcPr>
          <w:p w:rsidR="00EE56C0" w:rsidRDefault="000F36A1">
            <w:pPr>
              <w:spacing w:line="240" w:lineRule="auto"/>
              <w:ind w:firstLineChars="0" w:firstLine="0"/>
              <w:jc w:val="center"/>
              <w:rPr>
                <w:sz w:val="21"/>
                <w:szCs w:val="21"/>
              </w:rPr>
            </w:pPr>
            <w:r>
              <w:rPr>
                <w:rFonts w:hint="eastAsia"/>
                <w:sz w:val="21"/>
                <w:szCs w:val="21"/>
              </w:rPr>
              <w:t>TBG-35P</w:t>
            </w:r>
          </w:p>
        </w:tc>
        <w:tc>
          <w:tcPr>
            <w:tcW w:w="498" w:type="pct"/>
            <w:noWrap/>
            <w:vAlign w:val="center"/>
          </w:tcPr>
          <w:p w:rsidR="00EE56C0" w:rsidRDefault="000F36A1">
            <w:pPr>
              <w:spacing w:line="240" w:lineRule="auto"/>
              <w:ind w:firstLineChars="0" w:firstLine="0"/>
              <w:jc w:val="center"/>
              <w:rPr>
                <w:sz w:val="21"/>
                <w:szCs w:val="21"/>
              </w:rPr>
            </w:pPr>
            <w:r>
              <w:rPr>
                <w:rFonts w:hint="eastAsia"/>
                <w:sz w:val="21"/>
                <w:szCs w:val="21"/>
              </w:rPr>
              <w:t>1</w:t>
            </w:r>
          </w:p>
        </w:tc>
        <w:tc>
          <w:tcPr>
            <w:tcW w:w="1197" w:type="pct"/>
            <w:vAlign w:val="center"/>
          </w:tcPr>
          <w:p w:rsidR="00EE56C0" w:rsidRDefault="000F36A1">
            <w:pPr>
              <w:pStyle w:val="afa"/>
            </w:pPr>
            <w:r>
              <w:rPr>
                <w:rFonts w:hint="eastAsia"/>
              </w:rPr>
              <w:t>/</w:t>
            </w:r>
          </w:p>
        </w:tc>
      </w:tr>
      <w:tr w:rsidR="00EE56C0">
        <w:trPr>
          <w:trHeight w:val="397"/>
          <w:tblHeader/>
        </w:trPr>
        <w:tc>
          <w:tcPr>
            <w:tcW w:w="563" w:type="pct"/>
            <w:vMerge w:val="restart"/>
            <w:noWrap/>
            <w:vAlign w:val="center"/>
          </w:tcPr>
          <w:p w:rsidR="00EE56C0" w:rsidRDefault="000F36A1">
            <w:pPr>
              <w:pStyle w:val="aff1"/>
              <w:rPr>
                <w:color w:val="auto"/>
                <w:szCs w:val="21"/>
              </w:rPr>
            </w:pPr>
            <w:r>
              <w:rPr>
                <w:rFonts w:hint="eastAsia"/>
                <w:color w:val="auto"/>
                <w:szCs w:val="21"/>
              </w:rPr>
              <w:t>二期</w:t>
            </w:r>
          </w:p>
        </w:tc>
        <w:tc>
          <w:tcPr>
            <w:tcW w:w="4437" w:type="pct"/>
            <w:gridSpan w:val="7"/>
            <w:noWrap/>
            <w:vAlign w:val="center"/>
          </w:tcPr>
          <w:p w:rsidR="00EE56C0" w:rsidRDefault="000F36A1">
            <w:pPr>
              <w:pStyle w:val="aff1"/>
              <w:rPr>
                <w:color w:val="auto"/>
                <w:szCs w:val="21"/>
              </w:rPr>
            </w:pPr>
            <w:r>
              <w:rPr>
                <w:rFonts w:hint="eastAsia"/>
                <w:color w:val="auto"/>
                <w:szCs w:val="21"/>
              </w:rPr>
              <w:t>新增设备</w:t>
            </w:r>
          </w:p>
        </w:tc>
      </w:tr>
      <w:tr w:rsidR="00EE56C0">
        <w:trPr>
          <w:trHeight w:val="397"/>
          <w:tblHeader/>
        </w:trPr>
        <w:tc>
          <w:tcPr>
            <w:tcW w:w="563" w:type="pct"/>
            <w:vMerge/>
            <w:noWrap/>
            <w:vAlign w:val="center"/>
          </w:tcPr>
          <w:p w:rsidR="00EE56C0" w:rsidRDefault="00EE56C0">
            <w:pPr>
              <w:pStyle w:val="aff1"/>
              <w:rPr>
                <w:b w:val="0"/>
                <w:color w:val="auto"/>
                <w:szCs w:val="21"/>
              </w:rPr>
            </w:pPr>
          </w:p>
        </w:tc>
        <w:tc>
          <w:tcPr>
            <w:tcW w:w="1335" w:type="pct"/>
            <w:gridSpan w:val="4"/>
            <w:noWrap/>
            <w:vAlign w:val="center"/>
          </w:tcPr>
          <w:p w:rsidR="00EE56C0" w:rsidRDefault="000F36A1">
            <w:pPr>
              <w:widowControl/>
              <w:spacing w:line="240" w:lineRule="auto"/>
              <w:ind w:firstLineChars="0" w:firstLine="0"/>
              <w:jc w:val="center"/>
              <w:rPr>
                <w:sz w:val="21"/>
                <w:szCs w:val="21"/>
              </w:rPr>
            </w:pPr>
            <w:r>
              <w:rPr>
                <w:rFonts w:hAnsi="宋体"/>
                <w:sz w:val="21"/>
                <w:szCs w:val="21"/>
              </w:rPr>
              <w:t>拉拔机</w:t>
            </w:r>
          </w:p>
        </w:tc>
        <w:tc>
          <w:tcPr>
            <w:tcW w:w="1407" w:type="pct"/>
            <w:noWrap/>
            <w:vAlign w:val="center"/>
          </w:tcPr>
          <w:p w:rsidR="00EE56C0" w:rsidRDefault="000F36A1">
            <w:pPr>
              <w:pStyle w:val="aff1"/>
              <w:rPr>
                <w:color w:val="auto"/>
                <w:szCs w:val="21"/>
              </w:rPr>
            </w:pPr>
            <w:r>
              <w:rPr>
                <w:rFonts w:hint="eastAsia"/>
                <w:color w:val="auto"/>
                <w:szCs w:val="21"/>
              </w:rPr>
              <w:t>/</w:t>
            </w:r>
          </w:p>
        </w:tc>
        <w:tc>
          <w:tcPr>
            <w:tcW w:w="498" w:type="pct"/>
            <w:noWrap/>
            <w:vAlign w:val="center"/>
          </w:tcPr>
          <w:p w:rsidR="00EE56C0" w:rsidRDefault="000F36A1">
            <w:pPr>
              <w:widowControl/>
              <w:spacing w:line="240" w:lineRule="auto"/>
              <w:ind w:firstLineChars="0" w:firstLine="0"/>
              <w:jc w:val="center"/>
              <w:rPr>
                <w:sz w:val="21"/>
                <w:szCs w:val="21"/>
              </w:rPr>
            </w:pPr>
            <w:r>
              <w:rPr>
                <w:sz w:val="21"/>
                <w:szCs w:val="21"/>
              </w:rPr>
              <w:t>4</w:t>
            </w:r>
          </w:p>
        </w:tc>
        <w:tc>
          <w:tcPr>
            <w:tcW w:w="1197" w:type="pct"/>
            <w:vAlign w:val="center"/>
          </w:tcPr>
          <w:p w:rsidR="00EE56C0" w:rsidRDefault="000F36A1">
            <w:pPr>
              <w:pStyle w:val="aff1"/>
              <w:rPr>
                <w:color w:val="auto"/>
                <w:szCs w:val="21"/>
              </w:rPr>
            </w:pPr>
            <w:r>
              <w:rPr>
                <w:rFonts w:hint="eastAsia"/>
                <w:color w:val="auto"/>
                <w:szCs w:val="21"/>
              </w:rPr>
              <w:t>/</w:t>
            </w:r>
          </w:p>
        </w:tc>
      </w:tr>
      <w:tr w:rsidR="00EE56C0">
        <w:trPr>
          <w:trHeight w:val="397"/>
          <w:tblHeader/>
        </w:trPr>
        <w:tc>
          <w:tcPr>
            <w:tcW w:w="563" w:type="pct"/>
            <w:vMerge/>
            <w:noWrap/>
            <w:vAlign w:val="center"/>
          </w:tcPr>
          <w:p w:rsidR="00EE56C0" w:rsidRDefault="00EE56C0">
            <w:pPr>
              <w:pStyle w:val="aff1"/>
              <w:rPr>
                <w:b w:val="0"/>
                <w:color w:val="auto"/>
                <w:szCs w:val="21"/>
              </w:rPr>
            </w:pPr>
          </w:p>
        </w:tc>
        <w:tc>
          <w:tcPr>
            <w:tcW w:w="1335" w:type="pct"/>
            <w:gridSpan w:val="4"/>
            <w:noWrap/>
            <w:vAlign w:val="center"/>
          </w:tcPr>
          <w:p w:rsidR="00EE56C0" w:rsidRDefault="000F36A1">
            <w:pPr>
              <w:widowControl/>
              <w:spacing w:line="240" w:lineRule="auto"/>
              <w:ind w:firstLineChars="0" w:firstLine="0"/>
              <w:jc w:val="center"/>
              <w:rPr>
                <w:sz w:val="21"/>
                <w:szCs w:val="21"/>
              </w:rPr>
            </w:pPr>
            <w:r>
              <w:rPr>
                <w:rFonts w:hAnsi="宋体"/>
                <w:sz w:val="21"/>
                <w:szCs w:val="21"/>
              </w:rPr>
              <w:t>全自动小拉机</w:t>
            </w:r>
          </w:p>
        </w:tc>
        <w:tc>
          <w:tcPr>
            <w:tcW w:w="1407" w:type="pct"/>
            <w:noWrap/>
            <w:vAlign w:val="center"/>
          </w:tcPr>
          <w:p w:rsidR="00EE56C0" w:rsidRDefault="000F36A1">
            <w:pPr>
              <w:pStyle w:val="afa"/>
            </w:pPr>
            <w:r>
              <w:t>24DHA+SN300</w:t>
            </w:r>
          </w:p>
        </w:tc>
        <w:tc>
          <w:tcPr>
            <w:tcW w:w="498" w:type="pct"/>
            <w:noWrap/>
            <w:vAlign w:val="center"/>
          </w:tcPr>
          <w:p w:rsidR="00EE56C0" w:rsidRDefault="000F36A1">
            <w:pPr>
              <w:widowControl/>
              <w:spacing w:line="240" w:lineRule="auto"/>
              <w:ind w:firstLineChars="0" w:firstLine="0"/>
              <w:jc w:val="center"/>
              <w:rPr>
                <w:sz w:val="21"/>
                <w:szCs w:val="21"/>
              </w:rPr>
            </w:pPr>
            <w:r>
              <w:rPr>
                <w:sz w:val="21"/>
                <w:szCs w:val="21"/>
              </w:rPr>
              <w:t>50</w:t>
            </w:r>
          </w:p>
        </w:tc>
        <w:tc>
          <w:tcPr>
            <w:tcW w:w="1197" w:type="pct"/>
            <w:vAlign w:val="center"/>
          </w:tcPr>
          <w:p w:rsidR="00EE56C0" w:rsidRDefault="000F36A1">
            <w:pPr>
              <w:pStyle w:val="aff1"/>
              <w:rPr>
                <w:color w:val="auto"/>
                <w:szCs w:val="21"/>
              </w:rPr>
            </w:pPr>
            <w:r>
              <w:rPr>
                <w:rFonts w:hint="eastAsia"/>
                <w:color w:val="auto"/>
                <w:szCs w:val="21"/>
              </w:rPr>
              <w:t>/</w:t>
            </w:r>
          </w:p>
        </w:tc>
      </w:tr>
      <w:tr w:rsidR="00EE56C0">
        <w:trPr>
          <w:trHeight w:val="397"/>
          <w:tblHeader/>
        </w:trPr>
        <w:tc>
          <w:tcPr>
            <w:tcW w:w="563" w:type="pct"/>
            <w:vMerge/>
            <w:noWrap/>
            <w:vAlign w:val="center"/>
          </w:tcPr>
          <w:p w:rsidR="00EE56C0" w:rsidRDefault="00EE56C0">
            <w:pPr>
              <w:pStyle w:val="aff1"/>
              <w:rPr>
                <w:b w:val="0"/>
                <w:color w:val="auto"/>
                <w:szCs w:val="21"/>
              </w:rPr>
            </w:pPr>
          </w:p>
        </w:tc>
        <w:tc>
          <w:tcPr>
            <w:tcW w:w="498" w:type="pct"/>
            <w:vMerge w:val="restart"/>
            <w:noWrap/>
            <w:vAlign w:val="center"/>
          </w:tcPr>
          <w:p w:rsidR="00EE56C0" w:rsidRDefault="000F36A1">
            <w:pPr>
              <w:pStyle w:val="aff1"/>
              <w:rPr>
                <w:color w:val="auto"/>
                <w:szCs w:val="21"/>
              </w:rPr>
            </w:pPr>
            <w:r>
              <w:rPr>
                <w:rFonts w:hint="eastAsia"/>
                <w:b w:val="0"/>
                <w:color w:val="auto"/>
                <w:szCs w:val="21"/>
              </w:rPr>
              <w:t>漆包线</w:t>
            </w:r>
          </w:p>
        </w:tc>
        <w:tc>
          <w:tcPr>
            <w:tcW w:w="837" w:type="pct"/>
            <w:gridSpan w:val="3"/>
            <w:vAlign w:val="center"/>
          </w:tcPr>
          <w:p w:rsidR="00EE56C0" w:rsidRDefault="000F36A1">
            <w:pPr>
              <w:pStyle w:val="aff1"/>
              <w:rPr>
                <w:b w:val="0"/>
                <w:color w:val="auto"/>
                <w:szCs w:val="21"/>
              </w:rPr>
            </w:pPr>
            <w:r>
              <w:rPr>
                <w:rFonts w:hint="eastAsia"/>
                <w:b w:val="0"/>
                <w:color w:val="auto"/>
                <w:szCs w:val="21"/>
              </w:rPr>
              <w:t>立式漆包机</w:t>
            </w:r>
          </w:p>
        </w:tc>
        <w:tc>
          <w:tcPr>
            <w:tcW w:w="1407" w:type="pct"/>
            <w:noWrap/>
            <w:vAlign w:val="center"/>
          </w:tcPr>
          <w:p w:rsidR="00EE56C0" w:rsidRDefault="000F36A1">
            <w:pPr>
              <w:pStyle w:val="afa"/>
            </w:pPr>
            <w:r>
              <w:t>QHLS8000-14+14/7</w:t>
            </w:r>
          </w:p>
        </w:tc>
        <w:tc>
          <w:tcPr>
            <w:tcW w:w="498" w:type="pct"/>
            <w:noWrap/>
            <w:vAlign w:val="center"/>
          </w:tcPr>
          <w:p w:rsidR="00EE56C0" w:rsidRDefault="000F36A1">
            <w:pPr>
              <w:pStyle w:val="aff1"/>
              <w:rPr>
                <w:b w:val="0"/>
                <w:color w:val="auto"/>
                <w:szCs w:val="21"/>
              </w:rPr>
            </w:pPr>
            <w:r>
              <w:rPr>
                <w:rFonts w:hint="eastAsia"/>
                <w:b w:val="0"/>
                <w:color w:val="auto"/>
                <w:szCs w:val="21"/>
              </w:rPr>
              <w:t>3</w:t>
            </w:r>
          </w:p>
        </w:tc>
        <w:tc>
          <w:tcPr>
            <w:tcW w:w="1197" w:type="pct"/>
            <w:vAlign w:val="center"/>
          </w:tcPr>
          <w:p w:rsidR="00EE56C0" w:rsidRDefault="000F36A1">
            <w:pPr>
              <w:pStyle w:val="aff1"/>
              <w:rPr>
                <w:color w:val="auto"/>
                <w:szCs w:val="21"/>
              </w:rPr>
            </w:pPr>
            <w:r>
              <w:rPr>
                <w:rFonts w:hint="eastAsia"/>
                <w:color w:val="auto"/>
                <w:szCs w:val="21"/>
              </w:rPr>
              <w:t>/</w:t>
            </w:r>
          </w:p>
        </w:tc>
      </w:tr>
      <w:tr w:rsidR="00EE56C0">
        <w:trPr>
          <w:trHeight w:val="397"/>
          <w:tblHeader/>
        </w:trPr>
        <w:tc>
          <w:tcPr>
            <w:tcW w:w="563" w:type="pct"/>
            <w:vMerge/>
            <w:noWrap/>
            <w:vAlign w:val="center"/>
          </w:tcPr>
          <w:p w:rsidR="00EE56C0" w:rsidRDefault="00EE56C0">
            <w:pPr>
              <w:pStyle w:val="aff1"/>
              <w:rPr>
                <w:b w:val="0"/>
                <w:color w:val="auto"/>
                <w:szCs w:val="21"/>
              </w:rPr>
            </w:pPr>
          </w:p>
        </w:tc>
        <w:tc>
          <w:tcPr>
            <w:tcW w:w="498" w:type="pct"/>
            <w:vMerge/>
            <w:noWrap/>
            <w:vAlign w:val="center"/>
          </w:tcPr>
          <w:p w:rsidR="00EE56C0" w:rsidRDefault="00EE56C0">
            <w:pPr>
              <w:pStyle w:val="aff1"/>
              <w:rPr>
                <w:color w:val="auto"/>
                <w:szCs w:val="21"/>
              </w:rPr>
            </w:pPr>
          </w:p>
        </w:tc>
        <w:tc>
          <w:tcPr>
            <w:tcW w:w="837" w:type="pct"/>
            <w:gridSpan w:val="3"/>
            <w:vAlign w:val="center"/>
          </w:tcPr>
          <w:p w:rsidR="00EE56C0" w:rsidRDefault="000F36A1">
            <w:pPr>
              <w:pStyle w:val="aff1"/>
              <w:rPr>
                <w:b w:val="0"/>
                <w:color w:val="auto"/>
                <w:szCs w:val="21"/>
              </w:rPr>
            </w:pPr>
            <w:r>
              <w:rPr>
                <w:rFonts w:hAnsi="宋体" w:cs="Times New Roman"/>
                <w:b w:val="0"/>
                <w:color w:val="auto"/>
                <w:kern w:val="0"/>
                <w:szCs w:val="21"/>
              </w:rPr>
              <w:t>卧</w:t>
            </w:r>
            <w:r>
              <w:rPr>
                <w:rFonts w:hint="eastAsia"/>
                <w:b w:val="0"/>
                <w:color w:val="auto"/>
                <w:szCs w:val="21"/>
              </w:rPr>
              <w:t>式</w:t>
            </w:r>
            <w:r>
              <w:rPr>
                <w:rFonts w:hAnsi="宋体" w:cs="Times New Roman"/>
                <w:b w:val="0"/>
                <w:color w:val="auto"/>
                <w:kern w:val="0"/>
                <w:szCs w:val="21"/>
              </w:rPr>
              <w:t>拉包</w:t>
            </w:r>
            <w:r>
              <w:rPr>
                <w:rFonts w:hAnsi="宋体" w:cs="Times New Roman" w:hint="eastAsia"/>
                <w:b w:val="0"/>
                <w:color w:val="auto"/>
                <w:kern w:val="0"/>
                <w:szCs w:val="21"/>
              </w:rPr>
              <w:t>机</w:t>
            </w:r>
          </w:p>
        </w:tc>
        <w:tc>
          <w:tcPr>
            <w:tcW w:w="1407" w:type="pct"/>
            <w:noWrap/>
            <w:vAlign w:val="center"/>
          </w:tcPr>
          <w:p w:rsidR="00EE56C0" w:rsidRDefault="000F36A1">
            <w:pPr>
              <w:pStyle w:val="afa"/>
            </w:pPr>
            <w:r>
              <w:rPr>
                <w:rFonts w:hint="eastAsia"/>
              </w:rPr>
              <w:t>QHW5/1-6+6/12</w:t>
            </w:r>
          </w:p>
        </w:tc>
        <w:tc>
          <w:tcPr>
            <w:tcW w:w="498" w:type="pct"/>
            <w:noWrap/>
            <w:vAlign w:val="center"/>
          </w:tcPr>
          <w:p w:rsidR="00EE56C0" w:rsidRDefault="000F36A1">
            <w:pPr>
              <w:pStyle w:val="aff1"/>
              <w:rPr>
                <w:b w:val="0"/>
                <w:color w:val="auto"/>
                <w:szCs w:val="21"/>
              </w:rPr>
            </w:pPr>
            <w:r>
              <w:rPr>
                <w:rFonts w:hint="eastAsia"/>
                <w:b w:val="0"/>
                <w:color w:val="auto"/>
                <w:szCs w:val="21"/>
              </w:rPr>
              <w:t>4</w:t>
            </w:r>
          </w:p>
        </w:tc>
        <w:tc>
          <w:tcPr>
            <w:tcW w:w="1197" w:type="pct"/>
            <w:vAlign w:val="center"/>
          </w:tcPr>
          <w:p w:rsidR="00EE56C0" w:rsidRDefault="000F36A1">
            <w:pPr>
              <w:pStyle w:val="aff1"/>
              <w:rPr>
                <w:color w:val="auto"/>
                <w:szCs w:val="21"/>
              </w:rPr>
            </w:pPr>
            <w:r>
              <w:rPr>
                <w:rFonts w:hint="eastAsia"/>
                <w:color w:val="auto"/>
                <w:szCs w:val="21"/>
              </w:rPr>
              <w:t>/</w:t>
            </w:r>
          </w:p>
        </w:tc>
      </w:tr>
      <w:tr w:rsidR="00EE56C0">
        <w:trPr>
          <w:trHeight w:val="397"/>
          <w:tblHeader/>
        </w:trPr>
        <w:tc>
          <w:tcPr>
            <w:tcW w:w="563" w:type="pct"/>
            <w:vMerge/>
            <w:noWrap/>
            <w:vAlign w:val="center"/>
          </w:tcPr>
          <w:p w:rsidR="00EE56C0" w:rsidRDefault="00EE56C0">
            <w:pPr>
              <w:pStyle w:val="aff1"/>
              <w:rPr>
                <w:b w:val="0"/>
                <w:color w:val="auto"/>
                <w:szCs w:val="21"/>
              </w:rPr>
            </w:pPr>
          </w:p>
        </w:tc>
        <w:tc>
          <w:tcPr>
            <w:tcW w:w="498" w:type="pct"/>
            <w:vMerge/>
            <w:noWrap/>
            <w:vAlign w:val="center"/>
          </w:tcPr>
          <w:p w:rsidR="00EE56C0" w:rsidRDefault="00EE56C0">
            <w:pPr>
              <w:pStyle w:val="aff1"/>
              <w:rPr>
                <w:color w:val="auto"/>
                <w:szCs w:val="21"/>
              </w:rPr>
            </w:pPr>
          </w:p>
        </w:tc>
        <w:tc>
          <w:tcPr>
            <w:tcW w:w="837" w:type="pct"/>
            <w:gridSpan w:val="3"/>
            <w:vMerge w:val="restart"/>
            <w:vAlign w:val="center"/>
          </w:tcPr>
          <w:p w:rsidR="00EE56C0" w:rsidRDefault="000F36A1">
            <w:pPr>
              <w:pStyle w:val="aff1"/>
              <w:rPr>
                <w:b w:val="0"/>
                <w:color w:val="auto"/>
                <w:szCs w:val="21"/>
              </w:rPr>
            </w:pPr>
            <w:r>
              <w:rPr>
                <w:rFonts w:hint="eastAsia"/>
                <w:b w:val="0"/>
                <w:color w:val="auto"/>
                <w:szCs w:val="21"/>
              </w:rPr>
              <w:t>立式</w:t>
            </w:r>
            <w:r>
              <w:rPr>
                <w:rFonts w:hAnsi="宋体" w:cs="Times New Roman"/>
                <w:b w:val="0"/>
                <w:color w:val="auto"/>
                <w:kern w:val="0"/>
                <w:szCs w:val="21"/>
              </w:rPr>
              <w:t>拉包</w:t>
            </w:r>
            <w:r>
              <w:rPr>
                <w:rFonts w:hAnsi="宋体" w:cs="Times New Roman" w:hint="eastAsia"/>
                <w:b w:val="0"/>
                <w:color w:val="auto"/>
                <w:kern w:val="0"/>
                <w:szCs w:val="21"/>
              </w:rPr>
              <w:t>机</w:t>
            </w:r>
          </w:p>
        </w:tc>
        <w:tc>
          <w:tcPr>
            <w:tcW w:w="1407" w:type="pct"/>
            <w:noWrap/>
            <w:vAlign w:val="center"/>
          </w:tcPr>
          <w:p w:rsidR="00EE56C0" w:rsidRDefault="000F36A1">
            <w:pPr>
              <w:pStyle w:val="afa"/>
            </w:pPr>
            <w:r>
              <w:t>MDLI/4-2+2/16A</w:t>
            </w:r>
          </w:p>
        </w:tc>
        <w:tc>
          <w:tcPr>
            <w:tcW w:w="498" w:type="pct"/>
            <w:noWrap/>
            <w:vAlign w:val="center"/>
          </w:tcPr>
          <w:p w:rsidR="00EE56C0" w:rsidRDefault="000F36A1">
            <w:pPr>
              <w:pStyle w:val="aff1"/>
              <w:rPr>
                <w:b w:val="0"/>
                <w:color w:val="auto"/>
                <w:szCs w:val="21"/>
              </w:rPr>
            </w:pPr>
            <w:r>
              <w:rPr>
                <w:rFonts w:hint="eastAsia"/>
                <w:b w:val="0"/>
                <w:color w:val="auto"/>
                <w:szCs w:val="21"/>
              </w:rPr>
              <w:t>5</w:t>
            </w:r>
          </w:p>
        </w:tc>
        <w:tc>
          <w:tcPr>
            <w:tcW w:w="1197" w:type="pct"/>
            <w:vMerge w:val="restart"/>
            <w:vAlign w:val="center"/>
          </w:tcPr>
          <w:p w:rsidR="00EE56C0" w:rsidRDefault="000F36A1">
            <w:pPr>
              <w:pStyle w:val="aff1"/>
              <w:rPr>
                <w:color w:val="auto"/>
                <w:szCs w:val="21"/>
              </w:rPr>
            </w:pPr>
            <w:r>
              <w:rPr>
                <w:rFonts w:hint="eastAsia"/>
                <w:color w:val="auto"/>
                <w:szCs w:val="21"/>
              </w:rPr>
              <w:t>/</w:t>
            </w:r>
          </w:p>
        </w:tc>
      </w:tr>
      <w:tr w:rsidR="00EE56C0">
        <w:trPr>
          <w:trHeight w:val="397"/>
          <w:tblHeader/>
        </w:trPr>
        <w:tc>
          <w:tcPr>
            <w:tcW w:w="563" w:type="pct"/>
            <w:vMerge/>
            <w:noWrap/>
            <w:vAlign w:val="center"/>
          </w:tcPr>
          <w:p w:rsidR="00EE56C0" w:rsidRDefault="00EE56C0">
            <w:pPr>
              <w:pStyle w:val="aff1"/>
              <w:rPr>
                <w:b w:val="0"/>
                <w:color w:val="auto"/>
                <w:szCs w:val="21"/>
              </w:rPr>
            </w:pPr>
          </w:p>
        </w:tc>
        <w:tc>
          <w:tcPr>
            <w:tcW w:w="498" w:type="pct"/>
            <w:vMerge/>
            <w:noWrap/>
            <w:vAlign w:val="center"/>
          </w:tcPr>
          <w:p w:rsidR="00EE56C0" w:rsidRDefault="00EE56C0">
            <w:pPr>
              <w:pStyle w:val="aff1"/>
              <w:rPr>
                <w:color w:val="auto"/>
                <w:szCs w:val="21"/>
              </w:rPr>
            </w:pPr>
          </w:p>
        </w:tc>
        <w:tc>
          <w:tcPr>
            <w:tcW w:w="837" w:type="pct"/>
            <w:gridSpan w:val="3"/>
            <w:vMerge/>
            <w:vAlign w:val="center"/>
          </w:tcPr>
          <w:p w:rsidR="00EE56C0" w:rsidRDefault="00EE56C0">
            <w:pPr>
              <w:pStyle w:val="aff1"/>
              <w:rPr>
                <w:b w:val="0"/>
                <w:color w:val="auto"/>
                <w:szCs w:val="21"/>
              </w:rPr>
            </w:pPr>
          </w:p>
        </w:tc>
        <w:tc>
          <w:tcPr>
            <w:tcW w:w="1407" w:type="pct"/>
            <w:noWrap/>
            <w:vAlign w:val="center"/>
          </w:tcPr>
          <w:p w:rsidR="00EE56C0" w:rsidRDefault="000F36A1">
            <w:pPr>
              <w:pStyle w:val="afa"/>
            </w:pPr>
            <w:r>
              <w:t>QHLF4/2-3+3/12+12</w:t>
            </w:r>
          </w:p>
        </w:tc>
        <w:tc>
          <w:tcPr>
            <w:tcW w:w="498" w:type="pct"/>
            <w:noWrap/>
            <w:vAlign w:val="center"/>
          </w:tcPr>
          <w:p w:rsidR="00EE56C0" w:rsidRDefault="000F36A1">
            <w:pPr>
              <w:pStyle w:val="aff1"/>
              <w:rPr>
                <w:b w:val="0"/>
                <w:color w:val="auto"/>
                <w:szCs w:val="21"/>
              </w:rPr>
            </w:pPr>
            <w:r>
              <w:rPr>
                <w:rFonts w:hint="eastAsia"/>
                <w:b w:val="0"/>
                <w:color w:val="auto"/>
                <w:szCs w:val="21"/>
              </w:rPr>
              <w:t>5</w:t>
            </w:r>
          </w:p>
        </w:tc>
        <w:tc>
          <w:tcPr>
            <w:tcW w:w="1197" w:type="pct"/>
            <w:vMerge/>
            <w:vAlign w:val="center"/>
          </w:tcPr>
          <w:p w:rsidR="00EE56C0" w:rsidRDefault="00EE56C0">
            <w:pPr>
              <w:pStyle w:val="aff1"/>
              <w:rPr>
                <w:color w:val="auto"/>
                <w:szCs w:val="21"/>
              </w:rPr>
            </w:pPr>
          </w:p>
        </w:tc>
      </w:tr>
      <w:tr w:rsidR="00EE56C0">
        <w:trPr>
          <w:trHeight w:val="397"/>
          <w:tblHeader/>
        </w:trPr>
        <w:tc>
          <w:tcPr>
            <w:tcW w:w="563" w:type="pct"/>
            <w:vMerge/>
            <w:noWrap/>
            <w:vAlign w:val="center"/>
          </w:tcPr>
          <w:p w:rsidR="00EE56C0" w:rsidRDefault="00EE56C0">
            <w:pPr>
              <w:pStyle w:val="aff1"/>
              <w:rPr>
                <w:b w:val="0"/>
                <w:color w:val="auto"/>
                <w:szCs w:val="21"/>
              </w:rPr>
            </w:pPr>
          </w:p>
        </w:tc>
        <w:tc>
          <w:tcPr>
            <w:tcW w:w="498" w:type="pct"/>
            <w:vMerge/>
            <w:noWrap/>
            <w:vAlign w:val="center"/>
          </w:tcPr>
          <w:p w:rsidR="00EE56C0" w:rsidRDefault="00EE56C0">
            <w:pPr>
              <w:pStyle w:val="aff1"/>
              <w:rPr>
                <w:color w:val="auto"/>
                <w:szCs w:val="21"/>
              </w:rPr>
            </w:pPr>
          </w:p>
        </w:tc>
        <w:tc>
          <w:tcPr>
            <w:tcW w:w="837" w:type="pct"/>
            <w:gridSpan w:val="3"/>
            <w:vAlign w:val="center"/>
          </w:tcPr>
          <w:p w:rsidR="00EE56C0" w:rsidRDefault="000F36A1">
            <w:pPr>
              <w:widowControl/>
              <w:spacing w:line="240" w:lineRule="auto"/>
              <w:ind w:firstLineChars="0" w:firstLine="0"/>
              <w:jc w:val="center"/>
              <w:rPr>
                <w:sz w:val="21"/>
                <w:szCs w:val="21"/>
              </w:rPr>
            </w:pPr>
            <w:r>
              <w:rPr>
                <w:rFonts w:hAnsi="宋体"/>
                <w:sz w:val="21"/>
                <w:szCs w:val="21"/>
              </w:rPr>
              <w:t>中拉双头退火机</w:t>
            </w:r>
          </w:p>
        </w:tc>
        <w:tc>
          <w:tcPr>
            <w:tcW w:w="1407" w:type="pct"/>
            <w:noWrap/>
            <w:vAlign w:val="center"/>
          </w:tcPr>
          <w:p w:rsidR="00EE56C0" w:rsidRDefault="000F36A1">
            <w:pPr>
              <w:pStyle w:val="afa"/>
            </w:pPr>
            <w:r>
              <w:t>ZL250B/17-2</w:t>
            </w:r>
          </w:p>
        </w:tc>
        <w:tc>
          <w:tcPr>
            <w:tcW w:w="498" w:type="pct"/>
            <w:noWrap/>
            <w:vAlign w:val="center"/>
          </w:tcPr>
          <w:p w:rsidR="00EE56C0" w:rsidRDefault="000F36A1">
            <w:pPr>
              <w:widowControl/>
              <w:spacing w:line="240" w:lineRule="auto"/>
              <w:ind w:firstLineChars="0" w:firstLine="0"/>
              <w:jc w:val="center"/>
              <w:rPr>
                <w:sz w:val="21"/>
                <w:szCs w:val="21"/>
              </w:rPr>
            </w:pPr>
            <w:r>
              <w:rPr>
                <w:sz w:val="21"/>
                <w:szCs w:val="21"/>
              </w:rPr>
              <w:t>5</w:t>
            </w:r>
          </w:p>
        </w:tc>
        <w:tc>
          <w:tcPr>
            <w:tcW w:w="1197" w:type="pct"/>
            <w:vAlign w:val="center"/>
          </w:tcPr>
          <w:p w:rsidR="00EE56C0" w:rsidRDefault="000F36A1">
            <w:pPr>
              <w:pStyle w:val="aff1"/>
              <w:rPr>
                <w:color w:val="auto"/>
                <w:szCs w:val="21"/>
              </w:rPr>
            </w:pPr>
            <w:r>
              <w:rPr>
                <w:rFonts w:hint="eastAsia"/>
                <w:color w:val="auto"/>
                <w:szCs w:val="21"/>
              </w:rPr>
              <w:t>/</w:t>
            </w:r>
          </w:p>
        </w:tc>
      </w:tr>
      <w:tr w:rsidR="00EE56C0">
        <w:trPr>
          <w:trHeight w:val="397"/>
          <w:tblHeader/>
        </w:trPr>
        <w:tc>
          <w:tcPr>
            <w:tcW w:w="563" w:type="pct"/>
            <w:vMerge/>
            <w:noWrap/>
            <w:vAlign w:val="center"/>
          </w:tcPr>
          <w:p w:rsidR="00EE56C0" w:rsidRDefault="00EE56C0">
            <w:pPr>
              <w:pStyle w:val="aff1"/>
              <w:rPr>
                <w:b w:val="0"/>
                <w:color w:val="auto"/>
                <w:szCs w:val="21"/>
              </w:rPr>
            </w:pPr>
          </w:p>
        </w:tc>
        <w:tc>
          <w:tcPr>
            <w:tcW w:w="498" w:type="pct"/>
            <w:noWrap/>
            <w:vAlign w:val="center"/>
          </w:tcPr>
          <w:p w:rsidR="00EE56C0" w:rsidRDefault="000F36A1">
            <w:pPr>
              <w:pStyle w:val="aff1"/>
              <w:rPr>
                <w:color w:val="auto"/>
                <w:szCs w:val="21"/>
              </w:rPr>
            </w:pPr>
            <w:r>
              <w:rPr>
                <w:rFonts w:hAnsi="宋体" w:cs="Times New Roman" w:hint="eastAsia"/>
                <w:b w:val="0"/>
                <w:color w:val="auto"/>
                <w:kern w:val="0"/>
                <w:szCs w:val="21"/>
              </w:rPr>
              <w:t>丝包</w:t>
            </w:r>
            <w:r>
              <w:rPr>
                <w:rFonts w:hint="eastAsia"/>
                <w:b w:val="0"/>
                <w:color w:val="auto"/>
                <w:szCs w:val="21"/>
              </w:rPr>
              <w:t>线</w:t>
            </w:r>
          </w:p>
        </w:tc>
        <w:tc>
          <w:tcPr>
            <w:tcW w:w="837" w:type="pct"/>
            <w:gridSpan w:val="3"/>
            <w:vAlign w:val="center"/>
          </w:tcPr>
          <w:p w:rsidR="00EE56C0" w:rsidRDefault="000F36A1">
            <w:pPr>
              <w:pStyle w:val="aff1"/>
              <w:rPr>
                <w:b w:val="0"/>
                <w:color w:val="auto"/>
                <w:szCs w:val="21"/>
              </w:rPr>
            </w:pPr>
            <w:r>
              <w:rPr>
                <w:rFonts w:hAnsi="宋体" w:cs="Times New Roman" w:hint="eastAsia"/>
                <w:b w:val="0"/>
                <w:color w:val="auto"/>
                <w:kern w:val="0"/>
                <w:szCs w:val="21"/>
              </w:rPr>
              <w:t>丝包机</w:t>
            </w:r>
          </w:p>
        </w:tc>
        <w:tc>
          <w:tcPr>
            <w:tcW w:w="1407" w:type="pct"/>
            <w:noWrap/>
            <w:vAlign w:val="center"/>
          </w:tcPr>
          <w:p w:rsidR="00EE56C0" w:rsidRDefault="000F36A1">
            <w:pPr>
              <w:pStyle w:val="aff1"/>
              <w:rPr>
                <w:color w:val="auto"/>
                <w:szCs w:val="21"/>
              </w:rPr>
            </w:pPr>
            <w:r>
              <w:rPr>
                <w:rFonts w:hint="eastAsia"/>
                <w:color w:val="auto"/>
                <w:szCs w:val="21"/>
              </w:rPr>
              <w:t>/</w:t>
            </w:r>
          </w:p>
        </w:tc>
        <w:tc>
          <w:tcPr>
            <w:tcW w:w="498" w:type="pct"/>
            <w:noWrap/>
            <w:vAlign w:val="center"/>
          </w:tcPr>
          <w:p w:rsidR="00EE56C0" w:rsidRDefault="000F36A1">
            <w:pPr>
              <w:pStyle w:val="aff1"/>
              <w:rPr>
                <w:b w:val="0"/>
                <w:color w:val="auto"/>
                <w:szCs w:val="21"/>
              </w:rPr>
            </w:pPr>
            <w:r>
              <w:rPr>
                <w:rFonts w:hint="eastAsia"/>
                <w:b w:val="0"/>
                <w:color w:val="auto"/>
                <w:szCs w:val="21"/>
              </w:rPr>
              <w:t>15</w:t>
            </w:r>
          </w:p>
        </w:tc>
        <w:tc>
          <w:tcPr>
            <w:tcW w:w="1197" w:type="pct"/>
            <w:vAlign w:val="center"/>
          </w:tcPr>
          <w:p w:rsidR="00EE56C0" w:rsidRDefault="000F36A1">
            <w:pPr>
              <w:pStyle w:val="aff1"/>
              <w:rPr>
                <w:color w:val="auto"/>
                <w:szCs w:val="21"/>
              </w:rPr>
            </w:pPr>
            <w:r>
              <w:rPr>
                <w:rFonts w:hint="eastAsia"/>
                <w:color w:val="auto"/>
                <w:szCs w:val="21"/>
              </w:rPr>
              <w:t>/</w:t>
            </w:r>
          </w:p>
        </w:tc>
      </w:tr>
      <w:tr w:rsidR="00EE56C0">
        <w:trPr>
          <w:trHeight w:val="397"/>
          <w:tblHeader/>
        </w:trPr>
        <w:tc>
          <w:tcPr>
            <w:tcW w:w="563" w:type="pct"/>
            <w:vMerge/>
            <w:noWrap/>
            <w:vAlign w:val="center"/>
          </w:tcPr>
          <w:p w:rsidR="00EE56C0" w:rsidRDefault="00EE56C0">
            <w:pPr>
              <w:pStyle w:val="aff1"/>
              <w:rPr>
                <w:b w:val="0"/>
                <w:color w:val="auto"/>
                <w:szCs w:val="21"/>
              </w:rPr>
            </w:pPr>
          </w:p>
        </w:tc>
        <w:tc>
          <w:tcPr>
            <w:tcW w:w="498" w:type="pct"/>
            <w:noWrap/>
            <w:vAlign w:val="center"/>
          </w:tcPr>
          <w:p w:rsidR="00EE56C0" w:rsidRDefault="000F36A1">
            <w:pPr>
              <w:pStyle w:val="aff1"/>
              <w:rPr>
                <w:color w:val="auto"/>
                <w:szCs w:val="21"/>
              </w:rPr>
            </w:pPr>
            <w:r>
              <w:rPr>
                <w:rFonts w:hAnsi="宋体" w:cs="Times New Roman"/>
                <w:b w:val="0"/>
                <w:color w:val="auto"/>
                <w:kern w:val="0"/>
                <w:szCs w:val="21"/>
              </w:rPr>
              <w:t>烧结</w:t>
            </w:r>
            <w:r>
              <w:rPr>
                <w:rFonts w:hint="eastAsia"/>
                <w:b w:val="0"/>
                <w:color w:val="auto"/>
                <w:szCs w:val="21"/>
              </w:rPr>
              <w:t>线</w:t>
            </w:r>
          </w:p>
        </w:tc>
        <w:tc>
          <w:tcPr>
            <w:tcW w:w="837" w:type="pct"/>
            <w:gridSpan w:val="3"/>
            <w:vAlign w:val="center"/>
          </w:tcPr>
          <w:p w:rsidR="00EE56C0" w:rsidRDefault="000F36A1">
            <w:pPr>
              <w:pStyle w:val="aff1"/>
              <w:rPr>
                <w:b w:val="0"/>
                <w:color w:val="auto"/>
                <w:szCs w:val="21"/>
              </w:rPr>
            </w:pPr>
            <w:r>
              <w:rPr>
                <w:rFonts w:hAnsi="宋体" w:cs="Times New Roman"/>
                <w:b w:val="0"/>
                <w:color w:val="auto"/>
                <w:kern w:val="0"/>
                <w:szCs w:val="21"/>
              </w:rPr>
              <w:t>烧结</w:t>
            </w:r>
            <w:r>
              <w:rPr>
                <w:rFonts w:hAnsi="宋体" w:cs="Times New Roman" w:hint="eastAsia"/>
                <w:b w:val="0"/>
                <w:color w:val="auto"/>
                <w:kern w:val="0"/>
                <w:szCs w:val="21"/>
              </w:rPr>
              <w:t>机</w:t>
            </w:r>
          </w:p>
        </w:tc>
        <w:tc>
          <w:tcPr>
            <w:tcW w:w="1407" w:type="pct"/>
            <w:noWrap/>
            <w:vAlign w:val="center"/>
          </w:tcPr>
          <w:p w:rsidR="00EE56C0" w:rsidRDefault="000F36A1">
            <w:pPr>
              <w:pStyle w:val="aff1"/>
              <w:rPr>
                <w:color w:val="auto"/>
                <w:szCs w:val="21"/>
              </w:rPr>
            </w:pPr>
            <w:r>
              <w:rPr>
                <w:rFonts w:hint="eastAsia"/>
                <w:color w:val="auto"/>
                <w:szCs w:val="21"/>
              </w:rPr>
              <w:t>/</w:t>
            </w:r>
          </w:p>
        </w:tc>
        <w:tc>
          <w:tcPr>
            <w:tcW w:w="498" w:type="pct"/>
            <w:noWrap/>
            <w:vAlign w:val="center"/>
          </w:tcPr>
          <w:p w:rsidR="00EE56C0" w:rsidRDefault="000F36A1">
            <w:pPr>
              <w:pStyle w:val="aff1"/>
              <w:rPr>
                <w:b w:val="0"/>
                <w:color w:val="auto"/>
                <w:szCs w:val="21"/>
              </w:rPr>
            </w:pPr>
            <w:r>
              <w:rPr>
                <w:rFonts w:hint="eastAsia"/>
                <w:b w:val="0"/>
                <w:color w:val="auto"/>
                <w:szCs w:val="21"/>
              </w:rPr>
              <w:t>4</w:t>
            </w:r>
          </w:p>
        </w:tc>
        <w:tc>
          <w:tcPr>
            <w:tcW w:w="1197" w:type="pct"/>
            <w:vAlign w:val="center"/>
          </w:tcPr>
          <w:p w:rsidR="00EE56C0" w:rsidRDefault="000F36A1">
            <w:pPr>
              <w:pStyle w:val="aff1"/>
              <w:rPr>
                <w:color w:val="auto"/>
                <w:szCs w:val="21"/>
              </w:rPr>
            </w:pPr>
            <w:r>
              <w:rPr>
                <w:rFonts w:hint="eastAsia"/>
                <w:color w:val="auto"/>
                <w:szCs w:val="21"/>
              </w:rPr>
              <w:t>/</w:t>
            </w:r>
          </w:p>
        </w:tc>
      </w:tr>
    </w:tbl>
    <w:p w:rsidR="00EE56C0" w:rsidRDefault="000F36A1">
      <w:pPr>
        <w:pStyle w:val="3"/>
        <w:spacing w:before="240" w:after="120"/>
      </w:pPr>
      <w:r>
        <w:rPr>
          <w:rFonts w:hint="eastAsia"/>
        </w:rPr>
        <w:t>3.2.5</w:t>
      </w:r>
      <w:r>
        <w:rPr>
          <w:rFonts w:hint="eastAsia"/>
        </w:rPr>
        <w:t>本项目主要原辅材料及能源消耗</w:t>
      </w:r>
    </w:p>
    <w:p w:rsidR="00EE56C0" w:rsidRDefault="000F36A1">
      <w:pPr>
        <w:ind w:firstLine="480"/>
      </w:pPr>
      <w:r>
        <w:rPr>
          <w:rFonts w:hint="eastAsia"/>
        </w:rPr>
        <w:t>本项目主要原辅材料及能源消耗见下表。</w:t>
      </w:r>
    </w:p>
    <w:p w:rsidR="00EE56C0" w:rsidRDefault="000F36A1">
      <w:pPr>
        <w:pStyle w:val="afd"/>
        <w:spacing w:before="120" w:after="120"/>
        <w:ind w:firstLine="482"/>
      </w:pPr>
      <w:r>
        <w:t>表</w:t>
      </w:r>
      <w:r>
        <w:rPr>
          <w:rFonts w:hint="eastAsia"/>
        </w:rPr>
        <w:t>3</w:t>
      </w:r>
      <w:r>
        <w:t>-</w:t>
      </w:r>
      <w:r>
        <w:rPr>
          <w:rFonts w:hint="eastAsia"/>
        </w:rPr>
        <w:t xml:space="preserve">16           </w:t>
      </w:r>
      <w:r>
        <w:rPr>
          <w:rFonts w:hint="eastAsia"/>
        </w:rPr>
        <w:t>本项目主要原辅材料及能源消耗</w:t>
      </w:r>
      <w:r>
        <w:t>一览表</w:t>
      </w:r>
    </w:p>
    <w:tbl>
      <w:tblPr>
        <w:tblW w:w="5000" w:type="pct"/>
        <w:jc w:val="center"/>
        <w:tblBorders>
          <w:top w:val="single" w:sz="8" w:space="0" w:color="auto"/>
          <w:left w:val="single" w:sz="4" w:space="0" w:color="auto"/>
          <w:bottom w:val="single" w:sz="8" w:space="0" w:color="auto"/>
          <w:right w:val="single" w:sz="4" w:space="0" w:color="auto"/>
          <w:insideH w:val="single" w:sz="4" w:space="0" w:color="auto"/>
          <w:insideV w:val="single" w:sz="4" w:space="0" w:color="auto"/>
        </w:tblBorders>
        <w:tblLayout w:type="fixed"/>
        <w:tblLook w:val="04A0"/>
      </w:tblPr>
      <w:tblGrid>
        <w:gridCol w:w="802"/>
        <w:gridCol w:w="720"/>
        <w:gridCol w:w="27"/>
        <w:gridCol w:w="119"/>
        <w:gridCol w:w="849"/>
        <w:gridCol w:w="19"/>
        <w:gridCol w:w="1115"/>
        <w:gridCol w:w="215"/>
        <w:gridCol w:w="640"/>
        <w:gridCol w:w="140"/>
        <w:gridCol w:w="566"/>
        <w:gridCol w:w="9"/>
        <w:gridCol w:w="3307"/>
      </w:tblGrid>
      <w:tr w:rsidR="00EE56C0">
        <w:trPr>
          <w:trHeight w:val="397"/>
          <w:jc w:val="center"/>
        </w:trPr>
        <w:tc>
          <w:tcPr>
            <w:tcW w:w="470" w:type="pct"/>
            <w:vAlign w:val="center"/>
          </w:tcPr>
          <w:p w:rsidR="00EE56C0" w:rsidRDefault="000F36A1">
            <w:pPr>
              <w:pStyle w:val="afa"/>
              <w:rPr>
                <w:b/>
              </w:rPr>
            </w:pPr>
            <w:r>
              <w:rPr>
                <w:b/>
              </w:rPr>
              <w:t>分类</w:t>
            </w:r>
          </w:p>
        </w:tc>
        <w:tc>
          <w:tcPr>
            <w:tcW w:w="1017" w:type="pct"/>
            <w:gridSpan w:val="5"/>
            <w:vAlign w:val="center"/>
          </w:tcPr>
          <w:p w:rsidR="00EE56C0" w:rsidRDefault="000F36A1">
            <w:pPr>
              <w:pStyle w:val="afa"/>
              <w:rPr>
                <w:b/>
              </w:rPr>
            </w:pPr>
            <w:r>
              <w:rPr>
                <w:b/>
              </w:rPr>
              <w:t>原料名称</w:t>
            </w:r>
          </w:p>
        </w:tc>
        <w:tc>
          <w:tcPr>
            <w:tcW w:w="780" w:type="pct"/>
            <w:gridSpan w:val="2"/>
            <w:vAlign w:val="center"/>
          </w:tcPr>
          <w:p w:rsidR="00EE56C0" w:rsidRDefault="000F36A1">
            <w:pPr>
              <w:pStyle w:val="afa"/>
              <w:rPr>
                <w:b/>
              </w:rPr>
            </w:pPr>
            <w:r>
              <w:rPr>
                <w:b/>
              </w:rPr>
              <w:t>规格</w:t>
            </w:r>
          </w:p>
        </w:tc>
        <w:tc>
          <w:tcPr>
            <w:tcW w:w="794" w:type="pct"/>
            <w:gridSpan w:val="4"/>
            <w:vAlign w:val="center"/>
          </w:tcPr>
          <w:p w:rsidR="00EE56C0" w:rsidRDefault="000F36A1">
            <w:pPr>
              <w:pStyle w:val="afa"/>
              <w:rPr>
                <w:b/>
              </w:rPr>
            </w:pPr>
            <w:r>
              <w:rPr>
                <w:rFonts w:hint="eastAsia"/>
                <w:b/>
              </w:rPr>
              <w:t>年</w:t>
            </w:r>
            <w:r>
              <w:rPr>
                <w:b/>
              </w:rPr>
              <w:t>用量</w:t>
            </w:r>
            <w:r>
              <w:rPr>
                <w:rFonts w:hint="eastAsia"/>
                <w:b/>
              </w:rPr>
              <w:t>/</w:t>
            </w:r>
            <w:r>
              <w:rPr>
                <w:b/>
              </w:rPr>
              <w:t>t</w:t>
            </w:r>
          </w:p>
        </w:tc>
        <w:tc>
          <w:tcPr>
            <w:tcW w:w="1939" w:type="pct"/>
            <w:vAlign w:val="center"/>
          </w:tcPr>
          <w:p w:rsidR="00EE56C0" w:rsidRDefault="000F36A1">
            <w:pPr>
              <w:pStyle w:val="afa"/>
              <w:rPr>
                <w:b/>
              </w:rPr>
            </w:pPr>
            <w:r>
              <w:rPr>
                <w:b/>
              </w:rPr>
              <w:t>备注</w:t>
            </w:r>
          </w:p>
        </w:tc>
      </w:tr>
      <w:tr w:rsidR="00EE56C0">
        <w:trPr>
          <w:trHeight w:val="397"/>
          <w:jc w:val="center"/>
        </w:trPr>
        <w:tc>
          <w:tcPr>
            <w:tcW w:w="5000" w:type="pct"/>
            <w:gridSpan w:val="13"/>
            <w:vAlign w:val="center"/>
          </w:tcPr>
          <w:p w:rsidR="00EE56C0" w:rsidRDefault="000F36A1">
            <w:pPr>
              <w:pStyle w:val="afa"/>
              <w:rPr>
                <w:b/>
              </w:rPr>
            </w:pPr>
            <w:r>
              <w:rPr>
                <w:rFonts w:hint="eastAsia"/>
                <w:b/>
              </w:rPr>
              <w:t>本次一期新增</w:t>
            </w:r>
          </w:p>
        </w:tc>
      </w:tr>
      <w:tr w:rsidR="00EE56C0">
        <w:trPr>
          <w:trHeight w:val="397"/>
          <w:jc w:val="center"/>
        </w:trPr>
        <w:tc>
          <w:tcPr>
            <w:tcW w:w="470" w:type="pct"/>
            <w:vMerge w:val="restart"/>
            <w:vAlign w:val="center"/>
          </w:tcPr>
          <w:p w:rsidR="00EE56C0" w:rsidRDefault="000F36A1">
            <w:pPr>
              <w:pStyle w:val="afa"/>
            </w:pPr>
            <w:r>
              <w:t>原辅料</w:t>
            </w:r>
          </w:p>
        </w:tc>
        <w:tc>
          <w:tcPr>
            <w:tcW w:w="1006" w:type="pct"/>
            <w:gridSpan w:val="4"/>
            <w:vAlign w:val="center"/>
          </w:tcPr>
          <w:p w:rsidR="00EE56C0" w:rsidRDefault="000F36A1">
            <w:pPr>
              <w:pStyle w:val="afa"/>
            </w:pPr>
            <w:r>
              <w:t>铜杆</w:t>
            </w:r>
          </w:p>
        </w:tc>
        <w:tc>
          <w:tcPr>
            <w:tcW w:w="665" w:type="pct"/>
            <w:gridSpan w:val="2"/>
            <w:vAlign w:val="center"/>
          </w:tcPr>
          <w:p w:rsidR="00EE56C0" w:rsidRDefault="000F36A1">
            <w:pPr>
              <w:pStyle w:val="afa"/>
            </w:pPr>
            <w:r>
              <w:t>2t/</w:t>
            </w:r>
            <w:r>
              <w:t>盘</w:t>
            </w:r>
          </w:p>
        </w:tc>
        <w:tc>
          <w:tcPr>
            <w:tcW w:w="920" w:type="pct"/>
            <w:gridSpan w:val="5"/>
            <w:vAlign w:val="center"/>
          </w:tcPr>
          <w:p w:rsidR="00EE56C0" w:rsidRDefault="000F36A1">
            <w:pPr>
              <w:pStyle w:val="afa"/>
            </w:pPr>
            <w:r>
              <w:rPr>
                <w:rFonts w:hint="eastAsia"/>
              </w:rPr>
              <w:t>10180</w:t>
            </w:r>
          </w:p>
        </w:tc>
        <w:tc>
          <w:tcPr>
            <w:tcW w:w="1939" w:type="pct"/>
            <w:vAlign w:val="center"/>
          </w:tcPr>
          <w:p w:rsidR="00EE56C0" w:rsidRDefault="000F36A1">
            <w:pPr>
              <w:pStyle w:val="afa"/>
            </w:pPr>
            <w:r>
              <w:t>外购</w:t>
            </w:r>
          </w:p>
        </w:tc>
      </w:tr>
      <w:tr w:rsidR="00EE56C0">
        <w:trPr>
          <w:trHeight w:val="397"/>
          <w:jc w:val="center"/>
        </w:trPr>
        <w:tc>
          <w:tcPr>
            <w:tcW w:w="470" w:type="pct"/>
            <w:vMerge/>
            <w:vAlign w:val="center"/>
          </w:tcPr>
          <w:p w:rsidR="00EE56C0" w:rsidRDefault="00EE56C0">
            <w:pPr>
              <w:pStyle w:val="afa"/>
            </w:pPr>
          </w:p>
        </w:tc>
        <w:tc>
          <w:tcPr>
            <w:tcW w:w="422" w:type="pct"/>
            <w:vMerge w:val="restart"/>
            <w:vAlign w:val="center"/>
          </w:tcPr>
          <w:p w:rsidR="00EE56C0" w:rsidRPr="00085BB7" w:rsidRDefault="000F36A1">
            <w:pPr>
              <w:pStyle w:val="afa"/>
              <w:rPr>
                <w:b/>
                <w:u w:val="single"/>
              </w:rPr>
            </w:pPr>
            <w:r w:rsidRPr="00085BB7">
              <w:rPr>
                <w:rFonts w:hint="eastAsia"/>
                <w:b/>
                <w:u w:val="single"/>
              </w:rPr>
              <w:t>高温绝缘漆</w:t>
            </w:r>
          </w:p>
        </w:tc>
        <w:tc>
          <w:tcPr>
            <w:tcW w:w="583" w:type="pct"/>
            <w:gridSpan w:val="3"/>
            <w:vAlign w:val="center"/>
          </w:tcPr>
          <w:p w:rsidR="00EE56C0" w:rsidRPr="00085BB7" w:rsidRDefault="000F36A1">
            <w:pPr>
              <w:pStyle w:val="afa"/>
              <w:rPr>
                <w:b/>
                <w:u w:val="single"/>
              </w:rPr>
            </w:pPr>
            <w:r w:rsidRPr="00085BB7">
              <w:rPr>
                <w:rFonts w:hint="eastAsia"/>
                <w:b/>
                <w:u w:val="single"/>
              </w:rPr>
              <w:t>聚酯漆</w:t>
            </w:r>
          </w:p>
        </w:tc>
        <w:tc>
          <w:tcPr>
            <w:tcW w:w="665" w:type="pct"/>
            <w:gridSpan w:val="2"/>
            <w:vAlign w:val="center"/>
          </w:tcPr>
          <w:p w:rsidR="00EE56C0" w:rsidRPr="00085BB7" w:rsidRDefault="000F36A1">
            <w:pPr>
              <w:pStyle w:val="afa"/>
              <w:rPr>
                <w:b/>
                <w:u w:val="single"/>
              </w:rPr>
            </w:pPr>
            <w:r w:rsidRPr="00085BB7">
              <w:rPr>
                <w:b/>
                <w:u w:val="single"/>
              </w:rPr>
              <w:t>1t/</w:t>
            </w:r>
            <w:r w:rsidRPr="00085BB7">
              <w:rPr>
                <w:b/>
                <w:u w:val="single"/>
              </w:rPr>
              <w:t>桶</w:t>
            </w:r>
          </w:p>
        </w:tc>
        <w:tc>
          <w:tcPr>
            <w:tcW w:w="583" w:type="pct"/>
            <w:gridSpan w:val="3"/>
            <w:vAlign w:val="center"/>
          </w:tcPr>
          <w:p w:rsidR="00EE56C0" w:rsidRPr="00085BB7" w:rsidRDefault="00085BB7">
            <w:pPr>
              <w:pStyle w:val="afa"/>
              <w:rPr>
                <w:b/>
                <w:u w:val="single"/>
              </w:rPr>
            </w:pPr>
            <w:r w:rsidRPr="00085BB7">
              <w:rPr>
                <w:rFonts w:hint="eastAsia"/>
                <w:b/>
                <w:u w:val="single"/>
              </w:rPr>
              <w:t>289</w:t>
            </w:r>
          </w:p>
        </w:tc>
        <w:tc>
          <w:tcPr>
            <w:tcW w:w="337" w:type="pct"/>
            <w:gridSpan w:val="2"/>
            <w:vMerge w:val="restart"/>
            <w:vAlign w:val="center"/>
          </w:tcPr>
          <w:p w:rsidR="00EE56C0" w:rsidRPr="00085BB7" w:rsidRDefault="00085BB7">
            <w:pPr>
              <w:pStyle w:val="afa"/>
              <w:rPr>
                <w:b/>
                <w:u w:val="single"/>
              </w:rPr>
            </w:pPr>
            <w:r w:rsidRPr="00085BB7">
              <w:rPr>
                <w:rFonts w:hint="eastAsia"/>
                <w:b/>
                <w:u w:val="single"/>
              </w:rPr>
              <w:t>385</w:t>
            </w:r>
          </w:p>
        </w:tc>
        <w:tc>
          <w:tcPr>
            <w:tcW w:w="1939" w:type="pct"/>
            <w:vAlign w:val="center"/>
          </w:tcPr>
          <w:p w:rsidR="00EE56C0" w:rsidRPr="00085BB7" w:rsidRDefault="000F36A1">
            <w:pPr>
              <w:pStyle w:val="afa"/>
              <w:rPr>
                <w:b/>
                <w:u w:val="single"/>
              </w:rPr>
            </w:pPr>
            <w:r w:rsidRPr="00085BB7">
              <w:rPr>
                <w:b/>
                <w:u w:val="single"/>
              </w:rPr>
              <w:t>聚酯树脂</w:t>
            </w:r>
            <w:r w:rsidRPr="00085BB7">
              <w:rPr>
                <w:rFonts w:hint="eastAsia"/>
                <w:b/>
                <w:u w:val="single"/>
              </w:rPr>
              <w:t>44%</w:t>
            </w:r>
            <w:r w:rsidRPr="00085BB7">
              <w:rPr>
                <w:rFonts w:hint="eastAsia"/>
                <w:b/>
                <w:u w:val="single"/>
              </w:rPr>
              <w:t>、甲酚</w:t>
            </w:r>
            <w:r w:rsidRPr="00085BB7">
              <w:rPr>
                <w:rFonts w:hint="eastAsia"/>
                <w:b/>
                <w:u w:val="single"/>
              </w:rPr>
              <w:t>20~50%</w:t>
            </w:r>
            <w:r w:rsidRPr="00085BB7">
              <w:rPr>
                <w:rFonts w:hint="eastAsia"/>
                <w:b/>
                <w:u w:val="single"/>
              </w:rPr>
              <w:t>、芳烃溶剂油</w:t>
            </w:r>
            <w:r w:rsidRPr="00085BB7">
              <w:rPr>
                <w:rFonts w:hint="eastAsia"/>
                <w:b/>
                <w:u w:val="single"/>
              </w:rPr>
              <w:t>10~20%</w:t>
            </w:r>
          </w:p>
        </w:tc>
      </w:tr>
      <w:tr w:rsidR="00EE56C0">
        <w:trPr>
          <w:trHeight w:val="397"/>
          <w:jc w:val="center"/>
        </w:trPr>
        <w:tc>
          <w:tcPr>
            <w:tcW w:w="470" w:type="pct"/>
            <w:vMerge/>
            <w:vAlign w:val="center"/>
          </w:tcPr>
          <w:p w:rsidR="00EE56C0" w:rsidRDefault="00EE56C0">
            <w:pPr>
              <w:pStyle w:val="afa"/>
            </w:pPr>
          </w:p>
        </w:tc>
        <w:tc>
          <w:tcPr>
            <w:tcW w:w="422" w:type="pct"/>
            <w:vMerge/>
            <w:vAlign w:val="center"/>
          </w:tcPr>
          <w:p w:rsidR="00EE56C0" w:rsidRPr="00085BB7" w:rsidRDefault="00EE56C0">
            <w:pPr>
              <w:pStyle w:val="afa"/>
              <w:rPr>
                <w:b/>
                <w:u w:val="single"/>
              </w:rPr>
            </w:pPr>
          </w:p>
        </w:tc>
        <w:tc>
          <w:tcPr>
            <w:tcW w:w="583" w:type="pct"/>
            <w:gridSpan w:val="3"/>
            <w:vAlign w:val="center"/>
          </w:tcPr>
          <w:p w:rsidR="00EE56C0" w:rsidRPr="00085BB7" w:rsidRDefault="000F36A1">
            <w:pPr>
              <w:pStyle w:val="afa"/>
              <w:rPr>
                <w:b/>
                <w:u w:val="single"/>
              </w:rPr>
            </w:pPr>
            <w:r w:rsidRPr="00085BB7">
              <w:rPr>
                <w:rFonts w:hint="eastAsia"/>
                <w:b/>
                <w:u w:val="single"/>
              </w:rPr>
              <w:t>聚酰胺</w:t>
            </w:r>
            <w:r w:rsidRPr="00085BB7">
              <w:rPr>
                <w:rFonts w:hint="eastAsia"/>
                <w:b/>
                <w:u w:val="single"/>
              </w:rPr>
              <w:lastRenderedPageBreak/>
              <w:t>酰亚胺漆</w:t>
            </w:r>
          </w:p>
        </w:tc>
        <w:tc>
          <w:tcPr>
            <w:tcW w:w="665" w:type="pct"/>
            <w:gridSpan w:val="2"/>
            <w:vAlign w:val="center"/>
          </w:tcPr>
          <w:p w:rsidR="00EE56C0" w:rsidRPr="00085BB7" w:rsidRDefault="000F36A1">
            <w:pPr>
              <w:pStyle w:val="afa"/>
              <w:rPr>
                <w:b/>
                <w:u w:val="single"/>
              </w:rPr>
            </w:pPr>
            <w:r w:rsidRPr="00085BB7">
              <w:rPr>
                <w:b/>
                <w:u w:val="single"/>
              </w:rPr>
              <w:lastRenderedPageBreak/>
              <w:t>1t/</w:t>
            </w:r>
            <w:r w:rsidRPr="00085BB7">
              <w:rPr>
                <w:b/>
                <w:u w:val="single"/>
              </w:rPr>
              <w:t>桶</w:t>
            </w:r>
          </w:p>
        </w:tc>
        <w:tc>
          <w:tcPr>
            <w:tcW w:w="583" w:type="pct"/>
            <w:gridSpan w:val="3"/>
            <w:vAlign w:val="center"/>
          </w:tcPr>
          <w:p w:rsidR="00EE56C0" w:rsidRPr="00085BB7" w:rsidRDefault="00085BB7">
            <w:pPr>
              <w:pStyle w:val="afa"/>
              <w:rPr>
                <w:b/>
                <w:u w:val="single"/>
              </w:rPr>
            </w:pPr>
            <w:r w:rsidRPr="00085BB7">
              <w:rPr>
                <w:rFonts w:hint="eastAsia"/>
                <w:b/>
                <w:u w:val="single"/>
              </w:rPr>
              <w:t>96</w:t>
            </w:r>
          </w:p>
        </w:tc>
        <w:tc>
          <w:tcPr>
            <w:tcW w:w="337" w:type="pct"/>
            <w:gridSpan w:val="2"/>
            <w:vMerge/>
            <w:vAlign w:val="center"/>
          </w:tcPr>
          <w:p w:rsidR="00EE56C0" w:rsidRPr="00085BB7" w:rsidRDefault="00EE56C0">
            <w:pPr>
              <w:pStyle w:val="afa"/>
              <w:rPr>
                <w:b/>
                <w:u w:val="single"/>
              </w:rPr>
            </w:pPr>
          </w:p>
        </w:tc>
        <w:tc>
          <w:tcPr>
            <w:tcW w:w="1939" w:type="pct"/>
            <w:vAlign w:val="center"/>
          </w:tcPr>
          <w:p w:rsidR="00EE56C0" w:rsidRPr="00085BB7" w:rsidRDefault="000F36A1">
            <w:pPr>
              <w:pStyle w:val="afa"/>
              <w:rPr>
                <w:b/>
                <w:u w:val="single"/>
              </w:rPr>
            </w:pPr>
            <w:r w:rsidRPr="00085BB7">
              <w:rPr>
                <w:rFonts w:hint="eastAsia"/>
                <w:b/>
                <w:u w:val="single"/>
              </w:rPr>
              <w:t>聚酰胺酰亚胺树脂（</w:t>
            </w:r>
            <w:r w:rsidRPr="00085BB7">
              <w:rPr>
                <w:rFonts w:hint="eastAsia"/>
                <w:b/>
                <w:u w:val="single"/>
              </w:rPr>
              <w:t>20~40%</w:t>
            </w:r>
            <w:r w:rsidRPr="00085BB7">
              <w:rPr>
                <w:rFonts w:hint="eastAsia"/>
                <w:b/>
                <w:u w:val="single"/>
              </w:rPr>
              <w:t>）、</w:t>
            </w:r>
            <w:r w:rsidR="007B2328" w:rsidRPr="007B2328">
              <w:rPr>
                <w:rFonts w:hint="eastAsia"/>
                <w:b/>
                <w:u w:val="single"/>
              </w:rPr>
              <w:lastRenderedPageBreak/>
              <w:t>NMP</w:t>
            </w:r>
            <w:r w:rsidR="007B2328" w:rsidRPr="007B2328">
              <w:rPr>
                <w:rFonts w:hint="eastAsia"/>
                <w:b/>
                <w:u w:val="single"/>
              </w:rPr>
              <w:t>、</w:t>
            </w:r>
            <w:r w:rsidR="007B2328" w:rsidRPr="007B2328">
              <w:rPr>
                <w:rFonts w:hint="eastAsia"/>
                <w:b/>
                <w:u w:val="single"/>
              </w:rPr>
              <w:t>N,N-</w:t>
            </w:r>
            <w:r w:rsidR="007B2328" w:rsidRPr="007B2328">
              <w:rPr>
                <w:rFonts w:hint="eastAsia"/>
                <w:b/>
                <w:u w:val="single"/>
              </w:rPr>
              <w:t>二甲基乙酰胺、</w:t>
            </w:r>
            <w:r w:rsidR="007B2328" w:rsidRPr="007B2328">
              <w:rPr>
                <w:rFonts w:hint="eastAsia"/>
                <w:b/>
                <w:u w:val="single"/>
              </w:rPr>
              <w:t>N,N-</w:t>
            </w:r>
            <w:r w:rsidR="007B2328" w:rsidRPr="007B2328">
              <w:rPr>
                <w:rFonts w:hint="eastAsia"/>
                <w:b/>
                <w:u w:val="single"/>
              </w:rPr>
              <w:t>二甲基甲酰胺</w:t>
            </w:r>
            <w:r w:rsidRPr="00085BB7">
              <w:rPr>
                <w:rFonts w:hint="eastAsia"/>
                <w:b/>
                <w:u w:val="single"/>
              </w:rPr>
              <w:t>20~70%</w:t>
            </w:r>
            <w:r w:rsidRPr="00085BB7">
              <w:rPr>
                <w:rFonts w:hint="eastAsia"/>
                <w:b/>
                <w:u w:val="single"/>
              </w:rPr>
              <w:t>、二甲苯</w:t>
            </w:r>
            <w:r w:rsidRPr="00085BB7">
              <w:rPr>
                <w:rFonts w:hint="eastAsia"/>
                <w:b/>
                <w:u w:val="single"/>
              </w:rPr>
              <w:t>0~15%</w:t>
            </w:r>
          </w:p>
        </w:tc>
      </w:tr>
      <w:tr w:rsidR="00EE56C0">
        <w:trPr>
          <w:trHeight w:val="397"/>
          <w:jc w:val="center"/>
        </w:trPr>
        <w:tc>
          <w:tcPr>
            <w:tcW w:w="470" w:type="pct"/>
            <w:vMerge/>
            <w:vAlign w:val="center"/>
          </w:tcPr>
          <w:p w:rsidR="00EE56C0" w:rsidRDefault="00EE56C0">
            <w:pPr>
              <w:pStyle w:val="afa"/>
            </w:pPr>
          </w:p>
        </w:tc>
        <w:tc>
          <w:tcPr>
            <w:tcW w:w="1006" w:type="pct"/>
            <w:gridSpan w:val="4"/>
            <w:vAlign w:val="center"/>
          </w:tcPr>
          <w:p w:rsidR="00EE56C0" w:rsidRDefault="000F36A1">
            <w:pPr>
              <w:pStyle w:val="afa"/>
            </w:pPr>
            <w:r>
              <w:rPr>
                <w:rFonts w:hint="eastAsia"/>
              </w:rPr>
              <w:t>R-1449-G</w:t>
            </w:r>
            <w:r>
              <w:rPr>
                <w:rFonts w:hint="eastAsia"/>
              </w:rPr>
              <w:t>漆：玻璃丝包专用漆</w:t>
            </w:r>
          </w:p>
        </w:tc>
        <w:tc>
          <w:tcPr>
            <w:tcW w:w="665" w:type="pct"/>
            <w:gridSpan w:val="2"/>
            <w:vAlign w:val="center"/>
          </w:tcPr>
          <w:p w:rsidR="00EE56C0" w:rsidRDefault="000F36A1">
            <w:pPr>
              <w:pStyle w:val="afa"/>
            </w:pPr>
            <w:r>
              <w:rPr>
                <w:rFonts w:hint="eastAsia"/>
              </w:rPr>
              <w:t>25kg/</w:t>
            </w:r>
            <w:r>
              <w:rPr>
                <w:rFonts w:hint="eastAsia"/>
              </w:rPr>
              <w:t>桶</w:t>
            </w:r>
          </w:p>
        </w:tc>
        <w:tc>
          <w:tcPr>
            <w:tcW w:w="920" w:type="pct"/>
            <w:gridSpan w:val="5"/>
            <w:vAlign w:val="center"/>
          </w:tcPr>
          <w:p w:rsidR="00EE56C0" w:rsidRDefault="000F36A1">
            <w:pPr>
              <w:pStyle w:val="afa"/>
            </w:pPr>
            <w:r>
              <w:rPr>
                <w:rFonts w:hint="eastAsia"/>
              </w:rPr>
              <w:t>74.1</w:t>
            </w:r>
          </w:p>
        </w:tc>
        <w:tc>
          <w:tcPr>
            <w:tcW w:w="1939" w:type="pct"/>
            <w:vAlign w:val="center"/>
          </w:tcPr>
          <w:p w:rsidR="00EE56C0" w:rsidRDefault="000F36A1">
            <w:pPr>
              <w:pStyle w:val="afa"/>
            </w:pPr>
            <w:r>
              <w:rPr>
                <w:rFonts w:hint="eastAsia"/>
              </w:rPr>
              <w:t>环氧改性聚酯树脂</w:t>
            </w:r>
            <w:r>
              <w:rPr>
                <w:rFonts w:hint="eastAsia"/>
              </w:rPr>
              <w:t>60~65</w:t>
            </w:r>
            <w:r>
              <w:t>%</w:t>
            </w:r>
            <w:r>
              <w:rPr>
                <w:rFonts w:hint="eastAsia"/>
              </w:rPr>
              <w:t>，甲苯</w:t>
            </w:r>
            <w:r>
              <w:rPr>
                <w:rFonts w:hint="eastAsia"/>
              </w:rPr>
              <w:t>10~</w:t>
            </w:r>
            <w:r>
              <w:t>15%</w:t>
            </w:r>
            <w:r>
              <w:rPr>
                <w:rFonts w:hint="eastAsia"/>
              </w:rPr>
              <w:t>，二甲苯</w:t>
            </w:r>
            <w:r>
              <w:rPr>
                <w:rFonts w:hint="eastAsia"/>
              </w:rPr>
              <w:t>10~</w:t>
            </w:r>
            <w:r>
              <w:t>15%</w:t>
            </w:r>
            <w:r>
              <w:rPr>
                <w:rFonts w:hint="eastAsia"/>
              </w:rPr>
              <w:t>，丁醇</w:t>
            </w:r>
            <w:r>
              <w:rPr>
                <w:rFonts w:ascii="宋体" w:hAnsi="宋体" w:hint="eastAsia"/>
              </w:rPr>
              <w:t>＜</w:t>
            </w:r>
            <w:r>
              <w:rPr>
                <w:rFonts w:hint="eastAsia"/>
              </w:rPr>
              <w:t>5%</w:t>
            </w:r>
            <w:r>
              <w:rPr>
                <w:rFonts w:hint="eastAsia"/>
              </w:rPr>
              <w:t>，助剂（含苯）</w:t>
            </w:r>
            <w:r>
              <w:rPr>
                <w:rFonts w:ascii="宋体" w:hAnsi="宋体" w:hint="eastAsia"/>
              </w:rPr>
              <w:t>＜</w:t>
            </w:r>
            <w:r>
              <w:rPr>
                <w:rFonts w:hint="eastAsia"/>
              </w:rPr>
              <w:t>5%</w:t>
            </w:r>
          </w:p>
        </w:tc>
      </w:tr>
      <w:tr w:rsidR="00EE56C0">
        <w:trPr>
          <w:trHeight w:val="397"/>
          <w:jc w:val="center"/>
        </w:trPr>
        <w:tc>
          <w:tcPr>
            <w:tcW w:w="470" w:type="pct"/>
            <w:vMerge/>
            <w:vAlign w:val="center"/>
          </w:tcPr>
          <w:p w:rsidR="00EE56C0" w:rsidRDefault="00EE56C0">
            <w:pPr>
              <w:pStyle w:val="afa"/>
            </w:pPr>
          </w:p>
        </w:tc>
        <w:tc>
          <w:tcPr>
            <w:tcW w:w="1006" w:type="pct"/>
            <w:gridSpan w:val="4"/>
            <w:vAlign w:val="center"/>
          </w:tcPr>
          <w:p w:rsidR="00EE56C0" w:rsidRDefault="000F36A1">
            <w:pPr>
              <w:pStyle w:val="afa"/>
            </w:pPr>
            <w:r>
              <w:rPr>
                <w:rFonts w:hint="eastAsia"/>
              </w:rPr>
              <w:t>纸</w:t>
            </w:r>
          </w:p>
        </w:tc>
        <w:tc>
          <w:tcPr>
            <w:tcW w:w="665" w:type="pct"/>
            <w:gridSpan w:val="2"/>
            <w:vAlign w:val="center"/>
          </w:tcPr>
          <w:p w:rsidR="00EE56C0" w:rsidRDefault="000F36A1">
            <w:pPr>
              <w:pStyle w:val="afa"/>
            </w:pPr>
            <w:r>
              <w:rPr>
                <w:rFonts w:hint="eastAsia"/>
              </w:rPr>
              <w:t>/</w:t>
            </w:r>
          </w:p>
        </w:tc>
        <w:tc>
          <w:tcPr>
            <w:tcW w:w="920" w:type="pct"/>
            <w:gridSpan w:val="5"/>
            <w:vAlign w:val="center"/>
          </w:tcPr>
          <w:p w:rsidR="00EE56C0" w:rsidRDefault="000F36A1">
            <w:pPr>
              <w:pStyle w:val="afa"/>
            </w:pPr>
            <w:r>
              <w:rPr>
                <w:rFonts w:hint="eastAsia"/>
              </w:rPr>
              <w:t>43.2</w:t>
            </w:r>
          </w:p>
        </w:tc>
        <w:tc>
          <w:tcPr>
            <w:tcW w:w="1939" w:type="pct"/>
            <w:vAlign w:val="center"/>
          </w:tcPr>
          <w:p w:rsidR="00EE56C0" w:rsidRDefault="000F36A1">
            <w:pPr>
              <w:pStyle w:val="afa"/>
            </w:pPr>
            <w:r>
              <w:rPr>
                <w:rFonts w:hint="eastAsia"/>
              </w:rPr>
              <w:t>/</w:t>
            </w:r>
          </w:p>
        </w:tc>
      </w:tr>
      <w:tr w:rsidR="00EE56C0">
        <w:trPr>
          <w:trHeight w:val="397"/>
          <w:jc w:val="center"/>
        </w:trPr>
        <w:tc>
          <w:tcPr>
            <w:tcW w:w="470" w:type="pct"/>
            <w:vMerge/>
            <w:vAlign w:val="center"/>
          </w:tcPr>
          <w:p w:rsidR="00EE56C0" w:rsidRDefault="00EE56C0">
            <w:pPr>
              <w:pStyle w:val="afa"/>
            </w:pPr>
          </w:p>
        </w:tc>
        <w:tc>
          <w:tcPr>
            <w:tcW w:w="1006" w:type="pct"/>
            <w:gridSpan w:val="4"/>
            <w:vAlign w:val="center"/>
          </w:tcPr>
          <w:p w:rsidR="00EE56C0" w:rsidRDefault="000F36A1">
            <w:pPr>
              <w:pStyle w:val="afa"/>
            </w:pPr>
            <w:r>
              <w:rPr>
                <w:rFonts w:hint="eastAsia"/>
              </w:rPr>
              <w:t>玻璃纱</w:t>
            </w:r>
          </w:p>
        </w:tc>
        <w:tc>
          <w:tcPr>
            <w:tcW w:w="665" w:type="pct"/>
            <w:gridSpan w:val="2"/>
            <w:vAlign w:val="center"/>
          </w:tcPr>
          <w:p w:rsidR="00EE56C0" w:rsidRDefault="000F36A1">
            <w:pPr>
              <w:pStyle w:val="afa"/>
            </w:pPr>
            <w:r>
              <w:rPr>
                <w:rFonts w:hint="eastAsia"/>
              </w:rPr>
              <w:t>/</w:t>
            </w:r>
          </w:p>
        </w:tc>
        <w:tc>
          <w:tcPr>
            <w:tcW w:w="920" w:type="pct"/>
            <w:gridSpan w:val="5"/>
            <w:vAlign w:val="center"/>
          </w:tcPr>
          <w:p w:rsidR="00EE56C0" w:rsidRDefault="000F36A1">
            <w:pPr>
              <w:pStyle w:val="afa"/>
            </w:pPr>
            <w:r>
              <w:rPr>
                <w:rFonts w:hint="eastAsia"/>
              </w:rPr>
              <w:t>24</w:t>
            </w:r>
          </w:p>
        </w:tc>
        <w:tc>
          <w:tcPr>
            <w:tcW w:w="1939" w:type="pct"/>
            <w:vAlign w:val="center"/>
          </w:tcPr>
          <w:p w:rsidR="00EE56C0" w:rsidRDefault="000F36A1">
            <w:pPr>
              <w:pStyle w:val="afa"/>
            </w:pPr>
            <w:r>
              <w:t>粘纤</w:t>
            </w:r>
            <w:r>
              <w:rPr>
                <w:rFonts w:hint="eastAsia"/>
              </w:rPr>
              <w:t>：</w:t>
            </w:r>
            <w:r>
              <w:t>93.1%</w:t>
            </w:r>
            <w:r>
              <w:rPr>
                <w:rFonts w:hint="eastAsia"/>
              </w:rPr>
              <w:t>、</w:t>
            </w:r>
            <w:r>
              <w:t>氨纶</w:t>
            </w:r>
            <w:r>
              <w:rPr>
                <w:rFonts w:hint="eastAsia"/>
              </w:rPr>
              <w:t>：</w:t>
            </w:r>
            <w:r>
              <w:t>6.9%</w:t>
            </w:r>
          </w:p>
        </w:tc>
      </w:tr>
      <w:tr w:rsidR="00EE56C0">
        <w:trPr>
          <w:trHeight w:val="397"/>
          <w:jc w:val="center"/>
        </w:trPr>
        <w:tc>
          <w:tcPr>
            <w:tcW w:w="470" w:type="pct"/>
            <w:vMerge/>
            <w:vAlign w:val="center"/>
          </w:tcPr>
          <w:p w:rsidR="00EE56C0" w:rsidRDefault="00EE56C0">
            <w:pPr>
              <w:pStyle w:val="afa"/>
            </w:pPr>
          </w:p>
        </w:tc>
        <w:tc>
          <w:tcPr>
            <w:tcW w:w="1006" w:type="pct"/>
            <w:gridSpan w:val="4"/>
            <w:vAlign w:val="center"/>
          </w:tcPr>
          <w:p w:rsidR="00EE56C0" w:rsidRDefault="000F36A1">
            <w:pPr>
              <w:pStyle w:val="afa"/>
            </w:pPr>
            <w:r>
              <w:t>聚酰亚胺</w:t>
            </w:r>
            <w:r>
              <w:rPr>
                <w:rFonts w:hint="eastAsia"/>
              </w:rPr>
              <w:t>薄膜</w:t>
            </w:r>
          </w:p>
        </w:tc>
        <w:tc>
          <w:tcPr>
            <w:tcW w:w="665" w:type="pct"/>
            <w:gridSpan w:val="2"/>
            <w:vAlign w:val="center"/>
          </w:tcPr>
          <w:p w:rsidR="00EE56C0" w:rsidRDefault="000F36A1">
            <w:pPr>
              <w:pStyle w:val="afa"/>
            </w:pPr>
            <w:r>
              <w:rPr>
                <w:rFonts w:hint="eastAsia"/>
              </w:rPr>
              <w:t>/</w:t>
            </w:r>
          </w:p>
        </w:tc>
        <w:tc>
          <w:tcPr>
            <w:tcW w:w="920" w:type="pct"/>
            <w:gridSpan w:val="5"/>
            <w:vAlign w:val="center"/>
          </w:tcPr>
          <w:p w:rsidR="00EE56C0" w:rsidRDefault="000F36A1">
            <w:pPr>
              <w:pStyle w:val="afa"/>
            </w:pPr>
            <w:r>
              <w:rPr>
                <w:rFonts w:hint="eastAsia"/>
              </w:rPr>
              <w:t>9.6</w:t>
            </w:r>
          </w:p>
        </w:tc>
        <w:tc>
          <w:tcPr>
            <w:tcW w:w="1939" w:type="pct"/>
            <w:vAlign w:val="center"/>
          </w:tcPr>
          <w:p w:rsidR="00EE56C0" w:rsidRDefault="007B2328">
            <w:pPr>
              <w:pStyle w:val="afa"/>
            </w:pPr>
            <w:r>
              <w:rPr>
                <w:rFonts w:hint="eastAsia"/>
              </w:rPr>
              <w:t>/</w:t>
            </w:r>
          </w:p>
        </w:tc>
      </w:tr>
      <w:tr w:rsidR="00EE56C0">
        <w:trPr>
          <w:trHeight w:val="814"/>
          <w:jc w:val="center"/>
        </w:trPr>
        <w:tc>
          <w:tcPr>
            <w:tcW w:w="470" w:type="pct"/>
            <w:vMerge/>
            <w:vAlign w:val="center"/>
          </w:tcPr>
          <w:p w:rsidR="00EE56C0" w:rsidRDefault="00EE56C0">
            <w:pPr>
              <w:pStyle w:val="afa"/>
            </w:pPr>
          </w:p>
        </w:tc>
        <w:tc>
          <w:tcPr>
            <w:tcW w:w="1006" w:type="pct"/>
            <w:gridSpan w:val="4"/>
            <w:vAlign w:val="center"/>
          </w:tcPr>
          <w:p w:rsidR="00EE56C0" w:rsidRDefault="000F36A1">
            <w:pPr>
              <w:pStyle w:val="afa"/>
            </w:pPr>
            <w:r>
              <w:t>拉丝油</w:t>
            </w:r>
          </w:p>
        </w:tc>
        <w:tc>
          <w:tcPr>
            <w:tcW w:w="665" w:type="pct"/>
            <w:gridSpan w:val="2"/>
            <w:vAlign w:val="center"/>
          </w:tcPr>
          <w:p w:rsidR="00EE56C0" w:rsidRDefault="000F36A1">
            <w:pPr>
              <w:pStyle w:val="afa"/>
            </w:pPr>
            <w:r>
              <w:t>200kg/</w:t>
            </w:r>
            <w:r>
              <w:t>桶</w:t>
            </w:r>
          </w:p>
        </w:tc>
        <w:tc>
          <w:tcPr>
            <w:tcW w:w="920" w:type="pct"/>
            <w:gridSpan w:val="5"/>
            <w:vAlign w:val="center"/>
          </w:tcPr>
          <w:p w:rsidR="00EE56C0" w:rsidRDefault="000F36A1">
            <w:pPr>
              <w:pStyle w:val="afa"/>
            </w:pPr>
            <w:r>
              <w:rPr>
                <w:rFonts w:hint="eastAsia"/>
              </w:rPr>
              <w:t>2.5</w:t>
            </w:r>
          </w:p>
        </w:tc>
        <w:tc>
          <w:tcPr>
            <w:tcW w:w="1939" w:type="pct"/>
            <w:vAlign w:val="center"/>
          </w:tcPr>
          <w:p w:rsidR="00EE56C0" w:rsidRDefault="000F36A1">
            <w:pPr>
              <w:pStyle w:val="afa"/>
            </w:pPr>
            <w:r>
              <w:rPr>
                <w:rFonts w:hint="eastAsia"/>
              </w:rPr>
              <w:t>拉丝工序使</w:t>
            </w:r>
            <w:r>
              <w:t>用</w:t>
            </w:r>
          </w:p>
        </w:tc>
      </w:tr>
      <w:tr w:rsidR="00EE56C0">
        <w:trPr>
          <w:trHeight w:val="814"/>
          <w:jc w:val="center"/>
        </w:trPr>
        <w:tc>
          <w:tcPr>
            <w:tcW w:w="470" w:type="pct"/>
            <w:vMerge/>
            <w:vAlign w:val="center"/>
          </w:tcPr>
          <w:p w:rsidR="00EE56C0" w:rsidRDefault="00EE56C0">
            <w:pPr>
              <w:pStyle w:val="afa"/>
            </w:pPr>
          </w:p>
        </w:tc>
        <w:tc>
          <w:tcPr>
            <w:tcW w:w="1006" w:type="pct"/>
            <w:gridSpan w:val="4"/>
            <w:vAlign w:val="center"/>
          </w:tcPr>
          <w:p w:rsidR="00EE56C0" w:rsidRDefault="000F36A1">
            <w:pPr>
              <w:pStyle w:val="afa"/>
            </w:pPr>
            <w:r>
              <w:rPr>
                <w:rFonts w:hint="eastAsia"/>
              </w:rPr>
              <w:t>排线油</w:t>
            </w:r>
          </w:p>
        </w:tc>
        <w:tc>
          <w:tcPr>
            <w:tcW w:w="665" w:type="pct"/>
            <w:gridSpan w:val="2"/>
            <w:vAlign w:val="center"/>
          </w:tcPr>
          <w:p w:rsidR="00EE56C0" w:rsidRDefault="000F36A1">
            <w:pPr>
              <w:pStyle w:val="afa"/>
            </w:pPr>
            <w:r>
              <w:t>1t/</w:t>
            </w:r>
            <w:r>
              <w:t>桶</w:t>
            </w:r>
          </w:p>
        </w:tc>
        <w:tc>
          <w:tcPr>
            <w:tcW w:w="920" w:type="pct"/>
            <w:gridSpan w:val="5"/>
            <w:vAlign w:val="center"/>
          </w:tcPr>
          <w:p w:rsidR="00EE56C0" w:rsidRDefault="000F36A1">
            <w:pPr>
              <w:pStyle w:val="afa"/>
              <w:rPr>
                <w:highlight w:val="yellow"/>
              </w:rPr>
            </w:pPr>
            <w:r>
              <w:rPr>
                <w:rFonts w:hint="eastAsia"/>
              </w:rPr>
              <w:t>1.5</w:t>
            </w:r>
          </w:p>
        </w:tc>
        <w:tc>
          <w:tcPr>
            <w:tcW w:w="1939" w:type="pct"/>
            <w:vAlign w:val="center"/>
          </w:tcPr>
          <w:p w:rsidR="00EE56C0" w:rsidRDefault="000F36A1">
            <w:pPr>
              <w:pStyle w:val="afa"/>
            </w:pPr>
            <w:r>
              <w:rPr>
                <w:rFonts w:hint="eastAsia"/>
              </w:rPr>
              <w:t>上油</w:t>
            </w:r>
          </w:p>
        </w:tc>
      </w:tr>
      <w:tr w:rsidR="00EE56C0">
        <w:trPr>
          <w:trHeight w:val="397"/>
          <w:jc w:val="center"/>
        </w:trPr>
        <w:tc>
          <w:tcPr>
            <w:tcW w:w="470" w:type="pct"/>
            <w:vMerge w:val="restart"/>
            <w:vAlign w:val="center"/>
          </w:tcPr>
          <w:p w:rsidR="00EE56C0" w:rsidRDefault="000F36A1">
            <w:pPr>
              <w:pStyle w:val="afa"/>
            </w:pPr>
            <w:r>
              <w:rPr>
                <w:rFonts w:hint="eastAsia"/>
              </w:rPr>
              <w:t>资源</w:t>
            </w:r>
            <w:r>
              <w:t>能源</w:t>
            </w:r>
          </w:p>
        </w:tc>
        <w:tc>
          <w:tcPr>
            <w:tcW w:w="1006" w:type="pct"/>
            <w:gridSpan w:val="4"/>
            <w:vAlign w:val="center"/>
          </w:tcPr>
          <w:p w:rsidR="00EE56C0" w:rsidRDefault="000F36A1">
            <w:pPr>
              <w:pStyle w:val="afa"/>
            </w:pPr>
            <w:r>
              <w:rPr>
                <w:rFonts w:hint="eastAsia"/>
              </w:rPr>
              <w:t>水</w:t>
            </w:r>
          </w:p>
        </w:tc>
        <w:tc>
          <w:tcPr>
            <w:tcW w:w="665" w:type="pct"/>
            <w:gridSpan w:val="2"/>
            <w:vAlign w:val="center"/>
          </w:tcPr>
          <w:p w:rsidR="00EE56C0" w:rsidRDefault="00EE56C0">
            <w:pPr>
              <w:pStyle w:val="afa"/>
            </w:pPr>
          </w:p>
        </w:tc>
        <w:tc>
          <w:tcPr>
            <w:tcW w:w="920" w:type="pct"/>
            <w:gridSpan w:val="5"/>
            <w:vAlign w:val="center"/>
          </w:tcPr>
          <w:p w:rsidR="00EE56C0" w:rsidRDefault="000F36A1">
            <w:pPr>
              <w:pStyle w:val="afa"/>
            </w:pPr>
            <w:r>
              <w:rPr>
                <w:rFonts w:hint="eastAsia"/>
              </w:rPr>
              <w:t>882m</w:t>
            </w:r>
            <w:r>
              <w:rPr>
                <w:rFonts w:hint="eastAsia"/>
                <w:vertAlign w:val="superscript"/>
              </w:rPr>
              <w:t>3</w:t>
            </w:r>
          </w:p>
        </w:tc>
        <w:tc>
          <w:tcPr>
            <w:tcW w:w="1939" w:type="pct"/>
            <w:vAlign w:val="center"/>
          </w:tcPr>
          <w:p w:rsidR="00EE56C0" w:rsidRDefault="000F36A1">
            <w:pPr>
              <w:pStyle w:val="afa"/>
            </w:pPr>
            <w:r>
              <w:rPr>
                <w:rFonts w:hint="eastAsia"/>
              </w:rPr>
              <w:t>自备井</w:t>
            </w:r>
            <w:r>
              <w:t>提供</w:t>
            </w:r>
          </w:p>
        </w:tc>
      </w:tr>
      <w:tr w:rsidR="00EE56C0">
        <w:trPr>
          <w:trHeight w:val="397"/>
          <w:jc w:val="center"/>
        </w:trPr>
        <w:tc>
          <w:tcPr>
            <w:tcW w:w="470" w:type="pct"/>
            <w:vMerge/>
            <w:vAlign w:val="center"/>
          </w:tcPr>
          <w:p w:rsidR="00EE56C0" w:rsidRDefault="00EE56C0">
            <w:pPr>
              <w:pStyle w:val="afa"/>
            </w:pPr>
          </w:p>
        </w:tc>
        <w:tc>
          <w:tcPr>
            <w:tcW w:w="1006" w:type="pct"/>
            <w:gridSpan w:val="4"/>
            <w:vAlign w:val="center"/>
          </w:tcPr>
          <w:p w:rsidR="00EE56C0" w:rsidRDefault="000F36A1">
            <w:pPr>
              <w:pStyle w:val="afa"/>
            </w:pPr>
            <w:r>
              <w:t>电</w:t>
            </w:r>
          </w:p>
        </w:tc>
        <w:tc>
          <w:tcPr>
            <w:tcW w:w="665" w:type="pct"/>
            <w:gridSpan w:val="2"/>
            <w:vAlign w:val="center"/>
          </w:tcPr>
          <w:p w:rsidR="00EE56C0" w:rsidRDefault="000F36A1">
            <w:pPr>
              <w:pStyle w:val="afa"/>
            </w:pPr>
            <w:r>
              <w:t>/</w:t>
            </w:r>
          </w:p>
        </w:tc>
        <w:tc>
          <w:tcPr>
            <w:tcW w:w="920" w:type="pct"/>
            <w:gridSpan w:val="5"/>
            <w:vAlign w:val="center"/>
          </w:tcPr>
          <w:p w:rsidR="00EE56C0" w:rsidRDefault="000F36A1">
            <w:pPr>
              <w:pStyle w:val="afa"/>
            </w:pPr>
            <w:r>
              <w:rPr>
                <w:rFonts w:hint="eastAsia"/>
              </w:rPr>
              <w:t>5</w:t>
            </w:r>
            <w:r>
              <w:t>万</w:t>
            </w:r>
            <w:r>
              <w:t>kwh</w:t>
            </w:r>
          </w:p>
        </w:tc>
        <w:tc>
          <w:tcPr>
            <w:tcW w:w="1939" w:type="pct"/>
            <w:vAlign w:val="center"/>
          </w:tcPr>
          <w:p w:rsidR="00EE56C0" w:rsidRDefault="000F36A1">
            <w:pPr>
              <w:pStyle w:val="afa"/>
            </w:pPr>
            <w:r>
              <w:t>园区提供</w:t>
            </w:r>
          </w:p>
        </w:tc>
      </w:tr>
      <w:tr w:rsidR="00EE56C0">
        <w:trPr>
          <w:trHeight w:val="397"/>
          <w:jc w:val="center"/>
        </w:trPr>
        <w:tc>
          <w:tcPr>
            <w:tcW w:w="5000" w:type="pct"/>
            <w:gridSpan w:val="13"/>
            <w:vAlign w:val="center"/>
          </w:tcPr>
          <w:p w:rsidR="00EE56C0" w:rsidRDefault="000F36A1">
            <w:pPr>
              <w:pStyle w:val="afa"/>
              <w:rPr>
                <w:b/>
              </w:rPr>
            </w:pPr>
            <w:r>
              <w:rPr>
                <w:rFonts w:hint="eastAsia"/>
                <w:b/>
              </w:rPr>
              <w:t>本次二期新增</w:t>
            </w:r>
          </w:p>
        </w:tc>
      </w:tr>
      <w:tr w:rsidR="00EE56C0">
        <w:trPr>
          <w:trHeight w:val="397"/>
          <w:jc w:val="center"/>
        </w:trPr>
        <w:tc>
          <w:tcPr>
            <w:tcW w:w="470" w:type="pct"/>
            <w:vMerge w:val="restart"/>
            <w:vAlign w:val="center"/>
          </w:tcPr>
          <w:p w:rsidR="00EE56C0" w:rsidRDefault="000F36A1">
            <w:pPr>
              <w:pStyle w:val="afa"/>
            </w:pPr>
            <w:r>
              <w:t>原辅料</w:t>
            </w:r>
          </w:p>
        </w:tc>
        <w:tc>
          <w:tcPr>
            <w:tcW w:w="1017" w:type="pct"/>
            <w:gridSpan w:val="5"/>
            <w:vAlign w:val="center"/>
          </w:tcPr>
          <w:p w:rsidR="00EE56C0" w:rsidRDefault="000F36A1">
            <w:pPr>
              <w:pStyle w:val="afa"/>
            </w:pPr>
            <w:r>
              <w:t>铜杆</w:t>
            </w:r>
          </w:p>
        </w:tc>
        <w:tc>
          <w:tcPr>
            <w:tcW w:w="654" w:type="pct"/>
            <w:vAlign w:val="center"/>
          </w:tcPr>
          <w:p w:rsidR="00EE56C0" w:rsidRDefault="000F36A1">
            <w:pPr>
              <w:pStyle w:val="afa"/>
            </w:pPr>
            <w:r>
              <w:t>2t/</w:t>
            </w:r>
            <w:r>
              <w:t>盘</w:t>
            </w:r>
          </w:p>
        </w:tc>
        <w:tc>
          <w:tcPr>
            <w:tcW w:w="920" w:type="pct"/>
            <w:gridSpan w:val="5"/>
            <w:vAlign w:val="center"/>
          </w:tcPr>
          <w:p w:rsidR="00EE56C0" w:rsidRDefault="000F36A1">
            <w:pPr>
              <w:pStyle w:val="afa"/>
            </w:pPr>
            <w:r>
              <w:rPr>
                <w:rFonts w:hint="eastAsia"/>
              </w:rPr>
              <w:t>29050</w:t>
            </w:r>
          </w:p>
        </w:tc>
        <w:tc>
          <w:tcPr>
            <w:tcW w:w="1939" w:type="pct"/>
            <w:vAlign w:val="center"/>
          </w:tcPr>
          <w:p w:rsidR="00EE56C0" w:rsidRDefault="00EE56C0">
            <w:pPr>
              <w:pStyle w:val="afa"/>
            </w:pPr>
          </w:p>
        </w:tc>
      </w:tr>
      <w:tr w:rsidR="00EE56C0">
        <w:trPr>
          <w:trHeight w:val="398"/>
          <w:jc w:val="center"/>
        </w:trPr>
        <w:tc>
          <w:tcPr>
            <w:tcW w:w="470" w:type="pct"/>
            <w:vMerge/>
            <w:vAlign w:val="center"/>
          </w:tcPr>
          <w:p w:rsidR="00EE56C0" w:rsidRDefault="00EE56C0">
            <w:pPr>
              <w:pStyle w:val="afa"/>
            </w:pPr>
          </w:p>
        </w:tc>
        <w:tc>
          <w:tcPr>
            <w:tcW w:w="438" w:type="pct"/>
            <w:gridSpan w:val="2"/>
            <w:vMerge w:val="restart"/>
            <w:vAlign w:val="center"/>
          </w:tcPr>
          <w:p w:rsidR="00EE56C0" w:rsidRDefault="000F36A1">
            <w:pPr>
              <w:pStyle w:val="afa"/>
            </w:pPr>
            <w:r>
              <w:rPr>
                <w:rFonts w:hint="eastAsia"/>
              </w:rPr>
              <w:t>高温绝缘漆</w:t>
            </w:r>
          </w:p>
        </w:tc>
        <w:tc>
          <w:tcPr>
            <w:tcW w:w="579" w:type="pct"/>
            <w:gridSpan w:val="3"/>
            <w:vAlign w:val="center"/>
          </w:tcPr>
          <w:p w:rsidR="00EE56C0" w:rsidRPr="00085BB7" w:rsidRDefault="000F36A1">
            <w:pPr>
              <w:pStyle w:val="afa"/>
              <w:rPr>
                <w:b/>
                <w:u w:val="single"/>
              </w:rPr>
            </w:pPr>
            <w:r w:rsidRPr="00085BB7">
              <w:rPr>
                <w:rFonts w:hint="eastAsia"/>
                <w:b/>
                <w:u w:val="single"/>
              </w:rPr>
              <w:t>聚酯漆</w:t>
            </w:r>
          </w:p>
        </w:tc>
        <w:tc>
          <w:tcPr>
            <w:tcW w:w="654" w:type="pct"/>
            <w:vAlign w:val="center"/>
          </w:tcPr>
          <w:p w:rsidR="00EE56C0" w:rsidRPr="00085BB7" w:rsidRDefault="000F36A1">
            <w:pPr>
              <w:pStyle w:val="afa"/>
              <w:rPr>
                <w:b/>
                <w:u w:val="single"/>
              </w:rPr>
            </w:pPr>
            <w:r w:rsidRPr="00085BB7">
              <w:rPr>
                <w:b/>
                <w:u w:val="single"/>
              </w:rPr>
              <w:t>1t/</w:t>
            </w:r>
            <w:r w:rsidRPr="00085BB7">
              <w:rPr>
                <w:b/>
                <w:u w:val="single"/>
              </w:rPr>
              <w:t>桶</w:t>
            </w:r>
          </w:p>
        </w:tc>
        <w:tc>
          <w:tcPr>
            <w:tcW w:w="583" w:type="pct"/>
            <w:gridSpan w:val="3"/>
            <w:vAlign w:val="center"/>
          </w:tcPr>
          <w:p w:rsidR="00EE56C0" w:rsidRPr="00085BB7" w:rsidRDefault="00085BB7">
            <w:pPr>
              <w:pStyle w:val="afa"/>
              <w:rPr>
                <w:b/>
                <w:u w:val="single"/>
              </w:rPr>
            </w:pPr>
            <w:r w:rsidRPr="00085BB7">
              <w:rPr>
                <w:rFonts w:hint="eastAsia"/>
                <w:b/>
                <w:u w:val="single"/>
              </w:rPr>
              <w:t>800</w:t>
            </w:r>
          </w:p>
        </w:tc>
        <w:tc>
          <w:tcPr>
            <w:tcW w:w="337" w:type="pct"/>
            <w:gridSpan w:val="2"/>
            <w:vMerge w:val="restart"/>
            <w:vAlign w:val="center"/>
          </w:tcPr>
          <w:p w:rsidR="00EE56C0" w:rsidRPr="00085BB7" w:rsidRDefault="00085BB7">
            <w:pPr>
              <w:pStyle w:val="afa"/>
              <w:rPr>
                <w:b/>
                <w:u w:val="single"/>
              </w:rPr>
            </w:pPr>
            <w:r w:rsidRPr="00085BB7">
              <w:rPr>
                <w:rFonts w:hint="eastAsia"/>
                <w:b/>
                <w:u w:val="single"/>
              </w:rPr>
              <w:t>1065</w:t>
            </w:r>
          </w:p>
        </w:tc>
        <w:tc>
          <w:tcPr>
            <w:tcW w:w="1939" w:type="pct"/>
            <w:vAlign w:val="center"/>
          </w:tcPr>
          <w:p w:rsidR="00EE56C0" w:rsidRPr="00085BB7" w:rsidRDefault="000F36A1">
            <w:pPr>
              <w:pStyle w:val="afa"/>
              <w:rPr>
                <w:b/>
                <w:u w:val="single"/>
              </w:rPr>
            </w:pPr>
            <w:r w:rsidRPr="00085BB7">
              <w:rPr>
                <w:b/>
                <w:u w:val="single"/>
              </w:rPr>
              <w:t>聚酯树脂</w:t>
            </w:r>
            <w:r w:rsidRPr="00085BB7">
              <w:rPr>
                <w:rFonts w:hint="eastAsia"/>
                <w:b/>
                <w:u w:val="single"/>
              </w:rPr>
              <w:t>44%</w:t>
            </w:r>
            <w:r w:rsidRPr="00085BB7">
              <w:rPr>
                <w:rFonts w:hint="eastAsia"/>
                <w:b/>
                <w:u w:val="single"/>
              </w:rPr>
              <w:t>、甲酚</w:t>
            </w:r>
            <w:r w:rsidRPr="00085BB7">
              <w:rPr>
                <w:rFonts w:hint="eastAsia"/>
                <w:b/>
                <w:u w:val="single"/>
              </w:rPr>
              <w:t>20~50%</w:t>
            </w:r>
            <w:r w:rsidRPr="00085BB7">
              <w:rPr>
                <w:rFonts w:hint="eastAsia"/>
                <w:b/>
                <w:u w:val="single"/>
              </w:rPr>
              <w:t>、芳烃溶剂油</w:t>
            </w:r>
            <w:r w:rsidRPr="00085BB7">
              <w:rPr>
                <w:rFonts w:hint="eastAsia"/>
                <w:b/>
                <w:u w:val="single"/>
              </w:rPr>
              <w:t>10~20%</w:t>
            </w:r>
          </w:p>
        </w:tc>
      </w:tr>
      <w:tr w:rsidR="00EE56C0">
        <w:trPr>
          <w:trHeight w:val="676"/>
          <w:jc w:val="center"/>
        </w:trPr>
        <w:tc>
          <w:tcPr>
            <w:tcW w:w="470" w:type="pct"/>
            <w:vMerge/>
            <w:vAlign w:val="center"/>
          </w:tcPr>
          <w:p w:rsidR="00EE56C0" w:rsidRDefault="00EE56C0">
            <w:pPr>
              <w:pStyle w:val="afa"/>
            </w:pPr>
          </w:p>
        </w:tc>
        <w:tc>
          <w:tcPr>
            <w:tcW w:w="438" w:type="pct"/>
            <w:gridSpan w:val="2"/>
            <w:vMerge/>
            <w:vAlign w:val="center"/>
          </w:tcPr>
          <w:p w:rsidR="00EE56C0" w:rsidRDefault="00EE56C0">
            <w:pPr>
              <w:pStyle w:val="afa"/>
            </w:pPr>
          </w:p>
        </w:tc>
        <w:tc>
          <w:tcPr>
            <w:tcW w:w="579" w:type="pct"/>
            <w:gridSpan w:val="3"/>
            <w:vAlign w:val="center"/>
          </w:tcPr>
          <w:p w:rsidR="00EE56C0" w:rsidRPr="00085BB7" w:rsidRDefault="000F36A1">
            <w:pPr>
              <w:pStyle w:val="afa"/>
              <w:rPr>
                <w:b/>
                <w:u w:val="single"/>
              </w:rPr>
            </w:pPr>
            <w:r w:rsidRPr="00085BB7">
              <w:rPr>
                <w:rFonts w:hint="eastAsia"/>
                <w:b/>
                <w:u w:val="single"/>
              </w:rPr>
              <w:t>聚酰胺酰亚胺漆</w:t>
            </w:r>
          </w:p>
        </w:tc>
        <w:tc>
          <w:tcPr>
            <w:tcW w:w="654" w:type="pct"/>
            <w:vAlign w:val="center"/>
          </w:tcPr>
          <w:p w:rsidR="00EE56C0" w:rsidRPr="00085BB7" w:rsidRDefault="000F36A1">
            <w:pPr>
              <w:pStyle w:val="afa"/>
              <w:rPr>
                <w:b/>
                <w:u w:val="single"/>
              </w:rPr>
            </w:pPr>
            <w:r w:rsidRPr="00085BB7">
              <w:rPr>
                <w:b/>
                <w:u w:val="single"/>
              </w:rPr>
              <w:t>1t/</w:t>
            </w:r>
            <w:r w:rsidRPr="00085BB7">
              <w:rPr>
                <w:b/>
                <w:u w:val="single"/>
              </w:rPr>
              <w:t>桶</w:t>
            </w:r>
          </w:p>
        </w:tc>
        <w:tc>
          <w:tcPr>
            <w:tcW w:w="583" w:type="pct"/>
            <w:gridSpan w:val="3"/>
            <w:vAlign w:val="center"/>
          </w:tcPr>
          <w:p w:rsidR="00EE56C0" w:rsidRPr="00085BB7" w:rsidRDefault="00085BB7">
            <w:pPr>
              <w:pStyle w:val="afa"/>
              <w:rPr>
                <w:b/>
                <w:u w:val="single"/>
              </w:rPr>
            </w:pPr>
            <w:r w:rsidRPr="00085BB7">
              <w:rPr>
                <w:rFonts w:hint="eastAsia"/>
                <w:b/>
                <w:u w:val="single"/>
              </w:rPr>
              <w:t>265</w:t>
            </w:r>
          </w:p>
        </w:tc>
        <w:tc>
          <w:tcPr>
            <w:tcW w:w="337" w:type="pct"/>
            <w:gridSpan w:val="2"/>
            <w:vMerge/>
            <w:vAlign w:val="center"/>
          </w:tcPr>
          <w:p w:rsidR="00EE56C0" w:rsidRPr="00085BB7" w:rsidRDefault="00EE56C0">
            <w:pPr>
              <w:pStyle w:val="afa"/>
              <w:rPr>
                <w:b/>
                <w:u w:val="single"/>
              </w:rPr>
            </w:pPr>
          </w:p>
        </w:tc>
        <w:tc>
          <w:tcPr>
            <w:tcW w:w="1939" w:type="pct"/>
            <w:vAlign w:val="center"/>
          </w:tcPr>
          <w:p w:rsidR="00EE56C0" w:rsidRPr="00085BB7" w:rsidRDefault="000F36A1">
            <w:pPr>
              <w:pStyle w:val="afa"/>
              <w:rPr>
                <w:b/>
                <w:u w:val="single"/>
              </w:rPr>
            </w:pPr>
            <w:r w:rsidRPr="00085BB7">
              <w:rPr>
                <w:rFonts w:hint="eastAsia"/>
                <w:b/>
                <w:u w:val="single"/>
              </w:rPr>
              <w:t>聚酰胺酰亚胺树脂（</w:t>
            </w:r>
            <w:r w:rsidRPr="00085BB7">
              <w:rPr>
                <w:rFonts w:hint="eastAsia"/>
                <w:b/>
                <w:u w:val="single"/>
              </w:rPr>
              <w:t>20~40%</w:t>
            </w:r>
            <w:r w:rsidRPr="00085BB7">
              <w:rPr>
                <w:rFonts w:hint="eastAsia"/>
                <w:b/>
                <w:u w:val="single"/>
              </w:rPr>
              <w:t>）、</w:t>
            </w:r>
            <w:r w:rsidR="007B2328" w:rsidRPr="007B2328">
              <w:rPr>
                <w:rFonts w:hint="eastAsia"/>
                <w:b/>
                <w:u w:val="single"/>
              </w:rPr>
              <w:t>NMP</w:t>
            </w:r>
            <w:r w:rsidR="007B2328" w:rsidRPr="007B2328">
              <w:rPr>
                <w:rFonts w:hint="eastAsia"/>
                <w:b/>
                <w:u w:val="single"/>
              </w:rPr>
              <w:t>、</w:t>
            </w:r>
            <w:r w:rsidR="007B2328" w:rsidRPr="007B2328">
              <w:rPr>
                <w:rFonts w:hint="eastAsia"/>
                <w:b/>
                <w:u w:val="single"/>
              </w:rPr>
              <w:t>N,N-</w:t>
            </w:r>
            <w:r w:rsidR="007B2328" w:rsidRPr="007B2328">
              <w:rPr>
                <w:rFonts w:hint="eastAsia"/>
                <w:b/>
                <w:u w:val="single"/>
              </w:rPr>
              <w:t>二甲基乙酰胺、</w:t>
            </w:r>
            <w:r w:rsidR="007B2328" w:rsidRPr="007B2328">
              <w:rPr>
                <w:rFonts w:hint="eastAsia"/>
                <w:b/>
                <w:u w:val="single"/>
              </w:rPr>
              <w:t>N,N-</w:t>
            </w:r>
            <w:r w:rsidR="007B2328" w:rsidRPr="007B2328">
              <w:rPr>
                <w:rFonts w:hint="eastAsia"/>
                <w:b/>
                <w:u w:val="single"/>
              </w:rPr>
              <w:t>二甲基甲酰胺</w:t>
            </w:r>
            <w:r w:rsidRPr="00085BB7">
              <w:rPr>
                <w:rFonts w:hint="eastAsia"/>
                <w:b/>
                <w:u w:val="single"/>
              </w:rPr>
              <w:t>20~70%</w:t>
            </w:r>
            <w:r w:rsidRPr="00085BB7">
              <w:rPr>
                <w:rFonts w:hint="eastAsia"/>
                <w:b/>
                <w:u w:val="single"/>
              </w:rPr>
              <w:t>、二甲苯</w:t>
            </w:r>
            <w:r w:rsidRPr="00085BB7">
              <w:rPr>
                <w:rFonts w:hint="eastAsia"/>
                <w:b/>
                <w:u w:val="single"/>
              </w:rPr>
              <w:t>0~15%</w:t>
            </w:r>
          </w:p>
        </w:tc>
      </w:tr>
      <w:tr w:rsidR="00EE56C0">
        <w:trPr>
          <w:trHeight w:val="397"/>
          <w:jc w:val="center"/>
        </w:trPr>
        <w:tc>
          <w:tcPr>
            <w:tcW w:w="470" w:type="pct"/>
            <w:vMerge/>
            <w:vAlign w:val="center"/>
          </w:tcPr>
          <w:p w:rsidR="00EE56C0" w:rsidRDefault="00EE56C0">
            <w:pPr>
              <w:pStyle w:val="afa"/>
            </w:pPr>
          </w:p>
        </w:tc>
        <w:tc>
          <w:tcPr>
            <w:tcW w:w="1017" w:type="pct"/>
            <w:gridSpan w:val="5"/>
            <w:vAlign w:val="center"/>
          </w:tcPr>
          <w:p w:rsidR="00EE56C0" w:rsidRDefault="000F36A1">
            <w:pPr>
              <w:pStyle w:val="afa"/>
            </w:pPr>
            <w:r>
              <w:rPr>
                <w:rFonts w:hint="eastAsia"/>
              </w:rPr>
              <w:t>R-1449-G</w:t>
            </w:r>
            <w:r>
              <w:rPr>
                <w:rFonts w:hint="eastAsia"/>
              </w:rPr>
              <w:t>漆：玻璃丝包专用漆</w:t>
            </w:r>
          </w:p>
        </w:tc>
        <w:tc>
          <w:tcPr>
            <w:tcW w:w="654" w:type="pct"/>
            <w:vAlign w:val="center"/>
          </w:tcPr>
          <w:p w:rsidR="00EE56C0" w:rsidRDefault="000F36A1">
            <w:pPr>
              <w:pStyle w:val="afa"/>
            </w:pPr>
            <w:r>
              <w:rPr>
                <w:rFonts w:hint="eastAsia"/>
              </w:rPr>
              <w:t>25kg/</w:t>
            </w:r>
            <w:r>
              <w:rPr>
                <w:rFonts w:hint="eastAsia"/>
              </w:rPr>
              <w:t>桶</w:t>
            </w:r>
          </w:p>
        </w:tc>
        <w:tc>
          <w:tcPr>
            <w:tcW w:w="920" w:type="pct"/>
            <w:gridSpan w:val="5"/>
            <w:vAlign w:val="center"/>
          </w:tcPr>
          <w:p w:rsidR="00EE56C0" w:rsidRDefault="000F36A1">
            <w:pPr>
              <w:pStyle w:val="afa"/>
            </w:pPr>
            <w:r>
              <w:rPr>
                <w:rFonts w:hint="eastAsia"/>
              </w:rPr>
              <w:t>58.5</w:t>
            </w:r>
          </w:p>
        </w:tc>
        <w:tc>
          <w:tcPr>
            <w:tcW w:w="1939" w:type="pct"/>
            <w:vAlign w:val="center"/>
          </w:tcPr>
          <w:p w:rsidR="00EE56C0" w:rsidRDefault="000F36A1">
            <w:pPr>
              <w:pStyle w:val="afa"/>
            </w:pPr>
            <w:r>
              <w:rPr>
                <w:rFonts w:hint="eastAsia"/>
              </w:rPr>
              <w:t>环氧改性聚酯树脂</w:t>
            </w:r>
            <w:r>
              <w:rPr>
                <w:rFonts w:hint="eastAsia"/>
              </w:rPr>
              <w:t>60~65</w:t>
            </w:r>
            <w:r>
              <w:t>%</w:t>
            </w:r>
            <w:r>
              <w:rPr>
                <w:rFonts w:hint="eastAsia"/>
              </w:rPr>
              <w:t>，甲苯</w:t>
            </w:r>
            <w:r>
              <w:rPr>
                <w:rFonts w:hint="eastAsia"/>
              </w:rPr>
              <w:t>10~</w:t>
            </w:r>
            <w:r>
              <w:t>15%</w:t>
            </w:r>
            <w:r>
              <w:rPr>
                <w:rFonts w:hint="eastAsia"/>
              </w:rPr>
              <w:t>，二甲苯</w:t>
            </w:r>
            <w:r>
              <w:rPr>
                <w:rFonts w:hint="eastAsia"/>
              </w:rPr>
              <w:t>10~</w:t>
            </w:r>
            <w:r>
              <w:t>15%</w:t>
            </w:r>
            <w:r>
              <w:rPr>
                <w:rFonts w:hint="eastAsia"/>
              </w:rPr>
              <w:t>，丁醇</w:t>
            </w:r>
            <w:r>
              <w:rPr>
                <w:rFonts w:ascii="宋体" w:hAnsi="宋体" w:hint="eastAsia"/>
              </w:rPr>
              <w:t>＜</w:t>
            </w:r>
            <w:r>
              <w:rPr>
                <w:rFonts w:hint="eastAsia"/>
              </w:rPr>
              <w:t>5%</w:t>
            </w:r>
            <w:r>
              <w:rPr>
                <w:rFonts w:hint="eastAsia"/>
              </w:rPr>
              <w:t>，助剂（含苯）</w:t>
            </w:r>
            <w:r>
              <w:rPr>
                <w:rFonts w:ascii="宋体" w:hAnsi="宋体" w:hint="eastAsia"/>
              </w:rPr>
              <w:t>＜</w:t>
            </w:r>
            <w:r>
              <w:rPr>
                <w:rFonts w:hint="eastAsia"/>
              </w:rPr>
              <w:t>5%</w:t>
            </w:r>
          </w:p>
        </w:tc>
      </w:tr>
      <w:tr w:rsidR="00EE56C0">
        <w:trPr>
          <w:trHeight w:val="495"/>
          <w:jc w:val="center"/>
        </w:trPr>
        <w:tc>
          <w:tcPr>
            <w:tcW w:w="470" w:type="pct"/>
            <w:vMerge/>
            <w:vAlign w:val="center"/>
          </w:tcPr>
          <w:p w:rsidR="00EE56C0" w:rsidRDefault="00EE56C0">
            <w:pPr>
              <w:pStyle w:val="afa"/>
            </w:pPr>
          </w:p>
        </w:tc>
        <w:tc>
          <w:tcPr>
            <w:tcW w:w="1017" w:type="pct"/>
            <w:gridSpan w:val="5"/>
            <w:vAlign w:val="center"/>
          </w:tcPr>
          <w:p w:rsidR="00EE56C0" w:rsidRDefault="000F36A1">
            <w:pPr>
              <w:pStyle w:val="afa"/>
            </w:pPr>
            <w:r>
              <w:rPr>
                <w:rFonts w:hint="eastAsia"/>
              </w:rPr>
              <w:t>玻璃纱</w:t>
            </w:r>
          </w:p>
        </w:tc>
        <w:tc>
          <w:tcPr>
            <w:tcW w:w="654" w:type="pct"/>
            <w:vAlign w:val="center"/>
          </w:tcPr>
          <w:p w:rsidR="00EE56C0" w:rsidRDefault="000F36A1">
            <w:pPr>
              <w:pStyle w:val="afa"/>
            </w:pPr>
            <w:r>
              <w:rPr>
                <w:rFonts w:hint="eastAsia"/>
              </w:rPr>
              <w:t>/</w:t>
            </w:r>
          </w:p>
        </w:tc>
        <w:tc>
          <w:tcPr>
            <w:tcW w:w="920" w:type="pct"/>
            <w:gridSpan w:val="5"/>
            <w:vAlign w:val="center"/>
          </w:tcPr>
          <w:p w:rsidR="00EE56C0" w:rsidRDefault="000F36A1">
            <w:pPr>
              <w:pStyle w:val="afa"/>
            </w:pPr>
            <w:r>
              <w:rPr>
                <w:rFonts w:hint="eastAsia"/>
              </w:rPr>
              <w:t>1</w:t>
            </w:r>
            <w:r>
              <w:t>80</w:t>
            </w:r>
          </w:p>
        </w:tc>
        <w:tc>
          <w:tcPr>
            <w:tcW w:w="1939" w:type="pct"/>
            <w:vAlign w:val="center"/>
          </w:tcPr>
          <w:p w:rsidR="00EE56C0" w:rsidRDefault="000F36A1">
            <w:pPr>
              <w:pStyle w:val="afa"/>
            </w:pPr>
            <w:r>
              <w:rPr>
                <w:rFonts w:hint="eastAsia"/>
              </w:rPr>
              <w:t>/</w:t>
            </w:r>
          </w:p>
        </w:tc>
      </w:tr>
      <w:tr w:rsidR="00EE56C0">
        <w:trPr>
          <w:trHeight w:val="397"/>
          <w:jc w:val="center"/>
        </w:trPr>
        <w:tc>
          <w:tcPr>
            <w:tcW w:w="470" w:type="pct"/>
            <w:vMerge/>
            <w:vAlign w:val="center"/>
          </w:tcPr>
          <w:p w:rsidR="00EE56C0" w:rsidRDefault="00EE56C0">
            <w:pPr>
              <w:pStyle w:val="afa"/>
            </w:pPr>
          </w:p>
        </w:tc>
        <w:tc>
          <w:tcPr>
            <w:tcW w:w="1017" w:type="pct"/>
            <w:gridSpan w:val="5"/>
            <w:vAlign w:val="center"/>
          </w:tcPr>
          <w:p w:rsidR="00EE56C0" w:rsidRDefault="000F36A1">
            <w:pPr>
              <w:pStyle w:val="afa"/>
            </w:pPr>
            <w:r>
              <w:t>聚酰亚胺</w:t>
            </w:r>
            <w:r>
              <w:rPr>
                <w:rFonts w:hint="eastAsia"/>
              </w:rPr>
              <w:t>薄膜</w:t>
            </w:r>
          </w:p>
        </w:tc>
        <w:tc>
          <w:tcPr>
            <w:tcW w:w="654" w:type="pct"/>
            <w:vAlign w:val="center"/>
          </w:tcPr>
          <w:p w:rsidR="00EE56C0" w:rsidRDefault="000F36A1">
            <w:pPr>
              <w:pStyle w:val="afa"/>
            </w:pPr>
            <w:r>
              <w:rPr>
                <w:rFonts w:hint="eastAsia"/>
              </w:rPr>
              <w:t>/</w:t>
            </w:r>
          </w:p>
        </w:tc>
        <w:tc>
          <w:tcPr>
            <w:tcW w:w="920" w:type="pct"/>
            <w:gridSpan w:val="5"/>
            <w:vAlign w:val="center"/>
          </w:tcPr>
          <w:p w:rsidR="00EE56C0" w:rsidRDefault="000F36A1">
            <w:pPr>
              <w:pStyle w:val="afa"/>
            </w:pPr>
            <w:r>
              <w:rPr>
                <w:rFonts w:hint="eastAsia"/>
              </w:rPr>
              <w:t>1</w:t>
            </w:r>
            <w:r>
              <w:t>9.2</w:t>
            </w:r>
          </w:p>
        </w:tc>
        <w:tc>
          <w:tcPr>
            <w:tcW w:w="1939" w:type="pct"/>
            <w:vAlign w:val="center"/>
          </w:tcPr>
          <w:p w:rsidR="00EE56C0" w:rsidRDefault="000F36A1">
            <w:pPr>
              <w:pStyle w:val="afa"/>
            </w:pPr>
            <w:r>
              <w:rPr>
                <w:rFonts w:hint="eastAsia"/>
              </w:rPr>
              <w:t>/</w:t>
            </w:r>
          </w:p>
        </w:tc>
      </w:tr>
      <w:tr w:rsidR="00EE56C0">
        <w:trPr>
          <w:trHeight w:val="397"/>
          <w:jc w:val="center"/>
        </w:trPr>
        <w:tc>
          <w:tcPr>
            <w:tcW w:w="470" w:type="pct"/>
            <w:vMerge/>
            <w:vAlign w:val="center"/>
          </w:tcPr>
          <w:p w:rsidR="00EE56C0" w:rsidRDefault="00EE56C0">
            <w:pPr>
              <w:pStyle w:val="afa"/>
            </w:pPr>
          </w:p>
        </w:tc>
        <w:tc>
          <w:tcPr>
            <w:tcW w:w="1017" w:type="pct"/>
            <w:gridSpan w:val="5"/>
            <w:vAlign w:val="center"/>
          </w:tcPr>
          <w:p w:rsidR="00EE56C0" w:rsidRDefault="000F36A1">
            <w:pPr>
              <w:pStyle w:val="afa"/>
            </w:pPr>
            <w:r>
              <w:t>拉丝油</w:t>
            </w:r>
          </w:p>
        </w:tc>
        <w:tc>
          <w:tcPr>
            <w:tcW w:w="654" w:type="pct"/>
            <w:vAlign w:val="center"/>
          </w:tcPr>
          <w:p w:rsidR="00EE56C0" w:rsidRDefault="000F36A1">
            <w:pPr>
              <w:pStyle w:val="afa"/>
            </w:pPr>
            <w:r>
              <w:t>200kg/</w:t>
            </w:r>
            <w:r>
              <w:t>桶</w:t>
            </w:r>
          </w:p>
        </w:tc>
        <w:tc>
          <w:tcPr>
            <w:tcW w:w="920" w:type="pct"/>
            <w:gridSpan w:val="5"/>
            <w:vAlign w:val="center"/>
          </w:tcPr>
          <w:p w:rsidR="00EE56C0" w:rsidRDefault="000F36A1">
            <w:pPr>
              <w:pStyle w:val="afa"/>
            </w:pPr>
            <w:r>
              <w:rPr>
                <w:rFonts w:hint="eastAsia"/>
              </w:rPr>
              <w:t>6.5</w:t>
            </w:r>
          </w:p>
        </w:tc>
        <w:tc>
          <w:tcPr>
            <w:tcW w:w="1939" w:type="pct"/>
            <w:vAlign w:val="center"/>
          </w:tcPr>
          <w:p w:rsidR="00EE56C0" w:rsidRDefault="000F36A1">
            <w:pPr>
              <w:pStyle w:val="afa"/>
            </w:pPr>
            <w:r>
              <w:rPr>
                <w:rFonts w:hint="eastAsia"/>
              </w:rPr>
              <w:t>/</w:t>
            </w:r>
          </w:p>
        </w:tc>
      </w:tr>
      <w:tr w:rsidR="00EE56C0">
        <w:trPr>
          <w:trHeight w:val="397"/>
          <w:jc w:val="center"/>
        </w:trPr>
        <w:tc>
          <w:tcPr>
            <w:tcW w:w="470" w:type="pct"/>
            <w:vMerge/>
            <w:vAlign w:val="center"/>
          </w:tcPr>
          <w:p w:rsidR="00EE56C0" w:rsidRDefault="00EE56C0">
            <w:pPr>
              <w:pStyle w:val="afa"/>
            </w:pPr>
          </w:p>
        </w:tc>
        <w:tc>
          <w:tcPr>
            <w:tcW w:w="1017" w:type="pct"/>
            <w:gridSpan w:val="5"/>
            <w:vAlign w:val="center"/>
          </w:tcPr>
          <w:p w:rsidR="00EE56C0" w:rsidRDefault="000F36A1">
            <w:pPr>
              <w:pStyle w:val="afa"/>
            </w:pPr>
            <w:r>
              <w:rPr>
                <w:rFonts w:hint="eastAsia"/>
              </w:rPr>
              <w:t>排线油</w:t>
            </w:r>
          </w:p>
        </w:tc>
        <w:tc>
          <w:tcPr>
            <w:tcW w:w="654" w:type="pct"/>
            <w:vAlign w:val="center"/>
          </w:tcPr>
          <w:p w:rsidR="00EE56C0" w:rsidRDefault="000F36A1">
            <w:pPr>
              <w:pStyle w:val="afa"/>
            </w:pPr>
            <w:r>
              <w:t>1t/</w:t>
            </w:r>
            <w:r>
              <w:t>桶</w:t>
            </w:r>
          </w:p>
        </w:tc>
        <w:tc>
          <w:tcPr>
            <w:tcW w:w="920" w:type="pct"/>
            <w:gridSpan w:val="5"/>
            <w:vAlign w:val="center"/>
          </w:tcPr>
          <w:p w:rsidR="00EE56C0" w:rsidRDefault="000F36A1">
            <w:pPr>
              <w:pStyle w:val="afa"/>
              <w:rPr>
                <w:highlight w:val="yellow"/>
              </w:rPr>
            </w:pPr>
            <w:r>
              <w:rPr>
                <w:rFonts w:hint="eastAsia"/>
              </w:rPr>
              <w:t>4.5</w:t>
            </w:r>
          </w:p>
        </w:tc>
        <w:tc>
          <w:tcPr>
            <w:tcW w:w="1939" w:type="pct"/>
            <w:vAlign w:val="center"/>
          </w:tcPr>
          <w:p w:rsidR="00EE56C0" w:rsidRDefault="000F36A1">
            <w:pPr>
              <w:pStyle w:val="afa"/>
            </w:pPr>
            <w:r>
              <w:rPr>
                <w:rFonts w:hint="eastAsia"/>
              </w:rPr>
              <w:t>上油</w:t>
            </w:r>
          </w:p>
        </w:tc>
      </w:tr>
      <w:tr w:rsidR="00EE56C0">
        <w:trPr>
          <w:trHeight w:val="397"/>
          <w:jc w:val="center"/>
        </w:trPr>
        <w:tc>
          <w:tcPr>
            <w:tcW w:w="470" w:type="pct"/>
            <w:vMerge w:val="restart"/>
            <w:vAlign w:val="center"/>
          </w:tcPr>
          <w:p w:rsidR="00EE56C0" w:rsidRDefault="000F36A1">
            <w:pPr>
              <w:pStyle w:val="afa"/>
            </w:pPr>
            <w:r>
              <w:rPr>
                <w:rFonts w:hint="eastAsia"/>
              </w:rPr>
              <w:t>资源</w:t>
            </w:r>
            <w:r>
              <w:t>能源</w:t>
            </w:r>
          </w:p>
        </w:tc>
        <w:tc>
          <w:tcPr>
            <w:tcW w:w="1017" w:type="pct"/>
            <w:gridSpan w:val="5"/>
            <w:vAlign w:val="center"/>
          </w:tcPr>
          <w:p w:rsidR="00EE56C0" w:rsidRDefault="000F36A1">
            <w:pPr>
              <w:pStyle w:val="afa"/>
            </w:pPr>
            <w:r>
              <w:rPr>
                <w:rFonts w:hint="eastAsia"/>
              </w:rPr>
              <w:t>水</w:t>
            </w:r>
          </w:p>
        </w:tc>
        <w:tc>
          <w:tcPr>
            <w:tcW w:w="654" w:type="pct"/>
            <w:vAlign w:val="center"/>
          </w:tcPr>
          <w:p w:rsidR="00EE56C0" w:rsidRDefault="00EE56C0">
            <w:pPr>
              <w:pStyle w:val="afa"/>
            </w:pPr>
          </w:p>
        </w:tc>
        <w:tc>
          <w:tcPr>
            <w:tcW w:w="920" w:type="pct"/>
            <w:gridSpan w:val="5"/>
            <w:vAlign w:val="center"/>
          </w:tcPr>
          <w:p w:rsidR="00EE56C0" w:rsidRDefault="000F36A1">
            <w:pPr>
              <w:pStyle w:val="afa"/>
            </w:pPr>
            <w:r>
              <w:rPr>
                <w:rFonts w:hint="eastAsia"/>
              </w:rPr>
              <w:t>2811m</w:t>
            </w:r>
            <w:r>
              <w:rPr>
                <w:rFonts w:hint="eastAsia"/>
                <w:vertAlign w:val="superscript"/>
              </w:rPr>
              <w:t>3</w:t>
            </w:r>
          </w:p>
        </w:tc>
        <w:tc>
          <w:tcPr>
            <w:tcW w:w="1939" w:type="pct"/>
            <w:vAlign w:val="center"/>
          </w:tcPr>
          <w:p w:rsidR="00EE56C0" w:rsidRDefault="000F36A1">
            <w:pPr>
              <w:pStyle w:val="afa"/>
            </w:pPr>
            <w:r>
              <w:rPr>
                <w:rFonts w:hint="eastAsia"/>
              </w:rPr>
              <w:t>自备井</w:t>
            </w:r>
            <w:r>
              <w:t>提供</w:t>
            </w:r>
          </w:p>
        </w:tc>
      </w:tr>
      <w:tr w:rsidR="00EE56C0">
        <w:trPr>
          <w:trHeight w:val="397"/>
          <w:jc w:val="center"/>
        </w:trPr>
        <w:tc>
          <w:tcPr>
            <w:tcW w:w="470" w:type="pct"/>
            <w:vMerge/>
            <w:vAlign w:val="center"/>
          </w:tcPr>
          <w:p w:rsidR="00EE56C0" w:rsidRDefault="00EE56C0">
            <w:pPr>
              <w:pStyle w:val="afa"/>
            </w:pPr>
          </w:p>
        </w:tc>
        <w:tc>
          <w:tcPr>
            <w:tcW w:w="1017" w:type="pct"/>
            <w:gridSpan w:val="5"/>
            <w:vAlign w:val="center"/>
          </w:tcPr>
          <w:p w:rsidR="00EE56C0" w:rsidRDefault="000F36A1">
            <w:pPr>
              <w:pStyle w:val="afa"/>
            </w:pPr>
            <w:r>
              <w:t>电</w:t>
            </w:r>
          </w:p>
        </w:tc>
        <w:tc>
          <w:tcPr>
            <w:tcW w:w="654" w:type="pct"/>
            <w:vAlign w:val="center"/>
          </w:tcPr>
          <w:p w:rsidR="00EE56C0" w:rsidRDefault="000F36A1">
            <w:pPr>
              <w:pStyle w:val="afa"/>
            </w:pPr>
            <w:r>
              <w:t>/</w:t>
            </w:r>
          </w:p>
        </w:tc>
        <w:tc>
          <w:tcPr>
            <w:tcW w:w="920" w:type="pct"/>
            <w:gridSpan w:val="5"/>
            <w:vAlign w:val="center"/>
          </w:tcPr>
          <w:p w:rsidR="00EE56C0" w:rsidRDefault="000F36A1">
            <w:pPr>
              <w:pStyle w:val="afa"/>
            </w:pPr>
            <w:r>
              <w:rPr>
                <w:rFonts w:hint="eastAsia"/>
              </w:rPr>
              <w:t>8</w:t>
            </w:r>
            <w:r>
              <w:t>万</w:t>
            </w:r>
            <w:r>
              <w:t>kwh</w:t>
            </w:r>
          </w:p>
        </w:tc>
        <w:tc>
          <w:tcPr>
            <w:tcW w:w="1939" w:type="pct"/>
            <w:vAlign w:val="center"/>
          </w:tcPr>
          <w:p w:rsidR="00EE56C0" w:rsidRDefault="000F36A1">
            <w:pPr>
              <w:pStyle w:val="afa"/>
            </w:pPr>
            <w:r>
              <w:t>园区提供</w:t>
            </w:r>
          </w:p>
        </w:tc>
      </w:tr>
      <w:tr w:rsidR="00EE56C0">
        <w:trPr>
          <w:trHeight w:val="397"/>
          <w:jc w:val="center"/>
        </w:trPr>
        <w:tc>
          <w:tcPr>
            <w:tcW w:w="5000" w:type="pct"/>
            <w:gridSpan w:val="13"/>
            <w:vAlign w:val="center"/>
          </w:tcPr>
          <w:p w:rsidR="00EE56C0" w:rsidRDefault="000F36A1">
            <w:pPr>
              <w:pStyle w:val="afa"/>
              <w:rPr>
                <w:b/>
              </w:rPr>
            </w:pPr>
            <w:r>
              <w:rPr>
                <w:rFonts w:hint="eastAsia"/>
                <w:b/>
              </w:rPr>
              <w:t>改扩建完成后全厂</w:t>
            </w:r>
          </w:p>
        </w:tc>
      </w:tr>
      <w:tr w:rsidR="00EE56C0">
        <w:trPr>
          <w:trHeight w:val="397"/>
          <w:jc w:val="center"/>
        </w:trPr>
        <w:tc>
          <w:tcPr>
            <w:tcW w:w="470" w:type="pct"/>
            <w:vMerge w:val="restart"/>
            <w:vAlign w:val="center"/>
          </w:tcPr>
          <w:p w:rsidR="00EE56C0" w:rsidRDefault="000F36A1">
            <w:pPr>
              <w:pStyle w:val="afa"/>
            </w:pPr>
            <w:r>
              <w:t>原辅料</w:t>
            </w:r>
          </w:p>
        </w:tc>
        <w:tc>
          <w:tcPr>
            <w:tcW w:w="1017" w:type="pct"/>
            <w:gridSpan w:val="5"/>
            <w:vAlign w:val="center"/>
          </w:tcPr>
          <w:p w:rsidR="00EE56C0" w:rsidRDefault="000F36A1">
            <w:pPr>
              <w:pStyle w:val="afa"/>
            </w:pPr>
            <w:r>
              <w:t>铜杆</w:t>
            </w:r>
          </w:p>
        </w:tc>
        <w:tc>
          <w:tcPr>
            <w:tcW w:w="654" w:type="pct"/>
            <w:vAlign w:val="center"/>
          </w:tcPr>
          <w:p w:rsidR="00EE56C0" w:rsidRDefault="000F36A1">
            <w:pPr>
              <w:pStyle w:val="afa"/>
            </w:pPr>
            <w:r>
              <w:t>2t/</w:t>
            </w:r>
            <w:r>
              <w:t>盘</w:t>
            </w:r>
          </w:p>
        </w:tc>
        <w:tc>
          <w:tcPr>
            <w:tcW w:w="915" w:type="pct"/>
            <w:gridSpan w:val="4"/>
            <w:vAlign w:val="center"/>
          </w:tcPr>
          <w:p w:rsidR="00EE56C0" w:rsidRDefault="000F36A1">
            <w:pPr>
              <w:spacing w:line="240" w:lineRule="auto"/>
              <w:ind w:firstLineChars="0" w:firstLine="0"/>
              <w:jc w:val="center"/>
              <w:rPr>
                <w:sz w:val="21"/>
                <w:szCs w:val="21"/>
              </w:rPr>
            </w:pPr>
            <w:r>
              <w:rPr>
                <w:sz w:val="21"/>
                <w:szCs w:val="21"/>
              </w:rPr>
              <w:t>93630</w:t>
            </w:r>
          </w:p>
        </w:tc>
        <w:tc>
          <w:tcPr>
            <w:tcW w:w="1944" w:type="pct"/>
            <w:gridSpan w:val="2"/>
            <w:vAlign w:val="center"/>
          </w:tcPr>
          <w:p w:rsidR="00EE56C0" w:rsidRDefault="000F36A1">
            <w:pPr>
              <w:pStyle w:val="afa"/>
            </w:pPr>
            <w:r>
              <w:t>外购</w:t>
            </w:r>
          </w:p>
        </w:tc>
      </w:tr>
      <w:tr w:rsidR="00EE56C0">
        <w:trPr>
          <w:trHeight w:val="397"/>
          <w:jc w:val="center"/>
        </w:trPr>
        <w:tc>
          <w:tcPr>
            <w:tcW w:w="470" w:type="pct"/>
            <w:vMerge/>
            <w:vAlign w:val="center"/>
          </w:tcPr>
          <w:p w:rsidR="00EE56C0" w:rsidRDefault="00EE56C0">
            <w:pPr>
              <w:pStyle w:val="afa"/>
            </w:pPr>
          </w:p>
        </w:tc>
        <w:tc>
          <w:tcPr>
            <w:tcW w:w="1017" w:type="pct"/>
            <w:gridSpan w:val="5"/>
            <w:vAlign w:val="center"/>
          </w:tcPr>
          <w:p w:rsidR="00EE56C0" w:rsidRDefault="000F36A1">
            <w:pPr>
              <w:pStyle w:val="afa"/>
            </w:pPr>
            <w:r>
              <w:rPr>
                <w:rFonts w:hint="eastAsia"/>
              </w:rPr>
              <w:t>铝</w:t>
            </w:r>
            <w:r>
              <w:t>杆</w:t>
            </w:r>
          </w:p>
        </w:tc>
        <w:tc>
          <w:tcPr>
            <w:tcW w:w="654" w:type="pct"/>
            <w:vAlign w:val="center"/>
          </w:tcPr>
          <w:p w:rsidR="00EE56C0" w:rsidRDefault="000F36A1">
            <w:pPr>
              <w:pStyle w:val="afa"/>
            </w:pPr>
            <w:r>
              <w:t>2t/</w:t>
            </w:r>
            <w:r>
              <w:t>盘</w:t>
            </w:r>
          </w:p>
        </w:tc>
        <w:tc>
          <w:tcPr>
            <w:tcW w:w="915" w:type="pct"/>
            <w:gridSpan w:val="4"/>
            <w:vAlign w:val="center"/>
          </w:tcPr>
          <w:p w:rsidR="00EE56C0" w:rsidRDefault="000F36A1">
            <w:pPr>
              <w:spacing w:line="240" w:lineRule="auto"/>
              <w:ind w:firstLineChars="0" w:firstLine="0"/>
              <w:jc w:val="center"/>
              <w:rPr>
                <w:sz w:val="21"/>
                <w:szCs w:val="21"/>
              </w:rPr>
            </w:pPr>
            <w:r>
              <w:rPr>
                <w:sz w:val="21"/>
                <w:szCs w:val="21"/>
              </w:rPr>
              <w:t>5000</w:t>
            </w:r>
          </w:p>
        </w:tc>
        <w:tc>
          <w:tcPr>
            <w:tcW w:w="1944" w:type="pct"/>
            <w:gridSpan w:val="2"/>
            <w:vAlign w:val="center"/>
          </w:tcPr>
          <w:p w:rsidR="00EE56C0" w:rsidRDefault="000F36A1">
            <w:pPr>
              <w:pStyle w:val="afa"/>
            </w:pPr>
            <w:r>
              <w:t>外购</w:t>
            </w:r>
          </w:p>
        </w:tc>
      </w:tr>
      <w:tr w:rsidR="00EE56C0">
        <w:trPr>
          <w:trHeight w:val="346"/>
          <w:jc w:val="center"/>
        </w:trPr>
        <w:tc>
          <w:tcPr>
            <w:tcW w:w="470" w:type="pct"/>
            <w:vMerge/>
            <w:vAlign w:val="center"/>
          </w:tcPr>
          <w:p w:rsidR="00EE56C0" w:rsidRDefault="00EE56C0">
            <w:pPr>
              <w:pStyle w:val="afa"/>
            </w:pPr>
          </w:p>
        </w:tc>
        <w:tc>
          <w:tcPr>
            <w:tcW w:w="508" w:type="pct"/>
            <w:gridSpan w:val="3"/>
            <w:vMerge w:val="restart"/>
            <w:vAlign w:val="center"/>
          </w:tcPr>
          <w:p w:rsidR="00EE56C0" w:rsidRPr="00085BB7" w:rsidRDefault="000F36A1">
            <w:pPr>
              <w:pStyle w:val="afa"/>
              <w:rPr>
                <w:b/>
                <w:u w:val="single"/>
              </w:rPr>
            </w:pPr>
            <w:r w:rsidRPr="00085BB7">
              <w:rPr>
                <w:rFonts w:hint="eastAsia"/>
                <w:b/>
                <w:u w:val="single"/>
              </w:rPr>
              <w:t>高温绝缘漆</w:t>
            </w:r>
          </w:p>
        </w:tc>
        <w:tc>
          <w:tcPr>
            <w:tcW w:w="509" w:type="pct"/>
            <w:gridSpan w:val="2"/>
            <w:vAlign w:val="center"/>
          </w:tcPr>
          <w:p w:rsidR="00EE56C0" w:rsidRPr="00085BB7" w:rsidRDefault="000F36A1">
            <w:pPr>
              <w:pStyle w:val="afa"/>
              <w:rPr>
                <w:b/>
                <w:u w:val="single"/>
              </w:rPr>
            </w:pPr>
            <w:r w:rsidRPr="00085BB7">
              <w:rPr>
                <w:rFonts w:hint="eastAsia"/>
                <w:b/>
                <w:u w:val="single"/>
              </w:rPr>
              <w:t>聚酯漆</w:t>
            </w:r>
          </w:p>
        </w:tc>
        <w:tc>
          <w:tcPr>
            <w:tcW w:w="654" w:type="pct"/>
            <w:vAlign w:val="center"/>
          </w:tcPr>
          <w:p w:rsidR="00EE56C0" w:rsidRPr="00085BB7" w:rsidRDefault="000F36A1">
            <w:pPr>
              <w:pStyle w:val="afa"/>
              <w:rPr>
                <w:b/>
                <w:u w:val="single"/>
              </w:rPr>
            </w:pPr>
            <w:r w:rsidRPr="00085BB7">
              <w:rPr>
                <w:b/>
                <w:u w:val="single"/>
              </w:rPr>
              <w:t>1t/</w:t>
            </w:r>
            <w:r w:rsidRPr="00085BB7">
              <w:rPr>
                <w:b/>
                <w:u w:val="single"/>
              </w:rPr>
              <w:t>桶</w:t>
            </w:r>
          </w:p>
        </w:tc>
        <w:tc>
          <w:tcPr>
            <w:tcW w:w="501" w:type="pct"/>
            <w:gridSpan w:val="2"/>
            <w:vAlign w:val="center"/>
          </w:tcPr>
          <w:p w:rsidR="00EE56C0" w:rsidRPr="00085BB7" w:rsidRDefault="00085BB7">
            <w:pPr>
              <w:spacing w:line="240" w:lineRule="auto"/>
              <w:ind w:firstLineChars="0" w:firstLine="0"/>
              <w:jc w:val="center"/>
              <w:rPr>
                <w:b/>
                <w:sz w:val="21"/>
                <w:szCs w:val="21"/>
                <w:u w:val="single"/>
              </w:rPr>
            </w:pPr>
            <w:r w:rsidRPr="00085BB7">
              <w:rPr>
                <w:rFonts w:hint="eastAsia"/>
                <w:b/>
                <w:sz w:val="21"/>
                <w:szCs w:val="21"/>
                <w:u w:val="single"/>
              </w:rPr>
              <w:t>2979</w:t>
            </w:r>
          </w:p>
        </w:tc>
        <w:tc>
          <w:tcPr>
            <w:tcW w:w="414" w:type="pct"/>
            <w:gridSpan w:val="2"/>
            <w:vMerge w:val="restart"/>
            <w:vAlign w:val="center"/>
          </w:tcPr>
          <w:p w:rsidR="00EE56C0" w:rsidRPr="00085BB7" w:rsidRDefault="00085BB7">
            <w:pPr>
              <w:pStyle w:val="afa"/>
              <w:rPr>
                <w:b/>
                <w:u w:val="single"/>
              </w:rPr>
            </w:pPr>
            <w:r w:rsidRPr="00085BB7">
              <w:rPr>
                <w:rFonts w:hint="eastAsia"/>
                <w:b/>
                <w:u w:val="single"/>
              </w:rPr>
              <w:t>39</w:t>
            </w:r>
            <w:r w:rsidR="000F36A1" w:rsidRPr="00085BB7">
              <w:rPr>
                <w:rFonts w:hint="eastAsia"/>
                <w:b/>
                <w:u w:val="single"/>
              </w:rPr>
              <w:t>70</w:t>
            </w:r>
          </w:p>
        </w:tc>
        <w:tc>
          <w:tcPr>
            <w:tcW w:w="1944" w:type="pct"/>
            <w:gridSpan w:val="2"/>
            <w:vAlign w:val="center"/>
          </w:tcPr>
          <w:p w:rsidR="00EE56C0" w:rsidRPr="00085BB7" w:rsidRDefault="000F36A1">
            <w:pPr>
              <w:pStyle w:val="afa"/>
              <w:rPr>
                <w:b/>
                <w:u w:val="single"/>
              </w:rPr>
            </w:pPr>
            <w:r w:rsidRPr="00085BB7">
              <w:rPr>
                <w:b/>
                <w:u w:val="single"/>
              </w:rPr>
              <w:t>聚酯树脂</w:t>
            </w:r>
            <w:r w:rsidRPr="00085BB7">
              <w:rPr>
                <w:rFonts w:hint="eastAsia"/>
                <w:b/>
                <w:u w:val="single"/>
              </w:rPr>
              <w:t>44%</w:t>
            </w:r>
            <w:r w:rsidRPr="00085BB7">
              <w:rPr>
                <w:rFonts w:hint="eastAsia"/>
                <w:b/>
                <w:u w:val="single"/>
              </w:rPr>
              <w:t>、苯酚</w:t>
            </w:r>
            <w:r w:rsidRPr="00085BB7">
              <w:rPr>
                <w:rFonts w:hint="eastAsia"/>
                <w:b/>
                <w:u w:val="single"/>
              </w:rPr>
              <w:t>20~30%</w:t>
            </w:r>
            <w:r w:rsidRPr="00085BB7">
              <w:rPr>
                <w:rFonts w:hint="eastAsia"/>
                <w:b/>
                <w:u w:val="single"/>
              </w:rPr>
              <w:t>、甲酚</w:t>
            </w:r>
            <w:r w:rsidRPr="00085BB7">
              <w:rPr>
                <w:rFonts w:hint="eastAsia"/>
                <w:b/>
                <w:u w:val="single"/>
              </w:rPr>
              <w:t>10~20%</w:t>
            </w:r>
            <w:r w:rsidRPr="00085BB7">
              <w:rPr>
                <w:rFonts w:hint="eastAsia"/>
                <w:b/>
                <w:u w:val="single"/>
              </w:rPr>
              <w:t>、芳烃溶剂油</w:t>
            </w:r>
            <w:r w:rsidRPr="00085BB7">
              <w:rPr>
                <w:rFonts w:hint="eastAsia"/>
                <w:b/>
                <w:u w:val="single"/>
              </w:rPr>
              <w:t>15~25%</w:t>
            </w:r>
          </w:p>
        </w:tc>
      </w:tr>
      <w:tr w:rsidR="00EE56C0">
        <w:trPr>
          <w:trHeight w:val="456"/>
          <w:jc w:val="center"/>
        </w:trPr>
        <w:tc>
          <w:tcPr>
            <w:tcW w:w="470" w:type="pct"/>
            <w:vMerge/>
            <w:vAlign w:val="center"/>
          </w:tcPr>
          <w:p w:rsidR="00EE56C0" w:rsidRDefault="00EE56C0">
            <w:pPr>
              <w:pStyle w:val="afa"/>
            </w:pPr>
          </w:p>
        </w:tc>
        <w:tc>
          <w:tcPr>
            <w:tcW w:w="508" w:type="pct"/>
            <w:gridSpan w:val="3"/>
            <w:vMerge/>
            <w:vAlign w:val="center"/>
          </w:tcPr>
          <w:p w:rsidR="00EE56C0" w:rsidRPr="00085BB7" w:rsidRDefault="00EE56C0">
            <w:pPr>
              <w:pStyle w:val="afa"/>
              <w:rPr>
                <w:b/>
                <w:u w:val="single"/>
              </w:rPr>
            </w:pPr>
          </w:p>
        </w:tc>
        <w:tc>
          <w:tcPr>
            <w:tcW w:w="509" w:type="pct"/>
            <w:gridSpan w:val="2"/>
            <w:vAlign w:val="center"/>
          </w:tcPr>
          <w:p w:rsidR="00EE56C0" w:rsidRPr="00085BB7" w:rsidRDefault="000F36A1">
            <w:pPr>
              <w:pStyle w:val="afa"/>
              <w:rPr>
                <w:b/>
                <w:u w:val="single"/>
              </w:rPr>
            </w:pPr>
            <w:r w:rsidRPr="00085BB7">
              <w:rPr>
                <w:rFonts w:hint="eastAsia"/>
                <w:b/>
                <w:u w:val="single"/>
              </w:rPr>
              <w:t>聚酰胺酰亚胺</w:t>
            </w:r>
            <w:r w:rsidRPr="00085BB7">
              <w:rPr>
                <w:rFonts w:hint="eastAsia"/>
                <w:b/>
                <w:u w:val="single"/>
              </w:rPr>
              <w:lastRenderedPageBreak/>
              <w:t>漆</w:t>
            </w:r>
          </w:p>
        </w:tc>
        <w:tc>
          <w:tcPr>
            <w:tcW w:w="654" w:type="pct"/>
            <w:vAlign w:val="center"/>
          </w:tcPr>
          <w:p w:rsidR="00EE56C0" w:rsidRPr="00085BB7" w:rsidRDefault="000F36A1">
            <w:pPr>
              <w:pStyle w:val="afa"/>
              <w:rPr>
                <w:b/>
                <w:u w:val="single"/>
              </w:rPr>
            </w:pPr>
            <w:r w:rsidRPr="00085BB7">
              <w:rPr>
                <w:b/>
                <w:u w:val="single"/>
              </w:rPr>
              <w:lastRenderedPageBreak/>
              <w:t>1t/</w:t>
            </w:r>
            <w:r w:rsidRPr="00085BB7">
              <w:rPr>
                <w:b/>
                <w:u w:val="single"/>
              </w:rPr>
              <w:t>桶</w:t>
            </w:r>
          </w:p>
        </w:tc>
        <w:tc>
          <w:tcPr>
            <w:tcW w:w="501" w:type="pct"/>
            <w:gridSpan w:val="2"/>
            <w:vAlign w:val="center"/>
          </w:tcPr>
          <w:p w:rsidR="00EE56C0" w:rsidRPr="00085BB7" w:rsidRDefault="00085BB7">
            <w:pPr>
              <w:spacing w:line="240" w:lineRule="auto"/>
              <w:ind w:firstLineChars="0" w:firstLine="0"/>
              <w:jc w:val="center"/>
              <w:rPr>
                <w:b/>
                <w:sz w:val="21"/>
                <w:szCs w:val="21"/>
                <w:u w:val="single"/>
              </w:rPr>
            </w:pPr>
            <w:r w:rsidRPr="00085BB7">
              <w:rPr>
                <w:rFonts w:hint="eastAsia"/>
                <w:b/>
                <w:sz w:val="21"/>
                <w:szCs w:val="21"/>
                <w:u w:val="single"/>
              </w:rPr>
              <w:t>991</w:t>
            </w:r>
          </w:p>
        </w:tc>
        <w:tc>
          <w:tcPr>
            <w:tcW w:w="414" w:type="pct"/>
            <w:gridSpan w:val="2"/>
            <w:vMerge/>
            <w:vAlign w:val="center"/>
          </w:tcPr>
          <w:p w:rsidR="00EE56C0" w:rsidRPr="00085BB7" w:rsidRDefault="00EE56C0">
            <w:pPr>
              <w:pStyle w:val="afa"/>
              <w:rPr>
                <w:b/>
                <w:u w:val="single"/>
              </w:rPr>
            </w:pPr>
          </w:p>
        </w:tc>
        <w:tc>
          <w:tcPr>
            <w:tcW w:w="1944" w:type="pct"/>
            <w:gridSpan w:val="2"/>
            <w:vAlign w:val="center"/>
          </w:tcPr>
          <w:p w:rsidR="00EE56C0" w:rsidRPr="00085BB7" w:rsidRDefault="000F36A1">
            <w:pPr>
              <w:pStyle w:val="afa"/>
              <w:rPr>
                <w:b/>
                <w:u w:val="single"/>
              </w:rPr>
            </w:pPr>
            <w:r w:rsidRPr="00085BB7">
              <w:rPr>
                <w:rFonts w:hint="eastAsia"/>
                <w:b/>
                <w:u w:val="single"/>
              </w:rPr>
              <w:t>聚酰胺酰亚胺树脂（</w:t>
            </w:r>
            <w:r w:rsidRPr="00085BB7">
              <w:rPr>
                <w:rFonts w:hint="eastAsia"/>
                <w:b/>
                <w:u w:val="single"/>
              </w:rPr>
              <w:t>20~40%</w:t>
            </w:r>
            <w:r w:rsidRPr="00085BB7">
              <w:rPr>
                <w:rFonts w:hint="eastAsia"/>
                <w:b/>
                <w:u w:val="single"/>
              </w:rPr>
              <w:t>）、</w:t>
            </w:r>
            <w:r w:rsidR="007B2328" w:rsidRPr="007B2328">
              <w:rPr>
                <w:rFonts w:hint="eastAsia"/>
                <w:b/>
                <w:u w:val="single"/>
              </w:rPr>
              <w:t>NMP</w:t>
            </w:r>
            <w:r w:rsidR="007B2328" w:rsidRPr="007B2328">
              <w:rPr>
                <w:rFonts w:hint="eastAsia"/>
                <w:b/>
                <w:u w:val="single"/>
              </w:rPr>
              <w:t>、</w:t>
            </w:r>
            <w:r w:rsidR="007B2328" w:rsidRPr="007B2328">
              <w:rPr>
                <w:rFonts w:hint="eastAsia"/>
                <w:b/>
                <w:u w:val="single"/>
              </w:rPr>
              <w:t>N,N-</w:t>
            </w:r>
            <w:r w:rsidR="007B2328" w:rsidRPr="007B2328">
              <w:rPr>
                <w:rFonts w:hint="eastAsia"/>
                <w:b/>
                <w:u w:val="single"/>
              </w:rPr>
              <w:t>二甲基乙酰胺、</w:t>
            </w:r>
            <w:r w:rsidR="007B2328" w:rsidRPr="007B2328">
              <w:rPr>
                <w:rFonts w:hint="eastAsia"/>
                <w:b/>
                <w:u w:val="single"/>
              </w:rPr>
              <w:t>N,N-</w:t>
            </w:r>
            <w:r w:rsidR="007B2328" w:rsidRPr="007B2328">
              <w:rPr>
                <w:rFonts w:hint="eastAsia"/>
                <w:b/>
                <w:u w:val="single"/>
              </w:rPr>
              <w:lastRenderedPageBreak/>
              <w:t>二甲基甲酰胺</w:t>
            </w:r>
            <w:r w:rsidRPr="00085BB7">
              <w:rPr>
                <w:rFonts w:hint="eastAsia"/>
                <w:b/>
                <w:u w:val="single"/>
              </w:rPr>
              <w:t>20~70%</w:t>
            </w:r>
            <w:r w:rsidRPr="00085BB7">
              <w:rPr>
                <w:rFonts w:hint="eastAsia"/>
                <w:b/>
                <w:u w:val="single"/>
              </w:rPr>
              <w:t>、二甲苯</w:t>
            </w:r>
            <w:r w:rsidRPr="00085BB7">
              <w:rPr>
                <w:rFonts w:hint="eastAsia"/>
                <w:b/>
                <w:u w:val="single"/>
              </w:rPr>
              <w:t>0~15%</w:t>
            </w:r>
          </w:p>
        </w:tc>
      </w:tr>
      <w:tr w:rsidR="00EE56C0">
        <w:trPr>
          <w:trHeight w:val="397"/>
          <w:jc w:val="center"/>
        </w:trPr>
        <w:tc>
          <w:tcPr>
            <w:tcW w:w="470" w:type="pct"/>
            <w:vMerge/>
            <w:vAlign w:val="center"/>
          </w:tcPr>
          <w:p w:rsidR="00EE56C0" w:rsidRDefault="00EE56C0">
            <w:pPr>
              <w:pStyle w:val="afa"/>
            </w:pPr>
          </w:p>
        </w:tc>
        <w:tc>
          <w:tcPr>
            <w:tcW w:w="1017" w:type="pct"/>
            <w:gridSpan w:val="5"/>
            <w:vAlign w:val="center"/>
          </w:tcPr>
          <w:p w:rsidR="00EE56C0" w:rsidRPr="00085BB7" w:rsidRDefault="000F36A1">
            <w:pPr>
              <w:pStyle w:val="afa"/>
              <w:rPr>
                <w:b/>
                <w:u w:val="single"/>
              </w:rPr>
            </w:pPr>
            <w:r w:rsidRPr="00085BB7">
              <w:rPr>
                <w:rFonts w:hint="eastAsia"/>
                <w:b/>
                <w:u w:val="single"/>
              </w:rPr>
              <w:t>R-1449-G</w:t>
            </w:r>
            <w:r w:rsidRPr="00085BB7">
              <w:rPr>
                <w:rFonts w:hint="eastAsia"/>
                <w:b/>
                <w:u w:val="single"/>
              </w:rPr>
              <w:t>漆：玻璃丝包专用漆</w:t>
            </w:r>
          </w:p>
        </w:tc>
        <w:tc>
          <w:tcPr>
            <w:tcW w:w="654" w:type="pct"/>
            <w:vAlign w:val="center"/>
          </w:tcPr>
          <w:p w:rsidR="00EE56C0" w:rsidRPr="00085BB7" w:rsidRDefault="000F36A1">
            <w:pPr>
              <w:pStyle w:val="afa"/>
              <w:rPr>
                <w:b/>
                <w:u w:val="single"/>
              </w:rPr>
            </w:pPr>
            <w:r w:rsidRPr="00085BB7">
              <w:rPr>
                <w:rFonts w:hint="eastAsia"/>
                <w:b/>
                <w:u w:val="single"/>
              </w:rPr>
              <w:t>25kg/</w:t>
            </w:r>
            <w:r w:rsidRPr="00085BB7">
              <w:rPr>
                <w:rFonts w:hint="eastAsia"/>
                <w:b/>
                <w:u w:val="single"/>
              </w:rPr>
              <w:t>桶</w:t>
            </w:r>
          </w:p>
        </w:tc>
        <w:tc>
          <w:tcPr>
            <w:tcW w:w="915" w:type="pct"/>
            <w:gridSpan w:val="4"/>
            <w:vAlign w:val="center"/>
          </w:tcPr>
          <w:p w:rsidR="00EE56C0" w:rsidRPr="00085BB7" w:rsidRDefault="00085BB7" w:rsidP="00085BB7">
            <w:pPr>
              <w:pStyle w:val="afa"/>
              <w:rPr>
                <w:b/>
                <w:u w:val="single"/>
              </w:rPr>
            </w:pPr>
            <w:r w:rsidRPr="00085BB7">
              <w:rPr>
                <w:rFonts w:hint="eastAsia"/>
                <w:b/>
                <w:u w:val="single"/>
              </w:rPr>
              <w:t>175.8</w:t>
            </w:r>
          </w:p>
        </w:tc>
        <w:tc>
          <w:tcPr>
            <w:tcW w:w="1944" w:type="pct"/>
            <w:gridSpan w:val="2"/>
            <w:vAlign w:val="center"/>
          </w:tcPr>
          <w:p w:rsidR="00EE56C0" w:rsidRPr="00085BB7" w:rsidRDefault="000F36A1">
            <w:pPr>
              <w:pStyle w:val="afa"/>
              <w:rPr>
                <w:b/>
                <w:u w:val="single"/>
              </w:rPr>
            </w:pPr>
            <w:r w:rsidRPr="00085BB7">
              <w:rPr>
                <w:rFonts w:hint="eastAsia"/>
                <w:b/>
                <w:u w:val="single"/>
              </w:rPr>
              <w:t>环氧改性聚酯树脂</w:t>
            </w:r>
            <w:r w:rsidRPr="00085BB7">
              <w:rPr>
                <w:rFonts w:hint="eastAsia"/>
                <w:b/>
                <w:u w:val="single"/>
              </w:rPr>
              <w:t>60~65</w:t>
            </w:r>
            <w:r w:rsidRPr="00085BB7">
              <w:rPr>
                <w:b/>
                <w:u w:val="single"/>
              </w:rPr>
              <w:t>%</w:t>
            </w:r>
            <w:r w:rsidRPr="00085BB7">
              <w:rPr>
                <w:rFonts w:hint="eastAsia"/>
                <w:b/>
                <w:u w:val="single"/>
              </w:rPr>
              <w:t>，甲苯</w:t>
            </w:r>
            <w:r w:rsidRPr="00085BB7">
              <w:rPr>
                <w:rFonts w:hint="eastAsia"/>
                <w:b/>
                <w:u w:val="single"/>
              </w:rPr>
              <w:t>10~</w:t>
            </w:r>
            <w:r w:rsidRPr="00085BB7">
              <w:rPr>
                <w:b/>
                <w:u w:val="single"/>
              </w:rPr>
              <w:t>15%</w:t>
            </w:r>
            <w:r w:rsidRPr="00085BB7">
              <w:rPr>
                <w:rFonts w:hint="eastAsia"/>
                <w:b/>
                <w:u w:val="single"/>
              </w:rPr>
              <w:t>，二甲苯</w:t>
            </w:r>
            <w:r w:rsidRPr="00085BB7">
              <w:rPr>
                <w:rFonts w:hint="eastAsia"/>
                <w:b/>
                <w:u w:val="single"/>
              </w:rPr>
              <w:t>10~</w:t>
            </w:r>
            <w:r w:rsidRPr="00085BB7">
              <w:rPr>
                <w:b/>
                <w:u w:val="single"/>
              </w:rPr>
              <w:t>15%</w:t>
            </w:r>
            <w:r w:rsidRPr="00085BB7">
              <w:rPr>
                <w:rFonts w:hint="eastAsia"/>
                <w:b/>
                <w:u w:val="single"/>
              </w:rPr>
              <w:t>，丁醇</w:t>
            </w:r>
            <w:r w:rsidRPr="00085BB7">
              <w:rPr>
                <w:rFonts w:ascii="宋体" w:hAnsi="宋体" w:hint="eastAsia"/>
                <w:b/>
                <w:u w:val="single"/>
              </w:rPr>
              <w:t>＜</w:t>
            </w:r>
            <w:r w:rsidRPr="00085BB7">
              <w:rPr>
                <w:rFonts w:hint="eastAsia"/>
                <w:b/>
                <w:u w:val="single"/>
              </w:rPr>
              <w:t>5%</w:t>
            </w:r>
            <w:r w:rsidRPr="00085BB7">
              <w:rPr>
                <w:rFonts w:hint="eastAsia"/>
                <w:b/>
                <w:u w:val="single"/>
              </w:rPr>
              <w:t>，助剂（含苯）</w:t>
            </w:r>
            <w:r w:rsidRPr="00085BB7">
              <w:rPr>
                <w:rFonts w:ascii="宋体" w:hAnsi="宋体" w:hint="eastAsia"/>
                <w:b/>
                <w:u w:val="single"/>
              </w:rPr>
              <w:t>＜</w:t>
            </w:r>
            <w:r w:rsidRPr="00085BB7">
              <w:rPr>
                <w:rFonts w:hint="eastAsia"/>
                <w:b/>
                <w:u w:val="single"/>
              </w:rPr>
              <w:t>5%</w:t>
            </w:r>
          </w:p>
        </w:tc>
      </w:tr>
      <w:tr w:rsidR="00EE56C0">
        <w:trPr>
          <w:trHeight w:val="466"/>
          <w:jc w:val="center"/>
        </w:trPr>
        <w:tc>
          <w:tcPr>
            <w:tcW w:w="470" w:type="pct"/>
            <w:vMerge/>
            <w:vAlign w:val="center"/>
          </w:tcPr>
          <w:p w:rsidR="00EE56C0" w:rsidRDefault="00EE56C0">
            <w:pPr>
              <w:pStyle w:val="afa"/>
            </w:pPr>
          </w:p>
        </w:tc>
        <w:tc>
          <w:tcPr>
            <w:tcW w:w="1017" w:type="pct"/>
            <w:gridSpan w:val="5"/>
            <w:vAlign w:val="center"/>
          </w:tcPr>
          <w:p w:rsidR="00EE56C0" w:rsidRDefault="000F36A1">
            <w:pPr>
              <w:pStyle w:val="afa"/>
            </w:pPr>
            <w:r>
              <w:rPr>
                <w:rFonts w:hint="eastAsia"/>
              </w:rPr>
              <w:t>纸</w:t>
            </w:r>
          </w:p>
        </w:tc>
        <w:tc>
          <w:tcPr>
            <w:tcW w:w="654" w:type="pct"/>
            <w:vAlign w:val="center"/>
          </w:tcPr>
          <w:p w:rsidR="00EE56C0" w:rsidRDefault="000F36A1">
            <w:pPr>
              <w:pStyle w:val="afa"/>
            </w:pPr>
            <w:r>
              <w:rPr>
                <w:rFonts w:hint="eastAsia"/>
              </w:rPr>
              <w:t>/</w:t>
            </w:r>
          </w:p>
        </w:tc>
        <w:tc>
          <w:tcPr>
            <w:tcW w:w="915" w:type="pct"/>
            <w:gridSpan w:val="4"/>
            <w:vAlign w:val="center"/>
          </w:tcPr>
          <w:p w:rsidR="00EE56C0" w:rsidRDefault="000F36A1">
            <w:pPr>
              <w:spacing w:line="240" w:lineRule="auto"/>
              <w:ind w:firstLineChars="0" w:firstLine="0"/>
              <w:jc w:val="center"/>
              <w:rPr>
                <w:sz w:val="21"/>
                <w:szCs w:val="21"/>
              </w:rPr>
            </w:pPr>
            <w:r>
              <w:rPr>
                <w:sz w:val="21"/>
                <w:szCs w:val="21"/>
              </w:rPr>
              <w:t>163.2</w:t>
            </w:r>
          </w:p>
        </w:tc>
        <w:tc>
          <w:tcPr>
            <w:tcW w:w="1944" w:type="pct"/>
            <w:gridSpan w:val="2"/>
            <w:vAlign w:val="center"/>
          </w:tcPr>
          <w:p w:rsidR="00EE56C0" w:rsidRDefault="000F36A1">
            <w:pPr>
              <w:pStyle w:val="afa"/>
            </w:pPr>
            <w:r>
              <w:rPr>
                <w:rFonts w:hint="eastAsia"/>
              </w:rPr>
              <w:t>/</w:t>
            </w:r>
          </w:p>
        </w:tc>
      </w:tr>
      <w:tr w:rsidR="00EE56C0">
        <w:trPr>
          <w:trHeight w:val="397"/>
          <w:jc w:val="center"/>
        </w:trPr>
        <w:tc>
          <w:tcPr>
            <w:tcW w:w="470" w:type="pct"/>
            <w:vMerge/>
            <w:vAlign w:val="center"/>
          </w:tcPr>
          <w:p w:rsidR="00EE56C0" w:rsidRDefault="00EE56C0">
            <w:pPr>
              <w:pStyle w:val="afa"/>
            </w:pPr>
          </w:p>
        </w:tc>
        <w:tc>
          <w:tcPr>
            <w:tcW w:w="1017" w:type="pct"/>
            <w:gridSpan w:val="5"/>
            <w:vAlign w:val="center"/>
          </w:tcPr>
          <w:p w:rsidR="00EE56C0" w:rsidRDefault="000F36A1">
            <w:pPr>
              <w:pStyle w:val="afa"/>
            </w:pPr>
            <w:r>
              <w:rPr>
                <w:rFonts w:hint="eastAsia"/>
              </w:rPr>
              <w:t>玻璃纱</w:t>
            </w:r>
          </w:p>
        </w:tc>
        <w:tc>
          <w:tcPr>
            <w:tcW w:w="654" w:type="pct"/>
            <w:vAlign w:val="center"/>
          </w:tcPr>
          <w:p w:rsidR="00EE56C0" w:rsidRDefault="000F36A1">
            <w:pPr>
              <w:pStyle w:val="afa"/>
            </w:pPr>
            <w:r>
              <w:rPr>
                <w:rFonts w:hint="eastAsia"/>
              </w:rPr>
              <w:t>/</w:t>
            </w:r>
          </w:p>
        </w:tc>
        <w:tc>
          <w:tcPr>
            <w:tcW w:w="915" w:type="pct"/>
            <w:gridSpan w:val="4"/>
            <w:vAlign w:val="center"/>
          </w:tcPr>
          <w:p w:rsidR="00EE56C0" w:rsidRDefault="000F36A1">
            <w:pPr>
              <w:spacing w:line="240" w:lineRule="auto"/>
              <w:ind w:firstLineChars="0" w:firstLine="0"/>
              <w:jc w:val="center"/>
              <w:rPr>
                <w:sz w:val="21"/>
                <w:szCs w:val="21"/>
              </w:rPr>
            </w:pPr>
            <w:r>
              <w:rPr>
                <w:sz w:val="21"/>
                <w:szCs w:val="21"/>
              </w:rPr>
              <w:t>300</w:t>
            </w:r>
          </w:p>
        </w:tc>
        <w:tc>
          <w:tcPr>
            <w:tcW w:w="1944" w:type="pct"/>
            <w:gridSpan w:val="2"/>
            <w:vAlign w:val="center"/>
          </w:tcPr>
          <w:p w:rsidR="00EE56C0" w:rsidRDefault="000F36A1">
            <w:pPr>
              <w:pStyle w:val="afa"/>
            </w:pPr>
            <w:r>
              <w:t>粘纤</w:t>
            </w:r>
            <w:r>
              <w:rPr>
                <w:rFonts w:hint="eastAsia"/>
              </w:rPr>
              <w:t>：</w:t>
            </w:r>
            <w:r>
              <w:t>93.1%</w:t>
            </w:r>
            <w:r>
              <w:rPr>
                <w:rFonts w:hint="eastAsia"/>
              </w:rPr>
              <w:t>、</w:t>
            </w:r>
            <w:r>
              <w:t>氨纶</w:t>
            </w:r>
            <w:r>
              <w:rPr>
                <w:rFonts w:hint="eastAsia"/>
              </w:rPr>
              <w:t>：</w:t>
            </w:r>
            <w:r>
              <w:t>6.9%</w:t>
            </w:r>
          </w:p>
        </w:tc>
      </w:tr>
      <w:tr w:rsidR="00EE56C0">
        <w:trPr>
          <w:trHeight w:val="397"/>
          <w:jc w:val="center"/>
        </w:trPr>
        <w:tc>
          <w:tcPr>
            <w:tcW w:w="470" w:type="pct"/>
            <w:vMerge/>
            <w:vAlign w:val="center"/>
          </w:tcPr>
          <w:p w:rsidR="00EE56C0" w:rsidRDefault="00EE56C0">
            <w:pPr>
              <w:pStyle w:val="afa"/>
            </w:pPr>
          </w:p>
        </w:tc>
        <w:tc>
          <w:tcPr>
            <w:tcW w:w="1017" w:type="pct"/>
            <w:gridSpan w:val="5"/>
            <w:vAlign w:val="center"/>
          </w:tcPr>
          <w:p w:rsidR="00EE56C0" w:rsidRDefault="000F36A1">
            <w:pPr>
              <w:pStyle w:val="afa"/>
            </w:pPr>
            <w:r>
              <w:t>聚酰亚胺</w:t>
            </w:r>
            <w:r>
              <w:rPr>
                <w:rFonts w:hint="eastAsia"/>
              </w:rPr>
              <w:t>薄膜</w:t>
            </w:r>
          </w:p>
        </w:tc>
        <w:tc>
          <w:tcPr>
            <w:tcW w:w="654" w:type="pct"/>
            <w:vAlign w:val="center"/>
          </w:tcPr>
          <w:p w:rsidR="00EE56C0" w:rsidRDefault="000F36A1">
            <w:pPr>
              <w:pStyle w:val="afa"/>
            </w:pPr>
            <w:r>
              <w:rPr>
                <w:rFonts w:hint="eastAsia"/>
              </w:rPr>
              <w:t>/</w:t>
            </w:r>
          </w:p>
        </w:tc>
        <w:tc>
          <w:tcPr>
            <w:tcW w:w="915" w:type="pct"/>
            <w:gridSpan w:val="4"/>
            <w:vAlign w:val="center"/>
          </w:tcPr>
          <w:p w:rsidR="00EE56C0" w:rsidRDefault="000F36A1">
            <w:pPr>
              <w:spacing w:line="240" w:lineRule="auto"/>
              <w:ind w:firstLineChars="0" w:firstLine="0"/>
              <w:jc w:val="center"/>
              <w:rPr>
                <w:iCs/>
                <w:sz w:val="21"/>
                <w:szCs w:val="21"/>
              </w:rPr>
            </w:pPr>
            <w:r>
              <w:rPr>
                <w:iCs/>
                <w:sz w:val="21"/>
                <w:szCs w:val="21"/>
              </w:rPr>
              <w:t>78.8</w:t>
            </w:r>
          </w:p>
        </w:tc>
        <w:tc>
          <w:tcPr>
            <w:tcW w:w="1944" w:type="pct"/>
            <w:gridSpan w:val="2"/>
            <w:vAlign w:val="center"/>
          </w:tcPr>
          <w:p w:rsidR="00EE56C0" w:rsidRDefault="000F36A1">
            <w:pPr>
              <w:pStyle w:val="afa"/>
            </w:pPr>
            <w:r>
              <w:rPr>
                <w:rFonts w:hint="eastAsia"/>
              </w:rPr>
              <w:t>/</w:t>
            </w:r>
          </w:p>
        </w:tc>
      </w:tr>
      <w:tr w:rsidR="00EE56C0">
        <w:trPr>
          <w:trHeight w:val="397"/>
          <w:jc w:val="center"/>
        </w:trPr>
        <w:tc>
          <w:tcPr>
            <w:tcW w:w="470" w:type="pct"/>
            <w:vMerge/>
            <w:vAlign w:val="center"/>
          </w:tcPr>
          <w:p w:rsidR="00EE56C0" w:rsidRDefault="00EE56C0">
            <w:pPr>
              <w:pStyle w:val="afa"/>
            </w:pPr>
          </w:p>
        </w:tc>
        <w:tc>
          <w:tcPr>
            <w:tcW w:w="1017" w:type="pct"/>
            <w:gridSpan w:val="5"/>
            <w:vAlign w:val="center"/>
          </w:tcPr>
          <w:p w:rsidR="00EE56C0" w:rsidRDefault="000F36A1">
            <w:pPr>
              <w:pStyle w:val="afa"/>
            </w:pPr>
            <w:r>
              <w:t>拉丝油</w:t>
            </w:r>
          </w:p>
        </w:tc>
        <w:tc>
          <w:tcPr>
            <w:tcW w:w="654" w:type="pct"/>
            <w:vAlign w:val="center"/>
          </w:tcPr>
          <w:p w:rsidR="00EE56C0" w:rsidRDefault="000F36A1">
            <w:pPr>
              <w:pStyle w:val="afa"/>
            </w:pPr>
            <w:r>
              <w:t>200kg/</w:t>
            </w:r>
            <w:r>
              <w:t>桶</w:t>
            </w:r>
          </w:p>
        </w:tc>
        <w:tc>
          <w:tcPr>
            <w:tcW w:w="915" w:type="pct"/>
            <w:gridSpan w:val="4"/>
            <w:vAlign w:val="center"/>
          </w:tcPr>
          <w:p w:rsidR="00EE56C0" w:rsidRDefault="000F36A1">
            <w:pPr>
              <w:pStyle w:val="afa"/>
            </w:pPr>
            <w:r>
              <w:rPr>
                <w:rFonts w:hint="eastAsia"/>
              </w:rPr>
              <w:t>24</w:t>
            </w:r>
          </w:p>
        </w:tc>
        <w:tc>
          <w:tcPr>
            <w:tcW w:w="1944" w:type="pct"/>
            <w:gridSpan w:val="2"/>
            <w:vAlign w:val="center"/>
          </w:tcPr>
          <w:p w:rsidR="00EE56C0" w:rsidRDefault="000F36A1">
            <w:pPr>
              <w:pStyle w:val="afa"/>
            </w:pPr>
            <w:r>
              <w:rPr>
                <w:rFonts w:hint="eastAsia"/>
              </w:rPr>
              <w:t>拉丝工序使</w:t>
            </w:r>
            <w:r>
              <w:t>用</w:t>
            </w:r>
          </w:p>
        </w:tc>
      </w:tr>
      <w:tr w:rsidR="00EE56C0">
        <w:trPr>
          <w:trHeight w:val="397"/>
          <w:jc w:val="center"/>
        </w:trPr>
        <w:tc>
          <w:tcPr>
            <w:tcW w:w="470" w:type="pct"/>
            <w:vMerge/>
            <w:vAlign w:val="center"/>
          </w:tcPr>
          <w:p w:rsidR="00EE56C0" w:rsidRDefault="00EE56C0">
            <w:pPr>
              <w:pStyle w:val="afa"/>
            </w:pPr>
          </w:p>
        </w:tc>
        <w:tc>
          <w:tcPr>
            <w:tcW w:w="1017" w:type="pct"/>
            <w:gridSpan w:val="5"/>
            <w:vAlign w:val="center"/>
          </w:tcPr>
          <w:p w:rsidR="00EE56C0" w:rsidRDefault="000F36A1">
            <w:pPr>
              <w:pStyle w:val="afa"/>
            </w:pPr>
            <w:r>
              <w:rPr>
                <w:rFonts w:hint="eastAsia"/>
              </w:rPr>
              <w:t>排线油</w:t>
            </w:r>
          </w:p>
        </w:tc>
        <w:tc>
          <w:tcPr>
            <w:tcW w:w="654" w:type="pct"/>
            <w:vAlign w:val="center"/>
          </w:tcPr>
          <w:p w:rsidR="00EE56C0" w:rsidRDefault="000F36A1">
            <w:pPr>
              <w:pStyle w:val="afa"/>
            </w:pPr>
            <w:r>
              <w:t>1t/</w:t>
            </w:r>
            <w:r>
              <w:t>桶</w:t>
            </w:r>
          </w:p>
        </w:tc>
        <w:tc>
          <w:tcPr>
            <w:tcW w:w="915" w:type="pct"/>
            <w:gridSpan w:val="4"/>
            <w:vAlign w:val="center"/>
          </w:tcPr>
          <w:p w:rsidR="00EE56C0" w:rsidRDefault="000F36A1">
            <w:pPr>
              <w:pStyle w:val="afa"/>
              <w:rPr>
                <w:highlight w:val="yellow"/>
              </w:rPr>
            </w:pPr>
            <w:r>
              <w:rPr>
                <w:rFonts w:hint="eastAsia"/>
              </w:rPr>
              <w:t>16</w:t>
            </w:r>
          </w:p>
        </w:tc>
        <w:tc>
          <w:tcPr>
            <w:tcW w:w="1944" w:type="pct"/>
            <w:gridSpan w:val="2"/>
            <w:vAlign w:val="center"/>
          </w:tcPr>
          <w:p w:rsidR="00EE56C0" w:rsidRDefault="000F36A1">
            <w:pPr>
              <w:pStyle w:val="afa"/>
            </w:pPr>
            <w:r>
              <w:rPr>
                <w:rFonts w:hint="eastAsia"/>
              </w:rPr>
              <w:t>排线油</w:t>
            </w:r>
          </w:p>
        </w:tc>
      </w:tr>
      <w:tr w:rsidR="00EE56C0">
        <w:trPr>
          <w:trHeight w:val="397"/>
          <w:jc w:val="center"/>
        </w:trPr>
        <w:tc>
          <w:tcPr>
            <w:tcW w:w="470" w:type="pct"/>
            <w:vMerge w:val="restart"/>
            <w:vAlign w:val="center"/>
          </w:tcPr>
          <w:p w:rsidR="00EE56C0" w:rsidRDefault="000F36A1">
            <w:pPr>
              <w:pStyle w:val="afa"/>
            </w:pPr>
            <w:r>
              <w:t>能源</w:t>
            </w:r>
          </w:p>
        </w:tc>
        <w:tc>
          <w:tcPr>
            <w:tcW w:w="1017" w:type="pct"/>
            <w:gridSpan w:val="5"/>
            <w:vAlign w:val="center"/>
          </w:tcPr>
          <w:p w:rsidR="00EE56C0" w:rsidRDefault="000F36A1">
            <w:pPr>
              <w:pStyle w:val="afa"/>
            </w:pPr>
            <w:r>
              <w:rPr>
                <w:rFonts w:hint="eastAsia"/>
              </w:rPr>
              <w:t>水</w:t>
            </w:r>
          </w:p>
        </w:tc>
        <w:tc>
          <w:tcPr>
            <w:tcW w:w="654" w:type="pct"/>
            <w:vAlign w:val="center"/>
          </w:tcPr>
          <w:p w:rsidR="00EE56C0" w:rsidRDefault="00EE56C0">
            <w:pPr>
              <w:pStyle w:val="afa"/>
            </w:pPr>
          </w:p>
        </w:tc>
        <w:tc>
          <w:tcPr>
            <w:tcW w:w="915" w:type="pct"/>
            <w:gridSpan w:val="4"/>
            <w:vAlign w:val="center"/>
          </w:tcPr>
          <w:p w:rsidR="00EE56C0" w:rsidRDefault="000F36A1">
            <w:pPr>
              <w:pStyle w:val="afa"/>
            </w:pPr>
            <w:r>
              <w:rPr>
                <w:rFonts w:hint="eastAsia"/>
              </w:rPr>
              <w:t>10732m</w:t>
            </w:r>
            <w:r>
              <w:rPr>
                <w:rFonts w:hint="eastAsia"/>
                <w:vertAlign w:val="superscript"/>
              </w:rPr>
              <w:t>3</w:t>
            </w:r>
          </w:p>
        </w:tc>
        <w:tc>
          <w:tcPr>
            <w:tcW w:w="1944" w:type="pct"/>
            <w:gridSpan w:val="2"/>
            <w:vAlign w:val="center"/>
          </w:tcPr>
          <w:p w:rsidR="00EE56C0" w:rsidRDefault="000F36A1">
            <w:pPr>
              <w:pStyle w:val="afa"/>
            </w:pPr>
            <w:r>
              <w:rPr>
                <w:rFonts w:hint="eastAsia"/>
              </w:rPr>
              <w:t>自备井</w:t>
            </w:r>
            <w:r>
              <w:t>提供</w:t>
            </w:r>
          </w:p>
        </w:tc>
      </w:tr>
      <w:tr w:rsidR="00EE56C0">
        <w:trPr>
          <w:trHeight w:val="397"/>
          <w:jc w:val="center"/>
        </w:trPr>
        <w:tc>
          <w:tcPr>
            <w:tcW w:w="470" w:type="pct"/>
            <w:vMerge/>
            <w:vAlign w:val="center"/>
          </w:tcPr>
          <w:p w:rsidR="00EE56C0" w:rsidRDefault="00EE56C0">
            <w:pPr>
              <w:pStyle w:val="afa"/>
            </w:pPr>
          </w:p>
        </w:tc>
        <w:tc>
          <w:tcPr>
            <w:tcW w:w="1017" w:type="pct"/>
            <w:gridSpan w:val="5"/>
            <w:vAlign w:val="center"/>
          </w:tcPr>
          <w:p w:rsidR="00EE56C0" w:rsidRDefault="000F36A1">
            <w:pPr>
              <w:pStyle w:val="afa"/>
            </w:pPr>
            <w:r>
              <w:t>电</w:t>
            </w:r>
          </w:p>
        </w:tc>
        <w:tc>
          <w:tcPr>
            <w:tcW w:w="654" w:type="pct"/>
            <w:vAlign w:val="center"/>
          </w:tcPr>
          <w:p w:rsidR="00EE56C0" w:rsidRDefault="000F36A1">
            <w:pPr>
              <w:pStyle w:val="afa"/>
            </w:pPr>
            <w:r>
              <w:t>/</w:t>
            </w:r>
          </w:p>
        </w:tc>
        <w:tc>
          <w:tcPr>
            <w:tcW w:w="915" w:type="pct"/>
            <w:gridSpan w:val="4"/>
            <w:vAlign w:val="center"/>
          </w:tcPr>
          <w:p w:rsidR="00EE56C0" w:rsidRDefault="000F36A1">
            <w:pPr>
              <w:pStyle w:val="afa"/>
            </w:pPr>
            <w:r>
              <w:rPr>
                <w:rFonts w:hint="eastAsia"/>
              </w:rPr>
              <w:t>39</w:t>
            </w:r>
            <w:r>
              <w:t>万</w:t>
            </w:r>
            <w:r>
              <w:t>kwh</w:t>
            </w:r>
          </w:p>
        </w:tc>
        <w:tc>
          <w:tcPr>
            <w:tcW w:w="1944" w:type="pct"/>
            <w:gridSpan w:val="2"/>
            <w:vAlign w:val="center"/>
          </w:tcPr>
          <w:p w:rsidR="00EE56C0" w:rsidRDefault="000F36A1">
            <w:pPr>
              <w:pStyle w:val="afa"/>
            </w:pPr>
            <w:r>
              <w:t>园区提供</w:t>
            </w:r>
          </w:p>
        </w:tc>
      </w:tr>
    </w:tbl>
    <w:p w:rsidR="00EE56C0" w:rsidRDefault="000F36A1">
      <w:pPr>
        <w:pStyle w:val="13"/>
        <w:ind w:firstLineChars="200" w:firstLine="420"/>
        <w:rPr>
          <w:rFonts w:ascii="黑体" w:eastAsia="黑体" w:hAnsi="黑体"/>
          <w:b w:val="0"/>
          <w:sz w:val="21"/>
          <w:u w:val="single"/>
        </w:rPr>
      </w:pPr>
      <w:r>
        <w:rPr>
          <w:rFonts w:ascii="黑体" w:eastAsia="黑体" w:hAnsi="黑体" w:hint="eastAsia"/>
          <w:b w:val="0"/>
          <w:sz w:val="21"/>
          <w:u w:val="single"/>
        </w:rPr>
        <w:t>注：本项目用丝包专用漆VOCs含量为321g/L、漆包线漆料VOCs含量为445g/L，参照《低挥发性有机化合物含量涂料产品技术要求》中表2金属基材防腐涂料（双组份涂料：面漆）450g/L限值要求进行对比，低于其限值要求，即所用漆料属于低挥发性有机化合物含量涂料。</w:t>
      </w:r>
    </w:p>
    <w:p w:rsidR="00EE56C0" w:rsidRDefault="000F36A1">
      <w:pPr>
        <w:pStyle w:val="13"/>
      </w:pPr>
      <w:r>
        <w:rPr>
          <w:rFonts w:hint="eastAsia"/>
        </w:rPr>
        <w:t>用漆量核算</w:t>
      </w:r>
    </w:p>
    <w:p w:rsidR="00EE56C0" w:rsidRDefault="000F36A1">
      <w:pPr>
        <w:ind w:firstLine="480"/>
      </w:pPr>
      <w:r>
        <w:rPr>
          <w:rFonts w:hint="eastAsia"/>
        </w:rPr>
        <w:t>根据企业提供的用漆参数，漆包线用漆量为</w:t>
      </w:r>
      <w:r>
        <w:rPr>
          <w:rFonts w:hint="eastAsia"/>
        </w:rPr>
        <w:t>50kg/t-</w:t>
      </w:r>
      <w:r>
        <w:rPr>
          <w:rFonts w:hint="eastAsia"/>
        </w:rPr>
        <w:t>产品、丝包线产品用漆量</w:t>
      </w:r>
      <w:r>
        <w:rPr>
          <w:rFonts w:hint="eastAsia"/>
        </w:rPr>
        <w:t>15kg/t-</w:t>
      </w:r>
      <w:r>
        <w:rPr>
          <w:rFonts w:hint="eastAsia"/>
        </w:rPr>
        <w:t>产品。其中聚酯漆与聚酰胺酰亚胺漆比例为</w:t>
      </w:r>
      <w:r>
        <w:rPr>
          <w:rFonts w:hint="eastAsia"/>
        </w:rPr>
        <w:t>3:1</w:t>
      </w:r>
      <w:r>
        <w:rPr>
          <w:rFonts w:hint="eastAsia"/>
        </w:rPr>
        <w:t>。</w:t>
      </w:r>
    </w:p>
    <w:p w:rsidR="00EE56C0" w:rsidRDefault="000F36A1">
      <w:pPr>
        <w:pStyle w:val="afd"/>
        <w:spacing w:before="120" w:after="120"/>
        <w:ind w:firstLine="482"/>
      </w:pPr>
      <w:r>
        <w:rPr>
          <w:rFonts w:hint="eastAsia"/>
        </w:rPr>
        <w:t>表</w:t>
      </w:r>
      <w:r>
        <w:rPr>
          <w:rFonts w:hint="eastAsia"/>
        </w:rPr>
        <w:t xml:space="preserve">3-17         </w:t>
      </w:r>
      <w:r>
        <w:rPr>
          <w:rFonts w:hint="eastAsia"/>
        </w:rPr>
        <w:t>一期、二期用漆情况一览表</w:t>
      </w:r>
      <w:r>
        <w:rPr>
          <w:rFonts w:hint="eastAsia"/>
        </w:rPr>
        <w:t xml:space="preserve">        </w:t>
      </w:r>
      <w:r>
        <w:rPr>
          <w:rFonts w:hint="eastAsia"/>
        </w:rPr>
        <w:t>单位：</w:t>
      </w:r>
      <w:r>
        <w:rPr>
          <w:rFonts w:hint="eastAsia"/>
        </w:rPr>
        <w:t>t/a</w:t>
      </w:r>
    </w:p>
    <w:tbl>
      <w:tblPr>
        <w:tblStyle w:val="af4"/>
        <w:tblW w:w="5000" w:type="pct"/>
        <w:tblLook w:val="04A0"/>
      </w:tblPr>
      <w:tblGrid>
        <w:gridCol w:w="688"/>
        <w:gridCol w:w="1320"/>
        <w:gridCol w:w="945"/>
        <w:gridCol w:w="945"/>
        <w:gridCol w:w="1030"/>
        <w:gridCol w:w="1700"/>
        <w:gridCol w:w="993"/>
        <w:gridCol w:w="907"/>
      </w:tblGrid>
      <w:tr w:rsidR="00EE56C0">
        <w:trPr>
          <w:trHeight w:val="454"/>
        </w:trPr>
        <w:tc>
          <w:tcPr>
            <w:tcW w:w="1177" w:type="pct"/>
            <w:gridSpan w:val="2"/>
            <w:vMerge w:val="restart"/>
            <w:vAlign w:val="center"/>
          </w:tcPr>
          <w:p w:rsidR="00EE56C0" w:rsidRDefault="000F36A1">
            <w:pPr>
              <w:pStyle w:val="afa"/>
              <w:rPr>
                <w:b/>
              </w:rPr>
            </w:pPr>
            <w:r>
              <w:rPr>
                <w:rFonts w:hint="eastAsia"/>
                <w:b/>
              </w:rPr>
              <w:t>项目</w:t>
            </w:r>
          </w:p>
        </w:tc>
        <w:tc>
          <w:tcPr>
            <w:tcW w:w="554" w:type="pct"/>
            <w:vMerge w:val="restart"/>
            <w:vAlign w:val="center"/>
          </w:tcPr>
          <w:p w:rsidR="00EE56C0" w:rsidRDefault="000F36A1">
            <w:pPr>
              <w:pStyle w:val="afa"/>
              <w:rPr>
                <w:b/>
              </w:rPr>
            </w:pPr>
            <w:r>
              <w:rPr>
                <w:rFonts w:hint="eastAsia"/>
                <w:b/>
              </w:rPr>
              <w:t>产品</w:t>
            </w:r>
          </w:p>
        </w:tc>
        <w:tc>
          <w:tcPr>
            <w:tcW w:w="554" w:type="pct"/>
            <w:vMerge w:val="restart"/>
            <w:vAlign w:val="center"/>
          </w:tcPr>
          <w:p w:rsidR="00EE56C0" w:rsidRDefault="000F36A1">
            <w:pPr>
              <w:pStyle w:val="afa"/>
              <w:rPr>
                <w:b/>
              </w:rPr>
            </w:pPr>
            <w:r>
              <w:rPr>
                <w:rFonts w:hint="eastAsia"/>
                <w:b/>
              </w:rPr>
              <w:t>产能</w:t>
            </w:r>
          </w:p>
        </w:tc>
        <w:tc>
          <w:tcPr>
            <w:tcW w:w="2183" w:type="pct"/>
            <w:gridSpan w:val="3"/>
            <w:vAlign w:val="center"/>
          </w:tcPr>
          <w:p w:rsidR="00EE56C0" w:rsidRDefault="000F36A1">
            <w:pPr>
              <w:pStyle w:val="afa"/>
              <w:rPr>
                <w:b/>
              </w:rPr>
            </w:pPr>
            <w:r>
              <w:rPr>
                <w:rFonts w:hint="eastAsia"/>
                <w:b/>
              </w:rPr>
              <w:t>绝缘漆</w:t>
            </w:r>
          </w:p>
        </w:tc>
        <w:tc>
          <w:tcPr>
            <w:tcW w:w="532" w:type="pct"/>
            <w:vMerge w:val="restart"/>
            <w:vAlign w:val="center"/>
          </w:tcPr>
          <w:p w:rsidR="00EE56C0" w:rsidRDefault="000F36A1">
            <w:pPr>
              <w:pStyle w:val="afa"/>
              <w:rPr>
                <w:b/>
              </w:rPr>
            </w:pPr>
            <w:r>
              <w:rPr>
                <w:rFonts w:hint="eastAsia"/>
                <w:b/>
              </w:rPr>
              <w:t>丝包漆</w:t>
            </w:r>
          </w:p>
        </w:tc>
      </w:tr>
      <w:tr w:rsidR="00EE56C0">
        <w:trPr>
          <w:trHeight w:val="454"/>
        </w:trPr>
        <w:tc>
          <w:tcPr>
            <w:tcW w:w="1177" w:type="pct"/>
            <w:gridSpan w:val="2"/>
            <w:vMerge/>
            <w:vAlign w:val="center"/>
          </w:tcPr>
          <w:p w:rsidR="00EE56C0" w:rsidRDefault="00EE56C0">
            <w:pPr>
              <w:pStyle w:val="afa"/>
            </w:pPr>
          </w:p>
        </w:tc>
        <w:tc>
          <w:tcPr>
            <w:tcW w:w="554" w:type="pct"/>
            <w:vMerge/>
            <w:vAlign w:val="center"/>
          </w:tcPr>
          <w:p w:rsidR="00EE56C0" w:rsidRDefault="00EE56C0">
            <w:pPr>
              <w:pStyle w:val="afa"/>
            </w:pPr>
          </w:p>
        </w:tc>
        <w:tc>
          <w:tcPr>
            <w:tcW w:w="554" w:type="pct"/>
            <w:vMerge/>
            <w:vAlign w:val="center"/>
          </w:tcPr>
          <w:p w:rsidR="00EE56C0" w:rsidRDefault="00EE56C0">
            <w:pPr>
              <w:pStyle w:val="afa"/>
            </w:pPr>
          </w:p>
        </w:tc>
        <w:tc>
          <w:tcPr>
            <w:tcW w:w="604" w:type="pct"/>
            <w:vAlign w:val="center"/>
          </w:tcPr>
          <w:p w:rsidR="00EE56C0" w:rsidRDefault="000F36A1">
            <w:pPr>
              <w:pStyle w:val="afa"/>
              <w:rPr>
                <w:b/>
              </w:rPr>
            </w:pPr>
            <w:r>
              <w:rPr>
                <w:rFonts w:hint="eastAsia"/>
                <w:b/>
              </w:rPr>
              <w:t>聚酯漆</w:t>
            </w:r>
          </w:p>
        </w:tc>
        <w:tc>
          <w:tcPr>
            <w:tcW w:w="997" w:type="pct"/>
            <w:vAlign w:val="center"/>
          </w:tcPr>
          <w:p w:rsidR="00EE56C0" w:rsidRDefault="000F36A1">
            <w:pPr>
              <w:pStyle w:val="afa"/>
              <w:rPr>
                <w:b/>
              </w:rPr>
            </w:pPr>
            <w:r>
              <w:rPr>
                <w:rFonts w:hint="eastAsia"/>
                <w:b/>
              </w:rPr>
              <w:t>聚酰胺酰亚胺漆</w:t>
            </w:r>
          </w:p>
        </w:tc>
        <w:tc>
          <w:tcPr>
            <w:tcW w:w="582" w:type="pct"/>
            <w:vAlign w:val="center"/>
          </w:tcPr>
          <w:p w:rsidR="00EE56C0" w:rsidRDefault="000F36A1">
            <w:pPr>
              <w:pStyle w:val="afa"/>
              <w:rPr>
                <w:b/>
              </w:rPr>
            </w:pPr>
            <w:r>
              <w:rPr>
                <w:rFonts w:hint="eastAsia"/>
                <w:b/>
              </w:rPr>
              <w:t>合计</w:t>
            </w:r>
          </w:p>
        </w:tc>
        <w:tc>
          <w:tcPr>
            <w:tcW w:w="532" w:type="pct"/>
            <w:vMerge/>
            <w:vAlign w:val="center"/>
          </w:tcPr>
          <w:p w:rsidR="00EE56C0" w:rsidRDefault="00EE56C0">
            <w:pPr>
              <w:pStyle w:val="afa"/>
            </w:pPr>
          </w:p>
        </w:tc>
      </w:tr>
      <w:tr w:rsidR="00EE56C0">
        <w:trPr>
          <w:trHeight w:val="454"/>
        </w:trPr>
        <w:tc>
          <w:tcPr>
            <w:tcW w:w="403" w:type="pct"/>
            <w:vMerge w:val="restart"/>
            <w:vAlign w:val="center"/>
          </w:tcPr>
          <w:p w:rsidR="00EE56C0" w:rsidRDefault="000F36A1">
            <w:pPr>
              <w:pStyle w:val="afa"/>
            </w:pPr>
            <w:r>
              <w:rPr>
                <w:rFonts w:hint="eastAsia"/>
              </w:rPr>
              <w:t>一期</w:t>
            </w:r>
          </w:p>
        </w:tc>
        <w:tc>
          <w:tcPr>
            <w:tcW w:w="774" w:type="pct"/>
            <w:vAlign w:val="center"/>
          </w:tcPr>
          <w:p w:rsidR="00EE56C0" w:rsidRDefault="000F36A1">
            <w:pPr>
              <w:pStyle w:val="afa"/>
            </w:pPr>
            <w:r>
              <w:rPr>
                <w:rFonts w:hint="eastAsia"/>
              </w:rPr>
              <w:t>新增</w:t>
            </w:r>
          </w:p>
        </w:tc>
        <w:tc>
          <w:tcPr>
            <w:tcW w:w="554" w:type="pct"/>
            <w:vAlign w:val="center"/>
          </w:tcPr>
          <w:p w:rsidR="00EE56C0" w:rsidRDefault="000F36A1">
            <w:pPr>
              <w:pStyle w:val="afa"/>
            </w:pPr>
            <w:r>
              <w:rPr>
                <w:rFonts w:hint="eastAsia"/>
              </w:rPr>
              <w:t>漆包线</w:t>
            </w:r>
          </w:p>
        </w:tc>
        <w:tc>
          <w:tcPr>
            <w:tcW w:w="554" w:type="pct"/>
            <w:vAlign w:val="center"/>
          </w:tcPr>
          <w:p w:rsidR="00EE56C0" w:rsidRDefault="000F36A1">
            <w:pPr>
              <w:pStyle w:val="afa"/>
            </w:pPr>
            <w:r>
              <w:rPr>
                <w:rFonts w:hint="eastAsia"/>
              </w:rPr>
              <w:t>7700</w:t>
            </w:r>
          </w:p>
        </w:tc>
        <w:tc>
          <w:tcPr>
            <w:tcW w:w="604" w:type="pct"/>
            <w:vAlign w:val="center"/>
          </w:tcPr>
          <w:p w:rsidR="00EE56C0" w:rsidRDefault="000F36A1">
            <w:pPr>
              <w:pStyle w:val="afa"/>
            </w:pPr>
            <w:r>
              <w:rPr>
                <w:rFonts w:hint="eastAsia"/>
              </w:rPr>
              <w:t>289</w:t>
            </w:r>
          </w:p>
        </w:tc>
        <w:tc>
          <w:tcPr>
            <w:tcW w:w="997" w:type="pct"/>
            <w:vAlign w:val="center"/>
          </w:tcPr>
          <w:p w:rsidR="00EE56C0" w:rsidRDefault="000F36A1">
            <w:pPr>
              <w:pStyle w:val="afa"/>
            </w:pPr>
            <w:r>
              <w:rPr>
                <w:rFonts w:hint="eastAsia"/>
              </w:rPr>
              <w:t>96</w:t>
            </w:r>
          </w:p>
        </w:tc>
        <w:tc>
          <w:tcPr>
            <w:tcW w:w="582" w:type="pct"/>
            <w:vAlign w:val="center"/>
          </w:tcPr>
          <w:p w:rsidR="00EE56C0" w:rsidRDefault="000F36A1">
            <w:pPr>
              <w:pStyle w:val="afa"/>
            </w:pPr>
            <w:r>
              <w:rPr>
                <w:rFonts w:hint="eastAsia"/>
              </w:rPr>
              <w:t>385</w:t>
            </w:r>
          </w:p>
        </w:tc>
        <w:tc>
          <w:tcPr>
            <w:tcW w:w="532" w:type="pct"/>
            <w:vAlign w:val="center"/>
          </w:tcPr>
          <w:p w:rsidR="00EE56C0" w:rsidRDefault="000F36A1">
            <w:pPr>
              <w:pStyle w:val="afa"/>
            </w:pPr>
            <w:r>
              <w:rPr>
                <w:rFonts w:hint="eastAsia"/>
              </w:rPr>
              <w:t>/</w:t>
            </w:r>
          </w:p>
        </w:tc>
      </w:tr>
      <w:tr w:rsidR="00EE56C0">
        <w:trPr>
          <w:trHeight w:val="454"/>
        </w:trPr>
        <w:tc>
          <w:tcPr>
            <w:tcW w:w="403" w:type="pct"/>
            <w:vMerge/>
            <w:vAlign w:val="center"/>
          </w:tcPr>
          <w:p w:rsidR="00EE56C0" w:rsidRDefault="00EE56C0">
            <w:pPr>
              <w:pStyle w:val="afa"/>
            </w:pPr>
          </w:p>
        </w:tc>
        <w:tc>
          <w:tcPr>
            <w:tcW w:w="774" w:type="pct"/>
            <w:vAlign w:val="center"/>
          </w:tcPr>
          <w:p w:rsidR="00EE56C0" w:rsidRDefault="000F36A1">
            <w:pPr>
              <w:pStyle w:val="afa"/>
            </w:pPr>
            <w:r>
              <w:rPr>
                <w:rFonts w:hint="eastAsia"/>
              </w:rPr>
              <w:t>新增</w:t>
            </w:r>
          </w:p>
        </w:tc>
        <w:tc>
          <w:tcPr>
            <w:tcW w:w="554" w:type="pct"/>
            <w:vAlign w:val="center"/>
          </w:tcPr>
          <w:p w:rsidR="00EE56C0" w:rsidRDefault="000F36A1">
            <w:pPr>
              <w:pStyle w:val="afa"/>
            </w:pPr>
            <w:r>
              <w:rPr>
                <w:rFonts w:hint="eastAsia"/>
              </w:rPr>
              <w:t>丝包线</w:t>
            </w:r>
          </w:p>
        </w:tc>
        <w:tc>
          <w:tcPr>
            <w:tcW w:w="554" w:type="pct"/>
            <w:vAlign w:val="center"/>
          </w:tcPr>
          <w:p w:rsidR="00EE56C0" w:rsidRDefault="000F36A1">
            <w:pPr>
              <w:pStyle w:val="afa"/>
            </w:pPr>
            <w:r>
              <w:rPr>
                <w:rFonts w:hint="eastAsia"/>
              </w:rPr>
              <w:t>4940</w:t>
            </w:r>
          </w:p>
        </w:tc>
        <w:tc>
          <w:tcPr>
            <w:tcW w:w="604" w:type="pct"/>
            <w:vAlign w:val="center"/>
          </w:tcPr>
          <w:p w:rsidR="00EE56C0" w:rsidRDefault="000F36A1">
            <w:pPr>
              <w:pStyle w:val="afa"/>
            </w:pPr>
            <w:r>
              <w:rPr>
                <w:rFonts w:hint="eastAsia"/>
              </w:rPr>
              <w:t>/</w:t>
            </w:r>
          </w:p>
        </w:tc>
        <w:tc>
          <w:tcPr>
            <w:tcW w:w="997" w:type="pct"/>
            <w:vAlign w:val="center"/>
          </w:tcPr>
          <w:p w:rsidR="00EE56C0" w:rsidRDefault="000F36A1">
            <w:pPr>
              <w:pStyle w:val="afa"/>
            </w:pPr>
            <w:r>
              <w:rPr>
                <w:rFonts w:hint="eastAsia"/>
              </w:rPr>
              <w:t>/</w:t>
            </w:r>
          </w:p>
        </w:tc>
        <w:tc>
          <w:tcPr>
            <w:tcW w:w="582" w:type="pct"/>
            <w:vAlign w:val="center"/>
          </w:tcPr>
          <w:p w:rsidR="00EE56C0" w:rsidRDefault="000F36A1">
            <w:pPr>
              <w:pStyle w:val="afa"/>
            </w:pPr>
            <w:r>
              <w:rPr>
                <w:rFonts w:hint="eastAsia"/>
              </w:rPr>
              <w:t>/</w:t>
            </w:r>
          </w:p>
        </w:tc>
        <w:tc>
          <w:tcPr>
            <w:tcW w:w="532" w:type="pct"/>
            <w:vAlign w:val="center"/>
          </w:tcPr>
          <w:p w:rsidR="00EE56C0" w:rsidRDefault="000F36A1">
            <w:pPr>
              <w:pStyle w:val="afa"/>
            </w:pPr>
            <w:r>
              <w:rPr>
                <w:rFonts w:hint="eastAsia"/>
              </w:rPr>
              <w:t>74.1</w:t>
            </w:r>
          </w:p>
        </w:tc>
      </w:tr>
      <w:tr w:rsidR="00EE56C0">
        <w:trPr>
          <w:trHeight w:val="454"/>
        </w:trPr>
        <w:tc>
          <w:tcPr>
            <w:tcW w:w="403" w:type="pct"/>
            <w:vMerge w:val="restart"/>
            <w:vAlign w:val="center"/>
          </w:tcPr>
          <w:p w:rsidR="00EE56C0" w:rsidRDefault="000F36A1">
            <w:pPr>
              <w:pStyle w:val="afa"/>
            </w:pPr>
            <w:r>
              <w:rPr>
                <w:rFonts w:hint="eastAsia"/>
              </w:rPr>
              <w:t>二期</w:t>
            </w:r>
          </w:p>
        </w:tc>
        <w:tc>
          <w:tcPr>
            <w:tcW w:w="774" w:type="pct"/>
            <w:vAlign w:val="center"/>
          </w:tcPr>
          <w:p w:rsidR="00EE56C0" w:rsidRDefault="000F36A1">
            <w:pPr>
              <w:pStyle w:val="afa"/>
            </w:pPr>
            <w:r>
              <w:rPr>
                <w:rFonts w:hint="eastAsia"/>
              </w:rPr>
              <w:t>新增</w:t>
            </w:r>
          </w:p>
        </w:tc>
        <w:tc>
          <w:tcPr>
            <w:tcW w:w="554" w:type="pct"/>
            <w:vAlign w:val="center"/>
          </w:tcPr>
          <w:p w:rsidR="00EE56C0" w:rsidRDefault="000F36A1">
            <w:pPr>
              <w:pStyle w:val="afa"/>
            </w:pPr>
            <w:r>
              <w:rPr>
                <w:rFonts w:hint="eastAsia"/>
              </w:rPr>
              <w:t>漆包线</w:t>
            </w:r>
          </w:p>
        </w:tc>
        <w:tc>
          <w:tcPr>
            <w:tcW w:w="554" w:type="pct"/>
            <w:vAlign w:val="center"/>
          </w:tcPr>
          <w:p w:rsidR="00EE56C0" w:rsidRDefault="000F36A1">
            <w:pPr>
              <w:pStyle w:val="afa"/>
            </w:pPr>
            <w:r>
              <w:rPr>
                <w:rFonts w:hint="eastAsia"/>
              </w:rPr>
              <w:t>21300</w:t>
            </w:r>
          </w:p>
        </w:tc>
        <w:tc>
          <w:tcPr>
            <w:tcW w:w="604" w:type="pct"/>
            <w:vAlign w:val="center"/>
          </w:tcPr>
          <w:p w:rsidR="00EE56C0" w:rsidRDefault="000F36A1">
            <w:pPr>
              <w:pStyle w:val="afa"/>
            </w:pPr>
            <w:r>
              <w:rPr>
                <w:rFonts w:hint="eastAsia"/>
              </w:rPr>
              <w:t>800</w:t>
            </w:r>
          </w:p>
        </w:tc>
        <w:tc>
          <w:tcPr>
            <w:tcW w:w="997" w:type="pct"/>
            <w:vAlign w:val="center"/>
          </w:tcPr>
          <w:p w:rsidR="00EE56C0" w:rsidRDefault="000F36A1">
            <w:pPr>
              <w:pStyle w:val="afa"/>
            </w:pPr>
            <w:r>
              <w:rPr>
                <w:rFonts w:hint="eastAsia"/>
              </w:rPr>
              <w:t>265</w:t>
            </w:r>
          </w:p>
        </w:tc>
        <w:tc>
          <w:tcPr>
            <w:tcW w:w="582" w:type="pct"/>
            <w:vAlign w:val="center"/>
          </w:tcPr>
          <w:p w:rsidR="00EE56C0" w:rsidRDefault="000F36A1">
            <w:pPr>
              <w:pStyle w:val="afa"/>
            </w:pPr>
            <w:r>
              <w:rPr>
                <w:rFonts w:hint="eastAsia"/>
              </w:rPr>
              <w:t>1065</w:t>
            </w:r>
          </w:p>
        </w:tc>
        <w:tc>
          <w:tcPr>
            <w:tcW w:w="532" w:type="pct"/>
            <w:vAlign w:val="center"/>
          </w:tcPr>
          <w:p w:rsidR="00EE56C0" w:rsidRDefault="000F36A1">
            <w:pPr>
              <w:pStyle w:val="afa"/>
            </w:pPr>
            <w:r>
              <w:rPr>
                <w:rFonts w:hint="eastAsia"/>
              </w:rPr>
              <w:t>/</w:t>
            </w:r>
          </w:p>
        </w:tc>
      </w:tr>
      <w:tr w:rsidR="00EE56C0">
        <w:trPr>
          <w:trHeight w:val="454"/>
        </w:trPr>
        <w:tc>
          <w:tcPr>
            <w:tcW w:w="403" w:type="pct"/>
            <w:vMerge/>
            <w:vAlign w:val="center"/>
          </w:tcPr>
          <w:p w:rsidR="00EE56C0" w:rsidRDefault="00EE56C0">
            <w:pPr>
              <w:pStyle w:val="afa"/>
            </w:pPr>
          </w:p>
        </w:tc>
        <w:tc>
          <w:tcPr>
            <w:tcW w:w="774" w:type="pct"/>
            <w:vAlign w:val="center"/>
          </w:tcPr>
          <w:p w:rsidR="00EE56C0" w:rsidRDefault="000F36A1">
            <w:pPr>
              <w:pStyle w:val="afa"/>
            </w:pPr>
            <w:r>
              <w:rPr>
                <w:rFonts w:hint="eastAsia"/>
              </w:rPr>
              <w:t>新增</w:t>
            </w:r>
          </w:p>
        </w:tc>
        <w:tc>
          <w:tcPr>
            <w:tcW w:w="554" w:type="pct"/>
            <w:vAlign w:val="center"/>
          </w:tcPr>
          <w:p w:rsidR="00EE56C0" w:rsidRDefault="000F36A1">
            <w:pPr>
              <w:pStyle w:val="afa"/>
            </w:pPr>
            <w:r>
              <w:rPr>
                <w:rFonts w:hint="eastAsia"/>
              </w:rPr>
              <w:t>丝包线</w:t>
            </w:r>
          </w:p>
        </w:tc>
        <w:tc>
          <w:tcPr>
            <w:tcW w:w="554" w:type="pct"/>
            <w:vAlign w:val="center"/>
          </w:tcPr>
          <w:p w:rsidR="00EE56C0" w:rsidRDefault="000F36A1">
            <w:pPr>
              <w:pStyle w:val="afa"/>
            </w:pPr>
            <w:r>
              <w:rPr>
                <w:rFonts w:hint="eastAsia"/>
              </w:rPr>
              <w:t>3900</w:t>
            </w:r>
          </w:p>
        </w:tc>
        <w:tc>
          <w:tcPr>
            <w:tcW w:w="604" w:type="pct"/>
            <w:vAlign w:val="center"/>
          </w:tcPr>
          <w:p w:rsidR="00EE56C0" w:rsidRDefault="000F36A1">
            <w:pPr>
              <w:pStyle w:val="afa"/>
            </w:pPr>
            <w:r>
              <w:rPr>
                <w:rFonts w:hint="eastAsia"/>
              </w:rPr>
              <w:t>/</w:t>
            </w:r>
          </w:p>
        </w:tc>
        <w:tc>
          <w:tcPr>
            <w:tcW w:w="997" w:type="pct"/>
            <w:vAlign w:val="center"/>
          </w:tcPr>
          <w:p w:rsidR="00EE56C0" w:rsidRDefault="000F36A1">
            <w:pPr>
              <w:pStyle w:val="afa"/>
            </w:pPr>
            <w:r>
              <w:rPr>
                <w:rFonts w:hint="eastAsia"/>
              </w:rPr>
              <w:t>/</w:t>
            </w:r>
          </w:p>
        </w:tc>
        <w:tc>
          <w:tcPr>
            <w:tcW w:w="582" w:type="pct"/>
            <w:vAlign w:val="center"/>
          </w:tcPr>
          <w:p w:rsidR="00EE56C0" w:rsidRDefault="000F36A1">
            <w:pPr>
              <w:pStyle w:val="afa"/>
            </w:pPr>
            <w:r>
              <w:rPr>
                <w:rFonts w:hint="eastAsia"/>
              </w:rPr>
              <w:t>/</w:t>
            </w:r>
          </w:p>
        </w:tc>
        <w:tc>
          <w:tcPr>
            <w:tcW w:w="532" w:type="pct"/>
            <w:vAlign w:val="center"/>
          </w:tcPr>
          <w:p w:rsidR="00EE56C0" w:rsidRDefault="000F36A1">
            <w:pPr>
              <w:pStyle w:val="afa"/>
            </w:pPr>
            <w:r>
              <w:rPr>
                <w:rFonts w:hint="eastAsia"/>
              </w:rPr>
              <w:t>58.5</w:t>
            </w:r>
          </w:p>
        </w:tc>
      </w:tr>
    </w:tbl>
    <w:p w:rsidR="00EE56C0" w:rsidRDefault="000F36A1">
      <w:pPr>
        <w:pStyle w:val="3"/>
        <w:spacing w:before="240" w:after="120"/>
      </w:pPr>
      <w:r>
        <w:rPr>
          <w:rFonts w:hint="eastAsia"/>
        </w:rPr>
        <w:t>3.2.6</w:t>
      </w:r>
      <w:r>
        <w:rPr>
          <w:rFonts w:hint="eastAsia"/>
        </w:rPr>
        <w:t>本项目主要原辅材料的理化性质</w:t>
      </w:r>
    </w:p>
    <w:p w:rsidR="00EE56C0" w:rsidRDefault="000F36A1">
      <w:pPr>
        <w:ind w:firstLine="480"/>
      </w:pPr>
      <w:r>
        <w:rPr>
          <w:rFonts w:hint="eastAsia"/>
        </w:rPr>
        <w:t>本项目主要原料为：聚酯漆、聚酰胺酰亚胺漆、玻璃丝包专用漆（</w:t>
      </w:r>
      <w:r>
        <w:rPr>
          <w:rFonts w:hint="eastAsia"/>
        </w:rPr>
        <w:t>R-1449-G</w:t>
      </w:r>
      <w:r>
        <w:rPr>
          <w:rFonts w:hint="eastAsia"/>
        </w:rPr>
        <w:t>漆）、</w:t>
      </w:r>
      <w:r>
        <w:t>拉丝油</w:t>
      </w:r>
      <w:r>
        <w:rPr>
          <w:rFonts w:hint="eastAsia"/>
        </w:rPr>
        <w:t>、</w:t>
      </w:r>
      <w:r>
        <w:t>聚酰亚胺</w:t>
      </w:r>
      <w:r>
        <w:rPr>
          <w:rFonts w:hint="eastAsia"/>
        </w:rPr>
        <w:t>薄膜，主要原辅材料的理化性质如下：</w:t>
      </w:r>
    </w:p>
    <w:p w:rsidR="00A80377" w:rsidRDefault="00A80377">
      <w:pPr>
        <w:ind w:firstLine="480"/>
      </w:pPr>
    </w:p>
    <w:p w:rsidR="00A80377" w:rsidRDefault="00A80377">
      <w:pPr>
        <w:ind w:firstLine="480"/>
      </w:pPr>
    </w:p>
    <w:p w:rsidR="00A80377" w:rsidRDefault="00A80377">
      <w:pPr>
        <w:ind w:firstLine="480"/>
      </w:pPr>
    </w:p>
    <w:p w:rsidR="00EE56C0" w:rsidRDefault="000F36A1">
      <w:pPr>
        <w:pStyle w:val="afd"/>
        <w:spacing w:before="120" w:after="120"/>
        <w:ind w:firstLine="482"/>
      </w:pPr>
      <w:r>
        <w:rPr>
          <w:rFonts w:hint="eastAsia"/>
        </w:rPr>
        <w:lastRenderedPageBreak/>
        <w:t>表</w:t>
      </w:r>
      <w:r>
        <w:rPr>
          <w:rFonts w:hint="eastAsia"/>
        </w:rPr>
        <w:t xml:space="preserve">3-18      </w:t>
      </w:r>
      <w:r>
        <w:rPr>
          <w:rFonts w:hint="eastAsia"/>
        </w:rPr>
        <w:t>本项目所用原辅材料主要物化毒理性质一览表</w:t>
      </w:r>
    </w:p>
    <w:tbl>
      <w:tblPr>
        <w:tblW w:w="8946"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tblPr>
      <w:tblGrid>
        <w:gridCol w:w="959"/>
        <w:gridCol w:w="6095"/>
        <w:gridCol w:w="1892"/>
      </w:tblGrid>
      <w:tr w:rsidR="00EE56C0">
        <w:trPr>
          <w:trHeight w:val="680"/>
          <w:tblHeader/>
        </w:trPr>
        <w:tc>
          <w:tcPr>
            <w:tcW w:w="959" w:type="dxa"/>
            <w:vAlign w:val="center"/>
          </w:tcPr>
          <w:p w:rsidR="00EE56C0" w:rsidRDefault="000F36A1">
            <w:pPr>
              <w:pStyle w:val="aff1"/>
              <w:rPr>
                <w:color w:val="auto"/>
              </w:rPr>
            </w:pPr>
            <w:r>
              <w:rPr>
                <w:rFonts w:hint="eastAsia"/>
                <w:color w:val="auto"/>
              </w:rPr>
              <w:t>原料</w:t>
            </w:r>
          </w:p>
          <w:p w:rsidR="00EE56C0" w:rsidRDefault="000F36A1">
            <w:pPr>
              <w:pStyle w:val="aff1"/>
              <w:rPr>
                <w:color w:val="auto"/>
              </w:rPr>
            </w:pPr>
            <w:r>
              <w:rPr>
                <w:rFonts w:hint="eastAsia"/>
                <w:color w:val="auto"/>
              </w:rPr>
              <w:t>名称</w:t>
            </w:r>
          </w:p>
        </w:tc>
        <w:tc>
          <w:tcPr>
            <w:tcW w:w="6095" w:type="dxa"/>
            <w:vAlign w:val="center"/>
          </w:tcPr>
          <w:p w:rsidR="00EE56C0" w:rsidRDefault="000F36A1">
            <w:pPr>
              <w:pStyle w:val="aff1"/>
              <w:rPr>
                <w:color w:val="auto"/>
              </w:rPr>
            </w:pPr>
            <w:r>
              <w:rPr>
                <w:rFonts w:hint="eastAsia"/>
                <w:color w:val="auto"/>
              </w:rPr>
              <w:t>物化性质</w:t>
            </w:r>
          </w:p>
        </w:tc>
        <w:tc>
          <w:tcPr>
            <w:tcW w:w="1892" w:type="dxa"/>
            <w:vAlign w:val="center"/>
          </w:tcPr>
          <w:p w:rsidR="00EE56C0" w:rsidRDefault="000F36A1">
            <w:pPr>
              <w:pStyle w:val="aff1"/>
              <w:rPr>
                <w:color w:val="auto"/>
              </w:rPr>
            </w:pPr>
            <w:r>
              <w:rPr>
                <w:rFonts w:hint="eastAsia"/>
                <w:color w:val="auto"/>
              </w:rPr>
              <w:t>毒理性质</w:t>
            </w:r>
          </w:p>
        </w:tc>
      </w:tr>
      <w:tr w:rsidR="00EE56C0">
        <w:trPr>
          <w:trHeight w:val="680"/>
        </w:trPr>
        <w:tc>
          <w:tcPr>
            <w:tcW w:w="959" w:type="dxa"/>
            <w:vAlign w:val="center"/>
          </w:tcPr>
          <w:p w:rsidR="00EE56C0" w:rsidRDefault="000F36A1">
            <w:pPr>
              <w:pStyle w:val="afa"/>
            </w:pPr>
            <w:r>
              <w:rPr>
                <w:rFonts w:hint="eastAsia"/>
              </w:rPr>
              <w:t>聚酯漆</w:t>
            </w:r>
          </w:p>
        </w:tc>
        <w:tc>
          <w:tcPr>
            <w:tcW w:w="6095" w:type="dxa"/>
            <w:vAlign w:val="center"/>
          </w:tcPr>
          <w:p w:rsidR="00EE56C0" w:rsidRDefault="000F36A1">
            <w:pPr>
              <w:pStyle w:val="afa"/>
            </w:pPr>
            <w:r>
              <w:t>目前，国内外普遍以聚酯单体为原料，经过与多元醇醇解、缩聚的工艺路线生产聚酯绝缘漆。适用于电线、电缆行业涂制高强度耐热漆包线。根据企业提供的资料，</w:t>
            </w:r>
            <w:r>
              <w:rPr>
                <w:rFonts w:hint="eastAsia"/>
              </w:rPr>
              <w:t>聚酯漆主要成分为</w:t>
            </w:r>
            <w:r>
              <w:t>聚酯树脂</w:t>
            </w:r>
            <w:r>
              <w:rPr>
                <w:rFonts w:hint="eastAsia"/>
              </w:rPr>
              <w:t>44%</w:t>
            </w:r>
            <w:r>
              <w:rPr>
                <w:rFonts w:hint="eastAsia"/>
              </w:rPr>
              <w:t>、甲酚</w:t>
            </w:r>
            <w:r>
              <w:rPr>
                <w:rFonts w:hint="eastAsia"/>
              </w:rPr>
              <w:t>20~50%</w:t>
            </w:r>
            <w:r>
              <w:rPr>
                <w:rFonts w:hint="eastAsia"/>
              </w:rPr>
              <w:t>、芳烃溶剂油</w:t>
            </w:r>
            <w:r>
              <w:rPr>
                <w:rFonts w:hint="eastAsia"/>
              </w:rPr>
              <w:t>10~20%</w:t>
            </w:r>
            <w:r>
              <w:rPr>
                <w:rFonts w:hint="eastAsia"/>
              </w:rPr>
              <w:t>。</w:t>
            </w:r>
          </w:p>
        </w:tc>
        <w:tc>
          <w:tcPr>
            <w:tcW w:w="1892" w:type="dxa"/>
            <w:vAlign w:val="center"/>
          </w:tcPr>
          <w:p w:rsidR="00EE56C0" w:rsidRDefault="000F36A1">
            <w:pPr>
              <w:pStyle w:val="afa"/>
            </w:pPr>
            <w:r>
              <w:rPr>
                <w:rFonts w:hint="eastAsia"/>
              </w:rPr>
              <w:t>甲酚：低毒类，急性毒性：大鼠经口</w:t>
            </w:r>
            <w:r>
              <w:rPr>
                <w:rFonts w:hint="eastAsia"/>
              </w:rPr>
              <w:t>LD</w:t>
            </w:r>
            <w:r>
              <w:rPr>
                <w:rFonts w:hint="eastAsia"/>
                <w:vertAlign w:val="subscript"/>
              </w:rPr>
              <w:t>50</w:t>
            </w:r>
            <w:r>
              <w:rPr>
                <w:rFonts w:hint="eastAsia"/>
              </w:rPr>
              <w:t>邻甲酚</w:t>
            </w:r>
            <w:r>
              <w:rPr>
                <w:rFonts w:hint="eastAsia"/>
              </w:rPr>
              <w:t>1350mg/kg</w:t>
            </w:r>
            <w:r>
              <w:rPr>
                <w:rFonts w:hint="eastAsia"/>
              </w:rPr>
              <w:t>、间甲酚</w:t>
            </w:r>
            <w:r>
              <w:rPr>
                <w:rFonts w:hint="eastAsia"/>
              </w:rPr>
              <w:t>2020mg/kg</w:t>
            </w:r>
            <w:r>
              <w:rPr>
                <w:rFonts w:hint="eastAsia"/>
              </w:rPr>
              <w:t>、对甲酚</w:t>
            </w:r>
            <w:r>
              <w:rPr>
                <w:rFonts w:hint="eastAsia"/>
              </w:rPr>
              <w:t>1800mg/kg</w:t>
            </w:r>
          </w:p>
        </w:tc>
      </w:tr>
      <w:tr w:rsidR="00EE56C0" w:rsidTr="007C1566">
        <w:trPr>
          <w:trHeight w:val="367"/>
        </w:trPr>
        <w:tc>
          <w:tcPr>
            <w:tcW w:w="959" w:type="dxa"/>
            <w:vAlign w:val="center"/>
          </w:tcPr>
          <w:p w:rsidR="00EE56C0" w:rsidRDefault="000F36A1">
            <w:pPr>
              <w:pStyle w:val="afa"/>
            </w:pPr>
            <w:r>
              <w:t>聚酰胺酰亚胺漆</w:t>
            </w:r>
          </w:p>
        </w:tc>
        <w:tc>
          <w:tcPr>
            <w:tcW w:w="6095" w:type="dxa"/>
            <w:vAlign w:val="center"/>
          </w:tcPr>
          <w:p w:rsidR="00EE56C0" w:rsidRDefault="000F36A1" w:rsidP="007B2328">
            <w:pPr>
              <w:pStyle w:val="afa"/>
            </w:pPr>
            <w:r>
              <w:rPr>
                <w:rFonts w:hint="eastAsia"/>
              </w:rPr>
              <w:t>简称</w:t>
            </w:r>
            <w:r>
              <w:rPr>
                <w:rFonts w:hint="eastAsia"/>
              </w:rPr>
              <w:t>PAI</w:t>
            </w:r>
            <w:r>
              <w:rPr>
                <w:rFonts w:hint="eastAsia"/>
              </w:rPr>
              <w:t>，物化性质：酰亚胺环和酰胺键有规则交替排列的一类聚合物。玻璃化温度</w:t>
            </w:r>
            <w:r>
              <w:rPr>
                <w:rFonts w:hint="eastAsia"/>
              </w:rPr>
              <w:t>250~300</w:t>
            </w:r>
            <w:r>
              <w:rPr>
                <w:rFonts w:hint="eastAsia"/>
              </w:rPr>
              <w:t>℃，</w:t>
            </w:r>
            <w:r>
              <w:rPr>
                <w:rFonts w:hint="eastAsia"/>
              </w:rPr>
              <w:t>250</w:t>
            </w:r>
            <w:r>
              <w:rPr>
                <w:rFonts w:hint="eastAsia"/>
              </w:rPr>
              <w:t>℃下具有优越的机械性能，热变形温度为</w:t>
            </w:r>
            <w:r>
              <w:rPr>
                <w:rFonts w:hint="eastAsia"/>
              </w:rPr>
              <w:t>269</w:t>
            </w:r>
            <w:r>
              <w:rPr>
                <w:rFonts w:hint="eastAsia"/>
              </w:rPr>
              <w:t>℃，模塑料拉伸强度为</w:t>
            </w:r>
            <w:r>
              <w:rPr>
                <w:rFonts w:hint="eastAsia"/>
              </w:rPr>
              <w:t>90MPa(23</w:t>
            </w:r>
            <w:r>
              <w:rPr>
                <w:rFonts w:hint="eastAsia"/>
              </w:rPr>
              <w:t>℃</w:t>
            </w:r>
            <w:r>
              <w:rPr>
                <w:rFonts w:hint="eastAsia"/>
              </w:rPr>
              <w:t>)</w:t>
            </w:r>
            <w:r>
              <w:rPr>
                <w:rFonts w:hint="eastAsia"/>
              </w:rPr>
              <w:t>和</w:t>
            </w:r>
            <w:r>
              <w:rPr>
                <w:rFonts w:hint="eastAsia"/>
              </w:rPr>
              <w:t>59MPa(260</w:t>
            </w:r>
            <w:r>
              <w:rPr>
                <w:rFonts w:hint="eastAsia"/>
              </w:rPr>
              <w:t>℃</w:t>
            </w:r>
            <w:r>
              <w:rPr>
                <w:rFonts w:hint="eastAsia"/>
              </w:rPr>
              <w:t>)</w:t>
            </w:r>
            <w:r>
              <w:rPr>
                <w:rFonts w:hint="eastAsia"/>
              </w:rPr>
              <w:t>，弯曲强度为</w:t>
            </w:r>
            <w:r>
              <w:rPr>
                <w:rFonts w:hint="eastAsia"/>
              </w:rPr>
              <w:t>157MPa(23</w:t>
            </w:r>
            <w:r>
              <w:rPr>
                <w:rFonts w:hint="eastAsia"/>
              </w:rPr>
              <w:t>℃</w:t>
            </w:r>
            <w:r>
              <w:rPr>
                <w:rFonts w:hint="eastAsia"/>
              </w:rPr>
              <w:t>)</w:t>
            </w:r>
            <w:r>
              <w:rPr>
                <w:rFonts w:hint="eastAsia"/>
              </w:rPr>
              <w:t>和</w:t>
            </w:r>
            <w:r>
              <w:rPr>
                <w:rFonts w:hint="eastAsia"/>
              </w:rPr>
              <w:t>96MPa(260</w:t>
            </w:r>
            <w:r>
              <w:rPr>
                <w:rFonts w:hint="eastAsia"/>
              </w:rPr>
              <w:t>℃</w:t>
            </w:r>
            <w:r>
              <w:rPr>
                <w:rFonts w:hint="eastAsia"/>
              </w:rPr>
              <w:t>)</w:t>
            </w:r>
            <w:r>
              <w:rPr>
                <w:rFonts w:hint="eastAsia"/>
              </w:rPr>
              <w:t>。使用温度从低温</w:t>
            </w:r>
            <w:r>
              <w:rPr>
                <w:rFonts w:hint="eastAsia"/>
              </w:rPr>
              <w:t>(-195</w:t>
            </w:r>
            <w:r>
              <w:rPr>
                <w:rFonts w:hint="eastAsia"/>
              </w:rPr>
              <w:t>℃</w:t>
            </w:r>
            <w:r>
              <w:rPr>
                <w:rFonts w:hint="eastAsia"/>
              </w:rPr>
              <w:t>)</w:t>
            </w:r>
            <w:r>
              <w:rPr>
                <w:rFonts w:hint="eastAsia"/>
              </w:rPr>
              <w:t>到</w:t>
            </w:r>
            <w:r>
              <w:rPr>
                <w:rFonts w:hint="eastAsia"/>
              </w:rPr>
              <w:t>230</w:t>
            </w:r>
            <w:r>
              <w:rPr>
                <w:rFonts w:hint="eastAsia"/>
              </w:rPr>
              <w:t>℃、尺寸稳定性和抗蠕变性优良，耐腐蚀、耐辐照，但在潮湿环境中吸湿，它可在</w:t>
            </w:r>
            <w:r>
              <w:rPr>
                <w:rFonts w:hint="eastAsia"/>
              </w:rPr>
              <w:t>220</w:t>
            </w:r>
            <w:r>
              <w:rPr>
                <w:rFonts w:hint="eastAsia"/>
              </w:rPr>
              <w:t>℃下长期使用，</w:t>
            </w:r>
            <w:r>
              <w:rPr>
                <w:rFonts w:hint="eastAsia"/>
              </w:rPr>
              <w:t>300</w:t>
            </w:r>
            <w:r>
              <w:rPr>
                <w:rFonts w:hint="eastAsia"/>
              </w:rPr>
              <w:t>℃下不失重，</w:t>
            </w:r>
            <w:r>
              <w:rPr>
                <w:rFonts w:hint="eastAsia"/>
              </w:rPr>
              <w:t>450</w:t>
            </w:r>
            <w:r>
              <w:rPr>
                <w:rFonts w:hint="eastAsia"/>
              </w:rPr>
              <w:t>℃左右开始分解。聚酰胺酰亚胺漆主要成分为</w:t>
            </w:r>
            <w:r w:rsidRPr="007B2328">
              <w:rPr>
                <w:rFonts w:hint="eastAsia"/>
                <w:b/>
                <w:u w:val="single"/>
              </w:rPr>
              <w:t>聚酰胺酰亚胺树脂</w:t>
            </w:r>
            <w:r w:rsidRPr="007B2328">
              <w:rPr>
                <w:rFonts w:hint="eastAsia"/>
                <w:b/>
                <w:u w:val="single"/>
              </w:rPr>
              <w:t>20-</w:t>
            </w:r>
            <w:r w:rsidRPr="007B2328">
              <w:rPr>
                <w:b/>
                <w:u w:val="single"/>
              </w:rPr>
              <w:t>40</w:t>
            </w:r>
            <w:r w:rsidRPr="007B2328">
              <w:rPr>
                <w:rFonts w:hint="eastAsia"/>
                <w:b/>
                <w:u w:val="single"/>
              </w:rPr>
              <w:t>%</w:t>
            </w:r>
            <w:r w:rsidRPr="007B2328">
              <w:rPr>
                <w:rFonts w:hint="eastAsia"/>
                <w:b/>
                <w:u w:val="single"/>
              </w:rPr>
              <w:t>，</w:t>
            </w:r>
            <w:r w:rsidR="007B2328" w:rsidRPr="007B2328">
              <w:rPr>
                <w:rFonts w:hint="eastAsia"/>
                <w:b/>
                <w:u w:val="single"/>
              </w:rPr>
              <w:t>NMP</w:t>
            </w:r>
            <w:r w:rsidR="007B2328" w:rsidRPr="007B2328">
              <w:rPr>
                <w:rFonts w:hint="eastAsia"/>
                <w:b/>
                <w:u w:val="single"/>
              </w:rPr>
              <w:t>、</w:t>
            </w:r>
            <w:r w:rsidR="007B2328" w:rsidRPr="007B2328">
              <w:rPr>
                <w:rFonts w:hint="eastAsia"/>
                <w:b/>
                <w:u w:val="single"/>
              </w:rPr>
              <w:t>N,N-</w:t>
            </w:r>
            <w:r w:rsidR="007B2328" w:rsidRPr="007B2328">
              <w:rPr>
                <w:rFonts w:hint="eastAsia"/>
                <w:b/>
                <w:u w:val="single"/>
              </w:rPr>
              <w:t>二甲基乙酰胺、</w:t>
            </w:r>
            <w:r w:rsidR="007B2328" w:rsidRPr="007B2328">
              <w:rPr>
                <w:rFonts w:hint="eastAsia"/>
                <w:b/>
                <w:u w:val="single"/>
              </w:rPr>
              <w:t>N,N-</w:t>
            </w:r>
            <w:r w:rsidR="007B2328" w:rsidRPr="007B2328">
              <w:rPr>
                <w:rFonts w:hint="eastAsia"/>
                <w:b/>
                <w:u w:val="single"/>
              </w:rPr>
              <w:t>二甲基甲酰胺</w:t>
            </w:r>
            <w:r w:rsidRPr="007B2328">
              <w:rPr>
                <w:rFonts w:cs="宋体" w:hint="eastAsia"/>
                <w:b/>
                <w:u w:val="single"/>
              </w:rPr>
              <w:t>2</w:t>
            </w:r>
            <w:r w:rsidRPr="007B2328">
              <w:rPr>
                <w:rFonts w:cs="宋体"/>
                <w:b/>
                <w:u w:val="single"/>
              </w:rPr>
              <w:t>0</w:t>
            </w:r>
            <w:r w:rsidRPr="007B2328">
              <w:rPr>
                <w:rFonts w:cs="宋体" w:hint="eastAsia"/>
                <w:b/>
                <w:u w:val="single"/>
              </w:rPr>
              <w:t>-70%</w:t>
            </w:r>
            <w:r w:rsidRPr="007B2328">
              <w:rPr>
                <w:rFonts w:cs="宋体" w:hint="eastAsia"/>
                <w:b/>
                <w:u w:val="single"/>
              </w:rPr>
              <w:t>，二甲苯</w:t>
            </w:r>
            <w:r w:rsidRPr="007B2328">
              <w:rPr>
                <w:rFonts w:cs="宋体" w:hint="eastAsia"/>
                <w:b/>
                <w:u w:val="single"/>
              </w:rPr>
              <w:t>0-</w:t>
            </w:r>
            <w:r w:rsidRPr="007B2328">
              <w:rPr>
                <w:rFonts w:cs="宋体"/>
                <w:b/>
                <w:u w:val="single"/>
              </w:rPr>
              <w:t>15</w:t>
            </w:r>
            <w:r w:rsidRPr="007B2328">
              <w:rPr>
                <w:rFonts w:cs="宋体" w:hint="eastAsia"/>
                <w:b/>
                <w:u w:val="single"/>
              </w:rPr>
              <w:t>%</w:t>
            </w:r>
            <w:r w:rsidRPr="007B2328">
              <w:rPr>
                <w:rFonts w:cs="宋体" w:hint="eastAsia"/>
                <w:b/>
                <w:u w:val="single"/>
              </w:rPr>
              <w:t>。</w:t>
            </w:r>
          </w:p>
        </w:tc>
        <w:tc>
          <w:tcPr>
            <w:tcW w:w="1892" w:type="dxa"/>
            <w:vAlign w:val="center"/>
          </w:tcPr>
          <w:p w:rsidR="00EE56C0" w:rsidRDefault="000F36A1">
            <w:pPr>
              <w:pStyle w:val="afa"/>
            </w:pPr>
            <w:r>
              <w:rPr>
                <w:rFonts w:cs="宋体" w:hint="eastAsia"/>
              </w:rPr>
              <w:t>二甲苯：中毒，</w:t>
            </w:r>
            <w:r>
              <w:rPr>
                <w:rFonts w:hint="eastAsia"/>
              </w:rPr>
              <w:t>大鼠经口</w:t>
            </w:r>
            <w:r>
              <w:rPr>
                <w:rFonts w:hint="eastAsia"/>
              </w:rPr>
              <w:t>LD</w:t>
            </w:r>
            <w:r>
              <w:rPr>
                <w:rFonts w:hint="eastAsia"/>
                <w:vertAlign w:val="subscript"/>
              </w:rPr>
              <w:t>50</w:t>
            </w:r>
            <w:r>
              <w:rPr>
                <w:rFonts w:hint="eastAsia"/>
              </w:rPr>
              <w:t>4300mg/kg</w:t>
            </w:r>
            <w:r>
              <w:rPr>
                <w:rFonts w:hint="eastAsia"/>
              </w:rPr>
              <w:t>；</w:t>
            </w:r>
          </w:p>
          <w:p w:rsidR="00EE56C0" w:rsidRDefault="000F36A1">
            <w:pPr>
              <w:pStyle w:val="afa"/>
            </w:pPr>
            <w:r>
              <w:rPr>
                <w:rFonts w:hint="eastAsia"/>
              </w:rPr>
              <w:t>N-</w:t>
            </w:r>
            <w:r>
              <w:rPr>
                <w:rFonts w:hint="eastAsia"/>
              </w:rPr>
              <w:t>甲基吡</w:t>
            </w:r>
            <w:r>
              <w:rPr>
                <w:rFonts w:cs="宋体" w:hint="eastAsia"/>
              </w:rPr>
              <w:t>咯烷酮：中毒，</w:t>
            </w:r>
            <w:r>
              <w:rPr>
                <w:rFonts w:hint="eastAsia"/>
              </w:rPr>
              <w:t>大鼠经口</w:t>
            </w:r>
            <w:r>
              <w:rPr>
                <w:rFonts w:hint="eastAsia"/>
              </w:rPr>
              <w:t>LD</w:t>
            </w:r>
            <w:r>
              <w:rPr>
                <w:rFonts w:hint="eastAsia"/>
                <w:vertAlign w:val="subscript"/>
              </w:rPr>
              <w:t>50</w:t>
            </w:r>
            <w:r>
              <w:rPr>
                <w:rFonts w:hint="eastAsia"/>
              </w:rPr>
              <w:t>3914mg/kg</w:t>
            </w:r>
          </w:p>
        </w:tc>
      </w:tr>
      <w:tr w:rsidR="00EE56C0">
        <w:trPr>
          <w:trHeight w:val="680"/>
        </w:trPr>
        <w:tc>
          <w:tcPr>
            <w:tcW w:w="959" w:type="dxa"/>
            <w:vAlign w:val="center"/>
          </w:tcPr>
          <w:p w:rsidR="00EE56C0" w:rsidRDefault="000F36A1">
            <w:pPr>
              <w:pStyle w:val="afa"/>
            </w:pPr>
            <w:r>
              <w:rPr>
                <w:rFonts w:hint="eastAsia"/>
              </w:rPr>
              <w:t>R-1449-G</w:t>
            </w:r>
            <w:r>
              <w:rPr>
                <w:rFonts w:hint="eastAsia"/>
              </w:rPr>
              <w:t>漆</w:t>
            </w:r>
          </w:p>
        </w:tc>
        <w:tc>
          <w:tcPr>
            <w:tcW w:w="6095" w:type="dxa"/>
            <w:vAlign w:val="center"/>
          </w:tcPr>
          <w:p w:rsidR="00EE56C0" w:rsidRDefault="000F36A1">
            <w:pPr>
              <w:pStyle w:val="afa"/>
            </w:pPr>
            <w:r>
              <w:rPr>
                <w:rFonts w:hint="eastAsia"/>
              </w:rPr>
              <w:t>R-1449-G</w:t>
            </w:r>
            <w:r>
              <w:rPr>
                <w:rFonts w:hint="eastAsia"/>
              </w:rPr>
              <w:t>漆是该漆是由改性环氧树脂、固化剂（桐油酸酐）、助剂（环烷酸钴）和丁醇等溶剂（含二甲苯）混合而成的高固体含量的玻璃丝包专用漆，其耐热等级为</w:t>
            </w:r>
            <w:r>
              <w:rPr>
                <w:rFonts w:hint="eastAsia"/>
              </w:rPr>
              <w:t>F</w:t>
            </w:r>
            <w:r>
              <w:rPr>
                <w:rFonts w:hint="eastAsia"/>
              </w:rPr>
              <w:t>级（</w:t>
            </w:r>
            <w:r>
              <w:rPr>
                <w:rFonts w:hint="eastAsia"/>
              </w:rPr>
              <w:t>155</w:t>
            </w:r>
            <w:r>
              <w:rPr>
                <w:rFonts w:hint="eastAsia"/>
              </w:rPr>
              <w:t>级），有粘结强度高，对玻璃丝浸润性好，干燥快，挥发分少，工艺适应性好等特点，它可用于制造各类玻璃丝绕包线（包括双玻璃丝包，漆包丝包，薄膜包丝包等）。根据厂家提供的资料，本项目使用的</w:t>
            </w:r>
            <w:r>
              <w:rPr>
                <w:rFonts w:hint="eastAsia"/>
              </w:rPr>
              <w:t>R-1449-G</w:t>
            </w:r>
            <w:r>
              <w:rPr>
                <w:rFonts w:hint="eastAsia"/>
              </w:rPr>
              <w:t>漆的主要成分为：环氧改性聚酯树脂</w:t>
            </w:r>
            <w:r>
              <w:rPr>
                <w:rFonts w:hint="eastAsia"/>
              </w:rPr>
              <w:t>60~65</w:t>
            </w:r>
            <w:r>
              <w:t>%</w:t>
            </w:r>
            <w:r>
              <w:rPr>
                <w:rFonts w:hint="eastAsia"/>
              </w:rPr>
              <w:t>，甲苯</w:t>
            </w:r>
            <w:r>
              <w:rPr>
                <w:rFonts w:hint="eastAsia"/>
              </w:rPr>
              <w:t>10~</w:t>
            </w:r>
            <w:r>
              <w:t>15%</w:t>
            </w:r>
            <w:r>
              <w:rPr>
                <w:rFonts w:hint="eastAsia"/>
              </w:rPr>
              <w:t>，二甲苯</w:t>
            </w:r>
            <w:r>
              <w:rPr>
                <w:rFonts w:hint="eastAsia"/>
              </w:rPr>
              <w:t>10~</w:t>
            </w:r>
            <w:r>
              <w:t>15%</w:t>
            </w:r>
            <w:r>
              <w:rPr>
                <w:rFonts w:hint="eastAsia"/>
              </w:rPr>
              <w:t>，丁醇</w:t>
            </w:r>
            <w:r>
              <w:rPr>
                <w:rFonts w:ascii="宋体" w:hAnsi="宋体" w:hint="eastAsia"/>
              </w:rPr>
              <w:t>＜</w:t>
            </w:r>
            <w:r>
              <w:rPr>
                <w:rFonts w:hint="eastAsia"/>
              </w:rPr>
              <w:t>5%</w:t>
            </w:r>
            <w:r>
              <w:rPr>
                <w:rFonts w:hint="eastAsia"/>
              </w:rPr>
              <w:t>，助剂（含苯）</w:t>
            </w:r>
            <w:r>
              <w:rPr>
                <w:rFonts w:ascii="宋体" w:hAnsi="宋体" w:hint="eastAsia"/>
              </w:rPr>
              <w:t>＜</w:t>
            </w:r>
            <w:r>
              <w:rPr>
                <w:rFonts w:hint="eastAsia"/>
              </w:rPr>
              <w:t>5%</w:t>
            </w:r>
            <w:r>
              <w:rPr>
                <w:rFonts w:hint="eastAsia"/>
              </w:rPr>
              <w:t>。</w:t>
            </w:r>
          </w:p>
        </w:tc>
        <w:tc>
          <w:tcPr>
            <w:tcW w:w="1892" w:type="dxa"/>
            <w:vAlign w:val="center"/>
          </w:tcPr>
          <w:p w:rsidR="00EE56C0" w:rsidRDefault="000F36A1">
            <w:pPr>
              <w:pStyle w:val="afa"/>
            </w:pPr>
            <w:r>
              <w:rPr>
                <w:rFonts w:hint="eastAsia"/>
              </w:rPr>
              <w:t>丁醇</w:t>
            </w:r>
            <w:r>
              <w:t>：</w:t>
            </w:r>
            <w:r>
              <w:rPr>
                <w:rFonts w:hint="eastAsia"/>
              </w:rPr>
              <w:t>易燃液体，</w:t>
            </w:r>
            <w:r>
              <w:rPr>
                <w:rFonts w:cs="宋体" w:hint="eastAsia"/>
              </w:rPr>
              <w:t>中毒，</w:t>
            </w:r>
            <w:r>
              <w:rPr>
                <w:rFonts w:hint="eastAsia"/>
              </w:rPr>
              <w:t>大鼠经口</w:t>
            </w:r>
            <w:r>
              <w:t>LD</w:t>
            </w:r>
            <w:r>
              <w:rPr>
                <w:vertAlign w:val="subscript"/>
              </w:rPr>
              <w:t>50</w:t>
            </w:r>
            <w:r>
              <w:rPr>
                <w:rFonts w:hint="eastAsia"/>
              </w:rPr>
              <w:t>35</w:t>
            </w:r>
            <w:r>
              <w:t>00mg/kg</w:t>
            </w:r>
          </w:p>
        </w:tc>
      </w:tr>
      <w:tr w:rsidR="00EE56C0">
        <w:trPr>
          <w:trHeight w:val="680"/>
        </w:trPr>
        <w:tc>
          <w:tcPr>
            <w:tcW w:w="959" w:type="dxa"/>
            <w:vAlign w:val="center"/>
          </w:tcPr>
          <w:p w:rsidR="00EE56C0" w:rsidRDefault="000F36A1">
            <w:pPr>
              <w:pStyle w:val="afa"/>
            </w:pPr>
            <w:r>
              <w:t>拉丝油</w:t>
            </w:r>
          </w:p>
        </w:tc>
        <w:tc>
          <w:tcPr>
            <w:tcW w:w="6095" w:type="dxa"/>
            <w:vAlign w:val="center"/>
          </w:tcPr>
          <w:p w:rsidR="00EE56C0" w:rsidRDefault="000F36A1">
            <w:pPr>
              <w:pStyle w:val="afa"/>
            </w:pPr>
            <w:r>
              <w:t>拉丝油为一种高效润滑油</w:t>
            </w:r>
            <w:r>
              <w:rPr>
                <w:rFonts w:hint="eastAsia"/>
              </w:rPr>
              <w:t>，</w:t>
            </w:r>
            <w:r>
              <w:t>棕红色液体，以精制油配以高档合成油、乳化剂、防锈蚀剂、防氧防霉剂等多种助剂；具有润滑、冷却、防锈、清洗等性能。拉丝油液温度控制在</w:t>
            </w:r>
            <w:r>
              <w:t>30~40</w:t>
            </w:r>
            <w:r>
              <w:rPr>
                <w:rFonts w:ascii="宋体" w:hAnsi="宋体" w:cs="宋体" w:hint="eastAsia"/>
              </w:rPr>
              <w:t>℃</w:t>
            </w:r>
            <w:r>
              <w:t>，使用时将拉丝油与</w:t>
            </w:r>
            <w:r>
              <w:rPr>
                <w:rFonts w:hint="eastAsia"/>
              </w:rPr>
              <w:t>纯</w:t>
            </w:r>
            <w:r>
              <w:t>水按一定比例混合形成稳定的乳化液</w:t>
            </w:r>
            <w:r>
              <w:rPr>
                <w:rFonts w:hint="eastAsia"/>
              </w:rPr>
              <w:t>。</w:t>
            </w:r>
            <w:r>
              <w:t>乳化液不可能永久维持不变</w:t>
            </w:r>
            <w:r>
              <w:rPr>
                <w:rFonts w:hint="eastAsia"/>
              </w:rPr>
              <w:t>，</w:t>
            </w:r>
            <w:r>
              <w:t>随着糟内乳化液的碳酸化</w:t>
            </w:r>
            <w:r>
              <w:rPr>
                <w:rFonts w:hint="eastAsia"/>
              </w:rPr>
              <w:t>、</w:t>
            </w:r>
            <w:r>
              <w:t>水分蒸发，在铜线上残留盐分，乳化液中盐含量会随时间增多，仅由于蒸发损失造成盐含量增加也使电导率提高。乳化液的不稳定性与含盐量有关，因此通过测定电导率，可确定其使用状况，决定是否应该换液。按照要求使用</w:t>
            </w:r>
            <w:r>
              <w:rPr>
                <w:rFonts w:hint="eastAsia"/>
              </w:rPr>
              <w:t>，使用寿命可达</w:t>
            </w:r>
            <w:r>
              <w:rPr>
                <w:rFonts w:hint="eastAsia"/>
              </w:rPr>
              <w:t>3~4</w:t>
            </w:r>
            <w:r>
              <w:rPr>
                <w:rFonts w:hint="eastAsia"/>
              </w:rPr>
              <w:t>年，</w:t>
            </w:r>
            <w:r>
              <w:t>拉丝油无毒、有害、无刺激性气味</w:t>
            </w:r>
            <w:r>
              <w:rPr>
                <w:rFonts w:hint="eastAsia"/>
              </w:rPr>
              <w:t>。</w:t>
            </w:r>
          </w:p>
        </w:tc>
        <w:tc>
          <w:tcPr>
            <w:tcW w:w="1892" w:type="dxa"/>
            <w:vAlign w:val="center"/>
          </w:tcPr>
          <w:p w:rsidR="00EE56C0" w:rsidRDefault="000F36A1">
            <w:pPr>
              <w:pStyle w:val="afa"/>
            </w:pPr>
            <w:r>
              <w:rPr>
                <w:rFonts w:hint="eastAsia"/>
              </w:rPr>
              <w:t>低毒</w:t>
            </w:r>
          </w:p>
        </w:tc>
      </w:tr>
      <w:tr w:rsidR="00EE56C0">
        <w:trPr>
          <w:trHeight w:val="680"/>
        </w:trPr>
        <w:tc>
          <w:tcPr>
            <w:tcW w:w="959" w:type="dxa"/>
            <w:vAlign w:val="center"/>
          </w:tcPr>
          <w:p w:rsidR="00EE56C0" w:rsidRDefault="000F36A1">
            <w:pPr>
              <w:pStyle w:val="afa"/>
            </w:pPr>
            <w:r>
              <w:t>聚酰亚胺</w:t>
            </w:r>
            <w:r>
              <w:rPr>
                <w:rFonts w:hint="eastAsia"/>
              </w:rPr>
              <w:t>薄膜</w:t>
            </w:r>
          </w:p>
        </w:tc>
        <w:tc>
          <w:tcPr>
            <w:tcW w:w="6095" w:type="dxa"/>
            <w:vAlign w:val="center"/>
          </w:tcPr>
          <w:p w:rsidR="00EE56C0" w:rsidRDefault="000F36A1">
            <w:pPr>
              <w:pStyle w:val="afa"/>
            </w:pPr>
            <w:r>
              <w:rPr>
                <w:rFonts w:hint="eastAsia"/>
              </w:rPr>
              <w:t>简称</w:t>
            </w:r>
            <w:r>
              <w:t>PI</w:t>
            </w:r>
            <w:r>
              <w:rPr>
                <w:rFonts w:hint="eastAsia"/>
              </w:rPr>
              <w:t>膜，是综合性能最佳的有机高分子材料之一。其耐高温达</w:t>
            </w:r>
            <w:r>
              <w:rPr>
                <w:rFonts w:hint="eastAsia"/>
              </w:rPr>
              <w:t>400</w:t>
            </w:r>
            <w:r>
              <w:rPr>
                <w:rFonts w:hint="eastAsia"/>
              </w:rPr>
              <w:t>℃以上，是迄今聚合物中热稳定性最高的品种之一，长期使用温度范围</w:t>
            </w:r>
            <w:r>
              <w:rPr>
                <w:rFonts w:hint="eastAsia"/>
              </w:rPr>
              <w:t>-200</w:t>
            </w:r>
            <w:r>
              <w:rPr>
                <w:rFonts w:hint="eastAsia"/>
              </w:rPr>
              <w:t>～</w:t>
            </w:r>
            <w:r>
              <w:rPr>
                <w:rFonts w:hint="eastAsia"/>
              </w:rPr>
              <w:t>300</w:t>
            </w:r>
            <w:r>
              <w:rPr>
                <w:rFonts w:hint="eastAsia"/>
              </w:rPr>
              <w:t>℃，部分无明显熔点，是在</w:t>
            </w:r>
            <w:r>
              <w:rPr>
                <w:rFonts w:hint="eastAsia"/>
              </w:rPr>
              <w:t>500</w:t>
            </w:r>
            <w:r>
              <w:rPr>
                <w:rFonts w:hint="eastAsia"/>
              </w:rPr>
              <w:t>℃左右开始发生分解。聚酰亚胺已被广泛应用在航空、航天、微电子、纳米、液晶、分离膜、激光等领域。</w:t>
            </w:r>
          </w:p>
        </w:tc>
        <w:tc>
          <w:tcPr>
            <w:tcW w:w="1892" w:type="dxa"/>
            <w:vAlign w:val="center"/>
          </w:tcPr>
          <w:p w:rsidR="00EE56C0" w:rsidRDefault="000F36A1">
            <w:pPr>
              <w:pStyle w:val="afa"/>
            </w:pPr>
            <w:r>
              <w:rPr>
                <w:rFonts w:hint="eastAsia"/>
                <w:spacing w:val="8"/>
              </w:rPr>
              <w:t>无毒</w:t>
            </w:r>
          </w:p>
        </w:tc>
      </w:tr>
      <w:tr w:rsidR="00EE56C0">
        <w:trPr>
          <w:trHeight w:val="680"/>
        </w:trPr>
        <w:tc>
          <w:tcPr>
            <w:tcW w:w="959" w:type="dxa"/>
            <w:vAlign w:val="center"/>
          </w:tcPr>
          <w:p w:rsidR="00EE56C0" w:rsidRDefault="000F36A1">
            <w:pPr>
              <w:pStyle w:val="afa"/>
            </w:pPr>
            <w:r>
              <w:rPr>
                <w:rFonts w:hint="eastAsia"/>
              </w:rPr>
              <w:t>排线油</w:t>
            </w:r>
          </w:p>
        </w:tc>
        <w:tc>
          <w:tcPr>
            <w:tcW w:w="6095" w:type="dxa"/>
            <w:vAlign w:val="center"/>
          </w:tcPr>
          <w:p w:rsidR="00EE56C0" w:rsidRDefault="000F36A1">
            <w:pPr>
              <w:pStyle w:val="afa"/>
            </w:pPr>
            <w:r>
              <w:rPr>
                <w:rFonts w:hint="eastAsia"/>
                <w:szCs w:val="27"/>
                <w:shd w:val="clear" w:color="auto" w:fill="FFFFFF"/>
              </w:rPr>
              <w:t>主要是高碳烷烃</w:t>
            </w:r>
            <w:r>
              <w:rPr>
                <w:szCs w:val="27"/>
                <w:shd w:val="clear" w:color="auto" w:fill="FFFFFF"/>
              </w:rPr>
              <w:t>，</w:t>
            </w:r>
            <w:r>
              <w:rPr>
                <w:rFonts w:hint="eastAsia"/>
                <w:szCs w:val="27"/>
                <w:shd w:val="clear" w:color="auto" w:fill="FFFFFF"/>
              </w:rPr>
              <w:t>是一种高分子树脂的复合材料，纯品为无色油状液体或白色固体。目前主要用于漆包线、电脑排线制造过程中的润滑剂作用，此作用减少漆包线在绕组线圈时防止产品涂层起包，尽而减少摩擦系数，提升线圈的品质和性能</w:t>
            </w:r>
            <w:r>
              <w:t>，是一种安全材料，对人体无害。</w:t>
            </w:r>
          </w:p>
        </w:tc>
        <w:tc>
          <w:tcPr>
            <w:tcW w:w="1892" w:type="dxa"/>
            <w:vAlign w:val="center"/>
          </w:tcPr>
          <w:p w:rsidR="00EE56C0" w:rsidRDefault="000F36A1">
            <w:pPr>
              <w:pStyle w:val="afa"/>
              <w:rPr>
                <w:spacing w:val="8"/>
              </w:rPr>
            </w:pPr>
            <w:r>
              <w:rPr>
                <w:rFonts w:hint="eastAsia"/>
                <w:spacing w:val="8"/>
              </w:rPr>
              <w:t>无毒</w:t>
            </w:r>
          </w:p>
        </w:tc>
      </w:tr>
    </w:tbl>
    <w:p w:rsidR="00EE56C0" w:rsidRDefault="000F36A1">
      <w:pPr>
        <w:pStyle w:val="2"/>
        <w:ind w:firstLine="301"/>
      </w:pPr>
      <w:r>
        <w:rPr>
          <w:rFonts w:hint="eastAsia"/>
        </w:rPr>
        <w:lastRenderedPageBreak/>
        <w:t>3.3</w:t>
      </w:r>
      <w:r>
        <w:rPr>
          <w:rFonts w:hint="eastAsia"/>
        </w:rPr>
        <w:t>本项目生产工艺及产污环节</w:t>
      </w:r>
    </w:p>
    <w:p w:rsidR="00EE56C0" w:rsidRDefault="000F36A1">
      <w:pPr>
        <w:ind w:firstLine="480"/>
      </w:pPr>
      <w:r>
        <w:rPr>
          <w:rFonts w:hint="eastAsia"/>
        </w:rPr>
        <w:t>本项目产品主要为漆包线、丝包线、纸包线、烧结线，工艺分别介绍如下。</w:t>
      </w:r>
    </w:p>
    <w:p w:rsidR="00EE56C0" w:rsidRDefault="000F36A1" w:rsidP="00212B58">
      <w:pPr>
        <w:pStyle w:val="4"/>
        <w:ind w:left="120" w:firstLine="241"/>
      </w:pPr>
      <w:r>
        <w:rPr>
          <w:rFonts w:hint="eastAsia"/>
        </w:rPr>
        <w:t>3.3.1.1</w:t>
      </w:r>
      <w:r>
        <w:rPr>
          <w:rFonts w:hint="eastAsia"/>
        </w:rPr>
        <w:t>漆包线生产工艺</w:t>
      </w:r>
    </w:p>
    <w:p w:rsidR="00EE56C0" w:rsidRDefault="00340837">
      <w:pPr>
        <w:ind w:firstLine="480"/>
      </w:pPr>
      <w:r w:rsidRPr="00340837">
        <w:rPr>
          <w:snapToGrid w:val="0"/>
        </w:rPr>
        <w:pict>
          <v:shape id="对象 3680" o:spid="_x0000_s2147" type="#_x0000_t75" style="position:absolute;left:0;text-align:left;margin-left:-59.85pt;margin-top:1.8pt;width:577.15pt;height:103.65pt;z-index:251690496">
            <v:imagedata r:id="rId39" o:title=""/>
          </v:shape>
          <o:OLEObject Type="Embed" ProgID="Visio.Drawing.11" ShapeID="对象 3680" DrawAspect="Content" ObjectID="_1705848368" r:id="rId40"/>
        </w:pict>
      </w:r>
    </w:p>
    <w:p w:rsidR="00EE56C0" w:rsidRDefault="00EE56C0">
      <w:pPr>
        <w:ind w:firstLine="480"/>
      </w:pPr>
    </w:p>
    <w:p w:rsidR="00EE56C0" w:rsidRDefault="00EE56C0">
      <w:pPr>
        <w:pStyle w:val="aff8"/>
        <w:spacing w:line="500" w:lineRule="exact"/>
        <w:jc w:val="left"/>
        <w:rPr>
          <w:rFonts w:eastAsia="黑体" w:hAnsi="黑体"/>
          <w:b w:val="0"/>
        </w:rPr>
      </w:pPr>
    </w:p>
    <w:p w:rsidR="0054715B" w:rsidRDefault="0054715B">
      <w:pPr>
        <w:pStyle w:val="aff8"/>
        <w:spacing w:line="500" w:lineRule="exact"/>
        <w:jc w:val="left"/>
        <w:rPr>
          <w:rFonts w:eastAsia="黑体" w:hAnsi="黑体"/>
          <w:b w:val="0"/>
        </w:rPr>
      </w:pPr>
    </w:p>
    <w:p w:rsidR="00EE56C0" w:rsidRDefault="000F36A1">
      <w:pPr>
        <w:pStyle w:val="aff8"/>
        <w:spacing w:line="500" w:lineRule="exact"/>
        <w:jc w:val="left"/>
      </w:pPr>
      <w:r>
        <w:rPr>
          <w:rFonts w:eastAsia="黑体" w:hAnsi="黑体"/>
          <w:b w:val="0"/>
        </w:rPr>
        <w:t>注：</w:t>
      </w:r>
      <w:r>
        <w:rPr>
          <w:rFonts w:eastAsia="黑体"/>
          <w:b w:val="0"/>
        </w:rPr>
        <w:t>G</w:t>
      </w:r>
      <w:r>
        <w:rPr>
          <w:rFonts w:eastAsia="黑体" w:hAnsi="黑体"/>
          <w:b w:val="0"/>
        </w:rPr>
        <w:t>：废气</w:t>
      </w:r>
      <w:r w:rsidR="00212B58">
        <w:rPr>
          <w:rFonts w:eastAsia="黑体" w:hint="eastAsia"/>
          <w:b w:val="0"/>
        </w:rPr>
        <w:t>，</w:t>
      </w:r>
      <w:r>
        <w:rPr>
          <w:rFonts w:eastAsia="黑体"/>
          <w:b w:val="0"/>
        </w:rPr>
        <w:t>S</w:t>
      </w:r>
      <w:r>
        <w:rPr>
          <w:rFonts w:eastAsia="黑体" w:hAnsi="黑体"/>
          <w:b w:val="0"/>
        </w:rPr>
        <w:t>：固废</w:t>
      </w:r>
      <w:r w:rsidR="00212B58">
        <w:rPr>
          <w:rFonts w:eastAsia="黑体" w:hint="eastAsia"/>
          <w:b w:val="0"/>
        </w:rPr>
        <w:t>，</w:t>
      </w:r>
      <w:r>
        <w:rPr>
          <w:rFonts w:eastAsia="黑体"/>
          <w:b w:val="0"/>
        </w:rPr>
        <w:t>N</w:t>
      </w:r>
      <w:r>
        <w:rPr>
          <w:rFonts w:eastAsia="黑体" w:hAnsi="黑体"/>
          <w:b w:val="0"/>
        </w:rPr>
        <w:t>：噪声</w:t>
      </w:r>
    </w:p>
    <w:p w:rsidR="00EE56C0" w:rsidRDefault="000F36A1">
      <w:pPr>
        <w:pStyle w:val="aff8"/>
        <w:spacing w:line="500" w:lineRule="exact"/>
        <w:rPr>
          <w:rFonts w:eastAsia="黑体"/>
        </w:rPr>
      </w:pPr>
      <w:r>
        <w:rPr>
          <w:rFonts w:eastAsia="黑体" w:hint="eastAsia"/>
        </w:rPr>
        <w:t>图</w:t>
      </w:r>
      <w:r>
        <w:rPr>
          <w:rFonts w:eastAsia="黑体" w:hint="eastAsia"/>
        </w:rPr>
        <w:t xml:space="preserve">3-4  </w:t>
      </w:r>
      <w:r>
        <w:rPr>
          <w:rFonts w:eastAsia="黑体" w:hint="eastAsia"/>
        </w:rPr>
        <w:t>漆包线工艺流程及产污环节图</w:t>
      </w:r>
    </w:p>
    <w:p w:rsidR="00EE56C0" w:rsidRDefault="000F36A1">
      <w:pPr>
        <w:spacing w:line="500" w:lineRule="exact"/>
        <w:ind w:firstLine="482"/>
        <w:rPr>
          <w:b/>
        </w:rPr>
      </w:pPr>
      <w:r>
        <w:rPr>
          <w:rFonts w:hint="eastAsia"/>
          <w:b/>
        </w:rPr>
        <w:t>工艺流程简述：</w:t>
      </w:r>
    </w:p>
    <w:p w:rsidR="00EE56C0" w:rsidRDefault="000F36A1">
      <w:pPr>
        <w:spacing w:line="440" w:lineRule="exact"/>
        <w:ind w:firstLine="482"/>
      </w:pPr>
      <w:r>
        <w:rPr>
          <w:b/>
        </w:rPr>
        <w:t>原料：</w:t>
      </w:r>
      <w:r>
        <w:t>本项目所用原材料为外购的</w:t>
      </w:r>
      <w:r>
        <w:t>8mm</w:t>
      </w:r>
      <w:r>
        <w:rPr>
          <w:rFonts w:hint="eastAsia"/>
        </w:rPr>
        <w:t>、</w:t>
      </w:r>
      <w:r>
        <w:rPr>
          <w:rFonts w:hint="eastAsia"/>
        </w:rPr>
        <w:t>2.6mm</w:t>
      </w:r>
      <w:r>
        <w:rPr>
          <w:rFonts w:hint="eastAsia"/>
        </w:rPr>
        <w:t>、</w:t>
      </w:r>
      <w:r>
        <w:rPr>
          <w:rFonts w:hint="eastAsia"/>
        </w:rPr>
        <w:t>3.0mm</w:t>
      </w:r>
      <w:r>
        <w:t>铜杆，铜杆规格为</w:t>
      </w:r>
      <w:r>
        <w:rPr>
          <w:rFonts w:hint="eastAsia"/>
        </w:rPr>
        <w:t>1~4</w:t>
      </w:r>
      <w:r>
        <w:t>t/</w:t>
      </w:r>
      <w:r>
        <w:t>盘。</w:t>
      </w:r>
    </w:p>
    <w:p w:rsidR="00EE56C0" w:rsidRDefault="000F36A1">
      <w:pPr>
        <w:spacing w:line="440" w:lineRule="exact"/>
        <w:ind w:firstLine="482"/>
        <w:rPr>
          <w:b/>
        </w:rPr>
      </w:pPr>
      <w:r>
        <w:rPr>
          <w:rFonts w:hint="eastAsia"/>
          <w:b/>
        </w:rPr>
        <w:t>拉拔</w:t>
      </w:r>
      <w:r>
        <w:rPr>
          <w:rFonts w:hint="eastAsia"/>
          <w:b/>
        </w:rPr>
        <w:t>/</w:t>
      </w:r>
      <w:r>
        <w:rPr>
          <w:b/>
        </w:rPr>
        <w:t>拉丝</w:t>
      </w:r>
      <w:r>
        <w:rPr>
          <w:rFonts w:hint="eastAsia"/>
          <w:b/>
        </w:rPr>
        <w:t>：</w:t>
      </w:r>
      <w:r>
        <w:rPr>
          <w:rFonts w:hint="eastAsia"/>
        </w:rPr>
        <w:t>根据订单要求采用拉拔机、</w:t>
      </w:r>
      <w:r>
        <w:t>拉丝</w:t>
      </w:r>
      <w:r>
        <w:rPr>
          <w:rFonts w:hint="eastAsia"/>
        </w:rPr>
        <w:t>机进行铜杆拉伸，拉拔、拉丝工艺可同时进行，也可以单独进行，根据订单要求采取不同的拉伸工艺。其中拉包机自带拉丝机，可替代中拉机、小拉机，漆包机需要配套拉拔机、</w:t>
      </w:r>
      <w:r>
        <w:t>拉丝</w:t>
      </w:r>
      <w:r>
        <w:rPr>
          <w:rFonts w:hint="eastAsia"/>
        </w:rPr>
        <w:t>机。主要区别为加工铜杆的直径及拉伸后的铜线类型不同。扁线拉拔工序主要为</w:t>
      </w:r>
      <w:r>
        <w:rPr>
          <w:rFonts w:hint="eastAsia"/>
        </w:rPr>
        <w:t>8mm</w:t>
      </w:r>
      <w:r>
        <w:t>铜杆</w:t>
      </w:r>
      <w:r>
        <w:rPr>
          <w:rFonts w:hint="eastAsia"/>
        </w:rPr>
        <w:t>，拉拔后为</w:t>
      </w:r>
      <w:r>
        <w:rPr>
          <w:rFonts w:hint="eastAsia"/>
        </w:rPr>
        <w:t>4-70mm</w:t>
      </w:r>
      <w:r>
        <w:rPr>
          <w:rFonts w:hint="eastAsia"/>
          <w:vertAlign w:val="superscript"/>
        </w:rPr>
        <w:t>2</w:t>
      </w:r>
      <w:r>
        <w:rPr>
          <w:rFonts w:hint="eastAsia"/>
        </w:rPr>
        <w:t>裸铜扁线。拉丝工序主要为</w:t>
      </w:r>
      <w:r>
        <w:rPr>
          <w:rFonts w:hint="eastAsia"/>
        </w:rPr>
        <w:t>2.0mm</w:t>
      </w:r>
      <w:r>
        <w:rPr>
          <w:rFonts w:hint="eastAsia"/>
        </w:rPr>
        <w:t>、</w:t>
      </w:r>
      <w:r>
        <w:rPr>
          <w:rFonts w:hint="eastAsia"/>
        </w:rPr>
        <w:t>2.6mm</w:t>
      </w:r>
      <w:r>
        <w:rPr>
          <w:rFonts w:hint="eastAsia"/>
        </w:rPr>
        <w:t>、</w:t>
      </w:r>
      <w:r>
        <w:rPr>
          <w:rFonts w:hint="eastAsia"/>
        </w:rPr>
        <w:t>3.0mm</w:t>
      </w:r>
      <w:r>
        <w:rPr>
          <w:rFonts w:hint="eastAsia"/>
        </w:rPr>
        <w:t>、</w:t>
      </w:r>
      <w:r>
        <w:rPr>
          <w:rFonts w:hint="eastAsia"/>
        </w:rPr>
        <w:t>3.6mm</w:t>
      </w:r>
      <w:r>
        <w:rPr>
          <w:rFonts w:hint="eastAsia"/>
        </w:rPr>
        <w:t>等规格裸铜圆线。</w:t>
      </w:r>
      <w:r>
        <w:t>铜</w:t>
      </w:r>
      <w:r>
        <w:rPr>
          <w:rFonts w:hint="eastAsia"/>
        </w:rPr>
        <w:t>杆拉拔、</w:t>
      </w:r>
      <w:r>
        <w:t>拉丝过程中需使用拉丝液用作</w:t>
      </w:r>
      <w:r>
        <w:rPr>
          <w:rFonts w:hint="eastAsia"/>
        </w:rPr>
        <w:t>冷却及</w:t>
      </w:r>
      <w:r>
        <w:t>润滑剂，以减少铜材的摩擦，</w:t>
      </w:r>
      <w:r>
        <w:rPr>
          <w:rFonts w:hint="eastAsia"/>
        </w:rPr>
        <w:t>该工序会产生废拉丝液、含铜油泥和噪声。</w:t>
      </w:r>
      <w:r>
        <w:t>拉丝液</w:t>
      </w:r>
      <w:r>
        <w:rPr>
          <w:rFonts w:hint="eastAsia"/>
        </w:rPr>
        <w:t>是由纯水、拉丝油按</w:t>
      </w:r>
      <w:r>
        <w:rPr>
          <w:rFonts w:hint="eastAsia"/>
        </w:rPr>
        <w:t>9</w:t>
      </w:r>
      <w:r>
        <w:rPr>
          <w:rFonts w:hint="eastAsia"/>
        </w:rPr>
        <w:t>：</w:t>
      </w:r>
      <w:r>
        <w:rPr>
          <w:rFonts w:hint="eastAsia"/>
        </w:rPr>
        <w:t>1</w:t>
      </w:r>
      <w:r>
        <w:rPr>
          <w:rFonts w:hint="eastAsia"/>
        </w:rPr>
        <w:t>配比而成</w:t>
      </w:r>
      <w:r>
        <w:t>。</w:t>
      </w:r>
    </w:p>
    <w:p w:rsidR="00EE56C0" w:rsidRDefault="000F36A1" w:rsidP="000F36A1">
      <w:pPr>
        <w:spacing w:line="500" w:lineRule="exact"/>
        <w:ind w:firstLineChars="199" w:firstLine="478"/>
      </w:pPr>
      <w:r>
        <w:rPr>
          <w:rFonts w:hint="eastAsia"/>
        </w:rPr>
        <w:t>拉拔</w:t>
      </w:r>
      <w:r>
        <w:rPr>
          <w:rFonts w:hint="eastAsia"/>
        </w:rPr>
        <w:t>/</w:t>
      </w:r>
      <w:r>
        <w:t>拉丝是指铜</w:t>
      </w:r>
      <w:r>
        <w:rPr>
          <w:rFonts w:hint="eastAsia"/>
        </w:rPr>
        <w:t>线</w:t>
      </w:r>
      <w:r>
        <w:t>通过模孔，在一定拉力作用下发生塑性变形，使其截面减少而长度增加的压力加工方法。拉丝机包括大拉机、中拉机</w:t>
      </w:r>
      <w:r>
        <w:rPr>
          <w:rFonts w:hint="eastAsia"/>
        </w:rPr>
        <w:t>、小拉机</w:t>
      </w:r>
      <w:r>
        <w:t>。中</w:t>
      </w:r>
      <w:r>
        <w:rPr>
          <w:rFonts w:hint="eastAsia"/>
        </w:rPr>
        <w:t>、小拉拔机拉拔后的不同规格的圆线</w:t>
      </w:r>
      <w:r>
        <w:t>作为</w:t>
      </w:r>
      <w:r>
        <w:rPr>
          <w:rFonts w:hint="eastAsia"/>
        </w:rPr>
        <w:t>中、小</w:t>
      </w:r>
      <w:r>
        <w:t>拉丝机的进线，</w:t>
      </w:r>
      <w:r>
        <w:rPr>
          <w:rFonts w:hint="eastAsia"/>
        </w:rPr>
        <w:t>再</w:t>
      </w:r>
      <w:r>
        <w:t>经过多道模具拉制成直径</w:t>
      </w:r>
      <w:r>
        <w:rPr>
          <w:rFonts w:hint="eastAsia"/>
        </w:rPr>
        <w:t>0.050-</w:t>
      </w:r>
      <w:r>
        <w:t>2.</w:t>
      </w:r>
      <w:r>
        <w:rPr>
          <w:rFonts w:hint="eastAsia"/>
        </w:rPr>
        <w:t>500</w:t>
      </w:r>
      <w:r>
        <w:t>mm</w:t>
      </w:r>
      <w:r>
        <w:rPr>
          <w:rFonts w:hint="eastAsia"/>
        </w:rPr>
        <w:t>等多种规格</w:t>
      </w:r>
      <w:r>
        <w:t>的铜线</w:t>
      </w:r>
      <w:r>
        <w:rPr>
          <w:rFonts w:hint="eastAsia"/>
        </w:rPr>
        <w:t>，铜线经过拉拔机</w:t>
      </w:r>
      <w:r>
        <w:rPr>
          <w:rFonts w:hint="eastAsia"/>
        </w:rPr>
        <w:t>/</w:t>
      </w:r>
      <w:r>
        <w:t>拉丝</w:t>
      </w:r>
      <w:r>
        <w:rPr>
          <w:rFonts w:hint="eastAsia"/>
        </w:rPr>
        <w:t>机后的末端</w:t>
      </w:r>
      <w:r>
        <w:t>模孔</w:t>
      </w:r>
      <w:r>
        <w:rPr>
          <w:rFonts w:hint="eastAsia"/>
        </w:rPr>
        <w:t>时，</w:t>
      </w:r>
      <w:r>
        <w:t>模孔</w:t>
      </w:r>
      <w:r>
        <w:rPr>
          <w:rFonts w:hint="eastAsia"/>
        </w:rPr>
        <w:t>压缩区、定径区与铜材之间受到较大压力后会将</w:t>
      </w:r>
      <w:r>
        <w:t>拉丝液</w:t>
      </w:r>
      <w:r>
        <w:rPr>
          <w:rFonts w:hint="eastAsia"/>
        </w:rPr>
        <w:t>刮掉，之后经带去污毛毡的收线装置完成收线过程，拉丝机出口的去污毛毡可将残留的铜粉全部擦拭干净，确保进入下道工序时没有</w:t>
      </w:r>
      <w:r>
        <w:t>拉丝液</w:t>
      </w:r>
      <w:r>
        <w:rPr>
          <w:rFonts w:hint="eastAsia"/>
        </w:rPr>
        <w:t>。利</w:t>
      </w:r>
      <w:r>
        <w:t>用叉车</w:t>
      </w:r>
      <w:r>
        <w:rPr>
          <w:rFonts w:hint="eastAsia"/>
        </w:rPr>
        <w:t>将</w:t>
      </w:r>
      <w:r>
        <w:t>收线架上的成盘铜线转移至漆包机拉丝装置旁</w:t>
      </w:r>
      <w:r>
        <w:rPr>
          <w:rFonts w:hint="eastAsia"/>
        </w:rPr>
        <w:t>，</w:t>
      </w:r>
      <w:r>
        <w:t>经漆包机自带拉丝装置进一步拉制成直径</w:t>
      </w:r>
      <w:r>
        <w:rPr>
          <w:rFonts w:hint="eastAsia"/>
        </w:rPr>
        <w:t>为</w:t>
      </w:r>
      <w:r>
        <w:lastRenderedPageBreak/>
        <w:t>0.2~1.2mm</w:t>
      </w:r>
      <w:r>
        <w:t>的裸铜线。</w:t>
      </w:r>
      <w:r>
        <w:t xml:space="preserve"> </w:t>
      </w:r>
    </w:p>
    <w:p w:rsidR="00EE56C0" w:rsidRDefault="000F36A1">
      <w:pPr>
        <w:spacing w:line="500" w:lineRule="exact"/>
        <w:ind w:firstLine="480"/>
      </w:pPr>
      <w:r>
        <w:t>铜</w:t>
      </w:r>
      <w:r>
        <w:rPr>
          <w:rFonts w:hint="eastAsia"/>
        </w:rPr>
        <w:t>杆拉拔、</w:t>
      </w:r>
      <w:r>
        <w:t>拉丝过程中需使用拉丝液</w:t>
      </w:r>
      <w:r>
        <w:rPr>
          <w:rFonts w:hint="eastAsia"/>
        </w:rPr>
        <w:t>进行冷却及</w:t>
      </w:r>
      <w:r>
        <w:t>润滑</w:t>
      </w:r>
      <w:r>
        <w:rPr>
          <w:rFonts w:hint="eastAsia"/>
        </w:rPr>
        <w:t>，拉丝液长时间使用杂质增加，影响拉丝质量及后期涂漆效果。</w:t>
      </w:r>
      <w:r>
        <w:t>拉丝液</w:t>
      </w:r>
      <w:r>
        <w:rPr>
          <w:rFonts w:hint="eastAsia"/>
        </w:rPr>
        <w:t>经管道输送至</w:t>
      </w:r>
      <w:r>
        <w:t>拉丝液</w:t>
      </w:r>
      <w:r>
        <w:rPr>
          <w:rFonts w:hint="eastAsia"/>
        </w:rPr>
        <w:t>池</w:t>
      </w:r>
      <w:r>
        <w:t>循环使用，一段时间后，铜粉遗留在拉丝液中，将拉丝液</w:t>
      </w:r>
      <w:r>
        <w:rPr>
          <w:rFonts w:hint="eastAsia"/>
        </w:rPr>
        <w:t>自然</w:t>
      </w:r>
      <w:r>
        <w:t>沉淀，得到含铜废油泥。</w:t>
      </w:r>
      <w:r>
        <w:rPr>
          <w:rFonts w:hint="eastAsia"/>
        </w:rPr>
        <w:t>拉丝液会定期更换，更换下来的废拉丝液和含铜油泥属于危险废物，废拉丝液配套油水分离器进行减量化处置，处置后的拉丝油作为危废，拉丝油和含铜油泥由专用密闭容器收集、暂存于危废暂存间，定期交由有资质单位安全处理。</w:t>
      </w:r>
    </w:p>
    <w:p w:rsidR="00EE56C0" w:rsidRDefault="000F36A1">
      <w:pPr>
        <w:spacing w:line="500" w:lineRule="exact"/>
        <w:ind w:firstLine="482"/>
      </w:pPr>
      <w:r>
        <w:rPr>
          <w:b/>
        </w:rPr>
        <w:t>退火：</w:t>
      </w:r>
      <w:r>
        <w:t>拉制后提高了铜线的强度和硬度，但延伸率及导电率均降低，同时电阻系数增大。为了达到产品技术要求，需对</w:t>
      </w:r>
      <w:r>
        <w:rPr>
          <w:rFonts w:hint="eastAsia"/>
        </w:rPr>
        <w:t>拉拔</w:t>
      </w:r>
      <w:r>
        <w:rPr>
          <w:rFonts w:hint="eastAsia"/>
        </w:rPr>
        <w:t>/</w:t>
      </w:r>
      <w:r>
        <w:t>拉</w:t>
      </w:r>
      <w:r>
        <w:rPr>
          <w:rFonts w:hint="eastAsia"/>
        </w:rPr>
        <w:t>丝</w:t>
      </w:r>
      <w:r>
        <w:t>后的铜线进行退火处理</w:t>
      </w:r>
      <w:r>
        <w:rPr>
          <w:rFonts w:hint="eastAsia"/>
        </w:rPr>
        <w:t>，即</w:t>
      </w:r>
      <w:r>
        <w:t>铜线加热</w:t>
      </w:r>
      <w:r>
        <w:rPr>
          <w:rFonts w:hint="eastAsia"/>
        </w:rPr>
        <w:t>至</w:t>
      </w:r>
      <w:r>
        <w:t>低于熔点的温度，退火炉采用电加热</w:t>
      </w:r>
      <w:r>
        <w:rPr>
          <w:rFonts w:hint="eastAsia"/>
        </w:rPr>
        <w:t>方式</w:t>
      </w:r>
      <w:r>
        <w:t>，退火温度为</w:t>
      </w:r>
      <w:r>
        <w:t>420~550</w:t>
      </w:r>
      <w:r>
        <w:rPr>
          <w:rFonts w:ascii="宋体" w:hAnsi="宋体" w:cs="宋体" w:hint="eastAsia"/>
        </w:rPr>
        <w:t>℃</w:t>
      </w:r>
      <w:r>
        <w:rPr>
          <w:rFonts w:ascii="宋体" w:hint="eastAsia"/>
        </w:rPr>
        <w:t>。</w:t>
      </w:r>
      <w:r>
        <w:rPr>
          <w:rFonts w:hint="eastAsia"/>
        </w:rPr>
        <w:t>铜线经去污毛毡的转轮后进入退火装置，确保铜线进入退火装置后无油污。因此退火装置无废气产生。</w:t>
      </w:r>
    </w:p>
    <w:p w:rsidR="00EE56C0" w:rsidRDefault="000F36A1">
      <w:pPr>
        <w:spacing w:line="500" w:lineRule="exact"/>
        <w:ind w:firstLine="482"/>
        <w:rPr>
          <w:b/>
        </w:rPr>
      </w:pPr>
      <w:r>
        <w:rPr>
          <w:rFonts w:hint="eastAsia"/>
          <w:b/>
        </w:rPr>
        <w:t>冷却：</w:t>
      </w:r>
      <w:r>
        <w:rPr>
          <w:rFonts w:hint="eastAsia"/>
        </w:rPr>
        <w:t>退火后的铜线经过水槽进行冷却，水槽内为纯水，再采用高压热风装置吹干，确保达到符合涂漆要求的洁净表面。</w:t>
      </w:r>
    </w:p>
    <w:p w:rsidR="00EE56C0" w:rsidRDefault="000F36A1">
      <w:pPr>
        <w:spacing w:line="440" w:lineRule="exact"/>
        <w:ind w:firstLine="482"/>
      </w:pPr>
      <w:r>
        <w:rPr>
          <w:rFonts w:hint="eastAsia"/>
          <w:b/>
        </w:rPr>
        <w:t>浸</w:t>
      </w:r>
      <w:r>
        <w:rPr>
          <w:b/>
        </w:rPr>
        <w:t>漆：</w:t>
      </w:r>
      <w:r>
        <w:t>铜线经</w:t>
      </w:r>
      <w:r>
        <w:rPr>
          <w:rFonts w:hint="eastAsia"/>
        </w:rPr>
        <w:t>水槽</w:t>
      </w:r>
      <w:r>
        <w:t>冷却</w:t>
      </w:r>
      <w:r>
        <w:rPr>
          <w:rFonts w:hint="eastAsia"/>
        </w:rPr>
        <w:t>至</w:t>
      </w:r>
      <w:r>
        <w:t>常温后，</w:t>
      </w:r>
      <w:r>
        <w:rPr>
          <w:rFonts w:hint="eastAsia"/>
        </w:rPr>
        <w:t>进入漆包机</w:t>
      </w:r>
      <w:r>
        <w:rPr>
          <w:rFonts w:hint="eastAsia"/>
        </w:rPr>
        <w:t>/</w:t>
      </w:r>
      <w:r>
        <w:rPr>
          <w:rFonts w:hint="eastAsia"/>
        </w:rPr>
        <w:t>拉包机</w:t>
      </w:r>
      <w:r>
        <w:t>经多次</w:t>
      </w:r>
      <w:r>
        <w:rPr>
          <w:rFonts w:hint="eastAsia"/>
        </w:rPr>
        <w:t>浸</w:t>
      </w:r>
      <w:r>
        <w:t>漆（底漆</w:t>
      </w:r>
      <w:r>
        <w:t>6~9</w:t>
      </w:r>
      <w:r>
        <w:t>道，面漆</w:t>
      </w:r>
      <w:r>
        <w:t>2~3</w:t>
      </w:r>
      <w:r>
        <w:t>道）、烘干，多次冷却、收线。</w:t>
      </w:r>
      <w:r>
        <w:rPr>
          <w:rFonts w:hint="eastAsia"/>
        </w:rPr>
        <w:t>浸</w:t>
      </w:r>
      <w:r>
        <w:t>漆</w:t>
      </w:r>
      <w:r>
        <w:rPr>
          <w:rFonts w:hint="eastAsia"/>
        </w:rPr>
        <w:t>工序产生有机废气。其中拉包机自带拉丝机，可替代中拉机、小拉机，漆包机需要配套拉拔机、</w:t>
      </w:r>
      <w:r>
        <w:t>拉丝</w:t>
      </w:r>
      <w:r>
        <w:rPr>
          <w:rFonts w:hint="eastAsia"/>
        </w:rPr>
        <w:t>机。</w:t>
      </w:r>
    </w:p>
    <w:p w:rsidR="00EE56C0" w:rsidRDefault="000F36A1">
      <w:pPr>
        <w:spacing w:line="440" w:lineRule="exact"/>
        <w:ind w:firstLine="480"/>
      </w:pPr>
      <w:r>
        <w:rPr>
          <w:rFonts w:hint="eastAsia"/>
        </w:rPr>
        <w:t>外购绝缘漆为成品桶装（</w:t>
      </w:r>
      <w:r>
        <w:rPr>
          <w:rFonts w:hint="eastAsia"/>
        </w:rPr>
        <w:t>1</w:t>
      </w:r>
      <w:r>
        <w:rPr>
          <w:rFonts w:hint="eastAsia"/>
        </w:rPr>
        <w:t>吨</w:t>
      </w:r>
      <w:r>
        <w:rPr>
          <w:rFonts w:hint="eastAsia"/>
        </w:rPr>
        <w:t>/</w:t>
      </w:r>
      <w:r>
        <w:rPr>
          <w:rFonts w:hint="eastAsia"/>
        </w:rPr>
        <w:t>桶），不需要调配，可直接使用，</w:t>
      </w:r>
      <w:r>
        <w:t>上漆前要预热至</w:t>
      </w:r>
      <w:r>
        <w:t>45</w:t>
      </w:r>
      <w:r>
        <w:rPr>
          <w:rFonts w:ascii="宋体"/>
        </w:rPr>
        <w:t>℃</w:t>
      </w:r>
      <w:r>
        <w:t>，此温度条件下，该漆的涂覆性能最佳，桶装漆经</w:t>
      </w:r>
      <w:r>
        <w:rPr>
          <w:rFonts w:hint="eastAsia"/>
        </w:rPr>
        <w:t>密闭</w:t>
      </w:r>
      <w:r>
        <w:t>管</w:t>
      </w:r>
      <w:r>
        <w:rPr>
          <w:rFonts w:hint="eastAsia"/>
        </w:rPr>
        <w:t>道</w:t>
      </w:r>
      <w:r>
        <w:t>输送至</w:t>
      </w:r>
      <w:r>
        <w:rPr>
          <w:rFonts w:hint="eastAsia"/>
        </w:rPr>
        <w:t>电</w:t>
      </w:r>
      <w:r>
        <w:t>加热系统进行</w:t>
      </w:r>
      <w:r>
        <w:rPr>
          <w:rFonts w:hint="eastAsia"/>
        </w:rPr>
        <w:t>预</w:t>
      </w:r>
      <w:r>
        <w:t>热，</w:t>
      </w:r>
      <w:r>
        <w:rPr>
          <w:rFonts w:hint="eastAsia"/>
        </w:rPr>
        <w:t>预热过程全密闭，预</w:t>
      </w:r>
      <w:r>
        <w:t>热后的漆料经</w:t>
      </w:r>
      <w:r>
        <w:rPr>
          <w:rFonts w:hint="eastAsia"/>
        </w:rPr>
        <w:t>密闭管道</w:t>
      </w:r>
      <w:r>
        <w:t>输送至漆盒</w:t>
      </w:r>
      <w:r>
        <w:rPr>
          <w:rFonts w:hint="eastAsia"/>
        </w:rPr>
        <w:t>内备用</w:t>
      </w:r>
      <w:r>
        <w:t>。漆料使用完</w:t>
      </w:r>
      <w:r>
        <w:rPr>
          <w:rFonts w:hint="eastAsia"/>
        </w:rPr>
        <w:t>，空油</w:t>
      </w:r>
      <w:r>
        <w:t>漆桶</w:t>
      </w:r>
      <w:r>
        <w:rPr>
          <w:rFonts w:hint="eastAsia"/>
        </w:rPr>
        <w:t>直接</w:t>
      </w:r>
      <w:r>
        <w:t>由厂家拉走循环利用。</w:t>
      </w:r>
      <w:r>
        <w:rPr>
          <w:rFonts w:hint="eastAsia"/>
        </w:rPr>
        <w:t>根据《固体废物鉴别标准</w:t>
      </w:r>
      <w:r>
        <w:rPr>
          <w:rFonts w:hint="eastAsia"/>
        </w:rPr>
        <w:t xml:space="preserve">  </w:t>
      </w:r>
      <w:r>
        <w:rPr>
          <w:rFonts w:hint="eastAsia"/>
        </w:rPr>
        <w:t>通则》（</w:t>
      </w:r>
      <w:r>
        <w:rPr>
          <w:rFonts w:hint="eastAsia"/>
        </w:rPr>
        <w:t>GB34330-2017</w:t>
      </w:r>
      <w:r>
        <w:rPr>
          <w:rFonts w:hint="eastAsia"/>
        </w:rPr>
        <w:t>）中</w:t>
      </w:r>
      <w:r>
        <w:rPr>
          <w:rFonts w:hint="eastAsia"/>
        </w:rPr>
        <w:t>6.1</w:t>
      </w:r>
      <w:r>
        <w:rPr>
          <w:rFonts w:hint="eastAsia"/>
        </w:rPr>
        <w:t>：任何不需要修复和加工即可用于其原始用途的物质，可不作为固体废物管理。因此，空油漆桶不属于固体废物。</w:t>
      </w:r>
    </w:p>
    <w:p w:rsidR="00EE56C0" w:rsidRDefault="000F36A1">
      <w:pPr>
        <w:spacing w:line="440" w:lineRule="exact"/>
        <w:ind w:firstLine="480"/>
      </w:pPr>
      <w:r>
        <w:rPr>
          <w:rFonts w:hint="eastAsia"/>
        </w:rPr>
        <w:t>浸漆的作用是将</w:t>
      </w:r>
      <w:r>
        <w:t>导线涂覆一种或多种均匀而有一定厚度的漆膜，在</w:t>
      </w:r>
      <w:r>
        <w:rPr>
          <w:rFonts w:hint="eastAsia"/>
        </w:rPr>
        <w:t>浸</w:t>
      </w:r>
      <w:r>
        <w:t>漆过程中，预热后的漆料从漆盒模孔流出，同时铜丝从模孔之间穿过，使得漆液均匀涂覆在铜线表面，漆料流体从漆盒模孔流出后向下流至</w:t>
      </w:r>
      <w:r>
        <w:rPr>
          <w:rFonts w:hint="eastAsia"/>
        </w:rPr>
        <w:t>密封</w:t>
      </w:r>
      <w:r>
        <w:t>漆槽上，经漆槽收集后经管道将漆料再次输送至漆盒循环使用，从而形成一个闭路循环系统。</w:t>
      </w:r>
    </w:p>
    <w:p w:rsidR="00EE56C0" w:rsidRDefault="000F36A1" w:rsidP="00197C02">
      <w:pPr>
        <w:spacing w:line="500" w:lineRule="exact"/>
        <w:ind w:firstLine="480"/>
        <w:jc w:val="left"/>
      </w:pPr>
      <w:r>
        <w:rPr>
          <w:rFonts w:hint="eastAsia"/>
        </w:rPr>
        <w:t>本项目漆包线漆料属于绝缘涂料，参照</w:t>
      </w:r>
      <w:r>
        <w:t>《低挥发性有机化合物含量涂料产品</w:t>
      </w:r>
      <w:r>
        <w:lastRenderedPageBreak/>
        <w:t>技术要求》（</w:t>
      </w:r>
      <w:r>
        <w:t>GB/T 38597-2020</w:t>
      </w:r>
      <w:r>
        <w:t>）</w:t>
      </w:r>
      <w:r>
        <w:rPr>
          <w:rFonts w:hint="eastAsia"/>
        </w:rPr>
        <w:t>中表</w:t>
      </w:r>
      <w:r>
        <w:rPr>
          <w:rFonts w:hint="eastAsia"/>
        </w:rPr>
        <w:t>2-</w:t>
      </w:r>
      <w:r>
        <w:rPr>
          <w:rFonts w:hint="eastAsia"/>
        </w:rPr>
        <w:t>金属基材防腐涂料（双组份涂料：面漆）</w:t>
      </w:r>
      <w:r>
        <w:rPr>
          <w:rFonts w:hint="eastAsia"/>
        </w:rPr>
        <w:t>450g/L</w:t>
      </w:r>
      <w:r>
        <w:rPr>
          <w:rFonts w:hint="eastAsia"/>
        </w:rPr>
        <w:t>限值要求进行对比。</w:t>
      </w:r>
      <w:r w:rsidRPr="00D201A4">
        <w:rPr>
          <w:rFonts w:hint="eastAsia"/>
          <w:b/>
          <w:u w:val="single"/>
        </w:rPr>
        <w:t>根据企业提供的漆料</w:t>
      </w:r>
      <w:r w:rsidR="00D201A4" w:rsidRPr="00D201A4">
        <w:rPr>
          <w:rFonts w:hint="eastAsia"/>
          <w:b/>
          <w:u w:val="single"/>
        </w:rPr>
        <w:t>VOCs</w:t>
      </w:r>
      <w:r w:rsidRPr="00D201A4">
        <w:rPr>
          <w:rFonts w:hint="eastAsia"/>
          <w:b/>
          <w:u w:val="single"/>
        </w:rPr>
        <w:t>监测报告，</w:t>
      </w:r>
      <w:r w:rsidR="00197C02">
        <w:rPr>
          <w:rFonts w:hint="eastAsia"/>
          <w:b/>
          <w:u w:val="single"/>
        </w:rPr>
        <w:t>现有工程</w:t>
      </w:r>
      <w:r w:rsidR="00D201A4" w:rsidRPr="00D201A4">
        <w:rPr>
          <w:rFonts w:hint="eastAsia"/>
          <w:b/>
          <w:u w:val="single"/>
        </w:rPr>
        <w:t>聚酯漆</w:t>
      </w:r>
      <w:r w:rsidR="00197C02">
        <w:rPr>
          <w:rFonts w:hint="eastAsia"/>
          <w:b/>
          <w:u w:val="single"/>
        </w:rPr>
        <w:t>固含量在</w:t>
      </w:r>
      <w:r w:rsidR="00197C02">
        <w:rPr>
          <w:rFonts w:hint="eastAsia"/>
          <w:b/>
          <w:u w:val="single"/>
        </w:rPr>
        <w:t>37%</w:t>
      </w:r>
      <w:r w:rsidR="00197C02">
        <w:rPr>
          <w:rFonts w:hint="eastAsia"/>
          <w:b/>
          <w:u w:val="single"/>
        </w:rPr>
        <w:t>时，其</w:t>
      </w:r>
      <w:r w:rsidRPr="00D201A4">
        <w:rPr>
          <w:rFonts w:hint="eastAsia"/>
          <w:b/>
          <w:u w:val="single"/>
        </w:rPr>
        <w:t>VOCs</w:t>
      </w:r>
      <w:r w:rsidRPr="00D201A4">
        <w:rPr>
          <w:rFonts w:hint="eastAsia"/>
          <w:b/>
          <w:u w:val="single"/>
        </w:rPr>
        <w:t>含量为</w:t>
      </w:r>
      <w:r w:rsidR="00D201A4" w:rsidRPr="00D201A4">
        <w:rPr>
          <w:rFonts w:hint="eastAsia"/>
          <w:b/>
          <w:u w:val="single"/>
        </w:rPr>
        <w:t>344</w:t>
      </w:r>
      <w:r w:rsidRPr="00D201A4">
        <w:rPr>
          <w:rFonts w:hint="eastAsia"/>
          <w:b/>
          <w:u w:val="single"/>
        </w:rPr>
        <w:t>g/L</w:t>
      </w:r>
      <w:r w:rsidRPr="00D201A4">
        <w:rPr>
          <w:rFonts w:hint="eastAsia"/>
          <w:b/>
          <w:u w:val="single"/>
        </w:rPr>
        <w:t>，</w:t>
      </w:r>
      <w:r w:rsidR="00197C02" w:rsidRPr="00D201A4">
        <w:rPr>
          <w:rFonts w:hint="eastAsia"/>
          <w:b/>
          <w:u w:val="single"/>
        </w:rPr>
        <w:t>低于</w:t>
      </w:r>
      <w:r w:rsidR="00197C02" w:rsidRPr="00D201A4">
        <w:rPr>
          <w:rFonts w:hint="eastAsia"/>
          <w:b/>
          <w:u w:val="single"/>
        </w:rPr>
        <w:t>450g/L</w:t>
      </w:r>
      <w:r w:rsidR="00197C02" w:rsidRPr="00D201A4">
        <w:rPr>
          <w:rFonts w:hint="eastAsia"/>
          <w:b/>
          <w:u w:val="single"/>
        </w:rPr>
        <w:t>，</w:t>
      </w:r>
      <w:r w:rsidR="00197C02">
        <w:rPr>
          <w:rFonts w:hint="eastAsia"/>
          <w:b/>
          <w:u w:val="single"/>
        </w:rPr>
        <w:t>本项目使用固含量为</w:t>
      </w:r>
      <w:r w:rsidR="00197C02">
        <w:rPr>
          <w:rFonts w:hint="eastAsia"/>
          <w:b/>
          <w:u w:val="single"/>
        </w:rPr>
        <w:t>44%</w:t>
      </w:r>
      <w:r w:rsidR="00197C02">
        <w:rPr>
          <w:rFonts w:hint="eastAsia"/>
          <w:b/>
          <w:u w:val="single"/>
        </w:rPr>
        <w:t>的</w:t>
      </w:r>
      <w:r w:rsidR="00197C02" w:rsidRPr="00D201A4">
        <w:rPr>
          <w:rFonts w:hint="eastAsia"/>
          <w:b/>
          <w:u w:val="single"/>
        </w:rPr>
        <w:t>聚酯漆</w:t>
      </w:r>
      <w:r w:rsidR="00197C02">
        <w:rPr>
          <w:rFonts w:hint="eastAsia"/>
          <w:b/>
          <w:u w:val="single"/>
        </w:rPr>
        <w:t>，则</w:t>
      </w:r>
      <w:r w:rsidR="00197C02" w:rsidRPr="00D201A4">
        <w:rPr>
          <w:rFonts w:hint="eastAsia"/>
          <w:b/>
          <w:u w:val="single"/>
        </w:rPr>
        <w:t>VOCs</w:t>
      </w:r>
      <w:r w:rsidR="00197C02" w:rsidRPr="00D201A4">
        <w:rPr>
          <w:rFonts w:hint="eastAsia"/>
          <w:b/>
          <w:u w:val="single"/>
        </w:rPr>
        <w:t>含量低于</w:t>
      </w:r>
      <w:r w:rsidR="00197C02" w:rsidRPr="00D201A4">
        <w:rPr>
          <w:rFonts w:hint="eastAsia"/>
          <w:b/>
          <w:u w:val="single"/>
        </w:rPr>
        <w:t>344g/L</w:t>
      </w:r>
      <w:r w:rsidR="00197C02" w:rsidRPr="00D201A4">
        <w:rPr>
          <w:rFonts w:hint="eastAsia"/>
          <w:b/>
          <w:u w:val="single"/>
        </w:rPr>
        <w:t>，</w:t>
      </w:r>
      <w:r w:rsidR="00197C02">
        <w:rPr>
          <w:rFonts w:hint="eastAsia"/>
          <w:b/>
          <w:u w:val="single"/>
        </w:rPr>
        <w:t>则本项目</w:t>
      </w:r>
      <w:r w:rsidR="00197C02" w:rsidRPr="00D201A4">
        <w:rPr>
          <w:rFonts w:hint="eastAsia"/>
          <w:b/>
          <w:u w:val="single"/>
        </w:rPr>
        <w:t>聚酯漆</w:t>
      </w:r>
      <w:r w:rsidR="00197C02" w:rsidRPr="00D201A4">
        <w:rPr>
          <w:rFonts w:hint="eastAsia"/>
          <w:b/>
          <w:u w:val="single"/>
        </w:rPr>
        <w:t>VOCs</w:t>
      </w:r>
      <w:r w:rsidR="00197C02" w:rsidRPr="00D201A4">
        <w:rPr>
          <w:rFonts w:hint="eastAsia"/>
          <w:b/>
          <w:u w:val="single"/>
        </w:rPr>
        <w:t>含量低于</w:t>
      </w:r>
      <w:r w:rsidR="00197C02" w:rsidRPr="00D201A4">
        <w:rPr>
          <w:rFonts w:hint="eastAsia"/>
          <w:b/>
          <w:u w:val="single"/>
        </w:rPr>
        <w:t>450g/L</w:t>
      </w:r>
      <w:r w:rsidR="00197C02">
        <w:rPr>
          <w:rFonts w:hint="eastAsia"/>
          <w:b/>
          <w:u w:val="single"/>
        </w:rPr>
        <w:t>；本项目</w:t>
      </w:r>
      <w:r w:rsidR="00D201A4" w:rsidRPr="00D201A4">
        <w:rPr>
          <w:rFonts w:hint="eastAsia"/>
          <w:b/>
          <w:u w:val="single"/>
        </w:rPr>
        <w:t>聚酰胺酰亚胺漆</w:t>
      </w:r>
      <w:r w:rsidR="00D201A4" w:rsidRPr="00D201A4">
        <w:rPr>
          <w:rFonts w:hint="eastAsia"/>
          <w:b/>
          <w:u w:val="single"/>
        </w:rPr>
        <w:t>VOCs</w:t>
      </w:r>
      <w:r w:rsidR="00D201A4" w:rsidRPr="00D201A4">
        <w:rPr>
          <w:rFonts w:hint="eastAsia"/>
          <w:b/>
          <w:u w:val="single"/>
        </w:rPr>
        <w:t>含量</w:t>
      </w:r>
      <w:r w:rsidR="00D201A4" w:rsidRPr="00D201A4">
        <w:rPr>
          <w:rFonts w:hint="eastAsia"/>
          <w:b/>
          <w:u w:val="single"/>
        </w:rPr>
        <w:t>402g/L</w:t>
      </w:r>
      <w:r w:rsidR="00D201A4" w:rsidRPr="00D201A4">
        <w:rPr>
          <w:rFonts w:hint="eastAsia"/>
          <w:b/>
          <w:u w:val="single"/>
        </w:rPr>
        <w:t>，</w:t>
      </w:r>
      <w:r w:rsidRPr="00D201A4">
        <w:rPr>
          <w:rFonts w:hint="eastAsia"/>
          <w:b/>
          <w:u w:val="single"/>
        </w:rPr>
        <w:t>低于</w:t>
      </w:r>
      <w:r w:rsidRPr="00D201A4">
        <w:rPr>
          <w:rFonts w:hint="eastAsia"/>
          <w:b/>
          <w:u w:val="single"/>
        </w:rPr>
        <w:t>450g/L</w:t>
      </w:r>
      <w:r w:rsidR="00197C02">
        <w:rPr>
          <w:rFonts w:hint="eastAsia"/>
          <w:b/>
          <w:u w:val="single"/>
        </w:rPr>
        <w:t>。</w:t>
      </w:r>
      <w:r w:rsidRPr="00D201A4">
        <w:rPr>
          <w:rFonts w:hint="eastAsia"/>
          <w:b/>
          <w:u w:val="single"/>
        </w:rPr>
        <w:t>即漆包线漆料属于低挥发性有机化合物含量涂料。</w:t>
      </w:r>
    </w:p>
    <w:p w:rsidR="00EE56C0" w:rsidRDefault="000F36A1">
      <w:pPr>
        <w:spacing w:line="440" w:lineRule="exact"/>
        <w:ind w:firstLine="482"/>
      </w:pPr>
      <w:r>
        <w:rPr>
          <w:rFonts w:hint="eastAsia"/>
          <w:b/>
        </w:rPr>
        <w:t>烘干：</w:t>
      </w:r>
      <w:r>
        <w:t>经涂覆的铜丝进入漆包机密封状态的烘箱，烘箱最高温度约</w:t>
      </w:r>
      <w:r>
        <w:t>630</w:t>
      </w:r>
      <w:r>
        <w:rPr>
          <w:rFonts w:ascii="宋体" w:hAnsi="宋体" w:cs="宋体" w:hint="eastAsia"/>
        </w:rPr>
        <w:t>℃</w:t>
      </w:r>
      <w:r>
        <w:rPr>
          <w:rFonts w:hint="eastAsia"/>
        </w:rPr>
        <w:t>，烘箱采用电加热方式加热，</w:t>
      </w:r>
      <w:r>
        <w:t>在烘箱内，溶剂全部挥发，漆基高聚物从溶液状态变成固体</w:t>
      </w:r>
      <w:r>
        <w:rPr>
          <w:rFonts w:hint="eastAsia"/>
        </w:rPr>
        <w:t>进而固化</w:t>
      </w:r>
      <w:r>
        <w:t>。</w:t>
      </w:r>
      <w:r>
        <w:rPr>
          <w:rFonts w:hint="eastAsia"/>
        </w:rPr>
        <w:t>烘干工序产生有机废气。</w:t>
      </w:r>
      <w:r>
        <w:rPr>
          <w:rFonts w:hint="eastAsia"/>
        </w:rPr>
        <w:t xml:space="preserve"> </w:t>
      </w:r>
    </w:p>
    <w:p w:rsidR="00EE56C0" w:rsidRDefault="000F36A1">
      <w:pPr>
        <w:spacing w:line="440" w:lineRule="exact"/>
        <w:ind w:firstLine="480"/>
      </w:pPr>
      <w:r>
        <w:t>本项</w:t>
      </w:r>
      <w:r>
        <w:rPr>
          <w:rFonts w:hint="eastAsia"/>
        </w:rPr>
        <w:t>目浸</w:t>
      </w:r>
      <w:r>
        <w:t>漆过程的</w:t>
      </w:r>
      <w:r>
        <w:rPr>
          <w:rFonts w:hint="eastAsia"/>
        </w:rPr>
        <w:t>浸</w:t>
      </w:r>
      <w:r>
        <w:t>漆、烘干均在漆包机内完成，每台漆包机均配有</w:t>
      </w:r>
      <w:r>
        <w:rPr>
          <w:rFonts w:hint="eastAsia"/>
        </w:rPr>
        <w:t>两</w:t>
      </w:r>
      <w:r>
        <w:t>次催化燃烧热风系统，</w:t>
      </w:r>
      <w:r>
        <w:rPr>
          <w:rFonts w:hint="eastAsia"/>
        </w:rPr>
        <w:t>浸</w:t>
      </w:r>
      <w:r>
        <w:t>漆及烘干过程挥发的气态有机物进入漆包机配套的</w:t>
      </w:r>
      <w:r>
        <w:rPr>
          <w:rFonts w:hint="eastAsia"/>
        </w:rPr>
        <w:t>炉内两</w:t>
      </w:r>
      <w:r>
        <w:t>次催化燃烧热风循环系统，经催化燃烧产生的热烟气经换热器将部分热量提供给烘箱</w:t>
      </w:r>
      <w:r>
        <w:rPr>
          <w:rFonts w:hint="eastAsia"/>
        </w:rPr>
        <w:t>，废气</w:t>
      </w:r>
      <w:r>
        <w:t>通过</w:t>
      </w:r>
      <w:r>
        <w:rPr>
          <w:rFonts w:hint="eastAsia"/>
        </w:rPr>
        <w:t>活性炭吸附</w:t>
      </w:r>
      <w:r>
        <w:rPr>
          <w:rFonts w:hint="eastAsia"/>
        </w:rPr>
        <w:t>-</w:t>
      </w:r>
      <w:r>
        <w:rPr>
          <w:rFonts w:hint="eastAsia"/>
        </w:rPr>
        <w:t>脱附</w:t>
      </w:r>
      <w:r>
        <w:rPr>
          <w:rFonts w:hint="eastAsia"/>
        </w:rPr>
        <w:t>-</w:t>
      </w:r>
      <w:r>
        <w:rPr>
          <w:rFonts w:hint="eastAsia"/>
        </w:rPr>
        <w:t>催化燃烧装置进一步治理</w:t>
      </w:r>
      <w:r>
        <w:t>后经</w:t>
      </w:r>
      <w:r>
        <w:rPr>
          <w:rFonts w:hint="eastAsia"/>
        </w:rPr>
        <w:t>26.5</w:t>
      </w:r>
      <w:r>
        <w:t>m</w:t>
      </w:r>
      <w:r>
        <w:t>高排气筒排放。</w:t>
      </w:r>
    </w:p>
    <w:p w:rsidR="00EE56C0" w:rsidRDefault="000F36A1">
      <w:pPr>
        <w:spacing w:line="440" w:lineRule="exact"/>
        <w:ind w:firstLine="480"/>
      </w:pPr>
      <w:r>
        <w:rPr>
          <w:rFonts w:hint="eastAsia"/>
        </w:rPr>
        <w:t>炉内两</w:t>
      </w:r>
      <w:r>
        <w:t>次催化燃烧热风循环系统原理简介：漆包机产生的</w:t>
      </w:r>
      <w:r>
        <w:rPr>
          <w:rFonts w:hint="eastAsia"/>
        </w:rPr>
        <w:t>烘干</w:t>
      </w:r>
      <w:r>
        <w:t>废气</w:t>
      </w:r>
      <w:r>
        <w:rPr>
          <w:rFonts w:hint="eastAsia"/>
        </w:rPr>
        <w:t>先</w:t>
      </w:r>
      <w:r>
        <w:t>进入</w:t>
      </w:r>
      <w:r>
        <w:rPr>
          <w:rFonts w:hint="eastAsia"/>
        </w:rPr>
        <w:t>第一次</w:t>
      </w:r>
      <w:r>
        <w:t>尾气处理装置进行催化燃烧，经过催化燃烧净化后</w:t>
      </w:r>
      <w:r>
        <w:rPr>
          <w:rFonts w:hint="eastAsia"/>
        </w:rPr>
        <w:t>的尾气</w:t>
      </w:r>
      <w:r>
        <w:t>生成高温热能气流，再进入热交换器与送入烘干炉内的新鲜空气进行充分的热能交换，交换后的高热能气流</w:t>
      </w:r>
      <w:r>
        <w:rPr>
          <w:rFonts w:hint="eastAsia"/>
        </w:rPr>
        <w:t>进</w:t>
      </w:r>
      <w:r>
        <w:t>入烘干炉内进行热能利用，新鲜空气提供给催化燃烧充足的氧气，极大地提高了催化燃烧效率，</w:t>
      </w:r>
      <w:r>
        <w:rPr>
          <w:rFonts w:hint="eastAsia"/>
        </w:rPr>
        <w:t>少量</w:t>
      </w:r>
      <w:r>
        <w:t>废气</w:t>
      </w:r>
      <w:r>
        <w:rPr>
          <w:rFonts w:hint="eastAsia"/>
        </w:rPr>
        <w:t>进入第二道催化燃烧装置处理</w:t>
      </w:r>
      <w:r>
        <w:t>后</w:t>
      </w:r>
      <w:r>
        <w:rPr>
          <w:rFonts w:hint="eastAsia"/>
        </w:rPr>
        <w:t>，尾气再引入活性炭吸附</w:t>
      </w:r>
      <w:r>
        <w:rPr>
          <w:rFonts w:hint="eastAsia"/>
        </w:rPr>
        <w:t>-</w:t>
      </w:r>
      <w:r>
        <w:rPr>
          <w:rFonts w:hint="eastAsia"/>
        </w:rPr>
        <w:t>脱附</w:t>
      </w:r>
      <w:r>
        <w:rPr>
          <w:rFonts w:hint="eastAsia"/>
        </w:rPr>
        <w:t>-</w:t>
      </w:r>
      <w:r>
        <w:rPr>
          <w:rFonts w:hint="eastAsia"/>
        </w:rPr>
        <w:t>催化燃烧装置</w:t>
      </w:r>
      <w:r>
        <w:rPr>
          <w:rFonts w:hint="eastAsia"/>
        </w:rPr>
        <w:t>T</w:t>
      </w:r>
      <w:r>
        <w:rPr>
          <w:rFonts w:hint="eastAsia"/>
        </w:rPr>
        <w:t>或沸石吸附</w:t>
      </w:r>
      <w:r>
        <w:rPr>
          <w:rFonts w:hint="eastAsia"/>
        </w:rPr>
        <w:t>-</w:t>
      </w:r>
      <w:r>
        <w:rPr>
          <w:rFonts w:hint="eastAsia"/>
        </w:rPr>
        <w:t>脱附</w:t>
      </w:r>
      <w:r>
        <w:rPr>
          <w:rFonts w:hint="eastAsia"/>
        </w:rPr>
        <w:t>-</w:t>
      </w:r>
      <w:r>
        <w:rPr>
          <w:rFonts w:hint="eastAsia"/>
        </w:rPr>
        <w:t>催化燃烧装置</w:t>
      </w:r>
      <w:r>
        <w:rPr>
          <w:rFonts w:hint="eastAsia"/>
        </w:rPr>
        <w:t>F</w:t>
      </w:r>
      <w:r>
        <w:rPr>
          <w:rFonts w:hint="eastAsia"/>
        </w:rPr>
        <w:t>进一步治理。</w:t>
      </w:r>
    </w:p>
    <w:p w:rsidR="00EE56C0" w:rsidRDefault="000F36A1">
      <w:pPr>
        <w:spacing w:line="440" w:lineRule="exact"/>
        <w:ind w:firstLine="482"/>
        <w:rPr>
          <w:b/>
        </w:rPr>
      </w:pPr>
      <w:r>
        <w:rPr>
          <w:b/>
        </w:rPr>
        <w:t>冷却：</w:t>
      </w:r>
      <w:r>
        <w:rPr>
          <w:rFonts w:hint="eastAsia"/>
        </w:rPr>
        <w:t>由于</w:t>
      </w:r>
      <w:r>
        <w:t>铜线</w:t>
      </w:r>
      <w:r>
        <w:rPr>
          <w:rFonts w:hint="eastAsia"/>
        </w:rPr>
        <w:t>出烘炉温度</w:t>
      </w:r>
      <w:r>
        <w:t>在</w:t>
      </w:r>
      <w:r>
        <w:t>100</w:t>
      </w:r>
      <w:r>
        <w:rPr>
          <w:rFonts w:ascii="宋体"/>
        </w:rPr>
        <w:t>℃</w:t>
      </w:r>
      <w:r>
        <w:t>以上</w:t>
      </w:r>
      <w:r>
        <w:rPr>
          <w:rFonts w:hint="eastAsia"/>
        </w:rPr>
        <w:t>时</w:t>
      </w:r>
      <w:r>
        <w:t>无法工作，需要将其降温至</w:t>
      </w:r>
      <w:r>
        <w:t>60~70</w:t>
      </w:r>
      <w:r>
        <w:rPr>
          <w:rFonts w:ascii="宋体"/>
        </w:rPr>
        <w:t>℃</w:t>
      </w:r>
      <w:r>
        <w:t>，冷却采用自然风冷方式，</w:t>
      </w:r>
      <w:r>
        <w:rPr>
          <w:rFonts w:hint="eastAsia"/>
        </w:rPr>
        <w:t>即利用</w:t>
      </w:r>
      <w:r>
        <w:t>风机将车间内自然风吸入风道内对铜线</w:t>
      </w:r>
      <w:r>
        <w:rPr>
          <w:rFonts w:hint="eastAsia"/>
        </w:rPr>
        <w:t>进行</w:t>
      </w:r>
      <w:r>
        <w:t>冷却，使漆膜达到所需硬度。</w:t>
      </w:r>
      <w:r>
        <w:rPr>
          <w:rFonts w:hint="eastAsia"/>
        </w:rPr>
        <w:t>冷却工序产生噪声。</w:t>
      </w:r>
    </w:p>
    <w:p w:rsidR="00EE56C0" w:rsidRDefault="000F36A1">
      <w:pPr>
        <w:spacing w:line="440" w:lineRule="exact"/>
        <w:ind w:firstLine="482"/>
      </w:pPr>
      <w:r>
        <w:rPr>
          <w:b/>
        </w:rPr>
        <w:t>检验：</w:t>
      </w:r>
      <w:r>
        <w:t>经冷却、收线后的产品使用自动在线监测装置检测其力学性能指标。</w:t>
      </w:r>
      <w:r>
        <w:rPr>
          <w:rFonts w:hint="eastAsia"/>
        </w:rPr>
        <w:t>检验工序产生残次品。</w:t>
      </w:r>
    </w:p>
    <w:p w:rsidR="00EE56C0" w:rsidRDefault="000F36A1">
      <w:pPr>
        <w:ind w:firstLine="482"/>
      </w:pPr>
      <w:r>
        <w:rPr>
          <w:b/>
        </w:rPr>
        <w:t>包装：</w:t>
      </w:r>
      <w:r>
        <w:t>检测合格的铜线</w:t>
      </w:r>
      <w:r>
        <w:rPr>
          <w:rFonts w:hint="eastAsia"/>
        </w:rPr>
        <w:t>收线前上一层排线油，将分装后的小桶装排线油倒入油槽，油槽内浸有毛毡，铜线经过毛毡时完成上油工序，便于客户在使用时减少摩擦方便防线，之后收线</w:t>
      </w:r>
      <w:r>
        <w:t>绕成盘、人工包纸后即为成品</w:t>
      </w:r>
      <w:r>
        <w:rPr>
          <w:rFonts w:hint="eastAsia"/>
        </w:rPr>
        <w:t>。</w:t>
      </w:r>
    </w:p>
    <w:p w:rsidR="00197C02" w:rsidRDefault="000F36A1" w:rsidP="00212B58">
      <w:pPr>
        <w:pStyle w:val="4"/>
        <w:ind w:left="120" w:firstLine="241"/>
      </w:pPr>
      <w:r>
        <w:rPr>
          <w:rFonts w:hint="eastAsia"/>
        </w:rPr>
        <w:lastRenderedPageBreak/>
        <w:t>3.3.1.2</w:t>
      </w:r>
      <w:r>
        <w:rPr>
          <w:rFonts w:hint="eastAsia"/>
        </w:rPr>
        <w:t>丝包线、纸包线、烧结线生产工艺</w:t>
      </w:r>
    </w:p>
    <w:p w:rsidR="00212B58" w:rsidRPr="00212B58" w:rsidRDefault="00212B58" w:rsidP="00212B58">
      <w:pPr>
        <w:ind w:firstLine="480"/>
      </w:pPr>
    </w:p>
    <w:p w:rsidR="00197C02" w:rsidRPr="00197C02" w:rsidRDefault="00340837" w:rsidP="00197C02">
      <w:pPr>
        <w:ind w:firstLine="480"/>
      </w:pPr>
      <w:r w:rsidRPr="00340837">
        <w:rPr>
          <w:snapToGrid w:val="0"/>
        </w:rPr>
        <w:pict>
          <v:shape id="对象 3735" o:spid="_x0000_s2149" type="#_x0000_t75" style="position:absolute;left:0;text-align:left;margin-left:8.05pt;margin-top:-9.6pt;width:401.45pt;height:436.45pt;z-index:251692544">
            <v:imagedata r:id="rId41" o:title=""/>
          </v:shape>
          <o:OLEObject Type="Embed" ProgID="Visio.Drawing.11" ShapeID="对象 3735" DrawAspect="Content" ObjectID="_1705848369" r:id="rId42"/>
        </w:pict>
      </w:r>
    </w:p>
    <w:p w:rsidR="00EE56C0" w:rsidRDefault="00EE56C0">
      <w:pPr>
        <w:ind w:firstLine="480"/>
      </w:pPr>
    </w:p>
    <w:p w:rsidR="00EE56C0" w:rsidRDefault="00EE56C0">
      <w:pPr>
        <w:ind w:firstLine="480"/>
      </w:pPr>
    </w:p>
    <w:p w:rsidR="00EE56C0" w:rsidRDefault="00EE56C0">
      <w:pPr>
        <w:ind w:firstLine="480"/>
      </w:pPr>
    </w:p>
    <w:p w:rsidR="00EE56C0" w:rsidRDefault="00EE56C0">
      <w:pPr>
        <w:ind w:firstLine="480"/>
      </w:pPr>
    </w:p>
    <w:p w:rsidR="00EE56C0" w:rsidRDefault="00EE56C0">
      <w:pPr>
        <w:ind w:firstLine="480"/>
      </w:pPr>
    </w:p>
    <w:p w:rsidR="00EE56C0" w:rsidRDefault="00EE56C0">
      <w:pPr>
        <w:ind w:firstLine="480"/>
      </w:pPr>
    </w:p>
    <w:p w:rsidR="00EE56C0" w:rsidRDefault="00EE56C0">
      <w:pPr>
        <w:ind w:firstLine="480"/>
      </w:pPr>
    </w:p>
    <w:p w:rsidR="00EE56C0" w:rsidRDefault="00EE56C0">
      <w:pPr>
        <w:ind w:firstLine="480"/>
      </w:pPr>
    </w:p>
    <w:p w:rsidR="00EE56C0" w:rsidRDefault="00EE56C0">
      <w:pPr>
        <w:ind w:firstLine="480"/>
      </w:pPr>
    </w:p>
    <w:p w:rsidR="00EE56C0" w:rsidRDefault="00EE56C0">
      <w:pPr>
        <w:ind w:firstLine="480"/>
      </w:pPr>
    </w:p>
    <w:p w:rsidR="00EE56C0" w:rsidRDefault="00EE56C0">
      <w:pPr>
        <w:ind w:firstLine="480"/>
      </w:pPr>
    </w:p>
    <w:p w:rsidR="00EE56C0" w:rsidRDefault="00EE56C0">
      <w:pPr>
        <w:ind w:firstLine="480"/>
      </w:pPr>
    </w:p>
    <w:p w:rsidR="00EE56C0" w:rsidRDefault="00EE56C0">
      <w:pPr>
        <w:ind w:firstLine="480"/>
      </w:pPr>
    </w:p>
    <w:p w:rsidR="00EE56C0" w:rsidRDefault="00EE56C0">
      <w:pPr>
        <w:ind w:firstLine="480"/>
      </w:pPr>
    </w:p>
    <w:p w:rsidR="00EE56C0" w:rsidRDefault="000F36A1">
      <w:pPr>
        <w:spacing w:line="500" w:lineRule="exact"/>
        <w:ind w:firstLineChars="0" w:firstLine="0"/>
        <w:rPr>
          <w:rFonts w:eastAsia="黑体"/>
        </w:rPr>
      </w:pPr>
      <w:r>
        <w:rPr>
          <w:rFonts w:eastAsia="黑体" w:hAnsi="黑体"/>
          <w:szCs w:val="22"/>
        </w:rPr>
        <w:t>注：</w:t>
      </w:r>
      <w:r>
        <w:rPr>
          <w:rFonts w:eastAsia="黑体"/>
          <w:szCs w:val="22"/>
        </w:rPr>
        <w:t>G</w:t>
      </w:r>
      <w:r>
        <w:rPr>
          <w:rFonts w:eastAsia="黑体" w:hAnsi="黑体"/>
          <w:szCs w:val="22"/>
        </w:rPr>
        <w:t>：废气、</w:t>
      </w:r>
      <w:r>
        <w:rPr>
          <w:rFonts w:eastAsia="黑体"/>
          <w:szCs w:val="22"/>
        </w:rPr>
        <w:t>N</w:t>
      </w:r>
      <w:r>
        <w:rPr>
          <w:rFonts w:eastAsia="黑体" w:hAnsi="黑体"/>
          <w:szCs w:val="22"/>
        </w:rPr>
        <w:t>：噪声</w:t>
      </w:r>
    </w:p>
    <w:p w:rsidR="00EE56C0" w:rsidRDefault="000F36A1">
      <w:pPr>
        <w:pStyle w:val="aff8"/>
        <w:spacing w:line="500" w:lineRule="exact"/>
      </w:pPr>
      <w:r>
        <w:rPr>
          <w:rFonts w:hint="eastAsia"/>
        </w:rPr>
        <w:t>图</w:t>
      </w:r>
      <w:r>
        <w:rPr>
          <w:rFonts w:hint="eastAsia"/>
        </w:rPr>
        <w:t xml:space="preserve">3-5 </w:t>
      </w:r>
      <w:r>
        <w:rPr>
          <w:rFonts w:hint="eastAsia"/>
        </w:rPr>
        <w:t>本项目丝包线、纸包线、烧结线生产工艺及产污环节图</w:t>
      </w:r>
    </w:p>
    <w:p w:rsidR="00EE56C0" w:rsidRDefault="000F36A1">
      <w:pPr>
        <w:ind w:firstLine="482"/>
        <w:rPr>
          <w:b/>
        </w:rPr>
      </w:pPr>
      <w:r>
        <w:rPr>
          <w:rFonts w:hint="eastAsia"/>
          <w:b/>
        </w:rPr>
        <w:t>工艺流程简述：</w:t>
      </w:r>
    </w:p>
    <w:p w:rsidR="00EE56C0" w:rsidRDefault="000F36A1">
      <w:pPr>
        <w:spacing w:line="500" w:lineRule="exact"/>
        <w:ind w:firstLine="482"/>
        <w:jc w:val="left"/>
        <w:rPr>
          <w:rFonts w:ascii="宋体" w:hAnsi="宋体"/>
          <w:b/>
        </w:rPr>
      </w:pPr>
      <w:r>
        <w:rPr>
          <w:rFonts w:ascii="宋体" w:hAnsi="宋体" w:hint="eastAsia"/>
          <w:b/>
        </w:rPr>
        <w:t>原料：</w:t>
      </w:r>
      <w:r>
        <w:t>本项目所用原材料为外购的</w:t>
      </w:r>
      <w:r>
        <w:rPr>
          <w:rFonts w:hint="eastAsia"/>
        </w:rPr>
        <w:t>12.5</w:t>
      </w:r>
      <w:r>
        <w:t>mm</w:t>
      </w:r>
      <w:r>
        <w:rPr>
          <w:rFonts w:hAnsi="宋体"/>
        </w:rPr>
        <w:t>的无氧</w:t>
      </w:r>
      <w:r>
        <w:t>铜杆，铜杆规格为</w:t>
      </w:r>
      <w:r>
        <w:rPr>
          <w:rFonts w:hint="eastAsia"/>
        </w:rPr>
        <w:t>2</w:t>
      </w:r>
      <w:r>
        <w:t>t</w:t>
      </w:r>
      <w:r>
        <w:rPr>
          <w:rFonts w:hint="eastAsia"/>
        </w:rPr>
        <w:t>~3t</w:t>
      </w:r>
      <w:r>
        <w:t>/</w:t>
      </w:r>
      <w:r>
        <w:t>盘。</w:t>
      </w:r>
    </w:p>
    <w:p w:rsidR="00EE56C0" w:rsidRDefault="000F36A1">
      <w:pPr>
        <w:spacing w:line="500" w:lineRule="exact"/>
        <w:ind w:firstLine="482"/>
        <w:jc w:val="left"/>
      </w:pPr>
      <w:r>
        <w:rPr>
          <w:rFonts w:ascii="宋体" w:hAnsi="宋体" w:hint="eastAsia"/>
          <w:b/>
        </w:rPr>
        <w:t>挤压：</w:t>
      </w:r>
      <w:r>
        <w:rPr>
          <w:rFonts w:ascii="宋体" w:hAnsi="宋体" w:hint="eastAsia"/>
        </w:rPr>
        <w:t>利用挤压机</w:t>
      </w:r>
      <w:r>
        <w:rPr>
          <w:rFonts w:hAnsi="宋体"/>
        </w:rPr>
        <w:t>将直径为</w:t>
      </w:r>
      <w:r>
        <w:t>12.5mm</w:t>
      </w:r>
      <w:r>
        <w:rPr>
          <w:rFonts w:hAnsi="宋体"/>
        </w:rPr>
        <w:t>的无氧铜杆挤压成</w:t>
      </w:r>
      <w:r>
        <w:t>4-80mm</w:t>
      </w:r>
      <w:r>
        <w:rPr>
          <w:vertAlign w:val="superscript"/>
        </w:rPr>
        <w:t>2</w:t>
      </w:r>
      <w:r>
        <w:rPr>
          <w:rFonts w:hAnsi="宋体"/>
        </w:rPr>
        <w:t>的软态铜线</w:t>
      </w:r>
      <w:r>
        <w:rPr>
          <w:rFonts w:hAnsi="宋体" w:hint="eastAsia"/>
        </w:rPr>
        <w:t>，挤压前期会产生废铜杆，</w:t>
      </w:r>
      <w:r>
        <w:rPr>
          <w:rFonts w:hint="eastAsia"/>
        </w:rPr>
        <w:t>挤压过程不用拉丝液，该工序产生边角料、噪声。</w:t>
      </w:r>
    </w:p>
    <w:p w:rsidR="00EE56C0" w:rsidRDefault="000F36A1">
      <w:pPr>
        <w:spacing w:line="500" w:lineRule="exact"/>
        <w:ind w:firstLine="482"/>
        <w:jc w:val="left"/>
      </w:pPr>
      <w:r>
        <w:rPr>
          <w:rFonts w:hAnsi="宋体"/>
          <w:b/>
        </w:rPr>
        <w:t>冷却：</w:t>
      </w:r>
      <w:r>
        <w:rPr>
          <w:rFonts w:hAnsi="宋体"/>
        </w:rPr>
        <w:t>挤压后的铜线经</w:t>
      </w:r>
      <w:r>
        <w:rPr>
          <w:rFonts w:hAnsi="宋体" w:hint="eastAsia"/>
        </w:rPr>
        <w:t>水槽</w:t>
      </w:r>
      <w:r>
        <w:rPr>
          <w:rFonts w:hAnsi="宋体"/>
        </w:rPr>
        <w:t>冷却后被收在线盘上。</w:t>
      </w:r>
      <w:r>
        <w:rPr>
          <w:rFonts w:hAnsi="宋体" w:hint="eastAsia"/>
        </w:rPr>
        <w:t>水槽内为纯水，水槽内的纯</w:t>
      </w:r>
      <w:r>
        <w:rPr>
          <w:rFonts w:hAnsi="宋体"/>
        </w:rPr>
        <w:t>水循环使用，不外排。</w:t>
      </w:r>
    </w:p>
    <w:p w:rsidR="00EE56C0" w:rsidRDefault="000F36A1">
      <w:pPr>
        <w:spacing w:line="500" w:lineRule="exact"/>
        <w:ind w:firstLine="482"/>
        <w:jc w:val="left"/>
        <w:rPr>
          <w:rFonts w:ascii="宋体" w:hAnsi="宋体"/>
        </w:rPr>
      </w:pPr>
      <w:r>
        <w:rPr>
          <w:rFonts w:hAnsi="宋体"/>
          <w:b/>
        </w:rPr>
        <w:lastRenderedPageBreak/>
        <w:t>纸包线：</w:t>
      </w:r>
      <w:r>
        <w:rPr>
          <w:rFonts w:hAnsi="宋体"/>
        </w:rPr>
        <w:t>将铜线放线，利用纸包机将纸包覆在铜线上，然后将其收在线盘上即为成品纸包线</w:t>
      </w:r>
      <w:r>
        <w:rPr>
          <w:rFonts w:ascii="宋体" w:hAnsi="宋体" w:hint="eastAsia"/>
        </w:rPr>
        <w:t>。纸包</w:t>
      </w:r>
      <w:r>
        <w:rPr>
          <w:rFonts w:hint="eastAsia"/>
        </w:rPr>
        <w:t>工序产生噪声。</w:t>
      </w:r>
    </w:p>
    <w:p w:rsidR="00EE56C0" w:rsidRDefault="000F36A1">
      <w:pPr>
        <w:spacing w:line="500" w:lineRule="exact"/>
        <w:ind w:firstLine="482"/>
        <w:jc w:val="left"/>
        <w:rPr>
          <w:rFonts w:ascii="宋体" w:hAnsi="宋体"/>
        </w:rPr>
      </w:pPr>
      <w:r>
        <w:rPr>
          <w:rFonts w:hint="eastAsia"/>
          <w:b/>
        </w:rPr>
        <w:t>烧结线：</w:t>
      </w:r>
      <w:r>
        <w:rPr>
          <w:rFonts w:hint="eastAsia"/>
        </w:rPr>
        <w:t>将铜线放线，利用膜包机将聚酰亚胺薄膜包覆在铜线上，再利用高频烧结机将其加热固化，然后将其收在线盘上即为成品烧结线</w:t>
      </w:r>
      <w:r>
        <w:rPr>
          <w:rFonts w:ascii="宋体" w:hAnsi="宋体" w:hint="eastAsia"/>
        </w:rPr>
        <w:t>。</w:t>
      </w:r>
      <w:r>
        <w:rPr>
          <w:rFonts w:hAnsi="宋体"/>
        </w:rPr>
        <w:t>加热温度</w:t>
      </w:r>
      <w:r>
        <w:t>200~300</w:t>
      </w:r>
      <w:r>
        <w:rPr>
          <w:rFonts w:hAnsi="宋体"/>
        </w:rPr>
        <w:t>℃，</w:t>
      </w:r>
      <w:r>
        <w:t>聚酰亚胺薄膜在</w:t>
      </w:r>
      <w:r>
        <w:t>-200~300℃</w:t>
      </w:r>
      <w:r>
        <w:t>条件下比较稳定</w:t>
      </w:r>
      <w:r>
        <w:rPr>
          <w:rFonts w:hint="eastAsia"/>
        </w:rPr>
        <w:t>，</w:t>
      </w:r>
      <w:r>
        <w:rPr>
          <w:rFonts w:hint="eastAsia"/>
          <w:bCs/>
        </w:rPr>
        <w:t>500</w:t>
      </w:r>
      <w:r>
        <w:rPr>
          <w:rFonts w:hint="eastAsia"/>
          <w:bCs/>
        </w:rPr>
        <w:t>℃左右开始发生分解</w:t>
      </w:r>
      <w:r>
        <w:rPr>
          <w:rFonts w:hAnsi="宋体"/>
        </w:rPr>
        <w:t>，</w:t>
      </w:r>
      <w:r>
        <w:rPr>
          <w:rFonts w:hAnsi="宋体" w:hint="eastAsia"/>
        </w:rPr>
        <w:t>加热固化</w:t>
      </w:r>
      <w:r>
        <w:rPr>
          <w:rFonts w:hAnsi="宋体"/>
        </w:rPr>
        <w:t>过程不产生废气。</w:t>
      </w:r>
      <w:r>
        <w:rPr>
          <w:rFonts w:hint="eastAsia"/>
        </w:rPr>
        <w:t>包覆薄膜工序产生噪声。</w:t>
      </w:r>
    </w:p>
    <w:p w:rsidR="00EE56C0" w:rsidRDefault="000F36A1">
      <w:pPr>
        <w:spacing w:line="440" w:lineRule="exact"/>
        <w:ind w:firstLine="482"/>
        <w:jc w:val="left"/>
      </w:pPr>
      <w:r>
        <w:rPr>
          <w:rFonts w:hint="eastAsia"/>
          <w:b/>
        </w:rPr>
        <w:t>丝包线：</w:t>
      </w:r>
      <w:r>
        <w:rPr>
          <w:rFonts w:hint="eastAsia"/>
        </w:rPr>
        <w:t>将铜线放线，利用丝包机将聚酰亚胺薄膜、玻璃纱包覆在铜线上，包覆后进行浸漆。外购丝包漆为成品桶装（</w:t>
      </w:r>
      <w:r>
        <w:t>25kg</w:t>
      </w:r>
      <w:r>
        <w:rPr>
          <w:rFonts w:hint="eastAsia"/>
        </w:rPr>
        <w:t>/</w:t>
      </w:r>
      <w:r>
        <w:rPr>
          <w:rFonts w:hint="eastAsia"/>
        </w:rPr>
        <w:t>桶），不需要调配，可直接使用。人工将漆料倒入漆盒，加盖进行密封，铜线经过密封的漆盒后，其表面均匀布上一层漆，然后进入烘道进行电加热烘干，烘干温度为</w:t>
      </w:r>
      <w:r>
        <w:rPr>
          <w:rFonts w:hint="eastAsia"/>
        </w:rPr>
        <w:t>250~400</w:t>
      </w:r>
      <w:r>
        <w:rPr>
          <w:rFonts w:hint="eastAsia"/>
        </w:rPr>
        <w:t>℃，烘道为全密闭装置，仅留出铜线进、出口，最后将其收在线盘上即为成品丝包线。浸漆、烘干工序会产生有机废气。</w:t>
      </w:r>
      <w:r>
        <w:rPr>
          <w:rFonts w:hint="eastAsia"/>
        </w:rPr>
        <w:t xml:space="preserve"> </w:t>
      </w:r>
    </w:p>
    <w:p w:rsidR="00EE56C0" w:rsidRDefault="00D201A4">
      <w:pPr>
        <w:spacing w:line="500" w:lineRule="exact"/>
        <w:ind w:firstLine="480"/>
        <w:jc w:val="left"/>
        <w:rPr>
          <w:b/>
        </w:rPr>
      </w:pPr>
      <w:r>
        <w:rPr>
          <w:rFonts w:hint="eastAsia"/>
          <w:bCs/>
        </w:rPr>
        <w:t>本项目丝包专用漆为外购调配好的漆料，</w:t>
      </w:r>
      <w:r w:rsidRPr="00505AD2">
        <w:rPr>
          <w:rFonts w:hint="eastAsia"/>
          <w:b/>
          <w:u w:val="single"/>
        </w:rPr>
        <w:t>根据企业提供的漆料</w:t>
      </w:r>
      <w:r w:rsidRPr="00505AD2">
        <w:rPr>
          <w:rFonts w:hint="eastAsia"/>
          <w:b/>
          <w:u w:val="single"/>
        </w:rPr>
        <w:t>VOCs</w:t>
      </w:r>
      <w:r w:rsidRPr="00505AD2">
        <w:rPr>
          <w:rFonts w:hint="eastAsia"/>
          <w:b/>
          <w:u w:val="single"/>
        </w:rPr>
        <w:t>监测报告，</w:t>
      </w:r>
      <w:r w:rsidRPr="00505AD2">
        <w:rPr>
          <w:rFonts w:hint="eastAsia"/>
          <w:b/>
          <w:bCs/>
          <w:u w:val="single"/>
        </w:rPr>
        <w:t>丝包</w:t>
      </w:r>
      <w:r w:rsidRPr="00505AD2">
        <w:rPr>
          <w:rFonts w:hint="eastAsia"/>
          <w:b/>
          <w:u w:val="single"/>
        </w:rPr>
        <w:t>漆</w:t>
      </w:r>
      <w:r w:rsidRPr="00505AD2">
        <w:rPr>
          <w:rFonts w:hint="eastAsia"/>
          <w:b/>
          <w:u w:val="single"/>
        </w:rPr>
        <w:t>VOCs</w:t>
      </w:r>
      <w:r w:rsidRPr="00505AD2">
        <w:rPr>
          <w:rFonts w:hint="eastAsia"/>
          <w:b/>
          <w:u w:val="single"/>
        </w:rPr>
        <w:t>含量为</w:t>
      </w:r>
      <w:r w:rsidRPr="00505AD2">
        <w:rPr>
          <w:rFonts w:hint="eastAsia"/>
          <w:b/>
          <w:u w:val="single"/>
        </w:rPr>
        <w:t>330g/L</w:t>
      </w:r>
      <w:r w:rsidR="000F36A1" w:rsidRPr="00505AD2">
        <w:rPr>
          <w:rFonts w:hint="eastAsia"/>
          <w:b/>
          <w:u w:val="single"/>
        </w:rPr>
        <w:t>，</w:t>
      </w:r>
      <w:r w:rsidR="000F36A1" w:rsidRPr="00505AD2">
        <w:rPr>
          <w:rFonts w:hint="eastAsia"/>
        </w:rPr>
        <w:t>参</w:t>
      </w:r>
      <w:r w:rsidR="000F36A1">
        <w:rPr>
          <w:rFonts w:hint="eastAsia"/>
        </w:rPr>
        <w:t>照《低挥发性有机化合物含量涂料产品技术要求》中表</w:t>
      </w:r>
      <w:r w:rsidR="000F36A1">
        <w:rPr>
          <w:rFonts w:hint="eastAsia"/>
        </w:rPr>
        <w:t>2</w:t>
      </w:r>
      <w:r w:rsidR="000F36A1">
        <w:rPr>
          <w:rFonts w:hint="eastAsia"/>
        </w:rPr>
        <w:t>：工业防护涂料</w:t>
      </w:r>
      <w:r w:rsidR="000F36A1">
        <w:rPr>
          <w:rFonts w:hint="eastAsia"/>
        </w:rPr>
        <w:t>-</w:t>
      </w:r>
      <w:r w:rsidR="000F36A1">
        <w:rPr>
          <w:rFonts w:hint="eastAsia"/>
        </w:rPr>
        <w:t>金属基材防腐涂料</w:t>
      </w:r>
      <w:r w:rsidR="000F36A1">
        <w:rPr>
          <w:rFonts w:hint="eastAsia"/>
        </w:rPr>
        <w:t>450g/L</w:t>
      </w:r>
      <w:r w:rsidR="000F36A1">
        <w:rPr>
          <w:rFonts w:hint="eastAsia"/>
        </w:rPr>
        <w:t>限值要求进行对比，低于其限值要求。即漆料属于低挥发性有机化合物含量涂料。</w:t>
      </w:r>
    </w:p>
    <w:p w:rsidR="00EE56C0" w:rsidRDefault="000F36A1">
      <w:pPr>
        <w:pStyle w:val="2"/>
        <w:ind w:firstLine="301"/>
      </w:pPr>
      <w:r>
        <w:rPr>
          <w:rFonts w:hint="eastAsia"/>
        </w:rPr>
        <w:t>3.4</w:t>
      </w:r>
      <w:r>
        <w:rPr>
          <w:rFonts w:hint="eastAsia"/>
        </w:rPr>
        <w:t>产污环节及治理措施</w:t>
      </w:r>
    </w:p>
    <w:p w:rsidR="00EE56C0" w:rsidRDefault="000F36A1" w:rsidP="00085BB7">
      <w:pPr>
        <w:ind w:firstLine="480"/>
      </w:pPr>
      <w:r>
        <w:rPr>
          <w:rFonts w:hint="eastAsia"/>
        </w:rPr>
        <w:t>根据上述工艺流程可知，本工程生产过程中产生的污染因素有废水、废气、噪声和固废。一期、二期污染物产生环节及治理措施一致，具体见下表。</w:t>
      </w:r>
    </w:p>
    <w:p w:rsidR="00EE56C0" w:rsidRDefault="000F36A1">
      <w:pPr>
        <w:pStyle w:val="afd"/>
        <w:spacing w:before="120" w:after="120"/>
        <w:ind w:firstLine="482"/>
      </w:pPr>
      <w:r>
        <w:rPr>
          <w:rFonts w:hint="eastAsia"/>
        </w:rPr>
        <w:t>表</w:t>
      </w:r>
      <w:r>
        <w:rPr>
          <w:rFonts w:hint="eastAsia"/>
        </w:rPr>
        <w:t xml:space="preserve">3-19    </w:t>
      </w:r>
      <w:r>
        <w:rPr>
          <w:rFonts w:hint="eastAsia"/>
        </w:rPr>
        <w:t>工程一期、二期污染物产污环节及治理措施一览表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68"/>
        <w:gridCol w:w="426"/>
        <w:gridCol w:w="256"/>
        <w:gridCol w:w="426"/>
        <w:gridCol w:w="742"/>
        <w:gridCol w:w="1139"/>
        <w:gridCol w:w="677"/>
        <w:gridCol w:w="800"/>
        <w:gridCol w:w="1006"/>
        <w:gridCol w:w="636"/>
        <w:gridCol w:w="1329"/>
        <w:gridCol w:w="623"/>
      </w:tblGrid>
      <w:tr w:rsidR="00EE56C0" w:rsidRPr="00212B58">
        <w:trPr>
          <w:trHeight w:val="631"/>
          <w:jc w:val="center"/>
        </w:trPr>
        <w:tc>
          <w:tcPr>
            <w:tcW w:w="274" w:type="pct"/>
            <w:vMerge w:val="restart"/>
            <w:vAlign w:val="center"/>
          </w:tcPr>
          <w:p w:rsidR="00EE56C0" w:rsidRPr="00212B58" w:rsidRDefault="000F36A1" w:rsidP="00212B58">
            <w:pPr>
              <w:pStyle w:val="aff1"/>
              <w:rPr>
                <w:color w:val="auto"/>
                <w:szCs w:val="21"/>
              </w:rPr>
            </w:pPr>
            <w:r w:rsidRPr="00212B58">
              <w:rPr>
                <w:color w:val="auto"/>
                <w:szCs w:val="21"/>
              </w:rPr>
              <w:t>污染</w:t>
            </w:r>
          </w:p>
          <w:p w:rsidR="00EE56C0" w:rsidRPr="00212B58" w:rsidRDefault="000F36A1" w:rsidP="00212B58">
            <w:pPr>
              <w:pStyle w:val="aff1"/>
              <w:rPr>
                <w:color w:val="auto"/>
                <w:szCs w:val="21"/>
              </w:rPr>
            </w:pPr>
            <w:r w:rsidRPr="00212B58">
              <w:rPr>
                <w:color w:val="auto"/>
                <w:szCs w:val="21"/>
              </w:rPr>
              <w:t>因素</w:t>
            </w:r>
          </w:p>
        </w:tc>
        <w:tc>
          <w:tcPr>
            <w:tcW w:w="1085" w:type="pct"/>
            <w:gridSpan w:val="4"/>
            <w:vMerge w:val="restart"/>
            <w:vAlign w:val="center"/>
          </w:tcPr>
          <w:p w:rsidR="00EE56C0" w:rsidRPr="00212B58" w:rsidRDefault="000F36A1" w:rsidP="00212B58">
            <w:pPr>
              <w:pStyle w:val="aff1"/>
              <w:rPr>
                <w:color w:val="auto"/>
                <w:szCs w:val="21"/>
              </w:rPr>
            </w:pPr>
            <w:r w:rsidRPr="00212B58">
              <w:rPr>
                <w:color w:val="auto"/>
                <w:szCs w:val="21"/>
              </w:rPr>
              <w:t>产污环节</w:t>
            </w:r>
          </w:p>
        </w:tc>
        <w:tc>
          <w:tcPr>
            <w:tcW w:w="668" w:type="pct"/>
            <w:vMerge w:val="restart"/>
            <w:vAlign w:val="center"/>
          </w:tcPr>
          <w:p w:rsidR="00EE56C0" w:rsidRPr="00212B58" w:rsidRDefault="000F36A1" w:rsidP="00212B58">
            <w:pPr>
              <w:pStyle w:val="aff1"/>
              <w:rPr>
                <w:color w:val="auto"/>
                <w:szCs w:val="21"/>
              </w:rPr>
            </w:pPr>
            <w:r w:rsidRPr="00212B58">
              <w:rPr>
                <w:color w:val="auto"/>
                <w:szCs w:val="21"/>
              </w:rPr>
              <w:t>污染物</w:t>
            </w:r>
          </w:p>
        </w:tc>
        <w:tc>
          <w:tcPr>
            <w:tcW w:w="2973" w:type="pct"/>
            <w:gridSpan w:val="6"/>
            <w:vAlign w:val="center"/>
          </w:tcPr>
          <w:p w:rsidR="00EE56C0" w:rsidRPr="00212B58" w:rsidRDefault="000F36A1" w:rsidP="00212B58">
            <w:pPr>
              <w:pStyle w:val="aff1"/>
              <w:rPr>
                <w:color w:val="auto"/>
                <w:szCs w:val="21"/>
              </w:rPr>
            </w:pPr>
            <w:r w:rsidRPr="00212B58">
              <w:rPr>
                <w:color w:val="auto"/>
                <w:szCs w:val="21"/>
              </w:rPr>
              <w:t>防治措施</w:t>
            </w:r>
          </w:p>
        </w:tc>
      </w:tr>
      <w:tr w:rsidR="00EE56C0" w:rsidRPr="00212B58">
        <w:trPr>
          <w:trHeight w:val="601"/>
          <w:jc w:val="center"/>
        </w:trPr>
        <w:tc>
          <w:tcPr>
            <w:tcW w:w="274" w:type="pct"/>
            <w:vMerge/>
            <w:vAlign w:val="center"/>
          </w:tcPr>
          <w:p w:rsidR="00EE56C0" w:rsidRPr="00212B58" w:rsidRDefault="00EE56C0" w:rsidP="00212B58">
            <w:pPr>
              <w:pStyle w:val="aff1"/>
              <w:rPr>
                <w:color w:val="auto"/>
                <w:szCs w:val="21"/>
              </w:rPr>
            </w:pPr>
          </w:p>
        </w:tc>
        <w:tc>
          <w:tcPr>
            <w:tcW w:w="1085" w:type="pct"/>
            <w:gridSpan w:val="4"/>
            <w:vMerge/>
            <w:vAlign w:val="center"/>
          </w:tcPr>
          <w:p w:rsidR="00EE56C0" w:rsidRPr="00212B58" w:rsidRDefault="00EE56C0" w:rsidP="00212B58">
            <w:pPr>
              <w:pStyle w:val="aff1"/>
              <w:rPr>
                <w:color w:val="auto"/>
                <w:szCs w:val="21"/>
              </w:rPr>
            </w:pPr>
          </w:p>
        </w:tc>
        <w:tc>
          <w:tcPr>
            <w:tcW w:w="668" w:type="pct"/>
            <w:vMerge/>
            <w:vAlign w:val="center"/>
          </w:tcPr>
          <w:p w:rsidR="00EE56C0" w:rsidRPr="00212B58" w:rsidRDefault="00EE56C0" w:rsidP="00212B58">
            <w:pPr>
              <w:pStyle w:val="aff1"/>
              <w:rPr>
                <w:color w:val="auto"/>
                <w:szCs w:val="21"/>
              </w:rPr>
            </w:pPr>
          </w:p>
        </w:tc>
        <w:tc>
          <w:tcPr>
            <w:tcW w:w="1829" w:type="pct"/>
            <w:gridSpan w:val="4"/>
            <w:vAlign w:val="center"/>
          </w:tcPr>
          <w:p w:rsidR="00EE56C0" w:rsidRPr="00212B58" w:rsidRDefault="000F36A1" w:rsidP="00212B58">
            <w:pPr>
              <w:pStyle w:val="aff1"/>
              <w:rPr>
                <w:color w:val="auto"/>
                <w:szCs w:val="21"/>
              </w:rPr>
            </w:pPr>
            <w:r w:rsidRPr="00212B58">
              <w:rPr>
                <w:rFonts w:hint="eastAsia"/>
                <w:color w:val="auto"/>
                <w:szCs w:val="21"/>
              </w:rPr>
              <w:t>一期</w:t>
            </w:r>
          </w:p>
        </w:tc>
        <w:tc>
          <w:tcPr>
            <w:tcW w:w="1144" w:type="pct"/>
            <w:gridSpan w:val="2"/>
            <w:vAlign w:val="center"/>
          </w:tcPr>
          <w:p w:rsidR="00EE56C0" w:rsidRPr="00212B58" w:rsidRDefault="000F36A1" w:rsidP="00212B58">
            <w:pPr>
              <w:pStyle w:val="aff1"/>
              <w:rPr>
                <w:color w:val="auto"/>
                <w:szCs w:val="21"/>
              </w:rPr>
            </w:pPr>
            <w:r w:rsidRPr="00212B58">
              <w:rPr>
                <w:rFonts w:hint="eastAsia"/>
                <w:color w:val="auto"/>
                <w:szCs w:val="21"/>
              </w:rPr>
              <w:t>二期</w:t>
            </w:r>
          </w:p>
        </w:tc>
      </w:tr>
      <w:tr w:rsidR="00EE56C0" w:rsidRPr="00212B58">
        <w:trPr>
          <w:trHeight w:val="434"/>
          <w:jc w:val="center"/>
        </w:trPr>
        <w:tc>
          <w:tcPr>
            <w:tcW w:w="274" w:type="pct"/>
            <w:vMerge w:val="restart"/>
            <w:vAlign w:val="center"/>
          </w:tcPr>
          <w:p w:rsidR="00EE56C0" w:rsidRPr="00212B58" w:rsidRDefault="000F36A1" w:rsidP="00212B58">
            <w:pPr>
              <w:pStyle w:val="afa"/>
            </w:pPr>
            <w:r w:rsidRPr="00212B58">
              <w:t>废气</w:t>
            </w:r>
          </w:p>
        </w:tc>
        <w:tc>
          <w:tcPr>
            <w:tcW w:w="1085" w:type="pct"/>
            <w:gridSpan w:val="4"/>
            <w:vAlign w:val="center"/>
          </w:tcPr>
          <w:p w:rsidR="00EE56C0" w:rsidRPr="00212B58" w:rsidRDefault="000F36A1" w:rsidP="00212B58">
            <w:pPr>
              <w:pStyle w:val="afa"/>
            </w:pPr>
            <w:r w:rsidRPr="00212B58">
              <w:rPr>
                <w:rFonts w:hint="eastAsia"/>
              </w:rPr>
              <w:t>油水分离器：</w:t>
            </w:r>
          </w:p>
          <w:p w:rsidR="00EE56C0" w:rsidRPr="00212B58" w:rsidRDefault="000F36A1" w:rsidP="00212B58">
            <w:pPr>
              <w:pStyle w:val="afa"/>
            </w:pPr>
            <w:r w:rsidRPr="00212B58">
              <w:rPr>
                <w:rFonts w:hint="eastAsia"/>
              </w:rPr>
              <w:t>不凝气</w:t>
            </w:r>
          </w:p>
        </w:tc>
        <w:tc>
          <w:tcPr>
            <w:tcW w:w="668" w:type="pct"/>
            <w:vAlign w:val="center"/>
          </w:tcPr>
          <w:p w:rsidR="00EE56C0" w:rsidRPr="00212B58" w:rsidRDefault="000F36A1" w:rsidP="00212B58">
            <w:pPr>
              <w:pStyle w:val="afa"/>
            </w:pPr>
            <w:r w:rsidRPr="00212B58">
              <w:rPr>
                <w:rFonts w:hint="eastAsia"/>
              </w:rPr>
              <w:t>非甲烷总烃</w:t>
            </w:r>
          </w:p>
        </w:tc>
        <w:tc>
          <w:tcPr>
            <w:tcW w:w="2608" w:type="pct"/>
            <w:gridSpan w:val="5"/>
            <w:vAlign w:val="center"/>
          </w:tcPr>
          <w:p w:rsidR="00EE56C0" w:rsidRPr="00212B58" w:rsidRDefault="000F36A1" w:rsidP="00212B58">
            <w:pPr>
              <w:pStyle w:val="afa"/>
            </w:pPr>
            <w:r w:rsidRPr="00212B58">
              <w:rPr>
                <w:rFonts w:hint="eastAsia"/>
              </w:rPr>
              <w:t>集气管道</w:t>
            </w:r>
            <w:r w:rsidRPr="00212B58">
              <w:rPr>
                <w:rFonts w:hint="eastAsia"/>
              </w:rPr>
              <w:t>+</w:t>
            </w:r>
            <w:r w:rsidRPr="00212B58">
              <w:rPr>
                <w:rFonts w:hint="eastAsia"/>
              </w:rPr>
              <w:t>静电除油</w:t>
            </w:r>
            <w:r w:rsidRPr="00212B58">
              <w:rPr>
                <w:rFonts w:hint="eastAsia"/>
              </w:rPr>
              <w:t>+</w:t>
            </w:r>
            <w:r w:rsidRPr="00212B58">
              <w:rPr>
                <w:rFonts w:hint="eastAsia"/>
              </w:rPr>
              <w:t>活性炭吸附</w:t>
            </w:r>
            <w:r w:rsidRPr="00212B58">
              <w:rPr>
                <w:rFonts w:hint="eastAsia"/>
              </w:rPr>
              <w:t>-</w:t>
            </w:r>
            <w:r w:rsidRPr="00212B58">
              <w:rPr>
                <w:rFonts w:hint="eastAsia"/>
              </w:rPr>
              <w:t>脱附</w:t>
            </w:r>
            <w:r w:rsidRPr="00212B58">
              <w:rPr>
                <w:rFonts w:hint="eastAsia"/>
              </w:rPr>
              <w:t>-</w:t>
            </w:r>
            <w:r w:rsidRPr="00212B58">
              <w:rPr>
                <w:rFonts w:hint="eastAsia"/>
              </w:rPr>
              <w:t>催化燃烧装置</w:t>
            </w:r>
            <w:r w:rsidRPr="00212B58">
              <w:rPr>
                <w:rFonts w:hint="eastAsia"/>
              </w:rPr>
              <w:t>T</w:t>
            </w:r>
          </w:p>
        </w:tc>
        <w:tc>
          <w:tcPr>
            <w:tcW w:w="365" w:type="pct"/>
            <w:vAlign w:val="center"/>
          </w:tcPr>
          <w:p w:rsidR="00EE56C0" w:rsidRPr="00212B58" w:rsidRDefault="00EE56C0" w:rsidP="00212B58">
            <w:pPr>
              <w:pStyle w:val="afa"/>
            </w:pPr>
          </w:p>
        </w:tc>
      </w:tr>
      <w:tr w:rsidR="00EE56C0" w:rsidRPr="00212B58">
        <w:trPr>
          <w:trHeight w:val="802"/>
          <w:jc w:val="center"/>
        </w:trPr>
        <w:tc>
          <w:tcPr>
            <w:tcW w:w="274" w:type="pct"/>
            <w:vMerge/>
            <w:vAlign w:val="center"/>
          </w:tcPr>
          <w:p w:rsidR="00EE56C0" w:rsidRPr="00212B58" w:rsidRDefault="00EE56C0" w:rsidP="00212B58">
            <w:pPr>
              <w:pStyle w:val="afa"/>
            </w:pPr>
          </w:p>
        </w:tc>
        <w:tc>
          <w:tcPr>
            <w:tcW w:w="400" w:type="pct"/>
            <w:gridSpan w:val="2"/>
            <w:vMerge w:val="restart"/>
            <w:vAlign w:val="center"/>
          </w:tcPr>
          <w:p w:rsidR="00EE56C0" w:rsidRPr="00212B58" w:rsidRDefault="000F36A1" w:rsidP="00212B58">
            <w:pPr>
              <w:pStyle w:val="afa"/>
            </w:pPr>
            <w:r w:rsidRPr="00212B58">
              <w:rPr>
                <w:rFonts w:hint="eastAsia"/>
              </w:rPr>
              <w:t>漆包线</w:t>
            </w:r>
          </w:p>
        </w:tc>
        <w:tc>
          <w:tcPr>
            <w:tcW w:w="250" w:type="pct"/>
            <w:vMerge w:val="restart"/>
            <w:vAlign w:val="center"/>
          </w:tcPr>
          <w:p w:rsidR="00EE56C0" w:rsidRPr="00212B58" w:rsidRDefault="000F36A1" w:rsidP="00212B58">
            <w:pPr>
              <w:pStyle w:val="afa"/>
            </w:pPr>
            <w:r w:rsidRPr="00212B58">
              <w:rPr>
                <w:rFonts w:hint="eastAsia"/>
              </w:rPr>
              <w:t>卧机</w:t>
            </w:r>
          </w:p>
        </w:tc>
        <w:tc>
          <w:tcPr>
            <w:tcW w:w="435" w:type="pct"/>
            <w:vAlign w:val="center"/>
          </w:tcPr>
          <w:p w:rsidR="00EE56C0" w:rsidRPr="00212B58" w:rsidRDefault="000F36A1" w:rsidP="00212B58">
            <w:pPr>
              <w:pStyle w:val="afa"/>
            </w:pPr>
            <w:r w:rsidRPr="00212B58">
              <w:rPr>
                <w:rFonts w:hint="eastAsia"/>
              </w:rPr>
              <w:t>涂漆</w:t>
            </w:r>
          </w:p>
        </w:tc>
        <w:tc>
          <w:tcPr>
            <w:tcW w:w="668" w:type="pct"/>
            <w:vMerge w:val="restart"/>
            <w:vAlign w:val="center"/>
          </w:tcPr>
          <w:p w:rsidR="00EE56C0" w:rsidRPr="00212B58" w:rsidRDefault="000F36A1" w:rsidP="00212B58">
            <w:pPr>
              <w:pStyle w:val="afa"/>
            </w:pPr>
            <w:r w:rsidRPr="00212B58">
              <w:rPr>
                <w:rFonts w:hint="eastAsia"/>
              </w:rPr>
              <w:t>酚、非甲烷总烃、二甲苯</w:t>
            </w:r>
          </w:p>
        </w:tc>
        <w:tc>
          <w:tcPr>
            <w:tcW w:w="397" w:type="pct"/>
            <w:vAlign w:val="center"/>
          </w:tcPr>
          <w:p w:rsidR="00EE56C0" w:rsidRPr="00212B58" w:rsidRDefault="000F36A1" w:rsidP="00212B58">
            <w:pPr>
              <w:pStyle w:val="afa"/>
            </w:pPr>
            <w:r w:rsidRPr="00212B58">
              <w:rPr>
                <w:rFonts w:hint="eastAsia"/>
              </w:rPr>
              <w:t>集气罩</w:t>
            </w:r>
          </w:p>
        </w:tc>
        <w:tc>
          <w:tcPr>
            <w:tcW w:w="469" w:type="pct"/>
            <w:vMerge w:val="restart"/>
            <w:vAlign w:val="center"/>
          </w:tcPr>
          <w:p w:rsidR="00EE56C0" w:rsidRPr="00212B58" w:rsidRDefault="000F36A1" w:rsidP="00212B58">
            <w:pPr>
              <w:pStyle w:val="afa"/>
            </w:pPr>
            <w:r w:rsidRPr="00212B58">
              <w:rPr>
                <w:rFonts w:hint="eastAsia"/>
              </w:rPr>
              <w:t>炉内</w:t>
            </w:r>
            <w:r w:rsidRPr="00212B58">
              <w:rPr>
                <w:rFonts w:hint="eastAsia"/>
              </w:rPr>
              <w:t>2</w:t>
            </w:r>
            <w:r w:rsidRPr="00212B58">
              <w:rPr>
                <w:rFonts w:hint="eastAsia"/>
              </w:rPr>
              <w:t>次催化燃烧</w:t>
            </w:r>
          </w:p>
        </w:tc>
        <w:tc>
          <w:tcPr>
            <w:tcW w:w="963" w:type="pct"/>
            <w:gridSpan w:val="2"/>
            <w:vMerge w:val="restart"/>
            <w:vAlign w:val="center"/>
          </w:tcPr>
          <w:p w:rsidR="00EE56C0" w:rsidRPr="00212B58" w:rsidRDefault="000F36A1" w:rsidP="00212B58">
            <w:pPr>
              <w:pStyle w:val="afa"/>
            </w:pPr>
            <w:r w:rsidRPr="00212B58">
              <w:rPr>
                <w:rFonts w:hint="eastAsia"/>
              </w:rPr>
              <w:t>3</w:t>
            </w:r>
            <w:r w:rsidRPr="00212B58">
              <w:rPr>
                <w:rFonts w:hint="eastAsia"/>
              </w:rPr>
              <w:t>台拉包机：沸石吸附</w:t>
            </w:r>
            <w:r w:rsidRPr="00212B58">
              <w:rPr>
                <w:rFonts w:hint="eastAsia"/>
              </w:rPr>
              <w:t>-</w:t>
            </w:r>
            <w:r w:rsidRPr="00212B58">
              <w:rPr>
                <w:rFonts w:hint="eastAsia"/>
              </w:rPr>
              <w:t>脱附</w:t>
            </w:r>
            <w:r w:rsidRPr="00212B58">
              <w:rPr>
                <w:rFonts w:hint="eastAsia"/>
              </w:rPr>
              <w:t>-</w:t>
            </w:r>
            <w:r w:rsidRPr="00212B58">
              <w:rPr>
                <w:rFonts w:hint="eastAsia"/>
              </w:rPr>
              <w:t>催化燃烧</w:t>
            </w:r>
            <w:r w:rsidRPr="00212B58">
              <w:rPr>
                <w:rFonts w:hint="eastAsia"/>
              </w:rPr>
              <w:t>F</w:t>
            </w:r>
          </w:p>
        </w:tc>
        <w:tc>
          <w:tcPr>
            <w:tcW w:w="779" w:type="pct"/>
            <w:vMerge w:val="restart"/>
            <w:vAlign w:val="center"/>
          </w:tcPr>
          <w:p w:rsidR="00EE56C0" w:rsidRPr="00212B58" w:rsidRDefault="000F36A1" w:rsidP="00212B58">
            <w:pPr>
              <w:pStyle w:val="afa"/>
            </w:pPr>
            <w:r w:rsidRPr="00212B58">
              <w:rPr>
                <w:rFonts w:hint="eastAsia"/>
              </w:rPr>
              <w:t>4</w:t>
            </w:r>
            <w:r w:rsidRPr="00212B58">
              <w:rPr>
                <w:rFonts w:hint="eastAsia"/>
              </w:rPr>
              <w:t>台拉包机：沸石吸附</w:t>
            </w:r>
            <w:r w:rsidRPr="00212B58">
              <w:rPr>
                <w:rFonts w:hint="eastAsia"/>
              </w:rPr>
              <w:t>-</w:t>
            </w:r>
            <w:r w:rsidRPr="00212B58">
              <w:rPr>
                <w:rFonts w:hint="eastAsia"/>
              </w:rPr>
              <w:t>脱附</w:t>
            </w:r>
            <w:r w:rsidRPr="00212B58">
              <w:rPr>
                <w:rFonts w:hint="eastAsia"/>
              </w:rPr>
              <w:t>-</w:t>
            </w:r>
            <w:r w:rsidRPr="00212B58">
              <w:rPr>
                <w:rFonts w:hint="eastAsia"/>
              </w:rPr>
              <w:t>催化燃烧</w:t>
            </w:r>
            <w:r w:rsidRPr="00212B58">
              <w:rPr>
                <w:rFonts w:hint="eastAsia"/>
              </w:rPr>
              <w:t>F</w:t>
            </w:r>
          </w:p>
        </w:tc>
        <w:tc>
          <w:tcPr>
            <w:tcW w:w="365" w:type="pct"/>
            <w:vMerge w:val="restart"/>
            <w:vAlign w:val="center"/>
          </w:tcPr>
          <w:p w:rsidR="00EE56C0" w:rsidRPr="00212B58" w:rsidRDefault="000F36A1" w:rsidP="00212B58">
            <w:pPr>
              <w:pStyle w:val="afa"/>
            </w:pPr>
            <w:r w:rsidRPr="00212B58">
              <w:rPr>
                <w:rFonts w:hint="eastAsia"/>
              </w:rPr>
              <w:t>26.</w:t>
            </w:r>
            <w:r w:rsidRPr="00212B58">
              <w:t>5m</w:t>
            </w:r>
            <w:r w:rsidRPr="00212B58">
              <w:t>排气筒</w:t>
            </w:r>
            <w:r w:rsidRPr="00212B58">
              <w:rPr>
                <w:rFonts w:hint="eastAsia"/>
              </w:rPr>
              <w:t>（</w:t>
            </w:r>
            <w:r w:rsidRPr="00212B58">
              <w:t>依</w:t>
            </w:r>
            <w:r w:rsidRPr="00212B58">
              <w:lastRenderedPageBreak/>
              <w:t>托现有</w:t>
            </w:r>
            <w:r w:rsidRPr="00212B58">
              <w:rPr>
                <w:rFonts w:hint="eastAsia"/>
              </w:rPr>
              <w:t>）</w:t>
            </w:r>
          </w:p>
        </w:tc>
      </w:tr>
      <w:tr w:rsidR="00EE56C0" w:rsidRPr="00212B58">
        <w:trPr>
          <w:trHeight w:val="815"/>
          <w:jc w:val="center"/>
        </w:trPr>
        <w:tc>
          <w:tcPr>
            <w:tcW w:w="274" w:type="pct"/>
            <w:vMerge/>
            <w:vAlign w:val="center"/>
          </w:tcPr>
          <w:p w:rsidR="00EE56C0" w:rsidRPr="00212B58" w:rsidRDefault="00EE56C0" w:rsidP="00212B58">
            <w:pPr>
              <w:pStyle w:val="afa"/>
            </w:pPr>
          </w:p>
        </w:tc>
        <w:tc>
          <w:tcPr>
            <w:tcW w:w="400" w:type="pct"/>
            <w:gridSpan w:val="2"/>
            <w:vMerge/>
            <w:vAlign w:val="center"/>
          </w:tcPr>
          <w:p w:rsidR="00EE56C0" w:rsidRPr="00212B58" w:rsidRDefault="00EE56C0" w:rsidP="00212B58">
            <w:pPr>
              <w:pStyle w:val="afa"/>
            </w:pPr>
          </w:p>
        </w:tc>
        <w:tc>
          <w:tcPr>
            <w:tcW w:w="250" w:type="pct"/>
            <w:vMerge/>
            <w:vAlign w:val="center"/>
          </w:tcPr>
          <w:p w:rsidR="00EE56C0" w:rsidRPr="00212B58" w:rsidRDefault="00EE56C0" w:rsidP="00212B58">
            <w:pPr>
              <w:pStyle w:val="afa"/>
            </w:pPr>
          </w:p>
        </w:tc>
        <w:tc>
          <w:tcPr>
            <w:tcW w:w="435" w:type="pct"/>
            <w:vAlign w:val="center"/>
          </w:tcPr>
          <w:p w:rsidR="00EE56C0" w:rsidRPr="00212B58" w:rsidRDefault="000F36A1" w:rsidP="00212B58">
            <w:pPr>
              <w:pStyle w:val="afa"/>
            </w:pPr>
            <w:r w:rsidRPr="00212B58">
              <w:rPr>
                <w:rFonts w:hint="eastAsia"/>
              </w:rPr>
              <w:t>烘干</w:t>
            </w:r>
          </w:p>
        </w:tc>
        <w:tc>
          <w:tcPr>
            <w:tcW w:w="668" w:type="pct"/>
            <w:vMerge/>
            <w:vAlign w:val="center"/>
          </w:tcPr>
          <w:p w:rsidR="00EE56C0" w:rsidRPr="00212B58" w:rsidRDefault="00EE56C0" w:rsidP="00212B58">
            <w:pPr>
              <w:pStyle w:val="afa"/>
            </w:pPr>
          </w:p>
        </w:tc>
        <w:tc>
          <w:tcPr>
            <w:tcW w:w="397" w:type="pct"/>
            <w:vAlign w:val="center"/>
          </w:tcPr>
          <w:p w:rsidR="00EE56C0" w:rsidRPr="00212B58" w:rsidRDefault="000F36A1" w:rsidP="00212B58">
            <w:pPr>
              <w:pStyle w:val="afa"/>
            </w:pPr>
            <w:r w:rsidRPr="00212B58">
              <w:rPr>
                <w:rFonts w:hint="eastAsia"/>
              </w:rPr>
              <w:t>集气管道</w:t>
            </w:r>
          </w:p>
        </w:tc>
        <w:tc>
          <w:tcPr>
            <w:tcW w:w="469" w:type="pct"/>
            <w:vMerge/>
            <w:vAlign w:val="center"/>
          </w:tcPr>
          <w:p w:rsidR="00EE56C0" w:rsidRPr="00212B58" w:rsidRDefault="00EE56C0" w:rsidP="00212B58">
            <w:pPr>
              <w:pStyle w:val="afa"/>
            </w:pPr>
          </w:p>
        </w:tc>
        <w:tc>
          <w:tcPr>
            <w:tcW w:w="963" w:type="pct"/>
            <w:gridSpan w:val="2"/>
            <w:vMerge/>
            <w:vAlign w:val="center"/>
          </w:tcPr>
          <w:p w:rsidR="00EE56C0" w:rsidRPr="00212B58" w:rsidRDefault="00EE56C0" w:rsidP="00212B58">
            <w:pPr>
              <w:pStyle w:val="afa"/>
            </w:pPr>
          </w:p>
        </w:tc>
        <w:tc>
          <w:tcPr>
            <w:tcW w:w="779" w:type="pct"/>
            <w:vMerge/>
            <w:vAlign w:val="center"/>
          </w:tcPr>
          <w:p w:rsidR="00EE56C0" w:rsidRPr="00212B58" w:rsidRDefault="00EE56C0" w:rsidP="00212B58">
            <w:pPr>
              <w:pStyle w:val="afa"/>
            </w:pPr>
          </w:p>
        </w:tc>
        <w:tc>
          <w:tcPr>
            <w:tcW w:w="365" w:type="pct"/>
            <w:vMerge/>
            <w:vAlign w:val="center"/>
          </w:tcPr>
          <w:p w:rsidR="00EE56C0" w:rsidRPr="00212B58" w:rsidRDefault="00EE56C0" w:rsidP="00212B58">
            <w:pPr>
              <w:pStyle w:val="afa"/>
            </w:pPr>
          </w:p>
        </w:tc>
      </w:tr>
      <w:tr w:rsidR="00EE56C0" w:rsidRPr="00212B58">
        <w:trPr>
          <w:trHeight w:val="434"/>
          <w:jc w:val="center"/>
        </w:trPr>
        <w:tc>
          <w:tcPr>
            <w:tcW w:w="274" w:type="pct"/>
            <w:vMerge/>
            <w:vAlign w:val="center"/>
          </w:tcPr>
          <w:p w:rsidR="00EE56C0" w:rsidRPr="00212B58" w:rsidRDefault="00EE56C0" w:rsidP="00212B58">
            <w:pPr>
              <w:pStyle w:val="afa"/>
            </w:pPr>
          </w:p>
        </w:tc>
        <w:tc>
          <w:tcPr>
            <w:tcW w:w="400" w:type="pct"/>
            <w:gridSpan w:val="2"/>
            <w:vMerge/>
            <w:vAlign w:val="center"/>
          </w:tcPr>
          <w:p w:rsidR="00EE56C0" w:rsidRPr="00212B58" w:rsidRDefault="00EE56C0" w:rsidP="00212B58">
            <w:pPr>
              <w:pStyle w:val="afa"/>
            </w:pPr>
          </w:p>
        </w:tc>
        <w:tc>
          <w:tcPr>
            <w:tcW w:w="250" w:type="pct"/>
            <w:vMerge w:val="restart"/>
            <w:vAlign w:val="center"/>
          </w:tcPr>
          <w:p w:rsidR="00EE56C0" w:rsidRPr="00212B58" w:rsidRDefault="000F36A1" w:rsidP="00212B58">
            <w:pPr>
              <w:pStyle w:val="afa"/>
            </w:pPr>
            <w:r w:rsidRPr="00212B58">
              <w:rPr>
                <w:rFonts w:hint="eastAsia"/>
              </w:rPr>
              <w:t>立机</w:t>
            </w:r>
          </w:p>
        </w:tc>
        <w:tc>
          <w:tcPr>
            <w:tcW w:w="435" w:type="pct"/>
            <w:vAlign w:val="center"/>
          </w:tcPr>
          <w:p w:rsidR="00EE56C0" w:rsidRPr="00212B58" w:rsidRDefault="000F36A1" w:rsidP="00212B58">
            <w:pPr>
              <w:pStyle w:val="afa"/>
            </w:pPr>
            <w:r w:rsidRPr="00212B58">
              <w:rPr>
                <w:rFonts w:hint="eastAsia"/>
              </w:rPr>
              <w:t>涂漆</w:t>
            </w:r>
          </w:p>
        </w:tc>
        <w:tc>
          <w:tcPr>
            <w:tcW w:w="668" w:type="pct"/>
            <w:vMerge/>
            <w:vAlign w:val="center"/>
          </w:tcPr>
          <w:p w:rsidR="00EE56C0" w:rsidRPr="00212B58" w:rsidRDefault="00EE56C0" w:rsidP="00212B58">
            <w:pPr>
              <w:pStyle w:val="afa"/>
            </w:pPr>
          </w:p>
        </w:tc>
        <w:tc>
          <w:tcPr>
            <w:tcW w:w="397" w:type="pct"/>
            <w:vAlign w:val="center"/>
          </w:tcPr>
          <w:p w:rsidR="00EE56C0" w:rsidRPr="00212B58" w:rsidRDefault="000F36A1" w:rsidP="00212B58">
            <w:pPr>
              <w:pStyle w:val="afa"/>
            </w:pPr>
            <w:r w:rsidRPr="00212B58">
              <w:rPr>
                <w:rFonts w:hint="eastAsia"/>
              </w:rPr>
              <w:t>涂漆间</w:t>
            </w:r>
          </w:p>
        </w:tc>
        <w:tc>
          <w:tcPr>
            <w:tcW w:w="469" w:type="pct"/>
            <w:vMerge w:val="restart"/>
            <w:vAlign w:val="center"/>
          </w:tcPr>
          <w:p w:rsidR="00EE56C0" w:rsidRPr="00212B58" w:rsidRDefault="000F36A1" w:rsidP="00212B58">
            <w:pPr>
              <w:pStyle w:val="afa"/>
            </w:pPr>
            <w:r w:rsidRPr="00212B58">
              <w:rPr>
                <w:rFonts w:hint="eastAsia"/>
              </w:rPr>
              <w:t>炉内</w:t>
            </w:r>
            <w:r w:rsidRPr="00212B58">
              <w:rPr>
                <w:rFonts w:hint="eastAsia"/>
              </w:rPr>
              <w:t>2</w:t>
            </w:r>
            <w:r w:rsidRPr="00212B58">
              <w:rPr>
                <w:rFonts w:hint="eastAsia"/>
              </w:rPr>
              <w:t>次催化燃烧</w:t>
            </w:r>
          </w:p>
        </w:tc>
        <w:tc>
          <w:tcPr>
            <w:tcW w:w="963" w:type="pct"/>
            <w:gridSpan w:val="2"/>
            <w:vMerge w:val="restart"/>
            <w:vAlign w:val="center"/>
          </w:tcPr>
          <w:p w:rsidR="00EE56C0" w:rsidRPr="00212B58" w:rsidRDefault="000F36A1" w:rsidP="00212B58">
            <w:pPr>
              <w:pStyle w:val="afa"/>
            </w:pPr>
            <w:r w:rsidRPr="00212B58">
              <w:rPr>
                <w:rFonts w:hint="eastAsia"/>
              </w:rPr>
              <w:t>1</w:t>
            </w:r>
            <w:r w:rsidRPr="00212B58">
              <w:rPr>
                <w:rFonts w:hint="eastAsia"/>
              </w:rPr>
              <w:t>台漆包机：静电除油</w:t>
            </w:r>
            <w:r w:rsidRPr="00212B58">
              <w:rPr>
                <w:rFonts w:hint="eastAsia"/>
              </w:rPr>
              <w:t>+</w:t>
            </w:r>
            <w:r w:rsidRPr="00212B58">
              <w:rPr>
                <w:rFonts w:hint="eastAsia"/>
              </w:rPr>
              <w:t>活性炭吸附</w:t>
            </w:r>
            <w:r w:rsidRPr="00212B58">
              <w:rPr>
                <w:rFonts w:hint="eastAsia"/>
              </w:rPr>
              <w:t>-</w:t>
            </w:r>
            <w:r w:rsidRPr="00212B58">
              <w:rPr>
                <w:rFonts w:hint="eastAsia"/>
              </w:rPr>
              <w:t>脱附</w:t>
            </w:r>
            <w:r w:rsidRPr="00212B58">
              <w:rPr>
                <w:rFonts w:hint="eastAsia"/>
              </w:rPr>
              <w:t>-</w:t>
            </w:r>
            <w:r w:rsidRPr="00212B58">
              <w:rPr>
                <w:rFonts w:hint="eastAsia"/>
              </w:rPr>
              <w:t>催化燃烧装置</w:t>
            </w:r>
            <w:r w:rsidRPr="00212B58">
              <w:rPr>
                <w:rFonts w:hint="eastAsia"/>
              </w:rPr>
              <w:t>T</w:t>
            </w:r>
          </w:p>
        </w:tc>
        <w:tc>
          <w:tcPr>
            <w:tcW w:w="779" w:type="pct"/>
            <w:vMerge w:val="restart"/>
            <w:vAlign w:val="center"/>
          </w:tcPr>
          <w:p w:rsidR="00EE56C0" w:rsidRPr="00212B58" w:rsidRDefault="000F36A1" w:rsidP="00212B58">
            <w:pPr>
              <w:pStyle w:val="afa"/>
            </w:pPr>
            <w:r w:rsidRPr="00212B58">
              <w:rPr>
                <w:rFonts w:hint="eastAsia"/>
              </w:rPr>
              <w:t>3</w:t>
            </w:r>
            <w:r w:rsidRPr="00212B58">
              <w:rPr>
                <w:rFonts w:hint="eastAsia"/>
              </w:rPr>
              <w:t>台漆包机：静电除油</w:t>
            </w:r>
            <w:r w:rsidRPr="00212B58">
              <w:rPr>
                <w:rFonts w:hint="eastAsia"/>
              </w:rPr>
              <w:t>+</w:t>
            </w:r>
            <w:r w:rsidRPr="00212B58">
              <w:rPr>
                <w:rFonts w:hint="eastAsia"/>
              </w:rPr>
              <w:t>活性炭吸附</w:t>
            </w:r>
            <w:r w:rsidRPr="00212B58">
              <w:rPr>
                <w:rFonts w:hint="eastAsia"/>
              </w:rPr>
              <w:t>-</w:t>
            </w:r>
            <w:r w:rsidRPr="00212B58">
              <w:rPr>
                <w:rFonts w:hint="eastAsia"/>
              </w:rPr>
              <w:t>脱附</w:t>
            </w:r>
            <w:r w:rsidRPr="00212B58">
              <w:rPr>
                <w:rFonts w:hint="eastAsia"/>
              </w:rPr>
              <w:t>-</w:t>
            </w:r>
            <w:r w:rsidRPr="00212B58">
              <w:rPr>
                <w:rFonts w:hint="eastAsia"/>
              </w:rPr>
              <w:t>催化燃烧装置</w:t>
            </w:r>
            <w:r w:rsidRPr="00212B58">
              <w:rPr>
                <w:rFonts w:hint="eastAsia"/>
              </w:rPr>
              <w:t>T</w:t>
            </w:r>
          </w:p>
        </w:tc>
        <w:tc>
          <w:tcPr>
            <w:tcW w:w="365" w:type="pct"/>
            <w:vMerge/>
            <w:vAlign w:val="center"/>
          </w:tcPr>
          <w:p w:rsidR="00EE56C0" w:rsidRPr="00212B58" w:rsidRDefault="00EE56C0" w:rsidP="00212B58">
            <w:pPr>
              <w:pStyle w:val="afa"/>
            </w:pPr>
          </w:p>
        </w:tc>
      </w:tr>
      <w:tr w:rsidR="00EE56C0" w:rsidRPr="00212B58">
        <w:trPr>
          <w:trHeight w:val="434"/>
          <w:jc w:val="center"/>
        </w:trPr>
        <w:tc>
          <w:tcPr>
            <w:tcW w:w="274" w:type="pct"/>
            <w:vMerge/>
            <w:vAlign w:val="center"/>
          </w:tcPr>
          <w:p w:rsidR="00EE56C0" w:rsidRPr="00212B58" w:rsidRDefault="00EE56C0" w:rsidP="00212B58">
            <w:pPr>
              <w:pStyle w:val="afa"/>
            </w:pPr>
          </w:p>
        </w:tc>
        <w:tc>
          <w:tcPr>
            <w:tcW w:w="400" w:type="pct"/>
            <w:gridSpan w:val="2"/>
            <w:vMerge/>
            <w:vAlign w:val="center"/>
          </w:tcPr>
          <w:p w:rsidR="00EE56C0" w:rsidRPr="00212B58" w:rsidRDefault="00EE56C0" w:rsidP="00212B58">
            <w:pPr>
              <w:pStyle w:val="afa"/>
            </w:pPr>
          </w:p>
        </w:tc>
        <w:tc>
          <w:tcPr>
            <w:tcW w:w="250" w:type="pct"/>
            <w:vMerge/>
            <w:vAlign w:val="center"/>
          </w:tcPr>
          <w:p w:rsidR="00EE56C0" w:rsidRPr="00212B58" w:rsidRDefault="00EE56C0" w:rsidP="00212B58">
            <w:pPr>
              <w:pStyle w:val="afa"/>
            </w:pPr>
          </w:p>
        </w:tc>
        <w:tc>
          <w:tcPr>
            <w:tcW w:w="435" w:type="pct"/>
            <w:vMerge w:val="restart"/>
            <w:vAlign w:val="center"/>
          </w:tcPr>
          <w:p w:rsidR="00EE56C0" w:rsidRPr="00212B58" w:rsidRDefault="000F36A1" w:rsidP="00212B58">
            <w:pPr>
              <w:pStyle w:val="afa"/>
            </w:pPr>
            <w:r w:rsidRPr="00212B58">
              <w:rPr>
                <w:rFonts w:hint="eastAsia"/>
              </w:rPr>
              <w:t>烘干</w:t>
            </w:r>
          </w:p>
        </w:tc>
        <w:tc>
          <w:tcPr>
            <w:tcW w:w="668" w:type="pct"/>
            <w:vMerge/>
            <w:vAlign w:val="center"/>
          </w:tcPr>
          <w:p w:rsidR="00EE56C0" w:rsidRPr="00212B58" w:rsidRDefault="00EE56C0" w:rsidP="00212B58">
            <w:pPr>
              <w:pStyle w:val="afa"/>
            </w:pPr>
          </w:p>
        </w:tc>
        <w:tc>
          <w:tcPr>
            <w:tcW w:w="397" w:type="pct"/>
            <w:vMerge w:val="restart"/>
            <w:vAlign w:val="center"/>
          </w:tcPr>
          <w:p w:rsidR="00EE56C0" w:rsidRPr="00212B58" w:rsidRDefault="000F36A1" w:rsidP="00212B58">
            <w:pPr>
              <w:pStyle w:val="afa"/>
            </w:pPr>
            <w:r w:rsidRPr="00212B58">
              <w:rPr>
                <w:rFonts w:hint="eastAsia"/>
              </w:rPr>
              <w:t>集气</w:t>
            </w:r>
          </w:p>
          <w:p w:rsidR="00EE56C0" w:rsidRPr="00212B58" w:rsidRDefault="000F36A1" w:rsidP="00212B58">
            <w:pPr>
              <w:pStyle w:val="afa"/>
            </w:pPr>
            <w:r w:rsidRPr="00212B58">
              <w:rPr>
                <w:rFonts w:hint="eastAsia"/>
              </w:rPr>
              <w:t>管道</w:t>
            </w:r>
          </w:p>
        </w:tc>
        <w:tc>
          <w:tcPr>
            <w:tcW w:w="469" w:type="pct"/>
            <w:vMerge/>
            <w:vAlign w:val="center"/>
          </w:tcPr>
          <w:p w:rsidR="00EE56C0" w:rsidRPr="00212B58" w:rsidRDefault="00EE56C0" w:rsidP="00212B58">
            <w:pPr>
              <w:pStyle w:val="afa"/>
            </w:pPr>
          </w:p>
        </w:tc>
        <w:tc>
          <w:tcPr>
            <w:tcW w:w="963" w:type="pct"/>
            <w:gridSpan w:val="2"/>
            <w:vMerge/>
            <w:vAlign w:val="center"/>
          </w:tcPr>
          <w:p w:rsidR="00EE56C0" w:rsidRPr="00212B58" w:rsidRDefault="00EE56C0" w:rsidP="00212B58">
            <w:pPr>
              <w:pStyle w:val="afa"/>
            </w:pPr>
          </w:p>
        </w:tc>
        <w:tc>
          <w:tcPr>
            <w:tcW w:w="779" w:type="pct"/>
            <w:vMerge/>
            <w:vAlign w:val="center"/>
          </w:tcPr>
          <w:p w:rsidR="00EE56C0" w:rsidRPr="00212B58" w:rsidRDefault="00EE56C0" w:rsidP="00212B58">
            <w:pPr>
              <w:pStyle w:val="afa"/>
            </w:pPr>
          </w:p>
        </w:tc>
        <w:tc>
          <w:tcPr>
            <w:tcW w:w="365" w:type="pct"/>
            <w:vMerge/>
            <w:vAlign w:val="center"/>
          </w:tcPr>
          <w:p w:rsidR="00EE56C0" w:rsidRPr="00212B58" w:rsidRDefault="00EE56C0" w:rsidP="00212B58">
            <w:pPr>
              <w:pStyle w:val="afa"/>
            </w:pPr>
          </w:p>
        </w:tc>
      </w:tr>
      <w:tr w:rsidR="00EE56C0" w:rsidRPr="00212B58">
        <w:trPr>
          <w:trHeight w:val="241"/>
          <w:jc w:val="center"/>
        </w:trPr>
        <w:tc>
          <w:tcPr>
            <w:tcW w:w="274" w:type="pct"/>
            <w:vMerge/>
            <w:vAlign w:val="center"/>
          </w:tcPr>
          <w:p w:rsidR="00EE56C0" w:rsidRPr="00212B58" w:rsidRDefault="00EE56C0" w:rsidP="00212B58">
            <w:pPr>
              <w:pStyle w:val="afa"/>
            </w:pPr>
          </w:p>
        </w:tc>
        <w:tc>
          <w:tcPr>
            <w:tcW w:w="400" w:type="pct"/>
            <w:gridSpan w:val="2"/>
            <w:vMerge/>
            <w:vAlign w:val="center"/>
          </w:tcPr>
          <w:p w:rsidR="00EE56C0" w:rsidRPr="00212B58" w:rsidRDefault="00EE56C0" w:rsidP="00212B58">
            <w:pPr>
              <w:pStyle w:val="afa"/>
            </w:pPr>
          </w:p>
        </w:tc>
        <w:tc>
          <w:tcPr>
            <w:tcW w:w="250" w:type="pct"/>
            <w:vMerge/>
            <w:vAlign w:val="center"/>
          </w:tcPr>
          <w:p w:rsidR="00EE56C0" w:rsidRPr="00212B58" w:rsidRDefault="00EE56C0" w:rsidP="00212B58">
            <w:pPr>
              <w:pStyle w:val="afa"/>
            </w:pPr>
          </w:p>
        </w:tc>
        <w:tc>
          <w:tcPr>
            <w:tcW w:w="435" w:type="pct"/>
            <w:vMerge/>
            <w:vAlign w:val="center"/>
          </w:tcPr>
          <w:p w:rsidR="00EE56C0" w:rsidRPr="00212B58" w:rsidRDefault="00EE56C0" w:rsidP="00212B58">
            <w:pPr>
              <w:pStyle w:val="afa"/>
            </w:pPr>
          </w:p>
        </w:tc>
        <w:tc>
          <w:tcPr>
            <w:tcW w:w="668" w:type="pct"/>
            <w:vMerge/>
            <w:vAlign w:val="center"/>
          </w:tcPr>
          <w:p w:rsidR="00EE56C0" w:rsidRPr="00212B58" w:rsidRDefault="00EE56C0" w:rsidP="00212B58">
            <w:pPr>
              <w:pStyle w:val="afa"/>
            </w:pPr>
          </w:p>
        </w:tc>
        <w:tc>
          <w:tcPr>
            <w:tcW w:w="397" w:type="pct"/>
            <w:vMerge/>
            <w:vAlign w:val="center"/>
          </w:tcPr>
          <w:p w:rsidR="00EE56C0" w:rsidRPr="00212B58" w:rsidRDefault="00EE56C0" w:rsidP="00212B58">
            <w:pPr>
              <w:pStyle w:val="afa"/>
            </w:pPr>
          </w:p>
        </w:tc>
        <w:tc>
          <w:tcPr>
            <w:tcW w:w="469" w:type="pct"/>
            <w:vMerge/>
            <w:vAlign w:val="center"/>
          </w:tcPr>
          <w:p w:rsidR="00EE56C0" w:rsidRPr="00212B58" w:rsidRDefault="00EE56C0" w:rsidP="00212B58">
            <w:pPr>
              <w:pStyle w:val="afa"/>
            </w:pPr>
          </w:p>
        </w:tc>
        <w:tc>
          <w:tcPr>
            <w:tcW w:w="963" w:type="pct"/>
            <w:gridSpan w:val="2"/>
            <w:vAlign w:val="center"/>
          </w:tcPr>
          <w:p w:rsidR="00EE56C0" w:rsidRPr="00212B58" w:rsidRDefault="000F36A1" w:rsidP="00212B58">
            <w:pPr>
              <w:pStyle w:val="afa"/>
            </w:pPr>
            <w:r w:rsidRPr="00212B58">
              <w:rPr>
                <w:rFonts w:hint="eastAsia"/>
              </w:rPr>
              <w:t>2</w:t>
            </w:r>
            <w:r w:rsidRPr="00212B58">
              <w:rPr>
                <w:rFonts w:hint="eastAsia"/>
              </w:rPr>
              <w:t>台拉包机：沸石吸附</w:t>
            </w:r>
            <w:r w:rsidRPr="00212B58">
              <w:rPr>
                <w:rFonts w:hint="eastAsia"/>
              </w:rPr>
              <w:t>-</w:t>
            </w:r>
            <w:r w:rsidRPr="00212B58">
              <w:rPr>
                <w:rFonts w:hint="eastAsia"/>
              </w:rPr>
              <w:t>脱附</w:t>
            </w:r>
            <w:r w:rsidRPr="00212B58">
              <w:rPr>
                <w:rFonts w:hint="eastAsia"/>
              </w:rPr>
              <w:t>-</w:t>
            </w:r>
            <w:r w:rsidRPr="00212B58">
              <w:rPr>
                <w:rFonts w:hint="eastAsia"/>
              </w:rPr>
              <w:t>催化燃烧</w:t>
            </w:r>
            <w:r w:rsidRPr="00212B58">
              <w:rPr>
                <w:rFonts w:hint="eastAsia"/>
              </w:rPr>
              <w:t>F</w:t>
            </w:r>
          </w:p>
        </w:tc>
        <w:tc>
          <w:tcPr>
            <w:tcW w:w="779" w:type="pct"/>
            <w:vAlign w:val="center"/>
          </w:tcPr>
          <w:p w:rsidR="00EE56C0" w:rsidRPr="00212B58" w:rsidRDefault="000F36A1" w:rsidP="00212B58">
            <w:pPr>
              <w:pStyle w:val="afa"/>
            </w:pPr>
            <w:r w:rsidRPr="00212B58">
              <w:rPr>
                <w:rFonts w:hint="eastAsia"/>
              </w:rPr>
              <w:t>10</w:t>
            </w:r>
            <w:r w:rsidRPr="00212B58">
              <w:rPr>
                <w:rFonts w:hint="eastAsia"/>
              </w:rPr>
              <w:t>台拉包机：沸石吸附</w:t>
            </w:r>
            <w:r w:rsidRPr="00212B58">
              <w:rPr>
                <w:rFonts w:hint="eastAsia"/>
              </w:rPr>
              <w:t>-</w:t>
            </w:r>
            <w:r w:rsidRPr="00212B58">
              <w:rPr>
                <w:rFonts w:hint="eastAsia"/>
              </w:rPr>
              <w:t>脱附</w:t>
            </w:r>
            <w:r w:rsidRPr="00212B58">
              <w:rPr>
                <w:rFonts w:hint="eastAsia"/>
              </w:rPr>
              <w:t>-</w:t>
            </w:r>
            <w:r w:rsidRPr="00212B58">
              <w:rPr>
                <w:rFonts w:hint="eastAsia"/>
              </w:rPr>
              <w:t>催化燃烧</w:t>
            </w:r>
            <w:r w:rsidRPr="00212B58">
              <w:rPr>
                <w:rFonts w:hint="eastAsia"/>
              </w:rPr>
              <w:t>F</w:t>
            </w:r>
          </w:p>
        </w:tc>
        <w:tc>
          <w:tcPr>
            <w:tcW w:w="365" w:type="pct"/>
            <w:vMerge/>
            <w:vAlign w:val="center"/>
          </w:tcPr>
          <w:p w:rsidR="00EE56C0" w:rsidRPr="00212B58" w:rsidRDefault="00EE56C0" w:rsidP="00212B58">
            <w:pPr>
              <w:pStyle w:val="afa"/>
            </w:pPr>
          </w:p>
        </w:tc>
      </w:tr>
      <w:tr w:rsidR="00EE56C0" w:rsidRPr="00212B58">
        <w:trPr>
          <w:trHeight w:val="434"/>
          <w:jc w:val="center"/>
        </w:trPr>
        <w:tc>
          <w:tcPr>
            <w:tcW w:w="274" w:type="pct"/>
            <w:vMerge/>
            <w:vAlign w:val="center"/>
          </w:tcPr>
          <w:p w:rsidR="00EE56C0" w:rsidRPr="00212B58" w:rsidRDefault="00EE56C0" w:rsidP="00212B58">
            <w:pPr>
              <w:pStyle w:val="afa"/>
            </w:pPr>
          </w:p>
        </w:tc>
        <w:tc>
          <w:tcPr>
            <w:tcW w:w="400" w:type="pct"/>
            <w:gridSpan w:val="2"/>
            <w:vMerge/>
            <w:vAlign w:val="center"/>
          </w:tcPr>
          <w:p w:rsidR="00EE56C0" w:rsidRPr="00212B58" w:rsidRDefault="00EE56C0" w:rsidP="00212B58">
            <w:pPr>
              <w:pStyle w:val="afa"/>
            </w:pPr>
          </w:p>
        </w:tc>
        <w:tc>
          <w:tcPr>
            <w:tcW w:w="250" w:type="pct"/>
            <w:vMerge/>
            <w:vAlign w:val="center"/>
          </w:tcPr>
          <w:p w:rsidR="00EE56C0" w:rsidRPr="00212B58" w:rsidRDefault="00EE56C0" w:rsidP="00212B58">
            <w:pPr>
              <w:pStyle w:val="afa"/>
            </w:pPr>
          </w:p>
        </w:tc>
        <w:tc>
          <w:tcPr>
            <w:tcW w:w="435" w:type="pct"/>
            <w:vAlign w:val="center"/>
          </w:tcPr>
          <w:p w:rsidR="00EE56C0" w:rsidRPr="00212B58" w:rsidRDefault="000F36A1" w:rsidP="00212B58">
            <w:pPr>
              <w:pStyle w:val="afa"/>
            </w:pPr>
            <w:r w:rsidRPr="00212B58">
              <w:rPr>
                <w:rFonts w:hint="eastAsia"/>
              </w:rPr>
              <w:t>二次封闭通道</w:t>
            </w:r>
          </w:p>
        </w:tc>
        <w:tc>
          <w:tcPr>
            <w:tcW w:w="668" w:type="pct"/>
            <w:vMerge/>
            <w:vAlign w:val="center"/>
          </w:tcPr>
          <w:p w:rsidR="00EE56C0" w:rsidRPr="00212B58" w:rsidRDefault="00EE56C0" w:rsidP="00212B58">
            <w:pPr>
              <w:pStyle w:val="afa"/>
            </w:pPr>
          </w:p>
        </w:tc>
        <w:tc>
          <w:tcPr>
            <w:tcW w:w="397" w:type="pct"/>
            <w:vAlign w:val="center"/>
          </w:tcPr>
          <w:p w:rsidR="00EE56C0" w:rsidRPr="00212B58" w:rsidRDefault="000F36A1" w:rsidP="00212B58">
            <w:pPr>
              <w:pStyle w:val="afa"/>
            </w:pPr>
            <w:r w:rsidRPr="00212B58">
              <w:rPr>
                <w:rFonts w:hint="eastAsia"/>
              </w:rPr>
              <w:t>集气管道</w:t>
            </w:r>
          </w:p>
        </w:tc>
        <w:tc>
          <w:tcPr>
            <w:tcW w:w="469" w:type="pct"/>
            <w:vAlign w:val="center"/>
          </w:tcPr>
          <w:p w:rsidR="00EE56C0" w:rsidRPr="00212B58" w:rsidRDefault="000F36A1" w:rsidP="00212B58">
            <w:pPr>
              <w:pStyle w:val="afa"/>
            </w:pPr>
            <w:r w:rsidRPr="00212B58">
              <w:rPr>
                <w:rFonts w:hint="eastAsia"/>
              </w:rPr>
              <w:t>/</w:t>
            </w:r>
          </w:p>
        </w:tc>
        <w:tc>
          <w:tcPr>
            <w:tcW w:w="1742" w:type="pct"/>
            <w:gridSpan w:val="3"/>
            <w:vAlign w:val="center"/>
          </w:tcPr>
          <w:p w:rsidR="00EE56C0" w:rsidRPr="00212B58" w:rsidRDefault="000F36A1" w:rsidP="00212B58">
            <w:pPr>
              <w:pStyle w:val="afa"/>
            </w:pPr>
            <w:r w:rsidRPr="00212B58">
              <w:rPr>
                <w:rFonts w:hint="eastAsia"/>
              </w:rPr>
              <w:t>沸石吸附</w:t>
            </w:r>
            <w:r w:rsidRPr="00212B58">
              <w:rPr>
                <w:rFonts w:hint="eastAsia"/>
              </w:rPr>
              <w:t>-</w:t>
            </w:r>
            <w:r w:rsidRPr="00212B58">
              <w:rPr>
                <w:rFonts w:hint="eastAsia"/>
              </w:rPr>
              <w:t>脱附</w:t>
            </w:r>
            <w:r w:rsidRPr="00212B58">
              <w:rPr>
                <w:rFonts w:hint="eastAsia"/>
              </w:rPr>
              <w:t>-</w:t>
            </w:r>
            <w:r w:rsidRPr="00212B58">
              <w:rPr>
                <w:rFonts w:hint="eastAsia"/>
              </w:rPr>
              <w:t>催化燃烧</w:t>
            </w:r>
            <w:r w:rsidRPr="00212B58">
              <w:rPr>
                <w:rFonts w:hint="eastAsia"/>
              </w:rPr>
              <w:t>F</w:t>
            </w:r>
          </w:p>
        </w:tc>
        <w:tc>
          <w:tcPr>
            <w:tcW w:w="365" w:type="pct"/>
            <w:vMerge/>
            <w:vAlign w:val="center"/>
          </w:tcPr>
          <w:p w:rsidR="00EE56C0" w:rsidRPr="00212B58" w:rsidRDefault="00EE56C0" w:rsidP="00212B58">
            <w:pPr>
              <w:pStyle w:val="afa"/>
            </w:pPr>
          </w:p>
        </w:tc>
      </w:tr>
      <w:tr w:rsidR="00EE56C0" w:rsidRPr="00212B58">
        <w:trPr>
          <w:trHeight w:val="704"/>
          <w:jc w:val="center"/>
        </w:trPr>
        <w:tc>
          <w:tcPr>
            <w:tcW w:w="274" w:type="pct"/>
            <w:vMerge/>
            <w:vAlign w:val="center"/>
          </w:tcPr>
          <w:p w:rsidR="00EE56C0" w:rsidRPr="00212B58" w:rsidRDefault="00EE56C0" w:rsidP="00212B58">
            <w:pPr>
              <w:pStyle w:val="afa"/>
            </w:pPr>
          </w:p>
        </w:tc>
        <w:tc>
          <w:tcPr>
            <w:tcW w:w="650" w:type="pct"/>
            <w:gridSpan w:val="3"/>
            <w:vMerge w:val="restart"/>
            <w:vAlign w:val="center"/>
          </w:tcPr>
          <w:p w:rsidR="00EE56C0" w:rsidRPr="00212B58" w:rsidRDefault="000F36A1" w:rsidP="00212B58">
            <w:pPr>
              <w:pStyle w:val="afa"/>
            </w:pPr>
            <w:r w:rsidRPr="00212B58">
              <w:rPr>
                <w:rFonts w:hint="eastAsia"/>
              </w:rPr>
              <w:t>丝包线</w:t>
            </w:r>
          </w:p>
        </w:tc>
        <w:tc>
          <w:tcPr>
            <w:tcW w:w="435" w:type="pct"/>
            <w:vAlign w:val="center"/>
          </w:tcPr>
          <w:p w:rsidR="00EE56C0" w:rsidRPr="00212B58" w:rsidRDefault="000F36A1" w:rsidP="00212B58">
            <w:pPr>
              <w:pStyle w:val="afa"/>
            </w:pPr>
            <w:r w:rsidRPr="00212B58">
              <w:rPr>
                <w:rFonts w:hint="eastAsia"/>
              </w:rPr>
              <w:t>涂漆、烘干</w:t>
            </w:r>
          </w:p>
        </w:tc>
        <w:tc>
          <w:tcPr>
            <w:tcW w:w="668" w:type="pct"/>
            <w:vMerge w:val="restart"/>
            <w:vAlign w:val="center"/>
          </w:tcPr>
          <w:p w:rsidR="00EE56C0" w:rsidRPr="00212B58" w:rsidRDefault="000F36A1" w:rsidP="00212B58">
            <w:pPr>
              <w:pStyle w:val="afa"/>
            </w:pPr>
            <w:r w:rsidRPr="00212B58">
              <w:rPr>
                <w:rFonts w:hint="eastAsia"/>
              </w:rPr>
              <w:t>苯、甲苯、二甲苯、非甲烷总烃</w:t>
            </w:r>
          </w:p>
        </w:tc>
        <w:tc>
          <w:tcPr>
            <w:tcW w:w="866" w:type="pct"/>
            <w:gridSpan w:val="2"/>
            <w:vAlign w:val="center"/>
          </w:tcPr>
          <w:p w:rsidR="00EE56C0" w:rsidRPr="00212B58" w:rsidRDefault="000F36A1" w:rsidP="00212B58">
            <w:pPr>
              <w:pStyle w:val="afa"/>
            </w:pPr>
            <w:r w:rsidRPr="00212B58">
              <w:rPr>
                <w:rFonts w:hint="eastAsia"/>
              </w:rPr>
              <w:t>集气罩</w:t>
            </w:r>
          </w:p>
        </w:tc>
        <w:tc>
          <w:tcPr>
            <w:tcW w:w="1742" w:type="pct"/>
            <w:gridSpan w:val="3"/>
            <w:vMerge w:val="restart"/>
            <w:vAlign w:val="center"/>
          </w:tcPr>
          <w:p w:rsidR="00EE56C0" w:rsidRPr="00212B58" w:rsidRDefault="000F36A1" w:rsidP="00212B58">
            <w:pPr>
              <w:pStyle w:val="afa"/>
            </w:pPr>
            <w:r w:rsidRPr="00212B58">
              <w:rPr>
                <w:rFonts w:hint="eastAsia"/>
              </w:rPr>
              <w:t>静电除油</w:t>
            </w:r>
            <w:r w:rsidRPr="00212B58">
              <w:rPr>
                <w:rFonts w:hint="eastAsia"/>
              </w:rPr>
              <w:t>+</w:t>
            </w:r>
            <w:r w:rsidRPr="00212B58">
              <w:rPr>
                <w:rFonts w:hint="eastAsia"/>
              </w:rPr>
              <w:t>活性炭吸附</w:t>
            </w:r>
            <w:r w:rsidRPr="00212B58">
              <w:rPr>
                <w:rFonts w:hint="eastAsia"/>
              </w:rPr>
              <w:t>-</w:t>
            </w:r>
            <w:r w:rsidRPr="00212B58">
              <w:rPr>
                <w:rFonts w:hint="eastAsia"/>
              </w:rPr>
              <w:t>脱附</w:t>
            </w:r>
            <w:r w:rsidRPr="00212B58">
              <w:rPr>
                <w:rFonts w:hint="eastAsia"/>
              </w:rPr>
              <w:t>-</w:t>
            </w:r>
            <w:r w:rsidRPr="00212B58">
              <w:rPr>
                <w:rFonts w:hint="eastAsia"/>
              </w:rPr>
              <w:t>催化燃烧装置</w:t>
            </w:r>
            <w:r w:rsidRPr="00212B58">
              <w:rPr>
                <w:rFonts w:hint="eastAsia"/>
              </w:rPr>
              <w:t>T</w:t>
            </w:r>
          </w:p>
        </w:tc>
        <w:tc>
          <w:tcPr>
            <w:tcW w:w="365" w:type="pct"/>
            <w:vMerge/>
            <w:vAlign w:val="center"/>
          </w:tcPr>
          <w:p w:rsidR="00EE56C0" w:rsidRPr="00212B58" w:rsidRDefault="00EE56C0" w:rsidP="00212B58">
            <w:pPr>
              <w:pStyle w:val="afa"/>
            </w:pPr>
          </w:p>
        </w:tc>
      </w:tr>
      <w:tr w:rsidR="00EE56C0" w:rsidRPr="00212B58">
        <w:trPr>
          <w:trHeight w:val="558"/>
          <w:jc w:val="center"/>
        </w:trPr>
        <w:tc>
          <w:tcPr>
            <w:tcW w:w="274" w:type="pct"/>
            <w:vMerge/>
            <w:vAlign w:val="center"/>
          </w:tcPr>
          <w:p w:rsidR="00EE56C0" w:rsidRPr="00212B58" w:rsidRDefault="00EE56C0" w:rsidP="00212B58">
            <w:pPr>
              <w:pStyle w:val="afa"/>
            </w:pPr>
          </w:p>
        </w:tc>
        <w:tc>
          <w:tcPr>
            <w:tcW w:w="650" w:type="pct"/>
            <w:gridSpan w:val="3"/>
            <w:vMerge/>
            <w:vAlign w:val="center"/>
          </w:tcPr>
          <w:p w:rsidR="00EE56C0" w:rsidRPr="00212B58" w:rsidRDefault="00EE56C0" w:rsidP="00212B58">
            <w:pPr>
              <w:pStyle w:val="afa"/>
            </w:pPr>
          </w:p>
        </w:tc>
        <w:tc>
          <w:tcPr>
            <w:tcW w:w="435" w:type="pct"/>
            <w:vAlign w:val="center"/>
          </w:tcPr>
          <w:p w:rsidR="00EE56C0" w:rsidRPr="00212B58" w:rsidRDefault="000F36A1" w:rsidP="00212B58">
            <w:pPr>
              <w:pStyle w:val="afa"/>
            </w:pPr>
            <w:r w:rsidRPr="00212B58">
              <w:rPr>
                <w:rFonts w:hint="eastAsia"/>
              </w:rPr>
              <w:t>操作间</w:t>
            </w:r>
          </w:p>
        </w:tc>
        <w:tc>
          <w:tcPr>
            <w:tcW w:w="668" w:type="pct"/>
            <w:vMerge/>
            <w:vAlign w:val="center"/>
          </w:tcPr>
          <w:p w:rsidR="00EE56C0" w:rsidRPr="00212B58" w:rsidRDefault="00EE56C0" w:rsidP="00212B58">
            <w:pPr>
              <w:pStyle w:val="afa"/>
            </w:pPr>
          </w:p>
        </w:tc>
        <w:tc>
          <w:tcPr>
            <w:tcW w:w="866" w:type="pct"/>
            <w:gridSpan w:val="2"/>
            <w:vAlign w:val="center"/>
          </w:tcPr>
          <w:p w:rsidR="00EE56C0" w:rsidRPr="00212B58" w:rsidRDefault="000F36A1" w:rsidP="00212B58">
            <w:pPr>
              <w:pStyle w:val="afa"/>
            </w:pPr>
            <w:r w:rsidRPr="00212B58">
              <w:rPr>
                <w:rFonts w:hint="eastAsia"/>
              </w:rPr>
              <w:t>顶部抽吸装置</w:t>
            </w:r>
          </w:p>
        </w:tc>
        <w:tc>
          <w:tcPr>
            <w:tcW w:w="1742" w:type="pct"/>
            <w:gridSpan w:val="3"/>
            <w:vMerge/>
            <w:vAlign w:val="center"/>
          </w:tcPr>
          <w:p w:rsidR="00EE56C0" w:rsidRPr="00212B58" w:rsidRDefault="00EE56C0" w:rsidP="00212B58">
            <w:pPr>
              <w:pStyle w:val="afa"/>
            </w:pPr>
          </w:p>
        </w:tc>
        <w:tc>
          <w:tcPr>
            <w:tcW w:w="365" w:type="pct"/>
            <w:vMerge/>
            <w:vAlign w:val="center"/>
          </w:tcPr>
          <w:p w:rsidR="00EE56C0" w:rsidRPr="00212B58" w:rsidRDefault="00EE56C0" w:rsidP="00212B58">
            <w:pPr>
              <w:pStyle w:val="afa"/>
            </w:pPr>
          </w:p>
        </w:tc>
      </w:tr>
      <w:tr w:rsidR="00EE56C0" w:rsidRPr="00212B58">
        <w:trPr>
          <w:trHeight w:val="1690"/>
          <w:jc w:val="center"/>
        </w:trPr>
        <w:tc>
          <w:tcPr>
            <w:tcW w:w="274" w:type="pct"/>
            <w:vMerge w:val="restart"/>
            <w:vAlign w:val="center"/>
          </w:tcPr>
          <w:p w:rsidR="00EE56C0" w:rsidRPr="00212B58" w:rsidRDefault="000F36A1" w:rsidP="00212B58">
            <w:pPr>
              <w:pStyle w:val="afa"/>
            </w:pPr>
            <w:r w:rsidRPr="00212B58">
              <w:t>废水</w:t>
            </w:r>
          </w:p>
        </w:tc>
        <w:tc>
          <w:tcPr>
            <w:tcW w:w="1085" w:type="pct"/>
            <w:gridSpan w:val="4"/>
            <w:vAlign w:val="center"/>
          </w:tcPr>
          <w:p w:rsidR="00EE56C0" w:rsidRPr="00212B58" w:rsidRDefault="000F36A1" w:rsidP="00212B58">
            <w:pPr>
              <w:pStyle w:val="afa"/>
            </w:pPr>
            <w:r w:rsidRPr="00212B58">
              <w:rPr>
                <w:rFonts w:hint="eastAsia"/>
              </w:rPr>
              <w:t>生活污水</w:t>
            </w:r>
          </w:p>
        </w:tc>
        <w:tc>
          <w:tcPr>
            <w:tcW w:w="668" w:type="pct"/>
            <w:vAlign w:val="center"/>
          </w:tcPr>
          <w:p w:rsidR="00EE56C0" w:rsidRPr="00212B58" w:rsidRDefault="000F36A1" w:rsidP="00212B58">
            <w:pPr>
              <w:pStyle w:val="afa"/>
            </w:pPr>
            <w:r w:rsidRPr="00212B58">
              <w:t>COD</w:t>
            </w:r>
            <w:r w:rsidRPr="00212B58">
              <w:t>、</w:t>
            </w:r>
            <w:r w:rsidRPr="00212B58">
              <w:t>SS</w:t>
            </w:r>
            <w:r w:rsidRPr="00212B58">
              <w:rPr>
                <w:rFonts w:hint="eastAsia"/>
              </w:rPr>
              <w:t>、</w:t>
            </w:r>
            <w:r w:rsidRPr="00212B58">
              <w:rPr>
                <w:rFonts w:hint="eastAsia"/>
              </w:rPr>
              <w:t>NH</w:t>
            </w:r>
            <w:r w:rsidRPr="00212B58">
              <w:rPr>
                <w:rFonts w:hint="eastAsia"/>
                <w:vertAlign w:val="subscript"/>
              </w:rPr>
              <w:t>3</w:t>
            </w:r>
            <w:r w:rsidRPr="00212B58">
              <w:rPr>
                <w:rFonts w:hint="eastAsia"/>
              </w:rPr>
              <w:t>-N</w:t>
            </w:r>
            <w:r w:rsidRPr="00212B58">
              <w:rPr>
                <w:rFonts w:hint="eastAsia"/>
              </w:rPr>
              <w:t>、</w:t>
            </w:r>
            <w:r w:rsidRPr="00212B58">
              <w:rPr>
                <w:rFonts w:hint="eastAsia"/>
              </w:rPr>
              <w:t>TN</w:t>
            </w:r>
            <w:r w:rsidRPr="00212B58">
              <w:rPr>
                <w:rFonts w:hint="eastAsia"/>
              </w:rPr>
              <w:t>、</w:t>
            </w:r>
            <w:r w:rsidRPr="00212B58">
              <w:rPr>
                <w:rFonts w:hint="eastAsia"/>
              </w:rPr>
              <w:t>TP</w:t>
            </w:r>
            <w:r w:rsidRPr="00212B58">
              <w:rPr>
                <w:rFonts w:hint="eastAsia"/>
              </w:rPr>
              <w:t>、石油类</w:t>
            </w:r>
          </w:p>
        </w:tc>
        <w:tc>
          <w:tcPr>
            <w:tcW w:w="2973" w:type="pct"/>
            <w:gridSpan w:val="6"/>
            <w:vMerge w:val="restart"/>
            <w:vAlign w:val="center"/>
          </w:tcPr>
          <w:p w:rsidR="00EE56C0" w:rsidRPr="00212B58" w:rsidRDefault="000F36A1" w:rsidP="00212B58">
            <w:pPr>
              <w:pStyle w:val="afa"/>
              <w:jc w:val="both"/>
            </w:pPr>
            <w:r w:rsidRPr="00212B58">
              <w:rPr>
                <w:rFonts w:hint="eastAsia"/>
              </w:rPr>
              <w:t>目前管网接通前：经“隔油池</w:t>
            </w:r>
            <w:r w:rsidRPr="00212B58">
              <w:rPr>
                <w:rFonts w:hint="eastAsia"/>
              </w:rPr>
              <w:t>+</w:t>
            </w:r>
            <w:r w:rsidRPr="00212B58">
              <w:rPr>
                <w:rFonts w:hint="eastAsia"/>
              </w:rPr>
              <w:t>化粪池”处理后的生活污水进入厂区污水处理站（调节</w:t>
            </w:r>
            <w:r w:rsidRPr="00212B58">
              <w:rPr>
                <w:rFonts w:hint="eastAsia"/>
              </w:rPr>
              <w:t>+MBR</w:t>
            </w:r>
            <w:r w:rsidRPr="00212B58">
              <w:rPr>
                <w:rFonts w:hint="eastAsia"/>
              </w:rPr>
              <w:t>）处理，与反渗透浓水均用于厂区绿化，不外排。</w:t>
            </w:r>
          </w:p>
          <w:p w:rsidR="00EE56C0" w:rsidRPr="00212B58" w:rsidRDefault="000F36A1" w:rsidP="00212B58">
            <w:pPr>
              <w:pStyle w:val="afa"/>
              <w:jc w:val="both"/>
            </w:pPr>
            <w:r w:rsidRPr="00212B58">
              <w:t>管网接通后</w:t>
            </w:r>
            <w:r w:rsidRPr="00212B58">
              <w:rPr>
                <w:rFonts w:hint="eastAsia"/>
              </w:rPr>
              <w:t>：生活污水经“隔油池</w:t>
            </w:r>
            <w:r w:rsidRPr="00212B58">
              <w:rPr>
                <w:rFonts w:hint="eastAsia"/>
              </w:rPr>
              <w:t>+</w:t>
            </w:r>
            <w:r w:rsidRPr="00212B58">
              <w:rPr>
                <w:rFonts w:hint="eastAsia"/>
              </w:rPr>
              <w:t>化粪池”处理后与反渗透浓水在厂区总排口混合后，</w:t>
            </w:r>
            <w:r w:rsidRPr="00212B58">
              <w:t>经污水管网排入新乡县综合污水处理厂进一步处理</w:t>
            </w:r>
            <w:r w:rsidRPr="00212B58">
              <w:rPr>
                <w:rFonts w:hint="eastAsia"/>
              </w:rPr>
              <w:t>，最终排入东孟姜女河</w:t>
            </w:r>
            <w:r w:rsidRPr="00212B58">
              <w:t>，届时企业污水处理站停止运行</w:t>
            </w:r>
            <w:r w:rsidRPr="00212B58">
              <w:rPr>
                <w:rFonts w:hint="eastAsia"/>
              </w:rPr>
              <w:t>。</w:t>
            </w:r>
          </w:p>
        </w:tc>
      </w:tr>
      <w:tr w:rsidR="00EE56C0" w:rsidRPr="00212B58">
        <w:trPr>
          <w:trHeight w:val="397"/>
          <w:jc w:val="center"/>
        </w:trPr>
        <w:tc>
          <w:tcPr>
            <w:tcW w:w="274" w:type="pct"/>
            <w:vMerge/>
            <w:vAlign w:val="center"/>
          </w:tcPr>
          <w:p w:rsidR="00EE56C0" w:rsidRPr="00212B58" w:rsidRDefault="00EE56C0" w:rsidP="00212B58">
            <w:pPr>
              <w:pStyle w:val="afa"/>
            </w:pPr>
          </w:p>
        </w:tc>
        <w:tc>
          <w:tcPr>
            <w:tcW w:w="1085" w:type="pct"/>
            <w:gridSpan w:val="4"/>
            <w:vAlign w:val="center"/>
          </w:tcPr>
          <w:p w:rsidR="00EE56C0" w:rsidRPr="00212B58" w:rsidRDefault="000F36A1" w:rsidP="00212B58">
            <w:pPr>
              <w:pStyle w:val="afa"/>
            </w:pPr>
            <w:r w:rsidRPr="00212B58">
              <w:rPr>
                <w:rFonts w:hint="eastAsia"/>
              </w:rPr>
              <w:t>反渗透浓水</w:t>
            </w:r>
          </w:p>
        </w:tc>
        <w:tc>
          <w:tcPr>
            <w:tcW w:w="668" w:type="pct"/>
            <w:vAlign w:val="center"/>
          </w:tcPr>
          <w:p w:rsidR="00EE56C0" w:rsidRPr="00212B58" w:rsidRDefault="000F36A1" w:rsidP="00212B58">
            <w:pPr>
              <w:pStyle w:val="afa"/>
            </w:pPr>
            <w:r w:rsidRPr="00212B58">
              <w:t>COD</w:t>
            </w:r>
            <w:r w:rsidRPr="00212B58">
              <w:t>、</w:t>
            </w:r>
            <w:r w:rsidRPr="00212B58">
              <w:t>SS</w:t>
            </w:r>
            <w:r w:rsidRPr="00212B58">
              <w:rPr>
                <w:rFonts w:hint="eastAsia"/>
              </w:rPr>
              <w:t>、</w:t>
            </w:r>
            <w:r w:rsidRPr="00212B58">
              <w:rPr>
                <w:rFonts w:hint="eastAsia"/>
              </w:rPr>
              <w:t>NH</w:t>
            </w:r>
            <w:r w:rsidRPr="00212B58">
              <w:rPr>
                <w:rFonts w:hint="eastAsia"/>
                <w:vertAlign w:val="subscript"/>
              </w:rPr>
              <w:t>3</w:t>
            </w:r>
            <w:r w:rsidRPr="00212B58">
              <w:rPr>
                <w:rFonts w:hint="eastAsia"/>
              </w:rPr>
              <w:t>-N</w:t>
            </w:r>
            <w:r w:rsidRPr="00212B58">
              <w:rPr>
                <w:rFonts w:hint="eastAsia"/>
              </w:rPr>
              <w:t>、</w:t>
            </w:r>
            <w:r w:rsidRPr="00212B58">
              <w:rPr>
                <w:rFonts w:hint="eastAsia"/>
              </w:rPr>
              <w:t>TN</w:t>
            </w:r>
            <w:r w:rsidRPr="00212B58">
              <w:rPr>
                <w:rFonts w:hint="eastAsia"/>
              </w:rPr>
              <w:t>、</w:t>
            </w:r>
            <w:r w:rsidRPr="00212B58">
              <w:rPr>
                <w:rFonts w:hint="eastAsia"/>
              </w:rPr>
              <w:t>TP</w:t>
            </w:r>
          </w:p>
        </w:tc>
        <w:tc>
          <w:tcPr>
            <w:tcW w:w="2973" w:type="pct"/>
            <w:gridSpan w:val="6"/>
            <w:vMerge/>
            <w:vAlign w:val="center"/>
          </w:tcPr>
          <w:p w:rsidR="00EE56C0" w:rsidRPr="00212B58" w:rsidRDefault="00EE56C0" w:rsidP="00212B58">
            <w:pPr>
              <w:pStyle w:val="afa"/>
            </w:pPr>
          </w:p>
        </w:tc>
      </w:tr>
      <w:tr w:rsidR="00EE56C0" w:rsidRPr="00212B58">
        <w:trPr>
          <w:trHeight w:val="397"/>
          <w:jc w:val="center"/>
        </w:trPr>
        <w:tc>
          <w:tcPr>
            <w:tcW w:w="274" w:type="pct"/>
            <w:vMerge w:val="restart"/>
            <w:vAlign w:val="center"/>
          </w:tcPr>
          <w:p w:rsidR="00EE56C0" w:rsidRPr="00212B58" w:rsidRDefault="000F36A1" w:rsidP="00212B58">
            <w:pPr>
              <w:pStyle w:val="afa"/>
            </w:pPr>
            <w:r w:rsidRPr="00212B58">
              <w:t>固废</w:t>
            </w:r>
          </w:p>
        </w:tc>
        <w:tc>
          <w:tcPr>
            <w:tcW w:w="250" w:type="pct"/>
            <w:vMerge w:val="restart"/>
            <w:vAlign w:val="center"/>
          </w:tcPr>
          <w:p w:rsidR="00EE56C0" w:rsidRPr="00212B58" w:rsidRDefault="000F36A1" w:rsidP="00212B58">
            <w:pPr>
              <w:pStyle w:val="afa"/>
            </w:pPr>
            <w:r w:rsidRPr="00212B58">
              <w:t>一般固废</w:t>
            </w:r>
          </w:p>
        </w:tc>
        <w:tc>
          <w:tcPr>
            <w:tcW w:w="835" w:type="pct"/>
            <w:gridSpan w:val="3"/>
            <w:vAlign w:val="center"/>
          </w:tcPr>
          <w:p w:rsidR="00EE56C0" w:rsidRPr="00212B58" w:rsidRDefault="000F36A1" w:rsidP="00212B58">
            <w:pPr>
              <w:pStyle w:val="afa"/>
            </w:pPr>
            <w:r w:rsidRPr="00212B58">
              <w:t>原料使用</w:t>
            </w:r>
          </w:p>
        </w:tc>
        <w:tc>
          <w:tcPr>
            <w:tcW w:w="668" w:type="pct"/>
            <w:vAlign w:val="center"/>
          </w:tcPr>
          <w:p w:rsidR="00EE56C0" w:rsidRPr="00212B58" w:rsidRDefault="000F36A1" w:rsidP="00212B58">
            <w:pPr>
              <w:pStyle w:val="afa"/>
            </w:pPr>
            <w:r w:rsidRPr="00212B58">
              <w:t>废包材</w:t>
            </w:r>
          </w:p>
        </w:tc>
        <w:tc>
          <w:tcPr>
            <w:tcW w:w="2973" w:type="pct"/>
            <w:gridSpan w:val="6"/>
            <w:vMerge w:val="restart"/>
            <w:vAlign w:val="center"/>
          </w:tcPr>
          <w:p w:rsidR="00EE56C0" w:rsidRPr="00212B58" w:rsidRDefault="000F36A1" w:rsidP="00212B58">
            <w:pPr>
              <w:pStyle w:val="afa"/>
              <w:rPr>
                <w:kern w:val="36"/>
              </w:rPr>
            </w:pPr>
            <w:r w:rsidRPr="00212B58">
              <w:rPr>
                <w:kern w:val="36"/>
              </w:rPr>
              <w:t>一般固废暂存间存放，定期集中出售</w:t>
            </w:r>
          </w:p>
        </w:tc>
      </w:tr>
      <w:tr w:rsidR="00EE56C0" w:rsidRPr="00212B58">
        <w:trPr>
          <w:trHeight w:val="502"/>
          <w:jc w:val="center"/>
        </w:trPr>
        <w:tc>
          <w:tcPr>
            <w:tcW w:w="274" w:type="pct"/>
            <w:vMerge/>
            <w:vAlign w:val="center"/>
          </w:tcPr>
          <w:p w:rsidR="00EE56C0" w:rsidRPr="00212B58" w:rsidRDefault="00EE56C0" w:rsidP="00212B58">
            <w:pPr>
              <w:pStyle w:val="afa"/>
            </w:pPr>
          </w:p>
        </w:tc>
        <w:tc>
          <w:tcPr>
            <w:tcW w:w="250" w:type="pct"/>
            <w:vMerge/>
            <w:vAlign w:val="center"/>
          </w:tcPr>
          <w:p w:rsidR="00EE56C0" w:rsidRPr="00212B58" w:rsidRDefault="00EE56C0" w:rsidP="00212B58">
            <w:pPr>
              <w:pStyle w:val="afa"/>
            </w:pPr>
          </w:p>
        </w:tc>
        <w:tc>
          <w:tcPr>
            <w:tcW w:w="835" w:type="pct"/>
            <w:gridSpan w:val="3"/>
            <w:vAlign w:val="center"/>
          </w:tcPr>
          <w:p w:rsidR="00EE56C0" w:rsidRPr="00212B58" w:rsidRDefault="000F36A1" w:rsidP="00212B58">
            <w:pPr>
              <w:pStyle w:val="afa"/>
            </w:pPr>
            <w:r w:rsidRPr="00212B58">
              <w:rPr>
                <w:rFonts w:hint="eastAsia"/>
              </w:rPr>
              <w:t>挤压</w:t>
            </w:r>
          </w:p>
        </w:tc>
        <w:tc>
          <w:tcPr>
            <w:tcW w:w="668" w:type="pct"/>
            <w:vAlign w:val="center"/>
          </w:tcPr>
          <w:p w:rsidR="00EE56C0" w:rsidRPr="00212B58" w:rsidRDefault="000F36A1" w:rsidP="00212B58">
            <w:pPr>
              <w:pStyle w:val="afa"/>
            </w:pPr>
            <w:r w:rsidRPr="00212B58">
              <w:rPr>
                <w:rFonts w:hint="eastAsia"/>
              </w:rPr>
              <w:t>废铜线</w:t>
            </w:r>
          </w:p>
        </w:tc>
        <w:tc>
          <w:tcPr>
            <w:tcW w:w="2973" w:type="pct"/>
            <w:gridSpan w:val="6"/>
            <w:vMerge/>
            <w:vAlign w:val="center"/>
          </w:tcPr>
          <w:p w:rsidR="00EE56C0" w:rsidRPr="00212B58" w:rsidRDefault="00EE56C0" w:rsidP="00212B58">
            <w:pPr>
              <w:pStyle w:val="afa"/>
              <w:rPr>
                <w:kern w:val="36"/>
              </w:rPr>
            </w:pPr>
          </w:p>
        </w:tc>
      </w:tr>
      <w:tr w:rsidR="00EE56C0" w:rsidRPr="00212B58">
        <w:trPr>
          <w:trHeight w:val="397"/>
          <w:jc w:val="center"/>
        </w:trPr>
        <w:tc>
          <w:tcPr>
            <w:tcW w:w="274" w:type="pct"/>
            <w:vMerge/>
            <w:vAlign w:val="center"/>
          </w:tcPr>
          <w:p w:rsidR="00EE56C0" w:rsidRPr="00212B58" w:rsidRDefault="00EE56C0" w:rsidP="00212B58">
            <w:pPr>
              <w:pStyle w:val="afa"/>
            </w:pPr>
          </w:p>
        </w:tc>
        <w:tc>
          <w:tcPr>
            <w:tcW w:w="250" w:type="pct"/>
            <w:vMerge/>
            <w:vAlign w:val="center"/>
          </w:tcPr>
          <w:p w:rsidR="00EE56C0" w:rsidRPr="00212B58" w:rsidRDefault="00EE56C0" w:rsidP="00212B58">
            <w:pPr>
              <w:pStyle w:val="afa"/>
            </w:pPr>
          </w:p>
        </w:tc>
        <w:tc>
          <w:tcPr>
            <w:tcW w:w="835" w:type="pct"/>
            <w:gridSpan w:val="3"/>
            <w:vAlign w:val="center"/>
          </w:tcPr>
          <w:p w:rsidR="00EE56C0" w:rsidRPr="00212B58" w:rsidRDefault="000F36A1" w:rsidP="00212B58">
            <w:pPr>
              <w:pStyle w:val="afa"/>
            </w:pPr>
            <w:r w:rsidRPr="00212B58">
              <w:t>检验</w:t>
            </w:r>
          </w:p>
        </w:tc>
        <w:tc>
          <w:tcPr>
            <w:tcW w:w="668" w:type="pct"/>
            <w:vAlign w:val="center"/>
          </w:tcPr>
          <w:p w:rsidR="00EE56C0" w:rsidRPr="00212B58" w:rsidRDefault="000F36A1" w:rsidP="00212B58">
            <w:pPr>
              <w:pStyle w:val="afa"/>
            </w:pPr>
            <w:r w:rsidRPr="00212B58">
              <w:t>残次品</w:t>
            </w:r>
          </w:p>
        </w:tc>
        <w:tc>
          <w:tcPr>
            <w:tcW w:w="2973" w:type="pct"/>
            <w:gridSpan w:val="6"/>
            <w:vMerge/>
            <w:vAlign w:val="center"/>
          </w:tcPr>
          <w:p w:rsidR="00EE56C0" w:rsidRPr="00212B58" w:rsidRDefault="00EE56C0" w:rsidP="00212B58">
            <w:pPr>
              <w:pStyle w:val="afa"/>
              <w:rPr>
                <w:kern w:val="36"/>
              </w:rPr>
            </w:pPr>
          </w:p>
        </w:tc>
      </w:tr>
      <w:tr w:rsidR="00EE56C0" w:rsidRPr="00212B58">
        <w:trPr>
          <w:trHeight w:val="397"/>
          <w:jc w:val="center"/>
        </w:trPr>
        <w:tc>
          <w:tcPr>
            <w:tcW w:w="274" w:type="pct"/>
            <w:vMerge/>
            <w:vAlign w:val="center"/>
          </w:tcPr>
          <w:p w:rsidR="00EE56C0" w:rsidRPr="00212B58" w:rsidRDefault="00EE56C0" w:rsidP="00212B58">
            <w:pPr>
              <w:pStyle w:val="afa"/>
            </w:pPr>
          </w:p>
        </w:tc>
        <w:tc>
          <w:tcPr>
            <w:tcW w:w="250" w:type="pct"/>
            <w:vMerge w:val="restart"/>
            <w:vAlign w:val="center"/>
          </w:tcPr>
          <w:p w:rsidR="00EE56C0" w:rsidRPr="00212B58" w:rsidRDefault="000F36A1" w:rsidP="00212B58">
            <w:pPr>
              <w:pStyle w:val="afa"/>
            </w:pPr>
            <w:r w:rsidRPr="00212B58">
              <w:t>危险废物</w:t>
            </w:r>
          </w:p>
        </w:tc>
        <w:tc>
          <w:tcPr>
            <w:tcW w:w="835" w:type="pct"/>
            <w:gridSpan w:val="3"/>
            <w:vMerge w:val="restart"/>
            <w:vAlign w:val="center"/>
          </w:tcPr>
          <w:p w:rsidR="00EE56C0" w:rsidRPr="00212B58" w:rsidRDefault="000F36A1" w:rsidP="00212B58">
            <w:pPr>
              <w:pStyle w:val="afa"/>
            </w:pPr>
            <w:r w:rsidRPr="00212B58">
              <w:t>拉丝</w:t>
            </w:r>
          </w:p>
        </w:tc>
        <w:tc>
          <w:tcPr>
            <w:tcW w:w="668" w:type="pct"/>
            <w:vAlign w:val="center"/>
          </w:tcPr>
          <w:p w:rsidR="00EE56C0" w:rsidRPr="00212B58" w:rsidRDefault="000F36A1" w:rsidP="00212B58">
            <w:pPr>
              <w:pStyle w:val="afa"/>
            </w:pPr>
            <w:r w:rsidRPr="00212B58">
              <w:t>含铜废油泥</w:t>
            </w:r>
          </w:p>
        </w:tc>
        <w:tc>
          <w:tcPr>
            <w:tcW w:w="2973" w:type="pct"/>
            <w:gridSpan w:val="6"/>
            <w:vMerge w:val="restart"/>
            <w:vAlign w:val="center"/>
          </w:tcPr>
          <w:p w:rsidR="00EE56C0" w:rsidRPr="00212B58" w:rsidRDefault="000F36A1" w:rsidP="00212B58">
            <w:pPr>
              <w:pStyle w:val="afa"/>
            </w:pPr>
            <w:r w:rsidRPr="00212B58">
              <w:t>密闭容器</w:t>
            </w:r>
            <w:r w:rsidRPr="00212B58">
              <w:rPr>
                <w:rFonts w:hint="eastAsia"/>
              </w:rPr>
              <w:t>/</w:t>
            </w:r>
            <w:r w:rsidRPr="00212B58">
              <w:rPr>
                <w:rFonts w:hint="eastAsia"/>
              </w:rPr>
              <w:t>托盘</w:t>
            </w:r>
            <w:r w:rsidRPr="00212B58">
              <w:t>收集、危废暂存间暂存后交由有资质单位处置</w:t>
            </w:r>
            <w:r w:rsidRPr="00212B58">
              <w:rPr>
                <w:rFonts w:hint="eastAsia"/>
              </w:rPr>
              <w:t>；危废间废气经收集后引入废气治理措施处理后排放</w:t>
            </w:r>
          </w:p>
        </w:tc>
      </w:tr>
      <w:tr w:rsidR="00EE56C0" w:rsidRPr="00212B58">
        <w:trPr>
          <w:trHeight w:val="397"/>
          <w:jc w:val="center"/>
        </w:trPr>
        <w:tc>
          <w:tcPr>
            <w:tcW w:w="274" w:type="pct"/>
            <w:vMerge/>
            <w:vAlign w:val="center"/>
          </w:tcPr>
          <w:p w:rsidR="00EE56C0" w:rsidRPr="00212B58" w:rsidRDefault="00EE56C0" w:rsidP="00212B58">
            <w:pPr>
              <w:pStyle w:val="afa"/>
            </w:pPr>
          </w:p>
        </w:tc>
        <w:tc>
          <w:tcPr>
            <w:tcW w:w="250" w:type="pct"/>
            <w:vMerge/>
            <w:vAlign w:val="center"/>
          </w:tcPr>
          <w:p w:rsidR="00EE56C0" w:rsidRPr="00212B58" w:rsidRDefault="00EE56C0" w:rsidP="00212B58">
            <w:pPr>
              <w:pStyle w:val="afa"/>
            </w:pPr>
          </w:p>
        </w:tc>
        <w:tc>
          <w:tcPr>
            <w:tcW w:w="835" w:type="pct"/>
            <w:gridSpan w:val="3"/>
            <w:vMerge/>
            <w:vAlign w:val="center"/>
          </w:tcPr>
          <w:p w:rsidR="00EE56C0" w:rsidRPr="00212B58" w:rsidRDefault="00EE56C0" w:rsidP="00212B58">
            <w:pPr>
              <w:pStyle w:val="afa"/>
            </w:pPr>
          </w:p>
        </w:tc>
        <w:tc>
          <w:tcPr>
            <w:tcW w:w="668" w:type="pct"/>
            <w:vAlign w:val="center"/>
          </w:tcPr>
          <w:p w:rsidR="00EE56C0" w:rsidRPr="00212B58" w:rsidRDefault="000F36A1" w:rsidP="00212B58">
            <w:pPr>
              <w:pStyle w:val="afa"/>
            </w:pPr>
            <w:r w:rsidRPr="00212B58">
              <w:rPr>
                <w:rFonts w:hint="eastAsia"/>
              </w:rPr>
              <w:t>废拉丝液</w:t>
            </w:r>
          </w:p>
        </w:tc>
        <w:tc>
          <w:tcPr>
            <w:tcW w:w="2973" w:type="pct"/>
            <w:gridSpan w:val="6"/>
            <w:vMerge/>
            <w:vAlign w:val="center"/>
          </w:tcPr>
          <w:p w:rsidR="00EE56C0" w:rsidRPr="00212B58" w:rsidRDefault="00EE56C0" w:rsidP="00212B58">
            <w:pPr>
              <w:pStyle w:val="afa"/>
            </w:pPr>
          </w:p>
        </w:tc>
      </w:tr>
      <w:tr w:rsidR="00EE56C0" w:rsidRPr="00212B58">
        <w:trPr>
          <w:trHeight w:val="397"/>
          <w:jc w:val="center"/>
        </w:trPr>
        <w:tc>
          <w:tcPr>
            <w:tcW w:w="274" w:type="pct"/>
            <w:vMerge/>
            <w:vAlign w:val="center"/>
          </w:tcPr>
          <w:p w:rsidR="00EE56C0" w:rsidRPr="00212B58" w:rsidRDefault="00EE56C0" w:rsidP="00212B58">
            <w:pPr>
              <w:pStyle w:val="afa"/>
            </w:pPr>
          </w:p>
        </w:tc>
        <w:tc>
          <w:tcPr>
            <w:tcW w:w="250" w:type="pct"/>
            <w:vMerge/>
            <w:vAlign w:val="center"/>
          </w:tcPr>
          <w:p w:rsidR="00EE56C0" w:rsidRPr="00212B58" w:rsidRDefault="00EE56C0" w:rsidP="00212B58">
            <w:pPr>
              <w:pStyle w:val="afa"/>
            </w:pPr>
          </w:p>
        </w:tc>
        <w:tc>
          <w:tcPr>
            <w:tcW w:w="835" w:type="pct"/>
            <w:gridSpan w:val="3"/>
            <w:vAlign w:val="center"/>
          </w:tcPr>
          <w:p w:rsidR="00EE56C0" w:rsidRPr="00212B58" w:rsidRDefault="000F36A1" w:rsidP="00212B58">
            <w:pPr>
              <w:pStyle w:val="afa"/>
            </w:pPr>
            <w:r w:rsidRPr="00212B58">
              <w:rPr>
                <w:rFonts w:hint="eastAsia"/>
              </w:rPr>
              <w:t>丝包线涂料</w:t>
            </w:r>
            <w:r w:rsidRPr="00212B58">
              <w:t>使用</w:t>
            </w:r>
          </w:p>
        </w:tc>
        <w:tc>
          <w:tcPr>
            <w:tcW w:w="668" w:type="pct"/>
            <w:vAlign w:val="center"/>
          </w:tcPr>
          <w:p w:rsidR="00EE56C0" w:rsidRPr="00212B58" w:rsidRDefault="000F36A1" w:rsidP="00212B58">
            <w:pPr>
              <w:pStyle w:val="afa"/>
            </w:pPr>
            <w:r w:rsidRPr="00212B58">
              <w:rPr>
                <w:rFonts w:hint="eastAsia"/>
              </w:rPr>
              <w:t>丝包线涂料废漆桶</w:t>
            </w:r>
          </w:p>
        </w:tc>
        <w:tc>
          <w:tcPr>
            <w:tcW w:w="2973" w:type="pct"/>
            <w:gridSpan w:val="6"/>
            <w:vMerge/>
            <w:vAlign w:val="center"/>
          </w:tcPr>
          <w:p w:rsidR="00EE56C0" w:rsidRPr="00212B58" w:rsidRDefault="00EE56C0" w:rsidP="00212B58">
            <w:pPr>
              <w:pStyle w:val="afa"/>
            </w:pPr>
          </w:p>
        </w:tc>
      </w:tr>
      <w:tr w:rsidR="00EE56C0" w:rsidRPr="00212B58">
        <w:trPr>
          <w:trHeight w:val="686"/>
          <w:jc w:val="center"/>
        </w:trPr>
        <w:tc>
          <w:tcPr>
            <w:tcW w:w="274" w:type="pct"/>
            <w:vMerge/>
            <w:vAlign w:val="center"/>
          </w:tcPr>
          <w:p w:rsidR="00EE56C0" w:rsidRPr="00212B58" w:rsidRDefault="00EE56C0" w:rsidP="00212B58">
            <w:pPr>
              <w:pStyle w:val="afa"/>
            </w:pPr>
          </w:p>
        </w:tc>
        <w:tc>
          <w:tcPr>
            <w:tcW w:w="250" w:type="pct"/>
            <w:vMerge/>
            <w:vAlign w:val="center"/>
          </w:tcPr>
          <w:p w:rsidR="00EE56C0" w:rsidRPr="00212B58" w:rsidRDefault="00EE56C0" w:rsidP="00212B58">
            <w:pPr>
              <w:pStyle w:val="afa"/>
            </w:pPr>
          </w:p>
        </w:tc>
        <w:tc>
          <w:tcPr>
            <w:tcW w:w="835" w:type="pct"/>
            <w:gridSpan w:val="3"/>
            <w:vAlign w:val="center"/>
          </w:tcPr>
          <w:p w:rsidR="00EE56C0" w:rsidRPr="00212B58" w:rsidRDefault="000F36A1" w:rsidP="00212B58">
            <w:pPr>
              <w:pStyle w:val="afa"/>
            </w:pPr>
            <w:r w:rsidRPr="00212B58">
              <w:rPr>
                <w:rFonts w:hint="eastAsia"/>
              </w:rPr>
              <w:t>生产过程</w:t>
            </w:r>
          </w:p>
        </w:tc>
        <w:tc>
          <w:tcPr>
            <w:tcW w:w="668" w:type="pct"/>
            <w:vAlign w:val="center"/>
          </w:tcPr>
          <w:p w:rsidR="00EE56C0" w:rsidRPr="00212B58" w:rsidRDefault="000F36A1" w:rsidP="00212B58">
            <w:pPr>
              <w:pStyle w:val="afa"/>
            </w:pPr>
            <w:r w:rsidRPr="00212B58">
              <w:rPr>
                <w:rFonts w:hint="eastAsia"/>
              </w:rPr>
              <w:t>含涂料、含油的废毛毡、废布</w:t>
            </w:r>
            <w:r w:rsidRPr="00212B58">
              <w:rPr>
                <w:rFonts w:hint="eastAsia"/>
              </w:rPr>
              <w:t xml:space="preserve"> </w:t>
            </w:r>
          </w:p>
        </w:tc>
        <w:tc>
          <w:tcPr>
            <w:tcW w:w="2973" w:type="pct"/>
            <w:gridSpan w:val="6"/>
            <w:vMerge/>
            <w:vAlign w:val="center"/>
          </w:tcPr>
          <w:p w:rsidR="00EE56C0" w:rsidRPr="00212B58" w:rsidRDefault="00EE56C0" w:rsidP="00212B58">
            <w:pPr>
              <w:pStyle w:val="afa"/>
            </w:pPr>
          </w:p>
        </w:tc>
      </w:tr>
      <w:tr w:rsidR="00EE56C0" w:rsidRPr="00212B58">
        <w:trPr>
          <w:trHeight w:val="397"/>
          <w:jc w:val="center"/>
        </w:trPr>
        <w:tc>
          <w:tcPr>
            <w:tcW w:w="274" w:type="pct"/>
            <w:vMerge/>
            <w:vAlign w:val="center"/>
          </w:tcPr>
          <w:p w:rsidR="00EE56C0" w:rsidRPr="00212B58" w:rsidRDefault="00EE56C0" w:rsidP="00212B58">
            <w:pPr>
              <w:pStyle w:val="afa"/>
            </w:pPr>
          </w:p>
        </w:tc>
        <w:tc>
          <w:tcPr>
            <w:tcW w:w="250" w:type="pct"/>
            <w:vMerge/>
            <w:vAlign w:val="center"/>
          </w:tcPr>
          <w:p w:rsidR="00EE56C0" w:rsidRPr="00212B58" w:rsidRDefault="00EE56C0" w:rsidP="00212B58">
            <w:pPr>
              <w:pStyle w:val="afa"/>
            </w:pPr>
          </w:p>
        </w:tc>
        <w:tc>
          <w:tcPr>
            <w:tcW w:w="835" w:type="pct"/>
            <w:gridSpan w:val="3"/>
            <w:vMerge w:val="restart"/>
            <w:vAlign w:val="center"/>
          </w:tcPr>
          <w:p w:rsidR="00EE56C0" w:rsidRPr="00212B58" w:rsidRDefault="000F36A1" w:rsidP="00212B58">
            <w:pPr>
              <w:pStyle w:val="afa"/>
            </w:pPr>
            <w:r w:rsidRPr="00212B58">
              <w:rPr>
                <w:rFonts w:hint="eastAsia"/>
              </w:rPr>
              <w:t>废气治理</w:t>
            </w:r>
          </w:p>
        </w:tc>
        <w:tc>
          <w:tcPr>
            <w:tcW w:w="668" w:type="pct"/>
            <w:vAlign w:val="center"/>
          </w:tcPr>
          <w:p w:rsidR="00EE56C0" w:rsidRPr="00212B58" w:rsidRDefault="000F36A1" w:rsidP="00212B58">
            <w:pPr>
              <w:pStyle w:val="afa"/>
            </w:pPr>
            <w:r w:rsidRPr="00212B58">
              <w:rPr>
                <w:rFonts w:hint="eastAsia"/>
              </w:rPr>
              <w:t>废油</w:t>
            </w:r>
          </w:p>
        </w:tc>
        <w:tc>
          <w:tcPr>
            <w:tcW w:w="2973" w:type="pct"/>
            <w:gridSpan w:val="6"/>
            <w:vMerge/>
            <w:vAlign w:val="center"/>
          </w:tcPr>
          <w:p w:rsidR="00EE56C0" w:rsidRPr="00212B58" w:rsidRDefault="00EE56C0" w:rsidP="00212B58">
            <w:pPr>
              <w:pStyle w:val="afa"/>
            </w:pPr>
          </w:p>
        </w:tc>
      </w:tr>
      <w:tr w:rsidR="00EE56C0" w:rsidRPr="00212B58">
        <w:trPr>
          <w:trHeight w:val="397"/>
          <w:jc w:val="center"/>
        </w:trPr>
        <w:tc>
          <w:tcPr>
            <w:tcW w:w="274" w:type="pct"/>
            <w:vMerge/>
            <w:vAlign w:val="center"/>
          </w:tcPr>
          <w:p w:rsidR="00EE56C0" w:rsidRPr="00212B58" w:rsidRDefault="00EE56C0" w:rsidP="00212B58">
            <w:pPr>
              <w:pStyle w:val="afa"/>
            </w:pPr>
          </w:p>
        </w:tc>
        <w:tc>
          <w:tcPr>
            <w:tcW w:w="250" w:type="pct"/>
            <w:vMerge/>
            <w:vAlign w:val="center"/>
          </w:tcPr>
          <w:p w:rsidR="00EE56C0" w:rsidRPr="00212B58" w:rsidRDefault="00EE56C0" w:rsidP="00212B58">
            <w:pPr>
              <w:pStyle w:val="afa"/>
            </w:pPr>
          </w:p>
        </w:tc>
        <w:tc>
          <w:tcPr>
            <w:tcW w:w="835" w:type="pct"/>
            <w:gridSpan w:val="3"/>
            <w:vMerge/>
            <w:vAlign w:val="center"/>
          </w:tcPr>
          <w:p w:rsidR="00EE56C0" w:rsidRPr="00212B58" w:rsidRDefault="00EE56C0" w:rsidP="00212B58">
            <w:pPr>
              <w:pStyle w:val="afa"/>
            </w:pPr>
          </w:p>
        </w:tc>
        <w:tc>
          <w:tcPr>
            <w:tcW w:w="668" w:type="pct"/>
            <w:vAlign w:val="center"/>
          </w:tcPr>
          <w:p w:rsidR="00EE56C0" w:rsidRPr="00212B58" w:rsidRDefault="000F36A1" w:rsidP="00212B58">
            <w:pPr>
              <w:pStyle w:val="afa"/>
            </w:pPr>
            <w:r w:rsidRPr="00212B58">
              <w:rPr>
                <w:rFonts w:hint="eastAsia"/>
              </w:rPr>
              <w:t>废活性炭</w:t>
            </w:r>
          </w:p>
        </w:tc>
        <w:tc>
          <w:tcPr>
            <w:tcW w:w="2973" w:type="pct"/>
            <w:gridSpan w:val="6"/>
            <w:vMerge/>
            <w:vAlign w:val="center"/>
          </w:tcPr>
          <w:p w:rsidR="00EE56C0" w:rsidRPr="00212B58" w:rsidRDefault="00EE56C0" w:rsidP="00212B58">
            <w:pPr>
              <w:pStyle w:val="afa"/>
            </w:pPr>
          </w:p>
        </w:tc>
      </w:tr>
      <w:tr w:rsidR="00EE56C0" w:rsidRPr="00212B58">
        <w:trPr>
          <w:trHeight w:val="397"/>
          <w:jc w:val="center"/>
        </w:trPr>
        <w:tc>
          <w:tcPr>
            <w:tcW w:w="274" w:type="pct"/>
            <w:vMerge/>
            <w:vAlign w:val="center"/>
          </w:tcPr>
          <w:p w:rsidR="00EE56C0" w:rsidRPr="00212B58" w:rsidRDefault="00EE56C0" w:rsidP="00212B58">
            <w:pPr>
              <w:pStyle w:val="afa"/>
            </w:pPr>
          </w:p>
        </w:tc>
        <w:tc>
          <w:tcPr>
            <w:tcW w:w="250" w:type="pct"/>
            <w:vMerge/>
            <w:vAlign w:val="center"/>
          </w:tcPr>
          <w:p w:rsidR="00EE56C0" w:rsidRPr="00212B58" w:rsidRDefault="00EE56C0" w:rsidP="00212B58">
            <w:pPr>
              <w:pStyle w:val="afa"/>
            </w:pPr>
          </w:p>
        </w:tc>
        <w:tc>
          <w:tcPr>
            <w:tcW w:w="835" w:type="pct"/>
            <w:gridSpan w:val="3"/>
            <w:vMerge/>
            <w:vAlign w:val="center"/>
          </w:tcPr>
          <w:p w:rsidR="00EE56C0" w:rsidRPr="00212B58" w:rsidRDefault="00EE56C0" w:rsidP="00212B58">
            <w:pPr>
              <w:pStyle w:val="afa"/>
            </w:pPr>
          </w:p>
        </w:tc>
        <w:tc>
          <w:tcPr>
            <w:tcW w:w="668" w:type="pct"/>
            <w:vAlign w:val="center"/>
          </w:tcPr>
          <w:p w:rsidR="00EE56C0" w:rsidRPr="00212B58" w:rsidRDefault="000F36A1" w:rsidP="00212B58">
            <w:pPr>
              <w:pStyle w:val="afa"/>
            </w:pPr>
            <w:r w:rsidRPr="00212B58">
              <w:t>废催化剂</w:t>
            </w:r>
          </w:p>
        </w:tc>
        <w:tc>
          <w:tcPr>
            <w:tcW w:w="2973" w:type="pct"/>
            <w:gridSpan w:val="6"/>
            <w:vMerge/>
            <w:vAlign w:val="center"/>
          </w:tcPr>
          <w:p w:rsidR="00EE56C0" w:rsidRPr="00212B58" w:rsidRDefault="00EE56C0" w:rsidP="00212B58">
            <w:pPr>
              <w:pStyle w:val="afa"/>
            </w:pPr>
          </w:p>
        </w:tc>
      </w:tr>
      <w:tr w:rsidR="00EE56C0" w:rsidRPr="00212B58">
        <w:trPr>
          <w:trHeight w:val="397"/>
          <w:jc w:val="center"/>
        </w:trPr>
        <w:tc>
          <w:tcPr>
            <w:tcW w:w="274" w:type="pct"/>
            <w:vMerge/>
            <w:vAlign w:val="center"/>
          </w:tcPr>
          <w:p w:rsidR="00EE56C0" w:rsidRPr="00212B58" w:rsidRDefault="00EE56C0" w:rsidP="00212B58">
            <w:pPr>
              <w:pStyle w:val="afa"/>
            </w:pPr>
          </w:p>
        </w:tc>
        <w:tc>
          <w:tcPr>
            <w:tcW w:w="250" w:type="pct"/>
            <w:vMerge/>
            <w:vAlign w:val="center"/>
          </w:tcPr>
          <w:p w:rsidR="00EE56C0" w:rsidRPr="00212B58" w:rsidRDefault="00EE56C0" w:rsidP="00212B58">
            <w:pPr>
              <w:pStyle w:val="afa"/>
            </w:pPr>
          </w:p>
        </w:tc>
        <w:tc>
          <w:tcPr>
            <w:tcW w:w="835" w:type="pct"/>
            <w:gridSpan w:val="3"/>
            <w:vMerge/>
            <w:vAlign w:val="center"/>
          </w:tcPr>
          <w:p w:rsidR="00EE56C0" w:rsidRPr="00212B58" w:rsidRDefault="00EE56C0" w:rsidP="00212B58">
            <w:pPr>
              <w:pStyle w:val="afa"/>
            </w:pPr>
          </w:p>
        </w:tc>
        <w:tc>
          <w:tcPr>
            <w:tcW w:w="668" w:type="pct"/>
            <w:vAlign w:val="center"/>
          </w:tcPr>
          <w:p w:rsidR="00EE56C0" w:rsidRPr="00212B58" w:rsidRDefault="000F36A1" w:rsidP="00212B58">
            <w:pPr>
              <w:pStyle w:val="afa"/>
            </w:pPr>
            <w:r w:rsidRPr="00212B58">
              <w:rPr>
                <w:rFonts w:hint="eastAsia"/>
              </w:rPr>
              <w:t>废沸石分子筛</w:t>
            </w:r>
          </w:p>
        </w:tc>
        <w:tc>
          <w:tcPr>
            <w:tcW w:w="2973" w:type="pct"/>
            <w:gridSpan w:val="6"/>
            <w:vMerge/>
            <w:vAlign w:val="center"/>
          </w:tcPr>
          <w:p w:rsidR="00EE56C0" w:rsidRPr="00212B58" w:rsidRDefault="00EE56C0" w:rsidP="00212B58">
            <w:pPr>
              <w:pStyle w:val="afa"/>
            </w:pPr>
          </w:p>
        </w:tc>
      </w:tr>
      <w:tr w:rsidR="00EE56C0" w:rsidRPr="00212B58">
        <w:trPr>
          <w:trHeight w:val="397"/>
          <w:jc w:val="center"/>
        </w:trPr>
        <w:tc>
          <w:tcPr>
            <w:tcW w:w="274" w:type="pct"/>
            <w:vAlign w:val="center"/>
          </w:tcPr>
          <w:p w:rsidR="00EE56C0" w:rsidRPr="00212B58" w:rsidRDefault="000F36A1" w:rsidP="00212B58">
            <w:pPr>
              <w:pStyle w:val="afa"/>
            </w:pPr>
            <w:r w:rsidRPr="00212B58">
              <w:t>噪声</w:t>
            </w:r>
          </w:p>
        </w:tc>
        <w:tc>
          <w:tcPr>
            <w:tcW w:w="1085" w:type="pct"/>
            <w:gridSpan w:val="4"/>
            <w:vAlign w:val="center"/>
          </w:tcPr>
          <w:p w:rsidR="00EE56C0" w:rsidRPr="00212B58" w:rsidRDefault="000F36A1" w:rsidP="00212B58">
            <w:pPr>
              <w:pStyle w:val="afa"/>
            </w:pPr>
            <w:r w:rsidRPr="00212B58">
              <w:rPr>
                <w:rFonts w:hint="eastAsia"/>
              </w:rPr>
              <w:t>漆包机、全自动拉丝机</w:t>
            </w:r>
            <w:r w:rsidRPr="00212B58">
              <w:t>、</w:t>
            </w:r>
            <w:r w:rsidRPr="00212B58">
              <w:rPr>
                <w:rFonts w:hint="eastAsia"/>
              </w:rPr>
              <w:t>拉拔机、挤压机、纸包机、膜</w:t>
            </w:r>
            <w:r w:rsidRPr="00212B58">
              <w:rPr>
                <w:rFonts w:hint="eastAsia"/>
              </w:rPr>
              <w:lastRenderedPageBreak/>
              <w:t>包机、丝包机、全自动小拉机</w:t>
            </w:r>
            <w:r w:rsidRPr="00212B58">
              <w:t>等</w:t>
            </w:r>
          </w:p>
        </w:tc>
        <w:tc>
          <w:tcPr>
            <w:tcW w:w="668" w:type="pct"/>
            <w:vAlign w:val="center"/>
          </w:tcPr>
          <w:p w:rsidR="00EE56C0" w:rsidRPr="00212B58" w:rsidRDefault="000F36A1" w:rsidP="00212B58">
            <w:pPr>
              <w:pStyle w:val="afa"/>
            </w:pPr>
            <w:r w:rsidRPr="00212B58">
              <w:lastRenderedPageBreak/>
              <w:t>设备噪声</w:t>
            </w:r>
          </w:p>
        </w:tc>
        <w:tc>
          <w:tcPr>
            <w:tcW w:w="1456" w:type="pct"/>
            <w:gridSpan w:val="3"/>
            <w:vAlign w:val="center"/>
          </w:tcPr>
          <w:p w:rsidR="00EE56C0" w:rsidRPr="00212B58" w:rsidRDefault="000F36A1" w:rsidP="00212B58">
            <w:pPr>
              <w:pStyle w:val="afa"/>
            </w:pPr>
            <w:r w:rsidRPr="00212B58">
              <w:t>减振、密闭隔音等</w:t>
            </w:r>
          </w:p>
        </w:tc>
        <w:tc>
          <w:tcPr>
            <w:tcW w:w="1517" w:type="pct"/>
            <w:gridSpan w:val="3"/>
            <w:vAlign w:val="center"/>
          </w:tcPr>
          <w:p w:rsidR="00EE56C0" w:rsidRPr="00212B58" w:rsidRDefault="000F36A1" w:rsidP="00212B58">
            <w:pPr>
              <w:pStyle w:val="afa"/>
            </w:pPr>
            <w:r w:rsidRPr="00212B58">
              <w:t>减振、密闭隔音等</w:t>
            </w:r>
          </w:p>
        </w:tc>
      </w:tr>
    </w:tbl>
    <w:p w:rsidR="00EE56C0" w:rsidRDefault="000F36A1">
      <w:pPr>
        <w:pStyle w:val="2"/>
        <w:ind w:firstLine="301"/>
      </w:pPr>
      <w:r>
        <w:rPr>
          <w:rFonts w:hint="eastAsia"/>
        </w:rPr>
        <w:lastRenderedPageBreak/>
        <w:t>3.5</w:t>
      </w:r>
      <w:r>
        <w:rPr>
          <w:rFonts w:hint="eastAsia"/>
        </w:rPr>
        <w:t>物料平衡</w:t>
      </w:r>
    </w:p>
    <w:p w:rsidR="00EE56C0" w:rsidRDefault="000F36A1">
      <w:pPr>
        <w:pStyle w:val="3"/>
        <w:spacing w:before="240" w:after="120"/>
      </w:pPr>
      <w:r>
        <w:rPr>
          <w:rFonts w:hint="eastAsia"/>
        </w:rPr>
        <w:t>3.5.1</w:t>
      </w:r>
      <w:r>
        <w:rPr>
          <w:rFonts w:hint="eastAsia"/>
        </w:rPr>
        <w:t>拉丝油平衡</w:t>
      </w:r>
    </w:p>
    <w:p w:rsidR="00EE56C0" w:rsidRDefault="000F36A1">
      <w:pPr>
        <w:ind w:firstLine="480"/>
      </w:pPr>
      <w:r>
        <w:rPr>
          <w:rFonts w:hint="eastAsia"/>
        </w:rPr>
        <w:t>项目一期建成后，现有工程的拉丝液进入油水分离器进行减量化处置，现有工程、一期、二期拉丝油平衡见图</w:t>
      </w:r>
      <w:r>
        <w:rPr>
          <w:rFonts w:hint="eastAsia"/>
        </w:rPr>
        <w:t>3-6~3-9</w:t>
      </w:r>
      <w:r>
        <w:rPr>
          <w:rFonts w:hint="eastAsia"/>
        </w:rPr>
        <w:t>。</w:t>
      </w:r>
    </w:p>
    <w:p w:rsidR="00EE56C0" w:rsidRDefault="000F36A1">
      <w:pPr>
        <w:pStyle w:val="3"/>
        <w:spacing w:before="240" w:after="120"/>
      </w:pPr>
      <w:r>
        <w:rPr>
          <w:rFonts w:hint="eastAsia"/>
        </w:rPr>
        <w:t>3.5.2</w:t>
      </w:r>
      <w:r>
        <w:rPr>
          <w:rFonts w:hint="eastAsia"/>
        </w:rPr>
        <w:t>漆料平衡</w:t>
      </w:r>
    </w:p>
    <w:p w:rsidR="00EE56C0" w:rsidRDefault="000F36A1">
      <w:pPr>
        <w:ind w:firstLine="480"/>
        <w:sectPr w:rsidR="00EE56C0">
          <w:type w:val="continuous"/>
          <w:pgSz w:w="11906" w:h="16838"/>
          <w:pgMar w:top="1440" w:right="1797" w:bottom="1440" w:left="1797" w:header="851" w:footer="992" w:gutter="0"/>
          <w:cols w:space="720"/>
          <w:docGrid w:linePitch="312"/>
        </w:sectPr>
      </w:pPr>
      <w:r>
        <w:rPr>
          <w:rFonts w:hint="eastAsia"/>
        </w:rPr>
        <w:t>一期、二期漆料平衡见图</w:t>
      </w:r>
      <w:r>
        <w:t>3</w:t>
      </w:r>
      <w:r>
        <w:rPr>
          <w:rFonts w:hint="eastAsia"/>
        </w:rPr>
        <w:t>-11~3-12</w:t>
      </w:r>
      <w:r>
        <w:rPr>
          <w:rFonts w:hint="eastAsia"/>
        </w:rPr>
        <w:t>。</w:t>
      </w:r>
      <w:r w:rsidR="007C60D2">
        <w:rPr>
          <w:rFonts w:hint="eastAsia"/>
        </w:rPr>
        <w:t xml:space="preserve"> </w:t>
      </w:r>
    </w:p>
    <w:bookmarkEnd w:id="192"/>
    <w:p w:rsidR="00EE56C0" w:rsidRDefault="00EE56C0">
      <w:pPr>
        <w:spacing w:line="360" w:lineRule="auto"/>
        <w:ind w:firstLine="480"/>
      </w:pPr>
      <w:r>
        <w:object w:dxaOrig="15947" w:dyaOrig="4041">
          <v:shape id="_x0000_i1026" type="#_x0000_t75" style="width:662.4pt;height:168.5pt" o:ole="">
            <v:imagedata r:id="rId43" o:title=""/>
          </v:shape>
          <o:OLEObject Type="Embed" ProgID="Visio.Drawing.11" ShapeID="_x0000_i1026" DrawAspect="Content" ObjectID="_1705848354" r:id="rId44"/>
        </w:object>
      </w:r>
    </w:p>
    <w:p w:rsidR="00EE56C0" w:rsidRDefault="000F36A1">
      <w:pPr>
        <w:pStyle w:val="aff8"/>
        <w:rPr>
          <w:u w:val="single"/>
        </w:rPr>
      </w:pPr>
      <w:r>
        <w:rPr>
          <w:rFonts w:hint="eastAsia"/>
          <w:szCs w:val="24"/>
          <w:u w:val="single"/>
        </w:rPr>
        <w:t>图</w:t>
      </w:r>
      <w:r>
        <w:rPr>
          <w:szCs w:val="24"/>
          <w:u w:val="single"/>
        </w:rPr>
        <w:t>3-</w:t>
      </w:r>
      <w:r>
        <w:rPr>
          <w:rFonts w:hint="eastAsia"/>
          <w:szCs w:val="24"/>
          <w:u w:val="single"/>
        </w:rPr>
        <w:t xml:space="preserve">6          </w:t>
      </w:r>
      <w:r>
        <w:rPr>
          <w:rFonts w:hint="eastAsia"/>
          <w:szCs w:val="24"/>
          <w:u w:val="single"/>
        </w:rPr>
        <w:t>现有工程</w:t>
      </w:r>
      <w:r>
        <w:rPr>
          <w:rFonts w:hint="eastAsia"/>
          <w:u w:val="single"/>
        </w:rPr>
        <w:t>拉丝油平衡图</w:t>
      </w:r>
      <w:r>
        <w:rPr>
          <w:rFonts w:hint="eastAsia"/>
          <w:u w:val="single"/>
        </w:rPr>
        <w:t xml:space="preserve">       </w:t>
      </w:r>
      <w:r>
        <w:rPr>
          <w:rFonts w:hint="eastAsia"/>
          <w:u w:val="single"/>
        </w:rPr>
        <w:t>单位：</w:t>
      </w:r>
      <w:r>
        <w:rPr>
          <w:u w:val="single"/>
        </w:rPr>
        <w:t>t/</w:t>
      </w:r>
      <w:r>
        <w:rPr>
          <w:rFonts w:hint="eastAsia"/>
          <w:u w:val="single"/>
        </w:rPr>
        <w:t>a</w:t>
      </w:r>
    </w:p>
    <w:p w:rsidR="00EE56C0" w:rsidRDefault="00EE56C0">
      <w:pPr>
        <w:spacing w:line="360" w:lineRule="auto"/>
        <w:ind w:firstLine="480"/>
      </w:pPr>
      <w:r>
        <w:object w:dxaOrig="16110" w:dyaOrig="4041">
          <v:shape id="_x0000_i1027" type="#_x0000_t75" style="width:658.1pt;height:164.15pt" o:ole="">
            <v:imagedata r:id="rId45" o:title=""/>
          </v:shape>
          <o:OLEObject Type="Embed" ProgID="Visio.Drawing.11" ShapeID="_x0000_i1027" DrawAspect="Content" ObjectID="_1705848355" r:id="rId46"/>
        </w:object>
      </w:r>
    </w:p>
    <w:p w:rsidR="00EE56C0" w:rsidRDefault="00EE56C0">
      <w:pPr>
        <w:spacing w:line="360" w:lineRule="auto"/>
        <w:ind w:firstLine="480"/>
      </w:pPr>
    </w:p>
    <w:p w:rsidR="00EE56C0" w:rsidRDefault="000F36A1">
      <w:pPr>
        <w:pStyle w:val="aff8"/>
        <w:rPr>
          <w:u w:val="single"/>
        </w:rPr>
      </w:pPr>
      <w:r>
        <w:rPr>
          <w:rFonts w:hint="eastAsia"/>
          <w:szCs w:val="24"/>
          <w:u w:val="single"/>
        </w:rPr>
        <w:t>图</w:t>
      </w:r>
      <w:r>
        <w:rPr>
          <w:szCs w:val="24"/>
          <w:u w:val="single"/>
        </w:rPr>
        <w:t>3-</w:t>
      </w:r>
      <w:r>
        <w:rPr>
          <w:rFonts w:hint="eastAsia"/>
          <w:szCs w:val="24"/>
          <w:u w:val="single"/>
        </w:rPr>
        <w:t xml:space="preserve">7          </w:t>
      </w:r>
      <w:r>
        <w:rPr>
          <w:rFonts w:hint="eastAsia"/>
          <w:szCs w:val="24"/>
          <w:u w:val="single"/>
        </w:rPr>
        <w:t>一期</w:t>
      </w:r>
      <w:r>
        <w:rPr>
          <w:rFonts w:hint="eastAsia"/>
          <w:u w:val="single"/>
        </w:rPr>
        <w:t>拉丝油平衡图</w:t>
      </w:r>
      <w:r>
        <w:rPr>
          <w:rFonts w:hint="eastAsia"/>
          <w:u w:val="single"/>
        </w:rPr>
        <w:t xml:space="preserve">       </w:t>
      </w:r>
      <w:r>
        <w:rPr>
          <w:rFonts w:hint="eastAsia"/>
          <w:u w:val="single"/>
        </w:rPr>
        <w:t>单位：</w:t>
      </w:r>
      <w:r>
        <w:rPr>
          <w:u w:val="single"/>
        </w:rPr>
        <w:t>t/</w:t>
      </w:r>
      <w:r>
        <w:rPr>
          <w:rFonts w:hint="eastAsia"/>
          <w:u w:val="single"/>
        </w:rPr>
        <w:t>a</w:t>
      </w:r>
    </w:p>
    <w:p w:rsidR="00EE56C0" w:rsidRDefault="00EE56C0">
      <w:pPr>
        <w:spacing w:line="360" w:lineRule="auto"/>
        <w:ind w:firstLine="480"/>
      </w:pPr>
      <w:r>
        <w:object w:dxaOrig="15947" w:dyaOrig="4041">
          <v:shape id="_x0000_i1028" type="#_x0000_t75" style="width:655.2pt;height:164.15pt" o:ole="">
            <v:imagedata r:id="rId47" o:title=""/>
          </v:shape>
          <o:OLEObject Type="Embed" ProgID="Visio.Drawing.11" ShapeID="_x0000_i1028" DrawAspect="Content" ObjectID="_1705848356" r:id="rId48"/>
        </w:object>
      </w:r>
    </w:p>
    <w:p w:rsidR="00EE56C0" w:rsidRDefault="000F36A1">
      <w:pPr>
        <w:pStyle w:val="aff8"/>
        <w:rPr>
          <w:u w:val="single"/>
        </w:rPr>
      </w:pPr>
      <w:r>
        <w:rPr>
          <w:rFonts w:hint="eastAsia"/>
          <w:szCs w:val="24"/>
          <w:u w:val="single"/>
        </w:rPr>
        <w:t>图</w:t>
      </w:r>
      <w:r>
        <w:rPr>
          <w:szCs w:val="24"/>
          <w:u w:val="single"/>
        </w:rPr>
        <w:t>3-</w:t>
      </w:r>
      <w:r>
        <w:rPr>
          <w:rFonts w:hint="eastAsia"/>
          <w:szCs w:val="24"/>
          <w:u w:val="single"/>
        </w:rPr>
        <w:t xml:space="preserve">8          </w:t>
      </w:r>
      <w:r>
        <w:rPr>
          <w:rFonts w:hint="eastAsia"/>
          <w:szCs w:val="24"/>
          <w:u w:val="single"/>
        </w:rPr>
        <w:t>二期</w:t>
      </w:r>
      <w:r>
        <w:rPr>
          <w:rFonts w:hint="eastAsia"/>
          <w:u w:val="single"/>
        </w:rPr>
        <w:t>拉丝油平衡图</w:t>
      </w:r>
      <w:r>
        <w:rPr>
          <w:rFonts w:hint="eastAsia"/>
          <w:u w:val="single"/>
        </w:rPr>
        <w:t xml:space="preserve">       </w:t>
      </w:r>
      <w:r>
        <w:rPr>
          <w:rFonts w:hint="eastAsia"/>
          <w:u w:val="single"/>
        </w:rPr>
        <w:t>单位：</w:t>
      </w:r>
      <w:r>
        <w:rPr>
          <w:u w:val="single"/>
        </w:rPr>
        <w:t>t/</w:t>
      </w:r>
      <w:r>
        <w:rPr>
          <w:rFonts w:hint="eastAsia"/>
          <w:u w:val="single"/>
        </w:rPr>
        <w:t>a</w:t>
      </w:r>
    </w:p>
    <w:p w:rsidR="00EE56C0" w:rsidRDefault="00EE56C0">
      <w:pPr>
        <w:spacing w:line="360" w:lineRule="auto"/>
        <w:ind w:firstLine="480"/>
      </w:pPr>
    </w:p>
    <w:p w:rsidR="00EE56C0" w:rsidRDefault="00EE56C0">
      <w:pPr>
        <w:spacing w:line="360" w:lineRule="auto"/>
        <w:ind w:firstLine="480"/>
      </w:pPr>
      <w:r>
        <w:object w:dxaOrig="15947" w:dyaOrig="4041">
          <v:shape id="_x0000_i1029" type="#_x0000_t75" style="width:637.9pt;height:161.3pt" o:ole="">
            <v:imagedata r:id="rId49" o:title=""/>
          </v:shape>
          <o:OLEObject Type="Embed" ProgID="Visio.Drawing.11" ShapeID="_x0000_i1029" DrawAspect="Content" ObjectID="_1705848357" r:id="rId50"/>
        </w:object>
      </w:r>
    </w:p>
    <w:p w:rsidR="00EE56C0" w:rsidRDefault="00EE56C0">
      <w:pPr>
        <w:spacing w:line="360" w:lineRule="auto"/>
        <w:ind w:firstLine="480"/>
      </w:pPr>
    </w:p>
    <w:p w:rsidR="00EE56C0" w:rsidRDefault="000F36A1">
      <w:pPr>
        <w:pStyle w:val="aff8"/>
        <w:rPr>
          <w:u w:val="single"/>
        </w:rPr>
      </w:pPr>
      <w:r>
        <w:rPr>
          <w:rFonts w:hint="eastAsia"/>
          <w:szCs w:val="24"/>
          <w:u w:val="single"/>
        </w:rPr>
        <w:t>图</w:t>
      </w:r>
      <w:r>
        <w:rPr>
          <w:szCs w:val="24"/>
          <w:u w:val="single"/>
        </w:rPr>
        <w:t>3</w:t>
      </w:r>
      <w:r>
        <w:rPr>
          <w:rFonts w:hint="eastAsia"/>
          <w:szCs w:val="24"/>
          <w:u w:val="single"/>
        </w:rPr>
        <w:t xml:space="preserve">-9          </w:t>
      </w:r>
      <w:r>
        <w:rPr>
          <w:rFonts w:hint="eastAsia"/>
          <w:szCs w:val="24"/>
          <w:u w:val="single"/>
        </w:rPr>
        <w:t>现有、一期、二期合计</w:t>
      </w:r>
      <w:r>
        <w:rPr>
          <w:rFonts w:hint="eastAsia"/>
          <w:u w:val="single"/>
        </w:rPr>
        <w:t>拉丝油平衡图</w:t>
      </w:r>
      <w:r>
        <w:rPr>
          <w:rFonts w:hint="eastAsia"/>
          <w:u w:val="single"/>
        </w:rPr>
        <w:t xml:space="preserve">       </w:t>
      </w:r>
      <w:r>
        <w:rPr>
          <w:rFonts w:hint="eastAsia"/>
          <w:u w:val="single"/>
        </w:rPr>
        <w:t>单位：</w:t>
      </w:r>
      <w:r>
        <w:rPr>
          <w:u w:val="single"/>
        </w:rPr>
        <w:t>t/</w:t>
      </w:r>
      <w:r>
        <w:rPr>
          <w:rFonts w:hint="eastAsia"/>
          <w:u w:val="single"/>
        </w:rPr>
        <w:t>a</w:t>
      </w:r>
    </w:p>
    <w:p w:rsidR="00EE56C0" w:rsidRDefault="00C64F55">
      <w:pPr>
        <w:pStyle w:val="aff8"/>
      </w:pPr>
      <w:r>
        <w:object w:dxaOrig="19453" w:dyaOrig="11091">
          <v:shape id="_x0000_i1030" type="#_x0000_t75" style="width:676.8pt;height:383.05pt" o:ole="">
            <v:imagedata r:id="rId51" o:title=""/>
          </v:shape>
          <o:OLEObject Type="Embed" ProgID="Visio.Drawing.11" ShapeID="_x0000_i1030" DrawAspect="Content" ObjectID="_1705848358" r:id="rId52"/>
        </w:object>
      </w:r>
    </w:p>
    <w:p w:rsidR="00C64F55" w:rsidRDefault="00C64F55" w:rsidP="00C64F55">
      <w:pPr>
        <w:pStyle w:val="aff8"/>
        <w:jc w:val="both"/>
        <w:rPr>
          <w:color w:val="FF0000"/>
          <w:szCs w:val="24"/>
          <w:u w:val="single"/>
        </w:rPr>
      </w:pPr>
    </w:p>
    <w:p w:rsidR="00EE56C0" w:rsidRPr="00C64F55" w:rsidRDefault="000F36A1">
      <w:pPr>
        <w:pStyle w:val="aff8"/>
        <w:rPr>
          <w:u w:val="single"/>
        </w:rPr>
      </w:pPr>
      <w:r w:rsidRPr="00C64F55">
        <w:rPr>
          <w:rFonts w:hint="eastAsia"/>
          <w:szCs w:val="24"/>
          <w:u w:val="single"/>
        </w:rPr>
        <w:t>图</w:t>
      </w:r>
      <w:r w:rsidRPr="00C64F55">
        <w:rPr>
          <w:szCs w:val="24"/>
          <w:u w:val="single"/>
        </w:rPr>
        <w:t>3-</w:t>
      </w:r>
      <w:r w:rsidRPr="00C64F55">
        <w:rPr>
          <w:rFonts w:hint="eastAsia"/>
          <w:szCs w:val="24"/>
          <w:u w:val="single"/>
        </w:rPr>
        <w:t xml:space="preserve">11          </w:t>
      </w:r>
      <w:r w:rsidRPr="00C64F55">
        <w:rPr>
          <w:rFonts w:hint="eastAsia"/>
          <w:szCs w:val="24"/>
          <w:u w:val="single"/>
        </w:rPr>
        <w:t>一期</w:t>
      </w:r>
      <w:r w:rsidRPr="00C64F55">
        <w:rPr>
          <w:rFonts w:hint="eastAsia"/>
          <w:u w:val="single"/>
        </w:rPr>
        <w:t>漆料平衡图</w:t>
      </w:r>
      <w:r w:rsidRPr="00C64F55">
        <w:rPr>
          <w:rFonts w:hint="eastAsia"/>
          <w:u w:val="single"/>
        </w:rPr>
        <w:t xml:space="preserve">        </w:t>
      </w:r>
      <w:r w:rsidRPr="00C64F55">
        <w:rPr>
          <w:rFonts w:hint="eastAsia"/>
          <w:u w:val="single"/>
        </w:rPr>
        <w:t>单位：</w:t>
      </w:r>
      <w:r w:rsidRPr="00C64F55">
        <w:rPr>
          <w:u w:val="single"/>
        </w:rPr>
        <w:t>t/</w:t>
      </w:r>
      <w:r w:rsidRPr="00C64F55">
        <w:rPr>
          <w:rFonts w:hint="eastAsia"/>
          <w:u w:val="single"/>
        </w:rPr>
        <w:t xml:space="preserve">a  </w:t>
      </w:r>
    </w:p>
    <w:p w:rsidR="00EE56C0" w:rsidRDefault="00FE6590">
      <w:pPr>
        <w:pStyle w:val="aff8"/>
        <w:rPr>
          <w:szCs w:val="24"/>
        </w:rPr>
      </w:pPr>
      <w:r>
        <w:object w:dxaOrig="19453" w:dyaOrig="11171">
          <v:shape id="_x0000_i1031" type="#_x0000_t75" style="width:682.55pt;height:396pt" o:ole="">
            <v:imagedata r:id="rId53" o:title=""/>
          </v:shape>
          <o:OLEObject Type="Embed" ProgID="Visio.Drawing.11" ShapeID="_x0000_i1031" DrawAspect="Content" ObjectID="_1705848359" r:id="rId54"/>
        </w:object>
      </w:r>
    </w:p>
    <w:p w:rsidR="00EE56C0" w:rsidRPr="00FE6590" w:rsidRDefault="000F36A1">
      <w:pPr>
        <w:pStyle w:val="aff8"/>
        <w:rPr>
          <w:u w:val="single"/>
        </w:rPr>
      </w:pPr>
      <w:r w:rsidRPr="00FE6590">
        <w:rPr>
          <w:rFonts w:hint="eastAsia"/>
          <w:szCs w:val="24"/>
          <w:u w:val="single"/>
        </w:rPr>
        <w:t>图</w:t>
      </w:r>
      <w:r w:rsidRPr="00FE6590">
        <w:rPr>
          <w:szCs w:val="24"/>
          <w:u w:val="single"/>
        </w:rPr>
        <w:t>3-</w:t>
      </w:r>
      <w:r w:rsidRPr="00FE6590">
        <w:rPr>
          <w:rFonts w:hint="eastAsia"/>
          <w:szCs w:val="24"/>
          <w:u w:val="single"/>
        </w:rPr>
        <w:t xml:space="preserve">12          </w:t>
      </w:r>
      <w:r w:rsidRPr="00FE6590">
        <w:rPr>
          <w:rFonts w:hint="eastAsia"/>
          <w:szCs w:val="24"/>
          <w:u w:val="single"/>
        </w:rPr>
        <w:t>二期</w:t>
      </w:r>
      <w:r w:rsidRPr="00FE6590">
        <w:rPr>
          <w:rFonts w:hint="eastAsia"/>
          <w:u w:val="single"/>
        </w:rPr>
        <w:t>漆料平衡图</w:t>
      </w:r>
      <w:r w:rsidRPr="00FE6590">
        <w:rPr>
          <w:rFonts w:hint="eastAsia"/>
          <w:u w:val="single"/>
        </w:rPr>
        <w:t xml:space="preserve">          </w:t>
      </w:r>
      <w:r w:rsidRPr="00FE6590">
        <w:rPr>
          <w:rFonts w:hint="eastAsia"/>
          <w:u w:val="single"/>
        </w:rPr>
        <w:t>单位：</w:t>
      </w:r>
      <w:r w:rsidRPr="00FE6590">
        <w:rPr>
          <w:u w:val="single"/>
        </w:rPr>
        <w:t>t/</w:t>
      </w:r>
      <w:r w:rsidRPr="00FE6590">
        <w:rPr>
          <w:rFonts w:hint="eastAsia"/>
          <w:u w:val="single"/>
        </w:rPr>
        <w:t>a</w:t>
      </w:r>
    </w:p>
    <w:p w:rsidR="00EE56C0" w:rsidRDefault="00EE56C0">
      <w:pPr>
        <w:pStyle w:val="aff8"/>
        <w:sectPr w:rsidR="00EE56C0">
          <w:pgSz w:w="16838" w:h="11906" w:orient="landscape"/>
          <w:pgMar w:top="1797" w:right="1440" w:bottom="1797" w:left="1440" w:header="851" w:footer="992" w:gutter="0"/>
          <w:cols w:space="720"/>
          <w:docGrid w:linePitch="326"/>
        </w:sectPr>
      </w:pPr>
    </w:p>
    <w:p w:rsidR="00EE56C0" w:rsidRDefault="000F36A1">
      <w:pPr>
        <w:pStyle w:val="2"/>
        <w:ind w:firstLine="301"/>
      </w:pPr>
      <w:bookmarkStart w:id="193" w:name="_Toc25400905"/>
      <w:r>
        <w:rPr>
          <w:rFonts w:hint="eastAsia"/>
        </w:rPr>
        <w:lastRenderedPageBreak/>
        <w:t>3.6</w:t>
      </w:r>
      <w:r>
        <w:rPr>
          <w:rFonts w:hint="eastAsia"/>
        </w:rPr>
        <w:t>水平衡</w:t>
      </w:r>
      <w:bookmarkEnd w:id="193"/>
    </w:p>
    <w:p w:rsidR="00EE56C0" w:rsidRDefault="000F36A1">
      <w:pPr>
        <w:ind w:firstLine="480"/>
      </w:pPr>
      <w:r>
        <w:rPr>
          <w:rFonts w:hint="eastAsia"/>
        </w:rPr>
        <w:t>项目一期、二期及合计后的水平衡图见下图：</w:t>
      </w:r>
    </w:p>
    <w:p w:rsidR="00EE56C0" w:rsidRDefault="00EE56C0">
      <w:pPr>
        <w:pStyle w:val="aff8"/>
        <w:rPr>
          <w:szCs w:val="24"/>
        </w:rPr>
      </w:pPr>
      <w:r>
        <w:object w:dxaOrig="12068" w:dyaOrig="6093">
          <v:shape id="_x0000_i1032" type="#_x0000_t75" style="width:414.7pt;height:207.35pt" o:ole="">
            <v:imagedata r:id="rId55" o:title=""/>
          </v:shape>
          <o:OLEObject Type="Embed" ProgID="Visio.Drawing.11" ShapeID="_x0000_i1032" DrawAspect="Content" ObjectID="_1705848360" r:id="rId56"/>
        </w:object>
      </w:r>
    </w:p>
    <w:p w:rsidR="00EE56C0" w:rsidRDefault="000F36A1">
      <w:pPr>
        <w:pStyle w:val="aff8"/>
        <w:rPr>
          <w:u w:val="single"/>
        </w:rPr>
      </w:pPr>
      <w:r>
        <w:rPr>
          <w:rFonts w:hint="eastAsia"/>
          <w:szCs w:val="24"/>
          <w:u w:val="single"/>
        </w:rPr>
        <w:t>图</w:t>
      </w:r>
      <w:r>
        <w:rPr>
          <w:szCs w:val="24"/>
          <w:u w:val="single"/>
        </w:rPr>
        <w:t>3-</w:t>
      </w:r>
      <w:r>
        <w:rPr>
          <w:rFonts w:hint="eastAsia"/>
          <w:szCs w:val="24"/>
          <w:u w:val="single"/>
        </w:rPr>
        <w:t xml:space="preserve">13     </w:t>
      </w:r>
      <w:r>
        <w:rPr>
          <w:rFonts w:hint="eastAsia"/>
          <w:u w:val="single"/>
        </w:rPr>
        <w:t>项目一期水平衡图</w:t>
      </w:r>
      <w:r>
        <w:rPr>
          <w:rFonts w:hint="eastAsia"/>
          <w:u w:val="single"/>
        </w:rPr>
        <w:t xml:space="preserve">     </w:t>
      </w:r>
      <w:r>
        <w:rPr>
          <w:rFonts w:hint="eastAsia"/>
          <w:u w:val="single"/>
        </w:rPr>
        <w:t>单位：</w:t>
      </w:r>
      <w:r>
        <w:rPr>
          <w:rFonts w:hint="eastAsia"/>
          <w:u w:val="single"/>
        </w:rPr>
        <w:t>t/d</w:t>
      </w:r>
    </w:p>
    <w:p w:rsidR="00EE56C0" w:rsidRDefault="00EE56C0">
      <w:pPr>
        <w:pStyle w:val="aff8"/>
      </w:pPr>
    </w:p>
    <w:p w:rsidR="00EE56C0" w:rsidRDefault="00EE56C0">
      <w:pPr>
        <w:pStyle w:val="aff8"/>
      </w:pPr>
      <w:r>
        <w:object w:dxaOrig="12122" w:dyaOrig="5957">
          <v:shape id="_x0000_i1033" type="#_x0000_t75" style="width:413.3pt;height:207.35pt" o:ole="">
            <v:imagedata r:id="rId57" o:title=""/>
          </v:shape>
          <o:OLEObject Type="Embed" ProgID="Visio.Drawing.11" ShapeID="_x0000_i1033" DrawAspect="Content" ObjectID="_1705848361" r:id="rId58"/>
        </w:object>
      </w:r>
    </w:p>
    <w:p w:rsidR="00EE56C0" w:rsidRDefault="000F36A1">
      <w:pPr>
        <w:pStyle w:val="aff8"/>
        <w:rPr>
          <w:u w:val="single"/>
        </w:rPr>
      </w:pPr>
      <w:r>
        <w:rPr>
          <w:rFonts w:hint="eastAsia"/>
          <w:szCs w:val="24"/>
        </w:rPr>
        <w:t>图</w:t>
      </w:r>
      <w:r>
        <w:rPr>
          <w:szCs w:val="24"/>
          <w:u w:val="single"/>
        </w:rPr>
        <w:t>3-</w:t>
      </w:r>
      <w:r>
        <w:rPr>
          <w:rFonts w:hint="eastAsia"/>
          <w:szCs w:val="24"/>
          <w:u w:val="single"/>
        </w:rPr>
        <w:t xml:space="preserve">14       </w:t>
      </w:r>
      <w:r>
        <w:rPr>
          <w:rFonts w:hint="eastAsia"/>
          <w:u w:val="single"/>
        </w:rPr>
        <w:t>项目二期水平衡图</w:t>
      </w:r>
      <w:r>
        <w:rPr>
          <w:rFonts w:hint="eastAsia"/>
          <w:u w:val="single"/>
        </w:rPr>
        <w:t xml:space="preserve">     </w:t>
      </w:r>
      <w:r>
        <w:rPr>
          <w:rFonts w:hint="eastAsia"/>
          <w:u w:val="single"/>
        </w:rPr>
        <w:t>单位：</w:t>
      </w:r>
      <w:r>
        <w:rPr>
          <w:rFonts w:hint="eastAsia"/>
          <w:u w:val="single"/>
        </w:rPr>
        <w:t>t/d</w:t>
      </w:r>
    </w:p>
    <w:p w:rsidR="00EE56C0" w:rsidRDefault="00EE56C0">
      <w:pPr>
        <w:pStyle w:val="aff8"/>
        <w:rPr>
          <w:u w:val="single"/>
        </w:rPr>
      </w:pPr>
      <w:r>
        <w:object w:dxaOrig="12000" w:dyaOrig="5957">
          <v:shape id="_x0000_i1034" type="#_x0000_t75" style="width:410.4pt;height:195.85pt" o:ole="">
            <v:imagedata r:id="rId59" o:title=""/>
          </v:shape>
          <o:OLEObject Type="Embed" ProgID="Visio.Drawing.11" ShapeID="_x0000_i1034" DrawAspect="Content" ObjectID="_1705848362" r:id="rId60"/>
        </w:object>
      </w:r>
    </w:p>
    <w:p w:rsidR="00EE56C0" w:rsidRDefault="000F36A1">
      <w:pPr>
        <w:pStyle w:val="aff8"/>
        <w:rPr>
          <w:u w:val="single"/>
        </w:rPr>
      </w:pPr>
      <w:r>
        <w:rPr>
          <w:rFonts w:hint="eastAsia"/>
          <w:szCs w:val="24"/>
          <w:u w:val="single"/>
        </w:rPr>
        <w:t>图</w:t>
      </w:r>
      <w:r>
        <w:rPr>
          <w:szCs w:val="24"/>
          <w:u w:val="single"/>
        </w:rPr>
        <w:t>3-</w:t>
      </w:r>
      <w:r>
        <w:rPr>
          <w:rFonts w:hint="eastAsia"/>
          <w:szCs w:val="24"/>
          <w:u w:val="single"/>
        </w:rPr>
        <w:t xml:space="preserve">15    </w:t>
      </w:r>
      <w:r>
        <w:rPr>
          <w:rFonts w:hint="eastAsia"/>
          <w:szCs w:val="24"/>
          <w:u w:val="single"/>
        </w:rPr>
        <w:t>项目（一期、</w:t>
      </w:r>
      <w:r>
        <w:rPr>
          <w:rFonts w:hint="eastAsia"/>
          <w:u w:val="single"/>
        </w:rPr>
        <w:t>二期）建成后水平衡图</w:t>
      </w:r>
      <w:r>
        <w:rPr>
          <w:rFonts w:hint="eastAsia"/>
          <w:u w:val="single"/>
        </w:rPr>
        <w:t xml:space="preserve">     </w:t>
      </w:r>
      <w:r>
        <w:rPr>
          <w:rFonts w:hint="eastAsia"/>
          <w:u w:val="single"/>
        </w:rPr>
        <w:t>单位：</w:t>
      </w:r>
      <w:r>
        <w:rPr>
          <w:rFonts w:hint="eastAsia"/>
          <w:u w:val="single"/>
        </w:rPr>
        <w:t>t/d</w:t>
      </w:r>
    </w:p>
    <w:p w:rsidR="00EE56C0" w:rsidRDefault="000F36A1">
      <w:pPr>
        <w:pStyle w:val="2"/>
        <w:ind w:firstLine="301"/>
      </w:pPr>
      <w:bookmarkStart w:id="194" w:name="_Toc428287218"/>
      <w:bookmarkStart w:id="195" w:name="_Toc429318401"/>
      <w:bookmarkStart w:id="196" w:name="_Toc428286839"/>
      <w:bookmarkStart w:id="197" w:name="_Toc25400906"/>
      <w:bookmarkEnd w:id="189"/>
      <w:bookmarkEnd w:id="190"/>
      <w:bookmarkEnd w:id="191"/>
      <w:r>
        <w:rPr>
          <w:rFonts w:hint="eastAsia"/>
        </w:rPr>
        <w:t>3.7</w:t>
      </w:r>
      <w:r>
        <w:rPr>
          <w:rFonts w:hint="eastAsia"/>
        </w:rPr>
        <w:t>污染物产排情况</w:t>
      </w:r>
      <w:bookmarkEnd w:id="194"/>
      <w:bookmarkEnd w:id="195"/>
      <w:bookmarkEnd w:id="196"/>
      <w:bookmarkEnd w:id="197"/>
    </w:p>
    <w:p w:rsidR="00EE56C0" w:rsidRDefault="000F36A1">
      <w:pPr>
        <w:ind w:firstLine="480"/>
      </w:pPr>
      <w:r>
        <w:rPr>
          <w:rFonts w:hint="eastAsia"/>
        </w:rPr>
        <w:t>本项目利用现有厂房建设，不新建车间</w:t>
      </w:r>
      <w:r>
        <w:t>。</w:t>
      </w:r>
      <w:r>
        <w:rPr>
          <w:rFonts w:hint="eastAsia"/>
        </w:rPr>
        <w:t>因此本项目不涉及施工期环境影响。</w:t>
      </w:r>
    </w:p>
    <w:p w:rsidR="00EE56C0" w:rsidRDefault="000F36A1">
      <w:pPr>
        <w:ind w:firstLine="480"/>
      </w:pPr>
      <w:r>
        <w:rPr>
          <w:rFonts w:hint="eastAsia"/>
        </w:rPr>
        <w:t>本项目运营期污染因素主要有废气、废水、噪声、固废，具体内容详见以下分析。</w:t>
      </w:r>
    </w:p>
    <w:p w:rsidR="00EE56C0" w:rsidRDefault="000F36A1">
      <w:pPr>
        <w:pStyle w:val="3"/>
        <w:spacing w:before="240" w:after="120"/>
      </w:pPr>
      <w:r>
        <w:rPr>
          <w:rFonts w:hint="eastAsia"/>
        </w:rPr>
        <w:t>3.7.1</w:t>
      </w:r>
      <w:r>
        <w:rPr>
          <w:rFonts w:hint="eastAsia"/>
        </w:rPr>
        <w:t>废气</w:t>
      </w:r>
    </w:p>
    <w:p w:rsidR="00EE56C0" w:rsidRDefault="000F36A1">
      <w:pPr>
        <w:ind w:firstLine="480"/>
      </w:pPr>
      <w:r>
        <w:rPr>
          <w:rFonts w:hint="eastAsia"/>
        </w:rPr>
        <w:t>本项目废气包括有组织废气和无组织废气。</w:t>
      </w:r>
    </w:p>
    <w:p w:rsidR="00EE56C0" w:rsidRDefault="000F36A1">
      <w:pPr>
        <w:pStyle w:val="4"/>
        <w:ind w:left="120" w:firstLine="241"/>
      </w:pPr>
      <w:r>
        <w:rPr>
          <w:rFonts w:hint="eastAsia"/>
        </w:rPr>
        <w:t>3.7.1.1</w:t>
      </w:r>
      <w:r>
        <w:rPr>
          <w:rFonts w:hint="eastAsia"/>
        </w:rPr>
        <w:t>有组织废气</w:t>
      </w:r>
    </w:p>
    <w:p w:rsidR="00EE56C0" w:rsidRDefault="000F36A1">
      <w:pPr>
        <w:ind w:firstLine="480"/>
      </w:pPr>
      <w:r>
        <w:rPr>
          <w:rFonts w:hint="eastAsia"/>
        </w:rPr>
        <w:t>本项目有组织废气包括油水分离器冷凝过程产生的不凝气，漆包线及丝包线涂漆、烘干工序产生的有机废气。</w:t>
      </w:r>
    </w:p>
    <w:p w:rsidR="00EE56C0" w:rsidRDefault="000F36A1">
      <w:pPr>
        <w:pStyle w:val="5"/>
      </w:pPr>
      <w:r>
        <w:rPr>
          <w:rFonts w:hint="eastAsia"/>
        </w:rPr>
        <w:t>1</w:t>
      </w:r>
      <w:r>
        <w:rPr>
          <w:rFonts w:hint="eastAsia"/>
        </w:rPr>
        <w:t>、油水分离器冷凝过程产生的不凝气</w:t>
      </w:r>
    </w:p>
    <w:p w:rsidR="00EE56C0" w:rsidRDefault="000F36A1">
      <w:pPr>
        <w:ind w:firstLine="480"/>
      </w:pPr>
      <w:r>
        <w:rPr>
          <w:rFonts w:hint="eastAsia"/>
        </w:rPr>
        <w:t>拉丝液采用油水分离器进行减量化处置，油水分离器以“新乡市华洋电工材料有限公司</w:t>
      </w:r>
      <w:r>
        <w:rPr>
          <w:rFonts w:hint="eastAsia"/>
          <w:szCs w:val="24"/>
        </w:rPr>
        <w:t>年产</w:t>
      </w:r>
      <w:r>
        <w:rPr>
          <w:rFonts w:hint="eastAsia"/>
          <w:szCs w:val="24"/>
        </w:rPr>
        <w:t>2</w:t>
      </w:r>
      <w:r>
        <w:rPr>
          <w:rFonts w:hint="eastAsia"/>
          <w:szCs w:val="24"/>
        </w:rPr>
        <w:t>万吨无氧铜杆项目</w:t>
      </w:r>
      <w:r>
        <w:rPr>
          <w:rFonts w:hint="eastAsia"/>
        </w:rPr>
        <w:t>”中</w:t>
      </w:r>
      <w:r>
        <w:rPr>
          <w:rFonts w:hint="eastAsia"/>
          <w:szCs w:val="21"/>
        </w:rPr>
        <w:t>废杂铜熔炼炉尾气的余热作为热源，废杂铜熔炼炉尾气温度在</w:t>
      </w:r>
      <w:r>
        <w:rPr>
          <w:rFonts w:hint="eastAsia"/>
          <w:szCs w:val="21"/>
        </w:rPr>
        <w:t>800~900</w:t>
      </w:r>
      <w:r>
        <w:rPr>
          <w:rFonts w:hint="eastAsia"/>
          <w:szCs w:val="21"/>
        </w:rPr>
        <w:t>℃，</w:t>
      </w:r>
      <w:r>
        <w:rPr>
          <w:rFonts w:hint="eastAsia"/>
        </w:rPr>
        <w:t>油水分离器所需温度为</w:t>
      </w:r>
      <w:r>
        <w:rPr>
          <w:rFonts w:hint="eastAsia"/>
        </w:rPr>
        <w:t>120</w:t>
      </w:r>
      <w:r>
        <w:rPr>
          <w:rFonts w:hint="eastAsia"/>
          <w:szCs w:val="21"/>
        </w:rPr>
        <w:t>℃，可以满足</w:t>
      </w:r>
      <w:r>
        <w:rPr>
          <w:rFonts w:hint="eastAsia"/>
        </w:rPr>
        <w:t>油水分离器的使用要求。</w:t>
      </w:r>
    </w:p>
    <w:p w:rsidR="00EE56C0" w:rsidRDefault="000F36A1">
      <w:pPr>
        <w:ind w:firstLine="480"/>
      </w:pPr>
      <w:r>
        <w:rPr>
          <w:rFonts w:hint="eastAsia"/>
        </w:rPr>
        <w:t>拉丝液是由纯水、拉丝油按</w:t>
      </w:r>
      <w:r>
        <w:rPr>
          <w:rFonts w:hint="eastAsia"/>
        </w:rPr>
        <w:t>9</w:t>
      </w:r>
      <w:r>
        <w:rPr>
          <w:rFonts w:hint="eastAsia"/>
        </w:rPr>
        <w:t>：</w:t>
      </w:r>
      <w:r>
        <w:rPr>
          <w:rFonts w:hint="eastAsia"/>
        </w:rPr>
        <w:t>1</w:t>
      </w:r>
      <w:r>
        <w:rPr>
          <w:rFonts w:hint="eastAsia"/>
        </w:rPr>
        <w:t>配制而成，拉丝油沸点是</w:t>
      </w:r>
      <w:r>
        <w:rPr>
          <w:rFonts w:hint="eastAsia"/>
        </w:rPr>
        <w:t>230</w:t>
      </w:r>
      <w:r>
        <w:rPr>
          <w:rFonts w:hint="eastAsia"/>
          <w:szCs w:val="21"/>
        </w:rPr>
        <w:t>℃</w:t>
      </w:r>
      <w:r>
        <w:rPr>
          <w:rFonts w:hint="eastAsia"/>
        </w:rPr>
        <w:t>，比水的沸点高，因此在加热过程中水先蒸发，蒸发过程少量的拉丝油随着水蒸气带出。</w:t>
      </w:r>
      <w:r>
        <w:rPr>
          <w:rFonts w:hint="eastAsia"/>
        </w:rPr>
        <w:lastRenderedPageBreak/>
        <w:t>水蒸气经冷凝装置（冷凝温度</w:t>
      </w:r>
      <w:r>
        <w:rPr>
          <w:rFonts w:hint="eastAsia"/>
        </w:rPr>
        <w:t>20~30</w:t>
      </w:r>
      <w:r>
        <w:rPr>
          <w:rFonts w:hint="eastAsia"/>
        </w:rPr>
        <w:t>℃）冷凝后进入气液分离罐，完成水蒸气与液态水的分离，液态水经管道进入拉丝液池循环使用，不凝气中主要为含油雾的水蒸气，该不凝气经气液分离罐呼吸口引入废气治理措施后排放，污染因子为非甲烷总烃。</w:t>
      </w:r>
    </w:p>
    <w:p w:rsidR="00EE56C0" w:rsidRDefault="000F36A1">
      <w:pPr>
        <w:ind w:firstLine="480"/>
      </w:pPr>
      <w:r>
        <w:rPr>
          <w:rFonts w:hint="eastAsia"/>
        </w:rPr>
        <w:t>根据企业提供的实验数据，进入燃烧机的拉丝液为</w:t>
      </w:r>
      <w:r>
        <w:rPr>
          <w:rFonts w:hint="eastAsia"/>
        </w:rPr>
        <w:t>1600kg</w:t>
      </w:r>
      <w:r>
        <w:rPr>
          <w:rFonts w:hint="eastAsia"/>
        </w:rPr>
        <w:t>，经蒸馏后的液态水量为</w:t>
      </w:r>
      <w:r>
        <w:rPr>
          <w:rFonts w:hint="eastAsia"/>
        </w:rPr>
        <w:t>1418.2kg</w:t>
      </w:r>
      <w:r>
        <w:rPr>
          <w:rFonts w:hint="eastAsia"/>
        </w:rPr>
        <w:t>，燃烧机底部的拉丝油量为</w:t>
      </w:r>
      <w:r>
        <w:rPr>
          <w:rFonts w:hint="eastAsia"/>
        </w:rPr>
        <w:t>177kg</w:t>
      </w:r>
      <w:r>
        <w:rPr>
          <w:rFonts w:hint="eastAsia"/>
        </w:rPr>
        <w:t>，则不凝气的量</w:t>
      </w:r>
      <w:r>
        <w:rPr>
          <w:rFonts w:hint="eastAsia"/>
        </w:rPr>
        <w:t>4.8kg</w:t>
      </w:r>
      <w:r>
        <w:rPr>
          <w:rFonts w:hint="eastAsia"/>
        </w:rPr>
        <w:t>。不凝气中大部分为水蒸气，含少量的油雾。按照环评最不利原则，不考虑不凝气中的水蒸气，即不凝气中全部考虑为油雾（以非甲烷总烃计）。则非甲烷总烃产生量为</w:t>
      </w:r>
      <w:r>
        <w:rPr>
          <w:rFonts w:hint="eastAsia"/>
        </w:rPr>
        <w:t>4.8kg</w:t>
      </w:r>
      <w:r>
        <w:rPr>
          <w:rFonts w:hint="eastAsia"/>
        </w:rPr>
        <w:t>，即产生源强为</w:t>
      </w:r>
      <w:r>
        <w:rPr>
          <w:rFonts w:hint="eastAsia"/>
        </w:rPr>
        <w:t>0.003t/t-</w:t>
      </w:r>
      <w:r>
        <w:rPr>
          <w:rFonts w:hint="eastAsia"/>
        </w:rPr>
        <w:t>拉丝液。</w:t>
      </w:r>
    </w:p>
    <w:p w:rsidR="00EE56C0" w:rsidRDefault="000F36A1">
      <w:pPr>
        <w:ind w:firstLine="480"/>
      </w:pPr>
      <w:r>
        <w:rPr>
          <w:rFonts w:hint="eastAsia"/>
        </w:rPr>
        <w:t>项目一期建成后，现有工程的拉丝液进入该燃烧机进行减量化处置，现有工程拉丝液减量化处置过程中的废气产排</w:t>
      </w:r>
      <w:r>
        <w:t>量</w:t>
      </w:r>
      <w:r>
        <w:rPr>
          <w:rFonts w:hint="eastAsia"/>
        </w:rPr>
        <w:t>纳入一期进行计算。</w:t>
      </w:r>
    </w:p>
    <w:p w:rsidR="00EE56C0" w:rsidRDefault="000F36A1">
      <w:pPr>
        <w:ind w:firstLine="482"/>
        <w:rPr>
          <w:b/>
          <w:u w:val="single"/>
        </w:rPr>
      </w:pPr>
      <w:r>
        <w:rPr>
          <w:rFonts w:hint="eastAsia"/>
          <w:b/>
          <w:u w:val="single"/>
        </w:rPr>
        <w:t>根据物料平衡可知，进入燃烧机的拉丝液为现有工程</w:t>
      </w:r>
      <w:r>
        <w:rPr>
          <w:rFonts w:hint="eastAsia"/>
          <w:b/>
          <w:u w:val="single"/>
        </w:rPr>
        <w:t>148.8t/a</w:t>
      </w:r>
      <w:r>
        <w:rPr>
          <w:rFonts w:hint="eastAsia"/>
          <w:b/>
          <w:u w:val="single"/>
        </w:rPr>
        <w:t>、一期</w:t>
      </w:r>
      <w:r>
        <w:rPr>
          <w:rFonts w:hint="eastAsia"/>
          <w:b/>
          <w:u w:val="single"/>
        </w:rPr>
        <w:t>24.6t/a</w:t>
      </w:r>
      <w:r>
        <w:rPr>
          <w:rFonts w:hint="eastAsia"/>
          <w:b/>
          <w:u w:val="single"/>
        </w:rPr>
        <w:t>、二期</w:t>
      </w:r>
      <w:r>
        <w:rPr>
          <w:rFonts w:hint="eastAsia"/>
          <w:b/>
          <w:u w:val="single"/>
        </w:rPr>
        <w:t>64.4t/a</w:t>
      </w:r>
      <w:r>
        <w:rPr>
          <w:rFonts w:hint="eastAsia"/>
          <w:b/>
          <w:u w:val="single"/>
        </w:rPr>
        <w:t>，则非甲烷总烃产生量为现有工程</w:t>
      </w:r>
      <w:r>
        <w:rPr>
          <w:rFonts w:hint="eastAsia"/>
          <w:b/>
          <w:u w:val="single"/>
        </w:rPr>
        <w:t>0.4t/a</w:t>
      </w:r>
      <w:r>
        <w:rPr>
          <w:rFonts w:hint="eastAsia"/>
          <w:b/>
          <w:u w:val="single"/>
        </w:rPr>
        <w:t>、一期</w:t>
      </w:r>
      <w:r>
        <w:rPr>
          <w:rFonts w:hint="eastAsia"/>
          <w:b/>
          <w:u w:val="single"/>
        </w:rPr>
        <w:t>0.07t/a</w:t>
      </w:r>
      <w:r>
        <w:rPr>
          <w:rFonts w:hint="eastAsia"/>
          <w:b/>
          <w:u w:val="single"/>
        </w:rPr>
        <w:t>、二期</w:t>
      </w:r>
      <w:r>
        <w:rPr>
          <w:rFonts w:hint="eastAsia"/>
          <w:b/>
          <w:u w:val="single"/>
        </w:rPr>
        <w:t>0.17t/a</w:t>
      </w:r>
      <w:r>
        <w:rPr>
          <w:rFonts w:hint="eastAsia"/>
          <w:b/>
          <w:u w:val="single"/>
        </w:rPr>
        <w:t>。</w:t>
      </w:r>
    </w:p>
    <w:p w:rsidR="00EE56C0" w:rsidRDefault="000F36A1">
      <w:pPr>
        <w:ind w:firstLine="480"/>
      </w:pPr>
      <w:r>
        <w:rPr>
          <w:rFonts w:hint="eastAsia"/>
        </w:rPr>
        <w:t>该部分废气引入现有废气治理措施进行治理。该部分废气治理及排放情况与“漆包线及丝包线的涂漆、烘干工序产生的有机废气”一并分析，详见</w:t>
      </w:r>
      <w:r>
        <w:rPr>
          <w:rFonts w:hint="eastAsia"/>
          <w:b/>
        </w:rPr>
        <w:t>“</w:t>
      </w:r>
      <w:r>
        <w:rPr>
          <w:rFonts w:hint="eastAsia"/>
          <w:b/>
        </w:rPr>
        <w:t>2</w:t>
      </w:r>
      <w:r>
        <w:rPr>
          <w:rFonts w:hint="eastAsia"/>
          <w:b/>
        </w:rPr>
        <w:t>、漆包线及丝包线的涂漆、烘干工序产生的有机废气”</w:t>
      </w:r>
      <w:r>
        <w:rPr>
          <w:rFonts w:hint="eastAsia"/>
        </w:rPr>
        <w:t>分析内容。</w:t>
      </w:r>
    </w:p>
    <w:p w:rsidR="00EE56C0" w:rsidRDefault="000F36A1">
      <w:pPr>
        <w:pStyle w:val="5"/>
      </w:pPr>
      <w:r>
        <w:rPr>
          <w:rFonts w:hint="eastAsia"/>
        </w:rPr>
        <w:t>2</w:t>
      </w:r>
      <w:r>
        <w:rPr>
          <w:rFonts w:hint="eastAsia"/>
        </w:rPr>
        <w:t>、漆包线及丝包线的涂漆、烘干工序产生的有机废气</w:t>
      </w:r>
    </w:p>
    <w:p w:rsidR="00EE56C0" w:rsidRDefault="000F36A1">
      <w:pPr>
        <w:spacing w:line="500" w:lineRule="exact"/>
        <w:ind w:firstLine="480"/>
        <w:jc w:val="left"/>
      </w:pPr>
      <w:r>
        <w:rPr>
          <w:rFonts w:hint="eastAsia"/>
        </w:rPr>
        <w:t>本项目漆包线漆料属于绝缘涂料，参照</w:t>
      </w:r>
      <w:r>
        <w:t>《低挥发性有机化合物含量涂料产品技术要求》（</w:t>
      </w:r>
      <w:r>
        <w:t>GB/T 38597-2020</w:t>
      </w:r>
      <w:r>
        <w:t>）</w:t>
      </w:r>
      <w:r>
        <w:rPr>
          <w:rFonts w:hint="eastAsia"/>
        </w:rPr>
        <w:t>中表</w:t>
      </w:r>
      <w:r>
        <w:rPr>
          <w:rFonts w:hint="eastAsia"/>
        </w:rPr>
        <w:t>2-</w:t>
      </w:r>
      <w:r>
        <w:rPr>
          <w:rFonts w:hint="eastAsia"/>
        </w:rPr>
        <w:t>金属基材防腐涂料（双组份涂料：面漆）</w:t>
      </w:r>
      <w:r>
        <w:rPr>
          <w:rFonts w:hint="eastAsia"/>
        </w:rPr>
        <w:t>450g/L</w:t>
      </w:r>
      <w:r>
        <w:rPr>
          <w:rFonts w:hint="eastAsia"/>
        </w:rPr>
        <w:t>限值要求进行对比。</w:t>
      </w:r>
      <w:r w:rsidR="00505AD2" w:rsidRPr="00D201A4">
        <w:rPr>
          <w:rFonts w:hint="eastAsia"/>
          <w:b/>
          <w:u w:val="single"/>
        </w:rPr>
        <w:t>根据企业提供的漆料</w:t>
      </w:r>
      <w:r w:rsidR="00505AD2" w:rsidRPr="00D201A4">
        <w:rPr>
          <w:rFonts w:hint="eastAsia"/>
          <w:b/>
          <w:u w:val="single"/>
        </w:rPr>
        <w:t>VOCs</w:t>
      </w:r>
      <w:r w:rsidR="00505AD2" w:rsidRPr="00D201A4">
        <w:rPr>
          <w:rFonts w:hint="eastAsia"/>
          <w:b/>
          <w:u w:val="single"/>
        </w:rPr>
        <w:t>监测报告，聚酯漆</w:t>
      </w:r>
      <w:r w:rsidR="00505AD2" w:rsidRPr="00D201A4">
        <w:rPr>
          <w:rFonts w:hint="eastAsia"/>
          <w:b/>
          <w:u w:val="single"/>
        </w:rPr>
        <w:t>VOCs</w:t>
      </w:r>
      <w:r w:rsidR="00505AD2" w:rsidRPr="00D201A4">
        <w:rPr>
          <w:rFonts w:hint="eastAsia"/>
          <w:b/>
          <w:u w:val="single"/>
        </w:rPr>
        <w:t>含量为</w:t>
      </w:r>
      <w:r w:rsidR="00505AD2" w:rsidRPr="00D201A4">
        <w:rPr>
          <w:rFonts w:hint="eastAsia"/>
          <w:b/>
          <w:u w:val="single"/>
        </w:rPr>
        <w:t>344g/L</w:t>
      </w:r>
      <w:r w:rsidR="00505AD2" w:rsidRPr="00D201A4">
        <w:rPr>
          <w:rFonts w:hint="eastAsia"/>
          <w:b/>
          <w:u w:val="single"/>
        </w:rPr>
        <w:t>，聚酰胺酰亚胺漆</w:t>
      </w:r>
      <w:r w:rsidR="00505AD2" w:rsidRPr="00D201A4">
        <w:rPr>
          <w:rFonts w:hint="eastAsia"/>
          <w:b/>
          <w:u w:val="single"/>
        </w:rPr>
        <w:t>VOCs</w:t>
      </w:r>
      <w:r w:rsidR="00505AD2" w:rsidRPr="00D201A4">
        <w:rPr>
          <w:rFonts w:hint="eastAsia"/>
          <w:b/>
          <w:u w:val="single"/>
        </w:rPr>
        <w:t>含量</w:t>
      </w:r>
      <w:r w:rsidR="00505AD2" w:rsidRPr="00D201A4">
        <w:rPr>
          <w:rFonts w:hint="eastAsia"/>
          <w:b/>
          <w:u w:val="single"/>
        </w:rPr>
        <w:t>402g/L</w:t>
      </w:r>
      <w:r w:rsidR="00505AD2" w:rsidRPr="00D201A4">
        <w:rPr>
          <w:rFonts w:hint="eastAsia"/>
          <w:b/>
          <w:u w:val="single"/>
        </w:rPr>
        <w:t>，均低于</w:t>
      </w:r>
      <w:r w:rsidR="00505AD2" w:rsidRPr="00D201A4">
        <w:rPr>
          <w:rFonts w:hint="eastAsia"/>
          <w:b/>
          <w:u w:val="single"/>
        </w:rPr>
        <w:t>450g/L</w:t>
      </w:r>
      <w:r w:rsidR="00505AD2" w:rsidRPr="00D201A4">
        <w:rPr>
          <w:rFonts w:hint="eastAsia"/>
          <w:b/>
          <w:u w:val="single"/>
        </w:rPr>
        <w:t>，即漆包线漆料属于低挥发性有机化合物含量涂料。</w:t>
      </w:r>
    </w:p>
    <w:p w:rsidR="00EE56C0" w:rsidRDefault="000F36A1">
      <w:pPr>
        <w:spacing w:line="500" w:lineRule="exact"/>
        <w:ind w:firstLine="480"/>
        <w:jc w:val="left"/>
        <w:rPr>
          <w:b/>
        </w:rPr>
      </w:pPr>
      <w:r>
        <w:rPr>
          <w:rFonts w:hint="eastAsia"/>
          <w:bCs/>
        </w:rPr>
        <w:t>本项目丝包专用漆为外购调配好的漆料，</w:t>
      </w:r>
      <w:r w:rsidR="00505AD2" w:rsidRPr="00505AD2">
        <w:rPr>
          <w:rFonts w:hint="eastAsia"/>
          <w:b/>
          <w:u w:val="single"/>
        </w:rPr>
        <w:t>根据企业提供的漆料</w:t>
      </w:r>
      <w:r w:rsidR="00505AD2" w:rsidRPr="00505AD2">
        <w:rPr>
          <w:rFonts w:hint="eastAsia"/>
          <w:b/>
          <w:u w:val="single"/>
        </w:rPr>
        <w:t>VOCs</w:t>
      </w:r>
      <w:r w:rsidR="00505AD2" w:rsidRPr="00505AD2">
        <w:rPr>
          <w:rFonts w:hint="eastAsia"/>
          <w:b/>
          <w:u w:val="single"/>
        </w:rPr>
        <w:t>监测报告，</w:t>
      </w:r>
      <w:r w:rsidR="00505AD2" w:rsidRPr="00505AD2">
        <w:rPr>
          <w:rFonts w:hint="eastAsia"/>
          <w:b/>
          <w:bCs/>
          <w:u w:val="single"/>
        </w:rPr>
        <w:t>丝包</w:t>
      </w:r>
      <w:r w:rsidR="00505AD2" w:rsidRPr="00505AD2">
        <w:rPr>
          <w:rFonts w:hint="eastAsia"/>
          <w:b/>
          <w:u w:val="single"/>
        </w:rPr>
        <w:t>漆</w:t>
      </w:r>
      <w:r w:rsidR="00505AD2" w:rsidRPr="00505AD2">
        <w:rPr>
          <w:rFonts w:hint="eastAsia"/>
          <w:b/>
          <w:u w:val="single"/>
        </w:rPr>
        <w:t>VOCs</w:t>
      </w:r>
      <w:r w:rsidR="00505AD2" w:rsidRPr="00505AD2">
        <w:rPr>
          <w:rFonts w:hint="eastAsia"/>
          <w:b/>
          <w:u w:val="single"/>
        </w:rPr>
        <w:t>含量为</w:t>
      </w:r>
      <w:r w:rsidR="00505AD2" w:rsidRPr="00505AD2">
        <w:rPr>
          <w:rFonts w:hint="eastAsia"/>
          <w:b/>
          <w:u w:val="single"/>
        </w:rPr>
        <w:t>330g/L</w:t>
      </w:r>
      <w:r>
        <w:rPr>
          <w:rFonts w:hint="eastAsia"/>
        </w:rPr>
        <w:t>，参照</w:t>
      </w:r>
      <w:r>
        <w:t>《低挥发性有机化合物含量涂料产品技术要求》（</w:t>
      </w:r>
      <w:r>
        <w:t>GB/T 38597-2020</w:t>
      </w:r>
      <w:r>
        <w:t>）</w:t>
      </w:r>
      <w:r>
        <w:rPr>
          <w:rFonts w:hint="eastAsia"/>
        </w:rPr>
        <w:t>中表</w:t>
      </w:r>
      <w:r>
        <w:rPr>
          <w:rFonts w:hint="eastAsia"/>
        </w:rPr>
        <w:t>2-</w:t>
      </w:r>
      <w:r>
        <w:rPr>
          <w:rFonts w:hint="eastAsia"/>
        </w:rPr>
        <w:t>金属基材防腐涂料（双组份涂料：面漆）</w:t>
      </w:r>
      <w:r>
        <w:rPr>
          <w:rFonts w:hint="eastAsia"/>
        </w:rPr>
        <w:t>450g/L</w:t>
      </w:r>
      <w:r>
        <w:rPr>
          <w:rFonts w:hint="eastAsia"/>
        </w:rPr>
        <w:t>限值要求进行对比，低于其限值要求。即漆料属于低挥发性有机化合物</w:t>
      </w:r>
      <w:r>
        <w:rPr>
          <w:rFonts w:hint="eastAsia"/>
        </w:rPr>
        <w:lastRenderedPageBreak/>
        <w:t>含量涂料。</w:t>
      </w:r>
    </w:p>
    <w:p w:rsidR="00EE56C0" w:rsidRDefault="000F36A1">
      <w:pPr>
        <w:ind w:firstLine="482"/>
        <w:rPr>
          <w:b/>
        </w:rPr>
      </w:pPr>
      <w:r>
        <w:rPr>
          <w:rFonts w:hint="eastAsia"/>
          <w:b/>
        </w:rPr>
        <w:t>（</w:t>
      </w:r>
      <w:r>
        <w:rPr>
          <w:rFonts w:hint="eastAsia"/>
          <w:b/>
        </w:rPr>
        <w:t>1</w:t>
      </w:r>
      <w:r>
        <w:rPr>
          <w:rFonts w:hint="eastAsia"/>
          <w:b/>
        </w:rPr>
        <w:t>）废气产生情况：</w:t>
      </w:r>
    </w:p>
    <w:p w:rsidR="00EE56C0" w:rsidRDefault="000F36A1">
      <w:pPr>
        <w:ind w:firstLine="480"/>
      </w:pPr>
      <w:r>
        <w:rPr>
          <w:rFonts w:hint="eastAsia"/>
        </w:rPr>
        <w:t>漆包机含涂漆、烘干装置，拉包机含拉丝、涂漆、烘干装置。铜线经涂漆后进入烘炉</w:t>
      </w:r>
      <w:r>
        <w:t>烘干，</w:t>
      </w:r>
      <w:r>
        <w:rPr>
          <w:rFonts w:hint="eastAsia"/>
        </w:rPr>
        <w:t>涂漆、烘干过程均会产生有机废气。涂漆区位于烘炉进口的前端，涂漆区加盖密闭</w:t>
      </w:r>
      <w:r>
        <w:t>，</w:t>
      </w:r>
      <w:r>
        <w:rPr>
          <w:rFonts w:hint="eastAsia"/>
        </w:rPr>
        <w:t>盖子顶部设有集气管道，将涂漆区、烘炉进口的大部分废气引入烘道，</w:t>
      </w:r>
      <w:r>
        <w:t>少量废气从盖子前端逸出</w:t>
      </w:r>
      <w:r>
        <w:rPr>
          <w:rFonts w:hint="eastAsia"/>
        </w:rPr>
        <w:t>，铜线出烘炉时，也会逸出</w:t>
      </w:r>
      <w:r>
        <w:t>少量废气</w:t>
      </w:r>
      <w:r>
        <w:rPr>
          <w:rFonts w:hint="eastAsia"/>
        </w:rPr>
        <w:t>，</w:t>
      </w:r>
      <w:r>
        <w:t>产生</w:t>
      </w:r>
      <w:r>
        <w:rPr>
          <w:rFonts w:hint="eastAsia"/>
        </w:rPr>
        <w:t>无组织</w:t>
      </w:r>
      <w:r>
        <w:t>废气</w:t>
      </w:r>
      <w:r>
        <w:rPr>
          <w:rFonts w:hint="eastAsia"/>
        </w:rPr>
        <w:t>。</w:t>
      </w:r>
    </w:p>
    <w:p w:rsidR="00EE56C0" w:rsidRDefault="000F36A1">
      <w:pPr>
        <w:ind w:firstLine="480"/>
      </w:pPr>
      <w:r>
        <w:rPr>
          <w:rFonts w:hint="eastAsia"/>
        </w:rPr>
        <w:t>丝包线位于生产车间的封闭操作间内，丝包机含涂漆、烘干装置，铜线经涂漆后进入烘炉</w:t>
      </w:r>
      <w:r>
        <w:t>烘干，</w:t>
      </w:r>
      <w:r>
        <w:rPr>
          <w:rFonts w:hint="eastAsia"/>
        </w:rPr>
        <w:t>涂漆、烘干过程会产生有机废气。涂漆是在封闭的漆盒内进行，仅留出铜线进、出口，大</w:t>
      </w:r>
      <w:r>
        <w:t>部分废气</w:t>
      </w:r>
      <w:r>
        <w:rPr>
          <w:rFonts w:hint="eastAsia"/>
        </w:rPr>
        <w:t>在烘干处产生，少量废气在漆盒进、出口</w:t>
      </w:r>
      <w:r>
        <w:t>逸出</w:t>
      </w:r>
      <w:r>
        <w:rPr>
          <w:rFonts w:hint="eastAsia"/>
        </w:rPr>
        <w:t>。涂漆、烘干工位上废气逸散后经操作间顶部抽风装置收集，仅少量废气会逸散至生产车间内，产</w:t>
      </w:r>
      <w:r>
        <w:t>生</w:t>
      </w:r>
      <w:r>
        <w:rPr>
          <w:rFonts w:hint="eastAsia"/>
        </w:rPr>
        <w:t>无组织</w:t>
      </w:r>
      <w:r>
        <w:t>废气</w:t>
      </w:r>
      <w:r>
        <w:rPr>
          <w:rFonts w:hint="eastAsia"/>
        </w:rPr>
        <w:t>。</w:t>
      </w:r>
    </w:p>
    <w:p w:rsidR="00EE56C0" w:rsidRDefault="000F36A1">
      <w:pPr>
        <w:ind w:firstLine="482"/>
      </w:pPr>
      <w:r>
        <w:rPr>
          <w:rFonts w:hint="eastAsia"/>
          <w:b/>
          <w:u w:val="single"/>
        </w:rPr>
        <w:t>根据企业提供的监测报告（见附件），各漆料成分含量见下表。根据物质的毒性考虑最不利影响，确定本次评</w:t>
      </w:r>
      <w:r w:rsidR="00085BB7">
        <w:rPr>
          <w:rFonts w:hint="eastAsia"/>
          <w:b/>
          <w:u w:val="single"/>
        </w:rPr>
        <w:t>价</w:t>
      </w:r>
      <w:r>
        <w:rPr>
          <w:rFonts w:hint="eastAsia"/>
          <w:b/>
          <w:u w:val="single"/>
        </w:rPr>
        <w:t>取值，各漆料成分及本次评</w:t>
      </w:r>
      <w:r w:rsidR="00085BB7">
        <w:rPr>
          <w:rFonts w:hint="eastAsia"/>
          <w:b/>
          <w:u w:val="single"/>
        </w:rPr>
        <w:t>价</w:t>
      </w:r>
      <w:r>
        <w:rPr>
          <w:rFonts w:hint="eastAsia"/>
          <w:b/>
          <w:u w:val="single"/>
        </w:rPr>
        <w:t>取值见下表</w:t>
      </w:r>
      <w:r>
        <w:rPr>
          <w:rFonts w:hint="eastAsia"/>
        </w:rPr>
        <w:t>。</w:t>
      </w:r>
    </w:p>
    <w:p w:rsidR="00EE56C0" w:rsidRDefault="000F36A1">
      <w:pPr>
        <w:pStyle w:val="afd"/>
        <w:spacing w:before="120" w:after="120"/>
        <w:ind w:firstLine="482"/>
      </w:pPr>
      <w:r>
        <w:rPr>
          <w:rFonts w:hint="eastAsia"/>
        </w:rPr>
        <w:t>表</w:t>
      </w:r>
      <w:r>
        <w:rPr>
          <w:rFonts w:hint="eastAsia"/>
        </w:rPr>
        <w:t xml:space="preserve">3-20                 </w:t>
      </w:r>
      <w:r>
        <w:rPr>
          <w:rFonts w:hint="eastAsia"/>
        </w:rPr>
        <w:t>本项目各漆料成分一览表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8"/>
        <w:gridCol w:w="1175"/>
        <w:gridCol w:w="1664"/>
        <w:gridCol w:w="1559"/>
        <w:gridCol w:w="1419"/>
        <w:gridCol w:w="1418"/>
        <w:gridCol w:w="765"/>
      </w:tblGrid>
      <w:tr w:rsidR="00EE56C0">
        <w:trPr>
          <w:trHeight w:val="510"/>
        </w:trPr>
        <w:tc>
          <w:tcPr>
            <w:tcW w:w="1703" w:type="dxa"/>
            <w:gridSpan w:val="2"/>
            <w:vMerge w:val="restart"/>
            <w:vAlign w:val="center"/>
          </w:tcPr>
          <w:p w:rsidR="00EE56C0" w:rsidRDefault="000F36A1">
            <w:pPr>
              <w:pStyle w:val="afa"/>
              <w:rPr>
                <w:b/>
                <w:u w:val="single"/>
              </w:rPr>
            </w:pPr>
            <w:r>
              <w:rPr>
                <w:rFonts w:hint="eastAsia"/>
                <w:b/>
                <w:u w:val="single"/>
              </w:rPr>
              <w:t>漆料</w:t>
            </w:r>
          </w:p>
        </w:tc>
        <w:tc>
          <w:tcPr>
            <w:tcW w:w="6825" w:type="dxa"/>
            <w:gridSpan w:val="5"/>
            <w:vAlign w:val="center"/>
          </w:tcPr>
          <w:p w:rsidR="00EE56C0" w:rsidRDefault="000F36A1">
            <w:pPr>
              <w:pStyle w:val="afa"/>
              <w:rPr>
                <w:b/>
                <w:u w:val="single"/>
              </w:rPr>
            </w:pPr>
            <w:r>
              <w:rPr>
                <w:rFonts w:hint="eastAsia"/>
                <w:b/>
                <w:u w:val="single"/>
              </w:rPr>
              <w:t>各组分占比</w:t>
            </w:r>
          </w:p>
        </w:tc>
      </w:tr>
      <w:tr w:rsidR="00EE56C0">
        <w:trPr>
          <w:trHeight w:val="510"/>
        </w:trPr>
        <w:tc>
          <w:tcPr>
            <w:tcW w:w="1703" w:type="dxa"/>
            <w:gridSpan w:val="2"/>
            <w:vMerge/>
            <w:vAlign w:val="center"/>
          </w:tcPr>
          <w:p w:rsidR="00EE56C0" w:rsidRDefault="00EE56C0">
            <w:pPr>
              <w:pStyle w:val="afa"/>
              <w:rPr>
                <w:u w:val="single"/>
              </w:rPr>
            </w:pPr>
          </w:p>
        </w:tc>
        <w:tc>
          <w:tcPr>
            <w:tcW w:w="1664" w:type="dxa"/>
            <w:vAlign w:val="center"/>
          </w:tcPr>
          <w:p w:rsidR="00EE56C0" w:rsidRDefault="000F36A1">
            <w:pPr>
              <w:pStyle w:val="afa"/>
              <w:rPr>
                <w:b/>
                <w:u w:val="single"/>
              </w:rPr>
            </w:pPr>
            <w:r>
              <w:rPr>
                <w:rFonts w:hint="eastAsia"/>
                <w:b/>
                <w:u w:val="single"/>
              </w:rPr>
              <w:t>固含量</w:t>
            </w:r>
          </w:p>
        </w:tc>
        <w:tc>
          <w:tcPr>
            <w:tcW w:w="5161" w:type="dxa"/>
            <w:gridSpan w:val="4"/>
            <w:vAlign w:val="center"/>
          </w:tcPr>
          <w:p w:rsidR="00EE56C0" w:rsidRDefault="000F36A1">
            <w:pPr>
              <w:pStyle w:val="afa"/>
              <w:rPr>
                <w:b/>
                <w:u w:val="single"/>
              </w:rPr>
            </w:pPr>
            <w:r>
              <w:rPr>
                <w:rFonts w:hint="eastAsia"/>
                <w:b/>
                <w:u w:val="single"/>
              </w:rPr>
              <w:t>挥发分</w:t>
            </w:r>
          </w:p>
        </w:tc>
      </w:tr>
      <w:tr w:rsidR="00EE56C0">
        <w:trPr>
          <w:trHeight w:val="510"/>
        </w:trPr>
        <w:tc>
          <w:tcPr>
            <w:tcW w:w="528" w:type="dxa"/>
            <w:vMerge w:val="restart"/>
            <w:vAlign w:val="center"/>
          </w:tcPr>
          <w:p w:rsidR="00EE56C0" w:rsidRDefault="000F36A1">
            <w:pPr>
              <w:pStyle w:val="afa"/>
              <w:rPr>
                <w:u w:val="single"/>
              </w:rPr>
            </w:pPr>
            <w:r>
              <w:rPr>
                <w:rFonts w:hint="eastAsia"/>
                <w:u w:val="single"/>
              </w:rPr>
              <w:t>1</w:t>
            </w:r>
          </w:p>
        </w:tc>
        <w:tc>
          <w:tcPr>
            <w:tcW w:w="1175" w:type="dxa"/>
            <w:vAlign w:val="center"/>
          </w:tcPr>
          <w:p w:rsidR="00EE56C0" w:rsidRDefault="000F36A1">
            <w:pPr>
              <w:pStyle w:val="afa"/>
              <w:rPr>
                <w:u w:val="single"/>
              </w:rPr>
            </w:pPr>
            <w:r>
              <w:rPr>
                <w:rFonts w:hint="eastAsia"/>
                <w:u w:val="single"/>
              </w:rPr>
              <w:t>聚酯漆</w:t>
            </w:r>
          </w:p>
        </w:tc>
        <w:tc>
          <w:tcPr>
            <w:tcW w:w="1664" w:type="dxa"/>
            <w:vAlign w:val="center"/>
          </w:tcPr>
          <w:p w:rsidR="00EE56C0" w:rsidRDefault="000F36A1">
            <w:pPr>
              <w:pStyle w:val="afa"/>
              <w:rPr>
                <w:u w:val="single"/>
              </w:rPr>
            </w:pPr>
            <w:r>
              <w:rPr>
                <w:u w:val="single"/>
              </w:rPr>
              <w:t>聚酯树脂</w:t>
            </w:r>
          </w:p>
        </w:tc>
        <w:tc>
          <w:tcPr>
            <w:tcW w:w="1559" w:type="dxa"/>
            <w:vAlign w:val="center"/>
          </w:tcPr>
          <w:p w:rsidR="00EE56C0" w:rsidRDefault="000F36A1">
            <w:pPr>
              <w:pStyle w:val="afa"/>
              <w:rPr>
                <w:u w:val="single"/>
              </w:rPr>
            </w:pPr>
            <w:r>
              <w:rPr>
                <w:rFonts w:hint="eastAsia"/>
                <w:u w:val="single"/>
              </w:rPr>
              <w:t>甲酚</w:t>
            </w:r>
          </w:p>
        </w:tc>
        <w:tc>
          <w:tcPr>
            <w:tcW w:w="1419" w:type="dxa"/>
            <w:vAlign w:val="center"/>
          </w:tcPr>
          <w:p w:rsidR="00EE56C0" w:rsidRDefault="000F36A1">
            <w:pPr>
              <w:pStyle w:val="afa"/>
              <w:rPr>
                <w:u w:val="single"/>
              </w:rPr>
            </w:pPr>
            <w:r>
              <w:rPr>
                <w:rFonts w:hint="eastAsia"/>
                <w:u w:val="single"/>
              </w:rPr>
              <w:t>芳烃溶剂油（以非甲烷总烃计）</w:t>
            </w:r>
          </w:p>
        </w:tc>
        <w:tc>
          <w:tcPr>
            <w:tcW w:w="1418" w:type="dxa"/>
            <w:vAlign w:val="center"/>
          </w:tcPr>
          <w:p w:rsidR="00EE56C0" w:rsidRDefault="000F36A1">
            <w:pPr>
              <w:pStyle w:val="afa"/>
              <w:rPr>
                <w:u w:val="single"/>
              </w:rPr>
            </w:pPr>
            <w:r>
              <w:rPr>
                <w:rFonts w:hint="eastAsia"/>
                <w:u w:val="single"/>
              </w:rPr>
              <w:t>/</w:t>
            </w:r>
          </w:p>
        </w:tc>
        <w:tc>
          <w:tcPr>
            <w:tcW w:w="765" w:type="dxa"/>
            <w:vAlign w:val="center"/>
          </w:tcPr>
          <w:p w:rsidR="00EE56C0" w:rsidRDefault="000F36A1">
            <w:pPr>
              <w:pStyle w:val="afa"/>
              <w:rPr>
                <w:u w:val="single"/>
              </w:rPr>
            </w:pPr>
            <w:r>
              <w:rPr>
                <w:rFonts w:hint="eastAsia"/>
                <w:u w:val="single"/>
              </w:rPr>
              <w:t>/</w:t>
            </w:r>
          </w:p>
        </w:tc>
      </w:tr>
      <w:tr w:rsidR="00EE56C0">
        <w:trPr>
          <w:trHeight w:val="510"/>
        </w:trPr>
        <w:tc>
          <w:tcPr>
            <w:tcW w:w="528" w:type="dxa"/>
            <w:vMerge/>
            <w:vAlign w:val="center"/>
          </w:tcPr>
          <w:p w:rsidR="00EE56C0" w:rsidRDefault="00EE56C0">
            <w:pPr>
              <w:pStyle w:val="afa"/>
              <w:rPr>
                <w:u w:val="single"/>
              </w:rPr>
            </w:pPr>
          </w:p>
        </w:tc>
        <w:tc>
          <w:tcPr>
            <w:tcW w:w="1175" w:type="dxa"/>
            <w:vAlign w:val="center"/>
          </w:tcPr>
          <w:p w:rsidR="00EE56C0" w:rsidRDefault="000F36A1">
            <w:pPr>
              <w:pStyle w:val="afa"/>
              <w:rPr>
                <w:u w:val="single"/>
              </w:rPr>
            </w:pPr>
            <w:r>
              <w:rPr>
                <w:rFonts w:hint="eastAsia"/>
                <w:u w:val="single"/>
              </w:rPr>
              <w:t>成分含量</w:t>
            </w:r>
          </w:p>
        </w:tc>
        <w:tc>
          <w:tcPr>
            <w:tcW w:w="1664" w:type="dxa"/>
            <w:vAlign w:val="center"/>
          </w:tcPr>
          <w:p w:rsidR="00EE56C0" w:rsidRDefault="000F36A1">
            <w:pPr>
              <w:pStyle w:val="afa"/>
              <w:rPr>
                <w:u w:val="single"/>
              </w:rPr>
            </w:pPr>
            <w:r>
              <w:rPr>
                <w:rFonts w:hint="eastAsia"/>
                <w:u w:val="single"/>
              </w:rPr>
              <w:t>44%</w:t>
            </w:r>
          </w:p>
        </w:tc>
        <w:tc>
          <w:tcPr>
            <w:tcW w:w="1559" w:type="dxa"/>
            <w:vAlign w:val="center"/>
          </w:tcPr>
          <w:p w:rsidR="00EE56C0" w:rsidRDefault="000F36A1">
            <w:pPr>
              <w:pStyle w:val="afa"/>
              <w:rPr>
                <w:u w:val="single"/>
              </w:rPr>
            </w:pPr>
            <w:r>
              <w:rPr>
                <w:rFonts w:hint="eastAsia"/>
                <w:u w:val="single"/>
              </w:rPr>
              <w:t>20~50</w:t>
            </w:r>
            <w:r>
              <w:rPr>
                <w:u w:val="single"/>
              </w:rPr>
              <w:t>%</w:t>
            </w:r>
          </w:p>
        </w:tc>
        <w:tc>
          <w:tcPr>
            <w:tcW w:w="1419" w:type="dxa"/>
            <w:vAlign w:val="center"/>
          </w:tcPr>
          <w:p w:rsidR="00EE56C0" w:rsidRDefault="000F36A1">
            <w:pPr>
              <w:pStyle w:val="afa"/>
              <w:rPr>
                <w:u w:val="single"/>
              </w:rPr>
            </w:pPr>
            <w:r>
              <w:rPr>
                <w:u w:val="single"/>
              </w:rPr>
              <w:t>1</w:t>
            </w:r>
            <w:r>
              <w:rPr>
                <w:rFonts w:hint="eastAsia"/>
                <w:u w:val="single"/>
              </w:rPr>
              <w:t>0</w:t>
            </w:r>
            <w:r>
              <w:rPr>
                <w:u w:val="single"/>
              </w:rPr>
              <w:t>~2</w:t>
            </w:r>
            <w:r>
              <w:rPr>
                <w:rFonts w:hint="eastAsia"/>
                <w:u w:val="single"/>
              </w:rPr>
              <w:t>0</w:t>
            </w:r>
            <w:r>
              <w:rPr>
                <w:u w:val="single"/>
              </w:rPr>
              <w:t>%</w:t>
            </w:r>
          </w:p>
        </w:tc>
        <w:tc>
          <w:tcPr>
            <w:tcW w:w="1418" w:type="dxa"/>
            <w:vAlign w:val="center"/>
          </w:tcPr>
          <w:p w:rsidR="00EE56C0" w:rsidRDefault="000F36A1">
            <w:pPr>
              <w:pStyle w:val="afa"/>
              <w:rPr>
                <w:u w:val="single"/>
              </w:rPr>
            </w:pPr>
            <w:r>
              <w:rPr>
                <w:rFonts w:hint="eastAsia"/>
                <w:u w:val="single"/>
              </w:rPr>
              <w:t>/</w:t>
            </w:r>
          </w:p>
        </w:tc>
        <w:tc>
          <w:tcPr>
            <w:tcW w:w="765" w:type="dxa"/>
            <w:vAlign w:val="center"/>
          </w:tcPr>
          <w:p w:rsidR="00EE56C0" w:rsidRDefault="000F36A1">
            <w:pPr>
              <w:pStyle w:val="afa"/>
              <w:rPr>
                <w:u w:val="single"/>
              </w:rPr>
            </w:pPr>
            <w:r>
              <w:rPr>
                <w:rFonts w:hint="eastAsia"/>
                <w:u w:val="single"/>
              </w:rPr>
              <w:t>/</w:t>
            </w:r>
          </w:p>
        </w:tc>
      </w:tr>
      <w:tr w:rsidR="00EE56C0">
        <w:trPr>
          <w:trHeight w:val="510"/>
        </w:trPr>
        <w:tc>
          <w:tcPr>
            <w:tcW w:w="528" w:type="dxa"/>
            <w:vMerge/>
            <w:vAlign w:val="center"/>
          </w:tcPr>
          <w:p w:rsidR="00EE56C0" w:rsidRDefault="00EE56C0">
            <w:pPr>
              <w:pStyle w:val="afa"/>
              <w:rPr>
                <w:u w:val="single"/>
              </w:rPr>
            </w:pPr>
          </w:p>
        </w:tc>
        <w:tc>
          <w:tcPr>
            <w:tcW w:w="1175" w:type="dxa"/>
            <w:vAlign w:val="center"/>
          </w:tcPr>
          <w:p w:rsidR="00EE56C0" w:rsidRDefault="000F36A1">
            <w:pPr>
              <w:pStyle w:val="afa"/>
              <w:rPr>
                <w:u w:val="single"/>
              </w:rPr>
            </w:pPr>
            <w:r>
              <w:rPr>
                <w:rFonts w:hint="eastAsia"/>
                <w:u w:val="single"/>
              </w:rPr>
              <w:t>本次评价取值</w:t>
            </w:r>
          </w:p>
        </w:tc>
        <w:tc>
          <w:tcPr>
            <w:tcW w:w="1664" w:type="dxa"/>
            <w:vAlign w:val="center"/>
          </w:tcPr>
          <w:p w:rsidR="00EE56C0" w:rsidRDefault="000F36A1">
            <w:pPr>
              <w:pStyle w:val="afa"/>
              <w:rPr>
                <w:u w:val="single"/>
              </w:rPr>
            </w:pPr>
            <w:r>
              <w:rPr>
                <w:rFonts w:hint="eastAsia"/>
                <w:u w:val="single"/>
              </w:rPr>
              <w:t>44%</w:t>
            </w:r>
          </w:p>
        </w:tc>
        <w:tc>
          <w:tcPr>
            <w:tcW w:w="1559" w:type="dxa"/>
            <w:vAlign w:val="center"/>
          </w:tcPr>
          <w:p w:rsidR="00EE56C0" w:rsidRDefault="000F36A1">
            <w:pPr>
              <w:pStyle w:val="afa"/>
              <w:rPr>
                <w:u w:val="single"/>
              </w:rPr>
            </w:pPr>
            <w:r>
              <w:rPr>
                <w:rFonts w:hint="eastAsia"/>
                <w:u w:val="single"/>
              </w:rPr>
              <w:t>46</w:t>
            </w:r>
            <w:r>
              <w:rPr>
                <w:u w:val="single"/>
              </w:rPr>
              <w:t>%</w:t>
            </w:r>
            <w:r>
              <w:rPr>
                <w:rFonts w:hint="eastAsia"/>
                <w:u w:val="single"/>
                <w:vertAlign w:val="superscript"/>
              </w:rPr>
              <w:t>a</w:t>
            </w:r>
          </w:p>
        </w:tc>
        <w:tc>
          <w:tcPr>
            <w:tcW w:w="1419" w:type="dxa"/>
            <w:vAlign w:val="center"/>
          </w:tcPr>
          <w:p w:rsidR="00EE56C0" w:rsidRDefault="000F36A1">
            <w:pPr>
              <w:pStyle w:val="afa"/>
              <w:rPr>
                <w:u w:val="single"/>
              </w:rPr>
            </w:pPr>
            <w:r>
              <w:rPr>
                <w:rFonts w:hint="eastAsia"/>
                <w:u w:val="single"/>
              </w:rPr>
              <w:t>10</w:t>
            </w:r>
            <w:r>
              <w:rPr>
                <w:u w:val="single"/>
              </w:rPr>
              <w:t>%</w:t>
            </w:r>
            <w:r>
              <w:rPr>
                <w:rFonts w:hint="eastAsia"/>
                <w:u w:val="single"/>
                <w:vertAlign w:val="superscript"/>
              </w:rPr>
              <w:t>a</w:t>
            </w:r>
          </w:p>
        </w:tc>
        <w:tc>
          <w:tcPr>
            <w:tcW w:w="1418" w:type="dxa"/>
            <w:vAlign w:val="center"/>
          </w:tcPr>
          <w:p w:rsidR="00EE56C0" w:rsidRDefault="000F36A1">
            <w:pPr>
              <w:pStyle w:val="afa"/>
              <w:rPr>
                <w:u w:val="single"/>
              </w:rPr>
            </w:pPr>
            <w:r>
              <w:rPr>
                <w:rFonts w:hint="eastAsia"/>
                <w:u w:val="single"/>
              </w:rPr>
              <w:t>/</w:t>
            </w:r>
          </w:p>
        </w:tc>
        <w:tc>
          <w:tcPr>
            <w:tcW w:w="765" w:type="dxa"/>
            <w:vAlign w:val="center"/>
          </w:tcPr>
          <w:p w:rsidR="00EE56C0" w:rsidRDefault="000F36A1">
            <w:pPr>
              <w:pStyle w:val="afa"/>
              <w:rPr>
                <w:u w:val="single"/>
              </w:rPr>
            </w:pPr>
            <w:r>
              <w:rPr>
                <w:rFonts w:hint="eastAsia"/>
                <w:u w:val="single"/>
              </w:rPr>
              <w:t>/</w:t>
            </w:r>
          </w:p>
        </w:tc>
      </w:tr>
      <w:tr w:rsidR="00EE56C0">
        <w:trPr>
          <w:trHeight w:val="510"/>
        </w:trPr>
        <w:tc>
          <w:tcPr>
            <w:tcW w:w="528" w:type="dxa"/>
            <w:vMerge w:val="restart"/>
            <w:vAlign w:val="center"/>
          </w:tcPr>
          <w:p w:rsidR="00EE56C0" w:rsidRDefault="000F36A1">
            <w:pPr>
              <w:pStyle w:val="afa"/>
              <w:rPr>
                <w:u w:val="single"/>
              </w:rPr>
            </w:pPr>
            <w:r>
              <w:rPr>
                <w:rFonts w:hint="eastAsia"/>
                <w:u w:val="single"/>
              </w:rPr>
              <w:t>2</w:t>
            </w:r>
          </w:p>
        </w:tc>
        <w:tc>
          <w:tcPr>
            <w:tcW w:w="1175" w:type="dxa"/>
            <w:vAlign w:val="center"/>
          </w:tcPr>
          <w:p w:rsidR="00EE56C0" w:rsidRDefault="000F36A1">
            <w:pPr>
              <w:pStyle w:val="afa"/>
              <w:rPr>
                <w:u w:val="single"/>
              </w:rPr>
            </w:pPr>
            <w:r>
              <w:rPr>
                <w:rFonts w:hint="eastAsia"/>
                <w:u w:val="single"/>
              </w:rPr>
              <w:t>聚酰胺酰亚胺漆</w:t>
            </w:r>
          </w:p>
        </w:tc>
        <w:tc>
          <w:tcPr>
            <w:tcW w:w="1664" w:type="dxa"/>
            <w:vAlign w:val="center"/>
          </w:tcPr>
          <w:p w:rsidR="00EE56C0" w:rsidRDefault="000F36A1">
            <w:pPr>
              <w:pStyle w:val="afa"/>
              <w:rPr>
                <w:u w:val="single"/>
              </w:rPr>
            </w:pPr>
            <w:r>
              <w:rPr>
                <w:u w:val="single"/>
              </w:rPr>
              <w:t>聚酰胺酰亚胺树脂</w:t>
            </w:r>
          </w:p>
        </w:tc>
        <w:tc>
          <w:tcPr>
            <w:tcW w:w="1559" w:type="dxa"/>
            <w:vAlign w:val="center"/>
          </w:tcPr>
          <w:p w:rsidR="00EE56C0" w:rsidRDefault="000F36A1">
            <w:pPr>
              <w:pStyle w:val="afa"/>
              <w:rPr>
                <w:u w:val="single"/>
              </w:rPr>
            </w:pPr>
            <w:r>
              <w:rPr>
                <w:rFonts w:hint="eastAsia"/>
                <w:u w:val="single"/>
              </w:rPr>
              <w:t>NMP</w:t>
            </w:r>
            <w:r>
              <w:rPr>
                <w:rFonts w:hint="eastAsia"/>
                <w:u w:val="single"/>
              </w:rPr>
              <w:t>、</w:t>
            </w:r>
            <w:r>
              <w:rPr>
                <w:rFonts w:hint="eastAsia"/>
                <w:u w:val="single"/>
              </w:rPr>
              <w:t>N,N-</w:t>
            </w:r>
            <w:r>
              <w:rPr>
                <w:rFonts w:hint="eastAsia"/>
                <w:u w:val="single"/>
              </w:rPr>
              <w:t>二甲基乙酰胺、</w:t>
            </w:r>
            <w:r>
              <w:rPr>
                <w:rFonts w:hint="eastAsia"/>
                <w:u w:val="single"/>
              </w:rPr>
              <w:t>N,N-</w:t>
            </w:r>
            <w:r>
              <w:rPr>
                <w:rFonts w:hint="eastAsia"/>
                <w:u w:val="single"/>
              </w:rPr>
              <w:t>二甲基甲酰胺（以非甲烷总烃计）</w:t>
            </w:r>
          </w:p>
        </w:tc>
        <w:tc>
          <w:tcPr>
            <w:tcW w:w="1419" w:type="dxa"/>
            <w:vAlign w:val="center"/>
          </w:tcPr>
          <w:p w:rsidR="00EE56C0" w:rsidRDefault="000F36A1">
            <w:pPr>
              <w:pStyle w:val="afa"/>
              <w:rPr>
                <w:u w:val="single"/>
              </w:rPr>
            </w:pPr>
            <w:r>
              <w:rPr>
                <w:rFonts w:hint="eastAsia"/>
                <w:u w:val="single"/>
              </w:rPr>
              <w:t>二甲苯</w:t>
            </w:r>
          </w:p>
        </w:tc>
        <w:tc>
          <w:tcPr>
            <w:tcW w:w="1418" w:type="dxa"/>
            <w:vAlign w:val="center"/>
          </w:tcPr>
          <w:p w:rsidR="00EE56C0" w:rsidRDefault="000F36A1">
            <w:pPr>
              <w:pStyle w:val="afa"/>
              <w:rPr>
                <w:u w:val="single"/>
              </w:rPr>
            </w:pPr>
            <w:r>
              <w:rPr>
                <w:rFonts w:hint="eastAsia"/>
                <w:u w:val="single"/>
              </w:rPr>
              <w:t>/</w:t>
            </w:r>
          </w:p>
        </w:tc>
        <w:tc>
          <w:tcPr>
            <w:tcW w:w="765" w:type="dxa"/>
            <w:vAlign w:val="center"/>
          </w:tcPr>
          <w:p w:rsidR="00EE56C0" w:rsidRDefault="000F36A1">
            <w:pPr>
              <w:pStyle w:val="afa"/>
              <w:rPr>
                <w:u w:val="single"/>
              </w:rPr>
            </w:pPr>
            <w:r>
              <w:rPr>
                <w:rFonts w:hint="eastAsia"/>
                <w:u w:val="single"/>
              </w:rPr>
              <w:t>/</w:t>
            </w:r>
          </w:p>
        </w:tc>
      </w:tr>
      <w:tr w:rsidR="00EE56C0">
        <w:trPr>
          <w:trHeight w:val="510"/>
        </w:trPr>
        <w:tc>
          <w:tcPr>
            <w:tcW w:w="528" w:type="dxa"/>
            <w:vMerge/>
            <w:vAlign w:val="center"/>
          </w:tcPr>
          <w:p w:rsidR="00EE56C0" w:rsidRDefault="00EE56C0">
            <w:pPr>
              <w:pStyle w:val="afa"/>
              <w:rPr>
                <w:u w:val="single"/>
              </w:rPr>
            </w:pPr>
          </w:p>
        </w:tc>
        <w:tc>
          <w:tcPr>
            <w:tcW w:w="1175" w:type="dxa"/>
            <w:vAlign w:val="center"/>
          </w:tcPr>
          <w:p w:rsidR="00EE56C0" w:rsidRDefault="000F36A1">
            <w:pPr>
              <w:pStyle w:val="afa"/>
              <w:rPr>
                <w:u w:val="single"/>
              </w:rPr>
            </w:pPr>
            <w:r>
              <w:rPr>
                <w:rFonts w:hint="eastAsia"/>
                <w:u w:val="single"/>
              </w:rPr>
              <w:t>成分含量</w:t>
            </w:r>
          </w:p>
        </w:tc>
        <w:tc>
          <w:tcPr>
            <w:tcW w:w="1664" w:type="dxa"/>
            <w:vAlign w:val="center"/>
          </w:tcPr>
          <w:p w:rsidR="00EE56C0" w:rsidRDefault="000F36A1">
            <w:pPr>
              <w:pStyle w:val="afa"/>
              <w:rPr>
                <w:u w:val="single"/>
              </w:rPr>
            </w:pPr>
            <w:r>
              <w:rPr>
                <w:rFonts w:hint="eastAsia"/>
                <w:u w:val="single"/>
              </w:rPr>
              <w:t>30</w:t>
            </w:r>
            <w:r>
              <w:rPr>
                <w:u w:val="single"/>
              </w:rPr>
              <w:t>%</w:t>
            </w:r>
          </w:p>
        </w:tc>
        <w:tc>
          <w:tcPr>
            <w:tcW w:w="1559" w:type="dxa"/>
            <w:vAlign w:val="center"/>
          </w:tcPr>
          <w:p w:rsidR="00EE56C0" w:rsidRDefault="000F36A1">
            <w:pPr>
              <w:pStyle w:val="afa"/>
              <w:rPr>
                <w:u w:val="single"/>
              </w:rPr>
            </w:pPr>
            <w:r>
              <w:rPr>
                <w:rFonts w:hint="eastAsia"/>
                <w:u w:val="single"/>
              </w:rPr>
              <w:t>20~70%</w:t>
            </w:r>
          </w:p>
        </w:tc>
        <w:tc>
          <w:tcPr>
            <w:tcW w:w="1419" w:type="dxa"/>
            <w:vAlign w:val="center"/>
          </w:tcPr>
          <w:p w:rsidR="00EE56C0" w:rsidRDefault="000F36A1">
            <w:pPr>
              <w:pStyle w:val="afa"/>
              <w:rPr>
                <w:u w:val="single"/>
              </w:rPr>
            </w:pPr>
            <w:r>
              <w:rPr>
                <w:rFonts w:hint="eastAsia"/>
                <w:u w:val="single"/>
              </w:rPr>
              <w:t>0~15</w:t>
            </w:r>
            <w:r>
              <w:rPr>
                <w:u w:val="single"/>
              </w:rPr>
              <w:t>%</w:t>
            </w:r>
          </w:p>
        </w:tc>
        <w:tc>
          <w:tcPr>
            <w:tcW w:w="1418" w:type="dxa"/>
            <w:vAlign w:val="center"/>
          </w:tcPr>
          <w:p w:rsidR="00EE56C0" w:rsidRDefault="000F36A1">
            <w:pPr>
              <w:pStyle w:val="afa"/>
              <w:rPr>
                <w:u w:val="single"/>
              </w:rPr>
            </w:pPr>
            <w:r>
              <w:rPr>
                <w:rFonts w:hint="eastAsia"/>
                <w:u w:val="single"/>
              </w:rPr>
              <w:t>/</w:t>
            </w:r>
          </w:p>
        </w:tc>
        <w:tc>
          <w:tcPr>
            <w:tcW w:w="765" w:type="dxa"/>
            <w:vAlign w:val="center"/>
          </w:tcPr>
          <w:p w:rsidR="00EE56C0" w:rsidRDefault="000F36A1">
            <w:pPr>
              <w:pStyle w:val="afa"/>
              <w:rPr>
                <w:u w:val="single"/>
              </w:rPr>
            </w:pPr>
            <w:r>
              <w:rPr>
                <w:rFonts w:hint="eastAsia"/>
                <w:u w:val="single"/>
              </w:rPr>
              <w:t>/</w:t>
            </w:r>
          </w:p>
        </w:tc>
      </w:tr>
      <w:tr w:rsidR="00EE56C0">
        <w:trPr>
          <w:trHeight w:val="510"/>
        </w:trPr>
        <w:tc>
          <w:tcPr>
            <w:tcW w:w="528" w:type="dxa"/>
            <w:vMerge/>
            <w:vAlign w:val="center"/>
          </w:tcPr>
          <w:p w:rsidR="00EE56C0" w:rsidRDefault="00EE56C0">
            <w:pPr>
              <w:pStyle w:val="afa"/>
              <w:rPr>
                <w:u w:val="single"/>
              </w:rPr>
            </w:pPr>
          </w:p>
        </w:tc>
        <w:tc>
          <w:tcPr>
            <w:tcW w:w="1175" w:type="dxa"/>
            <w:vAlign w:val="center"/>
          </w:tcPr>
          <w:p w:rsidR="00EE56C0" w:rsidRDefault="000F36A1">
            <w:pPr>
              <w:pStyle w:val="afa"/>
              <w:rPr>
                <w:u w:val="single"/>
              </w:rPr>
            </w:pPr>
            <w:r>
              <w:rPr>
                <w:rFonts w:hint="eastAsia"/>
                <w:u w:val="single"/>
              </w:rPr>
              <w:t>本次评价取值</w:t>
            </w:r>
          </w:p>
        </w:tc>
        <w:tc>
          <w:tcPr>
            <w:tcW w:w="1664" w:type="dxa"/>
            <w:vAlign w:val="center"/>
          </w:tcPr>
          <w:p w:rsidR="00EE56C0" w:rsidRDefault="000F36A1">
            <w:pPr>
              <w:pStyle w:val="afa"/>
              <w:rPr>
                <w:u w:val="single"/>
              </w:rPr>
            </w:pPr>
            <w:r>
              <w:rPr>
                <w:rFonts w:hint="eastAsia"/>
                <w:u w:val="single"/>
              </w:rPr>
              <w:t>30%</w:t>
            </w:r>
          </w:p>
        </w:tc>
        <w:tc>
          <w:tcPr>
            <w:tcW w:w="1559" w:type="dxa"/>
            <w:vAlign w:val="center"/>
          </w:tcPr>
          <w:p w:rsidR="00EE56C0" w:rsidRDefault="000F36A1">
            <w:pPr>
              <w:pStyle w:val="afa"/>
              <w:rPr>
                <w:u w:val="single"/>
              </w:rPr>
            </w:pPr>
            <w:r>
              <w:rPr>
                <w:rFonts w:hint="eastAsia"/>
                <w:u w:val="single"/>
              </w:rPr>
              <w:t>55</w:t>
            </w:r>
            <w:r>
              <w:rPr>
                <w:u w:val="single"/>
              </w:rPr>
              <w:t>%</w:t>
            </w:r>
            <w:r>
              <w:rPr>
                <w:rFonts w:hint="eastAsia"/>
                <w:u w:val="single"/>
                <w:vertAlign w:val="superscript"/>
              </w:rPr>
              <w:t>b</w:t>
            </w:r>
          </w:p>
        </w:tc>
        <w:tc>
          <w:tcPr>
            <w:tcW w:w="1419" w:type="dxa"/>
            <w:vAlign w:val="center"/>
          </w:tcPr>
          <w:p w:rsidR="00EE56C0" w:rsidRDefault="000F36A1">
            <w:pPr>
              <w:pStyle w:val="afa"/>
              <w:rPr>
                <w:u w:val="single"/>
              </w:rPr>
            </w:pPr>
            <w:r>
              <w:rPr>
                <w:rFonts w:hint="eastAsia"/>
                <w:u w:val="single"/>
              </w:rPr>
              <w:t>15</w:t>
            </w:r>
            <w:r>
              <w:rPr>
                <w:u w:val="single"/>
              </w:rPr>
              <w:t>%</w:t>
            </w:r>
            <w:r>
              <w:rPr>
                <w:rFonts w:hint="eastAsia"/>
                <w:u w:val="single"/>
                <w:vertAlign w:val="superscript"/>
              </w:rPr>
              <w:t>b</w:t>
            </w:r>
          </w:p>
        </w:tc>
        <w:tc>
          <w:tcPr>
            <w:tcW w:w="1418" w:type="dxa"/>
            <w:vAlign w:val="center"/>
          </w:tcPr>
          <w:p w:rsidR="00EE56C0" w:rsidRDefault="000F36A1">
            <w:pPr>
              <w:pStyle w:val="afa"/>
              <w:rPr>
                <w:u w:val="single"/>
              </w:rPr>
            </w:pPr>
            <w:r>
              <w:rPr>
                <w:rFonts w:hint="eastAsia"/>
                <w:u w:val="single"/>
              </w:rPr>
              <w:t>/</w:t>
            </w:r>
          </w:p>
        </w:tc>
        <w:tc>
          <w:tcPr>
            <w:tcW w:w="765" w:type="dxa"/>
            <w:vAlign w:val="center"/>
          </w:tcPr>
          <w:p w:rsidR="00EE56C0" w:rsidRDefault="000F36A1">
            <w:pPr>
              <w:pStyle w:val="afa"/>
              <w:rPr>
                <w:u w:val="single"/>
              </w:rPr>
            </w:pPr>
            <w:r>
              <w:rPr>
                <w:rFonts w:hint="eastAsia"/>
                <w:u w:val="single"/>
              </w:rPr>
              <w:t>/</w:t>
            </w:r>
          </w:p>
        </w:tc>
      </w:tr>
      <w:tr w:rsidR="00EE56C0">
        <w:trPr>
          <w:trHeight w:val="510"/>
        </w:trPr>
        <w:tc>
          <w:tcPr>
            <w:tcW w:w="528" w:type="dxa"/>
            <w:vMerge w:val="restart"/>
            <w:vAlign w:val="center"/>
          </w:tcPr>
          <w:p w:rsidR="00EE56C0" w:rsidRDefault="000F36A1">
            <w:pPr>
              <w:pStyle w:val="afa"/>
              <w:rPr>
                <w:u w:val="single"/>
              </w:rPr>
            </w:pPr>
            <w:r>
              <w:rPr>
                <w:rFonts w:hint="eastAsia"/>
                <w:u w:val="single"/>
              </w:rPr>
              <w:t>3</w:t>
            </w:r>
          </w:p>
        </w:tc>
        <w:tc>
          <w:tcPr>
            <w:tcW w:w="1175" w:type="dxa"/>
            <w:vAlign w:val="center"/>
          </w:tcPr>
          <w:p w:rsidR="00EE56C0" w:rsidRDefault="000F36A1">
            <w:pPr>
              <w:pStyle w:val="afa"/>
              <w:rPr>
                <w:u w:val="single"/>
              </w:rPr>
            </w:pPr>
            <w:r>
              <w:rPr>
                <w:rFonts w:hint="eastAsia"/>
                <w:u w:val="single"/>
              </w:rPr>
              <w:t>丝包漆</w:t>
            </w:r>
          </w:p>
        </w:tc>
        <w:tc>
          <w:tcPr>
            <w:tcW w:w="1664" w:type="dxa"/>
            <w:vAlign w:val="center"/>
          </w:tcPr>
          <w:p w:rsidR="00EE56C0" w:rsidRDefault="000F36A1">
            <w:pPr>
              <w:pStyle w:val="afa"/>
              <w:rPr>
                <w:u w:val="single"/>
              </w:rPr>
            </w:pPr>
            <w:r>
              <w:rPr>
                <w:rFonts w:hint="eastAsia"/>
                <w:u w:val="single"/>
              </w:rPr>
              <w:t>环氧改性聚酯</w:t>
            </w:r>
          </w:p>
          <w:p w:rsidR="00EE56C0" w:rsidRDefault="000F36A1">
            <w:pPr>
              <w:pStyle w:val="afa"/>
              <w:rPr>
                <w:u w:val="single"/>
              </w:rPr>
            </w:pPr>
            <w:r>
              <w:rPr>
                <w:rFonts w:hint="eastAsia"/>
                <w:u w:val="single"/>
              </w:rPr>
              <w:t>树脂</w:t>
            </w:r>
          </w:p>
        </w:tc>
        <w:tc>
          <w:tcPr>
            <w:tcW w:w="1559" w:type="dxa"/>
            <w:vAlign w:val="center"/>
          </w:tcPr>
          <w:p w:rsidR="00EE56C0" w:rsidRDefault="000F36A1">
            <w:pPr>
              <w:pStyle w:val="afa"/>
              <w:rPr>
                <w:u w:val="single"/>
              </w:rPr>
            </w:pPr>
            <w:r>
              <w:rPr>
                <w:rFonts w:hint="eastAsia"/>
                <w:u w:val="single"/>
              </w:rPr>
              <w:t>甲苯</w:t>
            </w:r>
          </w:p>
        </w:tc>
        <w:tc>
          <w:tcPr>
            <w:tcW w:w="1419" w:type="dxa"/>
            <w:vAlign w:val="center"/>
          </w:tcPr>
          <w:p w:rsidR="00EE56C0" w:rsidRDefault="000F36A1">
            <w:pPr>
              <w:pStyle w:val="afa"/>
              <w:rPr>
                <w:u w:val="single"/>
              </w:rPr>
            </w:pPr>
            <w:r>
              <w:rPr>
                <w:rFonts w:hint="eastAsia"/>
                <w:u w:val="single"/>
              </w:rPr>
              <w:t>二甲苯</w:t>
            </w:r>
          </w:p>
        </w:tc>
        <w:tc>
          <w:tcPr>
            <w:tcW w:w="1418" w:type="dxa"/>
            <w:vAlign w:val="center"/>
          </w:tcPr>
          <w:p w:rsidR="00EE56C0" w:rsidRDefault="000F36A1">
            <w:pPr>
              <w:pStyle w:val="afa"/>
              <w:rPr>
                <w:u w:val="single"/>
              </w:rPr>
            </w:pPr>
            <w:r>
              <w:rPr>
                <w:rFonts w:hint="eastAsia"/>
                <w:u w:val="single"/>
              </w:rPr>
              <w:t>丁醇（以非甲烷总烃计）</w:t>
            </w:r>
          </w:p>
        </w:tc>
        <w:tc>
          <w:tcPr>
            <w:tcW w:w="765" w:type="dxa"/>
            <w:vAlign w:val="center"/>
          </w:tcPr>
          <w:p w:rsidR="00EE56C0" w:rsidRDefault="000F36A1">
            <w:pPr>
              <w:pStyle w:val="afa"/>
              <w:rPr>
                <w:u w:val="single"/>
              </w:rPr>
            </w:pPr>
            <w:r>
              <w:rPr>
                <w:rFonts w:hint="eastAsia"/>
                <w:u w:val="single"/>
              </w:rPr>
              <w:t>助剂（含苯）</w:t>
            </w:r>
          </w:p>
        </w:tc>
      </w:tr>
      <w:tr w:rsidR="00EE56C0">
        <w:trPr>
          <w:trHeight w:val="510"/>
        </w:trPr>
        <w:tc>
          <w:tcPr>
            <w:tcW w:w="528" w:type="dxa"/>
            <w:vMerge/>
            <w:vAlign w:val="center"/>
          </w:tcPr>
          <w:p w:rsidR="00EE56C0" w:rsidRDefault="00EE56C0">
            <w:pPr>
              <w:pStyle w:val="afa"/>
              <w:rPr>
                <w:u w:val="single"/>
              </w:rPr>
            </w:pPr>
          </w:p>
        </w:tc>
        <w:tc>
          <w:tcPr>
            <w:tcW w:w="1175" w:type="dxa"/>
            <w:vAlign w:val="center"/>
          </w:tcPr>
          <w:p w:rsidR="00EE56C0" w:rsidRDefault="000F36A1">
            <w:pPr>
              <w:pStyle w:val="afa"/>
              <w:rPr>
                <w:u w:val="single"/>
              </w:rPr>
            </w:pPr>
            <w:r>
              <w:rPr>
                <w:rFonts w:hint="eastAsia"/>
                <w:u w:val="single"/>
              </w:rPr>
              <w:t>成分含量</w:t>
            </w:r>
          </w:p>
        </w:tc>
        <w:tc>
          <w:tcPr>
            <w:tcW w:w="1664" w:type="dxa"/>
            <w:vAlign w:val="center"/>
          </w:tcPr>
          <w:p w:rsidR="00EE56C0" w:rsidRDefault="000F36A1">
            <w:pPr>
              <w:pStyle w:val="afa"/>
              <w:rPr>
                <w:u w:val="single"/>
              </w:rPr>
            </w:pPr>
            <w:r>
              <w:rPr>
                <w:rFonts w:hint="eastAsia"/>
                <w:u w:val="single"/>
              </w:rPr>
              <w:t>60~65</w:t>
            </w:r>
            <w:r>
              <w:rPr>
                <w:u w:val="single"/>
              </w:rPr>
              <w:t>%</w:t>
            </w:r>
          </w:p>
        </w:tc>
        <w:tc>
          <w:tcPr>
            <w:tcW w:w="1559" w:type="dxa"/>
            <w:vAlign w:val="center"/>
          </w:tcPr>
          <w:p w:rsidR="00EE56C0" w:rsidRDefault="000F36A1">
            <w:pPr>
              <w:pStyle w:val="afa"/>
              <w:rPr>
                <w:u w:val="single"/>
              </w:rPr>
            </w:pPr>
            <w:r>
              <w:rPr>
                <w:rFonts w:hint="eastAsia"/>
                <w:u w:val="single"/>
              </w:rPr>
              <w:t>10~</w:t>
            </w:r>
            <w:r>
              <w:rPr>
                <w:u w:val="single"/>
              </w:rPr>
              <w:t>15%</w:t>
            </w:r>
          </w:p>
        </w:tc>
        <w:tc>
          <w:tcPr>
            <w:tcW w:w="1419" w:type="dxa"/>
            <w:vAlign w:val="center"/>
          </w:tcPr>
          <w:p w:rsidR="00EE56C0" w:rsidRDefault="000F36A1">
            <w:pPr>
              <w:pStyle w:val="afa"/>
              <w:rPr>
                <w:u w:val="single"/>
              </w:rPr>
            </w:pPr>
            <w:r>
              <w:rPr>
                <w:rFonts w:hint="eastAsia"/>
                <w:u w:val="single"/>
              </w:rPr>
              <w:t>10~</w:t>
            </w:r>
            <w:r>
              <w:rPr>
                <w:u w:val="single"/>
              </w:rPr>
              <w:t>15%</w:t>
            </w:r>
          </w:p>
        </w:tc>
        <w:tc>
          <w:tcPr>
            <w:tcW w:w="1418" w:type="dxa"/>
            <w:vAlign w:val="center"/>
          </w:tcPr>
          <w:p w:rsidR="00EE56C0" w:rsidRDefault="000F36A1">
            <w:pPr>
              <w:pStyle w:val="afa"/>
              <w:rPr>
                <w:u w:val="single"/>
              </w:rPr>
            </w:pPr>
            <w:r>
              <w:rPr>
                <w:rFonts w:ascii="宋体" w:hAnsi="宋体" w:hint="eastAsia"/>
                <w:u w:val="single"/>
              </w:rPr>
              <w:t>＜</w:t>
            </w:r>
            <w:r>
              <w:rPr>
                <w:rFonts w:hint="eastAsia"/>
                <w:u w:val="single"/>
              </w:rPr>
              <w:t>5</w:t>
            </w:r>
            <w:r>
              <w:rPr>
                <w:u w:val="single"/>
              </w:rPr>
              <w:t>%</w:t>
            </w:r>
          </w:p>
        </w:tc>
        <w:tc>
          <w:tcPr>
            <w:tcW w:w="765" w:type="dxa"/>
            <w:vAlign w:val="center"/>
          </w:tcPr>
          <w:p w:rsidR="00EE56C0" w:rsidRDefault="000F36A1">
            <w:pPr>
              <w:pStyle w:val="afa"/>
              <w:rPr>
                <w:u w:val="single"/>
              </w:rPr>
            </w:pPr>
            <w:r>
              <w:rPr>
                <w:rFonts w:ascii="宋体" w:hAnsi="宋体" w:hint="eastAsia"/>
                <w:u w:val="single"/>
              </w:rPr>
              <w:t>＜</w:t>
            </w:r>
            <w:r>
              <w:rPr>
                <w:rFonts w:hint="eastAsia"/>
                <w:u w:val="single"/>
              </w:rPr>
              <w:t>5</w:t>
            </w:r>
            <w:r>
              <w:rPr>
                <w:u w:val="single"/>
              </w:rPr>
              <w:t>%</w:t>
            </w:r>
          </w:p>
        </w:tc>
      </w:tr>
      <w:tr w:rsidR="00EE56C0">
        <w:trPr>
          <w:trHeight w:val="510"/>
        </w:trPr>
        <w:tc>
          <w:tcPr>
            <w:tcW w:w="528" w:type="dxa"/>
            <w:vMerge/>
            <w:vAlign w:val="center"/>
          </w:tcPr>
          <w:p w:rsidR="00EE56C0" w:rsidRDefault="00EE56C0">
            <w:pPr>
              <w:pStyle w:val="afa"/>
              <w:rPr>
                <w:u w:val="single"/>
              </w:rPr>
            </w:pPr>
          </w:p>
        </w:tc>
        <w:tc>
          <w:tcPr>
            <w:tcW w:w="1175" w:type="dxa"/>
            <w:vAlign w:val="center"/>
          </w:tcPr>
          <w:p w:rsidR="00EE56C0" w:rsidRDefault="000F36A1">
            <w:pPr>
              <w:pStyle w:val="afa"/>
              <w:rPr>
                <w:u w:val="single"/>
              </w:rPr>
            </w:pPr>
            <w:r>
              <w:rPr>
                <w:rFonts w:hint="eastAsia"/>
                <w:u w:val="single"/>
              </w:rPr>
              <w:t>本次评价取值</w:t>
            </w:r>
          </w:p>
        </w:tc>
        <w:tc>
          <w:tcPr>
            <w:tcW w:w="1664" w:type="dxa"/>
            <w:vAlign w:val="center"/>
          </w:tcPr>
          <w:p w:rsidR="00EE56C0" w:rsidRDefault="000F36A1">
            <w:pPr>
              <w:pStyle w:val="afa"/>
              <w:rPr>
                <w:u w:val="single"/>
              </w:rPr>
            </w:pPr>
            <w:r>
              <w:rPr>
                <w:rFonts w:hint="eastAsia"/>
                <w:u w:val="single"/>
              </w:rPr>
              <w:t>60</w:t>
            </w:r>
            <w:r>
              <w:rPr>
                <w:u w:val="single"/>
              </w:rPr>
              <w:t>%</w:t>
            </w:r>
            <w:r>
              <w:rPr>
                <w:rFonts w:hint="eastAsia"/>
                <w:u w:val="single"/>
                <w:vertAlign w:val="superscript"/>
              </w:rPr>
              <w:t xml:space="preserve"> c</w:t>
            </w:r>
          </w:p>
        </w:tc>
        <w:tc>
          <w:tcPr>
            <w:tcW w:w="1559" w:type="dxa"/>
            <w:vAlign w:val="center"/>
          </w:tcPr>
          <w:p w:rsidR="00EE56C0" w:rsidRDefault="000F36A1">
            <w:pPr>
              <w:pStyle w:val="afa"/>
              <w:rPr>
                <w:u w:val="single"/>
              </w:rPr>
            </w:pPr>
            <w:r>
              <w:rPr>
                <w:rFonts w:hint="eastAsia"/>
                <w:u w:val="single"/>
              </w:rPr>
              <w:t>15</w:t>
            </w:r>
            <w:r>
              <w:rPr>
                <w:u w:val="single"/>
              </w:rPr>
              <w:t>%</w:t>
            </w:r>
            <w:r>
              <w:rPr>
                <w:rFonts w:hint="eastAsia"/>
                <w:u w:val="single"/>
                <w:vertAlign w:val="superscript"/>
              </w:rPr>
              <w:t xml:space="preserve"> c</w:t>
            </w:r>
          </w:p>
        </w:tc>
        <w:tc>
          <w:tcPr>
            <w:tcW w:w="1419" w:type="dxa"/>
            <w:vAlign w:val="center"/>
          </w:tcPr>
          <w:p w:rsidR="00EE56C0" w:rsidRDefault="000F36A1">
            <w:pPr>
              <w:pStyle w:val="afa"/>
              <w:rPr>
                <w:u w:val="single"/>
              </w:rPr>
            </w:pPr>
            <w:r>
              <w:rPr>
                <w:rFonts w:hint="eastAsia"/>
                <w:u w:val="single"/>
              </w:rPr>
              <w:t>15</w:t>
            </w:r>
            <w:r>
              <w:rPr>
                <w:u w:val="single"/>
              </w:rPr>
              <w:t>%</w:t>
            </w:r>
            <w:r>
              <w:rPr>
                <w:rFonts w:hint="eastAsia"/>
                <w:u w:val="single"/>
                <w:vertAlign w:val="superscript"/>
              </w:rPr>
              <w:t xml:space="preserve"> c</w:t>
            </w:r>
          </w:p>
        </w:tc>
        <w:tc>
          <w:tcPr>
            <w:tcW w:w="1418" w:type="dxa"/>
            <w:vAlign w:val="center"/>
          </w:tcPr>
          <w:p w:rsidR="00EE56C0" w:rsidRDefault="000F36A1">
            <w:pPr>
              <w:pStyle w:val="afa"/>
              <w:rPr>
                <w:u w:val="single"/>
              </w:rPr>
            </w:pPr>
            <w:r>
              <w:rPr>
                <w:rFonts w:hint="eastAsia"/>
                <w:u w:val="single"/>
              </w:rPr>
              <w:t>5%</w:t>
            </w:r>
            <w:r>
              <w:rPr>
                <w:rFonts w:hint="eastAsia"/>
                <w:u w:val="single"/>
                <w:vertAlign w:val="superscript"/>
              </w:rPr>
              <w:t xml:space="preserve"> c</w:t>
            </w:r>
          </w:p>
        </w:tc>
        <w:tc>
          <w:tcPr>
            <w:tcW w:w="765" w:type="dxa"/>
            <w:vAlign w:val="center"/>
          </w:tcPr>
          <w:p w:rsidR="00EE56C0" w:rsidRDefault="000F36A1">
            <w:pPr>
              <w:pStyle w:val="afa"/>
              <w:rPr>
                <w:u w:val="single"/>
              </w:rPr>
            </w:pPr>
            <w:r>
              <w:rPr>
                <w:rFonts w:hint="eastAsia"/>
                <w:u w:val="single"/>
              </w:rPr>
              <w:t>5%</w:t>
            </w:r>
            <w:r>
              <w:rPr>
                <w:rFonts w:hint="eastAsia"/>
                <w:u w:val="single"/>
                <w:vertAlign w:val="superscript"/>
              </w:rPr>
              <w:t xml:space="preserve"> c</w:t>
            </w:r>
          </w:p>
        </w:tc>
      </w:tr>
    </w:tbl>
    <w:p w:rsidR="00EE56C0" w:rsidRDefault="000F36A1">
      <w:pPr>
        <w:ind w:firstLine="420"/>
        <w:rPr>
          <w:rFonts w:eastAsia="黑体"/>
          <w:sz w:val="21"/>
          <w:u w:val="single"/>
        </w:rPr>
      </w:pPr>
      <w:r>
        <w:rPr>
          <w:rFonts w:eastAsia="黑体" w:hAnsi="黑体"/>
          <w:sz w:val="21"/>
          <w:u w:val="single"/>
        </w:rPr>
        <w:t>注：</w:t>
      </w:r>
    </w:p>
    <w:p w:rsidR="00EE56C0" w:rsidRDefault="000F36A1">
      <w:pPr>
        <w:ind w:firstLine="420"/>
        <w:rPr>
          <w:rFonts w:eastAsia="黑体"/>
          <w:sz w:val="21"/>
          <w:u w:val="single"/>
        </w:rPr>
      </w:pPr>
      <w:r>
        <w:rPr>
          <w:rFonts w:eastAsia="黑体"/>
          <w:sz w:val="21"/>
          <w:u w:val="single"/>
        </w:rPr>
        <w:t>a</w:t>
      </w:r>
      <w:r>
        <w:rPr>
          <w:rFonts w:eastAsia="黑体" w:hAnsi="黑体"/>
          <w:sz w:val="21"/>
          <w:u w:val="single"/>
        </w:rPr>
        <w:t>：根据成分的毒性确定各物质含量，甲酚的毒性比芳烃溶剂油大，按最不利因素考虑，芳烃溶剂油含量取范围的下限值，即芳烃溶剂油</w:t>
      </w:r>
      <w:r>
        <w:rPr>
          <w:rFonts w:eastAsia="黑体"/>
          <w:sz w:val="21"/>
          <w:u w:val="single"/>
        </w:rPr>
        <w:t>10%</w:t>
      </w:r>
      <w:r>
        <w:rPr>
          <w:rFonts w:eastAsia="黑体" w:hAnsi="黑体"/>
          <w:sz w:val="21"/>
          <w:u w:val="single"/>
        </w:rPr>
        <w:t>，扣除聚酯树脂</w:t>
      </w:r>
      <w:r>
        <w:rPr>
          <w:rFonts w:eastAsia="黑体"/>
          <w:sz w:val="21"/>
          <w:u w:val="single"/>
        </w:rPr>
        <w:t>44%</w:t>
      </w:r>
      <w:r>
        <w:rPr>
          <w:rFonts w:eastAsia="黑体" w:hAnsi="黑体"/>
          <w:sz w:val="21"/>
          <w:u w:val="single"/>
        </w:rPr>
        <w:t>、芳烃溶剂油</w:t>
      </w:r>
      <w:r>
        <w:rPr>
          <w:rFonts w:eastAsia="黑体"/>
          <w:sz w:val="21"/>
          <w:u w:val="single"/>
        </w:rPr>
        <w:t>10%</w:t>
      </w:r>
      <w:r>
        <w:rPr>
          <w:rFonts w:eastAsia="黑体" w:hAnsi="黑体"/>
          <w:sz w:val="21"/>
          <w:u w:val="single"/>
        </w:rPr>
        <w:t>后，则甲酚含量取</w:t>
      </w:r>
      <w:r>
        <w:rPr>
          <w:rFonts w:eastAsia="黑体"/>
          <w:sz w:val="21"/>
          <w:u w:val="single"/>
        </w:rPr>
        <w:t>46%</w:t>
      </w:r>
      <w:r>
        <w:rPr>
          <w:rFonts w:eastAsia="黑体" w:hAnsi="黑体"/>
          <w:sz w:val="21"/>
          <w:u w:val="single"/>
        </w:rPr>
        <w:t>。</w:t>
      </w:r>
    </w:p>
    <w:p w:rsidR="00EE56C0" w:rsidRDefault="000F36A1">
      <w:pPr>
        <w:ind w:firstLine="420"/>
        <w:rPr>
          <w:rFonts w:eastAsia="黑体"/>
          <w:sz w:val="21"/>
          <w:u w:val="single"/>
        </w:rPr>
      </w:pPr>
      <w:r>
        <w:rPr>
          <w:rFonts w:eastAsia="黑体"/>
          <w:sz w:val="21"/>
          <w:u w:val="single"/>
        </w:rPr>
        <w:t>b</w:t>
      </w:r>
      <w:r>
        <w:rPr>
          <w:rFonts w:eastAsia="黑体" w:hAnsi="黑体"/>
          <w:sz w:val="21"/>
          <w:u w:val="single"/>
        </w:rPr>
        <w:t>：根据成分的毒性确定各物质含量，二甲苯毒性比</w:t>
      </w:r>
      <w:r>
        <w:rPr>
          <w:rFonts w:eastAsia="黑体"/>
          <w:sz w:val="21"/>
          <w:u w:val="single"/>
        </w:rPr>
        <w:t>NMP</w:t>
      </w:r>
      <w:r>
        <w:rPr>
          <w:rFonts w:eastAsia="黑体" w:hAnsi="黑体"/>
          <w:sz w:val="21"/>
          <w:u w:val="single"/>
        </w:rPr>
        <w:t>、</w:t>
      </w:r>
      <w:r>
        <w:rPr>
          <w:rFonts w:eastAsia="黑体"/>
          <w:sz w:val="21"/>
          <w:u w:val="single"/>
        </w:rPr>
        <w:t>N,N-</w:t>
      </w:r>
      <w:r>
        <w:rPr>
          <w:rFonts w:eastAsia="黑体" w:hAnsi="黑体"/>
          <w:sz w:val="21"/>
          <w:u w:val="single"/>
        </w:rPr>
        <w:t>二甲基乙酰胺、</w:t>
      </w:r>
      <w:r>
        <w:rPr>
          <w:rFonts w:eastAsia="黑体"/>
          <w:sz w:val="21"/>
          <w:u w:val="single"/>
        </w:rPr>
        <w:t>N,N-</w:t>
      </w:r>
      <w:r>
        <w:rPr>
          <w:rFonts w:eastAsia="黑体" w:hAnsi="黑体"/>
          <w:sz w:val="21"/>
          <w:u w:val="single"/>
        </w:rPr>
        <w:t>二甲基甲酰胺毒性大，按最不利因素考虑，二甲苯含量取范围的上限值，即二甲苯</w:t>
      </w:r>
      <w:r>
        <w:rPr>
          <w:rFonts w:eastAsia="黑体"/>
          <w:sz w:val="21"/>
          <w:u w:val="single"/>
        </w:rPr>
        <w:t>15%</w:t>
      </w:r>
      <w:r>
        <w:rPr>
          <w:rFonts w:eastAsia="黑体" w:hAnsi="黑体"/>
          <w:sz w:val="21"/>
          <w:u w:val="single"/>
        </w:rPr>
        <w:t>，扣除聚酰胺酰亚胺树脂</w:t>
      </w:r>
      <w:r>
        <w:rPr>
          <w:rFonts w:eastAsia="黑体"/>
          <w:sz w:val="21"/>
          <w:u w:val="single"/>
        </w:rPr>
        <w:t>30%</w:t>
      </w:r>
      <w:r>
        <w:rPr>
          <w:rFonts w:eastAsia="黑体" w:hAnsi="黑体"/>
          <w:sz w:val="21"/>
          <w:u w:val="single"/>
        </w:rPr>
        <w:t>、二甲苯</w:t>
      </w:r>
      <w:r>
        <w:rPr>
          <w:rFonts w:eastAsia="黑体"/>
          <w:sz w:val="21"/>
          <w:u w:val="single"/>
        </w:rPr>
        <w:t>15%</w:t>
      </w:r>
      <w:r>
        <w:rPr>
          <w:rFonts w:eastAsia="黑体" w:hAnsi="黑体"/>
          <w:sz w:val="21"/>
          <w:u w:val="single"/>
        </w:rPr>
        <w:t>后，则</w:t>
      </w:r>
      <w:r>
        <w:rPr>
          <w:rFonts w:eastAsia="黑体"/>
          <w:sz w:val="21"/>
          <w:u w:val="single"/>
        </w:rPr>
        <w:t>NMP</w:t>
      </w:r>
      <w:r>
        <w:rPr>
          <w:rFonts w:eastAsia="黑体" w:hAnsi="黑体"/>
          <w:sz w:val="21"/>
          <w:u w:val="single"/>
        </w:rPr>
        <w:t>、</w:t>
      </w:r>
      <w:r>
        <w:rPr>
          <w:rFonts w:eastAsia="黑体"/>
          <w:sz w:val="21"/>
          <w:u w:val="single"/>
        </w:rPr>
        <w:t>N,N-</w:t>
      </w:r>
      <w:r>
        <w:rPr>
          <w:rFonts w:eastAsia="黑体" w:hAnsi="黑体"/>
          <w:sz w:val="21"/>
          <w:u w:val="single"/>
        </w:rPr>
        <w:t>二甲基乙酰胺、</w:t>
      </w:r>
      <w:r>
        <w:rPr>
          <w:rFonts w:eastAsia="黑体"/>
          <w:sz w:val="21"/>
          <w:u w:val="single"/>
        </w:rPr>
        <w:t>N,N-</w:t>
      </w:r>
      <w:r>
        <w:rPr>
          <w:rFonts w:eastAsia="黑体" w:hAnsi="黑体"/>
          <w:sz w:val="21"/>
          <w:u w:val="single"/>
        </w:rPr>
        <w:t>二甲基甲酰胺含量合计取</w:t>
      </w:r>
      <w:r>
        <w:rPr>
          <w:rFonts w:eastAsia="黑体"/>
          <w:sz w:val="21"/>
          <w:u w:val="single"/>
        </w:rPr>
        <w:t>55%</w:t>
      </w:r>
      <w:r>
        <w:rPr>
          <w:rFonts w:eastAsia="黑体" w:hAnsi="黑体"/>
          <w:sz w:val="21"/>
          <w:u w:val="single"/>
        </w:rPr>
        <w:t>，</w:t>
      </w:r>
      <w:r>
        <w:rPr>
          <w:rFonts w:eastAsia="黑体"/>
          <w:sz w:val="21"/>
          <w:u w:val="single"/>
        </w:rPr>
        <w:t>NMP</w:t>
      </w:r>
      <w:r>
        <w:rPr>
          <w:rFonts w:eastAsia="黑体" w:hAnsi="黑体"/>
          <w:sz w:val="21"/>
          <w:u w:val="single"/>
        </w:rPr>
        <w:t>、</w:t>
      </w:r>
      <w:r>
        <w:rPr>
          <w:rFonts w:eastAsia="黑体"/>
          <w:sz w:val="21"/>
          <w:u w:val="single"/>
        </w:rPr>
        <w:t>N,N-</w:t>
      </w:r>
      <w:r>
        <w:rPr>
          <w:rFonts w:eastAsia="黑体" w:hAnsi="黑体"/>
          <w:sz w:val="21"/>
          <w:u w:val="single"/>
        </w:rPr>
        <w:t>二甲基乙酰胺、</w:t>
      </w:r>
      <w:r>
        <w:rPr>
          <w:rFonts w:eastAsia="黑体"/>
          <w:sz w:val="21"/>
          <w:u w:val="single"/>
        </w:rPr>
        <w:t>N,N-</w:t>
      </w:r>
      <w:r>
        <w:rPr>
          <w:rFonts w:eastAsia="黑体" w:hAnsi="黑体"/>
          <w:sz w:val="21"/>
          <w:u w:val="single"/>
        </w:rPr>
        <w:t>二甲基甲酰胺按非甲烷总烃计。</w:t>
      </w:r>
    </w:p>
    <w:p w:rsidR="00EE56C0" w:rsidRDefault="000F36A1">
      <w:pPr>
        <w:ind w:firstLine="420"/>
        <w:rPr>
          <w:rFonts w:eastAsia="黑体"/>
          <w:sz w:val="21"/>
          <w:u w:val="single"/>
        </w:rPr>
      </w:pPr>
      <w:r>
        <w:rPr>
          <w:rFonts w:eastAsia="黑体"/>
          <w:sz w:val="21"/>
          <w:u w:val="single"/>
        </w:rPr>
        <w:t>c</w:t>
      </w:r>
      <w:r>
        <w:rPr>
          <w:rFonts w:eastAsia="黑体" w:hAnsi="黑体"/>
          <w:sz w:val="21"/>
          <w:u w:val="single"/>
        </w:rPr>
        <w:t>：根据成分的毒性确定各物质含量，由于苯、甲苯、二甲苯的</w:t>
      </w:r>
      <w:r>
        <w:rPr>
          <w:rFonts w:eastAsia="黑体" w:hAnsi="黑体"/>
          <w:sz w:val="21"/>
          <w:szCs w:val="21"/>
          <w:u w:val="single"/>
        </w:rPr>
        <w:t>毒性比丁醇毒性</w:t>
      </w:r>
      <w:r>
        <w:rPr>
          <w:rFonts w:eastAsia="黑体" w:hAnsi="黑体"/>
          <w:sz w:val="21"/>
          <w:u w:val="single"/>
        </w:rPr>
        <w:t>大，按最不利因素考虑，甲苯、二甲苯含量取范围的上限值，即助剂（按苯计）</w:t>
      </w:r>
      <w:r>
        <w:rPr>
          <w:rFonts w:eastAsia="黑体"/>
          <w:sz w:val="21"/>
          <w:u w:val="single"/>
        </w:rPr>
        <w:t>5%</w:t>
      </w:r>
      <w:r>
        <w:rPr>
          <w:rFonts w:eastAsia="黑体" w:hAnsi="黑体"/>
          <w:sz w:val="21"/>
          <w:u w:val="single"/>
        </w:rPr>
        <w:t>、甲苯</w:t>
      </w:r>
      <w:r>
        <w:rPr>
          <w:rFonts w:eastAsia="黑体"/>
          <w:sz w:val="21"/>
          <w:u w:val="single"/>
        </w:rPr>
        <w:t>15%</w:t>
      </w:r>
      <w:r>
        <w:rPr>
          <w:rFonts w:eastAsia="黑体" w:hAnsi="黑体"/>
          <w:sz w:val="21"/>
          <w:u w:val="single"/>
        </w:rPr>
        <w:t>、二甲苯</w:t>
      </w:r>
      <w:r>
        <w:rPr>
          <w:rFonts w:eastAsia="黑体"/>
          <w:sz w:val="21"/>
          <w:u w:val="single"/>
        </w:rPr>
        <w:t>15%</w:t>
      </w:r>
      <w:r>
        <w:rPr>
          <w:rFonts w:eastAsia="黑体" w:hAnsi="黑体"/>
          <w:sz w:val="21"/>
          <w:u w:val="single"/>
        </w:rPr>
        <w:t>，环氧改性聚酯树脂为固体组分，取下限值，即环氧改性聚酯树脂</w:t>
      </w:r>
      <w:r>
        <w:rPr>
          <w:rFonts w:eastAsia="黑体"/>
          <w:sz w:val="21"/>
          <w:u w:val="single"/>
        </w:rPr>
        <w:t>60%</w:t>
      </w:r>
      <w:r>
        <w:rPr>
          <w:rFonts w:eastAsia="黑体" w:hAnsi="黑体"/>
          <w:sz w:val="21"/>
          <w:u w:val="single"/>
        </w:rPr>
        <w:t>，扣除环氧改性聚酯树脂</w:t>
      </w:r>
      <w:r>
        <w:rPr>
          <w:rFonts w:eastAsia="黑体"/>
          <w:sz w:val="21"/>
          <w:u w:val="single"/>
        </w:rPr>
        <w:t>60%</w:t>
      </w:r>
      <w:r>
        <w:rPr>
          <w:rFonts w:eastAsia="黑体" w:hAnsi="黑体"/>
          <w:sz w:val="21"/>
          <w:u w:val="single"/>
        </w:rPr>
        <w:t>、甲苯</w:t>
      </w:r>
      <w:r>
        <w:rPr>
          <w:rFonts w:eastAsia="黑体"/>
          <w:sz w:val="21"/>
          <w:u w:val="single"/>
        </w:rPr>
        <w:t>15%</w:t>
      </w:r>
      <w:r>
        <w:rPr>
          <w:rFonts w:eastAsia="黑体" w:hAnsi="黑体"/>
          <w:sz w:val="21"/>
          <w:u w:val="single"/>
        </w:rPr>
        <w:t>、二甲苯</w:t>
      </w:r>
      <w:r>
        <w:rPr>
          <w:rFonts w:eastAsia="黑体"/>
          <w:sz w:val="21"/>
          <w:u w:val="single"/>
        </w:rPr>
        <w:t>15%</w:t>
      </w:r>
      <w:r>
        <w:rPr>
          <w:rFonts w:eastAsia="黑体" w:hAnsi="黑体"/>
          <w:sz w:val="21"/>
          <w:u w:val="single"/>
        </w:rPr>
        <w:t>、助剂（按苯计）</w:t>
      </w:r>
      <w:r>
        <w:rPr>
          <w:rFonts w:eastAsia="黑体"/>
          <w:sz w:val="21"/>
          <w:u w:val="single"/>
        </w:rPr>
        <w:t>5%</w:t>
      </w:r>
      <w:r>
        <w:rPr>
          <w:rFonts w:eastAsia="黑体" w:hAnsi="黑体"/>
          <w:sz w:val="21"/>
          <w:u w:val="single"/>
        </w:rPr>
        <w:t>后，则丁醇含量取</w:t>
      </w:r>
      <w:r>
        <w:rPr>
          <w:rFonts w:eastAsia="黑体"/>
          <w:sz w:val="21"/>
          <w:u w:val="single"/>
        </w:rPr>
        <w:t>5%</w:t>
      </w:r>
      <w:r>
        <w:rPr>
          <w:rFonts w:eastAsia="黑体" w:hAnsi="黑体"/>
          <w:sz w:val="21"/>
          <w:u w:val="single"/>
        </w:rPr>
        <w:t>。</w:t>
      </w:r>
    </w:p>
    <w:p w:rsidR="00EE56C0" w:rsidRDefault="000F36A1">
      <w:pPr>
        <w:ind w:firstLine="480"/>
      </w:pPr>
      <w:r>
        <w:rPr>
          <w:rFonts w:hint="eastAsia"/>
        </w:rPr>
        <w:t>按照环评最不利原则，按漆料中以酚类、苯类、</w:t>
      </w:r>
      <w:r>
        <w:rPr>
          <w:rFonts w:hint="eastAsia"/>
        </w:rPr>
        <w:t>NMP</w:t>
      </w:r>
      <w:r>
        <w:rPr>
          <w:rFonts w:hint="eastAsia"/>
        </w:rPr>
        <w:t>、丁醇等</w:t>
      </w:r>
      <w:r>
        <w:t>为主的</w:t>
      </w:r>
      <w:r>
        <w:rPr>
          <w:rFonts w:hint="eastAsia"/>
        </w:rPr>
        <w:t>成分</w:t>
      </w:r>
      <w:r>
        <w:t>全部挥发。</w:t>
      </w:r>
      <w:r>
        <w:rPr>
          <w:rFonts w:hint="eastAsia"/>
        </w:rPr>
        <w:t>漆包线、丝包线废气产生情况见下表。</w:t>
      </w:r>
    </w:p>
    <w:p w:rsidR="00EE56C0" w:rsidRDefault="000F36A1">
      <w:pPr>
        <w:pStyle w:val="afd"/>
        <w:spacing w:before="120" w:after="120"/>
        <w:ind w:firstLine="482"/>
      </w:pPr>
      <w:r>
        <w:rPr>
          <w:rFonts w:hint="eastAsia"/>
        </w:rPr>
        <w:t>表</w:t>
      </w:r>
      <w:r>
        <w:rPr>
          <w:rFonts w:hint="eastAsia"/>
        </w:rPr>
        <w:t xml:space="preserve">3-21            </w:t>
      </w:r>
      <w:r>
        <w:rPr>
          <w:rFonts w:hint="eastAsia"/>
        </w:rPr>
        <w:t>本项目漆包线、丝包线废气产生情况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05"/>
        <w:gridCol w:w="1088"/>
        <w:gridCol w:w="993"/>
        <w:gridCol w:w="1134"/>
        <w:gridCol w:w="1366"/>
        <w:gridCol w:w="1098"/>
        <w:gridCol w:w="909"/>
        <w:gridCol w:w="935"/>
      </w:tblGrid>
      <w:tr w:rsidR="00EE56C0">
        <w:trPr>
          <w:trHeight w:val="454"/>
        </w:trPr>
        <w:tc>
          <w:tcPr>
            <w:tcW w:w="589" w:type="pct"/>
            <w:vAlign w:val="center"/>
          </w:tcPr>
          <w:p w:rsidR="00EE56C0" w:rsidRDefault="000F36A1">
            <w:pPr>
              <w:pStyle w:val="aff1"/>
              <w:rPr>
                <w:color w:val="auto"/>
              </w:rPr>
            </w:pPr>
            <w:r>
              <w:rPr>
                <w:rFonts w:hint="eastAsia"/>
                <w:color w:val="auto"/>
              </w:rPr>
              <w:t>产品</w:t>
            </w:r>
          </w:p>
        </w:tc>
        <w:tc>
          <w:tcPr>
            <w:tcW w:w="638" w:type="pct"/>
            <w:vAlign w:val="center"/>
          </w:tcPr>
          <w:p w:rsidR="00EE56C0" w:rsidRDefault="000F36A1">
            <w:pPr>
              <w:pStyle w:val="aff1"/>
              <w:rPr>
                <w:color w:val="auto"/>
              </w:rPr>
            </w:pPr>
            <w:r>
              <w:rPr>
                <w:rFonts w:hint="eastAsia"/>
                <w:color w:val="auto"/>
              </w:rPr>
              <w:t>原料</w:t>
            </w:r>
          </w:p>
        </w:tc>
        <w:tc>
          <w:tcPr>
            <w:tcW w:w="582" w:type="pct"/>
            <w:vAlign w:val="center"/>
          </w:tcPr>
          <w:p w:rsidR="00EE56C0" w:rsidRDefault="000F36A1">
            <w:pPr>
              <w:pStyle w:val="aff1"/>
              <w:rPr>
                <w:color w:val="auto"/>
              </w:rPr>
            </w:pPr>
            <w:r>
              <w:rPr>
                <w:rFonts w:hint="eastAsia"/>
                <w:color w:val="auto"/>
              </w:rPr>
              <w:t>项目</w:t>
            </w:r>
          </w:p>
        </w:tc>
        <w:tc>
          <w:tcPr>
            <w:tcW w:w="665" w:type="pct"/>
            <w:vAlign w:val="center"/>
          </w:tcPr>
          <w:p w:rsidR="00EE56C0" w:rsidRDefault="000F36A1">
            <w:pPr>
              <w:pStyle w:val="aff1"/>
              <w:rPr>
                <w:color w:val="auto"/>
              </w:rPr>
            </w:pPr>
            <w:r>
              <w:rPr>
                <w:rFonts w:hint="eastAsia"/>
                <w:color w:val="auto"/>
              </w:rPr>
              <w:t>年用量</w:t>
            </w:r>
          </w:p>
        </w:tc>
        <w:tc>
          <w:tcPr>
            <w:tcW w:w="2526" w:type="pct"/>
            <w:gridSpan w:val="4"/>
            <w:vAlign w:val="center"/>
          </w:tcPr>
          <w:p w:rsidR="00EE56C0" w:rsidRDefault="000F36A1">
            <w:pPr>
              <w:pStyle w:val="aff1"/>
              <w:rPr>
                <w:color w:val="auto"/>
              </w:rPr>
            </w:pPr>
            <w:r>
              <w:rPr>
                <w:rFonts w:hint="eastAsia"/>
                <w:color w:val="auto"/>
              </w:rPr>
              <w:t>挥发分</w:t>
            </w:r>
          </w:p>
        </w:tc>
      </w:tr>
      <w:tr w:rsidR="00EE56C0">
        <w:trPr>
          <w:trHeight w:val="454"/>
        </w:trPr>
        <w:tc>
          <w:tcPr>
            <w:tcW w:w="589" w:type="pct"/>
            <w:vMerge w:val="restart"/>
            <w:vAlign w:val="center"/>
          </w:tcPr>
          <w:p w:rsidR="00EE56C0" w:rsidRDefault="000F36A1">
            <w:pPr>
              <w:pStyle w:val="afa"/>
            </w:pPr>
            <w:r>
              <w:rPr>
                <w:rFonts w:hint="eastAsia"/>
              </w:rPr>
              <w:t>漆包线</w:t>
            </w:r>
          </w:p>
        </w:tc>
        <w:tc>
          <w:tcPr>
            <w:tcW w:w="638" w:type="pct"/>
            <w:vMerge w:val="restart"/>
            <w:vAlign w:val="center"/>
          </w:tcPr>
          <w:p w:rsidR="00EE56C0" w:rsidRDefault="000F36A1">
            <w:pPr>
              <w:pStyle w:val="afa"/>
            </w:pPr>
            <w:r>
              <w:t>聚酯漆</w:t>
            </w:r>
          </w:p>
        </w:tc>
        <w:tc>
          <w:tcPr>
            <w:tcW w:w="582" w:type="pct"/>
            <w:vMerge w:val="restart"/>
            <w:vAlign w:val="center"/>
          </w:tcPr>
          <w:p w:rsidR="00EE56C0" w:rsidRDefault="000F36A1">
            <w:pPr>
              <w:pStyle w:val="afa"/>
            </w:pPr>
            <w:r>
              <w:rPr>
                <w:rFonts w:hint="eastAsia"/>
              </w:rPr>
              <w:t>/</w:t>
            </w:r>
          </w:p>
        </w:tc>
        <w:tc>
          <w:tcPr>
            <w:tcW w:w="665" w:type="pct"/>
            <w:vMerge w:val="restart"/>
            <w:vAlign w:val="center"/>
          </w:tcPr>
          <w:p w:rsidR="00EE56C0" w:rsidRDefault="000F36A1">
            <w:pPr>
              <w:pStyle w:val="afa"/>
            </w:pPr>
            <w:r>
              <w:rPr>
                <w:rFonts w:hint="eastAsia"/>
              </w:rPr>
              <w:t>/</w:t>
            </w:r>
          </w:p>
        </w:tc>
        <w:tc>
          <w:tcPr>
            <w:tcW w:w="1445" w:type="pct"/>
            <w:gridSpan w:val="2"/>
            <w:vAlign w:val="center"/>
          </w:tcPr>
          <w:p w:rsidR="00EE56C0" w:rsidRDefault="000F36A1">
            <w:pPr>
              <w:pStyle w:val="afa"/>
            </w:pPr>
            <w:r>
              <w:rPr>
                <w:rFonts w:hint="eastAsia"/>
              </w:rPr>
              <w:t>甲酚</w:t>
            </w:r>
          </w:p>
        </w:tc>
        <w:tc>
          <w:tcPr>
            <w:tcW w:w="1081" w:type="pct"/>
            <w:gridSpan w:val="2"/>
            <w:vAlign w:val="center"/>
          </w:tcPr>
          <w:p w:rsidR="00EE56C0" w:rsidRDefault="000F36A1">
            <w:pPr>
              <w:pStyle w:val="afa"/>
            </w:pPr>
            <w:r>
              <w:rPr>
                <w:rFonts w:hint="eastAsia"/>
              </w:rPr>
              <w:t>溶剂油（以非甲烷总烃计）</w:t>
            </w:r>
          </w:p>
        </w:tc>
      </w:tr>
      <w:tr w:rsidR="00EE56C0">
        <w:trPr>
          <w:trHeight w:val="454"/>
        </w:trPr>
        <w:tc>
          <w:tcPr>
            <w:tcW w:w="589" w:type="pct"/>
            <w:vMerge/>
            <w:vAlign w:val="center"/>
          </w:tcPr>
          <w:p w:rsidR="00EE56C0" w:rsidRDefault="00EE56C0">
            <w:pPr>
              <w:pStyle w:val="afa"/>
            </w:pPr>
          </w:p>
        </w:tc>
        <w:tc>
          <w:tcPr>
            <w:tcW w:w="638" w:type="pct"/>
            <w:vMerge/>
            <w:vAlign w:val="center"/>
          </w:tcPr>
          <w:p w:rsidR="00EE56C0" w:rsidRDefault="00EE56C0">
            <w:pPr>
              <w:pStyle w:val="afa"/>
            </w:pPr>
          </w:p>
        </w:tc>
        <w:tc>
          <w:tcPr>
            <w:tcW w:w="582" w:type="pct"/>
            <w:vMerge/>
            <w:vAlign w:val="center"/>
          </w:tcPr>
          <w:p w:rsidR="00EE56C0" w:rsidRDefault="00EE56C0">
            <w:pPr>
              <w:pStyle w:val="afa"/>
            </w:pPr>
          </w:p>
        </w:tc>
        <w:tc>
          <w:tcPr>
            <w:tcW w:w="665" w:type="pct"/>
            <w:vMerge/>
            <w:vAlign w:val="center"/>
          </w:tcPr>
          <w:p w:rsidR="00EE56C0" w:rsidRDefault="00EE56C0">
            <w:pPr>
              <w:pStyle w:val="afa"/>
            </w:pPr>
          </w:p>
        </w:tc>
        <w:tc>
          <w:tcPr>
            <w:tcW w:w="1445" w:type="pct"/>
            <w:gridSpan w:val="2"/>
            <w:vAlign w:val="center"/>
          </w:tcPr>
          <w:p w:rsidR="00EE56C0" w:rsidRDefault="000F36A1">
            <w:pPr>
              <w:pStyle w:val="afa"/>
            </w:pPr>
            <w:r>
              <w:rPr>
                <w:rFonts w:hint="eastAsia"/>
              </w:rPr>
              <w:t>46</w:t>
            </w:r>
            <w:r>
              <w:t>%</w:t>
            </w:r>
          </w:p>
        </w:tc>
        <w:tc>
          <w:tcPr>
            <w:tcW w:w="1081" w:type="pct"/>
            <w:gridSpan w:val="2"/>
            <w:vAlign w:val="center"/>
          </w:tcPr>
          <w:p w:rsidR="00EE56C0" w:rsidRDefault="000F36A1">
            <w:pPr>
              <w:pStyle w:val="afa"/>
            </w:pPr>
            <w:r>
              <w:rPr>
                <w:rFonts w:hint="eastAsia"/>
              </w:rPr>
              <w:t>10</w:t>
            </w:r>
            <w:r>
              <w:t>%</w:t>
            </w:r>
          </w:p>
        </w:tc>
      </w:tr>
      <w:tr w:rsidR="00EE56C0">
        <w:trPr>
          <w:trHeight w:val="454"/>
        </w:trPr>
        <w:tc>
          <w:tcPr>
            <w:tcW w:w="589" w:type="pct"/>
            <w:vMerge/>
            <w:vAlign w:val="center"/>
          </w:tcPr>
          <w:p w:rsidR="00EE56C0" w:rsidRDefault="00EE56C0">
            <w:pPr>
              <w:pStyle w:val="afa"/>
            </w:pPr>
          </w:p>
        </w:tc>
        <w:tc>
          <w:tcPr>
            <w:tcW w:w="638" w:type="pct"/>
            <w:vMerge/>
            <w:vAlign w:val="center"/>
          </w:tcPr>
          <w:p w:rsidR="00EE56C0" w:rsidRDefault="00EE56C0">
            <w:pPr>
              <w:pStyle w:val="afa"/>
            </w:pPr>
          </w:p>
        </w:tc>
        <w:tc>
          <w:tcPr>
            <w:tcW w:w="582" w:type="pct"/>
            <w:vAlign w:val="center"/>
          </w:tcPr>
          <w:p w:rsidR="00EE56C0" w:rsidRDefault="000F36A1">
            <w:pPr>
              <w:pStyle w:val="afa"/>
            </w:pPr>
            <w:r>
              <w:rPr>
                <w:rFonts w:hint="eastAsia"/>
              </w:rPr>
              <w:t>一期</w:t>
            </w:r>
          </w:p>
        </w:tc>
        <w:tc>
          <w:tcPr>
            <w:tcW w:w="665" w:type="pct"/>
            <w:vAlign w:val="center"/>
          </w:tcPr>
          <w:p w:rsidR="00EE56C0" w:rsidRDefault="000F36A1">
            <w:pPr>
              <w:pStyle w:val="afa"/>
            </w:pPr>
            <w:r>
              <w:rPr>
                <w:rFonts w:hint="eastAsia"/>
              </w:rPr>
              <w:t>289</w:t>
            </w:r>
          </w:p>
        </w:tc>
        <w:tc>
          <w:tcPr>
            <w:tcW w:w="1445" w:type="pct"/>
            <w:gridSpan w:val="2"/>
            <w:vAlign w:val="center"/>
          </w:tcPr>
          <w:p w:rsidR="00EE56C0" w:rsidRDefault="000F36A1">
            <w:pPr>
              <w:pStyle w:val="afa"/>
            </w:pPr>
            <w:r>
              <w:rPr>
                <w:rFonts w:hint="eastAsia"/>
              </w:rPr>
              <w:t>132.94</w:t>
            </w:r>
          </w:p>
        </w:tc>
        <w:tc>
          <w:tcPr>
            <w:tcW w:w="1081" w:type="pct"/>
            <w:gridSpan w:val="2"/>
            <w:vAlign w:val="center"/>
          </w:tcPr>
          <w:p w:rsidR="00EE56C0" w:rsidRDefault="000F36A1">
            <w:pPr>
              <w:pStyle w:val="afa"/>
            </w:pPr>
            <w:r>
              <w:rPr>
                <w:rFonts w:hint="eastAsia"/>
              </w:rPr>
              <w:t>28.9</w:t>
            </w:r>
          </w:p>
        </w:tc>
      </w:tr>
      <w:tr w:rsidR="00EE56C0">
        <w:trPr>
          <w:trHeight w:val="454"/>
        </w:trPr>
        <w:tc>
          <w:tcPr>
            <w:tcW w:w="589" w:type="pct"/>
            <w:vMerge/>
            <w:vAlign w:val="center"/>
          </w:tcPr>
          <w:p w:rsidR="00EE56C0" w:rsidRDefault="00EE56C0">
            <w:pPr>
              <w:pStyle w:val="afa"/>
            </w:pPr>
          </w:p>
        </w:tc>
        <w:tc>
          <w:tcPr>
            <w:tcW w:w="638" w:type="pct"/>
            <w:vMerge/>
            <w:vAlign w:val="center"/>
          </w:tcPr>
          <w:p w:rsidR="00EE56C0" w:rsidRDefault="00EE56C0">
            <w:pPr>
              <w:pStyle w:val="afa"/>
            </w:pPr>
          </w:p>
        </w:tc>
        <w:tc>
          <w:tcPr>
            <w:tcW w:w="582" w:type="pct"/>
            <w:vAlign w:val="center"/>
          </w:tcPr>
          <w:p w:rsidR="00EE56C0" w:rsidRDefault="000F36A1">
            <w:pPr>
              <w:pStyle w:val="afa"/>
            </w:pPr>
            <w:r>
              <w:rPr>
                <w:rFonts w:hint="eastAsia"/>
              </w:rPr>
              <w:t>二期</w:t>
            </w:r>
          </w:p>
        </w:tc>
        <w:tc>
          <w:tcPr>
            <w:tcW w:w="665" w:type="pct"/>
            <w:vAlign w:val="center"/>
          </w:tcPr>
          <w:p w:rsidR="00EE56C0" w:rsidRDefault="000F36A1">
            <w:pPr>
              <w:pStyle w:val="afa"/>
            </w:pPr>
            <w:r>
              <w:rPr>
                <w:rFonts w:hint="eastAsia"/>
              </w:rPr>
              <w:t>800</w:t>
            </w:r>
          </w:p>
        </w:tc>
        <w:tc>
          <w:tcPr>
            <w:tcW w:w="1445" w:type="pct"/>
            <w:gridSpan w:val="2"/>
            <w:vAlign w:val="center"/>
          </w:tcPr>
          <w:p w:rsidR="00EE56C0" w:rsidRDefault="000F36A1">
            <w:pPr>
              <w:pStyle w:val="afa"/>
            </w:pPr>
            <w:r>
              <w:rPr>
                <w:rFonts w:hint="eastAsia"/>
              </w:rPr>
              <w:t>368</w:t>
            </w:r>
          </w:p>
        </w:tc>
        <w:tc>
          <w:tcPr>
            <w:tcW w:w="1081" w:type="pct"/>
            <w:gridSpan w:val="2"/>
            <w:vAlign w:val="center"/>
          </w:tcPr>
          <w:p w:rsidR="00EE56C0" w:rsidRDefault="000F36A1">
            <w:pPr>
              <w:pStyle w:val="afa"/>
            </w:pPr>
            <w:r>
              <w:rPr>
                <w:rFonts w:hint="eastAsia"/>
              </w:rPr>
              <w:t>80</w:t>
            </w:r>
          </w:p>
        </w:tc>
      </w:tr>
      <w:tr w:rsidR="00EE56C0">
        <w:trPr>
          <w:trHeight w:val="454"/>
        </w:trPr>
        <w:tc>
          <w:tcPr>
            <w:tcW w:w="589" w:type="pct"/>
            <w:vMerge/>
            <w:vAlign w:val="center"/>
          </w:tcPr>
          <w:p w:rsidR="00EE56C0" w:rsidRDefault="00EE56C0">
            <w:pPr>
              <w:pStyle w:val="afa"/>
            </w:pPr>
          </w:p>
        </w:tc>
        <w:tc>
          <w:tcPr>
            <w:tcW w:w="638" w:type="pct"/>
            <w:vMerge/>
            <w:vAlign w:val="center"/>
          </w:tcPr>
          <w:p w:rsidR="00EE56C0" w:rsidRDefault="00EE56C0">
            <w:pPr>
              <w:pStyle w:val="afa"/>
            </w:pPr>
          </w:p>
        </w:tc>
        <w:tc>
          <w:tcPr>
            <w:tcW w:w="582" w:type="pct"/>
            <w:vAlign w:val="center"/>
          </w:tcPr>
          <w:p w:rsidR="00EE56C0" w:rsidRDefault="000F36A1">
            <w:pPr>
              <w:pStyle w:val="afa"/>
            </w:pPr>
            <w:r>
              <w:rPr>
                <w:rFonts w:hint="eastAsia"/>
              </w:rPr>
              <w:t>合计</w:t>
            </w:r>
          </w:p>
        </w:tc>
        <w:tc>
          <w:tcPr>
            <w:tcW w:w="665" w:type="pct"/>
            <w:vAlign w:val="center"/>
          </w:tcPr>
          <w:p w:rsidR="00EE56C0" w:rsidRDefault="000F36A1">
            <w:pPr>
              <w:pStyle w:val="afa"/>
            </w:pPr>
            <w:r>
              <w:rPr>
                <w:rFonts w:hint="eastAsia"/>
              </w:rPr>
              <w:t>1089</w:t>
            </w:r>
          </w:p>
        </w:tc>
        <w:tc>
          <w:tcPr>
            <w:tcW w:w="1445" w:type="pct"/>
            <w:gridSpan w:val="2"/>
            <w:vAlign w:val="center"/>
          </w:tcPr>
          <w:p w:rsidR="00EE56C0" w:rsidRDefault="000F36A1">
            <w:pPr>
              <w:pStyle w:val="afa"/>
            </w:pPr>
            <w:r>
              <w:rPr>
                <w:rFonts w:hint="eastAsia"/>
              </w:rPr>
              <w:t>500.94</w:t>
            </w:r>
          </w:p>
        </w:tc>
        <w:tc>
          <w:tcPr>
            <w:tcW w:w="1081" w:type="pct"/>
            <w:gridSpan w:val="2"/>
            <w:vAlign w:val="center"/>
          </w:tcPr>
          <w:p w:rsidR="00EE56C0" w:rsidRDefault="000F36A1">
            <w:pPr>
              <w:pStyle w:val="afa"/>
            </w:pPr>
            <w:r>
              <w:rPr>
                <w:rFonts w:hint="eastAsia"/>
              </w:rPr>
              <w:t>108.9</w:t>
            </w:r>
          </w:p>
        </w:tc>
      </w:tr>
      <w:tr w:rsidR="00EE56C0">
        <w:trPr>
          <w:trHeight w:val="454"/>
        </w:trPr>
        <w:tc>
          <w:tcPr>
            <w:tcW w:w="589" w:type="pct"/>
            <w:vMerge/>
            <w:vAlign w:val="center"/>
          </w:tcPr>
          <w:p w:rsidR="00EE56C0" w:rsidRDefault="00EE56C0">
            <w:pPr>
              <w:pStyle w:val="afa"/>
            </w:pPr>
          </w:p>
        </w:tc>
        <w:tc>
          <w:tcPr>
            <w:tcW w:w="638" w:type="pct"/>
            <w:vMerge w:val="restart"/>
            <w:vAlign w:val="center"/>
          </w:tcPr>
          <w:p w:rsidR="00EE56C0" w:rsidRDefault="000F36A1">
            <w:pPr>
              <w:pStyle w:val="afa"/>
            </w:pPr>
            <w:r>
              <w:t>聚酰胺酰</w:t>
            </w:r>
            <w:r>
              <w:lastRenderedPageBreak/>
              <w:t>亚胺漆</w:t>
            </w:r>
          </w:p>
        </w:tc>
        <w:tc>
          <w:tcPr>
            <w:tcW w:w="582" w:type="pct"/>
            <w:vMerge w:val="restart"/>
            <w:vAlign w:val="center"/>
          </w:tcPr>
          <w:p w:rsidR="00EE56C0" w:rsidRDefault="000F36A1">
            <w:pPr>
              <w:pStyle w:val="afa"/>
            </w:pPr>
            <w:r>
              <w:rPr>
                <w:rFonts w:hint="eastAsia"/>
              </w:rPr>
              <w:lastRenderedPageBreak/>
              <w:t>/</w:t>
            </w:r>
          </w:p>
        </w:tc>
        <w:tc>
          <w:tcPr>
            <w:tcW w:w="665" w:type="pct"/>
            <w:vMerge w:val="restart"/>
            <w:vAlign w:val="center"/>
          </w:tcPr>
          <w:p w:rsidR="00EE56C0" w:rsidRDefault="000F36A1">
            <w:pPr>
              <w:pStyle w:val="afa"/>
            </w:pPr>
            <w:r>
              <w:rPr>
                <w:rFonts w:hint="eastAsia"/>
              </w:rPr>
              <w:t>/</w:t>
            </w:r>
          </w:p>
        </w:tc>
        <w:tc>
          <w:tcPr>
            <w:tcW w:w="801" w:type="pct"/>
            <w:vAlign w:val="center"/>
          </w:tcPr>
          <w:p w:rsidR="00EE56C0" w:rsidRDefault="000F36A1">
            <w:pPr>
              <w:pStyle w:val="afa"/>
            </w:pPr>
            <w:r>
              <w:rPr>
                <w:rFonts w:hint="eastAsia"/>
              </w:rPr>
              <w:t>以非甲烷总</w:t>
            </w:r>
            <w:r>
              <w:rPr>
                <w:rFonts w:hint="eastAsia"/>
              </w:rPr>
              <w:lastRenderedPageBreak/>
              <w:t>烃</w:t>
            </w:r>
          </w:p>
        </w:tc>
        <w:tc>
          <w:tcPr>
            <w:tcW w:w="644" w:type="pct"/>
            <w:vAlign w:val="center"/>
          </w:tcPr>
          <w:p w:rsidR="00EE56C0" w:rsidRDefault="000F36A1">
            <w:pPr>
              <w:pStyle w:val="afa"/>
            </w:pPr>
            <w:r>
              <w:rPr>
                <w:rFonts w:hint="eastAsia"/>
              </w:rPr>
              <w:lastRenderedPageBreak/>
              <w:t>二甲苯</w:t>
            </w:r>
          </w:p>
        </w:tc>
        <w:tc>
          <w:tcPr>
            <w:tcW w:w="1081" w:type="pct"/>
            <w:gridSpan w:val="2"/>
            <w:vAlign w:val="center"/>
          </w:tcPr>
          <w:p w:rsidR="00EE56C0" w:rsidRDefault="000F36A1">
            <w:pPr>
              <w:pStyle w:val="afa"/>
            </w:pPr>
            <w:r>
              <w:rPr>
                <w:rFonts w:hint="eastAsia"/>
              </w:rPr>
              <w:t>/</w:t>
            </w:r>
          </w:p>
        </w:tc>
      </w:tr>
      <w:tr w:rsidR="00EE56C0">
        <w:trPr>
          <w:trHeight w:val="454"/>
        </w:trPr>
        <w:tc>
          <w:tcPr>
            <w:tcW w:w="589" w:type="pct"/>
            <w:vMerge/>
            <w:vAlign w:val="center"/>
          </w:tcPr>
          <w:p w:rsidR="00EE56C0" w:rsidRDefault="00EE56C0">
            <w:pPr>
              <w:pStyle w:val="afa"/>
            </w:pPr>
          </w:p>
        </w:tc>
        <w:tc>
          <w:tcPr>
            <w:tcW w:w="638" w:type="pct"/>
            <w:vMerge/>
            <w:vAlign w:val="center"/>
          </w:tcPr>
          <w:p w:rsidR="00EE56C0" w:rsidRDefault="00EE56C0">
            <w:pPr>
              <w:pStyle w:val="afa"/>
            </w:pPr>
          </w:p>
        </w:tc>
        <w:tc>
          <w:tcPr>
            <w:tcW w:w="582" w:type="pct"/>
            <w:vMerge/>
            <w:vAlign w:val="center"/>
          </w:tcPr>
          <w:p w:rsidR="00EE56C0" w:rsidRDefault="00EE56C0">
            <w:pPr>
              <w:pStyle w:val="afa"/>
            </w:pPr>
          </w:p>
        </w:tc>
        <w:tc>
          <w:tcPr>
            <w:tcW w:w="665" w:type="pct"/>
            <w:vMerge/>
            <w:vAlign w:val="center"/>
          </w:tcPr>
          <w:p w:rsidR="00EE56C0" w:rsidRDefault="00EE56C0">
            <w:pPr>
              <w:pStyle w:val="afa"/>
            </w:pPr>
          </w:p>
        </w:tc>
        <w:tc>
          <w:tcPr>
            <w:tcW w:w="801" w:type="pct"/>
            <w:vAlign w:val="center"/>
          </w:tcPr>
          <w:p w:rsidR="00EE56C0" w:rsidRDefault="000F36A1">
            <w:pPr>
              <w:pStyle w:val="afa"/>
            </w:pPr>
            <w:r>
              <w:rPr>
                <w:rFonts w:hint="eastAsia"/>
              </w:rPr>
              <w:t>55</w:t>
            </w:r>
            <w:r>
              <w:t>%</w:t>
            </w:r>
          </w:p>
        </w:tc>
        <w:tc>
          <w:tcPr>
            <w:tcW w:w="644" w:type="pct"/>
            <w:vAlign w:val="center"/>
          </w:tcPr>
          <w:p w:rsidR="00EE56C0" w:rsidRDefault="000F36A1">
            <w:pPr>
              <w:pStyle w:val="afa"/>
            </w:pPr>
            <w:r>
              <w:rPr>
                <w:rFonts w:hint="eastAsia"/>
              </w:rPr>
              <w:t>15</w:t>
            </w:r>
            <w:r>
              <w:t>%</w:t>
            </w:r>
          </w:p>
        </w:tc>
        <w:tc>
          <w:tcPr>
            <w:tcW w:w="1081" w:type="pct"/>
            <w:gridSpan w:val="2"/>
            <w:vAlign w:val="center"/>
          </w:tcPr>
          <w:p w:rsidR="00EE56C0" w:rsidRDefault="000F36A1">
            <w:pPr>
              <w:pStyle w:val="afa"/>
            </w:pPr>
            <w:r>
              <w:rPr>
                <w:rFonts w:hint="eastAsia"/>
              </w:rPr>
              <w:t>/</w:t>
            </w:r>
          </w:p>
        </w:tc>
      </w:tr>
      <w:tr w:rsidR="00EE56C0">
        <w:trPr>
          <w:trHeight w:val="454"/>
        </w:trPr>
        <w:tc>
          <w:tcPr>
            <w:tcW w:w="589" w:type="pct"/>
            <w:vMerge/>
            <w:vAlign w:val="center"/>
          </w:tcPr>
          <w:p w:rsidR="00EE56C0" w:rsidRDefault="00EE56C0">
            <w:pPr>
              <w:pStyle w:val="afa"/>
            </w:pPr>
          </w:p>
        </w:tc>
        <w:tc>
          <w:tcPr>
            <w:tcW w:w="638" w:type="pct"/>
            <w:vMerge/>
            <w:vAlign w:val="center"/>
          </w:tcPr>
          <w:p w:rsidR="00EE56C0" w:rsidRDefault="00EE56C0">
            <w:pPr>
              <w:pStyle w:val="afa"/>
            </w:pPr>
          </w:p>
        </w:tc>
        <w:tc>
          <w:tcPr>
            <w:tcW w:w="582" w:type="pct"/>
            <w:vAlign w:val="center"/>
          </w:tcPr>
          <w:p w:rsidR="00EE56C0" w:rsidRDefault="000F36A1">
            <w:pPr>
              <w:pStyle w:val="afa"/>
            </w:pPr>
            <w:r>
              <w:rPr>
                <w:rFonts w:hint="eastAsia"/>
              </w:rPr>
              <w:t>一期</w:t>
            </w:r>
          </w:p>
        </w:tc>
        <w:tc>
          <w:tcPr>
            <w:tcW w:w="665" w:type="pct"/>
            <w:vAlign w:val="center"/>
          </w:tcPr>
          <w:p w:rsidR="00EE56C0" w:rsidRDefault="000F36A1">
            <w:pPr>
              <w:pStyle w:val="afa"/>
            </w:pPr>
            <w:r>
              <w:rPr>
                <w:rFonts w:hint="eastAsia"/>
              </w:rPr>
              <w:t>96</w:t>
            </w:r>
          </w:p>
        </w:tc>
        <w:tc>
          <w:tcPr>
            <w:tcW w:w="801" w:type="pct"/>
            <w:vAlign w:val="center"/>
          </w:tcPr>
          <w:p w:rsidR="00EE56C0" w:rsidRDefault="000F36A1">
            <w:pPr>
              <w:pStyle w:val="afa"/>
            </w:pPr>
            <w:r>
              <w:rPr>
                <w:rFonts w:hint="eastAsia"/>
              </w:rPr>
              <w:t>52.8</w:t>
            </w:r>
          </w:p>
        </w:tc>
        <w:tc>
          <w:tcPr>
            <w:tcW w:w="644" w:type="pct"/>
            <w:vAlign w:val="center"/>
          </w:tcPr>
          <w:p w:rsidR="00EE56C0" w:rsidRDefault="000F36A1">
            <w:pPr>
              <w:pStyle w:val="afa"/>
            </w:pPr>
            <w:r>
              <w:rPr>
                <w:rFonts w:hint="eastAsia"/>
              </w:rPr>
              <w:t>14.4</w:t>
            </w:r>
          </w:p>
        </w:tc>
        <w:tc>
          <w:tcPr>
            <w:tcW w:w="1081" w:type="pct"/>
            <w:gridSpan w:val="2"/>
            <w:vAlign w:val="center"/>
          </w:tcPr>
          <w:p w:rsidR="00EE56C0" w:rsidRDefault="000F36A1">
            <w:pPr>
              <w:pStyle w:val="afa"/>
            </w:pPr>
            <w:r>
              <w:rPr>
                <w:rFonts w:hint="eastAsia"/>
              </w:rPr>
              <w:t>/</w:t>
            </w:r>
          </w:p>
        </w:tc>
      </w:tr>
      <w:tr w:rsidR="00EE56C0">
        <w:trPr>
          <w:trHeight w:val="454"/>
        </w:trPr>
        <w:tc>
          <w:tcPr>
            <w:tcW w:w="589" w:type="pct"/>
            <w:vMerge/>
            <w:vAlign w:val="center"/>
          </w:tcPr>
          <w:p w:rsidR="00EE56C0" w:rsidRDefault="00EE56C0">
            <w:pPr>
              <w:pStyle w:val="afa"/>
            </w:pPr>
          </w:p>
        </w:tc>
        <w:tc>
          <w:tcPr>
            <w:tcW w:w="638" w:type="pct"/>
            <w:vMerge/>
            <w:vAlign w:val="center"/>
          </w:tcPr>
          <w:p w:rsidR="00EE56C0" w:rsidRDefault="00EE56C0">
            <w:pPr>
              <w:pStyle w:val="afa"/>
            </w:pPr>
          </w:p>
        </w:tc>
        <w:tc>
          <w:tcPr>
            <w:tcW w:w="582" w:type="pct"/>
            <w:vAlign w:val="center"/>
          </w:tcPr>
          <w:p w:rsidR="00EE56C0" w:rsidRDefault="000F36A1">
            <w:pPr>
              <w:pStyle w:val="afa"/>
            </w:pPr>
            <w:r>
              <w:rPr>
                <w:rFonts w:hint="eastAsia"/>
              </w:rPr>
              <w:t>二期</w:t>
            </w:r>
          </w:p>
        </w:tc>
        <w:tc>
          <w:tcPr>
            <w:tcW w:w="665" w:type="pct"/>
            <w:vAlign w:val="center"/>
          </w:tcPr>
          <w:p w:rsidR="00EE56C0" w:rsidRDefault="000F36A1">
            <w:pPr>
              <w:pStyle w:val="afa"/>
            </w:pPr>
            <w:r>
              <w:rPr>
                <w:rFonts w:hint="eastAsia"/>
              </w:rPr>
              <w:t>265</w:t>
            </w:r>
          </w:p>
        </w:tc>
        <w:tc>
          <w:tcPr>
            <w:tcW w:w="801" w:type="pct"/>
            <w:vAlign w:val="center"/>
          </w:tcPr>
          <w:p w:rsidR="00EE56C0" w:rsidRDefault="000F36A1">
            <w:pPr>
              <w:pStyle w:val="afa"/>
            </w:pPr>
            <w:r>
              <w:rPr>
                <w:rFonts w:hint="eastAsia"/>
              </w:rPr>
              <w:t>145.75</w:t>
            </w:r>
          </w:p>
        </w:tc>
        <w:tc>
          <w:tcPr>
            <w:tcW w:w="644" w:type="pct"/>
            <w:vAlign w:val="center"/>
          </w:tcPr>
          <w:p w:rsidR="00EE56C0" w:rsidRDefault="000F36A1">
            <w:pPr>
              <w:pStyle w:val="afa"/>
            </w:pPr>
            <w:r>
              <w:rPr>
                <w:rFonts w:hint="eastAsia"/>
              </w:rPr>
              <w:t>39.75</w:t>
            </w:r>
          </w:p>
        </w:tc>
        <w:tc>
          <w:tcPr>
            <w:tcW w:w="1081" w:type="pct"/>
            <w:gridSpan w:val="2"/>
            <w:vAlign w:val="center"/>
          </w:tcPr>
          <w:p w:rsidR="00EE56C0" w:rsidRDefault="000F36A1">
            <w:pPr>
              <w:pStyle w:val="afa"/>
            </w:pPr>
            <w:r>
              <w:rPr>
                <w:rFonts w:hint="eastAsia"/>
              </w:rPr>
              <w:t>/</w:t>
            </w:r>
          </w:p>
        </w:tc>
      </w:tr>
      <w:tr w:rsidR="00EE56C0">
        <w:trPr>
          <w:trHeight w:val="454"/>
        </w:trPr>
        <w:tc>
          <w:tcPr>
            <w:tcW w:w="589" w:type="pct"/>
            <w:vMerge/>
            <w:vAlign w:val="center"/>
          </w:tcPr>
          <w:p w:rsidR="00EE56C0" w:rsidRDefault="00EE56C0">
            <w:pPr>
              <w:pStyle w:val="afa"/>
            </w:pPr>
          </w:p>
        </w:tc>
        <w:tc>
          <w:tcPr>
            <w:tcW w:w="638" w:type="pct"/>
            <w:vMerge/>
            <w:vAlign w:val="center"/>
          </w:tcPr>
          <w:p w:rsidR="00EE56C0" w:rsidRDefault="00EE56C0">
            <w:pPr>
              <w:pStyle w:val="afa"/>
            </w:pPr>
          </w:p>
        </w:tc>
        <w:tc>
          <w:tcPr>
            <w:tcW w:w="582" w:type="pct"/>
            <w:vAlign w:val="center"/>
          </w:tcPr>
          <w:p w:rsidR="00EE56C0" w:rsidRDefault="000F36A1">
            <w:pPr>
              <w:pStyle w:val="afa"/>
            </w:pPr>
            <w:r>
              <w:rPr>
                <w:rFonts w:hint="eastAsia"/>
              </w:rPr>
              <w:t>合计</w:t>
            </w:r>
          </w:p>
        </w:tc>
        <w:tc>
          <w:tcPr>
            <w:tcW w:w="665" w:type="pct"/>
            <w:vAlign w:val="center"/>
          </w:tcPr>
          <w:p w:rsidR="00EE56C0" w:rsidRDefault="000F36A1">
            <w:pPr>
              <w:pStyle w:val="afa"/>
            </w:pPr>
            <w:r>
              <w:rPr>
                <w:rFonts w:hint="eastAsia"/>
              </w:rPr>
              <w:t>361</w:t>
            </w:r>
          </w:p>
        </w:tc>
        <w:tc>
          <w:tcPr>
            <w:tcW w:w="801" w:type="pct"/>
            <w:vAlign w:val="center"/>
          </w:tcPr>
          <w:p w:rsidR="00EE56C0" w:rsidRDefault="000F36A1">
            <w:pPr>
              <w:pStyle w:val="afa"/>
            </w:pPr>
            <w:r>
              <w:rPr>
                <w:rFonts w:hint="eastAsia"/>
              </w:rPr>
              <w:t>198.55</w:t>
            </w:r>
          </w:p>
        </w:tc>
        <w:tc>
          <w:tcPr>
            <w:tcW w:w="644" w:type="pct"/>
            <w:vAlign w:val="center"/>
          </w:tcPr>
          <w:p w:rsidR="00EE56C0" w:rsidRDefault="000F36A1">
            <w:pPr>
              <w:pStyle w:val="afa"/>
            </w:pPr>
            <w:r>
              <w:rPr>
                <w:rFonts w:hint="eastAsia"/>
              </w:rPr>
              <w:t>54.15</w:t>
            </w:r>
          </w:p>
        </w:tc>
        <w:tc>
          <w:tcPr>
            <w:tcW w:w="1081" w:type="pct"/>
            <w:gridSpan w:val="2"/>
            <w:vAlign w:val="center"/>
          </w:tcPr>
          <w:p w:rsidR="00EE56C0" w:rsidRDefault="000F36A1">
            <w:pPr>
              <w:pStyle w:val="afa"/>
            </w:pPr>
            <w:r>
              <w:rPr>
                <w:rFonts w:hint="eastAsia"/>
              </w:rPr>
              <w:t>/</w:t>
            </w:r>
          </w:p>
        </w:tc>
      </w:tr>
      <w:tr w:rsidR="00EE56C0">
        <w:trPr>
          <w:trHeight w:val="454"/>
        </w:trPr>
        <w:tc>
          <w:tcPr>
            <w:tcW w:w="589" w:type="pct"/>
            <w:vMerge w:val="restart"/>
            <w:vAlign w:val="center"/>
          </w:tcPr>
          <w:p w:rsidR="00EE56C0" w:rsidRDefault="000F36A1">
            <w:pPr>
              <w:pStyle w:val="afa"/>
            </w:pPr>
            <w:r>
              <w:rPr>
                <w:rFonts w:hint="eastAsia"/>
              </w:rPr>
              <w:t>丝包线</w:t>
            </w:r>
          </w:p>
        </w:tc>
        <w:tc>
          <w:tcPr>
            <w:tcW w:w="638" w:type="pct"/>
            <w:vMerge w:val="restart"/>
            <w:vAlign w:val="center"/>
          </w:tcPr>
          <w:p w:rsidR="00EE56C0" w:rsidRDefault="000F36A1">
            <w:pPr>
              <w:pStyle w:val="afa"/>
            </w:pPr>
            <w:r>
              <w:rPr>
                <w:rFonts w:hint="eastAsia"/>
              </w:rPr>
              <w:t>丝包漆</w:t>
            </w:r>
          </w:p>
        </w:tc>
        <w:tc>
          <w:tcPr>
            <w:tcW w:w="582" w:type="pct"/>
            <w:vMerge w:val="restart"/>
            <w:vAlign w:val="center"/>
          </w:tcPr>
          <w:p w:rsidR="00EE56C0" w:rsidRDefault="000F36A1">
            <w:pPr>
              <w:pStyle w:val="afa"/>
            </w:pPr>
            <w:r>
              <w:rPr>
                <w:rFonts w:hint="eastAsia"/>
              </w:rPr>
              <w:t>/</w:t>
            </w:r>
          </w:p>
        </w:tc>
        <w:tc>
          <w:tcPr>
            <w:tcW w:w="665" w:type="pct"/>
            <w:vMerge w:val="restart"/>
            <w:vAlign w:val="center"/>
          </w:tcPr>
          <w:p w:rsidR="00EE56C0" w:rsidRDefault="000F36A1">
            <w:pPr>
              <w:pStyle w:val="afa"/>
            </w:pPr>
            <w:r>
              <w:rPr>
                <w:rFonts w:hint="eastAsia"/>
              </w:rPr>
              <w:t>/</w:t>
            </w:r>
          </w:p>
        </w:tc>
        <w:tc>
          <w:tcPr>
            <w:tcW w:w="801" w:type="pct"/>
            <w:vAlign w:val="center"/>
          </w:tcPr>
          <w:p w:rsidR="00EE56C0" w:rsidRDefault="000F36A1">
            <w:pPr>
              <w:pStyle w:val="afa"/>
            </w:pPr>
            <w:r>
              <w:rPr>
                <w:rFonts w:hint="eastAsia"/>
              </w:rPr>
              <w:t>甲苯</w:t>
            </w:r>
          </w:p>
        </w:tc>
        <w:tc>
          <w:tcPr>
            <w:tcW w:w="644" w:type="pct"/>
            <w:vAlign w:val="center"/>
          </w:tcPr>
          <w:p w:rsidR="00EE56C0" w:rsidRDefault="000F36A1">
            <w:pPr>
              <w:pStyle w:val="afa"/>
            </w:pPr>
            <w:r>
              <w:rPr>
                <w:rFonts w:hint="eastAsia"/>
              </w:rPr>
              <w:t>二甲苯</w:t>
            </w:r>
          </w:p>
        </w:tc>
        <w:tc>
          <w:tcPr>
            <w:tcW w:w="533" w:type="pct"/>
            <w:vAlign w:val="center"/>
          </w:tcPr>
          <w:p w:rsidR="00EE56C0" w:rsidRDefault="000F36A1">
            <w:pPr>
              <w:pStyle w:val="afa"/>
            </w:pPr>
            <w:r>
              <w:rPr>
                <w:rFonts w:hint="eastAsia"/>
              </w:rPr>
              <w:t>丁醇（以非甲烷总烃计）</w:t>
            </w:r>
          </w:p>
        </w:tc>
        <w:tc>
          <w:tcPr>
            <w:tcW w:w="548" w:type="pct"/>
            <w:vAlign w:val="center"/>
          </w:tcPr>
          <w:p w:rsidR="00EE56C0" w:rsidRDefault="000F36A1">
            <w:pPr>
              <w:pStyle w:val="afa"/>
            </w:pPr>
            <w:r>
              <w:rPr>
                <w:rFonts w:hint="eastAsia"/>
              </w:rPr>
              <w:t>苯</w:t>
            </w:r>
          </w:p>
        </w:tc>
      </w:tr>
      <w:tr w:rsidR="00EE56C0">
        <w:trPr>
          <w:trHeight w:val="454"/>
        </w:trPr>
        <w:tc>
          <w:tcPr>
            <w:tcW w:w="589" w:type="pct"/>
            <w:vMerge/>
            <w:vAlign w:val="center"/>
          </w:tcPr>
          <w:p w:rsidR="00EE56C0" w:rsidRDefault="00EE56C0">
            <w:pPr>
              <w:pStyle w:val="afa"/>
            </w:pPr>
          </w:p>
        </w:tc>
        <w:tc>
          <w:tcPr>
            <w:tcW w:w="638" w:type="pct"/>
            <w:vMerge/>
            <w:vAlign w:val="center"/>
          </w:tcPr>
          <w:p w:rsidR="00EE56C0" w:rsidRDefault="00EE56C0">
            <w:pPr>
              <w:pStyle w:val="afa"/>
            </w:pPr>
          </w:p>
        </w:tc>
        <w:tc>
          <w:tcPr>
            <w:tcW w:w="582" w:type="pct"/>
            <w:vMerge/>
            <w:vAlign w:val="center"/>
          </w:tcPr>
          <w:p w:rsidR="00EE56C0" w:rsidRDefault="00EE56C0">
            <w:pPr>
              <w:pStyle w:val="afa"/>
            </w:pPr>
          </w:p>
        </w:tc>
        <w:tc>
          <w:tcPr>
            <w:tcW w:w="665" w:type="pct"/>
            <w:vMerge/>
            <w:vAlign w:val="center"/>
          </w:tcPr>
          <w:p w:rsidR="00EE56C0" w:rsidRDefault="00EE56C0">
            <w:pPr>
              <w:pStyle w:val="afa"/>
            </w:pPr>
          </w:p>
        </w:tc>
        <w:tc>
          <w:tcPr>
            <w:tcW w:w="801" w:type="pct"/>
            <w:vAlign w:val="center"/>
          </w:tcPr>
          <w:p w:rsidR="00EE56C0" w:rsidRDefault="000F36A1">
            <w:pPr>
              <w:pStyle w:val="afa"/>
            </w:pPr>
            <w:r>
              <w:rPr>
                <w:rFonts w:hint="eastAsia"/>
              </w:rPr>
              <w:t>15</w:t>
            </w:r>
            <w:r>
              <w:t>%</w:t>
            </w:r>
          </w:p>
        </w:tc>
        <w:tc>
          <w:tcPr>
            <w:tcW w:w="644" w:type="pct"/>
            <w:vAlign w:val="center"/>
          </w:tcPr>
          <w:p w:rsidR="00EE56C0" w:rsidRDefault="000F36A1">
            <w:pPr>
              <w:pStyle w:val="afa"/>
            </w:pPr>
            <w:r>
              <w:rPr>
                <w:rFonts w:hint="eastAsia"/>
              </w:rPr>
              <w:t>15%</w:t>
            </w:r>
          </w:p>
        </w:tc>
        <w:tc>
          <w:tcPr>
            <w:tcW w:w="533" w:type="pct"/>
            <w:vAlign w:val="center"/>
          </w:tcPr>
          <w:p w:rsidR="00EE56C0" w:rsidRDefault="000F36A1">
            <w:pPr>
              <w:pStyle w:val="afa"/>
            </w:pPr>
            <w:r>
              <w:rPr>
                <w:rFonts w:hint="eastAsia"/>
              </w:rPr>
              <w:t>5%</w:t>
            </w:r>
          </w:p>
        </w:tc>
        <w:tc>
          <w:tcPr>
            <w:tcW w:w="548" w:type="pct"/>
            <w:vAlign w:val="center"/>
          </w:tcPr>
          <w:p w:rsidR="00EE56C0" w:rsidRDefault="000F36A1">
            <w:pPr>
              <w:pStyle w:val="afa"/>
            </w:pPr>
            <w:r>
              <w:rPr>
                <w:rFonts w:hint="eastAsia"/>
              </w:rPr>
              <w:t>5%</w:t>
            </w:r>
          </w:p>
        </w:tc>
      </w:tr>
      <w:tr w:rsidR="00EE56C0">
        <w:trPr>
          <w:trHeight w:val="454"/>
        </w:trPr>
        <w:tc>
          <w:tcPr>
            <w:tcW w:w="589" w:type="pct"/>
            <w:vMerge/>
            <w:vAlign w:val="center"/>
          </w:tcPr>
          <w:p w:rsidR="00EE56C0" w:rsidRDefault="00EE56C0">
            <w:pPr>
              <w:pStyle w:val="afa"/>
            </w:pPr>
          </w:p>
        </w:tc>
        <w:tc>
          <w:tcPr>
            <w:tcW w:w="638" w:type="pct"/>
            <w:vMerge/>
            <w:vAlign w:val="center"/>
          </w:tcPr>
          <w:p w:rsidR="00EE56C0" w:rsidRDefault="00EE56C0">
            <w:pPr>
              <w:pStyle w:val="afa"/>
            </w:pPr>
          </w:p>
        </w:tc>
        <w:tc>
          <w:tcPr>
            <w:tcW w:w="582" w:type="pct"/>
            <w:vAlign w:val="center"/>
          </w:tcPr>
          <w:p w:rsidR="00EE56C0" w:rsidRDefault="000F36A1">
            <w:pPr>
              <w:pStyle w:val="afa"/>
            </w:pPr>
            <w:r>
              <w:rPr>
                <w:rFonts w:hint="eastAsia"/>
              </w:rPr>
              <w:t>一期</w:t>
            </w:r>
          </w:p>
        </w:tc>
        <w:tc>
          <w:tcPr>
            <w:tcW w:w="665" w:type="pct"/>
            <w:vAlign w:val="center"/>
          </w:tcPr>
          <w:p w:rsidR="00EE56C0" w:rsidRDefault="000F36A1">
            <w:pPr>
              <w:pStyle w:val="afa"/>
              <w:rPr>
                <w:rFonts w:eastAsia="宋体"/>
              </w:rPr>
            </w:pPr>
            <w:r>
              <w:t>74.1</w:t>
            </w:r>
          </w:p>
        </w:tc>
        <w:tc>
          <w:tcPr>
            <w:tcW w:w="801" w:type="pct"/>
            <w:vAlign w:val="center"/>
          </w:tcPr>
          <w:p w:rsidR="00EE56C0" w:rsidRDefault="000F36A1">
            <w:pPr>
              <w:pStyle w:val="afa"/>
              <w:rPr>
                <w:rFonts w:eastAsia="宋体"/>
              </w:rPr>
            </w:pPr>
            <w:r>
              <w:t>11.115</w:t>
            </w:r>
          </w:p>
        </w:tc>
        <w:tc>
          <w:tcPr>
            <w:tcW w:w="644" w:type="pct"/>
            <w:vAlign w:val="center"/>
          </w:tcPr>
          <w:p w:rsidR="00EE56C0" w:rsidRDefault="000F36A1">
            <w:pPr>
              <w:pStyle w:val="afa"/>
              <w:rPr>
                <w:rFonts w:eastAsia="宋体"/>
              </w:rPr>
            </w:pPr>
            <w:r>
              <w:t>11.115</w:t>
            </w:r>
          </w:p>
        </w:tc>
        <w:tc>
          <w:tcPr>
            <w:tcW w:w="533" w:type="pct"/>
            <w:vAlign w:val="center"/>
          </w:tcPr>
          <w:p w:rsidR="00EE56C0" w:rsidRDefault="000F36A1">
            <w:pPr>
              <w:pStyle w:val="afa"/>
              <w:rPr>
                <w:rFonts w:eastAsia="宋体"/>
              </w:rPr>
            </w:pPr>
            <w:r>
              <w:t>3.705</w:t>
            </w:r>
          </w:p>
        </w:tc>
        <w:tc>
          <w:tcPr>
            <w:tcW w:w="548" w:type="pct"/>
            <w:vAlign w:val="center"/>
          </w:tcPr>
          <w:p w:rsidR="00EE56C0" w:rsidRDefault="000F36A1">
            <w:pPr>
              <w:pStyle w:val="afa"/>
              <w:rPr>
                <w:rFonts w:eastAsia="宋体"/>
              </w:rPr>
            </w:pPr>
            <w:r>
              <w:t>3.705</w:t>
            </w:r>
          </w:p>
        </w:tc>
      </w:tr>
      <w:tr w:rsidR="00EE56C0">
        <w:trPr>
          <w:trHeight w:val="454"/>
        </w:trPr>
        <w:tc>
          <w:tcPr>
            <w:tcW w:w="589" w:type="pct"/>
            <w:vMerge/>
            <w:vAlign w:val="center"/>
          </w:tcPr>
          <w:p w:rsidR="00EE56C0" w:rsidRDefault="00EE56C0">
            <w:pPr>
              <w:pStyle w:val="afa"/>
            </w:pPr>
          </w:p>
        </w:tc>
        <w:tc>
          <w:tcPr>
            <w:tcW w:w="638" w:type="pct"/>
            <w:vMerge/>
            <w:vAlign w:val="center"/>
          </w:tcPr>
          <w:p w:rsidR="00EE56C0" w:rsidRDefault="00EE56C0">
            <w:pPr>
              <w:pStyle w:val="afa"/>
            </w:pPr>
          </w:p>
        </w:tc>
        <w:tc>
          <w:tcPr>
            <w:tcW w:w="582" w:type="pct"/>
            <w:vAlign w:val="center"/>
          </w:tcPr>
          <w:p w:rsidR="00EE56C0" w:rsidRDefault="000F36A1">
            <w:pPr>
              <w:pStyle w:val="afa"/>
            </w:pPr>
            <w:r>
              <w:rPr>
                <w:rFonts w:hint="eastAsia"/>
              </w:rPr>
              <w:t>二期</w:t>
            </w:r>
          </w:p>
        </w:tc>
        <w:tc>
          <w:tcPr>
            <w:tcW w:w="665" w:type="pct"/>
            <w:vAlign w:val="center"/>
          </w:tcPr>
          <w:p w:rsidR="00EE56C0" w:rsidRDefault="000F36A1">
            <w:pPr>
              <w:pStyle w:val="afa"/>
              <w:rPr>
                <w:rFonts w:eastAsia="宋体"/>
              </w:rPr>
            </w:pPr>
            <w:r>
              <w:rPr>
                <w:rFonts w:hint="eastAsia"/>
              </w:rPr>
              <w:t>58.5</w:t>
            </w:r>
          </w:p>
        </w:tc>
        <w:tc>
          <w:tcPr>
            <w:tcW w:w="801" w:type="pct"/>
            <w:vAlign w:val="center"/>
          </w:tcPr>
          <w:p w:rsidR="00EE56C0" w:rsidRDefault="000F36A1">
            <w:pPr>
              <w:pStyle w:val="afa"/>
              <w:rPr>
                <w:rFonts w:eastAsia="宋体"/>
              </w:rPr>
            </w:pPr>
            <w:r>
              <w:t>8.775</w:t>
            </w:r>
          </w:p>
        </w:tc>
        <w:tc>
          <w:tcPr>
            <w:tcW w:w="644" w:type="pct"/>
            <w:vAlign w:val="center"/>
          </w:tcPr>
          <w:p w:rsidR="00EE56C0" w:rsidRDefault="000F36A1">
            <w:pPr>
              <w:pStyle w:val="afa"/>
              <w:rPr>
                <w:rFonts w:eastAsia="宋体"/>
              </w:rPr>
            </w:pPr>
            <w:r>
              <w:t>8.775</w:t>
            </w:r>
          </w:p>
        </w:tc>
        <w:tc>
          <w:tcPr>
            <w:tcW w:w="533" w:type="pct"/>
            <w:vAlign w:val="center"/>
          </w:tcPr>
          <w:p w:rsidR="00EE56C0" w:rsidRDefault="000F36A1">
            <w:pPr>
              <w:pStyle w:val="afa"/>
              <w:rPr>
                <w:rFonts w:eastAsia="宋体"/>
              </w:rPr>
            </w:pPr>
            <w:r>
              <w:t>2.925</w:t>
            </w:r>
          </w:p>
        </w:tc>
        <w:tc>
          <w:tcPr>
            <w:tcW w:w="548" w:type="pct"/>
            <w:vAlign w:val="center"/>
          </w:tcPr>
          <w:p w:rsidR="00EE56C0" w:rsidRDefault="000F36A1">
            <w:pPr>
              <w:pStyle w:val="afa"/>
              <w:rPr>
                <w:rFonts w:eastAsia="宋体"/>
              </w:rPr>
            </w:pPr>
            <w:r>
              <w:t>2.925</w:t>
            </w:r>
          </w:p>
        </w:tc>
      </w:tr>
      <w:tr w:rsidR="00EE56C0">
        <w:trPr>
          <w:trHeight w:val="454"/>
        </w:trPr>
        <w:tc>
          <w:tcPr>
            <w:tcW w:w="589" w:type="pct"/>
            <w:vMerge/>
            <w:vAlign w:val="center"/>
          </w:tcPr>
          <w:p w:rsidR="00EE56C0" w:rsidRDefault="00EE56C0">
            <w:pPr>
              <w:pStyle w:val="afa"/>
            </w:pPr>
          </w:p>
        </w:tc>
        <w:tc>
          <w:tcPr>
            <w:tcW w:w="638" w:type="pct"/>
            <w:vMerge/>
            <w:vAlign w:val="center"/>
          </w:tcPr>
          <w:p w:rsidR="00EE56C0" w:rsidRDefault="00EE56C0">
            <w:pPr>
              <w:pStyle w:val="afa"/>
            </w:pPr>
          </w:p>
        </w:tc>
        <w:tc>
          <w:tcPr>
            <w:tcW w:w="582" w:type="pct"/>
            <w:vAlign w:val="center"/>
          </w:tcPr>
          <w:p w:rsidR="00EE56C0" w:rsidRDefault="000F36A1">
            <w:pPr>
              <w:pStyle w:val="afa"/>
            </w:pPr>
            <w:r>
              <w:rPr>
                <w:rFonts w:hint="eastAsia"/>
              </w:rPr>
              <w:t>合计</w:t>
            </w:r>
          </w:p>
        </w:tc>
        <w:tc>
          <w:tcPr>
            <w:tcW w:w="665" w:type="pct"/>
            <w:vAlign w:val="center"/>
          </w:tcPr>
          <w:p w:rsidR="00EE56C0" w:rsidRDefault="000F36A1">
            <w:pPr>
              <w:pStyle w:val="afa"/>
              <w:rPr>
                <w:rFonts w:eastAsia="宋体"/>
              </w:rPr>
            </w:pPr>
            <w:r>
              <w:rPr>
                <w:rFonts w:hint="eastAsia"/>
              </w:rPr>
              <w:t>132.6</w:t>
            </w:r>
          </w:p>
        </w:tc>
        <w:tc>
          <w:tcPr>
            <w:tcW w:w="801" w:type="pct"/>
            <w:vAlign w:val="center"/>
          </w:tcPr>
          <w:p w:rsidR="00EE56C0" w:rsidRDefault="000F36A1">
            <w:pPr>
              <w:pStyle w:val="afa"/>
              <w:rPr>
                <w:rFonts w:eastAsia="宋体"/>
              </w:rPr>
            </w:pPr>
            <w:r>
              <w:t>19.89</w:t>
            </w:r>
          </w:p>
        </w:tc>
        <w:tc>
          <w:tcPr>
            <w:tcW w:w="644" w:type="pct"/>
            <w:vAlign w:val="center"/>
          </w:tcPr>
          <w:p w:rsidR="00EE56C0" w:rsidRDefault="000F36A1">
            <w:pPr>
              <w:pStyle w:val="afa"/>
              <w:rPr>
                <w:rFonts w:eastAsia="宋体"/>
              </w:rPr>
            </w:pPr>
            <w:r>
              <w:t>19.89</w:t>
            </w:r>
          </w:p>
        </w:tc>
        <w:tc>
          <w:tcPr>
            <w:tcW w:w="533" w:type="pct"/>
            <w:vAlign w:val="center"/>
          </w:tcPr>
          <w:p w:rsidR="00EE56C0" w:rsidRDefault="000F36A1">
            <w:pPr>
              <w:pStyle w:val="afa"/>
              <w:rPr>
                <w:rFonts w:eastAsia="宋体"/>
              </w:rPr>
            </w:pPr>
            <w:r>
              <w:t>6.63</w:t>
            </w:r>
          </w:p>
        </w:tc>
        <w:tc>
          <w:tcPr>
            <w:tcW w:w="548" w:type="pct"/>
            <w:vAlign w:val="center"/>
          </w:tcPr>
          <w:p w:rsidR="00EE56C0" w:rsidRDefault="000F36A1">
            <w:pPr>
              <w:pStyle w:val="afa"/>
              <w:rPr>
                <w:rFonts w:eastAsia="宋体"/>
              </w:rPr>
            </w:pPr>
            <w:r>
              <w:t>6.63</w:t>
            </w:r>
          </w:p>
        </w:tc>
      </w:tr>
    </w:tbl>
    <w:p w:rsidR="00EE56C0" w:rsidRDefault="000F36A1">
      <w:pPr>
        <w:ind w:firstLine="482"/>
        <w:rPr>
          <w:b/>
        </w:rPr>
      </w:pPr>
      <w:r>
        <w:rPr>
          <w:rFonts w:hint="eastAsia"/>
          <w:b/>
        </w:rPr>
        <w:t>（</w:t>
      </w:r>
      <w:r>
        <w:rPr>
          <w:rFonts w:hint="eastAsia"/>
          <w:b/>
        </w:rPr>
        <w:t>2</w:t>
      </w:r>
      <w:r>
        <w:rPr>
          <w:rFonts w:hint="eastAsia"/>
          <w:b/>
        </w:rPr>
        <w:t>）废气收集方式及风量确定</w:t>
      </w:r>
    </w:p>
    <w:p w:rsidR="00EE56C0" w:rsidRDefault="000F36A1">
      <w:pPr>
        <w:ind w:firstLine="480"/>
      </w:pPr>
      <w:r>
        <w:rPr>
          <w:rFonts w:hint="eastAsia"/>
        </w:rPr>
        <w:t>废气收集及治理方式见下表。</w:t>
      </w:r>
    </w:p>
    <w:p w:rsidR="00EE56C0" w:rsidRDefault="000F36A1">
      <w:pPr>
        <w:pStyle w:val="afd"/>
        <w:spacing w:before="120" w:after="120"/>
        <w:ind w:firstLine="482"/>
      </w:pPr>
      <w:r>
        <w:rPr>
          <w:rFonts w:hint="eastAsia"/>
        </w:rPr>
        <w:t>表</w:t>
      </w:r>
      <w:r>
        <w:rPr>
          <w:rFonts w:hint="eastAsia"/>
        </w:rPr>
        <w:t xml:space="preserve">3-22          </w:t>
      </w:r>
      <w:r>
        <w:rPr>
          <w:rFonts w:hint="eastAsia"/>
        </w:rPr>
        <w:t>一期、二期废气收集及治理方式情况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68"/>
        <w:gridCol w:w="565"/>
        <w:gridCol w:w="2005"/>
        <w:gridCol w:w="794"/>
        <w:gridCol w:w="1394"/>
        <w:gridCol w:w="1545"/>
        <w:gridCol w:w="1457"/>
      </w:tblGrid>
      <w:tr w:rsidR="00EE56C0">
        <w:trPr>
          <w:trHeight w:val="454"/>
          <w:jc w:val="center"/>
        </w:trPr>
        <w:tc>
          <w:tcPr>
            <w:tcW w:w="454" w:type="pct"/>
            <w:vMerge w:val="restart"/>
            <w:vAlign w:val="center"/>
          </w:tcPr>
          <w:p w:rsidR="00EE56C0" w:rsidRDefault="000F36A1">
            <w:pPr>
              <w:pStyle w:val="afa"/>
              <w:rPr>
                <w:b/>
              </w:rPr>
            </w:pPr>
            <w:r>
              <w:rPr>
                <w:rFonts w:hint="eastAsia"/>
                <w:b/>
              </w:rPr>
              <w:t>生产线</w:t>
            </w:r>
          </w:p>
        </w:tc>
        <w:tc>
          <w:tcPr>
            <w:tcW w:w="335" w:type="pct"/>
            <w:vMerge w:val="restart"/>
            <w:vAlign w:val="center"/>
          </w:tcPr>
          <w:p w:rsidR="00EE56C0" w:rsidRDefault="000F36A1">
            <w:pPr>
              <w:pStyle w:val="afa"/>
              <w:rPr>
                <w:b/>
              </w:rPr>
            </w:pPr>
            <w:r>
              <w:rPr>
                <w:rFonts w:hint="eastAsia"/>
                <w:b/>
              </w:rPr>
              <w:t>设备</w:t>
            </w:r>
          </w:p>
        </w:tc>
        <w:tc>
          <w:tcPr>
            <w:tcW w:w="1179" w:type="pct"/>
            <w:vMerge w:val="restart"/>
            <w:vAlign w:val="center"/>
          </w:tcPr>
          <w:p w:rsidR="00EE56C0" w:rsidRDefault="000F36A1">
            <w:pPr>
              <w:pStyle w:val="afa"/>
              <w:rPr>
                <w:b/>
              </w:rPr>
            </w:pPr>
            <w:r>
              <w:rPr>
                <w:rFonts w:hint="eastAsia"/>
                <w:b/>
              </w:rPr>
              <w:t>收集方式（一期、二期一致）</w:t>
            </w:r>
          </w:p>
        </w:tc>
        <w:tc>
          <w:tcPr>
            <w:tcW w:w="445" w:type="pct"/>
            <w:vMerge w:val="restart"/>
            <w:vAlign w:val="center"/>
          </w:tcPr>
          <w:p w:rsidR="00EE56C0" w:rsidRDefault="000F36A1">
            <w:pPr>
              <w:pStyle w:val="afa"/>
              <w:rPr>
                <w:b/>
              </w:rPr>
            </w:pPr>
            <w:r>
              <w:rPr>
                <w:rFonts w:hint="eastAsia"/>
                <w:b/>
              </w:rPr>
              <w:t>收集效率</w:t>
            </w:r>
          </w:p>
        </w:tc>
        <w:tc>
          <w:tcPr>
            <w:tcW w:w="821" w:type="pct"/>
            <w:vMerge w:val="restart"/>
            <w:vAlign w:val="center"/>
          </w:tcPr>
          <w:p w:rsidR="00EE56C0" w:rsidRDefault="000F36A1">
            <w:pPr>
              <w:pStyle w:val="afa"/>
              <w:rPr>
                <w:b/>
              </w:rPr>
            </w:pPr>
            <w:r>
              <w:rPr>
                <w:rFonts w:hint="eastAsia"/>
                <w:b/>
              </w:rPr>
              <w:t>预处理方式（一期、二期一致）</w:t>
            </w:r>
          </w:p>
        </w:tc>
        <w:tc>
          <w:tcPr>
            <w:tcW w:w="1766" w:type="pct"/>
            <w:gridSpan w:val="2"/>
            <w:vAlign w:val="center"/>
          </w:tcPr>
          <w:p w:rsidR="00EE56C0" w:rsidRDefault="000F36A1">
            <w:pPr>
              <w:pStyle w:val="afa"/>
              <w:rPr>
                <w:b/>
              </w:rPr>
            </w:pPr>
            <w:r>
              <w:rPr>
                <w:rFonts w:hint="eastAsia"/>
                <w:b/>
              </w:rPr>
              <w:t>末端处理方式</w:t>
            </w:r>
          </w:p>
        </w:tc>
      </w:tr>
      <w:tr w:rsidR="00EE56C0">
        <w:trPr>
          <w:trHeight w:val="454"/>
          <w:jc w:val="center"/>
        </w:trPr>
        <w:tc>
          <w:tcPr>
            <w:tcW w:w="454" w:type="pct"/>
            <w:vMerge/>
            <w:vAlign w:val="center"/>
          </w:tcPr>
          <w:p w:rsidR="00EE56C0" w:rsidRDefault="00EE56C0">
            <w:pPr>
              <w:pStyle w:val="afa"/>
              <w:rPr>
                <w:b/>
              </w:rPr>
            </w:pPr>
          </w:p>
        </w:tc>
        <w:tc>
          <w:tcPr>
            <w:tcW w:w="335" w:type="pct"/>
            <w:vMerge/>
            <w:vAlign w:val="center"/>
          </w:tcPr>
          <w:p w:rsidR="00EE56C0" w:rsidRDefault="00EE56C0">
            <w:pPr>
              <w:pStyle w:val="afa"/>
              <w:rPr>
                <w:b/>
              </w:rPr>
            </w:pPr>
          </w:p>
        </w:tc>
        <w:tc>
          <w:tcPr>
            <w:tcW w:w="1179" w:type="pct"/>
            <w:vMerge/>
            <w:vAlign w:val="center"/>
          </w:tcPr>
          <w:p w:rsidR="00EE56C0" w:rsidRDefault="00EE56C0">
            <w:pPr>
              <w:pStyle w:val="afa"/>
              <w:rPr>
                <w:b/>
              </w:rPr>
            </w:pPr>
          </w:p>
        </w:tc>
        <w:tc>
          <w:tcPr>
            <w:tcW w:w="445" w:type="pct"/>
            <w:vMerge/>
            <w:vAlign w:val="center"/>
          </w:tcPr>
          <w:p w:rsidR="00EE56C0" w:rsidRDefault="00EE56C0">
            <w:pPr>
              <w:pStyle w:val="afa"/>
              <w:rPr>
                <w:b/>
              </w:rPr>
            </w:pPr>
          </w:p>
        </w:tc>
        <w:tc>
          <w:tcPr>
            <w:tcW w:w="821" w:type="pct"/>
            <w:vMerge/>
            <w:vAlign w:val="center"/>
          </w:tcPr>
          <w:p w:rsidR="00EE56C0" w:rsidRDefault="00EE56C0">
            <w:pPr>
              <w:pStyle w:val="afa"/>
              <w:rPr>
                <w:b/>
              </w:rPr>
            </w:pPr>
          </w:p>
        </w:tc>
        <w:tc>
          <w:tcPr>
            <w:tcW w:w="909" w:type="pct"/>
            <w:vAlign w:val="center"/>
          </w:tcPr>
          <w:p w:rsidR="00EE56C0" w:rsidRDefault="000F36A1">
            <w:pPr>
              <w:pStyle w:val="afa"/>
              <w:rPr>
                <w:b/>
              </w:rPr>
            </w:pPr>
            <w:r>
              <w:rPr>
                <w:rFonts w:hint="eastAsia"/>
                <w:b/>
              </w:rPr>
              <w:t>一期</w:t>
            </w:r>
          </w:p>
        </w:tc>
        <w:tc>
          <w:tcPr>
            <w:tcW w:w="857" w:type="pct"/>
            <w:vAlign w:val="center"/>
          </w:tcPr>
          <w:p w:rsidR="00EE56C0" w:rsidRDefault="000F36A1">
            <w:pPr>
              <w:pStyle w:val="afa"/>
              <w:rPr>
                <w:b/>
              </w:rPr>
            </w:pPr>
            <w:r>
              <w:rPr>
                <w:rFonts w:hint="eastAsia"/>
                <w:b/>
              </w:rPr>
              <w:t>二期</w:t>
            </w:r>
          </w:p>
        </w:tc>
      </w:tr>
      <w:tr w:rsidR="00EE56C0">
        <w:trPr>
          <w:trHeight w:val="1033"/>
          <w:jc w:val="center"/>
        </w:trPr>
        <w:tc>
          <w:tcPr>
            <w:tcW w:w="454" w:type="pct"/>
            <w:vMerge w:val="restart"/>
            <w:vAlign w:val="center"/>
          </w:tcPr>
          <w:p w:rsidR="00EE56C0" w:rsidRDefault="000F36A1">
            <w:pPr>
              <w:pStyle w:val="afa"/>
            </w:pPr>
            <w:r>
              <w:rPr>
                <w:rFonts w:hint="eastAsia"/>
              </w:rPr>
              <w:t>漆包线</w:t>
            </w:r>
          </w:p>
        </w:tc>
        <w:tc>
          <w:tcPr>
            <w:tcW w:w="335" w:type="pct"/>
            <w:vMerge w:val="restart"/>
            <w:vAlign w:val="center"/>
          </w:tcPr>
          <w:p w:rsidR="00EE56C0" w:rsidRDefault="000F36A1">
            <w:pPr>
              <w:pStyle w:val="afa"/>
            </w:pPr>
            <w:r>
              <w:rPr>
                <w:rFonts w:hint="eastAsia"/>
              </w:rPr>
              <w:t>卧炉</w:t>
            </w:r>
          </w:p>
        </w:tc>
        <w:tc>
          <w:tcPr>
            <w:tcW w:w="1179" w:type="pct"/>
            <w:vAlign w:val="center"/>
          </w:tcPr>
          <w:p w:rsidR="00EE56C0" w:rsidRPr="00B9172C" w:rsidRDefault="000F36A1" w:rsidP="00B9172C">
            <w:pPr>
              <w:pStyle w:val="afa"/>
              <w:rPr>
                <w:b/>
                <w:highlight w:val="yellow"/>
                <w:u w:val="single"/>
              </w:rPr>
            </w:pPr>
            <w:r w:rsidRPr="00B9172C">
              <w:rPr>
                <w:rFonts w:hint="eastAsia"/>
                <w:b/>
                <w:u w:val="single"/>
              </w:rPr>
              <w:t>1.</w:t>
            </w:r>
            <w:r w:rsidRPr="00B9172C">
              <w:rPr>
                <w:rFonts w:hint="eastAsia"/>
                <w:b/>
                <w:u w:val="single"/>
              </w:rPr>
              <w:t>涂漆区上端加盖</w:t>
            </w:r>
            <w:r w:rsidR="00B9172C" w:rsidRPr="00B9172C">
              <w:rPr>
                <w:rFonts w:hint="eastAsia"/>
                <w:b/>
                <w:u w:val="single"/>
              </w:rPr>
              <w:t>（漆槽、模具、整体封闭）</w:t>
            </w:r>
            <w:r w:rsidRPr="00B9172C">
              <w:rPr>
                <w:rFonts w:hint="eastAsia"/>
                <w:b/>
                <w:u w:val="single"/>
              </w:rPr>
              <w:t>，负压收集，涂漆区、烘炉进口大部分废气引入烘道；</w:t>
            </w:r>
          </w:p>
        </w:tc>
        <w:tc>
          <w:tcPr>
            <w:tcW w:w="445" w:type="pct"/>
            <w:vMerge w:val="restart"/>
            <w:vAlign w:val="center"/>
          </w:tcPr>
          <w:p w:rsidR="00EE56C0" w:rsidRPr="00BE7E1E" w:rsidRDefault="000F36A1">
            <w:pPr>
              <w:pStyle w:val="afa"/>
              <w:rPr>
                <w:b/>
                <w:u w:val="single"/>
              </w:rPr>
            </w:pPr>
            <w:r w:rsidRPr="00BE7E1E">
              <w:rPr>
                <w:rFonts w:hint="eastAsia"/>
                <w:b/>
                <w:u w:val="single"/>
              </w:rPr>
              <w:t>99.7%</w:t>
            </w:r>
          </w:p>
        </w:tc>
        <w:tc>
          <w:tcPr>
            <w:tcW w:w="821" w:type="pct"/>
            <w:vMerge w:val="restart"/>
            <w:vAlign w:val="center"/>
          </w:tcPr>
          <w:p w:rsidR="00EE56C0" w:rsidRDefault="000F36A1">
            <w:pPr>
              <w:pStyle w:val="afa"/>
            </w:pPr>
            <w:r>
              <w:rPr>
                <w:rFonts w:hint="eastAsia"/>
              </w:rPr>
              <w:t>炉内自带</w:t>
            </w:r>
            <w:r>
              <w:rPr>
                <w:rFonts w:hint="eastAsia"/>
              </w:rPr>
              <w:t>2</w:t>
            </w:r>
            <w:r>
              <w:rPr>
                <w:rFonts w:hint="eastAsia"/>
              </w:rPr>
              <w:t>次催化燃烧预处理</w:t>
            </w:r>
          </w:p>
        </w:tc>
        <w:tc>
          <w:tcPr>
            <w:tcW w:w="909" w:type="pct"/>
            <w:vMerge w:val="restart"/>
            <w:vAlign w:val="center"/>
          </w:tcPr>
          <w:p w:rsidR="00EE56C0" w:rsidRDefault="000F36A1">
            <w:pPr>
              <w:pStyle w:val="afa"/>
            </w:pPr>
            <w:r>
              <w:rPr>
                <w:rFonts w:hint="eastAsia"/>
              </w:rPr>
              <w:t>3</w:t>
            </w:r>
            <w:r>
              <w:rPr>
                <w:rFonts w:hint="eastAsia"/>
              </w:rPr>
              <w:t>台拉包机：沸石吸附</w:t>
            </w:r>
            <w:r>
              <w:rPr>
                <w:rFonts w:hint="eastAsia"/>
              </w:rPr>
              <w:t>-</w:t>
            </w:r>
            <w:r>
              <w:rPr>
                <w:rFonts w:hint="eastAsia"/>
              </w:rPr>
              <w:t>脱附</w:t>
            </w:r>
            <w:r>
              <w:rPr>
                <w:rFonts w:hint="eastAsia"/>
              </w:rPr>
              <w:t>-</w:t>
            </w:r>
            <w:r>
              <w:rPr>
                <w:rFonts w:hint="eastAsia"/>
              </w:rPr>
              <w:t>催化燃烧</w:t>
            </w:r>
            <w:r>
              <w:rPr>
                <w:rFonts w:hint="eastAsia"/>
              </w:rPr>
              <w:t>F</w:t>
            </w:r>
            <w:r>
              <w:rPr>
                <w:rFonts w:hint="eastAsia"/>
              </w:rPr>
              <w:t>（依托现有）</w:t>
            </w:r>
          </w:p>
        </w:tc>
        <w:tc>
          <w:tcPr>
            <w:tcW w:w="857" w:type="pct"/>
            <w:vMerge w:val="restart"/>
            <w:vAlign w:val="center"/>
          </w:tcPr>
          <w:p w:rsidR="00EE56C0" w:rsidRDefault="000F36A1">
            <w:pPr>
              <w:pStyle w:val="afa"/>
            </w:pPr>
            <w:r>
              <w:rPr>
                <w:rFonts w:hint="eastAsia"/>
              </w:rPr>
              <w:t>4</w:t>
            </w:r>
            <w:r>
              <w:rPr>
                <w:rFonts w:hint="eastAsia"/>
              </w:rPr>
              <w:t>台拉包机：沸石吸附</w:t>
            </w:r>
            <w:r>
              <w:rPr>
                <w:rFonts w:hint="eastAsia"/>
              </w:rPr>
              <w:t>-</w:t>
            </w:r>
            <w:r>
              <w:rPr>
                <w:rFonts w:hint="eastAsia"/>
              </w:rPr>
              <w:t>脱附</w:t>
            </w:r>
            <w:r>
              <w:rPr>
                <w:rFonts w:hint="eastAsia"/>
              </w:rPr>
              <w:t>-</w:t>
            </w:r>
            <w:r>
              <w:rPr>
                <w:rFonts w:hint="eastAsia"/>
              </w:rPr>
              <w:t>催化燃烧</w:t>
            </w:r>
            <w:r>
              <w:rPr>
                <w:rFonts w:hint="eastAsia"/>
              </w:rPr>
              <w:t>F</w:t>
            </w:r>
            <w:r>
              <w:rPr>
                <w:rFonts w:hint="eastAsia"/>
              </w:rPr>
              <w:t>（依托现有）</w:t>
            </w:r>
          </w:p>
        </w:tc>
      </w:tr>
      <w:tr w:rsidR="00EE56C0">
        <w:trPr>
          <w:trHeight w:val="857"/>
          <w:jc w:val="center"/>
        </w:trPr>
        <w:tc>
          <w:tcPr>
            <w:tcW w:w="454" w:type="pct"/>
            <w:vMerge/>
            <w:vAlign w:val="center"/>
          </w:tcPr>
          <w:p w:rsidR="00EE56C0" w:rsidRDefault="00EE56C0">
            <w:pPr>
              <w:pStyle w:val="afa"/>
            </w:pPr>
          </w:p>
        </w:tc>
        <w:tc>
          <w:tcPr>
            <w:tcW w:w="335" w:type="pct"/>
            <w:vMerge/>
            <w:vAlign w:val="center"/>
          </w:tcPr>
          <w:p w:rsidR="00EE56C0" w:rsidRDefault="00EE56C0">
            <w:pPr>
              <w:pStyle w:val="afa"/>
            </w:pPr>
          </w:p>
        </w:tc>
        <w:tc>
          <w:tcPr>
            <w:tcW w:w="1179" w:type="pct"/>
            <w:vAlign w:val="center"/>
          </w:tcPr>
          <w:p w:rsidR="00EE56C0" w:rsidRPr="00B9172C" w:rsidRDefault="000F36A1">
            <w:pPr>
              <w:pStyle w:val="afa"/>
              <w:rPr>
                <w:b/>
                <w:u w:val="single"/>
              </w:rPr>
            </w:pPr>
            <w:r w:rsidRPr="00B9172C">
              <w:rPr>
                <w:rFonts w:hint="eastAsia"/>
                <w:b/>
                <w:u w:val="single"/>
              </w:rPr>
              <w:t>2.</w:t>
            </w:r>
            <w:r w:rsidRPr="00B9172C">
              <w:rPr>
                <w:rFonts w:hint="eastAsia"/>
                <w:b/>
                <w:u w:val="single"/>
              </w:rPr>
              <w:t>烘炉出口端备自带压风系统，经集气罩负压收集</w:t>
            </w:r>
          </w:p>
        </w:tc>
        <w:tc>
          <w:tcPr>
            <w:tcW w:w="445" w:type="pct"/>
            <w:vMerge/>
            <w:vAlign w:val="center"/>
          </w:tcPr>
          <w:p w:rsidR="00EE56C0" w:rsidRPr="00BE7E1E" w:rsidRDefault="00EE56C0">
            <w:pPr>
              <w:pStyle w:val="afa"/>
              <w:rPr>
                <w:b/>
                <w:u w:val="single"/>
              </w:rPr>
            </w:pPr>
          </w:p>
        </w:tc>
        <w:tc>
          <w:tcPr>
            <w:tcW w:w="821" w:type="pct"/>
            <w:vMerge/>
            <w:vAlign w:val="center"/>
          </w:tcPr>
          <w:p w:rsidR="00EE56C0" w:rsidRDefault="00EE56C0">
            <w:pPr>
              <w:pStyle w:val="afa"/>
            </w:pPr>
          </w:p>
        </w:tc>
        <w:tc>
          <w:tcPr>
            <w:tcW w:w="909" w:type="pct"/>
            <w:vMerge/>
            <w:vAlign w:val="center"/>
          </w:tcPr>
          <w:p w:rsidR="00EE56C0" w:rsidRDefault="00EE56C0">
            <w:pPr>
              <w:pStyle w:val="afa"/>
            </w:pPr>
          </w:p>
        </w:tc>
        <w:tc>
          <w:tcPr>
            <w:tcW w:w="857" w:type="pct"/>
            <w:vMerge/>
            <w:vAlign w:val="center"/>
          </w:tcPr>
          <w:p w:rsidR="00EE56C0" w:rsidRDefault="00EE56C0">
            <w:pPr>
              <w:pStyle w:val="afa"/>
            </w:pPr>
          </w:p>
        </w:tc>
      </w:tr>
      <w:tr w:rsidR="00EE56C0">
        <w:trPr>
          <w:trHeight w:val="454"/>
          <w:jc w:val="center"/>
        </w:trPr>
        <w:tc>
          <w:tcPr>
            <w:tcW w:w="454" w:type="pct"/>
            <w:vMerge/>
            <w:vAlign w:val="center"/>
          </w:tcPr>
          <w:p w:rsidR="00EE56C0" w:rsidRDefault="00EE56C0">
            <w:pPr>
              <w:pStyle w:val="afa"/>
            </w:pPr>
          </w:p>
        </w:tc>
        <w:tc>
          <w:tcPr>
            <w:tcW w:w="335" w:type="pct"/>
            <w:vMerge/>
            <w:vAlign w:val="center"/>
          </w:tcPr>
          <w:p w:rsidR="00EE56C0" w:rsidRDefault="00EE56C0">
            <w:pPr>
              <w:pStyle w:val="afa"/>
            </w:pPr>
          </w:p>
        </w:tc>
        <w:tc>
          <w:tcPr>
            <w:tcW w:w="1179" w:type="pct"/>
            <w:vAlign w:val="center"/>
          </w:tcPr>
          <w:p w:rsidR="00EE56C0" w:rsidRDefault="000F36A1">
            <w:pPr>
              <w:pStyle w:val="afa"/>
            </w:pPr>
            <w:r>
              <w:rPr>
                <w:rFonts w:hint="eastAsia"/>
              </w:rPr>
              <w:t>无组织废气</w:t>
            </w:r>
          </w:p>
        </w:tc>
        <w:tc>
          <w:tcPr>
            <w:tcW w:w="445" w:type="pct"/>
            <w:vAlign w:val="center"/>
          </w:tcPr>
          <w:p w:rsidR="00EE56C0" w:rsidRPr="00BE7E1E" w:rsidRDefault="000F36A1">
            <w:pPr>
              <w:pStyle w:val="afa"/>
              <w:rPr>
                <w:b/>
                <w:u w:val="single"/>
              </w:rPr>
            </w:pPr>
            <w:r w:rsidRPr="00BE7E1E">
              <w:rPr>
                <w:rFonts w:hint="eastAsia"/>
                <w:b/>
                <w:u w:val="single"/>
              </w:rPr>
              <w:t>0.3%</w:t>
            </w:r>
          </w:p>
        </w:tc>
        <w:tc>
          <w:tcPr>
            <w:tcW w:w="821" w:type="pct"/>
            <w:vAlign w:val="center"/>
          </w:tcPr>
          <w:p w:rsidR="00EE56C0" w:rsidRDefault="000F36A1">
            <w:pPr>
              <w:pStyle w:val="afa"/>
            </w:pPr>
            <w:r>
              <w:rPr>
                <w:rFonts w:hint="eastAsia"/>
              </w:rPr>
              <w:t>/</w:t>
            </w:r>
          </w:p>
        </w:tc>
        <w:tc>
          <w:tcPr>
            <w:tcW w:w="909" w:type="pct"/>
            <w:vAlign w:val="center"/>
          </w:tcPr>
          <w:p w:rsidR="00EE56C0" w:rsidRDefault="000F36A1">
            <w:pPr>
              <w:pStyle w:val="afa"/>
            </w:pPr>
            <w:r>
              <w:rPr>
                <w:rFonts w:hint="eastAsia"/>
              </w:rPr>
              <w:t>/</w:t>
            </w:r>
          </w:p>
        </w:tc>
        <w:tc>
          <w:tcPr>
            <w:tcW w:w="857" w:type="pct"/>
            <w:vAlign w:val="center"/>
          </w:tcPr>
          <w:p w:rsidR="00EE56C0" w:rsidRDefault="000F36A1">
            <w:pPr>
              <w:pStyle w:val="afa"/>
            </w:pPr>
            <w:r>
              <w:rPr>
                <w:rFonts w:hint="eastAsia"/>
              </w:rPr>
              <w:t>/</w:t>
            </w:r>
          </w:p>
        </w:tc>
      </w:tr>
      <w:tr w:rsidR="00EE56C0">
        <w:trPr>
          <w:trHeight w:val="1440"/>
          <w:jc w:val="center"/>
        </w:trPr>
        <w:tc>
          <w:tcPr>
            <w:tcW w:w="454" w:type="pct"/>
            <w:vMerge/>
            <w:vAlign w:val="center"/>
          </w:tcPr>
          <w:p w:rsidR="00EE56C0" w:rsidRDefault="00EE56C0">
            <w:pPr>
              <w:pStyle w:val="afa"/>
            </w:pPr>
          </w:p>
        </w:tc>
        <w:tc>
          <w:tcPr>
            <w:tcW w:w="335" w:type="pct"/>
            <w:vMerge w:val="restart"/>
            <w:vAlign w:val="center"/>
          </w:tcPr>
          <w:p w:rsidR="00EE56C0" w:rsidRDefault="000F36A1">
            <w:pPr>
              <w:pStyle w:val="afa"/>
            </w:pPr>
            <w:r>
              <w:rPr>
                <w:rFonts w:hint="eastAsia"/>
              </w:rPr>
              <w:t>立炉</w:t>
            </w:r>
          </w:p>
        </w:tc>
        <w:tc>
          <w:tcPr>
            <w:tcW w:w="1179" w:type="pct"/>
            <w:vMerge w:val="restart"/>
            <w:vAlign w:val="center"/>
          </w:tcPr>
          <w:p w:rsidR="00EE56C0" w:rsidRDefault="000F36A1">
            <w:pPr>
              <w:pStyle w:val="afa"/>
            </w:pPr>
            <w:r>
              <w:rPr>
                <w:rFonts w:hint="eastAsia"/>
              </w:rPr>
              <w:t>1.</w:t>
            </w:r>
            <w:r>
              <w:rPr>
                <w:rFonts w:hint="eastAsia"/>
              </w:rPr>
              <w:t>涂漆、烘炉进口设置涂漆间，采用集气管道收集，烘炉出口端备自带压风系统</w:t>
            </w:r>
          </w:p>
        </w:tc>
        <w:tc>
          <w:tcPr>
            <w:tcW w:w="445" w:type="pct"/>
            <w:vMerge w:val="restart"/>
            <w:vAlign w:val="center"/>
          </w:tcPr>
          <w:p w:rsidR="00EE56C0" w:rsidRPr="00BE7E1E" w:rsidRDefault="000F36A1">
            <w:pPr>
              <w:pStyle w:val="afa"/>
              <w:rPr>
                <w:b/>
                <w:u w:val="single"/>
              </w:rPr>
            </w:pPr>
            <w:r w:rsidRPr="00BE7E1E">
              <w:rPr>
                <w:rFonts w:hint="eastAsia"/>
                <w:b/>
                <w:u w:val="single"/>
              </w:rPr>
              <w:t>99.7%</w:t>
            </w:r>
          </w:p>
        </w:tc>
        <w:tc>
          <w:tcPr>
            <w:tcW w:w="821" w:type="pct"/>
            <w:vMerge w:val="restart"/>
            <w:vAlign w:val="center"/>
          </w:tcPr>
          <w:p w:rsidR="00EE56C0" w:rsidRDefault="000F36A1">
            <w:pPr>
              <w:pStyle w:val="afa"/>
            </w:pPr>
            <w:r>
              <w:rPr>
                <w:rFonts w:hint="eastAsia"/>
              </w:rPr>
              <w:t>炉内自带</w:t>
            </w:r>
            <w:r>
              <w:rPr>
                <w:rFonts w:hint="eastAsia"/>
              </w:rPr>
              <w:t>2</w:t>
            </w:r>
            <w:r>
              <w:rPr>
                <w:rFonts w:hint="eastAsia"/>
              </w:rPr>
              <w:t>次催化燃烧预处理，二次燃烧热烟气优先用于烘炉内部固化工序，其次进</w:t>
            </w:r>
            <w:r>
              <w:rPr>
                <w:rFonts w:hint="eastAsia"/>
              </w:rPr>
              <w:lastRenderedPageBreak/>
              <w:t>入退火炉，尾气经退火炉顶部排放</w:t>
            </w:r>
          </w:p>
        </w:tc>
        <w:tc>
          <w:tcPr>
            <w:tcW w:w="909" w:type="pct"/>
            <w:vAlign w:val="center"/>
          </w:tcPr>
          <w:p w:rsidR="00EE56C0" w:rsidRDefault="000F36A1">
            <w:pPr>
              <w:pStyle w:val="afa"/>
            </w:pPr>
            <w:r>
              <w:rPr>
                <w:rFonts w:hint="eastAsia"/>
              </w:rPr>
              <w:lastRenderedPageBreak/>
              <w:t>1</w:t>
            </w:r>
            <w:r>
              <w:rPr>
                <w:rFonts w:hint="eastAsia"/>
              </w:rPr>
              <w:t>台漆包机：静电除油</w:t>
            </w:r>
            <w:r>
              <w:rPr>
                <w:rFonts w:hint="eastAsia"/>
              </w:rPr>
              <w:t>+</w:t>
            </w:r>
            <w:r>
              <w:rPr>
                <w:rFonts w:hint="eastAsia"/>
              </w:rPr>
              <w:t>活性炭吸附</w:t>
            </w:r>
            <w:r>
              <w:rPr>
                <w:rFonts w:hint="eastAsia"/>
              </w:rPr>
              <w:t>-</w:t>
            </w:r>
            <w:r>
              <w:rPr>
                <w:rFonts w:hint="eastAsia"/>
              </w:rPr>
              <w:t>脱附</w:t>
            </w:r>
            <w:r>
              <w:rPr>
                <w:rFonts w:hint="eastAsia"/>
              </w:rPr>
              <w:t>-</w:t>
            </w:r>
            <w:r>
              <w:rPr>
                <w:rFonts w:hint="eastAsia"/>
              </w:rPr>
              <w:t>催化燃烧装置</w:t>
            </w:r>
            <w:r>
              <w:rPr>
                <w:rFonts w:hint="eastAsia"/>
              </w:rPr>
              <w:t>T+26.5m</w:t>
            </w:r>
            <w:r>
              <w:rPr>
                <w:rFonts w:hint="eastAsia"/>
              </w:rPr>
              <w:t>排气筒（依托现有）</w:t>
            </w:r>
          </w:p>
        </w:tc>
        <w:tc>
          <w:tcPr>
            <w:tcW w:w="857" w:type="pct"/>
            <w:vAlign w:val="center"/>
          </w:tcPr>
          <w:p w:rsidR="00EE56C0" w:rsidRDefault="000F36A1">
            <w:pPr>
              <w:pStyle w:val="afa"/>
            </w:pPr>
            <w:r>
              <w:rPr>
                <w:rFonts w:hint="eastAsia"/>
              </w:rPr>
              <w:t>3</w:t>
            </w:r>
            <w:r>
              <w:rPr>
                <w:rFonts w:hint="eastAsia"/>
              </w:rPr>
              <w:t>台漆包机：静电除油</w:t>
            </w:r>
            <w:r>
              <w:rPr>
                <w:rFonts w:hint="eastAsia"/>
              </w:rPr>
              <w:t>+</w:t>
            </w:r>
            <w:r>
              <w:rPr>
                <w:rFonts w:hint="eastAsia"/>
              </w:rPr>
              <w:t>活性炭吸附</w:t>
            </w:r>
            <w:r>
              <w:rPr>
                <w:rFonts w:hint="eastAsia"/>
              </w:rPr>
              <w:t>-</w:t>
            </w:r>
            <w:r>
              <w:rPr>
                <w:rFonts w:hint="eastAsia"/>
              </w:rPr>
              <w:t>脱附</w:t>
            </w:r>
            <w:r>
              <w:rPr>
                <w:rFonts w:hint="eastAsia"/>
              </w:rPr>
              <w:t>-</w:t>
            </w:r>
            <w:r>
              <w:rPr>
                <w:rFonts w:hint="eastAsia"/>
              </w:rPr>
              <w:t>催化燃烧装置</w:t>
            </w:r>
            <w:r>
              <w:rPr>
                <w:rFonts w:hint="eastAsia"/>
              </w:rPr>
              <w:t>T+26.5m</w:t>
            </w:r>
            <w:r>
              <w:rPr>
                <w:rFonts w:hint="eastAsia"/>
              </w:rPr>
              <w:t>排气筒（依托现有）</w:t>
            </w:r>
          </w:p>
        </w:tc>
      </w:tr>
      <w:tr w:rsidR="00EE56C0">
        <w:trPr>
          <w:trHeight w:val="1268"/>
          <w:jc w:val="center"/>
        </w:trPr>
        <w:tc>
          <w:tcPr>
            <w:tcW w:w="454" w:type="pct"/>
            <w:vMerge/>
            <w:vAlign w:val="center"/>
          </w:tcPr>
          <w:p w:rsidR="00EE56C0" w:rsidRDefault="00EE56C0">
            <w:pPr>
              <w:pStyle w:val="afa"/>
            </w:pPr>
          </w:p>
        </w:tc>
        <w:tc>
          <w:tcPr>
            <w:tcW w:w="335" w:type="pct"/>
            <w:vMerge/>
            <w:vAlign w:val="center"/>
          </w:tcPr>
          <w:p w:rsidR="00EE56C0" w:rsidRDefault="00EE56C0">
            <w:pPr>
              <w:pStyle w:val="afa"/>
            </w:pPr>
          </w:p>
        </w:tc>
        <w:tc>
          <w:tcPr>
            <w:tcW w:w="1179" w:type="pct"/>
            <w:vMerge/>
            <w:vAlign w:val="center"/>
          </w:tcPr>
          <w:p w:rsidR="00EE56C0" w:rsidRDefault="00EE56C0">
            <w:pPr>
              <w:pStyle w:val="afa"/>
            </w:pPr>
          </w:p>
        </w:tc>
        <w:tc>
          <w:tcPr>
            <w:tcW w:w="445" w:type="pct"/>
            <w:vMerge/>
            <w:vAlign w:val="center"/>
          </w:tcPr>
          <w:p w:rsidR="00EE56C0" w:rsidRPr="00BE7E1E" w:rsidRDefault="00EE56C0">
            <w:pPr>
              <w:pStyle w:val="afa"/>
              <w:rPr>
                <w:b/>
                <w:u w:val="single"/>
              </w:rPr>
            </w:pPr>
          </w:p>
        </w:tc>
        <w:tc>
          <w:tcPr>
            <w:tcW w:w="821" w:type="pct"/>
            <w:vMerge/>
            <w:vAlign w:val="center"/>
          </w:tcPr>
          <w:p w:rsidR="00EE56C0" w:rsidRDefault="00EE56C0">
            <w:pPr>
              <w:pStyle w:val="afa"/>
            </w:pPr>
          </w:p>
        </w:tc>
        <w:tc>
          <w:tcPr>
            <w:tcW w:w="909" w:type="pct"/>
            <w:vAlign w:val="center"/>
          </w:tcPr>
          <w:p w:rsidR="00EE56C0" w:rsidRDefault="000F36A1">
            <w:pPr>
              <w:pStyle w:val="afa"/>
            </w:pPr>
            <w:r>
              <w:rPr>
                <w:rFonts w:hint="eastAsia"/>
              </w:rPr>
              <w:t>2</w:t>
            </w:r>
            <w:r>
              <w:rPr>
                <w:rFonts w:hint="eastAsia"/>
              </w:rPr>
              <w:t>台拉包机：沸石吸附</w:t>
            </w:r>
            <w:r>
              <w:rPr>
                <w:rFonts w:hint="eastAsia"/>
              </w:rPr>
              <w:t>-</w:t>
            </w:r>
            <w:r>
              <w:rPr>
                <w:rFonts w:hint="eastAsia"/>
              </w:rPr>
              <w:t>脱附</w:t>
            </w:r>
            <w:r>
              <w:rPr>
                <w:rFonts w:hint="eastAsia"/>
              </w:rPr>
              <w:t>-</w:t>
            </w:r>
            <w:r>
              <w:rPr>
                <w:rFonts w:hint="eastAsia"/>
              </w:rPr>
              <w:t>催化燃烧</w:t>
            </w:r>
            <w:r>
              <w:rPr>
                <w:rFonts w:hint="eastAsia"/>
              </w:rPr>
              <w:t>F</w:t>
            </w:r>
            <w:r>
              <w:rPr>
                <w:rFonts w:hint="eastAsia"/>
              </w:rPr>
              <w:t>（依托现有）</w:t>
            </w:r>
          </w:p>
        </w:tc>
        <w:tc>
          <w:tcPr>
            <w:tcW w:w="857" w:type="pct"/>
            <w:vAlign w:val="center"/>
          </w:tcPr>
          <w:p w:rsidR="00EE56C0" w:rsidRDefault="000F36A1">
            <w:pPr>
              <w:pStyle w:val="afa"/>
            </w:pPr>
            <w:r>
              <w:rPr>
                <w:rFonts w:hint="eastAsia"/>
              </w:rPr>
              <w:t>10</w:t>
            </w:r>
            <w:r>
              <w:rPr>
                <w:rFonts w:hint="eastAsia"/>
              </w:rPr>
              <w:t>台拉包机：沸石吸附</w:t>
            </w:r>
            <w:r>
              <w:rPr>
                <w:rFonts w:hint="eastAsia"/>
              </w:rPr>
              <w:t>-</w:t>
            </w:r>
            <w:r>
              <w:rPr>
                <w:rFonts w:hint="eastAsia"/>
              </w:rPr>
              <w:t>脱附</w:t>
            </w:r>
            <w:r>
              <w:rPr>
                <w:rFonts w:hint="eastAsia"/>
              </w:rPr>
              <w:t>-</w:t>
            </w:r>
            <w:r>
              <w:rPr>
                <w:rFonts w:hint="eastAsia"/>
              </w:rPr>
              <w:t>催化燃烧</w:t>
            </w:r>
            <w:r>
              <w:rPr>
                <w:rFonts w:hint="eastAsia"/>
              </w:rPr>
              <w:t>F</w:t>
            </w:r>
            <w:r>
              <w:rPr>
                <w:rFonts w:hint="eastAsia"/>
              </w:rPr>
              <w:t>（依托现有）</w:t>
            </w:r>
          </w:p>
        </w:tc>
      </w:tr>
      <w:tr w:rsidR="00EE56C0">
        <w:trPr>
          <w:trHeight w:val="1393"/>
          <w:jc w:val="center"/>
        </w:trPr>
        <w:tc>
          <w:tcPr>
            <w:tcW w:w="454" w:type="pct"/>
            <w:vMerge/>
            <w:vAlign w:val="center"/>
          </w:tcPr>
          <w:p w:rsidR="00EE56C0" w:rsidRDefault="00EE56C0">
            <w:pPr>
              <w:pStyle w:val="afa"/>
            </w:pPr>
          </w:p>
        </w:tc>
        <w:tc>
          <w:tcPr>
            <w:tcW w:w="335" w:type="pct"/>
            <w:vMerge/>
            <w:vAlign w:val="center"/>
          </w:tcPr>
          <w:p w:rsidR="00EE56C0" w:rsidRDefault="00EE56C0">
            <w:pPr>
              <w:pStyle w:val="afa"/>
            </w:pPr>
          </w:p>
        </w:tc>
        <w:tc>
          <w:tcPr>
            <w:tcW w:w="1179" w:type="pct"/>
            <w:vAlign w:val="center"/>
          </w:tcPr>
          <w:p w:rsidR="00EE56C0" w:rsidRDefault="000F36A1">
            <w:pPr>
              <w:pStyle w:val="afa"/>
            </w:pPr>
            <w:r>
              <w:rPr>
                <w:rFonts w:hint="eastAsia"/>
              </w:rPr>
              <w:t>2.</w:t>
            </w:r>
            <w:r>
              <w:rPr>
                <w:rFonts w:hint="eastAsia"/>
              </w:rPr>
              <w:t>涂漆间外设置二次封闭通道，收集效率</w:t>
            </w:r>
          </w:p>
        </w:tc>
        <w:tc>
          <w:tcPr>
            <w:tcW w:w="445" w:type="pct"/>
            <w:vAlign w:val="center"/>
          </w:tcPr>
          <w:p w:rsidR="00EE56C0" w:rsidRPr="00BE7E1E" w:rsidRDefault="000F36A1">
            <w:pPr>
              <w:pStyle w:val="afa"/>
              <w:rPr>
                <w:b/>
                <w:u w:val="single"/>
              </w:rPr>
            </w:pPr>
            <w:r w:rsidRPr="00BE7E1E">
              <w:rPr>
                <w:rFonts w:hint="eastAsia"/>
                <w:b/>
                <w:u w:val="single"/>
              </w:rPr>
              <w:t>0.2%</w:t>
            </w:r>
          </w:p>
        </w:tc>
        <w:tc>
          <w:tcPr>
            <w:tcW w:w="821" w:type="pct"/>
            <w:vAlign w:val="center"/>
          </w:tcPr>
          <w:p w:rsidR="00EE56C0" w:rsidRDefault="00EE56C0">
            <w:pPr>
              <w:pStyle w:val="afa"/>
            </w:pPr>
          </w:p>
          <w:p w:rsidR="00EE56C0" w:rsidRDefault="000F36A1">
            <w:pPr>
              <w:pStyle w:val="afa"/>
            </w:pPr>
            <w:r>
              <w:rPr>
                <w:rFonts w:hint="eastAsia"/>
              </w:rPr>
              <w:t>/</w:t>
            </w:r>
          </w:p>
        </w:tc>
        <w:tc>
          <w:tcPr>
            <w:tcW w:w="1766" w:type="pct"/>
            <w:gridSpan w:val="2"/>
            <w:vAlign w:val="center"/>
          </w:tcPr>
          <w:p w:rsidR="00EE56C0" w:rsidRDefault="000F36A1">
            <w:pPr>
              <w:pStyle w:val="afa"/>
            </w:pPr>
            <w:r>
              <w:rPr>
                <w:rFonts w:hint="eastAsia"/>
              </w:rPr>
              <w:t>沸石吸附</w:t>
            </w:r>
            <w:r>
              <w:rPr>
                <w:rFonts w:hint="eastAsia"/>
              </w:rPr>
              <w:t>-</w:t>
            </w:r>
            <w:r>
              <w:rPr>
                <w:rFonts w:hint="eastAsia"/>
              </w:rPr>
              <w:t>脱附</w:t>
            </w:r>
            <w:r>
              <w:rPr>
                <w:rFonts w:hint="eastAsia"/>
              </w:rPr>
              <w:t>-</w:t>
            </w:r>
            <w:r>
              <w:rPr>
                <w:rFonts w:hint="eastAsia"/>
              </w:rPr>
              <w:t>催化燃烧装置</w:t>
            </w:r>
            <w:r>
              <w:rPr>
                <w:rFonts w:hint="eastAsia"/>
              </w:rPr>
              <w:t>F1+26.5m</w:t>
            </w:r>
            <w:r>
              <w:rPr>
                <w:rFonts w:hint="eastAsia"/>
              </w:rPr>
              <w:t>排气筒（依托现有）</w:t>
            </w:r>
          </w:p>
        </w:tc>
      </w:tr>
      <w:tr w:rsidR="00EE56C0">
        <w:trPr>
          <w:trHeight w:val="1393"/>
          <w:jc w:val="center"/>
        </w:trPr>
        <w:tc>
          <w:tcPr>
            <w:tcW w:w="454" w:type="pct"/>
            <w:vMerge/>
            <w:vAlign w:val="center"/>
          </w:tcPr>
          <w:p w:rsidR="00EE56C0" w:rsidRDefault="00EE56C0">
            <w:pPr>
              <w:pStyle w:val="afa"/>
            </w:pPr>
          </w:p>
        </w:tc>
        <w:tc>
          <w:tcPr>
            <w:tcW w:w="335" w:type="pct"/>
            <w:vMerge/>
            <w:vAlign w:val="center"/>
          </w:tcPr>
          <w:p w:rsidR="00EE56C0" w:rsidRDefault="00EE56C0">
            <w:pPr>
              <w:pStyle w:val="afa"/>
            </w:pPr>
          </w:p>
        </w:tc>
        <w:tc>
          <w:tcPr>
            <w:tcW w:w="1179" w:type="pct"/>
            <w:vAlign w:val="center"/>
          </w:tcPr>
          <w:p w:rsidR="00EE56C0" w:rsidRDefault="000F36A1">
            <w:pPr>
              <w:pStyle w:val="afa"/>
            </w:pPr>
            <w:r>
              <w:rPr>
                <w:rFonts w:hint="eastAsia"/>
              </w:rPr>
              <w:t>无组织废气</w:t>
            </w:r>
          </w:p>
        </w:tc>
        <w:tc>
          <w:tcPr>
            <w:tcW w:w="445" w:type="pct"/>
            <w:vAlign w:val="center"/>
          </w:tcPr>
          <w:p w:rsidR="00EE56C0" w:rsidRPr="00BE7E1E" w:rsidRDefault="000F36A1">
            <w:pPr>
              <w:pStyle w:val="afa"/>
              <w:rPr>
                <w:b/>
                <w:u w:val="single"/>
              </w:rPr>
            </w:pPr>
            <w:r w:rsidRPr="00BE7E1E">
              <w:rPr>
                <w:rFonts w:hint="eastAsia"/>
                <w:b/>
                <w:u w:val="single"/>
              </w:rPr>
              <w:t>0.1%</w:t>
            </w:r>
          </w:p>
        </w:tc>
        <w:tc>
          <w:tcPr>
            <w:tcW w:w="821" w:type="pct"/>
            <w:vAlign w:val="center"/>
          </w:tcPr>
          <w:p w:rsidR="00EE56C0" w:rsidRDefault="000F36A1">
            <w:pPr>
              <w:pStyle w:val="afa"/>
            </w:pPr>
            <w:r>
              <w:rPr>
                <w:rFonts w:hint="eastAsia"/>
              </w:rPr>
              <w:t>/</w:t>
            </w:r>
          </w:p>
        </w:tc>
        <w:tc>
          <w:tcPr>
            <w:tcW w:w="909" w:type="pct"/>
            <w:vAlign w:val="center"/>
          </w:tcPr>
          <w:p w:rsidR="00EE56C0" w:rsidRDefault="000F36A1">
            <w:pPr>
              <w:pStyle w:val="afa"/>
            </w:pPr>
            <w:r>
              <w:rPr>
                <w:rFonts w:hint="eastAsia"/>
              </w:rPr>
              <w:t>/</w:t>
            </w:r>
          </w:p>
        </w:tc>
        <w:tc>
          <w:tcPr>
            <w:tcW w:w="857" w:type="pct"/>
            <w:vAlign w:val="center"/>
          </w:tcPr>
          <w:p w:rsidR="00EE56C0" w:rsidRDefault="000F36A1">
            <w:pPr>
              <w:pStyle w:val="afa"/>
            </w:pPr>
            <w:r>
              <w:rPr>
                <w:rFonts w:hint="eastAsia"/>
              </w:rPr>
              <w:t>/</w:t>
            </w:r>
          </w:p>
        </w:tc>
      </w:tr>
      <w:tr w:rsidR="00EE56C0">
        <w:trPr>
          <w:trHeight w:val="454"/>
          <w:jc w:val="center"/>
        </w:trPr>
        <w:tc>
          <w:tcPr>
            <w:tcW w:w="454" w:type="pct"/>
            <w:vMerge w:val="restart"/>
            <w:vAlign w:val="center"/>
          </w:tcPr>
          <w:p w:rsidR="00EE56C0" w:rsidRDefault="000F36A1">
            <w:pPr>
              <w:pStyle w:val="afa"/>
            </w:pPr>
            <w:r>
              <w:rPr>
                <w:rFonts w:hint="eastAsia"/>
              </w:rPr>
              <w:t>丝包线</w:t>
            </w:r>
          </w:p>
        </w:tc>
        <w:tc>
          <w:tcPr>
            <w:tcW w:w="335" w:type="pct"/>
            <w:vMerge w:val="restart"/>
            <w:vAlign w:val="center"/>
          </w:tcPr>
          <w:p w:rsidR="00EE56C0" w:rsidRDefault="000F36A1">
            <w:pPr>
              <w:pStyle w:val="afa"/>
            </w:pPr>
            <w:r>
              <w:rPr>
                <w:rFonts w:hint="eastAsia"/>
              </w:rPr>
              <w:t>丝包机</w:t>
            </w:r>
          </w:p>
        </w:tc>
        <w:tc>
          <w:tcPr>
            <w:tcW w:w="1179" w:type="pct"/>
            <w:vAlign w:val="center"/>
          </w:tcPr>
          <w:p w:rsidR="00EE56C0" w:rsidRPr="00B9172C" w:rsidRDefault="000F36A1">
            <w:pPr>
              <w:pStyle w:val="afa"/>
              <w:rPr>
                <w:b/>
                <w:u w:val="single"/>
              </w:rPr>
            </w:pPr>
            <w:r w:rsidRPr="00B9172C">
              <w:rPr>
                <w:rFonts w:hint="eastAsia"/>
                <w:b/>
                <w:u w:val="single"/>
              </w:rPr>
              <w:t>1.</w:t>
            </w:r>
            <w:r w:rsidR="00B9172C" w:rsidRPr="00B9172C">
              <w:rPr>
                <w:rFonts w:hint="eastAsia"/>
                <w:b/>
                <w:u w:val="single"/>
              </w:rPr>
              <w:t>涂漆区：封闭式漆盒，且</w:t>
            </w:r>
            <w:r w:rsidRPr="00B9172C">
              <w:rPr>
                <w:rFonts w:hint="eastAsia"/>
                <w:b/>
                <w:u w:val="single"/>
              </w:rPr>
              <w:t>外部设</w:t>
            </w:r>
            <w:r w:rsidR="00B9172C" w:rsidRPr="00B9172C">
              <w:rPr>
                <w:rFonts w:hint="eastAsia"/>
                <w:b/>
                <w:u w:val="single"/>
              </w:rPr>
              <w:t>二次</w:t>
            </w:r>
            <w:r w:rsidRPr="00B9172C">
              <w:rPr>
                <w:rFonts w:hint="eastAsia"/>
                <w:b/>
                <w:u w:val="single"/>
              </w:rPr>
              <w:t>封闭式集气罩，仅留铜线进出口</w:t>
            </w:r>
          </w:p>
        </w:tc>
        <w:tc>
          <w:tcPr>
            <w:tcW w:w="445" w:type="pct"/>
            <w:vMerge w:val="restart"/>
            <w:vAlign w:val="center"/>
          </w:tcPr>
          <w:p w:rsidR="00EE56C0" w:rsidRPr="00BE7E1E" w:rsidRDefault="000F36A1">
            <w:pPr>
              <w:pStyle w:val="afa"/>
              <w:rPr>
                <w:b/>
                <w:u w:val="single"/>
              </w:rPr>
            </w:pPr>
            <w:r w:rsidRPr="00BE7E1E">
              <w:rPr>
                <w:rFonts w:hint="eastAsia"/>
                <w:b/>
                <w:u w:val="single"/>
              </w:rPr>
              <w:t>99%</w:t>
            </w:r>
          </w:p>
        </w:tc>
        <w:tc>
          <w:tcPr>
            <w:tcW w:w="821" w:type="pct"/>
            <w:vMerge w:val="restart"/>
            <w:vAlign w:val="center"/>
          </w:tcPr>
          <w:p w:rsidR="00EE56C0" w:rsidRDefault="000F36A1">
            <w:pPr>
              <w:pStyle w:val="afa"/>
            </w:pPr>
            <w:r>
              <w:rPr>
                <w:rFonts w:hint="eastAsia"/>
              </w:rPr>
              <w:t>/</w:t>
            </w:r>
          </w:p>
        </w:tc>
        <w:tc>
          <w:tcPr>
            <w:tcW w:w="1766" w:type="pct"/>
            <w:gridSpan w:val="2"/>
            <w:vMerge w:val="restart"/>
            <w:vAlign w:val="center"/>
          </w:tcPr>
          <w:p w:rsidR="00EE56C0" w:rsidRDefault="000F36A1">
            <w:pPr>
              <w:pStyle w:val="afa"/>
            </w:pPr>
            <w:r>
              <w:rPr>
                <w:rFonts w:hint="eastAsia"/>
              </w:rPr>
              <w:t>静电除油</w:t>
            </w:r>
            <w:r>
              <w:rPr>
                <w:rFonts w:hint="eastAsia"/>
              </w:rPr>
              <w:t>+</w:t>
            </w:r>
            <w:r>
              <w:rPr>
                <w:rFonts w:hint="eastAsia"/>
              </w:rPr>
              <w:t>活性炭吸附</w:t>
            </w:r>
            <w:r>
              <w:rPr>
                <w:rFonts w:hint="eastAsia"/>
              </w:rPr>
              <w:t>-</w:t>
            </w:r>
            <w:r>
              <w:rPr>
                <w:rFonts w:hint="eastAsia"/>
              </w:rPr>
              <w:t>脱附</w:t>
            </w:r>
            <w:r>
              <w:rPr>
                <w:rFonts w:hint="eastAsia"/>
              </w:rPr>
              <w:t>-</w:t>
            </w:r>
            <w:r>
              <w:rPr>
                <w:rFonts w:hint="eastAsia"/>
              </w:rPr>
              <w:t>催化燃烧装置</w:t>
            </w:r>
            <w:r>
              <w:rPr>
                <w:rFonts w:hint="eastAsia"/>
              </w:rPr>
              <w:t>T+26.5m</w:t>
            </w:r>
            <w:r>
              <w:rPr>
                <w:rFonts w:hint="eastAsia"/>
              </w:rPr>
              <w:t>排气筒（依托现有）</w:t>
            </w:r>
          </w:p>
        </w:tc>
      </w:tr>
      <w:tr w:rsidR="00EE56C0">
        <w:trPr>
          <w:trHeight w:val="454"/>
          <w:jc w:val="center"/>
        </w:trPr>
        <w:tc>
          <w:tcPr>
            <w:tcW w:w="454" w:type="pct"/>
            <w:vMerge/>
            <w:vAlign w:val="center"/>
          </w:tcPr>
          <w:p w:rsidR="00EE56C0" w:rsidRDefault="00EE56C0">
            <w:pPr>
              <w:pStyle w:val="afa"/>
            </w:pPr>
          </w:p>
        </w:tc>
        <w:tc>
          <w:tcPr>
            <w:tcW w:w="335" w:type="pct"/>
            <w:vMerge/>
            <w:vAlign w:val="center"/>
          </w:tcPr>
          <w:p w:rsidR="00EE56C0" w:rsidRDefault="00EE56C0">
            <w:pPr>
              <w:pStyle w:val="afa"/>
            </w:pPr>
          </w:p>
        </w:tc>
        <w:tc>
          <w:tcPr>
            <w:tcW w:w="1179" w:type="pct"/>
            <w:vAlign w:val="center"/>
          </w:tcPr>
          <w:p w:rsidR="00EE56C0" w:rsidRDefault="000F36A1">
            <w:pPr>
              <w:pStyle w:val="afa"/>
            </w:pPr>
            <w:r>
              <w:rPr>
                <w:rFonts w:hint="eastAsia"/>
              </w:rPr>
              <w:t>2.</w:t>
            </w:r>
            <w:r>
              <w:rPr>
                <w:rFonts w:hint="eastAsia"/>
              </w:rPr>
              <w:t>烘炉进、出口：集气罩收集，仅留铜线进出口</w:t>
            </w:r>
          </w:p>
        </w:tc>
        <w:tc>
          <w:tcPr>
            <w:tcW w:w="445" w:type="pct"/>
            <w:vMerge/>
            <w:vAlign w:val="center"/>
          </w:tcPr>
          <w:p w:rsidR="00EE56C0" w:rsidRPr="00BE7E1E" w:rsidRDefault="00EE56C0">
            <w:pPr>
              <w:pStyle w:val="afa"/>
              <w:rPr>
                <w:b/>
                <w:u w:val="single"/>
              </w:rPr>
            </w:pPr>
          </w:p>
        </w:tc>
        <w:tc>
          <w:tcPr>
            <w:tcW w:w="821" w:type="pct"/>
            <w:vMerge/>
            <w:vAlign w:val="center"/>
          </w:tcPr>
          <w:p w:rsidR="00EE56C0" w:rsidRDefault="00EE56C0">
            <w:pPr>
              <w:pStyle w:val="afa"/>
            </w:pPr>
          </w:p>
        </w:tc>
        <w:tc>
          <w:tcPr>
            <w:tcW w:w="1766" w:type="pct"/>
            <w:gridSpan w:val="2"/>
            <w:vMerge/>
            <w:vAlign w:val="center"/>
          </w:tcPr>
          <w:p w:rsidR="00EE56C0" w:rsidRDefault="00EE56C0">
            <w:pPr>
              <w:pStyle w:val="afa"/>
            </w:pPr>
          </w:p>
        </w:tc>
      </w:tr>
      <w:tr w:rsidR="00EE56C0">
        <w:trPr>
          <w:trHeight w:val="454"/>
          <w:jc w:val="center"/>
        </w:trPr>
        <w:tc>
          <w:tcPr>
            <w:tcW w:w="454" w:type="pct"/>
            <w:vMerge/>
            <w:vAlign w:val="center"/>
          </w:tcPr>
          <w:p w:rsidR="00EE56C0" w:rsidRDefault="00EE56C0">
            <w:pPr>
              <w:pStyle w:val="afa"/>
            </w:pPr>
          </w:p>
        </w:tc>
        <w:tc>
          <w:tcPr>
            <w:tcW w:w="335" w:type="pct"/>
            <w:vMerge/>
            <w:vAlign w:val="center"/>
          </w:tcPr>
          <w:p w:rsidR="00EE56C0" w:rsidRDefault="00EE56C0">
            <w:pPr>
              <w:pStyle w:val="afa"/>
            </w:pPr>
          </w:p>
        </w:tc>
        <w:tc>
          <w:tcPr>
            <w:tcW w:w="1179" w:type="pct"/>
            <w:vAlign w:val="center"/>
          </w:tcPr>
          <w:p w:rsidR="00EE56C0" w:rsidRDefault="000F36A1">
            <w:pPr>
              <w:pStyle w:val="afa"/>
            </w:pPr>
            <w:r>
              <w:rPr>
                <w:rFonts w:hint="eastAsia"/>
              </w:rPr>
              <w:t>3.</w:t>
            </w:r>
            <w:r>
              <w:rPr>
                <w:rFonts w:hint="eastAsia"/>
              </w:rPr>
              <w:t>封闭操作间顶部抽吸装置</w:t>
            </w:r>
          </w:p>
        </w:tc>
        <w:tc>
          <w:tcPr>
            <w:tcW w:w="445" w:type="pct"/>
            <w:vAlign w:val="center"/>
          </w:tcPr>
          <w:p w:rsidR="00EE56C0" w:rsidRPr="00BE7E1E" w:rsidRDefault="000F36A1">
            <w:pPr>
              <w:pStyle w:val="afa"/>
              <w:rPr>
                <w:b/>
                <w:u w:val="single"/>
              </w:rPr>
            </w:pPr>
            <w:r w:rsidRPr="00BE7E1E">
              <w:rPr>
                <w:rFonts w:hint="eastAsia"/>
                <w:b/>
                <w:u w:val="single"/>
              </w:rPr>
              <w:t>0.5%</w:t>
            </w:r>
          </w:p>
        </w:tc>
        <w:tc>
          <w:tcPr>
            <w:tcW w:w="821" w:type="pct"/>
            <w:vAlign w:val="center"/>
          </w:tcPr>
          <w:p w:rsidR="00EE56C0" w:rsidRDefault="000F36A1">
            <w:pPr>
              <w:pStyle w:val="afa"/>
            </w:pPr>
            <w:r>
              <w:rPr>
                <w:rFonts w:hint="eastAsia"/>
              </w:rPr>
              <w:t>/</w:t>
            </w:r>
          </w:p>
        </w:tc>
        <w:tc>
          <w:tcPr>
            <w:tcW w:w="1766" w:type="pct"/>
            <w:gridSpan w:val="2"/>
            <w:vMerge/>
            <w:vAlign w:val="center"/>
          </w:tcPr>
          <w:p w:rsidR="00EE56C0" w:rsidRDefault="00EE56C0">
            <w:pPr>
              <w:pStyle w:val="afa"/>
            </w:pPr>
          </w:p>
        </w:tc>
      </w:tr>
      <w:tr w:rsidR="00EE56C0">
        <w:trPr>
          <w:trHeight w:val="454"/>
          <w:jc w:val="center"/>
        </w:trPr>
        <w:tc>
          <w:tcPr>
            <w:tcW w:w="454" w:type="pct"/>
            <w:vMerge/>
            <w:vAlign w:val="center"/>
          </w:tcPr>
          <w:p w:rsidR="00EE56C0" w:rsidRDefault="00EE56C0">
            <w:pPr>
              <w:pStyle w:val="afa"/>
            </w:pPr>
          </w:p>
        </w:tc>
        <w:tc>
          <w:tcPr>
            <w:tcW w:w="335" w:type="pct"/>
            <w:vMerge/>
            <w:vAlign w:val="center"/>
          </w:tcPr>
          <w:p w:rsidR="00EE56C0" w:rsidRDefault="00EE56C0">
            <w:pPr>
              <w:pStyle w:val="afa"/>
            </w:pPr>
          </w:p>
        </w:tc>
        <w:tc>
          <w:tcPr>
            <w:tcW w:w="1179" w:type="pct"/>
            <w:vAlign w:val="center"/>
          </w:tcPr>
          <w:p w:rsidR="00EE56C0" w:rsidRDefault="000F36A1">
            <w:pPr>
              <w:pStyle w:val="afa"/>
            </w:pPr>
            <w:r>
              <w:rPr>
                <w:rFonts w:hint="eastAsia"/>
              </w:rPr>
              <w:t>无组织废气</w:t>
            </w:r>
          </w:p>
        </w:tc>
        <w:tc>
          <w:tcPr>
            <w:tcW w:w="445" w:type="pct"/>
            <w:vAlign w:val="center"/>
          </w:tcPr>
          <w:p w:rsidR="00EE56C0" w:rsidRPr="00BE7E1E" w:rsidRDefault="000F36A1">
            <w:pPr>
              <w:pStyle w:val="afa"/>
              <w:rPr>
                <w:b/>
                <w:u w:val="single"/>
              </w:rPr>
            </w:pPr>
            <w:r w:rsidRPr="00BE7E1E">
              <w:rPr>
                <w:rFonts w:hint="eastAsia"/>
                <w:b/>
                <w:u w:val="single"/>
              </w:rPr>
              <w:t>0.5%</w:t>
            </w:r>
          </w:p>
        </w:tc>
        <w:tc>
          <w:tcPr>
            <w:tcW w:w="821" w:type="pct"/>
            <w:vAlign w:val="center"/>
          </w:tcPr>
          <w:p w:rsidR="00EE56C0" w:rsidRDefault="000F36A1">
            <w:pPr>
              <w:pStyle w:val="afa"/>
            </w:pPr>
            <w:r>
              <w:rPr>
                <w:rFonts w:hint="eastAsia"/>
              </w:rPr>
              <w:t>/</w:t>
            </w:r>
          </w:p>
        </w:tc>
        <w:tc>
          <w:tcPr>
            <w:tcW w:w="909" w:type="pct"/>
            <w:vAlign w:val="center"/>
          </w:tcPr>
          <w:p w:rsidR="00EE56C0" w:rsidRDefault="000F36A1">
            <w:pPr>
              <w:pStyle w:val="afa"/>
            </w:pPr>
            <w:r>
              <w:rPr>
                <w:rFonts w:hint="eastAsia"/>
              </w:rPr>
              <w:t>/</w:t>
            </w:r>
          </w:p>
        </w:tc>
        <w:tc>
          <w:tcPr>
            <w:tcW w:w="857" w:type="pct"/>
            <w:vAlign w:val="center"/>
          </w:tcPr>
          <w:p w:rsidR="00EE56C0" w:rsidRDefault="000F36A1">
            <w:pPr>
              <w:pStyle w:val="afa"/>
            </w:pPr>
            <w:r>
              <w:rPr>
                <w:rFonts w:hint="eastAsia"/>
              </w:rPr>
              <w:t>/</w:t>
            </w:r>
          </w:p>
        </w:tc>
      </w:tr>
    </w:tbl>
    <w:p w:rsidR="00EE56C0" w:rsidRDefault="000F36A1">
      <w:pPr>
        <w:ind w:firstLine="480"/>
      </w:pPr>
      <w:r>
        <w:rPr>
          <w:rFonts w:hint="eastAsia"/>
        </w:rPr>
        <w:t>废气去向见下图。</w:t>
      </w:r>
    </w:p>
    <w:p w:rsidR="00EE56C0" w:rsidRDefault="00EE56C0">
      <w:pPr>
        <w:pStyle w:val="aff8"/>
      </w:pPr>
      <w:r>
        <w:object w:dxaOrig="15907" w:dyaOrig="18578">
          <v:shape id="_x0000_i1035" type="#_x0000_t75" style="width:6in;height:508.3pt" o:ole="">
            <v:imagedata r:id="rId61" o:title=""/>
          </v:shape>
          <o:OLEObject Type="Embed" ProgID="Visio.Drawing.11" ShapeID="_x0000_i1035" DrawAspect="Content" ObjectID="_1705848363" r:id="rId62"/>
        </w:object>
      </w:r>
    </w:p>
    <w:p w:rsidR="00EE56C0" w:rsidRPr="00BE7E1E" w:rsidRDefault="000F36A1">
      <w:pPr>
        <w:pStyle w:val="aff8"/>
        <w:rPr>
          <w:u w:val="single"/>
        </w:rPr>
      </w:pPr>
      <w:r w:rsidRPr="00BE7E1E">
        <w:rPr>
          <w:rFonts w:hint="eastAsia"/>
          <w:u w:val="single"/>
        </w:rPr>
        <w:t>图</w:t>
      </w:r>
      <w:r w:rsidRPr="00BE7E1E">
        <w:rPr>
          <w:rFonts w:hint="eastAsia"/>
          <w:u w:val="single"/>
        </w:rPr>
        <w:t xml:space="preserve">3-16     </w:t>
      </w:r>
      <w:r w:rsidRPr="00BE7E1E">
        <w:rPr>
          <w:rFonts w:hint="eastAsia"/>
          <w:u w:val="single"/>
        </w:rPr>
        <w:t>一期、二期废气去向图</w:t>
      </w:r>
    </w:p>
    <w:p w:rsidR="00EE56C0" w:rsidRDefault="000F36A1">
      <w:pPr>
        <w:ind w:firstLine="480"/>
      </w:pPr>
      <w:r>
        <w:rPr>
          <w:rFonts w:hint="eastAsia"/>
        </w:rPr>
        <w:t>结合企业现有生产情况，新增设备配套集气方式的风量见下表。</w:t>
      </w:r>
    </w:p>
    <w:p w:rsidR="00EE56C0" w:rsidRDefault="00EE56C0">
      <w:pPr>
        <w:pStyle w:val="afd"/>
        <w:spacing w:before="120" w:after="120"/>
        <w:ind w:firstLine="482"/>
      </w:pPr>
    </w:p>
    <w:p w:rsidR="00EE56C0" w:rsidRDefault="00EE56C0">
      <w:pPr>
        <w:pStyle w:val="afd"/>
        <w:spacing w:before="120" w:after="120"/>
        <w:ind w:firstLine="482"/>
      </w:pPr>
    </w:p>
    <w:p w:rsidR="00EE56C0" w:rsidRDefault="00EE56C0">
      <w:pPr>
        <w:pStyle w:val="afd"/>
        <w:spacing w:before="120" w:after="120"/>
        <w:ind w:firstLine="482"/>
      </w:pPr>
    </w:p>
    <w:p w:rsidR="00EE56C0" w:rsidRDefault="00EE56C0">
      <w:pPr>
        <w:pStyle w:val="afd"/>
        <w:spacing w:before="120" w:after="120"/>
        <w:ind w:firstLine="482"/>
      </w:pPr>
    </w:p>
    <w:p w:rsidR="00EE56C0" w:rsidRDefault="00EE56C0">
      <w:pPr>
        <w:pStyle w:val="afd"/>
        <w:spacing w:before="120" w:after="120"/>
        <w:ind w:firstLine="482"/>
      </w:pPr>
    </w:p>
    <w:p w:rsidR="00EE56C0" w:rsidRDefault="00EE56C0">
      <w:pPr>
        <w:pStyle w:val="afd"/>
        <w:spacing w:before="120" w:after="120"/>
        <w:ind w:firstLine="482"/>
      </w:pPr>
    </w:p>
    <w:p w:rsidR="00EE56C0" w:rsidRPr="00BE7E1E" w:rsidRDefault="000F36A1">
      <w:pPr>
        <w:pStyle w:val="afd"/>
        <w:spacing w:before="120" w:after="120"/>
        <w:ind w:firstLine="482"/>
        <w:rPr>
          <w:u w:val="single"/>
        </w:rPr>
      </w:pPr>
      <w:r w:rsidRPr="00BE7E1E">
        <w:rPr>
          <w:rFonts w:hint="eastAsia"/>
          <w:u w:val="single"/>
        </w:rPr>
        <w:lastRenderedPageBreak/>
        <w:t>表</w:t>
      </w:r>
      <w:r w:rsidRPr="00BE7E1E">
        <w:rPr>
          <w:rFonts w:hint="eastAsia"/>
          <w:u w:val="single"/>
        </w:rPr>
        <w:t xml:space="preserve">3-23                  </w:t>
      </w:r>
      <w:r w:rsidRPr="00BE7E1E">
        <w:rPr>
          <w:rFonts w:hint="eastAsia"/>
          <w:u w:val="single"/>
        </w:rPr>
        <w:t>一期废气风量确定</w:t>
      </w:r>
    </w:p>
    <w:tbl>
      <w:tblPr>
        <w:tblW w:w="513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71"/>
        <w:gridCol w:w="472"/>
        <w:gridCol w:w="682"/>
        <w:gridCol w:w="471"/>
        <w:gridCol w:w="1002"/>
        <w:gridCol w:w="939"/>
        <w:gridCol w:w="727"/>
        <w:gridCol w:w="825"/>
        <w:gridCol w:w="612"/>
        <w:gridCol w:w="834"/>
        <w:gridCol w:w="943"/>
        <w:gridCol w:w="785"/>
      </w:tblGrid>
      <w:tr w:rsidR="00EE56C0" w:rsidRPr="00BE7E1E">
        <w:trPr>
          <w:trHeight w:val="672"/>
          <w:jc w:val="center"/>
        </w:trPr>
        <w:tc>
          <w:tcPr>
            <w:tcW w:w="268" w:type="pct"/>
            <w:vMerge w:val="restart"/>
            <w:vAlign w:val="center"/>
          </w:tcPr>
          <w:p w:rsidR="00EE56C0" w:rsidRPr="00BE7E1E" w:rsidRDefault="000F36A1">
            <w:pPr>
              <w:pStyle w:val="afa"/>
              <w:ind w:firstLine="418"/>
              <w:rPr>
                <w:b/>
                <w:spacing w:val="-16"/>
                <w:u w:val="single"/>
              </w:rPr>
            </w:pPr>
            <w:r w:rsidRPr="00BE7E1E">
              <w:rPr>
                <w:rFonts w:hint="eastAsia"/>
                <w:b/>
                <w:spacing w:val="-16"/>
                <w:u w:val="single"/>
              </w:rPr>
              <w:t>生产线</w:t>
            </w:r>
          </w:p>
        </w:tc>
        <w:tc>
          <w:tcPr>
            <w:tcW w:w="658" w:type="pct"/>
            <w:gridSpan w:val="2"/>
            <w:vMerge w:val="restart"/>
            <w:vAlign w:val="center"/>
          </w:tcPr>
          <w:p w:rsidR="00EE56C0" w:rsidRPr="00BE7E1E" w:rsidRDefault="000F36A1">
            <w:pPr>
              <w:pStyle w:val="afa"/>
              <w:rPr>
                <w:b/>
                <w:spacing w:val="-16"/>
                <w:u w:val="single"/>
              </w:rPr>
            </w:pPr>
            <w:r w:rsidRPr="00BE7E1E">
              <w:rPr>
                <w:rFonts w:hint="eastAsia"/>
                <w:b/>
                <w:spacing w:val="-16"/>
                <w:u w:val="single"/>
              </w:rPr>
              <w:t>设备</w:t>
            </w:r>
          </w:p>
        </w:tc>
        <w:tc>
          <w:tcPr>
            <w:tcW w:w="269" w:type="pct"/>
            <w:vMerge w:val="restart"/>
            <w:vAlign w:val="center"/>
          </w:tcPr>
          <w:p w:rsidR="00EE56C0" w:rsidRPr="00BE7E1E" w:rsidRDefault="000F36A1">
            <w:pPr>
              <w:pStyle w:val="afa"/>
              <w:rPr>
                <w:b/>
                <w:spacing w:val="-16"/>
                <w:u w:val="single"/>
              </w:rPr>
            </w:pPr>
            <w:r w:rsidRPr="00BE7E1E">
              <w:rPr>
                <w:rFonts w:hint="eastAsia"/>
                <w:b/>
                <w:spacing w:val="-16"/>
                <w:u w:val="single"/>
              </w:rPr>
              <w:t>集气装置数量</w:t>
            </w:r>
          </w:p>
        </w:tc>
        <w:tc>
          <w:tcPr>
            <w:tcW w:w="572" w:type="pct"/>
            <w:vMerge w:val="restart"/>
            <w:vAlign w:val="center"/>
          </w:tcPr>
          <w:p w:rsidR="00EE56C0" w:rsidRPr="00BE7E1E" w:rsidRDefault="000F36A1">
            <w:pPr>
              <w:pStyle w:val="afa"/>
              <w:rPr>
                <w:b/>
                <w:spacing w:val="-16"/>
                <w:u w:val="single"/>
              </w:rPr>
            </w:pPr>
            <w:r w:rsidRPr="00BE7E1E">
              <w:rPr>
                <w:rFonts w:hint="eastAsia"/>
                <w:b/>
                <w:spacing w:val="-16"/>
                <w:u w:val="single"/>
              </w:rPr>
              <w:t>风速</w:t>
            </w:r>
            <w:r w:rsidRPr="00BE7E1E">
              <w:rPr>
                <w:rFonts w:hint="eastAsia"/>
                <w:b/>
                <w:spacing w:val="-16"/>
                <w:u w:val="single"/>
                <w:vertAlign w:val="superscript"/>
              </w:rPr>
              <w:t>①</w:t>
            </w:r>
            <w:r w:rsidRPr="00BE7E1E">
              <w:rPr>
                <w:rFonts w:hint="eastAsia"/>
                <w:b/>
                <w:spacing w:val="-16"/>
                <w:u w:val="single"/>
              </w:rPr>
              <w:t>（</w:t>
            </w:r>
            <w:r w:rsidRPr="00BE7E1E">
              <w:rPr>
                <w:rFonts w:hint="eastAsia"/>
                <w:b/>
                <w:spacing w:val="-16"/>
                <w:u w:val="single"/>
              </w:rPr>
              <w:t>m/s</w:t>
            </w:r>
            <w:r w:rsidRPr="00BE7E1E">
              <w:rPr>
                <w:rFonts w:hint="eastAsia"/>
                <w:b/>
                <w:spacing w:val="-16"/>
                <w:u w:val="single"/>
              </w:rPr>
              <w:t>）</w:t>
            </w:r>
            <w:r w:rsidRPr="00BE7E1E">
              <w:rPr>
                <w:rFonts w:hint="eastAsia"/>
                <w:b/>
                <w:spacing w:val="-16"/>
                <w:u w:val="single"/>
              </w:rPr>
              <w:t>/</w:t>
            </w:r>
            <w:r w:rsidRPr="00BE7E1E">
              <w:rPr>
                <w:rFonts w:hint="eastAsia"/>
                <w:b/>
                <w:spacing w:val="-16"/>
                <w:u w:val="single"/>
              </w:rPr>
              <w:t>换气次数（次</w:t>
            </w:r>
            <w:r w:rsidRPr="00BE7E1E">
              <w:rPr>
                <w:rFonts w:hint="eastAsia"/>
                <w:b/>
                <w:spacing w:val="-16"/>
                <w:u w:val="single"/>
              </w:rPr>
              <w:t>/h</w:t>
            </w:r>
            <w:r w:rsidRPr="00BE7E1E">
              <w:rPr>
                <w:rFonts w:hint="eastAsia"/>
                <w:b/>
                <w:spacing w:val="-16"/>
                <w:u w:val="single"/>
              </w:rPr>
              <w:t>）</w:t>
            </w:r>
          </w:p>
        </w:tc>
        <w:tc>
          <w:tcPr>
            <w:tcW w:w="536" w:type="pct"/>
            <w:vMerge w:val="restart"/>
            <w:vAlign w:val="center"/>
          </w:tcPr>
          <w:p w:rsidR="00EE56C0" w:rsidRPr="00BE7E1E" w:rsidRDefault="000F36A1">
            <w:pPr>
              <w:pStyle w:val="aff1"/>
              <w:rPr>
                <w:color w:val="auto"/>
                <w:spacing w:val="-16"/>
                <w:szCs w:val="21"/>
                <w:u w:val="single"/>
              </w:rPr>
            </w:pPr>
            <w:r w:rsidRPr="00BE7E1E">
              <w:rPr>
                <w:rFonts w:hint="eastAsia"/>
                <w:color w:val="auto"/>
                <w:spacing w:val="-16"/>
                <w:szCs w:val="21"/>
                <w:u w:val="single"/>
              </w:rPr>
              <w:t>单个集气装置面积（</w:t>
            </w:r>
            <w:r w:rsidRPr="00BE7E1E">
              <w:rPr>
                <w:rFonts w:hint="eastAsia"/>
                <w:color w:val="auto"/>
                <w:spacing w:val="-16"/>
                <w:szCs w:val="21"/>
                <w:u w:val="single"/>
              </w:rPr>
              <w:t>m</w:t>
            </w:r>
            <w:r w:rsidRPr="00BE7E1E">
              <w:rPr>
                <w:rFonts w:hint="eastAsia"/>
                <w:color w:val="auto"/>
                <w:spacing w:val="-16"/>
                <w:szCs w:val="21"/>
                <w:u w:val="single"/>
                <w:vertAlign w:val="superscript"/>
              </w:rPr>
              <w:t>2</w:t>
            </w:r>
            <w:r w:rsidRPr="00BE7E1E">
              <w:rPr>
                <w:rFonts w:hint="eastAsia"/>
                <w:color w:val="auto"/>
                <w:spacing w:val="-16"/>
                <w:szCs w:val="21"/>
                <w:u w:val="single"/>
              </w:rPr>
              <w:t>）</w:t>
            </w:r>
            <w:r w:rsidRPr="00BE7E1E">
              <w:rPr>
                <w:rFonts w:hint="eastAsia"/>
                <w:color w:val="auto"/>
                <w:spacing w:val="-16"/>
                <w:szCs w:val="21"/>
                <w:u w:val="single"/>
              </w:rPr>
              <w:t>/</w:t>
            </w:r>
            <w:r w:rsidRPr="00BE7E1E">
              <w:rPr>
                <w:rFonts w:hint="eastAsia"/>
                <w:color w:val="auto"/>
                <w:spacing w:val="-16"/>
                <w:u w:val="single"/>
              </w:rPr>
              <w:t>操作间体积</w:t>
            </w:r>
            <w:r w:rsidRPr="00BE7E1E">
              <w:rPr>
                <w:rFonts w:hint="eastAsia"/>
                <w:color w:val="auto"/>
                <w:spacing w:val="-16"/>
                <w:szCs w:val="21"/>
                <w:u w:val="single"/>
              </w:rPr>
              <w:t>（</w:t>
            </w:r>
            <w:r w:rsidRPr="00BE7E1E">
              <w:rPr>
                <w:rFonts w:hint="eastAsia"/>
                <w:color w:val="auto"/>
                <w:spacing w:val="-16"/>
                <w:szCs w:val="21"/>
                <w:u w:val="single"/>
              </w:rPr>
              <w:t>m</w:t>
            </w:r>
            <w:r w:rsidRPr="00BE7E1E">
              <w:rPr>
                <w:rFonts w:hint="eastAsia"/>
                <w:color w:val="auto"/>
                <w:spacing w:val="-16"/>
                <w:szCs w:val="21"/>
                <w:u w:val="single"/>
                <w:vertAlign w:val="superscript"/>
              </w:rPr>
              <w:t>3</w:t>
            </w:r>
            <w:r w:rsidRPr="00BE7E1E">
              <w:rPr>
                <w:rFonts w:hint="eastAsia"/>
                <w:color w:val="auto"/>
                <w:spacing w:val="-16"/>
                <w:szCs w:val="21"/>
                <w:u w:val="single"/>
              </w:rPr>
              <w:t>）</w:t>
            </w:r>
          </w:p>
        </w:tc>
        <w:tc>
          <w:tcPr>
            <w:tcW w:w="886" w:type="pct"/>
            <w:gridSpan w:val="2"/>
            <w:vMerge w:val="restart"/>
            <w:vAlign w:val="center"/>
          </w:tcPr>
          <w:p w:rsidR="00EE56C0" w:rsidRPr="00BE7E1E" w:rsidRDefault="000F36A1">
            <w:pPr>
              <w:pStyle w:val="aff1"/>
              <w:rPr>
                <w:color w:val="auto"/>
                <w:spacing w:val="-16"/>
                <w:szCs w:val="21"/>
                <w:u w:val="single"/>
              </w:rPr>
            </w:pPr>
            <w:r w:rsidRPr="00BE7E1E">
              <w:rPr>
                <w:rFonts w:hint="eastAsia"/>
                <w:color w:val="auto"/>
                <w:spacing w:val="-16"/>
                <w:szCs w:val="21"/>
                <w:u w:val="single"/>
              </w:rPr>
              <w:t>单台设备风量（</w:t>
            </w:r>
            <w:r w:rsidRPr="00BE7E1E">
              <w:rPr>
                <w:rFonts w:hint="eastAsia"/>
                <w:color w:val="auto"/>
                <w:spacing w:val="-16"/>
                <w:szCs w:val="21"/>
                <w:u w:val="single"/>
              </w:rPr>
              <w:t>m</w:t>
            </w:r>
            <w:r w:rsidRPr="00BE7E1E">
              <w:rPr>
                <w:rFonts w:hint="eastAsia"/>
                <w:color w:val="auto"/>
                <w:spacing w:val="-16"/>
                <w:szCs w:val="21"/>
                <w:u w:val="single"/>
                <w:vertAlign w:val="superscript"/>
              </w:rPr>
              <w:t>3</w:t>
            </w:r>
            <w:r w:rsidRPr="00BE7E1E">
              <w:rPr>
                <w:rFonts w:hint="eastAsia"/>
                <w:color w:val="auto"/>
                <w:spacing w:val="-16"/>
                <w:szCs w:val="21"/>
                <w:u w:val="single"/>
              </w:rPr>
              <w:t>/h</w:t>
            </w:r>
            <w:r w:rsidRPr="00BE7E1E">
              <w:rPr>
                <w:rFonts w:hint="eastAsia"/>
                <w:color w:val="auto"/>
                <w:spacing w:val="-16"/>
                <w:szCs w:val="21"/>
                <w:u w:val="single"/>
              </w:rPr>
              <w:t>）</w:t>
            </w:r>
          </w:p>
        </w:tc>
        <w:tc>
          <w:tcPr>
            <w:tcW w:w="349" w:type="pct"/>
            <w:vMerge w:val="restart"/>
            <w:vAlign w:val="center"/>
          </w:tcPr>
          <w:p w:rsidR="00EE56C0" w:rsidRPr="00BE7E1E" w:rsidRDefault="000F36A1">
            <w:pPr>
              <w:pStyle w:val="aff1"/>
              <w:rPr>
                <w:color w:val="auto"/>
                <w:spacing w:val="-16"/>
                <w:szCs w:val="21"/>
                <w:u w:val="single"/>
              </w:rPr>
            </w:pPr>
            <w:r w:rsidRPr="00BE7E1E">
              <w:rPr>
                <w:rFonts w:hint="eastAsia"/>
                <w:color w:val="auto"/>
                <w:spacing w:val="-16"/>
                <w:szCs w:val="21"/>
                <w:u w:val="single"/>
              </w:rPr>
              <w:t>设备</w:t>
            </w:r>
          </w:p>
          <w:p w:rsidR="00EE56C0" w:rsidRPr="00BE7E1E" w:rsidRDefault="000F36A1">
            <w:pPr>
              <w:pStyle w:val="aff1"/>
              <w:rPr>
                <w:color w:val="auto"/>
                <w:spacing w:val="-16"/>
                <w:szCs w:val="21"/>
                <w:u w:val="single"/>
              </w:rPr>
            </w:pPr>
            <w:r w:rsidRPr="00BE7E1E">
              <w:rPr>
                <w:rFonts w:hint="eastAsia"/>
                <w:color w:val="auto"/>
                <w:spacing w:val="-16"/>
                <w:szCs w:val="21"/>
                <w:u w:val="single"/>
              </w:rPr>
              <w:t>数量</w:t>
            </w:r>
          </w:p>
        </w:tc>
        <w:tc>
          <w:tcPr>
            <w:tcW w:w="1462" w:type="pct"/>
            <w:gridSpan w:val="3"/>
            <w:vAlign w:val="center"/>
          </w:tcPr>
          <w:p w:rsidR="00EE56C0" w:rsidRPr="00BE7E1E" w:rsidRDefault="000F36A1">
            <w:pPr>
              <w:pStyle w:val="aff1"/>
              <w:rPr>
                <w:color w:val="auto"/>
                <w:spacing w:val="-16"/>
                <w:szCs w:val="21"/>
                <w:u w:val="single"/>
              </w:rPr>
            </w:pPr>
            <w:r w:rsidRPr="00BE7E1E">
              <w:rPr>
                <w:rFonts w:hint="eastAsia"/>
                <w:color w:val="auto"/>
                <w:spacing w:val="-16"/>
                <w:szCs w:val="21"/>
                <w:u w:val="single"/>
              </w:rPr>
              <w:t>风量（</w:t>
            </w:r>
            <w:r w:rsidRPr="00BE7E1E">
              <w:rPr>
                <w:rFonts w:hint="eastAsia"/>
                <w:color w:val="auto"/>
                <w:spacing w:val="-16"/>
                <w:szCs w:val="21"/>
                <w:u w:val="single"/>
              </w:rPr>
              <w:t>m</w:t>
            </w:r>
            <w:r w:rsidRPr="00BE7E1E">
              <w:rPr>
                <w:rFonts w:hint="eastAsia"/>
                <w:color w:val="auto"/>
                <w:spacing w:val="-16"/>
                <w:szCs w:val="21"/>
                <w:u w:val="single"/>
                <w:vertAlign w:val="superscript"/>
              </w:rPr>
              <w:t>3</w:t>
            </w:r>
            <w:r w:rsidRPr="00BE7E1E">
              <w:rPr>
                <w:rFonts w:hint="eastAsia"/>
                <w:color w:val="auto"/>
                <w:spacing w:val="-16"/>
                <w:szCs w:val="21"/>
                <w:u w:val="single"/>
              </w:rPr>
              <w:t>/h</w:t>
            </w:r>
            <w:r w:rsidRPr="00BE7E1E">
              <w:rPr>
                <w:rFonts w:hint="eastAsia"/>
                <w:color w:val="auto"/>
                <w:spacing w:val="-16"/>
                <w:szCs w:val="21"/>
                <w:u w:val="single"/>
              </w:rPr>
              <w:t>）</w:t>
            </w:r>
          </w:p>
        </w:tc>
      </w:tr>
      <w:tr w:rsidR="00EE56C0" w:rsidRPr="00BE7E1E">
        <w:trPr>
          <w:trHeight w:val="1217"/>
          <w:jc w:val="center"/>
        </w:trPr>
        <w:tc>
          <w:tcPr>
            <w:tcW w:w="268" w:type="pct"/>
            <w:vMerge/>
            <w:vAlign w:val="center"/>
          </w:tcPr>
          <w:p w:rsidR="00EE56C0" w:rsidRPr="00BE7E1E" w:rsidRDefault="00EE56C0">
            <w:pPr>
              <w:pStyle w:val="afa"/>
              <w:rPr>
                <w:b/>
                <w:spacing w:val="-16"/>
                <w:u w:val="single"/>
              </w:rPr>
            </w:pPr>
          </w:p>
        </w:tc>
        <w:tc>
          <w:tcPr>
            <w:tcW w:w="658" w:type="pct"/>
            <w:gridSpan w:val="2"/>
            <w:vMerge/>
            <w:vAlign w:val="center"/>
          </w:tcPr>
          <w:p w:rsidR="00EE56C0" w:rsidRPr="00BE7E1E" w:rsidRDefault="00EE56C0">
            <w:pPr>
              <w:pStyle w:val="afa"/>
              <w:rPr>
                <w:b/>
                <w:spacing w:val="-16"/>
                <w:u w:val="single"/>
              </w:rPr>
            </w:pPr>
          </w:p>
        </w:tc>
        <w:tc>
          <w:tcPr>
            <w:tcW w:w="269" w:type="pct"/>
            <w:vMerge/>
            <w:vAlign w:val="center"/>
          </w:tcPr>
          <w:p w:rsidR="00EE56C0" w:rsidRPr="00BE7E1E" w:rsidRDefault="00EE56C0">
            <w:pPr>
              <w:pStyle w:val="afa"/>
              <w:rPr>
                <w:b/>
                <w:spacing w:val="-16"/>
                <w:u w:val="single"/>
              </w:rPr>
            </w:pPr>
          </w:p>
        </w:tc>
        <w:tc>
          <w:tcPr>
            <w:tcW w:w="572" w:type="pct"/>
            <w:vMerge/>
            <w:vAlign w:val="center"/>
          </w:tcPr>
          <w:p w:rsidR="00EE56C0" w:rsidRPr="00BE7E1E" w:rsidRDefault="00EE56C0">
            <w:pPr>
              <w:pStyle w:val="afa"/>
              <w:rPr>
                <w:b/>
                <w:spacing w:val="-16"/>
                <w:u w:val="single"/>
              </w:rPr>
            </w:pPr>
          </w:p>
        </w:tc>
        <w:tc>
          <w:tcPr>
            <w:tcW w:w="536" w:type="pct"/>
            <w:vMerge/>
            <w:vAlign w:val="center"/>
          </w:tcPr>
          <w:p w:rsidR="00EE56C0" w:rsidRPr="00BE7E1E" w:rsidRDefault="00EE56C0">
            <w:pPr>
              <w:pStyle w:val="aff1"/>
              <w:rPr>
                <w:color w:val="auto"/>
                <w:spacing w:val="-16"/>
                <w:szCs w:val="21"/>
                <w:u w:val="single"/>
              </w:rPr>
            </w:pPr>
          </w:p>
        </w:tc>
        <w:tc>
          <w:tcPr>
            <w:tcW w:w="886" w:type="pct"/>
            <w:gridSpan w:val="2"/>
            <w:vMerge/>
            <w:vAlign w:val="center"/>
          </w:tcPr>
          <w:p w:rsidR="00EE56C0" w:rsidRPr="00BE7E1E" w:rsidRDefault="00EE56C0">
            <w:pPr>
              <w:pStyle w:val="aff1"/>
              <w:rPr>
                <w:color w:val="auto"/>
                <w:spacing w:val="-16"/>
                <w:szCs w:val="21"/>
                <w:u w:val="single"/>
              </w:rPr>
            </w:pPr>
          </w:p>
        </w:tc>
        <w:tc>
          <w:tcPr>
            <w:tcW w:w="349" w:type="pct"/>
            <w:vMerge/>
            <w:vAlign w:val="center"/>
          </w:tcPr>
          <w:p w:rsidR="00EE56C0" w:rsidRPr="00BE7E1E" w:rsidRDefault="00EE56C0">
            <w:pPr>
              <w:pStyle w:val="aff1"/>
              <w:rPr>
                <w:color w:val="auto"/>
                <w:spacing w:val="-16"/>
                <w:szCs w:val="21"/>
                <w:u w:val="single"/>
              </w:rPr>
            </w:pPr>
          </w:p>
        </w:tc>
        <w:tc>
          <w:tcPr>
            <w:tcW w:w="1014" w:type="pct"/>
            <w:gridSpan w:val="2"/>
            <w:vAlign w:val="center"/>
          </w:tcPr>
          <w:p w:rsidR="00EE56C0" w:rsidRPr="00BE7E1E" w:rsidRDefault="000F36A1">
            <w:pPr>
              <w:pStyle w:val="aff1"/>
              <w:rPr>
                <w:color w:val="auto"/>
                <w:spacing w:val="-16"/>
                <w:szCs w:val="21"/>
                <w:u w:val="single"/>
              </w:rPr>
            </w:pPr>
            <w:r w:rsidRPr="00BE7E1E">
              <w:rPr>
                <w:rFonts w:hint="eastAsia"/>
                <w:color w:val="auto"/>
                <w:spacing w:val="-16"/>
                <w:szCs w:val="21"/>
                <w:u w:val="single"/>
              </w:rPr>
              <w:t>计算值</w:t>
            </w:r>
          </w:p>
        </w:tc>
        <w:tc>
          <w:tcPr>
            <w:tcW w:w="448" w:type="pct"/>
            <w:vAlign w:val="center"/>
          </w:tcPr>
          <w:p w:rsidR="00EE56C0" w:rsidRPr="00BE7E1E" w:rsidRDefault="000F36A1">
            <w:pPr>
              <w:pStyle w:val="aff1"/>
              <w:rPr>
                <w:color w:val="auto"/>
                <w:spacing w:val="-16"/>
                <w:szCs w:val="21"/>
                <w:u w:val="single"/>
              </w:rPr>
            </w:pPr>
            <w:r w:rsidRPr="00BE7E1E">
              <w:rPr>
                <w:rFonts w:hint="eastAsia"/>
                <w:color w:val="auto"/>
                <w:spacing w:val="-16"/>
                <w:szCs w:val="21"/>
                <w:u w:val="single"/>
              </w:rPr>
              <w:t>评价</w:t>
            </w:r>
          </w:p>
          <w:p w:rsidR="00EE56C0" w:rsidRPr="00BE7E1E" w:rsidRDefault="000F36A1">
            <w:pPr>
              <w:pStyle w:val="aff1"/>
              <w:rPr>
                <w:color w:val="auto"/>
                <w:spacing w:val="-16"/>
                <w:szCs w:val="21"/>
                <w:u w:val="single"/>
              </w:rPr>
            </w:pPr>
            <w:r w:rsidRPr="00BE7E1E">
              <w:rPr>
                <w:rFonts w:hint="eastAsia"/>
                <w:color w:val="auto"/>
                <w:spacing w:val="-16"/>
                <w:szCs w:val="21"/>
                <w:u w:val="single"/>
              </w:rPr>
              <w:t>取值</w:t>
            </w:r>
          </w:p>
        </w:tc>
      </w:tr>
      <w:tr w:rsidR="00EE56C0" w:rsidRPr="00BE7E1E">
        <w:trPr>
          <w:trHeight w:val="454"/>
          <w:jc w:val="center"/>
        </w:trPr>
        <w:tc>
          <w:tcPr>
            <w:tcW w:w="268" w:type="pct"/>
            <w:vAlign w:val="center"/>
          </w:tcPr>
          <w:p w:rsidR="00EE56C0" w:rsidRPr="00BE7E1E" w:rsidRDefault="000F36A1">
            <w:pPr>
              <w:pStyle w:val="afa"/>
              <w:rPr>
                <w:spacing w:val="-16"/>
                <w:u w:val="single"/>
              </w:rPr>
            </w:pPr>
            <w:r w:rsidRPr="00BE7E1E">
              <w:rPr>
                <w:rFonts w:hint="eastAsia"/>
                <w:spacing w:val="-16"/>
                <w:u w:val="single"/>
              </w:rPr>
              <w:t>冷凝过程</w:t>
            </w:r>
          </w:p>
        </w:tc>
        <w:tc>
          <w:tcPr>
            <w:tcW w:w="658" w:type="pct"/>
            <w:gridSpan w:val="2"/>
            <w:vAlign w:val="center"/>
          </w:tcPr>
          <w:p w:rsidR="00EE56C0" w:rsidRPr="00BE7E1E" w:rsidRDefault="000F36A1">
            <w:pPr>
              <w:pStyle w:val="afa"/>
              <w:rPr>
                <w:spacing w:val="-16"/>
                <w:u w:val="single"/>
              </w:rPr>
            </w:pPr>
            <w:r w:rsidRPr="00BE7E1E">
              <w:rPr>
                <w:rFonts w:hint="eastAsia"/>
                <w:spacing w:val="-16"/>
                <w:u w:val="single"/>
              </w:rPr>
              <w:t>不凝气</w:t>
            </w:r>
          </w:p>
        </w:tc>
        <w:tc>
          <w:tcPr>
            <w:tcW w:w="269" w:type="pct"/>
            <w:vAlign w:val="center"/>
          </w:tcPr>
          <w:p w:rsidR="00EE56C0" w:rsidRPr="00BE7E1E" w:rsidRDefault="000F36A1">
            <w:pPr>
              <w:pStyle w:val="afa"/>
              <w:rPr>
                <w:spacing w:val="-16"/>
                <w:u w:val="single"/>
              </w:rPr>
            </w:pPr>
            <w:r w:rsidRPr="00BE7E1E">
              <w:rPr>
                <w:rFonts w:hint="eastAsia"/>
                <w:spacing w:val="-16"/>
                <w:u w:val="single"/>
              </w:rPr>
              <w:t>1</w:t>
            </w:r>
          </w:p>
        </w:tc>
        <w:tc>
          <w:tcPr>
            <w:tcW w:w="572" w:type="pct"/>
            <w:vAlign w:val="center"/>
          </w:tcPr>
          <w:p w:rsidR="00EE56C0" w:rsidRPr="00BE7E1E" w:rsidRDefault="000F36A1">
            <w:pPr>
              <w:pStyle w:val="afa"/>
              <w:rPr>
                <w:spacing w:val="-16"/>
                <w:u w:val="single"/>
              </w:rPr>
            </w:pPr>
            <w:r w:rsidRPr="00BE7E1E">
              <w:rPr>
                <w:rFonts w:hint="eastAsia"/>
                <w:spacing w:val="-16"/>
                <w:u w:val="single"/>
              </w:rPr>
              <w:t>0.4</w:t>
            </w:r>
          </w:p>
        </w:tc>
        <w:tc>
          <w:tcPr>
            <w:tcW w:w="536" w:type="pct"/>
            <w:vAlign w:val="center"/>
          </w:tcPr>
          <w:p w:rsidR="00EE56C0" w:rsidRPr="00BE7E1E" w:rsidRDefault="000F36A1">
            <w:pPr>
              <w:pStyle w:val="afa"/>
              <w:rPr>
                <w:spacing w:val="-16"/>
                <w:u w:val="single"/>
              </w:rPr>
            </w:pPr>
            <w:r w:rsidRPr="00BE7E1E">
              <w:rPr>
                <w:rFonts w:hint="eastAsia"/>
                <w:spacing w:val="-16"/>
                <w:u w:val="single"/>
              </w:rPr>
              <w:t>0.28</w:t>
            </w:r>
          </w:p>
        </w:tc>
        <w:tc>
          <w:tcPr>
            <w:tcW w:w="886" w:type="pct"/>
            <w:gridSpan w:val="2"/>
            <w:vAlign w:val="center"/>
          </w:tcPr>
          <w:p w:rsidR="00EE56C0" w:rsidRPr="00BE7E1E" w:rsidRDefault="000F36A1">
            <w:pPr>
              <w:pStyle w:val="afa"/>
              <w:rPr>
                <w:spacing w:val="-16"/>
                <w:u w:val="single"/>
              </w:rPr>
            </w:pPr>
            <w:r w:rsidRPr="00BE7E1E">
              <w:rPr>
                <w:rFonts w:hint="eastAsia"/>
                <w:spacing w:val="-16"/>
                <w:u w:val="single"/>
              </w:rPr>
              <w:t>403.2</w:t>
            </w:r>
          </w:p>
        </w:tc>
        <w:tc>
          <w:tcPr>
            <w:tcW w:w="349" w:type="pct"/>
            <w:vAlign w:val="center"/>
          </w:tcPr>
          <w:p w:rsidR="00EE56C0" w:rsidRPr="00BE7E1E" w:rsidRDefault="000F36A1">
            <w:pPr>
              <w:pStyle w:val="afa"/>
              <w:rPr>
                <w:spacing w:val="-16"/>
                <w:u w:val="single"/>
              </w:rPr>
            </w:pPr>
            <w:r w:rsidRPr="00BE7E1E">
              <w:rPr>
                <w:rFonts w:hint="eastAsia"/>
                <w:spacing w:val="-16"/>
                <w:u w:val="single"/>
              </w:rPr>
              <w:t>1</w:t>
            </w:r>
          </w:p>
        </w:tc>
        <w:tc>
          <w:tcPr>
            <w:tcW w:w="1462" w:type="pct"/>
            <w:gridSpan w:val="3"/>
            <w:vAlign w:val="center"/>
          </w:tcPr>
          <w:p w:rsidR="00EE56C0" w:rsidRPr="00BE7E1E" w:rsidRDefault="000F36A1">
            <w:pPr>
              <w:pStyle w:val="afa"/>
              <w:rPr>
                <w:spacing w:val="-16"/>
                <w:u w:val="single"/>
              </w:rPr>
            </w:pPr>
            <w:r w:rsidRPr="00BE7E1E">
              <w:rPr>
                <w:rFonts w:hint="eastAsia"/>
                <w:spacing w:val="-16"/>
                <w:u w:val="single"/>
              </w:rPr>
              <w:t>450</w:t>
            </w:r>
          </w:p>
        </w:tc>
      </w:tr>
      <w:tr w:rsidR="00EE56C0" w:rsidRPr="00BE7E1E">
        <w:trPr>
          <w:trHeight w:val="454"/>
          <w:jc w:val="center"/>
        </w:trPr>
        <w:tc>
          <w:tcPr>
            <w:tcW w:w="268" w:type="pct"/>
            <w:vMerge w:val="restart"/>
            <w:vAlign w:val="center"/>
          </w:tcPr>
          <w:p w:rsidR="00EE56C0" w:rsidRPr="00BE7E1E" w:rsidRDefault="000F36A1">
            <w:pPr>
              <w:pStyle w:val="afa"/>
              <w:rPr>
                <w:spacing w:val="-16"/>
                <w:u w:val="single"/>
              </w:rPr>
            </w:pPr>
            <w:r w:rsidRPr="00BE7E1E">
              <w:rPr>
                <w:rFonts w:hint="eastAsia"/>
                <w:spacing w:val="-16"/>
                <w:u w:val="single"/>
              </w:rPr>
              <w:t>漆包线</w:t>
            </w:r>
          </w:p>
        </w:tc>
        <w:tc>
          <w:tcPr>
            <w:tcW w:w="269" w:type="pct"/>
            <w:vMerge w:val="restart"/>
            <w:vAlign w:val="center"/>
          </w:tcPr>
          <w:p w:rsidR="00EE56C0" w:rsidRPr="00BE7E1E" w:rsidRDefault="000F36A1">
            <w:pPr>
              <w:pStyle w:val="afa"/>
              <w:rPr>
                <w:spacing w:val="-16"/>
                <w:u w:val="single"/>
              </w:rPr>
            </w:pPr>
            <w:r w:rsidRPr="00BE7E1E">
              <w:rPr>
                <w:rFonts w:hint="eastAsia"/>
                <w:spacing w:val="-16"/>
                <w:u w:val="single"/>
              </w:rPr>
              <w:t>卧炉</w:t>
            </w:r>
          </w:p>
        </w:tc>
        <w:tc>
          <w:tcPr>
            <w:tcW w:w="389" w:type="pct"/>
            <w:vAlign w:val="center"/>
          </w:tcPr>
          <w:p w:rsidR="00EE56C0" w:rsidRPr="00BE7E1E" w:rsidRDefault="000F36A1">
            <w:pPr>
              <w:pStyle w:val="afa"/>
              <w:rPr>
                <w:spacing w:val="-16"/>
                <w:u w:val="single"/>
              </w:rPr>
            </w:pPr>
            <w:r w:rsidRPr="00BE7E1E">
              <w:rPr>
                <w:rFonts w:hint="eastAsia"/>
                <w:spacing w:val="-16"/>
                <w:u w:val="single"/>
              </w:rPr>
              <w:t>涂漆区、烘炉进口</w:t>
            </w:r>
          </w:p>
        </w:tc>
        <w:tc>
          <w:tcPr>
            <w:tcW w:w="269" w:type="pct"/>
            <w:vAlign w:val="center"/>
          </w:tcPr>
          <w:p w:rsidR="00EE56C0" w:rsidRPr="00BE7E1E" w:rsidRDefault="000F36A1">
            <w:pPr>
              <w:pStyle w:val="afa"/>
              <w:rPr>
                <w:spacing w:val="-16"/>
                <w:u w:val="single"/>
              </w:rPr>
            </w:pPr>
            <w:r w:rsidRPr="00BE7E1E">
              <w:rPr>
                <w:rFonts w:hint="eastAsia"/>
                <w:spacing w:val="-16"/>
                <w:u w:val="single"/>
              </w:rPr>
              <w:t>1</w:t>
            </w:r>
          </w:p>
        </w:tc>
        <w:tc>
          <w:tcPr>
            <w:tcW w:w="572" w:type="pct"/>
            <w:vMerge w:val="restart"/>
            <w:vAlign w:val="center"/>
          </w:tcPr>
          <w:p w:rsidR="00EE56C0" w:rsidRPr="00BE7E1E" w:rsidRDefault="000F36A1">
            <w:pPr>
              <w:pStyle w:val="afa"/>
              <w:rPr>
                <w:spacing w:val="-16"/>
                <w:u w:val="single"/>
              </w:rPr>
            </w:pPr>
            <w:r w:rsidRPr="00BE7E1E">
              <w:rPr>
                <w:rFonts w:hint="eastAsia"/>
                <w:spacing w:val="-16"/>
                <w:u w:val="single"/>
              </w:rPr>
              <w:t>0.4</w:t>
            </w:r>
          </w:p>
        </w:tc>
        <w:tc>
          <w:tcPr>
            <w:tcW w:w="536" w:type="pct"/>
            <w:vAlign w:val="center"/>
          </w:tcPr>
          <w:p w:rsidR="00EE56C0" w:rsidRPr="00BE7E1E" w:rsidRDefault="000F36A1">
            <w:pPr>
              <w:pStyle w:val="afa"/>
              <w:rPr>
                <w:spacing w:val="-16"/>
                <w:u w:val="single"/>
              </w:rPr>
            </w:pPr>
            <w:r w:rsidRPr="00BE7E1E">
              <w:rPr>
                <w:spacing w:val="-16"/>
                <w:u w:val="single"/>
              </w:rPr>
              <w:t>0.</w:t>
            </w:r>
            <w:r w:rsidRPr="00BE7E1E">
              <w:rPr>
                <w:rFonts w:hint="eastAsia"/>
                <w:spacing w:val="-16"/>
                <w:u w:val="single"/>
              </w:rPr>
              <w:t>08</w:t>
            </w:r>
          </w:p>
        </w:tc>
        <w:tc>
          <w:tcPr>
            <w:tcW w:w="415" w:type="pct"/>
            <w:vAlign w:val="center"/>
          </w:tcPr>
          <w:p w:rsidR="00EE56C0" w:rsidRPr="00BE7E1E" w:rsidRDefault="000F36A1">
            <w:pPr>
              <w:pStyle w:val="afa"/>
              <w:rPr>
                <w:spacing w:val="-16"/>
                <w:u w:val="single"/>
              </w:rPr>
            </w:pPr>
            <w:r w:rsidRPr="00BE7E1E">
              <w:rPr>
                <w:rFonts w:hint="eastAsia"/>
                <w:spacing w:val="-16"/>
                <w:u w:val="single"/>
              </w:rPr>
              <w:t>115.2</w:t>
            </w:r>
          </w:p>
        </w:tc>
        <w:tc>
          <w:tcPr>
            <w:tcW w:w="471" w:type="pct"/>
            <w:vMerge w:val="restart"/>
            <w:vAlign w:val="center"/>
          </w:tcPr>
          <w:p w:rsidR="00EE56C0" w:rsidRPr="00BE7E1E" w:rsidRDefault="000F36A1">
            <w:pPr>
              <w:pStyle w:val="afa"/>
              <w:rPr>
                <w:spacing w:val="-16"/>
                <w:u w:val="single"/>
              </w:rPr>
            </w:pPr>
            <w:r w:rsidRPr="00BE7E1E">
              <w:rPr>
                <w:rFonts w:hint="eastAsia"/>
                <w:spacing w:val="-16"/>
                <w:u w:val="single"/>
              </w:rPr>
              <w:t>345.6</w:t>
            </w:r>
          </w:p>
        </w:tc>
        <w:tc>
          <w:tcPr>
            <w:tcW w:w="349" w:type="pct"/>
            <w:vMerge w:val="restart"/>
            <w:vAlign w:val="center"/>
          </w:tcPr>
          <w:p w:rsidR="00EE56C0" w:rsidRPr="00BE7E1E" w:rsidRDefault="000F36A1">
            <w:pPr>
              <w:pStyle w:val="afa"/>
              <w:rPr>
                <w:spacing w:val="-16"/>
                <w:u w:val="single"/>
              </w:rPr>
            </w:pPr>
            <w:r w:rsidRPr="00BE7E1E">
              <w:rPr>
                <w:rFonts w:hint="eastAsia"/>
                <w:spacing w:val="-16"/>
                <w:u w:val="single"/>
              </w:rPr>
              <w:t>3</w:t>
            </w:r>
          </w:p>
        </w:tc>
        <w:tc>
          <w:tcPr>
            <w:tcW w:w="1014" w:type="pct"/>
            <w:gridSpan w:val="2"/>
            <w:vMerge w:val="restart"/>
            <w:vAlign w:val="center"/>
          </w:tcPr>
          <w:p w:rsidR="00EE56C0" w:rsidRPr="00BE7E1E" w:rsidRDefault="000F36A1">
            <w:pPr>
              <w:pStyle w:val="afa"/>
              <w:rPr>
                <w:spacing w:val="-16"/>
                <w:u w:val="single"/>
              </w:rPr>
            </w:pPr>
            <w:r w:rsidRPr="00BE7E1E">
              <w:rPr>
                <w:rFonts w:hint="eastAsia"/>
                <w:spacing w:val="-16"/>
                <w:u w:val="single"/>
              </w:rPr>
              <w:t>3</w:t>
            </w:r>
            <w:r w:rsidRPr="00BE7E1E">
              <w:rPr>
                <w:rFonts w:hint="eastAsia"/>
                <w:spacing w:val="-16"/>
                <w:u w:val="single"/>
              </w:rPr>
              <w:t>台拉包：</w:t>
            </w:r>
            <w:r w:rsidRPr="00BE7E1E">
              <w:rPr>
                <w:rFonts w:hint="eastAsia"/>
                <w:spacing w:val="-16"/>
                <w:u w:val="single"/>
              </w:rPr>
              <w:t>350*3=1050</w:t>
            </w:r>
          </w:p>
        </w:tc>
        <w:tc>
          <w:tcPr>
            <w:tcW w:w="448" w:type="pct"/>
            <w:vMerge w:val="restart"/>
            <w:vAlign w:val="center"/>
          </w:tcPr>
          <w:p w:rsidR="00EE56C0" w:rsidRPr="00BE7E1E" w:rsidRDefault="000F36A1">
            <w:pPr>
              <w:pStyle w:val="afa"/>
              <w:rPr>
                <w:spacing w:val="-16"/>
                <w:u w:val="single"/>
              </w:rPr>
            </w:pPr>
            <w:r w:rsidRPr="00BE7E1E">
              <w:rPr>
                <w:rFonts w:hint="eastAsia"/>
                <w:spacing w:val="-16"/>
                <w:u w:val="single"/>
              </w:rPr>
              <w:t>1050</w:t>
            </w:r>
          </w:p>
        </w:tc>
      </w:tr>
      <w:tr w:rsidR="00EE56C0" w:rsidRPr="00BE7E1E">
        <w:trPr>
          <w:trHeight w:val="454"/>
          <w:jc w:val="center"/>
        </w:trPr>
        <w:tc>
          <w:tcPr>
            <w:tcW w:w="268" w:type="pct"/>
            <w:vMerge/>
            <w:vAlign w:val="center"/>
          </w:tcPr>
          <w:p w:rsidR="00EE56C0" w:rsidRPr="00BE7E1E" w:rsidRDefault="00EE56C0">
            <w:pPr>
              <w:pStyle w:val="afa"/>
              <w:rPr>
                <w:spacing w:val="-16"/>
                <w:u w:val="single"/>
              </w:rPr>
            </w:pPr>
          </w:p>
        </w:tc>
        <w:tc>
          <w:tcPr>
            <w:tcW w:w="269" w:type="pct"/>
            <w:vMerge/>
            <w:vAlign w:val="center"/>
          </w:tcPr>
          <w:p w:rsidR="00EE56C0" w:rsidRPr="00BE7E1E" w:rsidRDefault="00EE56C0">
            <w:pPr>
              <w:pStyle w:val="afa"/>
              <w:rPr>
                <w:spacing w:val="-16"/>
                <w:u w:val="single"/>
              </w:rPr>
            </w:pPr>
          </w:p>
        </w:tc>
        <w:tc>
          <w:tcPr>
            <w:tcW w:w="389" w:type="pct"/>
            <w:vAlign w:val="center"/>
          </w:tcPr>
          <w:p w:rsidR="00EE56C0" w:rsidRPr="00BE7E1E" w:rsidRDefault="000F36A1">
            <w:pPr>
              <w:pStyle w:val="afa"/>
              <w:rPr>
                <w:spacing w:val="-16"/>
                <w:u w:val="single"/>
              </w:rPr>
            </w:pPr>
            <w:r w:rsidRPr="00BE7E1E">
              <w:rPr>
                <w:rFonts w:hint="eastAsia"/>
                <w:spacing w:val="-16"/>
                <w:u w:val="single"/>
              </w:rPr>
              <w:t>烘炉出口</w:t>
            </w:r>
          </w:p>
        </w:tc>
        <w:tc>
          <w:tcPr>
            <w:tcW w:w="269" w:type="pct"/>
            <w:vAlign w:val="center"/>
          </w:tcPr>
          <w:p w:rsidR="00EE56C0" w:rsidRPr="00BE7E1E" w:rsidRDefault="000F36A1">
            <w:pPr>
              <w:pStyle w:val="afa"/>
              <w:rPr>
                <w:spacing w:val="-16"/>
                <w:u w:val="single"/>
              </w:rPr>
            </w:pPr>
            <w:r w:rsidRPr="00BE7E1E">
              <w:rPr>
                <w:rFonts w:hint="eastAsia"/>
                <w:spacing w:val="-16"/>
                <w:u w:val="single"/>
              </w:rPr>
              <w:t>1</w:t>
            </w:r>
          </w:p>
        </w:tc>
        <w:tc>
          <w:tcPr>
            <w:tcW w:w="572" w:type="pct"/>
            <w:vMerge/>
            <w:vAlign w:val="center"/>
          </w:tcPr>
          <w:p w:rsidR="00EE56C0" w:rsidRPr="00BE7E1E" w:rsidRDefault="00EE56C0">
            <w:pPr>
              <w:pStyle w:val="afa"/>
              <w:rPr>
                <w:spacing w:val="-16"/>
                <w:u w:val="single"/>
              </w:rPr>
            </w:pPr>
          </w:p>
        </w:tc>
        <w:tc>
          <w:tcPr>
            <w:tcW w:w="536" w:type="pct"/>
            <w:vAlign w:val="center"/>
          </w:tcPr>
          <w:p w:rsidR="00EE56C0" w:rsidRPr="00BE7E1E" w:rsidRDefault="000F36A1">
            <w:pPr>
              <w:pStyle w:val="afa"/>
              <w:rPr>
                <w:spacing w:val="-16"/>
                <w:u w:val="single"/>
              </w:rPr>
            </w:pPr>
            <w:r w:rsidRPr="00BE7E1E">
              <w:rPr>
                <w:spacing w:val="-16"/>
                <w:u w:val="single"/>
              </w:rPr>
              <w:t>0.</w:t>
            </w:r>
            <w:r w:rsidRPr="00BE7E1E">
              <w:rPr>
                <w:rFonts w:hint="eastAsia"/>
                <w:spacing w:val="-16"/>
                <w:u w:val="single"/>
              </w:rPr>
              <w:t>16</w:t>
            </w:r>
          </w:p>
        </w:tc>
        <w:tc>
          <w:tcPr>
            <w:tcW w:w="415" w:type="pct"/>
            <w:vAlign w:val="center"/>
          </w:tcPr>
          <w:p w:rsidR="00EE56C0" w:rsidRPr="00BE7E1E" w:rsidRDefault="000F36A1">
            <w:pPr>
              <w:pStyle w:val="afa"/>
              <w:rPr>
                <w:spacing w:val="-16"/>
                <w:u w:val="single"/>
              </w:rPr>
            </w:pPr>
            <w:r w:rsidRPr="00BE7E1E">
              <w:rPr>
                <w:rFonts w:hint="eastAsia"/>
                <w:spacing w:val="-16"/>
                <w:u w:val="single"/>
              </w:rPr>
              <w:t>230.4</w:t>
            </w:r>
          </w:p>
        </w:tc>
        <w:tc>
          <w:tcPr>
            <w:tcW w:w="471" w:type="pct"/>
            <w:vMerge/>
            <w:vAlign w:val="center"/>
          </w:tcPr>
          <w:p w:rsidR="00EE56C0" w:rsidRPr="00BE7E1E" w:rsidRDefault="00EE56C0">
            <w:pPr>
              <w:pStyle w:val="afa"/>
              <w:rPr>
                <w:spacing w:val="-16"/>
                <w:u w:val="single"/>
              </w:rPr>
            </w:pPr>
          </w:p>
        </w:tc>
        <w:tc>
          <w:tcPr>
            <w:tcW w:w="349" w:type="pct"/>
            <w:vMerge/>
            <w:vAlign w:val="center"/>
          </w:tcPr>
          <w:p w:rsidR="00EE56C0" w:rsidRPr="00BE7E1E" w:rsidRDefault="00EE56C0">
            <w:pPr>
              <w:pStyle w:val="afa"/>
              <w:rPr>
                <w:spacing w:val="-16"/>
                <w:u w:val="single"/>
              </w:rPr>
            </w:pPr>
          </w:p>
        </w:tc>
        <w:tc>
          <w:tcPr>
            <w:tcW w:w="1014" w:type="pct"/>
            <w:gridSpan w:val="2"/>
            <w:vMerge/>
            <w:vAlign w:val="center"/>
          </w:tcPr>
          <w:p w:rsidR="00EE56C0" w:rsidRPr="00BE7E1E" w:rsidRDefault="00EE56C0">
            <w:pPr>
              <w:pStyle w:val="afa"/>
              <w:rPr>
                <w:spacing w:val="-16"/>
                <w:u w:val="single"/>
              </w:rPr>
            </w:pPr>
          </w:p>
        </w:tc>
        <w:tc>
          <w:tcPr>
            <w:tcW w:w="448" w:type="pct"/>
            <w:vMerge/>
            <w:vAlign w:val="center"/>
          </w:tcPr>
          <w:p w:rsidR="00EE56C0" w:rsidRPr="00BE7E1E" w:rsidRDefault="00EE56C0">
            <w:pPr>
              <w:pStyle w:val="afa"/>
              <w:rPr>
                <w:spacing w:val="-16"/>
                <w:u w:val="single"/>
              </w:rPr>
            </w:pPr>
          </w:p>
        </w:tc>
      </w:tr>
      <w:tr w:rsidR="00EE56C0" w:rsidRPr="00BE7E1E">
        <w:trPr>
          <w:trHeight w:val="454"/>
          <w:jc w:val="center"/>
        </w:trPr>
        <w:tc>
          <w:tcPr>
            <w:tcW w:w="268" w:type="pct"/>
            <w:vMerge/>
            <w:vAlign w:val="center"/>
          </w:tcPr>
          <w:p w:rsidR="00EE56C0" w:rsidRPr="00BE7E1E" w:rsidRDefault="00EE56C0">
            <w:pPr>
              <w:pStyle w:val="afa"/>
              <w:rPr>
                <w:spacing w:val="-16"/>
                <w:u w:val="single"/>
              </w:rPr>
            </w:pPr>
          </w:p>
        </w:tc>
        <w:tc>
          <w:tcPr>
            <w:tcW w:w="269" w:type="pct"/>
            <w:vMerge w:val="restart"/>
            <w:vAlign w:val="center"/>
          </w:tcPr>
          <w:p w:rsidR="00EE56C0" w:rsidRPr="00BE7E1E" w:rsidRDefault="000F36A1">
            <w:pPr>
              <w:pStyle w:val="afa"/>
              <w:rPr>
                <w:spacing w:val="-16"/>
                <w:u w:val="single"/>
              </w:rPr>
            </w:pPr>
            <w:r w:rsidRPr="00BE7E1E">
              <w:rPr>
                <w:rFonts w:hint="eastAsia"/>
                <w:spacing w:val="-16"/>
                <w:u w:val="single"/>
              </w:rPr>
              <w:t>立炉</w:t>
            </w:r>
          </w:p>
        </w:tc>
        <w:tc>
          <w:tcPr>
            <w:tcW w:w="389" w:type="pct"/>
            <w:vAlign w:val="center"/>
          </w:tcPr>
          <w:p w:rsidR="00EE56C0" w:rsidRPr="00BE7E1E" w:rsidRDefault="000F36A1">
            <w:pPr>
              <w:pStyle w:val="afa"/>
              <w:rPr>
                <w:spacing w:val="-16"/>
                <w:u w:val="single"/>
              </w:rPr>
            </w:pPr>
            <w:r w:rsidRPr="00BE7E1E">
              <w:rPr>
                <w:rFonts w:hint="eastAsia"/>
                <w:spacing w:val="-16"/>
                <w:u w:val="single"/>
              </w:rPr>
              <w:t>涂漆间</w:t>
            </w:r>
          </w:p>
        </w:tc>
        <w:tc>
          <w:tcPr>
            <w:tcW w:w="269" w:type="pct"/>
            <w:vAlign w:val="center"/>
          </w:tcPr>
          <w:p w:rsidR="00EE56C0" w:rsidRPr="00BE7E1E" w:rsidRDefault="000F36A1">
            <w:pPr>
              <w:pStyle w:val="afa"/>
              <w:rPr>
                <w:spacing w:val="-16"/>
                <w:u w:val="single"/>
              </w:rPr>
            </w:pPr>
            <w:r w:rsidRPr="00BE7E1E">
              <w:rPr>
                <w:rFonts w:hint="eastAsia"/>
                <w:spacing w:val="-16"/>
                <w:u w:val="single"/>
              </w:rPr>
              <w:t>1</w:t>
            </w:r>
          </w:p>
        </w:tc>
        <w:tc>
          <w:tcPr>
            <w:tcW w:w="572" w:type="pct"/>
            <w:vAlign w:val="center"/>
          </w:tcPr>
          <w:p w:rsidR="00EE56C0" w:rsidRPr="00BE7E1E" w:rsidRDefault="000F36A1">
            <w:pPr>
              <w:pStyle w:val="afa"/>
              <w:rPr>
                <w:spacing w:val="-16"/>
                <w:u w:val="single"/>
              </w:rPr>
            </w:pPr>
            <w:r w:rsidRPr="00BE7E1E">
              <w:rPr>
                <w:rFonts w:hint="eastAsia"/>
                <w:spacing w:val="-16"/>
                <w:u w:val="single"/>
              </w:rPr>
              <w:t>35</w:t>
            </w:r>
          </w:p>
        </w:tc>
        <w:tc>
          <w:tcPr>
            <w:tcW w:w="536" w:type="pct"/>
            <w:vAlign w:val="center"/>
          </w:tcPr>
          <w:p w:rsidR="00EE56C0" w:rsidRPr="00BE7E1E" w:rsidRDefault="000F36A1">
            <w:pPr>
              <w:pStyle w:val="afa"/>
              <w:rPr>
                <w:spacing w:val="-16"/>
                <w:u w:val="single"/>
              </w:rPr>
            </w:pPr>
            <w:r w:rsidRPr="00BE7E1E">
              <w:rPr>
                <w:rFonts w:hint="eastAsia"/>
                <w:spacing w:val="-16"/>
                <w:u w:val="single"/>
              </w:rPr>
              <w:t>3.24</w:t>
            </w:r>
          </w:p>
        </w:tc>
        <w:tc>
          <w:tcPr>
            <w:tcW w:w="415" w:type="pct"/>
            <w:vAlign w:val="center"/>
          </w:tcPr>
          <w:p w:rsidR="00EE56C0" w:rsidRPr="00BE7E1E" w:rsidRDefault="000F36A1">
            <w:pPr>
              <w:pStyle w:val="afa"/>
              <w:rPr>
                <w:spacing w:val="-16"/>
                <w:u w:val="single"/>
              </w:rPr>
            </w:pPr>
            <w:r w:rsidRPr="00BE7E1E">
              <w:rPr>
                <w:rFonts w:hint="eastAsia"/>
                <w:spacing w:val="-16"/>
                <w:u w:val="single"/>
              </w:rPr>
              <w:t>113.4</w:t>
            </w:r>
          </w:p>
        </w:tc>
        <w:tc>
          <w:tcPr>
            <w:tcW w:w="471" w:type="pct"/>
            <w:vMerge w:val="restart"/>
            <w:vAlign w:val="center"/>
          </w:tcPr>
          <w:p w:rsidR="00EE56C0" w:rsidRPr="00BE7E1E" w:rsidRDefault="000F36A1">
            <w:pPr>
              <w:pStyle w:val="afa"/>
              <w:rPr>
                <w:spacing w:val="-16"/>
                <w:u w:val="single"/>
              </w:rPr>
            </w:pPr>
            <w:r w:rsidRPr="00BE7E1E">
              <w:rPr>
                <w:rFonts w:hint="eastAsia"/>
                <w:spacing w:val="-16"/>
                <w:u w:val="single"/>
              </w:rPr>
              <w:t>401.4</w:t>
            </w:r>
          </w:p>
        </w:tc>
        <w:tc>
          <w:tcPr>
            <w:tcW w:w="349" w:type="pct"/>
            <w:vMerge w:val="restart"/>
            <w:vAlign w:val="center"/>
          </w:tcPr>
          <w:p w:rsidR="00EE56C0" w:rsidRPr="00BE7E1E" w:rsidRDefault="000F36A1">
            <w:pPr>
              <w:pStyle w:val="afa"/>
              <w:rPr>
                <w:spacing w:val="-16"/>
                <w:u w:val="single"/>
              </w:rPr>
            </w:pPr>
            <w:r w:rsidRPr="00BE7E1E">
              <w:rPr>
                <w:rFonts w:hint="eastAsia"/>
                <w:spacing w:val="-16"/>
                <w:u w:val="single"/>
              </w:rPr>
              <w:t>3</w:t>
            </w:r>
          </w:p>
        </w:tc>
        <w:tc>
          <w:tcPr>
            <w:tcW w:w="1014" w:type="pct"/>
            <w:gridSpan w:val="2"/>
            <w:vAlign w:val="center"/>
          </w:tcPr>
          <w:p w:rsidR="00EE56C0" w:rsidRPr="00BE7E1E" w:rsidRDefault="000F36A1">
            <w:pPr>
              <w:pStyle w:val="afa"/>
              <w:rPr>
                <w:spacing w:val="-16"/>
                <w:u w:val="single"/>
              </w:rPr>
            </w:pPr>
            <w:r w:rsidRPr="00BE7E1E">
              <w:rPr>
                <w:rFonts w:hint="eastAsia"/>
                <w:spacing w:val="-16"/>
                <w:u w:val="single"/>
              </w:rPr>
              <w:t>2</w:t>
            </w:r>
            <w:r w:rsidRPr="00BE7E1E">
              <w:rPr>
                <w:rFonts w:hint="eastAsia"/>
                <w:spacing w:val="-16"/>
                <w:u w:val="single"/>
              </w:rPr>
              <w:t>台拉包：</w:t>
            </w:r>
            <w:r w:rsidRPr="00BE7E1E">
              <w:rPr>
                <w:rFonts w:hint="eastAsia"/>
                <w:spacing w:val="-16"/>
                <w:u w:val="single"/>
              </w:rPr>
              <w:t>450*2=900</w:t>
            </w:r>
          </w:p>
        </w:tc>
        <w:tc>
          <w:tcPr>
            <w:tcW w:w="448" w:type="pct"/>
            <w:vAlign w:val="center"/>
          </w:tcPr>
          <w:p w:rsidR="00EE56C0" w:rsidRPr="00BE7E1E" w:rsidRDefault="000F36A1">
            <w:pPr>
              <w:pStyle w:val="afa"/>
              <w:rPr>
                <w:spacing w:val="-16"/>
                <w:u w:val="single"/>
              </w:rPr>
            </w:pPr>
            <w:r w:rsidRPr="00BE7E1E">
              <w:rPr>
                <w:rFonts w:hint="eastAsia"/>
                <w:spacing w:val="-16"/>
                <w:u w:val="single"/>
              </w:rPr>
              <w:t>900</w:t>
            </w:r>
          </w:p>
        </w:tc>
      </w:tr>
      <w:tr w:rsidR="00EE56C0" w:rsidRPr="00BE7E1E">
        <w:trPr>
          <w:trHeight w:val="454"/>
          <w:jc w:val="center"/>
        </w:trPr>
        <w:tc>
          <w:tcPr>
            <w:tcW w:w="268" w:type="pct"/>
            <w:vMerge/>
            <w:vAlign w:val="center"/>
          </w:tcPr>
          <w:p w:rsidR="00EE56C0" w:rsidRPr="00BE7E1E" w:rsidRDefault="00EE56C0">
            <w:pPr>
              <w:pStyle w:val="afa"/>
              <w:rPr>
                <w:spacing w:val="-16"/>
                <w:u w:val="single"/>
              </w:rPr>
            </w:pPr>
          </w:p>
        </w:tc>
        <w:tc>
          <w:tcPr>
            <w:tcW w:w="269" w:type="pct"/>
            <w:vMerge/>
            <w:vAlign w:val="center"/>
          </w:tcPr>
          <w:p w:rsidR="00EE56C0" w:rsidRPr="00BE7E1E" w:rsidRDefault="00EE56C0">
            <w:pPr>
              <w:pStyle w:val="afa"/>
              <w:rPr>
                <w:spacing w:val="-16"/>
                <w:u w:val="single"/>
              </w:rPr>
            </w:pPr>
          </w:p>
        </w:tc>
        <w:tc>
          <w:tcPr>
            <w:tcW w:w="389" w:type="pct"/>
            <w:vAlign w:val="center"/>
          </w:tcPr>
          <w:p w:rsidR="00EE56C0" w:rsidRPr="00BE7E1E" w:rsidRDefault="000F36A1">
            <w:pPr>
              <w:pStyle w:val="afa"/>
              <w:rPr>
                <w:spacing w:val="-16"/>
                <w:u w:val="single"/>
              </w:rPr>
            </w:pPr>
            <w:r w:rsidRPr="00BE7E1E">
              <w:rPr>
                <w:rFonts w:hint="eastAsia"/>
                <w:spacing w:val="-16"/>
                <w:u w:val="single"/>
              </w:rPr>
              <w:t>烘炉出口</w:t>
            </w:r>
          </w:p>
        </w:tc>
        <w:tc>
          <w:tcPr>
            <w:tcW w:w="269" w:type="pct"/>
            <w:vAlign w:val="center"/>
          </w:tcPr>
          <w:p w:rsidR="00EE56C0" w:rsidRPr="00BE7E1E" w:rsidRDefault="000F36A1">
            <w:pPr>
              <w:pStyle w:val="afa"/>
              <w:rPr>
                <w:spacing w:val="-16"/>
                <w:u w:val="single"/>
              </w:rPr>
            </w:pPr>
            <w:r w:rsidRPr="00BE7E1E">
              <w:rPr>
                <w:rFonts w:hint="eastAsia"/>
                <w:spacing w:val="-16"/>
                <w:u w:val="single"/>
              </w:rPr>
              <w:t>1</w:t>
            </w:r>
          </w:p>
        </w:tc>
        <w:tc>
          <w:tcPr>
            <w:tcW w:w="572" w:type="pct"/>
            <w:vAlign w:val="center"/>
          </w:tcPr>
          <w:p w:rsidR="00EE56C0" w:rsidRPr="00BE7E1E" w:rsidRDefault="000F36A1">
            <w:pPr>
              <w:pStyle w:val="afa"/>
              <w:rPr>
                <w:spacing w:val="-16"/>
                <w:u w:val="single"/>
              </w:rPr>
            </w:pPr>
            <w:r w:rsidRPr="00BE7E1E">
              <w:rPr>
                <w:rFonts w:hint="eastAsia"/>
                <w:spacing w:val="-16"/>
                <w:u w:val="single"/>
              </w:rPr>
              <w:t>0.4</w:t>
            </w:r>
          </w:p>
        </w:tc>
        <w:tc>
          <w:tcPr>
            <w:tcW w:w="536" w:type="pct"/>
            <w:vAlign w:val="center"/>
          </w:tcPr>
          <w:p w:rsidR="00EE56C0" w:rsidRPr="00BE7E1E" w:rsidRDefault="000F36A1">
            <w:pPr>
              <w:pStyle w:val="afa"/>
              <w:rPr>
                <w:spacing w:val="-16"/>
                <w:u w:val="single"/>
              </w:rPr>
            </w:pPr>
            <w:r w:rsidRPr="00BE7E1E">
              <w:rPr>
                <w:rFonts w:hint="eastAsia"/>
                <w:spacing w:val="-16"/>
                <w:u w:val="single"/>
              </w:rPr>
              <w:t>0.2</w:t>
            </w:r>
          </w:p>
        </w:tc>
        <w:tc>
          <w:tcPr>
            <w:tcW w:w="415" w:type="pct"/>
            <w:vAlign w:val="center"/>
          </w:tcPr>
          <w:p w:rsidR="00EE56C0" w:rsidRPr="00BE7E1E" w:rsidRDefault="000F36A1">
            <w:pPr>
              <w:pStyle w:val="afa"/>
              <w:rPr>
                <w:spacing w:val="-16"/>
                <w:u w:val="single"/>
              </w:rPr>
            </w:pPr>
            <w:r w:rsidRPr="00BE7E1E">
              <w:rPr>
                <w:rFonts w:hint="eastAsia"/>
                <w:spacing w:val="-16"/>
                <w:u w:val="single"/>
              </w:rPr>
              <w:t>288</w:t>
            </w:r>
          </w:p>
        </w:tc>
        <w:tc>
          <w:tcPr>
            <w:tcW w:w="471" w:type="pct"/>
            <w:vMerge/>
            <w:vAlign w:val="center"/>
          </w:tcPr>
          <w:p w:rsidR="00EE56C0" w:rsidRPr="00BE7E1E" w:rsidRDefault="00EE56C0">
            <w:pPr>
              <w:pStyle w:val="afa"/>
              <w:rPr>
                <w:spacing w:val="-16"/>
                <w:u w:val="single"/>
              </w:rPr>
            </w:pPr>
          </w:p>
        </w:tc>
        <w:tc>
          <w:tcPr>
            <w:tcW w:w="349" w:type="pct"/>
            <w:vMerge/>
            <w:vAlign w:val="center"/>
          </w:tcPr>
          <w:p w:rsidR="00EE56C0" w:rsidRPr="00BE7E1E" w:rsidRDefault="00EE56C0">
            <w:pPr>
              <w:pStyle w:val="afa"/>
              <w:rPr>
                <w:spacing w:val="-16"/>
                <w:u w:val="single"/>
              </w:rPr>
            </w:pPr>
          </w:p>
        </w:tc>
        <w:tc>
          <w:tcPr>
            <w:tcW w:w="1014" w:type="pct"/>
            <w:gridSpan w:val="2"/>
            <w:vAlign w:val="center"/>
          </w:tcPr>
          <w:p w:rsidR="00EE56C0" w:rsidRPr="00BE7E1E" w:rsidRDefault="000F36A1">
            <w:pPr>
              <w:pStyle w:val="afa"/>
              <w:rPr>
                <w:spacing w:val="-16"/>
                <w:u w:val="single"/>
              </w:rPr>
            </w:pPr>
            <w:r w:rsidRPr="00BE7E1E">
              <w:rPr>
                <w:rFonts w:hint="eastAsia"/>
                <w:spacing w:val="-16"/>
                <w:u w:val="single"/>
              </w:rPr>
              <w:t>1</w:t>
            </w:r>
            <w:r w:rsidRPr="00BE7E1E">
              <w:rPr>
                <w:rFonts w:hint="eastAsia"/>
                <w:spacing w:val="-16"/>
                <w:u w:val="single"/>
              </w:rPr>
              <w:t>台漆包：</w:t>
            </w:r>
            <w:r w:rsidRPr="00BE7E1E">
              <w:rPr>
                <w:rFonts w:hint="eastAsia"/>
                <w:spacing w:val="-16"/>
                <w:u w:val="single"/>
              </w:rPr>
              <w:t>450*1=450</w:t>
            </w:r>
          </w:p>
        </w:tc>
        <w:tc>
          <w:tcPr>
            <w:tcW w:w="448" w:type="pct"/>
            <w:vAlign w:val="center"/>
          </w:tcPr>
          <w:p w:rsidR="00EE56C0" w:rsidRPr="00BE7E1E" w:rsidRDefault="000F36A1">
            <w:pPr>
              <w:pStyle w:val="afa"/>
              <w:rPr>
                <w:spacing w:val="-16"/>
                <w:u w:val="single"/>
              </w:rPr>
            </w:pPr>
            <w:r w:rsidRPr="00BE7E1E">
              <w:rPr>
                <w:rFonts w:hint="eastAsia"/>
                <w:spacing w:val="-16"/>
                <w:u w:val="single"/>
              </w:rPr>
              <w:t>450</w:t>
            </w:r>
          </w:p>
        </w:tc>
      </w:tr>
      <w:tr w:rsidR="00EE56C0" w:rsidRPr="00BE7E1E">
        <w:trPr>
          <w:trHeight w:val="684"/>
          <w:jc w:val="center"/>
        </w:trPr>
        <w:tc>
          <w:tcPr>
            <w:tcW w:w="268" w:type="pct"/>
            <w:vMerge/>
            <w:vAlign w:val="center"/>
          </w:tcPr>
          <w:p w:rsidR="00EE56C0" w:rsidRPr="00BE7E1E" w:rsidRDefault="00EE56C0">
            <w:pPr>
              <w:pStyle w:val="afa"/>
              <w:rPr>
                <w:spacing w:val="-16"/>
                <w:u w:val="single"/>
              </w:rPr>
            </w:pPr>
          </w:p>
        </w:tc>
        <w:tc>
          <w:tcPr>
            <w:tcW w:w="269" w:type="pct"/>
            <w:vMerge/>
            <w:vAlign w:val="center"/>
          </w:tcPr>
          <w:p w:rsidR="00EE56C0" w:rsidRPr="00BE7E1E" w:rsidRDefault="00EE56C0">
            <w:pPr>
              <w:pStyle w:val="afa"/>
              <w:rPr>
                <w:spacing w:val="-16"/>
                <w:u w:val="single"/>
              </w:rPr>
            </w:pPr>
          </w:p>
        </w:tc>
        <w:tc>
          <w:tcPr>
            <w:tcW w:w="389" w:type="pct"/>
            <w:vAlign w:val="center"/>
          </w:tcPr>
          <w:p w:rsidR="00EE56C0" w:rsidRPr="00BE7E1E" w:rsidRDefault="000F36A1">
            <w:pPr>
              <w:pStyle w:val="afa"/>
              <w:rPr>
                <w:spacing w:val="-16"/>
                <w:u w:val="single"/>
              </w:rPr>
            </w:pPr>
            <w:r w:rsidRPr="00BE7E1E">
              <w:rPr>
                <w:rFonts w:hint="eastAsia"/>
                <w:spacing w:val="-16"/>
                <w:u w:val="single"/>
              </w:rPr>
              <w:t>二次封闭通道</w:t>
            </w:r>
            <w:r w:rsidRPr="00BE7E1E">
              <w:rPr>
                <w:rFonts w:hint="eastAsia"/>
                <w:spacing w:val="-16"/>
                <w:u w:val="single"/>
                <w:vertAlign w:val="superscript"/>
              </w:rPr>
              <w:t>②</w:t>
            </w:r>
          </w:p>
        </w:tc>
        <w:tc>
          <w:tcPr>
            <w:tcW w:w="269" w:type="pct"/>
            <w:vAlign w:val="center"/>
          </w:tcPr>
          <w:p w:rsidR="00EE56C0" w:rsidRPr="00BE7E1E" w:rsidRDefault="000F36A1">
            <w:pPr>
              <w:pStyle w:val="afa"/>
              <w:rPr>
                <w:spacing w:val="-16"/>
                <w:u w:val="single"/>
              </w:rPr>
            </w:pPr>
            <w:r w:rsidRPr="00BE7E1E">
              <w:rPr>
                <w:rFonts w:hint="eastAsia"/>
                <w:spacing w:val="-16"/>
                <w:u w:val="single"/>
              </w:rPr>
              <w:t>/</w:t>
            </w:r>
          </w:p>
        </w:tc>
        <w:tc>
          <w:tcPr>
            <w:tcW w:w="572" w:type="pct"/>
            <w:vAlign w:val="center"/>
          </w:tcPr>
          <w:p w:rsidR="00EE56C0" w:rsidRPr="00BE7E1E" w:rsidRDefault="000F36A1">
            <w:pPr>
              <w:pStyle w:val="afa"/>
              <w:rPr>
                <w:spacing w:val="-16"/>
                <w:u w:val="single"/>
              </w:rPr>
            </w:pPr>
            <w:r w:rsidRPr="00BE7E1E">
              <w:rPr>
                <w:rFonts w:hint="eastAsia"/>
                <w:spacing w:val="-16"/>
                <w:u w:val="single"/>
              </w:rPr>
              <w:t>/</w:t>
            </w:r>
          </w:p>
        </w:tc>
        <w:tc>
          <w:tcPr>
            <w:tcW w:w="536" w:type="pct"/>
            <w:vAlign w:val="center"/>
          </w:tcPr>
          <w:p w:rsidR="00EE56C0" w:rsidRPr="00BE7E1E" w:rsidRDefault="000F36A1">
            <w:pPr>
              <w:pStyle w:val="afa"/>
              <w:rPr>
                <w:spacing w:val="-16"/>
                <w:u w:val="single"/>
              </w:rPr>
            </w:pPr>
            <w:r w:rsidRPr="00BE7E1E">
              <w:rPr>
                <w:rFonts w:hint="eastAsia"/>
                <w:spacing w:val="-16"/>
                <w:u w:val="single"/>
              </w:rPr>
              <w:t>/</w:t>
            </w:r>
          </w:p>
        </w:tc>
        <w:tc>
          <w:tcPr>
            <w:tcW w:w="886" w:type="pct"/>
            <w:gridSpan w:val="2"/>
            <w:vAlign w:val="center"/>
          </w:tcPr>
          <w:p w:rsidR="00EE56C0" w:rsidRPr="00BE7E1E" w:rsidRDefault="000F36A1">
            <w:pPr>
              <w:pStyle w:val="afa"/>
              <w:rPr>
                <w:spacing w:val="-16"/>
                <w:u w:val="single"/>
              </w:rPr>
            </w:pPr>
            <w:r w:rsidRPr="00BE7E1E">
              <w:rPr>
                <w:rFonts w:hint="eastAsia"/>
                <w:spacing w:val="-16"/>
                <w:u w:val="single"/>
              </w:rPr>
              <w:t>利用现有</w:t>
            </w:r>
          </w:p>
        </w:tc>
        <w:tc>
          <w:tcPr>
            <w:tcW w:w="349" w:type="pct"/>
            <w:vAlign w:val="center"/>
          </w:tcPr>
          <w:p w:rsidR="00EE56C0" w:rsidRPr="00BE7E1E" w:rsidRDefault="000F36A1">
            <w:pPr>
              <w:pStyle w:val="afa"/>
              <w:rPr>
                <w:spacing w:val="-16"/>
                <w:u w:val="single"/>
              </w:rPr>
            </w:pPr>
            <w:r w:rsidRPr="00BE7E1E">
              <w:rPr>
                <w:rFonts w:hint="eastAsia"/>
                <w:spacing w:val="-16"/>
                <w:u w:val="single"/>
              </w:rPr>
              <w:t>/</w:t>
            </w:r>
          </w:p>
        </w:tc>
        <w:tc>
          <w:tcPr>
            <w:tcW w:w="1462" w:type="pct"/>
            <w:gridSpan w:val="3"/>
            <w:vAlign w:val="center"/>
          </w:tcPr>
          <w:p w:rsidR="00EE56C0" w:rsidRPr="00BE7E1E" w:rsidRDefault="000F36A1">
            <w:pPr>
              <w:pStyle w:val="afa"/>
              <w:rPr>
                <w:spacing w:val="-16"/>
                <w:u w:val="single"/>
              </w:rPr>
            </w:pPr>
            <w:r w:rsidRPr="00BE7E1E">
              <w:rPr>
                <w:rFonts w:hint="eastAsia"/>
                <w:spacing w:val="-16"/>
                <w:u w:val="single"/>
              </w:rPr>
              <w:t>利用现有</w:t>
            </w:r>
          </w:p>
        </w:tc>
      </w:tr>
      <w:tr w:rsidR="00EE56C0" w:rsidRPr="00BE7E1E">
        <w:trPr>
          <w:trHeight w:val="454"/>
          <w:jc w:val="center"/>
        </w:trPr>
        <w:tc>
          <w:tcPr>
            <w:tcW w:w="268" w:type="pct"/>
            <w:vMerge w:val="restart"/>
            <w:vAlign w:val="center"/>
          </w:tcPr>
          <w:p w:rsidR="00EE56C0" w:rsidRPr="00BE7E1E" w:rsidRDefault="000F36A1">
            <w:pPr>
              <w:pStyle w:val="afa"/>
              <w:rPr>
                <w:spacing w:val="-16"/>
                <w:u w:val="single"/>
              </w:rPr>
            </w:pPr>
            <w:r w:rsidRPr="00BE7E1E">
              <w:rPr>
                <w:rFonts w:hint="eastAsia"/>
                <w:spacing w:val="-16"/>
                <w:u w:val="single"/>
              </w:rPr>
              <w:t>丝包线</w:t>
            </w:r>
          </w:p>
        </w:tc>
        <w:tc>
          <w:tcPr>
            <w:tcW w:w="269" w:type="pct"/>
            <w:vMerge w:val="restart"/>
            <w:vAlign w:val="center"/>
          </w:tcPr>
          <w:p w:rsidR="00EE56C0" w:rsidRPr="00BE7E1E" w:rsidRDefault="000F36A1">
            <w:pPr>
              <w:pStyle w:val="afa"/>
              <w:rPr>
                <w:spacing w:val="-16"/>
                <w:u w:val="single"/>
              </w:rPr>
            </w:pPr>
            <w:r w:rsidRPr="00BE7E1E">
              <w:rPr>
                <w:rFonts w:hint="eastAsia"/>
                <w:spacing w:val="-16"/>
                <w:u w:val="single"/>
              </w:rPr>
              <w:t>丝包机</w:t>
            </w:r>
          </w:p>
        </w:tc>
        <w:tc>
          <w:tcPr>
            <w:tcW w:w="389" w:type="pct"/>
            <w:vAlign w:val="center"/>
          </w:tcPr>
          <w:p w:rsidR="00EE56C0" w:rsidRPr="00BE7E1E" w:rsidRDefault="000F36A1">
            <w:pPr>
              <w:pStyle w:val="afa"/>
              <w:rPr>
                <w:spacing w:val="-16"/>
                <w:u w:val="single"/>
              </w:rPr>
            </w:pPr>
            <w:r w:rsidRPr="00BE7E1E">
              <w:rPr>
                <w:rFonts w:hint="eastAsia"/>
                <w:spacing w:val="-16"/>
                <w:u w:val="single"/>
              </w:rPr>
              <w:t>涂漆区</w:t>
            </w:r>
          </w:p>
        </w:tc>
        <w:tc>
          <w:tcPr>
            <w:tcW w:w="269" w:type="pct"/>
            <w:vAlign w:val="center"/>
          </w:tcPr>
          <w:p w:rsidR="00EE56C0" w:rsidRPr="00BE7E1E" w:rsidRDefault="000F36A1">
            <w:pPr>
              <w:pStyle w:val="afa"/>
              <w:rPr>
                <w:spacing w:val="-16"/>
                <w:u w:val="single"/>
              </w:rPr>
            </w:pPr>
            <w:r w:rsidRPr="00BE7E1E">
              <w:rPr>
                <w:rFonts w:hint="eastAsia"/>
                <w:spacing w:val="-16"/>
                <w:u w:val="single"/>
              </w:rPr>
              <w:t>6</w:t>
            </w:r>
          </w:p>
        </w:tc>
        <w:tc>
          <w:tcPr>
            <w:tcW w:w="572" w:type="pct"/>
            <w:vMerge w:val="restart"/>
            <w:vAlign w:val="center"/>
          </w:tcPr>
          <w:p w:rsidR="00EE56C0" w:rsidRPr="00BE7E1E" w:rsidRDefault="000F36A1">
            <w:pPr>
              <w:pStyle w:val="afa"/>
              <w:rPr>
                <w:spacing w:val="-16"/>
                <w:u w:val="single"/>
              </w:rPr>
            </w:pPr>
            <w:r w:rsidRPr="00BE7E1E">
              <w:rPr>
                <w:rFonts w:hint="eastAsia"/>
                <w:spacing w:val="-16"/>
                <w:u w:val="single"/>
              </w:rPr>
              <w:t>0.4</w:t>
            </w:r>
          </w:p>
        </w:tc>
        <w:tc>
          <w:tcPr>
            <w:tcW w:w="536" w:type="pct"/>
            <w:vAlign w:val="center"/>
          </w:tcPr>
          <w:p w:rsidR="00EE56C0" w:rsidRPr="00BE7E1E" w:rsidRDefault="000F36A1">
            <w:pPr>
              <w:pStyle w:val="afa"/>
              <w:rPr>
                <w:spacing w:val="-16"/>
                <w:u w:val="single"/>
              </w:rPr>
            </w:pPr>
            <w:r w:rsidRPr="00BE7E1E">
              <w:rPr>
                <w:rFonts w:hint="eastAsia"/>
                <w:spacing w:val="-16"/>
                <w:u w:val="single"/>
              </w:rPr>
              <w:t>0.025</w:t>
            </w:r>
          </w:p>
        </w:tc>
        <w:tc>
          <w:tcPr>
            <w:tcW w:w="415" w:type="pct"/>
            <w:vAlign w:val="center"/>
          </w:tcPr>
          <w:p w:rsidR="00EE56C0" w:rsidRPr="00BE7E1E" w:rsidRDefault="000F36A1">
            <w:pPr>
              <w:pStyle w:val="afa"/>
              <w:rPr>
                <w:spacing w:val="-16"/>
                <w:u w:val="single"/>
              </w:rPr>
            </w:pPr>
            <w:r w:rsidRPr="00BE7E1E">
              <w:rPr>
                <w:rFonts w:hint="eastAsia"/>
                <w:spacing w:val="-16"/>
                <w:u w:val="single"/>
              </w:rPr>
              <w:t>216</w:t>
            </w:r>
          </w:p>
        </w:tc>
        <w:tc>
          <w:tcPr>
            <w:tcW w:w="471" w:type="pct"/>
            <w:vMerge w:val="restart"/>
            <w:vAlign w:val="center"/>
          </w:tcPr>
          <w:p w:rsidR="00EE56C0" w:rsidRPr="00BE7E1E" w:rsidRDefault="000F36A1">
            <w:pPr>
              <w:pStyle w:val="afa"/>
              <w:rPr>
                <w:spacing w:val="-16"/>
                <w:u w:val="single"/>
              </w:rPr>
            </w:pPr>
            <w:r w:rsidRPr="00BE7E1E">
              <w:rPr>
                <w:rFonts w:hint="eastAsia"/>
                <w:spacing w:val="-16"/>
                <w:u w:val="single"/>
              </w:rPr>
              <w:t>446.4</w:t>
            </w:r>
          </w:p>
        </w:tc>
        <w:tc>
          <w:tcPr>
            <w:tcW w:w="349" w:type="pct"/>
            <w:vMerge w:val="restart"/>
            <w:vAlign w:val="center"/>
          </w:tcPr>
          <w:p w:rsidR="00EE56C0" w:rsidRPr="00BE7E1E" w:rsidRDefault="000F36A1">
            <w:pPr>
              <w:pStyle w:val="afa"/>
              <w:rPr>
                <w:spacing w:val="-16"/>
                <w:u w:val="single"/>
              </w:rPr>
            </w:pPr>
            <w:r w:rsidRPr="00BE7E1E">
              <w:rPr>
                <w:rFonts w:hint="eastAsia"/>
                <w:spacing w:val="-16"/>
                <w:u w:val="single"/>
              </w:rPr>
              <w:t>19</w:t>
            </w:r>
          </w:p>
        </w:tc>
        <w:tc>
          <w:tcPr>
            <w:tcW w:w="476" w:type="pct"/>
            <w:vMerge w:val="restart"/>
            <w:vAlign w:val="center"/>
          </w:tcPr>
          <w:p w:rsidR="00EE56C0" w:rsidRPr="00BE7E1E" w:rsidRDefault="000F36A1">
            <w:pPr>
              <w:pStyle w:val="afa"/>
              <w:rPr>
                <w:spacing w:val="-16"/>
                <w:u w:val="single"/>
              </w:rPr>
            </w:pPr>
            <w:r w:rsidRPr="00BE7E1E">
              <w:rPr>
                <w:rFonts w:hint="eastAsia"/>
                <w:spacing w:val="-16"/>
                <w:u w:val="single"/>
              </w:rPr>
              <w:t>8481.6</w:t>
            </w:r>
          </w:p>
        </w:tc>
        <w:tc>
          <w:tcPr>
            <w:tcW w:w="538" w:type="pct"/>
            <w:vMerge w:val="restart"/>
            <w:vAlign w:val="center"/>
          </w:tcPr>
          <w:p w:rsidR="00EE56C0" w:rsidRPr="00BE7E1E" w:rsidRDefault="000F36A1">
            <w:pPr>
              <w:pStyle w:val="afa"/>
              <w:rPr>
                <w:spacing w:val="-16"/>
                <w:u w:val="single"/>
              </w:rPr>
            </w:pPr>
            <w:r w:rsidRPr="00BE7E1E">
              <w:rPr>
                <w:rFonts w:hint="eastAsia"/>
                <w:spacing w:val="-16"/>
                <w:u w:val="single"/>
              </w:rPr>
              <w:t>17481.6</w:t>
            </w:r>
          </w:p>
        </w:tc>
        <w:tc>
          <w:tcPr>
            <w:tcW w:w="448" w:type="pct"/>
            <w:vMerge w:val="restart"/>
            <w:vAlign w:val="center"/>
          </w:tcPr>
          <w:p w:rsidR="00EE56C0" w:rsidRPr="00BE7E1E" w:rsidRDefault="000F36A1">
            <w:pPr>
              <w:pStyle w:val="afa"/>
              <w:rPr>
                <w:spacing w:val="-16"/>
                <w:u w:val="single"/>
              </w:rPr>
            </w:pPr>
            <w:r w:rsidRPr="00BE7E1E">
              <w:rPr>
                <w:rFonts w:hint="eastAsia"/>
                <w:spacing w:val="-16"/>
                <w:u w:val="single"/>
              </w:rPr>
              <w:t>18000</w:t>
            </w:r>
          </w:p>
        </w:tc>
      </w:tr>
      <w:tr w:rsidR="00EE56C0" w:rsidRPr="00BE7E1E">
        <w:trPr>
          <w:trHeight w:val="454"/>
          <w:jc w:val="center"/>
        </w:trPr>
        <w:tc>
          <w:tcPr>
            <w:tcW w:w="268" w:type="pct"/>
            <w:vMerge/>
            <w:vAlign w:val="center"/>
          </w:tcPr>
          <w:p w:rsidR="00EE56C0" w:rsidRPr="00BE7E1E" w:rsidRDefault="00EE56C0">
            <w:pPr>
              <w:pStyle w:val="afa"/>
              <w:rPr>
                <w:spacing w:val="-16"/>
                <w:u w:val="single"/>
              </w:rPr>
            </w:pPr>
          </w:p>
        </w:tc>
        <w:tc>
          <w:tcPr>
            <w:tcW w:w="269" w:type="pct"/>
            <w:vMerge/>
            <w:vAlign w:val="center"/>
          </w:tcPr>
          <w:p w:rsidR="00EE56C0" w:rsidRPr="00BE7E1E" w:rsidRDefault="00EE56C0">
            <w:pPr>
              <w:pStyle w:val="afa"/>
              <w:rPr>
                <w:spacing w:val="-16"/>
                <w:u w:val="single"/>
              </w:rPr>
            </w:pPr>
          </w:p>
        </w:tc>
        <w:tc>
          <w:tcPr>
            <w:tcW w:w="389" w:type="pct"/>
            <w:vAlign w:val="center"/>
          </w:tcPr>
          <w:p w:rsidR="00EE56C0" w:rsidRPr="00BE7E1E" w:rsidRDefault="000F36A1">
            <w:pPr>
              <w:pStyle w:val="afa"/>
              <w:rPr>
                <w:spacing w:val="-16"/>
                <w:u w:val="single"/>
              </w:rPr>
            </w:pPr>
            <w:r w:rsidRPr="00BE7E1E">
              <w:rPr>
                <w:rFonts w:hint="eastAsia"/>
                <w:spacing w:val="-16"/>
                <w:u w:val="single"/>
              </w:rPr>
              <w:t>烘炉进口、出口</w:t>
            </w:r>
          </w:p>
        </w:tc>
        <w:tc>
          <w:tcPr>
            <w:tcW w:w="269" w:type="pct"/>
            <w:vAlign w:val="center"/>
          </w:tcPr>
          <w:p w:rsidR="00EE56C0" w:rsidRPr="00BE7E1E" w:rsidRDefault="000F36A1">
            <w:pPr>
              <w:pStyle w:val="afa"/>
              <w:rPr>
                <w:spacing w:val="-16"/>
                <w:u w:val="single"/>
              </w:rPr>
            </w:pPr>
            <w:r w:rsidRPr="00BE7E1E">
              <w:rPr>
                <w:rFonts w:hint="eastAsia"/>
                <w:spacing w:val="-16"/>
                <w:u w:val="single"/>
              </w:rPr>
              <w:t>8</w:t>
            </w:r>
          </w:p>
        </w:tc>
        <w:tc>
          <w:tcPr>
            <w:tcW w:w="572" w:type="pct"/>
            <w:vMerge/>
            <w:vAlign w:val="center"/>
          </w:tcPr>
          <w:p w:rsidR="00EE56C0" w:rsidRPr="00BE7E1E" w:rsidRDefault="00EE56C0">
            <w:pPr>
              <w:pStyle w:val="afa"/>
              <w:rPr>
                <w:spacing w:val="-16"/>
                <w:u w:val="single"/>
              </w:rPr>
            </w:pPr>
          </w:p>
        </w:tc>
        <w:tc>
          <w:tcPr>
            <w:tcW w:w="536" w:type="pct"/>
            <w:vAlign w:val="center"/>
          </w:tcPr>
          <w:p w:rsidR="00EE56C0" w:rsidRPr="00BE7E1E" w:rsidRDefault="000F36A1">
            <w:pPr>
              <w:pStyle w:val="afa"/>
              <w:rPr>
                <w:spacing w:val="-16"/>
                <w:u w:val="single"/>
              </w:rPr>
            </w:pPr>
            <w:r w:rsidRPr="00BE7E1E">
              <w:rPr>
                <w:rFonts w:hint="eastAsia"/>
                <w:spacing w:val="-16"/>
                <w:u w:val="single"/>
              </w:rPr>
              <w:t>0.02</w:t>
            </w:r>
          </w:p>
        </w:tc>
        <w:tc>
          <w:tcPr>
            <w:tcW w:w="415" w:type="pct"/>
            <w:vAlign w:val="center"/>
          </w:tcPr>
          <w:p w:rsidR="00EE56C0" w:rsidRPr="00BE7E1E" w:rsidRDefault="000F36A1">
            <w:pPr>
              <w:pStyle w:val="afa"/>
              <w:rPr>
                <w:spacing w:val="-16"/>
                <w:u w:val="single"/>
              </w:rPr>
            </w:pPr>
            <w:r w:rsidRPr="00BE7E1E">
              <w:rPr>
                <w:rFonts w:hint="eastAsia"/>
                <w:spacing w:val="-16"/>
                <w:u w:val="single"/>
              </w:rPr>
              <w:t>230.4</w:t>
            </w:r>
          </w:p>
        </w:tc>
        <w:tc>
          <w:tcPr>
            <w:tcW w:w="471" w:type="pct"/>
            <w:vMerge/>
            <w:vAlign w:val="center"/>
          </w:tcPr>
          <w:p w:rsidR="00EE56C0" w:rsidRPr="00BE7E1E" w:rsidRDefault="00EE56C0">
            <w:pPr>
              <w:pStyle w:val="afa"/>
              <w:rPr>
                <w:spacing w:val="-16"/>
                <w:u w:val="single"/>
              </w:rPr>
            </w:pPr>
          </w:p>
        </w:tc>
        <w:tc>
          <w:tcPr>
            <w:tcW w:w="349" w:type="pct"/>
            <w:vMerge/>
            <w:vAlign w:val="center"/>
          </w:tcPr>
          <w:p w:rsidR="00EE56C0" w:rsidRPr="00BE7E1E" w:rsidRDefault="00EE56C0">
            <w:pPr>
              <w:pStyle w:val="afa"/>
              <w:rPr>
                <w:spacing w:val="-16"/>
                <w:u w:val="single"/>
              </w:rPr>
            </w:pPr>
          </w:p>
        </w:tc>
        <w:tc>
          <w:tcPr>
            <w:tcW w:w="476" w:type="pct"/>
            <w:vMerge/>
            <w:vAlign w:val="center"/>
          </w:tcPr>
          <w:p w:rsidR="00EE56C0" w:rsidRPr="00BE7E1E" w:rsidRDefault="00EE56C0">
            <w:pPr>
              <w:pStyle w:val="afa"/>
              <w:rPr>
                <w:spacing w:val="-16"/>
                <w:u w:val="single"/>
              </w:rPr>
            </w:pPr>
          </w:p>
        </w:tc>
        <w:tc>
          <w:tcPr>
            <w:tcW w:w="538" w:type="pct"/>
            <w:vMerge/>
            <w:vAlign w:val="center"/>
          </w:tcPr>
          <w:p w:rsidR="00EE56C0" w:rsidRPr="00BE7E1E" w:rsidRDefault="00EE56C0">
            <w:pPr>
              <w:pStyle w:val="afa"/>
              <w:rPr>
                <w:spacing w:val="-16"/>
                <w:u w:val="single"/>
              </w:rPr>
            </w:pPr>
          </w:p>
        </w:tc>
        <w:tc>
          <w:tcPr>
            <w:tcW w:w="448" w:type="pct"/>
            <w:vMerge/>
            <w:vAlign w:val="center"/>
          </w:tcPr>
          <w:p w:rsidR="00EE56C0" w:rsidRPr="00BE7E1E" w:rsidRDefault="00EE56C0">
            <w:pPr>
              <w:pStyle w:val="afa"/>
              <w:rPr>
                <w:spacing w:val="-16"/>
                <w:u w:val="single"/>
              </w:rPr>
            </w:pPr>
          </w:p>
        </w:tc>
      </w:tr>
      <w:tr w:rsidR="00EE56C0" w:rsidRPr="00BE7E1E">
        <w:trPr>
          <w:trHeight w:val="747"/>
          <w:jc w:val="center"/>
        </w:trPr>
        <w:tc>
          <w:tcPr>
            <w:tcW w:w="268" w:type="pct"/>
            <w:vMerge/>
            <w:vAlign w:val="center"/>
          </w:tcPr>
          <w:p w:rsidR="00EE56C0" w:rsidRPr="00BE7E1E" w:rsidRDefault="00EE56C0">
            <w:pPr>
              <w:pStyle w:val="afa"/>
              <w:rPr>
                <w:spacing w:val="-16"/>
                <w:u w:val="single"/>
              </w:rPr>
            </w:pPr>
          </w:p>
        </w:tc>
        <w:tc>
          <w:tcPr>
            <w:tcW w:w="269" w:type="pct"/>
            <w:vMerge/>
            <w:vAlign w:val="center"/>
          </w:tcPr>
          <w:p w:rsidR="00EE56C0" w:rsidRPr="00BE7E1E" w:rsidRDefault="00EE56C0">
            <w:pPr>
              <w:pStyle w:val="afa"/>
              <w:rPr>
                <w:spacing w:val="-16"/>
                <w:u w:val="single"/>
              </w:rPr>
            </w:pPr>
          </w:p>
        </w:tc>
        <w:tc>
          <w:tcPr>
            <w:tcW w:w="389" w:type="pct"/>
            <w:vAlign w:val="center"/>
          </w:tcPr>
          <w:p w:rsidR="00EE56C0" w:rsidRPr="00BE7E1E" w:rsidRDefault="000F36A1">
            <w:pPr>
              <w:pStyle w:val="afa"/>
              <w:rPr>
                <w:spacing w:val="-16"/>
                <w:u w:val="single"/>
              </w:rPr>
            </w:pPr>
            <w:r w:rsidRPr="00BE7E1E">
              <w:rPr>
                <w:rFonts w:hint="eastAsia"/>
                <w:spacing w:val="-16"/>
                <w:u w:val="single"/>
              </w:rPr>
              <w:t>操作间</w:t>
            </w:r>
          </w:p>
        </w:tc>
        <w:tc>
          <w:tcPr>
            <w:tcW w:w="269" w:type="pct"/>
            <w:vAlign w:val="center"/>
          </w:tcPr>
          <w:p w:rsidR="00EE56C0" w:rsidRPr="00BE7E1E" w:rsidRDefault="000F36A1">
            <w:pPr>
              <w:pStyle w:val="afa"/>
              <w:rPr>
                <w:spacing w:val="-16"/>
                <w:u w:val="single"/>
              </w:rPr>
            </w:pPr>
            <w:r w:rsidRPr="00BE7E1E">
              <w:rPr>
                <w:rFonts w:hint="eastAsia"/>
                <w:spacing w:val="-16"/>
                <w:u w:val="single"/>
              </w:rPr>
              <w:t>1</w:t>
            </w:r>
          </w:p>
        </w:tc>
        <w:tc>
          <w:tcPr>
            <w:tcW w:w="572" w:type="pct"/>
            <w:vAlign w:val="center"/>
          </w:tcPr>
          <w:p w:rsidR="00EE56C0" w:rsidRPr="00BE7E1E" w:rsidRDefault="000F36A1">
            <w:pPr>
              <w:pStyle w:val="afa"/>
              <w:rPr>
                <w:spacing w:val="-16"/>
                <w:u w:val="single"/>
              </w:rPr>
            </w:pPr>
            <w:r w:rsidRPr="00BE7E1E">
              <w:rPr>
                <w:rFonts w:hint="eastAsia"/>
                <w:spacing w:val="-16"/>
                <w:u w:val="single"/>
              </w:rPr>
              <w:t>20</w:t>
            </w:r>
          </w:p>
        </w:tc>
        <w:tc>
          <w:tcPr>
            <w:tcW w:w="536" w:type="pct"/>
            <w:vAlign w:val="center"/>
          </w:tcPr>
          <w:p w:rsidR="00EE56C0" w:rsidRPr="00BE7E1E" w:rsidRDefault="000F36A1">
            <w:pPr>
              <w:pStyle w:val="afa"/>
              <w:rPr>
                <w:spacing w:val="-16"/>
                <w:u w:val="single"/>
              </w:rPr>
            </w:pPr>
            <w:r w:rsidRPr="00BE7E1E">
              <w:rPr>
                <w:rFonts w:hint="eastAsia"/>
                <w:spacing w:val="-16"/>
                <w:u w:val="single"/>
              </w:rPr>
              <w:t>450</w:t>
            </w:r>
          </w:p>
        </w:tc>
        <w:tc>
          <w:tcPr>
            <w:tcW w:w="886" w:type="pct"/>
            <w:gridSpan w:val="2"/>
            <w:vAlign w:val="center"/>
          </w:tcPr>
          <w:p w:rsidR="00EE56C0" w:rsidRPr="00BE7E1E" w:rsidRDefault="000F36A1">
            <w:pPr>
              <w:pStyle w:val="afa"/>
              <w:rPr>
                <w:spacing w:val="-16"/>
                <w:u w:val="single"/>
              </w:rPr>
            </w:pPr>
            <w:r w:rsidRPr="00BE7E1E">
              <w:rPr>
                <w:rFonts w:hint="eastAsia"/>
                <w:spacing w:val="-16"/>
                <w:u w:val="single"/>
              </w:rPr>
              <w:t>/</w:t>
            </w:r>
          </w:p>
        </w:tc>
        <w:tc>
          <w:tcPr>
            <w:tcW w:w="349" w:type="pct"/>
            <w:vAlign w:val="center"/>
          </w:tcPr>
          <w:p w:rsidR="00EE56C0" w:rsidRPr="00BE7E1E" w:rsidRDefault="000F36A1">
            <w:pPr>
              <w:pStyle w:val="afa"/>
              <w:rPr>
                <w:spacing w:val="-16"/>
                <w:u w:val="single"/>
              </w:rPr>
            </w:pPr>
            <w:r w:rsidRPr="00BE7E1E">
              <w:rPr>
                <w:rFonts w:hint="eastAsia"/>
                <w:spacing w:val="-16"/>
                <w:u w:val="single"/>
              </w:rPr>
              <w:t>/</w:t>
            </w:r>
          </w:p>
        </w:tc>
        <w:tc>
          <w:tcPr>
            <w:tcW w:w="476" w:type="pct"/>
            <w:vAlign w:val="center"/>
          </w:tcPr>
          <w:p w:rsidR="00EE56C0" w:rsidRPr="00BE7E1E" w:rsidRDefault="000F36A1">
            <w:pPr>
              <w:pStyle w:val="afa"/>
              <w:rPr>
                <w:spacing w:val="-16"/>
                <w:u w:val="single"/>
              </w:rPr>
            </w:pPr>
            <w:r w:rsidRPr="00BE7E1E">
              <w:rPr>
                <w:rFonts w:hint="eastAsia"/>
                <w:spacing w:val="-16"/>
                <w:u w:val="single"/>
              </w:rPr>
              <w:t>9000</w:t>
            </w:r>
          </w:p>
        </w:tc>
        <w:tc>
          <w:tcPr>
            <w:tcW w:w="538" w:type="pct"/>
            <w:vMerge/>
            <w:vAlign w:val="center"/>
          </w:tcPr>
          <w:p w:rsidR="00EE56C0" w:rsidRPr="00BE7E1E" w:rsidRDefault="00EE56C0">
            <w:pPr>
              <w:pStyle w:val="afa"/>
              <w:rPr>
                <w:spacing w:val="-16"/>
                <w:u w:val="single"/>
              </w:rPr>
            </w:pPr>
          </w:p>
        </w:tc>
        <w:tc>
          <w:tcPr>
            <w:tcW w:w="448" w:type="pct"/>
            <w:vMerge/>
            <w:vAlign w:val="center"/>
          </w:tcPr>
          <w:p w:rsidR="00EE56C0" w:rsidRPr="00BE7E1E" w:rsidRDefault="00EE56C0">
            <w:pPr>
              <w:pStyle w:val="afa"/>
              <w:rPr>
                <w:spacing w:val="-16"/>
                <w:u w:val="single"/>
              </w:rPr>
            </w:pPr>
          </w:p>
        </w:tc>
      </w:tr>
      <w:tr w:rsidR="00EE56C0" w:rsidRPr="00BE7E1E">
        <w:trPr>
          <w:trHeight w:val="454"/>
          <w:jc w:val="center"/>
        </w:trPr>
        <w:tc>
          <w:tcPr>
            <w:tcW w:w="4552" w:type="pct"/>
            <w:gridSpan w:val="11"/>
            <w:vAlign w:val="center"/>
          </w:tcPr>
          <w:p w:rsidR="00EE56C0" w:rsidRPr="00BE7E1E" w:rsidRDefault="000F36A1">
            <w:pPr>
              <w:pStyle w:val="afa"/>
              <w:rPr>
                <w:spacing w:val="-16"/>
                <w:u w:val="single"/>
              </w:rPr>
            </w:pPr>
            <w:r w:rsidRPr="00BE7E1E">
              <w:rPr>
                <w:rFonts w:hint="eastAsia"/>
                <w:spacing w:val="-16"/>
                <w:u w:val="single"/>
              </w:rPr>
              <w:t>合计</w:t>
            </w:r>
          </w:p>
        </w:tc>
        <w:tc>
          <w:tcPr>
            <w:tcW w:w="448" w:type="pct"/>
            <w:vAlign w:val="center"/>
          </w:tcPr>
          <w:p w:rsidR="00EE56C0" w:rsidRPr="00BE7E1E" w:rsidRDefault="000F36A1">
            <w:pPr>
              <w:pStyle w:val="afa"/>
              <w:rPr>
                <w:spacing w:val="-16"/>
                <w:u w:val="single"/>
              </w:rPr>
            </w:pPr>
            <w:r w:rsidRPr="00BE7E1E">
              <w:rPr>
                <w:rFonts w:hint="eastAsia"/>
                <w:spacing w:val="-16"/>
                <w:u w:val="single"/>
              </w:rPr>
              <w:t>20850</w:t>
            </w:r>
          </w:p>
        </w:tc>
      </w:tr>
    </w:tbl>
    <w:p w:rsidR="00EE56C0" w:rsidRPr="00BE7E1E" w:rsidRDefault="000F36A1">
      <w:pPr>
        <w:pStyle w:val="afd"/>
        <w:spacing w:before="120" w:after="120"/>
        <w:ind w:firstLine="482"/>
        <w:rPr>
          <w:u w:val="single"/>
        </w:rPr>
      </w:pPr>
      <w:r w:rsidRPr="00BE7E1E">
        <w:rPr>
          <w:rFonts w:hint="eastAsia"/>
          <w:u w:val="single"/>
        </w:rPr>
        <w:t>表</w:t>
      </w:r>
      <w:r w:rsidRPr="00BE7E1E">
        <w:rPr>
          <w:rFonts w:hint="eastAsia"/>
          <w:u w:val="single"/>
        </w:rPr>
        <w:t xml:space="preserve">3-24                 </w:t>
      </w:r>
      <w:r w:rsidRPr="00BE7E1E">
        <w:rPr>
          <w:rFonts w:hint="eastAsia"/>
          <w:u w:val="single"/>
        </w:rPr>
        <w:t>二期废气风量确定</w:t>
      </w:r>
    </w:p>
    <w:tbl>
      <w:tblPr>
        <w:tblpPr w:leftFromText="180" w:rightFromText="180" w:vertAnchor="text" w:tblpXSpec="center" w:tblpY="1"/>
        <w:tblOverlap w:val="never"/>
        <w:tblW w:w="505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7"/>
        <w:gridCol w:w="450"/>
        <w:gridCol w:w="945"/>
        <w:gridCol w:w="698"/>
        <w:gridCol w:w="842"/>
        <w:gridCol w:w="943"/>
        <w:gridCol w:w="609"/>
        <w:gridCol w:w="610"/>
        <w:gridCol w:w="560"/>
        <w:gridCol w:w="700"/>
        <w:gridCol w:w="859"/>
        <w:gridCol w:w="859"/>
      </w:tblGrid>
      <w:tr w:rsidR="00EE56C0" w:rsidRPr="00BE7E1E">
        <w:trPr>
          <w:trHeight w:val="777"/>
        </w:trPr>
        <w:tc>
          <w:tcPr>
            <w:tcW w:w="317" w:type="pct"/>
            <w:vMerge w:val="restart"/>
            <w:vAlign w:val="center"/>
          </w:tcPr>
          <w:p w:rsidR="00EE56C0" w:rsidRPr="00BE7E1E" w:rsidRDefault="000F36A1">
            <w:pPr>
              <w:pStyle w:val="afa"/>
              <w:ind w:firstLine="418"/>
              <w:rPr>
                <w:b/>
                <w:spacing w:val="-16"/>
                <w:u w:val="single"/>
              </w:rPr>
            </w:pPr>
            <w:r w:rsidRPr="00BE7E1E">
              <w:rPr>
                <w:rFonts w:hint="eastAsia"/>
                <w:b/>
                <w:spacing w:val="-16"/>
                <w:u w:val="single"/>
              </w:rPr>
              <w:t>生产线</w:t>
            </w:r>
          </w:p>
        </w:tc>
        <w:tc>
          <w:tcPr>
            <w:tcW w:w="809" w:type="pct"/>
            <w:gridSpan w:val="2"/>
            <w:vMerge w:val="restart"/>
            <w:vAlign w:val="center"/>
          </w:tcPr>
          <w:p w:rsidR="00EE56C0" w:rsidRPr="00BE7E1E" w:rsidRDefault="000F36A1">
            <w:pPr>
              <w:pStyle w:val="afa"/>
              <w:rPr>
                <w:b/>
                <w:spacing w:val="-16"/>
                <w:u w:val="single"/>
              </w:rPr>
            </w:pPr>
            <w:r w:rsidRPr="00BE7E1E">
              <w:rPr>
                <w:rFonts w:hint="eastAsia"/>
                <w:b/>
                <w:spacing w:val="-16"/>
                <w:u w:val="single"/>
              </w:rPr>
              <w:t>设备</w:t>
            </w:r>
          </w:p>
        </w:tc>
        <w:tc>
          <w:tcPr>
            <w:tcW w:w="405" w:type="pct"/>
            <w:vMerge w:val="restart"/>
            <w:vAlign w:val="center"/>
          </w:tcPr>
          <w:p w:rsidR="00EE56C0" w:rsidRPr="00BE7E1E" w:rsidRDefault="000F36A1">
            <w:pPr>
              <w:pStyle w:val="afa"/>
              <w:rPr>
                <w:b/>
                <w:spacing w:val="-16"/>
                <w:u w:val="single"/>
              </w:rPr>
            </w:pPr>
            <w:r w:rsidRPr="00BE7E1E">
              <w:rPr>
                <w:rFonts w:hint="eastAsia"/>
                <w:b/>
                <w:spacing w:val="-16"/>
                <w:u w:val="single"/>
              </w:rPr>
              <w:t>集气装置数量</w:t>
            </w:r>
          </w:p>
        </w:tc>
        <w:tc>
          <w:tcPr>
            <w:tcW w:w="488" w:type="pct"/>
            <w:vMerge w:val="restart"/>
            <w:vAlign w:val="center"/>
          </w:tcPr>
          <w:p w:rsidR="00EE56C0" w:rsidRPr="00BE7E1E" w:rsidRDefault="000F36A1">
            <w:pPr>
              <w:pStyle w:val="afa"/>
              <w:rPr>
                <w:b/>
                <w:spacing w:val="-16"/>
                <w:u w:val="single"/>
              </w:rPr>
            </w:pPr>
            <w:r w:rsidRPr="00BE7E1E">
              <w:rPr>
                <w:rFonts w:hint="eastAsia"/>
                <w:b/>
                <w:spacing w:val="-16"/>
                <w:u w:val="single"/>
              </w:rPr>
              <w:t>风速</w:t>
            </w:r>
            <w:r w:rsidRPr="00BE7E1E">
              <w:rPr>
                <w:rFonts w:hint="eastAsia"/>
                <w:b/>
                <w:spacing w:val="-16"/>
                <w:u w:val="single"/>
                <w:vertAlign w:val="superscript"/>
              </w:rPr>
              <w:t>①</w:t>
            </w:r>
            <w:r w:rsidRPr="00BE7E1E">
              <w:rPr>
                <w:rFonts w:hint="eastAsia"/>
                <w:b/>
                <w:spacing w:val="-16"/>
                <w:u w:val="single"/>
              </w:rPr>
              <w:t>（</w:t>
            </w:r>
            <w:r w:rsidRPr="00BE7E1E">
              <w:rPr>
                <w:rFonts w:hint="eastAsia"/>
                <w:b/>
                <w:spacing w:val="-16"/>
                <w:u w:val="single"/>
              </w:rPr>
              <w:t>m/s</w:t>
            </w:r>
            <w:r w:rsidRPr="00BE7E1E">
              <w:rPr>
                <w:rFonts w:hint="eastAsia"/>
                <w:b/>
                <w:spacing w:val="-16"/>
                <w:u w:val="single"/>
              </w:rPr>
              <w:t>）</w:t>
            </w:r>
            <w:r w:rsidRPr="00BE7E1E">
              <w:rPr>
                <w:rFonts w:hint="eastAsia"/>
                <w:b/>
                <w:spacing w:val="-16"/>
                <w:u w:val="single"/>
              </w:rPr>
              <w:t>/</w:t>
            </w:r>
            <w:r w:rsidRPr="00BE7E1E">
              <w:rPr>
                <w:rFonts w:hint="eastAsia"/>
                <w:b/>
                <w:spacing w:val="-16"/>
                <w:u w:val="single"/>
              </w:rPr>
              <w:t>换气次数（次</w:t>
            </w:r>
            <w:r w:rsidRPr="00BE7E1E">
              <w:rPr>
                <w:rFonts w:hint="eastAsia"/>
                <w:b/>
                <w:spacing w:val="-16"/>
                <w:u w:val="single"/>
              </w:rPr>
              <w:t>/h</w:t>
            </w:r>
            <w:r w:rsidRPr="00BE7E1E">
              <w:rPr>
                <w:rFonts w:hint="eastAsia"/>
                <w:b/>
                <w:spacing w:val="-16"/>
                <w:u w:val="single"/>
              </w:rPr>
              <w:t>）</w:t>
            </w:r>
          </w:p>
        </w:tc>
        <w:tc>
          <w:tcPr>
            <w:tcW w:w="547" w:type="pct"/>
            <w:vMerge w:val="restart"/>
            <w:vAlign w:val="center"/>
          </w:tcPr>
          <w:p w:rsidR="00EE56C0" w:rsidRPr="00BE7E1E" w:rsidRDefault="000F36A1">
            <w:pPr>
              <w:pStyle w:val="afa"/>
              <w:rPr>
                <w:b/>
                <w:spacing w:val="-16"/>
                <w:u w:val="single"/>
              </w:rPr>
            </w:pPr>
            <w:r w:rsidRPr="00BE7E1E">
              <w:rPr>
                <w:rFonts w:hint="eastAsia"/>
                <w:b/>
                <w:spacing w:val="-16"/>
                <w:u w:val="single"/>
              </w:rPr>
              <w:t>单个集气装置面积（</w:t>
            </w:r>
            <w:r w:rsidRPr="00BE7E1E">
              <w:rPr>
                <w:rFonts w:hint="eastAsia"/>
                <w:b/>
                <w:spacing w:val="-16"/>
                <w:u w:val="single"/>
              </w:rPr>
              <w:t>m</w:t>
            </w:r>
            <w:r w:rsidRPr="00BE7E1E">
              <w:rPr>
                <w:rFonts w:hint="eastAsia"/>
                <w:b/>
                <w:spacing w:val="-16"/>
                <w:u w:val="single"/>
                <w:vertAlign w:val="superscript"/>
              </w:rPr>
              <w:t>2</w:t>
            </w:r>
            <w:r w:rsidRPr="00BE7E1E">
              <w:rPr>
                <w:rFonts w:hint="eastAsia"/>
                <w:b/>
                <w:spacing w:val="-16"/>
                <w:u w:val="single"/>
              </w:rPr>
              <w:t>）</w:t>
            </w:r>
            <w:r w:rsidRPr="00BE7E1E">
              <w:rPr>
                <w:rFonts w:hint="eastAsia"/>
                <w:b/>
                <w:spacing w:val="-16"/>
                <w:u w:val="single"/>
              </w:rPr>
              <w:t>/</w:t>
            </w:r>
            <w:r w:rsidRPr="00BE7E1E">
              <w:rPr>
                <w:rFonts w:hint="eastAsia"/>
                <w:b/>
                <w:spacing w:val="-16"/>
                <w:u w:val="single"/>
              </w:rPr>
              <w:t>涂漆间体积（</w:t>
            </w:r>
            <w:r w:rsidRPr="00BE7E1E">
              <w:rPr>
                <w:rFonts w:hint="eastAsia"/>
                <w:b/>
                <w:spacing w:val="-16"/>
                <w:u w:val="single"/>
              </w:rPr>
              <w:t>m</w:t>
            </w:r>
            <w:r w:rsidRPr="00BE7E1E">
              <w:rPr>
                <w:rFonts w:hint="eastAsia"/>
                <w:b/>
                <w:spacing w:val="-16"/>
                <w:u w:val="single"/>
                <w:vertAlign w:val="superscript"/>
              </w:rPr>
              <w:t>3</w:t>
            </w:r>
            <w:r w:rsidRPr="00BE7E1E">
              <w:rPr>
                <w:rFonts w:hint="eastAsia"/>
                <w:b/>
                <w:spacing w:val="-16"/>
                <w:u w:val="single"/>
              </w:rPr>
              <w:t>）</w:t>
            </w:r>
          </w:p>
        </w:tc>
        <w:tc>
          <w:tcPr>
            <w:tcW w:w="707" w:type="pct"/>
            <w:gridSpan w:val="2"/>
            <w:vMerge w:val="restart"/>
            <w:vAlign w:val="center"/>
          </w:tcPr>
          <w:p w:rsidR="00EE56C0" w:rsidRPr="00BE7E1E" w:rsidRDefault="000F36A1">
            <w:pPr>
              <w:pStyle w:val="afa"/>
              <w:rPr>
                <w:b/>
                <w:spacing w:val="-16"/>
                <w:u w:val="single"/>
              </w:rPr>
            </w:pPr>
            <w:r w:rsidRPr="00BE7E1E">
              <w:rPr>
                <w:rFonts w:hint="eastAsia"/>
                <w:b/>
                <w:spacing w:val="-16"/>
                <w:u w:val="single"/>
              </w:rPr>
              <w:t>单台设备风量（</w:t>
            </w:r>
            <w:r w:rsidRPr="00BE7E1E">
              <w:rPr>
                <w:rFonts w:hint="eastAsia"/>
                <w:b/>
                <w:spacing w:val="-16"/>
                <w:sz w:val="24"/>
                <w:u w:val="single"/>
              </w:rPr>
              <w:t>m</w:t>
            </w:r>
            <w:r w:rsidRPr="00BE7E1E">
              <w:rPr>
                <w:rFonts w:hint="eastAsia"/>
                <w:b/>
                <w:spacing w:val="-16"/>
                <w:sz w:val="24"/>
                <w:u w:val="single"/>
                <w:vertAlign w:val="superscript"/>
              </w:rPr>
              <w:t>3</w:t>
            </w:r>
            <w:r w:rsidRPr="00BE7E1E">
              <w:rPr>
                <w:rFonts w:hint="eastAsia"/>
                <w:b/>
                <w:spacing w:val="-16"/>
                <w:sz w:val="24"/>
                <w:u w:val="single"/>
              </w:rPr>
              <w:t>/h</w:t>
            </w:r>
            <w:r w:rsidRPr="00BE7E1E">
              <w:rPr>
                <w:rFonts w:hint="eastAsia"/>
                <w:b/>
                <w:spacing w:val="-16"/>
                <w:u w:val="single"/>
              </w:rPr>
              <w:t>）</w:t>
            </w:r>
          </w:p>
        </w:tc>
        <w:tc>
          <w:tcPr>
            <w:tcW w:w="325" w:type="pct"/>
            <w:vMerge w:val="restart"/>
            <w:vAlign w:val="center"/>
          </w:tcPr>
          <w:p w:rsidR="00EE56C0" w:rsidRPr="00BE7E1E" w:rsidRDefault="000F36A1">
            <w:pPr>
              <w:pStyle w:val="afa"/>
              <w:rPr>
                <w:b/>
                <w:spacing w:val="-16"/>
                <w:u w:val="single"/>
              </w:rPr>
            </w:pPr>
            <w:r w:rsidRPr="00BE7E1E">
              <w:rPr>
                <w:rFonts w:hint="eastAsia"/>
                <w:b/>
                <w:spacing w:val="-16"/>
                <w:u w:val="single"/>
              </w:rPr>
              <w:t>设备</w:t>
            </w:r>
          </w:p>
          <w:p w:rsidR="00EE56C0" w:rsidRPr="00BE7E1E" w:rsidRDefault="000F36A1">
            <w:pPr>
              <w:pStyle w:val="afa"/>
              <w:rPr>
                <w:b/>
                <w:spacing w:val="-16"/>
                <w:u w:val="single"/>
              </w:rPr>
            </w:pPr>
            <w:r w:rsidRPr="00BE7E1E">
              <w:rPr>
                <w:rFonts w:hint="eastAsia"/>
                <w:b/>
                <w:spacing w:val="-16"/>
                <w:u w:val="single"/>
              </w:rPr>
              <w:t>数量</w:t>
            </w:r>
          </w:p>
        </w:tc>
        <w:tc>
          <w:tcPr>
            <w:tcW w:w="1402" w:type="pct"/>
            <w:gridSpan w:val="3"/>
            <w:vAlign w:val="center"/>
          </w:tcPr>
          <w:p w:rsidR="00EE56C0" w:rsidRPr="00BE7E1E" w:rsidRDefault="000F36A1">
            <w:pPr>
              <w:pStyle w:val="afa"/>
              <w:rPr>
                <w:b/>
                <w:spacing w:val="-16"/>
                <w:u w:val="single"/>
              </w:rPr>
            </w:pPr>
            <w:r w:rsidRPr="00BE7E1E">
              <w:rPr>
                <w:rFonts w:hint="eastAsia"/>
                <w:b/>
                <w:spacing w:val="-16"/>
                <w:u w:val="single"/>
              </w:rPr>
              <w:t>风量（</w:t>
            </w:r>
            <w:r w:rsidRPr="00BE7E1E">
              <w:rPr>
                <w:rFonts w:hint="eastAsia"/>
                <w:b/>
                <w:spacing w:val="-16"/>
                <w:sz w:val="24"/>
                <w:u w:val="single"/>
              </w:rPr>
              <w:t>m</w:t>
            </w:r>
            <w:r w:rsidRPr="00BE7E1E">
              <w:rPr>
                <w:rFonts w:hint="eastAsia"/>
                <w:b/>
                <w:spacing w:val="-16"/>
                <w:sz w:val="24"/>
                <w:u w:val="single"/>
                <w:vertAlign w:val="superscript"/>
              </w:rPr>
              <w:t>3</w:t>
            </w:r>
            <w:r w:rsidRPr="00BE7E1E">
              <w:rPr>
                <w:rFonts w:hint="eastAsia"/>
                <w:b/>
                <w:spacing w:val="-16"/>
                <w:sz w:val="24"/>
                <w:u w:val="single"/>
              </w:rPr>
              <w:t>/h</w:t>
            </w:r>
            <w:r w:rsidRPr="00BE7E1E">
              <w:rPr>
                <w:rFonts w:hint="eastAsia"/>
                <w:b/>
                <w:spacing w:val="-16"/>
                <w:u w:val="single"/>
              </w:rPr>
              <w:t>）</w:t>
            </w:r>
          </w:p>
        </w:tc>
      </w:tr>
      <w:tr w:rsidR="00EE56C0" w:rsidRPr="00BE7E1E">
        <w:trPr>
          <w:trHeight w:val="840"/>
        </w:trPr>
        <w:tc>
          <w:tcPr>
            <w:tcW w:w="317" w:type="pct"/>
            <w:vMerge/>
            <w:vAlign w:val="center"/>
          </w:tcPr>
          <w:p w:rsidR="00EE56C0" w:rsidRPr="00BE7E1E" w:rsidRDefault="00EE56C0">
            <w:pPr>
              <w:pStyle w:val="afa"/>
              <w:rPr>
                <w:b/>
                <w:spacing w:val="-16"/>
                <w:u w:val="single"/>
              </w:rPr>
            </w:pPr>
          </w:p>
        </w:tc>
        <w:tc>
          <w:tcPr>
            <w:tcW w:w="809" w:type="pct"/>
            <w:gridSpan w:val="2"/>
            <w:vMerge/>
            <w:vAlign w:val="center"/>
          </w:tcPr>
          <w:p w:rsidR="00EE56C0" w:rsidRPr="00BE7E1E" w:rsidRDefault="00EE56C0">
            <w:pPr>
              <w:pStyle w:val="afa"/>
              <w:rPr>
                <w:b/>
                <w:spacing w:val="-16"/>
                <w:u w:val="single"/>
              </w:rPr>
            </w:pPr>
          </w:p>
        </w:tc>
        <w:tc>
          <w:tcPr>
            <w:tcW w:w="405" w:type="pct"/>
            <w:vMerge/>
            <w:vAlign w:val="center"/>
          </w:tcPr>
          <w:p w:rsidR="00EE56C0" w:rsidRPr="00BE7E1E" w:rsidRDefault="00EE56C0">
            <w:pPr>
              <w:pStyle w:val="afa"/>
              <w:rPr>
                <w:b/>
                <w:spacing w:val="-16"/>
                <w:u w:val="single"/>
              </w:rPr>
            </w:pPr>
          </w:p>
        </w:tc>
        <w:tc>
          <w:tcPr>
            <w:tcW w:w="488" w:type="pct"/>
            <w:vMerge/>
            <w:vAlign w:val="center"/>
          </w:tcPr>
          <w:p w:rsidR="00EE56C0" w:rsidRPr="00BE7E1E" w:rsidRDefault="00EE56C0">
            <w:pPr>
              <w:pStyle w:val="afa"/>
              <w:rPr>
                <w:b/>
                <w:spacing w:val="-16"/>
                <w:u w:val="single"/>
              </w:rPr>
            </w:pPr>
          </w:p>
        </w:tc>
        <w:tc>
          <w:tcPr>
            <w:tcW w:w="547" w:type="pct"/>
            <w:vMerge/>
            <w:vAlign w:val="center"/>
          </w:tcPr>
          <w:p w:rsidR="00EE56C0" w:rsidRPr="00BE7E1E" w:rsidRDefault="00EE56C0">
            <w:pPr>
              <w:pStyle w:val="afa"/>
              <w:rPr>
                <w:b/>
                <w:spacing w:val="-16"/>
                <w:u w:val="single"/>
              </w:rPr>
            </w:pPr>
          </w:p>
        </w:tc>
        <w:tc>
          <w:tcPr>
            <w:tcW w:w="707" w:type="pct"/>
            <w:gridSpan w:val="2"/>
            <w:vMerge/>
            <w:vAlign w:val="center"/>
          </w:tcPr>
          <w:p w:rsidR="00EE56C0" w:rsidRPr="00BE7E1E" w:rsidRDefault="00EE56C0">
            <w:pPr>
              <w:pStyle w:val="afa"/>
              <w:rPr>
                <w:b/>
                <w:spacing w:val="-16"/>
                <w:u w:val="single"/>
              </w:rPr>
            </w:pPr>
          </w:p>
        </w:tc>
        <w:tc>
          <w:tcPr>
            <w:tcW w:w="325" w:type="pct"/>
            <w:vMerge/>
            <w:vAlign w:val="center"/>
          </w:tcPr>
          <w:p w:rsidR="00EE56C0" w:rsidRPr="00BE7E1E" w:rsidRDefault="00EE56C0">
            <w:pPr>
              <w:pStyle w:val="afa"/>
              <w:rPr>
                <w:b/>
                <w:spacing w:val="-16"/>
                <w:u w:val="single"/>
              </w:rPr>
            </w:pPr>
          </w:p>
        </w:tc>
        <w:tc>
          <w:tcPr>
            <w:tcW w:w="904" w:type="pct"/>
            <w:gridSpan w:val="2"/>
            <w:vAlign w:val="center"/>
          </w:tcPr>
          <w:p w:rsidR="00EE56C0" w:rsidRPr="00BE7E1E" w:rsidRDefault="000F36A1">
            <w:pPr>
              <w:pStyle w:val="aff1"/>
              <w:rPr>
                <w:color w:val="auto"/>
                <w:spacing w:val="-16"/>
                <w:szCs w:val="21"/>
                <w:u w:val="single"/>
              </w:rPr>
            </w:pPr>
            <w:r w:rsidRPr="00BE7E1E">
              <w:rPr>
                <w:rFonts w:hint="eastAsia"/>
                <w:color w:val="auto"/>
                <w:spacing w:val="-16"/>
                <w:szCs w:val="21"/>
                <w:u w:val="single"/>
              </w:rPr>
              <w:t>计算值</w:t>
            </w:r>
          </w:p>
        </w:tc>
        <w:tc>
          <w:tcPr>
            <w:tcW w:w="498" w:type="pct"/>
            <w:vAlign w:val="center"/>
          </w:tcPr>
          <w:p w:rsidR="00EE56C0" w:rsidRPr="00BE7E1E" w:rsidRDefault="000F36A1">
            <w:pPr>
              <w:pStyle w:val="aff1"/>
              <w:rPr>
                <w:color w:val="auto"/>
                <w:spacing w:val="-16"/>
                <w:szCs w:val="21"/>
                <w:u w:val="single"/>
              </w:rPr>
            </w:pPr>
            <w:r w:rsidRPr="00BE7E1E">
              <w:rPr>
                <w:rFonts w:hint="eastAsia"/>
                <w:color w:val="auto"/>
                <w:spacing w:val="-16"/>
                <w:szCs w:val="21"/>
                <w:u w:val="single"/>
              </w:rPr>
              <w:t>评价取值</w:t>
            </w:r>
          </w:p>
        </w:tc>
      </w:tr>
      <w:tr w:rsidR="00EE56C0" w:rsidRPr="00BE7E1E">
        <w:trPr>
          <w:trHeight w:val="454"/>
        </w:trPr>
        <w:tc>
          <w:tcPr>
            <w:tcW w:w="317" w:type="pct"/>
            <w:vMerge w:val="restart"/>
            <w:vAlign w:val="center"/>
          </w:tcPr>
          <w:p w:rsidR="00EE56C0" w:rsidRPr="00BE7E1E" w:rsidRDefault="000F36A1">
            <w:pPr>
              <w:pStyle w:val="afa"/>
              <w:rPr>
                <w:spacing w:val="-16"/>
                <w:u w:val="single"/>
              </w:rPr>
            </w:pPr>
            <w:r w:rsidRPr="00BE7E1E">
              <w:rPr>
                <w:rFonts w:hint="eastAsia"/>
                <w:spacing w:val="-16"/>
                <w:u w:val="single"/>
              </w:rPr>
              <w:t>漆包线</w:t>
            </w:r>
          </w:p>
        </w:tc>
        <w:tc>
          <w:tcPr>
            <w:tcW w:w="261" w:type="pct"/>
            <w:vMerge w:val="restart"/>
            <w:vAlign w:val="center"/>
          </w:tcPr>
          <w:p w:rsidR="00EE56C0" w:rsidRPr="00BE7E1E" w:rsidRDefault="000F36A1">
            <w:pPr>
              <w:pStyle w:val="afa"/>
              <w:rPr>
                <w:spacing w:val="-16"/>
                <w:u w:val="single"/>
              </w:rPr>
            </w:pPr>
            <w:r w:rsidRPr="00BE7E1E">
              <w:rPr>
                <w:rFonts w:hint="eastAsia"/>
                <w:spacing w:val="-16"/>
                <w:u w:val="single"/>
              </w:rPr>
              <w:t>卧炉</w:t>
            </w:r>
          </w:p>
        </w:tc>
        <w:tc>
          <w:tcPr>
            <w:tcW w:w="548" w:type="pct"/>
            <w:vAlign w:val="center"/>
          </w:tcPr>
          <w:p w:rsidR="00EE56C0" w:rsidRPr="00BE7E1E" w:rsidRDefault="000F36A1">
            <w:pPr>
              <w:pStyle w:val="afa"/>
              <w:rPr>
                <w:spacing w:val="-16"/>
                <w:u w:val="single"/>
              </w:rPr>
            </w:pPr>
            <w:r w:rsidRPr="00BE7E1E">
              <w:rPr>
                <w:rFonts w:hint="eastAsia"/>
                <w:spacing w:val="-16"/>
                <w:u w:val="single"/>
              </w:rPr>
              <w:t>涂漆区、烘炉进口</w:t>
            </w:r>
          </w:p>
        </w:tc>
        <w:tc>
          <w:tcPr>
            <w:tcW w:w="405" w:type="pct"/>
            <w:vAlign w:val="center"/>
          </w:tcPr>
          <w:p w:rsidR="00EE56C0" w:rsidRPr="00BE7E1E" w:rsidRDefault="000F36A1">
            <w:pPr>
              <w:pStyle w:val="afa"/>
              <w:rPr>
                <w:spacing w:val="-16"/>
                <w:u w:val="single"/>
              </w:rPr>
            </w:pPr>
            <w:r w:rsidRPr="00BE7E1E">
              <w:rPr>
                <w:rFonts w:hint="eastAsia"/>
                <w:spacing w:val="-16"/>
                <w:u w:val="single"/>
              </w:rPr>
              <w:t>1</w:t>
            </w:r>
          </w:p>
        </w:tc>
        <w:tc>
          <w:tcPr>
            <w:tcW w:w="488" w:type="pct"/>
            <w:vMerge w:val="restart"/>
            <w:vAlign w:val="center"/>
          </w:tcPr>
          <w:p w:rsidR="00EE56C0" w:rsidRPr="00BE7E1E" w:rsidRDefault="000F36A1">
            <w:pPr>
              <w:pStyle w:val="afa"/>
              <w:rPr>
                <w:spacing w:val="-16"/>
                <w:u w:val="single"/>
              </w:rPr>
            </w:pPr>
            <w:r w:rsidRPr="00BE7E1E">
              <w:rPr>
                <w:rFonts w:hint="eastAsia"/>
                <w:spacing w:val="-16"/>
                <w:u w:val="single"/>
              </w:rPr>
              <w:t>0.4</w:t>
            </w:r>
          </w:p>
        </w:tc>
        <w:tc>
          <w:tcPr>
            <w:tcW w:w="547" w:type="pct"/>
            <w:vAlign w:val="center"/>
          </w:tcPr>
          <w:p w:rsidR="00EE56C0" w:rsidRPr="00BE7E1E" w:rsidRDefault="000F36A1">
            <w:pPr>
              <w:pStyle w:val="afa"/>
              <w:rPr>
                <w:spacing w:val="-16"/>
                <w:u w:val="single"/>
              </w:rPr>
            </w:pPr>
            <w:r w:rsidRPr="00BE7E1E">
              <w:rPr>
                <w:spacing w:val="-16"/>
                <w:u w:val="single"/>
              </w:rPr>
              <w:t>0.</w:t>
            </w:r>
            <w:r w:rsidRPr="00BE7E1E">
              <w:rPr>
                <w:rFonts w:hint="eastAsia"/>
                <w:spacing w:val="-16"/>
                <w:u w:val="single"/>
              </w:rPr>
              <w:t>08</w:t>
            </w:r>
          </w:p>
        </w:tc>
        <w:tc>
          <w:tcPr>
            <w:tcW w:w="353" w:type="pct"/>
            <w:vAlign w:val="center"/>
          </w:tcPr>
          <w:p w:rsidR="00EE56C0" w:rsidRPr="00BE7E1E" w:rsidRDefault="000F36A1">
            <w:pPr>
              <w:pStyle w:val="afa"/>
              <w:rPr>
                <w:spacing w:val="-16"/>
                <w:u w:val="single"/>
              </w:rPr>
            </w:pPr>
            <w:r w:rsidRPr="00BE7E1E">
              <w:rPr>
                <w:rFonts w:hint="eastAsia"/>
                <w:spacing w:val="-16"/>
                <w:u w:val="single"/>
              </w:rPr>
              <w:t>115.2</w:t>
            </w:r>
          </w:p>
        </w:tc>
        <w:tc>
          <w:tcPr>
            <w:tcW w:w="354" w:type="pct"/>
            <w:vMerge w:val="restart"/>
            <w:vAlign w:val="center"/>
          </w:tcPr>
          <w:p w:rsidR="00EE56C0" w:rsidRPr="00BE7E1E" w:rsidRDefault="000F36A1">
            <w:pPr>
              <w:pStyle w:val="afa"/>
              <w:rPr>
                <w:spacing w:val="-16"/>
                <w:u w:val="single"/>
              </w:rPr>
            </w:pPr>
            <w:r w:rsidRPr="00BE7E1E">
              <w:rPr>
                <w:rFonts w:hint="eastAsia"/>
                <w:spacing w:val="-16"/>
                <w:u w:val="single"/>
              </w:rPr>
              <w:t>345.6</w:t>
            </w:r>
          </w:p>
        </w:tc>
        <w:tc>
          <w:tcPr>
            <w:tcW w:w="325" w:type="pct"/>
            <w:vMerge w:val="restart"/>
            <w:vAlign w:val="center"/>
          </w:tcPr>
          <w:p w:rsidR="00EE56C0" w:rsidRPr="00BE7E1E" w:rsidRDefault="000F36A1">
            <w:pPr>
              <w:pStyle w:val="afa"/>
              <w:rPr>
                <w:spacing w:val="-16"/>
                <w:u w:val="single"/>
              </w:rPr>
            </w:pPr>
            <w:r w:rsidRPr="00BE7E1E">
              <w:rPr>
                <w:rFonts w:hint="eastAsia"/>
                <w:spacing w:val="-16"/>
                <w:u w:val="single"/>
              </w:rPr>
              <w:t>4</w:t>
            </w:r>
          </w:p>
        </w:tc>
        <w:tc>
          <w:tcPr>
            <w:tcW w:w="904" w:type="pct"/>
            <w:gridSpan w:val="2"/>
            <w:vMerge w:val="restart"/>
            <w:vAlign w:val="center"/>
          </w:tcPr>
          <w:p w:rsidR="00EE56C0" w:rsidRPr="00BE7E1E" w:rsidRDefault="000F36A1">
            <w:pPr>
              <w:pStyle w:val="afa"/>
              <w:rPr>
                <w:spacing w:val="-16"/>
                <w:u w:val="single"/>
              </w:rPr>
            </w:pPr>
            <w:r w:rsidRPr="00BE7E1E">
              <w:rPr>
                <w:rFonts w:hint="eastAsia"/>
                <w:spacing w:val="-16"/>
                <w:u w:val="single"/>
              </w:rPr>
              <w:t>4</w:t>
            </w:r>
            <w:r w:rsidRPr="00BE7E1E">
              <w:rPr>
                <w:rFonts w:hint="eastAsia"/>
                <w:spacing w:val="-16"/>
                <w:u w:val="single"/>
              </w:rPr>
              <w:t>台拉包：</w:t>
            </w:r>
            <w:r w:rsidRPr="00BE7E1E">
              <w:rPr>
                <w:rFonts w:hint="eastAsia"/>
                <w:spacing w:val="-16"/>
                <w:u w:val="single"/>
              </w:rPr>
              <w:t>350*4=1400</w:t>
            </w:r>
          </w:p>
        </w:tc>
        <w:tc>
          <w:tcPr>
            <w:tcW w:w="498" w:type="pct"/>
            <w:vMerge w:val="restart"/>
            <w:vAlign w:val="center"/>
          </w:tcPr>
          <w:p w:rsidR="00EE56C0" w:rsidRPr="00BE7E1E" w:rsidRDefault="000F36A1">
            <w:pPr>
              <w:pStyle w:val="afa"/>
              <w:rPr>
                <w:spacing w:val="-16"/>
                <w:u w:val="single"/>
              </w:rPr>
            </w:pPr>
            <w:r w:rsidRPr="00BE7E1E">
              <w:rPr>
                <w:rFonts w:hint="eastAsia"/>
                <w:spacing w:val="-16"/>
                <w:u w:val="single"/>
              </w:rPr>
              <w:t>1400</w:t>
            </w:r>
          </w:p>
        </w:tc>
      </w:tr>
      <w:tr w:rsidR="00EE56C0" w:rsidRPr="00BE7E1E">
        <w:trPr>
          <w:trHeight w:val="454"/>
        </w:trPr>
        <w:tc>
          <w:tcPr>
            <w:tcW w:w="317" w:type="pct"/>
            <w:vMerge/>
            <w:vAlign w:val="center"/>
          </w:tcPr>
          <w:p w:rsidR="00EE56C0" w:rsidRPr="00BE7E1E" w:rsidRDefault="00EE56C0">
            <w:pPr>
              <w:pStyle w:val="afa"/>
              <w:rPr>
                <w:spacing w:val="-16"/>
                <w:u w:val="single"/>
              </w:rPr>
            </w:pPr>
          </w:p>
        </w:tc>
        <w:tc>
          <w:tcPr>
            <w:tcW w:w="261" w:type="pct"/>
            <w:vMerge/>
            <w:vAlign w:val="center"/>
          </w:tcPr>
          <w:p w:rsidR="00EE56C0" w:rsidRPr="00BE7E1E" w:rsidRDefault="00EE56C0">
            <w:pPr>
              <w:pStyle w:val="afa"/>
              <w:rPr>
                <w:spacing w:val="-16"/>
                <w:u w:val="single"/>
              </w:rPr>
            </w:pPr>
          </w:p>
        </w:tc>
        <w:tc>
          <w:tcPr>
            <w:tcW w:w="548" w:type="pct"/>
            <w:vAlign w:val="center"/>
          </w:tcPr>
          <w:p w:rsidR="00EE56C0" w:rsidRPr="00BE7E1E" w:rsidRDefault="000F36A1">
            <w:pPr>
              <w:pStyle w:val="afa"/>
              <w:rPr>
                <w:spacing w:val="-16"/>
                <w:u w:val="single"/>
              </w:rPr>
            </w:pPr>
            <w:r w:rsidRPr="00BE7E1E">
              <w:rPr>
                <w:rFonts w:hint="eastAsia"/>
                <w:spacing w:val="-16"/>
                <w:u w:val="single"/>
              </w:rPr>
              <w:t>烘炉出口</w:t>
            </w:r>
          </w:p>
        </w:tc>
        <w:tc>
          <w:tcPr>
            <w:tcW w:w="405" w:type="pct"/>
            <w:vAlign w:val="center"/>
          </w:tcPr>
          <w:p w:rsidR="00EE56C0" w:rsidRPr="00BE7E1E" w:rsidRDefault="000F36A1">
            <w:pPr>
              <w:pStyle w:val="afa"/>
              <w:rPr>
                <w:spacing w:val="-16"/>
                <w:u w:val="single"/>
              </w:rPr>
            </w:pPr>
            <w:r w:rsidRPr="00BE7E1E">
              <w:rPr>
                <w:rFonts w:hint="eastAsia"/>
                <w:spacing w:val="-16"/>
                <w:u w:val="single"/>
              </w:rPr>
              <w:t>1</w:t>
            </w:r>
          </w:p>
        </w:tc>
        <w:tc>
          <w:tcPr>
            <w:tcW w:w="488" w:type="pct"/>
            <w:vMerge/>
            <w:vAlign w:val="center"/>
          </w:tcPr>
          <w:p w:rsidR="00EE56C0" w:rsidRPr="00BE7E1E" w:rsidRDefault="00EE56C0">
            <w:pPr>
              <w:pStyle w:val="afa"/>
              <w:rPr>
                <w:spacing w:val="-16"/>
                <w:u w:val="single"/>
              </w:rPr>
            </w:pPr>
          </w:p>
        </w:tc>
        <w:tc>
          <w:tcPr>
            <w:tcW w:w="547" w:type="pct"/>
            <w:vAlign w:val="center"/>
          </w:tcPr>
          <w:p w:rsidR="00EE56C0" w:rsidRPr="00BE7E1E" w:rsidRDefault="000F36A1">
            <w:pPr>
              <w:pStyle w:val="afa"/>
              <w:rPr>
                <w:spacing w:val="-16"/>
                <w:u w:val="single"/>
              </w:rPr>
            </w:pPr>
            <w:r w:rsidRPr="00BE7E1E">
              <w:rPr>
                <w:spacing w:val="-16"/>
                <w:u w:val="single"/>
              </w:rPr>
              <w:t>0.</w:t>
            </w:r>
            <w:r w:rsidRPr="00BE7E1E">
              <w:rPr>
                <w:rFonts w:hint="eastAsia"/>
                <w:spacing w:val="-16"/>
                <w:u w:val="single"/>
              </w:rPr>
              <w:t>16</w:t>
            </w:r>
          </w:p>
        </w:tc>
        <w:tc>
          <w:tcPr>
            <w:tcW w:w="353" w:type="pct"/>
            <w:vAlign w:val="center"/>
          </w:tcPr>
          <w:p w:rsidR="00EE56C0" w:rsidRPr="00BE7E1E" w:rsidRDefault="000F36A1">
            <w:pPr>
              <w:pStyle w:val="afa"/>
              <w:rPr>
                <w:spacing w:val="-16"/>
                <w:u w:val="single"/>
              </w:rPr>
            </w:pPr>
            <w:r w:rsidRPr="00BE7E1E">
              <w:rPr>
                <w:rFonts w:hint="eastAsia"/>
                <w:spacing w:val="-16"/>
                <w:u w:val="single"/>
              </w:rPr>
              <w:t>230.4</w:t>
            </w:r>
          </w:p>
        </w:tc>
        <w:tc>
          <w:tcPr>
            <w:tcW w:w="354" w:type="pct"/>
            <w:vMerge/>
            <w:vAlign w:val="center"/>
          </w:tcPr>
          <w:p w:rsidR="00EE56C0" w:rsidRPr="00BE7E1E" w:rsidRDefault="00EE56C0">
            <w:pPr>
              <w:pStyle w:val="afa"/>
              <w:rPr>
                <w:spacing w:val="-16"/>
                <w:u w:val="single"/>
              </w:rPr>
            </w:pPr>
          </w:p>
        </w:tc>
        <w:tc>
          <w:tcPr>
            <w:tcW w:w="325" w:type="pct"/>
            <w:vMerge/>
            <w:vAlign w:val="center"/>
          </w:tcPr>
          <w:p w:rsidR="00EE56C0" w:rsidRPr="00BE7E1E" w:rsidRDefault="00EE56C0">
            <w:pPr>
              <w:pStyle w:val="afa"/>
              <w:rPr>
                <w:spacing w:val="-16"/>
                <w:u w:val="single"/>
              </w:rPr>
            </w:pPr>
          </w:p>
        </w:tc>
        <w:tc>
          <w:tcPr>
            <w:tcW w:w="904" w:type="pct"/>
            <w:gridSpan w:val="2"/>
            <w:vMerge/>
            <w:vAlign w:val="center"/>
          </w:tcPr>
          <w:p w:rsidR="00EE56C0" w:rsidRPr="00BE7E1E" w:rsidRDefault="00EE56C0">
            <w:pPr>
              <w:pStyle w:val="afa"/>
              <w:rPr>
                <w:spacing w:val="-16"/>
                <w:u w:val="single"/>
              </w:rPr>
            </w:pPr>
          </w:p>
        </w:tc>
        <w:tc>
          <w:tcPr>
            <w:tcW w:w="498" w:type="pct"/>
            <w:vMerge/>
            <w:vAlign w:val="center"/>
          </w:tcPr>
          <w:p w:rsidR="00EE56C0" w:rsidRPr="00BE7E1E" w:rsidRDefault="00EE56C0">
            <w:pPr>
              <w:pStyle w:val="afa"/>
              <w:rPr>
                <w:spacing w:val="-16"/>
                <w:u w:val="single"/>
              </w:rPr>
            </w:pPr>
          </w:p>
        </w:tc>
      </w:tr>
      <w:tr w:rsidR="00EE56C0" w:rsidRPr="00BE7E1E">
        <w:trPr>
          <w:trHeight w:val="559"/>
        </w:trPr>
        <w:tc>
          <w:tcPr>
            <w:tcW w:w="317" w:type="pct"/>
            <w:vMerge/>
            <w:vAlign w:val="center"/>
          </w:tcPr>
          <w:p w:rsidR="00EE56C0" w:rsidRPr="00BE7E1E" w:rsidRDefault="00EE56C0">
            <w:pPr>
              <w:pStyle w:val="afa"/>
              <w:rPr>
                <w:spacing w:val="-16"/>
                <w:u w:val="single"/>
              </w:rPr>
            </w:pPr>
          </w:p>
        </w:tc>
        <w:tc>
          <w:tcPr>
            <w:tcW w:w="261" w:type="pct"/>
            <w:vMerge w:val="restart"/>
            <w:vAlign w:val="center"/>
          </w:tcPr>
          <w:p w:rsidR="00EE56C0" w:rsidRPr="00BE7E1E" w:rsidRDefault="000F36A1">
            <w:pPr>
              <w:pStyle w:val="afa"/>
              <w:rPr>
                <w:spacing w:val="-16"/>
                <w:highlight w:val="yellow"/>
                <w:u w:val="single"/>
              </w:rPr>
            </w:pPr>
            <w:r w:rsidRPr="00BE7E1E">
              <w:rPr>
                <w:rFonts w:hint="eastAsia"/>
                <w:spacing w:val="-16"/>
                <w:u w:val="single"/>
              </w:rPr>
              <w:t>立炉</w:t>
            </w:r>
          </w:p>
        </w:tc>
        <w:tc>
          <w:tcPr>
            <w:tcW w:w="548" w:type="pct"/>
            <w:vAlign w:val="center"/>
          </w:tcPr>
          <w:p w:rsidR="00EE56C0" w:rsidRPr="00BE7E1E" w:rsidRDefault="000F36A1">
            <w:pPr>
              <w:pStyle w:val="afa"/>
              <w:rPr>
                <w:spacing w:val="-16"/>
                <w:u w:val="single"/>
              </w:rPr>
            </w:pPr>
            <w:r w:rsidRPr="00BE7E1E">
              <w:rPr>
                <w:rFonts w:hint="eastAsia"/>
                <w:spacing w:val="-16"/>
                <w:u w:val="single"/>
              </w:rPr>
              <w:t>涂漆间</w:t>
            </w:r>
          </w:p>
        </w:tc>
        <w:tc>
          <w:tcPr>
            <w:tcW w:w="405" w:type="pct"/>
            <w:vAlign w:val="center"/>
          </w:tcPr>
          <w:p w:rsidR="00EE56C0" w:rsidRPr="00BE7E1E" w:rsidRDefault="000F36A1">
            <w:pPr>
              <w:pStyle w:val="afa"/>
              <w:rPr>
                <w:spacing w:val="-16"/>
                <w:u w:val="single"/>
              </w:rPr>
            </w:pPr>
            <w:r w:rsidRPr="00BE7E1E">
              <w:rPr>
                <w:rFonts w:hint="eastAsia"/>
                <w:spacing w:val="-16"/>
                <w:u w:val="single"/>
              </w:rPr>
              <w:t>1</w:t>
            </w:r>
          </w:p>
        </w:tc>
        <w:tc>
          <w:tcPr>
            <w:tcW w:w="488" w:type="pct"/>
            <w:vAlign w:val="center"/>
          </w:tcPr>
          <w:p w:rsidR="00EE56C0" w:rsidRPr="00BE7E1E" w:rsidRDefault="000F36A1">
            <w:pPr>
              <w:pStyle w:val="afa"/>
              <w:rPr>
                <w:spacing w:val="-16"/>
                <w:u w:val="single"/>
              </w:rPr>
            </w:pPr>
            <w:r w:rsidRPr="00BE7E1E">
              <w:rPr>
                <w:rFonts w:hint="eastAsia"/>
                <w:spacing w:val="-16"/>
                <w:u w:val="single"/>
              </w:rPr>
              <w:t>35</w:t>
            </w:r>
          </w:p>
        </w:tc>
        <w:tc>
          <w:tcPr>
            <w:tcW w:w="547" w:type="pct"/>
            <w:vAlign w:val="center"/>
          </w:tcPr>
          <w:p w:rsidR="00EE56C0" w:rsidRPr="00BE7E1E" w:rsidRDefault="000F36A1">
            <w:pPr>
              <w:pStyle w:val="afa"/>
              <w:rPr>
                <w:spacing w:val="-16"/>
                <w:u w:val="single"/>
              </w:rPr>
            </w:pPr>
            <w:r w:rsidRPr="00BE7E1E">
              <w:rPr>
                <w:rFonts w:hint="eastAsia"/>
                <w:spacing w:val="-16"/>
                <w:u w:val="single"/>
              </w:rPr>
              <w:t>3.24</w:t>
            </w:r>
          </w:p>
        </w:tc>
        <w:tc>
          <w:tcPr>
            <w:tcW w:w="353" w:type="pct"/>
            <w:vAlign w:val="center"/>
          </w:tcPr>
          <w:p w:rsidR="00EE56C0" w:rsidRPr="00BE7E1E" w:rsidRDefault="000F36A1">
            <w:pPr>
              <w:pStyle w:val="afa"/>
              <w:rPr>
                <w:spacing w:val="-16"/>
                <w:u w:val="single"/>
              </w:rPr>
            </w:pPr>
            <w:r w:rsidRPr="00BE7E1E">
              <w:rPr>
                <w:rFonts w:hint="eastAsia"/>
                <w:spacing w:val="-16"/>
                <w:u w:val="single"/>
              </w:rPr>
              <w:t>113.4</w:t>
            </w:r>
          </w:p>
        </w:tc>
        <w:tc>
          <w:tcPr>
            <w:tcW w:w="354" w:type="pct"/>
            <w:vMerge w:val="restart"/>
            <w:vAlign w:val="center"/>
          </w:tcPr>
          <w:p w:rsidR="00EE56C0" w:rsidRPr="00BE7E1E" w:rsidRDefault="000F36A1">
            <w:pPr>
              <w:pStyle w:val="afa"/>
              <w:rPr>
                <w:spacing w:val="-16"/>
                <w:u w:val="single"/>
              </w:rPr>
            </w:pPr>
            <w:r w:rsidRPr="00BE7E1E">
              <w:rPr>
                <w:rFonts w:hint="eastAsia"/>
                <w:spacing w:val="-16"/>
                <w:u w:val="single"/>
              </w:rPr>
              <w:t>401.4</w:t>
            </w:r>
          </w:p>
        </w:tc>
        <w:tc>
          <w:tcPr>
            <w:tcW w:w="325" w:type="pct"/>
            <w:vMerge w:val="restart"/>
            <w:vAlign w:val="center"/>
          </w:tcPr>
          <w:p w:rsidR="00EE56C0" w:rsidRPr="00BE7E1E" w:rsidRDefault="000F36A1">
            <w:pPr>
              <w:pStyle w:val="afa"/>
              <w:rPr>
                <w:spacing w:val="-16"/>
                <w:u w:val="single"/>
              </w:rPr>
            </w:pPr>
            <w:r w:rsidRPr="00BE7E1E">
              <w:rPr>
                <w:rFonts w:hint="eastAsia"/>
                <w:spacing w:val="-16"/>
                <w:u w:val="single"/>
              </w:rPr>
              <w:t>13</w:t>
            </w:r>
          </w:p>
        </w:tc>
        <w:tc>
          <w:tcPr>
            <w:tcW w:w="904" w:type="pct"/>
            <w:gridSpan w:val="2"/>
            <w:vAlign w:val="center"/>
          </w:tcPr>
          <w:p w:rsidR="00EE56C0" w:rsidRPr="00BE7E1E" w:rsidRDefault="000F36A1">
            <w:pPr>
              <w:pStyle w:val="afa"/>
              <w:rPr>
                <w:spacing w:val="-16"/>
                <w:u w:val="single"/>
              </w:rPr>
            </w:pPr>
            <w:r w:rsidRPr="00BE7E1E">
              <w:rPr>
                <w:rFonts w:hint="eastAsia"/>
                <w:spacing w:val="-16"/>
                <w:u w:val="single"/>
              </w:rPr>
              <w:t>10</w:t>
            </w:r>
            <w:r w:rsidRPr="00BE7E1E">
              <w:rPr>
                <w:rFonts w:hint="eastAsia"/>
                <w:spacing w:val="-16"/>
                <w:u w:val="single"/>
              </w:rPr>
              <w:t>台拉包：</w:t>
            </w:r>
            <w:r w:rsidRPr="00BE7E1E">
              <w:rPr>
                <w:rFonts w:hint="eastAsia"/>
                <w:spacing w:val="-16"/>
                <w:u w:val="single"/>
              </w:rPr>
              <w:t>450*10=4500</w:t>
            </w:r>
          </w:p>
        </w:tc>
        <w:tc>
          <w:tcPr>
            <w:tcW w:w="498" w:type="pct"/>
            <w:vAlign w:val="center"/>
          </w:tcPr>
          <w:p w:rsidR="00EE56C0" w:rsidRPr="00BE7E1E" w:rsidRDefault="000F36A1">
            <w:pPr>
              <w:pStyle w:val="afa"/>
              <w:rPr>
                <w:spacing w:val="-16"/>
                <w:u w:val="single"/>
              </w:rPr>
            </w:pPr>
            <w:r w:rsidRPr="00BE7E1E">
              <w:rPr>
                <w:rFonts w:hint="eastAsia"/>
                <w:spacing w:val="-16"/>
                <w:u w:val="single"/>
              </w:rPr>
              <w:t>4500</w:t>
            </w:r>
          </w:p>
        </w:tc>
      </w:tr>
      <w:tr w:rsidR="00EE56C0" w:rsidRPr="00BE7E1E">
        <w:trPr>
          <w:trHeight w:val="679"/>
        </w:trPr>
        <w:tc>
          <w:tcPr>
            <w:tcW w:w="317" w:type="pct"/>
            <w:vMerge/>
            <w:vAlign w:val="center"/>
          </w:tcPr>
          <w:p w:rsidR="00EE56C0" w:rsidRPr="00BE7E1E" w:rsidRDefault="00EE56C0">
            <w:pPr>
              <w:pStyle w:val="afa"/>
              <w:rPr>
                <w:spacing w:val="-16"/>
                <w:u w:val="single"/>
              </w:rPr>
            </w:pPr>
          </w:p>
        </w:tc>
        <w:tc>
          <w:tcPr>
            <w:tcW w:w="261" w:type="pct"/>
            <w:vMerge/>
            <w:vAlign w:val="center"/>
          </w:tcPr>
          <w:p w:rsidR="00EE56C0" w:rsidRPr="00BE7E1E" w:rsidRDefault="00EE56C0">
            <w:pPr>
              <w:pStyle w:val="afa"/>
              <w:rPr>
                <w:spacing w:val="-16"/>
                <w:u w:val="single"/>
              </w:rPr>
            </w:pPr>
          </w:p>
        </w:tc>
        <w:tc>
          <w:tcPr>
            <w:tcW w:w="548" w:type="pct"/>
            <w:tcBorders>
              <w:bottom w:val="single" w:sz="4" w:space="0" w:color="auto"/>
            </w:tcBorders>
            <w:vAlign w:val="center"/>
          </w:tcPr>
          <w:p w:rsidR="00EE56C0" w:rsidRPr="00BE7E1E" w:rsidRDefault="000F36A1">
            <w:pPr>
              <w:pStyle w:val="afa"/>
              <w:rPr>
                <w:spacing w:val="-16"/>
                <w:u w:val="single"/>
              </w:rPr>
            </w:pPr>
            <w:r w:rsidRPr="00BE7E1E">
              <w:rPr>
                <w:rFonts w:hint="eastAsia"/>
                <w:spacing w:val="-16"/>
                <w:u w:val="single"/>
              </w:rPr>
              <w:t>烘炉出口</w:t>
            </w:r>
          </w:p>
        </w:tc>
        <w:tc>
          <w:tcPr>
            <w:tcW w:w="405" w:type="pct"/>
            <w:tcBorders>
              <w:bottom w:val="single" w:sz="4" w:space="0" w:color="auto"/>
            </w:tcBorders>
            <w:vAlign w:val="center"/>
          </w:tcPr>
          <w:p w:rsidR="00EE56C0" w:rsidRPr="00BE7E1E" w:rsidRDefault="000F36A1">
            <w:pPr>
              <w:pStyle w:val="afa"/>
              <w:rPr>
                <w:spacing w:val="-16"/>
                <w:u w:val="single"/>
              </w:rPr>
            </w:pPr>
            <w:r w:rsidRPr="00BE7E1E">
              <w:rPr>
                <w:rFonts w:hint="eastAsia"/>
                <w:spacing w:val="-16"/>
                <w:u w:val="single"/>
              </w:rPr>
              <w:t>1</w:t>
            </w:r>
          </w:p>
        </w:tc>
        <w:tc>
          <w:tcPr>
            <w:tcW w:w="488" w:type="pct"/>
            <w:tcBorders>
              <w:bottom w:val="single" w:sz="4" w:space="0" w:color="auto"/>
            </w:tcBorders>
            <w:vAlign w:val="center"/>
          </w:tcPr>
          <w:p w:rsidR="00EE56C0" w:rsidRPr="00BE7E1E" w:rsidRDefault="000F36A1">
            <w:pPr>
              <w:pStyle w:val="afa"/>
              <w:rPr>
                <w:spacing w:val="-16"/>
                <w:u w:val="single"/>
              </w:rPr>
            </w:pPr>
            <w:r w:rsidRPr="00BE7E1E">
              <w:rPr>
                <w:rFonts w:hint="eastAsia"/>
                <w:spacing w:val="-16"/>
                <w:u w:val="single"/>
              </w:rPr>
              <w:t>0.4</w:t>
            </w:r>
          </w:p>
        </w:tc>
        <w:tc>
          <w:tcPr>
            <w:tcW w:w="547" w:type="pct"/>
            <w:tcBorders>
              <w:bottom w:val="single" w:sz="4" w:space="0" w:color="auto"/>
            </w:tcBorders>
            <w:vAlign w:val="center"/>
          </w:tcPr>
          <w:p w:rsidR="00EE56C0" w:rsidRPr="00BE7E1E" w:rsidRDefault="000F36A1">
            <w:pPr>
              <w:pStyle w:val="afa"/>
              <w:rPr>
                <w:spacing w:val="-16"/>
                <w:u w:val="single"/>
              </w:rPr>
            </w:pPr>
            <w:r w:rsidRPr="00BE7E1E">
              <w:rPr>
                <w:rFonts w:hint="eastAsia"/>
                <w:spacing w:val="-16"/>
                <w:u w:val="single"/>
              </w:rPr>
              <w:t>0.2</w:t>
            </w:r>
          </w:p>
        </w:tc>
        <w:tc>
          <w:tcPr>
            <w:tcW w:w="353" w:type="pct"/>
            <w:tcBorders>
              <w:bottom w:val="single" w:sz="4" w:space="0" w:color="auto"/>
            </w:tcBorders>
            <w:vAlign w:val="center"/>
          </w:tcPr>
          <w:p w:rsidR="00EE56C0" w:rsidRPr="00BE7E1E" w:rsidRDefault="000F36A1">
            <w:pPr>
              <w:pStyle w:val="afa"/>
              <w:rPr>
                <w:spacing w:val="-16"/>
                <w:u w:val="single"/>
              </w:rPr>
            </w:pPr>
            <w:r w:rsidRPr="00BE7E1E">
              <w:rPr>
                <w:rFonts w:hint="eastAsia"/>
                <w:spacing w:val="-16"/>
                <w:u w:val="single"/>
              </w:rPr>
              <w:t>288</w:t>
            </w:r>
          </w:p>
        </w:tc>
        <w:tc>
          <w:tcPr>
            <w:tcW w:w="354" w:type="pct"/>
            <w:vMerge/>
            <w:tcBorders>
              <w:bottom w:val="single" w:sz="4" w:space="0" w:color="auto"/>
            </w:tcBorders>
            <w:vAlign w:val="center"/>
          </w:tcPr>
          <w:p w:rsidR="00EE56C0" w:rsidRPr="00BE7E1E" w:rsidRDefault="00EE56C0">
            <w:pPr>
              <w:pStyle w:val="afa"/>
              <w:rPr>
                <w:spacing w:val="-16"/>
                <w:u w:val="single"/>
              </w:rPr>
            </w:pPr>
          </w:p>
        </w:tc>
        <w:tc>
          <w:tcPr>
            <w:tcW w:w="325" w:type="pct"/>
            <w:vMerge/>
            <w:tcBorders>
              <w:bottom w:val="single" w:sz="4" w:space="0" w:color="auto"/>
            </w:tcBorders>
            <w:vAlign w:val="center"/>
          </w:tcPr>
          <w:p w:rsidR="00EE56C0" w:rsidRPr="00BE7E1E" w:rsidRDefault="00EE56C0">
            <w:pPr>
              <w:pStyle w:val="afa"/>
              <w:rPr>
                <w:spacing w:val="-16"/>
                <w:u w:val="single"/>
              </w:rPr>
            </w:pPr>
          </w:p>
        </w:tc>
        <w:tc>
          <w:tcPr>
            <w:tcW w:w="904" w:type="pct"/>
            <w:gridSpan w:val="2"/>
            <w:tcBorders>
              <w:bottom w:val="single" w:sz="4" w:space="0" w:color="auto"/>
            </w:tcBorders>
            <w:vAlign w:val="center"/>
          </w:tcPr>
          <w:p w:rsidR="00EE56C0" w:rsidRPr="00BE7E1E" w:rsidRDefault="000F36A1">
            <w:pPr>
              <w:pStyle w:val="afa"/>
              <w:rPr>
                <w:spacing w:val="-16"/>
                <w:u w:val="single"/>
              </w:rPr>
            </w:pPr>
            <w:r w:rsidRPr="00BE7E1E">
              <w:rPr>
                <w:rFonts w:hint="eastAsia"/>
                <w:spacing w:val="-16"/>
                <w:u w:val="single"/>
              </w:rPr>
              <w:t>3</w:t>
            </w:r>
            <w:r w:rsidRPr="00BE7E1E">
              <w:rPr>
                <w:rFonts w:hint="eastAsia"/>
                <w:spacing w:val="-16"/>
                <w:u w:val="single"/>
              </w:rPr>
              <w:t>台漆包：</w:t>
            </w:r>
            <w:r w:rsidRPr="00BE7E1E">
              <w:rPr>
                <w:rFonts w:hint="eastAsia"/>
                <w:spacing w:val="-16"/>
                <w:u w:val="single"/>
              </w:rPr>
              <w:t>450*3=1350</w:t>
            </w:r>
          </w:p>
        </w:tc>
        <w:tc>
          <w:tcPr>
            <w:tcW w:w="498" w:type="pct"/>
            <w:tcBorders>
              <w:bottom w:val="single" w:sz="4" w:space="0" w:color="auto"/>
            </w:tcBorders>
            <w:vAlign w:val="center"/>
          </w:tcPr>
          <w:p w:rsidR="00EE56C0" w:rsidRPr="00BE7E1E" w:rsidRDefault="000F36A1">
            <w:pPr>
              <w:pStyle w:val="afa"/>
              <w:rPr>
                <w:spacing w:val="-16"/>
                <w:u w:val="single"/>
              </w:rPr>
            </w:pPr>
            <w:r w:rsidRPr="00BE7E1E">
              <w:rPr>
                <w:rFonts w:hint="eastAsia"/>
                <w:spacing w:val="-16"/>
                <w:u w:val="single"/>
              </w:rPr>
              <w:t>1350</w:t>
            </w:r>
          </w:p>
        </w:tc>
      </w:tr>
      <w:tr w:rsidR="00EE56C0" w:rsidRPr="00BE7E1E">
        <w:trPr>
          <w:trHeight w:val="679"/>
        </w:trPr>
        <w:tc>
          <w:tcPr>
            <w:tcW w:w="317" w:type="pct"/>
            <w:vMerge/>
            <w:tcBorders>
              <w:bottom w:val="single" w:sz="4" w:space="0" w:color="auto"/>
            </w:tcBorders>
            <w:vAlign w:val="center"/>
          </w:tcPr>
          <w:p w:rsidR="00EE56C0" w:rsidRPr="00BE7E1E" w:rsidRDefault="00EE56C0">
            <w:pPr>
              <w:pStyle w:val="afa"/>
              <w:rPr>
                <w:spacing w:val="-16"/>
                <w:u w:val="single"/>
              </w:rPr>
            </w:pPr>
          </w:p>
        </w:tc>
        <w:tc>
          <w:tcPr>
            <w:tcW w:w="261" w:type="pct"/>
            <w:vMerge/>
            <w:tcBorders>
              <w:bottom w:val="single" w:sz="4" w:space="0" w:color="auto"/>
            </w:tcBorders>
            <w:vAlign w:val="center"/>
          </w:tcPr>
          <w:p w:rsidR="00EE56C0" w:rsidRPr="00BE7E1E" w:rsidRDefault="00EE56C0">
            <w:pPr>
              <w:pStyle w:val="afa"/>
              <w:rPr>
                <w:spacing w:val="-16"/>
                <w:u w:val="single"/>
              </w:rPr>
            </w:pPr>
          </w:p>
        </w:tc>
        <w:tc>
          <w:tcPr>
            <w:tcW w:w="548" w:type="pct"/>
            <w:tcBorders>
              <w:bottom w:val="single" w:sz="4" w:space="0" w:color="auto"/>
            </w:tcBorders>
            <w:vAlign w:val="center"/>
          </w:tcPr>
          <w:p w:rsidR="00EE56C0" w:rsidRPr="00BE7E1E" w:rsidRDefault="000F36A1">
            <w:pPr>
              <w:pStyle w:val="afa"/>
              <w:rPr>
                <w:spacing w:val="-16"/>
                <w:u w:val="single"/>
              </w:rPr>
            </w:pPr>
            <w:r w:rsidRPr="00BE7E1E">
              <w:rPr>
                <w:rFonts w:hint="eastAsia"/>
                <w:spacing w:val="-16"/>
                <w:u w:val="single"/>
              </w:rPr>
              <w:t>二次封闭通道</w:t>
            </w:r>
          </w:p>
        </w:tc>
        <w:tc>
          <w:tcPr>
            <w:tcW w:w="405" w:type="pct"/>
            <w:tcBorders>
              <w:bottom w:val="single" w:sz="4" w:space="0" w:color="auto"/>
            </w:tcBorders>
            <w:vAlign w:val="center"/>
          </w:tcPr>
          <w:p w:rsidR="00EE56C0" w:rsidRPr="00BE7E1E" w:rsidRDefault="000F36A1">
            <w:pPr>
              <w:pStyle w:val="afa"/>
              <w:rPr>
                <w:spacing w:val="-16"/>
                <w:u w:val="single"/>
              </w:rPr>
            </w:pPr>
            <w:r w:rsidRPr="00BE7E1E">
              <w:rPr>
                <w:rFonts w:hint="eastAsia"/>
                <w:spacing w:val="-16"/>
                <w:u w:val="single"/>
              </w:rPr>
              <w:t>/</w:t>
            </w:r>
          </w:p>
        </w:tc>
        <w:tc>
          <w:tcPr>
            <w:tcW w:w="488" w:type="pct"/>
            <w:tcBorders>
              <w:bottom w:val="single" w:sz="4" w:space="0" w:color="auto"/>
            </w:tcBorders>
            <w:vAlign w:val="center"/>
          </w:tcPr>
          <w:p w:rsidR="00EE56C0" w:rsidRPr="00BE7E1E" w:rsidRDefault="000F36A1">
            <w:pPr>
              <w:pStyle w:val="afa"/>
              <w:rPr>
                <w:spacing w:val="-16"/>
                <w:u w:val="single"/>
              </w:rPr>
            </w:pPr>
            <w:r w:rsidRPr="00BE7E1E">
              <w:rPr>
                <w:rFonts w:hint="eastAsia"/>
                <w:spacing w:val="-16"/>
                <w:u w:val="single"/>
              </w:rPr>
              <w:t>/</w:t>
            </w:r>
          </w:p>
        </w:tc>
        <w:tc>
          <w:tcPr>
            <w:tcW w:w="547" w:type="pct"/>
            <w:tcBorders>
              <w:bottom w:val="single" w:sz="4" w:space="0" w:color="auto"/>
            </w:tcBorders>
            <w:vAlign w:val="center"/>
          </w:tcPr>
          <w:p w:rsidR="00EE56C0" w:rsidRPr="00BE7E1E" w:rsidRDefault="000F36A1">
            <w:pPr>
              <w:pStyle w:val="afa"/>
              <w:rPr>
                <w:spacing w:val="-16"/>
                <w:u w:val="single"/>
              </w:rPr>
            </w:pPr>
            <w:r w:rsidRPr="00BE7E1E">
              <w:rPr>
                <w:rFonts w:hint="eastAsia"/>
                <w:spacing w:val="-16"/>
                <w:u w:val="single"/>
              </w:rPr>
              <w:t>/</w:t>
            </w:r>
          </w:p>
        </w:tc>
        <w:tc>
          <w:tcPr>
            <w:tcW w:w="353" w:type="pct"/>
            <w:tcBorders>
              <w:bottom w:val="single" w:sz="4" w:space="0" w:color="auto"/>
            </w:tcBorders>
            <w:vAlign w:val="center"/>
          </w:tcPr>
          <w:p w:rsidR="00EE56C0" w:rsidRPr="00BE7E1E" w:rsidRDefault="000F36A1">
            <w:pPr>
              <w:pStyle w:val="afa"/>
              <w:rPr>
                <w:spacing w:val="-16"/>
                <w:u w:val="single"/>
              </w:rPr>
            </w:pPr>
            <w:r w:rsidRPr="00BE7E1E">
              <w:rPr>
                <w:rFonts w:hint="eastAsia"/>
                <w:spacing w:val="-16"/>
                <w:u w:val="single"/>
              </w:rPr>
              <w:t>/</w:t>
            </w:r>
          </w:p>
        </w:tc>
        <w:tc>
          <w:tcPr>
            <w:tcW w:w="354" w:type="pct"/>
            <w:tcBorders>
              <w:bottom w:val="single" w:sz="4" w:space="0" w:color="auto"/>
            </w:tcBorders>
            <w:vAlign w:val="center"/>
          </w:tcPr>
          <w:p w:rsidR="00EE56C0" w:rsidRPr="00BE7E1E" w:rsidRDefault="000F36A1">
            <w:pPr>
              <w:pStyle w:val="afa"/>
              <w:rPr>
                <w:spacing w:val="-16"/>
                <w:u w:val="single"/>
              </w:rPr>
            </w:pPr>
            <w:r w:rsidRPr="00BE7E1E">
              <w:rPr>
                <w:rFonts w:hint="eastAsia"/>
                <w:spacing w:val="-16"/>
                <w:u w:val="single"/>
              </w:rPr>
              <w:t>/</w:t>
            </w:r>
          </w:p>
        </w:tc>
        <w:tc>
          <w:tcPr>
            <w:tcW w:w="325" w:type="pct"/>
            <w:tcBorders>
              <w:bottom w:val="single" w:sz="4" w:space="0" w:color="auto"/>
            </w:tcBorders>
            <w:vAlign w:val="center"/>
          </w:tcPr>
          <w:p w:rsidR="00EE56C0" w:rsidRPr="00BE7E1E" w:rsidRDefault="000F36A1">
            <w:pPr>
              <w:pStyle w:val="afa"/>
              <w:rPr>
                <w:spacing w:val="-16"/>
                <w:u w:val="single"/>
              </w:rPr>
            </w:pPr>
            <w:r w:rsidRPr="00BE7E1E">
              <w:rPr>
                <w:rFonts w:hint="eastAsia"/>
                <w:spacing w:val="-16"/>
                <w:u w:val="single"/>
              </w:rPr>
              <w:t>/</w:t>
            </w:r>
          </w:p>
        </w:tc>
        <w:tc>
          <w:tcPr>
            <w:tcW w:w="1402" w:type="pct"/>
            <w:gridSpan w:val="3"/>
            <w:tcBorders>
              <w:bottom w:val="single" w:sz="4" w:space="0" w:color="auto"/>
            </w:tcBorders>
            <w:vAlign w:val="center"/>
          </w:tcPr>
          <w:p w:rsidR="00EE56C0" w:rsidRPr="00BE7E1E" w:rsidRDefault="000F36A1">
            <w:pPr>
              <w:pStyle w:val="afa"/>
              <w:rPr>
                <w:spacing w:val="-16"/>
                <w:u w:val="single"/>
              </w:rPr>
            </w:pPr>
            <w:r w:rsidRPr="00BE7E1E">
              <w:rPr>
                <w:rFonts w:hint="eastAsia"/>
                <w:spacing w:val="-16"/>
                <w:u w:val="single"/>
              </w:rPr>
              <w:t>10000</w:t>
            </w:r>
          </w:p>
        </w:tc>
      </w:tr>
      <w:tr w:rsidR="00EE56C0" w:rsidRPr="00BE7E1E">
        <w:trPr>
          <w:trHeight w:val="454"/>
        </w:trPr>
        <w:tc>
          <w:tcPr>
            <w:tcW w:w="317" w:type="pct"/>
            <w:vMerge w:val="restart"/>
            <w:vAlign w:val="center"/>
          </w:tcPr>
          <w:p w:rsidR="00EE56C0" w:rsidRPr="00BE7E1E" w:rsidRDefault="000F36A1">
            <w:pPr>
              <w:pStyle w:val="afa"/>
              <w:rPr>
                <w:spacing w:val="-16"/>
                <w:u w:val="single"/>
              </w:rPr>
            </w:pPr>
            <w:r w:rsidRPr="00BE7E1E">
              <w:rPr>
                <w:rFonts w:hint="eastAsia"/>
                <w:spacing w:val="-16"/>
                <w:u w:val="single"/>
              </w:rPr>
              <w:t>丝包线</w:t>
            </w:r>
          </w:p>
        </w:tc>
        <w:tc>
          <w:tcPr>
            <w:tcW w:w="261" w:type="pct"/>
            <w:vMerge w:val="restart"/>
            <w:vAlign w:val="center"/>
          </w:tcPr>
          <w:p w:rsidR="00EE56C0" w:rsidRPr="00BE7E1E" w:rsidRDefault="000F36A1">
            <w:pPr>
              <w:pStyle w:val="afa"/>
              <w:rPr>
                <w:spacing w:val="-16"/>
                <w:u w:val="single"/>
              </w:rPr>
            </w:pPr>
            <w:r w:rsidRPr="00BE7E1E">
              <w:rPr>
                <w:rFonts w:hint="eastAsia"/>
                <w:spacing w:val="-16"/>
                <w:u w:val="single"/>
              </w:rPr>
              <w:t>丝包机</w:t>
            </w:r>
          </w:p>
        </w:tc>
        <w:tc>
          <w:tcPr>
            <w:tcW w:w="548" w:type="pct"/>
            <w:vAlign w:val="center"/>
          </w:tcPr>
          <w:p w:rsidR="00EE56C0" w:rsidRPr="00BE7E1E" w:rsidRDefault="000F36A1">
            <w:pPr>
              <w:pStyle w:val="afa"/>
              <w:rPr>
                <w:spacing w:val="-16"/>
                <w:u w:val="single"/>
              </w:rPr>
            </w:pPr>
            <w:r w:rsidRPr="00BE7E1E">
              <w:rPr>
                <w:rFonts w:hint="eastAsia"/>
                <w:spacing w:val="-16"/>
                <w:u w:val="single"/>
              </w:rPr>
              <w:t>涂漆区</w:t>
            </w:r>
          </w:p>
        </w:tc>
        <w:tc>
          <w:tcPr>
            <w:tcW w:w="405" w:type="pct"/>
            <w:vAlign w:val="center"/>
          </w:tcPr>
          <w:p w:rsidR="00EE56C0" w:rsidRPr="00BE7E1E" w:rsidRDefault="000F36A1">
            <w:pPr>
              <w:pStyle w:val="afa"/>
              <w:rPr>
                <w:spacing w:val="-16"/>
                <w:u w:val="single"/>
              </w:rPr>
            </w:pPr>
            <w:r w:rsidRPr="00BE7E1E">
              <w:rPr>
                <w:rFonts w:hint="eastAsia"/>
                <w:spacing w:val="-16"/>
                <w:u w:val="single"/>
              </w:rPr>
              <w:t>6</w:t>
            </w:r>
          </w:p>
        </w:tc>
        <w:tc>
          <w:tcPr>
            <w:tcW w:w="488" w:type="pct"/>
            <w:vMerge w:val="restart"/>
            <w:vAlign w:val="center"/>
          </w:tcPr>
          <w:p w:rsidR="00EE56C0" w:rsidRPr="00BE7E1E" w:rsidRDefault="000F36A1">
            <w:pPr>
              <w:pStyle w:val="afa"/>
              <w:rPr>
                <w:spacing w:val="-16"/>
                <w:u w:val="single"/>
              </w:rPr>
            </w:pPr>
            <w:r w:rsidRPr="00BE7E1E">
              <w:rPr>
                <w:rFonts w:hint="eastAsia"/>
                <w:spacing w:val="-16"/>
                <w:u w:val="single"/>
              </w:rPr>
              <w:t>0.4</w:t>
            </w:r>
          </w:p>
        </w:tc>
        <w:tc>
          <w:tcPr>
            <w:tcW w:w="547" w:type="pct"/>
            <w:vAlign w:val="center"/>
          </w:tcPr>
          <w:p w:rsidR="00EE56C0" w:rsidRPr="00BE7E1E" w:rsidRDefault="000F36A1">
            <w:pPr>
              <w:pStyle w:val="afa"/>
              <w:rPr>
                <w:spacing w:val="-16"/>
                <w:u w:val="single"/>
              </w:rPr>
            </w:pPr>
            <w:r w:rsidRPr="00BE7E1E">
              <w:rPr>
                <w:rFonts w:hint="eastAsia"/>
                <w:spacing w:val="-16"/>
                <w:u w:val="single"/>
              </w:rPr>
              <w:t>0.025</w:t>
            </w:r>
          </w:p>
        </w:tc>
        <w:tc>
          <w:tcPr>
            <w:tcW w:w="353" w:type="pct"/>
            <w:vAlign w:val="center"/>
          </w:tcPr>
          <w:p w:rsidR="00EE56C0" w:rsidRPr="00BE7E1E" w:rsidRDefault="000F36A1">
            <w:pPr>
              <w:pStyle w:val="afa"/>
              <w:rPr>
                <w:spacing w:val="-16"/>
                <w:u w:val="single"/>
              </w:rPr>
            </w:pPr>
            <w:r w:rsidRPr="00BE7E1E">
              <w:rPr>
                <w:rFonts w:hint="eastAsia"/>
                <w:spacing w:val="-16"/>
                <w:u w:val="single"/>
              </w:rPr>
              <w:t>216</w:t>
            </w:r>
          </w:p>
        </w:tc>
        <w:tc>
          <w:tcPr>
            <w:tcW w:w="354" w:type="pct"/>
            <w:vMerge w:val="restart"/>
            <w:vAlign w:val="center"/>
          </w:tcPr>
          <w:p w:rsidR="00EE56C0" w:rsidRPr="00BE7E1E" w:rsidRDefault="000F36A1">
            <w:pPr>
              <w:pStyle w:val="afa"/>
              <w:rPr>
                <w:spacing w:val="-16"/>
                <w:u w:val="single"/>
              </w:rPr>
            </w:pPr>
            <w:r w:rsidRPr="00BE7E1E">
              <w:rPr>
                <w:rFonts w:hint="eastAsia"/>
                <w:spacing w:val="-16"/>
                <w:u w:val="single"/>
              </w:rPr>
              <w:t>446.4</w:t>
            </w:r>
          </w:p>
        </w:tc>
        <w:tc>
          <w:tcPr>
            <w:tcW w:w="325" w:type="pct"/>
            <w:vMerge w:val="restart"/>
            <w:vAlign w:val="center"/>
          </w:tcPr>
          <w:p w:rsidR="00EE56C0" w:rsidRPr="00BE7E1E" w:rsidRDefault="000F36A1">
            <w:pPr>
              <w:pStyle w:val="afa"/>
              <w:rPr>
                <w:spacing w:val="-16"/>
                <w:u w:val="single"/>
              </w:rPr>
            </w:pPr>
            <w:r w:rsidRPr="00BE7E1E">
              <w:rPr>
                <w:rFonts w:hint="eastAsia"/>
                <w:spacing w:val="-16"/>
                <w:u w:val="single"/>
              </w:rPr>
              <w:t>15</w:t>
            </w:r>
          </w:p>
        </w:tc>
        <w:tc>
          <w:tcPr>
            <w:tcW w:w="406" w:type="pct"/>
            <w:vMerge w:val="restart"/>
            <w:vAlign w:val="center"/>
          </w:tcPr>
          <w:p w:rsidR="00EE56C0" w:rsidRPr="00BE7E1E" w:rsidRDefault="000F36A1">
            <w:pPr>
              <w:pStyle w:val="afa"/>
              <w:rPr>
                <w:spacing w:val="-16"/>
                <w:u w:val="single"/>
              </w:rPr>
            </w:pPr>
            <w:r w:rsidRPr="00BE7E1E">
              <w:rPr>
                <w:rFonts w:hint="eastAsia"/>
                <w:spacing w:val="-16"/>
                <w:u w:val="single"/>
              </w:rPr>
              <w:t>6696</w:t>
            </w:r>
          </w:p>
        </w:tc>
        <w:tc>
          <w:tcPr>
            <w:tcW w:w="498" w:type="pct"/>
            <w:vMerge w:val="restart"/>
            <w:vAlign w:val="center"/>
          </w:tcPr>
          <w:p w:rsidR="00EE56C0" w:rsidRPr="00BE7E1E" w:rsidRDefault="000F36A1">
            <w:pPr>
              <w:pStyle w:val="afa"/>
              <w:rPr>
                <w:spacing w:val="-16"/>
                <w:u w:val="single"/>
              </w:rPr>
            </w:pPr>
            <w:r w:rsidRPr="00BE7E1E">
              <w:rPr>
                <w:rFonts w:hint="eastAsia"/>
                <w:spacing w:val="-16"/>
                <w:u w:val="single"/>
              </w:rPr>
              <w:t>13896</w:t>
            </w:r>
          </w:p>
        </w:tc>
        <w:tc>
          <w:tcPr>
            <w:tcW w:w="498" w:type="pct"/>
            <w:vMerge w:val="restart"/>
            <w:vAlign w:val="center"/>
          </w:tcPr>
          <w:p w:rsidR="00EE56C0" w:rsidRPr="00BE7E1E" w:rsidRDefault="000F36A1">
            <w:pPr>
              <w:pStyle w:val="afa"/>
              <w:rPr>
                <w:spacing w:val="-16"/>
                <w:u w:val="single"/>
              </w:rPr>
            </w:pPr>
            <w:r w:rsidRPr="00BE7E1E">
              <w:rPr>
                <w:rFonts w:hint="eastAsia"/>
                <w:spacing w:val="-16"/>
                <w:u w:val="single"/>
              </w:rPr>
              <w:t>14000</w:t>
            </w:r>
          </w:p>
        </w:tc>
      </w:tr>
      <w:tr w:rsidR="00EE56C0" w:rsidRPr="00BE7E1E">
        <w:trPr>
          <w:trHeight w:val="454"/>
        </w:trPr>
        <w:tc>
          <w:tcPr>
            <w:tcW w:w="317" w:type="pct"/>
            <w:vMerge/>
            <w:vAlign w:val="center"/>
          </w:tcPr>
          <w:p w:rsidR="00EE56C0" w:rsidRPr="00BE7E1E" w:rsidRDefault="00EE56C0">
            <w:pPr>
              <w:pStyle w:val="afa"/>
              <w:rPr>
                <w:spacing w:val="-16"/>
                <w:u w:val="single"/>
              </w:rPr>
            </w:pPr>
          </w:p>
        </w:tc>
        <w:tc>
          <w:tcPr>
            <w:tcW w:w="261" w:type="pct"/>
            <w:vMerge/>
            <w:vAlign w:val="center"/>
          </w:tcPr>
          <w:p w:rsidR="00EE56C0" w:rsidRPr="00BE7E1E" w:rsidRDefault="00EE56C0">
            <w:pPr>
              <w:pStyle w:val="afa"/>
              <w:rPr>
                <w:spacing w:val="-16"/>
                <w:u w:val="single"/>
              </w:rPr>
            </w:pPr>
          </w:p>
        </w:tc>
        <w:tc>
          <w:tcPr>
            <w:tcW w:w="548" w:type="pct"/>
            <w:vAlign w:val="center"/>
          </w:tcPr>
          <w:p w:rsidR="00EE56C0" w:rsidRPr="00BE7E1E" w:rsidRDefault="000F36A1">
            <w:pPr>
              <w:pStyle w:val="afa"/>
              <w:rPr>
                <w:spacing w:val="-16"/>
                <w:u w:val="single"/>
              </w:rPr>
            </w:pPr>
            <w:r w:rsidRPr="00BE7E1E">
              <w:rPr>
                <w:rFonts w:hint="eastAsia"/>
                <w:spacing w:val="-16"/>
                <w:u w:val="single"/>
              </w:rPr>
              <w:t>烘炉进口、出口</w:t>
            </w:r>
          </w:p>
        </w:tc>
        <w:tc>
          <w:tcPr>
            <w:tcW w:w="405" w:type="pct"/>
            <w:vAlign w:val="center"/>
          </w:tcPr>
          <w:p w:rsidR="00EE56C0" w:rsidRPr="00BE7E1E" w:rsidRDefault="000F36A1">
            <w:pPr>
              <w:pStyle w:val="afa"/>
              <w:rPr>
                <w:spacing w:val="-16"/>
                <w:u w:val="single"/>
              </w:rPr>
            </w:pPr>
            <w:r w:rsidRPr="00BE7E1E">
              <w:rPr>
                <w:rFonts w:hint="eastAsia"/>
                <w:spacing w:val="-16"/>
                <w:u w:val="single"/>
              </w:rPr>
              <w:t>8</w:t>
            </w:r>
          </w:p>
        </w:tc>
        <w:tc>
          <w:tcPr>
            <w:tcW w:w="488" w:type="pct"/>
            <w:vMerge/>
            <w:vAlign w:val="center"/>
          </w:tcPr>
          <w:p w:rsidR="00EE56C0" w:rsidRPr="00BE7E1E" w:rsidRDefault="00EE56C0">
            <w:pPr>
              <w:pStyle w:val="afa"/>
              <w:rPr>
                <w:spacing w:val="-16"/>
                <w:u w:val="single"/>
              </w:rPr>
            </w:pPr>
          </w:p>
        </w:tc>
        <w:tc>
          <w:tcPr>
            <w:tcW w:w="547" w:type="pct"/>
            <w:vAlign w:val="center"/>
          </w:tcPr>
          <w:p w:rsidR="00EE56C0" w:rsidRPr="00BE7E1E" w:rsidRDefault="000F36A1">
            <w:pPr>
              <w:pStyle w:val="afa"/>
              <w:rPr>
                <w:spacing w:val="-16"/>
                <w:u w:val="single"/>
              </w:rPr>
            </w:pPr>
            <w:r w:rsidRPr="00BE7E1E">
              <w:rPr>
                <w:rFonts w:hint="eastAsia"/>
                <w:spacing w:val="-16"/>
                <w:u w:val="single"/>
              </w:rPr>
              <w:t>0.02</w:t>
            </w:r>
          </w:p>
        </w:tc>
        <w:tc>
          <w:tcPr>
            <w:tcW w:w="353" w:type="pct"/>
            <w:vAlign w:val="center"/>
          </w:tcPr>
          <w:p w:rsidR="00EE56C0" w:rsidRPr="00BE7E1E" w:rsidRDefault="000F36A1">
            <w:pPr>
              <w:pStyle w:val="afa"/>
              <w:rPr>
                <w:spacing w:val="-16"/>
                <w:u w:val="single"/>
              </w:rPr>
            </w:pPr>
            <w:r w:rsidRPr="00BE7E1E">
              <w:rPr>
                <w:rFonts w:hint="eastAsia"/>
                <w:spacing w:val="-16"/>
                <w:u w:val="single"/>
              </w:rPr>
              <w:t>230.4</w:t>
            </w:r>
          </w:p>
        </w:tc>
        <w:tc>
          <w:tcPr>
            <w:tcW w:w="354" w:type="pct"/>
            <w:vMerge/>
            <w:vAlign w:val="center"/>
          </w:tcPr>
          <w:p w:rsidR="00EE56C0" w:rsidRPr="00BE7E1E" w:rsidRDefault="00EE56C0">
            <w:pPr>
              <w:pStyle w:val="afa"/>
              <w:rPr>
                <w:spacing w:val="-16"/>
                <w:u w:val="single"/>
              </w:rPr>
            </w:pPr>
          </w:p>
        </w:tc>
        <w:tc>
          <w:tcPr>
            <w:tcW w:w="325" w:type="pct"/>
            <w:vMerge/>
            <w:vAlign w:val="center"/>
          </w:tcPr>
          <w:p w:rsidR="00EE56C0" w:rsidRPr="00BE7E1E" w:rsidRDefault="00EE56C0">
            <w:pPr>
              <w:pStyle w:val="afa"/>
              <w:rPr>
                <w:spacing w:val="-16"/>
                <w:u w:val="single"/>
              </w:rPr>
            </w:pPr>
          </w:p>
        </w:tc>
        <w:tc>
          <w:tcPr>
            <w:tcW w:w="406" w:type="pct"/>
            <w:vMerge/>
            <w:vAlign w:val="center"/>
          </w:tcPr>
          <w:p w:rsidR="00EE56C0" w:rsidRPr="00BE7E1E" w:rsidRDefault="00EE56C0">
            <w:pPr>
              <w:pStyle w:val="afa"/>
              <w:rPr>
                <w:spacing w:val="-16"/>
                <w:u w:val="single"/>
              </w:rPr>
            </w:pPr>
          </w:p>
        </w:tc>
        <w:tc>
          <w:tcPr>
            <w:tcW w:w="498" w:type="pct"/>
            <w:vMerge/>
            <w:vAlign w:val="center"/>
          </w:tcPr>
          <w:p w:rsidR="00EE56C0" w:rsidRPr="00BE7E1E" w:rsidRDefault="00EE56C0">
            <w:pPr>
              <w:pStyle w:val="afa"/>
              <w:rPr>
                <w:spacing w:val="-16"/>
                <w:u w:val="single"/>
              </w:rPr>
            </w:pPr>
          </w:p>
        </w:tc>
        <w:tc>
          <w:tcPr>
            <w:tcW w:w="498" w:type="pct"/>
            <w:vMerge/>
            <w:vAlign w:val="center"/>
          </w:tcPr>
          <w:p w:rsidR="00EE56C0" w:rsidRPr="00BE7E1E" w:rsidRDefault="00EE56C0">
            <w:pPr>
              <w:pStyle w:val="afa"/>
              <w:rPr>
                <w:spacing w:val="-16"/>
                <w:u w:val="single"/>
              </w:rPr>
            </w:pPr>
          </w:p>
        </w:tc>
      </w:tr>
      <w:tr w:rsidR="00EE56C0" w:rsidRPr="00BE7E1E">
        <w:trPr>
          <w:trHeight w:val="454"/>
        </w:trPr>
        <w:tc>
          <w:tcPr>
            <w:tcW w:w="317" w:type="pct"/>
            <w:vMerge/>
            <w:vAlign w:val="center"/>
          </w:tcPr>
          <w:p w:rsidR="00EE56C0" w:rsidRPr="00BE7E1E" w:rsidRDefault="00EE56C0">
            <w:pPr>
              <w:pStyle w:val="afa"/>
              <w:rPr>
                <w:spacing w:val="-16"/>
                <w:u w:val="single"/>
              </w:rPr>
            </w:pPr>
          </w:p>
        </w:tc>
        <w:tc>
          <w:tcPr>
            <w:tcW w:w="261" w:type="pct"/>
            <w:vMerge/>
            <w:vAlign w:val="center"/>
          </w:tcPr>
          <w:p w:rsidR="00EE56C0" w:rsidRPr="00BE7E1E" w:rsidRDefault="00EE56C0">
            <w:pPr>
              <w:pStyle w:val="afa"/>
              <w:rPr>
                <w:spacing w:val="-16"/>
                <w:u w:val="single"/>
              </w:rPr>
            </w:pPr>
          </w:p>
        </w:tc>
        <w:tc>
          <w:tcPr>
            <w:tcW w:w="548" w:type="pct"/>
            <w:vAlign w:val="center"/>
          </w:tcPr>
          <w:p w:rsidR="00EE56C0" w:rsidRPr="00BE7E1E" w:rsidRDefault="000F36A1">
            <w:pPr>
              <w:pStyle w:val="afa"/>
              <w:rPr>
                <w:spacing w:val="-16"/>
                <w:u w:val="single"/>
              </w:rPr>
            </w:pPr>
            <w:r w:rsidRPr="00BE7E1E">
              <w:rPr>
                <w:rFonts w:hint="eastAsia"/>
                <w:spacing w:val="-16"/>
                <w:u w:val="single"/>
              </w:rPr>
              <w:t>操作间</w:t>
            </w:r>
          </w:p>
        </w:tc>
        <w:tc>
          <w:tcPr>
            <w:tcW w:w="405" w:type="pct"/>
            <w:vAlign w:val="center"/>
          </w:tcPr>
          <w:p w:rsidR="00EE56C0" w:rsidRPr="00BE7E1E" w:rsidRDefault="000F36A1">
            <w:pPr>
              <w:pStyle w:val="afa"/>
              <w:rPr>
                <w:spacing w:val="-16"/>
                <w:u w:val="single"/>
              </w:rPr>
            </w:pPr>
            <w:r w:rsidRPr="00BE7E1E">
              <w:rPr>
                <w:rFonts w:hint="eastAsia"/>
                <w:spacing w:val="-16"/>
                <w:u w:val="single"/>
              </w:rPr>
              <w:t>1</w:t>
            </w:r>
          </w:p>
        </w:tc>
        <w:tc>
          <w:tcPr>
            <w:tcW w:w="488" w:type="pct"/>
            <w:vAlign w:val="center"/>
          </w:tcPr>
          <w:p w:rsidR="00EE56C0" w:rsidRPr="00BE7E1E" w:rsidRDefault="000F36A1">
            <w:pPr>
              <w:pStyle w:val="afa"/>
              <w:rPr>
                <w:spacing w:val="-16"/>
                <w:u w:val="single"/>
              </w:rPr>
            </w:pPr>
            <w:r w:rsidRPr="00BE7E1E">
              <w:rPr>
                <w:rFonts w:hint="eastAsia"/>
                <w:spacing w:val="-16"/>
                <w:u w:val="single"/>
              </w:rPr>
              <w:t>20</w:t>
            </w:r>
          </w:p>
        </w:tc>
        <w:tc>
          <w:tcPr>
            <w:tcW w:w="547" w:type="pct"/>
            <w:vAlign w:val="center"/>
          </w:tcPr>
          <w:p w:rsidR="00EE56C0" w:rsidRPr="00BE7E1E" w:rsidRDefault="000F36A1">
            <w:pPr>
              <w:pStyle w:val="afa"/>
              <w:rPr>
                <w:spacing w:val="-16"/>
                <w:u w:val="single"/>
              </w:rPr>
            </w:pPr>
            <w:r w:rsidRPr="00BE7E1E">
              <w:rPr>
                <w:rFonts w:hint="eastAsia"/>
                <w:spacing w:val="-16"/>
                <w:u w:val="single"/>
              </w:rPr>
              <w:t>360</w:t>
            </w:r>
          </w:p>
        </w:tc>
        <w:tc>
          <w:tcPr>
            <w:tcW w:w="707" w:type="pct"/>
            <w:gridSpan w:val="2"/>
            <w:vAlign w:val="center"/>
          </w:tcPr>
          <w:p w:rsidR="00EE56C0" w:rsidRPr="00BE7E1E" w:rsidRDefault="000F36A1">
            <w:pPr>
              <w:pStyle w:val="afa"/>
              <w:rPr>
                <w:spacing w:val="-16"/>
                <w:u w:val="single"/>
              </w:rPr>
            </w:pPr>
            <w:r w:rsidRPr="00BE7E1E">
              <w:rPr>
                <w:rFonts w:hint="eastAsia"/>
                <w:spacing w:val="-16"/>
                <w:u w:val="single"/>
              </w:rPr>
              <w:t>/</w:t>
            </w:r>
          </w:p>
        </w:tc>
        <w:tc>
          <w:tcPr>
            <w:tcW w:w="325" w:type="pct"/>
            <w:vAlign w:val="center"/>
          </w:tcPr>
          <w:p w:rsidR="00EE56C0" w:rsidRPr="00BE7E1E" w:rsidRDefault="000F36A1">
            <w:pPr>
              <w:pStyle w:val="afa"/>
              <w:rPr>
                <w:spacing w:val="-16"/>
                <w:u w:val="single"/>
              </w:rPr>
            </w:pPr>
            <w:r w:rsidRPr="00BE7E1E">
              <w:rPr>
                <w:rFonts w:hint="eastAsia"/>
                <w:spacing w:val="-16"/>
                <w:u w:val="single"/>
              </w:rPr>
              <w:t>/</w:t>
            </w:r>
          </w:p>
        </w:tc>
        <w:tc>
          <w:tcPr>
            <w:tcW w:w="406" w:type="pct"/>
            <w:vAlign w:val="center"/>
          </w:tcPr>
          <w:p w:rsidR="00EE56C0" w:rsidRPr="00BE7E1E" w:rsidRDefault="000F36A1">
            <w:pPr>
              <w:pStyle w:val="afa"/>
              <w:rPr>
                <w:spacing w:val="-16"/>
                <w:u w:val="single"/>
              </w:rPr>
            </w:pPr>
            <w:r w:rsidRPr="00BE7E1E">
              <w:rPr>
                <w:rFonts w:hint="eastAsia"/>
                <w:spacing w:val="-16"/>
                <w:u w:val="single"/>
              </w:rPr>
              <w:t>7200</w:t>
            </w:r>
          </w:p>
        </w:tc>
        <w:tc>
          <w:tcPr>
            <w:tcW w:w="498" w:type="pct"/>
            <w:vMerge/>
            <w:vAlign w:val="center"/>
          </w:tcPr>
          <w:p w:rsidR="00EE56C0" w:rsidRPr="00BE7E1E" w:rsidRDefault="00EE56C0">
            <w:pPr>
              <w:pStyle w:val="afa"/>
              <w:rPr>
                <w:spacing w:val="-16"/>
                <w:u w:val="single"/>
              </w:rPr>
            </w:pPr>
          </w:p>
        </w:tc>
        <w:tc>
          <w:tcPr>
            <w:tcW w:w="498" w:type="pct"/>
            <w:vMerge/>
            <w:vAlign w:val="center"/>
          </w:tcPr>
          <w:p w:rsidR="00EE56C0" w:rsidRPr="00BE7E1E" w:rsidRDefault="00EE56C0">
            <w:pPr>
              <w:pStyle w:val="afa"/>
              <w:rPr>
                <w:spacing w:val="-16"/>
                <w:u w:val="single"/>
              </w:rPr>
            </w:pPr>
          </w:p>
        </w:tc>
      </w:tr>
      <w:tr w:rsidR="00EE56C0" w:rsidRPr="00BE7E1E">
        <w:trPr>
          <w:trHeight w:val="454"/>
        </w:trPr>
        <w:tc>
          <w:tcPr>
            <w:tcW w:w="4502" w:type="pct"/>
            <w:gridSpan w:val="11"/>
            <w:vAlign w:val="center"/>
          </w:tcPr>
          <w:p w:rsidR="00EE56C0" w:rsidRPr="00BE7E1E" w:rsidRDefault="000F36A1">
            <w:pPr>
              <w:pStyle w:val="afa"/>
              <w:rPr>
                <w:spacing w:val="-16"/>
                <w:u w:val="single"/>
              </w:rPr>
            </w:pPr>
            <w:r w:rsidRPr="00BE7E1E">
              <w:rPr>
                <w:rFonts w:hint="eastAsia"/>
                <w:spacing w:val="-16"/>
                <w:u w:val="single"/>
              </w:rPr>
              <w:t>合计</w:t>
            </w:r>
          </w:p>
        </w:tc>
        <w:tc>
          <w:tcPr>
            <w:tcW w:w="498" w:type="pct"/>
            <w:vAlign w:val="center"/>
          </w:tcPr>
          <w:p w:rsidR="00EE56C0" w:rsidRPr="00BE7E1E" w:rsidRDefault="000F36A1">
            <w:pPr>
              <w:pStyle w:val="afa"/>
              <w:rPr>
                <w:spacing w:val="-16"/>
                <w:u w:val="single"/>
              </w:rPr>
            </w:pPr>
            <w:r w:rsidRPr="00BE7E1E">
              <w:rPr>
                <w:rFonts w:hint="eastAsia"/>
                <w:spacing w:val="-16"/>
                <w:u w:val="single"/>
              </w:rPr>
              <w:t>31250</w:t>
            </w:r>
          </w:p>
        </w:tc>
      </w:tr>
    </w:tbl>
    <w:p w:rsidR="00EE56C0" w:rsidRDefault="000F36A1">
      <w:pPr>
        <w:spacing w:line="360" w:lineRule="auto"/>
        <w:ind w:firstLine="440"/>
        <w:rPr>
          <w:rFonts w:eastAsia="黑体" w:hAnsi="黑体"/>
          <w:sz w:val="22"/>
        </w:rPr>
      </w:pPr>
      <w:r>
        <w:rPr>
          <w:rFonts w:eastAsia="黑体" w:hAnsi="黑体"/>
          <w:sz w:val="22"/>
        </w:rPr>
        <w:t>注：</w:t>
      </w:r>
      <w:r>
        <w:rPr>
          <w:rFonts w:eastAsia="黑体" w:hint="eastAsia"/>
          <w:sz w:val="22"/>
        </w:rPr>
        <w:t>①</w:t>
      </w:r>
      <w:r>
        <w:rPr>
          <w:rFonts w:eastAsia="黑体" w:hAnsi="黑体"/>
          <w:sz w:val="22"/>
        </w:rPr>
        <w:t>：根据《挥发性有机物无组织排放控制标准》（</w:t>
      </w:r>
      <w:r>
        <w:rPr>
          <w:rFonts w:eastAsia="黑体"/>
          <w:sz w:val="22"/>
        </w:rPr>
        <w:t>GB37822-2019</w:t>
      </w:r>
      <w:r>
        <w:rPr>
          <w:rFonts w:eastAsia="黑体" w:hAnsi="黑体"/>
          <w:sz w:val="22"/>
        </w:rPr>
        <w:t>）规定，在距排风罩开口面最远处的</w:t>
      </w:r>
      <w:r>
        <w:rPr>
          <w:rFonts w:eastAsia="黑体"/>
          <w:sz w:val="22"/>
        </w:rPr>
        <w:t>VOCs</w:t>
      </w:r>
      <w:r>
        <w:rPr>
          <w:rFonts w:eastAsia="黑体" w:hAnsi="黑体"/>
          <w:sz w:val="22"/>
        </w:rPr>
        <w:t>无组织排放位置，控制风速不应低于</w:t>
      </w:r>
      <w:r>
        <w:rPr>
          <w:rFonts w:eastAsia="黑体"/>
          <w:sz w:val="22"/>
        </w:rPr>
        <w:t>0.3m/s</w:t>
      </w:r>
      <w:r>
        <w:rPr>
          <w:rFonts w:eastAsia="黑体" w:hAnsi="黑体"/>
          <w:sz w:val="22"/>
        </w:rPr>
        <w:t>，本次评价按</w:t>
      </w:r>
      <w:r>
        <w:rPr>
          <w:rFonts w:eastAsia="黑体"/>
          <w:sz w:val="22"/>
        </w:rPr>
        <w:t>0.</w:t>
      </w:r>
      <w:r>
        <w:rPr>
          <w:rFonts w:eastAsia="黑体" w:hint="eastAsia"/>
          <w:sz w:val="22"/>
        </w:rPr>
        <w:t>4</w:t>
      </w:r>
      <w:r>
        <w:rPr>
          <w:rFonts w:eastAsia="黑体"/>
          <w:sz w:val="22"/>
        </w:rPr>
        <w:t>m/s</w:t>
      </w:r>
      <w:r>
        <w:rPr>
          <w:rFonts w:eastAsia="黑体" w:hAnsi="黑体"/>
          <w:sz w:val="22"/>
        </w:rPr>
        <w:t>计算。</w:t>
      </w:r>
    </w:p>
    <w:p w:rsidR="00EE56C0" w:rsidRDefault="000F36A1">
      <w:pPr>
        <w:spacing w:line="360" w:lineRule="auto"/>
        <w:ind w:firstLine="440"/>
        <w:rPr>
          <w:rFonts w:ascii="黑体" w:eastAsia="黑体" w:hAnsi="黑体"/>
          <w:sz w:val="22"/>
        </w:rPr>
      </w:pPr>
      <w:r>
        <w:rPr>
          <w:rFonts w:ascii="黑体" w:eastAsia="黑体" w:hAnsi="黑体" w:hint="eastAsia"/>
          <w:sz w:val="22"/>
        </w:rPr>
        <w:t>②：一期立炉二次封闭通道废气利用现有风机进行收集，不再新增风机。</w:t>
      </w:r>
    </w:p>
    <w:p w:rsidR="00EE56C0" w:rsidRPr="00BE7E1E" w:rsidRDefault="000F36A1">
      <w:pPr>
        <w:ind w:firstLine="480"/>
        <w:rPr>
          <w:u w:val="single"/>
        </w:rPr>
      </w:pPr>
      <w:r w:rsidRPr="00BE7E1E">
        <w:rPr>
          <w:rFonts w:ascii="宋体" w:hAnsi="宋体" w:hint="eastAsia"/>
          <w:u w:val="single"/>
        </w:rPr>
        <w:t>由</w:t>
      </w:r>
      <w:r w:rsidRPr="00BE7E1E">
        <w:rPr>
          <w:rFonts w:hint="eastAsia"/>
          <w:u w:val="single"/>
        </w:rPr>
        <w:t>表</w:t>
      </w:r>
      <w:r w:rsidRPr="00BE7E1E">
        <w:rPr>
          <w:rFonts w:hint="eastAsia"/>
          <w:u w:val="single"/>
        </w:rPr>
        <w:t>3-40</w:t>
      </w:r>
      <w:r w:rsidRPr="00BE7E1E">
        <w:rPr>
          <w:rFonts w:hint="eastAsia"/>
          <w:u w:val="single"/>
        </w:rPr>
        <w:t>、</w:t>
      </w:r>
      <w:r w:rsidRPr="00BE7E1E">
        <w:rPr>
          <w:rFonts w:hint="eastAsia"/>
          <w:u w:val="single"/>
        </w:rPr>
        <w:t>3-41</w:t>
      </w:r>
      <w:r w:rsidRPr="00BE7E1E">
        <w:rPr>
          <w:rFonts w:hint="eastAsia"/>
          <w:u w:val="single"/>
        </w:rPr>
        <w:t>可知，一期新增风量为</w:t>
      </w:r>
      <w:r w:rsidRPr="00BE7E1E">
        <w:rPr>
          <w:rFonts w:hint="eastAsia"/>
          <w:u w:val="single"/>
        </w:rPr>
        <w:t>20850m</w:t>
      </w:r>
      <w:r w:rsidRPr="00BE7E1E">
        <w:rPr>
          <w:rFonts w:hint="eastAsia"/>
          <w:u w:val="single"/>
          <w:vertAlign w:val="superscript"/>
        </w:rPr>
        <w:t>3</w:t>
      </w:r>
      <w:r w:rsidRPr="00BE7E1E">
        <w:rPr>
          <w:rFonts w:hint="eastAsia"/>
          <w:u w:val="single"/>
        </w:rPr>
        <w:t>/h</w:t>
      </w:r>
      <w:r w:rsidRPr="00BE7E1E">
        <w:rPr>
          <w:rFonts w:hint="eastAsia"/>
          <w:u w:val="single"/>
        </w:rPr>
        <w:t>（进入活性炭装置风量为</w:t>
      </w:r>
      <w:r w:rsidRPr="00BE7E1E">
        <w:rPr>
          <w:rFonts w:hint="eastAsia"/>
          <w:u w:val="single"/>
        </w:rPr>
        <w:t>18900m</w:t>
      </w:r>
      <w:r w:rsidRPr="00BE7E1E">
        <w:rPr>
          <w:rFonts w:hint="eastAsia"/>
          <w:u w:val="single"/>
          <w:vertAlign w:val="superscript"/>
        </w:rPr>
        <w:t>3</w:t>
      </w:r>
      <w:r w:rsidRPr="00BE7E1E">
        <w:rPr>
          <w:rFonts w:hint="eastAsia"/>
          <w:u w:val="single"/>
        </w:rPr>
        <w:t>/h</w:t>
      </w:r>
      <w:r w:rsidRPr="00BE7E1E">
        <w:rPr>
          <w:rFonts w:hint="eastAsia"/>
          <w:u w:val="single"/>
        </w:rPr>
        <w:t>，进入沸石装置风量为</w:t>
      </w:r>
      <w:r w:rsidRPr="00BE7E1E">
        <w:rPr>
          <w:rFonts w:hint="eastAsia"/>
          <w:u w:val="single"/>
        </w:rPr>
        <w:t>1950m</w:t>
      </w:r>
      <w:r w:rsidRPr="00BE7E1E">
        <w:rPr>
          <w:rFonts w:hint="eastAsia"/>
          <w:u w:val="single"/>
          <w:vertAlign w:val="superscript"/>
        </w:rPr>
        <w:t>3</w:t>
      </w:r>
      <w:r w:rsidRPr="00BE7E1E">
        <w:rPr>
          <w:rFonts w:hint="eastAsia"/>
          <w:u w:val="single"/>
        </w:rPr>
        <w:t>/h</w:t>
      </w:r>
      <w:r w:rsidRPr="00BE7E1E">
        <w:rPr>
          <w:rFonts w:hint="eastAsia"/>
          <w:u w:val="single"/>
        </w:rPr>
        <w:t>），二期新增风量为</w:t>
      </w:r>
      <w:r w:rsidRPr="00BE7E1E">
        <w:rPr>
          <w:rFonts w:hint="eastAsia"/>
          <w:u w:val="single"/>
        </w:rPr>
        <w:t>31250m</w:t>
      </w:r>
      <w:r w:rsidRPr="00BE7E1E">
        <w:rPr>
          <w:rFonts w:hint="eastAsia"/>
          <w:u w:val="single"/>
          <w:vertAlign w:val="superscript"/>
        </w:rPr>
        <w:t>3</w:t>
      </w:r>
      <w:r w:rsidRPr="00BE7E1E">
        <w:rPr>
          <w:rFonts w:hint="eastAsia"/>
          <w:u w:val="single"/>
        </w:rPr>
        <w:t>/h</w:t>
      </w:r>
      <w:r w:rsidRPr="00BE7E1E">
        <w:rPr>
          <w:rFonts w:hint="eastAsia"/>
          <w:u w:val="single"/>
        </w:rPr>
        <w:t>（不含立炉二次封闭废气收集风量，进入活性炭装置风量为</w:t>
      </w:r>
      <w:r w:rsidRPr="00BE7E1E">
        <w:rPr>
          <w:rFonts w:hint="eastAsia"/>
          <w:u w:val="single"/>
        </w:rPr>
        <w:t>15350m</w:t>
      </w:r>
      <w:r w:rsidRPr="00BE7E1E">
        <w:rPr>
          <w:rFonts w:hint="eastAsia"/>
          <w:u w:val="single"/>
          <w:vertAlign w:val="superscript"/>
        </w:rPr>
        <w:t>3</w:t>
      </w:r>
      <w:r w:rsidRPr="00BE7E1E">
        <w:rPr>
          <w:rFonts w:hint="eastAsia"/>
          <w:u w:val="single"/>
        </w:rPr>
        <w:t>/h</w:t>
      </w:r>
      <w:r w:rsidRPr="00BE7E1E">
        <w:rPr>
          <w:rFonts w:hint="eastAsia"/>
          <w:u w:val="single"/>
        </w:rPr>
        <w:t>，进入沸石装置风量为</w:t>
      </w:r>
      <w:r w:rsidRPr="00BE7E1E">
        <w:rPr>
          <w:rFonts w:hint="eastAsia"/>
          <w:u w:val="single"/>
        </w:rPr>
        <w:t>15900m</w:t>
      </w:r>
      <w:r w:rsidRPr="00BE7E1E">
        <w:rPr>
          <w:rFonts w:hint="eastAsia"/>
          <w:u w:val="single"/>
          <w:vertAlign w:val="superscript"/>
        </w:rPr>
        <w:t>3</w:t>
      </w:r>
      <w:r w:rsidRPr="00BE7E1E">
        <w:rPr>
          <w:rFonts w:hint="eastAsia"/>
          <w:u w:val="single"/>
        </w:rPr>
        <w:t>/h</w:t>
      </w:r>
      <w:r w:rsidRPr="00BE7E1E">
        <w:rPr>
          <w:rFonts w:hint="eastAsia"/>
          <w:u w:val="single"/>
        </w:rPr>
        <w:t>）。</w:t>
      </w:r>
    </w:p>
    <w:p w:rsidR="00EE56C0" w:rsidRDefault="000F36A1">
      <w:pPr>
        <w:ind w:firstLine="482"/>
        <w:rPr>
          <w:b/>
        </w:rPr>
      </w:pPr>
      <w:r>
        <w:rPr>
          <w:rFonts w:hint="eastAsia"/>
          <w:b/>
        </w:rPr>
        <w:t>（</w:t>
      </w:r>
      <w:r>
        <w:rPr>
          <w:rFonts w:hint="eastAsia"/>
          <w:b/>
        </w:rPr>
        <w:t>3</w:t>
      </w:r>
      <w:r>
        <w:rPr>
          <w:rFonts w:hint="eastAsia"/>
          <w:b/>
        </w:rPr>
        <w:t>）废气治理措施依托可行性</w:t>
      </w:r>
    </w:p>
    <w:p w:rsidR="00EE56C0" w:rsidRDefault="000F36A1">
      <w:pPr>
        <w:ind w:firstLine="480"/>
      </w:pPr>
      <w:r>
        <w:t>本项目</w:t>
      </w:r>
      <w:r>
        <w:rPr>
          <w:rFonts w:hint="eastAsia"/>
        </w:rPr>
        <w:t>一期、二期均依托现有废气设施对废气进行处理。从设</w:t>
      </w:r>
      <w:r w:rsidR="0036297E">
        <w:rPr>
          <w:rFonts w:hint="eastAsia"/>
        </w:rPr>
        <w:t>计</w:t>
      </w:r>
      <w:r>
        <w:rPr>
          <w:rFonts w:hint="eastAsia"/>
        </w:rPr>
        <w:t>参数、处理规模</w:t>
      </w:r>
      <w:r w:rsidR="0036297E">
        <w:rPr>
          <w:rFonts w:hint="eastAsia"/>
        </w:rPr>
        <w:t>及建设运行情况等</w:t>
      </w:r>
      <w:r>
        <w:rPr>
          <w:rFonts w:hint="eastAsia"/>
        </w:rPr>
        <w:t>分析其依托可行性。</w:t>
      </w:r>
    </w:p>
    <w:p w:rsidR="00EE56C0" w:rsidRDefault="000F36A1">
      <w:pPr>
        <w:ind w:firstLine="480"/>
      </w:pPr>
      <w:r>
        <w:rPr>
          <w:rFonts w:hint="eastAsia"/>
        </w:rPr>
        <w:t>①设计参数</w:t>
      </w:r>
    </w:p>
    <w:p w:rsidR="00EE56C0" w:rsidRDefault="000F36A1">
      <w:pPr>
        <w:pStyle w:val="aff4"/>
        <w:ind w:firstLine="482"/>
        <w:rPr>
          <w:b/>
          <w:u w:val="single"/>
        </w:rPr>
      </w:pPr>
      <w:r>
        <w:rPr>
          <w:rFonts w:hint="eastAsia"/>
          <w:b/>
          <w:u w:val="single"/>
        </w:rPr>
        <w:t>根据《吸附法工业有机废气治理工程技术规范》（</w:t>
      </w:r>
      <w:r>
        <w:rPr>
          <w:rFonts w:hint="eastAsia"/>
          <w:b/>
          <w:u w:val="single"/>
        </w:rPr>
        <w:t>HJ2026-2013</w:t>
      </w:r>
      <w:r>
        <w:rPr>
          <w:rFonts w:hint="eastAsia"/>
          <w:b/>
          <w:u w:val="single"/>
        </w:rPr>
        <w:t>）中的</w:t>
      </w:r>
      <w:r>
        <w:rPr>
          <w:rFonts w:hint="eastAsia"/>
          <w:b/>
          <w:u w:val="single"/>
        </w:rPr>
        <w:t>6.3.3.3</w:t>
      </w:r>
      <w:r>
        <w:rPr>
          <w:rFonts w:hint="eastAsia"/>
          <w:b/>
          <w:u w:val="single"/>
        </w:rPr>
        <w:t>规定，采用颗粒状吸附剂时，气体流速宜低于</w:t>
      </w:r>
      <w:r>
        <w:rPr>
          <w:rFonts w:hint="eastAsia"/>
          <w:b/>
          <w:u w:val="single"/>
        </w:rPr>
        <w:t>0.6m/s</w:t>
      </w:r>
      <w:r>
        <w:rPr>
          <w:rFonts w:hint="eastAsia"/>
          <w:b/>
          <w:u w:val="single"/>
        </w:rPr>
        <w:t>，采用蜂窝状吸附剂时，气体流速宜低于</w:t>
      </w:r>
      <w:r>
        <w:rPr>
          <w:rFonts w:hint="eastAsia"/>
          <w:b/>
          <w:u w:val="single"/>
        </w:rPr>
        <w:t>1.2m/s</w:t>
      </w:r>
      <w:r>
        <w:rPr>
          <w:rFonts w:hint="eastAsia"/>
          <w:b/>
          <w:u w:val="single"/>
        </w:rPr>
        <w:t>。</w:t>
      </w:r>
    </w:p>
    <w:p w:rsidR="00EE56C0" w:rsidRDefault="000F36A1">
      <w:pPr>
        <w:pStyle w:val="aff4"/>
        <w:ind w:firstLine="482"/>
        <w:rPr>
          <w:b/>
          <w:u w:val="single"/>
        </w:rPr>
      </w:pPr>
      <w:r>
        <w:rPr>
          <w:rFonts w:hint="eastAsia"/>
          <w:b/>
          <w:u w:val="single"/>
        </w:rPr>
        <w:t>活性炭为颗粒状吸附剂，沸石为蜂窝状吸附剂。现有活性炭</w:t>
      </w:r>
      <w:r>
        <w:rPr>
          <w:rFonts w:hint="eastAsia"/>
          <w:b/>
          <w:u w:val="single"/>
        </w:rPr>
        <w:t>-</w:t>
      </w:r>
      <w:r>
        <w:rPr>
          <w:b/>
          <w:u w:val="single"/>
        </w:rPr>
        <w:t>吸附</w:t>
      </w:r>
      <w:r>
        <w:rPr>
          <w:rFonts w:hint="eastAsia"/>
          <w:b/>
          <w:u w:val="single"/>
        </w:rPr>
        <w:t>-</w:t>
      </w:r>
      <w:r>
        <w:rPr>
          <w:rFonts w:hint="eastAsia"/>
          <w:b/>
          <w:u w:val="single"/>
        </w:rPr>
        <w:t>脱附</w:t>
      </w:r>
      <w:r>
        <w:rPr>
          <w:b/>
          <w:u w:val="single"/>
        </w:rPr>
        <w:t>-</w:t>
      </w:r>
      <w:r>
        <w:rPr>
          <w:b/>
          <w:u w:val="single"/>
        </w:rPr>
        <w:t>催化燃烧装置</w:t>
      </w:r>
      <w:r>
        <w:rPr>
          <w:rFonts w:hint="eastAsia"/>
          <w:b/>
          <w:u w:val="single"/>
        </w:rPr>
        <w:t>风量为</w:t>
      </w:r>
      <w:r>
        <w:rPr>
          <w:rFonts w:hint="eastAsia"/>
          <w:b/>
          <w:u w:val="single"/>
        </w:rPr>
        <w:t>2</w:t>
      </w:r>
      <w:r>
        <w:rPr>
          <w:rFonts w:hint="eastAsia"/>
          <w:b/>
          <w:u w:val="single"/>
        </w:rPr>
        <w:t>万</w:t>
      </w:r>
      <w:r>
        <w:rPr>
          <w:rFonts w:hint="eastAsia"/>
          <w:b/>
          <w:u w:val="single"/>
        </w:rPr>
        <w:t>m</w:t>
      </w:r>
      <w:r>
        <w:rPr>
          <w:rFonts w:hint="eastAsia"/>
          <w:b/>
          <w:u w:val="single"/>
          <w:vertAlign w:val="superscript"/>
        </w:rPr>
        <w:t>3</w:t>
      </w:r>
      <w:r>
        <w:rPr>
          <w:rFonts w:hint="eastAsia"/>
          <w:b/>
          <w:u w:val="single"/>
        </w:rPr>
        <w:t>/h</w:t>
      </w:r>
      <w:r>
        <w:rPr>
          <w:rFonts w:hint="eastAsia"/>
          <w:b/>
          <w:u w:val="single"/>
        </w:rPr>
        <w:t>，结合吸附剂截面积，计算得出风速为</w:t>
      </w:r>
      <w:r>
        <w:rPr>
          <w:rFonts w:hint="eastAsia"/>
          <w:b/>
          <w:u w:val="single"/>
        </w:rPr>
        <w:t>0.2m/s</w:t>
      </w:r>
      <w:r>
        <w:rPr>
          <w:rFonts w:hint="eastAsia"/>
          <w:b/>
          <w:u w:val="single"/>
        </w:rPr>
        <w:t>，满足“气体流速宜低于</w:t>
      </w:r>
      <w:r>
        <w:rPr>
          <w:rFonts w:hint="eastAsia"/>
          <w:b/>
          <w:u w:val="single"/>
        </w:rPr>
        <w:t>0.6m/s</w:t>
      </w:r>
      <w:r>
        <w:rPr>
          <w:rFonts w:hint="eastAsia"/>
          <w:b/>
          <w:u w:val="single"/>
        </w:rPr>
        <w:t>”的要求。现有沸石固定床吸附</w:t>
      </w:r>
      <w:r>
        <w:rPr>
          <w:rFonts w:hint="eastAsia"/>
          <w:b/>
          <w:u w:val="single"/>
        </w:rPr>
        <w:t>-</w:t>
      </w:r>
      <w:r>
        <w:rPr>
          <w:rFonts w:hint="eastAsia"/>
          <w:b/>
          <w:u w:val="single"/>
        </w:rPr>
        <w:t>脱附</w:t>
      </w:r>
      <w:r>
        <w:rPr>
          <w:rFonts w:hint="eastAsia"/>
          <w:b/>
          <w:u w:val="single"/>
        </w:rPr>
        <w:t>-</w:t>
      </w:r>
      <w:r>
        <w:rPr>
          <w:rFonts w:hint="eastAsia"/>
          <w:b/>
          <w:u w:val="single"/>
        </w:rPr>
        <w:t>催化燃烧</w:t>
      </w:r>
      <w:r>
        <w:rPr>
          <w:b/>
          <w:u w:val="single"/>
        </w:rPr>
        <w:t>装置</w:t>
      </w:r>
      <w:r>
        <w:rPr>
          <w:rFonts w:hint="eastAsia"/>
          <w:b/>
          <w:u w:val="single"/>
        </w:rPr>
        <w:t>风量为</w:t>
      </w:r>
      <w:r>
        <w:rPr>
          <w:rFonts w:hint="eastAsia"/>
          <w:b/>
          <w:u w:val="single"/>
        </w:rPr>
        <w:t>3</w:t>
      </w:r>
      <w:r>
        <w:rPr>
          <w:rFonts w:hint="eastAsia"/>
          <w:b/>
          <w:u w:val="single"/>
        </w:rPr>
        <w:t>万</w:t>
      </w:r>
      <w:r>
        <w:rPr>
          <w:rFonts w:hint="eastAsia"/>
          <w:b/>
          <w:u w:val="single"/>
        </w:rPr>
        <w:t>m</w:t>
      </w:r>
      <w:r>
        <w:rPr>
          <w:rFonts w:hint="eastAsia"/>
          <w:b/>
          <w:u w:val="single"/>
          <w:vertAlign w:val="superscript"/>
        </w:rPr>
        <w:t>3</w:t>
      </w:r>
      <w:r>
        <w:rPr>
          <w:rFonts w:hint="eastAsia"/>
          <w:b/>
          <w:u w:val="single"/>
        </w:rPr>
        <w:t>/h</w:t>
      </w:r>
      <w:r>
        <w:rPr>
          <w:rFonts w:hint="eastAsia"/>
          <w:b/>
          <w:u w:val="single"/>
        </w:rPr>
        <w:t>，结合吸附剂截面积，计算得出风速为</w:t>
      </w:r>
      <w:r>
        <w:rPr>
          <w:rFonts w:hint="eastAsia"/>
          <w:b/>
          <w:u w:val="single"/>
        </w:rPr>
        <w:t>0.53m/s</w:t>
      </w:r>
      <w:r>
        <w:rPr>
          <w:rFonts w:hint="eastAsia"/>
          <w:b/>
          <w:u w:val="single"/>
        </w:rPr>
        <w:t>，满足“气体流速宜低于</w:t>
      </w:r>
      <w:r>
        <w:rPr>
          <w:rFonts w:hint="eastAsia"/>
          <w:b/>
          <w:u w:val="single"/>
        </w:rPr>
        <w:t>1.2m/s</w:t>
      </w:r>
      <w:r>
        <w:rPr>
          <w:rFonts w:hint="eastAsia"/>
          <w:b/>
          <w:u w:val="single"/>
        </w:rPr>
        <w:t>”的要求。</w:t>
      </w:r>
    </w:p>
    <w:p w:rsidR="00EE56C0" w:rsidRDefault="000F36A1">
      <w:pPr>
        <w:pStyle w:val="aff4"/>
        <w:ind w:firstLine="482"/>
        <w:rPr>
          <w:b/>
          <w:u w:val="single"/>
        </w:rPr>
      </w:pPr>
      <w:r>
        <w:rPr>
          <w:rFonts w:hint="eastAsia"/>
          <w:b/>
          <w:u w:val="single"/>
        </w:rPr>
        <w:lastRenderedPageBreak/>
        <w:t>本项目依托现有废气治理措施，即活性炭</w:t>
      </w:r>
      <w:r>
        <w:rPr>
          <w:rFonts w:hint="eastAsia"/>
          <w:b/>
          <w:u w:val="single"/>
        </w:rPr>
        <w:t>-</w:t>
      </w:r>
      <w:r>
        <w:rPr>
          <w:b/>
          <w:u w:val="single"/>
        </w:rPr>
        <w:t>吸附</w:t>
      </w:r>
      <w:r>
        <w:rPr>
          <w:rFonts w:hint="eastAsia"/>
          <w:b/>
          <w:u w:val="single"/>
        </w:rPr>
        <w:t>-</w:t>
      </w:r>
      <w:r>
        <w:rPr>
          <w:rFonts w:hint="eastAsia"/>
          <w:b/>
          <w:u w:val="single"/>
        </w:rPr>
        <w:t>脱附</w:t>
      </w:r>
      <w:r>
        <w:rPr>
          <w:b/>
          <w:u w:val="single"/>
        </w:rPr>
        <w:t>-</w:t>
      </w:r>
      <w:r>
        <w:rPr>
          <w:b/>
          <w:u w:val="single"/>
        </w:rPr>
        <w:t>催化燃烧装置</w:t>
      </w:r>
      <w:r>
        <w:rPr>
          <w:rFonts w:hint="eastAsia"/>
          <w:b/>
          <w:u w:val="single"/>
        </w:rPr>
        <w:t>和沸石固定床吸附</w:t>
      </w:r>
      <w:r>
        <w:rPr>
          <w:rFonts w:hint="eastAsia"/>
          <w:b/>
          <w:u w:val="single"/>
        </w:rPr>
        <w:t>-</w:t>
      </w:r>
      <w:r>
        <w:rPr>
          <w:rFonts w:hint="eastAsia"/>
          <w:b/>
          <w:u w:val="single"/>
        </w:rPr>
        <w:t>脱附</w:t>
      </w:r>
      <w:r>
        <w:rPr>
          <w:rFonts w:hint="eastAsia"/>
          <w:b/>
          <w:u w:val="single"/>
        </w:rPr>
        <w:t>-</w:t>
      </w:r>
      <w:r>
        <w:rPr>
          <w:rFonts w:hint="eastAsia"/>
          <w:b/>
          <w:u w:val="single"/>
        </w:rPr>
        <w:t>催化燃烧</w:t>
      </w:r>
      <w:r>
        <w:rPr>
          <w:b/>
          <w:u w:val="single"/>
        </w:rPr>
        <w:t>装置</w:t>
      </w:r>
      <w:r>
        <w:rPr>
          <w:rFonts w:hint="eastAsia"/>
          <w:b/>
          <w:u w:val="single"/>
        </w:rPr>
        <w:t>。本项目进活性炭</w:t>
      </w:r>
      <w:r>
        <w:rPr>
          <w:rFonts w:hint="eastAsia"/>
          <w:b/>
          <w:u w:val="single"/>
        </w:rPr>
        <w:t>-</w:t>
      </w:r>
      <w:r>
        <w:rPr>
          <w:b/>
          <w:u w:val="single"/>
        </w:rPr>
        <w:t>吸附</w:t>
      </w:r>
      <w:r>
        <w:rPr>
          <w:rFonts w:hint="eastAsia"/>
          <w:b/>
          <w:u w:val="single"/>
        </w:rPr>
        <w:t>-</w:t>
      </w:r>
      <w:r>
        <w:rPr>
          <w:rFonts w:hint="eastAsia"/>
          <w:b/>
          <w:u w:val="single"/>
        </w:rPr>
        <w:t>脱附</w:t>
      </w:r>
      <w:r>
        <w:rPr>
          <w:b/>
          <w:u w:val="single"/>
        </w:rPr>
        <w:t>-</w:t>
      </w:r>
      <w:r>
        <w:rPr>
          <w:b/>
          <w:u w:val="single"/>
        </w:rPr>
        <w:t>催化燃烧装置</w:t>
      </w:r>
      <w:r>
        <w:rPr>
          <w:rFonts w:hint="eastAsia"/>
          <w:b/>
          <w:u w:val="single"/>
        </w:rPr>
        <w:t>的废气量为</w:t>
      </w:r>
      <w:r>
        <w:rPr>
          <w:rFonts w:hint="eastAsia"/>
          <w:b/>
          <w:u w:val="single"/>
        </w:rPr>
        <w:t>34250m</w:t>
      </w:r>
      <w:r>
        <w:rPr>
          <w:rFonts w:hint="eastAsia"/>
          <w:b/>
          <w:u w:val="single"/>
          <w:vertAlign w:val="superscript"/>
        </w:rPr>
        <w:t>3</w:t>
      </w:r>
      <w:r>
        <w:rPr>
          <w:rFonts w:hint="eastAsia"/>
          <w:b/>
          <w:u w:val="single"/>
        </w:rPr>
        <w:t>/h</w:t>
      </w:r>
      <w:r>
        <w:rPr>
          <w:rFonts w:hint="eastAsia"/>
          <w:b/>
          <w:u w:val="single"/>
        </w:rPr>
        <w:t>，则活性炭</w:t>
      </w:r>
      <w:r>
        <w:rPr>
          <w:rFonts w:hint="eastAsia"/>
          <w:b/>
          <w:u w:val="single"/>
        </w:rPr>
        <w:t>-</w:t>
      </w:r>
      <w:r>
        <w:rPr>
          <w:b/>
          <w:u w:val="single"/>
        </w:rPr>
        <w:t>吸附</w:t>
      </w:r>
      <w:r>
        <w:rPr>
          <w:rFonts w:hint="eastAsia"/>
          <w:b/>
          <w:u w:val="single"/>
        </w:rPr>
        <w:t>-</w:t>
      </w:r>
      <w:r>
        <w:rPr>
          <w:rFonts w:hint="eastAsia"/>
          <w:b/>
          <w:u w:val="single"/>
        </w:rPr>
        <w:t>脱附</w:t>
      </w:r>
      <w:r>
        <w:rPr>
          <w:b/>
          <w:u w:val="single"/>
        </w:rPr>
        <w:t>-</w:t>
      </w:r>
      <w:r>
        <w:rPr>
          <w:b/>
          <w:u w:val="single"/>
        </w:rPr>
        <w:t>催化燃烧装置</w:t>
      </w:r>
      <w:r>
        <w:rPr>
          <w:rFonts w:hint="eastAsia"/>
          <w:b/>
          <w:u w:val="single"/>
        </w:rPr>
        <w:t>总废气量为</w:t>
      </w:r>
      <w:r>
        <w:rPr>
          <w:rFonts w:hint="eastAsia"/>
          <w:b/>
          <w:u w:val="single"/>
        </w:rPr>
        <w:t>54250m</w:t>
      </w:r>
      <w:r>
        <w:rPr>
          <w:rFonts w:hint="eastAsia"/>
          <w:b/>
          <w:u w:val="single"/>
          <w:vertAlign w:val="superscript"/>
        </w:rPr>
        <w:t>3</w:t>
      </w:r>
      <w:r>
        <w:rPr>
          <w:rFonts w:hint="eastAsia"/>
          <w:b/>
          <w:u w:val="single"/>
        </w:rPr>
        <w:t>/h</w:t>
      </w:r>
      <w:r>
        <w:rPr>
          <w:rFonts w:hint="eastAsia"/>
          <w:b/>
          <w:u w:val="single"/>
        </w:rPr>
        <w:t>，结合吸附剂截面积，计算得出风速为</w:t>
      </w:r>
      <w:r>
        <w:rPr>
          <w:rFonts w:hint="eastAsia"/>
          <w:b/>
          <w:u w:val="single"/>
        </w:rPr>
        <w:t>0.53m/s</w:t>
      </w:r>
      <w:r>
        <w:rPr>
          <w:rFonts w:hint="eastAsia"/>
          <w:b/>
          <w:u w:val="single"/>
        </w:rPr>
        <w:t>，满足“气体流速宜低于</w:t>
      </w:r>
      <w:r>
        <w:rPr>
          <w:rFonts w:hint="eastAsia"/>
          <w:b/>
          <w:u w:val="single"/>
        </w:rPr>
        <w:t>0.6m/s</w:t>
      </w:r>
      <w:r>
        <w:rPr>
          <w:rFonts w:hint="eastAsia"/>
          <w:b/>
          <w:u w:val="single"/>
        </w:rPr>
        <w:t>”的要求。本项目进沸石固定床吸附</w:t>
      </w:r>
      <w:r>
        <w:rPr>
          <w:rFonts w:hint="eastAsia"/>
          <w:b/>
          <w:u w:val="single"/>
        </w:rPr>
        <w:t>-</w:t>
      </w:r>
      <w:r>
        <w:rPr>
          <w:rFonts w:hint="eastAsia"/>
          <w:b/>
          <w:u w:val="single"/>
        </w:rPr>
        <w:t>脱附</w:t>
      </w:r>
      <w:r>
        <w:rPr>
          <w:rFonts w:hint="eastAsia"/>
          <w:b/>
          <w:u w:val="single"/>
        </w:rPr>
        <w:t>-</w:t>
      </w:r>
      <w:r>
        <w:rPr>
          <w:rFonts w:hint="eastAsia"/>
          <w:b/>
          <w:u w:val="single"/>
        </w:rPr>
        <w:t>催化燃烧</w:t>
      </w:r>
      <w:r>
        <w:rPr>
          <w:b/>
          <w:u w:val="single"/>
        </w:rPr>
        <w:t>装置</w:t>
      </w:r>
      <w:r>
        <w:rPr>
          <w:rFonts w:hint="eastAsia"/>
          <w:b/>
          <w:u w:val="single"/>
        </w:rPr>
        <w:t>的废气量为</w:t>
      </w:r>
      <w:r>
        <w:rPr>
          <w:rFonts w:hint="eastAsia"/>
          <w:b/>
          <w:u w:val="single"/>
        </w:rPr>
        <w:t>17850m</w:t>
      </w:r>
      <w:r>
        <w:rPr>
          <w:rFonts w:hint="eastAsia"/>
          <w:b/>
          <w:u w:val="single"/>
          <w:vertAlign w:val="superscript"/>
        </w:rPr>
        <w:t>3</w:t>
      </w:r>
      <w:r>
        <w:rPr>
          <w:rFonts w:hint="eastAsia"/>
          <w:b/>
          <w:u w:val="single"/>
        </w:rPr>
        <w:t>/h</w:t>
      </w:r>
      <w:r>
        <w:rPr>
          <w:rFonts w:hint="eastAsia"/>
          <w:b/>
          <w:u w:val="single"/>
        </w:rPr>
        <w:t>，则沸石固定床吸附</w:t>
      </w:r>
      <w:r>
        <w:rPr>
          <w:rFonts w:hint="eastAsia"/>
          <w:b/>
          <w:u w:val="single"/>
        </w:rPr>
        <w:t>-</w:t>
      </w:r>
      <w:r>
        <w:rPr>
          <w:rFonts w:hint="eastAsia"/>
          <w:b/>
          <w:u w:val="single"/>
        </w:rPr>
        <w:t>脱附</w:t>
      </w:r>
      <w:r>
        <w:rPr>
          <w:rFonts w:hint="eastAsia"/>
          <w:b/>
          <w:u w:val="single"/>
        </w:rPr>
        <w:t>-</w:t>
      </w:r>
      <w:r>
        <w:rPr>
          <w:rFonts w:hint="eastAsia"/>
          <w:b/>
          <w:u w:val="single"/>
        </w:rPr>
        <w:t>催化燃烧</w:t>
      </w:r>
      <w:r>
        <w:rPr>
          <w:b/>
          <w:u w:val="single"/>
        </w:rPr>
        <w:t>装置</w:t>
      </w:r>
      <w:r>
        <w:rPr>
          <w:rFonts w:hint="eastAsia"/>
          <w:b/>
          <w:u w:val="single"/>
        </w:rPr>
        <w:t>总废气量为</w:t>
      </w:r>
      <w:r>
        <w:rPr>
          <w:rFonts w:hint="eastAsia"/>
          <w:b/>
          <w:u w:val="single"/>
        </w:rPr>
        <w:t>47850m</w:t>
      </w:r>
      <w:r>
        <w:rPr>
          <w:rFonts w:hint="eastAsia"/>
          <w:b/>
          <w:u w:val="single"/>
          <w:vertAlign w:val="superscript"/>
        </w:rPr>
        <w:t>3</w:t>
      </w:r>
      <w:r>
        <w:rPr>
          <w:rFonts w:hint="eastAsia"/>
          <w:b/>
          <w:u w:val="single"/>
        </w:rPr>
        <w:t>/h</w:t>
      </w:r>
      <w:r>
        <w:rPr>
          <w:rFonts w:hint="eastAsia"/>
          <w:b/>
          <w:u w:val="single"/>
        </w:rPr>
        <w:t>，结合吸附剂截面积，计算得出风速为</w:t>
      </w:r>
      <w:r>
        <w:rPr>
          <w:rFonts w:hint="eastAsia"/>
          <w:b/>
          <w:u w:val="single"/>
        </w:rPr>
        <w:t>0.83m/s</w:t>
      </w:r>
      <w:r>
        <w:rPr>
          <w:rFonts w:hint="eastAsia"/>
          <w:b/>
          <w:u w:val="single"/>
        </w:rPr>
        <w:t>，满足“气体流速宜低于</w:t>
      </w:r>
      <w:r>
        <w:rPr>
          <w:rFonts w:hint="eastAsia"/>
          <w:b/>
          <w:u w:val="single"/>
        </w:rPr>
        <w:t>1.2m/s</w:t>
      </w:r>
      <w:r>
        <w:rPr>
          <w:rFonts w:hint="eastAsia"/>
          <w:b/>
          <w:u w:val="single"/>
        </w:rPr>
        <w:t>”的要求。</w:t>
      </w:r>
    </w:p>
    <w:p w:rsidR="00EE56C0" w:rsidRDefault="000F36A1" w:rsidP="000F36A1">
      <w:pPr>
        <w:ind w:firstLine="482"/>
      </w:pPr>
      <w:r>
        <w:rPr>
          <w:rFonts w:hint="eastAsia"/>
          <w:b/>
          <w:u w:val="single"/>
        </w:rPr>
        <w:t>经调查，企业设定的脱附浓度值为</w:t>
      </w:r>
      <w:r>
        <w:rPr>
          <w:rFonts w:hint="eastAsia"/>
          <w:b/>
          <w:u w:val="single"/>
        </w:rPr>
        <w:t>20~30mg/m</w:t>
      </w:r>
      <w:r>
        <w:rPr>
          <w:rFonts w:hint="eastAsia"/>
          <w:b/>
          <w:u w:val="single"/>
          <w:vertAlign w:val="superscript"/>
        </w:rPr>
        <w:t>3</w:t>
      </w:r>
      <w:r>
        <w:rPr>
          <w:rFonts w:hint="eastAsia"/>
          <w:b/>
          <w:u w:val="single"/>
        </w:rPr>
        <w:t>，现有活性炭</w:t>
      </w:r>
      <w:r>
        <w:rPr>
          <w:rFonts w:hint="eastAsia"/>
          <w:b/>
          <w:u w:val="single"/>
        </w:rPr>
        <w:t>-</w:t>
      </w:r>
      <w:r>
        <w:rPr>
          <w:b/>
          <w:u w:val="single"/>
        </w:rPr>
        <w:t>吸附</w:t>
      </w:r>
      <w:r>
        <w:rPr>
          <w:rFonts w:hint="eastAsia"/>
          <w:b/>
          <w:u w:val="single"/>
        </w:rPr>
        <w:t>-</w:t>
      </w:r>
      <w:r>
        <w:rPr>
          <w:rFonts w:hint="eastAsia"/>
          <w:b/>
          <w:u w:val="single"/>
        </w:rPr>
        <w:t>脱附</w:t>
      </w:r>
      <w:r>
        <w:rPr>
          <w:b/>
          <w:u w:val="single"/>
        </w:rPr>
        <w:t>-</w:t>
      </w:r>
      <w:r>
        <w:rPr>
          <w:b/>
          <w:u w:val="single"/>
        </w:rPr>
        <w:t>催化燃烧装置</w:t>
      </w:r>
      <w:r>
        <w:rPr>
          <w:rFonts w:hint="eastAsia"/>
          <w:b/>
          <w:u w:val="single"/>
        </w:rPr>
        <w:t>和沸石固定床吸附</w:t>
      </w:r>
      <w:r>
        <w:rPr>
          <w:rFonts w:hint="eastAsia"/>
          <w:b/>
          <w:u w:val="single"/>
        </w:rPr>
        <w:t>-</w:t>
      </w:r>
      <w:r>
        <w:rPr>
          <w:rFonts w:hint="eastAsia"/>
          <w:b/>
          <w:u w:val="single"/>
        </w:rPr>
        <w:t>脱附</w:t>
      </w:r>
      <w:r>
        <w:rPr>
          <w:rFonts w:hint="eastAsia"/>
          <w:b/>
          <w:u w:val="single"/>
        </w:rPr>
        <w:t>-</w:t>
      </w:r>
      <w:r>
        <w:rPr>
          <w:rFonts w:hint="eastAsia"/>
          <w:b/>
          <w:u w:val="single"/>
        </w:rPr>
        <w:t>催化燃烧</w:t>
      </w:r>
      <w:r>
        <w:rPr>
          <w:b/>
          <w:u w:val="single"/>
        </w:rPr>
        <w:t>装置</w:t>
      </w:r>
      <w:r>
        <w:rPr>
          <w:rFonts w:hint="eastAsia"/>
          <w:b/>
          <w:u w:val="single"/>
        </w:rPr>
        <w:t>脱附周期为</w:t>
      </w:r>
      <w:r>
        <w:rPr>
          <w:rFonts w:hint="eastAsia"/>
          <w:b/>
          <w:u w:val="single"/>
        </w:rPr>
        <w:t>7</w:t>
      </w:r>
      <w:r>
        <w:rPr>
          <w:rFonts w:hint="eastAsia"/>
          <w:b/>
          <w:u w:val="single"/>
        </w:rPr>
        <w:t>天。本项目废气引入现有废气措施后，根据设定的脱附浓度值进行脱附，脱附周期会适当缩短。</w:t>
      </w:r>
    </w:p>
    <w:p w:rsidR="00EE56C0" w:rsidRDefault="000F36A1">
      <w:pPr>
        <w:ind w:firstLine="480"/>
      </w:pPr>
      <w:r>
        <w:rPr>
          <w:rFonts w:hint="eastAsia"/>
        </w:rPr>
        <w:t>②处理规模</w:t>
      </w:r>
    </w:p>
    <w:p w:rsidR="00EE56C0" w:rsidRDefault="000F36A1">
      <w:pPr>
        <w:ind w:firstLine="480"/>
      </w:pPr>
      <w:r>
        <w:rPr>
          <w:rFonts w:hint="eastAsia"/>
        </w:rPr>
        <w:t>根据日常在线监测数据，废气治理设施现有工程的风量在</w:t>
      </w:r>
      <w:r>
        <w:rPr>
          <w:rFonts w:hint="eastAsia"/>
        </w:rPr>
        <w:t>50000m</w:t>
      </w:r>
      <w:r>
        <w:rPr>
          <w:rFonts w:hint="eastAsia"/>
          <w:vertAlign w:val="superscript"/>
        </w:rPr>
        <w:t>3</w:t>
      </w:r>
      <w:r>
        <w:rPr>
          <w:rFonts w:hint="eastAsia"/>
        </w:rPr>
        <w:t>/h</w:t>
      </w:r>
      <w:r>
        <w:rPr>
          <w:rFonts w:hint="eastAsia"/>
        </w:rPr>
        <w:t>左右。废气措施处理规模见下表。</w:t>
      </w:r>
    </w:p>
    <w:p w:rsidR="00EE56C0" w:rsidRDefault="000F36A1">
      <w:pPr>
        <w:pStyle w:val="afd"/>
        <w:spacing w:before="120" w:after="120"/>
        <w:ind w:firstLine="482"/>
      </w:pPr>
      <w:r>
        <w:rPr>
          <w:rFonts w:hint="eastAsia"/>
        </w:rPr>
        <w:t>表</w:t>
      </w:r>
      <w:r>
        <w:rPr>
          <w:rFonts w:hint="eastAsia"/>
        </w:rPr>
        <w:t xml:space="preserve">3-25      </w:t>
      </w:r>
      <w:r>
        <w:rPr>
          <w:rFonts w:hint="eastAsia"/>
        </w:rPr>
        <w:t>废气装置处理规模一览表</w:t>
      </w:r>
      <w:r>
        <w:rPr>
          <w:rFonts w:hint="eastAsia"/>
        </w:rPr>
        <w:t xml:space="preserve">      </w:t>
      </w:r>
      <w:r>
        <w:rPr>
          <w:rFonts w:hint="eastAsia"/>
        </w:rPr>
        <w:t>单位：</w:t>
      </w:r>
      <w:r>
        <w:rPr>
          <w:rFonts w:hint="eastAsia"/>
        </w:rPr>
        <w:t>m</w:t>
      </w:r>
      <w:r>
        <w:rPr>
          <w:rFonts w:hint="eastAsia"/>
          <w:vertAlign w:val="superscript"/>
        </w:rPr>
        <w:t>3</w:t>
      </w:r>
      <w:r>
        <w:rPr>
          <w:rFonts w:hint="eastAsia"/>
        </w:rPr>
        <w:t>/h</w:t>
      </w:r>
    </w:p>
    <w:tbl>
      <w:tblPr>
        <w:tblStyle w:val="af4"/>
        <w:tblW w:w="5000" w:type="pct"/>
        <w:tblLook w:val="04A0"/>
      </w:tblPr>
      <w:tblGrid>
        <w:gridCol w:w="2843"/>
        <w:gridCol w:w="2842"/>
        <w:gridCol w:w="2843"/>
      </w:tblGrid>
      <w:tr w:rsidR="00EE56C0">
        <w:trPr>
          <w:trHeight w:val="454"/>
        </w:trPr>
        <w:tc>
          <w:tcPr>
            <w:tcW w:w="1667" w:type="pct"/>
            <w:vAlign w:val="center"/>
          </w:tcPr>
          <w:p w:rsidR="00EE56C0" w:rsidRDefault="000F36A1">
            <w:pPr>
              <w:pStyle w:val="afa"/>
              <w:rPr>
                <w:b/>
              </w:rPr>
            </w:pPr>
            <w:r>
              <w:rPr>
                <w:rFonts w:hint="eastAsia"/>
                <w:b/>
              </w:rPr>
              <w:t>名称</w:t>
            </w:r>
          </w:p>
        </w:tc>
        <w:tc>
          <w:tcPr>
            <w:tcW w:w="1666" w:type="pct"/>
            <w:vAlign w:val="center"/>
          </w:tcPr>
          <w:p w:rsidR="00EE56C0" w:rsidRDefault="000F36A1">
            <w:pPr>
              <w:pStyle w:val="afa"/>
              <w:rPr>
                <w:b/>
              </w:rPr>
            </w:pPr>
            <w:r>
              <w:rPr>
                <w:rFonts w:hint="eastAsia"/>
                <w:b/>
              </w:rPr>
              <w:t>活性炭装置</w:t>
            </w:r>
            <w:r>
              <w:rPr>
                <w:rFonts w:hint="eastAsia"/>
                <w:b/>
              </w:rPr>
              <w:t>T</w:t>
            </w:r>
          </w:p>
        </w:tc>
        <w:tc>
          <w:tcPr>
            <w:tcW w:w="1667" w:type="pct"/>
            <w:vAlign w:val="center"/>
          </w:tcPr>
          <w:p w:rsidR="00EE56C0" w:rsidRDefault="000F36A1">
            <w:pPr>
              <w:pStyle w:val="afa"/>
              <w:rPr>
                <w:b/>
              </w:rPr>
            </w:pPr>
            <w:r>
              <w:rPr>
                <w:rFonts w:hint="eastAsia"/>
                <w:b/>
              </w:rPr>
              <w:t>沸石装置</w:t>
            </w:r>
            <w:r>
              <w:rPr>
                <w:rFonts w:hint="eastAsia"/>
                <w:b/>
              </w:rPr>
              <w:t>F</w:t>
            </w:r>
          </w:p>
        </w:tc>
      </w:tr>
      <w:tr w:rsidR="00EE56C0">
        <w:trPr>
          <w:trHeight w:val="454"/>
        </w:trPr>
        <w:tc>
          <w:tcPr>
            <w:tcW w:w="1667" w:type="pct"/>
            <w:vAlign w:val="center"/>
          </w:tcPr>
          <w:p w:rsidR="00EE56C0" w:rsidRDefault="000F36A1">
            <w:pPr>
              <w:pStyle w:val="afa"/>
            </w:pPr>
            <w:r>
              <w:rPr>
                <w:rFonts w:hint="eastAsia"/>
              </w:rPr>
              <w:t>设计风量</w:t>
            </w:r>
          </w:p>
        </w:tc>
        <w:tc>
          <w:tcPr>
            <w:tcW w:w="1666" w:type="pct"/>
            <w:vAlign w:val="center"/>
          </w:tcPr>
          <w:p w:rsidR="00EE56C0" w:rsidRDefault="000F36A1">
            <w:pPr>
              <w:pStyle w:val="afa"/>
            </w:pPr>
            <w:r>
              <w:rPr>
                <w:rFonts w:hint="eastAsia"/>
              </w:rPr>
              <w:t>6</w:t>
            </w:r>
            <w:r>
              <w:rPr>
                <w:rFonts w:hint="eastAsia"/>
              </w:rPr>
              <w:t>万</w:t>
            </w:r>
          </w:p>
        </w:tc>
        <w:tc>
          <w:tcPr>
            <w:tcW w:w="1667" w:type="pct"/>
            <w:vAlign w:val="center"/>
          </w:tcPr>
          <w:p w:rsidR="00EE56C0" w:rsidRDefault="000F36A1">
            <w:pPr>
              <w:pStyle w:val="afa"/>
            </w:pPr>
            <w:r>
              <w:rPr>
                <w:rFonts w:hint="eastAsia"/>
              </w:rPr>
              <w:t>10</w:t>
            </w:r>
            <w:r>
              <w:rPr>
                <w:rFonts w:hint="eastAsia"/>
              </w:rPr>
              <w:t>万</w:t>
            </w:r>
          </w:p>
        </w:tc>
      </w:tr>
      <w:tr w:rsidR="00EE56C0">
        <w:trPr>
          <w:trHeight w:val="454"/>
        </w:trPr>
        <w:tc>
          <w:tcPr>
            <w:tcW w:w="1667" w:type="pct"/>
            <w:vAlign w:val="center"/>
          </w:tcPr>
          <w:p w:rsidR="00EE56C0" w:rsidRDefault="000F36A1">
            <w:pPr>
              <w:pStyle w:val="afa"/>
            </w:pPr>
            <w:r>
              <w:rPr>
                <w:rFonts w:hint="eastAsia"/>
              </w:rPr>
              <w:t>现有风量</w:t>
            </w:r>
          </w:p>
        </w:tc>
        <w:tc>
          <w:tcPr>
            <w:tcW w:w="1666" w:type="pct"/>
            <w:vAlign w:val="center"/>
          </w:tcPr>
          <w:p w:rsidR="00EE56C0" w:rsidRDefault="000F36A1">
            <w:pPr>
              <w:pStyle w:val="afa"/>
            </w:pPr>
            <w:r>
              <w:rPr>
                <w:rFonts w:hint="eastAsia"/>
              </w:rPr>
              <w:t>2</w:t>
            </w:r>
            <w:r>
              <w:rPr>
                <w:rFonts w:hint="eastAsia"/>
              </w:rPr>
              <w:t>万</w:t>
            </w:r>
          </w:p>
        </w:tc>
        <w:tc>
          <w:tcPr>
            <w:tcW w:w="1667" w:type="pct"/>
            <w:vAlign w:val="center"/>
          </w:tcPr>
          <w:p w:rsidR="00EE56C0" w:rsidRDefault="000F36A1">
            <w:pPr>
              <w:pStyle w:val="afa"/>
            </w:pPr>
            <w:r>
              <w:rPr>
                <w:rFonts w:hint="eastAsia"/>
              </w:rPr>
              <w:t>3</w:t>
            </w:r>
            <w:r>
              <w:rPr>
                <w:rFonts w:hint="eastAsia"/>
              </w:rPr>
              <w:t>万</w:t>
            </w:r>
          </w:p>
        </w:tc>
      </w:tr>
      <w:tr w:rsidR="00EE56C0">
        <w:trPr>
          <w:trHeight w:val="454"/>
        </w:trPr>
        <w:tc>
          <w:tcPr>
            <w:tcW w:w="1667" w:type="pct"/>
            <w:vAlign w:val="center"/>
          </w:tcPr>
          <w:p w:rsidR="00EE56C0" w:rsidRDefault="000F36A1">
            <w:pPr>
              <w:pStyle w:val="afa"/>
            </w:pPr>
            <w:r>
              <w:rPr>
                <w:rFonts w:hint="eastAsia"/>
              </w:rPr>
              <w:t>余量</w:t>
            </w:r>
          </w:p>
        </w:tc>
        <w:tc>
          <w:tcPr>
            <w:tcW w:w="1666" w:type="pct"/>
            <w:vAlign w:val="center"/>
          </w:tcPr>
          <w:p w:rsidR="00EE56C0" w:rsidRDefault="000F36A1">
            <w:pPr>
              <w:pStyle w:val="afa"/>
            </w:pPr>
            <w:r>
              <w:rPr>
                <w:rFonts w:hint="eastAsia"/>
              </w:rPr>
              <w:t>4</w:t>
            </w:r>
            <w:r>
              <w:rPr>
                <w:rFonts w:hint="eastAsia"/>
              </w:rPr>
              <w:t>万</w:t>
            </w:r>
          </w:p>
        </w:tc>
        <w:tc>
          <w:tcPr>
            <w:tcW w:w="1667" w:type="pct"/>
            <w:vAlign w:val="center"/>
          </w:tcPr>
          <w:p w:rsidR="00EE56C0" w:rsidRDefault="000F36A1">
            <w:pPr>
              <w:pStyle w:val="afa"/>
            </w:pPr>
            <w:r>
              <w:rPr>
                <w:rFonts w:hint="eastAsia"/>
              </w:rPr>
              <w:t>7</w:t>
            </w:r>
            <w:r>
              <w:rPr>
                <w:rFonts w:hint="eastAsia"/>
              </w:rPr>
              <w:t>万</w:t>
            </w:r>
          </w:p>
        </w:tc>
      </w:tr>
    </w:tbl>
    <w:p w:rsidR="00EE56C0" w:rsidRDefault="000F36A1">
      <w:pPr>
        <w:ind w:firstLine="480"/>
      </w:pPr>
      <w:r>
        <w:rPr>
          <w:rFonts w:hint="eastAsia"/>
        </w:rPr>
        <w:t>一期、二期废气处理所需风量见下表。</w:t>
      </w:r>
    </w:p>
    <w:p w:rsidR="00EE56C0" w:rsidRDefault="000F36A1">
      <w:pPr>
        <w:pStyle w:val="afd"/>
        <w:spacing w:before="120" w:after="120"/>
        <w:ind w:firstLine="482"/>
      </w:pPr>
      <w:r>
        <w:rPr>
          <w:rFonts w:hint="eastAsia"/>
        </w:rPr>
        <w:t>表</w:t>
      </w:r>
      <w:r>
        <w:rPr>
          <w:rFonts w:hint="eastAsia"/>
        </w:rPr>
        <w:t xml:space="preserve">3-26      </w:t>
      </w:r>
      <w:r>
        <w:rPr>
          <w:rFonts w:hint="eastAsia"/>
        </w:rPr>
        <w:t>一期、二期废气处理所需风量一览表</w:t>
      </w:r>
      <w:r>
        <w:rPr>
          <w:rFonts w:hint="eastAsia"/>
        </w:rPr>
        <w:t xml:space="preserve">      </w:t>
      </w:r>
      <w:r>
        <w:rPr>
          <w:rFonts w:hint="eastAsia"/>
        </w:rPr>
        <w:t>单位：</w:t>
      </w:r>
      <w:r>
        <w:rPr>
          <w:rFonts w:hint="eastAsia"/>
        </w:rPr>
        <w:t>m</w:t>
      </w:r>
      <w:r>
        <w:rPr>
          <w:rFonts w:hint="eastAsia"/>
          <w:vertAlign w:val="superscript"/>
        </w:rPr>
        <w:t>3</w:t>
      </w:r>
      <w:r>
        <w:rPr>
          <w:rFonts w:hint="eastAsia"/>
        </w:rPr>
        <w:t>/h</w:t>
      </w:r>
    </w:p>
    <w:tbl>
      <w:tblPr>
        <w:tblStyle w:val="af4"/>
        <w:tblW w:w="5000" w:type="pct"/>
        <w:tblLook w:val="04A0"/>
      </w:tblPr>
      <w:tblGrid>
        <w:gridCol w:w="2843"/>
        <w:gridCol w:w="2842"/>
        <w:gridCol w:w="2843"/>
      </w:tblGrid>
      <w:tr w:rsidR="00EE56C0">
        <w:trPr>
          <w:trHeight w:val="454"/>
        </w:trPr>
        <w:tc>
          <w:tcPr>
            <w:tcW w:w="1667" w:type="pct"/>
            <w:vAlign w:val="center"/>
          </w:tcPr>
          <w:p w:rsidR="00EE56C0" w:rsidRDefault="000F36A1">
            <w:pPr>
              <w:pStyle w:val="afa"/>
              <w:rPr>
                <w:b/>
              </w:rPr>
            </w:pPr>
            <w:r>
              <w:rPr>
                <w:rFonts w:hint="eastAsia"/>
                <w:b/>
              </w:rPr>
              <w:t>名称</w:t>
            </w:r>
          </w:p>
        </w:tc>
        <w:tc>
          <w:tcPr>
            <w:tcW w:w="1666" w:type="pct"/>
            <w:vAlign w:val="center"/>
          </w:tcPr>
          <w:p w:rsidR="00EE56C0" w:rsidRDefault="000F36A1">
            <w:pPr>
              <w:pStyle w:val="afa"/>
              <w:rPr>
                <w:b/>
              </w:rPr>
            </w:pPr>
            <w:r>
              <w:rPr>
                <w:rFonts w:hint="eastAsia"/>
                <w:b/>
              </w:rPr>
              <w:t>活性炭装置</w:t>
            </w:r>
            <w:r>
              <w:rPr>
                <w:rFonts w:hint="eastAsia"/>
                <w:b/>
              </w:rPr>
              <w:t>T</w:t>
            </w:r>
          </w:p>
        </w:tc>
        <w:tc>
          <w:tcPr>
            <w:tcW w:w="1667" w:type="pct"/>
            <w:vAlign w:val="center"/>
          </w:tcPr>
          <w:p w:rsidR="00EE56C0" w:rsidRDefault="000F36A1">
            <w:pPr>
              <w:pStyle w:val="afa"/>
              <w:rPr>
                <w:b/>
              </w:rPr>
            </w:pPr>
            <w:r>
              <w:rPr>
                <w:rFonts w:hint="eastAsia"/>
                <w:b/>
              </w:rPr>
              <w:t>沸石装置</w:t>
            </w:r>
            <w:r>
              <w:rPr>
                <w:rFonts w:hint="eastAsia"/>
                <w:b/>
              </w:rPr>
              <w:t>F</w:t>
            </w:r>
          </w:p>
        </w:tc>
      </w:tr>
      <w:tr w:rsidR="00EE56C0">
        <w:trPr>
          <w:trHeight w:val="454"/>
        </w:trPr>
        <w:tc>
          <w:tcPr>
            <w:tcW w:w="1667" w:type="pct"/>
            <w:vAlign w:val="center"/>
          </w:tcPr>
          <w:p w:rsidR="00EE56C0" w:rsidRDefault="000F36A1">
            <w:pPr>
              <w:pStyle w:val="afa"/>
            </w:pPr>
            <w:r>
              <w:rPr>
                <w:rFonts w:hint="eastAsia"/>
              </w:rPr>
              <w:t>一期</w:t>
            </w:r>
          </w:p>
        </w:tc>
        <w:tc>
          <w:tcPr>
            <w:tcW w:w="1666" w:type="pct"/>
            <w:vAlign w:val="center"/>
          </w:tcPr>
          <w:p w:rsidR="00EE56C0" w:rsidRDefault="000F36A1">
            <w:pPr>
              <w:pStyle w:val="afa"/>
            </w:pPr>
            <w:r>
              <w:rPr>
                <w:rFonts w:hint="eastAsia"/>
              </w:rPr>
              <w:t>18900</w:t>
            </w:r>
          </w:p>
        </w:tc>
        <w:tc>
          <w:tcPr>
            <w:tcW w:w="1667" w:type="pct"/>
            <w:vAlign w:val="center"/>
          </w:tcPr>
          <w:p w:rsidR="00EE56C0" w:rsidRDefault="000F36A1">
            <w:pPr>
              <w:pStyle w:val="afa"/>
            </w:pPr>
            <w:r>
              <w:rPr>
                <w:rFonts w:hint="eastAsia"/>
              </w:rPr>
              <w:t>1950</w:t>
            </w:r>
          </w:p>
        </w:tc>
      </w:tr>
      <w:tr w:rsidR="00EE56C0">
        <w:trPr>
          <w:trHeight w:val="454"/>
        </w:trPr>
        <w:tc>
          <w:tcPr>
            <w:tcW w:w="1667" w:type="pct"/>
            <w:vAlign w:val="center"/>
          </w:tcPr>
          <w:p w:rsidR="00EE56C0" w:rsidRDefault="000F36A1">
            <w:pPr>
              <w:pStyle w:val="afa"/>
            </w:pPr>
            <w:r>
              <w:rPr>
                <w:rFonts w:hint="eastAsia"/>
              </w:rPr>
              <w:t>二期</w:t>
            </w:r>
          </w:p>
        </w:tc>
        <w:tc>
          <w:tcPr>
            <w:tcW w:w="1666" w:type="pct"/>
            <w:vAlign w:val="center"/>
          </w:tcPr>
          <w:p w:rsidR="00EE56C0" w:rsidRDefault="000F36A1">
            <w:pPr>
              <w:pStyle w:val="afa"/>
            </w:pPr>
            <w:r>
              <w:rPr>
                <w:rFonts w:hint="eastAsia"/>
              </w:rPr>
              <w:t>15350</w:t>
            </w:r>
          </w:p>
        </w:tc>
        <w:tc>
          <w:tcPr>
            <w:tcW w:w="1667" w:type="pct"/>
            <w:vAlign w:val="center"/>
          </w:tcPr>
          <w:p w:rsidR="00EE56C0" w:rsidRDefault="000F36A1">
            <w:pPr>
              <w:pStyle w:val="afa"/>
            </w:pPr>
            <w:r>
              <w:rPr>
                <w:rFonts w:hint="eastAsia"/>
              </w:rPr>
              <w:t>15900</w:t>
            </w:r>
          </w:p>
        </w:tc>
      </w:tr>
      <w:tr w:rsidR="00EE56C0">
        <w:trPr>
          <w:trHeight w:val="454"/>
        </w:trPr>
        <w:tc>
          <w:tcPr>
            <w:tcW w:w="1667" w:type="pct"/>
            <w:vAlign w:val="center"/>
          </w:tcPr>
          <w:p w:rsidR="00EE56C0" w:rsidRDefault="000F36A1">
            <w:pPr>
              <w:pStyle w:val="afa"/>
            </w:pPr>
            <w:r>
              <w:rPr>
                <w:rFonts w:hint="eastAsia"/>
              </w:rPr>
              <w:t>合计</w:t>
            </w:r>
          </w:p>
        </w:tc>
        <w:tc>
          <w:tcPr>
            <w:tcW w:w="1666" w:type="pct"/>
            <w:vAlign w:val="center"/>
          </w:tcPr>
          <w:p w:rsidR="00EE56C0" w:rsidRDefault="000F36A1">
            <w:pPr>
              <w:pStyle w:val="afa"/>
              <w:rPr>
                <w:rFonts w:eastAsia="宋体"/>
              </w:rPr>
            </w:pPr>
            <w:r>
              <w:t>34250</w:t>
            </w:r>
          </w:p>
        </w:tc>
        <w:tc>
          <w:tcPr>
            <w:tcW w:w="1667" w:type="pct"/>
            <w:vAlign w:val="center"/>
          </w:tcPr>
          <w:p w:rsidR="00EE56C0" w:rsidRDefault="000F36A1">
            <w:pPr>
              <w:pStyle w:val="afa"/>
              <w:rPr>
                <w:rFonts w:eastAsia="宋体"/>
              </w:rPr>
            </w:pPr>
            <w:r>
              <w:t>17850</w:t>
            </w:r>
          </w:p>
        </w:tc>
      </w:tr>
    </w:tbl>
    <w:p w:rsidR="00EE56C0" w:rsidRDefault="000F36A1">
      <w:pPr>
        <w:ind w:firstLine="480"/>
      </w:pPr>
      <w:r>
        <w:rPr>
          <w:rFonts w:hint="eastAsia"/>
        </w:rPr>
        <w:t>由上表可知，现有废气措施可以满足一期、二期废气处理需求。</w:t>
      </w:r>
    </w:p>
    <w:p w:rsidR="0036297E" w:rsidRDefault="0036297E">
      <w:pPr>
        <w:ind w:firstLine="480"/>
      </w:pPr>
      <w:r>
        <w:rPr>
          <w:rFonts w:hint="eastAsia"/>
        </w:rPr>
        <w:t>③现有废气设施运行情况</w:t>
      </w:r>
    </w:p>
    <w:p w:rsidR="0036297E" w:rsidRPr="0009365D" w:rsidRDefault="0036297E" w:rsidP="0009365D">
      <w:pPr>
        <w:ind w:firstLine="482"/>
      </w:pPr>
      <w:r w:rsidRPr="0062719D">
        <w:rPr>
          <w:rFonts w:hint="eastAsia"/>
          <w:b/>
          <w:u w:val="single"/>
        </w:rPr>
        <w:t>根据日常在线监测数据</w:t>
      </w:r>
      <w:r w:rsidR="0080213D">
        <w:rPr>
          <w:rFonts w:hint="eastAsia"/>
          <w:b/>
          <w:u w:val="single"/>
        </w:rPr>
        <w:t>显示</w:t>
      </w:r>
      <w:r w:rsidRPr="0080213D">
        <w:rPr>
          <w:rFonts w:hint="eastAsia"/>
          <w:b/>
          <w:u w:val="single"/>
        </w:rPr>
        <w:t>，</w:t>
      </w:r>
      <w:r w:rsidR="0080213D" w:rsidRPr="0080213D">
        <w:rPr>
          <w:rFonts w:hint="eastAsia"/>
          <w:b/>
          <w:u w:val="single"/>
        </w:rPr>
        <w:t>现有废气设施运行稳定，</w:t>
      </w:r>
      <w:r w:rsidRPr="0062719D">
        <w:rPr>
          <w:rFonts w:hint="eastAsia"/>
          <w:b/>
          <w:u w:val="single"/>
        </w:rPr>
        <w:t>废气排放浓度保持</w:t>
      </w:r>
      <w:r w:rsidRPr="0062719D">
        <w:rPr>
          <w:rFonts w:hint="eastAsia"/>
          <w:b/>
          <w:u w:val="single"/>
        </w:rPr>
        <w:lastRenderedPageBreak/>
        <w:t>在</w:t>
      </w:r>
      <w:r>
        <w:rPr>
          <w:rFonts w:hint="eastAsia"/>
          <w:b/>
          <w:u w:val="single"/>
        </w:rPr>
        <w:t>20~30mg/m</w:t>
      </w:r>
      <w:r>
        <w:rPr>
          <w:rFonts w:hint="eastAsia"/>
          <w:b/>
          <w:u w:val="single"/>
          <w:vertAlign w:val="superscript"/>
        </w:rPr>
        <w:t>3</w:t>
      </w:r>
      <w:r>
        <w:rPr>
          <w:rFonts w:hint="eastAsia"/>
          <w:b/>
          <w:u w:val="single"/>
        </w:rPr>
        <w:t>，满足</w:t>
      </w:r>
      <w:r w:rsidRPr="0062719D">
        <w:rPr>
          <w:rFonts w:hint="eastAsia"/>
          <w:b/>
          <w:u w:val="single"/>
        </w:rPr>
        <w:t>《重污染天气重点行业应急减排措施制定技术指南（</w:t>
      </w:r>
      <w:r w:rsidRPr="0062719D">
        <w:rPr>
          <w:rFonts w:hint="eastAsia"/>
          <w:b/>
          <w:u w:val="single"/>
        </w:rPr>
        <w:t>2020</w:t>
      </w:r>
      <w:r w:rsidRPr="0062719D">
        <w:rPr>
          <w:rFonts w:hint="eastAsia"/>
          <w:b/>
          <w:u w:val="single"/>
        </w:rPr>
        <w:t>年修订版）》中工业涂装行业</w:t>
      </w:r>
      <w:r w:rsidRPr="0062719D">
        <w:rPr>
          <w:rStyle w:val="Charf4"/>
          <w:rFonts w:hint="eastAsia"/>
          <w:b/>
          <w:u w:val="single"/>
        </w:rPr>
        <w:t>A</w:t>
      </w:r>
      <w:r w:rsidRPr="0062719D">
        <w:rPr>
          <w:rStyle w:val="Charf4"/>
          <w:rFonts w:hint="eastAsia"/>
          <w:b/>
          <w:u w:val="single"/>
        </w:rPr>
        <w:t>级指标要求。本项目废气引入现有废气设施后，根据其设定的</w:t>
      </w:r>
      <w:r w:rsidRPr="0062719D">
        <w:rPr>
          <w:rFonts w:hint="eastAsia"/>
          <w:b/>
          <w:u w:val="single"/>
        </w:rPr>
        <w:t>浓度值进行脱附，</w:t>
      </w:r>
      <w:r w:rsidR="0080213D">
        <w:rPr>
          <w:rFonts w:hint="eastAsia"/>
          <w:b/>
          <w:u w:val="single"/>
        </w:rPr>
        <w:t>在脱附</w:t>
      </w:r>
      <w:r w:rsidR="0009365D">
        <w:rPr>
          <w:rFonts w:hint="eastAsia"/>
          <w:b/>
          <w:u w:val="single"/>
        </w:rPr>
        <w:t>周期明显缩短及脱附后排放浓度接近设定浓度时，应及时更换吸附剂。</w:t>
      </w:r>
    </w:p>
    <w:p w:rsidR="00EE56C0" w:rsidRDefault="000F36A1">
      <w:pPr>
        <w:ind w:firstLine="482"/>
        <w:rPr>
          <w:b/>
        </w:rPr>
      </w:pPr>
      <w:r>
        <w:rPr>
          <w:rFonts w:hint="eastAsia"/>
          <w:b/>
        </w:rPr>
        <w:t>（</w:t>
      </w:r>
      <w:r>
        <w:rPr>
          <w:rFonts w:hint="eastAsia"/>
          <w:b/>
        </w:rPr>
        <w:t>4</w:t>
      </w:r>
      <w:r>
        <w:rPr>
          <w:rFonts w:hint="eastAsia"/>
          <w:b/>
        </w:rPr>
        <w:t>）废气治理措施及产排情况</w:t>
      </w:r>
    </w:p>
    <w:p w:rsidR="00EE56C0" w:rsidRDefault="000F36A1">
      <w:pPr>
        <w:ind w:firstLine="482"/>
        <w:rPr>
          <w:b/>
        </w:rPr>
      </w:pPr>
      <w:r>
        <w:rPr>
          <w:rFonts w:hint="eastAsia"/>
          <w:b/>
        </w:rPr>
        <w:t>A</w:t>
      </w:r>
      <w:r>
        <w:rPr>
          <w:rFonts w:hint="eastAsia"/>
          <w:b/>
        </w:rPr>
        <w:t>、废气产排情况</w:t>
      </w:r>
    </w:p>
    <w:p w:rsidR="00EE56C0" w:rsidRDefault="000F36A1">
      <w:pPr>
        <w:ind w:firstLine="480"/>
      </w:pPr>
      <w:r>
        <w:rPr>
          <w:rFonts w:hint="eastAsia"/>
        </w:rPr>
        <w:t>根据废气走向图，一期、二期废气治理设施情况见下表。</w:t>
      </w:r>
    </w:p>
    <w:p w:rsidR="00EE56C0" w:rsidRDefault="000F36A1">
      <w:pPr>
        <w:pStyle w:val="afd"/>
        <w:spacing w:before="120" w:after="120"/>
        <w:ind w:firstLine="482"/>
      </w:pPr>
      <w:r>
        <w:rPr>
          <w:rFonts w:hint="eastAsia"/>
        </w:rPr>
        <w:t>表</w:t>
      </w:r>
      <w:r>
        <w:rPr>
          <w:rFonts w:hint="eastAsia"/>
        </w:rPr>
        <w:t xml:space="preserve">3-27               </w:t>
      </w:r>
      <w:r>
        <w:rPr>
          <w:rFonts w:hint="eastAsia"/>
        </w:rPr>
        <w:t>一期废气治理措施情况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6"/>
        <w:gridCol w:w="1559"/>
        <w:gridCol w:w="2031"/>
        <w:gridCol w:w="2222"/>
        <w:gridCol w:w="1190"/>
      </w:tblGrid>
      <w:tr w:rsidR="00EE56C0">
        <w:trPr>
          <w:trHeight w:val="454"/>
        </w:trPr>
        <w:tc>
          <w:tcPr>
            <w:tcW w:w="1526" w:type="dxa"/>
            <w:vAlign w:val="center"/>
          </w:tcPr>
          <w:p w:rsidR="00EE56C0" w:rsidRDefault="000F36A1">
            <w:pPr>
              <w:pStyle w:val="aff1"/>
              <w:rPr>
                <w:color w:val="auto"/>
              </w:rPr>
            </w:pPr>
            <w:r>
              <w:rPr>
                <w:rFonts w:hint="eastAsia"/>
                <w:color w:val="auto"/>
              </w:rPr>
              <w:t>废气</w:t>
            </w:r>
          </w:p>
        </w:tc>
        <w:tc>
          <w:tcPr>
            <w:tcW w:w="1559" w:type="dxa"/>
            <w:vAlign w:val="center"/>
          </w:tcPr>
          <w:p w:rsidR="00EE56C0" w:rsidRDefault="000F36A1">
            <w:pPr>
              <w:pStyle w:val="aff1"/>
              <w:rPr>
                <w:color w:val="auto"/>
              </w:rPr>
            </w:pPr>
            <w:r>
              <w:rPr>
                <w:rFonts w:hint="eastAsia"/>
                <w:color w:val="auto"/>
              </w:rPr>
              <w:t>收集部位</w:t>
            </w:r>
          </w:p>
        </w:tc>
        <w:tc>
          <w:tcPr>
            <w:tcW w:w="2031" w:type="dxa"/>
            <w:vAlign w:val="center"/>
          </w:tcPr>
          <w:p w:rsidR="00EE56C0" w:rsidRDefault="000F36A1">
            <w:pPr>
              <w:pStyle w:val="aff1"/>
              <w:rPr>
                <w:color w:val="auto"/>
              </w:rPr>
            </w:pPr>
            <w:r>
              <w:rPr>
                <w:rFonts w:hint="eastAsia"/>
                <w:color w:val="auto"/>
              </w:rPr>
              <w:t>一期预处理方式</w:t>
            </w:r>
          </w:p>
        </w:tc>
        <w:tc>
          <w:tcPr>
            <w:tcW w:w="3412" w:type="dxa"/>
            <w:gridSpan w:val="2"/>
            <w:vAlign w:val="center"/>
          </w:tcPr>
          <w:p w:rsidR="00EE56C0" w:rsidRDefault="000F36A1">
            <w:pPr>
              <w:pStyle w:val="aff1"/>
              <w:rPr>
                <w:color w:val="auto"/>
              </w:rPr>
            </w:pPr>
            <w:r>
              <w:rPr>
                <w:rFonts w:hint="eastAsia"/>
                <w:color w:val="auto"/>
              </w:rPr>
              <w:t xml:space="preserve"> </w:t>
            </w:r>
            <w:r>
              <w:rPr>
                <w:rFonts w:hint="eastAsia"/>
                <w:color w:val="auto"/>
              </w:rPr>
              <w:t>一期末端处理方式</w:t>
            </w:r>
          </w:p>
        </w:tc>
      </w:tr>
      <w:tr w:rsidR="00EE56C0">
        <w:trPr>
          <w:trHeight w:val="454"/>
        </w:trPr>
        <w:tc>
          <w:tcPr>
            <w:tcW w:w="1526" w:type="dxa"/>
            <w:vAlign w:val="center"/>
          </w:tcPr>
          <w:p w:rsidR="00EE56C0" w:rsidRDefault="000F36A1">
            <w:pPr>
              <w:pStyle w:val="afa"/>
            </w:pPr>
            <w:r>
              <w:rPr>
                <w:rFonts w:hint="eastAsia"/>
              </w:rPr>
              <w:t>油水分离器</w:t>
            </w:r>
          </w:p>
        </w:tc>
        <w:tc>
          <w:tcPr>
            <w:tcW w:w="1559" w:type="dxa"/>
            <w:vAlign w:val="center"/>
          </w:tcPr>
          <w:p w:rsidR="00EE56C0" w:rsidRDefault="000F36A1">
            <w:pPr>
              <w:pStyle w:val="afa"/>
            </w:pPr>
            <w:r>
              <w:rPr>
                <w:rFonts w:hint="eastAsia"/>
              </w:rPr>
              <w:t>气液分离罐出气口</w:t>
            </w:r>
          </w:p>
        </w:tc>
        <w:tc>
          <w:tcPr>
            <w:tcW w:w="2031" w:type="dxa"/>
            <w:vAlign w:val="center"/>
          </w:tcPr>
          <w:p w:rsidR="00EE56C0" w:rsidRDefault="000F36A1">
            <w:pPr>
              <w:pStyle w:val="afa"/>
            </w:pPr>
            <w:r>
              <w:rPr>
                <w:rFonts w:hint="eastAsia"/>
              </w:rPr>
              <w:t>/</w:t>
            </w:r>
          </w:p>
        </w:tc>
        <w:tc>
          <w:tcPr>
            <w:tcW w:w="2222" w:type="dxa"/>
            <w:vMerge w:val="restart"/>
            <w:vAlign w:val="center"/>
          </w:tcPr>
          <w:p w:rsidR="00EE56C0" w:rsidRDefault="000F36A1">
            <w:pPr>
              <w:pStyle w:val="afa"/>
            </w:pPr>
            <w:r>
              <w:rPr>
                <w:rFonts w:hint="eastAsia"/>
              </w:rPr>
              <w:t>静电除油</w:t>
            </w:r>
            <w:r>
              <w:rPr>
                <w:rFonts w:hint="eastAsia"/>
              </w:rPr>
              <w:t>+</w:t>
            </w:r>
            <w:r>
              <w:rPr>
                <w:rFonts w:hint="eastAsia"/>
              </w:rPr>
              <w:t>活性炭吸附</w:t>
            </w:r>
            <w:r>
              <w:rPr>
                <w:rFonts w:hint="eastAsia"/>
              </w:rPr>
              <w:t>-</w:t>
            </w:r>
            <w:r>
              <w:rPr>
                <w:rFonts w:hint="eastAsia"/>
              </w:rPr>
              <w:t>脱附</w:t>
            </w:r>
            <w:r>
              <w:rPr>
                <w:rFonts w:hint="eastAsia"/>
              </w:rPr>
              <w:t>-</w:t>
            </w:r>
            <w:r>
              <w:rPr>
                <w:rFonts w:hint="eastAsia"/>
              </w:rPr>
              <w:t>催化燃烧</w:t>
            </w:r>
            <w:r>
              <w:rPr>
                <w:rFonts w:hint="eastAsia"/>
              </w:rPr>
              <w:t>T</w:t>
            </w:r>
            <w:r>
              <w:rPr>
                <w:rFonts w:hint="eastAsia"/>
              </w:rPr>
              <w:t>（依托现有）</w:t>
            </w:r>
          </w:p>
        </w:tc>
        <w:tc>
          <w:tcPr>
            <w:tcW w:w="1190" w:type="dxa"/>
            <w:vMerge w:val="restart"/>
            <w:vAlign w:val="center"/>
          </w:tcPr>
          <w:p w:rsidR="00EE56C0" w:rsidRDefault="000F36A1">
            <w:pPr>
              <w:pStyle w:val="afa"/>
            </w:pPr>
            <w:r>
              <w:rPr>
                <w:rFonts w:hint="eastAsia"/>
              </w:rPr>
              <w:t>26.5m</w:t>
            </w:r>
            <w:r>
              <w:rPr>
                <w:rFonts w:hint="eastAsia"/>
              </w:rPr>
              <w:t>排气筒</w:t>
            </w:r>
            <w:r w:rsidR="008660AC">
              <w:rPr>
                <w:rFonts w:hint="eastAsia"/>
              </w:rPr>
              <w:t>P</w:t>
            </w:r>
            <w:r>
              <w:rPr>
                <w:rFonts w:hint="eastAsia"/>
              </w:rPr>
              <w:t>（依托现有）</w:t>
            </w:r>
          </w:p>
        </w:tc>
      </w:tr>
      <w:tr w:rsidR="00EE56C0">
        <w:trPr>
          <w:trHeight w:val="454"/>
        </w:trPr>
        <w:tc>
          <w:tcPr>
            <w:tcW w:w="1526" w:type="dxa"/>
            <w:vMerge w:val="restart"/>
            <w:vAlign w:val="center"/>
          </w:tcPr>
          <w:p w:rsidR="00EE56C0" w:rsidRDefault="000F36A1">
            <w:pPr>
              <w:pStyle w:val="afa"/>
            </w:pPr>
            <w:r>
              <w:rPr>
                <w:rFonts w:hint="eastAsia"/>
              </w:rPr>
              <w:t>丝包线</w:t>
            </w:r>
          </w:p>
        </w:tc>
        <w:tc>
          <w:tcPr>
            <w:tcW w:w="1559" w:type="dxa"/>
            <w:vAlign w:val="center"/>
          </w:tcPr>
          <w:p w:rsidR="00EE56C0" w:rsidRDefault="000F36A1">
            <w:pPr>
              <w:pStyle w:val="afa"/>
            </w:pPr>
            <w:r>
              <w:rPr>
                <w:rFonts w:hint="eastAsia"/>
              </w:rPr>
              <w:t>涂漆、烘炉进出口</w:t>
            </w:r>
          </w:p>
        </w:tc>
        <w:tc>
          <w:tcPr>
            <w:tcW w:w="2031" w:type="dxa"/>
            <w:vAlign w:val="center"/>
          </w:tcPr>
          <w:p w:rsidR="00EE56C0" w:rsidRDefault="000F36A1">
            <w:pPr>
              <w:pStyle w:val="afa"/>
            </w:pPr>
            <w:r>
              <w:rPr>
                <w:rFonts w:hint="eastAsia"/>
              </w:rPr>
              <w:t>/</w:t>
            </w:r>
          </w:p>
        </w:tc>
        <w:tc>
          <w:tcPr>
            <w:tcW w:w="2222" w:type="dxa"/>
            <w:vMerge/>
            <w:vAlign w:val="center"/>
          </w:tcPr>
          <w:p w:rsidR="00EE56C0" w:rsidRDefault="00EE56C0">
            <w:pPr>
              <w:pStyle w:val="afa"/>
            </w:pPr>
          </w:p>
        </w:tc>
        <w:tc>
          <w:tcPr>
            <w:tcW w:w="1190" w:type="dxa"/>
            <w:vMerge/>
            <w:vAlign w:val="center"/>
          </w:tcPr>
          <w:p w:rsidR="00EE56C0" w:rsidRDefault="00EE56C0">
            <w:pPr>
              <w:pStyle w:val="afa"/>
            </w:pPr>
          </w:p>
        </w:tc>
      </w:tr>
      <w:tr w:rsidR="00EE56C0">
        <w:trPr>
          <w:trHeight w:val="454"/>
        </w:trPr>
        <w:tc>
          <w:tcPr>
            <w:tcW w:w="1526" w:type="dxa"/>
            <w:vMerge/>
            <w:vAlign w:val="center"/>
          </w:tcPr>
          <w:p w:rsidR="00EE56C0" w:rsidRDefault="00EE56C0">
            <w:pPr>
              <w:pStyle w:val="afa"/>
            </w:pPr>
          </w:p>
        </w:tc>
        <w:tc>
          <w:tcPr>
            <w:tcW w:w="1559" w:type="dxa"/>
            <w:vAlign w:val="center"/>
          </w:tcPr>
          <w:p w:rsidR="00EE56C0" w:rsidRDefault="000F36A1">
            <w:pPr>
              <w:pStyle w:val="afa"/>
            </w:pPr>
            <w:r>
              <w:rPr>
                <w:rFonts w:hint="eastAsia"/>
              </w:rPr>
              <w:t>操作间</w:t>
            </w:r>
          </w:p>
        </w:tc>
        <w:tc>
          <w:tcPr>
            <w:tcW w:w="2031" w:type="dxa"/>
            <w:vAlign w:val="center"/>
          </w:tcPr>
          <w:p w:rsidR="00EE56C0" w:rsidRDefault="000F36A1">
            <w:pPr>
              <w:pStyle w:val="afa"/>
            </w:pPr>
            <w:r>
              <w:rPr>
                <w:rFonts w:hint="eastAsia"/>
              </w:rPr>
              <w:t>/</w:t>
            </w:r>
          </w:p>
        </w:tc>
        <w:tc>
          <w:tcPr>
            <w:tcW w:w="2222" w:type="dxa"/>
            <w:vMerge/>
            <w:vAlign w:val="center"/>
          </w:tcPr>
          <w:p w:rsidR="00EE56C0" w:rsidRDefault="00EE56C0">
            <w:pPr>
              <w:pStyle w:val="afa"/>
            </w:pPr>
          </w:p>
        </w:tc>
        <w:tc>
          <w:tcPr>
            <w:tcW w:w="1190" w:type="dxa"/>
            <w:vMerge/>
            <w:vAlign w:val="center"/>
          </w:tcPr>
          <w:p w:rsidR="00EE56C0" w:rsidRDefault="00EE56C0">
            <w:pPr>
              <w:pStyle w:val="afa"/>
            </w:pPr>
          </w:p>
        </w:tc>
      </w:tr>
      <w:tr w:rsidR="00EE56C0">
        <w:trPr>
          <w:trHeight w:val="454"/>
        </w:trPr>
        <w:tc>
          <w:tcPr>
            <w:tcW w:w="1526" w:type="dxa"/>
            <w:vMerge w:val="restart"/>
            <w:vAlign w:val="center"/>
          </w:tcPr>
          <w:p w:rsidR="00EE56C0" w:rsidRDefault="000F36A1">
            <w:pPr>
              <w:pStyle w:val="afa"/>
            </w:pPr>
            <w:r>
              <w:rPr>
                <w:rFonts w:hint="eastAsia"/>
              </w:rPr>
              <w:t>立式漆包机（</w:t>
            </w:r>
            <w:r>
              <w:rPr>
                <w:rFonts w:hint="eastAsia"/>
              </w:rPr>
              <w:t>5</w:t>
            </w:r>
            <w:r>
              <w:rPr>
                <w:rFonts w:hint="eastAsia"/>
              </w:rPr>
              <w:t>台）</w:t>
            </w:r>
          </w:p>
        </w:tc>
        <w:tc>
          <w:tcPr>
            <w:tcW w:w="1559" w:type="dxa"/>
            <w:vAlign w:val="center"/>
          </w:tcPr>
          <w:p w:rsidR="00EE56C0" w:rsidRDefault="000F36A1">
            <w:pPr>
              <w:pStyle w:val="afa"/>
            </w:pPr>
            <w:r>
              <w:rPr>
                <w:rFonts w:hint="eastAsia"/>
              </w:rPr>
              <w:t>涂漆、烘炉进出口</w:t>
            </w:r>
          </w:p>
        </w:tc>
        <w:tc>
          <w:tcPr>
            <w:tcW w:w="2031" w:type="dxa"/>
            <w:vAlign w:val="center"/>
          </w:tcPr>
          <w:p w:rsidR="00EE56C0" w:rsidRDefault="000F36A1">
            <w:pPr>
              <w:pStyle w:val="afa"/>
            </w:pPr>
            <w:r>
              <w:rPr>
                <w:rFonts w:hint="eastAsia"/>
              </w:rPr>
              <w:t>炉内</w:t>
            </w:r>
            <w:r>
              <w:rPr>
                <w:rFonts w:hint="eastAsia"/>
              </w:rPr>
              <w:t>2</w:t>
            </w:r>
            <w:r>
              <w:rPr>
                <w:rFonts w:hint="eastAsia"/>
              </w:rPr>
              <w:t>次催化燃烧</w:t>
            </w:r>
          </w:p>
        </w:tc>
        <w:tc>
          <w:tcPr>
            <w:tcW w:w="2222" w:type="dxa"/>
            <w:vAlign w:val="center"/>
          </w:tcPr>
          <w:p w:rsidR="00EE56C0" w:rsidRDefault="000F36A1">
            <w:pPr>
              <w:pStyle w:val="afa"/>
            </w:pPr>
            <w:r>
              <w:rPr>
                <w:rFonts w:hint="eastAsia"/>
              </w:rPr>
              <w:t>静电除油</w:t>
            </w:r>
            <w:r>
              <w:rPr>
                <w:rFonts w:hint="eastAsia"/>
              </w:rPr>
              <w:t>+</w:t>
            </w:r>
            <w:r>
              <w:rPr>
                <w:rFonts w:hint="eastAsia"/>
              </w:rPr>
              <w:t>活性炭吸附</w:t>
            </w:r>
            <w:r>
              <w:rPr>
                <w:rFonts w:hint="eastAsia"/>
              </w:rPr>
              <w:t>-</w:t>
            </w:r>
            <w:r>
              <w:rPr>
                <w:rFonts w:hint="eastAsia"/>
              </w:rPr>
              <w:t>脱附</w:t>
            </w:r>
            <w:r>
              <w:rPr>
                <w:rFonts w:hint="eastAsia"/>
              </w:rPr>
              <w:t>-</w:t>
            </w:r>
            <w:r>
              <w:rPr>
                <w:rFonts w:hint="eastAsia"/>
              </w:rPr>
              <w:t>催化燃烧</w:t>
            </w:r>
            <w:r>
              <w:rPr>
                <w:rFonts w:hint="eastAsia"/>
              </w:rPr>
              <w:t>T</w:t>
            </w:r>
            <w:r>
              <w:rPr>
                <w:rFonts w:hint="eastAsia"/>
              </w:rPr>
              <w:t>（依托现有）</w:t>
            </w:r>
          </w:p>
        </w:tc>
        <w:tc>
          <w:tcPr>
            <w:tcW w:w="1190" w:type="dxa"/>
            <w:vMerge/>
            <w:vAlign w:val="center"/>
          </w:tcPr>
          <w:p w:rsidR="00EE56C0" w:rsidRDefault="00EE56C0">
            <w:pPr>
              <w:pStyle w:val="afa"/>
            </w:pPr>
          </w:p>
        </w:tc>
      </w:tr>
      <w:tr w:rsidR="00EE56C0">
        <w:trPr>
          <w:trHeight w:val="454"/>
        </w:trPr>
        <w:tc>
          <w:tcPr>
            <w:tcW w:w="1526" w:type="dxa"/>
            <w:vMerge/>
            <w:vAlign w:val="center"/>
          </w:tcPr>
          <w:p w:rsidR="00EE56C0" w:rsidRDefault="00EE56C0">
            <w:pPr>
              <w:pStyle w:val="afa"/>
            </w:pPr>
          </w:p>
        </w:tc>
        <w:tc>
          <w:tcPr>
            <w:tcW w:w="1559" w:type="dxa"/>
            <w:vAlign w:val="center"/>
          </w:tcPr>
          <w:p w:rsidR="00EE56C0" w:rsidRDefault="000F36A1">
            <w:pPr>
              <w:pStyle w:val="afa"/>
              <w:rPr>
                <w:rFonts w:cs="Calibri"/>
              </w:rPr>
            </w:pPr>
            <w:r>
              <w:rPr>
                <w:rFonts w:hint="eastAsia"/>
                <w:lang w:val="pt-BR"/>
              </w:rPr>
              <w:t>二次封闭通道</w:t>
            </w:r>
            <w:r>
              <w:rPr>
                <w:rFonts w:hint="eastAsia"/>
              </w:rPr>
              <w:t>（立机）</w:t>
            </w:r>
          </w:p>
        </w:tc>
        <w:tc>
          <w:tcPr>
            <w:tcW w:w="2031" w:type="dxa"/>
            <w:vAlign w:val="center"/>
          </w:tcPr>
          <w:p w:rsidR="00EE56C0" w:rsidRDefault="000F36A1">
            <w:pPr>
              <w:pStyle w:val="afa"/>
            </w:pPr>
            <w:r>
              <w:rPr>
                <w:rFonts w:hint="eastAsia"/>
              </w:rPr>
              <w:t>/</w:t>
            </w:r>
          </w:p>
        </w:tc>
        <w:tc>
          <w:tcPr>
            <w:tcW w:w="2222" w:type="dxa"/>
            <w:vMerge w:val="restart"/>
            <w:vAlign w:val="center"/>
          </w:tcPr>
          <w:p w:rsidR="00EE56C0" w:rsidRDefault="000F36A1">
            <w:pPr>
              <w:pStyle w:val="afa"/>
            </w:pPr>
            <w:r>
              <w:rPr>
                <w:rFonts w:hint="eastAsia"/>
              </w:rPr>
              <w:t>沸石吸附</w:t>
            </w:r>
            <w:r>
              <w:rPr>
                <w:rFonts w:hint="eastAsia"/>
              </w:rPr>
              <w:t>-</w:t>
            </w:r>
            <w:r>
              <w:rPr>
                <w:rFonts w:hint="eastAsia"/>
              </w:rPr>
              <w:t>脱附</w:t>
            </w:r>
            <w:r>
              <w:rPr>
                <w:rFonts w:hint="eastAsia"/>
              </w:rPr>
              <w:t>-</w:t>
            </w:r>
            <w:r>
              <w:rPr>
                <w:rFonts w:hint="eastAsia"/>
              </w:rPr>
              <w:t>催化燃烧</w:t>
            </w:r>
            <w:r>
              <w:rPr>
                <w:rFonts w:hint="eastAsia"/>
              </w:rPr>
              <w:t>F</w:t>
            </w:r>
            <w:r>
              <w:rPr>
                <w:rFonts w:hint="eastAsia"/>
              </w:rPr>
              <w:t>（依托现有）</w:t>
            </w:r>
          </w:p>
        </w:tc>
        <w:tc>
          <w:tcPr>
            <w:tcW w:w="1190" w:type="dxa"/>
            <w:vMerge/>
            <w:vAlign w:val="center"/>
          </w:tcPr>
          <w:p w:rsidR="00EE56C0" w:rsidRDefault="00EE56C0">
            <w:pPr>
              <w:pStyle w:val="afa"/>
            </w:pPr>
          </w:p>
        </w:tc>
      </w:tr>
      <w:tr w:rsidR="00EE56C0">
        <w:trPr>
          <w:trHeight w:val="454"/>
        </w:trPr>
        <w:tc>
          <w:tcPr>
            <w:tcW w:w="1526" w:type="dxa"/>
            <w:vMerge w:val="restart"/>
            <w:vAlign w:val="center"/>
          </w:tcPr>
          <w:p w:rsidR="00EE56C0" w:rsidRDefault="000F36A1">
            <w:pPr>
              <w:pStyle w:val="afa"/>
            </w:pPr>
            <w:r>
              <w:rPr>
                <w:rFonts w:hint="eastAsia"/>
              </w:rPr>
              <w:t>拉包机（卧式</w:t>
            </w:r>
            <w:r>
              <w:rPr>
                <w:rFonts w:hint="eastAsia"/>
              </w:rPr>
              <w:t>3</w:t>
            </w:r>
            <w:r>
              <w:rPr>
                <w:rFonts w:hint="eastAsia"/>
              </w:rPr>
              <w:t>台</w:t>
            </w:r>
            <w:r>
              <w:rPr>
                <w:rFonts w:hint="eastAsia"/>
              </w:rPr>
              <w:t>+</w:t>
            </w:r>
            <w:r>
              <w:rPr>
                <w:rFonts w:hint="eastAsia"/>
              </w:rPr>
              <w:t>立式</w:t>
            </w:r>
            <w:r>
              <w:rPr>
                <w:rFonts w:hint="eastAsia"/>
              </w:rPr>
              <w:t>2</w:t>
            </w:r>
            <w:r>
              <w:rPr>
                <w:rFonts w:hint="eastAsia"/>
              </w:rPr>
              <w:t>台）</w:t>
            </w:r>
          </w:p>
        </w:tc>
        <w:tc>
          <w:tcPr>
            <w:tcW w:w="1559" w:type="dxa"/>
            <w:vAlign w:val="center"/>
          </w:tcPr>
          <w:p w:rsidR="00EE56C0" w:rsidRDefault="000F36A1">
            <w:pPr>
              <w:pStyle w:val="afa"/>
              <w:rPr>
                <w:rFonts w:cs="Calibri"/>
              </w:rPr>
            </w:pPr>
            <w:r>
              <w:rPr>
                <w:rFonts w:hint="eastAsia"/>
                <w:lang w:val="pt-BR"/>
              </w:rPr>
              <w:t>二次封闭通道</w:t>
            </w:r>
            <w:r>
              <w:rPr>
                <w:rFonts w:hint="eastAsia"/>
              </w:rPr>
              <w:t>（立机）</w:t>
            </w:r>
          </w:p>
        </w:tc>
        <w:tc>
          <w:tcPr>
            <w:tcW w:w="2031" w:type="dxa"/>
            <w:vAlign w:val="center"/>
          </w:tcPr>
          <w:p w:rsidR="00EE56C0" w:rsidRDefault="000F36A1">
            <w:pPr>
              <w:pStyle w:val="afa"/>
            </w:pPr>
            <w:r>
              <w:rPr>
                <w:rFonts w:hint="eastAsia"/>
              </w:rPr>
              <w:t>/</w:t>
            </w:r>
          </w:p>
        </w:tc>
        <w:tc>
          <w:tcPr>
            <w:tcW w:w="2222" w:type="dxa"/>
            <w:vMerge/>
            <w:vAlign w:val="center"/>
          </w:tcPr>
          <w:p w:rsidR="00EE56C0" w:rsidRDefault="00EE56C0">
            <w:pPr>
              <w:pStyle w:val="afa"/>
            </w:pPr>
          </w:p>
        </w:tc>
        <w:tc>
          <w:tcPr>
            <w:tcW w:w="1190" w:type="dxa"/>
            <w:vMerge/>
            <w:vAlign w:val="center"/>
          </w:tcPr>
          <w:p w:rsidR="00EE56C0" w:rsidRDefault="00EE56C0">
            <w:pPr>
              <w:pStyle w:val="afa"/>
            </w:pPr>
          </w:p>
        </w:tc>
      </w:tr>
      <w:tr w:rsidR="00EE56C0">
        <w:trPr>
          <w:trHeight w:val="454"/>
        </w:trPr>
        <w:tc>
          <w:tcPr>
            <w:tcW w:w="1526" w:type="dxa"/>
            <w:vMerge/>
            <w:vAlign w:val="center"/>
          </w:tcPr>
          <w:p w:rsidR="00EE56C0" w:rsidRDefault="00EE56C0">
            <w:pPr>
              <w:pStyle w:val="afa"/>
            </w:pPr>
          </w:p>
        </w:tc>
        <w:tc>
          <w:tcPr>
            <w:tcW w:w="1559" w:type="dxa"/>
            <w:vAlign w:val="center"/>
          </w:tcPr>
          <w:p w:rsidR="00EE56C0" w:rsidRDefault="000F36A1">
            <w:pPr>
              <w:pStyle w:val="afa"/>
            </w:pPr>
            <w:r>
              <w:rPr>
                <w:rFonts w:hint="eastAsia"/>
              </w:rPr>
              <w:t>涂漆、烘炉进出口</w:t>
            </w:r>
          </w:p>
        </w:tc>
        <w:tc>
          <w:tcPr>
            <w:tcW w:w="2031" w:type="dxa"/>
            <w:vAlign w:val="center"/>
          </w:tcPr>
          <w:p w:rsidR="00EE56C0" w:rsidRDefault="000F36A1">
            <w:pPr>
              <w:pStyle w:val="afa"/>
            </w:pPr>
            <w:r>
              <w:rPr>
                <w:rFonts w:hint="eastAsia"/>
              </w:rPr>
              <w:t>炉内</w:t>
            </w:r>
            <w:r>
              <w:rPr>
                <w:rFonts w:hint="eastAsia"/>
              </w:rPr>
              <w:t>2</w:t>
            </w:r>
            <w:r>
              <w:rPr>
                <w:rFonts w:hint="eastAsia"/>
              </w:rPr>
              <w:t>次催化燃烧</w:t>
            </w:r>
          </w:p>
        </w:tc>
        <w:tc>
          <w:tcPr>
            <w:tcW w:w="2222" w:type="dxa"/>
            <w:vMerge/>
            <w:vAlign w:val="center"/>
          </w:tcPr>
          <w:p w:rsidR="00EE56C0" w:rsidRDefault="00EE56C0">
            <w:pPr>
              <w:pStyle w:val="afa"/>
            </w:pPr>
          </w:p>
        </w:tc>
        <w:tc>
          <w:tcPr>
            <w:tcW w:w="1190" w:type="dxa"/>
            <w:vMerge/>
            <w:vAlign w:val="center"/>
          </w:tcPr>
          <w:p w:rsidR="00EE56C0" w:rsidRDefault="00EE56C0">
            <w:pPr>
              <w:pStyle w:val="afa"/>
            </w:pPr>
          </w:p>
        </w:tc>
      </w:tr>
    </w:tbl>
    <w:p w:rsidR="00EE56C0" w:rsidRDefault="000F36A1">
      <w:pPr>
        <w:pStyle w:val="afd"/>
        <w:spacing w:before="120" w:after="120"/>
        <w:ind w:firstLine="482"/>
      </w:pPr>
      <w:r>
        <w:rPr>
          <w:rFonts w:hint="eastAsia"/>
        </w:rPr>
        <w:t>表</w:t>
      </w:r>
      <w:r>
        <w:rPr>
          <w:rFonts w:hint="eastAsia"/>
        </w:rPr>
        <w:t xml:space="preserve">3-28               </w:t>
      </w:r>
      <w:r>
        <w:rPr>
          <w:rFonts w:hint="eastAsia"/>
        </w:rPr>
        <w:t>二期废气治理措施情况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1"/>
        <w:gridCol w:w="2126"/>
        <w:gridCol w:w="2126"/>
        <w:gridCol w:w="3175"/>
      </w:tblGrid>
      <w:tr w:rsidR="00EE56C0">
        <w:trPr>
          <w:trHeight w:val="454"/>
        </w:trPr>
        <w:tc>
          <w:tcPr>
            <w:tcW w:w="1101" w:type="dxa"/>
            <w:vAlign w:val="center"/>
          </w:tcPr>
          <w:p w:rsidR="00EE56C0" w:rsidRDefault="000F36A1">
            <w:pPr>
              <w:pStyle w:val="aff1"/>
              <w:rPr>
                <w:color w:val="auto"/>
              </w:rPr>
            </w:pPr>
            <w:r>
              <w:rPr>
                <w:rFonts w:hint="eastAsia"/>
                <w:color w:val="auto"/>
              </w:rPr>
              <w:t>废气</w:t>
            </w:r>
          </w:p>
        </w:tc>
        <w:tc>
          <w:tcPr>
            <w:tcW w:w="2126" w:type="dxa"/>
            <w:vAlign w:val="center"/>
          </w:tcPr>
          <w:p w:rsidR="00EE56C0" w:rsidRDefault="000F36A1">
            <w:pPr>
              <w:pStyle w:val="aff1"/>
              <w:rPr>
                <w:color w:val="auto"/>
              </w:rPr>
            </w:pPr>
            <w:r>
              <w:rPr>
                <w:rFonts w:hint="eastAsia"/>
                <w:color w:val="auto"/>
              </w:rPr>
              <w:t>收集部位</w:t>
            </w:r>
          </w:p>
        </w:tc>
        <w:tc>
          <w:tcPr>
            <w:tcW w:w="2126" w:type="dxa"/>
            <w:vAlign w:val="center"/>
          </w:tcPr>
          <w:p w:rsidR="00EE56C0" w:rsidRDefault="000F36A1">
            <w:pPr>
              <w:pStyle w:val="aff1"/>
              <w:rPr>
                <w:color w:val="auto"/>
              </w:rPr>
            </w:pPr>
            <w:r>
              <w:rPr>
                <w:rFonts w:hint="eastAsia"/>
                <w:color w:val="auto"/>
              </w:rPr>
              <w:t>二期预处理方式</w:t>
            </w:r>
          </w:p>
        </w:tc>
        <w:tc>
          <w:tcPr>
            <w:tcW w:w="3175" w:type="dxa"/>
            <w:vAlign w:val="center"/>
          </w:tcPr>
          <w:p w:rsidR="00EE56C0" w:rsidRDefault="000F36A1">
            <w:pPr>
              <w:pStyle w:val="aff1"/>
              <w:rPr>
                <w:color w:val="auto"/>
              </w:rPr>
            </w:pPr>
            <w:r>
              <w:rPr>
                <w:rFonts w:hint="eastAsia"/>
                <w:color w:val="auto"/>
              </w:rPr>
              <w:t>二期末端处理方式</w:t>
            </w:r>
          </w:p>
        </w:tc>
      </w:tr>
      <w:tr w:rsidR="00EE56C0">
        <w:trPr>
          <w:trHeight w:val="454"/>
        </w:trPr>
        <w:tc>
          <w:tcPr>
            <w:tcW w:w="1101" w:type="dxa"/>
            <w:vAlign w:val="center"/>
          </w:tcPr>
          <w:p w:rsidR="00EE56C0" w:rsidRDefault="000F36A1">
            <w:pPr>
              <w:pStyle w:val="afa"/>
            </w:pPr>
            <w:r>
              <w:rPr>
                <w:rFonts w:hint="eastAsia"/>
              </w:rPr>
              <w:t>拉丝液减量化</w:t>
            </w:r>
          </w:p>
        </w:tc>
        <w:tc>
          <w:tcPr>
            <w:tcW w:w="2126" w:type="dxa"/>
            <w:vAlign w:val="center"/>
          </w:tcPr>
          <w:p w:rsidR="00EE56C0" w:rsidRDefault="000F36A1">
            <w:pPr>
              <w:pStyle w:val="afa"/>
            </w:pPr>
            <w:r>
              <w:rPr>
                <w:rFonts w:hint="eastAsia"/>
              </w:rPr>
              <w:t>气液分离罐出气口</w:t>
            </w:r>
          </w:p>
        </w:tc>
        <w:tc>
          <w:tcPr>
            <w:tcW w:w="2126" w:type="dxa"/>
            <w:vAlign w:val="center"/>
          </w:tcPr>
          <w:p w:rsidR="00EE56C0" w:rsidRDefault="000F36A1">
            <w:pPr>
              <w:pStyle w:val="afa"/>
            </w:pPr>
            <w:r>
              <w:rPr>
                <w:rFonts w:hint="eastAsia"/>
              </w:rPr>
              <w:t>/</w:t>
            </w:r>
          </w:p>
        </w:tc>
        <w:tc>
          <w:tcPr>
            <w:tcW w:w="3175" w:type="dxa"/>
            <w:vMerge w:val="restart"/>
            <w:vAlign w:val="center"/>
          </w:tcPr>
          <w:p w:rsidR="00EE56C0" w:rsidRDefault="000F36A1">
            <w:pPr>
              <w:pStyle w:val="afa"/>
            </w:pPr>
            <w:r>
              <w:rPr>
                <w:rFonts w:hint="eastAsia"/>
              </w:rPr>
              <w:t>静电除油</w:t>
            </w:r>
            <w:r>
              <w:rPr>
                <w:rFonts w:hint="eastAsia"/>
              </w:rPr>
              <w:t>+</w:t>
            </w:r>
            <w:r>
              <w:rPr>
                <w:rFonts w:hint="eastAsia"/>
              </w:rPr>
              <w:t>活性炭吸附</w:t>
            </w:r>
            <w:r>
              <w:rPr>
                <w:rFonts w:hint="eastAsia"/>
              </w:rPr>
              <w:t>-</w:t>
            </w:r>
            <w:r>
              <w:rPr>
                <w:rFonts w:hint="eastAsia"/>
              </w:rPr>
              <w:t>脱附</w:t>
            </w:r>
            <w:r>
              <w:rPr>
                <w:rFonts w:hint="eastAsia"/>
              </w:rPr>
              <w:t>-</w:t>
            </w:r>
            <w:r>
              <w:rPr>
                <w:rFonts w:hint="eastAsia"/>
              </w:rPr>
              <w:t>催化燃烧</w:t>
            </w:r>
            <w:r>
              <w:rPr>
                <w:rFonts w:hint="eastAsia"/>
              </w:rPr>
              <w:t>T</w:t>
            </w:r>
            <w:r>
              <w:rPr>
                <w:rFonts w:hint="eastAsia"/>
              </w:rPr>
              <w:t>（依托现有）</w:t>
            </w:r>
          </w:p>
        </w:tc>
      </w:tr>
      <w:tr w:rsidR="00EE56C0">
        <w:trPr>
          <w:trHeight w:val="454"/>
        </w:trPr>
        <w:tc>
          <w:tcPr>
            <w:tcW w:w="1101" w:type="dxa"/>
            <w:vMerge w:val="restart"/>
            <w:vAlign w:val="center"/>
          </w:tcPr>
          <w:p w:rsidR="00EE56C0" w:rsidRDefault="000F36A1">
            <w:pPr>
              <w:pStyle w:val="afa"/>
            </w:pPr>
            <w:r>
              <w:rPr>
                <w:rFonts w:hint="eastAsia"/>
              </w:rPr>
              <w:t>丝包线</w:t>
            </w:r>
          </w:p>
        </w:tc>
        <w:tc>
          <w:tcPr>
            <w:tcW w:w="2126" w:type="dxa"/>
            <w:vAlign w:val="center"/>
          </w:tcPr>
          <w:p w:rsidR="00EE56C0" w:rsidRDefault="000F36A1">
            <w:pPr>
              <w:pStyle w:val="afa"/>
            </w:pPr>
            <w:r>
              <w:rPr>
                <w:rFonts w:hint="eastAsia"/>
              </w:rPr>
              <w:t>涂漆、烘炉进出口</w:t>
            </w:r>
          </w:p>
        </w:tc>
        <w:tc>
          <w:tcPr>
            <w:tcW w:w="2126" w:type="dxa"/>
            <w:vAlign w:val="center"/>
          </w:tcPr>
          <w:p w:rsidR="00EE56C0" w:rsidRDefault="000F36A1">
            <w:pPr>
              <w:pStyle w:val="afa"/>
            </w:pPr>
            <w:r>
              <w:rPr>
                <w:rFonts w:hint="eastAsia"/>
              </w:rPr>
              <w:t>/</w:t>
            </w:r>
          </w:p>
        </w:tc>
        <w:tc>
          <w:tcPr>
            <w:tcW w:w="3175" w:type="dxa"/>
            <w:vMerge/>
            <w:vAlign w:val="center"/>
          </w:tcPr>
          <w:p w:rsidR="00EE56C0" w:rsidRDefault="00EE56C0">
            <w:pPr>
              <w:pStyle w:val="afa"/>
            </w:pPr>
          </w:p>
        </w:tc>
      </w:tr>
      <w:tr w:rsidR="00EE56C0">
        <w:trPr>
          <w:trHeight w:val="454"/>
        </w:trPr>
        <w:tc>
          <w:tcPr>
            <w:tcW w:w="1101" w:type="dxa"/>
            <w:vMerge/>
            <w:vAlign w:val="center"/>
          </w:tcPr>
          <w:p w:rsidR="00EE56C0" w:rsidRDefault="00EE56C0">
            <w:pPr>
              <w:pStyle w:val="afa"/>
            </w:pPr>
          </w:p>
        </w:tc>
        <w:tc>
          <w:tcPr>
            <w:tcW w:w="2126" w:type="dxa"/>
            <w:vAlign w:val="center"/>
          </w:tcPr>
          <w:p w:rsidR="00EE56C0" w:rsidRDefault="000F36A1">
            <w:pPr>
              <w:pStyle w:val="afa"/>
            </w:pPr>
            <w:r>
              <w:rPr>
                <w:rFonts w:hint="eastAsia"/>
              </w:rPr>
              <w:t>操作间</w:t>
            </w:r>
          </w:p>
        </w:tc>
        <w:tc>
          <w:tcPr>
            <w:tcW w:w="2126" w:type="dxa"/>
            <w:vAlign w:val="center"/>
          </w:tcPr>
          <w:p w:rsidR="00EE56C0" w:rsidRDefault="000F36A1">
            <w:pPr>
              <w:pStyle w:val="afa"/>
            </w:pPr>
            <w:r>
              <w:rPr>
                <w:rFonts w:hint="eastAsia"/>
              </w:rPr>
              <w:t>/</w:t>
            </w:r>
          </w:p>
        </w:tc>
        <w:tc>
          <w:tcPr>
            <w:tcW w:w="3175" w:type="dxa"/>
            <w:vMerge/>
            <w:vAlign w:val="center"/>
          </w:tcPr>
          <w:p w:rsidR="00EE56C0" w:rsidRDefault="00EE56C0">
            <w:pPr>
              <w:pStyle w:val="afa"/>
            </w:pPr>
          </w:p>
        </w:tc>
      </w:tr>
      <w:tr w:rsidR="00EE56C0">
        <w:trPr>
          <w:trHeight w:val="454"/>
        </w:trPr>
        <w:tc>
          <w:tcPr>
            <w:tcW w:w="1101" w:type="dxa"/>
            <w:vMerge w:val="restart"/>
            <w:vAlign w:val="center"/>
          </w:tcPr>
          <w:p w:rsidR="00EE56C0" w:rsidRDefault="000F36A1">
            <w:pPr>
              <w:pStyle w:val="afa"/>
            </w:pPr>
            <w:r>
              <w:rPr>
                <w:rFonts w:hint="eastAsia"/>
              </w:rPr>
              <w:t>漆包机（立式</w:t>
            </w:r>
            <w:r>
              <w:rPr>
                <w:rFonts w:hint="eastAsia"/>
              </w:rPr>
              <w:t>3</w:t>
            </w:r>
            <w:r>
              <w:rPr>
                <w:rFonts w:hint="eastAsia"/>
              </w:rPr>
              <w:t>台</w:t>
            </w:r>
            <w:r>
              <w:rPr>
                <w:rFonts w:hint="eastAsia"/>
              </w:rPr>
              <w:t>+</w:t>
            </w:r>
            <w:r>
              <w:rPr>
                <w:rFonts w:hint="eastAsia"/>
              </w:rPr>
              <w:t>卧式</w:t>
            </w:r>
            <w:r>
              <w:rPr>
                <w:rFonts w:hint="eastAsia"/>
              </w:rPr>
              <w:t>6</w:t>
            </w:r>
            <w:r>
              <w:rPr>
                <w:rFonts w:hint="eastAsia"/>
              </w:rPr>
              <w:t>台）</w:t>
            </w:r>
          </w:p>
        </w:tc>
        <w:tc>
          <w:tcPr>
            <w:tcW w:w="2126" w:type="dxa"/>
            <w:vAlign w:val="center"/>
          </w:tcPr>
          <w:p w:rsidR="00EE56C0" w:rsidRDefault="000F36A1">
            <w:pPr>
              <w:pStyle w:val="afa"/>
            </w:pPr>
            <w:r>
              <w:rPr>
                <w:rFonts w:hint="eastAsia"/>
              </w:rPr>
              <w:t>涂漆、烘炉进出口</w:t>
            </w:r>
          </w:p>
        </w:tc>
        <w:tc>
          <w:tcPr>
            <w:tcW w:w="2126" w:type="dxa"/>
            <w:vAlign w:val="center"/>
          </w:tcPr>
          <w:p w:rsidR="00EE56C0" w:rsidRDefault="000F36A1">
            <w:pPr>
              <w:pStyle w:val="afa"/>
            </w:pPr>
            <w:r>
              <w:rPr>
                <w:rFonts w:hint="eastAsia"/>
              </w:rPr>
              <w:t>炉内</w:t>
            </w:r>
            <w:r>
              <w:rPr>
                <w:rFonts w:hint="eastAsia"/>
              </w:rPr>
              <w:t>2</w:t>
            </w:r>
            <w:r>
              <w:rPr>
                <w:rFonts w:hint="eastAsia"/>
              </w:rPr>
              <w:t>次催化燃烧</w:t>
            </w:r>
          </w:p>
        </w:tc>
        <w:tc>
          <w:tcPr>
            <w:tcW w:w="3175" w:type="dxa"/>
            <w:vMerge/>
            <w:vAlign w:val="center"/>
          </w:tcPr>
          <w:p w:rsidR="00EE56C0" w:rsidRDefault="00EE56C0">
            <w:pPr>
              <w:pStyle w:val="afa"/>
            </w:pPr>
          </w:p>
        </w:tc>
      </w:tr>
      <w:tr w:rsidR="00EE56C0">
        <w:trPr>
          <w:trHeight w:val="454"/>
        </w:trPr>
        <w:tc>
          <w:tcPr>
            <w:tcW w:w="1101" w:type="dxa"/>
            <w:vMerge/>
            <w:vAlign w:val="center"/>
          </w:tcPr>
          <w:p w:rsidR="00EE56C0" w:rsidRDefault="00EE56C0">
            <w:pPr>
              <w:pStyle w:val="afa"/>
            </w:pPr>
          </w:p>
        </w:tc>
        <w:tc>
          <w:tcPr>
            <w:tcW w:w="2126" w:type="dxa"/>
            <w:vAlign w:val="center"/>
          </w:tcPr>
          <w:p w:rsidR="00EE56C0" w:rsidRDefault="000F36A1">
            <w:pPr>
              <w:pStyle w:val="afa"/>
              <w:rPr>
                <w:rFonts w:cs="Calibri"/>
              </w:rPr>
            </w:pPr>
            <w:r>
              <w:rPr>
                <w:rFonts w:hint="eastAsia"/>
                <w:lang w:val="pt-BR"/>
              </w:rPr>
              <w:t>二次封闭通道</w:t>
            </w:r>
            <w:r>
              <w:rPr>
                <w:rFonts w:hint="eastAsia"/>
              </w:rPr>
              <w:t>（</w:t>
            </w:r>
            <w:r>
              <w:rPr>
                <w:rFonts w:hint="eastAsia"/>
              </w:rPr>
              <w:t>3</w:t>
            </w:r>
            <w:r>
              <w:rPr>
                <w:rFonts w:hint="eastAsia"/>
              </w:rPr>
              <w:t>台立机）</w:t>
            </w:r>
          </w:p>
        </w:tc>
        <w:tc>
          <w:tcPr>
            <w:tcW w:w="2126" w:type="dxa"/>
            <w:vAlign w:val="center"/>
          </w:tcPr>
          <w:p w:rsidR="00EE56C0" w:rsidRDefault="000F36A1">
            <w:pPr>
              <w:pStyle w:val="afa"/>
            </w:pPr>
            <w:r>
              <w:rPr>
                <w:rFonts w:hint="eastAsia"/>
              </w:rPr>
              <w:t>/</w:t>
            </w:r>
          </w:p>
        </w:tc>
        <w:tc>
          <w:tcPr>
            <w:tcW w:w="3175" w:type="dxa"/>
            <w:vMerge w:val="restart"/>
            <w:vAlign w:val="center"/>
          </w:tcPr>
          <w:p w:rsidR="00EE56C0" w:rsidRDefault="000F36A1">
            <w:pPr>
              <w:pStyle w:val="afa"/>
            </w:pPr>
            <w:r>
              <w:rPr>
                <w:rFonts w:hint="eastAsia"/>
              </w:rPr>
              <w:t>沸石吸附</w:t>
            </w:r>
            <w:r>
              <w:rPr>
                <w:rFonts w:hint="eastAsia"/>
              </w:rPr>
              <w:t>-</w:t>
            </w:r>
            <w:r>
              <w:rPr>
                <w:rFonts w:hint="eastAsia"/>
              </w:rPr>
              <w:t>脱附</w:t>
            </w:r>
            <w:r>
              <w:rPr>
                <w:rFonts w:hint="eastAsia"/>
              </w:rPr>
              <w:t>-</w:t>
            </w:r>
            <w:r>
              <w:rPr>
                <w:rFonts w:hint="eastAsia"/>
              </w:rPr>
              <w:t>催化燃烧</w:t>
            </w:r>
            <w:r>
              <w:rPr>
                <w:rFonts w:hint="eastAsia"/>
              </w:rPr>
              <w:t>F</w:t>
            </w:r>
            <w:r>
              <w:rPr>
                <w:rFonts w:hint="eastAsia"/>
              </w:rPr>
              <w:t>（依托现有）</w:t>
            </w:r>
          </w:p>
        </w:tc>
      </w:tr>
      <w:tr w:rsidR="00EE56C0">
        <w:trPr>
          <w:trHeight w:val="454"/>
        </w:trPr>
        <w:tc>
          <w:tcPr>
            <w:tcW w:w="1101" w:type="dxa"/>
            <w:vMerge w:val="restart"/>
            <w:vAlign w:val="center"/>
          </w:tcPr>
          <w:p w:rsidR="00EE56C0" w:rsidRDefault="000F36A1">
            <w:pPr>
              <w:pStyle w:val="afa"/>
            </w:pPr>
            <w:r>
              <w:rPr>
                <w:rFonts w:hint="eastAsia"/>
              </w:rPr>
              <w:t>拉包机（卧式</w:t>
            </w:r>
            <w:r>
              <w:rPr>
                <w:rFonts w:hint="eastAsia"/>
              </w:rPr>
              <w:t>4</w:t>
            </w:r>
            <w:r>
              <w:rPr>
                <w:rFonts w:hint="eastAsia"/>
              </w:rPr>
              <w:t>台</w:t>
            </w:r>
            <w:r>
              <w:rPr>
                <w:rFonts w:hint="eastAsia"/>
              </w:rPr>
              <w:t>+</w:t>
            </w:r>
            <w:r>
              <w:rPr>
                <w:rFonts w:hint="eastAsia"/>
              </w:rPr>
              <w:t>立式</w:t>
            </w:r>
            <w:r>
              <w:rPr>
                <w:rFonts w:hint="eastAsia"/>
              </w:rPr>
              <w:t>10</w:t>
            </w:r>
            <w:r>
              <w:rPr>
                <w:rFonts w:hint="eastAsia"/>
              </w:rPr>
              <w:t>台）</w:t>
            </w:r>
          </w:p>
        </w:tc>
        <w:tc>
          <w:tcPr>
            <w:tcW w:w="2126" w:type="dxa"/>
            <w:vAlign w:val="center"/>
          </w:tcPr>
          <w:p w:rsidR="00EE56C0" w:rsidRDefault="000F36A1">
            <w:pPr>
              <w:pStyle w:val="afa"/>
              <w:rPr>
                <w:rFonts w:cs="Calibri"/>
              </w:rPr>
            </w:pPr>
            <w:r>
              <w:rPr>
                <w:rFonts w:hint="eastAsia"/>
                <w:lang w:val="pt-BR"/>
              </w:rPr>
              <w:t>二次封闭通道</w:t>
            </w:r>
            <w:r>
              <w:rPr>
                <w:rFonts w:hint="eastAsia"/>
              </w:rPr>
              <w:t>（</w:t>
            </w:r>
            <w:r>
              <w:rPr>
                <w:rFonts w:hint="eastAsia"/>
              </w:rPr>
              <w:t>10</w:t>
            </w:r>
            <w:r>
              <w:rPr>
                <w:rFonts w:hint="eastAsia"/>
              </w:rPr>
              <w:t>台立机）</w:t>
            </w:r>
          </w:p>
        </w:tc>
        <w:tc>
          <w:tcPr>
            <w:tcW w:w="2126" w:type="dxa"/>
            <w:vAlign w:val="center"/>
          </w:tcPr>
          <w:p w:rsidR="00EE56C0" w:rsidRDefault="000F36A1">
            <w:pPr>
              <w:pStyle w:val="afa"/>
            </w:pPr>
            <w:r>
              <w:rPr>
                <w:rFonts w:hint="eastAsia"/>
              </w:rPr>
              <w:t>/</w:t>
            </w:r>
          </w:p>
        </w:tc>
        <w:tc>
          <w:tcPr>
            <w:tcW w:w="3175" w:type="dxa"/>
            <w:vMerge/>
            <w:vAlign w:val="center"/>
          </w:tcPr>
          <w:p w:rsidR="00EE56C0" w:rsidRDefault="00EE56C0">
            <w:pPr>
              <w:pStyle w:val="afa"/>
            </w:pPr>
          </w:p>
        </w:tc>
      </w:tr>
      <w:tr w:rsidR="00EE56C0">
        <w:trPr>
          <w:trHeight w:val="454"/>
        </w:trPr>
        <w:tc>
          <w:tcPr>
            <w:tcW w:w="1101" w:type="dxa"/>
            <w:vMerge/>
            <w:vAlign w:val="center"/>
          </w:tcPr>
          <w:p w:rsidR="00EE56C0" w:rsidRDefault="00EE56C0">
            <w:pPr>
              <w:pStyle w:val="afa"/>
            </w:pPr>
          </w:p>
        </w:tc>
        <w:tc>
          <w:tcPr>
            <w:tcW w:w="2126" w:type="dxa"/>
            <w:vAlign w:val="center"/>
          </w:tcPr>
          <w:p w:rsidR="00EE56C0" w:rsidRDefault="000F36A1">
            <w:pPr>
              <w:pStyle w:val="afa"/>
            </w:pPr>
            <w:r>
              <w:rPr>
                <w:rFonts w:hint="eastAsia"/>
              </w:rPr>
              <w:t>涂漆、烘炉进出口</w:t>
            </w:r>
          </w:p>
        </w:tc>
        <w:tc>
          <w:tcPr>
            <w:tcW w:w="2126" w:type="dxa"/>
            <w:vAlign w:val="center"/>
          </w:tcPr>
          <w:p w:rsidR="00EE56C0" w:rsidRDefault="000F36A1">
            <w:pPr>
              <w:pStyle w:val="afa"/>
            </w:pPr>
            <w:r>
              <w:rPr>
                <w:rFonts w:hint="eastAsia"/>
              </w:rPr>
              <w:t>炉内</w:t>
            </w:r>
            <w:r>
              <w:rPr>
                <w:rFonts w:hint="eastAsia"/>
              </w:rPr>
              <w:t>2</w:t>
            </w:r>
            <w:r>
              <w:rPr>
                <w:rFonts w:hint="eastAsia"/>
              </w:rPr>
              <w:t>次催化燃烧</w:t>
            </w:r>
          </w:p>
        </w:tc>
        <w:tc>
          <w:tcPr>
            <w:tcW w:w="3175" w:type="dxa"/>
            <w:vMerge/>
            <w:vAlign w:val="center"/>
          </w:tcPr>
          <w:p w:rsidR="00EE56C0" w:rsidRDefault="00EE56C0">
            <w:pPr>
              <w:pStyle w:val="afa"/>
            </w:pPr>
          </w:p>
        </w:tc>
      </w:tr>
    </w:tbl>
    <w:p w:rsidR="00EE56C0" w:rsidRDefault="000F36A1">
      <w:pPr>
        <w:ind w:firstLine="482"/>
        <w:rPr>
          <w:b/>
        </w:rPr>
      </w:pPr>
      <w:r>
        <w:rPr>
          <w:rFonts w:hint="eastAsia"/>
          <w:b/>
        </w:rPr>
        <w:lastRenderedPageBreak/>
        <w:t>①冷凝过程产生的不凝气产生情况</w:t>
      </w:r>
    </w:p>
    <w:p w:rsidR="00EE56C0" w:rsidRDefault="000F36A1">
      <w:pPr>
        <w:ind w:firstLine="480"/>
      </w:pPr>
      <w:r>
        <w:rPr>
          <w:rFonts w:hint="eastAsia"/>
        </w:rPr>
        <w:t>根据“</w:t>
      </w:r>
      <w:r>
        <w:rPr>
          <w:rFonts w:hint="eastAsia"/>
        </w:rPr>
        <w:t>2</w:t>
      </w:r>
      <w:r>
        <w:rPr>
          <w:rFonts w:hint="eastAsia"/>
        </w:rPr>
        <w:t>、冷凝过程产生的不凝气”分析，非甲烷总烃产生量为现有工程</w:t>
      </w:r>
      <w:r>
        <w:rPr>
          <w:rFonts w:hint="eastAsia"/>
        </w:rPr>
        <w:t>0.40t/a</w:t>
      </w:r>
      <w:r>
        <w:rPr>
          <w:rFonts w:hint="eastAsia"/>
        </w:rPr>
        <w:t>、一期</w:t>
      </w:r>
      <w:r>
        <w:rPr>
          <w:rFonts w:hint="eastAsia"/>
        </w:rPr>
        <w:t>0.07t/a</w:t>
      </w:r>
      <w:r>
        <w:rPr>
          <w:rFonts w:hint="eastAsia"/>
        </w:rPr>
        <w:t>、二期</w:t>
      </w:r>
      <w:r>
        <w:rPr>
          <w:rFonts w:hint="eastAsia"/>
        </w:rPr>
        <w:t>0.17t/a</w:t>
      </w:r>
      <w:r>
        <w:rPr>
          <w:rFonts w:hint="eastAsia"/>
        </w:rPr>
        <w:t>，现有、一期、二期废气产生量共</w:t>
      </w:r>
      <w:r>
        <w:rPr>
          <w:rFonts w:hint="eastAsia"/>
        </w:rPr>
        <w:t>0.64t/a</w:t>
      </w:r>
      <w:r>
        <w:rPr>
          <w:rFonts w:hint="eastAsia"/>
        </w:rPr>
        <w:t>。该部分废气均引入现有“静电除油</w:t>
      </w:r>
      <w:r>
        <w:rPr>
          <w:rFonts w:hint="eastAsia"/>
        </w:rPr>
        <w:t>+</w:t>
      </w:r>
      <w:r>
        <w:rPr>
          <w:rFonts w:hint="eastAsia"/>
        </w:rPr>
        <w:t>活性炭吸附</w:t>
      </w:r>
      <w:r>
        <w:rPr>
          <w:rFonts w:hint="eastAsia"/>
        </w:rPr>
        <w:t>-</w:t>
      </w:r>
      <w:r>
        <w:rPr>
          <w:rFonts w:hint="eastAsia"/>
        </w:rPr>
        <w:t>脱附</w:t>
      </w:r>
      <w:r>
        <w:rPr>
          <w:rFonts w:hint="eastAsia"/>
        </w:rPr>
        <w:t>-</w:t>
      </w:r>
      <w:r>
        <w:rPr>
          <w:rFonts w:hint="eastAsia"/>
        </w:rPr>
        <w:t>催化燃烧</w:t>
      </w:r>
      <w:r>
        <w:rPr>
          <w:rFonts w:hint="eastAsia"/>
        </w:rPr>
        <w:t>T</w:t>
      </w:r>
      <w:r>
        <w:rPr>
          <w:rFonts w:hint="eastAsia"/>
        </w:rPr>
        <w:t>”进行处理，因此该部分废气纳入本次一期废气分析中。</w:t>
      </w:r>
    </w:p>
    <w:p w:rsidR="00EE56C0" w:rsidRDefault="000F36A1">
      <w:pPr>
        <w:ind w:firstLine="482"/>
        <w:rPr>
          <w:b/>
        </w:rPr>
      </w:pPr>
      <w:r>
        <w:rPr>
          <w:rFonts w:hint="eastAsia"/>
          <w:b/>
        </w:rPr>
        <w:t>②漆包机、拉包机废气产生情况</w:t>
      </w:r>
    </w:p>
    <w:p w:rsidR="00EE56C0" w:rsidRDefault="000F36A1">
      <w:pPr>
        <w:ind w:firstLine="480"/>
      </w:pPr>
      <w:r>
        <w:rPr>
          <w:rFonts w:hint="eastAsia"/>
        </w:rPr>
        <w:t>涂漆区大部分</w:t>
      </w:r>
      <w:r>
        <w:t>废气</w:t>
      </w:r>
      <w:r>
        <w:rPr>
          <w:rFonts w:hint="eastAsia"/>
        </w:rPr>
        <w:t>随铜丝</w:t>
      </w:r>
      <w:r>
        <w:t>进入烘干炉内</w:t>
      </w:r>
      <w:r>
        <w:rPr>
          <w:rFonts w:hint="eastAsia"/>
        </w:rPr>
        <w:t>，随烘炉废气一起进入自带的两次</w:t>
      </w:r>
      <w:r>
        <w:t>催化燃烧装置</w:t>
      </w:r>
      <w:r>
        <w:rPr>
          <w:rFonts w:hint="eastAsia"/>
        </w:rPr>
        <w:t>进行预处理。该部分</w:t>
      </w:r>
      <w:r>
        <w:t>有机废气</w:t>
      </w:r>
      <w:r>
        <w:rPr>
          <w:rFonts w:hint="eastAsia"/>
        </w:rPr>
        <w:t>属于低风量、高温度、高浓度有机废气，经炉内两次催化燃烧装置进行预处理后再进入末端治理系统进一步处理。</w:t>
      </w:r>
    </w:p>
    <w:p w:rsidR="00EE56C0" w:rsidRDefault="000F36A1">
      <w:pPr>
        <w:spacing w:line="460" w:lineRule="exact"/>
        <w:ind w:firstLine="480"/>
      </w:pPr>
      <w:r>
        <w:rPr>
          <w:rFonts w:hint="eastAsia"/>
        </w:rPr>
        <w:t>由于卧机、立机生产的产品规格不同，本次评价卧机、立机废气产生量按照设备的数量进行折算，见下表。</w:t>
      </w:r>
    </w:p>
    <w:p w:rsidR="00EE56C0" w:rsidRDefault="000F36A1">
      <w:pPr>
        <w:pStyle w:val="afd"/>
        <w:spacing w:before="120" w:after="120"/>
        <w:ind w:firstLine="482"/>
        <w:rPr>
          <w:u w:val="single"/>
        </w:rPr>
      </w:pPr>
      <w:r>
        <w:rPr>
          <w:rFonts w:hint="eastAsia"/>
          <w:u w:val="single"/>
        </w:rPr>
        <w:t>表</w:t>
      </w:r>
      <w:r>
        <w:rPr>
          <w:rFonts w:hint="eastAsia"/>
          <w:u w:val="single"/>
        </w:rPr>
        <w:t xml:space="preserve">3-29           </w:t>
      </w:r>
      <w:r>
        <w:rPr>
          <w:rFonts w:hint="eastAsia"/>
          <w:u w:val="single"/>
        </w:rPr>
        <w:t>一期设备数量一览表</w:t>
      </w:r>
      <w:r>
        <w:rPr>
          <w:rFonts w:hint="eastAsia"/>
          <w:u w:val="single"/>
        </w:rPr>
        <w:t xml:space="preserve">         </w:t>
      </w:r>
      <w:r>
        <w:rPr>
          <w:rFonts w:hint="eastAsia"/>
          <w:u w:val="single"/>
        </w:rPr>
        <w:t>单位：台</w:t>
      </w:r>
    </w:p>
    <w:tbl>
      <w:tblPr>
        <w:tblStyle w:val="af4"/>
        <w:tblW w:w="5000" w:type="pct"/>
        <w:tblLook w:val="04A0"/>
      </w:tblPr>
      <w:tblGrid>
        <w:gridCol w:w="2377"/>
        <w:gridCol w:w="1559"/>
        <w:gridCol w:w="1416"/>
        <w:gridCol w:w="1844"/>
        <w:gridCol w:w="1332"/>
      </w:tblGrid>
      <w:tr w:rsidR="00EE56C0">
        <w:trPr>
          <w:trHeight w:val="454"/>
        </w:trPr>
        <w:tc>
          <w:tcPr>
            <w:tcW w:w="1394" w:type="pct"/>
            <w:vMerge w:val="restart"/>
            <w:vAlign w:val="center"/>
          </w:tcPr>
          <w:p w:rsidR="00EE56C0" w:rsidRDefault="000F36A1">
            <w:pPr>
              <w:pStyle w:val="aff1"/>
              <w:rPr>
                <w:color w:val="auto"/>
                <w:u w:val="single"/>
              </w:rPr>
            </w:pPr>
            <w:r>
              <w:rPr>
                <w:rFonts w:hint="eastAsia"/>
                <w:color w:val="auto"/>
                <w:u w:val="single"/>
              </w:rPr>
              <w:t>设备类型</w:t>
            </w:r>
          </w:p>
        </w:tc>
        <w:tc>
          <w:tcPr>
            <w:tcW w:w="1744" w:type="pct"/>
            <w:gridSpan w:val="2"/>
            <w:vAlign w:val="center"/>
          </w:tcPr>
          <w:p w:rsidR="00EE56C0" w:rsidRDefault="000F36A1">
            <w:pPr>
              <w:pStyle w:val="aff1"/>
              <w:rPr>
                <w:color w:val="auto"/>
                <w:u w:val="single"/>
              </w:rPr>
            </w:pPr>
            <w:r>
              <w:rPr>
                <w:rFonts w:hint="eastAsia"/>
                <w:color w:val="auto"/>
                <w:u w:val="single"/>
              </w:rPr>
              <w:t>卧机</w:t>
            </w:r>
          </w:p>
        </w:tc>
        <w:tc>
          <w:tcPr>
            <w:tcW w:w="1862" w:type="pct"/>
            <w:gridSpan w:val="2"/>
            <w:vAlign w:val="center"/>
          </w:tcPr>
          <w:p w:rsidR="00EE56C0" w:rsidRDefault="000F36A1">
            <w:pPr>
              <w:pStyle w:val="aff1"/>
              <w:rPr>
                <w:color w:val="auto"/>
                <w:u w:val="single"/>
              </w:rPr>
            </w:pPr>
            <w:r>
              <w:rPr>
                <w:rFonts w:hint="eastAsia"/>
                <w:color w:val="auto"/>
                <w:u w:val="single"/>
              </w:rPr>
              <w:t>立机</w:t>
            </w:r>
          </w:p>
        </w:tc>
      </w:tr>
      <w:tr w:rsidR="00EE56C0">
        <w:trPr>
          <w:trHeight w:val="454"/>
        </w:trPr>
        <w:tc>
          <w:tcPr>
            <w:tcW w:w="1394" w:type="pct"/>
            <w:vMerge/>
            <w:vAlign w:val="center"/>
          </w:tcPr>
          <w:p w:rsidR="00EE56C0" w:rsidRDefault="00EE56C0">
            <w:pPr>
              <w:pStyle w:val="aff1"/>
              <w:rPr>
                <w:color w:val="auto"/>
                <w:u w:val="single"/>
              </w:rPr>
            </w:pPr>
          </w:p>
        </w:tc>
        <w:tc>
          <w:tcPr>
            <w:tcW w:w="914" w:type="pct"/>
            <w:vAlign w:val="center"/>
          </w:tcPr>
          <w:p w:rsidR="00EE56C0" w:rsidRDefault="000F36A1">
            <w:pPr>
              <w:pStyle w:val="aff1"/>
              <w:rPr>
                <w:color w:val="auto"/>
                <w:u w:val="single"/>
              </w:rPr>
            </w:pPr>
            <w:r>
              <w:rPr>
                <w:rFonts w:hint="eastAsia"/>
                <w:color w:val="auto"/>
                <w:u w:val="single"/>
              </w:rPr>
              <w:t>一期</w:t>
            </w:r>
          </w:p>
        </w:tc>
        <w:tc>
          <w:tcPr>
            <w:tcW w:w="830" w:type="pct"/>
            <w:vAlign w:val="center"/>
          </w:tcPr>
          <w:p w:rsidR="00EE56C0" w:rsidRDefault="000F36A1">
            <w:pPr>
              <w:pStyle w:val="aff1"/>
              <w:rPr>
                <w:color w:val="auto"/>
                <w:u w:val="single"/>
              </w:rPr>
            </w:pPr>
            <w:r>
              <w:rPr>
                <w:rFonts w:hint="eastAsia"/>
                <w:color w:val="auto"/>
                <w:u w:val="single"/>
              </w:rPr>
              <w:t>二期</w:t>
            </w:r>
          </w:p>
        </w:tc>
        <w:tc>
          <w:tcPr>
            <w:tcW w:w="1081" w:type="pct"/>
            <w:vAlign w:val="center"/>
          </w:tcPr>
          <w:p w:rsidR="00EE56C0" w:rsidRDefault="000F36A1">
            <w:pPr>
              <w:pStyle w:val="aff1"/>
              <w:rPr>
                <w:color w:val="auto"/>
                <w:u w:val="single"/>
              </w:rPr>
            </w:pPr>
            <w:r>
              <w:rPr>
                <w:rFonts w:hint="eastAsia"/>
                <w:color w:val="auto"/>
                <w:u w:val="single"/>
              </w:rPr>
              <w:t>一期</w:t>
            </w:r>
          </w:p>
        </w:tc>
        <w:tc>
          <w:tcPr>
            <w:tcW w:w="781" w:type="pct"/>
            <w:vAlign w:val="center"/>
          </w:tcPr>
          <w:p w:rsidR="00EE56C0" w:rsidRDefault="000F36A1">
            <w:pPr>
              <w:pStyle w:val="aff1"/>
              <w:rPr>
                <w:color w:val="auto"/>
                <w:u w:val="single"/>
              </w:rPr>
            </w:pPr>
            <w:r>
              <w:rPr>
                <w:rFonts w:hint="eastAsia"/>
                <w:color w:val="auto"/>
                <w:u w:val="single"/>
              </w:rPr>
              <w:t>二期</w:t>
            </w:r>
          </w:p>
        </w:tc>
      </w:tr>
      <w:tr w:rsidR="00EE56C0">
        <w:trPr>
          <w:trHeight w:val="454"/>
        </w:trPr>
        <w:tc>
          <w:tcPr>
            <w:tcW w:w="1394" w:type="pct"/>
            <w:vAlign w:val="center"/>
          </w:tcPr>
          <w:p w:rsidR="00EE56C0" w:rsidRDefault="000F36A1">
            <w:pPr>
              <w:pStyle w:val="afa"/>
              <w:rPr>
                <w:u w:val="single"/>
              </w:rPr>
            </w:pPr>
            <w:r>
              <w:rPr>
                <w:rFonts w:hint="eastAsia"/>
                <w:u w:val="single"/>
              </w:rPr>
              <w:t>拉包机</w:t>
            </w:r>
          </w:p>
        </w:tc>
        <w:tc>
          <w:tcPr>
            <w:tcW w:w="914" w:type="pct"/>
            <w:vAlign w:val="center"/>
          </w:tcPr>
          <w:p w:rsidR="00EE56C0" w:rsidRDefault="000F36A1">
            <w:pPr>
              <w:pStyle w:val="afa"/>
              <w:rPr>
                <w:u w:val="single"/>
              </w:rPr>
            </w:pPr>
            <w:r>
              <w:rPr>
                <w:rFonts w:hint="eastAsia"/>
                <w:u w:val="single"/>
              </w:rPr>
              <w:t>3</w:t>
            </w:r>
          </w:p>
        </w:tc>
        <w:tc>
          <w:tcPr>
            <w:tcW w:w="830" w:type="pct"/>
            <w:vAlign w:val="center"/>
          </w:tcPr>
          <w:p w:rsidR="00EE56C0" w:rsidRDefault="000F36A1">
            <w:pPr>
              <w:pStyle w:val="afa"/>
              <w:rPr>
                <w:u w:val="single"/>
              </w:rPr>
            </w:pPr>
            <w:r>
              <w:rPr>
                <w:rFonts w:hint="eastAsia"/>
                <w:u w:val="single"/>
              </w:rPr>
              <w:t>4</w:t>
            </w:r>
          </w:p>
        </w:tc>
        <w:tc>
          <w:tcPr>
            <w:tcW w:w="1081" w:type="pct"/>
            <w:vAlign w:val="center"/>
          </w:tcPr>
          <w:p w:rsidR="00EE56C0" w:rsidRDefault="000F36A1">
            <w:pPr>
              <w:pStyle w:val="afa"/>
              <w:rPr>
                <w:u w:val="single"/>
              </w:rPr>
            </w:pPr>
            <w:r>
              <w:rPr>
                <w:rFonts w:hint="eastAsia"/>
                <w:u w:val="single"/>
              </w:rPr>
              <w:t>2</w:t>
            </w:r>
          </w:p>
        </w:tc>
        <w:tc>
          <w:tcPr>
            <w:tcW w:w="781" w:type="pct"/>
            <w:vAlign w:val="center"/>
          </w:tcPr>
          <w:p w:rsidR="00EE56C0" w:rsidRDefault="000F36A1">
            <w:pPr>
              <w:pStyle w:val="afa"/>
              <w:rPr>
                <w:u w:val="single"/>
              </w:rPr>
            </w:pPr>
            <w:r>
              <w:rPr>
                <w:rFonts w:hint="eastAsia"/>
                <w:u w:val="single"/>
              </w:rPr>
              <w:t>10</w:t>
            </w:r>
          </w:p>
        </w:tc>
      </w:tr>
      <w:tr w:rsidR="00EE56C0">
        <w:trPr>
          <w:trHeight w:val="454"/>
        </w:trPr>
        <w:tc>
          <w:tcPr>
            <w:tcW w:w="1394" w:type="pct"/>
            <w:vAlign w:val="center"/>
          </w:tcPr>
          <w:p w:rsidR="00EE56C0" w:rsidRDefault="000F36A1">
            <w:pPr>
              <w:pStyle w:val="afa"/>
              <w:rPr>
                <w:u w:val="single"/>
              </w:rPr>
            </w:pPr>
            <w:r>
              <w:rPr>
                <w:rFonts w:hint="eastAsia"/>
                <w:u w:val="single"/>
              </w:rPr>
              <w:t>漆包机</w:t>
            </w:r>
          </w:p>
        </w:tc>
        <w:tc>
          <w:tcPr>
            <w:tcW w:w="914" w:type="pct"/>
            <w:vAlign w:val="center"/>
          </w:tcPr>
          <w:p w:rsidR="00EE56C0" w:rsidRDefault="000F36A1">
            <w:pPr>
              <w:pStyle w:val="afa"/>
              <w:rPr>
                <w:u w:val="single"/>
              </w:rPr>
            </w:pPr>
            <w:r>
              <w:rPr>
                <w:rFonts w:hint="eastAsia"/>
                <w:u w:val="single"/>
              </w:rPr>
              <w:t>0</w:t>
            </w:r>
          </w:p>
        </w:tc>
        <w:tc>
          <w:tcPr>
            <w:tcW w:w="830" w:type="pct"/>
            <w:vAlign w:val="center"/>
          </w:tcPr>
          <w:p w:rsidR="00EE56C0" w:rsidRDefault="000F36A1">
            <w:pPr>
              <w:pStyle w:val="afa"/>
              <w:rPr>
                <w:u w:val="single"/>
              </w:rPr>
            </w:pPr>
            <w:r>
              <w:rPr>
                <w:rFonts w:hint="eastAsia"/>
                <w:u w:val="single"/>
              </w:rPr>
              <w:t>0</w:t>
            </w:r>
          </w:p>
        </w:tc>
        <w:tc>
          <w:tcPr>
            <w:tcW w:w="1081" w:type="pct"/>
            <w:vAlign w:val="center"/>
          </w:tcPr>
          <w:p w:rsidR="00EE56C0" w:rsidRDefault="000F36A1">
            <w:pPr>
              <w:pStyle w:val="afa"/>
              <w:rPr>
                <w:u w:val="single"/>
              </w:rPr>
            </w:pPr>
            <w:r>
              <w:rPr>
                <w:rFonts w:hint="eastAsia"/>
                <w:u w:val="single"/>
              </w:rPr>
              <w:t>1</w:t>
            </w:r>
          </w:p>
        </w:tc>
        <w:tc>
          <w:tcPr>
            <w:tcW w:w="781" w:type="pct"/>
            <w:vAlign w:val="center"/>
          </w:tcPr>
          <w:p w:rsidR="00EE56C0" w:rsidRDefault="000F36A1">
            <w:pPr>
              <w:pStyle w:val="afa"/>
              <w:rPr>
                <w:u w:val="single"/>
              </w:rPr>
            </w:pPr>
            <w:r>
              <w:rPr>
                <w:rFonts w:hint="eastAsia"/>
                <w:u w:val="single"/>
              </w:rPr>
              <w:t>3</w:t>
            </w:r>
          </w:p>
        </w:tc>
      </w:tr>
      <w:tr w:rsidR="00EE56C0">
        <w:trPr>
          <w:trHeight w:val="454"/>
        </w:trPr>
        <w:tc>
          <w:tcPr>
            <w:tcW w:w="1394" w:type="pct"/>
            <w:vAlign w:val="center"/>
          </w:tcPr>
          <w:p w:rsidR="00EE56C0" w:rsidRDefault="000F36A1">
            <w:pPr>
              <w:pStyle w:val="afa"/>
              <w:rPr>
                <w:u w:val="single"/>
              </w:rPr>
            </w:pPr>
            <w:r>
              <w:rPr>
                <w:rFonts w:hint="eastAsia"/>
                <w:u w:val="single"/>
              </w:rPr>
              <w:t>VOCs</w:t>
            </w:r>
            <w:r>
              <w:rPr>
                <w:rFonts w:hint="eastAsia"/>
                <w:u w:val="single"/>
              </w:rPr>
              <w:t>合计</w:t>
            </w:r>
          </w:p>
        </w:tc>
        <w:tc>
          <w:tcPr>
            <w:tcW w:w="914" w:type="pct"/>
            <w:vAlign w:val="center"/>
          </w:tcPr>
          <w:p w:rsidR="00EE56C0" w:rsidRDefault="000F36A1">
            <w:pPr>
              <w:pStyle w:val="afa"/>
              <w:rPr>
                <w:u w:val="single"/>
              </w:rPr>
            </w:pPr>
            <w:r>
              <w:rPr>
                <w:rFonts w:hint="eastAsia"/>
                <w:u w:val="single"/>
              </w:rPr>
              <w:t>3</w:t>
            </w:r>
          </w:p>
        </w:tc>
        <w:tc>
          <w:tcPr>
            <w:tcW w:w="830" w:type="pct"/>
            <w:vAlign w:val="center"/>
          </w:tcPr>
          <w:p w:rsidR="00EE56C0" w:rsidRDefault="000F36A1">
            <w:pPr>
              <w:pStyle w:val="afa"/>
              <w:rPr>
                <w:u w:val="single"/>
              </w:rPr>
            </w:pPr>
            <w:r>
              <w:rPr>
                <w:rFonts w:hint="eastAsia"/>
                <w:u w:val="single"/>
              </w:rPr>
              <w:t>4</w:t>
            </w:r>
          </w:p>
        </w:tc>
        <w:tc>
          <w:tcPr>
            <w:tcW w:w="1081" w:type="pct"/>
            <w:vAlign w:val="center"/>
          </w:tcPr>
          <w:p w:rsidR="00EE56C0" w:rsidRDefault="000F36A1">
            <w:pPr>
              <w:pStyle w:val="afa"/>
              <w:rPr>
                <w:u w:val="single"/>
              </w:rPr>
            </w:pPr>
            <w:r>
              <w:rPr>
                <w:rFonts w:hint="eastAsia"/>
                <w:u w:val="single"/>
              </w:rPr>
              <w:t>3</w:t>
            </w:r>
          </w:p>
        </w:tc>
        <w:tc>
          <w:tcPr>
            <w:tcW w:w="781" w:type="pct"/>
            <w:vAlign w:val="center"/>
          </w:tcPr>
          <w:p w:rsidR="00EE56C0" w:rsidRDefault="000F36A1">
            <w:pPr>
              <w:pStyle w:val="afa"/>
              <w:rPr>
                <w:u w:val="single"/>
              </w:rPr>
            </w:pPr>
            <w:r>
              <w:rPr>
                <w:rFonts w:hint="eastAsia"/>
                <w:u w:val="single"/>
              </w:rPr>
              <w:t>13</w:t>
            </w:r>
          </w:p>
        </w:tc>
      </w:tr>
    </w:tbl>
    <w:p w:rsidR="00EE56C0" w:rsidRDefault="000F36A1">
      <w:pPr>
        <w:pStyle w:val="afd"/>
        <w:spacing w:before="120" w:after="120"/>
        <w:ind w:firstLine="482"/>
        <w:rPr>
          <w:u w:val="single"/>
        </w:rPr>
      </w:pPr>
      <w:r>
        <w:rPr>
          <w:rFonts w:hint="eastAsia"/>
          <w:u w:val="single"/>
        </w:rPr>
        <w:t>表</w:t>
      </w:r>
      <w:r>
        <w:rPr>
          <w:rFonts w:hint="eastAsia"/>
          <w:u w:val="single"/>
        </w:rPr>
        <w:t xml:space="preserve">3-30         </w:t>
      </w:r>
      <w:r>
        <w:rPr>
          <w:rFonts w:hint="eastAsia"/>
          <w:u w:val="single"/>
        </w:rPr>
        <w:t>一期卧机、立机废气产生量一览表</w:t>
      </w:r>
      <w:r>
        <w:rPr>
          <w:rFonts w:hint="eastAsia"/>
          <w:u w:val="single"/>
        </w:rPr>
        <w:t xml:space="preserve">   </w:t>
      </w:r>
      <w:r>
        <w:rPr>
          <w:rFonts w:hint="eastAsia"/>
          <w:u w:val="single"/>
        </w:rPr>
        <w:t>单位：</w:t>
      </w:r>
      <w:r>
        <w:rPr>
          <w:rFonts w:hint="eastAsia"/>
          <w:u w:val="single"/>
        </w:rPr>
        <w:t>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02"/>
        <w:gridCol w:w="1276"/>
        <w:gridCol w:w="1284"/>
        <w:gridCol w:w="1844"/>
        <w:gridCol w:w="1134"/>
        <w:gridCol w:w="1888"/>
      </w:tblGrid>
      <w:tr w:rsidR="00EE56C0">
        <w:trPr>
          <w:trHeight w:val="454"/>
          <w:jc w:val="center"/>
        </w:trPr>
        <w:tc>
          <w:tcPr>
            <w:tcW w:w="1394" w:type="pct"/>
            <w:gridSpan w:val="2"/>
            <w:vAlign w:val="center"/>
          </w:tcPr>
          <w:p w:rsidR="00EE56C0" w:rsidRDefault="000F36A1">
            <w:pPr>
              <w:pStyle w:val="aff1"/>
              <w:rPr>
                <w:color w:val="auto"/>
                <w:u w:val="single"/>
              </w:rPr>
            </w:pPr>
            <w:r>
              <w:rPr>
                <w:rFonts w:hint="eastAsia"/>
                <w:color w:val="auto"/>
                <w:u w:val="single"/>
              </w:rPr>
              <w:t>漆包线</w:t>
            </w:r>
          </w:p>
        </w:tc>
        <w:tc>
          <w:tcPr>
            <w:tcW w:w="3606" w:type="pct"/>
            <w:gridSpan w:val="4"/>
            <w:vAlign w:val="center"/>
          </w:tcPr>
          <w:p w:rsidR="00EE56C0" w:rsidRDefault="000F36A1">
            <w:pPr>
              <w:pStyle w:val="aff1"/>
              <w:rPr>
                <w:color w:val="auto"/>
                <w:u w:val="single"/>
              </w:rPr>
            </w:pPr>
            <w:r>
              <w:rPr>
                <w:rFonts w:hint="eastAsia"/>
                <w:color w:val="auto"/>
                <w:u w:val="single"/>
              </w:rPr>
              <w:t>一期</w:t>
            </w:r>
            <w:r>
              <w:rPr>
                <w:rFonts w:hint="eastAsia"/>
                <w:color w:val="auto"/>
                <w:u w:val="single"/>
              </w:rPr>
              <w:t xml:space="preserve"> </w:t>
            </w:r>
          </w:p>
        </w:tc>
      </w:tr>
      <w:tr w:rsidR="00EE56C0">
        <w:trPr>
          <w:trHeight w:val="454"/>
          <w:jc w:val="center"/>
        </w:trPr>
        <w:tc>
          <w:tcPr>
            <w:tcW w:w="646" w:type="pct"/>
            <w:vAlign w:val="center"/>
          </w:tcPr>
          <w:p w:rsidR="00EE56C0" w:rsidRDefault="000F36A1">
            <w:pPr>
              <w:pStyle w:val="afa"/>
              <w:rPr>
                <w:b/>
                <w:u w:val="single"/>
              </w:rPr>
            </w:pPr>
            <w:r>
              <w:rPr>
                <w:rFonts w:hint="eastAsia"/>
                <w:b/>
                <w:u w:val="single"/>
              </w:rPr>
              <w:t>污染因子</w:t>
            </w:r>
          </w:p>
        </w:tc>
        <w:tc>
          <w:tcPr>
            <w:tcW w:w="748" w:type="pct"/>
            <w:vAlign w:val="center"/>
          </w:tcPr>
          <w:p w:rsidR="00EE56C0" w:rsidRDefault="000F36A1">
            <w:pPr>
              <w:pStyle w:val="aff1"/>
              <w:rPr>
                <w:color w:val="auto"/>
                <w:u w:val="single"/>
              </w:rPr>
            </w:pPr>
            <w:r>
              <w:rPr>
                <w:rFonts w:hint="eastAsia"/>
                <w:color w:val="auto"/>
                <w:u w:val="single"/>
              </w:rPr>
              <w:t>产生量</w:t>
            </w:r>
          </w:p>
        </w:tc>
        <w:tc>
          <w:tcPr>
            <w:tcW w:w="753" w:type="pct"/>
            <w:vAlign w:val="center"/>
          </w:tcPr>
          <w:p w:rsidR="00EE56C0" w:rsidRDefault="000F36A1">
            <w:pPr>
              <w:pStyle w:val="aff1"/>
              <w:rPr>
                <w:color w:val="auto"/>
                <w:u w:val="single"/>
              </w:rPr>
            </w:pPr>
            <w:r>
              <w:rPr>
                <w:rFonts w:hint="eastAsia"/>
                <w:color w:val="auto"/>
                <w:u w:val="single"/>
              </w:rPr>
              <w:t>产生比例</w:t>
            </w:r>
          </w:p>
        </w:tc>
        <w:tc>
          <w:tcPr>
            <w:tcW w:w="1081" w:type="pct"/>
            <w:vAlign w:val="center"/>
          </w:tcPr>
          <w:p w:rsidR="00EE56C0" w:rsidRDefault="000F36A1">
            <w:pPr>
              <w:pStyle w:val="aff1"/>
              <w:rPr>
                <w:color w:val="auto"/>
                <w:u w:val="single"/>
              </w:rPr>
            </w:pPr>
            <w:r>
              <w:rPr>
                <w:rFonts w:hint="eastAsia"/>
                <w:color w:val="auto"/>
                <w:u w:val="single"/>
              </w:rPr>
              <w:t>卧机：废气产生量</w:t>
            </w:r>
          </w:p>
        </w:tc>
        <w:tc>
          <w:tcPr>
            <w:tcW w:w="665" w:type="pct"/>
            <w:vAlign w:val="center"/>
          </w:tcPr>
          <w:p w:rsidR="00EE56C0" w:rsidRDefault="000F36A1">
            <w:pPr>
              <w:pStyle w:val="aff1"/>
              <w:rPr>
                <w:color w:val="auto"/>
                <w:u w:val="single"/>
              </w:rPr>
            </w:pPr>
            <w:r>
              <w:rPr>
                <w:rFonts w:hint="eastAsia"/>
                <w:color w:val="auto"/>
                <w:u w:val="single"/>
              </w:rPr>
              <w:t>产生比例</w:t>
            </w:r>
          </w:p>
        </w:tc>
        <w:tc>
          <w:tcPr>
            <w:tcW w:w="1107" w:type="pct"/>
            <w:vAlign w:val="center"/>
          </w:tcPr>
          <w:p w:rsidR="00EE56C0" w:rsidRDefault="000F36A1">
            <w:pPr>
              <w:pStyle w:val="aff1"/>
              <w:rPr>
                <w:color w:val="auto"/>
                <w:u w:val="single"/>
              </w:rPr>
            </w:pPr>
            <w:r>
              <w:rPr>
                <w:rFonts w:hint="eastAsia"/>
                <w:color w:val="auto"/>
                <w:u w:val="single"/>
              </w:rPr>
              <w:t>立机：废气产生量</w:t>
            </w:r>
          </w:p>
        </w:tc>
      </w:tr>
      <w:tr w:rsidR="00EE56C0">
        <w:trPr>
          <w:trHeight w:val="454"/>
          <w:jc w:val="center"/>
        </w:trPr>
        <w:tc>
          <w:tcPr>
            <w:tcW w:w="646" w:type="pct"/>
            <w:vAlign w:val="center"/>
          </w:tcPr>
          <w:p w:rsidR="00EE56C0" w:rsidRDefault="000F36A1">
            <w:pPr>
              <w:pStyle w:val="afa"/>
              <w:rPr>
                <w:u w:val="single"/>
              </w:rPr>
            </w:pPr>
            <w:r>
              <w:rPr>
                <w:rFonts w:hint="eastAsia"/>
                <w:u w:val="single"/>
              </w:rPr>
              <w:t>酚</w:t>
            </w:r>
          </w:p>
        </w:tc>
        <w:tc>
          <w:tcPr>
            <w:tcW w:w="748" w:type="pct"/>
            <w:vAlign w:val="center"/>
          </w:tcPr>
          <w:p w:rsidR="00EE56C0" w:rsidRDefault="000F36A1">
            <w:pPr>
              <w:pStyle w:val="afa"/>
              <w:rPr>
                <w:rFonts w:eastAsia="宋体"/>
                <w:u w:val="single"/>
              </w:rPr>
            </w:pPr>
            <w:r>
              <w:rPr>
                <w:u w:val="single"/>
              </w:rPr>
              <w:t>132.94</w:t>
            </w:r>
          </w:p>
        </w:tc>
        <w:tc>
          <w:tcPr>
            <w:tcW w:w="753" w:type="pct"/>
            <w:vMerge w:val="restart"/>
            <w:vAlign w:val="center"/>
          </w:tcPr>
          <w:p w:rsidR="00EE56C0" w:rsidRDefault="000F36A1">
            <w:pPr>
              <w:pStyle w:val="afa"/>
              <w:rPr>
                <w:u w:val="single"/>
              </w:rPr>
            </w:pPr>
            <w:r>
              <w:rPr>
                <w:rFonts w:hint="eastAsia"/>
                <w:u w:val="single"/>
              </w:rPr>
              <w:t>50%</w:t>
            </w:r>
          </w:p>
        </w:tc>
        <w:tc>
          <w:tcPr>
            <w:tcW w:w="1081" w:type="pct"/>
            <w:vAlign w:val="center"/>
          </w:tcPr>
          <w:p w:rsidR="00EE56C0" w:rsidRDefault="000F36A1">
            <w:pPr>
              <w:pStyle w:val="afa"/>
              <w:rPr>
                <w:rFonts w:eastAsia="宋体"/>
                <w:u w:val="single"/>
              </w:rPr>
            </w:pPr>
            <w:r>
              <w:rPr>
                <w:u w:val="single"/>
              </w:rPr>
              <w:t>66.47</w:t>
            </w:r>
          </w:p>
        </w:tc>
        <w:tc>
          <w:tcPr>
            <w:tcW w:w="665" w:type="pct"/>
            <w:vMerge w:val="restart"/>
            <w:vAlign w:val="center"/>
          </w:tcPr>
          <w:p w:rsidR="00EE56C0" w:rsidRDefault="000F36A1">
            <w:pPr>
              <w:pStyle w:val="afa"/>
              <w:rPr>
                <w:u w:val="single"/>
              </w:rPr>
            </w:pPr>
            <w:r>
              <w:rPr>
                <w:rFonts w:hint="eastAsia"/>
                <w:u w:val="single"/>
              </w:rPr>
              <w:t>50%</w:t>
            </w:r>
          </w:p>
        </w:tc>
        <w:tc>
          <w:tcPr>
            <w:tcW w:w="1107" w:type="pct"/>
            <w:vAlign w:val="center"/>
          </w:tcPr>
          <w:p w:rsidR="00EE56C0" w:rsidRDefault="000F36A1">
            <w:pPr>
              <w:pStyle w:val="afa"/>
              <w:rPr>
                <w:rFonts w:eastAsia="宋体"/>
                <w:u w:val="single"/>
              </w:rPr>
            </w:pPr>
            <w:r>
              <w:rPr>
                <w:u w:val="single"/>
              </w:rPr>
              <w:t>66.47</w:t>
            </w:r>
          </w:p>
        </w:tc>
      </w:tr>
      <w:tr w:rsidR="00EE56C0">
        <w:trPr>
          <w:trHeight w:val="454"/>
          <w:jc w:val="center"/>
        </w:trPr>
        <w:tc>
          <w:tcPr>
            <w:tcW w:w="646" w:type="pct"/>
            <w:vAlign w:val="center"/>
          </w:tcPr>
          <w:p w:rsidR="00EE56C0" w:rsidRDefault="000F36A1">
            <w:pPr>
              <w:pStyle w:val="afa"/>
              <w:rPr>
                <w:u w:val="single"/>
              </w:rPr>
            </w:pPr>
            <w:r>
              <w:rPr>
                <w:rFonts w:hint="eastAsia"/>
                <w:u w:val="single"/>
              </w:rPr>
              <w:t>非甲烷总烃</w:t>
            </w:r>
          </w:p>
        </w:tc>
        <w:tc>
          <w:tcPr>
            <w:tcW w:w="748" w:type="pct"/>
            <w:vAlign w:val="center"/>
          </w:tcPr>
          <w:p w:rsidR="00EE56C0" w:rsidRDefault="000F36A1">
            <w:pPr>
              <w:pStyle w:val="afa"/>
              <w:rPr>
                <w:rFonts w:eastAsia="宋体"/>
                <w:u w:val="single"/>
              </w:rPr>
            </w:pPr>
            <w:r>
              <w:rPr>
                <w:u w:val="single"/>
              </w:rPr>
              <w:t>81.7</w:t>
            </w:r>
          </w:p>
        </w:tc>
        <w:tc>
          <w:tcPr>
            <w:tcW w:w="753" w:type="pct"/>
            <w:vMerge/>
            <w:vAlign w:val="center"/>
          </w:tcPr>
          <w:p w:rsidR="00EE56C0" w:rsidRDefault="00EE56C0">
            <w:pPr>
              <w:pStyle w:val="afa"/>
              <w:rPr>
                <w:u w:val="single"/>
              </w:rPr>
            </w:pPr>
          </w:p>
        </w:tc>
        <w:tc>
          <w:tcPr>
            <w:tcW w:w="1081" w:type="pct"/>
            <w:vAlign w:val="center"/>
          </w:tcPr>
          <w:p w:rsidR="00EE56C0" w:rsidRDefault="000F36A1">
            <w:pPr>
              <w:pStyle w:val="afa"/>
              <w:rPr>
                <w:rFonts w:eastAsia="宋体"/>
                <w:u w:val="single"/>
              </w:rPr>
            </w:pPr>
            <w:r>
              <w:rPr>
                <w:u w:val="single"/>
              </w:rPr>
              <w:t>40.85</w:t>
            </w:r>
          </w:p>
        </w:tc>
        <w:tc>
          <w:tcPr>
            <w:tcW w:w="665" w:type="pct"/>
            <w:vMerge/>
          </w:tcPr>
          <w:p w:rsidR="00EE56C0" w:rsidRDefault="00EE56C0">
            <w:pPr>
              <w:pStyle w:val="afa"/>
              <w:rPr>
                <w:u w:val="single"/>
              </w:rPr>
            </w:pPr>
          </w:p>
        </w:tc>
        <w:tc>
          <w:tcPr>
            <w:tcW w:w="1107" w:type="pct"/>
            <w:vAlign w:val="center"/>
          </w:tcPr>
          <w:p w:rsidR="00EE56C0" w:rsidRDefault="000F36A1">
            <w:pPr>
              <w:pStyle w:val="afa"/>
              <w:rPr>
                <w:rFonts w:eastAsia="宋体"/>
                <w:u w:val="single"/>
              </w:rPr>
            </w:pPr>
            <w:r>
              <w:rPr>
                <w:u w:val="single"/>
              </w:rPr>
              <w:t>40.85</w:t>
            </w:r>
          </w:p>
        </w:tc>
      </w:tr>
      <w:tr w:rsidR="00EE56C0">
        <w:trPr>
          <w:trHeight w:val="454"/>
          <w:jc w:val="center"/>
        </w:trPr>
        <w:tc>
          <w:tcPr>
            <w:tcW w:w="646" w:type="pct"/>
            <w:vAlign w:val="center"/>
          </w:tcPr>
          <w:p w:rsidR="00EE56C0" w:rsidRDefault="000F36A1">
            <w:pPr>
              <w:pStyle w:val="afa"/>
              <w:rPr>
                <w:u w:val="single"/>
              </w:rPr>
            </w:pPr>
            <w:r>
              <w:rPr>
                <w:rFonts w:hint="eastAsia"/>
                <w:u w:val="single"/>
              </w:rPr>
              <w:t>二甲苯</w:t>
            </w:r>
          </w:p>
        </w:tc>
        <w:tc>
          <w:tcPr>
            <w:tcW w:w="748" w:type="pct"/>
            <w:vAlign w:val="center"/>
          </w:tcPr>
          <w:p w:rsidR="00EE56C0" w:rsidRDefault="000F36A1">
            <w:pPr>
              <w:pStyle w:val="afa"/>
              <w:rPr>
                <w:rFonts w:eastAsia="宋体"/>
                <w:u w:val="single"/>
              </w:rPr>
            </w:pPr>
            <w:r>
              <w:rPr>
                <w:u w:val="single"/>
              </w:rPr>
              <w:t>14.4</w:t>
            </w:r>
          </w:p>
        </w:tc>
        <w:tc>
          <w:tcPr>
            <w:tcW w:w="753" w:type="pct"/>
            <w:vMerge/>
            <w:vAlign w:val="center"/>
          </w:tcPr>
          <w:p w:rsidR="00EE56C0" w:rsidRDefault="00EE56C0">
            <w:pPr>
              <w:pStyle w:val="afa"/>
              <w:rPr>
                <w:u w:val="single"/>
              </w:rPr>
            </w:pPr>
          </w:p>
        </w:tc>
        <w:tc>
          <w:tcPr>
            <w:tcW w:w="1081" w:type="pct"/>
            <w:vAlign w:val="center"/>
          </w:tcPr>
          <w:p w:rsidR="00EE56C0" w:rsidRDefault="000F36A1">
            <w:pPr>
              <w:pStyle w:val="afa"/>
              <w:rPr>
                <w:rFonts w:eastAsia="宋体"/>
                <w:u w:val="single"/>
              </w:rPr>
            </w:pPr>
            <w:r>
              <w:rPr>
                <w:u w:val="single"/>
              </w:rPr>
              <w:t>7.2</w:t>
            </w:r>
          </w:p>
        </w:tc>
        <w:tc>
          <w:tcPr>
            <w:tcW w:w="665" w:type="pct"/>
            <w:vMerge/>
          </w:tcPr>
          <w:p w:rsidR="00EE56C0" w:rsidRDefault="00EE56C0">
            <w:pPr>
              <w:pStyle w:val="afa"/>
              <w:rPr>
                <w:u w:val="single"/>
              </w:rPr>
            </w:pPr>
          </w:p>
        </w:tc>
        <w:tc>
          <w:tcPr>
            <w:tcW w:w="1107" w:type="pct"/>
            <w:vAlign w:val="center"/>
          </w:tcPr>
          <w:p w:rsidR="00EE56C0" w:rsidRDefault="000F36A1">
            <w:pPr>
              <w:pStyle w:val="afa"/>
              <w:rPr>
                <w:rFonts w:eastAsia="宋体"/>
                <w:u w:val="single"/>
              </w:rPr>
            </w:pPr>
            <w:r>
              <w:rPr>
                <w:u w:val="single"/>
              </w:rPr>
              <w:t>7.2</w:t>
            </w:r>
          </w:p>
        </w:tc>
      </w:tr>
    </w:tbl>
    <w:p w:rsidR="00EE56C0" w:rsidRDefault="000F36A1">
      <w:pPr>
        <w:pStyle w:val="afd"/>
        <w:spacing w:before="120" w:after="120"/>
        <w:ind w:firstLine="482"/>
        <w:rPr>
          <w:u w:val="single"/>
        </w:rPr>
      </w:pPr>
      <w:r>
        <w:rPr>
          <w:rFonts w:hint="eastAsia"/>
          <w:u w:val="single"/>
        </w:rPr>
        <w:t>表</w:t>
      </w:r>
      <w:r>
        <w:rPr>
          <w:rFonts w:hint="eastAsia"/>
          <w:u w:val="single"/>
        </w:rPr>
        <w:t xml:space="preserve">3-31        </w:t>
      </w:r>
      <w:r>
        <w:rPr>
          <w:rFonts w:hint="eastAsia"/>
          <w:u w:val="single"/>
        </w:rPr>
        <w:t>二期卧机、立机废气产生量一览表</w:t>
      </w:r>
      <w:r>
        <w:rPr>
          <w:rFonts w:hint="eastAsia"/>
          <w:u w:val="single"/>
        </w:rPr>
        <w:t xml:space="preserve">  </w:t>
      </w:r>
      <w:r>
        <w:rPr>
          <w:rFonts w:hint="eastAsia"/>
          <w:u w:val="single"/>
        </w:rPr>
        <w:t>单位：</w:t>
      </w:r>
      <w:r>
        <w:rPr>
          <w:rFonts w:hint="eastAsia"/>
          <w:u w:val="single"/>
        </w:rPr>
        <w:t xml:space="preserve">t/a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45"/>
        <w:gridCol w:w="1281"/>
        <w:gridCol w:w="1134"/>
        <w:gridCol w:w="1844"/>
        <w:gridCol w:w="1134"/>
        <w:gridCol w:w="1890"/>
      </w:tblGrid>
      <w:tr w:rsidR="00EE56C0">
        <w:trPr>
          <w:trHeight w:val="454"/>
          <w:jc w:val="center"/>
        </w:trPr>
        <w:tc>
          <w:tcPr>
            <w:tcW w:w="1481" w:type="pct"/>
            <w:gridSpan w:val="2"/>
            <w:vAlign w:val="center"/>
          </w:tcPr>
          <w:p w:rsidR="00EE56C0" w:rsidRDefault="000F36A1">
            <w:pPr>
              <w:pStyle w:val="aff1"/>
              <w:rPr>
                <w:color w:val="auto"/>
                <w:u w:val="single"/>
              </w:rPr>
            </w:pPr>
            <w:r>
              <w:rPr>
                <w:rFonts w:hint="eastAsia"/>
                <w:color w:val="auto"/>
                <w:u w:val="single"/>
              </w:rPr>
              <w:t>漆包线</w:t>
            </w:r>
          </w:p>
        </w:tc>
        <w:tc>
          <w:tcPr>
            <w:tcW w:w="3519" w:type="pct"/>
            <w:gridSpan w:val="4"/>
            <w:vAlign w:val="center"/>
          </w:tcPr>
          <w:p w:rsidR="00EE56C0" w:rsidRDefault="000F36A1">
            <w:pPr>
              <w:pStyle w:val="aff1"/>
              <w:rPr>
                <w:color w:val="auto"/>
                <w:u w:val="single"/>
              </w:rPr>
            </w:pPr>
            <w:r>
              <w:rPr>
                <w:rFonts w:hint="eastAsia"/>
                <w:color w:val="auto"/>
                <w:u w:val="single"/>
              </w:rPr>
              <w:t>二期</w:t>
            </w:r>
            <w:r>
              <w:rPr>
                <w:rFonts w:hint="eastAsia"/>
                <w:color w:val="auto"/>
                <w:u w:val="single"/>
              </w:rPr>
              <w:t xml:space="preserve"> </w:t>
            </w:r>
          </w:p>
        </w:tc>
      </w:tr>
      <w:tr w:rsidR="00EE56C0">
        <w:trPr>
          <w:trHeight w:val="454"/>
          <w:jc w:val="center"/>
        </w:trPr>
        <w:tc>
          <w:tcPr>
            <w:tcW w:w="730" w:type="pct"/>
            <w:vAlign w:val="center"/>
          </w:tcPr>
          <w:p w:rsidR="00EE56C0" w:rsidRDefault="000F36A1">
            <w:pPr>
              <w:pStyle w:val="afa"/>
              <w:rPr>
                <w:b/>
                <w:u w:val="single"/>
              </w:rPr>
            </w:pPr>
            <w:r>
              <w:rPr>
                <w:rFonts w:hint="eastAsia"/>
                <w:b/>
                <w:u w:val="single"/>
              </w:rPr>
              <w:t>污染因子</w:t>
            </w:r>
          </w:p>
        </w:tc>
        <w:tc>
          <w:tcPr>
            <w:tcW w:w="751" w:type="pct"/>
            <w:vAlign w:val="center"/>
          </w:tcPr>
          <w:p w:rsidR="00EE56C0" w:rsidRDefault="000F36A1">
            <w:pPr>
              <w:pStyle w:val="aff1"/>
              <w:rPr>
                <w:color w:val="auto"/>
                <w:u w:val="single"/>
              </w:rPr>
            </w:pPr>
            <w:r>
              <w:rPr>
                <w:rFonts w:hint="eastAsia"/>
                <w:color w:val="auto"/>
                <w:u w:val="single"/>
              </w:rPr>
              <w:t>产生量</w:t>
            </w:r>
          </w:p>
        </w:tc>
        <w:tc>
          <w:tcPr>
            <w:tcW w:w="665" w:type="pct"/>
            <w:vAlign w:val="center"/>
          </w:tcPr>
          <w:p w:rsidR="00EE56C0" w:rsidRDefault="000F36A1">
            <w:pPr>
              <w:pStyle w:val="aff1"/>
              <w:rPr>
                <w:color w:val="auto"/>
                <w:u w:val="single"/>
              </w:rPr>
            </w:pPr>
            <w:r>
              <w:rPr>
                <w:rFonts w:hint="eastAsia"/>
                <w:color w:val="auto"/>
                <w:u w:val="single"/>
              </w:rPr>
              <w:t>产生比例</w:t>
            </w:r>
          </w:p>
        </w:tc>
        <w:tc>
          <w:tcPr>
            <w:tcW w:w="1081" w:type="pct"/>
            <w:vAlign w:val="center"/>
          </w:tcPr>
          <w:p w:rsidR="00EE56C0" w:rsidRDefault="000F36A1">
            <w:pPr>
              <w:pStyle w:val="aff1"/>
              <w:rPr>
                <w:color w:val="auto"/>
                <w:u w:val="single"/>
              </w:rPr>
            </w:pPr>
            <w:r>
              <w:rPr>
                <w:rFonts w:hint="eastAsia"/>
                <w:color w:val="auto"/>
                <w:u w:val="single"/>
              </w:rPr>
              <w:t>卧机：废气产生量</w:t>
            </w:r>
          </w:p>
        </w:tc>
        <w:tc>
          <w:tcPr>
            <w:tcW w:w="665" w:type="pct"/>
            <w:vAlign w:val="center"/>
          </w:tcPr>
          <w:p w:rsidR="00EE56C0" w:rsidRDefault="000F36A1">
            <w:pPr>
              <w:pStyle w:val="aff1"/>
              <w:rPr>
                <w:color w:val="auto"/>
                <w:u w:val="single"/>
              </w:rPr>
            </w:pPr>
            <w:r>
              <w:rPr>
                <w:rFonts w:hint="eastAsia"/>
                <w:color w:val="auto"/>
                <w:u w:val="single"/>
              </w:rPr>
              <w:t>产生比例</w:t>
            </w:r>
          </w:p>
        </w:tc>
        <w:tc>
          <w:tcPr>
            <w:tcW w:w="1108" w:type="pct"/>
            <w:vAlign w:val="center"/>
          </w:tcPr>
          <w:p w:rsidR="00EE56C0" w:rsidRDefault="000F36A1">
            <w:pPr>
              <w:pStyle w:val="aff1"/>
              <w:rPr>
                <w:color w:val="auto"/>
                <w:u w:val="single"/>
              </w:rPr>
            </w:pPr>
            <w:r>
              <w:rPr>
                <w:rFonts w:hint="eastAsia"/>
                <w:color w:val="auto"/>
                <w:u w:val="single"/>
              </w:rPr>
              <w:t>立机：废气产生量</w:t>
            </w:r>
          </w:p>
        </w:tc>
      </w:tr>
      <w:tr w:rsidR="00EE56C0">
        <w:trPr>
          <w:trHeight w:val="454"/>
          <w:jc w:val="center"/>
        </w:trPr>
        <w:tc>
          <w:tcPr>
            <w:tcW w:w="730" w:type="pct"/>
            <w:vAlign w:val="center"/>
          </w:tcPr>
          <w:p w:rsidR="00EE56C0" w:rsidRDefault="000F36A1">
            <w:pPr>
              <w:pStyle w:val="afa"/>
              <w:rPr>
                <w:u w:val="single"/>
              </w:rPr>
            </w:pPr>
            <w:r>
              <w:rPr>
                <w:rFonts w:hint="eastAsia"/>
                <w:u w:val="single"/>
              </w:rPr>
              <w:t>酚</w:t>
            </w:r>
          </w:p>
        </w:tc>
        <w:tc>
          <w:tcPr>
            <w:tcW w:w="751" w:type="pct"/>
            <w:vAlign w:val="center"/>
          </w:tcPr>
          <w:p w:rsidR="00EE56C0" w:rsidRDefault="000F36A1">
            <w:pPr>
              <w:pStyle w:val="afa"/>
              <w:rPr>
                <w:rFonts w:eastAsia="宋体"/>
                <w:u w:val="single"/>
              </w:rPr>
            </w:pPr>
            <w:r>
              <w:rPr>
                <w:u w:val="single"/>
              </w:rPr>
              <w:t>368</w:t>
            </w:r>
          </w:p>
        </w:tc>
        <w:tc>
          <w:tcPr>
            <w:tcW w:w="665" w:type="pct"/>
            <w:vMerge w:val="restart"/>
            <w:vAlign w:val="center"/>
          </w:tcPr>
          <w:p w:rsidR="00EE56C0" w:rsidRDefault="000F36A1">
            <w:pPr>
              <w:pStyle w:val="afa"/>
              <w:rPr>
                <w:u w:val="single"/>
              </w:rPr>
            </w:pPr>
            <w:r>
              <w:rPr>
                <w:rFonts w:hint="eastAsia"/>
                <w:u w:val="single"/>
              </w:rPr>
              <w:t>24%</w:t>
            </w:r>
          </w:p>
        </w:tc>
        <w:tc>
          <w:tcPr>
            <w:tcW w:w="1081" w:type="pct"/>
            <w:vAlign w:val="center"/>
          </w:tcPr>
          <w:p w:rsidR="00EE56C0" w:rsidRDefault="000F36A1">
            <w:pPr>
              <w:pStyle w:val="afa"/>
              <w:rPr>
                <w:rFonts w:eastAsia="宋体"/>
                <w:u w:val="single"/>
              </w:rPr>
            </w:pPr>
            <w:r>
              <w:rPr>
                <w:u w:val="single"/>
              </w:rPr>
              <w:t xml:space="preserve">168.56 </w:t>
            </w:r>
          </w:p>
        </w:tc>
        <w:tc>
          <w:tcPr>
            <w:tcW w:w="665" w:type="pct"/>
            <w:vMerge w:val="restart"/>
            <w:vAlign w:val="center"/>
          </w:tcPr>
          <w:p w:rsidR="00EE56C0" w:rsidRDefault="000F36A1">
            <w:pPr>
              <w:pStyle w:val="afa"/>
              <w:rPr>
                <w:u w:val="single"/>
              </w:rPr>
            </w:pPr>
            <w:r>
              <w:rPr>
                <w:rFonts w:hint="eastAsia"/>
                <w:u w:val="single"/>
              </w:rPr>
              <w:t>76%</w:t>
            </w:r>
          </w:p>
        </w:tc>
        <w:tc>
          <w:tcPr>
            <w:tcW w:w="1108" w:type="pct"/>
            <w:vAlign w:val="center"/>
          </w:tcPr>
          <w:p w:rsidR="00EE56C0" w:rsidRDefault="000F36A1">
            <w:pPr>
              <w:pStyle w:val="afa"/>
              <w:rPr>
                <w:rFonts w:eastAsia="宋体"/>
                <w:u w:val="single"/>
              </w:rPr>
            </w:pPr>
            <w:r>
              <w:rPr>
                <w:u w:val="single"/>
              </w:rPr>
              <w:t xml:space="preserve">199.4400 </w:t>
            </w:r>
          </w:p>
        </w:tc>
      </w:tr>
      <w:tr w:rsidR="00EE56C0">
        <w:trPr>
          <w:trHeight w:val="454"/>
          <w:jc w:val="center"/>
        </w:trPr>
        <w:tc>
          <w:tcPr>
            <w:tcW w:w="730" w:type="pct"/>
            <w:vAlign w:val="center"/>
          </w:tcPr>
          <w:p w:rsidR="00EE56C0" w:rsidRDefault="000F36A1">
            <w:pPr>
              <w:pStyle w:val="afa"/>
              <w:rPr>
                <w:u w:val="single"/>
              </w:rPr>
            </w:pPr>
            <w:r>
              <w:rPr>
                <w:rFonts w:hint="eastAsia"/>
                <w:u w:val="single"/>
              </w:rPr>
              <w:lastRenderedPageBreak/>
              <w:t>非甲烷总烃</w:t>
            </w:r>
          </w:p>
        </w:tc>
        <w:tc>
          <w:tcPr>
            <w:tcW w:w="751" w:type="pct"/>
            <w:vAlign w:val="center"/>
          </w:tcPr>
          <w:p w:rsidR="00EE56C0" w:rsidRDefault="000F36A1">
            <w:pPr>
              <w:pStyle w:val="afa"/>
              <w:rPr>
                <w:rFonts w:eastAsia="宋体"/>
                <w:u w:val="single"/>
              </w:rPr>
            </w:pPr>
            <w:r>
              <w:rPr>
                <w:u w:val="single"/>
              </w:rPr>
              <w:t>225.75</w:t>
            </w:r>
          </w:p>
        </w:tc>
        <w:tc>
          <w:tcPr>
            <w:tcW w:w="665" w:type="pct"/>
            <w:vMerge/>
            <w:vAlign w:val="center"/>
          </w:tcPr>
          <w:p w:rsidR="00EE56C0" w:rsidRDefault="00EE56C0">
            <w:pPr>
              <w:pStyle w:val="afa"/>
              <w:rPr>
                <w:u w:val="single"/>
              </w:rPr>
            </w:pPr>
          </w:p>
        </w:tc>
        <w:tc>
          <w:tcPr>
            <w:tcW w:w="1081" w:type="pct"/>
            <w:vAlign w:val="center"/>
          </w:tcPr>
          <w:p w:rsidR="00EE56C0" w:rsidRDefault="000F36A1">
            <w:pPr>
              <w:pStyle w:val="afa"/>
              <w:rPr>
                <w:rFonts w:eastAsia="宋体"/>
                <w:u w:val="single"/>
              </w:rPr>
            </w:pPr>
            <w:r>
              <w:rPr>
                <w:u w:val="single"/>
              </w:rPr>
              <w:t xml:space="preserve">144.29 </w:t>
            </w:r>
          </w:p>
        </w:tc>
        <w:tc>
          <w:tcPr>
            <w:tcW w:w="665" w:type="pct"/>
            <w:vMerge/>
          </w:tcPr>
          <w:p w:rsidR="00EE56C0" w:rsidRDefault="00EE56C0">
            <w:pPr>
              <w:pStyle w:val="afa"/>
              <w:rPr>
                <w:u w:val="single"/>
              </w:rPr>
            </w:pPr>
          </w:p>
        </w:tc>
        <w:tc>
          <w:tcPr>
            <w:tcW w:w="1108" w:type="pct"/>
            <w:vAlign w:val="center"/>
          </w:tcPr>
          <w:p w:rsidR="00EE56C0" w:rsidRDefault="000F36A1">
            <w:pPr>
              <w:pStyle w:val="afa"/>
              <w:rPr>
                <w:rFonts w:eastAsia="宋体"/>
                <w:u w:val="single"/>
              </w:rPr>
            </w:pPr>
            <w:r>
              <w:rPr>
                <w:u w:val="single"/>
              </w:rPr>
              <w:t xml:space="preserve">81.4600 </w:t>
            </w:r>
          </w:p>
        </w:tc>
      </w:tr>
      <w:tr w:rsidR="00EE56C0">
        <w:trPr>
          <w:trHeight w:val="454"/>
          <w:jc w:val="center"/>
        </w:trPr>
        <w:tc>
          <w:tcPr>
            <w:tcW w:w="730" w:type="pct"/>
            <w:vAlign w:val="center"/>
          </w:tcPr>
          <w:p w:rsidR="00EE56C0" w:rsidRDefault="000F36A1">
            <w:pPr>
              <w:pStyle w:val="afa"/>
              <w:rPr>
                <w:u w:val="single"/>
              </w:rPr>
            </w:pPr>
            <w:r>
              <w:rPr>
                <w:rFonts w:hint="eastAsia"/>
                <w:u w:val="single"/>
              </w:rPr>
              <w:t>二甲苯</w:t>
            </w:r>
          </w:p>
        </w:tc>
        <w:tc>
          <w:tcPr>
            <w:tcW w:w="751" w:type="pct"/>
            <w:vAlign w:val="center"/>
          </w:tcPr>
          <w:p w:rsidR="00EE56C0" w:rsidRDefault="000F36A1">
            <w:pPr>
              <w:pStyle w:val="afa"/>
              <w:rPr>
                <w:rFonts w:eastAsia="宋体"/>
                <w:u w:val="single"/>
              </w:rPr>
            </w:pPr>
            <w:r>
              <w:rPr>
                <w:u w:val="single"/>
              </w:rPr>
              <w:t>39.75</w:t>
            </w:r>
          </w:p>
        </w:tc>
        <w:tc>
          <w:tcPr>
            <w:tcW w:w="665" w:type="pct"/>
            <w:vMerge/>
            <w:vAlign w:val="center"/>
          </w:tcPr>
          <w:p w:rsidR="00EE56C0" w:rsidRDefault="00EE56C0">
            <w:pPr>
              <w:pStyle w:val="afa"/>
              <w:rPr>
                <w:u w:val="single"/>
              </w:rPr>
            </w:pPr>
          </w:p>
        </w:tc>
        <w:tc>
          <w:tcPr>
            <w:tcW w:w="1081" w:type="pct"/>
            <w:vAlign w:val="center"/>
          </w:tcPr>
          <w:p w:rsidR="00EE56C0" w:rsidRDefault="000F36A1">
            <w:pPr>
              <w:pStyle w:val="afa"/>
              <w:rPr>
                <w:rFonts w:eastAsia="宋体"/>
                <w:u w:val="single"/>
              </w:rPr>
            </w:pPr>
            <w:r>
              <w:rPr>
                <w:u w:val="single"/>
              </w:rPr>
              <w:t xml:space="preserve">13.98 </w:t>
            </w:r>
          </w:p>
        </w:tc>
        <w:tc>
          <w:tcPr>
            <w:tcW w:w="665" w:type="pct"/>
            <w:vMerge/>
          </w:tcPr>
          <w:p w:rsidR="00EE56C0" w:rsidRDefault="00EE56C0">
            <w:pPr>
              <w:pStyle w:val="afa"/>
              <w:rPr>
                <w:u w:val="single"/>
              </w:rPr>
            </w:pPr>
          </w:p>
        </w:tc>
        <w:tc>
          <w:tcPr>
            <w:tcW w:w="1108" w:type="pct"/>
            <w:vAlign w:val="center"/>
          </w:tcPr>
          <w:p w:rsidR="00EE56C0" w:rsidRDefault="000F36A1">
            <w:pPr>
              <w:pStyle w:val="afa"/>
              <w:rPr>
                <w:rFonts w:eastAsia="宋体"/>
                <w:u w:val="single"/>
              </w:rPr>
            </w:pPr>
            <w:r>
              <w:rPr>
                <w:u w:val="single"/>
              </w:rPr>
              <w:t xml:space="preserve">25.7750 </w:t>
            </w:r>
          </w:p>
        </w:tc>
      </w:tr>
    </w:tbl>
    <w:p w:rsidR="00EE56C0" w:rsidRDefault="000F36A1">
      <w:pPr>
        <w:ind w:firstLine="480"/>
        <w:rPr>
          <w:u w:val="single"/>
        </w:rPr>
      </w:pPr>
      <w:r>
        <w:rPr>
          <w:rFonts w:hint="eastAsia"/>
          <w:u w:val="single"/>
        </w:rPr>
        <w:t>由于拉包机废气进沸石吸附</w:t>
      </w:r>
      <w:r>
        <w:rPr>
          <w:rFonts w:hint="eastAsia"/>
          <w:u w:val="single"/>
        </w:rPr>
        <w:t>-</w:t>
      </w:r>
      <w:r>
        <w:rPr>
          <w:rFonts w:hint="eastAsia"/>
          <w:u w:val="single"/>
        </w:rPr>
        <w:t>脱附</w:t>
      </w:r>
      <w:r>
        <w:rPr>
          <w:rFonts w:hint="eastAsia"/>
          <w:u w:val="single"/>
        </w:rPr>
        <w:t>-</w:t>
      </w:r>
      <w:r>
        <w:rPr>
          <w:rFonts w:hint="eastAsia"/>
          <w:u w:val="single"/>
        </w:rPr>
        <w:t>催化燃烧装置</w:t>
      </w:r>
      <w:r>
        <w:rPr>
          <w:rFonts w:hint="eastAsia"/>
          <w:u w:val="single"/>
        </w:rPr>
        <w:t>F</w:t>
      </w:r>
      <w:r>
        <w:rPr>
          <w:rFonts w:hint="eastAsia"/>
          <w:u w:val="single"/>
        </w:rPr>
        <w:t>，漆包机废气进活性炭吸附</w:t>
      </w:r>
      <w:r>
        <w:rPr>
          <w:rFonts w:hint="eastAsia"/>
          <w:u w:val="single"/>
        </w:rPr>
        <w:t>-</w:t>
      </w:r>
      <w:r>
        <w:rPr>
          <w:rFonts w:hint="eastAsia"/>
          <w:u w:val="single"/>
        </w:rPr>
        <w:t>脱附</w:t>
      </w:r>
      <w:r>
        <w:rPr>
          <w:rFonts w:hint="eastAsia"/>
          <w:u w:val="single"/>
        </w:rPr>
        <w:t>-</w:t>
      </w:r>
      <w:r>
        <w:rPr>
          <w:rFonts w:hint="eastAsia"/>
          <w:u w:val="single"/>
        </w:rPr>
        <w:t>催化燃烧装置</w:t>
      </w:r>
      <w:r>
        <w:rPr>
          <w:rFonts w:hint="eastAsia"/>
          <w:u w:val="single"/>
        </w:rPr>
        <w:t>T</w:t>
      </w:r>
      <w:r>
        <w:rPr>
          <w:rFonts w:hint="eastAsia"/>
          <w:u w:val="single"/>
        </w:rPr>
        <w:t>，则漆包机、拉包机废气产生量如下：</w:t>
      </w:r>
    </w:p>
    <w:p w:rsidR="00EE56C0" w:rsidRDefault="000F36A1">
      <w:pPr>
        <w:pStyle w:val="afd"/>
        <w:spacing w:before="120" w:after="120"/>
        <w:ind w:firstLine="482"/>
        <w:rPr>
          <w:u w:val="single"/>
        </w:rPr>
      </w:pPr>
      <w:r>
        <w:rPr>
          <w:rFonts w:hint="eastAsia"/>
          <w:u w:val="single"/>
        </w:rPr>
        <w:t>表</w:t>
      </w:r>
      <w:r>
        <w:rPr>
          <w:rFonts w:hint="eastAsia"/>
          <w:u w:val="single"/>
        </w:rPr>
        <w:t xml:space="preserve">3-32    </w:t>
      </w:r>
      <w:r>
        <w:rPr>
          <w:rFonts w:hint="eastAsia"/>
          <w:u w:val="single"/>
        </w:rPr>
        <w:t>一期漆包机、拉包机废气产生量一览表</w:t>
      </w:r>
      <w:r>
        <w:rPr>
          <w:rFonts w:hint="eastAsia"/>
          <w:u w:val="single"/>
        </w:rPr>
        <w:t xml:space="preserve">    </w:t>
      </w:r>
      <w:r>
        <w:rPr>
          <w:rFonts w:hint="eastAsia"/>
          <w:u w:val="single"/>
        </w:rPr>
        <w:t>单位：</w:t>
      </w:r>
      <w:r>
        <w:rPr>
          <w:rFonts w:hint="eastAsia"/>
          <w:u w:val="single"/>
        </w:rPr>
        <w:t>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73"/>
        <w:gridCol w:w="1472"/>
        <w:gridCol w:w="1480"/>
        <w:gridCol w:w="1695"/>
        <w:gridCol w:w="2608"/>
      </w:tblGrid>
      <w:tr w:rsidR="00EE56C0">
        <w:trPr>
          <w:trHeight w:val="454"/>
          <w:jc w:val="center"/>
        </w:trPr>
        <w:tc>
          <w:tcPr>
            <w:tcW w:w="1609" w:type="pct"/>
            <w:gridSpan w:val="2"/>
            <w:vAlign w:val="center"/>
          </w:tcPr>
          <w:p w:rsidR="00EE56C0" w:rsidRDefault="000F36A1">
            <w:pPr>
              <w:pStyle w:val="aff1"/>
              <w:rPr>
                <w:color w:val="auto"/>
                <w:u w:val="single"/>
              </w:rPr>
            </w:pPr>
            <w:r>
              <w:rPr>
                <w:rFonts w:hint="eastAsia"/>
                <w:color w:val="auto"/>
                <w:u w:val="single"/>
              </w:rPr>
              <w:t>一期</w:t>
            </w:r>
          </w:p>
        </w:tc>
        <w:tc>
          <w:tcPr>
            <w:tcW w:w="1862" w:type="pct"/>
            <w:gridSpan w:val="2"/>
            <w:vAlign w:val="center"/>
          </w:tcPr>
          <w:p w:rsidR="00EE56C0" w:rsidRDefault="000F36A1">
            <w:pPr>
              <w:pStyle w:val="aff1"/>
              <w:rPr>
                <w:color w:val="auto"/>
                <w:u w:val="single"/>
              </w:rPr>
            </w:pPr>
            <w:r>
              <w:rPr>
                <w:rFonts w:hint="eastAsia"/>
                <w:color w:val="auto"/>
                <w:u w:val="single"/>
              </w:rPr>
              <w:t>拉包机</w:t>
            </w:r>
          </w:p>
        </w:tc>
        <w:tc>
          <w:tcPr>
            <w:tcW w:w="1529" w:type="pct"/>
            <w:vAlign w:val="center"/>
          </w:tcPr>
          <w:p w:rsidR="00EE56C0" w:rsidRDefault="000F36A1">
            <w:pPr>
              <w:pStyle w:val="aff1"/>
              <w:rPr>
                <w:color w:val="auto"/>
                <w:u w:val="single"/>
              </w:rPr>
            </w:pPr>
            <w:r>
              <w:rPr>
                <w:rFonts w:hint="eastAsia"/>
                <w:color w:val="auto"/>
                <w:u w:val="single"/>
              </w:rPr>
              <w:t>漆包机</w:t>
            </w:r>
          </w:p>
        </w:tc>
      </w:tr>
      <w:tr w:rsidR="00EE56C0">
        <w:trPr>
          <w:trHeight w:val="454"/>
          <w:jc w:val="center"/>
        </w:trPr>
        <w:tc>
          <w:tcPr>
            <w:tcW w:w="746" w:type="pct"/>
            <w:vAlign w:val="center"/>
          </w:tcPr>
          <w:p w:rsidR="00EE56C0" w:rsidRDefault="000F36A1">
            <w:pPr>
              <w:pStyle w:val="afa"/>
              <w:rPr>
                <w:b/>
                <w:u w:val="single"/>
              </w:rPr>
            </w:pPr>
            <w:r>
              <w:rPr>
                <w:rFonts w:hint="eastAsia"/>
                <w:b/>
                <w:u w:val="single"/>
              </w:rPr>
              <w:t>污染因子</w:t>
            </w:r>
          </w:p>
        </w:tc>
        <w:tc>
          <w:tcPr>
            <w:tcW w:w="863" w:type="pct"/>
            <w:vAlign w:val="center"/>
          </w:tcPr>
          <w:p w:rsidR="00EE56C0" w:rsidRDefault="000F36A1">
            <w:pPr>
              <w:pStyle w:val="aff1"/>
              <w:rPr>
                <w:color w:val="auto"/>
                <w:u w:val="single"/>
              </w:rPr>
            </w:pPr>
            <w:r>
              <w:rPr>
                <w:rFonts w:hint="eastAsia"/>
                <w:color w:val="auto"/>
                <w:u w:val="single"/>
              </w:rPr>
              <w:t>产生量</w:t>
            </w:r>
          </w:p>
        </w:tc>
        <w:tc>
          <w:tcPr>
            <w:tcW w:w="868" w:type="pct"/>
            <w:vAlign w:val="center"/>
          </w:tcPr>
          <w:p w:rsidR="00EE56C0" w:rsidRDefault="000F36A1">
            <w:pPr>
              <w:pStyle w:val="aff1"/>
              <w:rPr>
                <w:color w:val="auto"/>
                <w:u w:val="single"/>
              </w:rPr>
            </w:pPr>
            <w:r>
              <w:rPr>
                <w:rFonts w:hint="eastAsia"/>
                <w:color w:val="auto"/>
                <w:u w:val="single"/>
              </w:rPr>
              <w:t>卧机</w:t>
            </w:r>
          </w:p>
        </w:tc>
        <w:tc>
          <w:tcPr>
            <w:tcW w:w="994" w:type="pct"/>
            <w:vAlign w:val="center"/>
          </w:tcPr>
          <w:p w:rsidR="00EE56C0" w:rsidRDefault="000F36A1">
            <w:pPr>
              <w:pStyle w:val="aff1"/>
              <w:rPr>
                <w:color w:val="auto"/>
                <w:u w:val="single"/>
              </w:rPr>
            </w:pPr>
            <w:r>
              <w:rPr>
                <w:rFonts w:hint="eastAsia"/>
                <w:color w:val="auto"/>
                <w:u w:val="single"/>
              </w:rPr>
              <w:t>立机</w:t>
            </w:r>
          </w:p>
        </w:tc>
        <w:tc>
          <w:tcPr>
            <w:tcW w:w="1529" w:type="pct"/>
            <w:vAlign w:val="center"/>
          </w:tcPr>
          <w:p w:rsidR="00EE56C0" w:rsidRDefault="000F36A1">
            <w:pPr>
              <w:pStyle w:val="aff1"/>
              <w:rPr>
                <w:color w:val="auto"/>
                <w:u w:val="single"/>
              </w:rPr>
            </w:pPr>
            <w:r>
              <w:rPr>
                <w:rFonts w:hint="eastAsia"/>
                <w:color w:val="auto"/>
                <w:u w:val="single"/>
              </w:rPr>
              <w:t>立机</w:t>
            </w:r>
          </w:p>
        </w:tc>
      </w:tr>
      <w:tr w:rsidR="00EE56C0">
        <w:trPr>
          <w:trHeight w:val="454"/>
          <w:jc w:val="center"/>
        </w:trPr>
        <w:tc>
          <w:tcPr>
            <w:tcW w:w="746" w:type="pct"/>
            <w:vAlign w:val="center"/>
          </w:tcPr>
          <w:p w:rsidR="00EE56C0" w:rsidRDefault="000F36A1">
            <w:pPr>
              <w:pStyle w:val="afa"/>
              <w:rPr>
                <w:u w:val="single"/>
              </w:rPr>
            </w:pPr>
            <w:r>
              <w:rPr>
                <w:rFonts w:hint="eastAsia"/>
                <w:u w:val="single"/>
              </w:rPr>
              <w:t>酚</w:t>
            </w:r>
          </w:p>
        </w:tc>
        <w:tc>
          <w:tcPr>
            <w:tcW w:w="863" w:type="pct"/>
            <w:vAlign w:val="center"/>
          </w:tcPr>
          <w:p w:rsidR="00EE56C0" w:rsidRDefault="000F36A1">
            <w:pPr>
              <w:pStyle w:val="afa"/>
              <w:rPr>
                <w:rFonts w:eastAsia="宋体"/>
                <w:u w:val="single"/>
              </w:rPr>
            </w:pPr>
            <w:r>
              <w:rPr>
                <w:u w:val="single"/>
              </w:rPr>
              <w:t>132.94</w:t>
            </w:r>
          </w:p>
        </w:tc>
        <w:tc>
          <w:tcPr>
            <w:tcW w:w="868" w:type="pct"/>
            <w:vAlign w:val="center"/>
          </w:tcPr>
          <w:p w:rsidR="00EE56C0" w:rsidRDefault="000F36A1">
            <w:pPr>
              <w:pStyle w:val="afa"/>
              <w:rPr>
                <w:rFonts w:eastAsia="宋体"/>
                <w:u w:val="single"/>
              </w:rPr>
            </w:pPr>
            <w:r>
              <w:rPr>
                <w:u w:val="single"/>
              </w:rPr>
              <w:t>67.08</w:t>
            </w:r>
          </w:p>
        </w:tc>
        <w:tc>
          <w:tcPr>
            <w:tcW w:w="994" w:type="pct"/>
            <w:vAlign w:val="center"/>
          </w:tcPr>
          <w:p w:rsidR="00EE56C0" w:rsidRDefault="000F36A1">
            <w:pPr>
              <w:pStyle w:val="afa"/>
              <w:rPr>
                <w:rFonts w:eastAsia="宋体"/>
                <w:u w:val="single"/>
              </w:rPr>
            </w:pPr>
            <w:r>
              <w:rPr>
                <w:u w:val="single"/>
              </w:rPr>
              <w:t xml:space="preserve">44.3133 </w:t>
            </w:r>
          </w:p>
        </w:tc>
        <w:tc>
          <w:tcPr>
            <w:tcW w:w="1529" w:type="pct"/>
            <w:vAlign w:val="center"/>
          </w:tcPr>
          <w:p w:rsidR="00EE56C0" w:rsidRDefault="000F36A1">
            <w:pPr>
              <w:pStyle w:val="afa"/>
              <w:rPr>
                <w:rFonts w:eastAsia="宋体"/>
                <w:u w:val="single"/>
              </w:rPr>
            </w:pPr>
            <w:r>
              <w:rPr>
                <w:u w:val="single"/>
              </w:rPr>
              <w:t xml:space="preserve">22.1567 </w:t>
            </w:r>
          </w:p>
        </w:tc>
      </w:tr>
      <w:tr w:rsidR="00EE56C0">
        <w:trPr>
          <w:trHeight w:val="454"/>
          <w:jc w:val="center"/>
        </w:trPr>
        <w:tc>
          <w:tcPr>
            <w:tcW w:w="746" w:type="pct"/>
            <w:vAlign w:val="center"/>
          </w:tcPr>
          <w:p w:rsidR="00EE56C0" w:rsidRDefault="000F36A1">
            <w:pPr>
              <w:pStyle w:val="afa"/>
              <w:rPr>
                <w:u w:val="single"/>
              </w:rPr>
            </w:pPr>
            <w:r>
              <w:rPr>
                <w:rFonts w:hint="eastAsia"/>
                <w:u w:val="single"/>
              </w:rPr>
              <w:t>非甲烷总烃</w:t>
            </w:r>
          </w:p>
        </w:tc>
        <w:tc>
          <w:tcPr>
            <w:tcW w:w="863" w:type="pct"/>
            <w:vAlign w:val="center"/>
          </w:tcPr>
          <w:p w:rsidR="00EE56C0" w:rsidRDefault="000F36A1">
            <w:pPr>
              <w:pStyle w:val="afa"/>
              <w:rPr>
                <w:rFonts w:eastAsia="宋体"/>
                <w:u w:val="single"/>
              </w:rPr>
            </w:pPr>
            <w:r>
              <w:rPr>
                <w:u w:val="single"/>
              </w:rPr>
              <w:t>81.7</w:t>
            </w:r>
          </w:p>
        </w:tc>
        <w:tc>
          <w:tcPr>
            <w:tcW w:w="868" w:type="pct"/>
            <w:vAlign w:val="center"/>
          </w:tcPr>
          <w:p w:rsidR="00EE56C0" w:rsidRDefault="000F36A1">
            <w:pPr>
              <w:pStyle w:val="afa"/>
              <w:rPr>
                <w:rFonts w:eastAsia="宋体"/>
                <w:u w:val="single"/>
              </w:rPr>
            </w:pPr>
            <w:r>
              <w:rPr>
                <w:u w:val="single"/>
              </w:rPr>
              <w:t>57.522</w:t>
            </w:r>
          </w:p>
        </w:tc>
        <w:tc>
          <w:tcPr>
            <w:tcW w:w="994" w:type="pct"/>
            <w:vAlign w:val="center"/>
          </w:tcPr>
          <w:p w:rsidR="00EE56C0" w:rsidRDefault="000F36A1">
            <w:pPr>
              <w:pStyle w:val="afa"/>
              <w:rPr>
                <w:rFonts w:eastAsia="宋体"/>
                <w:u w:val="single"/>
              </w:rPr>
            </w:pPr>
            <w:r>
              <w:rPr>
                <w:u w:val="single"/>
              </w:rPr>
              <w:t xml:space="preserve">27.233 </w:t>
            </w:r>
          </w:p>
        </w:tc>
        <w:tc>
          <w:tcPr>
            <w:tcW w:w="1529" w:type="pct"/>
            <w:vAlign w:val="center"/>
          </w:tcPr>
          <w:p w:rsidR="00EE56C0" w:rsidRDefault="000F36A1">
            <w:pPr>
              <w:pStyle w:val="afa"/>
              <w:rPr>
                <w:rFonts w:eastAsia="宋体"/>
                <w:u w:val="single"/>
              </w:rPr>
            </w:pPr>
            <w:r>
              <w:rPr>
                <w:u w:val="single"/>
              </w:rPr>
              <w:t xml:space="preserve">13.617 </w:t>
            </w:r>
          </w:p>
        </w:tc>
      </w:tr>
      <w:tr w:rsidR="00EE56C0">
        <w:trPr>
          <w:trHeight w:val="454"/>
          <w:jc w:val="center"/>
        </w:trPr>
        <w:tc>
          <w:tcPr>
            <w:tcW w:w="746" w:type="pct"/>
            <w:vAlign w:val="center"/>
          </w:tcPr>
          <w:p w:rsidR="00EE56C0" w:rsidRDefault="000F36A1">
            <w:pPr>
              <w:pStyle w:val="afa"/>
              <w:rPr>
                <w:u w:val="single"/>
              </w:rPr>
            </w:pPr>
            <w:r>
              <w:rPr>
                <w:rFonts w:hint="eastAsia"/>
                <w:u w:val="single"/>
              </w:rPr>
              <w:t>二甲苯</w:t>
            </w:r>
          </w:p>
        </w:tc>
        <w:tc>
          <w:tcPr>
            <w:tcW w:w="863" w:type="pct"/>
            <w:vAlign w:val="center"/>
          </w:tcPr>
          <w:p w:rsidR="00EE56C0" w:rsidRDefault="000F36A1">
            <w:pPr>
              <w:pStyle w:val="afa"/>
              <w:rPr>
                <w:rFonts w:eastAsia="宋体"/>
                <w:u w:val="single"/>
              </w:rPr>
            </w:pPr>
            <w:r>
              <w:rPr>
                <w:u w:val="single"/>
              </w:rPr>
              <w:t>14.4</w:t>
            </w:r>
          </w:p>
        </w:tc>
        <w:tc>
          <w:tcPr>
            <w:tcW w:w="868" w:type="pct"/>
            <w:vAlign w:val="center"/>
          </w:tcPr>
          <w:p w:rsidR="00EE56C0" w:rsidRDefault="000F36A1">
            <w:pPr>
              <w:pStyle w:val="afa"/>
              <w:rPr>
                <w:rFonts w:eastAsia="宋体"/>
                <w:u w:val="single"/>
              </w:rPr>
            </w:pPr>
            <w:r>
              <w:rPr>
                <w:u w:val="single"/>
              </w:rPr>
              <w:t>5.58</w:t>
            </w:r>
          </w:p>
        </w:tc>
        <w:tc>
          <w:tcPr>
            <w:tcW w:w="994" w:type="pct"/>
            <w:vAlign w:val="center"/>
          </w:tcPr>
          <w:p w:rsidR="00EE56C0" w:rsidRDefault="000F36A1">
            <w:pPr>
              <w:pStyle w:val="afa"/>
              <w:rPr>
                <w:rFonts w:eastAsia="宋体"/>
                <w:u w:val="single"/>
              </w:rPr>
            </w:pPr>
            <w:r>
              <w:rPr>
                <w:u w:val="single"/>
              </w:rPr>
              <w:t>4.8</w:t>
            </w:r>
          </w:p>
        </w:tc>
        <w:tc>
          <w:tcPr>
            <w:tcW w:w="1529" w:type="pct"/>
            <w:vAlign w:val="center"/>
          </w:tcPr>
          <w:p w:rsidR="00EE56C0" w:rsidRDefault="000F36A1">
            <w:pPr>
              <w:pStyle w:val="afa"/>
              <w:rPr>
                <w:rFonts w:eastAsia="宋体"/>
                <w:u w:val="single"/>
              </w:rPr>
            </w:pPr>
            <w:r>
              <w:rPr>
                <w:u w:val="single"/>
              </w:rPr>
              <w:t>2.4</w:t>
            </w:r>
          </w:p>
        </w:tc>
      </w:tr>
    </w:tbl>
    <w:p w:rsidR="00EE56C0" w:rsidRDefault="000F36A1">
      <w:pPr>
        <w:pStyle w:val="afd"/>
        <w:spacing w:before="120" w:after="120"/>
        <w:ind w:firstLine="482"/>
        <w:rPr>
          <w:u w:val="single"/>
        </w:rPr>
      </w:pPr>
      <w:r>
        <w:rPr>
          <w:rFonts w:hint="eastAsia"/>
          <w:u w:val="single"/>
        </w:rPr>
        <w:t>表</w:t>
      </w:r>
      <w:r>
        <w:rPr>
          <w:rFonts w:hint="eastAsia"/>
          <w:u w:val="single"/>
        </w:rPr>
        <w:t xml:space="preserve">3-33     </w:t>
      </w:r>
      <w:r>
        <w:rPr>
          <w:rFonts w:hint="eastAsia"/>
          <w:u w:val="single"/>
        </w:rPr>
        <w:t>二期漆包机、拉包机废气产生量一览表</w:t>
      </w:r>
      <w:r>
        <w:rPr>
          <w:rFonts w:hint="eastAsia"/>
          <w:u w:val="single"/>
        </w:rPr>
        <w:t xml:space="preserve">   </w:t>
      </w:r>
      <w:r>
        <w:rPr>
          <w:rFonts w:hint="eastAsia"/>
          <w:u w:val="single"/>
        </w:rPr>
        <w:t>单位：</w:t>
      </w:r>
      <w:r>
        <w:rPr>
          <w:rFonts w:hint="eastAsia"/>
          <w:u w:val="single"/>
        </w:rPr>
        <w:t>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73"/>
        <w:gridCol w:w="1388"/>
        <w:gridCol w:w="1557"/>
        <w:gridCol w:w="1987"/>
        <w:gridCol w:w="2323"/>
      </w:tblGrid>
      <w:tr w:rsidR="00EE56C0">
        <w:trPr>
          <w:trHeight w:val="454"/>
          <w:jc w:val="center"/>
        </w:trPr>
        <w:tc>
          <w:tcPr>
            <w:tcW w:w="1560" w:type="pct"/>
            <w:gridSpan w:val="2"/>
            <w:vAlign w:val="center"/>
          </w:tcPr>
          <w:p w:rsidR="00EE56C0" w:rsidRDefault="000F36A1">
            <w:pPr>
              <w:pStyle w:val="aff1"/>
              <w:rPr>
                <w:color w:val="auto"/>
                <w:u w:val="single"/>
              </w:rPr>
            </w:pPr>
            <w:r>
              <w:rPr>
                <w:rFonts w:hint="eastAsia"/>
                <w:color w:val="auto"/>
                <w:u w:val="single"/>
              </w:rPr>
              <w:t>二期</w:t>
            </w:r>
          </w:p>
        </w:tc>
        <w:tc>
          <w:tcPr>
            <w:tcW w:w="2078" w:type="pct"/>
            <w:gridSpan w:val="2"/>
            <w:vAlign w:val="center"/>
          </w:tcPr>
          <w:p w:rsidR="00EE56C0" w:rsidRDefault="000F36A1">
            <w:pPr>
              <w:pStyle w:val="aff1"/>
              <w:rPr>
                <w:color w:val="auto"/>
                <w:u w:val="single"/>
              </w:rPr>
            </w:pPr>
            <w:r>
              <w:rPr>
                <w:rFonts w:hint="eastAsia"/>
                <w:color w:val="auto"/>
                <w:u w:val="single"/>
              </w:rPr>
              <w:t>拉包机</w:t>
            </w:r>
          </w:p>
        </w:tc>
        <w:tc>
          <w:tcPr>
            <w:tcW w:w="1362" w:type="pct"/>
            <w:vAlign w:val="center"/>
          </w:tcPr>
          <w:p w:rsidR="00EE56C0" w:rsidRDefault="000F36A1">
            <w:pPr>
              <w:pStyle w:val="aff1"/>
              <w:rPr>
                <w:color w:val="auto"/>
                <w:u w:val="single"/>
              </w:rPr>
            </w:pPr>
            <w:r>
              <w:rPr>
                <w:rFonts w:hint="eastAsia"/>
                <w:color w:val="auto"/>
                <w:u w:val="single"/>
              </w:rPr>
              <w:t>漆包机</w:t>
            </w:r>
          </w:p>
        </w:tc>
      </w:tr>
      <w:tr w:rsidR="00EE56C0">
        <w:trPr>
          <w:trHeight w:val="618"/>
          <w:jc w:val="center"/>
        </w:trPr>
        <w:tc>
          <w:tcPr>
            <w:tcW w:w="746" w:type="pct"/>
            <w:vAlign w:val="center"/>
          </w:tcPr>
          <w:p w:rsidR="00EE56C0" w:rsidRDefault="000F36A1">
            <w:pPr>
              <w:pStyle w:val="afa"/>
              <w:rPr>
                <w:b/>
                <w:u w:val="single"/>
              </w:rPr>
            </w:pPr>
            <w:r>
              <w:rPr>
                <w:rFonts w:hint="eastAsia"/>
                <w:b/>
                <w:u w:val="single"/>
              </w:rPr>
              <w:t>污染因子</w:t>
            </w:r>
          </w:p>
        </w:tc>
        <w:tc>
          <w:tcPr>
            <w:tcW w:w="814" w:type="pct"/>
            <w:vAlign w:val="center"/>
          </w:tcPr>
          <w:p w:rsidR="00EE56C0" w:rsidRDefault="000F36A1">
            <w:pPr>
              <w:pStyle w:val="aff1"/>
              <w:rPr>
                <w:color w:val="auto"/>
                <w:u w:val="single"/>
              </w:rPr>
            </w:pPr>
            <w:r>
              <w:rPr>
                <w:rFonts w:hint="eastAsia"/>
                <w:color w:val="auto"/>
                <w:u w:val="single"/>
              </w:rPr>
              <w:t>产生量</w:t>
            </w:r>
          </w:p>
        </w:tc>
        <w:tc>
          <w:tcPr>
            <w:tcW w:w="913" w:type="pct"/>
            <w:vAlign w:val="center"/>
          </w:tcPr>
          <w:p w:rsidR="00EE56C0" w:rsidRDefault="000F36A1">
            <w:pPr>
              <w:pStyle w:val="aff1"/>
              <w:rPr>
                <w:color w:val="auto"/>
                <w:u w:val="single"/>
              </w:rPr>
            </w:pPr>
            <w:r>
              <w:rPr>
                <w:rFonts w:hint="eastAsia"/>
                <w:color w:val="auto"/>
                <w:u w:val="single"/>
              </w:rPr>
              <w:t>卧机</w:t>
            </w:r>
          </w:p>
        </w:tc>
        <w:tc>
          <w:tcPr>
            <w:tcW w:w="1164" w:type="pct"/>
            <w:vAlign w:val="center"/>
          </w:tcPr>
          <w:p w:rsidR="00EE56C0" w:rsidRDefault="000F36A1">
            <w:pPr>
              <w:pStyle w:val="aff1"/>
              <w:rPr>
                <w:color w:val="auto"/>
                <w:u w:val="single"/>
              </w:rPr>
            </w:pPr>
            <w:r>
              <w:rPr>
                <w:rFonts w:hint="eastAsia"/>
                <w:color w:val="auto"/>
                <w:u w:val="single"/>
              </w:rPr>
              <w:t>立机</w:t>
            </w:r>
          </w:p>
        </w:tc>
        <w:tc>
          <w:tcPr>
            <w:tcW w:w="1362" w:type="pct"/>
            <w:vAlign w:val="center"/>
          </w:tcPr>
          <w:p w:rsidR="00EE56C0" w:rsidRDefault="000F36A1">
            <w:pPr>
              <w:pStyle w:val="aff1"/>
              <w:rPr>
                <w:color w:val="auto"/>
                <w:u w:val="single"/>
              </w:rPr>
            </w:pPr>
            <w:r>
              <w:rPr>
                <w:rFonts w:hint="eastAsia"/>
                <w:color w:val="auto"/>
                <w:u w:val="single"/>
              </w:rPr>
              <w:t>立机</w:t>
            </w:r>
          </w:p>
        </w:tc>
      </w:tr>
      <w:tr w:rsidR="00EE56C0">
        <w:trPr>
          <w:trHeight w:val="454"/>
          <w:jc w:val="center"/>
        </w:trPr>
        <w:tc>
          <w:tcPr>
            <w:tcW w:w="746" w:type="pct"/>
            <w:vAlign w:val="center"/>
          </w:tcPr>
          <w:p w:rsidR="00EE56C0" w:rsidRDefault="000F36A1">
            <w:pPr>
              <w:pStyle w:val="afa"/>
              <w:rPr>
                <w:u w:val="single"/>
              </w:rPr>
            </w:pPr>
            <w:r>
              <w:rPr>
                <w:rFonts w:hint="eastAsia"/>
                <w:u w:val="single"/>
              </w:rPr>
              <w:t>酚</w:t>
            </w:r>
          </w:p>
        </w:tc>
        <w:tc>
          <w:tcPr>
            <w:tcW w:w="814" w:type="pct"/>
            <w:vAlign w:val="center"/>
          </w:tcPr>
          <w:p w:rsidR="00EE56C0" w:rsidRDefault="000F36A1">
            <w:pPr>
              <w:pStyle w:val="afa"/>
              <w:rPr>
                <w:rFonts w:eastAsia="宋体"/>
                <w:u w:val="single"/>
              </w:rPr>
            </w:pPr>
            <w:r>
              <w:rPr>
                <w:u w:val="single"/>
              </w:rPr>
              <w:t>368</w:t>
            </w:r>
          </w:p>
        </w:tc>
        <w:tc>
          <w:tcPr>
            <w:tcW w:w="913" w:type="pct"/>
            <w:vAlign w:val="center"/>
          </w:tcPr>
          <w:p w:rsidR="00EE56C0" w:rsidRDefault="000F36A1">
            <w:pPr>
              <w:pStyle w:val="afa"/>
              <w:rPr>
                <w:rFonts w:eastAsia="宋体"/>
                <w:u w:val="single"/>
              </w:rPr>
            </w:pPr>
            <w:r>
              <w:rPr>
                <w:u w:val="single"/>
              </w:rPr>
              <w:t>168.56</w:t>
            </w:r>
          </w:p>
        </w:tc>
        <w:tc>
          <w:tcPr>
            <w:tcW w:w="1164" w:type="pct"/>
            <w:vAlign w:val="center"/>
          </w:tcPr>
          <w:p w:rsidR="00EE56C0" w:rsidRDefault="000F36A1">
            <w:pPr>
              <w:pStyle w:val="afa"/>
              <w:rPr>
                <w:rFonts w:eastAsia="宋体"/>
                <w:u w:val="single"/>
              </w:rPr>
            </w:pPr>
            <w:r>
              <w:rPr>
                <w:u w:val="single"/>
              </w:rPr>
              <w:t>153.4154</w:t>
            </w:r>
          </w:p>
        </w:tc>
        <w:tc>
          <w:tcPr>
            <w:tcW w:w="1362" w:type="pct"/>
            <w:vAlign w:val="center"/>
          </w:tcPr>
          <w:p w:rsidR="00EE56C0" w:rsidRDefault="000F36A1">
            <w:pPr>
              <w:pStyle w:val="afa"/>
              <w:rPr>
                <w:rFonts w:eastAsia="宋体"/>
                <w:u w:val="single"/>
              </w:rPr>
            </w:pPr>
            <w:r>
              <w:rPr>
                <w:u w:val="single"/>
              </w:rPr>
              <w:t xml:space="preserve">46.0246 </w:t>
            </w:r>
          </w:p>
        </w:tc>
      </w:tr>
      <w:tr w:rsidR="00EE56C0">
        <w:trPr>
          <w:trHeight w:val="454"/>
          <w:jc w:val="center"/>
        </w:trPr>
        <w:tc>
          <w:tcPr>
            <w:tcW w:w="746" w:type="pct"/>
            <w:vAlign w:val="center"/>
          </w:tcPr>
          <w:p w:rsidR="00EE56C0" w:rsidRDefault="000F36A1">
            <w:pPr>
              <w:pStyle w:val="afa"/>
              <w:rPr>
                <w:u w:val="single"/>
              </w:rPr>
            </w:pPr>
            <w:r>
              <w:rPr>
                <w:rFonts w:hint="eastAsia"/>
                <w:u w:val="single"/>
              </w:rPr>
              <w:t>非甲烷总烃</w:t>
            </w:r>
          </w:p>
        </w:tc>
        <w:tc>
          <w:tcPr>
            <w:tcW w:w="814" w:type="pct"/>
            <w:vAlign w:val="center"/>
          </w:tcPr>
          <w:p w:rsidR="00EE56C0" w:rsidRDefault="000F36A1">
            <w:pPr>
              <w:pStyle w:val="afa"/>
              <w:rPr>
                <w:rFonts w:eastAsia="宋体"/>
                <w:u w:val="single"/>
              </w:rPr>
            </w:pPr>
            <w:r>
              <w:rPr>
                <w:u w:val="single"/>
              </w:rPr>
              <w:t>225.75</w:t>
            </w:r>
          </w:p>
        </w:tc>
        <w:tc>
          <w:tcPr>
            <w:tcW w:w="913" w:type="pct"/>
            <w:vAlign w:val="center"/>
          </w:tcPr>
          <w:p w:rsidR="00EE56C0" w:rsidRDefault="000F36A1">
            <w:pPr>
              <w:pStyle w:val="afa"/>
              <w:rPr>
                <w:rFonts w:eastAsia="宋体"/>
                <w:u w:val="single"/>
              </w:rPr>
            </w:pPr>
            <w:r>
              <w:rPr>
                <w:u w:val="single"/>
              </w:rPr>
              <w:t>144.29</w:t>
            </w:r>
          </w:p>
        </w:tc>
        <w:tc>
          <w:tcPr>
            <w:tcW w:w="1164" w:type="pct"/>
            <w:vAlign w:val="center"/>
          </w:tcPr>
          <w:p w:rsidR="00EE56C0" w:rsidRDefault="000F36A1">
            <w:pPr>
              <w:pStyle w:val="afa"/>
              <w:rPr>
                <w:rFonts w:eastAsia="宋体"/>
                <w:u w:val="single"/>
              </w:rPr>
            </w:pPr>
            <w:r>
              <w:rPr>
                <w:u w:val="single"/>
              </w:rPr>
              <w:t>62.6615</w:t>
            </w:r>
          </w:p>
        </w:tc>
        <w:tc>
          <w:tcPr>
            <w:tcW w:w="1362" w:type="pct"/>
            <w:vAlign w:val="center"/>
          </w:tcPr>
          <w:p w:rsidR="00EE56C0" w:rsidRDefault="000F36A1">
            <w:pPr>
              <w:pStyle w:val="afa"/>
              <w:rPr>
                <w:rFonts w:eastAsia="宋体"/>
                <w:u w:val="single"/>
              </w:rPr>
            </w:pPr>
            <w:r>
              <w:rPr>
                <w:u w:val="single"/>
              </w:rPr>
              <w:t xml:space="preserve">18.7985 </w:t>
            </w:r>
          </w:p>
        </w:tc>
      </w:tr>
      <w:tr w:rsidR="00EE56C0">
        <w:trPr>
          <w:trHeight w:val="454"/>
          <w:jc w:val="center"/>
        </w:trPr>
        <w:tc>
          <w:tcPr>
            <w:tcW w:w="746" w:type="pct"/>
            <w:vAlign w:val="center"/>
          </w:tcPr>
          <w:p w:rsidR="00EE56C0" w:rsidRDefault="000F36A1">
            <w:pPr>
              <w:pStyle w:val="afa"/>
              <w:rPr>
                <w:u w:val="single"/>
              </w:rPr>
            </w:pPr>
            <w:r>
              <w:rPr>
                <w:rFonts w:hint="eastAsia"/>
                <w:u w:val="single"/>
              </w:rPr>
              <w:t>二甲苯</w:t>
            </w:r>
          </w:p>
        </w:tc>
        <w:tc>
          <w:tcPr>
            <w:tcW w:w="814" w:type="pct"/>
            <w:vAlign w:val="center"/>
          </w:tcPr>
          <w:p w:rsidR="00EE56C0" w:rsidRDefault="000F36A1">
            <w:pPr>
              <w:pStyle w:val="afa"/>
              <w:rPr>
                <w:rFonts w:eastAsia="宋体"/>
                <w:u w:val="single"/>
              </w:rPr>
            </w:pPr>
            <w:r>
              <w:rPr>
                <w:u w:val="single"/>
              </w:rPr>
              <w:t>39.75</w:t>
            </w:r>
          </w:p>
        </w:tc>
        <w:tc>
          <w:tcPr>
            <w:tcW w:w="913" w:type="pct"/>
            <w:vAlign w:val="center"/>
          </w:tcPr>
          <w:p w:rsidR="00EE56C0" w:rsidRDefault="000F36A1">
            <w:pPr>
              <w:pStyle w:val="afa"/>
              <w:rPr>
                <w:rFonts w:eastAsia="宋体"/>
                <w:u w:val="single"/>
              </w:rPr>
            </w:pPr>
            <w:r>
              <w:rPr>
                <w:u w:val="single"/>
              </w:rPr>
              <w:t>13.975</w:t>
            </w:r>
          </w:p>
        </w:tc>
        <w:tc>
          <w:tcPr>
            <w:tcW w:w="1164" w:type="pct"/>
            <w:vAlign w:val="center"/>
          </w:tcPr>
          <w:p w:rsidR="00EE56C0" w:rsidRDefault="000F36A1">
            <w:pPr>
              <w:pStyle w:val="afa"/>
              <w:rPr>
                <w:rFonts w:eastAsia="宋体"/>
                <w:u w:val="single"/>
              </w:rPr>
            </w:pPr>
            <w:r>
              <w:rPr>
                <w:u w:val="single"/>
              </w:rPr>
              <w:t>19.8269</w:t>
            </w:r>
          </w:p>
        </w:tc>
        <w:tc>
          <w:tcPr>
            <w:tcW w:w="1362" w:type="pct"/>
            <w:vAlign w:val="center"/>
          </w:tcPr>
          <w:p w:rsidR="00EE56C0" w:rsidRDefault="000F36A1">
            <w:pPr>
              <w:pStyle w:val="afa"/>
              <w:rPr>
                <w:rFonts w:eastAsia="宋体"/>
                <w:u w:val="single"/>
              </w:rPr>
            </w:pPr>
            <w:r>
              <w:rPr>
                <w:u w:val="single"/>
              </w:rPr>
              <w:t xml:space="preserve">5.95 </w:t>
            </w:r>
          </w:p>
        </w:tc>
      </w:tr>
    </w:tbl>
    <w:p w:rsidR="00EE56C0" w:rsidRDefault="000F36A1">
      <w:pPr>
        <w:spacing w:line="460" w:lineRule="exact"/>
        <w:ind w:firstLine="480"/>
      </w:pPr>
      <w:r>
        <w:rPr>
          <w:rFonts w:hint="eastAsia"/>
        </w:rPr>
        <w:t>根据废气走向图（见图</w:t>
      </w:r>
      <w:r>
        <w:rPr>
          <w:rFonts w:hint="eastAsia"/>
        </w:rPr>
        <w:t>3-20</w:t>
      </w:r>
      <w:r>
        <w:rPr>
          <w:rFonts w:hint="eastAsia"/>
        </w:rPr>
        <w:t>），漆包机、拉包机废气先经炉内两次催化燃烧装置预处理后，再进入末端废气装置进一步处理，立炉涂漆间外部进行了二次封闭，二次封闭通道废气、预处理后的拉包机废气进入“沸石吸附</w:t>
      </w:r>
      <w:r>
        <w:rPr>
          <w:rFonts w:hint="eastAsia"/>
        </w:rPr>
        <w:t>-</w:t>
      </w:r>
      <w:r>
        <w:rPr>
          <w:rFonts w:hint="eastAsia"/>
        </w:rPr>
        <w:t>脱附</w:t>
      </w:r>
      <w:r>
        <w:rPr>
          <w:rFonts w:hint="eastAsia"/>
        </w:rPr>
        <w:t>-</w:t>
      </w:r>
      <w:r>
        <w:rPr>
          <w:rFonts w:hint="eastAsia"/>
        </w:rPr>
        <w:t>催化燃烧</w:t>
      </w:r>
      <w:r>
        <w:rPr>
          <w:rFonts w:hint="eastAsia"/>
        </w:rPr>
        <w:t>F</w:t>
      </w:r>
      <w:r>
        <w:rPr>
          <w:rFonts w:hint="eastAsia"/>
        </w:rPr>
        <w:t>”处理，预处理后的漆包机废气进入“静电除油</w:t>
      </w:r>
      <w:r>
        <w:rPr>
          <w:rFonts w:hint="eastAsia"/>
        </w:rPr>
        <w:t>+</w:t>
      </w:r>
      <w:r>
        <w:rPr>
          <w:rFonts w:hint="eastAsia"/>
        </w:rPr>
        <w:t>活性炭转轮吸附</w:t>
      </w:r>
      <w:r>
        <w:rPr>
          <w:rFonts w:hint="eastAsia"/>
        </w:rPr>
        <w:t>-</w:t>
      </w:r>
      <w:r>
        <w:rPr>
          <w:rFonts w:hint="eastAsia"/>
        </w:rPr>
        <w:t>脱附</w:t>
      </w:r>
      <w:r>
        <w:rPr>
          <w:rFonts w:hint="eastAsia"/>
        </w:rPr>
        <w:t>-</w:t>
      </w:r>
      <w:r>
        <w:rPr>
          <w:rFonts w:hint="eastAsia"/>
        </w:rPr>
        <w:t>催化燃烧</w:t>
      </w:r>
      <w:r>
        <w:rPr>
          <w:rFonts w:hint="eastAsia"/>
        </w:rPr>
        <w:t>T</w:t>
      </w:r>
      <w:r>
        <w:rPr>
          <w:rFonts w:hint="eastAsia"/>
        </w:rPr>
        <w:t>”处理。</w:t>
      </w:r>
    </w:p>
    <w:p w:rsidR="00EE56C0" w:rsidRDefault="000F36A1">
      <w:pPr>
        <w:spacing w:line="460" w:lineRule="exact"/>
        <w:ind w:firstLine="482"/>
        <w:rPr>
          <w:b/>
        </w:rPr>
      </w:pPr>
      <w:r>
        <w:rPr>
          <w:rFonts w:hint="eastAsia"/>
          <w:b/>
        </w:rPr>
        <w:t>③丝包线废气产生情况</w:t>
      </w:r>
    </w:p>
    <w:p w:rsidR="00EE56C0" w:rsidRDefault="000F36A1">
      <w:pPr>
        <w:ind w:firstLine="480"/>
        <w:rPr>
          <w:rFonts w:ascii="宋体" w:hAnsi="宋体"/>
        </w:rPr>
      </w:pPr>
      <w:r>
        <w:rPr>
          <w:rFonts w:hint="eastAsia"/>
        </w:rPr>
        <w:t>丝包线涂漆区、烘炉进出口废气、</w:t>
      </w:r>
      <w:r>
        <w:rPr>
          <w:rFonts w:ascii="宋体" w:hAnsi="宋体" w:hint="eastAsia"/>
        </w:rPr>
        <w:t>操作间废气及无组织散失废气</w:t>
      </w:r>
      <w:r>
        <w:rPr>
          <w:rFonts w:ascii="宋体" w:hAnsi="宋体"/>
        </w:rPr>
        <w:t>产生及</w:t>
      </w:r>
      <w:r>
        <w:rPr>
          <w:rFonts w:ascii="宋体" w:hAnsi="宋体" w:hint="eastAsia"/>
        </w:rPr>
        <w:t>收集</w:t>
      </w:r>
      <w:r>
        <w:rPr>
          <w:rFonts w:ascii="宋体" w:hAnsi="宋体"/>
        </w:rPr>
        <w:t>情况</w:t>
      </w:r>
      <w:r>
        <w:rPr>
          <w:rFonts w:ascii="宋体" w:hAnsi="宋体" w:hint="eastAsia"/>
        </w:rPr>
        <w:t>见下表。</w:t>
      </w:r>
    </w:p>
    <w:p w:rsidR="00EE56C0" w:rsidRDefault="000F36A1">
      <w:pPr>
        <w:pStyle w:val="afd"/>
        <w:spacing w:before="120" w:after="120"/>
        <w:ind w:firstLine="482"/>
      </w:pPr>
      <w:r>
        <w:t>表</w:t>
      </w:r>
      <w:r>
        <w:rPr>
          <w:rFonts w:hint="eastAsia"/>
        </w:rPr>
        <w:t xml:space="preserve">3-34   </w:t>
      </w:r>
      <w:r>
        <w:rPr>
          <w:rFonts w:hint="eastAsia"/>
        </w:rPr>
        <w:t>一期丝包线废气</w:t>
      </w:r>
      <w:r>
        <w:t>产生及</w:t>
      </w:r>
      <w:r>
        <w:rPr>
          <w:rFonts w:hint="eastAsia"/>
        </w:rPr>
        <w:t>收集</w:t>
      </w:r>
      <w:r>
        <w:t>情况一览表</w:t>
      </w:r>
      <w:r>
        <w:rPr>
          <w:rFonts w:hint="eastAsia"/>
        </w:rPr>
        <w:t xml:space="preserve">     </w:t>
      </w:r>
      <w:r>
        <w:rPr>
          <w:rFonts w:hint="eastAsia"/>
        </w:rPr>
        <w:t>单位：</w:t>
      </w:r>
      <w:r>
        <w:rPr>
          <w:rFonts w:hint="eastAsia"/>
        </w:rPr>
        <w:t>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7"/>
        <w:gridCol w:w="1416"/>
        <w:gridCol w:w="2836"/>
        <w:gridCol w:w="2749"/>
      </w:tblGrid>
      <w:tr w:rsidR="00EE56C0">
        <w:trPr>
          <w:trHeight w:val="454"/>
          <w:jc w:val="center"/>
        </w:trPr>
        <w:tc>
          <w:tcPr>
            <w:tcW w:w="895" w:type="pct"/>
            <w:vAlign w:val="center"/>
          </w:tcPr>
          <w:p w:rsidR="00EE56C0" w:rsidRDefault="000F36A1">
            <w:pPr>
              <w:pStyle w:val="aff1"/>
              <w:rPr>
                <w:color w:val="auto"/>
              </w:rPr>
            </w:pPr>
            <w:r>
              <w:rPr>
                <w:color w:val="auto"/>
                <w:szCs w:val="21"/>
              </w:rPr>
              <w:t>污染物</w:t>
            </w:r>
          </w:p>
        </w:tc>
        <w:tc>
          <w:tcPr>
            <w:tcW w:w="830" w:type="pct"/>
            <w:vAlign w:val="center"/>
          </w:tcPr>
          <w:p w:rsidR="00EE56C0" w:rsidRDefault="000F36A1">
            <w:pPr>
              <w:pStyle w:val="aff1"/>
              <w:rPr>
                <w:color w:val="auto"/>
              </w:rPr>
            </w:pPr>
            <w:r>
              <w:rPr>
                <w:rFonts w:hint="eastAsia"/>
                <w:color w:val="auto"/>
              </w:rPr>
              <w:t>产生量</w:t>
            </w:r>
          </w:p>
        </w:tc>
        <w:tc>
          <w:tcPr>
            <w:tcW w:w="1663" w:type="pct"/>
            <w:vAlign w:val="center"/>
          </w:tcPr>
          <w:p w:rsidR="00EE56C0" w:rsidRDefault="000F36A1">
            <w:pPr>
              <w:pStyle w:val="aff1"/>
              <w:rPr>
                <w:color w:val="auto"/>
              </w:rPr>
            </w:pPr>
            <w:r>
              <w:rPr>
                <w:rFonts w:hint="eastAsia"/>
                <w:color w:val="auto"/>
              </w:rPr>
              <w:t>工位上封闭式集气罩及顶部抽吸装置废气产生情况（收集效率</w:t>
            </w:r>
            <w:r>
              <w:rPr>
                <w:rFonts w:hint="eastAsia"/>
                <w:color w:val="auto"/>
              </w:rPr>
              <w:t>99.5%</w:t>
            </w:r>
            <w:r>
              <w:rPr>
                <w:rFonts w:hint="eastAsia"/>
                <w:color w:val="auto"/>
              </w:rPr>
              <w:t>）</w:t>
            </w:r>
          </w:p>
        </w:tc>
        <w:tc>
          <w:tcPr>
            <w:tcW w:w="1612" w:type="pct"/>
            <w:vAlign w:val="center"/>
          </w:tcPr>
          <w:p w:rsidR="00EE56C0" w:rsidRDefault="000F36A1">
            <w:pPr>
              <w:pStyle w:val="aff1"/>
              <w:rPr>
                <w:color w:val="auto"/>
              </w:rPr>
            </w:pPr>
            <w:r>
              <w:rPr>
                <w:rFonts w:hint="eastAsia"/>
                <w:color w:val="auto"/>
              </w:rPr>
              <w:t>无组织废气（散失</w:t>
            </w:r>
            <w:r>
              <w:rPr>
                <w:rFonts w:hint="eastAsia"/>
                <w:color w:val="auto"/>
              </w:rPr>
              <w:t>0.5%</w:t>
            </w:r>
            <w:r>
              <w:rPr>
                <w:rFonts w:hint="eastAsia"/>
                <w:color w:val="auto"/>
              </w:rPr>
              <w:t>）</w:t>
            </w:r>
          </w:p>
        </w:tc>
      </w:tr>
      <w:tr w:rsidR="00EE56C0">
        <w:trPr>
          <w:trHeight w:val="454"/>
          <w:jc w:val="center"/>
        </w:trPr>
        <w:tc>
          <w:tcPr>
            <w:tcW w:w="895" w:type="pct"/>
            <w:vAlign w:val="center"/>
          </w:tcPr>
          <w:p w:rsidR="00EE56C0" w:rsidRDefault="000F36A1">
            <w:pPr>
              <w:pStyle w:val="afa"/>
            </w:pPr>
            <w:r>
              <w:t>苯</w:t>
            </w:r>
          </w:p>
        </w:tc>
        <w:tc>
          <w:tcPr>
            <w:tcW w:w="830" w:type="pct"/>
            <w:vAlign w:val="center"/>
          </w:tcPr>
          <w:p w:rsidR="00EE56C0" w:rsidRDefault="000F36A1">
            <w:pPr>
              <w:pStyle w:val="afa"/>
              <w:rPr>
                <w:rFonts w:ascii="宋体" w:eastAsia="宋体" w:hAnsi="宋体" w:cs="宋体"/>
              </w:rPr>
            </w:pPr>
            <w:r>
              <w:rPr>
                <w:rFonts w:hint="eastAsia"/>
              </w:rPr>
              <w:t>3.705</w:t>
            </w:r>
          </w:p>
        </w:tc>
        <w:tc>
          <w:tcPr>
            <w:tcW w:w="1663" w:type="pct"/>
            <w:vAlign w:val="center"/>
          </w:tcPr>
          <w:p w:rsidR="00EE56C0" w:rsidRDefault="000F36A1">
            <w:pPr>
              <w:pStyle w:val="afa"/>
              <w:rPr>
                <w:rFonts w:ascii="宋体" w:eastAsia="宋体" w:hAnsi="宋体" w:cs="宋体"/>
              </w:rPr>
            </w:pPr>
            <w:r>
              <w:rPr>
                <w:rFonts w:hint="eastAsia"/>
              </w:rPr>
              <w:t xml:space="preserve">3.6865 </w:t>
            </w:r>
          </w:p>
        </w:tc>
        <w:tc>
          <w:tcPr>
            <w:tcW w:w="1612" w:type="pct"/>
            <w:vAlign w:val="center"/>
          </w:tcPr>
          <w:p w:rsidR="00EE56C0" w:rsidRDefault="000F36A1">
            <w:pPr>
              <w:pStyle w:val="afa"/>
              <w:rPr>
                <w:rFonts w:ascii="宋体" w:eastAsia="宋体" w:hAnsi="宋体" w:cs="宋体"/>
              </w:rPr>
            </w:pPr>
            <w:r>
              <w:rPr>
                <w:rFonts w:hint="eastAsia"/>
              </w:rPr>
              <w:t xml:space="preserve">0.0185 </w:t>
            </w:r>
          </w:p>
        </w:tc>
      </w:tr>
      <w:tr w:rsidR="00EE56C0">
        <w:trPr>
          <w:trHeight w:val="454"/>
          <w:jc w:val="center"/>
        </w:trPr>
        <w:tc>
          <w:tcPr>
            <w:tcW w:w="895" w:type="pct"/>
            <w:vAlign w:val="center"/>
          </w:tcPr>
          <w:p w:rsidR="00EE56C0" w:rsidRDefault="000F36A1">
            <w:pPr>
              <w:pStyle w:val="afa"/>
            </w:pPr>
            <w:r>
              <w:lastRenderedPageBreak/>
              <w:t>甲苯</w:t>
            </w:r>
          </w:p>
        </w:tc>
        <w:tc>
          <w:tcPr>
            <w:tcW w:w="830" w:type="pct"/>
            <w:vAlign w:val="center"/>
          </w:tcPr>
          <w:p w:rsidR="00EE56C0" w:rsidRDefault="000F36A1">
            <w:pPr>
              <w:pStyle w:val="afa"/>
              <w:rPr>
                <w:rFonts w:eastAsia="宋体" w:cs="Times New Roman"/>
              </w:rPr>
            </w:pPr>
            <w:r>
              <w:rPr>
                <w:rFonts w:cs="Times New Roman"/>
              </w:rPr>
              <w:t>11.115</w:t>
            </w:r>
          </w:p>
        </w:tc>
        <w:tc>
          <w:tcPr>
            <w:tcW w:w="1663" w:type="pct"/>
            <w:vAlign w:val="center"/>
          </w:tcPr>
          <w:p w:rsidR="00EE56C0" w:rsidRDefault="000F36A1">
            <w:pPr>
              <w:pStyle w:val="afa"/>
              <w:rPr>
                <w:rFonts w:eastAsia="宋体" w:cs="Times New Roman"/>
              </w:rPr>
            </w:pPr>
            <w:r>
              <w:rPr>
                <w:rFonts w:cs="Times New Roman"/>
              </w:rPr>
              <w:t xml:space="preserve">11.0594 </w:t>
            </w:r>
          </w:p>
        </w:tc>
        <w:tc>
          <w:tcPr>
            <w:tcW w:w="1612" w:type="pct"/>
            <w:vAlign w:val="center"/>
          </w:tcPr>
          <w:p w:rsidR="00EE56C0" w:rsidRDefault="000F36A1">
            <w:pPr>
              <w:pStyle w:val="afa"/>
              <w:rPr>
                <w:rFonts w:eastAsia="宋体" w:cs="Times New Roman"/>
              </w:rPr>
            </w:pPr>
            <w:r>
              <w:rPr>
                <w:rFonts w:cs="Times New Roman"/>
              </w:rPr>
              <w:t xml:space="preserve">0.0556 </w:t>
            </w:r>
          </w:p>
        </w:tc>
      </w:tr>
      <w:tr w:rsidR="00EE56C0">
        <w:trPr>
          <w:trHeight w:val="454"/>
          <w:jc w:val="center"/>
        </w:trPr>
        <w:tc>
          <w:tcPr>
            <w:tcW w:w="895" w:type="pct"/>
            <w:vAlign w:val="center"/>
          </w:tcPr>
          <w:p w:rsidR="00EE56C0" w:rsidRDefault="000F36A1">
            <w:pPr>
              <w:pStyle w:val="afa"/>
            </w:pPr>
            <w:r>
              <w:t>二甲苯</w:t>
            </w:r>
          </w:p>
        </w:tc>
        <w:tc>
          <w:tcPr>
            <w:tcW w:w="830" w:type="pct"/>
            <w:vAlign w:val="center"/>
          </w:tcPr>
          <w:p w:rsidR="00EE56C0" w:rsidRDefault="000F36A1">
            <w:pPr>
              <w:pStyle w:val="afa"/>
              <w:rPr>
                <w:rFonts w:eastAsia="宋体" w:cs="Times New Roman"/>
              </w:rPr>
            </w:pPr>
            <w:r>
              <w:rPr>
                <w:rFonts w:cs="Times New Roman"/>
              </w:rPr>
              <w:t>11.115</w:t>
            </w:r>
          </w:p>
        </w:tc>
        <w:tc>
          <w:tcPr>
            <w:tcW w:w="1663" w:type="pct"/>
            <w:vAlign w:val="center"/>
          </w:tcPr>
          <w:p w:rsidR="00EE56C0" w:rsidRDefault="000F36A1">
            <w:pPr>
              <w:pStyle w:val="afa"/>
              <w:rPr>
                <w:rFonts w:eastAsia="宋体" w:cs="Times New Roman"/>
              </w:rPr>
            </w:pPr>
            <w:r>
              <w:rPr>
                <w:rFonts w:cs="Times New Roman"/>
              </w:rPr>
              <w:t xml:space="preserve">11.0594 </w:t>
            </w:r>
          </w:p>
        </w:tc>
        <w:tc>
          <w:tcPr>
            <w:tcW w:w="1612" w:type="pct"/>
            <w:vAlign w:val="center"/>
          </w:tcPr>
          <w:p w:rsidR="00EE56C0" w:rsidRDefault="000F36A1">
            <w:pPr>
              <w:pStyle w:val="afa"/>
              <w:rPr>
                <w:rFonts w:eastAsia="宋体" w:cs="Times New Roman"/>
              </w:rPr>
            </w:pPr>
            <w:r>
              <w:rPr>
                <w:rFonts w:cs="Times New Roman"/>
              </w:rPr>
              <w:t xml:space="preserve">0.0556 </w:t>
            </w:r>
          </w:p>
        </w:tc>
      </w:tr>
      <w:tr w:rsidR="00EE56C0">
        <w:trPr>
          <w:trHeight w:val="454"/>
          <w:jc w:val="center"/>
        </w:trPr>
        <w:tc>
          <w:tcPr>
            <w:tcW w:w="895" w:type="pct"/>
            <w:vAlign w:val="center"/>
          </w:tcPr>
          <w:p w:rsidR="00EE56C0" w:rsidRDefault="000F36A1">
            <w:pPr>
              <w:pStyle w:val="afa"/>
            </w:pPr>
            <w:r>
              <w:t>非甲烷总烃</w:t>
            </w:r>
          </w:p>
        </w:tc>
        <w:tc>
          <w:tcPr>
            <w:tcW w:w="830" w:type="pct"/>
            <w:vAlign w:val="center"/>
          </w:tcPr>
          <w:p w:rsidR="00EE56C0" w:rsidRDefault="000F36A1">
            <w:pPr>
              <w:pStyle w:val="afa"/>
              <w:rPr>
                <w:rFonts w:eastAsia="宋体" w:cs="Times New Roman"/>
              </w:rPr>
            </w:pPr>
            <w:r>
              <w:rPr>
                <w:rFonts w:cs="Times New Roman"/>
              </w:rPr>
              <w:t>3.705</w:t>
            </w:r>
          </w:p>
        </w:tc>
        <w:tc>
          <w:tcPr>
            <w:tcW w:w="1663" w:type="pct"/>
            <w:vAlign w:val="center"/>
          </w:tcPr>
          <w:p w:rsidR="00EE56C0" w:rsidRDefault="000F36A1">
            <w:pPr>
              <w:pStyle w:val="afa"/>
              <w:rPr>
                <w:rFonts w:eastAsia="宋体" w:cs="Times New Roman"/>
              </w:rPr>
            </w:pPr>
            <w:r>
              <w:rPr>
                <w:rFonts w:cs="Times New Roman"/>
              </w:rPr>
              <w:t xml:space="preserve">3.6865 </w:t>
            </w:r>
          </w:p>
        </w:tc>
        <w:tc>
          <w:tcPr>
            <w:tcW w:w="1612" w:type="pct"/>
            <w:vAlign w:val="center"/>
          </w:tcPr>
          <w:p w:rsidR="00EE56C0" w:rsidRDefault="000F36A1">
            <w:pPr>
              <w:pStyle w:val="afa"/>
              <w:rPr>
                <w:rFonts w:eastAsia="宋体" w:cs="Times New Roman"/>
              </w:rPr>
            </w:pPr>
            <w:r>
              <w:rPr>
                <w:rFonts w:cs="Times New Roman"/>
              </w:rPr>
              <w:t xml:space="preserve">0.0185 </w:t>
            </w:r>
          </w:p>
        </w:tc>
      </w:tr>
    </w:tbl>
    <w:p w:rsidR="00EE56C0" w:rsidRDefault="000F36A1">
      <w:pPr>
        <w:pStyle w:val="afd"/>
        <w:spacing w:before="120" w:after="120"/>
        <w:ind w:firstLine="482"/>
      </w:pPr>
      <w:r>
        <w:t>表</w:t>
      </w:r>
      <w:r>
        <w:rPr>
          <w:rFonts w:hint="eastAsia"/>
        </w:rPr>
        <w:t xml:space="preserve">3-35  </w:t>
      </w:r>
      <w:r>
        <w:tab/>
      </w:r>
      <w:r>
        <w:rPr>
          <w:rFonts w:hint="eastAsia"/>
        </w:rPr>
        <w:t>二期丝包线废气废气</w:t>
      </w:r>
      <w:r>
        <w:t>产生及</w:t>
      </w:r>
      <w:r>
        <w:rPr>
          <w:rFonts w:hint="eastAsia"/>
        </w:rPr>
        <w:t>收集</w:t>
      </w:r>
      <w:r>
        <w:t>情况一览表</w:t>
      </w:r>
      <w:r>
        <w:rPr>
          <w:rFonts w:hint="eastAsia"/>
        </w:rPr>
        <w:t xml:space="preserve">    </w:t>
      </w:r>
      <w:r>
        <w:rPr>
          <w:rFonts w:hint="eastAsia"/>
        </w:rPr>
        <w:t>单位：</w:t>
      </w:r>
      <w:r>
        <w:rPr>
          <w:rFonts w:hint="eastAsia"/>
        </w:rPr>
        <w:t>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83"/>
        <w:gridCol w:w="993"/>
        <w:gridCol w:w="3686"/>
        <w:gridCol w:w="2466"/>
      </w:tblGrid>
      <w:tr w:rsidR="00EE56C0">
        <w:trPr>
          <w:trHeight w:val="510"/>
          <w:jc w:val="center"/>
        </w:trPr>
        <w:tc>
          <w:tcPr>
            <w:tcW w:w="811" w:type="pct"/>
            <w:vAlign w:val="center"/>
          </w:tcPr>
          <w:p w:rsidR="00EE56C0" w:rsidRDefault="000F36A1">
            <w:pPr>
              <w:pStyle w:val="aff1"/>
              <w:rPr>
                <w:color w:val="auto"/>
              </w:rPr>
            </w:pPr>
            <w:r>
              <w:rPr>
                <w:color w:val="auto"/>
                <w:szCs w:val="21"/>
              </w:rPr>
              <w:t>污染物</w:t>
            </w:r>
          </w:p>
        </w:tc>
        <w:tc>
          <w:tcPr>
            <w:tcW w:w="582" w:type="pct"/>
            <w:vAlign w:val="center"/>
          </w:tcPr>
          <w:p w:rsidR="00EE56C0" w:rsidRDefault="000F36A1">
            <w:pPr>
              <w:pStyle w:val="aff1"/>
              <w:rPr>
                <w:color w:val="auto"/>
              </w:rPr>
            </w:pPr>
            <w:r>
              <w:rPr>
                <w:rFonts w:hint="eastAsia"/>
                <w:color w:val="auto"/>
              </w:rPr>
              <w:t>产生量</w:t>
            </w:r>
          </w:p>
        </w:tc>
        <w:tc>
          <w:tcPr>
            <w:tcW w:w="2161" w:type="pct"/>
            <w:vAlign w:val="center"/>
          </w:tcPr>
          <w:p w:rsidR="00EE56C0" w:rsidRDefault="000F36A1">
            <w:pPr>
              <w:pStyle w:val="aff1"/>
              <w:rPr>
                <w:color w:val="auto"/>
              </w:rPr>
            </w:pPr>
            <w:r>
              <w:rPr>
                <w:rFonts w:hint="eastAsia"/>
                <w:color w:val="auto"/>
              </w:rPr>
              <w:t>工位上封闭式集气罩及顶部抽吸装置废气产生情况（收集效率</w:t>
            </w:r>
            <w:r>
              <w:rPr>
                <w:rFonts w:hint="eastAsia"/>
                <w:color w:val="auto"/>
              </w:rPr>
              <w:t>99.5%</w:t>
            </w:r>
            <w:r>
              <w:rPr>
                <w:rFonts w:hint="eastAsia"/>
                <w:color w:val="auto"/>
              </w:rPr>
              <w:t>）</w:t>
            </w:r>
          </w:p>
        </w:tc>
        <w:tc>
          <w:tcPr>
            <w:tcW w:w="1446" w:type="pct"/>
            <w:vAlign w:val="center"/>
          </w:tcPr>
          <w:p w:rsidR="00EE56C0" w:rsidRDefault="000F36A1">
            <w:pPr>
              <w:pStyle w:val="aff1"/>
              <w:rPr>
                <w:color w:val="auto"/>
              </w:rPr>
            </w:pPr>
            <w:r>
              <w:rPr>
                <w:rFonts w:hint="eastAsia"/>
                <w:color w:val="auto"/>
              </w:rPr>
              <w:t>无组织废气（散失</w:t>
            </w:r>
            <w:r>
              <w:rPr>
                <w:rFonts w:hint="eastAsia"/>
                <w:color w:val="auto"/>
              </w:rPr>
              <w:t>0.5%</w:t>
            </w:r>
            <w:r>
              <w:rPr>
                <w:rFonts w:hint="eastAsia"/>
                <w:color w:val="auto"/>
              </w:rPr>
              <w:t>）</w:t>
            </w:r>
          </w:p>
        </w:tc>
      </w:tr>
      <w:tr w:rsidR="00EE56C0">
        <w:trPr>
          <w:trHeight w:val="510"/>
          <w:jc w:val="center"/>
        </w:trPr>
        <w:tc>
          <w:tcPr>
            <w:tcW w:w="811" w:type="pct"/>
            <w:vAlign w:val="center"/>
          </w:tcPr>
          <w:p w:rsidR="00EE56C0" w:rsidRDefault="000F36A1">
            <w:pPr>
              <w:pStyle w:val="afa"/>
            </w:pPr>
            <w:r>
              <w:t>苯</w:t>
            </w:r>
          </w:p>
        </w:tc>
        <w:tc>
          <w:tcPr>
            <w:tcW w:w="582" w:type="pct"/>
            <w:vAlign w:val="center"/>
          </w:tcPr>
          <w:p w:rsidR="00EE56C0" w:rsidRDefault="000F36A1">
            <w:pPr>
              <w:pStyle w:val="afa"/>
              <w:rPr>
                <w:rFonts w:eastAsia="宋体"/>
              </w:rPr>
            </w:pPr>
            <w:r>
              <w:t>2.925</w:t>
            </w:r>
          </w:p>
        </w:tc>
        <w:tc>
          <w:tcPr>
            <w:tcW w:w="2161" w:type="pct"/>
            <w:vAlign w:val="center"/>
          </w:tcPr>
          <w:p w:rsidR="00EE56C0" w:rsidRDefault="000F36A1">
            <w:pPr>
              <w:pStyle w:val="afa"/>
              <w:rPr>
                <w:rFonts w:eastAsia="宋体"/>
              </w:rPr>
            </w:pPr>
            <w:r>
              <w:t>2.9104</w:t>
            </w:r>
          </w:p>
        </w:tc>
        <w:tc>
          <w:tcPr>
            <w:tcW w:w="1446" w:type="pct"/>
            <w:vAlign w:val="center"/>
          </w:tcPr>
          <w:p w:rsidR="00EE56C0" w:rsidRDefault="000F36A1">
            <w:pPr>
              <w:pStyle w:val="afa"/>
              <w:rPr>
                <w:rFonts w:eastAsia="宋体"/>
              </w:rPr>
            </w:pPr>
            <w:r>
              <w:t xml:space="preserve">0.0146 </w:t>
            </w:r>
          </w:p>
        </w:tc>
      </w:tr>
      <w:tr w:rsidR="00EE56C0">
        <w:trPr>
          <w:trHeight w:val="510"/>
          <w:jc w:val="center"/>
        </w:trPr>
        <w:tc>
          <w:tcPr>
            <w:tcW w:w="811" w:type="pct"/>
            <w:vAlign w:val="center"/>
          </w:tcPr>
          <w:p w:rsidR="00EE56C0" w:rsidRDefault="000F36A1">
            <w:pPr>
              <w:pStyle w:val="afa"/>
            </w:pPr>
            <w:r>
              <w:t>甲苯</w:t>
            </w:r>
          </w:p>
        </w:tc>
        <w:tc>
          <w:tcPr>
            <w:tcW w:w="582" w:type="pct"/>
            <w:vAlign w:val="center"/>
          </w:tcPr>
          <w:p w:rsidR="00EE56C0" w:rsidRDefault="000F36A1">
            <w:pPr>
              <w:pStyle w:val="afa"/>
              <w:rPr>
                <w:rFonts w:eastAsia="宋体"/>
              </w:rPr>
            </w:pPr>
            <w:r>
              <w:t>8.775</w:t>
            </w:r>
          </w:p>
        </w:tc>
        <w:tc>
          <w:tcPr>
            <w:tcW w:w="2161" w:type="pct"/>
            <w:vAlign w:val="center"/>
          </w:tcPr>
          <w:p w:rsidR="00EE56C0" w:rsidRDefault="000F36A1">
            <w:pPr>
              <w:pStyle w:val="afa"/>
              <w:rPr>
                <w:rFonts w:eastAsia="宋体"/>
              </w:rPr>
            </w:pPr>
            <w:r>
              <w:t>8.7311</w:t>
            </w:r>
          </w:p>
        </w:tc>
        <w:tc>
          <w:tcPr>
            <w:tcW w:w="1446" w:type="pct"/>
            <w:vAlign w:val="center"/>
          </w:tcPr>
          <w:p w:rsidR="00EE56C0" w:rsidRDefault="000F36A1">
            <w:pPr>
              <w:pStyle w:val="afa"/>
              <w:rPr>
                <w:rFonts w:eastAsia="宋体"/>
              </w:rPr>
            </w:pPr>
            <w:r>
              <w:t xml:space="preserve">0.0439 </w:t>
            </w:r>
          </w:p>
        </w:tc>
      </w:tr>
      <w:tr w:rsidR="00EE56C0">
        <w:trPr>
          <w:trHeight w:val="510"/>
          <w:jc w:val="center"/>
        </w:trPr>
        <w:tc>
          <w:tcPr>
            <w:tcW w:w="811" w:type="pct"/>
            <w:vAlign w:val="center"/>
          </w:tcPr>
          <w:p w:rsidR="00EE56C0" w:rsidRDefault="000F36A1">
            <w:pPr>
              <w:pStyle w:val="afa"/>
            </w:pPr>
            <w:r>
              <w:t>二甲苯</w:t>
            </w:r>
          </w:p>
        </w:tc>
        <w:tc>
          <w:tcPr>
            <w:tcW w:w="582" w:type="pct"/>
            <w:vAlign w:val="center"/>
          </w:tcPr>
          <w:p w:rsidR="00EE56C0" w:rsidRDefault="000F36A1">
            <w:pPr>
              <w:pStyle w:val="afa"/>
              <w:rPr>
                <w:rFonts w:eastAsia="宋体"/>
              </w:rPr>
            </w:pPr>
            <w:r>
              <w:t>8.775</w:t>
            </w:r>
          </w:p>
        </w:tc>
        <w:tc>
          <w:tcPr>
            <w:tcW w:w="2161" w:type="pct"/>
            <w:vAlign w:val="center"/>
          </w:tcPr>
          <w:p w:rsidR="00EE56C0" w:rsidRDefault="000F36A1">
            <w:pPr>
              <w:pStyle w:val="afa"/>
              <w:rPr>
                <w:rFonts w:eastAsia="宋体"/>
              </w:rPr>
            </w:pPr>
            <w:r>
              <w:t>8.7311</w:t>
            </w:r>
          </w:p>
        </w:tc>
        <w:tc>
          <w:tcPr>
            <w:tcW w:w="1446" w:type="pct"/>
            <w:vAlign w:val="center"/>
          </w:tcPr>
          <w:p w:rsidR="00EE56C0" w:rsidRDefault="000F36A1">
            <w:pPr>
              <w:pStyle w:val="afa"/>
              <w:rPr>
                <w:rFonts w:eastAsia="宋体"/>
              </w:rPr>
            </w:pPr>
            <w:r>
              <w:t xml:space="preserve">0.0439 </w:t>
            </w:r>
          </w:p>
        </w:tc>
      </w:tr>
      <w:tr w:rsidR="00EE56C0">
        <w:trPr>
          <w:trHeight w:val="510"/>
          <w:jc w:val="center"/>
        </w:trPr>
        <w:tc>
          <w:tcPr>
            <w:tcW w:w="811" w:type="pct"/>
            <w:vAlign w:val="center"/>
          </w:tcPr>
          <w:p w:rsidR="00EE56C0" w:rsidRDefault="000F36A1">
            <w:pPr>
              <w:pStyle w:val="afa"/>
            </w:pPr>
            <w:r>
              <w:t>非甲烷总烃</w:t>
            </w:r>
          </w:p>
        </w:tc>
        <w:tc>
          <w:tcPr>
            <w:tcW w:w="582" w:type="pct"/>
            <w:vAlign w:val="center"/>
          </w:tcPr>
          <w:p w:rsidR="00EE56C0" w:rsidRDefault="000F36A1">
            <w:pPr>
              <w:pStyle w:val="afa"/>
              <w:rPr>
                <w:rFonts w:eastAsia="宋体"/>
              </w:rPr>
            </w:pPr>
            <w:r>
              <w:t>2.925</w:t>
            </w:r>
          </w:p>
        </w:tc>
        <w:tc>
          <w:tcPr>
            <w:tcW w:w="2161" w:type="pct"/>
            <w:vAlign w:val="center"/>
          </w:tcPr>
          <w:p w:rsidR="00EE56C0" w:rsidRDefault="000F36A1">
            <w:pPr>
              <w:pStyle w:val="afa"/>
              <w:rPr>
                <w:rFonts w:eastAsia="宋体"/>
              </w:rPr>
            </w:pPr>
            <w:r>
              <w:t>2.9104</w:t>
            </w:r>
          </w:p>
        </w:tc>
        <w:tc>
          <w:tcPr>
            <w:tcW w:w="1446" w:type="pct"/>
            <w:vAlign w:val="center"/>
          </w:tcPr>
          <w:p w:rsidR="00EE56C0" w:rsidRDefault="000F36A1">
            <w:pPr>
              <w:pStyle w:val="afa"/>
              <w:rPr>
                <w:rFonts w:eastAsia="宋体"/>
              </w:rPr>
            </w:pPr>
            <w:r>
              <w:t xml:space="preserve">0.0146 </w:t>
            </w:r>
          </w:p>
        </w:tc>
      </w:tr>
    </w:tbl>
    <w:p w:rsidR="00EE56C0" w:rsidRDefault="000F36A1">
      <w:pPr>
        <w:ind w:firstLine="482"/>
      </w:pPr>
      <w:r>
        <w:rPr>
          <w:rFonts w:hint="eastAsia"/>
          <w:b/>
        </w:rPr>
        <w:t>④一期、二期建成后，全厂废气总排放情况</w:t>
      </w:r>
    </w:p>
    <w:p w:rsidR="00EE56C0" w:rsidRDefault="000F36A1">
      <w:pPr>
        <w:ind w:firstLine="480"/>
      </w:pPr>
      <w:r>
        <w:rPr>
          <w:rFonts w:hint="eastAsia"/>
        </w:rPr>
        <w:t>根据设备供应商提供的数据，炉内两次催化燃烧装置处理效率可达到</w:t>
      </w:r>
      <w:r>
        <w:rPr>
          <w:rFonts w:hint="eastAsia"/>
        </w:rPr>
        <w:t>99%</w:t>
      </w:r>
      <w:r>
        <w:rPr>
          <w:rFonts w:hint="eastAsia"/>
        </w:rPr>
        <w:t>，</w:t>
      </w:r>
      <w:r>
        <w:rPr>
          <w:rFonts w:hint="eastAsia"/>
          <w:kern w:val="21"/>
        </w:rPr>
        <w:t>“静电除油装置</w:t>
      </w:r>
      <w:r>
        <w:rPr>
          <w:rFonts w:hint="eastAsia"/>
          <w:kern w:val="21"/>
        </w:rPr>
        <w:t>+</w:t>
      </w:r>
      <w:r>
        <w:rPr>
          <w:rFonts w:hint="eastAsia"/>
          <w:kern w:val="21"/>
        </w:rPr>
        <w:t>活性炭吸附</w:t>
      </w:r>
      <w:r>
        <w:rPr>
          <w:rFonts w:hint="eastAsia"/>
          <w:kern w:val="21"/>
        </w:rPr>
        <w:t>-</w:t>
      </w:r>
      <w:r>
        <w:rPr>
          <w:rFonts w:hint="eastAsia"/>
          <w:kern w:val="21"/>
        </w:rPr>
        <w:t>脱附</w:t>
      </w:r>
      <w:r>
        <w:rPr>
          <w:rFonts w:hint="eastAsia"/>
          <w:kern w:val="21"/>
        </w:rPr>
        <w:t>-</w:t>
      </w:r>
      <w:r>
        <w:rPr>
          <w:rFonts w:hint="eastAsia"/>
          <w:kern w:val="21"/>
        </w:rPr>
        <w:t>催化燃烧装置”和“沸石吸附</w:t>
      </w:r>
      <w:r>
        <w:rPr>
          <w:rFonts w:hint="eastAsia"/>
          <w:kern w:val="21"/>
        </w:rPr>
        <w:t>-</w:t>
      </w:r>
      <w:r>
        <w:rPr>
          <w:rFonts w:hint="eastAsia"/>
          <w:kern w:val="21"/>
        </w:rPr>
        <w:t>脱附</w:t>
      </w:r>
      <w:r>
        <w:rPr>
          <w:rFonts w:hint="eastAsia"/>
          <w:kern w:val="21"/>
        </w:rPr>
        <w:t>-</w:t>
      </w:r>
      <w:r>
        <w:rPr>
          <w:rFonts w:hint="eastAsia"/>
          <w:kern w:val="21"/>
        </w:rPr>
        <w:t>催化燃烧装置”处理效率在</w:t>
      </w:r>
      <w:r>
        <w:rPr>
          <w:rFonts w:hint="eastAsia"/>
          <w:kern w:val="21"/>
        </w:rPr>
        <w:t>98%</w:t>
      </w:r>
      <w:r>
        <w:rPr>
          <w:rFonts w:hint="eastAsia"/>
          <w:kern w:val="21"/>
        </w:rPr>
        <w:t>以上，本次评价取处理效率为</w:t>
      </w:r>
      <w:r>
        <w:rPr>
          <w:rFonts w:hint="eastAsia"/>
          <w:kern w:val="21"/>
        </w:rPr>
        <w:t>98%</w:t>
      </w:r>
      <w:r>
        <w:rPr>
          <w:rFonts w:hint="eastAsia"/>
          <w:kern w:val="21"/>
        </w:rPr>
        <w:t>。</w:t>
      </w:r>
    </w:p>
    <w:p w:rsidR="00EE56C0" w:rsidRDefault="000F36A1">
      <w:pPr>
        <w:ind w:firstLine="480"/>
      </w:pPr>
      <w:r>
        <w:rPr>
          <w:rFonts w:hint="eastAsia"/>
        </w:rPr>
        <w:t>一期建成后，全厂废气排放情况</w:t>
      </w:r>
      <w:r>
        <w:t>见下表。</w:t>
      </w:r>
    </w:p>
    <w:p w:rsidR="00EE56C0" w:rsidRDefault="000F36A1">
      <w:pPr>
        <w:pStyle w:val="afd"/>
        <w:spacing w:before="120" w:after="120"/>
        <w:ind w:firstLine="482"/>
      </w:pPr>
      <w:r>
        <w:t>表</w:t>
      </w:r>
      <w:r>
        <w:rPr>
          <w:rFonts w:hint="eastAsia"/>
        </w:rPr>
        <w:t xml:space="preserve">3-36     </w:t>
      </w:r>
      <w:r>
        <w:rPr>
          <w:rFonts w:hint="eastAsia"/>
        </w:rPr>
        <w:t>一期建成后全厂废气排放况</w:t>
      </w:r>
      <w:r>
        <w:t>一览表</w:t>
      </w:r>
      <w:r>
        <w:rPr>
          <w:rFonts w:hint="eastAsia"/>
        </w:rPr>
        <w:t xml:space="preserve">    </w:t>
      </w:r>
      <w:r>
        <w:rPr>
          <w:rFonts w:hint="eastAsia"/>
        </w:rPr>
        <w:t>单位：</w:t>
      </w:r>
      <w:r>
        <w:rPr>
          <w:rFonts w:hint="eastAsia"/>
        </w:rPr>
        <w:t>t/a</w:t>
      </w:r>
    </w:p>
    <w:tbl>
      <w:tblPr>
        <w:tblW w:w="5000" w:type="pct"/>
        <w:jc w:val="center"/>
        <w:tblBorders>
          <w:top w:val="single" w:sz="8" w:space="0" w:color="000000"/>
          <w:bottom w:val="single" w:sz="8" w:space="0" w:color="000000"/>
          <w:insideH w:val="single" w:sz="4" w:space="0" w:color="000000"/>
          <w:insideV w:val="single" w:sz="4" w:space="0" w:color="000000"/>
        </w:tblBorders>
        <w:tblLook w:val="04A0"/>
      </w:tblPr>
      <w:tblGrid>
        <w:gridCol w:w="1280"/>
        <w:gridCol w:w="1147"/>
        <w:gridCol w:w="1151"/>
        <w:gridCol w:w="1155"/>
        <w:gridCol w:w="1155"/>
        <w:gridCol w:w="1156"/>
        <w:gridCol w:w="795"/>
        <w:gridCol w:w="689"/>
      </w:tblGrid>
      <w:tr w:rsidR="00EE56C0">
        <w:trPr>
          <w:trHeight w:val="454"/>
          <w:jc w:val="center"/>
        </w:trPr>
        <w:tc>
          <w:tcPr>
            <w:tcW w:w="750" w:type="pct"/>
            <w:vMerge w:val="restart"/>
            <w:tcBorders>
              <w:top w:val="single" w:sz="4" w:space="0" w:color="auto"/>
              <w:left w:val="single" w:sz="4" w:space="0" w:color="auto"/>
              <w:bottom w:val="single" w:sz="4" w:space="0" w:color="auto"/>
              <w:right w:val="single" w:sz="4" w:space="0" w:color="000000"/>
            </w:tcBorders>
            <w:vAlign w:val="center"/>
          </w:tcPr>
          <w:p w:rsidR="00EE56C0" w:rsidRDefault="000F36A1">
            <w:pPr>
              <w:pStyle w:val="aff1"/>
              <w:rPr>
                <w:color w:val="auto"/>
                <w:szCs w:val="21"/>
                <w:u w:val="single"/>
              </w:rPr>
            </w:pPr>
            <w:r>
              <w:rPr>
                <w:color w:val="auto"/>
                <w:szCs w:val="21"/>
                <w:u w:val="single"/>
              </w:rPr>
              <w:t>污染物</w:t>
            </w:r>
          </w:p>
        </w:tc>
        <w:tc>
          <w:tcPr>
            <w:tcW w:w="672" w:type="pct"/>
            <w:vMerge w:val="restart"/>
            <w:tcBorders>
              <w:top w:val="single" w:sz="4" w:space="0" w:color="auto"/>
              <w:left w:val="single" w:sz="4" w:space="0" w:color="000000"/>
              <w:right w:val="single" w:sz="4" w:space="0" w:color="auto"/>
            </w:tcBorders>
            <w:vAlign w:val="center"/>
          </w:tcPr>
          <w:p w:rsidR="00EE56C0" w:rsidRDefault="000F36A1">
            <w:pPr>
              <w:pStyle w:val="aff1"/>
              <w:rPr>
                <w:color w:val="auto"/>
                <w:szCs w:val="21"/>
                <w:u w:val="single"/>
              </w:rPr>
            </w:pPr>
            <w:r>
              <w:rPr>
                <w:rFonts w:hint="eastAsia"/>
                <w:color w:val="auto"/>
                <w:szCs w:val="21"/>
                <w:u w:val="single"/>
              </w:rPr>
              <w:t>现有废气</w:t>
            </w:r>
            <w:r>
              <w:rPr>
                <w:color w:val="auto"/>
                <w:szCs w:val="21"/>
                <w:u w:val="single"/>
              </w:rPr>
              <w:t>排放</w:t>
            </w:r>
            <w:r>
              <w:rPr>
                <w:rFonts w:hint="eastAsia"/>
                <w:color w:val="auto"/>
                <w:szCs w:val="21"/>
                <w:u w:val="single"/>
              </w:rPr>
              <w:t>量</w:t>
            </w:r>
            <w:r>
              <w:rPr>
                <w:color w:val="auto"/>
                <w:szCs w:val="21"/>
                <w:u w:val="single"/>
              </w:rPr>
              <w:t>（</w:t>
            </w:r>
            <w:r>
              <w:rPr>
                <w:color w:val="auto"/>
                <w:szCs w:val="21"/>
                <w:u w:val="single"/>
              </w:rPr>
              <w:t>t/a</w:t>
            </w:r>
            <w:r>
              <w:rPr>
                <w:color w:val="auto"/>
                <w:szCs w:val="21"/>
                <w:u w:val="single"/>
              </w:rPr>
              <w:t>）</w:t>
            </w:r>
          </w:p>
        </w:tc>
        <w:tc>
          <w:tcPr>
            <w:tcW w:w="675" w:type="pct"/>
            <w:vMerge w:val="restart"/>
            <w:tcBorders>
              <w:top w:val="single" w:sz="4" w:space="0" w:color="auto"/>
              <w:left w:val="single" w:sz="4" w:space="0" w:color="auto"/>
              <w:right w:val="nil"/>
            </w:tcBorders>
            <w:vAlign w:val="center"/>
          </w:tcPr>
          <w:p w:rsidR="00EE56C0" w:rsidRDefault="000F36A1">
            <w:pPr>
              <w:pStyle w:val="aff1"/>
              <w:rPr>
                <w:color w:val="auto"/>
                <w:szCs w:val="21"/>
                <w:u w:val="single"/>
              </w:rPr>
            </w:pPr>
            <w:r>
              <w:rPr>
                <w:rFonts w:hint="eastAsia"/>
                <w:color w:val="auto"/>
                <w:szCs w:val="21"/>
                <w:u w:val="single"/>
              </w:rPr>
              <w:t>经</w:t>
            </w:r>
            <w:r>
              <w:rPr>
                <w:rFonts w:hint="eastAsia"/>
                <w:color w:val="auto"/>
                <w:szCs w:val="21"/>
                <w:u w:val="single"/>
              </w:rPr>
              <w:t>T</w:t>
            </w:r>
            <w:r>
              <w:rPr>
                <w:rFonts w:hint="eastAsia"/>
                <w:color w:val="auto"/>
                <w:szCs w:val="21"/>
                <w:u w:val="single"/>
              </w:rPr>
              <w:t>治理后的排放量</w:t>
            </w:r>
            <w:r>
              <w:rPr>
                <w:color w:val="auto"/>
                <w:szCs w:val="21"/>
                <w:u w:val="single"/>
              </w:rPr>
              <w:t>（</w:t>
            </w:r>
            <w:r>
              <w:rPr>
                <w:color w:val="auto"/>
                <w:szCs w:val="21"/>
                <w:u w:val="single"/>
              </w:rPr>
              <w:t>t/a</w:t>
            </w:r>
            <w:r>
              <w:rPr>
                <w:color w:val="auto"/>
                <w:szCs w:val="21"/>
                <w:u w:val="single"/>
              </w:rPr>
              <w:t>）</w:t>
            </w:r>
          </w:p>
        </w:tc>
        <w:tc>
          <w:tcPr>
            <w:tcW w:w="677" w:type="pct"/>
            <w:vMerge w:val="restart"/>
            <w:tcBorders>
              <w:top w:val="single" w:sz="4" w:space="0" w:color="auto"/>
              <w:left w:val="single" w:sz="4" w:space="0" w:color="auto"/>
              <w:right w:val="nil"/>
            </w:tcBorders>
            <w:vAlign w:val="center"/>
          </w:tcPr>
          <w:p w:rsidR="00EE56C0" w:rsidRDefault="000F36A1">
            <w:pPr>
              <w:pStyle w:val="aff1"/>
              <w:rPr>
                <w:color w:val="auto"/>
                <w:szCs w:val="21"/>
                <w:u w:val="single"/>
              </w:rPr>
            </w:pPr>
            <w:r>
              <w:rPr>
                <w:rFonts w:hint="eastAsia"/>
                <w:color w:val="auto"/>
                <w:szCs w:val="21"/>
                <w:u w:val="single"/>
              </w:rPr>
              <w:t>经</w:t>
            </w:r>
            <w:r>
              <w:rPr>
                <w:rFonts w:hint="eastAsia"/>
                <w:color w:val="auto"/>
                <w:szCs w:val="21"/>
                <w:u w:val="single"/>
              </w:rPr>
              <w:t>F</w:t>
            </w:r>
            <w:r>
              <w:rPr>
                <w:rFonts w:hint="eastAsia"/>
                <w:color w:val="auto"/>
                <w:szCs w:val="21"/>
                <w:u w:val="single"/>
              </w:rPr>
              <w:t>治理后的排放量</w:t>
            </w:r>
            <w:r>
              <w:rPr>
                <w:color w:val="auto"/>
                <w:szCs w:val="21"/>
                <w:u w:val="single"/>
              </w:rPr>
              <w:t>（</w:t>
            </w:r>
            <w:r>
              <w:rPr>
                <w:color w:val="auto"/>
                <w:szCs w:val="21"/>
                <w:u w:val="single"/>
              </w:rPr>
              <w:t>t/a</w:t>
            </w:r>
            <w:r>
              <w:rPr>
                <w:color w:val="auto"/>
                <w:szCs w:val="21"/>
                <w:u w:val="single"/>
              </w:rPr>
              <w:t>）</w:t>
            </w:r>
          </w:p>
        </w:tc>
        <w:tc>
          <w:tcPr>
            <w:tcW w:w="2225" w:type="pct"/>
            <w:gridSpan w:val="4"/>
            <w:tcBorders>
              <w:top w:val="single" w:sz="4" w:space="0" w:color="auto"/>
              <w:left w:val="single" w:sz="4" w:space="0" w:color="auto"/>
              <w:bottom w:val="single" w:sz="4" w:space="0" w:color="auto"/>
              <w:right w:val="single" w:sz="4" w:space="0" w:color="auto"/>
            </w:tcBorders>
            <w:vAlign w:val="center"/>
          </w:tcPr>
          <w:p w:rsidR="00EE56C0" w:rsidRDefault="000F36A1">
            <w:pPr>
              <w:pStyle w:val="aff1"/>
              <w:rPr>
                <w:color w:val="auto"/>
                <w:szCs w:val="21"/>
                <w:u w:val="single"/>
              </w:rPr>
            </w:pPr>
            <w:r>
              <w:rPr>
                <w:rFonts w:hint="eastAsia"/>
                <w:color w:val="auto"/>
                <w:szCs w:val="21"/>
                <w:u w:val="single"/>
              </w:rPr>
              <w:t>合计</w:t>
            </w:r>
          </w:p>
        </w:tc>
      </w:tr>
      <w:tr w:rsidR="00EE56C0">
        <w:trPr>
          <w:trHeight w:val="454"/>
          <w:jc w:val="center"/>
        </w:trPr>
        <w:tc>
          <w:tcPr>
            <w:tcW w:w="750" w:type="pct"/>
            <w:vMerge/>
            <w:tcBorders>
              <w:top w:val="single" w:sz="8" w:space="0" w:color="000000"/>
              <w:left w:val="single" w:sz="4" w:space="0" w:color="auto"/>
              <w:bottom w:val="single" w:sz="4" w:space="0" w:color="auto"/>
              <w:right w:val="single" w:sz="4" w:space="0" w:color="000000"/>
            </w:tcBorders>
            <w:vAlign w:val="center"/>
          </w:tcPr>
          <w:p w:rsidR="00EE56C0" w:rsidRDefault="00EE56C0">
            <w:pPr>
              <w:pStyle w:val="aff1"/>
              <w:rPr>
                <w:color w:val="auto"/>
                <w:szCs w:val="21"/>
                <w:u w:val="single"/>
              </w:rPr>
            </w:pPr>
          </w:p>
        </w:tc>
        <w:tc>
          <w:tcPr>
            <w:tcW w:w="672" w:type="pct"/>
            <w:vMerge/>
            <w:tcBorders>
              <w:left w:val="single" w:sz="4" w:space="0" w:color="000000"/>
              <w:bottom w:val="single" w:sz="4" w:space="0" w:color="auto"/>
              <w:right w:val="single" w:sz="4" w:space="0" w:color="auto"/>
            </w:tcBorders>
            <w:vAlign w:val="center"/>
          </w:tcPr>
          <w:p w:rsidR="00EE56C0" w:rsidRDefault="00EE56C0">
            <w:pPr>
              <w:pStyle w:val="aff1"/>
              <w:rPr>
                <w:color w:val="auto"/>
                <w:szCs w:val="21"/>
                <w:u w:val="single"/>
              </w:rPr>
            </w:pPr>
          </w:p>
        </w:tc>
        <w:tc>
          <w:tcPr>
            <w:tcW w:w="675" w:type="pct"/>
            <w:vMerge/>
            <w:tcBorders>
              <w:left w:val="single" w:sz="4" w:space="0" w:color="auto"/>
              <w:bottom w:val="single" w:sz="4" w:space="0" w:color="auto"/>
              <w:right w:val="nil"/>
            </w:tcBorders>
            <w:vAlign w:val="center"/>
          </w:tcPr>
          <w:p w:rsidR="00EE56C0" w:rsidRDefault="00EE56C0">
            <w:pPr>
              <w:pStyle w:val="aff1"/>
              <w:rPr>
                <w:color w:val="auto"/>
                <w:szCs w:val="21"/>
                <w:u w:val="single"/>
              </w:rPr>
            </w:pPr>
          </w:p>
        </w:tc>
        <w:tc>
          <w:tcPr>
            <w:tcW w:w="677" w:type="pct"/>
            <w:vMerge/>
            <w:tcBorders>
              <w:left w:val="single" w:sz="4" w:space="0" w:color="auto"/>
              <w:bottom w:val="single" w:sz="4" w:space="0" w:color="auto"/>
              <w:right w:val="nil"/>
            </w:tcBorders>
            <w:vAlign w:val="center"/>
          </w:tcPr>
          <w:p w:rsidR="00EE56C0" w:rsidRDefault="00EE56C0">
            <w:pPr>
              <w:pStyle w:val="aff1"/>
              <w:rPr>
                <w:color w:val="auto"/>
                <w:szCs w:val="21"/>
                <w:u w:val="single"/>
              </w:rPr>
            </w:pPr>
          </w:p>
        </w:tc>
        <w:tc>
          <w:tcPr>
            <w:tcW w:w="677" w:type="pct"/>
            <w:tcBorders>
              <w:top w:val="single" w:sz="4" w:space="0" w:color="auto"/>
              <w:left w:val="single" w:sz="4" w:space="0" w:color="auto"/>
              <w:bottom w:val="single" w:sz="4" w:space="0" w:color="auto"/>
              <w:right w:val="nil"/>
            </w:tcBorders>
            <w:vAlign w:val="center"/>
          </w:tcPr>
          <w:p w:rsidR="00EE56C0" w:rsidRDefault="000F36A1">
            <w:pPr>
              <w:pStyle w:val="aff1"/>
              <w:rPr>
                <w:color w:val="auto"/>
                <w:szCs w:val="21"/>
                <w:u w:val="single"/>
              </w:rPr>
            </w:pPr>
            <w:r>
              <w:rPr>
                <w:color w:val="auto"/>
                <w:szCs w:val="21"/>
                <w:u w:val="single"/>
              </w:rPr>
              <w:t>排放</w:t>
            </w:r>
            <w:r>
              <w:rPr>
                <w:rFonts w:hint="eastAsia"/>
                <w:color w:val="auto"/>
                <w:szCs w:val="21"/>
                <w:u w:val="single"/>
              </w:rPr>
              <w:t>量</w:t>
            </w:r>
            <w:r>
              <w:rPr>
                <w:color w:val="auto"/>
                <w:szCs w:val="21"/>
                <w:u w:val="single"/>
              </w:rPr>
              <w:t>（</w:t>
            </w:r>
            <w:r>
              <w:rPr>
                <w:color w:val="auto"/>
                <w:szCs w:val="21"/>
                <w:u w:val="single"/>
              </w:rPr>
              <w:t>t/a</w:t>
            </w:r>
            <w:r>
              <w:rPr>
                <w:color w:val="auto"/>
                <w:szCs w:val="21"/>
                <w:u w:val="single"/>
              </w:rPr>
              <w:t>）</w:t>
            </w:r>
          </w:p>
        </w:tc>
        <w:tc>
          <w:tcPr>
            <w:tcW w:w="678" w:type="pct"/>
            <w:tcBorders>
              <w:top w:val="single" w:sz="4" w:space="0" w:color="auto"/>
              <w:left w:val="single" w:sz="4" w:space="0" w:color="auto"/>
              <w:bottom w:val="single" w:sz="4" w:space="0" w:color="auto"/>
              <w:right w:val="nil"/>
            </w:tcBorders>
            <w:vAlign w:val="center"/>
          </w:tcPr>
          <w:p w:rsidR="00EE56C0" w:rsidRDefault="000F36A1">
            <w:pPr>
              <w:pStyle w:val="aff1"/>
              <w:rPr>
                <w:color w:val="auto"/>
                <w:szCs w:val="21"/>
                <w:u w:val="single"/>
              </w:rPr>
            </w:pPr>
            <w:r>
              <w:rPr>
                <w:color w:val="auto"/>
                <w:szCs w:val="21"/>
                <w:u w:val="single"/>
              </w:rPr>
              <w:t>排放速率</w:t>
            </w:r>
            <w:r>
              <w:rPr>
                <w:rFonts w:hint="eastAsia"/>
                <w:color w:val="auto"/>
                <w:szCs w:val="21"/>
                <w:u w:val="single"/>
              </w:rPr>
              <w:t>（</w:t>
            </w:r>
            <w:r>
              <w:rPr>
                <w:rFonts w:hint="eastAsia"/>
                <w:color w:val="auto"/>
                <w:szCs w:val="21"/>
                <w:u w:val="single"/>
              </w:rPr>
              <w:t>kg/h</w:t>
            </w:r>
            <w:r>
              <w:rPr>
                <w:rFonts w:hint="eastAsia"/>
                <w:color w:val="auto"/>
                <w:szCs w:val="21"/>
                <w:u w:val="single"/>
              </w:rPr>
              <w:t>）</w:t>
            </w:r>
          </w:p>
        </w:tc>
        <w:tc>
          <w:tcPr>
            <w:tcW w:w="870" w:type="pct"/>
            <w:gridSpan w:val="2"/>
            <w:tcBorders>
              <w:top w:val="single" w:sz="4" w:space="0" w:color="auto"/>
              <w:left w:val="single" w:sz="4" w:space="0" w:color="auto"/>
              <w:bottom w:val="single" w:sz="4" w:space="0" w:color="auto"/>
              <w:right w:val="single" w:sz="4" w:space="0" w:color="auto"/>
            </w:tcBorders>
            <w:vAlign w:val="center"/>
          </w:tcPr>
          <w:p w:rsidR="00EE56C0" w:rsidRDefault="000F36A1">
            <w:pPr>
              <w:pStyle w:val="aff1"/>
              <w:rPr>
                <w:color w:val="auto"/>
                <w:szCs w:val="21"/>
                <w:u w:val="single"/>
              </w:rPr>
            </w:pPr>
            <w:r>
              <w:rPr>
                <w:rFonts w:hint="eastAsia"/>
                <w:color w:val="auto"/>
                <w:szCs w:val="21"/>
                <w:u w:val="single"/>
              </w:rPr>
              <w:t>排放浓度（</w:t>
            </w:r>
            <w:r>
              <w:rPr>
                <w:rFonts w:hint="eastAsia"/>
                <w:color w:val="auto"/>
                <w:szCs w:val="21"/>
                <w:u w:val="single"/>
              </w:rPr>
              <w:t>mg/m</w:t>
            </w:r>
            <w:r>
              <w:rPr>
                <w:rFonts w:hint="eastAsia"/>
                <w:color w:val="auto"/>
                <w:szCs w:val="21"/>
                <w:u w:val="single"/>
                <w:vertAlign w:val="superscript"/>
              </w:rPr>
              <w:t>3</w:t>
            </w:r>
            <w:r>
              <w:rPr>
                <w:rFonts w:hint="eastAsia"/>
                <w:color w:val="auto"/>
                <w:szCs w:val="21"/>
                <w:u w:val="single"/>
              </w:rPr>
              <w:t>）</w:t>
            </w:r>
          </w:p>
        </w:tc>
      </w:tr>
      <w:tr w:rsidR="00EE56C0">
        <w:trPr>
          <w:trHeight w:val="454"/>
          <w:jc w:val="center"/>
        </w:trPr>
        <w:tc>
          <w:tcPr>
            <w:tcW w:w="750" w:type="pct"/>
            <w:tcBorders>
              <w:top w:val="single" w:sz="4" w:space="0" w:color="auto"/>
              <w:left w:val="single" w:sz="4" w:space="0" w:color="auto"/>
              <w:right w:val="single" w:sz="4" w:space="0" w:color="000000"/>
            </w:tcBorders>
            <w:vAlign w:val="center"/>
          </w:tcPr>
          <w:p w:rsidR="00EE56C0" w:rsidRDefault="000F36A1">
            <w:pPr>
              <w:pStyle w:val="afa"/>
              <w:rPr>
                <w:u w:val="single"/>
              </w:rPr>
            </w:pPr>
            <w:r>
              <w:rPr>
                <w:rFonts w:hint="eastAsia"/>
                <w:u w:val="single"/>
              </w:rPr>
              <w:t>酚</w:t>
            </w:r>
          </w:p>
        </w:tc>
        <w:tc>
          <w:tcPr>
            <w:tcW w:w="672" w:type="pct"/>
            <w:tcBorders>
              <w:top w:val="single" w:sz="4" w:space="0" w:color="auto"/>
              <w:left w:val="single" w:sz="4" w:space="0" w:color="000000"/>
              <w:right w:val="single" w:sz="4" w:space="0" w:color="auto"/>
            </w:tcBorders>
            <w:vAlign w:val="center"/>
          </w:tcPr>
          <w:p w:rsidR="00EE56C0" w:rsidRDefault="000F36A1">
            <w:pPr>
              <w:pStyle w:val="afa"/>
              <w:rPr>
                <w:rFonts w:ascii="宋体" w:eastAsia="宋体" w:hAnsi="宋体" w:cs="宋体"/>
                <w:u w:val="single"/>
              </w:rPr>
            </w:pPr>
            <w:r>
              <w:rPr>
                <w:rFonts w:hint="eastAsia"/>
                <w:u w:val="single"/>
              </w:rPr>
              <w:t>0.5616</w:t>
            </w:r>
          </w:p>
        </w:tc>
        <w:tc>
          <w:tcPr>
            <w:tcW w:w="675" w:type="pct"/>
            <w:tcBorders>
              <w:top w:val="single" w:sz="4" w:space="0" w:color="auto"/>
              <w:left w:val="single" w:sz="4" w:space="0" w:color="auto"/>
              <w:right w:val="nil"/>
            </w:tcBorders>
            <w:vAlign w:val="center"/>
          </w:tcPr>
          <w:p w:rsidR="00EE56C0" w:rsidRDefault="000F36A1">
            <w:pPr>
              <w:pStyle w:val="afa"/>
              <w:rPr>
                <w:rFonts w:eastAsia="宋体"/>
                <w:u w:val="single"/>
              </w:rPr>
            </w:pPr>
            <w:r>
              <w:rPr>
                <w:u w:val="single"/>
              </w:rPr>
              <w:t xml:space="preserve">0.0088 </w:t>
            </w:r>
          </w:p>
        </w:tc>
        <w:tc>
          <w:tcPr>
            <w:tcW w:w="677" w:type="pct"/>
            <w:tcBorders>
              <w:top w:val="single" w:sz="4" w:space="0" w:color="auto"/>
              <w:left w:val="single" w:sz="4" w:space="0" w:color="auto"/>
              <w:right w:val="nil"/>
            </w:tcBorders>
            <w:vAlign w:val="center"/>
          </w:tcPr>
          <w:p w:rsidR="00EE56C0" w:rsidRDefault="000F36A1">
            <w:pPr>
              <w:pStyle w:val="afa"/>
              <w:rPr>
                <w:u w:val="single"/>
              </w:rPr>
            </w:pPr>
            <w:r>
              <w:rPr>
                <w:u w:val="single"/>
              </w:rPr>
              <w:t xml:space="preserve">0.0212 </w:t>
            </w:r>
          </w:p>
        </w:tc>
        <w:tc>
          <w:tcPr>
            <w:tcW w:w="677" w:type="pct"/>
            <w:tcBorders>
              <w:top w:val="single" w:sz="4" w:space="0" w:color="auto"/>
              <w:left w:val="single" w:sz="4" w:space="0" w:color="auto"/>
              <w:right w:val="nil"/>
            </w:tcBorders>
            <w:vAlign w:val="center"/>
          </w:tcPr>
          <w:p w:rsidR="00EE56C0" w:rsidRDefault="000F36A1">
            <w:pPr>
              <w:pStyle w:val="afa"/>
              <w:rPr>
                <w:rFonts w:eastAsia="宋体"/>
                <w:u w:val="single"/>
              </w:rPr>
            </w:pPr>
            <w:r>
              <w:rPr>
                <w:u w:val="single"/>
              </w:rPr>
              <w:t xml:space="preserve">0.5917 </w:t>
            </w:r>
          </w:p>
        </w:tc>
        <w:tc>
          <w:tcPr>
            <w:tcW w:w="678" w:type="pct"/>
            <w:tcBorders>
              <w:top w:val="single" w:sz="4" w:space="0" w:color="auto"/>
              <w:left w:val="single" w:sz="4" w:space="0" w:color="auto"/>
              <w:right w:val="nil"/>
            </w:tcBorders>
            <w:vAlign w:val="center"/>
          </w:tcPr>
          <w:p w:rsidR="00EE56C0" w:rsidRDefault="000F36A1">
            <w:pPr>
              <w:pStyle w:val="afa"/>
              <w:rPr>
                <w:rFonts w:eastAsia="宋体"/>
                <w:u w:val="single"/>
              </w:rPr>
            </w:pPr>
            <w:r>
              <w:rPr>
                <w:u w:val="single"/>
              </w:rPr>
              <w:t xml:space="preserve">0.0822 </w:t>
            </w:r>
          </w:p>
        </w:tc>
        <w:tc>
          <w:tcPr>
            <w:tcW w:w="870" w:type="pct"/>
            <w:gridSpan w:val="2"/>
            <w:tcBorders>
              <w:top w:val="single" w:sz="4" w:space="0" w:color="auto"/>
              <w:left w:val="single" w:sz="4" w:space="0" w:color="auto"/>
              <w:right w:val="single" w:sz="4" w:space="0" w:color="auto"/>
            </w:tcBorders>
            <w:vAlign w:val="center"/>
          </w:tcPr>
          <w:p w:rsidR="00EE56C0" w:rsidRDefault="000F36A1">
            <w:pPr>
              <w:pStyle w:val="afa"/>
              <w:rPr>
                <w:rFonts w:eastAsia="宋体"/>
                <w:u w:val="single"/>
              </w:rPr>
            </w:pPr>
            <w:r>
              <w:rPr>
                <w:u w:val="single"/>
              </w:rPr>
              <w:t xml:space="preserve">1.16 </w:t>
            </w:r>
          </w:p>
        </w:tc>
      </w:tr>
      <w:tr w:rsidR="00EE56C0">
        <w:trPr>
          <w:trHeight w:val="454"/>
          <w:jc w:val="center"/>
        </w:trPr>
        <w:tc>
          <w:tcPr>
            <w:tcW w:w="750" w:type="pct"/>
            <w:tcBorders>
              <w:top w:val="single" w:sz="4" w:space="0" w:color="auto"/>
              <w:left w:val="single" w:sz="4" w:space="0" w:color="auto"/>
              <w:right w:val="single" w:sz="4" w:space="0" w:color="000000"/>
            </w:tcBorders>
            <w:vAlign w:val="center"/>
          </w:tcPr>
          <w:p w:rsidR="00EE56C0" w:rsidRDefault="000F36A1">
            <w:pPr>
              <w:pStyle w:val="afa"/>
              <w:rPr>
                <w:u w:val="single"/>
              </w:rPr>
            </w:pPr>
            <w:r>
              <w:rPr>
                <w:u w:val="single"/>
              </w:rPr>
              <w:t>非甲烷</w:t>
            </w:r>
          </w:p>
          <w:p w:rsidR="00EE56C0" w:rsidRDefault="000F36A1">
            <w:pPr>
              <w:pStyle w:val="afa"/>
              <w:rPr>
                <w:u w:val="single"/>
              </w:rPr>
            </w:pPr>
            <w:r>
              <w:rPr>
                <w:u w:val="single"/>
              </w:rPr>
              <w:t>总烃</w:t>
            </w:r>
          </w:p>
        </w:tc>
        <w:tc>
          <w:tcPr>
            <w:tcW w:w="672" w:type="pct"/>
            <w:tcBorders>
              <w:top w:val="single" w:sz="4" w:space="0" w:color="auto"/>
              <w:left w:val="single" w:sz="4" w:space="0" w:color="000000"/>
              <w:right w:val="single" w:sz="4" w:space="0" w:color="auto"/>
            </w:tcBorders>
            <w:vAlign w:val="center"/>
          </w:tcPr>
          <w:p w:rsidR="00EE56C0" w:rsidRDefault="000F36A1">
            <w:pPr>
              <w:pStyle w:val="afa"/>
              <w:rPr>
                <w:rFonts w:ascii="宋体" w:eastAsia="宋体" w:hAnsi="宋体" w:cs="宋体"/>
                <w:u w:val="single"/>
              </w:rPr>
            </w:pPr>
            <w:r>
              <w:rPr>
                <w:rFonts w:hint="eastAsia"/>
                <w:u w:val="single"/>
              </w:rPr>
              <w:t>4.3344</w:t>
            </w:r>
          </w:p>
        </w:tc>
        <w:tc>
          <w:tcPr>
            <w:tcW w:w="675" w:type="pct"/>
            <w:tcBorders>
              <w:top w:val="single" w:sz="4" w:space="0" w:color="auto"/>
              <w:left w:val="single" w:sz="4" w:space="0" w:color="auto"/>
              <w:right w:val="nil"/>
            </w:tcBorders>
            <w:vAlign w:val="center"/>
          </w:tcPr>
          <w:p w:rsidR="00EE56C0" w:rsidRDefault="000F36A1">
            <w:pPr>
              <w:pStyle w:val="afa"/>
              <w:rPr>
                <w:rFonts w:eastAsia="宋体"/>
                <w:u w:val="single"/>
              </w:rPr>
            </w:pPr>
            <w:r>
              <w:rPr>
                <w:u w:val="single"/>
              </w:rPr>
              <w:t xml:space="preserve">0.0886 </w:t>
            </w:r>
          </w:p>
        </w:tc>
        <w:tc>
          <w:tcPr>
            <w:tcW w:w="677" w:type="pct"/>
            <w:tcBorders>
              <w:top w:val="single" w:sz="4" w:space="0" w:color="auto"/>
              <w:left w:val="single" w:sz="4" w:space="0" w:color="auto"/>
              <w:right w:val="nil"/>
            </w:tcBorders>
            <w:vAlign w:val="center"/>
          </w:tcPr>
          <w:p w:rsidR="00EE56C0" w:rsidRDefault="000F36A1">
            <w:pPr>
              <w:pStyle w:val="afa"/>
              <w:rPr>
                <w:u w:val="single"/>
              </w:rPr>
            </w:pPr>
            <w:r>
              <w:rPr>
                <w:u w:val="single"/>
              </w:rPr>
              <w:t xml:space="preserve">0.0130 </w:t>
            </w:r>
          </w:p>
        </w:tc>
        <w:tc>
          <w:tcPr>
            <w:tcW w:w="677" w:type="pct"/>
            <w:tcBorders>
              <w:top w:val="single" w:sz="4" w:space="0" w:color="auto"/>
              <w:left w:val="single" w:sz="4" w:space="0" w:color="auto"/>
              <w:right w:val="nil"/>
            </w:tcBorders>
            <w:vAlign w:val="center"/>
          </w:tcPr>
          <w:p w:rsidR="00EE56C0" w:rsidRDefault="000F36A1">
            <w:pPr>
              <w:pStyle w:val="afa"/>
              <w:rPr>
                <w:rFonts w:eastAsia="宋体"/>
                <w:u w:val="single"/>
              </w:rPr>
            </w:pPr>
            <w:r>
              <w:rPr>
                <w:u w:val="single"/>
              </w:rPr>
              <w:t xml:space="preserve">4.4360 </w:t>
            </w:r>
          </w:p>
        </w:tc>
        <w:tc>
          <w:tcPr>
            <w:tcW w:w="678" w:type="pct"/>
            <w:tcBorders>
              <w:top w:val="single" w:sz="4" w:space="0" w:color="auto"/>
              <w:left w:val="single" w:sz="4" w:space="0" w:color="auto"/>
              <w:right w:val="nil"/>
            </w:tcBorders>
            <w:vAlign w:val="center"/>
          </w:tcPr>
          <w:p w:rsidR="00EE56C0" w:rsidRDefault="000F36A1">
            <w:pPr>
              <w:pStyle w:val="afa"/>
              <w:rPr>
                <w:rFonts w:eastAsia="宋体"/>
                <w:u w:val="single"/>
              </w:rPr>
            </w:pPr>
            <w:r>
              <w:rPr>
                <w:u w:val="single"/>
              </w:rPr>
              <w:t xml:space="preserve">0.6161 </w:t>
            </w:r>
          </w:p>
        </w:tc>
        <w:tc>
          <w:tcPr>
            <w:tcW w:w="870" w:type="pct"/>
            <w:gridSpan w:val="2"/>
            <w:tcBorders>
              <w:top w:val="single" w:sz="4" w:space="0" w:color="auto"/>
              <w:left w:val="single" w:sz="4" w:space="0" w:color="auto"/>
              <w:right w:val="single" w:sz="4" w:space="0" w:color="auto"/>
            </w:tcBorders>
            <w:vAlign w:val="center"/>
          </w:tcPr>
          <w:p w:rsidR="00EE56C0" w:rsidRDefault="000F36A1">
            <w:pPr>
              <w:pStyle w:val="afa"/>
              <w:rPr>
                <w:rFonts w:eastAsia="宋体"/>
                <w:u w:val="single"/>
              </w:rPr>
            </w:pPr>
            <w:r>
              <w:rPr>
                <w:u w:val="single"/>
              </w:rPr>
              <w:t xml:space="preserve">8.70 </w:t>
            </w:r>
          </w:p>
        </w:tc>
      </w:tr>
      <w:tr w:rsidR="00EE56C0">
        <w:trPr>
          <w:trHeight w:val="454"/>
          <w:jc w:val="center"/>
        </w:trPr>
        <w:tc>
          <w:tcPr>
            <w:tcW w:w="750" w:type="pct"/>
            <w:tcBorders>
              <w:top w:val="single" w:sz="4" w:space="0" w:color="auto"/>
              <w:left w:val="single" w:sz="4" w:space="0" w:color="auto"/>
              <w:right w:val="single" w:sz="4" w:space="0" w:color="000000"/>
            </w:tcBorders>
            <w:vAlign w:val="center"/>
          </w:tcPr>
          <w:p w:rsidR="00EE56C0" w:rsidRDefault="000F36A1">
            <w:pPr>
              <w:pStyle w:val="afa"/>
              <w:rPr>
                <w:u w:val="single"/>
              </w:rPr>
            </w:pPr>
            <w:r>
              <w:rPr>
                <w:rFonts w:hint="eastAsia"/>
                <w:u w:val="single"/>
              </w:rPr>
              <w:t>二甲苯</w:t>
            </w:r>
          </w:p>
        </w:tc>
        <w:tc>
          <w:tcPr>
            <w:tcW w:w="672" w:type="pct"/>
            <w:tcBorders>
              <w:top w:val="single" w:sz="4" w:space="0" w:color="auto"/>
              <w:left w:val="single" w:sz="4" w:space="0" w:color="000000"/>
              <w:right w:val="single" w:sz="4" w:space="0" w:color="auto"/>
            </w:tcBorders>
            <w:vAlign w:val="center"/>
          </w:tcPr>
          <w:p w:rsidR="00EE56C0" w:rsidRDefault="000F36A1">
            <w:pPr>
              <w:pStyle w:val="afa"/>
              <w:rPr>
                <w:rFonts w:ascii="宋体" w:eastAsia="宋体" w:hAnsi="宋体" w:cs="宋体"/>
                <w:u w:val="single"/>
              </w:rPr>
            </w:pPr>
            <w:r>
              <w:rPr>
                <w:rFonts w:hint="eastAsia"/>
                <w:u w:val="single"/>
              </w:rPr>
              <w:t>5.4216</w:t>
            </w:r>
          </w:p>
        </w:tc>
        <w:tc>
          <w:tcPr>
            <w:tcW w:w="675" w:type="pct"/>
            <w:tcBorders>
              <w:top w:val="single" w:sz="4" w:space="0" w:color="auto"/>
              <w:left w:val="single" w:sz="4" w:space="0" w:color="auto"/>
              <w:right w:val="nil"/>
            </w:tcBorders>
            <w:vAlign w:val="center"/>
          </w:tcPr>
          <w:p w:rsidR="00EE56C0" w:rsidRDefault="000F36A1">
            <w:pPr>
              <w:pStyle w:val="afa"/>
              <w:rPr>
                <w:rFonts w:eastAsia="宋体"/>
                <w:u w:val="single"/>
              </w:rPr>
            </w:pPr>
            <w:r>
              <w:rPr>
                <w:u w:val="single"/>
              </w:rPr>
              <w:t xml:space="preserve">0.2221 </w:t>
            </w:r>
          </w:p>
        </w:tc>
        <w:tc>
          <w:tcPr>
            <w:tcW w:w="677" w:type="pct"/>
            <w:tcBorders>
              <w:top w:val="single" w:sz="4" w:space="0" w:color="auto"/>
              <w:left w:val="single" w:sz="4" w:space="0" w:color="auto"/>
              <w:right w:val="nil"/>
            </w:tcBorders>
            <w:vAlign w:val="center"/>
          </w:tcPr>
          <w:p w:rsidR="00EE56C0" w:rsidRDefault="000F36A1">
            <w:pPr>
              <w:pStyle w:val="afa"/>
              <w:rPr>
                <w:u w:val="single"/>
              </w:rPr>
            </w:pPr>
            <w:r>
              <w:rPr>
                <w:u w:val="single"/>
              </w:rPr>
              <w:t xml:space="preserve">0.0023 </w:t>
            </w:r>
          </w:p>
        </w:tc>
        <w:tc>
          <w:tcPr>
            <w:tcW w:w="677" w:type="pct"/>
            <w:tcBorders>
              <w:top w:val="single" w:sz="4" w:space="0" w:color="auto"/>
              <w:left w:val="single" w:sz="4" w:space="0" w:color="auto"/>
              <w:right w:val="nil"/>
            </w:tcBorders>
            <w:vAlign w:val="center"/>
          </w:tcPr>
          <w:p w:rsidR="00EE56C0" w:rsidRDefault="000F36A1">
            <w:pPr>
              <w:pStyle w:val="afa"/>
              <w:rPr>
                <w:rFonts w:eastAsia="宋体"/>
                <w:u w:val="single"/>
              </w:rPr>
            </w:pPr>
            <w:r>
              <w:rPr>
                <w:u w:val="single"/>
              </w:rPr>
              <w:t xml:space="preserve">5.6460 </w:t>
            </w:r>
          </w:p>
        </w:tc>
        <w:tc>
          <w:tcPr>
            <w:tcW w:w="678" w:type="pct"/>
            <w:tcBorders>
              <w:top w:val="single" w:sz="4" w:space="0" w:color="auto"/>
              <w:left w:val="single" w:sz="4" w:space="0" w:color="auto"/>
              <w:right w:val="nil"/>
            </w:tcBorders>
            <w:vAlign w:val="center"/>
          </w:tcPr>
          <w:p w:rsidR="00EE56C0" w:rsidRDefault="000F36A1">
            <w:pPr>
              <w:pStyle w:val="afa"/>
              <w:rPr>
                <w:rFonts w:eastAsia="宋体"/>
                <w:u w:val="single"/>
              </w:rPr>
            </w:pPr>
            <w:r>
              <w:rPr>
                <w:u w:val="single"/>
              </w:rPr>
              <w:t xml:space="preserve">0.7842 </w:t>
            </w:r>
          </w:p>
        </w:tc>
        <w:tc>
          <w:tcPr>
            <w:tcW w:w="466" w:type="pct"/>
            <w:tcBorders>
              <w:top w:val="single" w:sz="4" w:space="0" w:color="auto"/>
              <w:left w:val="single" w:sz="4" w:space="0" w:color="auto"/>
              <w:right w:val="single" w:sz="4" w:space="0" w:color="auto"/>
            </w:tcBorders>
            <w:vAlign w:val="center"/>
          </w:tcPr>
          <w:p w:rsidR="00EE56C0" w:rsidRDefault="000F36A1">
            <w:pPr>
              <w:pStyle w:val="afa"/>
              <w:rPr>
                <w:rFonts w:eastAsia="宋体"/>
                <w:u w:val="single"/>
              </w:rPr>
            </w:pPr>
            <w:r>
              <w:rPr>
                <w:u w:val="single"/>
              </w:rPr>
              <w:t xml:space="preserve">11.07 </w:t>
            </w:r>
          </w:p>
        </w:tc>
        <w:tc>
          <w:tcPr>
            <w:tcW w:w="404" w:type="pct"/>
            <w:vMerge w:val="restart"/>
            <w:tcBorders>
              <w:top w:val="single" w:sz="4" w:space="0" w:color="auto"/>
              <w:left w:val="single" w:sz="4" w:space="0" w:color="auto"/>
              <w:right w:val="single" w:sz="4" w:space="0" w:color="auto"/>
            </w:tcBorders>
            <w:vAlign w:val="center"/>
          </w:tcPr>
          <w:p w:rsidR="00EE56C0" w:rsidRDefault="000F36A1">
            <w:pPr>
              <w:pStyle w:val="afa"/>
              <w:rPr>
                <w:rFonts w:eastAsia="宋体"/>
                <w:u w:val="single"/>
              </w:rPr>
            </w:pPr>
            <w:r>
              <w:rPr>
                <w:rFonts w:eastAsia="宋体" w:hint="eastAsia"/>
                <w:u w:val="single"/>
              </w:rPr>
              <w:t>16.1</w:t>
            </w:r>
          </w:p>
        </w:tc>
      </w:tr>
      <w:tr w:rsidR="00EE56C0">
        <w:trPr>
          <w:trHeight w:val="454"/>
          <w:jc w:val="center"/>
        </w:trPr>
        <w:tc>
          <w:tcPr>
            <w:tcW w:w="750" w:type="pct"/>
            <w:tcBorders>
              <w:top w:val="single" w:sz="4" w:space="0" w:color="auto"/>
              <w:left w:val="single" w:sz="4" w:space="0" w:color="auto"/>
              <w:bottom w:val="single" w:sz="4" w:space="0" w:color="auto"/>
              <w:right w:val="single" w:sz="4" w:space="0" w:color="000000"/>
            </w:tcBorders>
            <w:vAlign w:val="center"/>
          </w:tcPr>
          <w:p w:rsidR="00EE56C0" w:rsidRDefault="000F36A1">
            <w:pPr>
              <w:pStyle w:val="afa"/>
              <w:rPr>
                <w:u w:val="single"/>
              </w:rPr>
            </w:pPr>
            <w:r>
              <w:rPr>
                <w:rFonts w:hint="eastAsia"/>
                <w:u w:val="single"/>
              </w:rPr>
              <w:t>甲苯</w:t>
            </w:r>
          </w:p>
        </w:tc>
        <w:tc>
          <w:tcPr>
            <w:tcW w:w="672" w:type="pct"/>
            <w:tcBorders>
              <w:top w:val="single" w:sz="4" w:space="0" w:color="auto"/>
              <w:left w:val="single" w:sz="4" w:space="0" w:color="000000"/>
              <w:bottom w:val="single" w:sz="4" w:space="0" w:color="auto"/>
              <w:right w:val="single" w:sz="4" w:space="0" w:color="auto"/>
            </w:tcBorders>
            <w:vAlign w:val="center"/>
          </w:tcPr>
          <w:p w:rsidR="00EE56C0" w:rsidRDefault="000F36A1">
            <w:pPr>
              <w:pStyle w:val="afa"/>
              <w:rPr>
                <w:rFonts w:ascii="宋体" w:eastAsia="宋体" w:hAnsi="宋体" w:cs="宋体"/>
                <w:u w:val="single"/>
              </w:rPr>
            </w:pPr>
            <w:r>
              <w:rPr>
                <w:rFonts w:hint="eastAsia"/>
                <w:u w:val="single"/>
              </w:rPr>
              <w:t>2.3472</w:t>
            </w:r>
          </w:p>
        </w:tc>
        <w:tc>
          <w:tcPr>
            <w:tcW w:w="675" w:type="pct"/>
            <w:tcBorders>
              <w:top w:val="single" w:sz="4" w:space="0" w:color="auto"/>
              <w:left w:val="single" w:sz="4" w:space="0" w:color="auto"/>
              <w:bottom w:val="single" w:sz="4" w:space="0" w:color="auto"/>
              <w:right w:val="nil"/>
            </w:tcBorders>
            <w:vAlign w:val="center"/>
          </w:tcPr>
          <w:p w:rsidR="00EE56C0" w:rsidRDefault="000F36A1">
            <w:pPr>
              <w:pStyle w:val="afa"/>
              <w:rPr>
                <w:rFonts w:eastAsia="宋体"/>
                <w:u w:val="single"/>
              </w:rPr>
            </w:pPr>
            <w:r>
              <w:rPr>
                <w:u w:val="single"/>
              </w:rPr>
              <w:t xml:space="preserve">0.2212 </w:t>
            </w:r>
          </w:p>
        </w:tc>
        <w:tc>
          <w:tcPr>
            <w:tcW w:w="677" w:type="pct"/>
            <w:tcBorders>
              <w:top w:val="single" w:sz="4" w:space="0" w:color="auto"/>
              <w:left w:val="single" w:sz="4" w:space="0" w:color="auto"/>
              <w:bottom w:val="single" w:sz="4" w:space="0" w:color="auto"/>
              <w:right w:val="nil"/>
            </w:tcBorders>
            <w:vAlign w:val="center"/>
          </w:tcPr>
          <w:p w:rsidR="00EE56C0" w:rsidRDefault="000F36A1">
            <w:pPr>
              <w:pStyle w:val="afa"/>
              <w:rPr>
                <w:u w:val="single"/>
              </w:rPr>
            </w:pPr>
            <w:r>
              <w:rPr>
                <w:u w:val="single"/>
              </w:rPr>
              <w:t>0</w:t>
            </w:r>
          </w:p>
        </w:tc>
        <w:tc>
          <w:tcPr>
            <w:tcW w:w="677" w:type="pct"/>
            <w:tcBorders>
              <w:top w:val="single" w:sz="4" w:space="0" w:color="auto"/>
              <w:left w:val="single" w:sz="4" w:space="0" w:color="auto"/>
              <w:bottom w:val="single" w:sz="4" w:space="0" w:color="auto"/>
              <w:right w:val="nil"/>
            </w:tcBorders>
            <w:vAlign w:val="center"/>
          </w:tcPr>
          <w:p w:rsidR="00EE56C0" w:rsidRDefault="000F36A1">
            <w:pPr>
              <w:pStyle w:val="afa"/>
              <w:rPr>
                <w:rFonts w:eastAsia="宋体"/>
                <w:u w:val="single"/>
              </w:rPr>
            </w:pPr>
            <w:r>
              <w:rPr>
                <w:u w:val="single"/>
              </w:rPr>
              <w:t xml:space="preserve">2.5684 </w:t>
            </w:r>
          </w:p>
        </w:tc>
        <w:tc>
          <w:tcPr>
            <w:tcW w:w="678" w:type="pct"/>
            <w:tcBorders>
              <w:top w:val="single" w:sz="4" w:space="0" w:color="auto"/>
              <w:left w:val="single" w:sz="4" w:space="0" w:color="auto"/>
              <w:bottom w:val="single" w:sz="4" w:space="0" w:color="auto"/>
              <w:right w:val="nil"/>
            </w:tcBorders>
            <w:vAlign w:val="center"/>
          </w:tcPr>
          <w:p w:rsidR="00EE56C0" w:rsidRDefault="000F36A1">
            <w:pPr>
              <w:pStyle w:val="afa"/>
              <w:rPr>
                <w:rFonts w:eastAsia="宋体"/>
                <w:u w:val="single"/>
              </w:rPr>
            </w:pPr>
            <w:r>
              <w:rPr>
                <w:u w:val="single"/>
              </w:rPr>
              <w:t xml:space="preserve">0.3567 </w:t>
            </w:r>
          </w:p>
        </w:tc>
        <w:tc>
          <w:tcPr>
            <w:tcW w:w="466"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eastAsia="宋体"/>
                <w:u w:val="single"/>
              </w:rPr>
            </w:pPr>
            <w:r>
              <w:rPr>
                <w:u w:val="single"/>
              </w:rPr>
              <w:t xml:space="preserve">5.03 </w:t>
            </w:r>
          </w:p>
        </w:tc>
        <w:tc>
          <w:tcPr>
            <w:tcW w:w="404" w:type="pct"/>
            <w:vMerge/>
            <w:tcBorders>
              <w:left w:val="single" w:sz="4" w:space="0" w:color="auto"/>
              <w:bottom w:val="single" w:sz="4" w:space="0" w:color="auto"/>
              <w:right w:val="single" w:sz="4" w:space="0" w:color="auto"/>
            </w:tcBorders>
            <w:vAlign w:val="center"/>
          </w:tcPr>
          <w:p w:rsidR="00EE56C0" w:rsidRDefault="00EE56C0">
            <w:pPr>
              <w:pStyle w:val="afa"/>
              <w:rPr>
                <w:rFonts w:eastAsia="宋体"/>
                <w:u w:val="single"/>
              </w:rPr>
            </w:pPr>
          </w:p>
        </w:tc>
      </w:tr>
      <w:tr w:rsidR="00EE56C0">
        <w:trPr>
          <w:trHeight w:val="454"/>
          <w:jc w:val="center"/>
        </w:trPr>
        <w:tc>
          <w:tcPr>
            <w:tcW w:w="750" w:type="pct"/>
            <w:tcBorders>
              <w:top w:val="single" w:sz="4" w:space="0" w:color="auto"/>
              <w:left w:val="single" w:sz="4" w:space="0" w:color="auto"/>
              <w:bottom w:val="single" w:sz="4" w:space="0" w:color="auto"/>
              <w:right w:val="single" w:sz="4" w:space="0" w:color="000000"/>
            </w:tcBorders>
            <w:vAlign w:val="center"/>
          </w:tcPr>
          <w:p w:rsidR="00EE56C0" w:rsidRDefault="000F36A1">
            <w:pPr>
              <w:pStyle w:val="afa"/>
              <w:rPr>
                <w:highlight w:val="yellow"/>
                <w:u w:val="single"/>
              </w:rPr>
            </w:pPr>
            <w:r>
              <w:rPr>
                <w:rFonts w:hint="eastAsia"/>
                <w:u w:val="single"/>
              </w:rPr>
              <w:t>苯</w:t>
            </w:r>
          </w:p>
        </w:tc>
        <w:tc>
          <w:tcPr>
            <w:tcW w:w="672" w:type="pct"/>
            <w:tcBorders>
              <w:top w:val="single" w:sz="4" w:space="0" w:color="auto"/>
              <w:left w:val="single" w:sz="4" w:space="0" w:color="000000"/>
              <w:bottom w:val="single" w:sz="4" w:space="0" w:color="auto"/>
              <w:right w:val="single" w:sz="4" w:space="0" w:color="auto"/>
            </w:tcBorders>
            <w:vAlign w:val="center"/>
          </w:tcPr>
          <w:p w:rsidR="00EE56C0" w:rsidRDefault="000F36A1">
            <w:pPr>
              <w:pStyle w:val="afa"/>
              <w:rPr>
                <w:rFonts w:ascii="宋体" w:eastAsia="宋体" w:hAnsi="宋体" w:cs="宋体"/>
                <w:u w:val="single"/>
              </w:rPr>
            </w:pPr>
            <w:r>
              <w:rPr>
                <w:rFonts w:hint="eastAsia"/>
                <w:u w:val="single"/>
              </w:rPr>
              <w:t>0.1369</w:t>
            </w:r>
          </w:p>
        </w:tc>
        <w:tc>
          <w:tcPr>
            <w:tcW w:w="675" w:type="pct"/>
            <w:tcBorders>
              <w:top w:val="single" w:sz="4" w:space="0" w:color="auto"/>
              <w:left w:val="single" w:sz="4" w:space="0" w:color="auto"/>
              <w:bottom w:val="single" w:sz="4" w:space="0" w:color="auto"/>
              <w:right w:val="nil"/>
            </w:tcBorders>
            <w:vAlign w:val="center"/>
          </w:tcPr>
          <w:p w:rsidR="00EE56C0" w:rsidRDefault="000F36A1">
            <w:pPr>
              <w:pStyle w:val="afa"/>
              <w:rPr>
                <w:rFonts w:eastAsia="宋体"/>
                <w:u w:val="single"/>
              </w:rPr>
            </w:pPr>
            <w:r>
              <w:rPr>
                <w:u w:val="single"/>
              </w:rPr>
              <w:t xml:space="preserve">0.0737 </w:t>
            </w:r>
          </w:p>
        </w:tc>
        <w:tc>
          <w:tcPr>
            <w:tcW w:w="677" w:type="pct"/>
            <w:tcBorders>
              <w:top w:val="single" w:sz="4" w:space="0" w:color="auto"/>
              <w:left w:val="single" w:sz="4" w:space="0" w:color="auto"/>
              <w:bottom w:val="single" w:sz="4" w:space="0" w:color="auto"/>
              <w:right w:val="nil"/>
            </w:tcBorders>
            <w:vAlign w:val="center"/>
          </w:tcPr>
          <w:p w:rsidR="00EE56C0" w:rsidRDefault="000F36A1">
            <w:pPr>
              <w:pStyle w:val="afa"/>
              <w:rPr>
                <w:u w:val="single"/>
              </w:rPr>
            </w:pPr>
            <w:r>
              <w:rPr>
                <w:u w:val="single"/>
              </w:rPr>
              <w:t>0</w:t>
            </w:r>
          </w:p>
        </w:tc>
        <w:tc>
          <w:tcPr>
            <w:tcW w:w="677" w:type="pct"/>
            <w:tcBorders>
              <w:top w:val="single" w:sz="4" w:space="0" w:color="auto"/>
              <w:left w:val="single" w:sz="4" w:space="0" w:color="auto"/>
              <w:bottom w:val="single" w:sz="4" w:space="0" w:color="auto"/>
              <w:right w:val="nil"/>
            </w:tcBorders>
            <w:vAlign w:val="center"/>
          </w:tcPr>
          <w:p w:rsidR="00EE56C0" w:rsidRDefault="000F36A1">
            <w:pPr>
              <w:pStyle w:val="afa"/>
              <w:rPr>
                <w:rFonts w:eastAsia="宋体"/>
                <w:u w:val="single"/>
              </w:rPr>
            </w:pPr>
            <w:r>
              <w:rPr>
                <w:u w:val="single"/>
              </w:rPr>
              <w:t xml:space="preserve">0.2106 </w:t>
            </w:r>
          </w:p>
        </w:tc>
        <w:tc>
          <w:tcPr>
            <w:tcW w:w="678" w:type="pct"/>
            <w:tcBorders>
              <w:top w:val="single" w:sz="4" w:space="0" w:color="auto"/>
              <w:left w:val="single" w:sz="4" w:space="0" w:color="auto"/>
              <w:bottom w:val="single" w:sz="4" w:space="0" w:color="auto"/>
              <w:right w:val="nil"/>
            </w:tcBorders>
            <w:vAlign w:val="center"/>
          </w:tcPr>
          <w:p w:rsidR="00EE56C0" w:rsidRDefault="000F36A1">
            <w:pPr>
              <w:pStyle w:val="afa"/>
              <w:rPr>
                <w:rFonts w:eastAsia="宋体"/>
                <w:u w:val="single"/>
              </w:rPr>
            </w:pPr>
            <w:r>
              <w:rPr>
                <w:u w:val="single"/>
              </w:rPr>
              <w:t xml:space="preserve">0.0293 </w:t>
            </w:r>
          </w:p>
        </w:tc>
        <w:tc>
          <w:tcPr>
            <w:tcW w:w="870" w:type="pct"/>
            <w:gridSpan w:val="2"/>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eastAsia="宋体"/>
                <w:u w:val="single"/>
              </w:rPr>
            </w:pPr>
            <w:r>
              <w:rPr>
                <w:u w:val="single"/>
              </w:rPr>
              <w:t>0.</w:t>
            </w:r>
            <w:r>
              <w:rPr>
                <w:rFonts w:hint="eastAsia"/>
                <w:u w:val="single"/>
              </w:rPr>
              <w:t>41</w:t>
            </w:r>
          </w:p>
        </w:tc>
      </w:tr>
      <w:tr w:rsidR="00EE56C0">
        <w:trPr>
          <w:trHeight w:val="454"/>
          <w:jc w:val="center"/>
        </w:trPr>
        <w:tc>
          <w:tcPr>
            <w:tcW w:w="750" w:type="pct"/>
            <w:tcBorders>
              <w:top w:val="single" w:sz="4" w:space="0" w:color="auto"/>
              <w:left w:val="single" w:sz="4" w:space="0" w:color="auto"/>
              <w:bottom w:val="single" w:sz="4" w:space="0" w:color="auto"/>
              <w:right w:val="single" w:sz="4" w:space="0" w:color="000000"/>
            </w:tcBorders>
            <w:vAlign w:val="center"/>
          </w:tcPr>
          <w:p w:rsidR="00EE56C0" w:rsidRDefault="000F36A1">
            <w:pPr>
              <w:pStyle w:val="afa"/>
              <w:rPr>
                <w:u w:val="single"/>
              </w:rPr>
            </w:pPr>
            <w:r>
              <w:rPr>
                <w:rFonts w:hint="eastAsia"/>
                <w:u w:val="single"/>
              </w:rPr>
              <w:t>VOCs</w:t>
            </w:r>
          </w:p>
        </w:tc>
        <w:tc>
          <w:tcPr>
            <w:tcW w:w="672" w:type="pct"/>
            <w:tcBorders>
              <w:top w:val="single" w:sz="4" w:space="0" w:color="auto"/>
              <w:left w:val="single" w:sz="4" w:space="0" w:color="000000"/>
              <w:bottom w:val="single" w:sz="4" w:space="0" w:color="auto"/>
              <w:right w:val="single" w:sz="4" w:space="0" w:color="auto"/>
            </w:tcBorders>
            <w:vAlign w:val="center"/>
          </w:tcPr>
          <w:p w:rsidR="00EE56C0" w:rsidRDefault="000F36A1">
            <w:pPr>
              <w:pStyle w:val="afa"/>
              <w:rPr>
                <w:rFonts w:ascii="宋体" w:eastAsia="宋体" w:hAnsi="宋体" w:cs="宋体"/>
                <w:u w:val="single"/>
              </w:rPr>
            </w:pPr>
            <w:r>
              <w:rPr>
                <w:rFonts w:hint="eastAsia"/>
                <w:u w:val="single"/>
              </w:rPr>
              <w:t>12.8017</w:t>
            </w:r>
          </w:p>
        </w:tc>
        <w:tc>
          <w:tcPr>
            <w:tcW w:w="675" w:type="pct"/>
            <w:tcBorders>
              <w:top w:val="single" w:sz="4" w:space="0" w:color="auto"/>
              <w:left w:val="single" w:sz="4" w:space="0" w:color="auto"/>
              <w:bottom w:val="single" w:sz="4" w:space="0" w:color="auto"/>
              <w:right w:val="nil"/>
            </w:tcBorders>
            <w:vAlign w:val="center"/>
          </w:tcPr>
          <w:p w:rsidR="00EE56C0" w:rsidRDefault="000F36A1">
            <w:pPr>
              <w:pStyle w:val="afa"/>
              <w:rPr>
                <w:rFonts w:eastAsia="宋体"/>
                <w:u w:val="single"/>
              </w:rPr>
            </w:pPr>
            <w:r>
              <w:rPr>
                <w:u w:val="single"/>
              </w:rPr>
              <w:t xml:space="preserve">0.6145 </w:t>
            </w:r>
          </w:p>
        </w:tc>
        <w:tc>
          <w:tcPr>
            <w:tcW w:w="677" w:type="pct"/>
            <w:tcBorders>
              <w:top w:val="single" w:sz="4" w:space="0" w:color="auto"/>
              <w:left w:val="single" w:sz="4" w:space="0" w:color="auto"/>
              <w:bottom w:val="single" w:sz="4" w:space="0" w:color="auto"/>
              <w:right w:val="nil"/>
            </w:tcBorders>
            <w:vAlign w:val="center"/>
          </w:tcPr>
          <w:p w:rsidR="00EE56C0" w:rsidRDefault="000F36A1">
            <w:pPr>
              <w:pStyle w:val="afa"/>
              <w:rPr>
                <w:rFonts w:eastAsia="宋体"/>
                <w:u w:val="single"/>
              </w:rPr>
            </w:pPr>
            <w:r>
              <w:rPr>
                <w:u w:val="single"/>
              </w:rPr>
              <w:t xml:space="preserve">0.0366 </w:t>
            </w:r>
          </w:p>
        </w:tc>
        <w:tc>
          <w:tcPr>
            <w:tcW w:w="677" w:type="pct"/>
            <w:tcBorders>
              <w:top w:val="single" w:sz="4" w:space="0" w:color="auto"/>
              <w:left w:val="single" w:sz="4" w:space="0" w:color="auto"/>
              <w:bottom w:val="single" w:sz="4" w:space="0" w:color="auto"/>
              <w:right w:val="nil"/>
            </w:tcBorders>
            <w:vAlign w:val="center"/>
          </w:tcPr>
          <w:p w:rsidR="00EE56C0" w:rsidRDefault="000F36A1">
            <w:pPr>
              <w:pStyle w:val="afa"/>
              <w:rPr>
                <w:rFonts w:eastAsia="宋体"/>
                <w:u w:val="single"/>
              </w:rPr>
            </w:pPr>
            <w:r>
              <w:rPr>
                <w:u w:val="single"/>
              </w:rPr>
              <w:t xml:space="preserve">13.4527 </w:t>
            </w:r>
          </w:p>
        </w:tc>
        <w:tc>
          <w:tcPr>
            <w:tcW w:w="678" w:type="pct"/>
            <w:tcBorders>
              <w:top w:val="single" w:sz="4" w:space="0" w:color="auto"/>
              <w:left w:val="single" w:sz="4" w:space="0" w:color="auto"/>
              <w:bottom w:val="single" w:sz="4" w:space="0" w:color="auto"/>
              <w:right w:val="nil"/>
            </w:tcBorders>
            <w:vAlign w:val="center"/>
          </w:tcPr>
          <w:p w:rsidR="00EE56C0" w:rsidRDefault="000F36A1">
            <w:pPr>
              <w:pStyle w:val="afa"/>
              <w:rPr>
                <w:rFonts w:eastAsia="宋体"/>
                <w:u w:val="single"/>
              </w:rPr>
            </w:pPr>
            <w:r>
              <w:rPr>
                <w:u w:val="single"/>
              </w:rPr>
              <w:t xml:space="preserve">1.8684 </w:t>
            </w:r>
          </w:p>
        </w:tc>
        <w:tc>
          <w:tcPr>
            <w:tcW w:w="870" w:type="pct"/>
            <w:gridSpan w:val="2"/>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eastAsia="宋体"/>
                <w:u w:val="single"/>
              </w:rPr>
            </w:pPr>
            <w:r>
              <w:rPr>
                <w:rFonts w:hint="eastAsia"/>
                <w:u w:val="single"/>
              </w:rPr>
              <w:t>/</w:t>
            </w:r>
          </w:p>
        </w:tc>
      </w:tr>
    </w:tbl>
    <w:p w:rsidR="00EE56C0" w:rsidRDefault="000F36A1">
      <w:pPr>
        <w:ind w:firstLine="480"/>
      </w:pPr>
      <w:r>
        <w:rPr>
          <w:rFonts w:hint="eastAsia"/>
        </w:rPr>
        <w:t>由上表可知，有</w:t>
      </w:r>
      <w:r>
        <w:rPr>
          <w:bCs/>
        </w:rPr>
        <w:t>机</w:t>
      </w:r>
      <w:r>
        <w:t>废气经</w:t>
      </w:r>
      <w:r>
        <w:rPr>
          <w:rFonts w:hint="eastAsia"/>
        </w:rPr>
        <w:t>治理</w:t>
      </w:r>
      <w:r>
        <w:t>后经</w:t>
      </w:r>
      <w:r>
        <w:rPr>
          <w:rFonts w:hint="eastAsia"/>
        </w:rPr>
        <w:t>26.</w:t>
      </w:r>
      <w:r>
        <w:t>5m</w:t>
      </w:r>
      <w:r>
        <w:t>排气筒有组织排放，</w:t>
      </w:r>
      <w:r>
        <w:rPr>
          <w:rFonts w:hint="eastAsia"/>
        </w:rPr>
        <w:t>一期建成后全厂酚</w:t>
      </w:r>
      <w:r>
        <w:t>排放浓度</w:t>
      </w:r>
      <w:r>
        <w:rPr>
          <w:rFonts w:hint="eastAsia"/>
        </w:rPr>
        <w:t>1.16</w:t>
      </w:r>
      <w:r>
        <w:t>mg/m</w:t>
      </w:r>
      <w:r>
        <w:rPr>
          <w:vertAlign w:val="superscript"/>
        </w:rPr>
        <w:t>3</w:t>
      </w:r>
      <w:r>
        <w:t>、排放速率</w:t>
      </w:r>
      <w:r>
        <w:t>0.0</w:t>
      </w:r>
      <w:r>
        <w:rPr>
          <w:rFonts w:hint="eastAsia"/>
        </w:rPr>
        <w:t>822</w:t>
      </w:r>
      <w:r>
        <w:t>kg/</w:t>
      </w:r>
      <w:r>
        <w:rPr>
          <w:rFonts w:hint="eastAsia"/>
        </w:rPr>
        <w:t>h</w:t>
      </w:r>
      <w:r>
        <w:rPr>
          <w:rFonts w:hint="eastAsia"/>
        </w:rPr>
        <w:t>，均满足</w:t>
      </w:r>
      <w:r>
        <w:t>《大气污染物综合排放标准》（</w:t>
      </w:r>
      <w:r>
        <w:t>GB16297-1996</w:t>
      </w:r>
      <w:r>
        <w:t>）表</w:t>
      </w:r>
      <w:r>
        <w:t>2</w:t>
      </w:r>
      <w:r>
        <w:t>二级：酚类排放浓度</w:t>
      </w:r>
      <w:r>
        <w:t>100mg/m</w:t>
      </w:r>
      <w:r>
        <w:rPr>
          <w:vertAlign w:val="superscript"/>
        </w:rPr>
        <w:t>3</w:t>
      </w:r>
      <w:r>
        <w:t>、排放速率</w:t>
      </w:r>
      <w:r>
        <w:t>0.1kg/h</w:t>
      </w:r>
      <w:r>
        <w:lastRenderedPageBreak/>
        <w:t>要求</w:t>
      </w:r>
      <w:r>
        <w:rPr>
          <w:rFonts w:hint="eastAsia"/>
        </w:rPr>
        <w:t>，非甲烷总烃排放浓度</w:t>
      </w:r>
      <w:r>
        <w:rPr>
          <w:rFonts w:hint="eastAsia"/>
        </w:rPr>
        <w:t>8.7</w:t>
      </w:r>
      <w:r>
        <w:t>mg/m</w:t>
      </w:r>
      <w:r>
        <w:rPr>
          <w:vertAlign w:val="superscript"/>
        </w:rPr>
        <w:t>3</w:t>
      </w:r>
      <w:r>
        <w:rPr>
          <w:rFonts w:hint="eastAsia"/>
        </w:rPr>
        <w:t>、苯</w:t>
      </w:r>
      <w:r>
        <w:rPr>
          <w:rFonts w:hint="eastAsia"/>
        </w:rPr>
        <w:t>0.41</w:t>
      </w:r>
      <w:r>
        <w:t>mg/m</w:t>
      </w:r>
      <w:r>
        <w:rPr>
          <w:vertAlign w:val="superscript"/>
        </w:rPr>
        <w:t>3</w:t>
      </w:r>
      <w:r>
        <w:rPr>
          <w:rFonts w:hint="eastAsia"/>
        </w:rPr>
        <w:t>、</w:t>
      </w:r>
      <w:r>
        <w:t>甲苯与二甲苯合计</w:t>
      </w:r>
      <w:r>
        <w:rPr>
          <w:rFonts w:hint="eastAsia"/>
        </w:rPr>
        <w:t>排放浓度</w:t>
      </w:r>
      <w:r>
        <w:rPr>
          <w:rFonts w:hint="eastAsia"/>
        </w:rPr>
        <w:t>16.1</w:t>
      </w:r>
      <w:r>
        <w:t>mg/m</w:t>
      </w:r>
      <w:r>
        <w:rPr>
          <w:vertAlign w:val="superscript"/>
        </w:rPr>
        <w:t>3</w:t>
      </w:r>
      <w:r>
        <w:rPr>
          <w:rFonts w:hint="eastAsia"/>
        </w:rPr>
        <w:t>，非甲烷总烃、苯、二甲苯、甲苯排放浓度均满足《工业涂装工序挥发性有机物排放标准</w:t>
      </w:r>
      <w:r>
        <w:t>》（</w:t>
      </w:r>
      <w:r>
        <w:t>DB41/1951-2020</w:t>
      </w:r>
      <w:r>
        <w:t>）表</w:t>
      </w:r>
      <w:r>
        <w:t>1</w:t>
      </w:r>
      <w:r>
        <w:t>：非甲烷总烃</w:t>
      </w:r>
      <w:r>
        <w:t>50mg/m</w:t>
      </w:r>
      <w:r>
        <w:rPr>
          <w:vertAlign w:val="superscript"/>
        </w:rPr>
        <w:t>3</w:t>
      </w:r>
      <w:r>
        <w:t>、</w:t>
      </w:r>
      <w:r>
        <w:rPr>
          <w:rFonts w:hint="eastAsia"/>
        </w:rPr>
        <w:t>苯</w:t>
      </w:r>
      <w:r>
        <w:rPr>
          <w:rFonts w:hint="eastAsia"/>
        </w:rPr>
        <w:t>1</w:t>
      </w:r>
      <w:r>
        <w:t>mg/m</w:t>
      </w:r>
      <w:r>
        <w:rPr>
          <w:vertAlign w:val="superscript"/>
        </w:rPr>
        <w:t>3</w:t>
      </w:r>
      <w:r>
        <w:rPr>
          <w:rFonts w:hint="eastAsia"/>
        </w:rPr>
        <w:t>、</w:t>
      </w:r>
      <w:r>
        <w:t>甲苯与二甲苯合计</w:t>
      </w:r>
      <w:r>
        <w:t>20mg/m</w:t>
      </w:r>
      <w:r>
        <w:rPr>
          <w:vertAlign w:val="superscript"/>
        </w:rPr>
        <w:t>3</w:t>
      </w:r>
      <w:r>
        <w:t>要求。</w:t>
      </w:r>
    </w:p>
    <w:p w:rsidR="00EE56C0" w:rsidRDefault="000F36A1">
      <w:pPr>
        <w:ind w:firstLine="480"/>
      </w:pPr>
      <w:r>
        <w:rPr>
          <w:rFonts w:hint="eastAsia"/>
        </w:rPr>
        <w:t>二期建成后，全厂废气排放情况</w:t>
      </w:r>
      <w:r>
        <w:t>见下表。</w:t>
      </w:r>
    </w:p>
    <w:p w:rsidR="00EE56C0" w:rsidRDefault="000F36A1">
      <w:pPr>
        <w:pStyle w:val="afd"/>
        <w:spacing w:before="120" w:after="120"/>
        <w:ind w:firstLine="482"/>
      </w:pPr>
      <w:r>
        <w:t>表</w:t>
      </w:r>
      <w:r>
        <w:rPr>
          <w:rFonts w:hint="eastAsia"/>
        </w:rPr>
        <w:t xml:space="preserve">3-37          </w:t>
      </w:r>
      <w:r>
        <w:rPr>
          <w:rFonts w:hint="eastAsia"/>
        </w:rPr>
        <w:t>二期建成后全厂废气排放况</w:t>
      </w:r>
      <w:r>
        <w:t>一览表</w:t>
      </w:r>
    </w:p>
    <w:tbl>
      <w:tblPr>
        <w:tblW w:w="5000" w:type="pct"/>
        <w:jc w:val="center"/>
        <w:tblBorders>
          <w:top w:val="single" w:sz="8" w:space="0" w:color="000000"/>
          <w:bottom w:val="single" w:sz="8" w:space="0" w:color="000000"/>
          <w:insideH w:val="single" w:sz="4" w:space="0" w:color="000000"/>
          <w:insideV w:val="single" w:sz="4" w:space="0" w:color="000000"/>
        </w:tblBorders>
        <w:tblLook w:val="04A0"/>
      </w:tblPr>
      <w:tblGrid>
        <w:gridCol w:w="937"/>
        <w:gridCol w:w="1128"/>
        <w:gridCol w:w="1112"/>
        <w:gridCol w:w="1192"/>
        <w:gridCol w:w="1131"/>
        <w:gridCol w:w="1301"/>
        <w:gridCol w:w="866"/>
        <w:gridCol w:w="861"/>
      </w:tblGrid>
      <w:tr w:rsidR="00EE56C0" w:rsidRPr="007869FF">
        <w:trPr>
          <w:trHeight w:val="454"/>
          <w:jc w:val="center"/>
        </w:trPr>
        <w:tc>
          <w:tcPr>
            <w:tcW w:w="549" w:type="pct"/>
            <w:vMerge w:val="restart"/>
            <w:tcBorders>
              <w:top w:val="single" w:sz="4" w:space="0" w:color="auto"/>
              <w:left w:val="single" w:sz="4" w:space="0" w:color="auto"/>
              <w:bottom w:val="single" w:sz="4" w:space="0" w:color="auto"/>
              <w:right w:val="single" w:sz="4" w:space="0" w:color="000000"/>
            </w:tcBorders>
            <w:vAlign w:val="center"/>
          </w:tcPr>
          <w:p w:rsidR="00EE56C0" w:rsidRPr="007869FF" w:rsidRDefault="000F36A1">
            <w:pPr>
              <w:pStyle w:val="aff1"/>
              <w:rPr>
                <w:color w:val="auto"/>
                <w:szCs w:val="21"/>
                <w:u w:val="single"/>
              </w:rPr>
            </w:pPr>
            <w:r w:rsidRPr="007869FF">
              <w:rPr>
                <w:color w:val="auto"/>
                <w:szCs w:val="21"/>
                <w:u w:val="single"/>
              </w:rPr>
              <w:t>污染物</w:t>
            </w:r>
          </w:p>
        </w:tc>
        <w:tc>
          <w:tcPr>
            <w:tcW w:w="661" w:type="pct"/>
            <w:vMerge w:val="restart"/>
            <w:tcBorders>
              <w:top w:val="single" w:sz="4" w:space="0" w:color="auto"/>
              <w:left w:val="single" w:sz="4" w:space="0" w:color="000000"/>
              <w:right w:val="single" w:sz="4" w:space="0" w:color="auto"/>
            </w:tcBorders>
            <w:vAlign w:val="center"/>
          </w:tcPr>
          <w:p w:rsidR="00EE56C0" w:rsidRPr="007869FF" w:rsidRDefault="000F36A1">
            <w:pPr>
              <w:pStyle w:val="aff1"/>
              <w:rPr>
                <w:color w:val="auto"/>
                <w:szCs w:val="21"/>
                <w:u w:val="single"/>
              </w:rPr>
            </w:pPr>
            <w:r w:rsidRPr="007869FF">
              <w:rPr>
                <w:rFonts w:hint="eastAsia"/>
                <w:color w:val="auto"/>
                <w:szCs w:val="21"/>
                <w:u w:val="single"/>
              </w:rPr>
              <w:t>现有废气</w:t>
            </w:r>
            <w:r w:rsidRPr="007869FF">
              <w:rPr>
                <w:color w:val="auto"/>
                <w:szCs w:val="21"/>
                <w:u w:val="single"/>
              </w:rPr>
              <w:t>排放</w:t>
            </w:r>
            <w:r w:rsidRPr="007869FF">
              <w:rPr>
                <w:rFonts w:hint="eastAsia"/>
                <w:color w:val="auto"/>
                <w:szCs w:val="21"/>
                <w:u w:val="single"/>
              </w:rPr>
              <w:t>量</w:t>
            </w:r>
            <w:r w:rsidRPr="007869FF">
              <w:rPr>
                <w:color w:val="auto"/>
                <w:szCs w:val="21"/>
                <w:u w:val="single"/>
              </w:rPr>
              <w:t>（</w:t>
            </w:r>
            <w:r w:rsidRPr="007869FF">
              <w:rPr>
                <w:color w:val="auto"/>
                <w:szCs w:val="21"/>
                <w:u w:val="single"/>
              </w:rPr>
              <w:t>t/a</w:t>
            </w:r>
            <w:r w:rsidRPr="007869FF">
              <w:rPr>
                <w:color w:val="auto"/>
                <w:szCs w:val="21"/>
                <w:u w:val="single"/>
              </w:rPr>
              <w:t>）</w:t>
            </w:r>
          </w:p>
        </w:tc>
        <w:tc>
          <w:tcPr>
            <w:tcW w:w="652" w:type="pct"/>
            <w:vMerge w:val="restart"/>
            <w:tcBorders>
              <w:top w:val="single" w:sz="4" w:space="0" w:color="auto"/>
              <w:left w:val="single" w:sz="4" w:space="0" w:color="auto"/>
              <w:right w:val="single" w:sz="4" w:space="0" w:color="auto"/>
            </w:tcBorders>
            <w:vAlign w:val="center"/>
          </w:tcPr>
          <w:p w:rsidR="00EE56C0" w:rsidRPr="007869FF" w:rsidRDefault="000F36A1">
            <w:pPr>
              <w:pStyle w:val="aff1"/>
              <w:rPr>
                <w:color w:val="auto"/>
                <w:szCs w:val="21"/>
                <w:u w:val="single"/>
              </w:rPr>
            </w:pPr>
            <w:r w:rsidRPr="007869FF">
              <w:rPr>
                <w:rFonts w:hint="eastAsia"/>
                <w:color w:val="auto"/>
                <w:szCs w:val="21"/>
                <w:u w:val="single"/>
              </w:rPr>
              <w:t>一期</w:t>
            </w:r>
          </w:p>
        </w:tc>
        <w:tc>
          <w:tcPr>
            <w:tcW w:w="699" w:type="pct"/>
            <w:vMerge w:val="restart"/>
            <w:tcBorders>
              <w:top w:val="single" w:sz="4" w:space="0" w:color="auto"/>
              <w:left w:val="single" w:sz="4" w:space="0" w:color="auto"/>
              <w:right w:val="single" w:sz="4" w:space="0" w:color="auto"/>
            </w:tcBorders>
            <w:vAlign w:val="center"/>
          </w:tcPr>
          <w:p w:rsidR="00EE56C0" w:rsidRPr="007869FF" w:rsidRDefault="000F36A1">
            <w:pPr>
              <w:pStyle w:val="aff1"/>
              <w:rPr>
                <w:color w:val="auto"/>
                <w:szCs w:val="21"/>
                <w:u w:val="single"/>
              </w:rPr>
            </w:pPr>
            <w:r w:rsidRPr="007869FF">
              <w:rPr>
                <w:rFonts w:hint="eastAsia"/>
                <w:color w:val="auto"/>
                <w:szCs w:val="21"/>
                <w:u w:val="single"/>
              </w:rPr>
              <w:t>二期</w:t>
            </w:r>
          </w:p>
        </w:tc>
        <w:tc>
          <w:tcPr>
            <w:tcW w:w="2438" w:type="pct"/>
            <w:gridSpan w:val="4"/>
            <w:tcBorders>
              <w:top w:val="single" w:sz="4" w:space="0" w:color="auto"/>
              <w:left w:val="single" w:sz="4" w:space="0" w:color="auto"/>
              <w:bottom w:val="single" w:sz="4" w:space="0" w:color="auto"/>
              <w:right w:val="single" w:sz="4" w:space="0" w:color="auto"/>
            </w:tcBorders>
            <w:vAlign w:val="center"/>
          </w:tcPr>
          <w:p w:rsidR="00EE56C0" w:rsidRPr="007869FF" w:rsidRDefault="000F36A1">
            <w:pPr>
              <w:pStyle w:val="aff1"/>
              <w:rPr>
                <w:color w:val="auto"/>
                <w:szCs w:val="21"/>
                <w:u w:val="single"/>
              </w:rPr>
            </w:pPr>
            <w:r w:rsidRPr="007869FF">
              <w:rPr>
                <w:rFonts w:hint="eastAsia"/>
                <w:color w:val="auto"/>
                <w:szCs w:val="21"/>
                <w:u w:val="single"/>
              </w:rPr>
              <w:t>合计</w:t>
            </w:r>
          </w:p>
        </w:tc>
      </w:tr>
      <w:tr w:rsidR="00EE56C0" w:rsidRPr="007869FF">
        <w:trPr>
          <w:trHeight w:val="454"/>
          <w:jc w:val="center"/>
        </w:trPr>
        <w:tc>
          <w:tcPr>
            <w:tcW w:w="549" w:type="pct"/>
            <w:vMerge/>
            <w:tcBorders>
              <w:top w:val="single" w:sz="8" w:space="0" w:color="000000"/>
              <w:left w:val="single" w:sz="4" w:space="0" w:color="auto"/>
              <w:bottom w:val="single" w:sz="4" w:space="0" w:color="auto"/>
              <w:right w:val="single" w:sz="4" w:space="0" w:color="000000"/>
            </w:tcBorders>
            <w:vAlign w:val="center"/>
          </w:tcPr>
          <w:p w:rsidR="00EE56C0" w:rsidRPr="007869FF" w:rsidRDefault="00EE56C0">
            <w:pPr>
              <w:pStyle w:val="aff1"/>
              <w:rPr>
                <w:color w:val="auto"/>
                <w:szCs w:val="21"/>
                <w:u w:val="single"/>
              </w:rPr>
            </w:pPr>
          </w:p>
        </w:tc>
        <w:tc>
          <w:tcPr>
            <w:tcW w:w="661" w:type="pct"/>
            <w:vMerge/>
            <w:tcBorders>
              <w:left w:val="single" w:sz="4" w:space="0" w:color="000000"/>
              <w:bottom w:val="single" w:sz="4" w:space="0" w:color="auto"/>
              <w:right w:val="single" w:sz="4" w:space="0" w:color="auto"/>
            </w:tcBorders>
            <w:vAlign w:val="center"/>
          </w:tcPr>
          <w:p w:rsidR="00EE56C0" w:rsidRPr="007869FF" w:rsidRDefault="00EE56C0">
            <w:pPr>
              <w:pStyle w:val="aff1"/>
              <w:rPr>
                <w:color w:val="auto"/>
                <w:szCs w:val="21"/>
                <w:u w:val="single"/>
              </w:rPr>
            </w:pPr>
          </w:p>
        </w:tc>
        <w:tc>
          <w:tcPr>
            <w:tcW w:w="652" w:type="pct"/>
            <w:vMerge/>
            <w:tcBorders>
              <w:left w:val="single" w:sz="4" w:space="0" w:color="auto"/>
              <w:bottom w:val="single" w:sz="4" w:space="0" w:color="auto"/>
              <w:right w:val="single" w:sz="4" w:space="0" w:color="auto"/>
            </w:tcBorders>
            <w:vAlign w:val="center"/>
          </w:tcPr>
          <w:p w:rsidR="00EE56C0" w:rsidRPr="007869FF" w:rsidRDefault="00EE56C0">
            <w:pPr>
              <w:pStyle w:val="aff1"/>
              <w:rPr>
                <w:color w:val="auto"/>
                <w:szCs w:val="21"/>
                <w:u w:val="single"/>
              </w:rPr>
            </w:pPr>
          </w:p>
        </w:tc>
        <w:tc>
          <w:tcPr>
            <w:tcW w:w="699" w:type="pct"/>
            <w:vMerge/>
            <w:tcBorders>
              <w:left w:val="single" w:sz="4" w:space="0" w:color="auto"/>
              <w:bottom w:val="single" w:sz="4" w:space="0" w:color="auto"/>
              <w:right w:val="single" w:sz="4" w:space="0" w:color="auto"/>
            </w:tcBorders>
            <w:vAlign w:val="center"/>
          </w:tcPr>
          <w:p w:rsidR="00EE56C0" w:rsidRPr="007869FF" w:rsidRDefault="00EE56C0">
            <w:pPr>
              <w:pStyle w:val="aff1"/>
              <w:rPr>
                <w:color w:val="auto"/>
                <w:szCs w:val="21"/>
                <w:u w:val="single"/>
              </w:rPr>
            </w:pPr>
          </w:p>
        </w:tc>
        <w:tc>
          <w:tcPr>
            <w:tcW w:w="663" w:type="pct"/>
            <w:tcBorders>
              <w:top w:val="single" w:sz="4" w:space="0" w:color="auto"/>
              <w:left w:val="single" w:sz="4" w:space="0" w:color="auto"/>
              <w:bottom w:val="single" w:sz="4" w:space="0" w:color="auto"/>
              <w:right w:val="nil"/>
            </w:tcBorders>
            <w:vAlign w:val="center"/>
          </w:tcPr>
          <w:p w:rsidR="00EE56C0" w:rsidRPr="007869FF" w:rsidRDefault="000F36A1">
            <w:pPr>
              <w:pStyle w:val="aff1"/>
              <w:rPr>
                <w:color w:val="auto"/>
                <w:szCs w:val="21"/>
                <w:u w:val="single"/>
              </w:rPr>
            </w:pPr>
            <w:r w:rsidRPr="007869FF">
              <w:rPr>
                <w:color w:val="auto"/>
                <w:szCs w:val="21"/>
                <w:u w:val="single"/>
              </w:rPr>
              <w:t>排放</w:t>
            </w:r>
            <w:r w:rsidRPr="007869FF">
              <w:rPr>
                <w:rFonts w:hint="eastAsia"/>
                <w:color w:val="auto"/>
                <w:szCs w:val="21"/>
                <w:u w:val="single"/>
              </w:rPr>
              <w:t>量</w:t>
            </w:r>
            <w:r w:rsidRPr="007869FF">
              <w:rPr>
                <w:color w:val="auto"/>
                <w:szCs w:val="21"/>
                <w:u w:val="single"/>
              </w:rPr>
              <w:t>（</w:t>
            </w:r>
            <w:r w:rsidRPr="007869FF">
              <w:rPr>
                <w:color w:val="auto"/>
                <w:szCs w:val="21"/>
                <w:u w:val="single"/>
              </w:rPr>
              <w:t>t/a</w:t>
            </w:r>
            <w:r w:rsidRPr="007869FF">
              <w:rPr>
                <w:color w:val="auto"/>
                <w:szCs w:val="21"/>
                <w:u w:val="single"/>
              </w:rPr>
              <w:t>）</w:t>
            </w:r>
          </w:p>
        </w:tc>
        <w:tc>
          <w:tcPr>
            <w:tcW w:w="763" w:type="pct"/>
            <w:tcBorders>
              <w:top w:val="single" w:sz="4" w:space="0" w:color="auto"/>
              <w:left w:val="single" w:sz="4" w:space="0" w:color="auto"/>
              <w:bottom w:val="single" w:sz="4" w:space="0" w:color="auto"/>
              <w:right w:val="nil"/>
            </w:tcBorders>
            <w:vAlign w:val="center"/>
          </w:tcPr>
          <w:p w:rsidR="00EE56C0" w:rsidRPr="007869FF" w:rsidRDefault="000F36A1">
            <w:pPr>
              <w:pStyle w:val="aff1"/>
              <w:rPr>
                <w:color w:val="auto"/>
                <w:szCs w:val="21"/>
                <w:u w:val="single"/>
              </w:rPr>
            </w:pPr>
            <w:r w:rsidRPr="007869FF">
              <w:rPr>
                <w:color w:val="auto"/>
                <w:szCs w:val="21"/>
                <w:u w:val="single"/>
              </w:rPr>
              <w:t>排放速率</w:t>
            </w:r>
            <w:r w:rsidRPr="007869FF">
              <w:rPr>
                <w:rFonts w:hint="eastAsia"/>
                <w:color w:val="auto"/>
                <w:szCs w:val="21"/>
                <w:u w:val="single"/>
              </w:rPr>
              <w:t>（</w:t>
            </w:r>
            <w:r w:rsidRPr="007869FF">
              <w:rPr>
                <w:rFonts w:hint="eastAsia"/>
                <w:color w:val="auto"/>
                <w:szCs w:val="21"/>
                <w:u w:val="single"/>
              </w:rPr>
              <w:t>kg/h</w:t>
            </w:r>
            <w:r w:rsidRPr="007869FF">
              <w:rPr>
                <w:rFonts w:hint="eastAsia"/>
                <w:color w:val="auto"/>
                <w:szCs w:val="21"/>
                <w:u w:val="single"/>
              </w:rPr>
              <w:t>）</w:t>
            </w:r>
          </w:p>
        </w:tc>
        <w:tc>
          <w:tcPr>
            <w:tcW w:w="1013" w:type="pct"/>
            <w:gridSpan w:val="2"/>
            <w:tcBorders>
              <w:top w:val="single" w:sz="4" w:space="0" w:color="auto"/>
              <w:left w:val="single" w:sz="4" w:space="0" w:color="auto"/>
              <w:bottom w:val="single" w:sz="4" w:space="0" w:color="auto"/>
              <w:right w:val="single" w:sz="4" w:space="0" w:color="auto"/>
            </w:tcBorders>
            <w:vAlign w:val="center"/>
          </w:tcPr>
          <w:p w:rsidR="00EE56C0" w:rsidRPr="007869FF" w:rsidRDefault="000F36A1">
            <w:pPr>
              <w:pStyle w:val="aff1"/>
              <w:rPr>
                <w:color w:val="auto"/>
                <w:szCs w:val="21"/>
                <w:u w:val="single"/>
              </w:rPr>
            </w:pPr>
            <w:r w:rsidRPr="007869FF">
              <w:rPr>
                <w:rFonts w:hint="eastAsia"/>
                <w:color w:val="auto"/>
                <w:szCs w:val="21"/>
                <w:u w:val="single"/>
              </w:rPr>
              <w:t>排放浓度（</w:t>
            </w:r>
            <w:r w:rsidRPr="007869FF">
              <w:rPr>
                <w:rFonts w:hint="eastAsia"/>
                <w:color w:val="auto"/>
                <w:szCs w:val="21"/>
                <w:u w:val="single"/>
              </w:rPr>
              <w:t>mg/m</w:t>
            </w:r>
            <w:r w:rsidRPr="007869FF">
              <w:rPr>
                <w:rFonts w:hint="eastAsia"/>
                <w:color w:val="auto"/>
                <w:szCs w:val="21"/>
                <w:u w:val="single"/>
                <w:vertAlign w:val="superscript"/>
              </w:rPr>
              <w:t>3</w:t>
            </w:r>
            <w:r w:rsidRPr="007869FF">
              <w:rPr>
                <w:rFonts w:hint="eastAsia"/>
                <w:color w:val="auto"/>
                <w:szCs w:val="21"/>
                <w:u w:val="single"/>
              </w:rPr>
              <w:t>）</w:t>
            </w:r>
          </w:p>
        </w:tc>
      </w:tr>
      <w:tr w:rsidR="00EE56C0" w:rsidRPr="007869FF">
        <w:trPr>
          <w:trHeight w:val="454"/>
          <w:jc w:val="center"/>
        </w:trPr>
        <w:tc>
          <w:tcPr>
            <w:tcW w:w="549" w:type="pct"/>
            <w:tcBorders>
              <w:top w:val="single" w:sz="4" w:space="0" w:color="auto"/>
              <w:left w:val="single" w:sz="4" w:space="0" w:color="auto"/>
              <w:right w:val="single" w:sz="4" w:space="0" w:color="000000"/>
            </w:tcBorders>
            <w:vAlign w:val="center"/>
          </w:tcPr>
          <w:p w:rsidR="00EE56C0" w:rsidRPr="007869FF" w:rsidRDefault="000F36A1">
            <w:pPr>
              <w:pStyle w:val="afa"/>
              <w:rPr>
                <w:u w:val="single"/>
              </w:rPr>
            </w:pPr>
            <w:r w:rsidRPr="007869FF">
              <w:rPr>
                <w:rFonts w:hint="eastAsia"/>
                <w:u w:val="single"/>
              </w:rPr>
              <w:t>酚</w:t>
            </w:r>
          </w:p>
        </w:tc>
        <w:tc>
          <w:tcPr>
            <w:tcW w:w="661" w:type="pct"/>
            <w:tcBorders>
              <w:top w:val="single" w:sz="4" w:space="0" w:color="auto"/>
              <w:left w:val="single" w:sz="4" w:space="0" w:color="000000"/>
              <w:right w:val="single" w:sz="4" w:space="0" w:color="auto"/>
            </w:tcBorders>
            <w:vAlign w:val="center"/>
          </w:tcPr>
          <w:p w:rsidR="00EE56C0" w:rsidRPr="007869FF" w:rsidRDefault="000F36A1">
            <w:pPr>
              <w:pStyle w:val="afa"/>
              <w:rPr>
                <w:rFonts w:ascii="宋体" w:eastAsia="宋体" w:hAnsi="宋体" w:cs="宋体"/>
                <w:u w:val="single"/>
              </w:rPr>
            </w:pPr>
            <w:r w:rsidRPr="007869FF">
              <w:rPr>
                <w:rFonts w:hint="eastAsia"/>
                <w:u w:val="single"/>
              </w:rPr>
              <w:t>0.5616</w:t>
            </w:r>
          </w:p>
        </w:tc>
        <w:tc>
          <w:tcPr>
            <w:tcW w:w="652" w:type="pct"/>
            <w:tcBorders>
              <w:top w:val="single" w:sz="4" w:space="0" w:color="auto"/>
              <w:left w:val="single" w:sz="4" w:space="0" w:color="auto"/>
              <w:right w:val="single" w:sz="4" w:space="0" w:color="auto"/>
            </w:tcBorders>
            <w:vAlign w:val="center"/>
          </w:tcPr>
          <w:p w:rsidR="00EE56C0" w:rsidRPr="007869FF" w:rsidRDefault="000F36A1">
            <w:pPr>
              <w:pStyle w:val="afa"/>
              <w:rPr>
                <w:rFonts w:eastAsia="宋体"/>
                <w:u w:val="single"/>
              </w:rPr>
            </w:pPr>
            <w:r w:rsidRPr="007869FF">
              <w:rPr>
                <w:u w:val="single"/>
              </w:rPr>
              <w:t xml:space="preserve">0.0301 </w:t>
            </w:r>
          </w:p>
        </w:tc>
        <w:tc>
          <w:tcPr>
            <w:tcW w:w="699" w:type="pct"/>
            <w:tcBorders>
              <w:top w:val="single" w:sz="4" w:space="0" w:color="auto"/>
              <w:left w:val="single" w:sz="4" w:space="0" w:color="auto"/>
              <w:right w:val="single" w:sz="4" w:space="0" w:color="auto"/>
            </w:tcBorders>
            <w:vAlign w:val="center"/>
          </w:tcPr>
          <w:p w:rsidR="00EE56C0" w:rsidRPr="007869FF" w:rsidRDefault="000F36A1">
            <w:pPr>
              <w:pStyle w:val="afa"/>
              <w:rPr>
                <w:rFonts w:eastAsia="宋体"/>
                <w:u w:val="single"/>
              </w:rPr>
            </w:pPr>
            <w:r w:rsidRPr="007869FF">
              <w:rPr>
                <w:u w:val="single"/>
              </w:rPr>
              <w:t xml:space="preserve">0.0814 </w:t>
            </w:r>
          </w:p>
        </w:tc>
        <w:tc>
          <w:tcPr>
            <w:tcW w:w="663" w:type="pct"/>
            <w:tcBorders>
              <w:top w:val="single" w:sz="4" w:space="0" w:color="auto"/>
              <w:left w:val="single" w:sz="4" w:space="0" w:color="auto"/>
              <w:right w:val="nil"/>
            </w:tcBorders>
            <w:vAlign w:val="center"/>
          </w:tcPr>
          <w:p w:rsidR="00EE56C0" w:rsidRPr="007869FF" w:rsidRDefault="000F36A1">
            <w:pPr>
              <w:pStyle w:val="afa"/>
              <w:rPr>
                <w:rFonts w:eastAsia="宋体"/>
                <w:u w:val="single"/>
              </w:rPr>
            </w:pPr>
            <w:r w:rsidRPr="007869FF">
              <w:rPr>
                <w:u w:val="single"/>
              </w:rPr>
              <w:t xml:space="preserve">0.6730 </w:t>
            </w:r>
          </w:p>
        </w:tc>
        <w:tc>
          <w:tcPr>
            <w:tcW w:w="763" w:type="pct"/>
            <w:tcBorders>
              <w:top w:val="single" w:sz="4" w:space="0" w:color="auto"/>
              <w:left w:val="single" w:sz="4" w:space="0" w:color="auto"/>
              <w:right w:val="nil"/>
            </w:tcBorders>
            <w:vAlign w:val="center"/>
          </w:tcPr>
          <w:p w:rsidR="00EE56C0" w:rsidRPr="007869FF" w:rsidRDefault="000F36A1">
            <w:pPr>
              <w:pStyle w:val="afa"/>
              <w:rPr>
                <w:rFonts w:eastAsia="宋体"/>
                <w:u w:val="single"/>
              </w:rPr>
            </w:pPr>
            <w:r w:rsidRPr="007869FF">
              <w:rPr>
                <w:u w:val="single"/>
              </w:rPr>
              <w:t xml:space="preserve">0.0935 </w:t>
            </w:r>
          </w:p>
        </w:tc>
        <w:tc>
          <w:tcPr>
            <w:tcW w:w="1013" w:type="pct"/>
            <w:gridSpan w:val="2"/>
            <w:tcBorders>
              <w:top w:val="single" w:sz="4" w:space="0" w:color="auto"/>
              <w:left w:val="single" w:sz="4" w:space="0" w:color="auto"/>
              <w:right w:val="single" w:sz="4" w:space="0" w:color="auto"/>
            </w:tcBorders>
            <w:vAlign w:val="center"/>
          </w:tcPr>
          <w:p w:rsidR="00EE56C0" w:rsidRPr="007869FF" w:rsidRDefault="000F36A1">
            <w:pPr>
              <w:pStyle w:val="afa"/>
              <w:rPr>
                <w:rFonts w:eastAsia="宋体"/>
                <w:u w:val="single"/>
              </w:rPr>
            </w:pPr>
            <w:r w:rsidRPr="007869FF">
              <w:rPr>
                <w:u w:val="single"/>
              </w:rPr>
              <w:t xml:space="preserve">0.92 </w:t>
            </w:r>
          </w:p>
        </w:tc>
      </w:tr>
      <w:tr w:rsidR="00EE56C0" w:rsidRPr="007869FF">
        <w:trPr>
          <w:trHeight w:val="454"/>
          <w:jc w:val="center"/>
        </w:trPr>
        <w:tc>
          <w:tcPr>
            <w:tcW w:w="549" w:type="pct"/>
            <w:tcBorders>
              <w:top w:val="single" w:sz="4" w:space="0" w:color="auto"/>
              <w:left w:val="single" w:sz="4" w:space="0" w:color="auto"/>
              <w:right w:val="single" w:sz="4" w:space="0" w:color="000000"/>
            </w:tcBorders>
            <w:vAlign w:val="center"/>
          </w:tcPr>
          <w:p w:rsidR="00EE56C0" w:rsidRPr="007869FF" w:rsidRDefault="000F36A1">
            <w:pPr>
              <w:pStyle w:val="afa"/>
              <w:rPr>
                <w:u w:val="single"/>
              </w:rPr>
            </w:pPr>
            <w:r w:rsidRPr="007869FF">
              <w:rPr>
                <w:u w:val="single"/>
              </w:rPr>
              <w:t>非甲烷</w:t>
            </w:r>
          </w:p>
          <w:p w:rsidR="00EE56C0" w:rsidRPr="007869FF" w:rsidRDefault="000F36A1">
            <w:pPr>
              <w:pStyle w:val="afa"/>
              <w:rPr>
                <w:u w:val="single"/>
              </w:rPr>
            </w:pPr>
            <w:r w:rsidRPr="007869FF">
              <w:rPr>
                <w:u w:val="single"/>
              </w:rPr>
              <w:t>总烃</w:t>
            </w:r>
          </w:p>
        </w:tc>
        <w:tc>
          <w:tcPr>
            <w:tcW w:w="661" w:type="pct"/>
            <w:tcBorders>
              <w:top w:val="single" w:sz="4" w:space="0" w:color="auto"/>
              <w:left w:val="single" w:sz="4" w:space="0" w:color="000000"/>
              <w:right w:val="single" w:sz="4" w:space="0" w:color="auto"/>
            </w:tcBorders>
            <w:vAlign w:val="center"/>
          </w:tcPr>
          <w:p w:rsidR="00EE56C0" w:rsidRPr="007869FF" w:rsidRDefault="000F36A1">
            <w:pPr>
              <w:pStyle w:val="afa"/>
              <w:rPr>
                <w:rFonts w:ascii="宋体" w:eastAsia="宋体" w:hAnsi="宋体" w:cs="宋体"/>
                <w:u w:val="single"/>
              </w:rPr>
            </w:pPr>
            <w:r w:rsidRPr="007869FF">
              <w:rPr>
                <w:rFonts w:hint="eastAsia"/>
                <w:u w:val="single"/>
              </w:rPr>
              <w:t>4.3344</w:t>
            </w:r>
          </w:p>
        </w:tc>
        <w:tc>
          <w:tcPr>
            <w:tcW w:w="652" w:type="pct"/>
            <w:tcBorders>
              <w:top w:val="single" w:sz="4" w:space="0" w:color="auto"/>
              <w:left w:val="single" w:sz="4" w:space="0" w:color="auto"/>
              <w:right w:val="single" w:sz="4" w:space="0" w:color="auto"/>
            </w:tcBorders>
            <w:vAlign w:val="center"/>
          </w:tcPr>
          <w:p w:rsidR="00EE56C0" w:rsidRPr="007869FF" w:rsidRDefault="000F36A1">
            <w:pPr>
              <w:pStyle w:val="afa"/>
              <w:rPr>
                <w:rFonts w:eastAsia="宋体"/>
                <w:u w:val="single"/>
              </w:rPr>
            </w:pPr>
            <w:r w:rsidRPr="007869FF">
              <w:rPr>
                <w:u w:val="single"/>
              </w:rPr>
              <w:t xml:space="preserve">0.1016 </w:t>
            </w:r>
          </w:p>
        </w:tc>
        <w:tc>
          <w:tcPr>
            <w:tcW w:w="699" w:type="pct"/>
            <w:tcBorders>
              <w:top w:val="single" w:sz="4" w:space="0" w:color="auto"/>
              <w:left w:val="single" w:sz="4" w:space="0" w:color="auto"/>
              <w:right w:val="single" w:sz="4" w:space="0" w:color="auto"/>
            </w:tcBorders>
            <w:vAlign w:val="center"/>
          </w:tcPr>
          <w:p w:rsidR="00EE56C0" w:rsidRPr="007869FF" w:rsidRDefault="000F36A1">
            <w:pPr>
              <w:pStyle w:val="afa"/>
              <w:rPr>
                <w:rFonts w:eastAsia="宋体"/>
                <w:u w:val="single"/>
              </w:rPr>
            </w:pPr>
            <w:r w:rsidRPr="007869FF">
              <w:rPr>
                <w:u w:val="single"/>
              </w:rPr>
              <w:t xml:space="preserve">0.1065 </w:t>
            </w:r>
          </w:p>
        </w:tc>
        <w:tc>
          <w:tcPr>
            <w:tcW w:w="663" w:type="pct"/>
            <w:tcBorders>
              <w:top w:val="single" w:sz="4" w:space="0" w:color="auto"/>
              <w:left w:val="single" w:sz="4" w:space="0" w:color="auto"/>
              <w:right w:val="nil"/>
            </w:tcBorders>
            <w:vAlign w:val="center"/>
          </w:tcPr>
          <w:p w:rsidR="00EE56C0" w:rsidRPr="007869FF" w:rsidRDefault="000F36A1">
            <w:pPr>
              <w:pStyle w:val="afa"/>
              <w:rPr>
                <w:rFonts w:eastAsia="宋体"/>
                <w:u w:val="single"/>
              </w:rPr>
            </w:pPr>
            <w:r w:rsidRPr="007869FF">
              <w:rPr>
                <w:u w:val="single"/>
              </w:rPr>
              <w:t xml:space="preserve">4.5425 </w:t>
            </w:r>
          </w:p>
        </w:tc>
        <w:tc>
          <w:tcPr>
            <w:tcW w:w="763" w:type="pct"/>
            <w:tcBorders>
              <w:top w:val="single" w:sz="4" w:space="0" w:color="auto"/>
              <w:left w:val="single" w:sz="4" w:space="0" w:color="auto"/>
              <w:right w:val="nil"/>
            </w:tcBorders>
            <w:vAlign w:val="center"/>
          </w:tcPr>
          <w:p w:rsidR="00EE56C0" w:rsidRPr="007869FF" w:rsidRDefault="000F36A1">
            <w:pPr>
              <w:pStyle w:val="afa"/>
              <w:rPr>
                <w:rFonts w:eastAsia="宋体"/>
                <w:u w:val="single"/>
              </w:rPr>
            </w:pPr>
            <w:r w:rsidRPr="007869FF">
              <w:rPr>
                <w:u w:val="single"/>
              </w:rPr>
              <w:t xml:space="preserve">0.6309 </w:t>
            </w:r>
          </w:p>
        </w:tc>
        <w:tc>
          <w:tcPr>
            <w:tcW w:w="1013" w:type="pct"/>
            <w:gridSpan w:val="2"/>
            <w:tcBorders>
              <w:top w:val="single" w:sz="4" w:space="0" w:color="auto"/>
              <w:left w:val="single" w:sz="4" w:space="0" w:color="auto"/>
              <w:right w:val="single" w:sz="4" w:space="0" w:color="auto"/>
            </w:tcBorders>
            <w:vAlign w:val="center"/>
          </w:tcPr>
          <w:p w:rsidR="00EE56C0" w:rsidRPr="007869FF" w:rsidRDefault="000F36A1">
            <w:pPr>
              <w:pStyle w:val="afa"/>
              <w:rPr>
                <w:rFonts w:eastAsia="宋体"/>
                <w:u w:val="single"/>
              </w:rPr>
            </w:pPr>
            <w:r w:rsidRPr="007869FF">
              <w:rPr>
                <w:u w:val="single"/>
              </w:rPr>
              <w:t xml:space="preserve">6.18 </w:t>
            </w:r>
          </w:p>
        </w:tc>
      </w:tr>
      <w:tr w:rsidR="00EE56C0" w:rsidRPr="007869FF">
        <w:trPr>
          <w:trHeight w:val="454"/>
          <w:jc w:val="center"/>
        </w:trPr>
        <w:tc>
          <w:tcPr>
            <w:tcW w:w="549" w:type="pct"/>
            <w:tcBorders>
              <w:top w:val="single" w:sz="4" w:space="0" w:color="auto"/>
              <w:left w:val="single" w:sz="4" w:space="0" w:color="auto"/>
              <w:right w:val="single" w:sz="4" w:space="0" w:color="000000"/>
            </w:tcBorders>
            <w:vAlign w:val="center"/>
          </w:tcPr>
          <w:p w:rsidR="00EE56C0" w:rsidRPr="007869FF" w:rsidRDefault="000F36A1">
            <w:pPr>
              <w:pStyle w:val="afa"/>
              <w:rPr>
                <w:u w:val="single"/>
              </w:rPr>
            </w:pPr>
            <w:r w:rsidRPr="007869FF">
              <w:rPr>
                <w:rFonts w:hint="eastAsia"/>
                <w:u w:val="single"/>
              </w:rPr>
              <w:t>二甲苯</w:t>
            </w:r>
          </w:p>
        </w:tc>
        <w:tc>
          <w:tcPr>
            <w:tcW w:w="661" w:type="pct"/>
            <w:tcBorders>
              <w:top w:val="single" w:sz="4" w:space="0" w:color="auto"/>
              <w:left w:val="single" w:sz="4" w:space="0" w:color="000000"/>
              <w:right w:val="single" w:sz="4" w:space="0" w:color="auto"/>
            </w:tcBorders>
            <w:vAlign w:val="center"/>
          </w:tcPr>
          <w:p w:rsidR="00EE56C0" w:rsidRPr="007869FF" w:rsidRDefault="000F36A1">
            <w:pPr>
              <w:pStyle w:val="afa"/>
              <w:rPr>
                <w:rFonts w:ascii="宋体" w:eastAsia="宋体" w:hAnsi="宋体" w:cs="宋体"/>
                <w:u w:val="single"/>
              </w:rPr>
            </w:pPr>
            <w:r w:rsidRPr="007869FF">
              <w:rPr>
                <w:rFonts w:hint="eastAsia"/>
                <w:u w:val="single"/>
              </w:rPr>
              <w:t>5.4216</w:t>
            </w:r>
          </w:p>
        </w:tc>
        <w:tc>
          <w:tcPr>
            <w:tcW w:w="652" w:type="pct"/>
            <w:tcBorders>
              <w:top w:val="single" w:sz="4" w:space="0" w:color="auto"/>
              <w:left w:val="single" w:sz="4" w:space="0" w:color="auto"/>
              <w:right w:val="single" w:sz="4" w:space="0" w:color="auto"/>
            </w:tcBorders>
            <w:vAlign w:val="center"/>
          </w:tcPr>
          <w:p w:rsidR="00EE56C0" w:rsidRPr="007869FF" w:rsidRDefault="000F36A1">
            <w:pPr>
              <w:pStyle w:val="afa"/>
              <w:rPr>
                <w:rFonts w:eastAsia="宋体"/>
                <w:u w:val="single"/>
              </w:rPr>
            </w:pPr>
            <w:r w:rsidRPr="007869FF">
              <w:rPr>
                <w:u w:val="single"/>
              </w:rPr>
              <w:t xml:space="preserve">0.2244 </w:t>
            </w:r>
          </w:p>
        </w:tc>
        <w:tc>
          <w:tcPr>
            <w:tcW w:w="699" w:type="pct"/>
            <w:tcBorders>
              <w:top w:val="single" w:sz="4" w:space="0" w:color="auto"/>
              <w:left w:val="single" w:sz="4" w:space="0" w:color="auto"/>
              <w:right w:val="single" w:sz="4" w:space="0" w:color="auto"/>
            </w:tcBorders>
            <w:vAlign w:val="center"/>
          </w:tcPr>
          <w:p w:rsidR="00EE56C0" w:rsidRPr="007869FF" w:rsidRDefault="000F36A1">
            <w:pPr>
              <w:pStyle w:val="afa"/>
              <w:rPr>
                <w:rFonts w:eastAsia="宋体"/>
                <w:u w:val="single"/>
              </w:rPr>
            </w:pPr>
            <w:r w:rsidRPr="007869FF">
              <w:rPr>
                <w:u w:val="single"/>
              </w:rPr>
              <w:t xml:space="preserve">0.1836 </w:t>
            </w:r>
          </w:p>
        </w:tc>
        <w:tc>
          <w:tcPr>
            <w:tcW w:w="663" w:type="pct"/>
            <w:tcBorders>
              <w:top w:val="single" w:sz="4" w:space="0" w:color="auto"/>
              <w:left w:val="single" w:sz="4" w:space="0" w:color="auto"/>
              <w:right w:val="nil"/>
            </w:tcBorders>
            <w:vAlign w:val="center"/>
          </w:tcPr>
          <w:p w:rsidR="00EE56C0" w:rsidRPr="007869FF" w:rsidRDefault="000F36A1">
            <w:pPr>
              <w:pStyle w:val="afa"/>
              <w:rPr>
                <w:rFonts w:eastAsia="宋体"/>
                <w:u w:val="single"/>
              </w:rPr>
            </w:pPr>
            <w:r w:rsidRPr="007869FF">
              <w:rPr>
                <w:u w:val="single"/>
              </w:rPr>
              <w:t xml:space="preserve">5.8296 </w:t>
            </w:r>
          </w:p>
        </w:tc>
        <w:tc>
          <w:tcPr>
            <w:tcW w:w="763" w:type="pct"/>
            <w:tcBorders>
              <w:top w:val="single" w:sz="4" w:space="0" w:color="auto"/>
              <w:left w:val="single" w:sz="4" w:space="0" w:color="auto"/>
              <w:right w:val="nil"/>
            </w:tcBorders>
            <w:vAlign w:val="center"/>
          </w:tcPr>
          <w:p w:rsidR="00EE56C0" w:rsidRPr="007869FF" w:rsidRDefault="000F36A1">
            <w:pPr>
              <w:pStyle w:val="afa"/>
              <w:rPr>
                <w:rFonts w:eastAsia="宋体"/>
                <w:u w:val="single"/>
              </w:rPr>
            </w:pPr>
            <w:r w:rsidRPr="007869FF">
              <w:rPr>
                <w:u w:val="single"/>
              </w:rPr>
              <w:t xml:space="preserve">0.8097 </w:t>
            </w:r>
          </w:p>
        </w:tc>
        <w:tc>
          <w:tcPr>
            <w:tcW w:w="508" w:type="pct"/>
            <w:tcBorders>
              <w:top w:val="single" w:sz="4" w:space="0" w:color="auto"/>
              <w:left w:val="single" w:sz="4" w:space="0" w:color="auto"/>
              <w:right w:val="single" w:sz="4" w:space="0" w:color="auto"/>
            </w:tcBorders>
            <w:vAlign w:val="center"/>
          </w:tcPr>
          <w:p w:rsidR="00EE56C0" w:rsidRPr="007869FF" w:rsidRDefault="000F36A1">
            <w:pPr>
              <w:pStyle w:val="afa"/>
              <w:rPr>
                <w:rFonts w:eastAsia="宋体"/>
                <w:u w:val="single"/>
              </w:rPr>
            </w:pPr>
            <w:r w:rsidRPr="007869FF">
              <w:rPr>
                <w:u w:val="single"/>
              </w:rPr>
              <w:t xml:space="preserve">7.93 </w:t>
            </w:r>
          </w:p>
        </w:tc>
        <w:tc>
          <w:tcPr>
            <w:tcW w:w="505" w:type="pct"/>
            <w:vMerge w:val="restart"/>
            <w:tcBorders>
              <w:top w:val="single" w:sz="4" w:space="0" w:color="auto"/>
              <w:left w:val="single" w:sz="4" w:space="0" w:color="auto"/>
              <w:right w:val="single" w:sz="4" w:space="0" w:color="auto"/>
            </w:tcBorders>
            <w:vAlign w:val="center"/>
          </w:tcPr>
          <w:p w:rsidR="00EE56C0" w:rsidRPr="007869FF" w:rsidRDefault="000F36A1">
            <w:pPr>
              <w:pStyle w:val="afa"/>
              <w:rPr>
                <w:rFonts w:eastAsia="宋体"/>
                <w:u w:val="single"/>
              </w:rPr>
            </w:pPr>
            <w:r w:rsidRPr="007869FF">
              <w:rPr>
                <w:rFonts w:eastAsia="宋体" w:hint="eastAsia"/>
                <w:u w:val="single"/>
              </w:rPr>
              <w:t>11.66</w:t>
            </w:r>
          </w:p>
        </w:tc>
      </w:tr>
      <w:tr w:rsidR="00EE56C0" w:rsidRPr="007869FF">
        <w:trPr>
          <w:trHeight w:val="454"/>
          <w:jc w:val="center"/>
        </w:trPr>
        <w:tc>
          <w:tcPr>
            <w:tcW w:w="549" w:type="pct"/>
            <w:tcBorders>
              <w:top w:val="single" w:sz="4" w:space="0" w:color="auto"/>
              <w:left w:val="single" w:sz="4" w:space="0" w:color="auto"/>
              <w:bottom w:val="single" w:sz="4" w:space="0" w:color="auto"/>
              <w:right w:val="single" w:sz="4" w:space="0" w:color="000000"/>
            </w:tcBorders>
            <w:vAlign w:val="center"/>
          </w:tcPr>
          <w:p w:rsidR="00EE56C0" w:rsidRPr="007869FF" w:rsidRDefault="000F36A1">
            <w:pPr>
              <w:pStyle w:val="afa"/>
              <w:rPr>
                <w:u w:val="single"/>
              </w:rPr>
            </w:pPr>
            <w:r w:rsidRPr="007869FF">
              <w:rPr>
                <w:rFonts w:hint="eastAsia"/>
                <w:u w:val="single"/>
              </w:rPr>
              <w:t>甲苯</w:t>
            </w:r>
          </w:p>
        </w:tc>
        <w:tc>
          <w:tcPr>
            <w:tcW w:w="661" w:type="pct"/>
            <w:tcBorders>
              <w:top w:val="single" w:sz="4" w:space="0" w:color="auto"/>
              <w:left w:val="single" w:sz="4" w:space="0" w:color="000000"/>
              <w:bottom w:val="single" w:sz="4" w:space="0" w:color="auto"/>
              <w:right w:val="single" w:sz="4" w:space="0" w:color="auto"/>
            </w:tcBorders>
            <w:vAlign w:val="center"/>
          </w:tcPr>
          <w:p w:rsidR="00EE56C0" w:rsidRPr="007869FF" w:rsidRDefault="000F36A1">
            <w:pPr>
              <w:pStyle w:val="afa"/>
              <w:rPr>
                <w:rFonts w:ascii="宋体" w:eastAsia="宋体" w:hAnsi="宋体" w:cs="宋体"/>
                <w:u w:val="single"/>
              </w:rPr>
            </w:pPr>
            <w:r w:rsidRPr="007869FF">
              <w:rPr>
                <w:rFonts w:hint="eastAsia"/>
                <w:u w:val="single"/>
              </w:rPr>
              <w:t>2.3472</w:t>
            </w:r>
          </w:p>
        </w:tc>
        <w:tc>
          <w:tcPr>
            <w:tcW w:w="652" w:type="pct"/>
            <w:tcBorders>
              <w:top w:val="single" w:sz="4" w:space="0" w:color="auto"/>
              <w:left w:val="single" w:sz="4" w:space="0" w:color="auto"/>
              <w:bottom w:val="single" w:sz="4" w:space="0" w:color="auto"/>
              <w:right w:val="single" w:sz="4" w:space="0" w:color="auto"/>
            </w:tcBorders>
            <w:vAlign w:val="center"/>
          </w:tcPr>
          <w:p w:rsidR="00EE56C0" w:rsidRPr="007869FF" w:rsidRDefault="000F36A1">
            <w:pPr>
              <w:pStyle w:val="afa"/>
              <w:rPr>
                <w:rFonts w:eastAsia="宋体"/>
                <w:u w:val="single"/>
              </w:rPr>
            </w:pPr>
            <w:r w:rsidRPr="007869FF">
              <w:rPr>
                <w:u w:val="single"/>
              </w:rPr>
              <w:t xml:space="preserve">0.2212 </w:t>
            </w:r>
          </w:p>
        </w:tc>
        <w:tc>
          <w:tcPr>
            <w:tcW w:w="699" w:type="pct"/>
            <w:tcBorders>
              <w:top w:val="single" w:sz="4" w:space="0" w:color="auto"/>
              <w:left w:val="single" w:sz="4" w:space="0" w:color="auto"/>
              <w:bottom w:val="single" w:sz="4" w:space="0" w:color="auto"/>
              <w:right w:val="single" w:sz="4" w:space="0" w:color="auto"/>
            </w:tcBorders>
            <w:vAlign w:val="center"/>
          </w:tcPr>
          <w:p w:rsidR="00EE56C0" w:rsidRPr="007869FF" w:rsidRDefault="000F36A1">
            <w:pPr>
              <w:pStyle w:val="afa"/>
              <w:rPr>
                <w:rFonts w:eastAsia="宋体"/>
                <w:u w:val="single"/>
              </w:rPr>
            </w:pPr>
            <w:r w:rsidRPr="007869FF">
              <w:rPr>
                <w:u w:val="single"/>
              </w:rPr>
              <w:t xml:space="preserve">0.1746 </w:t>
            </w:r>
          </w:p>
        </w:tc>
        <w:tc>
          <w:tcPr>
            <w:tcW w:w="663" w:type="pct"/>
            <w:tcBorders>
              <w:top w:val="single" w:sz="4" w:space="0" w:color="auto"/>
              <w:left w:val="single" w:sz="4" w:space="0" w:color="auto"/>
              <w:bottom w:val="single" w:sz="4" w:space="0" w:color="auto"/>
              <w:right w:val="nil"/>
            </w:tcBorders>
            <w:vAlign w:val="center"/>
          </w:tcPr>
          <w:p w:rsidR="00EE56C0" w:rsidRPr="007869FF" w:rsidRDefault="000F36A1">
            <w:pPr>
              <w:pStyle w:val="afa"/>
              <w:rPr>
                <w:rFonts w:eastAsia="宋体"/>
                <w:u w:val="single"/>
              </w:rPr>
            </w:pPr>
            <w:r w:rsidRPr="007869FF">
              <w:rPr>
                <w:u w:val="single"/>
              </w:rPr>
              <w:t xml:space="preserve">2.7430 </w:t>
            </w:r>
          </w:p>
        </w:tc>
        <w:tc>
          <w:tcPr>
            <w:tcW w:w="763" w:type="pct"/>
            <w:tcBorders>
              <w:top w:val="single" w:sz="4" w:space="0" w:color="auto"/>
              <w:left w:val="single" w:sz="4" w:space="0" w:color="auto"/>
              <w:bottom w:val="single" w:sz="4" w:space="0" w:color="auto"/>
              <w:right w:val="nil"/>
            </w:tcBorders>
            <w:vAlign w:val="center"/>
          </w:tcPr>
          <w:p w:rsidR="00EE56C0" w:rsidRPr="007869FF" w:rsidRDefault="000F36A1">
            <w:pPr>
              <w:pStyle w:val="afa"/>
              <w:rPr>
                <w:rFonts w:eastAsia="宋体"/>
                <w:u w:val="single"/>
              </w:rPr>
            </w:pPr>
            <w:r w:rsidRPr="007869FF">
              <w:rPr>
                <w:u w:val="single"/>
              </w:rPr>
              <w:t xml:space="preserve">0.3810 </w:t>
            </w:r>
          </w:p>
        </w:tc>
        <w:tc>
          <w:tcPr>
            <w:tcW w:w="508" w:type="pct"/>
            <w:tcBorders>
              <w:top w:val="single" w:sz="4" w:space="0" w:color="auto"/>
              <w:left w:val="single" w:sz="4" w:space="0" w:color="auto"/>
              <w:bottom w:val="single" w:sz="4" w:space="0" w:color="auto"/>
              <w:right w:val="single" w:sz="4" w:space="0" w:color="auto"/>
            </w:tcBorders>
            <w:vAlign w:val="center"/>
          </w:tcPr>
          <w:p w:rsidR="00EE56C0" w:rsidRPr="007869FF" w:rsidRDefault="000F36A1">
            <w:pPr>
              <w:pStyle w:val="afa"/>
              <w:rPr>
                <w:rFonts w:eastAsia="宋体"/>
                <w:u w:val="single"/>
              </w:rPr>
            </w:pPr>
            <w:r w:rsidRPr="007869FF">
              <w:rPr>
                <w:u w:val="single"/>
              </w:rPr>
              <w:t xml:space="preserve">3.73 </w:t>
            </w:r>
          </w:p>
        </w:tc>
        <w:tc>
          <w:tcPr>
            <w:tcW w:w="505" w:type="pct"/>
            <w:vMerge/>
            <w:tcBorders>
              <w:left w:val="single" w:sz="4" w:space="0" w:color="auto"/>
              <w:bottom w:val="single" w:sz="4" w:space="0" w:color="auto"/>
              <w:right w:val="single" w:sz="4" w:space="0" w:color="auto"/>
            </w:tcBorders>
            <w:vAlign w:val="center"/>
          </w:tcPr>
          <w:p w:rsidR="00EE56C0" w:rsidRPr="007869FF" w:rsidRDefault="00EE56C0">
            <w:pPr>
              <w:pStyle w:val="afa"/>
              <w:rPr>
                <w:rFonts w:eastAsia="宋体"/>
                <w:u w:val="single"/>
              </w:rPr>
            </w:pPr>
          </w:p>
        </w:tc>
      </w:tr>
      <w:tr w:rsidR="00EE56C0" w:rsidRPr="007869FF">
        <w:trPr>
          <w:trHeight w:val="454"/>
          <w:jc w:val="center"/>
        </w:trPr>
        <w:tc>
          <w:tcPr>
            <w:tcW w:w="549" w:type="pct"/>
            <w:tcBorders>
              <w:top w:val="single" w:sz="4" w:space="0" w:color="auto"/>
              <w:left w:val="single" w:sz="4" w:space="0" w:color="auto"/>
              <w:bottom w:val="single" w:sz="4" w:space="0" w:color="auto"/>
              <w:right w:val="single" w:sz="4" w:space="0" w:color="000000"/>
            </w:tcBorders>
            <w:vAlign w:val="center"/>
          </w:tcPr>
          <w:p w:rsidR="00EE56C0" w:rsidRPr="007869FF" w:rsidRDefault="000F36A1">
            <w:pPr>
              <w:pStyle w:val="afa"/>
              <w:rPr>
                <w:highlight w:val="yellow"/>
                <w:u w:val="single"/>
              </w:rPr>
            </w:pPr>
            <w:r w:rsidRPr="007869FF">
              <w:rPr>
                <w:rFonts w:hint="eastAsia"/>
                <w:u w:val="single"/>
              </w:rPr>
              <w:t>苯</w:t>
            </w:r>
          </w:p>
        </w:tc>
        <w:tc>
          <w:tcPr>
            <w:tcW w:w="661" w:type="pct"/>
            <w:tcBorders>
              <w:top w:val="single" w:sz="4" w:space="0" w:color="auto"/>
              <w:left w:val="single" w:sz="4" w:space="0" w:color="000000"/>
              <w:bottom w:val="single" w:sz="4" w:space="0" w:color="auto"/>
              <w:right w:val="single" w:sz="4" w:space="0" w:color="auto"/>
            </w:tcBorders>
            <w:vAlign w:val="center"/>
          </w:tcPr>
          <w:p w:rsidR="00EE56C0" w:rsidRPr="007869FF" w:rsidRDefault="000F36A1">
            <w:pPr>
              <w:pStyle w:val="afa"/>
              <w:rPr>
                <w:rFonts w:ascii="宋体" w:eastAsia="宋体" w:hAnsi="宋体" w:cs="宋体"/>
                <w:u w:val="single"/>
              </w:rPr>
            </w:pPr>
            <w:r w:rsidRPr="007869FF">
              <w:rPr>
                <w:rFonts w:hint="eastAsia"/>
                <w:u w:val="single"/>
              </w:rPr>
              <w:t>0.1369</w:t>
            </w:r>
          </w:p>
        </w:tc>
        <w:tc>
          <w:tcPr>
            <w:tcW w:w="652" w:type="pct"/>
            <w:tcBorders>
              <w:top w:val="single" w:sz="4" w:space="0" w:color="auto"/>
              <w:left w:val="single" w:sz="4" w:space="0" w:color="auto"/>
              <w:bottom w:val="single" w:sz="4" w:space="0" w:color="auto"/>
              <w:right w:val="single" w:sz="4" w:space="0" w:color="auto"/>
            </w:tcBorders>
            <w:vAlign w:val="center"/>
          </w:tcPr>
          <w:p w:rsidR="00EE56C0" w:rsidRPr="007869FF" w:rsidRDefault="000F36A1">
            <w:pPr>
              <w:pStyle w:val="afa"/>
              <w:rPr>
                <w:rFonts w:eastAsia="宋体"/>
                <w:u w:val="single"/>
              </w:rPr>
            </w:pPr>
            <w:r w:rsidRPr="007869FF">
              <w:rPr>
                <w:u w:val="single"/>
              </w:rPr>
              <w:t xml:space="preserve">0.0737 </w:t>
            </w:r>
          </w:p>
        </w:tc>
        <w:tc>
          <w:tcPr>
            <w:tcW w:w="699" w:type="pct"/>
            <w:tcBorders>
              <w:top w:val="single" w:sz="4" w:space="0" w:color="auto"/>
              <w:left w:val="single" w:sz="4" w:space="0" w:color="auto"/>
              <w:bottom w:val="single" w:sz="4" w:space="0" w:color="auto"/>
              <w:right w:val="single" w:sz="4" w:space="0" w:color="auto"/>
            </w:tcBorders>
            <w:vAlign w:val="center"/>
          </w:tcPr>
          <w:p w:rsidR="00EE56C0" w:rsidRPr="007869FF" w:rsidRDefault="000F36A1">
            <w:pPr>
              <w:pStyle w:val="afa"/>
              <w:rPr>
                <w:rFonts w:eastAsia="宋体"/>
                <w:u w:val="single"/>
              </w:rPr>
            </w:pPr>
            <w:r w:rsidRPr="007869FF">
              <w:rPr>
                <w:u w:val="single"/>
              </w:rPr>
              <w:t xml:space="preserve">0.0582 </w:t>
            </w:r>
          </w:p>
        </w:tc>
        <w:tc>
          <w:tcPr>
            <w:tcW w:w="663" w:type="pct"/>
            <w:tcBorders>
              <w:top w:val="single" w:sz="4" w:space="0" w:color="auto"/>
              <w:left w:val="single" w:sz="4" w:space="0" w:color="auto"/>
              <w:bottom w:val="single" w:sz="4" w:space="0" w:color="auto"/>
              <w:right w:val="nil"/>
            </w:tcBorders>
            <w:vAlign w:val="center"/>
          </w:tcPr>
          <w:p w:rsidR="00EE56C0" w:rsidRPr="007869FF" w:rsidRDefault="000F36A1">
            <w:pPr>
              <w:pStyle w:val="afa"/>
              <w:rPr>
                <w:rFonts w:eastAsia="宋体"/>
                <w:u w:val="single"/>
              </w:rPr>
            </w:pPr>
            <w:r w:rsidRPr="007869FF">
              <w:rPr>
                <w:u w:val="single"/>
              </w:rPr>
              <w:t xml:space="preserve">0.2688 </w:t>
            </w:r>
          </w:p>
        </w:tc>
        <w:tc>
          <w:tcPr>
            <w:tcW w:w="763" w:type="pct"/>
            <w:tcBorders>
              <w:top w:val="single" w:sz="4" w:space="0" w:color="auto"/>
              <w:left w:val="single" w:sz="4" w:space="0" w:color="auto"/>
              <w:bottom w:val="single" w:sz="4" w:space="0" w:color="auto"/>
              <w:right w:val="nil"/>
            </w:tcBorders>
            <w:vAlign w:val="center"/>
          </w:tcPr>
          <w:p w:rsidR="00EE56C0" w:rsidRPr="007869FF" w:rsidRDefault="000F36A1">
            <w:pPr>
              <w:pStyle w:val="afa"/>
              <w:rPr>
                <w:rFonts w:eastAsia="宋体"/>
                <w:u w:val="single"/>
              </w:rPr>
            </w:pPr>
            <w:r w:rsidRPr="007869FF">
              <w:rPr>
                <w:u w:val="single"/>
              </w:rPr>
              <w:t xml:space="preserve">0.0373 </w:t>
            </w:r>
          </w:p>
        </w:tc>
        <w:tc>
          <w:tcPr>
            <w:tcW w:w="1013" w:type="pct"/>
            <w:gridSpan w:val="2"/>
            <w:tcBorders>
              <w:top w:val="single" w:sz="4" w:space="0" w:color="auto"/>
              <w:left w:val="single" w:sz="4" w:space="0" w:color="auto"/>
              <w:bottom w:val="single" w:sz="4" w:space="0" w:color="auto"/>
              <w:right w:val="single" w:sz="4" w:space="0" w:color="auto"/>
            </w:tcBorders>
            <w:vAlign w:val="center"/>
          </w:tcPr>
          <w:p w:rsidR="00EE56C0" w:rsidRPr="007869FF" w:rsidRDefault="000F36A1">
            <w:pPr>
              <w:pStyle w:val="afa"/>
              <w:rPr>
                <w:rFonts w:eastAsia="宋体"/>
                <w:u w:val="single"/>
              </w:rPr>
            </w:pPr>
            <w:r w:rsidRPr="007869FF">
              <w:rPr>
                <w:u w:val="single"/>
              </w:rPr>
              <w:t xml:space="preserve">0.37 </w:t>
            </w:r>
          </w:p>
        </w:tc>
      </w:tr>
      <w:tr w:rsidR="00EE56C0" w:rsidRPr="007869FF">
        <w:trPr>
          <w:trHeight w:val="454"/>
          <w:jc w:val="center"/>
        </w:trPr>
        <w:tc>
          <w:tcPr>
            <w:tcW w:w="549" w:type="pct"/>
            <w:tcBorders>
              <w:top w:val="single" w:sz="4" w:space="0" w:color="auto"/>
              <w:left w:val="single" w:sz="4" w:space="0" w:color="auto"/>
              <w:bottom w:val="single" w:sz="4" w:space="0" w:color="auto"/>
              <w:right w:val="single" w:sz="4" w:space="0" w:color="000000"/>
            </w:tcBorders>
            <w:vAlign w:val="center"/>
          </w:tcPr>
          <w:p w:rsidR="00EE56C0" w:rsidRPr="007869FF" w:rsidRDefault="000F36A1">
            <w:pPr>
              <w:pStyle w:val="afa"/>
              <w:rPr>
                <w:u w:val="single"/>
              </w:rPr>
            </w:pPr>
            <w:r w:rsidRPr="007869FF">
              <w:rPr>
                <w:rFonts w:hint="eastAsia"/>
                <w:u w:val="single"/>
              </w:rPr>
              <w:t>VOCs</w:t>
            </w:r>
          </w:p>
        </w:tc>
        <w:tc>
          <w:tcPr>
            <w:tcW w:w="661" w:type="pct"/>
            <w:tcBorders>
              <w:top w:val="single" w:sz="4" w:space="0" w:color="auto"/>
              <w:left w:val="single" w:sz="4" w:space="0" w:color="000000"/>
              <w:bottom w:val="single" w:sz="4" w:space="0" w:color="auto"/>
              <w:right w:val="single" w:sz="4" w:space="0" w:color="auto"/>
            </w:tcBorders>
            <w:vAlign w:val="center"/>
          </w:tcPr>
          <w:p w:rsidR="00EE56C0" w:rsidRPr="007869FF" w:rsidRDefault="000F36A1">
            <w:pPr>
              <w:pStyle w:val="afa"/>
              <w:rPr>
                <w:rFonts w:ascii="宋体" w:eastAsia="宋体" w:hAnsi="宋体" w:cs="宋体"/>
                <w:u w:val="single"/>
              </w:rPr>
            </w:pPr>
            <w:r w:rsidRPr="007869FF">
              <w:rPr>
                <w:rFonts w:hint="eastAsia"/>
                <w:u w:val="single"/>
              </w:rPr>
              <w:t>12.8017</w:t>
            </w:r>
          </w:p>
        </w:tc>
        <w:tc>
          <w:tcPr>
            <w:tcW w:w="652" w:type="pct"/>
            <w:tcBorders>
              <w:top w:val="single" w:sz="4" w:space="0" w:color="auto"/>
              <w:left w:val="single" w:sz="4" w:space="0" w:color="auto"/>
              <w:bottom w:val="single" w:sz="4" w:space="0" w:color="auto"/>
              <w:right w:val="single" w:sz="4" w:space="0" w:color="auto"/>
            </w:tcBorders>
            <w:vAlign w:val="center"/>
          </w:tcPr>
          <w:p w:rsidR="00EE56C0" w:rsidRPr="007869FF" w:rsidRDefault="000F36A1">
            <w:pPr>
              <w:pStyle w:val="afa"/>
              <w:rPr>
                <w:rFonts w:eastAsia="宋体"/>
                <w:u w:val="single"/>
              </w:rPr>
            </w:pPr>
            <w:r w:rsidRPr="007869FF">
              <w:rPr>
                <w:rFonts w:eastAsia="宋体" w:hint="eastAsia"/>
                <w:u w:val="single"/>
              </w:rPr>
              <w:t>0.651</w:t>
            </w:r>
          </w:p>
        </w:tc>
        <w:tc>
          <w:tcPr>
            <w:tcW w:w="699" w:type="pct"/>
            <w:tcBorders>
              <w:top w:val="single" w:sz="4" w:space="0" w:color="auto"/>
              <w:left w:val="single" w:sz="4" w:space="0" w:color="auto"/>
              <w:bottom w:val="single" w:sz="4" w:space="0" w:color="auto"/>
              <w:right w:val="single" w:sz="4" w:space="0" w:color="auto"/>
            </w:tcBorders>
            <w:vAlign w:val="center"/>
          </w:tcPr>
          <w:p w:rsidR="00EE56C0" w:rsidRPr="007869FF" w:rsidRDefault="000F36A1">
            <w:pPr>
              <w:pStyle w:val="afa"/>
              <w:rPr>
                <w:rFonts w:eastAsia="宋体"/>
                <w:u w:val="single"/>
              </w:rPr>
            </w:pPr>
            <w:r w:rsidRPr="007869FF">
              <w:rPr>
                <w:u w:val="single"/>
              </w:rPr>
              <w:t xml:space="preserve">0.6042 </w:t>
            </w:r>
          </w:p>
        </w:tc>
        <w:tc>
          <w:tcPr>
            <w:tcW w:w="663" w:type="pct"/>
            <w:tcBorders>
              <w:top w:val="single" w:sz="4" w:space="0" w:color="auto"/>
              <w:left w:val="single" w:sz="4" w:space="0" w:color="auto"/>
              <w:bottom w:val="single" w:sz="4" w:space="0" w:color="auto"/>
              <w:right w:val="nil"/>
            </w:tcBorders>
            <w:vAlign w:val="center"/>
          </w:tcPr>
          <w:p w:rsidR="00EE56C0" w:rsidRPr="007869FF" w:rsidRDefault="000F36A1">
            <w:pPr>
              <w:pStyle w:val="afa"/>
              <w:rPr>
                <w:rFonts w:eastAsia="宋体"/>
                <w:u w:val="single"/>
              </w:rPr>
            </w:pPr>
            <w:r w:rsidRPr="007869FF">
              <w:rPr>
                <w:u w:val="single"/>
              </w:rPr>
              <w:t xml:space="preserve">14.0570 </w:t>
            </w:r>
          </w:p>
        </w:tc>
        <w:tc>
          <w:tcPr>
            <w:tcW w:w="763" w:type="pct"/>
            <w:tcBorders>
              <w:top w:val="single" w:sz="4" w:space="0" w:color="auto"/>
              <w:left w:val="single" w:sz="4" w:space="0" w:color="auto"/>
              <w:bottom w:val="single" w:sz="4" w:space="0" w:color="auto"/>
              <w:right w:val="nil"/>
            </w:tcBorders>
            <w:vAlign w:val="center"/>
          </w:tcPr>
          <w:p w:rsidR="00EE56C0" w:rsidRPr="007869FF" w:rsidRDefault="000F36A1">
            <w:pPr>
              <w:pStyle w:val="afa"/>
              <w:rPr>
                <w:rFonts w:eastAsia="宋体"/>
                <w:u w:val="single"/>
              </w:rPr>
            </w:pPr>
            <w:r w:rsidRPr="007869FF">
              <w:rPr>
                <w:u w:val="single"/>
              </w:rPr>
              <w:t xml:space="preserve">1.9524 </w:t>
            </w:r>
          </w:p>
        </w:tc>
        <w:tc>
          <w:tcPr>
            <w:tcW w:w="1013" w:type="pct"/>
            <w:gridSpan w:val="2"/>
            <w:tcBorders>
              <w:top w:val="single" w:sz="4" w:space="0" w:color="auto"/>
              <w:left w:val="single" w:sz="4" w:space="0" w:color="auto"/>
              <w:bottom w:val="single" w:sz="4" w:space="0" w:color="auto"/>
              <w:right w:val="single" w:sz="4" w:space="0" w:color="auto"/>
            </w:tcBorders>
            <w:vAlign w:val="center"/>
          </w:tcPr>
          <w:p w:rsidR="00EE56C0" w:rsidRPr="007869FF" w:rsidRDefault="000F36A1">
            <w:pPr>
              <w:pStyle w:val="afa"/>
              <w:rPr>
                <w:rFonts w:eastAsia="宋体"/>
                <w:u w:val="single"/>
              </w:rPr>
            </w:pPr>
            <w:r w:rsidRPr="007869FF">
              <w:rPr>
                <w:u w:val="single"/>
              </w:rPr>
              <w:t>/</w:t>
            </w:r>
          </w:p>
        </w:tc>
      </w:tr>
    </w:tbl>
    <w:p w:rsidR="00EE56C0" w:rsidRDefault="000F36A1">
      <w:pPr>
        <w:ind w:firstLine="480"/>
      </w:pPr>
      <w:r>
        <w:rPr>
          <w:rFonts w:hint="eastAsia"/>
        </w:rPr>
        <w:t>由上表可知，有</w:t>
      </w:r>
      <w:r>
        <w:rPr>
          <w:bCs/>
        </w:rPr>
        <w:t>机</w:t>
      </w:r>
      <w:r>
        <w:t>废气经</w:t>
      </w:r>
      <w:r>
        <w:rPr>
          <w:rFonts w:hint="eastAsia"/>
        </w:rPr>
        <w:t>治理</w:t>
      </w:r>
      <w:r>
        <w:t>后经</w:t>
      </w:r>
      <w:r>
        <w:rPr>
          <w:rFonts w:hint="eastAsia"/>
        </w:rPr>
        <w:t>26.</w:t>
      </w:r>
      <w:r>
        <w:t>5m</w:t>
      </w:r>
      <w:r>
        <w:t>排气筒有组织排放，</w:t>
      </w:r>
      <w:r>
        <w:rPr>
          <w:rFonts w:hint="eastAsia"/>
        </w:rPr>
        <w:t>二期建成后全厂酚</w:t>
      </w:r>
      <w:r>
        <w:t>排放浓度</w:t>
      </w:r>
      <w:r>
        <w:rPr>
          <w:rFonts w:hint="eastAsia"/>
        </w:rPr>
        <w:t>0.92</w:t>
      </w:r>
      <w:r>
        <w:t>mg/m</w:t>
      </w:r>
      <w:r>
        <w:rPr>
          <w:vertAlign w:val="superscript"/>
        </w:rPr>
        <w:t>3</w:t>
      </w:r>
      <w:r>
        <w:t>、排放速率</w:t>
      </w:r>
      <w:r>
        <w:t>0.0</w:t>
      </w:r>
      <w:r>
        <w:rPr>
          <w:rFonts w:hint="eastAsia"/>
        </w:rPr>
        <w:t>935</w:t>
      </w:r>
      <w:r>
        <w:t>kg/</w:t>
      </w:r>
      <w:r>
        <w:rPr>
          <w:rFonts w:hint="eastAsia"/>
        </w:rPr>
        <w:t>h</w:t>
      </w:r>
      <w:r>
        <w:rPr>
          <w:rFonts w:hint="eastAsia"/>
        </w:rPr>
        <w:t>，均满足</w:t>
      </w:r>
      <w:r>
        <w:t>《大气污染物综合排放标准》（</w:t>
      </w:r>
      <w:r>
        <w:t>GB16297-1996</w:t>
      </w:r>
      <w:r>
        <w:t>）表</w:t>
      </w:r>
      <w:r>
        <w:t>2</w:t>
      </w:r>
      <w:r>
        <w:t>二级：酚类排放浓度</w:t>
      </w:r>
      <w:r>
        <w:t>100mg/m</w:t>
      </w:r>
      <w:r>
        <w:rPr>
          <w:vertAlign w:val="superscript"/>
        </w:rPr>
        <w:t>3</w:t>
      </w:r>
      <w:r>
        <w:t>、排放速率</w:t>
      </w:r>
      <w:r>
        <w:t>0.1kg/h</w:t>
      </w:r>
      <w:r>
        <w:t>要求</w:t>
      </w:r>
      <w:r>
        <w:rPr>
          <w:rFonts w:hint="eastAsia"/>
        </w:rPr>
        <w:t>，非甲烷总烃排放浓度</w:t>
      </w:r>
      <w:r>
        <w:rPr>
          <w:rFonts w:hint="eastAsia"/>
        </w:rPr>
        <w:t>6.18</w:t>
      </w:r>
      <w:r>
        <w:t>mg/m</w:t>
      </w:r>
      <w:r>
        <w:rPr>
          <w:vertAlign w:val="superscript"/>
        </w:rPr>
        <w:t>3</w:t>
      </w:r>
      <w:r>
        <w:rPr>
          <w:rFonts w:hint="eastAsia"/>
        </w:rPr>
        <w:t>、苯</w:t>
      </w:r>
      <w:r>
        <w:rPr>
          <w:rFonts w:hint="eastAsia"/>
        </w:rPr>
        <w:t>0.37</w:t>
      </w:r>
      <w:r>
        <w:t>mg/m</w:t>
      </w:r>
      <w:r>
        <w:rPr>
          <w:vertAlign w:val="superscript"/>
        </w:rPr>
        <w:t>3</w:t>
      </w:r>
      <w:r>
        <w:rPr>
          <w:rFonts w:hint="eastAsia"/>
        </w:rPr>
        <w:t>、</w:t>
      </w:r>
      <w:r>
        <w:t>甲苯与二甲苯合计</w:t>
      </w:r>
      <w:r>
        <w:rPr>
          <w:rFonts w:hint="eastAsia"/>
        </w:rPr>
        <w:t>排放浓度</w:t>
      </w:r>
      <w:r>
        <w:rPr>
          <w:rFonts w:hint="eastAsia"/>
        </w:rPr>
        <w:t>11.66</w:t>
      </w:r>
      <w:r>
        <w:t>mg/m</w:t>
      </w:r>
      <w:r>
        <w:rPr>
          <w:vertAlign w:val="superscript"/>
        </w:rPr>
        <w:t>3</w:t>
      </w:r>
      <w:r>
        <w:rPr>
          <w:rFonts w:hint="eastAsia"/>
        </w:rPr>
        <w:t>，非甲烷总烃、苯、二甲苯、甲苯排放浓度均满足《工业涂装工序挥发性有机物排放标准</w:t>
      </w:r>
      <w:r>
        <w:t>》（</w:t>
      </w:r>
      <w:r>
        <w:t>DB41/1951-2020</w:t>
      </w:r>
      <w:r>
        <w:t>）表</w:t>
      </w:r>
      <w:r>
        <w:t>1</w:t>
      </w:r>
      <w:r>
        <w:t>：非甲烷总烃</w:t>
      </w:r>
      <w:r>
        <w:t>50mg/m</w:t>
      </w:r>
      <w:r>
        <w:rPr>
          <w:vertAlign w:val="superscript"/>
        </w:rPr>
        <w:t>3</w:t>
      </w:r>
      <w:r>
        <w:t>、</w:t>
      </w:r>
      <w:r>
        <w:rPr>
          <w:rFonts w:hint="eastAsia"/>
        </w:rPr>
        <w:t>苯</w:t>
      </w:r>
      <w:r>
        <w:rPr>
          <w:rFonts w:hint="eastAsia"/>
        </w:rPr>
        <w:t>1</w:t>
      </w:r>
      <w:r>
        <w:t>mg/m</w:t>
      </w:r>
      <w:r>
        <w:rPr>
          <w:vertAlign w:val="superscript"/>
        </w:rPr>
        <w:t>3</w:t>
      </w:r>
      <w:r>
        <w:rPr>
          <w:rFonts w:hint="eastAsia"/>
        </w:rPr>
        <w:t>、</w:t>
      </w:r>
      <w:r>
        <w:t>甲苯与二甲苯合计</w:t>
      </w:r>
      <w:r>
        <w:t>20mg/m</w:t>
      </w:r>
      <w:r>
        <w:rPr>
          <w:vertAlign w:val="superscript"/>
        </w:rPr>
        <w:t>3</w:t>
      </w:r>
      <w:r>
        <w:t>要求。</w:t>
      </w:r>
    </w:p>
    <w:p w:rsidR="00EE56C0" w:rsidRDefault="000F36A1">
      <w:pPr>
        <w:ind w:firstLine="482"/>
        <w:rPr>
          <w:b/>
        </w:rPr>
      </w:pPr>
      <w:r>
        <w:rPr>
          <w:rFonts w:hint="eastAsia"/>
          <w:b/>
        </w:rPr>
        <w:t>C</w:t>
      </w:r>
      <w:r>
        <w:rPr>
          <w:rFonts w:hint="eastAsia"/>
          <w:b/>
        </w:rPr>
        <w:t>、活性炭吸附</w:t>
      </w:r>
      <w:r>
        <w:rPr>
          <w:rFonts w:hint="eastAsia"/>
          <w:b/>
        </w:rPr>
        <w:t>-</w:t>
      </w:r>
      <w:r>
        <w:rPr>
          <w:rFonts w:hint="eastAsia"/>
          <w:b/>
        </w:rPr>
        <w:t>脱附</w:t>
      </w:r>
      <w:r>
        <w:rPr>
          <w:rFonts w:hint="eastAsia"/>
          <w:b/>
        </w:rPr>
        <w:t>-</w:t>
      </w:r>
      <w:r>
        <w:rPr>
          <w:rFonts w:hint="eastAsia"/>
          <w:b/>
        </w:rPr>
        <w:t>催还燃烧装置废气治理措施</w:t>
      </w:r>
    </w:p>
    <w:p w:rsidR="00EE56C0" w:rsidRDefault="000F36A1">
      <w:pPr>
        <w:ind w:firstLine="480"/>
      </w:pPr>
      <w:r>
        <w:rPr>
          <w:rFonts w:hint="eastAsia"/>
        </w:rPr>
        <w:t>“活性炭转轮吸附</w:t>
      </w:r>
      <w:r>
        <w:rPr>
          <w:rFonts w:hint="eastAsia"/>
        </w:rPr>
        <w:t>-</w:t>
      </w:r>
      <w:r>
        <w:rPr>
          <w:rFonts w:hint="eastAsia"/>
        </w:rPr>
        <w:t>脱附</w:t>
      </w:r>
      <w:r>
        <w:rPr>
          <w:rFonts w:hint="eastAsia"/>
        </w:rPr>
        <w:t>-</w:t>
      </w:r>
      <w:r>
        <w:rPr>
          <w:rFonts w:hint="eastAsia"/>
        </w:rPr>
        <w:t>催化燃烧”装置废气走向示意图如下：</w:t>
      </w:r>
    </w:p>
    <w:p w:rsidR="00EE56C0" w:rsidRDefault="00EE56C0">
      <w:pPr>
        <w:ind w:firstLineChars="0" w:firstLine="0"/>
      </w:pPr>
    </w:p>
    <w:p w:rsidR="00212B58" w:rsidRDefault="00212B58">
      <w:pPr>
        <w:ind w:firstLineChars="0" w:firstLine="0"/>
      </w:pPr>
    </w:p>
    <w:p w:rsidR="00212B58" w:rsidRDefault="00212B58">
      <w:pPr>
        <w:ind w:firstLineChars="0" w:firstLine="0"/>
      </w:pPr>
    </w:p>
    <w:p w:rsidR="00EE56C0" w:rsidRDefault="00340837">
      <w:pPr>
        <w:ind w:firstLine="482"/>
      </w:pPr>
      <w:r w:rsidRPr="00340837">
        <w:rPr>
          <w:b/>
        </w:rPr>
        <w:lastRenderedPageBreak/>
        <w:pict>
          <v:shape id="对象 3708" o:spid="_x0000_s2148" type="#_x0000_t75" style="position:absolute;left:0;text-align:left;margin-left:23.8pt;margin-top:1.55pt;width:363.6pt;height:257.45pt;z-index:251691520">
            <v:imagedata r:id="rId63" o:title=""/>
          </v:shape>
          <o:OLEObject Type="Embed" ProgID="Visio.Drawing.11" ShapeID="对象 3708" DrawAspect="Content" ObjectID="_1705848370" r:id="rId64"/>
        </w:pict>
      </w:r>
    </w:p>
    <w:p w:rsidR="00EE56C0" w:rsidRDefault="00EE56C0">
      <w:pPr>
        <w:spacing w:line="460" w:lineRule="exact"/>
        <w:ind w:firstLine="480"/>
      </w:pPr>
    </w:p>
    <w:p w:rsidR="00EE56C0" w:rsidRDefault="00EE56C0">
      <w:pPr>
        <w:spacing w:line="460" w:lineRule="exact"/>
        <w:ind w:firstLine="480"/>
      </w:pPr>
    </w:p>
    <w:p w:rsidR="00EE56C0" w:rsidRDefault="00EE56C0">
      <w:pPr>
        <w:ind w:firstLine="482"/>
        <w:jc w:val="center"/>
        <w:rPr>
          <w:b/>
          <w:u w:val="single"/>
        </w:rPr>
      </w:pPr>
    </w:p>
    <w:p w:rsidR="00EE56C0" w:rsidRDefault="00EE56C0">
      <w:pPr>
        <w:ind w:firstLine="482"/>
        <w:jc w:val="center"/>
        <w:rPr>
          <w:b/>
          <w:u w:val="single"/>
        </w:rPr>
      </w:pPr>
    </w:p>
    <w:p w:rsidR="00EE56C0" w:rsidRDefault="00EE56C0">
      <w:pPr>
        <w:spacing w:line="460" w:lineRule="exact"/>
        <w:ind w:firstLine="482"/>
        <w:rPr>
          <w:b/>
          <w:u w:val="single"/>
        </w:rPr>
      </w:pPr>
    </w:p>
    <w:p w:rsidR="00EE56C0" w:rsidRDefault="00EE56C0">
      <w:pPr>
        <w:spacing w:line="460" w:lineRule="exact"/>
        <w:ind w:firstLine="482"/>
        <w:rPr>
          <w:b/>
          <w:u w:val="single"/>
        </w:rPr>
      </w:pPr>
    </w:p>
    <w:p w:rsidR="00EE56C0" w:rsidRDefault="00EE56C0">
      <w:pPr>
        <w:spacing w:line="460" w:lineRule="exact"/>
        <w:ind w:firstLine="482"/>
        <w:rPr>
          <w:b/>
          <w:u w:val="single"/>
        </w:rPr>
      </w:pPr>
    </w:p>
    <w:p w:rsidR="00EE56C0" w:rsidRDefault="00EE56C0">
      <w:pPr>
        <w:spacing w:line="460" w:lineRule="exact"/>
        <w:ind w:firstLine="482"/>
        <w:rPr>
          <w:b/>
          <w:u w:val="single"/>
        </w:rPr>
      </w:pPr>
    </w:p>
    <w:p w:rsidR="00EE56C0" w:rsidRDefault="00EE56C0">
      <w:pPr>
        <w:spacing w:line="460" w:lineRule="exact"/>
        <w:ind w:firstLine="482"/>
        <w:rPr>
          <w:b/>
          <w:u w:val="single"/>
        </w:rPr>
      </w:pPr>
    </w:p>
    <w:p w:rsidR="00EE56C0" w:rsidRDefault="00EE56C0" w:rsidP="008C1581">
      <w:pPr>
        <w:spacing w:beforeLines="50" w:line="460" w:lineRule="exact"/>
        <w:ind w:firstLine="480"/>
        <w:jc w:val="center"/>
        <w:rPr>
          <w:rFonts w:ascii="黑体" w:eastAsia="黑体" w:hAnsi="黑体"/>
        </w:rPr>
      </w:pPr>
    </w:p>
    <w:p w:rsidR="00EE56C0" w:rsidRDefault="000F36A1">
      <w:pPr>
        <w:pStyle w:val="aff8"/>
        <w:rPr>
          <w:rFonts w:ascii="黑体"/>
          <w:kern w:val="0"/>
        </w:rPr>
      </w:pPr>
      <w:r>
        <w:rPr>
          <w:rFonts w:ascii="黑体"/>
          <w:kern w:val="0"/>
        </w:rPr>
        <w:t>图</w:t>
      </w:r>
      <w:r>
        <w:rPr>
          <w:rFonts w:ascii="黑体" w:hint="eastAsia"/>
        </w:rPr>
        <w:t xml:space="preserve">3-17 </w:t>
      </w:r>
      <w:r>
        <w:rPr>
          <w:rFonts w:hint="eastAsia"/>
        </w:rPr>
        <w:t>活性炭</w:t>
      </w:r>
      <w:r>
        <w:t>转轮吸附</w:t>
      </w:r>
      <w:r>
        <w:rPr>
          <w:rFonts w:hint="eastAsia"/>
        </w:rPr>
        <w:t>-</w:t>
      </w:r>
      <w:r>
        <w:rPr>
          <w:rFonts w:hint="eastAsia"/>
        </w:rPr>
        <w:t>脱附</w:t>
      </w:r>
      <w:r>
        <w:rPr>
          <w:rFonts w:hint="eastAsia"/>
        </w:rPr>
        <w:t>-</w:t>
      </w:r>
      <w:r>
        <w:rPr>
          <w:rFonts w:hint="eastAsia"/>
        </w:rPr>
        <w:t>催化燃烧装置废气</w:t>
      </w:r>
      <w:r>
        <w:rPr>
          <w:rFonts w:ascii="黑体"/>
          <w:kern w:val="0"/>
        </w:rPr>
        <w:t>走向图</w:t>
      </w:r>
    </w:p>
    <w:p w:rsidR="00EE56C0" w:rsidRDefault="000F36A1">
      <w:pPr>
        <w:ind w:firstLine="480"/>
      </w:pPr>
      <w:r>
        <w:rPr>
          <w:rFonts w:hint="eastAsia"/>
        </w:rPr>
        <w:t>活性炭吸附</w:t>
      </w:r>
      <w:r>
        <w:rPr>
          <w:rFonts w:hint="eastAsia"/>
        </w:rPr>
        <w:t>-</w:t>
      </w:r>
      <w:r>
        <w:rPr>
          <w:rFonts w:hint="eastAsia"/>
        </w:rPr>
        <w:t>脱附</w:t>
      </w:r>
      <w:r>
        <w:rPr>
          <w:rFonts w:hint="eastAsia"/>
        </w:rPr>
        <w:t>-</w:t>
      </w:r>
      <w:r>
        <w:rPr>
          <w:rFonts w:hint="eastAsia"/>
        </w:rPr>
        <w:t>催化燃烧基本原理：</w:t>
      </w:r>
    </w:p>
    <w:p w:rsidR="00EE56C0" w:rsidRDefault="000F36A1">
      <w:pPr>
        <w:ind w:firstLine="480"/>
      </w:pPr>
      <w:r>
        <w:rPr>
          <w:rFonts w:hint="eastAsia"/>
        </w:rPr>
        <w:t>（</w:t>
      </w:r>
      <w:r>
        <w:rPr>
          <w:rFonts w:hint="eastAsia"/>
        </w:rPr>
        <w:t>1</w:t>
      </w:r>
      <w:r>
        <w:rPr>
          <w:rFonts w:hint="eastAsia"/>
        </w:rPr>
        <w:t>）</w:t>
      </w:r>
      <w:r>
        <w:t>VOCs</w:t>
      </w:r>
      <w:r>
        <w:t>废气通过</w:t>
      </w:r>
      <w:r>
        <w:rPr>
          <w:rFonts w:hint="eastAsia"/>
        </w:rPr>
        <w:t>活性炭</w:t>
      </w:r>
      <w:r>
        <w:t>转轮</w:t>
      </w:r>
      <w:r>
        <w:rPr>
          <w:rFonts w:hint="eastAsia"/>
        </w:rPr>
        <w:t>时</w:t>
      </w:r>
      <w:r>
        <w:t>，</w:t>
      </w:r>
      <w:r>
        <w:rPr>
          <w:rFonts w:hint="eastAsia"/>
        </w:rPr>
        <w:t>能有效被吸附于活性炭中，达到去除的目的。活性炭转轮分为吸附区、再生区、冷却区，经过吸附的挥发性有机物的洁净气体，直接通过排气筒排放。</w:t>
      </w:r>
    </w:p>
    <w:p w:rsidR="00EE56C0" w:rsidRDefault="000F36A1">
      <w:pPr>
        <w:ind w:firstLine="480"/>
      </w:pPr>
      <w:r>
        <w:rPr>
          <w:rFonts w:hint="eastAsia"/>
        </w:rPr>
        <w:t>（</w:t>
      </w:r>
      <w:r>
        <w:rPr>
          <w:rFonts w:hint="eastAsia"/>
        </w:rPr>
        <w:t>2</w:t>
      </w:r>
      <w:r>
        <w:rPr>
          <w:rFonts w:hint="eastAsia"/>
        </w:rPr>
        <w:t>）随吸附时间推移，活性炭逐渐趋向饱和，而后开启脱附热空气进出阀门，将活性炭床加热到废气加热到废气沸点温度进行脱附浓缩，脱附浓缩高浓度小风量废气进入热交换器一次升温，再进入加热室二次升温到催化反应温度（</w:t>
      </w:r>
      <w:r>
        <w:rPr>
          <w:rFonts w:hint="eastAsia"/>
        </w:rPr>
        <w:t>250~350</w:t>
      </w:r>
      <w:r>
        <w:rPr>
          <w:rFonts w:hint="eastAsia"/>
        </w:rPr>
        <w:t>℃），在铂钯贵金属催化剂作用下氧化分解为二氧化碳和水，反应同时通过新风阀吸入新风补充反应所需氧气，促使完全氧化反应。经排气筒排放至大气中。</w:t>
      </w:r>
    </w:p>
    <w:p w:rsidR="00EE56C0" w:rsidRDefault="000F36A1">
      <w:pPr>
        <w:ind w:firstLine="480"/>
      </w:pPr>
      <w:r>
        <w:rPr>
          <w:rFonts w:hint="eastAsia"/>
        </w:rPr>
        <w:t>（</w:t>
      </w:r>
      <w:r>
        <w:rPr>
          <w:rFonts w:hint="eastAsia"/>
        </w:rPr>
        <w:t>3</w:t>
      </w:r>
      <w:r>
        <w:rPr>
          <w:rFonts w:hint="eastAsia"/>
        </w:rPr>
        <w:t>）反应后生成的高温气流经热交换器预热脱附浓缩废气，降温到</w:t>
      </w:r>
      <w:r>
        <w:rPr>
          <w:rFonts w:hint="eastAsia"/>
        </w:rPr>
        <w:t>100</w:t>
      </w:r>
      <w:r>
        <w:rPr>
          <w:rFonts w:hint="eastAsia"/>
        </w:rPr>
        <w:t>℃以下进入活性炭床层循环脱附。</w:t>
      </w:r>
    </w:p>
    <w:p w:rsidR="00EE56C0" w:rsidRDefault="000F36A1">
      <w:pPr>
        <w:ind w:firstLine="480"/>
      </w:pPr>
      <w:r>
        <w:rPr>
          <w:rFonts w:hint="eastAsia"/>
        </w:rPr>
        <w:t>（</w:t>
      </w:r>
      <w:r>
        <w:rPr>
          <w:rFonts w:hint="eastAsia"/>
        </w:rPr>
        <w:t>4</w:t>
      </w:r>
      <w:r>
        <w:rPr>
          <w:rFonts w:hint="eastAsia"/>
        </w:rPr>
        <w:t>）吸附段脱附结束后降温，启动吸附箱新风阀与冷却排放阀，降温到</w:t>
      </w:r>
      <w:r>
        <w:rPr>
          <w:rFonts w:hint="eastAsia"/>
        </w:rPr>
        <w:t>40</w:t>
      </w:r>
      <w:r>
        <w:rPr>
          <w:rFonts w:hint="eastAsia"/>
        </w:rPr>
        <w:t>℃以下。</w:t>
      </w:r>
    </w:p>
    <w:p w:rsidR="00EE56C0" w:rsidRDefault="000F36A1">
      <w:pPr>
        <w:ind w:firstLine="482"/>
        <w:rPr>
          <w:b/>
        </w:rPr>
      </w:pPr>
      <w:r>
        <w:rPr>
          <w:rFonts w:hint="eastAsia"/>
          <w:b/>
        </w:rPr>
        <w:t>D</w:t>
      </w:r>
      <w:r>
        <w:rPr>
          <w:rFonts w:hint="eastAsia"/>
          <w:b/>
        </w:rPr>
        <w:t>、沸石吸附</w:t>
      </w:r>
      <w:r>
        <w:rPr>
          <w:rFonts w:hint="eastAsia"/>
          <w:b/>
        </w:rPr>
        <w:t>-</w:t>
      </w:r>
      <w:r>
        <w:rPr>
          <w:rFonts w:hint="eastAsia"/>
          <w:b/>
        </w:rPr>
        <w:t>脱附</w:t>
      </w:r>
      <w:r>
        <w:rPr>
          <w:rFonts w:hint="eastAsia"/>
          <w:b/>
        </w:rPr>
        <w:t>-</w:t>
      </w:r>
      <w:r>
        <w:rPr>
          <w:rFonts w:hint="eastAsia"/>
          <w:b/>
        </w:rPr>
        <w:t>催还燃烧装置废气治理措施</w:t>
      </w:r>
    </w:p>
    <w:p w:rsidR="00EE56C0" w:rsidRDefault="000F36A1">
      <w:pPr>
        <w:ind w:firstLine="480"/>
      </w:pPr>
      <w:r>
        <w:rPr>
          <w:rFonts w:hint="eastAsia"/>
        </w:rPr>
        <w:lastRenderedPageBreak/>
        <w:t>“沸石吸附</w:t>
      </w:r>
      <w:r>
        <w:rPr>
          <w:rFonts w:hint="eastAsia"/>
        </w:rPr>
        <w:t>-</w:t>
      </w:r>
      <w:r>
        <w:rPr>
          <w:rFonts w:hint="eastAsia"/>
        </w:rPr>
        <w:t>脱附</w:t>
      </w:r>
      <w:r>
        <w:rPr>
          <w:rFonts w:hint="eastAsia"/>
        </w:rPr>
        <w:t>-</w:t>
      </w:r>
      <w:r>
        <w:rPr>
          <w:rFonts w:hint="eastAsia"/>
        </w:rPr>
        <w:t>催化燃烧”装置废气走向示意图如下：</w:t>
      </w:r>
    </w:p>
    <w:p w:rsidR="00EE56C0" w:rsidRDefault="00340837">
      <w:pPr>
        <w:ind w:firstLine="480"/>
        <w:jc w:val="left"/>
        <w:rPr>
          <w:szCs w:val="24"/>
        </w:rPr>
      </w:pPr>
      <w:r w:rsidRPr="00340837">
        <w:pict>
          <v:shape id="对象 3919" o:spid="_x0000_s2176" type="#_x0000_t75" style="position:absolute;left:0;text-align:left;margin-left:-6.05pt;margin-top:3.2pt;width:415.25pt;height:250.45pt;z-index:251706880">
            <v:imagedata r:id="rId65" o:title=""/>
          </v:shape>
          <o:OLEObject Type="Embed" ProgID="Visio.Drawing.11" ShapeID="对象 3919" DrawAspect="Content" ObjectID="_1705848371" r:id="rId66"/>
        </w:pict>
      </w:r>
    </w:p>
    <w:p w:rsidR="00EE56C0" w:rsidRDefault="00EE56C0">
      <w:pPr>
        <w:ind w:firstLine="482"/>
        <w:jc w:val="center"/>
        <w:rPr>
          <w:b/>
          <w:szCs w:val="24"/>
        </w:rPr>
      </w:pPr>
    </w:p>
    <w:p w:rsidR="00EE56C0" w:rsidRDefault="00EE56C0">
      <w:pPr>
        <w:ind w:firstLine="482"/>
        <w:jc w:val="center"/>
        <w:rPr>
          <w:b/>
          <w:szCs w:val="24"/>
        </w:rPr>
      </w:pPr>
    </w:p>
    <w:p w:rsidR="00EE56C0" w:rsidRDefault="00EE56C0">
      <w:pPr>
        <w:ind w:firstLine="482"/>
        <w:jc w:val="center"/>
        <w:rPr>
          <w:b/>
          <w:szCs w:val="24"/>
        </w:rPr>
      </w:pPr>
    </w:p>
    <w:p w:rsidR="00EE56C0" w:rsidRDefault="00EE56C0">
      <w:pPr>
        <w:ind w:firstLine="482"/>
        <w:jc w:val="center"/>
        <w:rPr>
          <w:b/>
          <w:szCs w:val="24"/>
        </w:rPr>
      </w:pPr>
    </w:p>
    <w:p w:rsidR="00EE56C0" w:rsidRDefault="00EE56C0">
      <w:pPr>
        <w:ind w:firstLine="482"/>
        <w:jc w:val="center"/>
        <w:rPr>
          <w:b/>
          <w:szCs w:val="24"/>
        </w:rPr>
      </w:pPr>
    </w:p>
    <w:p w:rsidR="00EE56C0" w:rsidRDefault="00EE56C0">
      <w:pPr>
        <w:ind w:firstLine="482"/>
        <w:jc w:val="center"/>
        <w:rPr>
          <w:b/>
          <w:szCs w:val="24"/>
        </w:rPr>
      </w:pPr>
    </w:p>
    <w:p w:rsidR="00EE56C0" w:rsidRDefault="00EE56C0">
      <w:pPr>
        <w:ind w:firstLine="482"/>
        <w:jc w:val="center"/>
        <w:rPr>
          <w:b/>
          <w:szCs w:val="24"/>
        </w:rPr>
      </w:pPr>
    </w:p>
    <w:p w:rsidR="00EE56C0" w:rsidRDefault="00EE56C0">
      <w:pPr>
        <w:ind w:firstLine="482"/>
        <w:jc w:val="center"/>
        <w:rPr>
          <w:b/>
          <w:szCs w:val="24"/>
        </w:rPr>
      </w:pPr>
    </w:p>
    <w:p w:rsidR="00EE56C0" w:rsidRDefault="00EE56C0">
      <w:pPr>
        <w:ind w:firstLine="482"/>
        <w:jc w:val="center"/>
        <w:rPr>
          <w:b/>
          <w:szCs w:val="24"/>
        </w:rPr>
      </w:pPr>
    </w:p>
    <w:p w:rsidR="00EE56C0" w:rsidRDefault="000F36A1">
      <w:pPr>
        <w:pStyle w:val="aff8"/>
      </w:pPr>
      <w:r>
        <w:t>图</w:t>
      </w:r>
      <w:r>
        <w:t>3-</w:t>
      </w:r>
      <w:r>
        <w:rPr>
          <w:rFonts w:hint="eastAsia"/>
        </w:rPr>
        <w:t>18</w:t>
      </w:r>
      <w:r>
        <w:rPr>
          <w:rFonts w:hint="eastAsia"/>
        </w:rPr>
        <w:t>沸石吸附</w:t>
      </w:r>
      <w:r>
        <w:rPr>
          <w:rFonts w:hint="eastAsia"/>
        </w:rPr>
        <w:t>-</w:t>
      </w:r>
      <w:r>
        <w:rPr>
          <w:rFonts w:hint="eastAsia"/>
        </w:rPr>
        <w:t>脱附</w:t>
      </w:r>
      <w:r>
        <w:rPr>
          <w:rFonts w:hint="eastAsia"/>
        </w:rPr>
        <w:t>-</w:t>
      </w:r>
      <w:r>
        <w:rPr>
          <w:rFonts w:hint="eastAsia"/>
        </w:rPr>
        <w:t>催化燃烧</w:t>
      </w:r>
      <w:r>
        <w:t>装置废气走向图</w:t>
      </w:r>
    </w:p>
    <w:p w:rsidR="00EE56C0" w:rsidRDefault="000F36A1">
      <w:pPr>
        <w:ind w:firstLine="480"/>
      </w:pPr>
      <w:r>
        <w:rPr>
          <w:rFonts w:hint="eastAsia"/>
        </w:rPr>
        <w:t>沸石固定床吸附</w:t>
      </w:r>
      <w:r>
        <w:rPr>
          <w:rFonts w:hint="eastAsia"/>
        </w:rPr>
        <w:t>-</w:t>
      </w:r>
      <w:r>
        <w:rPr>
          <w:rFonts w:hint="eastAsia"/>
        </w:rPr>
        <w:t>脱附</w:t>
      </w:r>
      <w:r>
        <w:rPr>
          <w:rFonts w:hint="eastAsia"/>
        </w:rPr>
        <w:t>-</w:t>
      </w:r>
      <w:r>
        <w:rPr>
          <w:rFonts w:hint="eastAsia"/>
        </w:rPr>
        <w:t>催化燃烧基本原理：</w:t>
      </w:r>
    </w:p>
    <w:p w:rsidR="00EE56C0" w:rsidRDefault="000F36A1">
      <w:pPr>
        <w:ind w:firstLine="480"/>
        <w:rPr>
          <w:rFonts w:ascii="宋体" w:hAnsi="宋体" w:cs="宋体"/>
          <w:szCs w:val="32"/>
        </w:rPr>
      </w:pPr>
      <w:r>
        <w:rPr>
          <w:rFonts w:ascii="宋体" w:hAnsi="宋体" w:cs="宋体" w:hint="eastAsia"/>
          <w:szCs w:val="32"/>
        </w:rPr>
        <w:t>待处理的有机混合废气经引风机作用,先进入分子筛吸附装置进行吸附净化处理,有机物质被沸石分子筛特有的作用力截留在其内部,洁净气体通过烟囱排放到大气中，经过一段时间吸附后，达到饱和状态，按照PLC自动控制程序将饱和的气体脱附后待用的脱附床进行交替切换。催化燃烧自动升温将热空气通过风机送入沸石床使分子筛升温将有机物“蒸”出，脱附出来的废气属于高浓度、小风量、高温度的有机废气。经管道引入催化燃烧设备,和催化反应后的高温气体进行能量间接交换，此时废气源的温度得到第一次提升；具有一定温度的气体进入预热器，进行第二次的温度提升：之后进入第一级催化反应，此时有机废气在低温下部份分解，并释放出能量,对废气源进行直接加热，将气体温度提高到催化反应的最佳温度；经温度检测系统检测，温度符合催化反应的温度要求，进入催化燃烧室，有机气体提到彻底分解，同时释放出大量的热量；净化后的气体大部分由引风机排出。</w:t>
      </w:r>
    </w:p>
    <w:p w:rsidR="00EE56C0" w:rsidRDefault="000F36A1">
      <w:pPr>
        <w:pStyle w:val="4"/>
        <w:ind w:left="120" w:firstLine="241"/>
      </w:pPr>
      <w:r>
        <w:rPr>
          <w:rFonts w:hint="eastAsia"/>
        </w:rPr>
        <w:lastRenderedPageBreak/>
        <w:t>3.7.1.2</w:t>
      </w:r>
      <w:r>
        <w:rPr>
          <w:rFonts w:hint="eastAsia"/>
        </w:rPr>
        <w:t>无组织废气</w:t>
      </w:r>
    </w:p>
    <w:p w:rsidR="00EE56C0" w:rsidRDefault="000F36A1">
      <w:pPr>
        <w:ind w:firstLine="480"/>
      </w:pPr>
      <w:r>
        <w:rPr>
          <w:rFonts w:hint="eastAsia"/>
        </w:rPr>
        <w:t>无组织废气主要为漆包线及丝包线的浸漆、烘干工序逸散的无组织废气。</w:t>
      </w:r>
    </w:p>
    <w:p w:rsidR="00EE56C0" w:rsidRDefault="000F36A1">
      <w:pPr>
        <w:ind w:firstLine="480"/>
      </w:pPr>
      <w:r>
        <w:rPr>
          <w:rFonts w:hint="eastAsia"/>
        </w:rPr>
        <w:t>漆包线生产过程中</w:t>
      </w:r>
      <w:r>
        <w:t>，</w:t>
      </w:r>
      <w:r>
        <w:rPr>
          <w:rFonts w:hint="eastAsia"/>
        </w:rPr>
        <w:t>卧机约</w:t>
      </w:r>
      <w:r>
        <w:rPr>
          <w:rFonts w:hint="eastAsia"/>
        </w:rPr>
        <w:t>0.3%</w:t>
      </w:r>
      <w:r>
        <w:rPr>
          <w:rFonts w:hint="eastAsia"/>
        </w:rPr>
        <w:t>的废气和立机约</w:t>
      </w:r>
      <w:r>
        <w:rPr>
          <w:rFonts w:hint="eastAsia"/>
        </w:rPr>
        <w:t>0.1%</w:t>
      </w:r>
      <w:r>
        <w:rPr>
          <w:rFonts w:hint="eastAsia"/>
        </w:rPr>
        <w:t>的废气在涂漆、烘炉进出口</w:t>
      </w:r>
      <w:r>
        <w:t>逸出</w:t>
      </w:r>
      <w:r>
        <w:rPr>
          <w:rFonts w:hint="eastAsia"/>
        </w:rPr>
        <w:t>，</w:t>
      </w:r>
      <w:r>
        <w:t>产生</w:t>
      </w:r>
      <w:r>
        <w:rPr>
          <w:rFonts w:hint="eastAsia"/>
        </w:rPr>
        <w:t>无组织</w:t>
      </w:r>
      <w:r>
        <w:t>废气。</w:t>
      </w:r>
      <w:r>
        <w:rPr>
          <w:rFonts w:hint="eastAsia"/>
        </w:rPr>
        <w:t>丝包线生产过程中，约</w:t>
      </w:r>
      <w:r>
        <w:rPr>
          <w:rFonts w:hint="eastAsia"/>
        </w:rPr>
        <w:t>0.5%</w:t>
      </w:r>
      <w:r>
        <w:rPr>
          <w:rFonts w:hint="eastAsia"/>
        </w:rPr>
        <w:t>的废气在涂漆、烘炉进出口</w:t>
      </w:r>
      <w:r>
        <w:t>逸出</w:t>
      </w:r>
      <w:r>
        <w:rPr>
          <w:rFonts w:hint="eastAsia"/>
        </w:rPr>
        <w:t>，</w:t>
      </w:r>
      <w:r>
        <w:t>产生</w:t>
      </w:r>
      <w:r>
        <w:rPr>
          <w:rFonts w:hint="eastAsia"/>
        </w:rPr>
        <w:t>无组织</w:t>
      </w:r>
      <w:r>
        <w:t>废气。</w:t>
      </w:r>
    </w:p>
    <w:p w:rsidR="00EE56C0" w:rsidRDefault="000F36A1">
      <w:pPr>
        <w:ind w:firstLine="480"/>
      </w:pPr>
      <w:r>
        <w:rPr>
          <w:rFonts w:hint="eastAsia"/>
        </w:rPr>
        <w:t>一期、二期、全厂无组织废气排放情况分别见下表。</w:t>
      </w:r>
    </w:p>
    <w:p w:rsidR="00EE56C0" w:rsidRDefault="000F36A1">
      <w:pPr>
        <w:pStyle w:val="afd"/>
        <w:spacing w:before="120" w:after="120"/>
        <w:ind w:firstLine="482"/>
        <w:rPr>
          <w:u w:val="single"/>
        </w:rPr>
      </w:pPr>
      <w:r>
        <w:rPr>
          <w:rFonts w:hint="eastAsia"/>
          <w:u w:val="single"/>
        </w:rPr>
        <w:t>表</w:t>
      </w:r>
      <w:r>
        <w:rPr>
          <w:rFonts w:hint="eastAsia"/>
          <w:u w:val="single"/>
        </w:rPr>
        <w:t xml:space="preserve">3-38              </w:t>
      </w:r>
      <w:r>
        <w:rPr>
          <w:rFonts w:hint="eastAsia"/>
          <w:u w:val="single"/>
        </w:rPr>
        <w:t>一期无组织废气排放情况</w:t>
      </w:r>
      <w:r>
        <w:rPr>
          <w:rFonts w:hint="eastAsia"/>
          <w:u w:val="single"/>
        </w:rPr>
        <w:t xml:space="preserve">        </w:t>
      </w:r>
      <w:r>
        <w:rPr>
          <w:rFonts w:hint="eastAsia"/>
          <w:u w:val="single"/>
        </w:rPr>
        <w:t>单位：</w:t>
      </w:r>
      <w:r>
        <w:rPr>
          <w:rFonts w:hint="eastAsia"/>
          <w:u w:val="single"/>
        </w:rPr>
        <w:t>t/a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6"/>
        <w:gridCol w:w="1416"/>
        <w:gridCol w:w="1985"/>
        <w:gridCol w:w="1559"/>
        <w:gridCol w:w="2042"/>
      </w:tblGrid>
      <w:tr w:rsidR="00EE56C0">
        <w:trPr>
          <w:trHeight w:val="397"/>
        </w:trPr>
        <w:tc>
          <w:tcPr>
            <w:tcW w:w="895" w:type="pct"/>
            <w:vMerge w:val="restart"/>
            <w:vAlign w:val="center"/>
          </w:tcPr>
          <w:p w:rsidR="00EE56C0" w:rsidRDefault="000F36A1">
            <w:pPr>
              <w:pStyle w:val="aff1"/>
              <w:rPr>
                <w:color w:val="auto"/>
              </w:rPr>
            </w:pPr>
            <w:r>
              <w:rPr>
                <w:color w:val="auto"/>
                <w:szCs w:val="21"/>
              </w:rPr>
              <w:t>污染物</w:t>
            </w:r>
          </w:p>
        </w:tc>
        <w:tc>
          <w:tcPr>
            <w:tcW w:w="4105" w:type="pct"/>
            <w:gridSpan w:val="4"/>
            <w:vAlign w:val="center"/>
          </w:tcPr>
          <w:p w:rsidR="00EE56C0" w:rsidRDefault="000F36A1">
            <w:pPr>
              <w:pStyle w:val="aff1"/>
              <w:rPr>
                <w:color w:val="auto"/>
              </w:rPr>
            </w:pPr>
            <w:r>
              <w:rPr>
                <w:rFonts w:hint="eastAsia"/>
                <w:color w:val="auto"/>
              </w:rPr>
              <w:t>一期</w:t>
            </w:r>
          </w:p>
        </w:tc>
      </w:tr>
      <w:tr w:rsidR="00EE56C0">
        <w:trPr>
          <w:trHeight w:val="397"/>
        </w:trPr>
        <w:tc>
          <w:tcPr>
            <w:tcW w:w="895" w:type="pct"/>
            <w:vMerge/>
            <w:vAlign w:val="center"/>
          </w:tcPr>
          <w:p w:rsidR="00EE56C0" w:rsidRDefault="00EE56C0">
            <w:pPr>
              <w:pStyle w:val="aff1"/>
              <w:rPr>
                <w:color w:val="auto"/>
                <w:szCs w:val="21"/>
              </w:rPr>
            </w:pPr>
          </w:p>
        </w:tc>
        <w:tc>
          <w:tcPr>
            <w:tcW w:w="830" w:type="pct"/>
            <w:vMerge w:val="restart"/>
            <w:vAlign w:val="center"/>
          </w:tcPr>
          <w:p w:rsidR="00EE56C0" w:rsidRDefault="000F36A1">
            <w:pPr>
              <w:pStyle w:val="aff1"/>
              <w:rPr>
                <w:color w:val="auto"/>
              </w:rPr>
            </w:pPr>
            <w:r>
              <w:rPr>
                <w:rFonts w:hint="eastAsia"/>
                <w:color w:val="auto"/>
              </w:rPr>
              <w:t>漆包线</w:t>
            </w:r>
          </w:p>
        </w:tc>
        <w:tc>
          <w:tcPr>
            <w:tcW w:w="1164" w:type="pct"/>
            <w:vMerge w:val="restart"/>
            <w:vAlign w:val="center"/>
          </w:tcPr>
          <w:p w:rsidR="00EE56C0" w:rsidRDefault="000F36A1">
            <w:pPr>
              <w:pStyle w:val="aff1"/>
              <w:rPr>
                <w:color w:val="auto"/>
              </w:rPr>
            </w:pPr>
            <w:r>
              <w:rPr>
                <w:rFonts w:hint="eastAsia"/>
                <w:color w:val="auto"/>
              </w:rPr>
              <w:t>丝包线</w:t>
            </w:r>
          </w:p>
        </w:tc>
        <w:tc>
          <w:tcPr>
            <w:tcW w:w="2111" w:type="pct"/>
            <w:gridSpan w:val="2"/>
            <w:vAlign w:val="center"/>
          </w:tcPr>
          <w:p w:rsidR="00EE56C0" w:rsidRDefault="000F36A1">
            <w:pPr>
              <w:pStyle w:val="aff1"/>
              <w:rPr>
                <w:color w:val="auto"/>
              </w:rPr>
            </w:pPr>
            <w:r>
              <w:rPr>
                <w:rFonts w:hint="eastAsia"/>
                <w:color w:val="auto"/>
              </w:rPr>
              <w:t>总计</w:t>
            </w:r>
          </w:p>
        </w:tc>
      </w:tr>
      <w:tr w:rsidR="00EE56C0">
        <w:trPr>
          <w:trHeight w:val="397"/>
        </w:trPr>
        <w:tc>
          <w:tcPr>
            <w:tcW w:w="895" w:type="pct"/>
            <w:vMerge/>
            <w:vAlign w:val="center"/>
          </w:tcPr>
          <w:p w:rsidR="00EE56C0" w:rsidRDefault="00EE56C0">
            <w:pPr>
              <w:pStyle w:val="aff1"/>
              <w:rPr>
                <w:color w:val="auto"/>
                <w:szCs w:val="21"/>
              </w:rPr>
            </w:pPr>
          </w:p>
        </w:tc>
        <w:tc>
          <w:tcPr>
            <w:tcW w:w="830" w:type="pct"/>
            <w:vMerge/>
            <w:vAlign w:val="center"/>
          </w:tcPr>
          <w:p w:rsidR="00EE56C0" w:rsidRDefault="00EE56C0">
            <w:pPr>
              <w:pStyle w:val="aff1"/>
              <w:rPr>
                <w:color w:val="auto"/>
              </w:rPr>
            </w:pPr>
          </w:p>
        </w:tc>
        <w:tc>
          <w:tcPr>
            <w:tcW w:w="1164" w:type="pct"/>
            <w:vMerge/>
            <w:vAlign w:val="center"/>
          </w:tcPr>
          <w:p w:rsidR="00EE56C0" w:rsidRDefault="00EE56C0">
            <w:pPr>
              <w:pStyle w:val="aff1"/>
              <w:rPr>
                <w:color w:val="auto"/>
              </w:rPr>
            </w:pPr>
          </w:p>
        </w:tc>
        <w:tc>
          <w:tcPr>
            <w:tcW w:w="914" w:type="pct"/>
            <w:vAlign w:val="center"/>
          </w:tcPr>
          <w:p w:rsidR="00EE56C0" w:rsidRDefault="000F36A1">
            <w:pPr>
              <w:pStyle w:val="aff1"/>
              <w:rPr>
                <w:color w:val="auto"/>
              </w:rPr>
            </w:pPr>
            <w:r>
              <w:rPr>
                <w:rFonts w:hint="eastAsia"/>
                <w:color w:val="auto"/>
              </w:rPr>
              <w:t>排放量</w:t>
            </w:r>
          </w:p>
        </w:tc>
        <w:tc>
          <w:tcPr>
            <w:tcW w:w="1197" w:type="pct"/>
            <w:vAlign w:val="center"/>
          </w:tcPr>
          <w:p w:rsidR="00EE56C0" w:rsidRDefault="000F36A1">
            <w:pPr>
              <w:pStyle w:val="aff1"/>
              <w:rPr>
                <w:color w:val="auto"/>
              </w:rPr>
            </w:pPr>
            <w:r>
              <w:rPr>
                <w:rFonts w:hint="eastAsia"/>
                <w:color w:val="auto"/>
              </w:rPr>
              <w:t>排放速率（</w:t>
            </w:r>
            <w:r>
              <w:rPr>
                <w:rFonts w:hint="eastAsia"/>
                <w:color w:val="auto"/>
              </w:rPr>
              <w:t>kg/h</w:t>
            </w:r>
            <w:r>
              <w:rPr>
                <w:rFonts w:hint="eastAsia"/>
                <w:color w:val="auto"/>
              </w:rPr>
              <w:t>）</w:t>
            </w:r>
          </w:p>
        </w:tc>
      </w:tr>
      <w:tr w:rsidR="00EE56C0">
        <w:trPr>
          <w:trHeight w:val="397"/>
        </w:trPr>
        <w:tc>
          <w:tcPr>
            <w:tcW w:w="895" w:type="pct"/>
            <w:vAlign w:val="center"/>
          </w:tcPr>
          <w:p w:rsidR="00EE56C0" w:rsidRDefault="000F36A1">
            <w:pPr>
              <w:pStyle w:val="afa"/>
            </w:pPr>
            <w:r>
              <w:rPr>
                <w:rFonts w:hint="eastAsia"/>
              </w:rPr>
              <w:t>酚</w:t>
            </w:r>
          </w:p>
        </w:tc>
        <w:tc>
          <w:tcPr>
            <w:tcW w:w="830" w:type="pct"/>
            <w:vAlign w:val="center"/>
          </w:tcPr>
          <w:p w:rsidR="00EE56C0" w:rsidRDefault="000F36A1">
            <w:pPr>
              <w:pStyle w:val="afa"/>
              <w:rPr>
                <w:rFonts w:eastAsia="宋体"/>
              </w:rPr>
            </w:pPr>
            <w:r>
              <w:t xml:space="preserve">0.2216 </w:t>
            </w:r>
          </w:p>
        </w:tc>
        <w:tc>
          <w:tcPr>
            <w:tcW w:w="1164" w:type="pct"/>
            <w:vAlign w:val="center"/>
          </w:tcPr>
          <w:p w:rsidR="00EE56C0" w:rsidRDefault="000F36A1">
            <w:pPr>
              <w:pStyle w:val="afa"/>
              <w:rPr>
                <w:rFonts w:ascii="宋体" w:eastAsia="宋体" w:hAnsi="宋体" w:cs="宋体"/>
              </w:rPr>
            </w:pPr>
            <w:r>
              <w:rPr>
                <w:rFonts w:hint="eastAsia"/>
              </w:rPr>
              <w:t>0</w:t>
            </w:r>
          </w:p>
        </w:tc>
        <w:tc>
          <w:tcPr>
            <w:tcW w:w="914" w:type="pct"/>
            <w:vAlign w:val="center"/>
          </w:tcPr>
          <w:p w:rsidR="00EE56C0" w:rsidRDefault="000F36A1">
            <w:pPr>
              <w:pStyle w:val="afa"/>
              <w:rPr>
                <w:rFonts w:eastAsia="宋体"/>
              </w:rPr>
            </w:pPr>
            <w:r>
              <w:t xml:space="preserve">0.2216 </w:t>
            </w:r>
          </w:p>
        </w:tc>
        <w:tc>
          <w:tcPr>
            <w:tcW w:w="1197" w:type="pct"/>
            <w:vAlign w:val="center"/>
          </w:tcPr>
          <w:p w:rsidR="00EE56C0" w:rsidRDefault="000F36A1">
            <w:pPr>
              <w:pStyle w:val="afa"/>
              <w:rPr>
                <w:rFonts w:ascii="宋体" w:eastAsia="宋体" w:hAnsi="宋体" w:cs="宋体"/>
              </w:rPr>
            </w:pPr>
            <w:r>
              <w:rPr>
                <w:rFonts w:hint="eastAsia"/>
              </w:rPr>
              <w:t xml:space="preserve">0.0308 </w:t>
            </w:r>
          </w:p>
        </w:tc>
      </w:tr>
      <w:tr w:rsidR="00EE56C0">
        <w:trPr>
          <w:trHeight w:val="397"/>
        </w:trPr>
        <w:tc>
          <w:tcPr>
            <w:tcW w:w="895" w:type="pct"/>
            <w:vAlign w:val="center"/>
          </w:tcPr>
          <w:p w:rsidR="00EE56C0" w:rsidRDefault="000F36A1">
            <w:pPr>
              <w:pStyle w:val="afa"/>
            </w:pPr>
            <w:r>
              <w:t>非甲烷总烃</w:t>
            </w:r>
          </w:p>
        </w:tc>
        <w:tc>
          <w:tcPr>
            <w:tcW w:w="830" w:type="pct"/>
            <w:vAlign w:val="center"/>
          </w:tcPr>
          <w:p w:rsidR="00EE56C0" w:rsidRDefault="000F36A1">
            <w:pPr>
              <w:pStyle w:val="afa"/>
              <w:rPr>
                <w:rFonts w:eastAsia="宋体"/>
              </w:rPr>
            </w:pPr>
            <w:r>
              <w:t xml:space="preserve">0.1362 </w:t>
            </w:r>
          </w:p>
        </w:tc>
        <w:tc>
          <w:tcPr>
            <w:tcW w:w="1164" w:type="pct"/>
            <w:vAlign w:val="center"/>
          </w:tcPr>
          <w:p w:rsidR="00EE56C0" w:rsidRDefault="000F36A1">
            <w:pPr>
              <w:pStyle w:val="afa"/>
              <w:rPr>
                <w:rFonts w:ascii="宋体" w:eastAsia="宋体" w:hAnsi="宋体" w:cs="宋体"/>
              </w:rPr>
            </w:pPr>
            <w:r>
              <w:rPr>
                <w:rFonts w:ascii="宋体" w:eastAsia="宋体" w:hAnsi="宋体" w:cs="宋体" w:hint="eastAsia"/>
              </w:rPr>
              <w:t>0.0185</w:t>
            </w:r>
          </w:p>
        </w:tc>
        <w:tc>
          <w:tcPr>
            <w:tcW w:w="914" w:type="pct"/>
            <w:vAlign w:val="center"/>
          </w:tcPr>
          <w:p w:rsidR="00EE56C0" w:rsidRDefault="000F36A1">
            <w:pPr>
              <w:pStyle w:val="afa"/>
              <w:rPr>
                <w:rFonts w:eastAsia="宋体"/>
              </w:rPr>
            </w:pPr>
            <w:r>
              <w:t xml:space="preserve">0.1547 </w:t>
            </w:r>
          </w:p>
        </w:tc>
        <w:tc>
          <w:tcPr>
            <w:tcW w:w="1197" w:type="pct"/>
            <w:vAlign w:val="center"/>
          </w:tcPr>
          <w:p w:rsidR="00EE56C0" w:rsidRDefault="000F36A1">
            <w:pPr>
              <w:pStyle w:val="afa"/>
              <w:rPr>
                <w:rFonts w:ascii="宋体" w:eastAsia="宋体" w:hAnsi="宋体" w:cs="宋体"/>
              </w:rPr>
            </w:pPr>
            <w:r>
              <w:rPr>
                <w:rFonts w:hint="eastAsia"/>
              </w:rPr>
              <w:t xml:space="preserve">0.0215 </w:t>
            </w:r>
          </w:p>
        </w:tc>
      </w:tr>
      <w:tr w:rsidR="00EE56C0">
        <w:trPr>
          <w:trHeight w:val="397"/>
        </w:trPr>
        <w:tc>
          <w:tcPr>
            <w:tcW w:w="895" w:type="pct"/>
            <w:vAlign w:val="center"/>
          </w:tcPr>
          <w:p w:rsidR="00EE56C0" w:rsidRDefault="000F36A1">
            <w:pPr>
              <w:pStyle w:val="afa"/>
            </w:pPr>
            <w:r>
              <w:rPr>
                <w:rFonts w:hint="eastAsia"/>
              </w:rPr>
              <w:t>二甲苯</w:t>
            </w:r>
          </w:p>
        </w:tc>
        <w:tc>
          <w:tcPr>
            <w:tcW w:w="830" w:type="pct"/>
            <w:vAlign w:val="center"/>
          </w:tcPr>
          <w:p w:rsidR="00EE56C0" w:rsidRDefault="000F36A1">
            <w:pPr>
              <w:pStyle w:val="afa"/>
              <w:rPr>
                <w:rFonts w:eastAsia="宋体"/>
              </w:rPr>
            </w:pPr>
            <w:r>
              <w:t xml:space="preserve">0.0240 </w:t>
            </w:r>
          </w:p>
        </w:tc>
        <w:tc>
          <w:tcPr>
            <w:tcW w:w="1164" w:type="pct"/>
            <w:vAlign w:val="center"/>
          </w:tcPr>
          <w:p w:rsidR="00EE56C0" w:rsidRDefault="000F36A1">
            <w:pPr>
              <w:pStyle w:val="afa"/>
              <w:rPr>
                <w:rFonts w:ascii="宋体" w:eastAsia="宋体" w:hAnsi="宋体" w:cs="宋体"/>
              </w:rPr>
            </w:pPr>
            <w:r>
              <w:rPr>
                <w:rFonts w:ascii="宋体" w:eastAsia="宋体" w:hAnsi="宋体" w:cs="宋体" w:hint="eastAsia"/>
              </w:rPr>
              <w:t>0.0556</w:t>
            </w:r>
          </w:p>
        </w:tc>
        <w:tc>
          <w:tcPr>
            <w:tcW w:w="914" w:type="pct"/>
            <w:vAlign w:val="center"/>
          </w:tcPr>
          <w:p w:rsidR="00EE56C0" w:rsidRDefault="000F36A1">
            <w:pPr>
              <w:pStyle w:val="afa"/>
              <w:rPr>
                <w:rFonts w:eastAsia="宋体"/>
              </w:rPr>
            </w:pPr>
            <w:r>
              <w:t xml:space="preserve">0.0796 </w:t>
            </w:r>
          </w:p>
        </w:tc>
        <w:tc>
          <w:tcPr>
            <w:tcW w:w="1197" w:type="pct"/>
            <w:vAlign w:val="center"/>
          </w:tcPr>
          <w:p w:rsidR="00EE56C0" w:rsidRDefault="000F36A1">
            <w:pPr>
              <w:pStyle w:val="afa"/>
              <w:rPr>
                <w:rFonts w:ascii="宋体" w:eastAsia="宋体" w:hAnsi="宋体" w:cs="宋体"/>
              </w:rPr>
            </w:pPr>
            <w:r>
              <w:rPr>
                <w:rFonts w:hint="eastAsia"/>
              </w:rPr>
              <w:t xml:space="preserve">0.0111 </w:t>
            </w:r>
          </w:p>
        </w:tc>
      </w:tr>
      <w:tr w:rsidR="00EE56C0">
        <w:trPr>
          <w:trHeight w:val="397"/>
        </w:trPr>
        <w:tc>
          <w:tcPr>
            <w:tcW w:w="895" w:type="pct"/>
            <w:vAlign w:val="center"/>
          </w:tcPr>
          <w:p w:rsidR="00EE56C0" w:rsidRDefault="000F36A1">
            <w:pPr>
              <w:pStyle w:val="afa"/>
            </w:pPr>
            <w:r>
              <w:rPr>
                <w:rFonts w:hint="eastAsia"/>
              </w:rPr>
              <w:t>甲苯</w:t>
            </w:r>
          </w:p>
        </w:tc>
        <w:tc>
          <w:tcPr>
            <w:tcW w:w="830" w:type="pct"/>
            <w:vAlign w:val="center"/>
          </w:tcPr>
          <w:p w:rsidR="00EE56C0" w:rsidRDefault="000F36A1">
            <w:pPr>
              <w:pStyle w:val="afa"/>
              <w:rPr>
                <w:rFonts w:ascii="宋体" w:eastAsia="宋体" w:hAnsi="宋体" w:cs="宋体"/>
              </w:rPr>
            </w:pPr>
            <w:r>
              <w:rPr>
                <w:rFonts w:hint="eastAsia"/>
              </w:rPr>
              <w:t>0</w:t>
            </w:r>
          </w:p>
        </w:tc>
        <w:tc>
          <w:tcPr>
            <w:tcW w:w="1164" w:type="pct"/>
            <w:vAlign w:val="center"/>
          </w:tcPr>
          <w:p w:rsidR="00EE56C0" w:rsidRDefault="000F36A1">
            <w:pPr>
              <w:pStyle w:val="afa"/>
              <w:rPr>
                <w:rFonts w:ascii="宋体" w:eastAsia="宋体" w:hAnsi="宋体" w:cs="宋体"/>
              </w:rPr>
            </w:pPr>
            <w:r>
              <w:rPr>
                <w:rFonts w:ascii="宋体" w:eastAsia="宋体" w:hAnsi="宋体" w:cs="宋体" w:hint="eastAsia"/>
              </w:rPr>
              <w:t>0.0556</w:t>
            </w:r>
          </w:p>
        </w:tc>
        <w:tc>
          <w:tcPr>
            <w:tcW w:w="914" w:type="pct"/>
            <w:vAlign w:val="center"/>
          </w:tcPr>
          <w:p w:rsidR="00EE56C0" w:rsidRDefault="000F36A1">
            <w:pPr>
              <w:pStyle w:val="afa"/>
              <w:rPr>
                <w:rFonts w:eastAsia="宋体"/>
              </w:rPr>
            </w:pPr>
            <w:r>
              <w:t xml:space="preserve">0.0556 </w:t>
            </w:r>
          </w:p>
        </w:tc>
        <w:tc>
          <w:tcPr>
            <w:tcW w:w="1197" w:type="pct"/>
            <w:vAlign w:val="center"/>
          </w:tcPr>
          <w:p w:rsidR="00EE56C0" w:rsidRDefault="000F36A1">
            <w:pPr>
              <w:pStyle w:val="afa"/>
              <w:rPr>
                <w:rFonts w:ascii="宋体" w:eastAsia="宋体" w:hAnsi="宋体" w:cs="宋体"/>
              </w:rPr>
            </w:pPr>
            <w:r>
              <w:rPr>
                <w:rFonts w:hint="eastAsia"/>
              </w:rPr>
              <w:t xml:space="preserve">0.0077 </w:t>
            </w:r>
          </w:p>
        </w:tc>
      </w:tr>
      <w:tr w:rsidR="00EE56C0">
        <w:trPr>
          <w:trHeight w:val="397"/>
        </w:trPr>
        <w:tc>
          <w:tcPr>
            <w:tcW w:w="895" w:type="pct"/>
            <w:vAlign w:val="center"/>
          </w:tcPr>
          <w:p w:rsidR="00EE56C0" w:rsidRDefault="000F36A1">
            <w:pPr>
              <w:pStyle w:val="afa"/>
              <w:rPr>
                <w:highlight w:val="yellow"/>
              </w:rPr>
            </w:pPr>
            <w:r>
              <w:rPr>
                <w:rFonts w:hint="eastAsia"/>
              </w:rPr>
              <w:t>苯</w:t>
            </w:r>
          </w:p>
        </w:tc>
        <w:tc>
          <w:tcPr>
            <w:tcW w:w="830" w:type="pct"/>
            <w:vAlign w:val="center"/>
          </w:tcPr>
          <w:p w:rsidR="00EE56C0" w:rsidRDefault="000F36A1">
            <w:pPr>
              <w:pStyle w:val="afa"/>
              <w:rPr>
                <w:rFonts w:ascii="宋体" w:eastAsia="宋体" w:hAnsi="宋体" w:cs="宋体"/>
              </w:rPr>
            </w:pPr>
            <w:r>
              <w:rPr>
                <w:rFonts w:hint="eastAsia"/>
              </w:rPr>
              <w:t>0</w:t>
            </w:r>
          </w:p>
        </w:tc>
        <w:tc>
          <w:tcPr>
            <w:tcW w:w="1164" w:type="pct"/>
            <w:vAlign w:val="center"/>
          </w:tcPr>
          <w:p w:rsidR="00EE56C0" w:rsidRDefault="000F36A1">
            <w:pPr>
              <w:pStyle w:val="afa"/>
              <w:rPr>
                <w:rFonts w:ascii="宋体" w:eastAsia="宋体" w:hAnsi="宋体" w:cs="宋体"/>
              </w:rPr>
            </w:pPr>
            <w:r>
              <w:rPr>
                <w:rFonts w:ascii="宋体" w:eastAsia="宋体" w:hAnsi="宋体" w:cs="宋体" w:hint="eastAsia"/>
              </w:rPr>
              <w:t>0.0185</w:t>
            </w:r>
          </w:p>
        </w:tc>
        <w:tc>
          <w:tcPr>
            <w:tcW w:w="914" w:type="pct"/>
            <w:vAlign w:val="center"/>
          </w:tcPr>
          <w:p w:rsidR="00EE56C0" w:rsidRDefault="000F36A1">
            <w:pPr>
              <w:pStyle w:val="afa"/>
              <w:rPr>
                <w:rFonts w:eastAsia="宋体"/>
              </w:rPr>
            </w:pPr>
            <w:r>
              <w:t xml:space="preserve">0.0185 </w:t>
            </w:r>
          </w:p>
        </w:tc>
        <w:tc>
          <w:tcPr>
            <w:tcW w:w="1197" w:type="pct"/>
            <w:vAlign w:val="center"/>
          </w:tcPr>
          <w:p w:rsidR="00EE56C0" w:rsidRDefault="000F36A1">
            <w:pPr>
              <w:pStyle w:val="afa"/>
              <w:rPr>
                <w:rFonts w:ascii="宋体" w:eastAsia="宋体" w:hAnsi="宋体" w:cs="宋体"/>
              </w:rPr>
            </w:pPr>
            <w:r>
              <w:rPr>
                <w:rFonts w:hint="eastAsia"/>
              </w:rPr>
              <w:t xml:space="preserve">0.0026 </w:t>
            </w:r>
          </w:p>
        </w:tc>
      </w:tr>
      <w:tr w:rsidR="00EE56C0">
        <w:trPr>
          <w:trHeight w:val="397"/>
        </w:trPr>
        <w:tc>
          <w:tcPr>
            <w:tcW w:w="895" w:type="pct"/>
            <w:vAlign w:val="center"/>
          </w:tcPr>
          <w:p w:rsidR="00EE56C0" w:rsidRDefault="000F36A1">
            <w:pPr>
              <w:pStyle w:val="afa"/>
            </w:pPr>
            <w:r>
              <w:rPr>
                <w:rFonts w:hint="eastAsia"/>
              </w:rPr>
              <w:t>VOCs</w:t>
            </w:r>
            <w:r>
              <w:rPr>
                <w:rFonts w:hint="eastAsia"/>
              </w:rPr>
              <w:t>总计</w:t>
            </w:r>
          </w:p>
        </w:tc>
        <w:tc>
          <w:tcPr>
            <w:tcW w:w="830" w:type="pct"/>
            <w:vAlign w:val="center"/>
          </w:tcPr>
          <w:p w:rsidR="00EE56C0" w:rsidRDefault="000F36A1">
            <w:pPr>
              <w:pStyle w:val="afa"/>
              <w:rPr>
                <w:rFonts w:ascii="宋体" w:eastAsia="宋体" w:hAnsi="宋体" w:cs="宋体"/>
              </w:rPr>
            </w:pPr>
            <w:r>
              <w:rPr>
                <w:rFonts w:hint="eastAsia"/>
              </w:rPr>
              <w:t>0.3818</w:t>
            </w:r>
          </w:p>
        </w:tc>
        <w:tc>
          <w:tcPr>
            <w:tcW w:w="1164" w:type="pct"/>
            <w:vAlign w:val="center"/>
          </w:tcPr>
          <w:p w:rsidR="00EE56C0" w:rsidRDefault="000F36A1">
            <w:pPr>
              <w:pStyle w:val="afa"/>
              <w:rPr>
                <w:rFonts w:ascii="宋体" w:eastAsia="宋体" w:hAnsi="宋体" w:cs="宋体"/>
              </w:rPr>
            </w:pPr>
            <w:r>
              <w:rPr>
                <w:rFonts w:hint="eastAsia"/>
              </w:rPr>
              <w:t>0.1334</w:t>
            </w:r>
          </w:p>
        </w:tc>
        <w:tc>
          <w:tcPr>
            <w:tcW w:w="914" w:type="pct"/>
            <w:vAlign w:val="center"/>
          </w:tcPr>
          <w:p w:rsidR="00EE56C0" w:rsidRDefault="000F36A1">
            <w:pPr>
              <w:pStyle w:val="afa"/>
              <w:rPr>
                <w:rFonts w:eastAsia="宋体"/>
              </w:rPr>
            </w:pPr>
            <w:r>
              <w:t xml:space="preserve">0.5299 </w:t>
            </w:r>
          </w:p>
        </w:tc>
        <w:tc>
          <w:tcPr>
            <w:tcW w:w="1197" w:type="pct"/>
            <w:vAlign w:val="center"/>
          </w:tcPr>
          <w:p w:rsidR="00EE56C0" w:rsidRDefault="000F36A1">
            <w:pPr>
              <w:pStyle w:val="afa"/>
              <w:rPr>
                <w:rFonts w:ascii="宋体" w:eastAsia="宋体" w:hAnsi="宋体" w:cs="宋体"/>
              </w:rPr>
            </w:pPr>
            <w:r>
              <w:rPr>
                <w:rFonts w:hint="eastAsia"/>
              </w:rPr>
              <w:t xml:space="preserve">0.0736 </w:t>
            </w:r>
          </w:p>
        </w:tc>
      </w:tr>
    </w:tbl>
    <w:p w:rsidR="00EE56C0" w:rsidRDefault="000F36A1">
      <w:pPr>
        <w:pStyle w:val="afd"/>
        <w:spacing w:before="120" w:after="120"/>
        <w:ind w:firstLine="482"/>
        <w:rPr>
          <w:u w:val="single"/>
        </w:rPr>
      </w:pPr>
      <w:r>
        <w:rPr>
          <w:rFonts w:hint="eastAsia"/>
          <w:u w:val="single"/>
        </w:rPr>
        <w:t>表</w:t>
      </w:r>
      <w:r>
        <w:rPr>
          <w:rFonts w:hint="eastAsia"/>
          <w:u w:val="single"/>
        </w:rPr>
        <w:t xml:space="preserve">3-39            </w:t>
      </w:r>
      <w:r>
        <w:rPr>
          <w:rFonts w:hint="eastAsia"/>
          <w:u w:val="single"/>
        </w:rPr>
        <w:t>二期无组织废气产生情况</w:t>
      </w:r>
      <w:r>
        <w:rPr>
          <w:rFonts w:hint="eastAsia"/>
          <w:u w:val="single"/>
        </w:rPr>
        <w:t xml:space="preserve">        </w:t>
      </w:r>
      <w:r>
        <w:rPr>
          <w:rFonts w:hint="eastAsia"/>
          <w:u w:val="single"/>
        </w:rPr>
        <w:t>单位：</w:t>
      </w:r>
      <w:r>
        <w:rPr>
          <w:rFonts w:hint="eastAsia"/>
          <w:u w:val="single"/>
        </w:rPr>
        <w:t>t/a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10"/>
        <w:gridCol w:w="1561"/>
        <w:gridCol w:w="1840"/>
        <w:gridCol w:w="1702"/>
        <w:gridCol w:w="1615"/>
      </w:tblGrid>
      <w:tr w:rsidR="00EE56C0">
        <w:trPr>
          <w:trHeight w:val="397"/>
        </w:trPr>
        <w:tc>
          <w:tcPr>
            <w:tcW w:w="1061" w:type="pct"/>
            <w:vMerge w:val="restart"/>
            <w:vAlign w:val="center"/>
          </w:tcPr>
          <w:p w:rsidR="00EE56C0" w:rsidRDefault="000F36A1">
            <w:pPr>
              <w:pStyle w:val="aff1"/>
              <w:rPr>
                <w:color w:val="auto"/>
                <w:u w:val="single"/>
              </w:rPr>
            </w:pPr>
            <w:r>
              <w:rPr>
                <w:color w:val="auto"/>
                <w:szCs w:val="21"/>
                <w:u w:val="single"/>
              </w:rPr>
              <w:t>污染物</w:t>
            </w:r>
          </w:p>
        </w:tc>
        <w:tc>
          <w:tcPr>
            <w:tcW w:w="3939" w:type="pct"/>
            <w:gridSpan w:val="4"/>
            <w:vAlign w:val="center"/>
          </w:tcPr>
          <w:p w:rsidR="00EE56C0" w:rsidRDefault="000F36A1">
            <w:pPr>
              <w:pStyle w:val="aff1"/>
              <w:rPr>
                <w:color w:val="auto"/>
                <w:u w:val="single"/>
              </w:rPr>
            </w:pPr>
            <w:r>
              <w:rPr>
                <w:rFonts w:hint="eastAsia"/>
                <w:color w:val="auto"/>
                <w:u w:val="single"/>
              </w:rPr>
              <w:t>二期</w:t>
            </w:r>
          </w:p>
        </w:tc>
      </w:tr>
      <w:tr w:rsidR="00EE56C0">
        <w:trPr>
          <w:trHeight w:val="397"/>
        </w:trPr>
        <w:tc>
          <w:tcPr>
            <w:tcW w:w="1061" w:type="pct"/>
            <w:vMerge/>
            <w:vAlign w:val="center"/>
          </w:tcPr>
          <w:p w:rsidR="00EE56C0" w:rsidRDefault="00EE56C0">
            <w:pPr>
              <w:pStyle w:val="aff1"/>
              <w:rPr>
                <w:color w:val="auto"/>
                <w:szCs w:val="21"/>
                <w:u w:val="single"/>
              </w:rPr>
            </w:pPr>
          </w:p>
        </w:tc>
        <w:tc>
          <w:tcPr>
            <w:tcW w:w="915" w:type="pct"/>
            <w:vMerge w:val="restart"/>
            <w:vAlign w:val="center"/>
          </w:tcPr>
          <w:p w:rsidR="00EE56C0" w:rsidRDefault="000F36A1">
            <w:pPr>
              <w:pStyle w:val="aff1"/>
              <w:rPr>
                <w:color w:val="auto"/>
                <w:u w:val="single"/>
              </w:rPr>
            </w:pPr>
            <w:r>
              <w:rPr>
                <w:rFonts w:hint="eastAsia"/>
                <w:color w:val="auto"/>
                <w:u w:val="single"/>
              </w:rPr>
              <w:t>漆包线</w:t>
            </w:r>
          </w:p>
        </w:tc>
        <w:tc>
          <w:tcPr>
            <w:tcW w:w="1079" w:type="pct"/>
            <w:vMerge w:val="restart"/>
            <w:vAlign w:val="center"/>
          </w:tcPr>
          <w:p w:rsidR="00EE56C0" w:rsidRDefault="000F36A1">
            <w:pPr>
              <w:pStyle w:val="aff1"/>
              <w:rPr>
                <w:color w:val="auto"/>
                <w:u w:val="single"/>
              </w:rPr>
            </w:pPr>
            <w:r>
              <w:rPr>
                <w:rFonts w:hint="eastAsia"/>
                <w:color w:val="auto"/>
                <w:u w:val="single"/>
              </w:rPr>
              <w:t>丝包线</w:t>
            </w:r>
          </w:p>
        </w:tc>
        <w:tc>
          <w:tcPr>
            <w:tcW w:w="1945" w:type="pct"/>
            <w:gridSpan w:val="2"/>
            <w:vAlign w:val="center"/>
          </w:tcPr>
          <w:p w:rsidR="00EE56C0" w:rsidRDefault="000F36A1">
            <w:pPr>
              <w:pStyle w:val="aff1"/>
              <w:rPr>
                <w:color w:val="auto"/>
                <w:u w:val="single"/>
              </w:rPr>
            </w:pPr>
            <w:r>
              <w:rPr>
                <w:rFonts w:hint="eastAsia"/>
                <w:color w:val="auto"/>
                <w:u w:val="single"/>
              </w:rPr>
              <w:t>总计</w:t>
            </w:r>
          </w:p>
        </w:tc>
      </w:tr>
      <w:tr w:rsidR="00EE56C0">
        <w:trPr>
          <w:trHeight w:val="397"/>
        </w:trPr>
        <w:tc>
          <w:tcPr>
            <w:tcW w:w="1061" w:type="pct"/>
            <w:vMerge/>
            <w:vAlign w:val="center"/>
          </w:tcPr>
          <w:p w:rsidR="00EE56C0" w:rsidRDefault="00EE56C0">
            <w:pPr>
              <w:pStyle w:val="aff1"/>
              <w:rPr>
                <w:color w:val="auto"/>
                <w:szCs w:val="21"/>
                <w:u w:val="single"/>
              </w:rPr>
            </w:pPr>
          </w:p>
        </w:tc>
        <w:tc>
          <w:tcPr>
            <w:tcW w:w="915" w:type="pct"/>
            <w:vMerge/>
            <w:vAlign w:val="center"/>
          </w:tcPr>
          <w:p w:rsidR="00EE56C0" w:rsidRDefault="00EE56C0">
            <w:pPr>
              <w:pStyle w:val="aff1"/>
              <w:rPr>
                <w:color w:val="auto"/>
                <w:u w:val="single"/>
              </w:rPr>
            </w:pPr>
          </w:p>
        </w:tc>
        <w:tc>
          <w:tcPr>
            <w:tcW w:w="1079" w:type="pct"/>
            <w:vMerge/>
            <w:vAlign w:val="center"/>
          </w:tcPr>
          <w:p w:rsidR="00EE56C0" w:rsidRDefault="00EE56C0">
            <w:pPr>
              <w:pStyle w:val="aff1"/>
              <w:rPr>
                <w:color w:val="auto"/>
                <w:u w:val="single"/>
              </w:rPr>
            </w:pPr>
          </w:p>
        </w:tc>
        <w:tc>
          <w:tcPr>
            <w:tcW w:w="998" w:type="pct"/>
            <w:vAlign w:val="center"/>
          </w:tcPr>
          <w:p w:rsidR="00EE56C0" w:rsidRDefault="000F36A1">
            <w:pPr>
              <w:pStyle w:val="aff1"/>
              <w:rPr>
                <w:color w:val="auto"/>
                <w:u w:val="single"/>
              </w:rPr>
            </w:pPr>
            <w:r>
              <w:rPr>
                <w:rFonts w:hint="eastAsia"/>
                <w:color w:val="auto"/>
                <w:u w:val="single"/>
              </w:rPr>
              <w:t>排放量</w:t>
            </w:r>
          </w:p>
        </w:tc>
        <w:tc>
          <w:tcPr>
            <w:tcW w:w="947" w:type="pct"/>
            <w:vAlign w:val="center"/>
          </w:tcPr>
          <w:p w:rsidR="00EE56C0" w:rsidRDefault="000F36A1">
            <w:pPr>
              <w:pStyle w:val="aff1"/>
              <w:rPr>
                <w:color w:val="auto"/>
                <w:u w:val="single"/>
              </w:rPr>
            </w:pPr>
            <w:r>
              <w:rPr>
                <w:rFonts w:hint="eastAsia"/>
                <w:color w:val="auto"/>
                <w:u w:val="single"/>
              </w:rPr>
              <w:t>排放速率（</w:t>
            </w:r>
            <w:r>
              <w:rPr>
                <w:rFonts w:hint="eastAsia"/>
                <w:color w:val="auto"/>
                <w:u w:val="single"/>
              </w:rPr>
              <w:t>kg/h</w:t>
            </w:r>
            <w:r>
              <w:rPr>
                <w:rFonts w:hint="eastAsia"/>
                <w:color w:val="auto"/>
                <w:u w:val="single"/>
              </w:rPr>
              <w:t>）</w:t>
            </w:r>
          </w:p>
        </w:tc>
      </w:tr>
      <w:tr w:rsidR="00EE56C0">
        <w:trPr>
          <w:trHeight w:val="397"/>
        </w:trPr>
        <w:tc>
          <w:tcPr>
            <w:tcW w:w="1061" w:type="pct"/>
            <w:vAlign w:val="center"/>
          </w:tcPr>
          <w:p w:rsidR="00EE56C0" w:rsidRDefault="000F36A1">
            <w:pPr>
              <w:pStyle w:val="afa"/>
              <w:rPr>
                <w:u w:val="single"/>
              </w:rPr>
            </w:pPr>
            <w:r>
              <w:rPr>
                <w:rFonts w:hint="eastAsia"/>
                <w:u w:val="single"/>
              </w:rPr>
              <w:t>酚</w:t>
            </w:r>
          </w:p>
        </w:tc>
        <w:tc>
          <w:tcPr>
            <w:tcW w:w="915" w:type="pct"/>
            <w:vAlign w:val="center"/>
          </w:tcPr>
          <w:p w:rsidR="00EE56C0" w:rsidRDefault="000F36A1">
            <w:pPr>
              <w:pStyle w:val="afa"/>
              <w:rPr>
                <w:rFonts w:ascii="宋体" w:eastAsia="宋体" w:hAnsi="宋体" w:cs="宋体"/>
                <w:u w:val="single"/>
              </w:rPr>
            </w:pPr>
            <w:r>
              <w:rPr>
                <w:rFonts w:hint="eastAsia"/>
                <w:u w:val="single"/>
              </w:rPr>
              <w:t xml:space="preserve">0.7051 </w:t>
            </w:r>
          </w:p>
        </w:tc>
        <w:tc>
          <w:tcPr>
            <w:tcW w:w="1079" w:type="pct"/>
            <w:vAlign w:val="center"/>
          </w:tcPr>
          <w:p w:rsidR="00EE56C0" w:rsidRDefault="000F36A1">
            <w:pPr>
              <w:pStyle w:val="afa"/>
              <w:rPr>
                <w:rFonts w:eastAsia="宋体"/>
                <w:u w:val="single"/>
              </w:rPr>
            </w:pPr>
            <w:r>
              <w:rPr>
                <w:u w:val="single"/>
              </w:rPr>
              <w:t>0</w:t>
            </w:r>
          </w:p>
        </w:tc>
        <w:tc>
          <w:tcPr>
            <w:tcW w:w="998" w:type="pct"/>
            <w:vAlign w:val="center"/>
          </w:tcPr>
          <w:p w:rsidR="00EE56C0" w:rsidRDefault="000F36A1">
            <w:pPr>
              <w:pStyle w:val="afa"/>
              <w:rPr>
                <w:rFonts w:eastAsia="宋体"/>
                <w:u w:val="single"/>
              </w:rPr>
            </w:pPr>
            <w:r>
              <w:rPr>
                <w:u w:val="single"/>
              </w:rPr>
              <w:t>0.7051</w:t>
            </w:r>
          </w:p>
        </w:tc>
        <w:tc>
          <w:tcPr>
            <w:tcW w:w="947" w:type="pct"/>
            <w:vAlign w:val="center"/>
          </w:tcPr>
          <w:p w:rsidR="00EE56C0" w:rsidRDefault="000F36A1">
            <w:pPr>
              <w:pStyle w:val="afa"/>
              <w:rPr>
                <w:rFonts w:ascii="宋体" w:eastAsia="宋体" w:hAnsi="宋体" w:cs="宋体"/>
                <w:u w:val="single"/>
              </w:rPr>
            </w:pPr>
            <w:r>
              <w:rPr>
                <w:rFonts w:hint="eastAsia"/>
                <w:u w:val="single"/>
              </w:rPr>
              <w:t xml:space="preserve">0.0979 </w:t>
            </w:r>
          </w:p>
        </w:tc>
      </w:tr>
      <w:tr w:rsidR="00EE56C0">
        <w:trPr>
          <w:trHeight w:val="397"/>
        </w:trPr>
        <w:tc>
          <w:tcPr>
            <w:tcW w:w="1061" w:type="pct"/>
            <w:vAlign w:val="center"/>
          </w:tcPr>
          <w:p w:rsidR="00EE56C0" w:rsidRDefault="000F36A1">
            <w:pPr>
              <w:pStyle w:val="afa"/>
              <w:rPr>
                <w:u w:val="single"/>
              </w:rPr>
            </w:pPr>
            <w:r>
              <w:rPr>
                <w:u w:val="single"/>
              </w:rPr>
              <w:t>非甲烷总烃</w:t>
            </w:r>
          </w:p>
        </w:tc>
        <w:tc>
          <w:tcPr>
            <w:tcW w:w="915" w:type="pct"/>
            <w:vAlign w:val="center"/>
          </w:tcPr>
          <w:p w:rsidR="00EE56C0" w:rsidRDefault="000F36A1">
            <w:pPr>
              <w:pStyle w:val="afa"/>
              <w:rPr>
                <w:rFonts w:ascii="宋体" w:eastAsia="宋体" w:hAnsi="宋体" w:cs="宋体"/>
                <w:u w:val="single"/>
              </w:rPr>
            </w:pPr>
            <w:r>
              <w:rPr>
                <w:rFonts w:hint="eastAsia"/>
                <w:u w:val="single"/>
              </w:rPr>
              <w:t xml:space="preserve">0.5143 </w:t>
            </w:r>
          </w:p>
        </w:tc>
        <w:tc>
          <w:tcPr>
            <w:tcW w:w="1079" w:type="pct"/>
            <w:vAlign w:val="center"/>
          </w:tcPr>
          <w:p w:rsidR="00EE56C0" w:rsidRDefault="000F36A1">
            <w:pPr>
              <w:pStyle w:val="afa"/>
              <w:rPr>
                <w:rFonts w:eastAsia="宋体"/>
                <w:u w:val="single"/>
              </w:rPr>
            </w:pPr>
            <w:r>
              <w:rPr>
                <w:rFonts w:eastAsia="宋体" w:hint="eastAsia"/>
                <w:u w:val="single"/>
              </w:rPr>
              <w:t>0.0146</w:t>
            </w:r>
          </w:p>
        </w:tc>
        <w:tc>
          <w:tcPr>
            <w:tcW w:w="998" w:type="pct"/>
            <w:vAlign w:val="center"/>
          </w:tcPr>
          <w:p w:rsidR="00EE56C0" w:rsidRDefault="000F36A1">
            <w:pPr>
              <w:pStyle w:val="afa"/>
              <w:rPr>
                <w:rFonts w:eastAsia="宋体"/>
                <w:u w:val="single"/>
              </w:rPr>
            </w:pPr>
            <w:r>
              <w:rPr>
                <w:u w:val="single"/>
              </w:rPr>
              <w:t>0.52</w:t>
            </w:r>
            <w:r>
              <w:rPr>
                <w:rFonts w:hint="eastAsia"/>
                <w:u w:val="single"/>
              </w:rPr>
              <w:t>89</w:t>
            </w:r>
          </w:p>
        </w:tc>
        <w:tc>
          <w:tcPr>
            <w:tcW w:w="947" w:type="pct"/>
            <w:vAlign w:val="center"/>
          </w:tcPr>
          <w:p w:rsidR="00EE56C0" w:rsidRDefault="000F36A1">
            <w:pPr>
              <w:pStyle w:val="afa"/>
              <w:rPr>
                <w:rFonts w:ascii="宋体" w:eastAsia="宋体" w:hAnsi="宋体" w:cs="宋体"/>
                <w:u w:val="single"/>
              </w:rPr>
            </w:pPr>
            <w:r>
              <w:rPr>
                <w:rFonts w:hint="eastAsia"/>
                <w:u w:val="single"/>
              </w:rPr>
              <w:t xml:space="preserve">0.0735 </w:t>
            </w:r>
          </w:p>
        </w:tc>
      </w:tr>
      <w:tr w:rsidR="00EE56C0">
        <w:trPr>
          <w:trHeight w:val="397"/>
        </w:trPr>
        <w:tc>
          <w:tcPr>
            <w:tcW w:w="1061" w:type="pct"/>
            <w:vAlign w:val="center"/>
          </w:tcPr>
          <w:p w:rsidR="00EE56C0" w:rsidRDefault="000F36A1">
            <w:pPr>
              <w:pStyle w:val="afa"/>
              <w:rPr>
                <w:u w:val="single"/>
              </w:rPr>
            </w:pPr>
            <w:r>
              <w:rPr>
                <w:rFonts w:hint="eastAsia"/>
                <w:u w:val="single"/>
              </w:rPr>
              <w:t>二甲苯</w:t>
            </w:r>
          </w:p>
        </w:tc>
        <w:tc>
          <w:tcPr>
            <w:tcW w:w="915" w:type="pct"/>
            <w:vAlign w:val="center"/>
          </w:tcPr>
          <w:p w:rsidR="00EE56C0" w:rsidRDefault="000F36A1">
            <w:pPr>
              <w:pStyle w:val="afa"/>
              <w:rPr>
                <w:rFonts w:ascii="宋体" w:eastAsia="宋体" w:hAnsi="宋体" w:cs="宋体"/>
                <w:u w:val="single"/>
              </w:rPr>
            </w:pPr>
            <w:r>
              <w:rPr>
                <w:rFonts w:hint="eastAsia"/>
                <w:u w:val="single"/>
              </w:rPr>
              <w:t xml:space="preserve">0.0764 </w:t>
            </w:r>
          </w:p>
        </w:tc>
        <w:tc>
          <w:tcPr>
            <w:tcW w:w="1079" w:type="pct"/>
            <w:vAlign w:val="center"/>
          </w:tcPr>
          <w:p w:rsidR="00EE56C0" w:rsidRDefault="000F36A1">
            <w:pPr>
              <w:pStyle w:val="afa"/>
              <w:rPr>
                <w:rFonts w:eastAsia="宋体"/>
                <w:u w:val="single"/>
              </w:rPr>
            </w:pPr>
            <w:r>
              <w:rPr>
                <w:rFonts w:eastAsia="宋体" w:hint="eastAsia"/>
                <w:u w:val="single"/>
              </w:rPr>
              <w:t>0.0439</w:t>
            </w:r>
          </w:p>
        </w:tc>
        <w:tc>
          <w:tcPr>
            <w:tcW w:w="998" w:type="pct"/>
            <w:vAlign w:val="center"/>
          </w:tcPr>
          <w:p w:rsidR="00EE56C0" w:rsidRDefault="000F36A1">
            <w:pPr>
              <w:pStyle w:val="afa"/>
              <w:rPr>
                <w:rFonts w:eastAsia="宋体"/>
                <w:u w:val="single"/>
              </w:rPr>
            </w:pPr>
            <w:r>
              <w:rPr>
                <w:u w:val="single"/>
              </w:rPr>
              <w:t>0.120</w:t>
            </w:r>
            <w:r>
              <w:rPr>
                <w:rFonts w:hint="eastAsia"/>
                <w:u w:val="single"/>
              </w:rPr>
              <w:t>3</w:t>
            </w:r>
          </w:p>
        </w:tc>
        <w:tc>
          <w:tcPr>
            <w:tcW w:w="947" w:type="pct"/>
            <w:vAlign w:val="center"/>
          </w:tcPr>
          <w:p w:rsidR="00EE56C0" w:rsidRDefault="000F36A1">
            <w:pPr>
              <w:pStyle w:val="afa"/>
              <w:rPr>
                <w:rFonts w:ascii="宋体" w:eastAsia="宋体" w:hAnsi="宋体" w:cs="宋体"/>
                <w:u w:val="single"/>
              </w:rPr>
            </w:pPr>
            <w:r>
              <w:rPr>
                <w:rFonts w:hint="eastAsia"/>
                <w:u w:val="single"/>
              </w:rPr>
              <w:t xml:space="preserve">0.0167 </w:t>
            </w:r>
          </w:p>
        </w:tc>
      </w:tr>
      <w:tr w:rsidR="00EE56C0">
        <w:trPr>
          <w:trHeight w:val="397"/>
        </w:trPr>
        <w:tc>
          <w:tcPr>
            <w:tcW w:w="1061" w:type="pct"/>
            <w:vAlign w:val="center"/>
          </w:tcPr>
          <w:p w:rsidR="00EE56C0" w:rsidRDefault="000F36A1">
            <w:pPr>
              <w:pStyle w:val="afa"/>
              <w:rPr>
                <w:u w:val="single"/>
              </w:rPr>
            </w:pPr>
            <w:r>
              <w:rPr>
                <w:rFonts w:hint="eastAsia"/>
                <w:u w:val="single"/>
              </w:rPr>
              <w:t>甲苯</w:t>
            </w:r>
          </w:p>
        </w:tc>
        <w:tc>
          <w:tcPr>
            <w:tcW w:w="915" w:type="pct"/>
            <w:vAlign w:val="center"/>
          </w:tcPr>
          <w:p w:rsidR="00EE56C0" w:rsidRDefault="000F36A1">
            <w:pPr>
              <w:pStyle w:val="afa"/>
              <w:rPr>
                <w:rFonts w:eastAsia="宋体"/>
                <w:u w:val="single"/>
              </w:rPr>
            </w:pPr>
            <w:r>
              <w:rPr>
                <w:u w:val="single"/>
              </w:rPr>
              <w:t>0</w:t>
            </w:r>
          </w:p>
        </w:tc>
        <w:tc>
          <w:tcPr>
            <w:tcW w:w="1079" w:type="pct"/>
            <w:vAlign w:val="center"/>
          </w:tcPr>
          <w:p w:rsidR="00EE56C0" w:rsidRDefault="000F36A1">
            <w:pPr>
              <w:pStyle w:val="afa"/>
              <w:rPr>
                <w:rFonts w:eastAsia="宋体"/>
                <w:u w:val="single"/>
              </w:rPr>
            </w:pPr>
            <w:r>
              <w:rPr>
                <w:rFonts w:eastAsia="宋体" w:hint="eastAsia"/>
                <w:u w:val="single"/>
              </w:rPr>
              <w:t>0.0439</w:t>
            </w:r>
          </w:p>
        </w:tc>
        <w:tc>
          <w:tcPr>
            <w:tcW w:w="998" w:type="pct"/>
            <w:vAlign w:val="center"/>
          </w:tcPr>
          <w:p w:rsidR="00EE56C0" w:rsidRDefault="000F36A1">
            <w:pPr>
              <w:pStyle w:val="afa"/>
              <w:rPr>
                <w:rFonts w:eastAsia="宋体"/>
                <w:u w:val="single"/>
              </w:rPr>
            </w:pPr>
            <w:r>
              <w:rPr>
                <w:u w:val="single"/>
              </w:rPr>
              <w:t>0.0439</w:t>
            </w:r>
          </w:p>
        </w:tc>
        <w:tc>
          <w:tcPr>
            <w:tcW w:w="947" w:type="pct"/>
            <w:vAlign w:val="center"/>
          </w:tcPr>
          <w:p w:rsidR="00EE56C0" w:rsidRDefault="000F36A1">
            <w:pPr>
              <w:pStyle w:val="afa"/>
              <w:rPr>
                <w:rFonts w:ascii="宋体" w:eastAsia="宋体" w:hAnsi="宋体" w:cs="宋体"/>
                <w:u w:val="single"/>
              </w:rPr>
            </w:pPr>
            <w:r>
              <w:rPr>
                <w:rFonts w:hint="eastAsia"/>
                <w:u w:val="single"/>
              </w:rPr>
              <w:t xml:space="preserve">0.0061 </w:t>
            </w:r>
          </w:p>
        </w:tc>
      </w:tr>
      <w:tr w:rsidR="00EE56C0">
        <w:trPr>
          <w:trHeight w:val="397"/>
        </w:trPr>
        <w:tc>
          <w:tcPr>
            <w:tcW w:w="1061" w:type="pct"/>
            <w:vAlign w:val="center"/>
          </w:tcPr>
          <w:p w:rsidR="00EE56C0" w:rsidRDefault="000F36A1">
            <w:pPr>
              <w:pStyle w:val="afa"/>
              <w:rPr>
                <w:highlight w:val="yellow"/>
                <w:u w:val="single"/>
              </w:rPr>
            </w:pPr>
            <w:r>
              <w:rPr>
                <w:rFonts w:hint="eastAsia"/>
                <w:u w:val="single"/>
              </w:rPr>
              <w:t>苯</w:t>
            </w:r>
          </w:p>
        </w:tc>
        <w:tc>
          <w:tcPr>
            <w:tcW w:w="915" w:type="pct"/>
            <w:vAlign w:val="center"/>
          </w:tcPr>
          <w:p w:rsidR="00EE56C0" w:rsidRDefault="000F36A1">
            <w:pPr>
              <w:pStyle w:val="afa"/>
              <w:rPr>
                <w:rFonts w:eastAsia="宋体"/>
                <w:u w:val="single"/>
              </w:rPr>
            </w:pPr>
            <w:r>
              <w:rPr>
                <w:u w:val="single"/>
              </w:rPr>
              <w:t>0</w:t>
            </w:r>
          </w:p>
        </w:tc>
        <w:tc>
          <w:tcPr>
            <w:tcW w:w="1079" w:type="pct"/>
            <w:vAlign w:val="center"/>
          </w:tcPr>
          <w:p w:rsidR="00EE56C0" w:rsidRDefault="000F36A1">
            <w:pPr>
              <w:pStyle w:val="afa"/>
              <w:rPr>
                <w:rFonts w:eastAsia="宋体"/>
                <w:u w:val="single"/>
              </w:rPr>
            </w:pPr>
            <w:r>
              <w:rPr>
                <w:rFonts w:eastAsia="宋体" w:hint="eastAsia"/>
                <w:u w:val="single"/>
              </w:rPr>
              <w:t>0.0146</w:t>
            </w:r>
          </w:p>
        </w:tc>
        <w:tc>
          <w:tcPr>
            <w:tcW w:w="998" w:type="pct"/>
            <w:vAlign w:val="center"/>
          </w:tcPr>
          <w:p w:rsidR="00EE56C0" w:rsidRDefault="000F36A1">
            <w:pPr>
              <w:pStyle w:val="afa"/>
              <w:rPr>
                <w:rFonts w:eastAsia="宋体"/>
                <w:u w:val="single"/>
              </w:rPr>
            </w:pPr>
            <w:r>
              <w:rPr>
                <w:u w:val="single"/>
              </w:rPr>
              <w:t>0.0146</w:t>
            </w:r>
          </w:p>
        </w:tc>
        <w:tc>
          <w:tcPr>
            <w:tcW w:w="947" w:type="pct"/>
            <w:vAlign w:val="center"/>
          </w:tcPr>
          <w:p w:rsidR="00EE56C0" w:rsidRDefault="000F36A1">
            <w:pPr>
              <w:pStyle w:val="afa"/>
              <w:rPr>
                <w:rFonts w:ascii="宋体" w:eastAsia="宋体" w:hAnsi="宋体" w:cs="宋体"/>
                <w:u w:val="single"/>
              </w:rPr>
            </w:pPr>
            <w:r>
              <w:rPr>
                <w:rFonts w:hint="eastAsia"/>
                <w:u w:val="single"/>
              </w:rPr>
              <w:t xml:space="preserve">0.0020 </w:t>
            </w:r>
          </w:p>
        </w:tc>
      </w:tr>
      <w:tr w:rsidR="00EE56C0">
        <w:trPr>
          <w:trHeight w:val="397"/>
        </w:trPr>
        <w:tc>
          <w:tcPr>
            <w:tcW w:w="1061" w:type="pct"/>
            <w:vAlign w:val="center"/>
          </w:tcPr>
          <w:p w:rsidR="00EE56C0" w:rsidRDefault="000F36A1">
            <w:pPr>
              <w:pStyle w:val="afa"/>
              <w:rPr>
                <w:u w:val="single"/>
              </w:rPr>
            </w:pPr>
            <w:r>
              <w:rPr>
                <w:rFonts w:hint="eastAsia"/>
                <w:u w:val="single"/>
              </w:rPr>
              <w:t>VOCs</w:t>
            </w:r>
            <w:r>
              <w:rPr>
                <w:rFonts w:hint="eastAsia"/>
                <w:u w:val="single"/>
              </w:rPr>
              <w:t>总计</w:t>
            </w:r>
          </w:p>
        </w:tc>
        <w:tc>
          <w:tcPr>
            <w:tcW w:w="915" w:type="pct"/>
            <w:vAlign w:val="center"/>
          </w:tcPr>
          <w:p w:rsidR="00EE56C0" w:rsidRDefault="000F36A1">
            <w:pPr>
              <w:pStyle w:val="afa"/>
              <w:rPr>
                <w:rFonts w:eastAsia="宋体"/>
                <w:u w:val="single"/>
              </w:rPr>
            </w:pPr>
            <w:r>
              <w:rPr>
                <w:rFonts w:hint="eastAsia"/>
                <w:u w:val="single"/>
              </w:rPr>
              <w:t>1.2958</w:t>
            </w:r>
          </w:p>
        </w:tc>
        <w:tc>
          <w:tcPr>
            <w:tcW w:w="1079" w:type="pct"/>
            <w:vAlign w:val="center"/>
          </w:tcPr>
          <w:p w:rsidR="00EE56C0" w:rsidRDefault="000F36A1">
            <w:pPr>
              <w:pStyle w:val="afa"/>
              <w:rPr>
                <w:rFonts w:eastAsia="宋体"/>
                <w:u w:val="single"/>
              </w:rPr>
            </w:pPr>
            <w:r>
              <w:rPr>
                <w:rFonts w:eastAsia="宋体" w:hint="eastAsia"/>
                <w:u w:val="single"/>
              </w:rPr>
              <w:t>0.117</w:t>
            </w:r>
          </w:p>
        </w:tc>
        <w:tc>
          <w:tcPr>
            <w:tcW w:w="998" w:type="pct"/>
            <w:vAlign w:val="center"/>
          </w:tcPr>
          <w:p w:rsidR="00EE56C0" w:rsidRDefault="000F36A1">
            <w:pPr>
              <w:pStyle w:val="afa"/>
              <w:rPr>
                <w:rFonts w:eastAsia="宋体"/>
                <w:u w:val="single"/>
              </w:rPr>
            </w:pPr>
            <w:r>
              <w:rPr>
                <w:u w:val="single"/>
              </w:rPr>
              <w:t>1.4128</w:t>
            </w:r>
          </w:p>
        </w:tc>
        <w:tc>
          <w:tcPr>
            <w:tcW w:w="947" w:type="pct"/>
            <w:vAlign w:val="center"/>
          </w:tcPr>
          <w:p w:rsidR="00EE56C0" w:rsidRDefault="000F36A1">
            <w:pPr>
              <w:pStyle w:val="afa"/>
              <w:rPr>
                <w:rFonts w:ascii="宋体" w:eastAsia="宋体" w:hAnsi="宋体" w:cs="宋体"/>
                <w:u w:val="single"/>
              </w:rPr>
            </w:pPr>
            <w:r>
              <w:rPr>
                <w:rFonts w:hint="eastAsia"/>
                <w:u w:val="single"/>
              </w:rPr>
              <w:t xml:space="preserve">0.1962 </w:t>
            </w:r>
          </w:p>
        </w:tc>
      </w:tr>
    </w:tbl>
    <w:p w:rsidR="00EE56C0" w:rsidRDefault="000F36A1">
      <w:pPr>
        <w:pStyle w:val="4"/>
        <w:ind w:left="120" w:firstLine="241"/>
      </w:pPr>
      <w:r>
        <w:rPr>
          <w:rFonts w:hint="eastAsia"/>
        </w:rPr>
        <w:t>3.7.1.3</w:t>
      </w:r>
      <w:r>
        <w:rPr>
          <w:rFonts w:hint="eastAsia"/>
        </w:rPr>
        <w:t>以新带老削减量</w:t>
      </w:r>
    </w:p>
    <w:p w:rsidR="00EE56C0" w:rsidRDefault="000F36A1">
      <w:pPr>
        <w:ind w:firstLine="480"/>
      </w:pPr>
      <w:r>
        <w:rPr>
          <w:rFonts w:hint="eastAsia"/>
        </w:rPr>
        <w:t>企业拟从以下两个方面对将现有工程进行升级改造，评价将改造前、后的削减量，作为以新带老削减量。升级改造内容如下：</w:t>
      </w:r>
    </w:p>
    <w:p w:rsidR="00EE56C0" w:rsidRDefault="000F36A1">
      <w:pPr>
        <w:ind w:firstLine="480"/>
      </w:pPr>
      <w:r>
        <w:rPr>
          <w:rFonts w:hint="eastAsia"/>
        </w:rPr>
        <w:lastRenderedPageBreak/>
        <w:t>A</w:t>
      </w:r>
      <w:r>
        <w:rPr>
          <w:rFonts w:hint="eastAsia"/>
        </w:rPr>
        <w:t>、现有工程中聚酯漆替换为高固含的漆料，固含量由</w:t>
      </w:r>
      <w:r>
        <w:rPr>
          <w:rFonts w:hint="eastAsia"/>
        </w:rPr>
        <w:t>36%</w:t>
      </w:r>
      <w:r>
        <w:rPr>
          <w:rFonts w:hint="eastAsia"/>
        </w:rPr>
        <w:t>提高至</w:t>
      </w:r>
      <w:r>
        <w:rPr>
          <w:rFonts w:hint="eastAsia"/>
        </w:rPr>
        <w:t>44%</w:t>
      </w:r>
      <w:r>
        <w:rPr>
          <w:rFonts w:hint="eastAsia"/>
        </w:rPr>
        <w:t>；</w:t>
      </w:r>
    </w:p>
    <w:p w:rsidR="00EE56C0" w:rsidRDefault="000F36A1">
      <w:pPr>
        <w:ind w:firstLine="480"/>
      </w:pPr>
      <w:r>
        <w:rPr>
          <w:rFonts w:hint="eastAsia"/>
        </w:rPr>
        <w:t>B</w:t>
      </w:r>
      <w:r>
        <w:rPr>
          <w:rFonts w:hint="eastAsia"/>
        </w:rPr>
        <w:t>、对本项目一期、二期升级改造的设备烘炉更换为高效能的烘炉。</w:t>
      </w:r>
    </w:p>
    <w:p w:rsidR="00EE56C0" w:rsidRDefault="000F36A1">
      <w:pPr>
        <w:pStyle w:val="5"/>
        <w:rPr>
          <w:lang w:val="zh-CN"/>
        </w:rPr>
      </w:pPr>
      <w:r>
        <w:rPr>
          <w:rFonts w:hint="eastAsia"/>
          <w:lang w:val="zh-CN"/>
        </w:rPr>
        <w:t>1</w:t>
      </w:r>
      <w:r>
        <w:rPr>
          <w:rFonts w:hint="eastAsia"/>
          <w:lang w:val="zh-CN"/>
        </w:rPr>
        <w:t>、升级改造前的</w:t>
      </w:r>
      <w:r>
        <w:rPr>
          <w:rFonts w:hint="eastAsia"/>
          <w:lang w:val="zh-CN"/>
        </w:rPr>
        <w:t>VOCs</w:t>
      </w:r>
      <w:r>
        <w:rPr>
          <w:rFonts w:hint="eastAsia"/>
          <w:lang w:val="zh-CN"/>
        </w:rPr>
        <w:t>排放</w:t>
      </w:r>
      <w:r>
        <w:rPr>
          <w:rFonts w:hint="eastAsia"/>
        </w:rPr>
        <w:t>量</w:t>
      </w:r>
    </w:p>
    <w:p w:rsidR="00EE56C0" w:rsidRDefault="000F36A1">
      <w:pPr>
        <w:pStyle w:val="aff4"/>
        <w:rPr>
          <w:lang w:val="zh-CN"/>
        </w:rPr>
      </w:pPr>
      <w:r>
        <w:rPr>
          <w:rFonts w:hint="eastAsia"/>
          <w:lang w:val="zh-CN"/>
        </w:rPr>
        <w:t>聚酯漆更换前，根据聚酯漆低固含检测报告，现有工程</w:t>
      </w:r>
      <w:r>
        <w:rPr>
          <w:rFonts w:hint="eastAsia"/>
        </w:rPr>
        <w:t>废气产生情况</w:t>
      </w:r>
      <w:r>
        <w:rPr>
          <w:rFonts w:hint="eastAsia"/>
          <w:lang w:val="zh-CN"/>
        </w:rPr>
        <w:t>如下。</w:t>
      </w:r>
    </w:p>
    <w:p w:rsidR="00EE56C0" w:rsidRDefault="000F36A1">
      <w:pPr>
        <w:pStyle w:val="afd"/>
        <w:spacing w:before="120" w:after="120"/>
        <w:ind w:firstLine="482"/>
      </w:pPr>
      <w:r>
        <w:rPr>
          <w:rFonts w:hint="eastAsia"/>
        </w:rPr>
        <w:t>表</w:t>
      </w:r>
      <w:r>
        <w:rPr>
          <w:rFonts w:hint="eastAsia"/>
        </w:rPr>
        <w:t>3-</w:t>
      </w:r>
      <w:r w:rsidR="00212B58">
        <w:rPr>
          <w:rFonts w:hint="eastAsia"/>
        </w:rPr>
        <w:t>40</w:t>
      </w:r>
      <w:r>
        <w:rPr>
          <w:rFonts w:hint="eastAsia"/>
        </w:rPr>
        <w:t xml:space="preserve">     </w:t>
      </w:r>
      <w:r>
        <w:rPr>
          <w:rFonts w:hint="eastAsia"/>
        </w:rPr>
        <w:t>现有工程漆包线、丝包线废气产生情况</w:t>
      </w:r>
      <w:r>
        <w:rPr>
          <w:rFonts w:hint="eastAsia"/>
        </w:rPr>
        <w:t xml:space="preserve">   </w:t>
      </w:r>
      <w:r>
        <w:rPr>
          <w:rFonts w:hint="eastAsia"/>
        </w:rPr>
        <w:t>单位：</w:t>
      </w:r>
      <w:r>
        <w:rPr>
          <w:rFonts w:hint="eastAsia"/>
        </w:rPr>
        <w:t>t/a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40"/>
        <w:gridCol w:w="1231"/>
        <w:gridCol w:w="1001"/>
        <w:gridCol w:w="1564"/>
        <w:gridCol w:w="1126"/>
        <w:gridCol w:w="1538"/>
        <w:gridCol w:w="928"/>
      </w:tblGrid>
      <w:tr w:rsidR="00EE56C0">
        <w:trPr>
          <w:trHeight w:val="454"/>
        </w:trPr>
        <w:tc>
          <w:tcPr>
            <w:tcW w:w="668" w:type="pct"/>
            <w:vAlign w:val="center"/>
          </w:tcPr>
          <w:p w:rsidR="00EE56C0" w:rsidRDefault="000F36A1">
            <w:pPr>
              <w:pStyle w:val="aff1"/>
              <w:rPr>
                <w:color w:val="auto"/>
                <w:u w:val="single"/>
              </w:rPr>
            </w:pPr>
            <w:r>
              <w:rPr>
                <w:rFonts w:hint="eastAsia"/>
                <w:color w:val="auto"/>
                <w:u w:val="single"/>
              </w:rPr>
              <w:t>产品</w:t>
            </w:r>
          </w:p>
        </w:tc>
        <w:tc>
          <w:tcPr>
            <w:tcW w:w="722" w:type="pct"/>
            <w:vAlign w:val="center"/>
          </w:tcPr>
          <w:p w:rsidR="00EE56C0" w:rsidRDefault="000F36A1">
            <w:pPr>
              <w:pStyle w:val="aff1"/>
              <w:rPr>
                <w:color w:val="auto"/>
                <w:u w:val="single"/>
              </w:rPr>
            </w:pPr>
            <w:r>
              <w:rPr>
                <w:rFonts w:hint="eastAsia"/>
                <w:color w:val="auto"/>
                <w:u w:val="single"/>
              </w:rPr>
              <w:t>原料</w:t>
            </w:r>
          </w:p>
        </w:tc>
        <w:tc>
          <w:tcPr>
            <w:tcW w:w="587" w:type="pct"/>
            <w:vAlign w:val="center"/>
          </w:tcPr>
          <w:p w:rsidR="00EE56C0" w:rsidRDefault="000F36A1">
            <w:pPr>
              <w:pStyle w:val="aff1"/>
              <w:rPr>
                <w:color w:val="auto"/>
                <w:u w:val="single"/>
              </w:rPr>
            </w:pPr>
            <w:r>
              <w:rPr>
                <w:rFonts w:hint="eastAsia"/>
                <w:color w:val="auto"/>
                <w:u w:val="single"/>
              </w:rPr>
              <w:t>年用量</w:t>
            </w:r>
          </w:p>
        </w:tc>
        <w:tc>
          <w:tcPr>
            <w:tcW w:w="3023" w:type="pct"/>
            <w:gridSpan w:val="4"/>
            <w:vAlign w:val="center"/>
          </w:tcPr>
          <w:p w:rsidR="00EE56C0" w:rsidRDefault="000F36A1">
            <w:pPr>
              <w:pStyle w:val="aff1"/>
              <w:rPr>
                <w:color w:val="auto"/>
                <w:u w:val="single"/>
              </w:rPr>
            </w:pPr>
            <w:r>
              <w:rPr>
                <w:rFonts w:hint="eastAsia"/>
                <w:color w:val="auto"/>
                <w:u w:val="single"/>
              </w:rPr>
              <w:t>挥发分</w:t>
            </w:r>
          </w:p>
        </w:tc>
      </w:tr>
      <w:tr w:rsidR="00EE56C0">
        <w:trPr>
          <w:trHeight w:val="454"/>
        </w:trPr>
        <w:tc>
          <w:tcPr>
            <w:tcW w:w="668" w:type="pct"/>
            <w:vMerge w:val="restart"/>
            <w:vAlign w:val="center"/>
          </w:tcPr>
          <w:p w:rsidR="00EE56C0" w:rsidRDefault="000F36A1">
            <w:pPr>
              <w:pStyle w:val="afa"/>
              <w:rPr>
                <w:u w:val="single"/>
              </w:rPr>
            </w:pPr>
            <w:r>
              <w:rPr>
                <w:rFonts w:hint="eastAsia"/>
                <w:u w:val="single"/>
              </w:rPr>
              <w:t>漆包线</w:t>
            </w:r>
          </w:p>
        </w:tc>
        <w:tc>
          <w:tcPr>
            <w:tcW w:w="722" w:type="pct"/>
            <w:vMerge w:val="restart"/>
            <w:vAlign w:val="center"/>
          </w:tcPr>
          <w:p w:rsidR="00EE56C0" w:rsidRDefault="000F36A1">
            <w:pPr>
              <w:pStyle w:val="afa"/>
              <w:rPr>
                <w:u w:val="single"/>
              </w:rPr>
            </w:pPr>
            <w:r>
              <w:rPr>
                <w:u w:val="single"/>
              </w:rPr>
              <w:t>聚酯漆</w:t>
            </w:r>
          </w:p>
        </w:tc>
        <w:tc>
          <w:tcPr>
            <w:tcW w:w="587" w:type="pct"/>
            <w:vMerge w:val="restart"/>
            <w:vAlign w:val="center"/>
          </w:tcPr>
          <w:p w:rsidR="00EE56C0" w:rsidRDefault="000F36A1">
            <w:pPr>
              <w:pStyle w:val="afa"/>
              <w:rPr>
                <w:u w:val="single"/>
              </w:rPr>
            </w:pPr>
            <w:r>
              <w:rPr>
                <w:rFonts w:hint="eastAsia"/>
                <w:u w:val="single"/>
              </w:rPr>
              <w:t>/</w:t>
            </w:r>
          </w:p>
        </w:tc>
        <w:tc>
          <w:tcPr>
            <w:tcW w:w="1577" w:type="pct"/>
            <w:gridSpan w:val="2"/>
            <w:vAlign w:val="center"/>
          </w:tcPr>
          <w:p w:rsidR="00EE56C0" w:rsidRDefault="000F36A1">
            <w:pPr>
              <w:pStyle w:val="afa"/>
              <w:rPr>
                <w:u w:val="single"/>
              </w:rPr>
            </w:pPr>
            <w:r>
              <w:rPr>
                <w:rFonts w:hint="eastAsia"/>
                <w:u w:val="single"/>
              </w:rPr>
              <w:t>酚类</w:t>
            </w:r>
          </w:p>
        </w:tc>
        <w:tc>
          <w:tcPr>
            <w:tcW w:w="1446" w:type="pct"/>
            <w:gridSpan w:val="2"/>
            <w:vMerge w:val="restart"/>
            <w:vAlign w:val="center"/>
          </w:tcPr>
          <w:p w:rsidR="00EE56C0" w:rsidRDefault="000F36A1">
            <w:pPr>
              <w:pStyle w:val="afa"/>
              <w:rPr>
                <w:u w:val="single"/>
              </w:rPr>
            </w:pPr>
            <w:r>
              <w:rPr>
                <w:rFonts w:hint="eastAsia"/>
                <w:u w:val="single"/>
              </w:rPr>
              <w:t>溶剂油（以非甲烷总烃计）</w:t>
            </w:r>
          </w:p>
        </w:tc>
      </w:tr>
      <w:tr w:rsidR="00EE56C0">
        <w:trPr>
          <w:trHeight w:val="454"/>
        </w:trPr>
        <w:tc>
          <w:tcPr>
            <w:tcW w:w="668" w:type="pct"/>
            <w:vMerge/>
            <w:vAlign w:val="center"/>
          </w:tcPr>
          <w:p w:rsidR="00EE56C0" w:rsidRDefault="00EE56C0">
            <w:pPr>
              <w:pStyle w:val="afa"/>
              <w:rPr>
                <w:u w:val="single"/>
              </w:rPr>
            </w:pPr>
          </w:p>
        </w:tc>
        <w:tc>
          <w:tcPr>
            <w:tcW w:w="722" w:type="pct"/>
            <w:vMerge/>
            <w:vAlign w:val="center"/>
          </w:tcPr>
          <w:p w:rsidR="00EE56C0" w:rsidRDefault="00EE56C0">
            <w:pPr>
              <w:pStyle w:val="afa"/>
              <w:rPr>
                <w:u w:val="single"/>
              </w:rPr>
            </w:pPr>
          </w:p>
        </w:tc>
        <w:tc>
          <w:tcPr>
            <w:tcW w:w="587" w:type="pct"/>
            <w:vMerge/>
            <w:vAlign w:val="center"/>
          </w:tcPr>
          <w:p w:rsidR="00EE56C0" w:rsidRDefault="00EE56C0">
            <w:pPr>
              <w:pStyle w:val="afa"/>
              <w:rPr>
                <w:u w:val="single"/>
              </w:rPr>
            </w:pPr>
          </w:p>
        </w:tc>
        <w:tc>
          <w:tcPr>
            <w:tcW w:w="917" w:type="pct"/>
            <w:vAlign w:val="center"/>
          </w:tcPr>
          <w:p w:rsidR="00EE56C0" w:rsidRDefault="000F36A1">
            <w:pPr>
              <w:pStyle w:val="afa"/>
              <w:rPr>
                <w:u w:val="single"/>
              </w:rPr>
            </w:pPr>
            <w:r>
              <w:rPr>
                <w:rFonts w:hint="eastAsia"/>
                <w:u w:val="single"/>
              </w:rPr>
              <w:t>苯</w:t>
            </w:r>
            <w:r>
              <w:rPr>
                <w:u w:val="single"/>
              </w:rPr>
              <w:t>酚</w:t>
            </w:r>
          </w:p>
        </w:tc>
        <w:tc>
          <w:tcPr>
            <w:tcW w:w="660" w:type="pct"/>
            <w:vAlign w:val="center"/>
          </w:tcPr>
          <w:p w:rsidR="00EE56C0" w:rsidRDefault="000F36A1">
            <w:pPr>
              <w:pStyle w:val="afa"/>
              <w:rPr>
                <w:u w:val="single"/>
              </w:rPr>
            </w:pPr>
            <w:r>
              <w:rPr>
                <w:rFonts w:hint="eastAsia"/>
                <w:u w:val="single"/>
              </w:rPr>
              <w:t>甲酚</w:t>
            </w:r>
          </w:p>
        </w:tc>
        <w:tc>
          <w:tcPr>
            <w:tcW w:w="1446" w:type="pct"/>
            <w:gridSpan w:val="2"/>
            <w:vMerge/>
            <w:vAlign w:val="center"/>
          </w:tcPr>
          <w:p w:rsidR="00EE56C0" w:rsidRDefault="00EE56C0">
            <w:pPr>
              <w:pStyle w:val="afa"/>
              <w:rPr>
                <w:u w:val="single"/>
              </w:rPr>
            </w:pPr>
          </w:p>
        </w:tc>
      </w:tr>
      <w:tr w:rsidR="00EE56C0">
        <w:trPr>
          <w:trHeight w:val="454"/>
        </w:trPr>
        <w:tc>
          <w:tcPr>
            <w:tcW w:w="668" w:type="pct"/>
            <w:vMerge/>
            <w:vAlign w:val="center"/>
          </w:tcPr>
          <w:p w:rsidR="00EE56C0" w:rsidRDefault="00EE56C0">
            <w:pPr>
              <w:pStyle w:val="afa"/>
              <w:rPr>
                <w:u w:val="single"/>
              </w:rPr>
            </w:pPr>
          </w:p>
        </w:tc>
        <w:tc>
          <w:tcPr>
            <w:tcW w:w="722" w:type="pct"/>
            <w:vMerge/>
            <w:vAlign w:val="center"/>
          </w:tcPr>
          <w:p w:rsidR="00EE56C0" w:rsidRDefault="00EE56C0">
            <w:pPr>
              <w:pStyle w:val="afa"/>
              <w:rPr>
                <w:u w:val="single"/>
              </w:rPr>
            </w:pPr>
          </w:p>
        </w:tc>
        <w:tc>
          <w:tcPr>
            <w:tcW w:w="587" w:type="pct"/>
            <w:vMerge/>
            <w:vAlign w:val="center"/>
          </w:tcPr>
          <w:p w:rsidR="00EE56C0" w:rsidRDefault="00EE56C0">
            <w:pPr>
              <w:pStyle w:val="afa"/>
              <w:rPr>
                <w:u w:val="single"/>
              </w:rPr>
            </w:pPr>
          </w:p>
        </w:tc>
        <w:tc>
          <w:tcPr>
            <w:tcW w:w="917" w:type="pct"/>
            <w:vAlign w:val="center"/>
          </w:tcPr>
          <w:p w:rsidR="00EE56C0" w:rsidRDefault="000F36A1">
            <w:pPr>
              <w:pStyle w:val="afa"/>
              <w:rPr>
                <w:u w:val="single"/>
              </w:rPr>
            </w:pPr>
            <w:r>
              <w:rPr>
                <w:rFonts w:hint="eastAsia"/>
                <w:u w:val="single"/>
              </w:rPr>
              <w:t>28</w:t>
            </w:r>
            <w:r>
              <w:rPr>
                <w:u w:val="single"/>
              </w:rPr>
              <w:t>%</w:t>
            </w:r>
          </w:p>
        </w:tc>
        <w:tc>
          <w:tcPr>
            <w:tcW w:w="660" w:type="pct"/>
            <w:vAlign w:val="center"/>
          </w:tcPr>
          <w:p w:rsidR="00EE56C0" w:rsidRDefault="000F36A1">
            <w:pPr>
              <w:pStyle w:val="afa"/>
              <w:rPr>
                <w:u w:val="single"/>
              </w:rPr>
            </w:pPr>
            <w:r>
              <w:rPr>
                <w:rFonts w:hint="eastAsia"/>
                <w:u w:val="single"/>
              </w:rPr>
              <w:t>20</w:t>
            </w:r>
            <w:r>
              <w:rPr>
                <w:u w:val="single"/>
              </w:rPr>
              <w:t>%</w:t>
            </w:r>
          </w:p>
        </w:tc>
        <w:tc>
          <w:tcPr>
            <w:tcW w:w="1446" w:type="pct"/>
            <w:gridSpan w:val="2"/>
            <w:vMerge w:val="restart"/>
            <w:vAlign w:val="center"/>
          </w:tcPr>
          <w:p w:rsidR="00EE56C0" w:rsidRDefault="000F36A1">
            <w:pPr>
              <w:pStyle w:val="afa"/>
              <w:rPr>
                <w:u w:val="single"/>
              </w:rPr>
            </w:pPr>
            <w:r>
              <w:rPr>
                <w:rFonts w:hint="eastAsia"/>
                <w:u w:val="single"/>
              </w:rPr>
              <w:t>15</w:t>
            </w:r>
            <w:r>
              <w:rPr>
                <w:u w:val="single"/>
              </w:rPr>
              <w:t>%</w:t>
            </w:r>
          </w:p>
        </w:tc>
      </w:tr>
      <w:tr w:rsidR="00EE56C0">
        <w:trPr>
          <w:trHeight w:val="454"/>
        </w:trPr>
        <w:tc>
          <w:tcPr>
            <w:tcW w:w="668" w:type="pct"/>
            <w:vMerge/>
            <w:vAlign w:val="center"/>
          </w:tcPr>
          <w:p w:rsidR="00EE56C0" w:rsidRDefault="00EE56C0">
            <w:pPr>
              <w:pStyle w:val="afa"/>
              <w:rPr>
                <w:u w:val="single"/>
              </w:rPr>
            </w:pPr>
          </w:p>
        </w:tc>
        <w:tc>
          <w:tcPr>
            <w:tcW w:w="722" w:type="pct"/>
            <w:vMerge/>
            <w:vAlign w:val="center"/>
          </w:tcPr>
          <w:p w:rsidR="00EE56C0" w:rsidRDefault="00EE56C0">
            <w:pPr>
              <w:pStyle w:val="afa"/>
              <w:rPr>
                <w:u w:val="single"/>
              </w:rPr>
            </w:pPr>
          </w:p>
        </w:tc>
        <w:tc>
          <w:tcPr>
            <w:tcW w:w="587" w:type="pct"/>
            <w:vMerge/>
            <w:vAlign w:val="center"/>
          </w:tcPr>
          <w:p w:rsidR="00EE56C0" w:rsidRDefault="00EE56C0">
            <w:pPr>
              <w:pStyle w:val="afa"/>
              <w:rPr>
                <w:u w:val="single"/>
              </w:rPr>
            </w:pPr>
          </w:p>
        </w:tc>
        <w:tc>
          <w:tcPr>
            <w:tcW w:w="1577" w:type="pct"/>
            <w:gridSpan w:val="2"/>
            <w:vAlign w:val="center"/>
          </w:tcPr>
          <w:p w:rsidR="00EE56C0" w:rsidRDefault="000F36A1">
            <w:pPr>
              <w:pStyle w:val="afa"/>
              <w:rPr>
                <w:u w:val="single"/>
              </w:rPr>
            </w:pPr>
            <w:r>
              <w:rPr>
                <w:rFonts w:hint="eastAsia"/>
                <w:u w:val="single"/>
              </w:rPr>
              <w:t>48%</w:t>
            </w:r>
          </w:p>
        </w:tc>
        <w:tc>
          <w:tcPr>
            <w:tcW w:w="1446" w:type="pct"/>
            <w:gridSpan w:val="2"/>
            <w:vMerge/>
            <w:vAlign w:val="center"/>
          </w:tcPr>
          <w:p w:rsidR="00EE56C0" w:rsidRDefault="00EE56C0">
            <w:pPr>
              <w:pStyle w:val="afa"/>
              <w:rPr>
                <w:u w:val="single"/>
              </w:rPr>
            </w:pPr>
          </w:p>
        </w:tc>
      </w:tr>
      <w:tr w:rsidR="00EE56C0">
        <w:trPr>
          <w:trHeight w:val="454"/>
        </w:trPr>
        <w:tc>
          <w:tcPr>
            <w:tcW w:w="668" w:type="pct"/>
            <w:vMerge/>
            <w:vAlign w:val="center"/>
          </w:tcPr>
          <w:p w:rsidR="00EE56C0" w:rsidRDefault="00EE56C0">
            <w:pPr>
              <w:pStyle w:val="afa"/>
              <w:rPr>
                <w:u w:val="single"/>
              </w:rPr>
            </w:pPr>
          </w:p>
        </w:tc>
        <w:tc>
          <w:tcPr>
            <w:tcW w:w="722" w:type="pct"/>
            <w:vMerge/>
            <w:vAlign w:val="center"/>
          </w:tcPr>
          <w:p w:rsidR="00EE56C0" w:rsidRDefault="00EE56C0">
            <w:pPr>
              <w:pStyle w:val="afa"/>
              <w:rPr>
                <w:u w:val="single"/>
              </w:rPr>
            </w:pPr>
          </w:p>
        </w:tc>
        <w:tc>
          <w:tcPr>
            <w:tcW w:w="587" w:type="pct"/>
            <w:vAlign w:val="center"/>
          </w:tcPr>
          <w:p w:rsidR="00EE56C0" w:rsidRDefault="000F36A1">
            <w:pPr>
              <w:pStyle w:val="afa"/>
              <w:rPr>
                <w:u w:val="single"/>
              </w:rPr>
            </w:pPr>
            <w:r>
              <w:rPr>
                <w:rFonts w:hint="eastAsia"/>
                <w:u w:val="single"/>
              </w:rPr>
              <w:t>1890</w:t>
            </w:r>
          </w:p>
        </w:tc>
        <w:tc>
          <w:tcPr>
            <w:tcW w:w="1577" w:type="pct"/>
            <w:gridSpan w:val="2"/>
            <w:vAlign w:val="center"/>
          </w:tcPr>
          <w:p w:rsidR="00EE56C0" w:rsidRDefault="000F36A1">
            <w:pPr>
              <w:pStyle w:val="afa"/>
              <w:rPr>
                <w:rFonts w:eastAsia="宋体"/>
                <w:u w:val="single"/>
              </w:rPr>
            </w:pPr>
            <w:r>
              <w:rPr>
                <w:rFonts w:hint="eastAsia"/>
                <w:u w:val="single"/>
              </w:rPr>
              <w:t>907.2</w:t>
            </w:r>
          </w:p>
        </w:tc>
        <w:tc>
          <w:tcPr>
            <w:tcW w:w="1446" w:type="pct"/>
            <w:gridSpan w:val="2"/>
            <w:vAlign w:val="center"/>
          </w:tcPr>
          <w:p w:rsidR="00EE56C0" w:rsidRDefault="000F36A1">
            <w:pPr>
              <w:pStyle w:val="afa"/>
              <w:rPr>
                <w:rFonts w:eastAsia="宋体"/>
                <w:u w:val="single"/>
              </w:rPr>
            </w:pPr>
            <w:r>
              <w:rPr>
                <w:rFonts w:hint="eastAsia"/>
                <w:u w:val="single"/>
              </w:rPr>
              <w:t>283.5</w:t>
            </w:r>
          </w:p>
        </w:tc>
      </w:tr>
      <w:tr w:rsidR="00EE56C0">
        <w:trPr>
          <w:trHeight w:val="454"/>
        </w:trPr>
        <w:tc>
          <w:tcPr>
            <w:tcW w:w="668" w:type="pct"/>
            <w:vMerge/>
            <w:vAlign w:val="center"/>
          </w:tcPr>
          <w:p w:rsidR="00EE56C0" w:rsidRDefault="00EE56C0">
            <w:pPr>
              <w:pStyle w:val="afa"/>
              <w:rPr>
                <w:u w:val="single"/>
              </w:rPr>
            </w:pPr>
          </w:p>
        </w:tc>
        <w:tc>
          <w:tcPr>
            <w:tcW w:w="722" w:type="pct"/>
            <w:vMerge w:val="restart"/>
            <w:vAlign w:val="center"/>
          </w:tcPr>
          <w:p w:rsidR="00EE56C0" w:rsidRDefault="000F36A1">
            <w:pPr>
              <w:pStyle w:val="afa"/>
              <w:rPr>
                <w:u w:val="single"/>
              </w:rPr>
            </w:pPr>
            <w:r>
              <w:rPr>
                <w:u w:val="single"/>
              </w:rPr>
              <w:t>聚酰胺酰亚胺漆</w:t>
            </w:r>
          </w:p>
        </w:tc>
        <w:tc>
          <w:tcPr>
            <w:tcW w:w="587" w:type="pct"/>
            <w:vMerge w:val="restart"/>
            <w:vAlign w:val="center"/>
          </w:tcPr>
          <w:p w:rsidR="00EE56C0" w:rsidRDefault="000F36A1">
            <w:pPr>
              <w:pStyle w:val="afa"/>
              <w:rPr>
                <w:u w:val="single"/>
              </w:rPr>
            </w:pPr>
            <w:r>
              <w:rPr>
                <w:rFonts w:hint="eastAsia"/>
                <w:u w:val="single"/>
              </w:rPr>
              <w:t>/</w:t>
            </w:r>
          </w:p>
        </w:tc>
        <w:tc>
          <w:tcPr>
            <w:tcW w:w="917" w:type="pct"/>
            <w:vAlign w:val="center"/>
          </w:tcPr>
          <w:p w:rsidR="00EE56C0" w:rsidRDefault="007B2328">
            <w:pPr>
              <w:pStyle w:val="afa"/>
              <w:rPr>
                <w:u w:val="single"/>
              </w:rPr>
            </w:pPr>
            <w:r>
              <w:rPr>
                <w:rFonts w:hint="eastAsia"/>
                <w:u w:val="single"/>
              </w:rPr>
              <w:t>NMP</w:t>
            </w:r>
            <w:r>
              <w:rPr>
                <w:rFonts w:hint="eastAsia"/>
                <w:u w:val="single"/>
              </w:rPr>
              <w:t>、</w:t>
            </w:r>
            <w:r>
              <w:rPr>
                <w:rFonts w:hint="eastAsia"/>
                <w:u w:val="single"/>
              </w:rPr>
              <w:t>N,N-</w:t>
            </w:r>
            <w:r>
              <w:rPr>
                <w:rFonts w:hint="eastAsia"/>
                <w:u w:val="single"/>
              </w:rPr>
              <w:t>二甲基乙酰胺、</w:t>
            </w:r>
            <w:r>
              <w:rPr>
                <w:rFonts w:hint="eastAsia"/>
                <w:u w:val="single"/>
              </w:rPr>
              <w:t>N,N-</w:t>
            </w:r>
            <w:r>
              <w:rPr>
                <w:rFonts w:hint="eastAsia"/>
                <w:u w:val="single"/>
              </w:rPr>
              <w:t>二甲基甲酰胺</w:t>
            </w:r>
            <w:r w:rsidR="000F36A1">
              <w:rPr>
                <w:rFonts w:hint="eastAsia"/>
                <w:u w:val="single"/>
              </w:rPr>
              <w:t>（以非甲烷总烃计）</w:t>
            </w:r>
          </w:p>
        </w:tc>
        <w:tc>
          <w:tcPr>
            <w:tcW w:w="660" w:type="pct"/>
            <w:vAlign w:val="center"/>
          </w:tcPr>
          <w:p w:rsidR="00EE56C0" w:rsidRDefault="000F36A1">
            <w:pPr>
              <w:pStyle w:val="afa"/>
              <w:rPr>
                <w:u w:val="single"/>
              </w:rPr>
            </w:pPr>
            <w:r>
              <w:rPr>
                <w:rFonts w:hint="eastAsia"/>
                <w:u w:val="single"/>
              </w:rPr>
              <w:t>二甲苯</w:t>
            </w:r>
          </w:p>
        </w:tc>
        <w:tc>
          <w:tcPr>
            <w:tcW w:w="1446" w:type="pct"/>
            <w:gridSpan w:val="2"/>
            <w:vAlign w:val="center"/>
          </w:tcPr>
          <w:p w:rsidR="00EE56C0" w:rsidRDefault="000F36A1">
            <w:pPr>
              <w:pStyle w:val="afa"/>
              <w:rPr>
                <w:u w:val="single"/>
              </w:rPr>
            </w:pPr>
            <w:r>
              <w:rPr>
                <w:rFonts w:hint="eastAsia"/>
                <w:u w:val="single"/>
              </w:rPr>
              <w:t>/</w:t>
            </w:r>
          </w:p>
        </w:tc>
      </w:tr>
      <w:tr w:rsidR="00EE56C0">
        <w:trPr>
          <w:trHeight w:val="490"/>
        </w:trPr>
        <w:tc>
          <w:tcPr>
            <w:tcW w:w="668" w:type="pct"/>
            <w:vMerge/>
            <w:vAlign w:val="center"/>
          </w:tcPr>
          <w:p w:rsidR="00EE56C0" w:rsidRDefault="00EE56C0">
            <w:pPr>
              <w:pStyle w:val="afa"/>
              <w:rPr>
                <w:u w:val="single"/>
              </w:rPr>
            </w:pPr>
          </w:p>
        </w:tc>
        <w:tc>
          <w:tcPr>
            <w:tcW w:w="722" w:type="pct"/>
            <w:vMerge/>
            <w:vAlign w:val="center"/>
          </w:tcPr>
          <w:p w:rsidR="00EE56C0" w:rsidRDefault="00EE56C0">
            <w:pPr>
              <w:pStyle w:val="afa"/>
              <w:rPr>
                <w:u w:val="single"/>
              </w:rPr>
            </w:pPr>
          </w:p>
        </w:tc>
        <w:tc>
          <w:tcPr>
            <w:tcW w:w="587" w:type="pct"/>
            <w:vMerge/>
            <w:vAlign w:val="center"/>
          </w:tcPr>
          <w:p w:rsidR="00EE56C0" w:rsidRDefault="00EE56C0">
            <w:pPr>
              <w:pStyle w:val="afa"/>
              <w:rPr>
                <w:u w:val="single"/>
              </w:rPr>
            </w:pPr>
          </w:p>
        </w:tc>
        <w:tc>
          <w:tcPr>
            <w:tcW w:w="917" w:type="pct"/>
            <w:vAlign w:val="center"/>
          </w:tcPr>
          <w:p w:rsidR="00EE56C0" w:rsidRDefault="000F36A1">
            <w:pPr>
              <w:pStyle w:val="afa"/>
              <w:rPr>
                <w:u w:val="single"/>
              </w:rPr>
            </w:pPr>
            <w:r>
              <w:rPr>
                <w:rFonts w:hint="eastAsia"/>
                <w:u w:val="single"/>
              </w:rPr>
              <w:t>55</w:t>
            </w:r>
            <w:r>
              <w:rPr>
                <w:u w:val="single"/>
              </w:rPr>
              <w:t>%</w:t>
            </w:r>
          </w:p>
        </w:tc>
        <w:tc>
          <w:tcPr>
            <w:tcW w:w="660" w:type="pct"/>
            <w:vAlign w:val="center"/>
          </w:tcPr>
          <w:p w:rsidR="00EE56C0" w:rsidRDefault="000F36A1">
            <w:pPr>
              <w:pStyle w:val="afa"/>
              <w:rPr>
                <w:u w:val="single"/>
              </w:rPr>
            </w:pPr>
            <w:r>
              <w:rPr>
                <w:rFonts w:hint="eastAsia"/>
                <w:u w:val="single"/>
              </w:rPr>
              <w:t>15</w:t>
            </w:r>
            <w:r>
              <w:rPr>
                <w:u w:val="single"/>
              </w:rPr>
              <w:t>%</w:t>
            </w:r>
          </w:p>
        </w:tc>
        <w:tc>
          <w:tcPr>
            <w:tcW w:w="1446" w:type="pct"/>
            <w:gridSpan w:val="2"/>
            <w:vAlign w:val="center"/>
          </w:tcPr>
          <w:p w:rsidR="00EE56C0" w:rsidRDefault="000F36A1">
            <w:pPr>
              <w:pStyle w:val="afa"/>
              <w:rPr>
                <w:u w:val="single"/>
              </w:rPr>
            </w:pPr>
            <w:r>
              <w:rPr>
                <w:rFonts w:hint="eastAsia"/>
                <w:u w:val="single"/>
              </w:rPr>
              <w:t>/</w:t>
            </w:r>
          </w:p>
        </w:tc>
      </w:tr>
      <w:tr w:rsidR="00EE56C0">
        <w:trPr>
          <w:trHeight w:val="454"/>
        </w:trPr>
        <w:tc>
          <w:tcPr>
            <w:tcW w:w="668" w:type="pct"/>
            <w:vMerge/>
            <w:vAlign w:val="center"/>
          </w:tcPr>
          <w:p w:rsidR="00EE56C0" w:rsidRDefault="00EE56C0">
            <w:pPr>
              <w:pStyle w:val="afa"/>
              <w:rPr>
                <w:u w:val="single"/>
              </w:rPr>
            </w:pPr>
          </w:p>
        </w:tc>
        <w:tc>
          <w:tcPr>
            <w:tcW w:w="722" w:type="pct"/>
            <w:vMerge/>
            <w:vAlign w:val="center"/>
          </w:tcPr>
          <w:p w:rsidR="00EE56C0" w:rsidRDefault="00EE56C0">
            <w:pPr>
              <w:pStyle w:val="afa"/>
              <w:rPr>
                <w:u w:val="single"/>
              </w:rPr>
            </w:pPr>
          </w:p>
        </w:tc>
        <w:tc>
          <w:tcPr>
            <w:tcW w:w="587" w:type="pct"/>
            <w:vAlign w:val="center"/>
          </w:tcPr>
          <w:p w:rsidR="00EE56C0" w:rsidRDefault="000F36A1">
            <w:pPr>
              <w:pStyle w:val="afa"/>
              <w:rPr>
                <w:u w:val="single"/>
              </w:rPr>
            </w:pPr>
            <w:r>
              <w:rPr>
                <w:rFonts w:hint="eastAsia"/>
                <w:u w:val="single"/>
              </w:rPr>
              <w:t>630</w:t>
            </w:r>
          </w:p>
        </w:tc>
        <w:tc>
          <w:tcPr>
            <w:tcW w:w="917" w:type="pct"/>
            <w:vAlign w:val="center"/>
          </w:tcPr>
          <w:p w:rsidR="00EE56C0" w:rsidRDefault="000F36A1">
            <w:pPr>
              <w:pStyle w:val="afa"/>
              <w:rPr>
                <w:rFonts w:eastAsia="宋体"/>
                <w:u w:val="single"/>
              </w:rPr>
            </w:pPr>
            <w:r>
              <w:rPr>
                <w:rFonts w:hint="eastAsia"/>
                <w:u w:val="single"/>
              </w:rPr>
              <w:t>346.5</w:t>
            </w:r>
          </w:p>
        </w:tc>
        <w:tc>
          <w:tcPr>
            <w:tcW w:w="660" w:type="pct"/>
            <w:vAlign w:val="center"/>
          </w:tcPr>
          <w:p w:rsidR="00EE56C0" w:rsidRDefault="000F36A1">
            <w:pPr>
              <w:pStyle w:val="afa"/>
              <w:rPr>
                <w:rFonts w:eastAsia="宋体"/>
                <w:u w:val="single"/>
              </w:rPr>
            </w:pPr>
            <w:r>
              <w:rPr>
                <w:rFonts w:hint="eastAsia"/>
                <w:u w:val="single"/>
              </w:rPr>
              <w:t>94.5</w:t>
            </w:r>
          </w:p>
        </w:tc>
        <w:tc>
          <w:tcPr>
            <w:tcW w:w="1446" w:type="pct"/>
            <w:gridSpan w:val="2"/>
            <w:vAlign w:val="center"/>
          </w:tcPr>
          <w:p w:rsidR="00EE56C0" w:rsidRDefault="000F36A1">
            <w:pPr>
              <w:pStyle w:val="afa"/>
              <w:rPr>
                <w:u w:val="single"/>
              </w:rPr>
            </w:pPr>
            <w:r>
              <w:rPr>
                <w:rFonts w:hint="eastAsia"/>
                <w:u w:val="single"/>
              </w:rPr>
              <w:t>/</w:t>
            </w:r>
          </w:p>
        </w:tc>
      </w:tr>
      <w:tr w:rsidR="00EE56C0">
        <w:trPr>
          <w:trHeight w:val="454"/>
        </w:trPr>
        <w:tc>
          <w:tcPr>
            <w:tcW w:w="668" w:type="pct"/>
            <w:vMerge w:val="restart"/>
            <w:vAlign w:val="center"/>
          </w:tcPr>
          <w:p w:rsidR="00EE56C0" w:rsidRDefault="000F36A1">
            <w:pPr>
              <w:pStyle w:val="afa"/>
              <w:rPr>
                <w:u w:val="single"/>
              </w:rPr>
            </w:pPr>
            <w:r>
              <w:rPr>
                <w:rFonts w:hint="eastAsia"/>
                <w:u w:val="single"/>
              </w:rPr>
              <w:t>丝包线</w:t>
            </w:r>
          </w:p>
        </w:tc>
        <w:tc>
          <w:tcPr>
            <w:tcW w:w="722" w:type="pct"/>
            <w:vMerge w:val="restart"/>
            <w:vAlign w:val="center"/>
          </w:tcPr>
          <w:p w:rsidR="00EE56C0" w:rsidRDefault="000F36A1">
            <w:pPr>
              <w:pStyle w:val="afa"/>
              <w:rPr>
                <w:u w:val="single"/>
              </w:rPr>
            </w:pPr>
            <w:r>
              <w:rPr>
                <w:rFonts w:hint="eastAsia"/>
                <w:u w:val="single"/>
              </w:rPr>
              <w:t>丝包漆</w:t>
            </w:r>
          </w:p>
        </w:tc>
        <w:tc>
          <w:tcPr>
            <w:tcW w:w="587" w:type="pct"/>
            <w:vMerge w:val="restart"/>
            <w:vAlign w:val="center"/>
          </w:tcPr>
          <w:p w:rsidR="00EE56C0" w:rsidRDefault="000F36A1">
            <w:pPr>
              <w:pStyle w:val="afa"/>
              <w:rPr>
                <w:u w:val="single"/>
              </w:rPr>
            </w:pPr>
            <w:r>
              <w:rPr>
                <w:rFonts w:hint="eastAsia"/>
                <w:u w:val="single"/>
              </w:rPr>
              <w:t>/</w:t>
            </w:r>
          </w:p>
        </w:tc>
        <w:tc>
          <w:tcPr>
            <w:tcW w:w="917" w:type="pct"/>
            <w:vAlign w:val="center"/>
          </w:tcPr>
          <w:p w:rsidR="00EE56C0" w:rsidRDefault="000F36A1">
            <w:pPr>
              <w:pStyle w:val="afa"/>
              <w:rPr>
                <w:u w:val="single"/>
              </w:rPr>
            </w:pPr>
            <w:r>
              <w:rPr>
                <w:rFonts w:hint="eastAsia"/>
                <w:u w:val="single"/>
              </w:rPr>
              <w:t>甲苯</w:t>
            </w:r>
          </w:p>
        </w:tc>
        <w:tc>
          <w:tcPr>
            <w:tcW w:w="660" w:type="pct"/>
            <w:vAlign w:val="center"/>
          </w:tcPr>
          <w:p w:rsidR="00EE56C0" w:rsidRDefault="000F36A1">
            <w:pPr>
              <w:pStyle w:val="afa"/>
              <w:rPr>
                <w:u w:val="single"/>
              </w:rPr>
            </w:pPr>
            <w:r>
              <w:rPr>
                <w:rFonts w:hint="eastAsia"/>
                <w:u w:val="single"/>
              </w:rPr>
              <w:t>二甲苯</w:t>
            </w:r>
          </w:p>
        </w:tc>
        <w:tc>
          <w:tcPr>
            <w:tcW w:w="902" w:type="pct"/>
            <w:vAlign w:val="center"/>
          </w:tcPr>
          <w:p w:rsidR="00EE56C0" w:rsidRDefault="000F36A1">
            <w:pPr>
              <w:pStyle w:val="afa"/>
              <w:rPr>
                <w:u w:val="single"/>
              </w:rPr>
            </w:pPr>
            <w:r>
              <w:rPr>
                <w:rFonts w:hint="eastAsia"/>
                <w:u w:val="single"/>
              </w:rPr>
              <w:t>丁醇（以非甲烷总烃计）</w:t>
            </w:r>
          </w:p>
        </w:tc>
        <w:tc>
          <w:tcPr>
            <w:tcW w:w="544" w:type="pct"/>
            <w:vAlign w:val="center"/>
          </w:tcPr>
          <w:p w:rsidR="00EE56C0" w:rsidRDefault="000F36A1">
            <w:pPr>
              <w:pStyle w:val="afa"/>
              <w:rPr>
                <w:u w:val="single"/>
              </w:rPr>
            </w:pPr>
            <w:r>
              <w:rPr>
                <w:rFonts w:hint="eastAsia"/>
                <w:u w:val="single"/>
              </w:rPr>
              <w:t>苯</w:t>
            </w:r>
          </w:p>
        </w:tc>
      </w:tr>
      <w:tr w:rsidR="00EE56C0">
        <w:trPr>
          <w:trHeight w:val="454"/>
        </w:trPr>
        <w:tc>
          <w:tcPr>
            <w:tcW w:w="668" w:type="pct"/>
            <w:vMerge/>
            <w:vAlign w:val="center"/>
          </w:tcPr>
          <w:p w:rsidR="00EE56C0" w:rsidRDefault="00EE56C0">
            <w:pPr>
              <w:pStyle w:val="afa"/>
              <w:rPr>
                <w:u w:val="single"/>
              </w:rPr>
            </w:pPr>
          </w:p>
        </w:tc>
        <w:tc>
          <w:tcPr>
            <w:tcW w:w="722" w:type="pct"/>
            <w:vMerge/>
            <w:vAlign w:val="center"/>
          </w:tcPr>
          <w:p w:rsidR="00EE56C0" w:rsidRDefault="00EE56C0">
            <w:pPr>
              <w:pStyle w:val="afa"/>
              <w:rPr>
                <w:u w:val="single"/>
              </w:rPr>
            </w:pPr>
          </w:p>
        </w:tc>
        <w:tc>
          <w:tcPr>
            <w:tcW w:w="587" w:type="pct"/>
            <w:vMerge/>
            <w:vAlign w:val="center"/>
          </w:tcPr>
          <w:p w:rsidR="00EE56C0" w:rsidRDefault="00EE56C0">
            <w:pPr>
              <w:pStyle w:val="afa"/>
              <w:rPr>
                <w:u w:val="single"/>
              </w:rPr>
            </w:pPr>
          </w:p>
        </w:tc>
        <w:tc>
          <w:tcPr>
            <w:tcW w:w="917" w:type="pct"/>
            <w:vAlign w:val="center"/>
          </w:tcPr>
          <w:p w:rsidR="00EE56C0" w:rsidRDefault="000F36A1">
            <w:pPr>
              <w:pStyle w:val="afa"/>
              <w:rPr>
                <w:u w:val="single"/>
              </w:rPr>
            </w:pPr>
            <w:r>
              <w:rPr>
                <w:rFonts w:hint="eastAsia"/>
                <w:u w:val="single"/>
              </w:rPr>
              <w:t>15</w:t>
            </w:r>
            <w:r>
              <w:rPr>
                <w:u w:val="single"/>
              </w:rPr>
              <w:t>%</w:t>
            </w:r>
          </w:p>
        </w:tc>
        <w:tc>
          <w:tcPr>
            <w:tcW w:w="660" w:type="pct"/>
            <w:vAlign w:val="center"/>
          </w:tcPr>
          <w:p w:rsidR="00EE56C0" w:rsidRDefault="000F36A1">
            <w:pPr>
              <w:pStyle w:val="afa"/>
              <w:rPr>
                <w:u w:val="single"/>
              </w:rPr>
            </w:pPr>
            <w:r>
              <w:rPr>
                <w:rFonts w:hint="eastAsia"/>
                <w:u w:val="single"/>
              </w:rPr>
              <w:t>15</w:t>
            </w:r>
            <w:r>
              <w:rPr>
                <w:u w:val="single"/>
              </w:rPr>
              <w:t>%</w:t>
            </w:r>
          </w:p>
        </w:tc>
        <w:tc>
          <w:tcPr>
            <w:tcW w:w="902" w:type="pct"/>
            <w:vAlign w:val="center"/>
          </w:tcPr>
          <w:p w:rsidR="00EE56C0" w:rsidRDefault="000F36A1">
            <w:pPr>
              <w:pStyle w:val="afa"/>
              <w:rPr>
                <w:u w:val="single"/>
              </w:rPr>
            </w:pPr>
            <w:r>
              <w:rPr>
                <w:rFonts w:hint="eastAsia"/>
                <w:u w:val="single"/>
              </w:rPr>
              <w:t>5%</w:t>
            </w:r>
          </w:p>
        </w:tc>
        <w:tc>
          <w:tcPr>
            <w:tcW w:w="544" w:type="pct"/>
            <w:vAlign w:val="center"/>
          </w:tcPr>
          <w:p w:rsidR="00EE56C0" w:rsidRDefault="000F36A1">
            <w:pPr>
              <w:pStyle w:val="afa"/>
              <w:rPr>
                <w:u w:val="single"/>
              </w:rPr>
            </w:pPr>
            <w:r>
              <w:rPr>
                <w:rFonts w:hint="eastAsia"/>
                <w:u w:val="single"/>
              </w:rPr>
              <w:t>5%</w:t>
            </w:r>
          </w:p>
        </w:tc>
      </w:tr>
      <w:tr w:rsidR="00EE56C0">
        <w:trPr>
          <w:trHeight w:val="454"/>
        </w:trPr>
        <w:tc>
          <w:tcPr>
            <w:tcW w:w="668" w:type="pct"/>
            <w:vMerge/>
            <w:vAlign w:val="center"/>
          </w:tcPr>
          <w:p w:rsidR="00EE56C0" w:rsidRDefault="00EE56C0">
            <w:pPr>
              <w:pStyle w:val="afa"/>
              <w:rPr>
                <w:u w:val="single"/>
              </w:rPr>
            </w:pPr>
          </w:p>
        </w:tc>
        <w:tc>
          <w:tcPr>
            <w:tcW w:w="722" w:type="pct"/>
            <w:vMerge/>
            <w:vAlign w:val="center"/>
          </w:tcPr>
          <w:p w:rsidR="00EE56C0" w:rsidRDefault="00EE56C0">
            <w:pPr>
              <w:pStyle w:val="afa"/>
              <w:rPr>
                <w:u w:val="single"/>
              </w:rPr>
            </w:pPr>
          </w:p>
        </w:tc>
        <w:tc>
          <w:tcPr>
            <w:tcW w:w="587" w:type="pct"/>
            <w:vAlign w:val="center"/>
          </w:tcPr>
          <w:p w:rsidR="00EE56C0" w:rsidRDefault="000F36A1">
            <w:pPr>
              <w:pStyle w:val="afa"/>
              <w:rPr>
                <w:u w:val="single"/>
              </w:rPr>
            </w:pPr>
            <w:r>
              <w:rPr>
                <w:rFonts w:hint="eastAsia"/>
                <w:u w:val="single"/>
              </w:rPr>
              <w:t>43.2</w:t>
            </w:r>
          </w:p>
        </w:tc>
        <w:tc>
          <w:tcPr>
            <w:tcW w:w="917" w:type="pct"/>
            <w:vAlign w:val="center"/>
          </w:tcPr>
          <w:p w:rsidR="00EE56C0" w:rsidRDefault="000F36A1">
            <w:pPr>
              <w:pStyle w:val="afa"/>
              <w:rPr>
                <w:rFonts w:eastAsia="宋体"/>
                <w:u w:val="single"/>
              </w:rPr>
            </w:pPr>
            <w:r>
              <w:rPr>
                <w:u w:val="single"/>
              </w:rPr>
              <w:t>6.48</w:t>
            </w:r>
          </w:p>
        </w:tc>
        <w:tc>
          <w:tcPr>
            <w:tcW w:w="660" w:type="pct"/>
            <w:vAlign w:val="center"/>
          </w:tcPr>
          <w:p w:rsidR="00EE56C0" w:rsidRDefault="000F36A1">
            <w:pPr>
              <w:pStyle w:val="afa"/>
              <w:rPr>
                <w:rFonts w:eastAsia="宋体"/>
                <w:u w:val="single"/>
              </w:rPr>
            </w:pPr>
            <w:r>
              <w:rPr>
                <w:u w:val="single"/>
              </w:rPr>
              <w:t>6.480</w:t>
            </w:r>
          </w:p>
        </w:tc>
        <w:tc>
          <w:tcPr>
            <w:tcW w:w="902" w:type="pct"/>
            <w:vAlign w:val="center"/>
          </w:tcPr>
          <w:p w:rsidR="00EE56C0" w:rsidRDefault="000F36A1">
            <w:pPr>
              <w:pStyle w:val="afa"/>
              <w:rPr>
                <w:rFonts w:eastAsia="宋体"/>
                <w:u w:val="single"/>
              </w:rPr>
            </w:pPr>
            <w:r>
              <w:rPr>
                <w:u w:val="single"/>
              </w:rPr>
              <w:t>2.16</w:t>
            </w:r>
          </w:p>
        </w:tc>
        <w:tc>
          <w:tcPr>
            <w:tcW w:w="544" w:type="pct"/>
            <w:vAlign w:val="center"/>
          </w:tcPr>
          <w:p w:rsidR="00EE56C0" w:rsidRDefault="000F36A1">
            <w:pPr>
              <w:pStyle w:val="afa"/>
              <w:rPr>
                <w:rFonts w:eastAsia="宋体"/>
                <w:u w:val="single"/>
              </w:rPr>
            </w:pPr>
            <w:r>
              <w:rPr>
                <w:u w:val="single"/>
              </w:rPr>
              <w:t xml:space="preserve">2.16 </w:t>
            </w:r>
          </w:p>
        </w:tc>
      </w:tr>
    </w:tbl>
    <w:p w:rsidR="00EE56C0" w:rsidRDefault="000F36A1">
      <w:pPr>
        <w:ind w:firstLine="420"/>
        <w:rPr>
          <w:rFonts w:eastAsia="黑体"/>
          <w:sz w:val="21"/>
          <w:u w:val="single"/>
        </w:rPr>
      </w:pPr>
      <w:r>
        <w:rPr>
          <w:rFonts w:eastAsia="黑体" w:hAnsi="黑体"/>
          <w:sz w:val="21"/>
          <w:u w:val="single"/>
        </w:rPr>
        <w:t>注：</w:t>
      </w:r>
      <w:r>
        <w:rPr>
          <w:rFonts w:eastAsia="黑体" w:hAnsi="黑体" w:hint="eastAsia"/>
          <w:sz w:val="21"/>
          <w:u w:val="single"/>
        </w:rPr>
        <w:t>现有工程各组分评价取值原则与本工程类似，不再赘述。</w:t>
      </w:r>
    </w:p>
    <w:p w:rsidR="00EE56C0" w:rsidRDefault="000F36A1">
      <w:pPr>
        <w:pStyle w:val="aff4"/>
        <w:rPr>
          <w:lang w:val="zh-CN"/>
        </w:rPr>
      </w:pPr>
      <w:r>
        <w:rPr>
          <w:rFonts w:hint="eastAsia"/>
          <w:lang w:val="zh-CN"/>
        </w:rPr>
        <w:t>根据现有工程污染物排放总量指标，现有工程</w:t>
      </w:r>
      <w:r>
        <w:rPr>
          <w:rFonts w:hint="eastAsia"/>
        </w:rPr>
        <w:t>升级改造</w:t>
      </w:r>
      <w:r>
        <w:rPr>
          <w:rFonts w:hint="eastAsia"/>
          <w:lang w:val="zh-CN"/>
        </w:rPr>
        <w:t>前的排放量如下：</w:t>
      </w:r>
    </w:p>
    <w:p w:rsidR="00EE56C0" w:rsidRDefault="000F36A1">
      <w:pPr>
        <w:pStyle w:val="afd"/>
        <w:spacing w:before="120" w:after="120"/>
        <w:ind w:firstLine="482"/>
        <w:rPr>
          <w:rFonts w:ascii="Calibri" w:hAnsi="Calibri" w:cs="Calibri"/>
          <w:bCs/>
        </w:rPr>
      </w:pPr>
      <w:r>
        <w:rPr>
          <w:rFonts w:ascii="Calibri" w:hAnsi="Calibri" w:cs="Calibri" w:hint="eastAsia"/>
          <w:bCs/>
        </w:rPr>
        <w:t>表</w:t>
      </w:r>
      <w:r>
        <w:rPr>
          <w:rFonts w:ascii="Calibri" w:hAnsi="Calibri" w:cs="Calibri" w:hint="eastAsia"/>
          <w:bCs/>
        </w:rPr>
        <w:t xml:space="preserve">3-41    </w:t>
      </w:r>
      <w:r>
        <w:rPr>
          <w:rFonts w:hint="eastAsia"/>
          <w:lang w:val="zh-CN"/>
        </w:rPr>
        <w:t>现有工程</w:t>
      </w:r>
      <w:r>
        <w:rPr>
          <w:rFonts w:hint="eastAsia"/>
        </w:rPr>
        <w:t>升级改造</w:t>
      </w:r>
      <w:r>
        <w:rPr>
          <w:rFonts w:hint="eastAsia"/>
          <w:lang w:val="zh-CN"/>
        </w:rPr>
        <w:t>前的</w:t>
      </w:r>
      <w:r>
        <w:rPr>
          <w:rFonts w:hint="eastAsia"/>
          <w:lang w:val="zh-CN"/>
        </w:rPr>
        <w:t>VOCs</w:t>
      </w:r>
      <w:r>
        <w:rPr>
          <w:rFonts w:hint="eastAsia"/>
          <w:lang w:val="zh-CN"/>
        </w:rPr>
        <w:t>排放量</w:t>
      </w:r>
      <w:r>
        <w:rPr>
          <w:rFonts w:hint="eastAsia"/>
          <w:lang w:val="zh-CN"/>
        </w:rPr>
        <w:t xml:space="preserve">    </w:t>
      </w:r>
      <w:r>
        <w:rPr>
          <w:rFonts w:ascii="宋体" w:cs="宋体" w:hint="eastAsia"/>
          <w:lang w:val="zh-CN"/>
        </w:rPr>
        <w:t xml:space="preserve">  单位：t/a</w:t>
      </w:r>
    </w:p>
    <w:tbl>
      <w:tblPr>
        <w:tblStyle w:val="af4"/>
        <w:tblW w:w="5000" w:type="pct"/>
        <w:tblLook w:val="04A0"/>
      </w:tblPr>
      <w:tblGrid>
        <w:gridCol w:w="2308"/>
        <w:gridCol w:w="2337"/>
        <w:gridCol w:w="1985"/>
        <w:gridCol w:w="1898"/>
      </w:tblGrid>
      <w:tr w:rsidR="00EE56C0">
        <w:trPr>
          <w:trHeight w:val="454"/>
        </w:trPr>
        <w:tc>
          <w:tcPr>
            <w:tcW w:w="1353" w:type="pct"/>
            <w:vMerge w:val="restart"/>
            <w:vAlign w:val="center"/>
          </w:tcPr>
          <w:p w:rsidR="00EE56C0" w:rsidRDefault="000F36A1">
            <w:pPr>
              <w:pStyle w:val="afa"/>
              <w:rPr>
                <w:b/>
                <w:sz w:val="22"/>
                <w:szCs w:val="22"/>
                <w:lang w:val="zh-CN"/>
              </w:rPr>
            </w:pPr>
            <w:r>
              <w:rPr>
                <w:rFonts w:hint="eastAsia"/>
                <w:b/>
                <w:sz w:val="22"/>
                <w:szCs w:val="22"/>
                <w:lang w:val="zh-CN"/>
              </w:rPr>
              <w:t>污染因子</w:t>
            </w:r>
          </w:p>
        </w:tc>
        <w:tc>
          <w:tcPr>
            <w:tcW w:w="3647" w:type="pct"/>
            <w:gridSpan w:val="3"/>
            <w:vAlign w:val="center"/>
          </w:tcPr>
          <w:p w:rsidR="00EE56C0" w:rsidRDefault="000F36A1">
            <w:pPr>
              <w:pStyle w:val="afa"/>
              <w:rPr>
                <w:b/>
                <w:sz w:val="22"/>
                <w:szCs w:val="22"/>
                <w:lang w:val="zh-CN"/>
              </w:rPr>
            </w:pPr>
            <w:r>
              <w:rPr>
                <w:rFonts w:hint="eastAsia"/>
                <w:b/>
                <w:sz w:val="22"/>
                <w:szCs w:val="22"/>
                <w:lang w:val="zh-CN"/>
              </w:rPr>
              <w:t>升级改造前：</w:t>
            </w:r>
            <w:r>
              <w:rPr>
                <w:rFonts w:hint="eastAsia"/>
                <w:b/>
                <w:sz w:val="22"/>
                <w:szCs w:val="22"/>
                <w:lang w:val="zh-CN"/>
              </w:rPr>
              <w:t>VOCs</w:t>
            </w:r>
            <w:r>
              <w:rPr>
                <w:rFonts w:hint="eastAsia"/>
                <w:b/>
                <w:sz w:val="22"/>
                <w:szCs w:val="22"/>
                <w:lang w:val="zh-CN"/>
              </w:rPr>
              <w:t>排放量</w:t>
            </w:r>
          </w:p>
        </w:tc>
      </w:tr>
      <w:tr w:rsidR="00EE56C0">
        <w:trPr>
          <w:trHeight w:val="454"/>
        </w:trPr>
        <w:tc>
          <w:tcPr>
            <w:tcW w:w="1353" w:type="pct"/>
            <w:vMerge/>
            <w:vAlign w:val="center"/>
          </w:tcPr>
          <w:p w:rsidR="00EE56C0" w:rsidRDefault="00EE56C0">
            <w:pPr>
              <w:pStyle w:val="afa"/>
              <w:rPr>
                <w:b/>
                <w:sz w:val="22"/>
                <w:szCs w:val="22"/>
                <w:lang w:val="zh-CN"/>
              </w:rPr>
            </w:pPr>
          </w:p>
        </w:tc>
        <w:tc>
          <w:tcPr>
            <w:tcW w:w="1370" w:type="pct"/>
            <w:vAlign w:val="center"/>
          </w:tcPr>
          <w:p w:rsidR="00EE56C0" w:rsidRDefault="000F36A1">
            <w:pPr>
              <w:pStyle w:val="afa"/>
              <w:rPr>
                <w:b/>
                <w:sz w:val="22"/>
                <w:szCs w:val="22"/>
                <w:lang w:val="zh-CN"/>
              </w:rPr>
            </w:pPr>
            <w:r>
              <w:rPr>
                <w:rFonts w:hint="eastAsia"/>
                <w:b/>
                <w:lang w:val="zh-CN"/>
              </w:rPr>
              <w:t>有组织</w:t>
            </w:r>
          </w:p>
        </w:tc>
        <w:tc>
          <w:tcPr>
            <w:tcW w:w="1164" w:type="pct"/>
            <w:vAlign w:val="center"/>
          </w:tcPr>
          <w:p w:rsidR="00EE56C0" w:rsidRDefault="000F36A1">
            <w:pPr>
              <w:pStyle w:val="afa"/>
              <w:rPr>
                <w:b/>
                <w:sz w:val="22"/>
                <w:szCs w:val="22"/>
                <w:lang w:val="zh-CN"/>
              </w:rPr>
            </w:pPr>
            <w:r>
              <w:rPr>
                <w:rFonts w:hint="eastAsia"/>
                <w:b/>
                <w:lang w:val="zh-CN"/>
              </w:rPr>
              <w:t>无组织</w:t>
            </w:r>
          </w:p>
        </w:tc>
        <w:tc>
          <w:tcPr>
            <w:tcW w:w="1113" w:type="pct"/>
            <w:vAlign w:val="center"/>
          </w:tcPr>
          <w:p w:rsidR="00EE56C0" w:rsidRDefault="000F36A1">
            <w:pPr>
              <w:pStyle w:val="afa"/>
              <w:rPr>
                <w:b/>
                <w:sz w:val="22"/>
                <w:szCs w:val="22"/>
                <w:lang w:val="zh-CN"/>
              </w:rPr>
            </w:pPr>
            <w:r>
              <w:rPr>
                <w:rFonts w:hint="eastAsia"/>
                <w:b/>
                <w:sz w:val="22"/>
                <w:szCs w:val="22"/>
                <w:lang w:val="zh-CN"/>
              </w:rPr>
              <w:t>合计</w:t>
            </w:r>
          </w:p>
        </w:tc>
      </w:tr>
      <w:tr w:rsidR="00EE56C0">
        <w:trPr>
          <w:trHeight w:val="454"/>
        </w:trPr>
        <w:tc>
          <w:tcPr>
            <w:tcW w:w="1353" w:type="pct"/>
            <w:vAlign w:val="center"/>
          </w:tcPr>
          <w:p w:rsidR="00EE56C0" w:rsidRDefault="000F36A1">
            <w:pPr>
              <w:pStyle w:val="afa"/>
              <w:rPr>
                <w:rFonts w:ascii="宋体" w:eastAsia="宋体" w:hAnsi="宋体" w:cs="宋体"/>
              </w:rPr>
            </w:pPr>
            <w:r>
              <w:rPr>
                <w:rFonts w:hint="eastAsia"/>
              </w:rPr>
              <w:t>酚</w:t>
            </w:r>
          </w:p>
        </w:tc>
        <w:tc>
          <w:tcPr>
            <w:tcW w:w="1370" w:type="pct"/>
            <w:vAlign w:val="center"/>
          </w:tcPr>
          <w:p w:rsidR="00EE56C0" w:rsidRDefault="000F36A1">
            <w:pPr>
              <w:pStyle w:val="afa"/>
              <w:rPr>
                <w:spacing w:val="-4"/>
              </w:rPr>
            </w:pPr>
            <w:r>
              <w:rPr>
                <w:rFonts w:hint="eastAsia"/>
                <w:spacing w:val="-4"/>
              </w:rPr>
              <w:t>0.5616</w:t>
            </w:r>
          </w:p>
        </w:tc>
        <w:tc>
          <w:tcPr>
            <w:tcW w:w="1164" w:type="pct"/>
            <w:vAlign w:val="center"/>
          </w:tcPr>
          <w:p w:rsidR="00EE56C0" w:rsidRDefault="000F36A1">
            <w:pPr>
              <w:pStyle w:val="afa"/>
              <w:rPr>
                <w:rFonts w:eastAsia="宋体"/>
              </w:rPr>
            </w:pPr>
            <w:r>
              <w:t xml:space="preserve">3.5876 </w:t>
            </w:r>
          </w:p>
        </w:tc>
        <w:tc>
          <w:tcPr>
            <w:tcW w:w="1113" w:type="pct"/>
            <w:vAlign w:val="center"/>
          </w:tcPr>
          <w:p w:rsidR="00EE56C0" w:rsidRDefault="000F36A1">
            <w:pPr>
              <w:pStyle w:val="afa"/>
              <w:rPr>
                <w:rFonts w:ascii="宋体" w:eastAsia="宋体" w:hAnsi="宋体" w:cs="宋体"/>
              </w:rPr>
            </w:pPr>
            <w:r>
              <w:rPr>
                <w:rFonts w:hint="eastAsia"/>
              </w:rPr>
              <w:t xml:space="preserve">4.1492 </w:t>
            </w:r>
          </w:p>
        </w:tc>
      </w:tr>
      <w:tr w:rsidR="00EE56C0">
        <w:trPr>
          <w:trHeight w:val="454"/>
        </w:trPr>
        <w:tc>
          <w:tcPr>
            <w:tcW w:w="1353" w:type="pct"/>
            <w:vAlign w:val="center"/>
          </w:tcPr>
          <w:p w:rsidR="00EE56C0" w:rsidRDefault="000F36A1">
            <w:pPr>
              <w:pStyle w:val="afa"/>
              <w:rPr>
                <w:rFonts w:ascii="宋体" w:eastAsia="宋体" w:hAnsi="宋体" w:cs="宋体"/>
              </w:rPr>
            </w:pPr>
            <w:r>
              <w:rPr>
                <w:rFonts w:hint="eastAsia"/>
              </w:rPr>
              <w:t>非甲烷总烃</w:t>
            </w:r>
          </w:p>
        </w:tc>
        <w:tc>
          <w:tcPr>
            <w:tcW w:w="1370" w:type="pct"/>
            <w:vAlign w:val="center"/>
          </w:tcPr>
          <w:p w:rsidR="00EE56C0" w:rsidRDefault="000F36A1">
            <w:pPr>
              <w:pStyle w:val="afa"/>
              <w:rPr>
                <w:spacing w:val="-4"/>
              </w:rPr>
            </w:pPr>
            <w:r>
              <w:rPr>
                <w:rFonts w:hint="eastAsia"/>
                <w:spacing w:val="-4"/>
              </w:rPr>
              <w:t>4.3344</w:t>
            </w:r>
          </w:p>
        </w:tc>
        <w:tc>
          <w:tcPr>
            <w:tcW w:w="1164" w:type="pct"/>
            <w:vAlign w:val="center"/>
          </w:tcPr>
          <w:p w:rsidR="00EE56C0" w:rsidRDefault="000F36A1">
            <w:pPr>
              <w:pStyle w:val="afa"/>
              <w:rPr>
                <w:rFonts w:eastAsia="宋体"/>
              </w:rPr>
            </w:pPr>
            <w:r>
              <w:t xml:space="preserve">2.5232 </w:t>
            </w:r>
          </w:p>
        </w:tc>
        <w:tc>
          <w:tcPr>
            <w:tcW w:w="1113" w:type="pct"/>
            <w:vAlign w:val="center"/>
          </w:tcPr>
          <w:p w:rsidR="00EE56C0" w:rsidRDefault="000F36A1">
            <w:pPr>
              <w:pStyle w:val="afa"/>
              <w:rPr>
                <w:rFonts w:ascii="宋体" w:eastAsia="宋体" w:hAnsi="宋体" w:cs="宋体"/>
              </w:rPr>
            </w:pPr>
            <w:r>
              <w:rPr>
                <w:rFonts w:hint="eastAsia"/>
              </w:rPr>
              <w:t xml:space="preserve">6.8576 </w:t>
            </w:r>
          </w:p>
        </w:tc>
      </w:tr>
      <w:tr w:rsidR="00EE56C0">
        <w:trPr>
          <w:trHeight w:val="454"/>
        </w:trPr>
        <w:tc>
          <w:tcPr>
            <w:tcW w:w="1353" w:type="pct"/>
            <w:vAlign w:val="center"/>
          </w:tcPr>
          <w:p w:rsidR="00EE56C0" w:rsidRDefault="000F36A1">
            <w:pPr>
              <w:pStyle w:val="afa"/>
              <w:rPr>
                <w:rFonts w:ascii="宋体" w:eastAsia="宋体" w:hAnsi="宋体" w:cs="宋体"/>
              </w:rPr>
            </w:pPr>
            <w:r>
              <w:rPr>
                <w:rFonts w:hint="eastAsia"/>
              </w:rPr>
              <w:t>二甲苯</w:t>
            </w:r>
          </w:p>
        </w:tc>
        <w:tc>
          <w:tcPr>
            <w:tcW w:w="1370" w:type="pct"/>
            <w:vAlign w:val="center"/>
          </w:tcPr>
          <w:p w:rsidR="00EE56C0" w:rsidRDefault="000F36A1">
            <w:pPr>
              <w:pStyle w:val="afa"/>
              <w:rPr>
                <w:spacing w:val="-4"/>
              </w:rPr>
            </w:pPr>
            <w:r>
              <w:rPr>
                <w:rFonts w:hint="eastAsia"/>
                <w:spacing w:val="-4"/>
              </w:rPr>
              <w:t>5.4216</w:t>
            </w:r>
          </w:p>
        </w:tc>
        <w:tc>
          <w:tcPr>
            <w:tcW w:w="1164" w:type="pct"/>
            <w:vAlign w:val="center"/>
          </w:tcPr>
          <w:p w:rsidR="00EE56C0" w:rsidRDefault="000F36A1">
            <w:pPr>
              <w:pStyle w:val="afa"/>
              <w:rPr>
                <w:rFonts w:eastAsia="宋体"/>
              </w:rPr>
            </w:pPr>
            <w:r>
              <w:t xml:space="preserve">0.4061 </w:t>
            </w:r>
          </w:p>
        </w:tc>
        <w:tc>
          <w:tcPr>
            <w:tcW w:w="1113" w:type="pct"/>
            <w:vAlign w:val="center"/>
          </w:tcPr>
          <w:p w:rsidR="00EE56C0" w:rsidRDefault="000F36A1">
            <w:pPr>
              <w:pStyle w:val="afa"/>
              <w:rPr>
                <w:rFonts w:ascii="宋体" w:eastAsia="宋体" w:hAnsi="宋体" w:cs="宋体"/>
              </w:rPr>
            </w:pPr>
            <w:r>
              <w:rPr>
                <w:rFonts w:hint="eastAsia"/>
              </w:rPr>
              <w:t xml:space="preserve">5.8277 </w:t>
            </w:r>
          </w:p>
        </w:tc>
      </w:tr>
      <w:tr w:rsidR="00EE56C0">
        <w:trPr>
          <w:trHeight w:val="454"/>
        </w:trPr>
        <w:tc>
          <w:tcPr>
            <w:tcW w:w="1353" w:type="pct"/>
            <w:vAlign w:val="center"/>
          </w:tcPr>
          <w:p w:rsidR="00EE56C0" w:rsidRDefault="000F36A1">
            <w:pPr>
              <w:pStyle w:val="afa"/>
              <w:rPr>
                <w:rFonts w:ascii="宋体" w:eastAsia="宋体" w:hAnsi="宋体" w:cs="宋体"/>
              </w:rPr>
            </w:pPr>
            <w:r>
              <w:rPr>
                <w:rFonts w:hint="eastAsia"/>
              </w:rPr>
              <w:lastRenderedPageBreak/>
              <w:t>甲苯</w:t>
            </w:r>
          </w:p>
        </w:tc>
        <w:tc>
          <w:tcPr>
            <w:tcW w:w="1370" w:type="pct"/>
            <w:vAlign w:val="center"/>
          </w:tcPr>
          <w:p w:rsidR="00EE56C0" w:rsidRDefault="000F36A1">
            <w:pPr>
              <w:pStyle w:val="afa"/>
              <w:rPr>
                <w:spacing w:val="-4"/>
              </w:rPr>
            </w:pPr>
            <w:r>
              <w:rPr>
                <w:rFonts w:hint="eastAsia"/>
                <w:spacing w:val="-4"/>
              </w:rPr>
              <w:t>2.3472</w:t>
            </w:r>
          </w:p>
        </w:tc>
        <w:tc>
          <w:tcPr>
            <w:tcW w:w="1164" w:type="pct"/>
            <w:vAlign w:val="center"/>
          </w:tcPr>
          <w:p w:rsidR="00EE56C0" w:rsidRDefault="000F36A1">
            <w:pPr>
              <w:pStyle w:val="afa"/>
              <w:rPr>
                <w:rFonts w:eastAsia="宋体"/>
              </w:rPr>
            </w:pPr>
            <w:r>
              <w:t xml:space="preserve">0.0324 </w:t>
            </w:r>
          </w:p>
        </w:tc>
        <w:tc>
          <w:tcPr>
            <w:tcW w:w="1113" w:type="pct"/>
            <w:vAlign w:val="center"/>
          </w:tcPr>
          <w:p w:rsidR="00EE56C0" w:rsidRDefault="000F36A1">
            <w:pPr>
              <w:pStyle w:val="afa"/>
              <w:rPr>
                <w:rFonts w:ascii="宋体" w:eastAsia="宋体" w:hAnsi="宋体" w:cs="宋体"/>
              </w:rPr>
            </w:pPr>
            <w:r>
              <w:rPr>
                <w:rFonts w:hint="eastAsia"/>
              </w:rPr>
              <w:t xml:space="preserve">2.3796 </w:t>
            </w:r>
          </w:p>
        </w:tc>
      </w:tr>
      <w:tr w:rsidR="00EE56C0">
        <w:trPr>
          <w:trHeight w:val="454"/>
        </w:trPr>
        <w:tc>
          <w:tcPr>
            <w:tcW w:w="1353" w:type="pct"/>
            <w:vAlign w:val="center"/>
          </w:tcPr>
          <w:p w:rsidR="00EE56C0" w:rsidRDefault="000F36A1">
            <w:pPr>
              <w:pStyle w:val="afa"/>
              <w:rPr>
                <w:rFonts w:ascii="宋体" w:eastAsia="宋体" w:hAnsi="宋体" w:cs="宋体"/>
              </w:rPr>
            </w:pPr>
            <w:r>
              <w:rPr>
                <w:rFonts w:hint="eastAsia"/>
              </w:rPr>
              <w:t>苯</w:t>
            </w:r>
          </w:p>
        </w:tc>
        <w:tc>
          <w:tcPr>
            <w:tcW w:w="1370" w:type="pct"/>
            <w:vAlign w:val="center"/>
          </w:tcPr>
          <w:p w:rsidR="00EE56C0" w:rsidRDefault="000F36A1">
            <w:pPr>
              <w:pStyle w:val="afa"/>
              <w:rPr>
                <w:spacing w:val="-4"/>
              </w:rPr>
            </w:pPr>
            <w:r>
              <w:rPr>
                <w:rFonts w:hint="eastAsia"/>
                <w:spacing w:val="-4"/>
              </w:rPr>
              <w:t>0.1368</w:t>
            </w:r>
          </w:p>
        </w:tc>
        <w:tc>
          <w:tcPr>
            <w:tcW w:w="1164" w:type="pct"/>
            <w:vAlign w:val="center"/>
          </w:tcPr>
          <w:p w:rsidR="00EE56C0" w:rsidRDefault="000F36A1">
            <w:pPr>
              <w:pStyle w:val="afa"/>
              <w:rPr>
                <w:rFonts w:eastAsia="宋体"/>
              </w:rPr>
            </w:pPr>
            <w:r>
              <w:t xml:space="preserve">0.00004 </w:t>
            </w:r>
          </w:p>
        </w:tc>
        <w:tc>
          <w:tcPr>
            <w:tcW w:w="1113" w:type="pct"/>
            <w:vAlign w:val="center"/>
          </w:tcPr>
          <w:p w:rsidR="00EE56C0" w:rsidRDefault="000F36A1">
            <w:pPr>
              <w:pStyle w:val="afa"/>
              <w:rPr>
                <w:rFonts w:ascii="宋体" w:eastAsia="宋体" w:hAnsi="宋体" w:cs="宋体"/>
              </w:rPr>
            </w:pPr>
            <w:r>
              <w:rPr>
                <w:rFonts w:hint="eastAsia"/>
              </w:rPr>
              <w:t xml:space="preserve">0.1368 </w:t>
            </w:r>
          </w:p>
        </w:tc>
      </w:tr>
      <w:tr w:rsidR="00EE56C0">
        <w:trPr>
          <w:trHeight w:val="454"/>
        </w:trPr>
        <w:tc>
          <w:tcPr>
            <w:tcW w:w="1353" w:type="pct"/>
            <w:vAlign w:val="center"/>
          </w:tcPr>
          <w:p w:rsidR="00EE56C0" w:rsidRDefault="000F36A1">
            <w:pPr>
              <w:pStyle w:val="afa"/>
            </w:pPr>
            <w:r>
              <w:rPr>
                <w:rFonts w:hint="eastAsia"/>
              </w:rPr>
              <w:t>VOCs</w:t>
            </w:r>
            <w:r>
              <w:rPr>
                <w:rFonts w:hint="eastAsia"/>
              </w:rPr>
              <w:t>合计</w:t>
            </w:r>
          </w:p>
        </w:tc>
        <w:tc>
          <w:tcPr>
            <w:tcW w:w="1370" w:type="pct"/>
            <w:vAlign w:val="center"/>
          </w:tcPr>
          <w:p w:rsidR="00EE56C0" w:rsidRDefault="000F36A1">
            <w:pPr>
              <w:pStyle w:val="afa"/>
              <w:rPr>
                <w:szCs w:val="22"/>
              </w:rPr>
            </w:pPr>
            <w:r>
              <w:t>12.8016</w:t>
            </w:r>
          </w:p>
        </w:tc>
        <w:tc>
          <w:tcPr>
            <w:tcW w:w="1164" w:type="pct"/>
            <w:vAlign w:val="center"/>
          </w:tcPr>
          <w:p w:rsidR="00EE56C0" w:rsidRDefault="000F36A1">
            <w:pPr>
              <w:pStyle w:val="afa"/>
              <w:rPr>
                <w:szCs w:val="22"/>
              </w:rPr>
            </w:pPr>
            <w:r>
              <w:rPr>
                <w:rFonts w:hint="eastAsia"/>
              </w:rPr>
              <w:t>6.5493</w:t>
            </w:r>
          </w:p>
        </w:tc>
        <w:tc>
          <w:tcPr>
            <w:tcW w:w="1113" w:type="pct"/>
            <w:vAlign w:val="center"/>
          </w:tcPr>
          <w:p w:rsidR="00EE56C0" w:rsidRDefault="000F36A1">
            <w:pPr>
              <w:pStyle w:val="afa"/>
              <w:rPr>
                <w:rFonts w:eastAsia="宋体"/>
              </w:rPr>
            </w:pPr>
            <w:r>
              <w:rPr>
                <w:rFonts w:hint="eastAsia"/>
              </w:rPr>
              <w:t>19.3509</w:t>
            </w:r>
          </w:p>
        </w:tc>
      </w:tr>
    </w:tbl>
    <w:p w:rsidR="00EE56C0" w:rsidRDefault="000F36A1">
      <w:pPr>
        <w:pStyle w:val="aff4"/>
        <w:rPr>
          <w:rFonts w:ascii="Calibri" w:hAnsi="Calibri" w:cs="Calibri"/>
          <w:b/>
          <w:bCs/>
          <w:szCs w:val="24"/>
        </w:rPr>
      </w:pPr>
      <w:r>
        <w:rPr>
          <w:rFonts w:ascii="Calibri" w:hAnsi="Calibri" w:cs="Calibri" w:hint="eastAsia"/>
          <w:bCs/>
          <w:szCs w:val="24"/>
        </w:rPr>
        <w:t>由上表可知，</w:t>
      </w:r>
      <w:r>
        <w:rPr>
          <w:rFonts w:hint="eastAsia"/>
          <w:lang w:val="zh-CN"/>
        </w:rPr>
        <w:t>现有工程</w:t>
      </w:r>
      <w:r>
        <w:rPr>
          <w:rFonts w:hint="eastAsia"/>
        </w:rPr>
        <w:t>升级改造</w:t>
      </w:r>
      <w:r>
        <w:rPr>
          <w:rFonts w:hint="eastAsia"/>
          <w:lang w:val="zh-CN"/>
        </w:rPr>
        <w:t>前，</w:t>
      </w:r>
      <w:r>
        <w:rPr>
          <w:rFonts w:hint="eastAsia"/>
          <w:lang w:val="zh-CN"/>
        </w:rPr>
        <w:t>VOCs</w:t>
      </w:r>
      <w:r>
        <w:rPr>
          <w:rFonts w:hint="eastAsia"/>
        </w:rPr>
        <w:t>排放量为</w:t>
      </w:r>
      <w:r>
        <w:t>1</w:t>
      </w:r>
      <w:r>
        <w:rPr>
          <w:rFonts w:hint="eastAsia"/>
        </w:rPr>
        <w:t>9.3509</w:t>
      </w:r>
      <w:r>
        <w:rPr>
          <w:rFonts w:hint="eastAsia"/>
          <w:lang w:val="zh-CN"/>
        </w:rPr>
        <w:t>t/a</w:t>
      </w:r>
      <w:r>
        <w:rPr>
          <w:rFonts w:hint="eastAsia"/>
          <w:lang w:val="zh-CN"/>
        </w:rPr>
        <w:t>。</w:t>
      </w:r>
    </w:p>
    <w:p w:rsidR="00EE56C0" w:rsidRDefault="000F36A1">
      <w:pPr>
        <w:pStyle w:val="5"/>
      </w:pPr>
      <w:r>
        <w:rPr>
          <w:rFonts w:hint="eastAsia"/>
        </w:rPr>
        <w:t>2</w:t>
      </w:r>
      <w:r>
        <w:rPr>
          <w:rFonts w:hint="eastAsia"/>
        </w:rPr>
        <w:t>、升级改造后的</w:t>
      </w:r>
      <w:r>
        <w:rPr>
          <w:rFonts w:hint="eastAsia"/>
          <w:lang w:val="zh-CN"/>
        </w:rPr>
        <w:t>VOCs</w:t>
      </w:r>
      <w:r>
        <w:rPr>
          <w:rFonts w:hint="eastAsia"/>
          <w:lang w:val="zh-CN"/>
        </w:rPr>
        <w:t>排放</w:t>
      </w:r>
      <w:r>
        <w:rPr>
          <w:rFonts w:hint="eastAsia"/>
        </w:rPr>
        <w:t>量</w:t>
      </w:r>
    </w:p>
    <w:p w:rsidR="00EE56C0" w:rsidRDefault="000F36A1">
      <w:pPr>
        <w:ind w:firstLine="480"/>
      </w:pPr>
      <w:r>
        <w:rPr>
          <w:rFonts w:hint="eastAsia"/>
        </w:rPr>
        <w:t>烘炉改造主要体现在：①烘炉封闭性能较好；②烘炉自身结构较老烘炉更加合理；③热量利用效率不一致：新烘炉一次催化燃烧的尾气比老烘炉的回用率高，热效率提高，尾气经二次燃烧后更充分，因此新烘炉处理效率较高。烘炉替代前后，炉内两次催化燃烧去除效率有</w:t>
      </w:r>
      <w:r>
        <w:rPr>
          <w:rFonts w:hint="eastAsia"/>
        </w:rPr>
        <w:t>90%</w:t>
      </w:r>
      <w:r>
        <w:rPr>
          <w:rFonts w:hint="eastAsia"/>
        </w:rPr>
        <w:t>提高至</w:t>
      </w:r>
      <w:r>
        <w:rPr>
          <w:rFonts w:hint="eastAsia"/>
        </w:rPr>
        <w:t>99%</w:t>
      </w:r>
      <w:r>
        <w:rPr>
          <w:rFonts w:hint="eastAsia"/>
        </w:rPr>
        <w:t>。</w:t>
      </w:r>
    </w:p>
    <w:p w:rsidR="00EE56C0" w:rsidRDefault="000F36A1">
      <w:pPr>
        <w:ind w:firstLine="480"/>
      </w:pPr>
      <w:r>
        <w:rPr>
          <w:rFonts w:hint="eastAsia"/>
        </w:rPr>
        <w:t>涉及烘炉</w:t>
      </w:r>
      <w:r>
        <w:rPr>
          <w:rFonts w:hint="eastAsia"/>
          <w:lang w:val="zh-CN"/>
        </w:rPr>
        <w:t>升级的漆包机</w:t>
      </w:r>
      <w:r>
        <w:rPr>
          <w:rFonts w:hint="eastAsia"/>
        </w:rPr>
        <w:t>用漆量见下表。</w:t>
      </w:r>
    </w:p>
    <w:p w:rsidR="00EE56C0" w:rsidRDefault="000F36A1">
      <w:pPr>
        <w:pStyle w:val="afd"/>
        <w:spacing w:before="120" w:after="120"/>
        <w:ind w:firstLine="482"/>
      </w:pPr>
      <w:r>
        <w:rPr>
          <w:rFonts w:hint="eastAsia"/>
        </w:rPr>
        <w:t>表</w:t>
      </w:r>
      <w:r>
        <w:rPr>
          <w:rFonts w:hint="eastAsia"/>
        </w:rPr>
        <w:t>3-</w:t>
      </w:r>
      <w:r w:rsidR="00212B58">
        <w:rPr>
          <w:rFonts w:hint="eastAsia"/>
        </w:rPr>
        <w:t>42</w:t>
      </w:r>
      <w:r>
        <w:rPr>
          <w:rFonts w:hint="eastAsia"/>
        </w:rPr>
        <w:t xml:space="preserve">         </w:t>
      </w:r>
      <w:r>
        <w:rPr>
          <w:rFonts w:hint="eastAsia"/>
        </w:rPr>
        <w:t>一期、二期用漆情况一览表</w:t>
      </w:r>
      <w:r>
        <w:rPr>
          <w:rFonts w:hint="eastAsia"/>
        </w:rPr>
        <w:t xml:space="preserve">        </w:t>
      </w:r>
      <w:r>
        <w:rPr>
          <w:rFonts w:hint="eastAsia"/>
        </w:rPr>
        <w:t>单位：</w:t>
      </w:r>
      <w:r>
        <w:rPr>
          <w:rFonts w:hint="eastAsia"/>
        </w:rPr>
        <w:t>t/a</w:t>
      </w:r>
    </w:p>
    <w:tbl>
      <w:tblPr>
        <w:tblStyle w:val="af4"/>
        <w:tblW w:w="5000" w:type="pct"/>
        <w:tblLook w:val="04A0"/>
      </w:tblPr>
      <w:tblGrid>
        <w:gridCol w:w="770"/>
        <w:gridCol w:w="1477"/>
        <w:gridCol w:w="1057"/>
        <w:gridCol w:w="1057"/>
        <w:gridCol w:w="1153"/>
        <w:gridCol w:w="1902"/>
        <w:gridCol w:w="1112"/>
      </w:tblGrid>
      <w:tr w:rsidR="00EE56C0">
        <w:trPr>
          <w:trHeight w:val="454"/>
        </w:trPr>
        <w:tc>
          <w:tcPr>
            <w:tcW w:w="1317" w:type="pct"/>
            <w:gridSpan w:val="2"/>
            <w:vMerge w:val="restart"/>
            <w:vAlign w:val="center"/>
          </w:tcPr>
          <w:p w:rsidR="00EE56C0" w:rsidRDefault="000F36A1">
            <w:pPr>
              <w:pStyle w:val="afa"/>
              <w:rPr>
                <w:b/>
              </w:rPr>
            </w:pPr>
            <w:r>
              <w:rPr>
                <w:rFonts w:hint="eastAsia"/>
                <w:b/>
              </w:rPr>
              <w:t>项目</w:t>
            </w:r>
          </w:p>
        </w:tc>
        <w:tc>
          <w:tcPr>
            <w:tcW w:w="620" w:type="pct"/>
            <w:vMerge w:val="restart"/>
            <w:vAlign w:val="center"/>
          </w:tcPr>
          <w:p w:rsidR="00EE56C0" w:rsidRDefault="000F36A1">
            <w:pPr>
              <w:pStyle w:val="afa"/>
              <w:rPr>
                <w:b/>
              </w:rPr>
            </w:pPr>
            <w:r>
              <w:rPr>
                <w:rFonts w:hint="eastAsia"/>
                <w:b/>
              </w:rPr>
              <w:t>产品</w:t>
            </w:r>
          </w:p>
        </w:tc>
        <w:tc>
          <w:tcPr>
            <w:tcW w:w="620" w:type="pct"/>
            <w:vMerge w:val="restart"/>
            <w:vAlign w:val="center"/>
          </w:tcPr>
          <w:p w:rsidR="00EE56C0" w:rsidRDefault="000F36A1">
            <w:pPr>
              <w:pStyle w:val="afa"/>
              <w:rPr>
                <w:b/>
              </w:rPr>
            </w:pPr>
            <w:r>
              <w:rPr>
                <w:rFonts w:hint="eastAsia"/>
                <w:b/>
              </w:rPr>
              <w:t>产能</w:t>
            </w:r>
          </w:p>
        </w:tc>
        <w:tc>
          <w:tcPr>
            <w:tcW w:w="2443" w:type="pct"/>
            <w:gridSpan w:val="3"/>
            <w:vAlign w:val="center"/>
          </w:tcPr>
          <w:p w:rsidR="00EE56C0" w:rsidRDefault="000F36A1">
            <w:pPr>
              <w:pStyle w:val="afa"/>
              <w:rPr>
                <w:b/>
              </w:rPr>
            </w:pPr>
            <w:r>
              <w:rPr>
                <w:rFonts w:hint="eastAsia"/>
                <w:b/>
              </w:rPr>
              <w:t>绝缘漆</w:t>
            </w:r>
          </w:p>
        </w:tc>
      </w:tr>
      <w:tr w:rsidR="00EE56C0">
        <w:trPr>
          <w:trHeight w:val="454"/>
        </w:trPr>
        <w:tc>
          <w:tcPr>
            <w:tcW w:w="1317" w:type="pct"/>
            <w:gridSpan w:val="2"/>
            <w:vMerge/>
            <w:vAlign w:val="center"/>
          </w:tcPr>
          <w:p w:rsidR="00EE56C0" w:rsidRDefault="00EE56C0">
            <w:pPr>
              <w:pStyle w:val="afa"/>
            </w:pPr>
          </w:p>
        </w:tc>
        <w:tc>
          <w:tcPr>
            <w:tcW w:w="620" w:type="pct"/>
            <w:vMerge/>
            <w:vAlign w:val="center"/>
          </w:tcPr>
          <w:p w:rsidR="00EE56C0" w:rsidRDefault="00EE56C0">
            <w:pPr>
              <w:pStyle w:val="afa"/>
            </w:pPr>
          </w:p>
        </w:tc>
        <w:tc>
          <w:tcPr>
            <w:tcW w:w="620" w:type="pct"/>
            <w:vMerge/>
            <w:vAlign w:val="center"/>
          </w:tcPr>
          <w:p w:rsidR="00EE56C0" w:rsidRDefault="00EE56C0">
            <w:pPr>
              <w:pStyle w:val="afa"/>
            </w:pPr>
          </w:p>
        </w:tc>
        <w:tc>
          <w:tcPr>
            <w:tcW w:w="676" w:type="pct"/>
            <w:vAlign w:val="center"/>
          </w:tcPr>
          <w:p w:rsidR="00EE56C0" w:rsidRDefault="000F36A1">
            <w:pPr>
              <w:pStyle w:val="afa"/>
              <w:rPr>
                <w:b/>
              </w:rPr>
            </w:pPr>
            <w:r>
              <w:rPr>
                <w:rFonts w:hint="eastAsia"/>
                <w:b/>
              </w:rPr>
              <w:t>聚酯漆</w:t>
            </w:r>
          </w:p>
        </w:tc>
        <w:tc>
          <w:tcPr>
            <w:tcW w:w="1115" w:type="pct"/>
            <w:vAlign w:val="center"/>
          </w:tcPr>
          <w:p w:rsidR="00EE56C0" w:rsidRDefault="000F36A1">
            <w:pPr>
              <w:pStyle w:val="afa"/>
              <w:rPr>
                <w:b/>
              </w:rPr>
            </w:pPr>
            <w:r>
              <w:rPr>
                <w:rFonts w:hint="eastAsia"/>
                <w:b/>
              </w:rPr>
              <w:t>聚酰胺酰亚胺漆</w:t>
            </w:r>
          </w:p>
        </w:tc>
        <w:tc>
          <w:tcPr>
            <w:tcW w:w="652" w:type="pct"/>
            <w:vAlign w:val="center"/>
          </w:tcPr>
          <w:p w:rsidR="00EE56C0" w:rsidRDefault="000F36A1">
            <w:pPr>
              <w:pStyle w:val="afa"/>
              <w:rPr>
                <w:b/>
              </w:rPr>
            </w:pPr>
            <w:r>
              <w:rPr>
                <w:rFonts w:hint="eastAsia"/>
                <w:b/>
              </w:rPr>
              <w:t>合计</w:t>
            </w:r>
          </w:p>
        </w:tc>
      </w:tr>
      <w:tr w:rsidR="00EE56C0">
        <w:trPr>
          <w:trHeight w:val="454"/>
        </w:trPr>
        <w:tc>
          <w:tcPr>
            <w:tcW w:w="451" w:type="pct"/>
            <w:vAlign w:val="center"/>
          </w:tcPr>
          <w:p w:rsidR="00EE56C0" w:rsidRDefault="000F36A1">
            <w:pPr>
              <w:pStyle w:val="afa"/>
            </w:pPr>
            <w:r>
              <w:rPr>
                <w:rFonts w:hint="eastAsia"/>
              </w:rPr>
              <w:t>一期</w:t>
            </w:r>
          </w:p>
        </w:tc>
        <w:tc>
          <w:tcPr>
            <w:tcW w:w="866" w:type="pct"/>
            <w:vAlign w:val="center"/>
          </w:tcPr>
          <w:p w:rsidR="00EE56C0" w:rsidRDefault="000F36A1">
            <w:pPr>
              <w:pStyle w:val="afa"/>
            </w:pPr>
            <w:r>
              <w:rPr>
                <w:rFonts w:hint="eastAsia"/>
              </w:rPr>
              <w:t>升级改造设备</w:t>
            </w:r>
          </w:p>
        </w:tc>
        <w:tc>
          <w:tcPr>
            <w:tcW w:w="620" w:type="pct"/>
            <w:vAlign w:val="center"/>
          </w:tcPr>
          <w:p w:rsidR="00EE56C0" w:rsidRDefault="000F36A1">
            <w:pPr>
              <w:pStyle w:val="afa"/>
            </w:pPr>
            <w:r>
              <w:rPr>
                <w:rFonts w:hint="eastAsia"/>
              </w:rPr>
              <w:t>漆包线</w:t>
            </w:r>
          </w:p>
        </w:tc>
        <w:tc>
          <w:tcPr>
            <w:tcW w:w="620" w:type="pct"/>
            <w:vAlign w:val="center"/>
          </w:tcPr>
          <w:p w:rsidR="00EE56C0" w:rsidRDefault="000F36A1">
            <w:pPr>
              <w:pStyle w:val="afa"/>
            </w:pPr>
            <w:r>
              <w:rPr>
                <w:rFonts w:hint="eastAsia"/>
              </w:rPr>
              <w:t>7200</w:t>
            </w:r>
          </w:p>
        </w:tc>
        <w:tc>
          <w:tcPr>
            <w:tcW w:w="676" w:type="pct"/>
            <w:vAlign w:val="center"/>
          </w:tcPr>
          <w:p w:rsidR="00EE56C0" w:rsidRDefault="000F36A1">
            <w:pPr>
              <w:pStyle w:val="afa"/>
            </w:pPr>
            <w:r>
              <w:rPr>
                <w:rFonts w:hint="eastAsia"/>
              </w:rPr>
              <w:t>270</w:t>
            </w:r>
          </w:p>
        </w:tc>
        <w:tc>
          <w:tcPr>
            <w:tcW w:w="1115" w:type="pct"/>
            <w:vAlign w:val="center"/>
          </w:tcPr>
          <w:p w:rsidR="00EE56C0" w:rsidRDefault="000F36A1">
            <w:pPr>
              <w:pStyle w:val="afa"/>
            </w:pPr>
            <w:r>
              <w:rPr>
                <w:rFonts w:hint="eastAsia"/>
              </w:rPr>
              <w:t>90</w:t>
            </w:r>
          </w:p>
        </w:tc>
        <w:tc>
          <w:tcPr>
            <w:tcW w:w="652" w:type="pct"/>
            <w:vAlign w:val="center"/>
          </w:tcPr>
          <w:p w:rsidR="00EE56C0" w:rsidRDefault="000F36A1">
            <w:pPr>
              <w:pStyle w:val="afa"/>
            </w:pPr>
            <w:r>
              <w:rPr>
                <w:rFonts w:hint="eastAsia"/>
              </w:rPr>
              <w:t>360</w:t>
            </w:r>
          </w:p>
        </w:tc>
      </w:tr>
      <w:tr w:rsidR="00EE56C0">
        <w:trPr>
          <w:trHeight w:val="454"/>
        </w:trPr>
        <w:tc>
          <w:tcPr>
            <w:tcW w:w="451" w:type="pct"/>
            <w:vAlign w:val="center"/>
          </w:tcPr>
          <w:p w:rsidR="00EE56C0" w:rsidRDefault="000F36A1">
            <w:pPr>
              <w:pStyle w:val="afa"/>
            </w:pPr>
            <w:r>
              <w:rPr>
                <w:rFonts w:hint="eastAsia"/>
              </w:rPr>
              <w:t>二期</w:t>
            </w:r>
          </w:p>
        </w:tc>
        <w:tc>
          <w:tcPr>
            <w:tcW w:w="866" w:type="pct"/>
            <w:vAlign w:val="center"/>
          </w:tcPr>
          <w:p w:rsidR="00EE56C0" w:rsidRDefault="000F36A1">
            <w:pPr>
              <w:pStyle w:val="afa"/>
            </w:pPr>
            <w:r>
              <w:rPr>
                <w:rFonts w:hint="eastAsia"/>
              </w:rPr>
              <w:t>升级改造设备</w:t>
            </w:r>
          </w:p>
        </w:tc>
        <w:tc>
          <w:tcPr>
            <w:tcW w:w="620" w:type="pct"/>
            <w:vAlign w:val="center"/>
          </w:tcPr>
          <w:p w:rsidR="00EE56C0" w:rsidRDefault="000F36A1">
            <w:pPr>
              <w:pStyle w:val="afa"/>
            </w:pPr>
            <w:r>
              <w:rPr>
                <w:rFonts w:hint="eastAsia"/>
              </w:rPr>
              <w:t>漆包线</w:t>
            </w:r>
          </w:p>
        </w:tc>
        <w:tc>
          <w:tcPr>
            <w:tcW w:w="620" w:type="pct"/>
            <w:vAlign w:val="center"/>
          </w:tcPr>
          <w:p w:rsidR="00EE56C0" w:rsidRDefault="000F36A1">
            <w:pPr>
              <w:pStyle w:val="afa"/>
            </w:pPr>
            <w:r>
              <w:rPr>
                <w:rFonts w:hint="eastAsia"/>
              </w:rPr>
              <w:t>4800</w:t>
            </w:r>
          </w:p>
        </w:tc>
        <w:tc>
          <w:tcPr>
            <w:tcW w:w="676" w:type="pct"/>
            <w:vAlign w:val="center"/>
          </w:tcPr>
          <w:p w:rsidR="00EE56C0" w:rsidRDefault="000F36A1">
            <w:pPr>
              <w:pStyle w:val="afa"/>
            </w:pPr>
            <w:r>
              <w:rPr>
                <w:rFonts w:hint="eastAsia"/>
              </w:rPr>
              <w:t>180</w:t>
            </w:r>
          </w:p>
        </w:tc>
        <w:tc>
          <w:tcPr>
            <w:tcW w:w="1115" w:type="pct"/>
            <w:vAlign w:val="center"/>
          </w:tcPr>
          <w:p w:rsidR="00EE56C0" w:rsidRDefault="000F36A1">
            <w:pPr>
              <w:pStyle w:val="afa"/>
            </w:pPr>
            <w:r>
              <w:rPr>
                <w:rFonts w:hint="eastAsia"/>
              </w:rPr>
              <w:t>60</w:t>
            </w:r>
          </w:p>
        </w:tc>
        <w:tc>
          <w:tcPr>
            <w:tcW w:w="652" w:type="pct"/>
            <w:vAlign w:val="center"/>
          </w:tcPr>
          <w:p w:rsidR="00EE56C0" w:rsidRDefault="000F36A1">
            <w:pPr>
              <w:pStyle w:val="afa"/>
            </w:pPr>
            <w:r>
              <w:rPr>
                <w:rFonts w:hint="eastAsia"/>
              </w:rPr>
              <w:t>240</w:t>
            </w:r>
          </w:p>
        </w:tc>
      </w:tr>
    </w:tbl>
    <w:p w:rsidR="00EE56C0" w:rsidRDefault="000F36A1">
      <w:pPr>
        <w:pStyle w:val="aff4"/>
        <w:rPr>
          <w:lang w:val="zh-CN"/>
        </w:rPr>
      </w:pPr>
      <w:r>
        <w:rPr>
          <w:rFonts w:hint="eastAsia"/>
          <w:lang w:val="zh-CN"/>
        </w:rPr>
        <w:t>现有工程收集方式与本项目收集方式基本一致，由于现有工程均为老旧设备，设备结构不如本项目新增设备结构更加合理，收集效率略低，按</w:t>
      </w:r>
      <w:r>
        <w:rPr>
          <w:rFonts w:hint="eastAsia"/>
          <w:lang w:val="zh-CN"/>
        </w:rPr>
        <w:t>99.5%</w:t>
      </w:r>
      <w:r>
        <w:rPr>
          <w:rFonts w:hint="eastAsia"/>
          <w:lang w:val="zh-CN"/>
        </w:rPr>
        <w:t>核算。</w:t>
      </w:r>
    </w:p>
    <w:p w:rsidR="00EE56C0" w:rsidRDefault="000F36A1">
      <w:pPr>
        <w:pStyle w:val="aff4"/>
        <w:rPr>
          <w:lang w:val="zh-CN"/>
        </w:rPr>
      </w:pPr>
      <w:r>
        <w:rPr>
          <w:rFonts w:hint="eastAsia"/>
          <w:lang w:val="zh-CN"/>
        </w:rPr>
        <w:t>根据其收集效率、处理效率，核算现有工程</w:t>
      </w:r>
      <w:r>
        <w:rPr>
          <w:rFonts w:hint="eastAsia"/>
        </w:rPr>
        <w:t>升级改造后的</w:t>
      </w:r>
      <w:r>
        <w:rPr>
          <w:rFonts w:hint="eastAsia"/>
          <w:lang w:val="zh-CN"/>
        </w:rPr>
        <w:t>VOCs</w:t>
      </w:r>
      <w:r>
        <w:rPr>
          <w:rFonts w:hint="eastAsia"/>
          <w:lang w:val="zh-CN"/>
        </w:rPr>
        <w:t>排放量，见下表。</w:t>
      </w:r>
    </w:p>
    <w:p w:rsidR="00EE56C0" w:rsidRDefault="000F36A1">
      <w:pPr>
        <w:pStyle w:val="afd"/>
        <w:spacing w:before="120" w:after="120"/>
        <w:ind w:firstLine="482"/>
        <w:rPr>
          <w:rFonts w:cs="Times New Roman"/>
          <w:bCs/>
          <w:u w:val="single"/>
        </w:rPr>
      </w:pPr>
      <w:r>
        <w:rPr>
          <w:rFonts w:ascii="Calibri" w:hAnsi="Calibri" w:cs="Calibri" w:hint="eastAsia"/>
          <w:bCs/>
          <w:u w:val="single"/>
        </w:rPr>
        <w:t>表</w:t>
      </w:r>
      <w:r>
        <w:rPr>
          <w:rFonts w:ascii="Calibri" w:hAnsi="Calibri" w:cs="Calibri" w:hint="eastAsia"/>
          <w:bCs/>
          <w:u w:val="single"/>
        </w:rPr>
        <w:t xml:space="preserve">3-43   </w:t>
      </w:r>
      <w:r>
        <w:rPr>
          <w:rFonts w:hint="eastAsia"/>
          <w:u w:val="single"/>
          <w:lang w:val="zh-CN"/>
        </w:rPr>
        <w:t>现有工程</w:t>
      </w:r>
      <w:r>
        <w:rPr>
          <w:rFonts w:hint="eastAsia"/>
          <w:u w:val="single"/>
        </w:rPr>
        <w:t>升级改造</w:t>
      </w:r>
      <w:r>
        <w:rPr>
          <w:rFonts w:hint="eastAsia"/>
          <w:u w:val="single"/>
          <w:lang w:val="zh-CN"/>
        </w:rPr>
        <w:t>后的</w:t>
      </w:r>
      <w:r>
        <w:rPr>
          <w:rFonts w:hint="eastAsia"/>
          <w:u w:val="single"/>
          <w:lang w:val="zh-CN"/>
        </w:rPr>
        <w:t>VOCs</w:t>
      </w:r>
      <w:r>
        <w:rPr>
          <w:rFonts w:hint="eastAsia"/>
          <w:u w:val="single"/>
          <w:lang w:val="zh-CN"/>
        </w:rPr>
        <w:t>排放量</w:t>
      </w:r>
      <w:r>
        <w:rPr>
          <w:rFonts w:hint="eastAsia"/>
          <w:u w:val="single"/>
          <w:lang w:val="zh-CN"/>
        </w:rPr>
        <w:t xml:space="preserve">  </w:t>
      </w:r>
      <w:r>
        <w:rPr>
          <w:rFonts w:ascii="宋体" w:cs="宋体" w:hint="eastAsia"/>
          <w:u w:val="single"/>
          <w:lang w:val="zh-CN"/>
        </w:rPr>
        <w:t xml:space="preserve">  单</w:t>
      </w:r>
      <w:r>
        <w:rPr>
          <w:rFonts w:cs="Times New Roman"/>
          <w:u w:val="single"/>
          <w:lang w:val="zh-CN"/>
        </w:rPr>
        <w:t>位：</w:t>
      </w:r>
      <w:r>
        <w:rPr>
          <w:rFonts w:cs="Times New Roman"/>
          <w:u w:val="single"/>
          <w:lang w:val="zh-CN"/>
        </w:rPr>
        <w:t>t/a</w:t>
      </w:r>
    </w:p>
    <w:tbl>
      <w:tblPr>
        <w:tblStyle w:val="af4"/>
        <w:tblW w:w="5000" w:type="pct"/>
        <w:tblLook w:val="04A0"/>
      </w:tblPr>
      <w:tblGrid>
        <w:gridCol w:w="2097"/>
        <w:gridCol w:w="3114"/>
        <w:gridCol w:w="3317"/>
      </w:tblGrid>
      <w:tr w:rsidR="00EE56C0">
        <w:trPr>
          <w:trHeight w:val="454"/>
        </w:trPr>
        <w:tc>
          <w:tcPr>
            <w:tcW w:w="1229" w:type="pct"/>
            <w:vMerge w:val="restart"/>
            <w:vAlign w:val="center"/>
          </w:tcPr>
          <w:p w:rsidR="00EE56C0" w:rsidRDefault="000F36A1">
            <w:pPr>
              <w:pStyle w:val="afa"/>
              <w:rPr>
                <w:b/>
                <w:sz w:val="22"/>
                <w:szCs w:val="22"/>
                <w:u w:val="single"/>
                <w:lang w:val="zh-CN"/>
              </w:rPr>
            </w:pPr>
            <w:r>
              <w:rPr>
                <w:rFonts w:hint="eastAsia"/>
                <w:b/>
                <w:sz w:val="22"/>
                <w:szCs w:val="22"/>
                <w:u w:val="single"/>
                <w:lang w:val="zh-CN"/>
              </w:rPr>
              <w:t>污染因子</w:t>
            </w:r>
          </w:p>
        </w:tc>
        <w:tc>
          <w:tcPr>
            <w:tcW w:w="3771" w:type="pct"/>
            <w:gridSpan w:val="2"/>
            <w:vAlign w:val="center"/>
          </w:tcPr>
          <w:p w:rsidR="00EE56C0" w:rsidRDefault="000F36A1">
            <w:pPr>
              <w:pStyle w:val="afa"/>
              <w:rPr>
                <w:b/>
                <w:sz w:val="22"/>
                <w:szCs w:val="22"/>
                <w:u w:val="single"/>
                <w:lang w:val="zh-CN"/>
              </w:rPr>
            </w:pPr>
            <w:r>
              <w:rPr>
                <w:rFonts w:hint="eastAsia"/>
                <w:b/>
                <w:sz w:val="22"/>
                <w:szCs w:val="22"/>
                <w:lang w:val="zh-CN"/>
              </w:rPr>
              <w:t>升级改造后：</w:t>
            </w:r>
            <w:r>
              <w:rPr>
                <w:rFonts w:hint="eastAsia"/>
                <w:b/>
                <w:sz w:val="22"/>
                <w:szCs w:val="22"/>
                <w:u w:val="single"/>
                <w:lang w:val="zh-CN"/>
              </w:rPr>
              <w:t>VOCs</w:t>
            </w:r>
            <w:r>
              <w:rPr>
                <w:rFonts w:hint="eastAsia"/>
                <w:b/>
                <w:u w:val="single"/>
                <w:lang w:val="zh-CN"/>
              </w:rPr>
              <w:t>排放量</w:t>
            </w:r>
          </w:p>
        </w:tc>
      </w:tr>
      <w:tr w:rsidR="00EE56C0">
        <w:trPr>
          <w:trHeight w:val="454"/>
        </w:trPr>
        <w:tc>
          <w:tcPr>
            <w:tcW w:w="1229" w:type="pct"/>
            <w:vMerge/>
            <w:vAlign w:val="center"/>
          </w:tcPr>
          <w:p w:rsidR="00EE56C0" w:rsidRDefault="00EE56C0">
            <w:pPr>
              <w:pStyle w:val="afa"/>
              <w:rPr>
                <w:b/>
                <w:sz w:val="22"/>
                <w:szCs w:val="22"/>
                <w:u w:val="single"/>
                <w:lang w:val="zh-CN"/>
              </w:rPr>
            </w:pPr>
          </w:p>
        </w:tc>
        <w:tc>
          <w:tcPr>
            <w:tcW w:w="1826" w:type="pct"/>
            <w:vAlign w:val="center"/>
          </w:tcPr>
          <w:p w:rsidR="00EE56C0" w:rsidRDefault="000F36A1">
            <w:pPr>
              <w:pStyle w:val="afa"/>
              <w:rPr>
                <w:b/>
                <w:sz w:val="22"/>
                <w:szCs w:val="22"/>
                <w:u w:val="single"/>
                <w:lang w:val="zh-CN"/>
              </w:rPr>
            </w:pPr>
            <w:r>
              <w:rPr>
                <w:rFonts w:hint="eastAsia"/>
                <w:b/>
                <w:u w:val="single"/>
                <w:lang w:val="zh-CN"/>
              </w:rPr>
              <w:t>有组织</w:t>
            </w:r>
          </w:p>
        </w:tc>
        <w:tc>
          <w:tcPr>
            <w:tcW w:w="1945" w:type="pct"/>
            <w:vAlign w:val="center"/>
          </w:tcPr>
          <w:p w:rsidR="00EE56C0" w:rsidRDefault="000F36A1">
            <w:pPr>
              <w:pStyle w:val="afa"/>
              <w:rPr>
                <w:b/>
                <w:sz w:val="22"/>
                <w:szCs w:val="22"/>
                <w:u w:val="single"/>
                <w:lang w:val="zh-CN"/>
              </w:rPr>
            </w:pPr>
            <w:r>
              <w:rPr>
                <w:rFonts w:hint="eastAsia"/>
                <w:b/>
                <w:u w:val="single"/>
                <w:lang w:val="zh-CN"/>
              </w:rPr>
              <w:t>无组织</w:t>
            </w:r>
          </w:p>
        </w:tc>
      </w:tr>
      <w:tr w:rsidR="00EE56C0">
        <w:trPr>
          <w:trHeight w:val="454"/>
        </w:trPr>
        <w:tc>
          <w:tcPr>
            <w:tcW w:w="1229" w:type="pct"/>
            <w:vAlign w:val="center"/>
          </w:tcPr>
          <w:p w:rsidR="00EE56C0" w:rsidRDefault="000F36A1">
            <w:pPr>
              <w:pStyle w:val="afa"/>
              <w:rPr>
                <w:rFonts w:ascii="宋体" w:eastAsia="宋体" w:hAnsi="宋体" w:cs="宋体"/>
                <w:u w:val="single"/>
              </w:rPr>
            </w:pPr>
            <w:r>
              <w:rPr>
                <w:rFonts w:hint="eastAsia"/>
                <w:u w:val="single"/>
              </w:rPr>
              <w:t>酚</w:t>
            </w:r>
          </w:p>
        </w:tc>
        <w:tc>
          <w:tcPr>
            <w:tcW w:w="1826" w:type="pct"/>
            <w:vAlign w:val="center"/>
          </w:tcPr>
          <w:p w:rsidR="00EE56C0" w:rsidRDefault="000F36A1">
            <w:pPr>
              <w:pStyle w:val="afa"/>
              <w:rPr>
                <w:rFonts w:eastAsia="宋体"/>
                <w:u w:val="single"/>
              </w:rPr>
            </w:pPr>
            <w:r>
              <w:rPr>
                <w:u w:val="single"/>
              </w:rPr>
              <w:t>0.3945</w:t>
            </w:r>
          </w:p>
        </w:tc>
        <w:tc>
          <w:tcPr>
            <w:tcW w:w="1945" w:type="pct"/>
            <w:vAlign w:val="center"/>
          </w:tcPr>
          <w:p w:rsidR="00EE56C0" w:rsidRDefault="000F36A1">
            <w:pPr>
              <w:pStyle w:val="aff1"/>
              <w:rPr>
                <w:rFonts w:ascii="宋体" w:hAnsi="宋体"/>
                <w:b w:val="0"/>
              </w:rPr>
            </w:pPr>
            <w:r>
              <w:rPr>
                <w:rFonts w:hint="eastAsia"/>
                <w:b w:val="0"/>
              </w:rPr>
              <w:t>3.3501</w:t>
            </w:r>
          </w:p>
        </w:tc>
      </w:tr>
      <w:tr w:rsidR="00EE56C0">
        <w:trPr>
          <w:trHeight w:val="454"/>
        </w:trPr>
        <w:tc>
          <w:tcPr>
            <w:tcW w:w="1229" w:type="pct"/>
            <w:vAlign w:val="center"/>
          </w:tcPr>
          <w:p w:rsidR="00EE56C0" w:rsidRDefault="000F36A1">
            <w:pPr>
              <w:pStyle w:val="afa"/>
              <w:rPr>
                <w:rFonts w:ascii="宋体" w:eastAsia="宋体" w:hAnsi="宋体" w:cs="宋体"/>
                <w:u w:val="single"/>
              </w:rPr>
            </w:pPr>
            <w:r>
              <w:rPr>
                <w:rFonts w:hint="eastAsia"/>
                <w:u w:val="single"/>
              </w:rPr>
              <w:t>非甲烷总烃</w:t>
            </w:r>
          </w:p>
        </w:tc>
        <w:tc>
          <w:tcPr>
            <w:tcW w:w="1826" w:type="pct"/>
            <w:vAlign w:val="center"/>
          </w:tcPr>
          <w:p w:rsidR="00EE56C0" w:rsidRDefault="000F36A1">
            <w:pPr>
              <w:pStyle w:val="afa"/>
              <w:rPr>
                <w:rFonts w:eastAsia="宋体"/>
                <w:u w:val="single"/>
              </w:rPr>
            </w:pPr>
            <w:r>
              <w:rPr>
                <w:u w:val="single"/>
              </w:rPr>
              <w:t xml:space="preserve">3.0280 </w:t>
            </w:r>
          </w:p>
        </w:tc>
        <w:tc>
          <w:tcPr>
            <w:tcW w:w="1945" w:type="pct"/>
            <w:vAlign w:val="center"/>
          </w:tcPr>
          <w:p w:rsidR="00EE56C0" w:rsidRDefault="000F36A1">
            <w:pPr>
              <w:pStyle w:val="aff1"/>
              <w:rPr>
                <w:rFonts w:ascii="宋体" w:hAnsi="宋体"/>
                <w:b w:val="0"/>
              </w:rPr>
            </w:pPr>
            <w:r>
              <w:rPr>
                <w:rFonts w:hint="eastAsia"/>
                <w:b w:val="0"/>
              </w:rPr>
              <w:t>2.1874</w:t>
            </w:r>
          </w:p>
        </w:tc>
      </w:tr>
      <w:tr w:rsidR="00EE56C0">
        <w:trPr>
          <w:trHeight w:val="454"/>
        </w:trPr>
        <w:tc>
          <w:tcPr>
            <w:tcW w:w="1229" w:type="pct"/>
            <w:vAlign w:val="center"/>
          </w:tcPr>
          <w:p w:rsidR="00EE56C0" w:rsidRDefault="000F36A1">
            <w:pPr>
              <w:pStyle w:val="afa"/>
              <w:rPr>
                <w:rFonts w:ascii="宋体" w:eastAsia="宋体" w:hAnsi="宋体" w:cs="宋体"/>
                <w:u w:val="single"/>
              </w:rPr>
            </w:pPr>
            <w:r>
              <w:rPr>
                <w:rFonts w:hint="eastAsia"/>
                <w:u w:val="single"/>
              </w:rPr>
              <w:t>二甲苯</w:t>
            </w:r>
          </w:p>
        </w:tc>
        <w:tc>
          <w:tcPr>
            <w:tcW w:w="1826" w:type="pct"/>
            <w:vAlign w:val="center"/>
          </w:tcPr>
          <w:p w:rsidR="00EE56C0" w:rsidRDefault="000F36A1">
            <w:pPr>
              <w:pStyle w:val="afa"/>
              <w:rPr>
                <w:szCs w:val="20"/>
                <w:u w:val="single"/>
              </w:rPr>
            </w:pPr>
            <w:r>
              <w:rPr>
                <w:rFonts w:hint="eastAsia"/>
                <w:szCs w:val="22"/>
                <w:u w:val="single"/>
              </w:rPr>
              <w:t>5.4216</w:t>
            </w:r>
          </w:p>
        </w:tc>
        <w:tc>
          <w:tcPr>
            <w:tcW w:w="1945" w:type="pct"/>
            <w:vAlign w:val="center"/>
          </w:tcPr>
          <w:p w:rsidR="00EE56C0" w:rsidRDefault="000F36A1">
            <w:pPr>
              <w:pStyle w:val="aff1"/>
              <w:rPr>
                <w:rFonts w:ascii="宋体" w:hAnsi="宋体"/>
                <w:b w:val="0"/>
              </w:rPr>
            </w:pPr>
            <w:r>
              <w:rPr>
                <w:rFonts w:hint="eastAsia"/>
                <w:b w:val="0"/>
              </w:rPr>
              <w:t>0.4227</w:t>
            </w:r>
          </w:p>
        </w:tc>
      </w:tr>
      <w:tr w:rsidR="00EE56C0">
        <w:trPr>
          <w:trHeight w:val="454"/>
        </w:trPr>
        <w:tc>
          <w:tcPr>
            <w:tcW w:w="1229" w:type="pct"/>
            <w:vAlign w:val="center"/>
          </w:tcPr>
          <w:p w:rsidR="00EE56C0" w:rsidRDefault="000F36A1">
            <w:pPr>
              <w:pStyle w:val="afa"/>
              <w:rPr>
                <w:rFonts w:ascii="宋体" w:eastAsia="宋体" w:hAnsi="宋体" w:cs="宋体"/>
                <w:u w:val="single"/>
              </w:rPr>
            </w:pPr>
            <w:r>
              <w:rPr>
                <w:rFonts w:hint="eastAsia"/>
                <w:u w:val="single"/>
              </w:rPr>
              <w:t>甲苯</w:t>
            </w:r>
          </w:p>
        </w:tc>
        <w:tc>
          <w:tcPr>
            <w:tcW w:w="1826" w:type="pct"/>
            <w:vAlign w:val="center"/>
          </w:tcPr>
          <w:p w:rsidR="00EE56C0" w:rsidRDefault="000F36A1">
            <w:pPr>
              <w:pStyle w:val="afa"/>
              <w:rPr>
                <w:szCs w:val="20"/>
                <w:u w:val="single"/>
              </w:rPr>
            </w:pPr>
            <w:r>
              <w:rPr>
                <w:rFonts w:hint="eastAsia"/>
                <w:szCs w:val="22"/>
                <w:u w:val="single"/>
              </w:rPr>
              <w:t>2.2536</w:t>
            </w:r>
          </w:p>
        </w:tc>
        <w:tc>
          <w:tcPr>
            <w:tcW w:w="1945" w:type="pct"/>
            <w:vAlign w:val="center"/>
          </w:tcPr>
          <w:p w:rsidR="00EE56C0" w:rsidRDefault="000F36A1">
            <w:pPr>
              <w:pStyle w:val="aff1"/>
              <w:rPr>
                <w:rFonts w:ascii="宋体" w:hAnsi="宋体"/>
                <w:b w:val="0"/>
              </w:rPr>
            </w:pPr>
            <w:r>
              <w:rPr>
                <w:rFonts w:hint="eastAsia"/>
                <w:b w:val="0"/>
              </w:rPr>
              <w:t>0.0648</w:t>
            </w:r>
          </w:p>
        </w:tc>
      </w:tr>
      <w:tr w:rsidR="00EE56C0">
        <w:trPr>
          <w:trHeight w:val="454"/>
        </w:trPr>
        <w:tc>
          <w:tcPr>
            <w:tcW w:w="1229" w:type="pct"/>
            <w:vAlign w:val="center"/>
          </w:tcPr>
          <w:p w:rsidR="00EE56C0" w:rsidRDefault="000F36A1">
            <w:pPr>
              <w:pStyle w:val="afa"/>
              <w:rPr>
                <w:rFonts w:ascii="宋体" w:eastAsia="宋体" w:hAnsi="宋体" w:cs="宋体"/>
                <w:u w:val="single"/>
              </w:rPr>
            </w:pPr>
            <w:r>
              <w:rPr>
                <w:rFonts w:hint="eastAsia"/>
                <w:u w:val="single"/>
              </w:rPr>
              <w:t>苯</w:t>
            </w:r>
          </w:p>
        </w:tc>
        <w:tc>
          <w:tcPr>
            <w:tcW w:w="1826" w:type="pct"/>
            <w:vAlign w:val="center"/>
          </w:tcPr>
          <w:p w:rsidR="00EE56C0" w:rsidRDefault="000F36A1">
            <w:pPr>
              <w:pStyle w:val="afa"/>
              <w:rPr>
                <w:szCs w:val="20"/>
                <w:u w:val="single"/>
              </w:rPr>
            </w:pPr>
            <w:r>
              <w:rPr>
                <w:rFonts w:hint="eastAsia"/>
                <w:szCs w:val="22"/>
                <w:u w:val="single"/>
              </w:rPr>
              <w:t>0.1368</w:t>
            </w:r>
          </w:p>
        </w:tc>
        <w:tc>
          <w:tcPr>
            <w:tcW w:w="1945" w:type="pct"/>
            <w:vAlign w:val="center"/>
          </w:tcPr>
          <w:p w:rsidR="00EE56C0" w:rsidRDefault="000F36A1">
            <w:pPr>
              <w:pStyle w:val="aff1"/>
              <w:rPr>
                <w:rFonts w:ascii="宋体" w:hAnsi="宋体"/>
                <w:b w:val="0"/>
              </w:rPr>
            </w:pPr>
            <w:r>
              <w:rPr>
                <w:rFonts w:hint="eastAsia"/>
                <w:b w:val="0"/>
              </w:rPr>
              <w:t>0.0000</w:t>
            </w:r>
          </w:p>
        </w:tc>
      </w:tr>
      <w:tr w:rsidR="00EE56C0">
        <w:trPr>
          <w:trHeight w:val="454"/>
        </w:trPr>
        <w:tc>
          <w:tcPr>
            <w:tcW w:w="1229" w:type="pct"/>
            <w:vMerge w:val="restart"/>
            <w:vAlign w:val="center"/>
          </w:tcPr>
          <w:p w:rsidR="00EE56C0" w:rsidRDefault="000F36A1">
            <w:pPr>
              <w:pStyle w:val="afa"/>
              <w:rPr>
                <w:rFonts w:ascii="宋体" w:eastAsia="宋体" w:hAnsi="宋体" w:cs="宋体"/>
                <w:u w:val="single"/>
              </w:rPr>
            </w:pPr>
            <w:r>
              <w:rPr>
                <w:rFonts w:hint="eastAsia"/>
                <w:u w:val="single"/>
              </w:rPr>
              <w:lastRenderedPageBreak/>
              <w:t>VOCs</w:t>
            </w:r>
            <w:r>
              <w:rPr>
                <w:rFonts w:hint="eastAsia"/>
                <w:u w:val="single"/>
              </w:rPr>
              <w:t>合计</w:t>
            </w:r>
          </w:p>
        </w:tc>
        <w:tc>
          <w:tcPr>
            <w:tcW w:w="1826" w:type="pct"/>
            <w:vAlign w:val="center"/>
          </w:tcPr>
          <w:p w:rsidR="00EE56C0" w:rsidRDefault="000F36A1">
            <w:pPr>
              <w:pStyle w:val="afa"/>
              <w:rPr>
                <w:szCs w:val="22"/>
                <w:u w:val="single"/>
              </w:rPr>
            </w:pPr>
            <w:r>
              <w:rPr>
                <w:u w:val="single"/>
              </w:rPr>
              <w:t>11.</w:t>
            </w:r>
            <w:r>
              <w:rPr>
                <w:rFonts w:hint="eastAsia"/>
                <w:u w:val="single"/>
              </w:rPr>
              <w:t>2345</w:t>
            </w:r>
          </w:p>
        </w:tc>
        <w:tc>
          <w:tcPr>
            <w:tcW w:w="1945" w:type="pct"/>
            <w:vAlign w:val="center"/>
          </w:tcPr>
          <w:p w:rsidR="00EE56C0" w:rsidRDefault="000F36A1">
            <w:pPr>
              <w:pStyle w:val="aff1"/>
              <w:rPr>
                <w:rFonts w:ascii="宋体" w:hAnsi="宋体"/>
                <w:b w:val="0"/>
              </w:rPr>
            </w:pPr>
            <w:r>
              <w:rPr>
                <w:rFonts w:hint="eastAsia"/>
                <w:b w:val="0"/>
              </w:rPr>
              <w:t>6.0250</w:t>
            </w:r>
          </w:p>
        </w:tc>
      </w:tr>
      <w:tr w:rsidR="00EE56C0">
        <w:trPr>
          <w:trHeight w:val="454"/>
        </w:trPr>
        <w:tc>
          <w:tcPr>
            <w:tcW w:w="1229" w:type="pct"/>
            <w:vMerge/>
            <w:vAlign w:val="center"/>
          </w:tcPr>
          <w:p w:rsidR="00EE56C0" w:rsidRDefault="00EE56C0">
            <w:pPr>
              <w:pStyle w:val="afa"/>
              <w:rPr>
                <w:sz w:val="22"/>
                <w:szCs w:val="22"/>
                <w:u w:val="single"/>
                <w:lang w:val="zh-CN"/>
              </w:rPr>
            </w:pPr>
          </w:p>
        </w:tc>
        <w:tc>
          <w:tcPr>
            <w:tcW w:w="3771" w:type="pct"/>
            <w:gridSpan w:val="2"/>
            <w:vAlign w:val="center"/>
          </w:tcPr>
          <w:p w:rsidR="00EE56C0" w:rsidRDefault="000F36A1">
            <w:pPr>
              <w:pStyle w:val="afa"/>
              <w:rPr>
                <w:sz w:val="22"/>
                <w:szCs w:val="22"/>
                <w:u w:val="single"/>
                <w:lang w:val="zh-CN"/>
              </w:rPr>
            </w:pPr>
            <w:r>
              <w:rPr>
                <w:u w:val="single"/>
              </w:rPr>
              <w:t>1</w:t>
            </w:r>
            <w:r>
              <w:rPr>
                <w:rFonts w:hint="eastAsia"/>
                <w:u w:val="single"/>
              </w:rPr>
              <w:t>7.2595</w:t>
            </w:r>
          </w:p>
        </w:tc>
      </w:tr>
    </w:tbl>
    <w:p w:rsidR="00EE56C0" w:rsidRDefault="000F36A1">
      <w:pPr>
        <w:pStyle w:val="aff4"/>
        <w:ind w:firstLine="482"/>
        <w:rPr>
          <w:b/>
          <w:u w:val="single"/>
          <w:lang w:val="zh-CN"/>
        </w:rPr>
      </w:pPr>
      <w:r>
        <w:rPr>
          <w:rFonts w:ascii="Calibri" w:hAnsi="Calibri" w:cs="Calibri" w:hint="eastAsia"/>
          <w:b/>
          <w:bCs/>
          <w:szCs w:val="24"/>
          <w:u w:val="single"/>
        </w:rPr>
        <w:t>由上表可知，</w:t>
      </w:r>
      <w:r>
        <w:rPr>
          <w:rFonts w:hint="eastAsia"/>
          <w:b/>
          <w:u w:val="single"/>
          <w:lang w:val="zh-CN"/>
        </w:rPr>
        <w:t>现有工程</w:t>
      </w:r>
      <w:r>
        <w:rPr>
          <w:rFonts w:hint="eastAsia"/>
          <w:b/>
          <w:u w:val="single"/>
        </w:rPr>
        <w:t>升级改造后的</w:t>
      </w:r>
      <w:r>
        <w:rPr>
          <w:rFonts w:hint="eastAsia"/>
          <w:b/>
          <w:u w:val="single"/>
          <w:lang w:val="zh-CN"/>
        </w:rPr>
        <w:t>VOCs</w:t>
      </w:r>
      <w:r>
        <w:rPr>
          <w:rFonts w:hint="eastAsia"/>
          <w:b/>
          <w:u w:val="single"/>
          <w:lang w:val="zh-CN"/>
        </w:rPr>
        <w:t>排放量</w:t>
      </w:r>
      <w:r>
        <w:rPr>
          <w:b/>
          <w:u w:val="single"/>
        </w:rPr>
        <w:t>1</w:t>
      </w:r>
      <w:r>
        <w:rPr>
          <w:rFonts w:hint="eastAsia"/>
          <w:b/>
          <w:u w:val="single"/>
        </w:rPr>
        <w:t>7.2595</w:t>
      </w:r>
      <w:r>
        <w:rPr>
          <w:rFonts w:hint="eastAsia"/>
          <w:b/>
          <w:u w:val="single"/>
          <w:lang w:val="zh-CN"/>
        </w:rPr>
        <w:t>t/a</w:t>
      </w:r>
      <w:r>
        <w:rPr>
          <w:rFonts w:hint="eastAsia"/>
          <w:b/>
          <w:u w:val="single"/>
          <w:lang w:val="zh-CN"/>
        </w:rPr>
        <w:t>。</w:t>
      </w:r>
    </w:p>
    <w:p w:rsidR="00EE56C0" w:rsidRDefault="000F36A1">
      <w:pPr>
        <w:pStyle w:val="5"/>
      </w:pPr>
      <w:r>
        <w:rPr>
          <w:rFonts w:hint="eastAsia"/>
        </w:rPr>
        <w:t>3</w:t>
      </w:r>
      <w:r>
        <w:rPr>
          <w:rFonts w:hint="eastAsia"/>
        </w:rPr>
        <w:t>、削减量合计</w:t>
      </w:r>
    </w:p>
    <w:p w:rsidR="00EE56C0" w:rsidRDefault="000F36A1">
      <w:pPr>
        <w:ind w:firstLine="482"/>
        <w:rPr>
          <w:b/>
          <w:u w:val="single"/>
        </w:rPr>
      </w:pPr>
      <w:r>
        <w:rPr>
          <w:rFonts w:hint="eastAsia"/>
          <w:b/>
          <w:u w:val="single"/>
        </w:rPr>
        <w:t>现有工程升级改造</w:t>
      </w:r>
      <w:r>
        <w:rPr>
          <w:rFonts w:hint="eastAsia"/>
          <w:b/>
          <w:u w:val="single"/>
          <w:lang w:val="zh-CN"/>
        </w:rPr>
        <w:t>前，</w:t>
      </w:r>
      <w:r>
        <w:rPr>
          <w:rFonts w:hint="eastAsia"/>
          <w:b/>
          <w:u w:val="single"/>
          <w:lang w:val="zh-CN"/>
        </w:rPr>
        <w:t>VOCs</w:t>
      </w:r>
      <w:r>
        <w:rPr>
          <w:rFonts w:hint="eastAsia"/>
          <w:b/>
          <w:u w:val="single"/>
        </w:rPr>
        <w:t>排放量为</w:t>
      </w:r>
      <w:r>
        <w:rPr>
          <w:b/>
          <w:u w:val="single"/>
        </w:rPr>
        <w:t>1</w:t>
      </w:r>
      <w:r>
        <w:rPr>
          <w:rFonts w:hint="eastAsia"/>
          <w:b/>
          <w:u w:val="single"/>
        </w:rPr>
        <w:t>9.3509</w:t>
      </w:r>
      <w:r>
        <w:rPr>
          <w:rFonts w:hint="eastAsia"/>
          <w:b/>
          <w:u w:val="single"/>
          <w:lang w:val="zh-CN"/>
        </w:rPr>
        <w:t>t/a</w:t>
      </w:r>
      <w:r>
        <w:rPr>
          <w:rFonts w:hint="eastAsia"/>
          <w:b/>
          <w:u w:val="single"/>
          <w:lang w:val="zh-CN"/>
        </w:rPr>
        <w:t>；现有工程</w:t>
      </w:r>
      <w:r>
        <w:rPr>
          <w:rFonts w:hint="eastAsia"/>
          <w:b/>
          <w:u w:val="single"/>
        </w:rPr>
        <w:t>升级改造后，</w:t>
      </w:r>
      <w:r>
        <w:rPr>
          <w:rFonts w:hint="eastAsia"/>
          <w:b/>
          <w:u w:val="single"/>
          <w:lang w:val="zh-CN"/>
        </w:rPr>
        <w:t>VOCs</w:t>
      </w:r>
      <w:r>
        <w:rPr>
          <w:rFonts w:hint="eastAsia"/>
          <w:b/>
          <w:u w:val="single"/>
          <w:lang w:val="zh-CN"/>
        </w:rPr>
        <w:t>排放量</w:t>
      </w:r>
      <w:r>
        <w:rPr>
          <w:b/>
          <w:u w:val="single"/>
        </w:rPr>
        <w:t>1</w:t>
      </w:r>
      <w:r>
        <w:rPr>
          <w:rFonts w:hint="eastAsia"/>
          <w:b/>
          <w:u w:val="single"/>
        </w:rPr>
        <w:t>7.2595</w:t>
      </w:r>
      <w:r>
        <w:rPr>
          <w:rFonts w:hint="eastAsia"/>
          <w:b/>
          <w:u w:val="single"/>
          <w:lang w:val="zh-CN"/>
        </w:rPr>
        <w:t>t/a</w:t>
      </w:r>
      <w:r>
        <w:rPr>
          <w:rFonts w:hint="eastAsia"/>
          <w:b/>
          <w:u w:val="single"/>
        </w:rPr>
        <w:t>。因此，现有工程升级改造后，</w:t>
      </w:r>
      <w:r>
        <w:rPr>
          <w:rFonts w:hint="eastAsia"/>
          <w:b/>
          <w:u w:val="single"/>
          <w:lang w:val="zh-CN"/>
        </w:rPr>
        <w:t>VOCs</w:t>
      </w:r>
      <w:r>
        <w:rPr>
          <w:rFonts w:hint="eastAsia"/>
          <w:b/>
          <w:u w:val="single"/>
        </w:rPr>
        <w:t>削减量</w:t>
      </w:r>
      <w:r>
        <w:rPr>
          <w:rFonts w:hint="eastAsia"/>
          <w:b/>
          <w:u w:val="single"/>
          <w:lang w:val="zh-CN"/>
        </w:rPr>
        <w:t>共计</w:t>
      </w:r>
      <w:r>
        <w:rPr>
          <w:rFonts w:hint="eastAsia"/>
          <w:b/>
          <w:u w:val="single"/>
          <w:lang w:val="zh-CN"/>
        </w:rPr>
        <w:t>2.0914t/a</w:t>
      </w:r>
      <w:r>
        <w:rPr>
          <w:rFonts w:hint="eastAsia"/>
          <w:b/>
          <w:u w:val="single"/>
          <w:lang w:val="zh-CN"/>
        </w:rPr>
        <w:t>。</w:t>
      </w:r>
    </w:p>
    <w:p w:rsidR="00EE56C0" w:rsidRDefault="000F36A1">
      <w:pPr>
        <w:pStyle w:val="4"/>
        <w:ind w:left="120" w:firstLine="241"/>
      </w:pPr>
      <w:r>
        <w:rPr>
          <w:rFonts w:hint="eastAsia"/>
        </w:rPr>
        <w:t>3.7.1.4</w:t>
      </w:r>
      <w:r>
        <w:rPr>
          <w:rFonts w:hint="eastAsia"/>
        </w:rPr>
        <w:t>总量控制</w:t>
      </w:r>
    </w:p>
    <w:p w:rsidR="00EE56C0" w:rsidRDefault="000F36A1">
      <w:pPr>
        <w:ind w:firstLine="480"/>
      </w:pPr>
      <w:r>
        <w:rPr>
          <w:rFonts w:hint="eastAsia"/>
        </w:rPr>
        <w:t>根据以上分析，一期废气排放总量见下表。</w:t>
      </w:r>
    </w:p>
    <w:p w:rsidR="00EE56C0" w:rsidRDefault="000F36A1">
      <w:pPr>
        <w:pStyle w:val="afd"/>
        <w:spacing w:before="120" w:after="120"/>
        <w:ind w:firstLine="482"/>
        <w:rPr>
          <w:u w:val="single"/>
        </w:rPr>
      </w:pPr>
      <w:r>
        <w:rPr>
          <w:rFonts w:hint="eastAsia"/>
          <w:u w:val="single"/>
        </w:rPr>
        <w:t>表</w:t>
      </w:r>
      <w:r>
        <w:rPr>
          <w:rFonts w:hint="eastAsia"/>
          <w:u w:val="single"/>
        </w:rPr>
        <w:t>3-4</w:t>
      </w:r>
      <w:r w:rsidR="00212B58">
        <w:rPr>
          <w:rFonts w:hint="eastAsia"/>
          <w:u w:val="single"/>
        </w:rPr>
        <w:t>4</w:t>
      </w:r>
      <w:r>
        <w:rPr>
          <w:rFonts w:hint="eastAsia"/>
          <w:u w:val="single"/>
        </w:rPr>
        <w:t xml:space="preserve">            </w:t>
      </w:r>
      <w:r>
        <w:rPr>
          <w:rFonts w:hint="eastAsia"/>
          <w:u w:val="single"/>
        </w:rPr>
        <w:t>一期废气排放总量情况</w:t>
      </w:r>
      <w:r>
        <w:rPr>
          <w:rFonts w:hint="eastAsia"/>
          <w:u w:val="single"/>
        </w:rPr>
        <w:t xml:space="preserve">        </w:t>
      </w:r>
      <w:r>
        <w:rPr>
          <w:rFonts w:hint="eastAsia"/>
          <w:u w:val="single"/>
        </w:rPr>
        <w:t>单位：</w:t>
      </w:r>
      <w:r>
        <w:rPr>
          <w:rFonts w:hint="eastAsia"/>
          <w:u w:val="single"/>
        </w:rPr>
        <w:t>t/a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20"/>
        <w:gridCol w:w="1975"/>
        <w:gridCol w:w="2173"/>
        <w:gridCol w:w="1660"/>
      </w:tblGrid>
      <w:tr w:rsidR="00EE56C0">
        <w:trPr>
          <w:trHeight w:val="397"/>
        </w:trPr>
        <w:tc>
          <w:tcPr>
            <w:tcW w:w="1595" w:type="pct"/>
            <w:vMerge w:val="restart"/>
            <w:vAlign w:val="center"/>
          </w:tcPr>
          <w:p w:rsidR="00EE56C0" w:rsidRDefault="000F36A1">
            <w:pPr>
              <w:pStyle w:val="afa"/>
              <w:rPr>
                <w:b/>
              </w:rPr>
            </w:pPr>
            <w:r>
              <w:rPr>
                <w:b/>
              </w:rPr>
              <w:t>污染物</w:t>
            </w:r>
          </w:p>
        </w:tc>
        <w:tc>
          <w:tcPr>
            <w:tcW w:w="2432" w:type="pct"/>
            <w:gridSpan w:val="2"/>
            <w:vAlign w:val="center"/>
          </w:tcPr>
          <w:p w:rsidR="00EE56C0" w:rsidRDefault="000F36A1">
            <w:pPr>
              <w:pStyle w:val="afa"/>
              <w:rPr>
                <w:b/>
              </w:rPr>
            </w:pPr>
            <w:r>
              <w:rPr>
                <w:rFonts w:hint="eastAsia"/>
                <w:b/>
              </w:rPr>
              <w:t>一期</w:t>
            </w:r>
          </w:p>
        </w:tc>
        <w:tc>
          <w:tcPr>
            <w:tcW w:w="973" w:type="pct"/>
            <w:vMerge w:val="restart"/>
            <w:vAlign w:val="center"/>
          </w:tcPr>
          <w:p w:rsidR="00EE56C0" w:rsidRDefault="000F36A1">
            <w:pPr>
              <w:pStyle w:val="afa"/>
              <w:rPr>
                <w:b/>
              </w:rPr>
            </w:pPr>
            <w:r>
              <w:rPr>
                <w:rFonts w:hint="eastAsia"/>
                <w:b/>
              </w:rPr>
              <w:t>合计</w:t>
            </w:r>
          </w:p>
        </w:tc>
      </w:tr>
      <w:tr w:rsidR="00EE56C0">
        <w:trPr>
          <w:trHeight w:val="397"/>
        </w:trPr>
        <w:tc>
          <w:tcPr>
            <w:tcW w:w="1595" w:type="pct"/>
            <w:vMerge/>
            <w:vAlign w:val="center"/>
          </w:tcPr>
          <w:p w:rsidR="00EE56C0" w:rsidRDefault="00EE56C0">
            <w:pPr>
              <w:pStyle w:val="afa"/>
            </w:pPr>
          </w:p>
        </w:tc>
        <w:tc>
          <w:tcPr>
            <w:tcW w:w="1158" w:type="pct"/>
            <w:vAlign w:val="center"/>
          </w:tcPr>
          <w:p w:rsidR="00EE56C0" w:rsidRDefault="000F36A1">
            <w:pPr>
              <w:pStyle w:val="afa"/>
              <w:rPr>
                <w:b/>
              </w:rPr>
            </w:pPr>
            <w:r>
              <w:rPr>
                <w:rFonts w:hint="eastAsia"/>
                <w:b/>
              </w:rPr>
              <w:t>有组织</w:t>
            </w:r>
          </w:p>
        </w:tc>
        <w:tc>
          <w:tcPr>
            <w:tcW w:w="1274" w:type="pct"/>
            <w:vAlign w:val="center"/>
          </w:tcPr>
          <w:p w:rsidR="00EE56C0" w:rsidRDefault="000F36A1">
            <w:pPr>
              <w:pStyle w:val="afa"/>
              <w:rPr>
                <w:b/>
              </w:rPr>
            </w:pPr>
            <w:r>
              <w:rPr>
                <w:rFonts w:hint="eastAsia"/>
                <w:b/>
              </w:rPr>
              <w:t>无组织</w:t>
            </w:r>
          </w:p>
        </w:tc>
        <w:tc>
          <w:tcPr>
            <w:tcW w:w="973" w:type="pct"/>
            <w:vMerge/>
            <w:vAlign w:val="center"/>
          </w:tcPr>
          <w:p w:rsidR="00EE56C0" w:rsidRDefault="00EE56C0">
            <w:pPr>
              <w:pStyle w:val="afa"/>
            </w:pPr>
          </w:p>
        </w:tc>
      </w:tr>
      <w:tr w:rsidR="00EE56C0">
        <w:trPr>
          <w:trHeight w:val="397"/>
        </w:trPr>
        <w:tc>
          <w:tcPr>
            <w:tcW w:w="1595" w:type="pct"/>
            <w:vAlign w:val="center"/>
          </w:tcPr>
          <w:p w:rsidR="00EE56C0" w:rsidRDefault="000F36A1">
            <w:pPr>
              <w:pStyle w:val="afa"/>
            </w:pPr>
            <w:r>
              <w:rPr>
                <w:rFonts w:hint="eastAsia"/>
              </w:rPr>
              <w:t>酚</w:t>
            </w:r>
          </w:p>
        </w:tc>
        <w:tc>
          <w:tcPr>
            <w:tcW w:w="1158" w:type="pct"/>
            <w:vAlign w:val="center"/>
          </w:tcPr>
          <w:p w:rsidR="00EE56C0" w:rsidRDefault="000F36A1">
            <w:pPr>
              <w:pStyle w:val="afa"/>
              <w:rPr>
                <w:rFonts w:eastAsia="宋体"/>
              </w:rPr>
            </w:pPr>
            <w:r>
              <w:t xml:space="preserve">0.0301 </w:t>
            </w:r>
          </w:p>
        </w:tc>
        <w:tc>
          <w:tcPr>
            <w:tcW w:w="1274" w:type="pct"/>
            <w:vAlign w:val="center"/>
          </w:tcPr>
          <w:p w:rsidR="00EE56C0" w:rsidRDefault="000F36A1">
            <w:pPr>
              <w:pStyle w:val="afa"/>
              <w:rPr>
                <w:rFonts w:eastAsia="宋体"/>
              </w:rPr>
            </w:pPr>
            <w:r>
              <w:t xml:space="preserve">0.2216 </w:t>
            </w:r>
          </w:p>
        </w:tc>
        <w:tc>
          <w:tcPr>
            <w:tcW w:w="973" w:type="pct"/>
            <w:vAlign w:val="center"/>
          </w:tcPr>
          <w:p w:rsidR="00EE56C0" w:rsidRDefault="000F36A1">
            <w:pPr>
              <w:pStyle w:val="afa"/>
              <w:rPr>
                <w:rFonts w:ascii="宋体" w:eastAsia="宋体" w:hAnsi="宋体" w:cs="宋体"/>
              </w:rPr>
            </w:pPr>
            <w:r>
              <w:rPr>
                <w:rFonts w:hint="eastAsia"/>
              </w:rPr>
              <w:t xml:space="preserve">0.2516 </w:t>
            </w:r>
          </w:p>
        </w:tc>
      </w:tr>
      <w:tr w:rsidR="00EE56C0">
        <w:trPr>
          <w:trHeight w:val="397"/>
        </w:trPr>
        <w:tc>
          <w:tcPr>
            <w:tcW w:w="1595" w:type="pct"/>
            <w:vAlign w:val="center"/>
          </w:tcPr>
          <w:p w:rsidR="00EE56C0" w:rsidRDefault="000F36A1">
            <w:pPr>
              <w:pStyle w:val="afa"/>
            </w:pPr>
            <w:r>
              <w:t>非甲烷总烃</w:t>
            </w:r>
          </w:p>
        </w:tc>
        <w:tc>
          <w:tcPr>
            <w:tcW w:w="1158" w:type="pct"/>
            <w:vAlign w:val="center"/>
          </w:tcPr>
          <w:p w:rsidR="00EE56C0" w:rsidRDefault="000F36A1">
            <w:pPr>
              <w:pStyle w:val="afa"/>
              <w:rPr>
                <w:rFonts w:eastAsia="宋体"/>
              </w:rPr>
            </w:pPr>
            <w:r>
              <w:t xml:space="preserve">0.1016 </w:t>
            </w:r>
          </w:p>
        </w:tc>
        <w:tc>
          <w:tcPr>
            <w:tcW w:w="1274" w:type="pct"/>
            <w:vAlign w:val="center"/>
          </w:tcPr>
          <w:p w:rsidR="00EE56C0" w:rsidRDefault="000F36A1">
            <w:pPr>
              <w:pStyle w:val="afa"/>
              <w:rPr>
                <w:rFonts w:eastAsia="宋体"/>
              </w:rPr>
            </w:pPr>
            <w:r>
              <w:t xml:space="preserve">0.1547 </w:t>
            </w:r>
          </w:p>
        </w:tc>
        <w:tc>
          <w:tcPr>
            <w:tcW w:w="973" w:type="pct"/>
            <w:vAlign w:val="center"/>
          </w:tcPr>
          <w:p w:rsidR="00EE56C0" w:rsidRDefault="000F36A1">
            <w:pPr>
              <w:pStyle w:val="afa"/>
              <w:rPr>
                <w:rFonts w:ascii="宋体" w:eastAsia="宋体" w:hAnsi="宋体" w:cs="宋体"/>
              </w:rPr>
            </w:pPr>
            <w:r>
              <w:rPr>
                <w:rFonts w:hint="eastAsia"/>
              </w:rPr>
              <w:t xml:space="preserve">0.2563 </w:t>
            </w:r>
          </w:p>
        </w:tc>
      </w:tr>
      <w:tr w:rsidR="00EE56C0">
        <w:trPr>
          <w:trHeight w:val="397"/>
        </w:trPr>
        <w:tc>
          <w:tcPr>
            <w:tcW w:w="1595" w:type="pct"/>
            <w:vAlign w:val="center"/>
          </w:tcPr>
          <w:p w:rsidR="00EE56C0" w:rsidRDefault="000F36A1">
            <w:pPr>
              <w:pStyle w:val="afa"/>
            </w:pPr>
            <w:r>
              <w:rPr>
                <w:rFonts w:hint="eastAsia"/>
              </w:rPr>
              <w:t>二甲苯</w:t>
            </w:r>
          </w:p>
        </w:tc>
        <w:tc>
          <w:tcPr>
            <w:tcW w:w="1158" w:type="pct"/>
            <w:vAlign w:val="center"/>
          </w:tcPr>
          <w:p w:rsidR="00EE56C0" w:rsidRDefault="000F36A1">
            <w:pPr>
              <w:pStyle w:val="afa"/>
              <w:rPr>
                <w:rFonts w:eastAsia="宋体"/>
              </w:rPr>
            </w:pPr>
            <w:r>
              <w:t xml:space="preserve">0.2244 </w:t>
            </w:r>
          </w:p>
        </w:tc>
        <w:tc>
          <w:tcPr>
            <w:tcW w:w="1274" w:type="pct"/>
            <w:vAlign w:val="center"/>
          </w:tcPr>
          <w:p w:rsidR="00EE56C0" w:rsidRDefault="000F36A1">
            <w:pPr>
              <w:pStyle w:val="afa"/>
              <w:rPr>
                <w:rFonts w:eastAsia="宋体"/>
              </w:rPr>
            </w:pPr>
            <w:r>
              <w:t xml:space="preserve">0.0796 </w:t>
            </w:r>
          </w:p>
        </w:tc>
        <w:tc>
          <w:tcPr>
            <w:tcW w:w="973" w:type="pct"/>
            <w:vAlign w:val="center"/>
          </w:tcPr>
          <w:p w:rsidR="00EE56C0" w:rsidRDefault="000F36A1">
            <w:pPr>
              <w:pStyle w:val="afa"/>
              <w:rPr>
                <w:rFonts w:ascii="宋体" w:eastAsia="宋体" w:hAnsi="宋体" w:cs="宋体"/>
              </w:rPr>
            </w:pPr>
            <w:r>
              <w:rPr>
                <w:rFonts w:hint="eastAsia"/>
              </w:rPr>
              <w:t xml:space="preserve">0.3040 </w:t>
            </w:r>
          </w:p>
        </w:tc>
      </w:tr>
      <w:tr w:rsidR="00EE56C0">
        <w:trPr>
          <w:trHeight w:val="397"/>
        </w:trPr>
        <w:tc>
          <w:tcPr>
            <w:tcW w:w="1595" w:type="pct"/>
            <w:vAlign w:val="center"/>
          </w:tcPr>
          <w:p w:rsidR="00EE56C0" w:rsidRDefault="000F36A1">
            <w:pPr>
              <w:pStyle w:val="afa"/>
            </w:pPr>
            <w:r>
              <w:rPr>
                <w:rFonts w:hint="eastAsia"/>
              </w:rPr>
              <w:t>甲苯</w:t>
            </w:r>
          </w:p>
        </w:tc>
        <w:tc>
          <w:tcPr>
            <w:tcW w:w="1158" w:type="pct"/>
            <w:vAlign w:val="center"/>
          </w:tcPr>
          <w:p w:rsidR="00EE56C0" w:rsidRDefault="000F36A1">
            <w:pPr>
              <w:pStyle w:val="afa"/>
              <w:rPr>
                <w:rFonts w:eastAsia="宋体"/>
              </w:rPr>
            </w:pPr>
            <w:r>
              <w:t xml:space="preserve">0.2212 </w:t>
            </w:r>
          </w:p>
        </w:tc>
        <w:tc>
          <w:tcPr>
            <w:tcW w:w="1274" w:type="pct"/>
            <w:vAlign w:val="center"/>
          </w:tcPr>
          <w:p w:rsidR="00EE56C0" w:rsidRDefault="000F36A1">
            <w:pPr>
              <w:pStyle w:val="afa"/>
              <w:rPr>
                <w:rFonts w:eastAsia="宋体"/>
              </w:rPr>
            </w:pPr>
            <w:r>
              <w:t xml:space="preserve">0.0556 </w:t>
            </w:r>
          </w:p>
        </w:tc>
        <w:tc>
          <w:tcPr>
            <w:tcW w:w="973" w:type="pct"/>
            <w:vAlign w:val="center"/>
          </w:tcPr>
          <w:p w:rsidR="00EE56C0" w:rsidRDefault="000F36A1">
            <w:pPr>
              <w:pStyle w:val="afa"/>
              <w:rPr>
                <w:rFonts w:ascii="宋体" w:eastAsia="宋体" w:hAnsi="宋体" w:cs="宋体"/>
              </w:rPr>
            </w:pPr>
            <w:r>
              <w:rPr>
                <w:rFonts w:hint="eastAsia"/>
              </w:rPr>
              <w:t xml:space="preserve">0.2768 </w:t>
            </w:r>
          </w:p>
        </w:tc>
      </w:tr>
      <w:tr w:rsidR="00EE56C0">
        <w:trPr>
          <w:trHeight w:val="397"/>
        </w:trPr>
        <w:tc>
          <w:tcPr>
            <w:tcW w:w="1595" w:type="pct"/>
            <w:vAlign w:val="center"/>
          </w:tcPr>
          <w:p w:rsidR="00EE56C0" w:rsidRDefault="000F36A1">
            <w:pPr>
              <w:pStyle w:val="afa"/>
              <w:rPr>
                <w:highlight w:val="yellow"/>
              </w:rPr>
            </w:pPr>
            <w:r>
              <w:rPr>
                <w:rFonts w:hint="eastAsia"/>
              </w:rPr>
              <w:t>苯</w:t>
            </w:r>
          </w:p>
        </w:tc>
        <w:tc>
          <w:tcPr>
            <w:tcW w:w="1158" w:type="pct"/>
            <w:vAlign w:val="center"/>
          </w:tcPr>
          <w:p w:rsidR="00EE56C0" w:rsidRDefault="000F36A1">
            <w:pPr>
              <w:pStyle w:val="afa"/>
              <w:rPr>
                <w:rFonts w:eastAsia="宋体"/>
              </w:rPr>
            </w:pPr>
            <w:r>
              <w:t xml:space="preserve">0.0737 </w:t>
            </w:r>
          </w:p>
        </w:tc>
        <w:tc>
          <w:tcPr>
            <w:tcW w:w="1274" w:type="pct"/>
            <w:vAlign w:val="center"/>
          </w:tcPr>
          <w:p w:rsidR="00EE56C0" w:rsidRDefault="000F36A1">
            <w:pPr>
              <w:pStyle w:val="afa"/>
              <w:rPr>
                <w:rFonts w:eastAsia="宋体"/>
              </w:rPr>
            </w:pPr>
            <w:r>
              <w:t xml:space="preserve">0.0185 </w:t>
            </w:r>
          </w:p>
        </w:tc>
        <w:tc>
          <w:tcPr>
            <w:tcW w:w="973" w:type="pct"/>
            <w:vAlign w:val="center"/>
          </w:tcPr>
          <w:p w:rsidR="00EE56C0" w:rsidRDefault="000F36A1">
            <w:pPr>
              <w:pStyle w:val="afa"/>
              <w:rPr>
                <w:rFonts w:ascii="宋体" w:eastAsia="宋体" w:hAnsi="宋体" w:cs="宋体"/>
              </w:rPr>
            </w:pPr>
            <w:r>
              <w:rPr>
                <w:rFonts w:hint="eastAsia"/>
              </w:rPr>
              <w:t xml:space="preserve">0.0923 </w:t>
            </w:r>
          </w:p>
        </w:tc>
      </w:tr>
      <w:tr w:rsidR="00EE56C0">
        <w:trPr>
          <w:trHeight w:val="397"/>
        </w:trPr>
        <w:tc>
          <w:tcPr>
            <w:tcW w:w="1595" w:type="pct"/>
            <w:vAlign w:val="center"/>
          </w:tcPr>
          <w:p w:rsidR="00EE56C0" w:rsidRDefault="000F36A1">
            <w:pPr>
              <w:pStyle w:val="afa"/>
            </w:pPr>
            <w:r>
              <w:rPr>
                <w:rFonts w:hint="eastAsia"/>
              </w:rPr>
              <w:t>VOCs</w:t>
            </w:r>
            <w:r>
              <w:rPr>
                <w:rFonts w:hint="eastAsia"/>
              </w:rPr>
              <w:t>总计</w:t>
            </w:r>
          </w:p>
        </w:tc>
        <w:tc>
          <w:tcPr>
            <w:tcW w:w="1158" w:type="pct"/>
            <w:vAlign w:val="center"/>
          </w:tcPr>
          <w:p w:rsidR="00EE56C0" w:rsidRDefault="000F36A1">
            <w:pPr>
              <w:pStyle w:val="afa"/>
              <w:rPr>
                <w:rFonts w:eastAsia="宋体"/>
              </w:rPr>
            </w:pPr>
            <w:r>
              <w:t xml:space="preserve">0.6510 </w:t>
            </w:r>
          </w:p>
        </w:tc>
        <w:tc>
          <w:tcPr>
            <w:tcW w:w="1274" w:type="pct"/>
            <w:vAlign w:val="center"/>
          </w:tcPr>
          <w:p w:rsidR="00EE56C0" w:rsidRDefault="000F36A1">
            <w:pPr>
              <w:pStyle w:val="afa"/>
              <w:rPr>
                <w:rFonts w:eastAsia="宋体"/>
              </w:rPr>
            </w:pPr>
            <w:r>
              <w:t xml:space="preserve">0.5299 </w:t>
            </w:r>
          </w:p>
        </w:tc>
        <w:tc>
          <w:tcPr>
            <w:tcW w:w="973" w:type="pct"/>
            <w:vAlign w:val="center"/>
          </w:tcPr>
          <w:p w:rsidR="00EE56C0" w:rsidRDefault="000F36A1">
            <w:pPr>
              <w:pStyle w:val="afa"/>
              <w:rPr>
                <w:rFonts w:ascii="宋体" w:eastAsia="宋体" w:hAnsi="宋体" w:cs="宋体"/>
              </w:rPr>
            </w:pPr>
            <w:r>
              <w:rPr>
                <w:rFonts w:hint="eastAsia"/>
              </w:rPr>
              <w:t xml:space="preserve">1.1809 </w:t>
            </w:r>
          </w:p>
        </w:tc>
      </w:tr>
    </w:tbl>
    <w:p w:rsidR="00EE56C0" w:rsidRDefault="000F36A1">
      <w:pPr>
        <w:ind w:firstLine="482"/>
        <w:rPr>
          <w:b/>
          <w:u w:val="single"/>
        </w:rPr>
      </w:pPr>
      <w:r>
        <w:rPr>
          <w:rFonts w:hint="eastAsia"/>
          <w:b/>
          <w:u w:val="single"/>
        </w:rPr>
        <w:t>由上表可知，一期各污染因子排放总量为</w:t>
      </w:r>
      <w:r>
        <w:rPr>
          <w:rFonts w:hint="eastAsia"/>
          <w:b/>
          <w:u w:val="single"/>
        </w:rPr>
        <w:t>VOCs1.1809t/a</w:t>
      </w:r>
      <w:r>
        <w:rPr>
          <w:rFonts w:hint="eastAsia"/>
          <w:b/>
          <w:u w:val="single"/>
        </w:rPr>
        <w:t>。</w:t>
      </w:r>
    </w:p>
    <w:p w:rsidR="00EE56C0" w:rsidRDefault="000F36A1">
      <w:pPr>
        <w:ind w:firstLine="482"/>
        <w:rPr>
          <w:b/>
          <w:u w:val="single"/>
        </w:rPr>
      </w:pPr>
      <w:r>
        <w:rPr>
          <w:rFonts w:hint="eastAsia"/>
          <w:b/>
          <w:u w:val="single"/>
        </w:rPr>
        <w:t>二期废气排放总量见表</w:t>
      </w:r>
      <w:r>
        <w:rPr>
          <w:rFonts w:hint="eastAsia"/>
          <w:b/>
          <w:u w:val="single"/>
        </w:rPr>
        <w:t>3-4</w:t>
      </w:r>
      <w:r w:rsidR="00212B58">
        <w:rPr>
          <w:rFonts w:hint="eastAsia"/>
          <w:b/>
          <w:u w:val="single"/>
        </w:rPr>
        <w:t>5</w:t>
      </w:r>
      <w:r>
        <w:rPr>
          <w:rFonts w:hint="eastAsia"/>
          <w:b/>
          <w:u w:val="single"/>
        </w:rPr>
        <w:t>。</w:t>
      </w:r>
    </w:p>
    <w:p w:rsidR="00EE56C0" w:rsidRDefault="000F36A1">
      <w:pPr>
        <w:pStyle w:val="afd"/>
        <w:spacing w:before="120" w:after="120"/>
        <w:ind w:firstLine="482"/>
        <w:rPr>
          <w:u w:val="single"/>
        </w:rPr>
      </w:pPr>
      <w:r>
        <w:rPr>
          <w:rFonts w:hint="eastAsia"/>
          <w:u w:val="single"/>
        </w:rPr>
        <w:t>表</w:t>
      </w:r>
      <w:r>
        <w:rPr>
          <w:rFonts w:hint="eastAsia"/>
          <w:u w:val="single"/>
        </w:rPr>
        <w:t>3-4</w:t>
      </w:r>
      <w:r w:rsidR="00212B58">
        <w:rPr>
          <w:rFonts w:hint="eastAsia"/>
          <w:u w:val="single"/>
        </w:rPr>
        <w:t>5</w:t>
      </w:r>
      <w:r>
        <w:rPr>
          <w:rFonts w:hint="eastAsia"/>
          <w:u w:val="single"/>
        </w:rPr>
        <w:t xml:space="preserve">              </w:t>
      </w:r>
      <w:r>
        <w:rPr>
          <w:rFonts w:hint="eastAsia"/>
          <w:u w:val="single"/>
        </w:rPr>
        <w:t>二期废气排放总量情况</w:t>
      </w:r>
      <w:r>
        <w:rPr>
          <w:rFonts w:hint="eastAsia"/>
          <w:u w:val="single"/>
        </w:rPr>
        <w:t xml:space="preserve">        </w:t>
      </w:r>
      <w:r>
        <w:rPr>
          <w:rFonts w:hint="eastAsia"/>
          <w:u w:val="single"/>
        </w:rPr>
        <w:t>单位：</w:t>
      </w:r>
      <w:r>
        <w:rPr>
          <w:rFonts w:hint="eastAsia"/>
          <w:u w:val="single"/>
        </w:rPr>
        <w:t>t/a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21"/>
        <w:gridCol w:w="1702"/>
        <w:gridCol w:w="1985"/>
        <w:gridCol w:w="2007"/>
        <w:gridCol w:w="2013"/>
      </w:tblGrid>
      <w:tr w:rsidR="00EE56C0">
        <w:trPr>
          <w:trHeight w:val="397"/>
        </w:trPr>
        <w:tc>
          <w:tcPr>
            <w:tcW w:w="1479" w:type="pct"/>
            <w:gridSpan w:val="2"/>
            <w:vMerge w:val="restart"/>
            <w:vAlign w:val="center"/>
          </w:tcPr>
          <w:p w:rsidR="00EE56C0" w:rsidRDefault="000F36A1">
            <w:pPr>
              <w:pStyle w:val="aff1"/>
              <w:rPr>
                <w:color w:val="auto"/>
              </w:rPr>
            </w:pPr>
            <w:r>
              <w:rPr>
                <w:color w:val="auto"/>
                <w:szCs w:val="21"/>
              </w:rPr>
              <w:t>污染物</w:t>
            </w:r>
          </w:p>
        </w:tc>
        <w:tc>
          <w:tcPr>
            <w:tcW w:w="2341" w:type="pct"/>
            <w:gridSpan w:val="2"/>
            <w:vAlign w:val="center"/>
          </w:tcPr>
          <w:p w:rsidR="00EE56C0" w:rsidRDefault="000F36A1">
            <w:pPr>
              <w:pStyle w:val="aff1"/>
              <w:rPr>
                <w:color w:val="auto"/>
              </w:rPr>
            </w:pPr>
            <w:r>
              <w:rPr>
                <w:rFonts w:hint="eastAsia"/>
                <w:color w:val="auto"/>
              </w:rPr>
              <w:t>二期</w:t>
            </w:r>
          </w:p>
        </w:tc>
        <w:tc>
          <w:tcPr>
            <w:tcW w:w="1180" w:type="pct"/>
            <w:vMerge w:val="restart"/>
            <w:vAlign w:val="center"/>
          </w:tcPr>
          <w:p w:rsidR="00EE56C0" w:rsidRDefault="000F36A1">
            <w:pPr>
              <w:pStyle w:val="aff1"/>
              <w:rPr>
                <w:color w:val="auto"/>
              </w:rPr>
            </w:pPr>
            <w:r>
              <w:rPr>
                <w:rFonts w:hint="eastAsia"/>
                <w:color w:val="auto"/>
              </w:rPr>
              <w:t>合计</w:t>
            </w:r>
          </w:p>
        </w:tc>
      </w:tr>
      <w:tr w:rsidR="00EE56C0">
        <w:trPr>
          <w:trHeight w:val="397"/>
        </w:trPr>
        <w:tc>
          <w:tcPr>
            <w:tcW w:w="1479" w:type="pct"/>
            <w:gridSpan w:val="2"/>
            <w:vMerge/>
            <w:vAlign w:val="center"/>
          </w:tcPr>
          <w:p w:rsidR="00EE56C0" w:rsidRDefault="00EE56C0">
            <w:pPr>
              <w:pStyle w:val="aff1"/>
              <w:rPr>
                <w:color w:val="auto"/>
                <w:szCs w:val="21"/>
              </w:rPr>
            </w:pPr>
          </w:p>
        </w:tc>
        <w:tc>
          <w:tcPr>
            <w:tcW w:w="1164" w:type="pct"/>
            <w:vAlign w:val="center"/>
          </w:tcPr>
          <w:p w:rsidR="00EE56C0" w:rsidRDefault="000F36A1">
            <w:pPr>
              <w:pStyle w:val="aff1"/>
              <w:rPr>
                <w:color w:val="auto"/>
              </w:rPr>
            </w:pPr>
            <w:r>
              <w:rPr>
                <w:rFonts w:hint="eastAsia"/>
                <w:color w:val="auto"/>
              </w:rPr>
              <w:t>有组织</w:t>
            </w:r>
          </w:p>
        </w:tc>
        <w:tc>
          <w:tcPr>
            <w:tcW w:w="1177" w:type="pct"/>
            <w:vAlign w:val="center"/>
          </w:tcPr>
          <w:p w:rsidR="00EE56C0" w:rsidRDefault="000F36A1">
            <w:pPr>
              <w:pStyle w:val="aff1"/>
              <w:rPr>
                <w:color w:val="auto"/>
              </w:rPr>
            </w:pPr>
            <w:r>
              <w:rPr>
                <w:rFonts w:hint="eastAsia"/>
                <w:color w:val="auto"/>
              </w:rPr>
              <w:t>无组织</w:t>
            </w:r>
          </w:p>
        </w:tc>
        <w:tc>
          <w:tcPr>
            <w:tcW w:w="1180" w:type="pct"/>
            <w:vMerge/>
            <w:vAlign w:val="center"/>
          </w:tcPr>
          <w:p w:rsidR="00EE56C0" w:rsidRDefault="00EE56C0">
            <w:pPr>
              <w:pStyle w:val="aff1"/>
              <w:rPr>
                <w:color w:val="auto"/>
              </w:rPr>
            </w:pPr>
          </w:p>
        </w:tc>
      </w:tr>
      <w:tr w:rsidR="00EE56C0">
        <w:trPr>
          <w:trHeight w:val="397"/>
        </w:trPr>
        <w:tc>
          <w:tcPr>
            <w:tcW w:w="481" w:type="pct"/>
            <w:vMerge w:val="restart"/>
            <w:vAlign w:val="center"/>
          </w:tcPr>
          <w:p w:rsidR="00EE56C0" w:rsidRDefault="000F36A1">
            <w:pPr>
              <w:pStyle w:val="afa"/>
            </w:pPr>
            <w:r>
              <w:rPr>
                <w:rFonts w:hint="eastAsia"/>
              </w:rPr>
              <w:t>VOCs</w:t>
            </w:r>
          </w:p>
        </w:tc>
        <w:tc>
          <w:tcPr>
            <w:tcW w:w="998" w:type="pct"/>
            <w:vAlign w:val="center"/>
          </w:tcPr>
          <w:p w:rsidR="00EE56C0" w:rsidRDefault="000F36A1">
            <w:pPr>
              <w:pStyle w:val="afa"/>
            </w:pPr>
            <w:r>
              <w:rPr>
                <w:rFonts w:hint="eastAsia"/>
              </w:rPr>
              <w:t>酚</w:t>
            </w:r>
          </w:p>
        </w:tc>
        <w:tc>
          <w:tcPr>
            <w:tcW w:w="1164" w:type="pct"/>
            <w:vAlign w:val="center"/>
          </w:tcPr>
          <w:p w:rsidR="00EE56C0" w:rsidRDefault="000F36A1">
            <w:pPr>
              <w:pStyle w:val="afa"/>
              <w:rPr>
                <w:rFonts w:eastAsia="宋体"/>
              </w:rPr>
            </w:pPr>
            <w:r>
              <w:t xml:space="preserve">0.0814 </w:t>
            </w:r>
          </w:p>
        </w:tc>
        <w:tc>
          <w:tcPr>
            <w:tcW w:w="1177" w:type="pct"/>
            <w:vAlign w:val="center"/>
          </w:tcPr>
          <w:p w:rsidR="00EE56C0" w:rsidRDefault="000F36A1">
            <w:pPr>
              <w:pStyle w:val="afa"/>
              <w:rPr>
                <w:rFonts w:eastAsia="宋体"/>
              </w:rPr>
            </w:pPr>
            <w:r>
              <w:t xml:space="preserve">0.7051 </w:t>
            </w:r>
          </w:p>
        </w:tc>
        <w:tc>
          <w:tcPr>
            <w:tcW w:w="1180" w:type="pct"/>
            <w:vAlign w:val="center"/>
          </w:tcPr>
          <w:p w:rsidR="00EE56C0" w:rsidRDefault="000F36A1">
            <w:pPr>
              <w:pStyle w:val="afa"/>
              <w:rPr>
                <w:rFonts w:ascii="宋体" w:eastAsia="宋体" w:hAnsi="宋体" w:cs="宋体"/>
              </w:rPr>
            </w:pPr>
            <w:r>
              <w:rPr>
                <w:rFonts w:hint="eastAsia"/>
              </w:rPr>
              <w:t xml:space="preserve">0.7865 </w:t>
            </w:r>
          </w:p>
        </w:tc>
      </w:tr>
      <w:tr w:rsidR="00EE56C0">
        <w:trPr>
          <w:trHeight w:val="397"/>
        </w:trPr>
        <w:tc>
          <w:tcPr>
            <w:tcW w:w="481" w:type="pct"/>
            <w:vMerge/>
            <w:vAlign w:val="center"/>
          </w:tcPr>
          <w:p w:rsidR="00EE56C0" w:rsidRDefault="00EE56C0">
            <w:pPr>
              <w:pStyle w:val="afa"/>
            </w:pPr>
          </w:p>
        </w:tc>
        <w:tc>
          <w:tcPr>
            <w:tcW w:w="998" w:type="pct"/>
            <w:vAlign w:val="center"/>
          </w:tcPr>
          <w:p w:rsidR="00EE56C0" w:rsidRDefault="000F36A1">
            <w:pPr>
              <w:pStyle w:val="afa"/>
            </w:pPr>
            <w:r>
              <w:t>非甲烷总烃</w:t>
            </w:r>
          </w:p>
        </w:tc>
        <w:tc>
          <w:tcPr>
            <w:tcW w:w="1164" w:type="pct"/>
            <w:vAlign w:val="center"/>
          </w:tcPr>
          <w:p w:rsidR="00EE56C0" w:rsidRDefault="000F36A1">
            <w:pPr>
              <w:pStyle w:val="afa"/>
              <w:rPr>
                <w:rFonts w:eastAsia="宋体"/>
              </w:rPr>
            </w:pPr>
            <w:r>
              <w:t xml:space="preserve">0.1065 </w:t>
            </w:r>
          </w:p>
        </w:tc>
        <w:tc>
          <w:tcPr>
            <w:tcW w:w="1177" w:type="pct"/>
            <w:vAlign w:val="center"/>
          </w:tcPr>
          <w:p w:rsidR="00EE56C0" w:rsidRDefault="000F36A1">
            <w:pPr>
              <w:pStyle w:val="afa"/>
              <w:rPr>
                <w:rFonts w:eastAsia="宋体"/>
              </w:rPr>
            </w:pPr>
            <w:r>
              <w:t xml:space="preserve">0.5289 </w:t>
            </w:r>
          </w:p>
        </w:tc>
        <w:tc>
          <w:tcPr>
            <w:tcW w:w="1180" w:type="pct"/>
            <w:vAlign w:val="center"/>
          </w:tcPr>
          <w:p w:rsidR="00EE56C0" w:rsidRDefault="000F36A1">
            <w:pPr>
              <w:pStyle w:val="afa"/>
              <w:rPr>
                <w:rFonts w:ascii="宋体" w:eastAsia="宋体" w:hAnsi="宋体" w:cs="宋体"/>
              </w:rPr>
            </w:pPr>
            <w:r>
              <w:rPr>
                <w:rFonts w:hint="eastAsia"/>
              </w:rPr>
              <w:t xml:space="preserve">0.6354 </w:t>
            </w:r>
          </w:p>
        </w:tc>
      </w:tr>
      <w:tr w:rsidR="00EE56C0">
        <w:trPr>
          <w:trHeight w:val="397"/>
        </w:trPr>
        <w:tc>
          <w:tcPr>
            <w:tcW w:w="481" w:type="pct"/>
            <w:vMerge/>
            <w:vAlign w:val="center"/>
          </w:tcPr>
          <w:p w:rsidR="00EE56C0" w:rsidRDefault="00EE56C0">
            <w:pPr>
              <w:pStyle w:val="afa"/>
            </w:pPr>
          </w:p>
        </w:tc>
        <w:tc>
          <w:tcPr>
            <w:tcW w:w="998" w:type="pct"/>
            <w:vAlign w:val="center"/>
          </w:tcPr>
          <w:p w:rsidR="00EE56C0" w:rsidRDefault="000F36A1">
            <w:pPr>
              <w:pStyle w:val="afa"/>
            </w:pPr>
            <w:r>
              <w:rPr>
                <w:rFonts w:hint="eastAsia"/>
              </w:rPr>
              <w:t>二甲苯</w:t>
            </w:r>
          </w:p>
        </w:tc>
        <w:tc>
          <w:tcPr>
            <w:tcW w:w="1164" w:type="pct"/>
            <w:vAlign w:val="center"/>
          </w:tcPr>
          <w:p w:rsidR="00EE56C0" w:rsidRDefault="000F36A1">
            <w:pPr>
              <w:pStyle w:val="afa"/>
              <w:rPr>
                <w:rFonts w:eastAsia="宋体"/>
              </w:rPr>
            </w:pPr>
            <w:r>
              <w:t xml:space="preserve">0.1836 </w:t>
            </w:r>
          </w:p>
        </w:tc>
        <w:tc>
          <w:tcPr>
            <w:tcW w:w="1177" w:type="pct"/>
            <w:vAlign w:val="center"/>
          </w:tcPr>
          <w:p w:rsidR="00EE56C0" w:rsidRDefault="000F36A1">
            <w:pPr>
              <w:pStyle w:val="afa"/>
              <w:rPr>
                <w:rFonts w:eastAsia="宋体"/>
              </w:rPr>
            </w:pPr>
            <w:r>
              <w:t xml:space="preserve">0.1203 </w:t>
            </w:r>
          </w:p>
        </w:tc>
        <w:tc>
          <w:tcPr>
            <w:tcW w:w="1180" w:type="pct"/>
            <w:vAlign w:val="center"/>
          </w:tcPr>
          <w:p w:rsidR="00EE56C0" w:rsidRDefault="000F36A1">
            <w:pPr>
              <w:pStyle w:val="afa"/>
              <w:rPr>
                <w:rFonts w:ascii="宋体" w:eastAsia="宋体" w:hAnsi="宋体" w:cs="宋体"/>
              </w:rPr>
            </w:pPr>
            <w:r>
              <w:rPr>
                <w:rFonts w:hint="eastAsia"/>
              </w:rPr>
              <w:t xml:space="preserve">0.3039 </w:t>
            </w:r>
          </w:p>
        </w:tc>
      </w:tr>
      <w:tr w:rsidR="00EE56C0">
        <w:trPr>
          <w:trHeight w:val="397"/>
        </w:trPr>
        <w:tc>
          <w:tcPr>
            <w:tcW w:w="481" w:type="pct"/>
            <w:vMerge/>
            <w:vAlign w:val="center"/>
          </w:tcPr>
          <w:p w:rsidR="00EE56C0" w:rsidRDefault="00EE56C0">
            <w:pPr>
              <w:pStyle w:val="afa"/>
            </w:pPr>
          </w:p>
        </w:tc>
        <w:tc>
          <w:tcPr>
            <w:tcW w:w="998" w:type="pct"/>
            <w:vAlign w:val="center"/>
          </w:tcPr>
          <w:p w:rsidR="00EE56C0" w:rsidRDefault="000F36A1">
            <w:pPr>
              <w:pStyle w:val="afa"/>
            </w:pPr>
            <w:r>
              <w:rPr>
                <w:rFonts w:hint="eastAsia"/>
              </w:rPr>
              <w:t>甲苯</w:t>
            </w:r>
          </w:p>
        </w:tc>
        <w:tc>
          <w:tcPr>
            <w:tcW w:w="1164" w:type="pct"/>
            <w:vAlign w:val="center"/>
          </w:tcPr>
          <w:p w:rsidR="00EE56C0" w:rsidRDefault="000F36A1">
            <w:pPr>
              <w:pStyle w:val="afa"/>
              <w:rPr>
                <w:rFonts w:eastAsia="宋体"/>
              </w:rPr>
            </w:pPr>
            <w:r>
              <w:t xml:space="preserve">0.1746 </w:t>
            </w:r>
          </w:p>
        </w:tc>
        <w:tc>
          <w:tcPr>
            <w:tcW w:w="1177" w:type="pct"/>
            <w:vAlign w:val="center"/>
          </w:tcPr>
          <w:p w:rsidR="00EE56C0" w:rsidRDefault="000F36A1">
            <w:pPr>
              <w:pStyle w:val="afa"/>
              <w:rPr>
                <w:rFonts w:eastAsia="宋体"/>
              </w:rPr>
            </w:pPr>
            <w:r>
              <w:t xml:space="preserve">0.0439 </w:t>
            </w:r>
          </w:p>
        </w:tc>
        <w:tc>
          <w:tcPr>
            <w:tcW w:w="1180" w:type="pct"/>
            <w:vAlign w:val="center"/>
          </w:tcPr>
          <w:p w:rsidR="00EE56C0" w:rsidRDefault="000F36A1">
            <w:pPr>
              <w:pStyle w:val="afa"/>
              <w:rPr>
                <w:rFonts w:ascii="宋体" w:eastAsia="宋体" w:hAnsi="宋体" w:cs="宋体"/>
              </w:rPr>
            </w:pPr>
            <w:r>
              <w:rPr>
                <w:rFonts w:hint="eastAsia"/>
              </w:rPr>
              <w:t xml:space="preserve">0.2185 </w:t>
            </w:r>
          </w:p>
        </w:tc>
      </w:tr>
      <w:tr w:rsidR="00EE56C0">
        <w:trPr>
          <w:trHeight w:val="397"/>
        </w:trPr>
        <w:tc>
          <w:tcPr>
            <w:tcW w:w="481" w:type="pct"/>
            <w:vMerge/>
            <w:vAlign w:val="center"/>
          </w:tcPr>
          <w:p w:rsidR="00EE56C0" w:rsidRDefault="00EE56C0">
            <w:pPr>
              <w:pStyle w:val="afa"/>
              <w:rPr>
                <w:highlight w:val="yellow"/>
              </w:rPr>
            </w:pPr>
          </w:p>
        </w:tc>
        <w:tc>
          <w:tcPr>
            <w:tcW w:w="998" w:type="pct"/>
            <w:vAlign w:val="center"/>
          </w:tcPr>
          <w:p w:rsidR="00EE56C0" w:rsidRDefault="000F36A1">
            <w:pPr>
              <w:pStyle w:val="afa"/>
              <w:rPr>
                <w:highlight w:val="yellow"/>
              </w:rPr>
            </w:pPr>
            <w:r>
              <w:rPr>
                <w:rFonts w:hint="eastAsia"/>
              </w:rPr>
              <w:t>苯</w:t>
            </w:r>
          </w:p>
        </w:tc>
        <w:tc>
          <w:tcPr>
            <w:tcW w:w="1164" w:type="pct"/>
            <w:vAlign w:val="center"/>
          </w:tcPr>
          <w:p w:rsidR="00EE56C0" w:rsidRDefault="000F36A1">
            <w:pPr>
              <w:pStyle w:val="afa"/>
              <w:rPr>
                <w:rFonts w:eastAsia="宋体"/>
              </w:rPr>
            </w:pPr>
            <w:r>
              <w:t xml:space="preserve">0.0582 </w:t>
            </w:r>
          </w:p>
        </w:tc>
        <w:tc>
          <w:tcPr>
            <w:tcW w:w="1177" w:type="pct"/>
            <w:vAlign w:val="center"/>
          </w:tcPr>
          <w:p w:rsidR="00EE56C0" w:rsidRDefault="000F36A1">
            <w:pPr>
              <w:pStyle w:val="afa"/>
              <w:rPr>
                <w:rFonts w:eastAsia="宋体"/>
              </w:rPr>
            </w:pPr>
            <w:r>
              <w:t xml:space="preserve">0.0146 </w:t>
            </w:r>
          </w:p>
        </w:tc>
        <w:tc>
          <w:tcPr>
            <w:tcW w:w="1180" w:type="pct"/>
            <w:vAlign w:val="center"/>
          </w:tcPr>
          <w:p w:rsidR="00EE56C0" w:rsidRDefault="000F36A1">
            <w:pPr>
              <w:pStyle w:val="afa"/>
              <w:rPr>
                <w:rFonts w:ascii="宋体" w:eastAsia="宋体" w:hAnsi="宋体" w:cs="宋体"/>
              </w:rPr>
            </w:pPr>
            <w:r>
              <w:rPr>
                <w:rFonts w:hint="eastAsia"/>
              </w:rPr>
              <w:t xml:space="preserve">0.0728 </w:t>
            </w:r>
          </w:p>
        </w:tc>
      </w:tr>
      <w:tr w:rsidR="00EE56C0">
        <w:trPr>
          <w:trHeight w:val="397"/>
        </w:trPr>
        <w:tc>
          <w:tcPr>
            <w:tcW w:w="481" w:type="pct"/>
            <w:vMerge/>
            <w:vAlign w:val="center"/>
          </w:tcPr>
          <w:p w:rsidR="00EE56C0" w:rsidRDefault="00EE56C0">
            <w:pPr>
              <w:pStyle w:val="afa"/>
            </w:pPr>
          </w:p>
        </w:tc>
        <w:tc>
          <w:tcPr>
            <w:tcW w:w="998" w:type="pct"/>
            <w:vAlign w:val="center"/>
          </w:tcPr>
          <w:p w:rsidR="00EE56C0" w:rsidRDefault="000F36A1">
            <w:pPr>
              <w:pStyle w:val="afa"/>
            </w:pPr>
            <w:r>
              <w:rPr>
                <w:rFonts w:hint="eastAsia"/>
              </w:rPr>
              <w:t>总计</w:t>
            </w:r>
          </w:p>
        </w:tc>
        <w:tc>
          <w:tcPr>
            <w:tcW w:w="1164" w:type="pct"/>
            <w:vAlign w:val="center"/>
          </w:tcPr>
          <w:p w:rsidR="00EE56C0" w:rsidRDefault="000F36A1">
            <w:pPr>
              <w:pStyle w:val="afa"/>
              <w:rPr>
                <w:rFonts w:eastAsia="宋体"/>
              </w:rPr>
            </w:pPr>
            <w:r>
              <w:t xml:space="preserve">0.6042 </w:t>
            </w:r>
          </w:p>
        </w:tc>
        <w:tc>
          <w:tcPr>
            <w:tcW w:w="1177" w:type="pct"/>
            <w:vAlign w:val="center"/>
          </w:tcPr>
          <w:p w:rsidR="00EE56C0" w:rsidRDefault="000F36A1">
            <w:pPr>
              <w:pStyle w:val="afa"/>
              <w:rPr>
                <w:rFonts w:eastAsia="宋体"/>
              </w:rPr>
            </w:pPr>
            <w:r>
              <w:t xml:space="preserve">1.4128 </w:t>
            </w:r>
          </w:p>
        </w:tc>
        <w:tc>
          <w:tcPr>
            <w:tcW w:w="1180" w:type="pct"/>
            <w:vAlign w:val="center"/>
          </w:tcPr>
          <w:p w:rsidR="00EE56C0" w:rsidRDefault="000F36A1">
            <w:pPr>
              <w:pStyle w:val="afa"/>
              <w:rPr>
                <w:rFonts w:ascii="宋体" w:eastAsia="宋体" w:hAnsi="宋体" w:cs="宋体"/>
              </w:rPr>
            </w:pPr>
            <w:r>
              <w:rPr>
                <w:rFonts w:hint="eastAsia"/>
              </w:rPr>
              <w:t xml:space="preserve">2.0171 </w:t>
            </w:r>
          </w:p>
        </w:tc>
      </w:tr>
    </w:tbl>
    <w:p w:rsidR="00EE56C0" w:rsidRDefault="000F36A1">
      <w:pPr>
        <w:ind w:firstLine="482"/>
        <w:rPr>
          <w:b/>
        </w:rPr>
      </w:pPr>
      <w:r>
        <w:rPr>
          <w:rFonts w:hint="eastAsia"/>
          <w:b/>
        </w:rPr>
        <w:t>由上表可知，二期各污染因子排放总量为</w:t>
      </w:r>
      <w:r>
        <w:rPr>
          <w:rFonts w:hint="eastAsia"/>
          <w:b/>
        </w:rPr>
        <w:t>VOCs2.0171t/a</w:t>
      </w:r>
      <w:r>
        <w:rPr>
          <w:rFonts w:hint="eastAsia"/>
          <w:b/>
        </w:rPr>
        <w:t>。</w:t>
      </w:r>
    </w:p>
    <w:p w:rsidR="00354508" w:rsidRDefault="000F36A1">
      <w:pPr>
        <w:ind w:firstLine="482"/>
        <w:rPr>
          <w:b/>
        </w:rPr>
      </w:pPr>
      <w:r>
        <w:rPr>
          <w:rFonts w:hint="eastAsia"/>
          <w:b/>
        </w:rPr>
        <w:lastRenderedPageBreak/>
        <w:t>一期、二期废气排放总量见下表。</w:t>
      </w:r>
    </w:p>
    <w:p w:rsidR="00EE56C0" w:rsidRDefault="000F36A1">
      <w:pPr>
        <w:pStyle w:val="afd"/>
        <w:spacing w:before="120" w:after="120"/>
        <w:ind w:firstLine="482"/>
        <w:rPr>
          <w:u w:val="single"/>
        </w:rPr>
      </w:pPr>
      <w:r>
        <w:rPr>
          <w:rFonts w:hint="eastAsia"/>
          <w:u w:val="single"/>
        </w:rPr>
        <w:t>表</w:t>
      </w:r>
      <w:r>
        <w:rPr>
          <w:rFonts w:hint="eastAsia"/>
          <w:u w:val="single"/>
        </w:rPr>
        <w:t>3-4</w:t>
      </w:r>
      <w:r w:rsidR="00212B58">
        <w:rPr>
          <w:rFonts w:hint="eastAsia"/>
          <w:u w:val="single"/>
        </w:rPr>
        <w:t>6</w:t>
      </w:r>
      <w:r>
        <w:rPr>
          <w:rFonts w:hint="eastAsia"/>
          <w:u w:val="single"/>
        </w:rPr>
        <w:t xml:space="preserve">           </w:t>
      </w:r>
      <w:r>
        <w:rPr>
          <w:rFonts w:hint="eastAsia"/>
          <w:u w:val="single"/>
        </w:rPr>
        <w:t>一期、二期废气排放总量合计情况</w:t>
      </w:r>
      <w:r>
        <w:rPr>
          <w:rFonts w:hint="eastAsia"/>
          <w:u w:val="single"/>
        </w:rPr>
        <w:t xml:space="preserve">        </w:t>
      </w:r>
      <w:r>
        <w:rPr>
          <w:rFonts w:hint="eastAsia"/>
          <w:u w:val="single"/>
        </w:rPr>
        <w:t>单位：</w:t>
      </w:r>
      <w:r>
        <w:rPr>
          <w:rFonts w:hint="eastAsia"/>
          <w:u w:val="single"/>
        </w:rPr>
        <w:t>t/a</w:t>
      </w: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20"/>
        <w:gridCol w:w="1958"/>
        <w:gridCol w:w="17"/>
        <w:gridCol w:w="2173"/>
        <w:gridCol w:w="1662"/>
      </w:tblGrid>
      <w:tr w:rsidR="00EE56C0">
        <w:trPr>
          <w:trHeight w:val="804"/>
        </w:trPr>
        <w:tc>
          <w:tcPr>
            <w:tcW w:w="1594" w:type="pct"/>
            <w:vAlign w:val="center"/>
          </w:tcPr>
          <w:p w:rsidR="00EE56C0" w:rsidRDefault="000F36A1">
            <w:pPr>
              <w:pStyle w:val="afa"/>
              <w:rPr>
                <w:b/>
              </w:rPr>
            </w:pPr>
            <w:r>
              <w:rPr>
                <w:b/>
              </w:rPr>
              <w:t>污染物</w:t>
            </w:r>
          </w:p>
        </w:tc>
        <w:tc>
          <w:tcPr>
            <w:tcW w:w="1148" w:type="pct"/>
            <w:vAlign w:val="center"/>
          </w:tcPr>
          <w:p w:rsidR="00EE56C0" w:rsidRDefault="000F36A1">
            <w:pPr>
              <w:pStyle w:val="afa"/>
              <w:rPr>
                <w:b/>
              </w:rPr>
            </w:pPr>
            <w:r>
              <w:rPr>
                <w:rFonts w:hint="eastAsia"/>
                <w:b/>
              </w:rPr>
              <w:t>一期</w:t>
            </w:r>
          </w:p>
        </w:tc>
        <w:tc>
          <w:tcPr>
            <w:tcW w:w="1284" w:type="pct"/>
            <w:gridSpan w:val="2"/>
            <w:vAlign w:val="center"/>
          </w:tcPr>
          <w:p w:rsidR="00EE56C0" w:rsidRDefault="000F36A1">
            <w:pPr>
              <w:pStyle w:val="afa"/>
              <w:rPr>
                <w:b/>
              </w:rPr>
            </w:pPr>
            <w:r>
              <w:rPr>
                <w:rFonts w:hint="eastAsia"/>
                <w:b/>
              </w:rPr>
              <w:t>二期</w:t>
            </w:r>
          </w:p>
        </w:tc>
        <w:tc>
          <w:tcPr>
            <w:tcW w:w="974" w:type="pct"/>
            <w:vAlign w:val="center"/>
          </w:tcPr>
          <w:p w:rsidR="00EE56C0" w:rsidRDefault="000F36A1">
            <w:pPr>
              <w:pStyle w:val="afa"/>
              <w:rPr>
                <w:b/>
              </w:rPr>
            </w:pPr>
            <w:r>
              <w:rPr>
                <w:rFonts w:hint="eastAsia"/>
                <w:b/>
              </w:rPr>
              <w:t>合计</w:t>
            </w:r>
          </w:p>
        </w:tc>
      </w:tr>
      <w:tr w:rsidR="00EE56C0">
        <w:trPr>
          <w:trHeight w:val="397"/>
        </w:trPr>
        <w:tc>
          <w:tcPr>
            <w:tcW w:w="1594" w:type="pct"/>
            <w:vAlign w:val="center"/>
          </w:tcPr>
          <w:p w:rsidR="00EE56C0" w:rsidRDefault="000F36A1">
            <w:pPr>
              <w:pStyle w:val="afa"/>
            </w:pPr>
            <w:r>
              <w:rPr>
                <w:rFonts w:hint="eastAsia"/>
              </w:rPr>
              <w:t>酚</w:t>
            </w:r>
          </w:p>
        </w:tc>
        <w:tc>
          <w:tcPr>
            <w:tcW w:w="1158" w:type="pct"/>
            <w:gridSpan w:val="2"/>
            <w:vAlign w:val="center"/>
          </w:tcPr>
          <w:p w:rsidR="00EE56C0" w:rsidRDefault="000F36A1">
            <w:pPr>
              <w:pStyle w:val="afa"/>
              <w:rPr>
                <w:rFonts w:ascii="宋体" w:eastAsia="宋体" w:hAnsi="宋体" w:cs="宋体"/>
              </w:rPr>
            </w:pPr>
            <w:r>
              <w:rPr>
                <w:rFonts w:hint="eastAsia"/>
              </w:rPr>
              <w:t xml:space="preserve">0.2516 </w:t>
            </w:r>
          </w:p>
        </w:tc>
        <w:tc>
          <w:tcPr>
            <w:tcW w:w="1274" w:type="pct"/>
            <w:vAlign w:val="center"/>
          </w:tcPr>
          <w:p w:rsidR="00EE56C0" w:rsidRDefault="000F36A1">
            <w:pPr>
              <w:pStyle w:val="afa"/>
              <w:rPr>
                <w:rFonts w:ascii="宋体" w:eastAsia="宋体" w:hAnsi="宋体" w:cs="宋体"/>
              </w:rPr>
            </w:pPr>
            <w:r>
              <w:rPr>
                <w:rFonts w:hint="eastAsia"/>
              </w:rPr>
              <w:t xml:space="preserve">0.7865 </w:t>
            </w:r>
          </w:p>
        </w:tc>
        <w:tc>
          <w:tcPr>
            <w:tcW w:w="974" w:type="pct"/>
            <w:vAlign w:val="center"/>
          </w:tcPr>
          <w:p w:rsidR="00EE56C0" w:rsidRDefault="000F36A1">
            <w:pPr>
              <w:pStyle w:val="afa"/>
              <w:rPr>
                <w:rFonts w:ascii="宋体" w:eastAsia="宋体" w:hAnsi="宋体" w:cs="宋体"/>
              </w:rPr>
            </w:pPr>
            <w:r>
              <w:rPr>
                <w:rFonts w:hint="eastAsia"/>
              </w:rPr>
              <w:t>1.0381</w:t>
            </w:r>
          </w:p>
        </w:tc>
      </w:tr>
      <w:tr w:rsidR="00EE56C0">
        <w:trPr>
          <w:trHeight w:val="397"/>
        </w:trPr>
        <w:tc>
          <w:tcPr>
            <w:tcW w:w="1594" w:type="pct"/>
            <w:vAlign w:val="center"/>
          </w:tcPr>
          <w:p w:rsidR="00EE56C0" w:rsidRDefault="000F36A1">
            <w:pPr>
              <w:pStyle w:val="afa"/>
            </w:pPr>
            <w:r>
              <w:t>非甲烷总烃</w:t>
            </w:r>
          </w:p>
        </w:tc>
        <w:tc>
          <w:tcPr>
            <w:tcW w:w="1158" w:type="pct"/>
            <w:gridSpan w:val="2"/>
            <w:vAlign w:val="center"/>
          </w:tcPr>
          <w:p w:rsidR="00EE56C0" w:rsidRDefault="000F36A1">
            <w:pPr>
              <w:pStyle w:val="afa"/>
              <w:rPr>
                <w:rFonts w:ascii="宋体" w:eastAsia="宋体" w:hAnsi="宋体" w:cs="宋体"/>
              </w:rPr>
            </w:pPr>
            <w:r>
              <w:rPr>
                <w:rFonts w:hint="eastAsia"/>
              </w:rPr>
              <w:t xml:space="preserve">0.2563 </w:t>
            </w:r>
          </w:p>
        </w:tc>
        <w:tc>
          <w:tcPr>
            <w:tcW w:w="1274" w:type="pct"/>
            <w:vAlign w:val="center"/>
          </w:tcPr>
          <w:p w:rsidR="00EE56C0" w:rsidRDefault="000F36A1">
            <w:pPr>
              <w:pStyle w:val="afa"/>
              <w:rPr>
                <w:rFonts w:ascii="宋体" w:eastAsia="宋体" w:hAnsi="宋体" w:cs="宋体"/>
              </w:rPr>
            </w:pPr>
            <w:r>
              <w:rPr>
                <w:rFonts w:hint="eastAsia"/>
              </w:rPr>
              <w:t xml:space="preserve">0.6354 </w:t>
            </w:r>
          </w:p>
        </w:tc>
        <w:tc>
          <w:tcPr>
            <w:tcW w:w="974" w:type="pct"/>
            <w:vAlign w:val="center"/>
          </w:tcPr>
          <w:p w:rsidR="00EE56C0" w:rsidRDefault="000F36A1">
            <w:pPr>
              <w:pStyle w:val="afa"/>
              <w:rPr>
                <w:rFonts w:ascii="宋体" w:eastAsia="宋体" w:hAnsi="宋体" w:cs="宋体"/>
              </w:rPr>
            </w:pPr>
            <w:r>
              <w:rPr>
                <w:rFonts w:hint="eastAsia"/>
              </w:rPr>
              <w:t>0.8917</w:t>
            </w:r>
          </w:p>
        </w:tc>
      </w:tr>
      <w:tr w:rsidR="00EE56C0">
        <w:trPr>
          <w:trHeight w:val="397"/>
        </w:trPr>
        <w:tc>
          <w:tcPr>
            <w:tcW w:w="1594" w:type="pct"/>
            <w:vAlign w:val="center"/>
          </w:tcPr>
          <w:p w:rsidR="00EE56C0" w:rsidRDefault="000F36A1">
            <w:pPr>
              <w:pStyle w:val="afa"/>
            </w:pPr>
            <w:r>
              <w:rPr>
                <w:rFonts w:hint="eastAsia"/>
              </w:rPr>
              <w:t>二甲苯</w:t>
            </w:r>
          </w:p>
        </w:tc>
        <w:tc>
          <w:tcPr>
            <w:tcW w:w="1158" w:type="pct"/>
            <w:gridSpan w:val="2"/>
            <w:vAlign w:val="center"/>
          </w:tcPr>
          <w:p w:rsidR="00EE56C0" w:rsidRDefault="000F36A1">
            <w:pPr>
              <w:pStyle w:val="afa"/>
              <w:rPr>
                <w:rFonts w:ascii="宋体" w:eastAsia="宋体" w:hAnsi="宋体" w:cs="宋体"/>
              </w:rPr>
            </w:pPr>
            <w:r>
              <w:rPr>
                <w:rFonts w:hint="eastAsia"/>
              </w:rPr>
              <w:t xml:space="preserve">0.3040 </w:t>
            </w:r>
          </w:p>
        </w:tc>
        <w:tc>
          <w:tcPr>
            <w:tcW w:w="1274" w:type="pct"/>
            <w:vAlign w:val="center"/>
          </w:tcPr>
          <w:p w:rsidR="00EE56C0" w:rsidRDefault="000F36A1">
            <w:pPr>
              <w:pStyle w:val="afa"/>
              <w:rPr>
                <w:rFonts w:ascii="宋体" w:eastAsia="宋体" w:hAnsi="宋体" w:cs="宋体"/>
              </w:rPr>
            </w:pPr>
            <w:r>
              <w:rPr>
                <w:rFonts w:hint="eastAsia"/>
              </w:rPr>
              <w:t xml:space="preserve">0.3039 </w:t>
            </w:r>
          </w:p>
        </w:tc>
        <w:tc>
          <w:tcPr>
            <w:tcW w:w="974" w:type="pct"/>
            <w:vAlign w:val="center"/>
          </w:tcPr>
          <w:p w:rsidR="00EE56C0" w:rsidRDefault="000F36A1">
            <w:pPr>
              <w:pStyle w:val="afa"/>
              <w:rPr>
                <w:rFonts w:ascii="宋体" w:eastAsia="宋体" w:hAnsi="宋体" w:cs="宋体"/>
              </w:rPr>
            </w:pPr>
            <w:r>
              <w:rPr>
                <w:rFonts w:hint="eastAsia"/>
              </w:rPr>
              <w:t>0.6079</w:t>
            </w:r>
          </w:p>
        </w:tc>
      </w:tr>
      <w:tr w:rsidR="00EE56C0">
        <w:trPr>
          <w:trHeight w:val="397"/>
        </w:trPr>
        <w:tc>
          <w:tcPr>
            <w:tcW w:w="1594" w:type="pct"/>
            <w:vAlign w:val="center"/>
          </w:tcPr>
          <w:p w:rsidR="00EE56C0" w:rsidRDefault="000F36A1">
            <w:pPr>
              <w:pStyle w:val="afa"/>
            </w:pPr>
            <w:r>
              <w:rPr>
                <w:rFonts w:hint="eastAsia"/>
              </w:rPr>
              <w:t>甲苯</w:t>
            </w:r>
          </w:p>
        </w:tc>
        <w:tc>
          <w:tcPr>
            <w:tcW w:w="1158" w:type="pct"/>
            <w:gridSpan w:val="2"/>
            <w:vAlign w:val="center"/>
          </w:tcPr>
          <w:p w:rsidR="00EE56C0" w:rsidRDefault="000F36A1">
            <w:pPr>
              <w:pStyle w:val="afa"/>
              <w:rPr>
                <w:rFonts w:ascii="宋体" w:eastAsia="宋体" w:hAnsi="宋体" w:cs="宋体"/>
              </w:rPr>
            </w:pPr>
            <w:r>
              <w:rPr>
                <w:rFonts w:hint="eastAsia"/>
              </w:rPr>
              <w:t xml:space="preserve">0.2768 </w:t>
            </w:r>
          </w:p>
        </w:tc>
        <w:tc>
          <w:tcPr>
            <w:tcW w:w="1274" w:type="pct"/>
            <w:vAlign w:val="center"/>
          </w:tcPr>
          <w:p w:rsidR="00EE56C0" w:rsidRDefault="000F36A1">
            <w:pPr>
              <w:pStyle w:val="afa"/>
              <w:rPr>
                <w:rFonts w:ascii="宋体" w:eastAsia="宋体" w:hAnsi="宋体" w:cs="宋体"/>
              </w:rPr>
            </w:pPr>
            <w:r>
              <w:rPr>
                <w:rFonts w:hint="eastAsia"/>
              </w:rPr>
              <w:t xml:space="preserve">0.2185 </w:t>
            </w:r>
          </w:p>
        </w:tc>
        <w:tc>
          <w:tcPr>
            <w:tcW w:w="974" w:type="pct"/>
            <w:vAlign w:val="center"/>
          </w:tcPr>
          <w:p w:rsidR="00EE56C0" w:rsidRDefault="000F36A1">
            <w:pPr>
              <w:pStyle w:val="afa"/>
              <w:rPr>
                <w:rFonts w:ascii="宋体" w:eastAsia="宋体" w:hAnsi="宋体" w:cs="宋体"/>
              </w:rPr>
            </w:pPr>
            <w:r>
              <w:rPr>
                <w:rFonts w:hint="eastAsia"/>
              </w:rPr>
              <w:t>0.4953</w:t>
            </w:r>
          </w:p>
        </w:tc>
      </w:tr>
      <w:tr w:rsidR="00EE56C0">
        <w:trPr>
          <w:trHeight w:val="397"/>
        </w:trPr>
        <w:tc>
          <w:tcPr>
            <w:tcW w:w="1594" w:type="pct"/>
            <w:vAlign w:val="center"/>
          </w:tcPr>
          <w:p w:rsidR="00EE56C0" w:rsidRDefault="000F36A1">
            <w:pPr>
              <w:pStyle w:val="afa"/>
              <w:rPr>
                <w:highlight w:val="yellow"/>
              </w:rPr>
            </w:pPr>
            <w:r>
              <w:rPr>
                <w:rFonts w:hint="eastAsia"/>
              </w:rPr>
              <w:t>苯</w:t>
            </w:r>
          </w:p>
        </w:tc>
        <w:tc>
          <w:tcPr>
            <w:tcW w:w="1158" w:type="pct"/>
            <w:gridSpan w:val="2"/>
            <w:vAlign w:val="center"/>
          </w:tcPr>
          <w:p w:rsidR="00EE56C0" w:rsidRDefault="000F36A1">
            <w:pPr>
              <w:pStyle w:val="afa"/>
              <w:rPr>
                <w:rFonts w:ascii="宋体" w:eastAsia="宋体" w:hAnsi="宋体" w:cs="宋体"/>
              </w:rPr>
            </w:pPr>
            <w:r>
              <w:rPr>
                <w:rFonts w:hint="eastAsia"/>
              </w:rPr>
              <w:t xml:space="preserve">0.0923 </w:t>
            </w:r>
          </w:p>
        </w:tc>
        <w:tc>
          <w:tcPr>
            <w:tcW w:w="1274" w:type="pct"/>
            <w:vAlign w:val="center"/>
          </w:tcPr>
          <w:p w:rsidR="00EE56C0" w:rsidRDefault="000F36A1">
            <w:pPr>
              <w:pStyle w:val="afa"/>
              <w:rPr>
                <w:rFonts w:ascii="宋体" w:eastAsia="宋体" w:hAnsi="宋体" w:cs="宋体"/>
              </w:rPr>
            </w:pPr>
            <w:r>
              <w:rPr>
                <w:rFonts w:hint="eastAsia"/>
              </w:rPr>
              <w:t xml:space="preserve">0.0728 </w:t>
            </w:r>
          </w:p>
        </w:tc>
        <w:tc>
          <w:tcPr>
            <w:tcW w:w="974" w:type="pct"/>
            <w:vAlign w:val="center"/>
          </w:tcPr>
          <w:p w:rsidR="00EE56C0" w:rsidRDefault="000F36A1">
            <w:pPr>
              <w:pStyle w:val="afa"/>
              <w:rPr>
                <w:rFonts w:ascii="宋体" w:eastAsia="宋体" w:hAnsi="宋体" w:cs="宋体"/>
              </w:rPr>
            </w:pPr>
            <w:r>
              <w:rPr>
                <w:rFonts w:hint="eastAsia"/>
              </w:rPr>
              <w:t>0.1651</w:t>
            </w:r>
          </w:p>
        </w:tc>
      </w:tr>
      <w:tr w:rsidR="00EE56C0">
        <w:trPr>
          <w:trHeight w:val="397"/>
        </w:trPr>
        <w:tc>
          <w:tcPr>
            <w:tcW w:w="1594" w:type="pct"/>
            <w:vAlign w:val="center"/>
          </w:tcPr>
          <w:p w:rsidR="00EE56C0" w:rsidRDefault="000F36A1">
            <w:pPr>
              <w:pStyle w:val="afa"/>
            </w:pPr>
            <w:r>
              <w:rPr>
                <w:rFonts w:hint="eastAsia"/>
              </w:rPr>
              <w:t>VOCs</w:t>
            </w:r>
            <w:r>
              <w:rPr>
                <w:rFonts w:hint="eastAsia"/>
              </w:rPr>
              <w:t>总计</w:t>
            </w:r>
          </w:p>
        </w:tc>
        <w:tc>
          <w:tcPr>
            <w:tcW w:w="1158" w:type="pct"/>
            <w:gridSpan w:val="2"/>
            <w:vAlign w:val="center"/>
          </w:tcPr>
          <w:p w:rsidR="00EE56C0" w:rsidRDefault="000F36A1">
            <w:pPr>
              <w:pStyle w:val="afa"/>
              <w:rPr>
                <w:rFonts w:ascii="宋体" w:eastAsia="宋体" w:hAnsi="宋体" w:cs="宋体"/>
              </w:rPr>
            </w:pPr>
            <w:r>
              <w:rPr>
                <w:rFonts w:hint="eastAsia"/>
              </w:rPr>
              <w:t xml:space="preserve">1.1809 </w:t>
            </w:r>
          </w:p>
        </w:tc>
        <w:tc>
          <w:tcPr>
            <w:tcW w:w="1274" w:type="pct"/>
            <w:vAlign w:val="center"/>
          </w:tcPr>
          <w:p w:rsidR="00EE56C0" w:rsidRDefault="000F36A1">
            <w:pPr>
              <w:pStyle w:val="afa"/>
              <w:rPr>
                <w:rFonts w:ascii="宋体" w:eastAsia="宋体" w:hAnsi="宋体" w:cs="宋体"/>
              </w:rPr>
            </w:pPr>
            <w:r>
              <w:rPr>
                <w:rFonts w:hint="eastAsia"/>
              </w:rPr>
              <w:t xml:space="preserve">2.0171 </w:t>
            </w:r>
          </w:p>
        </w:tc>
        <w:tc>
          <w:tcPr>
            <w:tcW w:w="974" w:type="pct"/>
            <w:vAlign w:val="center"/>
          </w:tcPr>
          <w:p w:rsidR="00EE56C0" w:rsidRDefault="000F36A1">
            <w:pPr>
              <w:pStyle w:val="afa"/>
              <w:rPr>
                <w:rFonts w:ascii="宋体" w:eastAsia="宋体" w:hAnsi="宋体" w:cs="宋体"/>
              </w:rPr>
            </w:pPr>
            <w:r>
              <w:rPr>
                <w:rFonts w:hint="eastAsia"/>
              </w:rPr>
              <w:t>3.198</w:t>
            </w:r>
          </w:p>
        </w:tc>
      </w:tr>
    </w:tbl>
    <w:p w:rsidR="00EE56C0" w:rsidRDefault="000F36A1">
      <w:pPr>
        <w:ind w:firstLine="482"/>
        <w:rPr>
          <w:b/>
          <w:u w:val="single"/>
        </w:rPr>
      </w:pPr>
      <w:r>
        <w:rPr>
          <w:rFonts w:hint="eastAsia"/>
          <w:b/>
          <w:u w:val="single"/>
        </w:rPr>
        <w:t>由上表可知，一期、二期各污染因子排放总量为</w:t>
      </w:r>
      <w:r>
        <w:rPr>
          <w:rFonts w:hint="eastAsia"/>
          <w:b/>
          <w:u w:val="single"/>
        </w:rPr>
        <w:t>VOCs3.198t/a</w:t>
      </w:r>
      <w:r>
        <w:rPr>
          <w:rFonts w:hint="eastAsia"/>
          <w:b/>
          <w:u w:val="single"/>
        </w:rPr>
        <w:t>。</w:t>
      </w:r>
    </w:p>
    <w:p w:rsidR="00EE56C0" w:rsidRDefault="000F36A1">
      <w:pPr>
        <w:pStyle w:val="3"/>
        <w:spacing w:before="240" w:after="120"/>
      </w:pPr>
      <w:r>
        <w:rPr>
          <w:rFonts w:hint="eastAsia"/>
        </w:rPr>
        <w:t>3.7.2</w:t>
      </w:r>
      <w:r>
        <w:rPr>
          <w:rFonts w:hint="eastAsia"/>
        </w:rPr>
        <w:t>废水</w:t>
      </w:r>
    </w:p>
    <w:p w:rsidR="00EE56C0" w:rsidRDefault="000F36A1">
      <w:pPr>
        <w:pStyle w:val="4"/>
        <w:ind w:left="120" w:firstLine="241"/>
      </w:pPr>
      <w:r>
        <w:rPr>
          <w:rFonts w:hint="eastAsia"/>
        </w:rPr>
        <w:t>3.7.2.1</w:t>
      </w:r>
      <w:r>
        <w:rPr>
          <w:rFonts w:hint="eastAsia"/>
        </w:rPr>
        <w:t>废水产排情况分析</w:t>
      </w:r>
    </w:p>
    <w:p w:rsidR="00EE56C0" w:rsidRDefault="000F36A1">
      <w:pPr>
        <w:ind w:firstLine="482"/>
        <w:rPr>
          <w:b/>
        </w:rPr>
      </w:pPr>
      <w:r>
        <w:rPr>
          <w:rFonts w:hint="eastAsia"/>
          <w:b/>
        </w:rPr>
        <w:t>（一）废水产生情况</w:t>
      </w:r>
    </w:p>
    <w:p w:rsidR="00EE56C0" w:rsidRDefault="000F36A1">
      <w:pPr>
        <w:ind w:firstLine="480"/>
      </w:pPr>
      <w:r>
        <w:rPr>
          <w:rFonts w:hint="eastAsia"/>
        </w:rPr>
        <w:t>本工程产生的废水有：生活污水、反渗透浓水和车间地面拖洗废水。</w:t>
      </w:r>
    </w:p>
    <w:p w:rsidR="00EE56C0" w:rsidRDefault="000F36A1">
      <w:pPr>
        <w:ind w:firstLine="480"/>
      </w:pPr>
      <w:r>
        <w:rPr>
          <w:rFonts w:hint="eastAsia"/>
        </w:rPr>
        <w:t>（</w:t>
      </w:r>
      <w:r>
        <w:rPr>
          <w:rFonts w:hint="eastAsia"/>
        </w:rPr>
        <w:t>1</w:t>
      </w:r>
      <w:r>
        <w:rPr>
          <w:rFonts w:hint="eastAsia"/>
        </w:rPr>
        <w:t>）生活污水</w:t>
      </w:r>
    </w:p>
    <w:p w:rsidR="00EE56C0" w:rsidRDefault="000F36A1">
      <w:pPr>
        <w:ind w:firstLine="480"/>
      </w:pPr>
      <w:r>
        <w:rPr>
          <w:rFonts w:hint="eastAsia"/>
        </w:rPr>
        <w:t>本项目分两期建设，一期新增员工</w:t>
      </w:r>
      <w:r>
        <w:rPr>
          <w:rFonts w:hint="eastAsia"/>
        </w:rPr>
        <w:t>30</w:t>
      </w:r>
      <w:r>
        <w:rPr>
          <w:rFonts w:hint="eastAsia"/>
        </w:rPr>
        <w:t>名，二期新增员工</w:t>
      </w:r>
      <w:r>
        <w:rPr>
          <w:rFonts w:hint="eastAsia"/>
        </w:rPr>
        <w:t>130</w:t>
      </w:r>
      <w:r>
        <w:rPr>
          <w:rFonts w:hint="eastAsia"/>
        </w:rPr>
        <w:t>名，</w:t>
      </w:r>
      <w:r>
        <w:t>年工作</w:t>
      </w:r>
      <w:r>
        <w:t>300</w:t>
      </w:r>
      <w:r>
        <w:t>天</w:t>
      </w:r>
      <w:r>
        <w:rPr>
          <w:rFonts w:hint="eastAsia"/>
        </w:rPr>
        <w:t>，</w:t>
      </w:r>
      <w:r>
        <w:t>三班生产</w:t>
      </w:r>
      <w:r>
        <w:rPr>
          <w:rFonts w:hint="eastAsia"/>
        </w:rPr>
        <w:t>，</w:t>
      </w:r>
      <w:r>
        <w:rPr>
          <w:rFonts w:hint="eastAsia"/>
          <w:szCs w:val="24"/>
        </w:rPr>
        <w:t>不在厂区住宿，仅提供一顿午餐</w:t>
      </w:r>
      <w:r>
        <w:rPr>
          <w:rFonts w:hint="eastAsia"/>
        </w:rPr>
        <w:t>。生活用水量按照</w:t>
      </w:r>
      <w:r>
        <w:rPr>
          <w:rFonts w:hint="eastAsia"/>
        </w:rPr>
        <w:t>40L/</w:t>
      </w:r>
      <w:r>
        <w:rPr>
          <w:rFonts w:hint="eastAsia"/>
        </w:rPr>
        <w:t>人·</w:t>
      </w:r>
      <w:r>
        <w:rPr>
          <w:rFonts w:hint="eastAsia"/>
        </w:rPr>
        <w:t>d</w:t>
      </w:r>
      <w:r>
        <w:rPr>
          <w:rFonts w:hint="eastAsia"/>
        </w:rPr>
        <w:t>，排放系数按</w:t>
      </w:r>
      <w:r>
        <w:t>80%</w:t>
      </w:r>
      <w:r>
        <w:t>计算，</w:t>
      </w:r>
      <w:r>
        <w:rPr>
          <w:rFonts w:hint="eastAsia"/>
          <w:szCs w:val="24"/>
        </w:rPr>
        <w:t>则生活用水量分别为一期：</w:t>
      </w:r>
      <w:r>
        <w:rPr>
          <w:rFonts w:hint="eastAsia"/>
          <w:szCs w:val="24"/>
        </w:rPr>
        <w:t>1.2t/d</w:t>
      </w:r>
      <w:r>
        <w:rPr>
          <w:rFonts w:hint="eastAsia"/>
          <w:szCs w:val="24"/>
        </w:rPr>
        <w:t>、二期：</w:t>
      </w:r>
      <w:r>
        <w:rPr>
          <w:rFonts w:hint="eastAsia"/>
          <w:szCs w:val="24"/>
        </w:rPr>
        <w:t>5.2t/d</w:t>
      </w:r>
      <w:r>
        <w:rPr>
          <w:rFonts w:hint="eastAsia"/>
          <w:szCs w:val="24"/>
        </w:rPr>
        <w:t>，排放量分别为一期：</w:t>
      </w:r>
      <w:r>
        <w:rPr>
          <w:rFonts w:hint="eastAsia"/>
          <w:szCs w:val="24"/>
        </w:rPr>
        <w:t>0.96t/d</w:t>
      </w:r>
      <w:r>
        <w:rPr>
          <w:rFonts w:hint="eastAsia"/>
          <w:szCs w:val="24"/>
        </w:rPr>
        <w:t>、二期：</w:t>
      </w:r>
      <w:r>
        <w:rPr>
          <w:rFonts w:hint="eastAsia"/>
          <w:szCs w:val="24"/>
        </w:rPr>
        <w:t>4.16t/d</w:t>
      </w:r>
      <w:r>
        <w:rPr>
          <w:rFonts w:hint="eastAsia"/>
          <w:szCs w:val="24"/>
        </w:rPr>
        <w:t>。类比确定生活污水水质为：</w:t>
      </w:r>
      <w:r>
        <w:rPr>
          <w:rFonts w:hint="eastAsia"/>
          <w:szCs w:val="24"/>
        </w:rPr>
        <w:t>COD 350mg/L</w:t>
      </w:r>
      <w:r>
        <w:rPr>
          <w:rFonts w:hint="eastAsia"/>
          <w:szCs w:val="24"/>
        </w:rPr>
        <w:t>、</w:t>
      </w:r>
      <w:r>
        <w:rPr>
          <w:rFonts w:hint="eastAsia"/>
          <w:szCs w:val="24"/>
        </w:rPr>
        <w:t>SS250mg/L</w:t>
      </w:r>
      <w:r>
        <w:rPr>
          <w:rFonts w:hint="eastAsia"/>
          <w:szCs w:val="24"/>
        </w:rPr>
        <w:t>、</w:t>
      </w:r>
      <w:r>
        <w:rPr>
          <w:rFonts w:hint="eastAsia"/>
          <w:szCs w:val="24"/>
        </w:rPr>
        <w:t>NH</w:t>
      </w:r>
      <w:r>
        <w:rPr>
          <w:rFonts w:hint="eastAsia"/>
          <w:szCs w:val="24"/>
          <w:vertAlign w:val="subscript"/>
        </w:rPr>
        <w:t>3</w:t>
      </w:r>
      <w:r>
        <w:rPr>
          <w:rFonts w:hint="eastAsia"/>
          <w:szCs w:val="24"/>
        </w:rPr>
        <w:t>-N25mg/L</w:t>
      </w:r>
      <w:r>
        <w:rPr>
          <w:rFonts w:hint="eastAsia"/>
          <w:szCs w:val="24"/>
        </w:rPr>
        <w:t>、</w:t>
      </w:r>
      <w:r>
        <w:rPr>
          <w:rFonts w:hint="eastAsia"/>
          <w:szCs w:val="24"/>
        </w:rPr>
        <w:t>TP4mg/L</w:t>
      </w:r>
      <w:r>
        <w:rPr>
          <w:rFonts w:hint="eastAsia"/>
          <w:szCs w:val="24"/>
        </w:rPr>
        <w:t>、</w:t>
      </w:r>
      <w:r>
        <w:rPr>
          <w:rFonts w:hint="eastAsia"/>
          <w:szCs w:val="24"/>
        </w:rPr>
        <w:t>TN30mg/L</w:t>
      </w:r>
      <w:r>
        <w:rPr>
          <w:rFonts w:hint="eastAsia"/>
          <w:szCs w:val="24"/>
        </w:rPr>
        <w:t>、动植物油</w:t>
      </w:r>
      <w:r>
        <w:rPr>
          <w:rFonts w:hint="eastAsia"/>
          <w:szCs w:val="24"/>
        </w:rPr>
        <w:t>150</w:t>
      </w:r>
      <w:r>
        <w:rPr>
          <w:szCs w:val="24"/>
        </w:rPr>
        <w:t xml:space="preserve"> mg/L</w:t>
      </w:r>
      <w:r>
        <w:rPr>
          <w:rFonts w:hint="eastAsia"/>
          <w:szCs w:val="24"/>
        </w:rPr>
        <w:t>。经</w:t>
      </w:r>
      <w:r>
        <w:rPr>
          <w:szCs w:val="24"/>
        </w:rPr>
        <w:t>“</w:t>
      </w:r>
      <w:r>
        <w:rPr>
          <w:szCs w:val="24"/>
        </w:rPr>
        <w:t>隔油池</w:t>
      </w:r>
      <w:r>
        <w:rPr>
          <w:szCs w:val="24"/>
        </w:rPr>
        <w:t>+</w:t>
      </w:r>
      <w:r>
        <w:rPr>
          <w:szCs w:val="24"/>
        </w:rPr>
        <w:t>化粪池</w:t>
      </w:r>
      <w:r>
        <w:rPr>
          <w:szCs w:val="24"/>
        </w:rPr>
        <w:t>”</w:t>
      </w:r>
      <w:r>
        <w:rPr>
          <w:rFonts w:hint="eastAsia"/>
          <w:szCs w:val="24"/>
        </w:rPr>
        <w:t>处理后水质为：</w:t>
      </w:r>
      <w:r>
        <w:rPr>
          <w:rFonts w:hint="eastAsia"/>
          <w:szCs w:val="24"/>
        </w:rPr>
        <w:t>COD250mg/L</w:t>
      </w:r>
      <w:r>
        <w:rPr>
          <w:rFonts w:hint="eastAsia"/>
          <w:szCs w:val="24"/>
        </w:rPr>
        <w:t>、</w:t>
      </w:r>
      <w:r>
        <w:rPr>
          <w:rFonts w:hint="eastAsia"/>
          <w:szCs w:val="24"/>
        </w:rPr>
        <w:t>SS180mg/L</w:t>
      </w:r>
      <w:r>
        <w:rPr>
          <w:rFonts w:hint="eastAsia"/>
          <w:szCs w:val="24"/>
        </w:rPr>
        <w:t>、</w:t>
      </w:r>
      <w:r>
        <w:rPr>
          <w:rFonts w:hint="eastAsia"/>
          <w:szCs w:val="24"/>
        </w:rPr>
        <w:t>NH</w:t>
      </w:r>
      <w:r>
        <w:rPr>
          <w:rFonts w:hint="eastAsia"/>
          <w:szCs w:val="24"/>
          <w:vertAlign w:val="subscript"/>
        </w:rPr>
        <w:t>3</w:t>
      </w:r>
      <w:r>
        <w:rPr>
          <w:rFonts w:hint="eastAsia"/>
          <w:szCs w:val="24"/>
        </w:rPr>
        <w:t>-N25mg/L</w:t>
      </w:r>
      <w:r>
        <w:rPr>
          <w:rFonts w:hint="eastAsia"/>
          <w:szCs w:val="24"/>
        </w:rPr>
        <w:t>、</w:t>
      </w:r>
      <w:r>
        <w:rPr>
          <w:rFonts w:hint="eastAsia"/>
          <w:szCs w:val="24"/>
        </w:rPr>
        <w:t>TP4mg/L</w:t>
      </w:r>
      <w:r>
        <w:rPr>
          <w:rFonts w:hint="eastAsia"/>
          <w:szCs w:val="24"/>
        </w:rPr>
        <w:t>、</w:t>
      </w:r>
      <w:r>
        <w:rPr>
          <w:rFonts w:hint="eastAsia"/>
          <w:szCs w:val="24"/>
        </w:rPr>
        <w:t>TN30mg/L</w:t>
      </w:r>
      <w:r>
        <w:rPr>
          <w:rFonts w:hint="eastAsia"/>
          <w:szCs w:val="24"/>
        </w:rPr>
        <w:t>、动植物油</w:t>
      </w:r>
      <w:r>
        <w:rPr>
          <w:rFonts w:hint="eastAsia"/>
          <w:szCs w:val="24"/>
        </w:rPr>
        <w:t>20</w:t>
      </w:r>
      <w:r>
        <w:rPr>
          <w:szCs w:val="24"/>
        </w:rPr>
        <w:t>mg/L</w:t>
      </w:r>
      <w:r>
        <w:rPr>
          <w:rFonts w:hint="eastAsia"/>
        </w:rPr>
        <w:t>。</w:t>
      </w:r>
    </w:p>
    <w:p w:rsidR="00EE56C0" w:rsidRDefault="000F36A1">
      <w:pPr>
        <w:ind w:firstLine="482"/>
        <w:rPr>
          <w:b/>
        </w:rPr>
      </w:pPr>
      <w:r>
        <w:rPr>
          <w:rFonts w:hint="eastAsia"/>
          <w:b/>
        </w:rPr>
        <w:t>（</w:t>
      </w:r>
      <w:r>
        <w:rPr>
          <w:rFonts w:hint="eastAsia"/>
          <w:b/>
        </w:rPr>
        <w:t>2</w:t>
      </w:r>
      <w:r>
        <w:rPr>
          <w:rFonts w:hint="eastAsia"/>
          <w:b/>
        </w:rPr>
        <w:t>）反渗透浓水</w:t>
      </w:r>
    </w:p>
    <w:p w:rsidR="00EE56C0" w:rsidRDefault="000F36A1">
      <w:pPr>
        <w:ind w:firstLine="480"/>
      </w:pPr>
      <w:r>
        <w:rPr>
          <w:rFonts w:hint="eastAsia"/>
        </w:rPr>
        <w:t>本项目需纯水量为一期</w:t>
      </w:r>
      <w:r>
        <w:rPr>
          <w:rFonts w:hint="eastAsia"/>
        </w:rPr>
        <w:t>1.22t/d</w:t>
      </w:r>
      <w:r>
        <w:rPr>
          <w:rFonts w:hint="eastAsia"/>
        </w:rPr>
        <w:t>、二期</w:t>
      </w:r>
      <w:r>
        <w:rPr>
          <w:rFonts w:hint="eastAsia"/>
        </w:rPr>
        <w:t>2.92t/d</w:t>
      </w:r>
      <w:r>
        <w:rPr>
          <w:rFonts w:hint="eastAsia"/>
        </w:rPr>
        <w:t>。其成水率约为</w:t>
      </w:r>
      <w:r>
        <w:rPr>
          <w:rFonts w:hint="eastAsia"/>
        </w:rPr>
        <w:t>70%</w:t>
      </w:r>
      <w:r>
        <w:rPr>
          <w:rFonts w:hint="eastAsia"/>
        </w:rPr>
        <w:t>，则需要原水一期</w:t>
      </w:r>
      <w:r>
        <w:rPr>
          <w:rFonts w:hint="eastAsia"/>
        </w:rPr>
        <w:t>1.74t/d</w:t>
      </w:r>
      <w:r>
        <w:rPr>
          <w:rFonts w:hint="eastAsia"/>
        </w:rPr>
        <w:t>、二期</w:t>
      </w:r>
      <w:r>
        <w:rPr>
          <w:rFonts w:hint="eastAsia"/>
        </w:rPr>
        <w:t>4.17t/d</w:t>
      </w:r>
      <w:r>
        <w:rPr>
          <w:rFonts w:hint="eastAsia"/>
        </w:rPr>
        <w:t>，则反渗透浓水排放量为一期</w:t>
      </w:r>
      <w:r>
        <w:rPr>
          <w:rFonts w:hint="eastAsia"/>
        </w:rPr>
        <w:t>0.52t/d</w:t>
      </w:r>
      <w:r>
        <w:rPr>
          <w:rFonts w:hint="eastAsia"/>
        </w:rPr>
        <w:t>、二期</w:t>
      </w:r>
      <w:r>
        <w:rPr>
          <w:rFonts w:hint="eastAsia"/>
        </w:rPr>
        <w:t>1.25t/d</w:t>
      </w:r>
      <w:r>
        <w:rPr>
          <w:rFonts w:hint="eastAsia"/>
        </w:rPr>
        <w:t>。</w:t>
      </w:r>
      <w:r>
        <w:rPr>
          <w:rFonts w:hint="eastAsia"/>
        </w:rPr>
        <w:t>2021</w:t>
      </w:r>
      <w:r>
        <w:rPr>
          <w:rFonts w:hint="eastAsia"/>
        </w:rPr>
        <w:t>年</w:t>
      </w:r>
      <w:r>
        <w:rPr>
          <w:rFonts w:hint="eastAsia"/>
        </w:rPr>
        <w:t>6</w:t>
      </w:r>
      <w:r>
        <w:rPr>
          <w:rFonts w:hint="eastAsia"/>
        </w:rPr>
        <w:t>月</w:t>
      </w:r>
      <w:r>
        <w:rPr>
          <w:rFonts w:hint="eastAsia"/>
        </w:rPr>
        <w:t>9</w:t>
      </w:r>
      <w:r>
        <w:rPr>
          <w:rFonts w:hint="eastAsia"/>
        </w:rPr>
        <w:t>日河南人久检测技术服务有限公司对反渗透浓水排放口进行检测。</w:t>
      </w:r>
      <w:r>
        <w:rPr>
          <w:rFonts w:hint="eastAsia"/>
        </w:rPr>
        <w:lastRenderedPageBreak/>
        <w:t>根据监测报告，各污染因子排放浓度为</w:t>
      </w:r>
      <w:r>
        <w:t>COD</w:t>
      </w:r>
      <w:r>
        <w:rPr>
          <w:rFonts w:hint="eastAsia"/>
        </w:rPr>
        <w:t>16</w:t>
      </w:r>
      <w:r>
        <w:t>mg/L</w:t>
      </w:r>
      <w:r>
        <w:rPr>
          <w:rFonts w:hint="eastAsia"/>
        </w:rPr>
        <w:t>、</w:t>
      </w:r>
      <w:r>
        <w:t>SS</w:t>
      </w:r>
      <w:r>
        <w:rPr>
          <w:rFonts w:hint="eastAsia"/>
        </w:rPr>
        <w:t>19</w:t>
      </w:r>
      <w:r>
        <w:t>mg/L</w:t>
      </w:r>
      <w:r>
        <w:rPr>
          <w:rFonts w:hint="eastAsia"/>
        </w:rPr>
        <w:t>、</w:t>
      </w:r>
      <w:r>
        <w:rPr>
          <w:rFonts w:hint="eastAsia"/>
        </w:rPr>
        <w:t>NH</w:t>
      </w:r>
      <w:r>
        <w:rPr>
          <w:rFonts w:hint="eastAsia"/>
          <w:vertAlign w:val="subscript"/>
        </w:rPr>
        <w:t>3</w:t>
      </w:r>
      <w:r>
        <w:rPr>
          <w:rFonts w:hint="eastAsia"/>
        </w:rPr>
        <w:t>-N0.251</w:t>
      </w:r>
      <w:r>
        <w:t>mg/L</w:t>
      </w:r>
      <w:r>
        <w:rPr>
          <w:rFonts w:hint="eastAsia"/>
        </w:rPr>
        <w:t>、</w:t>
      </w:r>
      <w:r>
        <w:rPr>
          <w:rFonts w:hint="eastAsia"/>
        </w:rPr>
        <w:t>TP0.37</w:t>
      </w:r>
      <w:r>
        <w:t>mg/L</w:t>
      </w:r>
      <w:r>
        <w:rPr>
          <w:rFonts w:hint="eastAsia"/>
        </w:rPr>
        <w:t>，</w:t>
      </w:r>
      <w:r>
        <w:rPr>
          <w:rFonts w:hint="eastAsia"/>
        </w:rPr>
        <w:t>TN0.93m</w:t>
      </w:r>
      <w:r>
        <w:t>g/L</w:t>
      </w:r>
      <w:r>
        <w:rPr>
          <w:rFonts w:hint="eastAsia"/>
        </w:rPr>
        <w:t>，本次</w:t>
      </w:r>
      <w:r>
        <w:t>反渗透浓水</w:t>
      </w:r>
      <w:r>
        <w:rPr>
          <w:rFonts w:hint="eastAsia"/>
        </w:rPr>
        <w:t>水质类比现有实测数据进行评价，即</w:t>
      </w:r>
      <w:r>
        <w:t>COD</w:t>
      </w:r>
      <w:r>
        <w:rPr>
          <w:rFonts w:hint="eastAsia"/>
        </w:rPr>
        <w:t>16</w:t>
      </w:r>
      <w:r>
        <w:t>mg/L</w:t>
      </w:r>
      <w:r>
        <w:rPr>
          <w:rFonts w:hint="eastAsia"/>
        </w:rPr>
        <w:t>、</w:t>
      </w:r>
      <w:r>
        <w:t>SS</w:t>
      </w:r>
      <w:r>
        <w:rPr>
          <w:rFonts w:hint="eastAsia"/>
        </w:rPr>
        <w:t>19</w:t>
      </w:r>
      <w:r>
        <w:t>mg/L</w:t>
      </w:r>
      <w:r>
        <w:rPr>
          <w:rFonts w:hint="eastAsia"/>
        </w:rPr>
        <w:t>、</w:t>
      </w:r>
      <w:r>
        <w:rPr>
          <w:rFonts w:hint="eastAsia"/>
        </w:rPr>
        <w:t>NH</w:t>
      </w:r>
      <w:r>
        <w:rPr>
          <w:rFonts w:hint="eastAsia"/>
          <w:vertAlign w:val="subscript"/>
        </w:rPr>
        <w:t>3</w:t>
      </w:r>
      <w:r>
        <w:rPr>
          <w:rFonts w:hint="eastAsia"/>
        </w:rPr>
        <w:t>-N0.251</w:t>
      </w:r>
      <w:r>
        <w:t>mg/L</w:t>
      </w:r>
      <w:r>
        <w:rPr>
          <w:rFonts w:hint="eastAsia"/>
        </w:rPr>
        <w:t>、</w:t>
      </w:r>
      <w:r>
        <w:rPr>
          <w:rFonts w:hint="eastAsia"/>
        </w:rPr>
        <w:t>TP0.37</w:t>
      </w:r>
      <w:r>
        <w:t>mg/L</w:t>
      </w:r>
      <w:r>
        <w:rPr>
          <w:rFonts w:hint="eastAsia"/>
        </w:rPr>
        <w:t>，</w:t>
      </w:r>
      <w:r>
        <w:rPr>
          <w:rFonts w:hint="eastAsia"/>
        </w:rPr>
        <w:t>TN0.93m</w:t>
      </w:r>
      <w:r>
        <w:t>g/L</w:t>
      </w:r>
      <w:r>
        <w:rPr>
          <w:rFonts w:hint="eastAsia"/>
        </w:rPr>
        <w:t>。</w:t>
      </w:r>
    </w:p>
    <w:p w:rsidR="00EE56C0" w:rsidRDefault="000F36A1">
      <w:pPr>
        <w:ind w:firstLine="482"/>
        <w:rPr>
          <w:b/>
        </w:rPr>
      </w:pPr>
      <w:r>
        <w:rPr>
          <w:rFonts w:hint="eastAsia"/>
          <w:b/>
        </w:rPr>
        <w:t>（</w:t>
      </w:r>
      <w:r>
        <w:rPr>
          <w:rFonts w:hint="eastAsia"/>
          <w:b/>
        </w:rPr>
        <w:t>3</w:t>
      </w:r>
      <w:r>
        <w:rPr>
          <w:rFonts w:hint="eastAsia"/>
          <w:b/>
        </w:rPr>
        <w:t>）车间地面清洗废水</w:t>
      </w:r>
    </w:p>
    <w:p w:rsidR="00EE56C0" w:rsidRDefault="000F36A1">
      <w:pPr>
        <w:ind w:firstLine="480"/>
      </w:pPr>
      <w:r>
        <w:rPr>
          <w:rFonts w:hint="eastAsia"/>
        </w:rPr>
        <w:t>本项目车间通道区域采用清扫机打扫，不使用水，生产区域采用拖把拖洗，会产生拖布清洗废水，随生活污水一起处理。</w:t>
      </w:r>
    </w:p>
    <w:p w:rsidR="00EE56C0" w:rsidRDefault="000F36A1">
      <w:pPr>
        <w:spacing w:line="460" w:lineRule="exact"/>
        <w:ind w:firstLine="480"/>
        <w:jc w:val="left"/>
      </w:pPr>
      <w:r>
        <w:rPr>
          <w:rFonts w:hint="eastAsia"/>
        </w:rPr>
        <w:t>由于本项目利用现有车间进行建设，不再考虑车间地面清洗废水。</w:t>
      </w:r>
    </w:p>
    <w:p w:rsidR="00EE56C0" w:rsidRDefault="000F36A1">
      <w:pPr>
        <w:spacing w:line="460" w:lineRule="exact"/>
        <w:ind w:firstLine="482"/>
        <w:jc w:val="left"/>
      </w:pPr>
      <w:r>
        <w:rPr>
          <w:rFonts w:hint="eastAsia"/>
          <w:b/>
          <w:u w:val="single"/>
        </w:rPr>
        <w:t>根据调查，厂区西边界沿胡韦线铺设有污水管网，本项目生活污水经化粪池处理后在厂区总排口与</w:t>
      </w:r>
      <w:r>
        <w:rPr>
          <w:b/>
          <w:u w:val="single"/>
        </w:rPr>
        <w:t>反渗透浓水</w:t>
      </w:r>
      <w:r>
        <w:rPr>
          <w:rFonts w:hint="eastAsia"/>
          <w:b/>
          <w:u w:val="single"/>
        </w:rPr>
        <w:t>混合后排放，</w:t>
      </w:r>
      <w:r>
        <w:rPr>
          <w:b/>
          <w:u w:val="single"/>
        </w:rPr>
        <w:t>经污水管网排入新乡县综合污水处理厂进一步处理</w:t>
      </w:r>
      <w:r>
        <w:rPr>
          <w:rFonts w:hint="eastAsia"/>
          <w:b/>
          <w:u w:val="single"/>
        </w:rPr>
        <w:t>，污水处理厂出水进入东孟姜女河。待管网铺设完成，厂区污水站停运，现有工程废水不再进入厂区污水站处理，直接经厂区总排口排入</w:t>
      </w:r>
      <w:r>
        <w:rPr>
          <w:b/>
          <w:u w:val="single"/>
        </w:rPr>
        <w:t>污水</w:t>
      </w:r>
      <w:r>
        <w:rPr>
          <w:rFonts w:hint="eastAsia"/>
          <w:b/>
          <w:u w:val="single"/>
        </w:rPr>
        <w:t>管网，再进入</w:t>
      </w:r>
      <w:r>
        <w:rPr>
          <w:b/>
          <w:u w:val="single"/>
        </w:rPr>
        <w:t>新乡县综合污水处理厂进一步处理</w:t>
      </w:r>
      <w:r>
        <w:rPr>
          <w:rFonts w:hint="eastAsia"/>
          <w:b/>
          <w:u w:val="single"/>
        </w:rPr>
        <w:t>。</w:t>
      </w:r>
    </w:p>
    <w:p w:rsidR="00EE56C0" w:rsidRDefault="000F36A1">
      <w:pPr>
        <w:ind w:firstLine="480"/>
      </w:pPr>
      <w:r>
        <w:rPr>
          <w:rFonts w:hint="eastAsia"/>
        </w:rPr>
        <w:t>项目废水具体产生情况见下表。</w:t>
      </w:r>
    </w:p>
    <w:p w:rsidR="00EE56C0" w:rsidRDefault="000F36A1">
      <w:pPr>
        <w:pStyle w:val="afd"/>
        <w:spacing w:before="120" w:after="120"/>
        <w:ind w:firstLine="482"/>
      </w:pPr>
      <w:r>
        <w:rPr>
          <w:rFonts w:hint="eastAsia"/>
        </w:rPr>
        <w:t>表</w:t>
      </w:r>
      <w:r>
        <w:rPr>
          <w:rFonts w:hint="eastAsia"/>
        </w:rPr>
        <w:t>3-4</w:t>
      </w:r>
      <w:r w:rsidR="00212B58">
        <w:rPr>
          <w:rFonts w:hint="eastAsia"/>
        </w:rPr>
        <w:t>7</w:t>
      </w:r>
      <w:r>
        <w:rPr>
          <w:rFonts w:hint="eastAsia"/>
        </w:rPr>
        <w:t xml:space="preserve">             </w:t>
      </w:r>
      <w:r>
        <w:rPr>
          <w:rFonts w:hint="eastAsia"/>
        </w:rPr>
        <w:t>本工程废水产生情况一览表</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958"/>
        <w:gridCol w:w="851"/>
        <w:gridCol w:w="1133"/>
        <w:gridCol w:w="1134"/>
        <w:gridCol w:w="853"/>
        <w:gridCol w:w="849"/>
        <w:gridCol w:w="851"/>
        <w:gridCol w:w="708"/>
        <w:gridCol w:w="1191"/>
      </w:tblGrid>
      <w:tr w:rsidR="00EE56C0">
        <w:trPr>
          <w:trHeight w:val="454"/>
          <w:tblHeader/>
          <w:jc w:val="center"/>
        </w:trPr>
        <w:tc>
          <w:tcPr>
            <w:tcW w:w="1061" w:type="pct"/>
            <w:gridSpan w:val="2"/>
            <w:vMerge w:val="restart"/>
            <w:tcBorders>
              <w:right w:val="single" w:sz="4" w:space="0" w:color="auto"/>
            </w:tcBorders>
            <w:vAlign w:val="center"/>
          </w:tcPr>
          <w:p w:rsidR="00EE56C0" w:rsidRDefault="000F36A1">
            <w:pPr>
              <w:pStyle w:val="aff1"/>
              <w:rPr>
                <w:color w:val="auto"/>
              </w:rPr>
            </w:pPr>
            <w:r>
              <w:rPr>
                <w:color w:val="auto"/>
              </w:rPr>
              <w:t>污染源</w:t>
            </w:r>
          </w:p>
        </w:tc>
        <w:tc>
          <w:tcPr>
            <w:tcW w:w="664" w:type="pct"/>
            <w:vMerge w:val="restart"/>
            <w:tcBorders>
              <w:left w:val="single" w:sz="4" w:space="0" w:color="auto"/>
            </w:tcBorders>
            <w:vAlign w:val="center"/>
          </w:tcPr>
          <w:p w:rsidR="00EE56C0" w:rsidRDefault="000F36A1">
            <w:pPr>
              <w:pStyle w:val="aff1"/>
              <w:rPr>
                <w:color w:val="auto"/>
              </w:rPr>
            </w:pPr>
            <w:r>
              <w:rPr>
                <w:rFonts w:hint="eastAsia"/>
                <w:color w:val="auto"/>
              </w:rPr>
              <w:t>废水量（</w:t>
            </w:r>
            <w:r>
              <w:rPr>
                <w:rFonts w:hint="eastAsia"/>
                <w:color w:val="auto"/>
              </w:rPr>
              <w:t>m</w:t>
            </w:r>
            <w:r>
              <w:rPr>
                <w:rFonts w:hint="eastAsia"/>
                <w:color w:val="auto"/>
                <w:vertAlign w:val="superscript"/>
              </w:rPr>
              <w:t>3</w:t>
            </w:r>
            <w:r>
              <w:rPr>
                <w:rFonts w:hint="eastAsia"/>
                <w:color w:val="auto"/>
              </w:rPr>
              <w:t>/d</w:t>
            </w:r>
            <w:r>
              <w:rPr>
                <w:rFonts w:hint="eastAsia"/>
                <w:color w:val="auto"/>
              </w:rPr>
              <w:t>）</w:t>
            </w:r>
          </w:p>
        </w:tc>
        <w:tc>
          <w:tcPr>
            <w:tcW w:w="3275" w:type="pct"/>
            <w:gridSpan w:val="6"/>
            <w:tcBorders>
              <w:left w:val="single" w:sz="4" w:space="0" w:color="auto"/>
              <w:right w:val="single" w:sz="4" w:space="0" w:color="auto"/>
            </w:tcBorders>
            <w:vAlign w:val="center"/>
          </w:tcPr>
          <w:p w:rsidR="00EE56C0" w:rsidRDefault="000F36A1">
            <w:pPr>
              <w:pStyle w:val="aff1"/>
              <w:rPr>
                <w:color w:val="auto"/>
              </w:rPr>
            </w:pPr>
            <w:r>
              <w:rPr>
                <w:color w:val="auto"/>
              </w:rPr>
              <w:t>产生浓度（</w:t>
            </w:r>
            <w:r>
              <w:rPr>
                <w:color w:val="auto"/>
              </w:rPr>
              <w:t>mg/L</w:t>
            </w:r>
            <w:r>
              <w:rPr>
                <w:color w:val="auto"/>
              </w:rPr>
              <w:t>）</w:t>
            </w:r>
          </w:p>
        </w:tc>
      </w:tr>
      <w:tr w:rsidR="00EE56C0">
        <w:trPr>
          <w:trHeight w:val="454"/>
          <w:tblHeader/>
          <w:jc w:val="center"/>
        </w:trPr>
        <w:tc>
          <w:tcPr>
            <w:tcW w:w="1061" w:type="pct"/>
            <w:gridSpan w:val="2"/>
            <w:vMerge/>
            <w:tcBorders>
              <w:right w:val="single" w:sz="4" w:space="0" w:color="auto"/>
            </w:tcBorders>
            <w:vAlign w:val="center"/>
          </w:tcPr>
          <w:p w:rsidR="00EE56C0" w:rsidRDefault="00EE56C0">
            <w:pPr>
              <w:pStyle w:val="aff1"/>
              <w:rPr>
                <w:color w:val="auto"/>
              </w:rPr>
            </w:pPr>
          </w:p>
        </w:tc>
        <w:tc>
          <w:tcPr>
            <w:tcW w:w="664" w:type="pct"/>
            <w:vMerge/>
            <w:tcBorders>
              <w:left w:val="single" w:sz="4" w:space="0" w:color="auto"/>
            </w:tcBorders>
            <w:vAlign w:val="center"/>
          </w:tcPr>
          <w:p w:rsidR="00EE56C0" w:rsidRDefault="00EE56C0">
            <w:pPr>
              <w:pStyle w:val="aff1"/>
              <w:rPr>
                <w:color w:val="auto"/>
              </w:rPr>
            </w:pPr>
          </w:p>
        </w:tc>
        <w:tc>
          <w:tcPr>
            <w:tcW w:w="665" w:type="pct"/>
            <w:vAlign w:val="center"/>
          </w:tcPr>
          <w:p w:rsidR="00EE56C0" w:rsidRDefault="000F36A1">
            <w:pPr>
              <w:pStyle w:val="aff1"/>
              <w:rPr>
                <w:color w:val="auto"/>
              </w:rPr>
            </w:pPr>
            <w:r>
              <w:rPr>
                <w:color w:val="auto"/>
              </w:rPr>
              <w:t>COD</w:t>
            </w:r>
          </w:p>
        </w:tc>
        <w:tc>
          <w:tcPr>
            <w:tcW w:w="500" w:type="pct"/>
            <w:vAlign w:val="center"/>
          </w:tcPr>
          <w:p w:rsidR="00EE56C0" w:rsidRDefault="000F36A1">
            <w:pPr>
              <w:pStyle w:val="aff1"/>
              <w:rPr>
                <w:color w:val="auto"/>
              </w:rPr>
            </w:pPr>
            <w:r>
              <w:rPr>
                <w:color w:val="auto"/>
              </w:rPr>
              <w:t>SS</w:t>
            </w:r>
          </w:p>
        </w:tc>
        <w:tc>
          <w:tcPr>
            <w:tcW w:w="498" w:type="pct"/>
            <w:tcBorders>
              <w:right w:val="single" w:sz="4" w:space="0" w:color="auto"/>
            </w:tcBorders>
            <w:vAlign w:val="center"/>
          </w:tcPr>
          <w:p w:rsidR="00EE56C0" w:rsidRDefault="000F36A1">
            <w:pPr>
              <w:pStyle w:val="aff1"/>
              <w:rPr>
                <w:color w:val="auto"/>
              </w:rPr>
            </w:pPr>
            <w:r>
              <w:rPr>
                <w:rFonts w:hint="eastAsia"/>
                <w:color w:val="auto"/>
              </w:rPr>
              <w:t>NH</w:t>
            </w:r>
            <w:r>
              <w:rPr>
                <w:rFonts w:hint="eastAsia"/>
                <w:color w:val="auto"/>
                <w:vertAlign w:val="subscript"/>
              </w:rPr>
              <w:t>3</w:t>
            </w:r>
            <w:r>
              <w:rPr>
                <w:rFonts w:hint="eastAsia"/>
                <w:color w:val="auto"/>
              </w:rPr>
              <w:t>-N</w:t>
            </w:r>
          </w:p>
        </w:tc>
        <w:tc>
          <w:tcPr>
            <w:tcW w:w="499" w:type="pct"/>
            <w:tcBorders>
              <w:left w:val="single" w:sz="4" w:space="0" w:color="auto"/>
              <w:right w:val="single" w:sz="4" w:space="0" w:color="auto"/>
            </w:tcBorders>
            <w:vAlign w:val="center"/>
          </w:tcPr>
          <w:p w:rsidR="00EE56C0" w:rsidRDefault="000F36A1">
            <w:pPr>
              <w:pStyle w:val="aff1"/>
              <w:rPr>
                <w:color w:val="auto"/>
              </w:rPr>
            </w:pPr>
            <w:r>
              <w:rPr>
                <w:rFonts w:hint="eastAsia"/>
                <w:color w:val="auto"/>
              </w:rPr>
              <w:t>TP</w:t>
            </w:r>
          </w:p>
        </w:tc>
        <w:tc>
          <w:tcPr>
            <w:tcW w:w="415" w:type="pct"/>
            <w:tcBorders>
              <w:left w:val="single" w:sz="4" w:space="0" w:color="auto"/>
              <w:right w:val="single" w:sz="4" w:space="0" w:color="auto"/>
            </w:tcBorders>
            <w:vAlign w:val="center"/>
          </w:tcPr>
          <w:p w:rsidR="00EE56C0" w:rsidRDefault="000F36A1">
            <w:pPr>
              <w:pStyle w:val="aff1"/>
              <w:rPr>
                <w:color w:val="auto"/>
              </w:rPr>
            </w:pPr>
            <w:r>
              <w:rPr>
                <w:rFonts w:hint="eastAsia"/>
                <w:color w:val="auto"/>
              </w:rPr>
              <w:t>TN</w:t>
            </w:r>
          </w:p>
        </w:tc>
        <w:tc>
          <w:tcPr>
            <w:tcW w:w="698" w:type="pct"/>
            <w:tcBorders>
              <w:left w:val="single" w:sz="4" w:space="0" w:color="auto"/>
            </w:tcBorders>
            <w:vAlign w:val="center"/>
          </w:tcPr>
          <w:p w:rsidR="00EE56C0" w:rsidRDefault="000F36A1">
            <w:pPr>
              <w:pStyle w:val="aff1"/>
              <w:rPr>
                <w:color w:val="auto"/>
              </w:rPr>
            </w:pPr>
            <w:r>
              <w:rPr>
                <w:rFonts w:hint="eastAsia"/>
                <w:color w:val="auto"/>
              </w:rPr>
              <w:t>动植物油</w:t>
            </w:r>
          </w:p>
        </w:tc>
      </w:tr>
      <w:tr w:rsidR="00EE56C0">
        <w:trPr>
          <w:trHeight w:val="454"/>
          <w:jc w:val="center"/>
        </w:trPr>
        <w:tc>
          <w:tcPr>
            <w:tcW w:w="562" w:type="pct"/>
            <w:vMerge w:val="restart"/>
            <w:tcBorders>
              <w:right w:val="single" w:sz="4" w:space="0" w:color="auto"/>
            </w:tcBorders>
            <w:vAlign w:val="center"/>
          </w:tcPr>
          <w:p w:rsidR="00EE56C0" w:rsidRDefault="000F36A1">
            <w:pPr>
              <w:pStyle w:val="afa"/>
            </w:pPr>
            <w:r>
              <w:rPr>
                <w:rFonts w:hint="eastAsia"/>
              </w:rPr>
              <w:t>生活</w:t>
            </w:r>
          </w:p>
          <w:p w:rsidR="00EE56C0" w:rsidRDefault="000F36A1">
            <w:pPr>
              <w:pStyle w:val="afa"/>
            </w:pPr>
            <w:r>
              <w:rPr>
                <w:rFonts w:hint="eastAsia"/>
              </w:rPr>
              <w:t>污水</w:t>
            </w:r>
          </w:p>
        </w:tc>
        <w:tc>
          <w:tcPr>
            <w:tcW w:w="499" w:type="pct"/>
            <w:tcBorders>
              <w:left w:val="single" w:sz="4" w:space="0" w:color="auto"/>
              <w:bottom w:val="single" w:sz="4" w:space="0" w:color="auto"/>
              <w:right w:val="single" w:sz="4" w:space="0" w:color="auto"/>
            </w:tcBorders>
            <w:vAlign w:val="center"/>
          </w:tcPr>
          <w:p w:rsidR="00EE56C0" w:rsidRDefault="000F36A1">
            <w:pPr>
              <w:pStyle w:val="afa"/>
            </w:pPr>
            <w:r>
              <w:rPr>
                <w:rFonts w:hint="eastAsia"/>
              </w:rPr>
              <w:t>一期</w:t>
            </w:r>
          </w:p>
        </w:tc>
        <w:tc>
          <w:tcPr>
            <w:tcW w:w="664" w:type="pct"/>
            <w:tcBorders>
              <w:left w:val="single" w:sz="4" w:space="0" w:color="auto"/>
              <w:bottom w:val="single" w:sz="4" w:space="0" w:color="auto"/>
            </w:tcBorders>
            <w:vAlign w:val="center"/>
          </w:tcPr>
          <w:p w:rsidR="00EE56C0" w:rsidRDefault="000F36A1">
            <w:pPr>
              <w:pStyle w:val="afa"/>
            </w:pPr>
            <w:r>
              <w:rPr>
                <w:rFonts w:hint="eastAsia"/>
              </w:rPr>
              <w:t>0.96</w:t>
            </w:r>
          </w:p>
        </w:tc>
        <w:tc>
          <w:tcPr>
            <w:tcW w:w="665" w:type="pct"/>
            <w:vMerge w:val="restart"/>
            <w:vAlign w:val="center"/>
          </w:tcPr>
          <w:p w:rsidR="00EE56C0" w:rsidRDefault="000F36A1">
            <w:pPr>
              <w:pStyle w:val="afa"/>
            </w:pPr>
            <w:r>
              <w:rPr>
                <w:rFonts w:hint="eastAsia"/>
              </w:rPr>
              <w:t>350</w:t>
            </w:r>
          </w:p>
        </w:tc>
        <w:tc>
          <w:tcPr>
            <w:tcW w:w="500" w:type="pct"/>
            <w:vMerge w:val="restart"/>
            <w:vAlign w:val="center"/>
          </w:tcPr>
          <w:p w:rsidR="00EE56C0" w:rsidRDefault="000F36A1">
            <w:pPr>
              <w:pStyle w:val="afa"/>
            </w:pPr>
            <w:r>
              <w:rPr>
                <w:rFonts w:hint="eastAsia"/>
              </w:rPr>
              <w:t>250</w:t>
            </w:r>
          </w:p>
        </w:tc>
        <w:tc>
          <w:tcPr>
            <w:tcW w:w="498" w:type="pct"/>
            <w:vMerge w:val="restart"/>
            <w:tcBorders>
              <w:right w:val="single" w:sz="4" w:space="0" w:color="auto"/>
            </w:tcBorders>
            <w:vAlign w:val="center"/>
          </w:tcPr>
          <w:p w:rsidR="00EE56C0" w:rsidRDefault="000F36A1">
            <w:pPr>
              <w:pStyle w:val="afa"/>
            </w:pPr>
            <w:r>
              <w:rPr>
                <w:rFonts w:hint="eastAsia"/>
              </w:rPr>
              <w:t>25</w:t>
            </w:r>
          </w:p>
        </w:tc>
        <w:tc>
          <w:tcPr>
            <w:tcW w:w="499" w:type="pct"/>
            <w:vMerge w:val="restart"/>
            <w:tcBorders>
              <w:left w:val="single" w:sz="4" w:space="0" w:color="auto"/>
              <w:right w:val="single" w:sz="4" w:space="0" w:color="auto"/>
            </w:tcBorders>
            <w:vAlign w:val="center"/>
          </w:tcPr>
          <w:p w:rsidR="00EE56C0" w:rsidRDefault="000F36A1">
            <w:pPr>
              <w:pStyle w:val="afa"/>
            </w:pPr>
            <w:r>
              <w:rPr>
                <w:rFonts w:hint="eastAsia"/>
              </w:rPr>
              <w:t>4</w:t>
            </w:r>
          </w:p>
        </w:tc>
        <w:tc>
          <w:tcPr>
            <w:tcW w:w="415" w:type="pct"/>
            <w:vMerge w:val="restart"/>
            <w:tcBorders>
              <w:left w:val="single" w:sz="4" w:space="0" w:color="auto"/>
              <w:right w:val="single" w:sz="4" w:space="0" w:color="auto"/>
            </w:tcBorders>
            <w:vAlign w:val="center"/>
          </w:tcPr>
          <w:p w:rsidR="00EE56C0" w:rsidRDefault="000F36A1">
            <w:pPr>
              <w:pStyle w:val="afa"/>
            </w:pPr>
            <w:r>
              <w:rPr>
                <w:rFonts w:hint="eastAsia"/>
              </w:rPr>
              <w:t>30</w:t>
            </w:r>
          </w:p>
        </w:tc>
        <w:tc>
          <w:tcPr>
            <w:tcW w:w="698" w:type="pct"/>
            <w:vMerge w:val="restart"/>
            <w:tcBorders>
              <w:left w:val="single" w:sz="4" w:space="0" w:color="auto"/>
            </w:tcBorders>
            <w:vAlign w:val="center"/>
          </w:tcPr>
          <w:p w:rsidR="00EE56C0" w:rsidRDefault="000F36A1">
            <w:pPr>
              <w:pStyle w:val="afa"/>
            </w:pPr>
            <w:r>
              <w:rPr>
                <w:rFonts w:hint="eastAsia"/>
              </w:rPr>
              <w:t>150</w:t>
            </w:r>
          </w:p>
        </w:tc>
      </w:tr>
      <w:tr w:rsidR="00EE56C0">
        <w:trPr>
          <w:trHeight w:val="454"/>
          <w:jc w:val="center"/>
        </w:trPr>
        <w:tc>
          <w:tcPr>
            <w:tcW w:w="562" w:type="pct"/>
            <w:vMerge/>
            <w:tcBorders>
              <w:right w:val="single" w:sz="4" w:space="0" w:color="auto"/>
            </w:tcBorders>
            <w:vAlign w:val="center"/>
          </w:tcPr>
          <w:p w:rsidR="00EE56C0" w:rsidRDefault="00EE56C0">
            <w:pPr>
              <w:pStyle w:val="afa"/>
            </w:pPr>
          </w:p>
        </w:tc>
        <w:tc>
          <w:tcPr>
            <w:tcW w:w="499" w:type="pct"/>
            <w:tcBorders>
              <w:top w:val="single" w:sz="4" w:space="0" w:color="auto"/>
              <w:left w:val="single" w:sz="4" w:space="0" w:color="auto"/>
              <w:right w:val="single" w:sz="4" w:space="0" w:color="auto"/>
            </w:tcBorders>
            <w:vAlign w:val="center"/>
          </w:tcPr>
          <w:p w:rsidR="00EE56C0" w:rsidRDefault="000F36A1">
            <w:pPr>
              <w:pStyle w:val="afa"/>
            </w:pPr>
            <w:r>
              <w:rPr>
                <w:rFonts w:hint="eastAsia"/>
              </w:rPr>
              <w:t>二期</w:t>
            </w:r>
          </w:p>
        </w:tc>
        <w:tc>
          <w:tcPr>
            <w:tcW w:w="664" w:type="pct"/>
            <w:tcBorders>
              <w:top w:val="single" w:sz="4" w:space="0" w:color="auto"/>
              <w:left w:val="single" w:sz="4" w:space="0" w:color="auto"/>
            </w:tcBorders>
            <w:vAlign w:val="center"/>
          </w:tcPr>
          <w:p w:rsidR="00EE56C0" w:rsidRDefault="000F36A1">
            <w:pPr>
              <w:pStyle w:val="afa"/>
            </w:pPr>
            <w:r>
              <w:rPr>
                <w:rFonts w:hint="eastAsia"/>
              </w:rPr>
              <w:t>4.16</w:t>
            </w:r>
          </w:p>
        </w:tc>
        <w:tc>
          <w:tcPr>
            <w:tcW w:w="665" w:type="pct"/>
            <w:vMerge/>
            <w:vAlign w:val="center"/>
          </w:tcPr>
          <w:p w:rsidR="00EE56C0" w:rsidRDefault="00EE56C0">
            <w:pPr>
              <w:pStyle w:val="afa"/>
            </w:pPr>
          </w:p>
        </w:tc>
        <w:tc>
          <w:tcPr>
            <w:tcW w:w="500" w:type="pct"/>
            <w:vMerge/>
            <w:vAlign w:val="center"/>
          </w:tcPr>
          <w:p w:rsidR="00EE56C0" w:rsidRDefault="00EE56C0">
            <w:pPr>
              <w:pStyle w:val="afa"/>
            </w:pPr>
          </w:p>
        </w:tc>
        <w:tc>
          <w:tcPr>
            <w:tcW w:w="498" w:type="pct"/>
            <w:vMerge/>
            <w:tcBorders>
              <w:right w:val="single" w:sz="4" w:space="0" w:color="auto"/>
            </w:tcBorders>
            <w:vAlign w:val="center"/>
          </w:tcPr>
          <w:p w:rsidR="00EE56C0" w:rsidRDefault="00EE56C0">
            <w:pPr>
              <w:pStyle w:val="afa"/>
            </w:pPr>
          </w:p>
        </w:tc>
        <w:tc>
          <w:tcPr>
            <w:tcW w:w="499" w:type="pct"/>
            <w:vMerge/>
            <w:tcBorders>
              <w:left w:val="single" w:sz="4" w:space="0" w:color="auto"/>
              <w:right w:val="single" w:sz="4" w:space="0" w:color="auto"/>
            </w:tcBorders>
            <w:vAlign w:val="center"/>
          </w:tcPr>
          <w:p w:rsidR="00EE56C0" w:rsidRDefault="00EE56C0">
            <w:pPr>
              <w:pStyle w:val="afa"/>
            </w:pPr>
          </w:p>
        </w:tc>
        <w:tc>
          <w:tcPr>
            <w:tcW w:w="415" w:type="pct"/>
            <w:vMerge/>
            <w:tcBorders>
              <w:left w:val="single" w:sz="4" w:space="0" w:color="auto"/>
              <w:right w:val="single" w:sz="4" w:space="0" w:color="auto"/>
            </w:tcBorders>
            <w:vAlign w:val="center"/>
          </w:tcPr>
          <w:p w:rsidR="00EE56C0" w:rsidRDefault="00EE56C0">
            <w:pPr>
              <w:pStyle w:val="afa"/>
            </w:pPr>
          </w:p>
        </w:tc>
        <w:tc>
          <w:tcPr>
            <w:tcW w:w="698" w:type="pct"/>
            <w:vMerge/>
            <w:tcBorders>
              <w:left w:val="single" w:sz="4" w:space="0" w:color="auto"/>
            </w:tcBorders>
            <w:vAlign w:val="center"/>
          </w:tcPr>
          <w:p w:rsidR="00EE56C0" w:rsidRDefault="00EE56C0">
            <w:pPr>
              <w:pStyle w:val="afa"/>
            </w:pPr>
          </w:p>
        </w:tc>
      </w:tr>
      <w:tr w:rsidR="00EE56C0">
        <w:trPr>
          <w:trHeight w:val="454"/>
          <w:jc w:val="center"/>
        </w:trPr>
        <w:tc>
          <w:tcPr>
            <w:tcW w:w="562" w:type="pct"/>
            <w:vMerge w:val="restart"/>
            <w:tcBorders>
              <w:right w:val="single" w:sz="4" w:space="0" w:color="auto"/>
            </w:tcBorders>
            <w:vAlign w:val="center"/>
          </w:tcPr>
          <w:p w:rsidR="00EE56C0" w:rsidRDefault="000F36A1">
            <w:pPr>
              <w:pStyle w:val="afa"/>
            </w:pPr>
            <w:r>
              <w:rPr>
                <w:rFonts w:hint="eastAsia"/>
              </w:rPr>
              <w:t>反渗透浓水</w:t>
            </w:r>
          </w:p>
        </w:tc>
        <w:tc>
          <w:tcPr>
            <w:tcW w:w="499" w:type="pct"/>
            <w:tcBorders>
              <w:left w:val="single" w:sz="4" w:space="0" w:color="auto"/>
              <w:bottom w:val="single" w:sz="4" w:space="0" w:color="auto"/>
              <w:right w:val="single" w:sz="4" w:space="0" w:color="auto"/>
            </w:tcBorders>
            <w:vAlign w:val="center"/>
          </w:tcPr>
          <w:p w:rsidR="00EE56C0" w:rsidRDefault="000F36A1">
            <w:pPr>
              <w:pStyle w:val="afa"/>
            </w:pPr>
            <w:r>
              <w:rPr>
                <w:rFonts w:hint="eastAsia"/>
              </w:rPr>
              <w:t>一期</w:t>
            </w:r>
          </w:p>
        </w:tc>
        <w:tc>
          <w:tcPr>
            <w:tcW w:w="664" w:type="pct"/>
            <w:tcBorders>
              <w:left w:val="single" w:sz="4" w:space="0" w:color="auto"/>
              <w:bottom w:val="single" w:sz="4" w:space="0" w:color="auto"/>
            </w:tcBorders>
            <w:vAlign w:val="center"/>
          </w:tcPr>
          <w:p w:rsidR="00EE56C0" w:rsidRDefault="000F36A1">
            <w:pPr>
              <w:pStyle w:val="afa"/>
            </w:pPr>
            <w:r>
              <w:rPr>
                <w:rFonts w:hint="eastAsia"/>
              </w:rPr>
              <w:t>0.52</w:t>
            </w:r>
          </w:p>
        </w:tc>
        <w:tc>
          <w:tcPr>
            <w:tcW w:w="665" w:type="pct"/>
            <w:vMerge w:val="restart"/>
            <w:vAlign w:val="center"/>
          </w:tcPr>
          <w:p w:rsidR="00EE56C0" w:rsidRDefault="000F36A1">
            <w:pPr>
              <w:pStyle w:val="afa"/>
            </w:pPr>
            <w:r>
              <w:rPr>
                <w:rFonts w:hint="eastAsia"/>
              </w:rPr>
              <w:t>16</w:t>
            </w:r>
          </w:p>
        </w:tc>
        <w:tc>
          <w:tcPr>
            <w:tcW w:w="500" w:type="pct"/>
            <w:vMerge w:val="restart"/>
            <w:vAlign w:val="center"/>
          </w:tcPr>
          <w:p w:rsidR="00EE56C0" w:rsidRDefault="000F36A1">
            <w:pPr>
              <w:pStyle w:val="afa"/>
            </w:pPr>
            <w:r>
              <w:rPr>
                <w:rFonts w:hint="eastAsia"/>
              </w:rPr>
              <w:t>5</w:t>
            </w:r>
          </w:p>
        </w:tc>
        <w:tc>
          <w:tcPr>
            <w:tcW w:w="498" w:type="pct"/>
            <w:vMerge w:val="restart"/>
            <w:tcBorders>
              <w:right w:val="single" w:sz="4" w:space="0" w:color="auto"/>
            </w:tcBorders>
            <w:vAlign w:val="center"/>
          </w:tcPr>
          <w:p w:rsidR="00EE56C0" w:rsidRDefault="000F36A1">
            <w:pPr>
              <w:pStyle w:val="afa"/>
            </w:pPr>
            <w:r>
              <w:rPr>
                <w:rFonts w:hint="eastAsia"/>
              </w:rPr>
              <w:t>0.927</w:t>
            </w:r>
          </w:p>
        </w:tc>
        <w:tc>
          <w:tcPr>
            <w:tcW w:w="499" w:type="pct"/>
            <w:vMerge w:val="restart"/>
            <w:tcBorders>
              <w:left w:val="single" w:sz="4" w:space="0" w:color="auto"/>
              <w:right w:val="single" w:sz="4" w:space="0" w:color="auto"/>
            </w:tcBorders>
            <w:vAlign w:val="center"/>
          </w:tcPr>
          <w:p w:rsidR="00EE56C0" w:rsidRDefault="000F36A1">
            <w:pPr>
              <w:pStyle w:val="afa"/>
            </w:pPr>
            <w:r>
              <w:rPr>
                <w:rFonts w:hint="eastAsia"/>
              </w:rPr>
              <w:t>0.12</w:t>
            </w:r>
          </w:p>
        </w:tc>
        <w:tc>
          <w:tcPr>
            <w:tcW w:w="415" w:type="pct"/>
            <w:vMerge w:val="restart"/>
            <w:tcBorders>
              <w:left w:val="single" w:sz="4" w:space="0" w:color="auto"/>
              <w:right w:val="single" w:sz="4" w:space="0" w:color="auto"/>
            </w:tcBorders>
            <w:vAlign w:val="center"/>
          </w:tcPr>
          <w:p w:rsidR="00EE56C0" w:rsidRDefault="000F36A1">
            <w:pPr>
              <w:pStyle w:val="afa"/>
            </w:pPr>
            <w:r>
              <w:rPr>
                <w:rFonts w:hint="eastAsia"/>
              </w:rPr>
              <w:t>1.5</w:t>
            </w:r>
          </w:p>
        </w:tc>
        <w:tc>
          <w:tcPr>
            <w:tcW w:w="698" w:type="pct"/>
            <w:vMerge w:val="restart"/>
            <w:tcBorders>
              <w:left w:val="single" w:sz="4" w:space="0" w:color="auto"/>
            </w:tcBorders>
            <w:vAlign w:val="center"/>
          </w:tcPr>
          <w:p w:rsidR="00EE56C0" w:rsidRDefault="000F36A1">
            <w:pPr>
              <w:pStyle w:val="afa"/>
            </w:pPr>
            <w:r>
              <w:rPr>
                <w:rFonts w:hint="eastAsia"/>
              </w:rPr>
              <w:t>/</w:t>
            </w:r>
          </w:p>
        </w:tc>
      </w:tr>
      <w:tr w:rsidR="00EE56C0">
        <w:trPr>
          <w:trHeight w:val="454"/>
          <w:jc w:val="center"/>
        </w:trPr>
        <w:tc>
          <w:tcPr>
            <w:tcW w:w="562" w:type="pct"/>
            <w:vMerge/>
            <w:tcBorders>
              <w:right w:val="single" w:sz="4" w:space="0" w:color="auto"/>
            </w:tcBorders>
            <w:vAlign w:val="center"/>
          </w:tcPr>
          <w:p w:rsidR="00EE56C0" w:rsidRDefault="00EE56C0">
            <w:pPr>
              <w:pStyle w:val="afa"/>
            </w:pPr>
          </w:p>
        </w:tc>
        <w:tc>
          <w:tcPr>
            <w:tcW w:w="499" w:type="pct"/>
            <w:tcBorders>
              <w:top w:val="single" w:sz="4" w:space="0" w:color="auto"/>
              <w:left w:val="single" w:sz="4" w:space="0" w:color="auto"/>
              <w:right w:val="single" w:sz="4" w:space="0" w:color="auto"/>
            </w:tcBorders>
            <w:vAlign w:val="center"/>
          </w:tcPr>
          <w:p w:rsidR="00EE56C0" w:rsidRDefault="000F36A1">
            <w:pPr>
              <w:pStyle w:val="afa"/>
            </w:pPr>
            <w:r>
              <w:rPr>
                <w:rFonts w:hint="eastAsia"/>
              </w:rPr>
              <w:t>二期</w:t>
            </w:r>
          </w:p>
        </w:tc>
        <w:tc>
          <w:tcPr>
            <w:tcW w:w="664" w:type="pct"/>
            <w:tcBorders>
              <w:top w:val="single" w:sz="4" w:space="0" w:color="auto"/>
              <w:left w:val="single" w:sz="4" w:space="0" w:color="auto"/>
            </w:tcBorders>
            <w:vAlign w:val="center"/>
          </w:tcPr>
          <w:p w:rsidR="00EE56C0" w:rsidRDefault="000F36A1">
            <w:pPr>
              <w:pStyle w:val="afa"/>
            </w:pPr>
            <w:r>
              <w:rPr>
                <w:rFonts w:hint="eastAsia"/>
              </w:rPr>
              <w:t>1.25</w:t>
            </w:r>
          </w:p>
        </w:tc>
        <w:tc>
          <w:tcPr>
            <w:tcW w:w="665" w:type="pct"/>
            <w:vMerge/>
            <w:vAlign w:val="center"/>
          </w:tcPr>
          <w:p w:rsidR="00EE56C0" w:rsidRDefault="00EE56C0">
            <w:pPr>
              <w:pStyle w:val="afa"/>
            </w:pPr>
          </w:p>
        </w:tc>
        <w:tc>
          <w:tcPr>
            <w:tcW w:w="500" w:type="pct"/>
            <w:vMerge/>
            <w:vAlign w:val="center"/>
          </w:tcPr>
          <w:p w:rsidR="00EE56C0" w:rsidRDefault="00EE56C0">
            <w:pPr>
              <w:pStyle w:val="afa"/>
            </w:pPr>
          </w:p>
        </w:tc>
        <w:tc>
          <w:tcPr>
            <w:tcW w:w="498" w:type="pct"/>
            <w:vMerge/>
            <w:tcBorders>
              <w:right w:val="single" w:sz="4" w:space="0" w:color="auto"/>
            </w:tcBorders>
            <w:vAlign w:val="center"/>
          </w:tcPr>
          <w:p w:rsidR="00EE56C0" w:rsidRDefault="00EE56C0">
            <w:pPr>
              <w:pStyle w:val="afa"/>
            </w:pPr>
          </w:p>
        </w:tc>
        <w:tc>
          <w:tcPr>
            <w:tcW w:w="499" w:type="pct"/>
            <w:vMerge/>
            <w:tcBorders>
              <w:left w:val="single" w:sz="4" w:space="0" w:color="auto"/>
              <w:right w:val="single" w:sz="4" w:space="0" w:color="auto"/>
            </w:tcBorders>
            <w:vAlign w:val="center"/>
          </w:tcPr>
          <w:p w:rsidR="00EE56C0" w:rsidRDefault="00EE56C0">
            <w:pPr>
              <w:pStyle w:val="afa"/>
            </w:pPr>
          </w:p>
        </w:tc>
        <w:tc>
          <w:tcPr>
            <w:tcW w:w="415" w:type="pct"/>
            <w:vMerge/>
            <w:tcBorders>
              <w:left w:val="single" w:sz="4" w:space="0" w:color="auto"/>
              <w:right w:val="single" w:sz="4" w:space="0" w:color="auto"/>
            </w:tcBorders>
            <w:vAlign w:val="center"/>
          </w:tcPr>
          <w:p w:rsidR="00EE56C0" w:rsidRDefault="00EE56C0">
            <w:pPr>
              <w:pStyle w:val="afa"/>
            </w:pPr>
          </w:p>
        </w:tc>
        <w:tc>
          <w:tcPr>
            <w:tcW w:w="698" w:type="pct"/>
            <w:vMerge/>
            <w:tcBorders>
              <w:left w:val="single" w:sz="4" w:space="0" w:color="auto"/>
            </w:tcBorders>
            <w:vAlign w:val="center"/>
          </w:tcPr>
          <w:p w:rsidR="00EE56C0" w:rsidRDefault="00EE56C0">
            <w:pPr>
              <w:pStyle w:val="afa"/>
            </w:pPr>
          </w:p>
        </w:tc>
      </w:tr>
      <w:tr w:rsidR="00EE56C0">
        <w:trPr>
          <w:trHeight w:val="454"/>
          <w:jc w:val="center"/>
        </w:trPr>
        <w:tc>
          <w:tcPr>
            <w:tcW w:w="562" w:type="pct"/>
            <w:vMerge w:val="restart"/>
            <w:tcBorders>
              <w:right w:val="single" w:sz="4" w:space="0" w:color="auto"/>
            </w:tcBorders>
            <w:vAlign w:val="center"/>
          </w:tcPr>
          <w:p w:rsidR="00EE56C0" w:rsidRDefault="000F36A1">
            <w:pPr>
              <w:pStyle w:val="afa"/>
            </w:pPr>
            <w:r>
              <w:rPr>
                <w:rFonts w:hint="eastAsia"/>
              </w:rPr>
              <w:t>合计</w:t>
            </w:r>
          </w:p>
        </w:tc>
        <w:tc>
          <w:tcPr>
            <w:tcW w:w="499"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rPr>
                <w:rFonts w:hint="eastAsia"/>
              </w:rPr>
              <w:t>一期</w:t>
            </w:r>
          </w:p>
        </w:tc>
        <w:tc>
          <w:tcPr>
            <w:tcW w:w="664" w:type="pct"/>
            <w:tcBorders>
              <w:top w:val="single" w:sz="4" w:space="0" w:color="auto"/>
              <w:left w:val="single" w:sz="4" w:space="0" w:color="auto"/>
              <w:bottom w:val="single" w:sz="4" w:space="0" w:color="auto"/>
            </w:tcBorders>
            <w:vAlign w:val="center"/>
          </w:tcPr>
          <w:p w:rsidR="00EE56C0" w:rsidRDefault="000F36A1">
            <w:pPr>
              <w:pStyle w:val="afa"/>
              <w:rPr>
                <w:rFonts w:eastAsia="宋体"/>
              </w:rPr>
            </w:pPr>
            <w:r>
              <w:t xml:space="preserve">1.48 </w:t>
            </w:r>
          </w:p>
        </w:tc>
        <w:tc>
          <w:tcPr>
            <w:tcW w:w="665" w:type="pct"/>
            <w:vMerge w:val="restart"/>
            <w:vAlign w:val="center"/>
          </w:tcPr>
          <w:p w:rsidR="00EE56C0" w:rsidRDefault="000F36A1">
            <w:pPr>
              <w:pStyle w:val="afa"/>
              <w:rPr>
                <w:rFonts w:eastAsia="宋体"/>
              </w:rPr>
            </w:pPr>
            <w:r>
              <w:t>27</w:t>
            </w:r>
            <w:r>
              <w:rPr>
                <w:rFonts w:hint="eastAsia"/>
              </w:rPr>
              <w:t>3</w:t>
            </w:r>
          </w:p>
        </w:tc>
        <w:tc>
          <w:tcPr>
            <w:tcW w:w="500" w:type="pct"/>
            <w:vMerge w:val="restart"/>
            <w:vAlign w:val="center"/>
          </w:tcPr>
          <w:p w:rsidR="00EE56C0" w:rsidRDefault="000F36A1">
            <w:pPr>
              <w:pStyle w:val="afa"/>
              <w:rPr>
                <w:rFonts w:eastAsia="宋体"/>
              </w:rPr>
            </w:pPr>
            <w:r>
              <w:t>19</w:t>
            </w:r>
            <w:r>
              <w:rPr>
                <w:rFonts w:hint="eastAsia"/>
              </w:rPr>
              <w:t>7</w:t>
            </w:r>
          </w:p>
        </w:tc>
        <w:tc>
          <w:tcPr>
            <w:tcW w:w="498" w:type="pct"/>
            <w:vMerge w:val="restart"/>
            <w:tcBorders>
              <w:right w:val="single" w:sz="4" w:space="0" w:color="auto"/>
            </w:tcBorders>
            <w:vAlign w:val="center"/>
          </w:tcPr>
          <w:p w:rsidR="00EE56C0" w:rsidRDefault="000F36A1">
            <w:pPr>
              <w:pStyle w:val="afa"/>
              <w:rPr>
                <w:rFonts w:eastAsia="宋体"/>
              </w:rPr>
            </w:pPr>
            <w:r>
              <w:t xml:space="preserve">19 </w:t>
            </w:r>
          </w:p>
        </w:tc>
        <w:tc>
          <w:tcPr>
            <w:tcW w:w="499" w:type="pct"/>
            <w:vMerge w:val="restart"/>
            <w:tcBorders>
              <w:left w:val="single" w:sz="4" w:space="0" w:color="auto"/>
              <w:right w:val="single" w:sz="4" w:space="0" w:color="auto"/>
            </w:tcBorders>
            <w:vAlign w:val="center"/>
          </w:tcPr>
          <w:p w:rsidR="00EE56C0" w:rsidRDefault="000F36A1">
            <w:pPr>
              <w:pStyle w:val="afa"/>
              <w:rPr>
                <w:rFonts w:eastAsia="宋体"/>
              </w:rPr>
            </w:pPr>
            <w:r>
              <w:t xml:space="preserve">3 </w:t>
            </w:r>
          </w:p>
        </w:tc>
        <w:tc>
          <w:tcPr>
            <w:tcW w:w="415" w:type="pct"/>
            <w:vMerge w:val="restart"/>
            <w:tcBorders>
              <w:left w:val="single" w:sz="4" w:space="0" w:color="auto"/>
              <w:right w:val="single" w:sz="4" w:space="0" w:color="auto"/>
            </w:tcBorders>
            <w:vAlign w:val="center"/>
          </w:tcPr>
          <w:p w:rsidR="00EE56C0" w:rsidRDefault="000F36A1">
            <w:pPr>
              <w:pStyle w:val="afa"/>
              <w:rPr>
                <w:rFonts w:eastAsia="宋体"/>
              </w:rPr>
            </w:pPr>
            <w:r>
              <w:t xml:space="preserve">23 </w:t>
            </w:r>
          </w:p>
        </w:tc>
        <w:tc>
          <w:tcPr>
            <w:tcW w:w="698" w:type="pct"/>
            <w:vMerge w:val="restart"/>
            <w:tcBorders>
              <w:left w:val="single" w:sz="4" w:space="0" w:color="auto"/>
            </w:tcBorders>
            <w:vAlign w:val="center"/>
          </w:tcPr>
          <w:p w:rsidR="00EE56C0" w:rsidRDefault="000F36A1">
            <w:pPr>
              <w:pStyle w:val="afa"/>
              <w:rPr>
                <w:rFonts w:eastAsia="宋体"/>
              </w:rPr>
            </w:pPr>
            <w:r>
              <w:t xml:space="preserve">115 </w:t>
            </w:r>
          </w:p>
        </w:tc>
      </w:tr>
      <w:tr w:rsidR="00EE56C0">
        <w:trPr>
          <w:trHeight w:val="454"/>
          <w:jc w:val="center"/>
        </w:trPr>
        <w:tc>
          <w:tcPr>
            <w:tcW w:w="562" w:type="pct"/>
            <w:vMerge/>
            <w:tcBorders>
              <w:right w:val="single" w:sz="4" w:space="0" w:color="auto"/>
            </w:tcBorders>
            <w:vAlign w:val="center"/>
          </w:tcPr>
          <w:p w:rsidR="00EE56C0" w:rsidRDefault="00EE56C0">
            <w:pPr>
              <w:pStyle w:val="afa"/>
            </w:pPr>
          </w:p>
        </w:tc>
        <w:tc>
          <w:tcPr>
            <w:tcW w:w="499" w:type="pct"/>
            <w:tcBorders>
              <w:top w:val="single" w:sz="4" w:space="0" w:color="auto"/>
              <w:left w:val="single" w:sz="4" w:space="0" w:color="auto"/>
              <w:right w:val="single" w:sz="4" w:space="0" w:color="auto"/>
            </w:tcBorders>
            <w:vAlign w:val="center"/>
          </w:tcPr>
          <w:p w:rsidR="00EE56C0" w:rsidRDefault="000F36A1">
            <w:pPr>
              <w:pStyle w:val="afa"/>
            </w:pPr>
            <w:r>
              <w:rPr>
                <w:rFonts w:hint="eastAsia"/>
              </w:rPr>
              <w:t>二期</w:t>
            </w:r>
          </w:p>
        </w:tc>
        <w:tc>
          <w:tcPr>
            <w:tcW w:w="664" w:type="pct"/>
            <w:tcBorders>
              <w:top w:val="single" w:sz="4" w:space="0" w:color="auto"/>
              <w:left w:val="single" w:sz="4" w:space="0" w:color="auto"/>
            </w:tcBorders>
            <w:vAlign w:val="center"/>
          </w:tcPr>
          <w:p w:rsidR="00EE56C0" w:rsidRDefault="000F36A1">
            <w:pPr>
              <w:pStyle w:val="afa"/>
              <w:rPr>
                <w:rFonts w:eastAsia="宋体"/>
              </w:rPr>
            </w:pPr>
            <w:r>
              <w:t>5.41</w:t>
            </w:r>
          </w:p>
        </w:tc>
        <w:tc>
          <w:tcPr>
            <w:tcW w:w="665" w:type="pct"/>
            <w:vMerge/>
            <w:vAlign w:val="center"/>
          </w:tcPr>
          <w:p w:rsidR="00EE56C0" w:rsidRDefault="00EE56C0">
            <w:pPr>
              <w:pStyle w:val="afa"/>
              <w:rPr>
                <w:rFonts w:eastAsia="宋体"/>
              </w:rPr>
            </w:pPr>
          </w:p>
        </w:tc>
        <w:tc>
          <w:tcPr>
            <w:tcW w:w="500" w:type="pct"/>
            <w:vMerge/>
            <w:vAlign w:val="center"/>
          </w:tcPr>
          <w:p w:rsidR="00EE56C0" w:rsidRDefault="00EE56C0">
            <w:pPr>
              <w:pStyle w:val="afa"/>
              <w:rPr>
                <w:rFonts w:eastAsia="宋体"/>
              </w:rPr>
            </w:pPr>
          </w:p>
        </w:tc>
        <w:tc>
          <w:tcPr>
            <w:tcW w:w="498" w:type="pct"/>
            <w:vMerge/>
            <w:tcBorders>
              <w:right w:val="single" w:sz="4" w:space="0" w:color="auto"/>
            </w:tcBorders>
            <w:vAlign w:val="center"/>
          </w:tcPr>
          <w:p w:rsidR="00EE56C0" w:rsidRDefault="00EE56C0">
            <w:pPr>
              <w:pStyle w:val="afa"/>
              <w:rPr>
                <w:rFonts w:eastAsia="宋体"/>
              </w:rPr>
            </w:pPr>
          </w:p>
        </w:tc>
        <w:tc>
          <w:tcPr>
            <w:tcW w:w="499" w:type="pct"/>
            <w:vMerge/>
            <w:tcBorders>
              <w:left w:val="single" w:sz="4" w:space="0" w:color="auto"/>
              <w:right w:val="single" w:sz="4" w:space="0" w:color="auto"/>
            </w:tcBorders>
            <w:vAlign w:val="center"/>
          </w:tcPr>
          <w:p w:rsidR="00EE56C0" w:rsidRDefault="00EE56C0">
            <w:pPr>
              <w:pStyle w:val="afa"/>
              <w:rPr>
                <w:rFonts w:eastAsia="宋体"/>
              </w:rPr>
            </w:pPr>
          </w:p>
        </w:tc>
        <w:tc>
          <w:tcPr>
            <w:tcW w:w="415" w:type="pct"/>
            <w:vMerge/>
            <w:tcBorders>
              <w:left w:val="single" w:sz="4" w:space="0" w:color="auto"/>
              <w:right w:val="single" w:sz="4" w:space="0" w:color="auto"/>
            </w:tcBorders>
            <w:vAlign w:val="center"/>
          </w:tcPr>
          <w:p w:rsidR="00EE56C0" w:rsidRDefault="00EE56C0">
            <w:pPr>
              <w:pStyle w:val="afa"/>
              <w:rPr>
                <w:rFonts w:eastAsia="宋体"/>
              </w:rPr>
            </w:pPr>
          </w:p>
        </w:tc>
        <w:tc>
          <w:tcPr>
            <w:tcW w:w="698" w:type="pct"/>
            <w:vMerge/>
            <w:tcBorders>
              <w:left w:val="single" w:sz="4" w:space="0" w:color="auto"/>
            </w:tcBorders>
            <w:vAlign w:val="center"/>
          </w:tcPr>
          <w:p w:rsidR="00EE56C0" w:rsidRDefault="00EE56C0">
            <w:pPr>
              <w:pStyle w:val="afa"/>
              <w:rPr>
                <w:rFonts w:eastAsia="宋体"/>
              </w:rPr>
            </w:pPr>
          </w:p>
        </w:tc>
      </w:tr>
    </w:tbl>
    <w:p w:rsidR="00EE56C0" w:rsidRDefault="000F36A1">
      <w:pPr>
        <w:pStyle w:val="4"/>
        <w:ind w:left="120" w:firstLine="241"/>
      </w:pPr>
      <w:r>
        <w:rPr>
          <w:rFonts w:hint="eastAsia"/>
        </w:rPr>
        <w:t>3.7.2.2</w:t>
      </w:r>
      <w:r>
        <w:rPr>
          <w:rFonts w:hint="eastAsia"/>
        </w:rPr>
        <w:t>废水处理工艺及排放情况</w:t>
      </w:r>
    </w:p>
    <w:p w:rsidR="00EE56C0" w:rsidRDefault="000F36A1">
      <w:pPr>
        <w:ind w:firstLine="482"/>
        <w:rPr>
          <w:b/>
        </w:rPr>
      </w:pPr>
      <w:r>
        <w:rPr>
          <w:rFonts w:hint="eastAsia"/>
          <w:b/>
        </w:rPr>
        <w:t>1</w:t>
      </w:r>
      <w:r>
        <w:rPr>
          <w:rFonts w:hint="eastAsia"/>
          <w:b/>
        </w:rPr>
        <w:t>、废水处理工艺</w:t>
      </w:r>
    </w:p>
    <w:p w:rsidR="00EE56C0" w:rsidRPr="00D66B2C" w:rsidRDefault="000F36A1" w:rsidP="00D66B2C">
      <w:pPr>
        <w:ind w:firstLine="482"/>
        <w:rPr>
          <w:b/>
          <w:u w:val="single"/>
        </w:rPr>
      </w:pPr>
      <w:r w:rsidRPr="00D66B2C">
        <w:rPr>
          <w:rFonts w:hint="eastAsia"/>
          <w:b/>
          <w:u w:val="single"/>
        </w:rPr>
        <w:t>生活污水经“隔油池</w:t>
      </w:r>
      <w:r w:rsidRPr="00D66B2C">
        <w:rPr>
          <w:rFonts w:hint="eastAsia"/>
          <w:b/>
          <w:u w:val="single"/>
        </w:rPr>
        <w:t>+</w:t>
      </w:r>
      <w:r w:rsidRPr="00D66B2C">
        <w:rPr>
          <w:rFonts w:hint="eastAsia"/>
          <w:b/>
          <w:u w:val="single"/>
        </w:rPr>
        <w:t>化粪池”处理后与反渗透浓水在厂区总排口混合后，</w:t>
      </w:r>
      <w:r w:rsidRPr="00D66B2C">
        <w:rPr>
          <w:b/>
          <w:u w:val="single"/>
        </w:rPr>
        <w:t>经污水管网排入新乡县综合污水处理厂进一步处理</w:t>
      </w:r>
      <w:r w:rsidRPr="00D66B2C">
        <w:rPr>
          <w:rFonts w:hint="eastAsia"/>
          <w:b/>
          <w:u w:val="single"/>
        </w:rPr>
        <w:t>，最终排入东孟姜女河</w:t>
      </w:r>
      <w:r w:rsidRPr="00D66B2C">
        <w:rPr>
          <w:b/>
          <w:u w:val="single"/>
        </w:rPr>
        <w:t>，届时企业污水处理站停止运行</w:t>
      </w:r>
      <w:r w:rsidRPr="00D66B2C">
        <w:rPr>
          <w:rFonts w:hint="eastAsia"/>
          <w:b/>
          <w:u w:val="single"/>
        </w:rPr>
        <w:t>。</w:t>
      </w:r>
    </w:p>
    <w:p w:rsidR="00EE56C0" w:rsidRDefault="000F36A1">
      <w:pPr>
        <w:ind w:firstLine="482"/>
        <w:rPr>
          <w:b/>
        </w:rPr>
      </w:pPr>
      <w:r>
        <w:rPr>
          <w:rFonts w:hint="eastAsia"/>
          <w:b/>
          <w:szCs w:val="24"/>
        </w:rPr>
        <w:lastRenderedPageBreak/>
        <w:t>2</w:t>
      </w:r>
      <w:r>
        <w:rPr>
          <w:rFonts w:hint="eastAsia"/>
          <w:b/>
          <w:szCs w:val="24"/>
        </w:rPr>
        <w:t>、</w:t>
      </w:r>
      <w:r>
        <w:rPr>
          <w:b/>
        </w:rPr>
        <w:t>污水处理厂依托可行性分析</w:t>
      </w:r>
    </w:p>
    <w:p w:rsidR="00EE56C0" w:rsidRDefault="000F36A1">
      <w:pPr>
        <w:ind w:firstLine="480"/>
      </w:pPr>
      <w:r>
        <w:t>新乡县综合污水处理厂位于</w:t>
      </w:r>
      <w:r>
        <w:rPr>
          <w:rFonts w:ascii="宋体" w:hAnsi="宋体" w:cs="宋体" w:hint="eastAsia"/>
          <w:szCs w:val="24"/>
        </w:rPr>
        <w:t>集聚区北区（胜利路以东、青龙路以北、文化路以西、东孟姜女河以南的区域）</w:t>
      </w:r>
      <w:r>
        <w:t>，设计处理规模为</w:t>
      </w:r>
      <w:r>
        <w:rPr>
          <w:rFonts w:hint="eastAsia"/>
        </w:rPr>
        <w:t>15</w:t>
      </w:r>
      <w:r>
        <w:t>万</w:t>
      </w:r>
      <w:r>
        <w:t>m³/d</w:t>
      </w:r>
      <w:r>
        <w:t>，总服务面积</w:t>
      </w:r>
      <w:r>
        <w:rPr>
          <w:rFonts w:hint="eastAsia"/>
        </w:rPr>
        <w:t>48.42</w:t>
      </w:r>
      <w:r>
        <w:t>km</w:t>
      </w:r>
      <w:r>
        <w:rPr>
          <w:vertAlign w:val="superscript"/>
        </w:rPr>
        <w:t>2</w:t>
      </w:r>
      <w:r>
        <w:t>。</w:t>
      </w:r>
      <w:r>
        <w:rPr>
          <w:rFonts w:hint="eastAsia"/>
        </w:rPr>
        <w:t>目前主体工程已完工，目前正在进行收水调试</w:t>
      </w:r>
      <w:r>
        <w:t>。收水范围为</w:t>
      </w:r>
      <w:r>
        <w:rPr>
          <w:rFonts w:hAnsi="宋体"/>
          <w:bCs/>
          <w:szCs w:val="28"/>
        </w:rPr>
        <w:t>新乡县中心城区（</w:t>
      </w:r>
      <w:r>
        <w:rPr>
          <w:bCs/>
          <w:szCs w:val="28"/>
        </w:rPr>
        <w:t>40km</w:t>
      </w:r>
      <w:r>
        <w:rPr>
          <w:bCs/>
          <w:szCs w:val="28"/>
          <w:vertAlign w:val="superscript"/>
        </w:rPr>
        <w:t>2</w:t>
      </w:r>
      <w:r>
        <w:rPr>
          <w:rFonts w:hAnsi="宋体"/>
          <w:bCs/>
          <w:szCs w:val="28"/>
        </w:rPr>
        <w:t>，包含部分新乡经济技术产业集聚区）、新乡经济技术产业集聚区（</w:t>
      </w:r>
      <w:r>
        <w:rPr>
          <w:bCs/>
          <w:szCs w:val="28"/>
        </w:rPr>
        <w:t>3.16km</w:t>
      </w:r>
      <w:r>
        <w:rPr>
          <w:bCs/>
          <w:szCs w:val="28"/>
          <w:vertAlign w:val="superscript"/>
        </w:rPr>
        <w:t>2</w:t>
      </w:r>
      <w:r>
        <w:rPr>
          <w:rFonts w:hAnsi="宋体"/>
          <w:bCs/>
          <w:szCs w:val="28"/>
        </w:rPr>
        <w:t>，纸制品印刷包装产业园和装备制造产业园）、朗公庙镇中心镇区（</w:t>
      </w:r>
      <w:r>
        <w:rPr>
          <w:bCs/>
          <w:szCs w:val="28"/>
        </w:rPr>
        <w:t>5.26km</w:t>
      </w:r>
      <w:r>
        <w:rPr>
          <w:bCs/>
          <w:szCs w:val="28"/>
          <w:vertAlign w:val="superscript"/>
        </w:rPr>
        <w:t>2</w:t>
      </w:r>
      <w:r>
        <w:rPr>
          <w:rFonts w:hAnsi="宋体"/>
          <w:bCs/>
          <w:szCs w:val="28"/>
        </w:rPr>
        <w:t>）</w:t>
      </w:r>
      <w:r>
        <w:t>。采用的工艺为</w:t>
      </w:r>
      <w:r>
        <w:rPr>
          <w:szCs w:val="21"/>
        </w:rPr>
        <w:t>“</w:t>
      </w:r>
      <w:r>
        <w:rPr>
          <w:rFonts w:hAnsi="宋体"/>
          <w:szCs w:val="21"/>
        </w:rPr>
        <w:t>格栅</w:t>
      </w:r>
      <w:r>
        <w:rPr>
          <w:szCs w:val="21"/>
        </w:rPr>
        <w:t>+</w:t>
      </w:r>
      <w:r>
        <w:rPr>
          <w:rFonts w:hAnsi="宋体"/>
          <w:szCs w:val="21"/>
        </w:rPr>
        <w:t>水解酸化</w:t>
      </w:r>
      <w:r>
        <w:rPr>
          <w:szCs w:val="21"/>
        </w:rPr>
        <w:t>+AAOAO +</w:t>
      </w:r>
      <w:r>
        <w:rPr>
          <w:rFonts w:hAnsi="宋体"/>
          <w:szCs w:val="21"/>
        </w:rPr>
        <w:t>沉淀</w:t>
      </w:r>
      <w:r>
        <w:rPr>
          <w:szCs w:val="21"/>
        </w:rPr>
        <w:t>+V</w:t>
      </w:r>
      <w:r>
        <w:rPr>
          <w:rFonts w:hAnsi="宋体"/>
          <w:szCs w:val="21"/>
        </w:rPr>
        <w:t>型过滤</w:t>
      </w:r>
      <w:r>
        <w:rPr>
          <w:szCs w:val="21"/>
        </w:rPr>
        <w:t>+</w:t>
      </w:r>
      <w:r>
        <w:rPr>
          <w:rFonts w:hAnsi="宋体"/>
          <w:szCs w:val="21"/>
        </w:rPr>
        <w:t>臭氧接触</w:t>
      </w:r>
      <w:r>
        <w:rPr>
          <w:szCs w:val="21"/>
        </w:rPr>
        <w:t>+</w:t>
      </w:r>
      <w:r>
        <w:rPr>
          <w:rFonts w:hAnsi="宋体"/>
          <w:szCs w:val="21"/>
        </w:rPr>
        <w:t>活性炭过滤</w:t>
      </w:r>
      <w:r>
        <w:rPr>
          <w:szCs w:val="21"/>
        </w:rPr>
        <w:t>”</w:t>
      </w:r>
      <w:r>
        <w:t>。设计进水水质为</w:t>
      </w:r>
      <w:r>
        <w:t>COD400mg/L</w:t>
      </w:r>
      <w:r>
        <w:t>、</w:t>
      </w:r>
      <w:r>
        <w:t>BOD</w:t>
      </w:r>
      <w:r>
        <w:rPr>
          <w:vertAlign w:val="subscript"/>
        </w:rPr>
        <w:t>5</w:t>
      </w:r>
      <w:r>
        <w:t>100mg/L</w:t>
      </w:r>
      <w:r>
        <w:t>、</w:t>
      </w:r>
      <w:r>
        <w:t>SS180mg/L</w:t>
      </w:r>
      <w:r>
        <w:t>、</w:t>
      </w:r>
      <w:r>
        <w:t>NH</w:t>
      </w:r>
      <w:r>
        <w:rPr>
          <w:vertAlign w:val="subscript"/>
        </w:rPr>
        <w:t>3</w:t>
      </w:r>
      <w:r>
        <w:t>-N59mg/L</w:t>
      </w:r>
      <w:r>
        <w:t>、</w:t>
      </w:r>
      <w:r>
        <w:t>TP4mg/L</w:t>
      </w:r>
      <w:r>
        <w:t>、</w:t>
      </w:r>
      <w:r>
        <w:t>TN70mg/L</w:t>
      </w:r>
      <w:r>
        <w:t>，出水水质达到</w:t>
      </w:r>
      <w:r>
        <w:rPr>
          <w:rFonts w:hAnsi="宋体"/>
          <w:szCs w:val="21"/>
        </w:rPr>
        <w:t>《地表水环境质量标准》（</w:t>
      </w:r>
      <w:r>
        <w:rPr>
          <w:szCs w:val="21"/>
        </w:rPr>
        <w:t>GB3838-2002</w:t>
      </w:r>
      <w:r>
        <w:rPr>
          <w:rFonts w:hAnsi="宋体"/>
          <w:szCs w:val="21"/>
        </w:rPr>
        <w:t>）</w:t>
      </w:r>
      <w:r w:rsidR="00340837">
        <w:rPr>
          <w:szCs w:val="21"/>
        </w:rPr>
        <w:fldChar w:fldCharType="begin"/>
      </w:r>
      <w:r>
        <w:rPr>
          <w:szCs w:val="21"/>
        </w:rPr>
        <w:instrText xml:space="preserve"> = 4 \* ROMAN </w:instrText>
      </w:r>
      <w:r w:rsidR="00340837">
        <w:rPr>
          <w:szCs w:val="21"/>
        </w:rPr>
        <w:fldChar w:fldCharType="separate"/>
      </w:r>
      <w:r>
        <w:rPr>
          <w:szCs w:val="21"/>
        </w:rPr>
        <w:t>V</w:t>
      </w:r>
      <w:r w:rsidR="00340837">
        <w:rPr>
          <w:szCs w:val="21"/>
        </w:rPr>
        <w:fldChar w:fldCharType="end"/>
      </w:r>
      <w:r>
        <w:rPr>
          <w:rFonts w:hAnsi="宋体"/>
          <w:szCs w:val="21"/>
        </w:rPr>
        <w:t>类标准（总氮除外），总氮执行《城镇污水处理厂污染物排放标准》（</w:t>
      </w:r>
      <w:r>
        <w:rPr>
          <w:szCs w:val="21"/>
        </w:rPr>
        <w:t>GB18918-2002</w:t>
      </w:r>
      <w:r>
        <w:rPr>
          <w:rFonts w:hAnsi="宋体"/>
          <w:szCs w:val="21"/>
        </w:rPr>
        <w:t>）表</w:t>
      </w:r>
      <w:r>
        <w:rPr>
          <w:szCs w:val="21"/>
        </w:rPr>
        <w:t>1</w:t>
      </w:r>
      <w:r>
        <w:rPr>
          <w:rFonts w:hAnsi="宋体"/>
          <w:szCs w:val="21"/>
        </w:rPr>
        <w:t>一级</w:t>
      </w:r>
      <w:r>
        <w:rPr>
          <w:szCs w:val="21"/>
        </w:rPr>
        <w:t>A</w:t>
      </w:r>
      <w:r>
        <w:rPr>
          <w:rFonts w:hAnsi="宋体"/>
          <w:szCs w:val="21"/>
        </w:rPr>
        <w:t>标准，即</w:t>
      </w:r>
      <w:r>
        <w:t>COD 40mg/L</w:t>
      </w:r>
      <w:r>
        <w:t>、</w:t>
      </w:r>
      <w:r>
        <w:t>SS 10mg/L</w:t>
      </w:r>
      <w:r>
        <w:t>、</w:t>
      </w:r>
      <w:r>
        <w:t>NH</w:t>
      </w:r>
      <w:r>
        <w:rPr>
          <w:vertAlign w:val="subscript"/>
        </w:rPr>
        <w:t>3</w:t>
      </w:r>
      <w:r>
        <w:t>-N 2mg/L</w:t>
      </w:r>
      <w:r>
        <w:t>、</w:t>
      </w:r>
      <w:r>
        <w:t>TP 0.4mg/L</w:t>
      </w:r>
      <w:r>
        <w:t>、</w:t>
      </w:r>
      <w:r>
        <w:t>TN15mg/L</w:t>
      </w:r>
      <w:r>
        <w:t>，废水排入东孟姜女河，最终汇入卫河</w:t>
      </w:r>
      <w:r>
        <w:rPr>
          <w:rFonts w:hint="eastAsia"/>
        </w:rPr>
        <w:t>。</w:t>
      </w:r>
    </w:p>
    <w:p w:rsidR="00EE56C0" w:rsidRDefault="000F36A1">
      <w:pPr>
        <w:ind w:firstLine="480"/>
      </w:pPr>
      <w:r>
        <w:t>本项目</w:t>
      </w:r>
      <w:r>
        <w:rPr>
          <w:rFonts w:hint="eastAsia"/>
        </w:rPr>
        <w:t>生活污水、</w:t>
      </w:r>
      <w:r>
        <w:t>反渗透浓水水质能够满足新乡市新乡县综合污水处理厂的收水标准，排放量为</w:t>
      </w:r>
      <w:r>
        <w:rPr>
          <w:rFonts w:hint="eastAsia"/>
        </w:rPr>
        <w:t>一期</w:t>
      </w:r>
      <w:r>
        <w:rPr>
          <w:rFonts w:hint="eastAsia"/>
        </w:rPr>
        <w:t>1.48m</w:t>
      </w:r>
      <w:r>
        <w:rPr>
          <w:vertAlign w:val="superscript"/>
        </w:rPr>
        <w:t>3</w:t>
      </w:r>
      <w:r>
        <w:t>/d</w:t>
      </w:r>
      <w:r>
        <w:rPr>
          <w:rFonts w:hint="eastAsia"/>
        </w:rPr>
        <w:t>、二期</w:t>
      </w:r>
      <w:r>
        <w:rPr>
          <w:rFonts w:hint="eastAsia"/>
        </w:rPr>
        <w:t>5.41</w:t>
      </w:r>
      <w:r>
        <w:t>m</w:t>
      </w:r>
      <w:r>
        <w:rPr>
          <w:vertAlign w:val="superscript"/>
        </w:rPr>
        <w:t>3</w:t>
      </w:r>
      <w:r>
        <w:t>/d</w:t>
      </w:r>
      <w:r>
        <w:rPr>
          <w:rFonts w:hint="eastAsia"/>
        </w:rPr>
        <w:t>，水量较小，不会对新乡县综合污水处理厂产生冲击。</w:t>
      </w:r>
    </w:p>
    <w:p w:rsidR="00EE56C0" w:rsidRDefault="000F36A1">
      <w:pPr>
        <w:ind w:firstLine="482"/>
        <w:rPr>
          <w:b/>
          <w:szCs w:val="24"/>
        </w:rPr>
      </w:pPr>
      <w:r>
        <w:rPr>
          <w:rFonts w:hint="eastAsia"/>
          <w:b/>
          <w:szCs w:val="24"/>
        </w:rPr>
        <w:t>3</w:t>
      </w:r>
      <w:r>
        <w:rPr>
          <w:rFonts w:hint="eastAsia"/>
          <w:b/>
          <w:szCs w:val="24"/>
        </w:rPr>
        <w:t>、厂区总排口废水情况</w:t>
      </w:r>
    </w:p>
    <w:p w:rsidR="00EE56C0" w:rsidRDefault="000F36A1">
      <w:pPr>
        <w:ind w:firstLine="480"/>
        <w:rPr>
          <w:szCs w:val="24"/>
          <w:u w:val="single"/>
        </w:rPr>
      </w:pPr>
      <w:r>
        <w:rPr>
          <w:rFonts w:hint="eastAsia"/>
          <w:szCs w:val="24"/>
          <w:u w:val="single"/>
        </w:rPr>
        <w:t>现有工程生活污水、车间地面清洗废水量共</w:t>
      </w:r>
      <w:r>
        <w:rPr>
          <w:rFonts w:hint="eastAsia"/>
          <w:szCs w:val="24"/>
          <w:u w:val="single"/>
        </w:rPr>
        <w:t>11.018m</w:t>
      </w:r>
      <w:r>
        <w:rPr>
          <w:rFonts w:hint="eastAsia"/>
          <w:szCs w:val="24"/>
          <w:u w:val="single"/>
          <w:vertAlign w:val="superscript"/>
        </w:rPr>
        <w:t>3</w:t>
      </w:r>
      <w:r>
        <w:rPr>
          <w:rFonts w:hint="eastAsia"/>
          <w:szCs w:val="24"/>
          <w:u w:val="single"/>
        </w:rPr>
        <w:t>/d</w:t>
      </w:r>
      <w:r>
        <w:rPr>
          <w:rFonts w:hint="eastAsia"/>
          <w:szCs w:val="24"/>
          <w:u w:val="single"/>
        </w:rPr>
        <w:t>，根据现有工程水平衡图</w:t>
      </w:r>
      <w:r>
        <w:rPr>
          <w:rFonts w:hint="eastAsia"/>
          <w:szCs w:val="24"/>
          <w:u w:val="single"/>
        </w:rPr>
        <w:t>3-3</w:t>
      </w:r>
      <w:r>
        <w:rPr>
          <w:rFonts w:hint="eastAsia"/>
          <w:szCs w:val="24"/>
          <w:u w:val="single"/>
        </w:rPr>
        <w:t>，生活污水量为</w:t>
      </w:r>
      <w:r>
        <w:rPr>
          <w:rFonts w:hint="eastAsia"/>
          <w:szCs w:val="24"/>
          <w:u w:val="single"/>
        </w:rPr>
        <w:t>10.218 m</w:t>
      </w:r>
      <w:r>
        <w:rPr>
          <w:rFonts w:hint="eastAsia"/>
          <w:szCs w:val="24"/>
          <w:u w:val="single"/>
          <w:vertAlign w:val="superscript"/>
        </w:rPr>
        <w:t>3</w:t>
      </w:r>
      <w:r>
        <w:rPr>
          <w:rFonts w:hint="eastAsia"/>
          <w:szCs w:val="24"/>
          <w:u w:val="single"/>
        </w:rPr>
        <w:t>/d</w:t>
      </w:r>
      <w:r>
        <w:rPr>
          <w:rFonts w:hint="eastAsia"/>
          <w:szCs w:val="24"/>
          <w:u w:val="single"/>
        </w:rPr>
        <w:t>，车间地面清洗废水</w:t>
      </w:r>
      <w:r>
        <w:rPr>
          <w:rFonts w:hint="eastAsia"/>
          <w:szCs w:val="24"/>
          <w:u w:val="single"/>
        </w:rPr>
        <w:t>0.8m</w:t>
      </w:r>
      <w:r>
        <w:rPr>
          <w:rFonts w:hint="eastAsia"/>
          <w:szCs w:val="24"/>
          <w:u w:val="single"/>
          <w:vertAlign w:val="superscript"/>
        </w:rPr>
        <w:t>3</w:t>
      </w:r>
      <w:r>
        <w:rPr>
          <w:rFonts w:hint="eastAsia"/>
          <w:szCs w:val="24"/>
          <w:u w:val="single"/>
        </w:rPr>
        <w:t>/d</w:t>
      </w:r>
      <w:r>
        <w:rPr>
          <w:rFonts w:hint="eastAsia"/>
          <w:u w:val="single"/>
        </w:rPr>
        <w:t>。</w:t>
      </w:r>
    </w:p>
    <w:p w:rsidR="00EE56C0" w:rsidRDefault="000F36A1">
      <w:pPr>
        <w:ind w:firstLine="480"/>
        <w:rPr>
          <w:u w:val="single"/>
        </w:rPr>
      </w:pPr>
      <w:r>
        <w:rPr>
          <w:rFonts w:hint="eastAsia"/>
          <w:u w:val="single"/>
        </w:rPr>
        <w:t>厂区生活污水、地面清洗水、反渗透浓水及总排口水质见下表。</w:t>
      </w:r>
    </w:p>
    <w:p w:rsidR="00EE56C0" w:rsidRDefault="000F36A1">
      <w:pPr>
        <w:pStyle w:val="afd"/>
        <w:spacing w:before="120" w:after="120"/>
        <w:ind w:firstLine="482"/>
        <w:rPr>
          <w:u w:val="single"/>
        </w:rPr>
      </w:pPr>
      <w:r>
        <w:rPr>
          <w:rFonts w:hint="eastAsia"/>
          <w:u w:val="single"/>
        </w:rPr>
        <w:t>表</w:t>
      </w:r>
      <w:r>
        <w:rPr>
          <w:rFonts w:hint="eastAsia"/>
          <w:u w:val="single"/>
        </w:rPr>
        <w:t>3-</w:t>
      </w:r>
      <w:r w:rsidR="00212B58">
        <w:rPr>
          <w:rFonts w:hint="eastAsia"/>
          <w:u w:val="single"/>
        </w:rPr>
        <w:t>48</w:t>
      </w:r>
      <w:r>
        <w:rPr>
          <w:rFonts w:hint="eastAsia"/>
          <w:u w:val="single"/>
        </w:rPr>
        <w:t xml:space="preserve">       </w:t>
      </w:r>
      <w:r>
        <w:rPr>
          <w:rFonts w:hint="eastAsia"/>
          <w:u w:val="single"/>
        </w:rPr>
        <w:t>厂区生活污水、地面清洗水水质一览表</w:t>
      </w:r>
      <w:r>
        <w:rPr>
          <w:rFonts w:hint="eastAsia"/>
          <w:u w:val="single"/>
        </w:rPr>
        <w:t xml:space="preserve">    </w:t>
      </w:r>
      <w:r>
        <w:rPr>
          <w:rFonts w:hint="eastAsia"/>
          <w:u w:val="single"/>
        </w:rPr>
        <w:t>单位：</w:t>
      </w:r>
      <w:r>
        <w:rPr>
          <w:rFonts w:hint="eastAsia"/>
          <w:u w:val="single"/>
        </w:rPr>
        <w:t>mg/L</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tblPr>
      <w:tblGrid>
        <w:gridCol w:w="1666"/>
        <w:gridCol w:w="996"/>
        <w:gridCol w:w="991"/>
        <w:gridCol w:w="853"/>
        <w:gridCol w:w="704"/>
        <w:gridCol w:w="855"/>
        <w:gridCol w:w="708"/>
        <w:gridCol w:w="947"/>
        <w:gridCol w:w="808"/>
      </w:tblGrid>
      <w:tr w:rsidR="00EE56C0">
        <w:trPr>
          <w:trHeight w:val="454"/>
          <w:tblHeader/>
          <w:jc w:val="center"/>
        </w:trPr>
        <w:tc>
          <w:tcPr>
            <w:tcW w:w="1561" w:type="pct"/>
            <w:gridSpan w:val="2"/>
            <w:vMerge w:val="restart"/>
            <w:tcBorders>
              <w:right w:val="single" w:sz="4" w:space="0" w:color="auto"/>
            </w:tcBorders>
            <w:vAlign w:val="center"/>
          </w:tcPr>
          <w:p w:rsidR="00EE56C0" w:rsidRDefault="000F36A1">
            <w:pPr>
              <w:pStyle w:val="aff1"/>
              <w:rPr>
                <w:color w:val="auto"/>
                <w:u w:val="single"/>
              </w:rPr>
            </w:pPr>
            <w:r>
              <w:rPr>
                <w:color w:val="auto"/>
                <w:u w:val="single"/>
              </w:rPr>
              <w:t>污染源</w:t>
            </w:r>
          </w:p>
        </w:tc>
        <w:tc>
          <w:tcPr>
            <w:tcW w:w="581" w:type="pct"/>
            <w:vMerge w:val="restart"/>
            <w:tcBorders>
              <w:left w:val="single" w:sz="4" w:space="0" w:color="auto"/>
            </w:tcBorders>
            <w:vAlign w:val="center"/>
          </w:tcPr>
          <w:p w:rsidR="00EE56C0" w:rsidRDefault="000F36A1">
            <w:pPr>
              <w:pStyle w:val="aff1"/>
              <w:rPr>
                <w:color w:val="auto"/>
                <w:u w:val="single"/>
              </w:rPr>
            </w:pPr>
            <w:r>
              <w:rPr>
                <w:rFonts w:hint="eastAsia"/>
                <w:color w:val="auto"/>
                <w:u w:val="single"/>
              </w:rPr>
              <w:t>废水量（</w:t>
            </w:r>
            <w:r>
              <w:rPr>
                <w:rFonts w:hint="eastAsia"/>
                <w:color w:val="auto"/>
                <w:u w:val="single"/>
              </w:rPr>
              <w:t>m</w:t>
            </w:r>
            <w:r>
              <w:rPr>
                <w:rFonts w:hint="eastAsia"/>
                <w:color w:val="auto"/>
                <w:u w:val="single"/>
                <w:vertAlign w:val="superscript"/>
              </w:rPr>
              <w:t>3</w:t>
            </w:r>
            <w:r>
              <w:rPr>
                <w:rFonts w:hint="eastAsia"/>
                <w:color w:val="auto"/>
                <w:u w:val="single"/>
              </w:rPr>
              <w:t>/d</w:t>
            </w:r>
            <w:r>
              <w:rPr>
                <w:rFonts w:hint="eastAsia"/>
                <w:color w:val="auto"/>
                <w:u w:val="single"/>
              </w:rPr>
              <w:t>）</w:t>
            </w:r>
          </w:p>
        </w:tc>
        <w:tc>
          <w:tcPr>
            <w:tcW w:w="2858" w:type="pct"/>
            <w:gridSpan w:val="6"/>
            <w:tcBorders>
              <w:left w:val="single" w:sz="4" w:space="0" w:color="auto"/>
              <w:right w:val="single" w:sz="4" w:space="0" w:color="auto"/>
            </w:tcBorders>
            <w:vAlign w:val="center"/>
          </w:tcPr>
          <w:p w:rsidR="00EE56C0" w:rsidRDefault="000F36A1">
            <w:pPr>
              <w:pStyle w:val="aff1"/>
              <w:rPr>
                <w:color w:val="auto"/>
                <w:u w:val="single"/>
              </w:rPr>
            </w:pPr>
            <w:r>
              <w:rPr>
                <w:color w:val="auto"/>
                <w:u w:val="single"/>
              </w:rPr>
              <w:t>产生浓度（</w:t>
            </w:r>
            <w:r>
              <w:rPr>
                <w:color w:val="auto"/>
                <w:u w:val="single"/>
              </w:rPr>
              <w:t>mg/L</w:t>
            </w:r>
            <w:r>
              <w:rPr>
                <w:color w:val="auto"/>
                <w:u w:val="single"/>
              </w:rPr>
              <w:t>）</w:t>
            </w:r>
          </w:p>
        </w:tc>
      </w:tr>
      <w:tr w:rsidR="00EE56C0">
        <w:trPr>
          <w:trHeight w:val="454"/>
          <w:tblHeader/>
          <w:jc w:val="center"/>
        </w:trPr>
        <w:tc>
          <w:tcPr>
            <w:tcW w:w="1561" w:type="pct"/>
            <w:gridSpan w:val="2"/>
            <w:vMerge/>
            <w:tcBorders>
              <w:right w:val="single" w:sz="4" w:space="0" w:color="auto"/>
            </w:tcBorders>
            <w:vAlign w:val="center"/>
          </w:tcPr>
          <w:p w:rsidR="00EE56C0" w:rsidRDefault="00EE56C0">
            <w:pPr>
              <w:pStyle w:val="aff1"/>
              <w:rPr>
                <w:color w:val="auto"/>
                <w:u w:val="single"/>
              </w:rPr>
            </w:pPr>
          </w:p>
        </w:tc>
        <w:tc>
          <w:tcPr>
            <w:tcW w:w="581" w:type="pct"/>
            <w:vMerge/>
            <w:tcBorders>
              <w:left w:val="single" w:sz="4" w:space="0" w:color="auto"/>
            </w:tcBorders>
            <w:vAlign w:val="center"/>
          </w:tcPr>
          <w:p w:rsidR="00EE56C0" w:rsidRDefault="00EE56C0">
            <w:pPr>
              <w:pStyle w:val="aff1"/>
              <w:rPr>
                <w:color w:val="auto"/>
                <w:u w:val="single"/>
              </w:rPr>
            </w:pPr>
          </w:p>
        </w:tc>
        <w:tc>
          <w:tcPr>
            <w:tcW w:w="500" w:type="pct"/>
            <w:vAlign w:val="center"/>
          </w:tcPr>
          <w:p w:rsidR="00EE56C0" w:rsidRDefault="000F36A1">
            <w:pPr>
              <w:pStyle w:val="aff1"/>
              <w:rPr>
                <w:color w:val="auto"/>
                <w:u w:val="single"/>
              </w:rPr>
            </w:pPr>
            <w:r>
              <w:rPr>
                <w:color w:val="auto"/>
                <w:u w:val="single"/>
              </w:rPr>
              <w:t>COD</w:t>
            </w:r>
          </w:p>
        </w:tc>
        <w:tc>
          <w:tcPr>
            <w:tcW w:w="413" w:type="pct"/>
            <w:vAlign w:val="center"/>
          </w:tcPr>
          <w:p w:rsidR="00EE56C0" w:rsidRDefault="000F36A1">
            <w:pPr>
              <w:pStyle w:val="aff1"/>
              <w:rPr>
                <w:color w:val="auto"/>
                <w:u w:val="single"/>
              </w:rPr>
            </w:pPr>
            <w:r>
              <w:rPr>
                <w:color w:val="auto"/>
                <w:u w:val="single"/>
              </w:rPr>
              <w:t>SS</w:t>
            </w:r>
          </w:p>
        </w:tc>
        <w:tc>
          <w:tcPr>
            <w:tcW w:w="501" w:type="pct"/>
            <w:tcBorders>
              <w:right w:val="single" w:sz="4" w:space="0" w:color="auto"/>
            </w:tcBorders>
            <w:vAlign w:val="center"/>
          </w:tcPr>
          <w:p w:rsidR="00EE56C0" w:rsidRDefault="000F36A1">
            <w:pPr>
              <w:pStyle w:val="aff1"/>
              <w:rPr>
                <w:color w:val="auto"/>
                <w:u w:val="single"/>
              </w:rPr>
            </w:pPr>
            <w:r>
              <w:rPr>
                <w:rFonts w:hint="eastAsia"/>
                <w:color w:val="auto"/>
                <w:u w:val="single"/>
              </w:rPr>
              <w:t>NH</w:t>
            </w:r>
            <w:r>
              <w:rPr>
                <w:rFonts w:hint="eastAsia"/>
                <w:color w:val="auto"/>
                <w:u w:val="single"/>
                <w:vertAlign w:val="subscript"/>
              </w:rPr>
              <w:t>3</w:t>
            </w:r>
            <w:r>
              <w:rPr>
                <w:rFonts w:hint="eastAsia"/>
                <w:color w:val="auto"/>
                <w:u w:val="single"/>
              </w:rPr>
              <w:t>-N</w:t>
            </w:r>
          </w:p>
        </w:tc>
        <w:tc>
          <w:tcPr>
            <w:tcW w:w="415" w:type="pct"/>
            <w:tcBorders>
              <w:left w:val="single" w:sz="4" w:space="0" w:color="auto"/>
              <w:right w:val="single" w:sz="4" w:space="0" w:color="auto"/>
            </w:tcBorders>
            <w:vAlign w:val="center"/>
          </w:tcPr>
          <w:p w:rsidR="00EE56C0" w:rsidRDefault="000F36A1">
            <w:pPr>
              <w:pStyle w:val="aff1"/>
              <w:rPr>
                <w:color w:val="auto"/>
                <w:u w:val="single"/>
              </w:rPr>
            </w:pPr>
            <w:r>
              <w:rPr>
                <w:rFonts w:hint="eastAsia"/>
                <w:color w:val="auto"/>
                <w:u w:val="single"/>
              </w:rPr>
              <w:t>TP</w:t>
            </w:r>
          </w:p>
        </w:tc>
        <w:tc>
          <w:tcPr>
            <w:tcW w:w="555" w:type="pct"/>
            <w:tcBorders>
              <w:left w:val="single" w:sz="4" w:space="0" w:color="auto"/>
              <w:right w:val="single" w:sz="4" w:space="0" w:color="auto"/>
            </w:tcBorders>
            <w:vAlign w:val="center"/>
          </w:tcPr>
          <w:p w:rsidR="00EE56C0" w:rsidRDefault="000F36A1">
            <w:pPr>
              <w:pStyle w:val="aff1"/>
              <w:rPr>
                <w:color w:val="auto"/>
                <w:u w:val="single"/>
              </w:rPr>
            </w:pPr>
            <w:r>
              <w:rPr>
                <w:rFonts w:hint="eastAsia"/>
                <w:color w:val="auto"/>
                <w:u w:val="single"/>
              </w:rPr>
              <w:t>TN</w:t>
            </w:r>
          </w:p>
        </w:tc>
        <w:tc>
          <w:tcPr>
            <w:tcW w:w="474" w:type="pct"/>
            <w:tcBorders>
              <w:left w:val="single" w:sz="4" w:space="0" w:color="auto"/>
            </w:tcBorders>
            <w:vAlign w:val="center"/>
          </w:tcPr>
          <w:p w:rsidR="00EE56C0" w:rsidRDefault="000F36A1">
            <w:pPr>
              <w:pStyle w:val="aff1"/>
              <w:rPr>
                <w:color w:val="auto"/>
                <w:u w:val="single"/>
              </w:rPr>
            </w:pPr>
            <w:r>
              <w:rPr>
                <w:rFonts w:hint="eastAsia"/>
                <w:color w:val="auto"/>
                <w:u w:val="single"/>
              </w:rPr>
              <w:t>动植物油</w:t>
            </w:r>
          </w:p>
        </w:tc>
      </w:tr>
      <w:tr w:rsidR="00EE56C0">
        <w:trPr>
          <w:trHeight w:val="454"/>
          <w:jc w:val="center"/>
        </w:trPr>
        <w:tc>
          <w:tcPr>
            <w:tcW w:w="1561" w:type="pct"/>
            <w:gridSpan w:val="2"/>
            <w:tcBorders>
              <w:right w:val="single" w:sz="4" w:space="0" w:color="auto"/>
            </w:tcBorders>
            <w:vAlign w:val="center"/>
          </w:tcPr>
          <w:p w:rsidR="00EE56C0" w:rsidRDefault="000F36A1">
            <w:pPr>
              <w:pStyle w:val="afa"/>
              <w:rPr>
                <w:u w:val="single"/>
              </w:rPr>
            </w:pPr>
            <w:r>
              <w:rPr>
                <w:rFonts w:hint="eastAsia"/>
                <w:u w:val="single"/>
              </w:rPr>
              <w:t>现有工程生活污水</w:t>
            </w:r>
          </w:p>
        </w:tc>
        <w:tc>
          <w:tcPr>
            <w:tcW w:w="581" w:type="pct"/>
            <w:tcBorders>
              <w:left w:val="single" w:sz="4" w:space="0" w:color="auto"/>
              <w:bottom w:val="single" w:sz="4" w:space="0" w:color="auto"/>
            </w:tcBorders>
            <w:vAlign w:val="center"/>
          </w:tcPr>
          <w:p w:rsidR="00EE56C0" w:rsidRDefault="000F36A1">
            <w:pPr>
              <w:pStyle w:val="afa"/>
              <w:rPr>
                <w:u w:val="single"/>
              </w:rPr>
            </w:pPr>
            <w:r>
              <w:rPr>
                <w:rFonts w:hint="eastAsia"/>
                <w:u w:val="single"/>
              </w:rPr>
              <w:t>10.218</w:t>
            </w:r>
          </w:p>
        </w:tc>
        <w:tc>
          <w:tcPr>
            <w:tcW w:w="500" w:type="pct"/>
            <w:vAlign w:val="center"/>
          </w:tcPr>
          <w:p w:rsidR="00EE56C0" w:rsidRDefault="000F36A1">
            <w:pPr>
              <w:pStyle w:val="afa"/>
              <w:rPr>
                <w:u w:val="single"/>
              </w:rPr>
            </w:pPr>
            <w:r>
              <w:rPr>
                <w:u w:val="single"/>
              </w:rPr>
              <w:t>350</w:t>
            </w:r>
          </w:p>
        </w:tc>
        <w:tc>
          <w:tcPr>
            <w:tcW w:w="413" w:type="pct"/>
            <w:vAlign w:val="center"/>
          </w:tcPr>
          <w:p w:rsidR="00EE56C0" w:rsidRDefault="000F36A1">
            <w:pPr>
              <w:pStyle w:val="afa"/>
              <w:rPr>
                <w:u w:val="single"/>
              </w:rPr>
            </w:pPr>
            <w:r>
              <w:rPr>
                <w:u w:val="single"/>
              </w:rPr>
              <w:t>250</w:t>
            </w:r>
          </w:p>
        </w:tc>
        <w:tc>
          <w:tcPr>
            <w:tcW w:w="501" w:type="pct"/>
            <w:tcBorders>
              <w:right w:val="single" w:sz="4" w:space="0" w:color="auto"/>
            </w:tcBorders>
            <w:vAlign w:val="center"/>
          </w:tcPr>
          <w:p w:rsidR="00EE56C0" w:rsidRDefault="000F36A1">
            <w:pPr>
              <w:pStyle w:val="afa"/>
              <w:rPr>
                <w:u w:val="single"/>
              </w:rPr>
            </w:pPr>
            <w:r>
              <w:rPr>
                <w:u w:val="single"/>
              </w:rPr>
              <w:t>25</w:t>
            </w:r>
          </w:p>
        </w:tc>
        <w:tc>
          <w:tcPr>
            <w:tcW w:w="415" w:type="pct"/>
            <w:tcBorders>
              <w:left w:val="single" w:sz="4" w:space="0" w:color="auto"/>
              <w:right w:val="single" w:sz="4" w:space="0" w:color="auto"/>
            </w:tcBorders>
            <w:vAlign w:val="center"/>
          </w:tcPr>
          <w:p w:rsidR="00EE56C0" w:rsidRDefault="000F36A1">
            <w:pPr>
              <w:pStyle w:val="afa"/>
              <w:rPr>
                <w:u w:val="single"/>
              </w:rPr>
            </w:pPr>
            <w:r>
              <w:rPr>
                <w:u w:val="single"/>
              </w:rPr>
              <w:t>4</w:t>
            </w:r>
          </w:p>
        </w:tc>
        <w:tc>
          <w:tcPr>
            <w:tcW w:w="555" w:type="pct"/>
            <w:tcBorders>
              <w:left w:val="single" w:sz="4" w:space="0" w:color="auto"/>
              <w:right w:val="single" w:sz="4" w:space="0" w:color="auto"/>
            </w:tcBorders>
            <w:vAlign w:val="center"/>
          </w:tcPr>
          <w:p w:rsidR="00EE56C0" w:rsidRDefault="000F36A1">
            <w:pPr>
              <w:pStyle w:val="afa"/>
              <w:rPr>
                <w:u w:val="single"/>
              </w:rPr>
            </w:pPr>
            <w:r>
              <w:rPr>
                <w:u w:val="single"/>
              </w:rPr>
              <w:t>30</w:t>
            </w:r>
          </w:p>
        </w:tc>
        <w:tc>
          <w:tcPr>
            <w:tcW w:w="474" w:type="pct"/>
            <w:tcBorders>
              <w:left w:val="single" w:sz="4" w:space="0" w:color="auto"/>
            </w:tcBorders>
            <w:vAlign w:val="center"/>
          </w:tcPr>
          <w:p w:rsidR="00EE56C0" w:rsidRDefault="000F36A1">
            <w:pPr>
              <w:pStyle w:val="afa"/>
              <w:rPr>
                <w:u w:val="single"/>
              </w:rPr>
            </w:pPr>
            <w:r>
              <w:rPr>
                <w:u w:val="single"/>
              </w:rPr>
              <w:t>150</w:t>
            </w:r>
          </w:p>
        </w:tc>
      </w:tr>
      <w:tr w:rsidR="00EE56C0">
        <w:trPr>
          <w:trHeight w:val="454"/>
          <w:jc w:val="center"/>
        </w:trPr>
        <w:tc>
          <w:tcPr>
            <w:tcW w:w="1561" w:type="pct"/>
            <w:gridSpan w:val="2"/>
            <w:tcBorders>
              <w:right w:val="single" w:sz="4" w:space="0" w:color="auto"/>
            </w:tcBorders>
            <w:vAlign w:val="center"/>
          </w:tcPr>
          <w:p w:rsidR="00EE56C0" w:rsidRDefault="000F36A1">
            <w:pPr>
              <w:pStyle w:val="afa"/>
              <w:rPr>
                <w:u w:val="single"/>
              </w:rPr>
            </w:pPr>
            <w:r>
              <w:rPr>
                <w:rFonts w:hint="eastAsia"/>
                <w:u w:val="single"/>
              </w:rPr>
              <w:t>现有工程地面清洗水</w:t>
            </w:r>
          </w:p>
        </w:tc>
        <w:tc>
          <w:tcPr>
            <w:tcW w:w="581" w:type="pct"/>
            <w:tcBorders>
              <w:left w:val="single" w:sz="4" w:space="0" w:color="auto"/>
              <w:bottom w:val="single" w:sz="4" w:space="0" w:color="auto"/>
            </w:tcBorders>
            <w:vAlign w:val="center"/>
          </w:tcPr>
          <w:p w:rsidR="00EE56C0" w:rsidRDefault="000F36A1">
            <w:pPr>
              <w:pStyle w:val="afa"/>
              <w:rPr>
                <w:u w:val="single"/>
              </w:rPr>
            </w:pPr>
            <w:r>
              <w:rPr>
                <w:rFonts w:hint="eastAsia"/>
                <w:u w:val="single"/>
              </w:rPr>
              <w:t>0.8</w:t>
            </w:r>
          </w:p>
        </w:tc>
        <w:tc>
          <w:tcPr>
            <w:tcW w:w="500" w:type="pct"/>
            <w:vAlign w:val="center"/>
          </w:tcPr>
          <w:p w:rsidR="00EE56C0" w:rsidRDefault="000F36A1">
            <w:pPr>
              <w:pStyle w:val="afa"/>
              <w:rPr>
                <w:u w:val="single"/>
              </w:rPr>
            </w:pPr>
            <w:r>
              <w:rPr>
                <w:rFonts w:hint="eastAsia"/>
                <w:u w:val="single"/>
              </w:rPr>
              <w:t>300</w:t>
            </w:r>
          </w:p>
        </w:tc>
        <w:tc>
          <w:tcPr>
            <w:tcW w:w="413" w:type="pct"/>
            <w:vAlign w:val="center"/>
          </w:tcPr>
          <w:p w:rsidR="00EE56C0" w:rsidRDefault="000F36A1">
            <w:pPr>
              <w:pStyle w:val="afa"/>
              <w:rPr>
                <w:u w:val="single"/>
              </w:rPr>
            </w:pPr>
            <w:r>
              <w:rPr>
                <w:rFonts w:hint="eastAsia"/>
                <w:u w:val="single"/>
              </w:rPr>
              <w:t>200</w:t>
            </w:r>
          </w:p>
        </w:tc>
        <w:tc>
          <w:tcPr>
            <w:tcW w:w="501" w:type="pct"/>
            <w:tcBorders>
              <w:right w:val="single" w:sz="4" w:space="0" w:color="auto"/>
            </w:tcBorders>
            <w:vAlign w:val="center"/>
          </w:tcPr>
          <w:p w:rsidR="00EE56C0" w:rsidRDefault="000F36A1">
            <w:pPr>
              <w:pStyle w:val="afa"/>
              <w:rPr>
                <w:u w:val="single"/>
              </w:rPr>
            </w:pPr>
            <w:r>
              <w:rPr>
                <w:rFonts w:hint="eastAsia"/>
                <w:u w:val="single"/>
              </w:rPr>
              <w:t>0</w:t>
            </w:r>
          </w:p>
        </w:tc>
        <w:tc>
          <w:tcPr>
            <w:tcW w:w="415" w:type="pct"/>
            <w:tcBorders>
              <w:left w:val="single" w:sz="4" w:space="0" w:color="auto"/>
              <w:right w:val="single" w:sz="4" w:space="0" w:color="auto"/>
            </w:tcBorders>
            <w:vAlign w:val="center"/>
          </w:tcPr>
          <w:p w:rsidR="00EE56C0" w:rsidRDefault="000F36A1">
            <w:pPr>
              <w:pStyle w:val="afa"/>
              <w:rPr>
                <w:u w:val="single"/>
              </w:rPr>
            </w:pPr>
            <w:r>
              <w:rPr>
                <w:rFonts w:hint="eastAsia"/>
                <w:u w:val="single"/>
              </w:rPr>
              <w:t>0</w:t>
            </w:r>
          </w:p>
        </w:tc>
        <w:tc>
          <w:tcPr>
            <w:tcW w:w="555" w:type="pct"/>
            <w:tcBorders>
              <w:left w:val="single" w:sz="4" w:space="0" w:color="auto"/>
              <w:right w:val="single" w:sz="4" w:space="0" w:color="auto"/>
            </w:tcBorders>
            <w:vAlign w:val="center"/>
          </w:tcPr>
          <w:p w:rsidR="00EE56C0" w:rsidRDefault="000F36A1">
            <w:pPr>
              <w:pStyle w:val="afa"/>
              <w:rPr>
                <w:u w:val="single"/>
              </w:rPr>
            </w:pPr>
            <w:r>
              <w:rPr>
                <w:rFonts w:hint="eastAsia"/>
                <w:u w:val="single"/>
              </w:rPr>
              <w:t>0</w:t>
            </w:r>
          </w:p>
        </w:tc>
        <w:tc>
          <w:tcPr>
            <w:tcW w:w="474" w:type="pct"/>
            <w:tcBorders>
              <w:left w:val="single" w:sz="4" w:space="0" w:color="auto"/>
            </w:tcBorders>
            <w:vAlign w:val="center"/>
          </w:tcPr>
          <w:p w:rsidR="00EE56C0" w:rsidRDefault="000F36A1">
            <w:pPr>
              <w:pStyle w:val="afa"/>
              <w:rPr>
                <w:u w:val="single"/>
              </w:rPr>
            </w:pPr>
            <w:r>
              <w:rPr>
                <w:rFonts w:hint="eastAsia"/>
                <w:u w:val="single"/>
              </w:rPr>
              <w:t>0</w:t>
            </w:r>
          </w:p>
        </w:tc>
      </w:tr>
      <w:tr w:rsidR="00EE56C0">
        <w:trPr>
          <w:trHeight w:val="454"/>
          <w:jc w:val="center"/>
        </w:trPr>
        <w:tc>
          <w:tcPr>
            <w:tcW w:w="1561" w:type="pct"/>
            <w:gridSpan w:val="2"/>
            <w:tcBorders>
              <w:right w:val="single" w:sz="4" w:space="0" w:color="auto"/>
            </w:tcBorders>
            <w:vAlign w:val="center"/>
          </w:tcPr>
          <w:p w:rsidR="00EE56C0" w:rsidRDefault="000F36A1">
            <w:pPr>
              <w:pStyle w:val="afa"/>
              <w:rPr>
                <w:u w:val="single"/>
              </w:rPr>
            </w:pPr>
            <w:r>
              <w:rPr>
                <w:rFonts w:hint="eastAsia"/>
                <w:u w:val="single"/>
              </w:rPr>
              <w:t>现有工程生活污水、地面清洗水合计</w:t>
            </w:r>
          </w:p>
        </w:tc>
        <w:tc>
          <w:tcPr>
            <w:tcW w:w="581" w:type="pct"/>
            <w:tcBorders>
              <w:left w:val="single" w:sz="4" w:space="0" w:color="auto"/>
              <w:bottom w:val="single" w:sz="4" w:space="0" w:color="auto"/>
            </w:tcBorders>
            <w:vAlign w:val="center"/>
          </w:tcPr>
          <w:p w:rsidR="00EE56C0" w:rsidRDefault="000F36A1">
            <w:pPr>
              <w:pStyle w:val="afa"/>
              <w:rPr>
                <w:rFonts w:eastAsia="宋体"/>
                <w:u w:val="single"/>
              </w:rPr>
            </w:pPr>
            <w:r>
              <w:rPr>
                <w:u w:val="single"/>
              </w:rPr>
              <w:t>11.018</w:t>
            </w:r>
          </w:p>
        </w:tc>
        <w:tc>
          <w:tcPr>
            <w:tcW w:w="500" w:type="pct"/>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 xml:space="preserve">339 </w:t>
            </w:r>
          </w:p>
        </w:tc>
        <w:tc>
          <w:tcPr>
            <w:tcW w:w="413" w:type="pct"/>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 xml:space="preserve">246 </w:t>
            </w:r>
          </w:p>
        </w:tc>
        <w:tc>
          <w:tcPr>
            <w:tcW w:w="501" w:type="pct"/>
            <w:tcBorders>
              <w:right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 xml:space="preserve">23 </w:t>
            </w:r>
          </w:p>
        </w:tc>
        <w:tc>
          <w:tcPr>
            <w:tcW w:w="415" w:type="pct"/>
            <w:tcBorders>
              <w:left w:val="single" w:sz="4" w:space="0" w:color="auto"/>
              <w:right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 xml:space="preserve">4 </w:t>
            </w:r>
          </w:p>
        </w:tc>
        <w:tc>
          <w:tcPr>
            <w:tcW w:w="555" w:type="pct"/>
            <w:tcBorders>
              <w:left w:val="single" w:sz="4" w:space="0" w:color="auto"/>
              <w:right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 xml:space="preserve">28 </w:t>
            </w:r>
          </w:p>
        </w:tc>
        <w:tc>
          <w:tcPr>
            <w:tcW w:w="474" w:type="pct"/>
            <w:tcBorders>
              <w:left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 xml:space="preserve">139 </w:t>
            </w:r>
          </w:p>
        </w:tc>
      </w:tr>
      <w:tr w:rsidR="00EE56C0">
        <w:trPr>
          <w:trHeight w:val="454"/>
          <w:jc w:val="center"/>
        </w:trPr>
        <w:tc>
          <w:tcPr>
            <w:tcW w:w="977" w:type="pct"/>
            <w:vMerge w:val="restart"/>
            <w:tcBorders>
              <w:right w:val="single" w:sz="4" w:space="0" w:color="auto"/>
            </w:tcBorders>
            <w:vAlign w:val="center"/>
          </w:tcPr>
          <w:p w:rsidR="00EE56C0" w:rsidRDefault="000F36A1">
            <w:pPr>
              <w:pStyle w:val="afa"/>
              <w:rPr>
                <w:u w:val="single"/>
              </w:rPr>
            </w:pPr>
            <w:r>
              <w:rPr>
                <w:rFonts w:hint="eastAsia"/>
                <w:u w:val="single"/>
              </w:rPr>
              <w:t>本次生活污水</w:t>
            </w:r>
          </w:p>
        </w:tc>
        <w:tc>
          <w:tcPr>
            <w:tcW w:w="584" w:type="pct"/>
            <w:tcBorders>
              <w:left w:val="single" w:sz="4" w:space="0" w:color="auto"/>
              <w:bottom w:val="single" w:sz="4" w:space="0" w:color="auto"/>
              <w:right w:val="single" w:sz="4" w:space="0" w:color="auto"/>
            </w:tcBorders>
            <w:vAlign w:val="center"/>
          </w:tcPr>
          <w:p w:rsidR="00EE56C0" w:rsidRDefault="000F36A1">
            <w:pPr>
              <w:pStyle w:val="afa"/>
              <w:rPr>
                <w:u w:val="single"/>
              </w:rPr>
            </w:pPr>
            <w:r>
              <w:rPr>
                <w:rFonts w:hint="eastAsia"/>
                <w:u w:val="single"/>
              </w:rPr>
              <w:t>一期</w:t>
            </w:r>
          </w:p>
        </w:tc>
        <w:tc>
          <w:tcPr>
            <w:tcW w:w="581" w:type="pct"/>
            <w:tcBorders>
              <w:left w:val="single" w:sz="4" w:space="0" w:color="auto"/>
              <w:bottom w:val="single" w:sz="4" w:space="0" w:color="auto"/>
            </w:tcBorders>
            <w:vAlign w:val="center"/>
          </w:tcPr>
          <w:p w:rsidR="00EE56C0" w:rsidRDefault="000F36A1">
            <w:pPr>
              <w:pStyle w:val="afa"/>
              <w:rPr>
                <w:u w:val="single"/>
              </w:rPr>
            </w:pPr>
            <w:r>
              <w:rPr>
                <w:u w:val="single"/>
              </w:rPr>
              <w:t>0.96</w:t>
            </w:r>
          </w:p>
        </w:tc>
        <w:tc>
          <w:tcPr>
            <w:tcW w:w="500" w:type="pct"/>
            <w:vMerge w:val="restart"/>
            <w:vAlign w:val="center"/>
          </w:tcPr>
          <w:p w:rsidR="00EE56C0" w:rsidRDefault="000F36A1">
            <w:pPr>
              <w:pStyle w:val="afa"/>
              <w:rPr>
                <w:u w:val="single"/>
              </w:rPr>
            </w:pPr>
            <w:r>
              <w:rPr>
                <w:u w:val="single"/>
              </w:rPr>
              <w:t>350</w:t>
            </w:r>
          </w:p>
        </w:tc>
        <w:tc>
          <w:tcPr>
            <w:tcW w:w="413" w:type="pct"/>
            <w:vMerge w:val="restart"/>
            <w:vAlign w:val="center"/>
          </w:tcPr>
          <w:p w:rsidR="00EE56C0" w:rsidRDefault="000F36A1">
            <w:pPr>
              <w:pStyle w:val="afa"/>
              <w:rPr>
                <w:u w:val="single"/>
              </w:rPr>
            </w:pPr>
            <w:r>
              <w:rPr>
                <w:u w:val="single"/>
              </w:rPr>
              <w:t>250</w:t>
            </w:r>
          </w:p>
        </w:tc>
        <w:tc>
          <w:tcPr>
            <w:tcW w:w="501" w:type="pct"/>
            <w:vMerge w:val="restart"/>
            <w:tcBorders>
              <w:right w:val="single" w:sz="4" w:space="0" w:color="auto"/>
            </w:tcBorders>
            <w:vAlign w:val="center"/>
          </w:tcPr>
          <w:p w:rsidR="00EE56C0" w:rsidRDefault="000F36A1">
            <w:pPr>
              <w:pStyle w:val="afa"/>
              <w:rPr>
                <w:u w:val="single"/>
              </w:rPr>
            </w:pPr>
            <w:r>
              <w:rPr>
                <w:u w:val="single"/>
              </w:rPr>
              <w:t>25</w:t>
            </w:r>
          </w:p>
        </w:tc>
        <w:tc>
          <w:tcPr>
            <w:tcW w:w="415" w:type="pct"/>
            <w:vMerge w:val="restart"/>
            <w:tcBorders>
              <w:left w:val="single" w:sz="4" w:space="0" w:color="auto"/>
              <w:right w:val="single" w:sz="4" w:space="0" w:color="auto"/>
            </w:tcBorders>
            <w:vAlign w:val="center"/>
          </w:tcPr>
          <w:p w:rsidR="00EE56C0" w:rsidRDefault="000F36A1">
            <w:pPr>
              <w:pStyle w:val="afa"/>
              <w:rPr>
                <w:u w:val="single"/>
              </w:rPr>
            </w:pPr>
            <w:r>
              <w:rPr>
                <w:u w:val="single"/>
              </w:rPr>
              <w:t>4</w:t>
            </w:r>
          </w:p>
        </w:tc>
        <w:tc>
          <w:tcPr>
            <w:tcW w:w="555" w:type="pct"/>
            <w:vMerge w:val="restart"/>
            <w:tcBorders>
              <w:left w:val="single" w:sz="4" w:space="0" w:color="auto"/>
              <w:right w:val="single" w:sz="4" w:space="0" w:color="auto"/>
            </w:tcBorders>
            <w:vAlign w:val="center"/>
          </w:tcPr>
          <w:p w:rsidR="00EE56C0" w:rsidRDefault="000F36A1">
            <w:pPr>
              <w:pStyle w:val="afa"/>
              <w:rPr>
                <w:u w:val="single"/>
              </w:rPr>
            </w:pPr>
            <w:r>
              <w:rPr>
                <w:u w:val="single"/>
              </w:rPr>
              <w:t>30</w:t>
            </w:r>
          </w:p>
        </w:tc>
        <w:tc>
          <w:tcPr>
            <w:tcW w:w="474" w:type="pct"/>
            <w:vMerge w:val="restart"/>
            <w:tcBorders>
              <w:left w:val="single" w:sz="4" w:space="0" w:color="auto"/>
            </w:tcBorders>
            <w:vAlign w:val="center"/>
          </w:tcPr>
          <w:p w:rsidR="00EE56C0" w:rsidRDefault="000F36A1">
            <w:pPr>
              <w:pStyle w:val="afa"/>
              <w:rPr>
                <w:u w:val="single"/>
              </w:rPr>
            </w:pPr>
            <w:r>
              <w:rPr>
                <w:u w:val="single"/>
              </w:rPr>
              <w:t>150</w:t>
            </w:r>
          </w:p>
        </w:tc>
      </w:tr>
      <w:tr w:rsidR="00EE56C0">
        <w:trPr>
          <w:trHeight w:val="454"/>
          <w:jc w:val="center"/>
        </w:trPr>
        <w:tc>
          <w:tcPr>
            <w:tcW w:w="977" w:type="pct"/>
            <w:vMerge/>
            <w:tcBorders>
              <w:right w:val="single" w:sz="4" w:space="0" w:color="auto"/>
            </w:tcBorders>
            <w:vAlign w:val="center"/>
          </w:tcPr>
          <w:p w:rsidR="00EE56C0" w:rsidRDefault="00EE56C0">
            <w:pPr>
              <w:pStyle w:val="afa"/>
              <w:rPr>
                <w:u w:val="single"/>
              </w:rPr>
            </w:pPr>
          </w:p>
        </w:tc>
        <w:tc>
          <w:tcPr>
            <w:tcW w:w="584" w:type="pct"/>
            <w:tcBorders>
              <w:top w:val="single" w:sz="4" w:space="0" w:color="auto"/>
              <w:left w:val="single" w:sz="4" w:space="0" w:color="auto"/>
              <w:right w:val="single" w:sz="4" w:space="0" w:color="auto"/>
            </w:tcBorders>
            <w:vAlign w:val="center"/>
          </w:tcPr>
          <w:p w:rsidR="00EE56C0" w:rsidRDefault="000F36A1">
            <w:pPr>
              <w:pStyle w:val="afa"/>
              <w:rPr>
                <w:u w:val="single"/>
              </w:rPr>
            </w:pPr>
            <w:r>
              <w:rPr>
                <w:rFonts w:hint="eastAsia"/>
                <w:u w:val="single"/>
              </w:rPr>
              <w:t>二期</w:t>
            </w:r>
          </w:p>
        </w:tc>
        <w:tc>
          <w:tcPr>
            <w:tcW w:w="581" w:type="pct"/>
            <w:tcBorders>
              <w:top w:val="single" w:sz="4" w:space="0" w:color="auto"/>
              <w:left w:val="single" w:sz="4" w:space="0" w:color="auto"/>
            </w:tcBorders>
            <w:vAlign w:val="center"/>
          </w:tcPr>
          <w:p w:rsidR="00EE56C0" w:rsidRDefault="000F36A1">
            <w:pPr>
              <w:pStyle w:val="afa"/>
              <w:rPr>
                <w:u w:val="single"/>
              </w:rPr>
            </w:pPr>
            <w:r>
              <w:rPr>
                <w:u w:val="single"/>
              </w:rPr>
              <w:t>4.16</w:t>
            </w:r>
          </w:p>
        </w:tc>
        <w:tc>
          <w:tcPr>
            <w:tcW w:w="500" w:type="pct"/>
            <w:vMerge/>
            <w:vAlign w:val="center"/>
          </w:tcPr>
          <w:p w:rsidR="00EE56C0" w:rsidRDefault="00EE56C0">
            <w:pPr>
              <w:pStyle w:val="afa"/>
              <w:rPr>
                <w:u w:val="single"/>
              </w:rPr>
            </w:pPr>
          </w:p>
        </w:tc>
        <w:tc>
          <w:tcPr>
            <w:tcW w:w="413" w:type="pct"/>
            <w:vMerge/>
            <w:vAlign w:val="center"/>
          </w:tcPr>
          <w:p w:rsidR="00EE56C0" w:rsidRDefault="00EE56C0">
            <w:pPr>
              <w:pStyle w:val="afa"/>
              <w:rPr>
                <w:u w:val="single"/>
              </w:rPr>
            </w:pPr>
          </w:p>
        </w:tc>
        <w:tc>
          <w:tcPr>
            <w:tcW w:w="501" w:type="pct"/>
            <w:vMerge/>
            <w:tcBorders>
              <w:right w:val="single" w:sz="4" w:space="0" w:color="auto"/>
            </w:tcBorders>
            <w:vAlign w:val="center"/>
          </w:tcPr>
          <w:p w:rsidR="00EE56C0" w:rsidRDefault="00EE56C0">
            <w:pPr>
              <w:pStyle w:val="afa"/>
              <w:rPr>
                <w:u w:val="single"/>
              </w:rPr>
            </w:pPr>
          </w:p>
        </w:tc>
        <w:tc>
          <w:tcPr>
            <w:tcW w:w="415" w:type="pct"/>
            <w:vMerge/>
            <w:tcBorders>
              <w:left w:val="single" w:sz="4" w:space="0" w:color="auto"/>
              <w:right w:val="single" w:sz="4" w:space="0" w:color="auto"/>
            </w:tcBorders>
            <w:vAlign w:val="center"/>
          </w:tcPr>
          <w:p w:rsidR="00EE56C0" w:rsidRDefault="00EE56C0">
            <w:pPr>
              <w:pStyle w:val="afa"/>
              <w:rPr>
                <w:u w:val="single"/>
              </w:rPr>
            </w:pPr>
          </w:p>
        </w:tc>
        <w:tc>
          <w:tcPr>
            <w:tcW w:w="555" w:type="pct"/>
            <w:vMerge/>
            <w:tcBorders>
              <w:left w:val="single" w:sz="4" w:space="0" w:color="auto"/>
              <w:right w:val="single" w:sz="4" w:space="0" w:color="auto"/>
            </w:tcBorders>
            <w:vAlign w:val="center"/>
          </w:tcPr>
          <w:p w:rsidR="00EE56C0" w:rsidRDefault="00EE56C0">
            <w:pPr>
              <w:pStyle w:val="afa"/>
              <w:rPr>
                <w:u w:val="single"/>
              </w:rPr>
            </w:pPr>
          </w:p>
        </w:tc>
        <w:tc>
          <w:tcPr>
            <w:tcW w:w="474" w:type="pct"/>
            <w:vMerge/>
            <w:tcBorders>
              <w:left w:val="single" w:sz="4" w:space="0" w:color="auto"/>
            </w:tcBorders>
            <w:vAlign w:val="center"/>
          </w:tcPr>
          <w:p w:rsidR="00EE56C0" w:rsidRDefault="00EE56C0">
            <w:pPr>
              <w:pStyle w:val="afa"/>
              <w:rPr>
                <w:u w:val="single"/>
              </w:rPr>
            </w:pPr>
          </w:p>
        </w:tc>
      </w:tr>
      <w:tr w:rsidR="00EE56C0">
        <w:trPr>
          <w:trHeight w:val="454"/>
          <w:jc w:val="center"/>
        </w:trPr>
        <w:tc>
          <w:tcPr>
            <w:tcW w:w="977" w:type="pct"/>
            <w:vMerge w:val="restart"/>
            <w:tcBorders>
              <w:right w:val="single" w:sz="4" w:space="0" w:color="auto"/>
            </w:tcBorders>
            <w:vAlign w:val="center"/>
          </w:tcPr>
          <w:p w:rsidR="00EE56C0" w:rsidRDefault="000F36A1">
            <w:pPr>
              <w:pStyle w:val="afa"/>
              <w:rPr>
                <w:u w:val="single"/>
              </w:rPr>
            </w:pPr>
            <w:r>
              <w:rPr>
                <w:rFonts w:hint="eastAsia"/>
                <w:u w:val="single"/>
              </w:rPr>
              <w:t>现有</w:t>
            </w:r>
            <w:r>
              <w:rPr>
                <w:rFonts w:hint="eastAsia"/>
                <w:u w:val="single"/>
              </w:rPr>
              <w:t>+</w:t>
            </w:r>
            <w:r>
              <w:rPr>
                <w:rFonts w:hint="eastAsia"/>
                <w:u w:val="single"/>
              </w:rPr>
              <w:t>本次生活污水、地面清洗合计</w:t>
            </w:r>
          </w:p>
        </w:tc>
        <w:tc>
          <w:tcPr>
            <w:tcW w:w="584" w:type="pct"/>
            <w:tcBorders>
              <w:top w:val="single" w:sz="4" w:space="0" w:color="auto"/>
              <w:left w:val="single" w:sz="4" w:space="0" w:color="auto"/>
              <w:right w:val="single" w:sz="4" w:space="0" w:color="auto"/>
            </w:tcBorders>
            <w:vAlign w:val="center"/>
          </w:tcPr>
          <w:p w:rsidR="00EE56C0" w:rsidRDefault="000F36A1">
            <w:pPr>
              <w:pStyle w:val="afa"/>
              <w:rPr>
                <w:u w:val="single"/>
              </w:rPr>
            </w:pPr>
            <w:r>
              <w:rPr>
                <w:rFonts w:hint="eastAsia"/>
                <w:u w:val="single"/>
              </w:rPr>
              <w:t>一期</w:t>
            </w:r>
          </w:p>
        </w:tc>
        <w:tc>
          <w:tcPr>
            <w:tcW w:w="581" w:type="pct"/>
            <w:tcBorders>
              <w:top w:val="single" w:sz="4" w:space="0" w:color="auto"/>
              <w:left w:val="single" w:sz="4" w:space="0" w:color="auto"/>
            </w:tcBorders>
            <w:vAlign w:val="center"/>
          </w:tcPr>
          <w:p w:rsidR="00EE56C0" w:rsidRDefault="000F36A1">
            <w:pPr>
              <w:pStyle w:val="afa"/>
              <w:rPr>
                <w:rFonts w:eastAsia="宋体"/>
                <w:u w:val="single"/>
              </w:rPr>
            </w:pPr>
            <w:r>
              <w:rPr>
                <w:u w:val="single"/>
              </w:rPr>
              <w:t>11.978</w:t>
            </w:r>
          </w:p>
        </w:tc>
        <w:tc>
          <w:tcPr>
            <w:tcW w:w="500" w:type="pct"/>
            <w:tcBorders>
              <w:bottom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340</w:t>
            </w:r>
          </w:p>
        </w:tc>
        <w:tc>
          <w:tcPr>
            <w:tcW w:w="413" w:type="pct"/>
            <w:tcBorders>
              <w:bottom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247</w:t>
            </w:r>
          </w:p>
        </w:tc>
        <w:tc>
          <w:tcPr>
            <w:tcW w:w="501" w:type="pct"/>
            <w:tcBorders>
              <w:bottom w:val="single" w:sz="4" w:space="0" w:color="auto"/>
              <w:right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23</w:t>
            </w:r>
          </w:p>
        </w:tc>
        <w:tc>
          <w:tcPr>
            <w:tcW w:w="415" w:type="pct"/>
            <w:tcBorders>
              <w:left w:val="single" w:sz="4" w:space="0" w:color="auto"/>
              <w:bottom w:val="single" w:sz="4" w:space="0" w:color="auto"/>
              <w:right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4</w:t>
            </w:r>
          </w:p>
        </w:tc>
        <w:tc>
          <w:tcPr>
            <w:tcW w:w="555" w:type="pct"/>
            <w:tcBorders>
              <w:left w:val="single" w:sz="4" w:space="0" w:color="auto"/>
              <w:bottom w:val="single" w:sz="4" w:space="0" w:color="auto"/>
              <w:right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28</w:t>
            </w:r>
          </w:p>
        </w:tc>
        <w:tc>
          <w:tcPr>
            <w:tcW w:w="474" w:type="pct"/>
            <w:tcBorders>
              <w:left w:val="single" w:sz="4" w:space="0" w:color="auto"/>
              <w:bottom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140</w:t>
            </w:r>
          </w:p>
        </w:tc>
      </w:tr>
      <w:tr w:rsidR="00EE56C0">
        <w:trPr>
          <w:trHeight w:val="454"/>
          <w:jc w:val="center"/>
        </w:trPr>
        <w:tc>
          <w:tcPr>
            <w:tcW w:w="977" w:type="pct"/>
            <w:vMerge/>
            <w:tcBorders>
              <w:right w:val="single" w:sz="4" w:space="0" w:color="auto"/>
            </w:tcBorders>
            <w:vAlign w:val="center"/>
          </w:tcPr>
          <w:p w:rsidR="00EE56C0" w:rsidRDefault="00EE56C0">
            <w:pPr>
              <w:pStyle w:val="afa"/>
              <w:rPr>
                <w:u w:val="single"/>
              </w:rPr>
            </w:pPr>
          </w:p>
        </w:tc>
        <w:tc>
          <w:tcPr>
            <w:tcW w:w="584" w:type="pct"/>
            <w:tcBorders>
              <w:top w:val="single" w:sz="4" w:space="0" w:color="auto"/>
              <w:left w:val="single" w:sz="4" w:space="0" w:color="auto"/>
              <w:right w:val="single" w:sz="4" w:space="0" w:color="auto"/>
            </w:tcBorders>
            <w:vAlign w:val="center"/>
          </w:tcPr>
          <w:p w:rsidR="00EE56C0" w:rsidRDefault="000F36A1">
            <w:pPr>
              <w:pStyle w:val="afa"/>
              <w:rPr>
                <w:u w:val="single"/>
              </w:rPr>
            </w:pPr>
            <w:r>
              <w:rPr>
                <w:rFonts w:hint="eastAsia"/>
                <w:u w:val="single"/>
              </w:rPr>
              <w:t>二期</w:t>
            </w:r>
          </w:p>
        </w:tc>
        <w:tc>
          <w:tcPr>
            <w:tcW w:w="581" w:type="pct"/>
            <w:tcBorders>
              <w:top w:val="single" w:sz="4" w:space="0" w:color="auto"/>
              <w:left w:val="single" w:sz="4" w:space="0" w:color="auto"/>
            </w:tcBorders>
            <w:vAlign w:val="center"/>
          </w:tcPr>
          <w:p w:rsidR="00EE56C0" w:rsidRDefault="000F36A1">
            <w:pPr>
              <w:pStyle w:val="afa"/>
              <w:rPr>
                <w:rFonts w:eastAsia="宋体"/>
                <w:u w:val="single"/>
              </w:rPr>
            </w:pPr>
            <w:r>
              <w:rPr>
                <w:u w:val="single"/>
              </w:rPr>
              <w:t>16.138</w:t>
            </w:r>
          </w:p>
        </w:tc>
        <w:tc>
          <w:tcPr>
            <w:tcW w:w="500" w:type="pct"/>
            <w:tcBorders>
              <w:top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322</w:t>
            </w:r>
          </w:p>
        </w:tc>
        <w:tc>
          <w:tcPr>
            <w:tcW w:w="413" w:type="pct"/>
            <w:tcBorders>
              <w:top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233</w:t>
            </w:r>
          </w:p>
        </w:tc>
        <w:tc>
          <w:tcPr>
            <w:tcW w:w="501" w:type="pct"/>
            <w:tcBorders>
              <w:top w:val="single" w:sz="4" w:space="0" w:color="auto"/>
              <w:right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22</w:t>
            </w:r>
          </w:p>
        </w:tc>
        <w:tc>
          <w:tcPr>
            <w:tcW w:w="415" w:type="pct"/>
            <w:tcBorders>
              <w:top w:val="single" w:sz="4" w:space="0" w:color="auto"/>
              <w:left w:val="single" w:sz="4" w:space="0" w:color="auto"/>
              <w:right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4</w:t>
            </w:r>
          </w:p>
        </w:tc>
        <w:tc>
          <w:tcPr>
            <w:tcW w:w="555" w:type="pct"/>
            <w:tcBorders>
              <w:top w:val="single" w:sz="4" w:space="0" w:color="auto"/>
              <w:left w:val="single" w:sz="4" w:space="0" w:color="auto"/>
              <w:right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27</w:t>
            </w:r>
          </w:p>
        </w:tc>
        <w:tc>
          <w:tcPr>
            <w:tcW w:w="474" w:type="pct"/>
            <w:tcBorders>
              <w:top w:val="single" w:sz="4" w:space="0" w:color="auto"/>
              <w:left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134</w:t>
            </w:r>
          </w:p>
        </w:tc>
      </w:tr>
      <w:tr w:rsidR="00EE56C0">
        <w:trPr>
          <w:trHeight w:val="454"/>
          <w:jc w:val="center"/>
        </w:trPr>
        <w:tc>
          <w:tcPr>
            <w:tcW w:w="977" w:type="pct"/>
            <w:vMerge w:val="restart"/>
            <w:tcBorders>
              <w:right w:val="single" w:sz="4" w:space="0" w:color="auto"/>
            </w:tcBorders>
            <w:vAlign w:val="center"/>
          </w:tcPr>
          <w:p w:rsidR="00EE56C0" w:rsidRDefault="000F36A1">
            <w:pPr>
              <w:pStyle w:val="afa"/>
              <w:rPr>
                <w:u w:val="single"/>
              </w:rPr>
            </w:pPr>
            <w:r>
              <w:rPr>
                <w:rFonts w:hint="eastAsia"/>
                <w:u w:val="single"/>
              </w:rPr>
              <w:t>隔油池</w:t>
            </w:r>
            <w:r>
              <w:rPr>
                <w:rFonts w:hint="eastAsia"/>
                <w:u w:val="single"/>
              </w:rPr>
              <w:t>+</w:t>
            </w:r>
            <w:r>
              <w:rPr>
                <w:rFonts w:hint="eastAsia"/>
                <w:u w:val="single"/>
              </w:rPr>
              <w:t>化粪池处理后的生活污水（现有</w:t>
            </w:r>
            <w:r>
              <w:rPr>
                <w:rFonts w:hint="eastAsia"/>
                <w:u w:val="single"/>
              </w:rPr>
              <w:t>+</w:t>
            </w:r>
            <w:r>
              <w:rPr>
                <w:rFonts w:hint="eastAsia"/>
                <w:u w:val="single"/>
              </w:rPr>
              <w:t>本次合计）</w:t>
            </w:r>
          </w:p>
        </w:tc>
        <w:tc>
          <w:tcPr>
            <w:tcW w:w="584" w:type="pct"/>
            <w:tcBorders>
              <w:top w:val="single" w:sz="4" w:space="0" w:color="auto"/>
              <w:left w:val="single" w:sz="4" w:space="0" w:color="auto"/>
              <w:right w:val="single" w:sz="4" w:space="0" w:color="auto"/>
            </w:tcBorders>
            <w:vAlign w:val="center"/>
          </w:tcPr>
          <w:p w:rsidR="00EE56C0" w:rsidRDefault="000F36A1">
            <w:pPr>
              <w:pStyle w:val="afa"/>
              <w:rPr>
                <w:u w:val="single"/>
              </w:rPr>
            </w:pPr>
            <w:r>
              <w:rPr>
                <w:rFonts w:hint="eastAsia"/>
                <w:u w:val="single"/>
              </w:rPr>
              <w:t>一期</w:t>
            </w:r>
          </w:p>
        </w:tc>
        <w:tc>
          <w:tcPr>
            <w:tcW w:w="581" w:type="pct"/>
            <w:tcBorders>
              <w:top w:val="single" w:sz="4" w:space="0" w:color="auto"/>
              <w:left w:val="single" w:sz="4" w:space="0" w:color="auto"/>
            </w:tcBorders>
            <w:vAlign w:val="center"/>
          </w:tcPr>
          <w:p w:rsidR="00EE56C0" w:rsidRDefault="000F36A1">
            <w:pPr>
              <w:pStyle w:val="afa"/>
              <w:rPr>
                <w:rFonts w:eastAsia="宋体"/>
                <w:u w:val="single"/>
              </w:rPr>
            </w:pPr>
            <w:r>
              <w:rPr>
                <w:u w:val="single"/>
              </w:rPr>
              <w:t>11.978</w:t>
            </w:r>
          </w:p>
        </w:tc>
        <w:tc>
          <w:tcPr>
            <w:tcW w:w="500" w:type="pct"/>
            <w:tcBorders>
              <w:bottom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238</w:t>
            </w:r>
          </w:p>
        </w:tc>
        <w:tc>
          <w:tcPr>
            <w:tcW w:w="413" w:type="pct"/>
            <w:tcBorders>
              <w:bottom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173</w:t>
            </w:r>
          </w:p>
        </w:tc>
        <w:tc>
          <w:tcPr>
            <w:tcW w:w="501" w:type="pct"/>
            <w:tcBorders>
              <w:bottom w:val="single" w:sz="4" w:space="0" w:color="auto"/>
              <w:right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23</w:t>
            </w:r>
          </w:p>
        </w:tc>
        <w:tc>
          <w:tcPr>
            <w:tcW w:w="415" w:type="pct"/>
            <w:tcBorders>
              <w:left w:val="single" w:sz="4" w:space="0" w:color="auto"/>
              <w:bottom w:val="single" w:sz="4" w:space="0" w:color="auto"/>
              <w:right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4</w:t>
            </w:r>
          </w:p>
        </w:tc>
        <w:tc>
          <w:tcPr>
            <w:tcW w:w="555" w:type="pct"/>
            <w:tcBorders>
              <w:left w:val="single" w:sz="4" w:space="0" w:color="auto"/>
              <w:bottom w:val="single" w:sz="4" w:space="0" w:color="auto"/>
              <w:right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28</w:t>
            </w:r>
          </w:p>
        </w:tc>
        <w:tc>
          <w:tcPr>
            <w:tcW w:w="474" w:type="pct"/>
            <w:tcBorders>
              <w:left w:val="single" w:sz="4" w:space="0" w:color="auto"/>
              <w:bottom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28</w:t>
            </w:r>
          </w:p>
        </w:tc>
      </w:tr>
      <w:tr w:rsidR="00EE56C0">
        <w:trPr>
          <w:trHeight w:val="454"/>
          <w:jc w:val="center"/>
        </w:trPr>
        <w:tc>
          <w:tcPr>
            <w:tcW w:w="977" w:type="pct"/>
            <w:vMerge/>
            <w:tcBorders>
              <w:right w:val="single" w:sz="4" w:space="0" w:color="auto"/>
            </w:tcBorders>
            <w:vAlign w:val="center"/>
          </w:tcPr>
          <w:p w:rsidR="00EE56C0" w:rsidRDefault="00EE56C0">
            <w:pPr>
              <w:pStyle w:val="afa"/>
              <w:rPr>
                <w:u w:val="single"/>
              </w:rPr>
            </w:pPr>
          </w:p>
        </w:tc>
        <w:tc>
          <w:tcPr>
            <w:tcW w:w="584" w:type="pct"/>
            <w:tcBorders>
              <w:top w:val="single" w:sz="4" w:space="0" w:color="auto"/>
              <w:left w:val="single" w:sz="4" w:space="0" w:color="auto"/>
              <w:right w:val="single" w:sz="4" w:space="0" w:color="auto"/>
            </w:tcBorders>
            <w:vAlign w:val="center"/>
          </w:tcPr>
          <w:p w:rsidR="00EE56C0" w:rsidRDefault="000F36A1">
            <w:pPr>
              <w:pStyle w:val="afa"/>
              <w:rPr>
                <w:u w:val="single"/>
              </w:rPr>
            </w:pPr>
            <w:r>
              <w:rPr>
                <w:rFonts w:hint="eastAsia"/>
                <w:u w:val="single"/>
              </w:rPr>
              <w:t>二期</w:t>
            </w:r>
          </w:p>
        </w:tc>
        <w:tc>
          <w:tcPr>
            <w:tcW w:w="581" w:type="pct"/>
            <w:tcBorders>
              <w:top w:val="single" w:sz="4" w:space="0" w:color="auto"/>
              <w:left w:val="single" w:sz="4" w:space="0" w:color="auto"/>
            </w:tcBorders>
            <w:vAlign w:val="center"/>
          </w:tcPr>
          <w:p w:rsidR="00EE56C0" w:rsidRDefault="000F36A1">
            <w:pPr>
              <w:pStyle w:val="afa"/>
              <w:rPr>
                <w:rFonts w:eastAsia="宋体"/>
                <w:u w:val="single"/>
              </w:rPr>
            </w:pPr>
            <w:r>
              <w:rPr>
                <w:u w:val="single"/>
              </w:rPr>
              <w:t>16.138</w:t>
            </w:r>
          </w:p>
        </w:tc>
        <w:tc>
          <w:tcPr>
            <w:tcW w:w="500" w:type="pct"/>
            <w:tcBorders>
              <w:top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225</w:t>
            </w:r>
          </w:p>
        </w:tc>
        <w:tc>
          <w:tcPr>
            <w:tcW w:w="413" w:type="pct"/>
            <w:tcBorders>
              <w:top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158</w:t>
            </w:r>
          </w:p>
        </w:tc>
        <w:tc>
          <w:tcPr>
            <w:tcW w:w="501" w:type="pct"/>
            <w:tcBorders>
              <w:top w:val="single" w:sz="4" w:space="0" w:color="auto"/>
              <w:right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22</w:t>
            </w:r>
          </w:p>
        </w:tc>
        <w:tc>
          <w:tcPr>
            <w:tcW w:w="415" w:type="pct"/>
            <w:tcBorders>
              <w:top w:val="single" w:sz="4" w:space="0" w:color="auto"/>
              <w:left w:val="single" w:sz="4" w:space="0" w:color="auto"/>
              <w:right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4</w:t>
            </w:r>
          </w:p>
        </w:tc>
        <w:tc>
          <w:tcPr>
            <w:tcW w:w="555" w:type="pct"/>
            <w:tcBorders>
              <w:top w:val="single" w:sz="4" w:space="0" w:color="auto"/>
              <w:left w:val="single" w:sz="4" w:space="0" w:color="auto"/>
              <w:right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27</w:t>
            </w:r>
          </w:p>
        </w:tc>
        <w:tc>
          <w:tcPr>
            <w:tcW w:w="474" w:type="pct"/>
            <w:tcBorders>
              <w:top w:val="single" w:sz="4" w:space="0" w:color="auto"/>
              <w:left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27</w:t>
            </w:r>
          </w:p>
        </w:tc>
      </w:tr>
    </w:tbl>
    <w:p w:rsidR="00EE56C0" w:rsidRDefault="000F36A1">
      <w:pPr>
        <w:pStyle w:val="afd"/>
        <w:spacing w:before="120" w:after="120"/>
        <w:ind w:firstLine="482"/>
        <w:rPr>
          <w:u w:val="single"/>
        </w:rPr>
      </w:pPr>
      <w:r>
        <w:rPr>
          <w:rFonts w:hint="eastAsia"/>
          <w:u w:val="single"/>
        </w:rPr>
        <w:t>表</w:t>
      </w:r>
      <w:r>
        <w:rPr>
          <w:rFonts w:hint="eastAsia"/>
          <w:u w:val="single"/>
        </w:rPr>
        <w:t>3-</w:t>
      </w:r>
      <w:r w:rsidR="00212B58">
        <w:rPr>
          <w:rFonts w:hint="eastAsia"/>
          <w:u w:val="single"/>
        </w:rPr>
        <w:t>49</w:t>
      </w:r>
      <w:r>
        <w:rPr>
          <w:rFonts w:hint="eastAsia"/>
          <w:u w:val="single"/>
        </w:rPr>
        <w:t xml:space="preserve">          </w:t>
      </w:r>
      <w:r>
        <w:rPr>
          <w:rFonts w:hint="eastAsia"/>
          <w:u w:val="single"/>
        </w:rPr>
        <w:t>厂区反渗透浓水水质一览表</w:t>
      </w:r>
      <w:r>
        <w:rPr>
          <w:rFonts w:hint="eastAsia"/>
          <w:u w:val="single"/>
        </w:rPr>
        <w:t xml:space="preserve">       </w:t>
      </w:r>
      <w:r>
        <w:rPr>
          <w:rFonts w:hint="eastAsia"/>
          <w:u w:val="single"/>
        </w:rPr>
        <w:t>单位：</w:t>
      </w:r>
      <w:r>
        <w:rPr>
          <w:rFonts w:hint="eastAsia"/>
          <w:u w:val="single"/>
        </w:rPr>
        <w:t>mg/L</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tblPr>
      <w:tblGrid>
        <w:gridCol w:w="1666"/>
        <w:gridCol w:w="996"/>
        <w:gridCol w:w="991"/>
        <w:gridCol w:w="853"/>
        <w:gridCol w:w="849"/>
        <w:gridCol w:w="710"/>
        <w:gridCol w:w="708"/>
        <w:gridCol w:w="947"/>
        <w:gridCol w:w="808"/>
      </w:tblGrid>
      <w:tr w:rsidR="00EE56C0">
        <w:trPr>
          <w:trHeight w:val="454"/>
          <w:tblHeader/>
          <w:jc w:val="center"/>
        </w:trPr>
        <w:tc>
          <w:tcPr>
            <w:tcW w:w="1561" w:type="pct"/>
            <w:gridSpan w:val="2"/>
            <w:vMerge w:val="restart"/>
            <w:tcBorders>
              <w:right w:val="single" w:sz="4" w:space="0" w:color="auto"/>
            </w:tcBorders>
            <w:vAlign w:val="center"/>
          </w:tcPr>
          <w:p w:rsidR="00EE56C0" w:rsidRDefault="000F36A1">
            <w:pPr>
              <w:pStyle w:val="aff1"/>
              <w:rPr>
                <w:color w:val="auto"/>
                <w:u w:val="single"/>
              </w:rPr>
            </w:pPr>
            <w:r>
              <w:rPr>
                <w:color w:val="auto"/>
                <w:u w:val="single"/>
              </w:rPr>
              <w:t>污染源</w:t>
            </w:r>
          </w:p>
        </w:tc>
        <w:tc>
          <w:tcPr>
            <w:tcW w:w="581" w:type="pct"/>
            <w:vMerge w:val="restart"/>
            <w:tcBorders>
              <w:left w:val="single" w:sz="4" w:space="0" w:color="auto"/>
            </w:tcBorders>
            <w:vAlign w:val="center"/>
          </w:tcPr>
          <w:p w:rsidR="00EE56C0" w:rsidRDefault="000F36A1">
            <w:pPr>
              <w:pStyle w:val="aff1"/>
              <w:rPr>
                <w:color w:val="auto"/>
                <w:u w:val="single"/>
              </w:rPr>
            </w:pPr>
            <w:r>
              <w:rPr>
                <w:rFonts w:hint="eastAsia"/>
                <w:color w:val="auto"/>
                <w:u w:val="single"/>
              </w:rPr>
              <w:t>废水量（</w:t>
            </w:r>
            <w:r>
              <w:rPr>
                <w:rFonts w:hint="eastAsia"/>
                <w:color w:val="auto"/>
                <w:u w:val="single"/>
              </w:rPr>
              <w:t>m</w:t>
            </w:r>
            <w:r>
              <w:rPr>
                <w:rFonts w:hint="eastAsia"/>
                <w:color w:val="auto"/>
                <w:u w:val="single"/>
                <w:vertAlign w:val="superscript"/>
              </w:rPr>
              <w:t>3</w:t>
            </w:r>
            <w:r>
              <w:rPr>
                <w:rFonts w:hint="eastAsia"/>
                <w:color w:val="auto"/>
                <w:u w:val="single"/>
              </w:rPr>
              <w:t>/d</w:t>
            </w:r>
            <w:r>
              <w:rPr>
                <w:rFonts w:hint="eastAsia"/>
                <w:color w:val="auto"/>
                <w:u w:val="single"/>
              </w:rPr>
              <w:t>）</w:t>
            </w:r>
          </w:p>
        </w:tc>
        <w:tc>
          <w:tcPr>
            <w:tcW w:w="2858" w:type="pct"/>
            <w:gridSpan w:val="6"/>
            <w:tcBorders>
              <w:left w:val="single" w:sz="4" w:space="0" w:color="auto"/>
              <w:right w:val="single" w:sz="4" w:space="0" w:color="auto"/>
            </w:tcBorders>
            <w:vAlign w:val="center"/>
          </w:tcPr>
          <w:p w:rsidR="00EE56C0" w:rsidRDefault="000F36A1">
            <w:pPr>
              <w:pStyle w:val="aff1"/>
              <w:rPr>
                <w:color w:val="auto"/>
                <w:u w:val="single"/>
              </w:rPr>
            </w:pPr>
            <w:r>
              <w:rPr>
                <w:color w:val="auto"/>
                <w:u w:val="single"/>
              </w:rPr>
              <w:t>产生浓度（</w:t>
            </w:r>
            <w:r>
              <w:rPr>
                <w:color w:val="auto"/>
                <w:u w:val="single"/>
              </w:rPr>
              <w:t>mg/L</w:t>
            </w:r>
            <w:r>
              <w:rPr>
                <w:color w:val="auto"/>
                <w:u w:val="single"/>
              </w:rPr>
              <w:t>）</w:t>
            </w:r>
          </w:p>
        </w:tc>
      </w:tr>
      <w:tr w:rsidR="00EE56C0">
        <w:trPr>
          <w:trHeight w:val="454"/>
          <w:tblHeader/>
          <w:jc w:val="center"/>
        </w:trPr>
        <w:tc>
          <w:tcPr>
            <w:tcW w:w="1561" w:type="pct"/>
            <w:gridSpan w:val="2"/>
            <w:vMerge/>
            <w:tcBorders>
              <w:right w:val="single" w:sz="4" w:space="0" w:color="auto"/>
            </w:tcBorders>
            <w:vAlign w:val="center"/>
          </w:tcPr>
          <w:p w:rsidR="00EE56C0" w:rsidRDefault="00EE56C0">
            <w:pPr>
              <w:pStyle w:val="aff1"/>
              <w:rPr>
                <w:color w:val="auto"/>
                <w:u w:val="single"/>
              </w:rPr>
            </w:pPr>
          </w:p>
        </w:tc>
        <w:tc>
          <w:tcPr>
            <w:tcW w:w="581" w:type="pct"/>
            <w:vMerge/>
            <w:tcBorders>
              <w:left w:val="single" w:sz="4" w:space="0" w:color="auto"/>
            </w:tcBorders>
            <w:vAlign w:val="center"/>
          </w:tcPr>
          <w:p w:rsidR="00EE56C0" w:rsidRDefault="00EE56C0">
            <w:pPr>
              <w:pStyle w:val="aff1"/>
              <w:rPr>
                <w:color w:val="auto"/>
                <w:u w:val="single"/>
              </w:rPr>
            </w:pPr>
          </w:p>
        </w:tc>
        <w:tc>
          <w:tcPr>
            <w:tcW w:w="500" w:type="pct"/>
            <w:vAlign w:val="center"/>
          </w:tcPr>
          <w:p w:rsidR="00EE56C0" w:rsidRDefault="000F36A1">
            <w:pPr>
              <w:pStyle w:val="aff1"/>
              <w:rPr>
                <w:color w:val="auto"/>
                <w:u w:val="single"/>
              </w:rPr>
            </w:pPr>
            <w:r>
              <w:rPr>
                <w:color w:val="auto"/>
                <w:u w:val="single"/>
              </w:rPr>
              <w:t>COD</w:t>
            </w:r>
          </w:p>
        </w:tc>
        <w:tc>
          <w:tcPr>
            <w:tcW w:w="498" w:type="pct"/>
            <w:vAlign w:val="center"/>
          </w:tcPr>
          <w:p w:rsidR="00EE56C0" w:rsidRDefault="000F36A1">
            <w:pPr>
              <w:pStyle w:val="aff1"/>
              <w:rPr>
                <w:color w:val="auto"/>
                <w:u w:val="single"/>
              </w:rPr>
            </w:pPr>
            <w:r>
              <w:rPr>
                <w:color w:val="auto"/>
                <w:u w:val="single"/>
              </w:rPr>
              <w:t>SS</w:t>
            </w:r>
          </w:p>
        </w:tc>
        <w:tc>
          <w:tcPr>
            <w:tcW w:w="416" w:type="pct"/>
            <w:tcBorders>
              <w:right w:val="single" w:sz="4" w:space="0" w:color="auto"/>
            </w:tcBorders>
            <w:vAlign w:val="center"/>
          </w:tcPr>
          <w:p w:rsidR="00EE56C0" w:rsidRDefault="000F36A1">
            <w:pPr>
              <w:pStyle w:val="aff1"/>
              <w:rPr>
                <w:color w:val="auto"/>
                <w:u w:val="single"/>
              </w:rPr>
            </w:pPr>
            <w:r>
              <w:rPr>
                <w:rFonts w:hint="eastAsia"/>
                <w:color w:val="auto"/>
                <w:u w:val="single"/>
              </w:rPr>
              <w:t>NH</w:t>
            </w:r>
            <w:r>
              <w:rPr>
                <w:rFonts w:hint="eastAsia"/>
                <w:color w:val="auto"/>
                <w:u w:val="single"/>
                <w:vertAlign w:val="subscript"/>
              </w:rPr>
              <w:t>3</w:t>
            </w:r>
            <w:r>
              <w:rPr>
                <w:rFonts w:hint="eastAsia"/>
                <w:color w:val="auto"/>
                <w:u w:val="single"/>
              </w:rPr>
              <w:t>-N</w:t>
            </w:r>
          </w:p>
        </w:tc>
        <w:tc>
          <w:tcPr>
            <w:tcW w:w="415" w:type="pct"/>
            <w:tcBorders>
              <w:left w:val="single" w:sz="4" w:space="0" w:color="auto"/>
              <w:right w:val="single" w:sz="4" w:space="0" w:color="auto"/>
            </w:tcBorders>
            <w:vAlign w:val="center"/>
          </w:tcPr>
          <w:p w:rsidR="00EE56C0" w:rsidRDefault="000F36A1">
            <w:pPr>
              <w:pStyle w:val="aff1"/>
              <w:rPr>
                <w:color w:val="auto"/>
                <w:u w:val="single"/>
              </w:rPr>
            </w:pPr>
            <w:r>
              <w:rPr>
                <w:rFonts w:hint="eastAsia"/>
                <w:color w:val="auto"/>
                <w:u w:val="single"/>
              </w:rPr>
              <w:t>TP</w:t>
            </w:r>
          </w:p>
        </w:tc>
        <w:tc>
          <w:tcPr>
            <w:tcW w:w="555" w:type="pct"/>
            <w:tcBorders>
              <w:left w:val="single" w:sz="4" w:space="0" w:color="auto"/>
              <w:right w:val="single" w:sz="4" w:space="0" w:color="auto"/>
            </w:tcBorders>
            <w:vAlign w:val="center"/>
          </w:tcPr>
          <w:p w:rsidR="00EE56C0" w:rsidRDefault="000F36A1">
            <w:pPr>
              <w:pStyle w:val="aff1"/>
              <w:rPr>
                <w:color w:val="auto"/>
                <w:u w:val="single"/>
              </w:rPr>
            </w:pPr>
            <w:r>
              <w:rPr>
                <w:rFonts w:hint="eastAsia"/>
                <w:color w:val="auto"/>
                <w:u w:val="single"/>
              </w:rPr>
              <w:t>TN</w:t>
            </w:r>
          </w:p>
        </w:tc>
        <w:tc>
          <w:tcPr>
            <w:tcW w:w="474" w:type="pct"/>
            <w:tcBorders>
              <w:left w:val="single" w:sz="4" w:space="0" w:color="auto"/>
            </w:tcBorders>
            <w:vAlign w:val="center"/>
          </w:tcPr>
          <w:p w:rsidR="00EE56C0" w:rsidRDefault="000F36A1">
            <w:pPr>
              <w:pStyle w:val="aff1"/>
              <w:rPr>
                <w:color w:val="auto"/>
                <w:u w:val="single"/>
              </w:rPr>
            </w:pPr>
            <w:r>
              <w:rPr>
                <w:rFonts w:hint="eastAsia"/>
                <w:color w:val="auto"/>
                <w:u w:val="single"/>
              </w:rPr>
              <w:t>动植物油</w:t>
            </w:r>
          </w:p>
        </w:tc>
      </w:tr>
      <w:tr w:rsidR="00EE56C0">
        <w:trPr>
          <w:trHeight w:val="454"/>
          <w:jc w:val="center"/>
        </w:trPr>
        <w:tc>
          <w:tcPr>
            <w:tcW w:w="1561" w:type="pct"/>
            <w:gridSpan w:val="2"/>
            <w:tcBorders>
              <w:right w:val="single" w:sz="4" w:space="0" w:color="auto"/>
            </w:tcBorders>
            <w:vAlign w:val="center"/>
          </w:tcPr>
          <w:p w:rsidR="00EE56C0" w:rsidRDefault="000F36A1">
            <w:pPr>
              <w:pStyle w:val="afa"/>
              <w:rPr>
                <w:u w:val="single"/>
              </w:rPr>
            </w:pPr>
            <w:r>
              <w:rPr>
                <w:rFonts w:hint="eastAsia"/>
                <w:u w:val="single"/>
              </w:rPr>
              <w:t>现有反渗透浓水</w:t>
            </w:r>
          </w:p>
        </w:tc>
        <w:tc>
          <w:tcPr>
            <w:tcW w:w="581" w:type="pct"/>
            <w:tcBorders>
              <w:left w:val="single" w:sz="4" w:space="0" w:color="auto"/>
              <w:bottom w:val="single" w:sz="4" w:space="0" w:color="auto"/>
            </w:tcBorders>
            <w:vAlign w:val="center"/>
          </w:tcPr>
          <w:p w:rsidR="00EE56C0" w:rsidRDefault="000F36A1">
            <w:pPr>
              <w:pStyle w:val="afa"/>
              <w:rPr>
                <w:rFonts w:eastAsia="宋体"/>
                <w:u w:val="single"/>
              </w:rPr>
            </w:pPr>
            <w:r>
              <w:rPr>
                <w:u w:val="single"/>
              </w:rPr>
              <w:t>2.91</w:t>
            </w:r>
          </w:p>
        </w:tc>
        <w:tc>
          <w:tcPr>
            <w:tcW w:w="500" w:type="pct"/>
            <w:vAlign w:val="center"/>
          </w:tcPr>
          <w:p w:rsidR="00EE56C0" w:rsidRDefault="000F36A1">
            <w:pPr>
              <w:pStyle w:val="afa"/>
              <w:rPr>
                <w:rFonts w:eastAsia="宋体"/>
                <w:color w:val="000000"/>
                <w:u w:val="single"/>
              </w:rPr>
            </w:pPr>
            <w:r>
              <w:rPr>
                <w:color w:val="000000"/>
                <w:u w:val="single"/>
              </w:rPr>
              <w:t>16</w:t>
            </w:r>
          </w:p>
        </w:tc>
        <w:tc>
          <w:tcPr>
            <w:tcW w:w="498" w:type="pct"/>
            <w:vAlign w:val="center"/>
          </w:tcPr>
          <w:p w:rsidR="00EE56C0" w:rsidRDefault="000F36A1">
            <w:pPr>
              <w:pStyle w:val="afa"/>
              <w:rPr>
                <w:rFonts w:eastAsia="宋体"/>
                <w:color w:val="000000"/>
                <w:u w:val="single"/>
              </w:rPr>
            </w:pPr>
            <w:r>
              <w:rPr>
                <w:color w:val="000000"/>
                <w:u w:val="single"/>
              </w:rPr>
              <w:t>19</w:t>
            </w:r>
          </w:p>
        </w:tc>
        <w:tc>
          <w:tcPr>
            <w:tcW w:w="416" w:type="pct"/>
            <w:tcBorders>
              <w:right w:val="single" w:sz="4" w:space="0" w:color="auto"/>
            </w:tcBorders>
            <w:vAlign w:val="center"/>
          </w:tcPr>
          <w:p w:rsidR="00EE56C0" w:rsidRDefault="000F36A1">
            <w:pPr>
              <w:pStyle w:val="afa"/>
              <w:rPr>
                <w:rFonts w:eastAsia="宋体"/>
                <w:color w:val="000000"/>
                <w:u w:val="single"/>
              </w:rPr>
            </w:pPr>
            <w:r>
              <w:rPr>
                <w:color w:val="000000"/>
                <w:u w:val="single"/>
              </w:rPr>
              <w:t>0.251</w:t>
            </w:r>
          </w:p>
        </w:tc>
        <w:tc>
          <w:tcPr>
            <w:tcW w:w="415" w:type="pct"/>
            <w:tcBorders>
              <w:left w:val="single" w:sz="4" w:space="0" w:color="auto"/>
              <w:right w:val="single" w:sz="4" w:space="0" w:color="auto"/>
            </w:tcBorders>
            <w:vAlign w:val="center"/>
          </w:tcPr>
          <w:p w:rsidR="00EE56C0" w:rsidRDefault="000F36A1">
            <w:pPr>
              <w:pStyle w:val="afa"/>
              <w:rPr>
                <w:rFonts w:eastAsia="宋体"/>
                <w:color w:val="000000"/>
                <w:u w:val="single"/>
              </w:rPr>
            </w:pPr>
            <w:r>
              <w:rPr>
                <w:color w:val="000000"/>
                <w:u w:val="single"/>
              </w:rPr>
              <w:t>0.37</w:t>
            </w:r>
          </w:p>
        </w:tc>
        <w:tc>
          <w:tcPr>
            <w:tcW w:w="555" w:type="pct"/>
            <w:tcBorders>
              <w:left w:val="single" w:sz="4" w:space="0" w:color="auto"/>
              <w:right w:val="single" w:sz="4" w:space="0" w:color="auto"/>
            </w:tcBorders>
            <w:vAlign w:val="center"/>
          </w:tcPr>
          <w:p w:rsidR="00EE56C0" w:rsidRDefault="000F36A1">
            <w:pPr>
              <w:pStyle w:val="afa"/>
              <w:rPr>
                <w:rFonts w:eastAsia="宋体"/>
                <w:color w:val="000000"/>
                <w:u w:val="single"/>
              </w:rPr>
            </w:pPr>
            <w:r>
              <w:rPr>
                <w:color w:val="000000"/>
                <w:u w:val="single"/>
              </w:rPr>
              <w:t>0.93</w:t>
            </w:r>
          </w:p>
        </w:tc>
        <w:tc>
          <w:tcPr>
            <w:tcW w:w="474" w:type="pct"/>
            <w:tcBorders>
              <w:left w:val="single" w:sz="4" w:space="0" w:color="auto"/>
            </w:tcBorders>
            <w:vAlign w:val="center"/>
          </w:tcPr>
          <w:p w:rsidR="00EE56C0" w:rsidRDefault="000F36A1">
            <w:pPr>
              <w:pStyle w:val="afa"/>
              <w:rPr>
                <w:rFonts w:eastAsia="宋体"/>
                <w:color w:val="000000"/>
                <w:u w:val="single"/>
              </w:rPr>
            </w:pPr>
            <w:r>
              <w:rPr>
                <w:color w:val="000000"/>
                <w:u w:val="single"/>
              </w:rPr>
              <w:t>0</w:t>
            </w:r>
          </w:p>
        </w:tc>
      </w:tr>
      <w:tr w:rsidR="00EE56C0">
        <w:trPr>
          <w:trHeight w:val="454"/>
          <w:jc w:val="center"/>
        </w:trPr>
        <w:tc>
          <w:tcPr>
            <w:tcW w:w="977" w:type="pct"/>
            <w:vMerge w:val="restart"/>
            <w:tcBorders>
              <w:right w:val="single" w:sz="4" w:space="0" w:color="auto"/>
            </w:tcBorders>
            <w:vAlign w:val="center"/>
          </w:tcPr>
          <w:p w:rsidR="00EE56C0" w:rsidRDefault="000F36A1">
            <w:pPr>
              <w:pStyle w:val="afa"/>
              <w:rPr>
                <w:u w:val="single"/>
              </w:rPr>
            </w:pPr>
            <w:r>
              <w:rPr>
                <w:rFonts w:hint="eastAsia"/>
                <w:u w:val="single"/>
              </w:rPr>
              <w:t>本次反渗透浓水</w:t>
            </w:r>
          </w:p>
        </w:tc>
        <w:tc>
          <w:tcPr>
            <w:tcW w:w="584" w:type="pct"/>
            <w:tcBorders>
              <w:left w:val="single" w:sz="4" w:space="0" w:color="auto"/>
              <w:bottom w:val="single" w:sz="4" w:space="0" w:color="auto"/>
              <w:right w:val="single" w:sz="4" w:space="0" w:color="auto"/>
            </w:tcBorders>
            <w:vAlign w:val="center"/>
          </w:tcPr>
          <w:p w:rsidR="00EE56C0" w:rsidRDefault="000F36A1">
            <w:pPr>
              <w:pStyle w:val="afa"/>
              <w:rPr>
                <w:u w:val="single"/>
              </w:rPr>
            </w:pPr>
            <w:r>
              <w:rPr>
                <w:rFonts w:hint="eastAsia"/>
                <w:u w:val="single"/>
              </w:rPr>
              <w:t>一期</w:t>
            </w:r>
          </w:p>
        </w:tc>
        <w:tc>
          <w:tcPr>
            <w:tcW w:w="581" w:type="pct"/>
            <w:tcBorders>
              <w:left w:val="single" w:sz="4" w:space="0" w:color="auto"/>
              <w:bottom w:val="single" w:sz="4" w:space="0" w:color="auto"/>
            </w:tcBorders>
            <w:vAlign w:val="center"/>
          </w:tcPr>
          <w:p w:rsidR="00EE56C0" w:rsidRDefault="000F36A1">
            <w:pPr>
              <w:pStyle w:val="afa"/>
              <w:rPr>
                <w:rFonts w:eastAsia="宋体"/>
                <w:u w:val="single"/>
              </w:rPr>
            </w:pPr>
            <w:r>
              <w:rPr>
                <w:u w:val="single"/>
              </w:rPr>
              <w:t>0.52</w:t>
            </w:r>
          </w:p>
        </w:tc>
        <w:tc>
          <w:tcPr>
            <w:tcW w:w="500" w:type="pct"/>
            <w:vMerge w:val="restart"/>
            <w:vAlign w:val="center"/>
          </w:tcPr>
          <w:p w:rsidR="00EE56C0" w:rsidRDefault="000F36A1">
            <w:pPr>
              <w:pStyle w:val="afa"/>
              <w:rPr>
                <w:rFonts w:eastAsia="宋体"/>
                <w:u w:val="single"/>
              </w:rPr>
            </w:pPr>
            <w:r>
              <w:rPr>
                <w:u w:val="single"/>
              </w:rPr>
              <w:t>16</w:t>
            </w:r>
          </w:p>
        </w:tc>
        <w:tc>
          <w:tcPr>
            <w:tcW w:w="498" w:type="pct"/>
            <w:vMerge w:val="restart"/>
            <w:vAlign w:val="center"/>
          </w:tcPr>
          <w:p w:rsidR="00EE56C0" w:rsidRDefault="000F36A1">
            <w:pPr>
              <w:pStyle w:val="afa"/>
              <w:rPr>
                <w:rFonts w:eastAsia="宋体"/>
                <w:u w:val="single"/>
              </w:rPr>
            </w:pPr>
            <w:r>
              <w:rPr>
                <w:u w:val="single"/>
              </w:rPr>
              <w:t>19</w:t>
            </w:r>
          </w:p>
        </w:tc>
        <w:tc>
          <w:tcPr>
            <w:tcW w:w="416" w:type="pct"/>
            <w:vMerge w:val="restart"/>
            <w:tcBorders>
              <w:right w:val="single" w:sz="4" w:space="0" w:color="auto"/>
            </w:tcBorders>
            <w:vAlign w:val="center"/>
          </w:tcPr>
          <w:p w:rsidR="00EE56C0" w:rsidRDefault="000F36A1">
            <w:pPr>
              <w:pStyle w:val="afa"/>
              <w:rPr>
                <w:rFonts w:eastAsia="宋体"/>
                <w:u w:val="single"/>
              </w:rPr>
            </w:pPr>
            <w:r>
              <w:rPr>
                <w:u w:val="single"/>
              </w:rPr>
              <w:t>0.251</w:t>
            </w:r>
          </w:p>
        </w:tc>
        <w:tc>
          <w:tcPr>
            <w:tcW w:w="415" w:type="pct"/>
            <w:vMerge w:val="restart"/>
            <w:tcBorders>
              <w:left w:val="single" w:sz="4" w:space="0" w:color="auto"/>
              <w:right w:val="single" w:sz="4" w:space="0" w:color="auto"/>
            </w:tcBorders>
            <w:vAlign w:val="center"/>
          </w:tcPr>
          <w:p w:rsidR="00EE56C0" w:rsidRDefault="000F36A1">
            <w:pPr>
              <w:pStyle w:val="afa"/>
              <w:rPr>
                <w:rFonts w:eastAsia="宋体"/>
                <w:u w:val="single"/>
              </w:rPr>
            </w:pPr>
            <w:r>
              <w:rPr>
                <w:u w:val="single"/>
              </w:rPr>
              <w:t>0.37</w:t>
            </w:r>
          </w:p>
        </w:tc>
        <w:tc>
          <w:tcPr>
            <w:tcW w:w="555" w:type="pct"/>
            <w:vMerge w:val="restart"/>
            <w:tcBorders>
              <w:left w:val="single" w:sz="4" w:space="0" w:color="auto"/>
              <w:right w:val="single" w:sz="4" w:space="0" w:color="auto"/>
            </w:tcBorders>
            <w:vAlign w:val="center"/>
          </w:tcPr>
          <w:p w:rsidR="00EE56C0" w:rsidRDefault="000F36A1">
            <w:pPr>
              <w:pStyle w:val="afa"/>
              <w:rPr>
                <w:rFonts w:eastAsia="宋体"/>
                <w:u w:val="single"/>
              </w:rPr>
            </w:pPr>
            <w:r>
              <w:rPr>
                <w:u w:val="single"/>
              </w:rPr>
              <w:t>0.93</w:t>
            </w:r>
          </w:p>
        </w:tc>
        <w:tc>
          <w:tcPr>
            <w:tcW w:w="474" w:type="pct"/>
            <w:vMerge w:val="restart"/>
            <w:tcBorders>
              <w:left w:val="single" w:sz="4" w:space="0" w:color="auto"/>
            </w:tcBorders>
            <w:vAlign w:val="center"/>
          </w:tcPr>
          <w:p w:rsidR="00EE56C0" w:rsidRDefault="000F36A1">
            <w:pPr>
              <w:pStyle w:val="afa"/>
              <w:rPr>
                <w:rFonts w:eastAsia="宋体"/>
                <w:u w:val="single"/>
              </w:rPr>
            </w:pPr>
            <w:r>
              <w:rPr>
                <w:u w:val="single"/>
              </w:rPr>
              <w:t>0</w:t>
            </w:r>
          </w:p>
        </w:tc>
      </w:tr>
      <w:tr w:rsidR="00EE56C0">
        <w:trPr>
          <w:trHeight w:val="454"/>
          <w:jc w:val="center"/>
        </w:trPr>
        <w:tc>
          <w:tcPr>
            <w:tcW w:w="977" w:type="pct"/>
            <w:vMerge/>
            <w:tcBorders>
              <w:right w:val="single" w:sz="4" w:space="0" w:color="auto"/>
            </w:tcBorders>
            <w:vAlign w:val="center"/>
          </w:tcPr>
          <w:p w:rsidR="00EE56C0" w:rsidRDefault="00EE56C0">
            <w:pPr>
              <w:pStyle w:val="afa"/>
              <w:rPr>
                <w:u w:val="single"/>
              </w:rPr>
            </w:pPr>
          </w:p>
        </w:tc>
        <w:tc>
          <w:tcPr>
            <w:tcW w:w="584" w:type="pct"/>
            <w:tcBorders>
              <w:top w:val="single" w:sz="4" w:space="0" w:color="auto"/>
              <w:left w:val="single" w:sz="4" w:space="0" w:color="auto"/>
              <w:right w:val="single" w:sz="4" w:space="0" w:color="auto"/>
            </w:tcBorders>
            <w:vAlign w:val="center"/>
          </w:tcPr>
          <w:p w:rsidR="00EE56C0" w:rsidRDefault="000F36A1">
            <w:pPr>
              <w:pStyle w:val="afa"/>
              <w:rPr>
                <w:u w:val="single"/>
              </w:rPr>
            </w:pPr>
            <w:r>
              <w:rPr>
                <w:rFonts w:hint="eastAsia"/>
                <w:u w:val="single"/>
              </w:rPr>
              <w:t>二期</w:t>
            </w:r>
          </w:p>
        </w:tc>
        <w:tc>
          <w:tcPr>
            <w:tcW w:w="581" w:type="pct"/>
            <w:tcBorders>
              <w:top w:val="single" w:sz="4" w:space="0" w:color="auto"/>
              <w:left w:val="single" w:sz="4" w:space="0" w:color="auto"/>
            </w:tcBorders>
            <w:vAlign w:val="center"/>
          </w:tcPr>
          <w:p w:rsidR="00EE56C0" w:rsidRDefault="000F36A1">
            <w:pPr>
              <w:pStyle w:val="afa"/>
              <w:rPr>
                <w:rFonts w:eastAsia="宋体"/>
                <w:u w:val="single"/>
              </w:rPr>
            </w:pPr>
            <w:r>
              <w:rPr>
                <w:u w:val="single"/>
              </w:rPr>
              <w:t>1.25</w:t>
            </w:r>
          </w:p>
        </w:tc>
        <w:tc>
          <w:tcPr>
            <w:tcW w:w="500" w:type="pct"/>
            <w:vMerge/>
            <w:vAlign w:val="center"/>
          </w:tcPr>
          <w:p w:rsidR="00EE56C0" w:rsidRDefault="00EE56C0">
            <w:pPr>
              <w:pStyle w:val="afa"/>
              <w:rPr>
                <w:u w:val="single"/>
              </w:rPr>
            </w:pPr>
          </w:p>
        </w:tc>
        <w:tc>
          <w:tcPr>
            <w:tcW w:w="498" w:type="pct"/>
            <w:vMerge/>
            <w:vAlign w:val="center"/>
          </w:tcPr>
          <w:p w:rsidR="00EE56C0" w:rsidRDefault="00EE56C0">
            <w:pPr>
              <w:pStyle w:val="afa"/>
              <w:rPr>
                <w:u w:val="single"/>
              </w:rPr>
            </w:pPr>
          </w:p>
        </w:tc>
        <w:tc>
          <w:tcPr>
            <w:tcW w:w="416" w:type="pct"/>
            <w:vMerge/>
            <w:tcBorders>
              <w:right w:val="single" w:sz="4" w:space="0" w:color="auto"/>
            </w:tcBorders>
            <w:vAlign w:val="center"/>
          </w:tcPr>
          <w:p w:rsidR="00EE56C0" w:rsidRDefault="00EE56C0">
            <w:pPr>
              <w:pStyle w:val="afa"/>
              <w:rPr>
                <w:u w:val="single"/>
              </w:rPr>
            </w:pPr>
          </w:p>
        </w:tc>
        <w:tc>
          <w:tcPr>
            <w:tcW w:w="415" w:type="pct"/>
            <w:vMerge/>
            <w:tcBorders>
              <w:left w:val="single" w:sz="4" w:space="0" w:color="auto"/>
              <w:right w:val="single" w:sz="4" w:space="0" w:color="auto"/>
            </w:tcBorders>
            <w:vAlign w:val="center"/>
          </w:tcPr>
          <w:p w:rsidR="00EE56C0" w:rsidRDefault="00EE56C0">
            <w:pPr>
              <w:pStyle w:val="afa"/>
              <w:rPr>
                <w:u w:val="single"/>
              </w:rPr>
            </w:pPr>
          </w:p>
        </w:tc>
        <w:tc>
          <w:tcPr>
            <w:tcW w:w="555" w:type="pct"/>
            <w:vMerge/>
            <w:tcBorders>
              <w:left w:val="single" w:sz="4" w:space="0" w:color="auto"/>
              <w:right w:val="single" w:sz="4" w:space="0" w:color="auto"/>
            </w:tcBorders>
            <w:vAlign w:val="center"/>
          </w:tcPr>
          <w:p w:rsidR="00EE56C0" w:rsidRDefault="00EE56C0">
            <w:pPr>
              <w:pStyle w:val="afa"/>
              <w:rPr>
                <w:u w:val="single"/>
              </w:rPr>
            </w:pPr>
          </w:p>
        </w:tc>
        <w:tc>
          <w:tcPr>
            <w:tcW w:w="474" w:type="pct"/>
            <w:vMerge/>
            <w:tcBorders>
              <w:left w:val="single" w:sz="4" w:space="0" w:color="auto"/>
            </w:tcBorders>
            <w:vAlign w:val="center"/>
          </w:tcPr>
          <w:p w:rsidR="00EE56C0" w:rsidRDefault="00EE56C0">
            <w:pPr>
              <w:pStyle w:val="afa"/>
              <w:rPr>
                <w:u w:val="single"/>
              </w:rPr>
            </w:pPr>
          </w:p>
        </w:tc>
      </w:tr>
      <w:tr w:rsidR="00EE56C0">
        <w:trPr>
          <w:trHeight w:val="454"/>
          <w:jc w:val="center"/>
        </w:trPr>
        <w:tc>
          <w:tcPr>
            <w:tcW w:w="977" w:type="pct"/>
            <w:vMerge w:val="restart"/>
            <w:tcBorders>
              <w:right w:val="single" w:sz="4" w:space="0" w:color="auto"/>
            </w:tcBorders>
            <w:vAlign w:val="center"/>
          </w:tcPr>
          <w:p w:rsidR="00EE56C0" w:rsidRDefault="000F36A1">
            <w:pPr>
              <w:pStyle w:val="afa"/>
              <w:rPr>
                <w:u w:val="single"/>
              </w:rPr>
            </w:pPr>
            <w:r>
              <w:rPr>
                <w:rFonts w:hint="eastAsia"/>
                <w:u w:val="single"/>
              </w:rPr>
              <w:t>本次</w:t>
            </w:r>
            <w:r>
              <w:rPr>
                <w:rFonts w:hint="eastAsia"/>
                <w:u w:val="single"/>
              </w:rPr>
              <w:t>+</w:t>
            </w:r>
            <w:r>
              <w:rPr>
                <w:rFonts w:hint="eastAsia"/>
                <w:u w:val="single"/>
              </w:rPr>
              <w:t>现有反渗透浓水混合后</w:t>
            </w:r>
          </w:p>
        </w:tc>
        <w:tc>
          <w:tcPr>
            <w:tcW w:w="584" w:type="pct"/>
            <w:tcBorders>
              <w:top w:val="single" w:sz="4" w:space="0" w:color="auto"/>
              <w:left w:val="single" w:sz="4" w:space="0" w:color="auto"/>
              <w:right w:val="single" w:sz="4" w:space="0" w:color="auto"/>
            </w:tcBorders>
            <w:vAlign w:val="center"/>
          </w:tcPr>
          <w:p w:rsidR="00EE56C0" w:rsidRDefault="000F36A1">
            <w:pPr>
              <w:pStyle w:val="afa"/>
              <w:rPr>
                <w:u w:val="single"/>
              </w:rPr>
            </w:pPr>
            <w:r>
              <w:rPr>
                <w:rFonts w:hint="eastAsia"/>
                <w:u w:val="single"/>
              </w:rPr>
              <w:t>一期</w:t>
            </w:r>
          </w:p>
        </w:tc>
        <w:tc>
          <w:tcPr>
            <w:tcW w:w="581" w:type="pct"/>
            <w:tcBorders>
              <w:top w:val="single" w:sz="4" w:space="0" w:color="auto"/>
              <w:left w:val="single" w:sz="4" w:space="0" w:color="auto"/>
            </w:tcBorders>
            <w:vAlign w:val="center"/>
          </w:tcPr>
          <w:p w:rsidR="00EE56C0" w:rsidRDefault="000F36A1">
            <w:pPr>
              <w:pStyle w:val="afa"/>
              <w:rPr>
                <w:rFonts w:eastAsia="宋体"/>
                <w:u w:val="single"/>
              </w:rPr>
            </w:pPr>
            <w:r>
              <w:rPr>
                <w:u w:val="single"/>
              </w:rPr>
              <w:t>3.43</w:t>
            </w:r>
          </w:p>
        </w:tc>
        <w:tc>
          <w:tcPr>
            <w:tcW w:w="500" w:type="pct"/>
            <w:tcBorders>
              <w:bottom w:val="single" w:sz="4" w:space="0" w:color="auto"/>
            </w:tcBorders>
            <w:vAlign w:val="center"/>
          </w:tcPr>
          <w:p w:rsidR="00EE56C0" w:rsidRDefault="000F36A1">
            <w:pPr>
              <w:pStyle w:val="afa"/>
              <w:rPr>
                <w:rFonts w:eastAsia="宋体"/>
                <w:color w:val="000000"/>
                <w:u w:val="single"/>
              </w:rPr>
            </w:pPr>
            <w:r>
              <w:rPr>
                <w:color w:val="000000"/>
                <w:u w:val="single"/>
              </w:rPr>
              <w:t>16</w:t>
            </w:r>
          </w:p>
        </w:tc>
        <w:tc>
          <w:tcPr>
            <w:tcW w:w="498" w:type="pct"/>
            <w:tcBorders>
              <w:bottom w:val="single" w:sz="4" w:space="0" w:color="auto"/>
            </w:tcBorders>
            <w:vAlign w:val="center"/>
          </w:tcPr>
          <w:p w:rsidR="00EE56C0" w:rsidRDefault="000F36A1">
            <w:pPr>
              <w:pStyle w:val="afa"/>
              <w:rPr>
                <w:rFonts w:eastAsia="宋体"/>
                <w:color w:val="000000"/>
                <w:u w:val="single"/>
              </w:rPr>
            </w:pPr>
            <w:r>
              <w:rPr>
                <w:color w:val="000000"/>
                <w:u w:val="single"/>
              </w:rPr>
              <w:t>19</w:t>
            </w:r>
          </w:p>
        </w:tc>
        <w:tc>
          <w:tcPr>
            <w:tcW w:w="416" w:type="pct"/>
            <w:tcBorders>
              <w:bottom w:val="single" w:sz="4" w:space="0" w:color="auto"/>
              <w:right w:val="single" w:sz="4" w:space="0" w:color="auto"/>
            </w:tcBorders>
            <w:vAlign w:val="center"/>
          </w:tcPr>
          <w:p w:rsidR="00EE56C0" w:rsidRDefault="000F36A1">
            <w:pPr>
              <w:pStyle w:val="afa"/>
              <w:rPr>
                <w:rFonts w:eastAsia="宋体"/>
                <w:color w:val="000000"/>
                <w:u w:val="single"/>
              </w:rPr>
            </w:pPr>
            <w:r>
              <w:rPr>
                <w:color w:val="000000"/>
                <w:u w:val="single"/>
              </w:rPr>
              <w:t>0.251</w:t>
            </w:r>
          </w:p>
        </w:tc>
        <w:tc>
          <w:tcPr>
            <w:tcW w:w="415" w:type="pct"/>
            <w:tcBorders>
              <w:left w:val="single" w:sz="4" w:space="0" w:color="auto"/>
              <w:bottom w:val="single" w:sz="4" w:space="0" w:color="auto"/>
              <w:right w:val="single" w:sz="4" w:space="0" w:color="auto"/>
            </w:tcBorders>
            <w:vAlign w:val="center"/>
          </w:tcPr>
          <w:p w:rsidR="00EE56C0" w:rsidRDefault="000F36A1">
            <w:pPr>
              <w:pStyle w:val="afa"/>
              <w:rPr>
                <w:rFonts w:eastAsia="宋体"/>
                <w:color w:val="000000"/>
                <w:u w:val="single"/>
              </w:rPr>
            </w:pPr>
            <w:r>
              <w:rPr>
                <w:color w:val="000000"/>
                <w:u w:val="single"/>
              </w:rPr>
              <w:t>0.37</w:t>
            </w:r>
          </w:p>
        </w:tc>
        <w:tc>
          <w:tcPr>
            <w:tcW w:w="555" w:type="pct"/>
            <w:tcBorders>
              <w:left w:val="single" w:sz="4" w:space="0" w:color="auto"/>
              <w:bottom w:val="single" w:sz="4" w:space="0" w:color="auto"/>
              <w:right w:val="single" w:sz="4" w:space="0" w:color="auto"/>
            </w:tcBorders>
            <w:vAlign w:val="center"/>
          </w:tcPr>
          <w:p w:rsidR="00EE56C0" w:rsidRDefault="000F36A1">
            <w:pPr>
              <w:pStyle w:val="afa"/>
              <w:rPr>
                <w:rFonts w:eastAsia="宋体"/>
                <w:color w:val="000000"/>
                <w:u w:val="single"/>
              </w:rPr>
            </w:pPr>
            <w:r>
              <w:rPr>
                <w:color w:val="000000"/>
                <w:u w:val="single"/>
              </w:rPr>
              <w:t>0.93</w:t>
            </w:r>
          </w:p>
        </w:tc>
        <w:tc>
          <w:tcPr>
            <w:tcW w:w="474" w:type="pct"/>
            <w:tcBorders>
              <w:left w:val="single" w:sz="4" w:space="0" w:color="auto"/>
              <w:bottom w:val="single" w:sz="4" w:space="0" w:color="auto"/>
            </w:tcBorders>
            <w:vAlign w:val="center"/>
          </w:tcPr>
          <w:p w:rsidR="00EE56C0" w:rsidRDefault="000F36A1">
            <w:pPr>
              <w:pStyle w:val="afa"/>
              <w:rPr>
                <w:rFonts w:eastAsia="宋体"/>
                <w:color w:val="000000"/>
                <w:u w:val="single"/>
              </w:rPr>
            </w:pPr>
            <w:r>
              <w:rPr>
                <w:color w:val="000000"/>
                <w:u w:val="single"/>
              </w:rPr>
              <w:t>0</w:t>
            </w:r>
          </w:p>
        </w:tc>
      </w:tr>
      <w:tr w:rsidR="00EE56C0">
        <w:trPr>
          <w:trHeight w:val="454"/>
          <w:jc w:val="center"/>
        </w:trPr>
        <w:tc>
          <w:tcPr>
            <w:tcW w:w="977" w:type="pct"/>
            <w:vMerge/>
            <w:tcBorders>
              <w:right w:val="single" w:sz="4" w:space="0" w:color="auto"/>
            </w:tcBorders>
            <w:vAlign w:val="center"/>
          </w:tcPr>
          <w:p w:rsidR="00EE56C0" w:rsidRDefault="00EE56C0">
            <w:pPr>
              <w:pStyle w:val="afa"/>
              <w:rPr>
                <w:u w:val="single"/>
              </w:rPr>
            </w:pPr>
          </w:p>
        </w:tc>
        <w:tc>
          <w:tcPr>
            <w:tcW w:w="584" w:type="pct"/>
            <w:tcBorders>
              <w:top w:val="single" w:sz="4" w:space="0" w:color="auto"/>
              <w:left w:val="single" w:sz="4" w:space="0" w:color="auto"/>
              <w:right w:val="single" w:sz="4" w:space="0" w:color="auto"/>
            </w:tcBorders>
            <w:vAlign w:val="center"/>
          </w:tcPr>
          <w:p w:rsidR="00EE56C0" w:rsidRDefault="000F36A1">
            <w:pPr>
              <w:pStyle w:val="afa"/>
              <w:rPr>
                <w:u w:val="single"/>
              </w:rPr>
            </w:pPr>
            <w:r>
              <w:rPr>
                <w:rFonts w:hint="eastAsia"/>
                <w:u w:val="single"/>
              </w:rPr>
              <w:t>二期</w:t>
            </w:r>
          </w:p>
        </w:tc>
        <w:tc>
          <w:tcPr>
            <w:tcW w:w="581" w:type="pct"/>
            <w:tcBorders>
              <w:top w:val="single" w:sz="4" w:space="0" w:color="auto"/>
              <w:left w:val="single" w:sz="4" w:space="0" w:color="auto"/>
            </w:tcBorders>
            <w:vAlign w:val="center"/>
          </w:tcPr>
          <w:p w:rsidR="00EE56C0" w:rsidRDefault="000F36A1">
            <w:pPr>
              <w:pStyle w:val="afa"/>
              <w:rPr>
                <w:rFonts w:eastAsia="宋体"/>
                <w:u w:val="single"/>
              </w:rPr>
            </w:pPr>
            <w:r>
              <w:rPr>
                <w:u w:val="single"/>
              </w:rPr>
              <w:t>4.68</w:t>
            </w:r>
          </w:p>
        </w:tc>
        <w:tc>
          <w:tcPr>
            <w:tcW w:w="500" w:type="pct"/>
            <w:tcBorders>
              <w:top w:val="single" w:sz="4" w:space="0" w:color="auto"/>
            </w:tcBorders>
            <w:vAlign w:val="center"/>
          </w:tcPr>
          <w:p w:rsidR="00EE56C0" w:rsidRDefault="000F36A1">
            <w:pPr>
              <w:pStyle w:val="afa"/>
              <w:rPr>
                <w:rFonts w:eastAsia="宋体"/>
                <w:color w:val="000000"/>
                <w:u w:val="single"/>
              </w:rPr>
            </w:pPr>
            <w:r>
              <w:rPr>
                <w:color w:val="000000"/>
                <w:u w:val="single"/>
              </w:rPr>
              <w:t xml:space="preserve">16 </w:t>
            </w:r>
          </w:p>
        </w:tc>
        <w:tc>
          <w:tcPr>
            <w:tcW w:w="498" w:type="pct"/>
            <w:tcBorders>
              <w:top w:val="single" w:sz="4" w:space="0" w:color="auto"/>
            </w:tcBorders>
            <w:vAlign w:val="center"/>
          </w:tcPr>
          <w:p w:rsidR="00EE56C0" w:rsidRDefault="000F36A1">
            <w:pPr>
              <w:pStyle w:val="afa"/>
              <w:rPr>
                <w:rFonts w:eastAsia="宋体"/>
                <w:color w:val="000000"/>
                <w:u w:val="single"/>
              </w:rPr>
            </w:pPr>
            <w:r>
              <w:rPr>
                <w:color w:val="000000"/>
                <w:u w:val="single"/>
              </w:rPr>
              <w:t xml:space="preserve">19 </w:t>
            </w:r>
          </w:p>
        </w:tc>
        <w:tc>
          <w:tcPr>
            <w:tcW w:w="416" w:type="pct"/>
            <w:tcBorders>
              <w:top w:val="single" w:sz="4" w:space="0" w:color="auto"/>
              <w:right w:val="single" w:sz="4" w:space="0" w:color="auto"/>
            </w:tcBorders>
            <w:vAlign w:val="center"/>
          </w:tcPr>
          <w:p w:rsidR="00EE56C0" w:rsidRDefault="000F36A1">
            <w:pPr>
              <w:pStyle w:val="afa"/>
              <w:rPr>
                <w:rFonts w:eastAsia="宋体"/>
                <w:color w:val="000000"/>
                <w:u w:val="single"/>
              </w:rPr>
            </w:pPr>
            <w:r>
              <w:rPr>
                <w:color w:val="000000"/>
                <w:u w:val="single"/>
              </w:rPr>
              <w:t>0.25</w:t>
            </w:r>
            <w:r>
              <w:rPr>
                <w:rFonts w:hint="eastAsia"/>
                <w:color w:val="000000"/>
                <w:u w:val="single"/>
              </w:rPr>
              <w:t>1</w:t>
            </w:r>
          </w:p>
        </w:tc>
        <w:tc>
          <w:tcPr>
            <w:tcW w:w="415" w:type="pct"/>
            <w:tcBorders>
              <w:top w:val="single" w:sz="4" w:space="0" w:color="auto"/>
              <w:left w:val="single" w:sz="4" w:space="0" w:color="auto"/>
              <w:right w:val="single" w:sz="4" w:space="0" w:color="auto"/>
            </w:tcBorders>
            <w:vAlign w:val="center"/>
          </w:tcPr>
          <w:p w:rsidR="00EE56C0" w:rsidRDefault="000F36A1">
            <w:pPr>
              <w:pStyle w:val="afa"/>
              <w:rPr>
                <w:rFonts w:eastAsia="宋体"/>
                <w:color w:val="000000"/>
                <w:u w:val="single"/>
              </w:rPr>
            </w:pPr>
            <w:r>
              <w:rPr>
                <w:color w:val="000000"/>
                <w:u w:val="single"/>
              </w:rPr>
              <w:t xml:space="preserve">0.37 </w:t>
            </w:r>
          </w:p>
        </w:tc>
        <w:tc>
          <w:tcPr>
            <w:tcW w:w="555" w:type="pct"/>
            <w:tcBorders>
              <w:top w:val="single" w:sz="4" w:space="0" w:color="auto"/>
              <w:left w:val="single" w:sz="4" w:space="0" w:color="auto"/>
              <w:right w:val="single" w:sz="4" w:space="0" w:color="auto"/>
            </w:tcBorders>
            <w:vAlign w:val="center"/>
          </w:tcPr>
          <w:p w:rsidR="00EE56C0" w:rsidRDefault="000F36A1">
            <w:pPr>
              <w:pStyle w:val="afa"/>
              <w:rPr>
                <w:rFonts w:eastAsia="宋体"/>
                <w:color w:val="000000"/>
                <w:u w:val="single"/>
              </w:rPr>
            </w:pPr>
            <w:r>
              <w:rPr>
                <w:color w:val="000000"/>
                <w:u w:val="single"/>
              </w:rPr>
              <w:t xml:space="preserve">0.93 </w:t>
            </w:r>
          </w:p>
        </w:tc>
        <w:tc>
          <w:tcPr>
            <w:tcW w:w="474" w:type="pct"/>
            <w:tcBorders>
              <w:top w:val="single" w:sz="4" w:space="0" w:color="auto"/>
              <w:left w:val="single" w:sz="4" w:space="0" w:color="auto"/>
            </w:tcBorders>
            <w:vAlign w:val="center"/>
          </w:tcPr>
          <w:p w:rsidR="00EE56C0" w:rsidRDefault="000F36A1">
            <w:pPr>
              <w:pStyle w:val="afa"/>
              <w:rPr>
                <w:rFonts w:eastAsia="宋体"/>
                <w:color w:val="000000"/>
                <w:u w:val="single"/>
              </w:rPr>
            </w:pPr>
            <w:r>
              <w:rPr>
                <w:color w:val="000000"/>
                <w:u w:val="single"/>
              </w:rPr>
              <w:t>0</w:t>
            </w:r>
          </w:p>
        </w:tc>
      </w:tr>
    </w:tbl>
    <w:p w:rsidR="00EE56C0" w:rsidRDefault="000F36A1">
      <w:pPr>
        <w:pStyle w:val="afd"/>
        <w:spacing w:before="120" w:after="120"/>
        <w:ind w:firstLine="482"/>
        <w:rPr>
          <w:u w:val="single"/>
        </w:rPr>
      </w:pPr>
      <w:r>
        <w:rPr>
          <w:rFonts w:hint="eastAsia"/>
          <w:u w:val="single"/>
        </w:rPr>
        <w:t>表</w:t>
      </w:r>
      <w:r>
        <w:rPr>
          <w:rFonts w:hint="eastAsia"/>
          <w:u w:val="single"/>
        </w:rPr>
        <w:t xml:space="preserve">3-50          </w:t>
      </w:r>
      <w:r>
        <w:rPr>
          <w:rFonts w:hint="eastAsia"/>
          <w:u w:val="single"/>
        </w:rPr>
        <w:t>厂区总排口水质一览表</w:t>
      </w:r>
      <w:r>
        <w:rPr>
          <w:rFonts w:hint="eastAsia"/>
          <w:u w:val="single"/>
        </w:rPr>
        <w:t xml:space="preserve">       </w:t>
      </w:r>
      <w:r>
        <w:rPr>
          <w:rFonts w:hint="eastAsia"/>
          <w:u w:val="single"/>
        </w:rPr>
        <w:t>单位：</w:t>
      </w:r>
      <w:r>
        <w:rPr>
          <w:rFonts w:hint="eastAsia"/>
          <w:u w:val="single"/>
        </w:rPr>
        <w:t>mg/L</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tblPr>
      <w:tblGrid>
        <w:gridCol w:w="1666"/>
        <w:gridCol w:w="996"/>
        <w:gridCol w:w="991"/>
        <w:gridCol w:w="853"/>
        <w:gridCol w:w="849"/>
        <w:gridCol w:w="710"/>
        <w:gridCol w:w="708"/>
        <w:gridCol w:w="947"/>
        <w:gridCol w:w="808"/>
      </w:tblGrid>
      <w:tr w:rsidR="00EE56C0">
        <w:trPr>
          <w:trHeight w:val="454"/>
          <w:tblHeader/>
          <w:jc w:val="center"/>
        </w:trPr>
        <w:tc>
          <w:tcPr>
            <w:tcW w:w="1561" w:type="pct"/>
            <w:gridSpan w:val="2"/>
            <w:vMerge w:val="restart"/>
            <w:tcBorders>
              <w:right w:val="single" w:sz="4" w:space="0" w:color="auto"/>
            </w:tcBorders>
            <w:vAlign w:val="center"/>
          </w:tcPr>
          <w:p w:rsidR="00EE56C0" w:rsidRDefault="000F36A1">
            <w:pPr>
              <w:pStyle w:val="aff1"/>
              <w:rPr>
                <w:color w:val="auto"/>
                <w:u w:val="single"/>
              </w:rPr>
            </w:pPr>
            <w:r>
              <w:rPr>
                <w:color w:val="auto"/>
                <w:u w:val="single"/>
              </w:rPr>
              <w:t>污染源</w:t>
            </w:r>
          </w:p>
        </w:tc>
        <w:tc>
          <w:tcPr>
            <w:tcW w:w="581" w:type="pct"/>
            <w:vMerge w:val="restart"/>
            <w:tcBorders>
              <w:left w:val="single" w:sz="4" w:space="0" w:color="auto"/>
            </w:tcBorders>
            <w:vAlign w:val="center"/>
          </w:tcPr>
          <w:p w:rsidR="00EE56C0" w:rsidRDefault="000F36A1">
            <w:pPr>
              <w:pStyle w:val="aff1"/>
              <w:rPr>
                <w:color w:val="auto"/>
                <w:u w:val="single"/>
              </w:rPr>
            </w:pPr>
            <w:r>
              <w:rPr>
                <w:rFonts w:hint="eastAsia"/>
                <w:color w:val="auto"/>
                <w:u w:val="single"/>
              </w:rPr>
              <w:t>废水量（</w:t>
            </w:r>
            <w:r>
              <w:rPr>
                <w:rFonts w:hint="eastAsia"/>
                <w:color w:val="auto"/>
                <w:u w:val="single"/>
              </w:rPr>
              <w:t>m</w:t>
            </w:r>
            <w:r>
              <w:rPr>
                <w:rFonts w:hint="eastAsia"/>
                <w:color w:val="auto"/>
                <w:u w:val="single"/>
                <w:vertAlign w:val="superscript"/>
              </w:rPr>
              <w:t>3</w:t>
            </w:r>
            <w:r>
              <w:rPr>
                <w:rFonts w:hint="eastAsia"/>
                <w:color w:val="auto"/>
                <w:u w:val="single"/>
              </w:rPr>
              <w:t>/d</w:t>
            </w:r>
            <w:r>
              <w:rPr>
                <w:rFonts w:hint="eastAsia"/>
                <w:color w:val="auto"/>
                <w:u w:val="single"/>
              </w:rPr>
              <w:t>）</w:t>
            </w:r>
          </w:p>
        </w:tc>
        <w:tc>
          <w:tcPr>
            <w:tcW w:w="2858" w:type="pct"/>
            <w:gridSpan w:val="6"/>
            <w:tcBorders>
              <w:left w:val="single" w:sz="4" w:space="0" w:color="auto"/>
              <w:right w:val="single" w:sz="4" w:space="0" w:color="auto"/>
            </w:tcBorders>
            <w:vAlign w:val="center"/>
          </w:tcPr>
          <w:p w:rsidR="00EE56C0" w:rsidRDefault="000F36A1">
            <w:pPr>
              <w:pStyle w:val="aff1"/>
              <w:rPr>
                <w:color w:val="auto"/>
                <w:u w:val="single"/>
              </w:rPr>
            </w:pPr>
            <w:r>
              <w:rPr>
                <w:color w:val="auto"/>
                <w:u w:val="single"/>
              </w:rPr>
              <w:t>产生浓度（</w:t>
            </w:r>
            <w:r>
              <w:rPr>
                <w:color w:val="auto"/>
                <w:u w:val="single"/>
              </w:rPr>
              <w:t>mg/L</w:t>
            </w:r>
            <w:r>
              <w:rPr>
                <w:color w:val="auto"/>
                <w:u w:val="single"/>
              </w:rPr>
              <w:t>）</w:t>
            </w:r>
          </w:p>
        </w:tc>
      </w:tr>
      <w:tr w:rsidR="00EE56C0">
        <w:trPr>
          <w:trHeight w:val="454"/>
          <w:tblHeader/>
          <w:jc w:val="center"/>
        </w:trPr>
        <w:tc>
          <w:tcPr>
            <w:tcW w:w="1561" w:type="pct"/>
            <w:gridSpan w:val="2"/>
            <w:vMerge/>
            <w:tcBorders>
              <w:right w:val="single" w:sz="4" w:space="0" w:color="auto"/>
            </w:tcBorders>
            <w:vAlign w:val="center"/>
          </w:tcPr>
          <w:p w:rsidR="00EE56C0" w:rsidRDefault="00EE56C0">
            <w:pPr>
              <w:pStyle w:val="aff1"/>
              <w:rPr>
                <w:color w:val="auto"/>
                <w:u w:val="single"/>
              </w:rPr>
            </w:pPr>
          </w:p>
        </w:tc>
        <w:tc>
          <w:tcPr>
            <w:tcW w:w="581" w:type="pct"/>
            <w:vMerge/>
            <w:tcBorders>
              <w:left w:val="single" w:sz="4" w:space="0" w:color="auto"/>
            </w:tcBorders>
            <w:vAlign w:val="center"/>
          </w:tcPr>
          <w:p w:rsidR="00EE56C0" w:rsidRDefault="00EE56C0">
            <w:pPr>
              <w:pStyle w:val="aff1"/>
              <w:rPr>
                <w:color w:val="auto"/>
                <w:u w:val="single"/>
              </w:rPr>
            </w:pPr>
          </w:p>
        </w:tc>
        <w:tc>
          <w:tcPr>
            <w:tcW w:w="500" w:type="pct"/>
            <w:vAlign w:val="center"/>
          </w:tcPr>
          <w:p w:rsidR="00EE56C0" w:rsidRDefault="000F36A1">
            <w:pPr>
              <w:pStyle w:val="aff1"/>
              <w:rPr>
                <w:color w:val="auto"/>
                <w:u w:val="single"/>
              </w:rPr>
            </w:pPr>
            <w:r>
              <w:rPr>
                <w:color w:val="auto"/>
                <w:u w:val="single"/>
              </w:rPr>
              <w:t>COD</w:t>
            </w:r>
          </w:p>
        </w:tc>
        <w:tc>
          <w:tcPr>
            <w:tcW w:w="498" w:type="pct"/>
            <w:vAlign w:val="center"/>
          </w:tcPr>
          <w:p w:rsidR="00EE56C0" w:rsidRDefault="000F36A1">
            <w:pPr>
              <w:pStyle w:val="aff1"/>
              <w:rPr>
                <w:color w:val="auto"/>
                <w:u w:val="single"/>
              </w:rPr>
            </w:pPr>
            <w:r>
              <w:rPr>
                <w:color w:val="auto"/>
                <w:u w:val="single"/>
              </w:rPr>
              <w:t>SS</w:t>
            </w:r>
          </w:p>
        </w:tc>
        <w:tc>
          <w:tcPr>
            <w:tcW w:w="416" w:type="pct"/>
            <w:tcBorders>
              <w:right w:val="single" w:sz="4" w:space="0" w:color="auto"/>
            </w:tcBorders>
            <w:vAlign w:val="center"/>
          </w:tcPr>
          <w:p w:rsidR="00EE56C0" w:rsidRDefault="000F36A1">
            <w:pPr>
              <w:pStyle w:val="aff1"/>
              <w:rPr>
                <w:color w:val="auto"/>
                <w:u w:val="single"/>
              </w:rPr>
            </w:pPr>
            <w:r>
              <w:rPr>
                <w:rFonts w:hint="eastAsia"/>
                <w:color w:val="auto"/>
                <w:u w:val="single"/>
              </w:rPr>
              <w:t>NH</w:t>
            </w:r>
            <w:r>
              <w:rPr>
                <w:rFonts w:hint="eastAsia"/>
                <w:color w:val="auto"/>
                <w:u w:val="single"/>
                <w:vertAlign w:val="subscript"/>
              </w:rPr>
              <w:t>3</w:t>
            </w:r>
            <w:r>
              <w:rPr>
                <w:rFonts w:hint="eastAsia"/>
                <w:color w:val="auto"/>
                <w:u w:val="single"/>
              </w:rPr>
              <w:t>-N</w:t>
            </w:r>
          </w:p>
        </w:tc>
        <w:tc>
          <w:tcPr>
            <w:tcW w:w="415" w:type="pct"/>
            <w:tcBorders>
              <w:left w:val="single" w:sz="4" w:space="0" w:color="auto"/>
              <w:right w:val="single" w:sz="4" w:space="0" w:color="auto"/>
            </w:tcBorders>
            <w:vAlign w:val="center"/>
          </w:tcPr>
          <w:p w:rsidR="00EE56C0" w:rsidRDefault="000F36A1">
            <w:pPr>
              <w:pStyle w:val="aff1"/>
              <w:rPr>
                <w:color w:val="auto"/>
                <w:u w:val="single"/>
              </w:rPr>
            </w:pPr>
            <w:r>
              <w:rPr>
                <w:rFonts w:hint="eastAsia"/>
                <w:color w:val="auto"/>
                <w:u w:val="single"/>
              </w:rPr>
              <w:t>TP</w:t>
            </w:r>
          </w:p>
        </w:tc>
        <w:tc>
          <w:tcPr>
            <w:tcW w:w="555" w:type="pct"/>
            <w:tcBorders>
              <w:left w:val="single" w:sz="4" w:space="0" w:color="auto"/>
              <w:right w:val="single" w:sz="4" w:space="0" w:color="auto"/>
            </w:tcBorders>
            <w:vAlign w:val="center"/>
          </w:tcPr>
          <w:p w:rsidR="00EE56C0" w:rsidRDefault="000F36A1">
            <w:pPr>
              <w:pStyle w:val="aff1"/>
              <w:rPr>
                <w:color w:val="auto"/>
                <w:u w:val="single"/>
              </w:rPr>
            </w:pPr>
            <w:r>
              <w:rPr>
                <w:rFonts w:hint="eastAsia"/>
                <w:color w:val="auto"/>
                <w:u w:val="single"/>
              </w:rPr>
              <w:t>TN</w:t>
            </w:r>
          </w:p>
        </w:tc>
        <w:tc>
          <w:tcPr>
            <w:tcW w:w="474" w:type="pct"/>
            <w:tcBorders>
              <w:left w:val="single" w:sz="4" w:space="0" w:color="auto"/>
            </w:tcBorders>
            <w:vAlign w:val="center"/>
          </w:tcPr>
          <w:p w:rsidR="00EE56C0" w:rsidRDefault="000F36A1">
            <w:pPr>
              <w:pStyle w:val="aff1"/>
              <w:rPr>
                <w:color w:val="auto"/>
                <w:u w:val="single"/>
              </w:rPr>
            </w:pPr>
            <w:r>
              <w:rPr>
                <w:rFonts w:hint="eastAsia"/>
                <w:color w:val="auto"/>
                <w:u w:val="single"/>
              </w:rPr>
              <w:t>动植物油</w:t>
            </w:r>
          </w:p>
        </w:tc>
      </w:tr>
      <w:tr w:rsidR="00EE56C0">
        <w:trPr>
          <w:trHeight w:val="454"/>
          <w:jc w:val="center"/>
        </w:trPr>
        <w:tc>
          <w:tcPr>
            <w:tcW w:w="977" w:type="pct"/>
            <w:vMerge w:val="restart"/>
            <w:tcBorders>
              <w:right w:val="single" w:sz="4" w:space="0" w:color="auto"/>
            </w:tcBorders>
            <w:vAlign w:val="center"/>
          </w:tcPr>
          <w:p w:rsidR="00EE56C0" w:rsidRDefault="000F36A1">
            <w:pPr>
              <w:pStyle w:val="afa"/>
              <w:rPr>
                <w:u w:val="single"/>
              </w:rPr>
            </w:pPr>
            <w:r>
              <w:rPr>
                <w:rFonts w:hint="eastAsia"/>
                <w:u w:val="single"/>
              </w:rPr>
              <w:t>隔油池</w:t>
            </w:r>
            <w:r>
              <w:rPr>
                <w:rFonts w:hint="eastAsia"/>
                <w:u w:val="single"/>
              </w:rPr>
              <w:t>+</w:t>
            </w:r>
            <w:r>
              <w:rPr>
                <w:rFonts w:hint="eastAsia"/>
                <w:u w:val="single"/>
              </w:rPr>
              <w:t>化粪池处理后的生活污水（现有</w:t>
            </w:r>
            <w:r>
              <w:rPr>
                <w:rFonts w:hint="eastAsia"/>
                <w:u w:val="single"/>
              </w:rPr>
              <w:t>+</w:t>
            </w:r>
            <w:r>
              <w:rPr>
                <w:rFonts w:hint="eastAsia"/>
                <w:u w:val="single"/>
              </w:rPr>
              <w:t>本次合计）</w:t>
            </w:r>
          </w:p>
        </w:tc>
        <w:tc>
          <w:tcPr>
            <w:tcW w:w="584" w:type="pct"/>
            <w:tcBorders>
              <w:top w:val="single" w:sz="4" w:space="0" w:color="auto"/>
              <w:left w:val="single" w:sz="4" w:space="0" w:color="auto"/>
              <w:right w:val="single" w:sz="4" w:space="0" w:color="auto"/>
            </w:tcBorders>
            <w:vAlign w:val="center"/>
          </w:tcPr>
          <w:p w:rsidR="00EE56C0" w:rsidRDefault="000F36A1">
            <w:pPr>
              <w:pStyle w:val="afa"/>
              <w:rPr>
                <w:u w:val="single"/>
              </w:rPr>
            </w:pPr>
            <w:r>
              <w:rPr>
                <w:rFonts w:hint="eastAsia"/>
                <w:u w:val="single"/>
              </w:rPr>
              <w:t>一期</w:t>
            </w:r>
          </w:p>
        </w:tc>
        <w:tc>
          <w:tcPr>
            <w:tcW w:w="581" w:type="pct"/>
            <w:tcBorders>
              <w:top w:val="single" w:sz="4" w:space="0" w:color="auto"/>
              <w:left w:val="single" w:sz="4" w:space="0" w:color="auto"/>
            </w:tcBorders>
            <w:vAlign w:val="center"/>
          </w:tcPr>
          <w:p w:rsidR="00EE56C0" w:rsidRDefault="000F36A1">
            <w:pPr>
              <w:pStyle w:val="afa"/>
              <w:rPr>
                <w:rFonts w:eastAsia="宋体"/>
                <w:u w:val="single"/>
              </w:rPr>
            </w:pPr>
            <w:r>
              <w:rPr>
                <w:u w:val="single"/>
              </w:rPr>
              <w:t>11.978</w:t>
            </w:r>
          </w:p>
        </w:tc>
        <w:tc>
          <w:tcPr>
            <w:tcW w:w="500" w:type="pct"/>
            <w:tcBorders>
              <w:bottom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238</w:t>
            </w:r>
          </w:p>
        </w:tc>
        <w:tc>
          <w:tcPr>
            <w:tcW w:w="498" w:type="pct"/>
            <w:tcBorders>
              <w:bottom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173</w:t>
            </w:r>
          </w:p>
        </w:tc>
        <w:tc>
          <w:tcPr>
            <w:tcW w:w="416" w:type="pct"/>
            <w:tcBorders>
              <w:bottom w:val="single" w:sz="4" w:space="0" w:color="auto"/>
              <w:right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23</w:t>
            </w:r>
          </w:p>
        </w:tc>
        <w:tc>
          <w:tcPr>
            <w:tcW w:w="415" w:type="pct"/>
            <w:tcBorders>
              <w:left w:val="single" w:sz="4" w:space="0" w:color="auto"/>
              <w:bottom w:val="single" w:sz="4" w:space="0" w:color="auto"/>
              <w:right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4</w:t>
            </w:r>
          </w:p>
        </w:tc>
        <w:tc>
          <w:tcPr>
            <w:tcW w:w="555" w:type="pct"/>
            <w:tcBorders>
              <w:left w:val="single" w:sz="4" w:space="0" w:color="auto"/>
              <w:bottom w:val="single" w:sz="4" w:space="0" w:color="auto"/>
              <w:right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28</w:t>
            </w:r>
          </w:p>
        </w:tc>
        <w:tc>
          <w:tcPr>
            <w:tcW w:w="474" w:type="pct"/>
            <w:tcBorders>
              <w:left w:val="single" w:sz="4" w:space="0" w:color="auto"/>
              <w:bottom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28</w:t>
            </w:r>
          </w:p>
        </w:tc>
      </w:tr>
      <w:tr w:rsidR="00EE56C0">
        <w:trPr>
          <w:trHeight w:val="454"/>
          <w:jc w:val="center"/>
        </w:trPr>
        <w:tc>
          <w:tcPr>
            <w:tcW w:w="977" w:type="pct"/>
            <w:vMerge/>
            <w:tcBorders>
              <w:right w:val="single" w:sz="4" w:space="0" w:color="auto"/>
            </w:tcBorders>
            <w:vAlign w:val="center"/>
          </w:tcPr>
          <w:p w:rsidR="00EE56C0" w:rsidRDefault="00EE56C0">
            <w:pPr>
              <w:pStyle w:val="afa"/>
              <w:rPr>
                <w:u w:val="single"/>
              </w:rPr>
            </w:pPr>
          </w:p>
        </w:tc>
        <w:tc>
          <w:tcPr>
            <w:tcW w:w="584"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u w:val="single"/>
              </w:rPr>
            </w:pPr>
            <w:r>
              <w:rPr>
                <w:rFonts w:hint="eastAsia"/>
                <w:u w:val="single"/>
              </w:rPr>
              <w:t>二期</w:t>
            </w:r>
          </w:p>
        </w:tc>
        <w:tc>
          <w:tcPr>
            <w:tcW w:w="581" w:type="pct"/>
            <w:tcBorders>
              <w:top w:val="single" w:sz="4" w:space="0" w:color="auto"/>
              <w:left w:val="single" w:sz="4" w:space="0" w:color="auto"/>
              <w:bottom w:val="single" w:sz="4" w:space="0" w:color="auto"/>
            </w:tcBorders>
            <w:vAlign w:val="center"/>
          </w:tcPr>
          <w:p w:rsidR="00EE56C0" w:rsidRDefault="000F36A1">
            <w:pPr>
              <w:pStyle w:val="afa"/>
              <w:rPr>
                <w:rFonts w:eastAsia="宋体"/>
                <w:u w:val="single"/>
              </w:rPr>
            </w:pPr>
            <w:r>
              <w:rPr>
                <w:u w:val="single"/>
              </w:rPr>
              <w:t>16.138</w:t>
            </w:r>
          </w:p>
        </w:tc>
        <w:tc>
          <w:tcPr>
            <w:tcW w:w="500" w:type="pct"/>
            <w:tcBorders>
              <w:top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225</w:t>
            </w:r>
          </w:p>
        </w:tc>
        <w:tc>
          <w:tcPr>
            <w:tcW w:w="498" w:type="pct"/>
            <w:tcBorders>
              <w:top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158</w:t>
            </w:r>
          </w:p>
        </w:tc>
        <w:tc>
          <w:tcPr>
            <w:tcW w:w="416" w:type="pct"/>
            <w:tcBorders>
              <w:top w:val="single" w:sz="4" w:space="0" w:color="auto"/>
              <w:right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158</w:t>
            </w:r>
          </w:p>
        </w:tc>
        <w:tc>
          <w:tcPr>
            <w:tcW w:w="415" w:type="pct"/>
            <w:tcBorders>
              <w:top w:val="single" w:sz="4" w:space="0" w:color="auto"/>
              <w:left w:val="single" w:sz="4" w:space="0" w:color="auto"/>
              <w:right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158</w:t>
            </w:r>
          </w:p>
        </w:tc>
        <w:tc>
          <w:tcPr>
            <w:tcW w:w="555" w:type="pct"/>
            <w:tcBorders>
              <w:top w:val="single" w:sz="4" w:space="0" w:color="auto"/>
              <w:left w:val="single" w:sz="4" w:space="0" w:color="auto"/>
              <w:right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158</w:t>
            </w:r>
          </w:p>
        </w:tc>
        <w:tc>
          <w:tcPr>
            <w:tcW w:w="474" w:type="pct"/>
            <w:tcBorders>
              <w:top w:val="single" w:sz="4" w:space="0" w:color="auto"/>
              <w:left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27</w:t>
            </w:r>
          </w:p>
        </w:tc>
      </w:tr>
      <w:tr w:rsidR="00EE56C0">
        <w:trPr>
          <w:trHeight w:val="454"/>
          <w:jc w:val="center"/>
        </w:trPr>
        <w:tc>
          <w:tcPr>
            <w:tcW w:w="977" w:type="pct"/>
            <w:vMerge w:val="restart"/>
            <w:tcBorders>
              <w:right w:val="single" w:sz="4" w:space="0" w:color="auto"/>
            </w:tcBorders>
            <w:vAlign w:val="center"/>
          </w:tcPr>
          <w:p w:rsidR="00EE56C0" w:rsidRDefault="000F36A1">
            <w:pPr>
              <w:pStyle w:val="afa"/>
              <w:rPr>
                <w:u w:val="single"/>
              </w:rPr>
            </w:pPr>
            <w:r>
              <w:rPr>
                <w:rFonts w:hint="eastAsia"/>
                <w:u w:val="single"/>
              </w:rPr>
              <w:t>本次</w:t>
            </w:r>
            <w:r>
              <w:rPr>
                <w:rFonts w:hint="eastAsia"/>
                <w:u w:val="single"/>
              </w:rPr>
              <w:t>+</w:t>
            </w:r>
            <w:r>
              <w:rPr>
                <w:rFonts w:hint="eastAsia"/>
                <w:u w:val="single"/>
              </w:rPr>
              <w:t>现有反渗透浓水混合后</w:t>
            </w:r>
          </w:p>
        </w:tc>
        <w:tc>
          <w:tcPr>
            <w:tcW w:w="584"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u w:val="single"/>
              </w:rPr>
            </w:pPr>
            <w:r>
              <w:rPr>
                <w:rFonts w:hint="eastAsia"/>
                <w:u w:val="single"/>
              </w:rPr>
              <w:t>一期</w:t>
            </w:r>
          </w:p>
        </w:tc>
        <w:tc>
          <w:tcPr>
            <w:tcW w:w="581" w:type="pct"/>
            <w:tcBorders>
              <w:top w:val="single" w:sz="4" w:space="0" w:color="auto"/>
              <w:left w:val="single" w:sz="4" w:space="0" w:color="auto"/>
              <w:bottom w:val="single" w:sz="4" w:space="0" w:color="auto"/>
            </w:tcBorders>
            <w:vAlign w:val="center"/>
          </w:tcPr>
          <w:p w:rsidR="00EE56C0" w:rsidRDefault="000F36A1">
            <w:pPr>
              <w:pStyle w:val="afa"/>
              <w:rPr>
                <w:rFonts w:eastAsia="宋体"/>
                <w:u w:val="single"/>
              </w:rPr>
            </w:pPr>
            <w:r>
              <w:rPr>
                <w:u w:val="single"/>
              </w:rPr>
              <w:t>3.43</w:t>
            </w:r>
          </w:p>
        </w:tc>
        <w:tc>
          <w:tcPr>
            <w:tcW w:w="500" w:type="pct"/>
            <w:vAlign w:val="center"/>
          </w:tcPr>
          <w:p w:rsidR="00EE56C0" w:rsidRDefault="000F36A1">
            <w:pPr>
              <w:pStyle w:val="afa"/>
              <w:rPr>
                <w:rFonts w:eastAsia="宋体"/>
                <w:color w:val="000000"/>
                <w:u w:val="single"/>
              </w:rPr>
            </w:pPr>
            <w:r>
              <w:rPr>
                <w:color w:val="000000"/>
                <w:u w:val="single"/>
              </w:rPr>
              <w:t>16</w:t>
            </w:r>
          </w:p>
        </w:tc>
        <w:tc>
          <w:tcPr>
            <w:tcW w:w="498" w:type="pct"/>
            <w:vAlign w:val="center"/>
          </w:tcPr>
          <w:p w:rsidR="00EE56C0" w:rsidRDefault="000F36A1">
            <w:pPr>
              <w:pStyle w:val="afa"/>
              <w:rPr>
                <w:rFonts w:eastAsia="宋体"/>
                <w:color w:val="000000"/>
                <w:u w:val="single"/>
              </w:rPr>
            </w:pPr>
            <w:r>
              <w:rPr>
                <w:color w:val="000000"/>
                <w:u w:val="single"/>
              </w:rPr>
              <w:t>19</w:t>
            </w:r>
          </w:p>
        </w:tc>
        <w:tc>
          <w:tcPr>
            <w:tcW w:w="416" w:type="pct"/>
            <w:tcBorders>
              <w:right w:val="single" w:sz="4" w:space="0" w:color="auto"/>
            </w:tcBorders>
            <w:vAlign w:val="center"/>
          </w:tcPr>
          <w:p w:rsidR="00EE56C0" w:rsidRDefault="000F36A1">
            <w:pPr>
              <w:pStyle w:val="afa"/>
              <w:rPr>
                <w:rFonts w:eastAsia="宋体"/>
                <w:color w:val="000000"/>
                <w:u w:val="single"/>
              </w:rPr>
            </w:pPr>
            <w:r>
              <w:rPr>
                <w:color w:val="000000"/>
                <w:u w:val="single"/>
              </w:rPr>
              <w:t>0.251</w:t>
            </w:r>
          </w:p>
        </w:tc>
        <w:tc>
          <w:tcPr>
            <w:tcW w:w="415" w:type="pct"/>
            <w:tcBorders>
              <w:left w:val="single" w:sz="4" w:space="0" w:color="auto"/>
              <w:right w:val="single" w:sz="4" w:space="0" w:color="auto"/>
            </w:tcBorders>
            <w:vAlign w:val="center"/>
          </w:tcPr>
          <w:p w:rsidR="00EE56C0" w:rsidRDefault="000F36A1">
            <w:pPr>
              <w:pStyle w:val="afa"/>
              <w:rPr>
                <w:rFonts w:eastAsia="宋体"/>
                <w:color w:val="000000"/>
                <w:u w:val="single"/>
              </w:rPr>
            </w:pPr>
            <w:r>
              <w:rPr>
                <w:color w:val="000000"/>
                <w:u w:val="single"/>
              </w:rPr>
              <w:t>0.37</w:t>
            </w:r>
          </w:p>
        </w:tc>
        <w:tc>
          <w:tcPr>
            <w:tcW w:w="555" w:type="pct"/>
            <w:tcBorders>
              <w:left w:val="single" w:sz="4" w:space="0" w:color="auto"/>
              <w:right w:val="single" w:sz="4" w:space="0" w:color="auto"/>
            </w:tcBorders>
            <w:vAlign w:val="center"/>
          </w:tcPr>
          <w:p w:rsidR="00EE56C0" w:rsidRDefault="000F36A1">
            <w:pPr>
              <w:pStyle w:val="afa"/>
              <w:rPr>
                <w:rFonts w:eastAsia="宋体"/>
                <w:color w:val="000000"/>
                <w:u w:val="single"/>
              </w:rPr>
            </w:pPr>
            <w:r>
              <w:rPr>
                <w:color w:val="000000"/>
                <w:u w:val="single"/>
              </w:rPr>
              <w:t>0.93</w:t>
            </w:r>
          </w:p>
        </w:tc>
        <w:tc>
          <w:tcPr>
            <w:tcW w:w="474" w:type="pct"/>
            <w:tcBorders>
              <w:left w:val="single" w:sz="4" w:space="0" w:color="auto"/>
            </w:tcBorders>
            <w:vAlign w:val="center"/>
          </w:tcPr>
          <w:p w:rsidR="00EE56C0" w:rsidRDefault="000F36A1">
            <w:pPr>
              <w:pStyle w:val="afa"/>
              <w:rPr>
                <w:rFonts w:eastAsia="宋体"/>
                <w:color w:val="000000"/>
                <w:u w:val="single"/>
              </w:rPr>
            </w:pPr>
            <w:r>
              <w:rPr>
                <w:color w:val="000000"/>
                <w:u w:val="single"/>
              </w:rPr>
              <w:t>0</w:t>
            </w:r>
          </w:p>
        </w:tc>
      </w:tr>
      <w:tr w:rsidR="00EE56C0">
        <w:trPr>
          <w:trHeight w:val="454"/>
          <w:jc w:val="center"/>
        </w:trPr>
        <w:tc>
          <w:tcPr>
            <w:tcW w:w="977" w:type="pct"/>
            <w:vMerge/>
            <w:tcBorders>
              <w:right w:val="single" w:sz="4" w:space="0" w:color="auto"/>
            </w:tcBorders>
            <w:vAlign w:val="center"/>
          </w:tcPr>
          <w:p w:rsidR="00EE56C0" w:rsidRDefault="00EE56C0">
            <w:pPr>
              <w:pStyle w:val="afa"/>
              <w:rPr>
                <w:u w:val="single"/>
              </w:rPr>
            </w:pPr>
          </w:p>
        </w:tc>
        <w:tc>
          <w:tcPr>
            <w:tcW w:w="584"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u w:val="single"/>
              </w:rPr>
            </w:pPr>
            <w:r>
              <w:rPr>
                <w:rFonts w:hint="eastAsia"/>
                <w:u w:val="single"/>
              </w:rPr>
              <w:t>二期</w:t>
            </w:r>
          </w:p>
        </w:tc>
        <w:tc>
          <w:tcPr>
            <w:tcW w:w="581" w:type="pct"/>
            <w:tcBorders>
              <w:top w:val="single" w:sz="4" w:space="0" w:color="auto"/>
              <w:left w:val="single" w:sz="4" w:space="0" w:color="auto"/>
              <w:bottom w:val="single" w:sz="4" w:space="0" w:color="auto"/>
            </w:tcBorders>
            <w:vAlign w:val="center"/>
          </w:tcPr>
          <w:p w:rsidR="00EE56C0" w:rsidRDefault="000F36A1">
            <w:pPr>
              <w:pStyle w:val="afa"/>
              <w:rPr>
                <w:rFonts w:eastAsia="宋体"/>
                <w:u w:val="single"/>
              </w:rPr>
            </w:pPr>
            <w:r>
              <w:rPr>
                <w:u w:val="single"/>
              </w:rPr>
              <w:t>4.68</w:t>
            </w:r>
          </w:p>
        </w:tc>
        <w:tc>
          <w:tcPr>
            <w:tcW w:w="500" w:type="pct"/>
            <w:vAlign w:val="center"/>
          </w:tcPr>
          <w:p w:rsidR="00EE56C0" w:rsidRDefault="000F36A1">
            <w:pPr>
              <w:pStyle w:val="afa"/>
              <w:rPr>
                <w:rFonts w:eastAsia="宋体"/>
                <w:color w:val="000000"/>
                <w:u w:val="single"/>
              </w:rPr>
            </w:pPr>
            <w:r>
              <w:rPr>
                <w:color w:val="000000"/>
                <w:u w:val="single"/>
              </w:rPr>
              <w:t>16</w:t>
            </w:r>
          </w:p>
        </w:tc>
        <w:tc>
          <w:tcPr>
            <w:tcW w:w="498" w:type="pct"/>
            <w:vAlign w:val="center"/>
          </w:tcPr>
          <w:p w:rsidR="00EE56C0" w:rsidRDefault="000F36A1">
            <w:pPr>
              <w:pStyle w:val="afa"/>
              <w:rPr>
                <w:rFonts w:eastAsia="宋体"/>
                <w:color w:val="000000"/>
                <w:u w:val="single"/>
              </w:rPr>
            </w:pPr>
            <w:r>
              <w:rPr>
                <w:color w:val="000000"/>
                <w:u w:val="single"/>
              </w:rPr>
              <w:t xml:space="preserve">19 </w:t>
            </w:r>
          </w:p>
        </w:tc>
        <w:tc>
          <w:tcPr>
            <w:tcW w:w="416" w:type="pct"/>
            <w:tcBorders>
              <w:right w:val="single" w:sz="4" w:space="0" w:color="auto"/>
            </w:tcBorders>
            <w:vAlign w:val="center"/>
          </w:tcPr>
          <w:p w:rsidR="00EE56C0" w:rsidRDefault="000F36A1">
            <w:pPr>
              <w:pStyle w:val="afa"/>
              <w:rPr>
                <w:rFonts w:eastAsia="宋体"/>
                <w:color w:val="000000"/>
                <w:u w:val="single"/>
              </w:rPr>
            </w:pPr>
            <w:r>
              <w:rPr>
                <w:color w:val="000000"/>
                <w:u w:val="single"/>
              </w:rPr>
              <w:t>0.25</w:t>
            </w:r>
            <w:r>
              <w:rPr>
                <w:rFonts w:hint="eastAsia"/>
                <w:color w:val="000000"/>
                <w:u w:val="single"/>
              </w:rPr>
              <w:t>1</w:t>
            </w:r>
          </w:p>
        </w:tc>
        <w:tc>
          <w:tcPr>
            <w:tcW w:w="415" w:type="pct"/>
            <w:tcBorders>
              <w:left w:val="single" w:sz="4" w:space="0" w:color="auto"/>
              <w:right w:val="single" w:sz="4" w:space="0" w:color="auto"/>
            </w:tcBorders>
            <w:vAlign w:val="center"/>
          </w:tcPr>
          <w:p w:rsidR="00EE56C0" w:rsidRDefault="000F36A1">
            <w:pPr>
              <w:pStyle w:val="afa"/>
              <w:rPr>
                <w:rFonts w:eastAsia="宋体"/>
                <w:color w:val="000000"/>
                <w:u w:val="single"/>
              </w:rPr>
            </w:pPr>
            <w:r>
              <w:rPr>
                <w:color w:val="000000"/>
                <w:u w:val="single"/>
              </w:rPr>
              <w:t xml:space="preserve">0.37 </w:t>
            </w:r>
          </w:p>
        </w:tc>
        <w:tc>
          <w:tcPr>
            <w:tcW w:w="555" w:type="pct"/>
            <w:tcBorders>
              <w:left w:val="single" w:sz="4" w:space="0" w:color="auto"/>
              <w:right w:val="single" w:sz="4" w:space="0" w:color="auto"/>
            </w:tcBorders>
            <w:vAlign w:val="center"/>
          </w:tcPr>
          <w:p w:rsidR="00EE56C0" w:rsidRDefault="000F36A1">
            <w:pPr>
              <w:pStyle w:val="afa"/>
              <w:rPr>
                <w:rFonts w:eastAsia="宋体"/>
                <w:color w:val="000000"/>
                <w:u w:val="single"/>
              </w:rPr>
            </w:pPr>
            <w:r>
              <w:rPr>
                <w:color w:val="000000"/>
                <w:u w:val="single"/>
              </w:rPr>
              <w:t xml:space="preserve">0.93 </w:t>
            </w:r>
          </w:p>
        </w:tc>
        <w:tc>
          <w:tcPr>
            <w:tcW w:w="474" w:type="pct"/>
            <w:tcBorders>
              <w:left w:val="single" w:sz="4" w:space="0" w:color="auto"/>
            </w:tcBorders>
            <w:vAlign w:val="center"/>
          </w:tcPr>
          <w:p w:rsidR="00EE56C0" w:rsidRDefault="000F36A1">
            <w:pPr>
              <w:pStyle w:val="afa"/>
              <w:rPr>
                <w:rFonts w:eastAsia="宋体"/>
                <w:color w:val="000000"/>
                <w:u w:val="single"/>
              </w:rPr>
            </w:pPr>
            <w:r>
              <w:rPr>
                <w:color w:val="000000"/>
                <w:u w:val="single"/>
              </w:rPr>
              <w:t>0</w:t>
            </w:r>
          </w:p>
        </w:tc>
      </w:tr>
      <w:tr w:rsidR="00EE56C0">
        <w:trPr>
          <w:trHeight w:val="454"/>
          <w:jc w:val="center"/>
        </w:trPr>
        <w:tc>
          <w:tcPr>
            <w:tcW w:w="977" w:type="pct"/>
            <w:vMerge w:val="restart"/>
            <w:tcBorders>
              <w:right w:val="single" w:sz="4" w:space="0" w:color="auto"/>
            </w:tcBorders>
            <w:vAlign w:val="center"/>
          </w:tcPr>
          <w:p w:rsidR="00EE56C0" w:rsidRDefault="000F36A1">
            <w:pPr>
              <w:pStyle w:val="afa"/>
              <w:rPr>
                <w:u w:val="single"/>
              </w:rPr>
            </w:pPr>
            <w:r>
              <w:rPr>
                <w:rFonts w:hint="eastAsia"/>
                <w:u w:val="single"/>
              </w:rPr>
              <w:t>总排口（现有</w:t>
            </w:r>
            <w:r>
              <w:rPr>
                <w:rFonts w:hint="eastAsia"/>
                <w:u w:val="single"/>
              </w:rPr>
              <w:t>+</w:t>
            </w:r>
            <w:r>
              <w:rPr>
                <w:rFonts w:hint="eastAsia"/>
                <w:u w:val="single"/>
              </w:rPr>
              <w:t>本次合计）</w:t>
            </w:r>
          </w:p>
        </w:tc>
        <w:tc>
          <w:tcPr>
            <w:tcW w:w="584"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u w:val="single"/>
              </w:rPr>
            </w:pPr>
            <w:r>
              <w:rPr>
                <w:rFonts w:hint="eastAsia"/>
                <w:u w:val="single"/>
              </w:rPr>
              <w:t>一期建成后全厂</w:t>
            </w:r>
          </w:p>
        </w:tc>
        <w:tc>
          <w:tcPr>
            <w:tcW w:w="581" w:type="pct"/>
            <w:tcBorders>
              <w:top w:val="single" w:sz="4" w:space="0" w:color="auto"/>
              <w:left w:val="single" w:sz="4" w:space="0" w:color="auto"/>
              <w:bottom w:val="single" w:sz="4" w:space="0" w:color="auto"/>
            </w:tcBorders>
            <w:vAlign w:val="center"/>
          </w:tcPr>
          <w:p w:rsidR="00EE56C0" w:rsidRDefault="000F36A1">
            <w:pPr>
              <w:pStyle w:val="afa"/>
              <w:rPr>
                <w:rFonts w:eastAsia="宋体"/>
                <w:u w:val="single"/>
              </w:rPr>
            </w:pPr>
            <w:r>
              <w:rPr>
                <w:u w:val="single"/>
              </w:rPr>
              <w:t>15.408</w:t>
            </w:r>
          </w:p>
        </w:tc>
        <w:tc>
          <w:tcPr>
            <w:tcW w:w="500" w:type="pct"/>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 xml:space="preserve">189 </w:t>
            </w:r>
          </w:p>
        </w:tc>
        <w:tc>
          <w:tcPr>
            <w:tcW w:w="498" w:type="pct"/>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139</w:t>
            </w:r>
          </w:p>
        </w:tc>
        <w:tc>
          <w:tcPr>
            <w:tcW w:w="416" w:type="pct"/>
            <w:tcBorders>
              <w:right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18</w:t>
            </w:r>
          </w:p>
        </w:tc>
        <w:tc>
          <w:tcPr>
            <w:tcW w:w="415" w:type="pct"/>
            <w:tcBorders>
              <w:left w:val="single" w:sz="4" w:space="0" w:color="auto"/>
              <w:right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3</w:t>
            </w:r>
          </w:p>
        </w:tc>
        <w:tc>
          <w:tcPr>
            <w:tcW w:w="555" w:type="pct"/>
            <w:tcBorders>
              <w:left w:val="single" w:sz="4" w:space="0" w:color="auto"/>
              <w:right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 xml:space="preserve">22 </w:t>
            </w:r>
          </w:p>
        </w:tc>
        <w:tc>
          <w:tcPr>
            <w:tcW w:w="474" w:type="pct"/>
            <w:tcBorders>
              <w:left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 xml:space="preserve">22 </w:t>
            </w:r>
          </w:p>
        </w:tc>
      </w:tr>
      <w:tr w:rsidR="00EE56C0">
        <w:trPr>
          <w:trHeight w:val="454"/>
          <w:jc w:val="center"/>
        </w:trPr>
        <w:tc>
          <w:tcPr>
            <w:tcW w:w="977" w:type="pct"/>
            <w:vMerge/>
            <w:tcBorders>
              <w:right w:val="single" w:sz="4" w:space="0" w:color="auto"/>
            </w:tcBorders>
            <w:vAlign w:val="center"/>
          </w:tcPr>
          <w:p w:rsidR="00EE56C0" w:rsidRDefault="00EE56C0">
            <w:pPr>
              <w:pStyle w:val="afa"/>
              <w:rPr>
                <w:u w:val="single"/>
              </w:rPr>
            </w:pPr>
          </w:p>
        </w:tc>
        <w:tc>
          <w:tcPr>
            <w:tcW w:w="584"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u w:val="single"/>
              </w:rPr>
            </w:pPr>
            <w:r>
              <w:rPr>
                <w:rFonts w:hint="eastAsia"/>
                <w:u w:val="single"/>
              </w:rPr>
              <w:t>二期建成后全厂</w:t>
            </w:r>
          </w:p>
        </w:tc>
        <w:tc>
          <w:tcPr>
            <w:tcW w:w="581" w:type="pct"/>
            <w:tcBorders>
              <w:top w:val="single" w:sz="4" w:space="0" w:color="auto"/>
              <w:left w:val="single" w:sz="4" w:space="0" w:color="auto"/>
              <w:bottom w:val="single" w:sz="4" w:space="0" w:color="auto"/>
            </w:tcBorders>
            <w:vAlign w:val="center"/>
          </w:tcPr>
          <w:p w:rsidR="00EE56C0" w:rsidRDefault="000F36A1">
            <w:pPr>
              <w:pStyle w:val="afa"/>
              <w:rPr>
                <w:rFonts w:eastAsia="宋体"/>
                <w:u w:val="single"/>
              </w:rPr>
            </w:pPr>
            <w:r>
              <w:rPr>
                <w:u w:val="single"/>
              </w:rPr>
              <w:t>20.818</w:t>
            </w:r>
          </w:p>
        </w:tc>
        <w:tc>
          <w:tcPr>
            <w:tcW w:w="500" w:type="pct"/>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 xml:space="preserve">178 </w:t>
            </w:r>
          </w:p>
        </w:tc>
        <w:tc>
          <w:tcPr>
            <w:tcW w:w="498" w:type="pct"/>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 xml:space="preserve">127 </w:t>
            </w:r>
          </w:p>
        </w:tc>
        <w:tc>
          <w:tcPr>
            <w:tcW w:w="416" w:type="pct"/>
            <w:tcBorders>
              <w:right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 xml:space="preserve">17 </w:t>
            </w:r>
          </w:p>
        </w:tc>
        <w:tc>
          <w:tcPr>
            <w:tcW w:w="415" w:type="pct"/>
            <w:tcBorders>
              <w:left w:val="single" w:sz="4" w:space="0" w:color="auto"/>
              <w:right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 xml:space="preserve">3 </w:t>
            </w:r>
          </w:p>
        </w:tc>
        <w:tc>
          <w:tcPr>
            <w:tcW w:w="555" w:type="pct"/>
            <w:tcBorders>
              <w:left w:val="single" w:sz="4" w:space="0" w:color="auto"/>
              <w:right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21</w:t>
            </w:r>
          </w:p>
        </w:tc>
        <w:tc>
          <w:tcPr>
            <w:tcW w:w="474" w:type="pct"/>
            <w:tcBorders>
              <w:left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 xml:space="preserve">21 </w:t>
            </w:r>
          </w:p>
        </w:tc>
      </w:tr>
      <w:tr w:rsidR="00EE56C0">
        <w:trPr>
          <w:trHeight w:val="454"/>
          <w:jc w:val="center"/>
        </w:trPr>
        <w:tc>
          <w:tcPr>
            <w:tcW w:w="1561" w:type="pct"/>
            <w:gridSpan w:val="2"/>
            <w:tcBorders>
              <w:right w:val="single" w:sz="4" w:space="0" w:color="auto"/>
            </w:tcBorders>
            <w:vAlign w:val="center"/>
          </w:tcPr>
          <w:p w:rsidR="00EE56C0" w:rsidRDefault="000F36A1">
            <w:pPr>
              <w:pStyle w:val="afa"/>
              <w:rPr>
                <w:u w:val="single"/>
              </w:rPr>
            </w:pPr>
            <w:r>
              <w:rPr>
                <w:bCs/>
                <w:u w:val="single"/>
              </w:rPr>
              <w:t>《污水排污城镇下水道水质标准》（</w:t>
            </w:r>
            <w:r>
              <w:rPr>
                <w:bCs/>
                <w:u w:val="single"/>
              </w:rPr>
              <w:t>GB/T31962-2015</w:t>
            </w:r>
            <w:r>
              <w:rPr>
                <w:bCs/>
                <w:u w:val="single"/>
              </w:rPr>
              <w:t>）</w:t>
            </w:r>
            <w:r>
              <w:rPr>
                <w:bCs/>
                <w:u w:val="single"/>
              </w:rPr>
              <w:t>C</w:t>
            </w:r>
            <w:r>
              <w:rPr>
                <w:bCs/>
                <w:u w:val="single"/>
              </w:rPr>
              <w:t>级标准</w:t>
            </w:r>
          </w:p>
        </w:tc>
        <w:tc>
          <w:tcPr>
            <w:tcW w:w="581" w:type="pct"/>
            <w:tcBorders>
              <w:top w:val="single" w:sz="4" w:space="0" w:color="auto"/>
              <w:left w:val="single" w:sz="4" w:space="0" w:color="auto"/>
              <w:bottom w:val="single" w:sz="4" w:space="0" w:color="auto"/>
            </w:tcBorders>
            <w:vAlign w:val="center"/>
          </w:tcPr>
          <w:p w:rsidR="00EE56C0" w:rsidRDefault="000F36A1">
            <w:pPr>
              <w:pStyle w:val="afa"/>
              <w:rPr>
                <w:u w:val="single"/>
              </w:rPr>
            </w:pPr>
            <w:r>
              <w:rPr>
                <w:rFonts w:hint="eastAsia"/>
                <w:u w:val="single"/>
              </w:rPr>
              <w:t>/</w:t>
            </w:r>
          </w:p>
        </w:tc>
        <w:tc>
          <w:tcPr>
            <w:tcW w:w="500" w:type="pct"/>
            <w:vAlign w:val="center"/>
          </w:tcPr>
          <w:p w:rsidR="00EE56C0" w:rsidRDefault="000F36A1">
            <w:pPr>
              <w:pStyle w:val="afa"/>
              <w:rPr>
                <w:u w:val="single"/>
              </w:rPr>
            </w:pPr>
            <w:r>
              <w:rPr>
                <w:rFonts w:hint="eastAsia"/>
                <w:u w:val="single"/>
              </w:rPr>
              <w:t>300</w:t>
            </w:r>
          </w:p>
        </w:tc>
        <w:tc>
          <w:tcPr>
            <w:tcW w:w="498" w:type="pct"/>
            <w:vAlign w:val="center"/>
          </w:tcPr>
          <w:p w:rsidR="00EE56C0" w:rsidRDefault="000F36A1">
            <w:pPr>
              <w:pStyle w:val="afa"/>
              <w:rPr>
                <w:u w:val="single"/>
              </w:rPr>
            </w:pPr>
            <w:r>
              <w:rPr>
                <w:rFonts w:hint="eastAsia"/>
                <w:u w:val="single"/>
              </w:rPr>
              <w:t>250</w:t>
            </w:r>
          </w:p>
        </w:tc>
        <w:tc>
          <w:tcPr>
            <w:tcW w:w="416" w:type="pct"/>
            <w:tcBorders>
              <w:right w:val="single" w:sz="4" w:space="0" w:color="auto"/>
            </w:tcBorders>
            <w:vAlign w:val="center"/>
          </w:tcPr>
          <w:p w:rsidR="00EE56C0" w:rsidRDefault="000F36A1">
            <w:pPr>
              <w:pStyle w:val="afa"/>
              <w:rPr>
                <w:u w:val="single"/>
              </w:rPr>
            </w:pPr>
            <w:r>
              <w:rPr>
                <w:rFonts w:hint="eastAsia"/>
                <w:u w:val="single"/>
              </w:rPr>
              <w:t>25</w:t>
            </w:r>
          </w:p>
        </w:tc>
        <w:tc>
          <w:tcPr>
            <w:tcW w:w="415" w:type="pct"/>
            <w:tcBorders>
              <w:left w:val="single" w:sz="4" w:space="0" w:color="auto"/>
              <w:right w:val="single" w:sz="4" w:space="0" w:color="auto"/>
            </w:tcBorders>
            <w:vAlign w:val="center"/>
          </w:tcPr>
          <w:p w:rsidR="00EE56C0" w:rsidRDefault="000F36A1">
            <w:pPr>
              <w:pStyle w:val="afa"/>
              <w:rPr>
                <w:u w:val="single"/>
              </w:rPr>
            </w:pPr>
            <w:r>
              <w:rPr>
                <w:rFonts w:hint="eastAsia"/>
                <w:u w:val="single"/>
              </w:rPr>
              <w:t>5</w:t>
            </w:r>
          </w:p>
        </w:tc>
        <w:tc>
          <w:tcPr>
            <w:tcW w:w="555" w:type="pct"/>
            <w:tcBorders>
              <w:left w:val="single" w:sz="4" w:space="0" w:color="auto"/>
              <w:right w:val="single" w:sz="4" w:space="0" w:color="auto"/>
            </w:tcBorders>
            <w:vAlign w:val="center"/>
          </w:tcPr>
          <w:p w:rsidR="00EE56C0" w:rsidRDefault="000F36A1">
            <w:pPr>
              <w:pStyle w:val="afa"/>
              <w:rPr>
                <w:u w:val="single"/>
              </w:rPr>
            </w:pPr>
            <w:r>
              <w:rPr>
                <w:rFonts w:hint="eastAsia"/>
                <w:u w:val="single"/>
              </w:rPr>
              <w:t>45</w:t>
            </w:r>
          </w:p>
        </w:tc>
        <w:tc>
          <w:tcPr>
            <w:tcW w:w="474" w:type="pct"/>
            <w:tcBorders>
              <w:left w:val="single" w:sz="4" w:space="0" w:color="auto"/>
            </w:tcBorders>
            <w:vAlign w:val="center"/>
          </w:tcPr>
          <w:p w:rsidR="00EE56C0" w:rsidRDefault="000F36A1">
            <w:pPr>
              <w:pStyle w:val="afa"/>
              <w:rPr>
                <w:u w:val="single"/>
              </w:rPr>
            </w:pPr>
            <w:r>
              <w:rPr>
                <w:rFonts w:hint="eastAsia"/>
                <w:u w:val="single"/>
              </w:rPr>
              <w:t>100</w:t>
            </w:r>
          </w:p>
        </w:tc>
      </w:tr>
      <w:tr w:rsidR="00EE56C0">
        <w:trPr>
          <w:trHeight w:val="454"/>
          <w:jc w:val="center"/>
        </w:trPr>
        <w:tc>
          <w:tcPr>
            <w:tcW w:w="1561" w:type="pct"/>
            <w:gridSpan w:val="2"/>
            <w:tcBorders>
              <w:right w:val="single" w:sz="4" w:space="0" w:color="auto"/>
            </w:tcBorders>
            <w:vAlign w:val="center"/>
          </w:tcPr>
          <w:p w:rsidR="00EE56C0" w:rsidRDefault="000F36A1">
            <w:pPr>
              <w:pStyle w:val="afa"/>
              <w:rPr>
                <w:bCs/>
                <w:u w:val="single"/>
              </w:rPr>
            </w:pPr>
            <w:r>
              <w:rPr>
                <w:rFonts w:hint="eastAsia"/>
              </w:rPr>
              <w:lastRenderedPageBreak/>
              <w:t>新乡县综合污水处理厂</w:t>
            </w:r>
          </w:p>
        </w:tc>
        <w:tc>
          <w:tcPr>
            <w:tcW w:w="581" w:type="pct"/>
            <w:tcBorders>
              <w:top w:val="single" w:sz="4" w:space="0" w:color="auto"/>
              <w:left w:val="single" w:sz="4" w:space="0" w:color="auto"/>
              <w:bottom w:val="single" w:sz="4" w:space="0" w:color="auto"/>
            </w:tcBorders>
            <w:vAlign w:val="center"/>
          </w:tcPr>
          <w:p w:rsidR="00EE56C0" w:rsidRDefault="000F36A1">
            <w:pPr>
              <w:pStyle w:val="afa"/>
              <w:rPr>
                <w:u w:val="single"/>
              </w:rPr>
            </w:pPr>
            <w:r>
              <w:rPr>
                <w:rFonts w:hint="eastAsia"/>
                <w:u w:val="single"/>
              </w:rPr>
              <w:t>/</w:t>
            </w:r>
          </w:p>
        </w:tc>
        <w:tc>
          <w:tcPr>
            <w:tcW w:w="500" w:type="pct"/>
            <w:vAlign w:val="center"/>
          </w:tcPr>
          <w:p w:rsidR="00EE56C0" w:rsidRDefault="000F36A1">
            <w:pPr>
              <w:pStyle w:val="afa"/>
              <w:rPr>
                <w:u w:val="single"/>
              </w:rPr>
            </w:pPr>
            <w:r>
              <w:rPr>
                <w:rFonts w:hint="eastAsia"/>
                <w:u w:val="single"/>
              </w:rPr>
              <w:t>400</w:t>
            </w:r>
          </w:p>
        </w:tc>
        <w:tc>
          <w:tcPr>
            <w:tcW w:w="498" w:type="pct"/>
            <w:vAlign w:val="center"/>
          </w:tcPr>
          <w:p w:rsidR="00EE56C0" w:rsidRDefault="000F36A1">
            <w:pPr>
              <w:pStyle w:val="afa"/>
              <w:rPr>
                <w:u w:val="single"/>
              </w:rPr>
            </w:pPr>
            <w:r>
              <w:rPr>
                <w:rFonts w:hint="eastAsia"/>
                <w:u w:val="single"/>
              </w:rPr>
              <w:t>180</w:t>
            </w:r>
          </w:p>
        </w:tc>
        <w:tc>
          <w:tcPr>
            <w:tcW w:w="416" w:type="pct"/>
            <w:tcBorders>
              <w:right w:val="single" w:sz="4" w:space="0" w:color="auto"/>
            </w:tcBorders>
            <w:vAlign w:val="center"/>
          </w:tcPr>
          <w:p w:rsidR="00EE56C0" w:rsidRDefault="000F36A1">
            <w:pPr>
              <w:pStyle w:val="afa"/>
              <w:rPr>
                <w:u w:val="single"/>
              </w:rPr>
            </w:pPr>
            <w:r>
              <w:rPr>
                <w:rFonts w:hint="eastAsia"/>
                <w:u w:val="single"/>
              </w:rPr>
              <w:t>59</w:t>
            </w:r>
          </w:p>
        </w:tc>
        <w:tc>
          <w:tcPr>
            <w:tcW w:w="415" w:type="pct"/>
            <w:tcBorders>
              <w:left w:val="single" w:sz="4" w:space="0" w:color="auto"/>
              <w:right w:val="single" w:sz="4" w:space="0" w:color="auto"/>
            </w:tcBorders>
            <w:vAlign w:val="center"/>
          </w:tcPr>
          <w:p w:rsidR="00EE56C0" w:rsidRDefault="000F36A1">
            <w:pPr>
              <w:pStyle w:val="afa"/>
              <w:rPr>
                <w:u w:val="single"/>
              </w:rPr>
            </w:pPr>
            <w:r>
              <w:rPr>
                <w:rFonts w:hint="eastAsia"/>
                <w:u w:val="single"/>
              </w:rPr>
              <w:t>4</w:t>
            </w:r>
          </w:p>
        </w:tc>
        <w:tc>
          <w:tcPr>
            <w:tcW w:w="555" w:type="pct"/>
            <w:tcBorders>
              <w:left w:val="single" w:sz="4" w:space="0" w:color="auto"/>
              <w:right w:val="single" w:sz="4" w:space="0" w:color="auto"/>
            </w:tcBorders>
            <w:vAlign w:val="center"/>
          </w:tcPr>
          <w:p w:rsidR="00EE56C0" w:rsidRDefault="000F36A1">
            <w:pPr>
              <w:pStyle w:val="afa"/>
              <w:rPr>
                <w:u w:val="single"/>
              </w:rPr>
            </w:pPr>
            <w:r>
              <w:rPr>
                <w:rFonts w:hint="eastAsia"/>
                <w:u w:val="single"/>
              </w:rPr>
              <w:t>70</w:t>
            </w:r>
          </w:p>
        </w:tc>
        <w:tc>
          <w:tcPr>
            <w:tcW w:w="474" w:type="pct"/>
            <w:tcBorders>
              <w:left w:val="single" w:sz="4" w:space="0" w:color="auto"/>
            </w:tcBorders>
            <w:vAlign w:val="center"/>
          </w:tcPr>
          <w:p w:rsidR="00EE56C0" w:rsidRDefault="000F36A1">
            <w:pPr>
              <w:pStyle w:val="afa"/>
              <w:rPr>
                <w:u w:val="single"/>
              </w:rPr>
            </w:pPr>
            <w:r>
              <w:rPr>
                <w:rFonts w:hint="eastAsia"/>
                <w:u w:val="single"/>
              </w:rPr>
              <w:t>/</w:t>
            </w:r>
          </w:p>
        </w:tc>
      </w:tr>
      <w:tr w:rsidR="00EE56C0">
        <w:trPr>
          <w:trHeight w:val="454"/>
          <w:jc w:val="center"/>
        </w:trPr>
        <w:tc>
          <w:tcPr>
            <w:tcW w:w="1561" w:type="pct"/>
            <w:gridSpan w:val="2"/>
            <w:tcBorders>
              <w:right w:val="single" w:sz="4" w:space="0" w:color="auto"/>
            </w:tcBorders>
            <w:vAlign w:val="center"/>
          </w:tcPr>
          <w:p w:rsidR="00EE56C0" w:rsidRDefault="000F36A1">
            <w:pPr>
              <w:pStyle w:val="afa"/>
              <w:rPr>
                <w:bCs/>
                <w:u w:val="single"/>
              </w:rPr>
            </w:pPr>
            <w:r>
              <w:rPr>
                <w:rFonts w:hint="eastAsia"/>
                <w:bCs/>
                <w:u w:val="single"/>
              </w:rPr>
              <w:t>对标</w:t>
            </w:r>
          </w:p>
        </w:tc>
        <w:tc>
          <w:tcPr>
            <w:tcW w:w="581" w:type="pct"/>
            <w:tcBorders>
              <w:top w:val="single" w:sz="4" w:space="0" w:color="auto"/>
              <w:left w:val="single" w:sz="4" w:space="0" w:color="auto"/>
            </w:tcBorders>
            <w:vAlign w:val="center"/>
          </w:tcPr>
          <w:p w:rsidR="00EE56C0" w:rsidRDefault="000F36A1">
            <w:pPr>
              <w:pStyle w:val="afa"/>
              <w:rPr>
                <w:u w:val="single"/>
              </w:rPr>
            </w:pPr>
            <w:r>
              <w:rPr>
                <w:u w:val="single"/>
              </w:rPr>
              <w:t>达标</w:t>
            </w:r>
          </w:p>
        </w:tc>
        <w:tc>
          <w:tcPr>
            <w:tcW w:w="500" w:type="pct"/>
            <w:vAlign w:val="center"/>
          </w:tcPr>
          <w:p w:rsidR="00EE56C0" w:rsidRDefault="000F36A1">
            <w:pPr>
              <w:pStyle w:val="afa"/>
              <w:rPr>
                <w:u w:val="single"/>
              </w:rPr>
            </w:pPr>
            <w:r>
              <w:rPr>
                <w:u w:val="single"/>
              </w:rPr>
              <w:t>达标</w:t>
            </w:r>
          </w:p>
        </w:tc>
        <w:tc>
          <w:tcPr>
            <w:tcW w:w="498" w:type="pct"/>
            <w:vAlign w:val="center"/>
          </w:tcPr>
          <w:p w:rsidR="00EE56C0" w:rsidRDefault="000F36A1">
            <w:pPr>
              <w:pStyle w:val="afa"/>
              <w:rPr>
                <w:u w:val="single"/>
              </w:rPr>
            </w:pPr>
            <w:r>
              <w:rPr>
                <w:u w:val="single"/>
              </w:rPr>
              <w:t>达标</w:t>
            </w:r>
          </w:p>
        </w:tc>
        <w:tc>
          <w:tcPr>
            <w:tcW w:w="416" w:type="pct"/>
            <w:tcBorders>
              <w:right w:val="single" w:sz="4" w:space="0" w:color="auto"/>
            </w:tcBorders>
            <w:vAlign w:val="center"/>
          </w:tcPr>
          <w:p w:rsidR="00EE56C0" w:rsidRDefault="000F36A1">
            <w:pPr>
              <w:pStyle w:val="afa"/>
              <w:rPr>
                <w:u w:val="single"/>
              </w:rPr>
            </w:pPr>
            <w:r>
              <w:rPr>
                <w:u w:val="single"/>
              </w:rPr>
              <w:t>达标</w:t>
            </w:r>
          </w:p>
        </w:tc>
        <w:tc>
          <w:tcPr>
            <w:tcW w:w="415" w:type="pct"/>
            <w:tcBorders>
              <w:left w:val="single" w:sz="4" w:space="0" w:color="auto"/>
              <w:right w:val="single" w:sz="4" w:space="0" w:color="auto"/>
            </w:tcBorders>
            <w:vAlign w:val="center"/>
          </w:tcPr>
          <w:p w:rsidR="00EE56C0" w:rsidRDefault="000F36A1">
            <w:pPr>
              <w:pStyle w:val="afa"/>
              <w:rPr>
                <w:u w:val="single"/>
              </w:rPr>
            </w:pPr>
            <w:r>
              <w:rPr>
                <w:u w:val="single"/>
              </w:rPr>
              <w:t>达标</w:t>
            </w:r>
          </w:p>
        </w:tc>
        <w:tc>
          <w:tcPr>
            <w:tcW w:w="555" w:type="pct"/>
            <w:tcBorders>
              <w:left w:val="single" w:sz="4" w:space="0" w:color="auto"/>
              <w:right w:val="single" w:sz="4" w:space="0" w:color="auto"/>
            </w:tcBorders>
            <w:vAlign w:val="center"/>
          </w:tcPr>
          <w:p w:rsidR="00EE56C0" w:rsidRDefault="000F36A1">
            <w:pPr>
              <w:pStyle w:val="afa"/>
              <w:rPr>
                <w:u w:val="single"/>
              </w:rPr>
            </w:pPr>
            <w:r>
              <w:rPr>
                <w:u w:val="single"/>
              </w:rPr>
              <w:t>达标</w:t>
            </w:r>
          </w:p>
        </w:tc>
        <w:tc>
          <w:tcPr>
            <w:tcW w:w="474" w:type="pct"/>
            <w:tcBorders>
              <w:left w:val="single" w:sz="4" w:space="0" w:color="auto"/>
            </w:tcBorders>
            <w:vAlign w:val="center"/>
          </w:tcPr>
          <w:p w:rsidR="00EE56C0" w:rsidRDefault="000F36A1">
            <w:pPr>
              <w:pStyle w:val="afa"/>
              <w:rPr>
                <w:u w:val="single"/>
              </w:rPr>
            </w:pPr>
            <w:r>
              <w:rPr>
                <w:u w:val="single"/>
              </w:rPr>
              <w:t>达标</w:t>
            </w:r>
          </w:p>
        </w:tc>
      </w:tr>
    </w:tbl>
    <w:p w:rsidR="00EE56C0" w:rsidRDefault="000F36A1">
      <w:pPr>
        <w:ind w:firstLine="480"/>
      </w:pPr>
      <w:r>
        <w:rPr>
          <w:rFonts w:hint="eastAsia"/>
        </w:rPr>
        <w:t>由上表可以看出，本厂废水经处理后，总排口各项水质均能满足</w:t>
      </w:r>
      <w:r>
        <w:rPr>
          <w:bCs/>
        </w:rPr>
        <w:t>《污水排污城镇下水道水质标准》（</w:t>
      </w:r>
      <w:r>
        <w:rPr>
          <w:bCs/>
        </w:rPr>
        <w:t>GB/T31962-2015</w:t>
      </w:r>
      <w:r>
        <w:rPr>
          <w:bCs/>
        </w:rPr>
        <w:t>）</w:t>
      </w:r>
      <w:r>
        <w:rPr>
          <w:bCs/>
        </w:rPr>
        <w:t>C</w:t>
      </w:r>
      <w:r>
        <w:rPr>
          <w:bCs/>
        </w:rPr>
        <w:t>级</w:t>
      </w:r>
      <w:r>
        <w:rPr>
          <w:rFonts w:cs="宋体" w:hint="eastAsia"/>
          <w:szCs w:val="24"/>
        </w:rPr>
        <w:t>及</w:t>
      </w:r>
      <w:r>
        <w:rPr>
          <w:rFonts w:cs="宋体" w:hint="eastAsia"/>
        </w:rPr>
        <w:t>新乡县综合污水处理厂收水标准要求</w:t>
      </w:r>
      <w:r>
        <w:rPr>
          <w:rFonts w:hint="eastAsia"/>
        </w:rPr>
        <w:t>，进入新乡县综合污水处理厂进一步处理。新乡县综合污水处理厂出水执行标准为：</w:t>
      </w:r>
      <w:r>
        <w:rPr>
          <w:rFonts w:hint="eastAsia"/>
        </w:rPr>
        <w:t>COD40mg/L</w:t>
      </w:r>
      <w:r>
        <w:rPr>
          <w:rFonts w:hint="eastAsia"/>
        </w:rPr>
        <w:t>、</w:t>
      </w:r>
      <w:r>
        <w:rPr>
          <w:rFonts w:hint="eastAsia"/>
        </w:rPr>
        <w:t>NH</w:t>
      </w:r>
      <w:r>
        <w:rPr>
          <w:rFonts w:hint="eastAsia"/>
          <w:vertAlign w:val="subscript"/>
        </w:rPr>
        <w:t>3</w:t>
      </w:r>
      <w:r>
        <w:rPr>
          <w:rFonts w:hint="eastAsia"/>
        </w:rPr>
        <w:t>-N2mg/L</w:t>
      </w:r>
      <w:r>
        <w:rPr>
          <w:rFonts w:hint="eastAsia"/>
        </w:rPr>
        <w:t>、</w:t>
      </w:r>
      <w:r>
        <w:rPr>
          <w:rFonts w:hint="eastAsia"/>
        </w:rPr>
        <w:t>TP0.4mg/L</w:t>
      </w:r>
      <w:r>
        <w:rPr>
          <w:rFonts w:hint="eastAsia"/>
        </w:rPr>
        <w:t>、</w:t>
      </w:r>
      <w:r>
        <w:rPr>
          <w:rFonts w:hint="eastAsia"/>
        </w:rPr>
        <w:t>TN15mg/L</w:t>
      </w:r>
      <w:r>
        <w:rPr>
          <w:rFonts w:hint="eastAsia"/>
        </w:rPr>
        <w:t>。</w:t>
      </w:r>
    </w:p>
    <w:p w:rsidR="00EE56C0" w:rsidRDefault="000F36A1">
      <w:pPr>
        <w:pStyle w:val="4"/>
        <w:ind w:left="120" w:firstLine="241"/>
      </w:pPr>
      <w:r>
        <w:rPr>
          <w:rFonts w:hint="eastAsia"/>
        </w:rPr>
        <w:t>3.7.2.3</w:t>
      </w:r>
      <w:r>
        <w:rPr>
          <w:rFonts w:hint="eastAsia"/>
        </w:rPr>
        <w:t>废水污染物排放信息</w:t>
      </w:r>
    </w:p>
    <w:p w:rsidR="00EE56C0" w:rsidRDefault="000F36A1">
      <w:pPr>
        <w:pStyle w:val="17"/>
        <w:ind w:firstLine="480"/>
        <w:rPr>
          <w:rFonts w:cs="Times New Roman"/>
        </w:rPr>
      </w:pPr>
      <w:r>
        <w:rPr>
          <w:rFonts w:ascii="宋体" w:hAnsi="宋体" w:hint="eastAsia"/>
        </w:rPr>
        <w:t>①</w:t>
      </w:r>
      <w:r>
        <w:rPr>
          <w:rFonts w:cs="Times New Roman"/>
        </w:rPr>
        <w:t>废水类别、污染物及污染治理设施信息表</w:t>
      </w:r>
    </w:p>
    <w:p w:rsidR="00EE56C0" w:rsidRDefault="000F36A1">
      <w:pPr>
        <w:pStyle w:val="afd"/>
        <w:spacing w:before="120" w:after="120"/>
        <w:ind w:firstLine="482"/>
        <w:rPr>
          <w:lang w:val="pt-BR"/>
        </w:rPr>
      </w:pPr>
      <w:r>
        <w:rPr>
          <w:lang w:val="pt-BR"/>
        </w:rPr>
        <w:t>表</w:t>
      </w:r>
      <w:r>
        <w:rPr>
          <w:rFonts w:hint="eastAsia"/>
          <w:lang w:val="pt-BR"/>
        </w:rPr>
        <w:t>3-51</w:t>
      </w:r>
      <w:r>
        <w:rPr>
          <w:lang w:val="pt-BR"/>
        </w:rPr>
        <w:t xml:space="preserve">        </w:t>
      </w:r>
      <w:r>
        <w:rPr>
          <w:lang w:val="pt-BR"/>
        </w:rPr>
        <w:t>废水类别、污染物及污染治理设施信息表</w:t>
      </w:r>
    </w:p>
    <w:tbl>
      <w:tblPr>
        <w:tblpPr w:leftFromText="180" w:rightFromText="180" w:vertAnchor="text" w:tblpXSpec="center"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62"/>
        <w:gridCol w:w="1056"/>
        <w:gridCol w:w="505"/>
        <w:gridCol w:w="1039"/>
        <w:gridCol w:w="914"/>
        <w:gridCol w:w="778"/>
        <w:gridCol w:w="779"/>
        <w:gridCol w:w="943"/>
        <w:gridCol w:w="754"/>
        <w:gridCol w:w="1098"/>
      </w:tblGrid>
      <w:tr w:rsidR="00EE56C0">
        <w:trPr>
          <w:trHeight w:val="397"/>
        </w:trPr>
        <w:tc>
          <w:tcPr>
            <w:tcW w:w="388" w:type="pct"/>
            <w:vMerge w:val="restart"/>
            <w:vAlign w:val="center"/>
          </w:tcPr>
          <w:p w:rsidR="00EE56C0" w:rsidRDefault="000F36A1">
            <w:pPr>
              <w:pStyle w:val="afa"/>
              <w:rPr>
                <w:b/>
              </w:rPr>
            </w:pPr>
            <w:r>
              <w:rPr>
                <w:b/>
              </w:rPr>
              <w:t>废水类别</w:t>
            </w:r>
          </w:p>
        </w:tc>
        <w:tc>
          <w:tcPr>
            <w:tcW w:w="619" w:type="pct"/>
            <w:vMerge w:val="restart"/>
            <w:vAlign w:val="center"/>
          </w:tcPr>
          <w:p w:rsidR="00EE56C0" w:rsidRDefault="000F36A1">
            <w:pPr>
              <w:pStyle w:val="afa"/>
              <w:rPr>
                <w:b/>
              </w:rPr>
            </w:pPr>
            <w:r>
              <w:rPr>
                <w:b/>
              </w:rPr>
              <w:t>污染物种类</w:t>
            </w:r>
          </w:p>
        </w:tc>
        <w:tc>
          <w:tcPr>
            <w:tcW w:w="296" w:type="pct"/>
            <w:vMerge w:val="restart"/>
            <w:vAlign w:val="center"/>
          </w:tcPr>
          <w:p w:rsidR="00EE56C0" w:rsidRDefault="000F36A1">
            <w:pPr>
              <w:pStyle w:val="afa"/>
              <w:rPr>
                <w:b/>
              </w:rPr>
            </w:pPr>
            <w:r>
              <w:rPr>
                <w:b/>
              </w:rPr>
              <w:t>排放去向</w:t>
            </w:r>
          </w:p>
        </w:tc>
        <w:tc>
          <w:tcPr>
            <w:tcW w:w="609" w:type="pct"/>
            <w:vMerge w:val="restart"/>
            <w:vAlign w:val="center"/>
          </w:tcPr>
          <w:p w:rsidR="00EE56C0" w:rsidRDefault="000F36A1">
            <w:pPr>
              <w:pStyle w:val="afa"/>
              <w:rPr>
                <w:b/>
              </w:rPr>
            </w:pPr>
            <w:r>
              <w:rPr>
                <w:b/>
              </w:rPr>
              <w:t>排放规律</w:t>
            </w:r>
          </w:p>
        </w:tc>
        <w:tc>
          <w:tcPr>
            <w:tcW w:w="1449" w:type="pct"/>
            <w:gridSpan w:val="3"/>
            <w:vAlign w:val="center"/>
          </w:tcPr>
          <w:p w:rsidR="00EE56C0" w:rsidRDefault="000F36A1">
            <w:pPr>
              <w:pStyle w:val="afa"/>
              <w:rPr>
                <w:b/>
              </w:rPr>
            </w:pPr>
            <w:r>
              <w:rPr>
                <w:b/>
              </w:rPr>
              <w:t>污染治理措施</w:t>
            </w:r>
          </w:p>
        </w:tc>
        <w:tc>
          <w:tcPr>
            <w:tcW w:w="553" w:type="pct"/>
            <w:vMerge w:val="restart"/>
            <w:vAlign w:val="center"/>
          </w:tcPr>
          <w:p w:rsidR="00EE56C0" w:rsidRDefault="000F36A1">
            <w:pPr>
              <w:pStyle w:val="afa"/>
              <w:rPr>
                <w:b/>
              </w:rPr>
            </w:pPr>
            <w:r>
              <w:rPr>
                <w:b/>
              </w:rPr>
              <w:t>排放口编号</w:t>
            </w:r>
          </w:p>
        </w:tc>
        <w:tc>
          <w:tcPr>
            <w:tcW w:w="442" w:type="pct"/>
            <w:vMerge w:val="restart"/>
            <w:vAlign w:val="center"/>
          </w:tcPr>
          <w:p w:rsidR="00EE56C0" w:rsidRDefault="000F36A1">
            <w:pPr>
              <w:pStyle w:val="afa"/>
              <w:rPr>
                <w:b/>
              </w:rPr>
            </w:pPr>
            <w:r>
              <w:rPr>
                <w:b/>
              </w:rPr>
              <w:t>排放口设置是否符合要求</w:t>
            </w:r>
          </w:p>
        </w:tc>
        <w:tc>
          <w:tcPr>
            <w:tcW w:w="644" w:type="pct"/>
            <w:vMerge w:val="restart"/>
            <w:vAlign w:val="center"/>
          </w:tcPr>
          <w:p w:rsidR="00EE56C0" w:rsidRDefault="000F36A1">
            <w:pPr>
              <w:pStyle w:val="afa"/>
              <w:rPr>
                <w:b/>
              </w:rPr>
            </w:pPr>
            <w:r>
              <w:rPr>
                <w:b/>
              </w:rPr>
              <w:t>排放口类型</w:t>
            </w:r>
          </w:p>
        </w:tc>
      </w:tr>
      <w:tr w:rsidR="00EE56C0">
        <w:trPr>
          <w:trHeight w:val="397"/>
        </w:trPr>
        <w:tc>
          <w:tcPr>
            <w:tcW w:w="388" w:type="pct"/>
            <w:vMerge/>
            <w:vAlign w:val="center"/>
          </w:tcPr>
          <w:p w:rsidR="00EE56C0" w:rsidRDefault="00EE56C0">
            <w:pPr>
              <w:pStyle w:val="afa"/>
            </w:pPr>
          </w:p>
        </w:tc>
        <w:tc>
          <w:tcPr>
            <w:tcW w:w="619" w:type="pct"/>
            <w:vMerge/>
            <w:vAlign w:val="center"/>
          </w:tcPr>
          <w:p w:rsidR="00EE56C0" w:rsidRDefault="00EE56C0">
            <w:pPr>
              <w:pStyle w:val="afa"/>
            </w:pPr>
          </w:p>
        </w:tc>
        <w:tc>
          <w:tcPr>
            <w:tcW w:w="296" w:type="pct"/>
            <w:vMerge/>
            <w:vAlign w:val="center"/>
          </w:tcPr>
          <w:p w:rsidR="00EE56C0" w:rsidRDefault="00EE56C0">
            <w:pPr>
              <w:pStyle w:val="afa"/>
            </w:pPr>
          </w:p>
        </w:tc>
        <w:tc>
          <w:tcPr>
            <w:tcW w:w="609" w:type="pct"/>
            <w:vMerge/>
            <w:vAlign w:val="center"/>
          </w:tcPr>
          <w:p w:rsidR="00EE56C0" w:rsidRDefault="00EE56C0">
            <w:pPr>
              <w:pStyle w:val="afa"/>
            </w:pPr>
          </w:p>
        </w:tc>
        <w:tc>
          <w:tcPr>
            <w:tcW w:w="536" w:type="pct"/>
            <w:vAlign w:val="center"/>
          </w:tcPr>
          <w:p w:rsidR="00EE56C0" w:rsidRDefault="000F36A1">
            <w:pPr>
              <w:pStyle w:val="afa"/>
              <w:rPr>
                <w:b/>
              </w:rPr>
            </w:pPr>
            <w:r>
              <w:rPr>
                <w:b/>
              </w:rPr>
              <w:t>污染治理措施编号</w:t>
            </w:r>
          </w:p>
        </w:tc>
        <w:tc>
          <w:tcPr>
            <w:tcW w:w="456" w:type="pct"/>
            <w:vAlign w:val="center"/>
          </w:tcPr>
          <w:p w:rsidR="00EE56C0" w:rsidRDefault="000F36A1">
            <w:pPr>
              <w:pStyle w:val="afa"/>
              <w:rPr>
                <w:b/>
              </w:rPr>
            </w:pPr>
            <w:r>
              <w:rPr>
                <w:b/>
              </w:rPr>
              <w:t>污染治理措施名称</w:t>
            </w:r>
          </w:p>
        </w:tc>
        <w:tc>
          <w:tcPr>
            <w:tcW w:w="457" w:type="pct"/>
            <w:vAlign w:val="center"/>
          </w:tcPr>
          <w:p w:rsidR="00EE56C0" w:rsidRDefault="000F36A1">
            <w:pPr>
              <w:pStyle w:val="afa"/>
              <w:rPr>
                <w:b/>
              </w:rPr>
            </w:pPr>
            <w:r>
              <w:rPr>
                <w:b/>
              </w:rPr>
              <w:t>污染治理措施工艺</w:t>
            </w:r>
          </w:p>
        </w:tc>
        <w:tc>
          <w:tcPr>
            <w:tcW w:w="553" w:type="pct"/>
            <w:vMerge/>
            <w:vAlign w:val="center"/>
          </w:tcPr>
          <w:p w:rsidR="00EE56C0" w:rsidRDefault="00EE56C0">
            <w:pPr>
              <w:pStyle w:val="afa"/>
            </w:pPr>
          </w:p>
        </w:tc>
        <w:tc>
          <w:tcPr>
            <w:tcW w:w="442" w:type="pct"/>
            <w:vMerge/>
            <w:vAlign w:val="center"/>
          </w:tcPr>
          <w:p w:rsidR="00EE56C0" w:rsidRDefault="00EE56C0">
            <w:pPr>
              <w:pStyle w:val="afa"/>
            </w:pPr>
          </w:p>
        </w:tc>
        <w:tc>
          <w:tcPr>
            <w:tcW w:w="644" w:type="pct"/>
            <w:vMerge/>
            <w:vAlign w:val="center"/>
          </w:tcPr>
          <w:p w:rsidR="00EE56C0" w:rsidRDefault="00EE56C0">
            <w:pPr>
              <w:pStyle w:val="afa"/>
            </w:pPr>
          </w:p>
        </w:tc>
      </w:tr>
      <w:tr w:rsidR="00EE56C0">
        <w:trPr>
          <w:trHeight w:val="1633"/>
        </w:trPr>
        <w:tc>
          <w:tcPr>
            <w:tcW w:w="388" w:type="pct"/>
            <w:vAlign w:val="center"/>
          </w:tcPr>
          <w:p w:rsidR="00EE56C0" w:rsidRDefault="000F36A1">
            <w:pPr>
              <w:pStyle w:val="afa"/>
            </w:pPr>
            <w:r>
              <w:rPr>
                <w:rFonts w:hint="eastAsia"/>
              </w:rPr>
              <w:t>生活污水</w:t>
            </w:r>
          </w:p>
        </w:tc>
        <w:tc>
          <w:tcPr>
            <w:tcW w:w="619" w:type="pct"/>
            <w:vAlign w:val="center"/>
          </w:tcPr>
          <w:p w:rsidR="00EE56C0" w:rsidRDefault="000F36A1">
            <w:pPr>
              <w:pStyle w:val="afa"/>
            </w:pPr>
            <w:r>
              <w:rPr>
                <w:bCs/>
                <w:spacing w:val="-4"/>
              </w:rPr>
              <w:t>COD</w:t>
            </w:r>
            <w:r>
              <w:rPr>
                <w:bCs/>
                <w:spacing w:val="-4"/>
              </w:rPr>
              <w:t>、</w:t>
            </w:r>
            <w:r>
              <w:rPr>
                <w:rFonts w:hint="eastAsia"/>
                <w:bCs/>
                <w:spacing w:val="-4"/>
              </w:rPr>
              <w:t>SS</w:t>
            </w:r>
            <w:r>
              <w:rPr>
                <w:rFonts w:hint="eastAsia"/>
                <w:bCs/>
                <w:spacing w:val="-4"/>
              </w:rPr>
              <w:t>、</w:t>
            </w:r>
            <w:r>
              <w:rPr>
                <w:bCs/>
                <w:spacing w:val="-4"/>
              </w:rPr>
              <w:t>NH</w:t>
            </w:r>
            <w:r>
              <w:rPr>
                <w:bCs/>
                <w:spacing w:val="-4"/>
                <w:vertAlign w:val="subscript"/>
              </w:rPr>
              <w:t>3</w:t>
            </w:r>
            <w:r>
              <w:rPr>
                <w:bCs/>
                <w:spacing w:val="-4"/>
              </w:rPr>
              <w:t>-N</w:t>
            </w:r>
            <w:r>
              <w:rPr>
                <w:bCs/>
                <w:spacing w:val="-4"/>
              </w:rPr>
              <w:t>、</w:t>
            </w:r>
            <w:r>
              <w:rPr>
                <w:bCs/>
                <w:spacing w:val="-4"/>
              </w:rPr>
              <w:t xml:space="preserve"> TP</w:t>
            </w:r>
            <w:r>
              <w:rPr>
                <w:bCs/>
                <w:spacing w:val="-4"/>
              </w:rPr>
              <w:t>、</w:t>
            </w:r>
            <w:r>
              <w:rPr>
                <w:bCs/>
                <w:spacing w:val="-4"/>
              </w:rPr>
              <w:t>TN</w:t>
            </w:r>
            <w:r>
              <w:rPr>
                <w:rFonts w:hint="eastAsia"/>
                <w:bCs/>
                <w:spacing w:val="-4"/>
              </w:rPr>
              <w:t>、动植物油</w:t>
            </w:r>
          </w:p>
        </w:tc>
        <w:tc>
          <w:tcPr>
            <w:tcW w:w="296" w:type="pct"/>
            <w:vMerge w:val="restart"/>
            <w:vAlign w:val="center"/>
          </w:tcPr>
          <w:p w:rsidR="00EE56C0" w:rsidRDefault="000F36A1">
            <w:pPr>
              <w:pStyle w:val="afa"/>
            </w:pPr>
            <w:r>
              <w:t>城市污水处理厂</w:t>
            </w:r>
          </w:p>
        </w:tc>
        <w:tc>
          <w:tcPr>
            <w:tcW w:w="609" w:type="pct"/>
            <w:vMerge w:val="restart"/>
            <w:vAlign w:val="center"/>
          </w:tcPr>
          <w:p w:rsidR="00EE56C0" w:rsidRDefault="000F36A1">
            <w:pPr>
              <w:pStyle w:val="afa"/>
            </w:pPr>
            <w:r>
              <w:t>间断排放，排放期间流量不稳定且无规律，但不属于冲击型排放</w:t>
            </w:r>
          </w:p>
        </w:tc>
        <w:tc>
          <w:tcPr>
            <w:tcW w:w="536" w:type="pct"/>
            <w:vMerge w:val="restart"/>
            <w:vAlign w:val="center"/>
          </w:tcPr>
          <w:p w:rsidR="00EE56C0" w:rsidRDefault="000F36A1">
            <w:pPr>
              <w:pStyle w:val="afa"/>
            </w:pPr>
            <w:r>
              <w:t>TW001</w:t>
            </w:r>
          </w:p>
        </w:tc>
        <w:tc>
          <w:tcPr>
            <w:tcW w:w="456" w:type="pct"/>
            <w:vAlign w:val="center"/>
          </w:tcPr>
          <w:p w:rsidR="00EE56C0" w:rsidRDefault="000F36A1">
            <w:pPr>
              <w:pStyle w:val="afa"/>
            </w:pPr>
            <w:r>
              <w:rPr>
                <w:rFonts w:hint="eastAsia"/>
              </w:rPr>
              <w:t>生活污水处理系统</w:t>
            </w:r>
          </w:p>
        </w:tc>
        <w:tc>
          <w:tcPr>
            <w:tcW w:w="457" w:type="pct"/>
            <w:vAlign w:val="center"/>
          </w:tcPr>
          <w:p w:rsidR="00EE56C0" w:rsidRDefault="000F36A1">
            <w:pPr>
              <w:pStyle w:val="afa"/>
            </w:pPr>
            <w:r>
              <w:rPr>
                <w:rFonts w:hint="eastAsia"/>
              </w:rPr>
              <w:t>隔油池</w:t>
            </w:r>
            <w:r>
              <w:rPr>
                <w:rFonts w:hint="eastAsia"/>
              </w:rPr>
              <w:t>+</w:t>
            </w:r>
            <w:r>
              <w:rPr>
                <w:rFonts w:hint="eastAsia"/>
              </w:rPr>
              <w:t>化粪池</w:t>
            </w:r>
          </w:p>
        </w:tc>
        <w:tc>
          <w:tcPr>
            <w:tcW w:w="553" w:type="pct"/>
            <w:vMerge w:val="restart"/>
            <w:vAlign w:val="center"/>
          </w:tcPr>
          <w:p w:rsidR="00EE56C0" w:rsidRDefault="000F36A1">
            <w:pPr>
              <w:pStyle w:val="afa"/>
            </w:pPr>
            <w:r>
              <w:t>DW001</w:t>
            </w:r>
          </w:p>
        </w:tc>
        <w:tc>
          <w:tcPr>
            <w:tcW w:w="442" w:type="pct"/>
            <w:vMerge w:val="restart"/>
            <w:vAlign w:val="center"/>
          </w:tcPr>
          <w:p w:rsidR="00EE56C0" w:rsidRDefault="000F36A1">
            <w:pPr>
              <w:pStyle w:val="afa"/>
            </w:pPr>
            <w:r>
              <w:rPr>
                <w:rFonts w:eastAsia="MS Mincho"/>
              </w:rPr>
              <w:sym w:font="Wingdings" w:char="F0FE"/>
            </w:r>
            <w:r>
              <w:t>是</w:t>
            </w:r>
          </w:p>
          <w:p w:rsidR="00EE56C0" w:rsidRDefault="000F36A1">
            <w:pPr>
              <w:pStyle w:val="afa"/>
            </w:pPr>
            <w:r>
              <w:rPr>
                <w:spacing w:val="-1"/>
              </w:rPr>
              <w:t>□</w:t>
            </w:r>
            <w:r>
              <w:t>否</w:t>
            </w:r>
          </w:p>
        </w:tc>
        <w:tc>
          <w:tcPr>
            <w:tcW w:w="644" w:type="pct"/>
            <w:vMerge w:val="restart"/>
            <w:vAlign w:val="center"/>
          </w:tcPr>
          <w:p w:rsidR="00EE56C0" w:rsidRDefault="000F36A1">
            <w:pPr>
              <w:pStyle w:val="afa"/>
            </w:pPr>
            <w:r>
              <w:rPr>
                <w:rFonts w:eastAsia="MS Mincho"/>
              </w:rPr>
              <w:sym w:font="Wingdings" w:char="F0FE"/>
            </w:r>
            <w:r>
              <w:t>企业总排口</w:t>
            </w:r>
          </w:p>
          <w:p w:rsidR="00EE56C0" w:rsidRDefault="000F36A1">
            <w:pPr>
              <w:pStyle w:val="afa"/>
            </w:pPr>
            <w:r>
              <w:rPr>
                <w:spacing w:val="-1"/>
              </w:rPr>
              <w:t>□</w:t>
            </w:r>
            <w:r>
              <w:t>雨水排放</w:t>
            </w:r>
          </w:p>
          <w:p w:rsidR="00EE56C0" w:rsidRDefault="000F36A1">
            <w:pPr>
              <w:pStyle w:val="afa"/>
            </w:pPr>
            <w:r>
              <w:rPr>
                <w:spacing w:val="-1"/>
              </w:rPr>
              <w:t>□</w:t>
            </w:r>
            <w:r>
              <w:t>清净下水排放</w:t>
            </w:r>
          </w:p>
          <w:p w:rsidR="00EE56C0" w:rsidRDefault="000F36A1">
            <w:pPr>
              <w:pStyle w:val="afa"/>
            </w:pPr>
            <w:r>
              <w:rPr>
                <w:spacing w:val="-1"/>
              </w:rPr>
              <w:t>□</w:t>
            </w:r>
            <w:r>
              <w:t>温排水排放</w:t>
            </w:r>
          </w:p>
          <w:p w:rsidR="00EE56C0" w:rsidRDefault="000F36A1">
            <w:pPr>
              <w:pStyle w:val="afa"/>
            </w:pPr>
            <w:r>
              <w:rPr>
                <w:spacing w:val="-1"/>
              </w:rPr>
              <w:t>□</w:t>
            </w:r>
            <w:r>
              <w:t>车间或车间处理设施排放口排放</w:t>
            </w:r>
          </w:p>
        </w:tc>
      </w:tr>
      <w:tr w:rsidR="00EE56C0">
        <w:trPr>
          <w:trHeight w:val="1754"/>
        </w:trPr>
        <w:tc>
          <w:tcPr>
            <w:tcW w:w="388" w:type="pct"/>
            <w:vAlign w:val="center"/>
          </w:tcPr>
          <w:p w:rsidR="00EE56C0" w:rsidRDefault="000F36A1">
            <w:pPr>
              <w:pStyle w:val="afa"/>
            </w:pPr>
            <w:r>
              <w:rPr>
                <w:rFonts w:hint="eastAsia"/>
              </w:rPr>
              <w:t>反渗透浓水</w:t>
            </w:r>
          </w:p>
        </w:tc>
        <w:tc>
          <w:tcPr>
            <w:tcW w:w="619" w:type="pct"/>
            <w:vAlign w:val="center"/>
          </w:tcPr>
          <w:p w:rsidR="00EE56C0" w:rsidRDefault="000F36A1">
            <w:pPr>
              <w:pStyle w:val="afa"/>
              <w:rPr>
                <w:bCs/>
                <w:spacing w:val="-4"/>
              </w:rPr>
            </w:pPr>
            <w:r>
              <w:rPr>
                <w:bCs/>
                <w:spacing w:val="-4"/>
              </w:rPr>
              <w:t>COD</w:t>
            </w:r>
            <w:r>
              <w:rPr>
                <w:bCs/>
                <w:spacing w:val="-4"/>
              </w:rPr>
              <w:t>、</w:t>
            </w:r>
            <w:r>
              <w:rPr>
                <w:rFonts w:hint="eastAsia"/>
                <w:bCs/>
                <w:spacing w:val="-4"/>
              </w:rPr>
              <w:t>SS</w:t>
            </w:r>
            <w:r>
              <w:rPr>
                <w:rFonts w:hint="eastAsia"/>
                <w:bCs/>
                <w:spacing w:val="-4"/>
              </w:rPr>
              <w:t>、</w:t>
            </w:r>
            <w:r>
              <w:rPr>
                <w:bCs/>
                <w:spacing w:val="-4"/>
              </w:rPr>
              <w:t>NH</w:t>
            </w:r>
            <w:r>
              <w:rPr>
                <w:bCs/>
                <w:spacing w:val="-4"/>
                <w:vertAlign w:val="subscript"/>
              </w:rPr>
              <w:t>3</w:t>
            </w:r>
            <w:r>
              <w:rPr>
                <w:bCs/>
                <w:spacing w:val="-4"/>
              </w:rPr>
              <w:t>-N</w:t>
            </w:r>
            <w:r>
              <w:rPr>
                <w:bCs/>
                <w:spacing w:val="-4"/>
              </w:rPr>
              <w:t>、</w:t>
            </w:r>
            <w:r>
              <w:rPr>
                <w:bCs/>
                <w:spacing w:val="-4"/>
              </w:rPr>
              <w:t>TP</w:t>
            </w:r>
            <w:r>
              <w:rPr>
                <w:bCs/>
                <w:spacing w:val="-4"/>
              </w:rPr>
              <w:t>、</w:t>
            </w:r>
            <w:r>
              <w:rPr>
                <w:bCs/>
                <w:spacing w:val="-4"/>
              </w:rPr>
              <w:t>TN</w:t>
            </w:r>
          </w:p>
        </w:tc>
        <w:tc>
          <w:tcPr>
            <w:tcW w:w="296" w:type="pct"/>
            <w:vMerge/>
            <w:vAlign w:val="center"/>
          </w:tcPr>
          <w:p w:rsidR="00EE56C0" w:rsidRDefault="00EE56C0">
            <w:pPr>
              <w:pStyle w:val="afa"/>
            </w:pPr>
          </w:p>
        </w:tc>
        <w:tc>
          <w:tcPr>
            <w:tcW w:w="609" w:type="pct"/>
            <w:vMerge/>
            <w:vAlign w:val="center"/>
          </w:tcPr>
          <w:p w:rsidR="00EE56C0" w:rsidRDefault="00EE56C0">
            <w:pPr>
              <w:pStyle w:val="afa"/>
            </w:pPr>
          </w:p>
        </w:tc>
        <w:tc>
          <w:tcPr>
            <w:tcW w:w="536" w:type="pct"/>
            <w:vMerge/>
            <w:vAlign w:val="center"/>
          </w:tcPr>
          <w:p w:rsidR="00EE56C0" w:rsidRDefault="00EE56C0">
            <w:pPr>
              <w:pStyle w:val="afa"/>
            </w:pPr>
          </w:p>
        </w:tc>
        <w:tc>
          <w:tcPr>
            <w:tcW w:w="456" w:type="pct"/>
            <w:vAlign w:val="center"/>
          </w:tcPr>
          <w:p w:rsidR="00EE56C0" w:rsidRDefault="000F36A1">
            <w:pPr>
              <w:pStyle w:val="afa"/>
            </w:pPr>
            <w:r>
              <w:rPr>
                <w:rFonts w:hint="eastAsia"/>
              </w:rPr>
              <w:t>/</w:t>
            </w:r>
          </w:p>
        </w:tc>
        <w:tc>
          <w:tcPr>
            <w:tcW w:w="457" w:type="pct"/>
            <w:vAlign w:val="center"/>
          </w:tcPr>
          <w:p w:rsidR="00EE56C0" w:rsidRDefault="000F36A1">
            <w:pPr>
              <w:pStyle w:val="afa"/>
            </w:pPr>
            <w:r>
              <w:rPr>
                <w:rFonts w:hint="eastAsia"/>
              </w:rPr>
              <w:t>/</w:t>
            </w:r>
          </w:p>
        </w:tc>
        <w:tc>
          <w:tcPr>
            <w:tcW w:w="553" w:type="pct"/>
            <w:vMerge/>
            <w:vAlign w:val="center"/>
          </w:tcPr>
          <w:p w:rsidR="00EE56C0" w:rsidRDefault="00EE56C0">
            <w:pPr>
              <w:pStyle w:val="afa"/>
            </w:pPr>
          </w:p>
        </w:tc>
        <w:tc>
          <w:tcPr>
            <w:tcW w:w="442" w:type="pct"/>
            <w:vMerge/>
            <w:vAlign w:val="center"/>
          </w:tcPr>
          <w:p w:rsidR="00EE56C0" w:rsidRDefault="00EE56C0">
            <w:pPr>
              <w:pStyle w:val="afa"/>
              <w:rPr>
                <w:rFonts w:eastAsia="MS Mincho"/>
              </w:rPr>
            </w:pPr>
          </w:p>
        </w:tc>
        <w:tc>
          <w:tcPr>
            <w:tcW w:w="644" w:type="pct"/>
            <w:vMerge/>
            <w:vAlign w:val="center"/>
          </w:tcPr>
          <w:p w:rsidR="00EE56C0" w:rsidRDefault="00EE56C0">
            <w:pPr>
              <w:pStyle w:val="afa"/>
              <w:rPr>
                <w:rFonts w:eastAsia="MS Mincho"/>
              </w:rPr>
            </w:pPr>
          </w:p>
        </w:tc>
      </w:tr>
    </w:tbl>
    <w:p w:rsidR="00EE56C0" w:rsidRDefault="000F36A1">
      <w:pPr>
        <w:pStyle w:val="17"/>
        <w:ind w:firstLine="480"/>
        <w:rPr>
          <w:rFonts w:cs="Times New Roman"/>
        </w:rPr>
      </w:pPr>
      <w:r>
        <w:rPr>
          <w:rFonts w:cs="Times New Roman"/>
        </w:rPr>
        <w:t>②</w:t>
      </w:r>
      <w:r>
        <w:rPr>
          <w:rFonts w:cs="Times New Roman"/>
        </w:rPr>
        <w:t>废水间接排放口基本情况</w:t>
      </w:r>
    </w:p>
    <w:p w:rsidR="00EE56C0" w:rsidRDefault="000F36A1">
      <w:pPr>
        <w:pStyle w:val="afd"/>
        <w:spacing w:before="120" w:after="120"/>
        <w:ind w:firstLine="482"/>
        <w:rPr>
          <w:lang w:val="pt-BR"/>
        </w:rPr>
      </w:pPr>
      <w:r>
        <w:rPr>
          <w:lang w:val="pt-BR"/>
        </w:rPr>
        <w:t>表</w:t>
      </w:r>
      <w:r>
        <w:rPr>
          <w:rFonts w:hint="eastAsia"/>
          <w:lang w:val="pt-BR"/>
        </w:rPr>
        <w:t>3-52</w:t>
      </w:r>
      <w:r>
        <w:rPr>
          <w:lang w:val="pt-BR"/>
        </w:rPr>
        <w:t xml:space="preserve">             </w:t>
      </w:r>
      <w:r>
        <w:rPr>
          <w:lang w:val="pt-BR"/>
        </w:rPr>
        <w:t>废水间接排放口基本情况表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23"/>
        <w:gridCol w:w="919"/>
        <w:gridCol w:w="798"/>
        <w:gridCol w:w="795"/>
        <w:gridCol w:w="546"/>
        <w:gridCol w:w="941"/>
        <w:gridCol w:w="808"/>
        <w:gridCol w:w="621"/>
        <w:gridCol w:w="791"/>
        <w:gridCol w:w="1286"/>
      </w:tblGrid>
      <w:tr w:rsidR="00EE56C0">
        <w:trPr>
          <w:jc w:val="center"/>
        </w:trPr>
        <w:tc>
          <w:tcPr>
            <w:tcW w:w="599" w:type="pct"/>
            <w:vMerge w:val="restart"/>
            <w:vAlign w:val="center"/>
          </w:tcPr>
          <w:p w:rsidR="00EE56C0" w:rsidRDefault="000F36A1">
            <w:pPr>
              <w:pStyle w:val="aff1"/>
              <w:rPr>
                <w:color w:val="auto"/>
              </w:rPr>
            </w:pPr>
            <w:r>
              <w:rPr>
                <w:color w:val="auto"/>
              </w:rPr>
              <w:t>排放口编号</w:t>
            </w:r>
          </w:p>
        </w:tc>
        <w:tc>
          <w:tcPr>
            <w:tcW w:w="1007" w:type="pct"/>
            <w:gridSpan w:val="2"/>
            <w:vAlign w:val="center"/>
          </w:tcPr>
          <w:p w:rsidR="00EE56C0" w:rsidRDefault="000F36A1">
            <w:pPr>
              <w:pStyle w:val="aff1"/>
              <w:rPr>
                <w:color w:val="auto"/>
              </w:rPr>
            </w:pPr>
            <w:r>
              <w:rPr>
                <w:color w:val="auto"/>
              </w:rPr>
              <w:t>排放口地理</w:t>
            </w:r>
          </w:p>
          <w:p w:rsidR="00EE56C0" w:rsidRDefault="000F36A1">
            <w:pPr>
              <w:pStyle w:val="aff1"/>
              <w:rPr>
                <w:color w:val="auto"/>
              </w:rPr>
            </w:pPr>
            <w:r>
              <w:rPr>
                <w:color w:val="auto"/>
              </w:rPr>
              <w:t>坐标</w:t>
            </w:r>
          </w:p>
        </w:tc>
        <w:tc>
          <w:tcPr>
            <w:tcW w:w="466" w:type="pct"/>
            <w:vMerge w:val="restart"/>
            <w:vAlign w:val="center"/>
          </w:tcPr>
          <w:p w:rsidR="00EE56C0" w:rsidRDefault="000F36A1">
            <w:pPr>
              <w:pStyle w:val="aff1"/>
              <w:rPr>
                <w:color w:val="auto"/>
              </w:rPr>
            </w:pPr>
            <w:r>
              <w:rPr>
                <w:color w:val="auto"/>
              </w:rPr>
              <w:t>废水排放量</w:t>
            </w:r>
            <w:r>
              <w:rPr>
                <w:color w:val="auto"/>
              </w:rPr>
              <w:t>/</w:t>
            </w:r>
            <w:r>
              <w:rPr>
                <w:color w:val="auto"/>
              </w:rPr>
              <w:t>（万</w:t>
            </w:r>
            <w:r>
              <w:rPr>
                <w:color w:val="auto"/>
              </w:rPr>
              <w:t>t/a</w:t>
            </w:r>
            <w:r>
              <w:rPr>
                <w:color w:val="auto"/>
              </w:rPr>
              <w:t>）</w:t>
            </w:r>
          </w:p>
        </w:tc>
        <w:tc>
          <w:tcPr>
            <w:tcW w:w="320" w:type="pct"/>
            <w:vMerge w:val="restart"/>
            <w:vAlign w:val="center"/>
          </w:tcPr>
          <w:p w:rsidR="00EE56C0" w:rsidRDefault="000F36A1">
            <w:pPr>
              <w:pStyle w:val="aff1"/>
              <w:rPr>
                <w:color w:val="auto"/>
              </w:rPr>
            </w:pPr>
            <w:r>
              <w:rPr>
                <w:color w:val="auto"/>
              </w:rPr>
              <w:t>排放去向</w:t>
            </w:r>
          </w:p>
        </w:tc>
        <w:tc>
          <w:tcPr>
            <w:tcW w:w="552" w:type="pct"/>
            <w:vMerge w:val="restart"/>
            <w:vAlign w:val="center"/>
          </w:tcPr>
          <w:p w:rsidR="00971E69" w:rsidRDefault="000F36A1">
            <w:pPr>
              <w:pStyle w:val="aff1"/>
              <w:rPr>
                <w:color w:val="auto"/>
              </w:rPr>
            </w:pPr>
            <w:r>
              <w:rPr>
                <w:color w:val="auto"/>
              </w:rPr>
              <w:t>排放</w:t>
            </w:r>
          </w:p>
          <w:p w:rsidR="00EE56C0" w:rsidRDefault="000F36A1">
            <w:pPr>
              <w:pStyle w:val="aff1"/>
              <w:rPr>
                <w:color w:val="auto"/>
              </w:rPr>
            </w:pPr>
            <w:r>
              <w:rPr>
                <w:color w:val="auto"/>
              </w:rPr>
              <w:t>规律</w:t>
            </w:r>
          </w:p>
        </w:tc>
        <w:tc>
          <w:tcPr>
            <w:tcW w:w="474" w:type="pct"/>
            <w:vMerge w:val="restart"/>
            <w:vAlign w:val="center"/>
          </w:tcPr>
          <w:p w:rsidR="00EE56C0" w:rsidRDefault="000F36A1">
            <w:pPr>
              <w:pStyle w:val="aff1"/>
              <w:rPr>
                <w:color w:val="auto"/>
              </w:rPr>
            </w:pPr>
            <w:r>
              <w:rPr>
                <w:color w:val="auto"/>
              </w:rPr>
              <w:t>间歇排放时段</w:t>
            </w:r>
          </w:p>
        </w:tc>
        <w:tc>
          <w:tcPr>
            <w:tcW w:w="1583" w:type="pct"/>
            <w:gridSpan w:val="3"/>
            <w:vAlign w:val="center"/>
          </w:tcPr>
          <w:p w:rsidR="00EE56C0" w:rsidRDefault="000F36A1">
            <w:pPr>
              <w:pStyle w:val="aff1"/>
              <w:rPr>
                <w:color w:val="auto"/>
              </w:rPr>
            </w:pPr>
            <w:r>
              <w:rPr>
                <w:color w:val="auto"/>
              </w:rPr>
              <w:t>受纳污水处理厂信息</w:t>
            </w:r>
          </w:p>
        </w:tc>
      </w:tr>
      <w:tr w:rsidR="00EE56C0">
        <w:trPr>
          <w:jc w:val="center"/>
        </w:trPr>
        <w:tc>
          <w:tcPr>
            <w:tcW w:w="599" w:type="pct"/>
            <w:vMerge/>
            <w:vAlign w:val="center"/>
          </w:tcPr>
          <w:p w:rsidR="00EE56C0" w:rsidRDefault="00EE56C0">
            <w:pPr>
              <w:pStyle w:val="aff1"/>
              <w:rPr>
                <w:color w:val="auto"/>
              </w:rPr>
            </w:pPr>
          </w:p>
        </w:tc>
        <w:tc>
          <w:tcPr>
            <w:tcW w:w="539" w:type="pct"/>
            <w:vAlign w:val="center"/>
          </w:tcPr>
          <w:p w:rsidR="00EE56C0" w:rsidRDefault="000F36A1">
            <w:pPr>
              <w:pStyle w:val="aff1"/>
              <w:rPr>
                <w:color w:val="auto"/>
              </w:rPr>
            </w:pPr>
            <w:r>
              <w:rPr>
                <w:color w:val="auto"/>
              </w:rPr>
              <w:t>经</w:t>
            </w:r>
          </w:p>
          <w:p w:rsidR="00EE56C0" w:rsidRDefault="000F36A1">
            <w:pPr>
              <w:pStyle w:val="aff1"/>
              <w:rPr>
                <w:color w:val="auto"/>
              </w:rPr>
            </w:pPr>
            <w:r>
              <w:rPr>
                <w:color w:val="auto"/>
              </w:rPr>
              <w:t>度</w:t>
            </w:r>
          </w:p>
        </w:tc>
        <w:tc>
          <w:tcPr>
            <w:tcW w:w="468" w:type="pct"/>
            <w:vAlign w:val="center"/>
          </w:tcPr>
          <w:p w:rsidR="00EE56C0" w:rsidRDefault="000F36A1">
            <w:pPr>
              <w:pStyle w:val="aff1"/>
              <w:rPr>
                <w:color w:val="auto"/>
              </w:rPr>
            </w:pPr>
            <w:r>
              <w:rPr>
                <w:color w:val="auto"/>
              </w:rPr>
              <w:t>纬</w:t>
            </w:r>
          </w:p>
          <w:p w:rsidR="00EE56C0" w:rsidRDefault="000F36A1">
            <w:pPr>
              <w:pStyle w:val="aff1"/>
              <w:rPr>
                <w:color w:val="auto"/>
              </w:rPr>
            </w:pPr>
            <w:r>
              <w:rPr>
                <w:color w:val="auto"/>
              </w:rPr>
              <w:t>度</w:t>
            </w:r>
          </w:p>
        </w:tc>
        <w:tc>
          <w:tcPr>
            <w:tcW w:w="466" w:type="pct"/>
            <w:vMerge/>
            <w:vAlign w:val="center"/>
          </w:tcPr>
          <w:p w:rsidR="00EE56C0" w:rsidRDefault="00EE56C0">
            <w:pPr>
              <w:pStyle w:val="aff1"/>
              <w:rPr>
                <w:color w:val="auto"/>
              </w:rPr>
            </w:pPr>
          </w:p>
        </w:tc>
        <w:tc>
          <w:tcPr>
            <w:tcW w:w="320" w:type="pct"/>
            <w:vMerge/>
            <w:vAlign w:val="center"/>
          </w:tcPr>
          <w:p w:rsidR="00EE56C0" w:rsidRDefault="00EE56C0">
            <w:pPr>
              <w:pStyle w:val="aff1"/>
              <w:rPr>
                <w:color w:val="auto"/>
              </w:rPr>
            </w:pPr>
          </w:p>
        </w:tc>
        <w:tc>
          <w:tcPr>
            <w:tcW w:w="552" w:type="pct"/>
            <w:vMerge/>
            <w:vAlign w:val="center"/>
          </w:tcPr>
          <w:p w:rsidR="00EE56C0" w:rsidRDefault="00EE56C0">
            <w:pPr>
              <w:pStyle w:val="aff1"/>
              <w:rPr>
                <w:color w:val="auto"/>
              </w:rPr>
            </w:pPr>
          </w:p>
        </w:tc>
        <w:tc>
          <w:tcPr>
            <w:tcW w:w="474" w:type="pct"/>
            <w:vMerge/>
            <w:vAlign w:val="center"/>
          </w:tcPr>
          <w:p w:rsidR="00EE56C0" w:rsidRDefault="00EE56C0">
            <w:pPr>
              <w:pStyle w:val="aff1"/>
              <w:rPr>
                <w:color w:val="auto"/>
              </w:rPr>
            </w:pPr>
          </w:p>
        </w:tc>
        <w:tc>
          <w:tcPr>
            <w:tcW w:w="364" w:type="pct"/>
            <w:vAlign w:val="center"/>
          </w:tcPr>
          <w:p w:rsidR="00EE56C0" w:rsidRDefault="000F36A1">
            <w:pPr>
              <w:pStyle w:val="aff1"/>
              <w:rPr>
                <w:color w:val="auto"/>
              </w:rPr>
            </w:pPr>
            <w:r>
              <w:rPr>
                <w:color w:val="auto"/>
              </w:rPr>
              <w:t>名称</w:t>
            </w:r>
          </w:p>
        </w:tc>
        <w:tc>
          <w:tcPr>
            <w:tcW w:w="464" w:type="pct"/>
            <w:vAlign w:val="center"/>
          </w:tcPr>
          <w:p w:rsidR="00EE56C0" w:rsidRDefault="000F36A1">
            <w:pPr>
              <w:pStyle w:val="aff1"/>
              <w:rPr>
                <w:color w:val="auto"/>
              </w:rPr>
            </w:pPr>
            <w:r>
              <w:rPr>
                <w:color w:val="auto"/>
              </w:rPr>
              <w:t>污染物种类</w:t>
            </w:r>
          </w:p>
        </w:tc>
        <w:tc>
          <w:tcPr>
            <w:tcW w:w="756" w:type="pct"/>
            <w:vAlign w:val="center"/>
          </w:tcPr>
          <w:p w:rsidR="00EE56C0" w:rsidRDefault="000F36A1">
            <w:pPr>
              <w:pStyle w:val="aff1"/>
              <w:rPr>
                <w:color w:val="auto"/>
              </w:rPr>
            </w:pPr>
            <w:r>
              <w:rPr>
                <w:color w:val="auto"/>
              </w:rPr>
              <w:t>国家或地方污染物排放标准浓度限值</w:t>
            </w:r>
            <w:r>
              <w:rPr>
                <w:color w:val="auto"/>
              </w:rPr>
              <w:t>/</w:t>
            </w:r>
            <w:r>
              <w:rPr>
                <w:color w:val="auto"/>
              </w:rPr>
              <w:t>（</w:t>
            </w:r>
            <w:r>
              <w:rPr>
                <w:color w:val="auto"/>
              </w:rPr>
              <w:t>mg/L</w:t>
            </w:r>
            <w:r>
              <w:rPr>
                <w:color w:val="auto"/>
              </w:rPr>
              <w:t>）</w:t>
            </w:r>
          </w:p>
        </w:tc>
      </w:tr>
      <w:tr w:rsidR="00EE56C0">
        <w:trPr>
          <w:trHeight w:val="624"/>
          <w:jc w:val="center"/>
        </w:trPr>
        <w:tc>
          <w:tcPr>
            <w:tcW w:w="599" w:type="pct"/>
            <w:vMerge w:val="restart"/>
            <w:vAlign w:val="center"/>
          </w:tcPr>
          <w:p w:rsidR="00EE56C0" w:rsidRDefault="000F36A1">
            <w:pPr>
              <w:pStyle w:val="afa"/>
            </w:pPr>
            <w:r>
              <w:rPr>
                <w:rFonts w:hint="eastAsia"/>
              </w:rPr>
              <w:lastRenderedPageBreak/>
              <w:t>DW001</w:t>
            </w:r>
          </w:p>
        </w:tc>
        <w:tc>
          <w:tcPr>
            <w:tcW w:w="539" w:type="pct"/>
            <w:vMerge w:val="restart"/>
            <w:vAlign w:val="center"/>
          </w:tcPr>
          <w:p w:rsidR="00EE56C0" w:rsidRDefault="000F36A1">
            <w:pPr>
              <w:pStyle w:val="afa"/>
              <w:rPr>
                <w:bCs/>
              </w:rPr>
            </w:pPr>
            <w:r>
              <w:rPr>
                <w:bCs/>
              </w:rPr>
              <w:t>113.</w:t>
            </w:r>
            <w:r>
              <w:rPr>
                <w:rFonts w:hint="eastAsia"/>
                <w:bCs/>
              </w:rPr>
              <w:t>79</w:t>
            </w:r>
          </w:p>
          <w:p w:rsidR="00EE56C0" w:rsidRDefault="000F36A1">
            <w:pPr>
              <w:pStyle w:val="afa"/>
            </w:pPr>
            <w:r>
              <w:rPr>
                <w:rFonts w:hint="eastAsia"/>
                <w:bCs/>
              </w:rPr>
              <w:t>1623</w:t>
            </w:r>
          </w:p>
        </w:tc>
        <w:tc>
          <w:tcPr>
            <w:tcW w:w="468" w:type="pct"/>
            <w:vMerge w:val="restart"/>
            <w:vAlign w:val="center"/>
          </w:tcPr>
          <w:p w:rsidR="00EE56C0" w:rsidRDefault="000F36A1">
            <w:pPr>
              <w:pStyle w:val="afa"/>
              <w:rPr>
                <w:bCs/>
              </w:rPr>
            </w:pPr>
            <w:r>
              <w:rPr>
                <w:bCs/>
              </w:rPr>
              <w:t>35.</w:t>
            </w:r>
            <w:r>
              <w:rPr>
                <w:rFonts w:hint="eastAsia"/>
                <w:bCs/>
              </w:rPr>
              <w:t>13</w:t>
            </w:r>
          </w:p>
          <w:p w:rsidR="00EE56C0" w:rsidRDefault="000F36A1">
            <w:pPr>
              <w:pStyle w:val="afa"/>
            </w:pPr>
            <w:r>
              <w:rPr>
                <w:rFonts w:hint="eastAsia"/>
                <w:bCs/>
              </w:rPr>
              <w:t>4563</w:t>
            </w:r>
          </w:p>
        </w:tc>
        <w:tc>
          <w:tcPr>
            <w:tcW w:w="466" w:type="pct"/>
            <w:vMerge w:val="restart"/>
            <w:vAlign w:val="center"/>
          </w:tcPr>
          <w:p w:rsidR="00EE56C0" w:rsidRDefault="000F36A1">
            <w:pPr>
              <w:pStyle w:val="afa"/>
            </w:pPr>
            <w:r>
              <w:t>0.0</w:t>
            </w:r>
            <w:r>
              <w:rPr>
                <w:rFonts w:hint="eastAsia"/>
              </w:rPr>
              <w:t>007</w:t>
            </w:r>
          </w:p>
        </w:tc>
        <w:tc>
          <w:tcPr>
            <w:tcW w:w="320" w:type="pct"/>
            <w:vMerge w:val="restart"/>
            <w:vAlign w:val="center"/>
          </w:tcPr>
          <w:p w:rsidR="00EE56C0" w:rsidRDefault="000F36A1">
            <w:pPr>
              <w:pStyle w:val="afa"/>
            </w:pPr>
            <w:r>
              <w:t>污水处理厂</w:t>
            </w:r>
          </w:p>
        </w:tc>
        <w:tc>
          <w:tcPr>
            <w:tcW w:w="552" w:type="pct"/>
            <w:vMerge w:val="restart"/>
            <w:vAlign w:val="center"/>
          </w:tcPr>
          <w:p w:rsidR="00EE56C0" w:rsidRDefault="000F36A1">
            <w:pPr>
              <w:pStyle w:val="afa"/>
            </w:pPr>
            <w:r>
              <w:t>间断排放，排放期间流量不稳定且无规律，但不属于冲击型排放</w:t>
            </w:r>
          </w:p>
        </w:tc>
        <w:tc>
          <w:tcPr>
            <w:tcW w:w="474" w:type="pct"/>
            <w:vMerge w:val="restart"/>
            <w:vAlign w:val="center"/>
          </w:tcPr>
          <w:p w:rsidR="00EE56C0" w:rsidRDefault="000F36A1">
            <w:pPr>
              <w:pStyle w:val="afa"/>
            </w:pPr>
            <w:r>
              <w:t>0</w:t>
            </w:r>
            <w:r>
              <w:rPr>
                <w:rFonts w:hint="eastAsia"/>
              </w:rPr>
              <w:t>0</w:t>
            </w:r>
            <w:r>
              <w:t>:00~</w:t>
            </w:r>
          </w:p>
          <w:p w:rsidR="00EE56C0" w:rsidRDefault="000F36A1">
            <w:pPr>
              <w:pStyle w:val="afa"/>
            </w:pPr>
            <w:r>
              <w:rPr>
                <w:rFonts w:hint="eastAsia"/>
              </w:rPr>
              <w:t>24</w:t>
            </w:r>
            <w:r>
              <w:t>:00</w:t>
            </w:r>
          </w:p>
        </w:tc>
        <w:tc>
          <w:tcPr>
            <w:tcW w:w="364" w:type="pct"/>
            <w:vMerge w:val="restart"/>
            <w:vAlign w:val="center"/>
          </w:tcPr>
          <w:p w:rsidR="00EE56C0" w:rsidRDefault="000F36A1">
            <w:pPr>
              <w:pStyle w:val="afa"/>
            </w:pPr>
            <w:r>
              <w:rPr>
                <w:rFonts w:hint="eastAsia"/>
                <w:bCs/>
              </w:rPr>
              <w:t>新乡县综合污水处理厂</w:t>
            </w:r>
          </w:p>
        </w:tc>
        <w:tc>
          <w:tcPr>
            <w:tcW w:w="464" w:type="pct"/>
            <w:vAlign w:val="center"/>
          </w:tcPr>
          <w:p w:rsidR="00EE56C0" w:rsidRDefault="000F36A1">
            <w:pPr>
              <w:pStyle w:val="afa"/>
            </w:pPr>
            <w:r>
              <w:rPr>
                <w:bCs/>
                <w:spacing w:val="-4"/>
              </w:rPr>
              <w:t>COD</w:t>
            </w:r>
          </w:p>
        </w:tc>
        <w:tc>
          <w:tcPr>
            <w:tcW w:w="756" w:type="pct"/>
            <w:vAlign w:val="center"/>
          </w:tcPr>
          <w:p w:rsidR="00EE56C0" w:rsidRDefault="000F36A1">
            <w:pPr>
              <w:pStyle w:val="afa"/>
            </w:pPr>
            <w:r>
              <w:rPr>
                <w:rFonts w:hint="eastAsia"/>
              </w:rPr>
              <w:t>40</w:t>
            </w:r>
          </w:p>
        </w:tc>
      </w:tr>
      <w:tr w:rsidR="00EE56C0">
        <w:trPr>
          <w:trHeight w:val="624"/>
          <w:jc w:val="center"/>
        </w:trPr>
        <w:tc>
          <w:tcPr>
            <w:tcW w:w="599" w:type="pct"/>
            <w:vMerge/>
            <w:vAlign w:val="center"/>
          </w:tcPr>
          <w:p w:rsidR="00EE56C0" w:rsidRDefault="00EE56C0">
            <w:pPr>
              <w:pStyle w:val="afa"/>
            </w:pPr>
          </w:p>
        </w:tc>
        <w:tc>
          <w:tcPr>
            <w:tcW w:w="539" w:type="pct"/>
            <w:vMerge/>
            <w:vAlign w:val="center"/>
          </w:tcPr>
          <w:p w:rsidR="00EE56C0" w:rsidRDefault="00EE56C0">
            <w:pPr>
              <w:pStyle w:val="afa"/>
            </w:pPr>
          </w:p>
        </w:tc>
        <w:tc>
          <w:tcPr>
            <w:tcW w:w="468" w:type="pct"/>
            <w:vMerge/>
            <w:vAlign w:val="center"/>
          </w:tcPr>
          <w:p w:rsidR="00EE56C0" w:rsidRDefault="00EE56C0">
            <w:pPr>
              <w:pStyle w:val="afa"/>
            </w:pPr>
          </w:p>
        </w:tc>
        <w:tc>
          <w:tcPr>
            <w:tcW w:w="466" w:type="pct"/>
            <w:vMerge/>
            <w:vAlign w:val="center"/>
          </w:tcPr>
          <w:p w:rsidR="00EE56C0" w:rsidRDefault="00EE56C0">
            <w:pPr>
              <w:pStyle w:val="afa"/>
            </w:pPr>
          </w:p>
        </w:tc>
        <w:tc>
          <w:tcPr>
            <w:tcW w:w="320" w:type="pct"/>
            <w:vMerge/>
            <w:vAlign w:val="center"/>
          </w:tcPr>
          <w:p w:rsidR="00EE56C0" w:rsidRDefault="00EE56C0">
            <w:pPr>
              <w:pStyle w:val="afa"/>
            </w:pPr>
          </w:p>
        </w:tc>
        <w:tc>
          <w:tcPr>
            <w:tcW w:w="552" w:type="pct"/>
            <w:vMerge/>
            <w:vAlign w:val="center"/>
          </w:tcPr>
          <w:p w:rsidR="00EE56C0" w:rsidRDefault="00EE56C0">
            <w:pPr>
              <w:pStyle w:val="afa"/>
            </w:pPr>
          </w:p>
        </w:tc>
        <w:tc>
          <w:tcPr>
            <w:tcW w:w="474" w:type="pct"/>
            <w:vMerge/>
            <w:vAlign w:val="center"/>
          </w:tcPr>
          <w:p w:rsidR="00EE56C0" w:rsidRDefault="00EE56C0">
            <w:pPr>
              <w:pStyle w:val="afa"/>
            </w:pPr>
          </w:p>
        </w:tc>
        <w:tc>
          <w:tcPr>
            <w:tcW w:w="364" w:type="pct"/>
            <w:vMerge/>
            <w:vAlign w:val="center"/>
          </w:tcPr>
          <w:p w:rsidR="00EE56C0" w:rsidRDefault="00EE56C0">
            <w:pPr>
              <w:pStyle w:val="afa"/>
            </w:pPr>
          </w:p>
        </w:tc>
        <w:tc>
          <w:tcPr>
            <w:tcW w:w="464" w:type="pct"/>
            <w:vAlign w:val="center"/>
          </w:tcPr>
          <w:p w:rsidR="00EE56C0" w:rsidRDefault="000F36A1">
            <w:pPr>
              <w:pStyle w:val="afa"/>
            </w:pPr>
            <w:r>
              <w:rPr>
                <w:bCs/>
                <w:spacing w:val="-4"/>
              </w:rPr>
              <w:t>NH</w:t>
            </w:r>
            <w:r>
              <w:rPr>
                <w:bCs/>
                <w:spacing w:val="-4"/>
                <w:vertAlign w:val="subscript"/>
              </w:rPr>
              <w:t>3</w:t>
            </w:r>
            <w:r>
              <w:rPr>
                <w:bCs/>
                <w:spacing w:val="-4"/>
              </w:rPr>
              <w:t>-N</w:t>
            </w:r>
          </w:p>
        </w:tc>
        <w:tc>
          <w:tcPr>
            <w:tcW w:w="756" w:type="pct"/>
            <w:vAlign w:val="center"/>
          </w:tcPr>
          <w:p w:rsidR="00EE56C0" w:rsidRDefault="000F36A1">
            <w:pPr>
              <w:pStyle w:val="afa"/>
            </w:pPr>
            <w:r>
              <w:rPr>
                <w:rFonts w:hint="eastAsia"/>
              </w:rPr>
              <w:t>2</w:t>
            </w:r>
          </w:p>
        </w:tc>
      </w:tr>
      <w:tr w:rsidR="00EE56C0">
        <w:trPr>
          <w:trHeight w:val="624"/>
          <w:jc w:val="center"/>
        </w:trPr>
        <w:tc>
          <w:tcPr>
            <w:tcW w:w="599" w:type="pct"/>
            <w:vMerge/>
            <w:vAlign w:val="center"/>
          </w:tcPr>
          <w:p w:rsidR="00EE56C0" w:rsidRDefault="00EE56C0">
            <w:pPr>
              <w:pStyle w:val="afa"/>
            </w:pPr>
          </w:p>
        </w:tc>
        <w:tc>
          <w:tcPr>
            <w:tcW w:w="539" w:type="pct"/>
            <w:vMerge/>
            <w:vAlign w:val="center"/>
          </w:tcPr>
          <w:p w:rsidR="00EE56C0" w:rsidRDefault="00EE56C0">
            <w:pPr>
              <w:pStyle w:val="afa"/>
            </w:pPr>
          </w:p>
        </w:tc>
        <w:tc>
          <w:tcPr>
            <w:tcW w:w="468" w:type="pct"/>
            <w:vMerge/>
            <w:vAlign w:val="center"/>
          </w:tcPr>
          <w:p w:rsidR="00EE56C0" w:rsidRDefault="00EE56C0">
            <w:pPr>
              <w:pStyle w:val="afa"/>
            </w:pPr>
          </w:p>
        </w:tc>
        <w:tc>
          <w:tcPr>
            <w:tcW w:w="466" w:type="pct"/>
            <w:vMerge/>
            <w:vAlign w:val="center"/>
          </w:tcPr>
          <w:p w:rsidR="00EE56C0" w:rsidRDefault="00EE56C0">
            <w:pPr>
              <w:pStyle w:val="afa"/>
            </w:pPr>
          </w:p>
        </w:tc>
        <w:tc>
          <w:tcPr>
            <w:tcW w:w="320" w:type="pct"/>
            <w:vMerge/>
            <w:vAlign w:val="center"/>
          </w:tcPr>
          <w:p w:rsidR="00EE56C0" w:rsidRDefault="00EE56C0">
            <w:pPr>
              <w:pStyle w:val="afa"/>
            </w:pPr>
          </w:p>
        </w:tc>
        <w:tc>
          <w:tcPr>
            <w:tcW w:w="552" w:type="pct"/>
            <w:vMerge/>
            <w:vAlign w:val="center"/>
          </w:tcPr>
          <w:p w:rsidR="00EE56C0" w:rsidRDefault="00EE56C0">
            <w:pPr>
              <w:pStyle w:val="afa"/>
            </w:pPr>
          </w:p>
        </w:tc>
        <w:tc>
          <w:tcPr>
            <w:tcW w:w="474" w:type="pct"/>
            <w:vMerge/>
            <w:vAlign w:val="center"/>
          </w:tcPr>
          <w:p w:rsidR="00EE56C0" w:rsidRDefault="00EE56C0">
            <w:pPr>
              <w:pStyle w:val="afa"/>
            </w:pPr>
          </w:p>
        </w:tc>
        <w:tc>
          <w:tcPr>
            <w:tcW w:w="364" w:type="pct"/>
            <w:vMerge/>
            <w:vAlign w:val="center"/>
          </w:tcPr>
          <w:p w:rsidR="00EE56C0" w:rsidRDefault="00EE56C0">
            <w:pPr>
              <w:pStyle w:val="afa"/>
            </w:pPr>
          </w:p>
        </w:tc>
        <w:tc>
          <w:tcPr>
            <w:tcW w:w="464" w:type="pct"/>
            <w:vAlign w:val="center"/>
          </w:tcPr>
          <w:p w:rsidR="00EE56C0" w:rsidRDefault="000F36A1">
            <w:pPr>
              <w:pStyle w:val="afa"/>
            </w:pPr>
            <w:r>
              <w:rPr>
                <w:bCs/>
                <w:spacing w:val="-4"/>
              </w:rPr>
              <w:t>TP</w:t>
            </w:r>
          </w:p>
        </w:tc>
        <w:tc>
          <w:tcPr>
            <w:tcW w:w="756" w:type="pct"/>
            <w:vAlign w:val="center"/>
          </w:tcPr>
          <w:p w:rsidR="00EE56C0" w:rsidRDefault="000F36A1">
            <w:pPr>
              <w:pStyle w:val="afa"/>
            </w:pPr>
            <w:r>
              <w:t>0.</w:t>
            </w:r>
            <w:r>
              <w:rPr>
                <w:rFonts w:hint="eastAsia"/>
              </w:rPr>
              <w:t>4</w:t>
            </w:r>
          </w:p>
        </w:tc>
      </w:tr>
      <w:tr w:rsidR="00EE56C0">
        <w:trPr>
          <w:trHeight w:val="624"/>
          <w:jc w:val="center"/>
        </w:trPr>
        <w:tc>
          <w:tcPr>
            <w:tcW w:w="599" w:type="pct"/>
            <w:vMerge/>
            <w:vAlign w:val="center"/>
          </w:tcPr>
          <w:p w:rsidR="00EE56C0" w:rsidRDefault="00EE56C0">
            <w:pPr>
              <w:pStyle w:val="afa"/>
            </w:pPr>
          </w:p>
        </w:tc>
        <w:tc>
          <w:tcPr>
            <w:tcW w:w="539" w:type="pct"/>
            <w:vMerge/>
            <w:vAlign w:val="center"/>
          </w:tcPr>
          <w:p w:rsidR="00EE56C0" w:rsidRDefault="00EE56C0">
            <w:pPr>
              <w:pStyle w:val="afa"/>
            </w:pPr>
          </w:p>
        </w:tc>
        <w:tc>
          <w:tcPr>
            <w:tcW w:w="468" w:type="pct"/>
            <w:vMerge/>
            <w:vAlign w:val="center"/>
          </w:tcPr>
          <w:p w:rsidR="00EE56C0" w:rsidRDefault="00EE56C0">
            <w:pPr>
              <w:pStyle w:val="afa"/>
            </w:pPr>
          </w:p>
        </w:tc>
        <w:tc>
          <w:tcPr>
            <w:tcW w:w="466" w:type="pct"/>
            <w:vMerge/>
            <w:vAlign w:val="center"/>
          </w:tcPr>
          <w:p w:rsidR="00EE56C0" w:rsidRDefault="00EE56C0">
            <w:pPr>
              <w:pStyle w:val="afa"/>
            </w:pPr>
          </w:p>
        </w:tc>
        <w:tc>
          <w:tcPr>
            <w:tcW w:w="320" w:type="pct"/>
            <w:vMerge/>
            <w:vAlign w:val="center"/>
          </w:tcPr>
          <w:p w:rsidR="00EE56C0" w:rsidRDefault="00EE56C0">
            <w:pPr>
              <w:pStyle w:val="afa"/>
            </w:pPr>
          </w:p>
        </w:tc>
        <w:tc>
          <w:tcPr>
            <w:tcW w:w="552" w:type="pct"/>
            <w:vMerge/>
            <w:vAlign w:val="center"/>
          </w:tcPr>
          <w:p w:rsidR="00EE56C0" w:rsidRDefault="00EE56C0">
            <w:pPr>
              <w:pStyle w:val="afa"/>
            </w:pPr>
          </w:p>
        </w:tc>
        <w:tc>
          <w:tcPr>
            <w:tcW w:w="474" w:type="pct"/>
            <w:vMerge/>
            <w:vAlign w:val="center"/>
          </w:tcPr>
          <w:p w:rsidR="00EE56C0" w:rsidRDefault="00EE56C0">
            <w:pPr>
              <w:pStyle w:val="afa"/>
            </w:pPr>
          </w:p>
        </w:tc>
        <w:tc>
          <w:tcPr>
            <w:tcW w:w="364" w:type="pct"/>
            <w:vMerge/>
            <w:vAlign w:val="center"/>
          </w:tcPr>
          <w:p w:rsidR="00EE56C0" w:rsidRDefault="00EE56C0">
            <w:pPr>
              <w:pStyle w:val="afa"/>
            </w:pPr>
          </w:p>
        </w:tc>
        <w:tc>
          <w:tcPr>
            <w:tcW w:w="464" w:type="pct"/>
            <w:vAlign w:val="center"/>
          </w:tcPr>
          <w:p w:rsidR="00EE56C0" w:rsidRDefault="000F36A1">
            <w:pPr>
              <w:pStyle w:val="afa"/>
              <w:rPr>
                <w:rFonts w:eastAsia="MS Mincho"/>
              </w:rPr>
            </w:pPr>
            <w:r>
              <w:rPr>
                <w:bCs/>
                <w:spacing w:val="-4"/>
              </w:rPr>
              <w:t>TN</w:t>
            </w:r>
          </w:p>
        </w:tc>
        <w:tc>
          <w:tcPr>
            <w:tcW w:w="756" w:type="pct"/>
            <w:vAlign w:val="center"/>
          </w:tcPr>
          <w:p w:rsidR="00EE56C0" w:rsidRDefault="000F36A1">
            <w:pPr>
              <w:pStyle w:val="afa"/>
            </w:pPr>
            <w:r>
              <w:t>15</w:t>
            </w:r>
          </w:p>
        </w:tc>
      </w:tr>
    </w:tbl>
    <w:p w:rsidR="00EE56C0" w:rsidRDefault="000F36A1">
      <w:pPr>
        <w:pStyle w:val="17"/>
        <w:ind w:firstLine="480"/>
        <w:rPr>
          <w:rFonts w:cs="Times New Roman"/>
        </w:rPr>
      </w:pPr>
      <w:r>
        <w:rPr>
          <w:rFonts w:ascii="宋体" w:hAnsi="宋体" w:hint="eastAsia"/>
        </w:rPr>
        <w:t>③</w:t>
      </w:r>
      <w:r>
        <w:rPr>
          <w:rFonts w:cs="Times New Roman"/>
        </w:rPr>
        <w:t>废水污染物排放执行标准表</w:t>
      </w:r>
    </w:p>
    <w:p w:rsidR="00EE56C0" w:rsidRDefault="000F36A1">
      <w:pPr>
        <w:pStyle w:val="afd"/>
        <w:spacing w:before="120" w:after="120"/>
        <w:ind w:firstLine="482"/>
        <w:rPr>
          <w:lang w:val="pt-BR"/>
        </w:rPr>
      </w:pPr>
      <w:r>
        <w:rPr>
          <w:lang w:val="pt-BR"/>
        </w:rPr>
        <w:t>表</w:t>
      </w:r>
      <w:r>
        <w:rPr>
          <w:rFonts w:hint="eastAsia"/>
          <w:lang w:val="pt-BR"/>
        </w:rPr>
        <w:t>3-53</w:t>
      </w:r>
      <w:r>
        <w:rPr>
          <w:lang w:val="pt-BR"/>
        </w:rPr>
        <w:t xml:space="preserve">             </w:t>
      </w:r>
      <w:r>
        <w:rPr>
          <w:lang w:val="pt-BR"/>
        </w:rPr>
        <w:t>废水污染物排放执行标准表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54"/>
        <w:gridCol w:w="1255"/>
        <w:gridCol w:w="3803"/>
        <w:gridCol w:w="2216"/>
      </w:tblGrid>
      <w:tr w:rsidR="00EE56C0">
        <w:trPr>
          <w:trHeight w:val="397"/>
          <w:jc w:val="center"/>
        </w:trPr>
        <w:tc>
          <w:tcPr>
            <w:tcW w:w="735" w:type="pct"/>
            <w:vMerge w:val="restart"/>
            <w:vAlign w:val="center"/>
          </w:tcPr>
          <w:p w:rsidR="00EE56C0" w:rsidRDefault="000F36A1">
            <w:pPr>
              <w:pStyle w:val="aff1"/>
              <w:rPr>
                <w:color w:val="auto"/>
              </w:rPr>
            </w:pPr>
            <w:r>
              <w:rPr>
                <w:color w:val="auto"/>
              </w:rPr>
              <w:t>排放口编号</w:t>
            </w:r>
          </w:p>
        </w:tc>
        <w:tc>
          <w:tcPr>
            <w:tcW w:w="736" w:type="pct"/>
            <w:vMerge w:val="restart"/>
            <w:vAlign w:val="center"/>
          </w:tcPr>
          <w:p w:rsidR="00EE56C0" w:rsidRDefault="000F36A1">
            <w:pPr>
              <w:pStyle w:val="aff1"/>
              <w:rPr>
                <w:color w:val="auto"/>
              </w:rPr>
            </w:pPr>
            <w:r>
              <w:rPr>
                <w:color w:val="auto"/>
              </w:rPr>
              <w:t>污染物种类</w:t>
            </w:r>
          </w:p>
        </w:tc>
        <w:tc>
          <w:tcPr>
            <w:tcW w:w="3529" w:type="pct"/>
            <w:gridSpan w:val="2"/>
            <w:vAlign w:val="center"/>
          </w:tcPr>
          <w:p w:rsidR="00EE56C0" w:rsidRDefault="000F36A1">
            <w:pPr>
              <w:pStyle w:val="aff1"/>
              <w:rPr>
                <w:color w:val="auto"/>
              </w:rPr>
            </w:pPr>
            <w:r>
              <w:rPr>
                <w:color w:val="auto"/>
              </w:rPr>
              <w:t>国家或地方污染物排放标准及其他按规定商定的排放协议</w:t>
            </w:r>
          </w:p>
        </w:tc>
      </w:tr>
      <w:tr w:rsidR="00EE56C0">
        <w:trPr>
          <w:trHeight w:val="397"/>
          <w:jc w:val="center"/>
        </w:trPr>
        <w:tc>
          <w:tcPr>
            <w:tcW w:w="735" w:type="pct"/>
            <w:vMerge/>
            <w:vAlign w:val="center"/>
          </w:tcPr>
          <w:p w:rsidR="00EE56C0" w:rsidRDefault="00EE56C0">
            <w:pPr>
              <w:pStyle w:val="aff1"/>
              <w:rPr>
                <w:color w:val="auto"/>
              </w:rPr>
            </w:pPr>
          </w:p>
        </w:tc>
        <w:tc>
          <w:tcPr>
            <w:tcW w:w="736" w:type="pct"/>
            <w:vMerge/>
            <w:vAlign w:val="center"/>
          </w:tcPr>
          <w:p w:rsidR="00EE56C0" w:rsidRDefault="00EE56C0">
            <w:pPr>
              <w:pStyle w:val="aff1"/>
              <w:rPr>
                <w:color w:val="auto"/>
              </w:rPr>
            </w:pPr>
          </w:p>
        </w:tc>
        <w:tc>
          <w:tcPr>
            <w:tcW w:w="2230" w:type="pct"/>
            <w:vAlign w:val="center"/>
          </w:tcPr>
          <w:p w:rsidR="00EE56C0" w:rsidRDefault="000F36A1">
            <w:pPr>
              <w:pStyle w:val="aff1"/>
              <w:rPr>
                <w:color w:val="auto"/>
              </w:rPr>
            </w:pPr>
            <w:r>
              <w:rPr>
                <w:color w:val="auto"/>
              </w:rPr>
              <w:t>名称</w:t>
            </w:r>
          </w:p>
        </w:tc>
        <w:tc>
          <w:tcPr>
            <w:tcW w:w="1299" w:type="pct"/>
            <w:vAlign w:val="center"/>
          </w:tcPr>
          <w:p w:rsidR="00EE56C0" w:rsidRDefault="000F36A1">
            <w:pPr>
              <w:pStyle w:val="aff1"/>
              <w:rPr>
                <w:color w:val="auto"/>
              </w:rPr>
            </w:pPr>
            <w:r>
              <w:rPr>
                <w:color w:val="auto"/>
              </w:rPr>
              <w:t>浓度限值</w:t>
            </w:r>
          </w:p>
          <w:p w:rsidR="00EE56C0" w:rsidRDefault="000F36A1">
            <w:pPr>
              <w:pStyle w:val="aff1"/>
              <w:rPr>
                <w:color w:val="auto"/>
              </w:rPr>
            </w:pPr>
            <w:r>
              <w:rPr>
                <w:color w:val="auto"/>
              </w:rPr>
              <w:t>/</w:t>
            </w:r>
            <w:r>
              <w:rPr>
                <w:color w:val="auto"/>
              </w:rPr>
              <w:t>（</w:t>
            </w:r>
            <w:r>
              <w:rPr>
                <w:color w:val="auto"/>
              </w:rPr>
              <w:t>mg/L</w:t>
            </w:r>
            <w:r>
              <w:rPr>
                <w:color w:val="auto"/>
              </w:rPr>
              <w:t>）</w:t>
            </w:r>
          </w:p>
        </w:tc>
      </w:tr>
      <w:tr w:rsidR="00EE56C0">
        <w:trPr>
          <w:trHeight w:val="397"/>
          <w:jc w:val="center"/>
        </w:trPr>
        <w:tc>
          <w:tcPr>
            <w:tcW w:w="735" w:type="pct"/>
            <w:vMerge w:val="restart"/>
            <w:vAlign w:val="center"/>
          </w:tcPr>
          <w:p w:rsidR="00EE56C0" w:rsidRDefault="000F36A1">
            <w:pPr>
              <w:pStyle w:val="afa"/>
            </w:pPr>
            <w:r>
              <w:t>DW001</w:t>
            </w:r>
          </w:p>
        </w:tc>
        <w:tc>
          <w:tcPr>
            <w:tcW w:w="736" w:type="pct"/>
            <w:vAlign w:val="center"/>
          </w:tcPr>
          <w:p w:rsidR="00EE56C0" w:rsidRDefault="000F36A1">
            <w:pPr>
              <w:pStyle w:val="afa"/>
            </w:pPr>
            <w:r>
              <w:rPr>
                <w:bCs/>
                <w:spacing w:val="-4"/>
              </w:rPr>
              <w:t>COD</w:t>
            </w:r>
          </w:p>
        </w:tc>
        <w:tc>
          <w:tcPr>
            <w:tcW w:w="2230" w:type="pct"/>
            <w:vMerge w:val="restart"/>
            <w:vAlign w:val="center"/>
          </w:tcPr>
          <w:p w:rsidR="00EE56C0" w:rsidRDefault="000F36A1">
            <w:pPr>
              <w:pStyle w:val="afa"/>
            </w:pPr>
            <w:r>
              <w:rPr>
                <w:rFonts w:hAnsi="Calibri"/>
                <w:bCs/>
              </w:rPr>
              <w:t>《污水排污城镇下水道水质标准》（</w:t>
            </w:r>
            <w:r>
              <w:rPr>
                <w:rFonts w:hAnsi="Calibri"/>
                <w:bCs/>
              </w:rPr>
              <w:t>GB/T31962-2015</w:t>
            </w:r>
            <w:r>
              <w:rPr>
                <w:rFonts w:hAnsi="Calibri"/>
                <w:bCs/>
              </w:rPr>
              <w:t>）</w:t>
            </w:r>
            <w:r>
              <w:rPr>
                <w:rFonts w:hAnsi="Calibri"/>
                <w:bCs/>
              </w:rPr>
              <w:t>C</w:t>
            </w:r>
            <w:r>
              <w:rPr>
                <w:rFonts w:hAnsi="Calibri"/>
                <w:bCs/>
              </w:rPr>
              <w:t>级标准</w:t>
            </w:r>
          </w:p>
        </w:tc>
        <w:tc>
          <w:tcPr>
            <w:tcW w:w="1299" w:type="pct"/>
            <w:vAlign w:val="center"/>
          </w:tcPr>
          <w:p w:rsidR="00EE56C0" w:rsidRDefault="000F36A1">
            <w:pPr>
              <w:pStyle w:val="afa"/>
            </w:pPr>
            <w:r>
              <w:rPr>
                <w:rFonts w:hint="eastAsia"/>
              </w:rPr>
              <w:t>300</w:t>
            </w:r>
          </w:p>
        </w:tc>
      </w:tr>
      <w:tr w:rsidR="00EE56C0">
        <w:trPr>
          <w:trHeight w:val="397"/>
          <w:jc w:val="center"/>
        </w:trPr>
        <w:tc>
          <w:tcPr>
            <w:tcW w:w="735" w:type="pct"/>
            <w:vMerge/>
            <w:vAlign w:val="center"/>
          </w:tcPr>
          <w:p w:rsidR="00EE56C0" w:rsidRDefault="00EE56C0">
            <w:pPr>
              <w:pStyle w:val="afa"/>
            </w:pPr>
          </w:p>
        </w:tc>
        <w:tc>
          <w:tcPr>
            <w:tcW w:w="736" w:type="pct"/>
            <w:vAlign w:val="center"/>
          </w:tcPr>
          <w:p w:rsidR="00EE56C0" w:rsidRDefault="000F36A1">
            <w:pPr>
              <w:pStyle w:val="afa"/>
            </w:pPr>
            <w:r>
              <w:rPr>
                <w:bCs/>
                <w:spacing w:val="-4"/>
              </w:rPr>
              <w:t>SS</w:t>
            </w:r>
          </w:p>
        </w:tc>
        <w:tc>
          <w:tcPr>
            <w:tcW w:w="2230" w:type="pct"/>
            <w:vMerge/>
            <w:vAlign w:val="center"/>
          </w:tcPr>
          <w:p w:rsidR="00EE56C0" w:rsidRDefault="00EE56C0">
            <w:pPr>
              <w:pStyle w:val="afa"/>
            </w:pPr>
          </w:p>
        </w:tc>
        <w:tc>
          <w:tcPr>
            <w:tcW w:w="1299" w:type="pct"/>
            <w:vAlign w:val="center"/>
          </w:tcPr>
          <w:p w:rsidR="00EE56C0" w:rsidRDefault="000F36A1">
            <w:pPr>
              <w:pStyle w:val="afa"/>
            </w:pPr>
            <w:r>
              <w:rPr>
                <w:rFonts w:hint="eastAsia"/>
              </w:rPr>
              <w:t>250</w:t>
            </w:r>
          </w:p>
        </w:tc>
      </w:tr>
      <w:tr w:rsidR="00EE56C0">
        <w:trPr>
          <w:trHeight w:val="397"/>
          <w:jc w:val="center"/>
        </w:trPr>
        <w:tc>
          <w:tcPr>
            <w:tcW w:w="735" w:type="pct"/>
            <w:vMerge/>
            <w:vAlign w:val="center"/>
          </w:tcPr>
          <w:p w:rsidR="00EE56C0" w:rsidRDefault="00EE56C0">
            <w:pPr>
              <w:pStyle w:val="afa"/>
            </w:pPr>
          </w:p>
        </w:tc>
        <w:tc>
          <w:tcPr>
            <w:tcW w:w="736" w:type="pct"/>
            <w:vAlign w:val="center"/>
          </w:tcPr>
          <w:p w:rsidR="00EE56C0" w:rsidRDefault="000F36A1">
            <w:pPr>
              <w:pStyle w:val="afa"/>
            </w:pPr>
            <w:r>
              <w:rPr>
                <w:bCs/>
                <w:spacing w:val="-4"/>
              </w:rPr>
              <w:t>NH</w:t>
            </w:r>
            <w:r>
              <w:rPr>
                <w:bCs/>
                <w:spacing w:val="-4"/>
                <w:vertAlign w:val="subscript"/>
              </w:rPr>
              <w:t>3</w:t>
            </w:r>
            <w:r>
              <w:rPr>
                <w:bCs/>
                <w:spacing w:val="-4"/>
              </w:rPr>
              <w:t>-N</w:t>
            </w:r>
          </w:p>
        </w:tc>
        <w:tc>
          <w:tcPr>
            <w:tcW w:w="2230" w:type="pct"/>
            <w:vMerge/>
            <w:vAlign w:val="center"/>
          </w:tcPr>
          <w:p w:rsidR="00EE56C0" w:rsidRDefault="00EE56C0">
            <w:pPr>
              <w:pStyle w:val="afa"/>
            </w:pPr>
          </w:p>
        </w:tc>
        <w:tc>
          <w:tcPr>
            <w:tcW w:w="1299" w:type="pct"/>
            <w:vAlign w:val="center"/>
          </w:tcPr>
          <w:p w:rsidR="00EE56C0" w:rsidRDefault="000F36A1">
            <w:pPr>
              <w:pStyle w:val="afa"/>
            </w:pPr>
            <w:r>
              <w:rPr>
                <w:rFonts w:hint="eastAsia"/>
              </w:rPr>
              <w:t>25</w:t>
            </w:r>
          </w:p>
        </w:tc>
      </w:tr>
      <w:tr w:rsidR="00EE56C0">
        <w:trPr>
          <w:trHeight w:val="397"/>
          <w:jc w:val="center"/>
        </w:trPr>
        <w:tc>
          <w:tcPr>
            <w:tcW w:w="735" w:type="pct"/>
            <w:vMerge/>
            <w:vAlign w:val="center"/>
          </w:tcPr>
          <w:p w:rsidR="00EE56C0" w:rsidRDefault="00EE56C0">
            <w:pPr>
              <w:pStyle w:val="afa"/>
            </w:pPr>
          </w:p>
        </w:tc>
        <w:tc>
          <w:tcPr>
            <w:tcW w:w="736" w:type="pct"/>
            <w:vAlign w:val="center"/>
          </w:tcPr>
          <w:p w:rsidR="00EE56C0" w:rsidRDefault="000F36A1">
            <w:pPr>
              <w:pStyle w:val="afa"/>
              <w:rPr>
                <w:bCs/>
                <w:spacing w:val="-4"/>
              </w:rPr>
            </w:pPr>
            <w:r>
              <w:rPr>
                <w:bCs/>
                <w:spacing w:val="-4"/>
              </w:rPr>
              <w:t>TP</w:t>
            </w:r>
          </w:p>
        </w:tc>
        <w:tc>
          <w:tcPr>
            <w:tcW w:w="2230" w:type="pct"/>
            <w:vMerge/>
            <w:vAlign w:val="center"/>
          </w:tcPr>
          <w:p w:rsidR="00EE56C0" w:rsidRDefault="00EE56C0">
            <w:pPr>
              <w:pStyle w:val="afa"/>
            </w:pPr>
          </w:p>
        </w:tc>
        <w:tc>
          <w:tcPr>
            <w:tcW w:w="1299" w:type="pct"/>
            <w:vAlign w:val="center"/>
          </w:tcPr>
          <w:p w:rsidR="00EE56C0" w:rsidRDefault="000F36A1">
            <w:pPr>
              <w:pStyle w:val="afa"/>
            </w:pPr>
            <w:r>
              <w:rPr>
                <w:rFonts w:hint="eastAsia"/>
              </w:rPr>
              <w:t>5</w:t>
            </w:r>
          </w:p>
        </w:tc>
      </w:tr>
      <w:tr w:rsidR="00EE56C0">
        <w:trPr>
          <w:trHeight w:val="500"/>
          <w:jc w:val="center"/>
        </w:trPr>
        <w:tc>
          <w:tcPr>
            <w:tcW w:w="735" w:type="pct"/>
            <w:vMerge/>
            <w:vAlign w:val="center"/>
          </w:tcPr>
          <w:p w:rsidR="00EE56C0" w:rsidRDefault="00EE56C0">
            <w:pPr>
              <w:pStyle w:val="afa"/>
            </w:pPr>
          </w:p>
        </w:tc>
        <w:tc>
          <w:tcPr>
            <w:tcW w:w="736" w:type="pct"/>
            <w:vAlign w:val="center"/>
          </w:tcPr>
          <w:p w:rsidR="00EE56C0" w:rsidRDefault="000F36A1">
            <w:pPr>
              <w:pStyle w:val="afa"/>
              <w:rPr>
                <w:bCs/>
                <w:spacing w:val="-4"/>
              </w:rPr>
            </w:pPr>
            <w:r>
              <w:rPr>
                <w:bCs/>
                <w:spacing w:val="-4"/>
              </w:rPr>
              <w:t>TN</w:t>
            </w:r>
          </w:p>
        </w:tc>
        <w:tc>
          <w:tcPr>
            <w:tcW w:w="2230" w:type="pct"/>
            <w:vMerge/>
            <w:vAlign w:val="center"/>
          </w:tcPr>
          <w:p w:rsidR="00EE56C0" w:rsidRDefault="00EE56C0">
            <w:pPr>
              <w:pStyle w:val="afa"/>
            </w:pPr>
          </w:p>
        </w:tc>
        <w:tc>
          <w:tcPr>
            <w:tcW w:w="1299" w:type="pct"/>
            <w:vAlign w:val="center"/>
          </w:tcPr>
          <w:p w:rsidR="00EE56C0" w:rsidRDefault="000F36A1">
            <w:pPr>
              <w:pStyle w:val="afa"/>
            </w:pPr>
            <w:r>
              <w:rPr>
                <w:rFonts w:hint="eastAsia"/>
              </w:rPr>
              <w:t>45</w:t>
            </w:r>
          </w:p>
        </w:tc>
      </w:tr>
      <w:tr w:rsidR="00EE56C0">
        <w:trPr>
          <w:trHeight w:val="397"/>
          <w:jc w:val="center"/>
        </w:trPr>
        <w:tc>
          <w:tcPr>
            <w:tcW w:w="735" w:type="pct"/>
            <w:vMerge/>
            <w:vAlign w:val="center"/>
          </w:tcPr>
          <w:p w:rsidR="00EE56C0" w:rsidRDefault="00EE56C0">
            <w:pPr>
              <w:pStyle w:val="afa"/>
            </w:pPr>
          </w:p>
        </w:tc>
        <w:tc>
          <w:tcPr>
            <w:tcW w:w="736" w:type="pct"/>
            <w:vAlign w:val="center"/>
          </w:tcPr>
          <w:p w:rsidR="00EE56C0" w:rsidRDefault="000F36A1">
            <w:pPr>
              <w:pStyle w:val="afa"/>
              <w:rPr>
                <w:bCs/>
                <w:spacing w:val="-4"/>
              </w:rPr>
            </w:pPr>
            <w:r>
              <w:rPr>
                <w:rFonts w:hint="eastAsia"/>
                <w:bCs/>
                <w:spacing w:val="-4"/>
              </w:rPr>
              <w:t>动植物油</w:t>
            </w:r>
          </w:p>
        </w:tc>
        <w:tc>
          <w:tcPr>
            <w:tcW w:w="2230" w:type="pct"/>
            <w:vMerge/>
            <w:vAlign w:val="center"/>
          </w:tcPr>
          <w:p w:rsidR="00EE56C0" w:rsidRDefault="00EE56C0">
            <w:pPr>
              <w:pStyle w:val="afa"/>
            </w:pPr>
          </w:p>
        </w:tc>
        <w:tc>
          <w:tcPr>
            <w:tcW w:w="1299" w:type="pct"/>
            <w:vAlign w:val="center"/>
          </w:tcPr>
          <w:p w:rsidR="00EE56C0" w:rsidRDefault="000F36A1">
            <w:pPr>
              <w:pStyle w:val="afa"/>
            </w:pPr>
            <w:r>
              <w:rPr>
                <w:rFonts w:hint="eastAsia"/>
              </w:rPr>
              <w:t>100</w:t>
            </w:r>
          </w:p>
        </w:tc>
      </w:tr>
    </w:tbl>
    <w:p w:rsidR="00EE56C0" w:rsidRDefault="000F36A1">
      <w:pPr>
        <w:pStyle w:val="17"/>
        <w:ind w:firstLine="480"/>
        <w:rPr>
          <w:rFonts w:cs="Times New Roman"/>
          <w:u w:val="single"/>
        </w:rPr>
      </w:pPr>
      <w:r>
        <w:rPr>
          <w:rFonts w:cs="Times New Roman"/>
          <w:u w:val="single"/>
        </w:rPr>
        <w:t>④</w:t>
      </w:r>
      <w:r>
        <w:rPr>
          <w:rFonts w:cs="Times New Roman"/>
          <w:u w:val="single"/>
        </w:rPr>
        <w:t>废水污染物排放信息表</w:t>
      </w:r>
    </w:p>
    <w:p w:rsidR="00EE56C0" w:rsidRDefault="000F36A1">
      <w:pPr>
        <w:pStyle w:val="afd"/>
        <w:spacing w:before="120" w:after="120"/>
        <w:ind w:firstLine="482"/>
        <w:rPr>
          <w:u w:val="single"/>
          <w:lang w:val="pt-BR"/>
        </w:rPr>
      </w:pPr>
      <w:r>
        <w:rPr>
          <w:u w:val="single"/>
          <w:lang w:val="pt-BR"/>
        </w:rPr>
        <w:t>表</w:t>
      </w:r>
      <w:r>
        <w:rPr>
          <w:rFonts w:hint="eastAsia"/>
          <w:u w:val="single"/>
          <w:lang w:val="pt-BR"/>
        </w:rPr>
        <w:t xml:space="preserve">3-54       </w:t>
      </w:r>
      <w:r>
        <w:rPr>
          <w:rFonts w:hint="eastAsia"/>
          <w:u w:val="single"/>
          <w:lang w:val="pt-BR"/>
        </w:rPr>
        <w:t>一期新增</w:t>
      </w:r>
      <w:r>
        <w:rPr>
          <w:u w:val="single"/>
          <w:lang w:val="pt-BR"/>
        </w:rPr>
        <w:t>废水污染物排放信息表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36"/>
        <w:gridCol w:w="1537"/>
        <w:gridCol w:w="1706"/>
        <w:gridCol w:w="2047"/>
        <w:gridCol w:w="1702"/>
      </w:tblGrid>
      <w:tr w:rsidR="00EE56C0">
        <w:trPr>
          <w:trHeight w:val="618"/>
          <w:jc w:val="center"/>
        </w:trPr>
        <w:tc>
          <w:tcPr>
            <w:tcW w:w="901" w:type="pct"/>
            <w:vAlign w:val="center"/>
          </w:tcPr>
          <w:p w:rsidR="00EE56C0" w:rsidRDefault="000F36A1">
            <w:pPr>
              <w:pStyle w:val="aff1"/>
              <w:rPr>
                <w:color w:val="auto"/>
                <w:u w:val="single"/>
                <w:lang w:val="pt-BR"/>
              </w:rPr>
            </w:pPr>
            <w:r>
              <w:rPr>
                <w:color w:val="auto"/>
                <w:u w:val="single"/>
              </w:rPr>
              <w:t>排放口编号</w:t>
            </w:r>
          </w:p>
        </w:tc>
        <w:tc>
          <w:tcPr>
            <w:tcW w:w="901" w:type="pct"/>
            <w:vAlign w:val="center"/>
          </w:tcPr>
          <w:p w:rsidR="00EE56C0" w:rsidRDefault="000F36A1">
            <w:pPr>
              <w:pStyle w:val="aff1"/>
              <w:rPr>
                <w:color w:val="auto"/>
                <w:u w:val="single"/>
                <w:lang w:val="pt-BR"/>
              </w:rPr>
            </w:pPr>
            <w:r>
              <w:rPr>
                <w:color w:val="auto"/>
                <w:u w:val="single"/>
              </w:rPr>
              <w:t>污染物种类</w:t>
            </w:r>
          </w:p>
        </w:tc>
        <w:tc>
          <w:tcPr>
            <w:tcW w:w="1000" w:type="pct"/>
            <w:vAlign w:val="center"/>
          </w:tcPr>
          <w:p w:rsidR="00EE56C0" w:rsidRDefault="000F36A1">
            <w:pPr>
              <w:pStyle w:val="aff1"/>
              <w:rPr>
                <w:color w:val="auto"/>
                <w:u w:val="single"/>
                <w:lang w:val="pt-BR"/>
              </w:rPr>
            </w:pPr>
            <w:r>
              <w:rPr>
                <w:color w:val="auto"/>
                <w:u w:val="single"/>
              </w:rPr>
              <w:t>排放浓度</w:t>
            </w:r>
          </w:p>
          <w:p w:rsidR="00EE56C0" w:rsidRDefault="000F36A1">
            <w:pPr>
              <w:pStyle w:val="aff1"/>
              <w:rPr>
                <w:color w:val="auto"/>
                <w:u w:val="single"/>
                <w:lang w:val="pt-BR"/>
              </w:rPr>
            </w:pPr>
            <w:r>
              <w:rPr>
                <w:color w:val="auto"/>
                <w:u w:val="single"/>
                <w:lang w:val="pt-BR"/>
              </w:rPr>
              <w:t>/</w:t>
            </w:r>
            <w:r>
              <w:rPr>
                <w:color w:val="auto"/>
                <w:u w:val="single"/>
                <w:lang w:val="pt-BR"/>
              </w:rPr>
              <w:t>（</w:t>
            </w:r>
            <w:r>
              <w:rPr>
                <w:color w:val="auto"/>
                <w:u w:val="single"/>
                <w:lang w:val="pt-BR"/>
              </w:rPr>
              <w:t>mg/L</w:t>
            </w:r>
            <w:r>
              <w:rPr>
                <w:color w:val="auto"/>
                <w:u w:val="single"/>
                <w:lang w:val="pt-BR"/>
              </w:rPr>
              <w:t>）</w:t>
            </w:r>
          </w:p>
        </w:tc>
        <w:tc>
          <w:tcPr>
            <w:tcW w:w="1200" w:type="pct"/>
            <w:vAlign w:val="center"/>
          </w:tcPr>
          <w:p w:rsidR="00EE56C0" w:rsidRDefault="000F36A1">
            <w:pPr>
              <w:pStyle w:val="aff1"/>
              <w:rPr>
                <w:color w:val="auto"/>
                <w:u w:val="single"/>
                <w:lang w:val="pt-BR"/>
              </w:rPr>
            </w:pPr>
            <w:r>
              <w:rPr>
                <w:color w:val="auto"/>
                <w:u w:val="single"/>
              </w:rPr>
              <w:t>日排放量</w:t>
            </w:r>
          </w:p>
          <w:p w:rsidR="00EE56C0" w:rsidRDefault="000F36A1">
            <w:pPr>
              <w:pStyle w:val="aff1"/>
              <w:rPr>
                <w:color w:val="auto"/>
                <w:u w:val="single"/>
                <w:lang w:val="pt-BR"/>
              </w:rPr>
            </w:pPr>
            <w:r>
              <w:rPr>
                <w:color w:val="auto"/>
                <w:u w:val="single"/>
                <w:lang w:val="pt-BR"/>
              </w:rPr>
              <w:t>/</w:t>
            </w:r>
            <w:r>
              <w:rPr>
                <w:color w:val="auto"/>
                <w:u w:val="single"/>
                <w:lang w:val="pt-BR"/>
              </w:rPr>
              <w:t>（</w:t>
            </w:r>
            <w:r>
              <w:rPr>
                <w:color w:val="auto"/>
                <w:u w:val="single"/>
                <w:lang w:val="pt-BR"/>
              </w:rPr>
              <w:t>kg/d</w:t>
            </w:r>
            <w:r>
              <w:rPr>
                <w:color w:val="auto"/>
                <w:u w:val="single"/>
                <w:lang w:val="pt-BR"/>
              </w:rPr>
              <w:t>）</w:t>
            </w:r>
          </w:p>
        </w:tc>
        <w:tc>
          <w:tcPr>
            <w:tcW w:w="998" w:type="pct"/>
            <w:vAlign w:val="center"/>
          </w:tcPr>
          <w:p w:rsidR="00EE56C0" w:rsidRDefault="000F36A1">
            <w:pPr>
              <w:pStyle w:val="aff1"/>
              <w:rPr>
                <w:color w:val="auto"/>
                <w:u w:val="single"/>
                <w:lang w:val="pt-BR"/>
              </w:rPr>
            </w:pPr>
            <w:r>
              <w:rPr>
                <w:color w:val="auto"/>
                <w:u w:val="single"/>
              </w:rPr>
              <w:t>年排放量</w:t>
            </w:r>
          </w:p>
          <w:p w:rsidR="00EE56C0" w:rsidRDefault="000F36A1">
            <w:pPr>
              <w:pStyle w:val="aff1"/>
              <w:rPr>
                <w:color w:val="auto"/>
                <w:u w:val="single"/>
                <w:lang w:val="pt-BR"/>
              </w:rPr>
            </w:pPr>
            <w:r>
              <w:rPr>
                <w:color w:val="auto"/>
                <w:u w:val="single"/>
                <w:lang w:val="pt-BR"/>
              </w:rPr>
              <w:t>/</w:t>
            </w:r>
            <w:r>
              <w:rPr>
                <w:color w:val="auto"/>
                <w:u w:val="single"/>
                <w:lang w:val="pt-BR"/>
              </w:rPr>
              <w:t>（</w:t>
            </w:r>
            <w:r>
              <w:rPr>
                <w:color w:val="auto"/>
                <w:u w:val="single"/>
                <w:lang w:val="pt-BR"/>
              </w:rPr>
              <w:t>t/a</w:t>
            </w:r>
            <w:r>
              <w:rPr>
                <w:color w:val="auto"/>
                <w:u w:val="single"/>
                <w:lang w:val="pt-BR"/>
              </w:rPr>
              <w:t>）</w:t>
            </w:r>
          </w:p>
        </w:tc>
      </w:tr>
      <w:tr w:rsidR="00EE56C0">
        <w:trPr>
          <w:trHeight w:val="397"/>
          <w:jc w:val="center"/>
        </w:trPr>
        <w:tc>
          <w:tcPr>
            <w:tcW w:w="901" w:type="pct"/>
            <w:vMerge w:val="restart"/>
            <w:vAlign w:val="center"/>
          </w:tcPr>
          <w:p w:rsidR="00EE56C0" w:rsidRDefault="000F36A1">
            <w:pPr>
              <w:pStyle w:val="afa"/>
              <w:rPr>
                <w:u w:val="single"/>
                <w:lang w:val="pt-BR"/>
              </w:rPr>
            </w:pPr>
            <w:r>
              <w:rPr>
                <w:u w:val="single"/>
                <w:lang w:val="pt-BR"/>
              </w:rPr>
              <w:t>DW001</w:t>
            </w:r>
          </w:p>
        </w:tc>
        <w:tc>
          <w:tcPr>
            <w:tcW w:w="901" w:type="pct"/>
            <w:vAlign w:val="center"/>
          </w:tcPr>
          <w:p w:rsidR="00EE56C0" w:rsidRDefault="000F36A1">
            <w:pPr>
              <w:pStyle w:val="afa"/>
              <w:rPr>
                <w:u w:val="single"/>
                <w:lang w:val="pt-BR"/>
              </w:rPr>
            </w:pPr>
            <w:r>
              <w:rPr>
                <w:bCs/>
                <w:spacing w:val="-4"/>
                <w:u w:val="single"/>
                <w:lang w:val="pt-BR"/>
              </w:rPr>
              <w:t>COD</w:t>
            </w:r>
          </w:p>
        </w:tc>
        <w:tc>
          <w:tcPr>
            <w:tcW w:w="1000" w:type="pct"/>
            <w:vAlign w:val="center"/>
          </w:tcPr>
          <w:p w:rsidR="00EE56C0" w:rsidRDefault="000F36A1">
            <w:pPr>
              <w:pStyle w:val="afa"/>
              <w:rPr>
                <w:rFonts w:eastAsia="宋体"/>
                <w:u w:val="single"/>
              </w:rPr>
            </w:pPr>
            <w:r>
              <w:rPr>
                <w:rFonts w:hint="eastAsia"/>
                <w:u w:val="single"/>
              </w:rPr>
              <w:t>189</w:t>
            </w:r>
          </w:p>
        </w:tc>
        <w:tc>
          <w:tcPr>
            <w:tcW w:w="1200" w:type="pct"/>
            <w:vAlign w:val="center"/>
          </w:tcPr>
          <w:p w:rsidR="00EE56C0" w:rsidRDefault="000F36A1">
            <w:pPr>
              <w:pStyle w:val="afa"/>
              <w:rPr>
                <w:rFonts w:eastAsia="宋体"/>
                <w:u w:val="single"/>
              </w:rPr>
            </w:pPr>
            <w:r>
              <w:rPr>
                <w:u w:val="single"/>
              </w:rPr>
              <w:t xml:space="preserve">0.2791 </w:t>
            </w:r>
          </w:p>
        </w:tc>
        <w:tc>
          <w:tcPr>
            <w:tcW w:w="998" w:type="pct"/>
            <w:vAlign w:val="center"/>
          </w:tcPr>
          <w:p w:rsidR="00EE56C0" w:rsidRDefault="000F36A1">
            <w:pPr>
              <w:pStyle w:val="afa"/>
              <w:rPr>
                <w:rFonts w:eastAsia="宋体"/>
                <w:u w:val="single"/>
              </w:rPr>
            </w:pPr>
            <w:r>
              <w:rPr>
                <w:u w:val="single"/>
              </w:rPr>
              <w:t xml:space="preserve">0.0837 </w:t>
            </w:r>
          </w:p>
        </w:tc>
      </w:tr>
      <w:tr w:rsidR="00EE56C0">
        <w:trPr>
          <w:trHeight w:val="397"/>
          <w:jc w:val="center"/>
        </w:trPr>
        <w:tc>
          <w:tcPr>
            <w:tcW w:w="901" w:type="pct"/>
            <w:vMerge/>
            <w:vAlign w:val="center"/>
          </w:tcPr>
          <w:p w:rsidR="00EE56C0" w:rsidRDefault="00EE56C0">
            <w:pPr>
              <w:pStyle w:val="afa"/>
              <w:rPr>
                <w:u w:val="single"/>
                <w:lang w:val="pt-BR"/>
              </w:rPr>
            </w:pPr>
          </w:p>
        </w:tc>
        <w:tc>
          <w:tcPr>
            <w:tcW w:w="901" w:type="pct"/>
            <w:vAlign w:val="center"/>
          </w:tcPr>
          <w:p w:rsidR="00EE56C0" w:rsidRDefault="000F36A1">
            <w:pPr>
              <w:pStyle w:val="afa"/>
              <w:rPr>
                <w:u w:val="single"/>
                <w:lang w:val="pt-BR"/>
              </w:rPr>
            </w:pPr>
            <w:r>
              <w:rPr>
                <w:bCs/>
                <w:spacing w:val="-4"/>
                <w:u w:val="single"/>
                <w:lang w:val="pt-BR"/>
              </w:rPr>
              <w:t>NH</w:t>
            </w:r>
            <w:r>
              <w:rPr>
                <w:bCs/>
                <w:spacing w:val="-4"/>
                <w:u w:val="single"/>
                <w:vertAlign w:val="subscript"/>
                <w:lang w:val="pt-BR"/>
              </w:rPr>
              <w:t>3</w:t>
            </w:r>
            <w:r>
              <w:rPr>
                <w:bCs/>
                <w:spacing w:val="-4"/>
                <w:u w:val="single"/>
                <w:lang w:val="pt-BR"/>
              </w:rPr>
              <w:t>-N</w:t>
            </w:r>
          </w:p>
        </w:tc>
        <w:tc>
          <w:tcPr>
            <w:tcW w:w="1000" w:type="pct"/>
            <w:vAlign w:val="center"/>
          </w:tcPr>
          <w:p w:rsidR="00EE56C0" w:rsidRDefault="000F36A1">
            <w:pPr>
              <w:pStyle w:val="afa"/>
              <w:rPr>
                <w:rFonts w:eastAsia="宋体"/>
                <w:u w:val="single"/>
              </w:rPr>
            </w:pPr>
            <w:r>
              <w:rPr>
                <w:rFonts w:hint="eastAsia"/>
                <w:u w:val="single"/>
              </w:rPr>
              <w:t>18</w:t>
            </w:r>
          </w:p>
        </w:tc>
        <w:tc>
          <w:tcPr>
            <w:tcW w:w="1200" w:type="pct"/>
            <w:vAlign w:val="center"/>
          </w:tcPr>
          <w:p w:rsidR="00EE56C0" w:rsidRDefault="000F36A1">
            <w:pPr>
              <w:pStyle w:val="afa"/>
              <w:rPr>
                <w:rFonts w:eastAsia="宋体"/>
                <w:u w:val="single"/>
              </w:rPr>
            </w:pPr>
            <w:r>
              <w:rPr>
                <w:u w:val="single"/>
              </w:rPr>
              <w:t xml:space="preserve">0.0265 </w:t>
            </w:r>
          </w:p>
        </w:tc>
        <w:tc>
          <w:tcPr>
            <w:tcW w:w="998" w:type="pct"/>
            <w:vAlign w:val="center"/>
          </w:tcPr>
          <w:p w:rsidR="00EE56C0" w:rsidRDefault="000F36A1">
            <w:pPr>
              <w:pStyle w:val="afa"/>
              <w:rPr>
                <w:rFonts w:eastAsia="宋体"/>
                <w:u w:val="single"/>
              </w:rPr>
            </w:pPr>
            <w:r>
              <w:rPr>
                <w:u w:val="single"/>
              </w:rPr>
              <w:t xml:space="preserve">0.0080 </w:t>
            </w:r>
          </w:p>
        </w:tc>
      </w:tr>
      <w:tr w:rsidR="00EE56C0">
        <w:trPr>
          <w:trHeight w:val="578"/>
          <w:jc w:val="center"/>
        </w:trPr>
        <w:tc>
          <w:tcPr>
            <w:tcW w:w="901" w:type="pct"/>
            <w:vMerge/>
            <w:vAlign w:val="center"/>
          </w:tcPr>
          <w:p w:rsidR="00EE56C0" w:rsidRDefault="00EE56C0">
            <w:pPr>
              <w:pStyle w:val="afa"/>
              <w:rPr>
                <w:u w:val="single"/>
                <w:lang w:val="pt-BR"/>
              </w:rPr>
            </w:pPr>
          </w:p>
        </w:tc>
        <w:tc>
          <w:tcPr>
            <w:tcW w:w="901" w:type="pct"/>
            <w:vAlign w:val="center"/>
          </w:tcPr>
          <w:p w:rsidR="00EE56C0" w:rsidRDefault="000F36A1">
            <w:pPr>
              <w:pStyle w:val="afa"/>
              <w:rPr>
                <w:u w:val="single"/>
                <w:lang w:val="pt-BR"/>
              </w:rPr>
            </w:pPr>
            <w:r>
              <w:rPr>
                <w:bCs/>
                <w:spacing w:val="-4"/>
                <w:u w:val="single"/>
                <w:lang w:val="pt-BR"/>
              </w:rPr>
              <w:t>TP</w:t>
            </w:r>
          </w:p>
        </w:tc>
        <w:tc>
          <w:tcPr>
            <w:tcW w:w="1000" w:type="pct"/>
            <w:vAlign w:val="center"/>
          </w:tcPr>
          <w:p w:rsidR="00EE56C0" w:rsidRDefault="000F36A1">
            <w:pPr>
              <w:pStyle w:val="afa"/>
              <w:rPr>
                <w:rFonts w:eastAsia="宋体"/>
                <w:u w:val="single"/>
              </w:rPr>
            </w:pPr>
            <w:r>
              <w:rPr>
                <w:rFonts w:hint="eastAsia"/>
                <w:u w:val="single"/>
              </w:rPr>
              <w:t>3</w:t>
            </w:r>
          </w:p>
        </w:tc>
        <w:tc>
          <w:tcPr>
            <w:tcW w:w="1200" w:type="pct"/>
            <w:vAlign w:val="center"/>
          </w:tcPr>
          <w:p w:rsidR="00EE56C0" w:rsidRDefault="000F36A1">
            <w:pPr>
              <w:pStyle w:val="afa"/>
              <w:rPr>
                <w:rFonts w:eastAsia="宋体"/>
                <w:u w:val="single"/>
              </w:rPr>
            </w:pPr>
            <w:r>
              <w:rPr>
                <w:u w:val="single"/>
              </w:rPr>
              <w:t xml:space="preserve">0.0047 </w:t>
            </w:r>
          </w:p>
        </w:tc>
        <w:tc>
          <w:tcPr>
            <w:tcW w:w="998" w:type="pct"/>
            <w:vAlign w:val="center"/>
          </w:tcPr>
          <w:p w:rsidR="00EE56C0" w:rsidRDefault="000F36A1">
            <w:pPr>
              <w:pStyle w:val="afa"/>
              <w:rPr>
                <w:rFonts w:eastAsia="宋体"/>
                <w:u w:val="single"/>
              </w:rPr>
            </w:pPr>
            <w:r>
              <w:rPr>
                <w:u w:val="single"/>
              </w:rPr>
              <w:t xml:space="preserve">0.0014 </w:t>
            </w:r>
          </w:p>
        </w:tc>
      </w:tr>
      <w:tr w:rsidR="00EE56C0">
        <w:trPr>
          <w:trHeight w:val="397"/>
          <w:jc w:val="center"/>
        </w:trPr>
        <w:tc>
          <w:tcPr>
            <w:tcW w:w="901" w:type="pct"/>
            <w:vMerge/>
            <w:vAlign w:val="center"/>
          </w:tcPr>
          <w:p w:rsidR="00EE56C0" w:rsidRDefault="00EE56C0">
            <w:pPr>
              <w:pStyle w:val="afa"/>
              <w:rPr>
                <w:u w:val="single"/>
                <w:lang w:val="pt-BR"/>
              </w:rPr>
            </w:pPr>
          </w:p>
        </w:tc>
        <w:tc>
          <w:tcPr>
            <w:tcW w:w="901" w:type="pct"/>
            <w:vAlign w:val="center"/>
          </w:tcPr>
          <w:p w:rsidR="00EE56C0" w:rsidRDefault="000F36A1">
            <w:pPr>
              <w:pStyle w:val="afa"/>
              <w:rPr>
                <w:rFonts w:eastAsia="MS Mincho"/>
                <w:u w:val="single"/>
                <w:lang w:val="pt-BR"/>
              </w:rPr>
            </w:pPr>
            <w:r>
              <w:rPr>
                <w:bCs/>
                <w:spacing w:val="-4"/>
                <w:u w:val="single"/>
                <w:lang w:val="pt-BR"/>
              </w:rPr>
              <w:t>TN</w:t>
            </w:r>
          </w:p>
        </w:tc>
        <w:tc>
          <w:tcPr>
            <w:tcW w:w="1000" w:type="pct"/>
            <w:vAlign w:val="center"/>
          </w:tcPr>
          <w:p w:rsidR="00EE56C0" w:rsidRDefault="000F36A1">
            <w:pPr>
              <w:pStyle w:val="afa"/>
              <w:rPr>
                <w:rFonts w:eastAsia="宋体"/>
                <w:u w:val="single"/>
              </w:rPr>
            </w:pPr>
            <w:r>
              <w:rPr>
                <w:rFonts w:hint="eastAsia"/>
                <w:u w:val="single"/>
              </w:rPr>
              <w:t>22</w:t>
            </w:r>
          </w:p>
        </w:tc>
        <w:tc>
          <w:tcPr>
            <w:tcW w:w="1200" w:type="pct"/>
            <w:vAlign w:val="center"/>
          </w:tcPr>
          <w:p w:rsidR="00EE56C0" w:rsidRDefault="000F36A1">
            <w:pPr>
              <w:pStyle w:val="afa"/>
              <w:rPr>
                <w:rFonts w:eastAsia="宋体"/>
                <w:u w:val="single"/>
              </w:rPr>
            </w:pPr>
            <w:r>
              <w:rPr>
                <w:u w:val="single"/>
              </w:rPr>
              <w:t xml:space="preserve">0.0325 </w:t>
            </w:r>
          </w:p>
        </w:tc>
        <w:tc>
          <w:tcPr>
            <w:tcW w:w="998" w:type="pct"/>
            <w:vAlign w:val="center"/>
          </w:tcPr>
          <w:p w:rsidR="00EE56C0" w:rsidRDefault="000F36A1">
            <w:pPr>
              <w:pStyle w:val="afa"/>
              <w:rPr>
                <w:rFonts w:eastAsia="宋体"/>
                <w:u w:val="single"/>
              </w:rPr>
            </w:pPr>
            <w:r>
              <w:rPr>
                <w:u w:val="single"/>
              </w:rPr>
              <w:t xml:space="preserve">0.0098 </w:t>
            </w:r>
          </w:p>
        </w:tc>
      </w:tr>
    </w:tbl>
    <w:p w:rsidR="00EE56C0" w:rsidRDefault="000F36A1">
      <w:pPr>
        <w:pStyle w:val="afd"/>
        <w:spacing w:before="120" w:after="120"/>
        <w:ind w:firstLine="482"/>
        <w:rPr>
          <w:u w:val="single"/>
          <w:lang w:val="pt-BR"/>
        </w:rPr>
      </w:pPr>
      <w:r>
        <w:rPr>
          <w:u w:val="single"/>
          <w:lang w:val="pt-BR"/>
        </w:rPr>
        <w:t>表</w:t>
      </w:r>
      <w:r>
        <w:rPr>
          <w:rFonts w:hint="eastAsia"/>
          <w:u w:val="single"/>
          <w:lang w:val="pt-BR"/>
        </w:rPr>
        <w:t xml:space="preserve">3-55            </w:t>
      </w:r>
      <w:r>
        <w:rPr>
          <w:rFonts w:hint="eastAsia"/>
          <w:u w:val="single"/>
          <w:lang w:val="pt-BR"/>
        </w:rPr>
        <w:t>二期新增</w:t>
      </w:r>
      <w:r>
        <w:rPr>
          <w:u w:val="single"/>
          <w:lang w:val="pt-BR"/>
        </w:rPr>
        <w:t>废水污染物排放信息表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36"/>
        <w:gridCol w:w="1537"/>
        <w:gridCol w:w="1706"/>
        <w:gridCol w:w="2047"/>
        <w:gridCol w:w="1702"/>
      </w:tblGrid>
      <w:tr w:rsidR="00EE56C0">
        <w:trPr>
          <w:trHeight w:val="397"/>
          <w:jc w:val="center"/>
        </w:trPr>
        <w:tc>
          <w:tcPr>
            <w:tcW w:w="901" w:type="pct"/>
            <w:vAlign w:val="center"/>
          </w:tcPr>
          <w:p w:rsidR="00EE56C0" w:rsidRDefault="000F36A1">
            <w:pPr>
              <w:pStyle w:val="aff1"/>
              <w:rPr>
                <w:color w:val="auto"/>
                <w:u w:val="single"/>
                <w:lang w:val="pt-BR"/>
              </w:rPr>
            </w:pPr>
            <w:r>
              <w:rPr>
                <w:color w:val="auto"/>
                <w:u w:val="single"/>
              </w:rPr>
              <w:t>排放口编号</w:t>
            </w:r>
          </w:p>
        </w:tc>
        <w:tc>
          <w:tcPr>
            <w:tcW w:w="901" w:type="pct"/>
            <w:vAlign w:val="center"/>
          </w:tcPr>
          <w:p w:rsidR="00EE56C0" w:rsidRDefault="000F36A1">
            <w:pPr>
              <w:pStyle w:val="aff1"/>
              <w:rPr>
                <w:color w:val="auto"/>
                <w:u w:val="single"/>
                <w:lang w:val="pt-BR"/>
              </w:rPr>
            </w:pPr>
            <w:r>
              <w:rPr>
                <w:color w:val="auto"/>
                <w:u w:val="single"/>
              </w:rPr>
              <w:t>污染物种类</w:t>
            </w:r>
          </w:p>
        </w:tc>
        <w:tc>
          <w:tcPr>
            <w:tcW w:w="1000" w:type="pct"/>
            <w:vAlign w:val="center"/>
          </w:tcPr>
          <w:p w:rsidR="00EE56C0" w:rsidRDefault="000F36A1">
            <w:pPr>
              <w:pStyle w:val="aff1"/>
              <w:rPr>
                <w:color w:val="auto"/>
                <w:u w:val="single"/>
                <w:lang w:val="pt-BR"/>
              </w:rPr>
            </w:pPr>
            <w:r>
              <w:rPr>
                <w:color w:val="auto"/>
                <w:u w:val="single"/>
              </w:rPr>
              <w:t>排放浓度</w:t>
            </w:r>
          </w:p>
          <w:p w:rsidR="00EE56C0" w:rsidRDefault="000F36A1">
            <w:pPr>
              <w:pStyle w:val="aff1"/>
              <w:rPr>
                <w:color w:val="auto"/>
                <w:u w:val="single"/>
                <w:lang w:val="pt-BR"/>
              </w:rPr>
            </w:pPr>
            <w:r>
              <w:rPr>
                <w:color w:val="auto"/>
                <w:u w:val="single"/>
                <w:lang w:val="pt-BR"/>
              </w:rPr>
              <w:t>/</w:t>
            </w:r>
            <w:r>
              <w:rPr>
                <w:color w:val="auto"/>
                <w:u w:val="single"/>
                <w:lang w:val="pt-BR"/>
              </w:rPr>
              <w:t>（</w:t>
            </w:r>
            <w:r>
              <w:rPr>
                <w:color w:val="auto"/>
                <w:u w:val="single"/>
                <w:lang w:val="pt-BR"/>
              </w:rPr>
              <w:t>mg/L</w:t>
            </w:r>
            <w:r>
              <w:rPr>
                <w:color w:val="auto"/>
                <w:u w:val="single"/>
                <w:lang w:val="pt-BR"/>
              </w:rPr>
              <w:t>）</w:t>
            </w:r>
          </w:p>
        </w:tc>
        <w:tc>
          <w:tcPr>
            <w:tcW w:w="1200" w:type="pct"/>
            <w:vAlign w:val="center"/>
          </w:tcPr>
          <w:p w:rsidR="00EE56C0" w:rsidRDefault="000F36A1">
            <w:pPr>
              <w:pStyle w:val="aff1"/>
              <w:rPr>
                <w:color w:val="auto"/>
                <w:u w:val="single"/>
                <w:lang w:val="pt-BR"/>
              </w:rPr>
            </w:pPr>
            <w:r>
              <w:rPr>
                <w:color w:val="auto"/>
                <w:u w:val="single"/>
              </w:rPr>
              <w:t>日排放量</w:t>
            </w:r>
          </w:p>
          <w:p w:rsidR="00EE56C0" w:rsidRDefault="000F36A1">
            <w:pPr>
              <w:pStyle w:val="aff1"/>
              <w:rPr>
                <w:color w:val="auto"/>
                <w:u w:val="single"/>
                <w:lang w:val="pt-BR"/>
              </w:rPr>
            </w:pPr>
            <w:r>
              <w:rPr>
                <w:color w:val="auto"/>
                <w:u w:val="single"/>
                <w:lang w:val="pt-BR"/>
              </w:rPr>
              <w:t>/</w:t>
            </w:r>
            <w:r>
              <w:rPr>
                <w:color w:val="auto"/>
                <w:u w:val="single"/>
                <w:lang w:val="pt-BR"/>
              </w:rPr>
              <w:t>（</w:t>
            </w:r>
            <w:r>
              <w:rPr>
                <w:color w:val="auto"/>
                <w:u w:val="single"/>
                <w:lang w:val="pt-BR"/>
              </w:rPr>
              <w:t>kg/d</w:t>
            </w:r>
            <w:r>
              <w:rPr>
                <w:color w:val="auto"/>
                <w:u w:val="single"/>
                <w:lang w:val="pt-BR"/>
              </w:rPr>
              <w:t>）</w:t>
            </w:r>
          </w:p>
        </w:tc>
        <w:tc>
          <w:tcPr>
            <w:tcW w:w="998" w:type="pct"/>
            <w:vAlign w:val="center"/>
          </w:tcPr>
          <w:p w:rsidR="00EE56C0" w:rsidRDefault="000F36A1">
            <w:pPr>
              <w:pStyle w:val="aff1"/>
              <w:rPr>
                <w:color w:val="auto"/>
                <w:u w:val="single"/>
                <w:lang w:val="pt-BR"/>
              </w:rPr>
            </w:pPr>
            <w:r>
              <w:rPr>
                <w:color w:val="auto"/>
                <w:u w:val="single"/>
              </w:rPr>
              <w:t>年排放量</w:t>
            </w:r>
          </w:p>
          <w:p w:rsidR="00EE56C0" w:rsidRDefault="000F36A1">
            <w:pPr>
              <w:pStyle w:val="aff1"/>
              <w:rPr>
                <w:color w:val="auto"/>
                <w:u w:val="single"/>
                <w:lang w:val="pt-BR"/>
              </w:rPr>
            </w:pPr>
            <w:r>
              <w:rPr>
                <w:color w:val="auto"/>
                <w:u w:val="single"/>
                <w:lang w:val="pt-BR"/>
              </w:rPr>
              <w:t>/</w:t>
            </w:r>
            <w:r>
              <w:rPr>
                <w:color w:val="auto"/>
                <w:u w:val="single"/>
                <w:lang w:val="pt-BR"/>
              </w:rPr>
              <w:t>（</w:t>
            </w:r>
            <w:r>
              <w:rPr>
                <w:color w:val="auto"/>
                <w:u w:val="single"/>
                <w:lang w:val="pt-BR"/>
              </w:rPr>
              <w:t>t/a</w:t>
            </w:r>
            <w:r>
              <w:rPr>
                <w:color w:val="auto"/>
                <w:u w:val="single"/>
                <w:lang w:val="pt-BR"/>
              </w:rPr>
              <w:t>）</w:t>
            </w:r>
          </w:p>
        </w:tc>
      </w:tr>
      <w:tr w:rsidR="00EE56C0">
        <w:trPr>
          <w:trHeight w:val="397"/>
          <w:jc w:val="center"/>
        </w:trPr>
        <w:tc>
          <w:tcPr>
            <w:tcW w:w="901" w:type="pct"/>
            <w:vMerge w:val="restart"/>
            <w:vAlign w:val="center"/>
          </w:tcPr>
          <w:p w:rsidR="00EE56C0" w:rsidRDefault="000F36A1">
            <w:pPr>
              <w:pStyle w:val="afa"/>
              <w:rPr>
                <w:u w:val="single"/>
                <w:lang w:val="pt-BR"/>
              </w:rPr>
            </w:pPr>
            <w:r>
              <w:rPr>
                <w:u w:val="single"/>
                <w:lang w:val="pt-BR"/>
              </w:rPr>
              <w:t>DW001</w:t>
            </w:r>
          </w:p>
        </w:tc>
        <w:tc>
          <w:tcPr>
            <w:tcW w:w="901" w:type="pct"/>
            <w:vAlign w:val="center"/>
          </w:tcPr>
          <w:p w:rsidR="00EE56C0" w:rsidRDefault="000F36A1">
            <w:pPr>
              <w:pStyle w:val="afa"/>
              <w:rPr>
                <w:u w:val="single"/>
                <w:lang w:val="pt-BR"/>
              </w:rPr>
            </w:pPr>
            <w:r>
              <w:rPr>
                <w:bCs/>
                <w:spacing w:val="-4"/>
                <w:u w:val="single"/>
                <w:lang w:val="pt-BR"/>
              </w:rPr>
              <w:t>COD</w:t>
            </w:r>
          </w:p>
        </w:tc>
        <w:tc>
          <w:tcPr>
            <w:tcW w:w="1000" w:type="pct"/>
            <w:vAlign w:val="center"/>
          </w:tcPr>
          <w:p w:rsidR="00EE56C0" w:rsidRDefault="000F36A1">
            <w:pPr>
              <w:pStyle w:val="afa"/>
              <w:rPr>
                <w:rFonts w:eastAsia="宋体"/>
                <w:u w:val="single"/>
              </w:rPr>
            </w:pPr>
            <w:r>
              <w:rPr>
                <w:rFonts w:hint="eastAsia"/>
                <w:u w:val="single"/>
              </w:rPr>
              <w:t>179</w:t>
            </w:r>
          </w:p>
        </w:tc>
        <w:tc>
          <w:tcPr>
            <w:tcW w:w="1200" w:type="pct"/>
            <w:vAlign w:val="center"/>
          </w:tcPr>
          <w:p w:rsidR="00EE56C0" w:rsidRDefault="000F36A1">
            <w:pPr>
              <w:pStyle w:val="afa"/>
              <w:rPr>
                <w:rFonts w:eastAsia="宋体"/>
                <w:u w:val="single"/>
              </w:rPr>
            </w:pPr>
            <w:r>
              <w:rPr>
                <w:u w:val="single"/>
              </w:rPr>
              <w:t xml:space="preserve">0.9631 </w:t>
            </w:r>
          </w:p>
        </w:tc>
        <w:tc>
          <w:tcPr>
            <w:tcW w:w="998" w:type="pct"/>
            <w:vAlign w:val="center"/>
          </w:tcPr>
          <w:p w:rsidR="00EE56C0" w:rsidRDefault="000F36A1">
            <w:pPr>
              <w:pStyle w:val="afa"/>
              <w:rPr>
                <w:rFonts w:eastAsia="宋体"/>
                <w:u w:val="single"/>
              </w:rPr>
            </w:pPr>
            <w:r>
              <w:rPr>
                <w:u w:val="single"/>
              </w:rPr>
              <w:t xml:space="preserve">0.2889 </w:t>
            </w:r>
          </w:p>
        </w:tc>
      </w:tr>
      <w:tr w:rsidR="00EE56C0">
        <w:trPr>
          <w:trHeight w:val="397"/>
          <w:jc w:val="center"/>
        </w:trPr>
        <w:tc>
          <w:tcPr>
            <w:tcW w:w="901" w:type="pct"/>
            <w:vMerge/>
            <w:vAlign w:val="center"/>
          </w:tcPr>
          <w:p w:rsidR="00EE56C0" w:rsidRDefault="00EE56C0">
            <w:pPr>
              <w:pStyle w:val="afa"/>
              <w:rPr>
                <w:u w:val="single"/>
                <w:lang w:val="pt-BR"/>
              </w:rPr>
            </w:pPr>
          </w:p>
        </w:tc>
        <w:tc>
          <w:tcPr>
            <w:tcW w:w="901" w:type="pct"/>
            <w:vAlign w:val="center"/>
          </w:tcPr>
          <w:p w:rsidR="00EE56C0" w:rsidRDefault="000F36A1">
            <w:pPr>
              <w:pStyle w:val="afa"/>
              <w:rPr>
                <w:u w:val="single"/>
                <w:lang w:val="pt-BR"/>
              </w:rPr>
            </w:pPr>
            <w:r>
              <w:rPr>
                <w:bCs/>
                <w:spacing w:val="-4"/>
                <w:u w:val="single"/>
                <w:lang w:val="pt-BR"/>
              </w:rPr>
              <w:t>NH</w:t>
            </w:r>
            <w:r>
              <w:rPr>
                <w:bCs/>
                <w:spacing w:val="-4"/>
                <w:u w:val="single"/>
                <w:vertAlign w:val="subscript"/>
                <w:lang w:val="pt-BR"/>
              </w:rPr>
              <w:t>3</w:t>
            </w:r>
            <w:r>
              <w:rPr>
                <w:bCs/>
                <w:spacing w:val="-4"/>
                <w:u w:val="single"/>
                <w:lang w:val="pt-BR"/>
              </w:rPr>
              <w:t>-N</w:t>
            </w:r>
          </w:p>
        </w:tc>
        <w:tc>
          <w:tcPr>
            <w:tcW w:w="1000" w:type="pct"/>
            <w:vAlign w:val="center"/>
          </w:tcPr>
          <w:p w:rsidR="00EE56C0" w:rsidRDefault="000F36A1">
            <w:pPr>
              <w:pStyle w:val="afa"/>
              <w:rPr>
                <w:rFonts w:eastAsia="宋体"/>
                <w:u w:val="single"/>
              </w:rPr>
            </w:pPr>
            <w:r>
              <w:rPr>
                <w:rFonts w:hint="eastAsia"/>
                <w:u w:val="single"/>
              </w:rPr>
              <w:t>17</w:t>
            </w:r>
          </w:p>
        </w:tc>
        <w:tc>
          <w:tcPr>
            <w:tcW w:w="1200" w:type="pct"/>
            <w:vAlign w:val="center"/>
          </w:tcPr>
          <w:p w:rsidR="00EE56C0" w:rsidRDefault="000F36A1">
            <w:pPr>
              <w:pStyle w:val="afa"/>
              <w:rPr>
                <w:rFonts w:eastAsia="宋体"/>
                <w:u w:val="single"/>
              </w:rPr>
            </w:pPr>
            <w:r>
              <w:rPr>
                <w:u w:val="single"/>
              </w:rPr>
              <w:t xml:space="preserve">0.0926 </w:t>
            </w:r>
          </w:p>
        </w:tc>
        <w:tc>
          <w:tcPr>
            <w:tcW w:w="998" w:type="pct"/>
            <w:vAlign w:val="center"/>
          </w:tcPr>
          <w:p w:rsidR="00EE56C0" w:rsidRDefault="000F36A1">
            <w:pPr>
              <w:pStyle w:val="afa"/>
              <w:rPr>
                <w:rFonts w:eastAsia="宋体"/>
                <w:u w:val="single"/>
              </w:rPr>
            </w:pPr>
            <w:r>
              <w:rPr>
                <w:u w:val="single"/>
              </w:rPr>
              <w:t xml:space="preserve">0.0278 </w:t>
            </w:r>
          </w:p>
        </w:tc>
      </w:tr>
      <w:tr w:rsidR="00EE56C0">
        <w:trPr>
          <w:trHeight w:val="397"/>
          <w:jc w:val="center"/>
        </w:trPr>
        <w:tc>
          <w:tcPr>
            <w:tcW w:w="901" w:type="pct"/>
            <w:vMerge/>
            <w:vAlign w:val="center"/>
          </w:tcPr>
          <w:p w:rsidR="00EE56C0" w:rsidRDefault="00EE56C0">
            <w:pPr>
              <w:pStyle w:val="afa"/>
              <w:rPr>
                <w:u w:val="single"/>
                <w:lang w:val="pt-BR"/>
              </w:rPr>
            </w:pPr>
          </w:p>
        </w:tc>
        <w:tc>
          <w:tcPr>
            <w:tcW w:w="901" w:type="pct"/>
            <w:vAlign w:val="center"/>
          </w:tcPr>
          <w:p w:rsidR="00EE56C0" w:rsidRDefault="000F36A1">
            <w:pPr>
              <w:pStyle w:val="afa"/>
              <w:rPr>
                <w:u w:val="single"/>
                <w:lang w:val="pt-BR"/>
              </w:rPr>
            </w:pPr>
            <w:r>
              <w:rPr>
                <w:bCs/>
                <w:spacing w:val="-4"/>
                <w:u w:val="single"/>
                <w:lang w:val="pt-BR"/>
              </w:rPr>
              <w:t>TP</w:t>
            </w:r>
          </w:p>
        </w:tc>
        <w:tc>
          <w:tcPr>
            <w:tcW w:w="1000" w:type="pct"/>
            <w:vAlign w:val="center"/>
          </w:tcPr>
          <w:p w:rsidR="00EE56C0" w:rsidRDefault="000F36A1">
            <w:pPr>
              <w:pStyle w:val="afa"/>
              <w:rPr>
                <w:rFonts w:eastAsia="宋体"/>
                <w:u w:val="single"/>
              </w:rPr>
            </w:pPr>
            <w:r>
              <w:rPr>
                <w:rFonts w:hint="eastAsia"/>
                <w:u w:val="single"/>
              </w:rPr>
              <w:t>3</w:t>
            </w:r>
          </w:p>
        </w:tc>
        <w:tc>
          <w:tcPr>
            <w:tcW w:w="1200" w:type="pct"/>
            <w:vAlign w:val="center"/>
          </w:tcPr>
          <w:p w:rsidR="00EE56C0" w:rsidRDefault="000F36A1">
            <w:pPr>
              <w:pStyle w:val="afa"/>
              <w:rPr>
                <w:rFonts w:eastAsia="宋体"/>
                <w:u w:val="single"/>
              </w:rPr>
            </w:pPr>
            <w:r>
              <w:rPr>
                <w:u w:val="single"/>
              </w:rPr>
              <w:t xml:space="preserve">0.0172 </w:t>
            </w:r>
          </w:p>
        </w:tc>
        <w:tc>
          <w:tcPr>
            <w:tcW w:w="998" w:type="pct"/>
            <w:vAlign w:val="center"/>
          </w:tcPr>
          <w:p w:rsidR="00EE56C0" w:rsidRDefault="000F36A1">
            <w:pPr>
              <w:pStyle w:val="afa"/>
              <w:rPr>
                <w:rFonts w:eastAsia="宋体"/>
                <w:u w:val="single"/>
              </w:rPr>
            </w:pPr>
            <w:r>
              <w:rPr>
                <w:u w:val="single"/>
              </w:rPr>
              <w:t>0.005</w:t>
            </w:r>
            <w:r>
              <w:rPr>
                <w:rFonts w:hint="eastAsia"/>
                <w:u w:val="single"/>
              </w:rPr>
              <w:t>1</w:t>
            </w:r>
          </w:p>
        </w:tc>
      </w:tr>
      <w:tr w:rsidR="00EE56C0">
        <w:trPr>
          <w:trHeight w:val="397"/>
          <w:jc w:val="center"/>
        </w:trPr>
        <w:tc>
          <w:tcPr>
            <w:tcW w:w="901" w:type="pct"/>
            <w:vMerge/>
            <w:vAlign w:val="center"/>
          </w:tcPr>
          <w:p w:rsidR="00EE56C0" w:rsidRDefault="00EE56C0">
            <w:pPr>
              <w:pStyle w:val="afa"/>
              <w:rPr>
                <w:u w:val="single"/>
                <w:lang w:val="pt-BR"/>
              </w:rPr>
            </w:pPr>
          </w:p>
        </w:tc>
        <w:tc>
          <w:tcPr>
            <w:tcW w:w="901" w:type="pct"/>
            <w:vAlign w:val="center"/>
          </w:tcPr>
          <w:p w:rsidR="00EE56C0" w:rsidRDefault="000F36A1">
            <w:pPr>
              <w:pStyle w:val="afa"/>
              <w:rPr>
                <w:rFonts w:eastAsia="MS Mincho"/>
                <w:u w:val="single"/>
                <w:lang w:val="pt-BR"/>
              </w:rPr>
            </w:pPr>
            <w:r>
              <w:rPr>
                <w:bCs/>
                <w:spacing w:val="-4"/>
                <w:u w:val="single"/>
                <w:lang w:val="pt-BR"/>
              </w:rPr>
              <w:t>TN</w:t>
            </w:r>
          </w:p>
        </w:tc>
        <w:tc>
          <w:tcPr>
            <w:tcW w:w="1000" w:type="pct"/>
            <w:vAlign w:val="center"/>
          </w:tcPr>
          <w:p w:rsidR="00EE56C0" w:rsidRDefault="000F36A1">
            <w:pPr>
              <w:pStyle w:val="afa"/>
              <w:rPr>
                <w:rFonts w:eastAsia="宋体"/>
                <w:u w:val="single"/>
              </w:rPr>
            </w:pPr>
            <w:r>
              <w:rPr>
                <w:rFonts w:hint="eastAsia"/>
                <w:u w:val="single"/>
              </w:rPr>
              <w:t>21</w:t>
            </w:r>
          </w:p>
        </w:tc>
        <w:tc>
          <w:tcPr>
            <w:tcW w:w="1200" w:type="pct"/>
            <w:vAlign w:val="center"/>
          </w:tcPr>
          <w:p w:rsidR="00EE56C0" w:rsidRDefault="000F36A1">
            <w:pPr>
              <w:pStyle w:val="afa"/>
              <w:rPr>
                <w:rFonts w:eastAsia="宋体"/>
                <w:u w:val="single"/>
              </w:rPr>
            </w:pPr>
            <w:r>
              <w:rPr>
                <w:u w:val="single"/>
              </w:rPr>
              <w:t xml:space="preserve">0.1144 </w:t>
            </w:r>
          </w:p>
        </w:tc>
        <w:tc>
          <w:tcPr>
            <w:tcW w:w="998" w:type="pct"/>
            <w:vAlign w:val="center"/>
          </w:tcPr>
          <w:p w:rsidR="00EE56C0" w:rsidRDefault="000F36A1">
            <w:pPr>
              <w:pStyle w:val="afa"/>
              <w:rPr>
                <w:rFonts w:eastAsia="宋体"/>
                <w:u w:val="single"/>
              </w:rPr>
            </w:pPr>
            <w:r>
              <w:rPr>
                <w:u w:val="single"/>
              </w:rPr>
              <w:t xml:space="preserve">0.0343 </w:t>
            </w:r>
          </w:p>
        </w:tc>
      </w:tr>
    </w:tbl>
    <w:p w:rsidR="00EE56C0" w:rsidRDefault="000F36A1">
      <w:pPr>
        <w:pStyle w:val="4"/>
        <w:ind w:left="120" w:firstLine="241"/>
        <w:rPr>
          <w:u w:val="single"/>
        </w:rPr>
      </w:pPr>
      <w:r>
        <w:rPr>
          <w:rFonts w:hint="eastAsia"/>
          <w:u w:val="single"/>
        </w:rPr>
        <w:lastRenderedPageBreak/>
        <w:t>3.7.2.4</w:t>
      </w:r>
      <w:r>
        <w:rPr>
          <w:u w:val="single"/>
        </w:rPr>
        <w:t>总量控制</w:t>
      </w:r>
    </w:p>
    <w:p w:rsidR="00EE56C0" w:rsidRDefault="000F36A1">
      <w:pPr>
        <w:ind w:firstLine="480"/>
        <w:rPr>
          <w:u w:val="single"/>
        </w:rPr>
      </w:pPr>
      <w:r>
        <w:rPr>
          <w:rFonts w:hint="eastAsia"/>
          <w:u w:val="single"/>
        </w:rPr>
        <w:t>根据本项目废水产生量以及总排口、新乡县综合污水处理厂的出水水质，可以计算出本项目废水污染物产排情况，见下表。</w:t>
      </w:r>
    </w:p>
    <w:p w:rsidR="00EE56C0" w:rsidRDefault="000F36A1">
      <w:pPr>
        <w:pStyle w:val="afd"/>
        <w:spacing w:before="120" w:after="120"/>
        <w:ind w:firstLine="482"/>
        <w:rPr>
          <w:u w:val="single"/>
        </w:rPr>
      </w:pPr>
      <w:r>
        <w:rPr>
          <w:rFonts w:hint="eastAsia"/>
          <w:u w:val="single"/>
        </w:rPr>
        <w:t>表</w:t>
      </w:r>
      <w:r>
        <w:rPr>
          <w:rFonts w:hint="eastAsia"/>
          <w:u w:val="single"/>
        </w:rPr>
        <w:t xml:space="preserve">3-56       </w:t>
      </w:r>
      <w:r>
        <w:rPr>
          <w:rFonts w:hint="eastAsia"/>
          <w:u w:val="single"/>
        </w:rPr>
        <w:t>一期新增废水污染物产排情况</w:t>
      </w:r>
      <w:r>
        <w:rPr>
          <w:rFonts w:hint="eastAsia"/>
          <w:u w:val="single"/>
        </w:rPr>
        <w:t xml:space="preserve">     </w:t>
      </w:r>
      <w:r>
        <w:rPr>
          <w:rFonts w:hint="eastAsia"/>
          <w:u w:val="single"/>
        </w:rPr>
        <w:t>单位：</w:t>
      </w:r>
      <w:r>
        <w:rPr>
          <w:rFonts w:hint="eastAsia"/>
          <w:u w:val="single"/>
        </w:rPr>
        <w:t>t/a</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1242"/>
        <w:gridCol w:w="1276"/>
        <w:gridCol w:w="1276"/>
        <w:gridCol w:w="1438"/>
        <w:gridCol w:w="1648"/>
        <w:gridCol w:w="1648"/>
      </w:tblGrid>
      <w:tr w:rsidR="00EE56C0">
        <w:trPr>
          <w:trHeight w:val="425"/>
          <w:jc w:val="center"/>
        </w:trPr>
        <w:tc>
          <w:tcPr>
            <w:tcW w:w="728" w:type="pct"/>
            <w:vAlign w:val="center"/>
          </w:tcPr>
          <w:p w:rsidR="00EE56C0" w:rsidRDefault="000F36A1">
            <w:pPr>
              <w:pStyle w:val="aff1"/>
              <w:rPr>
                <w:color w:val="auto"/>
                <w:u w:val="single"/>
              </w:rPr>
            </w:pPr>
            <w:r>
              <w:rPr>
                <w:rFonts w:hint="eastAsia"/>
                <w:color w:val="auto"/>
                <w:u w:val="single"/>
              </w:rPr>
              <w:t>污染物</w:t>
            </w:r>
          </w:p>
        </w:tc>
        <w:tc>
          <w:tcPr>
            <w:tcW w:w="748" w:type="pct"/>
            <w:vAlign w:val="center"/>
          </w:tcPr>
          <w:p w:rsidR="00EE56C0" w:rsidRDefault="000F36A1">
            <w:pPr>
              <w:pStyle w:val="aff1"/>
              <w:rPr>
                <w:color w:val="auto"/>
                <w:u w:val="single"/>
              </w:rPr>
            </w:pPr>
            <w:r>
              <w:rPr>
                <w:rFonts w:hint="eastAsia"/>
                <w:color w:val="auto"/>
                <w:u w:val="single"/>
              </w:rPr>
              <w:t>产生量</w:t>
            </w:r>
          </w:p>
        </w:tc>
        <w:tc>
          <w:tcPr>
            <w:tcW w:w="748" w:type="pct"/>
            <w:vAlign w:val="center"/>
          </w:tcPr>
          <w:p w:rsidR="00EE56C0" w:rsidRDefault="000F36A1">
            <w:pPr>
              <w:pStyle w:val="aff1"/>
              <w:rPr>
                <w:color w:val="auto"/>
                <w:u w:val="single"/>
              </w:rPr>
            </w:pPr>
            <w:r>
              <w:rPr>
                <w:rFonts w:hint="eastAsia"/>
                <w:color w:val="auto"/>
                <w:u w:val="single"/>
              </w:rPr>
              <w:t>削减量</w:t>
            </w:r>
          </w:p>
        </w:tc>
        <w:tc>
          <w:tcPr>
            <w:tcW w:w="843" w:type="pct"/>
            <w:vAlign w:val="center"/>
          </w:tcPr>
          <w:p w:rsidR="00EE56C0" w:rsidRDefault="000F36A1">
            <w:pPr>
              <w:pStyle w:val="aff1"/>
              <w:rPr>
                <w:color w:val="auto"/>
                <w:u w:val="single"/>
              </w:rPr>
            </w:pPr>
            <w:r>
              <w:rPr>
                <w:rFonts w:hint="eastAsia"/>
                <w:color w:val="auto"/>
                <w:u w:val="single"/>
              </w:rPr>
              <w:t>排放量</w:t>
            </w:r>
          </w:p>
          <w:p w:rsidR="00EE56C0" w:rsidRDefault="000F36A1">
            <w:pPr>
              <w:pStyle w:val="aff1"/>
              <w:rPr>
                <w:color w:val="auto"/>
                <w:u w:val="single"/>
              </w:rPr>
            </w:pPr>
            <w:r>
              <w:rPr>
                <w:rFonts w:hint="eastAsia"/>
                <w:color w:val="auto"/>
                <w:u w:val="single"/>
              </w:rPr>
              <w:t>（总排口）</w:t>
            </w:r>
          </w:p>
        </w:tc>
        <w:tc>
          <w:tcPr>
            <w:tcW w:w="966" w:type="pct"/>
            <w:vAlign w:val="center"/>
          </w:tcPr>
          <w:p w:rsidR="00EE56C0" w:rsidRDefault="000F36A1">
            <w:pPr>
              <w:pStyle w:val="aff1"/>
              <w:rPr>
                <w:color w:val="auto"/>
                <w:u w:val="single"/>
              </w:rPr>
            </w:pPr>
            <w:r>
              <w:rPr>
                <w:rFonts w:hint="eastAsia"/>
                <w:color w:val="auto"/>
                <w:u w:val="single"/>
              </w:rPr>
              <w:t>排放量（新乡县综合污水处理厂出口）</w:t>
            </w:r>
          </w:p>
        </w:tc>
        <w:tc>
          <w:tcPr>
            <w:tcW w:w="966" w:type="pct"/>
            <w:vAlign w:val="center"/>
          </w:tcPr>
          <w:p w:rsidR="00EE56C0" w:rsidRDefault="000F36A1">
            <w:pPr>
              <w:pStyle w:val="aff1"/>
              <w:rPr>
                <w:color w:val="auto"/>
                <w:u w:val="single"/>
              </w:rPr>
            </w:pPr>
            <w:r>
              <w:rPr>
                <w:rFonts w:hint="eastAsia"/>
                <w:color w:val="auto"/>
                <w:u w:val="single"/>
              </w:rPr>
              <w:t>总量指标</w:t>
            </w:r>
          </w:p>
        </w:tc>
      </w:tr>
      <w:tr w:rsidR="00EE56C0">
        <w:trPr>
          <w:trHeight w:val="425"/>
          <w:jc w:val="center"/>
        </w:trPr>
        <w:tc>
          <w:tcPr>
            <w:tcW w:w="728" w:type="pct"/>
            <w:vAlign w:val="center"/>
          </w:tcPr>
          <w:p w:rsidR="00EE56C0" w:rsidRDefault="000F36A1">
            <w:pPr>
              <w:pStyle w:val="afa"/>
              <w:rPr>
                <w:u w:val="single"/>
              </w:rPr>
            </w:pPr>
            <w:r>
              <w:rPr>
                <w:rFonts w:hint="eastAsia"/>
                <w:u w:val="single"/>
              </w:rPr>
              <w:t>COD</w:t>
            </w:r>
          </w:p>
        </w:tc>
        <w:tc>
          <w:tcPr>
            <w:tcW w:w="748" w:type="pct"/>
            <w:vAlign w:val="center"/>
          </w:tcPr>
          <w:p w:rsidR="00EE56C0" w:rsidRDefault="000F36A1">
            <w:pPr>
              <w:pStyle w:val="afa"/>
              <w:rPr>
                <w:rFonts w:eastAsia="宋体"/>
                <w:u w:val="single"/>
              </w:rPr>
            </w:pPr>
            <w:r>
              <w:rPr>
                <w:u w:val="single"/>
              </w:rPr>
              <w:t xml:space="preserve">0.1211 </w:t>
            </w:r>
          </w:p>
        </w:tc>
        <w:tc>
          <w:tcPr>
            <w:tcW w:w="748" w:type="pct"/>
            <w:vAlign w:val="center"/>
          </w:tcPr>
          <w:p w:rsidR="00EE56C0" w:rsidRDefault="000F36A1">
            <w:pPr>
              <w:pStyle w:val="afa"/>
              <w:rPr>
                <w:rFonts w:eastAsia="宋体"/>
                <w:u w:val="single"/>
              </w:rPr>
            </w:pPr>
            <w:r>
              <w:rPr>
                <w:u w:val="single"/>
              </w:rPr>
              <w:t xml:space="preserve">0.0374 </w:t>
            </w:r>
          </w:p>
        </w:tc>
        <w:tc>
          <w:tcPr>
            <w:tcW w:w="843" w:type="pct"/>
            <w:vAlign w:val="center"/>
          </w:tcPr>
          <w:p w:rsidR="00EE56C0" w:rsidRDefault="000F36A1">
            <w:pPr>
              <w:pStyle w:val="afa"/>
              <w:rPr>
                <w:rFonts w:eastAsia="宋体"/>
                <w:u w:val="single"/>
              </w:rPr>
            </w:pPr>
            <w:r>
              <w:rPr>
                <w:u w:val="single"/>
              </w:rPr>
              <w:t xml:space="preserve">0.0837 </w:t>
            </w:r>
          </w:p>
        </w:tc>
        <w:tc>
          <w:tcPr>
            <w:tcW w:w="966" w:type="pct"/>
            <w:vAlign w:val="center"/>
          </w:tcPr>
          <w:p w:rsidR="00EE56C0" w:rsidRDefault="000F36A1">
            <w:pPr>
              <w:pStyle w:val="afa"/>
              <w:rPr>
                <w:rFonts w:eastAsia="宋体"/>
                <w:u w:val="single"/>
              </w:rPr>
            </w:pPr>
            <w:r>
              <w:rPr>
                <w:u w:val="single"/>
              </w:rPr>
              <w:t xml:space="preserve">0.0178 </w:t>
            </w:r>
          </w:p>
        </w:tc>
        <w:tc>
          <w:tcPr>
            <w:tcW w:w="966" w:type="pct"/>
            <w:vAlign w:val="center"/>
          </w:tcPr>
          <w:p w:rsidR="00EE56C0" w:rsidRDefault="000F36A1">
            <w:pPr>
              <w:pStyle w:val="afa"/>
              <w:rPr>
                <w:rFonts w:ascii="宋体" w:eastAsia="宋体" w:hAnsi="宋体" w:cs="宋体"/>
                <w:u w:val="single"/>
              </w:rPr>
            </w:pPr>
            <w:r>
              <w:rPr>
                <w:rFonts w:hint="eastAsia"/>
                <w:u w:val="single"/>
              </w:rPr>
              <w:t xml:space="preserve">0.0178 </w:t>
            </w:r>
          </w:p>
        </w:tc>
      </w:tr>
      <w:tr w:rsidR="00EE56C0">
        <w:trPr>
          <w:trHeight w:val="425"/>
          <w:jc w:val="center"/>
        </w:trPr>
        <w:tc>
          <w:tcPr>
            <w:tcW w:w="728" w:type="pct"/>
            <w:vAlign w:val="center"/>
          </w:tcPr>
          <w:p w:rsidR="00EE56C0" w:rsidRDefault="000F36A1">
            <w:pPr>
              <w:pStyle w:val="afa"/>
              <w:rPr>
                <w:u w:val="single"/>
              </w:rPr>
            </w:pPr>
            <w:r>
              <w:rPr>
                <w:rFonts w:hint="eastAsia"/>
                <w:u w:val="single"/>
              </w:rPr>
              <w:t>NH</w:t>
            </w:r>
            <w:r>
              <w:rPr>
                <w:rFonts w:hint="eastAsia"/>
                <w:u w:val="single"/>
                <w:vertAlign w:val="subscript"/>
              </w:rPr>
              <w:t>3</w:t>
            </w:r>
            <w:r>
              <w:rPr>
                <w:rFonts w:hint="eastAsia"/>
                <w:u w:val="single"/>
              </w:rPr>
              <w:t>-N</w:t>
            </w:r>
          </w:p>
        </w:tc>
        <w:tc>
          <w:tcPr>
            <w:tcW w:w="748" w:type="pct"/>
            <w:vAlign w:val="center"/>
          </w:tcPr>
          <w:p w:rsidR="00EE56C0" w:rsidRDefault="000F36A1">
            <w:pPr>
              <w:pStyle w:val="afa"/>
              <w:rPr>
                <w:rFonts w:eastAsia="宋体"/>
                <w:u w:val="single"/>
              </w:rPr>
            </w:pPr>
            <w:r>
              <w:rPr>
                <w:u w:val="single"/>
              </w:rPr>
              <w:t xml:space="preserve">0.0086 </w:t>
            </w:r>
          </w:p>
        </w:tc>
        <w:tc>
          <w:tcPr>
            <w:tcW w:w="748" w:type="pct"/>
            <w:vAlign w:val="center"/>
          </w:tcPr>
          <w:p w:rsidR="00EE56C0" w:rsidRDefault="000F36A1">
            <w:pPr>
              <w:pStyle w:val="afa"/>
              <w:rPr>
                <w:rFonts w:eastAsia="宋体"/>
                <w:u w:val="single"/>
              </w:rPr>
            </w:pPr>
            <w:r>
              <w:rPr>
                <w:u w:val="single"/>
              </w:rPr>
              <w:t xml:space="preserve">0.0006 </w:t>
            </w:r>
          </w:p>
        </w:tc>
        <w:tc>
          <w:tcPr>
            <w:tcW w:w="843" w:type="pct"/>
            <w:vAlign w:val="center"/>
          </w:tcPr>
          <w:p w:rsidR="00EE56C0" w:rsidRDefault="000F36A1">
            <w:pPr>
              <w:pStyle w:val="afa"/>
              <w:rPr>
                <w:rFonts w:eastAsia="宋体"/>
                <w:u w:val="single"/>
              </w:rPr>
            </w:pPr>
            <w:r>
              <w:rPr>
                <w:u w:val="single"/>
              </w:rPr>
              <w:t xml:space="preserve">0.0080 </w:t>
            </w:r>
          </w:p>
        </w:tc>
        <w:tc>
          <w:tcPr>
            <w:tcW w:w="966" w:type="pct"/>
            <w:vAlign w:val="center"/>
          </w:tcPr>
          <w:p w:rsidR="00EE56C0" w:rsidRDefault="000F36A1">
            <w:pPr>
              <w:pStyle w:val="afa"/>
              <w:rPr>
                <w:rFonts w:eastAsia="宋体"/>
                <w:u w:val="single"/>
              </w:rPr>
            </w:pPr>
            <w:r>
              <w:rPr>
                <w:u w:val="single"/>
              </w:rPr>
              <w:t xml:space="preserve">0.0009 </w:t>
            </w:r>
          </w:p>
        </w:tc>
        <w:tc>
          <w:tcPr>
            <w:tcW w:w="966" w:type="pct"/>
            <w:vAlign w:val="center"/>
          </w:tcPr>
          <w:p w:rsidR="00EE56C0" w:rsidRDefault="000F36A1">
            <w:pPr>
              <w:pStyle w:val="afa"/>
              <w:rPr>
                <w:rFonts w:ascii="宋体" w:eastAsia="宋体" w:hAnsi="宋体" w:cs="宋体"/>
                <w:u w:val="single"/>
              </w:rPr>
            </w:pPr>
            <w:r>
              <w:rPr>
                <w:rFonts w:hint="eastAsia"/>
                <w:u w:val="single"/>
              </w:rPr>
              <w:t xml:space="preserve">0.0009 </w:t>
            </w:r>
          </w:p>
        </w:tc>
      </w:tr>
      <w:tr w:rsidR="00EE56C0">
        <w:trPr>
          <w:trHeight w:val="425"/>
          <w:jc w:val="center"/>
        </w:trPr>
        <w:tc>
          <w:tcPr>
            <w:tcW w:w="728" w:type="pct"/>
            <w:vAlign w:val="center"/>
          </w:tcPr>
          <w:p w:rsidR="00EE56C0" w:rsidRDefault="000F36A1">
            <w:pPr>
              <w:pStyle w:val="afa"/>
              <w:rPr>
                <w:u w:val="single"/>
              </w:rPr>
            </w:pPr>
            <w:r>
              <w:rPr>
                <w:rFonts w:hint="eastAsia"/>
                <w:u w:val="single"/>
              </w:rPr>
              <w:t>TP</w:t>
            </w:r>
          </w:p>
        </w:tc>
        <w:tc>
          <w:tcPr>
            <w:tcW w:w="748" w:type="pct"/>
            <w:vAlign w:val="center"/>
          </w:tcPr>
          <w:p w:rsidR="00EE56C0" w:rsidRDefault="000F36A1">
            <w:pPr>
              <w:pStyle w:val="afa"/>
              <w:rPr>
                <w:rFonts w:eastAsia="宋体"/>
                <w:u w:val="single"/>
              </w:rPr>
            </w:pPr>
            <w:r>
              <w:rPr>
                <w:u w:val="single"/>
              </w:rPr>
              <w:t xml:space="preserve">0.0014 </w:t>
            </w:r>
          </w:p>
        </w:tc>
        <w:tc>
          <w:tcPr>
            <w:tcW w:w="748" w:type="pct"/>
            <w:vAlign w:val="center"/>
          </w:tcPr>
          <w:p w:rsidR="00EE56C0" w:rsidRDefault="000F36A1">
            <w:pPr>
              <w:pStyle w:val="afa"/>
              <w:rPr>
                <w:rFonts w:eastAsia="宋体"/>
                <w:u w:val="single"/>
              </w:rPr>
            </w:pPr>
            <w:r>
              <w:rPr>
                <w:rFonts w:hint="eastAsia"/>
                <w:u w:val="single"/>
              </w:rPr>
              <w:t>0</w:t>
            </w:r>
          </w:p>
        </w:tc>
        <w:tc>
          <w:tcPr>
            <w:tcW w:w="843" w:type="pct"/>
            <w:vAlign w:val="center"/>
          </w:tcPr>
          <w:p w:rsidR="00EE56C0" w:rsidRDefault="000F36A1">
            <w:pPr>
              <w:pStyle w:val="afa"/>
              <w:rPr>
                <w:rFonts w:eastAsia="宋体"/>
                <w:u w:val="single"/>
              </w:rPr>
            </w:pPr>
            <w:r>
              <w:rPr>
                <w:u w:val="single"/>
              </w:rPr>
              <w:t xml:space="preserve">0.0014 </w:t>
            </w:r>
          </w:p>
        </w:tc>
        <w:tc>
          <w:tcPr>
            <w:tcW w:w="966" w:type="pct"/>
            <w:vAlign w:val="center"/>
          </w:tcPr>
          <w:p w:rsidR="00EE56C0" w:rsidRDefault="000F36A1">
            <w:pPr>
              <w:pStyle w:val="afa"/>
              <w:rPr>
                <w:rFonts w:eastAsia="宋体"/>
                <w:u w:val="single"/>
              </w:rPr>
            </w:pPr>
            <w:r>
              <w:rPr>
                <w:u w:val="single"/>
              </w:rPr>
              <w:t xml:space="preserve">0.0002 </w:t>
            </w:r>
          </w:p>
        </w:tc>
        <w:tc>
          <w:tcPr>
            <w:tcW w:w="966" w:type="pct"/>
            <w:vAlign w:val="center"/>
          </w:tcPr>
          <w:p w:rsidR="00EE56C0" w:rsidRDefault="000F36A1">
            <w:pPr>
              <w:pStyle w:val="afa"/>
              <w:rPr>
                <w:rFonts w:ascii="宋体" w:eastAsia="宋体" w:hAnsi="宋体" w:cs="宋体"/>
                <w:u w:val="single"/>
              </w:rPr>
            </w:pPr>
            <w:r>
              <w:rPr>
                <w:rFonts w:hint="eastAsia"/>
                <w:u w:val="single"/>
              </w:rPr>
              <w:t xml:space="preserve">0.0002 </w:t>
            </w:r>
          </w:p>
        </w:tc>
      </w:tr>
      <w:tr w:rsidR="00EE56C0">
        <w:trPr>
          <w:trHeight w:val="425"/>
          <w:jc w:val="center"/>
        </w:trPr>
        <w:tc>
          <w:tcPr>
            <w:tcW w:w="728" w:type="pct"/>
            <w:vAlign w:val="center"/>
          </w:tcPr>
          <w:p w:rsidR="00EE56C0" w:rsidRDefault="000F36A1">
            <w:pPr>
              <w:pStyle w:val="afa"/>
              <w:rPr>
                <w:u w:val="single"/>
              </w:rPr>
            </w:pPr>
            <w:r>
              <w:rPr>
                <w:rFonts w:hint="eastAsia"/>
                <w:u w:val="single"/>
              </w:rPr>
              <w:t>TN</w:t>
            </w:r>
          </w:p>
        </w:tc>
        <w:tc>
          <w:tcPr>
            <w:tcW w:w="748" w:type="pct"/>
            <w:vAlign w:val="center"/>
          </w:tcPr>
          <w:p w:rsidR="00EE56C0" w:rsidRDefault="000F36A1">
            <w:pPr>
              <w:pStyle w:val="afa"/>
              <w:rPr>
                <w:rFonts w:eastAsia="宋体"/>
                <w:u w:val="single"/>
              </w:rPr>
            </w:pPr>
            <w:r>
              <w:rPr>
                <w:u w:val="single"/>
              </w:rPr>
              <w:t xml:space="preserve">0.0103 </w:t>
            </w:r>
          </w:p>
        </w:tc>
        <w:tc>
          <w:tcPr>
            <w:tcW w:w="748" w:type="pct"/>
            <w:vAlign w:val="center"/>
          </w:tcPr>
          <w:p w:rsidR="00EE56C0" w:rsidRDefault="000F36A1">
            <w:pPr>
              <w:pStyle w:val="afa"/>
              <w:rPr>
                <w:rFonts w:eastAsia="宋体"/>
                <w:u w:val="single"/>
              </w:rPr>
            </w:pPr>
            <w:r>
              <w:rPr>
                <w:u w:val="single"/>
              </w:rPr>
              <w:t xml:space="preserve">0.0006 </w:t>
            </w:r>
          </w:p>
        </w:tc>
        <w:tc>
          <w:tcPr>
            <w:tcW w:w="843" w:type="pct"/>
            <w:vAlign w:val="center"/>
          </w:tcPr>
          <w:p w:rsidR="00EE56C0" w:rsidRDefault="000F36A1">
            <w:pPr>
              <w:pStyle w:val="afa"/>
              <w:rPr>
                <w:rFonts w:eastAsia="宋体"/>
                <w:u w:val="single"/>
              </w:rPr>
            </w:pPr>
            <w:r>
              <w:rPr>
                <w:u w:val="single"/>
              </w:rPr>
              <w:t xml:space="preserve">0.0098 </w:t>
            </w:r>
          </w:p>
        </w:tc>
        <w:tc>
          <w:tcPr>
            <w:tcW w:w="966" w:type="pct"/>
            <w:vAlign w:val="center"/>
          </w:tcPr>
          <w:p w:rsidR="00EE56C0" w:rsidRDefault="000F36A1">
            <w:pPr>
              <w:pStyle w:val="afa"/>
              <w:rPr>
                <w:rFonts w:eastAsia="宋体"/>
                <w:u w:val="single"/>
              </w:rPr>
            </w:pPr>
            <w:r>
              <w:rPr>
                <w:u w:val="single"/>
              </w:rPr>
              <w:t xml:space="preserve">0.0067 </w:t>
            </w:r>
          </w:p>
        </w:tc>
        <w:tc>
          <w:tcPr>
            <w:tcW w:w="966" w:type="pct"/>
            <w:vAlign w:val="center"/>
          </w:tcPr>
          <w:p w:rsidR="00EE56C0" w:rsidRDefault="000F36A1">
            <w:pPr>
              <w:pStyle w:val="afa"/>
              <w:rPr>
                <w:rFonts w:ascii="宋体" w:eastAsia="宋体" w:hAnsi="宋体" w:cs="宋体"/>
                <w:u w:val="single"/>
              </w:rPr>
            </w:pPr>
            <w:r>
              <w:rPr>
                <w:rFonts w:hint="eastAsia"/>
                <w:u w:val="single"/>
              </w:rPr>
              <w:t>0.0067</w:t>
            </w:r>
          </w:p>
        </w:tc>
      </w:tr>
      <w:tr w:rsidR="00EE56C0">
        <w:trPr>
          <w:trHeight w:val="425"/>
          <w:jc w:val="center"/>
        </w:trPr>
        <w:tc>
          <w:tcPr>
            <w:tcW w:w="728" w:type="pct"/>
            <w:vAlign w:val="center"/>
          </w:tcPr>
          <w:p w:rsidR="00EE56C0" w:rsidRDefault="000F36A1">
            <w:pPr>
              <w:pStyle w:val="afa"/>
              <w:rPr>
                <w:u w:val="single"/>
              </w:rPr>
            </w:pPr>
            <w:r>
              <w:rPr>
                <w:rFonts w:hint="eastAsia"/>
                <w:u w:val="single"/>
              </w:rPr>
              <w:t>水量（</w:t>
            </w:r>
            <w:r>
              <w:rPr>
                <w:rFonts w:hint="eastAsia"/>
                <w:u w:val="single"/>
              </w:rPr>
              <w:t>t/a</w:t>
            </w:r>
            <w:r>
              <w:rPr>
                <w:rFonts w:hint="eastAsia"/>
                <w:u w:val="single"/>
              </w:rPr>
              <w:t>）</w:t>
            </w:r>
          </w:p>
        </w:tc>
        <w:tc>
          <w:tcPr>
            <w:tcW w:w="748" w:type="pct"/>
            <w:vAlign w:val="center"/>
          </w:tcPr>
          <w:p w:rsidR="00EE56C0" w:rsidRDefault="000F36A1">
            <w:pPr>
              <w:pStyle w:val="afa"/>
              <w:rPr>
                <w:rFonts w:eastAsia="宋体"/>
                <w:u w:val="single"/>
              </w:rPr>
            </w:pPr>
            <w:r>
              <w:rPr>
                <w:u w:val="single"/>
              </w:rPr>
              <w:t>444</w:t>
            </w:r>
          </w:p>
        </w:tc>
        <w:tc>
          <w:tcPr>
            <w:tcW w:w="748" w:type="pct"/>
            <w:vAlign w:val="center"/>
          </w:tcPr>
          <w:p w:rsidR="00EE56C0" w:rsidRDefault="000F36A1">
            <w:pPr>
              <w:pStyle w:val="afa"/>
              <w:rPr>
                <w:rFonts w:eastAsia="宋体"/>
                <w:u w:val="single"/>
              </w:rPr>
            </w:pPr>
            <w:r>
              <w:rPr>
                <w:u w:val="single"/>
              </w:rPr>
              <w:t>0</w:t>
            </w:r>
          </w:p>
        </w:tc>
        <w:tc>
          <w:tcPr>
            <w:tcW w:w="843" w:type="pct"/>
            <w:vAlign w:val="center"/>
          </w:tcPr>
          <w:p w:rsidR="00EE56C0" w:rsidRDefault="000F36A1">
            <w:pPr>
              <w:pStyle w:val="afa"/>
              <w:rPr>
                <w:rFonts w:eastAsia="宋体"/>
                <w:u w:val="single"/>
              </w:rPr>
            </w:pPr>
            <w:r>
              <w:rPr>
                <w:u w:val="single"/>
              </w:rPr>
              <w:t>444</w:t>
            </w:r>
          </w:p>
        </w:tc>
        <w:tc>
          <w:tcPr>
            <w:tcW w:w="966" w:type="pct"/>
            <w:vAlign w:val="center"/>
          </w:tcPr>
          <w:p w:rsidR="00EE56C0" w:rsidRDefault="000F36A1">
            <w:pPr>
              <w:pStyle w:val="afa"/>
              <w:rPr>
                <w:rFonts w:eastAsia="宋体"/>
                <w:u w:val="single"/>
              </w:rPr>
            </w:pPr>
            <w:r>
              <w:rPr>
                <w:u w:val="single"/>
              </w:rPr>
              <w:t>444</w:t>
            </w:r>
          </w:p>
        </w:tc>
        <w:tc>
          <w:tcPr>
            <w:tcW w:w="966" w:type="pct"/>
            <w:vAlign w:val="center"/>
          </w:tcPr>
          <w:p w:rsidR="00EE56C0" w:rsidRDefault="000F36A1">
            <w:pPr>
              <w:pStyle w:val="afa"/>
              <w:rPr>
                <w:u w:val="single"/>
              </w:rPr>
            </w:pPr>
            <w:r>
              <w:rPr>
                <w:u w:val="single"/>
              </w:rPr>
              <w:t>444</w:t>
            </w:r>
          </w:p>
        </w:tc>
      </w:tr>
    </w:tbl>
    <w:p w:rsidR="00EE56C0" w:rsidRDefault="000F36A1">
      <w:pPr>
        <w:pStyle w:val="afd"/>
        <w:spacing w:before="120" w:after="120"/>
        <w:ind w:firstLine="482"/>
        <w:rPr>
          <w:u w:val="single"/>
        </w:rPr>
      </w:pPr>
      <w:r>
        <w:rPr>
          <w:rFonts w:hint="eastAsia"/>
          <w:u w:val="single"/>
        </w:rPr>
        <w:t>表</w:t>
      </w:r>
      <w:r>
        <w:rPr>
          <w:rFonts w:hint="eastAsia"/>
          <w:u w:val="single"/>
        </w:rPr>
        <w:t xml:space="preserve">3-57       </w:t>
      </w:r>
      <w:r>
        <w:rPr>
          <w:rFonts w:hint="eastAsia"/>
          <w:u w:val="single"/>
        </w:rPr>
        <w:t>二期新增废水污染物产排情况</w:t>
      </w:r>
      <w:r>
        <w:rPr>
          <w:rFonts w:hint="eastAsia"/>
          <w:u w:val="single"/>
        </w:rPr>
        <w:t xml:space="preserve">    </w:t>
      </w:r>
      <w:r>
        <w:rPr>
          <w:rFonts w:hint="eastAsia"/>
          <w:u w:val="single"/>
        </w:rPr>
        <w:t>单位：</w:t>
      </w:r>
      <w:r>
        <w:rPr>
          <w:rFonts w:hint="eastAsia"/>
          <w:u w:val="single"/>
        </w:rPr>
        <w:t>t/a</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1314"/>
        <w:gridCol w:w="1404"/>
        <w:gridCol w:w="1257"/>
        <w:gridCol w:w="1257"/>
        <w:gridCol w:w="1648"/>
        <w:gridCol w:w="1648"/>
      </w:tblGrid>
      <w:tr w:rsidR="00EE56C0">
        <w:trPr>
          <w:trHeight w:val="425"/>
          <w:jc w:val="center"/>
        </w:trPr>
        <w:tc>
          <w:tcPr>
            <w:tcW w:w="770" w:type="pct"/>
            <w:vAlign w:val="center"/>
          </w:tcPr>
          <w:p w:rsidR="00EE56C0" w:rsidRDefault="000F36A1">
            <w:pPr>
              <w:pStyle w:val="aff1"/>
              <w:rPr>
                <w:color w:val="auto"/>
                <w:u w:val="single"/>
              </w:rPr>
            </w:pPr>
            <w:r>
              <w:rPr>
                <w:rFonts w:hint="eastAsia"/>
                <w:color w:val="auto"/>
                <w:u w:val="single"/>
              </w:rPr>
              <w:t>污染物</w:t>
            </w:r>
          </w:p>
        </w:tc>
        <w:tc>
          <w:tcPr>
            <w:tcW w:w="823" w:type="pct"/>
            <w:vAlign w:val="center"/>
          </w:tcPr>
          <w:p w:rsidR="00EE56C0" w:rsidRDefault="000F36A1">
            <w:pPr>
              <w:pStyle w:val="aff1"/>
              <w:rPr>
                <w:color w:val="auto"/>
                <w:u w:val="single"/>
              </w:rPr>
            </w:pPr>
            <w:r>
              <w:rPr>
                <w:rFonts w:hint="eastAsia"/>
                <w:color w:val="auto"/>
                <w:u w:val="single"/>
              </w:rPr>
              <w:t>产生量</w:t>
            </w:r>
          </w:p>
        </w:tc>
        <w:tc>
          <w:tcPr>
            <w:tcW w:w="737" w:type="pct"/>
            <w:vAlign w:val="center"/>
          </w:tcPr>
          <w:p w:rsidR="00EE56C0" w:rsidRDefault="000F36A1">
            <w:pPr>
              <w:pStyle w:val="aff1"/>
              <w:rPr>
                <w:color w:val="auto"/>
                <w:u w:val="single"/>
              </w:rPr>
            </w:pPr>
            <w:r>
              <w:rPr>
                <w:rFonts w:hint="eastAsia"/>
                <w:color w:val="auto"/>
                <w:u w:val="single"/>
              </w:rPr>
              <w:t>削减量</w:t>
            </w:r>
          </w:p>
        </w:tc>
        <w:tc>
          <w:tcPr>
            <w:tcW w:w="737" w:type="pct"/>
            <w:vAlign w:val="center"/>
          </w:tcPr>
          <w:p w:rsidR="00EE56C0" w:rsidRDefault="000F36A1">
            <w:pPr>
              <w:pStyle w:val="aff1"/>
              <w:rPr>
                <w:color w:val="auto"/>
                <w:u w:val="single"/>
              </w:rPr>
            </w:pPr>
            <w:r>
              <w:rPr>
                <w:rFonts w:hint="eastAsia"/>
                <w:color w:val="auto"/>
                <w:u w:val="single"/>
              </w:rPr>
              <w:t>排放量</w:t>
            </w:r>
          </w:p>
          <w:p w:rsidR="00EE56C0" w:rsidRDefault="000F36A1">
            <w:pPr>
              <w:pStyle w:val="aff1"/>
              <w:rPr>
                <w:color w:val="auto"/>
                <w:u w:val="single"/>
              </w:rPr>
            </w:pPr>
            <w:r>
              <w:rPr>
                <w:rFonts w:hint="eastAsia"/>
                <w:color w:val="auto"/>
                <w:u w:val="single"/>
              </w:rPr>
              <w:t>（总排口）</w:t>
            </w:r>
          </w:p>
        </w:tc>
        <w:tc>
          <w:tcPr>
            <w:tcW w:w="966" w:type="pct"/>
            <w:vAlign w:val="center"/>
          </w:tcPr>
          <w:p w:rsidR="00EE56C0" w:rsidRDefault="000F36A1">
            <w:pPr>
              <w:pStyle w:val="aff1"/>
              <w:rPr>
                <w:color w:val="auto"/>
                <w:u w:val="single"/>
              </w:rPr>
            </w:pPr>
            <w:r>
              <w:rPr>
                <w:rFonts w:hint="eastAsia"/>
                <w:color w:val="auto"/>
                <w:u w:val="single"/>
              </w:rPr>
              <w:t>排放量（新乡县综合污水处理厂出口）</w:t>
            </w:r>
          </w:p>
        </w:tc>
        <w:tc>
          <w:tcPr>
            <w:tcW w:w="966" w:type="pct"/>
            <w:vAlign w:val="center"/>
          </w:tcPr>
          <w:p w:rsidR="00EE56C0" w:rsidRDefault="000F36A1">
            <w:pPr>
              <w:pStyle w:val="aff1"/>
              <w:rPr>
                <w:color w:val="auto"/>
                <w:u w:val="single"/>
              </w:rPr>
            </w:pPr>
            <w:r>
              <w:rPr>
                <w:rFonts w:hint="eastAsia"/>
                <w:color w:val="auto"/>
                <w:u w:val="single"/>
              </w:rPr>
              <w:t>总量指标</w:t>
            </w:r>
          </w:p>
        </w:tc>
      </w:tr>
      <w:tr w:rsidR="00EE56C0">
        <w:trPr>
          <w:trHeight w:val="425"/>
          <w:jc w:val="center"/>
        </w:trPr>
        <w:tc>
          <w:tcPr>
            <w:tcW w:w="770" w:type="pct"/>
            <w:vAlign w:val="center"/>
          </w:tcPr>
          <w:p w:rsidR="00EE56C0" w:rsidRDefault="000F36A1">
            <w:pPr>
              <w:pStyle w:val="afa"/>
              <w:rPr>
                <w:u w:val="single"/>
              </w:rPr>
            </w:pPr>
            <w:r>
              <w:rPr>
                <w:rFonts w:hint="eastAsia"/>
                <w:u w:val="single"/>
              </w:rPr>
              <w:t>COD</w:t>
            </w:r>
          </w:p>
        </w:tc>
        <w:tc>
          <w:tcPr>
            <w:tcW w:w="823" w:type="pct"/>
            <w:vAlign w:val="center"/>
          </w:tcPr>
          <w:p w:rsidR="00EE56C0" w:rsidRDefault="000F36A1">
            <w:pPr>
              <w:pStyle w:val="afa"/>
              <w:rPr>
                <w:rFonts w:eastAsia="宋体"/>
                <w:u w:val="single"/>
              </w:rPr>
            </w:pPr>
            <w:r>
              <w:rPr>
                <w:u w:val="single"/>
              </w:rPr>
              <w:t xml:space="preserve">0.4428 </w:t>
            </w:r>
          </w:p>
        </w:tc>
        <w:tc>
          <w:tcPr>
            <w:tcW w:w="737" w:type="pct"/>
            <w:vAlign w:val="center"/>
          </w:tcPr>
          <w:p w:rsidR="00EE56C0" w:rsidRDefault="000F36A1">
            <w:pPr>
              <w:pStyle w:val="afa"/>
              <w:rPr>
                <w:rFonts w:eastAsia="宋体"/>
                <w:u w:val="single"/>
              </w:rPr>
            </w:pPr>
            <w:r>
              <w:rPr>
                <w:u w:val="single"/>
              </w:rPr>
              <w:t xml:space="preserve">0.1539 </w:t>
            </w:r>
          </w:p>
        </w:tc>
        <w:tc>
          <w:tcPr>
            <w:tcW w:w="737" w:type="pct"/>
            <w:vAlign w:val="center"/>
          </w:tcPr>
          <w:p w:rsidR="00EE56C0" w:rsidRDefault="000F36A1">
            <w:pPr>
              <w:pStyle w:val="afa"/>
              <w:rPr>
                <w:rFonts w:eastAsia="宋体"/>
                <w:u w:val="single"/>
              </w:rPr>
            </w:pPr>
            <w:r>
              <w:rPr>
                <w:u w:val="single"/>
              </w:rPr>
              <w:t xml:space="preserve">0.2889 </w:t>
            </w:r>
          </w:p>
        </w:tc>
        <w:tc>
          <w:tcPr>
            <w:tcW w:w="966" w:type="pct"/>
            <w:vAlign w:val="center"/>
          </w:tcPr>
          <w:p w:rsidR="00EE56C0" w:rsidRDefault="000F36A1">
            <w:pPr>
              <w:pStyle w:val="afa"/>
              <w:rPr>
                <w:rFonts w:eastAsia="宋体"/>
                <w:u w:val="single"/>
              </w:rPr>
            </w:pPr>
            <w:r>
              <w:rPr>
                <w:u w:val="single"/>
              </w:rPr>
              <w:t xml:space="preserve">0.0649 </w:t>
            </w:r>
          </w:p>
        </w:tc>
        <w:tc>
          <w:tcPr>
            <w:tcW w:w="966" w:type="pct"/>
            <w:vAlign w:val="center"/>
          </w:tcPr>
          <w:p w:rsidR="00EE56C0" w:rsidRDefault="000F36A1">
            <w:pPr>
              <w:pStyle w:val="afa"/>
              <w:rPr>
                <w:rFonts w:eastAsia="宋体"/>
                <w:u w:val="single"/>
              </w:rPr>
            </w:pPr>
            <w:r>
              <w:rPr>
                <w:u w:val="single"/>
              </w:rPr>
              <w:t xml:space="preserve">0.0649 </w:t>
            </w:r>
          </w:p>
        </w:tc>
      </w:tr>
      <w:tr w:rsidR="00EE56C0">
        <w:trPr>
          <w:trHeight w:val="425"/>
          <w:jc w:val="center"/>
        </w:trPr>
        <w:tc>
          <w:tcPr>
            <w:tcW w:w="770" w:type="pct"/>
            <w:vAlign w:val="center"/>
          </w:tcPr>
          <w:p w:rsidR="00EE56C0" w:rsidRDefault="000F36A1">
            <w:pPr>
              <w:pStyle w:val="afa"/>
              <w:rPr>
                <w:u w:val="single"/>
              </w:rPr>
            </w:pPr>
            <w:r>
              <w:rPr>
                <w:rFonts w:hint="eastAsia"/>
                <w:u w:val="single"/>
              </w:rPr>
              <w:t>NH</w:t>
            </w:r>
            <w:r>
              <w:rPr>
                <w:rFonts w:hint="eastAsia"/>
                <w:u w:val="single"/>
                <w:vertAlign w:val="subscript"/>
              </w:rPr>
              <w:t>3</w:t>
            </w:r>
            <w:r>
              <w:rPr>
                <w:rFonts w:hint="eastAsia"/>
                <w:u w:val="single"/>
              </w:rPr>
              <w:t>-N</w:t>
            </w:r>
          </w:p>
        </w:tc>
        <w:tc>
          <w:tcPr>
            <w:tcW w:w="823" w:type="pct"/>
            <w:vAlign w:val="center"/>
          </w:tcPr>
          <w:p w:rsidR="00EE56C0" w:rsidRDefault="000F36A1">
            <w:pPr>
              <w:pStyle w:val="afa"/>
              <w:rPr>
                <w:rFonts w:eastAsia="宋体"/>
                <w:u w:val="single"/>
              </w:rPr>
            </w:pPr>
            <w:r>
              <w:rPr>
                <w:u w:val="single"/>
              </w:rPr>
              <w:t xml:space="preserve">0.0313 </w:t>
            </w:r>
          </w:p>
        </w:tc>
        <w:tc>
          <w:tcPr>
            <w:tcW w:w="737" w:type="pct"/>
            <w:vAlign w:val="center"/>
          </w:tcPr>
          <w:p w:rsidR="00EE56C0" w:rsidRDefault="000F36A1">
            <w:pPr>
              <w:pStyle w:val="afa"/>
              <w:rPr>
                <w:rFonts w:eastAsia="宋体"/>
                <w:u w:val="single"/>
              </w:rPr>
            </w:pPr>
            <w:r>
              <w:rPr>
                <w:u w:val="single"/>
              </w:rPr>
              <w:t xml:space="preserve">0.0035 </w:t>
            </w:r>
          </w:p>
        </w:tc>
        <w:tc>
          <w:tcPr>
            <w:tcW w:w="737" w:type="pct"/>
            <w:vAlign w:val="center"/>
          </w:tcPr>
          <w:p w:rsidR="00EE56C0" w:rsidRDefault="000F36A1">
            <w:pPr>
              <w:pStyle w:val="afa"/>
              <w:rPr>
                <w:rFonts w:eastAsia="宋体"/>
                <w:u w:val="single"/>
              </w:rPr>
            </w:pPr>
            <w:r>
              <w:rPr>
                <w:u w:val="single"/>
              </w:rPr>
              <w:t xml:space="preserve">0.0278 </w:t>
            </w:r>
          </w:p>
        </w:tc>
        <w:tc>
          <w:tcPr>
            <w:tcW w:w="966" w:type="pct"/>
            <w:vAlign w:val="center"/>
          </w:tcPr>
          <w:p w:rsidR="00EE56C0" w:rsidRDefault="000F36A1">
            <w:pPr>
              <w:pStyle w:val="afa"/>
              <w:rPr>
                <w:rFonts w:eastAsia="宋体"/>
                <w:u w:val="single"/>
              </w:rPr>
            </w:pPr>
            <w:r>
              <w:rPr>
                <w:u w:val="single"/>
              </w:rPr>
              <w:t xml:space="preserve">0.0032 </w:t>
            </w:r>
          </w:p>
        </w:tc>
        <w:tc>
          <w:tcPr>
            <w:tcW w:w="966" w:type="pct"/>
            <w:vAlign w:val="center"/>
          </w:tcPr>
          <w:p w:rsidR="00EE56C0" w:rsidRDefault="000F36A1">
            <w:pPr>
              <w:pStyle w:val="afa"/>
              <w:rPr>
                <w:rFonts w:eastAsia="宋体"/>
                <w:u w:val="single"/>
              </w:rPr>
            </w:pPr>
            <w:r>
              <w:rPr>
                <w:u w:val="single"/>
              </w:rPr>
              <w:t xml:space="preserve">0.0032 </w:t>
            </w:r>
          </w:p>
        </w:tc>
      </w:tr>
      <w:tr w:rsidR="00EE56C0">
        <w:trPr>
          <w:trHeight w:val="425"/>
          <w:jc w:val="center"/>
        </w:trPr>
        <w:tc>
          <w:tcPr>
            <w:tcW w:w="770" w:type="pct"/>
            <w:vAlign w:val="center"/>
          </w:tcPr>
          <w:p w:rsidR="00EE56C0" w:rsidRDefault="000F36A1">
            <w:pPr>
              <w:pStyle w:val="afa"/>
              <w:rPr>
                <w:u w:val="single"/>
              </w:rPr>
            </w:pPr>
            <w:r>
              <w:rPr>
                <w:rFonts w:hint="eastAsia"/>
                <w:u w:val="single"/>
              </w:rPr>
              <w:t>TP</w:t>
            </w:r>
          </w:p>
        </w:tc>
        <w:tc>
          <w:tcPr>
            <w:tcW w:w="823" w:type="pct"/>
            <w:vAlign w:val="center"/>
          </w:tcPr>
          <w:p w:rsidR="00EE56C0" w:rsidRDefault="000F36A1">
            <w:pPr>
              <w:pStyle w:val="afa"/>
              <w:rPr>
                <w:rFonts w:eastAsia="宋体"/>
                <w:u w:val="single"/>
              </w:rPr>
            </w:pPr>
            <w:r>
              <w:rPr>
                <w:u w:val="single"/>
              </w:rPr>
              <w:t xml:space="preserve">0.0051 </w:t>
            </w:r>
          </w:p>
        </w:tc>
        <w:tc>
          <w:tcPr>
            <w:tcW w:w="737" w:type="pct"/>
            <w:vAlign w:val="center"/>
          </w:tcPr>
          <w:p w:rsidR="00EE56C0" w:rsidRDefault="000F36A1">
            <w:pPr>
              <w:pStyle w:val="afa"/>
              <w:rPr>
                <w:rFonts w:eastAsia="宋体"/>
                <w:u w:val="single"/>
              </w:rPr>
            </w:pPr>
            <w:r>
              <w:rPr>
                <w:u w:val="single"/>
              </w:rPr>
              <w:t xml:space="preserve">0.0000 </w:t>
            </w:r>
          </w:p>
        </w:tc>
        <w:tc>
          <w:tcPr>
            <w:tcW w:w="737" w:type="pct"/>
            <w:vAlign w:val="center"/>
          </w:tcPr>
          <w:p w:rsidR="00EE56C0" w:rsidRDefault="000F36A1">
            <w:pPr>
              <w:pStyle w:val="afa"/>
              <w:rPr>
                <w:rFonts w:eastAsia="宋体"/>
                <w:u w:val="single"/>
              </w:rPr>
            </w:pPr>
            <w:r>
              <w:rPr>
                <w:u w:val="single"/>
              </w:rPr>
              <w:t>0.005</w:t>
            </w:r>
            <w:r>
              <w:rPr>
                <w:rFonts w:hint="eastAsia"/>
                <w:u w:val="single"/>
              </w:rPr>
              <w:t>1</w:t>
            </w:r>
          </w:p>
        </w:tc>
        <w:tc>
          <w:tcPr>
            <w:tcW w:w="966" w:type="pct"/>
            <w:vAlign w:val="center"/>
          </w:tcPr>
          <w:p w:rsidR="00EE56C0" w:rsidRDefault="000F36A1">
            <w:pPr>
              <w:pStyle w:val="afa"/>
              <w:rPr>
                <w:rFonts w:eastAsia="宋体"/>
                <w:u w:val="single"/>
              </w:rPr>
            </w:pPr>
            <w:r>
              <w:rPr>
                <w:u w:val="single"/>
              </w:rPr>
              <w:t xml:space="preserve">0.0006 </w:t>
            </w:r>
          </w:p>
        </w:tc>
        <w:tc>
          <w:tcPr>
            <w:tcW w:w="966" w:type="pct"/>
            <w:vAlign w:val="center"/>
          </w:tcPr>
          <w:p w:rsidR="00EE56C0" w:rsidRDefault="000F36A1">
            <w:pPr>
              <w:pStyle w:val="afa"/>
              <w:rPr>
                <w:rFonts w:eastAsia="宋体"/>
                <w:u w:val="single"/>
              </w:rPr>
            </w:pPr>
            <w:r>
              <w:rPr>
                <w:u w:val="single"/>
              </w:rPr>
              <w:t xml:space="preserve">0.0006 </w:t>
            </w:r>
          </w:p>
        </w:tc>
      </w:tr>
      <w:tr w:rsidR="00EE56C0">
        <w:trPr>
          <w:trHeight w:val="425"/>
          <w:jc w:val="center"/>
        </w:trPr>
        <w:tc>
          <w:tcPr>
            <w:tcW w:w="770" w:type="pct"/>
            <w:vAlign w:val="center"/>
          </w:tcPr>
          <w:p w:rsidR="00EE56C0" w:rsidRDefault="000F36A1">
            <w:pPr>
              <w:pStyle w:val="afa"/>
              <w:rPr>
                <w:u w:val="single"/>
              </w:rPr>
            </w:pPr>
            <w:r>
              <w:rPr>
                <w:rFonts w:hint="eastAsia"/>
                <w:u w:val="single"/>
              </w:rPr>
              <w:t>TN</w:t>
            </w:r>
          </w:p>
        </w:tc>
        <w:tc>
          <w:tcPr>
            <w:tcW w:w="823" w:type="pct"/>
            <w:vAlign w:val="center"/>
          </w:tcPr>
          <w:p w:rsidR="00EE56C0" w:rsidRDefault="000F36A1">
            <w:pPr>
              <w:pStyle w:val="afa"/>
              <w:rPr>
                <w:rFonts w:eastAsia="宋体"/>
                <w:u w:val="single"/>
              </w:rPr>
            </w:pPr>
            <w:r>
              <w:rPr>
                <w:u w:val="single"/>
              </w:rPr>
              <w:t xml:space="preserve">0.0378 </w:t>
            </w:r>
          </w:p>
        </w:tc>
        <w:tc>
          <w:tcPr>
            <w:tcW w:w="737" w:type="pct"/>
            <w:vAlign w:val="center"/>
          </w:tcPr>
          <w:p w:rsidR="00EE56C0" w:rsidRDefault="000F36A1">
            <w:pPr>
              <w:pStyle w:val="afa"/>
              <w:rPr>
                <w:rFonts w:eastAsia="宋体"/>
                <w:u w:val="single"/>
              </w:rPr>
            </w:pPr>
            <w:r>
              <w:rPr>
                <w:u w:val="single"/>
              </w:rPr>
              <w:t xml:space="preserve">0.0035 </w:t>
            </w:r>
          </w:p>
        </w:tc>
        <w:tc>
          <w:tcPr>
            <w:tcW w:w="737" w:type="pct"/>
            <w:vAlign w:val="center"/>
          </w:tcPr>
          <w:p w:rsidR="00EE56C0" w:rsidRDefault="000F36A1">
            <w:pPr>
              <w:pStyle w:val="afa"/>
              <w:rPr>
                <w:rFonts w:eastAsia="宋体"/>
                <w:u w:val="single"/>
              </w:rPr>
            </w:pPr>
            <w:r>
              <w:rPr>
                <w:u w:val="single"/>
              </w:rPr>
              <w:t xml:space="preserve">0.0343 </w:t>
            </w:r>
          </w:p>
        </w:tc>
        <w:tc>
          <w:tcPr>
            <w:tcW w:w="966" w:type="pct"/>
            <w:vAlign w:val="center"/>
          </w:tcPr>
          <w:p w:rsidR="00EE56C0" w:rsidRDefault="000F36A1">
            <w:pPr>
              <w:pStyle w:val="afa"/>
              <w:rPr>
                <w:rFonts w:eastAsia="宋体"/>
                <w:u w:val="single"/>
              </w:rPr>
            </w:pPr>
            <w:r>
              <w:rPr>
                <w:u w:val="single"/>
              </w:rPr>
              <w:t xml:space="preserve">0.0243 </w:t>
            </w:r>
          </w:p>
        </w:tc>
        <w:tc>
          <w:tcPr>
            <w:tcW w:w="966" w:type="pct"/>
            <w:vAlign w:val="center"/>
          </w:tcPr>
          <w:p w:rsidR="00EE56C0" w:rsidRDefault="000F36A1">
            <w:pPr>
              <w:pStyle w:val="afa"/>
              <w:rPr>
                <w:rFonts w:eastAsia="宋体"/>
                <w:u w:val="single"/>
              </w:rPr>
            </w:pPr>
            <w:r>
              <w:rPr>
                <w:u w:val="single"/>
              </w:rPr>
              <w:t xml:space="preserve">0.0243 </w:t>
            </w:r>
          </w:p>
        </w:tc>
      </w:tr>
      <w:tr w:rsidR="00EE56C0">
        <w:trPr>
          <w:trHeight w:val="425"/>
          <w:jc w:val="center"/>
        </w:trPr>
        <w:tc>
          <w:tcPr>
            <w:tcW w:w="770" w:type="pct"/>
            <w:vAlign w:val="center"/>
          </w:tcPr>
          <w:p w:rsidR="00EE56C0" w:rsidRDefault="000F36A1">
            <w:pPr>
              <w:pStyle w:val="afa"/>
              <w:rPr>
                <w:u w:val="single"/>
              </w:rPr>
            </w:pPr>
            <w:r>
              <w:rPr>
                <w:rFonts w:hint="eastAsia"/>
                <w:u w:val="single"/>
              </w:rPr>
              <w:t>水量（</w:t>
            </w:r>
            <w:r>
              <w:rPr>
                <w:rFonts w:hint="eastAsia"/>
                <w:u w:val="single"/>
              </w:rPr>
              <w:t>t/a</w:t>
            </w:r>
            <w:r>
              <w:rPr>
                <w:rFonts w:hint="eastAsia"/>
                <w:u w:val="single"/>
              </w:rPr>
              <w:t>）</w:t>
            </w:r>
          </w:p>
        </w:tc>
        <w:tc>
          <w:tcPr>
            <w:tcW w:w="823" w:type="pct"/>
            <w:vAlign w:val="center"/>
          </w:tcPr>
          <w:p w:rsidR="00EE56C0" w:rsidRDefault="000F36A1">
            <w:pPr>
              <w:pStyle w:val="afa"/>
              <w:rPr>
                <w:rFonts w:eastAsia="宋体"/>
                <w:u w:val="single"/>
              </w:rPr>
            </w:pPr>
            <w:r>
              <w:rPr>
                <w:u w:val="single"/>
              </w:rPr>
              <w:t>1623</w:t>
            </w:r>
          </w:p>
        </w:tc>
        <w:tc>
          <w:tcPr>
            <w:tcW w:w="737" w:type="pct"/>
            <w:vAlign w:val="center"/>
          </w:tcPr>
          <w:p w:rsidR="00EE56C0" w:rsidRDefault="000F36A1">
            <w:pPr>
              <w:pStyle w:val="afa"/>
              <w:rPr>
                <w:rFonts w:eastAsia="宋体"/>
                <w:u w:val="single"/>
              </w:rPr>
            </w:pPr>
            <w:r>
              <w:rPr>
                <w:u w:val="single"/>
              </w:rPr>
              <w:t>0</w:t>
            </w:r>
          </w:p>
        </w:tc>
        <w:tc>
          <w:tcPr>
            <w:tcW w:w="737" w:type="pct"/>
            <w:vAlign w:val="center"/>
          </w:tcPr>
          <w:p w:rsidR="00EE56C0" w:rsidRDefault="000F36A1">
            <w:pPr>
              <w:pStyle w:val="afa"/>
              <w:rPr>
                <w:rFonts w:eastAsia="宋体"/>
                <w:u w:val="single"/>
              </w:rPr>
            </w:pPr>
            <w:r>
              <w:rPr>
                <w:u w:val="single"/>
              </w:rPr>
              <w:t>1623</w:t>
            </w:r>
          </w:p>
        </w:tc>
        <w:tc>
          <w:tcPr>
            <w:tcW w:w="966" w:type="pct"/>
            <w:vAlign w:val="center"/>
          </w:tcPr>
          <w:p w:rsidR="00EE56C0" w:rsidRDefault="000F36A1">
            <w:pPr>
              <w:pStyle w:val="afa"/>
              <w:rPr>
                <w:rFonts w:eastAsia="宋体"/>
                <w:u w:val="single"/>
              </w:rPr>
            </w:pPr>
            <w:r>
              <w:rPr>
                <w:u w:val="single"/>
              </w:rPr>
              <w:t>1623</w:t>
            </w:r>
          </w:p>
        </w:tc>
        <w:tc>
          <w:tcPr>
            <w:tcW w:w="966" w:type="pct"/>
            <w:vAlign w:val="center"/>
          </w:tcPr>
          <w:p w:rsidR="00EE56C0" w:rsidRDefault="000F36A1">
            <w:pPr>
              <w:pStyle w:val="afa"/>
              <w:rPr>
                <w:rFonts w:eastAsia="宋体"/>
                <w:u w:val="single"/>
              </w:rPr>
            </w:pPr>
            <w:r>
              <w:rPr>
                <w:u w:val="single"/>
              </w:rPr>
              <w:t>1623</w:t>
            </w:r>
          </w:p>
        </w:tc>
      </w:tr>
    </w:tbl>
    <w:p w:rsidR="00EE56C0" w:rsidRDefault="000F36A1">
      <w:pPr>
        <w:pStyle w:val="afd"/>
        <w:spacing w:before="120" w:after="120"/>
        <w:ind w:firstLine="482"/>
        <w:rPr>
          <w:u w:val="single"/>
        </w:rPr>
      </w:pPr>
      <w:r>
        <w:rPr>
          <w:rFonts w:hint="eastAsia"/>
          <w:u w:val="single"/>
        </w:rPr>
        <w:t>表</w:t>
      </w:r>
      <w:r>
        <w:rPr>
          <w:rFonts w:hint="eastAsia"/>
          <w:u w:val="single"/>
        </w:rPr>
        <w:t xml:space="preserve">3-58     </w:t>
      </w:r>
      <w:r>
        <w:rPr>
          <w:rFonts w:hint="eastAsia"/>
          <w:u w:val="single"/>
        </w:rPr>
        <w:t>一期、二期合计新增废水污染物产排情况</w:t>
      </w:r>
      <w:r>
        <w:rPr>
          <w:rFonts w:hint="eastAsia"/>
          <w:u w:val="single"/>
        </w:rPr>
        <w:t xml:space="preserve">    </w:t>
      </w:r>
      <w:r>
        <w:rPr>
          <w:rFonts w:hint="eastAsia"/>
          <w:u w:val="single"/>
        </w:rPr>
        <w:t>单位：</w:t>
      </w:r>
      <w:r>
        <w:rPr>
          <w:rFonts w:hint="eastAsia"/>
          <w:u w:val="single"/>
        </w:rPr>
        <w:t>t/a</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1314"/>
        <w:gridCol w:w="1404"/>
        <w:gridCol w:w="1257"/>
        <w:gridCol w:w="1257"/>
        <w:gridCol w:w="1648"/>
        <w:gridCol w:w="1648"/>
      </w:tblGrid>
      <w:tr w:rsidR="00EE56C0">
        <w:trPr>
          <w:trHeight w:val="425"/>
          <w:jc w:val="center"/>
        </w:trPr>
        <w:tc>
          <w:tcPr>
            <w:tcW w:w="770" w:type="pct"/>
            <w:vAlign w:val="center"/>
          </w:tcPr>
          <w:p w:rsidR="00EE56C0" w:rsidRDefault="000F36A1">
            <w:pPr>
              <w:pStyle w:val="aff1"/>
              <w:rPr>
                <w:color w:val="auto"/>
                <w:u w:val="single"/>
              </w:rPr>
            </w:pPr>
            <w:r>
              <w:rPr>
                <w:rFonts w:hint="eastAsia"/>
                <w:color w:val="auto"/>
                <w:u w:val="single"/>
              </w:rPr>
              <w:t>污染物</w:t>
            </w:r>
          </w:p>
        </w:tc>
        <w:tc>
          <w:tcPr>
            <w:tcW w:w="823" w:type="pct"/>
            <w:vAlign w:val="center"/>
          </w:tcPr>
          <w:p w:rsidR="00EE56C0" w:rsidRDefault="000F36A1">
            <w:pPr>
              <w:pStyle w:val="aff1"/>
              <w:rPr>
                <w:color w:val="auto"/>
                <w:u w:val="single"/>
              </w:rPr>
            </w:pPr>
            <w:r>
              <w:rPr>
                <w:rFonts w:hint="eastAsia"/>
                <w:color w:val="auto"/>
                <w:u w:val="single"/>
              </w:rPr>
              <w:t>产生量</w:t>
            </w:r>
          </w:p>
        </w:tc>
        <w:tc>
          <w:tcPr>
            <w:tcW w:w="737" w:type="pct"/>
            <w:vAlign w:val="center"/>
          </w:tcPr>
          <w:p w:rsidR="00EE56C0" w:rsidRDefault="000F36A1">
            <w:pPr>
              <w:pStyle w:val="aff1"/>
              <w:rPr>
                <w:color w:val="auto"/>
                <w:u w:val="single"/>
              </w:rPr>
            </w:pPr>
            <w:r>
              <w:rPr>
                <w:rFonts w:hint="eastAsia"/>
                <w:color w:val="auto"/>
                <w:u w:val="single"/>
              </w:rPr>
              <w:t>削减量</w:t>
            </w:r>
          </w:p>
        </w:tc>
        <w:tc>
          <w:tcPr>
            <w:tcW w:w="737" w:type="pct"/>
            <w:vAlign w:val="center"/>
          </w:tcPr>
          <w:p w:rsidR="00EE56C0" w:rsidRDefault="000F36A1">
            <w:pPr>
              <w:pStyle w:val="aff1"/>
              <w:rPr>
                <w:color w:val="auto"/>
                <w:u w:val="single"/>
              </w:rPr>
            </w:pPr>
            <w:r>
              <w:rPr>
                <w:rFonts w:hint="eastAsia"/>
                <w:color w:val="auto"/>
                <w:u w:val="single"/>
              </w:rPr>
              <w:t>排放量</w:t>
            </w:r>
          </w:p>
          <w:p w:rsidR="00EE56C0" w:rsidRDefault="000F36A1">
            <w:pPr>
              <w:pStyle w:val="aff1"/>
              <w:rPr>
                <w:color w:val="auto"/>
                <w:u w:val="single"/>
              </w:rPr>
            </w:pPr>
            <w:r>
              <w:rPr>
                <w:rFonts w:hint="eastAsia"/>
                <w:color w:val="auto"/>
                <w:u w:val="single"/>
              </w:rPr>
              <w:t>（总排口）</w:t>
            </w:r>
          </w:p>
        </w:tc>
        <w:tc>
          <w:tcPr>
            <w:tcW w:w="966" w:type="pct"/>
            <w:vAlign w:val="center"/>
          </w:tcPr>
          <w:p w:rsidR="00EE56C0" w:rsidRDefault="000F36A1">
            <w:pPr>
              <w:pStyle w:val="aff1"/>
              <w:rPr>
                <w:color w:val="auto"/>
                <w:u w:val="single"/>
              </w:rPr>
            </w:pPr>
            <w:r>
              <w:rPr>
                <w:rFonts w:hint="eastAsia"/>
                <w:color w:val="auto"/>
                <w:u w:val="single"/>
              </w:rPr>
              <w:t>排放量（新乡县综合污水处理厂出口）</w:t>
            </w:r>
          </w:p>
        </w:tc>
        <w:tc>
          <w:tcPr>
            <w:tcW w:w="966" w:type="pct"/>
            <w:vAlign w:val="center"/>
          </w:tcPr>
          <w:p w:rsidR="00EE56C0" w:rsidRDefault="000F36A1">
            <w:pPr>
              <w:pStyle w:val="aff1"/>
              <w:rPr>
                <w:color w:val="auto"/>
                <w:u w:val="single"/>
              </w:rPr>
            </w:pPr>
            <w:r>
              <w:rPr>
                <w:rFonts w:hint="eastAsia"/>
                <w:color w:val="auto"/>
                <w:u w:val="single"/>
              </w:rPr>
              <w:t>总量指标</w:t>
            </w:r>
          </w:p>
        </w:tc>
      </w:tr>
      <w:tr w:rsidR="00EE56C0">
        <w:trPr>
          <w:trHeight w:val="425"/>
          <w:jc w:val="center"/>
        </w:trPr>
        <w:tc>
          <w:tcPr>
            <w:tcW w:w="770" w:type="pct"/>
            <w:vAlign w:val="center"/>
          </w:tcPr>
          <w:p w:rsidR="00EE56C0" w:rsidRDefault="000F36A1">
            <w:pPr>
              <w:pStyle w:val="afa"/>
              <w:rPr>
                <w:u w:val="single"/>
              </w:rPr>
            </w:pPr>
            <w:r>
              <w:rPr>
                <w:rFonts w:hint="eastAsia"/>
                <w:u w:val="single"/>
              </w:rPr>
              <w:t>COD</w:t>
            </w:r>
          </w:p>
        </w:tc>
        <w:tc>
          <w:tcPr>
            <w:tcW w:w="823" w:type="pct"/>
            <w:vAlign w:val="center"/>
          </w:tcPr>
          <w:p w:rsidR="00EE56C0" w:rsidRDefault="000F36A1">
            <w:pPr>
              <w:pStyle w:val="afa"/>
              <w:rPr>
                <w:rFonts w:eastAsia="宋体"/>
                <w:u w:val="single"/>
              </w:rPr>
            </w:pPr>
            <w:r>
              <w:rPr>
                <w:u w:val="single"/>
              </w:rPr>
              <w:t xml:space="preserve">0.5461 </w:t>
            </w:r>
          </w:p>
        </w:tc>
        <w:tc>
          <w:tcPr>
            <w:tcW w:w="737" w:type="pct"/>
            <w:vAlign w:val="center"/>
          </w:tcPr>
          <w:p w:rsidR="00EE56C0" w:rsidRDefault="000F36A1">
            <w:pPr>
              <w:pStyle w:val="afa"/>
              <w:rPr>
                <w:rFonts w:eastAsia="宋体"/>
                <w:u w:val="single"/>
              </w:rPr>
            </w:pPr>
            <w:r>
              <w:rPr>
                <w:u w:val="single"/>
              </w:rPr>
              <w:t xml:space="preserve">0.1734 </w:t>
            </w:r>
          </w:p>
        </w:tc>
        <w:tc>
          <w:tcPr>
            <w:tcW w:w="737" w:type="pct"/>
            <w:vAlign w:val="center"/>
          </w:tcPr>
          <w:p w:rsidR="00EE56C0" w:rsidRDefault="000F36A1">
            <w:pPr>
              <w:pStyle w:val="afa"/>
              <w:rPr>
                <w:rFonts w:eastAsia="宋体"/>
                <w:u w:val="single"/>
              </w:rPr>
            </w:pPr>
            <w:r>
              <w:rPr>
                <w:u w:val="single"/>
              </w:rPr>
              <w:t xml:space="preserve">0.3726 </w:t>
            </w:r>
          </w:p>
        </w:tc>
        <w:tc>
          <w:tcPr>
            <w:tcW w:w="966" w:type="pct"/>
            <w:vAlign w:val="center"/>
          </w:tcPr>
          <w:p w:rsidR="00EE56C0" w:rsidRDefault="000F36A1">
            <w:pPr>
              <w:pStyle w:val="afa"/>
              <w:rPr>
                <w:rFonts w:eastAsia="宋体"/>
                <w:u w:val="single"/>
              </w:rPr>
            </w:pPr>
            <w:r>
              <w:rPr>
                <w:u w:val="single"/>
              </w:rPr>
              <w:t xml:space="preserve">0.0827 </w:t>
            </w:r>
          </w:p>
        </w:tc>
        <w:tc>
          <w:tcPr>
            <w:tcW w:w="966" w:type="pct"/>
            <w:vAlign w:val="center"/>
          </w:tcPr>
          <w:p w:rsidR="00EE56C0" w:rsidRDefault="000F36A1">
            <w:pPr>
              <w:pStyle w:val="afa"/>
              <w:rPr>
                <w:rFonts w:eastAsia="宋体"/>
                <w:u w:val="single"/>
              </w:rPr>
            </w:pPr>
            <w:r>
              <w:rPr>
                <w:u w:val="single"/>
              </w:rPr>
              <w:t xml:space="preserve">0.0827 </w:t>
            </w:r>
          </w:p>
        </w:tc>
      </w:tr>
      <w:tr w:rsidR="00EE56C0">
        <w:trPr>
          <w:trHeight w:val="425"/>
          <w:jc w:val="center"/>
        </w:trPr>
        <w:tc>
          <w:tcPr>
            <w:tcW w:w="770" w:type="pct"/>
            <w:vAlign w:val="center"/>
          </w:tcPr>
          <w:p w:rsidR="00EE56C0" w:rsidRDefault="000F36A1">
            <w:pPr>
              <w:pStyle w:val="afa"/>
              <w:rPr>
                <w:u w:val="single"/>
              </w:rPr>
            </w:pPr>
            <w:r>
              <w:rPr>
                <w:rFonts w:hint="eastAsia"/>
                <w:u w:val="single"/>
              </w:rPr>
              <w:t>NH</w:t>
            </w:r>
            <w:r>
              <w:rPr>
                <w:rFonts w:hint="eastAsia"/>
                <w:u w:val="single"/>
                <w:vertAlign w:val="subscript"/>
              </w:rPr>
              <w:t>3</w:t>
            </w:r>
            <w:r>
              <w:rPr>
                <w:rFonts w:hint="eastAsia"/>
                <w:u w:val="single"/>
              </w:rPr>
              <w:t>-N</w:t>
            </w:r>
          </w:p>
        </w:tc>
        <w:tc>
          <w:tcPr>
            <w:tcW w:w="823" w:type="pct"/>
            <w:vAlign w:val="center"/>
          </w:tcPr>
          <w:p w:rsidR="00EE56C0" w:rsidRDefault="000F36A1">
            <w:pPr>
              <w:pStyle w:val="afa"/>
              <w:rPr>
                <w:rFonts w:eastAsia="宋体"/>
                <w:u w:val="single"/>
              </w:rPr>
            </w:pPr>
            <w:r>
              <w:rPr>
                <w:u w:val="single"/>
              </w:rPr>
              <w:t xml:space="preserve">0.0399 </w:t>
            </w:r>
          </w:p>
        </w:tc>
        <w:tc>
          <w:tcPr>
            <w:tcW w:w="737" w:type="pct"/>
            <w:vAlign w:val="center"/>
          </w:tcPr>
          <w:p w:rsidR="00EE56C0" w:rsidRDefault="000F36A1">
            <w:pPr>
              <w:pStyle w:val="afa"/>
              <w:rPr>
                <w:rFonts w:eastAsia="宋体"/>
                <w:u w:val="single"/>
              </w:rPr>
            </w:pPr>
            <w:r>
              <w:rPr>
                <w:u w:val="single"/>
              </w:rPr>
              <w:t xml:space="preserve">0.0041 </w:t>
            </w:r>
          </w:p>
        </w:tc>
        <w:tc>
          <w:tcPr>
            <w:tcW w:w="737" w:type="pct"/>
            <w:vAlign w:val="center"/>
          </w:tcPr>
          <w:p w:rsidR="00EE56C0" w:rsidRDefault="000F36A1">
            <w:pPr>
              <w:pStyle w:val="afa"/>
              <w:rPr>
                <w:rFonts w:eastAsia="宋体"/>
                <w:u w:val="single"/>
              </w:rPr>
            </w:pPr>
            <w:r>
              <w:rPr>
                <w:u w:val="single"/>
              </w:rPr>
              <w:t xml:space="preserve">0.0357 </w:t>
            </w:r>
          </w:p>
        </w:tc>
        <w:tc>
          <w:tcPr>
            <w:tcW w:w="966" w:type="pct"/>
            <w:vAlign w:val="center"/>
          </w:tcPr>
          <w:p w:rsidR="00EE56C0" w:rsidRDefault="000F36A1">
            <w:pPr>
              <w:pStyle w:val="afa"/>
              <w:rPr>
                <w:rFonts w:eastAsia="宋体"/>
                <w:u w:val="single"/>
              </w:rPr>
            </w:pPr>
            <w:r>
              <w:rPr>
                <w:u w:val="single"/>
              </w:rPr>
              <w:t xml:space="preserve">0.0041 </w:t>
            </w:r>
          </w:p>
        </w:tc>
        <w:tc>
          <w:tcPr>
            <w:tcW w:w="966" w:type="pct"/>
            <w:vAlign w:val="center"/>
          </w:tcPr>
          <w:p w:rsidR="00EE56C0" w:rsidRDefault="000F36A1">
            <w:pPr>
              <w:pStyle w:val="afa"/>
              <w:rPr>
                <w:rFonts w:eastAsia="宋体"/>
                <w:u w:val="single"/>
              </w:rPr>
            </w:pPr>
            <w:r>
              <w:rPr>
                <w:u w:val="single"/>
              </w:rPr>
              <w:t xml:space="preserve">0.0041 </w:t>
            </w:r>
          </w:p>
        </w:tc>
      </w:tr>
      <w:tr w:rsidR="00EE56C0">
        <w:trPr>
          <w:trHeight w:val="425"/>
          <w:jc w:val="center"/>
        </w:trPr>
        <w:tc>
          <w:tcPr>
            <w:tcW w:w="770" w:type="pct"/>
            <w:vAlign w:val="center"/>
          </w:tcPr>
          <w:p w:rsidR="00EE56C0" w:rsidRDefault="000F36A1">
            <w:pPr>
              <w:pStyle w:val="afa"/>
              <w:rPr>
                <w:u w:val="single"/>
              </w:rPr>
            </w:pPr>
            <w:r>
              <w:rPr>
                <w:rFonts w:hint="eastAsia"/>
                <w:u w:val="single"/>
              </w:rPr>
              <w:t>TP</w:t>
            </w:r>
          </w:p>
        </w:tc>
        <w:tc>
          <w:tcPr>
            <w:tcW w:w="823" w:type="pct"/>
            <w:vAlign w:val="center"/>
          </w:tcPr>
          <w:p w:rsidR="00EE56C0" w:rsidRDefault="000F36A1">
            <w:pPr>
              <w:pStyle w:val="afa"/>
              <w:rPr>
                <w:rFonts w:eastAsia="宋体"/>
                <w:u w:val="single"/>
              </w:rPr>
            </w:pPr>
            <w:r>
              <w:rPr>
                <w:u w:val="single"/>
              </w:rPr>
              <w:t xml:space="preserve">0.0065 </w:t>
            </w:r>
          </w:p>
        </w:tc>
        <w:tc>
          <w:tcPr>
            <w:tcW w:w="737" w:type="pct"/>
            <w:vAlign w:val="center"/>
          </w:tcPr>
          <w:p w:rsidR="00EE56C0" w:rsidRDefault="000F36A1">
            <w:pPr>
              <w:pStyle w:val="afa"/>
              <w:rPr>
                <w:rFonts w:eastAsia="宋体"/>
                <w:u w:val="single"/>
              </w:rPr>
            </w:pPr>
            <w:r>
              <w:rPr>
                <w:u w:val="single"/>
              </w:rPr>
              <w:t>0.000</w:t>
            </w:r>
            <w:r>
              <w:rPr>
                <w:rFonts w:hint="eastAsia"/>
                <w:u w:val="single"/>
              </w:rPr>
              <w:t>0</w:t>
            </w:r>
          </w:p>
        </w:tc>
        <w:tc>
          <w:tcPr>
            <w:tcW w:w="737" w:type="pct"/>
            <w:vAlign w:val="center"/>
          </w:tcPr>
          <w:p w:rsidR="00EE56C0" w:rsidRDefault="000F36A1">
            <w:pPr>
              <w:pStyle w:val="afa"/>
              <w:rPr>
                <w:rFonts w:eastAsia="宋体"/>
                <w:u w:val="single"/>
              </w:rPr>
            </w:pPr>
            <w:r>
              <w:rPr>
                <w:u w:val="single"/>
              </w:rPr>
              <w:t>0.00</w:t>
            </w:r>
            <w:r>
              <w:rPr>
                <w:rFonts w:hint="eastAsia"/>
                <w:u w:val="single"/>
              </w:rPr>
              <w:t>65</w:t>
            </w:r>
          </w:p>
        </w:tc>
        <w:tc>
          <w:tcPr>
            <w:tcW w:w="966" w:type="pct"/>
            <w:vAlign w:val="center"/>
          </w:tcPr>
          <w:p w:rsidR="00EE56C0" w:rsidRDefault="000F36A1">
            <w:pPr>
              <w:pStyle w:val="afa"/>
              <w:rPr>
                <w:rFonts w:eastAsia="宋体"/>
                <w:u w:val="single"/>
              </w:rPr>
            </w:pPr>
            <w:r>
              <w:rPr>
                <w:u w:val="single"/>
              </w:rPr>
              <w:t xml:space="preserve">0.0008 </w:t>
            </w:r>
          </w:p>
        </w:tc>
        <w:tc>
          <w:tcPr>
            <w:tcW w:w="966" w:type="pct"/>
            <w:vAlign w:val="center"/>
          </w:tcPr>
          <w:p w:rsidR="00EE56C0" w:rsidRDefault="000F36A1">
            <w:pPr>
              <w:pStyle w:val="afa"/>
              <w:rPr>
                <w:rFonts w:eastAsia="宋体"/>
                <w:u w:val="single"/>
              </w:rPr>
            </w:pPr>
            <w:r>
              <w:rPr>
                <w:u w:val="single"/>
              </w:rPr>
              <w:t xml:space="preserve">0.0008 </w:t>
            </w:r>
          </w:p>
        </w:tc>
      </w:tr>
      <w:tr w:rsidR="00EE56C0">
        <w:trPr>
          <w:trHeight w:val="425"/>
          <w:jc w:val="center"/>
        </w:trPr>
        <w:tc>
          <w:tcPr>
            <w:tcW w:w="770" w:type="pct"/>
            <w:vAlign w:val="center"/>
          </w:tcPr>
          <w:p w:rsidR="00EE56C0" w:rsidRDefault="000F36A1">
            <w:pPr>
              <w:pStyle w:val="afa"/>
              <w:rPr>
                <w:u w:val="single"/>
              </w:rPr>
            </w:pPr>
            <w:r>
              <w:rPr>
                <w:rFonts w:hint="eastAsia"/>
                <w:u w:val="single"/>
              </w:rPr>
              <w:t>TN</w:t>
            </w:r>
          </w:p>
        </w:tc>
        <w:tc>
          <w:tcPr>
            <w:tcW w:w="823" w:type="pct"/>
            <w:vAlign w:val="center"/>
          </w:tcPr>
          <w:p w:rsidR="00EE56C0" w:rsidRDefault="000F36A1">
            <w:pPr>
              <w:pStyle w:val="afa"/>
              <w:rPr>
                <w:rFonts w:eastAsia="宋体"/>
                <w:u w:val="single"/>
              </w:rPr>
            </w:pPr>
            <w:r>
              <w:rPr>
                <w:u w:val="single"/>
              </w:rPr>
              <w:t xml:space="preserve">0.0481 </w:t>
            </w:r>
          </w:p>
        </w:tc>
        <w:tc>
          <w:tcPr>
            <w:tcW w:w="737" w:type="pct"/>
            <w:vAlign w:val="center"/>
          </w:tcPr>
          <w:p w:rsidR="00EE56C0" w:rsidRDefault="000F36A1">
            <w:pPr>
              <w:pStyle w:val="afa"/>
              <w:rPr>
                <w:rFonts w:eastAsia="宋体"/>
                <w:u w:val="single"/>
              </w:rPr>
            </w:pPr>
            <w:r>
              <w:rPr>
                <w:u w:val="single"/>
              </w:rPr>
              <w:t xml:space="preserve">0.0041 </w:t>
            </w:r>
          </w:p>
        </w:tc>
        <w:tc>
          <w:tcPr>
            <w:tcW w:w="737" w:type="pct"/>
            <w:vAlign w:val="center"/>
          </w:tcPr>
          <w:p w:rsidR="00EE56C0" w:rsidRDefault="000F36A1">
            <w:pPr>
              <w:pStyle w:val="afa"/>
              <w:rPr>
                <w:rFonts w:eastAsia="宋体"/>
                <w:u w:val="single"/>
              </w:rPr>
            </w:pPr>
            <w:r>
              <w:rPr>
                <w:u w:val="single"/>
              </w:rPr>
              <w:t xml:space="preserve">0.0441 </w:t>
            </w:r>
          </w:p>
        </w:tc>
        <w:tc>
          <w:tcPr>
            <w:tcW w:w="966" w:type="pct"/>
            <w:vAlign w:val="center"/>
          </w:tcPr>
          <w:p w:rsidR="00EE56C0" w:rsidRDefault="000F36A1">
            <w:pPr>
              <w:pStyle w:val="afa"/>
              <w:rPr>
                <w:rFonts w:eastAsia="宋体"/>
                <w:u w:val="single"/>
              </w:rPr>
            </w:pPr>
            <w:r>
              <w:rPr>
                <w:u w:val="single"/>
              </w:rPr>
              <w:t xml:space="preserve">0.0310 </w:t>
            </w:r>
          </w:p>
        </w:tc>
        <w:tc>
          <w:tcPr>
            <w:tcW w:w="966" w:type="pct"/>
            <w:vAlign w:val="center"/>
          </w:tcPr>
          <w:p w:rsidR="00EE56C0" w:rsidRDefault="000F36A1">
            <w:pPr>
              <w:pStyle w:val="afa"/>
              <w:rPr>
                <w:rFonts w:eastAsia="宋体"/>
                <w:u w:val="single"/>
              </w:rPr>
            </w:pPr>
            <w:r>
              <w:rPr>
                <w:u w:val="single"/>
              </w:rPr>
              <w:t xml:space="preserve">0.0310 </w:t>
            </w:r>
          </w:p>
        </w:tc>
      </w:tr>
      <w:tr w:rsidR="00EE56C0">
        <w:trPr>
          <w:trHeight w:val="425"/>
          <w:jc w:val="center"/>
        </w:trPr>
        <w:tc>
          <w:tcPr>
            <w:tcW w:w="770" w:type="pct"/>
            <w:vAlign w:val="center"/>
          </w:tcPr>
          <w:p w:rsidR="00EE56C0" w:rsidRDefault="000F36A1">
            <w:pPr>
              <w:pStyle w:val="afa"/>
              <w:rPr>
                <w:u w:val="single"/>
              </w:rPr>
            </w:pPr>
            <w:r>
              <w:rPr>
                <w:rFonts w:hint="eastAsia"/>
                <w:u w:val="single"/>
              </w:rPr>
              <w:t>水量（</w:t>
            </w:r>
            <w:r>
              <w:rPr>
                <w:rFonts w:hint="eastAsia"/>
                <w:u w:val="single"/>
              </w:rPr>
              <w:t>t/a</w:t>
            </w:r>
            <w:r>
              <w:rPr>
                <w:rFonts w:hint="eastAsia"/>
                <w:u w:val="single"/>
              </w:rPr>
              <w:t>）</w:t>
            </w:r>
          </w:p>
        </w:tc>
        <w:tc>
          <w:tcPr>
            <w:tcW w:w="823" w:type="pct"/>
            <w:vAlign w:val="center"/>
          </w:tcPr>
          <w:p w:rsidR="00EE56C0" w:rsidRDefault="000F36A1">
            <w:pPr>
              <w:pStyle w:val="afa"/>
              <w:rPr>
                <w:rFonts w:eastAsia="宋体"/>
                <w:u w:val="single"/>
              </w:rPr>
            </w:pPr>
            <w:r>
              <w:rPr>
                <w:u w:val="single"/>
              </w:rPr>
              <w:t>2067</w:t>
            </w:r>
          </w:p>
        </w:tc>
        <w:tc>
          <w:tcPr>
            <w:tcW w:w="737" w:type="pct"/>
            <w:vAlign w:val="center"/>
          </w:tcPr>
          <w:p w:rsidR="00EE56C0" w:rsidRDefault="000F36A1">
            <w:pPr>
              <w:pStyle w:val="afa"/>
              <w:rPr>
                <w:rFonts w:eastAsia="宋体"/>
                <w:u w:val="single"/>
              </w:rPr>
            </w:pPr>
            <w:r>
              <w:rPr>
                <w:u w:val="single"/>
              </w:rPr>
              <w:t>0</w:t>
            </w:r>
          </w:p>
        </w:tc>
        <w:tc>
          <w:tcPr>
            <w:tcW w:w="737" w:type="pct"/>
            <w:vAlign w:val="center"/>
          </w:tcPr>
          <w:p w:rsidR="00EE56C0" w:rsidRDefault="000F36A1">
            <w:pPr>
              <w:pStyle w:val="afa"/>
              <w:rPr>
                <w:rFonts w:eastAsia="宋体"/>
                <w:u w:val="single"/>
              </w:rPr>
            </w:pPr>
            <w:r>
              <w:rPr>
                <w:u w:val="single"/>
              </w:rPr>
              <w:t>2067</w:t>
            </w:r>
          </w:p>
        </w:tc>
        <w:tc>
          <w:tcPr>
            <w:tcW w:w="966" w:type="pct"/>
            <w:vAlign w:val="center"/>
          </w:tcPr>
          <w:p w:rsidR="00EE56C0" w:rsidRDefault="000F36A1">
            <w:pPr>
              <w:pStyle w:val="afa"/>
              <w:rPr>
                <w:rFonts w:eastAsia="宋体"/>
                <w:u w:val="single"/>
              </w:rPr>
            </w:pPr>
            <w:r>
              <w:rPr>
                <w:u w:val="single"/>
              </w:rPr>
              <w:t>2067</w:t>
            </w:r>
          </w:p>
        </w:tc>
        <w:tc>
          <w:tcPr>
            <w:tcW w:w="966" w:type="pct"/>
            <w:vAlign w:val="center"/>
          </w:tcPr>
          <w:p w:rsidR="00EE56C0" w:rsidRDefault="000F36A1">
            <w:pPr>
              <w:pStyle w:val="afa"/>
              <w:rPr>
                <w:u w:val="single"/>
              </w:rPr>
            </w:pPr>
            <w:r>
              <w:rPr>
                <w:u w:val="single"/>
              </w:rPr>
              <w:t>2067</w:t>
            </w:r>
          </w:p>
        </w:tc>
      </w:tr>
    </w:tbl>
    <w:p w:rsidR="00EE56C0" w:rsidRDefault="000F36A1">
      <w:pPr>
        <w:pStyle w:val="3"/>
        <w:spacing w:before="240" w:after="120"/>
      </w:pPr>
      <w:r>
        <w:rPr>
          <w:rFonts w:hint="eastAsia"/>
        </w:rPr>
        <w:t>3.7.3</w:t>
      </w:r>
      <w:r>
        <w:rPr>
          <w:rFonts w:hint="eastAsia"/>
        </w:rPr>
        <w:t>噪声</w:t>
      </w:r>
    </w:p>
    <w:p w:rsidR="00EE56C0" w:rsidRDefault="000F36A1">
      <w:pPr>
        <w:ind w:firstLine="480"/>
      </w:pPr>
      <w:r>
        <w:rPr>
          <w:rFonts w:hint="eastAsia"/>
        </w:rPr>
        <w:t>工程高噪声源主要为拉拔机、全自动拉丝机</w:t>
      </w:r>
      <w:r>
        <w:t>、</w:t>
      </w:r>
      <w:r>
        <w:rPr>
          <w:rFonts w:hint="eastAsia"/>
        </w:rPr>
        <w:t>漆包机、拉包机、挤压机、纸</w:t>
      </w:r>
      <w:r>
        <w:rPr>
          <w:rFonts w:hint="eastAsia"/>
        </w:rPr>
        <w:lastRenderedPageBreak/>
        <w:t>包机、烧结机、膜包机、丝包机、全自动小拉机</w:t>
      </w:r>
      <w:r>
        <w:t>等</w:t>
      </w:r>
      <w:r>
        <w:rPr>
          <w:rFonts w:hint="eastAsia"/>
        </w:rPr>
        <w:t>，本项目一期、二期</w:t>
      </w:r>
      <w:r>
        <w:t>高噪声设备及其降噪措施见</w:t>
      </w:r>
      <w:r>
        <w:rPr>
          <w:rFonts w:hint="eastAsia"/>
        </w:rPr>
        <w:t>下</w:t>
      </w:r>
      <w:r>
        <w:t>表。</w:t>
      </w:r>
    </w:p>
    <w:p w:rsidR="00EE56C0" w:rsidRDefault="000F36A1">
      <w:pPr>
        <w:pStyle w:val="afd"/>
        <w:spacing w:before="120" w:after="120"/>
        <w:ind w:firstLine="482"/>
      </w:pPr>
      <w:r>
        <w:t>表</w:t>
      </w:r>
      <w:r>
        <w:rPr>
          <w:rFonts w:hint="eastAsia"/>
        </w:rPr>
        <w:t xml:space="preserve">3-59             </w:t>
      </w:r>
      <w:r>
        <w:rPr>
          <w:rFonts w:hint="eastAsia"/>
        </w:rPr>
        <w:t>一期</w:t>
      </w:r>
      <w:r>
        <w:t>主要噪声源及排放情况</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549"/>
        <w:gridCol w:w="977"/>
        <w:gridCol w:w="849"/>
        <w:gridCol w:w="993"/>
        <w:gridCol w:w="1134"/>
        <w:gridCol w:w="1276"/>
        <w:gridCol w:w="1276"/>
        <w:gridCol w:w="1474"/>
      </w:tblGrid>
      <w:tr w:rsidR="00EE56C0">
        <w:trPr>
          <w:trHeight w:val="454"/>
          <w:jc w:val="center"/>
        </w:trPr>
        <w:tc>
          <w:tcPr>
            <w:tcW w:w="322" w:type="pct"/>
            <w:vAlign w:val="center"/>
          </w:tcPr>
          <w:p w:rsidR="00EE56C0" w:rsidRDefault="000F36A1">
            <w:pPr>
              <w:pStyle w:val="aff1"/>
              <w:rPr>
                <w:color w:val="auto"/>
              </w:rPr>
            </w:pPr>
            <w:r>
              <w:rPr>
                <w:color w:val="auto"/>
              </w:rPr>
              <w:t>序号</w:t>
            </w:r>
          </w:p>
        </w:tc>
        <w:tc>
          <w:tcPr>
            <w:tcW w:w="573" w:type="pct"/>
            <w:vAlign w:val="center"/>
          </w:tcPr>
          <w:p w:rsidR="00EE56C0" w:rsidRDefault="000F36A1">
            <w:pPr>
              <w:pStyle w:val="aff1"/>
              <w:rPr>
                <w:color w:val="auto"/>
              </w:rPr>
            </w:pPr>
            <w:r>
              <w:rPr>
                <w:color w:val="auto"/>
              </w:rPr>
              <w:t>设备</w:t>
            </w:r>
          </w:p>
          <w:p w:rsidR="00EE56C0" w:rsidRDefault="000F36A1">
            <w:pPr>
              <w:pStyle w:val="aff1"/>
              <w:rPr>
                <w:color w:val="auto"/>
              </w:rPr>
            </w:pPr>
            <w:r>
              <w:rPr>
                <w:color w:val="auto"/>
              </w:rPr>
              <w:t>名称</w:t>
            </w:r>
          </w:p>
        </w:tc>
        <w:tc>
          <w:tcPr>
            <w:tcW w:w="498" w:type="pct"/>
            <w:vAlign w:val="center"/>
          </w:tcPr>
          <w:p w:rsidR="00EE56C0" w:rsidRDefault="000F36A1">
            <w:pPr>
              <w:pStyle w:val="aff1"/>
              <w:rPr>
                <w:color w:val="auto"/>
              </w:rPr>
            </w:pPr>
            <w:r>
              <w:rPr>
                <w:color w:val="auto"/>
              </w:rPr>
              <w:t>数量</w:t>
            </w:r>
          </w:p>
          <w:p w:rsidR="00EE56C0" w:rsidRDefault="000F36A1">
            <w:pPr>
              <w:pStyle w:val="aff1"/>
              <w:rPr>
                <w:color w:val="auto"/>
              </w:rPr>
            </w:pPr>
            <w:r>
              <w:rPr>
                <w:color w:val="auto"/>
              </w:rPr>
              <w:t>（台）</w:t>
            </w:r>
          </w:p>
        </w:tc>
        <w:tc>
          <w:tcPr>
            <w:tcW w:w="582" w:type="pct"/>
            <w:vAlign w:val="center"/>
          </w:tcPr>
          <w:p w:rsidR="00EE56C0" w:rsidRDefault="000F36A1">
            <w:pPr>
              <w:pStyle w:val="aff1"/>
              <w:rPr>
                <w:color w:val="auto"/>
              </w:rPr>
            </w:pPr>
            <w:r>
              <w:rPr>
                <w:color w:val="auto"/>
              </w:rPr>
              <w:t>位置</w:t>
            </w:r>
          </w:p>
        </w:tc>
        <w:tc>
          <w:tcPr>
            <w:tcW w:w="665" w:type="pct"/>
            <w:vAlign w:val="center"/>
          </w:tcPr>
          <w:p w:rsidR="00EE56C0" w:rsidRDefault="000F36A1">
            <w:pPr>
              <w:pStyle w:val="aff1"/>
              <w:rPr>
                <w:color w:val="auto"/>
              </w:rPr>
            </w:pPr>
            <w:r>
              <w:rPr>
                <w:color w:val="auto"/>
              </w:rPr>
              <w:t>噪声</w:t>
            </w:r>
            <w:r>
              <w:rPr>
                <w:rFonts w:hint="eastAsia"/>
                <w:color w:val="auto"/>
              </w:rPr>
              <w:t>源强</w:t>
            </w:r>
            <w:r>
              <w:rPr>
                <w:color w:val="auto"/>
              </w:rPr>
              <w:t>[dB(A)]</w:t>
            </w:r>
          </w:p>
        </w:tc>
        <w:tc>
          <w:tcPr>
            <w:tcW w:w="748" w:type="pct"/>
            <w:vAlign w:val="center"/>
          </w:tcPr>
          <w:p w:rsidR="00EE56C0" w:rsidRDefault="000F36A1">
            <w:pPr>
              <w:pStyle w:val="aff1"/>
              <w:rPr>
                <w:color w:val="auto"/>
              </w:rPr>
            </w:pPr>
            <w:r>
              <w:rPr>
                <w:rFonts w:hint="eastAsia"/>
                <w:color w:val="auto"/>
              </w:rPr>
              <w:t>噪声叠加值</w:t>
            </w:r>
            <w:r>
              <w:rPr>
                <w:color w:val="auto"/>
              </w:rPr>
              <w:t>[dB(A)]</w:t>
            </w:r>
          </w:p>
        </w:tc>
        <w:tc>
          <w:tcPr>
            <w:tcW w:w="748" w:type="pct"/>
            <w:vAlign w:val="center"/>
          </w:tcPr>
          <w:p w:rsidR="00EE56C0" w:rsidRDefault="000F36A1">
            <w:pPr>
              <w:pStyle w:val="aff1"/>
              <w:rPr>
                <w:color w:val="auto"/>
              </w:rPr>
            </w:pPr>
            <w:r>
              <w:rPr>
                <w:color w:val="auto"/>
              </w:rPr>
              <w:t>降噪措施</w:t>
            </w:r>
          </w:p>
        </w:tc>
        <w:tc>
          <w:tcPr>
            <w:tcW w:w="864" w:type="pct"/>
            <w:vAlign w:val="center"/>
          </w:tcPr>
          <w:p w:rsidR="00EE56C0" w:rsidRDefault="000F36A1">
            <w:pPr>
              <w:pStyle w:val="aff1"/>
              <w:rPr>
                <w:color w:val="auto"/>
              </w:rPr>
            </w:pPr>
            <w:r>
              <w:rPr>
                <w:color w:val="auto"/>
              </w:rPr>
              <w:t>治理后噪声值</w:t>
            </w:r>
            <w:r>
              <w:rPr>
                <w:color w:val="auto"/>
              </w:rPr>
              <w:t>[dB(A)]</w:t>
            </w:r>
          </w:p>
        </w:tc>
      </w:tr>
      <w:tr w:rsidR="00EE56C0">
        <w:trPr>
          <w:trHeight w:val="454"/>
          <w:jc w:val="center"/>
        </w:trPr>
        <w:tc>
          <w:tcPr>
            <w:tcW w:w="322" w:type="pct"/>
            <w:vAlign w:val="center"/>
          </w:tcPr>
          <w:p w:rsidR="00EE56C0" w:rsidRDefault="000F36A1">
            <w:pPr>
              <w:pStyle w:val="afa"/>
            </w:pPr>
            <w:r>
              <w:rPr>
                <w:rFonts w:hint="eastAsia"/>
              </w:rPr>
              <w:t>1</w:t>
            </w:r>
          </w:p>
        </w:tc>
        <w:tc>
          <w:tcPr>
            <w:tcW w:w="573" w:type="pct"/>
            <w:vAlign w:val="center"/>
          </w:tcPr>
          <w:p w:rsidR="00EE56C0" w:rsidRDefault="000F36A1">
            <w:pPr>
              <w:pStyle w:val="afa"/>
              <w:rPr>
                <w:rFonts w:ascii="Calibri" w:hAnsi="Calibri"/>
              </w:rPr>
            </w:pPr>
            <w:r>
              <w:rPr>
                <w:rFonts w:hint="eastAsia"/>
              </w:rPr>
              <w:t>拉拔机</w:t>
            </w:r>
          </w:p>
        </w:tc>
        <w:tc>
          <w:tcPr>
            <w:tcW w:w="498" w:type="pct"/>
            <w:vAlign w:val="center"/>
          </w:tcPr>
          <w:p w:rsidR="00EE56C0" w:rsidRDefault="000F36A1">
            <w:pPr>
              <w:pStyle w:val="afa"/>
            </w:pPr>
            <w:r>
              <w:rPr>
                <w:rFonts w:hint="eastAsia"/>
              </w:rPr>
              <w:t>2</w:t>
            </w:r>
          </w:p>
        </w:tc>
        <w:tc>
          <w:tcPr>
            <w:tcW w:w="582" w:type="pct"/>
            <w:vAlign w:val="center"/>
          </w:tcPr>
          <w:p w:rsidR="00EE56C0" w:rsidRDefault="000F36A1">
            <w:pPr>
              <w:pStyle w:val="afa"/>
            </w:pPr>
            <w:r>
              <w:rPr>
                <w:rFonts w:hint="eastAsia"/>
              </w:rPr>
              <w:t>车间内</w:t>
            </w:r>
          </w:p>
        </w:tc>
        <w:tc>
          <w:tcPr>
            <w:tcW w:w="665" w:type="pct"/>
            <w:vAlign w:val="center"/>
          </w:tcPr>
          <w:p w:rsidR="00EE56C0" w:rsidRDefault="000F36A1">
            <w:pPr>
              <w:pStyle w:val="afa"/>
            </w:pPr>
            <w:r>
              <w:rPr>
                <w:rFonts w:hint="eastAsia"/>
              </w:rPr>
              <w:t>75</w:t>
            </w:r>
          </w:p>
        </w:tc>
        <w:tc>
          <w:tcPr>
            <w:tcW w:w="748" w:type="pct"/>
            <w:vAlign w:val="center"/>
          </w:tcPr>
          <w:p w:rsidR="00EE56C0" w:rsidRDefault="000F36A1">
            <w:pPr>
              <w:pStyle w:val="afa"/>
            </w:pPr>
            <w:r>
              <w:rPr>
                <w:rFonts w:hint="eastAsia"/>
              </w:rPr>
              <w:t>78</w:t>
            </w:r>
          </w:p>
        </w:tc>
        <w:tc>
          <w:tcPr>
            <w:tcW w:w="748" w:type="pct"/>
            <w:vAlign w:val="center"/>
          </w:tcPr>
          <w:p w:rsidR="00EE56C0" w:rsidRDefault="000F36A1">
            <w:pPr>
              <w:pStyle w:val="afa"/>
            </w:pPr>
            <w:r>
              <w:t>减振</w:t>
            </w:r>
            <w:r>
              <w:rPr>
                <w:rFonts w:hint="eastAsia"/>
              </w:rPr>
              <w:t>、厂房</w:t>
            </w:r>
            <w:r>
              <w:t>隔声</w:t>
            </w:r>
          </w:p>
        </w:tc>
        <w:tc>
          <w:tcPr>
            <w:tcW w:w="864" w:type="pct"/>
            <w:vAlign w:val="center"/>
          </w:tcPr>
          <w:p w:rsidR="00EE56C0" w:rsidRDefault="000F36A1">
            <w:pPr>
              <w:pStyle w:val="afa"/>
            </w:pPr>
            <w:r>
              <w:t>53</w:t>
            </w:r>
          </w:p>
        </w:tc>
      </w:tr>
      <w:tr w:rsidR="00EE56C0">
        <w:trPr>
          <w:trHeight w:val="454"/>
          <w:jc w:val="center"/>
        </w:trPr>
        <w:tc>
          <w:tcPr>
            <w:tcW w:w="322" w:type="pct"/>
            <w:vAlign w:val="center"/>
          </w:tcPr>
          <w:p w:rsidR="00EE56C0" w:rsidRDefault="000F36A1">
            <w:pPr>
              <w:pStyle w:val="afa"/>
            </w:pPr>
            <w:r>
              <w:rPr>
                <w:rFonts w:hint="eastAsia"/>
              </w:rPr>
              <w:t>2</w:t>
            </w:r>
          </w:p>
        </w:tc>
        <w:tc>
          <w:tcPr>
            <w:tcW w:w="573" w:type="pct"/>
            <w:vAlign w:val="center"/>
          </w:tcPr>
          <w:p w:rsidR="00EE56C0" w:rsidRDefault="000F36A1">
            <w:pPr>
              <w:pStyle w:val="afa"/>
              <w:rPr>
                <w:rFonts w:ascii="Calibri" w:hAnsi="Calibri"/>
              </w:rPr>
            </w:pPr>
            <w:r>
              <w:rPr>
                <w:rFonts w:hint="eastAsia"/>
              </w:rPr>
              <w:t>全自动拉丝机</w:t>
            </w:r>
          </w:p>
        </w:tc>
        <w:tc>
          <w:tcPr>
            <w:tcW w:w="498" w:type="pct"/>
            <w:vAlign w:val="center"/>
          </w:tcPr>
          <w:p w:rsidR="00EE56C0" w:rsidRDefault="000F36A1">
            <w:pPr>
              <w:pStyle w:val="afa"/>
            </w:pPr>
            <w:r>
              <w:rPr>
                <w:rFonts w:hint="eastAsia"/>
              </w:rPr>
              <w:t>5</w:t>
            </w:r>
          </w:p>
        </w:tc>
        <w:tc>
          <w:tcPr>
            <w:tcW w:w="582" w:type="pct"/>
            <w:vAlign w:val="center"/>
          </w:tcPr>
          <w:p w:rsidR="00EE56C0" w:rsidRDefault="000F36A1">
            <w:pPr>
              <w:pStyle w:val="afa"/>
            </w:pPr>
            <w:r>
              <w:rPr>
                <w:rFonts w:hint="eastAsia"/>
              </w:rPr>
              <w:t>车间内</w:t>
            </w:r>
          </w:p>
        </w:tc>
        <w:tc>
          <w:tcPr>
            <w:tcW w:w="665" w:type="pct"/>
            <w:vAlign w:val="center"/>
          </w:tcPr>
          <w:p w:rsidR="00EE56C0" w:rsidRDefault="000F36A1">
            <w:pPr>
              <w:pStyle w:val="afa"/>
            </w:pPr>
            <w:r>
              <w:rPr>
                <w:rFonts w:hint="eastAsia"/>
              </w:rPr>
              <w:t>75</w:t>
            </w:r>
          </w:p>
        </w:tc>
        <w:tc>
          <w:tcPr>
            <w:tcW w:w="748" w:type="pct"/>
            <w:vAlign w:val="center"/>
          </w:tcPr>
          <w:p w:rsidR="00EE56C0" w:rsidRDefault="000F36A1">
            <w:pPr>
              <w:pStyle w:val="afa"/>
            </w:pPr>
            <w:r>
              <w:rPr>
                <w:rFonts w:hint="eastAsia"/>
              </w:rPr>
              <w:t>82</w:t>
            </w:r>
          </w:p>
        </w:tc>
        <w:tc>
          <w:tcPr>
            <w:tcW w:w="748" w:type="pct"/>
            <w:vAlign w:val="center"/>
          </w:tcPr>
          <w:p w:rsidR="00EE56C0" w:rsidRDefault="000F36A1">
            <w:pPr>
              <w:pStyle w:val="afa"/>
            </w:pPr>
            <w:r>
              <w:t>减振</w:t>
            </w:r>
            <w:r>
              <w:rPr>
                <w:rFonts w:hint="eastAsia"/>
              </w:rPr>
              <w:t>、厂房</w:t>
            </w:r>
            <w:r>
              <w:t>隔声</w:t>
            </w:r>
          </w:p>
        </w:tc>
        <w:tc>
          <w:tcPr>
            <w:tcW w:w="864" w:type="pct"/>
            <w:vAlign w:val="center"/>
          </w:tcPr>
          <w:p w:rsidR="00EE56C0" w:rsidRDefault="000F36A1">
            <w:pPr>
              <w:pStyle w:val="afa"/>
            </w:pPr>
            <w:r>
              <w:t>57</w:t>
            </w:r>
          </w:p>
        </w:tc>
      </w:tr>
      <w:tr w:rsidR="00EE56C0">
        <w:trPr>
          <w:trHeight w:val="454"/>
          <w:jc w:val="center"/>
        </w:trPr>
        <w:tc>
          <w:tcPr>
            <w:tcW w:w="322" w:type="pct"/>
            <w:vAlign w:val="center"/>
          </w:tcPr>
          <w:p w:rsidR="00EE56C0" w:rsidRDefault="000F36A1">
            <w:pPr>
              <w:pStyle w:val="afa"/>
            </w:pPr>
            <w:r>
              <w:rPr>
                <w:rFonts w:hint="eastAsia"/>
              </w:rPr>
              <w:t>3</w:t>
            </w:r>
          </w:p>
        </w:tc>
        <w:tc>
          <w:tcPr>
            <w:tcW w:w="573" w:type="pct"/>
            <w:vAlign w:val="center"/>
          </w:tcPr>
          <w:p w:rsidR="00EE56C0" w:rsidRDefault="000F36A1">
            <w:pPr>
              <w:pStyle w:val="afa"/>
            </w:pPr>
            <w:r>
              <w:rPr>
                <w:rFonts w:hint="eastAsia"/>
              </w:rPr>
              <w:t>漆包机</w:t>
            </w:r>
          </w:p>
        </w:tc>
        <w:tc>
          <w:tcPr>
            <w:tcW w:w="498" w:type="pct"/>
            <w:vAlign w:val="center"/>
          </w:tcPr>
          <w:p w:rsidR="00EE56C0" w:rsidRDefault="000F36A1">
            <w:pPr>
              <w:pStyle w:val="afa"/>
            </w:pPr>
            <w:r>
              <w:rPr>
                <w:rFonts w:hint="eastAsia"/>
              </w:rPr>
              <w:t>1</w:t>
            </w:r>
          </w:p>
        </w:tc>
        <w:tc>
          <w:tcPr>
            <w:tcW w:w="582" w:type="pct"/>
            <w:vAlign w:val="center"/>
          </w:tcPr>
          <w:p w:rsidR="00EE56C0" w:rsidRDefault="000F36A1">
            <w:pPr>
              <w:pStyle w:val="afa"/>
            </w:pPr>
            <w:r>
              <w:rPr>
                <w:rFonts w:hint="eastAsia"/>
              </w:rPr>
              <w:t>车间内</w:t>
            </w:r>
          </w:p>
        </w:tc>
        <w:tc>
          <w:tcPr>
            <w:tcW w:w="665" w:type="pct"/>
            <w:vAlign w:val="center"/>
          </w:tcPr>
          <w:p w:rsidR="00EE56C0" w:rsidRDefault="000F36A1">
            <w:pPr>
              <w:pStyle w:val="afa"/>
            </w:pPr>
            <w:r>
              <w:rPr>
                <w:rFonts w:hint="eastAsia"/>
              </w:rPr>
              <w:t>70</w:t>
            </w:r>
          </w:p>
        </w:tc>
        <w:tc>
          <w:tcPr>
            <w:tcW w:w="748" w:type="pct"/>
            <w:vAlign w:val="center"/>
          </w:tcPr>
          <w:p w:rsidR="00EE56C0" w:rsidRDefault="000F36A1">
            <w:pPr>
              <w:pStyle w:val="afa"/>
            </w:pPr>
            <w:r>
              <w:rPr>
                <w:rFonts w:hint="eastAsia"/>
              </w:rPr>
              <w:t>70</w:t>
            </w:r>
          </w:p>
        </w:tc>
        <w:tc>
          <w:tcPr>
            <w:tcW w:w="748" w:type="pct"/>
            <w:vAlign w:val="center"/>
          </w:tcPr>
          <w:p w:rsidR="00EE56C0" w:rsidRDefault="000F36A1">
            <w:pPr>
              <w:pStyle w:val="afa"/>
            </w:pPr>
            <w:r>
              <w:t>减振</w:t>
            </w:r>
            <w:r>
              <w:rPr>
                <w:rFonts w:hint="eastAsia"/>
              </w:rPr>
              <w:t>、厂房</w:t>
            </w:r>
            <w:r>
              <w:t>隔声</w:t>
            </w:r>
          </w:p>
        </w:tc>
        <w:tc>
          <w:tcPr>
            <w:tcW w:w="864" w:type="pct"/>
            <w:vAlign w:val="center"/>
          </w:tcPr>
          <w:p w:rsidR="00EE56C0" w:rsidRDefault="000F36A1">
            <w:pPr>
              <w:pStyle w:val="afa"/>
            </w:pPr>
            <w:r>
              <w:t>45</w:t>
            </w:r>
          </w:p>
        </w:tc>
      </w:tr>
      <w:tr w:rsidR="00EE56C0">
        <w:trPr>
          <w:trHeight w:val="454"/>
          <w:jc w:val="center"/>
        </w:trPr>
        <w:tc>
          <w:tcPr>
            <w:tcW w:w="322" w:type="pct"/>
            <w:vAlign w:val="center"/>
          </w:tcPr>
          <w:p w:rsidR="00EE56C0" w:rsidRDefault="000F36A1">
            <w:pPr>
              <w:pStyle w:val="afa"/>
            </w:pPr>
            <w:r>
              <w:rPr>
                <w:rFonts w:hint="eastAsia"/>
              </w:rPr>
              <w:t>4</w:t>
            </w:r>
          </w:p>
        </w:tc>
        <w:tc>
          <w:tcPr>
            <w:tcW w:w="573" w:type="pct"/>
            <w:vAlign w:val="center"/>
          </w:tcPr>
          <w:p w:rsidR="00EE56C0" w:rsidRDefault="000F36A1">
            <w:pPr>
              <w:pStyle w:val="afa"/>
            </w:pPr>
            <w:r>
              <w:rPr>
                <w:rFonts w:hint="eastAsia"/>
              </w:rPr>
              <w:t>拉包机</w:t>
            </w:r>
          </w:p>
        </w:tc>
        <w:tc>
          <w:tcPr>
            <w:tcW w:w="498" w:type="pct"/>
            <w:vAlign w:val="center"/>
          </w:tcPr>
          <w:p w:rsidR="00EE56C0" w:rsidRDefault="000F36A1">
            <w:pPr>
              <w:pStyle w:val="afa"/>
            </w:pPr>
            <w:r>
              <w:rPr>
                <w:rFonts w:hint="eastAsia"/>
              </w:rPr>
              <w:t>5</w:t>
            </w:r>
          </w:p>
        </w:tc>
        <w:tc>
          <w:tcPr>
            <w:tcW w:w="582" w:type="pct"/>
            <w:vAlign w:val="center"/>
          </w:tcPr>
          <w:p w:rsidR="00EE56C0" w:rsidRDefault="000F36A1">
            <w:pPr>
              <w:pStyle w:val="afa"/>
            </w:pPr>
            <w:r>
              <w:rPr>
                <w:rFonts w:hint="eastAsia"/>
              </w:rPr>
              <w:t>车间内</w:t>
            </w:r>
          </w:p>
        </w:tc>
        <w:tc>
          <w:tcPr>
            <w:tcW w:w="665" w:type="pct"/>
            <w:vAlign w:val="center"/>
          </w:tcPr>
          <w:p w:rsidR="00EE56C0" w:rsidRDefault="000F36A1">
            <w:pPr>
              <w:pStyle w:val="afa"/>
            </w:pPr>
            <w:r>
              <w:rPr>
                <w:rFonts w:hint="eastAsia"/>
              </w:rPr>
              <w:t>75</w:t>
            </w:r>
          </w:p>
        </w:tc>
        <w:tc>
          <w:tcPr>
            <w:tcW w:w="748" w:type="pct"/>
            <w:vAlign w:val="center"/>
          </w:tcPr>
          <w:p w:rsidR="00EE56C0" w:rsidRDefault="000F36A1">
            <w:pPr>
              <w:pStyle w:val="afa"/>
            </w:pPr>
            <w:r>
              <w:rPr>
                <w:rFonts w:hint="eastAsia"/>
              </w:rPr>
              <w:t>82</w:t>
            </w:r>
          </w:p>
        </w:tc>
        <w:tc>
          <w:tcPr>
            <w:tcW w:w="748" w:type="pct"/>
            <w:vAlign w:val="center"/>
          </w:tcPr>
          <w:p w:rsidR="00EE56C0" w:rsidRDefault="000F36A1">
            <w:pPr>
              <w:pStyle w:val="afa"/>
            </w:pPr>
            <w:r>
              <w:t>减振</w:t>
            </w:r>
            <w:r>
              <w:rPr>
                <w:rFonts w:hint="eastAsia"/>
              </w:rPr>
              <w:t>、厂房</w:t>
            </w:r>
            <w:r>
              <w:t>隔声</w:t>
            </w:r>
          </w:p>
        </w:tc>
        <w:tc>
          <w:tcPr>
            <w:tcW w:w="864" w:type="pct"/>
            <w:vAlign w:val="center"/>
          </w:tcPr>
          <w:p w:rsidR="00EE56C0" w:rsidRDefault="000F36A1">
            <w:pPr>
              <w:pStyle w:val="afa"/>
            </w:pPr>
            <w:r>
              <w:t>57</w:t>
            </w:r>
          </w:p>
        </w:tc>
      </w:tr>
      <w:tr w:rsidR="00EE56C0">
        <w:trPr>
          <w:trHeight w:val="454"/>
          <w:jc w:val="center"/>
        </w:trPr>
        <w:tc>
          <w:tcPr>
            <w:tcW w:w="322" w:type="pct"/>
            <w:vAlign w:val="center"/>
          </w:tcPr>
          <w:p w:rsidR="00EE56C0" w:rsidRDefault="000F36A1">
            <w:pPr>
              <w:pStyle w:val="afa"/>
            </w:pPr>
            <w:r>
              <w:rPr>
                <w:rFonts w:hint="eastAsia"/>
              </w:rPr>
              <w:t>5</w:t>
            </w:r>
          </w:p>
        </w:tc>
        <w:tc>
          <w:tcPr>
            <w:tcW w:w="573" w:type="pct"/>
            <w:vAlign w:val="center"/>
          </w:tcPr>
          <w:p w:rsidR="00EE56C0" w:rsidRDefault="000F36A1">
            <w:pPr>
              <w:pStyle w:val="afa"/>
              <w:rPr>
                <w:rFonts w:ascii="Calibri" w:hAnsi="Calibri"/>
              </w:rPr>
            </w:pPr>
            <w:r>
              <w:rPr>
                <w:rFonts w:hint="eastAsia"/>
              </w:rPr>
              <w:t>挤压机</w:t>
            </w:r>
          </w:p>
        </w:tc>
        <w:tc>
          <w:tcPr>
            <w:tcW w:w="498" w:type="pct"/>
            <w:vAlign w:val="center"/>
          </w:tcPr>
          <w:p w:rsidR="00EE56C0" w:rsidRDefault="000F36A1">
            <w:pPr>
              <w:pStyle w:val="afa"/>
            </w:pPr>
            <w:r>
              <w:rPr>
                <w:rFonts w:hint="eastAsia"/>
              </w:rPr>
              <w:t>9</w:t>
            </w:r>
          </w:p>
        </w:tc>
        <w:tc>
          <w:tcPr>
            <w:tcW w:w="582" w:type="pct"/>
            <w:vAlign w:val="center"/>
          </w:tcPr>
          <w:p w:rsidR="00EE56C0" w:rsidRDefault="000F36A1">
            <w:pPr>
              <w:pStyle w:val="afa"/>
            </w:pPr>
            <w:r>
              <w:rPr>
                <w:rFonts w:hint="eastAsia"/>
              </w:rPr>
              <w:t>车间内</w:t>
            </w:r>
          </w:p>
        </w:tc>
        <w:tc>
          <w:tcPr>
            <w:tcW w:w="665" w:type="pct"/>
            <w:vAlign w:val="center"/>
          </w:tcPr>
          <w:p w:rsidR="00EE56C0" w:rsidRDefault="000F36A1">
            <w:pPr>
              <w:pStyle w:val="afa"/>
            </w:pPr>
            <w:r>
              <w:rPr>
                <w:rFonts w:hint="eastAsia"/>
              </w:rPr>
              <w:t>80</w:t>
            </w:r>
          </w:p>
        </w:tc>
        <w:tc>
          <w:tcPr>
            <w:tcW w:w="748" w:type="pct"/>
            <w:vAlign w:val="center"/>
          </w:tcPr>
          <w:p w:rsidR="00EE56C0" w:rsidRDefault="000F36A1">
            <w:pPr>
              <w:pStyle w:val="afa"/>
            </w:pPr>
            <w:r>
              <w:rPr>
                <w:rFonts w:hint="eastAsia"/>
              </w:rPr>
              <w:t>89.5</w:t>
            </w:r>
          </w:p>
        </w:tc>
        <w:tc>
          <w:tcPr>
            <w:tcW w:w="748" w:type="pct"/>
            <w:vAlign w:val="center"/>
          </w:tcPr>
          <w:p w:rsidR="00EE56C0" w:rsidRDefault="000F36A1">
            <w:pPr>
              <w:pStyle w:val="afa"/>
            </w:pPr>
            <w:r>
              <w:t>减振</w:t>
            </w:r>
            <w:r>
              <w:rPr>
                <w:rFonts w:hint="eastAsia"/>
              </w:rPr>
              <w:t>、厂房</w:t>
            </w:r>
            <w:r>
              <w:t>隔声</w:t>
            </w:r>
          </w:p>
        </w:tc>
        <w:tc>
          <w:tcPr>
            <w:tcW w:w="864" w:type="pct"/>
            <w:vAlign w:val="center"/>
          </w:tcPr>
          <w:p w:rsidR="00EE56C0" w:rsidRDefault="000F36A1">
            <w:pPr>
              <w:pStyle w:val="afa"/>
            </w:pPr>
            <w:r>
              <w:t>64.5</w:t>
            </w:r>
          </w:p>
        </w:tc>
      </w:tr>
      <w:tr w:rsidR="00EE56C0">
        <w:trPr>
          <w:trHeight w:val="454"/>
          <w:jc w:val="center"/>
        </w:trPr>
        <w:tc>
          <w:tcPr>
            <w:tcW w:w="322" w:type="pct"/>
            <w:vAlign w:val="center"/>
          </w:tcPr>
          <w:p w:rsidR="00EE56C0" w:rsidRDefault="000F36A1">
            <w:pPr>
              <w:pStyle w:val="afa"/>
            </w:pPr>
            <w:r>
              <w:rPr>
                <w:rFonts w:hint="eastAsia"/>
              </w:rPr>
              <w:t>6</w:t>
            </w:r>
          </w:p>
        </w:tc>
        <w:tc>
          <w:tcPr>
            <w:tcW w:w="573" w:type="pct"/>
            <w:vAlign w:val="center"/>
          </w:tcPr>
          <w:p w:rsidR="00EE56C0" w:rsidRDefault="000F36A1">
            <w:pPr>
              <w:spacing w:line="240" w:lineRule="auto"/>
              <w:ind w:firstLineChars="0" w:firstLine="0"/>
              <w:jc w:val="center"/>
              <w:rPr>
                <w:sz w:val="21"/>
                <w:szCs w:val="21"/>
              </w:rPr>
            </w:pPr>
            <w:r>
              <w:rPr>
                <w:rFonts w:hint="eastAsia"/>
                <w:sz w:val="21"/>
                <w:szCs w:val="21"/>
              </w:rPr>
              <w:t>丝包机</w:t>
            </w:r>
          </w:p>
        </w:tc>
        <w:tc>
          <w:tcPr>
            <w:tcW w:w="498" w:type="pct"/>
            <w:vAlign w:val="center"/>
          </w:tcPr>
          <w:p w:rsidR="00EE56C0" w:rsidRDefault="000F36A1">
            <w:pPr>
              <w:spacing w:line="240" w:lineRule="auto"/>
              <w:ind w:firstLineChars="0" w:firstLine="0"/>
              <w:jc w:val="center"/>
              <w:rPr>
                <w:sz w:val="21"/>
                <w:szCs w:val="21"/>
              </w:rPr>
            </w:pPr>
            <w:r>
              <w:rPr>
                <w:rFonts w:hint="eastAsia"/>
                <w:sz w:val="21"/>
                <w:szCs w:val="21"/>
              </w:rPr>
              <w:t>4</w:t>
            </w:r>
          </w:p>
        </w:tc>
        <w:tc>
          <w:tcPr>
            <w:tcW w:w="582" w:type="pct"/>
            <w:vAlign w:val="center"/>
          </w:tcPr>
          <w:p w:rsidR="00EE56C0" w:rsidRDefault="000F36A1">
            <w:pPr>
              <w:pStyle w:val="afa"/>
            </w:pPr>
            <w:r>
              <w:rPr>
                <w:rFonts w:hint="eastAsia"/>
              </w:rPr>
              <w:t>车间内</w:t>
            </w:r>
          </w:p>
        </w:tc>
        <w:tc>
          <w:tcPr>
            <w:tcW w:w="665" w:type="pct"/>
            <w:vAlign w:val="center"/>
          </w:tcPr>
          <w:p w:rsidR="00EE56C0" w:rsidRDefault="000F36A1">
            <w:pPr>
              <w:pStyle w:val="afa"/>
            </w:pPr>
            <w:r>
              <w:rPr>
                <w:rFonts w:hint="eastAsia"/>
              </w:rPr>
              <w:t>70</w:t>
            </w:r>
          </w:p>
        </w:tc>
        <w:tc>
          <w:tcPr>
            <w:tcW w:w="748" w:type="pct"/>
            <w:vAlign w:val="center"/>
          </w:tcPr>
          <w:p w:rsidR="00EE56C0" w:rsidRDefault="000F36A1">
            <w:pPr>
              <w:pStyle w:val="afa"/>
            </w:pPr>
            <w:r>
              <w:rPr>
                <w:rFonts w:hint="eastAsia"/>
              </w:rPr>
              <w:t>76</w:t>
            </w:r>
          </w:p>
        </w:tc>
        <w:tc>
          <w:tcPr>
            <w:tcW w:w="748" w:type="pct"/>
            <w:vAlign w:val="center"/>
          </w:tcPr>
          <w:p w:rsidR="00EE56C0" w:rsidRDefault="000F36A1">
            <w:pPr>
              <w:pStyle w:val="afa"/>
            </w:pPr>
            <w:r>
              <w:t>减振</w:t>
            </w:r>
            <w:r>
              <w:rPr>
                <w:rFonts w:hint="eastAsia"/>
              </w:rPr>
              <w:t>、厂房</w:t>
            </w:r>
            <w:r>
              <w:t>隔声</w:t>
            </w:r>
          </w:p>
        </w:tc>
        <w:tc>
          <w:tcPr>
            <w:tcW w:w="864" w:type="pct"/>
            <w:vAlign w:val="center"/>
          </w:tcPr>
          <w:p w:rsidR="00EE56C0" w:rsidRDefault="000F36A1">
            <w:pPr>
              <w:pStyle w:val="afa"/>
            </w:pPr>
            <w:r>
              <w:t>51</w:t>
            </w:r>
          </w:p>
        </w:tc>
      </w:tr>
      <w:tr w:rsidR="00EE56C0">
        <w:trPr>
          <w:trHeight w:val="454"/>
          <w:jc w:val="center"/>
        </w:trPr>
        <w:tc>
          <w:tcPr>
            <w:tcW w:w="322" w:type="pct"/>
            <w:vAlign w:val="center"/>
          </w:tcPr>
          <w:p w:rsidR="00EE56C0" w:rsidRDefault="000F36A1">
            <w:pPr>
              <w:pStyle w:val="afa"/>
            </w:pPr>
            <w:r>
              <w:rPr>
                <w:rFonts w:hint="eastAsia"/>
              </w:rPr>
              <w:t>7</w:t>
            </w:r>
          </w:p>
        </w:tc>
        <w:tc>
          <w:tcPr>
            <w:tcW w:w="573" w:type="pct"/>
            <w:vAlign w:val="center"/>
          </w:tcPr>
          <w:p w:rsidR="00EE56C0" w:rsidRDefault="000F36A1">
            <w:pPr>
              <w:spacing w:line="240" w:lineRule="auto"/>
              <w:ind w:firstLineChars="0" w:firstLine="0"/>
              <w:jc w:val="center"/>
              <w:rPr>
                <w:rFonts w:ascii="Calibri" w:hAnsi="Calibri"/>
                <w:sz w:val="21"/>
                <w:szCs w:val="21"/>
              </w:rPr>
            </w:pPr>
            <w:r>
              <w:rPr>
                <w:rFonts w:hint="eastAsia"/>
                <w:sz w:val="21"/>
                <w:szCs w:val="21"/>
              </w:rPr>
              <w:t>纸包机</w:t>
            </w:r>
          </w:p>
        </w:tc>
        <w:tc>
          <w:tcPr>
            <w:tcW w:w="498" w:type="pct"/>
            <w:vAlign w:val="center"/>
          </w:tcPr>
          <w:p w:rsidR="00EE56C0" w:rsidRDefault="000F36A1">
            <w:pPr>
              <w:spacing w:line="240" w:lineRule="auto"/>
              <w:ind w:firstLineChars="0" w:firstLine="0"/>
              <w:jc w:val="center"/>
              <w:rPr>
                <w:rFonts w:ascii="Calibri" w:hAnsi="Calibri"/>
                <w:sz w:val="21"/>
                <w:szCs w:val="21"/>
              </w:rPr>
            </w:pPr>
            <w:r>
              <w:rPr>
                <w:sz w:val="21"/>
                <w:szCs w:val="21"/>
              </w:rPr>
              <w:t>4</w:t>
            </w:r>
          </w:p>
        </w:tc>
        <w:tc>
          <w:tcPr>
            <w:tcW w:w="582" w:type="pct"/>
            <w:vAlign w:val="center"/>
          </w:tcPr>
          <w:p w:rsidR="00EE56C0" w:rsidRDefault="000F36A1">
            <w:pPr>
              <w:pStyle w:val="afa"/>
            </w:pPr>
            <w:r>
              <w:rPr>
                <w:rFonts w:hint="eastAsia"/>
              </w:rPr>
              <w:t>车间内</w:t>
            </w:r>
          </w:p>
        </w:tc>
        <w:tc>
          <w:tcPr>
            <w:tcW w:w="665" w:type="pct"/>
            <w:vAlign w:val="center"/>
          </w:tcPr>
          <w:p w:rsidR="00EE56C0" w:rsidRDefault="000F36A1">
            <w:pPr>
              <w:pStyle w:val="afa"/>
            </w:pPr>
            <w:r>
              <w:rPr>
                <w:rFonts w:hint="eastAsia"/>
              </w:rPr>
              <w:t>75</w:t>
            </w:r>
          </w:p>
        </w:tc>
        <w:tc>
          <w:tcPr>
            <w:tcW w:w="748" w:type="pct"/>
            <w:vAlign w:val="center"/>
          </w:tcPr>
          <w:p w:rsidR="00EE56C0" w:rsidRDefault="000F36A1">
            <w:pPr>
              <w:pStyle w:val="afa"/>
            </w:pPr>
            <w:r>
              <w:rPr>
                <w:rFonts w:hint="eastAsia"/>
              </w:rPr>
              <w:t>81</w:t>
            </w:r>
          </w:p>
        </w:tc>
        <w:tc>
          <w:tcPr>
            <w:tcW w:w="748" w:type="pct"/>
            <w:vAlign w:val="center"/>
          </w:tcPr>
          <w:p w:rsidR="00EE56C0" w:rsidRDefault="000F36A1">
            <w:pPr>
              <w:pStyle w:val="afa"/>
            </w:pPr>
            <w:r>
              <w:t>减振</w:t>
            </w:r>
            <w:r>
              <w:rPr>
                <w:rFonts w:hint="eastAsia"/>
              </w:rPr>
              <w:t>、厂房</w:t>
            </w:r>
            <w:r>
              <w:t>隔声</w:t>
            </w:r>
          </w:p>
        </w:tc>
        <w:tc>
          <w:tcPr>
            <w:tcW w:w="864" w:type="pct"/>
            <w:vAlign w:val="center"/>
          </w:tcPr>
          <w:p w:rsidR="00EE56C0" w:rsidRDefault="000F36A1">
            <w:pPr>
              <w:pStyle w:val="afa"/>
            </w:pPr>
            <w:r>
              <w:t>56</w:t>
            </w:r>
          </w:p>
        </w:tc>
      </w:tr>
      <w:tr w:rsidR="00EE56C0">
        <w:trPr>
          <w:trHeight w:val="454"/>
          <w:jc w:val="center"/>
        </w:trPr>
        <w:tc>
          <w:tcPr>
            <w:tcW w:w="322" w:type="pct"/>
            <w:vAlign w:val="center"/>
          </w:tcPr>
          <w:p w:rsidR="00EE56C0" w:rsidRDefault="000F36A1">
            <w:pPr>
              <w:pStyle w:val="afa"/>
            </w:pPr>
            <w:r>
              <w:rPr>
                <w:rFonts w:hint="eastAsia"/>
              </w:rPr>
              <w:t>8</w:t>
            </w:r>
          </w:p>
        </w:tc>
        <w:tc>
          <w:tcPr>
            <w:tcW w:w="573" w:type="pct"/>
            <w:vAlign w:val="center"/>
          </w:tcPr>
          <w:p w:rsidR="00EE56C0" w:rsidRDefault="000F36A1">
            <w:pPr>
              <w:spacing w:line="240" w:lineRule="auto"/>
              <w:ind w:firstLineChars="0" w:firstLine="0"/>
              <w:jc w:val="center"/>
              <w:rPr>
                <w:sz w:val="21"/>
                <w:szCs w:val="21"/>
              </w:rPr>
            </w:pPr>
            <w:r>
              <w:rPr>
                <w:rFonts w:hint="eastAsia"/>
                <w:sz w:val="21"/>
                <w:szCs w:val="21"/>
              </w:rPr>
              <w:t>烧结机</w:t>
            </w:r>
          </w:p>
        </w:tc>
        <w:tc>
          <w:tcPr>
            <w:tcW w:w="498" w:type="pct"/>
            <w:vAlign w:val="center"/>
          </w:tcPr>
          <w:p w:rsidR="00EE56C0" w:rsidRDefault="000F36A1">
            <w:pPr>
              <w:spacing w:line="240" w:lineRule="auto"/>
              <w:ind w:firstLineChars="0" w:firstLine="0"/>
              <w:jc w:val="center"/>
              <w:rPr>
                <w:sz w:val="21"/>
                <w:szCs w:val="21"/>
              </w:rPr>
            </w:pPr>
            <w:r>
              <w:rPr>
                <w:rFonts w:hint="eastAsia"/>
                <w:sz w:val="21"/>
                <w:szCs w:val="21"/>
              </w:rPr>
              <w:t>2</w:t>
            </w:r>
          </w:p>
        </w:tc>
        <w:tc>
          <w:tcPr>
            <w:tcW w:w="582" w:type="pct"/>
            <w:vAlign w:val="center"/>
          </w:tcPr>
          <w:p w:rsidR="00EE56C0" w:rsidRDefault="000F36A1">
            <w:pPr>
              <w:pStyle w:val="afa"/>
            </w:pPr>
            <w:r>
              <w:rPr>
                <w:rFonts w:hint="eastAsia"/>
              </w:rPr>
              <w:t>车间内</w:t>
            </w:r>
          </w:p>
        </w:tc>
        <w:tc>
          <w:tcPr>
            <w:tcW w:w="665" w:type="pct"/>
            <w:vAlign w:val="center"/>
          </w:tcPr>
          <w:p w:rsidR="00EE56C0" w:rsidRDefault="000F36A1">
            <w:pPr>
              <w:pStyle w:val="afa"/>
            </w:pPr>
            <w:r>
              <w:rPr>
                <w:rFonts w:hint="eastAsia"/>
              </w:rPr>
              <w:t>70</w:t>
            </w:r>
          </w:p>
        </w:tc>
        <w:tc>
          <w:tcPr>
            <w:tcW w:w="748" w:type="pct"/>
            <w:vAlign w:val="center"/>
          </w:tcPr>
          <w:p w:rsidR="00EE56C0" w:rsidRDefault="000F36A1">
            <w:pPr>
              <w:pStyle w:val="afa"/>
            </w:pPr>
            <w:r>
              <w:rPr>
                <w:rFonts w:hint="eastAsia"/>
              </w:rPr>
              <w:t>73</w:t>
            </w:r>
          </w:p>
        </w:tc>
        <w:tc>
          <w:tcPr>
            <w:tcW w:w="748" w:type="pct"/>
            <w:vAlign w:val="center"/>
          </w:tcPr>
          <w:p w:rsidR="00EE56C0" w:rsidRDefault="000F36A1">
            <w:pPr>
              <w:pStyle w:val="afa"/>
            </w:pPr>
            <w:r>
              <w:t>减振</w:t>
            </w:r>
            <w:r>
              <w:rPr>
                <w:rFonts w:hint="eastAsia"/>
              </w:rPr>
              <w:t>、厂房</w:t>
            </w:r>
            <w:r>
              <w:t>隔声</w:t>
            </w:r>
          </w:p>
        </w:tc>
        <w:tc>
          <w:tcPr>
            <w:tcW w:w="864" w:type="pct"/>
            <w:vAlign w:val="center"/>
          </w:tcPr>
          <w:p w:rsidR="00EE56C0" w:rsidRDefault="000F36A1">
            <w:pPr>
              <w:pStyle w:val="afa"/>
            </w:pPr>
            <w:r>
              <w:t>48</w:t>
            </w:r>
          </w:p>
        </w:tc>
      </w:tr>
      <w:tr w:rsidR="00EE56C0">
        <w:trPr>
          <w:trHeight w:val="454"/>
          <w:jc w:val="center"/>
        </w:trPr>
        <w:tc>
          <w:tcPr>
            <w:tcW w:w="322" w:type="pct"/>
            <w:vAlign w:val="center"/>
          </w:tcPr>
          <w:p w:rsidR="00EE56C0" w:rsidRDefault="000F36A1">
            <w:pPr>
              <w:pStyle w:val="afa"/>
            </w:pPr>
            <w:r>
              <w:rPr>
                <w:rFonts w:hint="eastAsia"/>
              </w:rPr>
              <w:t>9</w:t>
            </w:r>
          </w:p>
        </w:tc>
        <w:tc>
          <w:tcPr>
            <w:tcW w:w="573" w:type="pct"/>
            <w:vAlign w:val="center"/>
          </w:tcPr>
          <w:p w:rsidR="00EE56C0" w:rsidRDefault="000F36A1">
            <w:pPr>
              <w:spacing w:line="240" w:lineRule="auto"/>
              <w:ind w:firstLineChars="0" w:firstLine="0"/>
              <w:jc w:val="center"/>
              <w:rPr>
                <w:sz w:val="21"/>
                <w:szCs w:val="21"/>
              </w:rPr>
            </w:pPr>
            <w:r>
              <w:rPr>
                <w:rFonts w:hint="eastAsia"/>
                <w:sz w:val="21"/>
                <w:szCs w:val="21"/>
              </w:rPr>
              <w:t>膜包机</w:t>
            </w:r>
          </w:p>
        </w:tc>
        <w:tc>
          <w:tcPr>
            <w:tcW w:w="498" w:type="pct"/>
            <w:vAlign w:val="center"/>
          </w:tcPr>
          <w:p w:rsidR="00EE56C0" w:rsidRDefault="000F36A1">
            <w:pPr>
              <w:spacing w:line="240" w:lineRule="auto"/>
              <w:ind w:firstLineChars="0" w:firstLine="0"/>
              <w:jc w:val="center"/>
              <w:rPr>
                <w:sz w:val="21"/>
                <w:szCs w:val="21"/>
              </w:rPr>
            </w:pPr>
            <w:r>
              <w:rPr>
                <w:rFonts w:hint="eastAsia"/>
                <w:sz w:val="21"/>
                <w:szCs w:val="21"/>
              </w:rPr>
              <w:t>1</w:t>
            </w:r>
          </w:p>
        </w:tc>
        <w:tc>
          <w:tcPr>
            <w:tcW w:w="582" w:type="pct"/>
            <w:vAlign w:val="center"/>
          </w:tcPr>
          <w:p w:rsidR="00EE56C0" w:rsidRDefault="000F36A1">
            <w:pPr>
              <w:pStyle w:val="afa"/>
            </w:pPr>
            <w:r>
              <w:rPr>
                <w:rFonts w:hint="eastAsia"/>
              </w:rPr>
              <w:t>车间内</w:t>
            </w:r>
          </w:p>
        </w:tc>
        <w:tc>
          <w:tcPr>
            <w:tcW w:w="665" w:type="pct"/>
            <w:vAlign w:val="center"/>
          </w:tcPr>
          <w:p w:rsidR="00EE56C0" w:rsidRDefault="000F36A1">
            <w:pPr>
              <w:pStyle w:val="afa"/>
            </w:pPr>
            <w:r>
              <w:rPr>
                <w:rFonts w:hint="eastAsia"/>
              </w:rPr>
              <w:t>70</w:t>
            </w:r>
          </w:p>
        </w:tc>
        <w:tc>
          <w:tcPr>
            <w:tcW w:w="748" w:type="pct"/>
            <w:vAlign w:val="center"/>
          </w:tcPr>
          <w:p w:rsidR="00EE56C0" w:rsidRDefault="000F36A1">
            <w:pPr>
              <w:pStyle w:val="afa"/>
            </w:pPr>
            <w:r>
              <w:rPr>
                <w:rFonts w:hint="eastAsia"/>
              </w:rPr>
              <w:t>70</w:t>
            </w:r>
          </w:p>
        </w:tc>
        <w:tc>
          <w:tcPr>
            <w:tcW w:w="748" w:type="pct"/>
            <w:vAlign w:val="center"/>
          </w:tcPr>
          <w:p w:rsidR="00EE56C0" w:rsidRDefault="000F36A1">
            <w:pPr>
              <w:pStyle w:val="afa"/>
            </w:pPr>
            <w:r>
              <w:t>减振</w:t>
            </w:r>
            <w:r>
              <w:rPr>
                <w:rFonts w:hint="eastAsia"/>
              </w:rPr>
              <w:t>、厂房</w:t>
            </w:r>
            <w:r>
              <w:t>隔声</w:t>
            </w:r>
          </w:p>
        </w:tc>
        <w:tc>
          <w:tcPr>
            <w:tcW w:w="864" w:type="pct"/>
            <w:vAlign w:val="center"/>
          </w:tcPr>
          <w:p w:rsidR="00EE56C0" w:rsidRDefault="000F36A1">
            <w:pPr>
              <w:pStyle w:val="afa"/>
            </w:pPr>
            <w:r>
              <w:t>45</w:t>
            </w:r>
          </w:p>
        </w:tc>
      </w:tr>
      <w:tr w:rsidR="00EE56C0">
        <w:trPr>
          <w:trHeight w:val="454"/>
          <w:jc w:val="center"/>
        </w:trPr>
        <w:tc>
          <w:tcPr>
            <w:tcW w:w="322" w:type="pct"/>
            <w:vAlign w:val="center"/>
          </w:tcPr>
          <w:p w:rsidR="00EE56C0" w:rsidRDefault="000F36A1">
            <w:pPr>
              <w:pStyle w:val="afa"/>
            </w:pPr>
            <w:r>
              <w:rPr>
                <w:rFonts w:hint="eastAsia"/>
              </w:rPr>
              <w:t>10</w:t>
            </w:r>
          </w:p>
        </w:tc>
        <w:tc>
          <w:tcPr>
            <w:tcW w:w="573" w:type="pct"/>
            <w:vAlign w:val="center"/>
          </w:tcPr>
          <w:p w:rsidR="00EE56C0" w:rsidRDefault="000F36A1">
            <w:pPr>
              <w:spacing w:line="240" w:lineRule="auto"/>
              <w:ind w:firstLineChars="0" w:firstLine="0"/>
              <w:jc w:val="center"/>
              <w:rPr>
                <w:sz w:val="21"/>
                <w:szCs w:val="21"/>
              </w:rPr>
            </w:pPr>
            <w:r>
              <w:rPr>
                <w:rFonts w:hint="eastAsia"/>
                <w:sz w:val="21"/>
                <w:szCs w:val="21"/>
              </w:rPr>
              <w:t>自动包装机器人</w:t>
            </w:r>
          </w:p>
        </w:tc>
        <w:tc>
          <w:tcPr>
            <w:tcW w:w="498" w:type="pct"/>
            <w:vAlign w:val="center"/>
          </w:tcPr>
          <w:p w:rsidR="00EE56C0" w:rsidRDefault="000F36A1">
            <w:pPr>
              <w:spacing w:line="240" w:lineRule="auto"/>
              <w:ind w:firstLineChars="0" w:firstLine="0"/>
              <w:jc w:val="center"/>
              <w:rPr>
                <w:sz w:val="21"/>
                <w:szCs w:val="21"/>
              </w:rPr>
            </w:pPr>
            <w:r>
              <w:rPr>
                <w:rFonts w:hint="eastAsia"/>
                <w:sz w:val="21"/>
                <w:szCs w:val="21"/>
              </w:rPr>
              <w:t>1</w:t>
            </w:r>
          </w:p>
        </w:tc>
        <w:tc>
          <w:tcPr>
            <w:tcW w:w="582" w:type="pct"/>
            <w:vAlign w:val="center"/>
          </w:tcPr>
          <w:p w:rsidR="00EE56C0" w:rsidRDefault="000F36A1">
            <w:pPr>
              <w:pStyle w:val="afa"/>
            </w:pPr>
            <w:r>
              <w:rPr>
                <w:rFonts w:hint="eastAsia"/>
              </w:rPr>
              <w:t>车间内</w:t>
            </w:r>
          </w:p>
        </w:tc>
        <w:tc>
          <w:tcPr>
            <w:tcW w:w="665" w:type="pct"/>
            <w:vAlign w:val="center"/>
          </w:tcPr>
          <w:p w:rsidR="00EE56C0" w:rsidRDefault="000F36A1">
            <w:pPr>
              <w:pStyle w:val="afa"/>
            </w:pPr>
            <w:r>
              <w:rPr>
                <w:rFonts w:hint="eastAsia"/>
              </w:rPr>
              <w:t>70</w:t>
            </w:r>
          </w:p>
        </w:tc>
        <w:tc>
          <w:tcPr>
            <w:tcW w:w="748" w:type="pct"/>
            <w:vAlign w:val="center"/>
          </w:tcPr>
          <w:p w:rsidR="00EE56C0" w:rsidRDefault="000F36A1">
            <w:pPr>
              <w:pStyle w:val="afa"/>
            </w:pPr>
            <w:r>
              <w:rPr>
                <w:rFonts w:hint="eastAsia"/>
              </w:rPr>
              <w:t>70</w:t>
            </w:r>
          </w:p>
        </w:tc>
        <w:tc>
          <w:tcPr>
            <w:tcW w:w="748" w:type="pct"/>
            <w:vAlign w:val="center"/>
          </w:tcPr>
          <w:p w:rsidR="00EE56C0" w:rsidRDefault="000F36A1">
            <w:pPr>
              <w:pStyle w:val="afa"/>
            </w:pPr>
            <w:r>
              <w:t>减振</w:t>
            </w:r>
            <w:r>
              <w:rPr>
                <w:rFonts w:hint="eastAsia"/>
              </w:rPr>
              <w:t>、厂房</w:t>
            </w:r>
            <w:r>
              <w:t>隔声</w:t>
            </w:r>
          </w:p>
        </w:tc>
        <w:tc>
          <w:tcPr>
            <w:tcW w:w="864" w:type="pct"/>
            <w:vAlign w:val="center"/>
          </w:tcPr>
          <w:p w:rsidR="00EE56C0" w:rsidRDefault="000F36A1">
            <w:pPr>
              <w:pStyle w:val="afa"/>
            </w:pPr>
            <w:r>
              <w:t>45</w:t>
            </w:r>
          </w:p>
        </w:tc>
      </w:tr>
    </w:tbl>
    <w:p w:rsidR="00EE56C0" w:rsidRDefault="000F36A1">
      <w:pPr>
        <w:pStyle w:val="afd"/>
        <w:spacing w:before="120" w:after="120"/>
        <w:ind w:firstLine="482"/>
      </w:pPr>
      <w:r>
        <w:t>表</w:t>
      </w:r>
      <w:r>
        <w:rPr>
          <w:rFonts w:hint="eastAsia"/>
        </w:rPr>
        <w:t xml:space="preserve">3-60            </w:t>
      </w:r>
      <w:r>
        <w:rPr>
          <w:rFonts w:hint="eastAsia"/>
        </w:rPr>
        <w:t>二期</w:t>
      </w:r>
      <w:r>
        <w:t>主要噪声源及排放情况</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549"/>
        <w:gridCol w:w="977"/>
        <w:gridCol w:w="849"/>
        <w:gridCol w:w="993"/>
        <w:gridCol w:w="1134"/>
        <w:gridCol w:w="1276"/>
        <w:gridCol w:w="1276"/>
        <w:gridCol w:w="1474"/>
      </w:tblGrid>
      <w:tr w:rsidR="00EE56C0">
        <w:trPr>
          <w:trHeight w:val="454"/>
          <w:jc w:val="center"/>
        </w:trPr>
        <w:tc>
          <w:tcPr>
            <w:tcW w:w="322" w:type="pct"/>
            <w:vAlign w:val="center"/>
          </w:tcPr>
          <w:p w:rsidR="00EE56C0" w:rsidRDefault="000F36A1">
            <w:pPr>
              <w:pStyle w:val="aff1"/>
              <w:rPr>
                <w:color w:val="auto"/>
              </w:rPr>
            </w:pPr>
            <w:r>
              <w:rPr>
                <w:color w:val="auto"/>
              </w:rPr>
              <w:t>序号</w:t>
            </w:r>
          </w:p>
        </w:tc>
        <w:tc>
          <w:tcPr>
            <w:tcW w:w="573" w:type="pct"/>
            <w:vAlign w:val="center"/>
          </w:tcPr>
          <w:p w:rsidR="00EE56C0" w:rsidRDefault="000F36A1">
            <w:pPr>
              <w:pStyle w:val="aff1"/>
              <w:rPr>
                <w:color w:val="auto"/>
              </w:rPr>
            </w:pPr>
            <w:r>
              <w:rPr>
                <w:color w:val="auto"/>
              </w:rPr>
              <w:t>设备</w:t>
            </w:r>
          </w:p>
          <w:p w:rsidR="00EE56C0" w:rsidRDefault="000F36A1">
            <w:pPr>
              <w:pStyle w:val="aff1"/>
              <w:rPr>
                <w:color w:val="auto"/>
              </w:rPr>
            </w:pPr>
            <w:r>
              <w:rPr>
                <w:color w:val="auto"/>
              </w:rPr>
              <w:t>名称</w:t>
            </w:r>
          </w:p>
        </w:tc>
        <w:tc>
          <w:tcPr>
            <w:tcW w:w="498" w:type="pct"/>
            <w:vAlign w:val="center"/>
          </w:tcPr>
          <w:p w:rsidR="00EE56C0" w:rsidRDefault="000F36A1">
            <w:pPr>
              <w:pStyle w:val="aff1"/>
              <w:rPr>
                <w:color w:val="auto"/>
              </w:rPr>
            </w:pPr>
            <w:r>
              <w:rPr>
                <w:color w:val="auto"/>
              </w:rPr>
              <w:t>数量</w:t>
            </w:r>
          </w:p>
          <w:p w:rsidR="00EE56C0" w:rsidRDefault="000F36A1">
            <w:pPr>
              <w:pStyle w:val="aff1"/>
              <w:rPr>
                <w:color w:val="auto"/>
              </w:rPr>
            </w:pPr>
            <w:r>
              <w:rPr>
                <w:color w:val="auto"/>
              </w:rPr>
              <w:t>（台）</w:t>
            </w:r>
          </w:p>
        </w:tc>
        <w:tc>
          <w:tcPr>
            <w:tcW w:w="582" w:type="pct"/>
            <w:vAlign w:val="center"/>
          </w:tcPr>
          <w:p w:rsidR="00EE56C0" w:rsidRDefault="000F36A1">
            <w:pPr>
              <w:pStyle w:val="aff1"/>
              <w:rPr>
                <w:color w:val="auto"/>
              </w:rPr>
            </w:pPr>
            <w:r>
              <w:rPr>
                <w:color w:val="auto"/>
              </w:rPr>
              <w:t>位置</w:t>
            </w:r>
          </w:p>
        </w:tc>
        <w:tc>
          <w:tcPr>
            <w:tcW w:w="665" w:type="pct"/>
            <w:vAlign w:val="center"/>
          </w:tcPr>
          <w:p w:rsidR="00EE56C0" w:rsidRDefault="000F36A1">
            <w:pPr>
              <w:pStyle w:val="aff1"/>
              <w:rPr>
                <w:color w:val="auto"/>
              </w:rPr>
            </w:pPr>
            <w:r>
              <w:rPr>
                <w:color w:val="auto"/>
              </w:rPr>
              <w:t>噪声</w:t>
            </w:r>
            <w:r>
              <w:rPr>
                <w:rFonts w:hint="eastAsia"/>
                <w:color w:val="auto"/>
              </w:rPr>
              <w:t>源强</w:t>
            </w:r>
            <w:r>
              <w:rPr>
                <w:color w:val="auto"/>
              </w:rPr>
              <w:t>[dB(A)]</w:t>
            </w:r>
          </w:p>
        </w:tc>
        <w:tc>
          <w:tcPr>
            <w:tcW w:w="748" w:type="pct"/>
            <w:vAlign w:val="center"/>
          </w:tcPr>
          <w:p w:rsidR="00EE56C0" w:rsidRDefault="000F36A1">
            <w:pPr>
              <w:pStyle w:val="aff1"/>
              <w:rPr>
                <w:color w:val="auto"/>
              </w:rPr>
            </w:pPr>
            <w:r>
              <w:rPr>
                <w:rFonts w:hint="eastAsia"/>
                <w:color w:val="auto"/>
              </w:rPr>
              <w:t>噪声叠加值</w:t>
            </w:r>
            <w:r>
              <w:rPr>
                <w:color w:val="auto"/>
              </w:rPr>
              <w:t>[dB(A)]</w:t>
            </w:r>
          </w:p>
        </w:tc>
        <w:tc>
          <w:tcPr>
            <w:tcW w:w="748" w:type="pct"/>
            <w:vAlign w:val="center"/>
          </w:tcPr>
          <w:p w:rsidR="00EE56C0" w:rsidRDefault="000F36A1">
            <w:pPr>
              <w:pStyle w:val="aff1"/>
              <w:rPr>
                <w:color w:val="auto"/>
              </w:rPr>
            </w:pPr>
            <w:r>
              <w:rPr>
                <w:color w:val="auto"/>
              </w:rPr>
              <w:t>降噪措施</w:t>
            </w:r>
          </w:p>
        </w:tc>
        <w:tc>
          <w:tcPr>
            <w:tcW w:w="864" w:type="pct"/>
            <w:vAlign w:val="center"/>
          </w:tcPr>
          <w:p w:rsidR="00EE56C0" w:rsidRDefault="000F36A1">
            <w:pPr>
              <w:pStyle w:val="aff1"/>
              <w:rPr>
                <w:color w:val="auto"/>
              </w:rPr>
            </w:pPr>
            <w:r>
              <w:rPr>
                <w:color w:val="auto"/>
              </w:rPr>
              <w:t>治理后噪声值</w:t>
            </w:r>
            <w:r>
              <w:rPr>
                <w:color w:val="auto"/>
              </w:rPr>
              <w:t>[dB(A)]</w:t>
            </w:r>
          </w:p>
        </w:tc>
      </w:tr>
      <w:tr w:rsidR="00EE56C0">
        <w:trPr>
          <w:trHeight w:val="454"/>
          <w:jc w:val="center"/>
        </w:trPr>
        <w:tc>
          <w:tcPr>
            <w:tcW w:w="322" w:type="pct"/>
            <w:vAlign w:val="center"/>
          </w:tcPr>
          <w:p w:rsidR="00EE56C0" w:rsidRDefault="000F36A1">
            <w:pPr>
              <w:pStyle w:val="afa"/>
            </w:pPr>
            <w:r>
              <w:rPr>
                <w:rFonts w:hint="eastAsia"/>
              </w:rPr>
              <w:t>1</w:t>
            </w:r>
          </w:p>
        </w:tc>
        <w:tc>
          <w:tcPr>
            <w:tcW w:w="573" w:type="pct"/>
            <w:vAlign w:val="center"/>
          </w:tcPr>
          <w:p w:rsidR="00EE56C0" w:rsidRDefault="000F36A1">
            <w:pPr>
              <w:pStyle w:val="afa"/>
              <w:rPr>
                <w:rFonts w:ascii="Calibri" w:hAnsi="Calibri"/>
              </w:rPr>
            </w:pPr>
            <w:r>
              <w:rPr>
                <w:rFonts w:hint="eastAsia"/>
              </w:rPr>
              <w:t>拉拔机</w:t>
            </w:r>
          </w:p>
        </w:tc>
        <w:tc>
          <w:tcPr>
            <w:tcW w:w="498" w:type="pct"/>
            <w:vAlign w:val="center"/>
          </w:tcPr>
          <w:p w:rsidR="00EE56C0" w:rsidRDefault="000F36A1">
            <w:pPr>
              <w:pStyle w:val="afa"/>
            </w:pPr>
            <w:r>
              <w:rPr>
                <w:rFonts w:hint="eastAsia"/>
              </w:rPr>
              <w:t>4</w:t>
            </w:r>
          </w:p>
        </w:tc>
        <w:tc>
          <w:tcPr>
            <w:tcW w:w="582" w:type="pct"/>
            <w:vAlign w:val="center"/>
          </w:tcPr>
          <w:p w:rsidR="00EE56C0" w:rsidRDefault="000F36A1">
            <w:pPr>
              <w:pStyle w:val="afa"/>
            </w:pPr>
            <w:r>
              <w:rPr>
                <w:rFonts w:hint="eastAsia"/>
              </w:rPr>
              <w:t>车间内</w:t>
            </w:r>
          </w:p>
        </w:tc>
        <w:tc>
          <w:tcPr>
            <w:tcW w:w="665" w:type="pct"/>
            <w:vAlign w:val="center"/>
          </w:tcPr>
          <w:p w:rsidR="00EE56C0" w:rsidRDefault="000F36A1">
            <w:pPr>
              <w:pStyle w:val="afa"/>
            </w:pPr>
            <w:r>
              <w:rPr>
                <w:rFonts w:hint="eastAsia"/>
              </w:rPr>
              <w:t>75</w:t>
            </w:r>
          </w:p>
        </w:tc>
        <w:tc>
          <w:tcPr>
            <w:tcW w:w="748" w:type="pct"/>
            <w:vAlign w:val="center"/>
          </w:tcPr>
          <w:p w:rsidR="00EE56C0" w:rsidRDefault="000F36A1">
            <w:pPr>
              <w:pStyle w:val="afa"/>
            </w:pPr>
            <w:r>
              <w:rPr>
                <w:rFonts w:hint="eastAsia"/>
              </w:rPr>
              <w:t>81</w:t>
            </w:r>
          </w:p>
        </w:tc>
        <w:tc>
          <w:tcPr>
            <w:tcW w:w="748" w:type="pct"/>
            <w:vAlign w:val="center"/>
          </w:tcPr>
          <w:p w:rsidR="00EE56C0" w:rsidRDefault="000F36A1">
            <w:pPr>
              <w:pStyle w:val="afa"/>
            </w:pPr>
            <w:r>
              <w:t>减振</w:t>
            </w:r>
            <w:r>
              <w:rPr>
                <w:rFonts w:hint="eastAsia"/>
              </w:rPr>
              <w:t>、厂房</w:t>
            </w:r>
            <w:r>
              <w:t>隔声</w:t>
            </w:r>
          </w:p>
        </w:tc>
        <w:tc>
          <w:tcPr>
            <w:tcW w:w="864" w:type="pct"/>
            <w:vAlign w:val="center"/>
          </w:tcPr>
          <w:p w:rsidR="00EE56C0" w:rsidRDefault="000F36A1">
            <w:pPr>
              <w:pStyle w:val="afa"/>
            </w:pPr>
            <w:r>
              <w:t>56</w:t>
            </w:r>
          </w:p>
        </w:tc>
      </w:tr>
      <w:tr w:rsidR="00EE56C0">
        <w:trPr>
          <w:trHeight w:val="454"/>
          <w:jc w:val="center"/>
        </w:trPr>
        <w:tc>
          <w:tcPr>
            <w:tcW w:w="322" w:type="pct"/>
            <w:vAlign w:val="center"/>
          </w:tcPr>
          <w:p w:rsidR="00EE56C0" w:rsidRDefault="000F36A1">
            <w:pPr>
              <w:pStyle w:val="afa"/>
            </w:pPr>
            <w:r>
              <w:rPr>
                <w:rFonts w:hint="eastAsia"/>
              </w:rPr>
              <w:t>2</w:t>
            </w:r>
          </w:p>
        </w:tc>
        <w:tc>
          <w:tcPr>
            <w:tcW w:w="573" w:type="pct"/>
            <w:vAlign w:val="center"/>
          </w:tcPr>
          <w:p w:rsidR="00EE56C0" w:rsidRDefault="000F36A1">
            <w:pPr>
              <w:pStyle w:val="afa"/>
              <w:rPr>
                <w:rFonts w:ascii="Calibri" w:hAnsi="Calibri"/>
              </w:rPr>
            </w:pPr>
            <w:r>
              <w:rPr>
                <w:rFonts w:hint="eastAsia"/>
              </w:rPr>
              <w:t>全自动小拉机</w:t>
            </w:r>
          </w:p>
        </w:tc>
        <w:tc>
          <w:tcPr>
            <w:tcW w:w="498" w:type="pct"/>
            <w:vAlign w:val="center"/>
          </w:tcPr>
          <w:p w:rsidR="00EE56C0" w:rsidRDefault="000F36A1">
            <w:pPr>
              <w:pStyle w:val="afa"/>
            </w:pPr>
            <w:r>
              <w:rPr>
                <w:rFonts w:hint="eastAsia"/>
              </w:rPr>
              <w:t>50</w:t>
            </w:r>
          </w:p>
        </w:tc>
        <w:tc>
          <w:tcPr>
            <w:tcW w:w="582" w:type="pct"/>
            <w:vAlign w:val="center"/>
          </w:tcPr>
          <w:p w:rsidR="00EE56C0" w:rsidRDefault="000F36A1">
            <w:pPr>
              <w:pStyle w:val="afa"/>
            </w:pPr>
            <w:r>
              <w:rPr>
                <w:rFonts w:hint="eastAsia"/>
              </w:rPr>
              <w:t>车间内</w:t>
            </w:r>
          </w:p>
        </w:tc>
        <w:tc>
          <w:tcPr>
            <w:tcW w:w="665" w:type="pct"/>
            <w:vAlign w:val="center"/>
          </w:tcPr>
          <w:p w:rsidR="00EE56C0" w:rsidRDefault="000F36A1">
            <w:pPr>
              <w:pStyle w:val="afa"/>
            </w:pPr>
            <w:r>
              <w:rPr>
                <w:rFonts w:hint="eastAsia"/>
              </w:rPr>
              <w:t>75</w:t>
            </w:r>
          </w:p>
        </w:tc>
        <w:tc>
          <w:tcPr>
            <w:tcW w:w="748" w:type="pct"/>
            <w:vAlign w:val="center"/>
          </w:tcPr>
          <w:p w:rsidR="00EE56C0" w:rsidRDefault="000F36A1">
            <w:pPr>
              <w:pStyle w:val="afa"/>
            </w:pPr>
            <w:r>
              <w:rPr>
                <w:rFonts w:hint="eastAsia"/>
              </w:rPr>
              <w:t>92</w:t>
            </w:r>
          </w:p>
        </w:tc>
        <w:tc>
          <w:tcPr>
            <w:tcW w:w="748" w:type="pct"/>
            <w:vAlign w:val="center"/>
          </w:tcPr>
          <w:p w:rsidR="00EE56C0" w:rsidRDefault="000F36A1">
            <w:pPr>
              <w:pStyle w:val="afa"/>
            </w:pPr>
            <w:r>
              <w:t>减振</w:t>
            </w:r>
            <w:r>
              <w:rPr>
                <w:rFonts w:hint="eastAsia"/>
              </w:rPr>
              <w:t>、厂房</w:t>
            </w:r>
            <w:r>
              <w:t>隔声</w:t>
            </w:r>
          </w:p>
        </w:tc>
        <w:tc>
          <w:tcPr>
            <w:tcW w:w="864" w:type="pct"/>
            <w:vAlign w:val="center"/>
          </w:tcPr>
          <w:p w:rsidR="00EE56C0" w:rsidRDefault="000F36A1">
            <w:pPr>
              <w:pStyle w:val="afa"/>
            </w:pPr>
            <w:r>
              <w:t>67</w:t>
            </w:r>
          </w:p>
        </w:tc>
      </w:tr>
      <w:tr w:rsidR="00EE56C0">
        <w:trPr>
          <w:trHeight w:val="454"/>
          <w:jc w:val="center"/>
        </w:trPr>
        <w:tc>
          <w:tcPr>
            <w:tcW w:w="322" w:type="pct"/>
            <w:vAlign w:val="center"/>
          </w:tcPr>
          <w:p w:rsidR="00EE56C0" w:rsidRDefault="000F36A1">
            <w:pPr>
              <w:pStyle w:val="afa"/>
            </w:pPr>
            <w:r>
              <w:rPr>
                <w:rFonts w:hint="eastAsia"/>
              </w:rPr>
              <w:t>3</w:t>
            </w:r>
          </w:p>
        </w:tc>
        <w:tc>
          <w:tcPr>
            <w:tcW w:w="573" w:type="pct"/>
            <w:vAlign w:val="center"/>
          </w:tcPr>
          <w:p w:rsidR="00EE56C0" w:rsidRDefault="000F36A1">
            <w:pPr>
              <w:pStyle w:val="afa"/>
            </w:pPr>
            <w:r>
              <w:rPr>
                <w:rFonts w:hint="eastAsia"/>
              </w:rPr>
              <w:t>漆包机</w:t>
            </w:r>
          </w:p>
        </w:tc>
        <w:tc>
          <w:tcPr>
            <w:tcW w:w="498" w:type="pct"/>
            <w:vAlign w:val="center"/>
          </w:tcPr>
          <w:p w:rsidR="00EE56C0" w:rsidRDefault="000F36A1">
            <w:pPr>
              <w:pStyle w:val="afa"/>
            </w:pPr>
            <w:r>
              <w:rPr>
                <w:rFonts w:hint="eastAsia"/>
              </w:rPr>
              <w:t>3</w:t>
            </w:r>
          </w:p>
        </w:tc>
        <w:tc>
          <w:tcPr>
            <w:tcW w:w="582" w:type="pct"/>
            <w:vAlign w:val="center"/>
          </w:tcPr>
          <w:p w:rsidR="00EE56C0" w:rsidRDefault="000F36A1">
            <w:pPr>
              <w:pStyle w:val="afa"/>
            </w:pPr>
            <w:r>
              <w:rPr>
                <w:rFonts w:hint="eastAsia"/>
              </w:rPr>
              <w:t>车间内</w:t>
            </w:r>
          </w:p>
        </w:tc>
        <w:tc>
          <w:tcPr>
            <w:tcW w:w="665" w:type="pct"/>
            <w:vAlign w:val="center"/>
          </w:tcPr>
          <w:p w:rsidR="00EE56C0" w:rsidRDefault="000F36A1">
            <w:pPr>
              <w:pStyle w:val="afa"/>
            </w:pPr>
            <w:r>
              <w:rPr>
                <w:rFonts w:hint="eastAsia"/>
              </w:rPr>
              <w:t>70</w:t>
            </w:r>
          </w:p>
        </w:tc>
        <w:tc>
          <w:tcPr>
            <w:tcW w:w="748" w:type="pct"/>
            <w:vAlign w:val="center"/>
          </w:tcPr>
          <w:p w:rsidR="00EE56C0" w:rsidRDefault="000F36A1">
            <w:pPr>
              <w:pStyle w:val="afa"/>
            </w:pPr>
            <w:r>
              <w:rPr>
                <w:rFonts w:hint="eastAsia"/>
              </w:rPr>
              <w:t>74.8</w:t>
            </w:r>
          </w:p>
        </w:tc>
        <w:tc>
          <w:tcPr>
            <w:tcW w:w="748" w:type="pct"/>
            <w:vAlign w:val="center"/>
          </w:tcPr>
          <w:p w:rsidR="00EE56C0" w:rsidRDefault="000F36A1">
            <w:pPr>
              <w:pStyle w:val="afa"/>
            </w:pPr>
            <w:r>
              <w:t>减振</w:t>
            </w:r>
            <w:r>
              <w:rPr>
                <w:rFonts w:hint="eastAsia"/>
              </w:rPr>
              <w:t>、厂房</w:t>
            </w:r>
            <w:r>
              <w:t>隔声</w:t>
            </w:r>
          </w:p>
        </w:tc>
        <w:tc>
          <w:tcPr>
            <w:tcW w:w="864" w:type="pct"/>
            <w:vAlign w:val="center"/>
          </w:tcPr>
          <w:p w:rsidR="00EE56C0" w:rsidRDefault="000F36A1">
            <w:pPr>
              <w:pStyle w:val="afa"/>
            </w:pPr>
            <w:r>
              <w:t>49.8</w:t>
            </w:r>
          </w:p>
        </w:tc>
      </w:tr>
      <w:tr w:rsidR="00EE56C0">
        <w:trPr>
          <w:trHeight w:val="454"/>
          <w:jc w:val="center"/>
        </w:trPr>
        <w:tc>
          <w:tcPr>
            <w:tcW w:w="322" w:type="pct"/>
            <w:vAlign w:val="center"/>
          </w:tcPr>
          <w:p w:rsidR="00EE56C0" w:rsidRDefault="000F36A1">
            <w:pPr>
              <w:pStyle w:val="afa"/>
            </w:pPr>
            <w:r>
              <w:rPr>
                <w:rFonts w:hint="eastAsia"/>
              </w:rPr>
              <w:t>4</w:t>
            </w:r>
          </w:p>
        </w:tc>
        <w:tc>
          <w:tcPr>
            <w:tcW w:w="573" w:type="pct"/>
            <w:vAlign w:val="center"/>
          </w:tcPr>
          <w:p w:rsidR="00EE56C0" w:rsidRDefault="000F36A1">
            <w:pPr>
              <w:pStyle w:val="afa"/>
            </w:pPr>
            <w:r>
              <w:rPr>
                <w:rFonts w:hint="eastAsia"/>
              </w:rPr>
              <w:t>拉包机</w:t>
            </w:r>
          </w:p>
        </w:tc>
        <w:tc>
          <w:tcPr>
            <w:tcW w:w="498" w:type="pct"/>
            <w:vAlign w:val="center"/>
          </w:tcPr>
          <w:p w:rsidR="00EE56C0" w:rsidRDefault="000F36A1">
            <w:pPr>
              <w:pStyle w:val="afa"/>
            </w:pPr>
            <w:r>
              <w:rPr>
                <w:rFonts w:hint="eastAsia"/>
              </w:rPr>
              <w:t>14</w:t>
            </w:r>
          </w:p>
        </w:tc>
        <w:tc>
          <w:tcPr>
            <w:tcW w:w="582" w:type="pct"/>
            <w:vAlign w:val="center"/>
          </w:tcPr>
          <w:p w:rsidR="00EE56C0" w:rsidRDefault="000F36A1">
            <w:pPr>
              <w:pStyle w:val="afa"/>
            </w:pPr>
            <w:r>
              <w:rPr>
                <w:rFonts w:hint="eastAsia"/>
              </w:rPr>
              <w:t>车间内</w:t>
            </w:r>
          </w:p>
        </w:tc>
        <w:tc>
          <w:tcPr>
            <w:tcW w:w="665" w:type="pct"/>
            <w:vAlign w:val="center"/>
          </w:tcPr>
          <w:p w:rsidR="00EE56C0" w:rsidRDefault="000F36A1">
            <w:pPr>
              <w:pStyle w:val="afa"/>
            </w:pPr>
            <w:r>
              <w:rPr>
                <w:rFonts w:hint="eastAsia"/>
              </w:rPr>
              <w:t>75</w:t>
            </w:r>
          </w:p>
        </w:tc>
        <w:tc>
          <w:tcPr>
            <w:tcW w:w="748" w:type="pct"/>
            <w:vAlign w:val="center"/>
          </w:tcPr>
          <w:p w:rsidR="00EE56C0" w:rsidRDefault="000F36A1">
            <w:pPr>
              <w:pStyle w:val="afa"/>
            </w:pPr>
            <w:r>
              <w:rPr>
                <w:rFonts w:hint="eastAsia"/>
              </w:rPr>
              <w:t>86.5</w:t>
            </w:r>
          </w:p>
        </w:tc>
        <w:tc>
          <w:tcPr>
            <w:tcW w:w="748" w:type="pct"/>
            <w:vAlign w:val="center"/>
          </w:tcPr>
          <w:p w:rsidR="00EE56C0" w:rsidRDefault="000F36A1">
            <w:pPr>
              <w:pStyle w:val="afa"/>
            </w:pPr>
            <w:r>
              <w:t>减振</w:t>
            </w:r>
            <w:r>
              <w:rPr>
                <w:rFonts w:hint="eastAsia"/>
              </w:rPr>
              <w:t>、厂房</w:t>
            </w:r>
            <w:r>
              <w:t>隔声</w:t>
            </w:r>
          </w:p>
        </w:tc>
        <w:tc>
          <w:tcPr>
            <w:tcW w:w="864" w:type="pct"/>
            <w:vAlign w:val="center"/>
          </w:tcPr>
          <w:p w:rsidR="00EE56C0" w:rsidRDefault="000F36A1">
            <w:pPr>
              <w:pStyle w:val="afa"/>
            </w:pPr>
            <w:r>
              <w:t>61.5</w:t>
            </w:r>
          </w:p>
        </w:tc>
      </w:tr>
      <w:tr w:rsidR="00EE56C0">
        <w:trPr>
          <w:trHeight w:val="454"/>
          <w:jc w:val="center"/>
        </w:trPr>
        <w:tc>
          <w:tcPr>
            <w:tcW w:w="322" w:type="pct"/>
            <w:vAlign w:val="center"/>
          </w:tcPr>
          <w:p w:rsidR="00EE56C0" w:rsidRDefault="000F36A1">
            <w:pPr>
              <w:pStyle w:val="afa"/>
            </w:pPr>
            <w:r>
              <w:rPr>
                <w:rFonts w:hint="eastAsia"/>
              </w:rPr>
              <w:t>5</w:t>
            </w:r>
          </w:p>
        </w:tc>
        <w:tc>
          <w:tcPr>
            <w:tcW w:w="573" w:type="pct"/>
            <w:vAlign w:val="center"/>
          </w:tcPr>
          <w:p w:rsidR="00EE56C0" w:rsidRDefault="000F36A1">
            <w:pPr>
              <w:pStyle w:val="afa"/>
              <w:rPr>
                <w:rFonts w:ascii="Calibri" w:hAnsi="Calibri"/>
              </w:rPr>
            </w:pPr>
            <w:r>
              <w:rPr>
                <w:rFonts w:hint="eastAsia"/>
              </w:rPr>
              <w:t>丝包机</w:t>
            </w:r>
          </w:p>
        </w:tc>
        <w:tc>
          <w:tcPr>
            <w:tcW w:w="498" w:type="pct"/>
            <w:vAlign w:val="center"/>
          </w:tcPr>
          <w:p w:rsidR="00EE56C0" w:rsidRDefault="000F36A1">
            <w:pPr>
              <w:pStyle w:val="afa"/>
            </w:pPr>
            <w:r>
              <w:rPr>
                <w:rFonts w:hint="eastAsia"/>
              </w:rPr>
              <w:t>30</w:t>
            </w:r>
          </w:p>
        </w:tc>
        <w:tc>
          <w:tcPr>
            <w:tcW w:w="582" w:type="pct"/>
            <w:vAlign w:val="center"/>
          </w:tcPr>
          <w:p w:rsidR="00EE56C0" w:rsidRDefault="000F36A1">
            <w:pPr>
              <w:pStyle w:val="afa"/>
            </w:pPr>
            <w:r>
              <w:rPr>
                <w:rFonts w:hint="eastAsia"/>
              </w:rPr>
              <w:t>车间内</w:t>
            </w:r>
          </w:p>
        </w:tc>
        <w:tc>
          <w:tcPr>
            <w:tcW w:w="665" w:type="pct"/>
            <w:vAlign w:val="center"/>
          </w:tcPr>
          <w:p w:rsidR="00EE56C0" w:rsidRDefault="000F36A1">
            <w:pPr>
              <w:pStyle w:val="afa"/>
            </w:pPr>
            <w:r>
              <w:rPr>
                <w:rFonts w:hint="eastAsia"/>
              </w:rPr>
              <w:t>70</w:t>
            </w:r>
          </w:p>
        </w:tc>
        <w:tc>
          <w:tcPr>
            <w:tcW w:w="748" w:type="pct"/>
            <w:vAlign w:val="center"/>
          </w:tcPr>
          <w:p w:rsidR="00EE56C0" w:rsidRDefault="000F36A1">
            <w:pPr>
              <w:pStyle w:val="afa"/>
            </w:pPr>
            <w:r>
              <w:rPr>
                <w:rFonts w:hint="eastAsia"/>
              </w:rPr>
              <w:t>84.8</w:t>
            </w:r>
          </w:p>
        </w:tc>
        <w:tc>
          <w:tcPr>
            <w:tcW w:w="748" w:type="pct"/>
            <w:vAlign w:val="center"/>
          </w:tcPr>
          <w:p w:rsidR="00EE56C0" w:rsidRDefault="000F36A1">
            <w:pPr>
              <w:pStyle w:val="afa"/>
            </w:pPr>
            <w:r>
              <w:t>减振</w:t>
            </w:r>
            <w:r>
              <w:rPr>
                <w:rFonts w:hint="eastAsia"/>
              </w:rPr>
              <w:t>、厂房</w:t>
            </w:r>
            <w:r>
              <w:t>隔声</w:t>
            </w:r>
          </w:p>
        </w:tc>
        <w:tc>
          <w:tcPr>
            <w:tcW w:w="864" w:type="pct"/>
            <w:vAlign w:val="center"/>
          </w:tcPr>
          <w:p w:rsidR="00EE56C0" w:rsidRDefault="000F36A1">
            <w:pPr>
              <w:pStyle w:val="afa"/>
            </w:pPr>
            <w:r>
              <w:t>59.8</w:t>
            </w:r>
          </w:p>
        </w:tc>
      </w:tr>
      <w:tr w:rsidR="00EE56C0">
        <w:trPr>
          <w:trHeight w:val="454"/>
          <w:jc w:val="center"/>
        </w:trPr>
        <w:tc>
          <w:tcPr>
            <w:tcW w:w="322" w:type="pct"/>
            <w:vAlign w:val="center"/>
          </w:tcPr>
          <w:p w:rsidR="00EE56C0" w:rsidRDefault="000F36A1">
            <w:pPr>
              <w:pStyle w:val="afa"/>
            </w:pPr>
            <w:r>
              <w:rPr>
                <w:rFonts w:hint="eastAsia"/>
              </w:rPr>
              <w:t>6</w:t>
            </w:r>
          </w:p>
        </w:tc>
        <w:tc>
          <w:tcPr>
            <w:tcW w:w="573" w:type="pct"/>
            <w:vAlign w:val="center"/>
          </w:tcPr>
          <w:p w:rsidR="00EE56C0" w:rsidRDefault="000F36A1">
            <w:pPr>
              <w:pStyle w:val="afa"/>
            </w:pPr>
            <w:r>
              <w:rPr>
                <w:rFonts w:hint="eastAsia"/>
              </w:rPr>
              <w:t>烧结机</w:t>
            </w:r>
          </w:p>
        </w:tc>
        <w:tc>
          <w:tcPr>
            <w:tcW w:w="498" w:type="pct"/>
            <w:vAlign w:val="center"/>
          </w:tcPr>
          <w:p w:rsidR="00EE56C0" w:rsidRDefault="000F36A1">
            <w:pPr>
              <w:pStyle w:val="afa"/>
            </w:pPr>
            <w:r>
              <w:rPr>
                <w:rFonts w:hint="eastAsia"/>
              </w:rPr>
              <w:t>4</w:t>
            </w:r>
          </w:p>
        </w:tc>
        <w:tc>
          <w:tcPr>
            <w:tcW w:w="582" w:type="pct"/>
            <w:vAlign w:val="center"/>
          </w:tcPr>
          <w:p w:rsidR="00EE56C0" w:rsidRDefault="000F36A1">
            <w:pPr>
              <w:pStyle w:val="afa"/>
            </w:pPr>
            <w:r>
              <w:rPr>
                <w:rFonts w:hint="eastAsia"/>
              </w:rPr>
              <w:t>车间内</w:t>
            </w:r>
          </w:p>
        </w:tc>
        <w:tc>
          <w:tcPr>
            <w:tcW w:w="665" w:type="pct"/>
            <w:vAlign w:val="center"/>
          </w:tcPr>
          <w:p w:rsidR="00EE56C0" w:rsidRDefault="000F36A1">
            <w:pPr>
              <w:pStyle w:val="afa"/>
            </w:pPr>
            <w:r>
              <w:rPr>
                <w:rFonts w:hint="eastAsia"/>
              </w:rPr>
              <w:t>70</w:t>
            </w:r>
          </w:p>
        </w:tc>
        <w:tc>
          <w:tcPr>
            <w:tcW w:w="748" w:type="pct"/>
            <w:vAlign w:val="center"/>
          </w:tcPr>
          <w:p w:rsidR="00EE56C0" w:rsidRDefault="000F36A1">
            <w:pPr>
              <w:pStyle w:val="afa"/>
            </w:pPr>
            <w:r>
              <w:rPr>
                <w:rFonts w:hint="eastAsia"/>
              </w:rPr>
              <w:t>76</w:t>
            </w:r>
          </w:p>
        </w:tc>
        <w:tc>
          <w:tcPr>
            <w:tcW w:w="748" w:type="pct"/>
            <w:vAlign w:val="center"/>
          </w:tcPr>
          <w:p w:rsidR="00EE56C0" w:rsidRDefault="000F36A1">
            <w:pPr>
              <w:pStyle w:val="afa"/>
            </w:pPr>
            <w:r>
              <w:t>减振</w:t>
            </w:r>
            <w:r>
              <w:rPr>
                <w:rFonts w:hint="eastAsia"/>
              </w:rPr>
              <w:t>、厂房</w:t>
            </w:r>
            <w:r>
              <w:t>隔声</w:t>
            </w:r>
          </w:p>
        </w:tc>
        <w:tc>
          <w:tcPr>
            <w:tcW w:w="864" w:type="pct"/>
            <w:vAlign w:val="center"/>
          </w:tcPr>
          <w:p w:rsidR="00EE56C0" w:rsidRDefault="000F36A1">
            <w:pPr>
              <w:pStyle w:val="afa"/>
            </w:pPr>
            <w:r>
              <w:t>51</w:t>
            </w:r>
          </w:p>
        </w:tc>
      </w:tr>
    </w:tbl>
    <w:p w:rsidR="00EE56C0" w:rsidRDefault="000F36A1">
      <w:pPr>
        <w:ind w:firstLine="480"/>
      </w:pPr>
      <w:r>
        <w:rPr>
          <w:rFonts w:hint="eastAsia"/>
        </w:rPr>
        <w:t>经预测（详见第</w:t>
      </w:r>
      <w:r>
        <w:rPr>
          <w:rFonts w:hint="eastAsia"/>
        </w:rPr>
        <w:t>5</w:t>
      </w:r>
      <w:r>
        <w:rPr>
          <w:rFonts w:hint="eastAsia"/>
        </w:rPr>
        <w:t>章），高噪声设备经安装减振装置、房间隔声等措施治理，与现状值叠加后，项目厂区四周均能够达到《工业企业厂界环境噪声排放标准》</w:t>
      </w:r>
      <w:r>
        <w:rPr>
          <w:rFonts w:hint="eastAsia"/>
        </w:rPr>
        <w:lastRenderedPageBreak/>
        <w:t>（</w:t>
      </w:r>
      <w:r>
        <w:rPr>
          <w:rFonts w:hint="eastAsia"/>
        </w:rPr>
        <w:t>GB12348-2008</w:t>
      </w:r>
      <w:r>
        <w:rPr>
          <w:rFonts w:hint="eastAsia"/>
        </w:rPr>
        <w:t>）</w:t>
      </w:r>
      <w:r>
        <w:rPr>
          <w:rFonts w:hint="eastAsia"/>
        </w:rPr>
        <w:t>3</w:t>
      </w:r>
      <w:r>
        <w:rPr>
          <w:rFonts w:hint="eastAsia"/>
        </w:rPr>
        <w:t>类昼间</w:t>
      </w:r>
      <w:r>
        <w:rPr>
          <w:rFonts w:hint="eastAsia"/>
        </w:rPr>
        <w:t>65dB(A)</w:t>
      </w:r>
      <w:r>
        <w:rPr>
          <w:rFonts w:hint="eastAsia"/>
        </w:rPr>
        <w:t>、夜间</w:t>
      </w:r>
      <w:r>
        <w:rPr>
          <w:rFonts w:hint="eastAsia"/>
        </w:rPr>
        <w:t>55dB(A)</w:t>
      </w:r>
      <w:r>
        <w:rPr>
          <w:rFonts w:hint="eastAsia"/>
        </w:rPr>
        <w:t>标准的要求。</w:t>
      </w:r>
    </w:p>
    <w:p w:rsidR="00EE56C0" w:rsidRDefault="000F36A1">
      <w:pPr>
        <w:pStyle w:val="3"/>
        <w:spacing w:before="240" w:after="120"/>
      </w:pPr>
      <w:r>
        <w:rPr>
          <w:rFonts w:hint="eastAsia"/>
        </w:rPr>
        <w:t>3.7.4</w:t>
      </w:r>
      <w:r>
        <w:rPr>
          <w:rFonts w:hint="eastAsia"/>
        </w:rPr>
        <w:t>固废</w:t>
      </w:r>
    </w:p>
    <w:p w:rsidR="00EE56C0" w:rsidRDefault="000F36A1">
      <w:pPr>
        <w:ind w:firstLine="480"/>
      </w:pPr>
      <w:bookmarkStart w:id="198" w:name="_Toc428287219"/>
      <w:bookmarkStart w:id="199" w:name="_Toc429318402"/>
      <w:bookmarkStart w:id="200" w:name="_Toc428286858"/>
      <w:r>
        <w:t>本项目运营期固废包括一般固废和危险废物。一般固废包括原料使用产生的废包材</w:t>
      </w:r>
      <w:r>
        <w:rPr>
          <w:rFonts w:hint="eastAsia"/>
        </w:rPr>
        <w:t>、挤压工序产生的废铜线</w:t>
      </w:r>
      <w:r>
        <w:t>、检验产生的残次品</w:t>
      </w:r>
      <w:r>
        <w:rPr>
          <w:rFonts w:hint="eastAsia"/>
        </w:rPr>
        <w:t>。</w:t>
      </w:r>
      <w:r>
        <w:t>危险废物包括</w:t>
      </w:r>
      <w:r>
        <w:rPr>
          <w:rFonts w:hint="eastAsia"/>
        </w:rPr>
        <w:t>拉丝工序产生的</w:t>
      </w:r>
      <w:r>
        <w:t>含铜油泥</w:t>
      </w:r>
      <w:r>
        <w:rPr>
          <w:rFonts w:hint="eastAsia"/>
        </w:rPr>
        <w:t>、废拉丝油，丝包线涂料</w:t>
      </w:r>
      <w:r>
        <w:t>使用</w:t>
      </w:r>
      <w:r>
        <w:rPr>
          <w:rFonts w:hint="eastAsia"/>
        </w:rPr>
        <w:t>后产生的漆料桶，生产过程产生的含涂料的废毛毡，废气处理</w:t>
      </w:r>
      <w:r>
        <w:t>系统产生的</w:t>
      </w:r>
      <w:r>
        <w:rPr>
          <w:rFonts w:hint="eastAsia"/>
        </w:rPr>
        <w:t>废油、废活性炭、</w:t>
      </w:r>
      <w:r>
        <w:t>废催化剂</w:t>
      </w:r>
      <w:r>
        <w:rPr>
          <w:rFonts w:hint="eastAsia"/>
        </w:rPr>
        <w:t>、</w:t>
      </w:r>
      <w:r>
        <w:t>废</w:t>
      </w:r>
      <w:r>
        <w:rPr>
          <w:rFonts w:hint="eastAsia"/>
        </w:rPr>
        <w:t>沸石分子筛</w:t>
      </w:r>
      <w:r>
        <w:t>。</w:t>
      </w:r>
    </w:p>
    <w:p w:rsidR="00EE56C0" w:rsidRDefault="000F36A1">
      <w:pPr>
        <w:ind w:firstLine="482"/>
        <w:rPr>
          <w:b/>
        </w:rPr>
      </w:pPr>
      <w:r>
        <w:rPr>
          <w:rFonts w:hint="eastAsia"/>
          <w:b/>
        </w:rPr>
        <w:t>1</w:t>
      </w:r>
      <w:r>
        <w:rPr>
          <w:rFonts w:hint="eastAsia"/>
          <w:b/>
        </w:rPr>
        <w:t>、一般固废：</w:t>
      </w:r>
    </w:p>
    <w:p w:rsidR="00EE56C0" w:rsidRDefault="000F36A1">
      <w:pPr>
        <w:ind w:firstLine="480"/>
      </w:pPr>
      <w:r>
        <w:rPr>
          <w:rFonts w:hint="eastAsia"/>
        </w:rPr>
        <w:t>（</w:t>
      </w:r>
      <w:r>
        <w:rPr>
          <w:rFonts w:hint="eastAsia"/>
        </w:rPr>
        <w:t>1</w:t>
      </w:r>
      <w:r>
        <w:rPr>
          <w:rFonts w:hint="eastAsia"/>
        </w:rPr>
        <w:t>）</w:t>
      </w:r>
      <w:r>
        <w:t>废包材</w:t>
      </w:r>
    </w:p>
    <w:p w:rsidR="00EE56C0" w:rsidRDefault="000F36A1">
      <w:pPr>
        <w:spacing w:line="460" w:lineRule="exact"/>
        <w:ind w:firstLine="480"/>
      </w:pPr>
      <w:r>
        <w:t>原料使用后</w:t>
      </w:r>
      <w:r>
        <w:rPr>
          <w:rFonts w:hint="eastAsia"/>
        </w:rPr>
        <w:t>会</w:t>
      </w:r>
      <w:r>
        <w:t>产生废包材，</w:t>
      </w:r>
      <w:r>
        <w:rPr>
          <w:rFonts w:hint="eastAsia"/>
        </w:rPr>
        <w:t>根据企业提供的资料，</w:t>
      </w:r>
      <w:r>
        <w:t>废包材产生量为</w:t>
      </w:r>
      <w:r>
        <w:rPr>
          <w:rFonts w:hint="eastAsia"/>
          <w:bCs/>
          <w:szCs w:val="24"/>
        </w:rPr>
        <w:t>一期</w:t>
      </w:r>
      <w:r>
        <w:rPr>
          <w:rFonts w:hint="eastAsia"/>
        </w:rPr>
        <w:t>0.3</w:t>
      </w:r>
      <w:r>
        <w:t>t/a</w:t>
      </w:r>
      <w:r>
        <w:rPr>
          <w:rFonts w:hint="eastAsia"/>
        </w:rPr>
        <w:t>、</w:t>
      </w:r>
      <w:r>
        <w:rPr>
          <w:rFonts w:hint="eastAsia"/>
          <w:bCs/>
          <w:szCs w:val="24"/>
        </w:rPr>
        <w:t>二期</w:t>
      </w:r>
      <w:r>
        <w:rPr>
          <w:rFonts w:hint="eastAsia"/>
          <w:bCs/>
          <w:szCs w:val="24"/>
        </w:rPr>
        <w:t>0.5</w:t>
      </w:r>
      <w:r>
        <w:rPr>
          <w:bCs/>
          <w:szCs w:val="24"/>
        </w:rPr>
        <w:t>t/a</w:t>
      </w:r>
      <w:r>
        <w:t>，</w:t>
      </w:r>
      <w:r>
        <w:rPr>
          <w:bCs/>
        </w:rPr>
        <w:t>项目拟将其集中收集</w:t>
      </w:r>
      <w:r>
        <w:rPr>
          <w:rFonts w:hint="eastAsia"/>
          <w:bCs/>
        </w:rPr>
        <w:t>、一般固废间</w:t>
      </w:r>
      <w:r>
        <w:rPr>
          <w:bCs/>
        </w:rPr>
        <w:t>暂存后</w:t>
      </w:r>
      <w:r>
        <w:t>由废品回收站回收。</w:t>
      </w:r>
    </w:p>
    <w:p w:rsidR="00EE56C0" w:rsidRDefault="000F36A1">
      <w:pPr>
        <w:ind w:firstLine="480"/>
      </w:pPr>
      <w:r>
        <w:rPr>
          <w:rFonts w:hint="eastAsia"/>
        </w:rPr>
        <w:t xml:space="preserve"> </w:t>
      </w:r>
      <w:r>
        <w:rPr>
          <w:rFonts w:hint="eastAsia"/>
        </w:rPr>
        <w:t>（</w:t>
      </w:r>
      <w:r>
        <w:rPr>
          <w:rFonts w:hint="eastAsia"/>
        </w:rPr>
        <w:t>2</w:t>
      </w:r>
      <w:r>
        <w:rPr>
          <w:rFonts w:hint="eastAsia"/>
        </w:rPr>
        <w:t>）废铜线</w:t>
      </w:r>
    </w:p>
    <w:p w:rsidR="00EE56C0" w:rsidRDefault="000F36A1">
      <w:pPr>
        <w:ind w:firstLine="480"/>
        <w:rPr>
          <w:bCs/>
          <w:szCs w:val="24"/>
        </w:rPr>
      </w:pPr>
      <w:r>
        <w:rPr>
          <w:rFonts w:hint="eastAsia"/>
        </w:rPr>
        <w:t>项目挤压工序会产生废铜线，</w:t>
      </w:r>
      <w:r>
        <w:rPr>
          <w:bCs/>
          <w:szCs w:val="24"/>
        </w:rPr>
        <w:t>根据企业</w:t>
      </w:r>
      <w:r>
        <w:rPr>
          <w:rFonts w:hint="eastAsia"/>
          <w:bCs/>
          <w:szCs w:val="24"/>
        </w:rPr>
        <w:t>历年统计的生产</w:t>
      </w:r>
      <w:r>
        <w:rPr>
          <w:bCs/>
          <w:szCs w:val="24"/>
        </w:rPr>
        <w:t>资料，</w:t>
      </w:r>
      <w:r>
        <w:rPr>
          <w:rFonts w:hint="eastAsia"/>
        </w:rPr>
        <w:t>废铜线</w:t>
      </w:r>
      <w:r>
        <w:rPr>
          <w:bCs/>
          <w:szCs w:val="24"/>
        </w:rPr>
        <w:t>产生量</w:t>
      </w:r>
      <w:r>
        <w:rPr>
          <w:rFonts w:hint="eastAsia"/>
          <w:bCs/>
          <w:szCs w:val="24"/>
        </w:rPr>
        <w:t>约占原料的</w:t>
      </w:r>
      <w:r>
        <w:rPr>
          <w:rFonts w:hint="eastAsia"/>
          <w:bCs/>
          <w:szCs w:val="24"/>
        </w:rPr>
        <w:t>0.1</w:t>
      </w:r>
      <w:r>
        <w:rPr>
          <w:bCs/>
          <w:szCs w:val="24"/>
        </w:rPr>
        <w:t>%</w:t>
      </w:r>
      <w:r>
        <w:rPr>
          <w:rFonts w:hint="eastAsia"/>
          <w:bCs/>
          <w:szCs w:val="24"/>
        </w:rPr>
        <w:t>，挤压工序用铜杆量为一期</w:t>
      </w:r>
      <w:r>
        <w:rPr>
          <w:rFonts w:hint="eastAsia"/>
          <w:bCs/>
          <w:szCs w:val="24"/>
        </w:rPr>
        <w:t>10180</w:t>
      </w:r>
      <w:r>
        <w:rPr>
          <w:bCs/>
          <w:szCs w:val="24"/>
        </w:rPr>
        <w:t>t/a</w:t>
      </w:r>
      <w:r>
        <w:rPr>
          <w:rFonts w:hint="eastAsia"/>
          <w:bCs/>
          <w:szCs w:val="24"/>
        </w:rPr>
        <w:t>、二期</w:t>
      </w:r>
      <w:r>
        <w:rPr>
          <w:rFonts w:hint="eastAsia"/>
          <w:bCs/>
          <w:szCs w:val="24"/>
        </w:rPr>
        <w:t>29050</w:t>
      </w:r>
      <w:r>
        <w:rPr>
          <w:bCs/>
          <w:szCs w:val="24"/>
        </w:rPr>
        <w:t>t/a</w:t>
      </w:r>
      <w:r>
        <w:rPr>
          <w:bCs/>
          <w:szCs w:val="24"/>
        </w:rPr>
        <w:t>，则</w:t>
      </w:r>
      <w:r>
        <w:rPr>
          <w:rFonts w:hint="eastAsia"/>
        </w:rPr>
        <w:t>废铜线</w:t>
      </w:r>
      <w:r>
        <w:rPr>
          <w:bCs/>
          <w:szCs w:val="24"/>
        </w:rPr>
        <w:t>产生量为</w:t>
      </w:r>
      <w:r>
        <w:rPr>
          <w:rFonts w:hint="eastAsia"/>
          <w:bCs/>
          <w:szCs w:val="24"/>
        </w:rPr>
        <w:t>一期</w:t>
      </w:r>
      <w:r>
        <w:rPr>
          <w:rFonts w:hint="eastAsia"/>
          <w:bCs/>
          <w:szCs w:val="24"/>
        </w:rPr>
        <w:t>10.18</w:t>
      </w:r>
      <w:r>
        <w:rPr>
          <w:bCs/>
          <w:szCs w:val="24"/>
        </w:rPr>
        <w:t>t/a</w:t>
      </w:r>
      <w:r>
        <w:rPr>
          <w:rFonts w:hint="eastAsia"/>
          <w:bCs/>
          <w:szCs w:val="24"/>
        </w:rPr>
        <w:t>、二期</w:t>
      </w:r>
      <w:r>
        <w:rPr>
          <w:rFonts w:hint="eastAsia"/>
          <w:bCs/>
          <w:szCs w:val="24"/>
        </w:rPr>
        <w:t>29.05</w:t>
      </w:r>
      <w:r>
        <w:rPr>
          <w:bCs/>
          <w:szCs w:val="24"/>
        </w:rPr>
        <w:t>t/a</w:t>
      </w:r>
      <w:r>
        <w:rPr>
          <w:bCs/>
          <w:szCs w:val="24"/>
        </w:rPr>
        <w:t>。</w:t>
      </w:r>
      <w:r>
        <w:rPr>
          <w:bCs/>
        </w:rPr>
        <w:t>项目拟将其集中收集</w:t>
      </w:r>
      <w:r>
        <w:rPr>
          <w:rFonts w:hint="eastAsia"/>
          <w:bCs/>
        </w:rPr>
        <w:t>、</w:t>
      </w:r>
      <w:r>
        <w:rPr>
          <w:bCs/>
          <w:szCs w:val="24"/>
        </w:rPr>
        <w:t>一般固废</w:t>
      </w:r>
      <w:r>
        <w:rPr>
          <w:rFonts w:hint="eastAsia"/>
          <w:bCs/>
          <w:szCs w:val="24"/>
        </w:rPr>
        <w:t>暂存间</w:t>
      </w:r>
      <w:r>
        <w:rPr>
          <w:bCs/>
          <w:szCs w:val="24"/>
        </w:rPr>
        <w:t>暂存</w:t>
      </w:r>
      <w:r>
        <w:rPr>
          <w:rFonts w:hint="eastAsia"/>
          <w:bCs/>
          <w:szCs w:val="24"/>
        </w:rPr>
        <w:t>后</w:t>
      </w:r>
      <w:r>
        <w:rPr>
          <w:bCs/>
          <w:szCs w:val="24"/>
        </w:rPr>
        <w:t>定期</w:t>
      </w:r>
      <w:r>
        <w:rPr>
          <w:rFonts w:hint="eastAsia"/>
          <w:szCs w:val="24"/>
        </w:rPr>
        <w:t>出</w:t>
      </w:r>
      <w:r>
        <w:rPr>
          <w:szCs w:val="24"/>
        </w:rPr>
        <w:t>售</w:t>
      </w:r>
      <w:r>
        <w:rPr>
          <w:rFonts w:hint="eastAsia"/>
          <w:szCs w:val="24"/>
        </w:rPr>
        <w:t>。</w:t>
      </w:r>
    </w:p>
    <w:p w:rsidR="00EE56C0" w:rsidRDefault="000F36A1">
      <w:pPr>
        <w:spacing w:line="460" w:lineRule="exact"/>
        <w:ind w:firstLine="480"/>
      </w:pPr>
      <w:r>
        <w:rPr>
          <w:rFonts w:hint="eastAsia"/>
        </w:rPr>
        <w:t>（</w:t>
      </w:r>
      <w:r>
        <w:rPr>
          <w:rFonts w:hint="eastAsia"/>
        </w:rPr>
        <w:t>3</w:t>
      </w:r>
      <w:r>
        <w:rPr>
          <w:rFonts w:hint="eastAsia"/>
        </w:rPr>
        <w:t>）</w:t>
      </w:r>
      <w:r>
        <w:t>残次品</w:t>
      </w:r>
    </w:p>
    <w:p w:rsidR="00EE56C0" w:rsidRDefault="000F36A1">
      <w:pPr>
        <w:spacing w:line="460" w:lineRule="exact"/>
        <w:ind w:firstLine="480"/>
        <w:rPr>
          <w:szCs w:val="24"/>
        </w:rPr>
      </w:pPr>
      <w:r>
        <w:t>项目检验工序会产生残次品，</w:t>
      </w:r>
      <w:r>
        <w:rPr>
          <w:bCs/>
          <w:szCs w:val="24"/>
        </w:rPr>
        <w:t>根据企业</w:t>
      </w:r>
      <w:r>
        <w:rPr>
          <w:rFonts w:hint="eastAsia"/>
          <w:bCs/>
          <w:szCs w:val="24"/>
        </w:rPr>
        <w:t>历年统计的生产</w:t>
      </w:r>
      <w:r>
        <w:rPr>
          <w:bCs/>
          <w:szCs w:val="24"/>
        </w:rPr>
        <w:t>资料，</w:t>
      </w:r>
      <w:r>
        <w:t>残次品</w:t>
      </w:r>
      <w:r>
        <w:rPr>
          <w:bCs/>
          <w:szCs w:val="24"/>
        </w:rPr>
        <w:t>产生量</w:t>
      </w:r>
      <w:r>
        <w:rPr>
          <w:rFonts w:hint="eastAsia"/>
          <w:bCs/>
          <w:szCs w:val="24"/>
        </w:rPr>
        <w:t>约占成品的</w:t>
      </w:r>
      <w:r>
        <w:rPr>
          <w:rFonts w:hint="eastAsia"/>
          <w:bCs/>
          <w:szCs w:val="24"/>
        </w:rPr>
        <w:t>0.02</w:t>
      </w:r>
      <w:r>
        <w:rPr>
          <w:bCs/>
          <w:szCs w:val="24"/>
        </w:rPr>
        <w:t>%</w:t>
      </w:r>
      <w:r>
        <w:rPr>
          <w:rFonts w:hint="eastAsia"/>
          <w:bCs/>
          <w:szCs w:val="24"/>
        </w:rPr>
        <w:t>，</w:t>
      </w:r>
      <w:r>
        <w:rPr>
          <w:bCs/>
          <w:szCs w:val="24"/>
        </w:rPr>
        <w:t>则</w:t>
      </w:r>
      <w:r>
        <w:t>残次品产生量为</w:t>
      </w:r>
      <w:r>
        <w:rPr>
          <w:rFonts w:hint="eastAsia"/>
        </w:rPr>
        <w:t>一期</w:t>
      </w:r>
      <w:r>
        <w:rPr>
          <w:rFonts w:hint="eastAsia"/>
        </w:rPr>
        <w:t>2.9</w:t>
      </w:r>
      <w:r>
        <w:t>t/</w:t>
      </w:r>
      <w:r>
        <w:rPr>
          <w:rFonts w:hint="eastAsia"/>
        </w:rPr>
        <w:t>a</w:t>
      </w:r>
      <w:r>
        <w:rPr>
          <w:rFonts w:hint="eastAsia"/>
        </w:rPr>
        <w:t>、二期</w:t>
      </w:r>
      <w:r>
        <w:rPr>
          <w:rFonts w:hint="eastAsia"/>
        </w:rPr>
        <w:t>5.1</w:t>
      </w:r>
      <w:r>
        <w:t>t/a</w:t>
      </w:r>
      <w:r>
        <w:rPr>
          <w:rFonts w:hint="eastAsia"/>
        </w:rPr>
        <w:t>。</w:t>
      </w:r>
      <w:r>
        <w:rPr>
          <w:bCs/>
        </w:rPr>
        <w:t>项目拟将其集中收集</w:t>
      </w:r>
      <w:r>
        <w:rPr>
          <w:rFonts w:hint="eastAsia"/>
          <w:bCs/>
        </w:rPr>
        <w:t>、</w:t>
      </w:r>
      <w:r>
        <w:rPr>
          <w:bCs/>
          <w:szCs w:val="24"/>
        </w:rPr>
        <w:t>一般固废</w:t>
      </w:r>
      <w:r>
        <w:rPr>
          <w:rFonts w:hint="eastAsia"/>
          <w:bCs/>
          <w:szCs w:val="24"/>
        </w:rPr>
        <w:t>暂存间</w:t>
      </w:r>
      <w:r>
        <w:rPr>
          <w:bCs/>
          <w:szCs w:val="24"/>
        </w:rPr>
        <w:t>暂存</w:t>
      </w:r>
      <w:r>
        <w:rPr>
          <w:rFonts w:hint="eastAsia"/>
          <w:bCs/>
          <w:szCs w:val="24"/>
        </w:rPr>
        <w:t>后</w:t>
      </w:r>
      <w:r>
        <w:rPr>
          <w:bCs/>
          <w:szCs w:val="24"/>
        </w:rPr>
        <w:t>定期</w:t>
      </w:r>
      <w:r>
        <w:rPr>
          <w:rFonts w:hint="eastAsia"/>
          <w:szCs w:val="24"/>
        </w:rPr>
        <w:t>出</w:t>
      </w:r>
      <w:r>
        <w:rPr>
          <w:szCs w:val="24"/>
        </w:rPr>
        <w:t>售</w:t>
      </w:r>
      <w:r>
        <w:rPr>
          <w:rFonts w:hint="eastAsia"/>
          <w:szCs w:val="24"/>
        </w:rPr>
        <w:t>。</w:t>
      </w:r>
    </w:p>
    <w:p w:rsidR="00EE56C0" w:rsidRDefault="000F36A1">
      <w:pPr>
        <w:ind w:firstLine="482"/>
        <w:rPr>
          <w:b/>
        </w:rPr>
      </w:pPr>
      <w:r>
        <w:rPr>
          <w:rFonts w:hint="eastAsia"/>
          <w:b/>
        </w:rPr>
        <w:t>2</w:t>
      </w:r>
      <w:r>
        <w:rPr>
          <w:rFonts w:hint="eastAsia"/>
          <w:b/>
        </w:rPr>
        <w:t>、危险废物：</w:t>
      </w:r>
    </w:p>
    <w:p w:rsidR="00EE56C0" w:rsidRDefault="000F36A1">
      <w:pPr>
        <w:spacing w:line="460" w:lineRule="exact"/>
        <w:ind w:firstLine="480"/>
      </w:pPr>
      <w:r>
        <w:t>（</w:t>
      </w:r>
      <w:r>
        <w:t>1</w:t>
      </w:r>
      <w:r>
        <w:t>）含铜油泥</w:t>
      </w:r>
      <w:r>
        <w:rPr>
          <w:rFonts w:hint="eastAsia"/>
        </w:rPr>
        <w:t xml:space="preserve"> </w:t>
      </w:r>
      <w:r>
        <w:rPr>
          <w:rFonts w:hint="eastAsia"/>
        </w:rPr>
        <w:t>、废拉丝油</w:t>
      </w:r>
    </w:p>
    <w:p w:rsidR="00EE56C0" w:rsidRDefault="000F36A1">
      <w:pPr>
        <w:ind w:firstLine="480"/>
      </w:pPr>
      <w:r>
        <w:t>项目</w:t>
      </w:r>
      <w:r>
        <w:rPr>
          <w:rFonts w:hint="eastAsia"/>
        </w:rPr>
        <w:t>拉拔、</w:t>
      </w:r>
      <w:r>
        <w:t>拉丝</w:t>
      </w:r>
      <w:r>
        <w:rPr>
          <w:rFonts w:hint="eastAsia"/>
        </w:rPr>
        <w:t>工序</w:t>
      </w:r>
      <w:r>
        <w:t>产生的铜粉遗留在拉丝液中，拉丝液</w:t>
      </w:r>
      <w:r>
        <w:rPr>
          <w:rFonts w:hint="eastAsia"/>
        </w:rPr>
        <w:t>经管道输送至</w:t>
      </w:r>
      <w:r>
        <w:t>拉丝液</w:t>
      </w:r>
      <w:r>
        <w:rPr>
          <w:rFonts w:hint="eastAsia"/>
        </w:rPr>
        <w:t>池</w:t>
      </w:r>
      <w:r>
        <w:t>循环使用，一段时间后，拉丝液</w:t>
      </w:r>
      <w:r>
        <w:rPr>
          <w:rFonts w:hint="eastAsia"/>
        </w:rPr>
        <w:t>自然</w:t>
      </w:r>
      <w:r>
        <w:t>沉淀，上层的拉丝液循环使用，下层为含铜油泥</w:t>
      </w:r>
      <w:r>
        <w:rPr>
          <w:rFonts w:hint="eastAsia"/>
        </w:rPr>
        <w:t>。</w:t>
      </w:r>
    </w:p>
    <w:p w:rsidR="00EE56C0" w:rsidRDefault="000F36A1">
      <w:pPr>
        <w:ind w:firstLine="480"/>
      </w:pPr>
      <w:r>
        <w:rPr>
          <w:rFonts w:hint="eastAsia"/>
        </w:rPr>
        <w:t>本项目所需拉丝液用量为一期</w:t>
      </w:r>
      <w:r>
        <w:rPr>
          <w:rFonts w:hint="eastAsia"/>
        </w:rPr>
        <w:t>25t/a</w:t>
      </w:r>
      <w:r>
        <w:rPr>
          <w:rFonts w:hint="eastAsia"/>
        </w:rPr>
        <w:t>、二期</w:t>
      </w:r>
      <w:r>
        <w:rPr>
          <w:rFonts w:hint="eastAsia"/>
        </w:rPr>
        <w:t>65t/a</w:t>
      </w:r>
      <w:r>
        <w:rPr>
          <w:rFonts w:hint="eastAsia"/>
        </w:rPr>
        <w:t>，需要定期更换，更换下来的废拉丝液和沉淀后的含铜油泥属于危险废物，废拉丝液配套燃烧机进行减量化</w:t>
      </w:r>
      <w:r>
        <w:rPr>
          <w:rFonts w:hint="eastAsia"/>
        </w:rPr>
        <w:lastRenderedPageBreak/>
        <w:t>处置。</w:t>
      </w:r>
    </w:p>
    <w:p w:rsidR="00EE56C0" w:rsidRDefault="000F36A1">
      <w:pPr>
        <w:ind w:firstLine="482"/>
      </w:pPr>
      <w:r>
        <w:rPr>
          <w:rFonts w:hint="eastAsia"/>
          <w:b/>
        </w:rPr>
        <w:t>拉丝液减量化处置原理</w:t>
      </w:r>
      <w:r>
        <w:rPr>
          <w:rFonts w:hint="eastAsia"/>
        </w:rPr>
        <w:t>：</w:t>
      </w:r>
      <w:r>
        <w:t>拉丝液</w:t>
      </w:r>
      <w:r>
        <w:rPr>
          <w:rFonts w:hint="eastAsia"/>
        </w:rPr>
        <w:t>自然</w:t>
      </w:r>
      <w:r>
        <w:t>沉淀，上层的拉丝液</w:t>
      </w:r>
      <w:r>
        <w:rPr>
          <w:rFonts w:hint="eastAsia"/>
        </w:rPr>
        <w:t>经管道输送至油水分离器进行蒸馏，燃烧热源由</w:t>
      </w:r>
      <w:r>
        <w:rPr>
          <w:rFonts w:hint="eastAsia"/>
          <w:szCs w:val="21"/>
        </w:rPr>
        <w:t>废杂铜熔炼炉尾气的余热</w:t>
      </w:r>
      <w:r>
        <w:rPr>
          <w:rFonts w:hint="eastAsia"/>
        </w:rPr>
        <w:t>供应。拉丝液是由纯水、拉丝油按</w:t>
      </w:r>
      <w:r>
        <w:rPr>
          <w:rFonts w:hint="eastAsia"/>
        </w:rPr>
        <w:t>9:1</w:t>
      </w:r>
      <w:r>
        <w:rPr>
          <w:rFonts w:hint="eastAsia"/>
        </w:rPr>
        <w:t>配比制成，拉丝油沸点比水的沸点高，因此在加热过程中水先蒸发，水蒸气经冷凝装置冷凝后回拉丝液池循环使用，蒸发后，设备底部主要为拉丝油，作为危险废物，由专用密闭容器收集、暂存于危废暂存间，定期交由有资质单位安全处理。</w:t>
      </w:r>
    </w:p>
    <w:p w:rsidR="00EE56C0" w:rsidRDefault="000F36A1">
      <w:pPr>
        <w:ind w:firstLine="480"/>
      </w:pPr>
      <w:r>
        <w:rPr>
          <w:rFonts w:hint="eastAsia"/>
        </w:rPr>
        <w:t>本项目建成后，现有拉丝液进入该油水分离器进行减量化处置，现有拉丝液经处置后的含铜油泥</w:t>
      </w:r>
      <w:r>
        <w:t>量</w:t>
      </w:r>
      <w:r>
        <w:rPr>
          <w:rFonts w:hint="eastAsia"/>
        </w:rPr>
        <w:t>纳入一期进行计算。沉淀后的含铜油泥</w:t>
      </w:r>
      <w:r>
        <w:t>量为</w:t>
      </w:r>
      <w:r>
        <w:rPr>
          <w:rFonts w:hint="eastAsia"/>
        </w:rPr>
        <w:t>一期</w:t>
      </w:r>
      <w:r>
        <w:rPr>
          <w:rFonts w:hint="eastAsia"/>
        </w:rPr>
        <w:t>1.2</w:t>
      </w:r>
      <w:r>
        <w:t>t/a</w:t>
      </w:r>
      <w:r>
        <w:rPr>
          <w:rFonts w:hint="eastAsia"/>
        </w:rPr>
        <w:t>、二期</w:t>
      </w:r>
      <w:r>
        <w:rPr>
          <w:rFonts w:hint="eastAsia"/>
        </w:rPr>
        <w:t>2.75t/a</w:t>
      </w:r>
      <w:r>
        <w:rPr>
          <w:rFonts w:hint="eastAsia"/>
        </w:rPr>
        <w:t>。根据物料衡算，</w:t>
      </w:r>
      <w:r w:rsidRPr="002F5FB6">
        <w:rPr>
          <w:rFonts w:hint="eastAsia"/>
          <w:b/>
          <w:u w:val="single"/>
        </w:rPr>
        <w:t>废拉丝油</w:t>
      </w:r>
      <w:r w:rsidRPr="002F5FB6">
        <w:rPr>
          <w:b/>
          <w:u w:val="single"/>
        </w:rPr>
        <w:t>产生量为</w:t>
      </w:r>
      <w:r w:rsidRPr="002F5FB6">
        <w:rPr>
          <w:rFonts w:hint="eastAsia"/>
          <w:b/>
          <w:u w:val="single"/>
        </w:rPr>
        <w:t>一期</w:t>
      </w:r>
      <w:r w:rsidRPr="002F5FB6">
        <w:rPr>
          <w:rFonts w:hint="eastAsia"/>
          <w:b/>
          <w:u w:val="single"/>
        </w:rPr>
        <w:t>2.39</w:t>
      </w:r>
      <w:r w:rsidRPr="002F5FB6">
        <w:rPr>
          <w:b/>
          <w:u w:val="single"/>
        </w:rPr>
        <w:t>t/a</w:t>
      </w:r>
      <w:r w:rsidRPr="002F5FB6">
        <w:rPr>
          <w:rFonts w:hint="eastAsia"/>
          <w:b/>
          <w:u w:val="single"/>
        </w:rPr>
        <w:t>、二期</w:t>
      </w:r>
      <w:r w:rsidRPr="002F5FB6">
        <w:rPr>
          <w:rFonts w:hint="eastAsia"/>
          <w:b/>
          <w:u w:val="single"/>
        </w:rPr>
        <w:t>6.27t/a</w:t>
      </w:r>
      <w:r w:rsidRPr="002F5FB6">
        <w:rPr>
          <w:b/>
        </w:rPr>
        <w:t>，</w:t>
      </w:r>
      <w:r>
        <w:t>危废代码</w:t>
      </w:r>
      <w:r>
        <w:rPr>
          <w:rFonts w:hint="eastAsia"/>
        </w:rPr>
        <w:t>均</w:t>
      </w:r>
      <w:r>
        <w:t>为</w:t>
      </w:r>
      <w:r>
        <w:t>HW</w:t>
      </w:r>
      <w:r>
        <w:rPr>
          <w:rFonts w:hint="eastAsia"/>
        </w:rPr>
        <w:t>08</w:t>
      </w:r>
      <w:r>
        <w:t>（废</w:t>
      </w:r>
      <w:r>
        <w:rPr>
          <w:rFonts w:hint="eastAsia"/>
        </w:rPr>
        <w:t>矿物油与含矿物油废物，危险废物代码：</w:t>
      </w:r>
      <w:r>
        <w:t>900-</w:t>
      </w:r>
      <w:r>
        <w:rPr>
          <w:rFonts w:hint="eastAsia"/>
        </w:rPr>
        <w:t>249</w:t>
      </w:r>
      <w:r>
        <w:t>-</w:t>
      </w:r>
      <w:r>
        <w:rPr>
          <w:rFonts w:hint="eastAsia"/>
        </w:rPr>
        <w:t>08</w:t>
      </w:r>
      <w:r>
        <w:t>）</w:t>
      </w:r>
      <w:r>
        <w:rPr>
          <w:rFonts w:hint="eastAsia"/>
        </w:rPr>
        <w:t>。</w:t>
      </w:r>
      <w:r>
        <w:t>含铜</w:t>
      </w:r>
      <w:r>
        <w:rPr>
          <w:rFonts w:hint="eastAsia"/>
        </w:rPr>
        <w:t>油泥、废拉丝油由专用密闭容器收集、暂存于现有</w:t>
      </w:r>
      <w:r>
        <w:rPr>
          <w:rFonts w:hint="eastAsia"/>
        </w:rPr>
        <w:t>1#</w:t>
      </w:r>
      <w:r>
        <w:t>危废暂存间</w:t>
      </w:r>
      <w:r>
        <w:rPr>
          <w:rFonts w:hint="eastAsia"/>
        </w:rPr>
        <w:t>（</w:t>
      </w:r>
      <w:r>
        <w:rPr>
          <w:rFonts w:hint="eastAsia"/>
        </w:rPr>
        <w:t>27</w:t>
      </w:r>
      <w:r>
        <w:t>m</w:t>
      </w:r>
      <w:r>
        <w:rPr>
          <w:vertAlign w:val="superscript"/>
        </w:rPr>
        <w:t>2</w:t>
      </w:r>
      <w:r>
        <w:rPr>
          <w:rFonts w:hint="eastAsia"/>
        </w:rPr>
        <w:t>），定期交由有资质单位安全处理。</w:t>
      </w:r>
    </w:p>
    <w:p w:rsidR="00EE56C0" w:rsidRDefault="000F36A1">
      <w:pPr>
        <w:ind w:firstLine="480"/>
      </w:pPr>
      <w:r>
        <w:rPr>
          <w:rFonts w:hint="eastAsia"/>
        </w:rPr>
        <w:t>（</w:t>
      </w:r>
      <w:r>
        <w:rPr>
          <w:rFonts w:hint="eastAsia"/>
        </w:rPr>
        <w:t>2</w:t>
      </w:r>
      <w:r>
        <w:rPr>
          <w:rFonts w:hint="eastAsia"/>
        </w:rPr>
        <w:t>）废丝包漆料桶</w:t>
      </w:r>
    </w:p>
    <w:p w:rsidR="00EE56C0" w:rsidRDefault="000F36A1">
      <w:pPr>
        <w:ind w:firstLine="480"/>
      </w:pPr>
      <w:r>
        <w:rPr>
          <w:rFonts w:hint="eastAsia"/>
        </w:rPr>
        <w:t>项目原料桶装丝包漆使用后会产生废漆桶，丝包漆用量为</w:t>
      </w:r>
      <w:r w:rsidRPr="002F5FB6">
        <w:rPr>
          <w:rFonts w:hint="eastAsia"/>
          <w:b/>
          <w:u w:val="single"/>
        </w:rPr>
        <w:t>一期</w:t>
      </w:r>
      <w:r w:rsidRPr="002F5FB6">
        <w:rPr>
          <w:rFonts w:hint="eastAsia"/>
          <w:b/>
          <w:u w:val="single"/>
        </w:rPr>
        <w:t>74.1</w:t>
      </w:r>
      <w:r w:rsidRPr="002F5FB6">
        <w:rPr>
          <w:b/>
          <w:u w:val="single"/>
        </w:rPr>
        <w:t>t/a</w:t>
      </w:r>
      <w:r w:rsidRPr="002F5FB6">
        <w:rPr>
          <w:rFonts w:hint="eastAsia"/>
          <w:b/>
          <w:u w:val="single"/>
        </w:rPr>
        <w:t>、二期</w:t>
      </w:r>
      <w:r w:rsidRPr="002F5FB6">
        <w:rPr>
          <w:rFonts w:hint="eastAsia"/>
          <w:b/>
          <w:u w:val="single"/>
        </w:rPr>
        <w:t>58.5t/a</w:t>
      </w:r>
      <w:r w:rsidRPr="002F5FB6">
        <w:rPr>
          <w:rFonts w:hint="eastAsia"/>
          <w:b/>
          <w:u w:val="single"/>
        </w:rPr>
        <w:t>，折合桶数为一期</w:t>
      </w:r>
      <w:r w:rsidRPr="002F5FB6">
        <w:rPr>
          <w:rFonts w:hint="eastAsia"/>
          <w:b/>
          <w:u w:val="single"/>
        </w:rPr>
        <w:t>2964</w:t>
      </w:r>
      <w:r w:rsidRPr="002F5FB6">
        <w:rPr>
          <w:rFonts w:hint="eastAsia"/>
          <w:b/>
          <w:u w:val="single"/>
        </w:rPr>
        <w:t>个、二期</w:t>
      </w:r>
      <w:r w:rsidRPr="002F5FB6">
        <w:rPr>
          <w:rFonts w:hint="eastAsia"/>
          <w:b/>
          <w:u w:val="single"/>
        </w:rPr>
        <w:t>2438</w:t>
      </w:r>
      <w:r w:rsidRPr="002F5FB6">
        <w:rPr>
          <w:rFonts w:hint="eastAsia"/>
          <w:b/>
          <w:u w:val="single"/>
        </w:rPr>
        <w:t>个，每个漆桶重量按</w:t>
      </w:r>
      <w:r w:rsidRPr="002F5FB6">
        <w:rPr>
          <w:rFonts w:hint="eastAsia"/>
          <w:b/>
          <w:u w:val="single"/>
        </w:rPr>
        <w:t>0.5kg</w:t>
      </w:r>
      <w:r w:rsidRPr="002F5FB6">
        <w:rPr>
          <w:rFonts w:hint="eastAsia"/>
          <w:b/>
          <w:u w:val="single"/>
        </w:rPr>
        <w:t>计，则废丝包漆料桶产生量为一期</w:t>
      </w:r>
      <w:r w:rsidRPr="002F5FB6">
        <w:rPr>
          <w:rFonts w:hint="eastAsia"/>
          <w:b/>
          <w:u w:val="single"/>
        </w:rPr>
        <w:t>0.6t/a</w:t>
      </w:r>
      <w:r w:rsidRPr="002F5FB6">
        <w:rPr>
          <w:rFonts w:hint="eastAsia"/>
          <w:b/>
          <w:u w:val="single"/>
        </w:rPr>
        <w:t>、二期</w:t>
      </w:r>
      <w:r w:rsidRPr="002F5FB6">
        <w:rPr>
          <w:rFonts w:hint="eastAsia"/>
          <w:b/>
          <w:u w:val="single"/>
        </w:rPr>
        <w:t>0.5t/a</w:t>
      </w:r>
      <w:r w:rsidRPr="002F5FB6">
        <w:rPr>
          <w:rFonts w:hint="eastAsia"/>
          <w:b/>
          <w:u w:val="single"/>
        </w:rPr>
        <w:t>。</w:t>
      </w:r>
      <w:r>
        <w:rPr>
          <w:rFonts w:hint="eastAsia"/>
        </w:rPr>
        <w:t>丝包漆料桶</w:t>
      </w:r>
      <w:r>
        <w:t>属于危险废物（</w:t>
      </w:r>
      <w:r>
        <w:t>HW49</w:t>
      </w:r>
      <w:r>
        <w:t>其它废物</w:t>
      </w:r>
      <w:r>
        <w:rPr>
          <w:rFonts w:hint="eastAsia"/>
        </w:rPr>
        <w:t>，危险废物代码：</w:t>
      </w:r>
      <w:r>
        <w:t>900-041-49</w:t>
      </w:r>
      <w:r>
        <w:t>），评价要求</w:t>
      </w:r>
      <w:r>
        <w:rPr>
          <w:rFonts w:hint="eastAsia"/>
        </w:rPr>
        <w:t>储存于托盘上</w:t>
      </w:r>
      <w:r>
        <w:t>，</w:t>
      </w:r>
      <w:r>
        <w:rPr>
          <w:rFonts w:hint="eastAsia"/>
        </w:rPr>
        <w:t>暂存于现有</w:t>
      </w:r>
      <w:r>
        <w:rPr>
          <w:rFonts w:hint="eastAsia"/>
        </w:rPr>
        <w:t>2#</w:t>
      </w:r>
      <w:r>
        <w:t>危废暂存间</w:t>
      </w:r>
      <w:r>
        <w:rPr>
          <w:rFonts w:hint="eastAsia"/>
        </w:rPr>
        <w:t>（</w:t>
      </w:r>
      <w:r>
        <w:rPr>
          <w:rFonts w:hint="eastAsia"/>
        </w:rPr>
        <w:t>33</w:t>
      </w:r>
      <w:r>
        <w:t>m</w:t>
      </w:r>
      <w:r>
        <w:rPr>
          <w:vertAlign w:val="superscript"/>
        </w:rPr>
        <w:t>2</w:t>
      </w:r>
      <w:r>
        <w:rPr>
          <w:rFonts w:hint="eastAsia"/>
        </w:rPr>
        <w:t>）</w:t>
      </w:r>
      <w:r>
        <w:t>暂存后定期委托有资质单位进行安全处置。</w:t>
      </w:r>
    </w:p>
    <w:p w:rsidR="00EE56C0" w:rsidRDefault="000F36A1">
      <w:pPr>
        <w:spacing w:line="460" w:lineRule="exact"/>
        <w:ind w:firstLine="480"/>
      </w:pPr>
      <w:r>
        <w:rPr>
          <w:rFonts w:hint="eastAsia"/>
        </w:rPr>
        <w:t>（</w:t>
      </w:r>
      <w:r>
        <w:rPr>
          <w:rFonts w:hint="eastAsia"/>
        </w:rPr>
        <w:t>3</w:t>
      </w:r>
      <w:r>
        <w:rPr>
          <w:rFonts w:hint="eastAsia"/>
        </w:rPr>
        <w:t>）含漆料</w:t>
      </w:r>
      <w:r>
        <w:rPr>
          <w:rFonts w:hint="eastAsia"/>
        </w:rPr>
        <w:t>/</w:t>
      </w:r>
      <w:r>
        <w:rPr>
          <w:rFonts w:hint="eastAsia"/>
        </w:rPr>
        <w:t>油的废毛毡</w:t>
      </w:r>
    </w:p>
    <w:p w:rsidR="00EE56C0" w:rsidRDefault="000F36A1">
      <w:pPr>
        <w:spacing w:line="460" w:lineRule="exact"/>
        <w:ind w:firstLine="480"/>
      </w:pPr>
      <w:r>
        <w:rPr>
          <w:rFonts w:hint="eastAsia"/>
        </w:rPr>
        <w:t>项目铜线在拉拔</w:t>
      </w:r>
      <w:r>
        <w:rPr>
          <w:rFonts w:hint="eastAsia"/>
        </w:rPr>
        <w:t>/</w:t>
      </w:r>
      <w:r>
        <w:rPr>
          <w:rFonts w:hint="eastAsia"/>
        </w:rPr>
        <w:t>拉丝过程会使用拉丝液，之后经过带毛毡的传动装置，毛毡会沾染拉丝剂，铜线浸漆后也会经过带毛毡的传动装置，毛毡会沾染漆料。沾染漆料</w:t>
      </w:r>
      <w:r>
        <w:rPr>
          <w:rFonts w:hint="eastAsia"/>
        </w:rPr>
        <w:t>/</w:t>
      </w:r>
      <w:r>
        <w:rPr>
          <w:rFonts w:hint="eastAsia"/>
        </w:rPr>
        <w:t>油的毛毡属于危险废物</w:t>
      </w:r>
      <w:r>
        <w:rPr>
          <w:szCs w:val="24"/>
        </w:rPr>
        <w:t>（</w:t>
      </w:r>
      <w:r>
        <w:rPr>
          <w:szCs w:val="24"/>
        </w:rPr>
        <w:t>HW49</w:t>
      </w:r>
      <w:r>
        <w:rPr>
          <w:szCs w:val="24"/>
        </w:rPr>
        <w:t>其它废物</w:t>
      </w:r>
      <w:r>
        <w:rPr>
          <w:rFonts w:hint="eastAsia"/>
        </w:rPr>
        <w:t>，危险废物代码：</w:t>
      </w:r>
      <w:r>
        <w:t>900-041-49</w:t>
      </w:r>
      <w:r>
        <w:rPr>
          <w:szCs w:val="24"/>
        </w:rPr>
        <w:t>）</w:t>
      </w:r>
      <w:r>
        <w:rPr>
          <w:rFonts w:hint="eastAsia"/>
        </w:rPr>
        <w:t>，毛毡每年用量为一期</w:t>
      </w:r>
      <w:r>
        <w:rPr>
          <w:rFonts w:hint="eastAsia"/>
        </w:rPr>
        <w:t>0.3t/a</w:t>
      </w:r>
      <w:r>
        <w:rPr>
          <w:rFonts w:hint="eastAsia"/>
        </w:rPr>
        <w:t>、二期</w:t>
      </w:r>
      <w:r>
        <w:rPr>
          <w:rFonts w:hint="eastAsia"/>
        </w:rPr>
        <w:t>0.7t/a</w:t>
      </w:r>
      <w:r>
        <w:rPr>
          <w:rFonts w:hint="eastAsia"/>
        </w:rPr>
        <w:t>。</w:t>
      </w:r>
      <w:r>
        <w:t>评价要求</w:t>
      </w:r>
      <w:r>
        <w:rPr>
          <w:rFonts w:hint="eastAsia"/>
        </w:rPr>
        <w:t>储存于专用密闭容器收集</w:t>
      </w:r>
      <w:r>
        <w:t>，</w:t>
      </w:r>
      <w:r>
        <w:rPr>
          <w:rFonts w:hint="eastAsia"/>
        </w:rPr>
        <w:t>暂存于现有</w:t>
      </w:r>
      <w:r>
        <w:rPr>
          <w:rFonts w:hint="eastAsia"/>
        </w:rPr>
        <w:t>2#</w:t>
      </w:r>
      <w:r>
        <w:t>危废暂存间</w:t>
      </w:r>
      <w:r>
        <w:rPr>
          <w:rFonts w:hint="eastAsia"/>
        </w:rPr>
        <w:t>（</w:t>
      </w:r>
      <w:r>
        <w:rPr>
          <w:rFonts w:hint="eastAsia"/>
        </w:rPr>
        <w:t>33</w:t>
      </w:r>
      <w:r>
        <w:t xml:space="preserve"> m</w:t>
      </w:r>
      <w:r>
        <w:rPr>
          <w:vertAlign w:val="superscript"/>
        </w:rPr>
        <w:t>2</w:t>
      </w:r>
      <w:r>
        <w:rPr>
          <w:rFonts w:hint="eastAsia"/>
        </w:rPr>
        <w:t>）</w:t>
      </w:r>
      <w:r>
        <w:t>暂存后定期委托有资质单位进行安全处置。</w:t>
      </w:r>
    </w:p>
    <w:p w:rsidR="00EE56C0" w:rsidRDefault="000F36A1">
      <w:pPr>
        <w:pStyle w:val="aff2"/>
        <w:ind w:firstLine="480"/>
        <w:rPr>
          <w:color w:val="auto"/>
        </w:rPr>
      </w:pPr>
      <w:r>
        <w:rPr>
          <w:color w:val="auto"/>
        </w:rPr>
        <w:t>（</w:t>
      </w:r>
      <w:r>
        <w:rPr>
          <w:rFonts w:hint="eastAsia"/>
          <w:color w:val="auto"/>
        </w:rPr>
        <w:t>4</w:t>
      </w:r>
      <w:r>
        <w:rPr>
          <w:color w:val="auto"/>
        </w:rPr>
        <w:t>）</w:t>
      </w:r>
      <w:r>
        <w:rPr>
          <w:rFonts w:hint="eastAsia"/>
          <w:color w:val="auto"/>
        </w:rPr>
        <w:t>废油</w:t>
      </w:r>
      <w:r>
        <w:rPr>
          <w:rFonts w:hint="eastAsia"/>
          <w:color w:val="auto"/>
        </w:rPr>
        <w:t xml:space="preserve"> </w:t>
      </w:r>
    </w:p>
    <w:p w:rsidR="00EE56C0" w:rsidRDefault="000F36A1">
      <w:pPr>
        <w:ind w:firstLine="480"/>
      </w:pPr>
      <w:r>
        <w:rPr>
          <w:rFonts w:hint="eastAsia"/>
          <w:szCs w:val="24"/>
        </w:rPr>
        <w:t>根据企业设计资料，静电除油装置配套收油槽会收集一部分废油。根据现有</w:t>
      </w:r>
      <w:r>
        <w:rPr>
          <w:rFonts w:hint="eastAsia"/>
          <w:szCs w:val="24"/>
        </w:rPr>
        <w:lastRenderedPageBreak/>
        <w:t>工程废油的产生情况进行核算，废油收集量为一期</w:t>
      </w:r>
      <w:r>
        <w:rPr>
          <w:rFonts w:hint="eastAsia"/>
        </w:rPr>
        <w:t>0.3t/a</w:t>
      </w:r>
      <w:r>
        <w:rPr>
          <w:rFonts w:hint="eastAsia"/>
          <w:szCs w:val="24"/>
        </w:rPr>
        <w:t>、</w:t>
      </w:r>
      <w:r>
        <w:rPr>
          <w:rFonts w:hint="eastAsia"/>
        </w:rPr>
        <w:t>二期</w:t>
      </w:r>
      <w:r>
        <w:rPr>
          <w:rFonts w:hint="eastAsia"/>
        </w:rPr>
        <w:t>0.7t/a</w:t>
      </w:r>
      <w:r>
        <w:rPr>
          <w:rFonts w:hint="eastAsia"/>
        </w:rPr>
        <w:t>，</w:t>
      </w:r>
      <w:r>
        <w:t>危废代码</w:t>
      </w:r>
      <w:r>
        <w:rPr>
          <w:rFonts w:hint="eastAsia"/>
        </w:rPr>
        <w:t>均</w:t>
      </w:r>
      <w:r>
        <w:t>为</w:t>
      </w:r>
      <w:r>
        <w:t>HW</w:t>
      </w:r>
      <w:r>
        <w:rPr>
          <w:rFonts w:hint="eastAsia"/>
        </w:rPr>
        <w:t>08</w:t>
      </w:r>
      <w:r>
        <w:t>（废</w:t>
      </w:r>
      <w:r>
        <w:rPr>
          <w:rFonts w:hint="eastAsia"/>
        </w:rPr>
        <w:t>矿物油与含矿物油废物，危险废物代码：</w:t>
      </w:r>
      <w:r>
        <w:t>900-</w:t>
      </w:r>
      <w:r>
        <w:rPr>
          <w:rFonts w:hint="eastAsia"/>
        </w:rPr>
        <w:t>249</w:t>
      </w:r>
      <w:r>
        <w:t>-</w:t>
      </w:r>
      <w:r>
        <w:rPr>
          <w:rFonts w:hint="eastAsia"/>
        </w:rPr>
        <w:t>08</w:t>
      </w:r>
      <w:r>
        <w:t>）</w:t>
      </w:r>
      <w:r>
        <w:rPr>
          <w:rFonts w:hint="eastAsia"/>
        </w:rPr>
        <w:t>。</w:t>
      </w:r>
      <w:r>
        <w:rPr>
          <w:rFonts w:hint="eastAsia"/>
          <w:szCs w:val="24"/>
        </w:rPr>
        <w:t>废油</w:t>
      </w:r>
      <w:r>
        <w:rPr>
          <w:rFonts w:hint="eastAsia"/>
        </w:rPr>
        <w:t>由专用密闭容器收集、暂存于现有</w:t>
      </w:r>
      <w:r>
        <w:rPr>
          <w:rFonts w:hint="eastAsia"/>
        </w:rPr>
        <w:t>1#</w:t>
      </w:r>
      <w:r>
        <w:t>危废暂存间</w:t>
      </w:r>
      <w:r>
        <w:rPr>
          <w:rFonts w:hint="eastAsia"/>
        </w:rPr>
        <w:t>（</w:t>
      </w:r>
      <w:r>
        <w:rPr>
          <w:rFonts w:hint="eastAsia"/>
        </w:rPr>
        <w:t>27</w:t>
      </w:r>
      <w:r>
        <w:t>m</w:t>
      </w:r>
      <w:r>
        <w:rPr>
          <w:vertAlign w:val="superscript"/>
        </w:rPr>
        <w:t>2</w:t>
      </w:r>
      <w:r>
        <w:rPr>
          <w:rFonts w:hint="eastAsia"/>
        </w:rPr>
        <w:t>），定期交由有资质单位安全处理。</w:t>
      </w:r>
    </w:p>
    <w:p w:rsidR="00EE56C0" w:rsidRDefault="000F36A1">
      <w:pPr>
        <w:pStyle w:val="aff2"/>
        <w:ind w:firstLine="480"/>
        <w:rPr>
          <w:color w:val="auto"/>
        </w:rPr>
      </w:pPr>
      <w:r>
        <w:rPr>
          <w:rFonts w:hint="eastAsia"/>
          <w:color w:val="auto"/>
        </w:rPr>
        <w:t>（</w:t>
      </w:r>
      <w:r>
        <w:rPr>
          <w:rFonts w:hint="eastAsia"/>
          <w:color w:val="auto"/>
        </w:rPr>
        <w:t>5</w:t>
      </w:r>
      <w:r>
        <w:rPr>
          <w:rFonts w:hint="eastAsia"/>
          <w:color w:val="auto"/>
        </w:rPr>
        <w:t>）废活性炭</w:t>
      </w:r>
      <w:r>
        <w:rPr>
          <w:rFonts w:hint="eastAsia"/>
          <w:color w:val="auto"/>
        </w:rPr>
        <w:t xml:space="preserve"> </w:t>
      </w:r>
    </w:p>
    <w:p w:rsidR="00EE56C0" w:rsidRDefault="000F36A1">
      <w:pPr>
        <w:ind w:firstLine="480"/>
        <w:rPr>
          <w:szCs w:val="24"/>
        </w:rPr>
      </w:pPr>
      <w:r>
        <w:rPr>
          <w:rFonts w:hint="eastAsia"/>
          <w:szCs w:val="24"/>
        </w:rPr>
        <w:t>根据企业设计资料，现有活性炭吸附装置中活性炭转轮为</w:t>
      </w:r>
      <w:r>
        <w:rPr>
          <w:rFonts w:hint="eastAsia"/>
          <w:szCs w:val="24"/>
        </w:rPr>
        <w:t>10m</w:t>
      </w:r>
      <w:r>
        <w:rPr>
          <w:rFonts w:hint="eastAsia"/>
          <w:szCs w:val="24"/>
          <w:vertAlign w:val="superscript"/>
        </w:rPr>
        <w:t>3</w:t>
      </w:r>
      <w:r>
        <w:rPr>
          <w:rFonts w:hint="eastAsia"/>
          <w:szCs w:val="24"/>
        </w:rPr>
        <w:t>（合计</w:t>
      </w:r>
      <w:r>
        <w:rPr>
          <w:rFonts w:hint="eastAsia"/>
          <w:szCs w:val="24"/>
        </w:rPr>
        <w:t>5t</w:t>
      </w:r>
      <w:r>
        <w:rPr>
          <w:rFonts w:hint="eastAsia"/>
          <w:szCs w:val="24"/>
        </w:rPr>
        <w:t>），一般活性炭密度</w:t>
      </w:r>
      <w:r>
        <w:rPr>
          <w:rFonts w:hint="eastAsia"/>
          <w:szCs w:val="24"/>
        </w:rPr>
        <w:t>0.55g/cm</w:t>
      </w:r>
      <w:r>
        <w:rPr>
          <w:rFonts w:hint="eastAsia"/>
          <w:szCs w:val="24"/>
          <w:vertAlign w:val="superscript"/>
        </w:rPr>
        <w:t>3</w:t>
      </w:r>
      <w:r>
        <w:rPr>
          <w:rFonts w:hint="eastAsia"/>
          <w:szCs w:val="24"/>
        </w:rPr>
        <w:t>，活性炭吸附</w:t>
      </w:r>
      <w:r>
        <w:rPr>
          <w:rFonts w:hint="eastAsia"/>
          <w:szCs w:val="24"/>
        </w:rPr>
        <w:t>-</w:t>
      </w:r>
      <w:r>
        <w:rPr>
          <w:rFonts w:hint="eastAsia"/>
          <w:szCs w:val="24"/>
        </w:rPr>
        <w:t>脱附</w:t>
      </w:r>
      <w:r>
        <w:rPr>
          <w:rFonts w:hint="eastAsia"/>
          <w:szCs w:val="24"/>
        </w:rPr>
        <w:t>-</w:t>
      </w:r>
      <w:r>
        <w:rPr>
          <w:rFonts w:hint="eastAsia"/>
          <w:szCs w:val="24"/>
        </w:rPr>
        <w:t>催化燃烧装置的活性炭每</w:t>
      </w:r>
      <w:r>
        <w:rPr>
          <w:rFonts w:hint="eastAsia"/>
          <w:szCs w:val="24"/>
        </w:rPr>
        <w:t>2</w:t>
      </w:r>
      <w:r>
        <w:rPr>
          <w:rFonts w:hint="eastAsia"/>
          <w:szCs w:val="24"/>
        </w:rPr>
        <w:t>年更换一次，每次全部更换，废活性炭的产生量为</w:t>
      </w:r>
      <w:r>
        <w:rPr>
          <w:rFonts w:hint="eastAsia"/>
          <w:szCs w:val="24"/>
        </w:rPr>
        <w:t>5.5t/2</w:t>
      </w:r>
      <w:r>
        <w:rPr>
          <w:rFonts w:hint="eastAsia"/>
          <w:szCs w:val="24"/>
        </w:rPr>
        <w:t>年（</w:t>
      </w:r>
      <w:r>
        <w:rPr>
          <w:rFonts w:hint="eastAsia"/>
          <w:szCs w:val="24"/>
        </w:rPr>
        <w:t>2.75t/a</w:t>
      </w:r>
      <w:r>
        <w:rPr>
          <w:rFonts w:hint="eastAsia"/>
          <w:szCs w:val="24"/>
        </w:rPr>
        <w:t>），则每次活性充装量为</w:t>
      </w:r>
      <w:r>
        <w:rPr>
          <w:rFonts w:hint="eastAsia"/>
          <w:szCs w:val="24"/>
        </w:rPr>
        <w:t>5.5t/2</w:t>
      </w:r>
      <w:r>
        <w:rPr>
          <w:rFonts w:hint="eastAsia"/>
          <w:szCs w:val="24"/>
        </w:rPr>
        <w:t>年。</w:t>
      </w:r>
      <w:r>
        <w:rPr>
          <w:szCs w:val="24"/>
        </w:rPr>
        <w:t>废活性炭属于危险废物（</w:t>
      </w:r>
      <w:r>
        <w:rPr>
          <w:szCs w:val="24"/>
        </w:rPr>
        <w:t>HW49</w:t>
      </w:r>
      <w:r>
        <w:rPr>
          <w:szCs w:val="24"/>
        </w:rPr>
        <w:t>其它废物</w:t>
      </w:r>
      <w:r>
        <w:rPr>
          <w:rFonts w:hint="eastAsia"/>
        </w:rPr>
        <w:t>，危险废物代码：</w:t>
      </w:r>
      <w:r>
        <w:t>900-041-49</w:t>
      </w:r>
      <w:r>
        <w:rPr>
          <w:szCs w:val="24"/>
        </w:rPr>
        <w:t>），评价要求</w:t>
      </w:r>
      <w:r>
        <w:rPr>
          <w:rFonts w:hint="eastAsia"/>
          <w:szCs w:val="24"/>
        </w:rPr>
        <w:t>密闭桶装</w:t>
      </w:r>
      <w:r>
        <w:rPr>
          <w:szCs w:val="24"/>
        </w:rPr>
        <w:t>收集</w:t>
      </w:r>
      <w:r>
        <w:t>，</w:t>
      </w:r>
      <w:r>
        <w:rPr>
          <w:rFonts w:hint="eastAsia"/>
        </w:rPr>
        <w:t>暂存于现有</w:t>
      </w:r>
      <w:r>
        <w:rPr>
          <w:rFonts w:hint="eastAsia"/>
        </w:rPr>
        <w:t>2#</w:t>
      </w:r>
      <w:r>
        <w:t>危废暂存间</w:t>
      </w:r>
      <w:r>
        <w:rPr>
          <w:rFonts w:hint="eastAsia"/>
        </w:rPr>
        <w:t>（</w:t>
      </w:r>
      <w:r>
        <w:rPr>
          <w:rFonts w:hint="eastAsia"/>
        </w:rPr>
        <w:t>33</w:t>
      </w:r>
      <w:r>
        <w:t>m</w:t>
      </w:r>
      <w:r>
        <w:rPr>
          <w:vertAlign w:val="superscript"/>
        </w:rPr>
        <w:t>2</w:t>
      </w:r>
      <w:r>
        <w:rPr>
          <w:rFonts w:hint="eastAsia"/>
        </w:rPr>
        <w:t>）</w:t>
      </w:r>
      <w:r>
        <w:t>暂存后定期委托有资质单位进行安全处置</w:t>
      </w:r>
      <w:r>
        <w:rPr>
          <w:szCs w:val="24"/>
        </w:rPr>
        <w:t>。</w:t>
      </w:r>
    </w:p>
    <w:p w:rsidR="00EE56C0" w:rsidRDefault="000F36A1">
      <w:pPr>
        <w:ind w:firstLine="480"/>
      </w:pPr>
      <w:r>
        <w:t>（</w:t>
      </w:r>
      <w:r>
        <w:rPr>
          <w:rFonts w:hint="eastAsia"/>
        </w:rPr>
        <w:t>6</w:t>
      </w:r>
      <w:r>
        <w:t>）</w:t>
      </w:r>
      <w:r>
        <w:rPr>
          <w:rFonts w:hint="eastAsia"/>
        </w:rPr>
        <w:t>废催化剂</w:t>
      </w:r>
      <w:r>
        <w:rPr>
          <w:rFonts w:hint="eastAsia"/>
        </w:rPr>
        <w:t xml:space="preserve"> </w:t>
      </w:r>
    </w:p>
    <w:p w:rsidR="00EE56C0" w:rsidRDefault="000F36A1">
      <w:pPr>
        <w:ind w:firstLine="480"/>
        <w:rPr>
          <w:szCs w:val="24"/>
        </w:rPr>
      </w:pPr>
      <w:r>
        <w:rPr>
          <w:szCs w:val="24"/>
        </w:rPr>
        <w:t>本项目</w:t>
      </w:r>
      <w:r>
        <w:rPr>
          <w:rFonts w:hint="eastAsia"/>
          <w:szCs w:val="24"/>
        </w:rPr>
        <w:t>漆包机炉内自带及加装的</w:t>
      </w:r>
      <w:r>
        <w:rPr>
          <w:szCs w:val="24"/>
        </w:rPr>
        <w:t>催化燃烧装置</w:t>
      </w:r>
      <w:r>
        <w:rPr>
          <w:rFonts w:hint="eastAsia"/>
          <w:szCs w:val="24"/>
        </w:rPr>
        <w:t>及后期废气治理措施</w:t>
      </w:r>
      <w:r>
        <w:rPr>
          <w:szCs w:val="24"/>
        </w:rPr>
        <w:t>装置中的催化剂在使用一段时间后需要更换，更换频次为</w:t>
      </w:r>
      <w:r>
        <w:rPr>
          <w:rFonts w:hint="eastAsia"/>
          <w:szCs w:val="24"/>
        </w:rPr>
        <w:t>2</w:t>
      </w:r>
      <w:r>
        <w:rPr>
          <w:szCs w:val="24"/>
        </w:rPr>
        <w:t>年更换一次，固废产生量为</w:t>
      </w:r>
      <w:r>
        <w:rPr>
          <w:rFonts w:hint="eastAsia"/>
          <w:szCs w:val="24"/>
        </w:rPr>
        <w:t>一期</w:t>
      </w:r>
      <w:r>
        <w:rPr>
          <w:rFonts w:hint="eastAsia"/>
          <w:szCs w:val="24"/>
        </w:rPr>
        <w:t>0.2t</w:t>
      </w:r>
      <w:r>
        <w:rPr>
          <w:szCs w:val="24"/>
        </w:rPr>
        <w:t>/a</w:t>
      </w:r>
      <w:r>
        <w:rPr>
          <w:rFonts w:hint="eastAsia"/>
          <w:szCs w:val="24"/>
        </w:rPr>
        <w:t>、二期</w:t>
      </w:r>
      <w:r>
        <w:rPr>
          <w:rFonts w:hint="eastAsia"/>
          <w:szCs w:val="24"/>
        </w:rPr>
        <w:t>0.4t</w:t>
      </w:r>
      <w:r>
        <w:rPr>
          <w:szCs w:val="24"/>
        </w:rPr>
        <w:t>/a</w:t>
      </w:r>
      <w:r>
        <w:rPr>
          <w:szCs w:val="24"/>
        </w:rPr>
        <w:t>，属于</w:t>
      </w:r>
      <w:r>
        <w:rPr>
          <w:szCs w:val="24"/>
        </w:rPr>
        <w:t>HW50</w:t>
      </w:r>
      <w:r>
        <w:rPr>
          <w:szCs w:val="24"/>
        </w:rPr>
        <w:t>中</w:t>
      </w:r>
      <w:r>
        <w:rPr>
          <w:szCs w:val="24"/>
        </w:rPr>
        <w:t>772-007-50</w:t>
      </w:r>
      <w:r>
        <w:rPr>
          <w:szCs w:val="24"/>
        </w:rPr>
        <w:t>废催化剂，评价要求</w:t>
      </w:r>
      <w:r>
        <w:rPr>
          <w:rFonts w:hint="eastAsia"/>
          <w:szCs w:val="24"/>
        </w:rPr>
        <w:t>桶装</w:t>
      </w:r>
      <w:r>
        <w:rPr>
          <w:szCs w:val="24"/>
        </w:rPr>
        <w:t>收集、危</w:t>
      </w:r>
      <w:r>
        <w:rPr>
          <w:rFonts w:hint="eastAsia"/>
        </w:rPr>
        <w:t>暂存于现有</w:t>
      </w:r>
      <w:r>
        <w:rPr>
          <w:rFonts w:hint="eastAsia"/>
        </w:rPr>
        <w:t>1#</w:t>
      </w:r>
      <w:r>
        <w:t>危废暂存间</w:t>
      </w:r>
      <w:r>
        <w:rPr>
          <w:rFonts w:hint="eastAsia"/>
        </w:rPr>
        <w:t>（</w:t>
      </w:r>
      <w:r>
        <w:rPr>
          <w:rFonts w:hint="eastAsia"/>
        </w:rPr>
        <w:t>27</w:t>
      </w:r>
      <w:r>
        <w:t xml:space="preserve"> m</w:t>
      </w:r>
      <w:r>
        <w:rPr>
          <w:vertAlign w:val="superscript"/>
        </w:rPr>
        <w:t>2</w:t>
      </w:r>
      <w:r>
        <w:rPr>
          <w:rFonts w:hint="eastAsia"/>
        </w:rPr>
        <w:t>）</w:t>
      </w:r>
      <w:r>
        <w:t>暂存后定期委托有资质单位进行安全处置。</w:t>
      </w:r>
    </w:p>
    <w:p w:rsidR="00EE56C0" w:rsidRDefault="000F36A1">
      <w:pPr>
        <w:ind w:firstLine="480"/>
      </w:pPr>
      <w:r>
        <w:rPr>
          <w:rFonts w:hint="eastAsia"/>
        </w:rPr>
        <w:t>（</w:t>
      </w:r>
      <w:r>
        <w:rPr>
          <w:rFonts w:hint="eastAsia"/>
        </w:rPr>
        <w:t>7</w:t>
      </w:r>
      <w:r>
        <w:rPr>
          <w:rFonts w:hint="eastAsia"/>
        </w:rPr>
        <w:t>）废沸石分子筛</w:t>
      </w:r>
      <w:r>
        <w:rPr>
          <w:rFonts w:hint="eastAsia"/>
        </w:rPr>
        <w:t xml:space="preserve"> </w:t>
      </w:r>
    </w:p>
    <w:p w:rsidR="00EE56C0" w:rsidRDefault="000F36A1">
      <w:pPr>
        <w:ind w:firstLine="480"/>
      </w:pPr>
      <w:r>
        <w:rPr>
          <w:rFonts w:hint="eastAsia"/>
        </w:rPr>
        <w:t>项目废气治理沸石转轮吸附装置，沸石分子筛经多次吸附解析脱附后需要更换，根据废气措施设计资料，更换周期为</w:t>
      </w:r>
      <w:r>
        <w:rPr>
          <w:rFonts w:hint="eastAsia"/>
        </w:rPr>
        <w:t>5</w:t>
      </w:r>
      <w:r>
        <w:rPr>
          <w:rFonts w:hint="eastAsia"/>
        </w:rPr>
        <w:t>年，根据《国家危险废物名录》（</w:t>
      </w:r>
      <w:r>
        <w:t>20</w:t>
      </w:r>
      <w:r>
        <w:rPr>
          <w:rFonts w:hint="eastAsia"/>
        </w:rPr>
        <w:t>21</w:t>
      </w:r>
      <w:r>
        <w:rPr>
          <w:rFonts w:hint="eastAsia"/>
        </w:rPr>
        <w:t>），更换后的沸石分子筛属于</w:t>
      </w:r>
      <w:r>
        <w:t>HW49</w:t>
      </w:r>
      <w:r>
        <w:rPr>
          <w:rFonts w:hint="eastAsia"/>
        </w:rPr>
        <w:t>其他废物，危险废物代码：</w:t>
      </w:r>
      <w:r>
        <w:t>900-041-49</w:t>
      </w:r>
      <w:r>
        <w:rPr>
          <w:rFonts w:hint="eastAsia"/>
        </w:rPr>
        <w:t>，一期废沸石分子筛重量总计</w:t>
      </w:r>
      <w:r>
        <w:rPr>
          <w:rFonts w:hint="eastAsia"/>
        </w:rPr>
        <w:t>15</w:t>
      </w:r>
      <w:r>
        <w:t>t</w:t>
      </w:r>
      <w:r>
        <w:rPr>
          <w:rFonts w:hint="eastAsia"/>
        </w:rPr>
        <w:t>，产生量为</w:t>
      </w:r>
      <w:r>
        <w:rPr>
          <w:rFonts w:hint="eastAsia"/>
        </w:rPr>
        <w:t>3t/a</w:t>
      </w:r>
      <w:r>
        <w:rPr>
          <w:rFonts w:hint="eastAsia"/>
        </w:rPr>
        <w:t>，评价要求桶装收集、暂存于现有</w:t>
      </w:r>
      <w:r>
        <w:rPr>
          <w:rFonts w:hint="eastAsia"/>
        </w:rPr>
        <w:t>2#</w:t>
      </w:r>
      <w:r>
        <w:t>危废暂存间</w:t>
      </w:r>
      <w:r>
        <w:rPr>
          <w:rFonts w:hint="eastAsia"/>
        </w:rPr>
        <w:t>（</w:t>
      </w:r>
      <w:r>
        <w:rPr>
          <w:rFonts w:hint="eastAsia"/>
        </w:rPr>
        <w:t>33</w:t>
      </w:r>
      <w:r>
        <w:t>m</w:t>
      </w:r>
      <w:r>
        <w:rPr>
          <w:vertAlign w:val="superscript"/>
        </w:rPr>
        <w:t>2</w:t>
      </w:r>
      <w:r>
        <w:rPr>
          <w:rFonts w:hint="eastAsia"/>
        </w:rPr>
        <w:t>）</w:t>
      </w:r>
      <w:r>
        <w:t>暂存后定期委托有资质单位进行安全处置。</w:t>
      </w:r>
    </w:p>
    <w:p w:rsidR="00212B58" w:rsidRDefault="00212B58">
      <w:pPr>
        <w:pStyle w:val="afd"/>
        <w:spacing w:before="120" w:after="120"/>
        <w:ind w:firstLine="482"/>
      </w:pPr>
    </w:p>
    <w:p w:rsidR="00212B58" w:rsidRDefault="00212B58">
      <w:pPr>
        <w:pStyle w:val="afd"/>
        <w:spacing w:before="120" w:after="120"/>
        <w:ind w:firstLine="482"/>
      </w:pPr>
    </w:p>
    <w:p w:rsidR="00212B58" w:rsidRDefault="00212B58">
      <w:pPr>
        <w:pStyle w:val="afd"/>
        <w:spacing w:before="120" w:after="120"/>
        <w:ind w:firstLine="482"/>
      </w:pPr>
    </w:p>
    <w:p w:rsidR="00212B58" w:rsidRDefault="00212B58">
      <w:pPr>
        <w:pStyle w:val="afd"/>
        <w:spacing w:before="120" w:after="120"/>
        <w:ind w:firstLine="482"/>
      </w:pPr>
    </w:p>
    <w:p w:rsidR="00EE56C0" w:rsidRDefault="000F36A1">
      <w:pPr>
        <w:pStyle w:val="afd"/>
        <w:spacing w:before="120" w:after="120"/>
        <w:ind w:firstLine="482"/>
      </w:pPr>
      <w:r>
        <w:lastRenderedPageBreak/>
        <w:t>表</w:t>
      </w:r>
      <w:r>
        <w:rPr>
          <w:rFonts w:hint="eastAsia"/>
        </w:rPr>
        <w:t>3-61</w:t>
      </w:r>
      <w:r>
        <w:t xml:space="preserve">                  </w:t>
      </w:r>
      <w:r>
        <w:t>固体废物详情一览表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84"/>
        <w:gridCol w:w="1269"/>
        <w:gridCol w:w="1057"/>
        <w:gridCol w:w="1252"/>
        <w:gridCol w:w="1325"/>
        <w:gridCol w:w="2441"/>
      </w:tblGrid>
      <w:tr w:rsidR="00EE56C0">
        <w:trPr>
          <w:trHeight w:val="454"/>
          <w:jc w:val="center"/>
        </w:trPr>
        <w:tc>
          <w:tcPr>
            <w:tcW w:w="694" w:type="pct"/>
            <w:vMerge w:val="restart"/>
            <w:vAlign w:val="center"/>
          </w:tcPr>
          <w:p w:rsidR="00EE56C0" w:rsidRDefault="000F36A1">
            <w:pPr>
              <w:pStyle w:val="aff1"/>
              <w:rPr>
                <w:color w:val="auto"/>
              </w:rPr>
            </w:pPr>
            <w:r>
              <w:rPr>
                <w:color w:val="auto"/>
              </w:rPr>
              <w:t>排放源</w:t>
            </w:r>
          </w:p>
        </w:tc>
        <w:tc>
          <w:tcPr>
            <w:tcW w:w="744" w:type="pct"/>
            <w:vMerge w:val="restart"/>
            <w:vAlign w:val="center"/>
          </w:tcPr>
          <w:p w:rsidR="00EE56C0" w:rsidRDefault="000F36A1">
            <w:pPr>
              <w:pStyle w:val="aff1"/>
              <w:rPr>
                <w:color w:val="auto"/>
              </w:rPr>
            </w:pPr>
            <w:r>
              <w:rPr>
                <w:color w:val="auto"/>
              </w:rPr>
              <w:t>固废名称</w:t>
            </w:r>
          </w:p>
        </w:tc>
        <w:tc>
          <w:tcPr>
            <w:tcW w:w="620" w:type="pct"/>
            <w:vMerge w:val="restart"/>
            <w:vAlign w:val="center"/>
          </w:tcPr>
          <w:p w:rsidR="00EE56C0" w:rsidRDefault="000F36A1">
            <w:pPr>
              <w:pStyle w:val="aff1"/>
              <w:rPr>
                <w:color w:val="auto"/>
              </w:rPr>
            </w:pPr>
            <w:r>
              <w:rPr>
                <w:color w:val="auto"/>
              </w:rPr>
              <w:t>固废</w:t>
            </w:r>
          </w:p>
          <w:p w:rsidR="00EE56C0" w:rsidRDefault="000F36A1">
            <w:pPr>
              <w:pStyle w:val="aff1"/>
              <w:rPr>
                <w:color w:val="auto"/>
              </w:rPr>
            </w:pPr>
            <w:r>
              <w:rPr>
                <w:color w:val="auto"/>
              </w:rPr>
              <w:t>性质</w:t>
            </w:r>
          </w:p>
        </w:tc>
        <w:tc>
          <w:tcPr>
            <w:tcW w:w="1511" w:type="pct"/>
            <w:gridSpan w:val="2"/>
            <w:vAlign w:val="center"/>
          </w:tcPr>
          <w:p w:rsidR="00EE56C0" w:rsidRDefault="000F36A1">
            <w:pPr>
              <w:pStyle w:val="aff1"/>
              <w:rPr>
                <w:color w:val="auto"/>
              </w:rPr>
            </w:pPr>
            <w:r>
              <w:rPr>
                <w:color w:val="auto"/>
              </w:rPr>
              <w:t>产生量（</w:t>
            </w:r>
            <w:r>
              <w:rPr>
                <w:color w:val="auto"/>
              </w:rPr>
              <w:t>t/a</w:t>
            </w:r>
            <w:r>
              <w:rPr>
                <w:color w:val="auto"/>
              </w:rPr>
              <w:t>）</w:t>
            </w:r>
          </w:p>
        </w:tc>
        <w:tc>
          <w:tcPr>
            <w:tcW w:w="1431" w:type="pct"/>
            <w:vMerge w:val="restart"/>
            <w:vAlign w:val="center"/>
          </w:tcPr>
          <w:p w:rsidR="00EE56C0" w:rsidRDefault="000F36A1">
            <w:pPr>
              <w:pStyle w:val="aff1"/>
              <w:rPr>
                <w:color w:val="auto"/>
              </w:rPr>
            </w:pPr>
            <w:r>
              <w:rPr>
                <w:color w:val="auto"/>
              </w:rPr>
              <w:t>处理措施</w:t>
            </w:r>
          </w:p>
        </w:tc>
      </w:tr>
      <w:tr w:rsidR="00EE56C0">
        <w:trPr>
          <w:trHeight w:val="454"/>
          <w:jc w:val="center"/>
        </w:trPr>
        <w:tc>
          <w:tcPr>
            <w:tcW w:w="694" w:type="pct"/>
            <w:vMerge/>
            <w:vAlign w:val="center"/>
          </w:tcPr>
          <w:p w:rsidR="00EE56C0" w:rsidRDefault="00EE56C0">
            <w:pPr>
              <w:pStyle w:val="aff1"/>
              <w:rPr>
                <w:color w:val="auto"/>
              </w:rPr>
            </w:pPr>
          </w:p>
        </w:tc>
        <w:tc>
          <w:tcPr>
            <w:tcW w:w="744" w:type="pct"/>
            <w:vMerge/>
            <w:vAlign w:val="center"/>
          </w:tcPr>
          <w:p w:rsidR="00EE56C0" w:rsidRDefault="00EE56C0">
            <w:pPr>
              <w:pStyle w:val="aff1"/>
              <w:rPr>
                <w:color w:val="auto"/>
              </w:rPr>
            </w:pPr>
          </w:p>
        </w:tc>
        <w:tc>
          <w:tcPr>
            <w:tcW w:w="620" w:type="pct"/>
            <w:vMerge/>
            <w:vAlign w:val="center"/>
          </w:tcPr>
          <w:p w:rsidR="00EE56C0" w:rsidRDefault="00EE56C0">
            <w:pPr>
              <w:pStyle w:val="aff1"/>
              <w:rPr>
                <w:color w:val="auto"/>
              </w:rPr>
            </w:pPr>
          </w:p>
        </w:tc>
        <w:tc>
          <w:tcPr>
            <w:tcW w:w="734" w:type="pct"/>
            <w:vAlign w:val="center"/>
          </w:tcPr>
          <w:p w:rsidR="00EE56C0" w:rsidRDefault="000F36A1">
            <w:pPr>
              <w:pStyle w:val="aff1"/>
              <w:rPr>
                <w:color w:val="auto"/>
              </w:rPr>
            </w:pPr>
            <w:r>
              <w:rPr>
                <w:rFonts w:hint="eastAsia"/>
                <w:color w:val="auto"/>
              </w:rPr>
              <w:t>一期</w:t>
            </w:r>
          </w:p>
        </w:tc>
        <w:tc>
          <w:tcPr>
            <w:tcW w:w="777" w:type="pct"/>
            <w:vAlign w:val="center"/>
          </w:tcPr>
          <w:p w:rsidR="00EE56C0" w:rsidRDefault="000F36A1">
            <w:pPr>
              <w:pStyle w:val="aff1"/>
              <w:rPr>
                <w:color w:val="auto"/>
              </w:rPr>
            </w:pPr>
            <w:r>
              <w:rPr>
                <w:rFonts w:hint="eastAsia"/>
                <w:color w:val="auto"/>
              </w:rPr>
              <w:t>二期</w:t>
            </w:r>
          </w:p>
        </w:tc>
        <w:tc>
          <w:tcPr>
            <w:tcW w:w="1431" w:type="pct"/>
            <w:vMerge/>
            <w:vAlign w:val="center"/>
          </w:tcPr>
          <w:p w:rsidR="00EE56C0" w:rsidRDefault="00EE56C0">
            <w:pPr>
              <w:pStyle w:val="aff1"/>
              <w:rPr>
                <w:color w:val="auto"/>
              </w:rPr>
            </w:pPr>
          </w:p>
        </w:tc>
      </w:tr>
      <w:tr w:rsidR="00EE56C0">
        <w:trPr>
          <w:trHeight w:val="454"/>
          <w:jc w:val="center"/>
        </w:trPr>
        <w:tc>
          <w:tcPr>
            <w:tcW w:w="694" w:type="pct"/>
            <w:vAlign w:val="center"/>
          </w:tcPr>
          <w:p w:rsidR="00EE56C0" w:rsidRDefault="000F36A1">
            <w:pPr>
              <w:pStyle w:val="afa"/>
            </w:pPr>
            <w:r>
              <w:t>原料使用</w:t>
            </w:r>
          </w:p>
        </w:tc>
        <w:tc>
          <w:tcPr>
            <w:tcW w:w="744" w:type="pct"/>
            <w:vAlign w:val="center"/>
          </w:tcPr>
          <w:p w:rsidR="00EE56C0" w:rsidRDefault="000F36A1">
            <w:pPr>
              <w:pStyle w:val="afa"/>
            </w:pPr>
            <w:r>
              <w:t>废包材</w:t>
            </w:r>
          </w:p>
        </w:tc>
        <w:tc>
          <w:tcPr>
            <w:tcW w:w="620" w:type="pct"/>
            <w:vAlign w:val="center"/>
          </w:tcPr>
          <w:p w:rsidR="00EE56C0" w:rsidRDefault="000F36A1">
            <w:pPr>
              <w:pStyle w:val="afa"/>
            </w:pPr>
            <w:r>
              <w:t>一般固废</w:t>
            </w:r>
          </w:p>
        </w:tc>
        <w:tc>
          <w:tcPr>
            <w:tcW w:w="734" w:type="pct"/>
            <w:vAlign w:val="center"/>
          </w:tcPr>
          <w:p w:rsidR="00EE56C0" w:rsidRDefault="000F36A1">
            <w:pPr>
              <w:pStyle w:val="afa"/>
            </w:pPr>
            <w:r>
              <w:t>0.3</w:t>
            </w:r>
          </w:p>
        </w:tc>
        <w:tc>
          <w:tcPr>
            <w:tcW w:w="777" w:type="pct"/>
            <w:vAlign w:val="center"/>
          </w:tcPr>
          <w:p w:rsidR="00EE56C0" w:rsidRDefault="000F36A1">
            <w:pPr>
              <w:pStyle w:val="afa"/>
            </w:pPr>
            <w:r>
              <w:t>0.5</w:t>
            </w:r>
          </w:p>
        </w:tc>
        <w:tc>
          <w:tcPr>
            <w:tcW w:w="1431" w:type="pct"/>
            <w:vMerge w:val="restart"/>
            <w:vAlign w:val="center"/>
          </w:tcPr>
          <w:p w:rsidR="00EE56C0" w:rsidRDefault="000F36A1">
            <w:pPr>
              <w:pStyle w:val="afa"/>
            </w:pPr>
            <w:r>
              <w:rPr>
                <w:rFonts w:hint="eastAsia"/>
              </w:rPr>
              <w:t>一般固废间暂存，定期外售综合利用</w:t>
            </w:r>
          </w:p>
        </w:tc>
      </w:tr>
      <w:tr w:rsidR="00EE56C0">
        <w:trPr>
          <w:trHeight w:val="454"/>
          <w:jc w:val="center"/>
        </w:trPr>
        <w:tc>
          <w:tcPr>
            <w:tcW w:w="694" w:type="pct"/>
            <w:vAlign w:val="center"/>
          </w:tcPr>
          <w:p w:rsidR="00EE56C0" w:rsidRDefault="000F36A1">
            <w:pPr>
              <w:pStyle w:val="afa"/>
            </w:pPr>
            <w:r>
              <w:rPr>
                <w:rFonts w:hint="eastAsia"/>
              </w:rPr>
              <w:t>挤压</w:t>
            </w:r>
          </w:p>
        </w:tc>
        <w:tc>
          <w:tcPr>
            <w:tcW w:w="744" w:type="pct"/>
            <w:vAlign w:val="center"/>
          </w:tcPr>
          <w:p w:rsidR="00EE56C0" w:rsidRDefault="000F36A1">
            <w:pPr>
              <w:pStyle w:val="afa"/>
            </w:pPr>
            <w:r>
              <w:rPr>
                <w:rFonts w:hint="eastAsia"/>
              </w:rPr>
              <w:t>废铜线</w:t>
            </w:r>
          </w:p>
        </w:tc>
        <w:tc>
          <w:tcPr>
            <w:tcW w:w="620" w:type="pct"/>
            <w:vAlign w:val="center"/>
          </w:tcPr>
          <w:p w:rsidR="00EE56C0" w:rsidRDefault="000F36A1">
            <w:pPr>
              <w:pStyle w:val="afa"/>
            </w:pPr>
            <w:r>
              <w:t>一般固废</w:t>
            </w:r>
          </w:p>
        </w:tc>
        <w:tc>
          <w:tcPr>
            <w:tcW w:w="734" w:type="pct"/>
            <w:vAlign w:val="center"/>
          </w:tcPr>
          <w:p w:rsidR="00EE56C0" w:rsidRDefault="000F36A1">
            <w:pPr>
              <w:pStyle w:val="afa"/>
            </w:pPr>
            <w:r>
              <w:t>10.18</w:t>
            </w:r>
          </w:p>
        </w:tc>
        <w:tc>
          <w:tcPr>
            <w:tcW w:w="777" w:type="pct"/>
            <w:vAlign w:val="center"/>
          </w:tcPr>
          <w:p w:rsidR="00EE56C0" w:rsidRDefault="000F36A1">
            <w:pPr>
              <w:pStyle w:val="afa"/>
            </w:pPr>
            <w:r>
              <w:t>29.05</w:t>
            </w:r>
          </w:p>
        </w:tc>
        <w:tc>
          <w:tcPr>
            <w:tcW w:w="1431" w:type="pct"/>
            <w:vMerge/>
            <w:vAlign w:val="center"/>
          </w:tcPr>
          <w:p w:rsidR="00EE56C0" w:rsidRDefault="00EE56C0">
            <w:pPr>
              <w:pStyle w:val="afa"/>
              <w:rPr>
                <w:kern w:val="36"/>
              </w:rPr>
            </w:pPr>
          </w:p>
        </w:tc>
      </w:tr>
      <w:tr w:rsidR="00EE56C0">
        <w:trPr>
          <w:trHeight w:val="454"/>
          <w:jc w:val="center"/>
        </w:trPr>
        <w:tc>
          <w:tcPr>
            <w:tcW w:w="694" w:type="pct"/>
            <w:vAlign w:val="center"/>
          </w:tcPr>
          <w:p w:rsidR="00EE56C0" w:rsidRDefault="000F36A1">
            <w:pPr>
              <w:pStyle w:val="afa"/>
            </w:pPr>
            <w:r>
              <w:t>检验</w:t>
            </w:r>
          </w:p>
        </w:tc>
        <w:tc>
          <w:tcPr>
            <w:tcW w:w="744" w:type="pct"/>
            <w:vAlign w:val="center"/>
          </w:tcPr>
          <w:p w:rsidR="00EE56C0" w:rsidRDefault="000F36A1">
            <w:pPr>
              <w:pStyle w:val="afa"/>
            </w:pPr>
            <w:r>
              <w:t>残次品</w:t>
            </w:r>
          </w:p>
        </w:tc>
        <w:tc>
          <w:tcPr>
            <w:tcW w:w="620" w:type="pct"/>
            <w:vAlign w:val="center"/>
          </w:tcPr>
          <w:p w:rsidR="00EE56C0" w:rsidRDefault="000F36A1">
            <w:pPr>
              <w:pStyle w:val="afa"/>
            </w:pPr>
            <w:r>
              <w:t>一般固废</w:t>
            </w:r>
          </w:p>
        </w:tc>
        <w:tc>
          <w:tcPr>
            <w:tcW w:w="734" w:type="pct"/>
            <w:vAlign w:val="center"/>
          </w:tcPr>
          <w:p w:rsidR="00EE56C0" w:rsidRDefault="000F36A1">
            <w:pPr>
              <w:pStyle w:val="afa"/>
            </w:pPr>
            <w:r>
              <w:t>2.9</w:t>
            </w:r>
          </w:p>
        </w:tc>
        <w:tc>
          <w:tcPr>
            <w:tcW w:w="777" w:type="pct"/>
            <w:vAlign w:val="center"/>
          </w:tcPr>
          <w:p w:rsidR="00EE56C0" w:rsidRDefault="000F36A1">
            <w:pPr>
              <w:pStyle w:val="afa"/>
            </w:pPr>
            <w:r>
              <w:t>5.1</w:t>
            </w:r>
          </w:p>
        </w:tc>
        <w:tc>
          <w:tcPr>
            <w:tcW w:w="1431" w:type="pct"/>
            <w:vMerge/>
            <w:vAlign w:val="center"/>
          </w:tcPr>
          <w:p w:rsidR="00EE56C0" w:rsidRDefault="00EE56C0">
            <w:pPr>
              <w:pStyle w:val="afa"/>
              <w:rPr>
                <w:kern w:val="36"/>
              </w:rPr>
            </w:pPr>
          </w:p>
        </w:tc>
      </w:tr>
      <w:tr w:rsidR="00EE56C0">
        <w:trPr>
          <w:trHeight w:val="454"/>
          <w:jc w:val="center"/>
        </w:trPr>
        <w:tc>
          <w:tcPr>
            <w:tcW w:w="694" w:type="pct"/>
            <w:vMerge w:val="restart"/>
            <w:vAlign w:val="center"/>
          </w:tcPr>
          <w:p w:rsidR="00EE56C0" w:rsidRDefault="000F36A1">
            <w:pPr>
              <w:pStyle w:val="afa"/>
            </w:pPr>
            <w:r>
              <w:rPr>
                <w:rFonts w:hint="eastAsia"/>
              </w:rPr>
              <w:t>拉丝</w:t>
            </w:r>
          </w:p>
        </w:tc>
        <w:tc>
          <w:tcPr>
            <w:tcW w:w="744" w:type="pct"/>
            <w:vAlign w:val="center"/>
          </w:tcPr>
          <w:p w:rsidR="00EE56C0" w:rsidRDefault="000F36A1">
            <w:pPr>
              <w:pStyle w:val="afa"/>
            </w:pPr>
            <w:r>
              <w:t>含铜油泥</w:t>
            </w:r>
          </w:p>
        </w:tc>
        <w:tc>
          <w:tcPr>
            <w:tcW w:w="620" w:type="pct"/>
            <w:vAlign w:val="center"/>
          </w:tcPr>
          <w:p w:rsidR="00EE56C0" w:rsidRDefault="000F36A1">
            <w:pPr>
              <w:pStyle w:val="afa"/>
            </w:pPr>
            <w:r>
              <w:rPr>
                <w:rFonts w:hint="eastAsia"/>
              </w:rPr>
              <w:t>危险废物</w:t>
            </w:r>
          </w:p>
        </w:tc>
        <w:tc>
          <w:tcPr>
            <w:tcW w:w="734" w:type="pct"/>
            <w:vAlign w:val="center"/>
          </w:tcPr>
          <w:p w:rsidR="00EE56C0" w:rsidRDefault="000F36A1">
            <w:pPr>
              <w:pStyle w:val="afa"/>
            </w:pPr>
            <w:r>
              <w:t>1.2</w:t>
            </w:r>
          </w:p>
        </w:tc>
        <w:tc>
          <w:tcPr>
            <w:tcW w:w="777" w:type="pct"/>
            <w:vAlign w:val="center"/>
          </w:tcPr>
          <w:p w:rsidR="00EE56C0" w:rsidRDefault="000F36A1">
            <w:pPr>
              <w:pStyle w:val="afa"/>
            </w:pPr>
            <w:r>
              <w:t>2.75</w:t>
            </w:r>
          </w:p>
        </w:tc>
        <w:tc>
          <w:tcPr>
            <w:tcW w:w="1431" w:type="pct"/>
            <w:vMerge w:val="restart"/>
            <w:vAlign w:val="center"/>
          </w:tcPr>
          <w:p w:rsidR="00EE56C0" w:rsidRDefault="000F36A1">
            <w:pPr>
              <w:pStyle w:val="afa"/>
              <w:rPr>
                <w:kern w:val="36"/>
              </w:rPr>
            </w:pPr>
            <w:r>
              <w:rPr>
                <w:kern w:val="36"/>
              </w:rPr>
              <w:t>专用容器收集，在危废</w:t>
            </w:r>
            <w:r>
              <w:rPr>
                <w:rFonts w:hint="eastAsia"/>
                <w:kern w:val="36"/>
              </w:rPr>
              <w:t>暂存间内</w:t>
            </w:r>
            <w:r>
              <w:rPr>
                <w:kern w:val="36"/>
              </w:rPr>
              <w:t>暂存</w:t>
            </w:r>
            <w:r>
              <w:rPr>
                <w:rFonts w:hint="eastAsia"/>
                <w:kern w:val="36"/>
              </w:rPr>
              <w:t>，</w:t>
            </w:r>
            <w:r>
              <w:rPr>
                <w:kern w:val="36"/>
              </w:rPr>
              <w:t>定期送有</w:t>
            </w:r>
            <w:r>
              <w:rPr>
                <w:rFonts w:hint="eastAsia"/>
                <w:kern w:val="36"/>
              </w:rPr>
              <w:t>相应</w:t>
            </w:r>
            <w:r>
              <w:rPr>
                <w:kern w:val="36"/>
              </w:rPr>
              <w:t>危废</w:t>
            </w:r>
            <w:r>
              <w:rPr>
                <w:rFonts w:hint="eastAsia"/>
                <w:kern w:val="36"/>
              </w:rPr>
              <w:t>处置</w:t>
            </w:r>
            <w:r>
              <w:rPr>
                <w:kern w:val="36"/>
              </w:rPr>
              <w:t>资质的单位</w:t>
            </w:r>
            <w:r>
              <w:rPr>
                <w:rFonts w:hint="eastAsia"/>
                <w:kern w:val="36"/>
              </w:rPr>
              <w:t>处置</w:t>
            </w:r>
          </w:p>
        </w:tc>
      </w:tr>
      <w:tr w:rsidR="00EE56C0">
        <w:trPr>
          <w:trHeight w:val="454"/>
          <w:jc w:val="center"/>
        </w:trPr>
        <w:tc>
          <w:tcPr>
            <w:tcW w:w="694" w:type="pct"/>
            <w:vMerge/>
            <w:vAlign w:val="center"/>
          </w:tcPr>
          <w:p w:rsidR="00EE56C0" w:rsidRDefault="00EE56C0">
            <w:pPr>
              <w:pStyle w:val="afa"/>
            </w:pPr>
          </w:p>
        </w:tc>
        <w:tc>
          <w:tcPr>
            <w:tcW w:w="744" w:type="pct"/>
            <w:vAlign w:val="center"/>
          </w:tcPr>
          <w:p w:rsidR="00EE56C0" w:rsidRPr="002F5FB6" w:rsidRDefault="000F36A1">
            <w:pPr>
              <w:pStyle w:val="afa"/>
              <w:rPr>
                <w:b/>
                <w:u w:val="single"/>
              </w:rPr>
            </w:pPr>
            <w:r w:rsidRPr="002F5FB6">
              <w:rPr>
                <w:rFonts w:hint="eastAsia"/>
                <w:b/>
                <w:u w:val="single"/>
              </w:rPr>
              <w:t>废拉丝油</w:t>
            </w:r>
          </w:p>
        </w:tc>
        <w:tc>
          <w:tcPr>
            <w:tcW w:w="620" w:type="pct"/>
            <w:vAlign w:val="center"/>
          </w:tcPr>
          <w:p w:rsidR="00EE56C0" w:rsidRPr="002F5FB6" w:rsidRDefault="000F36A1">
            <w:pPr>
              <w:pStyle w:val="afa"/>
              <w:rPr>
                <w:b/>
                <w:u w:val="single"/>
              </w:rPr>
            </w:pPr>
            <w:r w:rsidRPr="002F5FB6">
              <w:rPr>
                <w:rFonts w:hint="eastAsia"/>
                <w:b/>
                <w:u w:val="single"/>
              </w:rPr>
              <w:t>危险废物</w:t>
            </w:r>
          </w:p>
        </w:tc>
        <w:tc>
          <w:tcPr>
            <w:tcW w:w="734" w:type="pct"/>
            <w:vAlign w:val="center"/>
          </w:tcPr>
          <w:p w:rsidR="00EE56C0" w:rsidRPr="002F5FB6" w:rsidRDefault="000F36A1">
            <w:pPr>
              <w:pStyle w:val="afa"/>
              <w:rPr>
                <w:b/>
                <w:u w:val="single"/>
              </w:rPr>
            </w:pPr>
            <w:r w:rsidRPr="002F5FB6">
              <w:rPr>
                <w:b/>
                <w:u w:val="single"/>
              </w:rPr>
              <w:t>2.</w:t>
            </w:r>
            <w:r w:rsidRPr="002F5FB6">
              <w:rPr>
                <w:rFonts w:hint="eastAsia"/>
                <w:b/>
                <w:u w:val="single"/>
              </w:rPr>
              <w:t>39</w:t>
            </w:r>
          </w:p>
        </w:tc>
        <w:tc>
          <w:tcPr>
            <w:tcW w:w="777" w:type="pct"/>
            <w:vAlign w:val="center"/>
          </w:tcPr>
          <w:p w:rsidR="00EE56C0" w:rsidRPr="002F5FB6" w:rsidRDefault="000F36A1">
            <w:pPr>
              <w:pStyle w:val="afa"/>
              <w:rPr>
                <w:b/>
                <w:u w:val="single"/>
              </w:rPr>
            </w:pPr>
            <w:r w:rsidRPr="002F5FB6">
              <w:rPr>
                <w:b/>
                <w:u w:val="single"/>
              </w:rPr>
              <w:t>6.</w:t>
            </w:r>
            <w:r w:rsidRPr="002F5FB6">
              <w:rPr>
                <w:rFonts w:hint="eastAsia"/>
                <w:b/>
                <w:u w:val="single"/>
              </w:rPr>
              <w:t>27</w:t>
            </w:r>
          </w:p>
        </w:tc>
        <w:tc>
          <w:tcPr>
            <w:tcW w:w="1431" w:type="pct"/>
            <w:vMerge/>
            <w:vAlign w:val="center"/>
          </w:tcPr>
          <w:p w:rsidR="00EE56C0" w:rsidRDefault="00EE56C0">
            <w:pPr>
              <w:pStyle w:val="afa"/>
              <w:rPr>
                <w:kern w:val="36"/>
              </w:rPr>
            </w:pPr>
          </w:p>
        </w:tc>
      </w:tr>
      <w:tr w:rsidR="00EE56C0">
        <w:trPr>
          <w:trHeight w:val="454"/>
          <w:jc w:val="center"/>
        </w:trPr>
        <w:tc>
          <w:tcPr>
            <w:tcW w:w="694" w:type="pct"/>
            <w:vAlign w:val="center"/>
          </w:tcPr>
          <w:p w:rsidR="00EE56C0" w:rsidRDefault="000F36A1">
            <w:pPr>
              <w:pStyle w:val="afa"/>
            </w:pPr>
            <w:r>
              <w:rPr>
                <w:rFonts w:hint="eastAsia"/>
              </w:rPr>
              <w:t>丝包线涂料使用</w:t>
            </w:r>
          </w:p>
        </w:tc>
        <w:tc>
          <w:tcPr>
            <w:tcW w:w="744" w:type="pct"/>
            <w:vAlign w:val="center"/>
          </w:tcPr>
          <w:p w:rsidR="00EE56C0" w:rsidRDefault="000F36A1">
            <w:pPr>
              <w:pStyle w:val="afa"/>
            </w:pPr>
            <w:r>
              <w:rPr>
                <w:rFonts w:hint="eastAsia"/>
              </w:rPr>
              <w:t>废丝包</w:t>
            </w:r>
          </w:p>
          <w:p w:rsidR="00EE56C0" w:rsidRDefault="000F36A1">
            <w:pPr>
              <w:pStyle w:val="afa"/>
            </w:pPr>
            <w:r>
              <w:rPr>
                <w:rFonts w:hint="eastAsia"/>
              </w:rPr>
              <w:t>漆料桶</w:t>
            </w:r>
          </w:p>
        </w:tc>
        <w:tc>
          <w:tcPr>
            <w:tcW w:w="620" w:type="pct"/>
            <w:vAlign w:val="center"/>
          </w:tcPr>
          <w:p w:rsidR="00EE56C0" w:rsidRDefault="000F36A1">
            <w:pPr>
              <w:pStyle w:val="afa"/>
            </w:pPr>
            <w:r>
              <w:rPr>
                <w:rFonts w:hint="eastAsia"/>
              </w:rPr>
              <w:t>危险废物</w:t>
            </w:r>
          </w:p>
        </w:tc>
        <w:tc>
          <w:tcPr>
            <w:tcW w:w="734" w:type="pct"/>
            <w:vAlign w:val="center"/>
          </w:tcPr>
          <w:p w:rsidR="00EE56C0" w:rsidRPr="002F5FB6" w:rsidRDefault="000F36A1">
            <w:pPr>
              <w:pStyle w:val="afa"/>
              <w:rPr>
                <w:b/>
                <w:u w:val="single"/>
              </w:rPr>
            </w:pPr>
            <w:r w:rsidRPr="002F5FB6">
              <w:rPr>
                <w:b/>
                <w:u w:val="single"/>
              </w:rPr>
              <w:t>0.6</w:t>
            </w:r>
          </w:p>
        </w:tc>
        <w:tc>
          <w:tcPr>
            <w:tcW w:w="777" w:type="pct"/>
            <w:vAlign w:val="center"/>
          </w:tcPr>
          <w:p w:rsidR="00EE56C0" w:rsidRPr="002F5FB6" w:rsidRDefault="000F36A1">
            <w:pPr>
              <w:pStyle w:val="afa"/>
              <w:rPr>
                <w:b/>
                <w:u w:val="single"/>
              </w:rPr>
            </w:pPr>
            <w:r w:rsidRPr="002F5FB6">
              <w:rPr>
                <w:b/>
                <w:u w:val="single"/>
              </w:rPr>
              <w:t>0.5</w:t>
            </w:r>
          </w:p>
        </w:tc>
        <w:tc>
          <w:tcPr>
            <w:tcW w:w="1431" w:type="pct"/>
            <w:vMerge/>
            <w:vAlign w:val="center"/>
          </w:tcPr>
          <w:p w:rsidR="00EE56C0" w:rsidRDefault="00EE56C0">
            <w:pPr>
              <w:pStyle w:val="afa"/>
              <w:rPr>
                <w:kern w:val="36"/>
              </w:rPr>
            </w:pPr>
          </w:p>
        </w:tc>
      </w:tr>
      <w:tr w:rsidR="00EE56C0">
        <w:trPr>
          <w:trHeight w:val="454"/>
          <w:jc w:val="center"/>
        </w:trPr>
        <w:tc>
          <w:tcPr>
            <w:tcW w:w="694" w:type="pct"/>
            <w:vAlign w:val="center"/>
          </w:tcPr>
          <w:p w:rsidR="00EE56C0" w:rsidRDefault="000F36A1">
            <w:pPr>
              <w:pStyle w:val="afa"/>
            </w:pPr>
            <w:r>
              <w:rPr>
                <w:rFonts w:hint="eastAsia"/>
              </w:rPr>
              <w:t>生产过程</w:t>
            </w:r>
          </w:p>
        </w:tc>
        <w:tc>
          <w:tcPr>
            <w:tcW w:w="744" w:type="pct"/>
            <w:vAlign w:val="center"/>
          </w:tcPr>
          <w:p w:rsidR="00EE56C0" w:rsidRDefault="000F36A1">
            <w:pPr>
              <w:pStyle w:val="afa"/>
            </w:pPr>
            <w:r>
              <w:rPr>
                <w:rFonts w:hint="eastAsia"/>
              </w:rPr>
              <w:t>含漆料</w:t>
            </w:r>
            <w:r>
              <w:rPr>
                <w:rFonts w:hint="eastAsia"/>
              </w:rPr>
              <w:t>/</w:t>
            </w:r>
            <w:r>
              <w:rPr>
                <w:rFonts w:hint="eastAsia"/>
              </w:rPr>
              <w:t>油的废毛毡</w:t>
            </w:r>
          </w:p>
        </w:tc>
        <w:tc>
          <w:tcPr>
            <w:tcW w:w="620" w:type="pct"/>
            <w:vAlign w:val="center"/>
          </w:tcPr>
          <w:p w:rsidR="00EE56C0" w:rsidRDefault="000F36A1">
            <w:pPr>
              <w:pStyle w:val="afa"/>
            </w:pPr>
            <w:r>
              <w:rPr>
                <w:rFonts w:hint="eastAsia"/>
              </w:rPr>
              <w:t>危险废物</w:t>
            </w:r>
          </w:p>
        </w:tc>
        <w:tc>
          <w:tcPr>
            <w:tcW w:w="734" w:type="pct"/>
            <w:vAlign w:val="center"/>
          </w:tcPr>
          <w:p w:rsidR="00EE56C0" w:rsidRDefault="000F36A1">
            <w:pPr>
              <w:pStyle w:val="afa"/>
            </w:pPr>
            <w:r>
              <w:t>0.3</w:t>
            </w:r>
          </w:p>
        </w:tc>
        <w:tc>
          <w:tcPr>
            <w:tcW w:w="777" w:type="pct"/>
            <w:vAlign w:val="center"/>
          </w:tcPr>
          <w:p w:rsidR="00EE56C0" w:rsidRDefault="000F36A1">
            <w:pPr>
              <w:pStyle w:val="afa"/>
            </w:pPr>
            <w:r>
              <w:t>0.7</w:t>
            </w:r>
          </w:p>
        </w:tc>
        <w:tc>
          <w:tcPr>
            <w:tcW w:w="1431" w:type="pct"/>
            <w:vMerge/>
            <w:vAlign w:val="center"/>
          </w:tcPr>
          <w:p w:rsidR="00EE56C0" w:rsidRDefault="00EE56C0">
            <w:pPr>
              <w:pStyle w:val="afa"/>
              <w:rPr>
                <w:kern w:val="36"/>
              </w:rPr>
            </w:pPr>
          </w:p>
        </w:tc>
      </w:tr>
      <w:tr w:rsidR="00EE56C0">
        <w:trPr>
          <w:trHeight w:val="454"/>
          <w:jc w:val="center"/>
        </w:trPr>
        <w:tc>
          <w:tcPr>
            <w:tcW w:w="694" w:type="pct"/>
            <w:vMerge w:val="restart"/>
            <w:vAlign w:val="center"/>
          </w:tcPr>
          <w:p w:rsidR="00EE56C0" w:rsidRDefault="000F36A1">
            <w:pPr>
              <w:pStyle w:val="afa"/>
            </w:pPr>
            <w:r>
              <w:t>废气治理设施</w:t>
            </w:r>
          </w:p>
        </w:tc>
        <w:tc>
          <w:tcPr>
            <w:tcW w:w="744" w:type="pct"/>
            <w:vAlign w:val="center"/>
          </w:tcPr>
          <w:p w:rsidR="00EE56C0" w:rsidRDefault="000F36A1">
            <w:pPr>
              <w:pStyle w:val="afa"/>
            </w:pPr>
            <w:r>
              <w:rPr>
                <w:rFonts w:hint="eastAsia"/>
              </w:rPr>
              <w:t>废油</w:t>
            </w:r>
          </w:p>
        </w:tc>
        <w:tc>
          <w:tcPr>
            <w:tcW w:w="620" w:type="pct"/>
            <w:vAlign w:val="center"/>
          </w:tcPr>
          <w:p w:rsidR="00EE56C0" w:rsidRDefault="000F36A1">
            <w:pPr>
              <w:pStyle w:val="afa"/>
            </w:pPr>
            <w:r>
              <w:rPr>
                <w:rFonts w:hint="eastAsia"/>
              </w:rPr>
              <w:t>危险废物</w:t>
            </w:r>
          </w:p>
        </w:tc>
        <w:tc>
          <w:tcPr>
            <w:tcW w:w="734" w:type="pct"/>
            <w:vAlign w:val="center"/>
          </w:tcPr>
          <w:p w:rsidR="00EE56C0" w:rsidRDefault="000F36A1">
            <w:pPr>
              <w:pStyle w:val="afa"/>
            </w:pPr>
            <w:r>
              <w:t>0.3</w:t>
            </w:r>
          </w:p>
        </w:tc>
        <w:tc>
          <w:tcPr>
            <w:tcW w:w="777" w:type="pct"/>
            <w:vAlign w:val="center"/>
          </w:tcPr>
          <w:p w:rsidR="00EE56C0" w:rsidRDefault="000F36A1">
            <w:pPr>
              <w:pStyle w:val="afa"/>
            </w:pPr>
            <w:r>
              <w:t>0.7</w:t>
            </w:r>
          </w:p>
        </w:tc>
        <w:tc>
          <w:tcPr>
            <w:tcW w:w="1431" w:type="pct"/>
            <w:vMerge/>
            <w:vAlign w:val="center"/>
          </w:tcPr>
          <w:p w:rsidR="00EE56C0" w:rsidRDefault="00EE56C0">
            <w:pPr>
              <w:pStyle w:val="afa"/>
              <w:rPr>
                <w:kern w:val="36"/>
              </w:rPr>
            </w:pPr>
          </w:p>
        </w:tc>
      </w:tr>
      <w:tr w:rsidR="00EE56C0">
        <w:trPr>
          <w:trHeight w:val="454"/>
          <w:jc w:val="center"/>
        </w:trPr>
        <w:tc>
          <w:tcPr>
            <w:tcW w:w="694" w:type="pct"/>
            <w:vMerge/>
            <w:vAlign w:val="center"/>
          </w:tcPr>
          <w:p w:rsidR="00EE56C0" w:rsidRDefault="00EE56C0">
            <w:pPr>
              <w:pStyle w:val="afa"/>
            </w:pPr>
          </w:p>
        </w:tc>
        <w:tc>
          <w:tcPr>
            <w:tcW w:w="744" w:type="pct"/>
            <w:vAlign w:val="center"/>
          </w:tcPr>
          <w:p w:rsidR="00EE56C0" w:rsidRDefault="000F36A1">
            <w:pPr>
              <w:pStyle w:val="afa"/>
            </w:pPr>
            <w:r>
              <w:rPr>
                <w:rFonts w:hint="eastAsia"/>
              </w:rPr>
              <w:t>废活性炭</w:t>
            </w:r>
          </w:p>
        </w:tc>
        <w:tc>
          <w:tcPr>
            <w:tcW w:w="620" w:type="pct"/>
            <w:vAlign w:val="center"/>
          </w:tcPr>
          <w:p w:rsidR="00EE56C0" w:rsidRDefault="000F36A1">
            <w:pPr>
              <w:pStyle w:val="afa"/>
            </w:pPr>
            <w:r>
              <w:rPr>
                <w:rFonts w:hint="eastAsia"/>
              </w:rPr>
              <w:t>危险废物</w:t>
            </w:r>
          </w:p>
        </w:tc>
        <w:tc>
          <w:tcPr>
            <w:tcW w:w="734" w:type="pct"/>
            <w:vAlign w:val="center"/>
          </w:tcPr>
          <w:p w:rsidR="00EE56C0" w:rsidRDefault="000F36A1">
            <w:pPr>
              <w:pStyle w:val="afa"/>
            </w:pPr>
            <w:r>
              <w:t>2.75</w:t>
            </w:r>
          </w:p>
        </w:tc>
        <w:tc>
          <w:tcPr>
            <w:tcW w:w="777" w:type="pct"/>
            <w:vAlign w:val="center"/>
          </w:tcPr>
          <w:p w:rsidR="00EE56C0" w:rsidRDefault="000F36A1">
            <w:pPr>
              <w:pStyle w:val="afa"/>
            </w:pPr>
            <w:r>
              <w:t>/</w:t>
            </w:r>
          </w:p>
        </w:tc>
        <w:tc>
          <w:tcPr>
            <w:tcW w:w="1431" w:type="pct"/>
            <w:vMerge/>
            <w:vAlign w:val="center"/>
          </w:tcPr>
          <w:p w:rsidR="00EE56C0" w:rsidRDefault="00EE56C0">
            <w:pPr>
              <w:pStyle w:val="afa"/>
              <w:rPr>
                <w:kern w:val="36"/>
              </w:rPr>
            </w:pPr>
          </w:p>
        </w:tc>
      </w:tr>
      <w:tr w:rsidR="00EE56C0">
        <w:trPr>
          <w:trHeight w:val="454"/>
          <w:jc w:val="center"/>
        </w:trPr>
        <w:tc>
          <w:tcPr>
            <w:tcW w:w="694" w:type="pct"/>
            <w:vMerge/>
            <w:vAlign w:val="center"/>
          </w:tcPr>
          <w:p w:rsidR="00EE56C0" w:rsidRDefault="00EE56C0">
            <w:pPr>
              <w:pStyle w:val="afa"/>
            </w:pPr>
          </w:p>
        </w:tc>
        <w:tc>
          <w:tcPr>
            <w:tcW w:w="744" w:type="pct"/>
            <w:vAlign w:val="center"/>
          </w:tcPr>
          <w:p w:rsidR="00EE56C0" w:rsidRDefault="000F36A1">
            <w:pPr>
              <w:pStyle w:val="afa"/>
            </w:pPr>
            <w:r>
              <w:t>废催化剂</w:t>
            </w:r>
          </w:p>
        </w:tc>
        <w:tc>
          <w:tcPr>
            <w:tcW w:w="620" w:type="pct"/>
            <w:vAlign w:val="center"/>
          </w:tcPr>
          <w:p w:rsidR="00EE56C0" w:rsidRDefault="000F36A1">
            <w:pPr>
              <w:pStyle w:val="afa"/>
            </w:pPr>
            <w:r>
              <w:rPr>
                <w:rFonts w:hint="eastAsia"/>
              </w:rPr>
              <w:t>危险废物</w:t>
            </w:r>
          </w:p>
        </w:tc>
        <w:tc>
          <w:tcPr>
            <w:tcW w:w="734" w:type="pct"/>
            <w:vAlign w:val="center"/>
          </w:tcPr>
          <w:p w:rsidR="00EE56C0" w:rsidRDefault="000F36A1">
            <w:pPr>
              <w:pStyle w:val="afa"/>
            </w:pPr>
            <w:r>
              <w:t>0.2</w:t>
            </w:r>
          </w:p>
        </w:tc>
        <w:tc>
          <w:tcPr>
            <w:tcW w:w="777" w:type="pct"/>
            <w:vAlign w:val="center"/>
          </w:tcPr>
          <w:p w:rsidR="00EE56C0" w:rsidRDefault="000F36A1">
            <w:pPr>
              <w:pStyle w:val="afa"/>
            </w:pPr>
            <w:r>
              <w:t>0.4</w:t>
            </w:r>
          </w:p>
        </w:tc>
        <w:tc>
          <w:tcPr>
            <w:tcW w:w="1431" w:type="pct"/>
            <w:vMerge/>
            <w:vAlign w:val="center"/>
          </w:tcPr>
          <w:p w:rsidR="00EE56C0" w:rsidRDefault="00EE56C0">
            <w:pPr>
              <w:pStyle w:val="afa"/>
              <w:rPr>
                <w:kern w:val="36"/>
              </w:rPr>
            </w:pPr>
          </w:p>
        </w:tc>
      </w:tr>
      <w:tr w:rsidR="00EE56C0">
        <w:trPr>
          <w:trHeight w:val="454"/>
          <w:jc w:val="center"/>
        </w:trPr>
        <w:tc>
          <w:tcPr>
            <w:tcW w:w="694" w:type="pct"/>
            <w:vMerge/>
            <w:vAlign w:val="center"/>
          </w:tcPr>
          <w:p w:rsidR="00EE56C0" w:rsidRDefault="00EE56C0">
            <w:pPr>
              <w:pStyle w:val="afa"/>
            </w:pPr>
          </w:p>
        </w:tc>
        <w:tc>
          <w:tcPr>
            <w:tcW w:w="744" w:type="pct"/>
            <w:vAlign w:val="center"/>
          </w:tcPr>
          <w:p w:rsidR="00EE56C0" w:rsidRDefault="000F36A1">
            <w:pPr>
              <w:pStyle w:val="afa"/>
            </w:pPr>
            <w:r>
              <w:rPr>
                <w:rFonts w:hint="eastAsia"/>
              </w:rPr>
              <w:t>废沸石分子筛</w:t>
            </w:r>
          </w:p>
        </w:tc>
        <w:tc>
          <w:tcPr>
            <w:tcW w:w="620" w:type="pct"/>
            <w:vAlign w:val="center"/>
          </w:tcPr>
          <w:p w:rsidR="00EE56C0" w:rsidRDefault="000F36A1">
            <w:pPr>
              <w:pStyle w:val="afa"/>
            </w:pPr>
            <w:r>
              <w:rPr>
                <w:rFonts w:hint="eastAsia"/>
              </w:rPr>
              <w:t>危险废物</w:t>
            </w:r>
          </w:p>
        </w:tc>
        <w:tc>
          <w:tcPr>
            <w:tcW w:w="734" w:type="pct"/>
            <w:vAlign w:val="center"/>
          </w:tcPr>
          <w:p w:rsidR="00EE56C0" w:rsidRDefault="000F36A1">
            <w:pPr>
              <w:pStyle w:val="afa"/>
            </w:pPr>
            <w:r>
              <w:t>3</w:t>
            </w:r>
          </w:p>
        </w:tc>
        <w:tc>
          <w:tcPr>
            <w:tcW w:w="777" w:type="pct"/>
            <w:vAlign w:val="center"/>
          </w:tcPr>
          <w:p w:rsidR="00EE56C0" w:rsidRDefault="000F36A1">
            <w:pPr>
              <w:pStyle w:val="afa"/>
            </w:pPr>
            <w:r>
              <w:t>/</w:t>
            </w:r>
          </w:p>
        </w:tc>
        <w:tc>
          <w:tcPr>
            <w:tcW w:w="1431" w:type="pct"/>
            <w:vMerge/>
            <w:vAlign w:val="center"/>
          </w:tcPr>
          <w:p w:rsidR="00EE56C0" w:rsidRDefault="00EE56C0">
            <w:pPr>
              <w:pStyle w:val="afa"/>
              <w:rPr>
                <w:kern w:val="36"/>
              </w:rPr>
            </w:pPr>
          </w:p>
        </w:tc>
      </w:tr>
    </w:tbl>
    <w:p w:rsidR="00EE56C0" w:rsidRPr="002F5FB6" w:rsidRDefault="000F36A1" w:rsidP="002F5FB6">
      <w:pPr>
        <w:ind w:firstLine="480"/>
        <w:rPr>
          <w:snapToGrid w:val="0"/>
        </w:rPr>
      </w:pPr>
      <w:r>
        <w:rPr>
          <w:rFonts w:hint="eastAsia"/>
          <w:snapToGrid w:val="0"/>
        </w:rPr>
        <w:t>各类固废产生及处置措施见下表。</w:t>
      </w:r>
    </w:p>
    <w:p w:rsidR="00EE56C0" w:rsidRDefault="000F36A1">
      <w:pPr>
        <w:pStyle w:val="afd"/>
        <w:spacing w:before="120" w:after="120"/>
        <w:ind w:firstLine="482"/>
      </w:pPr>
      <w:r>
        <w:rPr>
          <w:rFonts w:hint="eastAsia"/>
        </w:rPr>
        <w:t>表</w:t>
      </w:r>
      <w:r>
        <w:rPr>
          <w:rFonts w:hint="eastAsia"/>
        </w:rPr>
        <w:t xml:space="preserve">3-62           </w:t>
      </w:r>
      <w:r>
        <w:rPr>
          <w:rFonts w:hint="eastAsia"/>
        </w:rPr>
        <w:t>工程固体废弃物产生及处置情况</w:t>
      </w:r>
    </w:p>
    <w:tbl>
      <w:tblPr>
        <w:tblW w:w="5000" w:type="pct"/>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Look w:val="04A0"/>
      </w:tblPr>
      <w:tblGrid>
        <w:gridCol w:w="675"/>
        <w:gridCol w:w="710"/>
        <w:gridCol w:w="1844"/>
        <w:gridCol w:w="1556"/>
        <w:gridCol w:w="993"/>
        <w:gridCol w:w="1138"/>
        <w:gridCol w:w="1612"/>
      </w:tblGrid>
      <w:tr w:rsidR="00EE56C0">
        <w:trPr>
          <w:trHeight w:val="454"/>
        </w:trPr>
        <w:tc>
          <w:tcPr>
            <w:tcW w:w="396" w:type="pct"/>
            <w:vMerge w:val="restart"/>
            <w:tcMar>
              <w:top w:w="28" w:type="dxa"/>
              <w:bottom w:w="28" w:type="dxa"/>
            </w:tcMar>
            <w:vAlign w:val="center"/>
          </w:tcPr>
          <w:p w:rsidR="00EE56C0" w:rsidRDefault="000F36A1">
            <w:pPr>
              <w:pStyle w:val="aff1"/>
              <w:rPr>
                <w:color w:val="auto"/>
              </w:rPr>
            </w:pPr>
            <w:r>
              <w:rPr>
                <w:color w:val="auto"/>
              </w:rPr>
              <w:t>项目</w:t>
            </w:r>
          </w:p>
        </w:tc>
        <w:tc>
          <w:tcPr>
            <w:tcW w:w="416" w:type="pct"/>
            <w:vMerge w:val="restart"/>
            <w:tcMar>
              <w:top w:w="28" w:type="dxa"/>
              <w:bottom w:w="28" w:type="dxa"/>
            </w:tcMar>
            <w:vAlign w:val="center"/>
          </w:tcPr>
          <w:p w:rsidR="00EE56C0" w:rsidRDefault="000F36A1">
            <w:pPr>
              <w:pStyle w:val="aff1"/>
              <w:rPr>
                <w:color w:val="auto"/>
              </w:rPr>
            </w:pPr>
            <w:r>
              <w:rPr>
                <w:color w:val="auto"/>
              </w:rPr>
              <w:t>序号</w:t>
            </w:r>
          </w:p>
        </w:tc>
        <w:tc>
          <w:tcPr>
            <w:tcW w:w="1081" w:type="pct"/>
            <w:vMerge w:val="restart"/>
            <w:tcMar>
              <w:top w:w="28" w:type="dxa"/>
              <w:bottom w:w="28" w:type="dxa"/>
            </w:tcMar>
            <w:vAlign w:val="center"/>
          </w:tcPr>
          <w:p w:rsidR="00EE56C0" w:rsidRDefault="000F36A1">
            <w:pPr>
              <w:pStyle w:val="aff1"/>
              <w:rPr>
                <w:color w:val="auto"/>
              </w:rPr>
            </w:pPr>
            <w:r>
              <w:rPr>
                <w:color w:val="auto"/>
              </w:rPr>
              <w:t>产污环节</w:t>
            </w:r>
          </w:p>
        </w:tc>
        <w:tc>
          <w:tcPr>
            <w:tcW w:w="912" w:type="pct"/>
            <w:vMerge w:val="restart"/>
            <w:tcMar>
              <w:top w:w="28" w:type="dxa"/>
              <w:bottom w:w="28" w:type="dxa"/>
            </w:tcMar>
            <w:vAlign w:val="center"/>
          </w:tcPr>
          <w:p w:rsidR="00EE56C0" w:rsidRDefault="000F36A1">
            <w:pPr>
              <w:pStyle w:val="aff1"/>
              <w:rPr>
                <w:color w:val="auto"/>
              </w:rPr>
            </w:pPr>
            <w:r>
              <w:rPr>
                <w:rFonts w:hint="eastAsia"/>
                <w:color w:val="auto"/>
              </w:rPr>
              <w:t>废物特性</w:t>
            </w:r>
          </w:p>
        </w:tc>
        <w:tc>
          <w:tcPr>
            <w:tcW w:w="1249" w:type="pct"/>
            <w:gridSpan w:val="2"/>
            <w:tcBorders>
              <w:bottom w:val="single" w:sz="4" w:space="0" w:color="auto"/>
            </w:tcBorders>
            <w:vAlign w:val="center"/>
          </w:tcPr>
          <w:p w:rsidR="00EE56C0" w:rsidRDefault="000F36A1">
            <w:pPr>
              <w:pStyle w:val="aff1"/>
              <w:rPr>
                <w:color w:val="auto"/>
              </w:rPr>
            </w:pPr>
            <w:r>
              <w:rPr>
                <w:rFonts w:hint="eastAsia"/>
                <w:color w:val="auto"/>
              </w:rPr>
              <w:t>产生量（</w:t>
            </w:r>
            <w:r>
              <w:rPr>
                <w:rFonts w:hint="eastAsia"/>
                <w:color w:val="auto"/>
              </w:rPr>
              <w:t>t/a</w:t>
            </w:r>
            <w:r>
              <w:rPr>
                <w:rFonts w:hint="eastAsia"/>
                <w:color w:val="auto"/>
              </w:rPr>
              <w:t>）</w:t>
            </w:r>
          </w:p>
        </w:tc>
        <w:tc>
          <w:tcPr>
            <w:tcW w:w="945" w:type="pct"/>
            <w:vMerge w:val="restart"/>
            <w:vAlign w:val="center"/>
          </w:tcPr>
          <w:p w:rsidR="00EE56C0" w:rsidRDefault="000F36A1">
            <w:pPr>
              <w:pStyle w:val="aff1"/>
              <w:rPr>
                <w:color w:val="auto"/>
              </w:rPr>
            </w:pPr>
            <w:r>
              <w:rPr>
                <w:rFonts w:hint="eastAsia"/>
                <w:color w:val="auto"/>
              </w:rPr>
              <w:t>治理措施</w:t>
            </w:r>
          </w:p>
        </w:tc>
      </w:tr>
      <w:tr w:rsidR="00EE56C0">
        <w:trPr>
          <w:trHeight w:val="454"/>
        </w:trPr>
        <w:tc>
          <w:tcPr>
            <w:tcW w:w="396" w:type="pct"/>
            <w:vMerge/>
            <w:tcMar>
              <w:top w:w="28" w:type="dxa"/>
              <w:bottom w:w="28" w:type="dxa"/>
            </w:tcMar>
            <w:vAlign w:val="center"/>
          </w:tcPr>
          <w:p w:rsidR="00EE56C0" w:rsidRDefault="00EE56C0">
            <w:pPr>
              <w:pStyle w:val="aff1"/>
              <w:rPr>
                <w:color w:val="auto"/>
              </w:rPr>
            </w:pPr>
          </w:p>
        </w:tc>
        <w:tc>
          <w:tcPr>
            <w:tcW w:w="416" w:type="pct"/>
            <w:vMerge/>
            <w:tcMar>
              <w:top w:w="28" w:type="dxa"/>
              <w:bottom w:w="28" w:type="dxa"/>
            </w:tcMar>
            <w:vAlign w:val="center"/>
          </w:tcPr>
          <w:p w:rsidR="00EE56C0" w:rsidRDefault="00EE56C0">
            <w:pPr>
              <w:pStyle w:val="aff1"/>
              <w:rPr>
                <w:color w:val="auto"/>
              </w:rPr>
            </w:pPr>
          </w:p>
        </w:tc>
        <w:tc>
          <w:tcPr>
            <w:tcW w:w="1081" w:type="pct"/>
            <w:vMerge/>
            <w:tcMar>
              <w:top w:w="28" w:type="dxa"/>
              <w:bottom w:w="28" w:type="dxa"/>
            </w:tcMar>
            <w:vAlign w:val="center"/>
          </w:tcPr>
          <w:p w:rsidR="00EE56C0" w:rsidRDefault="00EE56C0">
            <w:pPr>
              <w:pStyle w:val="aff1"/>
              <w:rPr>
                <w:color w:val="auto"/>
              </w:rPr>
            </w:pPr>
          </w:p>
        </w:tc>
        <w:tc>
          <w:tcPr>
            <w:tcW w:w="912" w:type="pct"/>
            <w:vMerge/>
            <w:tcMar>
              <w:top w:w="28" w:type="dxa"/>
              <w:bottom w:w="28" w:type="dxa"/>
            </w:tcMar>
            <w:vAlign w:val="center"/>
          </w:tcPr>
          <w:p w:rsidR="00EE56C0" w:rsidRDefault="00EE56C0">
            <w:pPr>
              <w:pStyle w:val="aff1"/>
              <w:rPr>
                <w:color w:val="auto"/>
              </w:rPr>
            </w:pPr>
          </w:p>
        </w:tc>
        <w:tc>
          <w:tcPr>
            <w:tcW w:w="582" w:type="pct"/>
            <w:tcBorders>
              <w:top w:val="single" w:sz="4" w:space="0" w:color="auto"/>
              <w:right w:val="single" w:sz="4" w:space="0" w:color="auto"/>
            </w:tcBorders>
            <w:vAlign w:val="center"/>
          </w:tcPr>
          <w:p w:rsidR="00EE56C0" w:rsidRDefault="000F36A1">
            <w:pPr>
              <w:pStyle w:val="aff1"/>
              <w:rPr>
                <w:color w:val="auto"/>
              </w:rPr>
            </w:pPr>
            <w:r>
              <w:rPr>
                <w:rFonts w:hint="eastAsia"/>
                <w:color w:val="auto"/>
              </w:rPr>
              <w:t>一期</w:t>
            </w:r>
          </w:p>
        </w:tc>
        <w:tc>
          <w:tcPr>
            <w:tcW w:w="667" w:type="pct"/>
            <w:tcBorders>
              <w:top w:val="single" w:sz="4" w:space="0" w:color="auto"/>
              <w:left w:val="single" w:sz="4" w:space="0" w:color="auto"/>
            </w:tcBorders>
            <w:vAlign w:val="center"/>
          </w:tcPr>
          <w:p w:rsidR="00EE56C0" w:rsidRDefault="000F36A1">
            <w:pPr>
              <w:pStyle w:val="aff1"/>
              <w:rPr>
                <w:color w:val="auto"/>
              </w:rPr>
            </w:pPr>
            <w:r>
              <w:rPr>
                <w:rFonts w:hint="eastAsia"/>
                <w:color w:val="auto"/>
              </w:rPr>
              <w:t>二期</w:t>
            </w:r>
          </w:p>
        </w:tc>
        <w:tc>
          <w:tcPr>
            <w:tcW w:w="945" w:type="pct"/>
            <w:vMerge/>
            <w:vAlign w:val="center"/>
          </w:tcPr>
          <w:p w:rsidR="00EE56C0" w:rsidRDefault="00EE56C0">
            <w:pPr>
              <w:pStyle w:val="aff1"/>
              <w:rPr>
                <w:color w:val="auto"/>
              </w:rPr>
            </w:pPr>
          </w:p>
        </w:tc>
      </w:tr>
      <w:tr w:rsidR="00EE56C0">
        <w:trPr>
          <w:trHeight w:val="454"/>
        </w:trPr>
        <w:tc>
          <w:tcPr>
            <w:tcW w:w="396" w:type="pct"/>
            <w:vMerge w:val="restart"/>
            <w:tcMar>
              <w:top w:w="28" w:type="dxa"/>
              <w:bottom w:w="28" w:type="dxa"/>
            </w:tcMar>
            <w:vAlign w:val="center"/>
          </w:tcPr>
          <w:p w:rsidR="00EE56C0" w:rsidRDefault="000F36A1">
            <w:pPr>
              <w:pStyle w:val="afa"/>
            </w:pPr>
            <w:r>
              <w:t>固体</w:t>
            </w:r>
          </w:p>
          <w:p w:rsidR="00EE56C0" w:rsidRDefault="000F36A1">
            <w:pPr>
              <w:pStyle w:val="afa"/>
            </w:pPr>
            <w:r>
              <w:t>废物</w:t>
            </w:r>
          </w:p>
        </w:tc>
        <w:tc>
          <w:tcPr>
            <w:tcW w:w="416" w:type="pct"/>
            <w:tcMar>
              <w:top w:w="28" w:type="dxa"/>
              <w:bottom w:w="28" w:type="dxa"/>
            </w:tcMar>
            <w:vAlign w:val="center"/>
          </w:tcPr>
          <w:p w:rsidR="00EE56C0" w:rsidRDefault="000F36A1">
            <w:pPr>
              <w:pStyle w:val="afa"/>
            </w:pPr>
            <w:r>
              <w:t>S1</w:t>
            </w:r>
          </w:p>
        </w:tc>
        <w:tc>
          <w:tcPr>
            <w:tcW w:w="1081" w:type="pct"/>
            <w:tcMar>
              <w:top w:w="28" w:type="dxa"/>
              <w:bottom w:w="28" w:type="dxa"/>
            </w:tcMar>
            <w:vAlign w:val="center"/>
          </w:tcPr>
          <w:p w:rsidR="00EE56C0" w:rsidRDefault="000F36A1">
            <w:pPr>
              <w:pStyle w:val="afa"/>
            </w:pPr>
            <w:r>
              <w:t>原料使用</w:t>
            </w:r>
            <w:r>
              <w:rPr>
                <w:rFonts w:hint="eastAsia"/>
              </w:rPr>
              <w:t>后的</w:t>
            </w:r>
            <w:r>
              <w:t>废包材</w:t>
            </w:r>
          </w:p>
        </w:tc>
        <w:tc>
          <w:tcPr>
            <w:tcW w:w="912" w:type="pct"/>
            <w:tcMar>
              <w:top w:w="28" w:type="dxa"/>
              <w:bottom w:w="28" w:type="dxa"/>
            </w:tcMar>
            <w:vAlign w:val="center"/>
          </w:tcPr>
          <w:p w:rsidR="00EE56C0" w:rsidRDefault="000F36A1">
            <w:pPr>
              <w:pStyle w:val="afa"/>
            </w:pPr>
            <w:r>
              <w:rPr>
                <w:rFonts w:hint="eastAsia"/>
              </w:rPr>
              <w:t>一般固废</w:t>
            </w:r>
          </w:p>
        </w:tc>
        <w:tc>
          <w:tcPr>
            <w:tcW w:w="582" w:type="pct"/>
            <w:tcBorders>
              <w:right w:val="single" w:sz="4" w:space="0" w:color="auto"/>
            </w:tcBorders>
            <w:vAlign w:val="center"/>
          </w:tcPr>
          <w:p w:rsidR="00EE56C0" w:rsidRDefault="000F36A1">
            <w:pPr>
              <w:pStyle w:val="afa"/>
            </w:pPr>
            <w:r>
              <w:t>0.3</w:t>
            </w:r>
          </w:p>
        </w:tc>
        <w:tc>
          <w:tcPr>
            <w:tcW w:w="667" w:type="pct"/>
            <w:tcBorders>
              <w:left w:val="single" w:sz="4" w:space="0" w:color="auto"/>
            </w:tcBorders>
            <w:vAlign w:val="center"/>
          </w:tcPr>
          <w:p w:rsidR="00EE56C0" w:rsidRDefault="000F36A1">
            <w:pPr>
              <w:pStyle w:val="afa"/>
            </w:pPr>
            <w:r>
              <w:t>0.5</w:t>
            </w:r>
          </w:p>
        </w:tc>
        <w:tc>
          <w:tcPr>
            <w:tcW w:w="945" w:type="pct"/>
            <w:vMerge w:val="restart"/>
            <w:vAlign w:val="center"/>
          </w:tcPr>
          <w:p w:rsidR="00EE56C0" w:rsidRDefault="000F36A1">
            <w:pPr>
              <w:pStyle w:val="afa"/>
            </w:pPr>
            <w:r>
              <w:rPr>
                <w:rFonts w:hint="eastAsia"/>
              </w:rPr>
              <w:t>一般固废间暂存，定期外售综合利用</w:t>
            </w:r>
          </w:p>
        </w:tc>
      </w:tr>
      <w:tr w:rsidR="00EE56C0">
        <w:trPr>
          <w:trHeight w:val="454"/>
        </w:trPr>
        <w:tc>
          <w:tcPr>
            <w:tcW w:w="396" w:type="pct"/>
            <w:vMerge/>
            <w:tcMar>
              <w:top w:w="28" w:type="dxa"/>
              <w:bottom w:w="28" w:type="dxa"/>
            </w:tcMar>
            <w:vAlign w:val="center"/>
          </w:tcPr>
          <w:p w:rsidR="00EE56C0" w:rsidRDefault="00EE56C0">
            <w:pPr>
              <w:pStyle w:val="afa"/>
            </w:pPr>
          </w:p>
        </w:tc>
        <w:tc>
          <w:tcPr>
            <w:tcW w:w="416" w:type="pct"/>
            <w:tcMar>
              <w:top w:w="28" w:type="dxa"/>
              <w:bottom w:w="28" w:type="dxa"/>
            </w:tcMar>
            <w:vAlign w:val="center"/>
          </w:tcPr>
          <w:p w:rsidR="00EE56C0" w:rsidRDefault="000F36A1">
            <w:pPr>
              <w:pStyle w:val="afa"/>
            </w:pPr>
            <w:r>
              <w:t>S2</w:t>
            </w:r>
          </w:p>
        </w:tc>
        <w:tc>
          <w:tcPr>
            <w:tcW w:w="1081" w:type="pct"/>
            <w:tcMar>
              <w:top w:w="28" w:type="dxa"/>
              <w:bottom w:w="28" w:type="dxa"/>
            </w:tcMar>
            <w:vAlign w:val="center"/>
          </w:tcPr>
          <w:p w:rsidR="00EE56C0" w:rsidRDefault="000F36A1">
            <w:pPr>
              <w:pStyle w:val="afa"/>
            </w:pPr>
            <w:r>
              <w:rPr>
                <w:rFonts w:hint="eastAsia"/>
              </w:rPr>
              <w:t>挤压工序废铜线</w:t>
            </w:r>
          </w:p>
        </w:tc>
        <w:tc>
          <w:tcPr>
            <w:tcW w:w="912" w:type="pct"/>
            <w:tcMar>
              <w:top w:w="28" w:type="dxa"/>
              <w:bottom w:w="28" w:type="dxa"/>
            </w:tcMar>
            <w:vAlign w:val="center"/>
          </w:tcPr>
          <w:p w:rsidR="00EE56C0" w:rsidRDefault="000F36A1">
            <w:pPr>
              <w:pStyle w:val="afa"/>
            </w:pPr>
            <w:r>
              <w:rPr>
                <w:rFonts w:hint="eastAsia"/>
              </w:rPr>
              <w:t>一般固废</w:t>
            </w:r>
          </w:p>
        </w:tc>
        <w:tc>
          <w:tcPr>
            <w:tcW w:w="582" w:type="pct"/>
            <w:tcBorders>
              <w:right w:val="single" w:sz="4" w:space="0" w:color="auto"/>
            </w:tcBorders>
            <w:vAlign w:val="center"/>
          </w:tcPr>
          <w:p w:rsidR="00EE56C0" w:rsidRDefault="000F36A1">
            <w:pPr>
              <w:pStyle w:val="afa"/>
            </w:pPr>
            <w:r>
              <w:t>10.18</w:t>
            </w:r>
          </w:p>
        </w:tc>
        <w:tc>
          <w:tcPr>
            <w:tcW w:w="667" w:type="pct"/>
            <w:tcBorders>
              <w:left w:val="single" w:sz="4" w:space="0" w:color="auto"/>
            </w:tcBorders>
            <w:vAlign w:val="center"/>
          </w:tcPr>
          <w:p w:rsidR="00EE56C0" w:rsidRDefault="000F36A1">
            <w:pPr>
              <w:pStyle w:val="afa"/>
            </w:pPr>
            <w:r>
              <w:t>29.05</w:t>
            </w:r>
          </w:p>
        </w:tc>
        <w:tc>
          <w:tcPr>
            <w:tcW w:w="945" w:type="pct"/>
            <w:vMerge/>
            <w:vAlign w:val="center"/>
          </w:tcPr>
          <w:p w:rsidR="00EE56C0" w:rsidRDefault="00EE56C0">
            <w:pPr>
              <w:pStyle w:val="afa"/>
            </w:pPr>
          </w:p>
        </w:tc>
      </w:tr>
      <w:tr w:rsidR="00EE56C0">
        <w:trPr>
          <w:trHeight w:val="454"/>
        </w:trPr>
        <w:tc>
          <w:tcPr>
            <w:tcW w:w="396" w:type="pct"/>
            <w:vMerge/>
            <w:tcMar>
              <w:top w:w="28" w:type="dxa"/>
              <w:bottom w:w="28" w:type="dxa"/>
            </w:tcMar>
            <w:vAlign w:val="center"/>
          </w:tcPr>
          <w:p w:rsidR="00EE56C0" w:rsidRDefault="00EE56C0">
            <w:pPr>
              <w:pStyle w:val="afa"/>
            </w:pPr>
          </w:p>
        </w:tc>
        <w:tc>
          <w:tcPr>
            <w:tcW w:w="416" w:type="pct"/>
            <w:tcMar>
              <w:top w:w="28" w:type="dxa"/>
              <w:bottom w:w="28" w:type="dxa"/>
            </w:tcMar>
            <w:vAlign w:val="center"/>
          </w:tcPr>
          <w:p w:rsidR="00EE56C0" w:rsidRDefault="000F36A1">
            <w:pPr>
              <w:pStyle w:val="afa"/>
            </w:pPr>
            <w:r>
              <w:t>S3</w:t>
            </w:r>
          </w:p>
        </w:tc>
        <w:tc>
          <w:tcPr>
            <w:tcW w:w="1081" w:type="pct"/>
            <w:tcMar>
              <w:top w:w="28" w:type="dxa"/>
              <w:bottom w:w="28" w:type="dxa"/>
            </w:tcMar>
            <w:vAlign w:val="center"/>
          </w:tcPr>
          <w:p w:rsidR="00EE56C0" w:rsidRDefault="000F36A1">
            <w:pPr>
              <w:pStyle w:val="afa"/>
            </w:pPr>
            <w:r>
              <w:t>检验残次品</w:t>
            </w:r>
          </w:p>
        </w:tc>
        <w:tc>
          <w:tcPr>
            <w:tcW w:w="912" w:type="pct"/>
            <w:tcMar>
              <w:top w:w="28" w:type="dxa"/>
              <w:bottom w:w="28" w:type="dxa"/>
            </w:tcMar>
            <w:vAlign w:val="center"/>
          </w:tcPr>
          <w:p w:rsidR="00EE56C0" w:rsidRDefault="000F36A1">
            <w:pPr>
              <w:pStyle w:val="afa"/>
            </w:pPr>
            <w:r>
              <w:rPr>
                <w:rFonts w:hint="eastAsia"/>
              </w:rPr>
              <w:t>一般固废</w:t>
            </w:r>
          </w:p>
        </w:tc>
        <w:tc>
          <w:tcPr>
            <w:tcW w:w="582" w:type="pct"/>
            <w:tcBorders>
              <w:right w:val="single" w:sz="4" w:space="0" w:color="auto"/>
            </w:tcBorders>
            <w:vAlign w:val="center"/>
          </w:tcPr>
          <w:p w:rsidR="00EE56C0" w:rsidRDefault="000F36A1">
            <w:pPr>
              <w:pStyle w:val="afa"/>
            </w:pPr>
            <w:r>
              <w:t>2.9</w:t>
            </w:r>
          </w:p>
        </w:tc>
        <w:tc>
          <w:tcPr>
            <w:tcW w:w="667" w:type="pct"/>
            <w:tcBorders>
              <w:left w:val="single" w:sz="4" w:space="0" w:color="auto"/>
            </w:tcBorders>
            <w:vAlign w:val="center"/>
          </w:tcPr>
          <w:p w:rsidR="00EE56C0" w:rsidRDefault="000F36A1">
            <w:pPr>
              <w:pStyle w:val="afa"/>
            </w:pPr>
            <w:r>
              <w:t>5.1</w:t>
            </w:r>
          </w:p>
        </w:tc>
        <w:tc>
          <w:tcPr>
            <w:tcW w:w="945" w:type="pct"/>
            <w:vMerge/>
            <w:vAlign w:val="center"/>
          </w:tcPr>
          <w:p w:rsidR="00EE56C0" w:rsidRDefault="00EE56C0">
            <w:pPr>
              <w:pStyle w:val="afa"/>
            </w:pPr>
          </w:p>
        </w:tc>
      </w:tr>
      <w:tr w:rsidR="00EE56C0">
        <w:trPr>
          <w:trHeight w:val="454"/>
        </w:trPr>
        <w:tc>
          <w:tcPr>
            <w:tcW w:w="396" w:type="pct"/>
            <w:vMerge/>
            <w:tcMar>
              <w:top w:w="28" w:type="dxa"/>
              <w:bottom w:w="28" w:type="dxa"/>
            </w:tcMar>
            <w:vAlign w:val="center"/>
          </w:tcPr>
          <w:p w:rsidR="00EE56C0" w:rsidRDefault="00EE56C0">
            <w:pPr>
              <w:pStyle w:val="afa"/>
            </w:pPr>
          </w:p>
        </w:tc>
        <w:tc>
          <w:tcPr>
            <w:tcW w:w="416" w:type="pct"/>
            <w:tcMar>
              <w:top w:w="28" w:type="dxa"/>
              <w:bottom w:w="28" w:type="dxa"/>
            </w:tcMar>
            <w:vAlign w:val="center"/>
          </w:tcPr>
          <w:p w:rsidR="00EE56C0" w:rsidRDefault="000F36A1">
            <w:pPr>
              <w:pStyle w:val="afa"/>
            </w:pPr>
            <w:r>
              <w:t>S4</w:t>
            </w:r>
          </w:p>
        </w:tc>
        <w:tc>
          <w:tcPr>
            <w:tcW w:w="1081" w:type="pct"/>
            <w:tcMar>
              <w:top w:w="28" w:type="dxa"/>
              <w:bottom w:w="28" w:type="dxa"/>
            </w:tcMar>
            <w:vAlign w:val="center"/>
          </w:tcPr>
          <w:p w:rsidR="00EE56C0" w:rsidRDefault="000F36A1">
            <w:pPr>
              <w:pStyle w:val="afa"/>
            </w:pPr>
            <w:r>
              <w:t>含铜油泥</w:t>
            </w:r>
          </w:p>
        </w:tc>
        <w:tc>
          <w:tcPr>
            <w:tcW w:w="912" w:type="pct"/>
            <w:tcMar>
              <w:top w:w="28" w:type="dxa"/>
              <w:bottom w:w="28" w:type="dxa"/>
            </w:tcMar>
            <w:vAlign w:val="center"/>
          </w:tcPr>
          <w:p w:rsidR="00EE56C0" w:rsidRDefault="000F36A1">
            <w:pPr>
              <w:pStyle w:val="afa"/>
            </w:pPr>
            <w:r>
              <w:rPr>
                <w:rFonts w:hint="eastAsia"/>
              </w:rPr>
              <w:t>危险废物</w:t>
            </w:r>
          </w:p>
        </w:tc>
        <w:tc>
          <w:tcPr>
            <w:tcW w:w="582" w:type="pct"/>
            <w:tcBorders>
              <w:right w:val="single" w:sz="4" w:space="0" w:color="auto"/>
            </w:tcBorders>
            <w:vAlign w:val="center"/>
          </w:tcPr>
          <w:p w:rsidR="00EE56C0" w:rsidRDefault="000F36A1">
            <w:pPr>
              <w:pStyle w:val="afa"/>
            </w:pPr>
            <w:r>
              <w:t>1.2</w:t>
            </w:r>
          </w:p>
        </w:tc>
        <w:tc>
          <w:tcPr>
            <w:tcW w:w="667" w:type="pct"/>
            <w:tcBorders>
              <w:left w:val="single" w:sz="4" w:space="0" w:color="auto"/>
            </w:tcBorders>
            <w:vAlign w:val="center"/>
          </w:tcPr>
          <w:p w:rsidR="00EE56C0" w:rsidRDefault="000F36A1">
            <w:pPr>
              <w:pStyle w:val="afa"/>
            </w:pPr>
            <w:r>
              <w:t>2.75</w:t>
            </w:r>
          </w:p>
        </w:tc>
        <w:tc>
          <w:tcPr>
            <w:tcW w:w="945" w:type="pct"/>
            <w:vMerge w:val="restart"/>
            <w:tcBorders>
              <w:top w:val="single" w:sz="4" w:space="0" w:color="auto"/>
            </w:tcBorders>
            <w:vAlign w:val="center"/>
          </w:tcPr>
          <w:p w:rsidR="00EE56C0" w:rsidRDefault="000F36A1">
            <w:pPr>
              <w:pStyle w:val="afa"/>
            </w:pPr>
            <w:r>
              <w:t>专用容器收集，在危废储存间分类暂存</w:t>
            </w:r>
            <w:r>
              <w:rPr>
                <w:rFonts w:hint="eastAsia"/>
              </w:rPr>
              <w:t>，</w:t>
            </w:r>
            <w:r>
              <w:t>定期送有</w:t>
            </w:r>
            <w:r>
              <w:rPr>
                <w:rFonts w:hint="eastAsia"/>
              </w:rPr>
              <w:t>相应</w:t>
            </w:r>
            <w:r>
              <w:t>危废</w:t>
            </w:r>
            <w:r>
              <w:rPr>
                <w:rFonts w:hint="eastAsia"/>
              </w:rPr>
              <w:t>处置</w:t>
            </w:r>
            <w:r>
              <w:t>资质的单位</w:t>
            </w:r>
            <w:r>
              <w:rPr>
                <w:rFonts w:hint="eastAsia"/>
              </w:rPr>
              <w:t>处置</w:t>
            </w:r>
          </w:p>
        </w:tc>
      </w:tr>
      <w:tr w:rsidR="00EE56C0">
        <w:trPr>
          <w:trHeight w:val="454"/>
        </w:trPr>
        <w:tc>
          <w:tcPr>
            <w:tcW w:w="396" w:type="pct"/>
            <w:vMerge/>
            <w:tcMar>
              <w:top w:w="28" w:type="dxa"/>
              <w:bottom w:w="28" w:type="dxa"/>
            </w:tcMar>
            <w:vAlign w:val="center"/>
          </w:tcPr>
          <w:p w:rsidR="00EE56C0" w:rsidRDefault="00EE56C0">
            <w:pPr>
              <w:pStyle w:val="afa"/>
            </w:pPr>
          </w:p>
        </w:tc>
        <w:tc>
          <w:tcPr>
            <w:tcW w:w="416" w:type="pct"/>
            <w:tcMar>
              <w:top w:w="28" w:type="dxa"/>
              <w:bottom w:w="28" w:type="dxa"/>
            </w:tcMar>
            <w:vAlign w:val="center"/>
          </w:tcPr>
          <w:p w:rsidR="00EE56C0" w:rsidRDefault="000F36A1">
            <w:pPr>
              <w:pStyle w:val="afa"/>
            </w:pPr>
            <w:r>
              <w:rPr>
                <w:rFonts w:hint="eastAsia"/>
              </w:rPr>
              <w:t>S5</w:t>
            </w:r>
          </w:p>
        </w:tc>
        <w:tc>
          <w:tcPr>
            <w:tcW w:w="1081" w:type="pct"/>
            <w:tcMar>
              <w:top w:w="28" w:type="dxa"/>
              <w:bottom w:w="28" w:type="dxa"/>
            </w:tcMar>
            <w:vAlign w:val="center"/>
          </w:tcPr>
          <w:p w:rsidR="00EE56C0" w:rsidRDefault="000F36A1">
            <w:pPr>
              <w:pStyle w:val="afa"/>
            </w:pPr>
            <w:r>
              <w:rPr>
                <w:rFonts w:hint="eastAsia"/>
              </w:rPr>
              <w:t>废拉丝油</w:t>
            </w:r>
          </w:p>
        </w:tc>
        <w:tc>
          <w:tcPr>
            <w:tcW w:w="912" w:type="pct"/>
            <w:tcMar>
              <w:top w:w="28" w:type="dxa"/>
              <w:bottom w:w="28" w:type="dxa"/>
            </w:tcMar>
            <w:vAlign w:val="center"/>
          </w:tcPr>
          <w:p w:rsidR="00EE56C0" w:rsidRDefault="000F36A1">
            <w:pPr>
              <w:pStyle w:val="afa"/>
            </w:pPr>
            <w:r>
              <w:rPr>
                <w:rFonts w:hint="eastAsia"/>
              </w:rPr>
              <w:t>危险废物</w:t>
            </w:r>
          </w:p>
        </w:tc>
        <w:tc>
          <w:tcPr>
            <w:tcW w:w="582" w:type="pct"/>
            <w:tcBorders>
              <w:right w:val="single" w:sz="4" w:space="0" w:color="auto"/>
            </w:tcBorders>
            <w:vAlign w:val="center"/>
          </w:tcPr>
          <w:p w:rsidR="00EE56C0" w:rsidRPr="002F5FB6" w:rsidRDefault="000F36A1">
            <w:pPr>
              <w:pStyle w:val="afa"/>
              <w:rPr>
                <w:b/>
                <w:u w:val="single"/>
              </w:rPr>
            </w:pPr>
            <w:r w:rsidRPr="002F5FB6">
              <w:rPr>
                <w:b/>
                <w:u w:val="single"/>
              </w:rPr>
              <w:t>2.</w:t>
            </w:r>
            <w:r w:rsidRPr="002F5FB6">
              <w:rPr>
                <w:rFonts w:hint="eastAsia"/>
                <w:b/>
                <w:u w:val="single"/>
              </w:rPr>
              <w:t>39</w:t>
            </w:r>
          </w:p>
        </w:tc>
        <w:tc>
          <w:tcPr>
            <w:tcW w:w="667" w:type="pct"/>
            <w:tcBorders>
              <w:left w:val="single" w:sz="4" w:space="0" w:color="auto"/>
            </w:tcBorders>
            <w:vAlign w:val="center"/>
          </w:tcPr>
          <w:p w:rsidR="00EE56C0" w:rsidRPr="002F5FB6" w:rsidRDefault="000F36A1">
            <w:pPr>
              <w:pStyle w:val="afa"/>
              <w:rPr>
                <w:b/>
                <w:u w:val="single"/>
              </w:rPr>
            </w:pPr>
            <w:r w:rsidRPr="002F5FB6">
              <w:rPr>
                <w:b/>
                <w:u w:val="single"/>
              </w:rPr>
              <w:t>6.</w:t>
            </w:r>
            <w:r w:rsidRPr="002F5FB6">
              <w:rPr>
                <w:rFonts w:hint="eastAsia"/>
                <w:b/>
                <w:u w:val="single"/>
              </w:rPr>
              <w:t>27</w:t>
            </w:r>
          </w:p>
        </w:tc>
        <w:tc>
          <w:tcPr>
            <w:tcW w:w="945" w:type="pct"/>
            <w:vMerge/>
            <w:tcBorders>
              <w:top w:val="single" w:sz="4" w:space="0" w:color="auto"/>
              <w:bottom w:val="single" w:sz="4" w:space="0" w:color="auto"/>
            </w:tcBorders>
            <w:vAlign w:val="center"/>
          </w:tcPr>
          <w:p w:rsidR="00EE56C0" w:rsidRDefault="00EE56C0">
            <w:pPr>
              <w:pStyle w:val="afa"/>
            </w:pPr>
          </w:p>
        </w:tc>
      </w:tr>
      <w:tr w:rsidR="00EE56C0">
        <w:trPr>
          <w:trHeight w:val="454"/>
        </w:trPr>
        <w:tc>
          <w:tcPr>
            <w:tcW w:w="396" w:type="pct"/>
            <w:vMerge/>
            <w:tcMar>
              <w:top w:w="28" w:type="dxa"/>
              <w:bottom w:w="28" w:type="dxa"/>
            </w:tcMar>
            <w:vAlign w:val="center"/>
          </w:tcPr>
          <w:p w:rsidR="00EE56C0" w:rsidRDefault="00EE56C0">
            <w:pPr>
              <w:pStyle w:val="afa"/>
            </w:pPr>
          </w:p>
        </w:tc>
        <w:tc>
          <w:tcPr>
            <w:tcW w:w="416" w:type="pct"/>
            <w:tcMar>
              <w:top w:w="28" w:type="dxa"/>
              <w:bottom w:w="28" w:type="dxa"/>
            </w:tcMar>
            <w:vAlign w:val="center"/>
          </w:tcPr>
          <w:p w:rsidR="00EE56C0" w:rsidRDefault="000F36A1">
            <w:pPr>
              <w:pStyle w:val="afa"/>
            </w:pPr>
            <w:r>
              <w:rPr>
                <w:rFonts w:hint="eastAsia"/>
              </w:rPr>
              <w:t>S6</w:t>
            </w:r>
          </w:p>
        </w:tc>
        <w:tc>
          <w:tcPr>
            <w:tcW w:w="1081" w:type="pct"/>
            <w:tcMar>
              <w:top w:w="28" w:type="dxa"/>
              <w:bottom w:w="28" w:type="dxa"/>
            </w:tcMar>
            <w:vAlign w:val="center"/>
          </w:tcPr>
          <w:p w:rsidR="00EE56C0" w:rsidRPr="002F5FB6" w:rsidRDefault="000F36A1">
            <w:pPr>
              <w:pStyle w:val="afa"/>
              <w:rPr>
                <w:b/>
                <w:u w:val="single"/>
              </w:rPr>
            </w:pPr>
            <w:r w:rsidRPr="002F5FB6">
              <w:rPr>
                <w:rFonts w:hint="eastAsia"/>
                <w:b/>
                <w:u w:val="single"/>
              </w:rPr>
              <w:t>废丝包漆料桶</w:t>
            </w:r>
          </w:p>
        </w:tc>
        <w:tc>
          <w:tcPr>
            <w:tcW w:w="912" w:type="pct"/>
            <w:tcMar>
              <w:top w:w="28" w:type="dxa"/>
              <w:bottom w:w="28" w:type="dxa"/>
            </w:tcMar>
            <w:vAlign w:val="center"/>
          </w:tcPr>
          <w:p w:rsidR="00EE56C0" w:rsidRPr="002F5FB6" w:rsidRDefault="000F36A1">
            <w:pPr>
              <w:pStyle w:val="afa"/>
              <w:rPr>
                <w:b/>
                <w:u w:val="single"/>
              </w:rPr>
            </w:pPr>
            <w:r w:rsidRPr="002F5FB6">
              <w:rPr>
                <w:rFonts w:hint="eastAsia"/>
                <w:b/>
                <w:u w:val="single"/>
              </w:rPr>
              <w:t>危险废物</w:t>
            </w:r>
          </w:p>
        </w:tc>
        <w:tc>
          <w:tcPr>
            <w:tcW w:w="582" w:type="pct"/>
            <w:tcBorders>
              <w:right w:val="single" w:sz="4" w:space="0" w:color="auto"/>
            </w:tcBorders>
            <w:vAlign w:val="center"/>
          </w:tcPr>
          <w:p w:rsidR="00EE56C0" w:rsidRPr="002F5FB6" w:rsidRDefault="000F36A1">
            <w:pPr>
              <w:pStyle w:val="afa"/>
              <w:rPr>
                <w:b/>
                <w:u w:val="single"/>
              </w:rPr>
            </w:pPr>
            <w:r w:rsidRPr="002F5FB6">
              <w:rPr>
                <w:b/>
                <w:u w:val="single"/>
              </w:rPr>
              <w:t>0.6</w:t>
            </w:r>
          </w:p>
        </w:tc>
        <w:tc>
          <w:tcPr>
            <w:tcW w:w="667" w:type="pct"/>
            <w:tcBorders>
              <w:left w:val="single" w:sz="4" w:space="0" w:color="auto"/>
            </w:tcBorders>
            <w:vAlign w:val="center"/>
          </w:tcPr>
          <w:p w:rsidR="00EE56C0" w:rsidRPr="002F5FB6" w:rsidRDefault="000F36A1">
            <w:pPr>
              <w:pStyle w:val="afa"/>
              <w:rPr>
                <w:b/>
                <w:u w:val="single"/>
              </w:rPr>
            </w:pPr>
            <w:r w:rsidRPr="002F5FB6">
              <w:rPr>
                <w:b/>
                <w:u w:val="single"/>
              </w:rPr>
              <w:t>0.5</w:t>
            </w:r>
          </w:p>
        </w:tc>
        <w:tc>
          <w:tcPr>
            <w:tcW w:w="945" w:type="pct"/>
            <w:vMerge/>
            <w:tcBorders>
              <w:top w:val="single" w:sz="4" w:space="0" w:color="auto"/>
              <w:bottom w:val="single" w:sz="4" w:space="0" w:color="auto"/>
            </w:tcBorders>
            <w:vAlign w:val="center"/>
          </w:tcPr>
          <w:p w:rsidR="00EE56C0" w:rsidRDefault="00EE56C0">
            <w:pPr>
              <w:pStyle w:val="afa"/>
            </w:pPr>
          </w:p>
        </w:tc>
      </w:tr>
      <w:tr w:rsidR="00EE56C0">
        <w:trPr>
          <w:trHeight w:val="454"/>
        </w:trPr>
        <w:tc>
          <w:tcPr>
            <w:tcW w:w="396" w:type="pct"/>
            <w:vMerge/>
            <w:tcMar>
              <w:top w:w="28" w:type="dxa"/>
              <w:bottom w:w="28" w:type="dxa"/>
            </w:tcMar>
            <w:vAlign w:val="center"/>
          </w:tcPr>
          <w:p w:rsidR="00EE56C0" w:rsidRDefault="00EE56C0">
            <w:pPr>
              <w:pStyle w:val="afa"/>
            </w:pPr>
          </w:p>
        </w:tc>
        <w:tc>
          <w:tcPr>
            <w:tcW w:w="416" w:type="pct"/>
            <w:tcMar>
              <w:top w:w="28" w:type="dxa"/>
              <w:bottom w:w="28" w:type="dxa"/>
            </w:tcMar>
            <w:vAlign w:val="center"/>
          </w:tcPr>
          <w:p w:rsidR="00EE56C0" w:rsidRDefault="000F36A1">
            <w:pPr>
              <w:pStyle w:val="afa"/>
            </w:pPr>
            <w:r>
              <w:rPr>
                <w:rFonts w:hint="eastAsia"/>
              </w:rPr>
              <w:t>S7</w:t>
            </w:r>
          </w:p>
        </w:tc>
        <w:tc>
          <w:tcPr>
            <w:tcW w:w="1081" w:type="pct"/>
            <w:tcMar>
              <w:top w:w="28" w:type="dxa"/>
              <w:bottom w:w="28" w:type="dxa"/>
            </w:tcMar>
            <w:vAlign w:val="center"/>
          </w:tcPr>
          <w:p w:rsidR="00EE56C0" w:rsidRDefault="000F36A1">
            <w:pPr>
              <w:pStyle w:val="afa"/>
            </w:pPr>
            <w:r>
              <w:rPr>
                <w:rFonts w:hint="eastAsia"/>
              </w:rPr>
              <w:t>含漆料</w:t>
            </w:r>
            <w:r>
              <w:rPr>
                <w:rFonts w:hint="eastAsia"/>
              </w:rPr>
              <w:t>/</w:t>
            </w:r>
            <w:r>
              <w:rPr>
                <w:rFonts w:hint="eastAsia"/>
              </w:rPr>
              <w:t>油的废毛毡</w:t>
            </w:r>
          </w:p>
        </w:tc>
        <w:tc>
          <w:tcPr>
            <w:tcW w:w="912" w:type="pct"/>
            <w:tcMar>
              <w:top w:w="28" w:type="dxa"/>
              <w:bottom w:w="28" w:type="dxa"/>
            </w:tcMar>
            <w:vAlign w:val="center"/>
          </w:tcPr>
          <w:p w:rsidR="00EE56C0" w:rsidRDefault="000F36A1">
            <w:pPr>
              <w:pStyle w:val="afa"/>
            </w:pPr>
            <w:r>
              <w:rPr>
                <w:rFonts w:hint="eastAsia"/>
              </w:rPr>
              <w:t>危险废物</w:t>
            </w:r>
          </w:p>
        </w:tc>
        <w:tc>
          <w:tcPr>
            <w:tcW w:w="582" w:type="pct"/>
            <w:tcBorders>
              <w:right w:val="single" w:sz="4" w:space="0" w:color="auto"/>
            </w:tcBorders>
            <w:vAlign w:val="center"/>
          </w:tcPr>
          <w:p w:rsidR="00EE56C0" w:rsidRDefault="000F36A1">
            <w:pPr>
              <w:pStyle w:val="afa"/>
            </w:pPr>
            <w:r>
              <w:t>0.3</w:t>
            </w:r>
          </w:p>
        </w:tc>
        <w:tc>
          <w:tcPr>
            <w:tcW w:w="667" w:type="pct"/>
            <w:tcBorders>
              <w:left w:val="single" w:sz="4" w:space="0" w:color="auto"/>
            </w:tcBorders>
            <w:vAlign w:val="center"/>
          </w:tcPr>
          <w:p w:rsidR="00EE56C0" w:rsidRDefault="000F36A1">
            <w:pPr>
              <w:pStyle w:val="afa"/>
            </w:pPr>
            <w:r>
              <w:t>0.7</w:t>
            </w:r>
          </w:p>
        </w:tc>
        <w:tc>
          <w:tcPr>
            <w:tcW w:w="945" w:type="pct"/>
            <w:vMerge/>
            <w:tcBorders>
              <w:top w:val="single" w:sz="4" w:space="0" w:color="auto"/>
              <w:bottom w:val="single" w:sz="4" w:space="0" w:color="auto"/>
            </w:tcBorders>
            <w:vAlign w:val="center"/>
          </w:tcPr>
          <w:p w:rsidR="00EE56C0" w:rsidRDefault="00EE56C0">
            <w:pPr>
              <w:pStyle w:val="afa"/>
            </w:pPr>
          </w:p>
        </w:tc>
      </w:tr>
      <w:tr w:rsidR="00EE56C0">
        <w:trPr>
          <w:trHeight w:val="454"/>
        </w:trPr>
        <w:tc>
          <w:tcPr>
            <w:tcW w:w="396" w:type="pct"/>
            <w:vMerge/>
            <w:tcMar>
              <w:top w:w="28" w:type="dxa"/>
              <w:bottom w:w="28" w:type="dxa"/>
            </w:tcMar>
            <w:vAlign w:val="center"/>
          </w:tcPr>
          <w:p w:rsidR="00EE56C0" w:rsidRDefault="00EE56C0">
            <w:pPr>
              <w:pStyle w:val="afa"/>
            </w:pPr>
          </w:p>
        </w:tc>
        <w:tc>
          <w:tcPr>
            <w:tcW w:w="416" w:type="pct"/>
            <w:tcMar>
              <w:top w:w="28" w:type="dxa"/>
              <w:bottom w:w="28" w:type="dxa"/>
            </w:tcMar>
            <w:vAlign w:val="center"/>
          </w:tcPr>
          <w:p w:rsidR="00EE56C0" w:rsidRDefault="000F36A1">
            <w:pPr>
              <w:pStyle w:val="afa"/>
            </w:pPr>
            <w:r>
              <w:rPr>
                <w:rFonts w:hint="eastAsia"/>
              </w:rPr>
              <w:t>S8</w:t>
            </w:r>
          </w:p>
        </w:tc>
        <w:tc>
          <w:tcPr>
            <w:tcW w:w="1081" w:type="pct"/>
            <w:tcMar>
              <w:top w:w="28" w:type="dxa"/>
              <w:bottom w:w="28" w:type="dxa"/>
            </w:tcMar>
            <w:vAlign w:val="center"/>
          </w:tcPr>
          <w:p w:rsidR="00EE56C0" w:rsidRDefault="000F36A1">
            <w:pPr>
              <w:pStyle w:val="afa"/>
            </w:pPr>
            <w:r>
              <w:rPr>
                <w:rFonts w:hint="eastAsia"/>
              </w:rPr>
              <w:t>废油</w:t>
            </w:r>
          </w:p>
        </w:tc>
        <w:tc>
          <w:tcPr>
            <w:tcW w:w="912" w:type="pct"/>
            <w:tcMar>
              <w:top w:w="28" w:type="dxa"/>
              <w:bottom w:w="28" w:type="dxa"/>
            </w:tcMar>
            <w:vAlign w:val="center"/>
          </w:tcPr>
          <w:p w:rsidR="00EE56C0" w:rsidRDefault="000F36A1">
            <w:pPr>
              <w:pStyle w:val="afa"/>
            </w:pPr>
            <w:r>
              <w:rPr>
                <w:rFonts w:hint="eastAsia"/>
              </w:rPr>
              <w:t>危险废物</w:t>
            </w:r>
          </w:p>
        </w:tc>
        <w:tc>
          <w:tcPr>
            <w:tcW w:w="582" w:type="pct"/>
            <w:tcBorders>
              <w:right w:val="single" w:sz="4" w:space="0" w:color="auto"/>
            </w:tcBorders>
            <w:vAlign w:val="center"/>
          </w:tcPr>
          <w:p w:rsidR="00EE56C0" w:rsidRDefault="000F36A1">
            <w:pPr>
              <w:pStyle w:val="afa"/>
            </w:pPr>
            <w:r>
              <w:t>0.3</w:t>
            </w:r>
          </w:p>
        </w:tc>
        <w:tc>
          <w:tcPr>
            <w:tcW w:w="667" w:type="pct"/>
            <w:tcBorders>
              <w:left w:val="single" w:sz="4" w:space="0" w:color="auto"/>
            </w:tcBorders>
            <w:vAlign w:val="center"/>
          </w:tcPr>
          <w:p w:rsidR="00EE56C0" w:rsidRDefault="000F36A1">
            <w:pPr>
              <w:pStyle w:val="afa"/>
            </w:pPr>
            <w:r>
              <w:t>0.7</w:t>
            </w:r>
          </w:p>
        </w:tc>
        <w:tc>
          <w:tcPr>
            <w:tcW w:w="945" w:type="pct"/>
            <w:vMerge/>
            <w:tcBorders>
              <w:top w:val="single" w:sz="4" w:space="0" w:color="auto"/>
              <w:bottom w:val="single" w:sz="4" w:space="0" w:color="auto"/>
            </w:tcBorders>
            <w:vAlign w:val="center"/>
          </w:tcPr>
          <w:p w:rsidR="00EE56C0" w:rsidRDefault="00EE56C0">
            <w:pPr>
              <w:pStyle w:val="afa"/>
            </w:pPr>
          </w:p>
        </w:tc>
      </w:tr>
      <w:tr w:rsidR="00EE56C0">
        <w:trPr>
          <w:trHeight w:val="454"/>
        </w:trPr>
        <w:tc>
          <w:tcPr>
            <w:tcW w:w="396" w:type="pct"/>
            <w:vMerge/>
            <w:tcMar>
              <w:top w:w="28" w:type="dxa"/>
              <w:bottom w:w="28" w:type="dxa"/>
            </w:tcMar>
            <w:vAlign w:val="center"/>
          </w:tcPr>
          <w:p w:rsidR="00EE56C0" w:rsidRDefault="00EE56C0">
            <w:pPr>
              <w:pStyle w:val="afa"/>
            </w:pPr>
          </w:p>
        </w:tc>
        <w:tc>
          <w:tcPr>
            <w:tcW w:w="416" w:type="pct"/>
            <w:tcMar>
              <w:top w:w="28" w:type="dxa"/>
              <w:bottom w:w="28" w:type="dxa"/>
            </w:tcMar>
            <w:vAlign w:val="center"/>
          </w:tcPr>
          <w:p w:rsidR="00EE56C0" w:rsidRDefault="000F36A1">
            <w:pPr>
              <w:pStyle w:val="afa"/>
            </w:pPr>
            <w:r>
              <w:rPr>
                <w:rFonts w:hint="eastAsia"/>
              </w:rPr>
              <w:t>S9</w:t>
            </w:r>
          </w:p>
        </w:tc>
        <w:tc>
          <w:tcPr>
            <w:tcW w:w="1081" w:type="pct"/>
            <w:tcMar>
              <w:top w:w="28" w:type="dxa"/>
              <w:bottom w:w="28" w:type="dxa"/>
            </w:tcMar>
            <w:vAlign w:val="center"/>
          </w:tcPr>
          <w:p w:rsidR="00EE56C0" w:rsidRDefault="000F36A1">
            <w:pPr>
              <w:pStyle w:val="afa"/>
            </w:pPr>
            <w:r>
              <w:rPr>
                <w:rFonts w:hint="eastAsia"/>
              </w:rPr>
              <w:t>废活性炭</w:t>
            </w:r>
          </w:p>
        </w:tc>
        <w:tc>
          <w:tcPr>
            <w:tcW w:w="912" w:type="pct"/>
            <w:tcMar>
              <w:top w:w="28" w:type="dxa"/>
              <w:bottom w:w="28" w:type="dxa"/>
            </w:tcMar>
            <w:vAlign w:val="center"/>
          </w:tcPr>
          <w:p w:rsidR="00EE56C0" w:rsidRDefault="000F36A1">
            <w:pPr>
              <w:pStyle w:val="afa"/>
            </w:pPr>
            <w:r>
              <w:rPr>
                <w:rFonts w:hint="eastAsia"/>
              </w:rPr>
              <w:t>危险废物</w:t>
            </w:r>
          </w:p>
        </w:tc>
        <w:tc>
          <w:tcPr>
            <w:tcW w:w="582" w:type="pct"/>
            <w:tcBorders>
              <w:right w:val="single" w:sz="4" w:space="0" w:color="auto"/>
            </w:tcBorders>
            <w:vAlign w:val="center"/>
          </w:tcPr>
          <w:p w:rsidR="00EE56C0" w:rsidRDefault="000F36A1">
            <w:pPr>
              <w:pStyle w:val="afa"/>
            </w:pPr>
            <w:r>
              <w:t>2.75</w:t>
            </w:r>
          </w:p>
        </w:tc>
        <w:tc>
          <w:tcPr>
            <w:tcW w:w="667" w:type="pct"/>
            <w:tcBorders>
              <w:left w:val="single" w:sz="4" w:space="0" w:color="auto"/>
            </w:tcBorders>
            <w:vAlign w:val="center"/>
          </w:tcPr>
          <w:p w:rsidR="00EE56C0" w:rsidRDefault="000F36A1">
            <w:pPr>
              <w:pStyle w:val="afa"/>
            </w:pPr>
            <w:r>
              <w:t>/</w:t>
            </w:r>
          </w:p>
        </w:tc>
        <w:tc>
          <w:tcPr>
            <w:tcW w:w="945" w:type="pct"/>
            <w:vMerge/>
            <w:tcBorders>
              <w:top w:val="single" w:sz="4" w:space="0" w:color="auto"/>
              <w:bottom w:val="single" w:sz="4" w:space="0" w:color="auto"/>
            </w:tcBorders>
            <w:vAlign w:val="center"/>
          </w:tcPr>
          <w:p w:rsidR="00EE56C0" w:rsidRDefault="00EE56C0">
            <w:pPr>
              <w:pStyle w:val="afa"/>
            </w:pPr>
          </w:p>
        </w:tc>
      </w:tr>
      <w:tr w:rsidR="00EE56C0">
        <w:trPr>
          <w:trHeight w:val="454"/>
        </w:trPr>
        <w:tc>
          <w:tcPr>
            <w:tcW w:w="396" w:type="pct"/>
            <w:vMerge/>
            <w:tcMar>
              <w:top w:w="28" w:type="dxa"/>
              <w:bottom w:w="28" w:type="dxa"/>
            </w:tcMar>
            <w:vAlign w:val="center"/>
          </w:tcPr>
          <w:p w:rsidR="00EE56C0" w:rsidRDefault="00EE56C0">
            <w:pPr>
              <w:pStyle w:val="afa"/>
            </w:pPr>
          </w:p>
        </w:tc>
        <w:tc>
          <w:tcPr>
            <w:tcW w:w="416" w:type="pct"/>
            <w:tcMar>
              <w:top w:w="28" w:type="dxa"/>
              <w:bottom w:w="28" w:type="dxa"/>
            </w:tcMar>
            <w:vAlign w:val="center"/>
          </w:tcPr>
          <w:p w:rsidR="00EE56C0" w:rsidRDefault="000F36A1">
            <w:pPr>
              <w:pStyle w:val="afa"/>
            </w:pPr>
            <w:r>
              <w:rPr>
                <w:rFonts w:hint="eastAsia"/>
              </w:rPr>
              <w:t>S10</w:t>
            </w:r>
          </w:p>
        </w:tc>
        <w:tc>
          <w:tcPr>
            <w:tcW w:w="1081" w:type="pct"/>
            <w:tcMar>
              <w:top w:w="28" w:type="dxa"/>
              <w:bottom w:w="28" w:type="dxa"/>
            </w:tcMar>
            <w:vAlign w:val="center"/>
          </w:tcPr>
          <w:p w:rsidR="00EE56C0" w:rsidRDefault="000F36A1">
            <w:pPr>
              <w:pStyle w:val="afa"/>
            </w:pPr>
            <w:r>
              <w:t>废催化剂</w:t>
            </w:r>
          </w:p>
        </w:tc>
        <w:tc>
          <w:tcPr>
            <w:tcW w:w="912" w:type="pct"/>
            <w:tcMar>
              <w:top w:w="28" w:type="dxa"/>
              <w:bottom w:w="28" w:type="dxa"/>
            </w:tcMar>
            <w:vAlign w:val="center"/>
          </w:tcPr>
          <w:p w:rsidR="00EE56C0" w:rsidRDefault="000F36A1">
            <w:pPr>
              <w:pStyle w:val="afa"/>
            </w:pPr>
            <w:r>
              <w:rPr>
                <w:rFonts w:hint="eastAsia"/>
              </w:rPr>
              <w:t>危险废物</w:t>
            </w:r>
          </w:p>
        </w:tc>
        <w:tc>
          <w:tcPr>
            <w:tcW w:w="582" w:type="pct"/>
            <w:tcBorders>
              <w:right w:val="single" w:sz="4" w:space="0" w:color="auto"/>
            </w:tcBorders>
            <w:vAlign w:val="center"/>
          </w:tcPr>
          <w:p w:rsidR="00EE56C0" w:rsidRDefault="000F36A1">
            <w:pPr>
              <w:pStyle w:val="afa"/>
            </w:pPr>
            <w:r>
              <w:t>0.2</w:t>
            </w:r>
          </w:p>
        </w:tc>
        <w:tc>
          <w:tcPr>
            <w:tcW w:w="667" w:type="pct"/>
            <w:tcBorders>
              <w:left w:val="single" w:sz="4" w:space="0" w:color="auto"/>
            </w:tcBorders>
            <w:vAlign w:val="center"/>
          </w:tcPr>
          <w:p w:rsidR="00EE56C0" w:rsidRDefault="000F36A1">
            <w:pPr>
              <w:pStyle w:val="afa"/>
            </w:pPr>
            <w:r>
              <w:t>0.4</w:t>
            </w:r>
          </w:p>
        </w:tc>
        <w:tc>
          <w:tcPr>
            <w:tcW w:w="945" w:type="pct"/>
            <w:vMerge/>
            <w:tcBorders>
              <w:top w:val="single" w:sz="4" w:space="0" w:color="auto"/>
              <w:bottom w:val="single" w:sz="4" w:space="0" w:color="auto"/>
            </w:tcBorders>
            <w:vAlign w:val="center"/>
          </w:tcPr>
          <w:p w:rsidR="00EE56C0" w:rsidRDefault="00EE56C0">
            <w:pPr>
              <w:pStyle w:val="afa"/>
            </w:pPr>
          </w:p>
        </w:tc>
      </w:tr>
      <w:tr w:rsidR="00EE56C0">
        <w:trPr>
          <w:trHeight w:val="454"/>
        </w:trPr>
        <w:tc>
          <w:tcPr>
            <w:tcW w:w="396" w:type="pct"/>
            <w:vMerge/>
            <w:tcMar>
              <w:top w:w="28" w:type="dxa"/>
              <w:bottom w:w="28" w:type="dxa"/>
            </w:tcMar>
            <w:vAlign w:val="center"/>
          </w:tcPr>
          <w:p w:rsidR="00EE56C0" w:rsidRDefault="00EE56C0">
            <w:pPr>
              <w:pStyle w:val="afa"/>
            </w:pPr>
          </w:p>
        </w:tc>
        <w:tc>
          <w:tcPr>
            <w:tcW w:w="416" w:type="pct"/>
            <w:tcMar>
              <w:top w:w="28" w:type="dxa"/>
              <w:bottom w:w="28" w:type="dxa"/>
            </w:tcMar>
            <w:vAlign w:val="center"/>
          </w:tcPr>
          <w:p w:rsidR="00EE56C0" w:rsidRDefault="000F36A1">
            <w:pPr>
              <w:pStyle w:val="afa"/>
            </w:pPr>
            <w:r>
              <w:rPr>
                <w:rFonts w:hint="eastAsia"/>
              </w:rPr>
              <w:t>S11</w:t>
            </w:r>
          </w:p>
        </w:tc>
        <w:tc>
          <w:tcPr>
            <w:tcW w:w="1081" w:type="pct"/>
            <w:tcMar>
              <w:top w:w="28" w:type="dxa"/>
              <w:bottom w:w="28" w:type="dxa"/>
            </w:tcMar>
            <w:vAlign w:val="center"/>
          </w:tcPr>
          <w:p w:rsidR="00EE56C0" w:rsidRDefault="000F36A1">
            <w:pPr>
              <w:pStyle w:val="afa"/>
            </w:pPr>
            <w:r>
              <w:rPr>
                <w:rFonts w:hint="eastAsia"/>
              </w:rPr>
              <w:t>废沸石分子筛</w:t>
            </w:r>
          </w:p>
        </w:tc>
        <w:tc>
          <w:tcPr>
            <w:tcW w:w="912" w:type="pct"/>
            <w:tcMar>
              <w:top w:w="28" w:type="dxa"/>
              <w:bottom w:w="28" w:type="dxa"/>
            </w:tcMar>
            <w:vAlign w:val="center"/>
          </w:tcPr>
          <w:p w:rsidR="00EE56C0" w:rsidRDefault="000F36A1">
            <w:pPr>
              <w:pStyle w:val="afa"/>
            </w:pPr>
            <w:r>
              <w:rPr>
                <w:rFonts w:hint="eastAsia"/>
              </w:rPr>
              <w:t>危险废物</w:t>
            </w:r>
          </w:p>
        </w:tc>
        <w:tc>
          <w:tcPr>
            <w:tcW w:w="582" w:type="pct"/>
            <w:tcBorders>
              <w:right w:val="single" w:sz="4" w:space="0" w:color="auto"/>
            </w:tcBorders>
            <w:vAlign w:val="center"/>
          </w:tcPr>
          <w:p w:rsidR="00EE56C0" w:rsidRDefault="000F36A1">
            <w:pPr>
              <w:pStyle w:val="afa"/>
            </w:pPr>
            <w:r>
              <w:t>3</w:t>
            </w:r>
          </w:p>
        </w:tc>
        <w:tc>
          <w:tcPr>
            <w:tcW w:w="667" w:type="pct"/>
            <w:tcBorders>
              <w:left w:val="single" w:sz="4" w:space="0" w:color="auto"/>
            </w:tcBorders>
            <w:vAlign w:val="center"/>
          </w:tcPr>
          <w:p w:rsidR="00EE56C0" w:rsidRDefault="000F36A1">
            <w:pPr>
              <w:pStyle w:val="afa"/>
            </w:pPr>
            <w:r>
              <w:t>/</w:t>
            </w:r>
          </w:p>
        </w:tc>
        <w:tc>
          <w:tcPr>
            <w:tcW w:w="945" w:type="pct"/>
            <w:vMerge/>
            <w:tcBorders>
              <w:top w:val="single" w:sz="4" w:space="0" w:color="auto"/>
              <w:bottom w:val="single" w:sz="4" w:space="0" w:color="auto"/>
            </w:tcBorders>
            <w:vAlign w:val="center"/>
          </w:tcPr>
          <w:p w:rsidR="00EE56C0" w:rsidRDefault="00EE56C0">
            <w:pPr>
              <w:pStyle w:val="afa"/>
            </w:pPr>
          </w:p>
        </w:tc>
      </w:tr>
    </w:tbl>
    <w:p w:rsidR="00EE56C0" w:rsidRDefault="000F36A1">
      <w:pPr>
        <w:ind w:firstLine="480"/>
      </w:pPr>
      <w:r>
        <w:rPr>
          <w:rFonts w:hint="eastAsia"/>
          <w:snapToGrid w:val="0"/>
        </w:rPr>
        <w:t>本项目一般固废汇总情况见下表</w:t>
      </w:r>
      <w:r>
        <w:rPr>
          <w:rFonts w:hint="eastAsia"/>
        </w:rPr>
        <w:t>。</w:t>
      </w:r>
    </w:p>
    <w:p w:rsidR="00EE56C0" w:rsidRDefault="000F36A1">
      <w:pPr>
        <w:pStyle w:val="afd"/>
        <w:spacing w:before="120" w:after="120"/>
        <w:ind w:firstLine="482"/>
      </w:pPr>
      <w:r>
        <w:rPr>
          <w:rFonts w:hint="eastAsia"/>
        </w:rPr>
        <w:t>表</w:t>
      </w:r>
      <w:r>
        <w:rPr>
          <w:rFonts w:hint="eastAsia"/>
        </w:rPr>
        <w:t xml:space="preserve">3-63                </w:t>
      </w:r>
      <w:r>
        <w:rPr>
          <w:rFonts w:hint="eastAsia"/>
        </w:rPr>
        <w:t>一般固废汇总表</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715"/>
        <w:gridCol w:w="953"/>
        <w:gridCol w:w="1276"/>
        <w:gridCol w:w="1134"/>
        <w:gridCol w:w="1620"/>
        <w:gridCol w:w="844"/>
        <w:gridCol w:w="826"/>
        <w:gridCol w:w="1160"/>
      </w:tblGrid>
      <w:tr w:rsidR="00EE56C0">
        <w:trPr>
          <w:trHeight w:val="454"/>
          <w:tblHeader/>
          <w:jc w:val="center"/>
        </w:trPr>
        <w:tc>
          <w:tcPr>
            <w:tcW w:w="419" w:type="pct"/>
            <w:vMerge w:val="restart"/>
            <w:vAlign w:val="center"/>
          </w:tcPr>
          <w:p w:rsidR="00EE56C0" w:rsidRDefault="000F36A1">
            <w:pPr>
              <w:pStyle w:val="afa"/>
              <w:rPr>
                <w:b/>
              </w:rPr>
            </w:pPr>
            <w:r>
              <w:rPr>
                <w:b/>
              </w:rPr>
              <w:t>序号</w:t>
            </w:r>
          </w:p>
        </w:tc>
        <w:tc>
          <w:tcPr>
            <w:tcW w:w="559" w:type="pct"/>
            <w:vMerge w:val="restart"/>
            <w:vAlign w:val="center"/>
          </w:tcPr>
          <w:p w:rsidR="00EE56C0" w:rsidRDefault="000F36A1">
            <w:pPr>
              <w:pStyle w:val="afa"/>
              <w:rPr>
                <w:b/>
              </w:rPr>
            </w:pPr>
            <w:r>
              <w:rPr>
                <w:rFonts w:hint="eastAsia"/>
                <w:b/>
              </w:rPr>
              <w:t>排放源</w:t>
            </w:r>
          </w:p>
        </w:tc>
        <w:tc>
          <w:tcPr>
            <w:tcW w:w="748" w:type="pct"/>
            <w:vMerge w:val="restart"/>
            <w:vAlign w:val="center"/>
          </w:tcPr>
          <w:p w:rsidR="00EE56C0" w:rsidRDefault="000F36A1">
            <w:pPr>
              <w:pStyle w:val="afa"/>
              <w:rPr>
                <w:b/>
              </w:rPr>
            </w:pPr>
            <w:r>
              <w:rPr>
                <w:rFonts w:hint="eastAsia"/>
                <w:b/>
              </w:rPr>
              <w:t>固废名称</w:t>
            </w:r>
          </w:p>
        </w:tc>
        <w:tc>
          <w:tcPr>
            <w:tcW w:w="665" w:type="pct"/>
            <w:vMerge w:val="restart"/>
            <w:vAlign w:val="center"/>
          </w:tcPr>
          <w:p w:rsidR="00EE56C0" w:rsidRDefault="000F36A1">
            <w:pPr>
              <w:pStyle w:val="afa"/>
              <w:rPr>
                <w:b/>
              </w:rPr>
            </w:pPr>
            <w:r>
              <w:rPr>
                <w:rFonts w:hint="eastAsia"/>
                <w:b/>
              </w:rPr>
              <w:t>固废性质</w:t>
            </w:r>
          </w:p>
        </w:tc>
        <w:tc>
          <w:tcPr>
            <w:tcW w:w="950" w:type="pct"/>
            <w:vMerge w:val="restart"/>
            <w:vAlign w:val="center"/>
          </w:tcPr>
          <w:p w:rsidR="00EE56C0" w:rsidRDefault="000F36A1">
            <w:pPr>
              <w:pStyle w:val="afa"/>
              <w:rPr>
                <w:b/>
              </w:rPr>
            </w:pPr>
            <w:r>
              <w:rPr>
                <w:rFonts w:hint="eastAsia"/>
                <w:b/>
              </w:rPr>
              <w:t>类别代码</w:t>
            </w:r>
          </w:p>
        </w:tc>
        <w:tc>
          <w:tcPr>
            <w:tcW w:w="979" w:type="pct"/>
            <w:gridSpan w:val="2"/>
            <w:tcBorders>
              <w:bottom w:val="single" w:sz="4" w:space="0" w:color="auto"/>
            </w:tcBorders>
            <w:vAlign w:val="center"/>
          </w:tcPr>
          <w:p w:rsidR="00EE56C0" w:rsidRDefault="000F36A1">
            <w:pPr>
              <w:pStyle w:val="afa"/>
              <w:rPr>
                <w:b/>
              </w:rPr>
            </w:pPr>
            <w:r>
              <w:rPr>
                <w:b/>
              </w:rPr>
              <w:t>产生量</w:t>
            </w:r>
            <w:r>
              <w:rPr>
                <w:rFonts w:hint="eastAsia"/>
                <w:b/>
              </w:rPr>
              <w:t>(t</w:t>
            </w:r>
            <w:r>
              <w:rPr>
                <w:b/>
              </w:rPr>
              <w:t>/</w:t>
            </w:r>
            <w:r>
              <w:rPr>
                <w:rFonts w:hint="eastAsia"/>
                <w:b/>
              </w:rPr>
              <w:t>a)</w:t>
            </w:r>
          </w:p>
        </w:tc>
        <w:tc>
          <w:tcPr>
            <w:tcW w:w="680" w:type="pct"/>
            <w:vMerge w:val="restart"/>
            <w:vAlign w:val="center"/>
          </w:tcPr>
          <w:p w:rsidR="00EE56C0" w:rsidRDefault="000F36A1">
            <w:pPr>
              <w:pStyle w:val="afa"/>
              <w:rPr>
                <w:b/>
              </w:rPr>
            </w:pPr>
            <w:r>
              <w:rPr>
                <w:rFonts w:hint="eastAsia"/>
                <w:b/>
              </w:rPr>
              <w:t>处理措施</w:t>
            </w:r>
          </w:p>
        </w:tc>
      </w:tr>
      <w:tr w:rsidR="00EE56C0">
        <w:trPr>
          <w:trHeight w:val="454"/>
          <w:tblHeader/>
          <w:jc w:val="center"/>
        </w:trPr>
        <w:tc>
          <w:tcPr>
            <w:tcW w:w="419" w:type="pct"/>
            <w:vMerge/>
            <w:vAlign w:val="center"/>
          </w:tcPr>
          <w:p w:rsidR="00EE56C0" w:rsidRDefault="00EE56C0">
            <w:pPr>
              <w:pStyle w:val="afa"/>
              <w:rPr>
                <w:b/>
              </w:rPr>
            </w:pPr>
          </w:p>
        </w:tc>
        <w:tc>
          <w:tcPr>
            <w:tcW w:w="559" w:type="pct"/>
            <w:vMerge/>
            <w:vAlign w:val="center"/>
          </w:tcPr>
          <w:p w:rsidR="00EE56C0" w:rsidRDefault="00EE56C0">
            <w:pPr>
              <w:pStyle w:val="afa"/>
              <w:rPr>
                <w:b/>
              </w:rPr>
            </w:pPr>
          </w:p>
        </w:tc>
        <w:tc>
          <w:tcPr>
            <w:tcW w:w="748" w:type="pct"/>
            <w:vMerge/>
            <w:vAlign w:val="center"/>
          </w:tcPr>
          <w:p w:rsidR="00EE56C0" w:rsidRDefault="00EE56C0">
            <w:pPr>
              <w:pStyle w:val="afa"/>
              <w:rPr>
                <w:b/>
              </w:rPr>
            </w:pPr>
          </w:p>
        </w:tc>
        <w:tc>
          <w:tcPr>
            <w:tcW w:w="665" w:type="pct"/>
            <w:vMerge/>
            <w:vAlign w:val="center"/>
          </w:tcPr>
          <w:p w:rsidR="00EE56C0" w:rsidRDefault="00EE56C0">
            <w:pPr>
              <w:pStyle w:val="afa"/>
              <w:rPr>
                <w:b/>
              </w:rPr>
            </w:pPr>
          </w:p>
        </w:tc>
        <w:tc>
          <w:tcPr>
            <w:tcW w:w="950" w:type="pct"/>
            <w:vMerge/>
            <w:vAlign w:val="center"/>
          </w:tcPr>
          <w:p w:rsidR="00EE56C0" w:rsidRDefault="00EE56C0">
            <w:pPr>
              <w:pStyle w:val="afa"/>
              <w:rPr>
                <w:b/>
              </w:rPr>
            </w:pPr>
          </w:p>
        </w:tc>
        <w:tc>
          <w:tcPr>
            <w:tcW w:w="495" w:type="pct"/>
            <w:tcBorders>
              <w:top w:val="single" w:sz="4" w:space="0" w:color="auto"/>
              <w:right w:val="single" w:sz="4" w:space="0" w:color="auto"/>
            </w:tcBorders>
            <w:vAlign w:val="center"/>
          </w:tcPr>
          <w:p w:rsidR="00EE56C0" w:rsidRDefault="000F36A1">
            <w:pPr>
              <w:pStyle w:val="aff1"/>
              <w:rPr>
                <w:color w:val="auto"/>
              </w:rPr>
            </w:pPr>
            <w:r>
              <w:rPr>
                <w:rFonts w:hint="eastAsia"/>
                <w:color w:val="auto"/>
              </w:rPr>
              <w:t>一期</w:t>
            </w:r>
          </w:p>
        </w:tc>
        <w:tc>
          <w:tcPr>
            <w:tcW w:w="484" w:type="pct"/>
            <w:tcBorders>
              <w:top w:val="single" w:sz="4" w:space="0" w:color="auto"/>
              <w:left w:val="single" w:sz="4" w:space="0" w:color="auto"/>
            </w:tcBorders>
            <w:vAlign w:val="center"/>
          </w:tcPr>
          <w:p w:rsidR="00EE56C0" w:rsidRDefault="000F36A1">
            <w:pPr>
              <w:pStyle w:val="aff1"/>
              <w:rPr>
                <w:color w:val="auto"/>
              </w:rPr>
            </w:pPr>
            <w:r>
              <w:rPr>
                <w:rFonts w:hint="eastAsia"/>
                <w:color w:val="auto"/>
              </w:rPr>
              <w:t>二期</w:t>
            </w:r>
          </w:p>
        </w:tc>
        <w:tc>
          <w:tcPr>
            <w:tcW w:w="680" w:type="pct"/>
            <w:vMerge/>
            <w:vAlign w:val="center"/>
          </w:tcPr>
          <w:p w:rsidR="00EE56C0" w:rsidRDefault="00EE56C0">
            <w:pPr>
              <w:pStyle w:val="afa"/>
              <w:rPr>
                <w:b/>
              </w:rPr>
            </w:pPr>
          </w:p>
        </w:tc>
      </w:tr>
      <w:tr w:rsidR="00EE56C0">
        <w:trPr>
          <w:trHeight w:val="454"/>
          <w:jc w:val="center"/>
        </w:trPr>
        <w:tc>
          <w:tcPr>
            <w:tcW w:w="419" w:type="pct"/>
            <w:vAlign w:val="center"/>
          </w:tcPr>
          <w:p w:rsidR="00EE56C0" w:rsidRDefault="000F36A1">
            <w:pPr>
              <w:pStyle w:val="afa"/>
            </w:pPr>
            <w:r>
              <w:t>1</w:t>
            </w:r>
          </w:p>
        </w:tc>
        <w:tc>
          <w:tcPr>
            <w:tcW w:w="559" w:type="pct"/>
            <w:vAlign w:val="center"/>
          </w:tcPr>
          <w:p w:rsidR="00EE56C0" w:rsidRDefault="000F36A1">
            <w:pPr>
              <w:pStyle w:val="afa"/>
            </w:pPr>
            <w:r>
              <w:rPr>
                <w:rFonts w:hint="eastAsia"/>
              </w:rPr>
              <w:t>原料使用</w:t>
            </w:r>
          </w:p>
        </w:tc>
        <w:tc>
          <w:tcPr>
            <w:tcW w:w="748" w:type="pct"/>
            <w:vAlign w:val="center"/>
          </w:tcPr>
          <w:p w:rsidR="00EE56C0" w:rsidRDefault="000F36A1">
            <w:pPr>
              <w:pStyle w:val="afa"/>
            </w:pPr>
            <w:r>
              <w:t>废包材</w:t>
            </w:r>
          </w:p>
        </w:tc>
        <w:tc>
          <w:tcPr>
            <w:tcW w:w="665" w:type="pct"/>
            <w:vAlign w:val="center"/>
          </w:tcPr>
          <w:p w:rsidR="00EE56C0" w:rsidRDefault="000F36A1">
            <w:pPr>
              <w:pStyle w:val="afa"/>
            </w:pPr>
            <w:r>
              <w:t>一般固废</w:t>
            </w:r>
          </w:p>
        </w:tc>
        <w:tc>
          <w:tcPr>
            <w:tcW w:w="950" w:type="pct"/>
            <w:vAlign w:val="center"/>
          </w:tcPr>
          <w:p w:rsidR="00EE56C0" w:rsidRDefault="000F36A1">
            <w:pPr>
              <w:pStyle w:val="afa"/>
            </w:pPr>
            <w:r>
              <w:rPr>
                <w:rFonts w:hint="eastAsia"/>
              </w:rPr>
              <w:t>383-001-07</w:t>
            </w:r>
          </w:p>
        </w:tc>
        <w:tc>
          <w:tcPr>
            <w:tcW w:w="495" w:type="pct"/>
            <w:tcBorders>
              <w:right w:val="single" w:sz="4" w:space="0" w:color="auto"/>
            </w:tcBorders>
            <w:vAlign w:val="center"/>
          </w:tcPr>
          <w:p w:rsidR="00EE56C0" w:rsidRDefault="000F36A1">
            <w:pPr>
              <w:pStyle w:val="afa"/>
            </w:pPr>
            <w:r>
              <w:t>0.3</w:t>
            </w:r>
          </w:p>
        </w:tc>
        <w:tc>
          <w:tcPr>
            <w:tcW w:w="484" w:type="pct"/>
            <w:tcBorders>
              <w:left w:val="single" w:sz="4" w:space="0" w:color="auto"/>
            </w:tcBorders>
            <w:vAlign w:val="center"/>
          </w:tcPr>
          <w:p w:rsidR="00EE56C0" w:rsidRDefault="000F36A1">
            <w:pPr>
              <w:pStyle w:val="afa"/>
            </w:pPr>
            <w:r>
              <w:t>0.5</w:t>
            </w:r>
          </w:p>
        </w:tc>
        <w:tc>
          <w:tcPr>
            <w:tcW w:w="680" w:type="pct"/>
            <w:vMerge w:val="restart"/>
            <w:vAlign w:val="center"/>
          </w:tcPr>
          <w:p w:rsidR="00EE56C0" w:rsidRDefault="000F36A1">
            <w:pPr>
              <w:pStyle w:val="afa"/>
            </w:pPr>
            <w:r>
              <w:t>一般固废间暂存，定期外售综合利用</w:t>
            </w:r>
          </w:p>
        </w:tc>
      </w:tr>
      <w:tr w:rsidR="00EE56C0">
        <w:trPr>
          <w:trHeight w:val="454"/>
          <w:jc w:val="center"/>
        </w:trPr>
        <w:tc>
          <w:tcPr>
            <w:tcW w:w="419" w:type="pct"/>
            <w:vAlign w:val="center"/>
          </w:tcPr>
          <w:p w:rsidR="00EE56C0" w:rsidRDefault="000F36A1">
            <w:pPr>
              <w:pStyle w:val="afa"/>
            </w:pPr>
            <w:r>
              <w:t>2</w:t>
            </w:r>
          </w:p>
        </w:tc>
        <w:tc>
          <w:tcPr>
            <w:tcW w:w="559" w:type="pct"/>
            <w:vAlign w:val="center"/>
          </w:tcPr>
          <w:p w:rsidR="00EE56C0" w:rsidRDefault="000F36A1">
            <w:pPr>
              <w:pStyle w:val="afa"/>
            </w:pPr>
            <w:r>
              <w:rPr>
                <w:rFonts w:hint="eastAsia"/>
              </w:rPr>
              <w:t>挤压</w:t>
            </w:r>
          </w:p>
        </w:tc>
        <w:tc>
          <w:tcPr>
            <w:tcW w:w="748" w:type="pct"/>
            <w:vAlign w:val="center"/>
          </w:tcPr>
          <w:p w:rsidR="00EE56C0" w:rsidRDefault="000F36A1">
            <w:pPr>
              <w:pStyle w:val="afa"/>
            </w:pPr>
            <w:r>
              <w:rPr>
                <w:rFonts w:hint="eastAsia"/>
              </w:rPr>
              <w:t>废铜线</w:t>
            </w:r>
          </w:p>
        </w:tc>
        <w:tc>
          <w:tcPr>
            <w:tcW w:w="665" w:type="pct"/>
            <w:vAlign w:val="center"/>
          </w:tcPr>
          <w:p w:rsidR="00EE56C0" w:rsidRDefault="000F36A1">
            <w:pPr>
              <w:pStyle w:val="afa"/>
            </w:pPr>
            <w:r>
              <w:t>一般固废</w:t>
            </w:r>
          </w:p>
        </w:tc>
        <w:tc>
          <w:tcPr>
            <w:tcW w:w="950" w:type="pct"/>
            <w:vAlign w:val="center"/>
          </w:tcPr>
          <w:p w:rsidR="00EE56C0" w:rsidRDefault="000F36A1">
            <w:pPr>
              <w:pStyle w:val="afa"/>
            </w:pPr>
            <w:r>
              <w:rPr>
                <w:rFonts w:hint="eastAsia"/>
              </w:rPr>
              <w:t>383-001-10</w:t>
            </w:r>
          </w:p>
        </w:tc>
        <w:tc>
          <w:tcPr>
            <w:tcW w:w="495" w:type="pct"/>
            <w:tcBorders>
              <w:right w:val="single" w:sz="4" w:space="0" w:color="auto"/>
            </w:tcBorders>
            <w:vAlign w:val="center"/>
          </w:tcPr>
          <w:p w:rsidR="00EE56C0" w:rsidRDefault="000F36A1">
            <w:pPr>
              <w:pStyle w:val="afa"/>
            </w:pPr>
            <w:r>
              <w:t>10.18</w:t>
            </w:r>
          </w:p>
        </w:tc>
        <w:tc>
          <w:tcPr>
            <w:tcW w:w="484" w:type="pct"/>
            <w:tcBorders>
              <w:left w:val="single" w:sz="4" w:space="0" w:color="auto"/>
            </w:tcBorders>
            <w:vAlign w:val="center"/>
          </w:tcPr>
          <w:p w:rsidR="00EE56C0" w:rsidRDefault="000F36A1">
            <w:pPr>
              <w:pStyle w:val="afa"/>
            </w:pPr>
            <w:r>
              <w:t>29.05</w:t>
            </w:r>
          </w:p>
        </w:tc>
        <w:tc>
          <w:tcPr>
            <w:tcW w:w="680" w:type="pct"/>
            <w:vMerge/>
            <w:vAlign w:val="center"/>
          </w:tcPr>
          <w:p w:rsidR="00EE56C0" w:rsidRDefault="00EE56C0">
            <w:pPr>
              <w:pStyle w:val="afa"/>
            </w:pPr>
          </w:p>
        </w:tc>
      </w:tr>
      <w:tr w:rsidR="00EE56C0">
        <w:trPr>
          <w:trHeight w:val="454"/>
          <w:jc w:val="center"/>
        </w:trPr>
        <w:tc>
          <w:tcPr>
            <w:tcW w:w="419" w:type="pct"/>
            <w:vAlign w:val="center"/>
          </w:tcPr>
          <w:p w:rsidR="00EE56C0" w:rsidRDefault="000F36A1">
            <w:pPr>
              <w:pStyle w:val="afa"/>
            </w:pPr>
            <w:r>
              <w:t>3</w:t>
            </w:r>
          </w:p>
        </w:tc>
        <w:tc>
          <w:tcPr>
            <w:tcW w:w="559" w:type="pct"/>
            <w:vAlign w:val="center"/>
          </w:tcPr>
          <w:p w:rsidR="00EE56C0" w:rsidRDefault="000F36A1">
            <w:pPr>
              <w:pStyle w:val="afa"/>
            </w:pPr>
            <w:r>
              <w:t>检验</w:t>
            </w:r>
          </w:p>
        </w:tc>
        <w:tc>
          <w:tcPr>
            <w:tcW w:w="748" w:type="pct"/>
            <w:vAlign w:val="center"/>
          </w:tcPr>
          <w:p w:rsidR="00EE56C0" w:rsidRDefault="000F36A1">
            <w:pPr>
              <w:pStyle w:val="afa"/>
            </w:pPr>
            <w:r>
              <w:t>残次品</w:t>
            </w:r>
          </w:p>
        </w:tc>
        <w:tc>
          <w:tcPr>
            <w:tcW w:w="665" w:type="pct"/>
            <w:vAlign w:val="center"/>
          </w:tcPr>
          <w:p w:rsidR="00EE56C0" w:rsidRDefault="000F36A1">
            <w:pPr>
              <w:pStyle w:val="afa"/>
            </w:pPr>
            <w:r>
              <w:t>一般固废</w:t>
            </w:r>
          </w:p>
        </w:tc>
        <w:tc>
          <w:tcPr>
            <w:tcW w:w="950" w:type="pct"/>
            <w:vAlign w:val="center"/>
          </w:tcPr>
          <w:p w:rsidR="00EE56C0" w:rsidRDefault="000F36A1">
            <w:pPr>
              <w:pStyle w:val="afa"/>
            </w:pPr>
            <w:r>
              <w:rPr>
                <w:rFonts w:hint="eastAsia"/>
              </w:rPr>
              <w:t>383-001-10</w:t>
            </w:r>
          </w:p>
        </w:tc>
        <w:tc>
          <w:tcPr>
            <w:tcW w:w="495" w:type="pct"/>
            <w:tcBorders>
              <w:right w:val="single" w:sz="4" w:space="0" w:color="auto"/>
            </w:tcBorders>
            <w:vAlign w:val="center"/>
          </w:tcPr>
          <w:p w:rsidR="00EE56C0" w:rsidRDefault="000F36A1">
            <w:pPr>
              <w:pStyle w:val="afa"/>
            </w:pPr>
            <w:r>
              <w:t>2.9</w:t>
            </w:r>
          </w:p>
        </w:tc>
        <w:tc>
          <w:tcPr>
            <w:tcW w:w="484" w:type="pct"/>
            <w:tcBorders>
              <w:left w:val="single" w:sz="4" w:space="0" w:color="auto"/>
            </w:tcBorders>
            <w:vAlign w:val="center"/>
          </w:tcPr>
          <w:p w:rsidR="00EE56C0" w:rsidRDefault="000F36A1">
            <w:pPr>
              <w:pStyle w:val="afa"/>
            </w:pPr>
            <w:r>
              <w:t>5.1</w:t>
            </w:r>
          </w:p>
        </w:tc>
        <w:tc>
          <w:tcPr>
            <w:tcW w:w="680" w:type="pct"/>
            <w:vMerge/>
            <w:vAlign w:val="center"/>
          </w:tcPr>
          <w:p w:rsidR="00EE56C0" w:rsidRDefault="00EE56C0">
            <w:pPr>
              <w:pStyle w:val="afa"/>
            </w:pPr>
          </w:p>
        </w:tc>
      </w:tr>
    </w:tbl>
    <w:p w:rsidR="00EE56C0" w:rsidRDefault="000F36A1">
      <w:pPr>
        <w:ind w:firstLine="480"/>
        <w:rPr>
          <w:snapToGrid w:val="0"/>
        </w:rPr>
      </w:pPr>
      <w:r>
        <w:rPr>
          <w:rFonts w:hint="eastAsia"/>
          <w:snapToGrid w:val="0"/>
        </w:rPr>
        <w:t>本项目危险废物基本情况及贮存场所情况见下表。</w:t>
      </w:r>
    </w:p>
    <w:p w:rsidR="00EE56C0" w:rsidRDefault="000F36A1">
      <w:pPr>
        <w:pStyle w:val="afd"/>
        <w:spacing w:before="120" w:after="120"/>
        <w:ind w:firstLine="482"/>
        <w:rPr>
          <w:snapToGrid w:val="0"/>
        </w:rPr>
      </w:pPr>
      <w:r>
        <w:rPr>
          <w:rFonts w:hint="eastAsia"/>
          <w:snapToGrid w:val="0"/>
        </w:rPr>
        <w:t>表</w:t>
      </w:r>
      <w:r>
        <w:rPr>
          <w:rFonts w:hint="eastAsia"/>
        </w:rPr>
        <w:t>3-64</w:t>
      </w:r>
      <w:r>
        <w:rPr>
          <w:rFonts w:hint="eastAsia"/>
          <w:snapToGrid w:val="0"/>
        </w:rPr>
        <w:t xml:space="preserve">               </w:t>
      </w:r>
      <w:r>
        <w:rPr>
          <w:rFonts w:hint="eastAsia"/>
          <w:snapToGrid w:val="0"/>
        </w:rPr>
        <w:t>危险废物汇总表</w:t>
      </w:r>
    </w:p>
    <w:tbl>
      <w:tblPr>
        <w:tblpPr w:leftFromText="180" w:rightFromText="180" w:vertAnchor="text" w:tblpXSpec="center" w:tblpY="1"/>
        <w:tblOverlap w:val="never"/>
        <w:tblW w:w="5000" w:type="pct"/>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tblPr>
      <w:tblGrid>
        <w:gridCol w:w="427"/>
        <w:gridCol w:w="816"/>
        <w:gridCol w:w="752"/>
        <w:gridCol w:w="807"/>
        <w:gridCol w:w="708"/>
        <w:gridCol w:w="710"/>
        <w:gridCol w:w="851"/>
        <w:gridCol w:w="566"/>
        <w:gridCol w:w="568"/>
        <w:gridCol w:w="566"/>
        <w:gridCol w:w="425"/>
        <w:gridCol w:w="696"/>
        <w:gridCol w:w="636"/>
      </w:tblGrid>
      <w:tr w:rsidR="00EE56C0">
        <w:trPr>
          <w:trHeight w:val="454"/>
          <w:tblHeader/>
        </w:trPr>
        <w:tc>
          <w:tcPr>
            <w:tcW w:w="250" w:type="pct"/>
            <w:vMerge w:val="restart"/>
            <w:vAlign w:val="center"/>
          </w:tcPr>
          <w:p w:rsidR="00EE56C0" w:rsidRDefault="000F36A1">
            <w:pPr>
              <w:pStyle w:val="aff1"/>
              <w:rPr>
                <w:color w:val="auto"/>
              </w:rPr>
            </w:pPr>
            <w:r>
              <w:rPr>
                <w:color w:val="auto"/>
              </w:rPr>
              <w:t>序号</w:t>
            </w:r>
          </w:p>
        </w:tc>
        <w:tc>
          <w:tcPr>
            <w:tcW w:w="478" w:type="pct"/>
            <w:vMerge w:val="restart"/>
            <w:vAlign w:val="center"/>
          </w:tcPr>
          <w:p w:rsidR="00EE56C0" w:rsidRDefault="000F36A1">
            <w:pPr>
              <w:pStyle w:val="aff1"/>
              <w:rPr>
                <w:color w:val="auto"/>
              </w:rPr>
            </w:pPr>
            <w:r>
              <w:rPr>
                <w:color w:val="auto"/>
              </w:rPr>
              <w:t>危险废物名称</w:t>
            </w:r>
          </w:p>
        </w:tc>
        <w:tc>
          <w:tcPr>
            <w:tcW w:w="441" w:type="pct"/>
            <w:vMerge w:val="restart"/>
            <w:vAlign w:val="center"/>
          </w:tcPr>
          <w:p w:rsidR="00EE56C0" w:rsidRDefault="000F36A1">
            <w:pPr>
              <w:pStyle w:val="aff1"/>
              <w:rPr>
                <w:color w:val="auto"/>
              </w:rPr>
            </w:pPr>
            <w:r>
              <w:rPr>
                <w:color w:val="auto"/>
              </w:rPr>
              <w:t>危险废物类别</w:t>
            </w:r>
          </w:p>
        </w:tc>
        <w:tc>
          <w:tcPr>
            <w:tcW w:w="473" w:type="pct"/>
            <w:vMerge w:val="restart"/>
            <w:vAlign w:val="center"/>
          </w:tcPr>
          <w:p w:rsidR="00EE56C0" w:rsidRDefault="000F36A1">
            <w:pPr>
              <w:pStyle w:val="aff1"/>
              <w:rPr>
                <w:color w:val="auto"/>
              </w:rPr>
            </w:pPr>
            <w:r>
              <w:rPr>
                <w:color w:val="auto"/>
              </w:rPr>
              <w:t>危险废物代码</w:t>
            </w:r>
          </w:p>
        </w:tc>
        <w:tc>
          <w:tcPr>
            <w:tcW w:w="831" w:type="pct"/>
            <w:gridSpan w:val="2"/>
            <w:tcBorders>
              <w:bottom w:val="single" w:sz="4" w:space="0" w:color="auto"/>
            </w:tcBorders>
            <w:vAlign w:val="center"/>
          </w:tcPr>
          <w:p w:rsidR="00EE56C0" w:rsidRDefault="000F36A1">
            <w:pPr>
              <w:pStyle w:val="aff1"/>
              <w:rPr>
                <w:color w:val="auto"/>
              </w:rPr>
            </w:pPr>
            <w:r>
              <w:rPr>
                <w:color w:val="auto"/>
              </w:rPr>
              <w:t>产生量</w:t>
            </w:r>
            <w:r>
              <w:rPr>
                <w:rFonts w:hint="eastAsia"/>
                <w:color w:val="auto"/>
              </w:rPr>
              <w:t>(t</w:t>
            </w:r>
            <w:r>
              <w:rPr>
                <w:color w:val="auto"/>
              </w:rPr>
              <w:t>/</w:t>
            </w:r>
            <w:r>
              <w:rPr>
                <w:rFonts w:hint="eastAsia"/>
                <w:color w:val="auto"/>
              </w:rPr>
              <w:t>a)</w:t>
            </w:r>
          </w:p>
        </w:tc>
        <w:tc>
          <w:tcPr>
            <w:tcW w:w="499" w:type="pct"/>
            <w:vMerge w:val="restart"/>
            <w:vAlign w:val="center"/>
          </w:tcPr>
          <w:p w:rsidR="00EE56C0" w:rsidRDefault="000F36A1">
            <w:pPr>
              <w:pStyle w:val="aff1"/>
              <w:rPr>
                <w:color w:val="auto"/>
              </w:rPr>
            </w:pPr>
            <w:r>
              <w:rPr>
                <w:color w:val="auto"/>
              </w:rPr>
              <w:t>产生工序及装置</w:t>
            </w:r>
          </w:p>
        </w:tc>
        <w:tc>
          <w:tcPr>
            <w:tcW w:w="332" w:type="pct"/>
            <w:vMerge w:val="restart"/>
            <w:vAlign w:val="center"/>
          </w:tcPr>
          <w:p w:rsidR="00EE56C0" w:rsidRDefault="000F36A1">
            <w:pPr>
              <w:pStyle w:val="aff1"/>
              <w:rPr>
                <w:color w:val="auto"/>
              </w:rPr>
            </w:pPr>
            <w:r>
              <w:rPr>
                <w:color w:val="auto"/>
              </w:rPr>
              <w:t>形态</w:t>
            </w:r>
          </w:p>
        </w:tc>
        <w:tc>
          <w:tcPr>
            <w:tcW w:w="333" w:type="pct"/>
            <w:vMerge w:val="restart"/>
            <w:vAlign w:val="center"/>
          </w:tcPr>
          <w:p w:rsidR="00EE56C0" w:rsidRDefault="000F36A1">
            <w:pPr>
              <w:pStyle w:val="aff1"/>
              <w:rPr>
                <w:color w:val="auto"/>
              </w:rPr>
            </w:pPr>
            <w:r>
              <w:rPr>
                <w:color w:val="auto"/>
              </w:rPr>
              <w:t>主要成分</w:t>
            </w:r>
          </w:p>
        </w:tc>
        <w:tc>
          <w:tcPr>
            <w:tcW w:w="332" w:type="pct"/>
            <w:vMerge w:val="restart"/>
            <w:vAlign w:val="center"/>
          </w:tcPr>
          <w:p w:rsidR="00EE56C0" w:rsidRDefault="000F36A1">
            <w:pPr>
              <w:pStyle w:val="aff1"/>
              <w:rPr>
                <w:color w:val="auto"/>
              </w:rPr>
            </w:pPr>
            <w:r>
              <w:rPr>
                <w:color w:val="auto"/>
              </w:rPr>
              <w:t>有害成分</w:t>
            </w:r>
          </w:p>
        </w:tc>
        <w:tc>
          <w:tcPr>
            <w:tcW w:w="249" w:type="pct"/>
            <w:vMerge w:val="restart"/>
            <w:vAlign w:val="center"/>
          </w:tcPr>
          <w:p w:rsidR="00EE56C0" w:rsidRDefault="000F36A1">
            <w:pPr>
              <w:pStyle w:val="aff1"/>
              <w:rPr>
                <w:color w:val="auto"/>
              </w:rPr>
            </w:pPr>
            <w:r>
              <w:rPr>
                <w:color w:val="auto"/>
              </w:rPr>
              <w:t>产废周期</w:t>
            </w:r>
          </w:p>
        </w:tc>
        <w:tc>
          <w:tcPr>
            <w:tcW w:w="408" w:type="pct"/>
            <w:vMerge w:val="restart"/>
            <w:vAlign w:val="center"/>
          </w:tcPr>
          <w:p w:rsidR="00EE56C0" w:rsidRDefault="000F36A1">
            <w:pPr>
              <w:pStyle w:val="aff1"/>
              <w:rPr>
                <w:color w:val="auto"/>
              </w:rPr>
            </w:pPr>
            <w:r>
              <w:rPr>
                <w:color w:val="auto"/>
              </w:rPr>
              <w:t>危险</w:t>
            </w:r>
          </w:p>
          <w:p w:rsidR="00EE56C0" w:rsidRDefault="000F36A1">
            <w:pPr>
              <w:pStyle w:val="aff1"/>
              <w:rPr>
                <w:color w:val="auto"/>
              </w:rPr>
            </w:pPr>
            <w:r>
              <w:rPr>
                <w:color w:val="auto"/>
              </w:rPr>
              <w:t>特性</w:t>
            </w:r>
          </w:p>
        </w:tc>
        <w:tc>
          <w:tcPr>
            <w:tcW w:w="373" w:type="pct"/>
            <w:vMerge w:val="restart"/>
            <w:vAlign w:val="center"/>
          </w:tcPr>
          <w:p w:rsidR="00EE56C0" w:rsidRDefault="000F36A1">
            <w:pPr>
              <w:pStyle w:val="aff1"/>
              <w:rPr>
                <w:color w:val="auto"/>
              </w:rPr>
            </w:pPr>
            <w:r>
              <w:rPr>
                <w:color w:val="auto"/>
              </w:rPr>
              <w:t>污染防治措施</w:t>
            </w:r>
          </w:p>
        </w:tc>
      </w:tr>
      <w:tr w:rsidR="00EE56C0">
        <w:trPr>
          <w:trHeight w:val="454"/>
          <w:tblHeader/>
        </w:trPr>
        <w:tc>
          <w:tcPr>
            <w:tcW w:w="250" w:type="pct"/>
            <w:vMerge/>
            <w:vAlign w:val="center"/>
          </w:tcPr>
          <w:p w:rsidR="00EE56C0" w:rsidRDefault="00EE56C0">
            <w:pPr>
              <w:pStyle w:val="aff1"/>
              <w:rPr>
                <w:color w:val="auto"/>
              </w:rPr>
            </w:pPr>
          </w:p>
        </w:tc>
        <w:tc>
          <w:tcPr>
            <w:tcW w:w="478" w:type="pct"/>
            <w:vMerge/>
            <w:vAlign w:val="center"/>
          </w:tcPr>
          <w:p w:rsidR="00EE56C0" w:rsidRDefault="00EE56C0">
            <w:pPr>
              <w:pStyle w:val="aff1"/>
              <w:rPr>
                <w:color w:val="auto"/>
              </w:rPr>
            </w:pPr>
          </w:p>
        </w:tc>
        <w:tc>
          <w:tcPr>
            <w:tcW w:w="441" w:type="pct"/>
            <w:vMerge/>
            <w:vAlign w:val="center"/>
          </w:tcPr>
          <w:p w:rsidR="00EE56C0" w:rsidRDefault="00EE56C0">
            <w:pPr>
              <w:pStyle w:val="aff1"/>
              <w:rPr>
                <w:color w:val="auto"/>
              </w:rPr>
            </w:pPr>
          </w:p>
        </w:tc>
        <w:tc>
          <w:tcPr>
            <w:tcW w:w="473" w:type="pct"/>
            <w:vMerge/>
            <w:vAlign w:val="center"/>
          </w:tcPr>
          <w:p w:rsidR="00EE56C0" w:rsidRDefault="00EE56C0">
            <w:pPr>
              <w:pStyle w:val="aff1"/>
              <w:rPr>
                <w:color w:val="auto"/>
              </w:rPr>
            </w:pPr>
          </w:p>
        </w:tc>
        <w:tc>
          <w:tcPr>
            <w:tcW w:w="415" w:type="pct"/>
            <w:tcBorders>
              <w:top w:val="single" w:sz="4" w:space="0" w:color="auto"/>
            </w:tcBorders>
            <w:vAlign w:val="center"/>
          </w:tcPr>
          <w:p w:rsidR="00EE56C0" w:rsidRDefault="000F36A1">
            <w:pPr>
              <w:pStyle w:val="aff1"/>
              <w:rPr>
                <w:color w:val="auto"/>
              </w:rPr>
            </w:pPr>
            <w:r>
              <w:rPr>
                <w:rFonts w:hint="eastAsia"/>
                <w:color w:val="auto"/>
              </w:rPr>
              <w:t>一期</w:t>
            </w:r>
          </w:p>
        </w:tc>
        <w:tc>
          <w:tcPr>
            <w:tcW w:w="416" w:type="pct"/>
            <w:tcBorders>
              <w:top w:val="single" w:sz="4" w:space="0" w:color="auto"/>
            </w:tcBorders>
            <w:vAlign w:val="center"/>
          </w:tcPr>
          <w:p w:rsidR="00EE56C0" w:rsidRDefault="000F36A1">
            <w:pPr>
              <w:pStyle w:val="aff1"/>
              <w:rPr>
                <w:color w:val="auto"/>
              </w:rPr>
            </w:pPr>
            <w:r>
              <w:rPr>
                <w:rFonts w:hint="eastAsia"/>
                <w:color w:val="auto"/>
              </w:rPr>
              <w:t>二期</w:t>
            </w:r>
          </w:p>
        </w:tc>
        <w:tc>
          <w:tcPr>
            <w:tcW w:w="499" w:type="pct"/>
            <w:vMerge/>
            <w:vAlign w:val="center"/>
          </w:tcPr>
          <w:p w:rsidR="00EE56C0" w:rsidRDefault="00EE56C0">
            <w:pPr>
              <w:pStyle w:val="aff1"/>
              <w:rPr>
                <w:color w:val="auto"/>
              </w:rPr>
            </w:pPr>
          </w:p>
        </w:tc>
        <w:tc>
          <w:tcPr>
            <w:tcW w:w="332" w:type="pct"/>
            <w:vMerge/>
            <w:vAlign w:val="center"/>
          </w:tcPr>
          <w:p w:rsidR="00EE56C0" w:rsidRDefault="00EE56C0">
            <w:pPr>
              <w:pStyle w:val="aff1"/>
              <w:rPr>
                <w:color w:val="auto"/>
              </w:rPr>
            </w:pPr>
          </w:p>
        </w:tc>
        <w:tc>
          <w:tcPr>
            <w:tcW w:w="333" w:type="pct"/>
            <w:vMerge/>
            <w:vAlign w:val="center"/>
          </w:tcPr>
          <w:p w:rsidR="00EE56C0" w:rsidRDefault="00EE56C0">
            <w:pPr>
              <w:pStyle w:val="aff1"/>
              <w:rPr>
                <w:color w:val="auto"/>
              </w:rPr>
            </w:pPr>
          </w:p>
        </w:tc>
        <w:tc>
          <w:tcPr>
            <w:tcW w:w="332" w:type="pct"/>
            <w:vMerge/>
            <w:vAlign w:val="center"/>
          </w:tcPr>
          <w:p w:rsidR="00EE56C0" w:rsidRDefault="00EE56C0">
            <w:pPr>
              <w:pStyle w:val="aff1"/>
              <w:rPr>
                <w:color w:val="auto"/>
              </w:rPr>
            </w:pPr>
          </w:p>
        </w:tc>
        <w:tc>
          <w:tcPr>
            <w:tcW w:w="249" w:type="pct"/>
            <w:vMerge/>
            <w:vAlign w:val="center"/>
          </w:tcPr>
          <w:p w:rsidR="00EE56C0" w:rsidRDefault="00EE56C0">
            <w:pPr>
              <w:pStyle w:val="aff1"/>
              <w:rPr>
                <w:color w:val="auto"/>
              </w:rPr>
            </w:pPr>
          </w:p>
        </w:tc>
        <w:tc>
          <w:tcPr>
            <w:tcW w:w="408" w:type="pct"/>
            <w:vMerge/>
            <w:vAlign w:val="center"/>
          </w:tcPr>
          <w:p w:rsidR="00EE56C0" w:rsidRDefault="00EE56C0">
            <w:pPr>
              <w:pStyle w:val="aff1"/>
              <w:rPr>
                <w:color w:val="auto"/>
              </w:rPr>
            </w:pPr>
          </w:p>
        </w:tc>
        <w:tc>
          <w:tcPr>
            <w:tcW w:w="373" w:type="pct"/>
            <w:vMerge/>
            <w:vAlign w:val="center"/>
          </w:tcPr>
          <w:p w:rsidR="00EE56C0" w:rsidRDefault="00EE56C0">
            <w:pPr>
              <w:pStyle w:val="aff1"/>
              <w:rPr>
                <w:color w:val="auto"/>
              </w:rPr>
            </w:pPr>
          </w:p>
        </w:tc>
      </w:tr>
      <w:tr w:rsidR="00EE56C0">
        <w:trPr>
          <w:trHeight w:val="454"/>
        </w:trPr>
        <w:tc>
          <w:tcPr>
            <w:tcW w:w="250" w:type="pct"/>
            <w:vAlign w:val="center"/>
          </w:tcPr>
          <w:p w:rsidR="00EE56C0" w:rsidRDefault="000F36A1">
            <w:pPr>
              <w:pStyle w:val="afa"/>
              <w:rPr>
                <w:lang w:eastAsia="en-US"/>
              </w:rPr>
            </w:pPr>
            <w:r>
              <w:t>1</w:t>
            </w:r>
          </w:p>
        </w:tc>
        <w:tc>
          <w:tcPr>
            <w:tcW w:w="478" w:type="pct"/>
            <w:vAlign w:val="center"/>
          </w:tcPr>
          <w:p w:rsidR="00EE56C0" w:rsidRDefault="000F36A1">
            <w:pPr>
              <w:pStyle w:val="afa"/>
            </w:pPr>
            <w:r>
              <w:t>含铜油泥</w:t>
            </w:r>
          </w:p>
        </w:tc>
        <w:tc>
          <w:tcPr>
            <w:tcW w:w="441" w:type="pct"/>
            <w:vAlign w:val="center"/>
          </w:tcPr>
          <w:p w:rsidR="00EE56C0" w:rsidRDefault="000F36A1">
            <w:pPr>
              <w:pStyle w:val="afa"/>
              <w:rPr>
                <w:spacing w:val="-6"/>
              </w:rPr>
            </w:pPr>
            <w:r>
              <w:rPr>
                <w:rFonts w:hint="eastAsia"/>
                <w:spacing w:val="-6"/>
              </w:rPr>
              <w:t>HW08</w:t>
            </w:r>
          </w:p>
        </w:tc>
        <w:tc>
          <w:tcPr>
            <w:tcW w:w="473" w:type="pct"/>
            <w:vAlign w:val="center"/>
          </w:tcPr>
          <w:p w:rsidR="00EE56C0" w:rsidRDefault="000F36A1">
            <w:pPr>
              <w:pStyle w:val="afa"/>
            </w:pPr>
            <w:r>
              <w:t>900-</w:t>
            </w:r>
            <w:r>
              <w:rPr>
                <w:rFonts w:hint="eastAsia"/>
              </w:rPr>
              <w:t>249</w:t>
            </w:r>
            <w:r>
              <w:t>-</w:t>
            </w:r>
            <w:r>
              <w:rPr>
                <w:rFonts w:hint="eastAsia"/>
              </w:rPr>
              <w:t>08</w:t>
            </w:r>
          </w:p>
        </w:tc>
        <w:tc>
          <w:tcPr>
            <w:tcW w:w="415" w:type="pct"/>
            <w:vAlign w:val="center"/>
          </w:tcPr>
          <w:p w:rsidR="00EE56C0" w:rsidRDefault="000F36A1">
            <w:pPr>
              <w:pStyle w:val="afa"/>
            </w:pPr>
            <w:r>
              <w:t>1.2</w:t>
            </w:r>
          </w:p>
        </w:tc>
        <w:tc>
          <w:tcPr>
            <w:tcW w:w="416" w:type="pct"/>
            <w:vAlign w:val="center"/>
          </w:tcPr>
          <w:p w:rsidR="00EE56C0" w:rsidRDefault="000F36A1">
            <w:pPr>
              <w:pStyle w:val="afa"/>
            </w:pPr>
            <w:r>
              <w:t>2.75</w:t>
            </w:r>
          </w:p>
        </w:tc>
        <w:tc>
          <w:tcPr>
            <w:tcW w:w="499" w:type="pct"/>
            <w:vMerge w:val="restart"/>
            <w:vAlign w:val="center"/>
          </w:tcPr>
          <w:p w:rsidR="00EE56C0" w:rsidRDefault="000F36A1">
            <w:pPr>
              <w:pStyle w:val="afa"/>
            </w:pPr>
            <w:r>
              <w:rPr>
                <w:rFonts w:hint="eastAsia"/>
              </w:rPr>
              <w:t>拉丝</w:t>
            </w:r>
          </w:p>
        </w:tc>
        <w:tc>
          <w:tcPr>
            <w:tcW w:w="332" w:type="pct"/>
            <w:vAlign w:val="center"/>
          </w:tcPr>
          <w:p w:rsidR="00EE56C0" w:rsidRDefault="000F36A1">
            <w:pPr>
              <w:pStyle w:val="afa"/>
            </w:pPr>
            <w:r>
              <w:rPr>
                <w:rFonts w:hint="eastAsia"/>
              </w:rPr>
              <w:t>固体</w:t>
            </w:r>
          </w:p>
        </w:tc>
        <w:tc>
          <w:tcPr>
            <w:tcW w:w="333" w:type="pct"/>
            <w:vAlign w:val="center"/>
          </w:tcPr>
          <w:p w:rsidR="00EE56C0" w:rsidRDefault="000F36A1">
            <w:pPr>
              <w:pStyle w:val="afa"/>
              <w:rPr>
                <w:spacing w:val="-8"/>
              </w:rPr>
            </w:pPr>
            <w:r>
              <w:rPr>
                <w:rFonts w:hint="eastAsia"/>
                <w:spacing w:val="-8"/>
              </w:rPr>
              <w:t>废油</w:t>
            </w:r>
          </w:p>
        </w:tc>
        <w:tc>
          <w:tcPr>
            <w:tcW w:w="332" w:type="pct"/>
            <w:vAlign w:val="center"/>
          </w:tcPr>
          <w:p w:rsidR="00EE56C0" w:rsidRDefault="000F36A1">
            <w:pPr>
              <w:pStyle w:val="afa"/>
              <w:rPr>
                <w:spacing w:val="-8"/>
              </w:rPr>
            </w:pPr>
            <w:r>
              <w:rPr>
                <w:rFonts w:hint="eastAsia"/>
                <w:spacing w:val="-8"/>
              </w:rPr>
              <w:t>废油</w:t>
            </w:r>
          </w:p>
        </w:tc>
        <w:tc>
          <w:tcPr>
            <w:tcW w:w="249" w:type="pct"/>
            <w:vAlign w:val="center"/>
          </w:tcPr>
          <w:p w:rsidR="00EE56C0" w:rsidRDefault="000F36A1">
            <w:pPr>
              <w:pStyle w:val="afa"/>
            </w:pPr>
            <w:r>
              <w:rPr>
                <w:rFonts w:hint="eastAsia"/>
              </w:rPr>
              <w:t>连续</w:t>
            </w:r>
          </w:p>
        </w:tc>
        <w:tc>
          <w:tcPr>
            <w:tcW w:w="408" w:type="pct"/>
            <w:vAlign w:val="center"/>
          </w:tcPr>
          <w:p w:rsidR="00EE56C0" w:rsidRDefault="000F36A1">
            <w:pPr>
              <w:pStyle w:val="afa"/>
            </w:pPr>
            <w:r>
              <w:rPr>
                <w:rFonts w:hint="eastAsia"/>
              </w:rPr>
              <w:t>T</w:t>
            </w:r>
            <w:r>
              <w:rPr>
                <w:rFonts w:hint="eastAsia"/>
              </w:rPr>
              <w:t>、</w:t>
            </w:r>
            <w:r>
              <w:rPr>
                <w:rFonts w:hint="eastAsia"/>
              </w:rPr>
              <w:t>I</w:t>
            </w:r>
          </w:p>
        </w:tc>
        <w:tc>
          <w:tcPr>
            <w:tcW w:w="373" w:type="pct"/>
            <w:vMerge w:val="restart"/>
            <w:vAlign w:val="center"/>
          </w:tcPr>
          <w:p w:rsidR="00EE56C0" w:rsidRDefault="000F36A1">
            <w:pPr>
              <w:pStyle w:val="afa"/>
            </w:pPr>
            <w:r>
              <w:t>危废暂存间贮存，定期送有相应危废处理资质单位处理</w:t>
            </w:r>
          </w:p>
        </w:tc>
      </w:tr>
      <w:tr w:rsidR="00EE56C0">
        <w:trPr>
          <w:trHeight w:val="454"/>
        </w:trPr>
        <w:tc>
          <w:tcPr>
            <w:tcW w:w="250" w:type="pct"/>
            <w:vAlign w:val="center"/>
          </w:tcPr>
          <w:p w:rsidR="00EE56C0" w:rsidRDefault="000F36A1">
            <w:pPr>
              <w:pStyle w:val="afa"/>
            </w:pPr>
            <w:r>
              <w:t>2</w:t>
            </w:r>
          </w:p>
        </w:tc>
        <w:tc>
          <w:tcPr>
            <w:tcW w:w="478" w:type="pct"/>
            <w:vAlign w:val="center"/>
          </w:tcPr>
          <w:p w:rsidR="00EE56C0" w:rsidRDefault="000F36A1">
            <w:pPr>
              <w:pStyle w:val="afa"/>
            </w:pPr>
            <w:r>
              <w:rPr>
                <w:rFonts w:hint="eastAsia"/>
              </w:rPr>
              <w:t>废拉丝油</w:t>
            </w:r>
          </w:p>
        </w:tc>
        <w:tc>
          <w:tcPr>
            <w:tcW w:w="441" w:type="pct"/>
            <w:vAlign w:val="center"/>
          </w:tcPr>
          <w:p w:rsidR="00EE56C0" w:rsidRDefault="000F36A1">
            <w:pPr>
              <w:pStyle w:val="afa"/>
              <w:rPr>
                <w:spacing w:val="-6"/>
              </w:rPr>
            </w:pPr>
            <w:r>
              <w:rPr>
                <w:rFonts w:hint="eastAsia"/>
                <w:spacing w:val="-6"/>
              </w:rPr>
              <w:t>HW08</w:t>
            </w:r>
          </w:p>
        </w:tc>
        <w:tc>
          <w:tcPr>
            <w:tcW w:w="473" w:type="pct"/>
            <w:vAlign w:val="center"/>
          </w:tcPr>
          <w:p w:rsidR="00EE56C0" w:rsidRDefault="000F36A1">
            <w:pPr>
              <w:pStyle w:val="afa"/>
              <w:rPr>
                <w:spacing w:val="-6"/>
              </w:rPr>
            </w:pPr>
            <w:r>
              <w:t>900-</w:t>
            </w:r>
            <w:r>
              <w:rPr>
                <w:rFonts w:hint="eastAsia"/>
              </w:rPr>
              <w:t>249</w:t>
            </w:r>
            <w:r>
              <w:t>-</w:t>
            </w:r>
            <w:r>
              <w:rPr>
                <w:rFonts w:hint="eastAsia"/>
              </w:rPr>
              <w:t>08</w:t>
            </w:r>
          </w:p>
        </w:tc>
        <w:tc>
          <w:tcPr>
            <w:tcW w:w="415" w:type="pct"/>
            <w:vAlign w:val="center"/>
          </w:tcPr>
          <w:p w:rsidR="00EE56C0" w:rsidRPr="002F5FB6" w:rsidRDefault="000F36A1">
            <w:pPr>
              <w:pStyle w:val="afa"/>
              <w:rPr>
                <w:b/>
                <w:u w:val="single"/>
              </w:rPr>
            </w:pPr>
            <w:r w:rsidRPr="002F5FB6">
              <w:rPr>
                <w:b/>
                <w:u w:val="single"/>
              </w:rPr>
              <w:t>2.</w:t>
            </w:r>
            <w:r w:rsidRPr="002F5FB6">
              <w:rPr>
                <w:rFonts w:hint="eastAsia"/>
                <w:b/>
                <w:u w:val="single"/>
              </w:rPr>
              <w:t>39</w:t>
            </w:r>
          </w:p>
        </w:tc>
        <w:tc>
          <w:tcPr>
            <w:tcW w:w="416" w:type="pct"/>
            <w:vAlign w:val="center"/>
          </w:tcPr>
          <w:p w:rsidR="00EE56C0" w:rsidRPr="002F5FB6" w:rsidRDefault="000F36A1">
            <w:pPr>
              <w:pStyle w:val="afa"/>
              <w:rPr>
                <w:b/>
                <w:u w:val="single"/>
              </w:rPr>
            </w:pPr>
            <w:r w:rsidRPr="002F5FB6">
              <w:rPr>
                <w:b/>
                <w:u w:val="single"/>
              </w:rPr>
              <w:t>6.</w:t>
            </w:r>
            <w:r w:rsidRPr="002F5FB6">
              <w:rPr>
                <w:rFonts w:hint="eastAsia"/>
                <w:b/>
                <w:u w:val="single"/>
              </w:rPr>
              <w:t>27</w:t>
            </w:r>
          </w:p>
        </w:tc>
        <w:tc>
          <w:tcPr>
            <w:tcW w:w="499" w:type="pct"/>
            <w:vMerge/>
            <w:vAlign w:val="center"/>
          </w:tcPr>
          <w:p w:rsidR="00EE56C0" w:rsidRDefault="00EE56C0">
            <w:pPr>
              <w:pStyle w:val="afa"/>
            </w:pPr>
          </w:p>
        </w:tc>
        <w:tc>
          <w:tcPr>
            <w:tcW w:w="332" w:type="pct"/>
            <w:vAlign w:val="center"/>
          </w:tcPr>
          <w:p w:rsidR="00EE56C0" w:rsidRDefault="000F36A1">
            <w:pPr>
              <w:pStyle w:val="afa"/>
            </w:pPr>
            <w:r>
              <w:rPr>
                <w:rFonts w:hint="eastAsia"/>
              </w:rPr>
              <w:t>液态</w:t>
            </w:r>
          </w:p>
        </w:tc>
        <w:tc>
          <w:tcPr>
            <w:tcW w:w="333" w:type="pct"/>
            <w:vAlign w:val="center"/>
          </w:tcPr>
          <w:p w:rsidR="00EE56C0" w:rsidRDefault="000F36A1">
            <w:pPr>
              <w:pStyle w:val="afa"/>
              <w:rPr>
                <w:spacing w:val="-8"/>
              </w:rPr>
            </w:pPr>
            <w:r>
              <w:rPr>
                <w:rFonts w:hint="eastAsia"/>
                <w:spacing w:val="-8"/>
              </w:rPr>
              <w:t>废油</w:t>
            </w:r>
          </w:p>
        </w:tc>
        <w:tc>
          <w:tcPr>
            <w:tcW w:w="332" w:type="pct"/>
            <w:vAlign w:val="center"/>
          </w:tcPr>
          <w:p w:rsidR="00EE56C0" w:rsidRDefault="000F36A1">
            <w:pPr>
              <w:pStyle w:val="afa"/>
              <w:rPr>
                <w:spacing w:val="-8"/>
              </w:rPr>
            </w:pPr>
            <w:r>
              <w:rPr>
                <w:rFonts w:hint="eastAsia"/>
                <w:spacing w:val="-8"/>
              </w:rPr>
              <w:t>废油</w:t>
            </w:r>
          </w:p>
        </w:tc>
        <w:tc>
          <w:tcPr>
            <w:tcW w:w="249" w:type="pct"/>
            <w:vAlign w:val="center"/>
          </w:tcPr>
          <w:p w:rsidR="00EE56C0" w:rsidRDefault="000F36A1">
            <w:pPr>
              <w:pStyle w:val="afa"/>
            </w:pPr>
            <w:r>
              <w:rPr>
                <w:rFonts w:hint="eastAsia"/>
              </w:rPr>
              <w:t>连续</w:t>
            </w:r>
          </w:p>
        </w:tc>
        <w:tc>
          <w:tcPr>
            <w:tcW w:w="408" w:type="pct"/>
            <w:vAlign w:val="center"/>
          </w:tcPr>
          <w:p w:rsidR="00EE56C0" w:rsidRDefault="000F36A1">
            <w:pPr>
              <w:pStyle w:val="afa"/>
            </w:pPr>
            <w:r>
              <w:rPr>
                <w:rFonts w:hint="eastAsia"/>
              </w:rPr>
              <w:t>T</w:t>
            </w:r>
            <w:r>
              <w:rPr>
                <w:rFonts w:hint="eastAsia"/>
              </w:rPr>
              <w:t>、</w:t>
            </w:r>
            <w:r>
              <w:rPr>
                <w:rFonts w:hint="eastAsia"/>
              </w:rPr>
              <w:t>I</w:t>
            </w:r>
          </w:p>
        </w:tc>
        <w:tc>
          <w:tcPr>
            <w:tcW w:w="373" w:type="pct"/>
            <w:vMerge/>
            <w:vAlign w:val="center"/>
          </w:tcPr>
          <w:p w:rsidR="00EE56C0" w:rsidRDefault="00EE56C0">
            <w:pPr>
              <w:pStyle w:val="afa"/>
            </w:pPr>
          </w:p>
        </w:tc>
      </w:tr>
      <w:tr w:rsidR="00EE56C0">
        <w:trPr>
          <w:trHeight w:val="454"/>
        </w:trPr>
        <w:tc>
          <w:tcPr>
            <w:tcW w:w="250" w:type="pct"/>
            <w:vAlign w:val="center"/>
          </w:tcPr>
          <w:p w:rsidR="00EE56C0" w:rsidRDefault="000F36A1">
            <w:pPr>
              <w:pStyle w:val="afa"/>
              <w:rPr>
                <w:lang w:eastAsia="en-US"/>
              </w:rPr>
            </w:pPr>
            <w:r>
              <w:t>3</w:t>
            </w:r>
          </w:p>
        </w:tc>
        <w:tc>
          <w:tcPr>
            <w:tcW w:w="478" w:type="pct"/>
            <w:vAlign w:val="center"/>
          </w:tcPr>
          <w:p w:rsidR="00EE56C0" w:rsidRDefault="000F36A1">
            <w:pPr>
              <w:pStyle w:val="afa"/>
            </w:pPr>
            <w:r>
              <w:rPr>
                <w:rFonts w:hint="eastAsia"/>
              </w:rPr>
              <w:t>废丝包漆料桶</w:t>
            </w:r>
          </w:p>
        </w:tc>
        <w:tc>
          <w:tcPr>
            <w:tcW w:w="441" w:type="pct"/>
            <w:vAlign w:val="center"/>
          </w:tcPr>
          <w:p w:rsidR="00EE56C0" w:rsidRDefault="000F36A1">
            <w:pPr>
              <w:pStyle w:val="afa"/>
            </w:pPr>
            <w:r>
              <w:rPr>
                <w:rFonts w:hint="eastAsia"/>
                <w:spacing w:val="-6"/>
              </w:rPr>
              <w:t>HW49</w:t>
            </w:r>
          </w:p>
        </w:tc>
        <w:tc>
          <w:tcPr>
            <w:tcW w:w="473" w:type="pct"/>
            <w:vAlign w:val="center"/>
          </w:tcPr>
          <w:p w:rsidR="00EE56C0" w:rsidRDefault="000F36A1">
            <w:pPr>
              <w:pStyle w:val="afa"/>
            </w:pPr>
            <w:r>
              <w:rPr>
                <w:rFonts w:hint="eastAsia"/>
              </w:rPr>
              <w:t>900-041-49</w:t>
            </w:r>
          </w:p>
        </w:tc>
        <w:tc>
          <w:tcPr>
            <w:tcW w:w="415" w:type="pct"/>
            <w:vAlign w:val="center"/>
          </w:tcPr>
          <w:p w:rsidR="00EE56C0" w:rsidRPr="002F5FB6" w:rsidRDefault="000F36A1">
            <w:pPr>
              <w:pStyle w:val="afa"/>
              <w:rPr>
                <w:b/>
                <w:u w:val="single"/>
              </w:rPr>
            </w:pPr>
            <w:r w:rsidRPr="002F5FB6">
              <w:rPr>
                <w:b/>
                <w:u w:val="single"/>
              </w:rPr>
              <w:t>0.6</w:t>
            </w:r>
          </w:p>
        </w:tc>
        <w:tc>
          <w:tcPr>
            <w:tcW w:w="416" w:type="pct"/>
            <w:vAlign w:val="center"/>
          </w:tcPr>
          <w:p w:rsidR="00EE56C0" w:rsidRPr="002F5FB6" w:rsidRDefault="000F36A1">
            <w:pPr>
              <w:pStyle w:val="afa"/>
              <w:rPr>
                <w:b/>
                <w:u w:val="single"/>
              </w:rPr>
            </w:pPr>
            <w:r w:rsidRPr="002F5FB6">
              <w:rPr>
                <w:b/>
                <w:u w:val="single"/>
              </w:rPr>
              <w:t>0.5</w:t>
            </w:r>
          </w:p>
        </w:tc>
        <w:tc>
          <w:tcPr>
            <w:tcW w:w="499" w:type="pct"/>
            <w:vAlign w:val="center"/>
          </w:tcPr>
          <w:p w:rsidR="00EE56C0" w:rsidRDefault="000F36A1">
            <w:pPr>
              <w:pStyle w:val="afa"/>
            </w:pPr>
            <w:r>
              <w:rPr>
                <w:rFonts w:hint="eastAsia"/>
              </w:rPr>
              <w:t>丝包线涂料使用</w:t>
            </w:r>
          </w:p>
        </w:tc>
        <w:tc>
          <w:tcPr>
            <w:tcW w:w="332" w:type="pct"/>
            <w:vAlign w:val="center"/>
          </w:tcPr>
          <w:p w:rsidR="00EE56C0" w:rsidRDefault="000F36A1">
            <w:pPr>
              <w:pStyle w:val="afa"/>
            </w:pPr>
            <w:r>
              <w:rPr>
                <w:rFonts w:hint="eastAsia"/>
              </w:rPr>
              <w:t>固体</w:t>
            </w:r>
          </w:p>
        </w:tc>
        <w:tc>
          <w:tcPr>
            <w:tcW w:w="333" w:type="pct"/>
            <w:vAlign w:val="center"/>
          </w:tcPr>
          <w:p w:rsidR="00EE56C0" w:rsidRDefault="000F36A1">
            <w:pPr>
              <w:pStyle w:val="afa"/>
              <w:rPr>
                <w:spacing w:val="-8"/>
              </w:rPr>
            </w:pPr>
            <w:r>
              <w:rPr>
                <w:rFonts w:hint="eastAsia"/>
              </w:rPr>
              <w:t>有机物</w:t>
            </w:r>
          </w:p>
        </w:tc>
        <w:tc>
          <w:tcPr>
            <w:tcW w:w="332" w:type="pct"/>
            <w:vAlign w:val="center"/>
          </w:tcPr>
          <w:p w:rsidR="00EE56C0" w:rsidRDefault="000F36A1">
            <w:pPr>
              <w:pStyle w:val="afa"/>
              <w:rPr>
                <w:spacing w:val="-8"/>
              </w:rPr>
            </w:pPr>
            <w:r>
              <w:rPr>
                <w:rFonts w:hint="eastAsia"/>
              </w:rPr>
              <w:t>有机物</w:t>
            </w:r>
          </w:p>
        </w:tc>
        <w:tc>
          <w:tcPr>
            <w:tcW w:w="249" w:type="pct"/>
            <w:vAlign w:val="center"/>
          </w:tcPr>
          <w:p w:rsidR="00EE56C0" w:rsidRDefault="000F36A1">
            <w:pPr>
              <w:pStyle w:val="afa"/>
            </w:pPr>
            <w:r>
              <w:rPr>
                <w:rFonts w:hint="eastAsia"/>
              </w:rPr>
              <w:t>连续</w:t>
            </w:r>
          </w:p>
        </w:tc>
        <w:tc>
          <w:tcPr>
            <w:tcW w:w="408" w:type="pct"/>
            <w:vAlign w:val="center"/>
          </w:tcPr>
          <w:p w:rsidR="00EE56C0" w:rsidRDefault="000F36A1">
            <w:pPr>
              <w:pStyle w:val="afa"/>
            </w:pPr>
            <w:r>
              <w:rPr>
                <w:rFonts w:hint="eastAsia"/>
              </w:rPr>
              <w:t>T</w:t>
            </w:r>
          </w:p>
        </w:tc>
        <w:tc>
          <w:tcPr>
            <w:tcW w:w="373" w:type="pct"/>
            <w:vMerge/>
            <w:vAlign w:val="center"/>
          </w:tcPr>
          <w:p w:rsidR="00EE56C0" w:rsidRDefault="00EE56C0">
            <w:pPr>
              <w:pStyle w:val="afa"/>
            </w:pPr>
          </w:p>
        </w:tc>
      </w:tr>
      <w:tr w:rsidR="00EE56C0">
        <w:trPr>
          <w:trHeight w:val="454"/>
        </w:trPr>
        <w:tc>
          <w:tcPr>
            <w:tcW w:w="250" w:type="pct"/>
            <w:vAlign w:val="center"/>
          </w:tcPr>
          <w:p w:rsidR="00EE56C0" w:rsidRDefault="000F36A1">
            <w:pPr>
              <w:pStyle w:val="afa"/>
            </w:pPr>
            <w:r>
              <w:rPr>
                <w:rFonts w:hint="eastAsia"/>
              </w:rPr>
              <w:t>4</w:t>
            </w:r>
          </w:p>
        </w:tc>
        <w:tc>
          <w:tcPr>
            <w:tcW w:w="478" w:type="pct"/>
            <w:vAlign w:val="center"/>
          </w:tcPr>
          <w:p w:rsidR="00EE56C0" w:rsidRDefault="000F36A1">
            <w:pPr>
              <w:pStyle w:val="afa"/>
            </w:pPr>
            <w:r>
              <w:rPr>
                <w:rFonts w:hint="eastAsia"/>
              </w:rPr>
              <w:t>含漆料</w:t>
            </w:r>
            <w:r>
              <w:rPr>
                <w:rFonts w:hint="eastAsia"/>
              </w:rPr>
              <w:t>/</w:t>
            </w:r>
            <w:r>
              <w:rPr>
                <w:rFonts w:hint="eastAsia"/>
              </w:rPr>
              <w:t>油的废毛毡</w:t>
            </w:r>
          </w:p>
        </w:tc>
        <w:tc>
          <w:tcPr>
            <w:tcW w:w="441" w:type="pct"/>
            <w:vAlign w:val="center"/>
          </w:tcPr>
          <w:p w:rsidR="00EE56C0" w:rsidRDefault="000F36A1">
            <w:pPr>
              <w:pStyle w:val="afa"/>
            </w:pPr>
            <w:r>
              <w:rPr>
                <w:rFonts w:hint="eastAsia"/>
                <w:spacing w:val="-6"/>
              </w:rPr>
              <w:t>HW49</w:t>
            </w:r>
          </w:p>
        </w:tc>
        <w:tc>
          <w:tcPr>
            <w:tcW w:w="473" w:type="pct"/>
            <w:vAlign w:val="center"/>
          </w:tcPr>
          <w:p w:rsidR="00EE56C0" w:rsidRDefault="000F36A1">
            <w:pPr>
              <w:pStyle w:val="afa"/>
            </w:pPr>
            <w:r>
              <w:rPr>
                <w:rFonts w:hint="eastAsia"/>
              </w:rPr>
              <w:t>900-041-49</w:t>
            </w:r>
          </w:p>
        </w:tc>
        <w:tc>
          <w:tcPr>
            <w:tcW w:w="415" w:type="pct"/>
            <w:vAlign w:val="center"/>
          </w:tcPr>
          <w:p w:rsidR="00EE56C0" w:rsidRDefault="000F36A1">
            <w:pPr>
              <w:pStyle w:val="afa"/>
            </w:pPr>
            <w:r>
              <w:t>0.3</w:t>
            </w:r>
          </w:p>
        </w:tc>
        <w:tc>
          <w:tcPr>
            <w:tcW w:w="416" w:type="pct"/>
            <w:vAlign w:val="center"/>
          </w:tcPr>
          <w:p w:rsidR="00EE56C0" w:rsidRDefault="000F36A1">
            <w:pPr>
              <w:pStyle w:val="afa"/>
            </w:pPr>
            <w:r>
              <w:t>0.7</w:t>
            </w:r>
          </w:p>
        </w:tc>
        <w:tc>
          <w:tcPr>
            <w:tcW w:w="499" w:type="pct"/>
            <w:vAlign w:val="center"/>
          </w:tcPr>
          <w:p w:rsidR="00EE56C0" w:rsidRDefault="000F36A1">
            <w:pPr>
              <w:pStyle w:val="afa"/>
            </w:pPr>
            <w:r>
              <w:rPr>
                <w:rFonts w:hint="eastAsia"/>
              </w:rPr>
              <w:t>生产过程</w:t>
            </w:r>
          </w:p>
        </w:tc>
        <w:tc>
          <w:tcPr>
            <w:tcW w:w="332" w:type="pct"/>
            <w:vAlign w:val="center"/>
          </w:tcPr>
          <w:p w:rsidR="00EE56C0" w:rsidRDefault="000F36A1">
            <w:pPr>
              <w:pStyle w:val="afa"/>
            </w:pPr>
            <w:r>
              <w:rPr>
                <w:rFonts w:hint="eastAsia"/>
              </w:rPr>
              <w:t>液体</w:t>
            </w:r>
          </w:p>
        </w:tc>
        <w:tc>
          <w:tcPr>
            <w:tcW w:w="333" w:type="pct"/>
            <w:vAlign w:val="center"/>
          </w:tcPr>
          <w:p w:rsidR="00EE56C0" w:rsidRDefault="000F36A1">
            <w:pPr>
              <w:pStyle w:val="afa"/>
              <w:rPr>
                <w:spacing w:val="-8"/>
              </w:rPr>
            </w:pPr>
            <w:r>
              <w:rPr>
                <w:rFonts w:hint="eastAsia"/>
              </w:rPr>
              <w:t>有机物</w:t>
            </w:r>
          </w:p>
        </w:tc>
        <w:tc>
          <w:tcPr>
            <w:tcW w:w="332" w:type="pct"/>
            <w:vAlign w:val="center"/>
          </w:tcPr>
          <w:p w:rsidR="00EE56C0" w:rsidRDefault="000F36A1">
            <w:pPr>
              <w:pStyle w:val="afa"/>
              <w:rPr>
                <w:spacing w:val="-8"/>
              </w:rPr>
            </w:pPr>
            <w:r>
              <w:rPr>
                <w:rFonts w:hint="eastAsia"/>
              </w:rPr>
              <w:t>有机物</w:t>
            </w:r>
          </w:p>
        </w:tc>
        <w:tc>
          <w:tcPr>
            <w:tcW w:w="249" w:type="pct"/>
            <w:vAlign w:val="center"/>
          </w:tcPr>
          <w:p w:rsidR="00EE56C0" w:rsidRDefault="000F36A1">
            <w:pPr>
              <w:pStyle w:val="afa"/>
            </w:pPr>
            <w:r>
              <w:rPr>
                <w:rFonts w:hint="eastAsia"/>
              </w:rPr>
              <w:t>连续</w:t>
            </w:r>
          </w:p>
        </w:tc>
        <w:tc>
          <w:tcPr>
            <w:tcW w:w="408" w:type="pct"/>
            <w:vAlign w:val="center"/>
          </w:tcPr>
          <w:p w:rsidR="00EE56C0" w:rsidRDefault="000F36A1">
            <w:pPr>
              <w:pStyle w:val="afa"/>
            </w:pPr>
            <w:r>
              <w:rPr>
                <w:rFonts w:hint="eastAsia"/>
              </w:rPr>
              <w:t>T</w:t>
            </w:r>
          </w:p>
        </w:tc>
        <w:tc>
          <w:tcPr>
            <w:tcW w:w="373" w:type="pct"/>
            <w:vMerge/>
            <w:vAlign w:val="center"/>
          </w:tcPr>
          <w:p w:rsidR="00EE56C0" w:rsidRDefault="00EE56C0">
            <w:pPr>
              <w:pStyle w:val="afa"/>
            </w:pPr>
          </w:p>
        </w:tc>
      </w:tr>
      <w:tr w:rsidR="00EE56C0">
        <w:trPr>
          <w:trHeight w:val="454"/>
        </w:trPr>
        <w:tc>
          <w:tcPr>
            <w:tcW w:w="250" w:type="pct"/>
            <w:vAlign w:val="center"/>
          </w:tcPr>
          <w:p w:rsidR="00EE56C0" w:rsidRDefault="000F36A1">
            <w:pPr>
              <w:pStyle w:val="afa"/>
            </w:pPr>
            <w:r>
              <w:rPr>
                <w:rFonts w:hint="eastAsia"/>
              </w:rPr>
              <w:t>5</w:t>
            </w:r>
          </w:p>
        </w:tc>
        <w:tc>
          <w:tcPr>
            <w:tcW w:w="478" w:type="pct"/>
            <w:vAlign w:val="center"/>
          </w:tcPr>
          <w:p w:rsidR="00EE56C0" w:rsidRDefault="000F36A1">
            <w:pPr>
              <w:pStyle w:val="afa"/>
            </w:pPr>
            <w:r>
              <w:rPr>
                <w:rFonts w:hint="eastAsia"/>
              </w:rPr>
              <w:t>废油</w:t>
            </w:r>
          </w:p>
        </w:tc>
        <w:tc>
          <w:tcPr>
            <w:tcW w:w="441" w:type="pct"/>
            <w:vAlign w:val="center"/>
          </w:tcPr>
          <w:p w:rsidR="00EE56C0" w:rsidRDefault="000F36A1">
            <w:pPr>
              <w:pStyle w:val="afa"/>
              <w:rPr>
                <w:spacing w:val="-6"/>
              </w:rPr>
            </w:pPr>
            <w:r>
              <w:rPr>
                <w:rFonts w:hint="eastAsia"/>
                <w:spacing w:val="-6"/>
              </w:rPr>
              <w:t>HW08</w:t>
            </w:r>
          </w:p>
        </w:tc>
        <w:tc>
          <w:tcPr>
            <w:tcW w:w="473" w:type="pct"/>
            <w:vAlign w:val="center"/>
          </w:tcPr>
          <w:p w:rsidR="00EE56C0" w:rsidRDefault="000F36A1">
            <w:pPr>
              <w:pStyle w:val="afa"/>
              <w:rPr>
                <w:spacing w:val="-6"/>
              </w:rPr>
            </w:pPr>
            <w:r>
              <w:t>900-</w:t>
            </w:r>
            <w:r>
              <w:rPr>
                <w:rFonts w:hint="eastAsia"/>
              </w:rPr>
              <w:t>249</w:t>
            </w:r>
            <w:r>
              <w:t>-</w:t>
            </w:r>
            <w:r>
              <w:rPr>
                <w:rFonts w:hint="eastAsia"/>
              </w:rPr>
              <w:t>08</w:t>
            </w:r>
          </w:p>
        </w:tc>
        <w:tc>
          <w:tcPr>
            <w:tcW w:w="415" w:type="pct"/>
            <w:vAlign w:val="center"/>
          </w:tcPr>
          <w:p w:rsidR="00EE56C0" w:rsidRDefault="000F36A1">
            <w:pPr>
              <w:pStyle w:val="afa"/>
            </w:pPr>
            <w:r>
              <w:t>0.3</w:t>
            </w:r>
          </w:p>
        </w:tc>
        <w:tc>
          <w:tcPr>
            <w:tcW w:w="416" w:type="pct"/>
            <w:vAlign w:val="center"/>
          </w:tcPr>
          <w:p w:rsidR="00EE56C0" w:rsidRDefault="000F36A1">
            <w:pPr>
              <w:pStyle w:val="afa"/>
            </w:pPr>
            <w:r>
              <w:t>0.7</w:t>
            </w:r>
          </w:p>
        </w:tc>
        <w:tc>
          <w:tcPr>
            <w:tcW w:w="499" w:type="pct"/>
            <w:vMerge w:val="restart"/>
            <w:vAlign w:val="center"/>
          </w:tcPr>
          <w:p w:rsidR="00EE56C0" w:rsidRDefault="000F36A1">
            <w:pPr>
              <w:pStyle w:val="afa"/>
            </w:pPr>
            <w:r>
              <w:t>废气治理设施</w:t>
            </w:r>
          </w:p>
        </w:tc>
        <w:tc>
          <w:tcPr>
            <w:tcW w:w="332" w:type="pct"/>
            <w:vAlign w:val="center"/>
          </w:tcPr>
          <w:p w:rsidR="00EE56C0" w:rsidRDefault="000F36A1">
            <w:pPr>
              <w:pStyle w:val="afa"/>
            </w:pPr>
            <w:r>
              <w:rPr>
                <w:rFonts w:hint="eastAsia"/>
              </w:rPr>
              <w:t>液态</w:t>
            </w:r>
          </w:p>
        </w:tc>
        <w:tc>
          <w:tcPr>
            <w:tcW w:w="333" w:type="pct"/>
            <w:vAlign w:val="center"/>
          </w:tcPr>
          <w:p w:rsidR="00EE56C0" w:rsidRDefault="000F36A1">
            <w:pPr>
              <w:pStyle w:val="afa"/>
              <w:rPr>
                <w:spacing w:val="-8"/>
              </w:rPr>
            </w:pPr>
            <w:r>
              <w:rPr>
                <w:rFonts w:hint="eastAsia"/>
                <w:spacing w:val="-8"/>
              </w:rPr>
              <w:t>废油</w:t>
            </w:r>
          </w:p>
        </w:tc>
        <w:tc>
          <w:tcPr>
            <w:tcW w:w="332" w:type="pct"/>
            <w:vAlign w:val="center"/>
          </w:tcPr>
          <w:p w:rsidR="00EE56C0" w:rsidRDefault="000F36A1">
            <w:pPr>
              <w:pStyle w:val="afa"/>
              <w:rPr>
                <w:spacing w:val="-8"/>
              </w:rPr>
            </w:pPr>
            <w:r>
              <w:rPr>
                <w:rFonts w:hint="eastAsia"/>
                <w:spacing w:val="-8"/>
              </w:rPr>
              <w:t>废油</w:t>
            </w:r>
          </w:p>
        </w:tc>
        <w:tc>
          <w:tcPr>
            <w:tcW w:w="249" w:type="pct"/>
            <w:vAlign w:val="center"/>
          </w:tcPr>
          <w:p w:rsidR="00EE56C0" w:rsidRDefault="000F36A1">
            <w:pPr>
              <w:pStyle w:val="afa"/>
            </w:pPr>
            <w:r>
              <w:rPr>
                <w:rFonts w:hint="eastAsia"/>
              </w:rPr>
              <w:t>连续</w:t>
            </w:r>
          </w:p>
        </w:tc>
        <w:tc>
          <w:tcPr>
            <w:tcW w:w="408" w:type="pct"/>
            <w:vAlign w:val="center"/>
          </w:tcPr>
          <w:p w:rsidR="00EE56C0" w:rsidRDefault="000F36A1">
            <w:pPr>
              <w:pStyle w:val="afa"/>
            </w:pPr>
            <w:r>
              <w:rPr>
                <w:rFonts w:hint="eastAsia"/>
              </w:rPr>
              <w:t>T</w:t>
            </w:r>
            <w:r>
              <w:rPr>
                <w:rFonts w:hint="eastAsia"/>
              </w:rPr>
              <w:t>、</w:t>
            </w:r>
            <w:r>
              <w:rPr>
                <w:rFonts w:hint="eastAsia"/>
              </w:rPr>
              <w:t>I</w:t>
            </w:r>
          </w:p>
        </w:tc>
        <w:tc>
          <w:tcPr>
            <w:tcW w:w="373" w:type="pct"/>
            <w:vMerge/>
            <w:vAlign w:val="center"/>
          </w:tcPr>
          <w:p w:rsidR="00EE56C0" w:rsidRDefault="00EE56C0">
            <w:pPr>
              <w:pStyle w:val="afa"/>
            </w:pPr>
          </w:p>
        </w:tc>
      </w:tr>
      <w:tr w:rsidR="00EE56C0">
        <w:trPr>
          <w:trHeight w:val="454"/>
        </w:trPr>
        <w:tc>
          <w:tcPr>
            <w:tcW w:w="250" w:type="pct"/>
            <w:vAlign w:val="center"/>
          </w:tcPr>
          <w:p w:rsidR="00EE56C0" w:rsidRDefault="000F36A1">
            <w:pPr>
              <w:pStyle w:val="afa"/>
            </w:pPr>
            <w:r>
              <w:rPr>
                <w:rFonts w:hint="eastAsia"/>
              </w:rPr>
              <w:t>6</w:t>
            </w:r>
          </w:p>
        </w:tc>
        <w:tc>
          <w:tcPr>
            <w:tcW w:w="478" w:type="pct"/>
            <w:vAlign w:val="center"/>
          </w:tcPr>
          <w:p w:rsidR="00EE56C0" w:rsidRDefault="000F36A1">
            <w:pPr>
              <w:pStyle w:val="afa"/>
            </w:pPr>
            <w:r>
              <w:rPr>
                <w:rFonts w:hint="eastAsia"/>
              </w:rPr>
              <w:t>废活性炭</w:t>
            </w:r>
          </w:p>
        </w:tc>
        <w:tc>
          <w:tcPr>
            <w:tcW w:w="441" w:type="pct"/>
            <w:vAlign w:val="center"/>
          </w:tcPr>
          <w:p w:rsidR="00EE56C0" w:rsidRDefault="000F36A1">
            <w:pPr>
              <w:pStyle w:val="afa"/>
            </w:pPr>
            <w:r>
              <w:rPr>
                <w:rFonts w:hint="eastAsia"/>
                <w:spacing w:val="-6"/>
              </w:rPr>
              <w:t>HW49</w:t>
            </w:r>
          </w:p>
        </w:tc>
        <w:tc>
          <w:tcPr>
            <w:tcW w:w="473" w:type="pct"/>
            <w:vAlign w:val="center"/>
          </w:tcPr>
          <w:p w:rsidR="00EE56C0" w:rsidRDefault="000F36A1">
            <w:pPr>
              <w:pStyle w:val="afa"/>
            </w:pPr>
            <w:r>
              <w:rPr>
                <w:rFonts w:hint="eastAsia"/>
              </w:rPr>
              <w:t>900-041-49</w:t>
            </w:r>
          </w:p>
        </w:tc>
        <w:tc>
          <w:tcPr>
            <w:tcW w:w="415" w:type="pct"/>
            <w:vAlign w:val="center"/>
          </w:tcPr>
          <w:p w:rsidR="00EE56C0" w:rsidRDefault="000F36A1">
            <w:pPr>
              <w:pStyle w:val="afa"/>
            </w:pPr>
            <w:r>
              <w:t>2.75</w:t>
            </w:r>
          </w:p>
        </w:tc>
        <w:tc>
          <w:tcPr>
            <w:tcW w:w="416" w:type="pct"/>
            <w:vAlign w:val="center"/>
          </w:tcPr>
          <w:p w:rsidR="00EE56C0" w:rsidRDefault="000F36A1">
            <w:pPr>
              <w:pStyle w:val="afa"/>
            </w:pPr>
            <w:r>
              <w:t>/</w:t>
            </w:r>
          </w:p>
        </w:tc>
        <w:tc>
          <w:tcPr>
            <w:tcW w:w="499" w:type="pct"/>
            <w:vMerge/>
            <w:vAlign w:val="center"/>
          </w:tcPr>
          <w:p w:rsidR="00EE56C0" w:rsidRDefault="00EE56C0">
            <w:pPr>
              <w:pStyle w:val="afa"/>
            </w:pPr>
          </w:p>
        </w:tc>
        <w:tc>
          <w:tcPr>
            <w:tcW w:w="332" w:type="pct"/>
            <w:vAlign w:val="center"/>
          </w:tcPr>
          <w:p w:rsidR="00EE56C0" w:rsidRDefault="000F36A1">
            <w:pPr>
              <w:pStyle w:val="afa"/>
            </w:pPr>
            <w:r>
              <w:rPr>
                <w:rFonts w:hint="eastAsia"/>
              </w:rPr>
              <w:t>固体</w:t>
            </w:r>
          </w:p>
        </w:tc>
        <w:tc>
          <w:tcPr>
            <w:tcW w:w="333" w:type="pct"/>
            <w:vAlign w:val="center"/>
          </w:tcPr>
          <w:p w:rsidR="00EE56C0" w:rsidRDefault="000F36A1">
            <w:pPr>
              <w:pStyle w:val="afa"/>
            </w:pPr>
            <w:r>
              <w:rPr>
                <w:rFonts w:hint="eastAsia"/>
              </w:rPr>
              <w:t>有机物</w:t>
            </w:r>
          </w:p>
        </w:tc>
        <w:tc>
          <w:tcPr>
            <w:tcW w:w="332" w:type="pct"/>
            <w:vAlign w:val="center"/>
          </w:tcPr>
          <w:p w:rsidR="00EE56C0" w:rsidRDefault="000F36A1">
            <w:pPr>
              <w:pStyle w:val="afa"/>
            </w:pPr>
            <w:r>
              <w:rPr>
                <w:rFonts w:hint="eastAsia"/>
              </w:rPr>
              <w:t>有机物</w:t>
            </w:r>
          </w:p>
        </w:tc>
        <w:tc>
          <w:tcPr>
            <w:tcW w:w="249" w:type="pct"/>
            <w:vAlign w:val="center"/>
          </w:tcPr>
          <w:p w:rsidR="00EE56C0" w:rsidRDefault="000F36A1">
            <w:pPr>
              <w:pStyle w:val="afa"/>
            </w:pPr>
            <w:r>
              <w:rPr>
                <w:rFonts w:hint="eastAsia"/>
              </w:rPr>
              <w:t>2</w:t>
            </w:r>
            <w:r>
              <w:rPr>
                <w:rFonts w:hint="eastAsia"/>
              </w:rPr>
              <w:t>年</w:t>
            </w:r>
          </w:p>
        </w:tc>
        <w:tc>
          <w:tcPr>
            <w:tcW w:w="408" w:type="pct"/>
            <w:vAlign w:val="center"/>
          </w:tcPr>
          <w:p w:rsidR="00EE56C0" w:rsidRDefault="000F36A1">
            <w:pPr>
              <w:pStyle w:val="afa"/>
            </w:pPr>
            <w:r>
              <w:rPr>
                <w:rFonts w:hint="eastAsia"/>
              </w:rPr>
              <w:t>T</w:t>
            </w:r>
          </w:p>
        </w:tc>
        <w:tc>
          <w:tcPr>
            <w:tcW w:w="373" w:type="pct"/>
            <w:vMerge/>
            <w:vAlign w:val="center"/>
          </w:tcPr>
          <w:p w:rsidR="00EE56C0" w:rsidRDefault="00EE56C0">
            <w:pPr>
              <w:pStyle w:val="afa"/>
            </w:pPr>
          </w:p>
        </w:tc>
      </w:tr>
      <w:tr w:rsidR="00EE56C0">
        <w:trPr>
          <w:trHeight w:val="454"/>
        </w:trPr>
        <w:tc>
          <w:tcPr>
            <w:tcW w:w="250" w:type="pct"/>
            <w:vAlign w:val="center"/>
          </w:tcPr>
          <w:p w:rsidR="00EE56C0" w:rsidRDefault="000F36A1">
            <w:pPr>
              <w:pStyle w:val="afa"/>
            </w:pPr>
            <w:r>
              <w:rPr>
                <w:rFonts w:hint="eastAsia"/>
              </w:rPr>
              <w:t>7</w:t>
            </w:r>
          </w:p>
        </w:tc>
        <w:tc>
          <w:tcPr>
            <w:tcW w:w="478" w:type="pct"/>
            <w:vAlign w:val="center"/>
          </w:tcPr>
          <w:p w:rsidR="00EE56C0" w:rsidRDefault="000F36A1">
            <w:pPr>
              <w:pStyle w:val="afa"/>
            </w:pPr>
            <w:r>
              <w:t>废催化剂</w:t>
            </w:r>
          </w:p>
        </w:tc>
        <w:tc>
          <w:tcPr>
            <w:tcW w:w="441" w:type="pct"/>
            <w:vAlign w:val="center"/>
          </w:tcPr>
          <w:p w:rsidR="00EE56C0" w:rsidRDefault="000F36A1">
            <w:pPr>
              <w:pStyle w:val="afa"/>
            </w:pPr>
            <w:r>
              <w:rPr>
                <w:rFonts w:hint="eastAsia"/>
                <w:spacing w:val="-6"/>
              </w:rPr>
              <w:t>HW50</w:t>
            </w:r>
          </w:p>
        </w:tc>
        <w:tc>
          <w:tcPr>
            <w:tcW w:w="473" w:type="pct"/>
            <w:vAlign w:val="center"/>
          </w:tcPr>
          <w:p w:rsidR="00EE56C0" w:rsidRDefault="000F36A1">
            <w:pPr>
              <w:pStyle w:val="afa"/>
            </w:pPr>
            <w:r>
              <w:rPr>
                <w:szCs w:val="24"/>
              </w:rPr>
              <w:t>772-007-50</w:t>
            </w:r>
          </w:p>
        </w:tc>
        <w:tc>
          <w:tcPr>
            <w:tcW w:w="415" w:type="pct"/>
            <w:vAlign w:val="center"/>
          </w:tcPr>
          <w:p w:rsidR="00EE56C0" w:rsidRDefault="000F36A1">
            <w:pPr>
              <w:pStyle w:val="afa"/>
            </w:pPr>
            <w:r>
              <w:t>0.2</w:t>
            </w:r>
          </w:p>
        </w:tc>
        <w:tc>
          <w:tcPr>
            <w:tcW w:w="416" w:type="pct"/>
            <w:vAlign w:val="center"/>
          </w:tcPr>
          <w:p w:rsidR="00EE56C0" w:rsidRDefault="000F36A1">
            <w:pPr>
              <w:pStyle w:val="afa"/>
            </w:pPr>
            <w:r>
              <w:t>0.4</w:t>
            </w:r>
          </w:p>
        </w:tc>
        <w:tc>
          <w:tcPr>
            <w:tcW w:w="499" w:type="pct"/>
            <w:vMerge/>
            <w:vAlign w:val="center"/>
          </w:tcPr>
          <w:p w:rsidR="00EE56C0" w:rsidRDefault="00EE56C0">
            <w:pPr>
              <w:pStyle w:val="afa"/>
            </w:pPr>
          </w:p>
        </w:tc>
        <w:tc>
          <w:tcPr>
            <w:tcW w:w="332" w:type="pct"/>
            <w:vAlign w:val="center"/>
          </w:tcPr>
          <w:p w:rsidR="00EE56C0" w:rsidRDefault="000F36A1">
            <w:pPr>
              <w:pStyle w:val="afa"/>
            </w:pPr>
            <w:r>
              <w:rPr>
                <w:rFonts w:hint="eastAsia"/>
              </w:rPr>
              <w:t>固体</w:t>
            </w:r>
          </w:p>
        </w:tc>
        <w:tc>
          <w:tcPr>
            <w:tcW w:w="333" w:type="pct"/>
            <w:vAlign w:val="center"/>
          </w:tcPr>
          <w:p w:rsidR="00EE56C0" w:rsidRDefault="000F36A1">
            <w:pPr>
              <w:pStyle w:val="afa"/>
            </w:pPr>
            <w:r>
              <w:rPr>
                <w:rFonts w:hint="eastAsia"/>
              </w:rPr>
              <w:t>有机物</w:t>
            </w:r>
          </w:p>
        </w:tc>
        <w:tc>
          <w:tcPr>
            <w:tcW w:w="332" w:type="pct"/>
            <w:vAlign w:val="center"/>
          </w:tcPr>
          <w:p w:rsidR="00EE56C0" w:rsidRDefault="000F36A1">
            <w:pPr>
              <w:pStyle w:val="afa"/>
            </w:pPr>
            <w:r>
              <w:rPr>
                <w:rFonts w:hint="eastAsia"/>
              </w:rPr>
              <w:t>有机物</w:t>
            </w:r>
          </w:p>
        </w:tc>
        <w:tc>
          <w:tcPr>
            <w:tcW w:w="249" w:type="pct"/>
            <w:vAlign w:val="center"/>
          </w:tcPr>
          <w:p w:rsidR="00EE56C0" w:rsidRDefault="000F36A1">
            <w:pPr>
              <w:pStyle w:val="afa"/>
            </w:pPr>
            <w:r>
              <w:rPr>
                <w:rFonts w:hint="eastAsia"/>
              </w:rPr>
              <w:t>3</w:t>
            </w:r>
            <w:r>
              <w:rPr>
                <w:rFonts w:hint="eastAsia"/>
              </w:rPr>
              <w:t>月</w:t>
            </w:r>
          </w:p>
        </w:tc>
        <w:tc>
          <w:tcPr>
            <w:tcW w:w="408" w:type="pct"/>
            <w:vAlign w:val="center"/>
          </w:tcPr>
          <w:p w:rsidR="00EE56C0" w:rsidRDefault="000F36A1">
            <w:pPr>
              <w:pStyle w:val="afa"/>
            </w:pPr>
            <w:r>
              <w:rPr>
                <w:rFonts w:hint="eastAsia"/>
              </w:rPr>
              <w:t>T</w:t>
            </w:r>
          </w:p>
        </w:tc>
        <w:tc>
          <w:tcPr>
            <w:tcW w:w="373" w:type="pct"/>
            <w:vMerge/>
            <w:vAlign w:val="center"/>
          </w:tcPr>
          <w:p w:rsidR="00EE56C0" w:rsidRDefault="00EE56C0">
            <w:pPr>
              <w:pStyle w:val="afa"/>
            </w:pPr>
          </w:p>
        </w:tc>
      </w:tr>
      <w:tr w:rsidR="00EE56C0">
        <w:trPr>
          <w:trHeight w:val="454"/>
        </w:trPr>
        <w:tc>
          <w:tcPr>
            <w:tcW w:w="250" w:type="pct"/>
            <w:vAlign w:val="center"/>
          </w:tcPr>
          <w:p w:rsidR="00EE56C0" w:rsidRDefault="000F36A1">
            <w:pPr>
              <w:pStyle w:val="afa"/>
            </w:pPr>
            <w:r>
              <w:rPr>
                <w:rFonts w:hint="eastAsia"/>
              </w:rPr>
              <w:t>8</w:t>
            </w:r>
          </w:p>
        </w:tc>
        <w:tc>
          <w:tcPr>
            <w:tcW w:w="478" w:type="pct"/>
            <w:vAlign w:val="center"/>
          </w:tcPr>
          <w:p w:rsidR="00EE56C0" w:rsidRDefault="000F36A1">
            <w:pPr>
              <w:pStyle w:val="afa"/>
            </w:pPr>
            <w:r>
              <w:rPr>
                <w:rFonts w:hint="eastAsia"/>
              </w:rPr>
              <w:t>废沸</w:t>
            </w:r>
            <w:r>
              <w:rPr>
                <w:rFonts w:hint="eastAsia"/>
              </w:rPr>
              <w:lastRenderedPageBreak/>
              <w:t>石分子筛</w:t>
            </w:r>
          </w:p>
        </w:tc>
        <w:tc>
          <w:tcPr>
            <w:tcW w:w="441" w:type="pct"/>
            <w:vAlign w:val="center"/>
          </w:tcPr>
          <w:p w:rsidR="00EE56C0" w:rsidRDefault="000F36A1">
            <w:pPr>
              <w:pStyle w:val="afa"/>
            </w:pPr>
            <w:r>
              <w:rPr>
                <w:rFonts w:hint="eastAsia"/>
                <w:spacing w:val="-6"/>
              </w:rPr>
              <w:lastRenderedPageBreak/>
              <w:t>HW49</w:t>
            </w:r>
          </w:p>
        </w:tc>
        <w:tc>
          <w:tcPr>
            <w:tcW w:w="473" w:type="pct"/>
            <w:vAlign w:val="center"/>
          </w:tcPr>
          <w:p w:rsidR="00EE56C0" w:rsidRDefault="000F36A1">
            <w:pPr>
              <w:pStyle w:val="afa"/>
            </w:pPr>
            <w:r>
              <w:rPr>
                <w:rFonts w:hint="eastAsia"/>
              </w:rPr>
              <w:t>900-041-49</w:t>
            </w:r>
          </w:p>
        </w:tc>
        <w:tc>
          <w:tcPr>
            <w:tcW w:w="415" w:type="pct"/>
            <w:vAlign w:val="center"/>
          </w:tcPr>
          <w:p w:rsidR="00EE56C0" w:rsidRDefault="000F36A1">
            <w:pPr>
              <w:pStyle w:val="afa"/>
            </w:pPr>
            <w:r>
              <w:t>3</w:t>
            </w:r>
          </w:p>
        </w:tc>
        <w:tc>
          <w:tcPr>
            <w:tcW w:w="416" w:type="pct"/>
            <w:vAlign w:val="center"/>
          </w:tcPr>
          <w:p w:rsidR="00EE56C0" w:rsidRDefault="000F36A1">
            <w:pPr>
              <w:pStyle w:val="afa"/>
            </w:pPr>
            <w:r>
              <w:t>/</w:t>
            </w:r>
          </w:p>
        </w:tc>
        <w:tc>
          <w:tcPr>
            <w:tcW w:w="499" w:type="pct"/>
            <w:vMerge/>
            <w:vAlign w:val="center"/>
          </w:tcPr>
          <w:p w:rsidR="00EE56C0" w:rsidRDefault="00EE56C0">
            <w:pPr>
              <w:pStyle w:val="afa"/>
            </w:pPr>
          </w:p>
        </w:tc>
        <w:tc>
          <w:tcPr>
            <w:tcW w:w="332" w:type="pct"/>
            <w:vAlign w:val="center"/>
          </w:tcPr>
          <w:p w:rsidR="00EE56C0" w:rsidRDefault="000F36A1">
            <w:pPr>
              <w:pStyle w:val="afa"/>
            </w:pPr>
            <w:r>
              <w:rPr>
                <w:rFonts w:hint="eastAsia"/>
              </w:rPr>
              <w:t>固</w:t>
            </w:r>
            <w:r>
              <w:rPr>
                <w:rFonts w:hint="eastAsia"/>
              </w:rPr>
              <w:lastRenderedPageBreak/>
              <w:t>体</w:t>
            </w:r>
          </w:p>
        </w:tc>
        <w:tc>
          <w:tcPr>
            <w:tcW w:w="333" w:type="pct"/>
            <w:vAlign w:val="center"/>
          </w:tcPr>
          <w:p w:rsidR="00EE56C0" w:rsidRDefault="000F36A1">
            <w:pPr>
              <w:pStyle w:val="afa"/>
            </w:pPr>
            <w:r>
              <w:rPr>
                <w:rFonts w:hint="eastAsia"/>
              </w:rPr>
              <w:lastRenderedPageBreak/>
              <w:t>有</w:t>
            </w:r>
            <w:r>
              <w:rPr>
                <w:rFonts w:hint="eastAsia"/>
              </w:rPr>
              <w:lastRenderedPageBreak/>
              <w:t>机物</w:t>
            </w:r>
          </w:p>
        </w:tc>
        <w:tc>
          <w:tcPr>
            <w:tcW w:w="332" w:type="pct"/>
            <w:vAlign w:val="center"/>
          </w:tcPr>
          <w:p w:rsidR="00EE56C0" w:rsidRDefault="000F36A1">
            <w:pPr>
              <w:pStyle w:val="afa"/>
            </w:pPr>
            <w:r>
              <w:rPr>
                <w:rFonts w:hint="eastAsia"/>
              </w:rPr>
              <w:lastRenderedPageBreak/>
              <w:t>有</w:t>
            </w:r>
            <w:r>
              <w:rPr>
                <w:rFonts w:hint="eastAsia"/>
              </w:rPr>
              <w:lastRenderedPageBreak/>
              <w:t>机物</w:t>
            </w:r>
          </w:p>
        </w:tc>
        <w:tc>
          <w:tcPr>
            <w:tcW w:w="249" w:type="pct"/>
            <w:vAlign w:val="center"/>
          </w:tcPr>
          <w:p w:rsidR="00EE56C0" w:rsidRDefault="000F36A1">
            <w:pPr>
              <w:pStyle w:val="afa"/>
            </w:pPr>
            <w:r>
              <w:rPr>
                <w:rFonts w:hint="eastAsia"/>
              </w:rPr>
              <w:lastRenderedPageBreak/>
              <w:t>5</w:t>
            </w:r>
            <w:r>
              <w:rPr>
                <w:rFonts w:hint="eastAsia"/>
              </w:rPr>
              <w:lastRenderedPageBreak/>
              <w:t>年</w:t>
            </w:r>
          </w:p>
        </w:tc>
        <w:tc>
          <w:tcPr>
            <w:tcW w:w="408" w:type="pct"/>
            <w:vAlign w:val="center"/>
          </w:tcPr>
          <w:p w:rsidR="00EE56C0" w:rsidRDefault="000F36A1">
            <w:pPr>
              <w:pStyle w:val="afa"/>
            </w:pPr>
            <w:r>
              <w:rPr>
                <w:rFonts w:hint="eastAsia"/>
              </w:rPr>
              <w:lastRenderedPageBreak/>
              <w:t>T</w:t>
            </w:r>
          </w:p>
        </w:tc>
        <w:tc>
          <w:tcPr>
            <w:tcW w:w="373" w:type="pct"/>
            <w:vMerge/>
            <w:vAlign w:val="center"/>
          </w:tcPr>
          <w:p w:rsidR="00EE56C0" w:rsidRDefault="00EE56C0">
            <w:pPr>
              <w:pStyle w:val="afa"/>
            </w:pPr>
          </w:p>
        </w:tc>
      </w:tr>
    </w:tbl>
    <w:p w:rsidR="00EE56C0" w:rsidRDefault="000F36A1">
      <w:pPr>
        <w:pStyle w:val="afd"/>
        <w:spacing w:before="120" w:after="120"/>
        <w:ind w:firstLine="482"/>
      </w:pPr>
      <w:r>
        <w:rPr>
          <w:rFonts w:hint="eastAsia"/>
        </w:rPr>
        <w:lastRenderedPageBreak/>
        <w:t>表</w:t>
      </w:r>
      <w:r>
        <w:rPr>
          <w:rFonts w:hint="eastAsia"/>
        </w:rPr>
        <w:t xml:space="preserve">3-65  </w:t>
      </w:r>
      <w:r>
        <w:rPr>
          <w:rFonts w:hint="eastAsia"/>
        </w:rPr>
        <w:t>危险废物贮存场所（设施）基本情况表</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tblPr>
      <w:tblGrid>
        <w:gridCol w:w="426"/>
        <w:gridCol w:w="815"/>
        <w:gridCol w:w="1561"/>
        <w:gridCol w:w="849"/>
        <w:gridCol w:w="993"/>
        <w:gridCol w:w="710"/>
        <w:gridCol w:w="1134"/>
        <w:gridCol w:w="708"/>
        <w:gridCol w:w="648"/>
        <w:gridCol w:w="684"/>
      </w:tblGrid>
      <w:tr w:rsidR="00EE56C0">
        <w:trPr>
          <w:trHeight w:val="454"/>
          <w:tblHeader/>
          <w:jc w:val="center"/>
        </w:trPr>
        <w:tc>
          <w:tcPr>
            <w:tcW w:w="250" w:type="pct"/>
            <w:vAlign w:val="center"/>
          </w:tcPr>
          <w:p w:rsidR="00EE56C0" w:rsidRDefault="000F36A1">
            <w:pPr>
              <w:pStyle w:val="aff1"/>
              <w:rPr>
                <w:color w:val="auto"/>
                <w:lang w:eastAsia="en-US"/>
              </w:rPr>
            </w:pPr>
            <w:r>
              <w:rPr>
                <w:rFonts w:hint="eastAsia"/>
                <w:color w:val="auto"/>
              </w:rPr>
              <w:t>序号</w:t>
            </w:r>
          </w:p>
        </w:tc>
        <w:tc>
          <w:tcPr>
            <w:tcW w:w="478" w:type="pct"/>
            <w:vAlign w:val="center"/>
          </w:tcPr>
          <w:p w:rsidR="00EE56C0" w:rsidRDefault="000F36A1">
            <w:pPr>
              <w:pStyle w:val="aff1"/>
              <w:rPr>
                <w:color w:val="auto"/>
              </w:rPr>
            </w:pPr>
            <w:r>
              <w:rPr>
                <w:rFonts w:hint="eastAsia"/>
                <w:color w:val="auto"/>
              </w:rPr>
              <w:t>贮存场所</w:t>
            </w:r>
            <w:r>
              <w:rPr>
                <w:rFonts w:hint="eastAsia"/>
                <w:color w:val="auto"/>
              </w:rPr>
              <w:t>(</w:t>
            </w:r>
            <w:r>
              <w:rPr>
                <w:rFonts w:hint="eastAsia"/>
                <w:color w:val="auto"/>
              </w:rPr>
              <w:t>设施</w:t>
            </w:r>
            <w:r>
              <w:rPr>
                <w:rFonts w:hint="eastAsia"/>
                <w:color w:val="auto"/>
              </w:rPr>
              <w:t>)</w:t>
            </w:r>
            <w:r>
              <w:rPr>
                <w:rFonts w:hint="eastAsia"/>
                <w:color w:val="auto"/>
              </w:rPr>
              <w:t>名称</w:t>
            </w:r>
          </w:p>
        </w:tc>
        <w:tc>
          <w:tcPr>
            <w:tcW w:w="915" w:type="pct"/>
            <w:vAlign w:val="center"/>
          </w:tcPr>
          <w:p w:rsidR="00EE56C0" w:rsidRDefault="000F36A1">
            <w:pPr>
              <w:pStyle w:val="aff1"/>
              <w:rPr>
                <w:color w:val="auto"/>
                <w:lang w:eastAsia="en-US"/>
              </w:rPr>
            </w:pPr>
            <w:r>
              <w:rPr>
                <w:rFonts w:hint="eastAsia"/>
                <w:color w:val="auto"/>
              </w:rPr>
              <w:t>危险废物名称</w:t>
            </w:r>
          </w:p>
        </w:tc>
        <w:tc>
          <w:tcPr>
            <w:tcW w:w="498" w:type="pct"/>
            <w:vAlign w:val="center"/>
          </w:tcPr>
          <w:p w:rsidR="00EE56C0" w:rsidRDefault="000F36A1">
            <w:pPr>
              <w:pStyle w:val="aff1"/>
              <w:rPr>
                <w:color w:val="auto"/>
                <w:lang w:eastAsia="en-US"/>
              </w:rPr>
            </w:pPr>
            <w:r>
              <w:rPr>
                <w:rFonts w:hint="eastAsia"/>
                <w:color w:val="auto"/>
              </w:rPr>
              <w:t>危险废物类别</w:t>
            </w:r>
          </w:p>
        </w:tc>
        <w:tc>
          <w:tcPr>
            <w:tcW w:w="582" w:type="pct"/>
            <w:vAlign w:val="center"/>
          </w:tcPr>
          <w:p w:rsidR="00EE56C0" w:rsidRDefault="000F36A1">
            <w:pPr>
              <w:pStyle w:val="aff1"/>
              <w:rPr>
                <w:color w:val="auto"/>
                <w:lang w:eastAsia="en-US"/>
              </w:rPr>
            </w:pPr>
            <w:r>
              <w:rPr>
                <w:rFonts w:hint="eastAsia"/>
                <w:color w:val="auto"/>
              </w:rPr>
              <w:t>危险废物代码</w:t>
            </w:r>
          </w:p>
        </w:tc>
        <w:tc>
          <w:tcPr>
            <w:tcW w:w="416" w:type="pct"/>
            <w:vAlign w:val="center"/>
          </w:tcPr>
          <w:p w:rsidR="00EE56C0" w:rsidRDefault="000F36A1">
            <w:pPr>
              <w:pStyle w:val="aff1"/>
              <w:rPr>
                <w:color w:val="auto"/>
                <w:lang w:eastAsia="en-US"/>
              </w:rPr>
            </w:pPr>
            <w:r>
              <w:rPr>
                <w:rFonts w:hint="eastAsia"/>
                <w:color w:val="auto"/>
              </w:rPr>
              <w:t>位置</w:t>
            </w:r>
          </w:p>
        </w:tc>
        <w:tc>
          <w:tcPr>
            <w:tcW w:w="665" w:type="pct"/>
            <w:vAlign w:val="center"/>
          </w:tcPr>
          <w:p w:rsidR="00EE56C0" w:rsidRDefault="000F36A1">
            <w:pPr>
              <w:pStyle w:val="aff1"/>
              <w:rPr>
                <w:color w:val="auto"/>
              </w:rPr>
            </w:pPr>
            <w:r>
              <w:rPr>
                <w:rFonts w:hint="eastAsia"/>
                <w:color w:val="auto"/>
              </w:rPr>
              <w:t>占地</w:t>
            </w:r>
          </w:p>
          <w:p w:rsidR="00EE56C0" w:rsidRDefault="000F36A1">
            <w:pPr>
              <w:pStyle w:val="aff1"/>
              <w:rPr>
                <w:color w:val="auto"/>
                <w:lang w:eastAsia="en-US"/>
              </w:rPr>
            </w:pPr>
            <w:r>
              <w:rPr>
                <w:rFonts w:hint="eastAsia"/>
                <w:color w:val="auto"/>
              </w:rPr>
              <w:t>面积</w:t>
            </w:r>
          </w:p>
        </w:tc>
        <w:tc>
          <w:tcPr>
            <w:tcW w:w="415" w:type="pct"/>
            <w:vAlign w:val="center"/>
          </w:tcPr>
          <w:p w:rsidR="00EE56C0" w:rsidRDefault="000F36A1">
            <w:pPr>
              <w:pStyle w:val="aff1"/>
              <w:rPr>
                <w:color w:val="auto"/>
                <w:lang w:eastAsia="en-US"/>
              </w:rPr>
            </w:pPr>
            <w:r>
              <w:rPr>
                <w:rFonts w:hint="eastAsia"/>
                <w:color w:val="auto"/>
              </w:rPr>
              <w:t>贮存方式</w:t>
            </w:r>
          </w:p>
        </w:tc>
        <w:tc>
          <w:tcPr>
            <w:tcW w:w="380" w:type="pct"/>
            <w:tcBorders>
              <w:left w:val="single" w:sz="4" w:space="0" w:color="auto"/>
            </w:tcBorders>
            <w:vAlign w:val="center"/>
          </w:tcPr>
          <w:p w:rsidR="00EE56C0" w:rsidRDefault="000F36A1">
            <w:pPr>
              <w:pStyle w:val="aff1"/>
              <w:rPr>
                <w:color w:val="auto"/>
              </w:rPr>
            </w:pPr>
            <w:r>
              <w:rPr>
                <w:rFonts w:hint="eastAsia"/>
                <w:color w:val="auto"/>
              </w:rPr>
              <w:t>贮存能力</w:t>
            </w:r>
          </w:p>
        </w:tc>
        <w:tc>
          <w:tcPr>
            <w:tcW w:w="401" w:type="pct"/>
            <w:tcBorders>
              <w:left w:val="single" w:sz="4" w:space="0" w:color="auto"/>
            </w:tcBorders>
            <w:vAlign w:val="center"/>
          </w:tcPr>
          <w:p w:rsidR="00EE56C0" w:rsidRDefault="000F36A1">
            <w:pPr>
              <w:pStyle w:val="aff1"/>
              <w:rPr>
                <w:color w:val="auto"/>
                <w:lang w:eastAsia="en-US"/>
              </w:rPr>
            </w:pPr>
            <w:r>
              <w:rPr>
                <w:rFonts w:hint="eastAsia"/>
                <w:color w:val="auto"/>
              </w:rPr>
              <w:t>贮存</w:t>
            </w:r>
          </w:p>
          <w:p w:rsidR="00EE56C0" w:rsidRDefault="000F36A1">
            <w:pPr>
              <w:pStyle w:val="aff1"/>
              <w:rPr>
                <w:color w:val="auto"/>
                <w:lang w:eastAsia="en-US"/>
              </w:rPr>
            </w:pPr>
            <w:r>
              <w:rPr>
                <w:rFonts w:hint="eastAsia"/>
                <w:color w:val="auto"/>
              </w:rPr>
              <w:t>周期</w:t>
            </w:r>
          </w:p>
        </w:tc>
      </w:tr>
      <w:tr w:rsidR="00EE56C0">
        <w:trPr>
          <w:trHeight w:val="454"/>
          <w:jc w:val="center"/>
        </w:trPr>
        <w:tc>
          <w:tcPr>
            <w:tcW w:w="250" w:type="pct"/>
            <w:vAlign w:val="center"/>
          </w:tcPr>
          <w:p w:rsidR="00EE56C0" w:rsidRDefault="000F36A1">
            <w:pPr>
              <w:pStyle w:val="afa"/>
              <w:rPr>
                <w:lang w:eastAsia="en-US"/>
              </w:rPr>
            </w:pPr>
            <w:r>
              <w:t>1</w:t>
            </w:r>
          </w:p>
        </w:tc>
        <w:tc>
          <w:tcPr>
            <w:tcW w:w="478" w:type="pct"/>
            <w:vMerge w:val="restart"/>
            <w:vAlign w:val="center"/>
          </w:tcPr>
          <w:p w:rsidR="00EE56C0" w:rsidRDefault="000F36A1">
            <w:pPr>
              <w:pStyle w:val="afa"/>
            </w:pPr>
            <w:r>
              <w:rPr>
                <w:rFonts w:hint="eastAsia"/>
              </w:rPr>
              <w:t>危废</w:t>
            </w:r>
          </w:p>
          <w:p w:rsidR="00EE56C0" w:rsidRDefault="000F36A1">
            <w:pPr>
              <w:pStyle w:val="afa"/>
              <w:rPr>
                <w:lang w:eastAsia="en-US"/>
              </w:rPr>
            </w:pPr>
            <w:r>
              <w:rPr>
                <w:rFonts w:hint="eastAsia"/>
              </w:rPr>
              <w:t>暂存间</w:t>
            </w:r>
          </w:p>
        </w:tc>
        <w:tc>
          <w:tcPr>
            <w:tcW w:w="915" w:type="pct"/>
            <w:vAlign w:val="center"/>
          </w:tcPr>
          <w:p w:rsidR="00EE56C0" w:rsidRDefault="000F36A1">
            <w:pPr>
              <w:pStyle w:val="afa"/>
            </w:pPr>
            <w:r>
              <w:t>含铜油泥</w:t>
            </w:r>
          </w:p>
        </w:tc>
        <w:tc>
          <w:tcPr>
            <w:tcW w:w="498" w:type="pct"/>
            <w:vAlign w:val="center"/>
          </w:tcPr>
          <w:p w:rsidR="00EE56C0" w:rsidRDefault="000F36A1">
            <w:pPr>
              <w:pStyle w:val="afa"/>
              <w:rPr>
                <w:spacing w:val="-6"/>
              </w:rPr>
            </w:pPr>
            <w:r>
              <w:rPr>
                <w:rFonts w:hint="eastAsia"/>
                <w:spacing w:val="-6"/>
              </w:rPr>
              <w:t>HW08</w:t>
            </w:r>
          </w:p>
        </w:tc>
        <w:tc>
          <w:tcPr>
            <w:tcW w:w="582" w:type="pct"/>
            <w:vAlign w:val="center"/>
          </w:tcPr>
          <w:p w:rsidR="00EE56C0" w:rsidRDefault="000F36A1">
            <w:pPr>
              <w:pStyle w:val="afa"/>
            </w:pPr>
            <w:r>
              <w:t>900-</w:t>
            </w:r>
            <w:r>
              <w:rPr>
                <w:rFonts w:hint="eastAsia"/>
              </w:rPr>
              <w:t>249</w:t>
            </w:r>
            <w:r>
              <w:t>-</w:t>
            </w:r>
            <w:r>
              <w:rPr>
                <w:rFonts w:hint="eastAsia"/>
              </w:rPr>
              <w:t>08</w:t>
            </w:r>
          </w:p>
        </w:tc>
        <w:tc>
          <w:tcPr>
            <w:tcW w:w="416" w:type="pct"/>
            <w:vMerge w:val="restart"/>
            <w:vAlign w:val="center"/>
          </w:tcPr>
          <w:p w:rsidR="00EE56C0" w:rsidRDefault="000F36A1">
            <w:pPr>
              <w:pStyle w:val="afa"/>
            </w:pPr>
            <w:r>
              <w:rPr>
                <w:rFonts w:hint="eastAsia"/>
              </w:rPr>
              <w:t>车</w:t>
            </w:r>
          </w:p>
          <w:p w:rsidR="00EE56C0" w:rsidRDefault="000F36A1">
            <w:pPr>
              <w:pStyle w:val="afa"/>
            </w:pPr>
            <w:r>
              <w:rPr>
                <w:rFonts w:hint="eastAsia"/>
              </w:rPr>
              <w:t>间</w:t>
            </w:r>
          </w:p>
          <w:p w:rsidR="00EE56C0" w:rsidRDefault="000F36A1">
            <w:pPr>
              <w:pStyle w:val="afa"/>
            </w:pPr>
            <w:r>
              <w:rPr>
                <w:rFonts w:hint="eastAsia"/>
              </w:rPr>
              <w:t>内</w:t>
            </w:r>
          </w:p>
        </w:tc>
        <w:tc>
          <w:tcPr>
            <w:tcW w:w="665" w:type="pct"/>
            <w:vMerge w:val="restart"/>
            <w:vAlign w:val="center"/>
          </w:tcPr>
          <w:p w:rsidR="00EE56C0" w:rsidRDefault="000F36A1">
            <w:pPr>
              <w:pStyle w:val="afa"/>
              <w:rPr>
                <w:lang w:eastAsia="en-US"/>
              </w:rPr>
            </w:pPr>
            <w:r>
              <w:rPr>
                <w:rFonts w:hint="eastAsia"/>
                <w:bCs/>
              </w:rPr>
              <w:t>危废间</w:t>
            </w:r>
            <w:r>
              <w:rPr>
                <w:rFonts w:hint="eastAsia"/>
                <w:bCs/>
              </w:rPr>
              <w:t>1#27</w:t>
            </w:r>
            <w:r>
              <w:rPr>
                <w:bCs/>
              </w:rPr>
              <w:t>m</w:t>
            </w:r>
            <w:r>
              <w:rPr>
                <w:bCs/>
                <w:vertAlign w:val="superscript"/>
              </w:rPr>
              <w:t>2</w:t>
            </w:r>
          </w:p>
        </w:tc>
        <w:tc>
          <w:tcPr>
            <w:tcW w:w="415" w:type="pct"/>
            <w:vAlign w:val="center"/>
          </w:tcPr>
          <w:p w:rsidR="00EE56C0" w:rsidRDefault="000F36A1">
            <w:pPr>
              <w:pStyle w:val="afa"/>
            </w:pPr>
            <w:r>
              <w:rPr>
                <w:rFonts w:hint="eastAsia"/>
              </w:rPr>
              <w:t>桶装</w:t>
            </w:r>
          </w:p>
        </w:tc>
        <w:tc>
          <w:tcPr>
            <w:tcW w:w="380" w:type="pct"/>
            <w:tcBorders>
              <w:left w:val="single" w:sz="4" w:space="0" w:color="auto"/>
            </w:tcBorders>
            <w:vAlign w:val="center"/>
          </w:tcPr>
          <w:p w:rsidR="00EE56C0" w:rsidRDefault="000F36A1">
            <w:pPr>
              <w:pStyle w:val="afa"/>
            </w:pPr>
            <w:r>
              <w:rPr>
                <w:rFonts w:hint="eastAsia"/>
              </w:rPr>
              <w:t>1t</w:t>
            </w:r>
          </w:p>
        </w:tc>
        <w:tc>
          <w:tcPr>
            <w:tcW w:w="401" w:type="pct"/>
            <w:tcBorders>
              <w:left w:val="single" w:sz="4" w:space="0" w:color="auto"/>
            </w:tcBorders>
            <w:vAlign w:val="center"/>
          </w:tcPr>
          <w:p w:rsidR="00EE56C0" w:rsidRDefault="000F36A1">
            <w:pPr>
              <w:pStyle w:val="afa"/>
            </w:pPr>
            <w:r>
              <w:rPr>
                <w:rFonts w:hint="eastAsia"/>
              </w:rPr>
              <w:t>1</w:t>
            </w:r>
            <w:r>
              <w:rPr>
                <w:rFonts w:hint="eastAsia"/>
              </w:rPr>
              <w:t>月</w:t>
            </w:r>
          </w:p>
        </w:tc>
      </w:tr>
      <w:tr w:rsidR="00EE56C0">
        <w:trPr>
          <w:trHeight w:val="454"/>
          <w:jc w:val="center"/>
        </w:trPr>
        <w:tc>
          <w:tcPr>
            <w:tcW w:w="250" w:type="pct"/>
            <w:vAlign w:val="center"/>
          </w:tcPr>
          <w:p w:rsidR="00EE56C0" w:rsidRDefault="000F36A1">
            <w:pPr>
              <w:pStyle w:val="afa"/>
            </w:pPr>
            <w:r>
              <w:t>2</w:t>
            </w:r>
          </w:p>
        </w:tc>
        <w:tc>
          <w:tcPr>
            <w:tcW w:w="478" w:type="pct"/>
            <w:vMerge/>
            <w:vAlign w:val="center"/>
          </w:tcPr>
          <w:p w:rsidR="00EE56C0" w:rsidRDefault="00EE56C0">
            <w:pPr>
              <w:pStyle w:val="afa"/>
            </w:pPr>
          </w:p>
        </w:tc>
        <w:tc>
          <w:tcPr>
            <w:tcW w:w="915" w:type="pct"/>
            <w:vAlign w:val="center"/>
          </w:tcPr>
          <w:p w:rsidR="00EE56C0" w:rsidRDefault="000F36A1">
            <w:pPr>
              <w:pStyle w:val="afa"/>
            </w:pPr>
            <w:r>
              <w:rPr>
                <w:rFonts w:hint="eastAsia"/>
              </w:rPr>
              <w:t>废拉丝油</w:t>
            </w:r>
          </w:p>
        </w:tc>
        <w:tc>
          <w:tcPr>
            <w:tcW w:w="498" w:type="pct"/>
            <w:vAlign w:val="center"/>
          </w:tcPr>
          <w:p w:rsidR="00EE56C0" w:rsidRDefault="000F36A1">
            <w:pPr>
              <w:pStyle w:val="afa"/>
              <w:rPr>
                <w:spacing w:val="-6"/>
              </w:rPr>
            </w:pPr>
            <w:r>
              <w:rPr>
                <w:rFonts w:hint="eastAsia"/>
                <w:spacing w:val="-6"/>
              </w:rPr>
              <w:t>HW08</w:t>
            </w:r>
          </w:p>
        </w:tc>
        <w:tc>
          <w:tcPr>
            <w:tcW w:w="582" w:type="pct"/>
            <w:vAlign w:val="center"/>
          </w:tcPr>
          <w:p w:rsidR="00EE56C0" w:rsidRDefault="000F36A1">
            <w:pPr>
              <w:pStyle w:val="afa"/>
              <w:rPr>
                <w:spacing w:val="-6"/>
              </w:rPr>
            </w:pPr>
            <w:r>
              <w:t>900-</w:t>
            </w:r>
            <w:r>
              <w:rPr>
                <w:rFonts w:hint="eastAsia"/>
              </w:rPr>
              <w:t>249</w:t>
            </w:r>
            <w:r>
              <w:t>-</w:t>
            </w:r>
            <w:r>
              <w:rPr>
                <w:rFonts w:hint="eastAsia"/>
              </w:rPr>
              <w:t>08</w:t>
            </w:r>
          </w:p>
        </w:tc>
        <w:tc>
          <w:tcPr>
            <w:tcW w:w="416" w:type="pct"/>
            <w:vMerge/>
            <w:vAlign w:val="center"/>
          </w:tcPr>
          <w:p w:rsidR="00EE56C0" w:rsidRDefault="00EE56C0">
            <w:pPr>
              <w:pStyle w:val="afa"/>
            </w:pPr>
          </w:p>
        </w:tc>
        <w:tc>
          <w:tcPr>
            <w:tcW w:w="665" w:type="pct"/>
            <w:vMerge/>
            <w:vAlign w:val="center"/>
          </w:tcPr>
          <w:p w:rsidR="00EE56C0" w:rsidRDefault="00EE56C0">
            <w:pPr>
              <w:pStyle w:val="afa"/>
              <w:rPr>
                <w:bCs/>
              </w:rPr>
            </w:pPr>
          </w:p>
        </w:tc>
        <w:tc>
          <w:tcPr>
            <w:tcW w:w="415" w:type="pct"/>
            <w:vAlign w:val="center"/>
          </w:tcPr>
          <w:p w:rsidR="00EE56C0" w:rsidRDefault="000F36A1">
            <w:pPr>
              <w:pStyle w:val="afa"/>
            </w:pPr>
            <w:r>
              <w:rPr>
                <w:rFonts w:hint="eastAsia"/>
              </w:rPr>
              <w:t>桶装</w:t>
            </w:r>
          </w:p>
        </w:tc>
        <w:tc>
          <w:tcPr>
            <w:tcW w:w="380" w:type="pct"/>
            <w:tcBorders>
              <w:left w:val="single" w:sz="4" w:space="0" w:color="auto"/>
            </w:tcBorders>
            <w:vAlign w:val="center"/>
          </w:tcPr>
          <w:p w:rsidR="00EE56C0" w:rsidRDefault="000F36A1">
            <w:pPr>
              <w:pStyle w:val="afa"/>
            </w:pPr>
            <w:r>
              <w:rPr>
                <w:rFonts w:hint="eastAsia"/>
              </w:rPr>
              <w:t>1t</w:t>
            </w:r>
          </w:p>
        </w:tc>
        <w:tc>
          <w:tcPr>
            <w:tcW w:w="401" w:type="pct"/>
            <w:tcBorders>
              <w:left w:val="single" w:sz="4" w:space="0" w:color="auto"/>
            </w:tcBorders>
            <w:vAlign w:val="center"/>
          </w:tcPr>
          <w:p w:rsidR="00EE56C0" w:rsidRDefault="000F36A1">
            <w:pPr>
              <w:pStyle w:val="afa"/>
            </w:pPr>
            <w:r>
              <w:rPr>
                <w:rFonts w:hint="eastAsia"/>
              </w:rPr>
              <w:t>1</w:t>
            </w:r>
            <w:r>
              <w:rPr>
                <w:rFonts w:hint="eastAsia"/>
              </w:rPr>
              <w:t>月</w:t>
            </w:r>
          </w:p>
        </w:tc>
      </w:tr>
      <w:tr w:rsidR="00EE56C0">
        <w:trPr>
          <w:trHeight w:val="454"/>
          <w:jc w:val="center"/>
        </w:trPr>
        <w:tc>
          <w:tcPr>
            <w:tcW w:w="250" w:type="pct"/>
            <w:vAlign w:val="center"/>
          </w:tcPr>
          <w:p w:rsidR="00EE56C0" w:rsidRDefault="000F36A1">
            <w:pPr>
              <w:pStyle w:val="afa"/>
              <w:rPr>
                <w:lang w:eastAsia="en-US"/>
              </w:rPr>
            </w:pPr>
            <w:r>
              <w:t>3</w:t>
            </w:r>
          </w:p>
        </w:tc>
        <w:tc>
          <w:tcPr>
            <w:tcW w:w="478" w:type="pct"/>
            <w:vMerge/>
            <w:vAlign w:val="center"/>
          </w:tcPr>
          <w:p w:rsidR="00EE56C0" w:rsidRDefault="00EE56C0">
            <w:pPr>
              <w:pStyle w:val="afa"/>
            </w:pPr>
          </w:p>
        </w:tc>
        <w:tc>
          <w:tcPr>
            <w:tcW w:w="915" w:type="pct"/>
            <w:vAlign w:val="center"/>
          </w:tcPr>
          <w:p w:rsidR="00EE56C0" w:rsidRDefault="000F36A1">
            <w:pPr>
              <w:pStyle w:val="afa"/>
            </w:pPr>
            <w:r>
              <w:rPr>
                <w:rFonts w:hint="eastAsia"/>
              </w:rPr>
              <w:t>废油</w:t>
            </w:r>
          </w:p>
        </w:tc>
        <w:tc>
          <w:tcPr>
            <w:tcW w:w="498" w:type="pct"/>
            <w:vAlign w:val="center"/>
          </w:tcPr>
          <w:p w:rsidR="00EE56C0" w:rsidRDefault="000F36A1">
            <w:pPr>
              <w:pStyle w:val="afa"/>
              <w:rPr>
                <w:spacing w:val="-6"/>
              </w:rPr>
            </w:pPr>
            <w:r>
              <w:rPr>
                <w:rFonts w:hint="eastAsia"/>
                <w:spacing w:val="-6"/>
              </w:rPr>
              <w:t>HW08</w:t>
            </w:r>
          </w:p>
        </w:tc>
        <w:tc>
          <w:tcPr>
            <w:tcW w:w="582" w:type="pct"/>
            <w:vAlign w:val="center"/>
          </w:tcPr>
          <w:p w:rsidR="00EE56C0" w:rsidRDefault="000F36A1">
            <w:pPr>
              <w:pStyle w:val="afa"/>
              <w:rPr>
                <w:spacing w:val="-6"/>
              </w:rPr>
            </w:pPr>
            <w:r>
              <w:t>900-</w:t>
            </w:r>
            <w:r>
              <w:rPr>
                <w:rFonts w:hint="eastAsia"/>
              </w:rPr>
              <w:t>249</w:t>
            </w:r>
            <w:r>
              <w:t>-</w:t>
            </w:r>
            <w:r>
              <w:rPr>
                <w:rFonts w:hint="eastAsia"/>
              </w:rPr>
              <w:t>08</w:t>
            </w:r>
          </w:p>
        </w:tc>
        <w:tc>
          <w:tcPr>
            <w:tcW w:w="416" w:type="pct"/>
            <w:vMerge/>
            <w:vAlign w:val="center"/>
          </w:tcPr>
          <w:p w:rsidR="00EE56C0" w:rsidRDefault="00EE56C0">
            <w:pPr>
              <w:pStyle w:val="afa"/>
            </w:pPr>
          </w:p>
        </w:tc>
        <w:tc>
          <w:tcPr>
            <w:tcW w:w="665" w:type="pct"/>
            <w:vMerge/>
            <w:vAlign w:val="center"/>
          </w:tcPr>
          <w:p w:rsidR="00EE56C0" w:rsidRDefault="00EE56C0">
            <w:pPr>
              <w:pStyle w:val="afa"/>
              <w:rPr>
                <w:bCs/>
              </w:rPr>
            </w:pPr>
          </w:p>
        </w:tc>
        <w:tc>
          <w:tcPr>
            <w:tcW w:w="415" w:type="pct"/>
            <w:vAlign w:val="center"/>
          </w:tcPr>
          <w:p w:rsidR="00EE56C0" w:rsidRDefault="000F36A1">
            <w:pPr>
              <w:pStyle w:val="afa"/>
            </w:pPr>
            <w:r>
              <w:rPr>
                <w:rFonts w:hint="eastAsia"/>
              </w:rPr>
              <w:t>桶装</w:t>
            </w:r>
          </w:p>
        </w:tc>
        <w:tc>
          <w:tcPr>
            <w:tcW w:w="380" w:type="pct"/>
            <w:tcBorders>
              <w:left w:val="single" w:sz="4" w:space="0" w:color="auto"/>
            </w:tcBorders>
            <w:vAlign w:val="center"/>
          </w:tcPr>
          <w:p w:rsidR="00EE56C0" w:rsidRDefault="000F36A1">
            <w:pPr>
              <w:pStyle w:val="afa"/>
            </w:pPr>
            <w:r>
              <w:rPr>
                <w:rFonts w:hint="eastAsia"/>
              </w:rPr>
              <w:t>1t</w:t>
            </w:r>
          </w:p>
        </w:tc>
        <w:tc>
          <w:tcPr>
            <w:tcW w:w="401" w:type="pct"/>
            <w:tcBorders>
              <w:left w:val="single" w:sz="4" w:space="0" w:color="auto"/>
            </w:tcBorders>
            <w:vAlign w:val="center"/>
          </w:tcPr>
          <w:p w:rsidR="00EE56C0" w:rsidRDefault="000F36A1">
            <w:pPr>
              <w:pStyle w:val="afa"/>
            </w:pPr>
            <w:r>
              <w:rPr>
                <w:rFonts w:hint="eastAsia"/>
              </w:rPr>
              <w:t>1</w:t>
            </w:r>
            <w:r>
              <w:rPr>
                <w:rFonts w:hint="eastAsia"/>
              </w:rPr>
              <w:t>月</w:t>
            </w:r>
          </w:p>
        </w:tc>
      </w:tr>
      <w:tr w:rsidR="00EE56C0">
        <w:trPr>
          <w:trHeight w:val="454"/>
          <w:jc w:val="center"/>
        </w:trPr>
        <w:tc>
          <w:tcPr>
            <w:tcW w:w="250" w:type="pct"/>
            <w:vAlign w:val="center"/>
          </w:tcPr>
          <w:p w:rsidR="00EE56C0" w:rsidRDefault="000F36A1">
            <w:pPr>
              <w:pStyle w:val="afa"/>
            </w:pPr>
            <w:r>
              <w:rPr>
                <w:rFonts w:hint="eastAsia"/>
              </w:rPr>
              <w:t>4</w:t>
            </w:r>
          </w:p>
        </w:tc>
        <w:tc>
          <w:tcPr>
            <w:tcW w:w="478" w:type="pct"/>
            <w:vMerge/>
            <w:vAlign w:val="center"/>
          </w:tcPr>
          <w:p w:rsidR="00EE56C0" w:rsidRDefault="00EE56C0">
            <w:pPr>
              <w:pStyle w:val="afa"/>
            </w:pPr>
          </w:p>
        </w:tc>
        <w:tc>
          <w:tcPr>
            <w:tcW w:w="915" w:type="pct"/>
            <w:vAlign w:val="center"/>
          </w:tcPr>
          <w:p w:rsidR="00EE56C0" w:rsidRDefault="000F36A1">
            <w:pPr>
              <w:pStyle w:val="afa"/>
            </w:pPr>
            <w:r>
              <w:t>废催化剂</w:t>
            </w:r>
          </w:p>
        </w:tc>
        <w:tc>
          <w:tcPr>
            <w:tcW w:w="498" w:type="pct"/>
            <w:vAlign w:val="center"/>
          </w:tcPr>
          <w:p w:rsidR="00EE56C0" w:rsidRDefault="000F36A1">
            <w:pPr>
              <w:pStyle w:val="afa"/>
            </w:pPr>
            <w:r>
              <w:rPr>
                <w:rFonts w:hint="eastAsia"/>
                <w:spacing w:val="-6"/>
              </w:rPr>
              <w:t>HW50</w:t>
            </w:r>
          </w:p>
        </w:tc>
        <w:tc>
          <w:tcPr>
            <w:tcW w:w="582" w:type="pct"/>
            <w:vAlign w:val="center"/>
          </w:tcPr>
          <w:p w:rsidR="00EE56C0" w:rsidRDefault="000F36A1">
            <w:pPr>
              <w:pStyle w:val="afa"/>
            </w:pPr>
            <w:r>
              <w:rPr>
                <w:szCs w:val="24"/>
              </w:rPr>
              <w:t>772-007-50</w:t>
            </w:r>
          </w:p>
        </w:tc>
        <w:tc>
          <w:tcPr>
            <w:tcW w:w="416" w:type="pct"/>
            <w:vMerge/>
            <w:vAlign w:val="center"/>
          </w:tcPr>
          <w:p w:rsidR="00EE56C0" w:rsidRDefault="00EE56C0">
            <w:pPr>
              <w:pStyle w:val="afa"/>
            </w:pPr>
          </w:p>
        </w:tc>
        <w:tc>
          <w:tcPr>
            <w:tcW w:w="665" w:type="pct"/>
            <w:vMerge/>
            <w:tcBorders>
              <w:bottom w:val="single" w:sz="4" w:space="0" w:color="auto"/>
            </w:tcBorders>
            <w:vAlign w:val="center"/>
          </w:tcPr>
          <w:p w:rsidR="00EE56C0" w:rsidRDefault="00EE56C0">
            <w:pPr>
              <w:pStyle w:val="afa"/>
              <w:rPr>
                <w:bCs/>
              </w:rPr>
            </w:pPr>
          </w:p>
        </w:tc>
        <w:tc>
          <w:tcPr>
            <w:tcW w:w="415" w:type="pct"/>
            <w:vAlign w:val="center"/>
          </w:tcPr>
          <w:p w:rsidR="00EE56C0" w:rsidRDefault="000F36A1">
            <w:pPr>
              <w:pStyle w:val="afa"/>
            </w:pPr>
            <w:r>
              <w:rPr>
                <w:rFonts w:hint="eastAsia"/>
              </w:rPr>
              <w:t>桶装</w:t>
            </w:r>
          </w:p>
        </w:tc>
        <w:tc>
          <w:tcPr>
            <w:tcW w:w="380" w:type="pct"/>
            <w:tcBorders>
              <w:left w:val="single" w:sz="4" w:space="0" w:color="auto"/>
            </w:tcBorders>
            <w:vAlign w:val="center"/>
          </w:tcPr>
          <w:p w:rsidR="00EE56C0" w:rsidRDefault="000F36A1">
            <w:pPr>
              <w:pStyle w:val="afa"/>
            </w:pPr>
            <w:r>
              <w:rPr>
                <w:rFonts w:hint="eastAsia"/>
              </w:rPr>
              <w:t>1.2t</w:t>
            </w:r>
          </w:p>
        </w:tc>
        <w:tc>
          <w:tcPr>
            <w:tcW w:w="401" w:type="pct"/>
            <w:tcBorders>
              <w:left w:val="single" w:sz="4" w:space="0" w:color="auto"/>
            </w:tcBorders>
            <w:vAlign w:val="center"/>
          </w:tcPr>
          <w:p w:rsidR="00EE56C0" w:rsidRDefault="000F36A1">
            <w:pPr>
              <w:pStyle w:val="afa"/>
            </w:pPr>
            <w:r>
              <w:rPr>
                <w:rFonts w:hint="eastAsia"/>
              </w:rPr>
              <w:t>3</w:t>
            </w:r>
            <w:r>
              <w:rPr>
                <w:rFonts w:hint="eastAsia"/>
              </w:rPr>
              <w:t>月</w:t>
            </w:r>
          </w:p>
        </w:tc>
      </w:tr>
      <w:tr w:rsidR="00EE56C0">
        <w:trPr>
          <w:trHeight w:val="454"/>
          <w:jc w:val="center"/>
        </w:trPr>
        <w:tc>
          <w:tcPr>
            <w:tcW w:w="250" w:type="pct"/>
            <w:vAlign w:val="center"/>
          </w:tcPr>
          <w:p w:rsidR="00EE56C0" w:rsidRDefault="000F36A1">
            <w:pPr>
              <w:pStyle w:val="afa"/>
            </w:pPr>
            <w:r>
              <w:rPr>
                <w:rFonts w:hint="eastAsia"/>
              </w:rPr>
              <w:t>5</w:t>
            </w:r>
          </w:p>
        </w:tc>
        <w:tc>
          <w:tcPr>
            <w:tcW w:w="478" w:type="pct"/>
            <w:vMerge/>
            <w:vAlign w:val="center"/>
          </w:tcPr>
          <w:p w:rsidR="00EE56C0" w:rsidRDefault="00EE56C0">
            <w:pPr>
              <w:pStyle w:val="afa"/>
            </w:pPr>
          </w:p>
        </w:tc>
        <w:tc>
          <w:tcPr>
            <w:tcW w:w="915" w:type="pct"/>
            <w:vAlign w:val="center"/>
          </w:tcPr>
          <w:p w:rsidR="00EE56C0" w:rsidRDefault="000F36A1">
            <w:pPr>
              <w:pStyle w:val="afa"/>
            </w:pPr>
            <w:r>
              <w:rPr>
                <w:rFonts w:hint="eastAsia"/>
              </w:rPr>
              <w:t>废丝包漆料桶</w:t>
            </w:r>
          </w:p>
        </w:tc>
        <w:tc>
          <w:tcPr>
            <w:tcW w:w="498" w:type="pct"/>
            <w:vAlign w:val="center"/>
          </w:tcPr>
          <w:p w:rsidR="00EE56C0" w:rsidRDefault="000F36A1">
            <w:pPr>
              <w:pStyle w:val="afa"/>
            </w:pPr>
            <w:r>
              <w:rPr>
                <w:rFonts w:hint="eastAsia"/>
                <w:spacing w:val="-6"/>
              </w:rPr>
              <w:t>HW49</w:t>
            </w:r>
          </w:p>
        </w:tc>
        <w:tc>
          <w:tcPr>
            <w:tcW w:w="582" w:type="pct"/>
            <w:vAlign w:val="center"/>
          </w:tcPr>
          <w:p w:rsidR="00EE56C0" w:rsidRDefault="000F36A1">
            <w:pPr>
              <w:pStyle w:val="afa"/>
            </w:pPr>
            <w:r>
              <w:rPr>
                <w:rFonts w:hint="eastAsia"/>
              </w:rPr>
              <w:t>900-041-49</w:t>
            </w:r>
          </w:p>
        </w:tc>
        <w:tc>
          <w:tcPr>
            <w:tcW w:w="416" w:type="pct"/>
            <w:vMerge/>
            <w:vAlign w:val="center"/>
          </w:tcPr>
          <w:p w:rsidR="00EE56C0" w:rsidRDefault="00EE56C0">
            <w:pPr>
              <w:pStyle w:val="afa"/>
            </w:pPr>
          </w:p>
        </w:tc>
        <w:tc>
          <w:tcPr>
            <w:tcW w:w="665" w:type="pct"/>
            <w:vMerge w:val="restart"/>
            <w:tcBorders>
              <w:top w:val="single" w:sz="4" w:space="0" w:color="auto"/>
            </w:tcBorders>
            <w:vAlign w:val="center"/>
          </w:tcPr>
          <w:p w:rsidR="00EE56C0" w:rsidRDefault="000F36A1">
            <w:pPr>
              <w:pStyle w:val="afa"/>
              <w:rPr>
                <w:bCs/>
              </w:rPr>
            </w:pPr>
            <w:r>
              <w:rPr>
                <w:rFonts w:hint="eastAsia"/>
                <w:bCs/>
              </w:rPr>
              <w:t>危废间</w:t>
            </w:r>
            <w:r>
              <w:rPr>
                <w:rFonts w:hint="eastAsia"/>
                <w:bCs/>
              </w:rPr>
              <w:t>2#33m</w:t>
            </w:r>
            <w:r>
              <w:rPr>
                <w:rFonts w:hint="eastAsia"/>
                <w:bCs/>
                <w:vertAlign w:val="superscript"/>
              </w:rPr>
              <w:t>2</w:t>
            </w:r>
          </w:p>
        </w:tc>
        <w:tc>
          <w:tcPr>
            <w:tcW w:w="415" w:type="pct"/>
            <w:vAlign w:val="center"/>
          </w:tcPr>
          <w:p w:rsidR="00EE56C0" w:rsidRDefault="000F36A1">
            <w:pPr>
              <w:pStyle w:val="afa"/>
            </w:pPr>
            <w:r>
              <w:rPr>
                <w:rFonts w:hint="eastAsia"/>
              </w:rPr>
              <w:t>桶装</w:t>
            </w:r>
          </w:p>
        </w:tc>
        <w:tc>
          <w:tcPr>
            <w:tcW w:w="380" w:type="pct"/>
            <w:tcBorders>
              <w:left w:val="single" w:sz="4" w:space="0" w:color="auto"/>
            </w:tcBorders>
            <w:vAlign w:val="center"/>
          </w:tcPr>
          <w:p w:rsidR="00EE56C0" w:rsidRDefault="000F36A1">
            <w:pPr>
              <w:pStyle w:val="afa"/>
            </w:pPr>
            <w:r>
              <w:rPr>
                <w:rFonts w:hint="eastAsia"/>
              </w:rPr>
              <w:t>0.5t</w:t>
            </w:r>
          </w:p>
        </w:tc>
        <w:tc>
          <w:tcPr>
            <w:tcW w:w="401" w:type="pct"/>
            <w:tcBorders>
              <w:left w:val="single" w:sz="4" w:space="0" w:color="auto"/>
            </w:tcBorders>
            <w:vAlign w:val="center"/>
          </w:tcPr>
          <w:p w:rsidR="00EE56C0" w:rsidRDefault="000F36A1">
            <w:pPr>
              <w:pStyle w:val="afa"/>
            </w:pPr>
            <w:r>
              <w:rPr>
                <w:rFonts w:hint="eastAsia"/>
              </w:rPr>
              <w:t>2</w:t>
            </w:r>
            <w:r>
              <w:rPr>
                <w:rFonts w:hint="eastAsia"/>
              </w:rPr>
              <w:t>月</w:t>
            </w:r>
          </w:p>
        </w:tc>
      </w:tr>
      <w:tr w:rsidR="00EE56C0">
        <w:trPr>
          <w:trHeight w:val="454"/>
          <w:jc w:val="center"/>
        </w:trPr>
        <w:tc>
          <w:tcPr>
            <w:tcW w:w="250" w:type="pct"/>
            <w:vAlign w:val="center"/>
          </w:tcPr>
          <w:p w:rsidR="00EE56C0" w:rsidRDefault="000F36A1">
            <w:pPr>
              <w:pStyle w:val="afa"/>
            </w:pPr>
            <w:r>
              <w:rPr>
                <w:rFonts w:hint="eastAsia"/>
              </w:rPr>
              <w:t>6</w:t>
            </w:r>
          </w:p>
        </w:tc>
        <w:tc>
          <w:tcPr>
            <w:tcW w:w="478" w:type="pct"/>
            <w:vMerge/>
            <w:vAlign w:val="center"/>
          </w:tcPr>
          <w:p w:rsidR="00EE56C0" w:rsidRDefault="00EE56C0">
            <w:pPr>
              <w:pStyle w:val="afa"/>
              <w:rPr>
                <w:lang w:eastAsia="en-US"/>
              </w:rPr>
            </w:pPr>
          </w:p>
        </w:tc>
        <w:tc>
          <w:tcPr>
            <w:tcW w:w="915" w:type="pct"/>
            <w:vAlign w:val="center"/>
          </w:tcPr>
          <w:p w:rsidR="00EE56C0" w:rsidRDefault="000F36A1">
            <w:pPr>
              <w:pStyle w:val="afa"/>
            </w:pPr>
            <w:r>
              <w:rPr>
                <w:rFonts w:hint="eastAsia"/>
              </w:rPr>
              <w:t>含漆料</w:t>
            </w:r>
            <w:r>
              <w:rPr>
                <w:rFonts w:hint="eastAsia"/>
              </w:rPr>
              <w:t>/</w:t>
            </w:r>
            <w:r>
              <w:rPr>
                <w:rFonts w:hint="eastAsia"/>
              </w:rPr>
              <w:t>油的废毛毡</w:t>
            </w:r>
          </w:p>
        </w:tc>
        <w:tc>
          <w:tcPr>
            <w:tcW w:w="498" w:type="pct"/>
            <w:vAlign w:val="center"/>
          </w:tcPr>
          <w:p w:rsidR="00EE56C0" w:rsidRDefault="000F36A1">
            <w:pPr>
              <w:pStyle w:val="afa"/>
            </w:pPr>
            <w:r>
              <w:rPr>
                <w:rFonts w:hint="eastAsia"/>
                <w:spacing w:val="-6"/>
              </w:rPr>
              <w:t>HW49</w:t>
            </w:r>
          </w:p>
        </w:tc>
        <w:tc>
          <w:tcPr>
            <w:tcW w:w="582" w:type="pct"/>
            <w:vAlign w:val="center"/>
          </w:tcPr>
          <w:p w:rsidR="00EE56C0" w:rsidRDefault="000F36A1">
            <w:pPr>
              <w:pStyle w:val="afa"/>
            </w:pPr>
            <w:r>
              <w:rPr>
                <w:rFonts w:hint="eastAsia"/>
              </w:rPr>
              <w:t>900-041-49</w:t>
            </w:r>
          </w:p>
        </w:tc>
        <w:tc>
          <w:tcPr>
            <w:tcW w:w="416" w:type="pct"/>
            <w:vMerge/>
            <w:vAlign w:val="center"/>
          </w:tcPr>
          <w:p w:rsidR="00EE56C0" w:rsidRDefault="00EE56C0">
            <w:pPr>
              <w:pStyle w:val="afa"/>
            </w:pPr>
          </w:p>
        </w:tc>
        <w:tc>
          <w:tcPr>
            <w:tcW w:w="665" w:type="pct"/>
            <w:vMerge/>
            <w:vAlign w:val="center"/>
          </w:tcPr>
          <w:p w:rsidR="00EE56C0" w:rsidRDefault="00EE56C0">
            <w:pPr>
              <w:pStyle w:val="afa"/>
            </w:pPr>
          </w:p>
        </w:tc>
        <w:tc>
          <w:tcPr>
            <w:tcW w:w="415" w:type="pct"/>
            <w:vAlign w:val="center"/>
          </w:tcPr>
          <w:p w:rsidR="00EE56C0" w:rsidRDefault="000F36A1">
            <w:pPr>
              <w:pStyle w:val="afa"/>
            </w:pPr>
            <w:r>
              <w:rPr>
                <w:rFonts w:hAnsi="宋体" w:hint="eastAsia"/>
              </w:rPr>
              <w:t>桶装</w:t>
            </w:r>
          </w:p>
        </w:tc>
        <w:tc>
          <w:tcPr>
            <w:tcW w:w="380" w:type="pct"/>
            <w:tcBorders>
              <w:left w:val="single" w:sz="4" w:space="0" w:color="auto"/>
            </w:tcBorders>
            <w:vAlign w:val="center"/>
          </w:tcPr>
          <w:p w:rsidR="00EE56C0" w:rsidRDefault="000F36A1">
            <w:pPr>
              <w:pStyle w:val="afa"/>
            </w:pPr>
            <w:r>
              <w:rPr>
                <w:rFonts w:hint="eastAsia"/>
              </w:rPr>
              <w:t>0.3t</w:t>
            </w:r>
          </w:p>
        </w:tc>
        <w:tc>
          <w:tcPr>
            <w:tcW w:w="401" w:type="pct"/>
            <w:tcBorders>
              <w:left w:val="single" w:sz="4" w:space="0" w:color="auto"/>
            </w:tcBorders>
            <w:vAlign w:val="center"/>
          </w:tcPr>
          <w:p w:rsidR="00EE56C0" w:rsidRDefault="000F36A1">
            <w:pPr>
              <w:pStyle w:val="afa"/>
            </w:pPr>
            <w:r>
              <w:rPr>
                <w:rFonts w:hint="eastAsia"/>
              </w:rPr>
              <w:t>1</w:t>
            </w:r>
            <w:r>
              <w:rPr>
                <w:rFonts w:hint="eastAsia"/>
              </w:rPr>
              <w:t>月</w:t>
            </w:r>
          </w:p>
        </w:tc>
      </w:tr>
      <w:tr w:rsidR="00EE56C0">
        <w:trPr>
          <w:trHeight w:val="454"/>
          <w:jc w:val="center"/>
        </w:trPr>
        <w:tc>
          <w:tcPr>
            <w:tcW w:w="250" w:type="pct"/>
            <w:vAlign w:val="center"/>
          </w:tcPr>
          <w:p w:rsidR="00EE56C0" w:rsidRDefault="000F36A1">
            <w:pPr>
              <w:pStyle w:val="afa"/>
            </w:pPr>
            <w:r>
              <w:rPr>
                <w:rFonts w:hint="eastAsia"/>
              </w:rPr>
              <w:t>7</w:t>
            </w:r>
          </w:p>
        </w:tc>
        <w:tc>
          <w:tcPr>
            <w:tcW w:w="478" w:type="pct"/>
            <w:vMerge/>
            <w:vAlign w:val="center"/>
          </w:tcPr>
          <w:p w:rsidR="00EE56C0" w:rsidRDefault="00EE56C0">
            <w:pPr>
              <w:pStyle w:val="afa"/>
              <w:rPr>
                <w:lang w:eastAsia="en-US"/>
              </w:rPr>
            </w:pPr>
          </w:p>
        </w:tc>
        <w:tc>
          <w:tcPr>
            <w:tcW w:w="915" w:type="pct"/>
            <w:vAlign w:val="center"/>
          </w:tcPr>
          <w:p w:rsidR="00EE56C0" w:rsidRDefault="000F36A1">
            <w:pPr>
              <w:pStyle w:val="afa"/>
            </w:pPr>
            <w:r>
              <w:rPr>
                <w:rFonts w:hint="eastAsia"/>
              </w:rPr>
              <w:t>废活性炭</w:t>
            </w:r>
          </w:p>
        </w:tc>
        <w:tc>
          <w:tcPr>
            <w:tcW w:w="498" w:type="pct"/>
            <w:vAlign w:val="center"/>
          </w:tcPr>
          <w:p w:rsidR="00EE56C0" w:rsidRDefault="000F36A1">
            <w:pPr>
              <w:pStyle w:val="afa"/>
            </w:pPr>
            <w:r>
              <w:rPr>
                <w:rFonts w:hint="eastAsia"/>
                <w:spacing w:val="-6"/>
              </w:rPr>
              <w:t>HW49</w:t>
            </w:r>
          </w:p>
        </w:tc>
        <w:tc>
          <w:tcPr>
            <w:tcW w:w="582" w:type="pct"/>
            <w:vAlign w:val="center"/>
          </w:tcPr>
          <w:p w:rsidR="00EE56C0" w:rsidRDefault="000F36A1">
            <w:pPr>
              <w:pStyle w:val="afa"/>
            </w:pPr>
            <w:r>
              <w:rPr>
                <w:rFonts w:hint="eastAsia"/>
              </w:rPr>
              <w:t>900-041-49</w:t>
            </w:r>
          </w:p>
        </w:tc>
        <w:tc>
          <w:tcPr>
            <w:tcW w:w="416" w:type="pct"/>
            <w:vMerge/>
            <w:vAlign w:val="center"/>
          </w:tcPr>
          <w:p w:rsidR="00EE56C0" w:rsidRDefault="00EE56C0">
            <w:pPr>
              <w:pStyle w:val="afa"/>
            </w:pPr>
          </w:p>
        </w:tc>
        <w:tc>
          <w:tcPr>
            <w:tcW w:w="665" w:type="pct"/>
            <w:vMerge/>
            <w:vAlign w:val="center"/>
          </w:tcPr>
          <w:p w:rsidR="00EE56C0" w:rsidRDefault="00EE56C0">
            <w:pPr>
              <w:pStyle w:val="afa"/>
            </w:pPr>
          </w:p>
        </w:tc>
        <w:tc>
          <w:tcPr>
            <w:tcW w:w="415" w:type="pct"/>
            <w:vAlign w:val="center"/>
          </w:tcPr>
          <w:p w:rsidR="00EE56C0" w:rsidRDefault="000F36A1">
            <w:pPr>
              <w:pStyle w:val="afa"/>
              <w:rPr>
                <w:rFonts w:hAnsi="宋体"/>
              </w:rPr>
            </w:pPr>
            <w:r>
              <w:rPr>
                <w:rFonts w:hint="eastAsia"/>
              </w:rPr>
              <w:t>桶装</w:t>
            </w:r>
          </w:p>
        </w:tc>
        <w:tc>
          <w:tcPr>
            <w:tcW w:w="380" w:type="pct"/>
            <w:tcBorders>
              <w:left w:val="single" w:sz="4" w:space="0" w:color="auto"/>
            </w:tcBorders>
            <w:vAlign w:val="center"/>
          </w:tcPr>
          <w:p w:rsidR="00EE56C0" w:rsidRDefault="000F36A1">
            <w:pPr>
              <w:pStyle w:val="afa"/>
            </w:pPr>
            <w:r>
              <w:rPr>
                <w:rFonts w:hint="eastAsia"/>
              </w:rPr>
              <w:t>5t</w:t>
            </w:r>
          </w:p>
        </w:tc>
        <w:tc>
          <w:tcPr>
            <w:tcW w:w="401" w:type="pct"/>
            <w:tcBorders>
              <w:left w:val="single" w:sz="4" w:space="0" w:color="auto"/>
            </w:tcBorders>
            <w:vAlign w:val="center"/>
          </w:tcPr>
          <w:p w:rsidR="00EE56C0" w:rsidRDefault="000F36A1">
            <w:pPr>
              <w:pStyle w:val="afa"/>
            </w:pPr>
            <w:r>
              <w:rPr>
                <w:rFonts w:hint="eastAsia"/>
              </w:rPr>
              <w:t>1</w:t>
            </w:r>
            <w:r>
              <w:rPr>
                <w:rFonts w:hint="eastAsia"/>
              </w:rPr>
              <w:t>月</w:t>
            </w:r>
          </w:p>
        </w:tc>
      </w:tr>
      <w:tr w:rsidR="00EE56C0">
        <w:trPr>
          <w:trHeight w:val="454"/>
          <w:jc w:val="center"/>
        </w:trPr>
        <w:tc>
          <w:tcPr>
            <w:tcW w:w="250" w:type="pct"/>
            <w:vAlign w:val="center"/>
          </w:tcPr>
          <w:p w:rsidR="00EE56C0" w:rsidRDefault="000F36A1">
            <w:pPr>
              <w:pStyle w:val="afa"/>
            </w:pPr>
            <w:r>
              <w:rPr>
                <w:rFonts w:hint="eastAsia"/>
              </w:rPr>
              <w:t>8</w:t>
            </w:r>
          </w:p>
        </w:tc>
        <w:tc>
          <w:tcPr>
            <w:tcW w:w="478" w:type="pct"/>
            <w:vMerge/>
            <w:vAlign w:val="center"/>
          </w:tcPr>
          <w:p w:rsidR="00EE56C0" w:rsidRDefault="00EE56C0">
            <w:pPr>
              <w:pStyle w:val="afa"/>
              <w:rPr>
                <w:lang w:eastAsia="en-US"/>
              </w:rPr>
            </w:pPr>
          </w:p>
        </w:tc>
        <w:tc>
          <w:tcPr>
            <w:tcW w:w="915" w:type="pct"/>
            <w:vAlign w:val="center"/>
          </w:tcPr>
          <w:p w:rsidR="00EE56C0" w:rsidRDefault="000F36A1">
            <w:pPr>
              <w:pStyle w:val="afa"/>
            </w:pPr>
            <w:r>
              <w:rPr>
                <w:rFonts w:hint="eastAsia"/>
              </w:rPr>
              <w:t>废沸石分子筛</w:t>
            </w:r>
          </w:p>
        </w:tc>
        <w:tc>
          <w:tcPr>
            <w:tcW w:w="498" w:type="pct"/>
            <w:vAlign w:val="center"/>
          </w:tcPr>
          <w:p w:rsidR="00EE56C0" w:rsidRDefault="000F36A1">
            <w:pPr>
              <w:pStyle w:val="afa"/>
            </w:pPr>
            <w:r>
              <w:rPr>
                <w:rFonts w:hint="eastAsia"/>
                <w:spacing w:val="-6"/>
              </w:rPr>
              <w:t>HW49</w:t>
            </w:r>
          </w:p>
        </w:tc>
        <w:tc>
          <w:tcPr>
            <w:tcW w:w="582" w:type="pct"/>
            <w:vAlign w:val="center"/>
          </w:tcPr>
          <w:p w:rsidR="00EE56C0" w:rsidRDefault="000F36A1">
            <w:pPr>
              <w:pStyle w:val="afa"/>
            </w:pPr>
            <w:r>
              <w:rPr>
                <w:rFonts w:hint="eastAsia"/>
              </w:rPr>
              <w:t>900-041-49</w:t>
            </w:r>
          </w:p>
        </w:tc>
        <w:tc>
          <w:tcPr>
            <w:tcW w:w="416" w:type="pct"/>
            <w:vMerge/>
            <w:vAlign w:val="center"/>
          </w:tcPr>
          <w:p w:rsidR="00EE56C0" w:rsidRDefault="00EE56C0">
            <w:pPr>
              <w:pStyle w:val="afa"/>
            </w:pPr>
          </w:p>
        </w:tc>
        <w:tc>
          <w:tcPr>
            <w:tcW w:w="665" w:type="pct"/>
            <w:vMerge/>
            <w:vAlign w:val="center"/>
          </w:tcPr>
          <w:p w:rsidR="00EE56C0" w:rsidRDefault="00EE56C0">
            <w:pPr>
              <w:pStyle w:val="afa"/>
              <w:rPr>
                <w:lang w:eastAsia="en-US"/>
              </w:rPr>
            </w:pPr>
          </w:p>
        </w:tc>
        <w:tc>
          <w:tcPr>
            <w:tcW w:w="415" w:type="pct"/>
            <w:vAlign w:val="center"/>
          </w:tcPr>
          <w:p w:rsidR="00EE56C0" w:rsidRDefault="000F36A1">
            <w:pPr>
              <w:pStyle w:val="afa"/>
              <w:rPr>
                <w:rFonts w:hAnsi="宋体"/>
                <w:lang w:eastAsia="en-US"/>
              </w:rPr>
            </w:pPr>
            <w:r>
              <w:rPr>
                <w:rFonts w:hint="eastAsia"/>
              </w:rPr>
              <w:t>桶装</w:t>
            </w:r>
          </w:p>
        </w:tc>
        <w:tc>
          <w:tcPr>
            <w:tcW w:w="380" w:type="pct"/>
            <w:tcBorders>
              <w:left w:val="single" w:sz="4" w:space="0" w:color="auto"/>
            </w:tcBorders>
            <w:vAlign w:val="center"/>
          </w:tcPr>
          <w:p w:rsidR="00EE56C0" w:rsidRDefault="000F36A1">
            <w:pPr>
              <w:pStyle w:val="afa"/>
            </w:pPr>
            <w:r>
              <w:rPr>
                <w:rFonts w:hint="eastAsia"/>
              </w:rPr>
              <w:t>3.5t</w:t>
            </w:r>
          </w:p>
        </w:tc>
        <w:tc>
          <w:tcPr>
            <w:tcW w:w="401" w:type="pct"/>
            <w:tcBorders>
              <w:left w:val="single" w:sz="4" w:space="0" w:color="auto"/>
            </w:tcBorders>
            <w:vAlign w:val="center"/>
          </w:tcPr>
          <w:p w:rsidR="00EE56C0" w:rsidRDefault="000F36A1">
            <w:pPr>
              <w:pStyle w:val="afa"/>
            </w:pPr>
            <w:r>
              <w:rPr>
                <w:rFonts w:hint="eastAsia"/>
              </w:rPr>
              <w:t>1</w:t>
            </w:r>
            <w:r>
              <w:rPr>
                <w:rFonts w:hint="eastAsia"/>
              </w:rPr>
              <w:t>月</w:t>
            </w:r>
          </w:p>
        </w:tc>
      </w:tr>
    </w:tbl>
    <w:p w:rsidR="00EE56C0" w:rsidRDefault="000F36A1">
      <w:pPr>
        <w:ind w:firstLine="482"/>
        <w:rPr>
          <w:b/>
        </w:rPr>
      </w:pPr>
      <w:r>
        <w:rPr>
          <w:rFonts w:hint="eastAsia"/>
          <w:b/>
        </w:rPr>
        <w:t>3</w:t>
      </w:r>
      <w:r>
        <w:rPr>
          <w:rFonts w:hint="eastAsia"/>
          <w:b/>
        </w:rPr>
        <w:t>、固废处置措施</w:t>
      </w:r>
    </w:p>
    <w:p w:rsidR="00EE56C0" w:rsidRDefault="000F36A1">
      <w:pPr>
        <w:ind w:firstLine="480"/>
      </w:pPr>
      <w:r>
        <w:rPr>
          <w:rFonts w:hint="eastAsia"/>
        </w:rPr>
        <w:t>避免本项目的固废在储存过程中产生二次污染问题，本项目依托现有固废仓库，对项目固废实现分类存放。</w:t>
      </w:r>
    </w:p>
    <w:p w:rsidR="00EE56C0" w:rsidRPr="002A017C" w:rsidRDefault="000F36A1" w:rsidP="002A017C">
      <w:pPr>
        <w:ind w:firstLine="482"/>
        <w:rPr>
          <w:b/>
          <w:u w:val="single"/>
        </w:rPr>
      </w:pPr>
      <w:r w:rsidRPr="002A017C">
        <w:rPr>
          <w:b/>
          <w:u w:val="single"/>
        </w:rPr>
        <w:t>厂区</w:t>
      </w:r>
      <w:r w:rsidRPr="002A017C">
        <w:rPr>
          <w:rFonts w:hint="eastAsia"/>
          <w:b/>
          <w:u w:val="single"/>
        </w:rPr>
        <w:t>已建设一座</w:t>
      </w:r>
      <w:r w:rsidRPr="002A017C">
        <w:rPr>
          <w:b/>
          <w:u w:val="single"/>
        </w:rPr>
        <w:t>固废储存间（</w:t>
      </w:r>
      <w:r w:rsidRPr="002A017C">
        <w:rPr>
          <w:b/>
          <w:u w:val="single"/>
        </w:rPr>
        <w:t>60m</w:t>
      </w:r>
      <w:r w:rsidRPr="002A017C">
        <w:rPr>
          <w:b/>
          <w:u w:val="single"/>
          <w:vertAlign w:val="superscript"/>
        </w:rPr>
        <w:t>2</w:t>
      </w:r>
      <w:r w:rsidRPr="002A017C">
        <w:rPr>
          <w:b/>
          <w:u w:val="single"/>
        </w:rPr>
        <w:t>），</w:t>
      </w:r>
      <w:r w:rsidRPr="002A017C">
        <w:rPr>
          <w:rFonts w:hint="eastAsia"/>
          <w:b/>
          <w:u w:val="single"/>
        </w:rPr>
        <w:t>目前</w:t>
      </w:r>
      <w:r w:rsidRPr="002A017C">
        <w:rPr>
          <w:b/>
          <w:u w:val="single"/>
        </w:rPr>
        <w:t>固废储存间</w:t>
      </w:r>
      <w:r w:rsidRPr="002A017C">
        <w:rPr>
          <w:rFonts w:hint="eastAsia"/>
          <w:b/>
          <w:u w:val="single"/>
        </w:rPr>
        <w:t>剩余</w:t>
      </w:r>
      <w:r w:rsidRPr="002A017C">
        <w:rPr>
          <w:rFonts w:hint="eastAsia"/>
          <w:b/>
          <w:u w:val="single"/>
        </w:rPr>
        <w:t>20m</w:t>
      </w:r>
      <w:r w:rsidRPr="002A017C">
        <w:rPr>
          <w:rFonts w:hint="eastAsia"/>
          <w:b/>
          <w:u w:val="single"/>
          <w:vertAlign w:val="superscript"/>
        </w:rPr>
        <w:t>2</w:t>
      </w:r>
      <w:r w:rsidRPr="002A017C">
        <w:rPr>
          <w:rFonts w:hint="eastAsia"/>
          <w:b/>
          <w:u w:val="single"/>
        </w:rPr>
        <w:t>，能满足本项目暂存要求，现有</w:t>
      </w:r>
      <w:r w:rsidRPr="002A017C">
        <w:rPr>
          <w:b/>
          <w:u w:val="single"/>
        </w:rPr>
        <w:t>固废储存间</w:t>
      </w:r>
      <w:r w:rsidRPr="002A017C">
        <w:rPr>
          <w:rFonts w:hint="eastAsia"/>
          <w:b/>
          <w:u w:val="single"/>
        </w:rPr>
        <w:t>已做水泥防渗处理，且为封闭</w:t>
      </w:r>
      <w:r w:rsidRPr="002A017C">
        <w:rPr>
          <w:b/>
          <w:u w:val="single"/>
        </w:rPr>
        <w:t>储存间</w:t>
      </w:r>
      <w:r w:rsidRPr="002A017C">
        <w:rPr>
          <w:rFonts w:hint="eastAsia"/>
          <w:b/>
          <w:u w:val="single"/>
        </w:rPr>
        <w:t>，满足《一般工业固体废物贮存和填埋污染控制标准》（</w:t>
      </w:r>
      <w:r w:rsidRPr="002A017C">
        <w:rPr>
          <w:rFonts w:hint="eastAsia"/>
          <w:b/>
          <w:u w:val="single"/>
        </w:rPr>
        <w:t>GB18599-2020</w:t>
      </w:r>
      <w:r w:rsidRPr="002A017C">
        <w:rPr>
          <w:rFonts w:hint="eastAsia"/>
          <w:b/>
          <w:u w:val="single"/>
        </w:rPr>
        <w:t>）中的“防渗漏、防雨淋、防扬尘”相关要求。</w:t>
      </w:r>
    </w:p>
    <w:p w:rsidR="00EE56C0" w:rsidRDefault="000F36A1" w:rsidP="002A017C">
      <w:pPr>
        <w:ind w:firstLine="482"/>
      </w:pPr>
      <w:r w:rsidRPr="002A017C">
        <w:rPr>
          <w:b/>
          <w:u w:val="single"/>
        </w:rPr>
        <w:t>厂区</w:t>
      </w:r>
      <w:r w:rsidRPr="002A017C">
        <w:rPr>
          <w:rFonts w:hint="eastAsia"/>
          <w:b/>
          <w:u w:val="single"/>
        </w:rPr>
        <w:t>已建设两座</w:t>
      </w:r>
      <w:r w:rsidRPr="002A017C">
        <w:rPr>
          <w:b/>
          <w:u w:val="single"/>
        </w:rPr>
        <w:t>危废暂存间</w:t>
      </w:r>
      <w:r w:rsidRPr="002A017C">
        <w:rPr>
          <w:rFonts w:hint="eastAsia"/>
          <w:b/>
          <w:u w:val="single"/>
        </w:rPr>
        <w:t>，分别为</w:t>
      </w:r>
      <w:r w:rsidRPr="002A017C">
        <w:rPr>
          <w:rFonts w:hint="eastAsia"/>
          <w:b/>
          <w:u w:val="single"/>
        </w:rPr>
        <w:t>1#</w:t>
      </w:r>
      <w:r w:rsidRPr="002A017C">
        <w:rPr>
          <w:b/>
          <w:u w:val="single"/>
        </w:rPr>
        <w:t>危废间</w:t>
      </w:r>
      <w:r w:rsidRPr="002A017C">
        <w:rPr>
          <w:rFonts w:hint="eastAsia"/>
          <w:b/>
          <w:u w:val="single"/>
        </w:rPr>
        <w:t>（</w:t>
      </w:r>
      <w:r w:rsidRPr="002A017C">
        <w:rPr>
          <w:rFonts w:hint="eastAsia"/>
          <w:b/>
          <w:u w:val="single"/>
        </w:rPr>
        <w:t>27</w:t>
      </w:r>
      <w:r w:rsidRPr="002A017C">
        <w:rPr>
          <w:b/>
          <w:u w:val="single"/>
        </w:rPr>
        <w:t>m</w:t>
      </w:r>
      <w:r w:rsidRPr="002A017C">
        <w:rPr>
          <w:b/>
          <w:u w:val="single"/>
          <w:vertAlign w:val="superscript"/>
        </w:rPr>
        <w:t>2</w:t>
      </w:r>
      <w:r w:rsidRPr="002A017C">
        <w:rPr>
          <w:rFonts w:hint="eastAsia"/>
          <w:b/>
          <w:u w:val="single"/>
        </w:rPr>
        <w:t>）、</w:t>
      </w:r>
      <w:r w:rsidRPr="002A017C">
        <w:rPr>
          <w:rFonts w:hint="eastAsia"/>
          <w:b/>
          <w:u w:val="single"/>
        </w:rPr>
        <w:t>2#</w:t>
      </w:r>
      <w:r w:rsidRPr="002A017C">
        <w:rPr>
          <w:b/>
          <w:u w:val="single"/>
        </w:rPr>
        <w:t>危废间</w:t>
      </w:r>
      <w:r w:rsidRPr="002A017C">
        <w:rPr>
          <w:rFonts w:hint="eastAsia"/>
          <w:b/>
          <w:u w:val="single"/>
        </w:rPr>
        <w:t>（</w:t>
      </w:r>
      <w:r w:rsidRPr="002A017C">
        <w:rPr>
          <w:rFonts w:hint="eastAsia"/>
          <w:b/>
          <w:u w:val="single"/>
        </w:rPr>
        <w:t>33</w:t>
      </w:r>
      <w:r w:rsidRPr="002A017C">
        <w:rPr>
          <w:b/>
          <w:u w:val="single"/>
        </w:rPr>
        <w:t>m</w:t>
      </w:r>
      <w:r w:rsidRPr="002A017C">
        <w:rPr>
          <w:b/>
          <w:u w:val="single"/>
          <w:vertAlign w:val="superscript"/>
        </w:rPr>
        <w:t>2</w:t>
      </w:r>
      <w:r w:rsidRPr="002A017C">
        <w:rPr>
          <w:rFonts w:hint="eastAsia"/>
          <w:b/>
          <w:u w:val="single"/>
        </w:rPr>
        <w:t>）</w:t>
      </w:r>
      <w:r w:rsidR="002A017C" w:rsidRPr="002A017C">
        <w:rPr>
          <w:rFonts w:hint="eastAsia"/>
          <w:b/>
          <w:u w:val="single"/>
        </w:rPr>
        <w:t>，目前</w:t>
      </w:r>
      <w:r w:rsidR="002A017C" w:rsidRPr="002A017C">
        <w:rPr>
          <w:b/>
          <w:u w:val="single"/>
        </w:rPr>
        <w:t>固废储存间</w:t>
      </w:r>
      <w:r w:rsidR="002A017C" w:rsidRPr="002A017C">
        <w:rPr>
          <w:rFonts w:hint="eastAsia"/>
          <w:b/>
          <w:u w:val="single"/>
        </w:rPr>
        <w:t>剩余面积为</w:t>
      </w:r>
      <w:r w:rsidR="002A017C" w:rsidRPr="002A017C">
        <w:rPr>
          <w:rFonts w:hint="eastAsia"/>
          <w:b/>
          <w:u w:val="single"/>
        </w:rPr>
        <w:t>1#</w:t>
      </w:r>
      <w:r w:rsidR="002A017C" w:rsidRPr="002A017C">
        <w:rPr>
          <w:b/>
          <w:u w:val="single"/>
        </w:rPr>
        <w:t>危废间</w:t>
      </w:r>
      <w:r w:rsidR="002A017C" w:rsidRPr="002A017C">
        <w:rPr>
          <w:rFonts w:hint="eastAsia"/>
          <w:b/>
          <w:u w:val="single"/>
        </w:rPr>
        <w:t>（</w:t>
      </w:r>
      <w:r w:rsidR="002A017C" w:rsidRPr="002A017C">
        <w:rPr>
          <w:rFonts w:hint="eastAsia"/>
          <w:b/>
          <w:u w:val="single"/>
        </w:rPr>
        <w:t>19</w:t>
      </w:r>
      <w:r w:rsidR="002A017C" w:rsidRPr="002A017C">
        <w:rPr>
          <w:b/>
          <w:u w:val="single"/>
        </w:rPr>
        <w:t>m</w:t>
      </w:r>
      <w:r w:rsidR="002A017C" w:rsidRPr="002A017C">
        <w:rPr>
          <w:b/>
          <w:u w:val="single"/>
          <w:vertAlign w:val="superscript"/>
        </w:rPr>
        <w:t>2</w:t>
      </w:r>
      <w:r w:rsidR="002A017C" w:rsidRPr="002A017C">
        <w:rPr>
          <w:rFonts w:hint="eastAsia"/>
          <w:b/>
          <w:u w:val="single"/>
        </w:rPr>
        <w:t>）、</w:t>
      </w:r>
      <w:r w:rsidR="002A017C" w:rsidRPr="002A017C">
        <w:rPr>
          <w:rFonts w:hint="eastAsia"/>
          <w:b/>
          <w:u w:val="single"/>
        </w:rPr>
        <w:t>2#</w:t>
      </w:r>
      <w:r w:rsidR="002A017C" w:rsidRPr="002A017C">
        <w:rPr>
          <w:b/>
          <w:u w:val="single"/>
        </w:rPr>
        <w:t>危废间</w:t>
      </w:r>
      <w:r w:rsidR="002A017C" w:rsidRPr="002A017C">
        <w:rPr>
          <w:rFonts w:hint="eastAsia"/>
          <w:b/>
          <w:u w:val="single"/>
        </w:rPr>
        <w:t>（</w:t>
      </w:r>
      <w:r w:rsidR="002A017C" w:rsidRPr="002A017C">
        <w:rPr>
          <w:rFonts w:hint="eastAsia"/>
          <w:b/>
          <w:u w:val="single"/>
        </w:rPr>
        <w:t>23</w:t>
      </w:r>
      <w:r w:rsidR="002A017C" w:rsidRPr="002A017C">
        <w:rPr>
          <w:b/>
          <w:u w:val="single"/>
        </w:rPr>
        <w:t>m</w:t>
      </w:r>
      <w:r w:rsidR="002A017C" w:rsidRPr="002A017C">
        <w:rPr>
          <w:b/>
          <w:u w:val="single"/>
          <w:vertAlign w:val="superscript"/>
        </w:rPr>
        <w:t>2</w:t>
      </w:r>
      <w:r w:rsidR="002A017C" w:rsidRPr="002A017C">
        <w:rPr>
          <w:rFonts w:hint="eastAsia"/>
          <w:b/>
          <w:u w:val="single"/>
        </w:rPr>
        <w:t>）</w:t>
      </w:r>
      <w:r w:rsidRPr="002A017C">
        <w:rPr>
          <w:b/>
          <w:u w:val="single"/>
        </w:rPr>
        <w:t>，</w:t>
      </w:r>
      <w:r w:rsidRPr="00E852EB">
        <w:rPr>
          <w:rFonts w:hint="eastAsia"/>
          <w:b/>
          <w:u w:val="single"/>
        </w:rPr>
        <w:t>两座</w:t>
      </w:r>
      <w:r w:rsidRPr="00E852EB">
        <w:rPr>
          <w:b/>
          <w:u w:val="single"/>
        </w:rPr>
        <w:t>危废暂存间</w:t>
      </w:r>
      <w:r w:rsidRPr="00E852EB">
        <w:rPr>
          <w:rFonts w:hint="eastAsia"/>
          <w:b/>
          <w:u w:val="single"/>
        </w:rPr>
        <w:t>已根据危废种类及产生量划分独立区域，地面已铺环氧地坪漆进行防渗处理，</w:t>
      </w:r>
      <w:r w:rsidRPr="00E852EB">
        <w:rPr>
          <w:b/>
          <w:u w:val="single"/>
        </w:rPr>
        <w:t>防渗系数</w:t>
      </w:r>
      <w:r w:rsidRPr="00E852EB">
        <w:rPr>
          <w:rFonts w:hint="eastAsia"/>
          <w:b/>
          <w:u w:val="single"/>
        </w:rPr>
        <w:t>不大于</w:t>
      </w:r>
      <w:r w:rsidRPr="00E852EB">
        <w:rPr>
          <w:b/>
          <w:u w:val="single"/>
        </w:rPr>
        <w:t>1.0×10</w:t>
      </w:r>
      <w:r w:rsidRPr="00E852EB">
        <w:rPr>
          <w:b/>
          <w:u w:val="single"/>
          <w:vertAlign w:val="superscript"/>
        </w:rPr>
        <w:t>-10</w:t>
      </w:r>
      <w:r w:rsidRPr="00E852EB">
        <w:rPr>
          <w:b/>
          <w:u w:val="single"/>
        </w:rPr>
        <w:t>cm/s</w:t>
      </w:r>
      <w:r w:rsidRPr="00E852EB">
        <w:rPr>
          <w:rFonts w:hint="eastAsia"/>
          <w:b/>
          <w:u w:val="single"/>
        </w:rPr>
        <w:t>，并设置围堰、导流槽和收集池，危废间</w:t>
      </w:r>
      <w:r w:rsidRPr="00E852EB">
        <w:rPr>
          <w:rFonts w:hint="eastAsia"/>
          <w:b/>
          <w:szCs w:val="24"/>
          <w:u w:val="single"/>
        </w:rPr>
        <w:t>无阳光直射，且</w:t>
      </w:r>
      <w:r w:rsidRPr="00E852EB">
        <w:rPr>
          <w:rFonts w:hint="eastAsia"/>
          <w:b/>
          <w:u w:val="single"/>
        </w:rPr>
        <w:t>满足“防风、防雨、防渗、防晒”等《危险废物贮存污染控制标准》（</w:t>
      </w:r>
      <w:r w:rsidRPr="00E852EB">
        <w:rPr>
          <w:rFonts w:hint="eastAsia"/>
          <w:b/>
          <w:u w:val="single"/>
        </w:rPr>
        <w:t>GB18597-2001</w:t>
      </w:r>
      <w:r w:rsidRPr="00E852EB">
        <w:rPr>
          <w:rFonts w:hint="eastAsia"/>
          <w:b/>
          <w:u w:val="single"/>
        </w:rPr>
        <w:t>）及</w:t>
      </w:r>
      <w:r w:rsidRPr="00E852EB">
        <w:rPr>
          <w:rFonts w:hint="eastAsia"/>
          <w:b/>
          <w:u w:val="single"/>
        </w:rPr>
        <w:t>2013</w:t>
      </w:r>
      <w:r w:rsidRPr="00E852EB">
        <w:rPr>
          <w:rFonts w:hint="eastAsia"/>
          <w:b/>
          <w:u w:val="single"/>
        </w:rPr>
        <w:t>修改单对危险废物的暂存要求</w:t>
      </w:r>
      <w:r>
        <w:rPr>
          <w:rFonts w:hint="eastAsia"/>
        </w:rPr>
        <w:t>。</w:t>
      </w:r>
    </w:p>
    <w:p w:rsidR="00EE56C0" w:rsidRDefault="000F36A1">
      <w:pPr>
        <w:ind w:firstLine="480"/>
        <w:rPr>
          <w:szCs w:val="24"/>
        </w:rPr>
      </w:pPr>
      <w:r>
        <w:rPr>
          <w:rFonts w:hint="eastAsia"/>
        </w:rPr>
        <w:t>1#</w:t>
      </w:r>
      <w:r>
        <w:t>危废间</w:t>
      </w:r>
      <w:r>
        <w:rPr>
          <w:rFonts w:hint="eastAsia"/>
        </w:rPr>
        <w:t>储存桶装的</w:t>
      </w:r>
      <w:r>
        <w:t>含铜油泥</w:t>
      </w:r>
      <w:r>
        <w:rPr>
          <w:rFonts w:hint="eastAsia"/>
        </w:rPr>
        <w:t>、废拉丝油、催化剂等不易挥发的危险废物，</w:t>
      </w:r>
      <w:r>
        <w:rPr>
          <w:rFonts w:hint="eastAsia"/>
        </w:rPr>
        <w:lastRenderedPageBreak/>
        <w:t>2#</w:t>
      </w:r>
      <w:r>
        <w:t>危废间</w:t>
      </w:r>
      <w:r>
        <w:rPr>
          <w:rFonts w:hint="eastAsia"/>
        </w:rPr>
        <w:t>储存含涂料</w:t>
      </w:r>
      <w:r>
        <w:rPr>
          <w:rFonts w:hint="eastAsia"/>
        </w:rPr>
        <w:t>/</w:t>
      </w:r>
      <w:r>
        <w:rPr>
          <w:rFonts w:hint="eastAsia"/>
        </w:rPr>
        <w:t>油的废毛毡及废布、废活性炭、</w:t>
      </w:r>
      <w:r>
        <w:t>废</w:t>
      </w:r>
      <w:r>
        <w:rPr>
          <w:rFonts w:hint="eastAsia"/>
        </w:rPr>
        <w:t>沸石分子筛、漆料桶等易挥发的危险废物。</w:t>
      </w:r>
      <w:r>
        <w:rPr>
          <w:rFonts w:hint="eastAsia"/>
        </w:rPr>
        <w:t>2#</w:t>
      </w:r>
      <w:r>
        <w:t>危废间</w:t>
      </w:r>
      <w:r>
        <w:rPr>
          <w:rFonts w:hint="eastAsia"/>
        </w:rPr>
        <w:t>配套建设负压收集装置，危废间废气引入现有废气处理系统处理后排放。</w:t>
      </w:r>
      <w:r w:rsidRPr="00E852EB">
        <w:rPr>
          <w:rFonts w:hint="eastAsia"/>
          <w:b/>
          <w:szCs w:val="24"/>
          <w:u w:val="single"/>
        </w:rPr>
        <w:t>本项目含</w:t>
      </w:r>
      <w:r w:rsidRPr="00E852EB">
        <w:rPr>
          <w:rFonts w:hint="eastAsia"/>
          <w:b/>
          <w:szCs w:val="24"/>
          <w:u w:val="single"/>
        </w:rPr>
        <w:t>VOCs</w:t>
      </w:r>
      <w:r w:rsidRPr="00E852EB">
        <w:rPr>
          <w:rFonts w:hint="eastAsia"/>
          <w:b/>
          <w:szCs w:val="24"/>
          <w:u w:val="single"/>
        </w:rPr>
        <w:t>的危险废物已分类放置于贴有标识的容器内，加盖密封，并存放于无阳光直射的危废暂存间内，</w:t>
      </w:r>
      <w:r w:rsidRPr="00E852EB">
        <w:rPr>
          <w:rFonts w:hint="eastAsia"/>
          <w:b/>
          <w:u w:val="single"/>
        </w:rPr>
        <w:t>危废间满足“防风、防雨、防渗、防晒”等《危险废物贮存污染控制标准》（</w:t>
      </w:r>
      <w:r w:rsidRPr="00E852EB">
        <w:rPr>
          <w:b/>
          <w:u w:val="single"/>
        </w:rPr>
        <w:t>GB18597-2001</w:t>
      </w:r>
      <w:r w:rsidRPr="00E852EB">
        <w:rPr>
          <w:rFonts w:hint="eastAsia"/>
          <w:b/>
          <w:u w:val="single"/>
        </w:rPr>
        <w:t>及</w:t>
      </w:r>
      <w:r w:rsidRPr="00E852EB">
        <w:rPr>
          <w:b/>
          <w:u w:val="single"/>
        </w:rPr>
        <w:t>2013</w:t>
      </w:r>
      <w:r w:rsidRPr="00E852EB">
        <w:rPr>
          <w:rFonts w:hint="eastAsia"/>
          <w:b/>
          <w:u w:val="single"/>
        </w:rPr>
        <w:t>修改单）的要求。</w:t>
      </w:r>
      <w:r>
        <w:rPr>
          <w:rFonts w:hint="eastAsia"/>
        </w:rPr>
        <w:t>为了避免危险固废在厂区贮存过程中对环境的影响，评价提出各类固废按照要求全部装入密闭容器中后临时存放于危废暂存间内，</w:t>
      </w:r>
      <w:r>
        <w:t>定期送有</w:t>
      </w:r>
      <w:r>
        <w:rPr>
          <w:rFonts w:hint="eastAsia"/>
        </w:rPr>
        <w:t>相应</w:t>
      </w:r>
      <w:r>
        <w:t>危废</w:t>
      </w:r>
      <w:r>
        <w:rPr>
          <w:rFonts w:hint="eastAsia"/>
        </w:rPr>
        <w:t>处置</w:t>
      </w:r>
      <w:r>
        <w:t>资质的单位</w:t>
      </w:r>
      <w:r>
        <w:rPr>
          <w:rFonts w:hint="eastAsia"/>
        </w:rPr>
        <w:t>处置</w:t>
      </w:r>
      <w:r>
        <w:rPr>
          <w:rFonts w:hint="eastAsia"/>
          <w:spacing w:val="-2"/>
        </w:rPr>
        <w:t>；</w:t>
      </w:r>
      <w:r>
        <w:t>在危废的转移处置过程中，应严格按照《中华人民共和国固体废物污染环境防治法》和《危险废物转移联单管理办法》有关规定执行。</w:t>
      </w:r>
    </w:p>
    <w:p w:rsidR="00EE56C0" w:rsidRPr="002A017C" w:rsidRDefault="000F36A1" w:rsidP="002A017C">
      <w:pPr>
        <w:ind w:firstLine="482"/>
        <w:rPr>
          <w:b/>
          <w:u w:val="single"/>
        </w:rPr>
      </w:pPr>
      <w:r w:rsidRPr="002A017C">
        <w:rPr>
          <w:rFonts w:hint="eastAsia"/>
          <w:b/>
          <w:u w:val="single"/>
        </w:rPr>
        <w:t>现有工程危险废物已占用</w:t>
      </w:r>
      <w:r w:rsidRPr="002A017C">
        <w:rPr>
          <w:rFonts w:hint="eastAsia"/>
          <w:b/>
          <w:u w:val="single"/>
        </w:rPr>
        <w:t>30%</w:t>
      </w:r>
      <w:r w:rsidRPr="002A017C">
        <w:rPr>
          <w:rFonts w:hint="eastAsia"/>
          <w:b/>
          <w:u w:val="single"/>
        </w:rPr>
        <w:t>的面积，危废间剩余</w:t>
      </w:r>
      <w:r w:rsidRPr="002A017C">
        <w:rPr>
          <w:rFonts w:hint="eastAsia"/>
          <w:b/>
          <w:u w:val="single"/>
        </w:rPr>
        <w:t>70%</w:t>
      </w:r>
      <w:r w:rsidRPr="002A017C">
        <w:rPr>
          <w:rFonts w:hint="eastAsia"/>
          <w:b/>
          <w:u w:val="single"/>
        </w:rPr>
        <w:t>的面积，能满足本项目</w:t>
      </w:r>
      <w:r w:rsidR="002A017C">
        <w:rPr>
          <w:rFonts w:hint="eastAsia"/>
          <w:b/>
          <w:u w:val="single"/>
        </w:rPr>
        <w:t>一般固废、危险废物</w:t>
      </w:r>
      <w:r w:rsidRPr="002A017C">
        <w:rPr>
          <w:rFonts w:hint="eastAsia"/>
          <w:b/>
          <w:u w:val="single"/>
        </w:rPr>
        <w:t>暂存要求</w:t>
      </w:r>
      <w:r w:rsidRPr="002A017C">
        <w:rPr>
          <w:b/>
          <w:u w:val="single"/>
        </w:rPr>
        <w:t>。工程拟将其收集并在</w:t>
      </w:r>
      <w:r w:rsidRPr="002A017C">
        <w:rPr>
          <w:rFonts w:hint="eastAsia"/>
          <w:b/>
          <w:u w:val="single"/>
        </w:rPr>
        <w:t>现有</w:t>
      </w:r>
      <w:r w:rsidRPr="002A017C">
        <w:rPr>
          <w:b/>
          <w:u w:val="single"/>
        </w:rPr>
        <w:t>危废暂存间暂存后定期委托有资质单位进行安全处置</w:t>
      </w:r>
      <w:r w:rsidRPr="002A017C">
        <w:rPr>
          <w:rFonts w:hint="eastAsia"/>
          <w:b/>
          <w:u w:val="single"/>
        </w:rPr>
        <w:t>。</w:t>
      </w:r>
    </w:p>
    <w:p w:rsidR="00EE56C0" w:rsidRDefault="000F36A1">
      <w:pPr>
        <w:ind w:firstLine="480"/>
      </w:pPr>
      <w:r>
        <w:t>综上所述，项目固废均能实现综合利用和安全处置。</w:t>
      </w:r>
    </w:p>
    <w:p w:rsidR="00EE56C0" w:rsidRDefault="000F36A1">
      <w:pPr>
        <w:pStyle w:val="3"/>
        <w:spacing w:before="240" w:after="120"/>
      </w:pPr>
      <w:r>
        <w:rPr>
          <w:rFonts w:hint="eastAsia"/>
        </w:rPr>
        <w:t>3.7.5</w:t>
      </w:r>
      <w:r>
        <w:rPr>
          <w:rFonts w:hint="eastAsia"/>
        </w:rPr>
        <w:t>土壤</w:t>
      </w:r>
      <w:r>
        <w:rPr>
          <w:rFonts w:hint="eastAsia"/>
        </w:rPr>
        <w:t xml:space="preserve"> </w:t>
      </w:r>
    </w:p>
    <w:p w:rsidR="00EE56C0" w:rsidRDefault="000F36A1">
      <w:pPr>
        <w:ind w:firstLine="482"/>
        <w:rPr>
          <w:b/>
          <w:color w:val="FF0000"/>
          <w:u w:val="single"/>
        </w:rPr>
      </w:pPr>
      <w:r>
        <w:rPr>
          <w:b/>
          <w:u w:val="single"/>
        </w:rPr>
        <w:t>根据《环境影响评价技术导则</w:t>
      </w:r>
      <w:r>
        <w:rPr>
          <w:b/>
          <w:u w:val="single"/>
        </w:rPr>
        <w:t xml:space="preserve"> </w:t>
      </w:r>
      <w:r>
        <w:rPr>
          <w:b/>
          <w:u w:val="single"/>
        </w:rPr>
        <w:t>土壤环境（试行）》（</w:t>
      </w:r>
      <w:r>
        <w:rPr>
          <w:b/>
          <w:u w:val="single"/>
        </w:rPr>
        <w:t>HJ 964-2018</w:t>
      </w:r>
      <w:r>
        <w:rPr>
          <w:b/>
          <w:u w:val="single"/>
        </w:rPr>
        <w:t>）中的要求，</w:t>
      </w:r>
      <w:r>
        <w:rPr>
          <w:b/>
          <w:u w:val="single"/>
        </w:rPr>
        <w:t>“</w:t>
      </w:r>
      <w:r>
        <w:rPr>
          <w:b/>
          <w:u w:val="single"/>
        </w:rPr>
        <w:t>污染影响型建设项目，其评价工作等级为一级、二级的，预测方法可参见附录</w:t>
      </w:r>
      <w:r>
        <w:rPr>
          <w:b/>
          <w:u w:val="single"/>
        </w:rPr>
        <w:t>E</w:t>
      </w:r>
      <w:r>
        <w:rPr>
          <w:b/>
          <w:u w:val="single"/>
        </w:rPr>
        <w:t>或进行类比分析</w:t>
      </w:r>
      <w:r>
        <w:rPr>
          <w:b/>
          <w:u w:val="single"/>
        </w:rPr>
        <w:t>”</w:t>
      </w:r>
      <w:r>
        <w:rPr>
          <w:b/>
          <w:u w:val="single"/>
        </w:rPr>
        <w:t>。本次改建项目废气污染因子、废水种类和水质等均与现有工程一致，因此本次评价拟类比现有工程对土壤的影响程度确定改建项目生产对土壤环境的影响。</w:t>
      </w:r>
    </w:p>
    <w:p w:rsidR="00EE56C0" w:rsidRDefault="000F36A1">
      <w:pPr>
        <w:ind w:firstLine="482"/>
        <w:rPr>
          <w:b/>
          <w:u w:val="single"/>
        </w:rPr>
      </w:pPr>
      <w:r>
        <w:rPr>
          <w:b/>
          <w:u w:val="single"/>
        </w:rPr>
        <w:t>根据工程分析，本项目废气对周围土壤环境的影响较小，不会加剧土壤酸化或碱化程度的恶化；本项目土壤环境的影响类型为垂直入渗型，主要影响途径为废水处理系统发生泄漏导致污染物下渗进入土壤；影响源为</w:t>
      </w:r>
      <w:r>
        <w:rPr>
          <w:rFonts w:hint="eastAsia"/>
          <w:b/>
          <w:u w:val="single"/>
        </w:rPr>
        <w:t>化粪池</w:t>
      </w:r>
      <w:r>
        <w:rPr>
          <w:b/>
          <w:u w:val="single"/>
        </w:rPr>
        <w:t>。由于项目生产期间不涉及有毒有害物质的使用，因此本次评价不单独针对特定污染因子进行预测，仅定性分析影响程度。</w:t>
      </w:r>
    </w:p>
    <w:p w:rsidR="00EE56C0" w:rsidRDefault="000F36A1">
      <w:pPr>
        <w:ind w:firstLine="482"/>
        <w:rPr>
          <w:b/>
          <w:u w:val="single"/>
        </w:rPr>
      </w:pPr>
      <w:r>
        <w:rPr>
          <w:b/>
          <w:u w:val="single"/>
        </w:rPr>
        <w:lastRenderedPageBreak/>
        <w:t>本次改建工程废水</w:t>
      </w:r>
      <w:r>
        <w:rPr>
          <w:rFonts w:hint="eastAsia"/>
          <w:b/>
          <w:u w:val="single"/>
        </w:rPr>
        <w:t>生活污水、反渗透浓水</w:t>
      </w:r>
      <w:r>
        <w:rPr>
          <w:b/>
          <w:u w:val="single"/>
        </w:rPr>
        <w:t>，</w:t>
      </w:r>
      <w:r>
        <w:rPr>
          <w:rFonts w:hint="eastAsia"/>
          <w:b/>
          <w:u w:val="single"/>
        </w:rPr>
        <w:t>废水水质较为简单，同时</w:t>
      </w:r>
      <w:r>
        <w:rPr>
          <w:b/>
          <w:u w:val="single"/>
        </w:rPr>
        <w:t>与现有工程</w:t>
      </w:r>
      <w:r>
        <w:rPr>
          <w:rFonts w:hint="eastAsia"/>
          <w:b/>
          <w:u w:val="single"/>
        </w:rPr>
        <w:t>废水</w:t>
      </w:r>
      <w:r>
        <w:rPr>
          <w:b/>
          <w:u w:val="single"/>
        </w:rPr>
        <w:t>水质</w:t>
      </w:r>
      <w:r>
        <w:rPr>
          <w:rFonts w:hint="eastAsia"/>
          <w:b/>
          <w:u w:val="single"/>
        </w:rPr>
        <w:t>类似</w:t>
      </w:r>
      <w:r>
        <w:rPr>
          <w:b/>
          <w:u w:val="single"/>
        </w:rPr>
        <w:t>，且泄露影响土壤的途径完全一致，均为</w:t>
      </w:r>
      <w:r>
        <w:rPr>
          <w:rFonts w:hint="eastAsia"/>
          <w:b/>
          <w:u w:val="single"/>
        </w:rPr>
        <w:t>化粪池防渗层破损</w:t>
      </w:r>
      <w:r>
        <w:rPr>
          <w:b/>
          <w:u w:val="single"/>
        </w:rPr>
        <w:t>发生泄漏导致。因此改建后项目对土壤的影响与现有工程基本一致，因此具有可类比性型。</w:t>
      </w:r>
    </w:p>
    <w:p w:rsidR="00EE56C0" w:rsidRDefault="000F36A1">
      <w:pPr>
        <w:ind w:firstLine="482"/>
        <w:rPr>
          <w:b/>
          <w:color w:val="FF0000"/>
          <w:u w:val="single"/>
        </w:rPr>
      </w:pPr>
      <w:r>
        <w:rPr>
          <w:b/>
          <w:u w:val="single"/>
        </w:rPr>
        <w:t>根据评价期间河南永飞检测科技有限公司对厂区内及附近农田土壤取样点的监测数据，项目厂区各个监测因子均能够满足《土壤环境质量</w:t>
      </w:r>
      <w:r>
        <w:rPr>
          <w:b/>
          <w:u w:val="single"/>
        </w:rPr>
        <w:t>-</w:t>
      </w:r>
      <w:r>
        <w:rPr>
          <w:b/>
          <w:u w:val="single"/>
        </w:rPr>
        <w:t>建设用地土壤污染风险管控标准（试行）》（</w:t>
      </w:r>
      <w:r>
        <w:rPr>
          <w:b/>
          <w:u w:val="single"/>
        </w:rPr>
        <w:t>GB36600-2018</w:t>
      </w:r>
      <w:r>
        <w:rPr>
          <w:b/>
          <w:u w:val="single"/>
        </w:rPr>
        <w:t>）标准；厂区外农田监测因子均能够满足《土壤环境质量</w:t>
      </w:r>
      <w:r>
        <w:rPr>
          <w:b/>
          <w:u w:val="single"/>
        </w:rPr>
        <w:t>-</w:t>
      </w:r>
      <w:r>
        <w:rPr>
          <w:b/>
          <w:u w:val="single"/>
        </w:rPr>
        <w:t>农用地土壤污染风险管控标准（试行）》（</w:t>
      </w:r>
      <w:r>
        <w:rPr>
          <w:b/>
          <w:u w:val="single"/>
        </w:rPr>
        <w:t>GB15618-2018</w:t>
      </w:r>
      <w:r>
        <w:rPr>
          <w:b/>
          <w:u w:val="single"/>
        </w:rPr>
        <w:t>）中标准要求。项目区域土壤环境质量良好。</w:t>
      </w:r>
      <w:r w:rsidR="00E852EB">
        <w:rPr>
          <w:rFonts w:hint="eastAsia"/>
          <w:b/>
          <w:u w:val="single"/>
        </w:rPr>
        <w:t>河南华洋电工科技集团有限公司</w:t>
      </w:r>
      <w:r>
        <w:rPr>
          <w:b/>
          <w:u w:val="single"/>
        </w:rPr>
        <w:t>成立于</w:t>
      </w:r>
      <w:r w:rsidR="00E852EB">
        <w:rPr>
          <w:rFonts w:hint="eastAsia"/>
          <w:b/>
          <w:u w:val="single"/>
        </w:rPr>
        <w:t>1994</w:t>
      </w:r>
      <w:r>
        <w:rPr>
          <w:b/>
          <w:u w:val="single"/>
        </w:rPr>
        <w:t>年，近几年已经对厂区各项治理措施进行了升级改造，符合现有的环保要求。厂区内涉及可能污水渗漏的位置如污水处理站、危废暂存间等均按要求进行了硬化防渗处理，正常情况下不存在废水进入土壤中的可能。</w:t>
      </w:r>
    </w:p>
    <w:p w:rsidR="00EE56C0" w:rsidRDefault="000F36A1">
      <w:pPr>
        <w:ind w:firstLine="482"/>
        <w:rPr>
          <w:b/>
          <w:u w:val="single"/>
        </w:rPr>
      </w:pPr>
      <w:r>
        <w:rPr>
          <w:b/>
          <w:u w:val="single"/>
        </w:rPr>
        <w:t>目前</w:t>
      </w:r>
      <w:r>
        <w:rPr>
          <w:rFonts w:hint="eastAsia"/>
          <w:b/>
          <w:u w:val="single"/>
        </w:rPr>
        <w:t>河南华洋电工科技集团有限公司</w:t>
      </w:r>
      <w:r>
        <w:rPr>
          <w:b/>
          <w:u w:val="single"/>
        </w:rPr>
        <w:t>已经运行</w:t>
      </w:r>
      <w:r>
        <w:rPr>
          <w:rFonts w:hint="eastAsia"/>
          <w:b/>
          <w:u w:val="single"/>
        </w:rPr>
        <w:t>27</w:t>
      </w:r>
      <w:r>
        <w:rPr>
          <w:b/>
          <w:u w:val="single"/>
        </w:rPr>
        <w:t>年，厂区土壤和周边农田土壤均能够满足相应的土壤环境要求，厂区土壤与厂界外农田土壤对比，各项因子差别不大，均在合理范围内，说明厂区土壤未受污染。因此评价认为，改建项目完成后，项目生产对项目厂区土壤和厂界外土壤影响很小，基本不会改变土壤的背景值。</w:t>
      </w:r>
    </w:p>
    <w:p w:rsidR="00EE56C0" w:rsidRDefault="000F36A1">
      <w:pPr>
        <w:ind w:firstLine="482"/>
        <w:rPr>
          <w:b/>
          <w:u w:val="single"/>
        </w:rPr>
      </w:pPr>
      <w:r>
        <w:rPr>
          <w:b/>
          <w:snapToGrid w:val="0"/>
          <w:u w:val="single"/>
        </w:rPr>
        <w:t>综上所述，本项目建成后对土壤环境影响较小，本项目建设可行</w:t>
      </w:r>
      <w:r>
        <w:rPr>
          <w:rFonts w:hint="eastAsia"/>
          <w:b/>
          <w:snapToGrid w:val="0"/>
          <w:u w:val="single"/>
        </w:rPr>
        <w:t>。</w:t>
      </w:r>
    </w:p>
    <w:p w:rsidR="00EE56C0" w:rsidRPr="007659B4" w:rsidRDefault="000F36A1">
      <w:pPr>
        <w:pStyle w:val="2"/>
        <w:ind w:firstLine="301"/>
        <w:rPr>
          <w:u w:val="single"/>
        </w:rPr>
      </w:pPr>
      <w:bookmarkStart w:id="201" w:name="_Toc25400907"/>
      <w:r w:rsidRPr="007659B4">
        <w:rPr>
          <w:rFonts w:hint="eastAsia"/>
          <w:u w:val="single"/>
        </w:rPr>
        <w:t>3.8</w:t>
      </w:r>
      <w:r w:rsidRPr="007659B4">
        <w:rPr>
          <w:rFonts w:hint="eastAsia"/>
          <w:u w:val="single"/>
        </w:rPr>
        <w:t>项目交通移动源分析</w:t>
      </w:r>
    </w:p>
    <w:p w:rsidR="00EE56C0" w:rsidRDefault="000F36A1">
      <w:pPr>
        <w:pStyle w:val="CharChar"/>
        <w:spacing w:line="520" w:lineRule="exact"/>
        <w:ind w:firstLineChars="200" w:firstLine="480"/>
        <w:rPr>
          <w:bCs/>
          <w:iCs/>
          <w:sz w:val="24"/>
          <w:szCs w:val="24"/>
        </w:rPr>
      </w:pPr>
      <w:r>
        <w:rPr>
          <w:rFonts w:hint="eastAsia"/>
          <w:bCs/>
          <w:iCs/>
          <w:sz w:val="24"/>
          <w:szCs w:val="24"/>
        </w:rPr>
        <w:t>根据《环境影响评价技术导则大气环境》（</w:t>
      </w:r>
      <w:r>
        <w:rPr>
          <w:bCs/>
          <w:iCs/>
          <w:sz w:val="24"/>
          <w:szCs w:val="24"/>
        </w:rPr>
        <w:t>HJ2.2-2018</w:t>
      </w:r>
      <w:r>
        <w:rPr>
          <w:rFonts w:hint="eastAsia"/>
          <w:bCs/>
          <w:iCs/>
          <w:sz w:val="24"/>
          <w:szCs w:val="24"/>
        </w:rPr>
        <w:t>）中的要求，“对于编制报告书的工业项目，分析调查受本项目物料及产品运输影响新增的交通运输移动源，包括运输方式、新增交通流量、排放污染物及排放量”。本项目生产期间主要原料物料及产品年需运输量、运输方式及运输距离见下表：</w:t>
      </w:r>
    </w:p>
    <w:p w:rsidR="00212B58" w:rsidRDefault="00212B58">
      <w:pPr>
        <w:pStyle w:val="CharChar"/>
        <w:spacing w:line="520" w:lineRule="exact"/>
        <w:ind w:firstLineChars="200" w:firstLine="480"/>
        <w:rPr>
          <w:bCs/>
          <w:iCs/>
          <w:sz w:val="24"/>
          <w:szCs w:val="24"/>
        </w:rPr>
      </w:pPr>
    </w:p>
    <w:p w:rsidR="00212B58" w:rsidRDefault="00212B58">
      <w:pPr>
        <w:pStyle w:val="CharChar"/>
        <w:spacing w:line="520" w:lineRule="exact"/>
        <w:ind w:firstLineChars="200" w:firstLine="480"/>
        <w:rPr>
          <w:bCs/>
          <w:iCs/>
          <w:sz w:val="24"/>
          <w:szCs w:val="24"/>
        </w:rPr>
      </w:pPr>
    </w:p>
    <w:p w:rsidR="00EE56C0" w:rsidRPr="00212B58" w:rsidRDefault="000F36A1" w:rsidP="00212B58">
      <w:pPr>
        <w:adjustRightInd/>
        <w:snapToGrid/>
        <w:spacing w:line="500" w:lineRule="exact"/>
        <w:ind w:firstLineChars="150" w:firstLine="421"/>
        <w:textAlignment w:val="auto"/>
        <w:rPr>
          <w:rFonts w:asciiTheme="majorEastAsia" w:eastAsiaTheme="majorEastAsia" w:hAnsiTheme="majorEastAsia"/>
          <w:b/>
          <w:bCs/>
          <w:iCs/>
          <w:spacing w:val="20"/>
          <w:szCs w:val="24"/>
        </w:rPr>
      </w:pPr>
      <w:r w:rsidRPr="00212B58">
        <w:rPr>
          <w:rFonts w:asciiTheme="majorEastAsia" w:eastAsiaTheme="majorEastAsia" w:hAnsiTheme="majorEastAsia" w:hint="eastAsia"/>
          <w:b/>
          <w:bCs/>
          <w:iCs/>
          <w:spacing w:val="20"/>
          <w:szCs w:val="24"/>
        </w:rPr>
        <w:lastRenderedPageBreak/>
        <w:t>表3</w:t>
      </w:r>
      <w:r w:rsidRPr="00212B58">
        <w:rPr>
          <w:rFonts w:asciiTheme="majorEastAsia" w:eastAsiaTheme="majorEastAsia" w:hAnsiTheme="majorEastAsia"/>
          <w:b/>
          <w:bCs/>
          <w:iCs/>
          <w:spacing w:val="20"/>
          <w:szCs w:val="24"/>
        </w:rPr>
        <w:t>-</w:t>
      </w:r>
      <w:r w:rsidRPr="00212B58">
        <w:rPr>
          <w:rFonts w:asciiTheme="majorEastAsia" w:eastAsiaTheme="majorEastAsia" w:hAnsiTheme="majorEastAsia" w:hint="eastAsia"/>
          <w:b/>
          <w:bCs/>
          <w:iCs/>
          <w:spacing w:val="20"/>
          <w:szCs w:val="24"/>
        </w:rPr>
        <w:t>6</w:t>
      </w:r>
      <w:r w:rsidR="00212B58" w:rsidRPr="00212B58">
        <w:rPr>
          <w:rFonts w:asciiTheme="majorEastAsia" w:eastAsiaTheme="majorEastAsia" w:hAnsiTheme="majorEastAsia" w:hint="eastAsia"/>
          <w:b/>
          <w:bCs/>
          <w:iCs/>
          <w:spacing w:val="20"/>
          <w:szCs w:val="24"/>
        </w:rPr>
        <w:t>6</w:t>
      </w:r>
      <w:r w:rsidRPr="00212B58">
        <w:rPr>
          <w:rFonts w:asciiTheme="majorEastAsia" w:eastAsiaTheme="majorEastAsia" w:hAnsiTheme="majorEastAsia" w:hint="eastAsia"/>
          <w:b/>
          <w:bCs/>
          <w:iCs/>
          <w:spacing w:val="20"/>
          <w:szCs w:val="24"/>
        </w:rPr>
        <w:t xml:space="preserve">     项目原料物料及产品运输情况</w:t>
      </w:r>
    </w:p>
    <w:tbl>
      <w:tblPr>
        <w:tblW w:w="8895"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641"/>
        <w:gridCol w:w="1636"/>
        <w:gridCol w:w="1562"/>
        <w:gridCol w:w="1199"/>
        <w:gridCol w:w="733"/>
        <w:gridCol w:w="1133"/>
        <w:gridCol w:w="963"/>
        <w:gridCol w:w="1028"/>
      </w:tblGrid>
      <w:tr w:rsidR="00EE56C0" w:rsidRPr="00732772">
        <w:trPr>
          <w:cantSplit/>
          <w:trHeight w:val="455"/>
          <w:tblHeader/>
          <w:jc w:val="center"/>
        </w:trPr>
        <w:tc>
          <w:tcPr>
            <w:tcW w:w="641" w:type="dxa"/>
            <w:tcBorders>
              <w:top w:val="single" w:sz="6" w:space="0" w:color="auto"/>
              <w:left w:val="single" w:sz="6" w:space="0" w:color="auto"/>
              <w:bottom w:val="single" w:sz="4" w:space="0" w:color="auto"/>
              <w:right w:val="single" w:sz="6" w:space="0" w:color="auto"/>
            </w:tcBorders>
            <w:vAlign w:val="center"/>
          </w:tcPr>
          <w:p w:rsidR="00EE56C0" w:rsidRPr="00732772" w:rsidRDefault="000F36A1">
            <w:pPr>
              <w:adjustRightInd/>
              <w:snapToGrid/>
              <w:spacing w:line="240" w:lineRule="auto"/>
              <w:ind w:firstLineChars="0" w:firstLine="0"/>
              <w:jc w:val="center"/>
              <w:textAlignment w:val="auto"/>
              <w:rPr>
                <w:b/>
                <w:kern w:val="2"/>
                <w:sz w:val="21"/>
                <w:szCs w:val="21"/>
              </w:rPr>
            </w:pPr>
            <w:r w:rsidRPr="00732772">
              <w:rPr>
                <w:rFonts w:hint="eastAsia"/>
                <w:b/>
                <w:kern w:val="2"/>
                <w:sz w:val="21"/>
                <w:szCs w:val="21"/>
              </w:rPr>
              <w:t>序号</w:t>
            </w:r>
          </w:p>
        </w:tc>
        <w:tc>
          <w:tcPr>
            <w:tcW w:w="1636" w:type="dxa"/>
            <w:tcBorders>
              <w:top w:val="single" w:sz="6" w:space="0" w:color="auto"/>
              <w:left w:val="single" w:sz="6" w:space="0" w:color="auto"/>
              <w:bottom w:val="single" w:sz="4" w:space="0" w:color="auto"/>
              <w:right w:val="single" w:sz="4" w:space="0" w:color="auto"/>
            </w:tcBorders>
            <w:vAlign w:val="center"/>
          </w:tcPr>
          <w:p w:rsidR="00EE56C0" w:rsidRPr="00732772" w:rsidRDefault="000F36A1">
            <w:pPr>
              <w:adjustRightInd/>
              <w:snapToGrid/>
              <w:spacing w:line="240" w:lineRule="auto"/>
              <w:ind w:firstLineChars="0" w:firstLine="0"/>
              <w:jc w:val="center"/>
              <w:textAlignment w:val="auto"/>
              <w:rPr>
                <w:b/>
                <w:kern w:val="2"/>
                <w:sz w:val="21"/>
                <w:szCs w:val="21"/>
              </w:rPr>
            </w:pPr>
            <w:r w:rsidRPr="00732772">
              <w:rPr>
                <w:rFonts w:hint="eastAsia"/>
                <w:b/>
                <w:kern w:val="2"/>
                <w:sz w:val="21"/>
                <w:szCs w:val="21"/>
              </w:rPr>
              <w:t>名称</w:t>
            </w:r>
          </w:p>
        </w:tc>
        <w:tc>
          <w:tcPr>
            <w:tcW w:w="1562" w:type="dxa"/>
            <w:tcBorders>
              <w:top w:val="single" w:sz="6" w:space="0" w:color="auto"/>
              <w:left w:val="single" w:sz="4" w:space="0" w:color="auto"/>
              <w:bottom w:val="single" w:sz="4" w:space="0" w:color="auto"/>
              <w:right w:val="single" w:sz="6" w:space="0" w:color="auto"/>
            </w:tcBorders>
            <w:vAlign w:val="center"/>
          </w:tcPr>
          <w:p w:rsidR="00EE56C0" w:rsidRPr="00732772" w:rsidRDefault="000F36A1">
            <w:pPr>
              <w:adjustRightInd/>
              <w:snapToGrid/>
              <w:spacing w:line="240" w:lineRule="auto"/>
              <w:ind w:firstLineChars="0" w:firstLine="0"/>
              <w:jc w:val="center"/>
              <w:textAlignment w:val="auto"/>
              <w:rPr>
                <w:b/>
                <w:kern w:val="2"/>
                <w:sz w:val="21"/>
                <w:szCs w:val="21"/>
              </w:rPr>
            </w:pPr>
            <w:r w:rsidRPr="00732772">
              <w:rPr>
                <w:rFonts w:hint="eastAsia"/>
                <w:b/>
                <w:kern w:val="2"/>
                <w:sz w:val="21"/>
                <w:szCs w:val="21"/>
              </w:rPr>
              <w:t>来源</w:t>
            </w:r>
          </w:p>
        </w:tc>
        <w:tc>
          <w:tcPr>
            <w:tcW w:w="1199" w:type="dxa"/>
            <w:tcBorders>
              <w:top w:val="single" w:sz="6" w:space="0" w:color="auto"/>
              <w:left w:val="single" w:sz="6" w:space="0" w:color="auto"/>
              <w:bottom w:val="single" w:sz="4" w:space="0" w:color="auto"/>
              <w:right w:val="single" w:sz="4" w:space="0" w:color="auto"/>
            </w:tcBorders>
            <w:vAlign w:val="center"/>
          </w:tcPr>
          <w:p w:rsidR="00EE56C0" w:rsidRPr="00732772" w:rsidRDefault="000F36A1">
            <w:pPr>
              <w:adjustRightInd/>
              <w:snapToGrid/>
              <w:spacing w:line="240" w:lineRule="auto"/>
              <w:ind w:firstLineChars="0" w:firstLine="0"/>
              <w:jc w:val="center"/>
              <w:textAlignment w:val="auto"/>
              <w:rPr>
                <w:b/>
                <w:kern w:val="2"/>
                <w:sz w:val="21"/>
                <w:szCs w:val="21"/>
              </w:rPr>
            </w:pPr>
            <w:r w:rsidRPr="00732772">
              <w:rPr>
                <w:rFonts w:hint="eastAsia"/>
                <w:b/>
                <w:kern w:val="2"/>
                <w:sz w:val="21"/>
                <w:szCs w:val="21"/>
              </w:rPr>
              <w:t>年运</w:t>
            </w:r>
          </w:p>
          <w:p w:rsidR="00EE56C0" w:rsidRPr="00732772" w:rsidRDefault="000F36A1">
            <w:pPr>
              <w:adjustRightInd/>
              <w:snapToGrid/>
              <w:spacing w:line="240" w:lineRule="auto"/>
              <w:ind w:firstLineChars="0" w:firstLine="0"/>
              <w:jc w:val="center"/>
              <w:textAlignment w:val="auto"/>
              <w:rPr>
                <w:b/>
                <w:kern w:val="2"/>
                <w:sz w:val="21"/>
                <w:szCs w:val="21"/>
              </w:rPr>
            </w:pPr>
            <w:r w:rsidRPr="00732772">
              <w:rPr>
                <w:rFonts w:hint="eastAsia"/>
                <w:b/>
                <w:kern w:val="2"/>
                <w:sz w:val="21"/>
                <w:szCs w:val="21"/>
              </w:rPr>
              <w:t>输量</w:t>
            </w:r>
            <w:r w:rsidRPr="00732772">
              <w:rPr>
                <w:b/>
                <w:kern w:val="2"/>
                <w:sz w:val="21"/>
                <w:szCs w:val="21"/>
              </w:rPr>
              <w:t>t/a</w:t>
            </w:r>
          </w:p>
        </w:tc>
        <w:tc>
          <w:tcPr>
            <w:tcW w:w="733" w:type="dxa"/>
            <w:tcBorders>
              <w:top w:val="single" w:sz="6" w:space="0" w:color="auto"/>
              <w:left w:val="single" w:sz="4" w:space="0" w:color="auto"/>
              <w:bottom w:val="single" w:sz="4" w:space="0" w:color="auto"/>
              <w:right w:val="single" w:sz="4" w:space="0" w:color="auto"/>
            </w:tcBorders>
            <w:vAlign w:val="center"/>
          </w:tcPr>
          <w:p w:rsidR="00EE56C0" w:rsidRPr="00732772" w:rsidRDefault="000F36A1">
            <w:pPr>
              <w:adjustRightInd/>
              <w:snapToGrid/>
              <w:spacing w:line="240" w:lineRule="auto"/>
              <w:ind w:firstLineChars="0" w:firstLine="0"/>
              <w:jc w:val="center"/>
              <w:textAlignment w:val="auto"/>
              <w:rPr>
                <w:b/>
                <w:kern w:val="2"/>
                <w:sz w:val="21"/>
                <w:szCs w:val="21"/>
              </w:rPr>
            </w:pPr>
            <w:r w:rsidRPr="00732772">
              <w:rPr>
                <w:rFonts w:hint="eastAsia"/>
                <w:b/>
                <w:kern w:val="2"/>
                <w:sz w:val="21"/>
                <w:szCs w:val="21"/>
              </w:rPr>
              <w:t>运输方式</w:t>
            </w:r>
          </w:p>
        </w:tc>
        <w:tc>
          <w:tcPr>
            <w:tcW w:w="1133" w:type="dxa"/>
            <w:tcBorders>
              <w:top w:val="single" w:sz="6" w:space="0" w:color="auto"/>
              <w:left w:val="single" w:sz="4" w:space="0" w:color="auto"/>
              <w:bottom w:val="single" w:sz="4" w:space="0" w:color="auto"/>
              <w:right w:val="single" w:sz="6" w:space="0" w:color="auto"/>
            </w:tcBorders>
            <w:vAlign w:val="center"/>
          </w:tcPr>
          <w:p w:rsidR="00EE56C0" w:rsidRPr="00732772" w:rsidRDefault="000F36A1">
            <w:pPr>
              <w:adjustRightInd/>
              <w:snapToGrid/>
              <w:spacing w:line="240" w:lineRule="auto"/>
              <w:ind w:firstLineChars="0" w:firstLine="0"/>
              <w:jc w:val="center"/>
              <w:textAlignment w:val="auto"/>
              <w:rPr>
                <w:b/>
                <w:kern w:val="2"/>
                <w:sz w:val="21"/>
                <w:szCs w:val="21"/>
              </w:rPr>
            </w:pPr>
            <w:r w:rsidRPr="00732772">
              <w:rPr>
                <w:rFonts w:hint="eastAsia"/>
                <w:b/>
                <w:kern w:val="2"/>
                <w:sz w:val="21"/>
                <w:szCs w:val="21"/>
              </w:rPr>
              <w:t>每辆车的运输量</w:t>
            </w:r>
            <w:r w:rsidRPr="00732772">
              <w:rPr>
                <w:b/>
                <w:kern w:val="2"/>
                <w:sz w:val="21"/>
                <w:szCs w:val="21"/>
              </w:rPr>
              <w:t>t/</w:t>
            </w:r>
            <w:r w:rsidRPr="00732772">
              <w:rPr>
                <w:rFonts w:hint="eastAsia"/>
                <w:b/>
                <w:kern w:val="2"/>
                <w:sz w:val="21"/>
                <w:szCs w:val="21"/>
              </w:rPr>
              <w:t>次</w:t>
            </w:r>
          </w:p>
        </w:tc>
        <w:tc>
          <w:tcPr>
            <w:tcW w:w="963" w:type="dxa"/>
            <w:tcBorders>
              <w:top w:val="single" w:sz="6" w:space="0" w:color="auto"/>
              <w:left w:val="single" w:sz="6" w:space="0" w:color="auto"/>
              <w:bottom w:val="single" w:sz="4" w:space="0" w:color="auto"/>
              <w:right w:val="single" w:sz="6" w:space="0" w:color="auto"/>
            </w:tcBorders>
            <w:vAlign w:val="center"/>
          </w:tcPr>
          <w:p w:rsidR="00EE56C0" w:rsidRPr="00732772" w:rsidRDefault="000F36A1">
            <w:pPr>
              <w:adjustRightInd/>
              <w:snapToGrid/>
              <w:spacing w:line="240" w:lineRule="auto"/>
              <w:ind w:firstLineChars="0" w:firstLine="0"/>
              <w:jc w:val="center"/>
              <w:textAlignment w:val="auto"/>
              <w:rPr>
                <w:b/>
                <w:kern w:val="2"/>
                <w:sz w:val="21"/>
                <w:szCs w:val="21"/>
              </w:rPr>
            </w:pPr>
            <w:r w:rsidRPr="00732772">
              <w:rPr>
                <w:rFonts w:hint="eastAsia"/>
                <w:b/>
                <w:kern w:val="2"/>
                <w:sz w:val="21"/>
                <w:szCs w:val="21"/>
              </w:rPr>
              <w:t>运输</w:t>
            </w:r>
          </w:p>
          <w:p w:rsidR="00EE56C0" w:rsidRPr="00732772" w:rsidRDefault="000F36A1">
            <w:pPr>
              <w:adjustRightInd/>
              <w:snapToGrid/>
              <w:spacing w:line="240" w:lineRule="auto"/>
              <w:ind w:firstLineChars="0" w:firstLine="0"/>
              <w:jc w:val="center"/>
              <w:textAlignment w:val="auto"/>
              <w:rPr>
                <w:b/>
                <w:kern w:val="2"/>
                <w:sz w:val="21"/>
                <w:szCs w:val="21"/>
              </w:rPr>
            </w:pPr>
            <w:r w:rsidRPr="00732772">
              <w:rPr>
                <w:rFonts w:hint="eastAsia"/>
                <w:b/>
                <w:kern w:val="2"/>
                <w:sz w:val="21"/>
                <w:szCs w:val="21"/>
              </w:rPr>
              <w:t>车次</w:t>
            </w:r>
            <w:r w:rsidRPr="00732772">
              <w:rPr>
                <w:b/>
                <w:kern w:val="2"/>
                <w:sz w:val="21"/>
                <w:szCs w:val="21"/>
              </w:rPr>
              <w:t>/</w:t>
            </w:r>
            <w:r w:rsidRPr="00732772">
              <w:rPr>
                <w:rFonts w:hint="eastAsia"/>
                <w:b/>
                <w:kern w:val="2"/>
                <w:sz w:val="21"/>
                <w:szCs w:val="21"/>
              </w:rPr>
              <w:t>辆</w:t>
            </w:r>
          </w:p>
        </w:tc>
        <w:tc>
          <w:tcPr>
            <w:tcW w:w="1028" w:type="dxa"/>
            <w:tcBorders>
              <w:top w:val="single" w:sz="6" w:space="0" w:color="auto"/>
              <w:left w:val="single" w:sz="6" w:space="0" w:color="auto"/>
              <w:bottom w:val="single" w:sz="4" w:space="0" w:color="auto"/>
              <w:right w:val="single" w:sz="4" w:space="0" w:color="auto"/>
            </w:tcBorders>
            <w:vAlign w:val="center"/>
          </w:tcPr>
          <w:p w:rsidR="00EE56C0" w:rsidRPr="00732772" w:rsidRDefault="000F36A1">
            <w:pPr>
              <w:adjustRightInd/>
              <w:snapToGrid/>
              <w:spacing w:line="240" w:lineRule="auto"/>
              <w:ind w:firstLineChars="0" w:firstLine="0"/>
              <w:jc w:val="center"/>
              <w:textAlignment w:val="auto"/>
              <w:rPr>
                <w:b/>
                <w:kern w:val="2"/>
                <w:sz w:val="21"/>
                <w:szCs w:val="21"/>
              </w:rPr>
            </w:pPr>
            <w:r w:rsidRPr="00732772">
              <w:rPr>
                <w:rFonts w:hint="eastAsia"/>
                <w:b/>
                <w:kern w:val="2"/>
                <w:sz w:val="21"/>
                <w:szCs w:val="21"/>
              </w:rPr>
              <w:t>单次运输距离</w:t>
            </w:r>
            <w:r w:rsidRPr="00732772">
              <w:rPr>
                <w:rFonts w:hint="eastAsia"/>
                <w:b/>
                <w:kern w:val="2"/>
                <w:sz w:val="21"/>
                <w:szCs w:val="21"/>
              </w:rPr>
              <w:t>km</w:t>
            </w:r>
          </w:p>
        </w:tc>
      </w:tr>
      <w:tr w:rsidR="002F5FB6" w:rsidRPr="00732772" w:rsidTr="002F5FB6">
        <w:trPr>
          <w:cantSplit/>
          <w:trHeight w:val="455"/>
          <w:jc w:val="center"/>
        </w:trPr>
        <w:tc>
          <w:tcPr>
            <w:tcW w:w="641" w:type="dxa"/>
            <w:vMerge w:val="restart"/>
            <w:tcBorders>
              <w:top w:val="single" w:sz="4" w:space="0" w:color="auto"/>
              <w:left w:val="single" w:sz="6" w:space="0" w:color="auto"/>
              <w:right w:val="single" w:sz="6" w:space="0" w:color="auto"/>
            </w:tcBorders>
            <w:vAlign w:val="center"/>
          </w:tcPr>
          <w:p w:rsidR="002F5FB6" w:rsidRPr="00732772" w:rsidRDefault="002F5FB6">
            <w:pPr>
              <w:adjustRightInd/>
              <w:snapToGrid/>
              <w:spacing w:line="240" w:lineRule="auto"/>
              <w:ind w:firstLineChars="0" w:firstLine="0"/>
              <w:jc w:val="center"/>
              <w:textAlignment w:val="auto"/>
              <w:rPr>
                <w:kern w:val="2"/>
                <w:sz w:val="21"/>
                <w:szCs w:val="21"/>
              </w:rPr>
            </w:pPr>
            <w:r w:rsidRPr="00732772">
              <w:rPr>
                <w:kern w:val="2"/>
                <w:sz w:val="21"/>
                <w:szCs w:val="21"/>
              </w:rPr>
              <w:t>原辅材料</w:t>
            </w:r>
          </w:p>
        </w:tc>
        <w:tc>
          <w:tcPr>
            <w:tcW w:w="1636" w:type="dxa"/>
            <w:tcBorders>
              <w:top w:val="single" w:sz="4" w:space="0" w:color="auto"/>
              <w:left w:val="single" w:sz="6" w:space="0" w:color="auto"/>
              <w:bottom w:val="single" w:sz="6" w:space="0" w:color="auto"/>
              <w:right w:val="single" w:sz="4" w:space="0" w:color="auto"/>
            </w:tcBorders>
            <w:vAlign w:val="center"/>
          </w:tcPr>
          <w:p w:rsidR="002F5FB6" w:rsidRPr="002F5FB6" w:rsidRDefault="002F5FB6" w:rsidP="00A620BD">
            <w:pPr>
              <w:widowControl/>
              <w:adjustRightInd/>
              <w:snapToGrid/>
              <w:spacing w:line="240" w:lineRule="auto"/>
              <w:ind w:firstLineChars="0" w:firstLine="0"/>
              <w:jc w:val="center"/>
              <w:textAlignment w:val="auto"/>
              <w:rPr>
                <w:rFonts w:ascii="宋体" w:hAnsi="宋体"/>
                <w:kern w:val="2"/>
                <w:sz w:val="21"/>
                <w:szCs w:val="21"/>
              </w:rPr>
            </w:pPr>
            <w:r w:rsidRPr="002F5FB6">
              <w:rPr>
                <w:sz w:val="21"/>
                <w:szCs w:val="21"/>
              </w:rPr>
              <w:t>铜杆</w:t>
            </w:r>
          </w:p>
        </w:tc>
        <w:tc>
          <w:tcPr>
            <w:tcW w:w="1562" w:type="dxa"/>
            <w:tcBorders>
              <w:top w:val="single" w:sz="4" w:space="0" w:color="auto"/>
              <w:left w:val="single" w:sz="4" w:space="0" w:color="auto"/>
              <w:bottom w:val="single" w:sz="6" w:space="0" w:color="auto"/>
              <w:right w:val="single" w:sz="6" w:space="0" w:color="auto"/>
            </w:tcBorders>
            <w:vAlign w:val="center"/>
          </w:tcPr>
          <w:p w:rsidR="002F5FB6" w:rsidRPr="002F5FB6" w:rsidRDefault="002F5FB6" w:rsidP="00A620BD">
            <w:pPr>
              <w:spacing w:line="240" w:lineRule="auto"/>
              <w:ind w:firstLineChars="0" w:firstLine="0"/>
              <w:jc w:val="center"/>
              <w:rPr>
                <w:sz w:val="21"/>
                <w:szCs w:val="21"/>
              </w:rPr>
            </w:pPr>
            <w:r w:rsidRPr="002F5FB6">
              <w:rPr>
                <w:rFonts w:hint="eastAsia"/>
                <w:sz w:val="21"/>
                <w:szCs w:val="21"/>
              </w:rPr>
              <w:t>南京</w:t>
            </w:r>
            <w:r w:rsidRPr="002F5FB6">
              <w:rPr>
                <w:rFonts w:hint="eastAsia"/>
                <w:sz w:val="21"/>
                <w:szCs w:val="21"/>
              </w:rPr>
              <w:t>/</w:t>
            </w:r>
            <w:r w:rsidRPr="002F5FB6">
              <w:rPr>
                <w:rFonts w:hint="eastAsia"/>
                <w:sz w:val="21"/>
                <w:szCs w:val="21"/>
              </w:rPr>
              <w:t>新乡县</w:t>
            </w:r>
          </w:p>
        </w:tc>
        <w:tc>
          <w:tcPr>
            <w:tcW w:w="1199" w:type="dxa"/>
            <w:tcBorders>
              <w:top w:val="single" w:sz="4" w:space="0" w:color="auto"/>
              <w:left w:val="single" w:sz="6" w:space="0" w:color="auto"/>
              <w:bottom w:val="single" w:sz="6" w:space="0" w:color="auto"/>
              <w:right w:val="single" w:sz="4" w:space="0" w:color="auto"/>
            </w:tcBorders>
            <w:vAlign w:val="center"/>
          </w:tcPr>
          <w:p w:rsidR="002F5FB6" w:rsidRPr="002F5FB6" w:rsidRDefault="002F5FB6" w:rsidP="00A620BD">
            <w:pPr>
              <w:adjustRightInd/>
              <w:snapToGrid/>
              <w:spacing w:line="240" w:lineRule="auto"/>
              <w:ind w:firstLineChars="0" w:firstLine="0"/>
              <w:jc w:val="center"/>
              <w:textAlignment w:val="auto"/>
              <w:rPr>
                <w:kern w:val="2"/>
                <w:sz w:val="21"/>
                <w:szCs w:val="21"/>
              </w:rPr>
            </w:pPr>
            <w:r w:rsidRPr="002F5FB6">
              <w:rPr>
                <w:rFonts w:hint="eastAsia"/>
                <w:kern w:val="2"/>
                <w:sz w:val="21"/>
                <w:szCs w:val="21"/>
              </w:rPr>
              <w:t>39230</w:t>
            </w:r>
          </w:p>
        </w:tc>
        <w:tc>
          <w:tcPr>
            <w:tcW w:w="733" w:type="dxa"/>
            <w:tcBorders>
              <w:top w:val="single" w:sz="4" w:space="0" w:color="auto"/>
              <w:left w:val="single" w:sz="4" w:space="0" w:color="auto"/>
              <w:bottom w:val="single" w:sz="6" w:space="0" w:color="auto"/>
              <w:right w:val="single" w:sz="4" w:space="0" w:color="auto"/>
            </w:tcBorders>
            <w:vAlign w:val="center"/>
          </w:tcPr>
          <w:p w:rsidR="002F5FB6" w:rsidRPr="002F5FB6" w:rsidRDefault="002F5FB6" w:rsidP="00A620BD">
            <w:pPr>
              <w:adjustRightInd/>
              <w:snapToGrid/>
              <w:spacing w:line="240" w:lineRule="auto"/>
              <w:ind w:firstLineChars="0" w:firstLine="0"/>
              <w:jc w:val="center"/>
              <w:textAlignment w:val="auto"/>
              <w:rPr>
                <w:kern w:val="2"/>
                <w:sz w:val="21"/>
                <w:szCs w:val="21"/>
              </w:rPr>
            </w:pPr>
            <w:r w:rsidRPr="002F5FB6">
              <w:rPr>
                <w:rFonts w:hint="eastAsia"/>
                <w:kern w:val="2"/>
                <w:sz w:val="21"/>
                <w:szCs w:val="21"/>
              </w:rPr>
              <w:t>汽运</w:t>
            </w:r>
          </w:p>
        </w:tc>
        <w:tc>
          <w:tcPr>
            <w:tcW w:w="1133" w:type="dxa"/>
            <w:tcBorders>
              <w:top w:val="single" w:sz="4" w:space="0" w:color="auto"/>
              <w:left w:val="single" w:sz="4" w:space="0" w:color="auto"/>
              <w:bottom w:val="single" w:sz="6" w:space="0" w:color="auto"/>
              <w:right w:val="single" w:sz="6" w:space="0" w:color="auto"/>
            </w:tcBorders>
            <w:vAlign w:val="center"/>
          </w:tcPr>
          <w:p w:rsidR="002F5FB6" w:rsidRPr="002F5FB6" w:rsidRDefault="002F5FB6" w:rsidP="00A620BD">
            <w:pPr>
              <w:spacing w:line="240" w:lineRule="auto"/>
              <w:ind w:firstLineChars="0" w:firstLine="0"/>
              <w:jc w:val="center"/>
              <w:rPr>
                <w:sz w:val="21"/>
                <w:szCs w:val="21"/>
              </w:rPr>
            </w:pPr>
            <w:r w:rsidRPr="002F5FB6">
              <w:rPr>
                <w:rFonts w:hint="eastAsia"/>
                <w:sz w:val="21"/>
                <w:szCs w:val="21"/>
              </w:rPr>
              <w:t>4</w:t>
            </w:r>
            <w:r w:rsidRPr="002F5FB6">
              <w:rPr>
                <w:sz w:val="21"/>
                <w:szCs w:val="21"/>
              </w:rPr>
              <w:t>0</w:t>
            </w:r>
          </w:p>
        </w:tc>
        <w:tc>
          <w:tcPr>
            <w:tcW w:w="963" w:type="dxa"/>
            <w:tcBorders>
              <w:top w:val="single" w:sz="4" w:space="0" w:color="auto"/>
              <w:left w:val="single" w:sz="6" w:space="0" w:color="auto"/>
              <w:bottom w:val="single" w:sz="6" w:space="0" w:color="auto"/>
              <w:right w:val="single" w:sz="6" w:space="0" w:color="auto"/>
            </w:tcBorders>
            <w:vAlign w:val="center"/>
          </w:tcPr>
          <w:p w:rsidR="002F5FB6" w:rsidRPr="002F5FB6" w:rsidRDefault="002F5FB6" w:rsidP="00A620BD">
            <w:pPr>
              <w:spacing w:line="240" w:lineRule="auto"/>
              <w:ind w:firstLineChars="0" w:firstLine="0"/>
              <w:jc w:val="center"/>
              <w:rPr>
                <w:sz w:val="21"/>
                <w:szCs w:val="21"/>
              </w:rPr>
            </w:pPr>
            <w:r w:rsidRPr="002F5FB6">
              <w:rPr>
                <w:rFonts w:hint="eastAsia"/>
                <w:sz w:val="21"/>
                <w:szCs w:val="21"/>
              </w:rPr>
              <w:t>9</w:t>
            </w:r>
            <w:r w:rsidRPr="002F5FB6">
              <w:rPr>
                <w:sz w:val="21"/>
                <w:szCs w:val="21"/>
              </w:rPr>
              <w:t>81</w:t>
            </w:r>
          </w:p>
        </w:tc>
        <w:tc>
          <w:tcPr>
            <w:tcW w:w="1028" w:type="dxa"/>
            <w:tcBorders>
              <w:top w:val="single" w:sz="4" w:space="0" w:color="auto"/>
              <w:left w:val="single" w:sz="6" w:space="0" w:color="auto"/>
              <w:bottom w:val="single" w:sz="6" w:space="0" w:color="auto"/>
              <w:right w:val="single" w:sz="4" w:space="0" w:color="auto"/>
            </w:tcBorders>
            <w:vAlign w:val="center"/>
          </w:tcPr>
          <w:p w:rsidR="002F5FB6" w:rsidRPr="00732772" w:rsidRDefault="002F5FB6" w:rsidP="00A620BD">
            <w:pPr>
              <w:adjustRightInd/>
              <w:snapToGrid/>
              <w:spacing w:line="240" w:lineRule="auto"/>
              <w:ind w:firstLineChars="0" w:firstLine="0"/>
              <w:jc w:val="center"/>
              <w:textAlignment w:val="auto"/>
              <w:rPr>
                <w:kern w:val="2"/>
                <w:sz w:val="21"/>
                <w:szCs w:val="21"/>
              </w:rPr>
            </w:pPr>
            <w:r>
              <w:rPr>
                <w:rFonts w:hint="eastAsia"/>
                <w:kern w:val="2"/>
                <w:sz w:val="21"/>
                <w:szCs w:val="21"/>
              </w:rPr>
              <w:t>680</w:t>
            </w:r>
          </w:p>
        </w:tc>
      </w:tr>
      <w:tr w:rsidR="002F5FB6" w:rsidRPr="00732772" w:rsidTr="002F5FB6">
        <w:trPr>
          <w:cantSplit/>
          <w:trHeight w:val="455"/>
          <w:jc w:val="center"/>
        </w:trPr>
        <w:tc>
          <w:tcPr>
            <w:tcW w:w="641" w:type="dxa"/>
            <w:vMerge/>
            <w:tcBorders>
              <w:top w:val="single" w:sz="4" w:space="0" w:color="auto"/>
              <w:left w:val="single" w:sz="6" w:space="0" w:color="auto"/>
              <w:right w:val="single" w:sz="6" w:space="0" w:color="auto"/>
            </w:tcBorders>
            <w:vAlign w:val="center"/>
          </w:tcPr>
          <w:p w:rsidR="002F5FB6" w:rsidRPr="00732772" w:rsidRDefault="002F5FB6">
            <w:pPr>
              <w:adjustRightInd/>
              <w:snapToGrid/>
              <w:spacing w:line="240" w:lineRule="auto"/>
              <w:ind w:firstLineChars="0" w:firstLine="0"/>
              <w:jc w:val="center"/>
              <w:textAlignment w:val="auto"/>
              <w:rPr>
                <w:kern w:val="2"/>
                <w:sz w:val="21"/>
                <w:szCs w:val="21"/>
              </w:rPr>
            </w:pPr>
          </w:p>
        </w:tc>
        <w:tc>
          <w:tcPr>
            <w:tcW w:w="1636" w:type="dxa"/>
            <w:tcBorders>
              <w:top w:val="single" w:sz="4" w:space="0" w:color="auto"/>
              <w:left w:val="single" w:sz="6" w:space="0" w:color="auto"/>
              <w:bottom w:val="single" w:sz="6" w:space="0" w:color="auto"/>
              <w:right w:val="single" w:sz="4" w:space="0" w:color="auto"/>
            </w:tcBorders>
            <w:vAlign w:val="center"/>
          </w:tcPr>
          <w:p w:rsidR="002F5FB6" w:rsidRPr="002F5FB6" w:rsidRDefault="002F5FB6" w:rsidP="00A620BD">
            <w:pPr>
              <w:widowControl/>
              <w:adjustRightInd/>
              <w:snapToGrid/>
              <w:spacing w:line="240" w:lineRule="auto"/>
              <w:ind w:firstLineChars="0" w:firstLine="0"/>
              <w:jc w:val="center"/>
              <w:textAlignment w:val="auto"/>
              <w:rPr>
                <w:rFonts w:ascii="宋体" w:hAnsi="宋体"/>
                <w:kern w:val="2"/>
                <w:sz w:val="21"/>
                <w:szCs w:val="21"/>
              </w:rPr>
            </w:pPr>
            <w:r w:rsidRPr="002F5FB6">
              <w:rPr>
                <w:rFonts w:hint="eastAsia"/>
                <w:sz w:val="21"/>
                <w:szCs w:val="21"/>
              </w:rPr>
              <w:t>绝缘漆</w:t>
            </w:r>
          </w:p>
        </w:tc>
        <w:tc>
          <w:tcPr>
            <w:tcW w:w="1562" w:type="dxa"/>
            <w:tcBorders>
              <w:top w:val="single" w:sz="4" w:space="0" w:color="auto"/>
              <w:left w:val="single" w:sz="4" w:space="0" w:color="auto"/>
              <w:bottom w:val="single" w:sz="6" w:space="0" w:color="auto"/>
              <w:right w:val="single" w:sz="6" w:space="0" w:color="auto"/>
            </w:tcBorders>
            <w:vAlign w:val="center"/>
          </w:tcPr>
          <w:p w:rsidR="002F5FB6" w:rsidRPr="002F5FB6" w:rsidRDefault="002F5FB6" w:rsidP="00A620BD">
            <w:pPr>
              <w:spacing w:line="240" w:lineRule="auto"/>
              <w:ind w:firstLineChars="0" w:firstLine="0"/>
              <w:jc w:val="center"/>
              <w:rPr>
                <w:sz w:val="21"/>
                <w:szCs w:val="21"/>
              </w:rPr>
            </w:pPr>
            <w:r w:rsidRPr="002F5FB6">
              <w:rPr>
                <w:rFonts w:hint="eastAsia"/>
                <w:sz w:val="21"/>
                <w:szCs w:val="21"/>
              </w:rPr>
              <w:t>铜陵市</w:t>
            </w:r>
          </w:p>
        </w:tc>
        <w:tc>
          <w:tcPr>
            <w:tcW w:w="1199" w:type="dxa"/>
            <w:tcBorders>
              <w:top w:val="single" w:sz="4" w:space="0" w:color="auto"/>
              <w:left w:val="single" w:sz="6" w:space="0" w:color="auto"/>
              <w:bottom w:val="single" w:sz="6" w:space="0" w:color="auto"/>
              <w:right w:val="single" w:sz="4" w:space="0" w:color="auto"/>
            </w:tcBorders>
            <w:vAlign w:val="center"/>
          </w:tcPr>
          <w:p w:rsidR="002F5FB6" w:rsidRPr="002F5FB6" w:rsidRDefault="002F5FB6" w:rsidP="00A620BD">
            <w:pPr>
              <w:adjustRightInd/>
              <w:snapToGrid/>
              <w:spacing w:line="240" w:lineRule="auto"/>
              <w:ind w:firstLineChars="0" w:firstLine="0"/>
              <w:jc w:val="center"/>
              <w:textAlignment w:val="auto"/>
              <w:rPr>
                <w:kern w:val="2"/>
                <w:sz w:val="21"/>
                <w:szCs w:val="21"/>
              </w:rPr>
            </w:pPr>
            <w:r w:rsidRPr="002F5FB6">
              <w:rPr>
                <w:rFonts w:hint="eastAsia"/>
                <w:kern w:val="2"/>
                <w:sz w:val="21"/>
                <w:szCs w:val="21"/>
              </w:rPr>
              <w:t>2050</w:t>
            </w:r>
          </w:p>
        </w:tc>
        <w:tc>
          <w:tcPr>
            <w:tcW w:w="733" w:type="dxa"/>
            <w:tcBorders>
              <w:top w:val="single" w:sz="4" w:space="0" w:color="auto"/>
              <w:left w:val="single" w:sz="4" w:space="0" w:color="auto"/>
              <w:bottom w:val="single" w:sz="6" w:space="0" w:color="auto"/>
              <w:right w:val="single" w:sz="4" w:space="0" w:color="auto"/>
            </w:tcBorders>
            <w:vAlign w:val="center"/>
          </w:tcPr>
          <w:p w:rsidR="002F5FB6" w:rsidRPr="002F5FB6" w:rsidRDefault="002F5FB6" w:rsidP="00A620BD">
            <w:pPr>
              <w:adjustRightInd/>
              <w:snapToGrid/>
              <w:spacing w:line="240" w:lineRule="auto"/>
              <w:ind w:firstLineChars="0" w:firstLine="0"/>
              <w:jc w:val="center"/>
              <w:textAlignment w:val="auto"/>
              <w:rPr>
                <w:kern w:val="2"/>
                <w:sz w:val="21"/>
                <w:szCs w:val="21"/>
              </w:rPr>
            </w:pPr>
            <w:r w:rsidRPr="002F5FB6">
              <w:rPr>
                <w:rFonts w:hint="eastAsia"/>
                <w:kern w:val="2"/>
                <w:sz w:val="21"/>
                <w:szCs w:val="21"/>
              </w:rPr>
              <w:t>汽运</w:t>
            </w:r>
          </w:p>
        </w:tc>
        <w:tc>
          <w:tcPr>
            <w:tcW w:w="1133" w:type="dxa"/>
            <w:tcBorders>
              <w:top w:val="single" w:sz="4" w:space="0" w:color="auto"/>
              <w:left w:val="single" w:sz="4" w:space="0" w:color="auto"/>
              <w:bottom w:val="single" w:sz="6" w:space="0" w:color="auto"/>
              <w:right w:val="single" w:sz="6" w:space="0" w:color="auto"/>
            </w:tcBorders>
            <w:vAlign w:val="center"/>
          </w:tcPr>
          <w:p w:rsidR="002F5FB6" w:rsidRPr="002F5FB6" w:rsidRDefault="002F5FB6" w:rsidP="00A620BD">
            <w:pPr>
              <w:spacing w:line="240" w:lineRule="auto"/>
              <w:ind w:firstLineChars="0" w:firstLine="0"/>
              <w:jc w:val="center"/>
              <w:rPr>
                <w:sz w:val="21"/>
                <w:szCs w:val="21"/>
              </w:rPr>
            </w:pPr>
            <w:r w:rsidRPr="002F5FB6">
              <w:rPr>
                <w:rFonts w:hint="eastAsia"/>
                <w:sz w:val="21"/>
                <w:szCs w:val="21"/>
              </w:rPr>
              <w:t>2</w:t>
            </w:r>
            <w:r w:rsidRPr="002F5FB6">
              <w:rPr>
                <w:sz w:val="21"/>
                <w:szCs w:val="21"/>
              </w:rPr>
              <w:t>5</w:t>
            </w:r>
          </w:p>
        </w:tc>
        <w:tc>
          <w:tcPr>
            <w:tcW w:w="963" w:type="dxa"/>
            <w:tcBorders>
              <w:top w:val="single" w:sz="4" w:space="0" w:color="auto"/>
              <w:left w:val="single" w:sz="6" w:space="0" w:color="auto"/>
              <w:bottom w:val="single" w:sz="6" w:space="0" w:color="auto"/>
              <w:right w:val="single" w:sz="6" w:space="0" w:color="auto"/>
            </w:tcBorders>
            <w:vAlign w:val="center"/>
          </w:tcPr>
          <w:p w:rsidR="002F5FB6" w:rsidRPr="002F5FB6" w:rsidRDefault="002F5FB6" w:rsidP="00A620BD">
            <w:pPr>
              <w:spacing w:line="240" w:lineRule="auto"/>
              <w:ind w:firstLineChars="0" w:firstLine="0"/>
              <w:jc w:val="center"/>
              <w:rPr>
                <w:sz w:val="21"/>
                <w:szCs w:val="21"/>
              </w:rPr>
            </w:pPr>
            <w:r w:rsidRPr="002F5FB6">
              <w:rPr>
                <w:rFonts w:hint="eastAsia"/>
                <w:sz w:val="21"/>
                <w:szCs w:val="21"/>
              </w:rPr>
              <w:t>8</w:t>
            </w:r>
            <w:r w:rsidRPr="002F5FB6">
              <w:rPr>
                <w:sz w:val="21"/>
                <w:szCs w:val="21"/>
              </w:rPr>
              <w:t>2</w:t>
            </w:r>
          </w:p>
        </w:tc>
        <w:tc>
          <w:tcPr>
            <w:tcW w:w="1028" w:type="dxa"/>
            <w:tcBorders>
              <w:top w:val="single" w:sz="4" w:space="0" w:color="auto"/>
              <w:left w:val="single" w:sz="6" w:space="0" w:color="auto"/>
              <w:bottom w:val="single" w:sz="6" w:space="0" w:color="auto"/>
              <w:right w:val="single" w:sz="4" w:space="0" w:color="auto"/>
            </w:tcBorders>
            <w:vAlign w:val="center"/>
          </w:tcPr>
          <w:p w:rsidR="002F5FB6" w:rsidRPr="00732772" w:rsidRDefault="002F5FB6" w:rsidP="00A620BD">
            <w:pPr>
              <w:adjustRightInd/>
              <w:snapToGrid/>
              <w:spacing w:line="240" w:lineRule="auto"/>
              <w:ind w:firstLineChars="0" w:firstLine="0"/>
              <w:jc w:val="center"/>
              <w:textAlignment w:val="auto"/>
              <w:rPr>
                <w:kern w:val="2"/>
                <w:sz w:val="21"/>
                <w:szCs w:val="21"/>
              </w:rPr>
            </w:pPr>
            <w:r>
              <w:rPr>
                <w:rFonts w:hint="eastAsia"/>
                <w:kern w:val="2"/>
                <w:sz w:val="21"/>
                <w:szCs w:val="21"/>
              </w:rPr>
              <w:t>750</w:t>
            </w:r>
          </w:p>
        </w:tc>
      </w:tr>
      <w:tr w:rsidR="002F5FB6" w:rsidRPr="00732772" w:rsidTr="002F5FB6">
        <w:trPr>
          <w:cantSplit/>
          <w:trHeight w:val="455"/>
          <w:jc w:val="center"/>
        </w:trPr>
        <w:tc>
          <w:tcPr>
            <w:tcW w:w="641" w:type="dxa"/>
            <w:vMerge/>
            <w:tcBorders>
              <w:top w:val="single" w:sz="4" w:space="0" w:color="auto"/>
              <w:left w:val="single" w:sz="6" w:space="0" w:color="auto"/>
              <w:right w:val="single" w:sz="6" w:space="0" w:color="auto"/>
            </w:tcBorders>
            <w:vAlign w:val="center"/>
          </w:tcPr>
          <w:p w:rsidR="002F5FB6" w:rsidRPr="00732772" w:rsidRDefault="002F5FB6">
            <w:pPr>
              <w:adjustRightInd/>
              <w:snapToGrid/>
              <w:spacing w:line="240" w:lineRule="auto"/>
              <w:ind w:firstLineChars="0" w:firstLine="0"/>
              <w:jc w:val="center"/>
              <w:textAlignment w:val="auto"/>
              <w:rPr>
                <w:kern w:val="2"/>
                <w:sz w:val="21"/>
                <w:szCs w:val="21"/>
              </w:rPr>
            </w:pPr>
          </w:p>
        </w:tc>
        <w:tc>
          <w:tcPr>
            <w:tcW w:w="1636" w:type="dxa"/>
            <w:tcBorders>
              <w:top w:val="single" w:sz="4" w:space="0" w:color="auto"/>
              <w:left w:val="single" w:sz="6" w:space="0" w:color="auto"/>
              <w:bottom w:val="single" w:sz="6" w:space="0" w:color="auto"/>
              <w:right w:val="single" w:sz="4" w:space="0" w:color="auto"/>
            </w:tcBorders>
            <w:vAlign w:val="center"/>
          </w:tcPr>
          <w:p w:rsidR="002F5FB6" w:rsidRPr="002F5FB6" w:rsidRDefault="002F5FB6" w:rsidP="00A620BD">
            <w:pPr>
              <w:widowControl/>
              <w:adjustRightInd/>
              <w:snapToGrid/>
              <w:spacing w:line="240" w:lineRule="auto"/>
              <w:ind w:firstLineChars="0" w:firstLine="0"/>
              <w:jc w:val="center"/>
              <w:textAlignment w:val="auto"/>
              <w:rPr>
                <w:rFonts w:ascii="宋体" w:hAnsi="宋体"/>
                <w:kern w:val="2"/>
                <w:sz w:val="21"/>
                <w:szCs w:val="21"/>
              </w:rPr>
            </w:pPr>
            <w:r w:rsidRPr="002F5FB6">
              <w:rPr>
                <w:rFonts w:hint="eastAsia"/>
                <w:sz w:val="21"/>
                <w:szCs w:val="21"/>
              </w:rPr>
              <w:t>丝包漆</w:t>
            </w:r>
          </w:p>
        </w:tc>
        <w:tc>
          <w:tcPr>
            <w:tcW w:w="1562" w:type="dxa"/>
            <w:tcBorders>
              <w:top w:val="single" w:sz="4" w:space="0" w:color="auto"/>
              <w:left w:val="single" w:sz="4" w:space="0" w:color="auto"/>
              <w:bottom w:val="single" w:sz="6" w:space="0" w:color="auto"/>
              <w:right w:val="single" w:sz="6" w:space="0" w:color="auto"/>
            </w:tcBorders>
            <w:vAlign w:val="center"/>
          </w:tcPr>
          <w:p w:rsidR="002F5FB6" w:rsidRPr="002F5FB6" w:rsidRDefault="002F5FB6" w:rsidP="00A620BD">
            <w:pPr>
              <w:spacing w:line="240" w:lineRule="auto"/>
              <w:ind w:firstLineChars="0" w:firstLine="0"/>
              <w:jc w:val="center"/>
              <w:rPr>
                <w:sz w:val="21"/>
                <w:szCs w:val="21"/>
              </w:rPr>
            </w:pPr>
            <w:r w:rsidRPr="002F5FB6">
              <w:rPr>
                <w:rFonts w:hint="eastAsia"/>
                <w:sz w:val="21"/>
                <w:szCs w:val="21"/>
              </w:rPr>
              <w:t>嘉兴市</w:t>
            </w:r>
          </w:p>
        </w:tc>
        <w:tc>
          <w:tcPr>
            <w:tcW w:w="1199" w:type="dxa"/>
            <w:tcBorders>
              <w:top w:val="single" w:sz="4" w:space="0" w:color="auto"/>
              <w:left w:val="single" w:sz="6" w:space="0" w:color="auto"/>
              <w:bottom w:val="single" w:sz="6" w:space="0" w:color="auto"/>
              <w:right w:val="single" w:sz="4" w:space="0" w:color="auto"/>
            </w:tcBorders>
            <w:vAlign w:val="center"/>
          </w:tcPr>
          <w:p w:rsidR="002F5FB6" w:rsidRPr="002F5FB6" w:rsidRDefault="002F5FB6" w:rsidP="00A620BD">
            <w:pPr>
              <w:adjustRightInd/>
              <w:snapToGrid/>
              <w:spacing w:line="240" w:lineRule="auto"/>
              <w:ind w:firstLineChars="0" w:firstLine="0"/>
              <w:jc w:val="center"/>
              <w:textAlignment w:val="auto"/>
              <w:rPr>
                <w:kern w:val="2"/>
                <w:sz w:val="21"/>
                <w:szCs w:val="21"/>
              </w:rPr>
            </w:pPr>
            <w:r w:rsidRPr="002F5FB6">
              <w:rPr>
                <w:rFonts w:hint="eastAsia"/>
                <w:kern w:val="2"/>
                <w:sz w:val="21"/>
                <w:szCs w:val="21"/>
              </w:rPr>
              <w:t>132.6</w:t>
            </w:r>
          </w:p>
        </w:tc>
        <w:tc>
          <w:tcPr>
            <w:tcW w:w="733" w:type="dxa"/>
            <w:tcBorders>
              <w:top w:val="single" w:sz="4" w:space="0" w:color="auto"/>
              <w:left w:val="single" w:sz="4" w:space="0" w:color="auto"/>
              <w:bottom w:val="single" w:sz="6" w:space="0" w:color="auto"/>
              <w:right w:val="single" w:sz="4" w:space="0" w:color="auto"/>
            </w:tcBorders>
            <w:vAlign w:val="center"/>
          </w:tcPr>
          <w:p w:rsidR="002F5FB6" w:rsidRPr="002F5FB6" w:rsidRDefault="002F5FB6" w:rsidP="00A620BD">
            <w:pPr>
              <w:adjustRightInd/>
              <w:snapToGrid/>
              <w:spacing w:line="240" w:lineRule="auto"/>
              <w:ind w:firstLineChars="0" w:firstLine="0"/>
              <w:jc w:val="center"/>
              <w:textAlignment w:val="auto"/>
              <w:rPr>
                <w:kern w:val="2"/>
                <w:sz w:val="21"/>
                <w:szCs w:val="21"/>
              </w:rPr>
            </w:pPr>
            <w:r w:rsidRPr="002F5FB6">
              <w:rPr>
                <w:rFonts w:hint="eastAsia"/>
                <w:kern w:val="2"/>
                <w:sz w:val="21"/>
                <w:szCs w:val="21"/>
              </w:rPr>
              <w:t>汽运</w:t>
            </w:r>
          </w:p>
        </w:tc>
        <w:tc>
          <w:tcPr>
            <w:tcW w:w="1133" w:type="dxa"/>
            <w:tcBorders>
              <w:top w:val="single" w:sz="4" w:space="0" w:color="auto"/>
              <w:left w:val="single" w:sz="4" w:space="0" w:color="auto"/>
              <w:bottom w:val="single" w:sz="6" w:space="0" w:color="auto"/>
              <w:right w:val="single" w:sz="6" w:space="0" w:color="auto"/>
            </w:tcBorders>
            <w:vAlign w:val="center"/>
          </w:tcPr>
          <w:p w:rsidR="002F5FB6" w:rsidRPr="002F5FB6" w:rsidRDefault="002F5FB6" w:rsidP="00A620BD">
            <w:pPr>
              <w:spacing w:line="240" w:lineRule="auto"/>
              <w:ind w:firstLineChars="0" w:firstLine="0"/>
              <w:jc w:val="center"/>
              <w:rPr>
                <w:sz w:val="21"/>
                <w:szCs w:val="21"/>
              </w:rPr>
            </w:pPr>
            <w:r w:rsidRPr="002F5FB6">
              <w:rPr>
                <w:rFonts w:hint="eastAsia"/>
                <w:sz w:val="21"/>
                <w:szCs w:val="21"/>
              </w:rPr>
              <w:t>6</w:t>
            </w:r>
          </w:p>
        </w:tc>
        <w:tc>
          <w:tcPr>
            <w:tcW w:w="963" w:type="dxa"/>
            <w:tcBorders>
              <w:top w:val="single" w:sz="4" w:space="0" w:color="auto"/>
              <w:left w:val="single" w:sz="6" w:space="0" w:color="auto"/>
              <w:bottom w:val="single" w:sz="6" w:space="0" w:color="auto"/>
              <w:right w:val="single" w:sz="6" w:space="0" w:color="auto"/>
            </w:tcBorders>
            <w:vAlign w:val="center"/>
          </w:tcPr>
          <w:p w:rsidR="002F5FB6" w:rsidRPr="002F5FB6" w:rsidRDefault="002F5FB6" w:rsidP="00A620BD">
            <w:pPr>
              <w:spacing w:line="240" w:lineRule="auto"/>
              <w:ind w:firstLineChars="0" w:firstLine="0"/>
              <w:jc w:val="center"/>
              <w:rPr>
                <w:sz w:val="21"/>
                <w:szCs w:val="21"/>
              </w:rPr>
            </w:pPr>
            <w:r w:rsidRPr="002F5FB6">
              <w:rPr>
                <w:rFonts w:hint="eastAsia"/>
                <w:sz w:val="21"/>
                <w:szCs w:val="21"/>
              </w:rPr>
              <w:t>2</w:t>
            </w:r>
            <w:r w:rsidRPr="002F5FB6">
              <w:rPr>
                <w:sz w:val="21"/>
                <w:szCs w:val="21"/>
              </w:rPr>
              <w:t>2</w:t>
            </w:r>
          </w:p>
        </w:tc>
        <w:tc>
          <w:tcPr>
            <w:tcW w:w="1028" w:type="dxa"/>
            <w:tcBorders>
              <w:top w:val="single" w:sz="4" w:space="0" w:color="auto"/>
              <w:left w:val="single" w:sz="6" w:space="0" w:color="auto"/>
              <w:bottom w:val="single" w:sz="6" w:space="0" w:color="auto"/>
              <w:right w:val="single" w:sz="4" w:space="0" w:color="auto"/>
            </w:tcBorders>
            <w:vAlign w:val="center"/>
          </w:tcPr>
          <w:p w:rsidR="002F5FB6" w:rsidRPr="00732772" w:rsidRDefault="002F5FB6" w:rsidP="00A620BD">
            <w:pPr>
              <w:adjustRightInd/>
              <w:snapToGrid/>
              <w:spacing w:line="240" w:lineRule="auto"/>
              <w:ind w:firstLineChars="0" w:firstLine="0"/>
              <w:jc w:val="center"/>
              <w:textAlignment w:val="auto"/>
              <w:rPr>
                <w:kern w:val="2"/>
                <w:sz w:val="21"/>
                <w:szCs w:val="21"/>
              </w:rPr>
            </w:pPr>
            <w:r>
              <w:rPr>
                <w:rFonts w:hint="eastAsia"/>
                <w:kern w:val="2"/>
                <w:sz w:val="21"/>
                <w:szCs w:val="21"/>
              </w:rPr>
              <w:t>950</w:t>
            </w:r>
          </w:p>
        </w:tc>
      </w:tr>
      <w:tr w:rsidR="002F5FB6" w:rsidRPr="00732772" w:rsidTr="002F5FB6">
        <w:trPr>
          <w:cantSplit/>
          <w:trHeight w:val="455"/>
          <w:jc w:val="center"/>
        </w:trPr>
        <w:tc>
          <w:tcPr>
            <w:tcW w:w="641" w:type="dxa"/>
            <w:vMerge/>
            <w:tcBorders>
              <w:top w:val="single" w:sz="4" w:space="0" w:color="auto"/>
              <w:left w:val="single" w:sz="6" w:space="0" w:color="auto"/>
              <w:right w:val="single" w:sz="6" w:space="0" w:color="auto"/>
            </w:tcBorders>
            <w:vAlign w:val="center"/>
          </w:tcPr>
          <w:p w:rsidR="002F5FB6" w:rsidRPr="00732772" w:rsidRDefault="002F5FB6">
            <w:pPr>
              <w:adjustRightInd/>
              <w:snapToGrid/>
              <w:spacing w:line="240" w:lineRule="auto"/>
              <w:ind w:firstLineChars="0" w:firstLine="0"/>
              <w:jc w:val="center"/>
              <w:textAlignment w:val="auto"/>
              <w:rPr>
                <w:kern w:val="2"/>
                <w:sz w:val="21"/>
                <w:szCs w:val="21"/>
              </w:rPr>
            </w:pPr>
          </w:p>
        </w:tc>
        <w:tc>
          <w:tcPr>
            <w:tcW w:w="1636" w:type="dxa"/>
            <w:tcBorders>
              <w:top w:val="single" w:sz="4" w:space="0" w:color="auto"/>
              <w:left w:val="single" w:sz="6" w:space="0" w:color="auto"/>
              <w:bottom w:val="single" w:sz="6" w:space="0" w:color="auto"/>
              <w:right w:val="single" w:sz="4" w:space="0" w:color="auto"/>
            </w:tcBorders>
            <w:vAlign w:val="center"/>
          </w:tcPr>
          <w:p w:rsidR="002F5FB6" w:rsidRPr="002F5FB6" w:rsidRDefault="002F5FB6" w:rsidP="00A620BD">
            <w:pPr>
              <w:pStyle w:val="afa"/>
            </w:pPr>
            <w:r w:rsidRPr="002F5FB6">
              <w:rPr>
                <w:rFonts w:hint="eastAsia"/>
              </w:rPr>
              <w:t>纸</w:t>
            </w:r>
          </w:p>
        </w:tc>
        <w:tc>
          <w:tcPr>
            <w:tcW w:w="1562" w:type="dxa"/>
            <w:tcBorders>
              <w:top w:val="single" w:sz="4" w:space="0" w:color="auto"/>
              <w:left w:val="single" w:sz="4" w:space="0" w:color="auto"/>
              <w:bottom w:val="single" w:sz="6" w:space="0" w:color="auto"/>
              <w:right w:val="single" w:sz="6" w:space="0" w:color="auto"/>
            </w:tcBorders>
            <w:vAlign w:val="center"/>
          </w:tcPr>
          <w:p w:rsidR="002F5FB6" w:rsidRPr="002F5FB6" w:rsidRDefault="002F5FB6" w:rsidP="00A620BD">
            <w:pPr>
              <w:spacing w:line="240" w:lineRule="auto"/>
              <w:ind w:firstLineChars="0" w:firstLine="0"/>
              <w:jc w:val="center"/>
              <w:rPr>
                <w:sz w:val="21"/>
                <w:szCs w:val="21"/>
              </w:rPr>
            </w:pPr>
            <w:r w:rsidRPr="002F5FB6">
              <w:rPr>
                <w:rFonts w:hint="eastAsia"/>
                <w:sz w:val="21"/>
                <w:szCs w:val="21"/>
              </w:rPr>
              <w:t>新乡市</w:t>
            </w:r>
          </w:p>
        </w:tc>
        <w:tc>
          <w:tcPr>
            <w:tcW w:w="1199" w:type="dxa"/>
            <w:tcBorders>
              <w:top w:val="single" w:sz="4" w:space="0" w:color="auto"/>
              <w:left w:val="single" w:sz="6" w:space="0" w:color="auto"/>
              <w:bottom w:val="single" w:sz="6" w:space="0" w:color="auto"/>
              <w:right w:val="single" w:sz="4" w:space="0" w:color="auto"/>
            </w:tcBorders>
            <w:vAlign w:val="center"/>
          </w:tcPr>
          <w:p w:rsidR="002F5FB6" w:rsidRPr="002F5FB6" w:rsidRDefault="002F5FB6" w:rsidP="00A620BD">
            <w:pPr>
              <w:adjustRightInd/>
              <w:snapToGrid/>
              <w:spacing w:line="240" w:lineRule="auto"/>
              <w:ind w:firstLineChars="0" w:firstLine="0"/>
              <w:jc w:val="center"/>
              <w:textAlignment w:val="auto"/>
              <w:rPr>
                <w:kern w:val="2"/>
                <w:sz w:val="21"/>
                <w:szCs w:val="21"/>
              </w:rPr>
            </w:pPr>
            <w:r w:rsidRPr="002F5FB6">
              <w:rPr>
                <w:rFonts w:hint="eastAsia"/>
                <w:kern w:val="2"/>
                <w:sz w:val="21"/>
                <w:szCs w:val="21"/>
              </w:rPr>
              <w:t>43.2</w:t>
            </w:r>
          </w:p>
        </w:tc>
        <w:tc>
          <w:tcPr>
            <w:tcW w:w="733" w:type="dxa"/>
            <w:tcBorders>
              <w:top w:val="single" w:sz="4" w:space="0" w:color="auto"/>
              <w:left w:val="single" w:sz="4" w:space="0" w:color="auto"/>
              <w:bottom w:val="single" w:sz="6" w:space="0" w:color="auto"/>
              <w:right w:val="single" w:sz="4" w:space="0" w:color="auto"/>
            </w:tcBorders>
            <w:vAlign w:val="center"/>
          </w:tcPr>
          <w:p w:rsidR="002F5FB6" w:rsidRPr="002F5FB6" w:rsidRDefault="002F5FB6" w:rsidP="00A620BD">
            <w:pPr>
              <w:adjustRightInd/>
              <w:snapToGrid/>
              <w:spacing w:line="240" w:lineRule="auto"/>
              <w:ind w:firstLineChars="0" w:firstLine="0"/>
              <w:jc w:val="center"/>
              <w:textAlignment w:val="auto"/>
              <w:rPr>
                <w:kern w:val="2"/>
                <w:sz w:val="21"/>
                <w:szCs w:val="21"/>
              </w:rPr>
            </w:pPr>
            <w:r w:rsidRPr="002F5FB6">
              <w:rPr>
                <w:rFonts w:hint="eastAsia"/>
                <w:kern w:val="2"/>
                <w:sz w:val="21"/>
                <w:szCs w:val="21"/>
              </w:rPr>
              <w:t>汽运</w:t>
            </w:r>
          </w:p>
        </w:tc>
        <w:tc>
          <w:tcPr>
            <w:tcW w:w="1133" w:type="dxa"/>
            <w:tcBorders>
              <w:top w:val="single" w:sz="4" w:space="0" w:color="auto"/>
              <w:left w:val="single" w:sz="4" w:space="0" w:color="auto"/>
              <w:bottom w:val="single" w:sz="6" w:space="0" w:color="auto"/>
              <w:right w:val="single" w:sz="6" w:space="0" w:color="auto"/>
            </w:tcBorders>
            <w:vAlign w:val="center"/>
          </w:tcPr>
          <w:p w:rsidR="002F5FB6" w:rsidRPr="002F5FB6" w:rsidRDefault="002F5FB6" w:rsidP="00A620BD">
            <w:pPr>
              <w:spacing w:line="240" w:lineRule="auto"/>
              <w:ind w:firstLineChars="0" w:firstLine="0"/>
              <w:jc w:val="center"/>
              <w:rPr>
                <w:sz w:val="21"/>
                <w:szCs w:val="21"/>
              </w:rPr>
            </w:pPr>
            <w:r w:rsidRPr="002F5FB6">
              <w:rPr>
                <w:rFonts w:hint="eastAsia"/>
                <w:sz w:val="21"/>
                <w:szCs w:val="21"/>
              </w:rPr>
              <w:t>4</w:t>
            </w:r>
          </w:p>
        </w:tc>
        <w:tc>
          <w:tcPr>
            <w:tcW w:w="963" w:type="dxa"/>
            <w:tcBorders>
              <w:top w:val="single" w:sz="4" w:space="0" w:color="auto"/>
              <w:left w:val="single" w:sz="6" w:space="0" w:color="auto"/>
              <w:bottom w:val="single" w:sz="6" w:space="0" w:color="auto"/>
              <w:right w:val="single" w:sz="6" w:space="0" w:color="auto"/>
            </w:tcBorders>
            <w:vAlign w:val="center"/>
          </w:tcPr>
          <w:p w:rsidR="002F5FB6" w:rsidRPr="002F5FB6" w:rsidRDefault="002F5FB6" w:rsidP="00A620BD">
            <w:pPr>
              <w:spacing w:line="240" w:lineRule="auto"/>
              <w:ind w:firstLineChars="0" w:firstLine="0"/>
              <w:jc w:val="center"/>
              <w:rPr>
                <w:sz w:val="21"/>
                <w:szCs w:val="21"/>
              </w:rPr>
            </w:pPr>
            <w:r w:rsidRPr="002F5FB6">
              <w:rPr>
                <w:rFonts w:hint="eastAsia"/>
                <w:sz w:val="21"/>
                <w:szCs w:val="21"/>
              </w:rPr>
              <w:t>1</w:t>
            </w:r>
            <w:r w:rsidRPr="002F5FB6">
              <w:rPr>
                <w:sz w:val="21"/>
                <w:szCs w:val="21"/>
              </w:rPr>
              <w:t>1</w:t>
            </w:r>
          </w:p>
        </w:tc>
        <w:tc>
          <w:tcPr>
            <w:tcW w:w="1028" w:type="dxa"/>
            <w:tcBorders>
              <w:top w:val="single" w:sz="4" w:space="0" w:color="auto"/>
              <w:left w:val="single" w:sz="6" w:space="0" w:color="auto"/>
              <w:bottom w:val="single" w:sz="6" w:space="0" w:color="auto"/>
              <w:right w:val="single" w:sz="4" w:space="0" w:color="auto"/>
            </w:tcBorders>
            <w:vAlign w:val="center"/>
          </w:tcPr>
          <w:p w:rsidR="002F5FB6" w:rsidRPr="00732772" w:rsidRDefault="00D02D9C" w:rsidP="00A620BD">
            <w:pPr>
              <w:adjustRightInd/>
              <w:snapToGrid/>
              <w:spacing w:line="240" w:lineRule="auto"/>
              <w:ind w:firstLineChars="0" w:firstLine="0"/>
              <w:jc w:val="center"/>
              <w:textAlignment w:val="auto"/>
              <w:rPr>
                <w:kern w:val="2"/>
                <w:sz w:val="21"/>
                <w:szCs w:val="21"/>
              </w:rPr>
            </w:pPr>
            <w:r>
              <w:rPr>
                <w:rFonts w:hint="eastAsia"/>
                <w:kern w:val="2"/>
                <w:sz w:val="21"/>
                <w:szCs w:val="21"/>
              </w:rPr>
              <w:t>20</w:t>
            </w:r>
          </w:p>
        </w:tc>
      </w:tr>
      <w:tr w:rsidR="002F5FB6" w:rsidRPr="00732772" w:rsidTr="002F5FB6">
        <w:trPr>
          <w:cantSplit/>
          <w:trHeight w:val="455"/>
          <w:jc w:val="center"/>
        </w:trPr>
        <w:tc>
          <w:tcPr>
            <w:tcW w:w="641" w:type="dxa"/>
            <w:vMerge/>
            <w:tcBorders>
              <w:top w:val="single" w:sz="4" w:space="0" w:color="auto"/>
              <w:left w:val="single" w:sz="6" w:space="0" w:color="auto"/>
              <w:right w:val="single" w:sz="6" w:space="0" w:color="auto"/>
            </w:tcBorders>
            <w:vAlign w:val="center"/>
          </w:tcPr>
          <w:p w:rsidR="002F5FB6" w:rsidRPr="00732772" w:rsidRDefault="002F5FB6">
            <w:pPr>
              <w:adjustRightInd/>
              <w:snapToGrid/>
              <w:spacing w:line="240" w:lineRule="auto"/>
              <w:ind w:firstLineChars="0" w:firstLine="0"/>
              <w:jc w:val="center"/>
              <w:textAlignment w:val="auto"/>
              <w:rPr>
                <w:kern w:val="2"/>
                <w:sz w:val="21"/>
                <w:szCs w:val="21"/>
              </w:rPr>
            </w:pPr>
          </w:p>
        </w:tc>
        <w:tc>
          <w:tcPr>
            <w:tcW w:w="1636" w:type="dxa"/>
            <w:tcBorders>
              <w:top w:val="single" w:sz="4" w:space="0" w:color="auto"/>
              <w:left w:val="single" w:sz="6" w:space="0" w:color="auto"/>
              <w:bottom w:val="single" w:sz="6" w:space="0" w:color="auto"/>
              <w:right w:val="single" w:sz="4" w:space="0" w:color="auto"/>
            </w:tcBorders>
            <w:vAlign w:val="center"/>
          </w:tcPr>
          <w:p w:rsidR="002F5FB6" w:rsidRPr="002F5FB6" w:rsidRDefault="002F5FB6" w:rsidP="00A620BD">
            <w:pPr>
              <w:pStyle w:val="afa"/>
            </w:pPr>
            <w:r w:rsidRPr="002F5FB6">
              <w:rPr>
                <w:rFonts w:hint="eastAsia"/>
              </w:rPr>
              <w:t>玻璃纱</w:t>
            </w:r>
          </w:p>
        </w:tc>
        <w:tc>
          <w:tcPr>
            <w:tcW w:w="1562" w:type="dxa"/>
            <w:tcBorders>
              <w:top w:val="single" w:sz="4" w:space="0" w:color="auto"/>
              <w:left w:val="single" w:sz="4" w:space="0" w:color="auto"/>
              <w:bottom w:val="single" w:sz="6" w:space="0" w:color="auto"/>
              <w:right w:val="single" w:sz="6" w:space="0" w:color="auto"/>
            </w:tcBorders>
            <w:vAlign w:val="center"/>
          </w:tcPr>
          <w:p w:rsidR="002F5FB6" w:rsidRPr="002F5FB6" w:rsidRDefault="002F5FB6" w:rsidP="00A620BD">
            <w:pPr>
              <w:spacing w:line="240" w:lineRule="auto"/>
              <w:ind w:firstLineChars="0" w:firstLine="0"/>
              <w:jc w:val="center"/>
              <w:rPr>
                <w:sz w:val="21"/>
                <w:szCs w:val="21"/>
              </w:rPr>
            </w:pPr>
            <w:r w:rsidRPr="002F5FB6">
              <w:rPr>
                <w:rFonts w:hint="eastAsia"/>
                <w:sz w:val="21"/>
                <w:szCs w:val="21"/>
              </w:rPr>
              <w:t>新泰市</w:t>
            </w:r>
          </w:p>
        </w:tc>
        <w:tc>
          <w:tcPr>
            <w:tcW w:w="1199" w:type="dxa"/>
            <w:tcBorders>
              <w:top w:val="single" w:sz="4" w:space="0" w:color="auto"/>
              <w:left w:val="single" w:sz="6" w:space="0" w:color="auto"/>
              <w:bottom w:val="single" w:sz="6" w:space="0" w:color="auto"/>
              <w:right w:val="single" w:sz="4" w:space="0" w:color="auto"/>
            </w:tcBorders>
            <w:vAlign w:val="center"/>
          </w:tcPr>
          <w:p w:rsidR="002F5FB6" w:rsidRPr="002F5FB6" w:rsidRDefault="002F5FB6" w:rsidP="00A620BD">
            <w:pPr>
              <w:adjustRightInd/>
              <w:snapToGrid/>
              <w:spacing w:line="240" w:lineRule="auto"/>
              <w:ind w:firstLineChars="0" w:firstLine="0"/>
              <w:jc w:val="center"/>
              <w:textAlignment w:val="auto"/>
              <w:rPr>
                <w:kern w:val="2"/>
                <w:sz w:val="21"/>
                <w:szCs w:val="21"/>
              </w:rPr>
            </w:pPr>
            <w:r w:rsidRPr="002F5FB6">
              <w:rPr>
                <w:rFonts w:hint="eastAsia"/>
                <w:kern w:val="2"/>
                <w:sz w:val="21"/>
                <w:szCs w:val="21"/>
              </w:rPr>
              <w:t>204</w:t>
            </w:r>
          </w:p>
        </w:tc>
        <w:tc>
          <w:tcPr>
            <w:tcW w:w="733" w:type="dxa"/>
            <w:tcBorders>
              <w:top w:val="single" w:sz="4" w:space="0" w:color="auto"/>
              <w:left w:val="single" w:sz="4" w:space="0" w:color="auto"/>
              <w:bottom w:val="single" w:sz="6" w:space="0" w:color="auto"/>
              <w:right w:val="single" w:sz="4" w:space="0" w:color="auto"/>
            </w:tcBorders>
            <w:vAlign w:val="center"/>
          </w:tcPr>
          <w:p w:rsidR="002F5FB6" w:rsidRPr="002F5FB6" w:rsidRDefault="002F5FB6" w:rsidP="00A620BD">
            <w:pPr>
              <w:adjustRightInd/>
              <w:snapToGrid/>
              <w:spacing w:line="240" w:lineRule="auto"/>
              <w:ind w:firstLineChars="0" w:firstLine="0"/>
              <w:jc w:val="center"/>
              <w:textAlignment w:val="auto"/>
              <w:rPr>
                <w:kern w:val="2"/>
                <w:sz w:val="21"/>
                <w:szCs w:val="21"/>
              </w:rPr>
            </w:pPr>
            <w:r w:rsidRPr="002F5FB6">
              <w:rPr>
                <w:rFonts w:hint="eastAsia"/>
                <w:kern w:val="2"/>
                <w:sz w:val="21"/>
                <w:szCs w:val="21"/>
              </w:rPr>
              <w:t>汽运</w:t>
            </w:r>
          </w:p>
        </w:tc>
        <w:tc>
          <w:tcPr>
            <w:tcW w:w="1133" w:type="dxa"/>
            <w:tcBorders>
              <w:top w:val="single" w:sz="4" w:space="0" w:color="auto"/>
              <w:left w:val="single" w:sz="4" w:space="0" w:color="auto"/>
              <w:bottom w:val="single" w:sz="6" w:space="0" w:color="auto"/>
              <w:right w:val="single" w:sz="6" w:space="0" w:color="auto"/>
            </w:tcBorders>
            <w:vAlign w:val="center"/>
          </w:tcPr>
          <w:p w:rsidR="002F5FB6" w:rsidRPr="002F5FB6" w:rsidRDefault="002F5FB6" w:rsidP="00A620BD">
            <w:pPr>
              <w:spacing w:line="240" w:lineRule="auto"/>
              <w:ind w:firstLineChars="0" w:firstLine="0"/>
              <w:jc w:val="center"/>
              <w:rPr>
                <w:sz w:val="21"/>
                <w:szCs w:val="21"/>
              </w:rPr>
            </w:pPr>
            <w:r w:rsidRPr="002F5FB6">
              <w:rPr>
                <w:rFonts w:hint="eastAsia"/>
                <w:sz w:val="21"/>
                <w:szCs w:val="21"/>
              </w:rPr>
              <w:t>1</w:t>
            </w:r>
            <w:r w:rsidRPr="002F5FB6">
              <w:rPr>
                <w:sz w:val="21"/>
                <w:szCs w:val="21"/>
              </w:rPr>
              <w:t>6</w:t>
            </w:r>
          </w:p>
        </w:tc>
        <w:tc>
          <w:tcPr>
            <w:tcW w:w="963" w:type="dxa"/>
            <w:tcBorders>
              <w:top w:val="single" w:sz="4" w:space="0" w:color="auto"/>
              <w:left w:val="single" w:sz="6" w:space="0" w:color="auto"/>
              <w:bottom w:val="single" w:sz="6" w:space="0" w:color="auto"/>
              <w:right w:val="single" w:sz="6" w:space="0" w:color="auto"/>
            </w:tcBorders>
            <w:vAlign w:val="center"/>
          </w:tcPr>
          <w:p w:rsidR="002F5FB6" w:rsidRPr="002F5FB6" w:rsidRDefault="002F5FB6" w:rsidP="00A620BD">
            <w:pPr>
              <w:spacing w:line="240" w:lineRule="auto"/>
              <w:ind w:firstLineChars="0" w:firstLine="0"/>
              <w:jc w:val="center"/>
              <w:rPr>
                <w:sz w:val="21"/>
                <w:szCs w:val="21"/>
              </w:rPr>
            </w:pPr>
            <w:r w:rsidRPr="002F5FB6">
              <w:rPr>
                <w:rFonts w:hint="eastAsia"/>
                <w:sz w:val="21"/>
                <w:szCs w:val="21"/>
              </w:rPr>
              <w:t>1</w:t>
            </w:r>
            <w:r w:rsidRPr="002F5FB6">
              <w:rPr>
                <w:sz w:val="21"/>
                <w:szCs w:val="21"/>
              </w:rPr>
              <w:t>3</w:t>
            </w:r>
          </w:p>
        </w:tc>
        <w:tc>
          <w:tcPr>
            <w:tcW w:w="1028" w:type="dxa"/>
            <w:tcBorders>
              <w:top w:val="single" w:sz="4" w:space="0" w:color="auto"/>
              <w:left w:val="single" w:sz="6" w:space="0" w:color="auto"/>
              <w:bottom w:val="single" w:sz="6" w:space="0" w:color="auto"/>
              <w:right w:val="single" w:sz="4" w:space="0" w:color="auto"/>
            </w:tcBorders>
            <w:vAlign w:val="center"/>
          </w:tcPr>
          <w:p w:rsidR="002F5FB6" w:rsidRPr="00732772" w:rsidRDefault="002F5FB6" w:rsidP="00A620BD">
            <w:pPr>
              <w:adjustRightInd/>
              <w:snapToGrid/>
              <w:spacing w:line="240" w:lineRule="auto"/>
              <w:ind w:firstLineChars="0" w:firstLine="0"/>
              <w:jc w:val="center"/>
              <w:textAlignment w:val="auto"/>
              <w:rPr>
                <w:kern w:val="2"/>
                <w:sz w:val="21"/>
                <w:szCs w:val="21"/>
              </w:rPr>
            </w:pPr>
            <w:r>
              <w:rPr>
                <w:rFonts w:hint="eastAsia"/>
                <w:kern w:val="2"/>
                <w:sz w:val="21"/>
                <w:szCs w:val="21"/>
              </w:rPr>
              <w:t>430</w:t>
            </w:r>
          </w:p>
        </w:tc>
      </w:tr>
      <w:tr w:rsidR="002F5FB6" w:rsidRPr="00732772" w:rsidTr="002F5FB6">
        <w:trPr>
          <w:cantSplit/>
          <w:trHeight w:val="455"/>
          <w:jc w:val="center"/>
        </w:trPr>
        <w:tc>
          <w:tcPr>
            <w:tcW w:w="641" w:type="dxa"/>
            <w:vMerge/>
            <w:tcBorders>
              <w:top w:val="single" w:sz="4" w:space="0" w:color="auto"/>
              <w:left w:val="single" w:sz="6" w:space="0" w:color="auto"/>
              <w:right w:val="single" w:sz="6" w:space="0" w:color="auto"/>
            </w:tcBorders>
            <w:vAlign w:val="center"/>
          </w:tcPr>
          <w:p w:rsidR="002F5FB6" w:rsidRPr="00732772" w:rsidRDefault="002F5FB6">
            <w:pPr>
              <w:adjustRightInd/>
              <w:snapToGrid/>
              <w:spacing w:line="240" w:lineRule="auto"/>
              <w:ind w:firstLineChars="0" w:firstLine="0"/>
              <w:jc w:val="center"/>
              <w:textAlignment w:val="auto"/>
              <w:rPr>
                <w:kern w:val="2"/>
                <w:sz w:val="21"/>
                <w:szCs w:val="21"/>
              </w:rPr>
            </w:pPr>
          </w:p>
        </w:tc>
        <w:tc>
          <w:tcPr>
            <w:tcW w:w="1636" w:type="dxa"/>
            <w:tcBorders>
              <w:top w:val="single" w:sz="4" w:space="0" w:color="auto"/>
              <w:left w:val="single" w:sz="6" w:space="0" w:color="auto"/>
              <w:bottom w:val="single" w:sz="6" w:space="0" w:color="auto"/>
              <w:right w:val="single" w:sz="4" w:space="0" w:color="auto"/>
            </w:tcBorders>
            <w:vAlign w:val="center"/>
          </w:tcPr>
          <w:p w:rsidR="002F5FB6" w:rsidRPr="002F5FB6" w:rsidRDefault="002F5FB6" w:rsidP="00A620BD">
            <w:pPr>
              <w:pStyle w:val="afa"/>
            </w:pPr>
            <w:r w:rsidRPr="002F5FB6">
              <w:t>聚酰亚胺</w:t>
            </w:r>
            <w:r w:rsidRPr="002F5FB6">
              <w:rPr>
                <w:rFonts w:hint="eastAsia"/>
              </w:rPr>
              <w:t>薄膜</w:t>
            </w:r>
          </w:p>
        </w:tc>
        <w:tc>
          <w:tcPr>
            <w:tcW w:w="1562" w:type="dxa"/>
            <w:tcBorders>
              <w:top w:val="single" w:sz="4" w:space="0" w:color="auto"/>
              <w:left w:val="single" w:sz="4" w:space="0" w:color="auto"/>
              <w:bottom w:val="single" w:sz="6" w:space="0" w:color="auto"/>
              <w:right w:val="single" w:sz="6" w:space="0" w:color="auto"/>
            </w:tcBorders>
            <w:vAlign w:val="center"/>
          </w:tcPr>
          <w:p w:rsidR="002F5FB6" w:rsidRPr="002F5FB6" w:rsidRDefault="002F5FB6" w:rsidP="00A620BD">
            <w:pPr>
              <w:spacing w:line="240" w:lineRule="auto"/>
              <w:ind w:firstLineChars="0" w:firstLine="0"/>
              <w:jc w:val="center"/>
              <w:rPr>
                <w:sz w:val="21"/>
                <w:szCs w:val="21"/>
              </w:rPr>
            </w:pPr>
            <w:r w:rsidRPr="002F5FB6">
              <w:rPr>
                <w:rFonts w:hint="eastAsia"/>
                <w:sz w:val="21"/>
                <w:szCs w:val="21"/>
              </w:rPr>
              <w:t>芜湖市</w:t>
            </w:r>
          </w:p>
        </w:tc>
        <w:tc>
          <w:tcPr>
            <w:tcW w:w="1199" w:type="dxa"/>
            <w:tcBorders>
              <w:top w:val="single" w:sz="4" w:space="0" w:color="auto"/>
              <w:left w:val="single" w:sz="6" w:space="0" w:color="auto"/>
              <w:bottom w:val="single" w:sz="6" w:space="0" w:color="auto"/>
              <w:right w:val="single" w:sz="4" w:space="0" w:color="auto"/>
            </w:tcBorders>
            <w:vAlign w:val="center"/>
          </w:tcPr>
          <w:p w:rsidR="002F5FB6" w:rsidRPr="002F5FB6" w:rsidRDefault="002F5FB6" w:rsidP="00A620BD">
            <w:pPr>
              <w:adjustRightInd/>
              <w:snapToGrid/>
              <w:spacing w:line="240" w:lineRule="auto"/>
              <w:ind w:firstLineChars="0" w:firstLine="0"/>
              <w:jc w:val="center"/>
              <w:textAlignment w:val="auto"/>
              <w:rPr>
                <w:kern w:val="2"/>
                <w:sz w:val="21"/>
                <w:szCs w:val="21"/>
              </w:rPr>
            </w:pPr>
            <w:r w:rsidRPr="002F5FB6">
              <w:rPr>
                <w:rFonts w:hint="eastAsia"/>
                <w:kern w:val="2"/>
                <w:sz w:val="21"/>
                <w:szCs w:val="21"/>
              </w:rPr>
              <w:t>28.8</w:t>
            </w:r>
          </w:p>
        </w:tc>
        <w:tc>
          <w:tcPr>
            <w:tcW w:w="733" w:type="dxa"/>
            <w:tcBorders>
              <w:top w:val="single" w:sz="4" w:space="0" w:color="auto"/>
              <w:left w:val="single" w:sz="4" w:space="0" w:color="auto"/>
              <w:bottom w:val="single" w:sz="6" w:space="0" w:color="auto"/>
              <w:right w:val="single" w:sz="4" w:space="0" w:color="auto"/>
            </w:tcBorders>
            <w:vAlign w:val="center"/>
          </w:tcPr>
          <w:p w:rsidR="002F5FB6" w:rsidRPr="002F5FB6" w:rsidRDefault="002F5FB6" w:rsidP="00A620BD">
            <w:pPr>
              <w:adjustRightInd/>
              <w:snapToGrid/>
              <w:spacing w:line="240" w:lineRule="auto"/>
              <w:ind w:firstLineChars="0" w:firstLine="0"/>
              <w:jc w:val="center"/>
              <w:textAlignment w:val="auto"/>
              <w:rPr>
                <w:kern w:val="2"/>
                <w:sz w:val="21"/>
                <w:szCs w:val="21"/>
              </w:rPr>
            </w:pPr>
            <w:r w:rsidRPr="002F5FB6">
              <w:rPr>
                <w:rFonts w:hint="eastAsia"/>
                <w:kern w:val="2"/>
                <w:sz w:val="21"/>
                <w:szCs w:val="21"/>
              </w:rPr>
              <w:t>汽运</w:t>
            </w:r>
          </w:p>
        </w:tc>
        <w:tc>
          <w:tcPr>
            <w:tcW w:w="1133" w:type="dxa"/>
            <w:tcBorders>
              <w:top w:val="single" w:sz="4" w:space="0" w:color="auto"/>
              <w:left w:val="single" w:sz="4" w:space="0" w:color="auto"/>
              <w:bottom w:val="single" w:sz="6" w:space="0" w:color="auto"/>
              <w:right w:val="single" w:sz="6" w:space="0" w:color="auto"/>
            </w:tcBorders>
            <w:vAlign w:val="center"/>
          </w:tcPr>
          <w:p w:rsidR="002F5FB6" w:rsidRPr="002F5FB6" w:rsidRDefault="002F5FB6" w:rsidP="00A620BD">
            <w:pPr>
              <w:spacing w:line="240" w:lineRule="auto"/>
              <w:ind w:firstLineChars="0" w:firstLine="0"/>
              <w:jc w:val="center"/>
              <w:rPr>
                <w:sz w:val="21"/>
                <w:szCs w:val="21"/>
              </w:rPr>
            </w:pPr>
            <w:r w:rsidRPr="002F5FB6">
              <w:rPr>
                <w:rFonts w:hint="eastAsia"/>
                <w:sz w:val="21"/>
                <w:szCs w:val="21"/>
              </w:rPr>
              <w:t>4</w:t>
            </w:r>
          </w:p>
        </w:tc>
        <w:tc>
          <w:tcPr>
            <w:tcW w:w="963" w:type="dxa"/>
            <w:tcBorders>
              <w:top w:val="single" w:sz="4" w:space="0" w:color="auto"/>
              <w:left w:val="single" w:sz="6" w:space="0" w:color="auto"/>
              <w:bottom w:val="single" w:sz="6" w:space="0" w:color="auto"/>
              <w:right w:val="single" w:sz="6" w:space="0" w:color="auto"/>
            </w:tcBorders>
            <w:vAlign w:val="center"/>
          </w:tcPr>
          <w:p w:rsidR="002F5FB6" w:rsidRPr="002F5FB6" w:rsidRDefault="002F5FB6" w:rsidP="00A620BD">
            <w:pPr>
              <w:spacing w:line="240" w:lineRule="auto"/>
              <w:ind w:firstLineChars="0" w:firstLine="0"/>
              <w:jc w:val="center"/>
              <w:rPr>
                <w:sz w:val="21"/>
                <w:szCs w:val="21"/>
              </w:rPr>
            </w:pPr>
            <w:r w:rsidRPr="002F5FB6">
              <w:rPr>
                <w:rFonts w:hint="eastAsia"/>
                <w:sz w:val="21"/>
                <w:szCs w:val="21"/>
              </w:rPr>
              <w:t>8</w:t>
            </w:r>
          </w:p>
        </w:tc>
        <w:tc>
          <w:tcPr>
            <w:tcW w:w="1028" w:type="dxa"/>
            <w:tcBorders>
              <w:top w:val="single" w:sz="4" w:space="0" w:color="auto"/>
              <w:left w:val="single" w:sz="6" w:space="0" w:color="auto"/>
              <w:bottom w:val="single" w:sz="6" w:space="0" w:color="auto"/>
              <w:right w:val="single" w:sz="4" w:space="0" w:color="auto"/>
            </w:tcBorders>
            <w:vAlign w:val="center"/>
          </w:tcPr>
          <w:p w:rsidR="002F5FB6" w:rsidRPr="00732772" w:rsidRDefault="00D02D9C" w:rsidP="00A620BD">
            <w:pPr>
              <w:adjustRightInd/>
              <w:snapToGrid/>
              <w:spacing w:line="240" w:lineRule="auto"/>
              <w:ind w:firstLineChars="0" w:firstLine="0"/>
              <w:jc w:val="center"/>
              <w:textAlignment w:val="auto"/>
              <w:rPr>
                <w:kern w:val="2"/>
                <w:sz w:val="21"/>
                <w:szCs w:val="21"/>
              </w:rPr>
            </w:pPr>
            <w:r>
              <w:rPr>
                <w:rFonts w:hint="eastAsia"/>
                <w:kern w:val="2"/>
                <w:sz w:val="21"/>
                <w:szCs w:val="21"/>
              </w:rPr>
              <w:t>750</w:t>
            </w:r>
          </w:p>
        </w:tc>
      </w:tr>
      <w:tr w:rsidR="002F5FB6" w:rsidRPr="00732772" w:rsidTr="002F5FB6">
        <w:trPr>
          <w:cantSplit/>
          <w:trHeight w:val="455"/>
          <w:jc w:val="center"/>
        </w:trPr>
        <w:tc>
          <w:tcPr>
            <w:tcW w:w="641" w:type="dxa"/>
            <w:vMerge/>
            <w:tcBorders>
              <w:top w:val="single" w:sz="4" w:space="0" w:color="auto"/>
              <w:left w:val="single" w:sz="6" w:space="0" w:color="auto"/>
              <w:right w:val="single" w:sz="6" w:space="0" w:color="auto"/>
            </w:tcBorders>
            <w:vAlign w:val="center"/>
          </w:tcPr>
          <w:p w:rsidR="002F5FB6" w:rsidRPr="00732772" w:rsidRDefault="002F5FB6">
            <w:pPr>
              <w:adjustRightInd/>
              <w:snapToGrid/>
              <w:spacing w:line="240" w:lineRule="auto"/>
              <w:ind w:firstLineChars="0" w:firstLine="0"/>
              <w:jc w:val="center"/>
              <w:textAlignment w:val="auto"/>
              <w:rPr>
                <w:kern w:val="2"/>
                <w:sz w:val="21"/>
                <w:szCs w:val="21"/>
              </w:rPr>
            </w:pPr>
          </w:p>
        </w:tc>
        <w:tc>
          <w:tcPr>
            <w:tcW w:w="1636" w:type="dxa"/>
            <w:tcBorders>
              <w:top w:val="single" w:sz="4" w:space="0" w:color="auto"/>
              <w:left w:val="single" w:sz="6" w:space="0" w:color="auto"/>
              <w:bottom w:val="single" w:sz="6" w:space="0" w:color="auto"/>
              <w:right w:val="single" w:sz="4" w:space="0" w:color="auto"/>
            </w:tcBorders>
            <w:vAlign w:val="center"/>
          </w:tcPr>
          <w:p w:rsidR="002F5FB6" w:rsidRPr="002F5FB6" w:rsidRDefault="002F5FB6" w:rsidP="00A620BD">
            <w:pPr>
              <w:pStyle w:val="afa"/>
            </w:pPr>
            <w:r w:rsidRPr="002F5FB6">
              <w:t>拉丝油</w:t>
            </w:r>
          </w:p>
        </w:tc>
        <w:tc>
          <w:tcPr>
            <w:tcW w:w="1562" w:type="dxa"/>
            <w:tcBorders>
              <w:top w:val="single" w:sz="4" w:space="0" w:color="auto"/>
              <w:left w:val="single" w:sz="4" w:space="0" w:color="auto"/>
              <w:bottom w:val="single" w:sz="6" w:space="0" w:color="auto"/>
              <w:right w:val="single" w:sz="6" w:space="0" w:color="auto"/>
            </w:tcBorders>
            <w:vAlign w:val="center"/>
          </w:tcPr>
          <w:p w:rsidR="002F5FB6" w:rsidRPr="002F5FB6" w:rsidRDefault="002F5FB6" w:rsidP="00A620BD">
            <w:pPr>
              <w:spacing w:line="240" w:lineRule="auto"/>
              <w:ind w:firstLineChars="0" w:firstLine="0"/>
              <w:jc w:val="center"/>
              <w:rPr>
                <w:sz w:val="21"/>
                <w:szCs w:val="21"/>
              </w:rPr>
            </w:pPr>
            <w:r w:rsidRPr="002F5FB6">
              <w:rPr>
                <w:rFonts w:hint="eastAsia"/>
                <w:sz w:val="21"/>
                <w:szCs w:val="21"/>
              </w:rPr>
              <w:t>新乡县</w:t>
            </w:r>
          </w:p>
        </w:tc>
        <w:tc>
          <w:tcPr>
            <w:tcW w:w="1199" w:type="dxa"/>
            <w:tcBorders>
              <w:top w:val="single" w:sz="4" w:space="0" w:color="auto"/>
              <w:left w:val="single" w:sz="6" w:space="0" w:color="auto"/>
              <w:bottom w:val="single" w:sz="6" w:space="0" w:color="auto"/>
              <w:right w:val="single" w:sz="4" w:space="0" w:color="auto"/>
            </w:tcBorders>
            <w:vAlign w:val="center"/>
          </w:tcPr>
          <w:p w:rsidR="002F5FB6" w:rsidRPr="002F5FB6" w:rsidRDefault="002F5FB6" w:rsidP="00A620BD">
            <w:pPr>
              <w:adjustRightInd/>
              <w:snapToGrid/>
              <w:spacing w:line="240" w:lineRule="auto"/>
              <w:ind w:firstLineChars="0" w:firstLine="0"/>
              <w:jc w:val="center"/>
              <w:textAlignment w:val="auto"/>
              <w:rPr>
                <w:kern w:val="2"/>
                <w:sz w:val="21"/>
                <w:szCs w:val="21"/>
              </w:rPr>
            </w:pPr>
            <w:r w:rsidRPr="002F5FB6">
              <w:rPr>
                <w:rFonts w:hint="eastAsia"/>
                <w:kern w:val="2"/>
                <w:sz w:val="21"/>
                <w:szCs w:val="21"/>
              </w:rPr>
              <w:t>9</w:t>
            </w:r>
          </w:p>
        </w:tc>
        <w:tc>
          <w:tcPr>
            <w:tcW w:w="733" w:type="dxa"/>
            <w:tcBorders>
              <w:top w:val="single" w:sz="4" w:space="0" w:color="auto"/>
              <w:left w:val="single" w:sz="4" w:space="0" w:color="auto"/>
              <w:bottom w:val="single" w:sz="6" w:space="0" w:color="auto"/>
              <w:right w:val="single" w:sz="4" w:space="0" w:color="auto"/>
            </w:tcBorders>
            <w:vAlign w:val="center"/>
          </w:tcPr>
          <w:p w:rsidR="002F5FB6" w:rsidRPr="002F5FB6" w:rsidRDefault="002F5FB6" w:rsidP="00A620BD">
            <w:pPr>
              <w:adjustRightInd/>
              <w:snapToGrid/>
              <w:spacing w:line="240" w:lineRule="auto"/>
              <w:ind w:firstLineChars="0" w:firstLine="0"/>
              <w:jc w:val="center"/>
              <w:textAlignment w:val="auto"/>
              <w:rPr>
                <w:kern w:val="2"/>
                <w:sz w:val="21"/>
                <w:szCs w:val="21"/>
              </w:rPr>
            </w:pPr>
            <w:r w:rsidRPr="002F5FB6">
              <w:rPr>
                <w:rFonts w:hint="eastAsia"/>
                <w:kern w:val="2"/>
                <w:sz w:val="21"/>
                <w:szCs w:val="21"/>
              </w:rPr>
              <w:t>汽运</w:t>
            </w:r>
          </w:p>
        </w:tc>
        <w:tc>
          <w:tcPr>
            <w:tcW w:w="1133" w:type="dxa"/>
            <w:tcBorders>
              <w:top w:val="single" w:sz="4" w:space="0" w:color="auto"/>
              <w:left w:val="single" w:sz="4" w:space="0" w:color="auto"/>
              <w:bottom w:val="single" w:sz="6" w:space="0" w:color="auto"/>
              <w:right w:val="single" w:sz="6" w:space="0" w:color="auto"/>
            </w:tcBorders>
            <w:vAlign w:val="center"/>
          </w:tcPr>
          <w:p w:rsidR="002F5FB6" w:rsidRPr="002F5FB6" w:rsidRDefault="002F5FB6" w:rsidP="00A620BD">
            <w:pPr>
              <w:spacing w:line="240" w:lineRule="auto"/>
              <w:ind w:firstLineChars="0" w:firstLine="0"/>
              <w:jc w:val="center"/>
              <w:rPr>
                <w:sz w:val="21"/>
                <w:szCs w:val="21"/>
              </w:rPr>
            </w:pPr>
            <w:r w:rsidRPr="002F5FB6">
              <w:rPr>
                <w:rFonts w:hint="eastAsia"/>
                <w:sz w:val="21"/>
                <w:szCs w:val="21"/>
              </w:rPr>
              <w:t>9</w:t>
            </w:r>
          </w:p>
        </w:tc>
        <w:tc>
          <w:tcPr>
            <w:tcW w:w="963" w:type="dxa"/>
            <w:tcBorders>
              <w:top w:val="single" w:sz="4" w:space="0" w:color="auto"/>
              <w:left w:val="single" w:sz="6" w:space="0" w:color="auto"/>
              <w:bottom w:val="single" w:sz="6" w:space="0" w:color="auto"/>
              <w:right w:val="single" w:sz="6" w:space="0" w:color="auto"/>
            </w:tcBorders>
            <w:vAlign w:val="center"/>
          </w:tcPr>
          <w:p w:rsidR="002F5FB6" w:rsidRPr="002F5FB6" w:rsidRDefault="002F5FB6" w:rsidP="00A620BD">
            <w:pPr>
              <w:spacing w:line="240" w:lineRule="auto"/>
              <w:ind w:firstLineChars="0" w:firstLine="0"/>
              <w:jc w:val="center"/>
              <w:rPr>
                <w:sz w:val="21"/>
                <w:szCs w:val="21"/>
              </w:rPr>
            </w:pPr>
            <w:r w:rsidRPr="002F5FB6">
              <w:rPr>
                <w:rFonts w:hint="eastAsia"/>
                <w:sz w:val="21"/>
                <w:szCs w:val="21"/>
              </w:rPr>
              <w:t>1</w:t>
            </w:r>
          </w:p>
        </w:tc>
        <w:tc>
          <w:tcPr>
            <w:tcW w:w="1028" w:type="dxa"/>
            <w:tcBorders>
              <w:top w:val="single" w:sz="4" w:space="0" w:color="auto"/>
              <w:left w:val="single" w:sz="6" w:space="0" w:color="auto"/>
              <w:bottom w:val="single" w:sz="6" w:space="0" w:color="auto"/>
              <w:right w:val="single" w:sz="4" w:space="0" w:color="auto"/>
            </w:tcBorders>
            <w:vAlign w:val="center"/>
          </w:tcPr>
          <w:p w:rsidR="002F5FB6" w:rsidRPr="00732772" w:rsidRDefault="00D02D9C" w:rsidP="00A620BD">
            <w:pPr>
              <w:adjustRightInd/>
              <w:snapToGrid/>
              <w:spacing w:line="240" w:lineRule="auto"/>
              <w:ind w:firstLineChars="0" w:firstLine="0"/>
              <w:jc w:val="center"/>
              <w:textAlignment w:val="auto"/>
              <w:rPr>
                <w:kern w:val="2"/>
                <w:sz w:val="21"/>
                <w:szCs w:val="21"/>
              </w:rPr>
            </w:pPr>
            <w:r>
              <w:rPr>
                <w:rFonts w:hint="eastAsia"/>
                <w:kern w:val="2"/>
                <w:sz w:val="21"/>
                <w:szCs w:val="21"/>
              </w:rPr>
              <w:t>20</w:t>
            </w:r>
          </w:p>
        </w:tc>
      </w:tr>
      <w:tr w:rsidR="002F5FB6" w:rsidRPr="00732772" w:rsidTr="002F5FB6">
        <w:trPr>
          <w:cantSplit/>
          <w:trHeight w:val="455"/>
          <w:jc w:val="center"/>
        </w:trPr>
        <w:tc>
          <w:tcPr>
            <w:tcW w:w="641" w:type="dxa"/>
            <w:vMerge/>
            <w:tcBorders>
              <w:top w:val="single" w:sz="4" w:space="0" w:color="auto"/>
              <w:left w:val="single" w:sz="6" w:space="0" w:color="auto"/>
              <w:right w:val="single" w:sz="6" w:space="0" w:color="auto"/>
            </w:tcBorders>
            <w:vAlign w:val="center"/>
          </w:tcPr>
          <w:p w:rsidR="002F5FB6" w:rsidRPr="00732772" w:rsidRDefault="002F5FB6">
            <w:pPr>
              <w:adjustRightInd/>
              <w:snapToGrid/>
              <w:spacing w:line="240" w:lineRule="auto"/>
              <w:ind w:firstLineChars="0" w:firstLine="0"/>
              <w:jc w:val="center"/>
              <w:textAlignment w:val="auto"/>
              <w:rPr>
                <w:kern w:val="2"/>
                <w:sz w:val="21"/>
                <w:szCs w:val="21"/>
              </w:rPr>
            </w:pPr>
          </w:p>
        </w:tc>
        <w:tc>
          <w:tcPr>
            <w:tcW w:w="1636" w:type="dxa"/>
            <w:tcBorders>
              <w:top w:val="single" w:sz="4" w:space="0" w:color="auto"/>
              <w:left w:val="single" w:sz="6" w:space="0" w:color="auto"/>
              <w:bottom w:val="single" w:sz="6" w:space="0" w:color="auto"/>
              <w:right w:val="single" w:sz="4" w:space="0" w:color="auto"/>
            </w:tcBorders>
            <w:vAlign w:val="center"/>
          </w:tcPr>
          <w:p w:rsidR="002F5FB6" w:rsidRPr="002F5FB6" w:rsidRDefault="002F5FB6" w:rsidP="00A620BD">
            <w:pPr>
              <w:pStyle w:val="afa"/>
            </w:pPr>
            <w:r w:rsidRPr="002F5FB6">
              <w:rPr>
                <w:rFonts w:hint="eastAsia"/>
              </w:rPr>
              <w:t>排线油</w:t>
            </w:r>
          </w:p>
        </w:tc>
        <w:tc>
          <w:tcPr>
            <w:tcW w:w="1562" w:type="dxa"/>
            <w:tcBorders>
              <w:top w:val="single" w:sz="4" w:space="0" w:color="auto"/>
              <w:left w:val="single" w:sz="4" w:space="0" w:color="auto"/>
              <w:bottom w:val="single" w:sz="6" w:space="0" w:color="auto"/>
              <w:right w:val="single" w:sz="6" w:space="0" w:color="auto"/>
            </w:tcBorders>
            <w:vAlign w:val="center"/>
          </w:tcPr>
          <w:p w:rsidR="002F5FB6" w:rsidRPr="002F5FB6" w:rsidRDefault="002F5FB6" w:rsidP="00A620BD">
            <w:pPr>
              <w:spacing w:line="240" w:lineRule="auto"/>
              <w:ind w:firstLineChars="0" w:firstLine="0"/>
              <w:jc w:val="center"/>
              <w:rPr>
                <w:sz w:val="21"/>
                <w:szCs w:val="21"/>
              </w:rPr>
            </w:pPr>
            <w:r w:rsidRPr="002F5FB6">
              <w:rPr>
                <w:rFonts w:hint="eastAsia"/>
                <w:sz w:val="21"/>
                <w:szCs w:val="21"/>
              </w:rPr>
              <w:t>东莞市</w:t>
            </w:r>
          </w:p>
        </w:tc>
        <w:tc>
          <w:tcPr>
            <w:tcW w:w="1199" w:type="dxa"/>
            <w:tcBorders>
              <w:top w:val="single" w:sz="4" w:space="0" w:color="auto"/>
              <w:left w:val="single" w:sz="6" w:space="0" w:color="auto"/>
              <w:bottom w:val="single" w:sz="6" w:space="0" w:color="auto"/>
              <w:right w:val="single" w:sz="4" w:space="0" w:color="auto"/>
            </w:tcBorders>
            <w:vAlign w:val="center"/>
          </w:tcPr>
          <w:p w:rsidR="002F5FB6" w:rsidRPr="002F5FB6" w:rsidRDefault="002F5FB6" w:rsidP="00A620BD">
            <w:pPr>
              <w:adjustRightInd/>
              <w:snapToGrid/>
              <w:spacing w:line="240" w:lineRule="auto"/>
              <w:ind w:firstLineChars="0" w:firstLine="0"/>
              <w:jc w:val="center"/>
              <w:textAlignment w:val="auto"/>
              <w:rPr>
                <w:kern w:val="2"/>
                <w:sz w:val="21"/>
                <w:szCs w:val="21"/>
              </w:rPr>
            </w:pPr>
            <w:r w:rsidRPr="002F5FB6">
              <w:rPr>
                <w:rFonts w:hint="eastAsia"/>
                <w:kern w:val="2"/>
                <w:sz w:val="21"/>
                <w:szCs w:val="21"/>
              </w:rPr>
              <w:t>6</w:t>
            </w:r>
          </w:p>
        </w:tc>
        <w:tc>
          <w:tcPr>
            <w:tcW w:w="733" w:type="dxa"/>
            <w:tcBorders>
              <w:top w:val="single" w:sz="4" w:space="0" w:color="auto"/>
              <w:left w:val="single" w:sz="4" w:space="0" w:color="auto"/>
              <w:bottom w:val="single" w:sz="6" w:space="0" w:color="auto"/>
              <w:right w:val="single" w:sz="4" w:space="0" w:color="auto"/>
            </w:tcBorders>
            <w:vAlign w:val="center"/>
          </w:tcPr>
          <w:p w:rsidR="002F5FB6" w:rsidRPr="002F5FB6" w:rsidRDefault="002F5FB6" w:rsidP="00A620BD">
            <w:pPr>
              <w:adjustRightInd/>
              <w:snapToGrid/>
              <w:spacing w:line="240" w:lineRule="auto"/>
              <w:ind w:firstLineChars="0" w:firstLine="0"/>
              <w:jc w:val="center"/>
              <w:textAlignment w:val="auto"/>
              <w:rPr>
                <w:kern w:val="2"/>
                <w:sz w:val="21"/>
                <w:szCs w:val="21"/>
              </w:rPr>
            </w:pPr>
            <w:r w:rsidRPr="002F5FB6">
              <w:rPr>
                <w:rFonts w:hint="eastAsia"/>
                <w:kern w:val="2"/>
                <w:sz w:val="21"/>
                <w:szCs w:val="21"/>
              </w:rPr>
              <w:t>汽运</w:t>
            </w:r>
          </w:p>
        </w:tc>
        <w:tc>
          <w:tcPr>
            <w:tcW w:w="1133" w:type="dxa"/>
            <w:tcBorders>
              <w:top w:val="single" w:sz="4" w:space="0" w:color="auto"/>
              <w:left w:val="single" w:sz="4" w:space="0" w:color="auto"/>
              <w:bottom w:val="single" w:sz="6" w:space="0" w:color="auto"/>
              <w:right w:val="single" w:sz="6" w:space="0" w:color="auto"/>
            </w:tcBorders>
            <w:vAlign w:val="center"/>
          </w:tcPr>
          <w:p w:rsidR="002F5FB6" w:rsidRPr="002F5FB6" w:rsidRDefault="002F5FB6" w:rsidP="00A620BD">
            <w:pPr>
              <w:spacing w:line="240" w:lineRule="auto"/>
              <w:ind w:firstLineChars="0" w:firstLine="0"/>
              <w:jc w:val="center"/>
              <w:rPr>
                <w:sz w:val="21"/>
                <w:szCs w:val="21"/>
              </w:rPr>
            </w:pPr>
            <w:r w:rsidRPr="002F5FB6">
              <w:rPr>
                <w:rFonts w:hint="eastAsia"/>
                <w:sz w:val="21"/>
                <w:szCs w:val="21"/>
              </w:rPr>
              <w:t>2</w:t>
            </w:r>
          </w:p>
        </w:tc>
        <w:tc>
          <w:tcPr>
            <w:tcW w:w="963" w:type="dxa"/>
            <w:tcBorders>
              <w:top w:val="single" w:sz="4" w:space="0" w:color="auto"/>
              <w:left w:val="single" w:sz="6" w:space="0" w:color="auto"/>
              <w:bottom w:val="single" w:sz="6" w:space="0" w:color="auto"/>
              <w:right w:val="single" w:sz="6" w:space="0" w:color="auto"/>
            </w:tcBorders>
            <w:vAlign w:val="center"/>
          </w:tcPr>
          <w:p w:rsidR="002F5FB6" w:rsidRPr="002F5FB6" w:rsidRDefault="002F5FB6" w:rsidP="00A620BD">
            <w:pPr>
              <w:spacing w:line="240" w:lineRule="auto"/>
              <w:ind w:firstLineChars="0" w:firstLine="0"/>
              <w:jc w:val="center"/>
              <w:rPr>
                <w:sz w:val="21"/>
                <w:szCs w:val="21"/>
              </w:rPr>
            </w:pPr>
            <w:r w:rsidRPr="002F5FB6">
              <w:rPr>
                <w:rFonts w:hint="eastAsia"/>
                <w:sz w:val="21"/>
                <w:szCs w:val="21"/>
              </w:rPr>
              <w:t>3</w:t>
            </w:r>
          </w:p>
        </w:tc>
        <w:tc>
          <w:tcPr>
            <w:tcW w:w="1028" w:type="dxa"/>
            <w:tcBorders>
              <w:top w:val="single" w:sz="4" w:space="0" w:color="auto"/>
              <w:left w:val="single" w:sz="6" w:space="0" w:color="auto"/>
              <w:bottom w:val="single" w:sz="6" w:space="0" w:color="auto"/>
              <w:right w:val="single" w:sz="4" w:space="0" w:color="auto"/>
            </w:tcBorders>
            <w:vAlign w:val="center"/>
          </w:tcPr>
          <w:p w:rsidR="002F5FB6" w:rsidRPr="00732772" w:rsidRDefault="00D02D9C" w:rsidP="00A620BD">
            <w:pPr>
              <w:adjustRightInd/>
              <w:snapToGrid/>
              <w:spacing w:line="240" w:lineRule="auto"/>
              <w:ind w:firstLineChars="0" w:firstLine="0"/>
              <w:jc w:val="center"/>
              <w:textAlignment w:val="auto"/>
              <w:rPr>
                <w:kern w:val="2"/>
                <w:sz w:val="21"/>
                <w:szCs w:val="21"/>
              </w:rPr>
            </w:pPr>
            <w:r>
              <w:rPr>
                <w:rFonts w:hint="eastAsia"/>
                <w:kern w:val="2"/>
                <w:sz w:val="21"/>
                <w:szCs w:val="21"/>
              </w:rPr>
              <w:t>1500</w:t>
            </w:r>
          </w:p>
        </w:tc>
      </w:tr>
      <w:tr w:rsidR="002F5FB6" w:rsidRPr="00732772" w:rsidTr="002F5FB6">
        <w:trPr>
          <w:cantSplit/>
          <w:trHeight w:val="455"/>
          <w:jc w:val="center"/>
        </w:trPr>
        <w:tc>
          <w:tcPr>
            <w:tcW w:w="641" w:type="dxa"/>
            <w:vMerge w:val="restart"/>
            <w:tcBorders>
              <w:left w:val="single" w:sz="6" w:space="0" w:color="auto"/>
              <w:right w:val="single" w:sz="6" w:space="0" w:color="auto"/>
            </w:tcBorders>
            <w:vAlign w:val="center"/>
          </w:tcPr>
          <w:p w:rsidR="002F5FB6" w:rsidRPr="00732772" w:rsidRDefault="002F5FB6">
            <w:pPr>
              <w:adjustRightInd/>
              <w:snapToGrid/>
              <w:spacing w:line="240" w:lineRule="auto"/>
              <w:ind w:firstLineChars="0" w:firstLine="0"/>
              <w:jc w:val="center"/>
              <w:textAlignment w:val="auto"/>
              <w:rPr>
                <w:kern w:val="2"/>
                <w:sz w:val="21"/>
                <w:szCs w:val="21"/>
              </w:rPr>
            </w:pPr>
            <w:r w:rsidRPr="00732772">
              <w:rPr>
                <w:kern w:val="2"/>
                <w:sz w:val="21"/>
                <w:szCs w:val="21"/>
              </w:rPr>
              <w:t>产品</w:t>
            </w:r>
          </w:p>
        </w:tc>
        <w:tc>
          <w:tcPr>
            <w:tcW w:w="1636" w:type="dxa"/>
            <w:tcBorders>
              <w:top w:val="single" w:sz="6" w:space="0" w:color="auto"/>
              <w:left w:val="single" w:sz="6" w:space="0" w:color="auto"/>
              <w:bottom w:val="single" w:sz="6" w:space="0" w:color="auto"/>
              <w:right w:val="single" w:sz="4" w:space="0" w:color="auto"/>
            </w:tcBorders>
            <w:vAlign w:val="center"/>
          </w:tcPr>
          <w:p w:rsidR="002F5FB6" w:rsidRPr="002F5FB6" w:rsidRDefault="002F5FB6" w:rsidP="00A620BD">
            <w:pPr>
              <w:autoSpaceDE w:val="0"/>
              <w:autoSpaceDN w:val="0"/>
              <w:snapToGrid/>
              <w:spacing w:line="240" w:lineRule="auto"/>
              <w:ind w:firstLineChars="0" w:firstLine="0"/>
              <w:jc w:val="center"/>
              <w:textAlignment w:val="auto"/>
              <w:rPr>
                <w:rFonts w:ascii="宋体" w:hAnsi="TimesNewRomanPSMT" w:cs="宋体"/>
                <w:sz w:val="21"/>
                <w:szCs w:val="21"/>
              </w:rPr>
            </w:pPr>
            <w:r w:rsidRPr="002F5FB6">
              <w:rPr>
                <w:rFonts w:ascii="宋体" w:hAnsi="TimesNewRomanPSMT" w:cs="宋体" w:hint="eastAsia"/>
                <w:sz w:val="21"/>
                <w:szCs w:val="21"/>
              </w:rPr>
              <w:t>漆包线</w:t>
            </w:r>
          </w:p>
        </w:tc>
        <w:tc>
          <w:tcPr>
            <w:tcW w:w="1562" w:type="dxa"/>
            <w:tcBorders>
              <w:top w:val="single" w:sz="6" w:space="0" w:color="auto"/>
              <w:left w:val="single" w:sz="4" w:space="0" w:color="auto"/>
              <w:bottom w:val="single" w:sz="6" w:space="0" w:color="auto"/>
              <w:right w:val="single" w:sz="6" w:space="0" w:color="auto"/>
            </w:tcBorders>
            <w:vAlign w:val="center"/>
          </w:tcPr>
          <w:p w:rsidR="002F5FB6" w:rsidRPr="002F5FB6" w:rsidRDefault="002F5FB6" w:rsidP="00A620BD">
            <w:pPr>
              <w:spacing w:line="240" w:lineRule="auto"/>
              <w:ind w:firstLineChars="0" w:firstLine="0"/>
              <w:jc w:val="center"/>
              <w:rPr>
                <w:sz w:val="21"/>
                <w:szCs w:val="21"/>
              </w:rPr>
            </w:pPr>
            <w:r w:rsidRPr="002F5FB6">
              <w:rPr>
                <w:rFonts w:hint="eastAsia"/>
                <w:sz w:val="21"/>
                <w:szCs w:val="21"/>
              </w:rPr>
              <w:t>新乡县</w:t>
            </w:r>
          </w:p>
        </w:tc>
        <w:tc>
          <w:tcPr>
            <w:tcW w:w="1199" w:type="dxa"/>
            <w:tcBorders>
              <w:top w:val="single" w:sz="6" w:space="0" w:color="auto"/>
              <w:left w:val="single" w:sz="6" w:space="0" w:color="auto"/>
              <w:bottom w:val="single" w:sz="6" w:space="0" w:color="auto"/>
              <w:right w:val="single" w:sz="4" w:space="0" w:color="auto"/>
            </w:tcBorders>
            <w:vAlign w:val="center"/>
          </w:tcPr>
          <w:p w:rsidR="002F5FB6" w:rsidRPr="002F5FB6" w:rsidRDefault="002F5FB6" w:rsidP="00A620BD">
            <w:pPr>
              <w:adjustRightInd/>
              <w:snapToGrid/>
              <w:spacing w:line="240" w:lineRule="auto"/>
              <w:ind w:firstLineChars="0" w:firstLine="0"/>
              <w:jc w:val="center"/>
              <w:textAlignment w:val="auto"/>
              <w:rPr>
                <w:kern w:val="2"/>
                <w:sz w:val="21"/>
                <w:szCs w:val="21"/>
              </w:rPr>
            </w:pPr>
            <w:r w:rsidRPr="002F5FB6">
              <w:rPr>
                <w:rFonts w:hint="eastAsia"/>
                <w:kern w:val="2"/>
                <w:sz w:val="21"/>
                <w:szCs w:val="21"/>
              </w:rPr>
              <w:t>29000</w:t>
            </w:r>
          </w:p>
        </w:tc>
        <w:tc>
          <w:tcPr>
            <w:tcW w:w="733" w:type="dxa"/>
            <w:tcBorders>
              <w:top w:val="single" w:sz="6" w:space="0" w:color="auto"/>
              <w:left w:val="single" w:sz="4" w:space="0" w:color="auto"/>
              <w:bottom w:val="single" w:sz="6" w:space="0" w:color="auto"/>
              <w:right w:val="single" w:sz="4" w:space="0" w:color="auto"/>
            </w:tcBorders>
            <w:vAlign w:val="center"/>
          </w:tcPr>
          <w:p w:rsidR="002F5FB6" w:rsidRPr="002F5FB6" w:rsidRDefault="002F5FB6" w:rsidP="00A620BD">
            <w:pPr>
              <w:adjustRightInd/>
              <w:snapToGrid/>
              <w:spacing w:line="240" w:lineRule="auto"/>
              <w:ind w:firstLineChars="0" w:firstLine="0"/>
              <w:jc w:val="center"/>
              <w:textAlignment w:val="auto"/>
              <w:rPr>
                <w:kern w:val="2"/>
                <w:sz w:val="21"/>
                <w:szCs w:val="21"/>
                <w:u w:val="single"/>
              </w:rPr>
            </w:pPr>
            <w:r w:rsidRPr="002F5FB6">
              <w:rPr>
                <w:rFonts w:hint="eastAsia"/>
                <w:kern w:val="2"/>
                <w:sz w:val="21"/>
                <w:szCs w:val="21"/>
                <w:u w:val="single"/>
              </w:rPr>
              <w:t>汽运</w:t>
            </w:r>
          </w:p>
        </w:tc>
        <w:tc>
          <w:tcPr>
            <w:tcW w:w="1133" w:type="dxa"/>
            <w:tcBorders>
              <w:top w:val="single" w:sz="6" w:space="0" w:color="auto"/>
              <w:left w:val="single" w:sz="4" w:space="0" w:color="auto"/>
              <w:bottom w:val="single" w:sz="6" w:space="0" w:color="auto"/>
              <w:right w:val="single" w:sz="6" w:space="0" w:color="auto"/>
            </w:tcBorders>
            <w:vAlign w:val="center"/>
          </w:tcPr>
          <w:p w:rsidR="002F5FB6" w:rsidRPr="002F5FB6" w:rsidRDefault="002F5FB6" w:rsidP="00A620BD">
            <w:pPr>
              <w:spacing w:line="240" w:lineRule="auto"/>
              <w:ind w:firstLineChars="0" w:firstLine="0"/>
              <w:jc w:val="center"/>
              <w:rPr>
                <w:sz w:val="21"/>
                <w:szCs w:val="21"/>
              </w:rPr>
            </w:pPr>
            <w:r w:rsidRPr="002F5FB6">
              <w:rPr>
                <w:rFonts w:hint="eastAsia"/>
                <w:sz w:val="21"/>
                <w:szCs w:val="21"/>
              </w:rPr>
              <w:t>2</w:t>
            </w:r>
            <w:r w:rsidRPr="002F5FB6">
              <w:rPr>
                <w:sz w:val="21"/>
                <w:szCs w:val="21"/>
              </w:rPr>
              <w:t>5</w:t>
            </w:r>
          </w:p>
        </w:tc>
        <w:tc>
          <w:tcPr>
            <w:tcW w:w="963" w:type="dxa"/>
            <w:tcBorders>
              <w:top w:val="single" w:sz="6" w:space="0" w:color="auto"/>
              <w:left w:val="single" w:sz="6" w:space="0" w:color="auto"/>
              <w:bottom w:val="single" w:sz="6" w:space="0" w:color="auto"/>
              <w:right w:val="single" w:sz="6" w:space="0" w:color="auto"/>
            </w:tcBorders>
            <w:vAlign w:val="center"/>
          </w:tcPr>
          <w:p w:rsidR="002F5FB6" w:rsidRPr="002F5FB6" w:rsidRDefault="002F5FB6" w:rsidP="00A620BD">
            <w:pPr>
              <w:spacing w:line="240" w:lineRule="auto"/>
              <w:ind w:firstLineChars="0" w:firstLine="0"/>
              <w:jc w:val="center"/>
              <w:rPr>
                <w:sz w:val="21"/>
                <w:szCs w:val="21"/>
              </w:rPr>
            </w:pPr>
            <w:r w:rsidRPr="002F5FB6">
              <w:rPr>
                <w:rFonts w:hint="eastAsia"/>
                <w:sz w:val="21"/>
                <w:szCs w:val="21"/>
              </w:rPr>
              <w:t>1</w:t>
            </w:r>
            <w:r w:rsidRPr="002F5FB6">
              <w:rPr>
                <w:sz w:val="21"/>
                <w:szCs w:val="21"/>
              </w:rPr>
              <w:t>160</w:t>
            </w:r>
          </w:p>
        </w:tc>
        <w:tc>
          <w:tcPr>
            <w:tcW w:w="1028" w:type="dxa"/>
            <w:tcBorders>
              <w:top w:val="single" w:sz="4" w:space="0" w:color="auto"/>
              <w:left w:val="single" w:sz="6" w:space="0" w:color="auto"/>
              <w:bottom w:val="single" w:sz="4" w:space="0" w:color="auto"/>
              <w:right w:val="single" w:sz="4" w:space="0" w:color="auto"/>
            </w:tcBorders>
            <w:vAlign w:val="center"/>
          </w:tcPr>
          <w:p w:rsidR="002F5FB6" w:rsidRPr="00732772" w:rsidRDefault="007659B4" w:rsidP="00A620BD">
            <w:pPr>
              <w:adjustRightInd/>
              <w:snapToGrid/>
              <w:spacing w:line="240" w:lineRule="auto"/>
              <w:ind w:firstLineChars="0" w:firstLine="0"/>
              <w:jc w:val="center"/>
              <w:textAlignment w:val="auto"/>
              <w:rPr>
                <w:kern w:val="2"/>
                <w:sz w:val="21"/>
                <w:szCs w:val="21"/>
              </w:rPr>
            </w:pPr>
            <w:r>
              <w:rPr>
                <w:rFonts w:hint="eastAsia"/>
                <w:kern w:val="2"/>
                <w:sz w:val="21"/>
                <w:szCs w:val="21"/>
              </w:rPr>
              <w:t>600</w:t>
            </w:r>
          </w:p>
        </w:tc>
      </w:tr>
      <w:tr w:rsidR="002F5FB6" w:rsidRPr="00732772" w:rsidTr="002F5FB6">
        <w:trPr>
          <w:cantSplit/>
          <w:trHeight w:val="455"/>
          <w:jc w:val="center"/>
        </w:trPr>
        <w:tc>
          <w:tcPr>
            <w:tcW w:w="641" w:type="dxa"/>
            <w:vMerge/>
            <w:tcBorders>
              <w:left w:val="single" w:sz="6" w:space="0" w:color="auto"/>
              <w:right w:val="single" w:sz="6" w:space="0" w:color="auto"/>
            </w:tcBorders>
            <w:vAlign w:val="center"/>
          </w:tcPr>
          <w:p w:rsidR="002F5FB6" w:rsidRPr="00732772" w:rsidRDefault="002F5FB6">
            <w:pPr>
              <w:adjustRightInd/>
              <w:snapToGrid/>
              <w:spacing w:line="240" w:lineRule="auto"/>
              <w:ind w:firstLineChars="0" w:firstLine="0"/>
              <w:jc w:val="center"/>
              <w:textAlignment w:val="auto"/>
              <w:rPr>
                <w:kern w:val="2"/>
                <w:sz w:val="21"/>
                <w:szCs w:val="21"/>
              </w:rPr>
            </w:pPr>
          </w:p>
        </w:tc>
        <w:tc>
          <w:tcPr>
            <w:tcW w:w="1636" w:type="dxa"/>
            <w:tcBorders>
              <w:top w:val="single" w:sz="6" w:space="0" w:color="auto"/>
              <w:left w:val="single" w:sz="6" w:space="0" w:color="auto"/>
              <w:bottom w:val="single" w:sz="6" w:space="0" w:color="auto"/>
              <w:right w:val="single" w:sz="4" w:space="0" w:color="auto"/>
            </w:tcBorders>
            <w:vAlign w:val="center"/>
          </w:tcPr>
          <w:p w:rsidR="002F5FB6" w:rsidRPr="002F5FB6" w:rsidRDefault="002F5FB6" w:rsidP="00A620BD">
            <w:pPr>
              <w:autoSpaceDE w:val="0"/>
              <w:autoSpaceDN w:val="0"/>
              <w:snapToGrid/>
              <w:spacing w:line="240" w:lineRule="auto"/>
              <w:ind w:firstLineChars="0" w:firstLine="0"/>
              <w:jc w:val="center"/>
              <w:textAlignment w:val="auto"/>
              <w:rPr>
                <w:rFonts w:ascii="宋体" w:hAnsi="TimesNewRomanPSMT" w:cs="宋体"/>
                <w:sz w:val="21"/>
                <w:szCs w:val="21"/>
              </w:rPr>
            </w:pPr>
            <w:r w:rsidRPr="002F5FB6">
              <w:rPr>
                <w:rFonts w:ascii="宋体" w:hAnsi="TimesNewRomanPSMT" w:cs="宋体" w:hint="eastAsia"/>
                <w:sz w:val="21"/>
                <w:szCs w:val="21"/>
              </w:rPr>
              <w:t>丝包线</w:t>
            </w:r>
          </w:p>
        </w:tc>
        <w:tc>
          <w:tcPr>
            <w:tcW w:w="1562" w:type="dxa"/>
            <w:tcBorders>
              <w:top w:val="single" w:sz="6" w:space="0" w:color="auto"/>
              <w:left w:val="single" w:sz="4" w:space="0" w:color="auto"/>
              <w:bottom w:val="single" w:sz="6" w:space="0" w:color="auto"/>
              <w:right w:val="single" w:sz="6" w:space="0" w:color="auto"/>
            </w:tcBorders>
            <w:vAlign w:val="center"/>
          </w:tcPr>
          <w:p w:rsidR="002F5FB6" w:rsidRPr="002F5FB6" w:rsidRDefault="002F5FB6" w:rsidP="00A620BD">
            <w:pPr>
              <w:spacing w:line="240" w:lineRule="auto"/>
              <w:ind w:firstLineChars="0" w:firstLine="0"/>
              <w:jc w:val="center"/>
              <w:rPr>
                <w:sz w:val="21"/>
                <w:szCs w:val="21"/>
              </w:rPr>
            </w:pPr>
            <w:r w:rsidRPr="002F5FB6">
              <w:rPr>
                <w:rFonts w:hint="eastAsia"/>
                <w:sz w:val="21"/>
                <w:szCs w:val="21"/>
              </w:rPr>
              <w:t>新乡县</w:t>
            </w:r>
          </w:p>
        </w:tc>
        <w:tc>
          <w:tcPr>
            <w:tcW w:w="1199" w:type="dxa"/>
            <w:tcBorders>
              <w:top w:val="single" w:sz="6" w:space="0" w:color="auto"/>
              <w:left w:val="single" w:sz="6" w:space="0" w:color="auto"/>
              <w:bottom w:val="single" w:sz="6" w:space="0" w:color="auto"/>
              <w:right w:val="single" w:sz="4" w:space="0" w:color="auto"/>
            </w:tcBorders>
            <w:vAlign w:val="center"/>
          </w:tcPr>
          <w:p w:rsidR="002F5FB6" w:rsidRPr="002F5FB6" w:rsidRDefault="002F5FB6" w:rsidP="00A620BD">
            <w:pPr>
              <w:adjustRightInd/>
              <w:snapToGrid/>
              <w:spacing w:line="240" w:lineRule="auto"/>
              <w:ind w:firstLineChars="0" w:firstLine="0"/>
              <w:jc w:val="center"/>
              <w:textAlignment w:val="auto"/>
              <w:rPr>
                <w:kern w:val="2"/>
                <w:sz w:val="21"/>
                <w:szCs w:val="21"/>
              </w:rPr>
            </w:pPr>
            <w:r w:rsidRPr="002F5FB6">
              <w:rPr>
                <w:rFonts w:hint="eastAsia"/>
                <w:kern w:val="2"/>
                <w:sz w:val="21"/>
                <w:szCs w:val="21"/>
              </w:rPr>
              <w:t>8840</w:t>
            </w:r>
          </w:p>
        </w:tc>
        <w:tc>
          <w:tcPr>
            <w:tcW w:w="733" w:type="dxa"/>
            <w:tcBorders>
              <w:top w:val="single" w:sz="6" w:space="0" w:color="auto"/>
              <w:left w:val="single" w:sz="4" w:space="0" w:color="auto"/>
              <w:bottom w:val="single" w:sz="6" w:space="0" w:color="auto"/>
              <w:right w:val="single" w:sz="4" w:space="0" w:color="auto"/>
            </w:tcBorders>
            <w:vAlign w:val="center"/>
          </w:tcPr>
          <w:p w:rsidR="002F5FB6" w:rsidRPr="002F5FB6" w:rsidRDefault="002F5FB6" w:rsidP="00A620BD">
            <w:pPr>
              <w:adjustRightInd/>
              <w:snapToGrid/>
              <w:spacing w:line="240" w:lineRule="auto"/>
              <w:ind w:firstLineChars="0" w:firstLine="0"/>
              <w:jc w:val="center"/>
              <w:textAlignment w:val="auto"/>
              <w:rPr>
                <w:kern w:val="2"/>
                <w:sz w:val="21"/>
                <w:szCs w:val="21"/>
                <w:u w:val="single"/>
              </w:rPr>
            </w:pPr>
            <w:r w:rsidRPr="002F5FB6">
              <w:rPr>
                <w:rFonts w:hint="eastAsia"/>
                <w:kern w:val="2"/>
                <w:sz w:val="21"/>
                <w:szCs w:val="21"/>
                <w:u w:val="single"/>
              </w:rPr>
              <w:t>汽运</w:t>
            </w:r>
          </w:p>
        </w:tc>
        <w:tc>
          <w:tcPr>
            <w:tcW w:w="1133" w:type="dxa"/>
            <w:tcBorders>
              <w:top w:val="single" w:sz="6" w:space="0" w:color="auto"/>
              <w:left w:val="single" w:sz="4" w:space="0" w:color="auto"/>
              <w:bottom w:val="single" w:sz="6" w:space="0" w:color="auto"/>
              <w:right w:val="single" w:sz="6" w:space="0" w:color="auto"/>
            </w:tcBorders>
            <w:vAlign w:val="center"/>
          </w:tcPr>
          <w:p w:rsidR="002F5FB6" w:rsidRPr="002F5FB6" w:rsidRDefault="002F5FB6" w:rsidP="00A620BD">
            <w:pPr>
              <w:spacing w:line="240" w:lineRule="auto"/>
              <w:ind w:firstLineChars="0" w:firstLine="0"/>
              <w:jc w:val="center"/>
              <w:rPr>
                <w:sz w:val="21"/>
                <w:szCs w:val="21"/>
                <w:u w:val="single"/>
              </w:rPr>
            </w:pPr>
            <w:r w:rsidRPr="002F5FB6">
              <w:rPr>
                <w:rFonts w:hint="eastAsia"/>
                <w:sz w:val="21"/>
                <w:szCs w:val="21"/>
                <w:u w:val="single"/>
              </w:rPr>
              <w:t>2</w:t>
            </w:r>
            <w:r w:rsidRPr="002F5FB6">
              <w:rPr>
                <w:sz w:val="21"/>
                <w:szCs w:val="21"/>
                <w:u w:val="single"/>
              </w:rPr>
              <w:t>0</w:t>
            </w:r>
          </w:p>
        </w:tc>
        <w:tc>
          <w:tcPr>
            <w:tcW w:w="963" w:type="dxa"/>
            <w:tcBorders>
              <w:top w:val="single" w:sz="6" w:space="0" w:color="auto"/>
              <w:left w:val="single" w:sz="6" w:space="0" w:color="auto"/>
              <w:bottom w:val="single" w:sz="6" w:space="0" w:color="auto"/>
              <w:right w:val="single" w:sz="6" w:space="0" w:color="auto"/>
            </w:tcBorders>
            <w:vAlign w:val="center"/>
          </w:tcPr>
          <w:p w:rsidR="002F5FB6" w:rsidRPr="002F5FB6" w:rsidRDefault="002F5FB6" w:rsidP="00A620BD">
            <w:pPr>
              <w:spacing w:line="240" w:lineRule="auto"/>
              <w:ind w:firstLineChars="0" w:firstLine="0"/>
              <w:jc w:val="center"/>
              <w:rPr>
                <w:sz w:val="21"/>
                <w:szCs w:val="21"/>
              </w:rPr>
            </w:pPr>
            <w:r w:rsidRPr="002F5FB6">
              <w:rPr>
                <w:rFonts w:hint="eastAsia"/>
                <w:sz w:val="21"/>
                <w:szCs w:val="21"/>
              </w:rPr>
              <w:t>4</w:t>
            </w:r>
            <w:r w:rsidRPr="002F5FB6">
              <w:rPr>
                <w:sz w:val="21"/>
                <w:szCs w:val="21"/>
              </w:rPr>
              <w:t>42</w:t>
            </w:r>
          </w:p>
        </w:tc>
        <w:tc>
          <w:tcPr>
            <w:tcW w:w="1028" w:type="dxa"/>
            <w:tcBorders>
              <w:top w:val="single" w:sz="4" w:space="0" w:color="auto"/>
              <w:left w:val="single" w:sz="6" w:space="0" w:color="auto"/>
              <w:bottom w:val="single" w:sz="4" w:space="0" w:color="auto"/>
              <w:right w:val="single" w:sz="4" w:space="0" w:color="auto"/>
            </w:tcBorders>
            <w:vAlign w:val="center"/>
          </w:tcPr>
          <w:p w:rsidR="002F5FB6" w:rsidRPr="00732772" w:rsidRDefault="007659B4" w:rsidP="00A620BD">
            <w:pPr>
              <w:adjustRightInd/>
              <w:snapToGrid/>
              <w:spacing w:line="240" w:lineRule="auto"/>
              <w:ind w:firstLineChars="0" w:firstLine="0"/>
              <w:jc w:val="center"/>
              <w:textAlignment w:val="auto"/>
              <w:rPr>
                <w:kern w:val="2"/>
                <w:sz w:val="21"/>
                <w:szCs w:val="21"/>
              </w:rPr>
            </w:pPr>
            <w:r>
              <w:rPr>
                <w:rFonts w:hint="eastAsia"/>
                <w:kern w:val="2"/>
                <w:sz w:val="21"/>
                <w:szCs w:val="21"/>
              </w:rPr>
              <w:t>300</w:t>
            </w:r>
          </w:p>
        </w:tc>
      </w:tr>
      <w:tr w:rsidR="002F5FB6" w:rsidRPr="00732772" w:rsidTr="002F5FB6">
        <w:trPr>
          <w:cantSplit/>
          <w:trHeight w:val="455"/>
          <w:jc w:val="center"/>
        </w:trPr>
        <w:tc>
          <w:tcPr>
            <w:tcW w:w="641" w:type="dxa"/>
            <w:vMerge/>
            <w:tcBorders>
              <w:left w:val="single" w:sz="6" w:space="0" w:color="auto"/>
              <w:right w:val="single" w:sz="6" w:space="0" w:color="auto"/>
            </w:tcBorders>
            <w:vAlign w:val="center"/>
          </w:tcPr>
          <w:p w:rsidR="002F5FB6" w:rsidRPr="00732772" w:rsidRDefault="002F5FB6">
            <w:pPr>
              <w:adjustRightInd/>
              <w:snapToGrid/>
              <w:spacing w:line="240" w:lineRule="auto"/>
              <w:ind w:firstLineChars="0" w:firstLine="0"/>
              <w:jc w:val="center"/>
              <w:textAlignment w:val="auto"/>
              <w:rPr>
                <w:kern w:val="2"/>
                <w:sz w:val="21"/>
                <w:szCs w:val="21"/>
              </w:rPr>
            </w:pPr>
          </w:p>
        </w:tc>
        <w:tc>
          <w:tcPr>
            <w:tcW w:w="1636" w:type="dxa"/>
            <w:tcBorders>
              <w:top w:val="single" w:sz="6" w:space="0" w:color="auto"/>
              <w:left w:val="single" w:sz="6" w:space="0" w:color="auto"/>
              <w:bottom w:val="single" w:sz="6" w:space="0" w:color="auto"/>
              <w:right w:val="single" w:sz="4" w:space="0" w:color="auto"/>
            </w:tcBorders>
            <w:vAlign w:val="center"/>
          </w:tcPr>
          <w:p w:rsidR="002F5FB6" w:rsidRPr="002F5FB6" w:rsidRDefault="002F5FB6" w:rsidP="00A620BD">
            <w:pPr>
              <w:pStyle w:val="afa"/>
              <w:rPr>
                <w:rFonts w:cs="Times New Roman"/>
              </w:rPr>
            </w:pPr>
            <w:r w:rsidRPr="002F5FB6">
              <w:rPr>
                <w:rFonts w:cs="Times New Roman"/>
              </w:rPr>
              <w:t>纸包线</w:t>
            </w:r>
          </w:p>
        </w:tc>
        <w:tc>
          <w:tcPr>
            <w:tcW w:w="1562" w:type="dxa"/>
            <w:tcBorders>
              <w:top w:val="single" w:sz="6" w:space="0" w:color="auto"/>
              <w:left w:val="single" w:sz="4" w:space="0" w:color="auto"/>
              <w:bottom w:val="single" w:sz="6" w:space="0" w:color="auto"/>
              <w:right w:val="single" w:sz="6" w:space="0" w:color="auto"/>
            </w:tcBorders>
            <w:vAlign w:val="center"/>
          </w:tcPr>
          <w:p w:rsidR="002F5FB6" w:rsidRPr="002F5FB6" w:rsidRDefault="002F5FB6" w:rsidP="00A620BD">
            <w:pPr>
              <w:spacing w:line="240" w:lineRule="auto"/>
              <w:ind w:firstLineChars="0" w:firstLine="0"/>
              <w:jc w:val="center"/>
              <w:rPr>
                <w:sz w:val="21"/>
                <w:szCs w:val="21"/>
              </w:rPr>
            </w:pPr>
            <w:r w:rsidRPr="002F5FB6">
              <w:rPr>
                <w:rFonts w:hint="eastAsia"/>
                <w:sz w:val="21"/>
                <w:szCs w:val="21"/>
              </w:rPr>
              <w:t>新乡县</w:t>
            </w:r>
          </w:p>
        </w:tc>
        <w:tc>
          <w:tcPr>
            <w:tcW w:w="1199" w:type="dxa"/>
            <w:tcBorders>
              <w:top w:val="single" w:sz="6" w:space="0" w:color="auto"/>
              <w:left w:val="single" w:sz="6" w:space="0" w:color="auto"/>
              <w:bottom w:val="single" w:sz="6" w:space="0" w:color="auto"/>
              <w:right w:val="single" w:sz="4" w:space="0" w:color="auto"/>
            </w:tcBorders>
            <w:vAlign w:val="center"/>
          </w:tcPr>
          <w:p w:rsidR="002F5FB6" w:rsidRPr="002F5FB6" w:rsidRDefault="002F5FB6" w:rsidP="00A620BD">
            <w:pPr>
              <w:adjustRightInd/>
              <w:snapToGrid/>
              <w:spacing w:line="240" w:lineRule="auto"/>
              <w:ind w:firstLineChars="0" w:firstLine="0"/>
              <w:jc w:val="center"/>
              <w:textAlignment w:val="auto"/>
              <w:rPr>
                <w:kern w:val="2"/>
                <w:sz w:val="21"/>
                <w:szCs w:val="21"/>
              </w:rPr>
            </w:pPr>
            <w:r w:rsidRPr="002F5FB6">
              <w:rPr>
                <w:rFonts w:hint="eastAsia"/>
                <w:kern w:val="2"/>
                <w:sz w:val="21"/>
                <w:szCs w:val="21"/>
              </w:rPr>
              <w:t>1440</w:t>
            </w:r>
          </w:p>
        </w:tc>
        <w:tc>
          <w:tcPr>
            <w:tcW w:w="733" w:type="dxa"/>
            <w:tcBorders>
              <w:top w:val="single" w:sz="6" w:space="0" w:color="auto"/>
              <w:left w:val="single" w:sz="4" w:space="0" w:color="auto"/>
              <w:bottom w:val="single" w:sz="6" w:space="0" w:color="auto"/>
              <w:right w:val="single" w:sz="4" w:space="0" w:color="auto"/>
            </w:tcBorders>
            <w:vAlign w:val="center"/>
          </w:tcPr>
          <w:p w:rsidR="002F5FB6" w:rsidRPr="002F5FB6" w:rsidRDefault="002F5FB6" w:rsidP="00A620BD">
            <w:pPr>
              <w:adjustRightInd/>
              <w:snapToGrid/>
              <w:spacing w:line="240" w:lineRule="auto"/>
              <w:ind w:firstLineChars="0" w:firstLine="0"/>
              <w:jc w:val="center"/>
              <w:textAlignment w:val="auto"/>
              <w:rPr>
                <w:kern w:val="2"/>
                <w:sz w:val="21"/>
                <w:szCs w:val="21"/>
                <w:u w:val="single"/>
              </w:rPr>
            </w:pPr>
            <w:r w:rsidRPr="002F5FB6">
              <w:rPr>
                <w:rFonts w:hint="eastAsia"/>
                <w:kern w:val="2"/>
                <w:sz w:val="21"/>
                <w:szCs w:val="21"/>
                <w:u w:val="single"/>
              </w:rPr>
              <w:t>汽运</w:t>
            </w:r>
          </w:p>
        </w:tc>
        <w:tc>
          <w:tcPr>
            <w:tcW w:w="1133" w:type="dxa"/>
            <w:tcBorders>
              <w:top w:val="single" w:sz="6" w:space="0" w:color="auto"/>
              <w:left w:val="single" w:sz="4" w:space="0" w:color="auto"/>
              <w:bottom w:val="single" w:sz="6" w:space="0" w:color="auto"/>
              <w:right w:val="single" w:sz="6" w:space="0" w:color="auto"/>
            </w:tcBorders>
            <w:vAlign w:val="center"/>
          </w:tcPr>
          <w:p w:rsidR="002F5FB6" w:rsidRPr="002F5FB6" w:rsidRDefault="002F5FB6" w:rsidP="00A620BD">
            <w:pPr>
              <w:spacing w:line="240" w:lineRule="auto"/>
              <w:ind w:firstLineChars="0" w:firstLine="0"/>
              <w:jc w:val="center"/>
              <w:rPr>
                <w:sz w:val="21"/>
                <w:szCs w:val="21"/>
                <w:u w:val="single"/>
              </w:rPr>
            </w:pPr>
            <w:r w:rsidRPr="002F5FB6">
              <w:rPr>
                <w:rFonts w:hint="eastAsia"/>
                <w:sz w:val="21"/>
                <w:szCs w:val="21"/>
                <w:u w:val="single"/>
              </w:rPr>
              <w:t>2</w:t>
            </w:r>
            <w:r w:rsidRPr="002F5FB6">
              <w:rPr>
                <w:sz w:val="21"/>
                <w:szCs w:val="21"/>
                <w:u w:val="single"/>
              </w:rPr>
              <w:t>0</w:t>
            </w:r>
          </w:p>
        </w:tc>
        <w:tc>
          <w:tcPr>
            <w:tcW w:w="963" w:type="dxa"/>
            <w:tcBorders>
              <w:top w:val="single" w:sz="6" w:space="0" w:color="auto"/>
              <w:left w:val="single" w:sz="6" w:space="0" w:color="auto"/>
              <w:bottom w:val="single" w:sz="6" w:space="0" w:color="auto"/>
              <w:right w:val="single" w:sz="6" w:space="0" w:color="auto"/>
            </w:tcBorders>
            <w:vAlign w:val="center"/>
          </w:tcPr>
          <w:p w:rsidR="002F5FB6" w:rsidRPr="002F5FB6" w:rsidRDefault="002F5FB6" w:rsidP="00A620BD">
            <w:pPr>
              <w:spacing w:line="240" w:lineRule="auto"/>
              <w:ind w:firstLineChars="0" w:firstLine="0"/>
              <w:jc w:val="center"/>
              <w:rPr>
                <w:sz w:val="21"/>
                <w:szCs w:val="21"/>
              </w:rPr>
            </w:pPr>
            <w:r w:rsidRPr="002F5FB6">
              <w:rPr>
                <w:rFonts w:hint="eastAsia"/>
                <w:sz w:val="21"/>
                <w:szCs w:val="21"/>
              </w:rPr>
              <w:t>7</w:t>
            </w:r>
            <w:r w:rsidRPr="002F5FB6">
              <w:rPr>
                <w:sz w:val="21"/>
                <w:szCs w:val="21"/>
              </w:rPr>
              <w:t>2</w:t>
            </w:r>
          </w:p>
        </w:tc>
        <w:tc>
          <w:tcPr>
            <w:tcW w:w="1028" w:type="dxa"/>
            <w:tcBorders>
              <w:top w:val="single" w:sz="4" w:space="0" w:color="auto"/>
              <w:left w:val="single" w:sz="6" w:space="0" w:color="auto"/>
              <w:bottom w:val="single" w:sz="4" w:space="0" w:color="auto"/>
              <w:right w:val="single" w:sz="4" w:space="0" w:color="auto"/>
            </w:tcBorders>
            <w:vAlign w:val="center"/>
          </w:tcPr>
          <w:p w:rsidR="002F5FB6" w:rsidRPr="00732772" w:rsidRDefault="007659B4" w:rsidP="00A620BD">
            <w:pPr>
              <w:adjustRightInd/>
              <w:snapToGrid/>
              <w:spacing w:line="240" w:lineRule="auto"/>
              <w:ind w:firstLineChars="0" w:firstLine="0"/>
              <w:jc w:val="center"/>
              <w:textAlignment w:val="auto"/>
              <w:rPr>
                <w:kern w:val="2"/>
                <w:sz w:val="21"/>
                <w:szCs w:val="21"/>
              </w:rPr>
            </w:pPr>
            <w:r>
              <w:rPr>
                <w:rFonts w:hint="eastAsia"/>
                <w:kern w:val="2"/>
                <w:sz w:val="21"/>
                <w:szCs w:val="21"/>
              </w:rPr>
              <w:t>120</w:t>
            </w:r>
          </w:p>
        </w:tc>
      </w:tr>
      <w:tr w:rsidR="002F5FB6" w:rsidRPr="00732772" w:rsidTr="002F5FB6">
        <w:trPr>
          <w:cantSplit/>
          <w:trHeight w:val="455"/>
          <w:jc w:val="center"/>
        </w:trPr>
        <w:tc>
          <w:tcPr>
            <w:tcW w:w="641" w:type="dxa"/>
            <w:vMerge/>
            <w:tcBorders>
              <w:left w:val="single" w:sz="6" w:space="0" w:color="auto"/>
              <w:right w:val="single" w:sz="6" w:space="0" w:color="auto"/>
            </w:tcBorders>
            <w:vAlign w:val="center"/>
          </w:tcPr>
          <w:p w:rsidR="002F5FB6" w:rsidRPr="00732772" w:rsidRDefault="002F5FB6">
            <w:pPr>
              <w:adjustRightInd/>
              <w:snapToGrid/>
              <w:spacing w:line="240" w:lineRule="auto"/>
              <w:ind w:firstLineChars="0" w:firstLine="0"/>
              <w:jc w:val="center"/>
              <w:textAlignment w:val="auto"/>
              <w:rPr>
                <w:kern w:val="2"/>
                <w:sz w:val="21"/>
                <w:szCs w:val="21"/>
              </w:rPr>
            </w:pPr>
          </w:p>
        </w:tc>
        <w:tc>
          <w:tcPr>
            <w:tcW w:w="1636" w:type="dxa"/>
            <w:tcBorders>
              <w:top w:val="single" w:sz="6" w:space="0" w:color="auto"/>
              <w:left w:val="single" w:sz="6" w:space="0" w:color="auto"/>
              <w:bottom w:val="single" w:sz="6" w:space="0" w:color="auto"/>
              <w:right w:val="single" w:sz="4" w:space="0" w:color="auto"/>
            </w:tcBorders>
            <w:vAlign w:val="center"/>
          </w:tcPr>
          <w:p w:rsidR="002F5FB6" w:rsidRPr="002F5FB6" w:rsidRDefault="002F5FB6" w:rsidP="00A620BD">
            <w:pPr>
              <w:pStyle w:val="afa"/>
              <w:rPr>
                <w:rFonts w:cs="Times New Roman"/>
              </w:rPr>
            </w:pPr>
            <w:r w:rsidRPr="002F5FB6">
              <w:rPr>
                <w:rFonts w:cs="Times New Roman"/>
              </w:rPr>
              <w:t>烧结线</w:t>
            </w:r>
          </w:p>
        </w:tc>
        <w:tc>
          <w:tcPr>
            <w:tcW w:w="1562" w:type="dxa"/>
            <w:tcBorders>
              <w:top w:val="single" w:sz="6" w:space="0" w:color="auto"/>
              <w:left w:val="single" w:sz="4" w:space="0" w:color="auto"/>
              <w:bottom w:val="single" w:sz="6" w:space="0" w:color="auto"/>
              <w:right w:val="single" w:sz="6" w:space="0" w:color="auto"/>
            </w:tcBorders>
            <w:vAlign w:val="center"/>
          </w:tcPr>
          <w:p w:rsidR="002F5FB6" w:rsidRPr="002F5FB6" w:rsidRDefault="002F5FB6" w:rsidP="00A620BD">
            <w:pPr>
              <w:spacing w:line="240" w:lineRule="auto"/>
              <w:ind w:firstLineChars="0" w:firstLine="0"/>
              <w:jc w:val="center"/>
              <w:rPr>
                <w:sz w:val="21"/>
                <w:szCs w:val="21"/>
              </w:rPr>
            </w:pPr>
            <w:r w:rsidRPr="002F5FB6">
              <w:rPr>
                <w:rFonts w:hint="eastAsia"/>
                <w:sz w:val="21"/>
                <w:szCs w:val="21"/>
              </w:rPr>
              <w:t>新乡县</w:t>
            </w:r>
          </w:p>
        </w:tc>
        <w:tc>
          <w:tcPr>
            <w:tcW w:w="1199" w:type="dxa"/>
            <w:tcBorders>
              <w:top w:val="single" w:sz="6" w:space="0" w:color="auto"/>
              <w:left w:val="single" w:sz="6" w:space="0" w:color="auto"/>
              <w:bottom w:val="single" w:sz="6" w:space="0" w:color="auto"/>
              <w:right w:val="single" w:sz="4" w:space="0" w:color="auto"/>
            </w:tcBorders>
            <w:vAlign w:val="center"/>
          </w:tcPr>
          <w:p w:rsidR="002F5FB6" w:rsidRPr="002F5FB6" w:rsidRDefault="002F5FB6" w:rsidP="00A620BD">
            <w:pPr>
              <w:adjustRightInd/>
              <w:snapToGrid/>
              <w:spacing w:line="240" w:lineRule="auto"/>
              <w:ind w:firstLineChars="0" w:firstLine="0"/>
              <w:jc w:val="center"/>
              <w:textAlignment w:val="auto"/>
              <w:rPr>
                <w:kern w:val="2"/>
                <w:sz w:val="21"/>
                <w:szCs w:val="21"/>
              </w:rPr>
            </w:pPr>
            <w:r w:rsidRPr="002F5FB6">
              <w:rPr>
                <w:rFonts w:hint="eastAsia"/>
                <w:kern w:val="2"/>
                <w:sz w:val="21"/>
                <w:szCs w:val="21"/>
              </w:rPr>
              <w:t>720</w:t>
            </w:r>
          </w:p>
        </w:tc>
        <w:tc>
          <w:tcPr>
            <w:tcW w:w="733" w:type="dxa"/>
            <w:tcBorders>
              <w:top w:val="single" w:sz="6" w:space="0" w:color="auto"/>
              <w:left w:val="single" w:sz="4" w:space="0" w:color="auto"/>
              <w:bottom w:val="single" w:sz="6" w:space="0" w:color="auto"/>
              <w:right w:val="single" w:sz="4" w:space="0" w:color="auto"/>
            </w:tcBorders>
            <w:vAlign w:val="center"/>
          </w:tcPr>
          <w:p w:rsidR="002F5FB6" w:rsidRPr="002F5FB6" w:rsidRDefault="002F5FB6" w:rsidP="00A620BD">
            <w:pPr>
              <w:adjustRightInd/>
              <w:snapToGrid/>
              <w:spacing w:line="240" w:lineRule="auto"/>
              <w:ind w:firstLineChars="0" w:firstLine="0"/>
              <w:jc w:val="center"/>
              <w:textAlignment w:val="auto"/>
              <w:rPr>
                <w:kern w:val="2"/>
                <w:sz w:val="21"/>
                <w:szCs w:val="21"/>
                <w:u w:val="single"/>
              </w:rPr>
            </w:pPr>
            <w:r w:rsidRPr="002F5FB6">
              <w:rPr>
                <w:rFonts w:hint="eastAsia"/>
                <w:kern w:val="2"/>
                <w:sz w:val="21"/>
                <w:szCs w:val="21"/>
                <w:u w:val="single"/>
              </w:rPr>
              <w:t>汽运</w:t>
            </w:r>
          </w:p>
        </w:tc>
        <w:tc>
          <w:tcPr>
            <w:tcW w:w="1133" w:type="dxa"/>
            <w:tcBorders>
              <w:top w:val="single" w:sz="6" w:space="0" w:color="auto"/>
              <w:left w:val="single" w:sz="4" w:space="0" w:color="auto"/>
              <w:bottom w:val="single" w:sz="6" w:space="0" w:color="auto"/>
              <w:right w:val="single" w:sz="6" w:space="0" w:color="auto"/>
            </w:tcBorders>
            <w:vAlign w:val="center"/>
          </w:tcPr>
          <w:p w:rsidR="002F5FB6" w:rsidRPr="002F5FB6" w:rsidRDefault="002F5FB6" w:rsidP="00A620BD">
            <w:pPr>
              <w:spacing w:line="240" w:lineRule="auto"/>
              <w:ind w:firstLineChars="0" w:firstLine="0"/>
              <w:jc w:val="center"/>
              <w:rPr>
                <w:sz w:val="21"/>
                <w:szCs w:val="21"/>
                <w:u w:val="single"/>
              </w:rPr>
            </w:pPr>
            <w:r w:rsidRPr="002F5FB6">
              <w:rPr>
                <w:rFonts w:hint="eastAsia"/>
                <w:sz w:val="21"/>
                <w:szCs w:val="21"/>
                <w:u w:val="single"/>
              </w:rPr>
              <w:t>3</w:t>
            </w:r>
            <w:r w:rsidRPr="002F5FB6">
              <w:rPr>
                <w:sz w:val="21"/>
                <w:szCs w:val="21"/>
                <w:u w:val="single"/>
              </w:rPr>
              <w:t>0</w:t>
            </w:r>
          </w:p>
        </w:tc>
        <w:tc>
          <w:tcPr>
            <w:tcW w:w="963" w:type="dxa"/>
            <w:tcBorders>
              <w:top w:val="single" w:sz="6" w:space="0" w:color="auto"/>
              <w:left w:val="single" w:sz="6" w:space="0" w:color="auto"/>
              <w:bottom w:val="single" w:sz="6" w:space="0" w:color="auto"/>
              <w:right w:val="single" w:sz="6" w:space="0" w:color="auto"/>
            </w:tcBorders>
            <w:vAlign w:val="center"/>
          </w:tcPr>
          <w:p w:rsidR="002F5FB6" w:rsidRPr="002F5FB6" w:rsidRDefault="002F5FB6" w:rsidP="00A620BD">
            <w:pPr>
              <w:spacing w:line="240" w:lineRule="auto"/>
              <w:ind w:firstLineChars="0" w:firstLine="0"/>
              <w:jc w:val="center"/>
              <w:rPr>
                <w:sz w:val="21"/>
                <w:szCs w:val="21"/>
              </w:rPr>
            </w:pPr>
            <w:r w:rsidRPr="002F5FB6">
              <w:rPr>
                <w:rFonts w:hint="eastAsia"/>
                <w:sz w:val="21"/>
                <w:szCs w:val="21"/>
              </w:rPr>
              <w:t>2</w:t>
            </w:r>
            <w:r w:rsidRPr="002F5FB6">
              <w:rPr>
                <w:sz w:val="21"/>
                <w:szCs w:val="21"/>
              </w:rPr>
              <w:t>4</w:t>
            </w:r>
          </w:p>
        </w:tc>
        <w:tc>
          <w:tcPr>
            <w:tcW w:w="1028" w:type="dxa"/>
            <w:tcBorders>
              <w:top w:val="single" w:sz="4" w:space="0" w:color="auto"/>
              <w:left w:val="single" w:sz="6" w:space="0" w:color="auto"/>
              <w:bottom w:val="single" w:sz="4" w:space="0" w:color="auto"/>
              <w:right w:val="single" w:sz="4" w:space="0" w:color="auto"/>
            </w:tcBorders>
            <w:vAlign w:val="center"/>
          </w:tcPr>
          <w:p w:rsidR="002F5FB6" w:rsidRPr="00732772" w:rsidRDefault="007659B4" w:rsidP="00A620BD">
            <w:pPr>
              <w:adjustRightInd/>
              <w:snapToGrid/>
              <w:spacing w:line="240" w:lineRule="auto"/>
              <w:ind w:firstLineChars="0" w:firstLine="0"/>
              <w:jc w:val="center"/>
              <w:textAlignment w:val="auto"/>
              <w:rPr>
                <w:kern w:val="2"/>
                <w:sz w:val="21"/>
                <w:szCs w:val="21"/>
              </w:rPr>
            </w:pPr>
            <w:r>
              <w:rPr>
                <w:rFonts w:hint="eastAsia"/>
                <w:kern w:val="2"/>
                <w:sz w:val="21"/>
                <w:szCs w:val="21"/>
              </w:rPr>
              <w:t>150</w:t>
            </w:r>
          </w:p>
        </w:tc>
      </w:tr>
      <w:tr w:rsidR="002F5FB6" w:rsidRPr="00732772" w:rsidTr="002F5FB6">
        <w:trPr>
          <w:cantSplit/>
          <w:trHeight w:val="455"/>
          <w:jc w:val="center"/>
        </w:trPr>
        <w:tc>
          <w:tcPr>
            <w:tcW w:w="641" w:type="dxa"/>
            <w:tcBorders>
              <w:left w:val="single" w:sz="6" w:space="0" w:color="auto"/>
              <w:right w:val="single" w:sz="6" w:space="0" w:color="auto"/>
            </w:tcBorders>
            <w:vAlign w:val="center"/>
          </w:tcPr>
          <w:p w:rsidR="002F5FB6" w:rsidRPr="00732772" w:rsidRDefault="002F5FB6">
            <w:pPr>
              <w:adjustRightInd/>
              <w:snapToGrid/>
              <w:spacing w:line="240" w:lineRule="auto"/>
              <w:ind w:firstLineChars="0" w:firstLine="0"/>
              <w:jc w:val="center"/>
              <w:textAlignment w:val="auto"/>
              <w:rPr>
                <w:kern w:val="2"/>
                <w:sz w:val="21"/>
                <w:szCs w:val="21"/>
              </w:rPr>
            </w:pPr>
            <w:r w:rsidRPr="00732772">
              <w:rPr>
                <w:rFonts w:hint="eastAsia"/>
                <w:kern w:val="2"/>
                <w:sz w:val="21"/>
                <w:szCs w:val="21"/>
              </w:rPr>
              <w:t>危险废物</w:t>
            </w:r>
          </w:p>
        </w:tc>
        <w:tc>
          <w:tcPr>
            <w:tcW w:w="1636" w:type="dxa"/>
            <w:tcBorders>
              <w:top w:val="single" w:sz="6" w:space="0" w:color="auto"/>
              <w:left w:val="single" w:sz="6" w:space="0" w:color="auto"/>
              <w:bottom w:val="single" w:sz="6" w:space="0" w:color="auto"/>
              <w:right w:val="single" w:sz="4" w:space="0" w:color="auto"/>
            </w:tcBorders>
            <w:vAlign w:val="center"/>
          </w:tcPr>
          <w:p w:rsidR="002F5FB6" w:rsidRPr="002F5FB6" w:rsidRDefault="002F5FB6" w:rsidP="00A620BD">
            <w:pPr>
              <w:autoSpaceDE w:val="0"/>
              <w:autoSpaceDN w:val="0"/>
              <w:snapToGrid/>
              <w:spacing w:line="240" w:lineRule="auto"/>
              <w:ind w:firstLineChars="0" w:firstLine="0"/>
              <w:jc w:val="center"/>
              <w:textAlignment w:val="auto"/>
              <w:rPr>
                <w:rFonts w:ascii="宋体" w:hAnsi="TimesNewRomanPSMT" w:cs="宋体"/>
                <w:sz w:val="21"/>
                <w:szCs w:val="21"/>
              </w:rPr>
            </w:pPr>
            <w:r w:rsidRPr="002F5FB6">
              <w:rPr>
                <w:rFonts w:ascii="宋体" w:hAnsi="TimesNewRomanPSMT" w:cs="宋体" w:hint="eastAsia"/>
                <w:sz w:val="21"/>
                <w:szCs w:val="21"/>
              </w:rPr>
              <w:t>危险废物</w:t>
            </w:r>
          </w:p>
        </w:tc>
        <w:tc>
          <w:tcPr>
            <w:tcW w:w="1562" w:type="dxa"/>
            <w:tcBorders>
              <w:top w:val="single" w:sz="6" w:space="0" w:color="auto"/>
              <w:left w:val="single" w:sz="4" w:space="0" w:color="auto"/>
              <w:bottom w:val="single" w:sz="6" w:space="0" w:color="auto"/>
              <w:right w:val="single" w:sz="6" w:space="0" w:color="auto"/>
            </w:tcBorders>
            <w:vAlign w:val="center"/>
          </w:tcPr>
          <w:p w:rsidR="002F5FB6" w:rsidRPr="002F5FB6" w:rsidRDefault="002F5FB6" w:rsidP="00A620BD">
            <w:pPr>
              <w:spacing w:line="240" w:lineRule="auto"/>
              <w:ind w:firstLineChars="0" w:firstLine="0"/>
              <w:jc w:val="center"/>
              <w:rPr>
                <w:sz w:val="21"/>
                <w:szCs w:val="21"/>
              </w:rPr>
            </w:pPr>
            <w:r w:rsidRPr="002F5FB6">
              <w:rPr>
                <w:rFonts w:hint="eastAsia"/>
                <w:sz w:val="21"/>
                <w:szCs w:val="21"/>
              </w:rPr>
              <w:t>新乡县</w:t>
            </w:r>
          </w:p>
        </w:tc>
        <w:tc>
          <w:tcPr>
            <w:tcW w:w="1199" w:type="dxa"/>
            <w:tcBorders>
              <w:top w:val="single" w:sz="6" w:space="0" w:color="auto"/>
              <w:left w:val="single" w:sz="6" w:space="0" w:color="auto"/>
              <w:bottom w:val="single" w:sz="6" w:space="0" w:color="auto"/>
              <w:right w:val="single" w:sz="4" w:space="0" w:color="auto"/>
            </w:tcBorders>
            <w:vAlign w:val="center"/>
          </w:tcPr>
          <w:p w:rsidR="002F5FB6" w:rsidRPr="002F5FB6" w:rsidRDefault="002F5FB6" w:rsidP="00A620BD">
            <w:pPr>
              <w:adjustRightInd/>
              <w:snapToGrid/>
              <w:spacing w:line="240" w:lineRule="auto"/>
              <w:ind w:firstLineChars="0" w:firstLine="0"/>
              <w:jc w:val="center"/>
              <w:textAlignment w:val="auto"/>
              <w:rPr>
                <w:kern w:val="2"/>
                <w:sz w:val="21"/>
                <w:szCs w:val="21"/>
              </w:rPr>
            </w:pPr>
            <w:r w:rsidRPr="002F5FB6">
              <w:rPr>
                <w:rFonts w:hint="eastAsia"/>
                <w:kern w:val="2"/>
                <w:sz w:val="21"/>
                <w:szCs w:val="21"/>
              </w:rPr>
              <w:t>22.06</w:t>
            </w:r>
          </w:p>
        </w:tc>
        <w:tc>
          <w:tcPr>
            <w:tcW w:w="733" w:type="dxa"/>
            <w:tcBorders>
              <w:top w:val="single" w:sz="6" w:space="0" w:color="auto"/>
              <w:left w:val="single" w:sz="4" w:space="0" w:color="auto"/>
              <w:bottom w:val="single" w:sz="6" w:space="0" w:color="auto"/>
              <w:right w:val="single" w:sz="4" w:space="0" w:color="auto"/>
            </w:tcBorders>
            <w:vAlign w:val="center"/>
          </w:tcPr>
          <w:p w:rsidR="002F5FB6" w:rsidRPr="002F5FB6" w:rsidRDefault="002F5FB6" w:rsidP="00A620BD">
            <w:pPr>
              <w:adjustRightInd/>
              <w:snapToGrid/>
              <w:spacing w:line="240" w:lineRule="auto"/>
              <w:ind w:firstLineChars="0" w:firstLine="0"/>
              <w:jc w:val="center"/>
              <w:textAlignment w:val="auto"/>
              <w:rPr>
                <w:kern w:val="2"/>
                <w:sz w:val="21"/>
                <w:szCs w:val="21"/>
                <w:u w:val="single"/>
              </w:rPr>
            </w:pPr>
            <w:r w:rsidRPr="002F5FB6">
              <w:rPr>
                <w:rFonts w:hint="eastAsia"/>
                <w:kern w:val="2"/>
                <w:sz w:val="21"/>
                <w:szCs w:val="21"/>
                <w:u w:val="single"/>
              </w:rPr>
              <w:t>汽运</w:t>
            </w:r>
          </w:p>
        </w:tc>
        <w:tc>
          <w:tcPr>
            <w:tcW w:w="1133" w:type="dxa"/>
            <w:tcBorders>
              <w:top w:val="single" w:sz="6" w:space="0" w:color="auto"/>
              <w:left w:val="single" w:sz="4" w:space="0" w:color="auto"/>
              <w:bottom w:val="single" w:sz="6" w:space="0" w:color="auto"/>
              <w:right w:val="single" w:sz="6" w:space="0" w:color="auto"/>
            </w:tcBorders>
            <w:vAlign w:val="center"/>
          </w:tcPr>
          <w:p w:rsidR="002F5FB6" w:rsidRPr="002F5FB6" w:rsidRDefault="002F5FB6" w:rsidP="00A620BD">
            <w:pPr>
              <w:spacing w:line="240" w:lineRule="auto"/>
              <w:ind w:firstLineChars="0" w:firstLine="0"/>
              <w:jc w:val="center"/>
              <w:rPr>
                <w:sz w:val="21"/>
                <w:szCs w:val="21"/>
                <w:u w:val="single"/>
              </w:rPr>
            </w:pPr>
            <w:r w:rsidRPr="002F5FB6">
              <w:rPr>
                <w:rFonts w:hint="eastAsia"/>
                <w:sz w:val="21"/>
                <w:szCs w:val="21"/>
                <w:u w:val="single"/>
              </w:rPr>
              <w:t>11.03</w:t>
            </w:r>
          </w:p>
        </w:tc>
        <w:tc>
          <w:tcPr>
            <w:tcW w:w="963" w:type="dxa"/>
            <w:tcBorders>
              <w:top w:val="single" w:sz="6" w:space="0" w:color="auto"/>
              <w:left w:val="single" w:sz="6" w:space="0" w:color="auto"/>
              <w:bottom w:val="single" w:sz="6" w:space="0" w:color="auto"/>
              <w:right w:val="single" w:sz="6" w:space="0" w:color="auto"/>
            </w:tcBorders>
            <w:vAlign w:val="center"/>
          </w:tcPr>
          <w:p w:rsidR="002F5FB6" w:rsidRPr="002F5FB6" w:rsidRDefault="002F5FB6" w:rsidP="00A620BD">
            <w:pPr>
              <w:spacing w:line="240" w:lineRule="auto"/>
              <w:ind w:firstLineChars="0" w:firstLine="0"/>
              <w:jc w:val="center"/>
              <w:rPr>
                <w:sz w:val="21"/>
                <w:szCs w:val="21"/>
              </w:rPr>
            </w:pPr>
            <w:r w:rsidRPr="002F5FB6">
              <w:rPr>
                <w:rFonts w:hint="eastAsia"/>
                <w:sz w:val="21"/>
                <w:szCs w:val="21"/>
              </w:rPr>
              <w:t>2</w:t>
            </w:r>
          </w:p>
        </w:tc>
        <w:tc>
          <w:tcPr>
            <w:tcW w:w="1028" w:type="dxa"/>
            <w:tcBorders>
              <w:top w:val="single" w:sz="4" w:space="0" w:color="auto"/>
              <w:left w:val="single" w:sz="6" w:space="0" w:color="auto"/>
              <w:bottom w:val="single" w:sz="4" w:space="0" w:color="auto"/>
              <w:right w:val="single" w:sz="4" w:space="0" w:color="auto"/>
            </w:tcBorders>
            <w:vAlign w:val="center"/>
          </w:tcPr>
          <w:p w:rsidR="002F5FB6" w:rsidRPr="00732772" w:rsidRDefault="002E2D34" w:rsidP="00A620BD">
            <w:pPr>
              <w:adjustRightInd/>
              <w:snapToGrid/>
              <w:spacing w:line="240" w:lineRule="auto"/>
              <w:ind w:firstLineChars="0" w:firstLine="0"/>
              <w:jc w:val="center"/>
              <w:textAlignment w:val="auto"/>
              <w:rPr>
                <w:kern w:val="2"/>
                <w:sz w:val="21"/>
                <w:szCs w:val="21"/>
              </w:rPr>
            </w:pPr>
            <w:r>
              <w:rPr>
                <w:rFonts w:hint="eastAsia"/>
                <w:kern w:val="2"/>
                <w:sz w:val="21"/>
                <w:szCs w:val="21"/>
              </w:rPr>
              <w:t>80</w:t>
            </w:r>
          </w:p>
        </w:tc>
      </w:tr>
      <w:tr w:rsidR="00EE56C0" w:rsidRPr="00732772">
        <w:trPr>
          <w:cantSplit/>
          <w:trHeight w:val="455"/>
          <w:jc w:val="center"/>
        </w:trPr>
        <w:tc>
          <w:tcPr>
            <w:tcW w:w="3839" w:type="dxa"/>
            <w:gridSpan w:val="3"/>
            <w:tcBorders>
              <w:top w:val="single" w:sz="6" w:space="0" w:color="auto"/>
              <w:left w:val="single" w:sz="6" w:space="0" w:color="auto"/>
              <w:bottom w:val="single" w:sz="6" w:space="0" w:color="auto"/>
              <w:right w:val="single" w:sz="6" w:space="0" w:color="auto"/>
            </w:tcBorders>
            <w:vAlign w:val="center"/>
          </w:tcPr>
          <w:p w:rsidR="00EE56C0" w:rsidRPr="002F5FB6" w:rsidRDefault="000F36A1">
            <w:pPr>
              <w:adjustRightInd/>
              <w:snapToGrid/>
              <w:spacing w:line="240" w:lineRule="auto"/>
              <w:ind w:firstLineChars="0" w:firstLine="0"/>
              <w:jc w:val="center"/>
              <w:textAlignment w:val="auto"/>
              <w:rPr>
                <w:kern w:val="2"/>
                <w:sz w:val="21"/>
                <w:szCs w:val="21"/>
                <w:u w:val="single"/>
              </w:rPr>
            </w:pPr>
            <w:r w:rsidRPr="002F5FB6">
              <w:rPr>
                <w:rFonts w:hint="eastAsia"/>
                <w:kern w:val="2"/>
                <w:sz w:val="21"/>
                <w:szCs w:val="21"/>
                <w:u w:val="single"/>
              </w:rPr>
              <w:t>合计</w:t>
            </w:r>
          </w:p>
        </w:tc>
        <w:tc>
          <w:tcPr>
            <w:tcW w:w="1199" w:type="dxa"/>
            <w:tcBorders>
              <w:top w:val="single" w:sz="6" w:space="0" w:color="auto"/>
              <w:left w:val="single" w:sz="6" w:space="0" w:color="auto"/>
              <w:bottom w:val="single" w:sz="6" w:space="0" w:color="auto"/>
              <w:right w:val="single" w:sz="4" w:space="0" w:color="auto"/>
            </w:tcBorders>
            <w:vAlign w:val="center"/>
          </w:tcPr>
          <w:p w:rsidR="00EE56C0" w:rsidRPr="002F5FB6" w:rsidRDefault="000F36A1">
            <w:pPr>
              <w:adjustRightInd/>
              <w:snapToGrid/>
              <w:spacing w:line="240" w:lineRule="auto"/>
              <w:ind w:firstLineChars="0" w:firstLine="0"/>
              <w:jc w:val="center"/>
              <w:textAlignment w:val="auto"/>
              <w:rPr>
                <w:kern w:val="2"/>
                <w:sz w:val="21"/>
                <w:szCs w:val="21"/>
                <w:u w:val="single"/>
              </w:rPr>
            </w:pPr>
            <w:r w:rsidRPr="002F5FB6">
              <w:rPr>
                <w:rFonts w:hint="eastAsia"/>
                <w:kern w:val="2"/>
                <w:sz w:val="21"/>
                <w:szCs w:val="21"/>
                <w:u w:val="single"/>
              </w:rPr>
              <w:t>81725.66</w:t>
            </w:r>
          </w:p>
        </w:tc>
        <w:tc>
          <w:tcPr>
            <w:tcW w:w="733" w:type="dxa"/>
            <w:tcBorders>
              <w:top w:val="single" w:sz="6" w:space="0" w:color="auto"/>
              <w:left w:val="single" w:sz="4" w:space="0" w:color="auto"/>
              <w:bottom w:val="single" w:sz="6" w:space="0" w:color="auto"/>
              <w:right w:val="single" w:sz="4" w:space="0" w:color="auto"/>
            </w:tcBorders>
            <w:vAlign w:val="center"/>
          </w:tcPr>
          <w:p w:rsidR="00EE56C0" w:rsidRPr="002F5FB6" w:rsidRDefault="000F36A1">
            <w:pPr>
              <w:adjustRightInd/>
              <w:snapToGrid/>
              <w:spacing w:line="240" w:lineRule="auto"/>
              <w:ind w:firstLineChars="0" w:firstLine="0"/>
              <w:jc w:val="center"/>
              <w:textAlignment w:val="auto"/>
              <w:rPr>
                <w:kern w:val="2"/>
                <w:sz w:val="21"/>
                <w:szCs w:val="21"/>
                <w:u w:val="single"/>
              </w:rPr>
            </w:pPr>
            <w:r w:rsidRPr="002F5FB6">
              <w:rPr>
                <w:kern w:val="2"/>
                <w:sz w:val="21"/>
                <w:szCs w:val="21"/>
                <w:u w:val="single"/>
              </w:rPr>
              <w:t>/</w:t>
            </w:r>
          </w:p>
        </w:tc>
        <w:tc>
          <w:tcPr>
            <w:tcW w:w="1133" w:type="dxa"/>
            <w:tcBorders>
              <w:top w:val="single" w:sz="6" w:space="0" w:color="auto"/>
              <w:left w:val="single" w:sz="4" w:space="0" w:color="auto"/>
              <w:bottom w:val="single" w:sz="6" w:space="0" w:color="auto"/>
              <w:right w:val="single" w:sz="6" w:space="0" w:color="auto"/>
            </w:tcBorders>
            <w:vAlign w:val="center"/>
          </w:tcPr>
          <w:p w:rsidR="00EE56C0" w:rsidRPr="002F5FB6" w:rsidRDefault="000F36A1">
            <w:pPr>
              <w:adjustRightInd/>
              <w:snapToGrid/>
              <w:spacing w:line="240" w:lineRule="auto"/>
              <w:ind w:firstLineChars="0" w:firstLine="0"/>
              <w:jc w:val="center"/>
              <w:textAlignment w:val="auto"/>
              <w:rPr>
                <w:kern w:val="2"/>
                <w:sz w:val="21"/>
                <w:szCs w:val="21"/>
                <w:u w:val="single"/>
              </w:rPr>
            </w:pPr>
            <w:r w:rsidRPr="002F5FB6">
              <w:rPr>
                <w:kern w:val="2"/>
                <w:sz w:val="21"/>
                <w:szCs w:val="21"/>
                <w:u w:val="single"/>
              </w:rPr>
              <w:t>/</w:t>
            </w:r>
          </w:p>
        </w:tc>
        <w:tc>
          <w:tcPr>
            <w:tcW w:w="963" w:type="dxa"/>
            <w:tcBorders>
              <w:top w:val="single" w:sz="6" w:space="0" w:color="auto"/>
              <w:left w:val="single" w:sz="6" w:space="0" w:color="auto"/>
              <w:bottom w:val="single" w:sz="6" w:space="0" w:color="auto"/>
              <w:right w:val="single" w:sz="6" w:space="0" w:color="auto"/>
            </w:tcBorders>
            <w:vAlign w:val="center"/>
          </w:tcPr>
          <w:p w:rsidR="00EE56C0" w:rsidRPr="002F5FB6" w:rsidRDefault="002F5FB6" w:rsidP="00D02D9C">
            <w:pPr>
              <w:adjustRightInd/>
              <w:snapToGrid/>
              <w:spacing w:line="240" w:lineRule="auto"/>
              <w:ind w:firstLineChars="0" w:firstLine="0"/>
              <w:jc w:val="center"/>
              <w:textAlignment w:val="auto"/>
              <w:rPr>
                <w:kern w:val="2"/>
                <w:sz w:val="21"/>
                <w:szCs w:val="21"/>
              </w:rPr>
            </w:pPr>
            <w:r w:rsidRPr="002F5FB6">
              <w:rPr>
                <w:rFonts w:hint="eastAsia"/>
                <w:kern w:val="2"/>
                <w:sz w:val="21"/>
                <w:szCs w:val="21"/>
              </w:rPr>
              <w:t>2821</w:t>
            </w:r>
          </w:p>
        </w:tc>
        <w:tc>
          <w:tcPr>
            <w:tcW w:w="1028" w:type="dxa"/>
            <w:tcBorders>
              <w:top w:val="single" w:sz="4" w:space="0" w:color="auto"/>
              <w:left w:val="single" w:sz="6" w:space="0" w:color="auto"/>
              <w:bottom w:val="single" w:sz="4" w:space="0" w:color="auto"/>
              <w:right w:val="single" w:sz="4" w:space="0" w:color="auto"/>
            </w:tcBorders>
            <w:vAlign w:val="center"/>
          </w:tcPr>
          <w:p w:rsidR="00EE56C0" w:rsidRPr="00732772" w:rsidRDefault="000F36A1" w:rsidP="00D02D9C">
            <w:pPr>
              <w:widowControl/>
              <w:adjustRightInd/>
              <w:snapToGrid/>
              <w:spacing w:line="240" w:lineRule="auto"/>
              <w:ind w:firstLineChars="0" w:firstLine="0"/>
              <w:jc w:val="center"/>
              <w:textAlignment w:val="auto"/>
              <w:rPr>
                <w:kern w:val="2"/>
                <w:sz w:val="21"/>
                <w:szCs w:val="21"/>
              </w:rPr>
            </w:pPr>
            <w:r w:rsidRPr="00732772">
              <w:rPr>
                <w:kern w:val="2"/>
                <w:sz w:val="21"/>
                <w:szCs w:val="21"/>
              </w:rPr>
              <w:t>/</w:t>
            </w:r>
          </w:p>
        </w:tc>
      </w:tr>
    </w:tbl>
    <w:p w:rsidR="00EE56C0" w:rsidRDefault="000F36A1">
      <w:pPr>
        <w:adjustRightInd/>
        <w:snapToGrid/>
        <w:ind w:firstLineChars="0" w:firstLine="0"/>
        <w:textAlignment w:val="auto"/>
        <w:rPr>
          <w:rFonts w:ascii="黑体" w:eastAsia="黑体" w:hAnsi="黑体"/>
          <w:bCs/>
          <w:iCs/>
          <w:szCs w:val="24"/>
          <w:u w:val="single"/>
        </w:rPr>
      </w:pPr>
      <w:r>
        <w:rPr>
          <w:rFonts w:ascii="黑体" w:eastAsia="黑体" w:hAnsi="黑体" w:hint="eastAsia"/>
          <w:bCs/>
          <w:iCs/>
          <w:szCs w:val="24"/>
          <w:u w:val="single"/>
        </w:rPr>
        <w:t>注：运输车次代表运输物料车辆的来回次数所需的车次数，即运输车次达标车辆的来回数。</w:t>
      </w:r>
    </w:p>
    <w:p w:rsidR="00732772" w:rsidRPr="00455348" w:rsidRDefault="00732772" w:rsidP="00732772">
      <w:pPr>
        <w:adjustRightInd/>
        <w:snapToGrid/>
        <w:ind w:firstLineChars="0" w:firstLine="600"/>
        <w:textAlignment w:val="auto"/>
        <w:rPr>
          <w:bCs/>
          <w:iCs/>
          <w:szCs w:val="24"/>
          <w:u w:val="single"/>
        </w:rPr>
      </w:pPr>
      <w:r w:rsidRPr="00455348">
        <w:rPr>
          <w:rFonts w:ascii="宋体" w:hAnsi="宋体" w:hint="eastAsia"/>
          <w:bCs/>
          <w:iCs/>
          <w:szCs w:val="24"/>
          <w:u w:val="single"/>
        </w:rPr>
        <w:t>由表3</w:t>
      </w:r>
      <w:r w:rsidRPr="00455348">
        <w:rPr>
          <w:rFonts w:ascii="宋体" w:hAnsi="宋体"/>
          <w:bCs/>
          <w:iCs/>
          <w:szCs w:val="24"/>
          <w:u w:val="single"/>
        </w:rPr>
        <w:t>-</w:t>
      </w:r>
      <w:r w:rsidRPr="00455348">
        <w:rPr>
          <w:rFonts w:ascii="宋体" w:hAnsi="宋体" w:hint="eastAsia"/>
          <w:bCs/>
          <w:iCs/>
          <w:szCs w:val="24"/>
          <w:u w:val="single"/>
        </w:rPr>
        <w:t>4</w:t>
      </w:r>
      <w:r>
        <w:rPr>
          <w:rFonts w:ascii="宋体" w:hAnsi="宋体"/>
          <w:bCs/>
          <w:iCs/>
          <w:szCs w:val="24"/>
          <w:u w:val="single"/>
        </w:rPr>
        <w:t>9</w:t>
      </w:r>
      <w:r w:rsidRPr="00455348">
        <w:rPr>
          <w:rFonts w:ascii="宋体" w:hAnsi="宋体" w:hint="eastAsia"/>
          <w:bCs/>
          <w:iCs/>
          <w:szCs w:val="24"/>
          <w:u w:val="single"/>
        </w:rPr>
        <w:t>可知，项目全年新增运输量</w:t>
      </w:r>
      <w:r>
        <w:rPr>
          <w:rFonts w:ascii="宋体" w:hAnsi="宋体"/>
          <w:bCs/>
          <w:iCs/>
          <w:szCs w:val="24"/>
          <w:u w:val="single"/>
        </w:rPr>
        <w:t>81725.66</w:t>
      </w:r>
      <w:r w:rsidRPr="00455348">
        <w:rPr>
          <w:rFonts w:ascii="宋体" w:hAnsi="宋体"/>
          <w:bCs/>
          <w:iCs/>
          <w:szCs w:val="24"/>
          <w:u w:val="single"/>
        </w:rPr>
        <w:t>t/a</w:t>
      </w:r>
      <w:r w:rsidRPr="00455348">
        <w:rPr>
          <w:rFonts w:ascii="宋体" w:hAnsi="宋体" w:hint="eastAsia"/>
          <w:bCs/>
          <w:iCs/>
          <w:szCs w:val="24"/>
          <w:u w:val="single"/>
        </w:rPr>
        <w:t>，采用汽车运送的方式，除新乡市以内的可以通过省道运输外，其余基本通过高速运送，仅下高速后行驶短距离的一般公路。通过汽运的方式全年所需车次为</w:t>
      </w:r>
      <w:r w:rsidR="002F5FB6">
        <w:rPr>
          <w:rFonts w:ascii="宋体" w:hAnsi="宋体" w:hint="eastAsia"/>
          <w:bCs/>
          <w:iCs/>
          <w:szCs w:val="24"/>
          <w:u w:val="single"/>
        </w:rPr>
        <w:t>5642</w:t>
      </w:r>
      <w:r w:rsidRPr="00455348">
        <w:rPr>
          <w:rFonts w:ascii="宋体" w:hAnsi="宋体" w:hint="eastAsia"/>
          <w:bCs/>
          <w:iCs/>
          <w:szCs w:val="24"/>
          <w:u w:val="single"/>
        </w:rPr>
        <w:t>次</w:t>
      </w:r>
      <w:r>
        <w:rPr>
          <w:rFonts w:ascii="宋体" w:hAnsi="宋体" w:hint="eastAsia"/>
          <w:bCs/>
          <w:iCs/>
          <w:szCs w:val="24"/>
          <w:u w:val="single"/>
        </w:rPr>
        <w:t>（来回算两次）</w:t>
      </w:r>
      <w:r w:rsidRPr="00455348">
        <w:rPr>
          <w:rFonts w:ascii="宋体" w:hAnsi="宋体" w:hint="eastAsia"/>
          <w:bCs/>
          <w:iCs/>
          <w:szCs w:val="24"/>
          <w:u w:val="single"/>
        </w:rPr>
        <w:t>，折合每日新增车辆</w:t>
      </w:r>
      <w:r>
        <w:rPr>
          <w:rFonts w:ascii="宋体" w:hAnsi="宋体"/>
          <w:bCs/>
          <w:iCs/>
          <w:szCs w:val="24"/>
          <w:u w:val="single"/>
        </w:rPr>
        <w:t>1</w:t>
      </w:r>
      <w:r w:rsidR="002F5FB6">
        <w:rPr>
          <w:rFonts w:ascii="宋体" w:hAnsi="宋体" w:hint="eastAsia"/>
          <w:bCs/>
          <w:iCs/>
          <w:szCs w:val="24"/>
          <w:u w:val="single"/>
        </w:rPr>
        <w:t>9</w:t>
      </w:r>
      <w:r w:rsidRPr="00455348">
        <w:rPr>
          <w:rFonts w:ascii="宋体" w:hAnsi="宋体" w:hint="eastAsia"/>
          <w:bCs/>
          <w:iCs/>
          <w:szCs w:val="24"/>
          <w:u w:val="single"/>
        </w:rPr>
        <w:t>辆左右，不会对高速公路或者其他公路造成拥堵。评价建议企业在运输原料或产品时提前考虑节假日等易拥堵时段，提前进货或有条件把进货或出货时间延后，以减少项目大宗物料运送在高峰期造成的公路拥堵。</w:t>
      </w:r>
    </w:p>
    <w:p w:rsidR="00EE56C0" w:rsidRDefault="00732772" w:rsidP="00732772">
      <w:pPr>
        <w:ind w:firstLine="480"/>
      </w:pPr>
      <w:r>
        <w:rPr>
          <w:rFonts w:ascii="宋体" w:hAnsi="宋体" w:hint="eastAsia"/>
          <w:bCs/>
          <w:iCs/>
          <w:szCs w:val="24"/>
        </w:rPr>
        <w:t>汽车运输过程污染物主要一般来自于汽车曲轴箱漏气、燃油系统挥发和排气筒的排放，但柴油货车主要采用压燃式发动机，其污染物仅有排气筒的排放，不</w:t>
      </w:r>
      <w:r>
        <w:rPr>
          <w:rFonts w:ascii="宋体" w:hAnsi="宋体" w:hint="eastAsia"/>
          <w:bCs/>
          <w:iCs/>
          <w:szCs w:val="24"/>
        </w:rPr>
        <w:lastRenderedPageBreak/>
        <w:t>存在其他两种方式。汽车排气筒尾气中主要污染物为</w:t>
      </w:r>
      <w:r>
        <w:rPr>
          <w:rFonts w:ascii="宋体" w:hAnsi="宋体"/>
          <w:bCs/>
          <w:iCs/>
          <w:szCs w:val="24"/>
        </w:rPr>
        <w:t>CO</w:t>
      </w:r>
      <w:r>
        <w:rPr>
          <w:rFonts w:ascii="宋体" w:hAnsi="宋体" w:hint="eastAsia"/>
          <w:bCs/>
          <w:iCs/>
          <w:szCs w:val="24"/>
        </w:rPr>
        <w:t>、</w:t>
      </w:r>
      <w:r>
        <w:rPr>
          <w:rFonts w:ascii="宋体" w:hAnsi="宋体"/>
          <w:bCs/>
          <w:iCs/>
          <w:szCs w:val="24"/>
        </w:rPr>
        <w:t>NOx</w:t>
      </w:r>
      <w:r>
        <w:rPr>
          <w:rFonts w:ascii="宋体" w:hAnsi="宋体" w:hint="eastAsia"/>
          <w:bCs/>
          <w:iCs/>
          <w:szCs w:val="24"/>
        </w:rPr>
        <w:t>、非甲烷总烃和颗粒物等。本次评价参考《公路建设项目环境影响评价规范（试行）》推荐计算公式进行污染物计算</w:t>
      </w:r>
      <w:r w:rsidR="00467037">
        <w:rPr>
          <w:rFonts w:ascii="宋体" w:hAnsi="宋体" w:hint="eastAsia"/>
          <w:bCs/>
          <w:iCs/>
          <w:szCs w:val="24"/>
        </w:rPr>
        <w:t>：</w:t>
      </w:r>
    </w:p>
    <w:p w:rsidR="00732772" w:rsidRDefault="00340837" w:rsidP="00732772">
      <w:pPr>
        <w:adjustRightInd/>
        <w:snapToGrid/>
        <w:ind w:firstLineChars="0" w:firstLine="600"/>
        <w:textAlignment w:val="auto"/>
        <w:rPr>
          <w:rFonts w:ascii="宋体" w:hAnsi="宋体"/>
          <w:bCs/>
          <w:iCs/>
          <w:szCs w:val="24"/>
        </w:rPr>
      </w:pPr>
      <w:r w:rsidRPr="00340837">
        <w:rPr>
          <w:rFonts w:ascii="宋体" w:hAnsi="宋体"/>
          <w:sz w:val="28"/>
          <w:szCs w:val="28"/>
        </w:rPr>
        <w:pict>
          <v:shape id="文本框 2853" o:spid="_x0000_s2280" type="#_x0000_t202" style="position:absolute;left:0;text-align:left;margin-left:3in;margin-top:9.4pt;width:38.6pt;height:35.05pt;z-index:251722240;mso-width-relative:margin;mso-height-relative:margin" stroked="f">
            <v:fill opacity="0"/>
            <v:textbox style="mso-next-textbox:#文本框 2853">
              <w:txbxContent>
                <w:p w:rsidR="009C6BD9" w:rsidRDefault="009C6BD9" w:rsidP="00732772">
                  <w:pPr>
                    <w:ind w:firstLine="300"/>
                    <w:rPr>
                      <w:sz w:val="15"/>
                      <w:szCs w:val="15"/>
                    </w:rPr>
                  </w:pPr>
                  <w:r>
                    <w:rPr>
                      <w:sz w:val="15"/>
                      <w:szCs w:val="15"/>
                    </w:rPr>
                    <w:t>3</w:t>
                  </w:r>
                </w:p>
              </w:txbxContent>
            </v:textbox>
          </v:shape>
        </w:pict>
      </w:r>
      <w:r w:rsidRPr="00340837">
        <w:rPr>
          <w:rFonts w:ascii="宋体" w:hAnsi="宋体"/>
          <w:sz w:val="28"/>
          <w:szCs w:val="28"/>
        </w:rPr>
        <w:pict>
          <v:shape id="文本框 2854" o:spid="_x0000_s2281" type="#_x0000_t202" style="position:absolute;left:0;text-align:left;margin-left:220.95pt;margin-top:15pt;width:55.55pt;height:33.2pt;z-index:251723264;mso-height-percent:200;mso-height-percent:200;mso-width-relative:margin;mso-height-relative:margin" stroked="f">
            <v:fill opacity="0"/>
            <v:textbox style="mso-next-textbox:#文本框 2854;mso-fit-shape-to-text:t">
              <w:txbxContent>
                <w:p w:rsidR="009C6BD9" w:rsidRDefault="009C6BD9" w:rsidP="00732772">
                  <w:pPr>
                    <w:ind w:firstLine="360"/>
                    <w:rPr>
                      <w:sz w:val="18"/>
                      <w:szCs w:val="18"/>
                    </w:rPr>
                  </w:pPr>
                  <w:r>
                    <w:rPr>
                      <w:sz w:val="18"/>
                      <w:szCs w:val="18"/>
                    </w:rPr>
                    <w:t>A</w:t>
                  </w:r>
                  <w:r>
                    <w:rPr>
                      <w:sz w:val="18"/>
                      <w:szCs w:val="18"/>
                      <w:vertAlign w:val="subscript"/>
                    </w:rPr>
                    <w:t>i</w:t>
                  </w:r>
                  <w:r>
                    <w:rPr>
                      <w:sz w:val="18"/>
                      <w:szCs w:val="18"/>
                    </w:rPr>
                    <w:t>E</w:t>
                  </w:r>
                  <w:r>
                    <w:rPr>
                      <w:sz w:val="18"/>
                      <w:szCs w:val="18"/>
                      <w:vertAlign w:val="subscript"/>
                    </w:rPr>
                    <w:t>ij</w:t>
                  </w:r>
                </w:p>
              </w:txbxContent>
            </v:textbox>
          </v:shape>
        </w:pict>
      </w:r>
      <w:r w:rsidR="00732772">
        <w:rPr>
          <w:rFonts w:ascii="宋体" w:hAnsi="宋体" w:hint="eastAsia"/>
          <w:bCs/>
          <w:iCs/>
          <w:szCs w:val="24"/>
        </w:rPr>
        <w:t>污染物排放源强计算公式如下：</w:t>
      </w:r>
    </w:p>
    <w:p w:rsidR="00732772" w:rsidRDefault="00340837" w:rsidP="00732772">
      <w:pPr>
        <w:adjustRightInd/>
        <w:snapToGrid/>
        <w:ind w:firstLineChars="0" w:firstLine="600"/>
        <w:textAlignment w:val="auto"/>
        <w:rPr>
          <w:rFonts w:ascii="宋体" w:hAnsi="宋体"/>
          <w:bCs/>
          <w:iCs/>
          <w:sz w:val="32"/>
          <w:szCs w:val="32"/>
        </w:rPr>
      </w:pPr>
      <w:r w:rsidRPr="00340837">
        <w:rPr>
          <w:rFonts w:ascii="宋体" w:hAnsi="宋体"/>
          <w:sz w:val="28"/>
          <w:szCs w:val="28"/>
        </w:rPr>
        <w:pict>
          <v:shape id="文本框 2855" o:spid="_x0000_s2282" type="#_x0000_t202" style="position:absolute;left:0;text-align:left;margin-left:237.4pt;margin-top:-.05pt;width:67.25pt;height:33.35pt;z-index:251724288;mso-width-relative:margin;mso-height-relative:margin" stroked="f">
            <v:fill opacity="0"/>
            <v:textbox style="mso-next-textbox:#文本框 2855">
              <w:txbxContent>
                <w:p w:rsidR="009C6BD9" w:rsidRDefault="009C6BD9" w:rsidP="00732772">
                  <w:pPr>
                    <w:ind w:firstLineChars="0" w:firstLine="0"/>
                    <w:rPr>
                      <w:sz w:val="18"/>
                      <w:szCs w:val="18"/>
                    </w:rPr>
                  </w:pPr>
                  <w:r>
                    <w:rPr>
                      <w:sz w:val="18"/>
                      <w:szCs w:val="18"/>
                    </w:rPr>
                    <w:t>3600</w:t>
                  </w:r>
                </w:p>
              </w:txbxContent>
            </v:textbox>
          </v:shape>
        </w:pict>
      </w:r>
      <w:r w:rsidRPr="00340837">
        <w:rPr>
          <w:rFonts w:ascii="宋体" w:hAnsi="宋体"/>
          <w:sz w:val="28"/>
          <w:szCs w:val="28"/>
        </w:rPr>
        <w:pict>
          <v:shape id="文本框 2852" o:spid="_x0000_s2279" type="#_x0000_t202" style="position:absolute;left:0;text-align:left;margin-left:211.7pt;margin-top:2.2pt;width:46.65pt;height:38.15pt;z-index:251721216;mso-width-relative:margin;mso-height-relative:margin" stroked="f">
            <v:fill opacity="0"/>
            <v:textbox style="mso-next-textbox:#文本框 2852">
              <w:txbxContent>
                <w:p w:rsidR="009C6BD9" w:rsidRDefault="009C6BD9" w:rsidP="00732772">
                  <w:pPr>
                    <w:ind w:firstLine="300"/>
                    <w:rPr>
                      <w:sz w:val="15"/>
                      <w:szCs w:val="15"/>
                    </w:rPr>
                  </w:pPr>
                  <w:r>
                    <w:rPr>
                      <w:sz w:val="15"/>
                      <w:szCs w:val="15"/>
                    </w:rPr>
                    <w:t>i=1</w:t>
                  </w:r>
                </w:p>
              </w:txbxContent>
            </v:textbox>
          </v:shape>
        </w:pict>
      </w:r>
      <w:r w:rsidR="00A620BD">
        <w:rPr>
          <w:rFonts w:ascii="宋体" w:hAnsi="宋体" w:hint="eastAsia"/>
          <w:bCs/>
          <w:iCs/>
          <w:szCs w:val="24"/>
        </w:rPr>
        <w:t xml:space="preserve">                        </w:t>
      </w:r>
      <w:r w:rsidR="00732772">
        <w:rPr>
          <w:rFonts w:ascii="宋体" w:hAnsi="宋体"/>
          <w:bCs/>
          <w:iCs/>
          <w:szCs w:val="24"/>
        </w:rPr>
        <w:t>Q</w:t>
      </w:r>
      <w:r w:rsidR="00732772">
        <w:rPr>
          <w:rFonts w:ascii="宋体" w:hAnsi="宋体"/>
          <w:bCs/>
          <w:iCs/>
          <w:szCs w:val="24"/>
          <w:vertAlign w:val="subscript"/>
        </w:rPr>
        <w:t>j</w:t>
      </w:r>
      <w:r w:rsidR="00732772">
        <w:rPr>
          <w:rFonts w:ascii="宋体" w:hAnsi="宋体"/>
          <w:bCs/>
          <w:iCs/>
          <w:sz w:val="32"/>
          <w:szCs w:val="32"/>
        </w:rPr>
        <w:t>=</w:t>
      </w:r>
      <w:r w:rsidR="00732772">
        <w:rPr>
          <w:rFonts w:ascii="宋体" w:hAnsi="宋体" w:hint="eastAsia"/>
          <w:bCs/>
          <w:iCs/>
          <w:sz w:val="32"/>
          <w:szCs w:val="32"/>
        </w:rPr>
        <w:t>∑─</w:t>
      </w:r>
    </w:p>
    <w:p w:rsidR="00732772" w:rsidRDefault="00732772" w:rsidP="00732772">
      <w:pPr>
        <w:adjustRightInd/>
        <w:snapToGrid/>
        <w:ind w:firstLineChars="0" w:firstLine="600"/>
        <w:textAlignment w:val="auto"/>
        <w:rPr>
          <w:rFonts w:ascii="宋体" w:hAnsi="宋体"/>
          <w:bCs/>
          <w:iCs/>
          <w:szCs w:val="24"/>
        </w:rPr>
      </w:pPr>
      <w:r>
        <w:rPr>
          <w:rFonts w:ascii="宋体" w:hAnsi="宋体" w:hint="eastAsia"/>
          <w:bCs/>
          <w:iCs/>
          <w:szCs w:val="24"/>
        </w:rPr>
        <w:t>式中：</w:t>
      </w:r>
      <w:r>
        <w:rPr>
          <w:rFonts w:ascii="宋体" w:hAnsi="宋体"/>
          <w:bCs/>
          <w:iCs/>
          <w:szCs w:val="24"/>
        </w:rPr>
        <w:t>Q</w:t>
      </w:r>
      <w:r>
        <w:rPr>
          <w:rFonts w:ascii="宋体" w:hAnsi="宋体"/>
          <w:bCs/>
          <w:iCs/>
          <w:szCs w:val="24"/>
          <w:vertAlign w:val="subscript"/>
        </w:rPr>
        <w:t>j</w:t>
      </w:r>
      <w:r>
        <w:rPr>
          <w:rFonts w:ascii="宋体" w:hAnsi="宋体"/>
          <w:bCs/>
          <w:iCs/>
          <w:szCs w:val="24"/>
        </w:rPr>
        <w:t>-</w:t>
      </w:r>
      <w:r>
        <w:rPr>
          <w:rFonts w:ascii="宋体" w:hAnsi="宋体" w:hint="eastAsia"/>
          <w:bCs/>
          <w:iCs/>
          <w:szCs w:val="24"/>
        </w:rPr>
        <w:t>行驶汽车在一定车速下排放的</w:t>
      </w:r>
      <w:r>
        <w:rPr>
          <w:rFonts w:ascii="宋体" w:hAnsi="宋体"/>
          <w:bCs/>
          <w:iCs/>
          <w:szCs w:val="24"/>
        </w:rPr>
        <w:t>j</w:t>
      </w:r>
      <w:r>
        <w:rPr>
          <w:rFonts w:ascii="宋体" w:hAnsi="宋体" w:hint="eastAsia"/>
          <w:bCs/>
          <w:iCs/>
          <w:szCs w:val="24"/>
        </w:rPr>
        <w:t>种污染物源强，</w:t>
      </w:r>
      <w:r>
        <w:rPr>
          <w:rFonts w:ascii="宋体" w:hAnsi="宋体"/>
          <w:bCs/>
          <w:iCs/>
          <w:szCs w:val="24"/>
        </w:rPr>
        <w:t>mg/</w:t>
      </w:r>
      <w:r>
        <w:rPr>
          <w:rFonts w:ascii="宋体" w:hAnsi="宋体" w:hint="eastAsia"/>
          <w:bCs/>
          <w:iCs/>
          <w:szCs w:val="24"/>
        </w:rPr>
        <w:t>（</w:t>
      </w:r>
      <w:r>
        <w:rPr>
          <w:rFonts w:ascii="宋体" w:hAnsi="宋体"/>
          <w:bCs/>
          <w:iCs/>
          <w:szCs w:val="24"/>
        </w:rPr>
        <w:t>m</w:t>
      </w:r>
      <w:r>
        <w:rPr>
          <w:rFonts w:ascii="宋体" w:hAnsi="宋体" w:hint="eastAsia"/>
          <w:bCs/>
          <w:iCs/>
          <w:szCs w:val="24"/>
        </w:rPr>
        <w:t>·</w:t>
      </w:r>
      <w:r>
        <w:rPr>
          <w:rFonts w:ascii="宋体" w:hAnsi="宋体"/>
          <w:bCs/>
          <w:iCs/>
          <w:szCs w:val="24"/>
        </w:rPr>
        <w:t>s</w:t>
      </w:r>
      <w:r>
        <w:rPr>
          <w:rFonts w:ascii="宋体" w:hAnsi="宋体" w:hint="eastAsia"/>
          <w:bCs/>
          <w:iCs/>
          <w:szCs w:val="24"/>
        </w:rPr>
        <w:t>）；</w:t>
      </w:r>
    </w:p>
    <w:p w:rsidR="00732772" w:rsidRDefault="00732772" w:rsidP="00732772">
      <w:pPr>
        <w:adjustRightInd/>
        <w:snapToGrid/>
        <w:ind w:firstLineChars="0" w:firstLine="600"/>
        <w:textAlignment w:val="auto"/>
        <w:rPr>
          <w:rFonts w:ascii="宋体" w:hAnsi="宋体"/>
          <w:bCs/>
          <w:iCs/>
          <w:szCs w:val="24"/>
        </w:rPr>
      </w:pPr>
      <w:r>
        <w:rPr>
          <w:rFonts w:ascii="宋体" w:hAnsi="宋体"/>
          <w:bCs/>
          <w:iCs/>
          <w:szCs w:val="24"/>
        </w:rPr>
        <w:t xml:space="preserve">      A</w:t>
      </w:r>
      <w:r>
        <w:rPr>
          <w:rFonts w:ascii="宋体" w:hAnsi="宋体"/>
          <w:bCs/>
          <w:iCs/>
          <w:szCs w:val="24"/>
          <w:vertAlign w:val="subscript"/>
        </w:rPr>
        <w:t>i</w:t>
      </w:r>
      <w:r>
        <w:rPr>
          <w:rFonts w:ascii="宋体" w:hAnsi="宋体"/>
          <w:bCs/>
          <w:iCs/>
          <w:szCs w:val="24"/>
        </w:rPr>
        <w:t>-i</w:t>
      </w:r>
      <w:r>
        <w:rPr>
          <w:rFonts w:ascii="宋体" w:hAnsi="宋体" w:hint="eastAsia"/>
          <w:bCs/>
          <w:iCs/>
          <w:szCs w:val="24"/>
        </w:rPr>
        <w:t>种车型的小时交通量，辆</w:t>
      </w:r>
      <w:r>
        <w:rPr>
          <w:rFonts w:ascii="宋体" w:hAnsi="宋体"/>
          <w:bCs/>
          <w:iCs/>
          <w:szCs w:val="24"/>
        </w:rPr>
        <w:t>/h</w:t>
      </w:r>
      <w:r>
        <w:rPr>
          <w:rFonts w:ascii="宋体" w:hAnsi="宋体" w:hint="eastAsia"/>
          <w:bCs/>
          <w:iCs/>
          <w:szCs w:val="24"/>
        </w:rPr>
        <w:t>；</w:t>
      </w:r>
    </w:p>
    <w:p w:rsidR="00732772" w:rsidRDefault="00A26403" w:rsidP="00732772">
      <w:pPr>
        <w:adjustRightInd/>
        <w:snapToGrid/>
        <w:ind w:firstLineChars="0" w:firstLine="600"/>
        <w:textAlignment w:val="auto"/>
        <w:rPr>
          <w:rFonts w:ascii="宋体" w:hAnsi="宋体"/>
          <w:bCs/>
          <w:iCs/>
          <w:szCs w:val="24"/>
        </w:rPr>
      </w:pPr>
      <w:r>
        <w:rPr>
          <w:rFonts w:ascii="宋体" w:hAnsi="宋体" w:hint="eastAsia"/>
          <w:bCs/>
          <w:iCs/>
          <w:szCs w:val="24"/>
        </w:rPr>
        <w:t xml:space="preserve">      </w:t>
      </w:r>
      <w:r w:rsidR="00732772">
        <w:rPr>
          <w:rFonts w:ascii="宋体" w:hAnsi="宋体"/>
          <w:bCs/>
          <w:iCs/>
          <w:szCs w:val="24"/>
        </w:rPr>
        <w:t>E</w:t>
      </w:r>
      <w:r w:rsidR="00732772">
        <w:rPr>
          <w:rFonts w:ascii="宋体" w:hAnsi="宋体"/>
          <w:bCs/>
          <w:iCs/>
          <w:szCs w:val="24"/>
          <w:vertAlign w:val="subscript"/>
        </w:rPr>
        <w:t>ij</w:t>
      </w:r>
      <w:r w:rsidR="00732772">
        <w:rPr>
          <w:rFonts w:ascii="宋体" w:hAnsi="宋体"/>
          <w:bCs/>
          <w:iCs/>
          <w:szCs w:val="24"/>
        </w:rPr>
        <w:t>-</w:t>
      </w:r>
      <w:r w:rsidR="00732772">
        <w:rPr>
          <w:rFonts w:ascii="宋体" w:hAnsi="宋体" w:hint="eastAsia"/>
          <w:bCs/>
          <w:iCs/>
          <w:szCs w:val="24"/>
        </w:rPr>
        <w:t>汽车专用公路运行工况下</w:t>
      </w:r>
      <w:r w:rsidR="00732772">
        <w:rPr>
          <w:rFonts w:ascii="宋体" w:hAnsi="宋体"/>
          <w:bCs/>
          <w:iCs/>
          <w:szCs w:val="24"/>
        </w:rPr>
        <w:t>i</w:t>
      </w:r>
      <w:r w:rsidR="00732772">
        <w:rPr>
          <w:rFonts w:ascii="宋体" w:hAnsi="宋体" w:hint="eastAsia"/>
          <w:bCs/>
          <w:iCs/>
          <w:szCs w:val="24"/>
        </w:rPr>
        <w:t>型车</w:t>
      </w:r>
      <w:r w:rsidR="00732772">
        <w:rPr>
          <w:rFonts w:ascii="宋体" w:hAnsi="宋体"/>
          <w:bCs/>
          <w:iCs/>
          <w:szCs w:val="24"/>
        </w:rPr>
        <w:t>j</w:t>
      </w:r>
      <w:r w:rsidR="00732772">
        <w:rPr>
          <w:rFonts w:ascii="宋体" w:hAnsi="宋体" w:hint="eastAsia"/>
          <w:bCs/>
          <w:iCs/>
          <w:szCs w:val="24"/>
        </w:rPr>
        <w:t>种污染物在预测年的单车排放因子，</w:t>
      </w:r>
      <w:r w:rsidR="00732772">
        <w:rPr>
          <w:rFonts w:ascii="宋体" w:hAnsi="宋体"/>
          <w:bCs/>
          <w:iCs/>
          <w:szCs w:val="24"/>
        </w:rPr>
        <w:t>mg/</w:t>
      </w:r>
      <w:r w:rsidR="00732772">
        <w:rPr>
          <w:rFonts w:ascii="宋体" w:hAnsi="宋体" w:hint="eastAsia"/>
          <w:bCs/>
          <w:iCs/>
          <w:szCs w:val="24"/>
        </w:rPr>
        <w:t>（辆·</w:t>
      </w:r>
      <w:r w:rsidR="00732772">
        <w:rPr>
          <w:rFonts w:ascii="宋体" w:hAnsi="宋体"/>
          <w:bCs/>
          <w:iCs/>
          <w:szCs w:val="24"/>
        </w:rPr>
        <w:t>m</w:t>
      </w:r>
      <w:r w:rsidR="00732772">
        <w:rPr>
          <w:rFonts w:ascii="宋体" w:hAnsi="宋体" w:hint="eastAsia"/>
          <w:bCs/>
          <w:iCs/>
          <w:szCs w:val="24"/>
        </w:rPr>
        <w:t>）。</w:t>
      </w:r>
    </w:p>
    <w:p w:rsidR="00EE56C0" w:rsidRDefault="00732772" w:rsidP="00732772">
      <w:pPr>
        <w:ind w:firstLine="480"/>
      </w:pPr>
      <w:r>
        <w:rPr>
          <w:rFonts w:ascii="宋体" w:hAnsi="宋体" w:hint="eastAsia"/>
          <w:bCs/>
          <w:iCs/>
          <w:szCs w:val="24"/>
        </w:rPr>
        <w:t>《公路建设项目环境影响评价规范（试行）》附录</w:t>
      </w:r>
      <w:r>
        <w:rPr>
          <w:rFonts w:ascii="宋体" w:hAnsi="宋体"/>
          <w:bCs/>
          <w:iCs/>
          <w:szCs w:val="24"/>
        </w:rPr>
        <w:t>D</w:t>
      </w:r>
      <w:r>
        <w:rPr>
          <w:rFonts w:ascii="宋体" w:hAnsi="宋体" w:hint="eastAsia"/>
          <w:bCs/>
          <w:iCs/>
          <w:szCs w:val="24"/>
        </w:rPr>
        <w:t>推荐的单车排放因子制定于</w:t>
      </w:r>
      <w:r>
        <w:rPr>
          <w:rFonts w:ascii="宋体" w:hAnsi="宋体"/>
          <w:bCs/>
          <w:iCs/>
          <w:szCs w:val="24"/>
        </w:rPr>
        <w:t>1996</w:t>
      </w:r>
      <w:r>
        <w:rPr>
          <w:rFonts w:ascii="宋体" w:hAnsi="宋体" w:hint="eastAsia"/>
          <w:bCs/>
          <w:iCs/>
          <w:szCs w:val="24"/>
        </w:rPr>
        <w:t>年，与之配套的是制定于</w:t>
      </w:r>
      <w:r>
        <w:rPr>
          <w:rFonts w:ascii="宋体" w:hAnsi="宋体"/>
          <w:bCs/>
          <w:iCs/>
          <w:szCs w:val="24"/>
        </w:rPr>
        <w:t>1993</w:t>
      </w:r>
      <w:r>
        <w:rPr>
          <w:rFonts w:ascii="宋体" w:hAnsi="宋体" w:hint="eastAsia"/>
          <w:bCs/>
          <w:iCs/>
          <w:szCs w:val="24"/>
        </w:rPr>
        <w:t>年的机动车排气污染物排放标准，该标准根据我国当时的经济技术和中国汽车工业状况，主要针对安装化油器的汽油车，根据当时的欧</w:t>
      </w:r>
      <w:r>
        <w:rPr>
          <w:rFonts w:ascii="宋体" w:hAnsi="宋体"/>
          <w:bCs/>
          <w:iCs/>
          <w:szCs w:val="24"/>
        </w:rPr>
        <w:t>I</w:t>
      </w:r>
      <w:r>
        <w:rPr>
          <w:rFonts w:ascii="宋体" w:hAnsi="宋体" w:hint="eastAsia"/>
          <w:bCs/>
          <w:iCs/>
          <w:szCs w:val="24"/>
        </w:rPr>
        <w:t>标准测试出的测试值，该测试值取值过高，不适合目前的现实情况。根据《轻型汽车污染物排放限值及测量方法（中国第五阶段）》（</w:t>
      </w:r>
      <w:r>
        <w:rPr>
          <w:rFonts w:ascii="宋体" w:hAnsi="宋体"/>
          <w:bCs/>
          <w:iCs/>
          <w:szCs w:val="24"/>
        </w:rPr>
        <w:t>GB18352.3-2013</w:t>
      </w:r>
      <w:r>
        <w:rPr>
          <w:rFonts w:ascii="宋体" w:hAnsi="宋体" w:hint="eastAsia"/>
          <w:bCs/>
          <w:iCs/>
          <w:szCs w:val="24"/>
        </w:rPr>
        <w:t>），第</w:t>
      </w:r>
      <w:r>
        <w:rPr>
          <w:rFonts w:ascii="宋体" w:hAnsi="宋体"/>
          <w:bCs/>
          <w:iCs/>
          <w:szCs w:val="24"/>
        </w:rPr>
        <w:t>V</w:t>
      </w:r>
      <w:r>
        <w:rPr>
          <w:rFonts w:ascii="宋体" w:hAnsi="宋体" w:hint="eastAsia"/>
          <w:bCs/>
          <w:iCs/>
          <w:szCs w:val="24"/>
        </w:rPr>
        <w:t>阶段自</w:t>
      </w:r>
      <w:r>
        <w:rPr>
          <w:rFonts w:ascii="宋体" w:hAnsi="宋体"/>
          <w:bCs/>
          <w:iCs/>
          <w:szCs w:val="24"/>
        </w:rPr>
        <w:t>2018</w:t>
      </w:r>
      <w:r>
        <w:rPr>
          <w:rFonts w:ascii="宋体" w:hAnsi="宋体" w:hint="eastAsia"/>
          <w:bCs/>
          <w:iCs/>
          <w:szCs w:val="24"/>
        </w:rPr>
        <w:t>年</w:t>
      </w:r>
      <w:r>
        <w:rPr>
          <w:rFonts w:ascii="宋体" w:hAnsi="宋体"/>
          <w:bCs/>
          <w:iCs/>
          <w:szCs w:val="24"/>
        </w:rPr>
        <w:t>1</w:t>
      </w:r>
      <w:r>
        <w:rPr>
          <w:rFonts w:ascii="宋体" w:hAnsi="宋体" w:hint="eastAsia"/>
          <w:bCs/>
          <w:iCs/>
          <w:szCs w:val="24"/>
        </w:rPr>
        <w:t>月</w:t>
      </w:r>
      <w:r>
        <w:rPr>
          <w:rFonts w:ascii="宋体" w:hAnsi="宋体"/>
          <w:bCs/>
          <w:iCs/>
          <w:szCs w:val="24"/>
        </w:rPr>
        <w:t>1</w:t>
      </w:r>
      <w:r>
        <w:rPr>
          <w:rFonts w:ascii="宋体" w:hAnsi="宋体" w:hint="eastAsia"/>
          <w:bCs/>
          <w:iCs/>
          <w:szCs w:val="24"/>
        </w:rPr>
        <w:t>日起执行，该阶段所有销售和注册登记的轻型汽车应符合该标准要求，本次评价拟按照该方法中的单车排放因子（国</w:t>
      </w:r>
      <w:r>
        <w:rPr>
          <w:rFonts w:ascii="宋体" w:hAnsi="宋体"/>
          <w:bCs/>
          <w:iCs/>
          <w:szCs w:val="24"/>
        </w:rPr>
        <w:t>V</w:t>
      </w:r>
      <w:r>
        <w:rPr>
          <w:rFonts w:ascii="宋体" w:hAnsi="宋体" w:hint="eastAsia"/>
          <w:bCs/>
          <w:iCs/>
          <w:szCs w:val="24"/>
        </w:rPr>
        <w:t>）进行评价。各阶段车型汽车污染物排放标准见表3-</w:t>
      </w:r>
      <w:r>
        <w:rPr>
          <w:rFonts w:ascii="宋体" w:hAnsi="宋体"/>
          <w:bCs/>
          <w:iCs/>
          <w:szCs w:val="24"/>
        </w:rPr>
        <w:t>4</w:t>
      </w:r>
      <w:r>
        <w:rPr>
          <w:rFonts w:ascii="宋体" w:hAnsi="宋体" w:hint="eastAsia"/>
          <w:bCs/>
          <w:iCs/>
          <w:szCs w:val="24"/>
        </w:rPr>
        <w:t>8。</w:t>
      </w:r>
    </w:p>
    <w:p w:rsidR="00EE56C0" w:rsidRDefault="00EE56C0">
      <w:pPr>
        <w:ind w:firstLine="480"/>
      </w:pPr>
    </w:p>
    <w:p w:rsidR="00732772" w:rsidRDefault="00732772">
      <w:pPr>
        <w:ind w:firstLine="480"/>
        <w:sectPr w:rsidR="00732772">
          <w:pgSz w:w="11906" w:h="16838"/>
          <w:pgMar w:top="1440" w:right="1797" w:bottom="1440" w:left="1797" w:header="851" w:footer="992" w:gutter="0"/>
          <w:cols w:space="720"/>
          <w:docGrid w:linePitch="312"/>
        </w:sectPr>
      </w:pPr>
    </w:p>
    <w:p w:rsidR="00732772" w:rsidRPr="00212B58" w:rsidRDefault="00732772" w:rsidP="00212B58">
      <w:pPr>
        <w:adjustRightInd/>
        <w:snapToGrid/>
        <w:spacing w:line="500" w:lineRule="exact"/>
        <w:ind w:firstLineChars="150" w:firstLine="421"/>
        <w:textAlignment w:val="auto"/>
        <w:rPr>
          <w:rFonts w:eastAsiaTheme="majorEastAsia"/>
          <w:b/>
          <w:bCs/>
          <w:iCs/>
          <w:spacing w:val="20"/>
          <w:szCs w:val="24"/>
        </w:rPr>
      </w:pPr>
      <w:r w:rsidRPr="00212B58">
        <w:rPr>
          <w:rFonts w:eastAsiaTheme="majorEastAsia" w:hAnsiTheme="majorEastAsia"/>
          <w:b/>
          <w:bCs/>
          <w:iCs/>
          <w:spacing w:val="20"/>
          <w:szCs w:val="24"/>
        </w:rPr>
        <w:lastRenderedPageBreak/>
        <w:t>表</w:t>
      </w:r>
      <w:r w:rsidRPr="00212B58">
        <w:rPr>
          <w:rFonts w:eastAsiaTheme="majorEastAsia"/>
          <w:b/>
          <w:bCs/>
          <w:iCs/>
          <w:spacing w:val="20"/>
          <w:szCs w:val="24"/>
        </w:rPr>
        <w:t>3-</w:t>
      </w:r>
      <w:r w:rsidR="00212B58" w:rsidRPr="00212B58">
        <w:rPr>
          <w:rFonts w:eastAsiaTheme="majorEastAsia"/>
          <w:b/>
          <w:bCs/>
          <w:iCs/>
          <w:spacing w:val="20"/>
          <w:szCs w:val="24"/>
        </w:rPr>
        <w:t>67</w:t>
      </w:r>
      <w:r w:rsidRPr="00212B58">
        <w:rPr>
          <w:rFonts w:eastAsiaTheme="majorEastAsia"/>
          <w:b/>
          <w:bCs/>
          <w:iCs/>
          <w:spacing w:val="20"/>
          <w:szCs w:val="24"/>
        </w:rPr>
        <w:t xml:space="preserve">                     </w:t>
      </w:r>
      <w:r w:rsidRPr="00212B58">
        <w:rPr>
          <w:rFonts w:eastAsiaTheme="majorEastAsia" w:hAnsiTheme="majorEastAsia"/>
          <w:b/>
          <w:bCs/>
          <w:iCs/>
          <w:spacing w:val="20"/>
          <w:szCs w:val="24"/>
        </w:rPr>
        <w:t>单车排放因子（国</w:t>
      </w:r>
      <w:r w:rsidRPr="00212B58">
        <w:rPr>
          <w:rFonts w:eastAsiaTheme="majorEastAsia"/>
          <w:b/>
          <w:bCs/>
          <w:iCs/>
          <w:spacing w:val="20"/>
          <w:szCs w:val="24"/>
        </w:rPr>
        <w:t>V</w:t>
      </w:r>
      <w:r w:rsidRPr="00212B58">
        <w:rPr>
          <w:rFonts w:eastAsiaTheme="majorEastAsia" w:hAnsiTheme="majorEastAsia"/>
          <w:b/>
          <w:bCs/>
          <w:iCs/>
          <w:spacing w:val="20"/>
          <w:szCs w:val="24"/>
        </w:rPr>
        <w:t>）</w:t>
      </w:r>
      <w:r w:rsidRPr="00212B58">
        <w:rPr>
          <w:rFonts w:eastAsiaTheme="majorEastAsia"/>
          <w:b/>
          <w:bCs/>
          <w:iCs/>
          <w:spacing w:val="20"/>
          <w:szCs w:val="24"/>
        </w:rPr>
        <w:t xml:space="preserve">          </w:t>
      </w:r>
      <w:r w:rsidRPr="00212B58">
        <w:rPr>
          <w:rFonts w:eastAsiaTheme="majorEastAsia" w:hAnsiTheme="majorEastAsia"/>
          <w:b/>
          <w:bCs/>
          <w:iCs/>
          <w:spacing w:val="20"/>
          <w:szCs w:val="24"/>
        </w:rPr>
        <w:t>单位：</w:t>
      </w:r>
      <w:r w:rsidRPr="00212B58">
        <w:rPr>
          <w:rFonts w:eastAsiaTheme="majorEastAsia"/>
          <w:b/>
          <w:bCs/>
          <w:iCs/>
          <w:spacing w:val="20"/>
          <w:szCs w:val="24"/>
        </w:rPr>
        <w:t>mg/km·</w:t>
      </w:r>
      <w:r w:rsidRPr="00212B58">
        <w:rPr>
          <w:rFonts w:eastAsiaTheme="majorEastAsia" w:hAnsiTheme="majorEastAsia"/>
          <w:b/>
          <w:bCs/>
          <w:iCs/>
          <w:spacing w:val="20"/>
          <w:szCs w:val="24"/>
        </w:rPr>
        <w:t>辆</w:t>
      </w:r>
    </w:p>
    <w:tbl>
      <w:tblPr>
        <w:tblpPr w:leftFromText="180" w:rightFromText="180" w:vertAnchor="text" w:horzAnchor="margin" w:tblpY="32"/>
        <w:tblOverlap w:val="neve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tblPr>
      <w:tblGrid>
        <w:gridCol w:w="1121"/>
        <w:gridCol w:w="1032"/>
        <w:gridCol w:w="1204"/>
        <w:gridCol w:w="818"/>
        <w:gridCol w:w="756"/>
        <w:gridCol w:w="904"/>
        <w:gridCol w:w="902"/>
        <w:gridCol w:w="904"/>
        <w:gridCol w:w="902"/>
        <w:gridCol w:w="904"/>
        <w:gridCol w:w="902"/>
        <w:gridCol w:w="904"/>
        <w:gridCol w:w="902"/>
        <w:gridCol w:w="904"/>
        <w:gridCol w:w="906"/>
      </w:tblGrid>
      <w:tr w:rsidR="00732772" w:rsidTr="00640296">
        <w:trPr>
          <w:cantSplit/>
          <w:trHeight w:val="623"/>
        </w:trPr>
        <w:tc>
          <w:tcPr>
            <w:tcW w:w="2153" w:type="dxa"/>
            <w:gridSpan w:val="2"/>
            <w:vMerge w:val="restart"/>
            <w:tcBorders>
              <w:top w:val="single" w:sz="6" w:space="0" w:color="auto"/>
              <w:left w:val="single" w:sz="6" w:space="0" w:color="auto"/>
              <w:bottom w:val="single" w:sz="4" w:space="0" w:color="auto"/>
              <w:right w:val="single" w:sz="4"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rFonts w:hint="eastAsia"/>
                <w:kern w:val="2"/>
                <w:sz w:val="21"/>
                <w:szCs w:val="22"/>
              </w:rPr>
              <w:t>分类</w:t>
            </w:r>
          </w:p>
        </w:tc>
        <w:tc>
          <w:tcPr>
            <w:tcW w:w="1204" w:type="dxa"/>
            <w:vMerge w:val="restart"/>
            <w:tcBorders>
              <w:top w:val="single" w:sz="6" w:space="0" w:color="auto"/>
              <w:left w:val="single" w:sz="4" w:space="0" w:color="auto"/>
              <w:bottom w:val="single" w:sz="4" w:space="0" w:color="auto"/>
              <w:right w:val="single" w:sz="4"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rFonts w:hint="eastAsia"/>
                <w:kern w:val="2"/>
                <w:sz w:val="21"/>
                <w:szCs w:val="22"/>
              </w:rPr>
              <w:t>基准质量</w:t>
            </w:r>
          </w:p>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kg</w:t>
            </w:r>
          </w:p>
        </w:tc>
        <w:tc>
          <w:tcPr>
            <w:tcW w:w="10608" w:type="dxa"/>
            <w:gridSpan w:val="12"/>
            <w:tcBorders>
              <w:top w:val="single" w:sz="6" w:space="0" w:color="auto"/>
              <w:left w:val="single" w:sz="4" w:space="0" w:color="auto"/>
              <w:bottom w:val="single" w:sz="4" w:space="0" w:color="auto"/>
              <w:right w:val="single" w:sz="4"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rFonts w:hint="eastAsia"/>
                <w:kern w:val="2"/>
                <w:sz w:val="21"/>
                <w:szCs w:val="22"/>
              </w:rPr>
              <w:t>限值</w:t>
            </w:r>
          </w:p>
        </w:tc>
      </w:tr>
      <w:tr w:rsidR="00732772" w:rsidTr="00640296">
        <w:trPr>
          <w:cantSplit/>
          <w:trHeight w:val="623"/>
        </w:trPr>
        <w:tc>
          <w:tcPr>
            <w:tcW w:w="2153" w:type="dxa"/>
            <w:gridSpan w:val="2"/>
            <w:vMerge/>
            <w:tcBorders>
              <w:top w:val="single" w:sz="6" w:space="0" w:color="auto"/>
              <w:left w:val="single" w:sz="6" w:space="0" w:color="auto"/>
              <w:bottom w:val="single" w:sz="4" w:space="0" w:color="auto"/>
              <w:right w:val="single" w:sz="4" w:space="0" w:color="auto"/>
            </w:tcBorders>
            <w:vAlign w:val="center"/>
          </w:tcPr>
          <w:p w:rsidR="00732772" w:rsidRDefault="00732772" w:rsidP="00640296">
            <w:pPr>
              <w:widowControl/>
              <w:adjustRightInd/>
              <w:snapToGrid/>
              <w:spacing w:line="240" w:lineRule="auto"/>
              <w:ind w:firstLineChars="0" w:firstLine="0"/>
              <w:jc w:val="left"/>
              <w:textAlignment w:val="auto"/>
              <w:rPr>
                <w:kern w:val="2"/>
                <w:sz w:val="21"/>
                <w:szCs w:val="24"/>
              </w:rPr>
            </w:pPr>
          </w:p>
        </w:tc>
        <w:tc>
          <w:tcPr>
            <w:tcW w:w="1204" w:type="dxa"/>
            <w:vMerge/>
            <w:tcBorders>
              <w:top w:val="single" w:sz="6" w:space="0" w:color="auto"/>
              <w:left w:val="single" w:sz="4" w:space="0" w:color="auto"/>
              <w:bottom w:val="single" w:sz="4" w:space="0" w:color="auto"/>
              <w:right w:val="single" w:sz="4" w:space="0" w:color="auto"/>
            </w:tcBorders>
            <w:vAlign w:val="center"/>
          </w:tcPr>
          <w:p w:rsidR="00732772" w:rsidRDefault="00732772" w:rsidP="00640296">
            <w:pPr>
              <w:widowControl/>
              <w:adjustRightInd/>
              <w:snapToGrid/>
              <w:spacing w:line="240" w:lineRule="auto"/>
              <w:ind w:firstLineChars="0" w:firstLine="0"/>
              <w:jc w:val="left"/>
              <w:textAlignment w:val="auto"/>
              <w:rPr>
                <w:kern w:val="2"/>
                <w:sz w:val="21"/>
                <w:szCs w:val="24"/>
              </w:rPr>
            </w:pPr>
          </w:p>
        </w:tc>
        <w:tc>
          <w:tcPr>
            <w:tcW w:w="1574" w:type="dxa"/>
            <w:gridSpan w:val="2"/>
            <w:tcBorders>
              <w:top w:val="single" w:sz="6" w:space="0" w:color="auto"/>
              <w:left w:val="single" w:sz="4" w:space="0" w:color="auto"/>
              <w:bottom w:val="single" w:sz="4" w:space="0" w:color="auto"/>
              <w:right w:val="single" w:sz="4"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CO</w:t>
            </w:r>
          </w:p>
        </w:tc>
        <w:tc>
          <w:tcPr>
            <w:tcW w:w="1806" w:type="dxa"/>
            <w:gridSpan w:val="2"/>
            <w:tcBorders>
              <w:top w:val="single" w:sz="6" w:space="0" w:color="auto"/>
              <w:left w:val="single" w:sz="4" w:space="0" w:color="auto"/>
              <w:bottom w:val="single" w:sz="4" w:space="0" w:color="auto"/>
              <w:right w:val="single" w:sz="6"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THC</w:t>
            </w:r>
          </w:p>
        </w:tc>
        <w:tc>
          <w:tcPr>
            <w:tcW w:w="1806" w:type="dxa"/>
            <w:gridSpan w:val="2"/>
            <w:tcBorders>
              <w:top w:val="single" w:sz="6" w:space="0" w:color="auto"/>
              <w:left w:val="single" w:sz="6" w:space="0" w:color="auto"/>
              <w:bottom w:val="single" w:sz="4" w:space="0" w:color="auto"/>
              <w:right w:val="single" w:sz="4"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NMHC</w:t>
            </w:r>
          </w:p>
        </w:tc>
        <w:tc>
          <w:tcPr>
            <w:tcW w:w="1806" w:type="dxa"/>
            <w:gridSpan w:val="2"/>
            <w:tcBorders>
              <w:top w:val="single" w:sz="6" w:space="0" w:color="auto"/>
              <w:left w:val="single" w:sz="4" w:space="0" w:color="auto"/>
              <w:bottom w:val="single" w:sz="4" w:space="0" w:color="auto"/>
              <w:right w:val="single" w:sz="6"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NOx</w:t>
            </w:r>
          </w:p>
        </w:tc>
        <w:tc>
          <w:tcPr>
            <w:tcW w:w="1806" w:type="dxa"/>
            <w:gridSpan w:val="2"/>
            <w:tcBorders>
              <w:top w:val="single" w:sz="6" w:space="0" w:color="auto"/>
              <w:left w:val="single" w:sz="6" w:space="0" w:color="auto"/>
              <w:bottom w:val="single" w:sz="4" w:space="0" w:color="auto"/>
              <w:right w:val="single" w:sz="6"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THC+NOx</w:t>
            </w:r>
          </w:p>
        </w:tc>
        <w:tc>
          <w:tcPr>
            <w:tcW w:w="1810" w:type="dxa"/>
            <w:gridSpan w:val="2"/>
            <w:tcBorders>
              <w:top w:val="single" w:sz="6" w:space="0" w:color="auto"/>
              <w:left w:val="single" w:sz="6" w:space="0" w:color="auto"/>
              <w:bottom w:val="single" w:sz="4" w:space="0" w:color="auto"/>
              <w:right w:val="single" w:sz="4"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PM</w:t>
            </w:r>
          </w:p>
        </w:tc>
      </w:tr>
      <w:tr w:rsidR="00732772" w:rsidTr="00640296">
        <w:trPr>
          <w:cantSplit/>
          <w:trHeight w:val="623"/>
        </w:trPr>
        <w:tc>
          <w:tcPr>
            <w:tcW w:w="2153" w:type="dxa"/>
            <w:gridSpan w:val="2"/>
            <w:vMerge/>
            <w:tcBorders>
              <w:top w:val="single" w:sz="6" w:space="0" w:color="auto"/>
              <w:left w:val="single" w:sz="6" w:space="0" w:color="auto"/>
              <w:bottom w:val="single" w:sz="4" w:space="0" w:color="auto"/>
              <w:right w:val="single" w:sz="4" w:space="0" w:color="auto"/>
            </w:tcBorders>
            <w:vAlign w:val="center"/>
          </w:tcPr>
          <w:p w:rsidR="00732772" w:rsidRDefault="00732772" w:rsidP="00640296">
            <w:pPr>
              <w:widowControl/>
              <w:adjustRightInd/>
              <w:snapToGrid/>
              <w:spacing w:line="240" w:lineRule="auto"/>
              <w:ind w:firstLineChars="0" w:firstLine="0"/>
              <w:jc w:val="left"/>
              <w:textAlignment w:val="auto"/>
              <w:rPr>
                <w:kern w:val="2"/>
                <w:sz w:val="21"/>
                <w:szCs w:val="24"/>
              </w:rPr>
            </w:pPr>
          </w:p>
        </w:tc>
        <w:tc>
          <w:tcPr>
            <w:tcW w:w="1204" w:type="dxa"/>
            <w:vMerge/>
            <w:tcBorders>
              <w:top w:val="single" w:sz="6" w:space="0" w:color="auto"/>
              <w:left w:val="single" w:sz="4" w:space="0" w:color="auto"/>
              <w:bottom w:val="single" w:sz="4" w:space="0" w:color="auto"/>
              <w:right w:val="single" w:sz="4" w:space="0" w:color="auto"/>
            </w:tcBorders>
            <w:vAlign w:val="center"/>
          </w:tcPr>
          <w:p w:rsidR="00732772" w:rsidRDefault="00732772" w:rsidP="00640296">
            <w:pPr>
              <w:widowControl/>
              <w:adjustRightInd/>
              <w:snapToGrid/>
              <w:spacing w:line="240" w:lineRule="auto"/>
              <w:ind w:firstLineChars="0" w:firstLine="0"/>
              <w:jc w:val="left"/>
              <w:textAlignment w:val="auto"/>
              <w:rPr>
                <w:kern w:val="2"/>
                <w:sz w:val="21"/>
                <w:szCs w:val="24"/>
              </w:rPr>
            </w:pPr>
          </w:p>
        </w:tc>
        <w:tc>
          <w:tcPr>
            <w:tcW w:w="1574" w:type="dxa"/>
            <w:gridSpan w:val="2"/>
            <w:tcBorders>
              <w:top w:val="single" w:sz="6" w:space="0" w:color="auto"/>
              <w:left w:val="single" w:sz="4" w:space="0" w:color="auto"/>
              <w:bottom w:val="single" w:sz="4" w:space="0" w:color="auto"/>
              <w:right w:val="single" w:sz="4"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mg/km</w:t>
            </w:r>
          </w:p>
        </w:tc>
        <w:tc>
          <w:tcPr>
            <w:tcW w:w="1806" w:type="dxa"/>
            <w:gridSpan w:val="2"/>
            <w:tcBorders>
              <w:top w:val="single" w:sz="6" w:space="0" w:color="auto"/>
              <w:left w:val="single" w:sz="4" w:space="0" w:color="auto"/>
              <w:bottom w:val="single" w:sz="4" w:space="0" w:color="auto"/>
              <w:right w:val="single" w:sz="6"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mg/ km</w:t>
            </w:r>
          </w:p>
        </w:tc>
        <w:tc>
          <w:tcPr>
            <w:tcW w:w="1806" w:type="dxa"/>
            <w:gridSpan w:val="2"/>
            <w:tcBorders>
              <w:top w:val="single" w:sz="6" w:space="0" w:color="auto"/>
              <w:left w:val="single" w:sz="6" w:space="0" w:color="auto"/>
              <w:bottom w:val="single" w:sz="4" w:space="0" w:color="auto"/>
              <w:right w:val="single" w:sz="4"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mg/ km</w:t>
            </w:r>
          </w:p>
        </w:tc>
        <w:tc>
          <w:tcPr>
            <w:tcW w:w="1806" w:type="dxa"/>
            <w:gridSpan w:val="2"/>
            <w:tcBorders>
              <w:top w:val="single" w:sz="6" w:space="0" w:color="auto"/>
              <w:left w:val="single" w:sz="4" w:space="0" w:color="auto"/>
              <w:bottom w:val="single" w:sz="4" w:space="0" w:color="auto"/>
              <w:right w:val="single" w:sz="6"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mg/ km</w:t>
            </w:r>
          </w:p>
        </w:tc>
        <w:tc>
          <w:tcPr>
            <w:tcW w:w="1806" w:type="dxa"/>
            <w:gridSpan w:val="2"/>
            <w:tcBorders>
              <w:top w:val="single" w:sz="6" w:space="0" w:color="auto"/>
              <w:left w:val="single" w:sz="6" w:space="0" w:color="auto"/>
              <w:bottom w:val="single" w:sz="4" w:space="0" w:color="auto"/>
              <w:right w:val="single" w:sz="6"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mg/ km</w:t>
            </w:r>
          </w:p>
        </w:tc>
        <w:tc>
          <w:tcPr>
            <w:tcW w:w="1810" w:type="dxa"/>
            <w:gridSpan w:val="2"/>
            <w:tcBorders>
              <w:top w:val="single" w:sz="6" w:space="0" w:color="auto"/>
              <w:left w:val="single" w:sz="6" w:space="0" w:color="auto"/>
              <w:bottom w:val="single" w:sz="4" w:space="0" w:color="auto"/>
              <w:right w:val="single" w:sz="4"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mg/ km</w:t>
            </w:r>
          </w:p>
        </w:tc>
      </w:tr>
      <w:tr w:rsidR="00732772" w:rsidTr="00640296">
        <w:trPr>
          <w:cantSplit/>
          <w:trHeight w:val="623"/>
        </w:trPr>
        <w:tc>
          <w:tcPr>
            <w:tcW w:w="1121" w:type="dxa"/>
            <w:tcBorders>
              <w:top w:val="single" w:sz="4" w:space="0" w:color="auto"/>
              <w:left w:val="single" w:sz="6" w:space="0" w:color="auto"/>
              <w:bottom w:val="single" w:sz="6" w:space="0" w:color="auto"/>
              <w:right w:val="single" w:sz="6"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rFonts w:hint="eastAsia"/>
                <w:kern w:val="2"/>
                <w:sz w:val="21"/>
                <w:szCs w:val="22"/>
              </w:rPr>
              <w:t>类别</w:t>
            </w:r>
          </w:p>
        </w:tc>
        <w:tc>
          <w:tcPr>
            <w:tcW w:w="1032" w:type="dxa"/>
            <w:tcBorders>
              <w:top w:val="single" w:sz="4" w:space="0" w:color="auto"/>
              <w:left w:val="single" w:sz="6" w:space="0" w:color="auto"/>
              <w:bottom w:val="single" w:sz="6" w:space="0" w:color="auto"/>
              <w:right w:val="single" w:sz="4"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rFonts w:hint="eastAsia"/>
                <w:kern w:val="2"/>
                <w:sz w:val="21"/>
                <w:szCs w:val="22"/>
              </w:rPr>
              <w:t>级别</w:t>
            </w:r>
          </w:p>
        </w:tc>
        <w:tc>
          <w:tcPr>
            <w:tcW w:w="1204" w:type="dxa"/>
            <w:tcBorders>
              <w:top w:val="single" w:sz="4" w:space="0" w:color="auto"/>
              <w:left w:val="single" w:sz="4" w:space="0" w:color="auto"/>
              <w:bottom w:val="single" w:sz="6" w:space="0" w:color="auto"/>
              <w:right w:val="single" w:sz="4"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p>
        </w:tc>
        <w:tc>
          <w:tcPr>
            <w:tcW w:w="818" w:type="dxa"/>
            <w:tcBorders>
              <w:top w:val="single" w:sz="4" w:space="0" w:color="auto"/>
              <w:left w:val="single" w:sz="4" w:space="0" w:color="auto"/>
              <w:bottom w:val="single" w:sz="6" w:space="0" w:color="auto"/>
              <w:right w:val="single" w:sz="4"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PI</w:t>
            </w:r>
          </w:p>
        </w:tc>
        <w:tc>
          <w:tcPr>
            <w:tcW w:w="756" w:type="dxa"/>
            <w:tcBorders>
              <w:top w:val="single" w:sz="4" w:space="0" w:color="auto"/>
              <w:left w:val="single" w:sz="4" w:space="0" w:color="auto"/>
              <w:bottom w:val="single" w:sz="6" w:space="0" w:color="auto"/>
              <w:right w:val="single" w:sz="4"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CI</w:t>
            </w:r>
          </w:p>
        </w:tc>
        <w:tc>
          <w:tcPr>
            <w:tcW w:w="904" w:type="dxa"/>
            <w:tcBorders>
              <w:top w:val="single" w:sz="4" w:space="0" w:color="auto"/>
              <w:left w:val="single" w:sz="4" w:space="0" w:color="auto"/>
              <w:bottom w:val="single" w:sz="6" w:space="0" w:color="auto"/>
              <w:right w:val="single" w:sz="4"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PI</w:t>
            </w:r>
          </w:p>
        </w:tc>
        <w:tc>
          <w:tcPr>
            <w:tcW w:w="902" w:type="dxa"/>
            <w:tcBorders>
              <w:top w:val="single" w:sz="4" w:space="0" w:color="auto"/>
              <w:left w:val="single" w:sz="4" w:space="0" w:color="auto"/>
              <w:bottom w:val="single" w:sz="6" w:space="0" w:color="auto"/>
              <w:right w:val="single" w:sz="6"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CI</w:t>
            </w:r>
          </w:p>
        </w:tc>
        <w:tc>
          <w:tcPr>
            <w:tcW w:w="904" w:type="dxa"/>
            <w:tcBorders>
              <w:top w:val="single" w:sz="4" w:space="0" w:color="auto"/>
              <w:left w:val="single" w:sz="6" w:space="0" w:color="auto"/>
              <w:bottom w:val="single" w:sz="6" w:space="0" w:color="auto"/>
              <w:right w:val="single" w:sz="4"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PI</w:t>
            </w:r>
          </w:p>
        </w:tc>
        <w:tc>
          <w:tcPr>
            <w:tcW w:w="902" w:type="dxa"/>
            <w:tcBorders>
              <w:top w:val="single" w:sz="4" w:space="0" w:color="auto"/>
              <w:left w:val="single" w:sz="4" w:space="0" w:color="auto"/>
              <w:bottom w:val="single" w:sz="6" w:space="0" w:color="auto"/>
              <w:right w:val="single" w:sz="4"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CI</w:t>
            </w:r>
          </w:p>
        </w:tc>
        <w:tc>
          <w:tcPr>
            <w:tcW w:w="904" w:type="dxa"/>
            <w:tcBorders>
              <w:top w:val="single" w:sz="4" w:space="0" w:color="auto"/>
              <w:left w:val="single" w:sz="4" w:space="0" w:color="auto"/>
              <w:bottom w:val="single" w:sz="6" w:space="0" w:color="auto"/>
              <w:right w:val="single" w:sz="4"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PI</w:t>
            </w:r>
          </w:p>
        </w:tc>
        <w:tc>
          <w:tcPr>
            <w:tcW w:w="902" w:type="dxa"/>
            <w:tcBorders>
              <w:top w:val="single" w:sz="4" w:space="0" w:color="auto"/>
              <w:left w:val="single" w:sz="4" w:space="0" w:color="auto"/>
              <w:bottom w:val="single" w:sz="6" w:space="0" w:color="auto"/>
              <w:right w:val="single" w:sz="6"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CI</w:t>
            </w:r>
          </w:p>
        </w:tc>
        <w:tc>
          <w:tcPr>
            <w:tcW w:w="904" w:type="dxa"/>
            <w:tcBorders>
              <w:top w:val="single" w:sz="4" w:space="0" w:color="auto"/>
              <w:left w:val="single" w:sz="6" w:space="0" w:color="auto"/>
              <w:bottom w:val="single" w:sz="6" w:space="0" w:color="auto"/>
              <w:right w:val="single" w:sz="4"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PI</w:t>
            </w:r>
          </w:p>
        </w:tc>
        <w:tc>
          <w:tcPr>
            <w:tcW w:w="902" w:type="dxa"/>
            <w:tcBorders>
              <w:top w:val="single" w:sz="4" w:space="0" w:color="auto"/>
              <w:left w:val="single" w:sz="4" w:space="0" w:color="auto"/>
              <w:bottom w:val="single" w:sz="6" w:space="0" w:color="auto"/>
              <w:right w:val="single" w:sz="6"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CI</w:t>
            </w:r>
          </w:p>
        </w:tc>
        <w:tc>
          <w:tcPr>
            <w:tcW w:w="904" w:type="dxa"/>
            <w:tcBorders>
              <w:top w:val="single" w:sz="4" w:space="0" w:color="auto"/>
              <w:left w:val="single" w:sz="6" w:space="0" w:color="auto"/>
              <w:bottom w:val="single" w:sz="6" w:space="0" w:color="auto"/>
              <w:right w:val="single" w:sz="4"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PI</w:t>
            </w:r>
          </w:p>
        </w:tc>
        <w:tc>
          <w:tcPr>
            <w:tcW w:w="906" w:type="dxa"/>
            <w:tcBorders>
              <w:top w:val="single" w:sz="4" w:space="0" w:color="auto"/>
              <w:left w:val="single" w:sz="4" w:space="0" w:color="auto"/>
              <w:bottom w:val="single" w:sz="6" w:space="0" w:color="auto"/>
              <w:right w:val="single" w:sz="4"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CI</w:t>
            </w:r>
          </w:p>
        </w:tc>
      </w:tr>
      <w:tr w:rsidR="00732772" w:rsidTr="00640296">
        <w:trPr>
          <w:cantSplit/>
          <w:trHeight w:val="623"/>
        </w:trPr>
        <w:tc>
          <w:tcPr>
            <w:tcW w:w="1121" w:type="dxa"/>
            <w:tcBorders>
              <w:top w:val="single" w:sz="6" w:space="0" w:color="auto"/>
              <w:left w:val="single" w:sz="6" w:space="0" w:color="auto"/>
              <w:bottom w:val="single" w:sz="6" w:space="0" w:color="auto"/>
              <w:right w:val="single" w:sz="6"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rFonts w:hint="eastAsia"/>
                <w:kern w:val="2"/>
                <w:sz w:val="21"/>
                <w:szCs w:val="22"/>
              </w:rPr>
              <w:t>第一类车</w:t>
            </w:r>
          </w:p>
        </w:tc>
        <w:tc>
          <w:tcPr>
            <w:tcW w:w="1032" w:type="dxa"/>
            <w:tcBorders>
              <w:top w:val="single" w:sz="6" w:space="0" w:color="auto"/>
              <w:left w:val="single" w:sz="6" w:space="0" w:color="auto"/>
              <w:bottom w:val="single" w:sz="6" w:space="0" w:color="auto"/>
              <w:right w:val="single" w:sz="4"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w:t>
            </w:r>
          </w:p>
        </w:tc>
        <w:tc>
          <w:tcPr>
            <w:tcW w:w="1204" w:type="dxa"/>
            <w:tcBorders>
              <w:top w:val="single" w:sz="6" w:space="0" w:color="auto"/>
              <w:left w:val="single" w:sz="4" w:space="0" w:color="auto"/>
              <w:bottom w:val="single" w:sz="6" w:space="0" w:color="auto"/>
              <w:right w:val="single" w:sz="4"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rFonts w:hint="eastAsia"/>
                <w:kern w:val="2"/>
                <w:sz w:val="21"/>
                <w:szCs w:val="22"/>
              </w:rPr>
              <w:t>全部</w:t>
            </w:r>
          </w:p>
        </w:tc>
        <w:tc>
          <w:tcPr>
            <w:tcW w:w="818" w:type="dxa"/>
            <w:tcBorders>
              <w:top w:val="single" w:sz="6" w:space="0" w:color="auto"/>
              <w:left w:val="single" w:sz="4" w:space="0" w:color="auto"/>
              <w:bottom w:val="single" w:sz="6" w:space="0" w:color="auto"/>
              <w:right w:val="single" w:sz="4"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1000</w:t>
            </w:r>
          </w:p>
        </w:tc>
        <w:tc>
          <w:tcPr>
            <w:tcW w:w="756" w:type="dxa"/>
            <w:tcBorders>
              <w:top w:val="single" w:sz="6" w:space="0" w:color="auto"/>
              <w:left w:val="single" w:sz="4" w:space="0" w:color="auto"/>
              <w:bottom w:val="single" w:sz="6" w:space="0" w:color="auto"/>
              <w:right w:val="single" w:sz="4"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500</w:t>
            </w:r>
          </w:p>
        </w:tc>
        <w:tc>
          <w:tcPr>
            <w:tcW w:w="904" w:type="dxa"/>
            <w:tcBorders>
              <w:top w:val="single" w:sz="6" w:space="0" w:color="auto"/>
              <w:left w:val="single" w:sz="4" w:space="0" w:color="auto"/>
              <w:bottom w:val="single" w:sz="6" w:space="0" w:color="auto"/>
              <w:right w:val="single" w:sz="4"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100</w:t>
            </w:r>
          </w:p>
        </w:tc>
        <w:tc>
          <w:tcPr>
            <w:tcW w:w="902" w:type="dxa"/>
            <w:tcBorders>
              <w:top w:val="single" w:sz="6" w:space="0" w:color="auto"/>
              <w:left w:val="single" w:sz="4" w:space="0" w:color="auto"/>
              <w:bottom w:val="single" w:sz="6" w:space="0" w:color="auto"/>
              <w:right w:val="single" w:sz="6"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w:t>
            </w:r>
          </w:p>
        </w:tc>
        <w:tc>
          <w:tcPr>
            <w:tcW w:w="904" w:type="dxa"/>
            <w:tcBorders>
              <w:top w:val="single" w:sz="6" w:space="0" w:color="auto"/>
              <w:left w:val="single" w:sz="6" w:space="0" w:color="auto"/>
              <w:bottom w:val="single" w:sz="6" w:space="0" w:color="auto"/>
              <w:right w:val="single" w:sz="4"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68</w:t>
            </w:r>
          </w:p>
        </w:tc>
        <w:tc>
          <w:tcPr>
            <w:tcW w:w="902" w:type="dxa"/>
            <w:tcBorders>
              <w:top w:val="single" w:sz="6" w:space="0" w:color="auto"/>
              <w:left w:val="single" w:sz="4" w:space="0" w:color="auto"/>
              <w:bottom w:val="single" w:sz="6" w:space="0" w:color="auto"/>
              <w:right w:val="single" w:sz="4"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w:t>
            </w:r>
          </w:p>
        </w:tc>
        <w:tc>
          <w:tcPr>
            <w:tcW w:w="904" w:type="dxa"/>
            <w:tcBorders>
              <w:top w:val="single" w:sz="6" w:space="0" w:color="auto"/>
              <w:left w:val="single" w:sz="4" w:space="0" w:color="auto"/>
              <w:bottom w:val="single" w:sz="6" w:space="0" w:color="auto"/>
              <w:right w:val="single" w:sz="4"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60</w:t>
            </w:r>
          </w:p>
        </w:tc>
        <w:tc>
          <w:tcPr>
            <w:tcW w:w="902" w:type="dxa"/>
            <w:tcBorders>
              <w:top w:val="single" w:sz="6" w:space="0" w:color="auto"/>
              <w:left w:val="single" w:sz="4" w:space="0" w:color="auto"/>
              <w:bottom w:val="single" w:sz="6" w:space="0" w:color="auto"/>
              <w:right w:val="single" w:sz="6"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180</w:t>
            </w:r>
          </w:p>
        </w:tc>
        <w:tc>
          <w:tcPr>
            <w:tcW w:w="904" w:type="dxa"/>
            <w:tcBorders>
              <w:top w:val="single" w:sz="6" w:space="0" w:color="auto"/>
              <w:left w:val="single" w:sz="6" w:space="0" w:color="auto"/>
              <w:bottom w:val="single" w:sz="6" w:space="0" w:color="auto"/>
              <w:right w:val="single" w:sz="4"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w:t>
            </w:r>
          </w:p>
        </w:tc>
        <w:tc>
          <w:tcPr>
            <w:tcW w:w="902" w:type="dxa"/>
            <w:tcBorders>
              <w:top w:val="single" w:sz="6" w:space="0" w:color="auto"/>
              <w:left w:val="single" w:sz="4" w:space="0" w:color="auto"/>
              <w:bottom w:val="single" w:sz="6" w:space="0" w:color="auto"/>
              <w:right w:val="single" w:sz="6"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230</w:t>
            </w:r>
          </w:p>
        </w:tc>
        <w:tc>
          <w:tcPr>
            <w:tcW w:w="904" w:type="dxa"/>
            <w:tcBorders>
              <w:top w:val="single" w:sz="6" w:space="0" w:color="auto"/>
              <w:left w:val="single" w:sz="6" w:space="0" w:color="auto"/>
              <w:bottom w:val="single" w:sz="6" w:space="0" w:color="auto"/>
              <w:right w:val="single" w:sz="4"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4.5</w:t>
            </w:r>
          </w:p>
        </w:tc>
        <w:tc>
          <w:tcPr>
            <w:tcW w:w="906" w:type="dxa"/>
            <w:tcBorders>
              <w:top w:val="single" w:sz="6" w:space="0" w:color="auto"/>
              <w:left w:val="single" w:sz="4" w:space="0" w:color="auto"/>
              <w:bottom w:val="single" w:sz="6" w:space="0" w:color="auto"/>
              <w:right w:val="single" w:sz="4"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4.5</w:t>
            </w:r>
          </w:p>
        </w:tc>
      </w:tr>
      <w:tr w:rsidR="00732772" w:rsidTr="00640296">
        <w:trPr>
          <w:cantSplit/>
          <w:trHeight w:val="623"/>
        </w:trPr>
        <w:tc>
          <w:tcPr>
            <w:tcW w:w="1121" w:type="dxa"/>
            <w:vMerge w:val="restart"/>
            <w:tcBorders>
              <w:top w:val="single" w:sz="6" w:space="0" w:color="auto"/>
              <w:left w:val="single" w:sz="6" w:space="0" w:color="auto"/>
              <w:bottom w:val="single" w:sz="6" w:space="0" w:color="auto"/>
              <w:right w:val="single" w:sz="6"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rFonts w:hint="eastAsia"/>
                <w:kern w:val="2"/>
                <w:sz w:val="21"/>
                <w:szCs w:val="22"/>
              </w:rPr>
              <w:t>第二类车</w:t>
            </w:r>
          </w:p>
        </w:tc>
        <w:tc>
          <w:tcPr>
            <w:tcW w:w="1032" w:type="dxa"/>
            <w:tcBorders>
              <w:top w:val="single" w:sz="6" w:space="0" w:color="auto"/>
              <w:left w:val="single" w:sz="6" w:space="0" w:color="auto"/>
              <w:bottom w:val="single" w:sz="6" w:space="0" w:color="auto"/>
              <w:right w:val="single" w:sz="4"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I</w:t>
            </w:r>
          </w:p>
        </w:tc>
        <w:tc>
          <w:tcPr>
            <w:tcW w:w="1204" w:type="dxa"/>
            <w:tcBorders>
              <w:top w:val="single" w:sz="6" w:space="0" w:color="auto"/>
              <w:left w:val="single" w:sz="4" w:space="0" w:color="auto"/>
              <w:bottom w:val="single" w:sz="6" w:space="0" w:color="auto"/>
              <w:right w:val="single" w:sz="4"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RW≤1305</w:t>
            </w:r>
          </w:p>
        </w:tc>
        <w:tc>
          <w:tcPr>
            <w:tcW w:w="818" w:type="dxa"/>
            <w:tcBorders>
              <w:top w:val="single" w:sz="6" w:space="0" w:color="auto"/>
              <w:left w:val="single" w:sz="4" w:space="0" w:color="auto"/>
              <w:bottom w:val="single" w:sz="6" w:space="0" w:color="auto"/>
              <w:right w:val="single" w:sz="4"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1000</w:t>
            </w:r>
          </w:p>
        </w:tc>
        <w:tc>
          <w:tcPr>
            <w:tcW w:w="756" w:type="dxa"/>
            <w:tcBorders>
              <w:top w:val="single" w:sz="6" w:space="0" w:color="auto"/>
              <w:left w:val="single" w:sz="4" w:space="0" w:color="auto"/>
              <w:bottom w:val="single" w:sz="6" w:space="0" w:color="auto"/>
              <w:right w:val="single" w:sz="4"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500</w:t>
            </w:r>
          </w:p>
        </w:tc>
        <w:tc>
          <w:tcPr>
            <w:tcW w:w="904" w:type="dxa"/>
            <w:tcBorders>
              <w:top w:val="single" w:sz="6" w:space="0" w:color="auto"/>
              <w:left w:val="single" w:sz="4" w:space="0" w:color="auto"/>
              <w:bottom w:val="single" w:sz="6" w:space="0" w:color="auto"/>
              <w:right w:val="single" w:sz="4"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100</w:t>
            </w:r>
          </w:p>
        </w:tc>
        <w:tc>
          <w:tcPr>
            <w:tcW w:w="902" w:type="dxa"/>
            <w:tcBorders>
              <w:top w:val="single" w:sz="6" w:space="0" w:color="auto"/>
              <w:left w:val="single" w:sz="4" w:space="0" w:color="auto"/>
              <w:bottom w:val="single" w:sz="6" w:space="0" w:color="auto"/>
              <w:right w:val="single" w:sz="6"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w:t>
            </w:r>
          </w:p>
        </w:tc>
        <w:tc>
          <w:tcPr>
            <w:tcW w:w="904" w:type="dxa"/>
            <w:tcBorders>
              <w:top w:val="single" w:sz="6" w:space="0" w:color="auto"/>
              <w:left w:val="single" w:sz="6" w:space="0" w:color="auto"/>
              <w:bottom w:val="single" w:sz="6" w:space="0" w:color="auto"/>
              <w:right w:val="single" w:sz="4"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68</w:t>
            </w:r>
          </w:p>
        </w:tc>
        <w:tc>
          <w:tcPr>
            <w:tcW w:w="902" w:type="dxa"/>
            <w:tcBorders>
              <w:top w:val="single" w:sz="6" w:space="0" w:color="auto"/>
              <w:left w:val="single" w:sz="4" w:space="0" w:color="auto"/>
              <w:bottom w:val="single" w:sz="6" w:space="0" w:color="auto"/>
              <w:right w:val="single" w:sz="4"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w:t>
            </w:r>
          </w:p>
        </w:tc>
        <w:tc>
          <w:tcPr>
            <w:tcW w:w="904" w:type="dxa"/>
            <w:tcBorders>
              <w:top w:val="single" w:sz="6" w:space="0" w:color="auto"/>
              <w:left w:val="single" w:sz="4" w:space="0" w:color="auto"/>
              <w:bottom w:val="single" w:sz="6" w:space="0" w:color="auto"/>
              <w:right w:val="single" w:sz="4"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60</w:t>
            </w:r>
          </w:p>
        </w:tc>
        <w:tc>
          <w:tcPr>
            <w:tcW w:w="902" w:type="dxa"/>
            <w:tcBorders>
              <w:top w:val="single" w:sz="6" w:space="0" w:color="auto"/>
              <w:left w:val="single" w:sz="4" w:space="0" w:color="auto"/>
              <w:bottom w:val="single" w:sz="6" w:space="0" w:color="auto"/>
              <w:right w:val="single" w:sz="6"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180</w:t>
            </w:r>
          </w:p>
        </w:tc>
        <w:tc>
          <w:tcPr>
            <w:tcW w:w="904" w:type="dxa"/>
            <w:tcBorders>
              <w:top w:val="single" w:sz="6" w:space="0" w:color="auto"/>
              <w:left w:val="single" w:sz="6" w:space="0" w:color="auto"/>
              <w:bottom w:val="single" w:sz="6" w:space="0" w:color="auto"/>
              <w:right w:val="single" w:sz="4"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w:t>
            </w:r>
          </w:p>
        </w:tc>
        <w:tc>
          <w:tcPr>
            <w:tcW w:w="902" w:type="dxa"/>
            <w:tcBorders>
              <w:top w:val="single" w:sz="6" w:space="0" w:color="auto"/>
              <w:left w:val="single" w:sz="4" w:space="0" w:color="auto"/>
              <w:bottom w:val="single" w:sz="6" w:space="0" w:color="auto"/>
              <w:right w:val="single" w:sz="6"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230</w:t>
            </w:r>
          </w:p>
        </w:tc>
        <w:tc>
          <w:tcPr>
            <w:tcW w:w="904" w:type="dxa"/>
            <w:tcBorders>
              <w:top w:val="single" w:sz="6" w:space="0" w:color="auto"/>
              <w:left w:val="single" w:sz="6" w:space="0" w:color="auto"/>
              <w:bottom w:val="single" w:sz="6" w:space="0" w:color="auto"/>
              <w:right w:val="single" w:sz="4"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4.5</w:t>
            </w:r>
          </w:p>
        </w:tc>
        <w:tc>
          <w:tcPr>
            <w:tcW w:w="906" w:type="dxa"/>
            <w:tcBorders>
              <w:top w:val="single" w:sz="6" w:space="0" w:color="auto"/>
              <w:left w:val="single" w:sz="4" w:space="0" w:color="auto"/>
              <w:bottom w:val="single" w:sz="6" w:space="0" w:color="auto"/>
              <w:right w:val="single" w:sz="4"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4.5</w:t>
            </w:r>
          </w:p>
        </w:tc>
      </w:tr>
      <w:tr w:rsidR="00732772" w:rsidTr="00640296">
        <w:trPr>
          <w:cantSplit/>
          <w:trHeight w:val="623"/>
        </w:trPr>
        <w:tc>
          <w:tcPr>
            <w:tcW w:w="1121" w:type="dxa"/>
            <w:vMerge/>
            <w:tcBorders>
              <w:top w:val="single" w:sz="6" w:space="0" w:color="auto"/>
              <w:left w:val="single" w:sz="6" w:space="0" w:color="auto"/>
              <w:bottom w:val="single" w:sz="6" w:space="0" w:color="auto"/>
              <w:right w:val="single" w:sz="6" w:space="0" w:color="auto"/>
            </w:tcBorders>
            <w:vAlign w:val="center"/>
          </w:tcPr>
          <w:p w:rsidR="00732772" w:rsidRDefault="00732772" w:rsidP="00640296">
            <w:pPr>
              <w:widowControl/>
              <w:adjustRightInd/>
              <w:snapToGrid/>
              <w:spacing w:line="240" w:lineRule="auto"/>
              <w:ind w:firstLineChars="0" w:firstLine="0"/>
              <w:jc w:val="left"/>
              <w:textAlignment w:val="auto"/>
              <w:rPr>
                <w:kern w:val="2"/>
                <w:sz w:val="21"/>
                <w:szCs w:val="24"/>
              </w:rPr>
            </w:pPr>
          </w:p>
        </w:tc>
        <w:tc>
          <w:tcPr>
            <w:tcW w:w="1032" w:type="dxa"/>
            <w:tcBorders>
              <w:top w:val="single" w:sz="6" w:space="0" w:color="auto"/>
              <w:left w:val="single" w:sz="6" w:space="0" w:color="auto"/>
              <w:bottom w:val="single" w:sz="6" w:space="0" w:color="auto"/>
              <w:right w:val="single" w:sz="4"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II</w:t>
            </w:r>
          </w:p>
        </w:tc>
        <w:tc>
          <w:tcPr>
            <w:tcW w:w="1204" w:type="dxa"/>
            <w:tcBorders>
              <w:top w:val="single" w:sz="6" w:space="0" w:color="auto"/>
              <w:left w:val="single" w:sz="4" w:space="0" w:color="auto"/>
              <w:bottom w:val="single" w:sz="6" w:space="0" w:color="auto"/>
              <w:right w:val="single" w:sz="4" w:space="0" w:color="auto"/>
            </w:tcBorders>
            <w:vAlign w:val="center"/>
          </w:tcPr>
          <w:p w:rsidR="00732772" w:rsidRDefault="00732772" w:rsidP="00640296">
            <w:pPr>
              <w:autoSpaceDE w:val="0"/>
              <w:autoSpaceDN w:val="0"/>
              <w:snapToGrid/>
              <w:spacing w:line="240" w:lineRule="auto"/>
              <w:ind w:firstLineChars="0" w:firstLine="0"/>
              <w:jc w:val="center"/>
              <w:textAlignment w:val="auto"/>
              <w:rPr>
                <w:rFonts w:ascii="宋体" w:hAnsi="TimesNewRomanPSMT" w:cs="宋体"/>
                <w:sz w:val="21"/>
                <w:szCs w:val="21"/>
              </w:rPr>
            </w:pPr>
            <w:r>
              <w:rPr>
                <w:kern w:val="2"/>
                <w:sz w:val="21"/>
                <w:szCs w:val="22"/>
              </w:rPr>
              <w:t>1305</w:t>
            </w:r>
            <w:r>
              <w:rPr>
                <w:rFonts w:hint="eastAsia"/>
                <w:kern w:val="2"/>
                <w:sz w:val="21"/>
                <w:szCs w:val="22"/>
              </w:rPr>
              <w:t>＜</w:t>
            </w:r>
            <w:r>
              <w:rPr>
                <w:kern w:val="2"/>
                <w:sz w:val="21"/>
                <w:szCs w:val="22"/>
              </w:rPr>
              <w:t>RW≤1760</w:t>
            </w:r>
          </w:p>
        </w:tc>
        <w:tc>
          <w:tcPr>
            <w:tcW w:w="818" w:type="dxa"/>
            <w:tcBorders>
              <w:top w:val="single" w:sz="6" w:space="0" w:color="auto"/>
              <w:left w:val="single" w:sz="4" w:space="0" w:color="auto"/>
              <w:bottom w:val="single" w:sz="6" w:space="0" w:color="auto"/>
              <w:right w:val="single" w:sz="4" w:space="0" w:color="auto"/>
            </w:tcBorders>
            <w:vAlign w:val="center"/>
          </w:tcPr>
          <w:p w:rsidR="00732772" w:rsidRDefault="00732772" w:rsidP="00640296">
            <w:pPr>
              <w:autoSpaceDE w:val="0"/>
              <w:autoSpaceDN w:val="0"/>
              <w:snapToGrid/>
              <w:spacing w:line="240" w:lineRule="auto"/>
              <w:ind w:firstLineChars="0" w:firstLine="0"/>
              <w:jc w:val="center"/>
              <w:textAlignment w:val="auto"/>
              <w:rPr>
                <w:sz w:val="21"/>
                <w:szCs w:val="21"/>
              </w:rPr>
            </w:pPr>
            <w:r>
              <w:rPr>
                <w:sz w:val="21"/>
                <w:szCs w:val="21"/>
              </w:rPr>
              <w:t>1810</w:t>
            </w:r>
          </w:p>
        </w:tc>
        <w:tc>
          <w:tcPr>
            <w:tcW w:w="756" w:type="dxa"/>
            <w:tcBorders>
              <w:top w:val="single" w:sz="6" w:space="0" w:color="auto"/>
              <w:left w:val="single" w:sz="4" w:space="0" w:color="auto"/>
              <w:bottom w:val="single" w:sz="6" w:space="0" w:color="auto"/>
              <w:right w:val="single" w:sz="4" w:space="0" w:color="auto"/>
            </w:tcBorders>
            <w:vAlign w:val="center"/>
          </w:tcPr>
          <w:p w:rsidR="00732772" w:rsidRPr="00CA5020" w:rsidRDefault="00732772" w:rsidP="00640296">
            <w:pPr>
              <w:autoSpaceDE w:val="0"/>
              <w:autoSpaceDN w:val="0"/>
              <w:adjustRightInd/>
              <w:snapToGrid/>
              <w:spacing w:line="240" w:lineRule="auto"/>
              <w:ind w:firstLineChars="0" w:firstLine="0"/>
              <w:jc w:val="center"/>
              <w:textAlignment w:val="auto"/>
              <w:rPr>
                <w:kern w:val="2"/>
                <w:sz w:val="21"/>
                <w:szCs w:val="21"/>
              </w:rPr>
            </w:pPr>
            <w:r w:rsidRPr="00CA5020">
              <w:rPr>
                <w:kern w:val="2"/>
                <w:sz w:val="21"/>
                <w:szCs w:val="21"/>
              </w:rPr>
              <w:t>630</w:t>
            </w:r>
          </w:p>
        </w:tc>
        <w:tc>
          <w:tcPr>
            <w:tcW w:w="904" w:type="dxa"/>
            <w:tcBorders>
              <w:top w:val="single" w:sz="6" w:space="0" w:color="auto"/>
              <w:left w:val="single" w:sz="4" w:space="0" w:color="auto"/>
              <w:bottom w:val="single" w:sz="6" w:space="0" w:color="auto"/>
              <w:right w:val="single" w:sz="4" w:space="0" w:color="auto"/>
            </w:tcBorders>
            <w:vAlign w:val="center"/>
          </w:tcPr>
          <w:p w:rsidR="00732772" w:rsidRPr="00CA5020" w:rsidRDefault="00732772" w:rsidP="00640296">
            <w:pPr>
              <w:autoSpaceDE w:val="0"/>
              <w:autoSpaceDN w:val="0"/>
              <w:adjustRightInd/>
              <w:snapToGrid/>
              <w:spacing w:line="240" w:lineRule="auto"/>
              <w:ind w:firstLineChars="0" w:firstLine="0"/>
              <w:jc w:val="center"/>
              <w:textAlignment w:val="auto"/>
              <w:rPr>
                <w:kern w:val="2"/>
                <w:sz w:val="21"/>
                <w:szCs w:val="21"/>
              </w:rPr>
            </w:pPr>
            <w:r w:rsidRPr="00CA5020">
              <w:rPr>
                <w:kern w:val="2"/>
                <w:sz w:val="21"/>
                <w:szCs w:val="21"/>
              </w:rPr>
              <w:t>130</w:t>
            </w:r>
          </w:p>
        </w:tc>
        <w:tc>
          <w:tcPr>
            <w:tcW w:w="902" w:type="dxa"/>
            <w:tcBorders>
              <w:top w:val="single" w:sz="6" w:space="0" w:color="auto"/>
              <w:left w:val="single" w:sz="4" w:space="0" w:color="auto"/>
              <w:bottom w:val="single" w:sz="6" w:space="0" w:color="auto"/>
              <w:right w:val="single" w:sz="6" w:space="0" w:color="auto"/>
            </w:tcBorders>
            <w:vAlign w:val="center"/>
          </w:tcPr>
          <w:p w:rsidR="00732772" w:rsidRPr="00CA5020" w:rsidRDefault="00732772" w:rsidP="00640296">
            <w:pPr>
              <w:autoSpaceDE w:val="0"/>
              <w:autoSpaceDN w:val="0"/>
              <w:adjustRightInd/>
              <w:snapToGrid/>
              <w:spacing w:line="240" w:lineRule="auto"/>
              <w:ind w:firstLineChars="0" w:firstLine="0"/>
              <w:jc w:val="center"/>
              <w:textAlignment w:val="auto"/>
              <w:rPr>
                <w:kern w:val="2"/>
                <w:sz w:val="21"/>
                <w:szCs w:val="21"/>
              </w:rPr>
            </w:pPr>
            <w:r w:rsidRPr="00CA5020">
              <w:rPr>
                <w:kern w:val="2"/>
                <w:sz w:val="21"/>
                <w:szCs w:val="21"/>
              </w:rPr>
              <w:t>/</w:t>
            </w:r>
          </w:p>
        </w:tc>
        <w:tc>
          <w:tcPr>
            <w:tcW w:w="904" w:type="dxa"/>
            <w:tcBorders>
              <w:top w:val="single" w:sz="6" w:space="0" w:color="auto"/>
              <w:left w:val="single" w:sz="6" w:space="0" w:color="auto"/>
              <w:bottom w:val="single" w:sz="6" w:space="0" w:color="auto"/>
              <w:right w:val="single" w:sz="4" w:space="0" w:color="auto"/>
            </w:tcBorders>
            <w:vAlign w:val="center"/>
          </w:tcPr>
          <w:p w:rsidR="00732772" w:rsidRPr="00CA5020" w:rsidRDefault="00732772" w:rsidP="00640296">
            <w:pPr>
              <w:adjustRightInd/>
              <w:snapToGrid/>
              <w:spacing w:line="240" w:lineRule="auto"/>
              <w:ind w:firstLineChars="0" w:firstLine="0"/>
              <w:jc w:val="center"/>
              <w:textAlignment w:val="auto"/>
              <w:rPr>
                <w:kern w:val="2"/>
                <w:sz w:val="21"/>
                <w:szCs w:val="24"/>
              </w:rPr>
            </w:pPr>
            <w:r w:rsidRPr="00CA5020">
              <w:rPr>
                <w:kern w:val="2"/>
                <w:sz w:val="21"/>
                <w:szCs w:val="22"/>
              </w:rPr>
              <w:t>90</w:t>
            </w:r>
          </w:p>
        </w:tc>
        <w:tc>
          <w:tcPr>
            <w:tcW w:w="902" w:type="dxa"/>
            <w:tcBorders>
              <w:top w:val="single" w:sz="6" w:space="0" w:color="auto"/>
              <w:left w:val="single" w:sz="4" w:space="0" w:color="auto"/>
              <w:bottom w:val="single" w:sz="6" w:space="0" w:color="auto"/>
              <w:right w:val="single" w:sz="4" w:space="0" w:color="auto"/>
            </w:tcBorders>
            <w:vAlign w:val="center"/>
          </w:tcPr>
          <w:p w:rsidR="00732772" w:rsidRPr="00CA5020" w:rsidRDefault="00732772" w:rsidP="00640296">
            <w:pPr>
              <w:adjustRightInd/>
              <w:snapToGrid/>
              <w:spacing w:line="240" w:lineRule="auto"/>
              <w:ind w:firstLineChars="0" w:firstLine="0"/>
              <w:jc w:val="center"/>
              <w:textAlignment w:val="auto"/>
              <w:rPr>
                <w:kern w:val="2"/>
                <w:sz w:val="21"/>
                <w:szCs w:val="24"/>
              </w:rPr>
            </w:pPr>
            <w:r w:rsidRPr="00CA5020">
              <w:rPr>
                <w:kern w:val="2"/>
                <w:sz w:val="21"/>
                <w:szCs w:val="22"/>
              </w:rPr>
              <w:t>/</w:t>
            </w:r>
          </w:p>
        </w:tc>
        <w:tc>
          <w:tcPr>
            <w:tcW w:w="904" w:type="dxa"/>
            <w:tcBorders>
              <w:top w:val="single" w:sz="6" w:space="0" w:color="auto"/>
              <w:left w:val="single" w:sz="4" w:space="0" w:color="auto"/>
              <w:bottom w:val="single" w:sz="6" w:space="0" w:color="auto"/>
              <w:right w:val="single" w:sz="4" w:space="0" w:color="auto"/>
            </w:tcBorders>
            <w:vAlign w:val="center"/>
          </w:tcPr>
          <w:p w:rsidR="00732772" w:rsidRPr="00CA5020" w:rsidRDefault="00732772" w:rsidP="00640296">
            <w:pPr>
              <w:autoSpaceDE w:val="0"/>
              <w:autoSpaceDN w:val="0"/>
              <w:adjustRightInd/>
              <w:snapToGrid/>
              <w:spacing w:line="240" w:lineRule="auto"/>
              <w:ind w:firstLineChars="0" w:firstLine="0"/>
              <w:jc w:val="center"/>
              <w:textAlignment w:val="auto"/>
              <w:rPr>
                <w:kern w:val="2"/>
                <w:sz w:val="21"/>
                <w:szCs w:val="21"/>
              </w:rPr>
            </w:pPr>
            <w:r w:rsidRPr="00CA5020">
              <w:rPr>
                <w:kern w:val="2"/>
                <w:sz w:val="21"/>
                <w:szCs w:val="21"/>
              </w:rPr>
              <w:t>75</w:t>
            </w:r>
          </w:p>
        </w:tc>
        <w:tc>
          <w:tcPr>
            <w:tcW w:w="902" w:type="dxa"/>
            <w:tcBorders>
              <w:top w:val="single" w:sz="6" w:space="0" w:color="auto"/>
              <w:left w:val="single" w:sz="4" w:space="0" w:color="auto"/>
              <w:bottom w:val="single" w:sz="6" w:space="0" w:color="auto"/>
              <w:right w:val="single" w:sz="6" w:space="0" w:color="auto"/>
            </w:tcBorders>
            <w:vAlign w:val="center"/>
          </w:tcPr>
          <w:p w:rsidR="00732772" w:rsidRPr="00CA5020" w:rsidRDefault="00732772" w:rsidP="00640296">
            <w:pPr>
              <w:autoSpaceDE w:val="0"/>
              <w:autoSpaceDN w:val="0"/>
              <w:adjustRightInd/>
              <w:snapToGrid/>
              <w:spacing w:line="240" w:lineRule="auto"/>
              <w:ind w:firstLineChars="0" w:firstLine="0"/>
              <w:jc w:val="center"/>
              <w:textAlignment w:val="auto"/>
              <w:rPr>
                <w:kern w:val="2"/>
                <w:sz w:val="21"/>
                <w:szCs w:val="21"/>
              </w:rPr>
            </w:pPr>
            <w:r w:rsidRPr="00CA5020">
              <w:rPr>
                <w:kern w:val="2"/>
                <w:sz w:val="21"/>
                <w:szCs w:val="21"/>
              </w:rPr>
              <w:t>235</w:t>
            </w:r>
          </w:p>
        </w:tc>
        <w:tc>
          <w:tcPr>
            <w:tcW w:w="904" w:type="dxa"/>
            <w:tcBorders>
              <w:top w:val="single" w:sz="6" w:space="0" w:color="auto"/>
              <w:left w:val="single" w:sz="6" w:space="0" w:color="auto"/>
              <w:bottom w:val="single" w:sz="6" w:space="0" w:color="auto"/>
              <w:right w:val="single" w:sz="4" w:space="0" w:color="auto"/>
            </w:tcBorders>
            <w:vAlign w:val="center"/>
          </w:tcPr>
          <w:p w:rsidR="00732772" w:rsidRPr="00CA5020" w:rsidRDefault="00732772" w:rsidP="00640296">
            <w:pPr>
              <w:adjustRightInd/>
              <w:snapToGrid/>
              <w:spacing w:line="240" w:lineRule="auto"/>
              <w:ind w:firstLineChars="0" w:firstLine="0"/>
              <w:jc w:val="center"/>
              <w:textAlignment w:val="auto"/>
              <w:rPr>
                <w:kern w:val="2"/>
                <w:sz w:val="21"/>
                <w:szCs w:val="24"/>
              </w:rPr>
            </w:pPr>
            <w:r w:rsidRPr="00CA5020">
              <w:rPr>
                <w:kern w:val="2"/>
                <w:sz w:val="21"/>
                <w:szCs w:val="22"/>
              </w:rPr>
              <w:t>/</w:t>
            </w:r>
          </w:p>
        </w:tc>
        <w:tc>
          <w:tcPr>
            <w:tcW w:w="902" w:type="dxa"/>
            <w:tcBorders>
              <w:top w:val="single" w:sz="6" w:space="0" w:color="auto"/>
              <w:left w:val="single" w:sz="4" w:space="0" w:color="auto"/>
              <w:bottom w:val="single" w:sz="6" w:space="0" w:color="auto"/>
              <w:right w:val="single" w:sz="6" w:space="0" w:color="auto"/>
            </w:tcBorders>
            <w:vAlign w:val="center"/>
          </w:tcPr>
          <w:p w:rsidR="00732772" w:rsidRPr="00CA5020" w:rsidRDefault="00732772" w:rsidP="00640296">
            <w:pPr>
              <w:adjustRightInd/>
              <w:snapToGrid/>
              <w:spacing w:line="240" w:lineRule="auto"/>
              <w:ind w:firstLineChars="0" w:firstLine="0"/>
              <w:jc w:val="center"/>
              <w:textAlignment w:val="auto"/>
              <w:rPr>
                <w:kern w:val="2"/>
                <w:sz w:val="21"/>
                <w:szCs w:val="24"/>
              </w:rPr>
            </w:pPr>
            <w:r w:rsidRPr="00CA5020">
              <w:rPr>
                <w:kern w:val="2"/>
                <w:sz w:val="21"/>
                <w:szCs w:val="22"/>
              </w:rPr>
              <w:t>295</w:t>
            </w:r>
          </w:p>
        </w:tc>
        <w:tc>
          <w:tcPr>
            <w:tcW w:w="904" w:type="dxa"/>
            <w:tcBorders>
              <w:top w:val="single" w:sz="6" w:space="0" w:color="auto"/>
              <w:left w:val="single" w:sz="6" w:space="0" w:color="auto"/>
              <w:bottom w:val="single" w:sz="4" w:space="0" w:color="auto"/>
              <w:right w:val="single" w:sz="4" w:space="0" w:color="auto"/>
            </w:tcBorders>
            <w:vAlign w:val="center"/>
          </w:tcPr>
          <w:p w:rsidR="00732772" w:rsidRPr="00CA5020" w:rsidRDefault="00732772" w:rsidP="00640296">
            <w:pPr>
              <w:adjustRightInd/>
              <w:snapToGrid/>
              <w:spacing w:line="240" w:lineRule="auto"/>
              <w:ind w:firstLineChars="0" w:firstLine="0"/>
              <w:jc w:val="center"/>
              <w:textAlignment w:val="auto"/>
              <w:rPr>
                <w:kern w:val="2"/>
                <w:sz w:val="21"/>
                <w:szCs w:val="24"/>
              </w:rPr>
            </w:pPr>
            <w:r w:rsidRPr="00CA5020">
              <w:rPr>
                <w:kern w:val="2"/>
                <w:sz w:val="21"/>
                <w:szCs w:val="22"/>
              </w:rPr>
              <w:t>4.5</w:t>
            </w:r>
          </w:p>
        </w:tc>
        <w:tc>
          <w:tcPr>
            <w:tcW w:w="906" w:type="dxa"/>
            <w:tcBorders>
              <w:top w:val="single" w:sz="6" w:space="0" w:color="auto"/>
              <w:left w:val="single" w:sz="4" w:space="0" w:color="auto"/>
              <w:bottom w:val="single" w:sz="4" w:space="0" w:color="auto"/>
              <w:right w:val="single" w:sz="4" w:space="0" w:color="auto"/>
            </w:tcBorders>
            <w:vAlign w:val="center"/>
          </w:tcPr>
          <w:p w:rsidR="00732772" w:rsidRPr="00CA5020" w:rsidRDefault="00732772" w:rsidP="00640296">
            <w:pPr>
              <w:adjustRightInd/>
              <w:snapToGrid/>
              <w:spacing w:line="240" w:lineRule="auto"/>
              <w:ind w:firstLineChars="0" w:firstLine="0"/>
              <w:jc w:val="center"/>
              <w:textAlignment w:val="auto"/>
              <w:rPr>
                <w:kern w:val="2"/>
                <w:sz w:val="21"/>
                <w:szCs w:val="24"/>
              </w:rPr>
            </w:pPr>
            <w:r w:rsidRPr="00CA5020">
              <w:rPr>
                <w:kern w:val="2"/>
                <w:sz w:val="21"/>
                <w:szCs w:val="22"/>
              </w:rPr>
              <w:t>4.5</w:t>
            </w:r>
          </w:p>
        </w:tc>
      </w:tr>
      <w:tr w:rsidR="00732772" w:rsidTr="00640296">
        <w:trPr>
          <w:cantSplit/>
          <w:trHeight w:val="623"/>
        </w:trPr>
        <w:tc>
          <w:tcPr>
            <w:tcW w:w="1121" w:type="dxa"/>
            <w:vMerge/>
            <w:tcBorders>
              <w:top w:val="single" w:sz="6" w:space="0" w:color="auto"/>
              <w:left w:val="single" w:sz="6" w:space="0" w:color="auto"/>
              <w:bottom w:val="single" w:sz="6" w:space="0" w:color="auto"/>
              <w:right w:val="single" w:sz="6" w:space="0" w:color="auto"/>
            </w:tcBorders>
            <w:vAlign w:val="center"/>
          </w:tcPr>
          <w:p w:rsidR="00732772" w:rsidRDefault="00732772" w:rsidP="00640296">
            <w:pPr>
              <w:widowControl/>
              <w:adjustRightInd/>
              <w:snapToGrid/>
              <w:spacing w:line="240" w:lineRule="auto"/>
              <w:ind w:firstLineChars="0" w:firstLine="0"/>
              <w:jc w:val="left"/>
              <w:textAlignment w:val="auto"/>
              <w:rPr>
                <w:kern w:val="2"/>
                <w:sz w:val="21"/>
                <w:szCs w:val="24"/>
              </w:rPr>
            </w:pPr>
          </w:p>
        </w:tc>
        <w:tc>
          <w:tcPr>
            <w:tcW w:w="1032" w:type="dxa"/>
            <w:tcBorders>
              <w:top w:val="single" w:sz="6" w:space="0" w:color="auto"/>
              <w:left w:val="single" w:sz="6" w:space="0" w:color="auto"/>
              <w:bottom w:val="single" w:sz="6" w:space="0" w:color="auto"/>
              <w:right w:val="single" w:sz="4" w:space="0" w:color="auto"/>
            </w:tcBorders>
            <w:vAlign w:val="center"/>
          </w:tcPr>
          <w:p w:rsidR="00732772" w:rsidRDefault="00732772" w:rsidP="00640296">
            <w:pPr>
              <w:adjustRightInd/>
              <w:snapToGrid/>
              <w:spacing w:line="240" w:lineRule="auto"/>
              <w:ind w:firstLineChars="0" w:firstLine="0"/>
              <w:jc w:val="center"/>
              <w:textAlignment w:val="auto"/>
              <w:rPr>
                <w:kern w:val="2"/>
                <w:sz w:val="21"/>
                <w:szCs w:val="24"/>
              </w:rPr>
            </w:pPr>
            <w:r>
              <w:rPr>
                <w:kern w:val="2"/>
                <w:sz w:val="21"/>
                <w:szCs w:val="22"/>
              </w:rPr>
              <w:t>III</w:t>
            </w:r>
          </w:p>
        </w:tc>
        <w:tc>
          <w:tcPr>
            <w:tcW w:w="1204" w:type="dxa"/>
            <w:tcBorders>
              <w:top w:val="single" w:sz="6" w:space="0" w:color="auto"/>
              <w:left w:val="single" w:sz="4" w:space="0" w:color="auto"/>
              <w:bottom w:val="single" w:sz="6" w:space="0" w:color="auto"/>
              <w:right w:val="single" w:sz="4" w:space="0" w:color="auto"/>
            </w:tcBorders>
            <w:vAlign w:val="center"/>
          </w:tcPr>
          <w:p w:rsidR="00732772" w:rsidRDefault="00732772" w:rsidP="00640296">
            <w:pPr>
              <w:autoSpaceDE w:val="0"/>
              <w:autoSpaceDN w:val="0"/>
              <w:snapToGrid/>
              <w:spacing w:line="240" w:lineRule="auto"/>
              <w:ind w:firstLineChars="0" w:firstLine="0"/>
              <w:jc w:val="center"/>
              <w:textAlignment w:val="auto"/>
              <w:rPr>
                <w:rFonts w:ascii="宋体" w:hAnsi="TimesNewRomanPSMT" w:cs="宋体"/>
                <w:sz w:val="21"/>
                <w:szCs w:val="21"/>
              </w:rPr>
            </w:pPr>
            <w:r>
              <w:rPr>
                <w:kern w:val="2"/>
                <w:sz w:val="21"/>
                <w:szCs w:val="22"/>
              </w:rPr>
              <w:t>1760</w:t>
            </w:r>
            <w:r>
              <w:rPr>
                <w:rFonts w:hint="eastAsia"/>
                <w:kern w:val="2"/>
                <w:sz w:val="21"/>
                <w:szCs w:val="22"/>
              </w:rPr>
              <w:t>＜</w:t>
            </w:r>
            <w:r>
              <w:rPr>
                <w:kern w:val="2"/>
                <w:sz w:val="21"/>
                <w:szCs w:val="22"/>
              </w:rPr>
              <w:t>RW</w:t>
            </w:r>
          </w:p>
        </w:tc>
        <w:tc>
          <w:tcPr>
            <w:tcW w:w="818" w:type="dxa"/>
            <w:tcBorders>
              <w:top w:val="single" w:sz="6" w:space="0" w:color="auto"/>
              <w:left w:val="single" w:sz="4" w:space="0" w:color="auto"/>
              <w:bottom w:val="single" w:sz="6" w:space="0" w:color="auto"/>
              <w:right w:val="single" w:sz="4" w:space="0" w:color="auto"/>
            </w:tcBorders>
            <w:vAlign w:val="center"/>
          </w:tcPr>
          <w:p w:rsidR="00732772" w:rsidRDefault="00732772" w:rsidP="00640296">
            <w:pPr>
              <w:autoSpaceDE w:val="0"/>
              <w:autoSpaceDN w:val="0"/>
              <w:snapToGrid/>
              <w:spacing w:line="240" w:lineRule="auto"/>
              <w:ind w:firstLineChars="0" w:firstLine="0"/>
              <w:jc w:val="center"/>
              <w:textAlignment w:val="auto"/>
              <w:rPr>
                <w:sz w:val="21"/>
                <w:szCs w:val="21"/>
              </w:rPr>
            </w:pPr>
            <w:r>
              <w:rPr>
                <w:sz w:val="21"/>
                <w:szCs w:val="21"/>
              </w:rPr>
              <w:t>2270</w:t>
            </w:r>
          </w:p>
        </w:tc>
        <w:tc>
          <w:tcPr>
            <w:tcW w:w="756" w:type="dxa"/>
            <w:tcBorders>
              <w:top w:val="single" w:sz="6" w:space="0" w:color="auto"/>
              <w:left w:val="single" w:sz="4" w:space="0" w:color="auto"/>
              <w:bottom w:val="single" w:sz="6" w:space="0" w:color="auto"/>
              <w:right w:val="single" w:sz="4" w:space="0" w:color="auto"/>
            </w:tcBorders>
            <w:vAlign w:val="center"/>
          </w:tcPr>
          <w:p w:rsidR="00732772" w:rsidRPr="00CA5020" w:rsidRDefault="00732772" w:rsidP="00640296">
            <w:pPr>
              <w:adjustRightInd/>
              <w:snapToGrid/>
              <w:spacing w:line="240" w:lineRule="auto"/>
              <w:ind w:firstLineChars="0" w:firstLine="0"/>
              <w:jc w:val="center"/>
              <w:textAlignment w:val="auto"/>
              <w:rPr>
                <w:kern w:val="2"/>
                <w:sz w:val="21"/>
                <w:szCs w:val="24"/>
              </w:rPr>
            </w:pPr>
            <w:r w:rsidRPr="00CA5020">
              <w:rPr>
                <w:kern w:val="2"/>
                <w:sz w:val="21"/>
                <w:szCs w:val="22"/>
              </w:rPr>
              <w:t>740</w:t>
            </w:r>
          </w:p>
        </w:tc>
        <w:tc>
          <w:tcPr>
            <w:tcW w:w="904" w:type="dxa"/>
            <w:tcBorders>
              <w:top w:val="single" w:sz="6" w:space="0" w:color="auto"/>
              <w:left w:val="single" w:sz="4" w:space="0" w:color="auto"/>
              <w:bottom w:val="single" w:sz="6" w:space="0" w:color="auto"/>
              <w:right w:val="single" w:sz="4" w:space="0" w:color="auto"/>
            </w:tcBorders>
            <w:vAlign w:val="center"/>
          </w:tcPr>
          <w:p w:rsidR="00732772" w:rsidRPr="00CA5020" w:rsidRDefault="00732772" w:rsidP="00640296">
            <w:pPr>
              <w:adjustRightInd/>
              <w:snapToGrid/>
              <w:spacing w:line="240" w:lineRule="auto"/>
              <w:ind w:firstLineChars="0" w:firstLine="0"/>
              <w:jc w:val="center"/>
              <w:textAlignment w:val="auto"/>
              <w:rPr>
                <w:kern w:val="2"/>
                <w:sz w:val="21"/>
                <w:szCs w:val="24"/>
              </w:rPr>
            </w:pPr>
            <w:r w:rsidRPr="00CA5020">
              <w:rPr>
                <w:kern w:val="2"/>
                <w:sz w:val="21"/>
                <w:szCs w:val="22"/>
              </w:rPr>
              <w:t>160</w:t>
            </w:r>
          </w:p>
        </w:tc>
        <w:tc>
          <w:tcPr>
            <w:tcW w:w="902" w:type="dxa"/>
            <w:tcBorders>
              <w:top w:val="single" w:sz="6" w:space="0" w:color="auto"/>
              <w:left w:val="single" w:sz="4" w:space="0" w:color="auto"/>
              <w:bottom w:val="single" w:sz="6" w:space="0" w:color="auto"/>
              <w:right w:val="single" w:sz="6" w:space="0" w:color="auto"/>
            </w:tcBorders>
            <w:vAlign w:val="center"/>
          </w:tcPr>
          <w:p w:rsidR="00732772" w:rsidRPr="00CA5020" w:rsidRDefault="00732772" w:rsidP="00640296">
            <w:pPr>
              <w:adjustRightInd/>
              <w:snapToGrid/>
              <w:spacing w:line="240" w:lineRule="auto"/>
              <w:ind w:firstLineChars="0" w:firstLine="0"/>
              <w:jc w:val="center"/>
              <w:textAlignment w:val="auto"/>
              <w:rPr>
                <w:kern w:val="2"/>
                <w:sz w:val="21"/>
                <w:szCs w:val="24"/>
              </w:rPr>
            </w:pPr>
            <w:r w:rsidRPr="00CA5020">
              <w:rPr>
                <w:kern w:val="2"/>
                <w:sz w:val="21"/>
                <w:szCs w:val="22"/>
              </w:rPr>
              <w:t>/</w:t>
            </w:r>
          </w:p>
        </w:tc>
        <w:tc>
          <w:tcPr>
            <w:tcW w:w="904" w:type="dxa"/>
            <w:tcBorders>
              <w:top w:val="single" w:sz="6" w:space="0" w:color="auto"/>
              <w:left w:val="single" w:sz="6" w:space="0" w:color="auto"/>
              <w:bottom w:val="single" w:sz="6" w:space="0" w:color="auto"/>
              <w:right w:val="single" w:sz="4" w:space="0" w:color="auto"/>
            </w:tcBorders>
            <w:vAlign w:val="center"/>
          </w:tcPr>
          <w:p w:rsidR="00732772" w:rsidRPr="00CA5020" w:rsidRDefault="00732772" w:rsidP="00640296">
            <w:pPr>
              <w:adjustRightInd/>
              <w:snapToGrid/>
              <w:spacing w:line="240" w:lineRule="auto"/>
              <w:ind w:firstLineChars="0" w:firstLine="0"/>
              <w:jc w:val="center"/>
              <w:textAlignment w:val="auto"/>
              <w:rPr>
                <w:kern w:val="2"/>
                <w:sz w:val="21"/>
                <w:szCs w:val="24"/>
              </w:rPr>
            </w:pPr>
            <w:r w:rsidRPr="00CA5020">
              <w:rPr>
                <w:kern w:val="2"/>
                <w:sz w:val="21"/>
                <w:szCs w:val="22"/>
              </w:rPr>
              <w:t>108</w:t>
            </w:r>
          </w:p>
        </w:tc>
        <w:tc>
          <w:tcPr>
            <w:tcW w:w="902" w:type="dxa"/>
            <w:tcBorders>
              <w:top w:val="single" w:sz="6" w:space="0" w:color="auto"/>
              <w:left w:val="single" w:sz="4" w:space="0" w:color="auto"/>
              <w:bottom w:val="single" w:sz="6" w:space="0" w:color="auto"/>
              <w:right w:val="single" w:sz="4" w:space="0" w:color="auto"/>
            </w:tcBorders>
            <w:vAlign w:val="center"/>
          </w:tcPr>
          <w:p w:rsidR="00732772" w:rsidRPr="00CA5020" w:rsidRDefault="00732772" w:rsidP="00640296">
            <w:pPr>
              <w:adjustRightInd/>
              <w:snapToGrid/>
              <w:spacing w:line="240" w:lineRule="auto"/>
              <w:ind w:firstLineChars="0" w:firstLine="0"/>
              <w:jc w:val="center"/>
              <w:textAlignment w:val="auto"/>
              <w:rPr>
                <w:kern w:val="2"/>
                <w:sz w:val="21"/>
                <w:szCs w:val="24"/>
              </w:rPr>
            </w:pPr>
            <w:r w:rsidRPr="00CA5020">
              <w:rPr>
                <w:kern w:val="2"/>
                <w:sz w:val="21"/>
                <w:szCs w:val="22"/>
              </w:rPr>
              <w:t>/</w:t>
            </w:r>
          </w:p>
        </w:tc>
        <w:tc>
          <w:tcPr>
            <w:tcW w:w="904" w:type="dxa"/>
            <w:tcBorders>
              <w:top w:val="single" w:sz="6" w:space="0" w:color="auto"/>
              <w:left w:val="single" w:sz="4" w:space="0" w:color="auto"/>
              <w:bottom w:val="single" w:sz="6" w:space="0" w:color="auto"/>
              <w:right w:val="single" w:sz="4" w:space="0" w:color="auto"/>
            </w:tcBorders>
            <w:vAlign w:val="center"/>
          </w:tcPr>
          <w:p w:rsidR="00732772" w:rsidRPr="00CA5020" w:rsidRDefault="00732772" w:rsidP="00640296">
            <w:pPr>
              <w:adjustRightInd/>
              <w:snapToGrid/>
              <w:spacing w:line="240" w:lineRule="auto"/>
              <w:ind w:firstLineChars="0" w:firstLine="0"/>
              <w:jc w:val="center"/>
              <w:textAlignment w:val="auto"/>
              <w:rPr>
                <w:kern w:val="2"/>
                <w:sz w:val="21"/>
                <w:szCs w:val="24"/>
              </w:rPr>
            </w:pPr>
            <w:r w:rsidRPr="00CA5020">
              <w:rPr>
                <w:kern w:val="2"/>
                <w:sz w:val="21"/>
                <w:szCs w:val="22"/>
              </w:rPr>
              <w:t>82</w:t>
            </w:r>
          </w:p>
        </w:tc>
        <w:tc>
          <w:tcPr>
            <w:tcW w:w="902" w:type="dxa"/>
            <w:tcBorders>
              <w:top w:val="single" w:sz="6" w:space="0" w:color="auto"/>
              <w:left w:val="single" w:sz="4" w:space="0" w:color="auto"/>
              <w:bottom w:val="single" w:sz="6" w:space="0" w:color="auto"/>
              <w:right w:val="single" w:sz="6" w:space="0" w:color="auto"/>
            </w:tcBorders>
            <w:vAlign w:val="center"/>
          </w:tcPr>
          <w:p w:rsidR="00732772" w:rsidRPr="00CA5020" w:rsidRDefault="00732772" w:rsidP="00640296">
            <w:pPr>
              <w:adjustRightInd/>
              <w:snapToGrid/>
              <w:spacing w:line="240" w:lineRule="auto"/>
              <w:ind w:firstLineChars="0" w:firstLine="0"/>
              <w:jc w:val="center"/>
              <w:textAlignment w:val="auto"/>
              <w:rPr>
                <w:kern w:val="2"/>
                <w:sz w:val="21"/>
                <w:szCs w:val="24"/>
              </w:rPr>
            </w:pPr>
            <w:r w:rsidRPr="00CA5020">
              <w:rPr>
                <w:kern w:val="2"/>
                <w:sz w:val="21"/>
                <w:szCs w:val="22"/>
              </w:rPr>
              <w:t>280</w:t>
            </w:r>
          </w:p>
        </w:tc>
        <w:tc>
          <w:tcPr>
            <w:tcW w:w="904" w:type="dxa"/>
            <w:tcBorders>
              <w:top w:val="single" w:sz="6" w:space="0" w:color="auto"/>
              <w:left w:val="single" w:sz="6" w:space="0" w:color="auto"/>
              <w:bottom w:val="single" w:sz="6" w:space="0" w:color="auto"/>
              <w:right w:val="single" w:sz="4" w:space="0" w:color="auto"/>
            </w:tcBorders>
            <w:vAlign w:val="center"/>
          </w:tcPr>
          <w:p w:rsidR="00732772" w:rsidRPr="00CA5020" w:rsidRDefault="00732772" w:rsidP="00640296">
            <w:pPr>
              <w:adjustRightInd/>
              <w:snapToGrid/>
              <w:spacing w:line="240" w:lineRule="auto"/>
              <w:ind w:firstLineChars="0" w:firstLine="0"/>
              <w:jc w:val="center"/>
              <w:textAlignment w:val="auto"/>
              <w:rPr>
                <w:kern w:val="2"/>
                <w:sz w:val="21"/>
                <w:szCs w:val="24"/>
              </w:rPr>
            </w:pPr>
            <w:r w:rsidRPr="00CA5020">
              <w:rPr>
                <w:kern w:val="2"/>
                <w:sz w:val="21"/>
                <w:szCs w:val="22"/>
              </w:rPr>
              <w:t>/</w:t>
            </w:r>
          </w:p>
        </w:tc>
        <w:tc>
          <w:tcPr>
            <w:tcW w:w="902" w:type="dxa"/>
            <w:tcBorders>
              <w:top w:val="single" w:sz="6" w:space="0" w:color="auto"/>
              <w:left w:val="single" w:sz="4" w:space="0" w:color="auto"/>
              <w:bottom w:val="single" w:sz="6" w:space="0" w:color="auto"/>
              <w:right w:val="single" w:sz="6" w:space="0" w:color="auto"/>
            </w:tcBorders>
            <w:vAlign w:val="center"/>
          </w:tcPr>
          <w:p w:rsidR="00732772" w:rsidRPr="00CA5020" w:rsidRDefault="00732772" w:rsidP="00640296">
            <w:pPr>
              <w:adjustRightInd/>
              <w:snapToGrid/>
              <w:spacing w:line="240" w:lineRule="auto"/>
              <w:ind w:firstLineChars="0" w:firstLine="0"/>
              <w:jc w:val="center"/>
              <w:textAlignment w:val="auto"/>
              <w:rPr>
                <w:kern w:val="2"/>
                <w:sz w:val="21"/>
                <w:szCs w:val="24"/>
              </w:rPr>
            </w:pPr>
            <w:r w:rsidRPr="00CA5020">
              <w:rPr>
                <w:kern w:val="2"/>
                <w:sz w:val="21"/>
                <w:szCs w:val="22"/>
              </w:rPr>
              <w:t>350</w:t>
            </w:r>
          </w:p>
        </w:tc>
        <w:tc>
          <w:tcPr>
            <w:tcW w:w="904" w:type="dxa"/>
            <w:tcBorders>
              <w:top w:val="single" w:sz="4" w:space="0" w:color="auto"/>
              <w:left w:val="single" w:sz="6" w:space="0" w:color="auto"/>
              <w:bottom w:val="single" w:sz="4" w:space="0" w:color="auto"/>
              <w:right w:val="single" w:sz="4" w:space="0" w:color="auto"/>
            </w:tcBorders>
            <w:vAlign w:val="center"/>
          </w:tcPr>
          <w:p w:rsidR="00732772" w:rsidRPr="00CA5020" w:rsidRDefault="00732772" w:rsidP="00640296">
            <w:pPr>
              <w:adjustRightInd/>
              <w:snapToGrid/>
              <w:spacing w:line="240" w:lineRule="auto"/>
              <w:ind w:firstLineChars="0" w:firstLine="0"/>
              <w:jc w:val="center"/>
              <w:textAlignment w:val="auto"/>
              <w:rPr>
                <w:kern w:val="2"/>
                <w:sz w:val="21"/>
                <w:szCs w:val="24"/>
              </w:rPr>
            </w:pPr>
            <w:r w:rsidRPr="00CA5020">
              <w:rPr>
                <w:kern w:val="2"/>
                <w:sz w:val="21"/>
                <w:szCs w:val="22"/>
              </w:rPr>
              <w:t>4.5</w:t>
            </w:r>
          </w:p>
        </w:tc>
        <w:tc>
          <w:tcPr>
            <w:tcW w:w="906" w:type="dxa"/>
            <w:tcBorders>
              <w:top w:val="single" w:sz="4" w:space="0" w:color="auto"/>
              <w:left w:val="single" w:sz="4" w:space="0" w:color="auto"/>
              <w:bottom w:val="single" w:sz="4" w:space="0" w:color="auto"/>
              <w:right w:val="single" w:sz="4" w:space="0" w:color="auto"/>
            </w:tcBorders>
            <w:vAlign w:val="center"/>
          </w:tcPr>
          <w:p w:rsidR="00732772" w:rsidRPr="00CA5020" w:rsidRDefault="00732772" w:rsidP="00640296">
            <w:pPr>
              <w:adjustRightInd/>
              <w:snapToGrid/>
              <w:spacing w:line="240" w:lineRule="auto"/>
              <w:ind w:firstLineChars="0" w:firstLine="0"/>
              <w:jc w:val="center"/>
              <w:textAlignment w:val="auto"/>
              <w:rPr>
                <w:kern w:val="2"/>
                <w:sz w:val="21"/>
                <w:szCs w:val="24"/>
              </w:rPr>
            </w:pPr>
            <w:r w:rsidRPr="00CA5020">
              <w:rPr>
                <w:kern w:val="2"/>
                <w:sz w:val="21"/>
                <w:szCs w:val="22"/>
              </w:rPr>
              <w:t>4.5</w:t>
            </w:r>
          </w:p>
        </w:tc>
      </w:tr>
      <w:tr w:rsidR="00732772" w:rsidTr="00640296">
        <w:trPr>
          <w:cantSplit/>
          <w:trHeight w:val="623"/>
        </w:trPr>
        <w:tc>
          <w:tcPr>
            <w:tcW w:w="13965" w:type="dxa"/>
            <w:gridSpan w:val="15"/>
            <w:tcBorders>
              <w:top w:val="single" w:sz="6" w:space="0" w:color="auto"/>
              <w:left w:val="single" w:sz="6" w:space="0" w:color="auto"/>
              <w:bottom w:val="single" w:sz="6" w:space="0" w:color="auto"/>
              <w:right w:val="single" w:sz="4" w:space="0" w:color="auto"/>
            </w:tcBorders>
            <w:vAlign w:val="center"/>
          </w:tcPr>
          <w:p w:rsidR="00732772" w:rsidRDefault="00732772" w:rsidP="00640296">
            <w:pPr>
              <w:widowControl/>
              <w:adjustRightInd/>
              <w:snapToGrid/>
              <w:spacing w:line="240" w:lineRule="auto"/>
              <w:ind w:firstLineChars="0" w:firstLine="0"/>
              <w:jc w:val="left"/>
              <w:textAlignment w:val="auto"/>
              <w:rPr>
                <w:kern w:val="2"/>
                <w:sz w:val="21"/>
                <w:szCs w:val="24"/>
              </w:rPr>
            </w:pPr>
            <w:r>
              <w:rPr>
                <w:rFonts w:hint="eastAsia"/>
                <w:kern w:val="2"/>
                <w:sz w:val="21"/>
                <w:szCs w:val="22"/>
              </w:rPr>
              <w:t>注：</w:t>
            </w:r>
            <w:r>
              <w:rPr>
                <w:kern w:val="2"/>
                <w:sz w:val="21"/>
                <w:szCs w:val="22"/>
              </w:rPr>
              <w:t>PI=</w:t>
            </w:r>
            <w:r>
              <w:rPr>
                <w:rFonts w:hint="eastAsia"/>
                <w:kern w:val="2"/>
                <w:sz w:val="21"/>
                <w:szCs w:val="22"/>
              </w:rPr>
              <w:t>点燃式</w:t>
            </w:r>
            <w:r>
              <w:rPr>
                <w:kern w:val="2"/>
                <w:sz w:val="21"/>
                <w:szCs w:val="22"/>
              </w:rPr>
              <w:t xml:space="preserve"> CI=</w:t>
            </w:r>
            <w:r>
              <w:rPr>
                <w:rFonts w:hint="eastAsia"/>
                <w:kern w:val="2"/>
                <w:sz w:val="21"/>
                <w:szCs w:val="22"/>
              </w:rPr>
              <w:t>压燃式</w:t>
            </w:r>
          </w:p>
          <w:p w:rsidR="00732772" w:rsidRDefault="00732772" w:rsidP="00640296">
            <w:pPr>
              <w:widowControl/>
              <w:adjustRightInd/>
              <w:snapToGrid/>
              <w:spacing w:line="240" w:lineRule="auto"/>
              <w:ind w:firstLineChars="0" w:firstLine="0"/>
              <w:jc w:val="left"/>
              <w:textAlignment w:val="auto"/>
              <w:rPr>
                <w:kern w:val="2"/>
                <w:sz w:val="21"/>
                <w:szCs w:val="22"/>
              </w:rPr>
            </w:pPr>
            <w:r>
              <w:rPr>
                <w:rFonts w:hint="eastAsia"/>
                <w:kern w:val="2"/>
                <w:sz w:val="21"/>
                <w:szCs w:val="22"/>
              </w:rPr>
              <w:t>（</w:t>
            </w:r>
            <w:r>
              <w:rPr>
                <w:kern w:val="2"/>
                <w:sz w:val="21"/>
                <w:szCs w:val="22"/>
              </w:rPr>
              <w:t>1</w:t>
            </w:r>
            <w:r>
              <w:rPr>
                <w:rFonts w:hint="eastAsia"/>
                <w:kern w:val="2"/>
                <w:sz w:val="21"/>
                <w:szCs w:val="22"/>
              </w:rPr>
              <w:t>）点燃式</w:t>
            </w:r>
            <w:r>
              <w:rPr>
                <w:kern w:val="2"/>
                <w:sz w:val="21"/>
                <w:szCs w:val="22"/>
              </w:rPr>
              <w:t>PM</w:t>
            </w:r>
            <w:r>
              <w:rPr>
                <w:rFonts w:hint="eastAsia"/>
                <w:kern w:val="2"/>
                <w:sz w:val="21"/>
                <w:szCs w:val="22"/>
              </w:rPr>
              <w:t>质量限值仅适用于装直喷发动机的汽车。</w:t>
            </w:r>
          </w:p>
          <w:p w:rsidR="00732772" w:rsidRDefault="00732772" w:rsidP="00640296">
            <w:pPr>
              <w:widowControl/>
              <w:adjustRightInd/>
              <w:snapToGrid/>
              <w:spacing w:line="240" w:lineRule="auto"/>
              <w:ind w:firstLineChars="0" w:firstLine="0"/>
              <w:jc w:val="left"/>
              <w:textAlignment w:val="auto"/>
              <w:rPr>
                <w:kern w:val="2"/>
                <w:sz w:val="21"/>
                <w:szCs w:val="22"/>
              </w:rPr>
            </w:pPr>
            <w:r>
              <w:rPr>
                <w:rFonts w:hint="eastAsia"/>
                <w:kern w:val="2"/>
                <w:sz w:val="21"/>
                <w:szCs w:val="22"/>
              </w:rPr>
              <w:t>（</w:t>
            </w:r>
            <w:r>
              <w:rPr>
                <w:kern w:val="2"/>
                <w:sz w:val="21"/>
                <w:szCs w:val="22"/>
              </w:rPr>
              <w:t>2</w:t>
            </w:r>
            <w:r>
              <w:rPr>
                <w:rFonts w:hint="eastAsia"/>
                <w:kern w:val="2"/>
                <w:sz w:val="21"/>
                <w:szCs w:val="22"/>
              </w:rPr>
              <w:t>）第一类车</w:t>
            </w:r>
            <w:r>
              <w:rPr>
                <w:kern w:val="2"/>
                <w:sz w:val="21"/>
                <w:szCs w:val="22"/>
              </w:rPr>
              <w:t>=</w:t>
            </w:r>
            <w:r>
              <w:rPr>
                <w:rFonts w:hint="eastAsia"/>
                <w:kern w:val="2"/>
                <w:sz w:val="21"/>
                <w:szCs w:val="22"/>
              </w:rPr>
              <w:t>包括驾驶员座位在内，座位数不超过六座，且最大总质量不超过</w:t>
            </w:r>
            <w:r>
              <w:rPr>
                <w:kern w:val="2"/>
                <w:sz w:val="21"/>
                <w:szCs w:val="22"/>
              </w:rPr>
              <w:t>2500kg</w:t>
            </w:r>
            <w:r>
              <w:rPr>
                <w:rFonts w:hint="eastAsia"/>
                <w:kern w:val="2"/>
                <w:sz w:val="21"/>
                <w:szCs w:val="22"/>
              </w:rPr>
              <w:t>的</w:t>
            </w:r>
            <w:r>
              <w:rPr>
                <w:kern w:val="2"/>
                <w:sz w:val="21"/>
                <w:szCs w:val="22"/>
              </w:rPr>
              <w:t>M1</w:t>
            </w:r>
            <w:r>
              <w:rPr>
                <w:rFonts w:hint="eastAsia"/>
                <w:kern w:val="2"/>
                <w:sz w:val="21"/>
                <w:szCs w:val="22"/>
              </w:rPr>
              <w:t>类汽车。</w:t>
            </w:r>
          </w:p>
          <w:p w:rsidR="00732772" w:rsidRDefault="00732772" w:rsidP="00640296">
            <w:pPr>
              <w:widowControl/>
              <w:adjustRightInd/>
              <w:snapToGrid/>
              <w:spacing w:line="240" w:lineRule="auto"/>
              <w:ind w:firstLineChars="0" w:firstLine="0"/>
              <w:jc w:val="left"/>
              <w:textAlignment w:val="auto"/>
              <w:rPr>
                <w:kern w:val="2"/>
                <w:sz w:val="21"/>
                <w:szCs w:val="22"/>
              </w:rPr>
            </w:pPr>
            <w:r>
              <w:rPr>
                <w:rFonts w:hint="eastAsia"/>
                <w:kern w:val="2"/>
                <w:sz w:val="21"/>
                <w:szCs w:val="22"/>
              </w:rPr>
              <w:t>第二类车</w:t>
            </w:r>
            <w:r>
              <w:rPr>
                <w:kern w:val="2"/>
                <w:sz w:val="21"/>
                <w:szCs w:val="22"/>
              </w:rPr>
              <w:t>=</w:t>
            </w:r>
            <w:r>
              <w:rPr>
                <w:rFonts w:hint="eastAsia"/>
                <w:kern w:val="2"/>
                <w:sz w:val="21"/>
                <w:szCs w:val="22"/>
              </w:rPr>
              <w:t>第一类车以外的其他所有汽车。</w:t>
            </w:r>
          </w:p>
          <w:p w:rsidR="00732772" w:rsidRDefault="00732772" w:rsidP="00640296">
            <w:pPr>
              <w:widowControl/>
              <w:adjustRightInd/>
              <w:snapToGrid/>
              <w:spacing w:line="240" w:lineRule="auto"/>
              <w:ind w:firstLineChars="0" w:firstLine="0"/>
              <w:jc w:val="left"/>
              <w:textAlignment w:val="auto"/>
              <w:rPr>
                <w:kern w:val="2"/>
                <w:sz w:val="21"/>
                <w:szCs w:val="24"/>
              </w:rPr>
            </w:pPr>
            <w:r>
              <w:rPr>
                <w:rFonts w:hint="eastAsia"/>
                <w:kern w:val="2"/>
                <w:sz w:val="21"/>
                <w:szCs w:val="22"/>
              </w:rPr>
              <w:t>（</w:t>
            </w:r>
            <w:r>
              <w:rPr>
                <w:kern w:val="2"/>
                <w:sz w:val="21"/>
                <w:szCs w:val="22"/>
              </w:rPr>
              <w:t>3</w:t>
            </w:r>
            <w:r>
              <w:rPr>
                <w:rFonts w:hint="eastAsia"/>
                <w:kern w:val="2"/>
                <w:sz w:val="21"/>
                <w:szCs w:val="22"/>
              </w:rPr>
              <w:t>）</w:t>
            </w:r>
            <w:r>
              <w:rPr>
                <w:kern w:val="2"/>
                <w:sz w:val="21"/>
                <w:szCs w:val="22"/>
              </w:rPr>
              <w:t>THC=</w:t>
            </w:r>
            <w:r>
              <w:rPr>
                <w:rFonts w:hint="eastAsia"/>
                <w:kern w:val="2"/>
                <w:sz w:val="21"/>
                <w:szCs w:val="22"/>
              </w:rPr>
              <w:t>总烃</w:t>
            </w:r>
            <w:r>
              <w:rPr>
                <w:kern w:val="2"/>
                <w:sz w:val="21"/>
                <w:szCs w:val="22"/>
              </w:rPr>
              <w:t xml:space="preserve">  NMHC=</w:t>
            </w:r>
            <w:r>
              <w:rPr>
                <w:rFonts w:hint="eastAsia"/>
                <w:kern w:val="2"/>
                <w:sz w:val="21"/>
                <w:szCs w:val="22"/>
              </w:rPr>
              <w:t>非甲烷总烃</w:t>
            </w:r>
            <w:r>
              <w:rPr>
                <w:kern w:val="2"/>
                <w:sz w:val="21"/>
                <w:szCs w:val="22"/>
              </w:rPr>
              <w:t xml:space="preserve">  PM=</w:t>
            </w:r>
            <w:r>
              <w:rPr>
                <w:rFonts w:hint="eastAsia"/>
                <w:kern w:val="2"/>
                <w:sz w:val="21"/>
                <w:szCs w:val="22"/>
              </w:rPr>
              <w:t>颗粒物</w:t>
            </w:r>
          </w:p>
        </w:tc>
      </w:tr>
    </w:tbl>
    <w:p w:rsidR="00EE56C0" w:rsidRPr="00732772" w:rsidRDefault="00EE56C0">
      <w:pPr>
        <w:ind w:firstLine="480"/>
      </w:pPr>
    </w:p>
    <w:p w:rsidR="00732772" w:rsidRDefault="00732772">
      <w:pPr>
        <w:ind w:firstLine="480"/>
        <w:sectPr w:rsidR="00732772" w:rsidSect="00732772">
          <w:pgSz w:w="16838" w:h="11906" w:orient="landscape"/>
          <w:pgMar w:top="1797" w:right="1440" w:bottom="1797" w:left="1440" w:header="851" w:footer="992" w:gutter="0"/>
          <w:cols w:space="720"/>
          <w:docGrid w:linePitch="326"/>
        </w:sectPr>
      </w:pPr>
    </w:p>
    <w:p w:rsidR="00732772" w:rsidRPr="00CA5020" w:rsidRDefault="00732772" w:rsidP="00732772">
      <w:pPr>
        <w:adjustRightInd/>
        <w:snapToGrid/>
        <w:ind w:firstLineChars="0" w:firstLine="600"/>
        <w:textAlignment w:val="auto"/>
        <w:rPr>
          <w:rFonts w:ascii="宋体" w:hAnsi="宋体"/>
          <w:bCs/>
          <w:iCs/>
          <w:szCs w:val="24"/>
          <w:u w:val="single"/>
        </w:rPr>
      </w:pPr>
      <w:r w:rsidRPr="00455348">
        <w:rPr>
          <w:rFonts w:ascii="宋体" w:hAnsi="宋体" w:hint="eastAsia"/>
          <w:bCs/>
          <w:iCs/>
          <w:szCs w:val="24"/>
          <w:u w:val="single"/>
        </w:rPr>
        <w:lastRenderedPageBreak/>
        <w:t>本项目货物运输均采用大货车运送，货车燃料一般采用柴油，柴油发动机均采用压燃式打火方式，另外项目货车运输量和自身车重均远大于</w:t>
      </w:r>
      <w:r w:rsidRPr="00455348">
        <w:rPr>
          <w:rFonts w:ascii="宋体" w:hAnsi="宋体"/>
          <w:bCs/>
          <w:iCs/>
          <w:szCs w:val="24"/>
          <w:u w:val="single"/>
        </w:rPr>
        <w:t>1760kg</w:t>
      </w:r>
      <w:r w:rsidRPr="00455348">
        <w:rPr>
          <w:rFonts w:ascii="宋体" w:hAnsi="宋体" w:hint="eastAsia"/>
          <w:bCs/>
          <w:iCs/>
          <w:szCs w:val="24"/>
          <w:u w:val="single"/>
        </w:rPr>
        <w:t>，因此项目移动源污染物计算采用第二类车</w:t>
      </w:r>
      <w:r w:rsidRPr="00455348">
        <w:rPr>
          <w:rFonts w:ascii="宋体" w:hAnsi="宋体"/>
          <w:bCs/>
          <w:iCs/>
          <w:szCs w:val="24"/>
          <w:u w:val="single"/>
        </w:rPr>
        <w:t>III</w:t>
      </w:r>
      <w:r w:rsidRPr="00455348">
        <w:rPr>
          <w:rFonts w:ascii="宋体" w:hAnsi="宋体" w:hint="eastAsia"/>
          <w:bCs/>
          <w:iCs/>
          <w:szCs w:val="24"/>
          <w:u w:val="single"/>
        </w:rPr>
        <w:t>级别的污染物排放情况，则项目建成后全年移动源污染</w:t>
      </w:r>
      <w:r w:rsidRPr="00CA5020">
        <w:rPr>
          <w:rFonts w:ascii="宋体" w:hAnsi="宋体" w:hint="eastAsia"/>
          <w:bCs/>
          <w:iCs/>
          <w:szCs w:val="24"/>
          <w:u w:val="single"/>
        </w:rPr>
        <w:t>物排放情况如下：</w:t>
      </w:r>
    </w:p>
    <w:p w:rsidR="00732772" w:rsidRPr="00CA5020" w:rsidRDefault="00732772" w:rsidP="00732772">
      <w:pPr>
        <w:ind w:firstLine="560"/>
        <w:textAlignment w:val="auto"/>
        <w:rPr>
          <w:rFonts w:eastAsia="黑体"/>
          <w:bCs/>
          <w:iCs/>
          <w:spacing w:val="20"/>
          <w:szCs w:val="24"/>
          <w:u w:val="single"/>
        </w:rPr>
      </w:pPr>
      <w:r w:rsidRPr="00CA5020">
        <w:rPr>
          <w:rFonts w:eastAsia="黑体" w:hint="eastAsia"/>
          <w:bCs/>
          <w:iCs/>
          <w:spacing w:val="20"/>
          <w:szCs w:val="24"/>
          <w:u w:val="single"/>
        </w:rPr>
        <w:t>表</w:t>
      </w:r>
      <w:r w:rsidRPr="00CA5020">
        <w:rPr>
          <w:rFonts w:eastAsia="黑体" w:hint="eastAsia"/>
          <w:bCs/>
          <w:iCs/>
          <w:spacing w:val="20"/>
          <w:szCs w:val="24"/>
          <w:u w:val="single"/>
        </w:rPr>
        <w:t>3-</w:t>
      </w:r>
      <w:r w:rsidR="00212B58" w:rsidRPr="00CA5020">
        <w:rPr>
          <w:rFonts w:eastAsia="黑体" w:hint="eastAsia"/>
          <w:bCs/>
          <w:iCs/>
          <w:spacing w:val="20"/>
          <w:szCs w:val="24"/>
          <w:u w:val="single"/>
        </w:rPr>
        <w:t xml:space="preserve">68    </w:t>
      </w:r>
      <w:r w:rsidRPr="00CA5020">
        <w:rPr>
          <w:rFonts w:eastAsia="黑体" w:hint="eastAsia"/>
          <w:bCs/>
          <w:iCs/>
          <w:spacing w:val="20"/>
          <w:szCs w:val="24"/>
          <w:u w:val="single"/>
        </w:rPr>
        <w:t>本项目汽车尾气中主要污染物排放量一览表</w:t>
      </w:r>
    </w:p>
    <w:tbl>
      <w:tblPr>
        <w:tblW w:w="0" w:type="auto"/>
        <w:jc w:val="center"/>
        <w:tblBorders>
          <w:top w:val="single" w:sz="8" w:space="0" w:color="auto"/>
          <w:left w:val="single" w:sz="4" w:space="0" w:color="auto"/>
          <w:bottom w:val="single" w:sz="8" w:space="0" w:color="auto"/>
          <w:right w:val="single" w:sz="4" w:space="0" w:color="auto"/>
          <w:insideH w:val="single" w:sz="4" w:space="0" w:color="auto"/>
          <w:insideV w:val="single" w:sz="4" w:space="0" w:color="auto"/>
        </w:tblBorders>
        <w:tblLayout w:type="fixed"/>
        <w:tblLook w:val="04A0"/>
      </w:tblPr>
      <w:tblGrid>
        <w:gridCol w:w="2093"/>
        <w:gridCol w:w="1317"/>
        <w:gridCol w:w="1706"/>
        <w:gridCol w:w="1706"/>
        <w:gridCol w:w="1706"/>
      </w:tblGrid>
      <w:tr w:rsidR="00732772" w:rsidRPr="00CA5020" w:rsidTr="00D149DB">
        <w:trPr>
          <w:trHeight w:val="397"/>
          <w:jc w:val="center"/>
        </w:trPr>
        <w:tc>
          <w:tcPr>
            <w:tcW w:w="2093" w:type="dxa"/>
            <w:tcBorders>
              <w:top w:val="single" w:sz="4" w:space="0" w:color="auto"/>
              <w:left w:val="single" w:sz="4" w:space="0" w:color="auto"/>
              <w:bottom w:val="single" w:sz="4" w:space="0" w:color="auto"/>
              <w:right w:val="single" w:sz="4" w:space="0" w:color="auto"/>
            </w:tcBorders>
            <w:vAlign w:val="center"/>
          </w:tcPr>
          <w:p w:rsidR="00732772" w:rsidRPr="00CA5020" w:rsidRDefault="00732772" w:rsidP="00640296">
            <w:pPr>
              <w:widowControl/>
              <w:adjustRightInd/>
              <w:snapToGrid/>
              <w:spacing w:line="240" w:lineRule="auto"/>
              <w:ind w:firstLineChars="0" w:firstLine="0"/>
              <w:jc w:val="center"/>
              <w:textAlignment w:val="auto"/>
              <w:rPr>
                <w:kern w:val="2"/>
                <w:sz w:val="21"/>
                <w:szCs w:val="21"/>
                <w:u w:val="single"/>
              </w:rPr>
            </w:pPr>
            <w:r w:rsidRPr="00CA5020">
              <w:rPr>
                <w:kern w:val="2"/>
                <w:sz w:val="21"/>
                <w:szCs w:val="21"/>
                <w:u w:val="single"/>
              </w:rPr>
              <w:t>污染物</w:t>
            </w:r>
          </w:p>
        </w:tc>
        <w:tc>
          <w:tcPr>
            <w:tcW w:w="1317" w:type="dxa"/>
            <w:tcBorders>
              <w:top w:val="single" w:sz="4" w:space="0" w:color="auto"/>
              <w:left w:val="single" w:sz="4" w:space="0" w:color="auto"/>
              <w:right w:val="single" w:sz="4" w:space="0" w:color="auto"/>
            </w:tcBorders>
            <w:vAlign w:val="center"/>
          </w:tcPr>
          <w:p w:rsidR="00732772" w:rsidRPr="00CA5020" w:rsidRDefault="00732772" w:rsidP="00640296">
            <w:pPr>
              <w:adjustRightInd/>
              <w:snapToGrid/>
              <w:spacing w:line="240" w:lineRule="auto"/>
              <w:ind w:firstLineChars="300" w:firstLine="630"/>
              <w:textAlignment w:val="auto"/>
              <w:rPr>
                <w:kern w:val="2"/>
                <w:sz w:val="21"/>
                <w:szCs w:val="21"/>
                <w:u w:val="single"/>
              </w:rPr>
            </w:pPr>
            <w:r w:rsidRPr="00CA5020">
              <w:rPr>
                <w:kern w:val="2"/>
                <w:sz w:val="21"/>
                <w:szCs w:val="21"/>
                <w:u w:val="single"/>
              </w:rPr>
              <w:t>CO</w:t>
            </w:r>
          </w:p>
        </w:tc>
        <w:tc>
          <w:tcPr>
            <w:tcW w:w="1706" w:type="dxa"/>
            <w:tcBorders>
              <w:top w:val="single" w:sz="4" w:space="0" w:color="auto"/>
              <w:left w:val="single" w:sz="4" w:space="0" w:color="auto"/>
              <w:right w:val="single" w:sz="4" w:space="0" w:color="auto"/>
            </w:tcBorders>
            <w:vAlign w:val="center"/>
          </w:tcPr>
          <w:p w:rsidR="00732772" w:rsidRPr="00CA5020" w:rsidRDefault="00732772" w:rsidP="00640296">
            <w:pPr>
              <w:autoSpaceDE w:val="0"/>
              <w:autoSpaceDN w:val="0"/>
              <w:spacing w:line="240" w:lineRule="auto"/>
              <w:ind w:firstLineChars="0" w:firstLine="0"/>
              <w:jc w:val="center"/>
              <w:rPr>
                <w:kern w:val="2"/>
                <w:sz w:val="21"/>
                <w:szCs w:val="21"/>
                <w:u w:val="single"/>
              </w:rPr>
            </w:pPr>
            <w:r w:rsidRPr="00CA5020">
              <w:rPr>
                <w:kern w:val="2"/>
                <w:sz w:val="21"/>
                <w:szCs w:val="21"/>
                <w:u w:val="single"/>
              </w:rPr>
              <w:t>NOx</w:t>
            </w:r>
          </w:p>
        </w:tc>
        <w:tc>
          <w:tcPr>
            <w:tcW w:w="1706" w:type="dxa"/>
            <w:tcBorders>
              <w:top w:val="single" w:sz="4" w:space="0" w:color="auto"/>
              <w:left w:val="single" w:sz="4" w:space="0" w:color="auto"/>
              <w:right w:val="single" w:sz="4" w:space="0" w:color="auto"/>
            </w:tcBorders>
            <w:vAlign w:val="center"/>
          </w:tcPr>
          <w:p w:rsidR="00732772" w:rsidRPr="00CA5020" w:rsidRDefault="00732772" w:rsidP="00640296">
            <w:pPr>
              <w:autoSpaceDE w:val="0"/>
              <w:autoSpaceDN w:val="0"/>
              <w:spacing w:line="240" w:lineRule="auto"/>
              <w:ind w:firstLineChars="0" w:firstLine="0"/>
              <w:jc w:val="center"/>
              <w:rPr>
                <w:kern w:val="2"/>
                <w:sz w:val="21"/>
                <w:szCs w:val="21"/>
                <w:u w:val="single"/>
              </w:rPr>
            </w:pPr>
            <w:r w:rsidRPr="00CA5020">
              <w:rPr>
                <w:kern w:val="2"/>
                <w:sz w:val="21"/>
                <w:szCs w:val="21"/>
                <w:u w:val="single"/>
              </w:rPr>
              <w:t>THC+NOx</w:t>
            </w:r>
          </w:p>
        </w:tc>
        <w:tc>
          <w:tcPr>
            <w:tcW w:w="1706" w:type="dxa"/>
            <w:tcBorders>
              <w:top w:val="single" w:sz="4" w:space="0" w:color="auto"/>
              <w:left w:val="single" w:sz="4" w:space="0" w:color="auto"/>
              <w:right w:val="single" w:sz="4" w:space="0" w:color="auto"/>
            </w:tcBorders>
            <w:vAlign w:val="center"/>
          </w:tcPr>
          <w:p w:rsidR="00732772" w:rsidRPr="00CA5020" w:rsidRDefault="00732772" w:rsidP="00640296">
            <w:pPr>
              <w:autoSpaceDE w:val="0"/>
              <w:autoSpaceDN w:val="0"/>
              <w:spacing w:line="240" w:lineRule="auto"/>
              <w:ind w:firstLineChars="0" w:firstLine="0"/>
              <w:jc w:val="center"/>
              <w:rPr>
                <w:kern w:val="2"/>
                <w:sz w:val="21"/>
                <w:szCs w:val="21"/>
                <w:u w:val="single"/>
              </w:rPr>
            </w:pPr>
            <w:r w:rsidRPr="00CA5020">
              <w:rPr>
                <w:rFonts w:hint="eastAsia"/>
                <w:kern w:val="2"/>
                <w:sz w:val="21"/>
                <w:szCs w:val="21"/>
                <w:u w:val="single"/>
              </w:rPr>
              <w:t>颗粒物</w:t>
            </w:r>
          </w:p>
        </w:tc>
      </w:tr>
      <w:tr w:rsidR="00732772" w:rsidRPr="00CA5020" w:rsidTr="00D149DB">
        <w:trPr>
          <w:trHeight w:val="397"/>
          <w:jc w:val="center"/>
        </w:trPr>
        <w:tc>
          <w:tcPr>
            <w:tcW w:w="2093" w:type="dxa"/>
            <w:tcBorders>
              <w:top w:val="single" w:sz="4" w:space="0" w:color="auto"/>
              <w:left w:val="single" w:sz="4" w:space="0" w:color="auto"/>
              <w:bottom w:val="single" w:sz="4" w:space="0" w:color="auto"/>
              <w:right w:val="single" w:sz="4" w:space="0" w:color="auto"/>
            </w:tcBorders>
            <w:vAlign w:val="center"/>
          </w:tcPr>
          <w:p w:rsidR="00732772" w:rsidRPr="00CA5020" w:rsidRDefault="00732772" w:rsidP="00D149DB">
            <w:pPr>
              <w:widowControl/>
              <w:adjustRightInd/>
              <w:snapToGrid/>
              <w:spacing w:line="240" w:lineRule="auto"/>
              <w:ind w:firstLineChars="0" w:firstLine="0"/>
              <w:jc w:val="center"/>
              <w:textAlignment w:val="auto"/>
              <w:rPr>
                <w:kern w:val="2"/>
                <w:sz w:val="21"/>
                <w:szCs w:val="21"/>
                <w:u w:val="single"/>
              </w:rPr>
            </w:pPr>
            <w:r w:rsidRPr="00CA5020">
              <w:rPr>
                <w:rFonts w:hint="eastAsia"/>
                <w:kern w:val="2"/>
                <w:sz w:val="21"/>
                <w:szCs w:val="21"/>
                <w:u w:val="single"/>
              </w:rPr>
              <w:t>全年合计</w:t>
            </w:r>
            <w:r w:rsidRPr="00CA5020">
              <w:rPr>
                <w:kern w:val="2"/>
                <w:sz w:val="21"/>
                <w:szCs w:val="21"/>
                <w:u w:val="single"/>
              </w:rPr>
              <w:t>运输距离</w:t>
            </w:r>
          </w:p>
        </w:tc>
        <w:tc>
          <w:tcPr>
            <w:tcW w:w="6435" w:type="dxa"/>
            <w:gridSpan w:val="4"/>
            <w:tcBorders>
              <w:left w:val="single" w:sz="4" w:space="0" w:color="auto"/>
              <w:bottom w:val="single" w:sz="4" w:space="0" w:color="auto"/>
              <w:right w:val="single" w:sz="4" w:space="0" w:color="auto"/>
            </w:tcBorders>
            <w:vAlign w:val="center"/>
          </w:tcPr>
          <w:p w:rsidR="00732772" w:rsidRPr="00CA5020" w:rsidRDefault="00293342" w:rsidP="00640296">
            <w:pPr>
              <w:adjustRightInd/>
              <w:snapToGrid/>
              <w:spacing w:line="240" w:lineRule="auto"/>
              <w:ind w:firstLineChars="1100" w:firstLine="2310"/>
              <w:textAlignment w:val="auto"/>
              <w:rPr>
                <w:kern w:val="2"/>
                <w:sz w:val="21"/>
                <w:szCs w:val="21"/>
                <w:u w:val="single"/>
              </w:rPr>
            </w:pPr>
            <w:r w:rsidRPr="00CA5020">
              <w:rPr>
                <w:rFonts w:hint="eastAsia"/>
                <w:kern w:val="2"/>
                <w:sz w:val="21"/>
                <w:szCs w:val="21"/>
                <w:u w:val="single"/>
              </w:rPr>
              <w:t>12686</w:t>
            </w:r>
            <w:r w:rsidR="00732772" w:rsidRPr="00CA5020">
              <w:rPr>
                <w:kern w:val="2"/>
                <w:sz w:val="21"/>
                <w:szCs w:val="21"/>
                <w:u w:val="single"/>
              </w:rPr>
              <w:t>km/a</w:t>
            </w:r>
          </w:p>
        </w:tc>
      </w:tr>
      <w:tr w:rsidR="00732772" w:rsidRPr="00CA5020" w:rsidTr="00D149DB">
        <w:trPr>
          <w:trHeight w:val="397"/>
          <w:jc w:val="center"/>
        </w:trPr>
        <w:tc>
          <w:tcPr>
            <w:tcW w:w="2093" w:type="dxa"/>
            <w:tcBorders>
              <w:top w:val="single" w:sz="4" w:space="0" w:color="auto"/>
              <w:left w:val="single" w:sz="4" w:space="0" w:color="auto"/>
              <w:bottom w:val="single" w:sz="4" w:space="0" w:color="auto"/>
              <w:right w:val="single" w:sz="4" w:space="0" w:color="auto"/>
            </w:tcBorders>
            <w:vAlign w:val="center"/>
          </w:tcPr>
          <w:p w:rsidR="00732772" w:rsidRPr="00CA5020" w:rsidRDefault="00732772" w:rsidP="00640296">
            <w:pPr>
              <w:widowControl/>
              <w:adjustRightInd/>
              <w:snapToGrid/>
              <w:spacing w:line="240" w:lineRule="auto"/>
              <w:ind w:firstLineChars="0" w:firstLine="0"/>
              <w:jc w:val="center"/>
              <w:textAlignment w:val="auto"/>
              <w:rPr>
                <w:sz w:val="21"/>
                <w:szCs w:val="21"/>
                <w:u w:val="single"/>
              </w:rPr>
            </w:pPr>
            <w:r w:rsidRPr="00CA5020">
              <w:rPr>
                <w:sz w:val="21"/>
                <w:szCs w:val="21"/>
                <w:u w:val="single"/>
              </w:rPr>
              <w:t>全年排放量</w:t>
            </w:r>
          </w:p>
        </w:tc>
        <w:tc>
          <w:tcPr>
            <w:tcW w:w="1317" w:type="dxa"/>
            <w:tcBorders>
              <w:top w:val="single" w:sz="4" w:space="0" w:color="auto"/>
              <w:left w:val="single" w:sz="4" w:space="0" w:color="auto"/>
              <w:bottom w:val="single" w:sz="4" w:space="0" w:color="auto"/>
              <w:right w:val="single" w:sz="4" w:space="0" w:color="auto"/>
            </w:tcBorders>
            <w:vAlign w:val="center"/>
          </w:tcPr>
          <w:p w:rsidR="00732772" w:rsidRPr="00CA5020" w:rsidRDefault="002E2D34" w:rsidP="00640296">
            <w:pPr>
              <w:adjustRightInd/>
              <w:snapToGrid/>
              <w:spacing w:line="240" w:lineRule="auto"/>
              <w:ind w:firstLine="420"/>
              <w:textAlignment w:val="auto"/>
              <w:rPr>
                <w:kern w:val="2"/>
                <w:sz w:val="21"/>
                <w:szCs w:val="21"/>
                <w:u w:val="single"/>
              </w:rPr>
            </w:pPr>
            <w:r w:rsidRPr="00CA5020">
              <w:rPr>
                <w:rFonts w:hint="eastAsia"/>
                <w:kern w:val="2"/>
                <w:sz w:val="21"/>
                <w:szCs w:val="21"/>
                <w:u w:val="single"/>
              </w:rPr>
              <w:t>0.0094</w:t>
            </w:r>
            <w:r w:rsidR="00732772" w:rsidRPr="00CA5020">
              <w:rPr>
                <w:rFonts w:hint="eastAsia"/>
                <w:kern w:val="2"/>
                <w:sz w:val="21"/>
                <w:szCs w:val="21"/>
                <w:u w:val="single"/>
              </w:rPr>
              <w:t>t/a</w:t>
            </w:r>
          </w:p>
        </w:tc>
        <w:tc>
          <w:tcPr>
            <w:tcW w:w="1706" w:type="dxa"/>
            <w:tcBorders>
              <w:top w:val="single" w:sz="4" w:space="0" w:color="auto"/>
              <w:left w:val="single" w:sz="4" w:space="0" w:color="auto"/>
              <w:bottom w:val="single" w:sz="4" w:space="0" w:color="auto"/>
              <w:right w:val="single" w:sz="4" w:space="0" w:color="auto"/>
            </w:tcBorders>
            <w:vAlign w:val="center"/>
          </w:tcPr>
          <w:p w:rsidR="00732772" w:rsidRPr="00CA5020" w:rsidRDefault="002E2D34" w:rsidP="00640296">
            <w:pPr>
              <w:adjustRightInd/>
              <w:snapToGrid/>
              <w:spacing w:line="240" w:lineRule="auto"/>
              <w:ind w:firstLine="420"/>
              <w:textAlignment w:val="auto"/>
              <w:rPr>
                <w:kern w:val="2"/>
                <w:sz w:val="21"/>
                <w:szCs w:val="21"/>
                <w:u w:val="single"/>
              </w:rPr>
            </w:pPr>
            <w:r w:rsidRPr="00CA5020">
              <w:rPr>
                <w:rFonts w:hint="eastAsia"/>
                <w:kern w:val="2"/>
                <w:sz w:val="21"/>
                <w:szCs w:val="21"/>
                <w:u w:val="single"/>
              </w:rPr>
              <w:t>0.0036</w:t>
            </w:r>
            <w:r w:rsidR="00732772" w:rsidRPr="00CA5020">
              <w:rPr>
                <w:rFonts w:hint="eastAsia"/>
                <w:kern w:val="2"/>
                <w:sz w:val="21"/>
                <w:szCs w:val="21"/>
                <w:u w:val="single"/>
              </w:rPr>
              <w:t>t/a</w:t>
            </w:r>
          </w:p>
        </w:tc>
        <w:tc>
          <w:tcPr>
            <w:tcW w:w="1706" w:type="dxa"/>
            <w:tcBorders>
              <w:top w:val="single" w:sz="4" w:space="0" w:color="auto"/>
              <w:left w:val="single" w:sz="4" w:space="0" w:color="auto"/>
              <w:bottom w:val="single" w:sz="4" w:space="0" w:color="auto"/>
              <w:right w:val="single" w:sz="4" w:space="0" w:color="auto"/>
            </w:tcBorders>
            <w:vAlign w:val="center"/>
          </w:tcPr>
          <w:p w:rsidR="00732772" w:rsidRPr="00CA5020" w:rsidRDefault="002E2D34" w:rsidP="00640296">
            <w:pPr>
              <w:adjustRightInd/>
              <w:snapToGrid/>
              <w:spacing w:line="240" w:lineRule="auto"/>
              <w:ind w:firstLine="420"/>
              <w:textAlignment w:val="auto"/>
              <w:rPr>
                <w:kern w:val="2"/>
                <w:sz w:val="21"/>
                <w:szCs w:val="21"/>
                <w:u w:val="single"/>
              </w:rPr>
            </w:pPr>
            <w:r w:rsidRPr="00CA5020">
              <w:rPr>
                <w:rFonts w:hint="eastAsia"/>
                <w:kern w:val="2"/>
                <w:sz w:val="21"/>
                <w:szCs w:val="21"/>
                <w:u w:val="single"/>
              </w:rPr>
              <w:t>0.0044</w:t>
            </w:r>
          </w:p>
        </w:tc>
        <w:tc>
          <w:tcPr>
            <w:tcW w:w="1706" w:type="dxa"/>
            <w:tcBorders>
              <w:top w:val="single" w:sz="4" w:space="0" w:color="auto"/>
              <w:left w:val="single" w:sz="4" w:space="0" w:color="auto"/>
              <w:bottom w:val="single" w:sz="4" w:space="0" w:color="auto"/>
              <w:right w:val="single" w:sz="4" w:space="0" w:color="auto"/>
            </w:tcBorders>
            <w:vAlign w:val="center"/>
          </w:tcPr>
          <w:p w:rsidR="00732772" w:rsidRPr="00CA5020" w:rsidRDefault="00732772" w:rsidP="00640296">
            <w:pPr>
              <w:autoSpaceDE w:val="0"/>
              <w:autoSpaceDN w:val="0"/>
              <w:spacing w:line="240" w:lineRule="auto"/>
              <w:ind w:firstLine="420"/>
              <w:rPr>
                <w:kern w:val="2"/>
                <w:sz w:val="21"/>
                <w:szCs w:val="21"/>
                <w:u w:val="single"/>
              </w:rPr>
            </w:pPr>
            <w:r w:rsidRPr="00CA5020">
              <w:rPr>
                <w:rFonts w:hint="eastAsia"/>
                <w:kern w:val="2"/>
                <w:sz w:val="21"/>
                <w:szCs w:val="21"/>
                <w:u w:val="single"/>
              </w:rPr>
              <w:t>0.</w:t>
            </w:r>
            <w:r w:rsidRPr="00CA5020">
              <w:rPr>
                <w:kern w:val="2"/>
                <w:sz w:val="21"/>
                <w:szCs w:val="21"/>
                <w:u w:val="single"/>
              </w:rPr>
              <w:t>0</w:t>
            </w:r>
            <w:r w:rsidR="00CA5020" w:rsidRPr="00CA5020">
              <w:rPr>
                <w:rFonts w:hint="eastAsia"/>
                <w:kern w:val="2"/>
                <w:sz w:val="21"/>
                <w:szCs w:val="21"/>
                <w:u w:val="single"/>
              </w:rPr>
              <w:t>001</w:t>
            </w:r>
            <w:r w:rsidRPr="00CA5020">
              <w:rPr>
                <w:rFonts w:hint="eastAsia"/>
                <w:sz w:val="21"/>
                <w:szCs w:val="21"/>
                <w:u w:val="single"/>
              </w:rPr>
              <w:t>t/a</w:t>
            </w:r>
          </w:p>
        </w:tc>
      </w:tr>
    </w:tbl>
    <w:p w:rsidR="00732772" w:rsidRPr="00CA5020" w:rsidRDefault="00732772" w:rsidP="00732772">
      <w:pPr>
        <w:adjustRightInd/>
        <w:snapToGrid/>
        <w:ind w:firstLineChars="0" w:firstLine="600"/>
        <w:textAlignment w:val="auto"/>
        <w:rPr>
          <w:rFonts w:hAnsi="宋体"/>
          <w:bCs/>
          <w:iCs/>
          <w:szCs w:val="24"/>
          <w:u w:val="single"/>
        </w:rPr>
      </w:pPr>
      <w:r w:rsidRPr="00CA5020">
        <w:rPr>
          <w:rFonts w:ascii="宋体" w:hAnsi="宋体" w:hint="eastAsia"/>
          <w:bCs/>
          <w:iCs/>
          <w:szCs w:val="24"/>
          <w:u w:val="single"/>
        </w:rPr>
        <w:t>由上表可知，项目因车辆运送物料全年排放污</w:t>
      </w:r>
      <w:r w:rsidRPr="00CA5020">
        <w:rPr>
          <w:rFonts w:hAnsi="宋体"/>
          <w:bCs/>
          <w:iCs/>
          <w:szCs w:val="24"/>
          <w:u w:val="single"/>
        </w:rPr>
        <w:t>染物量为</w:t>
      </w:r>
      <w:r w:rsidRPr="00CA5020">
        <w:rPr>
          <w:bCs/>
          <w:iCs/>
          <w:szCs w:val="24"/>
          <w:u w:val="single"/>
        </w:rPr>
        <w:t>CO</w:t>
      </w:r>
      <w:r w:rsidR="00CA5020" w:rsidRPr="00CA5020">
        <w:rPr>
          <w:rFonts w:hint="eastAsia"/>
          <w:bCs/>
          <w:iCs/>
          <w:szCs w:val="24"/>
          <w:u w:val="single"/>
        </w:rPr>
        <w:t>0.0094</w:t>
      </w:r>
      <w:r w:rsidRPr="00CA5020">
        <w:rPr>
          <w:bCs/>
          <w:iCs/>
          <w:szCs w:val="24"/>
          <w:u w:val="single"/>
        </w:rPr>
        <w:t>t/a</w:t>
      </w:r>
      <w:r w:rsidRPr="00CA5020">
        <w:rPr>
          <w:rFonts w:hAnsi="宋体"/>
          <w:bCs/>
          <w:iCs/>
          <w:szCs w:val="24"/>
          <w:u w:val="single"/>
        </w:rPr>
        <w:t>、</w:t>
      </w:r>
      <w:r w:rsidRPr="00CA5020">
        <w:rPr>
          <w:bCs/>
          <w:iCs/>
          <w:szCs w:val="24"/>
          <w:u w:val="single"/>
        </w:rPr>
        <w:t>NOx 0.</w:t>
      </w:r>
      <w:r w:rsidR="00CA5020" w:rsidRPr="00CA5020">
        <w:rPr>
          <w:rFonts w:hint="eastAsia"/>
          <w:bCs/>
          <w:iCs/>
          <w:szCs w:val="24"/>
          <w:u w:val="single"/>
        </w:rPr>
        <w:t>0036</w:t>
      </w:r>
      <w:r w:rsidRPr="00CA5020">
        <w:rPr>
          <w:bCs/>
          <w:iCs/>
          <w:szCs w:val="24"/>
          <w:u w:val="single"/>
        </w:rPr>
        <w:t>t/a</w:t>
      </w:r>
      <w:r w:rsidRPr="00CA5020">
        <w:rPr>
          <w:rFonts w:hAnsi="宋体"/>
          <w:bCs/>
          <w:iCs/>
          <w:szCs w:val="24"/>
          <w:u w:val="single"/>
        </w:rPr>
        <w:t>、</w:t>
      </w:r>
      <w:r w:rsidRPr="00CA5020">
        <w:rPr>
          <w:bCs/>
          <w:iCs/>
          <w:szCs w:val="24"/>
          <w:u w:val="single"/>
        </w:rPr>
        <w:t>THC+NOx0.</w:t>
      </w:r>
      <w:r w:rsidR="00CA5020" w:rsidRPr="00CA5020">
        <w:rPr>
          <w:rFonts w:hint="eastAsia"/>
          <w:bCs/>
          <w:iCs/>
          <w:szCs w:val="24"/>
          <w:u w:val="single"/>
        </w:rPr>
        <w:t>0044</w:t>
      </w:r>
      <w:r w:rsidRPr="00CA5020">
        <w:rPr>
          <w:bCs/>
          <w:iCs/>
          <w:szCs w:val="24"/>
          <w:u w:val="single"/>
        </w:rPr>
        <w:t>t/a</w:t>
      </w:r>
      <w:r w:rsidRPr="00CA5020">
        <w:rPr>
          <w:rFonts w:hAnsi="宋体"/>
          <w:bCs/>
          <w:iCs/>
          <w:szCs w:val="24"/>
          <w:u w:val="single"/>
        </w:rPr>
        <w:t>和颗粒物</w:t>
      </w:r>
      <w:r w:rsidRPr="00CA5020">
        <w:rPr>
          <w:bCs/>
          <w:iCs/>
          <w:szCs w:val="24"/>
          <w:u w:val="single"/>
        </w:rPr>
        <w:t>0.</w:t>
      </w:r>
      <w:r w:rsidR="00CA5020" w:rsidRPr="00CA5020">
        <w:rPr>
          <w:rFonts w:hint="eastAsia"/>
          <w:bCs/>
          <w:iCs/>
          <w:szCs w:val="24"/>
          <w:u w:val="single"/>
        </w:rPr>
        <w:t>0001</w:t>
      </w:r>
      <w:r w:rsidRPr="00CA5020">
        <w:rPr>
          <w:rFonts w:hint="eastAsia"/>
          <w:bCs/>
          <w:iCs/>
          <w:szCs w:val="24"/>
          <w:u w:val="single"/>
        </w:rPr>
        <w:t>t</w:t>
      </w:r>
      <w:r w:rsidRPr="00CA5020">
        <w:rPr>
          <w:bCs/>
          <w:iCs/>
          <w:szCs w:val="24"/>
          <w:u w:val="single"/>
        </w:rPr>
        <w:t>/a</w:t>
      </w:r>
      <w:r w:rsidRPr="00CA5020">
        <w:rPr>
          <w:rFonts w:hAnsi="宋体"/>
          <w:bCs/>
          <w:iCs/>
          <w:szCs w:val="24"/>
          <w:u w:val="single"/>
        </w:rPr>
        <w:t>。</w:t>
      </w:r>
    </w:p>
    <w:p w:rsidR="00EE56C0" w:rsidRDefault="000F36A1">
      <w:pPr>
        <w:pStyle w:val="2"/>
        <w:ind w:firstLine="301"/>
      </w:pPr>
      <w:r>
        <w:rPr>
          <w:rFonts w:hint="eastAsia"/>
        </w:rPr>
        <w:t>3.9</w:t>
      </w:r>
      <w:r>
        <w:rPr>
          <w:rFonts w:hint="eastAsia"/>
        </w:rPr>
        <w:t>非正常工况污染因素分析</w:t>
      </w:r>
      <w:bookmarkEnd w:id="198"/>
      <w:bookmarkEnd w:id="199"/>
      <w:bookmarkEnd w:id="200"/>
      <w:bookmarkEnd w:id="201"/>
    </w:p>
    <w:p w:rsidR="00EE56C0" w:rsidRDefault="000F36A1">
      <w:pPr>
        <w:ind w:firstLine="480"/>
      </w:pPr>
      <w:r>
        <w:rPr>
          <w:rFonts w:hint="eastAsia"/>
        </w:rPr>
        <w:t>项目生产过程中产生的非正常排放主要是各种污染治理设施发生故障时引起的污染物超标排放。</w:t>
      </w:r>
    </w:p>
    <w:p w:rsidR="00EE56C0" w:rsidRDefault="000F36A1">
      <w:pPr>
        <w:ind w:firstLine="480"/>
      </w:pPr>
      <w:r>
        <w:rPr>
          <w:rFonts w:hint="eastAsia"/>
        </w:rPr>
        <w:t>1</w:t>
      </w:r>
      <w:r>
        <w:rPr>
          <w:rFonts w:hint="eastAsia"/>
        </w:rPr>
        <w:t>、污水处理设施运行不正常事故污染因素分析</w:t>
      </w:r>
    </w:p>
    <w:p w:rsidR="00EE56C0" w:rsidRDefault="000F36A1">
      <w:pPr>
        <w:ind w:firstLine="480"/>
      </w:pPr>
      <w:r>
        <w:rPr>
          <w:rFonts w:hint="eastAsia"/>
        </w:rPr>
        <w:t>项目废水发生非正常排放主要是废水治理设施出现机械设备故障导致废水处理系统无法运转，废水得不到及时处理而直接排放。但本厂区建设有事故废水暂存池，在出现污水处理站事故排水时可暂时储存于事故池中，待污水处理站正常运行后再分批送至污水处理站进行处理，处理达标后排放。故废水发生非正常排放的可能性较小。</w:t>
      </w:r>
    </w:p>
    <w:p w:rsidR="00EE56C0" w:rsidRDefault="000F36A1">
      <w:pPr>
        <w:ind w:firstLine="480"/>
      </w:pPr>
      <w:r>
        <w:rPr>
          <w:rFonts w:hint="eastAsia"/>
        </w:rPr>
        <w:t>2</w:t>
      </w:r>
      <w:r>
        <w:rPr>
          <w:rFonts w:hint="eastAsia"/>
        </w:rPr>
        <w:t>、废气处理设施运行不正常事故污染因素分析</w:t>
      </w:r>
    </w:p>
    <w:p w:rsidR="00EE56C0" w:rsidRDefault="000F36A1">
      <w:pPr>
        <w:ind w:firstLine="480"/>
      </w:pPr>
      <w:r>
        <w:rPr>
          <w:rFonts w:hint="eastAsia"/>
        </w:rPr>
        <w:t>本项目一期、二期废气依托现有活性炭吸附</w:t>
      </w:r>
      <w:r>
        <w:rPr>
          <w:rFonts w:hint="eastAsia"/>
        </w:rPr>
        <w:t>-</w:t>
      </w:r>
      <w:r>
        <w:rPr>
          <w:rFonts w:hint="eastAsia"/>
        </w:rPr>
        <w:t>脱附</w:t>
      </w:r>
      <w:r>
        <w:rPr>
          <w:rFonts w:hint="eastAsia"/>
        </w:rPr>
        <w:t>-</w:t>
      </w:r>
      <w:r>
        <w:rPr>
          <w:rFonts w:hint="eastAsia"/>
        </w:rPr>
        <w:t>催化燃烧</w:t>
      </w:r>
      <w:r>
        <w:rPr>
          <w:rFonts w:hint="eastAsia"/>
        </w:rPr>
        <w:t>T</w:t>
      </w:r>
      <w:r>
        <w:rPr>
          <w:rFonts w:hint="eastAsia"/>
        </w:rPr>
        <w:t>和沸石吸附</w:t>
      </w:r>
      <w:r>
        <w:rPr>
          <w:rFonts w:hint="eastAsia"/>
        </w:rPr>
        <w:t>-</w:t>
      </w:r>
      <w:r>
        <w:rPr>
          <w:rFonts w:hint="eastAsia"/>
        </w:rPr>
        <w:t>脱附</w:t>
      </w:r>
      <w:r>
        <w:rPr>
          <w:rFonts w:hint="eastAsia"/>
        </w:rPr>
        <w:t>-</w:t>
      </w:r>
      <w:r>
        <w:rPr>
          <w:rFonts w:hint="eastAsia"/>
        </w:rPr>
        <w:t>催化燃烧</w:t>
      </w:r>
      <w:r>
        <w:rPr>
          <w:rFonts w:hint="eastAsia"/>
        </w:rPr>
        <w:t>F</w:t>
      </w:r>
      <w:r>
        <w:rPr>
          <w:rFonts w:hint="eastAsia"/>
        </w:rPr>
        <w:t>处理后经排气筒排放，按最不利原则考虑，活性炭吸附</w:t>
      </w:r>
      <w:r>
        <w:rPr>
          <w:rFonts w:hint="eastAsia"/>
        </w:rPr>
        <w:t>-</w:t>
      </w:r>
      <w:r>
        <w:rPr>
          <w:rFonts w:hint="eastAsia"/>
        </w:rPr>
        <w:t>脱附</w:t>
      </w:r>
      <w:r>
        <w:rPr>
          <w:rFonts w:hint="eastAsia"/>
        </w:rPr>
        <w:t>-</w:t>
      </w:r>
      <w:r>
        <w:rPr>
          <w:rFonts w:hint="eastAsia"/>
        </w:rPr>
        <w:t>催化燃烧</w:t>
      </w:r>
      <w:r>
        <w:rPr>
          <w:rFonts w:hint="eastAsia"/>
        </w:rPr>
        <w:t>T</w:t>
      </w:r>
      <w:r>
        <w:rPr>
          <w:rFonts w:hint="eastAsia"/>
        </w:rPr>
        <w:t>和沸石吸附</w:t>
      </w:r>
      <w:r>
        <w:rPr>
          <w:rFonts w:hint="eastAsia"/>
        </w:rPr>
        <w:t>-</w:t>
      </w:r>
      <w:r>
        <w:rPr>
          <w:rFonts w:hint="eastAsia"/>
        </w:rPr>
        <w:t>脱附</w:t>
      </w:r>
      <w:r>
        <w:rPr>
          <w:rFonts w:hint="eastAsia"/>
        </w:rPr>
        <w:t>-</w:t>
      </w:r>
      <w:r>
        <w:rPr>
          <w:rFonts w:hint="eastAsia"/>
        </w:rPr>
        <w:t>催化燃烧</w:t>
      </w:r>
      <w:r>
        <w:rPr>
          <w:rFonts w:hint="eastAsia"/>
        </w:rPr>
        <w:t>F</w:t>
      </w:r>
      <w:r>
        <w:rPr>
          <w:rFonts w:hint="eastAsia"/>
        </w:rPr>
        <w:t>同时出现故障进行评价。</w:t>
      </w:r>
    </w:p>
    <w:p w:rsidR="00EE56C0" w:rsidRDefault="000F36A1">
      <w:pPr>
        <w:ind w:firstLine="480"/>
      </w:pPr>
      <w:r>
        <w:rPr>
          <w:rFonts w:hint="eastAsia"/>
        </w:rPr>
        <w:t>本项目一期废气设施为静电除油</w:t>
      </w:r>
      <w:r>
        <w:rPr>
          <w:rFonts w:hint="eastAsia"/>
        </w:rPr>
        <w:t>+</w:t>
      </w:r>
      <w:r>
        <w:rPr>
          <w:rFonts w:hint="eastAsia"/>
        </w:rPr>
        <w:t>活性炭吸附</w:t>
      </w:r>
      <w:r>
        <w:rPr>
          <w:rFonts w:hint="eastAsia"/>
        </w:rPr>
        <w:t>-</w:t>
      </w:r>
      <w:r>
        <w:rPr>
          <w:rFonts w:hint="eastAsia"/>
        </w:rPr>
        <w:t>脱附</w:t>
      </w:r>
      <w:r>
        <w:rPr>
          <w:rFonts w:hint="eastAsia"/>
        </w:rPr>
        <w:t>-</w:t>
      </w:r>
      <w:r>
        <w:rPr>
          <w:rFonts w:hint="eastAsia"/>
        </w:rPr>
        <w:t>催化燃烧</w:t>
      </w:r>
      <w:r>
        <w:rPr>
          <w:rFonts w:hint="eastAsia"/>
        </w:rPr>
        <w:t>/</w:t>
      </w:r>
      <w:r>
        <w:rPr>
          <w:rFonts w:hint="eastAsia"/>
        </w:rPr>
        <w:t>沸石吸附</w:t>
      </w:r>
      <w:r>
        <w:rPr>
          <w:rFonts w:hint="eastAsia"/>
        </w:rPr>
        <w:t>-</w:t>
      </w:r>
      <w:r>
        <w:rPr>
          <w:rFonts w:hint="eastAsia"/>
        </w:rPr>
        <w:t>脱附</w:t>
      </w:r>
      <w:r>
        <w:rPr>
          <w:rFonts w:hint="eastAsia"/>
        </w:rPr>
        <w:t>-</w:t>
      </w:r>
      <w:r>
        <w:rPr>
          <w:rFonts w:hint="eastAsia"/>
        </w:rPr>
        <w:t>催化燃烧，不可能同时故障，本次非正常排放按催化燃烧装置故障评价，事故排放时间最大为</w:t>
      </w:r>
      <w:r>
        <w:rPr>
          <w:rFonts w:hint="eastAsia"/>
        </w:rPr>
        <w:t>15</w:t>
      </w:r>
      <w:r>
        <w:rPr>
          <w:rFonts w:hint="eastAsia"/>
        </w:rPr>
        <w:t>分钟。项目非正常排放废气源强见下表：</w:t>
      </w:r>
    </w:p>
    <w:p w:rsidR="00EE56C0" w:rsidRDefault="000F36A1">
      <w:pPr>
        <w:pStyle w:val="afd"/>
        <w:spacing w:before="120" w:after="120"/>
        <w:ind w:firstLine="482"/>
        <w:rPr>
          <w:u w:val="single"/>
        </w:rPr>
      </w:pPr>
      <w:r>
        <w:rPr>
          <w:rFonts w:hint="eastAsia"/>
          <w:u w:val="single"/>
        </w:rPr>
        <w:lastRenderedPageBreak/>
        <w:t>表</w:t>
      </w:r>
      <w:r>
        <w:rPr>
          <w:rFonts w:hint="eastAsia"/>
          <w:u w:val="single"/>
        </w:rPr>
        <w:t>3-6</w:t>
      </w:r>
      <w:r w:rsidR="00702FE4">
        <w:rPr>
          <w:rFonts w:hint="eastAsia"/>
          <w:u w:val="single"/>
        </w:rPr>
        <w:t>9</w:t>
      </w:r>
      <w:r>
        <w:rPr>
          <w:rFonts w:hint="eastAsia"/>
          <w:u w:val="single"/>
        </w:rPr>
        <w:t xml:space="preserve">           </w:t>
      </w:r>
      <w:r>
        <w:rPr>
          <w:rFonts w:hint="eastAsia"/>
          <w:u w:val="single"/>
        </w:rPr>
        <w:t>非正常排放废气源强表</w:t>
      </w:r>
      <w:r>
        <w:rPr>
          <w:rFonts w:hint="eastAsia"/>
          <w:u w:val="single"/>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05"/>
        <w:gridCol w:w="1522"/>
        <w:gridCol w:w="1701"/>
        <w:gridCol w:w="1894"/>
        <w:gridCol w:w="1706"/>
      </w:tblGrid>
      <w:tr w:rsidR="00EE56C0">
        <w:trPr>
          <w:trHeight w:val="510"/>
        </w:trPr>
        <w:tc>
          <w:tcPr>
            <w:tcW w:w="1705" w:type="dxa"/>
            <w:vAlign w:val="center"/>
          </w:tcPr>
          <w:p w:rsidR="00EE56C0" w:rsidRDefault="000F36A1">
            <w:pPr>
              <w:pStyle w:val="afa"/>
            </w:pPr>
            <w:r>
              <w:rPr>
                <w:rFonts w:hint="eastAsia"/>
                <w:b/>
              </w:rPr>
              <w:t>非正常排放源</w:t>
            </w:r>
          </w:p>
        </w:tc>
        <w:tc>
          <w:tcPr>
            <w:tcW w:w="1522" w:type="dxa"/>
            <w:vAlign w:val="center"/>
          </w:tcPr>
          <w:p w:rsidR="00EE56C0" w:rsidRDefault="000F36A1">
            <w:pPr>
              <w:pStyle w:val="afa"/>
              <w:rPr>
                <w:b/>
              </w:rPr>
            </w:pPr>
            <w:r>
              <w:rPr>
                <w:rFonts w:hint="eastAsia"/>
                <w:b/>
              </w:rPr>
              <w:t>污染物</w:t>
            </w:r>
          </w:p>
        </w:tc>
        <w:tc>
          <w:tcPr>
            <w:tcW w:w="1701" w:type="dxa"/>
            <w:vAlign w:val="center"/>
          </w:tcPr>
          <w:p w:rsidR="00EE56C0" w:rsidRDefault="000F36A1">
            <w:pPr>
              <w:pStyle w:val="aff1"/>
              <w:rPr>
                <w:color w:val="auto"/>
              </w:rPr>
            </w:pPr>
            <w:r>
              <w:rPr>
                <w:rFonts w:hint="eastAsia"/>
                <w:color w:val="auto"/>
              </w:rPr>
              <w:t>废气量</w:t>
            </w:r>
            <w:r>
              <w:rPr>
                <w:rFonts w:hint="eastAsia"/>
                <w:color w:val="auto"/>
              </w:rPr>
              <w:t>/</w:t>
            </w:r>
            <w:r>
              <w:rPr>
                <w:rFonts w:hint="eastAsia"/>
                <w:color w:val="auto"/>
              </w:rPr>
              <w:t>（</w:t>
            </w:r>
            <w:r>
              <w:rPr>
                <w:rFonts w:hint="eastAsia"/>
                <w:color w:val="auto"/>
              </w:rPr>
              <w:t>m</w:t>
            </w:r>
            <w:r>
              <w:rPr>
                <w:rFonts w:hint="eastAsia"/>
                <w:color w:val="auto"/>
                <w:vertAlign w:val="superscript"/>
              </w:rPr>
              <w:t>3</w:t>
            </w:r>
            <w:r>
              <w:rPr>
                <w:rFonts w:hint="eastAsia"/>
                <w:color w:val="auto"/>
              </w:rPr>
              <w:t>/h</w:t>
            </w:r>
            <w:r>
              <w:rPr>
                <w:rFonts w:hint="eastAsia"/>
                <w:color w:val="auto"/>
              </w:rPr>
              <w:t>）</w:t>
            </w:r>
          </w:p>
        </w:tc>
        <w:tc>
          <w:tcPr>
            <w:tcW w:w="1894" w:type="dxa"/>
            <w:vAlign w:val="center"/>
          </w:tcPr>
          <w:p w:rsidR="00EE56C0" w:rsidRDefault="000F36A1">
            <w:pPr>
              <w:pStyle w:val="aff1"/>
              <w:rPr>
                <w:color w:val="auto"/>
              </w:rPr>
            </w:pPr>
            <w:r>
              <w:rPr>
                <w:rFonts w:hint="eastAsia"/>
                <w:color w:val="auto"/>
              </w:rPr>
              <w:t>速率</w:t>
            </w:r>
            <w:r>
              <w:rPr>
                <w:rFonts w:hint="eastAsia"/>
                <w:color w:val="auto"/>
              </w:rPr>
              <w:t>/</w:t>
            </w:r>
            <w:r>
              <w:rPr>
                <w:rFonts w:hint="eastAsia"/>
                <w:color w:val="auto"/>
              </w:rPr>
              <w:t>（</w:t>
            </w:r>
            <w:r>
              <w:rPr>
                <w:rFonts w:hint="eastAsia"/>
                <w:color w:val="auto"/>
              </w:rPr>
              <w:t>kg/h</w:t>
            </w:r>
            <w:r>
              <w:rPr>
                <w:rFonts w:hint="eastAsia"/>
                <w:color w:val="auto"/>
              </w:rPr>
              <w:t>）</w:t>
            </w:r>
          </w:p>
        </w:tc>
        <w:tc>
          <w:tcPr>
            <w:tcW w:w="1706" w:type="dxa"/>
            <w:vAlign w:val="center"/>
          </w:tcPr>
          <w:p w:rsidR="00EE56C0" w:rsidRDefault="000F36A1">
            <w:pPr>
              <w:pStyle w:val="aff1"/>
              <w:rPr>
                <w:color w:val="auto"/>
              </w:rPr>
            </w:pPr>
            <w:r>
              <w:rPr>
                <w:rFonts w:hint="eastAsia"/>
                <w:color w:val="auto"/>
              </w:rPr>
              <w:t>浓度</w:t>
            </w:r>
            <w:r>
              <w:rPr>
                <w:rFonts w:hint="eastAsia"/>
                <w:color w:val="auto"/>
              </w:rPr>
              <w:t>/</w:t>
            </w:r>
            <w:r>
              <w:rPr>
                <w:rFonts w:hint="eastAsia"/>
                <w:color w:val="auto"/>
              </w:rPr>
              <w:t>（</w:t>
            </w:r>
            <w:r>
              <w:rPr>
                <w:rFonts w:hint="eastAsia"/>
                <w:color w:val="auto"/>
              </w:rPr>
              <w:t>mg/m</w:t>
            </w:r>
            <w:r>
              <w:rPr>
                <w:rFonts w:hint="eastAsia"/>
                <w:color w:val="auto"/>
                <w:vertAlign w:val="superscript"/>
              </w:rPr>
              <w:t>3</w:t>
            </w:r>
            <w:r>
              <w:rPr>
                <w:rFonts w:hint="eastAsia"/>
                <w:color w:val="auto"/>
              </w:rPr>
              <w:t>）</w:t>
            </w:r>
          </w:p>
        </w:tc>
      </w:tr>
      <w:tr w:rsidR="00EE56C0">
        <w:trPr>
          <w:trHeight w:val="510"/>
        </w:trPr>
        <w:tc>
          <w:tcPr>
            <w:tcW w:w="1705" w:type="dxa"/>
            <w:vMerge w:val="restart"/>
            <w:vAlign w:val="center"/>
          </w:tcPr>
          <w:p w:rsidR="00EE56C0" w:rsidRDefault="000F36A1">
            <w:pPr>
              <w:pStyle w:val="afa"/>
            </w:pPr>
            <w:r>
              <w:rPr>
                <w:rFonts w:hint="eastAsia"/>
              </w:rPr>
              <w:t>催化燃烧装置</w:t>
            </w:r>
          </w:p>
        </w:tc>
        <w:tc>
          <w:tcPr>
            <w:tcW w:w="1522" w:type="dxa"/>
            <w:vAlign w:val="center"/>
          </w:tcPr>
          <w:p w:rsidR="00EE56C0" w:rsidRDefault="000F36A1">
            <w:pPr>
              <w:pStyle w:val="afa"/>
            </w:pPr>
            <w:r>
              <w:t>酚</w:t>
            </w:r>
          </w:p>
        </w:tc>
        <w:tc>
          <w:tcPr>
            <w:tcW w:w="1701" w:type="dxa"/>
            <w:vMerge w:val="restart"/>
            <w:vAlign w:val="center"/>
          </w:tcPr>
          <w:p w:rsidR="00EE56C0" w:rsidRDefault="000F36A1">
            <w:pPr>
              <w:pStyle w:val="afa"/>
            </w:pPr>
            <w:r>
              <w:rPr>
                <w:rFonts w:hint="eastAsia"/>
              </w:rPr>
              <w:t>102100</w:t>
            </w:r>
          </w:p>
        </w:tc>
        <w:tc>
          <w:tcPr>
            <w:tcW w:w="1894" w:type="dxa"/>
            <w:vAlign w:val="center"/>
          </w:tcPr>
          <w:p w:rsidR="00EE56C0" w:rsidRDefault="000F36A1">
            <w:pPr>
              <w:pStyle w:val="afa"/>
              <w:rPr>
                <w:rFonts w:eastAsia="宋体"/>
                <w:u w:val="single"/>
              </w:rPr>
            </w:pPr>
            <w:r>
              <w:rPr>
                <w:u w:val="single"/>
              </w:rPr>
              <w:t xml:space="preserve">0.8007 </w:t>
            </w:r>
          </w:p>
        </w:tc>
        <w:tc>
          <w:tcPr>
            <w:tcW w:w="1706" w:type="dxa"/>
            <w:vAlign w:val="center"/>
          </w:tcPr>
          <w:p w:rsidR="00EE56C0" w:rsidRDefault="000F36A1">
            <w:pPr>
              <w:pStyle w:val="afa"/>
              <w:rPr>
                <w:rFonts w:eastAsia="宋体"/>
                <w:u w:val="single"/>
              </w:rPr>
            </w:pPr>
            <w:r>
              <w:rPr>
                <w:u w:val="single"/>
              </w:rPr>
              <w:t xml:space="preserve">7.84 </w:t>
            </w:r>
          </w:p>
        </w:tc>
      </w:tr>
      <w:tr w:rsidR="00EE56C0">
        <w:trPr>
          <w:trHeight w:val="510"/>
        </w:trPr>
        <w:tc>
          <w:tcPr>
            <w:tcW w:w="1705" w:type="dxa"/>
            <w:vMerge/>
            <w:vAlign w:val="center"/>
          </w:tcPr>
          <w:p w:rsidR="00EE56C0" w:rsidRDefault="00EE56C0">
            <w:pPr>
              <w:pStyle w:val="afa"/>
            </w:pPr>
          </w:p>
        </w:tc>
        <w:tc>
          <w:tcPr>
            <w:tcW w:w="1522" w:type="dxa"/>
            <w:vAlign w:val="center"/>
          </w:tcPr>
          <w:p w:rsidR="00EE56C0" w:rsidRDefault="000F36A1">
            <w:pPr>
              <w:pStyle w:val="afa"/>
            </w:pPr>
            <w:r>
              <w:t>非甲烷总烃</w:t>
            </w:r>
          </w:p>
        </w:tc>
        <w:tc>
          <w:tcPr>
            <w:tcW w:w="1701" w:type="dxa"/>
            <w:vMerge/>
            <w:vAlign w:val="center"/>
          </w:tcPr>
          <w:p w:rsidR="00EE56C0" w:rsidRDefault="00EE56C0">
            <w:pPr>
              <w:pStyle w:val="afa"/>
            </w:pPr>
          </w:p>
        </w:tc>
        <w:tc>
          <w:tcPr>
            <w:tcW w:w="1894" w:type="dxa"/>
            <w:vAlign w:val="center"/>
          </w:tcPr>
          <w:p w:rsidR="00EE56C0" w:rsidRDefault="000F36A1">
            <w:pPr>
              <w:pStyle w:val="afa"/>
              <w:rPr>
                <w:rFonts w:eastAsia="宋体"/>
                <w:u w:val="single"/>
              </w:rPr>
            </w:pPr>
            <w:r>
              <w:rPr>
                <w:u w:val="single"/>
              </w:rPr>
              <w:t xml:space="preserve">1.4450 </w:t>
            </w:r>
          </w:p>
        </w:tc>
        <w:tc>
          <w:tcPr>
            <w:tcW w:w="1706" w:type="dxa"/>
            <w:vAlign w:val="center"/>
          </w:tcPr>
          <w:p w:rsidR="00EE56C0" w:rsidRDefault="000F36A1">
            <w:pPr>
              <w:pStyle w:val="afa"/>
              <w:rPr>
                <w:rFonts w:eastAsia="宋体"/>
                <w:u w:val="single"/>
              </w:rPr>
            </w:pPr>
            <w:r>
              <w:rPr>
                <w:u w:val="single"/>
              </w:rPr>
              <w:t xml:space="preserve">14.15 </w:t>
            </w:r>
          </w:p>
        </w:tc>
      </w:tr>
      <w:tr w:rsidR="00EE56C0">
        <w:trPr>
          <w:trHeight w:val="510"/>
        </w:trPr>
        <w:tc>
          <w:tcPr>
            <w:tcW w:w="1705" w:type="dxa"/>
            <w:vMerge/>
            <w:vAlign w:val="center"/>
          </w:tcPr>
          <w:p w:rsidR="00EE56C0" w:rsidRDefault="00EE56C0">
            <w:pPr>
              <w:pStyle w:val="afa"/>
            </w:pPr>
          </w:p>
        </w:tc>
        <w:tc>
          <w:tcPr>
            <w:tcW w:w="1522" w:type="dxa"/>
            <w:vAlign w:val="center"/>
          </w:tcPr>
          <w:p w:rsidR="00EE56C0" w:rsidRDefault="000F36A1">
            <w:pPr>
              <w:pStyle w:val="afa"/>
            </w:pPr>
            <w:r>
              <w:t>二甲苯</w:t>
            </w:r>
          </w:p>
        </w:tc>
        <w:tc>
          <w:tcPr>
            <w:tcW w:w="1701" w:type="dxa"/>
            <w:vMerge/>
            <w:vAlign w:val="center"/>
          </w:tcPr>
          <w:p w:rsidR="00EE56C0" w:rsidRDefault="00EE56C0">
            <w:pPr>
              <w:pStyle w:val="afa"/>
            </w:pPr>
          </w:p>
        </w:tc>
        <w:tc>
          <w:tcPr>
            <w:tcW w:w="1894" w:type="dxa"/>
            <w:vAlign w:val="center"/>
          </w:tcPr>
          <w:p w:rsidR="00EE56C0" w:rsidRDefault="000F36A1">
            <w:pPr>
              <w:pStyle w:val="afa"/>
              <w:rPr>
                <w:rFonts w:eastAsia="宋体"/>
                <w:u w:val="single"/>
              </w:rPr>
            </w:pPr>
            <w:r>
              <w:rPr>
                <w:u w:val="single"/>
              </w:rPr>
              <w:t xml:space="preserve">2.8335 </w:t>
            </w:r>
          </w:p>
        </w:tc>
        <w:tc>
          <w:tcPr>
            <w:tcW w:w="1706" w:type="dxa"/>
            <w:vAlign w:val="center"/>
          </w:tcPr>
          <w:p w:rsidR="00EE56C0" w:rsidRDefault="000F36A1">
            <w:pPr>
              <w:pStyle w:val="afa"/>
              <w:rPr>
                <w:rFonts w:eastAsia="宋体"/>
                <w:u w:val="single"/>
              </w:rPr>
            </w:pPr>
            <w:r>
              <w:rPr>
                <w:u w:val="single"/>
              </w:rPr>
              <w:t xml:space="preserve">27.75 </w:t>
            </w:r>
          </w:p>
        </w:tc>
      </w:tr>
      <w:tr w:rsidR="00EE56C0">
        <w:trPr>
          <w:trHeight w:val="510"/>
        </w:trPr>
        <w:tc>
          <w:tcPr>
            <w:tcW w:w="1705" w:type="dxa"/>
            <w:vMerge/>
            <w:vAlign w:val="center"/>
          </w:tcPr>
          <w:p w:rsidR="00EE56C0" w:rsidRDefault="00EE56C0">
            <w:pPr>
              <w:pStyle w:val="afa"/>
            </w:pPr>
          </w:p>
        </w:tc>
        <w:tc>
          <w:tcPr>
            <w:tcW w:w="1522" w:type="dxa"/>
            <w:vAlign w:val="center"/>
          </w:tcPr>
          <w:p w:rsidR="00EE56C0" w:rsidRDefault="000F36A1">
            <w:pPr>
              <w:pStyle w:val="afa"/>
              <w:rPr>
                <w:szCs w:val="20"/>
              </w:rPr>
            </w:pPr>
            <w:r>
              <w:t>甲苯</w:t>
            </w:r>
          </w:p>
        </w:tc>
        <w:tc>
          <w:tcPr>
            <w:tcW w:w="1701" w:type="dxa"/>
            <w:vMerge/>
            <w:vAlign w:val="center"/>
          </w:tcPr>
          <w:p w:rsidR="00EE56C0" w:rsidRDefault="00EE56C0">
            <w:pPr>
              <w:pStyle w:val="afa"/>
            </w:pPr>
          </w:p>
        </w:tc>
        <w:tc>
          <w:tcPr>
            <w:tcW w:w="1894" w:type="dxa"/>
            <w:vAlign w:val="center"/>
          </w:tcPr>
          <w:p w:rsidR="00EE56C0" w:rsidRDefault="000F36A1">
            <w:pPr>
              <w:pStyle w:val="afa"/>
              <w:rPr>
                <w:rFonts w:eastAsia="宋体"/>
                <w:u w:val="single"/>
              </w:rPr>
            </w:pPr>
            <w:r>
              <w:rPr>
                <w:u w:val="single"/>
              </w:rPr>
              <w:t xml:space="preserve">2.7487 </w:t>
            </w:r>
          </w:p>
        </w:tc>
        <w:tc>
          <w:tcPr>
            <w:tcW w:w="1706" w:type="dxa"/>
            <w:vAlign w:val="center"/>
          </w:tcPr>
          <w:p w:rsidR="00EE56C0" w:rsidRDefault="000F36A1">
            <w:pPr>
              <w:pStyle w:val="afa"/>
              <w:rPr>
                <w:rFonts w:eastAsia="宋体"/>
                <w:u w:val="single"/>
              </w:rPr>
            </w:pPr>
            <w:r>
              <w:rPr>
                <w:u w:val="single"/>
              </w:rPr>
              <w:t xml:space="preserve">26.92 </w:t>
            </w:r>
          </w:p>
        </w:tc>
      </w:tr>
      <w:tr w:rsidR="00EE56C0">
        <w:trPr>
          <w:trHeight w:val="510"/>
        </w:trPr>
        <w:tc>
          <w:tcPr>
            <w:tcW w:w="1705" w:type="dxa"/>
            <w:vMerge/>
            <w:vAlign w:val="center"/>
          </w:tcPr>
          <w:p w:rsidR="00EE56C0" w:rsidRDefault="00EE56C0">
            <w:pPr>
              <w:pStyle w:val="afa"/>
            </w:pPr>
          </w:p>
        </w:tc>
        <w:tc>
          <w:tcPr>
            <w:tcW w:w="1522" w:type="dxa"/>
            <w:vAlign w:val="center"/>
          </w:tcPr>
          <w:p w:rsidR="00EE56C0" w:rsidRDefault="000F36A1">
            <w:pPr>
              <w:pStyle w:val="afa"/>
            </w:pPr>
            <w:r>
              <w:rPr>
                <w:rFonts w:hint="eastAsia"/>
              </w:rPr>
              <w:t>苯</w:t>
            </w:r>
          </w:p>
        </w:tc>
        <w:tc>
          <w:tcPr>
            <w:tcW w:w="1701" w:type="dxa"/>
            <w:vMerge/>
            <w:vAlign w:val="center"/>
          </w:tcPr>
          <w:p w:rsidR="00EE56C0" w:rsidRDefault="00EE56C0">
            <w:pPr>
              <w:pStyle w:val="afa"/>
            </w:pPr>
          </w:p>
        </w:tc>
        <w:tc>
          <w:tcPr>
            <w:tcW w:w="1894" w:type="dxa"/>
            <w:vAlign w:val="center"/>
          </w:tcPr>
          <w:p w:rsidR="00EE56C0" w:rsidRDefault="000F36A1">
            <w:pPr>
              <w:pStyle w:val="afa"/>
              <w:rPr>
                <w:rFonts w:eastAsia="宋体"/>
                <w:u w:val="single"/>
              </w:rPr>
            </w:pPr>
            <w:r>
              <w:rPr>
                <w:u w:val="single"/>
              </w:rPr>
              <w:t xml:space="preserve">0.9162 </w:t>
            </w:r>
          </w:p>
        </w:tc>
        <w:tc>
          <w:tcPr>
            <w:tcW w:w="1706" w:type="dxa"/>
            <w:vAlign w:val="center"/>
          </w:tcPr>
          <w:p w:rsidR="00EE56C0" w:rsidRDefault="000F36A1">
            <w:pPr>
              <w:pStyle w:val="afa"/>
              <w:rPr>
                <w:rFonts w:eastAsia="宋体"/>
                <w:u w:val="single"/>
              </w:rPr>
            </w:pPr>
            <w:r>
              <w:rPr>
                <w:u w:val="single"/>
              </w:rPr>
              <w:t xml:space="preserve">8.97 </w:t>
            </w:r>
          </w:p>
        </w:tc>
      </w:tr>
    </w:tbl>
    <w:p w:rsidR="00EE56C0" w:rsidRDefault="000F36A1">
      <w:pPr>
        <w:pStyle w:val="2"/>
        <w:ind w:firstLine="301"/>
      </w:pPr>
      <w:bookmarkStart w:id="202" w:name="_Toc428286859"/>
      <w:bookmarkStart w:id="203" w:name="_Toc429318403"/>
      <w:bookmarkStart w:id="204" w:name="_Toc428287220"/>
      <w:bookmarkStart w:id="205" w:name="_Toc25400908"/>
      <w:r>
        <w:rPr>
          <w:rFonts w:hint="eastAsia"/>
        </w:rPr>
        <w:t>3.10</w:t>
      </w:r>
      <w:r>
        <w:rPr>
          <w:rFonts w:hint="eastAsia"/>
        </w:rPr>
        <w:t>污染物排放情况汇总</w:t>
      </w:r>
      <w:bookmarkEnd w:id="202"/>
      <w:bookmarkEnd w:id="203"/>
      <w:bookmarkEnd w:id="204"/>
      <w:bookmarkEnd w:id="205"/>
    </w:p>
    <w:p w:rsidR="00EE56C0" w:rsidRDefault="000F36A1">
      <w:pPr>
        <w:pStyle w:val="3"/>
        <w:spacing w:before="240" w:after="120"/>
      </w:pPr>
      <w:r>
        <w:rPr>
          <w:rFonts w:hint="eastAsia"/>
        </w:rPr>
        <w:t>3.10.1</w:t>
      </w:r>
      <w:r>
        <w:rPr>
          <w:rFonts w:hint="eastAsia"/>
        </w:rPr>
        <w:t>本项目污染物排放情况</w:t>
      </w:r>
    </w:p>
    <w:p w:rsidR="00EE56C0" w:rsidRDefault="000F36A1">
      <w:pPr>
        <w:ind w:firstLine="480"/>
        <w:rPr>
          <w:u w:val="single"/>
        </w:rPr>
      </w:pPr>
      <w:r>
        <w:rPr>
          <w:rFonts w:hint="eastAsia"/>
          <w:u w:val="single"/>
        </w:rPr>
        <w:t>本项目污染物产排情况见下表。</w:t>
      </w:r>
    </w:p>
    <w:p w:rsidR="00EE56C0" w:rsidRDefault="000F36A1">
      <w:pPr>
        <w:pStyle w:val="afd"/>
        <w:spacing w:before="120" w:after="120"/>
        <w:ind w:firstLine="482"/>
        <w:rPr>
          <w:u w:val="single"/>
        </w:rPr>
      </w:pPr>
      <w:r>
        <w:rPr>
          <w:rFonts w:hint="eastAsia"/>
          <w:u w:val="single"/>
        </w:rPr>
        <w:t>表</w:t>
      </w:r>
      <w:r w:rsidR="00702FE4">
        <w:rPr>
          <w:rFonts w:hint="eastAsia"/>
          <w:u w:val="single"/>
        </w:rPr>
        <w:t>3-70</w:t>
      </w:r>
      <w:r>
        <w:rPr>
          <w:rFonts w:hint="eastAsia"/>
          <w:u w:val="single"/>
        </w:rPr>
        <w:t xml:space="preserve">         </w:t>
      </w:r>
      <w:r>
        <w:rPr>
          <w:rFonts w:hint="eastAsia"/>
          <w:u w:val="single"/>
        </w:rPr>
        <w:t>项目一期新增污染物产排情况</w:t>
      </w:r>
      <w:r>
        <w:rPr>
          <w:rFonts w:hint="eastAsia"/>
          <w:u w:val="single"/>
        </w:rPr>
        <w:t xml:space="preserve">         </w:t>
      </w:r>
      <w:r>
        <w:rPr>
          <w:rFonts w:hint="eastAsia"/>
          <w:u w:val="single"/>
        </w:rPr>
        <w:t>单位：</w:t>
      </w:r>
      <w:r>
        <w:rPr>
          <w:rFonts w:hint="eastAsia"/>
          <w:u w:val="single"/>
        </w:rPr>
        <w:t>t/a</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tblPr>
      <w:tblGrid>
        <w:gridCol w:w="547"/>
        <w:gridCol w:w="455"/>
        <w:gridCol w:w="379"/>
        <w:gridCol w:w="960"/>
        <w:gridCol w:w="1189"/>
        <w:gridCol w:w="1293"/>
        <w:gridCol w:w="1238"/>
        <w:gridCol w:w="1237"/>
        <w:gridCol w:w="1230"/>
      </w:tblGrid>
      <w:tr w:rsidR="00EE56C0">
        <w:trPr>
          <w:trHeight w:val="397"/>
          <w:tblHeader/>
          <w:jc w:val="center"/>
        </w:trPr>
        <w:tc>
          <w:tcPr>
            <w:tcW w:w="1373" w:type="pct"/>
            <w:gridSpan w:val="4"/>
            <w:vAlign w:val="center"/>
          </w:tcPr>
          <w:p w:rsidR="00EE56C0" w:rsidRDefault="000F36A1">
            <w:pPr>
              <w:pStyle w:val="afa"/>
              <w:rPr>
                <w:b/>
                <w:u w:val="single"/>
              </w:rPr>
            </w:pPr>
            <w:r>
              <w:rPr>
                <w:b/>
                <w:u w:val="single"/>
              </w:rPr>
              <w:t>污染物</w:t>
            </w:r>
          </w:p>
        </w:tc>
        <w:tc>
          <w:tcPr>
            <w:tcW w:w="697" w:type="pct"/>
            <w:vAlign w:val="center"/>
          </w:tcPr>
          <w:p w:rsidR="00EE56C0" w:rsidRDefault="000F36A1">
            <w:pPr>
              <w:pStyle w:val="afa"/>
              <w:rPr>
                <w:b/>
                <w:u w:val="single"/>
              </w:rPr>
            </w:pPr>
            <w:r>
              <w:rPr>
                <w:b/>
                <w:u w:val="single"/>
              </w:rPr>
              <w:t>工程产生量</w:t>
            </w:r>
          </w:p>
        </w:tc>
        <w:tc>
          <w:tcPr>
            <w:tcW w:w="758" w:type="pct"/>
            <w:vAlign w:val="center"/>
          </w:tcPr>
          <w:p w:rsidR="00EE56C0" w:rsidRDefault="000F36A1">
            <w:pPr>
              <w:pStyle w:val="afa"/>
              <w:rPr>
                <w:b/>
                <w:u w:val="single"/>
              </w:rPr>
            </w:pPr>
            <w:r>
              <w:rPr>
                <w:b/>
                <w:u w:val="single"/>
              </w:rPr>
              <w:t>工程削减量</w:t>
            </w:r>
          </w:p>
        </w:tc>
        <w:tc>
          <w:tcPr>
            <w:tcW w:w="726" w:type="pct"/>
            <w:vAlign w:val="center"/>
          </w:tcPr>
          <w:p w:rsidR="00EE56C0" w:rsidRDefault="000F36A1">
            <w:pPr>
              <w:pStyle w:val="afa"/>
              <w:rPr>
                <w:b/>
                <w:u w:val="single"/>
              </w:rPr>
            </w:pPr>
            <w:r>
              <w:rPr>
                <w:rFonts w:hint="eastAsia"/>
                <w:b/>
                <w:u w:val="single"/>
              </w:rPr>
              <w:t>出厂总量</w:t>
            </w:r>
          </w:p>
        </w:tc>
        <w:tc>
          <w:tcPr>
            <w:tcW w:w="725" w:type="pct"/>
            <w:vAlign w:val="center"/>
          </w:tcPr>
          <w:p w:rsidR="00EE56C0" w:rsidRDefault="000F36A1">
            <w:pPr>
              <w:pStyle w:val="afa"/>
              <w:rPr>
                <w:b/>
                <w:u w:val="single"/>
              </w:rPr>
            </w:pPr>
            <w:r>
              <w:rPr>
                <w:rFonts w:hint="eastAsia"/>
                <w:b/>
                <w:u w:val="single"/>
              </w:rPr>
              <w:t>排入环境量</w:t>
            </w:r>
          </w:p>
        </w:tc>
        <w:tc>
          <w:tcPr>
            <w:tcW w:w="721" w:type="pct"/>
            <w:vAlign w:val="center"/>
          </w:tcPr>
          <w:p w:rsidR="00EE56C0" w:rsidRDefault="000F36A1">
            <w:pPr>
              <w:pStyle w:val="afa"/>
              <w:rPr>
                <w:b/>
                <w:u w:val="single"/>
              </w:rPr>
            </w:pPr>
            <w:r>
              <w:rPr>
                <w:rFonts w:hint="eastAsia"/>
                <w:b/>
                <w:u w:val="single"/>
              </w:rPr>
              <w:t>总量指标</w:t>
            </w:r>
          </w:p>
        </w:tc>
      </w:tr>
      <w:tr w:rsidR="00EE56C0">
        <w:trPr>
          <w:trHeight w:val="397"/>
          <w:jc w:val="center"/>
        </w:trPr>
        <w:tc>
          <w:tcPr>
            <w:tcW w:w="321" w:type="pct"/>
            <w:vMerge w:val="restart"/>
            <w:vAlign w:val="center"/>
          </w:tcPr>
          <w:p w:rsidR="00EE56C0" w:rsidRDefault="000F36A1">
            <w:pPr>
              <w:pStyle w:val="afa"/>
              <w:rPr>
                <w:u w:val="single"/>
              </w:rPr>
            </w:pPr>
            <w:r>
              <w:rPr>
                <w:u w:val="single"/>
              </w:rPr>
              <w:t>废水</w:t>
            </w:r>
          </w:p>
        </w:tc>
        <w:tc>
          <w:tcPr>
            <w:tcW w:w="1052" w:type="pct"/>
            <w:gridSpan w:val="3"/>
            <w:vAlign w:val="center"/>
          </w:tcPr>
          <w:p w:rsidR="00EE56C0" w:rsidRDefault="000F36A1">
            <w:pPr>
              <w:pStyle w:val="afa"/>
              <w:rPr>
                <w:u w:val="single"/>
              </w:rPr>
            </w:pPr>
            <w:r>
              <w:rPr>
                <w:u w:val="single"/>
              </w:rPr>
              <w:t>COD</w:t>
            </w:r>
          </w:p>
        </w:tc>
        <w:tc>
          <w:tcPr>
            <w:tcW w:w="697" w:type="pct"/>
            <w:vAlign w:val="center"/>
          </w:tcPr>
          <w:p w:rsidR="00EE56C0" w:rsidRDefault="000F36A1">
            <w:pPr>
              <w:pStyle w:val="afa"/>
              <w:rPr>
                <w:rFonts w:eastAsia="宋体"/>
                <w:u w:val="single"/>
              </w:rPr>
            </w:pPr>
            <w:r>
              <w:rPr>
                <w:u w:val="single"/>
              </w:rPr>
              <w:t xml:space="preserve">0.1033 </w:t>
            </w:r>
          </w:p>
        </w:tc>
        <w:tc>
          <w:tcPr>
            <w:tcW w:w="758" w:type="pct"/>
            <w:vAlign w:val="center"/>
          </w:tcPr>
          <w:p w:rsidR="00EE56C0" w:rsidRDefault="000F36A1">
            <w:pPr>
              <w:pStyle w:val="afa"/>
              <w:rPr>
                <w:rFonts w:eastAsia="宋体"/>
                <w:u w:val="single"/>
              </w:rPr>
            </w:pPr>
            <w:r>
              <w:rPr>
                <w:u w:val="single"/>
              </w:rPr>
              <w:t xml:space="preserve">0.0196 </w:t>
            </w:r>
          </w:p>
        </w:tc>
        <w:tc>
          <w:tcPr>
            <w:tcW w:w="726" w:type="pct"/>
            <w:vAlign w:val="center"/>
          </w:tcPr>
          <w:p w:rsidR="00EE56C0" w:rsidRDefault="000F36A1">
            <w:pPr>
              <w:pStyle w:val="afa"/>
              <w:rPr>
                <w:rFonts w:eastAsia="宋体"/>
                <w:u w:val="single"/>
              </w:rPr>
            </w:pPr>
            <w:r>
              <w:rPr>
                <w:u w:val="single"/>
              </w:rPr>
              <w:t xml:space="preserve">0.0837 </w:t>
            </w:r>
          </w:p>
        </w:tc>
        <w:tc>
          <w:tcPr>
            <w:tcW w:w="725" w:type="pct"/>
            <w:vAlign w:val="center"/>
          </w:tcPr>
          <w:p w:rsidR="00EE56C0" w:rsidRDefault="000F36A1">
            <w:pPr>
              <w:pStyle w:val="afa"/>
              <w:rPr>
                <w:rFonts w:eastAsia="宋体"/>
                <w:u w:val="single"/>
              </w:rPr>
            </w:pPr>
            <w:r>
              <w:rPr>
                <w:u w:val="single"/>
              </w:rPr>
              <w:t xml:space="preserve">0.0178 </w:t>
            </w:r>
          </w:p>
        </w:tc>
        <w:tc>
          <w:tcPr>
            <w:tcW w:w="721" w:type="pct"/>
            <w:vAlign w:val="center"/>
          </w:tcPr>
          <w:p w:rsidR="00EE56C0" w:rsidRDefault="000F36A1">
            <w:pPr>
              <w:pStyle w:val="afa"/>
              <w:rPr>
                <w:rFonts w:ascii="宋体" w:eastAsia="宋体" w:hAnsi="宋体" w:cs="宋体"/>
                <w:u w:val="single"/>
              </w:rPr>
            </w:pPr>
            <w:r>
              <w:rPr>
                <w:rFonts w:hint="eastAsia"/>
                <w:u w:val="single"/>
              </w:rPr>
              <w:t xml:space="preserve">0.0178 </w:t>
            </w:r>
          </w:p>
        </w:tc>
      </w:tr>
      <w:tr w:rsidR="00EE56C0">
        <w:trPr>
          <w:trHeight w:val="397"/>
          <w:jc w:val="center"/>
        </w:trPr>
        <w:tc>
          <w:tcPr>
            <w:tcW w:w="321" w:type="pct"/>
            <w:vMerge/>
            <w:vAlign w:val="center"/>
          </w:tcPr>
          <w:p w:rsidR="00EE56C0" w:rsidRDefault="00EE56C0">
            <w:pPr>
              <w:pStyle w:val="afa"/>
              <w:rPr>
                <w:u w:val="single"/>
              </w:rPr>
            </w:pPr>
          </w:p>
        </w:tc>
        <w:tc>
          <w:tcPr>
            <w:tcW w:w="1052" w:type="pct"/>
            <w:gridSpan w:val="3"/>
            <w:vAlign w:val="center"/>
          </w:tcPr>
          <w:p w:rsidR="00EE56C0" w:rsidRDefault="000F36A1">
            <w:pPr>
              <w:pStyle w:val="afa"/>
              <w:rPr>
                <w:u w:val="single"/>
              </w:rPr>
            </w:pPr>
            <w:r>
              <w:rPr>
                <w:rFonts w:hint="eastAsia"/>
                <w:u w:val="single"/>
              </w:rPr>
              <w:t>NH</w:t>
            </w:r>
            <w:r>
              <w:rPr>
                <w:rFonts w:hint="eastAsia"/>
                <w:u w:val="single"/>
                <w:vertAlign w:val="subscript"/>
              </w:rPr>
              <w:t>3</w:t>
            </w:r>
            <w:r>
              <w:rPr>
                <w:rFonts w:hint="eastAsia"/>
                <w:u w:val="single"/>
              </w:rPr>
              <w:t>-N</w:t>
            </w:r>
          </w:p>
        </w:tc>
        <w:tc>
          <w:tcPr>
            <w:tcW w:w="697" w:type="pct"/>
            <w:vAlign w:val="center"/>
          </w:tcPr>
          <w:p w:rsidR="00EE56C0" w:rsidRDefault="000F36A1">
            <w:pPr>
              <w:pStyle w:val="afa"/>
              <w:rPr>
                <w:rFonts w:eastAsia="宋体"/>
                <w:u w:val="single"/>
              </w:rPr>
            </w:pPr>
            <w:r>
              <w:rPr>
                <w:u w:val="single"/>
              </w:rPr>
              <w:t xml:space="preserve">0.0086 </w:t>
            </w:r>
          </w:p>
        </w:tc>
        <w:tc>
          <w:tcPr>
            <w:tcW w:w="758" w:type="pct"/>
            <w:vAlign w:val="center"/>
          </w:tcPr>
          <w:p w:rsidR="00EE56C0" w:rsidRDefault="000F36A1">
            <w:pPr>
              <w:pStyle w:val="afa"/>
              <w:rPr>
                <w:rFonts w:eastAsia="宋体"/>
                <w:u w:val="single"/>
              </w:rPr>
            </w:pPr>
            <w:r>
              <w:rPr>
                <w:u w:val="single"/>
              </w:rPr>
              <w:t xml:space="preserve">0.0006 </w:t>
            </w:r>
          </w:p>
        </w:tc>
        <w:tc>
          <w:tcPr>
            <w:tcW w:w="726" w:type="pct"/>
            <w:vAlign w:val="center"/>
          </w:tcPr>
          <w:p w:rsidR="00EE56C0" w:rsidRDefault="000F36A1">
            <w:pPr>
              <w:pStyle w:val="afa"/>
              <w:rPr>
                <w:rFonts w:eastAsia="宋体"/>
                <w:u w:val="single"/>
              </w:rPr>
            </w:pPr>
            <w:r>
              <w:rPr>
                <w:u w:val="single"/>
              </w:rPr>
              <w:t xml:space="preserve">0.0080 </w:t>
            </w:r>
          </w:p>
        </w:tc>
        <w:tc>
          <w:tcPr>
            <w:tcW w:w="725" w:type="pct"/>
            <w:vAlign w:val="center"/>
          </w:tcPr>
          <w:p w:rsidR="00EE56C0" w:rsidRDefault="000F36A1">
            <w:pPr>
              <w:pStyle w:val="afa"/>
              <w:rPr>
                <w:rFonts w:eastAsia="宋体"/>
                <w:u w:val="single"/>
              </w:rPr>
            </w:pPr>
            <w:r>
              <w:rPr>
                <w:u w:val="single"/>
              </w:rPr>
              <w:t xml:space="preserve">0.0009 </w:t>
            </w:r>
          </w:p>
        </w:tc>
        <w:tc>
          <w:tcPr>
            <w:tcW w:w="721" w:type="pct"/>
            <w:vAlign w:val="center"/>
          </w:tcPr>
          <w:p w:rsidR="00EE56C0" w:rsidRDefault="000F36A1">
            <w:pPr>
              <w:pStyle w:val="afa"/>
              <w:rPr>
                <w:rFonts w:ascii="宋体" w:eastAsia="宋体" w:hAnsi="宋体" w:cs="宋体"/>
                <w:u w:val="single"/>
              </w:rPr>
            </w:pPr>
            <w:r>
              <w:rPr>
                <w:rFonts w:hint="eastAsia"/>
                <w:u w:val="single"/>
              </w:rPr>
              <w:t xml:space="preserve">0.0009 </w:t>
            </w:r>
          </w:p>
        </w:tc>
      </w:tr>
      <w:tr w:rsidR="00EE56C0">
        <w:trPr>
          <w:trHeight w:val="397"/>
          <w:jc w:val="center"/>
        </w:trPr>
        <w:tc>
          <w:tcPr>
            <w:tcW w:w="321" w:type="pct"/>
            <w:vMerge/>
            <w:vAlign w:val="center"/>
          </w:tcPr>
          <w:p w:rsidR="00EE56C0" w:rsidRDefault="00EE56C0">
            <w:pPr>
              <w:pStyle w:val="afa"/>
              <w:rPr>
                <w:u w:val="single"/>
              </w:rPr>
            </w:pPr>
          </w:p>
        </w:tc>
        <w:tc>
          <w:tcPr>
            <w:tcW w:w="1052" w:type="pct"/>
            <w:gridSpan w:val="3"/>
            <w:vAlign w:val="center"/>
          </w:tcPr>
          <w:p w:rsidR="00EE56C0" w:rsidRDefault="000F36A1">
            <w:pPr>
              <w:pStyle w:val="afa"/>
              <w:rPr>
                <w:u w:val="single"/>
              </w:rPr>
            </w:pPr>
            <w:r>
              <w:rPr>
                <w:u w:val="single"/>
              </w:rPr>
              <w:t>T</w:t>
            </w:r>
            <w:r>
              <w:rPr>
                <w:rFonts w:hint="eastAsia"/>
                <w:u w:val="single"/>
              </w:rPr>
              <w:t>P</w:t>
            </w:r>
          </w:p>
        </w:tc>
        <w:tc>
          <w:tcPr>
            <w:tcW w:w="697" w:type="pct"/>
            <w:vAlign w:val="center"/>
          </w:tcPr>
          <w:p w:rsidR="00EE56C0" w:rsidRDefault="000F36A1">
            <w:pPr>
              <w:pStyle w:val="afa"/>
              <w:rPr>
                <w:rFonts w:eastAsia="宋体"/>
                <w:u w:val="single"/>
              </w:rPr>
            </w:pPr>
            <w:r>
              <w:rPr>
                <w:u w:val="single"/>
              </w:rPr>
              <w:t xml:space="preserve">0.0014 </w:t>
            </w:r>
          </w:p>
        </w:tc>
        <w:tc>
          <w:tcPr>
            <w:tcW w:w="758" w:type="pct"/>
            <w:vAlign w:val="center"/>
          </w:tcPr>
          <w:p w:rsidR="00EE56C0" w:rsidRDefault="000F36A1">
            <w:pPr>
              <w:pStyle w:val="afa"/>
              <w:rPr>
                <w:rFonts w:eastAsia="宋体"/>
                <w:u w:val="single"/>
              </w:rPr>
            </w:pPr>
            <w:r>
              <w:rPr>
                <w:u w:val="single"/>
              </w:rPr>
              <w:t xml:space="preserve">0.0000 </w:t>
            </w:r>
          </w:p>
        </w:tc>
        <w:tc>
          <w:tcPr>
            <w:tcW w:w="726" w:type="pct"/>
            <w:vAlign w:val="center"/>
          </w:tcPr>
          <w:p w:rsidR="00EE56C0" w:rsidRDefault="000F36A1">
            <w:pPr>
              <w:pStyle w:val="afa"/>
              <w:rPr>
                <w:rFonts w:eastAsia="宋体"/>
                <w:u w:val="single"/>
              </w:rPr>
            </w:pPr>
            <w:r>
              <w:rPr>
                <w:u w:val="single"/>
              </w:rPr>
              <w:t xml:space="preserve">0.0014 </w:t>
            </w:r>
          </w:p>
        </w:tc>
        <w:tc>
          <w:tcPr>
            <w:tcW w:w="725" w:type="pct"/>
            <w:vAlign w:val="center"/>
          </w:tcPr>
          <w:p w:rsidR="00EE56C0" w:rsidRDefault="000F36A1">
            <w:pPr>
              <w:pStyle w:val="afa"/>
              <w:rPr>
                <w:rFonts w:eastAsia="宋体"/>
                <w:u w:val="single"/>
              </w:rPr>
            </w:pPr>
            <w:r>
              <w:rPr>
                <w:u w:val="single"/>
              </w:rPr>
              <w:t xml:space="preserve">0.0002 </w:t>
            </w:r>
          </w:p>
        </w:tc>
        <w:tc>
          <w:tcPr>
            <w:tcW w:w="721" w:type="pct"/>
            <w:vAlign w:val="center"/>
          </w:tcPr>
          <w:p w:rsidR="00EE56C0" w:rsidRDefault="000F36A1">
            <w:pPr>
              <w:pStyle w:val="afa"/>
              <w:rPr>
                <w:rFonts w:ascii="宋体" w:eastAsia="宋体" w:hAnsi="宋体" w:cs="宋体"/>
                <w:u w:val="single"/>
              </w:rPr>
            </w:pPr>
            <w:r>
              <w:rPr>
                <w:rFonts w:hint="eastAsia"/>
                <w:u w:val="single"/>
              </w:rPr>
              <w:t xml:space="preserve">0.0002 </w:t>
            </w:r>
          </w:p>
        </w:tc>
      </w:tr>
      <w:tr w:rsidR="00EE56C0">
        <w:trPr>
          <w:trHeight w:val="397"/>
          <w:jc w:val="center"/>
        </w:trPr>
        <w:tc>
          <w:tcPr>
            <w:tcW w:w="321" w:type="pct"/>
            <w:vMerge/>
            <w:vAlign w:val="center"/>
          </w:tcPr>
          <w:p w:rsidR="00EE56C0" w:rsidRDefault="00EE56C0">
            <w:pPr>
              <w:pStyle w:val="afa"/>
              <w:rPr>
                <w:u w:val="single"/>
              </w:rPr>
            </w:pPr>
          </w:p>
        </w:tc>
        <w:tc>
          <w:tcPr>
            <w:tcW w:w="1052" w:type="pct"/>
            <w:gridSpan w:val="3"/>
            <w:vAlign w:val="center"/>
          </w:tcPr>
          <w:p w:rsidR="00EE56C0" w:rsidRDefault="000F36A1">
            <w:pPr>
              <w:pStyle w:val="afa"/>
              <w:rPr>
                <w:u w:val="single"/>
              </w:rPr>
            </w:pPr>
            <w:r>
              <w:rPr>
                <w:rFonts w:hint="eastAsia"/>
                <w:u w:val="single"/>
              </w:rPr>
              <w:t>TN</w:t>
            </w:r>
          </w:p>
        </w:tc>
        <w:tc>
          <w:tcPr>
            <w:tcW w:w="697" w:type="pct"/>
            <w:vAlign w:val="center"/>
          </w:tcPr>
          <w:p w:rsidR="00EE56C0" w:rsidRDefault="000F36A1">
            <w:pPr>
              <w:pStyle w:val="afa"/>
              <w:rPr>
                <w:rFonts w:eastAsia="宋体"/>
                <w:u w:val="single"/>
              </w:rPr>
            </w:pPr>
            <w:r>
              <w:rPr>
                <w:u w:val="single"/>
              </w:rPr>
              <w:t xml:space="preserve">0.0103 </w:t>
            </w:r>
          </w:p>
        </w:tc>
        <w:tc>
          <w:tcPr>
            <w:tcW w:w="758" w:type="pct"/>
            <w:vAlign w:val="center"/>
          </w:tcPr>
          <w:p w:rsidR="00EE56C0" w:rsidRDefault="000F36A1">
            <w:pPr>
              <w:pStyle w:val="afa"/>
              <w:rPr>
                <w:rFonts w:eastAsia="宋体"/>
                <w:u w:val="single"/>
              </w:rPr>
            </w:pPr>
            <w:r>
              <w:rPr>
                <w:u w:val="single"/>
              </w:rPr>
              <w:t xml:space="preserve">0.0006 </w:t>
            </w:r>
          </w:p>
        </w:tc>
        <w:tc>
          <w:tcPr>
            <w:tcW w:w="726" w:type="pct"/>
            <w:vAlign w:val="center"/>
          </w:tcPr>
          <w:p w:rsidR="00EE56C0" w:rsidRDefault="000F36A1">
            <w:pPr>
              <w:pStyle w:val="afa"/>
              <w:rPr>
                <w:rFonts w:eastAsia="宋体"/>
                <w:u w:val="single"/>
              </w:rPr>
            </w:pPr>
            <w:r>
              <w:rPr>
                <w:u w:val="single"/>
              </w:rPr>
              <w:t xml:space="preserve">0.0098 </w:t>
            </w:r>
          </w:p>
        </w:tc>
        <w:tc>
          <w:tcPr>
            <w:tcW w:w="725" w:type="pct"/>
            <w:vAlign w:val="center"/>
          </w:tcPr>
          <w:p w:rsidR="00EE56C0" w:rsidRDefault="000F36A1">
            <w:pPr>
              <w:pStyle w:val="afa"/>
              <w:rPr>
                <w:rFonts w:eastAsia="宋体"/>
                <w:u w:val="single"/>
              </w:rPr>
            </w:pPr>
            <w:r>
              <w:rPr>
                <w:u w:val="single"/>
              </w:rPr>
              <w:t xml:space="preserve">0.0067 </w:t>
            </w:r>
          </w:p>
        </w:tc>
        <w:tc>
          <w:tcPr>
            <w:tcW w:w="721" w:type="pct"/>
            <w:vAlign w:val="center"/>
          </w:tcPr>
          <w:p w:rsidR="00EE56C0" w:rsidRDefault="000F36A1">
            <w:pPr>
              <w:pStyle w:val="afa"/>
              <w:rPr>
                <w:rFonts w:ascii="宋体" w:eastAsia="宋体" w:hAnsi="宋体" w:cs="宋体"/>
                <w:u w:val="single"/>
              </w:rPr>
            </w:pPr>
            <w:r>
              <w:rPr>
                <w:rFonts w:hint="eastAsia"/>
                <w:u w:val="single"/>
              </w:rPr>
              <w:t xml:space="preserve">0.0067 </w:t>
            </w:r>
          </w:p>
        </w:tc>
      </w:tr>
      <w:tr w:rsidR="00EE56C0">
        <w:trPr>
          <w:trHeight w:val="397"/>
          <w:jc w:val="center"/>
        </w:trPr>
        <w:tc>
          <w:tcPr>
            <w:tcW w:w="321" w:type="pct"/>
            <w:vMerge/>
            <w:vAlign w:val="center"/>
          </w:tcPr>
          <w:p w:rsidR="00EE56C0" w:rsidRDefault="00EE56C0">
            <w:pPr>
              <w:pStyle w:val="afa"/>
              <w:rPr>
                <w:u w:val="single"/>
              </w:rPr>
            </w:pPr>
          </w:p>
        </w:tc>
        <w:tc>
          <w:tcPr>
            <w:tcW w:w="1052" w:type="pct"/>
            <w:gridSpan w:val="3"/>
            <w:vAlign w:val="center"/>
          </w:tcPr>
          <w:p w:rsidR="00EE56C0" w:rsidRDefault="000F36A1">
            <w:pPr>
              <w:pStyle w:val="afa"/>
              <w:rPr>
                <w:u w:val="single"/>
              </w:rPr>
            </w:pPr>
            <w:r>
              <w:rPr>
                <w:u w:val="single"/>
              </w:rPr>
              <w:t>水量（</w:t>
            </w:r>
            <w:r>
              <w:rPr>
                <w:u w:val="single"/>
              </w:rPr>
              <w:t>t/a</w:t>
            </w:r>
            <w:r>
              <w:rPr>
                <w:u w:val="single"/>
              </w:rPr>
              <w:t>）</w:t>
            </w:r>
          </w:p>
        </w:tc>
        <w:tc>
          <w:tcPr>
            <w:tcW w:w="697" w:type="pct"/>
            <w:vAlign w:val="center"/>
          </w:tcPr>
          <w:p w:rsidR="00EE56C0" w:rsidRDefault="000F36A1">
            <w:pPr>
              <w:pStyle w:val="afa"/>
              <w:rPr>
                <w:rFonts w:eastAsia="宋体"/>
                <w:u w:val="single"/>
              </w:rPr>
            </w:pPr>
            <w:r>
              <w:rPr>
                <w:u w:val="single"/>
              </w:rPr>
              <w:t>444</w:t>
            </w:r>
          </w:p>
        </w:tc>
        <w:tc>
          <w:tcPr>
            <w:tcW w:w="758" w:type="pct"/>
            <w:vAlign w:val="center"/>
          </w:tcPr>
          <w:p w:rsidR="00EE56C0" w:rsidRDefault="000F36A1">
            <w:pPr>
              <w:pStyle w:val="afa"/>
              <w:rPr>
                <w:rFonts w:eastAsia="宋体"/>
                <w:u w:val="single"/>
              </w:rPr>
            </w:pPr>
            <w:r>
              <w:rPr>
                <w:u w:val="single"/>
              </w:rPr>
              <w:t>0</w:t>
            </w:r>
          </w:p>
        </w:tc>
        <w:tc>
          <w:tcPr>
            <w:tcW w:w="726" w:type="pct"/>
            <w:vAlign w:val="center"/>
          </w:tcPr>
          <w:p w:rsidR="00EE56C0" w:rsidRDefault="000F36A1">
            <w:pPr>
              <w:pStyle w:val="afa"/>
              <w:rPr>
                <w:rFonts w:eastAsia="宋体"/>
                <w:u w:val="single"/>
              </w:rPr>
            </w:pPr>
            <w:r>
              <w:rPr>
                <w:u w:val="single"/>
              </w:rPr>
              <w:t>444</w:t>
            </w:r>
          </w:p>
        </w:tc>
        <w:tc>
          <w:tcPr>
            <w:tcW w:w="725" w:type="pct"/>
            <w:vAlign w:val="center"/>
          </w:tcPr>
          <w:p w:rsidR="00EE56C0" w:rsidRDefault="000F36A1">
            <w:pPr>
              <w:pStyle w:val="afa"/>
              <w:rPr>
                <w:rFonts w:eastAsia="宋体"/>
                <w:u w:val="single"/>
              </w:rPr>
            </w:pPr>
            <w:r>
              <w:rPr>
                <w:u w:val="single"/>
              </w:rPr>
              <w:t>444</w:t>
            </w:r>
          </w:p>
        </w:tc>
        <w:tc>
          <w:tcPr>
            <w:tcW w:w="721" w:type="pct"/>
            <w:vAlign w:val="center"/>
          </w:tcPr>
          <w:p w:rsidR="00EE56C0" w:rsidRDefault="000F36A1">
            <w:pPr>
              <w:pStyle w:val="afa"/>
              <w:rPr>
                <w:u w:val="single"/>
              </w:rPr>
            </w:pPr>
            <w:r>
              <w:rPr>
                <w:u w:val="single"/>
              </w:rPr>
              <w:t>444</w:t>
            </w:r>
          </w:p>
        </w:tc>
      </w:tr>
      <w:tr w:rsidR="00EE56C0">
        <w:trPr>
          <w:trHeight w:val="397"/>
          <w:jc w:val="center"/>
        </w:trPr>
        <w:tc>
          <w:tcPr>
            <w:tcW w:w="321" w:type="pct"/>
            <w:vMerge w:val="restart"/>
            <w:tcBorders>
              <w:top w:val="single" w:sz="4" w:space="0" w:color="auto"/>
            </w:tcBorders>
            <w:vAlign w:val="center"/>
          </w:tcPr>
          <w:p w:rsidR="00EE56C0" w:rsidRDefault="000F36A1">
            <w:pPr>
              <w:pStyle w:val="afa"/>
              <w:rPr>
                <w:u w:val="single"/>
              </w:rPr>
            </w:pPr>
            <w:r>
              <w:rPr>
                <w:u w:val="single"/>
              </w:rPr>
              <w:t>废气</w:t>
            </w:r>
          </w:p>
        </w:tc>
        <w:tc>
          <w:tcPr>
            <w:tcW w:w="267" w:type="pct"/>
            <w:vMerge w:val="restart"/>
            <w:tcBorders>
              <w:top w:val="single" w:sz="4" w:space="0" w:color="auto"/>
              <w:right w:val="single" w:sz="4" w:space="0" w:color="auto"/>
            </w:tcBorders>
            <w:vAlign w:val="center"/>
          </w:tcPr>
          <w:p w:rsidR="00EE56C0" w:rsidRDefault="000F36A1">
            <w:pPr>
              <w:pStyle w:val="afa"/>
              <w:rPr>
                <w:u w:val="single"/>
              </w:rPr>
            </w:pPr>
            <w:r>
              <w:rPr>
                <w:rFonts w:hint="eastAsia"/>
                <w:u w:val="single"/>
              </w:rPr>
              <w:t>有组织</w:t>
            </w:r>
          </w:p>
        </w:tc>
        <w:tc>
          <w:tcPr>
            <w:tcW w:w="222" w:type="pct"/>
            <w:vMerge w:val="restart"/>
            <w:tcBorders>
              <w:left w:val="single" w:sz="4" w:space="0" w:color="auto"/>
              <w:right w:val="single" w:sz="4" w:space="0" w:color="auto"/>
            </w:tcBorders>
            <w:vAlign w:val="center"/>
          </w:tcPr>
          <w:p w:rsidR="00EE56C0" w:rsidRDefault="000F36A1">
            <w:pPr>
              <w:pStyle w:val="afa"/>
              <w:rPr>
                <w:u w:val="single"/>
              </w:rPr>
            </w:pPr>
            <w:r>
              <w:rPr>
                <w:rFonts w:hint="eastAsia"/>
                <w:u w:val="single"/>
              </w:rPr>
              <w:t>VOCs</w:t>
            </w:r>
          </w:p>
        </w:tc>
        <w:tc>
          <w:tcPr>
            <w:tcW w:w="563" w:type="pct"/>
            <w:tcBorders>
              <w:left w:val="single" w:sz="4" w:space="0" w:color="auto"/>
            </w:tcBorders>
            <w:vAlign w:val="center"/>
          </w:tcPr>
          <w:p w:rsidR="00EE56C0" w:rsidRDefault="000F36A1">
            <w:pPr>
              <w:pStyle w:val="afa"/>
              <w:rPr>
                <w:u w:val="single"/>
              </w:rPr>
            </w:pPr>
            <w:r>
              <w:rPr>
                <w:rFonts w:hint="eastAsia"/>
                <w:u w:val="single"/>
              </w:rPr>
              <w:t>酚</w:t>
            </w:r>
          </w:p>
        </w:tc>
        <w:tc>
          <w:tcPr>
            <w:tcW w:w="697" w:type="pct"/>
            <w:vAlign w:val="center"/>
          </w:tcPr>
          <w:p w:rsidR="00EE56C0" w:rsidRDefault="000F36A1">
            <w:pPr>
              <w:pStyle w:val="afa"/>
              <w:rPr>
                <w:rFonts w:eastAsia="宋体"/>
                <w:u w:val="single"/>
              </w:rPr>
            </w:pPr>
            <w:r>
              <w:rPr>
                <w:u w:val="single"/>
              </w:rPr>
              <w:t>132.94</w:t>
            </w:r>
          </w:p>
        </w:tc>
        <w:tc>
          <w:tcPr>
            <w:tcW w:w="758" w:type="pct"/>
            <w:vAlign w:val="center"/>
          </w:tcPr>
          <w:p w:rsidR="00EE56C0" w:rsidRDefault="000F36A1">
            <w:pPr>
              <w:pStyle w:val="afa"/>
              <w:rPr>
                <w:rFonts w:eastAsia="宋体"/>
                <w:u w:val="single"/>
              </w:rPr>
            </w:pPr>
            <w:r>
              <w:rPr>
                <w:u w:val="single"/>
              </w:rPr>
              <w:t xml:space="preserve">132.9099 </w:t>
            </w:r>
          </w:p>
        </w:tc>
        <w:tc>
          <w:tcPr>
            <w:tcW w:w="726" w:type="pct"/>
            <w:vAlign w:val="center"/>
          </w:tcPr>
          <w:p w:rsidR="00EE56C0" w:rsidRDefault="000F36A1">
            <w:pPr>
              <w:pStyle w:val="afa"/>
              <w:rPr>
                <w:rFonts w:eastAsia="宋体"/>
                <w:u w:val="single"/>
              </w:rPr>
            </w:pPr>
            <w:r>
              <w:rPr>
                <w:u w:val="single"/>
              </w:rPr>
              <w:t xml:space="preserve">0.0301 </w:t>
            </w:r>
          </w:p>
        </w:tc>
        <w:tc>
          <w:tcPr>
            <w:tcW w:w="725" w:type="pct"/>
            <w:vAlign w:val="center"/>
          </w:tcPr>
          <w:p w:rsidR="00EE56C0" w:rsidRDefault="000F36A1">
            <w:pPr>
              <w:pStyle w:val="afa"/>
              <w:rPr>
                <w:rFonts w:eastAsia="宋体"/>
                <w:u w:val="single"/>
              </w:rPr>
            </w:pPr>
            <w:r>
              <w:rPr>
                <w:u w:val="single"/>
              </w:rPr>
              <w:t xml:space="preserve">0.0301 </w:t>
            </w:r>
          </w:p>
        </w:tc>
        <w:tc>
          <w:tcPr>
            <w:tcW w:w="721" w:type="pct"/>
            <w:vAlign w:val="center"/>
          </w:tcPr>
          <w:p w:rsidR="00EE56C0" w:rsidRDefault="000F36A1">
            <w:pPr>
              <w:pStyle w:val="afa"/>
              <w:rPr>
                <w:rFonts w:eastAsia="宋体"/>
                <w:u w:val="single"/>
              </w:rPr>
            </w:pPr>
            <w:r>
              <w:rPr>
                <w:u w:val="single"/>
              </w:rPr>
              <w:t xml:space="preserve">0.0301 </w:t>
            </w:r>
          </w:p>
        </w:tc>
      </w:tr>
      <w:tr w:rsidR="00EE56C0">
        <w:trPr>
          <w:trHeight w:val="397"/>
          <w:jc w:val="center"/>
        </w:trPr>
        <w:tc>
          <w:tcPr>
            <w:tcW w:w="321" w:type="pct"/>
            <w:vMerge/>
            <w:vAlign w:val="center"/>
          </w:tcPr>
          <w:p w:rsidR="00EE56C0" w:rsidRDefault="00EE56C0">
            <w:pPr>
              <w:pStyle w:val="afa"/>
              <w:rPr>
                <w:u w:val="single"/>
              </w:rPr>
            </w:pPr>
          </w:p>
        </w:tc>
        <w:tc>
          <w:tcPr>
            <w:tcW w:w="267" w:type="pct"/>
            <w:vMerge/>
            <w:tcBorders>
              <w:right w:val="single" w:sz="4" w:space="0" w:color="auto"/>
            </w:tcBorders>
            <w:vAlign w:val="center"/>
          </w:tcPr>
          <w:p w:rsidR="00EE56C0" w:rsidRDefault="00EE56C0">
            <w:pPr>
              <w:pStyle w:val="afa"/>
              <w:rPr>
                <w:u w:val="single"/>
              </w:rPr>
            </w:pPr>
          </w:p>
        </w:tc>
        <w:tc>
          <w:tcPr>
            <w:tcW w:w="222" w:type="pct"/>
            <w:vMerge/>
            <w:tcBorders>
              <w:left w:val="single" w:sz="4" w:space="0" w:color="auto"/>
              <w:right w:val="single" w:sz="4" w:space="0" w:color="auto"/>
            </w:tcBorders>
            <w:vAlign w:val="center"/>
          </w:tcPr>
          <w:p w:rsidR="00EE56C0" w:rsidRDefault="00EE56C0">
            <w:pPr>
              <w:pStyle w:val="afa"/>
              <w:rPr>
                <w:u w:val="single"/>
              </w:rPr>
            </w:pPr>
          </w:p>
        </w:tc>
        <w:tc>
          <w:tcPr>
            <w:tcW w:w="563" w:type="pct"/>
            <w:tcBorders>
              <w:left w:val="single" w:sz="4" w:space="0" w:color="auto"/>
            </w:tcBorders>
            <w:vAlign w:val="center"/>
          </w:tcPr>
          <w:p w:rsidR="00EE56C0" w:rsidRDefault="000F36A1">
            <w:pPr>
              <w:pStyle w:val="afa"/>
              <w:rPr>
                <w:u w:val="single"/>
              </w:rPr>
            </w:pPr>
            <w:r>
              <w:rPr>
                <w:u w:val="single"/>
              </w:rPr>
              <w:t>非甲烷总烃</w:t>
            </w:r>
          </w:p>
        </w:tc>
        <w:tc>
          <w:tcPr>
            <w:tcW w:w="697" w:type="pct"/>
            <w:vAlign w:val="center"/>
          </w:tcPr>
          <w:p w:rsidR="00EE56C0" w:rsidRDefault="000F36A1">
            <w:pPr>
              <w:pStyle w:val="afa"/>
              <w:rPr>
                <w:rFonts w:eastAsia="宋体"/>
                <w:u w:val="single"/>
              </w:rPr>
            </w:pPr>
            <w:r>
              <w:rPr>
                <w:u w:val="single"/>
              </w:rPr>
              <w:t xml:space="preserve">85.8750 </w:t>
            </w:r>
          </w:p>
        </w:tc>
        <w:tc>
          <w:tcPr>
            <w:tcW w:w="758" w:type="pct"/>
            <w:vAlign w:val="center"/>
          </w:tcPr>
          <w:p w:rsidR="00EE56C0" w:rsidRDefault="000F36A1">
            <w:pPr>
              <w:pStyle w:val="afa"/>
              <w:rPr>
                <w:rFonts w:eastAsia="宋体"/>
                <w:u w:val="single"/>
              </w:rPr>
            </w:pPr>
            <w:r>
              <w:rPr>
                <w:u w:val="single"/>
              </w:rPr>
              <w:t xml:space="preserve">85.7734 </w:t>
            </w:r>
          </w:p>
        </w:tc>
        <w:tc>
          <w:tcPr>
            <w:tcW w:w="726" w:type="pct"/>
            <w:vAlign w:val="center"/>
          </w:tcPr>
          <w:p w:rsidR="00EE56C0" w:rsidRDefault="000F36A1">
            <w:pPr>
              <w:pStyle w:val="afa"/>
              <w:rPr>
                <w:rFonts w:eastAsia="宋体"/>
                <w:u w:val="single"/>
              </w:rPr>
            </w:pPr>
            <w:r>
              <w:rPr>
                <w:u w:val="single"/>
              </w:rPr>
              <w:t xml:space="preserve">0.1016 </w:t>
            </w:r>
          </w:p>
        </w:tc>
        <w:tc>
          <w:tcPr>
            <w:tcW w:w="725" w:type="pct"/>
            <w:vAlign w:val="center"/>
          </w:tcPr>
          <w:p w:rsidR="00EE56C0" w:rsidRDefault="000F36A1">
            <w:pPr>
              <w:pStyle w:val="afa"/>
              <w:rPr>
                <w:rFonts w:eastAsia="宋体"/>
                <w:u w:val="single"/>
              </w:rPr>
            </w:pPr>
            <w:r>
              <w:rPr>
                <w:u w:val="single"/>
              </w:rPr>
              <w:t xml:space="preserve">0.1016 </w:t>
            </w:r>
          </w:p>
        </w:tc>
        <w:tc>
          <w:tcPr>
            <w:tcW w:w="721" w:type="pct"/>
            <w:vAlign w:val="center"/>
          </w:tcPr>
          <w:p w:rsidR="00EE56C0" w:rsidRDefault="000F36A1">
            <w:pPr>
              <w:pStyle w:val="afa"/>
              <w:rPr>
                <w:rFonts w:eastAsia="宋体"/>
                <w:u w:val="single"/>
              </w:rPr>
            </w:pPr>
            <w:r>
              <w:rPr>
                <w:u w:val="single"/>
              </w:rPr>
              <w:t xml:space="preserve">0.1016 </w:t>
            </w:r>
          </w:p>
        </w:tc>
      </w:tr>
      <w:tr w:rsidR="00EE56C0">
        <w:trPr>
          <w:trHeight w:val="397"/>
          <w:jc w:val="center"/>
        </w:trPr>
        <w:tc>
          <w:tcPr>
            <w:tcW w:w="321" w:type="pct"/>
            <w:vMerge/>
            <w:vAlign w:val="center"/>
          </w:tcPr>
          <w:p w:rsidR="00EE56C0" w:rsidRDefault="00EE56C0">
            <w:pPr>
              <w:pStyle w:val="afa"/>
              <w:rPr>
                <w:u w:val="single"/>
              </w:rPr>
            </w:pPr>
          </w:p>
        </w:tc>
        <w:tc>
          <w:tcPr>
            <w:tcW w:w="267" w:type="pct"/>
            <w:vMerge/>
            <w:tcBorders>
              <w:right w:val="single" w:sz="4" w:space="0" w:color="auto"/>
            </w:tcBorders>
            <w:vAlign w:val="center"/>
          </w:tcPr>
          <w:p w:rsidR="00EE56C0" w:rsidRDefault="00EE56C0">
            <w:pPr>
              <w:pStyle w:val="afa"/>
              <w:rPr>
                <w:u w:val="single"/>
              </w:rPr>
            </w:pPr>
          </w:p>
        </w:tc>
        <w:tc>
          <w:tcPr>
            <w:tcW w:w="222" w:type="pct"/>
            <w:vMerge/>
            <w:tcBorders>
              <w:left w:val="single" w:sz="4" w:space="0" w:color="auto"/>
              <w:right w:val="single" w:sz="4" w:space="0" w:color="auto"/>
            </w:tcBorders>
            <w:vAlign w:val="center"/>
          </w:tcPr>
          <w:p w:rsidR="00EE56C0" w:rsidRDefault="00EE56C0">
            <w:pPr>
              <w:pStyle w:val="afa"/>
              <w:rPr>
                <w:u w:val="single"/>
              </w:rPr>
            </w:pPr>
          </w:p>
        </w:tc>
        <w:tc>
          <w:tcPr>
            <w:tcW w:w="563" w:type="pct"/>
            <w:tcBorders>
              <w:left w:val="single" w:sz="4" w:space="0" w:color="auto"/>
            </w:tcBorders>
            <w:vAlign w:val="center"/>
          </w:tcPr>
          <w:p w:rsidR="00EE56C0" w:rsidRDefault="000F36A1">
            <w:pPr>
              <w:pStyle w:val="afa"/>
              <w:rPr>
                <w:u w:val="single"/>
              </w:rPr>
            </w:pPr>
            <w:r>
              <w:rPr>
                <w:rFonts w:hint="eastAsia"/>
                <w:u w:val="single"/>
              </w:rPr>
              <w:t>二甲苯</w:t>
            </w:r>
          </w:p>
        </w:tc>
        <w:tc>
          <w:tcPr>
            <w:tcW w:w="697" w:type="pct"/>
            <w:vAlign w:val="center"/>
          </w:tcPr>
          <w:p w:rsidR="00EE56C0" w:rsidRDefault="000F36A1">
            <w:pPr>
              <w:pStyle w:val="afa"/>
              <w:rPr>
                <w:rFonts w:eastAsia="宋体"/>
                <w:u w:val="single"/>
              </w:rPr>
            </w:pPr>
            <w:r>
              <w:rPr>
                <w:u w:val="single"/>
              </w:rPr>
              <w:t xml:space="preserve">25.5150 </w:t>
            </w:r>
          </w:p>
        </w:tc>
        <w:tc>
          <w:tcPr>
            <w:tcW w:w="758" w:type="pct"/>
            <w:vAlign w:val="center"/>
          </w:tcPr>
          <w:p w:rsidR="00EE56C0" w:rsidRDefault="000F36A1">
            <w:pPr>
              <w:pStyle w:val="afa"/>
              <w:rPr>
                <w:rFonts w:eastAsia="宋体"/>
                <w:u w:val="single"/>
              </w:rPr>
            </w:pPr>
            <w:r>
              <w:rPr>
                <w:u w:val="single"/>
              </w:rPr>
              <w:t xml:space="preserve">25.2906 </w:t>
            </w:r>
          </w:p>
        </w:tc>
        <w:tc>
          <w:tcPr>
            <w:tcW w:w="726" w:type="pct"/>
            <w:vAlign w:val="center"/>
          </w:tcPr>
          <w:p w:rsidR="00EE56C0" w:rsidRDefault="000F36A1">
            <w:pPr>
              <w:pStyle w:val="afa"/>
              <w:rPr>
                <w:rFonts w:eastAsia="宋体"/>
                <w:u w:val="single"/>
              </w:rPr>
            </w:pPr>
            <w:r>
              <w:rPr>
                <w:u w:val="single"/>
              </w:rPr>
              <w:t xml:space="preserve">0.2244 </w:t>
            </w:r>
          </w:p>
        </w:tc>
        <w:tc>
          <w:tcPr>
            <w:tcW w:w="725" w:type="pct"/>
            <w:vAlign w:val="center"/>
          </w:tcPr>
          <w:p w:rsidR="00EE56C0" w:rsidRDefault="000F36A1">
            <w:pPr>
              <w:pStyle w:val="afa"/>
              <w:rPr>
                <w:rFonts w:eastAsia="宋体"/>
                <w:u w:val="single"/>
              </w:rPr>
            </w:pPr>
            <w:r>
              <w:rPr>
                <w:u w:val="single"/>
              </w:rPr>
              <w:t xml:space="preserve">0.2244 </w:t>
            </w:r>
          </w:p>
        </w:tc>
        <w:tc>
          <w:tcPr>
            <w:tcW w:w="721" w:type="pct"/>
            <w:vAlign w:val="center"/>
          </w:tcPr>
          <w:p w:rsidR="00EE56C0" w:rsidRDefault="000F36A1">
            <w:pPr>
              <w:pStyle w:val="afa"/>
              <w:rPr>
                <w:rFonts w:eastAsia="宋体"/>
                <w:u w:val="single"/>
              </w:rPr>
            </w:pPr>
            <w:r>
              <w:rPr>
                <w:u w:val="single"/>
              </w:rPr>
              <w:t xml:space="preserve">0.2244 </w:t>
            </w:r>
          </w:p>
        </w:tc>
      </w:tr>
      <w:tr w:rsidR="00EE56C0">
        <w:trPr>
          <w:trHeight w:val="397"/>
          <w:jc w:val="center"/>
        </w:trPr>
        <w:tc>
          <w:tcPr>
            <w:tcW w:w="321" w:type="pct"/>
            <w:vMerge/>
            <w:vAlign w:val="center"/>
          </w:tcPr>
          <w:p w:rsidR="00EE56C0" w:rsidRDefault="00EE56C0">
            <w:pPr>
              <w:pStyle w:val="afa"/>
              <w:rPr>
                <w:u w:val="single"/>
              </w:rPr>
            </w:pPr>
          </w:p>
        </w:tc>
        <w:tc>
          <w:tcPr>
            <w:tcW w:w="267" w:type="pct"/>
            <w:vMerge/>
            <w:tcBorders>
              <w:right w:val="single" w:sz="4" w:space="0" w:color="auto"/>
            </w:tcBorders>
            <w:vAlign w:val="center"/>
          </w:tcPr>
          <w:p w:rsidR="00EE56C0" w:rsidRDefault="00EE56C0">
            <w:pPr>
              <w:pStyle w:val="afa"/>
              <w:rPr>
                <w:u w:val="single"/>
              </w:rPr>
            </w:pPr>
          </w:p>
        </w:tc>
        <w:tc>
          <w:tcPr>
            <w:tcW w:w="222" w:type="pct"/>
            <w:vMerge/>
            <w:tcBorders>
              <w:left w:val="single" w:sz="4" w:space="0" w:color="auto"/>
              <w:right w:val="single" w:sz="4" w:space="0" w:color="auto"/>
            </w:tcBorders>
            <w:vAlign w:val="center"/>
          </w:tcPr>
          <w:p w:rsidR="00EE56C0" w:rsidRDefault="00EE56C0">
            <w:pPr>
              <w:pStyle w:val="afa"/>
              <w:rPr>
                <w:u w:val="single"/>
              </w:rPr>
            </w:pPr>
          </w:p>
        </w:tc>
        <w:tc>
          <w:tcPr>
            <w:tcW w:w="563" w:type="pct"/>
            <w:tcBorders>
              <w:left w:val="single" w:sz="4" w:space="0" w:color="auto"/>
            </w:tcBorders>
            <w:vAlign w:val="center"/>
          </w:tcPr>
          <w:p w:rsidR="00EE56C0" w:rsidRDefault="000F36A1">
            <w:pPr>
              <w:pStyle w:val="afa"/>
              <w:rPr>
                <w:u w:val="single"/>
              </w:rPr>
            </w:pPr>
            <w:r>
              <w:rPr>
                <w:rFonts w:hint="eastAsia"/>
                <w:u w:val="single"/>
              </w:rPr>
              <w:t>甲苯</w:t>
            </w:r>
          </w:p>
        </w:tc>
        <w:tc>
          <w:tcPr>
            <w:tcW w:w="697" w:type="pct"/>
            <w:vAlign w:val="center"/>
          </w:tcPr>
          <w:p w:rsidR="00EE56C0" w:rsidRDefault="000F36A1">
            <w:pPr>
              <w:pStyle w:val="afa"/>
              <w:rPr>
                <w:rFonts w:eastAsia="宋体"/>
                <w:u w:val="single"/>
              </w:rPr>
            </w:pPr>
            <w:r>
              <w:rPr>
                <w:u w:val="single"/>
              </w:rPr>
              <w:t>17.595</w:t>
            </w:r>
          </w:p>
        </w:tc>
        <w:tc>
          <w:tcPr>
            <w:tcW w:w="758" w:type="pct"/>
            <w:vAlign w:val="center"/>
          </w:tcPr>
          <w:p w:rsidR="00EE56C0" w:rsidRDefault="000F36A1">
            <w:pPr>
              <w:pStyle w:val="afa"/>
              <w:rPr>
                <w:rFonts w:eastAsia="宋体"/>
                <w:u w:val="single"/>
              </w:rPr>
            </w:pPr>
            <w:r>
              <w:rPr>
                <w:u w:val="single"/>
              </w:rPr>
              <w:t xml:space="preserve">17.3738 </w:t>
            </w:r>
          </w:p>
        </w:tc>
        <w:tc>
          <w:tcPr>
            <w:tcW w:w="726" w:type="pct"/>
            <w:vAlign w:val="center"/>
          </w:tcPr>
          <w:p w:rsidR="00EE56C0" w:rsidRDefault="000F36A1">
            <w:pPr>
              <w:pStyle w:val="afa"/>
              <w:rPr>
                <w:rFonts w:eastAsia="宋体"/>
                <w:u w:val="single"/>
              </w:rPr>
            </w:pPr>
            <w:r>
              <w:rPr>
                <w:u w:val="single"/>
              </w:rPr>
              <w:t xml:space="preserve">0.2212 </w:t>
            </w:r>
          </w:p>
        </w:tc>
        <w:tc>
          <w:tcPr>
            <w:tcW w:w="725" w:type="pct"/>
            <w:vAlign w:val="center"/>
          </w:tcPr>
          <w:p w:rsidR="00EE56C0" w:rsidRDefault="000F36A1">
            <w:pPr>
              <w:pStyle w:val="afa"/>
              <w:rPr>
                <w:rFonts w:eastAsia="宋体"/>
                <w:u w:val="single"/>
              </w:rPr>
            </w:pPr>
            <w:r>
              <w:rPr>
                <w:u w:val="single"/>
              </w:rPr>
              <w:t xml:space="preserve">0.2212 </w:t>
            </w:r>
          </w:p>
        </w:tc>
        <w:tc>
          <w:tcPr>
            <w:tcW w:w="721" w:type="pct"/>
            <w:vAlign w:val="center"/>
          </w:tcPr>
          <w:p w:rsidR="00EE56C0" w:rsidRDefault="000F36A1">
            <w:pPr>
              <w:pStyle w:val="afa"/>
              <w:rPr>
                <w:rFonts w:eastAsia="宋体"/>
                <w:u w:val="single"/>
              </w:rPr>
            </w:pPr>
            <w:r>
              <w:rPr>
                <w:u w:val="single"/>
              </w:rPr>
              <w:t xml:space="preserve">0.2212 </w:t>
            </w:r>
          </w:p>
        </w:tc>
      </w:tr>
      <w:tr w:rsidR="00EE56C0">
        <w:trPr>
          <w:trHeight w:val="397"/>
          <w:jc w:val="center"/>
        </w:trPr>
        <w:tc>
          <w:tcPr>
            <w:tcW w:w="321" w:type="pct"/>
            <w:vMerge/>
            <w:vAlign w:val="center"/>
          </w:tcPr>
          <w:p w:rsidR="00EE56C0" w:rsidRDefault="00EE56C0">
            <w:pPr>
              <w:pStyle w:val="afa"/>
              <w:rPr>
                <w:u w:val="single"/>
              </w:rPr>
            </w:pPr>
          </w:p>
        </w:tc>
        <w:tc>
          <w:tcPr>
            <w:tcW w:w="267" w:type="pct"/>
            <w:vMerge/>
            <w:tcBorders>
              <w:right w:val="single" w:sz="4" w:space="0" w:color="auto"/>
            </w:tcBorders>
            <w:vAlign w:val="center"/>
          </w:tcPr>
          <w:p w:rsidR="00EE56C0" w:rsidRDefault="00EE56C0">
            <w:pPr>
              <w:pStyle w:val="afa"/>
              <w:rPr>
                <w:u w:val="single"/>
              </w:rPr>
            </w:pPr>
          </w:p>
        </w:tc>
        <w:tc>
          <w:tcPr>
            <w:tcW w:w="222" w:type="pct"/>
            <w:vMerge/>
            <w:tcBorders>
              <w:left w:val="single" w:sz="4" w:space="0" w:color="auto"/>
              <w:right w:val="single" w:sz="4" w:space="0" w:color="auto"/>
            </w:tcBorders>
            <w:vAlign w:val="center"/>
          </w:tcPr>
          <w:p w:rsidR="00EE56C0" w:rsidRDefault="00EE56C0">
            <w:pPr>
              <w:pStyle w:val="afa"/>
              <w:rPr>
                <w:highlight w:val="yellow"/>
                <w:u w:val="single"/>
              </w:rPr>
            </w:pPr>
          </w:p>
        </w:tc>
        <w:tc>
          <w:tcPr>
            <w:tcW w:w="563" w:type="pct"/>
            <w:tcBorders>
              <w:left w:val="single" w:sz="4" w:space="0" w:color="auto"/>
            </w:tcBorders>
            <w:vAlign w:val="center"/>
          </w:tcPr>
          <w:p w:rsidR="00EE56C0" w:rsidRDefault="000F36A1">
            <w:pPr>
              <w:pStyle w:val="afa"/>
              <w:rPr>
                <w:highlight w:val="yellow"/>
                <w:u w:val="single"/>
              </w:rPr>
            </w:pPr>
            <w:r>
              <w:rPr>
                <w:rFonts w:hint="eastAsia"/>
                <w:u w:val="single"/>
              </w:rPr>
              <w:t>苯</w:t>
            </w:r>
          </w:p>
        </w:tc>
        <w:tc>
          <w:tcPr>
            <w:tcW w:w="697" w:type="pct"/>
            <w:vAlign w:val="center"/>
          </w:tcPr>
          <w:p w:rsidR="00EE56C0" w:rsidRDefault="000F36A1">
            <w:pPr>
              <w:pStyle w:val="afa"/>
              <w:rPr>
                <w:rFonts w:eastAsia="宋体"/>
                <w:u w:val="single"/>
              </w:rPr>
            </w:pPr>
            <w:r>
              <w:rPr>
                <w:u w:val="single"/>
              </w:rPr>
              <w:t xml:space="preserve">3.7050 </w:t>
            </w:r>
          </w:p>
        </w:tc>
        <w:tc>
          <w:tcPr>
            <w:tcW w:w="758" w:type="pct"/>
            <w:vAlign w:val="center"/>
          </w:tcPr>
          <w:p w:rsidR="00EE56C0" w:rsidRDefault="000F36A1">
            <w:pPr>
              <w:pStyle w:val="afa"/>
              <w:rPr>
                <w:rFonts w:eastAsia="宋体"/>
                <w:u w:val="single"/>
              </w:rPr>
            </w:pPr>
            <w:r>
              <w:rPr>
                <w:u w:val="single"/>
              </w:rPr>
              <w:t xml:space="preserve">3.6313 </w:t>
            </w:r>
          </w:p>
        </w:tc>
        <w:tc>
          <w:tcPr>
            <w:tcW w:w="726" w:type="pct"/>
            <w:vAlign w:val="center"/>
          </w:tcPr>
          <w:p w:rsidR="00EE56C0" w:rsidRDefault="000F36A1">
            <w:pPr>
              <w:pStyle w:val="afa"/>
              <w:rPr>
                <w:rFonts w:eastAsia="宋体"/>
                <w:u w:val="single"/>
              </w:rPr>
            </w:pPr>
            <w:r>
              <w:rPr>
                <w:u w:val="single"/>
              </w:rPr>
              <w:t xml:space="preserve">0.0737 </w:t>
            </w:r>
          </w:p>
        </w:tc>
        <w:tc>
          <w:tcPr>
            <w:tcW w:w="725" w:type="pct"/>
            <w:vAlign w:val="center"/>
          </w:tcPr>
          <w:p w:rsidR="00EE56C0" w:rsidRDefault="000F36A1">
            <w:pPr>
              <w:pStyle w:val="afa"/>
              <w:rPr>
                <w:rFonts w:eastAsia="宋体"/>
                <w:u w:val="single"/>
              </w:rPr>
            </w:pPr>
            <w:r>
              <w:rPr>
                <w:u w:val="single"/>
              </w:rPr>
              <w:t xml:space="preserve">0.0737 </w:t>
            </w:r>
          </w:p>
        </w:tc>
        <w:tc>
          <w:tcPr>
            <w:tcW w:w="721" w:type="pct"/>
            <w:vAlign w:val="center"/>
          </w:tcPr>
          <w:p w:rsidR="00EE56C0" w:rsidRDefault="000F36A1">
            <w:pPr>
              <w:pStyle w:val="afa"/>
              <w:rPr>
                <w:rFonts w:eastAsia="宋体"/>
                <w:u w:val="single"/>
              </w:rPr>
            </w:pPr>
            <w:r>
              <w:rPr>
                <w:u w:val="single"/>
              </w:rPr>
              <w:t xml:space="preserve">0.0737 </w:t>
            </w:r>
          </w:p>
        </w:tc>
      </w:tr>
      <w:tr w:rsidR="00EE56C0">
        <w:trPr>
          <w:trHeight w:val="397"/>
          <w:jc w:val="center"/>
        </w:trPr>
        <w:tc>
          <w:tcPr>
            <w:tcW w:w="321" w:type="pct"/>
            <w:vMerge/>
            <w:vAlign w:val="center"/>
          </w:tcPr>
          <w:p w:rsidR="00EE56C0" w:rsidRDefault="00EE56C0">
            <w:pPr>
              <w:pStyle w:val="afa"/>
              <w:rPr>
                <w:u w:val="single"/>
              </w:rPr>
            </w:pPr>
          </w:p>
        </w:tc>
        <w:tc>
          <w:tcPr>
            <w:tcW w:w="267" w:type="pct"/>
            <w:vMerge/>
            <w:tcBorders>
              <w:right w:val="single" w:sz="4" w:space="0" w:color="auto"/>
            </w:tcBorders>
            <w:vAlign w:val="center"/>
          </w:tcPr>
          <w:p w:rsidR="00EE56C0" w:rsidRDefault="00EE56C0">
            <w:pPr>
              <w:pStyle w:val="afa"/>
              <w:rPr>
                <w:u w:val="single"/>
              </w:rPr>
            </w:pPr>
          </w:p>
        </w:tc>
        <w:tc>
          <w:tcPr>
            <w:tcW w:w="222" w:type="pct"/>
            <w:vMerge/>
            <w:tcBorders>
              <w:left w:val="single" w:sz="4" w:space="0" w:color="auto"/>
              <w:right w:val="single" w:sz="4" w:space="0" w:color="auto"/>
            </w:tcBorders>
            <w:vAlign w:val="center"/>
          </w:tcPr>
          <w:p w:rsidR="00EE56C0" w:rsidRDefault="00EE56C0">
            <w:pPr>
              <w:pStyle w:val="afa"/>
              <w:rPr>
                <w:u w:val="single"/>
              </w:rPr>
            </w:pPr>
          </w:p>
        </w:tc>
        <w:tc>
          <w:tcPr>
            <w:tcW w:w="563" w:type="pct"/>
            <w:tcBorders>
              <w:left w:val="single" w:sz="4" w:space="0" w:color="auto"/>
            </w:tcBorders>
            <w:vAlign w:val="center"/>
          </w:tcPr>
          <w:p w:rsidR="00EE56C0" w:rsidRDefault="000F36A1">
            <w:pPr>
              <w:pStyle w:val="afa"/>
              <w:rPr>
                <w:u w:val="single"/>
              </w:rPr>
            </w:pPr>
            <w:r>
              <w:rPr>
                <w:rFonts w:hint="eastAsia"/>
                <w:u w:val="single"/>
              </w:rPr>
              <w:t>合计</w:t>
            </w:r>
          </w:p>
        </w:tc>
        <w:tc>
          <w:tcPr>
            <w:tcW w:w="697" w:type="pct"/>
            <w:vAlign w:val="center"/>
          </w:tcPr>
          <w:p w:rsidR="00EE56C0" w:rsidRDefault="000F36A1">
            <w:pPr>
              <w:pStyle w:val="afa"/>
              <w:rPr>
                <w:rFonts w:eastAsia="宋体"/>
                <w:u w:val="single"/>
              </w:rPr>
            </w:pPr>
            <w:r>
              <w:rPr>
                <w:u w:val="single"/>
              </w:rPr>
              <w:t xml:space="preserve">265.6300 </w:t>
            </w:r>
          </w:p>
        </w:tc>
        <w:tc>
          <w:tcPr>
            <w:tcW w:w="758" w:type="pct"/>
            <w:vAlign w:val="center"/>
          </w:tcPr>
          <w:p w:rsidR="00EE56C0" w:rsidRDefault="000F36A1">
            <w:pPr>
              <w:pStyle w:val="afa"/>
              <w:rPr>
                <w:rFonts w:eastAsia="宋体"/>
                <w:u w:val="single"/>
              </w:rPr>
            </w:pPr>
            <w:r>
              <w:rPr>
                <w:u w:val="single"/>
              </w:rPr>
              <w:t xml:space="preserve">264.9790 </w:t>
            </w:r>
          </w:p>
        </w:tc>
        <w:tc>
          <w:tcPr>
            <w:tcW w:w="726" w:type="pct"/>
            <w:vAlign w:val="center"/>
          </w:tcPr>
          <w:p w:rsidR="00EE56C0" w:rsidRDefault="000F36A1">
            <w:pPr>
              <w:pStyle w:val="afa"/>
              <w:rPr>
                <w:rFonts w:eastAsia="宋体"/>
                <w:u w:val="single"/>
              </w:rPr>
            </w:pPr>
            <w:r>
              <w:rPr>
                <w:u w:val="single"/>
              </w:rPr>
              <w:t xml:space="preserve">0.6510 </w:t>
            </w:r>
          </w:p>
        </w:tc>
        <w:tc>
          <w:tcPr>
            <w:tcW w:w="725" w:type="pct"/>
            <w:vAlign w:val="center"/>
          </w:tcPr>
          <w:p w:rsidR="00EE56C0" w:rsidRDefault="000F36A1">
            <w:pPr>
              <w:pStyle w:val="afa"/>
              <w:rPr>
                <w:rFonts w:eastAsia="宋体"/>
                <w:u w:val="single"/>
              </w:rPr>
            </w:pPr>
            <w:r>
              <w:rPr>
                <w:u w:val="single"/>
              </w:rPr>
              <w:t xml:space="preserve">0.6510 </w:t>
            </w:r>
          </w:p>
        </w:tc>
        <w:tc>
          <w:tcPr>
            <w:tcW w:w="721" w:type="pct"/>
            <w:vAlign w:val="center"/>
          </w:tcPr>
          <w:p w:rsidR="00EE56C0" w:rsidRDefault="000F36A1">
            <w:pPr>
              <w:pStyle w:val="afa"/>
              <w:rPr>
                <w:rFonts w:eastAsia="宋体"/>
                <w:u w:val="single"/>
              </w:rPr>
            </w:pPr>
            <w:r>
              <w:rPr>
                <w:u w:val="single"/>
              </w:rPr>
              <w:t xml:space="preserve">0.6510 </w:t>
            </w:r>
          </w:p>
        </w:tc>
      </w:tr>
      <w:tr w:rsidR="00EE56C0">
        <w:trPr>
          <w:trHeight w:val="397"/>
          <w:jc w:val="center"/>
        </w:trPr>
        <w:tc>
          <w:tcPr>
            <w:tcW w:w="321" w:type="pct"/>
            <w:vMerge/>
            <w:vAlign w:val="center"/>
          </w:tcPr>
          <w:p w:rsidR="00EE56C0" w:rsidRDefault="00EE56C0">
            <w:pPr>
              <w:pStyle w:val="afa"/>
              <w:rPr>
                <w:u w:val="single"/>
              </w:rPr>
            </w:pPr>
          </w:p>
        </w:tc>
        <w:tc>
          <w:tcPr>
            <w:tcW w:w="267" w:type="pct"/>
            <w:vMerge w:val="restart"/>
            <w:tcBorders>
              <w:right w:val="single" w:sz="4" w:space="0" w:color="auto"/>
            </w:tcBorders>
            <w:vAlign w:val="center"/>
          </w:tcPr>
          <w:p w:rsidR="00EE56C0" w:rsidRDefault="000F36A1">
            <w:pPr>
              <w:pStyle w:val="afa"/>
              <w:rPr>
                <w:u w:val="single"/>
              </w:rPr>
            </w:pPr>
            <w:r>
              <w:rPr>
                <w:rFonts w:hint="eastAsia"/>
                <w:u w:val="single"/>
              </w:rPr>
              <w:t>无组织</w:t>
            </w:r>
          </w:p>
        </w:tc>
        <w:tc>
          <w:tcPr>
            <w:tcW w:w="222" w:type="pct"/>
            <w:vMerge w:val="restart"/>
            <w:tcBorders>
              <w:left w:val="single" w:sz="4" w:space="0" w:color="auto"/>
              <w:right w:val="single" w:sz="4" w:space="0" w:color="auto"/>
            </w:tcBorders>
            <w:vAlign w:val="center"/>
          </w:tcPr>
          <w:p w:rsidR="00EE56C0" w:rsidRDefault="000F36A1">
            <w:pPr>
              <w:pStyle w:val="afa"/>
              <w:rPr>
                <w:u w:val="single"/>
              </w:rPr>
            </w:pPr>
            <w:r>
              <w:rPr>
                <w:rFonts w:hint="eastAsia"/>
                <w:u w:val="single"/>
              </w:rPr>
              <w:t>VOCs</w:t>
            </w:r>
          </w:p>
        </w:tc>
        <w:tc>
          <w:tcPr>
            <w:tcW w:w="563" w:type="pct"/>
            <w:tcBorders>
              <w:left w:val="single" w:sz="4" w:space="0" w:color="auto"/>
            </w:tcBorders>
            <w:vAlign w:val="center"/>
          </w:tcPr>
          <w:p w:rsidR="00EE56C0" w:rsidRDefault="000F36A1">
            <w:pPr>
              <w:pStyle w:val="afa"/>
              <w:rPr>
                <w:u w:val="single"/>
              </w:rPr>
            </w:pPr>
            <w:r>
              <w:rPr>
                <w:rFonts w:hint="eastAsia"/>
                <w:u w:val="single"/>
              </w:rPr>
              <w:t>苯</w:t>
            </w:r>
          </w:p>
        </w:tc>
        <w:tc>
          <w:tcPr>
            <w:tcW w:w="697" w:type="pct"/>
            <w:vAlign w:val="center"/>
          </w:tcPr>
          <w:p w:rsidR="00EE56C0" w:rsidRDefault="000F36A1">
            <w:pPr>
              <w:pStyle w:val="afa"/>
              <w:rPr>
                <w:rFonts w:eastAsia="宋体"/>
                <w:u w:val="single"/>
              </w:rPr>
            </w:pPr>
            <w:r>
              <w:rPr>
                <w:u w:val="single"/>
              </w:rPr>
              <w:t xml:space="preserve">0.2216 </w:t>
            </w:r>
          </w:p>
        </w:tc>
        <w:tc>
          <w:tcPr>
            <w:tcW w:w="758" w:type="pct"/>
            <w:vAlign w:val="center"/>
          </w:tcPr>
          <w:p w:rsidR="00EE56C0" w:rsidRDefault="000F36A1">
            <w:pPr>
              <w:pStyle w:val="afa"/>
              <w:rPr>
                <w:rFonts w:eastAsia="宋体"/>
                <w:u w:val="single"/>
              </w:rPr>
            </w:pPr>
            <w:r>
              <w:rPr>
                <w:u w:val="single"/>
              </w:rPr>
              <w:t>0</w:t>
            </w:r>
          </w:p>
        </w:tc>
        <w:tc>
          <w:tcPr>
            <w:tcW w:w="726" w:type="pct"/>
            <w:vAlign w:val="center"/>
          </w:tcPr>
          <w:p w:rsidR="00EE56C0" w:rsidRDefault="000F36A1">
            <w:pPr>
              <w:pStyle w:val="afa"/>
              <w:rPr>
                <w:rFonts w:eastAsia="宋体"/>
                <w:u w:val="single"/>
              </w:rPr>
            </w:pPr>
            <w:r>
              <w:rPr>
                <w:u w:val="single"/>
              </w:rPr>
              <w:t xml:space="preserve">0.2216 </w:t>
            </w:r>
          </w:p>
        </w:tc>
        <w:tc>
          <w:tcPr>
            <w:tcW w:w="725" w:type="pct"/>
            <w:vAlign w:val="center"/>
          </w:tcPr>
          <w:p w:rsidR="00EE56C0" w:rsidRDefault="000F36A1">
            <w:pPr>
              <w:pStyle w:val="afa"/>
              <w:rPr>
                <w:rFonts w:eastAsia="宋体"/>
                <w:u w:val="single"/>
              </w:rPr>
            </w:pPr>
            <w:r>
              <w:rPr>
                <w:u w:val="single"/>
              </w:rPr>
              <w:t xml:space="preserve">0.2216 </w:t>
            </w:r>
          </w:p>
        </w:tc>
        <w:tc>
          <w:tcPr>
            <w:tcW w:w="721" w:type="pct"/>
            <w:vAlign w:val="center"/>
          </w:tcPr>
          <w:p w:rsidR="00EE56C0" w:rsidRDefault="000F36A1">
            <w:pPr>
              <w:pStyle w:val="afa"/>
              <w:rPr>
                <w:rFonts w:eastAsia="宋体"/>
                <w:u w:val="single"/>
              </w:rPr>
            </w:pPr>
            <w:r>
              <w:rPr>
                <w:u w:val="single"/>
              </w:rPr>
              <w:t xml:space="preserve">0.2216 </w:t>
            </w:r>
          </w:p>
        </w:tc>
      </w:tr>
      <w:tr w:rsidR="00EE56C0">
        <w:trPr>
          <w:trHeight w:val="397"/>
          <w:jc w:val="center"/>
        </w:trPr>
        <w:tc>
          <w:tcPr>
            <w:tcW w:w="321" w:type="pct"/>
            <w:vMerge/>
            <w:vAlign w:val="center"/>
          </w:tcPr>
          <w:p w:rsidR="00EE56C0" w:rsidRDefault="00EE56C0">
            <w:pPr>
              <w:pStyle w:val="afa"/>
              <w:rPr>
                <w:u w:val="single"/>
              </w:rPr>
            </w:pPr>
          </w:p>
        </w:tc>
        <w:tc>
          <w:tcPr>
            <w:tcW w:w="267" w:type="pct"/>
            <w:vMerge/>
            <w:tcBorders>
              <w:right w:val="single" w:sz="4" w:space="0" w:color="auto"/>
            </w:tcBorders>
            <w:vAlign w:val="center"/>
          </w:tcPr>
          <w:p w:rsidR="00EE56C0" w:rsidRDefault="00EE56C0">
            <w:pPr>
              <w:pStyle w:val="afa"/>
              <w:rPr>
                <w:u w:val="single"/>
              </w:rPr>
            </w:pPr>
          </w:p>
        </w:tc>
        <w:tc>
          <w:tcPr>
            <w:tcW w:w="222" w:type="pct"/>
            <w:vMerge/>
            <w:tcBorders>
              <w:left w:val="single" w:sz="4" w:space="0" w:color="auto"/>
              <w:right w:val="single" w:sz="4" w:space="0" w:color="auto"/>
            </w:tcBorders>
            <w:vAlign w:val="center"/>
          </w:tcPr>
          <w:p w:rsidR="00EE56C0" w:rsidRDefault="00EE56C0">
            <w:pPr>
              <w:pStyle w:val="afa"/>
              <w:rPr>
                <w:u w:val="single"/>
              </w:rPr>
            </w:pPr>
          </w:p>
        </w:tc>
        <w:tc>
          <w:tcPr>
            <w:tcW w:w="563" w:type="pct"/>
            <w:tcBorders>
              <w:left w:val="single" w:sz="4" w:space="0" w:color="auto"/>
            </w:tcBorders>
            <w:vAlign w:val="center"/>
          </w:tcPr>
          <w:p w:rsidR="00EE56C0" w:rsidRDefault="000F36A1">
            <w:pPr>
              <w:pStyle w:val="afa"/>
              <w:rPr>
                <w:u w:val="single"/>
              </w:rPr>
            </w:pPr>
            <w:r>
              <w:rPr>
                <w:rFonts w:hint="eastAsia"/>
                <w:u w:val="single"/>
              </w:rPr>
              <w:t>甲苯</w:t>
            </w:r>
          </w:p>
        </w:tc>
        <w:tc>
          <w:tcPr>
            <w:tcW w:w="697" w:type="pct"/>
            <w:vAlign w:val="center"/>
          </w:tcPr>
          <w:p w:rsidR="00EE56C0" w:rsidRDefault="000F36A1">
            <w:pPr>
              <w:pStyle w:val="afa"/>
              <w:rPr>
                <w:rFonts w:eastAsia="宋体"/>
                <w:u w:val="single"/>
              </w:rPr>
            </w:pPr>
            <w:r>
              <w:rPr>
                <w:u w:val="single"/>
              </w:rPr>
              <w:t xml:space="preserve">0.1547 </w:t>
            </w:r>
          </w:p>
        </w:tc>
        <w:tc>
          <w:tcPr>
            <w:tcW w:w="758" w:type="pct"/>
            <w:vAlign w:val="center"/>
          </w:tcPr>
          <w:p w:rsidR="00EE56C0" w:rsidRDefault="000F36A1">
            <w:pPr>
              <w:pStyle w:val="afa"/>
              <w:rPr>
                <w:rFonts w:eastAsia="宋体"/>
                <w:u w:val="single"/>
              </w:rPr>
            </w:pPr>
            <w:r>
              <w:rPr>
                <w:u w:val="single"/>
              </w:rPr>
              <w:t>0</w:t>
            </w:r>
          </w:p>
        </w:tc>
        <w:tc>
          <w:tcPr>
            <w:tcW w:w="726" w:type="pct"/>
            <w:vAlign w:val="center"/>
          </w:tcPr>
          <w:p w:rsidR="00EE56C0" w:rsidRDefault="000F36A1">
            <w:pPr>
              <w:pStyle w:val="afa"/>
              <w:rPr>
                <w:rFonts w:eastAsia="宋体"/>
                <w:u w:val="single"/>
              </w:rPr>
            </w:pPr>
            <w:r>
              <w:rPr>
                <w:u w:val="single"/>
              </w:rPr>
              <w:t xml:space="preserve">0.1547 </w:t>
            </w:r>
          </w:p>
        </w:tc>
        <w:tc>
          <w:tcPr>
            <w:tcW w:w="725" w:type="pct"/>
            <w:vAlign w:val="center"/>
          </w:tcPr>
          <w:p w:rsidR="00EE56C0" w:rsidRDefault="000F36A1">
            <w:pPr>
              <w:pStyle w:val="afa"/>
              <w:rPr>
                <w:rFonts w:eastAsia="宋体"/>
                <w:u w:val="single"/>
              </w:rPr>
            </w:pPr>
            <w:r>
              <w:rPr>
                <w:u w:val="single"/>
              </w:rPr>
              <w:t xml:space="preserve">0.1547 </w:t>
            </w:r>
          </w:p>
        </w:tc>
        <w:tc>
          <w:tcPr>
            <w:tcW w:w="721" w:type="pct"/>
            <w:vAlign w:val="center"/>
          </w:tcPr>
          <w:p w:rsidR="00EE56C0" w:rsidRDefault="000F36A1">
            <w:pPr>
              <w:pStyle w:val="afa"/>
              <w:rPr>
                <w:rFonts w:eastAsia="宋体"/>
                <w:u w:val="single"/>
              </w:rPr>
            </w:pPr>
            <w:r>
              <w:rPr>
                <w:u w:val="single"/>
              </w:rPr>
              <w:t xml:space="preserve">0.1547 </w:t>
            </w:r>
          </w:p>
        </w:tc>
      </w:tr>
      <w:tr w:rsidR="00EE56C0">
        <w:trPr>
          <w:trHeight w:val="397"/>
          <w:jc w:val="center"/>
        </w:trPr>
        <w:tc>
          <w:tcPr>
            <w:tcW w:w="321" w:type="pct"/>
            <w:vMerge/>
            <w:vAlign w:val="center"/>
          </w:tcPr>
          <w:p w:rsidR="00EE56C0" w:rsidRDefault="00EE56C0">
            <w:pPr>
              <w:pStyle w:val="afa"/>
              <w:rPr>
                <w:u w:val="single"/>
              </w:rPr>
            </w:pPr>
          </w:p>
        </w:tc>
        <w:tc>
          <w:tcPr>
            <w:tcW w:w="267" w:type="pct"/>
            <w:vMerge/>
            <w:tcBorders>
              <w:right w:val="single" w:sz="4" w:space="0" w:color="auto"/>
            </w:tcBorders>
            <w:vAlign w:val="center"/>
          </w:tcPr>
          <w:p w:rsidR="00EE56C0" w:rsidRDefault="00EE56C0">
            <w:pPr>
              <w:pStyle w:val="afa"/>
              <w:rPr>
                <w:u w:val="single"/>
              </w:rPr>
            </w:pPr>
          </w:p>
        </w:tc>
        <w:tc>
          <w:tcPr>
            <w:tcW w:w="222" w:type="pct"/>
            <w:vMerge/>
            <w:tcBorders>
              <w:left w:val="single" w:sz="4" w:space="0" w:color="auto"/>
              <w:right w:val="single" w:sz="4" w:space="0" w:color="auto"/>
            </w:tcBorders>
            <w:vAlign w:val="center"/>
          </w:tcPr>
          <w:p w:rsidR="00EE56C0" w:rsidRDefault="00EE56C0">
            <w:pPr>
              <w:pStyle w:val="afa"/>
              <w:rPr>
                <w:u w:val="single"/>
              </w:rPr>
            </w:pPr>
          </w:p>
        </w:tc>
        <w:tc>
          <w:tcPr>
            <w:tcW w:w="563" w:type="pct"/>
            <w:tcBorders>
              <w:left w:val="single" w:sz="4" w:space="0" w:color="auto"/>
            </w:tcBorders>
            <w:vAlign w:val="center"/>
          </w:tcPr>
          <w:p w:rsidR="00EE56C0" w:rsidRDefault="000F36A1">
            <w:pPr>
              <w:pStyle w:val="afa"/>
              <w:rPr>
                <w:u w:val="single"/>
              </w:rPr>
            </w:pPr>
            <w:r>
              <w:rPr>
                <w:rFonts w:hint="eastAsia"/>
                <w:u w:val="single"/>
              </w:rPr>
              <w:t>二甲苯</w:t>
            </w:r>
          </w:p>
        </w:tc>
        <w:tc>
          <w:tcPr>
            <w:tcW w:w="697" w:type="pct"/>
            <w:vAlign w:val="center"/>
          </w:tcPr>
          <w:p w:rsidR="00EE56C0" w:rsidRDefault="000F36A1">
            <w:pPr>
              <w:pStyle w:val="afa"/>
              <w:rPr>
                <w:rFonts w:eastAsia="宋体"/>
                <w:u w:val="single"/>
              </w:rPr>
            </w:pPr>
            <w:r>
              <w:rPr>
                <w:u w:val="single"/>
              </w:rPr>
              <w:t xml:space="preserve">0.0796 </w:t>
            </w:r>
          </w:p>
        </w:tc>
        <w:tc>
          <w:tcPr>
            <w:tcW w:w="758" w:type="pct"/>
            <w:vAlign w:val="center"/>
          </w:tcPr>
          <w:p w:rsidR="00EE56C0" w:rsidRDefault="000F36A1">
            <w:pPr>
              <w:pStyle w:val="afa"/>
              <w:rPr>
                <w:rFonts w:eastAsia="宋体"/>
                <w:u w:val="single"/>
              </w:rPr>
            </w:pPr>
            <w:r>
              <w:rPr>
                <w:u w:val="single"/>
              </w:rPr>
              <w:t>0</w:t>
            </w:r>
          </w:p>
        </w:tc>
        <w:tc>
          <w:tcPr>
            <w:tcW w:w="726" w:type="pct"/>
            <w:vAlign w:val="center"/>
          </w:tcPr>
          <w:p w:rsidR="00EE56C0" w:rsidRDefault="000F36A1">
            <w:pPr>
              <w:pStyle w:val="afa"/>
              <w:rPr>
                <w:rFonts w:eastAsia="宋体"/>
                <w:u w:val="single"/>
              </w:rPr>
            </w:pPr>
            <w:r>
              <w:rPr>
                <w:u w:val="single"/>
              </w:rPr>
              <w:t xml:space="preserve">0.0796 </w:t>
            </w:r>
          </w:p>
        </w:tc>
        <w:tc>
          <w:tcPr>
            <w:tcW w:w="725" w:type="pct"/>
            <w:vAlign w:val="center"/>
          </w:tcPr>
          <w:p w:rsidR="00EE56C0" w:rsidRDefault="000F36A1">
            <w:pPr>
              <w:pStyle w:val="afa"/>
              <w:rPr>
                <w:rFonts w:eastAsia="宋体"/>
                <w:u w:val="single"/>
              </w:rPr>
            </w:pPr>
            <w:r>
              <w:rPr>
                <w:u w:val="single"/>
              </w:rPr>
              <w:t xml:space="preserve">0.0796 </w:t>
            </w:r>
          </w:p>
        </w:tc>
        <w:tc>
          <w:tcPr>
            <w:tcW w:w="721" w:type="pct"/>
            <w:vAlign w:val="center"/>
          </w:tcPr>
          <w:p w:rsidR="00EE56C0" w:rsidRDefault="000F36A1">
            <w:pPr>
              <w:pStyle w:val="afa"/>
              <w:rPr>
                <w:rFonts w:eastAsia="宋体"/>
                <w:u w:val="single"/>
              </w:rPr>
            </w:pPr>
            <w:r>
              <w:rPr>
                <w:u w:val="single"/>
              </w:rPr>
              <w:t xml:space="preserve">0.0796 </w:t>
            </w:r>
          </w:p>
        </w:tc>
      </w:tr>
      <w:tr w:rsidR="00EE56C0">
        <w:trPr>
          <w:trHeight w:val="397"/>
          <w:jc w:val="center"/>
        </w:trPr>
        <w:tc>
          <w:tcPr>
            <w:tcW w:w="321" w:type="pct"/>
            <w:vMerge/>
            <w:vAlign w:val="center"/>
          </w:tcPr>
          <w:p w:rsidR="00EE56C0" w:rsidRDefault="00EE56C0">
            <w:pPr>
              <w:pStyle w:val="afa"/>
              <w:rPr>
                <w:u w:val="single"/>
              </w:rPr>
            </w:pPr>
          </w:p>
        </w:tc>
        <w:tc>
          <w:tcPr>
            <w:tcW w:w="267" w:type="pct"/>
            <w:vMerge/>
            <w:tcBorders>
              <w:right w:val="single" w:sz="4" w:space="0" w:color="auto"/>
            </w:tcBorders>
            <w:vAlign w:val="center"/>
          </w:tcPr>
          <w:p w:rsidR="00EE56C0" w:rsidRDefault="00EE56C0">
            <w:pPr>
              <w:pStyle w:val="afa"/>
              <w:rPr>
                <w:u w:val="single"/>
              </w:rPr>
            </w:pPr>
          </w:p>
        </w:tc>
        <w:tc>
          <w:tcPr>
            <w:tcW w:w="222" w:type="pct"/>
            <w:vMerge/>
            <w:tcBorders>
              <w:left w:val="single" w:sz="4" w:space="0" w:color="auto"/>
              <w:right w:val="single" w:sz="4" w:space="0" w:color="auto"/>
            </w:tcBorders>
            <w:vAlign w:val="center"/>
          </w:tcPr>
          <w:p w:rsidR="00EE56C0" w:rsidRDefault="00EE56C0">
            <w:pPr>
              <w:pStyle w:val="afa"/>
              <w:rPr>
                <w:u w:val="single"/>
              </w:rPr>
            </w:pPr>
          </w:p>
        </w:tc>
        <w:tc>
          <w:tcPr>
            <w:tcW w:w="563" w:type="pct"/>
            <w:tcBorders>
              <w:left w:val="single" w:sz="4" w:space="0" w:color="auto"/>
            </w:tcBorders>
            <w:vAlign w:val="center"/>
          </w:tcPr>
          <w:p w:rsidR="00EE56C0" w:rsidRDefault="000F36A1">
            <w:pPr>
              <w:pStyle w:val="afa"/>
              <w:rPr>
                <w:u w:val="single"/>
              </w:rPr>
            </w:pPr>
            <w:r>
              <w:rPr>
                <w:rFonts w:hint="eastAsia"/>
                <w:u w:val="single"/>
              </w:rPr>
              <w:t>酚</w:t>
            </w:r>
          </w:p>
        </w:tc>
        <w:tc>
          <w:tcPr>
            <w:tcW w:w="697" w:type="pct"/>
            <w:vAlign w:val="center"/>
          </w:tcPr>
          <w:p w:rsidR="00EE56C0" w:rsidRDefault="000F36A1">
            <w:pPr>
              <w:pStyle w:val="afa"/>
              <w:rPr>
                <w:rFonts w:eastAsia="宋体"/>
                <w:u w:val="single"/>
              </w:rPr>
            </w:pPr>
            <w:r>
              <w:rPr>
                <w:u w:val="single"/>
              </w:rPr>
              <w:t xml:space="preserve">0.0556 </w:t>
            </w:r>
          </w:p>
        </w:tc>
        <w:tc>
          <w:tcPr>
            <w:tcW w:w="758" w:type="pct"/>
            <w:vAlign w:val="center"/>
          </w:tcPr>
          <w:p w:rsidR="00EE56C0" w:rsidRDefault="000F36A1">
            <w:pPr>
              <w:pStyle w:val="afa"/>
              <w:rPr>
                <w:rFonts w:eastAsia="宋体"/>
                <w:u w:val="single"/>
              </w:rPr>
            </w:pPr>
            <w:r>
              <w:rPr>
                <w:u w:val="single"/>
              </w:rPr>
              <w:t>0</w:t>
            </w:r>
          </w:p>
        </w:tc>
        <w:tc>
          <w:tcPr>
            <w:tcW w:w="726" w:type="pct"/>
            <w:vAlign w:val="center"/>
          </w:tcPr>
          <w:p w:rsidR="00EE56C0" w:rsidRDefault="000F36A1">
            <w:pPr>
              <w:pStyle w:val="afa"/>
              <w:rPr>
                <w:rFonts w:eastAsia="宋体"/>
                <w:u w:val="single"/>
              </w:rPr>
            </w:pPr>
            <w:r>
              <w:rPr>
                <w:u w:val="single"/>
              </w:rPr>
              <w:t xml:space="preserve">0.0556 </w:t>
            </w:r>
          </w:p>
        </w:tc>
        <w:tc>
          <w:tcPr>
            <w:tcW w:w="725" w:type="pct"/>
            <w:vAlign w:val="center"/>
          </w:tcPr>
          <w:p w:rsidR="00EE56C0" w:rsidRDefault="000F36A1">
            <w:pPr>
              <w:pStyle w:val="afa"/>
              <w:rPr>
                <w:rFonts w:eastAsia="宋体"/>
                <w:u w:val="single"/>
              </w:rPr>
            </w:pPr>
            <w:r>
              <w:rPr>
                <w:u w:val="single"/>
              </w:rPr>
              <w:t xml:space="preserve">0.0556 </w:t>
            </w:r>
          </w:p>
        </w:tc>
        <w:tc>
          <w:tcPr>
            <w:tcW w:w="721" w:type="pct"/>
            <w:vAlign w:val="center"/>
          </w:tcPr>
          <w:p w:rsidR="00EE56C0" w:rsidRDefault="000F36A1">
            <w:pPr>
              <w:pStyle w:val="afa"/>
              <w:rPr>
                <w:rFonts w:eastAsia="宋体"/>
                <w:u w:val="single"/>
              </w:rPr>
            </w:pPr>
            <w:r>
              <w:rPr>
                <w:u w:val="single"/>
              </w:rPr>
              <w:t xml:space="preserve">0.0556 </w:t>
            </w:r>
          </w:p>
        </w:tc>
      </w:tr>
      <w:tr w:rsidR="00EE56C0">
        <w:trPr>
          <w:trHeight w:val="397"/>
          <w:jc w:val="center"/>
        </w:trPr>
        <w:tc>
          <w:tcPr>
            <w:tcW w:w="321" w:type="pct"/>
            <w:vMerge/>
            <w:vAlign w:val="center"/>
          </w:tcPr>
          <w:p w:rsidR="00EE56C0" w:rsidRDefault="00EE56C0">
            <w:pPr>
              <w:pStyle w:val="afa"/>
              <w:rPr>
                <w:u w:val="single"/>
              </w:rPr>
            </w:pPr>
          </w:p>
        </w:tc>
        <w:tc>
          <w:tcPr>
            <w:tcW w:w="267" w:type="pct"/>
            <w:vMerge/>
            <w:tcBorders>
              <w:right w:val="single" w:sz="4" w:space="0" w:color="auto"/>
            </w:tcBorders>
            <w:vAlign w:val="center"/>
          </w:tcPr>
          <w:p w:rsidR="00EE56C0" w:rsidRDefault="00EE56C0">
            <w:pPr>
              <w:pStyle w:val="afa"/>
              <w:rPr>
                <w:u w:val="single"/>
              </w:rPr>
            </w:pPr>
          </w:p>
        </w:tc>
        <w:tc>
          <w:tcPr>
            <w:tcW w:w="222" w:type="pct"/>
            <w:vMerge/>
            <w:tcBorders>
              <w:left w:val="single" w:sz="4" w:space="0" w:color="auto"/>
              <w:right w:val="single" w:sz="4" w:space="0" w:color="auto"/>
            </w:tcBorders>
            <w:vAlign w:val="center"/>
          </w:tcPr>
          <w:p w:rsidR="00EE56C0" w:rsidRDefault="00EE56C0">
            <w:pPr>
              <w:pStyle w:val="afa"/>
              <w:rPr>
                <w:u w:val="single"/>
              </w:rPr>
            </w:pPr>
          </w:p>
        </w:tc>
        <w:tc>
          <w:tcPr>
            <w:tcW w:w="563" w:type="pct"/>
            <w:tcBorders>
              <w:left w:val="single" w:sz="4" w:space="0" w:color="auto"/>
            </w:tcBorders>
            <w:vAlign w:val="center"/>
          </w:tcPr>
          <w:p w:rsidR="00EE56C0" w:rsidRDefault="000F36A1">
            <w:pPr>
              <w:pStyle w:val="afa"/>
              <w:rPr>
                <w:u w:val="single"/>
              </w:rPr>
            </w:pPr>
            <w:r>
              <w:rPr>
                <w:rFonts w:hint="eastAsia"/>
                <w:u w:val="single"/>
              </w:rPr>
              <w:t>非甲烷总烃</w:t>
            </w:r>
          </w:p>
        </w:tc>
        <w:tc>
          <w:tcPr>
            <w:tcW w:w="697" w:type="pct"/>
            <w:vAlign w:val="center"/>
          </w:tcPr>
          <w:p w:rsidR="00EE56C0" w:rsidRDefault="000F36A1">
            <w:pPr>
              <w:pStyle w:val="afa"/>
              <w:rPr>
                <w:rFonts w:eastAsia="宋体"/>
                <w:u w:val="single"/>
              </w:rPr>
            </w:pPr>
            <w:r>
              <w:rPr>
                <w:u w:val="single"/>
              </w:rPr>
              <w:t xml:space="preserve">0.0185 </w:t>
            </w:r>
          </w:p>
        </w:tc>
        <w:tc>
          <w:tcPr>
            <w:tcW w:w="758" w:type="pct"/>
            <w:vAlign w:val="center"/>
          </w:tcPr>
          <w:p w:rsidR="00EE56C0" w:rsidRDefault="000F36A1">
            <w:pPr>
              <w:pStyle w:val="afa"/>
              <w:rPr>
                <w:rFonts w:eastAsia="宋体"/>
                <w:u w:val="single"/>
              </w:rPr>
            </w:pPr>
            <w:r>
              <w:rPr>
                <w:u w:val="single"/>
              </w:rPr>
              <w:t>0</w:t>
            </w:r>
          </w:p>
        </w:tc>
        <w:tc>
          <w:tcPr>
            <w:tcW w:w="726" w:type="pct"/>
            <w:vAlign w:val="center"/>
          </w:tcPr>
          <w:p w:rsidR="00EE56C0" w:rsidRDefault="000F36A1">
            <w:pPr>
              <w:pStyle w:val="afa"/>
              <w:rPr>
                <w:rFonts w:eastAsia="宋体"/>
                <w:u w:val="single"/>
              </w:rPr>
            </w:pPr>
            <w:r>
              <w:rPr>
                <w:u w:val="single"/>
              </w:rPr>
              <w:t xml:space="preserve">0.0185 </w:t>
            </w:r>
          </w:p>
        </w:tc>
        <w:tc>
          <w:tcPr>
            <w:tcW w:w="725" w:type="pct"/>
            <w:vAlign w:val="center"/>
          </w:tcPr>
          <w:p w:rsidR="00EE56C0" w:rsidRDefault="000F36A1">
            <w:pPr>
              <w:pStyle w:val="afa"/>
              <w:rPr>
                <w:rFonts w:eastAsia="宋体"/>
                <w:u w:val="single"/>
              </w:rPr>
            </w:pPr>
            <w:r>
              <w:rPr>
                <w:u w:val="single"/>
              </w:rPr>
              <w:t xml:space="preserve">0.0185 </w:t>
            </w:r>
          </w:p>
        </w:tc>
        <w:tc>
          <w:tcPr>
            <w:tcW w:w="721" w:type="pct"/>
            <w:vAlign w:val="center"/>
          </w:tcPr>
          <w:p w:rsidR="00EE56C0" w:rsidRDefault="000F36A1">
            <w:pPr>
              <w:pStyle w:val="afa"/>
              <w:rPr>
                <w:rFonts w:eastAsia="宋体"/>
                <w:u w:val="single"/>
              </w:rPr>
            </w:pPr>
            <w:r>
              <w:rPr>
                <w:u w:val="single"/>
              </w:rPr>
              <w:t xml:space="preserve">0.0185 </w:t>
            </w:r>
          </w:p>
        </w:tc>
      </w:tr>
      <w:tr w:rsidR="00EE56C0">
        <w:trPr>
          <w:trHeight w:val="397"/>
          <w:jc w:val="center"/>
        </w:trPr>
        <w:tc>
          <w:tcPr>
            <w:tcW w:w="321" w:type="pct"/>
            <w:vMerge/>
            <w:vAlign w:val="center"/>
          </w:tcPr>
          <w:p w:rsidR="00EE56C0" w:rsidRDefault="00EE56C0">
            <w:pPr>
              <w:pStyle w:val="afa"/>
              <w:rPr>
                <w:u w:val="single"/>
              </w:rPr>
            </w:pPr>
          </w:p>
        </w:tc>
        <w:tc>
          <w:tcPr>
            <w:tcW w:w="267" w:type="pct"/>
            <w:vMerge/>
            <w:tcBorders>
              <w:right w:val="single" w:sz="4" w:space="0" w:color="auto"/>
            </w:tcBorders>
            <w:vAlign w:val="center"/>
          </w:tcPr>
          <w:p w:rsidR="00EE56C0" w:rsidRDefault="00EE56C0">
            <w:pPr>
              <w:pStyle w:val="afa"/>
              <w:rPr>
                <w:u w:val="single"/>
              </w:rPr>
            </w:pPr>
          </w:p>
        </w:tc>
        <w:tc>
          <w:tcPr>
            <w:tcW w:w="222" w:type="pct"/>
            <w:vMerge/>
            <w:tcBorders>
              <w:left w:val="single" w:sz="4" w:space="0" w:color="auto"/>
              <w:right w:val="single" w:sz="4" w:space="0" w:color="auto"/>
            </w:tcBorders>
            <w:vAlign w:val="center"/>
          </w:tcPr>
          <w:p w:rsidR="00EE56C0" w:rsidRDefault="00EE56C0">
            <w:pPr>
              <w:pStyle w:val="afa"/>
              <w:rPr>
                <w:u w:val="single"/>
              </w:rPr>
            </w:pPr>
          </w:p>
        </w:tc>
        <w:tc>
          <w:tcPr>
            <w:tcW w:w="563" w:type="pct"/>
            <w:tcBorders>
              <w:left w:val="single" w:sz="4" w:space="0" w:color="auto"/>
            </w:tcBorders>
            <w:vAlign w:val="center"/>
          </w:tcPr>
          <w:p w:rsidR="00EE56C0" w:rsidRDefault="000F36A1">
            <w:pPr>
              <w:pStyle w:val="afa"/>
              <w:rPr>
                <w:u w:val="single"/>
              </w:rPr>
            </w:pPr>
            <w:r>
              <w:rPr>
                <w:rFonts w:hint="eastAsia"/>
                <w:u w:val="single"/>
              </w:rPr>
              <w:t>合计</w:t>
            </w:r>
          </w:p>
        </w:tc>
        <w:tc>
          <w:tcPr>
            <w:tcW w:w="697" w:type="pct"/>
            <w:vAlign w:val="center"/>
          </w:tcPr>
          <w:p w:rsidR="00EE56C0" w:rsidRDefault="000F36A1">
            <w:pPr>
              <w:pStyle w:val="afa"/>
              <w:rPr>
                <w:rFonts w:eastAsia="宋体"/>
                <w:u w:val="single"/>
              </w:rPr>
            </w:pPr>
            <w:r>
              <w:rPr>
                <w:u w:val="single"/>
              </w:rPr>
              <w:t xml:space="preserve">0.5299 </w:t>
            </w:r>
          </w:p>
        </w:tc>
        <w:tc>
          <w:tcPr>
            <w:tcW w:w="758" w:type="pct"/>
            <w:vAlign w:val="center"/>
          </w:tcPr>
          <w:p w:rsidR="00EE56C0" w:rsidRDefault="000F36A1">
            <w:pPr>
              <w:pStyle w:val="afa"/>
              <w:rPr>
                <w:rFonts w:eastAsia="宋体"/>
                <w:u w:val="single"/>
              </w:rPr>
            </w:pPr>
            <w:r>
              <w:rPr>
                <w:u w:val="single"/>
              </w:rPr>
              <w:t>0</w:t>
            </w:r>
          </w:p>
        </w:tc>
        <w:tc>
          <w:tcPr>
            <w:tcW w:w="726" w:type="pct"/>
            <w:vAlign w:val="center"/>
          </w:tcPr>
          <w:p w:rsidR="00EE56C0" w:rsidRDefault="000F36A1">
            <w:pPr>
              <w:pStyle w:val="afa"/>
              <w:rPr>
                <w:rFonts w:eastAsia="宋体"/>
                <w:u w:val="single"/>
              </w:rPr>
            </w:pPr>
            <w:r>
              <w:rPr>
                <w:u w:val="single"/>
              </w:rPr>
              <w:t xml:space="preserve">0.5299 </w:t>
            </w:r>
          </w:p>
        </w:tc>
        <w:tc>
          <w:tcPr>
            <w:tcW w:w="725" w:type="pct"/>
            <w:vAlign w:val="center"/>
          </w:tcPr>
          <w:p w:rsidR="00EE56C0" w:rsidRDefault="000F36A1">
            <w:pPr>
              <w:pStyle w:val="afa"/>
              <w:rPr>
                <w:rFonts w:eastAsia="宋体"/>
                <w:u w:val="single"/>
              </w:rPr>
            </w:pPr>
            <w:r>
              <w:rPr>
                <w:u w:val="single"/>
              </w:rPr>
              <w:t xml:space="preserve">0.5299 </w:t>
            </w:r>
          </w:p>
        </w:tc>
        <w:tc>
          <w:tcPr>
            <w:tcW w:w="721" w:type="pct"/>
            <w:vAlign w:val="center"/>
          </w:tcPr>
          <w:p w:rsidR="00EE56C0" w:rsidRDefault="000F36A1">
            <w:pPr>
              <w:pStyle w:val="afa"/>
              <w:rPr>
                <w:rFonts w:eastAsia="宋体"/>
                <w:u w:val="single"/>
              </w:rPr>
            </w:pPr>
            <w:r>
              <w:rPr>
                <w:u w:val="single"/>
              </w:rPr>
              <w:t xml:space="preserve">0.5299 </w:t>
            </w:r>
          </w:p>
        </w:tc>
      </w:tr>
      <w:tr w:rsidR="00EE56C0">
        <w:trPr>
          <w:trHeight w:val="397"/>
          <w:jc w:val="center"/>
        </w:trPr>
        <w:tc>
          <w:tcPr>
            <w:tcW w:w="321" w:type="pct"/>
            <w:vMerge w:val="restart"/>
            <w:vAlign w:val="center"/>
          </w:tcPr>
          <w:p w:rsidR="00EE56C0" w:rsidRDefault="000F36A1">
            <w:pPr>
              <w:pStyle w:val="afa"/>
              <w:rPr>
                <w:u w:val="single"/>
              </w:rPr>
            </w:pPr>
            <w:r>
              <w:rPr>
                <w:u w:val="single"/>
              </w:rPr>
              <w:t>固废</w:t>
            </w:r>
          </w:p>
        </w:tc>
        <w:tc>
          <w:tcPr>
            <w:tcW w:w="1052" w:type="pct"/>
            <w:gridSpan w:val="3"/>
            <w:vAlign w:val="center"/>
          </w:tcPr>
          <w:p w:rsidR="00EE56C0" w:rsidRDefault="000F36A1">
            <w:pPr>
              <w:pStyle w:val="afa"/>
              <w:rPr>
                <w:u w:val="single"/>
              </w:rPr>
            </w:pPr>
            <w:r>
              <w:rPr>
                <w:rFonts w:hint="eastAsia"/>
                <w:u w:val="single"/>
              </w:rPr>
              <w:t>一般固废</w:t>
            </w:r>
          </w:p>
        </w:tc>
        <w:tc>
          <w:tcPr>
            <w:tcW w:w="697" w:type="pct"/>
            <w:vAlign w:val="center"/>
          </w:tcPr>
          <w:p w:rsidR="00EE56C0" w:rsidRDefault="000F36A1">
            <w:pPr>
              <w:pStyle w:val="afa"/>
              <w:rPr>
                <w:u w:val="single"/>
              </w:rPr>
            </w:pPr>
            <w:r>
              <w:rPr>
                <w:rFonts w:hint="eastAsia"/>
                <w:u w:val="single"/>
              </w:rPr>
              <w:t>13.48</w:t>
            </w:r>
          </w:p>
        </w:tc>
        <w:tc>
          <w:tcPr>
            <w:tcW w:w="758" w:type="pct"/>
            <w:vAlign w:val="center"/>
          </w:tcPr>
          <w:p w:rsidR="00EE56C0" w:rsidRDefault="000F36A1">
            <w:pPr>
              <w:pStyle w:val="afa"/>
              <w:rPr>
                <w:u w:val="single"/>
              </w:rPr>
            </w:pPr>
            <w:r>
              <w:rPr>
                <w:rFonts w:hint="eastAsia"/>
                <w:u w:val="single"/>
              </w:rPr>
              <w:t>13.48</w:t>
            </w:r>
          </w:p>
        </w:tc>
        <w:tc>
          <w:tcPr>
            <w:tcW w:w="726" w:type="pct"/>
            <w:vAlign w:val="center"/>
          </w:tcPr>
          <w:p w:rsidR="00EE56C0" w:rsidRDefault="000F36A1">
            <w:pPr>
              <w:pStyle w:val="afa"/>
              <w:rPr>
                <w:u w:val="single"/>
              </w:rPr>
            </w:pPr>
            <w:r>
              <w:rPr>
                <w:u w:val="single"/>
              </w:rPr>
              <w:t>0</w:t>
            </w:r>
          </w:p>
        </w:tc>
        <w:tc>
          <w:tcPr>
            <w:tcW w:w="725" w:type="pct"/>
            <w:vAlign w:val="center"/>
          </w:tcPr>
          <w:p w:rsidR="00EE56C0" w:rsidRDefault="000F36A1">
            <w:pPr>
              <w:pStyle w:val="afa"/>
              <w:rPr>
                <w:u w:val="single"/>
              </w:rPr>
            </w:pPr>
            <w:r>
              <w:rPr>
                <w:u w:val="single"/>
              </w:rPr>
              <w:t>/</w:t>
            </w:r>
          </w:p>
        </w:tc>
        <w:tc>
          <w:tcPr>
            <w:tcW w:w="721" w:type="pct"/>
            <w:vAlign w:val="center"/>
          </w:tcPr>
          <w:p w:rsidR="00EE56C0" w:rsidRDefault="000F36A1">
            <w:pPr>
              <w:pStyle w:val="afa"/>
              <w:rPr>
                <w:u w:val="single"/>
              </w:rPr>
            </w:pPr>
            <w:r>
              <w:rPr>
                <w:rFonts w:hint="eastAsia"/>
                <w:u w:val="single"/>
              </w:rPr>
              <w:t>0</w:t>
            </w:r>
          </w:p>
        </w:tc>
      </w:tr>
      <w:tr w:rsidR="00EE56C0">
        <w:trPr>
          <w:trHeight w:val="397"/>
          <w:jc w:val="center"/>
        </w:trPr>
        <w:tc>
          <w:tcPr>
            <w:tcW w:w="321" w:type="pct"/>
            <w:vMerge/>
            <w:vAlign w:val="center"/>
          </w:tcPr>
          <w:p w:rsidR="00EE56C0" w:rsidRDefault="00EE56C0">
            <w:pPr>
              <w:pStyle w:val="afa"/>
              <w:rPr>
                <w:u w:val="single"/>
              </w:rPr>
            </w:pPr>
          </w:p>
        </w:tc>
        <w:tc>
          <w:tcPr>
            <w:tcW w:w="1052" w:type="pct"/>
            <w:gridSpan w:val="3"/>
            <w:vAlign w:val="center"/>
          </w:tcPr>
          <w:p w:rsidR="00EE56C0" w:rsidRDefault="000F36A1">
            <w:pPr>
              <w:pStyle w:val="afa"/>
              <w:rPr>
                <w:u w:val="single"/>
              </w:rPr>
            </w:pPr>
            <w:r>
              <w:rPr>
                <w:rFonts w:hint="eastAsia"/>
                <w:u w:val="single"/>
              </w:rPr>
              <w:t>危险废物</w:t>
            </w:r>
          </w:p>
        </w:tc>
        <w:tc>
          <w:tcPr>
            <w:tcW w:w="697" w:type="pct"/>
            <w:vAlign w:val="center"/>
          </w:tcPr>
          <w:p w:rsidR="00EE56C0" w:rsidRDefault="000F36A1">
            <w:pPr>
              <w:pStyle w:val="afa"/>
              <w:rPr>
                <w:u w:val="single"/>
              </w:rPr>
            </w:pPr>
            <w:r>
              <w:rPr>
                <w:rFonts w:hint="eastAsia"/>
                <w:u w:val="single"/>
              </w:rPr>
              <w:t>10.74</w:t>
            </w:r>
          </w:p>
        </w:tc>
        <w:tc>
          <w:tcPr>
            <w:tcW w:w="758" w:type="pct"/>
            <w:vAlign w:val="center"/>
          </w:tcPr>
          <w:p w:rsidR="00EE56C0" w:rsidRDefault="000F36A1">
            <w:pPr>
              <w:pStyle w:val="afa"/>
              <w:rPr>
                <w:u w:val="single"/>
              </w:rPr>
            </w:pPr>
            <w:r>
              <w:rPr>
                <w:rFonts w:hint="eastAsia"/>
                <w:u w:val="single"/>
              </w:rPr>
              <w:t>10.74</w:t>
            </w:r>
          </w:p>
        </w:tc>
        <w:tc>
          <w:tcPr>
            <w:tcW w:w="726" w:type="pct"/>
            <w:vAlign w:val="center"/>
          </w:tcPr>
          <w:p w:rsidR="00EE56C0" w:rsidRDefault="000F36A1">
            <w:pPr>
              <w:pStyle w:val="afa"/>
              <w:rPr>
                <w:u w:val="single"/>
              </w:rPr>
            </w:pPr>
            <w:r>
              <w:rPr>
                <w:u w:val="single"/>
              </w:rPr>
              <w:t>0</w:t>
            </w:r>
          </w:p>
        </w:tc>
        <w:tc>
          <w:tcPr>
            <w:tcW w:w="725" w:type="pct"/>
            <w:vAlign w:val="center"/>
          </w:tcPr>
          <w:p w:rsidR="00EE56C0" w:rsidRDefault="000F36A1">
            <w:pPr>
              <w:pStyle w:val="afa"/>
              <w:rPr>
                <w:u w:val="single"/>
              </w:rPr>
            </w:pPr>
            <w:r>
              <w:rPr>
                <w:u w:val="single"/>
              </w:rPr>
              <w:t>/</w:t>
            </w:r>
          </w:p>
        </w:tc>
        <w:tc>
          <w:tcPr>
            <w:tcW w:w="721" w:type="pct"/>
            <w:vAlign w:val="center"/>
          </w:tcPr>
          <w:p w:rsidR="00EE56C0" w:rsidRDefault="000F36A1">
            <w:pPr>
              <w:pStyle w:val="afa"/>
              <w:rPr>
                <w:u w:val="single"/>
              </w:rPr>
            </w:pPr>
            <w:r>
              <w:rPr>
                <w:rFonts w:hint="eastAsia"/>
                <w:u w:val="single"/>
              </w:rPr>
              <w:t>0</w:t>
            </w:r>
          </w:p>
        </w:tc>
      </w:tr>
    </w:tbl>
    <w:p w:rsidR="00EE56C0" w:rsidRDefault="000F36A1">
      <w:pPr>
        <w:pStyle w:val="afd"/>
        <w:spacing w:before="120" w:after="120"/>
        <w:ind w:firstLine="482"/>
        <w:rPr>
          <w:u w:val="single"/>
        </w:rPr>
      </w:pPr>
      <w:bookmarkStart w:id="206" w:name="_Toc25400909"/>
      <w:r>
        <w:rPr>
          <w:rFonts w:hint="eastAsia"/>
          <w:u w:val="single"/>
        </w:rPr>
        <w:t>表</w:t>
      </w:r>
      <w:r>
        <w:rPr>
          <w:rFonts w:hint="eastAsia"/>
          <w:u w:val="single"/>
        </w:rPr>
        <w:t>3-</w:t>
      </w:r>
      <w:r w:rsidR="00702FE4">
        <w:rPr>
          <w:rFonts w:hint="eastAsia"/>
          <w:u w:val="single"/>
        </w:rPr>
        <w:t>71</w:t>
      </w:r>
      <w:r>
        <w:rPr>
          <w:rFonts w:hint="eastAsia"/>
          <w:u w:val="single"/>
        </w:rPr>
        <w:t xml:space="preserve">        </w:t>
      </w:r>
      <w:r>
        <w:rPr>
          <w:rFonts w:hint="eastAsia"/>
          <w:u w:val="single"/>
        </w:rPr>
        <w:t>项目二期新增污染物产排情况</w:t>
      </w:r>
      <w:r>
        <w:rPr>
          <w:rFonts w:hint="eastAsia"/>
          <w:u w:val="single"/>
        </w:rPr>
        <w:t xml:space="preserve">         </w:t>
      </w:r>
      <w:r>
        <w:rPr>
          <w:rFonts w:hint="eastAsia"/>
          <w:u w:val="single"/>
        </w:rPr>
        <w:t>单位：</w:t>
      </w:r>
      <w:r>
        <w:rPr>
          <w:rFonts w:hint="eastAsia"/>
          <w:u w:val="single"/>
        </w:rPr>
        <w:t>t/a</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tblPr>
      <w:tblGrid>
        <w:gridCol w:w="549"/>
        <w:gridCol w:w="454"/>
        <w:gridCol w:w="380"/>
        <w:gridCol w:w="969"/>
        <w:gridCol w:w="1214"/>
        <w:gridCol w:w="1220"/>
        <w:gridCol w:w="1279"/>
        <w:gridCol w:w="1233"/>
        <w:gridCol w:w="1230"/>
      </w:tblGrid>
      <w:tr w:rsidR="00EE56C0">
        <w:trPr>
          <w:trHeight w:val="454"/>
          <w:tblHeader/>
          <w:jc w:val="center"/>
        </w:trPr>
        <w:tc>
          <w:tcPr>
            <w:tcW w:w="1379" w:type="pct"/>
            <w:gridSpan w:val="4"/>
            <w:vAlign w:val="center"/>
          </w:tcPr>
          <w:p w:rsidR="00EE56C0" w:rsidRDefault="000F36A1">
            <w:pPr>
              <w:pStyle w:val="aff1"/>
              <w:rPr>
                <w:color w:val="auto"/>
                <w:u w:val="single"/>
              </w:rPr>
            </w:pPr>
            <w:r>
              <w:rPr>
                <w:color w:val="auto"/>
                <w:u w:val="single"/>
              </w:rPr>
              <w:t>污染物</w:t>
            </w:r>
          </w:p>
        </w:tc>
        <w:tc>
          <w:tcPr>
            <w:tcW w:w="712" w:type="pct"/>
            <w:vAlign w:val="center"/>
          </w:tcPr>
          <w:p w:rsidR="00EE56C0" w:rsidRDefault="000F36A1">
            <w:pPr>
              <w:pStyle w:val="aff1"/>
              <w:rPr>
                <w:color w:val="auto"/>
                <w:u w:val="single"/>
              </w:rPr>
            </w:pPr>
            <w:r>
              <w:rPr>
                <w:color w:val="auto"/>
                <w:u w:val="single"/>
              </w:rPr>
              <w:t>工程产生量</w:t>
            </w:r>
          </w:p>
        </w:tc>
        <w:tc>
          <w:tcPr>
            <w:tcW w:w="715" w:type="pct"/>
            <w:vAlign w:val="center"/>
          </w:tcPr>
          <w:p w:rsidR="00EE56C0" w:rsidRDefault="000F36A1">
            <w:pPr>
              <w:pStyle w:val="aff1"/>
              <w:rPr>
                <w:color w:val="auto"/>
                <w:u w:val="single"/>
              </w:rPr>
            </w:pPr>
            <w:r>
              <w:rPr>
                <w:color w:val="auto"/>
                <w:u w:val="single"/>
              </w:rPr>
              <w:t>工程削减量</w:t>
            </w:r>
          </w:p>
        </w:tc>
        <w:tc>
          <w:tcPr>
            <w:tcW w:w="750" w:type="pct"/>
            <w:vAlign w:val="center"/>
          </w:tcPr>
          <w:p w:rsidR="00EE56C0" w:rsidRDefault="000F36A1">
            <w:pPr>
              <w:pStyle w:val="afa"/>
              <w:rPr>
                <w:b/>
                <w:u w:val="single"/>
              </w:rPr>
            </w:pPr>
            <w:r>
              <w:rPr>
                <w:rFonts w:hint="eastAsia"/>
                <w:b/>
                <w:u w:val="single"/>
              </w:rPr>
              <w:t>出厂总量</w:t>
            </w:r>
          </w:p>
        </w:tc>
        <w:tc>
          <w:tcPr>
            <w:tcW w:w="723" w:type="pct"/>
            <w:vAlign w:val="center"/>
          </w:tcPr>
          <w:p w:rsidR="00EE56C0" w:rsidRDefault="000F36A1">
            <w:pPr>
              <w:pStyle w:val="afa"/>
              <w:rPr>
                <w:b/>
                <w:u w:val="single"/>
              </w:rPr>
            </w:pPr>
            <w:r>
              <w:rPr>
                <w:rFonts w:hint="eastAsia"/>
                <w:b/>
                <w:u w:val="single"/>
              </w:rPr>
              <w:t>排入环境量</w:t>
            </w:r>
          </w:p>
        </w:tc>
        <w:tc>
          <w:tcPr>
            <w:tcW w:w="721" w:type="pct"/>
            <w:vAlign w:val="center"/>
          </w:tcPr>
          <w:p w:rsidR="00EE56C0" w:rsidRDefault="000F36A1">
            <w:pPr>
              <w:pStyle w:val="aff1"/>
              <w:rPr>
                <w:color w:val="auto"/>
                <w:u w:val="single"/>
              </w:rPr>
            </w:pPr>
            <w:r>
              <w:rPr>
                <w:rFonts w:hint="eastAsia"/>
                <w:color w:val="auto"/>
                <w:u w:val="single"/>
              </w:rPr>
              <w:t>总量指标</w:t>
            </w:r>
          </w:p>
        </w:tc>
      </w:tr>
      <w:tr w:rsidR="00EE56C0">
        <w:trPr>
          <w:trHeight w:val="454"/>
          <w:jc w:val="center"/>
        </w:trPr>
        <w:tc>
          <w:tcPr>
            <w:tcW w:w="322" w:type="pct"/>
            <w:vMerge w:val="restart"/>
            <w:vAlign w:val="center"/>
          </w:tcPr>
          <w:p w:rsidR="00EE56C0" w:rsidRDefault="000F36A1">
            <w:pPr>
              <w:pStyle w:val="afa"/>
              <w:rPr>
                <w:u w:val="single"/>
              </w:rPr>
            </w:pPr>
            <w:r>
              <w:rPr>
                <w:u w:val="single"/>
              </w:rPr>
              <w:t>废水</w:t>
            </w:r>
          </w:p>
        </w:tc>
        <w:tc>
          <w:tcPr>
            <w:tcW w:w="1057" w:type="pct"/>
            <w:gridSpan w:val="3"/>
            <w:vAlign w:val="center"/>
          </w:tcPr>
          <w:p w:rsidR="00EE56C0" w:rsidRDefault="000F36A1">
            <w:pPr>
              <w:pStyle w:val="afa"/>
              <w:rPr>
                <w:u w:val="single"/>
              </w:rPr>
            </w:pPr>
            <w:r>
              <w:rPr>
                <w:u w:val="single"/>
              </w:rPr>
              <w:t>COD</w:t>
            </w:r>
          </w:p>
        </w:tc>
        <w:tc>
          <w:tcPr>
            <w:tcW w:w="712" w:type="pct"/>
            <w:vAlign w:val="center"/>
          </w:tcPr>
          <w:p w:rsidR="00EE56C0" w:rsidRDefault="000F36A1">
            <w:pPr>
              <w:pStyle w:val="afa"/>
              <w:rPr>
                <w:rFonts w:eastAsia="宋体"/>
                <w:u w:val="single"/>
              </w:rPr>
            </w:pPr>
            <w:r>
              <w:rPr>
                <w:u w:val="single"/>
              </w:rPr>
              <w:t xml:space="preserve">0.4416 </w:t>
            </w:r>
          </w:p>
        </w:tc>
        <w:tc>
          <w:tcPr>
            <w:tcW w:w="715" w:type="pct"/>
            <w:vAlign w:val="center"/>
          </w:tcPr>
          <w:p w:rsidR="00EE56C0" w:rsidRDefault="000F36A1">
            <w:pPr>
              <w:pStyle w:val="afa"/>
              <w:rPr>
                <w:rFonts w:eastAsia="宋体"/>
                <w:u w:val="single"/>
              </w:rPr>
            </w:pPr>
            <w:r>
              <w:rPr>
                <w:u w:val="single"/>
              </w:rPr>
              <w:t xml:space="preserve">0.3729 </w:t>
            </w:r>
          </w:p>
        </w:tc>
        <w:tc>
          <w:tcPr>
            <w:tcW w:w="750" w:type="pct"/>
            <w:vAlign w:val="center"/>
          </w:tcPr>
          <w:p w:rsidR="00EE56C0" w:rsidRDefault="000F36A1">
            <w:pPr>
              <w:pStyle w:val="afa"/>
              <w:rPr>
                <w:rFonts w:eastAsia="宋体"/>
                <w:u w:val="single"/>
              </w:rPr>
            </w:pPr>
            <w:r>
              <w:rPr>
                <w:u w:val="single"/>
              </w:rPr>
              <w:t xml:space="preserve">0.0687 </w:t>
            </w:r>
          </w:p>
        </w:tc>
        <w:tc>
          <w:tcPr>
            <w:tcW w:w="723" w:type="pct"/>
            <w:vAlign w:val="center"/>
          </w:tcPr>
          <w:p w:rsidR="00EE56C0" w:rsidRDefault="000F36A1">
            <w:pPr>
              <w:pStyle w:val="afa"/>
              <w:rPr>
                <w:rFonts w:eastAsia="宋体"/>
                <w:u w:val="single"/>
              </w:rPr>
            </w:pPr>
            <w:r>
              <w:rPr>
                <w:u w:val="single"/>
              </w:rPr>
              <w:t xml:space="preserve">0.0649 </w:t>
            </w:r>
          </w:p>
        </w:tc>
        <w:tc>
          <w:tcPr>
            <w:tcW w:w="721" w:type="pct"/>
            <w:vAlign w:val="center"/>
          </w:tcPr>
          <w:p w:rsidR="00EE56C0" w:rsidRDefault="000F36A1">
            <w:pPr>
              <w:pStyle w:val="afa"/>
              <w:rPr>
                <w:rFonts w:eastAsia="宋体"/>
                <w:u w:val="single"/>
              </w:rPr>
            </w:pPr>
            <w:r>
              <w:rPr>
                <w:u w:val="single"/>
              </w:rPr>
              <w:t xml:space="preserve">0.0649 </w:t>
            </w:r>
          </w:p>
        </w:tc>
      </w:tr>
      <w:tr w:rsidR="00EE56C0">
        <w:trPr>
          <w:trHeight w:val="454"/>
          <w:jc w:val="center"/>
        </w:trPr>
        <w:tc>
          <w:tcPr>
            <w:tcW w:w="322" w:type="pct"/>
            <w:vMerge/>
            <w:vAlign w:val="center"/>
          </w:tcPr>
          <w:p w:rsidR="00EE56C0" w:rsidRDefault="00EE56C0">
            <w:pPr>
              <w:pStyle w:val="afa"/>
              <w:rPr>
                <w:u w:val="single"/>
              </w:rPr>
            </w:pPr>
          </w:p>
        </w:tc>
        <w:tc>
          <w:tcPr>
            <w:tcW w:w="1057" w:type="pct"/>
            <w:gridSpan w:val="3"/>
            <w:vAlign w:val="center"/>
          </w:tcPr>
          <w:p w:rsidR="00EE56C0" w:rsidRDefault="000F36A1">
            <w:pPr>
              <w:pStyle w:val="afa"/>
              <w:rPr>
                <w:u w:val="single"/>
              </w:rPr>
            </w:pPr>
            <w:r>
              <w:rPr>
                <w:rFonts w:hint="eastAsia"/>
                <w:u w:val="single"/>
              </w:rPr>
              <w:t>NH</w:t>
            </w:r>
            <w:r>
              <w:rPr>
                <w:rFonts w:hint="eastAsia"/>
                <w:u w:val="single"/>
                <w:vertAlign w:val="subscript"/>
              </w:rPr>
              <w:t>3</w:t>
            </w:r>
            <w:r>
              <w:rPr>
                <w:rFonts w:hint="eastAsia"/>
                <w:u w:val="single"/>
              </w:rPr>
              <w:t>-N</w:t>
            </w:r>
          </w:p>
        </w:tc>
        <w:tc>
          <w:tcPr>
            <w:tcW w:w="712" w:type="pct"/>
            <w:vAlign w:val="center"/>
          </w:tcPr>
          <w:p w:rsidR="00EE56C0" w:rsidRDefault="000F36A1">
            <w:pPr>
              <w:pStyle w:val="afa"/>
              <w:rPr>
                <w:rFonts w:eastAsia="宋体"/>
                <w:u w:val="single"/>
              </w:rPr>
            </w:pPr>
            <w:r>
              <w:rPr>
                <w:u w:val="single"/>
              </w:rPr>
              <w:t xml:space="preserve">0.0313 </w:t>
            </w:r>
          </w:p>
        </w:tc>
        <w:tc>
          <w:tcPr>
            <w:tcW w:w="715" w:type="pct"/>
            <w:vAlign w:val="center"/>
          </w:tcPr>
          <w:p w:rsidR="00EE56C0" w:rsidRDefault="000F36A1">
            <w:pPr>
              <w:pStyle w:val="afa"/>
              <w:rPr>
                <w:rFonts w:eastAsia="宋体"/>
                <w:u w:val="single"/>
              </w:rPr>
            </w:pPr>
            <w:r>
              <w:rPr>
                <w:u w:val="single"/>
              </w:rPr>
              <w:t xml:space="preserve">0.0249 </w:t>
            </w:r>
          </w:p>
        </w:tc>
        <w:tc>
          <w:tcPr>
            <w:tcW w:w="750" w:type="pct"/>
            <w:vAlign w:val="center"/>
          </w:tcPr>
          <w:p w:rsidR="00EE56C0" w:rsidRDefault="000F36A1">
            <w:pPr>
              <w:pStyle w:val="afa"/>
              <w:rPr>
                <w:rFonts w:eastAsia="宋体"/>
                <w:u w:val="single"/>
              </w:rPr>
            </w:pPr>
            <w:r>
              <w:rPr>
                <w:u w:val="single"/>
              </w:rPr>
              <w:t xml:space="preserve">0.0064 </w:t>
            </w:r>
          </w:p>
        </w:tc>
        <w:tc>
          <w:tcPr>
            <w:tcW w:w="723" w:type="pct"/>
            <w:vAlign w:val="center"/>
          </w:tcPr>
          <w:p w:rsidR="00EE56C0" w:rsidRDefault="000F36A1">
            <w:pPr>
              <w:pStyle w:val="afa"/>
              <w:rPr>
                <w:rFonts w:eastAsia="宋体"/>
                <w:u w:val="single"/>
              </w:rPr>
            </w:pPr>
            <w:r>
              <w:rPr>
                <w:u w:val="single"/>
              </w:rPr>
              <w:t xml:space="preserve">0.0032 </w:t>
            </w:r>
          </w:p>
        </w:tc>
        <w:tc>
          <w:tcPr>
            <w:tcW w:w="721" w:type="pct"/>
            <w:vAlign w:val="center"/>
          </w:tcPr>
          <w:p w:rsidR="00EE56C0" w:rsidRDefault="000F36A1">
            <w:pPr>
              <w:pStyle w:val="afa"/>
              <w:rPr>
                <w:rFonts w:eastAsia="宋体"/>
                <w:u w:val="single"/>
              </w:rPr>
            </w:pPr>
            <w:r>
              <w:rPr>
                <w:u w:val="single"/>
              </w:rPr>
              <w:t xml:space="preserve">0.0032 </w:t>
            </w:r>
          </w:p>
        </w:tc>
      </w:tr>
      <w:tr w:rsidR="00EE56C0">
        <w:trPr>
          <w:trHeight w:val="454"/>
          <w:jc w:val="center"/>
        </w:trPr>
        <w:tc>
          <w:tcPr>
            <w:tcW w:w="322" w:type="pct"/>
            <w:vMerge/>
            <w:vAlign w:val="center"/>
          </w:tcPr>
          <w:p w:rsidR="00EE56C0" w:rsidRDefault="00EE56C0">
            <w:pPr>
              <w:pStyle w:val="afa"/>
              <w:rPr>
                <w:u w:val="single"/>
              </w:rPr>
            </w:pPr>
          </w:p>
        </w:tc>
        <w:tc>
          <w:tcPr>
            <w:tcW w:w="1057" w:type="pct"/>
            <w:gridSpan w:val="3"/>
            <w:vAlign w:val="center"/>
          </w:tcPr>
          <w:p w:rsidR="00EE56C0" w:rsidRDefault="000F36A1">
            <w:pPr>
              <w:pStyle w:val="afa"/>
              <w:rPr>
                <w:u w:val="single"/>
              </w:rPr>
            </w:pPr>
            <w:r>
              <w:rPr>
                <w:u w:val="single"/>
              </w:rPr>
              <w:t>T</w:t>
            </w:r>
            <w:r>
              <w:rPr>
                <w:rFonts w:hint="eastAsia"/>
                <w:u w:val="single"/>
              </w:rPr>
              <w:t xml:space="preserve">P </w:t>
            </w:r>
          </w:p>
        </w:tc>
        <w:tc>
          <w:tcPr>
            <w:tcW w:w="712" w:type="pct"/>
            <w:vAlign w:val="center"/>
          </w:tcPr>
          <w:p w:rsidR="00EE56C0" w:rsidRDefault="000F36A1">
            <w:pPr>
              <w:pStyle w:val="afa"/>
              <w:rPr>
                <w:rFonts w:eastAsia="宋体"/>
                <w:u w:val="single"/>
              </w:rPr>
            </w:pPr>
            <w:r>
              <w:rPr>
                <w:u w:val="single"/>
              </w:rPr>
              <w:t xml:space="preserve">0.0051 </w:t>
            </w:r>
          </w:p>
        </w:tc>
        <w:tc>
          <w:tcPr>
            <w:tcW w:w="715" w:type="pct"/>
            <w:vAlign w:val="center"/>
          </w:tcPr>
          <w:p w:rsidR="00EE56C0" w:rsidRDefault="000F36A1">
            <w:pPr>
              <w:pStyle w:val="afa"/>
              <w:rPr>
                <w:rFonts w:eastAsia="宋体"/>
                <w:u w:val="single"/>
              </w:rPr>
            </w:pPr>
            <w:r>
              <w:rPr>
                <w:u w:val="single"/>
              </w:rPr>
              <w:t xml:space="preserve">0.0029 </w:t>
            </w:r>
          </w:p>
        </w:tc>
        <w:tc>
          <w:tcPr>
            <w:tcW w:w="750" w:type="pct"/>
            <w:vAlign w:val="center"/>
          </w:tcPr>
          <w:p w:rsidR="00EE56C0" w:rsidRDefault="000F36A1">
            <w:pPr>
              <w:pStyle w:val="afa"/>
              <w:rPr>
                <w:rFonts w:eastAsia="宋体"/>
                <w:u w:val="single"/>
              </w:rPr>
            </w:pPr>
            <w:r>
              <w:rPr>
                <w:u w:val="single"/>
              </w:rPr>
              <w:t xml:space="preserve">0.0022 </w:t>
            </w:r>
          </w:p>
        </w:tc>
        <w:tc>
          <w:tcPr>
            <w:tcW w:w="723" w:type="pct"/>
            <w:vAlign w:val="center"/>
          </w:tcPr>
          <w:p w:rsidR="00EE56C0" w:rsidRDefault="000F36A1">
            <w:pPr>
              <w:pStyle w:val="afa"/>
              <w:rPr>
                <w:rFonts w:eastAsia="宋体"/>
                <w:u w:val="single"/>
              </w:rPr>
            </w:pPr>
            <w:r>
              <w:rPr>
                <w:u w:val="single"/>
              </w:rPr>
              <w:t xml:space="preserve">0.0006 </w:t>
            </w:r>
          </w:p>
        </w:tc>
        <w:tc>
          <w:tcPr>
            <w:tcW w:w="721" w:type="pct"/>
            <w:vAlign w:val="center"/>
          </w:tcPr>
          <w:p w:rsidR="00EE56C0" w:rsidRDefault="000F36A1">
            <w:pPr>
              <w:pStyle w:val="afa"/>
              <w:rPr>
                <w:rFonts w:eastAsia="宋体"/>
                <w:u w:val="single"/>
              </w:rPr>
            </w:pPr>
            <w:r>
              <w:rPr>
                <w:u w:val="single"/>
              </w:rPr>
              <w:t xml:space="preserve">0.0006 </w:t>
            </w:r>
          </w:p>
        </w:tc>
      </w:tr>
      <w:tr w:rsidR="00EE56C0">
        <w:trPr>
          <w:trHeight w:val="454"/>
          <w:jc w:val="center"/>
        </w:trPr>
        <w:tc>
          <w:tcPr>
            <w:tcW w:w="322" w:type="pct"/>
            <w:vMerge/>
            <w:vAlign w:val="center"/>
          </w:tcPr>
          <w:p w:rsidR="00EE56C0" w:rsidRDefault="00EE56C0">
            <w:pPr>
              <w:pStyle w:val="afa"/>
              <w:rPr>
                <w:u w:val="single"/>
              </w:rPr>
            </w:pPr>
          </w:p>
        </w:tc>
        <w:tc>
          <w:tcPr>
            <w:tcW w:w="1057" w:type="pct"/>
            <w:gridSpan w:val="3"/>
            <w:vAlign w:val="center"/>
          </w:tcPr>
          <w:p w:rsidR="00EE56C0" w:rsidRDefault="000F36A1">
            <w:pPr>
              <w:pStyle w:val="afa"/>
              <w:rPr>
                <w:u w:val="single"/>
              </w:rPr>
            </w:pPr>
            <w:r>
              <w:rPr>
                <w:rFonts w:hint="eastAsia"/>
                <w:u w:val="single"/>
              </w:rPr>
              <w:t>TN</w:t>
            </w:r>
          </w:p>
        </w:tc>
        <w:tc>
          <w:tcPr>
            <w:tcW w:w="712" w:type="pct"/>
            <w:vAlign w:val="center"/>
          </w:tcPr>
          <w:p w:rsidR="00EE56C0" w:rsidRDefault="000F36A1">
            <w:pPr>
              <w:pStyle w:val="afa"/>
              <w:rPr>
                <w:rFonts w:eastAsia="宋体"/>
                <w:u w:val="single"/>
              </w:rPr>
            </w:pPr>
            <w:r>
              <w:rPr>
                <w:u w:val="single"/>
              </w:rPr>
              <w:t xml:space="preserve">0.0378 </w:t>
            </w:r>
          </w:p>
        </w:tc>
        <w:tc>
          <w:tcPr>
            <w:tcW w:w="715" w:type="pct"/>
            <w:vAlign w:val="center"/>
          </w:tcPr>
          <w:p w:rsidR="00EE56C0" w:rsidRDefault="000F36A1">
            <w:pPr>
              <w:pStyle w:val="afa"/>
              <w:rPr>
                <w:rFonts w:eastAsia="宋体"/>
                <w:u w:val="single"/>
              </w:rPr>
            </w:pPr>
            <w:r>
              <w:rPr>
                <w:u w:val="single"/>
              </w:rPr>
              <w:t xml:space="preserve">0.0258 </w:t>
            </w:r>
          </w:p>
        </w:tc>
        <w:tc>
          <w:tcPr>
            <w:tcW w:w="750" w:type="pct"/>
            <w:vAlign w:val="center"/>
          </w:tcPr>
          <w:p w:rsidR="00EE56C0" w:rsidRDefault="000F36A1">
            <w:pPr>
              <w:pStyle w:val="afa"/>
              <w:rPr>
                <w:rFonts w:eastAsia="宋体"/>
                <w:u w:val="single"/>
              </w:rPr>
            </w:pPr>
            <w:r>
              <w:rPr>
                <w:u w:val="single"/>
              </w:rPr>
              <w:t xml:space="preserve">0.0120 </w:t>
            </w:r>
          </w:p>
        </w:tc>
        <w:tc>
          <w:tcPr>
            <w:tcW w:w="723" w:type="pct"/>
            <w:vAlign w:val="center"/>
          </w:tcPr>
          <w:p w:rsidR="00EE56C0" w:rsidRDefault="000F36A1">
            <w:pPr>
              <w:pStyle w:val="afa"/>
              <w:rPr>
                <w:rFonts w:eastAsia="宋体"/>
                <w:u w:val="single"/>
              </w:rPr>
            </w:pPr>
            <w:r>
              <w:rPr>
                <w:u w:val="single"/>
              </w:rPr>
              <w:t xml:space="preserve">0.0243 </w:t>
            </w:r>
          </w:p>
        </w:tc>
        <w:tc>
          <w:tcPr>
            <w:tcW w:w="721" w:type="pct"/>
            <w:vAlign w:val="center"/>
          </w:tcPr>
          <w:p w:rsidR="00EE56C0" w:rsidRDefault="000F36A1">
            <w:pPr>
              <w:pStyle w:val="afa"/>
              <w:rPr>
                <w:rFonts w:ascii="宋体" w:eastAsia="宋体" w:hAnsi="宋体" w:cs="宋体"/>
                <w:u w:val="single"/>
              </w:rPr>
            </w:pPr>
            <w:r>
              <w:rPr>
                <w:rFonts w:hint="eastAsia"/>
                <w:u w:val="single"/>
              </w:rPr>
              <w:t>0.0243</w:t>
            </w:r>
          </w:p>
        </w:tc>
      </w:tr>
      <w:tr w:rsidR="00EE56C0">
        <w:trPr>
          <w:trHeight w:val="454"/>
          <w:jc w:val="center"/>
        </w:trPr>
        <w:tc>
          <w:tcPr>
            <w:tcW w:w="322" w:type="pct"/>
            <w:vMerge/>
            <w:vAlign w:val="center"/>
          </w:tcPr>
          <w:p w:rsidR="00EE56C0" w:rsidRDefault="00EE56C0">
            <w:pPr>
              <w:pStyle w:val="afa"/>
              <w:rPr>
                <w:u w:val="single"/>
              </w:rPr>
            </w:pPr>
          </w:p>
        </w:tc>
        <w:tc>
          <w:tcPr>
            <w:tcW w:w="1057" w:type="pct"/>
            <w:gridSpan w:val="3"/>
            <w:vAlign w:val="center"/>
          </w:tcPr>
          <w:p w:rsidR="00EE56C0" w:rsidRDefault="000F36A1">
            <w:pPr>
              <w:pStyle w:val="afa"/>
              <w:rPr>
                <w:u w:val="single"/>
              </w:rPr>
            </w:pPr>
            <w:r>
              <w:rPr>
                <w:u w:val="single"/>
              </w:rPr>
              <w:t>水量（</w:t>
            </w:r>
            <w:r>
              <w:rPr>
                <w:u w:val="single"/>
              </w:rPr>
              <w:t>t/a</w:t>
            </w:r>
            <w:r>
              <w:rPr>
                <w:u w:val="single"/>
              </w:rPr>
              <w:t>）</w:t>
            </w:r>
          </w:p>
        </w:tc>
        <w:tc>
          <w:tcPr>
            <w:tcW w:w="712" w:type="pct"/>
            <w:vAlign w:val="center"/>
          </w:tcPr>
          <w:p w:rsidR="00EE56C0" w:rsidRDefault="000F36A1">
            <w:pPr>
              <w:pStyle w:val="afa"/>
              <w:rPr>
                <w:rFonts w:eastAsia="宋体"/>
                <w:u w:val="single"/>
              </w:rPr>
            </w:pPr>
            <w:r>
              <w:rPr>
                <w:u w:val="single"/>
              </w:rPr>
              <w:t>1623</w:t>
            </w:r>
          </w:p>
        </w:tc>
        <w:tc>
          <w:tcPr>
            <w:tcW w:w="715" w:type="pct"/>
            <w:vAlign w:val="center"/>
          </w:tcPr>
          <w:p w:rsidR="00EE56C0" w:rsidRDefault="000F36A1">
            <w:pPr>
              <w:pStyle w:val="afa"/>
              <w:rPr>
                <w:rFonts w:eastAsia="宋体"/>
                <w:u w:val="single"/>
              </w:rPr>
            </w:pPr>
            <w:r>
              <w:rPr>
                <w:u w:val="single"/>
              </w:rPr>
              <w:t>0</w:t>
            </w:r>
          </w:p>
        </w:tc>
        <w:tc>
          <w:tcPr>
            <w:tcW w:w="750" w:type="pct"/>
            <w:vAlign w:val="center"/>
          </w:tcPr>
          <w:p w:rsidR="00EE56C0" w:rsidRDefault="000F36A1">
            <w:pPr>
              <w:pStyle w:val="afa"/>
              <w:rPr>
                <w:rFonts w:eastAsia="宋体"/>
                <w:u w:val="single"/>
              </w:rPr>
            </w:pPr>
            <w:r>
              <w:rPr>
                <w:u w:val="single"/>
              </w:rPr>
              <w:t>1623</w:t>
            </w:r>
          </w:p>
        </w:tc>
        <w:tc>
          <w:tcPr>
            <w:tcW w:w="723" w:type="pct"/>
            <w:vAlign w:val="center"/>
          </w:tcPr>
          <w:p w:rsidR="00EE56C0" w:rsidRDefault="000F36A1">
            <w:pPr>
              <w:pStyle w:val="afa"/>
              <w:rPr>
                <w:rFonts w:eastAsia="宋体"/>
                <w:u w:val="single"/>
              </w:rPr>
            </w:pPr>
            <w:r>
              <w:rPr>
                <w:u w:val="single"/>
              </w:rPr>
              <w:t>1623</w:t>
            </w:r>
          </w:p>
        </w:tc>
        <w:tc>
          <w:tcPr>
            <w:tcW w:w="721" w:type="pct"/>
            <w:vAlign w:val="center"/>
          </w:tcPr>
          <w:p w:rsidR="00EE56C0" w:rsidRDefault="000F36A1">
            <w:pPr>
              <w:pStyle w:val="afa"/>
              <w:rPr>
                <w:u w:val="single"/>
              </w:rPr>
            </w:pPr>
            <w:r>
              <w:rPr>
                <w:u w:val="single"/>
              </w:rPr>
              <w:t>1623</w:t>
            </w:r>
          </w:p>
        </w:tc>
      </w:tr>
      <w:tr w:rsidR="00EE56C0">
        <w:trPr>
          <w:trHeight w:val="454"/>
          <w:jc w:val="center"/>
        </w:trPr>
        <w:tc>
          <w:tcPr>
            <w:tcW w:w="322" w:type="pct"/>
            <w:vMerge w:val="restart"/>
            <w:tcBorders>
              <w:top w:val="single" w:sz="4" w:space="0" w:color="auto"/>
            </w:tcBorders>
            <w:vAlign w:val="center"/>
          </w:tcPr>
          <w:p w:rsidR="00EE56C0" w:rsidRDefault="000F36A1">
            <w:pPr>
              <w:pStyle w:val="afa"/>
              <w:rPr>
                <w:u w:val="single"/>
              </w:rPr>
            </w:pPr>
            <w:r>
              <w:rPr>
                <w:u w:val="single"/>
              </w:rPr>
              <w:t>废气</w:t>
            </w:r>
          </w:p>
        </w:tc>
        <w:tc>
          <w:tcPr>
            <w:tcW w:w="266" w:type="pct"/>
            <w:vMerge w:val="restart"/>
            <w:tcBorders>
              <w:top w:val="single" w:sz="4" w:space="0" w:color="auto"/>
              <w:right w:val="single" w:sz="4" w:space="0" w:color="auto"/>
            </w:tcBorders>
            <w:vAlign w:val="center"/>
          </w:tcPr>
          <w:p w:rsidR="00EE56C0" w:rsidRDefault="000F36A1">
            <w:pPr>
              <w:pStyle w:val="afa"/>
              <w:rPr>
                <w:u w:val="single"/>
              </w:rPr>
            </w:pPr>
            <w:r>
              <w:rPr>
                <w:rFonts w:hint="eastAsia"/>
                <w:u w:val="single"/>
              </w:rPr>
              <w:t>有组织</w:t>
            </w:r>
          </w:p>
        </w:tc>
        <w:tc>
          <w:tcPr>
            <w:tcW w:w="223" w:type="pct"/>
            <w:vMerge w:val="restart"/>
            <w:tcBorders>
              <w:left w:val="single" w:sz="4" w:space="0" w:color="auto"/>
              <w:right w:val="single" w:sz="4" w:space="0" w:color="auto"/>
            </w:tcBorders>
            <w:vAlign w:val="center"/>
          </w:tcPr>
          <w:p w:rsidR="00EE56C0" w:rsidRDefault="000F36A1">
            <w:pPr>
              <w:pStyle w:val="afa"/>
              <w:rPr>
                <w:u w:val="single"/>
              </w:rPr>
            </w:pPr>
            <w:r>
              <w:rPr>
                <w:rFonts w:hint="eastAsia"/>
                <w:u w:val="single"/>
              </w:rPr>
              <w:t>VOCs</w:t>
            </w:r>
          </w:p>
        </w:tc>
        <w:tc>
          <w:tcPr>
            <w:tcW w:w="568" w:type="pct"/>
            <w:tcBorders>
              <w:left w:val="single" w:sz="4" w:space="0" w:color="auto"/>
            </w:tcBorders>
            <w:vAlign w:val="center"/>
          </w:tcPr>
          <w:p w:rsidR="00EE56C0" w:rsidRDefault="000F36A1">
            <w:pPr>
              <w:pStyle w:val="afa"/>
              <w:rPr>
                <w:u w:val="single"/>
              </w:rPr>
            </w:pPr>
            <w:r>
              <w:rPr>
                <w:rFonts w:hint="eastAsia"/>
                <w:u w:val="single"/>
              </w:rPr>
              <w:t>酚</w:t>
            </w:r>
          </w:p>
        </w:tc>
        <w:tc>
          <w:tcPr>
            <w:tcW w:w="712" w:type="pct"/>
            <w:vAlign w:val="center"/>
          </w:tcPr>
          <w:p w:rsidR="00EE56C0" w:rsidRDefault="000F36A1">
            <w:pPr>
              <w:pStyle w:val="afa"/>
              <w:rPr>
                <w:rFonts w:eastAsia="宋体"/>
                <w:u w:val="single"/>
              </w:rPr>
            </w:pPr>
            <w:r>
              <w:rPr>
                <w:u w:val="single"/>
              </w:rPr>
              <w:t>368</w:t>
            </w:r>
          </w:p>
        </w:tc>
        <w:tc>
          <w:tcPr>
            <w:tcW w:w="715" w:type="pct"/>
            <w:vAlign w:val="center"/>
          </w:tcPr>
          <w:p w:rsidR="00EE56C0" w:rsidRDefault="000F36A1">
            <w:pPr>
              <w:pStyle w:val="afa"/>
              <w:rPr>
                <w:rFonts w:eastAsia="宋体"/>
                <w:u w:val="single"/>
              </w:rPr>
            </w:pPr>
            <w:r>
              <w:rPr>
                <w:u w:val="single"/>
              </w:rPr>
              <w:t xml:space="preserve">367.9186 </w:t>
            </w:r>
          </w:p>
        </w:tc>
        <w:tc>
          <w:tcPr>
            <w:tcW w:w="750" w:type="pct"/>
            <w:vAlign w:val="center"/>
          </w:tcPr>
          <w:p w:rsidR="00EE56C0" w:rsidRDefault="000F36A1">
            <w:pPr>
              <w:pStyle w:val="afa"/>
              <w:rPr>
                <w:rFonts w:eastAsia="宋体"/>
                <w:u w:val="single"/>
              </w:rPr>
            </w:pPr>
            <w:r>
              <w:rPr>
                <w:u w:val="single"/>
              </w:rPr>
              <w:t xml:space="preserve">0.0814 </w:t>
            </w:r>
          </w:p>
        </w:tc>
        <w:tc>
          <w:tcPr>
            <w:tcW w:w="723" w:type="pct"/>
            <w:vAlign w:val="center"/>
          </w:tcPr>
          <w:p w:rsidR="00EE56C0" w:rsidRDefault="000F36A1">
            <w:pPr>
              <w:pStyle w:val="afa"/>
              <w:rPr>
                <w:rFonts w:eastAsia="宋体"/>
                <w:u w:val="single"/>
              </w:rPr>
            </w:pPr>
            <w:r>
              <w:rPr>
                <w:u w:val="single"/>
              </w:rPr>
              <w:t xml:space="preserve">0.0814 </w:t>
            </w:r>
          </w:p>
        </w:tc>
        <w:tc>
          <w:tcPr>
            <w:tcW w:w="721" w:type="pct"/>
            <w:vAlign w:val="center"/>
          </w:tcPr>
          <w:p w:rsidR="00EE56C0" w:rsidRDefault="000F36A1">
            <w:pPr>
              <w:pStyle w:val="afa"/>
              <w:rPr>
                <w:rFonts w:eastAsia="宋体"/>
                <w:u w:val="single"/>
              </w:rPr>
            </w:pPr>
            <w:r>
              <w:rPr>
                <w:u w:val="single"/>
              </w:rPr>
              <w:t xml:space="preserve">0.0814 </w:t>
            </w:r>
          </w:p>
        </w:tc>
      </w:tr>
      <w:tr w:rsidR="00EE56C0">
        <w:trPr>
          <w:trHeight w:val="454"/>
          <w:jc w:val="center"/>
        </w:trPr>
        <w:tc>
          <w:tcPr>
            <w:tcW w:w="322" w:type="pct"/>
            <w:vMerge/>
            <w:vAlign w:val="center"/>
          </w:tcPr>
          <w:p w:rsidR="00EE56C0" w:rsidRDefault="00EE56C0">
            <w:pPr>
              <w:pStyle w:val="afa"/>
              <w:rPr>
                <w:u w:val="single"/>
              </w:rPr>
            </w:pPr>
          </w:p>
        </w:tc>
        <w:tc>
          <w:tcPr>
            <w:tcW w:w="266" w:type="pct"/>
            <w:vMerge/>
            <w:tcBorders>
              <w:right w:val="single" w:sz="4" w:space="0" w:color="auto"/>
            </w:tcBorders>
            <w:vAlign w:val="center"/>
          </w:tcPr>
          <w:p w:rsidR="00EE56C0" w:rsidRDefault="00EE56C0">
            <w:pPr>
              <w:pStyle w:val="afa"/>
              <w:rPr>
                <w:u w:val="single"/>
              </w:rPr>
            </w:pPr>
          </w:p>
        </w:tc>
        <w:tc>
          <w:tcPr>
            <w:tcW w:w="223" w:type="pct"/>
            <w:vMerge/>
            <w:tcBorders>
              <w:left w:val="single" w:sz="4" w:space="0" w:color="auto"/>
              <w:right w:val="single" w:sz="4" w:space="0" w:color="auto"/>
            </w:tcBorders>
            <w:vAlign w:val="center"/>
          </w:tcPr>
          <w:p w:rsidR="00EE56C0" w:rsidRDefault="00EE56C0">
            <w:pPr>
              <w:pStyle w:val="afa"/>
              <w:rPr>
                <w:u w:val="single"/>
              </w:rPr>
            </w:pPr>
          </w:p>
        </w:tc>
        <w:tc>
          <w:tcPr>
            <w:tcW w:w="568" w:type="pct"/>
            <w:tcBorders>
              <w:left w:val="single" w:sz="4" w:space="0" w:color="auto"/>
            </w:tcBorders>
            <w:vAlign w:val="center"/>
          </w:tcPr>
          <w:p w:rsidR="00EE56C0" w:rsidRDefault="000F36A1">
            <w:pPr>
              <w:pStyle w:val="afa"/>
              <w:rPr>
                <w:u w:val="single"/>
              </w:rPr>
            </w:pPr>
            <w:r>
              <w:rPr>
                <w:u w:val="single"/>
              </w:rPr>
              <w:t>非甲烷总烃</w:t>
            </w:r>
          </w:p>
        </w:tc>
        <w:tc>
          <w:tcPr>
            <w:tcW w:w="712" w:type="pct"/>
            <w:vAlign w:val="center"/>
          </w:tcPr>
          <w:p w:rsidR="00EE56C0" w:rsidRDefault="000F36A1">
            <w:pPr>
              <w:pStyle w:val="afa"/>
              <w:rPr>
                <w:rFonts w:eastAsia="宋体"/>
                <w:u w:val="single"/>
              </w:rPr>
            </w:pPr>
            <w:r>
              <w:rPr>
                <w:u w:val="single"/>
              </w:rPr>
              <w:t>228.675</w:t>
            </w:r>
          </w:p>
        </w:tc>
        <w:tc>
          <w:tcPr>
            <w:tcW w:w="715" w:type="pct"/>
            <w:vAlign w:val="center"/>
          </w:tcPr>
          <w:p w:rsidR="00EE56C0" w:rsidRDefault="000F36A1">
            <w:pPr>
              <w:pStyle w:val="afa"/>
              <w:rPr>
                <w:rFonts w:eastAsia="宋体"/>
                <w:u w:val="single"/>
              </w:rPr>
            </w:pPr>
            <w:r>
              <w:rPr>
                <w:u w:val="single"/>
              </w:rPr>
              <w:t xml:space="preserve">228.5685 </w:t>
            </w:r>
          </w:p>
        </w:tc>
        <w:tc>
          <w:tcPr>
            <w:tcW w:w="750" w:type="pct"/>
            <w:vAlign w:val="center"/>
          </w:tcPr>
          <w:p w:rsidR="00EE56C0" w:rsidRDefault="000F36A1">
            <w:pPr>
              <w:pStyle w:val="afa"/>
              <w:rPr>
                <w:rFonts w:eastAsia="宋体"/>
                <w:u w:val="single"/>
              </w:rPr>
            </w:pPr>
            <w:r>
              <w:rPr>
                <w:u w:val="single"/>
              </w:rPr>
              <w:t xml:space="preserve">0.1065 </w:t>
            </w:r>
          </w:p>
        </w:tc>
        <w:tc>
          <w:tcPr>
            <w:tcW w:w="723" w:type="pct"/>
            <w:vAlign w:val="center"/>
          </w:tcPr>
          <w:p w:rsidR="00EE56C0" w:rsidRDefault="000F36A1">
            <w:pPr>
              <w:pStyle w:val="afa"/>
              <w:rPr>
                <w:rFonts w:eastAsia="宋体"/>
                <w:u w:val="single"/>
              </w:rPr>
            </w:pPr>
            <w:r>
              <w:rPr>
                <w:u w:val="single"/>
              </w:rPr>
              <w:t xml:space="preserve">0.1065 </w:t>
            </w:r>
          </w:p>
        </w:tc>
        <w:tc>
          <w:tcPr>
            <w:tcW w:w="721" w:type="pct"/>
            <w:vAlign w:val="center"/>
          </w:tcPr>
          <w:p w:rsidR="00EE56C0" w:rsidRDefault="000F36A1">
            <w:pPr>
              <w:pStyle w:val="afa"/>
              <w:rPr>
                <w:rFonts w:eastAsia="宋体"/>
                <w:u w:val="single"/>
              </w:rPr>
            </w:pPr>
            <w:r>
              <w:rPr>
                <w:u w:val="single"/>
              </w:rPr>
              <w:t xml:space="preserve">0.1065 </w:t>
            </w:r>
          </w:p>
        </w:tc>
      </w:tr>
      <w:tr w:rsidR="00EE56C0">
        <w:trPr>
          <w:trHeight w:val="454"/>
          <w:jc w:val="center"/>
        </w:trPr>
        <w:tc>
          <w:tcPr>
            <w:tcW w:w="322" w:type="pct"/>
            <w:vMerge/>
            <w:vAlign w:val="center"/>
          </w:tcPr>
          <w:p w:rsidR="00EE56C0" w:rsidRDefault="00EE56C0">
            <w:pPr>
              <w:pStyle w:val="afa"/>
              <w:rPr>
                <w:u w:val="single"/>
              </w:rPr>
            </w:pPr>
          </w:p>
        </w:tc>
        <w:tc>
          <w:tcPr>
            <w:tcW w:w="266" w:type="pct"/>
            <w:vMerge/>
            <w:tcBorders>
              <w:right w:val="single" w:sz="4" w:space="0" w:color="auto"/>
            </w:tcBorders>
            <w:vAlign w:val="center"/>
          </w:tcPr>
          <w:p w:rsidR="00EE56C0" w:rsidRDefault="00EE56C0">
            <w:pPr>
              <w:pStyle w:val="afa"/>
              <w:rPr>
                <w:u w:val="single"/>
              </w:rPr>
            </w:pPr>
          </w:p>
        </w:tc>
        <w:tc>
          <w:tcPr>
            <w:tcW w:w="223" w:type="pct"/>
            <w:vMerge/>
            <w:tcBorders>
              <w:left w:val="single" w:sz="4" w:space="0" w:color="auto"/>
              <w:right w:val="single" w:sz="4" w:space="0" w:color="auto"/>
            </w:tcBorders>
            <w:vAlign w:val="center"/>
          </w:tcPr>
          <w:p w:rsidR="00EE56C0" w:rsidRDefault="00EE56C0">
            <w:pPr>
              <w:pStyle w:val="afa"/>
              <w:rPr>
                <w:u w:val="single"/>
              </w:rPr>
            </w:pPr>
          </w:p>
        </w:tc>
        <w:tc>
          <w:tcPr>
            <w:tcW w:w="568" w:type="pct"/>
            <w:tcBorders>
              <w:left w:val="single" w:sz="4" w:space="0" w:color="auto"/>
            </w:tcBorders>
            <w:vAlign w:val="center"/>
          </w:tcPr>
          <w:p w:rsidR="00EE56C0" w:rsidRDefault="000F36A1">
            <w:pPr>
              <w:pStyle w:val="afa"/>
              <w:rPr>
                <w:u w:val="single"/>
              </w:rPr>
            </w:pPr>
            <w:r>
              <w:rPr>
                <w:rFonts w:hint="eastAsia"/>
                <w:u w:val="single"/>
              </w:rPr>
              <w:t>二甲苯</w:t>
            </w:r>
          </w:p>
        </w:tc>
        <w:tc>
          <w:tcPr>
            <w:tcW w:w="712" w:type="pct"/>
            <w:vAlign w:val="center"/>
          </w:tcPr>
          <w:p w:rsidR="00EE56C0" w:rsidRDefault="000F36A1">
            <w:pPr>
              <w:pStyle w:val="afa"/>
              <w:rPr>
                <w:rFonts w:eastAsia="宋体"/>
                <w:u w:val="single"/>
              </w:rPr>
            </w:pPr>
            <w:r>
              <w:rPr>
                <w:u w:val="single"/>
              </w:rPr>
              <w:t>48.525</w:t>
            </w:r>
          </w:p>
        </w:tc>
        <w:tc>
          <w:tcPr>
            <w:tcW w:w="715" w:type="pct"/>
            <w:vAlign w:val="center"/>
          </w:tcPr>
          <w:p w:rsidR="00EE56C0" w:rsidRDefault="000F36A1">
            <w:pPr>
              <w:pStyle w:val="afa"/>
              <w:rPr>
                <w:rFonts w:eastAsia="宋体"/>
                <w:u w:val="single"/>
              </w:rPr>
            </w:pPr>
            <w:r>
              <w:rPr>
                <w:u w:val="single"/>
              </w:rPr>
              <w:t xml:space="preserve">48.3414 </w:t>
            </w:r>
          </w:p>
        </w:tc>
        <w:tc>
          <w:tcPr>
            <w:tcW w:w="750" w:type="pct"/>
            <w:vAlign w:val="center"/>
          </w:tcPr>
          <w:p w:rsidR="00EE56C0" w:rsidRDefault="000F36A1">
            <w:pPr>
              <w:pStyle w:val="afa"/>
              <w:rPr>
                <w:rFonts w:eastAsia="宋体"/>
                <w:u w:val="single"/>
              </w:rPr>
            </w:pPr>
            <w:r>
              <w:rPr>
                <w:u w:val="single"/>
              </w:rPr>
              <w:t xml:space="preserve">0.1836 </w:t>
            </w:r>
          </w:p>
        </w:tc>
        <w:tc>
          <w:tcPr>
            <w:tcW w:w="723" w:type="pct"/>
            <w:vAlign w:val="center"/>
          </w:tcPr>
          <w:p w:rsidR="00EE56C0" w:rsidRDefault="000F36A1">
            <w:pPr>
              <w:pStyle w:val="afa"/>
              <w:rPr>
                <w:rFonts w:eastAsia="宋体"/>
                <w:u w:val="single"/>
              </w:rPr>
            </w:pPr>
            <w:r>
              <w:rPr>
                <w:u w:val="single"/>
              </w:rPr>
              <w:t xml:space="preserve">0.1836 </w:t>
            </w:r>
          </w:p>
        </w:tc>
        <w:tc>
          <w:tcPr>
            <w:tcW w:w="721" w:type="pct"/>
            <w:vAlign w:val="center"/>
          </w:tcPr>
          <w:p w:rsidR="00EE56C0" w:rsidRDefault="000F36A1">
            <w:pPr>
              <w:pStyle w:val="afa"/>
              <w:rPr>
                <w:rFonts w:eastAsia="宋体"/>
                <w:u w:val="single"/>
              </w:rPr>
            </w:pPr>
            <w:r>
              <w:rPr>
                <w:u w:val="single"/>
              </w:rPr>
              <w:t xml:space="preserve">0.1836 </w:t>
            </w:r>
          </w:p>
        </w:tc>
      </w:tr>
      <w:tr w:rsidR="00EE56C0">
        <w:trPr>
          <w:trHeight w:val="454"/>
          <w:jc w:val="center"/>
        </w:trPr>
        <w:tc>
          <w:tcPr>
            <w:tcW w:w="322" w:type="pct"/>
            <w:vMerge/>
            <w:vAlign w:val="center"/>
          </w:tcPr>
          <w:p w:rsidR="00EE56C0" w:rsidRDefault="00EE56C0">
            <w:pPr>
              <w:pStyle w:val="afa"/>
              <w:rPr>
                <w:u w:val="single"/>
              </w:rPr>
            </w:pPr>
          </w:p>
        </w:tc>
        <w:tc>
          <w:tcPr>
            <w:tcW w:w="266" w:type="pct"/>
            <w:vMerge/>
            <w:tcBorders>
              <w:right w:val="single" w:sz="4" w:space="0" w:color="auto"/>
            </w:tcBorders>
            <w:vAlign w:val="center"/>
          </w:tcPr>
          <w:p w:rsidR="00EE56C0" w:rsidRDefault="00EE56C0">
            <w:pPr>
              <w:pStyle w:val="afa"/>
              <w:rPr>
                <w:u w:val="single"/>
              </w:rPr>
            </w:pPr>
          </w:p>
        </w:tc>
        <w:tc>
          <w:tcPr>
            <w:tcW w:w="223" w:type="pct"/>
            <w:vMerge/>
            <w:tcBorders>
              <w:left w:val="single" w:sz="4" w:space="0" w:color="auto"/>
              <w:right w:val="single" w:sz="4" w:space="0" w:color="auto"/>
            </w:tcBorders>
            <w:vAlign w:val="center"/>
          </w:tcPr>
          <w:p w:rsidR="00EE56C0" w:rsidRDefault="00EE56C0">
            <w:pPr>
              <w:pStyle w:val="afa"/>
              <w:rPr>
                <w:u w:val="single"/>
              </w:rPr>
            </w:pPr>
          </w:p>
        </w:tc>
        <w:tc>
          <w:tcPr>
            <w:tcW w:w="568" w:type="pct"/>
            <w:tcBorders>
              <w:left w:val="single" w:sz="4" w:space="0" w:color="auto"/>
            </w:tcBorders>
            <w:vAlign w:val="center"/>
          </w:tcPr>
          <w:p w:rsidR="00EE56C0" w:rsidRDefault="000F36A1">
            <w:pPr>
              <w:pStyle w:val="afa"/>
              <w:rPr>
                <w:u w:val="single"/>
              </w:rPr>
            </w:pPr>
            <w:r>
              <w:rPr>
                <w:rFonts w:hint="eastAsia"/>
                <w:u w:val="single"/>
              </w:rPr>
              <w:t>甲苯</w:t>
            </w:r>
          </w:p>
        </w:tc>
        <w:tc>
          <w:tcPr>
            <w:tcW w:w="712" w:type="pct"/>
            <w:vAlign w:val="center"/>
          </w:tcPr>
          <w:p w:rsidR="00EE56C0" w:rsidRDefault="000F36A1">
            <w:pPr>
              <w:pStyle w:val="afa"/>
              <w:rPr>
                <w:rFonts w:eastAsia="宋体"/>
                <w:u w:val="single"/>
              </w:rPr>
            </w:pPr>
            <w:r>
              <w:rPr>
                <w:u w:val="single"/>
              </w:rPr>
              <w:t>8.775</w:t>
            </w:r>
          </w:p>
        </w:tc>
        <w:tc>
          <w:tcPr>
            <w:tcW w:w="715" w:type="pct"/>
            <w:vAlign w:val="center"/>
          </w:tcPr>
          <w:p w:rsidR="00EE56C0" w:rsidRDefault="000F36A1">
            <w:pPr>
              <w:pStyle w:val="afa"/>
              <w:rPr>
                <w:rFonts w:eastAsia="宋体"/>
                <w:u w:val="single"/>
              </w:rPr>
            </w:pPr>
            <w:r>
              <w:rPr>
                <w:u w:val="single"/>
              </w:rPr>
              <w:t xml:space="preserve">8.6004 </w:t>
            </w:r>
          </w:p>
        </w:tc>
        <w:tc>
          <w:tcPr>
            <w:tcW w:w="750" w:type="pct"/>
            <w:vAlign w:val="center"/>
          </w:tcPr>
          <w:p w:rsidR="00EE56C0" w:rsidRDefault="000F36A1">
            <w:pPr>
              <w:pStyle w:val="afa"/>
              <w:rPr>
                <w:rFonts w:eastAsia="宋体"/>
                <w:u w:val="single"/>
              </w:rPr>
            </w:pPr>
            <w:r>
              <w:rPr>
                <w:u w:val="single"/>
              </w:rPr>
              <w:t xml:space="preserve">0.1746 </w:t>
            </w:r>
          </w:p>
        </w:tc>
        <w:tc>
          <w:tcPr>
            <w:tcW w:w="723" w:type="pct"/>
            <w:vAlign w:val="center"/>
          </w:tcPr>
          <w:p w:rsidR="00EE56C0" w:rsidRDefault="000F36A1">
            <w:pPr>
              <w:pStyle w:val="afa"/>
              <w:rPr>
                <w:rFonts w:eastAsia="宋体"/>
                <w:u w:val="single"/>
              </w:rPr>
            </w:pPr>
            <w:r>
              <w:rPr>
                <w:u w:val="single"/>
              </w:rPr>
              <w:t xml:space="preserve">0.1746 </w:t>
            </w:r>
          </w:p>
        </w:tc>
        <w:tc>
          <w:tcPr>
            <w:tcW w:w="721" w:type="pct"/>
            <w:vAlign w:val="center"/>
          </w:tcPr>
          <w:p w:rsidR="00EE56C0" w:rsidRDefault="000F36A1">
            <w:pPr>
              <w:pStyle w:val="afa"/>
              <w:rPr>
                <w:rFonts w:eastAsia="宋体"/>
                <w:u w:val="single"/>
              </w:rPr>
            </w:pPr>
            <w:r>
              <w:rPr>
                <w:u w:val="single"/>
              </w:rPr>
              <w:t xml:space="preserve">0.1746 </w:t>
            </w:r>
          </w:p>
        </w:tc>
      </w:tr>
      <w:tr w:rsidR="00EE56C0">
        <w:trPr>
          <w:trHeight w:val="454"/>
          <w:jc w:val="center"/>
        </w:trPr>
        <w:tc>
          <w:tcPr>
            <w:tcW w:w="322" w:type="pct"/>
            <w:vMerge/>
            <w:vAlign w:val="center"/>
          </w:tcPr>
          <w:p w:rsidR="00EE56C0" w:rsidRDefault="00EE56C0">
            <w:pPr>
              <w:pStyle w:val="afa"/>
              <w:rPr>
                <w:u w:val="single"/>
              </w:rPr>
            </w:pPr>
          </w:p>
        </w:tc>
        <w:tc>
          <w:tcPr>
            <w:tcW w:w="266" w:type="pct"/>
            <w:vMerge/>
            <w:tcBorders>
              <w:right w:val="single" w:sz="4" w:space="0" w:color="auto"/>
            </w:tcBorders>
            <w:vAlign w:val="center"/>
          </w:tcPr>
          <w:p w:rsidR="00EE56C0" w:rsidRDefault="00EE56C0">
            <w:pPr>
              <w:pStyle w:val="afa"/>
              <w:rPr>
                <w:u w:val="single"/>
              </w:rPr>
            </w:pPr>
          </w:p>
        </w:tc>
        <w:tc>
          <w:tcPr>
            <w:tcW w:w="223" w:type="pct"/>
            <w:vMerge/>
            <w:tcBorders>
              <w:left w:val="single" w:sz="4" w:space="0" w:color="auto"/>
              <w:right w:val="single" w:sz="4" w:space="0" w:color="auto"/>
            </w:tcBorders>
            <w:vAlign w:val="center"/>
          </w:tcPr>
          <w:p w:rsidR="00EE56C0" w:rsidRDefault="00EE56C0">
            <w:pPr>
              <w:pStyle w:val="afa"/>
              <w:rPr>
                <w:highlight w:val="yellow"/>
                <w:u w:val="single"/>
              </w:rPr>
            </w:pPr>
          </w:p>
        </w:tc>
        <w:tc>
          <w:tcPr>
            <w:tcW w:w="568" w:type="pct"/>
            <w:tcBorders>
              <w:left w:val="single" w:sz="4" w:space="0" w:color="auto"/>
            </w:tcBorders>
            <w:vAlign w:val="center"/>
          </w:tcPr>
          <w:p w:rsidR="00EE56C0" w:rsidRDefault="000F36A1">
            <w:pPr>
              <w:pStyle w:val="afa"/>
              <w:rPr>
                <w:highlight w:val="yellow"/>
                <w:u w:val="single"/>
              </w:rPr>
            </w:pPr>
            <w:r>
              <w:rPr>
                <w:rFonts w:hint="eastAsia"/>
                <w:u w:val="single"/>
              </w:rPr>
              <w:t>苯</w:t>
            </w:r>
          </w:p>
        </w:tc>
        <w:tc>
          <w:tcPr>
            <w:tcW w:w="712" w:type="pct"/>
            <w:vAlign w:val="center"/>
          </w:tcPr>
          <w:p w:rsidR="00EE56C0" w:rsidRDefault="000F36A1">
            <w:pPr>
              <w:pStyle w:val="afa"/>
              <w:rPr>
                <w:rFonts w:eastAsia="宋体"/>
                <w:u w:val="single"/>
              </w:rPr>
            </w:pPr>
            <w:r>
              <w:rPr>
                <w:u w:val="single"/>
              </w:rPr>
              <w:t>2.925</w:t>
            </w:r>
          </w:p>
        </w:tc>
        <w:tc>
          <w:tcPr>
            <w:tcW w:w="715" w:type="pct"/>
            <w:vAlign w:val="center"/>
          </w:tcPr>
          <w:p w:rsidR="00EE56C0" w:rsidRDefault="000F36A1">
            <w:pPr>
              <w:pStyle w:val="afa"/>
              <w:rPr>
                <w:rFonts w:eastAsia="宋体"/>
                <w:u w:val="single"/>
              </w:rPr>
            </w:pPr>
            <w:r>
              <w:rPr>
                <w:u w:val="single"/>
              </w:rPr>
              <w:t xml:space="preserve">2.8668 </w:t>
            </w:r>
          </w:p>
        </w:tc>
        <w:tc>
          <w:tcPr>
            <w:tcW w:w="750" w:type="pct"/>
            <w:vAlign w:val="center"/>
          </w:tcPr>
          <w:p w:rsidR="00EE56C0" w:rsidRDefault="000F36A1">
            <w:pPr>
              <w:pStyle w:val="afa"/>
              <w:rPr>
                <w:rFonts w:eastAsia="宋体"/>
                <w:u w:val="single"/>
              </w:rPr>
            </w:pPr>
            <w:r>
              <w:rPr>
                <w:u w:val="single"/>
              </w:rPr>
              <w:t xml:space="preserve">0.0582 </w:t>
            </w:r>
          </w:p>
        </w:tc>
        <w:tc>
          <w:tcPr>
            <w:tcW w:w="723" w:type="pct"/>
            <w:vAlign w:val="center"/>
          </w:tcPr>
          <w:p w:rsidR="00EE56C0" w:rsidRDefault="000F36A1">
            <w:pPr>
              <w:pStyle w:val="afa"/>
              <w:rPr>
                <w:rFonts w:eastAsia="宋体"/>
                <w:u w:val="single"/>
              </w:rPr>
            </w:pPr>
            <w:r>
              <w:rPr>
                <w:u w:val="single"/>
              </w:rPr>
              <w:t xml:space="preserve">0.0582 </w:t>
            </w:r>
          </w:p>
        </w:tc>
        <w:tc>
          <w:tcPr>
            <w:tcW w:w="721" w:type="pct"/>
            <w:vAlign w:val="center"/>
          </w:tcPr>
          <w:p w:rsidR="00EE56C0" w:rsidRDefault="000F36A1">
            <w:pPr>
              <w:pStyle w:val="afa"/>
              <w:rPr>
                <w:rFonts w:eastAsia="宋体"/>
                <w:u w:val="single"/>
              </w:rPr>
            </w:pPr>
            <w:r>
              <w:rPr>
                <w:u w:val="single"/>
              </w:rPr>
              <w:t xml:space="preserve">0.0582 </w:t>
            </w:r>
          </w:p>
        </w:tc>
      </w:tr>
      <w:tr w:rsidR="00EE56C0">
        <w:trPr>
          <w:trHeight w:val="454"/>
          <w:jc w:val="center"/>
        </w:trPr>
        <w:tc>
          <w:tcPr>
            <w:tcW w:w="322" w:type="pct"/>
            <w:vMerge/>
            <w:vAlign w:val="center"/>
          </w:tcPr>
          <w:p w:rsidR="00EE56C0" w:rsidRDefault="00EE56C0">
            <w:pPr>
              <w:pStyle w:val="afa"/>
              <w:rPr>
                <w:u w:val="single"/>
              </w:rPr>
            </w:pPr>
          </w:p>
        </w:tc>
        <w:tc>
          <w:tcPr>
            <w:tcW w:w="266" w:type="pct"/>
            <w:vMerge/>
            <w:tcBorders>
              <w:right w:val="single" w:sz="4" w:space="0" w:color="auto"/>
            </w:tcBorders>
            <w:vAlign w:val="center"/>
          </w:tcPr>
          <w:p w:rsidR="00EE56C0" w:rsidRDefault="00EE56C0">
            <w:pPr>
              <w:pStyle w:val="afa"/>
              <w:rPr>
                <w:u w:val="single"/>
              </w:rPr>
            </w:pPr>
          </w:p>
        </w:tc>
        <w:tc>
          <w:tcPr>
            <w:tcW w:w="223" w:type="pct"/>
            <w:vMerge/>
            <w:tcBorders>
              <w:left w:val="single" w:sz="4" w:space="0" w:color="auto"/>
              <w:right w:val="single" w:sz="4" w:space="0" w:color="auto"/>
            </w:tcBorders>
            <w:vAlign w:val="center"/>
          </w:tcPr>
          <w:p w:rsidR="00EE56C0" w:rsidRDefault="00EE56C0">
            <w:pPr>
              <w:pStyle w:val="afa"/>
              <w:rPr>
                <w:u w:val="single"/>
              </w:rPr>
            </w:pPr>
          </w:p>
        </w:tc>
        <w:tc>
          <w:tcPr>
            <w:tcW w:w="568" w:type="pct"/>
            <w:tcBorders>
              <w:left w:val="single" w:sz="4" w:space="0" w:color="auto"/>
            </w:tcBorders>
            <w:vAlign w:val="center"/>
          </w:tcPr>
          <w:p w:rsidR="00EE56C0" w:rsidRDefault="000F36A1">
            <w:pPr>
              <w:pStyle w:val="afa"/>
              <w:rPr>
                <w:u w:val="single"/>
              </w:rPr>
            </w:pPr>
            <w:r>
              <w:rPr>
                <w:rFonts w:hint="eastAsia"/>
                <w:u w:val="single"/>
              </w:rPr>
              <w:t>合计</w:t>
            </w:r>
          </w:p>
        </w:tc>
        <w:tc>
          <w:tcPr>
            <w:tcW w:w="712" w:type="pct"/>
            <w:vAlign w:val="center"/>
          </w:tcPr>
          <w:p w:rsidR="00EE56C0" w:rsidRDefault="000F36A1">
            <w:pPr>
              <w:pStyle w:val="afa"/>
              <w:rPr>
                <w:rFonts w:eastAsia="宋体"/>
                <w:u w:val="single"/>
              </w:rPr>
            </w:pPr>
            <w:r>
              <w:rPr>
                <w:u w:val="single"/>
              </w:rPr>
              <w:t>656.9</w:t>
            </w:r>
          </w:p>
        </w:tc>
        <w:tc>
          <w:tcPr>
            <w:tcW w:w="715" w:type="pct"/>
            <w:vAlign w:val="center"/>
          </w:tcPr>
          <w:p w:rsidR="00EE56C0" w:rsidRDefault="000F36A1">
            <w:pPr>
              <w:pStyle w:val="afa"/>
              <w:rPr>
                <w:rFonts w:eastAsia="宋体"/>
                <w:u w:val="single"/>
              </w:rPr>
            </w:pPr>
            <w:r>
              <w:rPr>
                <w:u w:val="single"/>
              </w:rPr>
              <w:t xml:space="preserve">656.2958 </w:t>
            </w:r>
          </w:p>
        </w:tc>
        <w:tc>
          <w:tcPr>
            <w:tcW w:w="750" w:type="pct"/>
            <w:vAlign w:val="center"/>
          </w:tcPr>
          <w:p w:rsidR="00EE56C0" w:rsidRDefault="000F36A1">
            <w:pPr>
              <w:pStyle w:val="afa"/>
              <w:rPr>
                <w:rFonts w:eastAsia="宋体"/>
                <w:u w:val="single"/>
              </w:rPr>
            </w:pPr>
            <w:r>
              <w:rPr>
                <w:u w:val="single"/>
              </w:rPr>
              <w:t xml:space="preserve">0.6042 </w:t>
            </w:r>
          </w:p>
        </w:tc>
        <w:tc>
          <w:tcPr>
            <w:tcW w:w="723" w:type="pct"/>
            <w:vAlign w:val="center"/>
          </w:tcPr>
          <w:p w:rsidR="00EE56C0" w:rsidRDefault="000F36A1">
            <w:pPr>
              <w:pStyle w:val="afa"/>
              <w:rPr>
                <w:rFonts w:eastAsia="宋体"/>
                <w:u w:val="single"/>
              </w:rPr>
            </w:pPr>
            <w:r>
              <w:rPr>
                <w:u w:val="single"/>
              </w:rPr>
              <w:t xml:space="preserve">0.6042 </w:t>
            </w:r>
          </w:p>
        </w:tc>
        <w:tc>
          <w:tcPr>
            <w:tcW w:w="721" w:type="pct"/>
            <w:vAlign w:val="center"/>
          </w:tcPr>
          <w:p w:rsidR="00EE56C0" w:rsidRDefault="000F36A1">
            <w:pPr>
              <w:pStyle w:val="afa"/>
              <w:rPr>
                <w:rFonts w:eastAsia="宋体"/>
                <w:u w:val="single"/>
              </w:rPr>
            </w:pPr>
            <w:r>
              <w:rPr>
                <w:u w:val="single"/>
              </w:rPr>
              <w:t xml:space="preserve">0.6042 </w:t>
            </w:r>
          </w:p>
        </w:tc>
      </w:tr>
      <w:tr w:rsidR="00EE56C0">
        <w:trPr>
          <w:trHeight w:val="454"/>
          <w:jc w:val="center"/>
        </w:trPr>
        <w:tc>
          <w:tcPr>
            <w:tcW w:w="322" w:type="pct"/>
            <w:vMerge/>
            <w:vAlign w:val="center"/>
          </w:tcPr>
          <w:p w:rsidR="00EE56C0" w:rsidRDefault="00EE56C0">
            <w:pPr>
              <w:pStyle w:val="afa"/>
              <w:rPr>
                <w:u w:val="single"/>
              </w:rPr>
            </w:pPr>
          </w:p>
        </w:tc>
        <w:tc>
          <w:tcPr>
            <w:tcW w:w="266" w:type="pct"/>
            <w:vMerge w:val="restart"/>
            <w:tcBorders>
              <w:right w:val="single" w:sz="4" w:space="0" w:color="auto"/>
            </w:tcBorders>
            <w:vAlign w:val="center"/>
          </w:tcPr>
          <w:p w:rsidR="00EE56C0" w:rsidRDefault="000F36A1">
            <w:pPr>
              <w:pStyle w:val="afa"/>
              <w:rPr>
                <w:u w:val="single"/>
              </w:rPr>
            </w:pPr>
            <w:r>
              <w:rPr>
                <w:rFonts w:hint="eastAsia"/>
                <w:u w:val="single"/>
              </w:rPr>
              <w:t>无组织</w:t>
            </w:r>
          </w:p>
        </w:tc>
        <w:tc>
          <w:tcPr>
            <w:tcW w:w="223" w:type="pct"/>
            <w:vMerge w:val="restart"/>
            <w:tcBorders>
              <w:left w:val="single" w:sz="4" w:space="0" w:color="auto"/>
              <w:right w:val="single" w:sz="4" w:space="0" w:color="auto"/>
            </w:tcBorders>
            <w:vAlign w:val="center"/>
          </w:tcPr>
          <w:p w:rsidR="00EE56C0" w:rsidRDefault="000F36A1">
            <w:pPr>
              <w:pStyle w:val="afa"/>
              <w:rPr>
                <w:u w:val="single"/>
              </w:rPr>
            </w:pPr>
            <w:r>
              <w:rPr>
                <w:rFonts w:hint="eastAsia"/>
                <w:u w:val="single"/>
              </w:rPr>
              <w:t>VOCs</w:t>
            </w:r>
          </w:p>
        </w:tc>
        <w:tc>
          <w:tcPr>
            <w:tcW w:w="568" w:type="pct"/>
            <w:tcBorders>
              <w:left w:val="single" w:sz="4" w:space="0" w:color="auto"/>
            </w:tcBorders>
            <w:vAlign w:val="center"/>
          </w:tcPr>
          <w:p w:rsidR="00EE56C0" w:rsidRDefault="000F36A1">
            <w:pPr>
              <w:pStyle w:val="afa"/>
              <w:rPr>
                <w:u w:val="single"/>
              </w:rPr>
            </w:pPr>
            <w:r>
              <w:rPr>
                <w:rFonts w:hint="eastAsia"/>
                <w:u w:val="single"/>
              </w:rPr>
              <w:t>酚</w:t>
            </w:r>
          </w:p>
        </w:tc>
        <w:tc>
          <w:tcPr>
            <w:tcW w:w="712" w:type="pct"/>
            <w:vAlign w:val="center"/>
          </w:tcPr>
          <w:p w:rsidR="00EE56C0" w:rsidRDefault="000F36A1">
            <w:pPr>
              <w:pStyle w:val="afa"/>
              <w:rPr>
                <w:rFonts w:eastAsia="宋体"/>
                <w:u w:val="single"/>
              </w:rPr>
            </w:pPr>
            <w:r>
              <w:rPr>
                <w:u w:val="single"/>
              </w:rPr>
              <w:t xml:space="preserve">0.7051 </w:t>
            </w:r>
          </w:p>
        </w:tc>
        <w:tc>
          <w:tcPr>
            <w:tcW w:w="715" w:type="pct"/>
            <w:vAlign w:val="center"/>
          </w:tcPr>
          <w:p w:rsidR="00EE56C0" w:rsidRDefault="000F36A1">
            <w:pPr>
              <w:pStyle w:val="afa"/>
              <w:rPr>
                <w:rFonts w:eastAsia="宋体"/>
                <w:u w:val="single"/>
              </w:rPr>
            </w:pPr>
            <w:r>
              <w:rPr>
                <w:u w:val="single"/>
              </w:rPr>
              <w:t>0</w:t>
            </w:r>
          </w:p>
        </w:tc>
        <w:tc>
          <w:tcPr>
            <w:tcW w:w="750" w:type="pct"/>
            <w:vAlign w:val="center"/>
          </w:tcPr>
          <w:p w:rsidR="00EE56C0" w:rsidRDefault="000F36A1">
            <w:pPr>
              <w:pStyle w:val="afa"/>
              <w:rPr>
                <w:rFonts w:eastAsia="宋体"/>
                <w:u w:val="single"/>
              </w:rPr>
            </w:pPr>
            <w:r>
              <w:rPr>
                <w:u w:val="single"/>
              </w:rPr>
              <w:t xml:space="preserve">0.7051 </w:t>
            </w:r>
          </w:p>
        </w:tc>
        <w:tc>
          <w:tcPr>
            <w:tcW w:w="723" w:type="pct"/>
            <w:vAlign w:val="center"/>
          </w:tcPr>
          <w:p w:rsidR="00EE56C0" w:rsidRDefault="000F36A1">
            <w:pPr>
              <w:pStyle w:val="afa"/>
              <w:rPr>
                <w:rFonts w:eastAsia="宋体"/>
                <w:u w:val="single"/>
              </w:rPr>
            </w:pPr>
            <w:r>
              <w:rPr>
                <w:u w:val="single"/>
              </w:rPr>
              <w:t xml:space="preserve">0.7051 </w:t>
            </w:r>
          </w:p>
        </w:tc>
        <w:tc>
          <w:tcPr>
            <w:tcW w:w="721" w:type="pct"/>
            <w:vAlign w:val="center"/>
          </w:tcPr>
          <w:p w:rsidR="00EE56C0" w:rsidRDefault="000F36A1">
            <w:pPr>
              <w:pStyle w:val="afa"/>
              <w:rPr>
                <w:rFonts w:eastAsia="宋体"/>
                <w:u w:val="single"/>
              </w:rPr>
            </w:pPr>
            <w:r>
              <w:rPr>
                <w:u w:val="single"/>
              </w:rPr>
              <w:t xml:space="preserve">0.7051 </w:t>
            </w:r>
          </w:p>
        </w:tc>
      </w:tr>
      <w:tr w:rsidR="00EE56C0">
        <w:trPr>
          <w:trHeight w:val="454"/>
          <w:jc w:val="center"/>
        </w:trPr>
        <w:tc>
          <w:tcPr>
            <w:tcW w:w="322" w:type="pct"/>
            <w:vMerge/>
            <w:vAlign w:val="center"/>
          </w:tcPr>
          <w:p w:rsidR="00EE56C0" w:rsidRDefault="00EE56C0">
            <w:pPr>
              <w:pStyle w:val="afa"/>
              <w:rPr>
                <w:u w:val="single"/>
              </w:rPr>
            </w:pPr>
          </w:p>
        </w:tc>
        <w:tc>
          <w:tcPr>
            <w:tcW w:w="266" w:type="pct"/>
            <w:vMerge/>
            <w:tcBorders>
              <w:right w:val="single" w:sz="4" w:space="0" w:color="auto"/>
            </w:tcBorders>
            <w:vAlign w:val="center"/>
          </w:tcPr>
          <w:p w:rsidR="00EE56C0" w:rsidRDefault="00EE56C0">
            <w:pPr>
              <w:pStyle w:val="afa"/>
              <w:rPr>
                <w:u w:val="single"/>
              </w:rPr>
            </w:pPr>
          </w:p>
        </w:tc>
        <w:tc>
          <w:tcPr>
            <w:tcW w:w="223" w:type="pct"/>
            <w:vMerge/>
            <w:tcBorders>
              <w:left w:val="single" w:sz="4" w:space="0" w:color="auto"/>
              <w:right w:val="single" w:sz="4" w:space="0" w:color="auto"/>
            </w:tcBorders>
            <w:vAlign w:val="center"/>
          </w:tcPr>
          <w:p w:rsidR="00EE56C0" w:rsidRDefault="00EE56C0">
            <w:pPr>
              <w:pStyle w:val="afa"/>
              <w:rPr>
                <w:u w:val="single"/>
              </w:rPr>
            </w:pPr>
          </w:p>
        </w:tc>
        <w:tc>
          <w:tcPr>
            <w:tcW w:w="568" w:type="pct"/>
            <w:tcBorders>
              <w:left w:val="single" w:sz="4" w:space="0" w:color="auto"/>
            </w:tcBorders>
            <w:vAlign w:val="center"/>
          </w:tcPr>
          <w:p w:rsidR="00EE56C0" w:rsidRDefault="000F36A1">
            <w:pPr>
              <w:pStyle w:val="afa"/>
              <w:rPr>
                <w:u w:val="single"/>
              </w:rPr>
            </w:pPr>
            <w:r>
              <w:rPr>
                <w:u w:val="single"/>
              </w:rPr>
              <w:t>非甲烷总烃</w:t>
            </w:r>
          </w:p>
        </w:tc>
        <w:tc>
          <w:tcPr>
            <w:tcW w:w="712" w:type="pct"/>
            <w:vAlign w:val="center"/>
          </w:tcPr>
          <w:p w:rsidR="00EE56C0" w:rsidRDefault="000F36A1">
            <w:pPr>
              <w:pStyle w:val="afa"/>
              <w:rPr>
                <w:rFonts w:eastAsia="宋体"/>
                <w:u w:val="single"/>
              </w:rPr>
            </w:pPr>
            <w:r>
              <w:rPr>
                <w:u w:val="single"/>
              </w:rPr>
              <w:t xml:space="preserve">0.5289 </w:t>
            </w:r>
          </w:p>
        </w:tc>
        <w:tc>
          <w:tcPr>
            <w:tcW w:w="715" w:type="pct"/>
            <w:vAlign w:val="center"/>
          </w:tcPr>
          <w:p w:rsidR="00EE56C0" w:rsidRDefault="000F36A1">
            <w:pPr>
              <w:pStyle w:val="afa"/>
              <w:rPr>
                <w:rFonts w:eastAsia="宋体"/>
                <w:u w:val="single"/>
              </w:rPr>
            </w:pPr>
            <w:r>
              <w:rPr>
                <w:u w:val="single"/>
              </w:rPr>
              <w:t>0</w:t>
            </w:r>
          </w:p>
        </w:tc>
        <w:tc>
          <w:tcPr>
            <w:tcW w:w="750" w:type="pct"/>
            <w:vAlign w:val="center"/>
          </w:tcPr>
          <w:p w:rsidR="00EE56C0" w:rsidRDefault="000F36A1">
            <w:pPr>
              <w:pStyle w:val="afa"/>
              <w:rPr>
                <w:rFonts w:eastAsia="宋体"/>
                <w:u w:val="single"/>
              </w:rPr>
            </w:pPr>
            <w:r>
              <w:rPr>
                <w:u w:val="single"/>
              </w:rPr>
              <w:t xml:space="preserve">0.5289 </w:t>
            </w:r>
          </w:p>
        </w:tc>
        <w:tc>
          <w:tcPr>
            <w:tcW w:w="723" w:type="pct"/>
            <w:vAlign w:val="center"/>
          </w:tcPr>
          <w:p w:rsidR="00EE56C0" w:rsidRDefault="000F36A1">
            <w:pPr>
              <w:pStyle w:val="afa"/>
              <w:rPr>
                <w:rFonts w:eastAsia="宋体"/>
                <w:u w:val="single"/>
              </w:rPr>
            </w:pPr>
            <w:r>
              <w:rPr>
                <w:u w:val="single"/>
              </w:rPr>
              <w:t xml:space="preserve">0.5289 </w:t>
            </w:r>
          </w:p>
        </w:tc>
        <w:tc>
          <w:tcPr>
            <w:tcW w:w="721" w:type="pct"/>
            <w:vAlign w:val="center"/>
          </w:tcPr>
          <w:p w:rsidR="00EE56C0" w:rsidRDefault="000F36A1">
            <w:pPr>
              <w:pStyle w:val="afa"/>
              <w:rPr>
                <w:rFonts w:eastAsia="宋体"/>
                <w:u w:val="single"/>
              </w:rPr>
            </w:pPr>
            <w:r>
              <w:rPr>
                <w:u w:val="single"/>
              </w:rPr>
              <w:t xml:space="preserve">0.5289 </w:t>
            </w:r>
          </w:p>
        </w:tc>
      </w:tr>
      <w:tr w:rsidR="00EE56C0">
        <w:trPr>
          <w:trHeight w:val="454"/>
          <w:jc w:val="center"/>
        </w:trPr>
        <w:tc>
          <w:tcPr>
            <w:tcW w:w="322" w:type="pct"/>
            <w:vMerge/>
            <w:vAlign w:val="center"/>
          </w:tcPr>
          <w:p w:rsidR="00EE56C0" w:rsidRDefault="00EE56C0">
            <w:pPr>
              <w:pStyle w:val="afa"/>
              <w:rPr>
                <w:u w:val="single"/>
              </w:rPr>
            </w:pPr>
          </w:p>
        </w:tc>
        <w:tc>
          <w:tcPr>
            <w:tcW w:w="266" w:type="pct"/>
            <w:vMerge/>
            <w:tcBorders>
              <w:right w:val="single" w:sz="4" w:space="0" w:color="auto"/>
            </w:tcBorders>
            <w:vAlign w:val="center"/>
          </w:tcPr>
          <w:p w:rsidR="00EE56C0" w:rsidRDefault="00EE56C0">
            <w:pPr>
              <w:pStyle w:val="afa"/>
              <w:rPr>
                <w:u w:val="single"/>
              </w:rPr>
            </w:pPr>
          </w:p>
        </w:tc>
        <w:tc>
          <w:tcPr>
            <w:tcW w:w="223" w:type="pct"/>
            <w:vMerge/>
            <w:tcBorders>
              <w:left w:val="single" w:sz="4" w:space="0" w:color="auto"/>
              <w:right w:val="single" w:sz="4" w:space="0" w:color="auto"/>
            </w:tcBorders>
            <w:vAlign w:val="center"/>
          </w:tcPr>
          <w:p w:rsidR="00EE56C0" w:rsidRDefault="00EE56C0">
            <w:pPr>
              <w:pStyle w:val="afa"/>
              <w:rPr>
                <w:u w:val="single"/>
              </w:rPr>
            </w:pPr>
          </w:p>
        </w:tc>
        <w:tc>
          <w:tcPr>
            <w:tcW w:w="568" w:type="pct"/>
            <w:tcBorders>
              <w:left w:val="single" w:sz="4" w:space="0" w:color="auto"/>
            </w:tcBorders>
            <w:vAlign w:val="center"/>
          </w:tcPr>
          <w:p w:rsidR="00EE56C0" w:rsidRDefault="000F36A1">
            <w:pPr>
              <w:pStyle w:val="afa"/>
              <w:rPr>
                <w:u w:val="single"/>
              </w:rPr>
            </w:pPr>
            <w:r>
              <w:rPr>
                <w:rFonts w:hint="eastAsia"/>
                <w:u w:val="single"/>
              </w:rPr>
              <w:t>二甲苯</w:t>
            </w:r>
          </w:p>
        </w:tc>
        <w:tc>
          <w:tcPr>
            <w:tcW w:w="712" w:type="pct"/>
            <w:vAlign w:val="center"/>
          </w:tcPr>
          <w:p w:rsidR="00EE56C0" w:rsidRDefault="000F36A1">
            <w:pPr>
              <w:pStyle w:val="afa"/>
              <w:rPr>
                <w:rFonts w:eastAsia="宋体"/>
                <w:u w:val="single"/>
              </w:rPr>
            </w:pPr>
            <w:r>
              <w:rPr>
                <w:u w:val="single"/>
              </w:rPr>
              <w:t xml:space="preserve">0.1203 </w:t>
            </w:r>
          </w:p>
        </w:tc>
        <w:tc>
          <w:tcPr>
            <w:tcW w:w="715" w:type="pct"/>
            <w:vAlign w:val="center"/>
          </w:tcPr>
          <w:p w:rsidR="00EE56C0" w:rsidRDefault="000F36A1">
            <w:pPr>
              <w:pStyle w:val="afa"/>
              <w:rPr>
                <w:rFonts w:eastAsia="宋体"/>
                <w:u w:val="single"/>
              </w:rPr>
            </w:pPr>
            <w:r>
              <w:rPr>
                <w:u w:val="single"/>
              </w:rPr>
              <w:t>0</w:t>
            </w:r>
          </w:p>
        </w:tc>
        <w:tc>
          <w:tcPr>
            <w:tcW w:w="750" w:type="pct"/>
            <w:vAlign w:val="center"/>
          </w:tcPr>
          <w:p w:rsidR="00EE56C0" w:rsidRDefault="000F36A1">
            <w:pPr>
              <w:pStyle w:val="afa"/>
              <w:rPr>
                <w:rFonts w:eastAsia="宋体"/>
                <w:u w:val="single"/>
              </w:rPr>
            </w:pPr>
            <w:r>
              <w:rPr>
                <w:u w:val="single"/>
              </w:rPr>
              <w:t xml:space="preserve">0.1203 </w:t>
            </w:r>
          </w:p>
        </w:tc>
        <w:tc>
          <w:tcPr>
            <w:tcW w:w="723" w:type="pct"/>
            <w:vAlign w:val="center"/>
          </w:tcPr>
          <w:p w:rsidR="00EE56C0" w:rsidRDefault="000F36A1">
            <w:pPr>
              <w:pStyle w:val="afa"/>
              <w:rPr>
                <w:rFonts w:eastAsia="宋体"/>
                <w:u w:val="single"/>
              </w:rPr>
            </w:pPr>
            <w:r>
              <w:rPr>
                <w:u w:val="single"/>
              </w:rPr>
              <w:t xml:space="preserve">0.1203 </w:t>
            </w:r>
          </w:p>
        </w:tc>
        <w:tc>
          <w:tcPr>
            <w:tcW w:w="721" w:type="pct"/>
            <w:vAlign w:val="center"/>
          </w:tcPr>
          <w:p w:rsidR="00EE56C0" w:rsidRDefault="000F36A1">
            <w:pPr>
              <w:pStyle w:val="afa"/>
              <w:rPr>
                <w:rFonts w:eastAsia="宋体"/>
                <w:u w:val="single"/>
              </w:rPr>
            </w:pPr>
            <w:r>
              <w:rPr>
                <w:u w:val="single"/>
              </w:rPr>
              <w:t xml:space="preserve">0.1203 </w:t>
            </w:r>
          </w:p>
        </w:tc>
      </w:tr>
      <w:tr w:rsidR="00EE56C0">
        <w:trPr>
          <w:trHeight w:val="454"/>
          <w:jc w:val="center"/>
        </w:trPr>
        <w:tc>
          <w:tcPr>
            <w:tcW w:w="322" w:type="pct"/>
            <w:vMerge/>
            <w:vAlign w:val="center"/>
          </w:tcPr>
          <w:p w:rsidR="00EE56C0" w:rsidRDefault="00EE56C0">
            <w:pPr>
              <w:pStyle w:val="afa"/>
              <w:rPr>
                <w:u w:val="single"/>
              </w:rPr>
            </w:pPr>
          </w:p>
        </w:tc>
        <w:tc>
          <w:tcPr>
            <w:tcW w:w="266" w:type="pct"/>
            <w:vMerge/>
            <w:tcBorders>
              <w:right w:val="single" w:sz="4" w:space="0" w:color="auto"/>
            </w:tcBorders>
            <w:vAlign w:val="center"/>
          </w:tcPr>
          <w:p w:rsidR="00EE56C0" w:rsidRDefault="00EE56C0">
            <w:pPr>
              <w:pStyle w:val="afa"/>
              <w:rPr>
                <w:u w:val="single"/>
              </w:rPr>
            </w:pPr>
          </w:p>
        </w:tc>
        <w:tc>
          <w:tcPr>
            <w:tcW w:w="223" w:type="pct"/>
            <w:vMerge/>
            <w:tcBorders>
              <w:left w:val="single" w:sz="4" w:space="0" w:color="auto"/>
              <w:right w:val="single" w:sz="4" w:space="0" w:color="auto"/>
            </w:tcBorders>
            <w:vAlign w:val="center"/>
          </w:tcPr>
          <w:p w:rsidR="00EE56C0" w:rsidRDefault="00EE56C0">
            <w:pPr>
              <w:pStyle w:val="afa"/>
              <w:rPr>
                <w:u w:val="single"/>
              </w:rPr>
            </w:pPr>
          </w:p>
        </w:tc>
        <w:tc>
          <w:tcPr>
            <w:tcW w:w="568" w:type="pct"/>
            <w:tcBorders>
              <w:left w:val="single" w:sz="4" w:space="0" w:color="auto"/>
            </w:tcBorders>
            <w:vAlign w:val="center"/>
          </w:tcPr>
          <w:p w:rsidR="00EE56C0" w:rsidRDefault="000F36A1">
            <w:pPr>
              <w:pStyle w:val="afa"/>
              <w:rPr>
                <w:u w:val="single"/>
              </w:rPr>
            </w:pPr>
            <w:r>
              <w:rPr>
                <w:rFonts w:hint="eastAsia"/>
                <w:u w:val="single"/>
              </w:rPr>
              <w:t>甲苯</w:t>
            </w:r>
          </w:p>
        </w:tc>
        <w:tc>
          <w:tcPr>
            <w:tcW w:w="712" w:type="pct"/>
            <w:vAlign w:val="center"/>
          </w:tcPr>
          <w:p w:rsidR="00EE56C0" w:rsidRDefault="000F36A1">
            <w:pPr>
              <w:pStyle w:val="afa"/>
              <w:rPr>
                <w:rFonts w:eastAsia="宋体"/>
                <w:u w:val="single"/>
              </w:rPr>
            </w:pPr>
            <w:r>
              <w:rPr>
                <w:u w:val="single"/>
              </w:rPr>
              <w:t xml:space="preserve">0.0439 </w:t>
            </w:r>
          </w:p>
        </w:tc>
        <w:tc>
          <w:tcPr>
            <w:tcW w:w="715" w:type="pct"/>
            <w:vAlign w:val="center"/>
          </w:tcPr>
          <w:p w:rsidR="00EE56C0" w:rsidRDefault="000F36A1">
            <w:pPr>
              <w:pStyle w:val="afa"/>
              <w:rPr>
                <w:rFonts w:eastAsia="宋体"/>
                <w:u w:val="single"/>
              </w:rPr>
            </w:pPr>
            <w:r>
              <w:rPr>
                <w:u w:val="single"/>
              </w:rPr>
              <w:t>0</w:t>
            </w:r>
          </w:p>
        </w:tc>
        <w:tc>
          <w:tcPr>
            <w:tcW w:w="750" w:type="pct"/>
            <w:vAlign w:val="center"/>
          </w:tcPr>
          <w:p w:rsidR="00EE56C0" w:rsidRDefault="000F36A1">
            <w:pPr>
              <w:pStyle w:val="afa"/>
              <w:rPr>
                <w:rFonts w:eastAsia="宋体"/>
                <w:u w:val="single"/>
              </w:rPr>
            </w:pPr>
            <w:r>
              <w:rPr>
                <w:u w:val="single"/>
              </w:rPr>
              <w:t xml:space="preserve">0.0439 </w:t>
            </w:r>
          </w:p>
        </w:tc>
        <w:tc>
          <w:tcPr>
            <w:tcW w:w="723" w:type="pct"/>
            <w:vAlign w:val="center"/>
          </w:tcPr>
          <w:p w:rsidR="00EE56C0" w:rsidRDefault="000F36A1">
            <w:pPr>
              <w:pStyle w:val="afa"/>
              <w:rPr>
                <w:rFonts w:eastAsia="宋体"/>
                <w:u w:val="single"/>
              </w:rPr>
            </w:pPr>
            <w:r>
              <w:rPr>
                <w:u w:val="single"/>
              </w:rPr>
              <w:t xml:space="preserve">0.0439 </w:t>
            </w:r>
          </w:p>
        </w:tc>
        <w:tc>
          <w:tcPr>
            <w:tcW w:w="721" w:type="pct"/>
            <w:vAlign w:val="center"/>
          </w:tcPr>
          <w:p w:rsidR="00EE56C0" w:rsidRDefault="000F36A1">
            <w:pPr>
              <w:pStyle w:val="afa"/>
              <w:rPr>
                <w:rFonts w:eastAsia="宋体"/>
                <w:u w:val="single"/>
              </w:rPr>
            </w:pPr>
            <w:r>
              <w:rPr>
                <w:u w:val="single"/>
              </w:rPr>
              <w:t xml:space="preserve">0.0439 </w:t>
            </w:r>
          </w:p>
        </w:tc>
      </w:tr>
      <w:tr w:rsidR="00EE56C0">
        <w:trPr>
          <w:trHeight w:val="454"/>
          <w:jc w:val="center"/>
        </w:trPr>
        <w:tc>
          <w:tcPr>
            <w:tcW w:w="322" w:type="pct"/>
            <w:vMerge/>
            <w:vAlign w:val="center"/>
          </w:tcPr>
          <w:p w:rsidR="00EE56C0" w:rsidRDefault="00EE56C0">
            <w:pPr>
              <w:pStyle w:val="afa"/>
              <w:rPr>
                <w:u w:val="single"/>
              </w:rPr>
            </w:pPr>
          </w:p>
        </w:tc>
        <w:tc>
          <w:tcPr>
            <w:tcW w:w="266" w:type="pct"/>
            <w:vMerge/>
            <w:tcBorders>
              <w:right w:val="single" w:sz="4" w:space="0" w:color="auto"/>
            </w:tcBorders>
            <w:vAlign w:val="center"/>
          </w:tcPr>
          <w:p w:rsidR="00EE56C0" w:rsidRDefault="00EE56C0">
            <w:pPr>
              <w:pStyle w:val="afa"/>
              <w:rPr>
                <w:u w:val="single"/>
              </w:rPr>
            </w:pPr>
          </w:p>
        </w:tc>
        <w:tc>
          <w:tcPr>
            <w:tcW w:w="223" w:type="pct"/>
            <w:vMerge/>
            <w:tcBorders>
              <w:left w:val="single" w:sz="4" w:space="0" w:color="auto"/>
              <w:right w:val="single" w:sz="4" w:space="0" w:color="auto"/>
            </w:tcBorders>
            <w:vAlign w:val="center"/>
          </w:tcPr>
          <w:p w:rsidR="00EE56C0" w:rsidRDefault="00EE56C0">
            <w:pPr>
              <w:pStyle w:val="afa"/>
              <w:rPr>
                <w:highlight w:val="yellow"/>
                <w:u w:val="single"/>
              </w:rPr>
            </w:pPr>
          </w:p>
        </w:tc>
        <w:tc>
          <w:tcPr>
            <w:tcW w:w="568" w:type="pct"/>
            <w:tcBorders>
              <w:left w:val="single" w:sz="4" w:space="0" w:color="auto"/>
            </w:tcBorders>
            <w:vAlign w:val="center"/>
          </w:tcPr>
          <w:p w:rsidR="00EE56C0" w:rsidRDefault="000F36A1">
            <w:pPr>
              <w:pStyle w:val="afa"/>
              <w:rPr>
                <w:highlight w:val="yellow"/>
                <w:u w:val="single"/>
              </w:rPr>
            </w:pPr>
            <w:r>
              <w:rPr>
                <w:rFonts w:hint="eastAsia"/>
                <w:u w:val="single"/>
              </w:rPr>
              <w:t>苯</w:t>
            </w:r>
          </w:p>
        </w:tc>
        <w:tc>
          <w:tcPr>
            <w:tcW w:w="712" w:type="pct"/>
            <w:vAlign w:val="center"/>
          </w:tcPr>
          <w:p w:rsidR="00EE56C0" w:rsidRDefault="000F36A1">
            <w:pPr>
              <w:pStyle w:val="afa"/>
              <w:rPr>
                <w:rFonts w:eastAsia="宋体"/>
                <w:u w:val="single"/>
              </w:rPr>
            </w:pPr>
            <w:r>
              <w:rPr>
                <w:u w:val="single"/>
              </w:rPr>
              <w:t xml:space="preserve">0.0146 </w:t>
            </w:r>
          </w:p>
        </w:tc>
        <w:tc>
          <w:tcPr>
            <w:tcW w:w="715" w:type="pct"/>
            <w:vAlign w:val="center"/>
          </w:tcPr>
          <w:p w:rsidR="00EE56C0" w:rsidRDefault="000F36A1">
            <w:pPr>
              <w:pStyle w:val="afa"/>
              <w:rPr>
                <w:rFonts w:eastAsia="宋体"/>
                <w:u w:val="single"/>
              </w:rPr>
            </w:pPr>
            <w:r>
              <w:rPr>
                <w:u w:val="single"/>
              </w:rPr>
              <w:t>0</w:t>
            </w:r>
          </w:p>
        </w:tc>
        <w:tc>
          <w:tcPr>
            <w:tcW w:w="750" w:type="pct"/>
            <w:vAlign w:val="center"/>
          </w:tcPr>
          <w:p w:rsidR="00EE56C0" w:rsidRDefault="000F36A1">
            <w:pPr>
              <w:pStyle w:val="afa"/>
              <w:rPr>
                <w:rFonts w:eastAsia="宋体"/>
                <w:u w:val="single"/>
              </w:rPr>
            </w:pPr>
            <w:r>
              <w:rPr>
                <w:u w:val="single"/>
              </w:rPr>
              <w:t xml:space="preserve">0.0146 </w:t>
            </w:r>
          </w:p>
        </w:tc>
        <w:tc>
          <w:tcPr>
            <w:tcW w:w="723" w:type="pct"/>
            <w:vAlign w:val="center"/>
          </w:tcPr>
          <w:p w:rsidR="00EE56C0" w:rsidRDefault="000F36A1">
            <w:pPr>
              <w:pStyle w:val="afa"/>
              <w:rPr>
                <w:rFonts w:eastAsia="宋体"/>
                <w:u w:val="single"/>
              </w:rPr>
            </w:pPr>
            <w:r>
              <w:rPr>
                <w:u w:val="single"/>
              </w:rPr>
              <w:t xml:space="preserve">0.0146 </w:t>
            </w:r>
          </w:p>
        </w:tc>
        <w:tc>
          <w:tcPr>
            <w:tcW w:w="721" w:type="pct"/>
            <w:vAlign w:val="center"/>
          </w:tcPr>
          <w:p w:rsidR="00EE56C0" w:rsidRDefault="000F36A1">
            <w:pPr>
              <w:pStyle w:val="afa"/>
              <w:rPr>
                <w:rFonts w:eastAsia="宋体"/>
                <w:u w:val="single"/>
              </w:rPr>
            </w:pPr>
            <w:r>
              <w:rPr>
                <w:u w:val="single"/>
              </w:rPr>
              <w:t xml:space="preserve">0.0146 </w:t>
            </w:r>
          </w:p>
        </w:tc>
      </w:tr>
      <w:tr w:rsidR="00EE56C0">
        <w:trPr>
          <w:trHeight w:val="454"/>
          <w:jc w:val="center"/>
        </w:trPr>
        <w:tc>
          <w:tcPr>
            <w:tcW w:w="322" w:type="pct"/>
            <w:vMerge/>
            <w:vAlign w:val="center"/>
          </w:tcPr>
          <w:p w:rsidR="00EE56C0" w:rsidRDefault="00EE56C0">
            <w:pPr>
              <w:pStyle w:val="afa"/>
              <w:rPr>
                <w:u w:val="single"/>
              </w:rPr>
            </w:pPr>
          </w:p>
        </w:tc>
        <w:tc>
          <w:tcPr>
            <w:tcW w:w="266" w:type="pct"/>
            <w:vMerge/>
            <w:tcBorders>
              <w:right w:val="single" w:sz="4" w:space="0" w:color="auto"/>
            </w:tcBorders>
            <w:vAlign w:val="center"/>
          </w:tcPr>
          <w:p w:rsidR="00EE56C0" w:rsidRDefault="00EE56C0">
            <w:pPr>
              <w:pStyle w:val="afa"/>
              <w:rPr>
                <w:u w:val="single"/>
              </w:rPr>
            </w:pPr>
          </w:p>
        </w:tc>
        <w:tc>
          <w:tcPr>
            <w:tcW w:w="223" w:type="pct"/>
            <w:vMerge/>
            <w:tcBorders>
              <w:left w:val="single" w:sz="4" w:space="0" w:color="auto"/>
              <w:right w:val="single" w:sz="4" w:space="0" w:color="auto"/>
            </w:tcBorders>
            <w:vAlign w:val="center"/>
          </w:tcPr>
          <w:p w:rsidR="00EE56C0" w:rsidRDefault="00EE56C0">
            <w:pPr>
              <w:pStyle w:val="afa"/>
              <w:rPr>
                <w:u w:val="single"/>
              </w:rPr>
            </w:pPr>
          </w:p>
        </w:tc>
        <w:tc>
          <w:tcPr>
            <w:tcW w:w="568" w:type="pct"/>
            <w:tcBorders>
              <w:left w:val="single" w:sz="4" w:space="0" w:color="auto"/>
            </w:tcBorders>
            <w:vAlign w:val="center"/>
          </w:tcPr>
          <w:p w:rsidR="00EE56C0" w:rsidRDefault="000F36A1">
            <w:pPr>
              <w:pStyle w:val="afa"/>
              <w:rPr>
                <w:u w:val="single"/>
              </w:rPr>
            </w:pPr>
            <w:r>
              <w:rPr>
                <w:rFonts w:hint="eastAsia"/>
                <w:u w:val="single"/>
              </w:rPr>
              <w:t>合计</w:t>
            </w:r>
          </w:p>
        </w:tc>
        <w:tc>
          <w:tcPr>
            <w:tcW w:w="712" w:type="pct"/>
            <w:vAlign w:val="center"/>
          </w:tcPr>
          <w:p w:rsidR="00EE56C0" w:rsidRDefault="000F36A1">
            <w:pPr>
              <w:pStyle w:val="afa"/>
              <w:rPr>
                <w:rFonts w:eastAsia="宋体"/>
                <w:u w:val="single"/>
              </w:rPr>
            </w:pPr>
            <w:r>
              <w:rPr>
                <w:u w:val="single"/>
              </w:rPr>
              <w:t xml:space="preserve">1.4128 </w:t>
            </w:r>
          </w:p>
        </w:tc>
        <w:tc>
          <w:tcPr>
            <w:tcW w:w="715" w:type="pct"/>
            <w:vAlign w:val="center"/>
          </w:tcPr>
          <w:p w:rsidR="00EE56C0" w:rsidRDefault="000F36A1">
            <w:pPr>
              <w:pStyle w:val="afa"/>
              <w:rPr>
                <w:rFonts w:eastAsia="宋体"/>
                <w:u w:val="single"/>
              </w:rPr>
            </w:pPr>
            <w:r>
              <w:rPr>
                <w:u w:val="single"/>
              </w:rPr>
              <w:t>0</w:t>
            </w:r>
          </w:p>
        </w:tc>
        <w:tc>
          <w:tcPr>
            <w:tcW w:w="750" w:type="pct"/>
            <w:vAlign w:val="center"/>
          </w:tcPr>
          <w:p w:rsidR="00EE56C0" w:rsidRDefault="000F36A1">
            <w:pPr>
              <w:pStyle w:val="afa"/>
              <w:rPr>
                <w:rFonts w:eastAsia="宋体"/>
                <w:u w:val="single"/>
              </w:rPr>
            </w:pPr>
            <w:r>
              <w:rPr>
                <w:u w:val="single"/>
              </w:rPr>
              <w:t xml:space="preserve">1.4128 </w:t>
            </w:r>
          </w:p>
        </w:tc>
        <w:tc>
          <w:tcPr>
            <w:tcW w:w="723" w:type="pct"/>
            <w:vAlign w:val="center"/>
          </w:tcPr>
          <w:p w:rsidR="00EE56C0" w:rsidRDefault="000F36A1">
            <w:pPr>
              <w:pStyle w:val="afa"/>
              <w:rPr>
                <w:rFonts w:eastAsia="宋体"/>
                <w:u w:val="single"/>
              </w:rPr>
            </w:pPr>
            <w:r>
              <w:rPr>
                <w:u w:val="single"/>
              </w:rPr>
              <w:t xml:space="preserve">1.4128 </w:t>
            </w:r>
          </w:p>
        </w:tc>
        <w:tc>
          <w:tcPr>
            <w:tcW w:w="721" w:type="pct"/>
            <w:vAlign w:val="center"/>
          </w:tcPr>
          <w:p w:rsidR="00EE56C0" w:rsidRDefault="000F36A1">
            <w:pPr>
              <w:pStyle w:val="afa"/>
              <w:rPr>
                <w:rFonts w:eastAsia="宋体"/>
                <w:u w:val="single"/>
              </w:rPr>
            </w:pPr>
            <w:r>
              <w:rPr>
                <w:u w:val="single"/>
              </w:rPr>
              <w:t xml:space="preserve">1.4128 </w:t>
            </w:r>
          </w:p>
        </w:tc>
      </w:tr>
      <w:tr w:rsidR="00EE56C0">
        <w:trPr>
          <w:trHeight w:val="454"/>
          <w:jc w:val="center"/>
        </w:trPr>
        <w:tc>
          <w:tcPr>
            <w:tcW w:w="322" w:type="pct"/>
            <w:vMerge w:val="restart"/>
            <w:vAlign w:val="center"/>
          </w:tcPr>
          <w:p w:rsidR="00EE56C0" w:rsidRDefault="000F36A1">
            <w:pPr>
              <w:pStyle w:val="afa"/>
              <w:rPr>
                <w:u w:val="single"/>
              </w:rPr>
            </w:pPr>
            <w:r>
              <w:rPr>
                <w:u w:val="single"/>
              </w:rPr>
              <w:t>固废</w:t>
            </w:r>
          </w:p>
        </w:tc>
        <w:tc>
          <w:tcPr>
            <w:tcW w:w="1057" w:type="pct"/>
            <w:gridSpan w:val="3"/>
            <w:vAlign w:val="center"/>
          </w:tcPr>
          <w:p w:rsidR="00EE56C0" w:rsidRDefault="000F36A1">
            <w:pPr>
              <w:pStyle w:val="afa"/>
              <w:rPr>
                <w:u w:val="single"/>
              </w:rPr>
            </w:pPr>
            <w:r>
              <w:rPr>
                <w:rFonts w:hint="eastAsia"/>
                <w:u w:val="single"/>
              </w:rPr>
              <w:t>一般固废</w:t>
            </w:r>
          </w:p>
        </w:tc>
        <w:tc>
          <w:tcPr>
            <w:tcW w:w="712" w:type="pct"/>
            <w:vAlign w:val="center"/>
          </w:tcPr>
          <w:p w:rsidR="00EE56C0" w:rsidRDefault="000F36A1">
            <w:pPr>
              <w:pStyle w:val="afa"/>
              <w:rPr>
                <w:rFonts w:eastAsia="宋体"/>
                <w:u w:val="single"/>
              </w:rPr>
            </w:pPr>
            <w:r>
              <w:rPr>
                <w:u w:val="single"/>
              </w:rPr>
              <w:t>34.65</w:t>
            </w:r>
          </w:p>
        </w:tc>
        <w:tc>
          <w:tcPr>
            <w:tcW w:w="715" w:type="pct"/>
            <w:vAlign w:val="center"/>
          </w:tcPr>
          <w:p w:rsidR="00EE56C0" w:rsidRDefault="000F36A1">
            <w:pPr>
              <w:pStyle w:val="afa"/>
              <w:rPr>
                <w:rFonts w:eastAsia="宋体"/>
                <w:u w:val="single"/>
              </w:rPr>
            </w:pPr>
            <w:r>
              <w:rPr>
                <w:u w:val="single"/>
              </w:rPr>
              <w:t>34.65</w:t>
            </w:r>
          </w:p>
        </w:tc>
        <w:tc>
          <w:tcPr>
            <w:tcW w:w="750" w:type="pct"/>
            <w:vAlign w:val="center"/>
          </w:tcPr>
          <w:p w:rsidR="00EE56C0" w:rsidRDefault="000F36A1">
            <w:pPr>
              <w:pStyle w:val="afa"/>
              <w:rPr>
                <w:u w:val="single"/>
              </w:rPr>
            </w:pPr>
            <w:r>
              <w:rPr>
                <w:u w:val="single"/>
              </w:rPr>
              <w:t>0</w:t>
            </w:r>
          </w:p>
        </w:tc>
        <w:tc>
          <w:tcPr>
            <w:tcW w:w="723" w:type="pct"/>
            <w:vAlign w:val="center"/>
          </w:tcPr>
          <w:p w:rsidR="00EE56C0" w:rsidRDefault="000F36A1">
            <w:pPr>
              <w:pStyle w:val="afa"/>
              <w:rPr>
                <w:u w:val="single"/>
              </w:rPr>
            </w:pPr>
            <w:r>
              <w:rPr>
                <w:u w:val="single"/>
              </w:rPr>
              <w:t>/</w:t>
            </w:r>
          </w:p>
        </w:tc>
        <w:tc>
          <w:tcPr>
            <w:tcW w:w="721" w:type="pct"/>
            <w:vAlign w:val="center"/>
          </w:tcPr>
          <w:p w:rsidR="00EE56C0" w:rsidRDefault="000F36A1">
            <w:pPr>
              <w:pStyle w:val="afa"/>
              <w:rPr>
                <w:u w:val="single"/>
              </w:rPr>
            </w:pPr>
            <w:r>
              <w:rPr>
                <w:u w:val="single"/>
              </w:rPr>
              <w:t>0</w:t>
            </w:r>
          </w:p>
        </w:tc>
      </w:tr>
      <w:tr w:rsidR="00EE56C0">
        <w:trPr>
          <w:trHeight w:val="454"/>
          <w:jc w:val="center"/>
        </w:trPr>
        <w:tc>
          <w:tcPr>
            <w:tcW w:w="322" w:type="pct"/>
            <w:vMerge/>
            <w:vAlign w:val="center"/>
          </w:tcPr>
          <w:p w:rsidR="00EE56C0" w:rsidRDefault="00EE56C0">
            <w:pPr>
              <w:pStyle w:val="afa"/>
              <w:rPr>
                <w:u w:val="single"/>
              </w:rPr>
            </w:pPr>
          </w:p>
        </w:tc>
        <w:tc>
          <w:tcPr>
            <w:tcW w:w="1057" w:type="pct"/>
            <w:gridSpan w:val="3"/>
            <w:vAlign w:val="center"/>
          </w:tcPr>
          <w:p w:rsidR="00EE56C0" w:rsidRDefault="000F36A1">
            <w:pPr>
              <w:pStyle w:val="afa"/>
              <w:rPr>
                <w:u w:val="single"/>
              </w:rPr>
            </w:pPr>
            <w:r>
              <w:rPr>
                <w:rFonts w:hint="eastAsia"/>
                <w:u w:val="single"/>
              </w:rPr>
              <w:t>危险废物</w:t>
            </w:r>
          </w:p>
        </w:tc>
        <w:tc>
          <w:tcPr>
            <w:tcW w:w="712" w:type="pct"/>
            <w:vAlign w:val="center"/>
          </w:tcPr>
          <w:p w:rsidR="00EE56C0" w:rsidRDefault="000F36A1">
            <w:pPr>
              <w:pStyle w:val="afa"/>
              <w:rPr>
                <w:rFonts w:eastAsia="宋体"/>
                <w:u w:val="single"/>
              </w:rPr>
            </w:pPr>
            <w:r>
              <w:rPr>
                <w:u w:val="single"/>
              </w:rPr>
              <w:t>11.32</w:t>
            </w:r>
          </w:p>
        </w:tc>
        <w:tc>
          <w:tcPr>
            <w:tcW w:w="715" w:type="pct"/>
            <w:vAlign w:val="center"/>
          </w:tcPr>
          <w:p w:rsidR="00EE56C0" w:rsidRDefault="000F36A1">
            <w:pPr>
              <w:pStyle w:val="afa"/>
              <w:rPr>
                <w:rFonts w:eastAsia="宋体"/>
                <w:u w:val="single"/>
              </w:rPr>
            </w:pPr>
            <w:r>
              <w:rPr>
                <w:u w:val="single"/>
              </w:rPr>
              <w:t>11.32</w:t>
            </w:r>
          </w:p>
        </w:tc>
        <w:tc>
          <w:tcPr>
            <w:tcW w:w="750" w:type="pct"/>
            <w:vAlign w:val="center"/>
          </w:tcPr>
          <w:p w:rsidR="00EE56C0" w:rsidRDefault="000F36A1">
            <w:pPr>
              <w:pStyle w:val="afa"/>
              <w:rPr>
                <w:u w:val="single"/>
              </w:rPr>
            </w:pPr>
            <w:r>
              <w:rPr>
                <w:u w:val="single"/>
              </w:rPr>
              <w:t>0</w:t>
            </w:r>
          </w:p>
        </w:tc>
        <w:tc>
          <w:tcPr>
            <w:tcW w:w="723" w:type="pct"/>
            <w:vAlign w:val="center"/>
          </w:tcPr>
          <w:p w:rsidR="00EE56C0" w:rsidRDefault="000F36A1">
            <w:pPr>
              <w:pStyle w:val="afa"/>
              <w:rPr>
                <w:u w:val="single"/>
              </w:rPr>
            </w:pPr>
            <w:r>
              <w:rPr>
                <w:u w:val="single"/>
              </w:rPr>
              <w:t>/</w:t>
            </w:r>
          </w:p>
        </w:tc>
        <w:tc>
          <w:tcPr>
            <w:tcW w:w="721" w:type="pct"/>
            <w:vAlign w:val="center"/>
          </w:tcPr>
          <w:p w:rsidR="00EE56C0" w:rsidRDefault="000F36A1">
            <w:pPr>
              <w:pStyle w:val="afa"/>
              <w:rPr>
                <w:u w:val="single"/>
              </w:rPr>
            </w:pPr>
            <w:r>
              <w:rPr>
                <w:u w:val="single"/>
              </w:rPr>
              <w:t>0</w:t>
            </w:r>
          </w:p>
        </w:tc>
      </w:tr>
    </w:tbl>
    <w:p w:rsidR="00702FE4" w:rsidRDefault="00702FE4">
      <w:pPr>
        <w:pStyle w:val="afd"/>
        <w:spacing w:before="120" w:after="120"/>
        <w:ind w:firstLine="482"/>
        <w:rPr>
          <w:u w:val="single"/>
        </w:rPr>
      </w:pPr>
    </w:p>
    <w:p w:rsidR="00702FE4" w:rsidRDefault="00702FE4">
      <w:pPr>
        <w:pStyle w:val="afd"/>
        <w:spacing w:before="120" w:after="120"/>
        <w:ind w:firstLine="482"/>
        <w:rPr>
          <w:u w:val="single"/>
        </w:rPr>
      </w:pPr>
    </w:p>
    <w:p w:rsidR="00C26DA4" w:rsidRDefault="00C26DA4">
      <w:pPr>
        <w:pStyle w:val="afd"/>
        <w:spacing w:before="120" w:after="120"/>
        <w:ind w:firstLine="482"/>
        <w:rPr>
          <w:u w:val="single"/>
        </w:rPr>
      </w:pPr>
    </w:p>
    <w:p w:rsidR="00C26DA4" w:rsidRDefault="00C26DA4">
      <w:pPr>
        <w:pStyle w:val="afd"/>
        <w:spacing w:before="120" w:after="120"/>
        <w:ind w:firstLine="482"/>
        <w:rPr>
          <w:u w:val="single"/>
        </w:rPr>
      </w:pPr>
    </w:p>
    <w:p w:rsidR="00EE56C0" w:rsidRDefault="000F36A1">
      <w:pPr>
        <w:pStyle w:val="afd"/>
        <w:spacing w:before="120" w:after="120"/>
        <w:ind w:firstLine="482"/>
        <w:rPr>
          <w:u w:val="single"/>
        </w:rPr>
      </w:pPr>
      <w:r>
        <w:rPr>
          <w:rFonts w:hint="eastAsia"/>
          <w:u w:val="single"/>
        </w:rPr>
        <w:lastRenderedPageBreak/>
        <w:t>表</w:t>
      </w:r>
      <w:r>
        <w:rPr>
          <w:rFonts w:hint="eastAsia"/>
          <w:u w:val="single"/>
        </w:rPr>
        <w:t>3-7</w:t>
      </w:r>
      <w:r w:rsidR="00702FE4">
        <w:rPr>
          <w:rFonts w:hint="eastAsia"/>
          <w:u w:val="single"/>
        </w:rPr>
        <w:t>2</w:t>
      </w:r>
      <w:r>
        <w:rPr>
          <w:rFonts w:hint="eastAsia"/>
          <w:u w:val="single"/>
        </w:rPr>
        <w:t xml:space="preserve">       </w:t>
      </w:r>
      <w:r>
        <w:rPr>
          <w:rFonts w:hint="eastAsia"/>
          <w:u w:val="single"/>
        </w:rPr>
        <w:t>一期、二期合计新增污染物产排情况</w:t>
      </w:r>
      <w:r>
        <w:rPr>
          <w:rFonts w:hint="eastAsia"/>
          <w:u w:val="single"/>
        </w:rPr>
        <w:t xml:space="preserve">         </w:t>
      </w:r>
      <w:r>
        <w:rPr>
          <w:rFonts w:hint="eastAsia"/>
          <w:u w:val="single"/>
        </w:rPr>
        <w:t>单位：</w:t>
      </w:r>
      <w:r>
        <w:rPr>
          <w:rFonts w:hint="eastAsia"/>
          <w:u w:val="single"/>
        </w:rPr>
        <w:t>t/a</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tblPr>
      <w:tblGrid>
        <w:gridCol w:w="547"/>
        <w:gridCol w:w="411"/>
        <w:gridCol w:w="566"/>
        <w:gridCol w:w="819"/>
        <w:gridCol w:w="1167"/>
        <w:gridCol w:w="1312"/>
        <w:gridCol w:w="1238"/>
        <w:gridCol w:w="1238"/>
        <w:gridCol w:w="1230"/>
      </w:tblGrid>
      <w:tr w:rsidR="00EE56C0">
        <w:trPr>
          <w:trHeight w:val="397"/>
          <w:tblHeader/>
          <w:jc w:val="center"/>
        </w:trPr>
        <w:tc>
          <w:tcPr>
            <w:tcW w:w="1374" w:type="pct"/>
            <w:gridSpan w:val="4"/>
            <w:vAlign w:val="center"/>
          </w:tcPr>
          <w:p w:rsidR="00EE56C0" w:rsidRDefault="000F36A1">
            <w:pPr>
              <w:pStyle w:val="aff1"/>
              <w:rPr>
                <w:color w:val="auto"/>
                <w:u w:val="single"/>
              </w:rPr>
            </w:pPr>
            <w:r>
              <w:rPr>
                <w:color w:val="auto"/>
                <w:u w:val="single"/>
              </w:rPr>
              <w:t>污染物</w:t>
            </w:r>
          </w:p>
        </w:tc>
        <w:tc>
          <w:tcPr>
            <w:tcW w:w="684" w:type="pct"/>
            <w:vAlign w:val="center"/>
          </w:tcPr>
          <w:p w:rsidR="00EE56C0" w:rsidRDefault="000F36A1">
            <w:pPr>
              <w:pStyle w:val="aff1"/>
              <w:rPr>
                <w:color w:val="auto"/>
                <w:u w:val="single"/>
              </w:rPr>
            </w:pPr>
            <w:r>
              <w:rPr>
                <w:color w:val="auto"/>
                <w:u w:val="single"/>
              </w:rPr>
              <w:t>工程产生量</w:t>
            </w:r>
          </w:p>
        </w:tc>
        <w:tc>
          <w:tcPr>
            <w:tcW w:w="769" w:type="pct"/>
            <w:vAlign w:val="center"/>
          </w:tcPr>
          <w:p w:rsidR="00EE56C0" w:rsidRDefault="000F36A1">
            <w:pPr>
              <w:pStyle w:val="aff1"/>
              <w:rPr>
                <w:color w:val="auto"/>
                <w:u w:val="single"/>
              </w:rPr>
            </w:pPr>
            <w:r>
              <w:rPr>
                <w:color w:val="auto"/>
                <w:u w:val="single"/>
              </w:rPr>
              <w:t>工程削减量</w:t>
            </w:r>
          </w:p>
        </w:tc>
        <w:tc>
          <w:tcPr>
            <w:tcW w:w="726" w:type="pct"/>
            <w:vAlign w:val="center"/>
          </w:tcPr>
          <w:p w:rsidR="00EE56C0" w:rsidRDefault="000F36A1">
            <w:pPr>
              <w:pStyle w:val="afa"/>
              <w:rPr>
                <w:b/>
                <w:u w:val="single"/>
              </w:rPr>
            </w:pPr>
            <w:r>
              <w:rPr>
                <w:rFonts w:hint="eastAsia"/>
                <w:b/>
                <w:u w:val="single"/>
              </w:rPr>
              <w:t>出厂总量</w:t>
            </w:r>
          </w:p>
        </w:tc>
        <w:tc>
          <w:tcPr>
            <w:tcW w:w="726" w:type="pct"/>
            <w:vAlign w:val="center"/>
          </w:tcPr>
          <w:p w:rsidR="00EE56C0" w:rsidRDefault="000F36A1">
            <w:pPr>
              <w:pStyle w:val="afa"/>
              <w:rPr>
                <w:b/>
                <w:u w:val="single"/>
              </w:rPr>
            </w:pPr>
            <w:r>
              <w:rPr>
                <w:rFonts w:hint="eastAsia"/>
                <w:b/>
                <w:u w:val="single"/>
              </w:rPr>
              <w:t>排入环境量</w:t>
            </w:r>
          </w:p>
        </w:tc>
        <w:tc>
          <w:tcPr>
            <w:tcW w:w="721" w:type="pct"/>
            <w:vAlign w:val="center"/>
          </w:tcPr>
          <w:p w:rsidR="00EE56C0" w:rsidRDefault="000F36A1">
            <w:pPr>
              <w:pStyle w:val="aff1"/>
              <w:rPr>
                <w:color w:val="auto"/>
                <w:u w:val="single"/>
              </w:rPr>
            </w:pPr>
            <w:r>
              <w:rPr>
                <w:rFonts w:hint="eastAsia"/>
                <w:color w:val="auto"/>
                <w:u w:val="single"/>
              </w:rPr>
              <w:t>总量指标</w:t>
            </w:r>
          </w:p>
        </w:tc>
      </w:tr>
      <w:tr w:rsidR="00EE56C0">
        <w:trPr>
          <w:trHeight w:val="397"/>
          <w:jc w:val="center"/>
        </w:trPr>
        <w:tc>
          <w:tcPr>
            <w:tcW w:w="321" w:type="pct"/>
            <w:vMerge w:val="restart"/>
            <w:vAlign w:val="center"/>
          </w:tcPr>
          <w:p w:rsidR="00EE56C0" w:rsidRDefault="000F36A1">
            <w:pPr>
              <w:pStyle w:val="afa"/>
              <w:rPr>
                <w:u w:val="single"/>
              </w:rPr>
            </w:pPr>
            <w:r>
              <w:rPr>
                <w:u w:val="single"/>
              </w:rPr>
              <w:t>废水</w:t>
            </w:r>
          </w:p>
        </w:tc>
        <w:tc>
          <w:tcPr>
            <w:tcW w:w="1053" w:type="pct"/>
            <w:gridSpan w:val="3"/>
            <w:vAlign w:val="center"/>
          </w:tcPr>
          <w:p w:rsidR="00EE56C0" w:rsidRDefault="000F36A1">
            <w:pPr>
              <w:pStyle w:val="afa"/>
              <w:rPr>
                <w:u w:val="single"/>
              </w:rPr>
            </w:pPr>
            <w:r>
              <w:rPr>
                <w:u w:val="single"/>
              </w:rPr>
              <w:t>COD</w:t>
            </w:r>
          </w:p>
        </w:tc>
        <w:tc>
          <w:tcPr>
            <w:tcW w:w="684" w:type="pct"/>
            <w:vAlign w:val="center"/>
          </w:tcPr>
          <w:p w:rsidR="00EE56C0" w:rsidRDefault="000F36A1">
            <w:pPr>
              <w:pStyle w:val="afa"/>
              <w:rPr>
                <w:rFonts w:eastAsia="宋体"/>
                <w:u w:val="single"/>
              </w:rPr>
            </w:pPr>
            <w:r>
              <w:rPr>
                <w:u w:val="single"/>
              </w:rPr>
              <w:t xml:space="preserve">0.5449 </w:t>
            </w:r>
          </w:p>
        </w:tc>
        <w:tc>
          <w:tcPr>
            <w:tcW w:w="769" w:type="pct"/>
            <w:vAlign w:val="center"/>
          </w:tcPr>
          <w:p w:rsidR="00EE56C0" w:rsidRDefault="000F36A1">
            <w:pPr>
              <w:pStyle w:val="afa"/>
              <w:rPr>
                <w:rFonts w:eastAsia="宋体"/>
                <w:u w:val="single"/>
              </w:rPr>
            </w:pPr>
            <w:r>
              <w:rPr>
                <w:u w:val="single"/>
              </w:rPr>
              <w:t>0.4573</w:t>
            </w:r>
          </w:p>
        </w:tc>
        <w:tc>
          <w:tcPr>
            <w:tcW w:w="726" w:type="pct"/>
            <w:vAlign w:val="center"/>
          </w:tcPr>
          <w:p w:rsidR="00EE56C0" w:rsidRDefault="000F36A1">
            <w:pPr>
              <w:pStyle w:val="afa"/>
              <w:rPr>
                <w:rFonts w:eastAsia="宋体"/>
                <w:u w:val="single"/>
              </w:rPr>
            </w:pPr>
            <w:r>
              <w:rPr>
                <w:u w:val="single"/>
              </w:rPr>
              <w:t>0.0876</w:t>
            </w:r>
          </w:p>
        </w:tc>
        <w:tc>
          <w:tcPr>
            <w:tcW w:w="726" w:type="pct"/>
            <w:vAlign w:val="center"/>
          </w:tcPr>
          <w:p w:rsidR="00EE56C0" w:rsidRDefault="000F36A1">
            <w:pPr>
              <w:pStyle w:val="afa"/>
              <w:rPr>
                <w:rFonts w:eastAsia="宋体"/>
                <w:u w:val="single"/>
              </w:rPr>
            </w:pPr>
            <w:r>
              <w:rPr>
                <w:u w:val="single"/>
              </w:rPr>
              <w:t>0.0827</w:t>
            </w:r>
          </w:p>
        </w:tc>
        <w:tc>
          <w:tcPr>
            <w:tcW w:w="721" w:type="pct"/>
            <w:vAlign w:val="center"/>
          </w:tcPr>
          <w:p w:rsidR="00EE56C0" w:rsidRDefault="000F36A1">
            <w:pPr>
              <w:pStyle w:val="afa"/>
              <w:rPr>
                <w:rFonts w:ascii="宋体" w:eastAsia="宋体" w:hAnsi="宋体" w:cs="宋体"/>
                <w:u w:val="single"/>
              </w:rPr>
            </w:pPr>
            <w:r>
              <w:rPr>
                <w:rFonts w:hint="eastAsia"/>
                <w:u w:val="single"/>
              </w:rPr>
              <w:t>0.0827</w:t>
            </w:r>
          </w:p>
        </w:tc>
      </w:tr>
      <w:tr w:rsidR="00EE56C0">
        <w:trPr>
          <w:trHeight w:val="397"/>
          <w:jc w:val="center"/>
        </w:trPr>
        <w:tc>
          <w:tcPr>
            <w:tcW w:w="321" w:type="pct"/>
            <w:vMerge/>
            <w:vAlign w:val="center"/>
          </w:tcPr>
          <w:p w:rsidR="00EE56C0" w:rsidRDefault="00EE56C0">
            <w:pPr>
              <w:pStyle w:val="afa"/>
              <w:rPr>
                <w:u w:val="single"/>
              </w:rPr>
            </w:pPr>
          </w:p>
        </w:tc>
        <w:tc>
          <w:tcPr>
            <w:tcW w:w="1053" w:type="pct"/>
            <w:gridSpan w:val="3"/>
            <w:vAlign w:val="center"/>
          </w:tcPr>
          <w:p w:rsidR="00EE56C0" w:rsidRDefault="000F36A1">
            <w:pPr>
              <w:pStyle w:val="afa"/>
              <w:rPr>
                <w:u w:val="single"/>
              </w:rPr>
            </w:pPr>
            <w:r>
              <w:rPr>
                <w:rFonts w:hint="eastAsia"/>
                <w:u w:val="single"/>
              </w:rPr>
              <w:t>NH</w:t>
            </w:r>
            <w:r>
              <w:rPr>
                <w:rFonts w:hint="eastAsia"/>
                <w:u w:val="single"/>
                <w:vertAlign w:val="subscript"/>
              </w:rPr>
              <w:t>3</w:t>
            </w:r>
            <w:r>
              <w:rPr>
                <w:rFonts w:hint="eastAsia"/>
                <w:u w:val="single"/>
              </w:rPr>
              <w:t>-N</w:t>
            </w:r>
          </w:p>
        </w:tc>
        <w:tc>
          <w:tcPr>
            <w:tcW w:w="684" w:type="pct"/>
            <w:vAlign w:val="center"/>
          </w:tcPr>
          <w:p w:rsidR="00EE56C0" w:rsidRDefault="000F36A1">
            <w:pPr>
              <w:pStyle w:val="afa"/>
              <w:rPr>
                <w:rFonts w:eastAsia="宋体"/>
                <w:u w:val="single"/>
              </w:rPr>
            </w:pPr>
            <w:r>
              <w:rPr>
                <w:u w:val="single"/>
              </w:rPr>
              <w:t>0.0385</w:t>
            </w:r>
          </w:p>
        </w:tc>
        <w:tc>
          <w:tcPr>
            <w:tcW w:w="769" w:type="pct"/>
            <w:vAlign w:val="center"/>
          </w:tcPr>
          <w:p w:rsidR="00EE56C0" w:rsidRDefault="000F36A1">
            <w:pPr>
              <w:pStyle w:val="afa"/>
              <w:rPr>
                <w:rFonts w:eastAsia="宋体"/>
                <w:u w:val="single"/>
              </w:rPr>
            </w:pPr>
            <w:r>
              <w:rPr>
                <w:u w:val="single"/>
              </w:rPr>
              <w:t>0.0304</w:t>
            </w:r>
          </w:p>
        </w:tc>
        <w:tc>
          <w:tcPr>
            <w:tcW w:w="726" w:type="pct"/>
            <w:vAlign w:val="center"/>
          </w:tcPr>
          <w:p w:rsidR="00EE56C0" w:rsidRDefault="000F36A1">
            <w:pPr>
              <w:pStyle w:val="afa"/>
              <w:rPr>
                <w:rFonts w:eastAsia="宋体"/>
                <w:u w:val="single"/>
              </w:rPr>
            </w:pPr>
            <w:r>
              <w:rPr>
                <w:u w:val="single"/>
              </w:rPr>
              <w:t>0.0081</w:t>
            </w:r>
          </w:p>
        </w:tc>
        <w:tc>
          <w:tcPr>
            <w:tcW w:w="726" w:type="pct"/>
            <w:vAlign w:val="center"/>
          </w:tcPr>
          <w:p w:rsidR="00EE56C0" w:rsidRDefault="000F36A1">
            <w:pPr>
              <w:pStyle w:val="afa"/>
              <w:rPr>
                <w:rFonts w:eastAsia="宋体"/>
                <w:u w:val="single"/>
              </w:rPr>
            </w:pPr>
            <w:r>
              <w:rPr>
                <w:u w:val="single"/>
              </w:rPr>
              <w:t>0.0041</w:t>
            </w:r>
          </w:p>
        </w:tc>
        <w:tc>
          <w:tcPr>
            <w:tcW w:w="721" w:type="pct"/>
            <w:vAlign w:val="center"/>
          </w:tcPr>
          <w:p w:rsidR="00EE56C0" w:rsidRDefault="000F36A1">
            <w:pPr>
              <w:pStyle w:val="afa"/>
              <w:rPr>
                <w:rFonts w:ascii="宋体" w:eastAsia="宋体" w:hAnsi="宋体" w:cs="宋体"/>
                <w:u w:val="single"/>
              </w:rPr>
            </w:pPr>
            <w:r>
              <w:rPr>
                <w:rFonts w:hint="eastAsia"/>
                <w:u w:val="single"/>
              </w:rPr>
              <w:t>0.0041</w:t>
            </w:r>
          </w:p>
        </w:tc>
      </w:tr>
      <w:tr w:rsidR="00EE56C0">
        <w:trPr>
          <w:trHeight w:val="397"/>
          <w:jc w:val="center"/>
        </w:trPr>
        <w:tc>
          <w:tcPr>
            <w:tcW w:w="321" w:type="pct"/>
            <w:vMerge/>
            <w:vAlign w:val="center"/>
          </w:tcPr>
          <w:p w:rsidR="00EE56C0" w:rsidRDefault="00EE56C0">
            <w:pPr>
              <w:pStyle w:val="afa"/>
              <w:rPr>
                <w:u w:val="single"/>
              </w:rPr>
            </w:pPr>
          </w:p>
        </w:tc>
        <w:tc>
          <w:tcPr>
            <w:tcW w:w="1053" w:type="pct"/>
            <w:gridSpan w:val="3"/>
            <w:vAlign w:val="center"/>
          </w:tcPr>
          <w:p w:rsidR="00EE56C0" w:rsidRDefault="000F36A1">
            <w:pPr>
              <w:pStyle w:val="afa"/>
              <w:rPr>
                <w:u w:val="single"/>
              </w:rPr>
            </w:pPr>
            <w:r>
              <w:rPr>
                <w:u w:val="single"/>
              </w:rPr>
              <w:t>T</w:t>
            </w:r>
            <w:r>
              <w:rPr>
                <w:rFonts w:hint="eastAsia"/>
                <w:u w:val="single"/>
              </w:rPr>
              <w:t xml:space="preserve">P </w:t>
            </w:r>
          </w:p>
        </w:tc>
        <w:tc>
          <w:tcPr>
            <w:tcW w:w="684" w:type="pct"/>
            <w:vAlign w:val="center"/>
          </w:tcPr>
          <w:p w:rsidR="00EE56C0" w:rsidRDefault="000F36A1">
            <w:pPr>
              <w:pStyle w:val="afa"/>
              <w:rPr>
                <w:rFonts w:eastAsia="宋体"/>
                <w:u w:val="single"/>
              </w:rPr>
            </w:pPr>
            <w:r>
              <w:rPr>
                <w:u w:val="single"/>
              </w:rPr>
              <w:t>0.0063</w:t>
            </w:r>
          </w:p>
        </w:tc>
        <w:tc>
          <w:tcPr>
            <w:tcW w:w="769" w:type="pct"/>
            <w:vAlign w:val="center"/>
          </w:tcPr>
          <w:p w:rsidR="00EE56C0" w:rsidRDefault="000F36A1">
            <w:pPr>
              <w:pStyle w:val="afa"/>
              <w:rPr>
                <w:rFonts w:eastAsia="宋体"/>
                <w:u w:val="single"/>
              </w:rPr>
            </w:pPr>
            <w:r>
              <w:rPr>
                <w:u w:val="single"/>
              </w:rPr>
              <w:t>0.0036</w:t>
            </w:r>
          </w:p>
        </w:tc>
        <w:tc>
          <w:tcPr>
            <w:tcW w:w="726" w:type="pct"/>
            <w:vAlign w:val="center"/>
          </w:tcPr>
          <w:p w:rsidR="00EE56C0" w:rsidRDefault="000F36A1">
            <w:pPr>
              <w:pStyle w:val="afa"/>
              <w:rPr>
                <w:rFonts w:eastAsia="宋体"/>
                <w:u w:val="single"/>
              </w:rPr>
            </w:pPr>
            <w:r>
              <w:rPr>
                <w:u w:val="single"/>
              </w:rPr>
              <w:t>0.0028</w:t>
            </w:r>
          </w:p>
        </w:tc>
        <w:tc>
          <w:tcPr>
            <w:tcW w:w="726" w:type="pct"/>
            <w:vAlign w:val="center"/>
          </w:tcPr>
          <w:p w:rsidR="00EE56C0" w:rsidRDefault="000F36A1">
            <w:pPr>
              <w:pStyle w:val="afa"/>
              <w:rPr>
                <w:rFonts w:eastAsia="宋体"/>
                <w:u w:val="single"/>
              </w:rPr>
            </w:pPr>
            <w:r>
              <w:rPr>
                <w:u w:val="single"/>
              </w:rPr>
              <w:t>0.0008</w:t>
            </w:r>
          </w:p>
        </w:tc>
        <w:tc>
          <w:tcPr>
            <w:tcW w:w="721" w:type="pct"/>
            <w:vAlign w:val="center"/>
          </w:tcPr>
          <w:p w:rsidR="00EE56C0" w:rsidRDefault="000F36A1">
            <w:pPr>
              <w:pStyle w:val="afa"/>
              <w:rPr>
                <w:rFonts w:ascii="宋体" w:eastAsia="宋体" w:hAnsi="宋体" w:cs="宋体"/>
                <w:u w:val="single"/>
              </w:rPr>
            </w:pPr>
            <w:r>
              <w:rPr>
                <w:rFonts w:hint="eastAsia"/>
                <w:u w:val="single"/>
              </w:rPr>
              <w:t>0.0008</w:t>
            </w:r>
          </w:p>
        </w:tc>
      </w:tr>
      <w:tr w:rsidR="00EE56C0">
        <w:trPr>
          <w:trHeight w:val="397"/>
          <w:jc w:val="center"/>
        </w:trPr>
        <w:tc>
          <w:tcPr>
            <w:tcW w:w="321" w:type="pct"/>
            <w:vMerge/>
            <w:vAlign w:val="center"/>
          </w:tcPr>
          <w:p w:rsidR="00EE56C0" w:rsidRDefault="00EE56C0">
            <w:pPr>
              <w:pStyle w:val="afa"/>
              <w:rPr>
                <w:u w:val="single"/>
              </w:rPr>
            </w:pPr>
          </w:p>
        </w:tc>
        <w:tc>
          <w:tcPr>
            <w:tcW w:w="1053" w:type="pct"/>
            <w:gridSpan w:val="3"/>
            <w:vAlign w:val="center"/>
          </w:tcPr>
          <w:p w:rsidR="00EE56C0" w:rsidRDefault="000F36A1">
            <w:pPr>
              <w:pStyle w:val="afa"/>
              <w:rPr>
                <w:u w:val="single"/>
              </w:rPr>
            </w:pPr>
            <w:r>
              <w:rPr>
                <w:rFonts w:hint="eastAsia"/>
                <w:u w:val="single"/>
              </w:rPr>
              <w:t>TN</w:t>
            </w:r>
          </w:p>
        </w:tc>
        <w:tc>
          <w:tcPr>
            <w:tcW w:w="684" w:type="pct"/>
            <w:vAlign w:val="center"/>
          </w:tcPr>
          <w:p w:rsidR="00EE56C0" w:rsidRDefault="000F36A1">
            <w:pPr>
              <w:pStyle w:val="afa"/>
              <w:rPr>
                <w:rFonts w:eastAsia="宋体"/>
                <w:u w:val="single"/>
              </w:rPr>
            </w:pPr>
            <w:r>
              <w:rPr>
                <w:u w:val="single"/>
              </w:rPr>
              <w:t>0.0466</w:t>
            </w:r>
          </w:p>
        </w:tc>
        <w:tc>
          <w:tcPr>
            <w:tcW w:w="769" w:type="pct"/>
            <w:vAlign w:val="center"/>
          </w:tcPr>
          <w:p w:rsidR="00EE56C0" w:rsidRDefault="000F36A1">
            <w:pPr>
              <w:pStyle w:val="afa"/>
              <w:rPr>
                <w:rFonts w:eastAsia="宋体"/>
                <w:u w:val="single"/>
              </w:rPr>
            </w:pPr>
            <w:r>
              <w:rPr>
                <w:u w:val="single"/>
              </w:rPr>
              <w:t>0.031</w:t>
            </w:r>
            <w:r>
              <w:rPr>
                <w:rFonts w:hint="eastAsia"/>
                <w:u w:val="single"/>
              </w:rPr>
              <w:t>3</w:t>
            </w:r>
          </w:p>
        </w:tc>
        <w:tc>
          <w:tcPr>
            <w:tcW w:w="726" w:type="pct"/>
            <w:vAlign w:val="center"/>
          </w:tcPr>
          <w:p w:rsidR="00EE56C0" w:rsidRDefault="000F36A1">
            <w:pPr>
              <w:pStyle w:val="afa"/>
              <w:rPr>
                <w:rFonts w:eastAsia="宋体"/>
                <w:u w:val="single"/>
              </w:rPr>
            </w:pPr>
            <w:r>
              <w:rPr>
                <w:u w:val="single"/>
              </w:rPr>
              <w:t>0.015</w:t>
            </w:r>
            <w:r>
              <w:rPr>
                <w:rFonts w:hint="eastAsia"/>
                <w:u w:val="single"/>
              </w:rPr>
              <w:t>3</w:t>
            </w:r>
          </w:p>
        </w:tc>
        <w:tc>
          <w:tcPr>
            <w:tcW w:w="726" w:type="pct"/>
            <w:vAlign w:val="center"/>
          </w:tcPr>
          <w:p w:rsidR="00EE56C0" w:rsidRDefault="000F36A1">
            <w:pPr>
              <w:pStyle w:val="afa"/>
              <w:rPr>
                <w:rFonts w:eastAsia="宋体"/>
                <w:u w:val="single"/>
              </w:rPr>
            </w:pPr>
            <w:r>
              <w:rPr>
                <w:u w:val="single"/>
              </w:rPr>
              <w:t>0.0310</w:t>
            </w:r>
          </w:p>
        </w:tc>
        <w:tc>
          <w:tcPr>
            <w:tcW w:w="721" w:type="pct"/>
            <w:vAlign w:val="center"/>
          </w:tcPr>
          <w:p w:rsidR="00EE56C0" w:rsidRDefault="000F36A1">
            <w:pPr>
              <w:pStyle w:val="afa"/>
              <w:rPr>
                <w:rFonts w:ascii="宋体" w:eastAsia="宋体" w:hAnsi="宋体" w:cs="宋体"/>
                <w:u w:val="single"/>
              </w:rPr>
            </w:pPr>
            <w:r>
              <w:rPr>
                <w:u w:val="single"/>
              </w:rPr>
              <w:t>0.0310</w:t>
            </w:r>
          </w:p>
        </w:tc>
      </w:tr>
      <w:tr w:rsidR="00EE56C0">
        <w:trPr>
          <w:trHeight w:val="397"/>
          <w:jc w:val="center"/>
        </w:trPr>
        <w:tc>
          <w:tcPr>
            <w:tcW w:w="321" w:type="pct"/>
            <w:vMerge/>
            <w:vAlign w:val="center"/>
          </w:tcPr>
          <w:p w:rsidR="00EE56C0" w:rsidRDefault="00EE56C0">
            <w:pPr>
              <w:pStyle w:val="afa"/>
              <w:rPr>
                <w:u w:val="single"/>
              </w:rPr>
            </w:pPr>
          </w:p>
        </w:tc>
        <w:tc>
          <w:tcPr>
            <w:tcW w:w="1053" w:type="pct"/>
            <w:gridSpan w:val="3"/>
            <w:vAlign w:val="center"/>
          </w:tcPr>
          <w:p w:rsidR="00EE56C0" w:rsidRDefault="000F36A1">
            <w:pPr>
              <w:pStyle w:val="afa"/>
              <w:rPr>
                <w:u w:val="single"/>
              </w:rPr>
            </w:pPr>
            <w:r>
              <w:rPr>
                <w:u w:val="single"/>
              </w:rPr>
              <w:t>水量（</w:t>
            </w:r>
            <w:r>
              <w:rPr>
                <w:u w:val="single"/>
              </w:rPr>
              <w:t>t/a</w:t>
            </w:r>
            <w:r>
              <w:rPr>
                <w:u w:val="single"/>
              </w:rPr>
              <w:t>）</w:t>
            </w:r>
          </w:p>
        </w:tc>
        <w:tc>
          <w:tcPr>
            <w:tcW w:w="684" w:type="pct"/>
            <w:vAlign w:val="center"/>
          </w:tcPr>
          <w:p w:rsidR="00EE56C0" w:rsidRDefault="000F36A1">
            <w:pPr>
              <w:pStyle w:val="afa"/>
              <w:rPr>
                <w:rFonts w:eastAsia="宋体"/>
                <w:u w:val="single"/>
              </w:rPr>
            </w:pPr>
            <w:r>
              <w:rPr>
                <w:u w:val="single"/>
              </w:rPr>
              <w:t>2067</w:t>
            </w:r>
          </w:p>
        </w:tc>
        <w:tc>
          <w:tcPr>
            <w:tcW w:w="769" w:type="pct"/>
            <w:vAlign w:val="center"/>
          </w:tcPr>
          <w:p w:rsidR="00EE56C0" w:rsidRDefault="000F36A1">
            <w:pPr>
              <w:pStyle w:val="afa"/>
              <w:rPr>
                <w:rFonts w:eastAsia="宋体"/>
                <w:u w:val="single"/>
              </w:rPr>
            </w:pPr>
            <w:r>
              <w:rPr>
                <w:u w:val="single"/>
              </w:rPr>
              <w:t>0</w:t>
            </w:r>
          </w:p>
        </w:tc>
        <w:tc>
          <w:tcPr>
            <w:tcW w:w="726" w:type="pct"/>
            <w:vAlign w:val="center"/>
          </w:tcPr>
          <w:p w:rsidR="00EE56C0" w:rsidRDefault="000F36A1">
            <w:pPr>
              <w:pStyle w:val="afa"/>
              <w:rPr>
                <w:rFonts w:eastAsia="宋体"/>
                <w:u w:val="single"/>
              </w:rPr>
            </w:pPr>
            <w:r>
              <w:rPr>
                <w:u w:val="single"/>
              </w:rPr>
              <w:t>2067</w:t>
            </w:r>
          </w:p>
        </w:tc>
        <w:tc>
          <w:tcPr>
            <w:tcW w:w="726" w:type="pct"/>
            <w:vAlign w:val="center"/>
          </w:tcPr>
          <w:p w:rsidR="00EE56C0" w:rsidRDefault="000F36A1">
            <w:pPr>
              <w:pStyle w:val="afa"/>
              <w:rPr>
                <w:rFonts w:eastAsia="宋体"/>
                <w:u w:val="single"/>
              </w:rPr>
            </w:pPr>
            <w:r>
              <w:rPr>
                <w:u w:val="single"/>
              </w:rPr>
              <w:t>2067</w:t>
            </w:r>
          </w:p>
        </w:tc>
        <w:tc>
          <w:tcPr>
            <w:tcW w:w="721" w:type="pct"/>
            <w:vAlign w:val="center"/>
          </w:tcPr>
          <w:p w:rsidR="00EE56C0" w:rsidRDefault="000F36A1">
            <w:pPr>
              <w:pStyle w:val="afa"/>
              <w:rPr>
                <w:u w:val="single"/>
              </w:rPr>
            </w:pPr>
            <w:r>
              <w:rPr>
                <w:rFonts w:hint="eastAsia"/>
                <w:u w:val="single"/>
              </w:rPr>
              <w:t>/</w:t>
            </w:r>
          </w:p>
        </w:tc>
      </w:tr>
      <w:tr w:rsidR="00EE56C0">
        <w:trPr>
          <w:trHeight w:val="397"/>
          <w:jc w:val="center"/>
        </w:trPr>
        <w:tc>
          <w:tcPr>
            <w:tcW w:w="321" w:type="pct"/>
            <w:vMerge w:val="restart"/>
            <w:tcBorders>
              <w:top w:val="single" w:sz="4" w:space="0" w:color="auto"/>
            </w:tcBorders>
            <w:vAlign w:val="center"/>
          </w:tcPr>
          <w:p w:rsidR="00EE56C0" w:rsidRDefault="000F36A1">
            <w:pPr>
              <w:pStyle w:val="afa"/>
              <w:rPr>
                <w:u w:val="single"/>
              </w:rPr>
            </w:pPr>
            <w:r>
              <w:rPr>
                <w:u w:val="single"/>
              </w:rPr>
              <w:t>废气</w:t>
            </w:r>
          </w:p>
        </w:tc>
        <w:tc>
          <w:tcPr>
            <w:tcW w:w="241" w:type="pct"/>
            <w:vMerge w:val="restart"/>
            <w:tcBorders>
              <w:top w:val="single" w:sz="4" w:space="0" w:color="auto"/>
              <w:right w:val="single" w:sz="4" w:space="0" w:color="auto"/>
            </w:tcBorders>
            <w:vAlign w:val="center"/>
          </w:tcPr>
          <w:p w:rsidR="00EE56C0" w:rsidRDefault="000F36A1">
            <w:pPr>
              <w:pStyle w:val="afa"/>
              <w:rPr>
                <w:u w:val="single"/>
              </w:rPr>
            </w:pPr>
            <w:r>
              <w:rPr>
                <w:rFonts w:hint="eastAsia"/>
                <w:u w:val="single"/>
              </w:rPr>
              <w:t>有组织</w:t>
            </w:r>
          </w:p>
        </w:tc>
        <w:tc>
          <w:tcPr>
            <w:tcW w:w="332" w:type="pct"/>
            <w:vMerge w:val="restart"/>
            <w:tcBorders>
              <w:left w:val="single" w:sz="4" w:space="0" w:color="auto"/>
              <w:right w:val="single" w:sz="4" w:space="0" w:color="auto"/>
            </w:tcBorders>
            <w:vAlign w:val="center"/>
          </w:tcPr>
          <w:p w:rsidR="00EE56C0" w:rsidRDefault="000F36A1">
            <w:pPr>
              <w:pStyle w:val="afa"/>
              <w:rPr>
                <w:u w:val="single"/>
              </w:rPr>
            </w:pPr>
            <w:r>
              <w:rPr>
                <w:rFonts w:hint="eastAsia"/>
                <w:u w:val="single"/>
              </w:rPr>
              <w:t>VOCs</w:t>
            </w:r>
          </w:p>
        </w:tc>
        <w:tc>
          <w:tcPr>
            <w:tcW w:w="480" w:type="pct"/>
            <w:tcBorders>
              <w:left w:val="single" w:sz="4" w:space="0" w:color="auto"/>
            </w:tcBorders>
            <w:vAlign w:val="center"/>
          </w:tcPr>
          <w:p w:rsidR="00EE56C0" w:rsidRDefault="000F36A1">
            <w:pPr>
              <w:pStyle w:val="afa"/>
              <w:rPr>
                <w:u w:val="single"/>
              </w:rPr>
            </w:pPr>
            <w:r>
              <w:rPr>
                <w:rFonts w:hint="eastAsia"/>
                <w:u w:val="single"/>
              </w:rPr>
              <w:t>酚</w:t>
            </w:r>
          </w:p>
        </w:tc>
        <w:tc>
          <w:tcPr>
            <w:tcW w:w="684" w:type="pct"/>
            <w:vAlign w:val="center"/>
          </w:tcPr>
          <w:p w:rsidR="00EE56C0" w:rsidRDefault="000F36A1">
            <w:pPr>
              <w:pStyle w:val="afa"/>
              <w:rPr>
                <w:rFonts w:ascii="宋体" w:eastAsia="宋体" w:hAnsi="宋体" w:cs="宋体"/>
              </w:rPr>
            </w:pPr>
            <w:r>
              <w:rPr>
                <w:rFonts w:hint="eastAsia"/>
              </w:rPr>
              <w:t>500.94</w:t>
            </w:r>
          </w:p>
        </w:tc>
        <w:tc>
          <w:tcPr>
            <w:tcW w:w="769" w:type="pct"/>
            <w:vAlign w:val="center"/>
          </w:tcPr>
          <w:p w:rsidR="00EE56C0" w:rsidRDefault="000F36A1">
            <w:pPr>
              <w:pStyle w:val="afa"/>
              <w:rPr>
                <w:rFonts w:ascii="宋体" w:eastAsia="宋体" w:hAnsi="宋体" w:cs="宋体"/>
              </w:rPr>
            </w:pPr>
            <w:r>
              <w:rPr>
                <w:rFonts w:hint="eastAsia"/>
              </w:rPr>
              <w:t xml:space="preserve">500.8286 </w:t>
            </w:r>
          </w:p>
        </w:tc>
        <w:tc>
          <w:tcPr>
            <w:tcW w:w="726" w:type="pct"/>
            <w:vAlign w:val="center"/>
          </w:tcPr>
          <w:p w:rsidR="00EE56C0" w:rsidRDefault="000F36A1">
            <w:pPr>
              <w:pStyle w:val="afa"/>
              <w:rPr>
                <w:rFonts w:ascii="宋体" w:eastAsia="宋体" w:hAnsi="宋体" w:cs="宋体"/>
              </w:rPr>
            </w:pPr>
            <w:r>
              <w:rPr>
                <w:rFonts w:hint="eastAsia"/>
              </w:rPr>
              <w:t xml:space="preserve">0.1114 </w:t>
            </w:r>
          </w:p>
        </w:tc>
        <w:tc>
          <w:tcPr>
            <w:tcW w:w="726" w:type="pct"/>
            <w:vAlign w:val="center"/>
          </w:tcPr>
          <w:p w:rsidR="00EE56C0" w:rsidRDefault="000F36A1">
            <w:pPr>
              <w:pStyle w:val="afa"/>
              <w:rPr>
                <w:rFonts w:ascii="宋体" w:eastAsia="宋体" w:hAnsi="宋体" w:cs="宋体"/>
              </w:rPr>
            </w:pPr>
            <w:r>
              <w:rPr>
                <w:rFonts w:hint="eastAsia"/>
              </w:rPr>
              <w:t xml:space="preserve">0.1114 </w:t>
            </w:r>
          </w:p>
        </w:tc>
        <w:tc>
          <w:tcPr>
            <w:tcW w:w="721" w:type="pct"/>
            <w:vAlign w:val="center"/>
          </w:tcPr>
          <w:p w:rsidR="00EE56C0" w:rsidRDefault="000F36A1">
            <w:pPr>
              <w:pStyle w:val="afa"/>
              <w:rPr>
                <w:rFonts w:ascii="宋体" w:eastAsia="宋体" w:hAnsi="宋体" w:cs="宋体"/>
              </w:rPr>
            </w:pPr>
            <w:r>
              <w:rPr>
                <w:rFonts w:hint="eastAsia"/>
              </w:rPr>
              <w:t xml:space="preserve">0.1114 </w:t>
            </w:r>
          </w:p>
        </w:tc>
      </w:tr>
      <w:tr w:rsidR="00EE56C0">
        <w:trPr>
          <w:trHeight w:val="397"/>
          <w:jc w:val="center"/>
        </w:trPr>
        <w:tc>
          <w:tcPr>
            <w:tcW w:w="321" w:type="pct"/>
            <w:vMerge/>
            <w:vAlign w:val="center"/>
          </w:tcPr>
          <w:p w:rsidR="00EE56C0" w:rsidRDefault="00EE56C0">
            <w:pPr>
              <w:pStyle w:val="afa"/>
              <w:rPr>
                <w:u w:val="single"/>
              </w:rPr>
            </w:pPr>
          </w:p>
        </w:tc>
        <w:tc>
          <w:tcPr>
            <w:tcW w:w="241" w:type="pct"/>
            <w:vMerge/>
            <w:tcBorders>
              <w:right w:val="single" w:sz="4" w:space="0" w:color="auto"/>
            </w:tcBorders>
            <w:vAlign w:val="center"/>
          </w:tcPr>
          <w:p w:rsidR="00EE56C0" w:rsidRDefault="00EE56C0">
            <w:pPr>
              <w:pStyle w:val="afa"/>
              <w:rPr>
                <w:u w:val="single"/>
              </w:rPr>
            </w:pPr>
          </w:p>
        </w:tc>
        <w:tc>
          <w:tcPr>
            <w:tcW w:w="332" w:type="pct"/>
            <w:vMerge/>
            <w:tcBorders>
              <w:left w:val="single" w:sz="4" w:space="0" w:color="auto"/>
              <w:right w:val="single" w:sz="4" w:space="0" w:color="auto"/>
            </w:tcBorders>
            <w:vAlign w:val="center"/>
          </w:tcPr>
          <w:p w:rsidR="00EE56C0" w:rsidRDefault="00EE56C0">
            <w:pPr>
              <w:pStyle w:val="afa"/>
              <w:rPr>
                <w:u w:val="single"/>
              </w:rPr>
            </w:pPr>
          </w:p>
        </w:tc>
        <w:tc>
          <w:tcPr>
            <w:tcW w:w="480" w:type="pct"/>
            <w:tcBorders>
              <w:left w:val="single" w:sz="4" w:space="0" w:color="auto"/>
            </w:tcBorders>
            <w:vAlign w:val="center"/>
          </w:tcPr>
          <w:p w:rsidR="00EE56C0" w:rsidRDefault="000F36A1">
            <w:pPr>
              <w:pStyle w:val="afa"/>
              <w:rPr>
                <w:u w:val="single"/>
              </w:rPr>
            </w:pPr>
            <w:r>
              <w:rPr>
                <w:u w:val="single"/>
              </w:rPr>
              <w:t>非甲烷总烃</w:t>
            </w:r>
          </w:p>
        </w:tc>
        <w:tc>
          <w:tcPr>
            <w:tcW w:w="684" w:type="pct"/>
            <w:vAlign w:val="center"/>
          </w:tcPr>
          <w:p w:rsidR="00EE56C0" w:rsidRDefault="000F36A1">
            <w:pPr>
              <w:pStyle w:val="afa"/>
              <w:rPr>
                <w:rFonts w:ascii="宋体" w:eastAsia="宋体" w:hAnsi="宋体" w:cs="宋体"/>
              </w:rPr>
            </w:pPr>
            <w:r>
              <w:rPr>
                <w:rFonts w:hint="eastAsia"/>
              </w:rPr>
              <w:t>314.55</w:t>
            </w:r>
          </w:p>
        </w:tc>
        <w:tc>
          <w:tcPr>
            <w:tcW w:w="769" w:type="pct"/>
            <w:vAlign w:val="center"/>
          </w:tcPr>
          <w:p w:rsidR="00EE56C0" w:rsidRDefault="000F36A1">
            <w:pPr>
              <w:pStyle w:val="afa"/>
              <w:rPr>
                <w:rFonts w:ascii="宋体" w:eastAsia="宋体" w:hAnsi="宋体" w:cs="宋体"/>
              </w:rPr>
            </w:pPr>
            <w:r>
              <w:rPr>
                <w:rFonts w:hint="eastAsia"/>
              </w:rPr>
              <w:t xml:space="preserve">314.3419 </w:t>
            </w:r>
          </w:p>
        </w:tc>
        <w:tc>
          <w:tcPr>
            <w:tcW w:w="726" w:type="pct"/>
            <w:vAlign w:val="center"/>
          </w:tcPr>
          <w:p w:rsidR="00EE56C0" w:rsidRDefault="000F36A1">
            <w:pPr>
              <w:pStyle w:val="afa"/>
              <w:rPr>
                <w:rFonts w:ascii="宋体" w:eastAsia="宋体" w:hAnsi="宋体" w:cs="宋体"/>
              </w:rPr>
            </w:pPr>
            <w:r>
              <w:rPr>
                <w:rFonts w:hint="eastAsia"/>
              </w:rPr>
              <w:t xml:space="preserve">0.2081 </w:t>
            </w:r>
          </w:p>
        </w:tc>
        <w:tc>
          <w:tcPr>
            <w:tcW w:w="726" w:type="pct"/>
            <w:vAlign w:val="center"/>
          </w:tcPr>
          <w:p w:rsidR="00EE56C0" w:rsidRDefault="000F36A1">
            <w:pPr>
              <w:pStyle w:val="afa"/>
              <w:rPr>
                <w:rFonts w:ascii="宋体" w:eastAsia="宋体" w:hAnsi="宋体" w:cs="宋体"/>
              </w:rPr>
            </w:pPr>
            <w:r>
              <w:rPr>
                <w:rFonts w:hint="eastAsia"/>
              </w:rPr>
              <w:t xml:space="preserve">0.2081 </w:t>
            </w:r>
          </w:p>
        </w:tc>
        <w:tc>
          <w:tcPr>
            <w:tcW w:w="721" w:type="pct"/>
            <w:vAlign w:val="center"/>
          </w:tcPr>
          <w:p w:rsidR="00EE56C0" w:rsidRDefault="000F36A1">
            <w:pPr>
              <w:pStyle w:val="afa"/>
              <w:rPr>
                <w:rFonts w:ascii="宋体" w:eastAsia="宋体" w:hAnsi="宋体" w:cs="宋体"/>
              </w:rPr>
            </w:pPr>
            <w:r>
              <w:rPr>
                <w:rFonts w:hint="eastAsia"/>
              </w:rPr>
              <w:t xml:space="preserve">0.2081 </w:t>
            </w:r>
          </w:p>
        </w:tc>
      </w:tr>
      <w:tr w:rsidR="00EE56C0">
        <w:trPr>
          <w:trHeight w:val="397"/>
          <w:jc w:val="center"/>
        </w:trPr>
        <w:tc>
          <w:tcPr>
            <w:tcW w:w="321" w:type="pct"/>
            <w:vMerge/>
            <w:vAlign w:val="center"/>
          </w:tcPr>
          <w:p w:rsidR="00EE56C0" w:rsidRDefault="00EE56C0">
            <w:pPr>
              <w:pStyle w:val="afa"/>
              <w:rPr>
                <w:u w:val="single"/>
              </w:rPr>
            </w:pPr>
          </w:p>
        </w:tc>
        <w:tc>
          <w:tcPr>
            <w:tcW w:w="241" w:type="pct"/>
            <w:vMerge/>
            <w:tcBorders>
              <w:right w:val="single" w:sz="4" w:space="0" w:color="auto"/>
            </w:tcBorders>
            <w:vAlign w:val="center"/>
          </w:tcPr>
          <w:p w:rsidR="00EE56C0" w:rsidRDefault="00EE56C0">
            <w:pPr>
              <w:pStyle w:val="afa"/>
              <w:rPr>
                <w:u w:val="single"/>
              </w:rPr>
            </w:pPr>
          </w:p>
        </w:tc>
        <w:tc>
          <w:tcPr>
            <w:tcW w:w="332" w:type="pct"/>
            <w:vMerge/>
            <w:tcBorders>
              <w:left w:val="single" w:sz="4" w:space="0" w:color="auto"/>
              <w:right w:val="single" w:sz="4" w:space="0" w:color="auto"/>
            </w:tcBorders>
            <w:vAlign w:val="center"/>
          </w:tcPr>
          <w:p w:rsidR="00EE56C0" w:rsidRDefault="00EE56C0">
            <w:pPr>
              <w:pStyle w:val="afa"/>
              <w:rPr>
                <w:u w:val="single"/>
              </w:rPr>
            </w:pPr>
          </w:p>
        </w:tc>
        <w:tc>
          <w:tcPr>
            <w:tcW w:w="480" w:type="pct"/>
            <w:tcBorders>
              <w:left w:val="single" w:sz="4" w:space="0" w:color="auto"/>
            </w:tcBorders>
            <w:vAlign w:val="center"/>
          </w:tcPr>
          <w:p w:rsidR="00EE56C0" w:rsidRDefault="000F36A1">
            <w:pPr>
              <w:pStyle w:val="afa"/>
              <w:rPr>
                <w:u w:val="single"/>
              </w:rPr>
            </w:pPr>
            <w:r>
              <w:rPr>
                <w:rFonts w:hint="eastAsia"/>
                <w:u w:val="single"/>
              </w:rPr>
              <w:t>二甲苯</w:t>
            </w:r>
          </w:p>
        </w:tc>
        <w:tc>
          <w:tcPr>
            <w:tcW w:w="684" w:type="pct"/>
            <w:vAlign w:val="center"/>
          </w:tcPr>
          <w:p w:rsidR="00EE56C0" w:rsidRDefault="000F36A1">
            <w:pPr>
              <w:pStyle w:val="afa"/>
              <w:rPr>
                <w:rFonts w:ascii="宋体" w:eastAsia="宋体" w:hAnsi="宋体" w:cs="宋体"/>
              </w:rPr>
            </w:pPr>
            <w:r>
              <w:rPr>
                <w:rFonts w:hint="eastAsia"/>
              </w:rPr>
              <w:t>74.04</w:t>
            </w:r>
          </w:p>
        </w:tc>
        <w:tc>
          <w:tcPr>
            <w:tcW w:w="769" w:type="pct"/>
            <w:vAlign w:val="center"/>
          </w:tcPr>
          <w:p w:rsidR="00EE56C0" w:rsidRDefault="000F36A1">
            <w:pPr>
              <w:pStyle w:val="afa"/>
              <w:rPr>
                <w:rFonts w:ascii="宋体" w:eastAsia="宋体" w:hAnsi="宋体" w:cs="宋体"/>
              </w:rPr>
            </w:pPr>
            <w:r>
              <w:rPr>
                <w:rFonts w:hint="eastAsia"/>
              </w:rPr>
              <w:t xml:space="preserve">73.6320 </w:t>
            </w:r>
          </w:p>
        </w:tc>
        <w:tc>
          <w:tcPr>
            <w:tcW w:w="726" w:type="pct"/>
            <w:vAlign w:val="center"/>
          </w:tcPr>
          <w:p w:rsidR="00EE56C0" w:rsidRDefault="000F36A1">
            <w:pPr>
              <w:pStyle w:val="afa"/>
              <w:rPr>
                <w:rFonts w:ascii="宋体" w:eastAsia="宋体" w:hAnsi="宋体" w:cs="宋体"/>
              </w:rPr>
            </w:pPr>
            <w:r>
              <w:rPr>
                <w:rFonts w:hint="eastAsia"/>
              </w:rPr>
              <w:t xml:space="preserve">0.4080 </w:t>
            </w:r>
          </w:p>
        </w:tc>
        <w:tc>
          <w:tcPr>
            <w:tcW w:w="726" w:type="pct"/>
            <w:vAlign w:val="center"/>
          </w:tcPr>
          <w:p w:rsidR="00EE56C0" w:rsidRDefault="000F36A1">
            <w:pPr>
              <w:pStyle w:val="afa"/>
              <w:rPr>
                <w:rFonts w:ascii="宋体" w:eastAsia="宋体" w:hAnsi="宋体" w:cs="宋体"/>
              </w:rPr>
            </w:pPr>
            <w:r>
              <w:rPr>
                <w:rFonts w:hint="eastAsia"/>
              </w:rPr>
              <w:t xml:space="preserve">0.4080 </w:t>
            </w:r>
          </w:p>
        </w:tc>
        <w:tc>
          <w:tcPr>
            <w:tcW w:w="721" w:type="pct"/>
            <w:vAlign w:val="center"/>
          </w:tcPr>
          <w:p w:rsidR="00EE56C0" w:rsidRDefault="000F36A1">
            <w:pPr>
              <w:pStyle w:val="afa"/>
              <w:rPr>
                <w:rFonts w:ascii="宋体" w:eastAsia="宋体" w:hAnsi="宋体" w:cs="宋体"/>
              </w:rPr>
            </w:pPr>
            <w:r>
              <w:rPr>
                <w:rFonts w:hint="eastAsia"/>
              </w:rPr>
              <w:t xml:space="preserve">0.4080 </w:t>
            </w:r>
          </w:p>
        </w:tc>
      </w:tr>
      <w:tr w:rsidR="00EE56C0">
        <w:trPr>
          <w:trHeight w:val="397"/>
          <w:jc w:val="center"/>
        </w:trPr>
        <w:tc>
          <w:tcPr>
            <w:tcW w:w="321" w:type="pct"/>
            <w:vMerge/>
            <w:vAlign w:val="center"/>
          </w:tcPr>
          <w:p w:rsidR="00EE56C0" w:rsidRDefault="00EE56C0">
            <w:pPr>
              <w:pStyle w:val="afa"/>
              <w:rPr>
                <w:u w:val="single"/>
              </w:rPr>
            </w:pPr>
          </w:p>
        </w:tc>
        <w:tc>
          <w:tcPr>
            <w:tcW w:w="241" w:type="pct"/>
            <w:vMerge/>
            <w:tcBorders>
              <w:right w:val="single" w:sz="4" w:space="0" w:color="auto"/>
            </w:tcBorders>
            <w:vAlign w:val="center"/>
          </w:tcPr>
          <w:p w:rsidR="00EE56C0" w:rsidRDefault="00EE56C0">
            <w:pPr>
              <w:pStyle w:val="afa"/>
              <w:rPr>
                <w:u w:val="single"/>
              </w:rPr>
            </w:pPr>
          </w:p>
        </w:tc>
        <w:tc>
          <w:tcPr>
            <w:tcW w:w="332" w:type="pct"/>
            <w:vMerge/>
            <w:tcBorders>
              <w:left w:val="single" w:sz="4" w:space="0" w:color="auto"/>
              <w:right w:val="single" w:sz="4" w:space="0" w:color="auto"/>
            </w:tcBorders>
            <w:vAlign w:val="center"/>
          </w:tcPr>
          <w:p w:rsidR="00EE56C0" w:rsidRDefault="00EE56C0">
            <w:pPr>
              <w:pStyle w:val="afa"/>
              <w:rPr>
                <w:u w:val="single"/>
              </w:rPr>
            </w:pPr>
          </w:p>
        </w:tc>
        <w:tc>
          <w:tcPr>
            <w:tcW w:w="480" w:type="pct"/>
            <w:tcBorders>
              <w:left w:val="single" w:sz="4" w:space="0" w:color="auto"/>
            </w:tcBorders>
            <w:vAlign w:val="center"/>
          </w:tcPr>
          <w:p w:rsidR="00EE56C0" w:rsidRDefault="000F36A1">
            <w:pPr>
              <w:pStyle w:val="afa"/>
              <w:rPr>
                <w:u w:val="single"/>
              </w:rPr>
            </w:pPr>
            <w:r>
              <w:rPr>
                <w:rFonts w:hint="eastAsia"/>
                <w:u w:val="single"/>
              </w:rPr>
              <w:t>甲苯</w:t>
            </w:r>
          </w:p>
        </w:tc>
        <w:tc>
          <w:tcPr>
            <w:tcW w:w="684" w:type="pct"/>
            <w:vAlign w:val="center"/>
          </w:tcPr>
          <w:p w:rsidR="00EE56C0" w:rsidRDefault="000F36A1">
            <w:pPr>
              <w:pStyle w:val="afa"/>
              <w:rPr>
                <w:rFonts w:ascii="宋体" w:eastAsia="宋体" w:hAnsi="宋体" w:cs="宋体"/>
              </w:rPr>
            </w:pPr>
            <w:r>
              <w:rPr>
                <w:rFonts w:hint="eastAsia"/>
              </w:rPr>
              <w:t>26.37</w:t>
            </w:r>
          </w:p>
        </w:tc>
        <w:tc>
          <w:tcPr>
            <w:tcW w:w="769" w:type="pct"/>
            <w:vAlign w:val="center"/>
          </w:tcPr>
          <w:p w:rsidR="00EE56C0" w:rsidRDefault="000F36A1">
            <w:pPr>
              <w:pStyle w:val="afa"/>
              <w:rPr>
                <w:rFonts w:ascii="宋体" w:eastAsia="宋体" w:hAnsi="宋体" w:cs="宋体"/>
              </w:rPr>
            </w:pPr>
            <w:r>
              <w:rPr>
                <w:rFonts w:hint="eastAsia"/>
              </w:rPr>
              <w:t xml:space="preserve">25.9742 </w:t>
            </w:r>
          </w:p>
        </w:tc>
        <w:tc>
          <w:tcPr>
            <w:tcW w:w="726" w:type="pct"/>
            <w:vAlign w:val="center"/>
          </w:tcPr>
          <w:p w:rsidR="00EE56C0" w:rsidRDefault="000F36A1">
            <w:pPr>
              <w:pStyle w:val="afa"/>
              <w:rPr>
                <w:rFonts w:ascii="宋体" w:eastAsia="宋体" w:hAnsi="宋体" w:cs="宋体"/>
              </w:rPr>
            </w:pPr>
            <w:r>
              <w:rPr>
                <w:rFonts w:hint="eastAsia"/>
              </w:rPr>
              <w:t xml:space="preserve">0.3958 </w:t>
            </w:r>
          </w:p>
        </w:tc>
        <w:tc>
          <w:tcPr>
            <w:tcW w:w="726" w:type="pct"/>
            <w:vAlign w:val="center"/>
          </w:tcPr>
          <w:p w:rsidR="00EE56C0" w:rsidRDefault="000F36A1">
            <w:pPr>
              <w:pStyle w:val="afa"/>
              <w:rPr>
                <w:rFonts w:ascii="宋体" w:eastAsia="宋体" w:hAnsi="宋体" w:cs="宋体"/>
              </w:rPr>
            </w:pPr>
            <w:r>
              <w:rPr>
                <w:rFonts w:hint="eastAsia"/>
              </w:rPr>
              <w:t xml:space="preserve">0.3958 </w:t>
            </w:r>
          </w:p>
        </w:tc>
        <w:tc>
          <w:tcPr>
            <w:tcW w:w="721" w:type="pct"/>
            <w:vAlign w:val="center"/>
          </w:tcPr>
          <w:p w:rsidR="00EE56C0" w:rsidRDefault="000F36A1">
            <w:pPr>
              <w:pStyle w:val="afa"/>
              <w:rPr>
                <w:rFonts w:ascii="宋体" w:eastAsia="宋体" w:hAnsi="宋体" w:cs="宋体"/>
              </w:rPr>
            </w:pPr>
            <w:r>
              <w:rPr>
                <w:rFonts w:hint="eastAsia"/>
              </w:rPr>
              <w:t xml:space="preserve">0.3958 </w:t>
            </w:r>
          </w:p>
        </w:tc>
      </w:tr>
      <w:tr w:rsidR="00EE56C0">
        <w:trPr>
          <w:trHeight w:val="397"/>
          <w:jc w:val="center"/>
        </w:trPr>
        <w:tc>
          <w:tcPr>
            <w:tcW w:w="321" w:type="pct"/>
            <w:vMerge/>
            <w:vAlign w:val="center"/>
          </w:tcPr>
          <w:p w:rsidR="00EE56C0" w:rsidRDefault="00EE56C0">
            <w:pPr>
              <w:pStyle w:val="afa"/>
              <w:rPr>
                <w:u w:val="single"/>
              </w:rPr>
            </w:pPr>
          </w:p>
        </w:tc>
        <w:tc>
          <w:tcPr>
            <w:tcW w:w="241" w:type="pct"/>
            <w:vMerge/>
            <w:tcBorders>
              <w:right w:val="single" w:sz="4" w:space="0" w:color="auto"/>
            </w:tcBorders>
            <w:vAlign w:val="center"/>
          </w:tcPr>
          <w:p w:rsidR="00EE56C0" w:rsidRDefault="00EE56C0">
            <w:pPr>
              <w:pStyle w:val="afa"/>
              <w:rPr>
                <w:u w:val="single"/>
              </w:rPr>
            </w:pPr>
          </w:p>
        </w:tc>
        <w:tc>
          <w:tcPr>
            <w:tcW w:w="332" w:type="pct"/>
            <w:vMerge/>
            <w:tcBorders>
              <w:left w:val="single" w:sz="4" w:space="0" w:color="auto"/>
              <w:right w:val="single" w:sz="4" w:space="0" w:color="auto"/>
            </w:tcBorders>
            <w:vAlign w:val="center"/>
          </w:tcPr>
          <w:p w:rsidR="00EE56C0" w:rsidRDefault="00EE56C0">
            <w:pPr>
              <w:pStyle w:val="afa"/>
              <w:rPr>
                <w:highlight w:val="yellow"/>
                <w:u w:val="single"/>
              </w:rPr>
            </w:pPr>
          </w:p>
        </w:tc>
        <w:tc>
          <w:tcPr>
            <w:tcW w:w="480" w:type="pct"/>
            <w:tcBorders>
              <w:left w:val="single" w:sz="4" w:space="0" w:color="auto"/>
            </w:tcBorders>
            <w:vAlign w:val="center"/>
          </w:tcPr>
          <w:p w:rsidR="00EE56C0" w:rsidRDefault="000F36A1">
            <w:pPr>
              <w:pStyle w:val="afa"/>
              <w:rPr>
                <w:highlight w:val="yellow"/>
                <w:u w:val="single"/>
              </w:rPr>
            </w:pPr>
            <w:r>
              <w:rPr>
                <w:rFonts w:hint="eastAsia"/>
                <w:u w:val="single"/>
              </w:rPr>
              <w:t>苯</w:t>
            </w:r>
          </w:p>
        </w:tc>
        <w:tc>
          <w:tcPr>
            <w:tcW w:w="684" w:type="pct"/>
            <w:vAlign w:val="center"/>
          </w:tcPr>
          <w:p w:rsidR="00EE56C0" w:rsidRDefault="000F36A1">
            <w:pPr>
              <w:pStyle w:val="afa"/>
              <w:rPr>
                <w:rFonts w:ascii="宋体" w:eastAsia="宋体" w:hAnsi="宋体" w:cs="宋体"/>
              </w:rPr>
            </w:pPr>
            <w:r>
              <w:rPr>
                <w:rFonts w:hint="eastAsia"/>
              </w:rPr>
              <w:t>6.63</w:t>
            </w:r>
          </w:p>
        </w:tc>
        <w:tc>
          <w:tcPr>
            <w:tcW w:w="769" w:type="pct"/>
            <w:vAlign w:val="center"/>
          </w:tcPr>
          <w:p w:rsidR="00EE56C0" w:rsidRDefault="000F36A1">
            <w:pPr>
              <w:pStyle w:val="afa"/>
              <w:rPr>
                <w:rFonts w:ascii="宋体" w:eastAsia="宋体" w:hAnsi="宋体" w:cs="宋体"/>
              </w:rPr>
            </w:pPr>
            <w:r>
              <w:rPr>
                <w:rFonts w:hint="eastAsia"/>
              </w:rPr>
              <w:t xml:space="preserve">6.4981 </w:t>
            </w:r>
          </w:p>
        </w:tc>
        <w:tc>
          <w:tcPr>
            <w:tcW w:w="726" w:type="pct"/>
            <w:vAlign w:val="center"/>
          </w:tcPr>
          <w:p w:rsidR="00EE56C0" w:rsidRDefault="000F36A1">
            <w:pPr>
              <w:pStyle w:val="afa"/>
              <w:rPr>
                <w:rFonts w:ascii="宋体" w:eastAsia="宋体" w:hAnsi="宋体" w:cs="宋体"/>
              </w:rPr>
            </w:pPr>
            <w:r>
              <w:rPr>
                <w:rFonts w:hint="eastAsia"/>
              </w:rPr>
              <w:t xml:space="preserve">0.1319 </w:t>
            </w:r>
          </w:p>
        </w:tc>
        <w:tc>
          <w:tcPr>
            <w:tcW w:w="726" w:type="pct"/>
            <w:vAlign w:val="center"/>
          </w:tcPr>
          <w:p w:rsidR="00EE56C0" w:rsidRDefault="000F36A1">
            <w:pPr>
              <w:pStyle w:val="afa"/>
              <w:rPr>
                <w:rFonts w:ascii="宋体" w:eastAsia="宋体" w:hAnsi="宋体" w:cs="宋体"/>
              </w:rPr>
            </w:pPr>
            <w:r>
              <w:rPr>
                <w:rFonts w:hint="eastAsia"/>
              </w:rPr>
              <w:t xml:space="preserve">0.1319 </w:t>
            </w:r>
          </w:p>
        </w:tc>
        <w:tc>
          <w:tcPr>
            <w:tcW w:w="721" w:type="pct"/>
            <w:vAlign w:val="center"/>
          </w:tcPr>
          <w:p w:rsidR="00EE56C0" w:rsidRDefault="000F36A1">
            <w:pPr>
              <w:pStyle w:val="afa"/>
              <w:rPr>
                <w:rFonts w:ascii="宋体" w:eastAsia="宋体" w:hAnsi="宋体" w:cs="宋体"/>
              </w:rPr>
            </w:pPr>
            <w:r>
              <w:rPr>
                <w:rFonts w:hint="eastAsia"/>
              </w:rPr>
              <w:t xml:space="preserve">0.1319 </w:t>
            </w:r>
          </w:p>
        </w:tc>
      </w:tr>
      <w:tr w:rsidR="00EE56C0">
        <w:trPr>
          <w:trHeight w:val="397"/>
          <w:jc w:val="center"/>
        </w:trPr>
        <w:tc>
          <w:tcPr>
            <w:tcW w:w="321" w:type="pct"/>
            <w:vMerge/>
            <w:vAlign w:val="center"/>
          </w:tcPr>
          <w:p w:rsidR="00EE56C0" w:rsidRDefault="00EE56C0">
            <w:pPr>
              <w:pStyle w:val="afa"/>
              <w:rPr>
                <w:u w:val="single"/>
              </w:rPr>
            </w:pPr>
          </w:p>
        </w:tc>
        <w:tc>
          <w:tcPr>
            <w:tcW w:w="241" w:type="pct"/>
            <w:vMerge/>
            <w:tcBorders>
              <w:right w:val="single" w:sz="4" w:space="0" w:color="auto"/>
            </w:tcBorders>
            <w:vAlign w:val="center"/>
          </w:tcPr>
          <w:p w:rsidR="00EE56C0" w:rsidRDefault="00EE56C0">
            <w:pPr>
              <w:pStyle w:val="afa"/>
              <w:rPr>
                <w:u w:val="single"/>
              </w:rPr>
            </w:pPr>
          </w:p>
        </w:tc>
        <w:tc>
          <w:tcPr>
            <w:tcW w:w="332" w:type="pct"/>
            <w:vMerge/>
            <w:tcBorders>
              <w:left w:val="single" w:sz="4" w:space="0" w:color="auto"/>
              <w:right w:val="single" w:sz="4" w:space="0" w:color="auto"/>
            </w:tcBorders>
            <w:vAlign w:val="center"/>
          </w:tcPr>
          <w:p w:rsidR="00EE56C0" w:rsidRDefault="00EE56C0">
            <w:pPr>
              <w:pStyle w:val="afa"/>
              <w:rPr>
                <w:u w:val="single"/>
              </w:rPr>
            </w:pPr>
          </w:p>
        </w:tc>
        <w:tc>
          <w:tcPr>
            <w:tcW w:w="480" w:type="pct"/>
            <w:tcBorders>
              <w:left w:val="single" w:sz="4" w:space="0" w:color="auto"/>
            </w:tcBorders>
            <w:vAlign w:val="center"/>
          </w:tcPr>
          <w:p w:rsidR="00EE56C0" w:rsidRDefault="000F36A1">
            <w:pPr>
              <w:pStyle w:val="afa"/>
              <w:rPr>
                <w:u w:val="single"/>
              </w:rPr>
            </w:pPr>
            <w:r>
              <w:rPr>
                <w:rFonts w:hint="eastAsia"/>
                <w:u w:val="single"/>
              </w:rPr>
              <w:t>合计</w:t>
            </w:r>
          </w:p>
        </w:tc>
        <w:tc>
          <w:tcPr>
            <w:tcW w:w="684" w:type="pct"/>
            <w:vAlign w:val="center"/>
          </w:tcPr>
          <w:p w:rsidR="00EE56C0" w:rsidRDefault="000F36A1">
            <w:pPr>
              <w:pStyle w:val="afa"/>
              <w:rPr>
                <w:rFonts w:ascii="宋体" w:eastAsia="宋体" w:hAnsi="宋体" w:cs="宋体"/>
              </w:rPr>
            </w:pPr>
            <w:r>
              <w:rPr>
                <w:rFonts w:hint="eastAsia"/>
              </w:rPr>
              <w:t>922.53</w:t>
            </w:r>
          </w:p>
        </w:tc>
        <w:tc>
          <w:tcPr>
            <w:tcW w:w="769" w:type="pct"/>
            <w:vAlign w:val="center"/>
          </w:tcPr>
          <w:p w:rsidR="00EE56C0" w:rsidRDefault="000F36A1">
            <w:pPr>
              <w:pStyle w:val="afa"/>
              <w:rPr>
                <w:rFonts w:ascii="宋体" w:eastAsia="宋体" w:hAnsi="宋体" w:cs="宋体"/>
              </w:rPr>
            </w:pPr>
            <w:r>
              <w:rPr>
                <w:rFonts w:hint="eastAsia"/>
              </w:rPr>
              <w:t xml:space="preserve">921.2747 </w:t>
            </w:r>
          </w:p>
        </w:tc>
        <w:tc>
          <w:tcPr>
            <w:tcW w:w="726" w:type="pct"/>
            <w:vAlign w:val="center"/>
          </w:tcPr>
          <w:p w:rsidR="00EE56C0" w:rsidRDefault="000F36A1">
            <w:pPr>
              <w:pStyle w:val="afa"/>
              <w:rPr>
                <w:rFonts w:ascii="宋体" w:eastAsia="宋体" w:hAnsi="宋体" w:cs="宋体"/>
              </w:rPr>
            </w:pPr>
            <w:r>
              <w:rPr>
                <w:rFonts w:hint="eastAsia"/>
              </w:rPr>
              <w:t xml:space="preserve">1.2553 </w:t>
            </w:r>
          </w:p>
        </w:tc>
        <w:tc>
          <w:tcPr>
            <w:tcW w:w="726" w:type="pct"/>
            <w:vAlign w:val="center"/>
          </w:tcPr>
          <w:p w:rsidR="00EE56C0" w:rsidRDefault="000F36A1">
            <w:pPr>
              <w:pStyle w:val="afa"/>
              <w:rPr>
                <w:rFonts w:ascii="宋体" w:eastAsia="宋体" w:hAnsi="宋体" w:cs="宋体"/>
              </w:rPr>
            </w:pPr>
            <w:r>
              <w:rPr>
                <w:rFonts w:hint="eastAsia"/>
              </w:rPr>
              <w:t xml:space="preserve">1.2553 </w:t>
            </w:r>
          </w:p>
        </w:tc>
        <w:tc>
          <w:tcPr>
            <w:tcW w:w="721" w:type="pct"/>
            <w:vAlign w:val="center"/>
          </w:tcPr>
          <w:p w:rsidR="00EE56C0" w:rsidRDefault="000F36A1">
            <w:pPr>
              <w:pStyle w:val="afa"/>
              <w:rPr>
                <w:rFonts w:ascii="宋体" w:eastAsia="宋体" w:hAnsi="宋体" w:cs="宋体"/>
              </w:rPr>
            </w:pPr>
            <w:r>
              <w:rPr>
                <w:rFonts w:hint="eastAsia"/>
              </w:rPr>
              <w:t xml:space="preserve">1.2553 </w:t>
            </w:r>
          </w:p>
        </w:tc>
      </w:tr>
      <w:tr w:rsidR="00EE56C0">
        <w:trPr>
          <w:trHeight w:val="397"/>
          <w:jc w:val="center"/>
        </w:trPr>
        <w:tc>
          <w:tcPr>
            <w:tcW w:w="321" w:type="pct"/>
            <w:vMerge/>
            <w:vAlign w:val="center"/>
          </w:tcPr>
          <w:p w:rsidR="00EE56C0" w:rsidRDefault="00EE56C0">
            <w:pPr>
              <w:pStyle w:val="afa"/>
              <w:rPr>
                <w:u w:val="single"/>
              </w:rPr>
            </w:pPr>
          </w:p>
        </w:tc>
        <w:tc>
          <w:tcPr>
            <w:tcW w:w="241" w:type="pct"/>
            <w:vMerge w:val="restart"/>
            <w:tcBorders>
              <w:right w:val="single" w:sz="4" w:space="0" w:color="auto"/>
            </w:tcBorders>
            <w:vAlign w:val="center"/>
          </w:tcPr>
          <w:p w:rsidR="00EE56C0" w:rsidRDefault="000F36A1">
            <w:pPr>
              <w:pStyle w:val="afa"/>
              <w:rPr>
                <w:u w:val="single"/>
              </w:rPr>
            </w:pPr>
            <w:r>
              <w:rPr>
                <w:rFonts w:hint="eastAsia"/>
                <w:u w:val="single"/>
              </w:rPr>
              <w:t>无组织</w:t>
            </w:r>
          </w:p>
        </w:tc>
        <w:tc>
          <w:tcPr>
            <w:tcW w:w="332" w:type="pct"/>
            <w:vMerge w:val="restart"/>
            <w:tcBorders>
              <w:left w:val="single" w:sz="4" w:space="0" w:color="auto"/>
              <w:right w:val="single" w:sz="4" w:space="0" w:color="auto"/>
            </w:tcBorders>
            <w:vAlign w:val="center"/>
          </w:tcPr>
          <w:p w:rsidR="00EE56C0" w:rsidRDefault="000F36A1">
            <w:pPr>
              <w:pStyle w:val="afa"/>
              <w:rPr>
                <w:u w:val="single"/>
              </w:rPr>
            </w:pPr>
            <w:r>
              <w:rPr>
                <w:rFonts w:hint="eastAsia"/>
                <w:u w:val="single"/>
              </w:rPr>
              <w:t>VOCs</w:t>
            </w:r>
          </w:p>
        </w:tc>
        <w:tc>
          <w:tcPr>
            <w:tcW w:w="480" w:type="pct"/>
            <w:tcBorders>
              <w:left w:val="single" w:sz="4" w:space="0" w:color="auto"/>
            </w:tcBorders>
            <w:vAlign w:val="center"/>
          </w:tcPr>
          <w:p w:rsidR="00EE56C0" w:rsidRDefault="000F36A1">
            <w:pPr>
              <w:pStyle w:val="afa"/>
              <w:rPr>
                <w:u w:val="single"/>
              </w:rPr>
            </w:pPr>
            <w:r>
              <w:rPr>
                <w:rFonts w:hint="eastAsia"/>
                <w:u w:val="single"/>
              </w:rPr>
              <w:t>酚</w:t>
            </w:r>
          </w:p>
        </w:tc>
        <w:tc>
          <w:tcPr>
            <w:tcW w:w="684" w:type="pct"/>
            <w:vAlign w:val="center"/>
          </w:tcPr>
          <w:p w:rsidR="00EE56C0" w:rsidRDefault="000F36A1">
            <w:pPr>
              <w:pStyle w:val="afa"/>
              <w:rPr>
                <w:rFonts w:ascii="宋体" w:eastAsia="宋体" w:hAnsi="宋体" w:cs="宋体"/>
              </w:rPr>
            </w:pPr>
            <w:r>
              <w:rPr>
                <w:rFonts w:hint="eastAsia"/>
              </w:rPr>
              <w:t>0.9267</w:t>
            </w:r>
          </w:p>
        </w:tc>
        <w:tc>
          <w:tcPr>
            <w:tcW w:w="769" w:type="pct"/>
            <w:vAlign w:val="center"/>
          </w:tcPr>
          <w:p w:rsidR="00EE56C0" w:rsidRDefault="000F36A1">
            <w:pPr>
              <w:pStyle w:val="afa"/>
              <w:rPr>
                <w:rFonts w:ascii="宋体" w:eastAsia="宋体" w:hAnsi="宋体" w:cs="宋体"/>
              </w:rPr>
            </w:pPr>
            <w:r>
              <w:rPr>
                <w:rFonts w:hint="eastAsia"/>
              </w:rPr>
              <w:t xml:space="preserve">0.0000 </w:t>
            </w:r>
          </w:p>
        </w:tc>
        <w:tc>
          <w:tcPr>
            <w:tcW w:w="726" w:type="pct"/>
            <w:vAlign w:val="center"/>
          </w:tcPr>
          <w:p w:rsidR="00EE56C0" w:rsidRDefault="000F36A1">
            <w:pPr>
              <w:pStyle w:val="afa"/>
              <w:rPr>
                <w:rFonts w:ascii="宋体" w:eastAsia="宋体" w:hAnsi="宋体" w:cs="宋体"/>
              </w:rPr>
            </w:pPr>
            <w:r>
              <w:rPr>
                <w:rFonts w:hint="eastAsia"/>
              </w:rPr>
              <w:t xml:space="preserve">0.9267 </w:t>
            </w:r>
          </w:p>
        </w:tc>
        <w:tc>
          <w:tcPr>
            <w:tcW w:w="726" w:type="pct"/>
            <w:vAlign w:val="center"/>
          </w:tcPr>
          <w:p w:rsidR="00EE56C0" w:rsidRDefault="000F36A1">
            <w:pPr>
              <w:pStyle w:val="afa"/>
              <w:rPr>
                <w:rFonts w:ascii="宋体" w:eastAsia="宋体" w:hAnsi="宋体" w:cs="宋体"/>
              </w:rPr>
            </w:pPr>
            <w:r>
              <w:rPr>
                <w:rFonts w:hint="eastAsia"/>
              </w:rPr>
              <w:t xml:space="preserve">0.9267 </w:t>
            </w:r>
          </w:p>
        </w:tc>
        <w:tc>
          <w:tcPr>
            <w:tcW w:w="721" w:type="pct"/>
            <w:vAlign w:val="center"/>
          </w:tcPr>
          <w:p w:rsidR="00EE56C0" w:rsidRDefault="000F36A1">
            <w:pPr>
              <w:pStyle w:val="afa"/>
              <w:rPr>
                <w:rFonts w:ascii="宋体" w:eastAsia="宋体" w:hAnsi="宋体" w:cs="宋体"/>
              </w:rPr>
            </w:pPr>
            <w:r>
              <w:rPr>
                <w:rFonts w:hint="eastAsia"/>
              </w:rPr>
              <w:t xml:space="preserve">0.9267 </w:t>
            </w:r>
          </w:p>
        </w:tc>
      </w:tr>
      <w:tr w:rsidR="00EE56C0">
        <w:trPr>
          <w:trHeight w:val="397"/>
          <w:jc w:val="center"/>
        </w:trPr>
        <w:tc>
          <w:tcPr>
            <w:tcW w:w="321" w:type="pct"/>
            <w:vMerge/>
            <w:vAlign w:val="center"/>
          </w:tcPr>
          <w:p w:rsidR="00EE56C0" w:rsidRDefault="00EE56C0">
            <w:pPr>
              <w:pStyle w:val="afa"/>
              <w:rPr>
                <w:u w:val="single"/>
              </w:rPr>
            </w:pPr>
          </w:p>
        </w:tc>
        <w:tc>
          <w:tcPr>
            <w:tcW w:w="241" w:type="pct"/>
            <w:vMerge/>
            <w:tcBorders>
              <w:right w:val="single" w:sz="4" w:space="0" w:color="auto"/>
            </w:tcBorders>
            <w:vAlign w:val="center"/>
          </w:tcPr>
          <w:p w:rsidR="00EE56C0" w:rsidRDefault="00EE56C0">
            <w:pPr>
              <w:pStyle w:val="afa"/>
              <w:rPr>
                <w:u w:val="single"/>
              </w:rPr>
            </w:pPr>
          </w:p>
        </w:tc>
        <w:tc>
          <w:tcPr>
            <w:tcW w:w="332" w:type="pct"/>
            <w:vMerge/>
            <w:tcBorders>
              <w:left w:val="single" w:sz="4" w:space="0" w:color="auto"/>
              <w:right w:val="single" w:sz="4" w:space="0" w:color="auto"/>
            </w:tcBorders>
            <w:vAlign w:val="center"/>
          </w:tcPr>
          <w:p w:rsidR="00EE56C0" w:rsidRDefault="00EE56C0">
            <w:pPr>
              <w:pStyle w:val="afa"/>
              <w:rPr>
                <w:u w:val="single"/>
              </w:rPr>
            </w:pPr>
          </w:p>
        </w:tc>
        <w:tc>
          <w:tcPr>
            <w:tcW w:w="480" w:type="pct"/>
            <w:tcBorders>
              <w:left w:val="single" w:sz="4" w:space="0" w:color="auto"/>
            </w:tcBorders>
            <w:vAlign w:val="center"/>
          </w:tcPr>
          <w:p w:rsidR="00EE56C0" w:rsidRDefault="000F36A1">
            <w:pPr>
              <w:pStyle w:val="afa"/>
              <w:rPr>
                <w:u w:val="single"/>
              </w:rPr>
            </w:pPr>
            <w:r>
              <w:rPr>
                <w:u w:val="single"/>
              </w:rPr>
              <w:t>非甲烷总烃</w:t>
            </w:r>
          </w:p>
        </w:tc>
        <w:tc>
          <w:tcPr>
            <w:tcW w:w="684" w:type="pct"/>
            <w:vAlign w:val="center"/>
          </w:tcPr>
          <w:p w:rsidR="00EE56C0" w:rsidRDefault="000F36A1">
            <w:pPr>
              <w:pStyle w:val="afa"/>
              <w:rPr>
                <w:rFonts w:ascii="宋体" w:eastAsia="宋体" w:hAnsi="宋体" w:cs="宋体"/>
              </w:rPr>
            </w:pPr>
            <w:r>
              <w:rPr>
                <w:rFonts w:hint="eastAsia"/>
              </w:rPr>
              <w:t>0.6836</w:t>
            </w:r>
          </w:p>
        </w:tc>
        <w:tc>
          <w:tcPr>
            <w:tcW w:w="769" w:type="pct"/>
            <w:vAlign w:val="center"/>
          </w:tcPr>
          <w:p w:rsidR="00EE56C0" w:rsidRDefault="000F36A1">
            <w:pPr>
              <w:pStyle w:val="afa"/>
              <w:rPr>
                <w:rFonts w:ascii="宋体" w:eastAsia="宋体" w:hAnsi="宋体" w:cs="宋体"/>
              </w:rPr>
            </w:pPr>
            <w:r>
              <w:rPr>
                <w:rFonts w:hint="eastAsia"/>
              </w:rPr>
              <w:t xml:space="preserve">0.0000 </w:t>
            </w:r>
          </w:p>
        </w:tc>
        <w:tc>
          <w:tcPr>
            <w:tcW w:w="726" w:type="pct"/>
            <w:vAlign w:val="center"/>
          </w:tcPr>
          <w:p w:rsidR="00EE56C0" w:rsidRDefault="000F36A1">
            <w:pPr>
              <w:pStyle w:val="afa"/>
              <w:rPr>
                <w:rFonts w:ascii="宋体" w:eastAsia="宋体" w:hAnsi="宋体" w:cs="宋体"/>
              </w:rPr>
            </w:pPr>
            <w:r>
              <w:rPr>
                <w:rFonts w:hint="eastAsia"/>
              </w:rPr>
              <w:t xml:space="preserve">0.6836 </w:t>
            </w:r>
          </w:p>
        </w:tc>
        <w:tc>
          <w:tcPr>
            <w:tcW w:w="726" w:type="pct"/>
            <w:vAlign w:val="center"/>
          </w:tcPr>
          <w:p w:rsidR="00EE56C0" w:rsidRDefault="000F36A1">
            <w:pPr>
              <w:pStyle w:val="afa"/>
              <w:rPr>
                <w:rFonts w:ascii="宋体" w:eastAsia="宋体" w:hAnsi="宋体" w:cs="宋体"/>
              </w:rPr>
            </w:pPr>
            <w:r>
              <w:rPr>
                <w:rFonts w:hint="eastAsia"/>
              </w:rPr>
              <w:t xml:space="preserve">0.6836 </w:t>
            </w:r>
          </w:p>
        </w:tc>
        <w:tc>
          <w:tcPr>
            <w:tcW w:w="721" w:type="pct"/>
            <w:vAlign w:val="center"/>
          </w:tcPr>
          <w:p w:rsidR="00EE56C0" w:rsidRDefault="000F36A1">
            <w:pPr>
              <w:pStyle w:val="afa"/>
              <w:rPr>
                <w:rFonts w:ascii="宋体" w:eastAsia="宋体" w:hAnsi="宋体" w:cs="宋体"/>
              </w:rPr>
            </w:pPr>
            <w:r>
              <w:rPr>
                <w:rFonts w:hint="eastAsia"/>
              </w:rPr>
              <w:t xml:space="preserve">0.6836 </w:t>
            </w:r>
          </w:p>
        </w:tc>
      </w:tr>
      <w:tr w:rsidR="00EE56C0">
        <w:trPr>
          <w:trHeight w:val="397"/>
          <w:jc w:val="center"/>
        </w:trPr>
        <w:tc>
          <w:tcPr>
            <w:tcW w:w="321" w:type="pct"/>
            <w:vMerge/>
            <w:vAlign w:val="center"/>
          </w:tcPr>
          <w:p w:rsidR="00EE56C0" w:rsidRDefault="00EE56C0">
            <w:pPr>
              <w:pStyle w:val="afa"/>
              <w:rPr>
                <w:u w:val="single"/>
              </w:rPr>
            </w:pPr>
          </w:p>
        </w:tc>
        <w:tc>
          <w:tcPr>
            <w:tcW w:w="241" w:type="pct"/>
            <w:vMerge/>
            <w:tcBorders>
              <w:right w:val="single" w:sz="4" w:space="0" w:color="auto"/>
            </w:tcBorders>
            <w:vAlign w:val="center"/>
          </w:tcPr>
          <w:p w:rsidR="00EE56C0" w:rsidRDefault="00EE56C0">
            <w:pPr>
              <w:pStyle w:val="afa"/>
              <w:rPr>
                <w:u w:val="single"/>
              </w:rPr>
            </w:pPr>
          </w:p>
        </w:tc>
        <w:tc>
          <w:tcPr>
            <w:tcW w:w="332" w:type="pct"/>
            <w:vMerge/>
            <w:tcBorders>
              <w:left w:val="single" w:sz="4" w:space="0" w:color="auto"/>
              <w:right w:val="single" w:sz="4" w:space="0" w:color="auto"/>
            </w:tcBorders>
            <w:vAlign w:val="center"/>
          </w:tcPr>
          <w:p w:rsidR="00EE56C0" w:rsidRDefault="00EE56C0">
            <w:pPr>
              <w:pStyle w:val="afa"/>
              <w:rPr>
                <w:u w:val="single"/>
              </w:rPr>
            </w:pPr>
          </w:p>
        </w:tc>
        <w:tc>
          <w:tcPr>
            <w:tcW w:w="480" w:type="pct"/>
            <w:tcBorders>
              <w:left w:val="single" w:sz="4" w:space="0" w:color="auto"/>
            </w:tcBorders>
            <w:vAlign w:val="center"/>
          </w:tcPr>
          <w:p w:rsidR="00EE56C0" w:rsidRDefault="000F36A1">
            <w:pPr>
              <w:pStyle w:val="afa"/>
              <w:rPr>
                <w:u w:val="single"/>
              </w:rPr>
            </w:pPr>
            <w:r>
              <w:rPr>
                <w:rFonts w:hint="eastAsia"/>
                <w:u w:val="single"/>
              </w:rPr>
              <w:t>二甲苯</w:t>
            </w:r>
          </w:p>
        </w:tc>
        <w:tc>
          <w:tcPr>
            <w:tcW w:w="684" w:type="pct"/>
            <w:vAlign w:val="center"/>
          </w:tcPr>
          <w:p w:rsidR="00EE56C0" w:rsidRDefault="000F36A1">
            <w:pPr>
              <w:pStyle w:val="afa"/>
              <w:rPr>
                <w:rFonts w:ascii="宋体" w:eastAsia="宋体" w:hAnsi="宋体" w:cs="宋体"/>
              </w:rPr>
            </w:pPr>
            <w:r>
              <w:rPr>
                <w:rFonts w:hint="eastAsia"/>
              </w:rPr>
              <w:t>0.1999</w:t>
            </w:r>
          </w:p>
        </w:tc>
        <w:tc>
          <w:tcPr>
            <w:tcW w:w="769" w:type="pct"/>
            <w:vAlign w:val="center"/>
          </w:tcPr>
          <w:p w:rsidR="00EE56C0" w:rsidRDefault="000F36A1">
            <w:pPr>
              <w:pStyle w:val="afa"/>
              <w:rPr>
                <w:rFonts w:ascii="宋体" w:eastAsia="宋体" w:hAnsi="宋体" w:cs="宋体"/>
              </w:rPr>
            </w:pPr>
            <w:r>
              <w:rPr>
                <w:rFonts w:hint="eastAsia"/>
              </w:rPr>
              <w:t xml:space="preserve">0.0000 </w:t>
            </w:r>
          </w:p>
        </w:tc>
        <w:tc>
          <w:tcPr>
            <w:tcW w:w="726" w:type="pct"/>
            <w:vAlign w:val="center"/>
          </w:tcPr>
          <w:p w:rsidR="00EE56C0" w:rsidRDefault="000F36A1">
            <w:pPr>
              <w:pStyle w:val="afa"/>
              <w:rPr>
                <w:rFonts w:ascii="宋体" w:eastAsia="宋体" w:hAnsi="宋体" w:cs="宋体"/>
              </w:rPr>
            </w:pPr>
            <w:r>
              <w:rPr>
                <w:rFonts w:hint="eastAsia"/>
              </w:rPr>
              <w:t xml:space="preserve">0.1999 </w:t>
            </w:r>
          </w:p>
        </w:tc>
        <w:tc>
          <w:tcPr>
            <w:tcW w:w="726" w:type="pct"/>
            <w:vAlign w:val="center"/>
          </w:tcPr>
          <w:p w:rsidR="00EE56C0" w:rsidRDefault="000F36A1">
            <w:pPr>
              <w:pStyle w:val="afa"/>
              <w:rPr>
                <w:rFonts w:ascii="宋体" w:eastAsia="宋体" w:hAnsi="宋体" w:cs="宋体"/>
              </w:rPr>
            </w:pPr>
            <w:r>
              <w:rPr>
                <w:rFonts w:hint="eastAsia"/>
              </w:rPr>
              <w:t xml:space="preserve">0.1999 </w:t>
            </w:r>
          </w:p>
        </w:tc>
        <w:tc>
          <w:tcPr>
            <w:tcW w:w="721" w:type="pct"/>
            <w:vAlign w:val="center"/>
          </w:tcPr>
          <w:p w:rsidR="00EE56C0" w:rsidRDefault="000F36A1">
            <w:pPr>
              <w:pStyle w:val="afa"/>
              <w:rPr>
                <w:rFonts w:ascii="宋体" w:eastAsia="宋体" w:hAnsi="宋体" w:cs="宋体"/>
              </w:rPr>
            </w:pPr>
            <w:r>
              <w:rPr>
                <w:rFonts w:hint="eastAsia"/>
              </w:rPr>
              <w:t xml:space="preserve">0.1999 </w:t>
            </w:r>
          </w:p>
        </w:tc>
      </w:tr>
      <w:tr w:rsidR="00EE56C0">
        <w:trPr>
          <w:trHeight w:val="397"/>
          <w:jc w:val="center"/>
        </w:trPr>
        <w:tc>
          <w:tcPr>
            <w:tcW w:w="321" w:type="pct"/>
            <w:vMerge/>
            <w:vAlign w:val="center"/>
          </w:tcPr>
          <w:p w:rsidR="00EE56C0" w:rsidRDefault="00EE56C0">
            <w:pPr>
              <w:pStyle w:val="afa"/>
              <w:rPr>
                <w:u w:val="single"/>
              </w:rPr>
            </w:pPr>
          </w:p>
        </w:tc>
        <w:tc>
          <w:tcPr>
            <w:tcW w:w="241" w:type="pct"/>
            <w:vMerge/>
            <w:tcBorders>
              <w:right w:val="single" w:sz="4" w:space="0" w:color="auto"/>
            </w:tcBorders>
            <w:vAlign w:val="center"/>
          </w:tcPr>
          <w:p w:rsidR="00EE56C0" w:rsidRDefault="00EE56C0">
            <w:pPr>
              <w:pStyle w:val="afa"/>
              <w:rPr>
                <w:u w:val="single"/>
              </w:rPr>
            </w:pPr>
          </w:p>
        </w:tc>
        <w:tc>
          <w:tcPr>
            <w:tcW w:w="332" w:type="pct"/>
            <w:vMerge/>
            <w:tcBorders>
              <w:left w:val="single" w:sz="4" w:space="0" w:color="auto"/>
              <w:right w:val="single" w:sz="4" w:space="0" w:color="auto"/>
            </w:tcBorders>
            <w:vAlign w:val="center"/>
          </w:tcPr>
          <w:p w:rsidR="00EE56C0" w:rsidRDefault="00EE56C0">
            <w:pPr>
              <w:pStyle w:val="afa"/>
              <w:rPr>
                <w:u w:val="single"/>
              </w:rPr>
            </w:pPr>
          </w:p>
        </w:tc>
        <w:tc>
          <w:tcPr>
            <w:tcW w:w="480" w:type="pct"/>
            <w:tcBorders>
              <w:left w:val="single" w:sz="4" w:space="0" w:color="auto"/>
            </w:tcBorders>
            <w:vAlign w:val="center"/>
          </w:tcPr>
          <w:p w:rsidR="00EE56C0" w:rsidRDefault="000F36A1">
            <w:pPr>
              <w:pStyle w:val="afa"/>
              <w:rPr>
                <w:u w:val="single"/>
              </w:rPr>
            </w:pPr>
            <w:r>
              <w:rPr>
                <w:rFonts w:hint="eastAsia"/>
                <w:u w:val="single"/>
              </w:rPr>
              <w:t>甲苯</w:t>
            </w:r>
          </w:p>
        </w:tc>
        <w:tc>
          <w:tcPr>
            <w:tcW w:w="684" w:type="pct"/>
            <w:vAlign w:val="center"/>
          </w:tcPr>
          <w:p w:rsidR="00EE56C0" w:rsidRDefault="000F36A1">
            <w:pPr>
              <w:pStyle w:val="afa"/>
              <w:rPr>
                <w:rFonts w:ascii="宋体" w:eastAsia="宋体" w:hAnsi="宋体" w:cs="宋体"/>
              </w:rPr>
            </w:pPr>
            <w:r>
              <w:rPr>
                <w:rFonts w:hint="eastAsia"/>
              </w:rPr>
              <w:t>0.0995</w:t>
            </w:r>
          </w:p>
        </w:tc>
        <w:tc>
          <w:tcPr>
            <w:tcW w:w="769" w:type="pct"/>
            <w:vAlign w:val="center"/>
          </w:tcPr>
          <w:p w:rsidR="00EE56C0" w:rsidRDefault="000F36A1">
            <w:pPr>
              <w:pStyle w:val="afa"/>
              <w:rPr>
                <w:rFonts w:ascii="宋体" w:eastAsia="宋体" w:hAnsi="宋体" w:cs="宋体"/>
              </w:rPr>
            </w:pPr>
            <w:r>
              <w:rPr>
                <w:rFonts w:hint="eastAsia"/>
              </w:rPr>
              <w:t xml:space="preserve">0.0001 </w:t>
            </w:r>
          </w:p>
        </w:tc>
        <w:tc>
          <w:tcPr>
            <w:tcW w:w="726" w:type="pct"/>
            <w:vAlign w:val="center"/>
          </w:tcPr>
          <w:p w:rsidR="00EE56C0" w:rsidRDefault="000F36A1">
            <w:pPr>
              <w:pStyle w:val="afa"/>
              <w:rPr>
                <w:rFonts w:ascii="宋体" w:eastAsia="宋体" w:hAnsi="宋体" w:cs="宋体"/>
              </w:rPr>
            </w:pPr>
            <w:r>
              <w:rPr>
                <w:rFonts w:hint="eastAsia"/>
              </w:rPr>
              <w:t xml:space="preserve">0.0994 </w:t>
            </w:r>
          </w:p>
        </w:tc>
        <w:tc>
          <w:tcPr>
            <w:tcW w:w="726" w:type="pct"/>
            <w:vAlign w:val="center"/>
          </w:tcPr>
          <w:p w:rsidR="00EE56C0" w:rsidRDefault="000F36A1">
            <w:pPr>
              <w:pStyle w:val="afa"/>
              <w:rPr>
                <w:rFonts w:ascii="宋体" w:eastAsia="宋体" w:hAnsi="宋体" w:cs="宋体"/>
              </w:rPr>
            </w:pPr>
            <w:r>
              <w:rPr>
                <w:rFonts w:hint="eastAsia"/>
              </w:rPr>
              <w:t xml:space="preserve">0.0994 </w:t>
            </w:r>
          </w:p>
        </w:tc>
        <w:tc>
          <w:tcPr>
            <w:tcW w:w="721" w:type="pct"/>
            <w:vAlign w:val="center"/>
          </w:tcPr>
          <w:p w:rsidR="00EE56C0" w:rsidRDefault="000F36A1">
            <w:pPr>
              <w:pStyle w:val="afa"/>
              <w:rPr>
                <w:rFonts w:ascii="宋体" w:eastAsia="宋体" w:hAnsi="宋体" w:cs="宋体"/>
              </w:rPr>
            </w:pPr>
            <w:r>
              <w:rPr>
                <w:rFonts w:hint="eastAsia"/>
              </w:rPr>
              <w:t xml:space="preserve">0.0994 </w:t>
            </w:r>
          </w:p>
        </w:tc>
      </w:tr>
      <w:tr w:rsidR="00EE56C0">
        <w:trPr>
          <w:trHeight w:val="397"/>
          <w:jc w:val="center"/>
        </w:trPr>
        <w:tc>
          <w:tcPr>
            <w:tcW w:w="321" w:type="pct"/>
            <w:vMerge/>
            <w:vAlign w:val="center"/>
          </w:tcPr>
          <w:p w:rsidR="00EE56C0" w:rsidRDefault="00EE56C0">
            <w:pPr>
              <w:pStyle w:val="afa"/>
              <w:rPr>
                <w:u w:val="single"/>
              </w:rPr>
            </w:pPr>
          </w:p>
        </w:tc>
        <w:tc>
          <w:tcPr>
            <w:tcW w:w="241" w:type="pct"/>
            <w:vMerge/>
            <w:tcBorders>
              <w:right w:val="single" w:sz="4" w:space="0" w:color="auto"/>
            </w:tcBorders>
            <w:vAlign w:val="center"/>
          </w:tcPr>
          <w:p w:rsidR="00EE56C0" w:rsidRDefault="00EE56C0">
            <w:pPr>
              <w:pStyle w:val="afa"/>
              <w:rPr>
                <w:u w:val="single"/>
              </w:rPr>
            </w:pPr>
          </w:p>
        </w:tc>
        <w:tc>
          <w:tcPr>
            <w:tcW w:w="332" w:type="pct"/>
            <w:vMerge/>
            <w:tcBorders>
              <w:left w:val="single" w:sz="4" w:space="0" w:color="auto"/>
              <w:right w:val="single" w:sz="4" w:space="0" w:color="auto"/>
            </w:tcBorders>
            <w:vAlign w:val="center"/>
          </w:tcPr>
          <w:p w:rsidR="00EE56C0" w:rsidRDefault="00EE56C0">
            <w:pPr>
              <w:pStyle w:val="afa"/>
              <w:rPr>
                <w:highlight w:val="yellow"/>
                <w:u w:val="single"/>
              </w:rPr>
            </w:pPr>
          </w:p>
        </w:tc>
        <w:tc>
          <w:tcPr>
            <w:tcW w:w="480" w:type="pct"/>
            <w:tcBorders>
              <w:left w:val="single" w:sz="4" w:space="0" w:color="auto"/>
            </w:tcBorders>
            <w:vAlign w:val="center"/>
          </w:tcPr>
          <w:p w:rsidR="00EE56C0" w:rsidRDefault="000F36A1">
            <w:pPr>
              <w:pStyle w:val="afa"/>
              <w:rPr>
                <w:highlight w:val="yellow"/>
                <w:u w:val="single"/>
              </w:rPr>
            </w:pPr>
            <w:r>
              <w:rPr>
                <w:rFonts w:hint="eastAsia"/>
                <w:u w:val="single"/>
              </w:rPr>
              <w:t>苯</w:t>
            </w:r>
          </w:p>
        </w:tc>
        <w:tc>
          <w:tcPr>
            <w:tcW w:w="684" w:type="pct"/>
            <w:vAlign w:val="center"/>
          </w:tcPr>
          <w:p w:rsidR="00EE56C0" w:rsidRDefault="000F36A1">
            <w:pPr>
              <w:pStyle w:val="afa"/>
              <w:rPr>
                <w:rFonts w:ascii="宋体" w:eastAsia="宋体" w:hAnsi="宋体" w:cs="宋体"/>
              </w:rPr>
            </w:pPr>
            <w:r>
              <w:rPr>
                <w:rFonts w:hint="eastAsia"/>
              </w:rPr>
              <w:t>0.0331</w:t>
            </w:r>
          </w:p>
        </w:tc>
        <w:tc>
          <w:tcPr>
            <w:tcW w:w="769" w:type="pct"/>
            <w:vAlign w:val="center"/>
          </w:tcPr>
          <w:p w:rsidR="00EE56C0" w:rsidRDefault="000F36A1">
            <w:pPr>
              <w:pStyle w:val="afa"/>
              <w:rPr>
                <w:rFonts w:ascii="宋体" w:eastAsia="宋体" w:hAnsi="宋体" w:cs="宋体"/>
              </w:rPr>
            </w:pPr>
            <w:r>
              <w:rPr>
                <w:rFonts w:hint="eastAsia"/>
              </w:rPr>
              <w:t xml:space="preserve">0.0000 </w:t>
            </w:r>
          </w:p>
        </w:tc>
        <w:tc>
          <w:tcPr>
            <w:tcW w:w="726" w:type="pct"/>
            <w:vAlign w:val="center"/>
          </w:tcPr>
          <w:p w:rsidR="00EE56C0" w:rsidRDefault="000F36A1">
            <w:pPr>
              <w:pStyle w:val="afa"/>
              <w:rPr>
                <w:rFonts w:ascii="宋体" w:eastAsia="宋体" w:hAnsi="宋体" w:cs="宋体"/>
              </w:rPr>
            </w:pPr>
            <w:r>
              <w:rPr>
                <w:rFonts w:hint="eastAsia"/>
              </w:rPr>
              <w:t xml:space="preserve">0.0332 </w:t>
            </w:r>
          </w:p>
        </w:tc>
        <w:tc>
          <w:tcPr>
            <w:tcW w:w="726" w:type="pct"/>
            <w:vAlign w:val="center"/>
          </w:tcPr>
          <w:p w:rsidR="00EE56C0" w:rsidRDefault="000F36A1">
            <w:pPr>
              <w:pStyle w:val="afa"/>
              <w:rPr>
                <w:rFonts w:ascii="宋体" w:eastAsia="宋体" w:hAnsi="宋体" w:cs="宋体"/>
              </w:rPr>
            </w:pPr>
            <w:r>
              <w:rPr>
                <w:rFonts w:hint="eastAsia"/>
              </w:rPr>
              <w:t xml:space="preserve">0.0332 </w:t>
            </w:r>
          </w:p>
        </w:tc>
        <w:tc>
          <w:tcPr>
            <w:tcW w:w="721" w:type="pct"/>
            <w:vAlign w:val="center"/>
          </w:tcPr>
          <w:p w:rsidR="00EE56C0" w:rsidRDefault="000F36A1">
            <w:pPr>
              <w:pStyle w:val="afa"/>
              <w:rPr>
                <w:rFonts w:ascii="宋体" w:eastAsia="宋体" w:hAnsi="宋体" w:cs="宋体"/>
              </w:rPr>
            </w:pPr>
            <w:r>
              <w:rPr>
                <w:rFonts w:hint="eastAsia"/>
              </w:rPr>
              <w:t xml:space="preserve">0.0332 </w:t>
            </w:r>
          </w:p>
        </w:tc>
      </w:tr>
      <w:tr w:rsidR="00EE56C0">
        <w:trPr>
          <w:trHeight w:val="397"/>
          <w:jc w:val="center"/>
        </w:trPr>
        <w:tc>
          <w:tcPr>
            <w:tcW w:w="321" w:type="pct"/>
            <w:vMerge/>
            <w:vAlign w:val="center"/>
          </w:tcPr>
          <w:p w:rsidR="00EE56C0" w:rsidRDefault="00EE56C0">
            <w:pPr>
              <w:pStyle w:val="afa"/>
              <w:rPr>
                <w:u w:val="single"/>
              </w:rPr>
            </w:pPr>
          </w:p>
        </w:tc>
        <w:tc>
          <w:tcPr>
            <w:tcW w:w="241" w:type="pct"/>
            <w:vMerge/>
            <w:tcBorders>
              <w:right w:val="single" w:sz="4" w:space="0" w:color="auto"/>
            </w:tcBorders>
            <w:vAlign w:val="center"/>
          </w:tcPr>
          <w:p w:rsidR="00EE56C0" w:rsidRDefault="00EE56C0">
            <w:pPr>
              <w:pStyle w:val="afa"/>
              <w:rPr>
                <w:u w:val="single"/>
              </w:rPr>
            </w:pPr>
          </w:p>
        </w:tc>
        <w:tc>
          <w:tcPr>
            <w:tcW w:w="332" w:type="pct"/>
            <w:vMerge/>
            <w:tcBorders>
              <w:left w:val="single" w:sz="4" w:space="0" w:color="auto"/>
              <w:right w:val="single" w:sz="4" w:space="0" w:color="auto"/>
            </w:tcBorders>
            <w:vAlign w:val="center"/>
          </w:tcPr>
          <w:p w:rsidR="00EE56C0" w:rsidRDefault="00EE56C0">
            <w:pPr>
              <w:pStyle w:val="afa"/>
              <w:rPr>
                <w:u w:val="single"/>
              </w:rPr>
            </w:pPr>
          </w:p>
        </w:tc>
        <w:tc>
          <w:tcPr>
            <w:tcW w:w="480" w:type="pct"/>
            <w:tcBorders>
              <w:left w:val="single" w:sz="4" w:space="0" w:color="auto"/>
            </w:tcBorders>
            <w:vAlign w:val="center"/>
          </w:tcPr>
          <w:p w:rsidR="00EE56C0" w:rsidRDefault="000F36A1">
            <w:pPr>
              <w:pStyle w:val="afa"/>
              <w:rPr>
                <w:u w:val="single"/>
              </w:rPr>
            </w:pPr>
            <w:r>
              <w:rPr>
                <w:rFonts w:hint="eastAsia"/>
                <w:u w:val="single"/>
              </w:rPr>
              <w:t>合计</w:t>
            </w:r>
          </w:p>
        </w:tc>
        <w:tc>
          <w:tcPr>
            <w:tcW w:w="684" w:type="pct"/>
            <w:vAlign w:val="center"/>
          </w:tcPr>
          <w:p w:rsidR="00EE56C0" w:rsidRDefault="000F36A1">
            <w:pPr>
              <w:pStyle w:val="afa"/>
              <w:rPr>
                <w:rFonts w:ascii="宋体" w:eastAsia="宋体" w:hAnsi="宋体" w:cs="宋体"/>
              </w:rPr>
            </w:pPr>
            <w:r>
              <w:rPr>
                <w:rFonts w:hint="eastAsia"/>
              </w:rPr>
              <w:t>1.9427</w:t>
            </w:r>
          </w:p>
        </w:tc>
        <w:tc>
          <w:tcPr>
            <w:tcW w:w="769" w:type="pct"/>
            <w:vAlign w:val="center"/>
          </w:tcPr>
          <w:p w:rsidR="00EE56C0" w:rsidRDefault="000F36A1">
            <w:pPr>
              <w:pStyle w:val="afa"/>
              <w:rPr>
                <w:rFonts w:ascii="宋体" w:eastAsia="宋体" w:hAnsi="宋体" w:cs="宋体"/>
              </w:rPr>
            </w:pPr>
            <w:r>
              <w:rPr>
                <w:rFonts w:hint="eastAsia"/>
              </w:rPr>
              <w:t xml:space="preserve">0.0000 </w:t>
            </w:r>
          </w:p>
        </w:tc>
        <w:tc>
          <w:tcPr>
            <w:tcW w:w="726" w:type="pct"/>
            <w:vAlign w:val="center"/>
          </w:tcPr>
          <w:p w:rsidR="00EE56C0" w:rsidRDefault="000F36A1">
            <w:pPr>
              <w:pStyle w:val="afa"/>
              <w:rPr>
                <w:rFonts w:ascii="宋体" w:eastAsia="宋体" w:hAnsi="宋体" w:cs="宋体"/>
              </w:rPr>
            </w:pPr>
            <w:r>
              <w:rPr>
                <w:rFonts w:hint="eastAsia"/>
              </w:rPr>
              <w:t xml:space="preserve">1.9428 </w:t>
            </w:r>
          </w:p>
        </w:tc>
        <w:tc>
          <w:tcPr>
            <w:tcW w:w="726" w:type="pct"/>
            <w:vAlign w:val="center"/>
          </w:tcPr>
          <w:p w:rsidR="00EE56C0" w:rsidRDefault="000F36A1">
            <w:pPr>
              <w:pStyle w:val="afa"/>
              <w:rPr>
                <w:rFonts w:ascii="宋体" w:eastAsia="宋体" w:hAnsi="宋体" w:cs="宋体"/>
              </w:rPr>
            </w:pPr>
            <w:r>
              <w:rPr>
                <w:rFonts w:hint="eastAsia"/>
              </w:rPr>
              <w:t xml:space="preserve">1.9428 </w:t>
            </w:r>
          </w:p>
        </w:tc>
        <w:tc>
          <w:tcPr>
            <w:tcW w:w="721" w:type="pct"/>
            <w:vAlign w:val="center"/>
          </w:tcPr>
          <w:p w:rsidR="00EE56C0" w:rsidRDefault="000F36A1">
            <w:pPr>
              <w:pStyle w:val="afa"/>
              <w:rPr>
                <w:rFonts w:ascii="宋体" w:eastAsia="宋体" w:hAnsi="宋体" w:cs="宋体"/>
              </w:rPr>
            </w:pPr>
            <w:r>
              <w:rPr>
                <w:rFonts w:hint="eastAsia"/>
              </w:rPr>
              <w:t xml:space="preserve">1.9428 </w:t>
            </w:r>
          </w:p>
        </w:tc>
      </w:tr>
      <w:tr w:rsidR="00EE56C0">
        <w:trPr>
          <w:trHeight w:val="397"/>
          <w:jc w:val="center"/>
        </w:trPr>
        <w:tc>
          <w:tcPr>
            <w:tcW w:w="321" w:type="pct"/>
            <w:vMerge w:val="restart"/>
            <w:vAlign w:val="center"/>
          </w:tcPr>
          <w:p w:rsidR="00EE56C0" w:rsidRDefault="000F36A1">
            <w:pPr>
              <w:pStyle w:val="afa"/>
              <w:rPr>
                <w:u w:val="single"/>
              </w:rPr>
            </w:pPr>
            <w:r>
              <w:rPr>
                <w:u w:val="single"/>
              </w:rPr>
              <w:t>固废</w:t>
            </w:r>
          </w:p>
        </w:tc>
        <w:tc>
          <w:tcPr>
            <w:tcW w:w="1053" w:type="pct"/>
            <w:gridSpan w:val="3"/>
            <w:vAlign w:val="center"/>
          </w:tcPr>
          <w:p w:rsidR="00EE56C0" w:rsidRDefault="000F36A1">
            <w:pPr>
              <w:pStyle w:val="afa"/>
              <w:rPr>
                <w:u w:val="single"/>
              </w:rPr>
            </w:pPr>
            <w:r>
              <w:rPr>
                <w:rFonts w:hint="eastAsia"/>
                <w:u w:val="single"/>
              </w:rPr>
              <w:t>一般固废</w:t>
            </w:r>
          </w:p>
        </w:tc>
        <w:tc>
          <w:tcPr>
            <w:tcW w:w="684" w:type="pct"/>
            <w:vAlign w:val="center"/>
          </w:tcPr>
          <w:p w:rsidR="00EE56C0" w:rsidRDefault="000F36A1">
            <w:pPr>
              <w:pStyle w:val="afa"/>
              <w:rPr>
                <w:rFonts w:ascii="宋体" w:eastAsia="宋体" w:hAnsi="宋体" w:cs="宋体"/>
                <w:u w:val="single"/>
              </w:rPr>
            </w:pPr>
            <w:r>
              <w:rPr>
                <w:rFonts w:hint="eastAsia"/>
                <w:u w:val="single"/>
              </w:rPr>
              <w:t>48.13</w:t>
            </w:r>
          </w:p>
        </w:tc>
        <w:tc>
          <w:tcPr>
            <w:tcW w:w="769" w:type="pct"/>
            <w:vAlign w:val="center"/>
          </w:tcPr>
          <w:p w:rsidR="00EE56C0" w:rsidRDefault="000F36A1">
            <w:pPr>
              <w:pStyle w:val="afa"/>
              <w:rPr>
                <w:rFonts w:ascii="宋体" w:eastAsia="宋体" w:hAnsi="宋体" w:cs="宋体"/>
                <w:u w:val="single"/>
              </w:rPr>
            </w:pPr>
            <w:r>
              <w:rPr>
                <w:rFonts w:hint="eastAsia"/>
                <w:u w:val="single"/>
              </w:rPr>
              <w:t>48.13</w:t>
            </w:r>
          </w:p>
        </w:tc>
        <w:tc>
          <w:tcPr>
            <w:tcW w:w="726" w:type="pct"/>
            <w:vAlign w:val="center"/>
          </w:tcPr>
          <w:p w:rsidR="00EE56C0" w:rsidRDefault="000F36A1">
            <w:pPr>
              <w:pStyle w:val="afa"/>
              <w:rPr>
                <w:u w:val="single"/>
              </w:rPr>
            </w:pPr>
            <w:r>
              <w:rPr>
                <w:u w:val="single"/>
              </w:rPr>
              <w:t>0</w:t>
            </w:r>
          </w:p>
        </w:tc>
        <w:tc>
          <w:tcPr>
            <w:tcW w:w="726" w:type="pct"/>
            <w:vAlign w:val="center"/>
          </w:tcPr>
          <w:p w:rsidR="00EE56C0" w:rsidRDefault="000F36A1">
            <w:pPr>
              <w:pStyle w:val="afa"/>
              <w:rPr>
                <w:u w:val="single"/>
              </w:rPr>
            </w:pPr>
            <w:r>
              <w:rPr>
                <w:rFonts w:hint="eastAsia"/>
                <w:u w:val="single"/>
              </w:rPr>
              <w:t>/</w:t>
            </w:r>
          </w:p>
        </w:tc>
        <w:tc>
          <w:tcPr>
            <w:tcW w:w="721" w:type="pct"/>
            <w:vAlign w:val="center"/>
          </w:tcPr>
          <w:p w:rsidR="00EE56C0" w:rsidRDefault="000F36A1">
            <w:pPr>
              <w:pStyle w:val="afa"/>
              <w:rPr>
                <w:u w:val="single"/>
              </w:rPr>
            </w:pPr>
            <w:r>
              <w:rPr>
                <w:rFonts w:hint="eastAsia"/>
                <w:u w:val="single"/>
              </w:rPr>
              <w:t>0</w:t>
            </w:r>
          </w:p>
        </w:tc>
      </w:tr>
      <w:tr w:rsidR="00EE56C0">
        <w:trPr>
          <w:trHeight w:val="397"/>
          <w:jc w:val="center"/>
        </w:trPr>
        <w:tc>
          <w:tcPr>
            <w:tcW w:w="321" w:type="pct"/>
            <w:vMerge/>
            <w:vAlign w:val="center"/>
          </w:tcPr>
          <w:p w:rsidR="00EE56C0" w:rsidRDefault="00EE56C0">
            <w:pPr>
              <w:pStyle w:val="afa"/>
              <w:rPr>
                <w:u w:val="single"/>
              </w:rPr>
            </w:pPr>
          </w:p>
        </w:tc>
        <w:tc>
          <w:tcPr>
            <w:tcW w:w="1053" w:type="pct"/>
            <w:gridSpan w:val="3"/>
            <w:vAlign w:val="center"/>
          </w:tcPr>
          <w:p w:rsidR="00EE56C0" w:rsidRDefault="000F36A1">
            <w:pPr>
              <w:pStyle w:val="afa"/>
              <w:rPr>
                <w:u w:val="single"/>
              </w:rPr>
            </w:pPr>
            <w:r>
              <w:rPr>
                <w:rFonts w:hint="eastAsia"/>
                <w:u w:val="single"/>
              </w:rPr>
              <w:t>危险废物</w:t>
            </w:r>
          </w:p>
        </w:tc>
        <w:tc>
          <w:tcPr>
            <w:tcW w:w="684" w:type="pct"/>
            <w:vAlign w:val="center"/>
          </w:tcPr>
          <w:p w:rsidR="00EE56C0" w:rsidRDefault="000F36A1">
            <w:pPr>
              <w:pStyle w:val="afa"/>
              <w:rPr>
                <w:rFonts w:ascii="宋体" w:eastAsia="宋体" w:hAnsi="宋体" w:cs="宋体"/>
                <w:u w:val="single"/>
              </w:rPr>
            </w:pPr>
            <w:r>
              <w:rPr>
                <w:rFonts w:hint="eastAsia"/>
                <w:u w:val="single"/>
              </w:rPr>
              <w:t>22.06</w:t>
            </w:r>
          </w:p>
        </w:tc>
        <w:tc>
          <w:tcPr>
            <w:tcW w:w="769" w:type="pct"/>
            <w:vAlign w:val="center"/>
          </w:tcPr>
          <w:p w:rsidR="00EE56C0" w:rsidRDefault="000F36A1">
            <w:pPr>
              <w:pStyle w:val="afa"/>
              <w:rPr>
                <w:rFonts w:ascii="宋体" w:eastAsia="宋体" w:hAnsi="宋体" w:cs="宋体"/>
                <w:u w:val="single"/>
              </w:rPr>
            </w:pPr>
            <w:r>
              <w:rPr>
                <w:rFonts w:hint="eastAsia"/>
                <w:u w:val="single"/>
              </w:rPr>
              <w:t>22.06</w:t>
            </w:r>
          </w:p>
        </w:tc>
        <w:tc>
          <w:tcPr>
            <w:tcW w:w="726" w:type="pct"/>
            <w:vAlign w:val="center"/>
          </w:tcPr>
          <w:p w:rsidR="00EE56C0" w:rsidRDefault="000F36A1">
            <w:pPr>
              <w:pStyle w:val="afa"/>
              <w:rPr>
                <w:u w:val="single"/>
              </w:rPr>
            </w:pPr>
            <w:r>
              <w:rPr>
                <w:u w:val="single"/>
              </w:rPr>
              <w:t>0</w:t>
            </w:r>
          </w:p>
        </w:tc>
        <w:tc>
          <w:tcPr>
            <w:tcW w:w="726" w:type="pct"/>
            <w:vAlign w:val="center"/>
          </w:tcPr>
          <w:p w:rsidR="00EE56C0" w:rsidRDefault="000F36A1">
            <w:pPr>
              <w:pStyle w:val="afa"/>
              <w:rPr>
                <w:u w:val="single"/>
              </w:rPr>
            </w:pPr>
            <w:r>
              <w:rPr>
                <w:rFonts w:hint="eastAsia"/>
                <w:u w:val="single"/>
              </w:rPr>
              <w:t>/</w:t>
            </w:r>
          </w:p>
        </w:tc>
        <w:tc>
          <w:tcPr>
            <w:tcW w:w="721" w:type="pct"/>
            <w:vAlign w:val="center"/>
          </w:tcPr>
          <w:p w:rsidR="00EE56C0" w:rsidRDefault="000F36A1">
            <w:pPr>
              <w:pStyle w:val="afa"/>
              <w:rPr>
                <w:u w:val="single"/>
              </w:rPr>
            </w:pPr>
            <w:r>
              <w:rPr>
                <w:rFonts w:hint="eastAsia"/>
                <w:u w:val="single"/>
              </w:rPr>
              <w:t>0</w:t>
            </w:r>
          </w:p>
        </w:tc>
      </w:tr>
    </w:tbl>
    <w:p w:rsidR="00EE56C0" w:rsidRDefault="000F36A1">
      <w:pPr>
        <w:pStyle w:val="3"/>
        <w:spacing w:before="240" w:after="120"/>
      </w:pPr>
      <w:r>
        <w:rPr>
          <w:rFonts w:hint="eastAsia"/>
        </w:rPr>
        <w:t>3.10.2</w:t>
      </w:r>
      <w:r>
        <w:rPr>
          <w:rFonts w:hint="eastAsia"/>
        </w:rPr>
        <w:t>全厂污染物产排情况</w:t>
      </w:r>
    </w:p>
    <w:p w:rsidR="00EE56C0" w:rsidRDefault="000F36A1">
      <w:pPr>
        <w:pStyle w:val="aff4"/>
        <w:sectPr w:rsidR="00EE56C0" w:rsidSect="00732772">
          <w:pgSz w:w="11906" w:h="16838"/>
          <w:pgMar w:top="1440" w:right="1797" w:bottom="1440" w:left="1797" w:header="851" w:footer="992" w:gutter="0"/>
          <w:cols w:space="720"/>
          <w:docGrid w:linePitch="312"/>
        </w:sectPr>
      </w:pPr>
      <w:r>
        <w:rPr>
          <w:rFonts w:hint="eastAsia"/>
        </w:rPr>
        <w:t>本项目建成后全厂污染物产排情况见表</w:t>
      </w:r>
      <w:r>
        <w:rPr>
          <w:rFonts w:hint="eastAsia"/>
        </w:rPr>
        <w:t>6-9</w:t>
      </w:r>
      <w:r>
        <w:rPr>
          <w:rFonts w:hint="eastAsia"/>
        </w:rPr>
        <w:t>。</w:t>
      </w:r>
    </w:p>
    <w:p w:rsidR="00EE56C0" w:rsidRDefault="000F36A1">
      <w:pPr>
        <w:pStyle w:val="afd"/>
        <w:spacing w:before="120" w:after="120"/>
        <w:ind w:firstLine="482"/>
        <w:rPr>
          <w:u w:val="single"/>
        </w:rPr>
      </w:pPr>
      <w:r>
        <w:rPr>
          <w:rFonts w:hint="eastAsia"/>
          <w:kern w:val="0"/>
          <w:u w:val="single"/>
        </w:rPr>
        <w:lastRenderedPageBreak/>
        <w:t>表</w:t>
      </w:r>
      <w:r>
        <w:rPr>
          <w:rFonts w:hint="eastAsia"/>
          <w:kern w:val="0"/>
          <w:u w:val="single"/>
        </w:rPr>
        <w:t>3-7</w:t>
      </w:r>
      <w:r w:rsidR="00702FE4">
        <w:rPr>
          <w:rFonts w:hint="eastAsia"/>
          <w:kern w:val="0"/>
          <w:u w:val="single"/>
        </w:rPr>
        <w:t>3</w:t>
      </w:r>
      <w:r w:rsidR="008F1699">
        <w:rPr>
          <w:rFonts w:hint="eastAsia"/>
          <w:kern w:val="0"/>
          <w:u w:val="single"/>
        </w:rPr>
        <w:t xml:space="preserve">       </w:t>
      </w:r>
      <w:r>
        <w:rPr>
          <w:rFonts w:eastAsia="黑体" w:hAnsi="黑体"/>
          <w:spacing w:val="20"/>
          <w:u w:val="single"/>
        </w:rPr>
        <w:t>本项</w:t>
      </w:r>
      <w:r>
        <w:rPr>
          <w:u w:val="single"/>
        </w:rPr>
        <w:t>目</w:t>
      </w:r>
      <w:r>
        <w:rPr>
          <w:rFonts w:eastAsia="黑体" w:hAnsi="黑体"/>
          <w:spacing w:val="20"/>
          <w:u w:val="single"/>
        </w:rPr>
        <w:t>建成后全厂主要污染物排放三笔账</w:t>
      </w:r>
      <w:r w:rsidR="008F1699">
        <w:rPr>
          <w:rFonts w:eastAsia="黑体" w:hAnsi="黑体" w:hint="eastAsia"/>
          <w:spacing w:val="20"/>
          <w:u w:val="single"/>
        </w:rPr>
        <w:t xml:space="preserve">        </w:t>
      </w:r>
      <w:r>
        <w:rPr>
          <w:rFonts w:eastAsia="黑体" w:hAnsi="黑体"/>
          <w:spacing w:val="20"/>
          <w:u w:val="single"/>
        </w:rPr>
        <w:t>单位：</w:t>
      </w:r>
      <w:r>
        <w:rPr>
          <w:rFonts w:eastAsia="黑体"/>
          <w:spacing w:val="20"/>
          <w:u w:val="single"/>
        </w:rPr>
        <w:t>t/a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1"/>
        <w:gridCol w:w="1732"/>
        <w:gridCol w:w="1426"/>
        <w:gridCol w:w="1227"/>
        <w:gridCol w:w="1276"/>
        <w:gridCol w:w="1120"/>
        <w:gridCol w:w="1406"/>
        <w:gridCol w:w="1585"/>
        <w:gridCol w:w="1559"/>
        <w:gridCol w:w="2302"/>
      </w:tblGrid>
      <w:tr w:rsidR="00EE56C0">
        <w:trPr>
          <w:trHeight w:val="397"/>
        </w:trPr>
        <w:tc>
          <w:tcPr>
            <w:tcW w:w="802" w:type="pct"/>
            <w:gridSpan w:val="2"/>
            <w:vMerge w:val="restart"/>
            <w:tcBorders>
              <w:top w:val="single" w:sz="4" w:space="0" w:color="auto"/>
              <w:left w:val="single" w:sz="4" w:space="0" w:color="auto"/>
              <w:right w:val="single" w:sz="4" w:space="0" w:color="auto"/>
            </w:tcBorders>
            <w:vAlign w:val="center"/>
          </w:tcPr>
          <w:p w:rsidR="00EE56C0" w:rsidRDefault="000F36A1">
            <w:pPr>
              <w:pStyle w:val="afa"/>
              <w:rPr>
                <w:b/>
              </w:rPr>
            </w:pPr>
            <w:r>
              <w:rPr>
                <w:rFonts w:hint="eastAsia"/>
                <w:b/>
              </w:rPr>
              <w:t>污染物</w:t>
            </w:r>
          </w:p>
        </w:tc>
        <w:tc>
          <w:tcPr>
            <w:tcW w:w="503" w:type="pct"/>
            <w:vMerge w:val="restart"/>
            <w:tcBorders>
              <w:top w:val="single" w:sz="4" w:space="0" w:color="auto"/>
              <w:left w:val="single" w:sz="4" w:space="0" w:color="auto"/>
              <w:right w:val="single" w:sz="4" w:space="0" w:color="auto"/>
            </w:tcBorders>
            <w:vAlign w:val="center"/>
          </w:tcPr>
          <w:p w:rsidR="00EE56C0" w:rsidRDefault="000F36A1">
            <w:pPr>
              <w:pStyle w:val="afa"/>
              <w:rPr>
                <w:b/>
              </w:rPr>
            </w:pPr>
            <w:r>
              <w:rPr>
                <w:rFonts w:hint="eastAsia"/>
                <w:b/>
              </w:rPr>
              <w:t>现有工程</w:t>
            </w:r>
          </w:p>
        </w:tc>
        <w:tc>
          <w:tcPr>
            <w:tcW w:w="1278" w:type="pct"/>
            <w:gridSpan w:val="3"/>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b/>
              </w:rPr>
            </w:pPr>
            <w:r>
              <w:rPr>
                <w:rFonts w:hint="eastAsia"/>
                <w:b/>
              </w:rPr>
              <w:t>本工程</w:t>
            </w:r>
          </w:p>
        </w:tc>
        <w:tc>
          <w:tcPr>
            <w:tcW w:w="496" w:type="pct"/>
            <w:vMerge w:val="restart"/>
            <w:tcBorders>
              <w:top w:val="single" w:sz="4" w:space="0" w:color="auto"/>
              <w:left w:val="single" w:sz="4" w:space="0" w:color="auto"/>
              <w:right w:val="single" w:sz="4" w:space="0" w:color="auto"/>
            </w:tcBorders>
            <w:vAlign w:val="center"/>
          </w:tcPr>
          <w:p w:rsidR="00EE56C0" w:rsidRDefault="000F36A1">
            <w:pPr>
              <w:pStyle w:val="afa"/>
              <w:rPr>
                <w:b/>
              </w:rPr>
            </w:pPr>
            <w:r>
              <w:rPr>
                <w:rFonts w:hint="eastAsia"/>
                <w:b/>
              </w:rPr>
              <w:t>以新带老削减量</w:t>
            </w:r>
          </w:p>
        </w:tc>
        <w:tc>
          <w:tcPr>
            <w:tcW w:w="1109" w:type="pct"/>
            <w:gridSpan w:val="2"/>
            <w:tcBorders>
              <w:top w:val="single" w:sz="4" w:space="0" w:color="auto"/>
              <w:left w:val="single" w:sz="4" w:space="0" w:color="auto"/>
              <w:right w:val="single" w:sz="4" w:space="0" w:color="auto"/>
            </w:tcBorders>
            <w:vAlign w:val="center"/>
          </w:tcPr>
          <w:p w:rsidR="00EE56C0" w:rsidRDefault="000F36A1">
            <w:pPr>
              <w:pStyle w:val="afa"/>
              <w:rPr>
                <w:b/>
              </w:rPr>
            </w:pPr>
            <w:r>
              <w:rPr>
                <w:rFonts w:hint="eastAsia"/>
                <w:b/>
              </w:rPr>
              <w:t>总体工程</w:t>
            </w:r>
          </w:p>
        </w:tc>
        <w:tc>
          <w:tcPr>
            <w:tcW w:w="812" w:type="pct"/>
            <w:vMerge w:val="restart"/>
            <w:tcBorders>
              <w:top w:val="single" w:sz="4" w:space="0" w:color="auto"/>
              <w:left w:val="single" w:sz="4" w:space="0" w:color="auto"/>
              <w:right w:val="single" w:sz="4" w:space="0" w:color="auto"/>
            </w:tcBorders>
            <w:vAlign w:val="center"/>
          </w:tcPr>
          <w:p w:rsidR="00EE56C0" w:rsidRDefault="000F36A1">
            <w:pPr>
              <w:pStyle w:val="afa"/>
              <w:rPr>
                <w:b/>
              </w:rPr>
            </w:pPr>
            <w:r>
              <w:rPr>
                <w:rFonts w:hint="eastAsia"/>
                <w:b/>
              </w:rPr>
              <w:t>排放增减量</w:t>
            </w:r>
          </w:p>
        </w:tc>
      </w:tr>
      <w:tr w:rsidR="00EE56C0">
        <w:trPr>
          <w:trHeight w:val="397"/>
        </w:trPr>
        <w:tc>
          <w:tcPr>
            <w:tcW w:w="802" w:type="pct"/>
            <w:gridSpan w:val="2"/>
            <w:vMerge/>
            <w:tcBorders>
              <w:left w:val="single" w:sz="4" w:space="0" w:color="auto"/>
              <w:right w:val="single" w:sz="4" w:space="0" w:color="auto"/>
            </w:tcBorders>
            <w:vAlign w:val="center"/>
          </w:tcPr>
          <w:p w:rsidR="00EE56C0" w:rsidRDefault="00EE56C0">
            <w:pPr>
              <w:pStyle w:val="afa"/>
              <w:rPr>
                <w:b/>
              </w:rPr>
            </w:pPr>
          </w:p>
        </w:tc>
        <w:tc>
          <w:tcPr>
            <w:tcW w:w="503" w:type="pct"/>
            <w:vMerge/>
            <w:tcBorders>
              <w:left w:val="single" w:sz="4" w:space="0" w:color="auto"/>
              <w:right w:val="single" w:sz="4" w:space="0" w:color="auto"/>
            </w:tcBorders>
            <w:vAlign w:val="center"/>
          </w:tcPr>
          <w:p w:rsidR="00EE56C0" w:rsidRDefault="00EE56C0">
            <w:pPr>
              <w:pStyle w:val="afa"/>
              <w:rPr>
                <w:b/>
              </w:rPr>
            </w:pPr>
          </w:p>
        </w:tc>
        <w:tc>
          <w:tcPr>
            <w:tcW w:w="433" w:type="pct"/>
            <w:tcBorders>
              <w:top w:val="single" w:sz="4" w:space="0" w:color="auto"/>
              <w:left w:val="single" w:sz="4" w:space="0" w:color="auto"/>
              <w:right w:val="single" w:sz="4" w:space="0" w:color="auto"/>
            </w:tcBorders>
            <w:vAlign w:val="center"/>
          </w:tcPr>
          <w:p w:rsidR="00EE56C0" w:rsidRDefault="000F36A1">
            <w:pPr>
              <w:pStyle w:val="afa"/>
              <w:rPr>
                <w:b/>
              </w:rPr>
            </w:pPr>
            <w:r>
              <w:rPr>
                <w:rFonts w:hint="eastAsia"/>
                <w:b/>
              </w:rPr>
              <w:t>一期</w:t>
            </w:r>
          </w:p>
        </w:tc>
        <w:tc>
          <w:tcPr>
            <w:tcW w:w="450" w:type="pct"/>
            <w:tcBorders>
              <w:left w:val="single" w:sz="4" w:space="0" w:color="auto"/>
              <w:right w:val="single" w:sz="4" w:space="0" w:color="auto"/>
            </w:tcBorders>
            <w:vAlign w:val="center"/>
          </w:tcPr>
          <w:p w:rsidR="00EE56C0" w:rsidRDefault="000F36A1">
            <w:pPr>
              <w:pStyle w:val="afa"/>
              <w:rPr>
                <w:b/>
              </w:rPr>
            </w:pPr>
            <w:r>
              <w:rPr>
                <w:rFonts w:hint="eastAsia"/>
                <w:b/>
              </w:rPr>
              <w:t>二期</w:t>
            </w:r>
          </w:p>
        </w:tc>
        <w:tc>
          <w:tcPr>
            <w:tcW w:w="395" w:type="pct"/>
            <w:tcBorders>
              <w:left w:val="single" w:sz="4" w:space="0" w:color="auto"/>
              <w:right w:val="single" w:sz="4" w:space="0" w:color="auto"/>
            </w:tcBorders>
            <w:vAlign w:val="center"/>
          </w:tcPr>
          <w:p w:rsidR="00EE56C0" w:rsidRDefault="000F36A1">
            <w:pPr>
              <w:pStyle w:val="afa"/>
              <w:rPr>
                <w:b/>
              </w:rPr>
            </w:pPr>
            <w:r>
              <w:rPr>
                <w:rFonts w:hint="eastAsia"/>
                <w:b/>
              </w:rPr>
              <w:t>达产后</w:t>
            </w:r>
          </w:p>
        </w:tc>
        <w:tc>
          <w:tcPr>
            <w:tcW w:w="496" w:type="pct"/>
            <w:vMerge/>
            <w:tcBorders>
              <w:left w:val="single" w:sz="4" w:space="0" w:color="auto"/>
              <w:right w:val="single" w:sz="4" w:space="0" w:color="auto"/>
            </w:tcBorders>
            <w:vAlign w:val="center"/>
          </w:tcPr>
          <w:p w:rsidR="00EE56C0" w:rsidRDefault="00EE56C0">
            <w:pPr>
              <w:pStyle w:val="afa"/>
              <w:rPr>
                <w:b/>
              </w:rPr>
            </w:pPr>
          </w:p>
        </w:tc>
        <w:tc>
          <w:tcPr>
            <w:tcW w:w="559" w:type="pct"/>
            <w:tcBorders>
              <w:left w:val="single" w:sz="4" w:space="0" w:color="auto"/>
              <w:right w:val="single" w:sz="4" w:space="0" w:color="auto"/>
            </w:tcBorders>
            <w:vAlign w:val="center"/>
          </w:tcPr>
          <w:p w:rsidR="00EE56C0" w:rsidRDefault="000F36A1">
            <w:pPr>
              <w:pStyle w:val="afa"/>
              <w:rPr>
                <w:b/>
              </w:rPr>
            </w:pPr>
            <w:r>
              <w:rPr>
                <w:rFonts w:hint="eastAsia"/>
                <w:b/>
              </w:rPr>
              <w:t>达产后全厂排放量</w:t>
            </w:r>
          </w:p>
        </w:tc>
        <w:tc>
          <w:tcPr>
            <w:tcW w:w="550" w:type="pct"/>
            <w:tcBorders>
              <w:left w:val="single" w:sz="4" w:space="0" w:color="auto"/>
              <w:right w:val="single" w:sz="4" w:space="0" w:color="auto"/>
            </w:tcBorders>
            <w:vAlign w:val="center"/>
          </w:tcPr>
          <w:p w:rsidR="00EE56C0" w:rsidRDefault="000F36A1">
            <w:pPr>
              <w:pStyle w:val="afa"/>
              <w:rPr>
                <w:b/>
              </w:rPr>
            </w:pPr>
            <w:r>
              <w:rPr>
                <w:rFonts w:hint="eastAsia"/>
                <w:b/>
              </w:rPr>
              <w:t>排入环境量</w:t>
            </w:r>
          </w:p>
        </w:tc>
        <w:tc>
          <w:tcPr>
            <w:tcW w:w="812" w:type="pct"/>
            <w:vMerge/>
            <w:tcBorders>
              <w:left w:val="single" w:sz="4" w:space="0" w:color="auto"/>
              <w:right w:val="single" w:sz="4" w:space="0" w:color="auto"/>
            </w:tcBorders>
            <w:vAlign w:val="center"/>
          </w:tcPr>
          <w:p w:rsidR="00EE56C0" w:rsidRDefault="00EE56C0">
            <w:pPr>
              <w:pStyle w:val="afa"/>
              <w:rPr>
                <w:b/>
              </w:rPr>
            </w:pPr>
          </w:p>
        </w:tc>
      </w:tr>
      <w:tr w:rsidR="00EE56C0">
        <w:trPr>
          <w:trHeight w:val="397"/>
        </w:trPr>
        <w:tc>
          <w:tcPr>
            <w:tcW w:w="191" w:type="pct"/>
            <w:vMerge w:val="restart"/>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rPr>
                <w:rFonts w:hint="eastAsia"/>
              </w:rPr>
              <w:t>废水</w:t>
            </w:r>
          </w:p>
        </w:tc>
        <w:tc>
          <w:tcPr>
            <w:tcW w:w="611"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t>COD</w:t>
            </w:r>
          </w:p>
        </w:tc>
        <w:tc>
          <w:tcPr>
            <w:tcW w:w="503"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lang w:val="pt-BR"/>
              </w:rPr>
            </w:pPr>
            <w:r>
              <w:rPr>
                <w:rFonts w:hint="eastAsia"/>
              </w:rPr>
              <w:t>0.1648</w:t>
            </w:r>
          </w:p>
        </w:tc>
        <w:tc>
          <w:tcPr>
            <w:tcW w:w="433"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szCs w:val="20"/>
              </w:rPr>
            </w:pPr>
            <w:r>
              <w:rPr>
                <w:rFonts w:hint="eastAsia"/>
                <w:szCs w:val="22"/>
              </w:rPr>
              <w:t>0.0178</w:t>
            </w:r>
          </w:p>
        </w:tc>
        <w:tc>
          <w:tcPr>
            <w:tcW w:w="450"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eastAsia="宋体"/>
              </w:rPr>
            </w:pPr>
            <w:r>
              <w:t xml:space="preserve">0.0649 </w:t>
            </w:r>
          </w:p>
        </w:tc>
        <w:tc>
          <w:tcPr>
            <w:tcW w:w="395"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0.0827</w:t>
            </w:r>
          </w:p>
        </w:tc>
        <w:tc>
          <w:tcPr>
            <w:tcW w:w="496"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rPr>
                <w:rFonts w:hint="eastAsia"/>
              </w:rPr>
              <w:t>/</w:t>
            </w:r>
          </w:p>
        </w:tc>
        <w:tc>
          <w:tcPr>
            <w:tcW w:w="559"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eastAsia="宋体"/>
              </w:rPr>
            </w:pPr>
            <w:r>
              <w:t>0.2</w:t>
            </w:r>
            <w:r>
              <w:rPr>
                <w:rFonts w:hint="eastAsia"/>
              </w:rPr>
              <w:t>645</w:t>
            </w:r>
          </w:p>
        </w:tc>
        <w:tc>
          <w:tcPr>
            <w:tcW w:w="550"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0.2475</w:t>
            </w:r>
          </w:p>
        </w:tc>
        <w:tc>
          <w:tcPr>
            <w:tcW w:w="812"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0.0827</w:t>
            </w:r>
          </w:p>
        </w:tc>
      </w:tr>
      <w:tr w:rsidR="00EE56C0">
        <w:trPr>
          <w:trHeight w:val="397"/>
        </w:trPr>
        <w:tc>
          <w:tcPr>
            <w:tcW w:w="191" w:type="pct"/>
            <w:vMerge/>
            <w:tcBorders>
              <w:top w:val="single" w:sz="4" w:space="0" w:color="auto"/>
              <w:left w:val="single" w:sz="4" w:space="0" w:color="auto"/>
              <w:bottom w:val="single" w:sz="4" w:space="0" w:color="auto"/>
              <w:right w:val="single" w:sz="4" w:space="0" w:color="auto"/>
            </w:tcBorders>
            <w:vAlign w:val="center"/>
          </w:tcPr>
          <w:p w:rsidR="00EE56C0" w:rsidRDefault="00EE56C0">
            <w:pPr>
              <w:pStyle w:val="afa"/>
            </w:pPr>
          </w:p>
        </w:tc>
        <w:tc>
          <w:tcPr>
            <w:tcW w:w="611"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rPr>
                <w:bCs/>
              </w:rPr>
              <w:t>NH</w:t>
            </w:r>
            <w:r>
              <w:rPr>
                <w:bCs/>
                <w:vertAlign w:val="subscript"/>
              </w:rPr>
              <w:t>3</w:t>
            </w:r>
            <w:r>
              <w:rPr>
                <w:bCs/>
              </w:rPr>
              <w:t>-N</w:t>
            </w:r>
          </w:p>
        </w:tc>
        <w:tc>
          <w:tcPr>
            <w:tcW w:w="503"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lang w:val="pt-BR"/>
              </w:rPr>
            </w:pPr>
            <w:r>
              <w:t>0.0</w:t>
            </w:r>
            <w:r>
              <w:rPr>
                <w:rFonts w:hint="eastAsia"/>
              </w:rPr>
              <w:t>1642</w:t>
            </w:r>
          </w:p>
        </w:tc>
        <w:tc>
          <w:tcPr>
            <w:tcW w:w="433"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szCs w:val="20"/>
              </w:rPr>
            </w:pPr>
            <w:r>
              <w:rPr>
                <w:rFonts w:hint="eastAsia"/>
                <w:szCs w:val="22"/>
              </w:rPr>
              <w:t>0.0009</w:t>
            </w:r>
          </w:p>
        </w:tc>
        <w:tc>
          <w:tcPr>
            <w:tcW w:w="450"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eastAsia="宋体"/>
              </w:rPr>
            </w:pPr>
            <w:r>
              <w:t>0.0032</w:t>
            </w:r>
          </w:p>
        </w:tc>
        <w:tc>
          <w:tcPr>
            <w:tcW w:w="395"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0.0041</w:t>
            </w:r>
          </w:p>
        </w:tc>
        <w:tc>
          <w:tcPr>
            <w:tcW w:w="496"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rPr>
                <w:rFonts w:hint="eastAsia"/>
              </w:rPr>
              <w:t>/</w:t>
            </w:r>
          </w:p>
        </w:tc>
        <w:tc>
          <w:tcPr>
            <w:tcW w:w="559"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eastAsia="宋体"/>
              </w:rPr>
            </w:pPr>
            <w:r>
              <w:t>0.0</w:t>
            </w:r>
            <w:r>
              <w:rPr>
                <w:rFonts w:hint="eastAsia"/>
              </w:rPr>
              <w:t>246</w:t>
            </w:r>
          </w:p>
        </w:tc>
        <w:tc>
          <w:tcPr>
            <w:tcW w:w="550"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0.0205</w:t>
            </w:r>
          </w:p>
        </w:tc>
        <w:tc>
          <w:tcPr>
            <w:tcW w:w="812"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0.0041</w:t>
            </w:r>
          </w:p>
        </w:tc>
      </w:tr>
      <w:tr w:rsidR="00EE56C0">
        <w:trPr>
          <w:trHeight w:val="397"/>
        </w:trPr>
        <w:tc>
          <w:tcPr>
            <w:tcW w:w="191" w:type="pct"/>
            <w:vMerge/>
            <w:tcBorders>
              <w:top w:val="single" w:sz="4" w:space="0" w:color="auto"/>
              <w:left w:val="single" w:sz="4" w:space="0" w:color="auto"/>
              <w:bottom w:val="single" w:sz="4" w:space="0" w:color="auto"/>
              <w:right w:val="single" w:sz="4" w:space="0" w:color="auto"/>
            </w:tcBorders>
            <w:vAlign w:val="center"/>
          </w:tcPr>
          <w:p w:rsidR="00EE56C0" w:rsidRDefault="00EE56C0">
            <w:pPr>
              <w:pStyle w:val="afa"/>
            </w:pPr>
          </w:p>
        </w:tc>
        <w:tc>
          <w:tcPr>
            <w:tcW w:w="611"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rPr>
                <w:rFonts w:hint="eastAsia"/>
              </w:rPr>
              <w:t>TP</w:t>
            </w:r>
          </w:p>
        </w:tc>
        <w:tc>
          <w:tcPr>
            <w:tcW w:w="503"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lang w:val="pt-BR"/>
              </w:rPr>
            </w:pPr>
            <w:r>
              <w:t>0.0</w:t>
            </w:r>
            <w:r>
              <w:rPr>
                <w:rFonts w:hint="eastAsia"/>
              </w:rPr>
              <w:t>013</w:t>
            </w:r>
          </w:p>
        </w:tc>
        <w:tc>
          <w:tcPr>
            <w:tcW w:w="433"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szCs w:val="20"/>
              </w:rPr>
            </w:pPr>
            <w:r>
              <w:rPr>
                <w:rFonts w:hint="eastAsia"/>
                <w:szCs w:val="22"/>
              </w:rPr>
              <w:t>0.0002</w:t>
            </w:r>
          </w:p>
        </w:tc>
        <w:tc>
          <w:tcPr>
            <w:tcW w:w="450"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eastAsia="宋体"/>
              </w:rPr>
            </w:pPr>
            <w:r>
              <w:t>0.0006</w:t>
            </w:r>
          </w:p>
        </w:tc>
        <w:tc>
          <w:tcPr>
            <w:tcW w:w="395"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0.0008</w:t>
            </w:r>
          </w:p>
        </w:tc>
        <w:tc>
          <w:tcPr>
            <w:tcW w:w="496"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rPr>
                <w:rFonts w:hint="eastAsia"/>
              </w:rPr>
              <w:t>/</w:t>
            </w:r>
          </w:p>
        </w:tc>
        <w:tc>
          <w:tcPr>
            <w:tcW w:w="559"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eastAsia="宋体"/>
              </w:rPr>
            </w:pPr>
            <w:r>
              <w:t>0.00</w:t>
            </w:r>
            <w:r>
              <w:rPr>
                <w:rFonts w:hint="eastAsia"/>
              </w:rPr>
              <w:t>85</w:t>
            </w:r>
          </w:p>
        </w:tc>
        <w:tc>
          <w:tcPr>
            <w:tcW w:w="550"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0.0021</w:t>
            </w:r>
          </w:p>
        </w:tc>
        <w:tc>
          <w:tcPr>
            <w:tcW w:w="812"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0.0008</w:t>
            </w:r>
          </w:p>
        </w:tc>
      </w:tr>
      <w:tr w:rsidR="00EE56C0">
        <w:trPr>
          <w:trHeight w:val="397"/>
        </w:trPr>
        <w:tc>
          <w:tcPr>
            <w:tcW w:w="191" w:type="pct"/>
            <w:vMerge/>
            <w:tcBorders>
              <w:top w:val="single" w:sz="4" w:space="0" w:color="auto"/>
              <w:left w:val="single" w:sz="4" w:space="0" w:color="auto"/>
              <w:bottom w:val="single" w:sz="4" w:space="0" w:color="auto"/>
              <w:right w:val="single" w:sz="4" w:space="0" w:color="auto"/>
            </w:tcBorders>
            <w:vAlign w:val="center"/>
          </w:tcPr>
          <w:p w:rsidR="00EE56C0" w:rsidRDefault="00EE56C0">
            <w:pPr>
              <w:pStyle w:val="afa"/>
            </w:pPr>
          </w:p>
        </w:tc>
        <w:tc>
          <w:tcPr>
            <w:tcW w:w="611"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rPr>
                <w:rFonts w:hint="eastAsia"/>
              </w:rPr>
              <w:t>TN</w:t>
            </w:r>
          </w:p>
        </w:tc>
        <w:tc>
          <w:tcPr>
            <w:tcW w:w="503"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lang w:val="pt-BR"/>
              </w:rPr>
            </w:pPr>
            <w:r>
              <w:t>0.0</w:t>
            </w:r>
            <w:r>
              <w:rPr>
                <w:rFonts w:hint="eastAsia"/>
              </w:rPr>
              <w:t>309</w:t>
            </w:r>
          </w:p>
        </w:tc>
        <w:tc>
          <w:tcPr>
            <w:tcW w:w="433"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szCs w:val="20"/>
              </w:rPr>
            </w:pPr>
            <w:r>
              <w:rPr>
                <w:rFonts w:hint="eastAsia"/>
                <w:szCs w:val="22"/>
              </w:rPr>
              <w:t>0.0030</w:t>
            </w:r>
          </w:p>
        </w:tc>
        <w:tc>
          <w:tcPr>
            <w:tcW w:w="450"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0.0120</w:t>
            </w:r>
          </w:p>
        </w:tc>
        <w:tc>
          <w:tcPr>
            <w:tcW w:w="395"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0.0310</w:t>
            </w:r>
          </w:p>
        </w:tc>
        <w:tc>
          <w:tcPr>
            <w:tcW w:w="496"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rPr>
                <w:rFonts w:hint="eastAsia"/>
              </w:rPr>
              <w:t>/</w:t>
            </w:r>
          </w:p>
        </w:tc>
        <w:tc>
          <w:tcPr>
            <w:tcW w:w="559"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rPr>
                <w:rFonts w:hint="eastAsia"/>
              </w:rPr>
              <w:t>0.0462</w:t>
            </w:r>
          </w:p>
        </w:tc>
        <w:tc>
          <w:tcPr>
            <w:tcW w:w="550"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0.0619</w:t>
            </w:r>
          </w:p>
        </w:tc>
        <w:tc>
          <w:tcPr>
            <w:tcW w:w="812"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rPr>
                <w:rFonts w:hint="eastAsia"/>
              </w:rPr>
              <w:t>0.0310</w:t>
            </w:r>
          </w:p>
        </w:tc>
      </w:tr>
      <w:tr w:rsidR="00EE56C0">
        <w:trPr>
          <w:trHeight w:val="397"/>
        </w:trPr>
        <w:tc>
          <w:tcPr>
            <w:tcW w:w="191" w:type="pct"/>
            <w:vMerge/>
            <w:tcBorders>
              <w:top w:val="single" w:sz="4" w:space="0" w:color="auto"/>
              <w:left w:val="single" w:sz="4" w:space="0" w:color="auto"/>
              <w:bottom w:val="single" w:sz="4" w:space="0" w:color="auto"/>
              <w:right w:val="single" w:sz="4" w:space="0" w:color="auto"/>
            </w:tcBorders>
            <w:vAlign w:val="center"/>
          </w:tcPr>
          <w:p w:rsidR="00EE56C0" w:rsidRDefault="00EE56C0">
            <w:pPr>
              <w:pStyle w:val="afa"/>
            </w:pPr>
          </w:p>
        </w:tc>
        <w:tc>
          <w:tcPr>
            <w:tcW w:w="611"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rPr>
                <w:rFonts w:hint="eastAsia"/>
              </w:rPr>
              <w:t>水量（万</w:t>
            </w:r>
            <w:r>
              <w:t>t/a</w:t>
            </w:r>
            <w:r>
              <w:rPr>
                <w:rFonts w:hint="eastAsia"/>
              </w:rPr>
              <w:t>）</w:t>
            </w:r>
          </w:p>
        </w:tc>
        <w:tc>
          <w:tcPr>
            <w:tcW w:w="503"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rPr>
                <w:rFonts w:hint="eastAsia"/>
              </w:rPr>
              <w:t>0.41784</w:t>
            </w:r>
          </w:p>
        </w:tc>
        <w:tc>
          <w:tcPr>
            <w:tcW w:w="433"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u w:val="single"/>
              </w:rPr>
            </w:pPr>
            <w:r>
              <w:rPr>
                <w:rFonts w:hint="eastAsia"/>
              </w:rPr>
              <w:t>0.0444</w:t>
            </w:r>
          </w:p>
        </w:tc>
        <w:tc>
          <w:tcPr>
            <w:tcW w:w="450"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t>0.</w:t>
            </w:r>
            <w:r>
              <w:rPr>
                <w:rFonts w:hint="eastAsia"/>
              </w:rPr>
              <w:t>1623</w:t>
            </w:r>
          </w:p>
        </w:tc>
        <w:tc>
          <w:tcPr>
            <w:tcW w:w="395"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rPr>
                <w:rFonts w:hint="eastAsia"/>
              </w:rPr>
              <w:t>0.2067</w:t>
            </w:r>
          </w:p>
        </w:tc>
        <w:tc>
          <w:tcPr>
            <w:tcW w:w="496"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rPr>
                <w:rFonts w:hint="eastAsia"/>
              </w:rPr>
              <w:t>/</w:t>
            </w:r>
          </w:p>
        </w:tc>
        <w:tc>
          <w:tcPr>
            <w:tcW w:w="1109" w:type="pct"/>
            <w:gridSpan w:val="2"/>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rPr>
                <w:rFonts w:hint="eastAsia"/>
              </w:rPr>
              <w:t>0.62454</w:t>
            </w:r>
          </w:p>
        </w:tc>
        <w:tc>
          <w:tcPr>
            <w:tcW w:w="812"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rPr>
                <w:rFonts w:hint="eastAsia"/>
              </w:rPr>
              <w:t>0.2067</w:t>
            </w:r>
          </w:p>
        </w:tc>
      </w:tr>
      <w:tr w:rsidR="00EE56C0">
        <w:trPr>
          <w:trHeight w:val="397"/>
        </w:trPr>
        <w:tc>
          <w:tcPr>
            <w:tcW w:w="191" w:type="pct"/>
            <w:vMerge w:val="restart"/>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rPr>
                <w:rFonts w:hint="eastAsia"/>
              </w:rPr>
              <w:t>废气</w:t>
            </w:r>
          </w:p>
        </w:tc>
        <w:tc>
          <w:tcPr>
            <w:tcW w:w="611" w:type="pct"/>
            <w:tcBorders>
              <w:top w:val="single" w:sz="4" w:space="0" w:color="auto"/>
              <w:left w:val="single" w:sz="4" w:space="0" w:color="auto"/>
              <w:right w:val="single" w:sz="4" w:space="0" w:color="auto"/>
            </w:tcBorders>
            <w:vAlign w:val="center"/>
          </w:tcPr>
          <w:p w:rsidR="00EE56C0" w:rsidRDefault="000F36A1">
            <w:pPr>
              <w:pStyle w:val="afa"/>
            </w:pPr>
            <w:r>
              <w:rPr>
                <w:rFonts w:hint="eastAsia"/>
              </w:rPr>
              <w:t>酚</w:t>
            </w:r>
          </w:p>
        </w:tc>
        <w:tc>
          <w:tcPr>
            <w:tcW w:w="503"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szCs w:val="20"/>
              </w:rPr>
            </w:pPr>
            <w:r>
              <w:rPr>
                <w:rFonts w:hint="eastAsia"/>
                <w:szCs w:val="22"/>
              </w:rPr>
              <w:t xml:space="preserve">4.1492 </w:t>
            </w:r>
          </w:p>
        </w:tc>
        <w:tc>
          <w:tcPr>
            <w:tcW w:w="433"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 xml:space="preserve">0.2516 </w:t>
            </w:r>
          </w:p>
        </w:tc>
        <w:tc>
          <w:tcPr>
            <w:tcW w:w="450"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 xml:space="preserve">0.7865 </w:t>
            </w:r>
          </w:p>
        </w:tc>
        <w:tc>
          <w:tcPr>
            <w:tcW w:w="395"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1.0381</w:t>
            </w:r>
          </w:p>
        </w:tc>
        <w:tc>
          <w:tcPr>
            <w:tcW w:w="496" w:type="pct"/>
            <w:tcBorders>
              <w:top w:val="single" w:sz="4" w:space="0" w:color="auto"/>
              <w:left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0.4046</w:t>
            </w:r>
          </w:p>
        </w:tc>
        <w:tc>
          <w:tcPr>
            <w:tcW w:w="1109" w:type="pct"/>
            <w:gridSpan w:val="2"/>
            <w:tcBorders>
              <w:top w:val="single" w:sz="4" w:space="0" w:color="auto"/>
              <w:left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4.7827</w:t>
            </w:r>
          </w:p>
        </w:tc>
        <w:tc>
          <w:tcPr>
            <w:tcW w:w="812" w:type="pct"/>
            <w:tcBorders>
              <w:top w:val="single" w:sz="4" w:space="0" w:color="auto"/>
              <w:left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0.6335</w:t>
            </w:r>
          </w:p>
        </w:tc>
      </w:tr>
      <w:tr w:rsidR="00EE56C0">
        <w:trPr>
          <w:trHeight w:val="397"/>
        </w:trPr>
        <w:tc>
          <w:tcPr>
            <w:tcW w:w="191" w:type="pct"/>
            <w:vMerge/>
            <w:tcBorders>
              <w:top w:val="single" w:sz="4" w:space="0" w:color="auto"/>
              <w:left w:val="single" w:sz="4" w:space="0" w:color="auto"/>
              <w:bottom w:val="single" w:sz="4" w:space="0" w:color="auto"/>
              <w:right w:val="single" w:sz="4" w:space="0" w:color="auto"/>
            </w:tcBorders>
            <w:vAlign w:val="center"/>
          </w:tcPr>
          <w:p w:rsidR="00EE56C0" w:rsidRDefault="00EE56C0">
            <w:pPr>
              <w:pStyle w:val="afa"/>
            </w:pPr>
          </w:p>
        </w:tc>
        <w:tc>
          <w:tcPr>
            <w:tcW w:w="611" w:type="pct"/>
            <w:tcBorders>
              <w:left w:val="single" w:sz="4" w:space="0" w:color="auto"/>
              <w:right w:val="single" w:sz="4" w:space="0" w:color="auto"/>
            </w:tcBorders>
            <w:vAlign w:val="center"/>
          </w:tcPr>
          <w:p w:rsidR="00EE56C0" w:rsidRDefault="000F36A1">
            <w:pPr>
              <w:pStyle w:val="afa"/>
            </w:pPr>
            <w:r>
              <w:t>非甲烷总烃</w:t>
            </w:r>
          </w:p>
        </w:tc>
        <w:tc>
          <w:tcPr>
            <w:tcW w:w="503"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szCs w:val="20"/>
              </w:rPr>
            </w:pPr>
            <w:r>
              <w:rPr>
                <w:rFonts w:hint="eastAsia"/>
                <w:szCs w:val="22"/>
              </w:rPr>
              <w:t xml:space="preserve">6.8576 </w:t>
            </w:r>
          </w:p>
        </w:tc>
        <w:tc>
          <w:tcPr>
            <w:tcW w:w="433"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 xml:space="preserve">0.2563 </w:t>
            </w:r>
          </w:p>
        </w:tc>
        <w:tc>
          <w:tcPr>
            <w:tcW w:w="450"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 xml:space="preserve">0.6354 </w:t>
            </w:r>
          </w:p>
        </w:tc>
        <w:tc>
          <w:tcPr>
            <w:tcW w:w="395"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0.8917</w:t>
            </w:r>
          </w:p>
        </w:tc>
        <w:tc>
          <w:tcPr>
            <w:tcW w:w="496" w:type="pct"/>
            <w:tcBorders>
              <w:left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1.6422</w:t>
            </w:r>
          </w:p>
        </w:tc>
        <w:tc>
          <w:tcPr>
            <w:tcW w:w="1109" w:type="pct"/>
            <w:gridSpan w:val="2"/>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6.1071</w:t>
            </w:r>
          </w:p>
        </w:tc>
        <w:tc>
          <w:tcPr>
            <w:tcW w:w="812"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-0.7505</w:t>
            </w:r>
          </w:p>
        </w:tc>
      </w:tr>
      <w:tr w:rsidR="00EE56C0">
        <w:trPr>
          <w:trHeight w:val="397"/>
        </w:trPr>
        <w:tc>
          <w:tcPr>
            <w:tcW w:w="191" w:type="pct"/>
            <w:vMerge/>
            <w:tcBorders>
              <w:top w:val="single" w:sz="4" w:space="0" w:color="auto"/>
              <w:left w:val="single" w:sz="4" w:space="0" w:color="auto"/>
              <w:bottom w:val="single" w:sz="4" w:space="0" w:color="auto"/>
              <w:right w:val="single" w:sz="4" w:space="0" w:color="auto"/>
            </w:tcBorders>
            <w:vAlign w:val="center"/>
          </w:tcPr>
          <w:p w:rsidR="00EE56C0" w:rsidRDefault="00EE56C0">
            <w:pPr>
              <w:pStyle w:val="afa"/>
            </w:pPr>
          </w:p>
        </w:tc>
        <w:tc>
          <w:tcPr>
            <w:tcW w:w="611" w:type="pct"/>
            <w:tcBorders>
              <w:left w:val="single" w:sz="4" w:space="0" w:color="auto"/>
              <w:right w:val="single" w:sz="4" w:space="0" w:color="auto"/>
            </w:tcBorders>
            <w:vAlign w:val="center"/>
          </w:tcPr>
          <w:p w:rsidR="00EE56C0" w:rsidRDefault="000F36A1">
            <w:pPr>
              <w:pStyle w:val="afa"/>
            </w:pPr>
            <w:r>
              <w:rPr>
                <w:rFonts w:hint="eastAsia"/>
              </w:rPr>
              <w:t>二甲苯</w:t>
            </w:r>
          </w:p>
        </w:tc>
        <w:tc>
          <w:tcPr>
            <w:tcW w:w="503"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szCs w:val="20"/>
              </w:rPr>
            </w:pPr>
            <w:r>
              <w:rPr>
                <w:rFonts w:hint="eastAsia"/>
                <w:szCs w:val="22"/>
              </w:rPr>
              <w:t xml:space="preserve">5.8277 </w:t>
            </w:r>
          </w:p>
        </w:tc>
        <w:tc>
          <w:tcPr>
            <w:tcW w:w="433"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 xml:space="preserve">0.3040 </w:t>
            </w:r>
          </w:p>
        </w:tc>
        <w:tc>
          <w:tcPr>
            <w:tcW w:w="450"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 xml:space="preserve">0.3039 </w:t>
            </w:r>
          </w:p>
        </w:tc>
        <w:tc>
          <w:tcPr>
            <w:tcW w:w="395"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0.6079</w:t>
            </w:r>
          </w:p>
        </w:tc>
        <w:tc>
          <w:tcPr>
            <w:tcW w:w="496" w:type="pct"/>
            <w:tcBorders>
              <w:left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-0.0166</w:t>
            </w:r>
          </w:p>
        </w:tc>
        <w:tc>
          <w:tcPr>
            <w:tcW w:w="1109" w:type="pct"/>
            <w:gridSpan w:val="2"/>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6.4522</w:t>
            </w:r>
          </w:p>
        </w:tc>
        <w:tc>
          <w:tcPr>
            <w:tcW w:w="812"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0.6245</w:t>
            </w:r>
          </w:p>
        </w:tc>
      </w:tr>
      <w:tr w:rsidR="00EE56C0">
        <w:trPr>
          <w:trHeight w:val="397"/>
        </w:trPr>
        <w:tc>
          <w:tcPr>
            <w:tcW w:w="191" w:type="pct"/>
            <w:vMerge/>
            <w:tcBorders>
              <w:top w:val="single" w:sz="4" w:space="0" w:color="auto"/>
              <w:left w:val="single" w:sz="4" w:space="0" w:color="auto"/>
              <w:bottom w:val="single" w:sz="4" w:space="0" w:color="auto"/>
              <w:right w:val="single" w:sz="4" w:space="0" w:color="auto"/>
            </w:tcBorders>
            <w:vAlign w:val="center"/>
          </w:tcPr>
          <w:p w:rsidR="00EE56C0" w:rsidRDefault="00EE56C0">
            <w:pPr>
              <w:pStyle w:val="afa"/>
            </w:pPr>
          </w:p>
        </w:tc>
        <w:tc>
          <w:tcPr>
            <w:tcW w:w="611" w:type="pct"/>
            <w:tcBorders>
              <w:left w:val="single" w:sz="4" w:space="0" w:color="auto"/>
              <w:right w:val="single" w:sz="4" w:space="0" w:color="auto"/>
            </w:tcBorders>
            <w:vAlign w:val="center"/>
          </w:tcPr>
          <w:p w:rsidR="00EE56C0" w:rsidRDefault="000F36A1">
            <w:pPr>
              <w:pStyle w:val="afa"/>
            </w:pPr>
            <w:r>
              <w:rPr>
                <w:rFonts w:hint="eastAsia"/>
              </w:rPr>
              <w:t>甲苯</w:t>
            </w:r>
          </w:p>
        </w:tc>
        <w:tc>
          <w:tcPr>
            <w:tcW w:w="503"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szCs w:val="20"/>
              </w:rPr>
            </w:pPr>
            <w:r>
              <w:rPr>
                <w:rFonts w:hint="eastAsia"/>
                <w:szCs w:val="22"/>
              </w:rPr>
              <w:t xml:space="preserve">2.3796 </w:t>
            </w:r>
          </w:p>
        </w:tc>
        <w:tc>
          <w:tcPr>
            <w:tcW w:w="433"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 xml:space="preserve">0.2768 </w:t>
            </w:r>
          </w:p>
        </w:tc>
        <w:tc>
          <w:tcPr>
            <w:tcW w:w="450"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 xml:space="preserve">0.2185 </w:t>
            </w:r>
          </w:p>
        </w:tc>
        <w:tc>
          <w:tcPr>
            <w:tcW w:w="395"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0.4953</w:t>
            </w:r>
          </w:p>
        </w:tc>
        <w:tc>
          <w:tcPr>
            <w:tcW w:w="496" w:type="pct"/>
            <w:tcBorders>
              <w:left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0.0612</w:t>
            </w:r>
          </w:p>
        </w:tc>
        <w:tc>
          <w:tcPr>
            <w:tcW w:w="1109" w:type="pct"/>
            <w:gridSpan w:val="2"/>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2.8137</w:t>
            </w:r>
          </w:p>
        </w:tc>
        <w:tc>
          <w:tcPr>
            <w:tcW w:w="812"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0.4341</w:t>
            </w:r>
          </w:p>
        </w:tc>
      </w:tr>
      <w:tr w:rsidR="00EE56C0">
        <w:trPr>
          <w:trHeight w:val="397"/>
        </w:trPr>
        <w:tc>
          <w:tcPr>
            <w:tcW w:w="191" w:type="pct"/>
            <w:vMerge/>
            <w:tcBorders>
              <w:top w:val="single" w:sz="4" w:space="0" w:color="auto"/>
              <w:left w:val="single" w:sz="4" w:space="0" w:color="auto"/>
              <w:bottom w:val="single" w:sz="4" w:space="0" w:color="auto"/>
              <w:right w:val="single" w:sz="4" w:space="0" w:color="auto"/>
            </w:tcBorders>
            <w:vAlign w:val="center"/>
          </w:tcPr>
          <w:p w:rsidR="00EE56C0" w:rsidRDefault="00EE56C0">
            <w:pPr>
              <w:pStyle w:val="afa"/>
            </w:pPr>
          </w:p>
        </w:tc>
        <w:tc>
          <w:tcPr>
            <w:tcW w:w="611" w:type="pct"/>
            <w:tcBorders>
              <w:left w:val="single" w:sz="4" w:space="0" w:color="auto"/>
              <w:right w:val="single" w:sz="4" w:space="0" w:color="auto"/>
            </w:tcBorders>
            <w:vAlign w:val="center"/>
          </w:tcPr>
          <w:p w:rsidR="00EE56C0" w:rsidRDefault="000F36A1">
            <w:pPr>
              <w:pStyle w:val="afa"/>
            </w:pPr>
            <w:r>
              <w:rPr>
                <w:rFonts w:hint="eastAsia"/>
              </w:rPr>
              <w:t>苯</w:t>
            </w:r>
          </w:p>
        </w:tc>
        <w:tc>
          <w:tcPr>
            <w:tcW w:w="503"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szCs w:val="20"/>
              </w:rPr>
            </w:pPr>
            <w:r>
              <w:rPr>
                <w:rFonts w:hint="eastAsia"/>
                <w:szCs w:val="22"/>
              </w:rPr>
              <w:t xml:space="preserve">0.1368 </w:t>
            </w:r>
          </w:p>
        </w:tc>
        <w:tc>
          <w:tcPr>
            <w:tcW w:w="433"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 xml:space="preserve">0.0923 </w:t>
            </w:r>
          </w:p>
        </w:tc>
        <w:tc>
          <w:tcPr>
            <w:tcW w:w="450"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 xml:space="preserve">0.0728 </w:t>
            </w:r>
          </w:p>
        </w:tc>
        <w:tc>
          <w:tcPr>
            <w:tcW w:w="395"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0.1651</w:t>
            </w:r>
          </w:p>
        </w:tc>
        <w:tc>
          <w:tcPr>
            <w:tcW w:w="496" w:type="pct"/>
            <w:tcBorders>
              <w:left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w:t>
            </w:r>
          </w:p>
        </w:tc>
        <w:tc>
          <w:tcPr>
            <w:tcW w:w="1109" w:type="pct"/>
            <w:gridSpan w:val="2"/>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0.3019</w:t>
            </w:r>
          </w:p>
        </w:tc>
        <w:tc>
          <w:tcPr>
            <w:tcW w:w="812"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0.1651</w:t>
            </w:r>
          </w:p>
        </w:tc>
      </w:tr>
      <w:tr w:rsidR="00EE56C0">
        <w:trPr>
          <w:trHeight w:val="397"/>
        </w:trPr>
        <w:tc>
          <w:tcPr>
            <w:tcW w:w="191" w:type="pct"/>
            <w:vMerge/>
            <w:tcBorders>
              <w:top w:val="single" w:sz="4" w:space="0" w:color="auto"/>
              <w:left w:val="single" w:sz="4" w:space="0" w:color="auto"/>
              <w:bottom w:val="single" w:sz="4" w:space="0" w:color="auto"/>
              <w:right w:val="single" w:sz="4" w:space="0" w:color="auto"/>
            </w:tcBorders>
            <w:vAlign w:val="center"/>
          </w:tcPr>
          <w:p w:rsidR="00EE56C0" w:rsidRDefault="00EE56C0">
            <w:pPr>
              <w:pStyle w:val="afa"/>
            </w:pPr>
          </w:p>
        </w:tc>
        <w:tc>
          <w:tcPr>
            <w:tcW w:w="611" w:type="pct"/>
            <w:tcBorders>
              <w:left w:val="single" w:sz="4" w:space="0" w:color="auto"/>
              <w:bottom w:val="single" w:sz="4" w:space="0" w:color="auto"/>
              <w:right w:val="single" w:sz="4" w:space="0" w:color="auto"/>
            </w:tcBorders>
            <w:vAlign w:val="center"/>
          </w:tcPr>
          <w:p w:rsidR="00EE56C0" w:rsidRDefault="000F36A1">
            <w:pPr>
              <w:pStyle w:val="afa"/>
            </w:pPr>
            <w:r>
              <w:rPr>
                <w:rFonts w:hint="eastAsia"/>
              </w:rPr>
              <w:t>VOCs</w:t>
            </w:r>
            <w:r>
              <w:rPr>
                <w:rFonts w:hint="eastAsia"/>
              </w:rPr>
              <w:t>合计</w:t>
            </w:r>
          </w:p>
        </w:tc>
        <w:tc>
          <w:tcPr>
            <w:tcW w:w="503"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rPr>
                <w:rFonts w:hint="eastAsia"/>
              </w:rPr>
              <w:t>19.3509</w:t>
            </w:r>
          </w:p>
        </w:tc>
        <w:tc>
          <w:tcPr>
            <w:tcW w:w="433"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 xml:space="preserve">1.1809 </w:t>
            </w:r>
          </w:p>
        </w:tc>
        <w:tc>
          <w:tcPr>
            <w:tcW w:w="450"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 xml:space="preserve">2.0171 </w:t>
            </w:r>
          </w:p>
        </w:tc>
        <w:tc>
          <w:tcPr>
            <w:tcW w:w="395"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3.198</w:t>
            </w:r>
          </w:p>
        </w:tc>
        <w:tc>
          <w:tcPr>
            <w:tcW w:w="496" w:type="pct"/>
            <w:tcBorders>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2.0914</w:t>
            </w:r>
          </w:p>
        </w:tc>
        <w:tc>
          <w:tcPr>
            <w:tcW w:w="1109" w:type="pct"/>
            <w:gridSpan w:val="2"/>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20.4575</w:t>
            </w:r>
          </w:p>
        </w:tc>
        <w:tc>
          <w:tcPr>
            <w:tcW w:w="812"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1.1066</w:t>
            </w:r>
          </w:p>
        </w:tc>
      </w:tr>
    </w:tbl>
    <w:p w:rsidR="00EE56C0" w:rsidRDefault="00EE56C0">
      <w:pPr>
        <w:pStyle w:val="aff4"/>
      </w:pPr>
    </w:p>
    <w:p w:rsidR="00EE56C0" w:rsidRDefault="00EE56C0">
      <w:pPr>
        <w:pStyle w:val="aff4"/>
      </w:pPr>
    </w:p>
    <w:p w:rsidR="00EE56C0" w:rsidRDefault="00EE56C0">
      <w:pPr>
        <w:pStyle w:val="aff4"/>
        <w:sectPr w:rsidR="00EE56C0">
          <w:pgSz w:w="16838" w:h="11906" w:orient="landscape"/>
          <w:pgMar w:top="1797" w:right="1440" w:bottom="1797" w:left="1440" w:header="851" w:footer="992" w:gutter="0"/>
          <w:cols w:space="720"/>
          <w:docGrid w:linePitch="326"/>
        </w:sectPr>
      </w:pPr>
    </w:p>
    <w:p w:rsidR="00EE56C0" w:rsidRDefault="000F36A1">
      <w:pPr>
        <w:pStyle w:val="3"/>
        <w:spacing w:before="240" w:after="120"/>
        <w:rPr>
          <w:u w:val="single"/>
        </w:rPr>
      </w:pPr>
      <w:r>
        <w:rPr>
          <w:rFonts w:hint="eastAsia"/>
          <w:u w:val="single"/>
        </w:rPr>
        <w:lastRenderedPageBreak/>
        <w:t>3.10.3</w:t>
      </w:r>
      <w:r>
        <w:rPr>
          <w:rFonts w:hint="eastAsia"/>
          <w:u w:val="single"/>
        </w:rPr>
        <w:t>总量控制</w:t>
      </w:r>
    </w:p>
    <w:p w:rsidR="00EE56C0" w:rsidRDefault="000F36A1">
      <w:pPr>
        <w:ind w:firstLine="482"/>
        <w:rPr>
          <w:u w:val="single"/>
        </w:rPr>
      </w:pPr>
      <w:r>
        <w:rPr>
          <w:b/>
          <w:u w:val="single"/>
        </w:rPr>
        <w:t>1</w:t>
      </w:r>
      <w:r>
        <w:rPr>
          <w:rFonts w:hint="eastAsia"/>
          <w:b/>
          <w:u w:val="single"/>
        </w:rPr>
        <w:t>、废水污染物的排放情况：</w:t>
      </w:r>
    </w:p>
    <w:p w:rsidR="00EE56C0" w:rsidRDefault="000F36A1">
      <w:pPr>
        <w:spacing w:line="480" w:lineRule="exact"/>
        <w:ind w:firstLine="480"/>
        <w:rPr>
          <w:u w:val="single"/>
        </w:rPr>
      </w:pPr>
      <w:r>
        <w:rPr>
          <w:rFonts w:hint="eastAsia"/>
          <w:u w:val="single"/>
        </w:rPr>
        <w:t>（</w:t>
      </w:r>
      <w:r>
        <w:rPr>
          <w:rFonts w:hint="eastAsia"/>
          <w:u w:val="single"/>
        </w:rPr>
        <w:t>1</w:t>
      </w:r>
      <w:r>
        <w:rPr>
          <w:rFonts w:hint="eastAsia"/>
          <w:u w:val="single"/>
        </w:rPr>
        <w:t>）一期工程</w:t>
      </w:r>
    </w:p>
    <w:p w:rsidR="00EE56C0" w:rsidRDefault="000F36A1">
      <w:pPr>
        <w:spacing w:line="480" w:lineRule="exact"/>
        <w:ind w:firstLine="480"/>
        <w:rPr>
          <w:u w:val="single"/>
        </w:rPr>
      </w:pPr>
      <w:r>
        <w:rPr>
          <w:rFonts w:hint="eastAsia"/>
          <w:u w:val="single"/>
        </w:rPr>
        <w:t>废水排放量</w:t>
      </w:r>
      <w:r>
        <w:rPr>
          <w:rFonts w:hint="eastAsia"/>
          <w:u w:val="single"/>
        </w:rPr>
        <w:t>0.0444</w:t>
      </w:r>
      <w:r>
        <w:rPr>
          <w:rFonts w:hint="eastAsia"/>
          <w:u w:val="single"/>
        </w:rPr>
        <w:t>万</w:t>
      </w:r>
      <w:r>
        <w:rPr>
          <w:u w:val="single"/>
        </w:rPr>
        <w:t>t/a</w:t>
      </w:r>
      <w:r>
        <w:rPr>
          <w:rFonts w:hint="eastAsia"/>
          <w:u w:val="single"/>
        </w:rPr>
        <w:t>。</w:t>
      </w:r>
    </w:p>
    <w:p w:rsidR="00EE56C0" w:rsidRDefault="000F36A1">
      <w:pPr>
        <w:spacing w:line="480" w:lineRule="exact"/>
        <w:ind w:firstLine="480"/>
        <w:rPr>
          <w:szCs w:val="22"/>
          <w:u w:val="single"/>
        </w:rPr>
      </w:pPr>
      <w:r>
        <w:rPr>
          <w:rFonts w:hint="eastAsia"/>
          <w:u w:val="single"/>
        </w:rPr>
        <w:t>废水污染物出厂排放量：</w:t>
      </w:r>
    </w:p>
    <w:p w:rsidR="00EE56C0" w:rsidRDefault="000F36A1">
      <w:pPr>
        <w:spacing w:line="480" w:lineRule="exact"/>
        <w:ind w:firstLine="480"/>
        <w:rPr>
          <w:u w:val="single"/>
        </w:rPr>
      </w:pPr>
      <w:r>
        <w:rPr>
          <w:u w:val="single"/>
        </w:rPr>
        <w:t xml:space="preserve">COD0.0837 </w:t>
      </w:r>
      <w:r>
        <w:rPr>
          <w:rFonts w:hint="eastAsia"/>
          <w:u w:val="single"/>
        </w:rPr>
        <w:t>t</w:t>
      </w:r>
      <w:r>
        <w:rPr>
          <w:u w:val="single"/>
        </w:rPr>
        <w:t>/a</w:t>
      </w:r>
      <w:r>
        <w:rPr>
          <w:rFonts w:hint="eastAsia"/>
          <w:u w:val="single"/>
        </w:rPr>
        <w:t>、</w:t>
      </w:r>
      <w:r>
        <w:rPr>
          <w:u w:val="single"/>
        </w:rPr>
        <w:t>NH</w:t>
      </w:r>
      <w:r>
        <w:rPr>
          <w:u w:val="single"/>
          <w:vertAlign w:val="subscript"/>
        </w:rPr>
        <w:t>3</w:t>
      </w:r>
      <w:r>
        <w:rPr>
          <w:u w:val="single"/>
        </w:rPr>
        <w:t>-N0.</w:t>
      </w:r>
      <w:r>
        <w:rPr>
          <w:rFonts w:hint="eastAsia"/>
          <w:u w:val="single"/>
        </w:rPr>
        <w:t>008</w:t>
      </w:r>
      <w:r>
        <w:rPr>
          <w:u w:val="single"/>
        </w:rPr>
        <w:t>t/a</w:t>
      </w:r>
      <w:r>
        <w:rPr>
          <w:rFonts w:hint="eastAsia"/>
          <w:u w:val="single"/>
        </w:rPr>
        <w:t>、</w:t>
      </w:r>
      <w:r>
        <w:rPr>
          <w:u w:val="single"/>
        </w:rPr>
        <w:t>TP0.00</w:t>
      </w:r>
      <w:r>
        <w:rPr>
          <w:rFonts w:hint="eastAsia"/>
          <w:u w:val="single"/>
        </w:rPr>
        <w:t>14</w:t>
      </w:r>
      <w:r>
        <w:rPr>
          <w:u w:val="single"/>
        </w:rPr>
        <w:t>t/a</w:t>
      </w:r>
      <w:r>
        <w:rPr>
          <w:rFonts w:hint="eastAsia"/>
          <w:u w:val="single"/>
        </w:rPr>
        <w:t>、</w:t>
      </w:r>
      <w:r>
        <w:rPr>
          <w:u w:val="single"/>
        </w:rPr>
        <w:t>TN</w:t>
      </w:r>
      <w:r>
        <w:rPr>
          <w:rFonts w:hint="eastAsia"/>
          <w:u w:val="single"/>
        </w:rPr>
        <w:t>0.0098</w:t>
      </w:r>
      <w:r>
        <w:rPr>
          <w:u w:val="single"/>
        </w:rPr>
        <w:t>t/a</w:t>
      </w:r>
      <w:r>
        <w:rPr>
          <w:rFonts w:hint="eastAsia"/>
          <w:u w:val="single"/>
        </w:rPr>
        <w:t>；</w:t>
      </w:r>
    </w:p>
    <w:p w:rsidR="00EE56C0" w:rsidRDefault="000F36A1">
      <w:pPr>
        <w:spacing w:line="480" w:lineRule="exact"/>
        <w:ind w:firstLine="480"/>
        <w:rPr>
          <w:u w:val="single"/>
        </w:rPr>
      </w:pPr>
      <w:r>
        <w:rPr>
          <w:rFonts w:hint="eastAsia"/>
          <w:u w:val="single"/>
        </w:rPr>
        <w:t>经新乡县综合污水处理厂处理后排放量：</w:t>
      </w:r>
    </w:p>
    <w:p w:rsidR="00EE56C0" w:rsidRDefault="000F36A1">
      <w:pPr>
        <w:spacing w:line="480" w:lineRule="exact"/>
        <w:ind w:firstLine="480"/>
        <w:rPr>
          <w:u w:val="single"/>
        </w:rPr>
      </w:pPr>
      <w:r>
        <w:rPr>
          <w:u w:val="single"/>
        </w:rPr>
        <w:t>COD</w:t>
      </w:r>
      <w:r>
        <w:rPr>
          <w:rFonts w:hint="eastAsia"/>
          <w:szCs w:val="22"/>
          <w:u w:val="single"/>
        </w:rPr>
        <w:t>0.0178</w:t>
      </w:r>
      <w:r>
        <w:rPr>
          <w:u w:val="single"/>
        </w:rPr>
        <w:t>t/a</w:t>
      </w:r>
      <w:r>
        <w:rPr>
          <w:rFonts w:hint="eastAsia"/>
          <w:u w:val="single"/>
        </w:rPr>
        <w:t>、</w:t>
      </w:r>
      <w:r>
        <w:rPr>
          <w:u w:val="single"/>
        </w:rPr>
        <w:t>NH</w:t>
      </w:r>
      <w:r>
        <w:rPr>
          <w:u w:val="single"/>
          <w:vertAlign w:val="subscript"/>
        </w:rPr>
        <w:t>3</w:t>
      </w:r>
      <w:r>
        <w:rPr>
          <w:u w:val="single"/>
        </w:rPr>
        <w:t>-N 0.0</w:t>
      </w:r>
      <w:r>
        <w:rPr>
          <w:rFonts w:hint="eastAsia"/>
          <w:u w:val="single"/>
        </w:rPr>
        <w:t>009</w:t>
      </w:r>
      <w:r>
        <w:rPr>
          <w:u w:val="single"/>
        </w:rPr>
        <w:t>t/a</w:t>
      </w:r>
      <w:r>
        <w:rPr>
          <w:rFonts w:hint="eastAsia"/>
          <w:u w:val="single"/>
        </w:rPr>
        <w:t>、</w:t>
      </w:r>
      <w:r>
        <w:rPr>
          <w:u w:val="single"/>
        </w:rPr>
        <w:t>TP0.00</w:t>
      </w:r>
      <w:r>
        <w:rPr>
          <w:rFonts w:hint="eastAsia"/>
          <w:u w:val="single"/>
        </w:rPr>
        <w:t>02</w:t>
      </w:r>
      <w:r>
        <w:rPr>
          <w:u w:val="single"/>
        </w:rPr>
        <w:t>t/a</w:t>
      </w:r>
      <w:r>
        <w:rPr>
          <w:rFonts w:hint="eastAsia"/>
          <w:u w:val="single"/>
        </w:rPr>
        <w:t>、</w:t>
      </w:r>
      <w:r>
        <w:rPr>
          <w:u w:val="single"/>
        </w:rPr>
        <w:t>TN 0.</w:t>
      </w:r>
      <w:r>
        <w:rPr>
          <w:rFonts w:hint="eastAsia"/>
          <w:u w:val="single"/>
        </w:rPr>
        <w:t>0067t</w:t>
      </w:r>
      <w:r>
        <w:rPr>
          <w:u w:val="single"/>
        </w:rPr>
        <w:t>/a</w:t>
      </w:r>
      <w:r>
        <w:rPr>
          <w:rFonts w:hint="eastAsia"/>
          <w:u w:val="single"/>
        </w:rPr>
        <w:t>；</w:t>
      </w:r>
    </w:p>
    <w:p w:rsidR="00EE56C0" w:rsidRDefault="000F36A1">
      <w:pPr>
        <w:spacing w:line="480" w:lineRule="exact"/>
        <w:ind w:firstLine="480"/>
        <w:rPr>
          <w:u w:val="single"/>
        </w:rPr>
      </w:pPr>
      <w:r>
        <w:rPr>
          <w:rFonts w:hint="eastAsia"/>
          <w:u w:val="single"/>
        </w:rPr>
        <w:t>（</w:t>
      </w:r>
      <w:r>
        <w:rPr>
          <w:rFonts w:hint="eastAsia"/>
          <w:u w:val="single"/>
        </w:rPr>
        <w:t>2</w:t>
      </w:r>
      <w:r>
        <w:rPr>
          <w:rFonts w:hint="eastAsia"/>
          <w:u w:val="single"/>
        </w:rPr>
        <w:t>）二期工程</w:t>
      </w:r>
    </w:p>
    <w:p w:rsidR="00EE56C0" w:rsidRDefault="000F36A1">
      <w:pPr>
        <w:spacing w:line="480" w:lineRule="exact"/>
        <w:ind w:firstLine="480"/>
        <w:rPr>
          <w:u w:val="single"/>
        </w:rPr>
      </w:pPr>
      <w:r>
        <w:rPr>
          <w:rFonts w:hint="eastAsia"/>
          <w:u w:val="single"/>
        </w:rPr>
        <w:t>废水排放量</w:t>
      </w:r>
      <w:r>
        <w:rPr>
          <w:rFonts w:hint="eastAsia"/>
          <w:u w:val="single"/>
        </w:rPr>
        <w:t>0.1623</w:t>
      </w:r>
      <w:r>
        <w:rPr>
          <w:rFonts w:hint="eastAsia"/>
          <w:u w:val="single"/>
        </w:rPr>
        <w:t>万</w:t>
      </w:r>
      <w:r>
        <w:rPr>
          <w:u w:val="single"/>
        </w:rPr>
        <w:t>t/a</w:t>
      </w:r>
      <w:r>
        <w:rPr>
          <w:rFonts w:hint="eastAsia"/>
          <w:u w:val="single"/>
        </w:rPr>
        <w:t>。</w:t>
      </w:r>
    </w:p>
    <w:p w:rsidR="00EE56C0" w:rsidRDefault="000F36A1">
      <w:pPr>
        <w:spacing w:line="480" w:lineRule="exact"/>
        <w:ind w:firstLine="480"/>
        <w:rPr>
          <w:szCs w:val="22"/>
          <w:u w:val="single"/>
        </w:rPr>
      </w:pPr>
      <w:r>
        <w:rPr>
          <w:rFonts w:hint="eastAsia"/>
          <w:u w:val="single"/>
        </w:rPr>
        <w:t>废水污染物出厂排放量：</w:t>
      </w:r>
    </w:p>
    <w:p w:rsidR="00EE56C0" w:rsidRDefault="000F36A1">
      <w:pPr>
        <w:spacing w:line="480" w:lineRule="exact"/>
        <w:ind w:firstLine="480"/>
        <w:rPr>
          <w:u w:val="single"/>
        </w:rPr>
      </w:pPr>
      <w:r>
        <w:rPr>
          <w:u w:val="single"/>
        </w:rPr>
        <w:t>COD0.0</w:t>
      </w:r>
      <w:r>
        <w:rPr>
          <w:rFonts w:hint="eastAsia"/>
          <w:u w:val="single"/>
        </w:rPr>
        <w:t>2889</w:t>
      </w:r>
      <w:r>
        <w:rPr>
          <w:u w:val="single"/>
        </w:rPr>
        <w:t>t/a</w:t>
      </w:r>
      <w:r>
        <w:rPr>
          <w:rFonts w:hint="eastAsia"/>
          <w:u w:val="single"/>
        </w:rPr>
        <w:t>、</w:t>
      </w:r>
      <w:r>
        <w:rPr>
          <w:u w:val="single"/>
        </w:rPr>
        <w:t>NH</w:t>
      </w:r>
      <w:r>
        <w:rPr>
          <w:u w:val="single"/>
          <w:vertAlign w:val="subscript"/>
        </w:rPr>
        <w:t>3</w:t>
      </w:r>
      <w:r>
        <w:rPr>
          <w:u w:val="single"/>
        </w:rPr>
        <w:t>-N0.0</w:t>
      </w:r>
      <w:r>
        <w:rPr>
          <w:rFonts w:hint="eastAsia"/>
          <w:u w:val="single"/>
        </w:rPr>
        <w:t>278</w:t>
      </w:r>
      <w:r>
        <w:rPr>
          <w:u w:val="single"/>
        </w:rPr>
        <w:t xml:space="preserve"> t/a</w:t>
      </w:r>
      <w:r>
        <w:rPr>
          <w:rFonts w:hint="eastAsia"/>
          <w:u w:val="single"/>
        </w:rPr>
        <w:t>、</w:t>
      </w:r>
      <w:r>
        <w:rPr>
          <w:u w:val="single"/>
        </w:rPr>
        <w:t>TP0.00</w:t>
      </w:r>
      <w:r>
        <w:rPr>
          <w:rFonts w:hint="eastAsia"/>
          <w:u w:val="single"/>
        </w:rPr>
        <w:t>51</w:t>
      </w:r>
      <w:r>
        <w:rPr>
          <w:u w:val="single"/>
        </w:rPr>
        <w:t>t/a</w:t>
      </w:r>
      <w:r>
        <w:rPr>
          <w:rFonts w:hint="eastAsia"/>
          <w:u w:val="single"/>
        </w:rPr>
        <w:t>、</w:t>
      </w:r>
      <w:r>
        <w:rPr>
          <w:u w:val="single"/>
        </w:rPr>
        <w:t>TN0.0</w:t>
      </w:r>
      <w:r>
        <w:rPr>
          <w:rFonts w:hint="eastAsia"/>
          <w:u w:val="single"/>
        </w:rPr>
        <w:t>343</w:t>
      </w:r>
      <w:r>
        <w:rPr>
          <w:u w:val="single"/>
        </w:rPr>
        <w:t>t/a</w:t>
      </w:r>
      <w:r>
        <w:rPr>
          <w:rFonts w:hint="eastAsia"/>
          <w:u w:val="single"/>
        </w:rPr>
        <w:t>；</w:t>
      </w:r>
    </w:p>
    <w:p w:rsidR="00EE56C0" w:rsidRDefault="000F36A1">
      <w:pPr>
        <w:spacing w:line="480" w:lineRule="exact"/>
        <w:ind w:firstLine="480"/>
        <w:rPr>
          <w:u w:val="single"/>
        </w:rPr>
      </w:pPr>
      <w:r>
        <w:rPr>
          <w:rFonts w:hint="eastAsia"/>
          <w:u w:val="single"/>
        </w:rPr>
        <w:t>经新乡县综合污水处理厂处理后排放量：</w:t>
      </w:r>
    </w:p>
    <w:p w:rsidR="00EE56C0" w:rsidRDefault="000F36A1">
      <w:pPr>
        <w:spacing w:line="480" w:lineRule="exact"/>
        <w:ind w:firstLine="480"/>
        <w:rPr>
          <w:u w:val="single"/>
        </w:rPr>
      </w:pPr>
      <w:r>
        <w:rPr>
          <w:u w:val="single"/>
        </w:rPr>
        <w:t>COD</w:t>
      </w:r>
      <w:r>
        <w:rPr>
          <w:rFonts w:hint="eastAsia"/>
          <w:u w:val="single"/>
        </w:rPr>
        <w:t>0.0649</w:t>
      </w:r>
      <w:r>
        <w:rPr>
          <w:u w:val="single"/>
        </w:rPr>
        <w:t>t/a</w:t>
      </w:r>
      <w:r>
        <w:rPr>
          <w:rFonts w:hint="eastAsia"/>
          <w:u w:val="single"/>
        </w:rPr>
        <w:t>、</w:t>
      </w:r>
      <w:r>
        <w:rPr>
          <w:u w:val="single"/>
        </w:rPr>
        <w:t>NH</w:t>
      </w:r>
      <w:r>
        <w:rPr>
          <w:u w:val="single"/>
          <w:vertAlign w:val="subscript"/>
        </w:rPr>
        <w:t>3</w:t>
      </w:r>
      <w:r>
        <w:rPr>
          <w:u w:val="single"/>
        </w:rPr>
        <w:t>-N 0.0</w:t>
      </w:r>
      <w:r>
        <w:rPr>
          <w:rFonts w:hint="eastAsia"/>
          <w:u w:val="single"/>
        </w:rPr>
        <w:t>032</w:t>
      </w:r>
      <w:r>
        <w:rPr>
          <w:u w:val="single"/>
        </w:rPr>
        <w:t>t/a</w:t>
      </w:r>
      <w:r>
        <w:rPr>
          <w:rFonts w:hint="eastAsia"/>
          <w:u w:val="single"/>
        </w:rPr>
        <w:t>、</w:t>
      </w:r>
      <w:r>
        <w:rPr>
          <w:u w:val="single"/>
        </w:rPr>
        <w:t>TP0.0</w:t>
      </w:r>
      <w:r>
        <w:rPr>
          <w:rFonts w:hint="eastAsia"/>
          <w:u w:val="single"/>
        </w:rPr>
        <w:t>006</w:t>
      </w:r>
      <w:r>
        <w:rPr>
          <w:u w:val="single"/>
        </w:rPr>
        <w:t>t/a</w:t>
      </w:r>
      <w:r>
        <w:rPr>
          <w:rFonts w:hint="eastAsia"/>
          <w:u w:val="single"/>
        </w:rPr>
        <w:t>、</w:t>
      </w:r>
      <w:r>
        <w:rPr>
          <w:u w:val="single"/>
        </w:rPr>
        <w:t>TN0.</w:t>
      </w:r>
      <w:r>
        <w:rPr>
          <w:rFonts w:hint="eastAsia"/>
          <w:u w:val="single"/>
        </w:rPr>
        <w:t>0243</w:t>
      </w:r>
      <w:r>
        <w:rPr>
          <w:u w:val="single"/>
        </w:rPr>
        <w:t>t/a</w:t>
      </w:r>
      <w:r>
        <w:rPr>
          <w:rFonts w:hint="eastAsia"/>
          <w:u w:val="single"/>
        </w:rPr>
        <w:t>；</w:t>
      </w:r>
    </w:p>
    <w:p w:rsidR="00EE56C0" w:rsidRDefault="000F36A1">
      <w:pPr>
        <w:spacing w:line="480" w:lineRule="exact"/>
        <w:ind w:firstLine="480"/>
        <w:rPr>
          <w:u w:val="single"/>
        </w:rPr>
      </w:pPr>
      <w:r>
        <w:rPr>
          <w:rFonts w:hint="eastAsia"/>
          <w:u w:val="single"/>
        </w:rPr>
        <w:t>（</w:t>
      </w:r>
      <w:r>
        <w:rPr>
          <w:rFonts w:hint="eastAsia"/>
          <w:u w:val="single"/>
        </w:rPr>
        <w:t>3</w:t>
      </w:r>
      <w:r>
        <w:rPr>
          <w:rFonts w:hint="eastAsia"/>
          <w:u w:val="single"/>
        </w:rPr>
        <w:t>）项目建成后，废水排放量</w:t>
      </w:r>
      <w:r>
        <w:rPr>
          <w:rFonts w:hint="eastAsia"/>
          <w:u w:val="single"/>
        </w:rPr>
        <w:t>0.2067</w:t>
      </w:r>
      <w:r>
        <w:rPr>
          <w:rFonts w:hint="eastAsia"/>
          <w:u w:val="single"/>
        </w:rPr>
        <w:t>万</w:t>
      </w:r>
      <w:r>
        <w:rPr>
          <w:u w:val="single"/>
        </w:rPr>
        <w:t>t/a</w:t>
      </w:r>
      <w:r>
        <w:rPr>
          <w:rFonts w:hint="eastAsia"/>
          <w:u w:val="single"/>
        </w:rPr>
        <w:t>。</w:t>
      </w:r>
    </w:p>
    <w:p w:rsidR="00EE56C0" w:rsidRDefault="000F36A1">
      <w:pPr>
        <w:spacing w:line="480" w:lineRule="exact"/>
        <w:ind w:firstLine="480"/>
        <w:rPr>
          <w:szCs w:val="22"/>
          <w:u w:val="single"/>
        </w:rPr>
      </w:pPr>
      <w:r>
        <w:rPr>
          <w:rFonts w:hint="eastAsia"/>
          <w:u w:val="single"/>
        </w:rPr>
        <w:t>项目建成后，废水污染物出厂排放量：</w:t>
      </w:r>
    </w:p>
    <w:p w:rsidR="00EE56C0" w:rsidRDefault="000F36A1">
      <w:pPr>
        <w:spacing w:line="480" w:lineRule="exact"/>
        <w:ind w:firstLine="480"/>
        <w:rPr>
          <w:u w:val="single"/>
        </w:rPr>
      </w:pPr>
      <w:r>
        <w:rPr>
          <w:u w:val="single"/>
        </w:rPr>
        <w:t>COD</w:t>
      </w:r>
      <w:r>
        <w:rPr>
          <w:rFonts w:hint="eastAsia"/>
          <w:u w:val="single"/>
        </w:rPr>
        <w:t>0.3726</w:t>
      </w:r>
      <w:r>
        <w:rPr>
          <w:u w:val="single"/>
        </w:rPr>
        <w:t>t/a</w:t>
      </w:r>
      <w:r>
        <w:rPr>
          <w:rFonts w:hint="eastAsia"/>
          <w:u w:val="single"/>
        </w:rPr>
        <w:t>、</w:t>
      </w:r>
      <w:r>
        <w:rPr>
          <w:u w:val="single"/>
        </w:rPr>
        <w:t>NH</w:t>
      </w:r>
      <w:r>
        <w:rPr>
          <w:u w:val="single"/>
          <w:vertAlign w:val="subscript"/>
        </w:rPr>
        <w:t>3</w:t>
      </w:r>
      <w:r>
        <w:rPr>
          <w:u w:val="single"/>
        </w:rPr>
        <w:t>-N0.</w:t>
      </w:r>
      <w:r>
        <w:rPr>
          <w:rFonts w:hint="eastAsia"/>
          <w:u w:val="single"/>
        </w:rPr>
        <w:t>0357</w:t>
      </w:r>
      <w:r>
        <w:rPr>
          <w:u w:val="single"/>
        </w:rPr>
        <w:t>t/a</w:t>
      </w:r>
      <w:r>
        <w:rPr>
          <w:rFonts w:hint="eastAsia"/>
          <w:u w:val="single"/>
        </w:rPr>
        <w:t>、</w:t>
      </w:r>
      <w:r>
        <w:rPr>
          <w:u w:val="single"/>
        </w:rPr>
        <w:t>TP 0.00</w:t>
      </w:r>
      <w:r>
        <w:rPr>
          <w:rFonts w:hint="eastAsia"/>
          <w:u w:val="single"/>
        </w:rPr>
        <w:t>65</w:t>
      </w:r>
      <w:r>
        <w:rPr>
          <w:u w:val="single"/>
        </w:rPr>
        <w:t>t/a</w:t>
      </w:r>
      <w:r>
        <w:rPr>
          <w:rFonts w:hint="eastAsia"/>
          <w:u w:val="single"/>
        </w:rPr>
        <w:t>、</w:t>
      </w:r>
      <w:r>
        <w:rPr>
          <w:u w:val="single"/>
        </w:rPr>
        <w:t>TN</w:t>
      </w:r>
      <w:r>
        <w:rPr>
          <w:rFonts w:hint="eastAsia"/>
          <w:u w:val="single"/>
        </w:rPr>
        <w:t>0.0441</w:t>
      </w:r>
      <w:r>
        <w:rPr>
          <w:u w:val="single"/>
        </w:rPr>
        <w:t>t/a</w:t>
      </w:r>
      <w:r>
        <w:rPr>
          <w:rFonts w:hint="eastAsia"/>
          <w:u w:val="single"/>
        </w:rPr>
        <w:t>；</w:t>
      </w:r>
    </w:p>
    <w:p w:rsidR="00EE56C0" w:rsidRDefault="000F36A1">
      <w:pPr>
        <w:spacing w:line="480" w:lineRule="exact"/>
        <w:ind w:firstLine="480"/>
        <w:rPr>
          <w:u w:val="single"/>
        </w:rPr>
      </w:pPr>
      <w:r>
        <w:rPr>
          <w:rFonts w:hint="eastAsia"/>
          <w:u w:val="single"/>
        </w:rPr>
        <w:t>经新乡县综合污水处理厂处理后排放量：</w:t>
      </w:r>
    </w:p>
    <w:p w:rsidR="00EE56C0" w:rsidRDefault="000F36A1">
      <w:pPr>
        <w:ind w:firstLine="480"/>
        <w:rPr>
          <w:u w:val="single"/>
        </w:rPr>
      </w:pPr>
      <w:r>
        <w:rPr>
          <w:u w:val="single"/>
        </w:rPr>
        <w:t>COD</w:t>
      </w:r>
      <w:r>
        <w:rPr>
          <w:rFonts w:hint="eastAsia"/>
          <w:u w:val="single"/>
        </w:rPr>
        <w:t>0.0827</w:t>
      </w:r>
      <w:r>
        <w:rPr>
          <w:u w:val="single"/>
        </w:rPr>
        <w:t>t/a</w:t>
      </w:r>
      <w:r>
        <w:rPr>
          <w:rFonts w:hint="eastAsia"/>
          <w:u w:val="single"/>
        </w:rPr>
        <w:t>、</w:t>
      </w:r>
      <w:r>
        <w:rPr>
          <w:u w:val="single"/>
        </w:rPr>
        <w:t>NH</w:t>
      </w:r>
      <w:r>
        <w:rPr>
          <w:u w:val="single"/>
          <w:vertAlign w:val="subscript"/>
        </w:rPr>
        <w:t>3</w:t>
      </w:r>
      <w:r>
        <w:rPr>
          <w:u w:val="single"/>
        </w:rPr>
        <w:t>-N0.0</w:t>
      </w:r>
      <w:r>
        <w:rPr>
          <w:rFonts w:hint="eastAsia"/>
          <w:u w:val="single"/>
        </w:rPr>
        <w:t>041</w:t>
      </w:r>
      <w:r>
        <w:rPr>
          <w:u w:val="single"/>
        </w:rPr>
        <w:t>t/a</w:t>
      </w:r>
      <w:r>
        <w:rPr>
          <w:rFonts w:hint="eastAsia"/>
          <w:u w:val="single"/>
        </w:rPr>
        <w:t>、</w:t>
      </w:r>
      <w:r>
        <w:rPr>
          <w:u w:val="single"/>
        </w:rPr>
        <w:t>TP0.00</w:t>
      </w:r>
      <w:r>
        <w:rPr>
          <w:rFonts w:hint="eastAsia"/>
          <w:u w:val="single"/>
        </w:rPr>
        <w:t>08</w:t>
      </w:r>
      <w:r>
        <w:rPr>
          <w:u w:val="single"/>
        </w:rPr>
        <w:t>t/a</w:t>
      </w:r>
      <w:r>
        <w:rPr>
          <w:rFonts w:hint="eastAsia"/>
          <w:u w:val="single"/>
        </w:rPr>
        <w:t>、</w:t>
      </w:r>
      <w:r>
        <w:rPr>
          <w:u w:val="single"/>
        </w:rPr>
        <w:t>TN</w:t>
      </w:r>
      <w:r>
        <w:rPr>
          <w:rFonts w:hint="eastAsia"/>
          <w:u w:val="single"/>
        </w:rPr>
        <w:t>0.031</w:t>
      </w:r>
      <w:r>
        <w:rPr>
          <w:u w:val="single"/>
        </w:rPr>
        <w:t>t/a</w:t>
      </w:r>
      <w:r>
        <w:rPr>
          <w:rFonts w:hint="eastAsia"/>
          <w:u w:val="single"/>
        </w:rPr>
        <w:t>；</w:t>
      </w:r>
    </w:p>
    <w:p w:rsidR="00EE56C0" w:rsidRDefault="000F36A1">
      <w:pPr>
        <w:spacing w:line="480" w:lineRule="exact"/>
        <w:ind w:firstLine="482"/>
        <w:rPr>
          <w:b/>
          <w:u w:val="single"/>
        </w:rPr>
      </w:pPr>
      <w:r>
        <w:rPr>
          <w:rFonts w:hint="eastAsia"/>
          <w:b/>
          <w:u w:val="single"/>
        </w:rPr>
        <w:t>废水污染物替代方案：</w:t>
      </w:r>
    </w:p>
    <w:p w:rsidR="00EE56C0" w:rsidRDefault="000F36A1">
      <w:pPr>
        <w:ind w:firstLine="480"/>
        <w:rPr>
          <w:u w:val="single"/>
        </w:rPr>
      </w:pPr>
      <w:r>
        <w:rPr>
          <w:rFonts w:hint="eastAsia"/>
          <w:bCs/>
          <w:u w:val="single"/>
        </w:rPr>
        <w:t>本项目达产建成后废水排放量为</w:t>
      </w:r>
      <w:r>
        <w:rPr>
          <w:rFonts w:hint="eastAsia"/>
          <w:bCs/>
          <w:u w:val="single"/>
        </w:rPr>
        <w:t>0.2067</w:t>
      </w:r>
      <w:r>
        <w:rPr>
          <w:rFonts w:hint="eastAsia"/>
          <w:bCs/>
          <w:u w:val="single"/>
        </w:rPr>
        <w:t>万</w:t>
      </w:r>
      <w:r>
        <w:rPr>
          <w:bCs/>
          <w:u w:val="single"/>
        </w:rPr>
        <w:t>t/a</w:t>
      </w:r>
      <w:r>
        <w:rPr>
          <w:rFonts w:hint="eastAsia"/>
          <w:bCs/>
          <w:u w:val="single"/>
        </w:rPr>
        <w:t>，</w:t>
      </w:r>
      <w:r>
        <w:rPr>
          <w:rFonts w:hint="eastAsia"/>
          <w:u w:val="single"/>
        </w:rPr>
        <w:t>新增水污染物排放量为</w:t>
      </w:r>
      <w:r>
        <w:rPr>
          <w:u w:val="single"/>
        </w:rPr>
        <w:t>COD</w:t>
      </w:r>
      <w:r>
        <w:rPr>
          <w:rFonts w:hint="eastAsia"/>
          <w:u w:val="single"/>
        </w:rPr>
        <w:t>0.0827</w:t>
      </w:r>
      <w:r>
        <w:rPr>
          <w:u w:val="single"/>
        </w:rPr>
        <w:t>t/a</w:t>
      </w:r>
      <w:r>
        <w:rPr>
          <w:rFonts w:hint="eastAsia"/>
          <w:u w:val="single"/>
        </w:rPr>
        <w:t>、</w:t>
      </w:r>
      <w:r>
        <w:rPr>
          <w:u w:val="single"/>
        </w:rPr>
        <w:t>NH</w:t>
      </w:r>
      <w:r>
        <w:rPr>
          <w:u w:val="single"/>
          <w:vertAlign w:val="subscript"/>
        </w:rPr>
        <w:t>3</w:t>
      </w:r>
      <w:r>
        <w:rPr>
          <w:u w:val="single"/>
        </w:rPr>
        <w:t>-N0.0</w:t>
      </w:r>
      <w:r>
        <w:rPr>
          <w:rFonts w:hint="eastAsia"/>
          <w:u w:val="single"/>
        </w:rPr>
        <w:t>041</w:t>
      </w:r>
      <w:r>
        <w:rPr>
          <w:u w:val="single"/>
        </w:rPr>
        <w:t>t/a</w:t>
      </w:r>
      <w:r>
        <w:rPr>
          <w:rFonts w:hint="eastAsia"/>
          <w:u w:val="single"/>
        </w:rPr>
        <w:t>，经双倍替代后所需替代量为：</w:t>
      </w:r>
      <w:r>
        <w:rPr>
          <w:u w:val="single"/>
        </w:rPr>
        <w:t>COD</w:t>
      </w:r>
      <w:r>
        <w:rPr>
          <w:rFonts w:hint="eastAsia"/>
          <w:u w:val="single"/>
        </w:rPr>
        <w:t>0.1654t/</w:t>
      </w:r>
      <w:r>
        <w:rPr>
          <w:u w:val="single"/>
        </w:rPr>
        <w:t>a</w:t>
      </w:r>
      <w:r>
        <w:rPr>
          <w:rFonts w:hint="eastAsia"/>
          <w:u w:val="single"/>
        </w:rPr>
        <w:t>、</w:t>
      </w:r>
      <w:r>
        <w:rPr>
          <w:u w:val="single"/>
        </w:rPr>
        <w:t>NH3-N</w:t>
      </w:r>
      <w:r>
        <w:rPr>
          <w:rFonts w:hint="eastAsia"/>
          <w:u w:val="single"/>
        </w:rPr>
        <w:t>0.0082</w:t>
      </w:r>
      <w:r>
        <w:rPr>
          <w:u w:val="single"/>
        </w:rPr>
        <w:t>t/a</w:t>
      </w:r>
      <w:r>
        <w:rPr>
          <w:rFonts w:hint="eastAsia"/>
          <w:u w:val="single"/>
        </w:rPr>
        <w:t>，拟从</w:t>
      </w:r>
      <w:r w:rsidR="00971E69" w:rsidRPr="00971E69">
        <w:rPr>
          <w:rFonts w:hint="eastAsia"/>
          <w:color w:val="000000"/>
          <w:u w:val="single"/>
        </w:rPr>
        <w:t>延津县新建农村污水处理站形成的削减量</w:t>
      </w:r>
      <w:r w:rsidR="00971E69" w:rsidRPr="00971E69">
        <w:rPr>
          <w:rFonts w:hint="eastAsia"/>
          <w:color w:val="000000"/>
          <w:u w:val="single"/>
        </w:rPr>
        <w:t>COD145.78t/a</w:t>
      </w:r>
      <w:r w:rsidR="00971E69" w:rsidRPr="00971E69">
        <w:rPr>
          <w:rFonts w:hint="eastAsia"/>
          <w:color w:val="000000"/>
          <w:u w:val="single"/>
        </w:rPr>
        <w:t>、氨氮</w:t>
      </w:r>
      <w:r w:rsidR="00971E69" w:rsidRPr="00971E69">
        <w:rPr>
          <w:rFonts w:hint="eastAsia"/>
          <w:color w:val="000000"/>
          <w:u w:val="single"/>
        </w:rPr>
        <w:t>20.52t/a</w:t>
      </w:r>
      <w:r w:rsidR="00971E69" w:rsidRPr="00971E69">
        <w:rPr>
          <w:rFonts w:hint="eastAsia"/>
          <w:color w:val="000000"/>
          <w:u w:val="single"/>
        </w:rPr>
        <w:t>中</w:t>
      </w:r>
      <w:r w:rsidR="00971E69" w:rsidRPr="00971E69">
        <w:rPr>
          <w:bCs/>
          <w:color w:val="000000"/>
          <w:u w:val="single"/>
        </w:rPr>
        <w:t>调剂给本项目</w:t>
      </w:r>
      <w:r w:rsidR="00971E69" w:rsidRPr="00971E69">
        <w:rPr>
          <w:rFonts w:hint="eastAsia"/>
          <w:bCs/>
          <w:color w:val="000000"/>
          <w:u w:val="single"/>
        </w:rPr>
        <w:t>COD0.1654</w:t>
      </w:r>
      <w:r w:rsidR="00971E69" w:rsidRPr="00971E69">
        <w:rPr>
          <w:bCs/>
          <w:color w:val="000000"/>
          <w:u w:val="single"/>
        </w:rPr>
        <w:t>t/a</w:t>
      </w:r>
      <w:r w:rsidR="00971E69" w:rsidRPr="00971E69">
        <w:rPr>
          <w:bCs/>
          <w:color w:val="000000"/>
          <w:u w:val="single"/>
        </w:rPr>
        <w:t>、氨氮</w:t>
      </w:r>
      <w:r w:rsidR="00971E69" w:rsidRPr="00971E69">
        <w:rPr>
          <w:rFonts w:hint="eastAsia"/>
          <w:bCs/>
          <w:color w:val="000000"/>
          <w:u w:val="single"/>
        </w:rPr>
        <w:t>0.0082t/a</w:t>
      </w:r>
      <w:r w:rsidR="00971E69" w:rsidRPr="00971E69">
        <w:rPr>
          <w:bCs/>
          <w:color w:val="000000"/>
          <w:u w:val="single"/>
        </w:rPr>
        <w:t>作为替代量</w:t>
      </w:r>
      <w:r w:rsidRPr="00971E69">
        <w:rPr>
          <w:rFonts w:hint="eastAsia"/>
          <w:u w:val="single"/>
        </w:rPr>
        <w:t>。</w:t>
      </w:r>
    </w:p>
    <w:p w:rsidR="00EE56C0" w:rsidRDefault="000F36A1">
      <w:pPr>
        <w:ind w:firstLine="480"/>
        <w:rPr>
          <w:u w:val="single"/>
        </w:rPr>
      </w:pPr>
      <w:r>
        <w:rPr>
          <w:rFonts w:hint="eastAsia"/>
          <w:u w:val="single"/>
        </w:rPr>
        <w:t>2</w:t>
      </w:r>
      <w:r>
        <w:rPr>
          <w:rFonts w:hint="eastAsia"/>
          <w:u w:val="single"/>
        </w:rPr>
        <w:t>、废气</w:t>
      </w:r>
    </w:p>
    <w:p w:rsidR="00EE56C0" w:rsidRDefault="000F36A1">
      <w:pPr>
        <w:spacing w:line="480" w:lineRule="exact"/>
        <w:ind w:firstLine="480"/>
        <w:rPr>
          <w:u w:val="single"/>
        </w:rPr>
      </w:pPr>
      <w:r>
        <w:rPr>
          <w:rFonts w:hint="eastAsia"/>
          <w:u w:val="single"/>
        </w:rPr>
        <w:t>（</w:t>
      </w:r>
      <w:r>
        <w:rPr>
          <w:rFonts w:hint="eastAsia"/>
          <w:u w:val="single"/>
        </w:rPr>
        <w:t>1</w:t>
      </w:r>
      <w:r>
        <w:rPr>
          <w:rFonts w:hint="eastAsia"/>
          <w:u w:val="single"/>
        </w:rPr>
        <w:t>）一期工程</w:t>
      </w:r>
    </w:p>
    <w:p w:rsidR="00EE56C0" w:rsidRDefault="000F36A1">
      <w:pPr>
        <w:spacing w:line="480" w:lineRule="exact"/>
        <w:ind w:firstLine="480"/>
        <w:rPr>
          <w:u w:val="single"/>
        </w:rPr>
      </w:pPr>
      <w:r>
        <w:rPr>
          <w:rFonts w:hint="eastAsia"/>
          <w:u w:val="single"/>
        </w:rPr>
        <w:t>废气污染物排放量：</w:t>
      </w:r>
      <w:r>
        <w:rPr>
          <w:rFonts w:hint="eastAsia"/>
          <w:u w:val="single"/>
        </w:rPr>
        <w:t>VOCs1.1809</w:t>
      </w:r>
      <w:r>
        <w:rPr>
          <w:u w:val="single"/>
        </w:rPr>
        <w:t>t/a</w:t>
      </w:r>
      <w:r>
        <w:rPr>
          <w:rFonts w:hint="eastAsia"/>
          <w:u w:val="single"/>
        </w:rPr>
        <w:t>（有组织</w:t>
      </w:r>
      <w:r>
        <w:rPr>
          <w:rFonts w:hint="eastAsia"/>
          <w:u w:val="single"/>
        </w:rPr>
        <w:t>0.651t/a</w:t>
      </w:r>
      <w:r>
        <w:rPr>
          <w:rFonts w:hint="eastAsia"/>
          <w:u w:val="single"/>
        </w:rPr>
        <w:t>，无组织</w:t>
      </w:r>
      <w:r>
        <w:rPr>
          <w:rFonts w:hint="eastAsia"/>
          <w:u w:val="single"/>
        </w:rPr>
        <w:t>0.5299t/a</w:t>
      </w:r>
      <w:r>
        <w:rPr>
          <w:rFonts w:hint="eastAsia"/>
          <w:u w:val="single"/>
        </w:rPr>
        <w:t>）</w:t>
      </w:r>
    </w:p>
    <w:p w:rsidR="00EE56C0" w:rsidRDefault="000F36A1">
      <w:pPr>
        <w:spacing w:line="480" w:lineRule="exact"/>
        <w:ind w:firstLine="480"/>
        <w:rPr>
          <w:u w:val="single"/>
        </w:rPr>
      </w:pPr>
      <w:r>
        <w:rPr>
          <w:rFonts w:hint="eastAsia"/>
          <w:u w:val="single"/>
        </w:rPr>
        <w:lastRenderedPageBreak/>
        <w:t>（</w:t>
      </w:r>
      <w:r>
        <w:rPr>
          <w:rFonts w:hint="eastAsia"/>
          <w:u w:val="single"/>
        </w:rPr>
        <w:t>2</w:t>
      </w:r>
      <w:r>
        <w:rPr>
          <w:rFonts w:hint="eastAsia"/>
          <w:u w:val="single"/>
        </w:rPr>
        <w:t>）二期工程</w:t>
      </w:r>
    </w:p>
    <w:p w:rsidR="00EE56C0" w:rsidRDefault="000F36A1">
      <w:pPr>
        <w:spacing w:line="480" w:lineRule="exact"/>
        <w:ind w:firstLine="480"/>
        <w:rPr>
          <w:u w:val="single"/>
        </w:rPr>
      </w:pPr>
      <w:r>
        <w:rPr>
          <w:rFonts w:hint="eastAsia"/>
          <w:u w:val="single"/>
        </w:rPr>
        <w:t>废气污染物排放量：</w:t>
      </w:r>
      <w:r>
        <w:rPr>
          <w:rFonts w:hint="eastAsia"/>
          <w:u w:val="single"/>
        </w:rPr>
        <w:t>VOCs2.0171t/a</w:t>
      </w:r>
      <w:r>
        <w:rPr>
          <w:rFonts w:hint="eastAsia"/>
          <w:u w:val="single"/>
        </w:rPr>
        <w:t>（有组织</w:t>
      </w:r>
      <w:r>
        <w:rPr>
          <w:rFonts w:hint="eastAsia"/>
          <w:u w:val="single"/>
        </w:rPr>
        <w:t>0.6042t/a</w:t>
      </w:r>
      <w:r>
        <w:rPr>
          <w:rFonts w:hint="eastAsia"/>
          <w:u w:val="single"/>
        </w:rPr>
        <w:t>，无组织</w:t>
      </w:r>
      <w:r>
        <w:rPr>
          <w:rFonts w:hint="eastAsia"/>
          <w:u w:val="single"/>
        </w:rPr>
        <w:t>1.4128t/a</w:t>
      </w:r>
      <w:r>
        <w:rPr>
          <w:rFonts w:hint="eastAsia"/>
          <w:u w:val="single"/>
        </w:rPr>
        <w:t>）。</w:t>
      </w:r>
    </w:p>
    <w:p w:rsidR="00EE56C0" w:rsidRDefault="000F36A1">
      <w:pPr>
        <w:spacing w:line="480" w:lineRule="exact"/>
        <w:ind w:firstLine="480"/>
        <w:rPr>
          <w:u w:val="single"/>
        </w:rPr>
      </w:pPr>
      <w:r>
        <w:rPr>
          <w:rFonts w:hint="eastAsia"/>
          <w:u w:val="single"/>
        </w:rPr>
        <w:t>（</w:t>
      </w:r>
      <w:r>
        <w:rPr>
          <w:rFonts w:hint="eastAsia"/>
          <w:u w:val="single"/>
        </w:rPr>
        <w:t>3</w:t>
      </w:r>
      <w:r>
        <w:rPr>
          <w:rFonts w:hint="eastAsia"/>
          <w:u w:val="single"/>
        </w:rPr>
        <w:t>）项目达产后</w:t>
      </w:r>
    </w:p>
    <w:p w:rsidR="00EE56C0" w:rsidRDefault="000F36A1">
      <w:pPr>
        <w:spacing w:line="480" w:lineRule="exact"/>
        <w:ind w:firstLine="480"/>
        <w:rPr>
          <w:highlight w:val="yellow"/>
          <w:u w:val="single"/>
        </w:rPr>
      </w:pPr>
      <w:r>
        <w:rPr>
          <w:rFonts w:hint="eastAsia"/>
          <w:u w:val="single"/>
        </w:rPr>
        <w:t>项目达产后，废气污染物的排放情况：</w:t>
      </w:r>
      <w:r>
        <w:rPr>
          <w:rFonts w:hint="eastAsia"/>
          <w:u w:val="single"/>
        </w:rPr>
        <w:t>VOCs3.198t/a</w:t>
      </w:r>
      <w:r>
        <w:rPr>
          <w:rFonts w:hint="eastAsia"/>
          <w:u w:val="single"/>
        </w:rPr>
        <w:t>（有组织</w:t>
      </w:r>
      <w:r>
        <w:rPr>
          <w:rFonts w:hint="eastAsia"/>
          <w:u w:val="single"/>
        </w:rPr>
        <w:t>1.2552t/a</w:t>
      </w:r>
      <w:r>
        <w:rPr>
          <w:rFonts w:hint="eastAsia"/>
          <w:u w:val="single"/>
        </w:rPr>
        <w:t>，无组织</w:t>
      </w:r>
      <w:r>
        <w:rPr>
          <w:rFonts w:hint="eastAsia"/>
          <w:u w:val="single"/>
        </w:rPr>
        <w:t>1.9428t/a</w:t>
      </w:r>
      <w:r>
        <w:rPr>
          <w:rFonts w:hint="eastAsia"/>
          <w:u w:val="single"/>
        </w:rPr>
        <w:t>）。</w:t>
      </w:r>
    </w:p>
    <w:p w:rsidR="00EE56C0" w:rsidRDefault="000F36A1">
      <w:pPr>
        <w:spacing w:line="480" w:lineRule="exact"/>
        <w:ind w:firstLine="480"/>
        <w:rPr>
          <w:u w:val="single"/>
        </w:rPr>
      </w:pPr>
      <w:r>
        <w:rPr>
          <w:rFonts w:hint="eastAsia"/>
          <w:u w:val="single"/>
        </w:rPr>
        <w:t>通过现有工程以新带老措施，现有工程</w:t>
      </w:r>
      <w:r>
        <w:rPr>
          <w:rFonts w:hint="eastAsia"/>
          <w:u w:val="single"/>
        </w:rPr>
        <w:t>VOCs</w:t>
      </w:r>
      <w:r>
        <w:rPr>
          <w:rFonts w:hint="eastAsia"/>
          <w:u w:val="single"/>
        </w:rPr>
        <w:t>削减量为</w:t>
      </w:r>
      <w:r>
        <w:rPr>
          <w:rFonts w:hint="eastAsia"/>
          <w:u w:val="single"/>
        </w:rPr>
        <w:t>2.0914</w:t>
      </w:r>
      <w:r>
        <w:rPr>
          <w:u w:val="single"/>
        </w:rPr>
        <w:t>t/a</w:t>
      </w:r>
      <w:r>
        <w:rPr>
          <w:rFonts w:hint="eastAsia"/>
          <w:u w:val="single"/>
        </w:rPr>
        <w:t>，本项目新增</w:t>
      </w:r>
      <w:r>
        <w:rPr>
          <w:rFonts w:hint="eastAsia"/>
          <w:u w:val="single"/>
        </w:rPr>
        <w:t>VOCs</w:t>
      </w:r>
      <w:r>
        <w:rPr>
          <w:rFonts w:hint="eastAsia"/>
          <w:u w:val="single"/>
        </w:rPr>
        <w:t>从以新削减量中替代后，新增</w:t>
      </w:r>
      <w:r>
        <w:rPr>
          <w:rFonts w:hint="eastAsia"/>
          <w:u w:val="single"/>
        </w:rPr>
        <w:t>VOCs1.1066</w:t>
      </w:r>
      <w:r>
        <w:rPr>
          <w:u w:val="single"/>
        </w:rPr>
        <w:t>t/a</w:t>
      </w:r>
      <w:r>
        <w:rPr>
          <w:rFonts w:hint="eastAsia"/>
          <w:u w:val="single"/>
        </w:rPr>
        <w:t>。</w:t>
      </w:r>
    </w:p>
    <w:p w:rsidR="00EE56C0" w:rsidRDefault="000F36A1">
      <w:pPr>
        <w:spacing w:line="500" w:lineRule="exact"/>
        <w:ind w:firstLine="482"/>
        <w:rPr>
          <w:b/>
          <w:u w:val="single"/>
        </w:rPr>
      </w:pPr>
      <w:r>
        <w:rPr>
          <w:rFonts w:hint="eastAsia"/>
          <w:b/>
          <w:u w:val="single"/>
        </w:rPr>
        <w:t>废气污染物替代方案：</w:t>
      </w:r>
    </w:p>
    <w:p w:rsidR="00EE56C0" w:rsidRDefault="000F36A1">
      <w:pPr>
        <w:pStyle w:val="aff4"/>
        <w:rPr>
          <w:u w:val="single"/>
        </w:rPr>
      </w:pPr>
      <w:r>
        <w:rPr>
          <w:rFonts w:hint="eastAsia"/>
          <w:u w:val="single"/>
        </w:rPr>
        <w:t>该项目新增大气污染物排放量为：</w:t>
      </w:r>
      <w:r>
        <w:rPr>
          <w:rFonts w:hint="eastAsia"/>
          <w:u w:val="single"/>
        </w:rPr>
        <w:t>VOCs1.1066t/a</w:t>
      </w:r>
      <w:r>
        <w:rPr>
          <w:rFonts w:hint="eastAsia"/>
          <w:u w:val="single"/>
        </w:rPr>
        <w:t>。经双倍替代后所需替代量为：</w:t>
      </w:r>
      <w:r>
        <w:rPr>
          <w:rFonts w:hint="eastAsia"/>
          <w:u w:val="single"/>
        </w:rPr>
        <w:t>VOCs2.2132t/a</w:t>
      </w:r>
      <w:r w:rsidR="00971E69">
        <w:rPr>
          <w:rFonts w:hint="eastAsia"/>
          <w:u w:val="single"/>
        </w:rPr>
        <w:t>，</w:t>
      </w:r>
      <w:r>
        <w:rPr>
          <w:rFonts w:hint="eastAsia"/>
          <w:u w:val="single"/>
        </w:rPr>
        <w:t>拟从</w:t>
      </w:r>
      <w:r w:rsidR="00971E69" w:rsidRPr="00971E69">
        <w:rPr>
          <w:rFonts w:hint="eastAsia"/>
          <w:color w:val="000000"/>
          <w:u w:val="single"/>
        </w:rPr>
        <w:t>河南粮好仓储设备科技有限公司拆除喷漆房产生的减排量剩余量</w:t>
      </w:r>
      <w:r w:rsidR="00971E69" w:rsidRPr="00971E69">
        <w:rPr>
          <w:rFonts w:hint="eastAsia"/>
          <w:color w:val="000000"/>
          <w:u w:val="single"/>
        </w:rPr>
        <w:t>17.2116t</w:t>
      </w:r>
      <w:r w:rsidR="00971E69" w:rsidRPr="00971E69">
        <w:rPr>
          <w:rFonts w:hint="eastAsia"/>
          <w:color w:val="000000"/>
          <w:u w:val="single"/>
        </w:rPr>
        <w:t>中</w:t>
      </w:r>
      <w:r w:rsidR="00971E69" w:rsidRPr="00971E69">
        <w:rPr>
          <w:bCs/>
          <w:color w:val="000000"/>
          <w:u w:val="single"/>
        </w:rPr>
        <w:t>调剂给本项目</w:t>
      </w:r>
      <w:r w:rsidR="00971E69" w:rsidRPr="00971E69">
        <w:rPr>
          <w:rFonts w:hint="eastAsia"/>
          <w:color w:val="000000"/>
          <w:u w:val="single"/>
        </w:rPr>
        <w:t>VOC2.2132t/a</w:t>
      </w:r>
      <w:r w:rsidR="00971E69" w:rsidRPr="00971E69">
        <w:rPr>
          <w:bCs/>
          <w:color w:val="000000"/>
          <w:u w:val="single"/>
        </w:rPr>
        <w:t>作为替代量</w:t>
      </w:r>
      <w:r w:rsidR="00971E69">
        <w:rPr>
          <w:rFonts w:hint="eastAsia"/>
          <w:bCs/>
          <w:color w:val="000000"/>
        </w:rPr>
        <w:t>。</w:t>
      </w:r>
    </w:p>
    <w:p w:rsidR="00EE56C0" w:rsidRDefault="000F36A1">
      <w:pPr>
        <w:pStyle w:val="2"/>
        <w:numPr>
          <w:ilvl w:val="1"/>
          <w:numId w:val="2"/>
        </w:numPr>
        <w:ind w:left="0" w:firstLine="301"/>
      </w:pPr>
      <w:r>
        <w:rPr>
          <w:rFonts w:hint="eastAsia"/>
        </w:rPr>
        <w:t>本项目清洁生产分析</w:t>
      </w:r>
      <w:bookmarkEnd w:id="206"/>
    </w:p>
    <w:p w:rsidR="00EE56C0" w:rsidRDefault="000F36A1">
      <w:pPr>
        <w:pStyle w:val="3"/>
        <w:spacing w:before="240" w:after="120"/>
      </w:pPr>
      <w:r>
        <w:rPr>
          <w:rFonts w:hint="eastAsia"/>
        </w:rPr>
        <w:t>3.10.1</w:t>
      </w:r>
      <w:r>
        <w:rPr>
          <w:rFonts w:hint="eastAsia"/>
        </w:rPr>
        <w:t>清洁生产的意义</w:t>
      </w:r>
    </w:p>
    <w:p w:rsidR="00EE56C0" w:rsidRDefault="000F36A1">
      <w:pPr>
        <w:ind w:firstLine="480"/>
      </w:pPr>
      <w:r>
        <w:rPr>
          <w:rFonts w:hint="eastAsia"/>
        </w:rPr>
        <w:t>《中华人民共和国清洁生产促进法》中指出清洁生产是指不断采取改进设计、使用清洁的能源和原料、采用先进的工艺技术与设备、改善管理、综合利用等措施，从源头削减污染，提高资源利用效率，减少或者避免生产、服务和产品使用过程中污染物的产生和排放，以减轻或者消除对人类健康和环境的危害。清洁生产的核心是从源头抓起，预防为主，生产全过程控制，实现经济效益和环境效益的统一。清洁生产涉及的范围很广，从改善日常管理的简单措施到原材料的变更，从工艺设计的选择到新设备的更换，都是清洁生产所包括的内容。</w:t>
      </w:r>
    </w:p>
    <w:p w:rsidR="00EE56C0" w:rsidRDefault="000F36A1">
      <w:pPr>
        <w:pStyle w:val="3"/>
        <w:spacing w:before="240" w:after="120"/>
      </w:pPr>
      <w:r>
        <w:rPr>
          <w:rFonts w:hint="eastAsia"/>
        </w:rPr>
        <w:t>3.10.2</w:t>
      </w:r>
      <w:r>
        <w:rPr>
          <w:rFonts w:hint="eastAsia"/>
        </w:rPr>
        <w:t>本项目清洁生产分析</w:t>
      </w:r>
    </w:p>
    <w:p w:rsidR="00EE56C0" w:rsidRDefault="000F36A1">
      <w:pPr>
        <w:pStyle w:val="4"/>
        <w:ind w:left="120" w:firstLine="241"/>
      </w:pPr>
      <w:r>
        <w:rPr>
          <w:rFonts w:hint="eastAsia"/>
        </w:rPr>
        <w:t>3.10.1.1</w:t>
      </w:r>
      <w:r>
        <w:rPr>
          <w:rFonts w:hint="eastAsia"/>
        </w:rPr>
        <w:t>清洁生产评价方法</w:t>
      </w:r>
    </w:p>
    <w:p w:rsidR="00EE56C0" w:rsidRDefault="000F36A1">
      <w:pPr>
        <w:ind w:firstLine="480"/>
      </w:pPr>
      <w:bookmarkStart w:id="207" w:name="_Toc429318404"/>
      <w:bookmarkStart w:id="208" w:name="_Toc428286860"/>
      <w:bookmarkStart w:id="209" w:name="_Toc428287221"/>
      <w:bookmarkEnd w:id="170"/>
      <w:r>
        <w:rPr>
          <w:rFonts w:hint="eastAsia"/>
        </w:rPr>
        <w:t>本项目属于漆包线行业，含浸漆及烘干工序，即将漆料涂覆于线材表面形成具有绝缘性等特定功能涂层的过程。</w:t>
      </w:r>
    </w:p>
    <w:p w:rsidR="00EE56C0" w:rsidRDefault="000F36A1">
      <w:pPr>
        <w:ind w:firstLine="480"/>
      </w:pPr>
      <w:r>
        <w:rPr>
          <w:rFonts w:hint="eastAsia"/>
        </w:rPr>
        <w:t>国家发展和改革委员会、环境保护部会同工业和信息化部</w:t>
      </w:r>
      <w:r>
        <w:rPr>
          <w:rFonts w:hint="eastAsia"/>
        </w:rPr>
        <w:t>2016</w:t>
      </w:r>
      <w:r>
        <w:rPr>
          <w:rFonts w:hint="eastAsia"/>
        </w:rPr>
        <w:t>年</w:t>
      </w:r>
      <w:r>
        <w:rPr>
          <w:rFonts w:hint="eastAsia"/>
        </w:rPr>
        <w:t>10</w:t>
      </w:r>
      <w:r>
        <w:rPr>
          <w:rFonts w:hint="eastAsia"/>
        </w:rPr>
        <w:t>月</w:t>
      </w:r>
      <w:r>
        <w:rPr>
          <w:rFonts w:hint="eastAsia"/>
        </w:rPr>
        <w:t>8</w:t>
      </w:r>
      <w:r>
        <w:rPr>
          <w:rFonts w:hint="eastAsia"/>
        </w:rPr>
        <w:t>日</w:t>
      </w:r>
      <w:r>
        <w:rPr>
          <w:rFonts w:hint="eastAsia"/>
        </w:rPr>
        <w:lastRenderedPageBreak/>
        <w:t>联合发布了《涂装行业清洁生产评价指标体系》（</w:t>
      </w:r>
      <w:r>
        <w:rPr>
          <w:rFonts w:hint="eastAsia"/>
        </w:rPr>
        <w:t>2016</w:t>
      </w:r>
      <w:r>
        <w:rPr>
          <w:rFonts w:hint="eastAsia"/>
        </w:rPr>
        <w:t>年</w:t>
      </w:r>
      <w:r>
        <w:rPr>
          <w:rFonts w:hint="eastAsia"/>
        </w:rPr>
        <w:t xml:space="preserve"> </w:t>
      </w:r>
      <w:r>
        <w:rPr>
          <w:rFonts w:hint="eastAsia"/>
        </w:rPr>
        <w:t>第</w:t>
      </w:r>
      <w:r>
        <w:rPr>
          <w:rFonts w:hint="eastAsia"/>
        </w:rPr>
        <w:t>21</w:t>
      </w:r>
      <w:r>
        <w:rPr>
          <w:rFonts w:hint="eastAsia"/>
        </w:rPr>
        <w:t>号）。本指标体系适用于汽车及其零部件、机电、家具（铁质）、工程机械等行业的有序涂装</w:t>
      </w:r>
    </w:p>
    <w:p w:rsidR="00EE56C0" w:rsidRDefault="000F36A1">
      <w:pPr>
        <w:ind w:firstLineChars="0" w:firstLine="0"/>
        <w:rPr>
          <w:rFonts w:hAnsi="宋体"/>
        </w:rPr>
      </w:pPr>
      <w:r>
        <w:rPr>
          <w:rFonts w:hint="eastAsia"/>
        </w:rPr>
        <w:t>生产，当建筑、木器、卷材等行业组织有序涂装生产时，可参考本指标体系执行。本项目是在线材表面涂覆漆料，形成绝缘层。因此，本项目对比《涂装行业清洁生产评价指标体系》进行分析，选取生产工艺与设备要求、资源和能源消耗指标、资源综合利用指标、污染物产生指标和清洁生产环境管理指标与标准进行比较分析。</w:t>
      </w:r>
    </w:p>
    <w:p w:rsidR="00EE56C0" w:rsidRDefault="000F36A1">
      <w:pPr>
        <w:pStyle w:val="4"/>
        <w:ind w:left="120" w:firstLine="241"/>
      </w:pPr>
      <w:r>
        <w:rPr>
          <w:rFonts w:hint="eastAsia"/>
        </w:rPr>
        <w:t>3.10.1.2</w:t>
      </w:r>
      <w:r>
        <w:rPr>
          <w:rFonts w:hint="eastAsia"/>
        </w:rPr>
        <w:t>清洁生产评价指标</w:t>
      </w:r>
    </w:p>
    <w:p w:rsidR="00EE56C0" w:rsidRDefault="000F36A1">
      <w:pPr>
        <w:ind w:firstLine="480"/>
        <w:rPr>
          <w:highlight w:val="yellow"/>
        </w:rPr>
        <w:sectPr w:rsidR="00EE56C0">
          <w:pgSz w:w="11906" w:h="16838"/>
          <w:pgMar w:top="1440" w:right="1797" w:bottom="1440" w:left="1797" w:header="851" w:footer="992" w:gutter="0"/>
          <w:cols w:space="720"/>
          <w:docGrid w:linePitch="312"/>
        </w:sectPr>
      </w:pPr>
      <w:r>
        <w:rPr>
          <w:rFonts w:hint="eastAsia"/>
        </w:rPr>
        <w:t>本项目含浸漆及烘干工序，因此本项目与涂装行业喷漆（涂覆）评价指标要求对比分析见表</w:t>
      </w:r>
      <w:r>
        <w:rPr>
          <w:rFonts w:hint="eastAsia"/>
        </w:rPr>
        <w:t>3-35</w:t>
      </w:r>
      <w:r>
        <w:rPr>
          <w:rFonts w:hint="eastAsia"/>
        </w:rPr>
        <w:t>，与清洁生产管理评价指标要求对比分析见下表</w:t>
      </w:r>
      <w:r>
        <w:t>。</w:t>
      </w:r>
    </w:p>
    <w:p w:rsidR="00EE56C0" w:rsidRDefault="000F36A1">
      <w:pPr>
        <w:pStyle w:val="afd"/>
        <w:spacing w:before="120" w:after="120"/>
        <w:ind w:firstLine="482"/>
      </w:pPr>
      <w:r>
        <w:rPr>
          <w:rFonts w:hint="eastAsia"/>
        </w:rPr>
        <w:lastRenderedPageBreak/>
        <w:t>表</w:t>
      </w:r>
      <w:r>
        <w:rPr>
          <w:rFonts w:hint="eastAsia"/>
        </w:rPr>
        <w:t>3-7</w:t>
      </w:r>
      <w:r w:rsidR="00702FE4">
        <w:rPr>
          <w:rFonts w:hint="eastAsia"/>
        </w:rPr>
        <w:t>4</w:t>
      </w:r>
      <w:r>
        <w:rPr>
          <w:rFonts w:hint="eastAsia"/>
        </w:rPr>
        <w:t xml:space="preserve">                       </w:t>
      </w:r>
      <w:r>
        <w:rPr>
          <w:rFonts w:hint="eastAsia"/>
        </w:rPr>
        <w:t>喷漆（涂覆）评价指标项目、权重及基准值一览表</w:t>
      </w:r>
    </w:p>
    <w:tbl>
      <w:tblPr>
        <w:tblW w:w="4995"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tblPr>
      <w:tblGrid>
        <w:gridCol w:w="818"/>
        <w:gridCol w:w="984"/>
        <w:gridCol w:w="851"/>
        <w:gridCol w:w="850"/>
        <w:gridCol w:w="993"/>
        <w:gridCol w:w="850"/>
        <w:gridCol w:w="992"/>
        <w:gridCol w:w="1276"/>
        <w:gridCol w:w="1134"/>
        <w:gridCol w:w="1418"/>
        <w:gridCol w:w="1275"/>
        <w:gridCol w:w="2010"/>
        <w:gridCol w:w="709"/>
      </w:tblGrid>
      <w:tr w:rsidR="00EE56C0">
        <w:trPr>
          <w:cantSplit/>
          <w:trHeight w:val="397"/>
          <w:tblHeader/>
          <w:jc w:val="center"/>
        </w:trPr>
        <w:tc>
          <w:tcPr>
            <w:tcW w:w="818" w:type="dxa"/>
            <w:vAlign w:val="center"/>
          </w:tcPr>
          <w:p w:rsidR="00EE56C0" w:rsidRDefault="000F36A1">
            <w:pPr>
              <w:adjustRightInd/>
              <w:snapToGrid/>
              <w:spacing w:line="240" w:lineRule="auto"/>
              <w:ind w:firstLineChars="0" w:firstLine="0"/>
              <w:jc w:val="center"/>
              <w:textAlignment w:val="auto"/>
              <w:rPr>
                <w:b/>
                <w:bCs/>
                <w:kern w:val="2"/>
                <w:sz w:val="21"/>
                <w:szCs w:val="21"/>
              </w:rPr>
            </w:pPr>
            <w:r>
              <w:rPr>
                <w:b/>
                <w:bCs/>
                <w:kern w:val="2"/>
                <w:sz w:val="21"/>
                <w:szCs w:val="21"/>
              </w:rPr>
              <w:t>序号</w:t>
            </w:r>
          </w:p>
        </w:tc>
        <w:tc>
          <w:tcPr>
            <w:tcW w:w="984" w:type="dxa"/>
            <w:vAlign w:val="center"/>
          </w:tcPr>
          <w:p w:rsidR="00EE56C0" w:rsidRDefault="000F36A1">
            <w:pPr>
              <w:adjustRightInd/>
              <w:snapToGrid/>
              <w:spacing w:line="240" w:lineRule="auto"/>
              <w:ind w:firstLineChars="0" w:firstLine="0"/>
              <w:jc w:val="center"/>
              <w:textAlignment w:val="auto"/>
              <w:rPr>
                <w:b/>
                <w:bCs/>
                <w:kern w:val="2"/>
                <w:sz w:val="21"/>
                <w:szCs w:val="21"/>
              </w:rPr>
            </w:pPr>
            <w:r>
              <w:rPr>
                <w:b/>
                <w:bCs/>
                <w:kern w:val="2"/>
                <w:sz w:val="21"/>
                <w:szCs w:val="21"/>
              </w:rPr>
              <w:t>一级</w:t>
            </w:r>
          </w:p>
          <w:p w:rsidR="00EE56C0" w:rsidRDefault="000F36A1">
            <w:pPr>
              <w:adjustRightInd/>
              <w:snapToGrid/>
              <w:spacing w:line="240" w:lineRule="auto"/>
              <w:ind w:firstLineChars="0" w:firstLine="0"/>
              <w:jc w:val="center"/>
              <w:textAlignment w:val="auto"/>
              <w:rPr>
                <w:b/>
                <w:bCs/>
                <w:kern w:val="2"/>
                <w:sz w:val="21"/>
                <w:szCs w:val="21"/>
              </w:rPr>
            </w:pPr>
            <w:r>
              <w:rPr>
                <w:b/>
                <w:bCs/>
                <w:kern w:val="2"/>
                <w:sz w:val="21"/>
                <w:szCs w:val="21"/>
              </w:rPr>
              <w:t>指标</w:t>
            </w:r>
          </w:p>
        </w:tc>
        <w:tc>
          <w:tcPr>
            <w:tcW w:w="851" w:type="dxa"/>
            <w:vAlign w:val="center"/>
          </w:tcPr>
          <w:p w:rsidR="00EE56C0" w:rsidRDefault="000F36A1">
            <w:pPr>
              <w:adjustRightInd/>
              <w:snapToGrid/>
              <w:spacing w:line="240" w:lineRule="auto"/>
              <w:ind w:firstLineChars="0" w:firstLine="0"/>
              <w:jc w:val="center"/>
              <w:textAlignment w:val="auto"/>
              <w:rPr>
                <w:b/>
                <w:bCs/>
                <w:kern w:val="2"/>
                <w:sz w:val="21"/>
                <w:szCs w:val="21"/>
              </w:rPr>
            </w:pPr>
            <w:r>
              <w:rPr>
                <w:b/>
                <w:bCs/>
                <w:kern w:val="2"/>
                <w:sz w:val="21"/>
                <w:szCs w:val="21"/>
              </w:rPr>
              <w:t>一级指标权重</w:t>
            </w:r>
          </w:p>
        </w:tc>
        <w:tc>
          <w:tcPr>
            <w:tcW w:w="1843" w:type="dxa"/>
            <w:gridSpan w:val="2"/>
            <w:vAlign w:val="center"/>
          </w:tcPr>
          <w:p w:rsidR="00EE56C0" w:rsidRDefault="000F36A1">
            <w:pPr>
              <w:adjustRightInd/>
              <w:snapToGrid/>
              <w:spacing w:line="240" w:lineRule="auto"/>
              <w:ind w:firstLineChars="0" w:firstLine="0"/>
              <w:jc w:val="center"/>
              <w:textAlignment w:val="auto"/>
              <w:rPr>
                <w:b/>
                <w:bCs/>
                <w:kern w:val="2"/>
                <w:sz w:val="21"/>
                <w:szCs w:val="21"/>
              </w:rPr>
            </w:pPr>
            <w:r>
              <w:rPr>
                <w:b/>
                <w:bCs/>
                <w:kern w:val="2"/>
                <w:sz w:val="21"/>
                <w:szCs w:val="21"/>
              </w:rPr>
              <w:t>二级指标</w:t>
            </w:r>
          </w:p>
        </w:tc>
        <w:tc>
          <w:tcPr>
            <w:tcW w:w="850" w:type="dxa"/>
            <w:vAlign w:val="center"/>
          </w:tcPr>
          <w:p w:rsidR="00EE56C0" w:rsidRDefault="000F36A1">
            <w:pPr>
              <w:adjustRightInd/>
              <w:snapToGrid/>
              <w:spacing w:line="240" w:lineRule="auto"/>
              <w:ind w:firstLineChars="0" w:firstLine="0"/>
              <w:jc w:val="center"/>
              <w:textAlignment w:val="auto"/>
              <w:rPr>
                <w:b/>
                <w:bCs/>
                <w:kern w:val="2"/>
                <w:sz w:val="21"/>
                <w:szCs w:val="21"/>
              </w:rPr>
            </w:pPr>
            <w:r>
              <w:rPr>
                <w:b/>
                <w:bCs/>
                <w:kern w:val="2"/>
                <w:sz w:val="21"/>
                <w:szCs w:val="21"/>
              </w:rPr>
              <w:t>单位</w:t>
            </w:r>
          </w:p>
        </w:tc>
        <w:tc>
          <w:tcPr>
            <w:tcW w:w="992" w:type="dxa"/>
            <w:vAlign w:val="center"/>
          </w:tcPr>
          <w:p w:rsidR="00EE56C0" w:rsidRDefault="000F36A1">
            <w:pPr>
              <w:adjustRightInd/>
              <w:snapToGrid/>
              <w:spacing w:line="240" w:lineRule="auto"/>
              <w:ind w:firstLineChars="0" w:firstLine="0"/>
              <w:jc w:val="center"/>
              <w:textAlignment w:val="auto"/>
              <w:rPr>
                <w:b/>
                <w:bCs/>
                <w:kern w:val="2"/>
                <w:sz w:val="21"/>
                <w:szCs w:val="21"/>
              </w:rPr>
            </w:pPr>
            <w:r>
              <w:rPr>
                <w:b/>
                <w:bCs/>
                <w:kern w:val="2"/>
                <w:sz w:val="21"/>
                <w:szCs w:val="21"/>
              </w:rPr>
              <w:t>二级指标权重分值</w:t>
            </w:r>
          </w:p>
        </w:tc>
        <w:tc>
          <w:tcPr>
            <w:tcW w:w="2410" w:type="dxa"/>
            <w:gridSpan w:val="2"/>
            <w:vAlign w:val="center"/>
          </w:tcPr>
          <w:p w:rsidR="00EE56C0" w:rsidRDefault="000F36A1">
            <w:pPr>
              <w:adjustRightInd/>
              <w:snapToGrid/>
              <w:spacing w:line="240" w:lineRule="auto"/>
              <w:ind w:firstLineChars="0" w:firstLine="0"/>
              <w:jc w:val="center"/>
              <w:textAlignment w:val="auto"/>
              <w:rPr>
                <w:b/>
                <w:bCs/>
                <w:kern w:val="2"/>
                <w:sz w:val="21"/>
                <w:szCs w:val="21"/>
              </w:rPr>
            </w:pPr>
            <w:r>
              <w:rPr>
                <w:rFonts w:ascii="宋体" w:hAnsi="宋体" w:cs="宋体" w:hint="eastAsia"/>
                <w:b/>
                <w:bCs/>
                <w:kern w:val="2"/>
                <w:sz w:val="21"/>
                <w:szCs w:val="21"/>
              </w:rPr>
              <w:t>Ⅰ</w:t>
            </w:r>
            <w:r>
              <w:rPr>
                <w:b/>
                <w:bCs/>
                <w:kern w:val="2"/>
                <w:sz w:val="21"/>
                <w:szCs w:val="21"/>
              </w:rPr>
              <w:t>级基准值</w:t>
            </w:r>
          </w:p>
        </w:tc>
        <w:tc>
          <w:tcPr>
            <w:tcW w:w="1418" w:type="dxa"/>
            <w:vAlign w:val="center"/>
          </w:tcPr>
          <w:p w:rsidR="00EE56C0" w:rsidRDefault="000F36A1">
            <w:pPr>
              <w:adjustRightInd/>
              <w:snapToGrid/>
              <w:spacing w:line="240" w:lineRule="auto"/>
              <w:ind w:firstLineChars="0" w:firstLine="0"/>
              <w:jc w:val="center"/>
              <w:textAlignment w:val="auto"/>
              <w:rPr>
                <w:b/>
                <w:bCs/>
                <w:kern w:val="2"/>
                <w:sz w:val="21"/>
                <w:szCs w:val="21"/>
              </w:rPr>
            </w:pPr>
            <w:r>
              <w:rPr>
                <w:rFonts w:ascii="宋体" w:hAnsi="宋体" w:cs="宋体" w:hint="eastAsia"/>
                <w:b/>
                <w:bCs/>
                <w:kern w:val="2"/>
                <w:sz w:val="21"/>
                <w:szCs w:val="21"/>
              </w:rPr>
              <w:t>Ⅱ</w:t>
            </w:r>
            <w:r>
              <w:rPr>
                <w:b/>
                <w:bCs/>
                <w:kern w:val="2"/>
                <w:sz w:val="21"/>
                <w:szCs w:val="21"/>
              </w:rPr>
              <w:t>级</w:t>
            </w:r>
          </w:p>
          <w:p w:rsidR="00EE56C0" w:rsidRDefault="000F36A1">
            <w:pPr>
              <w:adjustRightInd/>
              <w:snapToGrid/>
              <w:spacing w:line="240" w:lineRule="auto"/>
              <w:ind w:firstLineChars="0" w:firstLine="0"/>
              <w:jc w:val="center"/>
              <w:textAlignment w:val="auto"/>
              <w:rPr>
                <w:b/>
                <w:kern w:val="2"/>
                <w:sz w:val="21"/>
                <w:szCs w:val="21"/>
              </w:rPr>
            </w:pPr>
            <w:r>
              <w:rPr>
                <w:b/>
                <w:bCs/>
                <w:kern w:val="2"/>
                <w:sz w:val="21"/>
                <w:szCs w:val="21"/>
              </w:rPr>
              <w:t>基准值</w:t>
            </w:r>
          </w:p>
        </w:tc>
        <w:tc>
          <w:tcPr>
            <w:tcW w:w="1275" w:type="dxa"/>
            <w:vAlign w:val="center"/>
          </w:tcPr>
          <w:p w:rsidR="00EE56C0" w:rsidRDefault="000F36A1">
            <w:pPr>
              <w:adjustRightInd/>
              <w:snapToGrid/>
              <w:spacing w:line="240" w:lineRule="auto"/>
              <w:ind w:firstLineChars="0" w:firstLine="0"/>
              <w:jc w:val="center"/>
              <w:textAlignment w:val="auto"/>
              <w:rPr>
                <w:b/>
                <w:bCs/>
                <w:kern w:val="2"/>
                <w:sz w:val="21"/>
                <w:szCs w:val="21"/>
              </w:rPr>
            </w:pPr>
            <w:r>
              <w:rPr>
                <w:rFonts w:ascii="宋体" w:hAnsi="宋体" w:cs="宋体" w:hint="eastAsia"/>
                <w:b/>
                <w:bCs/>
                <w:kern w:val="2"/>
                <w:sz w:val="21"/>
                <w:szCs w:val="21"/>
              </w:rPr>
              <w:t>Ⅲ</w:t>
            </w:r>
            <w:r>
              <w:rPr>
                <w:b/>
                <w:bCs/>
                <w:kern w:val="2"/>
                <w:sz w:val="21"/>
                <w:szCs w:val="21"/>
              </w:rPr>
              <w:t>级</w:t>
            </w:r>
          </w:p>
          <w:p w:rsidR="00EE56C0" w:rsidRDefault="000F36A1">
            <w:pPr>
              <w:adjustRightInd/>
              <w:snapToGrid/>
              <w:spacing w:line="240" w:lineRule="auto"/>
              <w:ind w:firstLineChars="0" w:firstLine="0"/>
              <w:jc w:val="center"/>
              <w:textAlignment w:val="auto"/>
              <w:rPr>
                <w:b/>
                <w:kern w:val="2"/>
                <w:sz w:val="21"/>
                <w:szCs w:val="21"/>
              </w:rPr>
            </w:pPr>
            <w:r>
              <w:rPr>
                <w:b/>
                <w:bCs/>
                <w:kern w:val="2"/>
                <w:sz w:val="21"/>
                <w:szCs w:val="21"/>
              </w:rPr>
              <w:t>基准值</w:t>
            </w:r>
          </w:p>
        </w:tc>
        <w:tc>
          <w:tcPr>
            <w:tcW w:w="2010" w:type="dxa"/>
            <w:vAlign w:val="center"/>
          </w:tcPr>
          <w:p w:rsidR="00EE56C0" w:rsidRDefault="000F36A1">
            <w:pPr>
              <w:adjustRightInd/>
              <w:snapToGrid/>
              <w:spacing w:line="240" w:lineRule="auto"/>
              <w:ind w:firstLineChars="0" w:firstLine="0"/>
              <w:jc w:val="center"/>
              <w:textAlignment w:val="auto"/>
              <w:rPr>
                <w:b/>
                <w:kern w:val="2"/>
                <w:sz w:val="21"/>
                <w:szCs w:val="21"/>
              </w:rPr>
            </w:pPr>
            <w:r>
              <w:rPr>
                <w:b/>
                <w:kern w:val="2"/>
                <w:sz w:val="21"/>
                <w:szCs w:val="21"/>
              </w:rPr>
              <w:t>本项目</w:t>
            </w:r>
          </w:p>
          <w:p w:rsidR="00EE56C0" w:rsidRDefault="000F36A1">
            <w:pPr>
              <w:adjustRightInd/>
              <w:snapToGrid/>
              <w:spacing w:line="240" w:lineRule="auto"/>
              <w:ind w:firstLineChars="0" w:firstLine="0"/>
              <w:jc w:val="center"/>
              <w:textAlignment w:val="auto"/>
              <w:rPr>
                <w:b/>
                <w:kern w:val="2"/>
                <w:sz w:val="21"/>
                <w:szCs w:val="21"/>
              </w:rPr>
            </w:pPr>
            <w:r>
              <w:rPr>
                <w:b/>
                <w:kern w:val="2"/>
                <w:sz w:val="21"/>
                <w:szCs w:val="21"/>
              </w:rPr>
              <w:t>情况</w:t>
            </w:r>
          </w:p>
        </w:tc>
        <w:tc>
          <w:tcPr>
            <w:tcW w:w="709" w:type="dxa"/>
            <w:vAlign w:val="center"/>
          </w:tcPr>
          <w:p w:rsidR="00EE56C0" w:rsidRDefault="000F36A1">
            <w:pPr>
              <w:adjustRightInd/>
              <w:snapToGrid/>
              <w:spacing w:line="240" w:lineRule="auto"/>
              <w:ind w:firstLineChars="0" w:firstLine="0"/>
              <w:jc w:val="center"/>
              <w:textAlignment w:val="auto"/>
              <w:rPr>
                <w:b/>
                <w:kern w:val="2"/>
                <w:sz w:val="21"/>
                <w:szCs w:val="21"/>
              </w:rPr>
            </w:pPr>
            <w:r>
              <w:rPr>
                <w:b/>
                <w:kern w:val="2"/>
                <w:sz w:val="21"/>
                <w:szCs w:val="21"/>
              </w:rPr>
              <w:t>指标级别</w:t>
            </w:r>
          </w:p>
        </w:tc>
      </w:tr>
      <w:tr w:rsidR="005338D5" w:rsidTr="005338D5">
        <w:trPr>
          <w:cantSplit/>
          <w:trHeight w:val="3130"/>
          <w:tblHeader/>
          <w:jc w:val="center"/>
        </w:trPr>
        <w:tc>
          <w:tcPr>
            <w:tcW w:w="818" w:type="dxa"/>
            <w:vAlign w:val="center"/>
          </w:tcPr>
          <w:p w:rsidR="005338D5" w:rsidRDefault="005338D5" w:rsidP="005338D5">
            <w:pPr>
              <w:spacing w:line="240" w:lineRule="auto"/>
              <w:ind w:firstLineChars="0" w:firstLine="0"/>
              <w:jc w:val="center"/>
              <w:rPr>
                <w:bCs/>
                <w:kern w:val="2"/>
                <w:sz w:val="21"/>
                <w:szCs w:val="21"/>
              </w:rPr>
            </w:pPr>
            <w:r>
              <w:rPr>
                <w:rFonts w:hint="eastAsia"/>
                <w:bCs/>
                <w:kern w:val="2"/>
                <w:sz w:val="21"/>
                <w:szCs w:val="21"/>
              </w:rPr>
              <w:t>1</w:t>
            </w:r>
          </w:p>
        </w:tc>
        <w:tc>
          <w:tcPr>
            <w:tcW w:w="984" w:type="dxa"/>
            <w:vMerge w:val="restart"/>
            <w:vAlign w:val="center"/>
          </w:tcPr>
          <w:p w:rsidR="005338D5" w:rsidRDefault="005338D5">
            <w:pPr>
              <w:adjustRightInd/>
              <w:snapToGrid/>
              <w:spacing w:line="240" w:lineRule="auto"/>
              <w:ind w:firstLineChars="0" w:firstLine="0"/>
              <w:jc w:val="center"/>
              <w:textAlignment w:val="auto"/>
              <w:rPr>
                <w:bCs/>
                <w:kern w:val="2"/>
                <w:sz w:val="21"/>
                <w:szCs w:val="21"/>
              </w:rPr>
            </w:pPr>
            <w:r>
              <w:rPr>
                <w:bCs/>
                <w:kern w:val="2"/>
                <w:sz w:val="21"/>
                <w:szCs w:val="21"/>
              </w:rPr>
              <w:t>生产工艺及设备要求</w:t>
            </w:r>
          </w:p>
        </w:tc>
        <w:tc>
          <w:tcPr>
            <w:tcW w:w="851" w:type="dxa"/>
            <w:vMerge w:val="restart"/>
            <w:vAlign w:val="center"/>
          </w:tcPr>
          <w:p w:rsidR="005338D5" w:rsidRDefault="005338D5">
            <w:pPr>
              <w:adjustRightInd/>
              <w:snapToGrid/>
              <w:spacing w:line="240" w:lineRule="auto"/>
              <w:ind w:firstLineChars="0" w:firstLine="0"/>
              <w:jc w:val="center"/>
              <w:textAlignment w:val="auto"/>
              <w:rPr>
                <w:bCs/>
                <w:kern w:val="2"/>
                <w:sz w:val="21"/>
                <w:szCs w:val="21"/>
              </w:rPr>
            </w:pPr>
            <w:r>
              <w:rPr>
                <w:bCs/>
                <w:kern w:val="2"/>
                <w:sz w:val="21"/>
                <w:szCs w:val="21"/>
              </w:rPr>
              <w:t>0.6</w:t>
            </w:r>
          </w:p>
        </w:tc>
        <w:tc>
          <w:tcPr>
            <w:tcW w:w="850" w:type="dxa"/>
            <w:vMerge w:val="restart"/>
            <w:vAlign w:val="center"/>
          </w:tcPr>
          <w:p w:rsidR="005338D5" w:rsidRDefault="005338D5">
            <w:pPr>
              <w:adjustRightInd/>
              <w:snapToGrid/>
              <w:spacing w:line="240" w:lineRule="auto"/>
              <w:ind w:firstLineChars="0" w:firstLine="0"/>
              <w:jc w:val="center"/>
              <w:textAlignment w:val="auto"/>
              <w:rPr>
                <w:bCs/>
                <w:kern w:val="2"/>
                <w:sz w:val="21"/>
                <w:szCs w:val="21"/>
              </w:rPr>
            </w:pPr>
            <w:r>
              <w:rPr>
                <w:bCs/>
                <w:kern w:val="2"/>
                <w:sz w:val="21"/>
                <w:szCs w:val="21"/>
              </w:rPr>
              <w:t>底漆</w:t>
            </w:r>
          </w:p>
        </w:tc>
        <w:tc>
          <w:tcPr>
            <w:tcW w:w="993" w:type="dxa"/>
            <w:vAlign w:val="center"/>
          </w:tcPr>
          <w:p w:rsidR="005338D5" w:rsidRDefault="005338D5">
            <w:pPr>
              <w:widowControl/>
              <w:adjustRightInd/>
              <w:snapToGrid/>
              <w:spacing w:line="240" w:lineRule="auto"/>
              <w:ind w:firstLineChars="0" w:firstLine="0"/>
              <w:jc w:val="center"/>
              <w:textAlignment w:val="auto"/>
              <w:rPr>
                <w:sz w:val="21"/>
                <w:szCs w:val="21"/>
              </w:rPr>
            </w:pPr>
            <w:r>
              <w:rPr>
                <w:sz w:val="21"/>
                <w:szCs w:val="21"/>
              </w:rPr>
              <w:t>电泳漆</w:t>
            </w:r>
          </w:p>
          <w:p w:rsidR="005338D5" w:rsidRDefault="005338D5">
            <w:pPr>
              <w:widowControl/>
              <w:adjustRightInd/>
              <w:snapToGrid/>
              <w:spacing w:line="240" w:lineRule="auto"/>
              <w:ind w:firstLineChars="0" w:firstLine="0"/>
              <w:jc w:val="center"/>
              <w:textAlignment w:val="auto"/>
              <w:rPr>
                <w:sz w:val="21"/>
                <w:szCs w:val="21"/>
              </w:rPr>
            </w:pPr>
            <w:r>
              <w:rPr>
                <w:rFonts w:hint="eastAsia"/>
                <w:sz w:val="21"/>
                <w:szCs w:val="21"/>
              </w:rPr>
              <w:t>自</w:t>
            </w:r>
            <w:r>
              <w:rPr>
                <w:sz w:val="21"/>
                <w:szCs w:val="21"/>
              </w:rPr>
              <w:t>泳漆</w:t>
            </w:r>
          </w:p>
          <w:p w:rsidR="005338D5" w:rsidRDefault="005338D5">
            <w:pPr>
              <w:adjustRightInd/>
              <w:snapToGrid/>
              <w:spacing w:line="240" w:lineRule="auto"/>
              <w:ind w:firstLineChars="0" w:firstLine="0"/>
              <w:jc w:val="center"/>
              <w:textAlignment w:val="auto"/>
              <w:rPr>
                <w:bCs/>
                <w:kern w:val="2"/>
                <w:sz w:val="21"/>
                <w:szCs w:val="21"/>
              </w:rPr>
            </w:pPr>
            <w:r>
              <w:rPr>
                <w:sz w:val="21"/>
                <w:szCs w:val="21"/>
              </w:rPr>
              <w:t>喷漆（涂覆）</w:t>
            </w:r>
          </w:p>
        </w:tc>
        <w:tc>
          <w:tcPr>
            <w:tcW w:w="850" w:type="dxa"/>
            <w:vAlign w:val="center"/>
          </w:tcPr>
          <w:p w:rsidR="005338D5" w:rsidRDefault="005338D5">
            <w:pPr>
              <w:adjustRightInd/>
              <w:snapToGrid/>
              <w:spacing w:line="240" w:lineRule="auto"/>
              <w:ind w:firstLineChars="0" w:firstLine="0"/>
              <w:jc w:val="center"/>
              <w:textAlignment w:val="auto"/>
              <w:rPr>
                <w:bCs/>
                <w:kern w:val="2"/>
                <w:sz w:val="21"/>
                <w:szCs w:val="21"/>
              </w:rPr>
            </w:pPr>
            <w:r>
              <w:rPr>
                <w:bCs/>
                <w:kern w:val="2"/>
                <w:sz w:val="21"/>
                <w:szCs w:val="21"/>
              </w:rPr>
              <w:t>-</w:t>
            </w:r>
          </w:p>
        </w:tc>
        <w:tc>
          <w:tcPr>
            <w:tcW w:w="992" w:type="dxa"/>
            <w:vAlign w:val="center"/>
          </w:tcPr>
          <w:p w:rsidR="005338D5" w:rsidRDefault="005338D5" w:rsidP="005338D5">
            <w:pPr>
              <w:spacing w:line="240" w:lineRule="auto"/>
              <w:ind w:firstLineChars="0" w:firstLine="0"/>
              <w:jc w:val="center"/>
              <w:rPr>
                <w:bCs/>
                <w:kern w:val="2"/>
                <w:sz w:val="21"/>
                <w:szCs w:val="21"/>
              </w:rPr>
            </w:pPr>
            <w:r>
              <w:rPr>
                <w:bCs/>
                <w:kern w:val="2"/>
                <w:sz w:val="21"/>
                <w:szCs w:val="21"/>
              </w:rPr>
              <w:t>0.1</w:t>
            </w:r>
            <w:r>
              <w:rPr>
                <w:rFonts w:hint="eastAsia"/>
                <w:bCs/>
                <w:kern w:val="2"/>
                <w:sz w:val="21"/>
                <w:szCs w:val="21"/>
              </w:rPr>
              <w:t>7</w:t>
            </w:r>
          </w:p>
        </w:tc>
        <w:tc>
          <w:tcPr>
            <w:tcW w:w="2410" w:type="dxa"/>
            <w:gridSpan w:val="2"/>
            <w:vAlign w:val="center"/>
          </w:tcPr>
          <w:p w:rsidR="005338D5" w:rsidRDefault="005338D5" w:rsidP="005338D5">
            <w:pPr>
              <w:spacing w:line="240" w:lineRule="auto"/>
              <w:ind w:firstLineChars="0" w:firstLine="0"/>
              <w:jc w:val="center"/>
            </w:pPr>
            <w:r>
              <w:rPr>
                <w:sz w:val="21"/>
                <w:szCs w:val="21"/>
              </w:rPr>
              <w:t>节能技术应用</w:t>
            </w:r>
            <w:r>
              <w:rPr>
                <w:sz w:val="21"/>
                <w:szCs w:val="21"/>
                <w:vertAlign w:val="superscript"/>
              </w:rPr>
              <w:t>c</w:t>
            </w:r>
            <w:r>
              <w:rPr>
                <w:sz w:val="21"/>
                <w:szCs w:val="21"/>
              </w:rPr>
              <w:t>；电泳漆、自泳漆设置备用槽；喷漆设置漆雾处理</w:t>
            </w:r>
          </w:p>
        </w:tc>
        <w:tc>
          <w:tcPr>
            <w:tcW w:w="2693" w:type="dxa"/>
            <w:gridSpan w:val="2"/>
            <w:vAlign w:val="center"/>
          </w:tcPr>
          <w:p w:rsidR="005338D5" w:rsidRDefault="005338D5" w:rsidP="005338D5">
            <w:pPr>
              <w:spacing w:line="240" w:lineRule="auto"/>
              <w:ind w:firstLineChars="0" w:firstLine="0"/>
              <w:jc w:val="center"/>
              <w:rPr>
                <w:bCs/>
                <w:spacing w:val="-4"/>
              </w:rPr>
            </w:pPr>
            <w:r>
              <w:rPr>
                <w:sz w:val="21"/>
                <w:szCs w:val="21"/>
              </w:rPr>
              <w:t>节能技术应用</w:t>
            </w:r>
            <w:r>
              <w:rPr>
                <w:sz w:val="21"/>
                <w:szCs w:val="21"/>
                <w:vertAlign w:val="superscript"/>
              </w:rPr>
              <w:t>c</w:t>
            </w:r>
            <w:r>
              <w:rPr>
                <w:sz w:val="21"/>
                <w:szCs w:val="21"/>
              </w:rPr>
              <w:t>；喷漆设置漆雾处理</w:t>
            </w:r>
          </w:p>
        </w:tc>
        <w:tc>
          <w:tcPr>
            <w:tcW w:w="2010" w:type="dxa"/>
            <w:vAlign w:val="center"/>
          </w:tcPr>
          <w:p w:rsidR="005338D5" w:rsidRDefault="005338D5" w:rsidP="005338D5">
            <w:pPr>
              <w:spacing w:line="240" w:lineRule="auto"/>
              <w:ind w:firstLineChars="0" w:firstLine="0"/>
              <w:jc w:val="center"/>
              <w:rPr>
                <w:bCs/>
              </w:rPr>
            </w:pPr>
            <w:r>
              <w:rPr>
                <w:bCs/>
                <w:kern w:val="2"/>
                <w:sz w:val="21"/>
                <w:szCs w:val="21"/>
              </w:rPr>
              <w:t>本项目</w:t>
            </w:r>
            <w:r>
              <w:rPr>
                <w:rFonts w:hint="eastAsia"/>
                <w:bCs/>
                <w:kern w:val="2"/>
                <w:sz w:val="21"/>
                <w:szCs w:val="21"/>
              </w:rPr>
              <w:t>为浸漆工艺，浸漆用漆包机、拉包机配套使用变频电机等节能措施，不涉及</w:t>
            </w:r>
            <w:r>
              <w:rPr>
                <w:sz w:val="21"/>
                <w:szCs w:val="21"/>
              </w:rPr>
              <w:t>电泳漆、自泳漆</w:t>
            </w:r>
            <w:r>
              <w:rPr>
                <w:rFonts w:hint="eastAsia"/>
                <w:sz w:val="21"/>
                <w:szCs w:val="21"/>
              </w:rPr>
              <w:t>及</w:t>
            </w:r>
            <w:r>
              <w:rPr>
                <w:rFonts w:hint="eastAsia"/>
                <w:bCs/>
                <w:kern w:val="2"/>
                <w:sz w:val="21"/>
                <w:szCs w:val="21"/>
              </w:rPr>
              <w:t>漆雾处理。</w:t>
            </w:r>
          </w:p>
        </w:tc>
        <w:tc>
          <w:tcPr>
            <w:tcW w:w="709" w:type="dxa"/>
            <w:vAlign w:val="center"/>
          </w:tcPr>
          <w:p w:rsidR="005338D5" w:rsidRDefault="005338D5" w:rsidP="005338D5">
            <w:pPr>
              <w:spacing w:line="240" w:lineRule="auto"/>
              <w:ind w:firstLineChars="0" w:firstLine="0"/>
              <w:jc w:val="center"/>
              <w:rPr>
                <w:bCs/>
                <w:kern w:val="2"/>
                <w:sz w:val="21"/>
                <w:szCs w:val="21"/>
              </w:rPr>
            </w:pPr>
            <w:r>
              <w:rPr>
                <w:rFonts w:ascii="宋体" w:hAnsi="宋体" w:cs="宋体" w:hint="eastAsia"/>
                <w:bCs/>
                <w:kern w:val="2"/>
                <w:sz w:val="21"/>
                <w:szCs w:val="21"/>
              </w:rPr>
              <w:t>Ⅰ</w:t>
            </w:r>
            <w:r>
              <w:rPr>
                <w:bCs/>
                <w:kern w:val="2"/>
                <w:sz w:val="21"/>
                <w:szCs w:val="21"/>
              </w:rPr>
              <w:t>级</w:t>
            </w:r>
          </w:p>
        </w:tc>
      </w:tr>
      <w:tr w:rsidR="00EE56C0">
        <w:trPr>
          <w:cantSplit/>
          <w:trHeight w:val="397"/>
          <w:tblHeader/>
          <w:jc w:val="center"/>
        </w:trPr>
        <w:tc>
          <w:tcPr>
            <w:tcW w:w="818" w:type="dxa"/>
            <w:vAlign w:val="center"/>
          </w:tcPr>
          <w:p w:rsidR="00EE56C0" w:rsidRDefault="005338D5">
            <w:pPr>
              <w:adjustRightInd/>
              <w:snapToGrid/>
              <w:spacing w:line="240" w:lineRule="auto"/>
              <w:ind w:firstLineChars="0" w:firstLine="0"/>
              <w:jc w:val="center"/>
              <w:textAlignment w:val="auto"/>
              <w:rPr>
                <w:kern w:val="2"/>
                <w:sz w:val="21"/>
                <w:szCs w:val="21"/>
              </w:rPr>
            </w:pPr>
            <w:r>
              <w:rPr>
                <w:rFonts w:hint="eastAsia"/>
                <w:kern w:val="2"/>
                <w:sz w:val="21"/>
                <w:szCs w:val="21"/>
              </w:rPr>
              <w:t>2</w:t>
            </w:r>
          </w:p>
        </w:tc>
        <w:tc>
          <w:tcPr>
            <w:tcW w:w="984" w:type="dxa"/>
            <w:vMerge/>
            <w:vAlign w:val="center"/>
          </w:tcPr>
          <w:p w:rsidR="00EE56C0" w:rsidRDefault="00EE56C0">
            <w:pPr>
              <w:adjustRightInd/>
              <w:snapToGrid/>
              <w:spacing w:line="240" w:lineRule="auto"/>
              <w:ind w:firstLineChars="0" w:firstLine="0"/>
              <w:jc w:val="center"/>
              <w:textAlignment w:val="auto"/>
              <w:rPr>
                <w:bCs/>
                <w:kern w:val="2"/>
                <w:sz w:val="21"/>
                <w:szCs w:val="21"/>
              </w:rPr>
            </w:pPr>
          </w:p>
        </w:tc>
        <w:tc>
          <w:tcPr>
            <w:tcW w:w="851" w:type="dxa"/>
            <w:vMerge/>
            <w:vAlign w:val="center"/>
          </w:tcPr>
          <w:p w:rsidR="00EE56C0" w:rsidRDefault="00EE56C0">
            <w:pPr>
              <w:adjustRightInd/>
              <w:snapToGrid/>
              <w:spacing w:line="240" w:lineRule="auto"/>
              <w:ind w:firstLineChars="0" w:firstLine="0"/>
              <w:jc w:val="center"/>
              <w:textAlignment w:val="auto"/>
              <w:rPr>
                <w:bCs/>
                <w:kern w:val="2"/>
                <w:sz w:val="21"/>
                <w:szCs w:val="21"/>
              </w:rPr>
            </w:pPr>
          </w:p>
        </w:tc>
        <w:tc>
          <w:tcPr>
            <w:tcW w:w="850" w:type="dxa"/>
            <w:vMerge/>
            <w:vAlign w:val="center"/>
          </w:tcPr>
          <w:p w:rsidR="00EE56C0" w:rsidRDefault="00EE56C0">
            <w:pPr>
              <w:adjustRightInd/>
              <w:snapToGrid/>
              <w:spacing w:line="240" w:lineRule="auto"/>
              <w:ind w:firstLineChars="0" w:firstLine="0"/>
              <w:jc w:val="center"/>
              <w:textAlignment w:val="auto"/>
              <w:rPr>
                <w:bCs/>
                <w:kern w:val="2"/>
                <w:sz w:val="21"/>
                <w:szCs w:val="21"/>
              </w:rPr>
            </w:pPr>
          </w:p>
        </w:tc>
        <w:tc>
          <w:tcPr>
            <w:tcW w:w="993" w:type="dxa"/>
            <w:vAlign w:val="center"/>
          </w:tcPr>
          <w:p w:rsidR="00EE56C0" w:rsidRDefault="000F36A1">
            <w:pPr>
              <w:adjustRightInd/>
              <w:snapToGrid/>
              <w:spacing w:line="240" w:lineRule="auto"/>
              <w:ind w:firstLineChars="0" w:firstLine="0"/>
              <w:jc w:val="center"/>
              <w:textAlignment w:val="auto"/>
              <w:rPr>
                <w:bCs/>
                <w:kern w:val="2"/>
                <w:sz w:val="21"/>
                <w:szCs w:val="21"/>
              </w:rPr>
            </w:pPr>
            <w:r>
              <w:rPr>
                <w:sz w:val="21"/>
                <w:szCs w:val="21"/>
              </w:rPr>
              <w:t>烘干</w:t>
            </w:r>
          </w:p>
        </w:tc>
        <w:tc>
          <w:tcPr>
            <w:tcW w:w="850" w:type="dxa"/>
            <w:vAlign w:val="center"/>
          </w:tcPr>
          <w:p w:rsidR="00EE56C0" w:rsidRDefault="000F36A1">
            <w:pPr>
              <w:adjustRightInd/>
              <w:snapToGrid/>
              <w:spacing w:line="240" w:lineRule="auto"/>
              <w:ind w:firstLineChars="0" w:firstLine="0"/>
              <w:jc w:val="center"/>
              <w:textAlignment w:val="auto"/>
              <w:rPr>
                <w:bCs/>
                <w:kern w:val="2"/>
                <w:sz w:val="21"/>
                <w:szCs w:val="21"/>
              </w:rPr>
            </w:pPr>
            <w:r>
              <w:rPr>
                <w:bCs/>
                <w:kern w:val="2"/>
                <w:sz w:val="21"/>
                <w:szCs w:val="21"/>
              </w:rPr>
              <w:t>-</w:t>
            </w:r>
          </w:p>
        </w:tc>
        <w:tc>
          <w:tcPr>
            <w:tcW w:w="992" w:type="dxa"/>
            <w:vAlign w:val="center"/>
          </w:tcPr>
          <w:p w:rsidR="00EE56C0" w:rsidRDefault="000F36A1" w:rsidP="002864C7">
            <w:pPr>
              <w:adjustRightInd/>
              <w:snapToGrid/>
              <w:spacing w:line="240" w:lineRule="auto"/>
              <w:ind w:firstLineChars="0" w:firstLine="0"/>
              <w:jc w:val="center"/>
              <w:textAlignment w:val="auto"/>
              <w:rPr>
                <w:bCs/>
                <w:kern w:val="2"/>
                <w:sz w:val="21"/>
                <w:szCs w:val="21"/>
              </w:rPr>
            </w:pPr>
            <w:r>
              <w:rPr>
                <w:bCs/>
                <w:kern w:val="2"/>
                <w:sz w:val="21"/>
                <w:szCs w:val="21"/>
              </w:rPr>
              <w:t>0.0</w:t>
            </w:r>
            <w:r w:rsidR="002864C7">
              <w:rPr>
                <w:rFonts w:hint="eastAsia"/>
                <w:bCs/>
                <w:kern w:val="2"/>
                <w:sz w:val="21"/>
                <w:szCs w:val="21"/>
              </w:rPr>
              <w:t>6</w:t>
            </w:r>
          </w:p>
        </w:tc>
        <w:tc>
          <w:tcPr>
            <w:tcW w:w="2410" w:type="dxa"/>
            <w:gridSpan w:val="2"/>
            <w:vAlign w:val="center"/>
          </w:tcPr>
          <w:p w:rsidR="00EE56C0" w:rsidRDefault="000F36A1">
            <w:pPr>
              <w:adjustRightInd/>
              <w:snapToGrid/>
              <w:spacing w:line="240" w:lineRule="auto"/>
              <w:ind w:firstLineChars="0" w:firstLine="0"/>
              <w:textAlignment w:val="auto"/>
              <w:rPr>
                <w:bCs/>
                <w:spacing w:val="-4"/>
                <w:kern w:val="2"/>
                <w:sz w:val="21"/>
                <w:szCs w:val="21"/>
              </w:rPr>
            </w:pPr>
            <w:r>
              <w:rPr>
                <w:sz w:val="21"/>
                <w:szCs w:val="21"/>
              </w:rPr>
              <w:t>节能技术应用</w:t>
            </w:r>
            <w:r>
              <w:rPr>
                <w:sz w:val="21"/>
                <w:szCs w:val="21"/>
                <w:vertAlign w:val="superscript"/>
              </w:rPr>
              <w:t>c</w:t>
            </w:r>
            <w:r>
              <w:rPr>
                <w:sz w:val="21"/>
                <w:szCs w:val="21"/>
              </w:rPr>
              <w:t>；加热装置多级调节</w:t>
            </w:r>
            <w:r>
              <w:rPr>
                <w:sz w:val="21"/>
                <w:szCs w:val="21"/>
                <w:vertAlign w:val="superscript"/>
              </w:rPr>
              <w:t>j</w:t>
            </w:r>
            <w:r>
              <w:rPr>
                <w:sz w:val="21"/>
                <w:szCs w:val="21"/>
              </w:rPr>
              <w:t>，使用清洁能源</w:t>
            </w:r>
          </w:p>
        </w:tc>
        <w:tc>
          <w:tcPr>
            <w:tcW w:w="2693" w:type="dxa"/>
            <w:gridSpan w:val="2"/>
            <w:vAlign w:val="center"/>
          </w:tcPr>
          <w:p w:rsidR="00EE56C0" w:rsidRDefault="000F36A1">
            <w:pPr>
              <w:widowControl/>
              <w:adjustRightInd/>
              <w:snapToGrid/>
              <w:spacing w:line="240" w:lineRule="auto"/>
              <w:ind w:firstLineChars="0" w:firstLine="0"/>
              <w:textAlignment w:val="auto"/>
              <w:rPr>
                <w:sz w:val="21"/>
                <w:szCs w:val="21"/>
              </w:rPr>
            </w:pPr>
            <w:r>
              <w:rPr>
                <w:sz w:val="21"/>
                <w:szCs w:val="21"/>
              </w:rPr>
              <w:t>加热装置多级调节</w:t>
            </w:r>
            <w:r>
              <w:rPr>
                <w:sz w:val="21"/>
                <w:szCs w:val="21"/>
                <w:vertAlign w:val="superscript"/>
              </w:rPr>
              <w:t>j</w:t>
            </w:r>
            <w:r>
              <w:rPr>
                <w:sz w:val="21"/>
                <w:szCs w:val="21"/>
              </w:rPr>
              <w:t>，使用清洁能源</w:t>
            </w:r>
          </w:p>
        </w:tc>
        <w:tc>
          <w:tcPr>
            <w:tcW w:w="2010" w:type="dxa"/>
            <w:vAlign w:val="center"/>
          </w:tcPr>
          <w:p w:rsidR="00EE56C0" w:rsidRDefault="000F36A1">
            <w:pPr>
              <w:adjustRightInd/>
              <w:snapToGrid/>
              <w:spacing w:line="240" w:lineRule="auto"/>
              <w:ind w:firstLineChars="0" w:firstLine="0"/>
              <w:textAlignment w:val="auto"/>
              <w:rPr>
                <w:bCs/>
                <w:kern w:val="2"/>
                <w:sz w:val="21"/>
                <w:szCs w:val="21"/>
              </w:rPr>
            </w:pPr>
            <w:r>
              <w:rPr>
                <w:bCs/>
                <w:kern w:val="2"/>
                <w:sz w:val="21"/>
                <w:szCs w:val="21"/>
              </w:rPr>
              <w:t>本项目</w:t>
            </w:r>
            <w:r>
              <w:rPr>
                <w:rFonts w:hint="eastAsia"/>
                <w:bCs/>
                <w:kern w:val="2"/>
                <w:sz w:val="21"/>
                <w:szCs w:val="21"/>
              </w:rPr>
              <w:t>烘干采用电加热，装置内部采用余热利用节能技术。</w:t>
            </w:r>
          </w:p>
        </w:tc>
        <w:tc>
          <w:tcPr>
            <w:tcW w:w="709" w:type="dxa"/>
            <w:vAlign w:val="center"/>
          </w:tcPr>
          <w:p w:rsidR="00EE56C0" w:rsidRDefault="000F36A1">
            <w:pPr>
              <w:adjustRightInd/>
              <w:snapToGrid/>
              <w:spacing w:line="240" w:lineRule="auto"/>
              <w:ind w:firstLineChars="0" w:firstLine="0"/>
              <w:jc w:val="center"/>
              <w:textAlignment w:val="auto"/>
              <w:rPr>
                <w:bCs/>
                <w:kern w:val="2"/>
                <w:sz w:val="21"/>
                <w:szCs w:val="21"/>
              </w:rPr>
            </w:pPr>
            <w:r>
              <w:rPr>
                <w:rFonts w:ascii="宋体" w:hAnsi="宋体" w:cs="宋体" w:hint="eastAsia"/>
                <w:bCs/>
                <w:kern w:val="2"/>
                <w:sz w:val="21"/>
                <w:szCs w:val="21"/>
              </w:rPr>
              <w:t>Ⅰ</w:t>
            </w:r>
            <w:r>
              <w:rPr>
                <w:bCs/>
                <w:kern w:val="2"/>
                <w:sz w:val="21"/>
                <w:szCs w:val="21"/>
              </w:rPr>
              <w:t>级</w:t>
            </w:r>
          </w:p>
        </w:tc>
      </w:tr>
      <w:tr w:rsidR="00EE56C0">
        <w:trPr>
          <w:cantSplit/>
          <w:trHeight w:val="397"/>
          <w:tblHeader/>
          <w:jc w:val="center"/>
        </w:trPr>
        <w:tc>
          <w:tcPr>
            <w:tcW w:w="818" w:type="dxa"/>
            <w:vAlign w:val="center"/>
          </w:tcPr>
          <w:p w:rsidR="00EE56C0" w:rsidRDefault="005338D5">
            <w:pPr>
              <w:adjustRightInd/>
              <w:snapToGrid/>
              <w:spacing w:line="240" w:lineRule="auto"/>
              <w:ind w:firstLineChars="0" w:firstLine="0"/>
              <w:jc w:val="center"/>
              <w:textAlignment w:val="auto"/>
              <w:rPr>
                <w:kern w:val="2"/>
                <w:sz w:val="21"/>
                <w:szCs w:val="21"/>
              </w:rPr>
            </w:pPr>
            <w:r>
              <w:rPr>
                <w:rFonts w:hint="eastAsia"/>
                <w:kern w:val="2"/>
                <w:sz w:val="21"/>
                <w:szCs w:val="21"/>
              </w:rPr>
              <w:t>3</w:t>
            </w:r>
          </w:p>
        </w:tc>
        <w:tc>
          <w:tcPr>
            <w:tcW w:w="984" w:type="dxa"/>
            <w:vMerge/>
            <w:vAlign w:val="center"/>
          </w:tcPr>
          <w:p w:rsidR="00EE56C0" w:rsidRDefault="00EE56C0">
            <w:pPr>
              <w:adjustRightInd/>
              <w:snapToGrid/>
              <w:spacing w:line="240" w:lineRule="auto"/>
              <w:ind w:firstLineChars="0" w:firstLine="0"/>
              <w:jc w:val="center"/>
              <w:textAlignment w:val="auto"/>
              <w:rPr>
                <w:bCs/>
                <w:kern w:val="2"/>
                <w:sz w:val="21"/>
                <w:szCs w:val="21"/>
              </w:rPr>
            </w:pPr>
          </w:p>
        </w:tc>
        <w:tc>
          <w:tcPr>
            <w:tcW w:w="851" w:type="dxa"/>
            <w:vMerge/>
            <w:vAlign w:val="center"/>
          </w:tcPr>
          <w:p w:rsidR="00EE56C0" w:rsidRDefault="00EE56C0">
            <w:pPr>
              <w:adjustRightInd/>
              <w:snapToGrid/>
              <w:spacing w:line="240" w:lineRule="auto"/>
              <w:ind w:firstLineChars="0" w:firstLine="0"/>
              <w:jc w:val="center"/>
              <w:textAlignment w:val="auto"/>
              <w:rPr>
                <w:bCs/>
                <w:kern w:val="2"/>
                <w:sz w:val="21"/>
                <w:szCs w:val="21"/>
              </w:rPr>
            </w:pPr>
          </w:p>
        </w:tc>
        <w:tc>
          <w:tcPr>
            <w:tcW w:w="850" w:type="dxa"/>
            <w:vMerge/>
            <w:vAlign w:val="center"/>
          </w:tcPr>
          <w:p w:rsidR="00EE56C0" w:rsidRDefault="00EE56C0">
            <w:pPr>
              <w:adjustRightInd/>
              <w:snapToGrid/>
              <w:spacing w:line="240" w:lineRule="auto"/>
              <w:ind w:firstLineChars="0" w:firstLine="0"/>
              <w:jc w:val="center"/>
              <w:textAlignment w:val="auto"/>
              <w:rPr>
                <w:bCs/>
                <w:kern w:val="2"/>
                <w:sz w:val="21"/>
                <w:szCs w:val="21"/>
              </w:rPr>
            </w:pPr>
          </w:p>
        </w:tc>
        <w:tc>
          <w:tcPr>
            <w:tcW w:w="993" w:type="dxa"/>
            <w:vAlign w:val="center"/>
          </w:tcPr>
          <w:p w:rsidR="00EE56C0" w:rsidRDefault="000F36A1">
            <w:pPr>
              <w:widowControl/>
              <w:adjustRightInd/>
              <w:snapToGrid/>
              <w:spacing w:line="240" w:lineRule="auto"/>
              <w:ind w:firstLineChars="0" w:firstLine="0"/>
              <w:jc w:val="center"/>
              <w:textAlignment w:val="auto"/>
              <w:rPr>
                <w:bCs/>
                <w:kern w:val="2"/>
                <w:sz w:val="21"/>
                <w:szCs w:val="21"/>
              </w:rPr>
            </w:pPr>
            <w:r>
              <w:rPr>
                <w:sz w:val="21"/>
                <w:szCs w:val="21"/>
              </w:rPr>
              <w:t>喷漆（涂覆）（包括流平）</w:t>
            </w:r>
          </w:p>
        </w:tc>
        <w:tc>
          <w:tcPr>
            <w:tcW w:w="850" w:type="dxa"/>
            <w:vMerge w:val="restart"/>
            <w:vAlign w:val="center"/>
          </w:tcPr>
          <w:p w:rsidR="00EE56C0" w:rsidRDefault="00EE56C0">
            <w:pPr>
              <w:adjustRightInd/>
              <w:snapToGrid/>
              <w:spacing w:line="240" w:lineRule="auto"/>
              <w:ind w:firstLineChars="0" w:firstLine="0"/>
              <w:jc w:val="center"/>
              <w:textAlignment w:val="auto"/>
              <w:rPr>
                <w:bCs/>
                <w:kern w:val="2"/>
                <w:sz w:val="21"/>
                <w:szCs w:val="21"/>
              </w:rPr>
            </w:pPr>
          </w:p>
        </w:tc>
        <w:tc>
          <w:tcPr>
            <w:tcW w:w="992" w:type="dxa"/>
            <w:vAlign w:val="center"/>
          </w:tcPr>
          <w:p w:rsidR="00EE56C0" w:rsidRDefault="000F36A1" w:rsidP="002864C7">
            <w:pPr>
              <w:adjustRightInd/>
              <w:snapToGrid/>
              <w:spacing w:line="240" w:lineRule="auto"/>
              <w:ind w:firstLineChars="0" w:firstLine="0"/>
              <w:jc w:val="center"/>
              <w:textAlignment w:val="auto"/>
              <w:rPr>
                <w:bCs/>
                <w:kern w:val="2"/>
                <w:sz w:val="21"/>
                <w:szCs w:val="21"/>
              </w:rPr>
            </w:pPr>
            <w:r>
              <w:rPr>
                <w:bCs/>
                <w:kern w:val="2"/>
                <w:sz w:val="21"/>
                <w:szCs w:val="21"/>
              </w:rPr>
              <w:t>0.1</w:t>
            </w:r>
            <w:r w:rsidR="002864C7">
              <w:rPr>
                <w:rFonts w:hint="eastAsia"/>
                <w:bCs/>
                <w:kern w:val="2"/>
                <w:sz w:val="21"/>
                <w:szCs w:val="21"/>
              </w:rPr>
              <w:t>8</w:t>
            </w:r>
          </w:p>
        </w:tc>
        <w:tc>
          <w:tcPr>
            <w:tcW w:w="2410" w:type="dxa"/>
            <w:gridSpan w:val="2"/>
            <w:vAlign w:val="center"/>
          </w:tcPr>
          <w:p w:rsidR="00EE56C0" w:rsidRDefault="000F36A1">
            <w:pPr>
              <w:widowControl/>
              <w:adjustRightInd/>
              <w:snapToGrid/>
              <w:spacing w:line="240" w:lineRule="auto"/>
              <w:ind w:firstLineChars="0" w:firstLine="0"/>
              <w:textAlignment w:val="auto"/>
              <w:rPr>
                <w:sz w:val="21"/>
                <w:szCs w:val="21"/>
              </w:rPr>
            </w:pPr>
            <w:r>
              <w:rPr>
                <w:sz w:val="21"/>
                <w:szCs w:val="21"/>
              </w:rPr>
              <w:t>应满足以下条件之一：</w:t>
            </w:r>
            <w:r>
              <w:rPr>
                <w:rFonts w:ascii="宋体" w:hAnsi="宋体" w:cs="宋体" w:hint="eastAsia"/>
                <w:sz w:val="21"/>
                <w:szCs w:val="21"/>
              </w:rPr>
              <w:t>①</w:t>
            </w:r>
            <w:r>
              <w:rPr>
                <w:sz w:val="21"/>
                <w:szCs w:val="21"/>
              </w:rPr>
              <w:t>使用水性漆；</w:t>
            </w:r>
            <w:r>
              <w:rPr>
                <w:rFonts w:ascii="宋体" w:hAnsi="宋体" w:cs="宋体" w:hint="eastAsia"/>
                <w:sz w:val="21"/>
                <w:szCs w:val="21"/>
              </w:rPr>
              <w:t>②</w:t>
            </w:r>
            <w:r>
              <w:rPr>
                <w:sz w:val="21"/>
                <w:szCs w:val="21"/>
              </w:rPr>
              <w:t>使用光固化（</w:t>
            </w:r>
            <w:r>
              <w:rPr>
                <w:sz w:val="21"/>
                <w:szCs w:val="21"/>
              </w:rPr>
              <w:t>UV</w:t>
            </w:r>
            <w:r>
              <w:rPr>
                <w:sz w:val="21"/>
                <w:szCs w:val="21"/>
              </w:rPr>
              <w:t>）漆；</w:t>
            </w:r>
            <w:r>
              <w:rPr>
                <w:rFonts w:ascii="宋体" w:hAnsi="宋体" w:cs="宋体" w:hint="eastAsia"/>
                <w:sz w:val="21"/>
                <w:szCs w:val="21"/>
              </w:rPr>
              <w:t>③</w:t>
            </w:r>
            <w:r>
              <w:rPr>
                <w:sz w:val="21"/>
                <w:szCs w:val="21"/>
              </w:rPr>
              <w:t>使用粉末涂料；</w:t>
            </w:r>
            <w:r>
              <w:rPr>
                <w:rFonts w:ascii="宋体" w:hAnsi="宋体" w:cs="宋体" w:hint="eastAsia"/>
                <w:sz w:val="21"/>
                <w:szCs w:val="21"/>
              </w:rPr>
              <w:t>④</w:t>
            </w:r>
            <w:r>
              <w:rPr>
                <w:sz w:val="21"/>
                <w:szCs w:val="21"/>
              </w:rPr>
              <w:t>免中涂工艺</w:t>
            </w:r>
          </w:p>
        </w:tc>
        <w:tc>
          <w:tcPr>
            <w:tcW w:w="2693" w:type="dxa"/>
            <w:gridSpan w:val="2"/>
            <w:vAlign w:val="center"/>
          </w:tcPr>
          <w:p w:rsidR="00EE56C0" w:rsidRDefault="000F36A1">
            <w:pPr>
              <w:adjustRightInd/>
              <w:snapToGrid/>
              <w:spacing w:line="240" w:lineRule="auto"/>
              <w:ind w:firstLineChars="0" w:firstLine="0"/>
              <w:textAlignment w:val="auto"/>
              <w:rPr>
                <w:bCs/>
                <w:spacing w:val="-4"/>
                <w:kern w:val="2"/>
                <w:sz w:val="21"/>
                <w:szCs w:val="21"/>
              </w:rPr>
            </w:pPr>
            <w:r>
              <w:rPr>
                <w:sz w:val="21"/>
                <w:szCs w:val="21"/>
              </w:rPr>
              <w:t>节水</w:t>
            </w:r>
            <w:r>
              <w:rPr>
                <w:sz w:val="21"/>
                <w:szCs w:val="21"/>
                <w:vertAlign w:val="superscript"/>
              </w:rPr>
              <w:t>b</w:t>
            </w:r>
            <w:r>
              <w:rPr>
                <w:sz w:val="21"/>
                <w:szCs w:val="21"/>
              </w:rPr>
              <w:t>、节能</w:t>
            </w:r>
            <w:r>
              <w:rPr>
                <w:sz w:val="21"/>
                <w:szCs w:val="21"/>
                <w:vertAlign w:val="superscript"/>
              </w:rPr>
              <w:t>c</w:t>
            </w:r>
            <w:r>
              <w:rPr>
                <w:sz w:val="21"/>
                <w:szCs w:val="21"/>
              </w:rPr>
              <w:t>技术应用</w:t>
            </w:r>
          </w:p>
        </w:tc>
        <w:tc>
          <w:tcPr>
            <w:tcW w:w="2010" w:type="dxa"/>
            <w:vAlign w:val="center"/>
          </w:tcPr>
          <w:p w:rsidR="00EE56C0" w:rsidRDefault="000F36A1">
            <w:pPr>
              <w:spacing w:line="240" w:lineRule="auto"/>
              <w:ind w:firstLineChars="0" w:firstLine="0"/>
              <w:rPr>
                <w:bCs/>
                <w:kern w:val="2"/>
                <w:sz w:val="21"/>
                <w:szCs w:val="21"/>
              </w:rPr>
            </w:pPr>
            <w:r>
              <w:rPr>
                <w:bCs/>
                <w:kern w:val="2"/>
                <w:sz w:val="21"/>
                <w:szCs w:val="21"/>
              </w:rPr>
              <w:t>本项目</w:t>
            </w:r>
            <w:r>
              <w:rPr>
                <w:rFonts w:hint="eastAsia"/>
                <w:bCs/>
                <w:kern w:val="2"/>
                <w:sz w:val="21"/>
                <w:szCs w:val="21"/>
              </w:rPr>
              <w:t>漆包线</w:t>
            </w:r>
            <w:r>
              <w:rPr>
                <w:rFonts w:hint="eastAsia"/>
                <w:sz w:val="21"/>
                <w:szCs w:val="21"/>
              </w:rPr>
              <w:t>面漆为</w:t>
            </w:r>
            <w:r>
              <w:rPr>
                <w:rStyle w:val="Char4"/>
                <w:rFonts w:hint="eastAsia"/>
                <w:sz w:val="21"/>
              </w:rPr>
              <w:t>聚酰胺酰亚胺漆、玻璃丝包专用漆，均为浸漆工艺，不涉及</w:t>
            </w:r>
            <w:r>
              <w:rPr>
                <w:rStyle w:val="Char4"/>
                <w:sz w:val="21"/>
              </w:rPr>
              <w:t>节水技术应用</w:t>
            </w:r>
            <w:r>
              <w:rPr>
                <w:rStyle w:val="Char4"/>
                <w:rFonts w:hint="eastAsia"/>
                <w:sz w:val="21"/>
              </w:rPr>
              <w:t>，</w:t>
            </w:r>
            <w:r w:rsidR="00354508">
              <w:rPr>
                <w:rStyle w:val="Char4"/>
                <w:rFonts w:hint="eastAsia"/>
                <w:sz w:val="21"/>
              </w:rPr>
              <w:t>企业</w:t>
            </w:r>
            <w:r w:rsidR="00354508">
              <w:rPr>
                <w:rStyle w:val="Char4"/>
                <w:rFonts w:hint="eastAsia"/>
                <w:sz w:val="21"/>
              </w:rPr>
              <w:t xml:space="preserve"> </w:t>
            </w:r>
            <w:r>
              <w:rPr>
                <w:rStyle w:val="Char4"/>
                <w:rFonts w:hint="eastAsia"/>
                <w:sz w:val="21"/>
              </w:rPr>
              <w:t>有</w:t>
            </w:r>
            <w:r>
              <w:rPr>
                <w:rFonts w:hint="eastAsia"/>
                <w:bCs/>
                <w:kern w:val="2"/>
                <w:sz w:val="21"/>
                <w:szCs w:val="21"/>
              </w:rPr>
              <w:t>使用变频电机、烘炉内部余热利用</w:t>
            </w:r>
            <w:r>
              <w:rPr>
                <w:rStyle w:val="Char4"/>
                <w:rFonts w:hint="eastAsia"/>
                <w:sz w:val="21"/>
              </w:rPr>
              <w:t>等</w:t>
            </w:r>
            <w:r>
              <w:rPr>
                <w:rFonts w:hint="eastAsia"/>
                <w:bCs/>
                <w:kern w:val="2"/>
                <w:sz w:val="21"/>
                <w:szCs w:val="21"/>
              </w:rPr>
              <w:t>节能措施</w:t>
            </w:r>
            <w:r>
              <w:rPr>
                <w:rStyle w:val="Char4"/>
                <w:sz w:val="21"/>
              </w:rPr>
              <w:t>技术</w:t>
            </w:r>
            <w:r>
              <w:rPr>
                <w:rStyle w:val="Char4"/>
                <w:rFonts w:hint="eastAsia"/>
                <w:sz w:val="21"/>
              </w:rPr>
              <w:t>应用。</w:t>
            </w:r>
          </w:p>
        </w:tc>
        <w:tc>
          <w:tcPr>
            <w:tcW w:w="709" w:type="dxa"/>
            <w:vAlign w:val="center"/>
          </w:tcPr>
          <w:p w:rsidR="00EE56C0" w:rsidRDefault="000F36A1">
            <w:pPr>
              <w:adjustRightInd/>
              <w:snapToGrid/>
              <w:spacing w:line="240" w:lineRule="auto"/>
              <w:ind w:firstLineChars="0" w:firstLine="0"/>
              <w:jc w:val="center"/>
              <w:textAlignment w:val="auto"/>
              <w:rPr>
                <w:bCs/>
                <w:kern w:val="2"/>
                <w:sz w:val="21"/>
                <w:szCs w:val="21"/>
              </w:rPr>
            </w:pPr>
            <w:r>
              <w:rPr>
                <w:rFonts w:ascii="宋体" w:hAnsi="宋体" w:cs="宋体" w:hint="eastAsia"/>
                <w:bCs/>
                <w:kern w:val="2"/>
                <w:sz w:val="21"/>
                <w:szCs w:val="21"/>
              </w:rPr>
              <w:t>Ⅱ</w:t>
            </w:r>
            <w:r>
              <w:rPr>
                <w:bCs/>
                <w:kern w:val="2"/>
                <w:sz w:val="21"/>
                <w:szCs w:val="21"/>
              </w:rPr>
              <w:t>级</w:t>
            </w:r>
          </w:p>
        </w:tc>
      </w:tr>
      <w:tr w:rsidR="00EE56C0">
        <w:trPr>
          <w:cantSplit/>
          <w:trHeight w:val="397"/>
          <w:tblHeader/>
          <w:jc w:val="center"/>
        </w:trPr>
        <w:tc>
          <w:tcPr>
            <w:tcW w:w="818" w:type="dxa"/>
            <w:vAlign w:val="center"/>
          </w:tcPr>
          <w:p w:rsidR="00EE56C0" w:rsidRDefault="005338D5">
            <w:pPr>
              <w:adjustRightInd/>
              <w:snapToGrid/>
              <w:spacing w:line="240" w:lineRule="auto"/>
              <w:ind w:firstLineChars="0" w:firstLine="0"/>
              <w:jc w:val="center"/>
              <w:textAlignment w:val="auto"/>
              <w:rPr>
                <w:bCs/>
                <w:kern w:val="2"/>
                <w:sz w:val="21"/>
                <w:szCs w:val="21"/>
              </w:rPr>
            </w:pPr>
            <w:r>
              <w:rPr>
                <w:rFonts w:hint="eastAsia"/>
                <w:kern w:val="2"/>
                <w:sz w:val="21"/>
                <w:szCs w:val="21"/>
              </w:rPr>
              <w:lastRenderedPageBreak/>
              <w:t>4</w:t>
            </w:r>
          </w:p>
        </w:tc>
        <w:tc>
          <w:tcPr>
            <w:tcW w:w="984" w:type="dxa"/>
            <w:vMerge/>
            <w:vAlign w:val="center"/>
          </w:tcPr>
          <w:p w:rsidR="00EE56C0" w:rsidRDefault="00EE56C0">
            <w:pPr>
              <w:adjustRightInd/>
              <w:snapToGrid/>
              <w:spacing w:line="240" w:lineRule="auto"/>
              <w:ind w:firstLineChars="0" w:firstLine="0"/>
              <w:jc w:val="center"/>
              <w:textAlignment w:val="auto"/>
              <w:rPr>
                <w:bCs/>
                <w:kern w:val="2"/>
                <w:sz w:val="21"/>
                <w:szCs w:val="21"/>
              </w:rPr>
            </w:pPr>
          </w:p>
        </w:tc>
        <w:tc>
          <w:tcPr>
            <w:tcW w:w="851" w:type="dxa"/>
            <w:vMerge/>
            <w:vAlign w:val="center"/>
          </w:tcPr>
          <w:p w:rsidR="00EE56C0" w:rsidRDefault="00EE56C0">
            <w:pPr>
              <w:adjustRightInd/>
              <w:snapToGrid/>
              <w:spacing w:line="240" w:lineRule="auto"/>
              <w:ind w:firstLineChars="0" w:firstLine="0"/>
              <w:jc w:val="center"/>
              <w:textAlignment w:val="auto"/>
              <w:rPr>
                <w:bCs/>
                <w:kern w:val="2"/>
                <w:sz w:val="21"/>
                <w:szCs w:val="21"/>
              </w:rPr>
            </w:pPr>
          </w:p>
        </w:tc>
        <w:tc>
          <w:tcPr>
            <w:tcW w:w="850" w:type="dxa"/>
            <w:vMerge/>
            <w:vAlign w:val="center"/>
          </w:tcPr>
          <w:p w:rsidR="00EE56C0" w:rsidRDefault="00EE56C0">
            <w:pPr>
              <w:adjustRightInd/>
              <w:snapToGrid/>
              <w:spacing w:line="240" w:lineRule="auto"/>
              <w:ind w:firstLineChars="0" w:firstLine="0"/>
              <w:jc w:val="center"/>
              <w:textAlignment w:val="auto"/>
              <w:rPr>
                <w:bCs/>
                <w:kern w:val="2"/>
                <w:sz w:val="21"/>
                <w:szCs w:val="21"/>
              </w:rPr>
            </w:pPr>
          </w:p>
        </w:tc>
        <w:tc>
          <w:tcPr>
            <w:tcW w:w="993" w:type="dxa"/>
            <w:vAlign w:val="center"/>
          </w:tcPr>
          <w:p w:rsidR="00EE56C0" w:rsidRDefault="000F36A1">
            <w:pPr>
              <w:adjustRightInd/>
              <w:snapToGrid/>
              <w:spacing w:line="240" w:lineRule="auto"/>
              <w:ind w:firstLineChars="0" w:firstLine="0"/>
              <w:jc w:val="center"/>
              <w:textAlignment w:val="auto"/>
              <w:rPr>
                <w:bCs/>
                <w:kern w:val="2"/>
                <w:sz w:val="21"/>
                <w:szCs w:val="21"/>
              </w:rPr>
            </w:pPr>
            <w:r>
              <w:rPr>
                <w:sz w:val="21"/>
                <w:szCs w:val="21"/>
              </w:rPr>
              <w:t>烘干室</w:t>
            </w:r>
          </w:p>
        </w:tc>
        <w:tc>
          <w:tcPr>
            <w:tcW w:w="850" w:type="dxa"/>
            <w:vMerge/>
            <w:vAlign w:val="center"/>
          </w:tcPr>
          <w:p w:rsidR="00EE56C0" w:rsidRDefault="00EE56C0">
            <w:pPr>
              <w:adjustRightInd/>
              <w:snapToGrid/>
              <w:spacing w:line="240" w:lineRule="auto"/>
              <w:ind w:firstLineChars="0" w:firstLine="0"/>
              <w:jc w:val="center"/>
              <w:textAlignment w:val="auto"/>
              <w:rPr>
                <w:bCs/>
                <w:kern w:val="2"/>
                <w:sz w:val="21"/>
                <w:szCs w:val="21"/>
              </w:rPr>
            </w:pPr>
          </w:p>
        </w:tc>
        <w:tc>
          <w:tcPr>
            <w:tcW w:w="992" w:type="dxa"/>
            <w:vAlign w:val="center"/>
          </w:tcPr>
          <w:p w:rsidR="00EE56C0" w:rsidRDefault="000F36A1" w:rsidP="002864C7">
            <w:pPr>
              <w:adjustRightInd/>
              <w:snapToGrid/>
              <w:spacing w:line="240" w:lineRule="auto"/>
              <w:ind w:firstLineChars="0" w:firstLine="0"/>
              <w:jc w:val="center"/>
              <w:textAlignment w:val="auto"/>
              <w:rPr>
                <w:bCs/>
                <w:kern w:val="2"/>
                <w:sz w:val="21"/>
                <w:szCs w:val="21"/>
              </w:rPr>
            </w:pPr>
            <w:r>
              <w:rPr>
                <w:bCs/>
                <w:kern w:val="2"/>
                <w:sz w:val="21"/>
                <w:szCs w:val="21"/>
              </w:rPr>
              <w:t>0.0</w:t>
            </w:r>
            <w:r w:rsidR="002864C7">
              <w:rPr>
                <w:rFonts w:hint="eastAsia"/>
                <w:bCs/>
                <w:kern w:val="2"/>
                <w:sz w:val="21"/>
                <w:szCs w:val="21"/>
              </w:rPr>
              <w:t>6</w:t>
            </w:r>
          </w:p>
        </w:tc>
        <w:tc>
          <w:tcPr>
            <w:tcW w:w="2410" w:type="dxa"/>
            <w:gridSpan w:val="2"/>
            <w:vAlign w:val="center"/>
          </w:tcPr>
          <w:p w:rsidR="00EE56C0" w:rsidRDefault="000F36A1">
            <w:pPr>
              <w:adjustRightInd/>
              <w:snapToGrid/>
              <w:spacing w:line="240" w:lineRule="auto"/>
              <w:ind w:firstLineChars="0" w:firstLine="0"/>
              <w:jc w:val="center"/>
              <w:textAlignment w:val="auto"/>
              <w:rPr>
                <w:bCs/>
                <w:spacing w:val="-4"/>
                <w:kern w:val="2"/>
                <w:sz w:val="21"/>
                <w:szCs w:val="21"/>
              </w:rPr>
            </w:pPr>
            <w:r>
              <w:rPr>
                <w:sz w:val="21"/>
                <w:szCs w:val="21"/>
              </w:rPr>
              <w:t>节能技术应用</w:t>
            </w:r>
            <w:r>
              <w:rPr>
                <w:sz w:val="21"/>
                <w:szCs w:val="21"/>
                <w:vertAlign w:val="superscript"/>
              </w:rPr>
              <w:t>c</w:t>
            </w:r>
            <w:r>
              <w:rPr>
                <w:sz w:val="21"/>
                <w:szCs w:val="21"/>
              </w:rPr>
              <w:t>；加热装置多级调节</w:t>
            </w:r>
            <w:r>
              <w:rPr>
                <w:sz w:val="21"/>
                <w:szCs w:val="21"/>
                <w:vertAlign w:val="superscript"/>
              </w:rPr>
              <w:t>j</w:t>
            </w:r>
            <w:r>
              <w:rPr>
                <w:sz w:val="21"/>
                <w:szCs w:val="21"/>
              </w:rPr>
              <w:t>，使用清洁能源</w:t>
            </w:r>
          </w:p>
        </w:tc>
        <w:tc>
          <w:tcPr>
            <w:tcW w:w="2693" w:type="dxa"/>
            <w:gridSpan w:val="2"/>
            <w:vAlign w:val="center"/>
          </w:tcPr>
          <w:p w:rsidR="00EE56C0" w:rsidRDefault="000F36A1">
            <w:pPr>
              <w:widowControl/>
              <w:adjustRightInd/>
              <w:snapToGrid/>
              <w:spacing w:line="240" w:lineRule="auto"/>
              <w:ind w:firstLineChars="0" w:firstLine="0"/>
              <w:jc w:val="center"/>
              <w:textAlignment w:val="auto"/>
              <w:rPr>
                <w:sz w:val="21"/>
                <w:szCs w:val="21"/>
              </w:rPr>
            </w:pPr>
            <w:r>
              <w:rPr>
                <w:sz w:val="21"/>
                <w:szCs w:val="21"/>
              </w:rPr>
              <w:t>加热装置多级调节</w:t>
            </w:r>
            <w:r>
              <w:rPr>
                <w:sz w:val="21"/>
                <w:szCs w:val="21"/>
                <w:vertAlign w:val="superscript"/>
              </w:rPr>
              <w:t>j</w:t>
            </w:r>
            <w:r>
              <w:rPr>
                <w:sz w:val="21"/>
                <w:szCs w:val="21"/>
              </w:rPr>
              <w:t>，使用清洁能源</w:t>
            </w:r>
          </w:p>
        </w:tc>
        <w:tc>
          <w:tcPr>
            <w:tcW w:w="2010" w:type="dxa"/>
            <w:vAlign w:val="center"/>
          </w:tcPr>
          <w:p w:rsidR="00EE56C0" w:rsidRDefault="000F36A1">
            <w:pPr>
              <w:adjustRightInd/>
              <w:snapToGrid/>
              <w:spacing w:line="240" w:lineRule="auto"/>
              <w:ind w:firstLineChars="0" w:firstLine="0"/>
              <w:textAlignment w:val="auto"/>
              <w:rPr>
                <w:bCs/>
                <w:kern w:val="2"/>
                <w:sz w:val="21"/>
                <w:szCs w:val="21"/>
              </w:rPr>
            </w:pPr>
            <w:r>
              <w:rPr>
                <w:bCs/>
                <w:kern w:val="2"/>
                <w:sz w:val="21"/>
                <w:szCs w:val="21"/>
              </w:rPr>
              <w:t>本项目</w:t>
            </w:r>
            <w:r>
              <w:rPr>
                <w:rFonts w:hint="eastAsia"/>
                <w:bCs/>
                <w:kern w:val="2"/>
                <w:sz w:val="21"/>
                <w:szCs w:val="21"/>
              </w:rPr>
              <w:t>烘干采用电加热，装置内部采用余热利用节能技术，电加热配套调功器调节。</w:t>
            </w:r>
          </w:p>
        </w:tc>
        <w:tc>
          <w:tcPr>
            <w:tcW w:w="709" w:type="dxa"/>
            <w:vAlign w:val="center"/>
          </w:tcPr>
          <w:p w:rsidR="00EE56C0" w:rsidRDefault="000F36A1">
            <w:pPr>
              <w:adjustRightInd/>
              <w:snapToGrid/>
              <w:spacing w:line="240" w:lineRule="auto"/>
              <w:ind w:firstLineChars="0" w:firstLine="0"/>
              <w:jc w:val="center"/>
              <w:textAlignment w:val="auto"/>
              <w:rPr>
                <w:bCs/>
                <w:kern w:val="2"/>
                <w:sz w:val="21"/>
                <w:szCs w:val="21"/>
              </w:rPr>
            </w:pPr>
            <w:r>
              <w:rPr>
                <w:rFonts w:ascii="宋体" w:hAnsi="宋体" w:cs="宋体" w:hint="eastAsia"/>
                <w:bCs/>
                <w:kern w:val="2"/>
                <w:sz w:val="21"/>
                <w:szCs w:val="21"/>
              </w:rPr>
              <w:t>Ⅰ</w:t>
            </w:r>
            <w:r>
              <w:rPr>
                <w:bCs/>
                <w:kern w:val="2"/>
                <w:sz w:val="21"/>
                <w:szCs w:val="21"/>
              </w:rPr>
              <w:t>级</w:t>
            </w:r>
          </w:p>
        </w:tc>
      </w:tr>
      <w:tr w:rsidR="00EE56C0">
        <w:trPr>
          <w:cantSplit/>
          <w:trHeight w:val="397"/>
          <w:tblHeader/>
          <w:jc w:val="center"/>
        </w:trPr>
        <w:tc>
          <w:tcPr>
            <w:tcW w:w="818" w:type="dxa"/>
            <w:vAlign w:val="center"/>
          </w:tcPr>
          <w:p w:rsidR="00EE56C0" w:rsidRDefault="005338D5">
            <w:pPr>
              <w:adjustRightInd/>
              <w:snapToGrid/>
              <w:spacing w:line="240" w:lineRule="auto"/>
              <w:ind w:firstLineChars="0" w:firstLine="0"/>
              <w:jc w:val="center"/>
              <w:textAlignment w:val="auto"/>
              <w:rPr>
                <w:kern w:val="2"/>
                <w:sz w:val="21"/>
                <w:szCs w:val="21"/>
              </w:rPr>
            </w:pPr>
            <w:r>
              <w:rPr>
                <w:rFonts w:hint="eastAsia"/>
                <w:bCs/>
                <w:kern w:val="2"/>
                <w:sz w:val="21"/>
                <w:szCs w:val="21"/>
              </w:rPr>
              <w:t>5</w:t>
            </w:r>
          </w:p>
        </w:tc>
        <w:tc>
          <w:tcPr>
            <w:tcW w:w="984" w:type="dxa"/>
            <w:vMerge/>
            <w:vAlign w:val="center"/>
          </w:tcPr>
          <w:p w:rsidR="00EE56C0" w:rsidRDefault="00EE56C0">
            <w:pPr>
              <w:adjustRightInd/>
              <w:snapToGrid/>
              <w:spacing w:line="240" w:lineRule="auto"/>
              <w:ind w:firstLineChars="0" w:firstLine="0"/>
              <w:jc w:val="center"/>
              <w:textAlignment w:val="auto"/>
              <w:rPr>
                <w:bCs/>
                <w:kern w:val="2"/>
                <w:sz w:val="21"/>
                <w:szCs w:val="21"/>
              </w:rPr>
            </w:pPr>
          </w:p>
        </w:tc>
        <w:tc>
          <w:tcPr>
            <w:tcW w:w="851" w:type="dxa"/>
            <w:vMerge/>
            <w:vAlign w:val="center"/>
          </w:tcPr>
          <w:p w:rsidR="00EE56C0" w:rsidRDefault="00EE56C0">
            <w:pPr>
              <w:adjustRightInd/>
              <w:snapToGrid/>
              <w:spacing w:line="240" w:lineRule="auto"/>
              <w:ind w:firstLineChars="0" w:firstLine="0"/>
              <w:jc w:val="center"/>
              <w:textAlignment w:val="auto"/>
              <w:rPr>
                <w:bCs/>
                <w:kern w:val="2"/>
                <w:sz w:val="21"/>
                <w:szCs w:val="21"/>
              </w:rPr>
            </w:pPr>
          </w:p>
        </w:tc>
        <w:tc>
          <w:tcPr>
            <w:tcW w:w="850" w:type="dxa"/>
            <w:vMerge w:val="restart"/>
            <w:vAlign w:val="center"/>
          </w:tcPr>
          <w:p w:rsidR="00EE56C0" w:rsidRDefault="000F36A1">
            <w:pPr>
              <w:widowControl/>
              <w:adjustRightInd/>
              <w:snapToGrid/>
              <w:spacing w:line="240" w:lineRule="auto"/>
              <w:ind w:firstLineChars="0" w:firstLine="0"/>
              <w:jc w:val="center"/>
              <w:textAlignment w:val="auto"/>
              <w:rPr>
                <w:sz w:val="21"/>
                <w:szCs w:val="21"/>
              </w:rPr>
            </w:pPr>
            <w:r>
              <w:rPr>
                <w:sz w:val="21"/>
                <w:szCs w:val="21"/>
              </w:rPr>
              <w:t>废气处</w:t>
            </w:r>
          </w:p>
          <w:p w:rsidR="00EE56C0" w:rsidRDefault="000F36A1">
            <w:pPr>
              <w:adjustRightInd/>
              <w:snapToGrid/>
              <w:spacing w:line="240" w:lineRule="auto"/>
              <w:ind w:firstLineChars="0" w:firstLine="0"/>
              <w:jc w:val="center"/>
              <w:textAlignment w:val="auto"/>
              <w:rPr>
                <w:bCs/>
                <w:kern w:val="2"/>
                <w:sz w:val="21"/>
                <w:szCs w:val="21"/>
              </w:rPr>
            </w:pPr>
            <w:r>
              <w:rPr>
                <w:sz w:val="21"/>
                <w:szCs w:val="21"/>
              </w:rPr>
              <w:t>理设施</w:t>
            </w:r>
          </w:p>
        </w:tc>
        <w:tc>
          <w:tcPr>
            <w:tcW w:w="993" w:type="dxa"/>
            <w:vAlign w:val="center"/>
          </w:tcPr>
          <w:p w:rsidR="00EE56C0" w:rsidRDefault="000F36A1">
            <w:pPr>
              <w:adjustRightInd/>
              <w:snapToGrid/>
              <w:spacing w:line="240" w:lineRule="auto"/>
              <w:ind w:firstLineChars="0" w:firstLine="0"/>
              <w:jc w:val="center"/>
              <w:textAlignment w:val="auto"/>
              <w:rPr>
                <w:sz w:val="21"/>
                <w:szCs w:val="21"/>
              </w:rPr>
            </w:pPr>
            <w:r>
              <w:rPr>
                <w:sz w:val="21"/>
                <w:szCs w:val="21"/>
              </w:rPr>
              <w:t>喷漆</w:t>
            </w:r>
          </w:p>
          <w:p w:rsidR="00EE56C0" w:rsidRDefault="000F36A1">
            <w:pPr>
              <w:adjustRightInd/>
              <w:snapToGrid/>
              <w:spacing w:line="240" w:lineRule="auto"/>
              <w:ind w:firstLineChars="0" w:firstLine="0"/>
              <w:jc w:val="center"/>
              <w:textAlignment w:val="auto"/>
              <w:rPr>
                <w:bCs/>
                <w:kern w:val="2"/>
                <w:sz w:val="21"/>
                <w:szCs w:val="21"/>
              </w:rPr>
            </w:pPr>
            <w:r>
              <w:rPr>
                <w:sz w:val="21"/>
                <w:szCs w:val="21"/>
              </w:rPr>
              <w:t>废气</w:t>
            </w:r>
          </w:p>
        </w:tc>
        <w:tc>
          <w:tcPr>
            <w:tcW w:w="850" w:type="dxa"/>
            <w:vMerge w:val="restart"/>
            <w:vAlign w:val="center"/>
          </w:tcPr>
          <w:p w:rsidR="00EE56C0" w:rsidRDefault="000F36A1">
            <w:pPr>
              <w:adjustRightInd/>
              <w:snapToGrid/>
              <w:spacing w:line="240" w:lineRule="auto"/>
              <w:ind w:firstLineChars="0" w:firstLine="0"/>
              <w:jc w:val="center"/>
              <w:textAlignment w:val="auto"/>
              <w:rPr>
                <w:bCs/>
                <w:kern w:val="2"/>
                <w:sz w:val="21"/>
                <w:szCs w:val="21"/>
              </w:rPr>
            </w:pPr>
            <w:r>
              <w:rPr>
                <w:bCs/>
                <w:kern w:val="2"/>
                <w:sz w:val="21"/>
                <w:szCs w:val="21"/>
              </w:rPr>
              <w:t>-</w:t>
            </w:r>
          </w:p>
        </w:tc>
        <w:tc>
          <w:tcPr>
            <w:tcW w:w="992" w:type="dxa"/>
            <w:vAlign w:val="center"/>
          </w:tcPr>
          <w:p w:rsidR="00EE56C0" w:rsidRDefault="000F36A1" w:rsidP="002864C7">
            <w:pPr>
              <w:adjustRightInd/>
              <w:snapToGrid/>
              <w:spacing w:line="240" w:lineRule="auto"/>
              <w:ind w:firstLineChars="0" w:firstLine="0"/>
              <w:jc w:val="center"/>
              <w:textAlignment w:val="auto"/>
              <w:rPr>
                <w:bCs/>
                <w:kern w:val="2"/>
                <w:sz w:val="21"/>
                <w:szCs w:val="21"/>
              </w:rPr>
            </w:pPr>
            <w:r>
              <w:rPr>
                <w:bCs/>
                <w:kern w:val="2"/>
                <w:sz w:val="21"/>
                <w:szCs w:val="21"/>
              </w:rPr>
              <w:t>0.1</w:t>
            </w:r>
            <w:r w:rsidR="002864C7">
              <w:rPr>
                <w:rFonts w:hint="eastAsia"/>
                <w:bCs/>
                <w:kern w:val="2"/>
                <w:sz w:val="21"/>
                <w:szCs w:val="21"/>
              </w:rPr>
              <w:t>8</w:t>
            </w:r>
          </w:p>
        </w:tc>
        <w:tc>
          <w:tcPr>
            <w:tcW w:w="2410" w:type="dxa"/>
            <w:gridSpan w:val="2"/>
            <w:vAlign w:val="center"/>
          </w:tcPr>
          <w:p w:rsidR="00EE56C0" w:rsidRDefault="000F36A1">
            <w:pPr>
              <w:widowControl/>
              <w:adjustRightInd/>
              <w:snapToGrid/>
              <w:spacing w:line="240" w:lineRule="auto"/>
              <w:ind w:firstLineChars="0" w:firstLine="0"/>
              <w:jc w:val="center"/>
              <w:textAlignment w:val="auto"/>
              <w:rPr>
                <w:sz w:val="21"/>
                <w:szCs w:val="21"/>
              </w:rPr>
            </w:pPr>
            <w:r>
              <w:rPr>
                <w:sz w:val="21"/>
                <w:szCs w:val="21"/>
              </w:rPr>
              <w:t>溶剂工艺段有</w:t>
            </w:r>
            <w:r>
              <w:rPr>
                <w:sz w:val="21"/>
                <w:szCs w:val="21"/>
              </w:rPr>
              <w:t>VOCs</w:t>
            </w:r>
            <w:r>
              <w:rPr>
                <w:sz w:val="21"/>
                <w:szCs w:val="21"/>
              </w:rPr>
              <w:t>处理设施，处理效率</w:t>
            </w:r>
            <w:r>
              <w:rPr>
                <w:sz w:val="21"/>
                <w:szCs w:val="21"/>
              </w:rPr>
              <w:t>≥85%</w:t>
            </w:r>
            <w:r>
              <w:rPr>
                <w:sz w:val="21"/>
                <w:szCs w:val="21"/>
              </w:rPr>
              <w:t>；有</w:t>
            </w:r>
            <w:r>
              <w:rPr>
                <w:sz w:val="21"/>
                <w:szCs w:val="21"/>
              </w:rPr>
              <w:t>VOCs</w:t>
            </w:r>
            <w:r>
              <w:rPr>
                <w:sz w:val="21"/>
                <w:szCs w:val="21"/>
              </w:rPr>
              <w:t>处理设备运行监控装置</w:t>
            </w:r>
          </w:p>
        </w:tc>
        <w:tc>
          <w:tcPr>
            <w:tcW w:w="2693" w:type="dxa"/>
            <w:gridSpan w:val="2"/>
            <w:vAlign w:val="center"/>
          </w:tcPr>
          <w:p w:rsidR="00EE56C0" w:rsidRDefault="000F36A1">
            <w:pPr>
              <w:widowControl/>
              <w:adjustRightInd/>
              <w:snapToGrid/>
              <w:spacing w:line="240" w:lineRule="auto"/>
              <w:ind w:firstLineChars="0" w:firstLine="0"/>
              <w:jc w:val="center"/>
              <w:textAlignment w:val="auto"/>
              <w:rPr>
                <w:sz w:val="21"/>
                <w:szCs w:val="21"/>
              </w:rPr>
            </w:pPr>
            <w:r>
              <w:rPr>
                <w:sz w:val="21"/>
                <w:szCs w:val="21"/>
              </w:rPr>
              <w:t>溶剂型喷漆有</w:t>
            </w:r>
            <w:r>
              <w:rPr>
                <w:sz w:val="21"/>
                <w:szCs w:val="21"/>
              </w:rPr>
              <w:t>VOCs</w:t>
            </w:r>
            <w:r>
              <w:rPr>
                <w:sz w:val="21"/>
                <w:szCs w:val="21"/>
              </w:rPr>
              <w:t>处理设施，处理效率</w:t>
            </w:r>
            <w:r>
              <w:rPr>
                <w:sz w:val="21"/>
                <w:szCs w:val="21"/>
              </w:rPr>
              <w:t>≥75%</w:t>
            </w:r>
            <w:r>
              <w:rPr>
                <w:sz w:val="21"/>
                <w:szCs w:val="21"/>
              </w:rPr>
              <w:t>；有</w:t>
            </w:r>
            <w:r>
              <w:rPr>
                <w:sz w:val="21"/>
                <w:szCs w:val="21"/>
              </w:rPr>
              <w:t>VOCs</w:t>
            </w:r>
            <w:r>
              <w:rPr>
                <w:sz w:val="21"/>
                <w:szCs w:val="21"/>
              </w:rPr>
              <w:t>处理设备运行监控装置</w:t>
            </w:r>
          </w:p>
        </w:tc>
        <w:tc>
          <w:tcPr>
            <w:tcW w:w="2010" w:type="dxa"/>
            <w:vAlign w:val="center"/>
          </w:tcPr>
          <w:p w:rsidR="00EE56C0" w:rsidRDefault="000F36A1">
            <w:pPr>
              <w:adjustRightInd/>
              <w:snapToGrid/>
              <w:spacing w:line="240" w:lineRule="auto"/>
              <w:ind w:firstLineChars="0" w:firstLine="0"/>
              <w:textAlignment w:val="auto"/>
              <w:rPr>
                <w:bCs/>
                <w:kern w:val="2"/>
                <w:sz w:val="21"/>
                <w:szCs w:val="21"/>
              </w:rPr>
            </w:pPr>
            <w:r>
              <w:rPr>
                <w:rFonts w:hint="eastAsia"/>
                <w:bCs/>
                <w:kern w:val="2"/>
                <w:sz w:val="21"/>
                <w:szCs w:val="21"/>
              </w:rPr>
              <w:t>本项目不涉及喷漆，为浸漆工艺，漆包线、丝包线浸漆段</w:t>
            </w:r>
            <w:r>
              <w:rPr>
                <w:rFonts w:hint="eastAsia"/>
                <w:bCs/>
                <w:kern w:val="2"/>
                <w:sz w:val="21"/>
                <w:szCs w:val="21"/>
              </w:rPr>
              <w:t>VOCs</w:t>
            </w:r>
            <w:r>
              <w:rPr>
                <w:rFonts w:hint="eastAsia"/>
                <w:bCs/>
                <w:kern w:val="2"/>
                <w:sz w:val="21"/>
                <w:szCs w:val="21"/>
              </w:rPr>
              <w:t>废气经活性炭吸附</w:t>
            </w:r>
            <w:r>
              <w:rPr>
                <w:rFonts w:hint="eastAsia"/>
                <w:bCs/>
                <w:kern w:val="2"/>
                <w:sz w:val="21"/>
                <w:szCs w:val="21"/>
              </w:rPr>
              <w:t>-</w:t>
            </w:r>
            <w:r>
              <w:rPr>
                <w:rFonts w:hint="eastAsia"/>
                <w:bCs/>
                <w:kern w:val="2"/>
                <w:sz w:val="21"/>
                <w:szCs w:val="21"/>
              </w:rPr>
              <w:t>脱附</w:t>
            </w:r>
            <w:r>
              <w:rPr>
                <w:rFonts w:hint="eastAsia"/>
                <w:bCs/>
                <w:kern w:val="2"/>
                <w:sz w:val="21"/>
                <w:szCs w:val="21"/>
              </w:rPr>
              <w:t>-</w:t>
            </w:r>
            <w:r>
              <w:rPr>
                <w:rFonts w:hint="eastAsia"/>
                <w:bCs/>
                <w:kern w:val="2"/>
                <w:sz w:val="21"/>
                <w:szCs w:val="21"/>
              </w:rPr>
              <w:t>催化燃烧或沸石吸附</w:t>
            </w:r>
            <w:r>
              <w:rPr>
                <w:rFonts w:hint="eastAsia"/>
                <w:bCs/>
                <w:kern w:val="2"/>
                <w:sz w:val="21"/>
                <w:szCs w:val="21"/>
              </w:rPr>
              <w:t>-</w:t>
            </w:r>
            <w:r>
              <w:rPr>
                <w:rFonts w:hint="eastAsia"/>
                <w:bCs/>
                <w:kern w:val="2"/>
                <w:sz w:val="21"/>
                <w:szCs w:val="21"/>
              </w:rPr>
              <w:t>脱附</w:t>
            </w:r>
            <w:r>
              <w:rPr>
                <w:rFonts w:hint="eastAsia"/>
                <w:bCs/>
                <w:kern w:val="2"/>
                <w:sz w:val="21"/>
                <w:szCs w:val="21"/>
              </w:rPr>
              <w:t>-</w:t>
            </w:r>
            <w:r>
              <w:rPr>
                <w:rFonts w:hint="eastAsia"/>
                <w:bCs/>
                <w:kern w:val="2"/>
                <w:sz w:val="21"/>
                <w:szCs w:val="21"/>
              </w:rPr>
              <w:t>催化燃烧处理，</w:t>
            </w:r>
            <w:r>
              <w:rPr>
                <w:sz w:val="21"/>
                <w:szCs w:val="21"/>
              </w:rPr>
              <w:t>处理效率</w:t>
            </w:r>
            <w:r>
              <w:rPr>
                <w:sz w:val="21"/>
                <w:szCs w:val="21"/>
              </w:rPr>
              <w:t>≥85%</w:t>
            </w:r>
            <w:r>
              <w:rPr>
                <w:rFonts w:hint="eastAsia"/>
                <w:bCs/>
                <w:kern w:val="2"/>
                <w:sz w:val="21"/>
                <w:szCs w:val="21"/>
              </w:rPr>
              <w:t>，</w:t>
            </w:r>
            <w:r>
              <w:rPr>
                <w:rFonts w:hint="eastAsia"/>
                <w:sz w:val="21"/>
                <w:szCs w:val="21"/>
              </w:rPr>
              <w:t>配套非甲烷总烃在线</w:t>
            </w:r>
            <w:r>
              <w:rPr>
                <w:sz w:val="21"/>
                <w:szCs w:val="21"/>
              </w:rPr>
              <w:t>监控装置</w:t>
            </w:r>
            <w:r>
              <w:rPr>
                <w:rFonts w:hint="eastAsia"/>
                <w:sz w:val="21"/>
                <w:szCs w:val="21"/>
              </w:rPr>
              <w:t>。</w:t>
            </w:r>
          </w:p>
        </w:tc>
        <w:tc>
          <w:tcPr>
            <w:tcW w:w="709" w:type="dxa"/>
            <w:vAlign w:val="center"/>
          </w:tcPr>
          <w:p w:rsidR="00EE56C0" w:rsidRDefault="000F36A1">
            <w:pPr>
              <w:adjustRightInd/>
              <w:snapToGrid/>
              <w:spacing w:line="240" w:lineRule="auto"/>
              <w:ind w:firstLineChars="0" w:firstLine="0"/>
              <w:jc w:val="center"/>
              <w:textAlignment w:val="auto"/>
              <w:rPr>
                <w:bCs/>
                <w:kern w:val="2"/>
                <w:sz w:val="21"/>
                <w:szCs w:val="21"/>
              </w:rPr>
            </w:pPr>
            <w:r>
              <w:rPr>
                <w:rFonts w:ascii="宋体" w:hAnsi="宋体" w:cs="宋体" w:hint="eastAsia"/>
                <w:bCs/>
                <w:kern w:val="2"/>
                <w:sz w:val="21"/>
                <w:szCs w:val="21"/>
              </w:rPr>
              <w:t>Ⅰ</w:t>
            </w:r>
            <w:r>
              <w:rPr>
                <w:bCs/>
                <w:kern w:val="2"/>
                <w:sz w:val="21"/>
                <w:szCs w:val="21"/>
              </w:rPr>
              <w:t>级</w:t>
            </w:r>
          </w:p>
        </w:tc>
      </w:tr>
      <w:tr w:rsidR="00EE56C0">
        <w:trPr>
          <w:cantSplit/>
          <w:trHeight w:val="397"/>
          <w:tblHeader/>
          <w:jc w:val="center"/>
        </w:trPr>
        <w:tc>
          <w:tcPr>
            <w:tcW w:w="818" w:type="dxa"/>
            <w:vAlign w:val="center"/>
          </w:tcPr>
          <w:p w:rsidR="00EE56C0" w:rsidRDefault="005338D5">
            <w:pPr>
              <w:adjustRightInd/>
              <w:snapToGrid/>
              <w:spacing w:line="240" w:lineRule="auto"/>
              <w:ind w:firstLineChars="0" w:firstLine="0"/>
              <w:jc w:val="center"/>
              <w:textAlignment w:val="auto"/>
              <w:rPr>
                <w:bCs/>
                <w:kern w:val="2"/>
                <w:sz w:val="21"/>
                <w:szCs w:val="21"/>
              </w:rPr>
            </w:pPr>
            <w:r>
              <w:rPr>
                <w:rFonts w:hint="eastAsia"/>
                <w:bCs/>
                <w:kern w:val="2"/>
                <w:sz w:val="21"/>
                <w:szCs w:val="21"/>
              </w:rPr>
              <w:t>6</w:t>
            </w:r>
          </w:p>
        </w:tc>
        <w:tc>
          <w:tcPr>
            <w:tcW w:w="984" w:type="dxa"/>
            <w:vMerge/>
            <w:vAlign w:val="center"/>
          </w:tcPr>
          <w:p w:rsidR="00EE56C0" w:rsidRDefault="00EE56C0">
            <w:pPr>
              <w:adjustRightInd/>
              <w:snapToGrid/>
              <w:spacing w:line="240" w:lineRule="auto"/>
              <w:ind w:firstLineChars="0" w:firstLine="0"/>
              <w:jc w:val="center"/>
              <w:textAlignment w:val="auto"/>
              <w:rPr>
                <w:bCs/>
                <w:kern w:val="2"/>
                <w:sz w:val="21"/>
                <w:szCs w:val="21"/>
              </w:rPr>
            </w:pPr>
          </w:p>
        </w:tc>
        <w:tc>
          <w:tcPr>
            <w:tcW w:w="851" w:type="dxa"/>
            <w:vMerge/>
            <w:vAlign w:val="center"/>
          </w:tcPr>
          <w:p w:rsidR="00EE56C0" w:rsidRDefault="00EE56C0">
            <w:pPr>
              <w:adjustRightInd/>
              <w:snapToGrid/>
              <w:spacing w:line="240" w:lineRule="auto"/>
              <w:ind w:firstLineChars="0" w:firstLine="0"/>
              <w:jc w:val="center"/>
              <w:textAlignment w:val="auto"/>
              <w:rPr>
                <w:bCs/>
                <w:kern w:val="2"/>
                <w:sz w:val="21"/>
                <w:szCs w:val="21"/>
              </w:rPr>
            </w:pPr>
          </w:p>
        </w:tc>
        <w:tc>
          <w:tcPr>
            <w:tcW w:w="850" w:type="dxa"/>
            <w:vMerge/>
            <w:vAlign w:val="center"/>
          </w:tcPr>
          <w:p w:rsidR="00EE56C0" w:rsidRDefault="00EE56C0">
            <w:pPr>
              <w:adjustRightInd/>
              <w:snapToGrid/>
              <w:spacing w:line="240" w:lineRule="auto"/>
              <w:ind w:firstLineChars="0" w:firstLine="0"/>
              <w:jc w:val="center"/>
              <w:textAlignment w:val="auto"/>
              <w:rPr>
                <w:bCs/>
                <w:kern w:val="2"/>
                <w:sz w:val="21"/>
                <w:szCs w:val="21"/>
              </w:rPr>
            </w:pPr>
          </w:p>
        </w:tc>
        <w:tc>
          <w:tcPr>
            <w:tcW w:w="993" w:type="dxa"/>
            <w:vAlign w:val="center"/>
          </w:tcPr>
          <w:p w:rsidR="00EE56C0" w:rsidRDefault="000F36A1">
            <w:pPr>
              <w:widowControl/>
              <w:adjustRightInd/>
              <w:snapToGrid/>
              <w:spacing w:line="240" w:lineRule="auto"/>
              <w:ind w:firstLineChars="0" w:firstLine="0"/>
              <w:jc w:val="center"/>
              <w:textAlignment w:val="auto"/>
              <w:rPr>
                <w:sz w:val="21"/>
                <w:szCs w:val="21"/>
              </w:rPr>
            </w:pPr>
            <w:r>
              <w:rPr>
                <w:sz w:val="21"/>
                <w:szCs w:val="21"/>
              </w:rPr>
              <w:t>涂层烘干废</w:t>
            </w:r>
          </w:p>
          <w:p w:rsidR="00EE56C0" w:rsidRDefault="000F36A1">
            <w:pPr>
              <w:adjustRightInd/>
              <w:snapToGrid/>
              <w:spacing w:line="240" w:lineRule="auto"/>
              <w:ind w:firstLineChars="0" w:firstLine="0"/>
              <w:jc w:val="center"/>
              <w:textAlignment w:val="auto"/>
              <w:rPr>
                <w:bCs/>
                <w:kern w:val="2"/>
                <w:sz w:val="21"/>
                <w:szCs w:val="21"/>
              </w:rPr>
            </w:pPr>
            <w:r>
              <w:rPr>
                <w:sz w:val="21"/>
                <w:szCs w:val="21"/>
              </w:rPr>
              <w:t>气</w:t>
            </w:r>
          </w:p>
        </w:tc>
        <w:tc>
          <w:tcPr>
            <w:tcW w:w="850" w:type="dxa"/>
            <w:vMerge/>
            <w:vAlign w:val="center"/>
          </w:tcPr>
          <w:p w:rsidR="00EE56C0" w:rsidRDefault="00EE56C0">
            <w:pPr>
              <w:adjustRightInd/>
              <w:snapToGrid/>
              <w:spacing w:line="240" w:lineRule="auto"/>
              <w:ind w:firstLineChars="0" w:firstLine="0"/>
              <w:jc w:val="center"/>
              <w:textAlignment w:val="auto"/>
              <w:rPr>
                <w:bCs/>
                <w:kern w:val="2"/>
                <w:sz w:val="21"/>
                <w:szCs w:val="21"/>
              </w:rPr>
            </w:pPr>
          </w:p>
        </w:tc>
        <w:tc>
          <w:tcPr>
            <w:tcW w:w="992" w:type="dxa"/>
            <w:vAlign w:val="center"/>
          </w:tcPr>
          <w:p w:rsidR="00EE56C0" w:rsidRDefault="000F36A1" w:rsidP="002864C7">
            <w:pPr>
              <w:adjustRightInd/>
              <w:snapToGrid/>
              <w:spacing w:line="240" w:lineRule="auto"/>
              <w:ind w:firstLineChars="0" w:firstLine="0"/>
              <w:jc w:val="center"/>
              <w:textAlignment w:val="auto"/>
              <w:rPr>
                <w:bCs/>
                <w:kern w:val="2"/>
                <w:sz w:val="21"/>
                <w:szCs w:val="21"/>
              </w:rPr>
            </w:pPr>
            <w:r>
              <w:rPr>
                <w:bCs/>
                <w:kern w:val="2"/>
                <w:sz w:val="21"/>
                <w:szCs w:val="21"/>
              </w:rPr>
              <w:t>0.1</w:t>
            </w:r>
            <w:r w:rsidR="002864C7">
              <w:rPr>
                <w:rFonts w:hint="eastAsia"/>
                <w:bCs/>
                <w:kern w:val="2"/>
                <w:sz w:val="21"/>
                <w:szCs w:val="21"/>
              </w:rPr>
              <w:t>8</w:t>
            </w:r>
          </w:p>
        </w:tc>
        <w:tc>
          <w:tcPr>
            <w:tcW w:w="1276" w:type="dxa"/>
            <w:vAlign w:val="center"/>
          </w:tcPr>
          <w:p w:rsidR="00EE56C0" w:rsidRDefault="000F36A1">
            <w:pPr>
              <w:widowControl/>
              <w:adjustRightInd/>
              <w:snapToGrid/>
              <w:spacing w:line="240" w:lineRule="auto"/>
              <w:ind w:firstLineChars="0" w:firstLine="0"/>
              <w:jc w:val="center"/>
              <w:textAlignment w:val="auto"/>
              <w:rPr>
                <w:sz w:val="21"/>
                <w:szCs w:val="21"/>
              </w:rPr>
            </w:pPr>
            <w:r>
              <w:rPr>
                <w:sz w:val="21"/>
                <w:szCs w:val="21"/>
              </w:rPr>
              <w:t>有</w:t>
            </w:r>
            <w:r>
              <w:rPr>
                <w:sz w:val="21"/>
                <w:szCs w:val="21"/>
              </w:rPr>
              <w:t>VOCs</w:t>
            </w:r>
            <w:r>
              <w:rPr>
                <w:sz w:val="21"/>
                <w:szCs w:val="21"/>
              </w:rPr>
              <w:t>处理设施，处理效率</w:t>
            </w:r>
            <w:r>
              <w:rPr>
                <w:sz w:val="21"/>
                <w:szCs w:val="21"/>
              </w:rPr>
              <w:t>≥98%</w:t>
            </w:r>
            <w:r>
              <w:rPr>
                <w:sz w:val="21"/>
                <w:szCs w:val="21"/>
              </w:rPr>
              <w:t>；有</w:t>
            </w:r>
            <w:r>
              <w:rPr>
                <w:sz w:val="21"/>
                <w:szCs w:val="21"/>
              </w:rPr>
              <w:t>VOCs</w:t>
            </w:r>
            <w:r>
              <w:rPr>
                <w:sz w:val="21"/>
                <w:szCs w:val="21"/>
              </w:rPr>
              <w:t>处理设备运行监控装置</w:t>
            </w:r>
          </w:p>
        </w:tc>
        <w:tc>
          <w:tcPr>
            <w:tcW w:w="1134" w:type="dxa"/>
            <w:vAlign w:val="center"/>
          </w:tcPr>
          <w:p w:rsidR="00EE56C0" w:rsidRDefault="000F36A1">
            <w:pPr>
              <w:widowControl/>
              <w:adjustRightInd/>
              <w:snapToGrid/>
              <w:spacing w:line="240" w:lineRule="auto"/>
              <w:ind w:firstLineChars="0" w:firstLine="0"/>
              <w:jc w:val="center"/>
              <w:textAlignment w:val="auto"/>
              <w:rPr>
                <w:sz w:val="21"/>
                <w:szCs w:val="21"/>
              </w:rPr>
            </w:pPr>
            <w:r>
              <w:rPr>
                <w:sz w:val="21"/>
                <w:szCs w:val="21"/>
              </w:rPr>
              <w:t>有</w:t>
            </w:r>
            <w:r>
              <w:rPr>
                <w:sz w:val="21"/>
                <w:szCs w:val="21"/>
              </w:rPr>
              <w:t>VOCs</w:t>
            </w:r>
            <w:r>
              <w:rPr>
                <w:sz w:val="21"/>
                <w:szCs w:val="21"/>
              </w:rPr>
              <w:t>处理设施，处理效率</w:t>
            </w:r>
            <w:r>
              <w:rPr>
                <w:sz w:val="21"/>
                <w:szCs w:val="21"/>
              </w:rPr>
              <w:t>≥95%</w:t>
            </w:r>
            <w:r>
              <w:rPr>
                <w:sz w:val="21"/>
                <w:szCs w:val="21"/>
              </w:rPr>
              <w:t>；有</w:t>
            </w:r>
            <w:r>
              <w:rPr>
                <w:sz w:val="21"/>
                <w:szCs w:val="21"/>
              </w:rPr>
              <w:t>VOCs</w:t>
            </w:r>
            <w:r>
              <w:rPr>
                <w:sz w:val="21"/>
                <w:szCs w:val="21"/>
              </w:rPr>
              <w:t>处理设备运行监控装置</w:t>
            </w:r>
          </w:p>
        </w:tc>
        <w:tc>
          <w:tcPr>
            <w:tcW w:w="2693" w:type="dxa"/>
            <w:gridSpan w:val="2"/>
            <w:vAlign w:val="center"/>
          </w:tcPr>
          <w:p w:rsidR="00EE56C0" w:rsidRDefault="000F36A1">
            <w:pPr>
              <w:widowControl/>
              <w:adjustRightInd/>
              <w:snapToGrid/>
              <w:spacing w:line="240" w:lineRule="auto"/>
              <w:ind w:firstLineChars="0" w:firstLine="0"/>
              <w:jc w:val="center"/>
              <w:textAlignment w:val="auto"/>
              <w:rPr>
                <w:sz w:val="21"/>
                <w:szCs w:val="21"/>
              </w:rPr>
            </w:pPr>
            <w:r>
              <w:rPr>
                <w:sz w:val="21"/>
                <w:szCs w:val="21"/>
              </w:rPr>
              <w:t>有</w:t>
            </w:r>
            <w:r>
              <w:rPr>
                <w:sz w:val="21"/>
                <w:szCs w:val="21"/>
              </w:rPr>
              <w:t>VOCs</w:t>
            </w:r>
            <w:r>
              <w:rPr>
                <w:sz w:val="21"/>
                <w:szCs w:val="21"/>
              </w:rPr>
              <w:t>处理设施，处理效率</w:t>
            </w:r>
            <w:r>
              <w:rPr>
                <w:sz w:val="21"/>
                <w:szCs w:val="21"/>
              </w:rPr>
              <w:t>≥90%</w:t>
            </w:r>
            <w:r>
              <w:rPr>
                <w:sz w:val="21"/>
                <w:szCs w:val="21"/>
              </w:rPr>
              <w:t>；有</w:t>
            </w:r>
            <w:r>
              <w:rPr>
                <w:sz w:val="21"/>
                <w:szCs w:val="21"/>
              </w:rPr>
              <w:t>VOCs</w:t>
            </w:r>
            <w:r>
              <w:rPr>
                <w:sz w:val="21"/>
                <w:szCs w:val="21"/>
              </w:rPr>
              <w:t>处理设备运行监控装置</w:t>
            </w:r>
          </w:p>
        </w:tc>
        <w:tc>
          <w:tcPr>
            <w:tcW w:w="2010" w:type="dxa"/>
            <w:vAlign w:val="center"/>
          </w:tcPr>
          <w:p w:rsidR="00EE56C0" w:rsidRPr="00354508" w:rsidRDefault="000F36A1" w:rsidP="00354508">
            <w:pPr>
              <w:adjustRightInd/>
              <w:snapToGrid/>
              <w:spacing w:line="240" w:lineRule="auto"/>
              <w:ind w:firstLineChars="0" w:firstLine="0"/>
              <w:textAlignment w:val="auto"/>
              <w:rPr>
                <w:b/>
                <w:bCs/>
                <w:kern w:val="2"/>
                <w:sz w:val="21"/>
                <w:szCs w:val="21"/>
                <w:u w:val="single"/>
              </w:rPr>
            </w:pPr>
            <w:r w:rsidRPr="00354508">
              <w:rPr>
                <w:rFonts w:hint="eastAsia"/>
                <w:b/>
                <w:bCs/>
                <w:kern w:val="2"/>
                <w:sz w:val="21"/>
                <w:szCs w:val="21"/>
                <w:u w:val="single"/>
              </w:rPr>
              <w:t>漆包线、丝包线烘干废气经活性炭吸附</w:t>
            </w:r>
            <w:r w:rsidRPr="00354508">
              <w:rPr>
                <w:rFonts w:hint="eastAsia"/>
                <w:b/>
                <w:bCs/>
                <w:kern w:val="2"/>
                <w:sz w:val="21"/>
                <w:szCs w:val="21"/>
                <w:u w:val="single"/>
              </w:rPr>
              <w:t>-</w:t>
            </w:r>
            <w:r w:rsidRPr="00354508">
              <w:rPr>
                <w:rFonts w:hint="eastAsia"/>
                <w:b/>
                <w:bCs/>
                <w:kern w:val="2"/>
                <w:sz w:val="21"/>
                <w:szCs w:val="21"/>
                <w:u w:val="single"/>
              </w:rPr>
              <w:t>脱附</w:t>
            </w:r>
            <w:r w:rsidRPr="00354508">
              <w:rPr>
                <w:rFonts w:hint="eastAsia"/>
                <w:b/>
                <w:bCs/>
                <w:kern w:val="2"/>
                <w:sz w:val="21"/>
                <w:szCs w:val="21"/>
                <w:u w:val="single"/>
              </w:rPr>
              <w:t>-</w:t>
            </w:r>
            <w:r w:rsidRPr="00354508">
              <w:rPr>
                <w:rFonts w:hint="eastAsia"/>
                <w:b/>
                <w:bCs/>
                <w:kern w:val="2"/>
                <w:sz w:val="21"/>
                <w:szCs w:val="21"/>
                <w:u w:val="single"/>
              </w:rPr>
              <w:t>催化燃烧或沸石吸附</w:t>
            </w:r>
            <w:r w:rsidRPr="00354508">
              <w:rPr>
                <w:rFonts w:hint="eastAsia"/>
                <w:b/>
                <w:bCs/>
                <w:kern w:val="2"/>
                <w:sz w:val="21"/>
                <w:szCs w:val="21"/>
                <w:u w:val="single"/>
              </w:rPr>
              <w:t>-</w:t>
            </w:r>
            <w:r w:rsidRPr="00354508">
              <w:rPr>
                <w:rFonts w:hint="eastAsia"/>
                <w:b/>
                <w:bCs/>
                <w:kern w:val="2"/>
                <w:sz w:val="21"/>
                <w:szCs w:val="21"/>
                <w:u w:val="single"/>
              </w:rPr>
              <w:t>脱附</w:t>
            </w:r>
            <w:r w:rsidRPr="00354508">
              <w:rPr>
                <w:rFonts w:hint="eastAsia"/>
                <w:b/>
                <w:bCs/>
                <w:kern w:val="2"/>
                <w:sz w:val="21"/>
                <w:szCs w:val="21"/>
                <w:u w:val="single"/>
              </w:rPr>
              <w:t>-</w:t>
            </w:r>
            <w:r w:rsidRPr="00354508">
              <w:rPr>
                <w:rFonts w:hint="eastAsia"/>
                <w:b/>
                <w:bCs/>
                <w:kern w:val="2"/>
                <w:sz w:val="21"/>
                <w:szCs w:val="21"/>
                <w:u w:val="single"/>
              </w:rPr>
              <w:t>催化燃烧处理，根据物料平衡，废气处理效率</w:t>
            </w:r>
            <w:r w:rsidRPr="00354508">
              <w:rPr>
                <w:b/>
                <w:sz w:val="21"/>
                <w:szCs w:val="21"/>
                <w:u w:val="single"/>
              </w:rPr>
              <w:t>≥</w:t>
            </w:r>
            <w:r w:rsidRPr="00354508">
              <w:rPr>
                <w:rFonts w:hint="eastAsia"/>
                <w:b/>
                <w:sz w:val="21"/>
                <w:szCs w:val="21"/>
                <w:u w:val="single"/>
              </w:rPr>
              <w:t>9</w:t>
            </w:r>
            <w:r w:rsidR="00354508" w:rsidRPr="00354508">
              <w:rPr>
                <w:rFonts w:hint="eastAsia"/>
                <w:b/>
                <w:sz w:val="21"/>
                <w:szCs w:val="21"/>
                <w:u w:val="single"/>
              </w:rPr>
              <w:t>8</w:t>
            </w:r>
            <w:r w:rsidRPr="00354508">
              <w:rPr>
                <w:b/>
                <w:sz w:val="21"/>
                <w:szCs w:val="21"/>
                <w:u w:val="single"/>
              </w:rPr>
              <w:t>%</w:t>
            </w:r>
            <w:r w:rsidRPr="00354508">
              <w:rPr>
                <w:rFonts w:hint="eastAsia"/>
                <w:b/>
                <w:sz w:val="21"/>
                <w:szCs w:val="21"/>
                <w:u w:val="single"/>
              </w:rPr>
              <w:t>；配套非甲烷总烃在线</w:t>
            </w:r>
            <w:r w:rsidRPr="00354508">
              <w:rPr>
                <w:b/>
                <w:sz w:val="21"/>
                <w:szCs w:val="21"/>
                <w:u w:val="single"/>
              </w:rPr>
              <w:t>监控装置</w:t>
            </w:r>
            <w:r w:rsidRPr="00354508">
              <w:rPr>
                <w:rFonts w:hint="eastAsia"/>
                <w:b/>
                <w:sz w:val="21"/>
                <w:szCs w:val="21"/>
                <w:u w:val="single"/>
              </w:rPr>
              <w:t>。</w:t>
            </w:r>
          </w:p>
        </w:tc>
        <w:tc>
          <w:tcPr>
            <w:tcW w:w="709" w:type="dxa"/>
            <w:vAlign w:val="center"/>
          </w:tcPr>
          <w:p w:rsidR="00EE56C0" w:rsidRPr="00354508" w:rsidRDefault="00354508">
            <w:pPr>
              <w:adjustRightInd/>
              <w:snapToGrid/>
              <w:spacing w:line="240" w:lineRule="auto"/>
              <w:ind w:firstLineChars="0" w:firstLine="0"/>
              <w:jc w:val="center"/>
              <w:textAlignment w:val="auto"/>
              <w:rPr>
                <w:b/>
                <w:bCs/>
                <w:kern w:val="2"/>
                <w:sz w:val="21"/>
                <w:szCs w:val="21"/>
                <w:u w:val="single"/>
              </w:rPr>
            </w:pPr>
            <w:r w:rsidRPr="00354508">
              <w:rPr>
                <w:rFonts w:ascii="宋体" w:hAnsi="宋体" w:cs="宋体" w:hint="eastAsia"/>
                <w:b/>
                <w:bCs/>
                <w:kern w:val="2"/>
                <w:sz w:val="21"/>
                <w:szCs w:val="21"/>
                <w:u w:val="single"/>
              </w:rPr>
              <w:t>Ⅰ</w:t>
            </w:r>
            <w:r w:rsidRPr="00354508">
              <w:rPr>
                <w:b/>
                <w:bCs/>
                <w:kern w:val="2"/>
                <w:sz w:val="21"/>
                <w:szCs w:val="21"/>
                <w:u w:val="single"/>
              </w:rPr>
              <w:t>级</w:t>
            </w:r>
          </w:p>
        </w:tc>
      </w:tr>
      <w:tr w:rsidR="00EE56C0">
        <w:trPr>
          <w:cantSplit/>
          <w:trHeight w:val="397"/>
          <w:tblHeader/>
          <w:jc w:val="center"/>
        </w:trPr>
        <w:tc>
          <w:tcPr>
            <w:tcW w:w="818" w:type="dxa"/>
            <w:vAlign w:val="center"/>
          </w:tcPr>
          <w:p w:rsidR="00EE56C0" w:rsidRDefault="005338D5">
            <w:pPr>
              <w:adjustRightInd/>
              <w:snapToGrid/>
              <w:spacing w:line="240" w:lineRule="auto"/>
              <w:ind w:firstLineChars="0" w:firstLine="0"/>
              <w:jc w:val="center"/>
              <w:textAlignment w:val="auto"/>
              <w:rPr>
                <w:bCs/>
                <w:kern w:val="2"/>
                <w:sz w:val="21"/>
                <w:szCs w:val="21"/>
              </w:rPr>
            </w:pPr>
            <w:r>
              <w:rPr>
                <w:rFonts w:hint="eastAsia"/>
                <w:bCs/>
                <w:kern w:val="2"/>
                <w:sz w:val="21"/>
                <w:szCs w:val="21"/>
              </w:rPr>
              <w:t>7</w:t>
            </w:r>
          </w:p>
        </w:tc>
        <w:tc>
          <w:tcPr>
            <w:tcW w:w="984" w:type="dxa"/>
            <w:vMerge/>
            <w:vAlign w:val="center"/>
          </w:tcPr>
          <w:p w:rsidR="00EE56C0" w:rsidRDefault="00EE56C0">
            <w:pPr>
              <w:adjustRightInd/>
              <w:snapToGrid/>
              <w:spacing w:line="240" w:lineRule="auto"/>
              <w:ind w:firstLineChars="0" w:firstLine="0"/>
              <w:jc w:val="center"/>
              <w:textAlignment w:val="auto"/>
              <w:rPr>
                <w:bCs/>
                <w:kern w:val="2"/>
                <w:sz w:val="21"/>
                <w:szCs w:val="21"/>
              </w:rPr>
            </w:pPr>
          </w:p>
        </w:tc>
        <w:tc>
          <w:tcPr>
            <w:tcW w:w="851" w:type="dxa"/>
            <w:vMerge/>
            <w:vAlign w:val="center"/>
          </w:tcPr>
          <w:p w:rsidR="00EE56C0" w:rsidRDefault="00EE56C0">
            <w:pPr>
              <w:adjustRightInd/>
              <w:snapToGrid/>
              <w:spacing w:line="240" w:lineRule="auto"/>
              <w:ind w:firstLineChars="0" w:firstLine="0"/>
              <w:jc w:val="center"/>
              <w:textAlignment w:val="auto"/>
              <w:rPr>
                <w:bCs/>
                <w:kern w:val="2"/>
                <w:sz w:val="21"/>
                <w:szCs w:val="21"/>
              </w:rPr>
            </w:pPr>
          </w:p>
        </w:tc>
        <w:tc>
          <w:tcPr>
            <w:tcW w:w="850" w:type="dxa"/>
            <w:vMerge w:val="restart"/>
            <w:vAlign w:val="center"/>
          </w:tcPr>
          <w:p w:rsidR="00EE56C0" w:rsidRDefault="000F36A1">
            <w:pPr>
              <w:widowControl/>
              <w:adjustRightInd/>
              <w:snapToGrid/>
              <w:spacing w:line="240" w:lineRule="auto"/>
              <w:ind w:firstLineChars="0" w:firstLine="0"/>
              <w:jc w:val="center"/>
              <w:textAlignment w:val="auto"/>
              <w:rPr>
                <w:sz w:val="21"/>
                <w:szCs w:val="21"/>
              </w:rPr>
            </w:pPr>
            <w:r>
              <w:rPr>
                <w:sz w:val="21"/>
                <w:szCs w:val="21"/>
              </w:rPr>
              <w:t>原辅材</w:t>
            </w:r>
          </w:p>
          <w:p w:rsidR="00EE56C0" w:rsidRDefault="000F36A1">
            <w:pPr>
              <w:adjustRightInd/>
              <w:snapToGrid/>
              <w:spacing w:line="240" w:lineRule="auto"/>
              <w:ind w:firstLineChars="0" w:firstLine="0"/>
              <w:jc w:val="center"/>
              <w:textAlignment w:val="auto"/>
              <w:rPr>
                <w:bCs/>
                <w:kern w:val="2"/>
                <w:sz w:val="21"/>
                <w:szCs w:val="21"/>
              </w:rPr>
            </w:pPr>
            <w:r>
              <w:rPr>
                <w:sz w:val="21"/>
                <w:szCs w:val="21"/>
              </w:rPr>
              <w:t>料</w:t>
            </w:r>
          </w:p>
        </w:tc>
        <w:tc>
          <w:tcPr>
            <w:tcW w:w="993" w:type="dxa"/>
            <w:vAlign w:val="center"/>
          </w:tcPr>
          <w:p w:rsidR="00EE56C0" w:rsidRDefault="000F36A1">
            <w:pPr>
              <w:adjustRightInd/>
              <w:snapToGrid/>
              <w:spacing w:line="240" w:lineRule="auto"/>
              <w:ind w:firstLineChars="0" w:firstLine="0"/>
              <w:jc w:val="center"/>
              <w:textAlignment w:val="auto"/>
              <w:rPr>
                <w:bCs/>
                <w:kern w:val="2"/>
                <w:sz w:val="21"/>
                <w:szCs w:val="21"/>
              </w:rPr>
            </w:pPr>
            <w:r>
              <w:rPr>
                <w:bCs/>
                <w:kern w:val="2"/>
                <w:sz w:val="21"/>
                <w:szCs w:val="21"/>
              </w:rPr>
              <w:t>底漆</w:t>
            </w:r>
          </w:p>
        </w:tc>
        <w:tc>
          <w:tcPr>
            <w:tcW w:w="850" w:type="dxa"/>
            <w:vAlign w:val="center"/>
          </w:tcPr>
          <w:p w:rsidR="00EE56C0" w:rsidRDefault="000F36A1">
            <w:pPr>
              <w:adjustRightInd/>
              <w:snapToGrid/>
              <w:spacing w:line="240" w:lineRule="auto"/>
              <w:ind w:firstLineChars="0" w:firstLine="0"/>
              <w:jc w:val="center"/>
              <w:textAlignment w:val="auto"/>
              <w:rPr>
                <w:bCs/>
                <w:kern w:val="2"/>
                <w:sz w:val="21"/>
                <w:szCs w:val="21"/>
              </w:rPr>
            </w:pPr>
            <w:r>
              <w:rPr>
                <w:bCs/>
                <w:kern w:val="2"/>
                <w:sz w:val="21"/>
                <w:szCs w:val="21"/>
              </w:rPr>
              <w:t>-</w:t>
            </w:r>
          </w:p>
        </w:tc>
        <w:tc>
          <w:tcPr>
            <w:tcW w:w="992" w:type="dxa"/>
            <w:vAlign w:val="center"/>
          </w:tcPr>
          <w:p w:rsidR="00EE56C0" w:rsidRDefault="000F36A1" w:rsidP="002864C7">
            <w:pPr>
              <w:adjustRightInd/>
              <w:snapToGrid/>
              <w:spacing w:line="240" w:lineRule="auto"/>
              <w:ind w:firstLineChars="0" w:firstLine="0"/>
              <w:jc w:val="center"/>
              <w:textAlignment w:val="auto"/>
              <w:rPr>
                <w:bCs/>
                <w:kern w:val="2"/>
                <w:sz w:val="21"/>
                <w:szCs w:val="21"/>
              </w:rPr>
            </w:pPr>
            <w:r>
              <w:rPr>
                <w:bCs/>
                <w:kern w:val="2"/>
                <w:sz w:val="21"/>
                <w:szCs w:val="21"/>
              </w:rPr>
              <w:t>0.0</w:t>
            </w:r>
            <w:r w:rsidR="002864C7">
              <w:rPr>
                <w:rFonts w:hint="eastAsia"/>
                <w:bCs/>
                <w:kern w:val="2"/>
                <w:sz w:val="21"/>
                <w:szCs w:val="21"/>
              </w:rPr>
              <w:t>8</w:t>
            </w:r>
          </w:p>
        </w:tc>
        <w:tc>
          <w:tcPr>
            <w:tcW w:w="1276" w:type="dxa"/>
            <w:vAlign w:val="center"/>
          </w:tcPr>
          <w:p w:rsidR="00EE56C0" w:rsidRDefault="000F36A1">
            <w:pPr>
              <w:spacing w:line="240" w:lineRule="auto"/>
              <w:ind w:firstLineChars="0" w:firstLine="0"/>
              <w:jc w:val="center"/>
              <w:rPr>
                <w:sz w:val="21"/>
                <w:szCs w:val="21"/>
              </w:rPr>
            </w:pPr>
            <w:r>
              <w:rPr>
                <w:sz w:val="21"/>
                <w:szCs w:val="21"/>
              </w:rPr>
              <w:t>VOCs≤30%</w:t>
            </w:r>
          </w:p>
        </w:tc>
        <w:tc>
          <w:tcPr>
            <w:tcW w:w="1134" w:type="dxa"/>
            <w:vAlign w:val="center"/>
          </w:tcPr>
          <w:p w:rsidR="00EE56C0" w:rsidRDefault="000F36A1">
            <w:pPr>
              <w:spacing w:line="240" w:lineRule="auto"/>
              <w:ind w:firstLineChars="0" w:firstLine="0"/>
              <w:jc w:val="center"/>
              <w:rPr>
                <w:sz w:val="21"/>
                <w:szCs w:val="21"/>
              </w:rPr>
            </w:pPr>
            <w:r>
              <w:rPr>
                <w:sz w:val="21"/>
                <w:szCs w:val="21"/>
              </w:rPr>
              <w:t>VOCs≤35%</w:t>
            </w:r>
          </w:p>
        </w:tc>
        <w:tc>
          <w:tcPr>
            <w:tcW w:w="2693" w:type="dxa"/>
            <w:gridSpan w:val="2"/>
            <w:vAlign w:val="center"/>
          </w:tcPr>
          <w:p w:rsidR="00EE56C0" w:rsidRDefault="000F36A1">
            <w:pPr>
              <w:spacing w:line="240" w:lineRule="auto"/>
              <w:ind w:firstLineChars="0" w:firstLine="0"/>
              <w:jc w:val="center"/>
              <w:rPr>
                <w:sz w:val="21"/>
                <w:szCs w:val="21"/>
              </w:rPr>
            </w:pPr>
            <w:r>
              <w:rPr>
                <w:sz w:val="21"/>
                <w:szCs w:val="21"/>
              </w:rPr>
              <w:t>VOCs≤45%</w:t>
            </w:r>
          </w:p>
        </w:tc>
        <w:tc>
          <w:tcPr>
            <w:tcW w:w="2010" w:type="dxa"/>
            <w:vAlign w:val="center"/>
          </w:tcPr>
          <w:p w:rsidR="00EE56C0" w:rsidRDefault="000F36A1" w:rsidP="00B450F0">
            <w:pPr>
              <w:adjustRightInd/>
              <w:snapToGrid/>
              <w:spacing w:line="240" w:lineRule="auto"/>
              <w:ind w:firstLineChars="0" w:firstLine="0"/>
              <w:textAlignment w:val="auto"/>
              <w:rPr>
                <w:bCs/>
                <w:kern w:val="2"/>
                <w:sz w:val="21"/>
                <w:szCs w:val="21"/>
              </w:rPr>
            </w:pPr>
            <w:r>
              <w:rPr>
                <w:rFonts w:hint="eastAsia"/>
                <w:bCs/>
                <w:kern w:val="2"/>
                <w:sz w:val="21"/>
                <w:szCs w:val="21"/>
              </w:rPr>
              <w:t>本项目仅漆包线涉及底漆，底漆为聚酯漆，</w:t>
            </w:r>
            <w:r>
              <w:rPr>
                <w:rFonts w:hint="eastAsia"/>
                <w:bCs/>
                <w:kern w:val="2"/>
                <w:sz w:val="21"/>
                <w:szCs w:val="21"/>
              </w:rPr>
              <w:t>VOCs</w:t>
            </w:r>
            <w:r>
              <w:rPr>
                <w:rFonts w:hint="eastAsia"/>
                <w:bCs/>
                <w:kern w:val="2"/>
                <w:sz w:val="21"/>
                <w:szCs w:val="21"/>
              </w:rPr>
              <w:t>含量为</w:t>
            </w:r>
            <w:r w:rsidR="00B450F0">
              <w:rPr>
                <w:rFonts w:hint="eastAsia"/>
                <w:bCs/>
                <w:kern w:val="2"/>
                <w:sz w:val="21"/>
                <w:szCs w:val="21"/>
              </w:rPr>
              <w:t>33</w:t>
            </w:r>
            <w:r>
              <w:rPr>
                <w:rFonts w:hint="eastAsia"/>
                <w:bCs/>
                <w:kern w:val="2"/>
                <w:sz w:val="21"/>
                <w:szCs w:val="21"/>
              </w:rPr>
              <w:t>%</w:t>
            </w:r>
          </w:p>
        </w:tc>
        <w:tc>
          <w:tcPr>
            <w:tcW w:w="709" w:type="dxa"/>
            <w:vAlign w:val="center"/>
          </w:tcPr>
          <w:p w:rsidR="00EE56C0" w:rsidRDefault="0030587F">
            <w:pPr>
              <w:spacing w:line="240" w:lineRule="auto"/>
              <w:ind w:firstLineChars="0" w:firstLine="0"/>
              <w:jc w:val="center"/>
              <w:rPr>
                <w:sz w:val="21"/>
                <w:szCs w:val="21"/>
              </w:rPr>
            </w:pPr>
            <w:r>
              <w:rPr>
                <w:rFonts w:ascii="宋体" w:hAnsi="宋体" w:cs="宋体" w:hint="eastAsia"/>
                <w:bCs/>
                <w:kern w:val="2"/>
                <w:sz w:val="21"/>
                <w:szCs w:val="21"/>
              </w:rPr>
              <w:t>Ⅱ</w:t>
            </w:r>
            <w:r w:rsidR="000F36A1">
              <w:rPr>
                <w:bCs/>
                <w:kern w:val="2"/>
                <w:sz w:val="21"/>
                <w:szCs w:val="21"/>
              </w:rPr>
              <w:t>级</w:t>
            </w:r>
          </w:p>
        </w:tc>
      </w:tr>
      <w:tr w:rsidR="005338D5">
        <w:trPr>
          <w:cantSplit/>
          <w:trHeight w:val="397"/>
          <w:tblHeader/>
          <w:jc w:val="center"/>
        </w:trPr>
        <w:tc>
          <w:tcPr>
            <w:tcW w:w="818" w:type="dxa"/>
            <w:vAlign w:val="center"/>
          </w:tcPr>
          <w:p w:rsidR="005338D5" w:rsidRDefault="005338D5">
            <w:pPr>
              <w:adjustRightInd/>
              <w:snapToGrid/>
              <w:spacing w:line="240" w:lineRule="auto"/>
              <w:ind w:firstLineChars="0" w:firstLine="0"/>
              <w:jc w:val="center"/>
              <w:textAlignment w:val="auto"/>
              <w:rPr>
                <w:kern w:val="2"/>
                <w:sz w:val="21"/>
                <w:szCs w:val="21"/>
              </w:rPr>
            </w:pPr>
            <w:r>
              <w:rPr>
                <w:rFonts w:hint="eastAsia"/>
                <w:kern w:val="2"/>
                <w:sz w:val="21"/>
                <w:szCs w:val="21"/>
              </w:rPr>
              <w:lastRenderedPageBreak/>
              <w:t>8</w:t>
            </w:r>
          </w:p>
        </w:tc>
        <w:tc>
          <w:tcPr>
            <w:tcW w:w="984" w:type="dxa"/>
            <w:vMerge/>
            <w:vAlign w:val="center"/>
          </w:tcPr>
          <w:p w:rsidR="005338D5" w:rsidRDefault="005338D5">
            <w:pPr>
              <w:adjustRightInd/>
              <w:snapToGrid/>
              <w:spacing w:line="240" w:lineRule="auto"/>
              <w:ind w:firstLineChars="0" w:firstLine="0"/>
              <w:jc w:val="center"/>
              <w:textAlignment w:val="auto"/>
              <w:rPr>
                <w:bCs/>
                <w:kern w:val="2"/>
                <w:sz w:val="21"/>
                <w:szCs w:val="21"/>
              </w:rPr>
            </w:pPr>
          </w:p>
        </w:tc>
        <w:tc>
          <w:tcPr>
            <w:tcW w:w="851" w:type="dxa"/>
            <w:vMerge/>
            <w:vAlign w:val="center"/>
          </w:tcPr>
          <w:p w:rsidR="005338D5" w:rsidRDefault="005338D5">
            <w:pPr>
              <w:adjustRightInd/>
              <w:snapToGrid/>
              <w:spacing w:line="240" w:lineRule="auto"/>
              <w:ind w:firstLineChars="0" w:firstLine="0"/>
              <w:jc w:val="center"/>
              <w:textAlignment w:val="auto"/>
              <w:rPr>
                <w:bCs/>
                <w:kern w:val="2"/>
                <w:sz w:val="21"/>
                <w:szCs w:val="21"/>
              </w:rPr>
            </w:pPr>
          </w:p>
        </w:tc>
        <w:tc>
          <w:tcPr>
            <w:tcW w:w="850" w:type="dxa"/>
            <w:vMerge/>
            <w:vAlign w:val="center"/>
          </w:tcPr>
          <w:p w:rsidR="005338D5" w:rsidRDefault="005338D5">
            <w:pPr>
              <w:adjustRightInd/>
              <w:snapToGrid/>
              <w:spacing w:line="240" w:lineRule="auto"/>
              <w:ind w:firstLineChars="0" w:firstLine="0"/>
              <w:jc w:val="center"/>
              <w:textAlignment w:val="auto"/>
              <w:rPr>
                <w:bCs/>
                <w:kern w:val="2"/>
                <w:sz w:val="21"/>
                <w:szCs w:val="21"/>
              </w:rPr>
            </w:pPr>
          </w:p>
        </w:tc>
        <w:tc>
          <w:tcPr>
            <w:tcW w:w="993" w:type="dxa"/>
            <w:vAlign w:val="center"/>
          </w:tcPr>
          <w:p w:rsidR="005338D5" w:rsidRDefault="005338D5" w:rsidP="00B9172C">
            <w:pPr>
              <w:adjustRightInd/>
              <w:snapToGrid/>
              <w:spacing w:line="240" w:lineRule="auto"/>
              <w:ind w:firstLineChars="0" w:firstLine="0"/>
              <w:jc w:val="center"/>
              <w:textAlignment w:val="auto"/>
              <w:rPr>
                <w:bCs/>
                <w:kern w:val="2"/>
                <w:sz w:val="21"/>
                <w:szCs w:val="21"/>
              </w:rPr>
            </w:pPr>
            <w:r>
              <w:rPr>
                <w:sz w:val="21"/>
                <w:szCs w:val="21"/>
              </w:rPr>
              <w:t>面漆</w:t>
            </w:r>
          </w:p>
        </w:tc>
        <w:tc>
          <w:tcPr>
            <w:tcW w:w="850" w:type="dxa"/>
            <w:vAlign w:val="center"/>
          </w:tcPr>
          <w:p w:rsidR="005338D5" w:rsidRDefault="005338D5" w:rsidP="00B9172C">
            <w:pPr>
              <w:adjustRightInd/>
              <w:snapToGrid/>
              <w:spacing w:line="240" w:lineRule="auto"/>
              <w:ind w:firstLineChars="0" w:firstLine="0"/>
              <w:jc w:val="center"/>
              <w:textAlignment w:val="auto"/>
              <w:rPr>
                <w:bCs/>
                <w:kern w:val="2"/>
                <w:sz w:val="21"/>
                <w:szCs w:val="21"/>
              </w:rPr>
            </w:pPr>
            <w:r>
              <w:rPr>
                <w:bCs/>
                <w:kern w:val="2"/>
                <w:sz w:val="21"/>
                <w:szCs w:val="21"/>
              </w:rPr>
              <w:t>-</w:t>
            </w:r>
          </w:p>
        </w:tc>
        <w:tc>
          <w:tcPr>
            <w:tcW w:w="992" w:type="dxa"/>
            <w:vAlign w:val="center"/>
          </w:tcPr>
          <w:p w:rsidR="005338D5" w:rsidRDefault="005338D5" w:rsidP="00B9172C">
            <w:pPr>
              <w:adjustRightInd/>
              <w:snapToGrid/>
              <w:spacing w:line="240" w:lineRule="auto"/>
              <w:ind w:firstLineChars="0" w:firstLine="0"/>
              <w:jc w:val="center"/>
              <w:textAlignment w:val="auto"/>
              <w:rPr>
                <w:bCs/>
                <w:kern w:val="2"/>
                <w:sz w:val="21"/>
                <w:szCs w:val="21"/>
              </w:rPr>
            </w:pPr>
            <w:r>
              <w:rPr>
                <w:bCs/>
                <w:kern w:val="2"/>
                <w:sz w:val="21"/>
                <w:szCs w:val="21"/>
              </w:rPr>
              <w:t>0.0</w:t>
            </w:r>
            <w:r>
              <w:rPr>
                <w:rFonts w:hint="eastAsia"/>
                <w:bCs/>
                <w:kern w:val="2"/>
                <w:sz w:val="21"/>
                <w:szCs w:val="21"/>
              </w:rPr>
              <w:t>8</w:t>
            </w:r>
          </w:p>
        </w:tc>
        <w:tc>
          <w:tcPr>
            <w:tcW w:w="1276" w:type="dxa"/>
            <w:vAlign w:val="center"/>
          </w:tcPr>
          <w:p w:rsidR="005338D5" w:rsidRDefault="005338D5" w:rsidP="00B9172C">
            <w:pPr>
              <w:spacing w:line="240" w:lineRule="auto"/>
              <w:ind w:firstLineChars="0" w:firstLine="0"/>
              <w:jc w:val="center"/>
              <w:rPr>
                <w:sz w:val="21"/>
                <w:szCs w:val="21"/>
              </w:rPr>
            </w:pPr>
            <w:r>
              <w:rPr>
                <w:sz w:val="21"/>
                <w:szCs w:val="21"/>
              </w:rPr>
              <w:t>VOCs≤50%</w:t>
            </w:r>
          </w:p>
        </w:tc>
        <w:tc>
          <w:tcPr>
            <w:tcW w:w="1134" w:type="dxa"/>
            <w:vAlign w:val="center"/>
          </w:tcPr>
          <w:p w:rsidR="005338D5" w:rsidRDefault="005338D5" w:rsidP="00B9172C">
            <w:pPr>
              <w:spacing w:line="240" w:lineRule="auto"/>
              <w:ind w:firstLineChars="0" w:firstLine="0"/>
              <w:jc w:val="center"/>
              <w:rPr>
                <w:sz w:val="21"/>
                <w:szCs w:val="21"/>
              </w:rPr>
            </w:pPr>
            <w:r>
              <w:rPr>
                <w:sz w:val="21"/>
                <w:szCs w:val="21"/>
              </w:rPr>
              <w:t>VOCs≤60%</w:t>
            </w:r>
          </w:p>
        </w:tc>
        <w:tc>
          <w:tcPr>
            <w:tcW w:w="2693" w:type="dxa"/>
            <w:gridSpan w:val="2"/>
            <w:vAlign w:val="center"/>
          </w:tcPr>
          <w:p w:rsidR="005338D5" w:rsidRDefault="005338D5" w:rsidP="00B9172C">
            <w:pPr>
              <w:spacing w:line="240" w:lineRule="auto"/>
              <w:ind w:firstLineChars="0" w:firstLine="0"/>
              <w:jc w:val="center"/>
              <w:rPr>
                <w:sz w:val="21"/>
                <w:szCs w:val="21"/>
              </w:rPr>
            </w:pPr>
            <w:r>
              <w:rPr>
                <w:sz w:val="21"/>
                <w:szCs w:val="21"/>
              </w:rPr>
              <w:t>VOCs≤70%</w:t>
            </w:r>
          </w:p>
        </w:tc>
        <w:tc>
          <w:tcPr>
            <w:tcW w:w="2010" w:type="dxa"/>
            <w:vAlign w:val="center"/>
          </w:tcPr>
          <w:p w:rsidR="005338D5" w:rsidRPr="00F52BEF" w:rsidRDefault="005338D5" w:rsidP="00B9172C">
            <w:pPr>
              <w:adjustRightInd/>
              <w:snapToGrid/>
              <w:spacing w:line="240" w:lineRule="auto"/>
              <w:ind w:firstLineChars="0" w:firstLine="0"/>
              <w:textAlignment w:val="auto"/>
              <w:rPr>
                <w:b/>
                <w:bCs/>
                <w:kern w:val="2"/>
                <w:sz w:val="21"/>
                <w:szCs w:val="21"/>
                <w:u w:val="single"/>
              </w:rPr>
            </w:pPr>
            <w:r w:rsidRPr="00F52BEF">
              <w:rPr>
                <w:b/>
                <w:bCs/>
                <w:kern w:val="2"/>
                <w:sz w:val="21"/>
                <w:szCs w:val="21"/>
                <w:u w:val="single"/>
              </w:rPr>
              <w:t>本项目</w:t>
            </w:r>
            <w:r w:rsidRPr="00F52BEF">
              <w:rPr>
                <w:rFonts w:hint="eastAsia"/>
                <w:b/>
                <w:bCs/>
                <w:kern w:val="2"/>
                <w:sz w:val="21"/>
                <w:szCs w:val="21"/>
                <w:u w:val="single"/>
              </w:rPr>
              <w:t>涉及</w:t>
            </w:r>
            <w:r w:rsidRPr="00F52BEF">
              <w:rPr>
                <w:rFonts w:hint="eastAsia"/>
                <w:b/>
                <w:sz w:val="21"/>
                <w:szCs w:val="21"/>
                <w:u w:val="single"/>
              </w:rPr>
              <w:t>面漆为</w:t>
            </w:r>
            <w:r w:rsidRPr="00F52BEF">
              <w:rPr>
                <w:rStyle w:val="Char4"/>
                <w:rFonts w:hint="eastAsia"/>
                <w:b/>
                <w:sz w:val="21"/>
                <w:u w:val="single"/>
              </w:rPr>
              <w:t>聚酰胺酰亚胺漆、玻璃丝包专用漆，含量分别为</w:t>
            </w:r>
            <w:r w:rsidRPr="00F52BEF">
              <w:rPr>
                <w:rFonts w:hint="eastAsia"/>
                <w:b/>
                <w:bCs/>
                <w:kern w:val="2"/>
                <w:sz w:val="21"/>
                <w:szCs w:val="21"/>
                <w:u w:val="single"/>
              </w:rPr>
              <w:t>39%</w:t>
            </w:r>
            <w:r w:rsidRPr="00F52BEF">
              <w:rPr>
                <w:rStyle w:val="Char4"/>
                <w:rFonts w:hint="eastAsia"/>
                <w:b/>
                <w:sz w:val="21"/>
                <w:u w:val="single"/>
              </w:rPr>
              <w:t>、</w:t>
            </w:r>
            <w:r w:rsidRPr="00F52BEF">
              <w:rPr>
                <w:rFonts w:hint="eastAsia"/>
                <w:b/>
                <w:bCs/>
                <w:kern w:val="2"/>
                <w:sz w:val="21"/>
                <w:szCs w:val="21"/>
                <w:u w:val="single"/>
              </w:rPr>
              <w:t>37%</w:t>
            </w:r>
          </w:p>
        </w:tc>
        <w:tc>
          <w:tcPr>
            <w:tcW w:w="709" w:type="dxa"/>
            <w:vAlign w:val="center"/>
          </w:tcPr>
          <w:p w:rsidR="005338D5" w:rsidRPr="00F52BEF" w:rsidRDefault="005338D5" w:rsidP="00B9172C">
            <w:pPr>
              <w:spacing w:line="240" w:lineRule="auto"/>
              <w:ind w:firstLineChars="0" w:firstLine="0"/>
              <w:jc w:val="center"/>
              <w:rPr>
                <w:b/>
                <w:sz w:val="21"/>
                <w:szCs w:val="21"/>
                <w:u w:val="single"/>
              </w:rPr>
            </w:pPr>
            <w:r w:rsidRPr="00F52BEF">
              <w:rPr>
                <w:rFonts w:ascii="宋体" w:hAnsi="宋体" w:cs="宋体" w:hint="eastAsia"/>
                <w:b/>
                <w:bCs/>
                <w:kern w:val="2"/>
                <w:sz w:val="21"/>
                <w:szCs w:val="21"/>
                <w:u w:val="single"/>
              </w:rPr>
              <w:t>Ⅰ</w:t>
            </w:r>
            <w:r w:rsidRPr="00F52BEF">
              <w:rPr>
                <w:b/>
                <w:bCs/>
                <w:kern w:val="2"/>
                <w:sz w:val="21"/>
                <w:szCs w:val="21"/>
                <w:u w:val="single"/>
              </w:rPr>
              <w:t>级</w:t>
            </w:r>
          </w:p>
        </w:tc>
      </w:tr>
      <w:tr w:rsidR="005338D5">
        <w:trPr>
          <w:cantSplit/>
          <w:trHeight w:val="397"/>
          <w:jc w:val="center"/>
        </w:trPr>
        <w:tc>
          <w:tcPr>
            <w:tcW w:w="818" w:type="dxa"/>
            <w:vMerge w:val="restart"/>
            <w:vAlign w:val="center"/>
          </w:tcPr>
          <w:p w:rsidR="005338D5" w:rsidRDefault="005338D5">
            <w:pPr>
              <w:spacing w:line="240" w:lineRule="auto"/>
              <w:ind w:firstLineChars="0" w:firstLine="0"/>
              <w:jc w:val="center"/>
              <w:rPr>
                <w:kern w:val="2"/>
                <w:sz w:val="21"/>
                <w:szCs w:val="21"/>
              </w:rPr>
            </w:pPr>
            <w:r>
              <w:rPr>
                <w:rFonts w:hint="eastAsia"/>
                <w:kern w:val="2"/>
                <w:sz w:val="21"/>
                <w:szCs w:val="21"/>
              </w:rPr>
              <w:t>9</w:t>
            </w:r>
          </w:p>
        </w:tc>
        <w:tc>
          <w:tcPr>
            <w:tcW w:w="984" w:type="dxa"/>
            <w:vMerge w:val="restart"/>
            <w:vAlign w:val="center"/>
          </w:tcPr>
          <w:p w:rsidR="005338D5" w:rsidRDefault="005338D5">
            <w:pPr>
              <w:adjustRightInd/>
              <w:snapToGrid/>
              <w:spacing w:line="240" w:lineRule="auto"/>
              <w:ind w:firstLineChars="0" w:firstLine="0"/>
              <w:jc w:val="center"/>
              <w:textAlignment w:val="auto"/>
              <w:rPr>
                <w:kern w:val="2"/>
                <w:sz w:val="21"/>
                <w:szCs w:val="21"/>
              </w:rPr>
            </w:pPr>
            <w:r>
              <w:rPr>
                <w:kern w:val="2"/>
                <w:sz w:val="21"/>
                <w:szCs w:val="21"/>
              </w:rPr>
              <w:t>资源和能源消耗指标</w:t>
            </w:r>
          </w:p>
        </w:tc>
        <w:tc>
          <w:tcPr>
            <w:tcW w:w="851" w:type="dxa"/>
            <w:vMerge w:val="restart"/>
            <w:vAlign w:val="center"/>
          </w:tcPr>
          <w:p w:rsidR="005338D5" w:rsidRDefault="005338D5">
            <w:pPr>
              <w:adjustRightInd/>
              <w:snapToGrid/>
              <w:spacing w:line="240" w:lineRule="auto"/>
              <w:ind w:firstLineChars="0" w:firstLine="0"/>
              <w:jc w:val="center"/>
              <w:textAlignment w:val="auto"/>
              <w:rPr>
                <w:kern w:val="2"/>
                <w:sz w:val="21"/>
                <w:szCs w:val="21"/>
              </w:rPr>
            </w:pPr>
            <w:r>
              <w:rPr>
                <w:kern w:val="2"/>
                <w:sz w:val="21"/>
                <w:szCs w:val="21"/>
              </w:rPr>
              <w:t>0.1</w:t>
            </w:r>
          </w:p>
        </w:tc>
        <w:tc>
          <w:tcPr>
            <w:tcW w:w="1843" w:type="dxa"/>
            <w:gridSpan w:val="2"/>
            <w:vAlign w:val="center"/>
          </w:tcPr>
          <w:p w:rsidR="005338D5" w:rsidRDefault="005338D5">
            <w:pPr>
              <w:adjustRightInd/>
              <w:snapToGrid/>
              <w:spacing w:line="240" w:lineRule="auto"/>
              <w:ind w:firstLineChars="0" w:firstLine="0"/>
              <w:jc w:val="center"/>
              <w:textAlignment w:val="auto"/>
              <w:rPr>
                <w:bCs/>
                <w:kern w:val="2"/>
                <w:sz w:val="21"/>
                <w:szCs w:val="21"/>
              </w:rPr>
            </w:pPr>
            <w:r>
              <w:rPr>
                <w:sz w:val="21"/>
                <w:szCs w:val="21"/>
              </w:rPr>
              <w:t>单位面积取水量</w:t>
            </w:r>
            <w:r>
              <w:rPr>
                <w:sz w:val="21"/>
                <w:szCs w:val="21"/>
              </w:rPr>
              <w:t>*</w:t>
            </w:r>
          </w:p>
        </w:tc>
        <w:tc>
          <w:tcPr>
            <w:tcW w:w="850" w:type="dxa"/>
            <w:vAlign w:val="center"/>
          </w:tcPr>
          <w:p w:rsidR="005338D5" w:rsidRDefault="005338D5">
            <w:pPr>
              <w:adjustRightInd/>
              <w:snapToGrid/>
              <w:spacing w:line="240" w:lineRule="auto"/>
              <w:ind w:firstLineChars="0" w:firstLine="0"/>
              <w:jc w:val="center"/>
              <w:textAlignment w:val="auto"/>
              <w:rPr>
                <w:bCs/>
                <w:kern w:val="2"/>
                <w:sz w:val="21"/>
                <w:szCs w:val="21"/>
              </w:rPr>
            </w:pPr>
            <w:r>
              <w:rPr>
                <w:bCs/>
                <w:kern w:val="2"/>
                <w:sz w:val="21"/>
                <w:szCs w:val="21"/>
              </w:rPr>
              <w:t>l/m</w:t>
            </w:r>
            <w:r>
              <w:rPr>
                <w:bCs/>
                <w:kern w:val="2"/>
                <w:sz w:val="21"/>
                <w:szCs w:val="21"/>
                <w:vertAlign w:val="superscript"/>
              </w:rPr>
              <w:t>2</w:t>
            </w:r>
          </w:p>
        </w:tc>
        <w:tc>
          <w:tcPr>
            <w:tcW w:w="992" w:type="dxa"/>
            <w:vAlign w:val="center"/>
          </w:tcPr>
          <w:p w:rsidR="005338D5" w:rsidRDefault="005338D5">
            <w:pPr>
              <w:adjustRightInd/>
              <w:snapToGrid/>
              <w:spacing w:line="240" w:lineRule="auto"/>
              <w:ind w:firstLineChars="0" w:firstLine="0"/>
              <w:jc w:val="center"/>
              <w:textAlignment w:val="auto"/>
              <w:rPr>
                <w:bCs/>
                <w:kern w:val="2"/>
                <w:sz w:val="21"/>
                <w:szCs w:val="21"/>
              </w:rPr>
            </w:pPr>
            <w:r>
              <w:rPr>
                <w:bCs/>
                <w:kern w:val="2"/>
                <w:sz w:val="21"/>
                <w:szCs w:val="21"/>
              </w:rPr>
              <w:t>0.3</w:t>
            </w:r>
          </w:p>
        </w:tc>
        <w:tc>
          <w:tcPr>
            <w:tcW w:w="1276" w:type="dxa"/>
            <w:vAlign w:val="center"/>
          </w:tcPr>
          <w:p w:rsidR="005338D5" w:rsidRDefault="005338D5">
            <w:pPr>
              <w:adjustRightInd/>
              <w:snapToGrid/>
              <w:spacing w:line="240" w:lineRule="auto"/>
              <w:ind w:firstLineChars="0" w:firstLine="0"/>
              <w:jc w:val="center"/>
              <w:textAlignment w:val="auto"/>
              <w:rPr>
                <w:bCs/>
                <w:kern w:val="2"/>
                <w:sz w:val="21"/>
                <w:szCs w:val="21"/>
              </w:rPr>
            </w:pPr>
            <w:r>
              <w:rPr>
                <w:bCs/>
                <w:kern w:val="2"/>
                <w:sz w:val="21"/>
                <w:szCs w:val="21"/>
              </w:rPr>
              <w:t>≤2.5</w:t>
            </w:r>
          </w:p>
        </w:tc>
        <w:tc>
          <w:tcPr>
            <w:tcW w:w="1134" w:type="dxa"/>
            <w:vAlign w:val="center"/>
          </w:tcPr>
          <w:p w:rsidR="005338D5" w:rsidRDefault="005338D5">
            <w:pPr>
              <w:spacing w:line="240" w:lineRule="auto"/>
              <w:ind w:firstLineChars="0" w:firstLine="0"/>
              <w:jc w:val="center"/>
              <w:rPr>
                <w:sz w:val="21"/>
                <w:szCs w:val="21"/>
              </w:rPr>
            </w:pPr>
            <w:r>
              <w:rPr>
                <w:bCs/>
                <w:kern w:val="2"/>
                <w:sz w:val="21"/>
                <w:szCs w:val="21"/>
              </w:rPr>
              <w:t>≤3.2</w:t>
            </w:r>
          </w:p>
        </w:tc>
        <w:tc>
          <w:tcPr>
            <w:tcW w:w="2693" w:type="dxa"/>
            <w:gridSpan w:val="2"/>
            <w:vAlign w:val="center"/>
          </w:tcPr>
          <w:p w:rsidR="005338D5" w:rsidRDefault="005338D5">
            <w:pPr>
              <w:spacing w:line="240" w:lineRule="auto"/>
              <w:ind w:firstLineChars="0" w:firstLine="0"/>
              <w:jc w:val="center"/>
              <w:rPr>
                <w:sz w:val="21"/>
                <w:szCs w:val="21"/>
              </w:rPr>
            </w:pPr>
            <w:r>
              <w:rPr>
                <w:bCs/>
                <w:kern w:val="2"/>
                <w:sz w:val="21"/>
                <w:szCs w:val="21"/>
              </w:rPr>
              <w:t>≤5</w:t>
            </w:r>
          </w:p>
        </w:tc>
        <w:tc>
          <w:tcPr>
            <w:tcW w:w="2010" w:type="dxa"/>
            <w:vAlign w:val="center"/>
          </w:tcPr>
          <w:p w:rsidR="005338D5" w:rsidRDefault="005338D5">
            <w:pPr>
              <w:adjustRightInd/>
              <w:snapToGrid/>
              <w:spacing w:line="240" w:lineRule="auto"/>
              <w:ind w:firstLineChars="0" w:firstLine="0"/>
              <w:textAlignment w:val="auto"/>
              <w:rPr>
                <w:bCs/>
                <w:kern w:val="2"/>
                <w:sz w:val="21"/>
                <w:szCs w:val="21"/>
              </w:rPr>
            </w:pPr>
            <w:r>
              <w:rPr>
                <w:rFonts w:hint="eastAsia"/>
                <w:bCs/>
                <w:kern w:val="2"/>
                <w:sz w:val="21"/>
                <w:szCs w:val="21"/>
              </w:rPr>
              <w:t>0.001</w:t>
            </w:r>
          </w:p>
        </w:tc>
        <w:tc>
          <w:tcPr>
            <w:tcW w:w="709" w:type="dxa"/>
            <w:vAlign w:val="center"/>
          </w:tcPr>
          <w:p w:rsidR="005338D5" w:rsidRDefault="005338D5">
            <w:pPr>
              <w:adjustRightInd/>
              <w:snapToGrid/>
              <w:spacing w:line="240" w:lineRule="auto"/>
              <w:ind w:firstLineChars="0" w:firstLine="0"/>
              <w:jc w:val="center"/>
              <w:textAlignment w:val="auto"/>
              <w:rPr>
                <w:bCs/>
                <w:kern w:val="2"/>
                <w:sz w:val="21"/>
                <w:szCs w:val="21"/>
              </w:rPr>
            </w:pPr>
            <w:r>
              <w:rPr>
                <w:rFonts w:ascii="宋体" w:hAnsi="宋体" w:cs="宋体" w:hint="eastAsia"/>
                <w:bCs/>
                <w:kern w:val="2"/>
                <w:sz w:val="21"/>
                <w:szCs w:val="21"/>
              </w:rPr>
              <w:t>Ⅰ</w:t>
            </w:r>
            <w:r>
              <w:rPr>
                <w:bCs/>
                <w:kern w:val="2"/>
                <w:sz w:val="21"/>
                <w:szCs w:val="21"/>
              </w:rPr>
              <w:t>级</w:t>
            </w:r>
          </w:p>
        </w:tc>
      </w:tr>
      <w:tr w:rsidR="005338D5">
        <w:trPr>
          <w:cantSplit/>
          <w:trHeight w:val="397"/>
          <w:jc w:val="center"/>
        </w:trPr>
        <w:tc>
          <w:tcPr>
            <w:tcW w:w="818" w:type="dxa"/>
            <w:vMerge/>
            <w:vAlign w:val="center"/>
          </w:tcPr>
          <w:p w:rsidR="005338D5" w:rsidRDefault="005338D5">
            <w:pPr>
              <w:adjustRightInd/>
              <w:snapToGrid/>
              <w:spacing w:line="240" w:lineRule="auto"/>
              <w:ind w:firstLineChars="0" w:firstLine="0"/>
              <w:jc w:val="center"/>
              <w:textAlignment w:val="auto"/>
              <w:rPr>
                <w:kern w:val="2"/>
                <w:sz w:val="21"/>
                <w:szCs w:val="21"/>
              </w:rPr>
            </w:pPr>
          </w:p>
        </w:tc>
        <w:tc>
          <w:tcPr>
            <w:tcW w:w="984" w:type="dxa"/>
            <w:vMerge/>
            <w:vAlign w:val="center"/>
          </w:tcPr>
          <w:p w:rsidR="005338D5" w:rsidRDefault="005338D5">
            <w:pPr>
              <w:adjustRightInd/>
              <w:snapToGrid/>
              <w:spacing w:line="240" w:lineRule="auto"/>
              <w:ind w:firstLineChars="0" w:firstLine="0"/>
              <w:jc w:val="center"/>
              <w:textAlignment w:val="auto"/>
              <w:rPr>
                <w:kern w:val="2"/>
                <w:sz w:val="21"/>
                <w:szCs w:val="21"/>
              </w:rPr>
            </w:pPr>
          </w:p>
        </w:tc>
        <w:tc>
          <w:tcPr>
            <w:tcW w:w="851" w:type="dxa"/>
            <w:vMerge/>
            <w:vAlign w:val="center"/>
          </w:tcPr>
          <w:p w:rsidR="005338D5" w:rsidRDefault="005338D5">
            <w:pPr>
              <w:adjustRightInd/>
              <w:snapToGrid/>
              <w:spacing w:line="240" w:lineRule="auto"/>
              <w:ind w:firstLineChars="0" w:firstLine="0"/>
              <w:jc w:val="center"/>
              <w:textAlignment w:val="auto"/>
              <w:rPr>
                <w:kern w:val="2"/>
                <w:sz w:val="21"/>
                <w:szCs w:val="21"/>
              </w:rPr>
            </w:pPr>
          </w:p>
        </w:tc>
        <w:tc>
          <w:tcPr>
            <w:tcW w:w="1843" w:type="dxa"/>
            <w:gridSpan w:val="2"/>
            <w:vAlign w:val="center"/>
          </w:tcPr>
          <w:p w:rsidR="005338D5" w:rsidRDefault="005338D5">
            <w:pPr>
              <w:adjustRightInd/>
              <w:snapToGrid/>
              <w:spacing w:line="240" w:lineRule="auto"/>
              <w:ind w:firstLineChars="0" w:firstLine="0"/>
              <w:jc w:val="center"/>
              <w:textAlignment w:val="auto"/>
              <w:rPr>
                <w:bCs/>
                <w:kern w:val="2"/>
                <w:sz w:val="21"/>
                <w:szCs w:val="21"/>
              </w:rPr>
            </w:pPr>
            <w:r>
              <w:rPr>
                <w:bCs/>
                <w:kern w:val="2"/>
                <w:sz w:val="21"/>
                <w:szCs w:val="21"/>
              </w:rPr>
              <w:t>单位面积综合耗能</w:t>
            </w:r>
            <w:r>
              <w:rPr>
                <w:kern w:val="2"/>
                <w:sz w:val="21"/>
                <w:szCs w:val="21"/>
              </w:rPr>
              <w:t>*</w:t>
            </w:r>
          </w:p>
        </w:tc>
        <w:tc>
          <w:tcPr>
            <w:tcW w:w="850" w:type="dxa"/>
            <w:vAlign w:val="center"/>
          </w:tcPr>
          <w:p w:rsidR="005338D5" w:rsidRDefault="005338D5">
            <w:pPr>
              <w:adjustRightInd/>
              <w:snapToGrid/>
              <w:spacing w:line="240" w:lineRule="auto"/>
              <w:ind w:firstLineChars="0" w:firstLine="0"/>
              <w:jc w:val="center"/>
              <w:textAlignment w:val="auto"/>
              <w:rPr>
                <w:bCs/>
                <w:kern w:val="2"/>
                <w:sz w:val="21"/>
                <w:szCs w:val="21"/>
              </w:rPr>
            </w:pPr>
            <w:r>
              <w:rPr>
                <w:bCs/>
                <w:kern w:val="2"/>
                <w:sz w:val="21"/>
                <w:szCs w:val="21"/>
              </w:rPr>
              <w:t>Kgce/m</w:t>
            </w:r>
            <w:r>
              <w:rPr>
                <w:bCs/>
                <w:kern w:val="2"/>
                <w:sz w:val="21"/>
                <w:szCs w:val="21"/>
                <w:vertAlign w:val="superscript"/>
              </w:rPr>
              <w:t>2</w:t>
            </w:r>
          </w:p>
        </w:tc>
        <w:tc>
          <w:tcPr>
            <w:tcW w:w="992" w:type="dxa"/>
            <w:vMerge w:val="restart"/>
            <w:vAlign w:val="center"/>
          </w:tcPr>
          <w:p w:rsidR="005338D5" w:rsidRDefault="005338D5">
            <w:pPr>
              <w:spacing w:line="240" w:lineRule="auto"/>
              <w:ind w:firstLineChars="0" w:firstLine="0"/>
              <w:jc w:val="center"/>
              <w:rPr>
                <w:bCs/>
                <w:kern w:val="2"/>
                <w:sz w:val="21"/>
                <w:szCs w:val="21"/>
              </w:rPr>
            </w:pPr>
            <w:r>
              <w:rPr>
                <w:bCs/>
                <w:kern w:val="2"/>
                <w:sz w:val="21"/>
                <w:szCs w:val="21"/>
              </w:rPr>
              <w:t>0.7</w:t>
            </w:r>
          </w:p>
        </w:tc>
        <w:tc>
          <w:tcPr>
            <w:tcW w:w="1276" w:type="dxa"/>
            <w:vAlign w:val="center"/>
          </w:tcPr>
          <w:p w:rsidR="005338D5" w:rsidRDefault="005338D5">
            <w:pPr>
              <w:spacing w:line="240" w:lineRule="auto"/>
              <w:ind w:firstLineChars="0" w:firstLine="0"/>
              <w:jc w:val="center"/>
              <w:rPr>
                <w:sz w:val="21"/>
                <w:szCs w:val="21"/>
              </w:rPr>
            </w:pPr>
            <w:r>
              <w:rPr>
                <w:bCs/>
                <w:kern w:val="2"/>
                <w:sz w:val="21"/>
                <w:szCs w:val="21"/>
              </w:rPr>
              <w:t>≤1.26</w:t>
            </w:r>
          </w:p>
        </w:tc>
        <w:tc>
          <w:tcPr>
            <w:tcW w:w="1134" w:type="dxa"/>
            <w:vAlign w:val="center"/>
          </w:tcPr>
          <w:p w:rsidR="005338D5" w:rsidRDefault="005338D5">
            <w:pPr>
              <w:spacing w:line="240" w:lineRule="auto"/>
              <w:ind w:firstLineChars="0" w:firstLine="0"/>
              <w:jc w:val="center"/>
              <w:rPr>
                <w:sz w:val="21"/>
                <w:szCs w:val="21"/>
              </w:rPr>
            </w:pPr>
            <w:r>
              <w:rPr>
                <w:bCs/>
                <w:kern w:val="2"/>
                <w:sz w:val="21"/>
                <w:szCs w:val="21"/>
              </w:rPr>
              <w:t>≤1.32</w:t>
            </w:r>
          </w:p>
        </w:tc>
        <w:tc>
          <w:tcPr>
            <w:tcW w:w="2693" w:type="dxa"/>
            <w:gridSpan w:val="2"/>
            <w:vAlign w:val="center"/>
          </w:tcPr>
          <w:p w:rsidR="005338D5" w:rsidRDefault="005338D5">
            <w:pPr>
              <w:spacing w:line="240" w:lineRule="auto"/>
              <w:ind w:firstLineChars="0" w:firstLine="0"/>
              <w:jc w:val="center"/>
              <w:rPr>
                <w:sz w:val="21"/>
                <w:szCs w:val="21"/>
              </w:rPr>
            </w:pPr>
            <w:r>
              <w:rPr>
                <w:bCs/>
                <w:kern w:val="2"/>
                <w:sz w:val="21"/>
                <w:szCs w:val="21"/>
              </w:rPr>
              <w:t>≤1.43</w:t>
            </w:r>
          </w:p>
        </w:tc>
        <w:tc>
          <w:tcPr>
            <w:tcW w:w="2010" w:type="dxa"/>
            <w:vAlign w:val="center"/>
          </w:tcPr>
          <w:p w:rsidR="005338D5" w:rsidRDefault="005338D5">
            <w:pPr>
              <w:adjustRightInd/>
              <w:snapToGrid/>
              <w:spacing w:line="240" w:lineRule="auto"/>
              <w:ind w:firstLineChars="0" w:firstLine="0"/>
              <w:textAlignment w:val="auto"/>
              <w:rPr>
                <w:bCs/>
                <w:kern w:val="2"/>
                <w:sz w:val="21"/>
                <w:szCs w:val="21"/>
              </w:rPr>
            </w:pPr>
            <w:r>
              <w:rPr>
                <w:bCs/>
                <w:kern w:val="2"/>
                <w:sz w:val="21"/>
                <w:szCs w:val="21"/>
              </w:rPr>
              <w:t>0.</w:t>
            </w:r>
            <w:r>
              <w:rPr>
                <w:rFonts w:hint="eastAsia"/>
                <w:bCs/>
                <w:kern w:val="2"/>
                <w:sz w:val="21"/>
                <w:szCs w:val="21"/>
              </w:rPr>
              <w:t>0</w:t>
            </w:r>
            <w:r>
              <w:rPr>
                <w:bCs/>
                <w:kern w:val="2"/>
                <w:sz w:val="21"/>
                <w:szCs w:val="21"/>
              </w:rPr>
              <w:t>4</w:t>
            </w:r>
          </w:p>
        </w:tc>
        <w:tc>
          <w:tcPr>
            <w:tcW w:w="709" w:type="dxa"/>
            <w:vAlign w:val="center"/>
          </w:tcPr>
          <w:p w:rsidR="005338D5" w:rsidRDefault="005338D5">
            <w:pPr>
              <w:adjustRightInd/>
              <w:snapToGrid/>
              <w:spacing w:line="240" w:lineRule="auto"/>
              <w:ind w:firstLineChars="0" w:firstLine="0"/>
              <w:jc w:val="center"/>
              <w:textAlignment w:val="auto"/>
              <w:rPr>
                <w:bCs/>
                <w:kern w:val="2"/>
                <w:sz w:val="21"/>
                <w:szCs w:val="21"/>
              </w:rPr>
            </w:pPr>
            <w:r>
              <w:rPr>
                <w:rFonts w:ascii="宋体" w:hAnsi="宋体" w:cs="宋体" w:hint="eastAsia"/>
                <w:bCs/>
                <w:kern w:val="2"/>
                <w:sz w:val="21"/>
                <w:szCs w:val="21"/>
              </w:rPr>
              <w:t>Ⅰ</w:t>
            </w:r>
            <w:r>
              <w:rPr>
                <w:bCs/>
                <w:kern w:val="2"/>
                <w:sz w:val="21"/>
                <w:szCs w:val="21"/>
              </w:rPr>
              <w:t>级</w:t>
            </w:r>
          </w:p>
        </w:tc>
      </w:tr>
      <w:tr w:rsidR="005338D5">
        <w:trPr>
          <w:cantSplit/>
          <w:trHeight w:val="397"/>
          <w:jc w:val="center"/>
        </w:trPr>
        <w:tc>
          <w:tcPr>
            <w:tcW w:w="818" w:type="dxa"/>
            <w:vMerge/>
            <w:vAlign w:val="center"/>
          </w:tcPr>
          <w:p w:rsidR="005338D5" w:rsidRDefault="005338D5">
            <w:pPr>
              <w:adjustRightInd/>
              <w:snapToGrid/>
              <w:spacing w:line="240" w:lineRule="auto"/>
              <w:ind w:firstLineChars="0" w:firstLine="0"/>
              <w:jc w:val="center"/>
              <w:textAlignment w:val="auto"/>
              <w:rPr>
                <w:kern w:val="2"/>
                <w:sz w:val="21"/>
                <w:szCs w:val="21"/>
              </w:rPr>
            </w:pPr>
          </w:p>
        </w:tc>
        <w:tc>
          <w:tcPr>
            <w:tcW w:w="984" w:type="dxa"/>
            <w:vMerge/>
            <w:vAlign w:val="center"/>
          </w:tcPr>
          <w:p w:rsidR="005338D5" w:rsidRDefault="005338D5">
            <w:pPr>
              <w:adjustRightInd/>
              <w:snapToGrid/>
              <w:spacing w:line="240" w:lineRule="auto"/>
              <w:ind w:firstLineChars="0" w:firstLine="0"/>
              <w:jc w:val="center"/>
              <w:textAlignment w:val="auto"/>
              <w:rPr>
                <w:kern w:val="2"/>
                <w:sz w:val="21"/>
                <w:szCs w:val="21"/>
              </w:rPr>
            </w:pPr>
          </w:p>
        </w:tc>
        <w:tc>
          <w:tcPr>
            <w:tcW w:w="851" w:type="dxa"/>
            <w:vMerge/>
            <w:vAlign w:val="center"/>
          </w:tcPr>
          <w:p w:rsidR="005338D5" w:rsidRDefault="005338D5">
            <w:pPr>
              <w:adjustRightInd/>
              <w:snapToGrid/>
              <w:spacing w:line="240" w:lineRule="auto"/>
              <w:ind w:firstLineChars="0" w:firstLine="0"/>
              <w:jc w:val="center"/>
              <w:textAlignment w:val="auto"/>
              <w:rPr>
                <w:kern w:val="2"/>
                <w:sz w:val="21"/>
                <w:szCs w:val="21"/>
              </w:rPr>
            </w:pPr>
          </w:p>
        </w:tc>
        <w:tc>
          <w:tcPr>
            <w:tcW w:w="1843" w:type="dxa"/>
            <w:gridSpan w:val="2"/>
            <w:vAlign w:val="center"/>
          </w:tcPr>
          <w:p w:rsidR="005338D5" w:rsidRDefault="005338D5">
            <w:pPr>
              <w:adjustRightInd/>
              <w:snapToGrid/>
              <w:spacing w:line="240" w:lineRule="auto"/>
              <w:ind w:firstLineChars="0" w:firstLine="0"/>
              <w:jc w:val="center"/>
              <w:textAlignment w:val="auto"/>
              <w:rPr>
                <w:bCs/>
                <w:kern w:val="2"/>
                <w:sz w:val="21"/>
                <w:szCs w:val="21"/>
              </w:rPr>
            </w:pPr>
            <w:r>
              <w:rPr>
                <w:bCs/>
                <w:kern w:val="2"/>
                <w:sz w:val="21"/>
                <w:szCs w:val="21"/>
              </w:rPr>
              <w:t>单位产品综合能耗</w:t>
            </w:r>
            <w:r>
              <w:rPr>
                <w:kern w:val="2"/>
                <w:sz w:val="21"/>
                <w:szCs w:val="21"/>
              </w:rPr>
              <w:t>*</w:t>
            </w:r>
          </w:p>
        </w:tc>
        <w:tc>
          <w:tcPr>
            <w:tcW w:w="850" w:type="dxa"/>
            <w:vAlign w:val="center"/>
          </w:tcPr>
          <w:p w:rsidR="005338D5" w:rsidRDefault="005338D5">
            <w:pPr>
              <w:adjustRightInd/>
              <w:snapToGrid/>
              <w:spacing w:line="240" w:lineRule="auto"/>
              <w:ind w:firstLineChars="0" w:firstLine="0"/>
              <w:jc w:val="center"/>
              <w:textAlignment w:val="auto"/>
              <w:rPr>
                <w:bCs/>
                <w:kern w:val="2"/>
                <w:sz w:val="21"/>
                <w:szCs w:val="21"/>
              </w:rPr>
            </w:pPr>
            <w:r>
              <w:rPr>
                <w:bCs/>
                <w:kern w:val="2"/>
                <w:sz w:val="21"/>
                <w:szCs w:val="21"/>
              </w:rPr>
              <w:t>kgce/kg</w:t>
            </w:r>
          </w:p>
        </w:tc>
        <w:tc>
          <w:tcPr>
            <w:tcW w:w="992" w:type="dxa"/>
            <w:vMerge/>
            <w:vAlign w:val="center"/>
          </w:tcPr>
          <w:p w:rsidR="005338D5" w:rsidRDefault="005338D5">
            <w:pPr>
              <w:adjustRightInd/>
              <w:snapToGrid/>
              <w:spacing w:line="240" w:lineRule="auto"/>
              <w:ind w:firstLineChars="0" w:firstLine="0"/>
              <w:jc w:val="center"/>
              <w:textAlignment w:val="auto"/>
              <w:rPr>
                <w:bCs/>
                <w:kern w:val="2"/>
                <w:sz w:val="21"/>
                <w:szCs w:val="21"/>
              </w:rPr>
            </w:pPr>
          </w:p>
        </w:tc>
        <w:tc>
          <w:tcPr>
            <w:tcW w:w="1276" w:type="dxa"/>
            <w:vAlign w:val="center"/>
          </w:tcPr>
          <w:p w:rsidR="005338D5" w:rsidRDefault="005338D5">
            <w:pPr>
              <w:spacing w:line="240" w:lineRule="auto"/>
              <w:ind w:firstLineChars="0" w:firstLine="0"/>
              <w:jc w:val="center"/>
              <w:rPr>
                <w:sz w:val="21"/>
                <w:szCs w:val="21"/>
              </w:rPr>
            </w:pPr>
            <w:r>
              <w:rPr>
                <w:bCs/>
                <w:kern w:val="2"/>
                <w:sz w:val="21"/>
                <w:szCs w:val="21"/>
              </w:rPr>
              <w:t>≤0.23</w:t>
            </w:r>
          </w:p>
        </w:tc>
        <w:tc>
          <w:tcPr>
            <w:tcW w:w="1134" w:type="dxa"/>
            <w:vAlign w:val="center"/>
          </w:tcPr>
          <w:p w:rsidR="005338D5" w:rsidRDefault="005338D5">
            <w:pPr>
              <w:spacing w:line="240" w:lineRule="auto"/>
              <w:ind w:firstLineChars="0" w:firstLine="0"/>
              <w:jc w:val="center"/>
              <w:rPr>
                <w:sz w:val="21"/>
                <w:szCs w:val="21"/>
              </w:rPr>
            </w:pPr>
            <w:r>
              <w:rPr>
                <w:bCs/>
                <w:kern w:val="2"/>
                <w:sz w:val="21"/>
                <w:szCs w:val="21"/>
              </w:rPr>
              <w:t>≤0.26</w:t>
            </w:r>
          </w:p>
        </w:tc>
        <w:tc>
          <w:tcPr>
            <w:tcW w:w="2693" w:type="dxa"/>
            <w:gridSpan w:val="2"/>
            <w:vAlign w:val="center"/>
          </w:tcPr>
          <w:p w:rsidR="005338D5" w:rsidRDefault="005338D5">
            <w:pPr>
              <w:spacing w:line="240" w:lineRule="auto"/>
              <w:ind w:firstLineChars="0" w:firstLine="0"/>
              <w:jc w:val="center"/>
              <w:rPr>
                <w:sz w:val="21"/>
                <w:szCs w:val="21"/>
              </w:rPr>
            </w:pPr>
            <w:r>
              <w:rPr>
                <w:bCs/>
                <w:kern w:val="2"/>
                <w:sz w:val="21"/>
                <w:szCs w:val="21"/>
              </w:rPr>
              <w:t>≤0.31</w:t>
            </w:r>
          </w:p>
        </w:tc>
        <w:tc>
          <w:tcPr>
            <w:tcW w:w="2010" w:type="dxa"/>
            <w:vAlign w:val="center"/>
          </w:tcPr>
          <w:p w:rsidR="005338D5" w:rsidRDefault="005338D5">
            <w:pPr>
              <w:adjustRightInd/>
              <w:snapToGrid/>
              <w:spacing w:line="240" w:lineRule="auto"/>
              <w:ind w:firstLineChars="0" w:firstLine="0"/>
              <w:textAlignment w:val="auto"/>
              <w:rPr>
                <w:bCs/>
                <w:kern w:val="2"/>
                <w:sz w:val="21"/>
                <w:szCs w:val="21"/>
              </w:rPr>
            </w:pPr>
            <w:r>
              <w:rPr>
                <w:bCs/>
                <w:kern w:val="2"/>
                <w:sz w:val="21"/>
                <w:szCs w:val="21"/>
              </w:rPr>
              <w:t>0.0</w:t>
            </w:r>
            <w:r>
              <w:rPr>
                <w:rFonts w:hint="eastAsia"/>
                <w:bCs/>
                <w:kern w:val="2"/>
                <w:sz w:val="21"/>
                <w:szCs w:val="21"/>
              </w:rPr>
              <w:t>012</w:t>
            </w:r>
          </w:p>
        </w:tc>
        <w:tc>
          <w:tcPr>
            <w:tcW w:w="709" w:type="dxa"/>
            <w:vAlign w:val="center"/>
          </w:tcPr>
          <w:p w:rsidR="005338D5" w:rsidRDefault="005338D5">
            <w:pPr>
              <w:adjustRightInd/>
              <w:snapToGrid/>
              <w:spacing w:line="240" w:lineRule="auto"/>
              <w:ind w:firstLineChars="0" w:firstLine="0"/>
              <w:jc w:val="center"/>
              <w:textAlignment w:val="auto"/>
              <w:rPr>
                <w:bCs/>
                <w:kern w:val="2"/>
                <w:sz w:val="21"/>
                <w:szCs w:val="21"/>
              </w:rPr>
            </w:pPr>
            <w:r>
              <w:rPr>
                <w:rFonts w:ascii="宋体" w:hAnsi="宋体" w:cs="宋体" w:hint="eastAsia"/>
                <w:bCs/>
                <w:kern w:val="2"/>
                <w:sz w:val="21"/>
                <w:szCs w:val="21"/>
              </w:rPr>
              <w:t>Ⅰ</w:t>
            </w:r>
            <w:r>
              <w:rPr>
                <w:bCs/>
                <w:kern w:val="2"/>
                <w:sz w:val="21"/>
                <w:szCs w:val="21"/>
              </w:rPr>
              <w:t>级</w:t>
            </w:r>
          </w:p>
        </w:tc>
      </w:tr>
      <w:tr w:rsidR="005338D5" w:rsidTr="00B9172C">
        <w:trPr>
          <w:cantSplit/>
          <w:trHeight w:val="397"/>
          <w:jc w:val="center"/>
        </w:trPr>
        <w:tc>
          <w:tcPr>
            <w:tcW w:w="818" w:type="dxa"/>
            <w:vAlign w:val="center"/>
          </w:tcPr>
          <w:p w:rsidR="005338D5" w:rsidRDefault="005338D5" w:rsidP="002864C7">
            <w:pPr>
              <w:spacing w:line="240" w:lineRule="auto"/>
              <w:ind w:firstLineChars="0" w:firstLine="0"/>
              <w:jc w:val="center"/>
              <w:rPr>
                <w:kern w:val="2"/>
                <w:sz w:val="21"/>
                <w:szCs w:val="21"/>
              </w:rPr>
            </w:pPr>
            <w:r>
              <w:rPr>
                <w:rFonts w:hint="eastAsia"/>
                <w:kern w:val="2"/>
                <w:sz w:val="21"/>
                <w:szCs w:val="21"/>
              </w:rPr>
              <w:t>10</w:t>
            </w:r>
          </w:p>
        </w:tc>
        <w:tc>
          <w:tcPr>
            <w:tcW w:w="984" w:type="dxa"/>
            <w:vMerge w:val="restart"/>
            <w:vAlign w:val="center"/>
          </w:tcPr>
          <w:p w:rsidR="005338D5" w:rsidRDefault="005338D5" w:rsidP="002864C7">
            <w:pPr>
              <w:adjustRightInd/>
              <w:snapToGrid/>
              <w:spacing w:line="240" w:lineRule="auto"/>
              <w:ind w:firstLineChars="0" w:firstLine="0"/>
              <w:jc w:val="center"/>
              <w:textAlignment w:val="auto"/>
              <w:rPr>
                <w:kern w:val="2"/>
                <w:sz w:val="21"/>
                <w:szCs w:val="21"/>
              </w:rPr>
            </w:pPr>
            <w:r>
              <w:rPr>
                <w:kern w:val="2"/>
                <w:sz w:val="21"/>
                <w:szCs w:val="21"/>
              </w:rPr>
              <w:t>污染物</w:t>
            </w:r>
          </w:p>
          <w:p w:rsidR="005338D5" w:rsidRDefault="005338D5" w:rsidP="002864C7">
            <w:pPr>
              <w:spacing w:line="240" w:lineRule="auto"/>
              <w:ind w:firstLineChars="0" w:firstLine="0"/>
              <w:jc w:val="center"/>
              <w:rPr>
                <w:kern w:val="2"/>
                <w:sz w:val="21"/>
                <w:szCs w:val="21"/>
              </w:rPr>
            </w:pPr>
            <w:r>
              <w:rPr>
                <w:kern w:val="2"/>
                <w:sz w:val="21"/>
                <w:szCs w:val="21"/>
              </w:rPr>
              <w:t>产生指标</w:t>
            </w:r>
          </w:p>
        </w:tc>
        <w:tc>
          <w:tcPr>
            <w:tcW w:w="851" w:type="dxa"/>
            <w:vMerge w:val="restart"/>
            <w:vAlign w:val="center"/>
          </w:tcPr>
          <w:p w:rsidR="005338D5" w:rsidRDefault="005338D5" w:rsidP="002864C7">
            <w:pPr>
              <w:spacing w:line="240" w:lineRule="auto"/>
              <w:ind w:firstLineChars="0" w:firstLine="0"/>
              <w:jc w:val="center"/>
              <w:rPr>
                <w:kern w:val="2"/>
                <w:sz w:val="21"/>
                <w:szCs w:val="21"/>
              </w:rPr>
            </w:pPr>
            <w:r>
              <w:rPr>
                <w:kern w:val="2"/>
                <w:sz w:val="21"/>
                <w:szCs w:val="21"/>
              </w:rPr>
              <w:t>0.3</w:t>
            </w:r>
          </w:p>
        </w:tc>
        <w:tc>
          <w:tcPr>
            <w:tcW w:w="1843" w:type="dxa"/>
            <w:gridSpan w:val="2"/>
            <w:vAlign w:val="center"/>
          </w:tcPr>
          <w:p w:rsidR="005338D5" w:rsidRDefault="005338D5" w:rsidP="002864C7">
            <w:pPr>
              <w:adjustRightInd/>
              <w:snapToGrid/>
              <w:spacing w:line="240" w:lineRule="auto"/>
              <w:ind w:firstLineChars="0" w:firstLine="0"/>
              <w:jc w:val="center"/>
              <w:textAlignment w:val="auto"/>
              <w:rPr>
                <w:bCs/>
                <w:kern w:val="2"/>
                <w:sz w:val="21"/>
                <w:szCs w:val="21"/>
              </w:rPr>
            </w:pPr>
            <w:r>
              <w:rPr>
                <w:bCs/>
                <w:kern w:val="2"/>
                <w:sz w:val="21"/>
                <w:szCs w:val="21"/>
              </w:rPr>
              <w:t>单位面积</w:t>
            </w:r>
            <w:r>
              <w:rPr>
                <w:bCs/>
                <w:kern w:val="2"/>
                <w:sz w:val="21"/>
                <w:szCs w:val="21"/>
              </w:rPr>
              <w:t>VOCs</w:t>
            </w:r>
            <w:r>
              <w:rPr>
                <w:bCs/>
                <w:kern w:val="2"/>
                <w:sz w:val="21"/>
                <w:szCs w:val="21"/>
              </w:rPr>
              <w:t>产生量</w:t>
            </w:r>
            <w:r>
              <w:rPr>
                <w:kern w:val="2"/>
                <w:sz w:val="21"/>
                <w:szCs w:val="21"/>
              </w:rPr>
              <w:t>*</w:t>
            </w:r>
          </w:p>
        </w:tc>
        <w:tc>
          <w:tcPr>
            <w:tcW w:w="850" w:type="dxa"/>
            <w:vAlign w:val="center"/>
          </w:tcPr>
          <w:p w:rsidR="005338D5" w:rsidRDefault="005338D5" w:rsidP="002864C7">
            <w:pPr>
              <w:spacing w:line="240" w:lineRule="auto"/>
              <w:ind w:firstLineChars="0" w:firstLine="0"/>
              <w:jc w:val="center"/>
              <w:rPr>
                <w:bCs/>
                <w:kern w:val="2"/>
                <w:sz w:val="21"/>
                <w:szCs w:val="21"/>
              </w:rPr>
            </w:pPr>
            <w:r>
              <w:rPr>
                <w:bCs/>
                <w:kern w:val="2"/>
                <w:sz w:val="21"/>
                <w:szCs w:val="21"/>
              </w:rPr>
              <w:t>g/m</w:t>
            </w:r>
            <w:r>
              <w:rPr>
                <w:bCs/>
                <w:kern w:val="2"/>
                <w:sz w:val="21"/>
                <w:szCs w:val="21"/>
                <w:vertAlign w:val="superscript"/>
              </w:rPr>
              <w:t>2</w:t>
            </w:r>
          </w:p>
        </w:tc>
        <w:tc>
          <w:tcPr>
            <w:tcW w:w="992" w:type="dxa"/>
            <w:vAlign w:val="center"/>
          </w:tcPr>
          <w:p w:rsidR="005338D5" w:rsidRDefault="005338D5" w:rsidP="002864C7">
            <w:pPr>
              <w:spacing w:line="240" w:lineRule="auto"/>
              <w:ind w:firstLineChars="0" w:firstLine="0"/>
              <w:jc w:val="center"/>
              <w:rPr>
                <w:bCs/>
                <w:kern w:val="2"/>
                <w:sz w:val="21"/>
                <w:szCs w:val="21"/>
              </w:rPr>
            </w:pPr>
            <w:r>
              <w:rPr>
                <w:rFonts w:hint="eastAsia"/>
                <w:bCs/>
                <w:kern w:val="2"/>
                <w:sz w:val="21"/>
                <w:szCs w:val="21"/>
              </w:rPr>
              <w:t>0.35</w:t>
            </w:r>
          </w:p>
        </w:tc>
        <w:tc>
          <w:tcPr>
            <w:tcW w:w="1276" w:type="dxa"/>
            <w:vAlign w:val="center"/>
          </w:tcPr>
          <w:p w:rsidR="005338D5" w:rsidRDefault="005338D5" w:rsidP="002864C7">
            <w:pPr>
              <w:adjustRightInd/>
              <w:snapToGrid/>
              <w:spacing w:line="240" w:lineRule="auto"/>
              <w:ind w:firstLineChars="0" w:firstLine="0"/>
              <w:jc w:val="center"/>
              <w:textAlignment w:val="auto"/>
              <w:rPr>
                <w:bCs/>
                <w:kern w:val="2"/>
                <w:sz w:val="21"/>
                <w:szCs w:val="21"/>
              </w:rPr>
            </w:pPr>
            <w:r>
              <w:rPr>
                <w:bCs/>
                <w:kern w:val="2"/>
                <w:sz w:val="21"/>
                <w:szCs w:val="21"/>
              </w:rPr>
              <w:t>≤60</w:t>
            </w:r>
          </w:p>
        </w:tc>
        <w:tc>
          <w:tcPr>
            <w:tcW w:w="1134" w:type="dxa"/>
            <w:vAlign w:val="center"/>
          </w:tcPr>
          <w:p w:rsidR="005338D5" w:rsidRDefault="005338D5">
            <w:pPr>
              <w:adjustRightInd/>
              <w:snapToGrid/>
              <w:spacing w:line="240" w:lineRule="auto"/>
              <w:ind w:firstLineChars="0" w:firstLine="0"/>
              <w:jc w:val="center"/>
              <w:textAlignment w:val="auto"/>
              <w:rPr>
                <w:bCs/>
                <w:kern w:val="2"/>
                <w:sz w:val="21"/>
                <w:szCs w:val="21"/>
              </w:rPr>
            </w:pPr>
            <w:r>
              <w:rPr>
                <w:bCs/>
                <w:kern w:val="2"/>
                <w:sz w:val="21"/>
                <w:szCs w:val="21"/>
              </w:rPr>
              <w:t>≤80</w:t>
            </w:r>
          </w:p>
        </w:tc>
        <w:tc>
          <w:tcPr>
            <w:tcW w:w="2693" w:type="dxa"/>
            <w:gridSpan w:val="2"/>
            <w:vAlign w:val="center"/>
          </w:tcPr>
          <w:p w:rsidR="005338D5" w:rsidRDefault="005338D5">
            <w:pPr>
              <w:spacing w:line="240" w:lineRule="auto"/>
              <w:ind w:firstLineChars="0" w:firstLine="0"/>
              <w:jc w:val="center"/>
              <w:rPr>
                <w:sz w:val="21"/>
                <w:szCs w:val="21"/>
              </w:rPr>
            </w:pPr>
            <w:r>
              <w:rPr>
                <w:bCs/>
                <w:kern w:val="2"/>
                <w:sz w:val="21"/>
                <w:szCs w:val="21"/>
              </w:rPr>
              <w:t>≤100</w:t>
            </w:r>
          </w:p>
        </w:tc>
        <w:tc>
          <w:tcPr>
            <w:tcW w:w="2010" w:type="dxa"/>
            <w:vAlign w:val="center"/>
          </w:tcPr>
          <w:p w:rsidR="005338D5" w:rsidRDefault="005338D5">
            <w:pPr>
              <w:spacing w:line="240" w:lineRule="auto"/>
              <w:ind w:firstLineChars="0" w:firstLine="0"/>
              <w:rPr>
                <w:bCs/>
                <w:kern w:val="2"/>
                <w:sz w:val="21"/>
                <w:szCs w:val="21"/>
              </w:rPr>
            </w:pPr>
            <w:r>
              <w:rPr>
                <w:rFonts w:hint="eastAsia"/>
                <w:bCs/>
                <w:kern w:val="2"/>
                <w:sz w:val="21"/>
                <w:szCs w:val="21"/>
              </w:rPr>
              <w:t>0.21</w:t>
            </w:r>
          </w:p>
        </w:tc>
        <w:tc>
          <w:tcPr>
            <w:tcW w:w="709" w:type="dxa"/>
            <w:vAlign w:val="center"/>
          </w:tcPr>
          <w:p w:rsidR="005338D5" w:rsidRDefault="005338D5">
            <w:pPr>
              <w:pStyle w:val="afa"/>
            </w:pPr>
            <w:r>
              <w:rPr>
                <w:rFonts w:ascii="宋体" w:hAnsi="宋体" w:cs="宋体" w:hint="eastAsia"/>
              </w:rPr>
              <w:t>Ⅰ</w:t>
            </w:r>
            <w:r>
              <w:t>级</w:t>
            </w:r>
          </w:p>
        </w:tc>
      </w:tr>
      <w:tr w:rsidR="005338D5" w:rsidTr="002864C7">
        <w:trPr>
          <w:cantSplit/>
          <w:trHeight w:val="397"/>
          <w:jc w:val="center"/>
        </w:trPr>
        <w:tc>
          <w:tcPr>
            <w:tcW w:w="818" w:type="dxa"/>
            <w:vAlign w:val="center"/>
          </w:tcPr>
          <w:p w:rsidR="005338D5" w:rsidRDefault="005338D5" w:rsidP="002864C7">
            <w:pPr>
              <w:adjustRightInd/>
              <w:snapToGrid/>
              <w:spacing w:line="240" w:lineRule="auto"/>
              <w:ind w:firstLineChars="0" w:firstLine="0"/>
              <w:jc w:val="center"/>
              <w:textAlignment w:val="auto"/>
              <w:rPr>
                <w:kern w:val="2"/>
                <w:sz w:val="21"/>
                <w:szCs w:val="21"/>
              </w:rPr>
            </w:pPr>
            <w:r>
              <w:rPr>
                <w:rFonts w:hint="eastAsia"/>
                <w:kern w:val="2"/>
                <w:sz w:val="21"/>
                <w:szCs w:val="21"/>
              </w:rPr>
              <w:t>11</w:t>
            </w:r>
          </w:p>
        </w:tc>
        <w:tc>
          <w:tcPr>
            <w:tcW w:w="984" w:type="dxa"/>
            <w:vMerge/>
            <w:vAlign w:val="center"/>
          </w:tcPr>
          <w:p w:rsidR="005338D5" w:rsidRDefault="005338D5" w:rsidP="002864C7">
            <w:pPr>
              <w:adjustRightInd/>
              <w:snapToGrid/>
              <w:spacing w:line="240" w:lineRule="auto"/>
              <w:ind w:firstLineChars="0" w:firstLine="0"/>
              <w:jc w:val="center"/>
              <w:textAlignment w:val="auto"/>
              <w:rPr>
                <w:kern w:val="2"/>
                <w:sz w:val="21"/>
                <w:szCs w:val="21"/>
              </w:rPr>
            </w:pPr>
          </w:p>
        </w:tc>
        <w:tc>
          <w:tcPr>
            <w:tcW w:w="851" w:type="dxa"/>
            <w:vMerge/>
            <w:vAlign w:val="center"/>
          </w:tcPr>
          <w:p w:rsidR="005338D5" w:rsidRDefault="005338D5" w:rsidP="002864C7">
            <w:pPr>
              <w:adjustRightInd/>
              <w:snapToGrid/>
              <w:spacing w:line="240" w:lineRule="auto"/>
              <w:ind w:firstLineChars="0" w:firstLine="0"/>
              <w:jc w:val="center"/>
              <w:textAlignment w:val="auto"/>
              <w:rPr>
                <w:kern w:val="2"/>
                <w:sz w:val="21"/>
                <w:szCs w:val="21"/>
              </w:rPr>
            </w:pPr>
          </w:p>
        </w:tc>
        <w:tc>
          <w:tcPr>
            <w:tcW w:w="1843" w:type="dxa"/>
            <w:gridSpan w:val="2"/>
            <w:vAlign w:val="center"/>
          </w:tcPr>
          <w:p w:rsidR="005338D5" w:rsidRDefault="005338D5" w:rsidP="002864C7">
            <w:pPr>
              <w:adjustRightInd/>
              <w:snapToGrid/>
              <w:spacing w:line="240" w:lineRule="auto"/>
              <w:ind w:firstLineChars="0" w:firstLine="0"/>
              <w:jc w:val="center"/>
              <w:textAlignment w:val="auto"/>
              <w:rPr>
                <w:kern w:val="2"/>
                <w:sz w:val="21"/>
                <w:szCs w:val="21"/>
              </w:rPr>
            </w:pPr>
            <w:r>
              <w:rPr>
                <w:bCs/>
                <w:kern w:val="2"/>
                <w:sz w:val="21"/>
                <w:szCs w:val="21"/>
              </w:rPr>
              <w:t>单位面积</w:t>
            </w:r>
            <w:r>
              <w:rPr>
                <w:bCs/>
                <w:kern w:val="2"/>
                <w:sz w:val="21"/>
                <w:szCs w:val="21"/>
              </w:rPr>
              <w:t>COD</w:t>
            </w:r>
            <w:r>
              <w:rPr>
                <w:bCs/>
                <w:kern w:val="2"/>
                <w:sz w:val="21"/>
                <w:szCs w:val="21"/>
                <w:vertAlign w:val="subscript"/>
              </w:rPr>
              <w:t>CR</w:t>
            </w:r>
            <w:r>
              <w:rPr>
                <w:bCs/>
                <w:kern w:val="2"/>
                <w:sz w:val="21"/>
                <w:szCs w:val="21"/>
              </w:rPr>
              <w:t>产生量</w:t>
            </w:r>
            <w:r>
              <w:rPr>
                <w:kern w:val="2"/>
                <w:sz w:val="21"/>
                <w:szCs w:val="21"/>
              </w:rPr>
              <w:t>*</w:t>
            </w:r>
          </w:p>
        </w:tc>
        <w:tc>
          <w:tcPr>
            <w:tcW w:w="850" w:type="dxa"/>
            <w:vAlign w:val="center"/>
          </w:tcPr>
          <w:p w:rsidR="005338D5" w:rsidRDefault="005338D5">
            <w:pPr>
              <w:adjustRightInd/>
              <w:snapToGrid/>
              <w:spacing w:line="240" w:lineRule="auto"/>
              <w:ind w:firstLineChars="0" w:firstLine="0"/>
              <w:jc w:val="center"/>
              <w:textAlignment w:val="auto"/>
              <w:rPr>
                <w:bCs/>
                <w:kern w:val="2"/>
                <w:sz w:val="21"/>
                <w:szCs w:val="21"/>
              </w:rPr>
            </w:pPr>
            <w:r>
              <w:rPr>
                <w:bCs/>
                <w:kern w:val="2"/>
                <w:sz w:val="21"/>
                <w:szCs w:val="21"/>
              </w:rPr>
              <w:t>g/m</w:t>
            </w:r>
            <w:r>
              <w:rPr>
                <w:bCs/>
                <w:kern w:val="2"/>
                <w:sz w:val="21"/>
                <w:szCs w:val="21"/>
                <w:vertAlign w:val="superscript"/>
              </w:rPr>
              <w:t>2</w:t>
            </w:r>
          </w:p>
        </w:tc>
        <w:tc>
          <w:tcPr>
            <w:tcW w:w="992" w:type="dxa"/>
            <w:vAlign w:val="center"/>
          </w:tcPr>
          <w:p w:rsidR="005338D5" w:rsidRDefault="005338D5">
            <w:pPr>
              <w:adjustRightInd/>
              <w:snapToGrid/>
              <w:spacing w:line="240" w:lineRule="auto"/>
              <w:ind w:firstLineChars="0" w:firstLine="0"/>
              <w:jc w:val="center"/>
              <w:textAlignment w:val="auto"/>
              <w:rPr>
                <w:bCs/>
                <w:kern w:val="2"/>
                <w:sz w:val="21"/>
                <w:szCs w:val="21"/>
              </w:rPr>
            </w:pPr>
            <w:r>
              <w:rPr>
                <w:bCs/>
                <w:kern w:val="2"/>
                <w:sz w:val="21"/>
                <w:szCs w:val="21"/>
              </w:rPr>
              <w:t>0.35</w:t>
            </w:r>
          </w:p>
        </w:tc>
        <w:tc>
          <w:tcPr>
            <w:tcW w:w="1276" w:type="dxa"/>
            <w:vAlign w:val="center"/>
          </w:tcPr>
          <w:p w:rsidR="005338D5" w:rsidRDefault="005338D5">
            <w:pPr>
              <w:adjustRightInd/>
              <w:snapToGrid/>
              <w:spacing w:line="240" w:lineRule="auto"/>
              <w:ind w:firstLineChars="0" w:firstLine="0"/>
              <w:jc w:val="center"/>
              <w:textAlignment w:val="auto"/>
              <w:rPr>
                <w:bCs/>
                <w:kern w:val="2"/>
                <w:sz w:val="21"/>
                <w:szCs w:val="21"/>
              </w:rPr>
            </w:pPr>
            <w:r>
              <w:rPr>
                <w:bCs/>
                <w:kern w:val="2"/>
                <w:sz w:val="21"/>
                <w:szCs w:val="21"/>
              </w:rPr>
              <w:t>≤2</w:t>
            </w:r>
          </w:p>
        </w:tc>
        <w:tc>
          <w:tcPr>
            <w:tcW w:w="1134" w:type="dxa"/>
            <w:vAlign w:val="center"/>
          </w:tcPr>
          <w:p w:rsidR="005338D5" w:rsidRDefault="005338D5">
            <w:pPr>
              <w:adjustRightInd/>
              <w:snapToGrid/>
              <w:spacing w:line="240" w:lineRule="auto"/>
              <w:ind w:firstLineChars="0" w:firstLine="0"/>
              <w:jc w:val="center"/>
              <w:textAlignment w:val="auto"/>
              <w:rPr>
                <w:bCs/>
                <w:kern w:val="2"/>
                <w:sz w:val="21"/>
                <w:szCs w:val="21"/>
              </w:rPr>
            </w:pPr>
            <w:r>
              <w:rPr>
                <w:bCs/>
                <w:kern w:val="2"/>
                <w:sz w:val="21"/>
                <w:szCs w:val="21"/>
              </w:rPr>
              <w:t>≤2.5</w:t>
            </w:r>
          </w:p>
        </w:tc>
        <w:tc>
          <w:tcPr>
            <w:tcW w:w="2693" w:type="dxa"/>
            <w:gridSpan w:val="2"/>
            <w:vAlign w:val="center"/>
          </w:tcPr>
          <w:p w:rsidR="005338D5" w:rsidRDefault="005338D5">
            <w:pPr>
              <w:spacing w:line="240" w:lineRule="auto"/>
              <w:ind w:firstLineChars="0" w:firstLine="0"/>
              <w:jc w:val="center"/>
              <w:rPr>
                <w:sz w:val="21"/>
                <w:szCs w:val="21"/>
              </w:rPr>
            </w:pPr>
            <w:r>
              <w:rPr>
                <w:bCs/>
                <w:kern w:val="2"/>
                <w:sz w:val="21"/>
                <w:szCs w:val="21"/>
              </w:rPr>
              <w:t>≤3.5</w:t>
            </w:r>
          </w:p>
        </w:tc>
        <w:tc>
          <w:tcPr>
            <w:tcW w:w="2010" w:type="dxa"/>
            <w:vAlign w:val="center"/>
          </w:tcPr>
          <w:p w:rsidR="005338D5" w:rsidRDefault="005338D5">
            <w:pPr>
              <w:adjustRightInd/>
              <w:snapToGrid/>
              <w:spacing w:line="240" w:lineRule="auto"/>
              <w:ind w:firstLineChars="0" w:firstLine="0"/>
              <w:textAlignment w:val="auto"/>
              <w:rPr>
                <w:bCs/>
                <w:kern w:val="2"/>
                <w:sz w:val="21"/>
                <w:szCs w:val="21"/>
              </w:rPr>
            </w:pPr>
            <w:r>
              <w:rPr>
                <w:rFonts w:hint="eastAsia"/>
                <w:bCs/>
                <w:kern w:val="2"/>
                <w:sz w:val="21"/>
                <w:szCs w:val="21"/>
              </w:rPr>
              <w:t>0.12</w:t>
            </w:r>
          </w:p>
        </w:tc>
        <w:tc>
          <w:tcPr>
            <w:tcW w:w="709" w:type="dxa"/>
            <w:vAlign w:val="center"/>
          </w:tcPr>
          <w:p w:rsidR="005338D5" w:rsidRDefault="005338D5">
            <w:pPr>
              <w:adjustRightInd/>
              <w:snapToGrid/>
              <w:spacing w:line="240" w:lineRule="auto"/>
              <w:ind w:firstLineChars="0" w:firstLine="0"/>
              <w:jc w:val="center"/>
              <w:textAlignment w:val="auto"/>
              <w:rPr>
                <w:bCs/>
                <w:kern w:val="2"/>
                <w:sz w:val="21"/>
                <w:szCs w:val="21"/>
              </w:rPr>
            </w:pPr>
            <w:r>
              <w:rPr>
                <w:rFonts w:ascii="宋体" w:hAnsi="宋体" w:cs="宋体" w:hint="eastAsia"/>
                <w:bCs/>
                <w:kern w:val="2"/>
                <w:sz w:val="21"/>
                <w:szCs w:val="21"/>
              </w:rPr>
              <w:t>Ⅰ</w:t>
            </w:r>
            <w:r>
              <w:rPr>
                <w:bCs/>
                <w:kern w:val="2"/>
                <w:sz w:val="21"/>
                <w:szCs w:val="21"/>
              </w:rPr>
              <w:t>级</w:t>
            </w:r>
          </w:p>
        </w:tc>
      </w:tr>
      <w:tr w:rsidR="005338D5">
        <w:trPr>
          <w:cantSplit/>
          <w:trHeight w:val="397"/>
          <w:jc w:val="center"/>
        </w:trPr>
        <w:tc>
          <w:tcPr>
            <w:tcW w:w="818" w:type="dxa"/>
            <w:vAlign w:val="center"/>
          </w:tcPr>
          <w:p w:rsidR="005338D5" w:rsidRDefault="005338D5" w:rsidP="005338D5">
            <w:pPr>
              <w:adjustRightInd/>
              <w:snapToGrid/>
              <w:spacing w:line="240" w:lineRule="auto"/>
              <w:ind w:firstLineChars="0" w:firstLine="0"/>
              <w:jc w:val="center"/>
              <w:textAlignment w:val="auto"/>
              <w:rPr>
                <w:kern w:val="2"/>
                <w:sz w:val="21"/>
                <w:szCs w:val="21"/>
              </w:rPr>
            </w:pPr>
            <w:r>
              <w:rPr>
                <w:kern w:val="2"/>
                <w:sz w:val="21"/>
                <w:szCs w:val="21"/>
              </w:rPr>
              <w:t>1</w:t>
            </w:r>
            <w:r>
              <w:rPr>
                <w:rFonts w:hint="eastAsia"/>
                <w:kern w:val="2"/>
                <w:sz w:val="21"/>
                <w:szCs w:val="21"/>
              </w:rPr>
              <w:t>2</w:t>
            </w:r>
          </w:p>
        </w:tc>
        <w:tc>
          <w:tcPr>
            <w:tcW w:w="984" w:type="dxa"/>
            <w:vMerge/>
            <w:vAlign w:val="center"/>
          </w:tcPr>
          <w:p w:rsidR="005338D5" w:rsidRDefault="005338D5">
            <w:pPr>
              <w:adjustRightInd/>
              <w:snapToGrid/>
              <w:spacing w:line="240" w:lineRule="auto"/>
              <w:ind w:firstLineChars="0" w:firstLine="0"/>
              <w:jc w:val="center"/>
              <w:textAlignment w:val="auto"/>
              <w:rPr>
                <w:kern w:val="2"/>
                <w:sz w:val="21"/>
                <w:szCs w:val="21"/>
              </w:rPr>
            </w:pPr>
          </w:p>
        </w:tc>
        <w:tc>
          <w:tcPr>
            <w:tcW w:w="851" w:type="dxa"/>
            <w:vMerge/>
            <w:vAlign w:val="center"/>
          </w:tcPr>
          <w:p w:rsidR="005338D5" w:rsidRDefault="005338D5">
            <w:pPr>
              <w:adjustRightInd/>
              <w:snapToGrid/>
              <w:spacing w:line="240" w:lineRule="auto"/>
              <w:ind w:firstLineChars="0" w:firstLine="0"/>
              <w:jc w:val="center"/>
              <w:textAlignment w:val="auto"/>
              <w:rPr>
                <w:kern w:val="2"/>
                <w:sz w:val="21"/>
                <w:szCs w:val="21"/>
              </w:rPr>
            </w:pPr>
          </w:p>
        </w:tc>
        <w:tc>
          <w:tcPr>
            <w:tcW w:w="1843" w:type="dxa"/>
            <w:gridSpan w:val="2"/>
            <w:vAlign w:val="center"/>
          </w:tcPr>
          <w:p w:rsidR="005338D5" w:rsidRDefault="005338D5">
            <w:pPr>
              <w:adjustRightInd/>
              <w:snapToGrid/>
              <w:spacing w:line="240" w:lineRule="auto"/>
              <w:ind w:firstLineChars="0" w:firstLine="0"/>
              <w:jc w:val="center"/>
              <w:textAlignment w:val="auto"/>
              <w:rPr>
                <w:bCs/>
                <w:kern w:val="2"/>
                <w:sz w:val="21"/>
                <w:szCs w:val="21"/>
              </w:rPr>
            </w:pPr>
            <w:r>
              <w:rPr>
                <w:bCs/>
                <w:kern w:val="2"/>
                <w:sz w:val="21"/>
                <w:szCs w:val="21"/>
              </w:rPr>
              <w:t>单位面积危险废物产生量</w:t>
            </w:r>
            <w:r>
              <w:rPr>
                <w:kern w:val="2"/>
                <w:sz w:val="21"/>
                <w:szCs w:val="21"/>
              </w:rPr>
              <w:t>*</w:t>
            </w:r>
          </w:p>
        </w:tc>
        <w:tc>
          <w:tcPr>
            <w:tcW w:w="850" w:type="dxa"/>
            <w:vAlign w:val="center"/>
          </w:tcPr>
          <w:p w:rsidR="005338D5" w:rsidRDefault="005338D5">
            <w:pPr>
              <w:adjustRightInd/>
              <w:snapToGrid/>
              <w:spacing w:line="240" w:lineRule="auto"/>
              <w:ind w:firstLineChars="0" w:firstLine="0"/>
              <w:jc w:val="center"/>
              <w:textAlignment w:val="auto"/>
              <w:rPr>
                <w:bCs/>
                <w:kern w:val="2"/>
                <w:sz w:val="21"/>
                <w:szCs w:val="21"/>
              </w:rPr>
            </w:pPr>
            <w:r>
              <w:rPr>
                <w:bCs/>
                <w:kern w:val="2"/>
                <w:sz w:val="21"/>
                <w:szCs w:val="21"/>
              </w:rPr>
              <w:t>g/m</w:t>
            </w:r>
            <w:r>
              <w:rPr>
                <w:bCs/>
                <w:kern w:val="2"/>
                <w:sz w:val="21"/>
                <w:szCs w:val="21"/>
                <w:vertAlign w:val="superscript"/>
              </w:rPr>
              <w:t>2</w:t>
            </w:r>
          </w:p>
        </w:tc>
        <w:tc>
          <w:tcPr>
            <w:tcW w:w="992" w:type="dxa"/>
            <w:vAlign w:val="center"/>
          </w:tcPr>
          <w:p w:rsidR="005338D5" w:rsidRDefault="005338D5">
            <w:pPr>
              <w:adjustRightInd/>
              <w:snapToGrid/>
              <w:spacing w:line="240" w:lineRule="auto"/>
              <w:ind w:firstLineChars="0" w:firstLine="0"/>
              <w:jc w:val="center"/>
              <w:textAlignment w:val="auto"/>
              <w:rPr>
                <w:bCs/>
                <w:kern w:val="2"/>
                <w:sz w:val="21"/>
                <w:szCs w:val="21"/>
              </w:rPr>
            </w:pPr>
            <w:r>
              <w:rPr>
                <w:bCs/>
                <w:kern w:val="2"/>
                <w:sz w:val="21"/>
                <w:szCs w:val="21"/>
              </w:rPr>
              <w:t>0.3</w:t>
            </w:r>
          </w:p>
        </w:tc>
        <w:tc>
          <w:tcPr>
            <w:tcW w:w="1276" w:type="dxa"/>
            <w:vAlign w:val="center"/>
          </w:tcPr>
          <w:p w:rsidR="005338D5" w:rsidRDefault="005338D5">
            <w:pPr>
              <w:adjustRightInd/>
              <w:snapToGrid/>
              <w:spacing w:line="240" w:lineRule="auto"/>
              <w:ind w:firstLineChars="0" w:firstLine="0"/>
              <w:jc w:val="center"/>
              <w:textAlignment w:val="auto"/>
              <w:rPr>
                <w:bCs/>
                <w:kern w:val="2"/>
                <w:sz w:val="21"/>
                <w:szCs w:val="21"/>
              </w:rPr>
            </w:pPr>
            <w:r>
              <w:rPr>
                <w:bCs/>
                <w:kern w:val="2"/>
                <w:sz w:val="21"/>
                <w:szCs w:val="21"/>
              </w:rPr>
              <w:t>≤90</w:t>
            </w:r>
          </w:p>
        </w:tc>
        <w:tc>
          <w:tcPr>
            <w:tcW w:w="1134" w:type="dxa"/>
            <w:vAlign w:val="center"/>
          </w:tcPr>
          <w:p w:rsidR="005338D5" w:rsidRDefault="005338D5">
            <w:pPr>
              <w:adjustRightInd/>
              <w:snapToGrid/>
              <w:spacing w:line="240" w:lineRule="auto"/>
              <w:ind w:firstLineChars="0" w:firstLine="0"/>
              <w:jc w:val="center"/>
              <w:textAlignment w:val="auto"/>
              <w:rPr>
                <w:bCs/>
                <w:kern w:val="2"/>
                <w:sz w:val="21"/>
                <w:szCs w:val="21"/>
              </w:rPr>
            </w:pPr>
            <w:r>
              <w:rPr>
                <w:bCs/>
                <w:kern w:val="2"/>
                <w:sz w:val="21"/>
                <w:szCs w:val="21"/>
              </w:rPr>
              <w:t>≤110</w:t>
            </w:r>
          </w:p>
        </w:tc>
        <w:tc>
          <w:tcPr>
            <w:tcW w:w="2693" w:type="dxa"/>
            <w:gridSpan w:val="2"/>
            <w:vAlign w:val="center"/>
          </w:tcPr>
          <w:p w:rsidR="005338D5" w:rsidRDefault="005338D5">
            <w:pPr>
              <w:spacing w:line="240" w:lineRule="auto"/>
              <w:ind w:firstLineChars="0" w:firstLine="0"/>
              <w:jc w:val="center"/>
              <w:rPr>
                <w:sz w:val="21"/>
                <w:szCs w:val="21"/>
              </w:rPr>
            </w:pPr>
            <w:r>
              <w:rPr>
                <w:bCs/>
                <w:kern w:val="2"/>
                <w:sz w:val="21"/>
                <w:szCs w:val="21"/>
              </w:rPr>
              <w:t>≤160</w:t>
            </w:r>
          </w:p>
        </w:tc>
        <w:tc>
          <w:tcPr>
            <w:tcW w:w="2010" w:type="dxa"/>
            <w:vAlign w:val="center"/>
          </w:tcPr>
          <w:p w:rsidR="005338D5" w:rsidRDefault="005338D5">
            <w:pPr>
              <w:adjustRightInd/>
              <w:snapToGrid/>
              <w:spacing w:line="240" w:lineRule="auto"/>
              <w:ind w:firstLineChars="0" w:firstLine="0"/>
              <w:textAlignment w:val="auto"/>
              <w:rPr>
                <w:bCs/>
                <w:kern w:val="2"/>
                <w:sz w:val="21"/>
                <w:szCs w:val="21"/>
              </w:rPr>
            </w:pPr>
            <w:r>
              <w:rPr>
                <w:rFonts w:hint="eastAsia"/>
                <w:bCs/>
                <w:kern w:val="2"/>
                <w:sz w:val="21"/>
                <w:szCs w:val="21"/>
              </w:rPr>
              <w:t>3.46</w:t>
            </w:r>
          </w:p>
        </w:tc>
        <w:tc>
          <w:tcPr>
            <w:tcW w:w="709" w:type="dxa"/>
            <w:vAlign w:val="center"/>
          </w:tcPr>
          <w:p w:rsidR="005338D5" w:rsidRDefault="005338D5">
            <w:pPr>
              <w:adjustRightInd/>
              <w:snapToGrid/>
              <w:spacing w:line="240" w:lineRule="auto"/>
              <w:ind w:firstLineChars="0" w:firstLine="0"/>
              <w:jc w:val="center"/>
              <w:textAlignment w:val="auto"/>
              <w:rPr>
                <w:bCs/>
                <w:kern w:val="2"/>
                <w:sz w:val="21"/>
                <w:szCs w:val="21"/>
              </w:rPr>
            </w:pPr>
            <w:r>
              <w:rPr>
                <w:rFonts w:ascii="宋体" w:hAnsi="宋体" w:cs="宋体" w:hint="eastAsia"/>
                <w:bCs/>
                <w:kern w:val="2"/>
                <w:sz w:val="21"/>
                <w:szCs w:val="21"/>
              </w:rPr>
              <w:t>Ⅰ</w:t>
            </w:r>
            <w:r>
              <w:rPr>
                <w:bCs/>
                <w:kern w:val="2"/>
                <w:sz w:val="21"/>
                <w:szCs w:val="21"/>
              </w:rPr>
              <w:t>级</w:t>
            </w:r>
          </w:p>
        </w:tc>
      </w:tr>
    </w:tbl>
    <w:p w:rsidR="00EE56C0" w:rsidRDefault="000F36A1" w:rsidP="00A81C72">
      <w:pPr>
        <w:spacing w:line="500" w:lineRule="exact"/>
        <w:ind w:firstLine="482"/>
        <w:rPr>
          <w:b/>
          <w:kern w:val="2"/>
        </w:rPr>
      </w:pPr>
      <w:r>
        <w:rPr>
          <w:rFonts w:hint="eastAsia"/>
          <w:b/>
          <w:kern w:val="2"/>
        </w:rPr>
        <w:t>备注：</w:t>
      </w:r>
      <w:r>
        <w:rPr>
          <w:rFonts w:hint="eastAsia"/>
        </w:rPr>
        <w:t>1</w:t>
      </w:r>
      <w:r>
        <w:rPr>
          <w:rFonts w:hint="eastAsia"/>
        </w:rPr>
        <w:t>、</w:t>
      </w:r>
      <w:r>
        <w:rPr>
          <w:rFonts w:hint="eastAsia"/>
          <w:b/>
          <w:kern w:val="2"/>
        </w:rPr>
        <w:t>b</w:t>
      </w:r>
      <w:r>
        <w:rPr>
          <w:rFonts w:hint="eastAsia"/>
          <w:b/>
          <w:kern w:val="2"/>
        </w:rPr>
        <w:t>节水技术应用包括：湿式喷漆室有循环系统、除渣措施，干式喷漆室为节水型设备或其他节水的新技术应用（应用以上技术之一即可）。</w:t>
      </w:r>
    </w:p>
    <w:p w:rsidR="00EE56C0" w:rsidRDefault="000F36A1" w:rsidP="00A81C72">
      <w:pPr>
        <w:spacing w:line="500" w:lineRule="exact"/>
        <w:ind w:firstLine="482"/>
        <w:rPr>
          <w:b/>
          <w:kern w:val="2"/>
        </w:rPr>
      </w:pPr>
      <w:r>
        <w:rPr>
          <w:rFonts w:hint="eastAsia"/>
          <w:b/>
          <w:kern w:val="2"/>
        </w:rPr>
        <w:t>2</w:t>
      </w:r>
      <w:r>
        <w:rPr>
          <w:rFonts w:hint="eastAsia"/>
          <w:b/>
          <w:kern w:val="2"/>
        </w:rPr>
        <w:t>、</w:t>
      </w:r>
      <w:r>
        <w:rPr>
          <w:rFonts w:hint="eastAsia"/>
          <w:b/>
          <w:kern w:val="2"/>
        </w:rPr>
        <w:t>c</w:t>
      </w:r>
      <w:r>
        <w:rPr>
          <w:rFonts w:hint="eastAsia"/>
          <w:b/>
          <w:kern w:val="2"/>
        </w:rPr>
        <w:t>节能技术应用包括：余热利用；应用变频电机等节能措施，可按需调节水量、风量、能耗；喷漆室应用循环风技术；烘干室采用桥式、风幕等防止热气外溢的节能措施；厚壁产品、大型（重量大）产品涂层应用辐射等节能加热方式；排气能源回收利用；应用简洁、节能的工艺；应用中低温固化的涂料；具有良好的保温措施；或其他节约能耗的新技术应用（应用以上技术之一即可）。</w:t>
      </w:r>
    </w:p>
    <w:p w:rsidR="00EE56C0" w:rsidRDefault="000F36A1" w:rsidP="00A81C72">
      <w:pPr>
        <w:spacing w:line="500" w:lineRule="exact"/>
        <w:ind w:firstLine="482"/>
        <w:rPr>
          <w:b/>
          <w:kern w:val="2"/>
        </w:rPr>
      </w:pPr>
      <w:r>
        <w:rPr>
          <w:rFonts w:hint="eastAsia"/>
          <w:b/>
          <w:kern w:val="2"/>
        </w:rPr>
        <w:t>3</w:t>
      </w:r>
      <w:r>
        <w:rPr>
          <w:rFonts w:hint="eastAsia"/>
          <w:b/>
          <w:kern w:val="2"/>
        </w:rPr>
        <w:t>、</w:t>
      </w:r>
      <w:r w:rsidR="00547007">
        <w:rPr>
          <w:rFonts w:hint="eastAsia"/>
          <w:b/>
          <w:kern w:val="2"/>
        </w:rPr>
        <w:t>e</w:t>
      </w:r>
      <w:r>
        <w:rPr>
          <w:rFonts w:hint="eastAsia"/>
          <w:b/>
          <w:kern w:val="2"/>
        </w:rPr>
        <w:t>废溶剂收集、处理：换色、洗枪、管道清洗产生的废溶剂需要全部收集，废溶剂处理可委外处理，此废溶剂不计入单位面积的</w:t>
      </w:r>
      <w:r>
        <w:rPr>
          <w:rFonts w:hint="eastAsia"/>
          <w:b/>
          <w:kern w:val="2"/>
        </w:rPr>
        <w:t xml:space="preserve"> CODcr </w:t>
      </w:r>
      <w:r>
        <w:rPr>
          <w:rFonts w:hint="eastAsia"/>
          <w:b/>
          <w:kern w:val="2"/>
        </w:rPr>
        <w:t>产生量。</w:t>
      </w:r>
    </w:p>
    <w:p w:rsidR="00EE56C0" w:rsidRDefault="000F36A1" w:rsidP="00A81C72">
      <w:pPr>
        <w:spacing w:line="500" w:lineRule="exact"/>
        <w:ind w:firstLine="482"/>
        <w:rPr>
          <w:b/>
          <w:kern w:val="2"/>
        </w:rPr>
      </w:pPr>
      <w:r>
        <w:rPr>
          <w:rFonts w:hint="eastAsia"/>
          <w:b/>
          <w:kern w:val="2"/>
        </w:rPr>
        <w:t>4</w:t>
      </w:r>
      <w:r>
        <w:rPr>
          <w:rFonts w:hint="eastAsia"/>
          <w:b/>
          <w:kern w:val="2"/>
        </w:rPr>
        <w:t>、</w:t>
      </w:r>
      <w:r w:rsidR="00547007">
        <w:rPr>
          <w:rFonts w:hint="eastAsia"/>
          <w:b/>
          <w:kern w:val="2"/>
        </w:rPr>
        <w:t>j</w:t>
      </w:r>
      <w:r>
        <w:rPr>
          <w:rFonts w:hint="eastAsia"/>
          <w:b/>
          <w:kern w:val="2"/>
        </w:rPr>
        <w:t>加热装置多级调节：燃油、燃气为比例调节；电加热为调功器调节；蒸气为流量、压力调节阀；包括温度可调。</w:t>
      </w:r>
    </w:p>
    <w:p w:rsidR="00EE56C0" w:rsidRDefault="000F36A1" w:rsidP="00A81C72">
      <w:pPr>
        <w:spacing w:line="500" w:lineRule="exact"/>
        <w:ind w:firstLine="482"/>
        <w:rPr>
          <w:b/>
          <w:kern w:val="2"/>
        </w:rPr>
      </w:pPr>
      <w:r>
        <w:rPr>
          <w:rFonts w:hint="eastAsia"/>
          <w:b/>
          <w:kern w:val="2"/>
        </w:rPr>
        <w:lastRenderedPageBreak/>
        <w:t>5</w:t>
      </w:r>
      <w:r>
        <w:rPr>
          <w:rFonts w:hint="eastAsia"/>
          <w:b/>
          <w:kern w:val="2"/>
        </w:rPr>
        <w:t>、带“</w:t>
      </w:r>
      <w:r>
        <w:rPr>
          <w:b/>
          <w:kern w:val="2"/>
        </w:rPr>
        <w:t>*</w:t>
      </w:r>
      <w:r>
        <w:rPr>
          <w:rFonts w:hint="eastAsia"/>
          <w:b/>
          <w:kern w:val="2"/>
        </w:rPr>
        <w:t>”的指标为限定性指标。</w:t>
      </w:r>
    </w:p>
    <w:p w:rsidR="005338D5" w:rsidRPr="005338D5" w:rsidRDefault="005338D5" w:rsidP="00A81C72">
      <w:pPr>
        <w:spacing w:line="500" w:lineRule="exact"/>
        <w:ind w:firstLine="482"/>
        <w:rPr>
          <w:b/>
          <w:kern w:val="2"/>
          <w:u w:val="single"/>
        </w:rPr>
      </w:pPr>
      <w:r w:rsidRPr="005338D5">
        <w:rPr>
          <w:rFonts w:hint="eastAsia"/>
          <w:b/>
          <w:kern w:val="2"/>
          <w:u w:val="single"/>
        </w:rPr>
        <w:t>6</w:t>
      </w:r>
      <w:r w:rsidRPr="005338D5">
        <w:rPr>
          <w:rFonts w:hint="eastAsia"/>
          <w:b/>
          <w:kern w:val="2"/>
          <w:u w:val="single"/>
        </w:rPr>
        <w:t>、本项目不涉及的指标，其权重值已分配到设计的指标内。</w:t>
      </w:r>
    </w:p>
    <w:p w:rsidR="00EE56C0" w:rsidRDefault="000F36A1">
      <w:pPr>
        <w:pStyle w:val="afd"/>
        <w:spacing w:before="120" w:after="120"/>
        <w:ind w:firstLine="482"/>
      </w:pPr>
      <w:r>
        <w:rPr>
          <w:rFonts w:hint="eastAsia"/>
        </w:rPr>
        <w:t>表</w:t>
      </w:r>
      <w:r>
        <w:rPr>
          <w:rFonts w:hint="eastAsia"/>
        </w:rPr>
        <w:t>3-7</w:t>
      </w:r>
      <w:r w:rsidR="00702FE4">
        <w:rPr>
          <w:rFonts w:hint="eastAsia"/>
        </w:rPr>
        <w:t>5</w:t>
      </w:r>
      <w:r>
        <w:rPr>
          <w:rFonts w:hint="eastAsia"/>
        </w:rPr>
        <w:t xml:space="preserve">                </w:t>
      </w:r>
      <w:r>
        <w:rPr>
          <w:rFonts w:hint="eastAsia"/>
        </w:rPr>
        <w:t>清洁生产管理评价指标项目、权重及基准值一览表</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ook w:val="04A0"/>
      </w:tblPr>
      <w:tblGrid>
        <w:gridCol w:w="676"/>
        <w:gridCol w:w="851"/>
        <w:gridCol w:w="851"/>
        <w:gridCol w:w="709"/>
        <w:gridCol w:w="1134"/>
        <w:gridCol w:w="3118"/>
        <w:gridCol w:w="751"/>
        <w:gridCol w:w="1800"/>
        <w:gridCol w:w="142"/>
        <w:gridCol w:w="1276"/>
        <w:gridCol w:w="2129"/>
        <w:gridCol w:w="737"/>
      </w:tblGrid>
      <w:tr w:rsidR="00EE56C0" w:rsidTr="00A81C72">
        <w:trPr>
          <w:cantSplit/>
          <w:trHeight w:val="397"/>
          <w:jc w:val="center"/>
        </w:trPr>
        <w:tc>
          <w:tcPr>
            <w:tcW w:w="238" w:type="pct"/>
            <w:vAlign w:val="center"/>
          </w:tcPr>
          <w:p w:rsidR="00EE56C0" w:rsidRDefault="000F36A1">
            <w:pPr>
              <w:adjustRightInd/>
              <w:snapToGrid/>
              <w:spacing w:line="240" w:lineRule="auto"/>
              <w:ind w:firstLineChars="0" w:firstLine="0"/>
              <w:jc w:val="center"/>
              <w:textAlignment w:val="auto"/>
              <w:rPr>
                <w:b/>
                <w:bCs/>
                <w:kern w:val="2"/>
                <w:sz w:val="21"/>
                <w:szCs w:val="21"/>
              </w:rPr>
            </w:pPr>
            <w:r>
              <w:rPr>
                <w:b/>
                <w:bCs/>
                <w:kern w:val="2"/>
                <w:sz w:val="21"/>
                <w:szCs w:val="21"/>
              </w:rPr>
              <w:t>序号</w:t>
            </w:r>
          </w:p>
        </w:tc>
        <w:tc>
          <w:tcPr>
            <w:tcW w:w="300" w:type="pct"/>
            <w:vAlign w:val="center"/>
          </w:tcPr>
          <w:p w:rsidR="00EE56C0" w:rsidRDefault="000F36A1">
            <w:pPr>
              <w:adjustRightInd/>
              <w:snapToGrid/>
              <w:spacing w:line="240" w:lineRule="auto"/>
              <w:ind w:firstLineChars="0" w:firstLine="0"/>
              <w:jc w:val="center"/>
              <w:textAlignment w:val="auto"/>
              <w:rPr>
                <w:b/>
                <w:bCs/>
                <w:kern w:val="2"/>
                <w:sz w:val="21"/>
                <w:szCs w:val="21"/>
              </w:rPr>
            </w:pPr>
            <w:r>
              <w:rPr>
                <w:b/>
                <w:bCs/>
                <w:kern w:val="2"/>
                <w:sz w:val="21"/>
                <w:szCs w:val="21"/>
              </w:rPr>
              <w:t>一级</w:t>
            </w:r>
          </w:p>
          <w:p w:rsidR="00EE56C0" w:rsidRDefault="000F36A1">
            <w:pPr>
              <w:adjustRightInd/>
              <w:snapToGrid/>
              <w:spacing w:line="240" w:lineRule="auto"/>
              <w:ind w:firstLineChars="0" w:firstLine="0"/>
              <w:jc w:val="center"/>
              <w:textAlignment w:val="auto"/>
              <w:rPr>
                <w:b/>
                <w:bCs/>
                <w:kern w:val="2"/>
                <w:sz w:val="21"/>
                <w:szCs w:val="21"/>
              </w:rPr>
            </w:pPr>
            <w:r>
              <w:rPr>
                <w:b/>
                <w:bCs/>
                <w:kern w:val="2"/>
                <w:sz w:val="21"/>
                <w:szCs w:val="21"/>
              </w:rPr>
              <w:t>指标</w:t>
            </w:r>
          </w:p>
        </w:tc>
        <w:tc>
          <w:tcPr>
            <w:tcW w:w="300" w:type="pct"/>
            <w:vAlign w:val="center"/>
          </w:tcPr>
          <w:p w:rsidR="00EE56C0" w:rsidRDefault="000F36A1">
            <w:pPr>
              <w:adjustRightInd/>
              <w:snapToGrid/>
              <w:spacing w:line="240" w:lineRule="auto"/>
              <w:ind w:firstLineChars="0" w:firstLine="0"/>
              <w:jc w:val="center"/>
              <w:textAlignment w:val="auto"/>
              <w:rPr>
                <w:b/>
                <w:bCs/>
                <w:kern w:val="2"/>
                <w:sz w:val="21"/>
                <w:szCs w:val="21"/>
              </w:rPr>
            </w:pPr>
            <w:r>
              <w:rPr>
                <w:b/>
                <w:bCs/>
                <w:kern w:val="2"/>
                <w:sz w:val="21"/>
                <w:szCs w:val="21"/>
              </w:rPr>
              <w:t>一级指标权重</w:t>
            </w:r>
          </w:p>
        </w:tc>
        <w:tc>
          <w:tcPr>
            <w:tcW w:w="250" w:type="pct"/>
            <w:vAlign w:val="center"/>
          </w:tcPr>
          <w:p w:rsidR="00EE56C0" w:rsidRDefault="000F36A1">
            <w:pPr>
              <w:adjustRightInd/>
              <w:snapToGrid/>
              <w:spacing w:line="240" w:lineRule="auto"/>
              <w:ind w:firstLineChars="0" w:firstLine="0"/>
              <w:jc w:val="center"/>
              <w:textAlignment w:val="auto"/>
              <w:rPr>
                <w:b/>
                <w:bCs/>
                <w:kern w:val="2"/>
                <w:sz w:val="21"/>
                <w:szCs w:val="21"/>
              </w:rPr>
            </w:pPr>
            <w:r>
              <w:rPr>
                <w:b/>
                <w:bCs/>
                <w:kern w:val="2"/>
                <w:sz w:val="21"/>
                <w:szCs w:val="21"/>
              </w:rPr>
              <w:t>二级指标</w:t>
            </w:r>
          </w:p>
        </w:tc>
        <w:tc>
          <w:tcPr>
            <w:tcW w:w="400" w:type="pct"/>
            <w:vAlign w:val="center"/>
          </w:tcPr>
          <w:p w:rsidR="00EE56C0" w:rsidRDefault="000F36A1">
            <w:pPr>
              <w:adjustRightInd/>
              <w:snapToGrid/>
              <w:spacing w:line="240" w:lineRule="auto"/>
              <w:ind w:firstLineChars="0" w:firstLine="0"/>
              <w:jc w:val="center"/>
              <w:textAlignment w:val="auto"/>
              <w:rPr>
                <w:b/>
                <w:bCs/>
                <w:kern w:val="2"/>
                <w:sz w:val="21"/>
                <w:szCs w:val="21"/>
              </w:rPr>
            </w:pPr>
            <w:r>
              <w:rPr>
                <w:b/>
                <w:bCs/>
                <w:kern w:val="2"/>
                <w:sz w:val="21"/>
                <w:szCs w:val="21"/>
              </w:rPr>
              <w:t>二级指标权重分值</w:t>
            </w:r>
          </w:p>
        </w:tc>
        <w:tc>
          <w:tcPr>
            <w:tcW w:w="1365" w:type="pct"/>
            <w:gridSpan w:val="2"/>
            <w:vAlign w:val="center"/>
          </w:tcPr>
          <w:p w:rsidR="00EE56C0" w:rsidRDefault="000F36A1">
            <w:pPr>
              <w:adjustRightInd/>
              <w:snapToGrid/>
              <w:spacing w:line="240" w:lineRule="auto"/>
              <w:ind w:firstLineChars="0" w:firstLine="0"/>
              <w:jc w:val="center"/>
              <w:textAlignment w:val="auto"/>
              <w:rPr>
                <w:b/>
                <w:bCs/>
                <w:kern w:val="2"/>
                <w:sz w:val="21"/>
                <w:szCs w:val="21"/>
              </w:rPr>
            </w:pPr>
            <w:r>
              <w:rPr>
                <w:rFonts w:ascii="宋体" w:hAnsi="宋体" w:cs="宋体" w:hint="eastAsia"/>
                <w:b/>
                <w:bCs/>
                <w:kern w:val="2"/>
                <w:sz w:val="21"/>
                <w:szCs w:val="21"/>
              </w:rPr>
              <w:t>Ⅰ</w:t>
            </w:r>
            <w:r>
              <w:rPr>
                <w:b/>
                <w:bCs/>
                <w:kern w:val="2"/>
                <w:sz w:val="21"/>
                <w:szCs w:val="21"/>
              </w:rPr>
              <w:t>级基准值</w:t>
            </w:r>
          </w:p>
        </w:tc>
        <w:tc>
          <w:tcPr>
            <w:tcW w:w="635" w:type="pct"/>
            <w:vAlign w:val="center"/>
          </w:tcPr>
          <w:p w:rsidR="00EE56C0" w:rsidRDefault="000F36A1">
            <w:pPr>
              <w:adjustRightInd/>
              <w:snapToGrid/>
              <w:spacing w:line="240" w:lineRule="auto"/>
              <w:ind w:firstLineChars="0" w:firstLine="0"/>
              <w:jc w:val="center"/>
              <w:textAlignment w:val="auto"/>
              <w:rPr>
                <w:b/>
                <w:kern w:val="2"/>
                <w:sz w:val="21"/>
                <w:szCs w:val="21"/>
              </w:rPr>
            </w:pPr>
            <w:r>
              <w:rPr>
                <w:rFonts w:ascii="宋体" w:hAnsi="宋体" w:cs="宋体" w:hint="eastAsia"/>
                <w:b/>
                <w:bCs/>
                <w:kern w:val="2"/>
                <w:sz w:val="21"/>
                <w:szCs w:val="21"/>
              </w:rPr>
              <w:t>Ⅱ</w:t>
            </w:r>
            <w:r>
              <w:rPr>
                <w:b/>
                <w:bCs/>
                <w:kern w:val="2"/>
                <w:sz w:val="21"/>
                <w:szCs w:val="21"/>
              </w:rPr>
              <w:t>级基准值</w:t>
            </w:r>
          </w:p>
        </w:tc>
        <w:tc>
          <w:tcPr>
            <w:tcW w:w="500" w:type="pct"/>
            <w:gridSpan w:val="2"/>
            <w:vAlign w:val="center"/>
          </w:tcPr>
          <w:p w:rsidR="00EE56C0" w:rsidRDefault="000F36A1">
            <w:pPr>
              <w:adjustRightInd/>
              <w:snapToGrid/>
              <w:spacing w:line="240" w:lineRule="auto"/>
              <w:ind w:firstLineChars="0" w:firstLine="0"/>
              <w:jc w:val="center"/>
              <w:textAlignment w:val="auto"/>
              <w:rPr>
                <w:b/>
                <w:kern w:val="2"/>
                <w:sz w:val="21"/>
                <w:szCs w:val="21"/>
              </w:rPr>
            </w:pPr>
            <w:r>
              <w:rPr>
                <w:rFonts w:ascii="宋体" w:hAnsi="宋体" w:cs="宋体" w:hint="eastAsia"/>
                <w:b/>
                <w:bCs/>
                <w:kern w:val="2"/>
                <w:sz w:val="21"/>
                <w:szCs w:val="21"/>
              </w:rPr>
              <w:t>Ⅲ</w:t>
            </w:r>
            <w:r>
              <w:rPr>
                <w:b/>
                <w:bCs/>
                <w:kern w:val="2"/>
                <w:sz w:val="21"/>
                <w:szCs w:val="21"/>
              </w:rPr>
              <w:t>级基准值</w:t>
            </w:r>
          </w:p>
        </w:tc>
        <w:tc>
          <w:tcPr>
            <w:tcW w:w="751" w:type="pct"/>
            <w:vAlign w:val="center"/>
          </w:tcPr>
          <w:p w:rsidR="00EE56C0" w:rsidRDefault="000F36A1">
            <w:pPr>
              <w:adjustRightInd/>
              <w:snapToGrid/>
              <w:spacing w:line="240" w:lineRule="auto"/>
              <w:ind w:firstLineChars="0" w:firstLine="0"/>
              <w:jc w:val="center"/>
              <w:textAlignment w:val="auto"/>
              <w:rPr>
                <w:b/>
                <w:kern w:val="2"/>
                <w:sz w:val="21"/>
                <w:szCs w:val="21"/>
              </w:rPr>
            </w:pPr>
            <w:r>
              <w:rPr>
                <w:b/>
                <w:kern w:val="2"/>
                <w:sz w:val="21"/>
                <w:szCs w:val="21"/>
              </w:rPr>
              <w:t>本项目</w:t>
            </w:r>
          </w:p>
          <w:p w:rsidR="00EE56C0" w:rsidRDefault="000F36A1">
            <w:pPr>
              <w:adjustRightInd/>
              <w:snapToGrid/>
              <w:spacing w:line="240" w:lineRule="auto"/>
              <w:ind w:firstLineChars="0" w:firstLine="0"/>
              <w:jc w:val="center"/>
              <w:textAlignment w:val="auto"/>
              <w:rPr>
                <w:b/>
                <w:kern w:val="2"/>
                <w:sz w:val="21"/>
                <w:szCs w:val="21"/>
              </w:rPr>
            </w:pPr>
            <w:r>
              <w:rPr>
                <w:b/>
                <w:kern w:val="2"/>
                <w:sz w:val="21"/>
                <w:szCs w:val="21"/>
              </w:rPr>
              <w:t>情况</w:t>
            </w:r>
          </w:p>
        </w:tc>
        <w:tc>
          <w:tcPr>
            <w:tcW w:w="260" w:type="pct"/>
            <w:vAlign w:val="center"/>
          </w:tcPr>
          <w:p w:rsidR="00EE56C0" w:rsidRDefault="000F36A1">
            <w:pPr>
              <w:adjustRightInd/>
              <w:snapToGrid/>
              <w:spacing w:line="240" w:lineRule="auto"/>
              <w:ind w:firstLineChars="0" w:firstLine="0"/>
              <w:jc w:val="center"/>
              <w:textAlignment w:val="auto"/>
              <w:rPr>
                <w:b/>
                <w:kern w:val="2"/>
                <w:sz w:val="21"/>
                <w:szCs w:val="21"/>
              </w:rPr>
            </w:pPr>
            <w:r>
              <w:rPr>
                <w:b/>
                <w:kern w:val="2"/>
                <w:sz w:val="21"/>
                <w:szCs w:val="21"/>
              </w:rPr>
              <w:t>指标级别</w:t>
            </w:r>
          </w:p>
        </w:tc>
      </w:tr>
      <w:tr w:rsidR="00EE56C0" w:rsidTr="00A81C72">
        <w:trPr>
          <w:cantSplit/>
          <w:trHeight w:val="397"/>
          <w:jc w:val="center"/>
        </w:trPr>
        <w:tc>
          <w:tcPr>
            <w:tcW w:w="238" w:type="pct"/>
            <w:vAlign w:val="center"/>
          </w:tcPr>
          <w:p w:rsidR="00EE56C0" w:rsidRDefault="000F36A1">
            <w:pPr>
              <w:adjustRightInd/>
              <w:snapToGrid/>
              <w:spacing w:line="240" w:lineRule="auto"/>
              <w:ind w:firstLineChars="0" w:firstLine="0"/>
              <w:jc w:val="center"/>
              <w:textAlignment w:val="auto"/>
              <w:rPr>
                <w:bCs/>
                <w:kern w:val="2"/>
                <w:sz w:val="21"/>
                <w:szCs w:val="21"/>
              </w:rPr>
            </w:pPr>
            <w:r>
              <w:rPr>
                <w:bCs/>
                <w:kern w:val="2"/>
                <w:sz w:val="21"/>
                <w:szCs w:val="21"/>
              </w:rPr>
              <w:t>1</w:t>
            </w:r>
          </w:p>
        </w:tc>
        <w:tc>
          <w:tcPr>
            <w:tcW w:w="300" w:type="pct"/>
            <w:vMerge w:val="restart"/>
            <w:vAlign w:val="center"/>
          </w:tcPr>
          <w:p w:rsidR="00EE56C0" w:rsidRDefault="000F36A1">
            <w:pPr>
              <w:adjustRightInd/>
              <w:snapToGrid/>
              <w:spacing w:line="240" w:lineRule="auto"/>
              <w:ind w:firstLineChars="0" w:firstLine="0"/>
              <w:jc w:val="center"/>
              <w:textAlignment w:val="auto"/>
              <w:rPr>
                <w:kern w:val="2"/>
                <w:sz w:val="21"/>
                <w:szCs w:val="21"/>
              </w:rPr>
            </w:pPr>
            <w:r>
              <w:rPr>
                <w:rFonts w:hint="eastAsia"/>
                <w:kern w:val="2"/>
                <w:sz w:val="21"/>
                <w:szCs w:val="21"/>
              </w:rPr>
              <w:t>环境管理指标</w:t>
            </w:r>
          </w:p>
        </w:tc>
        <w:tc>
          <w:tcPr>
            <w:tcW w:w="300" w:type="pct"/>
            <w:vMerge w:val="restart"/>
            <w:vAlign w:val="center"/>
          </w:tcPr>
          <w:p w:rsidR="00EE56C0" w:rsidRDefault="000F36A1">
            <w:pPr>
              <w:adjustRightInd/>
              <w:snapToGrid/>
              <w:spacing w:line="240" w:lineRule="auto"/>
              <w:ind w:firstLineChars="0" w:firstLine="0"/>
              <w:jc w:val="center"/>
              <w:textAlignment w:val="auto"/>
              <w:rPr>
                <w:kern w:val="2"/>
                <w:sz w:val="21"/>
                <w:szCs w:val="21"/>
              </w:rPr>
            </w:pPr>
            <w:r>
              <w:rPr>
                <w:rFonts w:hint="eastAsia"/>
                <w:kern w:val="2"/>
                <w:sz w:val="21"/>
                <w:szCs w:val="21"/>
              </w:rPr>
              <w:t>1</w:t>
            </w:r>
          </w:p>
        </w:tc>
        <w:tc>
          <w:tcPr>
            <w:tcW w:w="250" w:type="pct"/>
            <w:vMerge w:val="restart"/>
            <w:vAlign w:val="center"/>
          </w:tcPr>
          <w:p w:rsidR="00EE56C0" w:rsidRDefault="000F36A1">
            <w:pPr>
              <w:adjustRightInd/>
              <w:snapToGrid/>
              <w:spacing w:line="240" w:lineRule="auto"/>
              <w:ind w:firstLineChars="0" w:firstLine="0"/>
              <w:jc w:val="center"/>
              <w:textAlignment w:val="auto"/>
              <w:rPr>
                <w:kern w:val="2"/>
                <w:sz w:val="21"/>
                <w:szCs w:val="21"/>
              </w:rPr>
            </w:pPr>
            <w:r>
              <w:rPr>
                <w:rFonts w:hint="eastAsia"/>
                <w:kern w:val="2"/>
                <w:sz w:val="21"/>
                <w:szCs w:val="21"/>
              </w:rPr>
              <w:t>环境管理</w:t>
            </w:r>
          </w:p>
        </w:tc>
        <w:tc>
          <w:tcPr>
            <w:tcW w:w="400" w:type="pct"/>
            <w:vAlign w:val="center"/>
          </w:tcPr>
          <w:p w:rsidR="00EE56C0" w:rsidRDefault="000F36A1">
            <w:pPr>
              <w:adjustRightInd/>
              <w:snapToGrid/>
              <w:spacing w:line="240" w:lineRule="auto"/>
              <w:ind w:firstLineChars="0" w:firstLine="0"/>
              <w:jc w:val="center"/>
              <w:textAlignment w:val="auto"/>
              <w:rPr>
                <w:bCs/>
                <w:kern w:val="2"/>
                <w:sz w:val="21"/>
                <w:szCs w:val="21"/>
              </w:rPr>
            </w:pPr>
            <w:r>
              <w:rPr>
                <w:rFonts w:hint="eastAsia"/>
                <w:bCs/>
                <w:kern w:val="2"/>
                <w:sz w:val="21"/>
                <w:szCs w:val="21"/>
              </w:rPr>
              <w:t>0.05</w:t>
            </w:r>
          </w:p>
        </w:tc>
        <w:tc>
          <w:tcPr>
            <w:tcW w:w="2500" w:type="pct"/>
            <w:gridSpan w:val="5"/>
            <w:vAlign w:val="center"/>
          </w:tcPr>
          <w:p w:rsidR="00EE56C0" w:rsidRDefault="000F36A1">
            <w:pPr>
              <w:spacing w:line="240" w:lineRule="auto"/>
              <w:ind w:firstLineChars="0" w:firstLine="0"/>
              <w:jc w:val="center"/>
              <w:rPr>
                <w:bCs/>
                <w:kern w:val="2"/>
                <w:sz w:val="21"/>
                <w:szCs w:val="21"/>
              </w:rPr>
            </w:pPr>
            <w:r>
              <w:rPr>
                <w:rFonts w:hint="eastAsia"/>
                <w:bCs/>
                <w:kern w:val="2"/>
                <w:sz w:val="21"/>
                <w:szCs w:val="21"/>
              </w:rPr>
              <w:t>符合国家和地方有关环境法律、法规，污染物排放达到国家和地方排放标准；满足环境影响评价、环保“三同时”制度、总量控制和污染许可证管理要求</w:t>
            </w:r>
          </w:p>
        </w:tc>
        <w:tc>
          <w:tcPr>
            <w:tcW w:w="751" w:type="pct"/>
            <w:vAlign w:val="center"/>
          </w:tcPr>
          <w:p w:rsidR="00EE56C0" w:rsidRDefault="000F36A1">
            <w:pPr>
              <w:adjustRightInd/>
              <w:snapToGrid/>
              <w:spacing w:line="240" w:lineRule="auto"/>
              <w:ind w:firstLineChars="0" w:firstLine="0"/>
              <w:jc w:val="center"/>
              <w:textAlignment w:val="auto"/>
              <w:rPr>
                <w:bCs/>
                <w:kern w:val="2"/>
                <w:sz w:val="21"/>
                <w:szCs w:val="21"/>
              </w:rPr>
            </w:pPr>
            <w:r>
              <w:rPr>
                <w:rFonts w:hint="eastAsia"/>
                <w:bCs/>
                <w:kern w:val="2"/>
                <w:sz w:val="21"/>
                <w:szCs w:val="21"/>
              </w:rPr>
              <w:t>符合</w:t>
            </w:r>
          </w:p>
        </w:tc>
        <w:tc>
          <w:tcPr>
            <w:tcW w:w="260" w:type="pct"/>
            <w:vAlign w:val="center"/>
          </w:tcPr>
          <w:p w:rsidR="00EE56C0" w:rsidRDefault="000F36A1">
            <w:pPr>
              <w:adjustRightInd/>
              <w:snapToGrid/>
              <w:spacing w:line="240" w:lineRule="auto"/>
              <w:ind w:firstLineChars="0" w:firstLine="0"/>
              <w:jc w:val="center"/>
              <w:textAlignment w:val="auto"/>
              <w:rPr>
                <w:rFonts w:ascii="宋体" w:hAnsi="宋体" w:cs="宋体"/>
                <w:bCs/>
                <w:kern w:val="2"/>
                <w:sz w:val="21"/>
                <w:szCs w:val="21"/>
              </w:rPr>
            </w:pPr>
            <w:r>
              <w:rPr>
                <w:rFonts w:ascii="宋体" w:hAnsi="宋体" w:cs="宋体" w:hint="eastAsia"/>
                <w:bCs/>
                <w:kern w:val="2"/>
                <w:sz w:val="21"/>
                <w:szCs w:val="21"/>
              </w:rPr>
              <w:t>Ⅰ</w:t>
            </w:r>
            <w:r>
              <w:rPr>
                <w:bCs/>
                <w:kern w:val="2"/>
                <w:sz w:val="21"/>
                <w:szCs w:val="21"/>
              </w:rPr>
              <w:t>级</w:t>
            </w:r>
          </w:p>
        </w:tc>
      </w:tr>
      <w:tr w:rsidR="00EE56C0" w:rsidTr="00A81C72">
        <w:trPr>
          <w:cantSplit/>
          <w:trHeight w:val="551"/>
          <w:jc w:val="center"/>
        </w:trPr>
        <w:tc>
          <w:tcPr>
            <w:tcW w:w="238" w:type="pct"/>
            <w:vAlign w:val="center"/>
          </w:tcPr>
          <w:p w:rsidR="00EE56C0" w:rsidRDefault="000F36A1">
            <w:pPr>
              <w:adjustRightInd/>
              <w:snapToGrid/>
              <w:spacing w:line="240" w:lineRule="auto"/>
              <w:ind w:firstLineChars="0" w:firstLine="0"/>
              <w:jc w:val="center"/>
              <w:textAlignment w:val="auto"/>
              <w:rPr>
                <w:bCs/>
                <w:kern w:val="2"/>
                <w:sz w:val="21"/>
                <w:szCs w:val="21"/>
              </w:rPr>
            </w:pPr>
            <w:r>
              <w:rPr>
                <w:bCs/>
                <w:kern w:val="2"/>
                <w:sz w:val="21"/>
                <w:szCs w:val="21"/>
              </w:rPr>
              <w:t>2</w:t>
            </w:r>
          </w:p>
        </w:tc>
        <w:tc>
          <w:tcPr>
            <w:tcW w:w="300" w:type="pct"/>
            <w:vMerge/>
            <w:vAlign w:val="center"/>
          </w:tcPr>
          <w:p w:rsidR="00EE56C0" w:rsidRDefault="00EE56C0">
            <w:pPr>
              <w:adjustRightInd/>
              <w:snapToGrid/>
              <w:spacing w:line="240" w:lineRule="auto"/>
              <w:ind w:firstLineChars="0" w:firstLine="0"/>
              <w:jc w:val="center"/>
              <w:textAlignment w:val="auto"/>
              <w:rPr>
                <w:kern w:val="2"/>
                <w:sz w:val="21"/>
                <w:szCs w:val="21"/>
              </w:rPr>
            </w:pPr>
          </w:p>
        </w:tc>
        <w:tc>
          <w:tcPr>
            <w:tcW w:w="300" w:type="pct"/>
            <w:vMerge/>
            <w:vAlign w:val="center"/>
          </w:tcPr>
          <w:p w:rsidR="00EE56C0" w:rsidRDefault="00EE56C0">
            <w:pPr>
              <w:adjustRightInd/>
              <w:snapToGrid/>
              <w:spacing w:line="240" w:lineRule="auto"/>
              <w:ind w:firstLineChars="0" w:firstLine="0"/>
              <w:jc w:val="center"/>
              <w:textAlignment w:val="auto"/>
              <w:rPr>
                <w:kern w:val="2"/>
                <w:sz w:val="21"/>
                <w:szCs w:val="21"/>
              </w:rPr>
            </w:pPr>
          </w:p>
        </w:tc>
        <w:tc>
          <w:tcPr>
            <w:tcW w:w="250" w:type="pct"/>
            <w:vMerge/>
            <w:vAlign w:val="center"/>
          </w:tcPr>
          <w:p w:rsidR="00EE56C0" w:rsidRDefault="00EE56C0">
            <w:pPr>
              <w:adjustRightInd/>
              <w:snapToGrid/>
              <w:spacing w:line="240" w:lineRule="auto"/>
              <w:ind w:firstLineChars="0" w:firstLine="0"/>
              <w:jc w:val="center"/>
              <w:textAlignment w:val="auto"/>
              <w:rPr>
                <w:kern w:val="2"/>
                <w:sz w:val="21"/>
                <w:szCs w:val="21"/>
              </w:rPr>
            </w:pPr>
          </w:p>
        </w:tc>
        <w:tc>
          <w:tcPr>
            <w:tcW w:w="400" w:type="pct"/>
            <w:vAlign w:val="center"/>
          </w:tcPr>
          <w:p w:rsidR="00EE56C0" w:rsidRDefault="000F36A1">
            <w:pPr>
              <w:adjustRightInd/>
              <w:snapToGrid/>
              <w:spacing w:line="240" w:lineRule="auto"/>
              <w:ind w:firstLineChars="0" w:firstLine="0"/>
              <w:jc w:val="center"/>
              <w:textAlignment w:val="auto"/>
              <w:rPr>
                <w:bCs/>
                <w:kern w:val="2"/>
                <w:sz w:val="21"/>
                <w:szCs w:val="21"/>
              </w:rPr>
            </w:pPr>
            <w:r>
              <w:rPr>
                <w:rFonts w:hint="eastAsia"/>
                <w:bCs/>
                <w:kern w:val="2"/>
                <w:sz w:val="21"/>
                <w:szCs w:val="21"/>
              </w:rPr>
              <w:t>0.05</w:t>
            </w:r>
          </w:p>
        </w:tc>
        <w:tc>
          <w:tcPr>
            <w:tcW w:w="2500" w:type="pct"/>
            <w:gridSpan w:val="5"/>
            <w:vAlign w:val="center"/>
          </w:tcPr>
          <w:p w:rsidR="00EE56C0" w:rsidRDefault="000F36A1">
            <w:pPr>
              <w:spacing w:line="240" w:lineRule="auto"/>
              <w:ind w:firstLineChars="0" w:firstLine="0"/>
              <w:jc w:val="center"/>
              <w:rPr>
                <w:bCs/>
                <w:kern w:val="2"/>
                <w:sz w:val="21"/>
                <w:szCs w:val="21"/>
              </w:rPr>
            </w:pPr>
            <w:r>
              <w:rPr>
                <w:rFonts w:hint="eastAsia"/>
                <w:bCs/>
                <w:kern w:val="2"/>
                <w:sz w:val="21"/>
                <w:szCs w:val="21"/>
              </w:rPr>
              <w:t>一般工业固体废物贮存按照</w:t>
            </w:r>
            <w:r>
              <w:rPr>
                <w:rFonts w:hint="eastAsia"/>
                <w:bCs/>
                <w:kern w:val="2"/>
                <w:sz w:val="21"/>
                <w:szCs w:val="21"/>
              </w:rPr>
              <w:t xml:space="preserve"> GB 18599 </w:t>
            </w:r>
            <w:r>
              <w:rPr>
                <w:rFonts w:hint="eastAsia"/>
                <w:bCs/>
                <w:kern w:val="2"/>
                <w:sz w:val="21"/>
                <w:szCs w:val="21"/>
              </w:rPr>
              <w:t>相关规定执行；危险废物（包括生产过程中产生的废漆渣、废溶剂等）的贮存严格按照</w:t>
            </w:r>
            <w:r>
              <w:rPr>
                <w:rFonts w:hint="eastAsia"/>
                <w:bCs/>
                <w:kern w:val="2"/>
                <w:sz w:val="21"/>
                <w:szCs w:val="21"/>
              </w:rPr>
              <w:t xml:space="preserve"> GB 18597 </w:t>
            </w:r>
            <w:r>
              <w:rPr>
                <w:rFonts w:hint="eastAsia"/>
                <w:bCs/>
                <w:kern w:val="2"/>
                <w:sz w:val="21"/>
                <w:szCs w:val="21"/>
              </w:rPr>
              <w:t>相关规定执行，后续应交持有危险废物经营许可证的单位处置</w:t>
            </w:r>
          </w:p>
        </w:tc>
        <w:tc>
          <w:tcPr>
            <w:tcW w:w="751" w:type="pct"/>
            <w:vAlign w:val="center"/>
          </w:tcPr>
          <w:p w:rsidR="00EE56C0" w:rsidRDefault="000F36A1">
            <w:pPr>
              <w:adjustRightInd/>
              <w:snapToGrid/>
              <w:spacing w:line="240" w:lineRule="auto"/>
              <w:ind w:firstLineChars="0" w:firstLine="0"/>
              <w:jc w:val="center"/>
              <w:textAlignment w:val="auto"/>
              <w:rPr>
                <w:bCs/>
                <w:kern w:val="2"/>
                <w:sz w:val="21"/>
                <w:szCs w:val="21"/>
              </w:rPr>
            </w:pPr>
            <w:r>
              <w:rPr>
                <w:rFonts w:hint="eastAsia"/>
                <w:bCs/>
                <w:kern w:val="2"/>
                <w:sz w:val="21"/>
                <w:szCs w:val="21"/>
              </w:rPr>
              <w:t>符合</w:t>
            </w:r>
          </w:p>
        </w:tc>
        <w:tc>
          <w:tcPr>
            <w:tcW w:w="260" w:type="pct"/>
            <w:vAlign w:val="center"/>
          </w:tcPr>
          <w:p w:rsidR="00EE56C0" w:rsidRDefault="000F36A1">
            <w:pPr>
              <w:adjustRightInd/>
              <w:snapToGrid/>
              <w:spacing w:line="240" w:lineRule="auto"/>
              <w:ind w:firstLineChars="0" w:firstLine="0"/>
              <w:jc w:val="center"/>
              <w:textAlignment w:val="auto"/>
              <w:rPr>
                <w:rFonts w:ascii="宋体" w:hAnsi="宋体" w:cs="宋体"/>
                <w:bCs/>
                <w:kern w:val="2"/>
                <w:sz w:val="21"/>
                <w:szCs w:val="21"/>
              </w:rPr>
            </w:pPr>
            <w:r>
              <w:rPr>
                <w:rFonts w:ascii="宋体" w:hAnsi="宋体" w:cs="宋体" w:hint="eastAsia"/>
                <w:bCs/>
                <w:kern w:val="2"/>
                <w:sz w:val="21"/>
                <w:szCs w:val="21"/>
              </w:rPr>
              <w:t>Ⅰ</w:t>
            </w:r>
            <w:r>
              <w:rPr>
                <w:bCs/>
                <w:kern w:val="2"/>
                <w:sz w:val="21"/>
                <w:szCs w:val="21"/>
              </w:rPr>
              <w:t>级</w:t>
            </w:r>
          </w:p>
        </w:tc>
      </w:tr>
      <w:tr w:rsidR="00EE56C0" w:rsidTr="00A81C72">
        <w:trPr>
          <w:cantSplit/>
          <w:trHeight w:val="397"/>
          <w:jc w:val="center"/>
        </w:trPr>
        <w:tc>
          <w:tcPr>
            <w:tcW w:w="238" w:type="pct"/>
            <w:vAlign w:val="center"/>
          </w:tcPr>
          <w:p w:rsidR="00EE56C0" w:rsidRDefault="000F36A1">
            <w:pPr>
              <w:adjustRightInd/>
              <w:snapToGrid/>
              <w:spacing w:line="240" w:lineRule="auto"/>
              <w:ind w:firstLineChars="0" w:firstLine="0"/>
              <w:jc w:val="center"/>
              <w:textAlignment w:val="auto"/>
              <w:rPr>
                <w:kern w:val="2"/>
                <w:sz w:val="21"/>
                <w:szCs w:val="21"/>
              </w:rPr>
            </w:pPr>
            <w:r>
              <w:rPr>
                <w:kern w:val="2"/>
                <w:sz w:val="21"/>
                <w:szCs w:val="21"/>
              </w:rPr>
              <w:t>3</w:t>
            </w:r>
          </w:p>
        </w:tc>
        <w:tc>
          <w:tcPr>
            <w:tcW w:w="300" w:type="pct"/>
            <w:vMerge/>
            <w:vAlign w:val="center"/>
          </w:tcPr>
          <w:p w:rsidR="00EE56C0" w:rsidRDefault="00EE56C0">
            <w:pPr>
              <w:adjustRightInd/>
              <w:snapToGrid/>
              <w:spacing w:line="240" w:lineRule="auto"/>
              <w:ind w:firstLineChars="0" w:firstLine="0"/>
              <w:jc w:val="center"/>
              <w:textAlignment w:val="auto"/>
              <w:rPr>
                <w:kern w:val="2"/>
                <w:sz w:val="21"/>
                <w:szCs w:val="21"/>
              </w:rPr>
            </w:pPr>
          </w:p>
        </w:tc>
        <w:tc>
          <w:tcPr>
            <w:tcW w:w="300" w:type="pct"/>
            <w:vMerge/>
            <w:vAlign w:val="center"/>
          </w:tcPr>
          <w:p w:rsidR="00EE56C0" w:rsidRDefault="00EE56C0">
            <w:pPr>
              <w:adjustRightInd/>
              <w:snapToGrid/>
              <w:spacing w:line="240" w:lineRule="auto"/>
              <w:ind w:firstLineChars="0" w:firstLine="0"/>
              <w:jc w:val="center"/>
              <w:textAlignment w:val="auto"/>
              <w:rPr>
                <w:kern w:val="2"/>
                <w:sz w:val="21"/>
                <w:szCs w:val="21"/>
              </w:rPr>
            </w:pPr>
          </w:p>
        </w:tc>
        <w:tc>
          <w:tcPr>
            <w:tcW w:w="250" w:type="pct"/>
            <w:vMerge/>
            <w:vAlign w:val="center"/>
          </w:tcPr>
          <w:p w:rsidR="00EE56C0" w:rsidRDefault="00EE56C0">
            <w:pPr>
              <w:adjustRightInd/>
              <w:snapToGrid/>
              <w:spacing w:line="240" w:lineRule="auto"/>
              <w:ind w:firstLineChars="0" w:firstLine="0"/>
              <w:jc w:val="center"/>
              <w:textAlignment w:val="auto"/>
              <w:rPr>
                <w:kern w:val="2"/>
                <w:sz w:val="21"/>
                <w:szCs w:val="21"/>
              </w:rPr>
            </w:pPr>
          </w:p>
        </w:tc>
        <w:tc>
          <w:tcPr>
            <w:tcW w:w="400" w:type="pct"/>
            <w:vAlign w:val="center"/>
          </w:tcPr>
          <w:p w:rsidR="00EE56C0" w:rsidRDefault="000F36A1">
            <w:pPr>
              <w:adjustRightInd/>
              <w:snapToGrid/>
              <w:spacing w:line="240" w:lineRule="auto"/>
              <w:ind w:firstLineChars="0" w:firstLine="0"/>
              <w:jc w:val="center"/>
              <w:textAlignment w:val="auto"/>
              <w:rPr>
                <w:bCs/>
                <w:kern w:val="2"/>
                <w:sz w:val="21"/>
                <w:szCs w:val="21"/>
              </w:rPr>
            </w:pPr>
            <w:r>
              <w:rPr>
                <w:rFonts w:hint="eastAsia"/>
                <w:bCs/>
                <w:kern w:val="2"/>
                <w:sz w:val="21"/>
                <w:szCs w:val="21"/>
              </w:rPr>
              <w:t>0.05</w:t>
            </w:r>
          </w:p>
        </w:tc>
        <w:tc>
          <w:tcPr>
            <w:tcW w:w="2500" w:type="pct"/>
            <w:gridSpan w:val="5"/>
            <w:vAlign w:val="center"/>
          </w:tcPr>
          <w:p w:rsidR="00EE56C0" w:rsidRDefault="000F36A1">
            <w:pPr>
              <w:spacing w:line="240" w:lineRule="auto"/>
              <w:ind w:firstLineChars="0" w:firstLine="0"/>
              <w:jc w:val="center"/>
              <w:rPr>
                <w:bCs/>
                <w:kern w:val="2"/>
                <w:sz w:val="21"/>
                <w:szCs w:val="21"/>
              </w:rPr>
            </w:pPr>
            <w:r>
              <w:rPr>
                <w:rFonts w:hint="eastAsia"/>
                <w:bCs/>
                <w:kern w:val="2"/>
                <w:sz w:val="21"/>
                <w:szCs w:val="21"/>
              </w:rPr>
              <w:t>符合国家和地方相关产业政策、不使用国家和地方命令淘汰或禁止的落后工艺和装备，禁止使用“高耗能落后机电设备（产品）淘汰目录”规定的内容，禁止使用不符合国家或地方有关有害物质限制标准的涂料</w:t>
            </w:r>
          </w:p>
        </w:tc>
        <w:tc>
          <w:tcPr>
            <w:tcW w:w="751" w:type="pct"/>
            <w:vAlign w:val="center"/>
          </w:tcPr>
          <w:p w:rsidR="00EE56C0" w:rsidRDefault="000F36A1">
            <w:pPr>
              <w:adjustRightInd/>
              <w:snapToGrid/>
              <w:spacing w:line="240" w:lineRule="auto"/>
              <w:ind w:firstLineChars="0" w:firstLine="0"/>
              <w:jc w:val="center"/>
              <w:textAlignment w:val="auto"/>
              <w:rPr>
                <w:bCs/>
                <w:kern w:val="2"/>
                <w:sz w:val="21"/>
                <w:szCs w:val="21"/>
              </w:rPr>
            </w:pPr>
            <w:r>
              <w:rPr>
                <w:rFonts w:hint="eastAsia"/>
                <w:bCs/>
                <w:kern w:val="2"/>
                <w:sz w:val="21"/>
                <w:szCs w:val="21"/>
              </w:rPr>
              <w:t>符合</w:t>
            </w:r>
          </w:p>
        </w:tc>
        <w:tc>
          <w:tcPr>
            <w:tcW w:w="260" w:type="pct"/>
            <w:vAlign w:val="center"/>
          </w:tcPr>
          <w:p w:rsidR="00EE56C0" w:rsidRDefault="000F36A1">
            <w:pPr>
              <w:adjustRightInd/>
              <w:snapToGrid/>
              <w:spacing w:line="240" w:lineRule="auto"/>
              <w:ind w:firstLineChars="0" w:firstLine="0"/>
              <w:jc w:val="center"/>
              <w:textAlignment w:val="auto"/>
              <w:rPr>
                <w:rFonts w:ascii="宋体" w:hAnsi="宋体" w:cs="宋体"/>
                <w:bCs/>
                <w:kern w:val="2"/>
                <w:sz w:val="21"/>
                <w:szCs w:val="21"/>
              </w:rPr>
            </w:pPr>
            <w:r>
              <w:rPr>
                <w:rFonts w:ascii="宋体" w:hAnsi="宋体" w:cs="宋体" w:hint="eastAsia"/>
                <w:bCs/>
                <w:kern w:val="2"/>
                <w:sz w:val="21"/>
                <w:szCs w:val="21"/>
              </w:rPr>
              <w:t>Ⅰ</w:t>
            </w:r>
            <w:r>
              <w:rPr>
                <w:bCs/>
                <w:kern w:val="2"/>
                <w:sz w:val="21"/>
                <w:szCs w:val="21"/>
              </w:rPr>
              <w:t>级</w:t>
            </w:r>
          </w:p>
        </w:tc>
      </w:tr>
      <w:tr w:rsidR="00EE56C0" w:rsidTr="00A81C72">
        <w:trPr>
          <w:cantSplit/>
          <w:trHeight w:val="397"/>
          <w:jc w:val="center"/>
        </w:trPr>
        <w:tc>
          <w:tcPr>
            <w:tcW w:w="238" w:type="pct"/>
            <w:vAlign w:val="center"/>
          </w:tcPr>
          <w:p w:rsidR="00EE56C0" w:rsidRDefault="000F36A1">
            <w:pPr>
              <w:adjustRightInd/>
              <w:snapToGrid/>
              <w:spacing w:line="240" w:lineRule="auto"/>
              <w:ind w:firstLineChars="0" w:firstLine="0"/>
              <w:jc w:val="center"/>
              <w:textAlignment w:val="auto"/>
              <w:rPr>
                <w:kern w:val="2"/>
                <w:sz w:val="21"/>
                <w:szCs w:val="21"/>
              </w:rPr>
            </w:pPr>
            <w:r>
              <w:rPr>
                <w:kern w:val="2"/>
                <w:sz w:val="21"/>
                <w:szCs w:val="21"/>
              </w:rPr>
              <w:t>4</w:t>
            </w:r>
          </w:p>
        </w:tc>
        <w:tc>
          <w:tcPr>
            <w:tcW w:w="300" w:type="pct"/>
            <w:vMerge/>
            <w:vAlign w:val="center"/>
          </w:tcPr>
          <w:p w:rsidR="00EE56C0" w:rsidRDefault="00EE56C0">
            <w:pPr>
              <w:adjustRightInd/>
              <w:snapToGrid/>
              <w:spacing w:line="240" w:lineRule="auto"/>
              <w:ind w:firstLineChars="0" w:firstLine="0"/>
              <w:jc w:val="center"/>
              <w:textAlignment w:val="auto"/>
              <w:rPr>
                <w:kern w:val="2"/>
                <w:sz w:val="21"/>
                <w:szCs w:val="21"/>
              </w:rPr>
            </w:pPr>
          </w:p>
        </w:tc>
        <w:tc>
          <w:tcPr>
            <w:tcW w:w="300" w:type="pct"/>
            <w:vMerge/>
            <w:vAlign w:val="center"/>
          </w:tcPr>
          <w:p w:rsidR="00EE56C0" w:rsidRDefault="00EE56C0">
            <w:pPr>
              <w:adjustRightInd/>
              <w:snapToGrid/>
              <w:spacing w:line="240" w:lineRule="auto"/>
              <w:ind w:firstLineChars="0" w:firstLine="0"/>
              <w:jc w:val="center"/>
              <w:textAlignment w:val="auto"/>
              <w:rPr>
                <w:kern w:val="2"/>
                <w:sz w:val="21"/>
                <w:szCs w:val="21"/>
              </w:rPr>
            </w:pPr>
          </w:p>
        </w:tc>
        <w:tc>
          <w:tcPr>
            <w:tcW w:w="250" w:type="pct"/>
            <w:vMerge/>
            <w:vAlign w:val="center"/>
          </w:tcPr>
          <w:p w:rsidR="00EE56C0" w:rsidRDefault="00EE56C0">
            <w:pPr>
              <w:adjustRightInd/>
              <w:snapToGrid/>
              <w:spacing w:line="240" w:lineRule="auto"/>
              <w:ind w:firstLineChars="0" w:firstLine="0"/>
              <w:jc w:val="center"/>
              <w:textAlignment w:val="auto"/>
              <w:rPr>
                <w:kern w:val="2"/>
                <w:sz w:val="21"/>
                <w:szCs w:val="21"/>
              </w:rPr>
            </w:pPr>
          </w:p>
        </w:tc>
        <w:tc>
          <w:tcPr>
            <w:tcW w:w="400" w:type="pct"/>
            <w:vAlign w:val="center"/>
          </w:tcPr>
          <w:p w:rsidR="00EE56C0" w:rsidRDefault="000F36A1">
            <w:pPr>
              <w:adjustRightInd/>
              <w:snapToGrid/>
              <w:spacing w:line="240" w:lineRule="auto"/>
              <w:ind w:firstLineChars="0" w:firstLine="0"/>
              <w:jc w:val="center"/>
              <w:textAlignment w:val="auto"/>
              <w:rPr>
                <w:bCs/>
                <w:kern w:val="2"/>
                <w:sz w:val="21"/>
                <w:szCs w:val="21"/>
              </w:rPr>
            </w:pPr>
            <w:r>
              <w:rPr>
                <w:rFonts w:hint="eastAsia"/>
                <w:bCs/>
                <w:kern w:val="2"/>
                <w:sz w:val="21"/>
                <w:szCs w:val="21"/>
              </w:rPr>
              <w:t>0.05</w:t>
            </w:r>
          </w:p>
        </w:tc>
        <w:tc>
          <w:tcPr>
            <w:tcW w:w="2500" w:type="pct"/>
            <w:gridSpan w:val="5"/>
            <w:vAlign w:val="center"/>
          </w:tcPr>
          <w:p w:rsidR="00EE56C0" w:rsidRDefault="000F36A1">
            <w:pPr>
              <w:spacing w:line="240" w:lineRule="auto"/>
              <w:ind w:firstLineChars="0" w:firstLine="0"/>
              <w:jc w:val="center"/>
              <w:rPr>
                <w:bCs/>
                <w:kern w:val="2"/>
                <w:sz w:val="21"/>
                <w:szCs w:val="21"/>
              </w:rPr>
            </w:pPr>
            <w:r>
              <w:rPr>
                <w:rFonts w:hint="eastAsia"/>
                <w:bCs/>
                <w:kern w:val="2"/>
                <w:sz w:val="21"/>
                <w:szCs w:val="21"/>
              </w:rPr>
              <w:t>禁止在前处理工艺中使用苯；禁止在大面积除油和除旧漆中使用甲苯、二甲苯和汽油</w:t>
            </w:r>
          </w:p>
        </w:tc>
        <w:tc>
          <w:tcPr>
            <w:tcW w:w="751" w:type="pct"/>
            <w:vAlign w:val="center"/>
          </w:tcPr>
          <w:p w:rsidR="00EE56C0" w:rsidRDefault="000F36A1">
            <w:pPr>
              <w:adjustRightInd/>
              <w:snapToGrid/>
              <w:spacing w:line="240" w:lineRule="auto"/>
              <w:ind w:firstLineChars="0" w:firstLine="0"/>
              <w:jc w:val="center"/>
              <w:textAlignment w:val="auto"/>
              <w:rPr>
                <w:bCs/>
                <w:kern w:val="2"/>
                <w:sz w:val="21"/>
                <w:szCs w:val="21"/>
              </w:rPr>
            </w:pPr>
            <w:r>
              <w:rPr>
                <w:rFonts w:hint="eastAsia"/>
                <w:bCs/>
                <w:kern w:val="2"/>
                <w:sz w:val="21"/>
                <w:szCs w:val="21"/>
              </w:rPr>
              <w:t>本项目前处理不涉及苯，无需除油和除旧漆</w:t>
            </w:r>
          </w:p>
        </w:tc>
        <w:tc>
          <w:tcPr>
            <w:tcW w:w="260" w:type="pct"/>
            <w:vAlign w:val="center"/>
          </w:tcPr>
          <w:p w:rsidR="00EE56C0" w:rsidRDefault="000F36A1">
            <w:pPr>
              <w:adjustRightInd/>
              <w:snapToGrid/>
              <w:spacing w:line="240" w:lineRule="auto"/>
              <w:ind w:firstLineChars="0" w:firstLine="0"/>
              <w:jc w:val="center"/>
              <w:textAlignment w:val="auto"/>
              <w:rPr>
                <w:rFonts w:ascii="宋体" w:hAnsi="宋体" w:cs="宋体"/>
                <w:bCs/>
                <w:kern w:val="2"/>
                <w:sz w:val="21"/>
                <w:szCs w:val="21"/>
              </w:rPr>
            </w:pPr>
            <w:r>
              <w:rPr>
                <w:rFonts w:ascii="宋体" w:hAnsi="宋体" w:cs="宋体" w:hint="eastAsia"/>
                <w:bCs/>
                <w:kern w:val="2"/>
                <w:sz w:val="21"/>
                <w:szCs w:val="21"/>
              </w:rPr>
              <w:t>Ⅰ</w:t>
            </w:r>
            <w:r>
              <w:rPr>
                <w:bCs/>
                <w:kern w:val="2"/>
                <w:sz w:val="21"/>
                <w:szCs w:val="21"/>
              </w:rPr>
              <w:t>级</w:t>
            </w:r>
          </w:p>
        </w:tc>
      </w:tr>
      <w:tr w:rsidR="00EE56C0" w:rsidTr="00A81C72">
        <w:trPr>
          <w:cantSplit/>
          <w:trHeight w:val="397"/>
          <w:jc w:val="center"/>
        </w:trPr>
        <w:tc>
          <w:tcPr>
            <w:tcW w:w="238" w:type="pct"/>
            <w:vAlign w:val="center"/>
          </w:tcPr>
          <w:p w:rsidR="00EE56C0" w:rsidRDefault="000F36A1">
            <w:pPr>
              <w:adjustRightInd/>
              <w:snapToGrid/>
              <w:spacing w:line="240" w:lineRule="auto"/>
              <w:ind w:firstLineChars="0" w:firstLine="0"/>
              <w:jc w:val="center"/>
              <w:textAlignment w:val="auto"/>
              <w:rPr>
                <w:kern w:val="2"/>
                <w:sz w:val="21"/>
                <w:szCs w:val="21"/>
              </w:rPr>
            </w:pPr>
            <w:r>
              <w:rPr>
                <w:kern w:val="2"/>
                <w:sz w:val="21"/>
                <w:szCs w:val="21"/>
              </w:rPr>
              <w:t>5</w:t>
            </w:r>
          </w:p>
        </w:tc>
        <w:tc>
          <w:tcPr>
            <w:tcW w:w="300" w:type="pct"/>
            <w:vMerge/>
            <w:vAlign w:val="center"/>
          </w:tcPr>
          <w:p w:rsidR="00EE56C0" w:rsidRDefault="00EE56C0">
            <w:pPr>
              <w:adjustRightInd/>
              <w:snapToGrid/>
              <w:spacing w:line="240" w:lineRule="auto"/>
              <w:ind w:firstLineChars="0" w:firstLine="0"/>
              <w:jc w:val="center"/>
              <w:textAlignment w:val="auto"/>
              <w:rPr>
                <w:kern w:val="2"/>
                <w:sz w:val="21"/>
                <w:szCs w:val="21"/>
              </w:rPr>
            </w:pPr>
          </w:p>
        </w:tc>
        <w:tc>
          <w:tcPr>
            <w:tcW w:w="300" w:type="pct"/>
            <w:vMerge/>
            <w:vAlign w:val="center"/>
          </w:tcPr>
          <w:p w:rsidR="00EE56C0" w:rsidRDefault="00EE56C0">
            <w:pPr>
              <w:adjustRightInd/>
              <w:snapToGrid/>
              <w:spacing w:line="240" w:lineRule="auto"/>
              <w:ind w:firstLineChars="0" w:firstLine="0"/>
              <w:jc w:val="center"/>
              <w:textAlignment w:val="auto"/>
              <w:rPr>
                <w:kern w:val="2"/>
                <w:sz w:val="21"/>
                <w:szCs w:val="21"/>
              </w:rPr>
            </w:pPr>
          </w:p>
        </w:tc>
        <w:tc>
          <w:tcPr>
            <w:tcW w:w="250" w:type="pct"/>
            <w:vMerge/>
            <w:vAlign w:val="center"/>
          </w:tcPr>
          <w:p w:rsidR="00EE56C0" w:rsidRDefault="00EE56C0">
            <w:pPr>
              <w:adjustRightInd/>
              <w:snapToGrid/>
              <w:spacing w:line="240" w:lineRule="auto"/>
              <w:ind w:firstLineChars="0" w:firstLine="0"/>
              <w:jc w:val="center"/>
              <w:textAlignment w:val="auto"/>
              <w:rPr>
                <w:kern w:val="2"/>
                <w:sz w:val="21"/>
                <w:szCs w:val="21"/>
              </w:rPr>
            </w:pPr>
          </w:p>
        </w:tc>
        <w:tc>
          <w:tcPr>
            <w:tcW w:w="400" w:type="pct"/>
            <w:vAlign w:val="center"/>
          </w:tcPr>
          <w:p w:rsidR="00EE56C0" w:rsidRDefault="000F36A1">
            <w:pPr>
              <w:adjustRightInd/>
              <w:snapToGrid/>
              <w:spacing w:line="240" w:lineRule="auto"/>
              <w:ind w:firstLineChars="0" w:firstLine="0"/>
              <w:jc w:val="center"/>
              <w:textAlignment w:val="auto"/>
              <w:rPr>
                <w:bCs/>
                <w:kern w:val="2"/>
                <w:sz w:val="21"/>
                <w:szCs w:val="21"/>
              </w:rPr>
            </w:pPr>
            <w:r>
              <w:rPr>
                <w:rFonts w:hint="eastAsia"/>
                <w:bCs/>
                <w:kern w:val="2"/>
                <w:sz w:val="21"/>
                <w:szCs w:val="21"/>
              </w:rPr>
              <w:t>0.05</w:t>
            </w:r>
          </w:p>
        </w:tc>
        <w:tc>
          <w:tcPr>
            <w:tcW w:w="2500" w:type="pct"/>
            <w:gridSpan w:val="5"/>
            <w:vAlign w:val="center"/>
          </w:tcPr>
          <w:p w:rsidR="00EE56C0" w:rsidRDefault="000F36A1">
            <w:pPr>
              <w:spacing w:line="240" w:lineRule="auto"/>
              <w:ind w:firstLineChars="0" w:firstLine="0"/>
              <w:jc w:val="center"/>
              <w:rPr>
                <w:bCs/>
                <w:kern w:val="2"/>
                <w:sz w:val="21"/>
                <w:szCs w:val="21"/>
              </w:rPr>
            </w:pPr>
            <w:r>
              <w:rPr>
                <w:rFonts w:hint="eastAsia"/>
                <w:bCs/>
                <w:kern w:val="2"/>
                <w:sz w:val="21"/>
                <w:szCs w:val="21"/>
              </w:rPr>
              <w:t>限制使用含二氯乙烷的清洗液；限制使用含铬酸盐的清洗液</w:t>
            </w:r>
          </w:p>
        </w:tc>
        <w:tc>
          <w:tcPr>
            <w:tcW w:w="751" w:type="pct"/>
            <w:vAlign w:val="center"/>
          </w:tcPr>
          <w:p w:rsidR="00EE56C0" w:rsidRDefault="000F36A1">
            <w:pPr>
              <w:adjustRightInd/>
              <w:snapToGrid/>
              <w:spacing w:line="240" w:lineRule="auto"/>
              <w:ind w:firstLineChars="0" w:firstLine="0"/>
              <w:jc w:val="center"/>
              <w:textAlignment w:val="auto"/>
              <w:rPr>
                <w:bCs/>
                <w:kern w:val="2"/>
                <w:sz w:val="21"/>
                <w:szCs w:val="21"/>
              </w:rPr>
            </w:pPr>
            <w:r>
              <w:rPr>
                <w:rFonts w:hint="eastAsia"/>
                <w:bCs/>
                <w:kern w:val="2"/>
                <w:sz w:val="21"/>
                <w:szCs w:val="21"/>
              </w:rPr>
              <w:t>不涉及，按最高级确定</w:t>
            </w:r>
          </w:p>
        </w:tc>
        <w:tc>
          <w:tcPr>
            <w:tcW w:w="260" w:type="pct"/>
            <w:vAlign w:val="center"/>
          </w:tcPr>
          <w:p w:rsidR="00EE56C0" w:rsidRDefault="000F36A1">
            <w:pPr>
              <w:adjustRightInd/>
              <w:snapToGrid/>
              <w:spacing w:line="240" w:lineRule="auto"/>
              <w:ind w:firstLineChars="0" w:firstLine="0"/>
              <w:jc w:val="center"/>
              <w:textAlignment w:val="auto"/>
              <w:rPr>
                <w:rFonts w:ascii="宋体" w:hAnsi="宋体" w:cs="宋体"/>
                <w:bCs/>
                <w:kern w:val="2"/>
                <w:sz w:val="21"/>
                <w:szCs w:val="21"/>
              </w:rPr>
            </w:pPr>
            <w:r>
              <w:rPr>
                <w:rFonts w:ascii="宋体" w:hAnsi="宋体" w:cs="宋体" w:hint="eastAsia"/>
                <w:bCs/>
                <w:kern w:val="2"/>
                <w:sz w:val="21"/>
                <w:szCs w:val="21"/>
              </w:rPr>
              <w:t>Ⅰ</w:t>
            </w:r>
            <w:r>
              <w:rPr>
                <w:bCs/>
                <w:kern w:val="2"/>
                <w:sz w:val="21"/>
                <w:szCs w:val="21"/>
              </w:rPr>
              <w:t>级</w:t>
            </w:r>
          </w:p>
        </w:tc>
      </w:tr>
      <w:tr w:rsidR="00EE56C0" w:rsidTr="00A81C72">
        <w:trPr>
          <w:cantSplit/>
          <w:trHeight w:val="397"/>
          <w:jc w:val="center"/>
        </w:trPr>
        <w:tc>
          <w:tcPr>
            <w:tcW w:w="238" w:type="pct"/>
            <w:vAlign w:val="center"/>
          </w:tcPr>
          <w:p w:rsidR="00EE56C0" w:rsidRDefault="000F36A1">
            <w:pPr>
              <w:adjustRightInd/>
              <w:snapToGrid/>
              <w:spacing w:line="240" w:lineRule="auto"/>
              <w:ind w:firstLineChars="0" w:firstLine="0"/>
              <w:jc w:val="center"/>
              <w:textAlignment w:val="auto"/>
              <w:rPr>
                <w:kern w:val="2"/>
                <w:sz w:val="21"/>
                <w:szCs w:val="21"/>
              </w:rPr>
            </w:pPr>
            <w:r>
              <w:rPr>
                <w:rFonts w:hint="eastAsia"/>
                <w:kern w:val="2"/>
                <w:sz w:val="21"/>
                <w:szCs w:val="21"/>
              </w:rPr>
              <w:t>6</w:t>
            </w:r>
          </w:p>
        </w:tc>
        <w:tc>
          <w:tcPr>
            <w:tcW w:w="300" w:type="pct"/>
            <w:vMerge/>
            <w:vAlign w:val="center"/>
          </w:tcPr>
          <w:p w:rsidR="00EE56C0" w:rsidRDefault="00EE56C0">
            <w:pPr>
              <w:adjustRightInd/>
              <w:snapToGrid/>
              <w:spacing w:line="240" w:lineRule="auto"/>
              <w:ind w:firstLineChars="0" w:firstLine="0"/>
              <w:jc w:val="center"/>
              <w:textAlignment w:val="auto"/>
              <w:rPr>
                <w:kern w:val="2"/>
                <w:sz w:val="21"/>
                <w:szCs w:val="21"/>
              </w:rPr>
            </w:pPr>
          </w:p>
        </w:tc>
        <w:tc>
          <w:tcPr>
            <w:tcW w:w="300" w:type="pct"/>
            <w:vMerge/>
            <w:vAlign w:val="center"/>
          </w:tcPr>
          <w:p w:rsidR="00EE56C0" w:rsidRDefault="00EE56C0">
            <w:pPr>
              <w:adjustRightInd/>
              <w:snapToGrid/>
              <w:spacing w:line="240" w:lineRule="auto"/>
              <w:ind w:firstLineChars="0" w:firstLine="0"/>
              <w:jc w:val="center"/>
              <w:textAlignment w:val="auto"/>
              <w:rPr>
                <w:kern w:val="2"/>
                <w:sz w:val="21"/>
                <w:szCs w:val="21"/>
              </w:rPr>
            </w:pPr>
          </w:p>
        </w:tc>
        <w:tc>
          <w:tcPr>
            <w:tcW w:w="250" w:type="pct"/>
            <w:vMerge/>
            <w:vAlign w:val="center"/>
          </w:tcPr>
          <w:p w:rsidR="00EE56C0" w:rsidRDefault="00EE56C0">
            <w:pPr>
              <w:adjustRightInd/>
              <w:snapToGrid/>
              <w:spacing w:line="240" w:lineRule="auto"/>
              <w:ind w:firstLineChars="0" w:firstLine="0"/>
              <w:jc w:val="center"/>
              <w:textAlignment w:val="auto"/>
              <w:rPr>
                <w:kern w:val="2"/>
                <w:sz w:val="21"/>
                <w:szCs w:val="21"/>
              </w:rPr>
            </w:pPr>
          </w:p>
        </w:tc>
        <w:tc>
          <w:tcPr>
            <w:tcW w:w="400" w:type="pct"/>
            <w:vAlign w:val="center"/>
          </w:tcPr>
          <w:p w:rsidR="00EE56C0" w:rsidRDefault="000F36A1">
            <w:pPr>
              <w:adjustRightInd/>
              <w:snapToGrid/>
              <w:spacing w:line="240" w:lineRule="auto"/>
              <w:ind w:firstLineChars="0" w:firstLine="0"/>
              <w:jc w:val="center"/>
              <w:textAlignment w:val="auto"/>
              <w:rPr>
                <w:bCs/>
                <w:kern w:val="2"/>
                <w:sz w:val="21"/>
                <w:szCs w:val="21"/>
              </w:rPr>
            </w:pPr>
            <w:r>
              <w:rPr>
                <w:rFonts w:hint="eastAsia"/>
                <w:bCs/>
                <w:kern w:val="2"/>
                <w:sz w:val="21"/>
                <w:szCs w:val="21"/>
              </w:rPr>
              <w:t>0.05</w:t>
            </w:r>
          </w:p>
        </w:tc>
        <w:tc>
          <w:tcPr>
            <w:tcW w:w="2500" w:type="pct"/>
            <w:gridSpan w:val="5"/>
            <w:vAlign w:val="center"/>
          </w:tcPr>
          <w:p w:rsidR="00EE56C0" w:rsidRDefault="000F36A1">
            <w:pPr>
              <w:spacing w:line="240" w:lineRule="auto"/>
              <w:ind w:firstLineChars="0" w:firstLine="0"/>
              <w:jc w:val="center"/>
              <w:rPr>
                <w:bCs/>
                <w:kern w:val="2"/>
                <w:sz w:val="21"/>
                <w:szCs w:val="21"/>
              </w:rPr>
            </w:pPr>
            <w:r>
              <w:rPr>
                <w:rFonts w:hint="eastAsia"/>
                <w:bCs/>
                <w:kern w:val="2"/>
                <w:sz w:val="21"/>
                <w:szCs w:val="21"/>
              </w:rPr>
              <w:t>已建立并有效运行环境管理体系，符合标准</w:t>
            </w:r>
            <w:r>
              <w:rPr>
                <w:rFonts w:hint="eastAsia"/>
                <w:bCs/>
                <w:kern w:val="2"/>
                <w:sz w:val="21"/>
                <w:szCs w:val="21"/>
              </w:rPr>
              <w:t xml:space="preserve"> GB/T 24001</w:t>
            </w:r>
          </w:p>
        </w:tc>
        <w:tc>
          <w:tcPr>
            <w:tcW w:w="751" w:type="pct"/>
            <w:vAlign w:val="center"/>
          </w:tcPr>
          <w:p w:rsidR="00EE56C0" w:rsidRDefault="000F36A1">
            <w:pPr>
              <w:adjustRightInd/>
              <w:snapToGrid/>
              <w:spacing w:line="240" w:lineRule="auto"/>
              <w:ind w:firstLineChars="0" w:firstLine="0"/>
              <w:jc w:val="center"/>
              <w:textAlignment w:val="auto"/>
              <w:rPr>
                <w:bCs/>
                <w:kern w:val="2"/>
                <w:sz w:val="21"/>
                <w:szCs w:val="21"/>
              </w:rPr>
            </w:pPr>
            <w:r>
              <w:rPr>
                <w:rFonts w:hint="eastAsia"/>
                <w:bCs/>
                <w:kern w:val="2"/>
                <w:sz w:val="21"/>
                <w:szCs w:val="21"/>
              </w:rPr>
              <w:t>公司已建立并有效运行环境管理体系，符合标准</w:t>
            </w:r>
            <w:r>
              <w:rPr>
                <w:rFonts w:hint="eastAsia"/>
                <w:bCs/>
                <w:kern w:val="2"/>
                <w:sz w:val="21"/>
                <w:szCs w:val="21"/>
              </w:rPr>
              <w:t xml:space="preserve"> GB/T 24001</w:t>
            </w:r>
          </w:p>
        </w:tc>
        <w:tc>
          <w:tcPr>
            <w:tcW w:w="260" w:type="pct"/>
            <w:vAlign w:val="center"/>
          </w:tcPr>
          <w:p w:rsidR="00EE56C0" w:rsidRDefault="000F36A1">
            <w:pPr>
              <w:adjustRightInd/>
              <w:snapToGrid/>
              <w:spacing w:line="240" w:lineRule="auto"/>
              <w:ind w:firstLineChars="0" w:firstLine="0"/>
              <w:jc w:val="center"/>
              <w:textAlignment w:val="auto"/>
              <w:rPr>
                <w:rFonts w:ascii="宋体" w:hAnsi="宋体" w:cs="宋体"/>
                <w:bCs/>
                <w:kern w:val="2"/>
                <w:sz w:val="21"/>
                <w:szCs w:val="21"/>
              </w:rPr>
            </w:pPr>
            <w:r>
              <w:rPr>
                <w:rFonts w:ascii="宋体" w:hAnsi="宋体" w:cs="宋体" w:hint="eastAsia"/>
                <w:bCs/>
                <w:kern w:val="2"/>
                <w:sz w:val="21"/>
                <w:szCs w:val="21"/>
              </w:rPr>
              <w:t>Ⅰ</w:t>
            </w:r>
            <w:r>
              <w:rPr>
                <w:bCs/>
                <w:kern w:val="2"/>
                <w:sz w:val="21"/>
                <w:szCs w:val="21"/>
              </w:rPr>
              <w:t>级</w:t>
            </w:r>
          </w:p>
        </w:tc>
      </w:tr>
      <w:tr w:rsidR="00EE56C0" w:rsidTr="00A81C72">
        <w:trPr>
          <w:cantSplit/>
          <w:trHeight w:val="397"/>
          <w:jc w:val="center"/>
        </w:trPr>
        <w:tc>
          <w:tcPr>
            <w:tcW w:w="238" w:type="pct"/>
            <w:vAlign w:val="center"/>
          </w:tcPr>
          <w:p w:rsidR="00EE56C0" w:rsidRDefault="000F36A1">
            <w:pPr>
              <w:adjustRightInd/>
              <w:snapToGrid/>
              <w:spacing w:line="240" w:lineRule="auto"/>
              <w:ind w:firstLineChars="0" w:firstLine="0"/>
              <w:jc w:val="center"/>
              <w:textAlignment w:val="auto"/>
              <w:rPr>
                <w:bCs/>
                <w:kern w:val="2"/>
                <w:sz w:val="21"/>
                <w:szCs w:val="21"/>
              </w:rPr>
            </w:pPr>
            <w:r>
              <w:rPr>
                <w:rFonts w:hint="eastAsia"/>
                <w:kern w:val="2"/>
                <w:sz w:val="21"/>
                <w:szCs w:val="21"/>
              </w:rPr>
              <w:t>7</w:t>
            </w:r>
          </w:p>
        </w:tc>
        <w:tc>
          <w:tcPr>
            <w:tcW w:w="300" w:type="pct"/>
            <w:vMerge/>
            <w:vAlign w:val="center"/>
          </w:tcPr>
          <w:p w:rsidR="00EE56C0" w:rsidRDefault="00EE56C0">
            <w:pPr>
              <w:adjustRightInd/>
              <w:snapToGrid/>
              <w:spacing w:line="240" w:lineRule="auto"/>
              <w:ind w:firstLineChars="0" w:firstLine="0"/>
              <w:jc w:val="center"/>
              <w:textAlignment w:val="auto"/>
              <w:rPr>
                <w:kern w:val="2"/>
                <w:sz w:val="21"/>
                <w:szCs w:val="21"/>
              </w:rPr>
            </w:pPr>
          </w:p>
        </w:tc>
        <w:tc>
          <w:tcPr>
            <w:tcW w:w="300" w:type="pct"/>
            <w:vMerge/>
            <w:vAlign w:val="center"/>
          </w:tcPr>
          <w:p w:rsidR="00EE56C0" w:rsidRDefault="00EE56C0">
            <w:pPr>
              <w:adjustRightInd/>
              <w:snapToGrid/>
              <w:spacing w:line="240" w:lineRule="auto"/>
              <w:ind w:firstLineChars="0" w:firstLine="0"/>
              <w:jc w:val="center"/>
              <w:textAlignment w:val="auto"/>
              <w:rPr>
                <w:kern w:val="2"/>
                <w:sz w:val="21"/>
                <w:szCs w:val="21"/>
              </w:rPr>
            </w:pPr>
          </w:p>
        </w:tc>
        <w:tc>
          <w:tcPr>
            <w:tcW w:w="250" w:type="pct"/>
            <w:vMerge/>
            <w:vAlign w:val="center"/>
          </w:tcPr>
          <w:p w:rsidR="00EE56C0" w:rsidRDefault="00EE56C0">
            <w:pPr>
              <w:adjustRightInd/>
              <w:snapToGrid/>
              <w:spacing w:line="240" w:lineRule="auto"/>
              <w:ind w:firstLineChars="0" w:firstLine="0"/>
              <w:jc w:val="center"/>
              <w:textAlignment w:val="auto"/>
              <w:rPr>
                <w:kern w:val="2"/>
                <w:sz w:val="21"/>
                <w:szCs w:val="21"/>
              </w:rPr>
            </w:pPr>
          </w:p>
        </w:tc>
        <w:tc>
          <w:tcPr>
            <w:tcW w:w="400" w:type="pct"/>
            <w:vAlign w:val="center"/>
          </w:tcPr>
          <w:p w:rsidR="00EE56C0" w:rsidRDefault="000F36A1">
            <w:pPr>
              <w:adjustRightInd/>
              <w:snapToGrid/>
              <w:spacing w:line="240" w:lineRule="auto"/>
              <w:ind w:firstLineChars="0" w:firstLine="0"/>
              <w:jc w:val="center"/>
              <w:textAlignment w:val="auto"/>
              <w:rPr>
                <w:bCs/>
                <w:kern w:val="2"/>
                <w:sz w:val="21"/>
                <w:szCs w:val="21"/>
              </w:rPr>
            </w:pPr>
            <w:r>
              <w:rPr>
                <w:rFonts w:hint="eastAsia"/>
                <w:bCs/>
                <w:kern w:val="2"/>
                <w:sz w:val="21"/>
                <w:szCs w:val="21"/>
              </w:rPr>
              <w:t>0.05</w:t>
            </w:r>
          </w:p>
        </w:tc>
        <w:tc>
          <w:tcPr>
            <w:tcW w:w="2500" w:type="pct"/>
            <w:gridSpan w:val="5"/>
            <w:vAlign w:val="center"/>
          </w:tcPr>
          <w:p w:rsidR="00EE56C0" w:rsidRDefault="000F36A1">
            <w:pPr>
              <w:spacing w:line="240" w:lineRule="auto"/>
              <w:ind w:firstLineChars="0" w:firstLine="0"/>
              <w:jc w:val="center"/>
              <w:rPr>
                <w:bCs/>
                <w:kern w:val="2"/>
                <w:sz w:val="21"/>
                <w:szCs w:val="21"/>
              </w:rPr>
            </w:pPr>
            <w:r>
              <w:rPr>
                <w:rFonts w:hint="eastAsia"/>
                <w:bCs/>
                <w:kern w:val="2"/>
                <w:sz w:val="21"/>
                <w:szCs w:val="21"/>
              </w:rPr>
              <w:t>按照国家、地方法律法规及环评文件要求安装废水在线监测仪及其配套设施、安装</w:t>
            </w:r>
            <w:r>
              <w:rPr>
                <w:rFonts w:hint="eastAsia"/>
                <w:bCs/>
                <w:kern w:val="2"/>
                <w:sz w:val="21"/>
                <w:szCs w:val="21"/>
              </w:rPr>
              <w:t xml:space="preserve">VOCs </w:t>
            </w:r>
            <w:r>
              <w:rPr>
                <w:rFonts w:hint="eastAsia"/>
                <w:bCs/>
                <w:kern w:val="2"/>
                <w:sz w:val="21"/>
                <w:szCs w:val="21"/>
              </w:rPr>
              <w:t>处理设备运行监控装置</w:t>
            </w:r>
          </w:p>
        </w:tc>
        <w:tc>
          <w:tcPr>
            <w:tcW w:w="751" w:type="pct"/>
            <w:vAlign w:val="center"/>
          </w:tcPr>
          <w:p w:rsidR="00EE56C0" w:rsidRDefault="000F36A1">
            <w:pPr>
              <w:adjustRightInd/>
              <w:snapToGrid/>
              <w:spacing w:line="240" w:lineRule="auto"/>
              <w:ind w:firstLineChars="0" w:firstLine="0"/>
              <w:jc w:val="center"/>
              <w:textAlignment w:val="auto"/>
              <w:rPr>
                <w:bCs/>
                <w:kern w:val="2"/>
                <w:sz w:val="21"/>
                <w:szCs w:val="21"/>
              </w:rPr>
            </w:pPr>
            <w:r>
              <w:rPr>
                <w:rFonts w:hint="eastAsia"/>
                <w:bCs/>
                <w:kern w:val="2"/>
                <w:sz w:val="21"/>
                <w:szCs w:val="21"/>
              </w:rPr>
              <w:t>评价提出，本项目建成后需安装</w:t>
            </w:r>
            <w:r>
              <w:rPr>
                <w:rFonts w:hint="eastAsia"/>
                <w:bCs/>
                <w:kern w:val="2"/>
                <w:sz w:val="21"/>
                <w:szCs w:val="21"/>
              </w:rPr>
              <w:t xml:space="preserve">VOCs </w:t>
            </w:r>
            <w:r>
              <w:rPr>
                <w:rFonts w:hint="eastAsia"/>
                <w:bCs/>
                <w:kern w:val="2"/>
                <w:sz w:val="21"/>
                <w:szCs w:val="21"/>
              </w:rPr>
              <w:t>处理设备运行监控装置</w:t>
            </w:r>
          </w:p>
        </w:tc>
        <w:tc>
          <w:tcPr>
            <w:tcW w:w="260" w:type="pct"/>
            <w:vAlign w:val="center"/>
          </w:tcPr>
          <w:p w:rsidR="00EE56C0" w:rsidRDefault="000F36A1">
            <w:pPr>
              <w:adjustRightInd/>
              <w:snapToGrid/>
              <w:spacing w:line="240" w:lineRule="auto"/>
              <w:ind w:firstLineChars="0" w:firstLine="0"/>
              <w:jc w:val="center"/>
              <w:textAlignment w:val="auto"/>
              <w:rPr>
                <w:rFonts w:ascii="宋体" w:hAnsi="宋体" w:cs="宋体"/>
                <w:bCs/>
                <w:kern w:val="2"/>
                <w:sz w:val="21"/>
                <w:szCs w:val="21"/>
              </w:rPr>
            </w:pPr>
            <w:r>
              <w:rPr>
                <w:rFonts w:ascii="宋体" w:hAnsi="宋体" w:cs="宋体" w:hint="eastAsia"/>
                <w:bCs/>
                <w:kern w:val="2"/>
                <w:sz w:val="21"/>
                <w:szCs w:val="21"/>
              </w:rPr>
              <w:t>Ⅰ</w:t>
            </w:r>
            <w:r>
              <w:rPr>
                <w:bCs/>
                <w:kern w:val="2"/>
                <w:sz w:val="21"/>
                <w:szCs w:val="21"/>
              </w:rPr>
              <w:t>级</w:t>
            </w:r>
          </w:p>
        </w:tc>
      </w:tr>
      <w:tr w:rsidR="00EE56C0" w:rsidTr="00A81C72">
        <w:trPr>
          <w:cantSplit/>
          <w:trHeight w:val="397"/>
          <w:jc w:val="center"/>
        </w:trPr>
        <w:tc>
          <w:tcPr>
            <w:tcW w:w="238" w:type="pct"/>
            <w:vAlign w:val="center"/>
          </w:tcPr>
          <w:p w:rsidR="00EE56C0" w:rsidRDefault="000F36A1">
            <w:pPr>
              <w:adjustRightInd/>
              <w:snapToGrid/>
              <w:spacing w:line="240" w:lineRule="auto"/>
              <w:ind w:firstLineChars="0" w:firstLine="0"/>
              <w:jc w:val="center"/>
              <w:textAlignment w:val="auto"/>
              <w:rPr>
                <w:kern w:val="2"/>
                <w:sz w:val="21"/>
                <w:szCs w:val="21"/>
              </w:rPr>
            </w:pPr>
            <w:r>
              <w:rPr>
                <w:rFonts w:hint="eastAsia"/>
                <w:kern w:val="2"/>
                <w:sz w:val="21"/>
                <w:szCs w:val="21"/>
              </w:rPr>
              <w:t>8</w:t>
            </w:r>
          </w:p>
        </w:tc>
        <w:tc>
          <w:tcPr>
            <w:tcW w:w="300" w:type="pct"/>
            <w:vMerge/>
            <w:vAlign w:val="center"/>
          </w:tcPr>
          <w:p w:rsidR="00EE56C0" w:rsidRDefault="00EE56C0">
            <w:pPr>
              <w:adjustRightInd/>
              <w:snapToGrid/>
              <w:spacing w:line="240" w:lineRule="auto"/>
              <w:ind w:firstLineChars="0" w:firstLine="0"/>
              <w:jc w:val="center"/>
              <w:textAlignment w:val="auto"/>
              <w:rPr>
                <w:kern w:val="2"/>
                <w:sz w:val="21"/>
                <w:szCs w:val="21"/>
              </w:rPr>
            </w:pPr>
          </w:p>
        </w:tc>
        <w:tc>
          <w:tcPr>
            <w:tcW w:w="300" w:type="pct"/>
            <w:vMerge/>
            <w:vAlign w:val="center"/>
          </w:tcPr>
          <w:p w:rsidR="00EE56C0" w:rsidRDefault="00EE56C0">
            <w:pPr>
              <w:adjustRightInd/>
              <w:snapToGrid/>
              <w:spacing w:line="240" w:lineRule="auto"/>
              <w:ind w:firstLineChars="0" w:firstLine="0"/>
              <w:jc w:val="center"/>
              <w:textAlignment w:val="auto"/>
              <w:rPr>
                <w:kern w:val="2"/>
                <w:sz w:val="21"/>
                <w:szCs w:val="21"/>
              </w:rPr>
            </w:pPr>
          </w:p>
        </w:tc>
        <w:tc>
          <w:tcPr>
            <w:tcW w:w="250" w:type="pct"/>
            <w:vMerge/>
            <w:vAlign w:val="center"/>
          </w:tcPr>
          <w:p w:rsidR="00EE56C0" w:rsidRDefault="00EE56C0">
            <w:pPr>
              <w:adjustRightInd/>
              <w:snapToGrid/>
              <w:spacing w:line="240" w:lineRule="auto"/>
              <w:ind w:firstLineChars="0" w:firstLine="0"/>
              <w:jc w:val="center"/>
              <w:textAlignment w:val="auto"/>
              <w:rPr>
                <w:kern w:val="2"/>
                <w:sz w:val="21"/>
                <w:szCs w:val="21"/>
              </w:rPr>
            </w:pPr>
          </w:p>
        </w:tc>
        <w:tc>
          <w:tcPr>
            <w:tcW w:w="400" w:type="pct"/>
            <w:vAlign w:val="center"/>
          </w:tcPr>
          <w:p w:rsidR="00EE56C0" w:rsidRDefault="000F36A1">
            <w:pPr>
              <w:adjustRightInd/>
              <w:snapToGrid/>
              <w:spacing w:line="240" w:lineRule="auto"/>
              <w:ind w:firstLineChars="0" w:firstLine="0"/>
              <w:jc w:val="center"/>
              <w:textAlignment w:val="auto"/>
              <w:rPr>
                <w:bCs/>
                <w:kern w:val="2"/>
                <w:sz w:val="21"/>
                <w:szCs w:val="21"/>
              </w:rPr>
            </w:pPr>
            <w:r>
              <w:rPr>
                <w:rFonts w:hint="eastAsia"/>
                <w:bCs/>
                <w:kern w:val="2"/>
                <w:sz w:val="21"/>
                <w:szCs w:val="21"/>
              </w:rPr>
              <w:t>0.05</w:t>
            </w:r>
          </w:p>
        </w:tc>
        <w:tc>
          <w:tcPr>
            <w:tcW w:w="2500" w:type="pct"/>
            <w:gridSpan w:val="5"/>
            <w:vAlign w:val="center"/>
          </w:tcPr>
          <w:p w:rsidR="00EE56C0" w:rsidRDefault="000F36A1">
            <w:pPr>
              <w:spacing w:line="240" w:lineRule="auto"/>
              <w:ind w:firstLineChars="0" w:firstLine="0"/>
              <w:jc w:val="center"/>
              <w:rPr>
                <w:bCs/>
                <w:kern w:val="2"/>
                <w:sz w:val="21"/>
                <w:szCs w:val="21"/>
              </w:rPr>
            </w:pPr>
            <w:r>
              <w:rPr>
                <w:rFonts w:hint="eastAsia"/>
                <w:bCs/>
                <w:kern w:val="2"/>
                <w:sz w:val="21"/>
                <w:szCs w:val="21"/>
              </w:rPr>
              <w:t>按照《环境信息公开办法（试行）》第十九条公开环境信息</w:t>
            </w:r>
          </w:p>
        </w:tc>
        <w:tc>
          <w:tcPr>
            <w:tcW w:w="751" w:type="pct"/>
            <w:vAlign w:val="center"/>
          </w:tcPr>
          <w:p w:rsidR="00EE56C0" w:rsidRDefault="000F36A1">
            <w:pPr>
              <w:adjustRightInd/>
              <w:snapToGrid/>
              <w:spacing w:line="240" w:lineRule="auto"/>
              <w:ind w:firstLineChars="0" w:firstLine="0"/>
              <w:jc w:val="center"/>
              <w:textAlignment w:val="auto"/>
              <w:rPr>
                <w:bCs/>
                <w:kern w:val="2"/>
                <w:sz w:val="21"/>
                <w:szCs w:val="21"/>
              </w:rPr>
            </w:pPr>
            <w:r>
              <w:rPr>
                <w:rFonts w:hint="eastAsia"/>
                <w:bCs/>
                <w:kern w:val="2"/>
                <w:sz w:val="21"/>
                <w:szCs w:val="21"/>
              </w:rPr>
              <w:t>按要求已公开环境信息</w:t>
            </w:r>
          </w:p>
        </w:tc>
        <w:tc>
          <w:tcPr>
            <w:tcW w:w="260" w:type="pct"/>
            <w:vAlign w:val="center"/>
          </w:tcPr>
          <w:p w:rsidR="00EE56C0" w:rsidRDefault="000F36A1">
            <w:pPr>
              <w:adjustRightInd/>
              <w:snapToGrid/>
              <w:spacing w:line="240" w:lineRule="auto"/>
              <w:ind w:firstLineChars="0" w:firstLine="0"/>
              <w:jc w:val="center"/>
              <w:textAlignment w:val="auto"/>
              <w:rPr>
                <w:rFonts w:ascii="宋体" w:hAnsi="宋体" w:cs="宋体"/>
                <w:bCs/>
                <w:kern w:val="2"/>
                <w:sz w:val="21"/>
                <w:szCs w:val="21"/>
              </w:rPr>
            </w:pPr>
            <w:r>
              <w:rPr>
                <w:rFonts w:ascii="宋体" w:hAnsi="宋体" w:cs="宋体" w:hint="eastAsia"/>
                <w:bCs/>
                <w:kern w:val="2"/>
                <w:sz w:val="21"/>
                <w:szCs w:val="21"/>
              </w:rPr>
              <w:t>Ⅰ</w:t>
            </w:r>
            <w:r>
              <w:rPr>
                <w:bCs/>
                <w:kern w:val="2"/>
                <w:sz w:val="21"/>
                <w:szCs w:val="21"/>
              </w:rPr>
              <w:t>级</w:t>
            </w:r>
          </w:p>
        </w:tc>
      </w:tr>
      <w:tr w:rsidR="00EE56C0" w:rsidTr="00A81C72">
        <w:trPr>
          <w:cantSplit/>
          <w:trHeight w:val="397"/>
          <w:jc w:val="center"/>
        </w:trPr>
        <w:tc>
          <w:tcPr>
            <w:tcW w:w="238" w:type="pct"/>
            <w:vAlign w:val="center"/>
          </w:tcPr>
          <w:p w:rsidR="00EE56C0" w:rsidRDefault="000F36A1">
            <w:pPr>
              <w:adjustRightInd/>
              <w:snapToGrid/>
              <w:spacing w:line="240" w:lineRule="auto"/>
              <w:ind w:firstLineChars="0" w:firstLine="0"/>
              <w:jc w:val="center"/>
              <w:textAlignment w:val="auto"/>
              <w:rPr>
                <w:kern w:val="2"/>
                <w:sz w:val="21"/>
                <w:szCs w:val="21"/>
              </w:rPr>
            </w:pPr>
            <w:r>
              <w:rPr>
                <w:rFonts w:hint="eastAsia"/>
                <w:kern w:val="2"/>
                <w:sz w:val="21"/>
                <w:szCs w:val="21"/>
              </w:rPr>
              <w:lastRenderedPageBreak/>
              <w:t>9</w:t>
            </w:r>
          </w:p>
        </w:tc>
        <w:tc>
          <w:tcPr>
            <w:tcW w:w="300" w:type="pct"/>
            <w:vMerge/>
            <w:vAlign w:val="center"/>
          </w:tcPr>
          <w:p w:rsidR="00EE56C0" w:rsidRDefault="00EE56C0">
            <w:pPr>
              <w:adjustRightInd/>
              <w:snapToGrid/>
              <w:spacing w:line="240" w:lineRule="auto"/>
              <w:ind w:firstLineChars="0" w:firstLine="0"/>
              <w:jc w:val="center"/>
              <w:textAlignment w:val="auto"/>
              <w:rPr>
                <w:kern w:val="2"/>
                <w:sz w:val="21"/>
                <w:szCs w:val="21"/>
              </w:rPr>
            </w:pPr>
          </w:p>
        </w:tc>
        <w:tc>
          <w:tcPr>
            <w:tcW w:w="300" w:type="pct"/>
            <w:vMerge/>
            <w:vAlign w:val="center"/>
          </w:tcPr>
          <w:p w:rsidR="00EE56C0" w:rsidRDefault="00EE56C0">
            <w:pPr>
              <w:adjustRightInd/>
              <w:snapToGrid/>
              <w:spacing w:line="240" w:lineRule="auto"/>
              <w:ind w:firstLineChars="0" w:firstLine="0"/>
              <w:jc w:val="center"/>
              <w:textAlignment w:val="auto"/>
              <w:rPr>
                <w:kern w:val="2"/>
                <w:sz w:val="21"/>
                <w:szCs w:val="21"/>
              </w:rPr>
            </w:pPr>
          </w:p>
        </w:tc>
        <w:tc>
          <w:tcPr>
            <w:tcW w:w="250" w:type="pct"/>
            <w:vMerge/>
            <w:vAlign w:val="center"/>
          </w:tcPr>
          <w:p w:rsidR="00EE56C0" w:rsidRDefault="00EE56C0">
            <w:pPr>
              <w:adjustRightInd/>
              <w:snapToGrid/>
              <w:spacing w:line="240" w:lineRule="auto"/>
              <w:ind w:firstLineChars="0" w:firstLine="0"/>
              <w:jc w:val="center"/>
              <w:textAlignment w:val="auto"/>
              <w:rPr>
                <w:kern w:val="2"/>
                <w:sz w:val="21"/>
                <w:szCs w:val="21"/>
              </w:rPr>
            </w:pPr>
          </w:p>
        </w:tc>
        <w:tc>
          <w:tcPr>
            <w:tcW w:w="400" w:type="pct"/>
            <w:vAlign w:val="center"/>
          </w:tcPr>
          <w:p w:rsidR="00EE56C0" w:rsidRDefault="000F36A1">
            <w:pPr>
              <w:adjustRightInd/>
              <w:snapToGrid/>
              <w:spacing w:line="240" w:lineRule="auto"/>
              <w:ind w:firstLineChars="0" w:firstLine="0"/>
              <w:jc w:val="center"/>
              <w:textAlignment w:val="auto"/>
              <w:rPr>
                <w:bCs/>
                <w:kern w:val="2"/>
                <w:sz w:val="21"/>
                <w:szCs w:val="21"/>
              </w:rPr>
            </w:pPr>
            <w:r>
              <w:rPr>
                <w:rFonts w:hint="eastAsia"/>
                <w:bCs/>
                <w:kern w:val="2"/>
                <w:sz w:val="21"/>
                <w:szCs w:val="21"/>
              </w:rPr>
              <w:t>0.05</w:t>
            </w:r>
          </w:p>
        </w:tc>
        <w:tc>
          <w:tcPr>
            <w:tcW w:w="2500" w:type="pct"/>
            <w:gridSpan w:val="5"/>
            <w:vAlign w:val="center"/>
          </w:tcPr>
          <w:p w:rsidR="00EE56C0" w:rsidRDefault="000F36A1">
            <w:pPr>
              <w:spacing w:line="240" w:lineRule="auto"/>
              <w:ind w:firstLineChars="0" w:firstLine="0"/>
              <w:jc w:val="center"/>
              <w:rPr>
                <w:bCs/>
                <w:kern w:val="2"/>
                <w:sz w:val="21"/>
                <w:szCs w:val="21"/>
              </w:rPr>
            </w:pPr>
            <w:r>
              <w:rPr>
                <w:rFonts w:hint="eastAsia"/>
                <w:bCs/>
                <w:kern w:val="2"/>
                <w:sz w:val="21"/>
                <w:szCs w:val="21"/>
              </w:rPr>
              <w:t>建立绿色物流供应链制度，对主要零部件供应商提出环保要求，符合相关法律法规标准要求</w:t>
            </w:r>
          </w:p>
        </w:tc>
        <w:tc>
          <w:tcPr>
            <w:tcW w:w="751" w:type="pct"/>
            <w:vAlign w:val="center"/>
          </w:tcPr>
          <w:p w:rsidR="00EE56C0" w:rsidRDefault="000F36A1">
            <w:pPr>
              <w:adjustRightInd/>
              <w:snapToGrid/>
              <w:spacing w:line="240" w:lineRule="auto"/>
              <w:ind w:firstLineChars="0" w:firstLine="0"/>
              <w:jc w:val="center"/>
              <w:textAlignment w:val="auto"/>
              <w:rPr>
                <w:bCs/>
                <w:kern w:val="2"/>
                <w:sz w:val="21"/>
                <w:szCs w:val="21"/>
              </w:rPr>
            </w:pPr>
            <w:r>
              <w:rPr>
                <w:rFonts w:hint="eastAsia"/>
                <w:bCs/>
                <w:kern w:val="2"/>
                <w:sz w:val="21"/>
                <w:szCs w:val="21"/>
              </w:rPr>
              <w:t>按要求建立绿色物流供应链制度</w:t>
            </w:r>
          </w:p>
        </w:tc>
        <w:tc>
          <w:tcPr>
            <w:tcW w:w="260" w:type="pct"/>
            <w:vAlign w:val="center"/>
          </w:tcPr>
          <w:p w:rsidR="00EE56C0" w:rsidRDefault="000F36A1">
            <w:pPr>
              <w:adjustRightInd/>
              <w:snapToGrid/>
              <w:spacing w:line="240" w:lineRule="auto"/>
              <w:ind w:firstLineChars="0" w:firstLine="0"/>
              <w:jc w:val="center"/>
              <w:textAlignment w:val="auto"/>
              <w:rPr>
                <w:rFonts w:ascii="宋体" w:hAnsi="宋体" w:cs="宋体"/>
                <w:bCs/>
                <w:kern w:val="2"/>
                <w:sz w:val="21"/>
                <w:szCs w:val="21"/>
              </w:rPr>
            </w:pPr>
            <w:r>
              <w:rPr>
                <w:rFonts w:ascii="宋体" w:hAnsi="宋体" w:cs="宋体" w:hint="eastAsia"/>
                <w:bCs/>
                <w:kern w:val="2"/>
                <w:sz w:val="21"/>
                <w:szCs w:val="21"/>
              </w:rPr>
              <w:t>Ⅰ</w:t>
            </w:r>
            <w:r>
              <w:rPr>
                <w:bCs/>
                <w:kern w:val="2"/>
                <w:sz w:val="21"/>
                <w:szCs w:val="21"/>
              </w:rPr>
              <w:t>级</w:t>
            </w:r>
          </w:p>
        </w:tc>
      </w:tr>
      <w:tr w:rsidR="00EE56C0" w:rsidTr="00A81C72">
        <w:trPr>
          <w:cantSplit/>
          <w:trHeight w:val="397"/>
          <w:jc w:val="center"/>
        </w:trPr>
        <w:tc>
          <w:tcPr>
            <w:tcW w:w="238" w:type="pct"/>
            <w:vAlign w:val="center"/>
          </w:tcPr>
          <w:p w:rsidR="00EE56C0" w:rsidRDefault="000F36A1">
            <w:pPr>
              <w:adjustRightInd/>
              <w:snapToGrid/>
              <w:spacing w:line="240" w:lineRule="auto"/>
              <w:ind w:firstLineChars="0" w:firstLine="0"/>
              <w:jc w:val="center"/>
              <w:textAlignment w:val="auto"/>
              <w:rPr>
                <w:kern w:val="2"/>
                <w:sz w:val="21"/>
                <w:szCs w:val="21"/>
              </w:rPr>
            </w:pPr>
            <w:r>
              <w:rPr>
                <w:rFonts w:hint="eastAsia"/>
                <w:kern w:val="2"/>
                <w:sz w:val="21"/>
                <w:szCs w:val="21"/>
              </w:rPr>
              <w:t>10</w:t>
            </w:r>
          </w:p>
        </w:tc>
        <w:tc>
          <w:tcPr>
            <w:tcW w:w="300" w:type="pct"/>
            <w:vMerge/>
            <w:vAlign w:val="center"/>
          </w:tcPr>
          <w:p w:rsidR="00EE56C0" w:rsidRDefault="00EE56C0">
            <w:pPr>
              <w:adjustRightInd/>
              <w:snapToGrid/>
              <w:spacing w:line="240" w:lineRule="auto"/>
              <w:ind w:firstLineChars="0" w:firstLine="0"/>
              <w:jc w:val="center"/>
              <w:textAlignment w:val="auto"/>
              <w:rPr>
                <w:kern w:val="2"/>
                <w:sz w:val="21"/>
                <w:szCs w:val="21"/>
              </w:rPr>
            </w:pPr>
          </w:p>
        </w:tc>
        <w:tc>
          <w:tcPr>
            <w:tcW w:w="300" w:type="pct"/>
            <w:vMerge/>
            <w:vAlign w:val="center"/>
          </w:tcPr>
          <w:p w:rsidR="00EE56C0" w:rsidRDefault="00EE56C0">
            <w:pPr>
              <w:adjustRightInd/>
              <w:snapToGrid/>
              <w:spacing w:line="240" w:lineRule="auto"/>
              <w:ind w:firstLineChars="0" w:firstLine="0"/>
              <w:jc w:val="center"/>
              <w:textAlignment w:val="auto"/>
              <w:rPr>
                <w:kern w:val="2"/>
                <w:sz w:val="21"/>
                <w:szCs w:val="21"/>
              </w:rPr>
            </w:pPr>
          </w:p>
        </w:tc>
        <w:tc>
          <w:tcPr>
            <w:tcW w:w="250" w:type="pct"/>
            <w:vMerge/>
            <w:vAlign w:val="center"/>
          </w:tcPr>
          <w:p w:rsidR="00EE56C0" w:rsidRDefault="00EE56C0">
            <w:pPr>
              <w:adjustRightInd/>
              <w:snapToGrid/>
              <w:spacing w:line="240" w:lineRule="auto"/>
              <w:ind w:firstLineChars="0" w:firstLine="0"/>
              <w:jc w:val="center"/>
              <w:textAlignment w:val="auto"/>
              <w:rPr>
                <w:kern w:val="2"/>
                <w:sz w:val="21"/>
                <w:szCs w:val="21"/>
              </w:rPr>
            </w:pPr>
          </w:p>
        </w:tc>
        <w:tc>
          <w:tcPr>
            <w:tcW w:w="400" w:type="pct"/>
            <w:vAlign w:val="center"/>
          </w:tcPr>
          <w:p w:rsidR="00EE56C0" w:rsidRDefault="000F36A1">
            <w:pPr>
              <w:adjustRightInd/>
              <w:snapToGrid/>
              <w:spacing w:line="240" w:lineRule="auto"/>
              <w:ind w:firstLineChars="0" w:firstLine="0"/>
              <w:jc w:val="center"/>
              <w:textAlignment w:val="auto"/>
              <w:rPr>
                <w:bCs/>
                <w:kern w:val="2"/>
                <w:sz w:val="21"/>
                <w:szCs w:val="21"/>
              </w:rPr>
            </w:pPr>
            <w:r>
              <w:rPr>
                <w:rFonts w:hint="eastAsia"/>
                <w:bCs/>
                <w:kern w:val="2"/>
                <w:sz w:val="21"/>
                <w:szCs w:val="21"/>
              </w:rPr>
              <w:t>0.05</w:t>
            </w:r>
          </w:p>
        </w:tc>
        <w:tc>
          <w:tcPr>
            <w:tcW w:w="2500" w:type="pct"/>
            <w:gridSpan w:val="5"/>
            <w:vAlign w:val="center"/>
          </w:tcPr>
          <w:p w:rsidR="00EE56C0" w:rsidRDefault="000F36A1">
            <w:pPr>
              <w:spacing w:line="240" w:lineRule="auto"/>
              <w:ind w:firstLineChars="0" w:firstLine="0"/>
              <w:jc w:val="center"/>
              <w:rPr>
                <w:bCs/>
                <w:kern w:val="2"/>
                <w:sz w:val="21"/>
                <w:szCs w:val="21"/>
              </w:rPr>
            </w:pPr>
            <w:r>
              <w:rPr>
                <w:rFonts w:hint="eastAsia"/>
                <w:bCs/>
                <w:kern w:val="2"/>
                <w:sz w:val="21"/>
                <w:szCs w:val="21"/>
              </w:rPr>
              <w:t>企业建设项目环境保护“三同时”执行情况</w:t>
            </w:r>
          </w:p>
        </w:tc>
        <w:tc>
          <w:tcPr>
            <w:tcW w:w="751" w:type="pct"/>
            <w:vAlign w:val="center"/>
          </w:tcPr>
          <w:p w:rsidR="00EE56C0" w:rsidRDefault="000F36A1">
            <w:pPr>
              <w:adjustRightInd/>
              <w:snapToGrid/>
              <w:spacing w:line="240" w:lineRule="auto"/>
              <w:ind w:firstLineChars="0" w:firstLine="0"/>
              <w:jc w:val="center"/>
              <w:textAlignment w:val="auto"/>
              <w:rPr>
                <w:bCs/>
                <w:kern w:val="2"/>
                <w:sz w:val="21"/>
                <w:szCs w:val="21"/>
              </w:rPr>
            </w:pPr>
            <w:r>
              <w:rPr>
                <w:rFonts w:hint="eastAsia"/>
                <w:bCs/>
                <w:kern w:val="2"/>
                <w:sz w:val="21"/>
                <w:szCs w:val="21"/>
              </w:rPr>
              <w:t>按要求严格执行“三同时”制度</w:t>
            </w:r>
          </w:p>
        </w:tc>
        <w:tc>
          <w:tcPr>
            <w:tcW w:w="260" w:type="pct"/>
            <w:vAlign w:val="center"/>
          </w:tcPr>
          <w:p w:rsidR="00EE56C0" w:rsidRDefault="000F36A1">
            <w:pPr>
              <w:adjustRightInd/>
              <w:snapToGrid/>
              <w:spacing w:line="240" w:lineRule="auto"/>
              <w:ind w:firstLineChars="0" w:firstLine="0"/>
              <w:jc w:val="center"/>
              <w:textAlignment w:val="auto"/>
              <w:rPr>
                <w:rFonts w:ascii="宋体" w:hAnsi="宋体" w:cs="宋体"/>
                <w:bCs/>
                <w:kern w:val="2"/>
                <w:sz w:val="21"/>
                <w:szCs w:val="21"/>
              </w:rPr>
            </w:pPr>
            <w:r>
              <w:rPr>
                <w:rFonts w:ascii="宋体" w:hAnsi="宋体" w:cs="宋体" w:hint="eastAsia"/>
                <w:bCs/>
                <w:kern w:val="2"/>
                <w:sz w:val="21"/>
                <w:szCs w:val="21"/>
              </w:rPr>
              <w:t>Ⅰ</w:t>
            </w:r>
            <w:r>
              <w:rPr>
                <w:bCs/>
                <w:kern w:val="2"/>
                <w:sz w:val="21"/>
                <w:szCs w:val="21"/>
              </w:rPr>
              <w:t>级</w:t>
            </w:r>
          </w:p>
        </w:tc>
      </w:tr>
      <w:tr w:rsidR="00EE56C0" w:rsidTr="00A81C72">
        <w:trPr>
          <w:cantSplit/>
          <w:trHeight w:val="397"/>
          <w:jc w:val="center"/>
        </w:trPr>
        <w:tc>
          <w:tcPr>
            <w:tcW w:w="238" w:type="pct"/>
            <w:vAlign w:val="center"/>
          </w:tcPr>
          <w:p w:rsidR="00EE56C0" w:rsidRDefault="000F36A1">
            <w:pPr>
              <w:adjustRightInd/>
              <w:snapToGrid/>
              <w:spacing w:line="240" w:lineRule="auto"/>
              <w:ind w:firstLineChars="0" w:firstLine="0"/>
              <w:jc w:val="center"/>
              <w:textAlignment w:val="auto"/>
              <w:rPr>
                <w:kern w:val="2"/>
                <w:sz w:val="21"/>
                <w:szCs w:val="21"/>
              </w:rPr>
            </w:pPr>
            <w:r>
              <w:rPr>
                <w:rFonts w:hint="eastAsia"/>
                <w:kern w:val="2"/>
                <w:sz w:val="21"/>
                <w:szCs w:val="21"/>
              </w:rPr>
              <w:t>11</w:t>
            </w:r>
          </w:p>
        </w:tc>
        <w:tc>
          <w:tcPr>
            <w:tcW w:w="300" w:type="pct"/>
            <w:vMerge/>
            <w:vAlign w:val="center"/>
          </w:tcPr>
          <w:p w:rsidR="00EE56C0" w:rsidRDefault="00EE56C0">
            <w:pPr>
              <w:adjustRightInd/>
              <w:snapToGrid/>
              <w:spacing w:line="240" w:lineRule="auto"/>
              <w:ind w:firstLineChars="0" w:firstLine="0"/>
              <w:jc w:val="center"/>
              <w:textAlignment w:val="auto"/>
              <w:rPr>
                <w:kern w:val="2"/>
                <w:sz w:val="21"/>
                <w:szCs w:val="21"/>
              </w:rPr>
            </w:pPr>
          </w:p>
        </w:tc>
        <w:tc>
          <w:tcPr>
            <w:tcW w:w="300" w:type="pct"/>
            <w:vMerge/>
            <w:vAlign w:val="center"/>
          </w:tcPr>
          <w:p w:rsidR="00EE56C0" w:rsidRDefault="00EE56C0">
            <w:pPr>
              <w:adjustRightInd/>
              <w:snapToGrid/>
              <w:spacing w:line="240" w:lineRule="auto"/>
              <w:ind w:firstLineChars="0" w:firstLine="0"/>
              <w:jc w:val="center"/>
              <w:textAlignment w:val="auto"/>
              <w:rPr>
                <w:kern w:val="2"/>
                <w:sz w:val="21"/>
                <w:szCs w:val="21"/>
              </w:rPr>
            </w:pPr>
          </w:p>
        </w:tc>
        <w:tc>
          <w:tcPr>
            <w:tcW w:w="250" w:type="pct"/>
            <w:vAlign w:val="center"/>
          </w:tcPr>
          <w:p w:rsidR="00EE56C0" w:rsidRDefault="000F36A1">
            <w:pPr>
              <w:adjustRightInd/>
              <w:snapToGrid/>
              <w:spacing w:line="240" w:lineRule="auto"/>
              <w:ind w:firstLineChars="0" w:firstLine="0"/>
              <w:jc w:val="center"/>
              <w:textAlignment w:val="auto"/>
              <w:rPr>
                <w:kern w:val="2"/>
                <w:sz w:val="21"/>
                <w:szCs w:val="21"/>
              </w:rPr>
            </w:pPr>
            <w:r>
              <w:rPr>
                <w:rFonts w:hint="eastAsia"/>
                <w:kern w:val="2"/>
                <w:sz w:val="21"/>
                <w:szCs w:val="21"/>
              </w:rPr>
              <w:t>组织机构</w:t>
            </w:r>
          </w:p>
        </w:tc>
        <w:tc>
          <w:tcPr>
            <w:tcW w:w="400" w:type="pct"/>
            <w:vAlign w:val="center"/>
          </w:tcPr>
          <w:p w:rsidR="00EE56C0" w:rsidRDefault="000F36A1">
            <w:pPr>
              <w:adjustRightInd/>
              <w:snapToGrid/>
              <w:spacing w:line="240" w:lineRule="auto"/>
              <w:ind w:firstLineChars="0" w:firstLine="0"/>
              <w:jc w:val="center"/>
              <w:textAlignment w:val="auto"/>
              <w:rPr>
                <w:bCs/>
                <w:kern w:val="2"/>
                <w:sz w:val="21"/>
                <w:szCs w:val="21"/>
              </w:rPr>
            </w:pPr>
            <w:r>
              <w:rPr>
                <w:rFonts w:hint="eastAsia"/>
                <w:bCs/>
                <w:kern w:val="2"/>
                <w:sz w:val="21"/>
                <w:szCs w:val="21"/>
              </w:rPr>
              <w:t>0.10</w:t>
            </w:r>
          </w:p>
        </w:tc>
        <w:tc>
          <w:tcPr>
            <w:tcW w:w="1100" w:type="pct"/>
            <w:vAlign w:val="center"/>
          </w:tcPr>
          <w:p w:rsidR="00EE56C0" w:rsidRDefault="000F36A1">
            <w:pPr>
              <w:adjustRightInd/>
              <w:snapToGrid/>
              <w:spacing w:line="240" w:lineRule="auto"/>
              <w:ind w:firstLineChars="0" w:firstLine="0"/>
              <w:jc w:val="center"/>
              <w:textAlignment w:val="auto"/>
              <w:rPr>
                <w:bCs/>
                <w:kern w:val="2"/>
                <w:sz w:val="21"/>
                <w:szCs w:val="21"/>
              </w:rPr>
            </w:pPr>
            <w:r>
              <w:rPr>
                <w:rFonts w:hint="eastAsia"/>
                <w:bCs/>
                <w:kern w:val="2"/>
                <w:sz w:val="21"/>
                <w:szCs w:val="21"/>
              </w:rPr>
              <w:t>设置专门的清洁生产、环境管理、能源管理岗位，建立一把手负责的环境管理组织机构</w:t>
            </w:r>
          </w:p>
        </w:tc>
        <w:tc>
          <w:tcPr>
            <w:tcW w:w="950" w:type="pct"/>
            <w:gridSpan w:val="3"/>
            <w:vAlign w:val="center"/>
          </w:tcPr>
          <w:p w:rsidR="00EE56C0" w:rsidRDefault="000F36A1">
            <w:pPr>
              <w:adjustRightInd/>
              <w:snapToGrid/>
              <w:spacing w:line="240" w:lineRule="auto"/>
              <w:ind w:firstLineChars="0" w:firstLine="0"/>
              <w:jc w:val="center"/>
              <w:textAlignment w:val="auto"/>
              <w:rPr>
                <w:bCs/>
                <w:kern w:val="2"/>
                <w:sz w:val="21"/>
                <w:szCs w:val="21"/>
              </w:rPr>
            </w:pPr>
            <w:r>
              <w:rPr>
                <w:rFonts w:hint="eastAsia"/>
                <w:bCs/>
                <w:kern w:val="2"/>
                <w:sz w:val="21"/>
                <w:szCs w:val="21"/>
              </w:rPr>
              <w:t>设置清洁生产管理岗位，实行环境、能源管理岗位责任制，建立环境管理组织机构</w:t>
            </w:r>
          </w:p>
        </w:tc>
        <w:tc>
          <w:tcPr>
            <w:tcW w:w="450" w:type="pct"/>
            <w:vAlign w:val="center"/>
          </w:tcPr>
          <w:p w:rsidR="00EE56C0" w:rsidRDefault="000F36A1">
            <w:pPr>
              <w:spacing w:line="240" w:lineRule="auto"/>
              <w:ind w:firstLineChars="0" w:firstLine="0"/>
              <w:jc w:val="center"/>
              <w:rPr>
                <w:bCs/>
                <w:kern w:val="2"/>
                <w:sz w:val="21"/>
                <w:szCs w:val="21"/>
              </w:rPr>
            </w:pPr>
            <w:r>
              <w:rPr>
                <w:rFonts w:hint="eastAsia"/>
                <w:bCs/>
                <w:kern w:val="2"/>
                <w:sz w:val="21"/>
                <w:szCs w:val="21"/>
              </w:rPr>
              <w:t>设置环境管理组织机构</w:t>
            </w:r>
          </w:p>
        </w:tc>
        <w:tc>
          <w:tcPr>
            <w:tcW w:w="751" w:type="pct"/>
            <w:vAlign w:val="center"/>
          </w:tcPr>
          <w:p w:rsidR="00EE56C0" w:rsidRDefault="000F36A1">
            <w:pPr>
              <w:adjustRightInd/>
              <w:snapToGrid/>
              <w:spacing w:line="240" w:lineRule="auto"/>
              <w:ind w:firstLineChars="0" w:firstLine="0"/>
              <w:jc w:val="center"/>
              <w:textAlignment w:val="auto"/>
              <w:rPr>
                <w:bCs/>
                <w:kern w:val="2"/>
                <w:sz w:val="21"/>
                <w:szCs w:val="21"/>
              </w:rPr>
            </w:pPr>
            <w:r>
              <w:rPr>
                <w:rFonts w:hint="eastAsia"/>
                <w:bCs/>
                <w:kern w:val="2"/>
                <w:sz w:val="21"/>
                <w:szCs w:val="21"/>
              </w:rPr>
              <w:t>按要求设置专门的清洁生产、环境管理、能源管理岗位，建立一把手负责的环境管理组织机构</w:t>
            </w:r>
          </w:p>
        </w:tc>
        <w:tc>
          <w:tcPr>
            <w:tcW w:w="260" w:type="pct"/>
            <w:vAlign w:val="center"/>
          </w:tcPr>
          <w:p w:rsidR="00EE56C0" w:rsidRDefault="000F36A1">
            <w:pPr>
              <w:adjustRightInd/>
              <w:snapToGrid/>
              <w:spacing w:line="240" w:lineRule="auto"/>
              <w:ind w:firstLineChars="0" w:firstLine="0"/>
              <w:jc w:val="center"/>
              <w:textAlignment w:val="auto"/>
              <w:rPr>
                <w:rFonts w:ascii="宋体" w:hAnsi="宋体" w:cs="宋体"/>
                <w:bCs/>
                <w:kern w:val="2"/>
                <w:sz w:val="21"/>
                <w:szCs w:val="21"/>
              </w:rPr>
            </w:pPr>
            <w:r>
              <w:rPr>
                <w:rFonts w:ascii="宋体" w:hAnsi="宋体" w:cs="宋体" w:hint="eastAsia"/>
                <w:bCs/>
                <w:kern w:val="2"/>
                <w:sz w:val="21"/>
                <w:szCs w:val="21"/>
              </w:rPr>
              <w:t>Ⅰ</w:t>
            </w:r>
            <w:r>
              <w:rPr>
                <w:bCs/>
                <w:kern w:val="2"/>
                <w:sz w:val="21"/>
                <w:szCs w:val="21"/>
              </w:rPr>
              <w:t>级</w:t>
            </w:r>
          </w:p>
        </w:tc>
      </w:tr>
      <w:tr w:rsidR="00EE56C0" w:rsidTr="00A81C72">
        <w:trPr>
          <w:cantSplit/>
          <w:trHeight w:val="397"/>
          <w:jc w:val="center"/>
        </w:trPr>
        <w:tc>
          <w:tcPr>
            <w:tcW w:w="238" w:type="pct"/>
            <w:vAlign w:val="center"/>
          </w:tcPr>
          <w:p w:rsidR="00EE56C0" w:rsidRDefault="000F36A1">
            <w:pPr>
              <w:adjustRightInd/>
              <w:snapToGrid/>
              <w:spacing w:line="240" w:lineRule="auto"/>
              <w:ind w:firstLineChars="0" w:firstLine="0"/>
              <w:jc w:val="center"/>
              <w:textAlignment w:val="auto"/>
              <w:rPr>
                <w:kern w:val="2"/>
                <w:sz w:val="21"/>
                <w:szCs w:val="21"/>
              </w:rPr>
            </w:pPr>
            <w:r>
              <w:rPr>
                <w:rFonts w:hint="eastAsia"/>
                <w:kern w:val="2"/>
                <w:sz w:val="21"/>
                <w:szCs w:val="21"/>
              </w:rPr>
              <w:t>12</w:t>
            </w:r>
          </w:p>
        </w:tc>
        <w:tc>
          <w:tcPr>
            <w:tcW w:w="300" w:type="pct"/>
            <w:vMerge/>
            <w:vAlign w:val="center"/>
          </w:tcPr>
          <w:p w:rsidR="00EE56C0" w:rsidRDefault="00EE56C0">
            <w:pPr>
              <w:adjustRightInd/>
              <w:snapToGrid/>
              <w:spacing w:line="240" w:lineRule="auto"/>
              <w:ind w:firstLineChars="0" w:firstLine="0"/>
              <w:jc w:val="center"/>
              <w:textAlignment w:val="auto"/>
              <w:rPr>
                <w:kern w:val="2"/>
                <w:sz w:val="21"/>
                <w:szCs w:val="21"/>
              </w:rPr>
            </w:pPr>
          </w:p>
        </w:tc>
        <w:tc>
          <w:tcPr>
            <w:tcW w:w="300" w:type="pct"/>
            <w:vMerge/>
            <w:vAlign w:val="center"/>
          </w:tcPr>
          <w:p w:rsidR="00EE56C0" w:rsidRDefault="00EE56C0">
            <w:pPr>
              <w:adjustRightInd/>
              <w:snapToGrid/>
              <w:spacing w:line="240" w:lineRule="auto"/>
              <w:ind w:firstLineChars="0" w:firstLine="0"/>
              <w:jc w:val="center"/>
              <w:textAlignment w:val="auto"/>
              <w:rPr>
                <w:kern w:val="2"/>
                <w:sz w:val="21"/>
                <w:szCs w:val="21"/>
              </w:rPr>
            </w:pPr>
          </w:p>
        </w:tc>
        <w:tc>
          <w:tcPr>
            <w:tcW w:w="250" w:type="pct"/>
            <w:vAlign w:val="center"/>
          </w:tcPr>
          <w:p w:rsidR="00EE56C0" w:rsidRDefault="000F36A1">
            <w:pPr>
              <w:adjustRightInd/>
              <w:snapToGrid/>
              <w:spacing w:line="240" w:lineRule="auto"/>
              <w:ind w:firstLineChars="0" w:firstLine="0"/>
              <w:jc w:val="center"/>
              <w:textAlignment w:val="auto"/>
              <w:rPr>
                <w:kern w:val="2"/>
                <w:sz w:val="21"/>
                <w:szCs w:val="21"/>
              </w:rPr>
            </w:pPr>
            <w:r>
              <w:rPr>
                <w:rFonts w:hint="eastAsia"/>
                <w:kern w:val="2"/>
                <w:sz w:val="21"/>
                <w:szCs w:val="21"/>
              </w:rPr>
              <w:t>生产过程</w:t>
            </w:r>
          </w:p>
        </w:tc>
        <w:tc>
          <w:tcPr>
            <w:tcW w:w="400" w:type="pct"/>
            <w:vAlign w:val="center"/>
          </w:tcPr>
          <w:p w:rsidR="00EE56C0" w:rsidRDefault="000F36A1">
            <w:pPr>
              <w:adjustRightInd/>
              <w:snapToGrid/>
              <w:spacing w:line="240" w:lineRule="auto"/>
              <w:ind w:firstLineChars="0" w:firstLine="0"/>
              <w:jc w:val="center"/>
              <w:textAlignment w:val="auto"/>
              <w:rPr>
                <w:bCs/>
                <w:kern w:val="2"/>
                <w:sz w:val="21"/>
                <w:szCs w:val="21"/>
              </w:rPr>
            </w:pPr>
            <w:r>
              <w:rPr>
                <w:rFonts w:hint="eastAsia"/>
                <w:bCs/>
                <w:kern w:val="2"/>
                <w:sz w:val="21"/>
                <w:szCs w:val="21"/>
              </w:rPr>
              <w:t>0.10</w:t>
            </w:r>
          </w:p>
        </w:tc>
        <w:tc>
          <w:tcPr>
            <w:tcW w:w="2500" w:type="pct"/>
            <w:gridSpan w:val="5"/>
            <w:vAlign w:val="center"/>
          </w:tcPr>
          <w:p w:rsidR="00EE56C0" w:rsidRDefault="000F36A1">
            <w:pPr>
              <w:spacing w:line="240" w:lineRule="auto"/>
              <w:ind w:firstLineChars="0" w:firstLine="0"/>
              <w:jc w:val="center"/>
              <w:rPr>
                <w:bCs/>
                <w:kern w:val="2"/>
                <w:sz w:val="21"/>
                <w:szCs w:val="21"/>
              </w:rPr>
            </w:pPr>
            <w:r>
              <w:rPr>
                <w:rFonts w:hint="eastAsia"/>
                <w:bCs/>
                <w:kern w:val="2"/>
                <w:sz w:val="21"/>
                <w:szCs w:val="21"/>
              </w:rPr>
              <w:t>磷化废水应当设施排放口进行废水单独收集，第一类污染物经单独预处理达标后进入污水处理站；按生产情况制定清理计划，定期清理含粉尘、油漆的设备和管道</w:t>
            </w:r>
          </w:p>
        </w:tc>
        <w:tc>
          <w:tcPr>
            <w:tcW w:w="751" w:type="pct"/>
            <w:vAlign w:val="center"/>
          </w:tcPr>
          <w:p w:rsidR="00EE56C0" w:rsidRDefault="000F36A1">
            <w:pPr>
              <w:adjustRightInd/>
              <w:snapToGrid/>
              <w:spacing w:line="240" w:lineRule="auto"/>
              <w:ind w:firstLineChars="0" w:firstLine="0"/>
              <w:jc w:val="center"/>
              <w:textAlignment w:val="auto"/>
              <w:rPr>
                <w:bCs/>
                <w:kern w:val="2"/>
                <w:sz w:val="21"/>
                <w:szCs w:val="21"/>
              </w:rPr>
            </w:pPr>
            <w:r>
              <w:rPr>
                <w:rFonts w:hint="eastAsia"/>
                <w:bCs/>
                <w:kern w:val="2"/>
                <w:sz w:val="21"/>
                <w:szCs w:val="21"/>
              </w:rPr>
              <w:t>本项目不涉及磷化废水、第一类污染物；按生产情况制定清理计划，定期清理含油漆的管道</w:t>
            </w:r>
          </w:p>
        </w:tc>
        <w:tc>
          <w:tcPr>
            <w:tcW w:w="260" w:type="pct"/>
            <w:vAlign w:val="center"/>
          </w:tcPr>
          <w:p w:rsidR="00EE56C0" w:rsidRDefault="000F36A1">
            <w:pPr>
              <w:adjustRightInd/>
              <w:snapToGrid/>
              <w:spacing w:line="240" w:lineRule="auto"/>
              <w:ind w:firstLineChars="0" w:firstLine="0"/>
              <w:jc w:val="center"/>
              <w:textAlignment w:val="auto"/>
              <w:rPr>
                <w:rFonts w:ascii="宋体" w:hAnsi="宋体" w:cs="宋体"/>
                <w:bCs/>
                <w:kern w:val="2"/>
                <w:sz w:val="21"/>
                <w:szCs w:val="21"/>
              </w:rPr>
            </w:pPr>
            <w:r>
              <w:rPr>
                <w:rFonts w:ascii="宋体" w:hAnsi="宋体" w:cs="宋体" w:hint="eastAsia"/>
                <w:bCs/>
                <w:kern w:val="2"/>
                <w:sz w:val="21"/>
                <w:szCs w:val="21"/>
              </w:rPr>
              <w:t>Ⅰ</w:t>
            </w:r>
            <w:r>
              <w:rPr>
                <w:bCs/>
                <w:kern w:val="2"/>
                <w:sz w:val="21"/>
                <w:szCs w:val="21"/>
              </w:rPr>
              <w:t>级</w:t>
            </w:r>
          </w:p>
        </w:tc>
      </w:tr>
      <w:tr w:rsidR="00EE56C0" w:rsidTr="00A81C72">
        <w:trPr>
          <w:cantSplit/>
          <w:trHeight w:val="397"/>
          <w:jc w:val="center"/>
        </w:trPr>
        <w:tc>
          <w:tcPr>
            <w:tcW w:w="238" w:type="pct"/>
            <w:vAlign w:val="center"/>
          </w:tcPr>
          <w:p w:rsidR="00EE56C0" w:rsidRDefault="000F36A1">
            <w:pPr>
              <w:adjustRightInd/>
              <w:snapToGrid/>
              <w:spacing w:line="240" w:lineRule="auto"/>
              <w:ind w:firstLineChars="0" w:firstLine="0"/>
              <w:jc w:val="center"/>
              <w:textAlignment w:val="auto"/>
              <w:rPr>
                <w:kern w:val="2"/>
                <w:sz w:val="21"/>
                <w:szCs w:val="21"/>
              </w:rPr>
            </w:pPr>
            <w:r>
              <w:rPr>
                <w:rFonts w:hint="eastAsia"/>
                <w:kern w:val="2"/>
                <w:sz w:val="21"/>
                <w:szCs w:val="21"/>
              </w:rPr>
              <w:t>13</w:t>
            </w:r>
          </w:p>
        </w:tc>
        <w:tc>
          <w:tcPr>
            <w:tcW w:w="300" w:type="pct"/>
            <w:vMerge/>
            <w:vAlign w:val="center"/>
          </w:tcPr>
          <w:p w:rsidR="00EE56C0" w:rsidRDefault="00EE56C0">
            <w:pPr>
              <w:adjustRightInd/>
              <w:snapToGrid/>
              <w:spacing w:line="240" w:lineRule="auto"/>
              <w:ind w:firstLineChars="0" w:firstLine="0"/>
              <w:jc w:val="center"/>
              <w:textAlignment w:val="auto"/>
              <w:rPr>
                <w:kern w:val="2"/>
                <w:sz w:val="21"/>
                <w:szCs w:val="21"/>
              </w:rPr>
            </w:pPr>
          </w:p>
        </w:tc>
        <w:tc>
          <w:tcPr>
            <w:tcW w:w="300" w:type="pct"/>
            <w:vMerge/>
            <w:vAlign w:val="center"/>
          </w:tcPr>
          <w:p w:rsidR="00EE56C0" w:rsidRDefault="00EE56C0">
            <w:pPr>
              <w:adjustRightInd/>
              <w:snapToGrid/>
              <w:spacing w:line="240" w:lineRule="auto"/>
              <w:ind w:firstLineChars="0" w:firstLine="0"/>
              <w:jc w:val="center"/>
              <w:textAlignment w:val="auto"/>
              <w:rPr>
                <w:kern w:val="2"/>
                <w:sz w:val="21"/>
                <w:szCs w:val="21"/>
              </w:rPr>
            </w:pPr>
          </w:p>
        </w:tc>
        <w:tc>
          <w:tcPr>
            <w:tcW w:w="250" w:type="pct"/>
            <w:vAlign w:val="center"/>
          </w:tcPr>
          <w:p w:rsidR="00EE56C0" w:rsidRDefault="000F36A1">
            <w:pPr>
              <w:adjustRightInd/>
              <w:snapToGrid/>
              <w:spacing w:line="240" w:lineRule="auto"/>
              <w:ind w:firstLineChars="0" w:firstLine="0"/>
              <w:jc w:val="center"/>
              <w:textAlignment w:val="auto"/>
              <w:rPr>
                <w:kern w:val="2"/>
                <w:sz w:val="21"/>
                <w:szCs w:val="21"/>
              </w:rPr>
            </w:pPr>
            <w:r>
              <w:rPr>
                <w:rFonts w:hint="eastAsia"/>
                <w:kern w:val="2"/>
                <w:sz w:val="21"/>
                <w:szCs w:val="21"/>
              </w:rPr>
              <w:t>环境应急预案</w:t>
            </w:r>
          </w:p>
        </w:tc>
        <w:tc>
          <w:tcPr>
            <w:tcW w:w="400" w:type="pct"/>
            <w:vAlign w:val="center"/>
          </w:tcPr>
          <w:p w:rsidR="00EE56C0" w:rsidRDefault="000F36A1">
            <w:pPr>
              <w:adjustRightInd/>
              <w:snapToGrid/>
              <w:spacing w:line="240" w:lineRule="auto"/>
              <w:ind w:firstLineChars="0" w:firstLine="0"/>
              <w:jc w:val="center"/>
              <w:textAlignment w:val="auto"/>
              <w:rPr>
                <w:bCs/>
                <w:kern w:val="2"/>
                <w:sz w:val="21"/>
                <w:szCs w:val="21"/>
              </w:rPr>
            </w:pPr>
            <w:r>
              <w:rPr>
                <w:rFonts w:hint="eastAsia"/>
                <w:bCs/>
                <w:kern w:val="2"/>
                <w:sz w:val="21"/>
                <w:szCs w:val="21"/>
              </w:rPr>
              <w:t>0.10</w:t>
            </w:r>
          </w:p>
        </w:tc>
        <w:tc>
          <w:tcPr>
            <w:tcW w:w="2500" w:type="pct"/>
            <w:gridSpan w:val="5"/>
            <w:vAlign w:val="center"/>
          </w:tcPr>
          <w:p w:rsidR="00EE56C0" w:rsidRDefault="000F36A1">
            <w:pPr>
              <w:spacing w:line="240" w:lineRule="auto"/>
              <w:ind w:firstLineChars="0" w:firstLine="0"/>
              <w:jc w:val="center"/>
              <w:rPr>
                <w:bCs/>
                <w:kern w:val="2"/>
                <w:sz w:val="21"/>
                <w:szCs w:val="21"/>
              </w:rPr>
            </w:pPr>
            <w:r>
              <w:rPr>
                <w:rFonts w:hint="eastAsia"/>
                <w:bCs/>
                <w:kern w:val="2"/>
                <w:sz w:val="21"/>
                <w:szCs w:val="21"/>
              </w:rPr>
              <w:t>制定企业环境风险专项应急预案、应急设施、物资齐备，并定期培训和演练</w:t>
            </w:r>
          </w:p>
        </w:tc>
        <w:tc>
          <w:tcPr>
            <w:tcW w:w="751" w:type="pct"/>
            <w:vAlign w:val="center"/>
          </w:tcPr>
          <w:p w:rsidR="00EE56C0" w:rsidRDefault="000F36A1">
            <w:pPr>
              <w:adjustRightInd/>
              <w:snapToGrid/>
              <w:spacing w:line="240" w:lineRule="auto"/>
              <w:ind w:firstLineChars="0" w:firstLine="0"/>
              <w:jc w:val="center"/>
              <w:textAlignment w:val="auto"/>
              <w:rPr>
                <w:bCs/>
                <w:kern w:val="2"/>
                <w:sz w:val="21"/>
                <w:szCs w:val="21"/>
              </w:rPr>
            </w:pPr>
            <w:r>
              <w:rPr>
                <w:rFonts w:hint="eastAsia"/>
                <w:bCs/>
                <w:kern w:val="2"/>
                <w:sz w:val="21"/>
                <w:szCs w:val="21"/>
              </w:rPr>
              <w:t>按要求制定企业环境风险专项应急预案、应急设施、物资齐备，并定期培训和演练</w:t>
            </w:r>
          </w:p>
        </w:tc>
        <w:tc>
          <w:tcPr>
            <w:tcW w:w="260" w:type="pct"/>
            <w:vAlign w:val="center"/>
          </w:tcPr>
          <w:p w:rsidR="00EE56C0" w:rsidRDefault="000F36A1">
            <w:pPr>
              <w:adjustRightInd/>
              <w:snapToGrid/>
              <w:spacing w:line="240" w:lineRule="auto"/>
              <w:ind w:firstLineChars="0" w:firstLine="0"/>
              <w:jc w:val="center"/>
              <w:textAlignment w:val="auto"/>
              <w:rPr>
                <w:rFonts w:ascii="宋体" w:hAnsi="宋体" w:cs="宋体"/>
                <w:bCs/>
                <w:kern w:val="2"/>
                <w:sz w:val="21"/>
                <w:szCs w:val="21"/>
              </w:rPr>
            </w:pPr>
            <w:r>
              <w:rPr>
                <w:rFonts w:ascii="宋体" w:hAnsi="宋体" w:cs="宋体" w:hint="eastAsia"/>
                <w:bCs/>
                <w:kern w:val="2"/>
                <w:sz w:val="21"/>
                <w:szCs w:val="21"/>
              </w:rPr>
              <w:t>Ⅰ</w:t>
            </w:r>
            <w:r>
              <w:rPr>
                <w:bCs/>
                <w:kern w:val="2"/>
                <w:sz w:val="21"/>
                <w:szCs w:val="21"/>
              </w:rPr>
              <w:t>级</w:t>
            </w:r>
          </w:p>
        </w:tc>
      </w:tr>
      <w:tr w:rsidR="00EE56C0" w:rsidTr="00A81C72">
        <w:trPr>
          <w:cantSplit/>
          <w:trHeight w:val="397"/>
          <w:jc w:val="center"/>
        </w:trPr>
        <w:tc>
          <w:tcPr>
            <w:tcW w:w="238" w:type="pct"/>
            <w:vAlign w:val="center"/>
          </w:tcPr>
          <w:p w:rsidR="00EE56C0" w:rsidRDefault="000F36A1">
            <w:pPr>
              <w:adjustRightInd/>
              <w:snapToGrid/>
              <w:spacing w:line="240" w:lineRule="auto"/>
              <w:ind w:firstLineChars="0" w:firstLine="0"/>
              <w:jc w:val="center"/>
              <w:textAlignment w:val="auto"/>
              <w:rPr>
                <w:kern w:val="2"/>
                <w:sz w:val="21"/>
                <w:szCs w:val="21"/>
              </w:rPr>
            </w:pPr>
            <w:r>
              <w:rPr>
                <w:rFonts w:hint="eastAsia"/>
                <w:kern w:val="2"/>
                <w:sz w:val="21"/>
                <w:szCs w:val="21"/>
              </w:rPr>
              <w:t>14</w:t>
            </w:r>
          </w:p>
        </w:tc>
        <w:tc>
          <w:tcPr>
            <w:tcW w:w="300" w:type="pct"/>
            <w:vMerge/>
            <w:vAlign w:val="center"/>
          </w:tcPr>
          <w:p w:rsidR="00EE56C0" w:rsidRDefault="00EE56C0">
            <w:pPr>
              <w:adjustRightInd/>
              <w:snapToGrid/>
              <w:spacing w:line="240" w:lineRule="auto"/>
              <w:ind w:firstLineChars="0" w:firstLine="0"/>
              <w:jc w:val="center"/>
              <w:textAlignment w:val="auto"/>
              <w:rPr>
                <w:kern w:val="2"/>
                <w:sz w:val="21"/>
                <w:szCs w:val="21"/>
              </w:rPr>
            </w:pPr>
          </w:p>
        </w:tc>
        <w:tc>
          <w:tcPr>
            <w:tcW w:w="300" w:type="pct"/>
            <w:vMerge/>
            <w:vAlign w:val="center"/>
          </w:tcPr>
          <w:p w:rsidR="00EE56C0" w:rsidRDefault="00EE56C0">
            <w:pPr>
              <w:adjustRightInd/>
              <w:snapToGrid/>
              <w:spacing w:line="240" w:lineRule="auto"/>
              <w:ind w:firstLineChars="0" w:firstLine="0"/>
              <w:jc w:val="center"/>
              <w:textAlignment w:val="auto"/>
              <w:rPr>
                <w:kern w:val="2"/>
                <w:sz w:val="21"/>
                <w:szCs w:val="21"/>
              </w:rPr>
            </w:pPr>
          </w:p>
        </w:tc>
        <w:tc>
          <w:tcPr>
            <w:tcW w:w="250" w:type="pct"/>
            <w:vAlign w:val="center"/>
          </w:tcPr>
          <w:p w:rsidR="00EE56C0" w:rsidRDefault="000F36A1">
            <w:pPr>
              <w:adjustRightInd/>
              <w:snapToGrid/>
              <w:spacing w:line="240" w:lineRule="auto"/>
              <w:ind w:firstLineChars="0" w:firstLine="0"/>
              <w:jc w:val="center"/>
              <w:textAlignment w:val="auto"/>
              <w:rPr>
                <w:kern w:val="2"/>
                <w:sz w:val="21"/>
                <w:szCs w:val="21"/>
              </w:rPr>
            </w:pPr>
            <w:r>
              <w:rPr>
                <w:rFonts w:hint="eastAsia"/>
                <w:kern w:val="2"/>
                <w:sz w:val="21"/>
                <w:szCs w:val="21"/>
              </w:rPr>
              <w:t>能源管理</w:t>
            </w:r>
          </w:p>
        </w:tc>
        <w:tc>
          <w:tcPr>
            <w:tcW w:w="400" w:type="pct"/>
            <w:vAlign w:val="center"/>
          </w:tcPr>
          <w:p w:rsidR="00EE56C0" w:rsidRDefault="000F36A1">
            <w:pPr>
              <w:adjustRightInd/>
              <w:snapToGrid/>
              <w:spacing w:line="240" w:lineRule="auto"/>
              <w:ind w:firstLineChars="0" w:firstLine="0"/>
              <w:jc w:val="center"/>
              <w:textAlignment w:val="auto"/>
              <w:rPr>
                <w:bCs/>
                <w:kern w:val="2"/>
                <w:sz w:val="21"/>
                <w:szCs w:val="21"/>
              </w:rPr>
            </w:pPr>
            <w:r>
              <w:rPr>
                <w:rFonts w:hint="eastAsia"/>
                <w:bCs/>
                <w:kern w:val="2"/>
                <w:sz w:val="21"/>
                <w:szCs w:val="21"/>
              </w:rPr>
              <w:t>0.10</w:t>
            </w:r>
          </w:p>
        </w:tc>
        <w:tc>
          <w:tcPr>
            <w:tcW w:w="2500" w:type="pct"/>
            <w:gridSpan w:val="5"/>
            <w:vAlign w:val="center"/>
          </w:tcPr>
          <w:p w:rsidR="00EE56C0" w:rsidRDefault="000F36A1">
            <w:pPr>
              <w:spacing w:line="240" w:lineRule="auto"/>
              <w:ind w:firstLineChars="0" w:firstLine="0"/>
              <w:jc w:val="center"/>
              <w:rPr>
                <w:bCs/>
                <w:kern w:val="2"/>
                <w:sz w:val="21"/>
                <w:szCs w:val="21"/>
              </w:rPr>
            </w:pPr>
            <w:r>
              <w:rPr>
                <w:rFonts w:hint="eastAsia"/>
                <w:bCs/>
                <w:kern w:val="2"/>
                <w:sz w:val="21"/>
                <w:szCs w:val="21"/>
              </w:rPr>
              <w:t>能源管理工作体系化；进出用能单位已配备能源计量器具，并符合</w:t>
            </w:r>
            <w:r>
              <w:rPr>
                <w:rFonts w:hint="eastAsia"/>
                <w:bCs/>
                <w:kern w:val="2"/>
                <w:sz w:val="21"/>
                <w:szCs w:val="21"/>
              </w:rPr>
              <w:t xml:space="preserve">GB17167 </w:t>
            </w:r>
            <w:r>
              <w:rPr>
                <w:rFonts w:hint="eastAsia"/>
                <w:bCs/>
                <w:kern w:val="2"/>
                <w:sz w:val="21"/>
                <w:szCs w:val="21"/>
              </w:rPr>
              <w:t>配备要求</w:t>
            </w:r>
          </w:p>
        </w:tc>
        <w:tc>
          <w:tcPr>
            <w:tcW w:w="751" w:type="pct"/>
            <w:vAlign w:val="center"/>
          </w:tcPr>
          <w:p w:rsidR="00EE56C0" w:rsidRDefault="000F36A1">
            <w:pPr>
              <w:adjustRightInd/>
              <w:snapToGrid/>
              <w:spacing w:line="240" w:lineRule="auto"/>
              <w:ind w:firstLineChars="0" w:firstLine="0"/>
              <w:jc w:val="center"/>
              <w:textAlignment w:val="auto"/>
              <w:rPr>
                <w:bCs/>
                <w:kern w:val="2"/>
                <w:sz w:val="21"/>
                <w:szCs w:val="21"/>
              </w:rPr>
            </w:pPr>
            <w:r>
              <w:rPr>
                <w:rFonts w:hint="eastAsia"/>
                <w:bCs/>
                <w:kern w:val="2"/>
                <w:sz w:val="21"/>
                <w:szCs w:val="21"/>
              </w:rPr>
              <w:t>按要求建立体系化的能源管理工作；进出用能单位已配备能源计量器具，并符合</w:t>
            </w:r>
            <w:r>
              <w:rPr>
                <w:rFonts w:hint="eastAsia"/>
                <w:bCs/>
                <w:kern w:val="2"/>
                <w:sz w:val="21"/>
                <w:szCs w:val="21"/>
              </w:rPr>
              <w:t xml:space="preserve"> GB 17167 </w:t>
            </w:r>
            <w:r>
              <w:rPr>
                <w:rFonts w:hint="eastAsia"/>
                <w:bCs/>
                <w:kern w:val="2"/>
                <w:sz w:val="21"/>
                <w:szCs w:val="21"/>
              </w:rPr>
              <w:t>配备要求</w:t>
            </w:r>
          </w:p>
        </w:tc>
        <w:tc>
          <w:tcPr>
            <w:tcW w:w="260" w:type="pct"/>
            <w:vAlign w:val="center"/>
          </w:tcPr>
          <w:p w:rsidR="00EE56C0" w:rsidRDefault="000F36A1">
            <w:pPr>
              <w:adjustRightInd/>
              <w:snapToGrid/>
              <w:spacing w:line="240" w:lineRule="auto"/>
              <w:ind w:firstLineChars="0" w:firstLine="0"/>
              <w:jc w:val="center"/>
              <w:textAlignment w:val="auto"/>
              <w:rPr>
                <w:rFonts w:ascii="宋体" w:hAnsi="宋体" w:cs="宋体"/>
                <w:bCs/>
                <w:kern w:val="2"/>
                <w:sz w:val="21"/>
                <w:szCs w:val="21"/>
              </w:rPr>
            </w:pPr>
            <w:r>
              <w:rPr>
                <w:rFonts w:ascii="宋体" w:hAnsi="宋体" w:cs="宋体" w:hint="eastAsia"/>
                <w:bCs/>
                <w:kern w:val="2"/>
                <w:sz w:val="21"/>
                <w:szCs w:val="21"/>
              </w:rPr>
              <w:t>Ⅰ</w:t>
            </w:r>
            <w:r>
              <w:rPr>
                <w:bCs/>
                <w:kern w:val="2"/>
                <w:sz w:val="21"/>
                <w:szCs w:val="21"/>
              </w:rPr>
              <w:t>级</w:t>
            </w:r>
          </w:p>
        </w:tc>
      </w:tr>
      <w:tr w:rsidR="00EE56C0" w:rsidTr="00A81C72">
        <w:trPr>
          <w:cantSplit/>
          <w:trHeight w:val="397"/>
          <w:jc w:val="center"/>
        </w:trPr>
        <w:tc>
          <w:tcPr>
            <w:tcW w:w="238" w:type="pct"/>
            <w:vAlign w:val="center"/>
          </w:tcPr>
          <w:p w:rsidR="00EE56C0" w:rsidRDefault="000F36A1">
            <w:pPr>
              <w:adjustRightInd/>
              <w:snapToGrid/>
              <w:spacing w:line="240" w:lineRule="auto"/>
              <w:ind w:firstLineChars="0" w:firstLine="0"/>
              <w:jc w:val="center"/>
              <w:textAlignment w:val="auto"/>
              <w:rPr>
                <w:kern w:val="2"/>
                <w:sz w:val="21"/>
                <w:szCs w:val="21"/>
              </w:rPr>
            </w:pPr>
            <w:r>
              <w:rPr>
                <w:rFonts w:hint="eastAsia"/>
                <w:kern w:val="2"/>
                <w:sz w:val="21"/>
                <w:szCs w:val="21"/>
              </w:rPr>
              <w:t>15</w:t>
            </w:r>
          </w:p>
        </w:tc>
        <w:tc>
          <w:tcPr>
            <w:tcW w:w="300" w:type="pct"/>
            <w:vMerge/>
            <w:vAlign w:val="center"/>
          </w:tcPr>
          <w:p w:rsidR="00EE56C0" w:rsidRDefault="00EE56C0">
            <w:pPr>
              <w:adjustRightInd/>
              <w:snapToGrid/>
              <w:spacing w:line="240" w:lineRule="auto"/>
              <w:ind w:firstLineChars="0" w:firstLine="0"/>
              <w:jc w:val="center"/>
              <w:textAlignment w:val="auto"/>
              <w:rPr>
                <w:kern w:val="2"/>
                <w:sz w:val="21"/>
                <w:szCs w:val="21"/>
              </w:rPr>
            </w:pPr>
          </w:p>
        </w:tc>
        <w:tc>
          <w:tcPr>
            <w:tcW w:w="300" w:type="pct"/>
            <w:vMerge/>
            <w:vAlign w:val="center"/>
          </w:tcPr>
          <w:p w:rsidR="00EE56C0" w:rsidRDefault="00EE56C0">
            <w:pPr>
              <w:adjustRightInd/>
              <w:snapToGrid/>
              <w:spacing w:line="240" w:lineRule="auto"/>
              <w:ind w:firstLineChars="0" w:firstLine="0"/>
              <w:jc w:val="center"/>
              <w:textAlignment w:val="auto"/>
              <w:rPr>
                <w:kern w:val="2"/>
                <w:sz w:val="21"/>
                <w:szCs w:val="21"/>
              </w:rPr>
            </w:pPr>
          </w:p>
        </w:tc>
        <w:tc>
          <w:tcPr>
            <w:tcW w:w="250" w:type="pct"/>
            <w:vAlign w:val="center"/>
          </w:tcPr>
          <w:p w:rsidR="00EE56C0" w:rsidRDefault="000F36A1">
            <w:pPr>
              <w:adjustRightInd/>
              <w:snapToGrid/>
              <w:spacing w:line="240" w:lineRule="auto"/>
              <w:ind w:firstLineChars="0" w:firstLine="0"/>
              <w:jc w:val="center"/>
              <w:textAlignment w:val="auto"/>
              <w:rPr>
                <w:kern w:val="2"/>
                <w:sz w:val="21"/>
                <w:szCs w:val="21"/>
              </w:rPr>
            </w:pPr>
            <w:r>
              <w:rPr>
                <w:rFonts w:hint="eastAsia"/>
                <w:kern w:val="2"/>
                <w:sz w:val="21"/>
                <w:szCs w:val="21"/>
              </w:rPr>
              <w:t>节水管理</w:t>
            </w:r>
          </w:p>
        </w:tc>
        <w:tc>
          <w:tcPr>
            <w:tcW w:w="400" w:type="pct"/>
            <w:vAlign w:val="center"/>
          </w:tcPr>
          <w:p w:rsidR="00EE56C0" w:rsidRDefault="000F36A1">
            <w:pPr>
              <w:adjustRightInd/>
              <w:snapToGrid/>
              <w:spacing w:line="240" w:lineRule="auto"/>
              <w:ind w:firstLineChars="0" w:firstLine="0"/>
              <w:jc w:val="center"/>
              <w:textAlignment w:val="auto"/>
              <w:rPr>
                <w:bCs/>
                <w:kern w:val="2"/>
                <w:sz w:val="21"/>
                <w:szCs w:val="21"/>
              </w:rPr>
            </w:pPr>
            <w:r>
              <w:rPr>
                <w:rFonts w:hint="eastAsia"/>
                <w:bCs/>
                <w:kern w:val="2"/>
                <w:sz w:val="21"/>
                <w:szCs w:val="21"/>
              </w:rPr>
              <w:t>0.10</w:t>
            </w:r>
          </w:p>
        </w:tc>
        <w:tc>
          <w:tcPr>
            <w:tcW w:w="2500" w:type="pct"/>
            <w:gridSpan w:val="5"/>
            <w:vAlign w:val="center"/>
          </w:tcPr>
          <w:p w:rsidR="00EE56C0" w:rsidRDefault="000F36A1">
            <w:pPr>
              <w:spacing w:line="240" w:lineRule="auto"/>
              <w:ind w:firstLineChars="0" w:firstLine="0"/>
              <w:jc w:val="center"/>
              <w:rPr>
                <w:bCs/>
                <w:kern w:val="2"/>
                <w:sz w:val="21"/>
                <w:szCs w:val="21"/>
              </w:rPr>
            </w:pPr>
            <w:r>
              <w:rPr>
                <w:rFonts w:hint="eastAsia"/>
                <w:bCs/>
                <w:kern w:val="2"/>
                <w:sz w:val="21"/>
                <w:szCs w:val="21"/>
              </w:rPr>
              <w:t>进出用能单位配备能源计量器具，并符合</w:t>
            </w:r>
            <w:r>
              <w:rPr>
                <w:rFonts w:hint="eastAsia"/>
                <w:bCs/>
                <w:kern w:val="2"/>
                <w:sz w:val="21"/>
                <w:szCs w:val="21"/>
              </w:rPr>
              <w:t>GB24789</w:t>
            </w:r>
            <w:r>
              <w:rPr>
                <w:rFonts w:hint="eastAsia"/>
                <w:bCs/>
                <w:kern w:val="2"/>
                <w:sz w:val="21"/>
                <w:szCs w:val="21"/>
              </w:rPr>
              <w:t>配备要求</w:t>
            </w:r>
          </w:p>
        </w:tc>
        <w:tc>
          <w:tcPr>
            <w:tcW w:w="751" w:type="pct"/>
            <w:vAlign w:val="center"/>
          </w:tcPr>
          <w:p w:rsidR="00EE56C0" w:rsidRDefault="000F36A1">
            <w:pPr>
              <w:adjustRightInd/>
              <w:snapToGrid/>
              <w:spacing w:line="240" w:lineRule="auto"/>
              <w:ind w:firstLineChars="0" w:firstLine="0"/>
              <w:jc w:val="center"/>
              <w:textAlignment w:val="auto"/>
              <w:rPr>
                <w:bCs/>
                <w:kern w:val="2"/>
                <w:sz w:val="21"/>
                <w:szCs w:val="21"/>
              </w:rPr>
            </w:pPr>
            <w:r>
              <w:rPr>
                <w:rFonts w:hint="eastAsia"/>
                <w:bCs/>
                <w:kern w:val="2"/>
                <w:sz w:val="21"/>
                <w:szCs w:val="21"/>
              </w:rPr>
              <w:t>按要求配备能源计量器具，且符合</w:t>
            </w:r>
            <w:r>
              <w:rPr>
                <w:rFonts w:hint="eastAsia"/>
                <w:bCs/>
                <w:kern w:val="2"/>
                <w:sz w:val="21"/>
                <w:szCs w:val="21"/>
              </w:rPr>
              <w:t xml:space="preserve"> GB24789</w:t>
            </w:r>
            <w:r>
              <w:rPr>
                <w:rFonts w:hint="eastAsia"/>
                <w:bCs/>
                <w:kern w:val="2"/>
                <w:sz w:val="21"/>
                <w:szCs w:val="21"/>
              </w:rPr>
              <w:t>配备要求</w:t>
            </w:r>
          </w:p>
        </w:tc>
        <w:tc>
          <w:tcPr>
            <w:tcW w:w="260" w:type="pct"/>
            <w:vAlign w:val="center"/>
          </w:tcPr>
          <w:p w:rsidR="00EE56C0" w:rsidRDefault="000F36A1">
            <w:pPr>
              <w:adjustRightInd/>
              <w:snapToGrid/>
              <w:spacing w:line="240" w:lineRule="auto"/>
              <w:ind w:firstLineChars="0" w:firstLine="0"/>
              <w:jc w:val="center"/>
              <w:textAlignment w:val="auto"/>
              <w:rPr>
                <w:rFonts w:ascii="宋体" w:hAnsi="宋体" w:cs="宋体"/>
                <w:bCs/>
                <w:kern w:val="2"/>
                <w:sz w:val="21"/>
                <w:szCs w:val="21"/>
              </w:rPr>
            </w:pPr>
            <w:r>
              <w:rPr>
                <w:rFonts w:ascii="宋体" w:hAnsi="宋体" w:cs="宋体" w:hint="eastAsia"/>
                <w:bCs/>
                <w:kern w:val="2"/>
                <w:sz w:val="21"/>
                <w:szCs w:val="21"/>
              </w:rPr>
              <w:t>Ⅰ</w:t>
            </w:r>
            <w:r>
              <w:rPr>
                <w:bCs/>
                <w:kern w:val="2"/>
                <w:sz w:val="21"/>
                <w:szCs w:val="21"/>
              </w:rPr>
              <w:t>级</w:t>
            </w:r>
          </w:p>
        </w:tc>
      </w:tr>
    </w:tbl>
    <w:p w:rsidR="00EE56C0" w:rsidRDefault="000F36A1">
      <w:pPr>
        <w:pStyle w:val="a4"/>
        <w:ind w:firstLineChars="0" w:firstLine="0"/>
        <w:rPr>
          <w:kern w:val="2"/>
        </w:rPr>
      </w:pPr>
      <w:r>
        <w:rPr>
          <w:rFonts w:hint="eastAsia"/>
          <w:kern w:val="2"/>
        </w:rPr>
        <w:t>备注：本项目仅含喷漆（涂覆）工艺，根据</w:t>
      </w:r>
      <w:r>
        <w:rPr>
          <w:rFonts w:hint="eastAsia"/>
        </w:rPr>
        <w:t>《涂装行业清洁生产评价指标体系》表</w:t>
      </w:r>
      <w:r>
        <w:rPr>
          <w:rFonts w:hint="eastAsia"/>
        </w:rPr>
        <w:t>7</w:t>
      </w:r>
      <w:r>
        <w:rPr>
          <w:rFonts w:hint="eastAsia"/>
          <w:kern w:val="2"/>
        </w:rPr>
        <w:t>，喷漆（涂覆）评价指标权重值为</w:t>
      </w:r>
      <w:r>
        <w:rPr>
          <w:rFonts w:hint="eastAsia"/>
          <w:kern w:val="2"/>
        </w:rPr>
        <w:t>0.8</w:t>
      </w:r>
      <w:r>
        <w:rPr>
          <w:rFonts w:hint="eastAsia"/>
          <w:kern w:val="2"/>
        </w:rPr>
        <w:t>，清洁生产管理评价指标权重值为</w:t>
      </w:r>
      <w:r>
        <w:rPr>
          <w:rFonts w:hint="eastAsia"/>
          <w:kern w:val="2"/>
        </w:rPr>
        <w:t>0.2</w:t>
      </w:r>
      <w:r>
        <w:rPr>
          <w:rFonts w:hint="eastAsia"/>
          <w:kern w:val="2"/>
        </w:rPr>
        <w:t>。</w:t>
      </w:r>
    </w:p>
    <w:p w:rsidR="00EE56C0" w:rsidRDefault="00EE56C0" w:rsidP="00A81C72">
      <w:pPr>
        <w:pStyle w:val="a4"/>
        <w:ind w:firstLine="422"/>
        <w:rPr>
          <w:kern w:val="2"/>
        </w:rPr>
        <w:sectPr w:rsidR="00EE56C0">
          <w:pgSz w:w="16838" w:h="11906" w:orient="landscape"/>
          <w:pgMar w:top="1797" w:right="1440" w:bottom="1797" w:left="1440" w:header="851" w:footer="992" w:gutter="0"/>
          <w:cols w:space="720"/>
          <w:docGrid w:linePitch="312"/>
        </w:sectPr>
      </w:pPr>
    </w:p>
    <w:p w:rsidR="00EE56C0" w:rsidRDefault="000F36A1">
      <w:pPr>
        <w:ind w:firstLine="480"/>
      </w:pPr>
      <w:r>
        <w:rPr>
          <w:rFonts w:hint="eastAsia"/>
        </w:rPr>
        <w:lastRenderedPageBreak/>
        <w:t>评价方法：不同清洁生产指标由于量纲不同，不能直接比较，需要建立原始指标的函数。</w:t>
      </w:r>
    </w:p>
    <w:p w:rsidR="00EE56C0" w:rsidRDefault="000F36A1">
      <w:pPr>
        <w:pStyle w:val="aff9"/>
        <w:spacing w:before="240" w:after="120"/>
      </w:pPr>
      <w:r>
        <w:rPr>
          <w:noProof/>
        </w:rPr>
        <w:drawing>
          <wp:inline distT="0" distB="0" distL="0" distR="0">
            <wp:extent cx="2396490" cy="583565"/>
            <wp:effectExtent l="19050" t="0" r="3810" b="0"/>
            <wp:docPr id="10" name="图片 468" descr="QQ截图20170228103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68" descr="QQ截图20170228103725"/>
                    <pic:cNvPicPr>
                      <a:picLocks noChangeAspect="1" noChangeArrowheads="1"/>
                    </pic:cNvPicPr>
                  </pic:nvPicPr>
                  <pic:blipFill>
                    <a:blip r:embed="rId67"/>
                    <a:srcRect b="8165"/>
                    <a:stretch>
                      <a:fillRect/>
                    </a:stretch>
                  </pic:blipFill>
                  <pic:spPr>
                    <a:xfrm>
                      <a:off x="0" y="0"/>
                      <a:ext cx="2396490" cy="583565"/>
                    </a:xfrm>
                    <a:prstGeom prst="rect">
                      <a:avLst/>
                    </a:prstGeom>
                    <a:noFill/>
                    <a:ln w="9525">
                      <a:noFill/>
                      <a:miter lim="800000"/>
                      <a:headEnd/>
                      <a:tailEnd/>
                    </a:ln>
                  </pic:spPr>
                </pic:pic>
              </a:graphicData>
            </a:graphic>
          </wp:inline>
        </w:drawing>
      </w:r>
    </w:p>
    <w:p w:rsidR="00EE56C0" w:rsidRDefault="000F36A1">
      <w:pPr>
        <w:ind w:firstLine="480"/>
        <w:rPr>
          <w:kern w:val="2"/>
        </w:rPr>
      </w:pPr>
      <w:r>
        <w:rPr>
          <w:rFonts w:hint="eastAsia"/>
        </w:rPr>
        <w:t>公式中：</w:t>
      </w:r>
      <w:r>
        <w:t>X</w:t>
      </w:r>
      <w:r>
        <w:rPr>
          <w:vertAlign w:val="subscript"/>
        </w:rPr>
        <w:t>ij</w:t>
      </w:r>
      <w:r>
        <w:rPr>
          <w:rFonts w:hint="eastAsia"/>
        </w:rPr>
        <w:t>表示第</w:t>
      </w:r>
      <w:r>
        <w:t>i</w:t>
      </w:r>
      <w:r>
        <w:rPr>
          <w:rFonts w:hint="eastAsia"/>
        </w:rPr>
        <w:t>个一级指标下的第</w:t>
      </w:r>
      <w:r>
        <w:t>j</w:t>
      </w:r>
      <w:r>
        <w:rPr>
          <w:rFonts w:hint="eastAsia"/>
        </w:rPr>
        <w:t>个二级指标；</w:t>
      </w:r>
      <w:r>
        <w:t>g</w:t>
      </w:r>
      <w:r>
        <w:rPr>
          <w:vertAlign w:val="subscript"/>
        </w:rPr>
        <w:t>k</w:t>
      </w:r>
      <w:r>
        <w:rPr>
          <w:rFonts w:hint="eastAsia"/>
        </w:rPr>
        <w:t>表示二级指标基准值，其中</w:t>
      </w:r>
      <w:r>
        <w:t>g</w:t>
      </w:r>
      <w:r>
        <w:rPr>
          <w:vertAlign w:val="subscript"/>
        </w:rPr>
        <w:t>1</w:t>
      </w:r>
      <w:r>
        <w:rPr>
          <w:rFonts w:hint="eastAsia"/>
        </w:rPr>
        <w:t>为</w:t>
      </w:r>
      <w:r>
        <w:rPr>
          <w:rFonts w:ascii="宋体" w:cs="宋体" w:hint="eastAsia"/>
        </w:rPr>
        <w:t>Ⅰ</w:t>
      </w:r>
      <w:r>
        <w:rPr>
          <w:rFonts w:hint="eastAsia"/>
        </w:rPr>
        <w:t>级水平，</w:t>
      </w:r>
      <w:r>
        <w:t>g</w:t>
      </w:r>
      <w:r>
        <w:rPr>
          <w:vertAlign w:val="subscript"/>
        </w:rPr>
        <w:t>2</w:t>
      </w:r>
      <w:r>
        <w:rPr>
          <w:rFonts w:hint="eastAsia"/>
        </w:rPr>
        <w:t>为</w:t>
      </w:r>
      <w:r>
        <w:rPr>
          <w:rFonts w:ascii="宋体" w:cs="宋体" w:hint="eastAsia"/>
        </w:rPr>
        <w:t>Ⅱ</w:t>
      </w:r>
      <w:r>
        <w:rPr>
          <w:rFonts w:hint="eastAsia"/>
        </w:rPr>
        <w:t>级水平，</w:t>
      </w:r>
      <w:r>
        <w:t>g</w:t>
      </w:r>
      <w:r>
        <w:rPr>
          <w:vertAlign w:val="subscript"/>
        </w:rPr>
        <w:t>3</w:t>
      </w:r>
      <w:r>
        <w:rPr>
          <w:rFonts w:hint="eastAsia"/>
        </w:rPr>
        <w:t>为</w:t>
      </w:r>
      <w:r>
        <w:rPr>
          <w:rFonts w:ascii="宋体" w:cs="宋体" w:hint="eastAsia"/>
        </w:rPr>
        <w:t>Ⅲ</w:t>
      </w:r>
      <w:r>
        <w:rPr>
          <w:rFonts w:hint="eastAsia"/>
        </w:rPr>
        <w:t>级水平；</w:t>
      </w:r>
      <w:r>
        <w:t>Y</w:t>
      </w:r>
      <w:r>
        <w:rPr>
          <w:vertAlign w:val="subscript"/>
        </w:rPr>
        <w:t>gk</w:t>
      </w:r>
      <w:r>
        <w:rPr>
          <w:rFonts w:hint="eastAsia"/>
        </w:rPr>
        <w:t>（</w:t>
      </w:r>
      <w:r>
        <w:t>X</w:t>
      </w:r>
      <w:r>
        <w:rPr>
          <w:vertAlign w:val="subscript"/>
        </w:rPr>
        <w:t>ij</w:t>
      </w:r>
      <w:r>
        <w:rPr>
          <w:rFonts w:hint="eastAsia"/>
        </w:rPr>
        <w:t>）为二级指标</w:t>
      </w:r>
      <w:r>
        <w:t>X</w:t>
      </w:r>
      <w:r>
        <w:rPr>
          <w:vertAlign w:val="subscript"/>
        </w:rPr>
        <w:t>ij</w:t>
      </w:r>
      <w:r>
        <w:rPr>
          <w:rFonts w:hint="eastAsia"/>
        </w:rPr>
        <w:t>对于级别</w:t>
      </w:r>
      <w:r>
        <w:t>g</w:t>
      </w:r>
      <w:r>
        <w:rPr>
          <w:vertAlign w:val="subscript"/>
        </w:rPr>
        <w:t>k</w:t>
      </w:r>
      <w:r>
        <w:rPr>
          <w:rFonts w:hint="eastAsia"/>
        </w:rPr>
        <w:t>的函数。若指标</w:t>
      </w:r>
      <w:r>
        <w:t>X</w:t>
      </w:r>
      <w:r>
        <w:rPr>
          <w:vertAlign w:val="subscript"/>
        </w:rPr>
        <w:t>ij</w:t>
      </w:r>
      <w:r>
        <w:rPr>
          <w:rFonts w:hint="eastAsia"/>
        </w:rPr>
        <w:t>属于级别</w:t>
      </w:r>
      <w:r>
        <w:t>g</w:t>
      </w:r>
      <w:r>
        <w:rPr>
          <w:vertAlign w:val="subscript"/>
        </w:rPr>
        <w:t>k</w:t>
      </w:r>
      <w:r>
        <w:rPr>
          <w:rFonts w:hint="eastAsia"/>
        </w:rPr>
        <w:t>，则函数的值为</w:t>
      </w:r>
      <w:r>
        <w:t>100</w:t>
      </w:r>
      <w:r>
        <w:rPr>
          <w:rFonts w:hint="eastAsia"/>
        </w:rPr>
        <w:t>，否则为</w:t>
      </w:r>
      <w:r>
        <w:t>0</w:t>
      </w:r>
      <w:r>
        <w:rPr>
          <w:rFonts w:hint="eastAsia"/>
        </w:rPr>
        <w:t>。</w:t>
      </w:r>
    </w:p>
    <w:p w:rsidR="00EE56C0" w:rsidRDefault="000F36A1">
      <w:pPr>
        <w:ind w:firstLine="480"/>
      </w:pPr>
      <w:r>
        <w:rPr>
          <w:rFonts w:hint="eastAsia"/>
        </w:rPr>
        <w:t>通过加权平均、逐层收敛可得到评价对象在不同级别</w:t>
      </w:r>
      <w:r>
        <w:t>g</w:t>
      </w:r>
      <w:r>
        <w:rPr>
          <w:vertAlign w:val="subscript"/>
        </w:rPr>
        <w:t>k</w:t>
      </w:r>
      <w:r>
        <w:rPr>
          <w:rFonts w:hint="eastAsia"/>
        </w:rPr>
        <w:t>的得分</w:t>
      </w:r>
      <w:r>
        <w:t>Yg</w:t>
      </w:r>
      <w:r>
        <w:rPr>
          <w:vertAlign w:val="subscript"/>
        </w:rPr>
        <w:t>k</w:t>
      </w:r>
      <w:r>
        <w:rPr>
          <w:rFonts w:hint="eastAsia"/>
        </w:rPr>
        <w:t>，如式所示。</w:t>
      </w:r>
    </w:p>
    <w:p w:rsidR="00EE56C0" w:rsidRDefault="000F36A1">
      <w:pPr>
        <w:pStyle w:val="aff9"/>
        <w:spacing w:before="240" w:after="120"/>
      </w:pPr>
      <w:r>
        <w:rPr>
          <w:noProof/>
        </w:rPr>
        <w:drawing>
          <wp:inline distT="0" distB="0" distL="0" distR="0">
            <wp:extent cx="2049780" cy="662305"/>
            <wp:effectExtent l="19050" t="0" r="7620" b="0"/>
            <wp:docPr id="11" name="图片 470" descr="QQ截图20170228104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70" descr="QQ截图20170228104244"/>
                    <pic:cNvPicPr>
                      <a:picLocks noChangeAspect="1" noChangeArrowheads="1"/>
                    </pic:cNvPicPr>
                  </pic:nvPicPr>
                  <pic:blipFill>
                    <a:blip r:embed="rId68"/>
                    <a:srcRect/>
                    <a:stretch>
                      <a:fillRect/>
                    </a:stretch>
                  </pic:blipFill>
                  <pic:spPr>
                    <a:xfrm>
                      <a:off x="0" y="0"/>
                      <a:ext cx="2049780" cy="662305"/>
                    </a:xfrm>
                    <a:prstGeom prst="rect">
                      <a:avLst/>
                    </a:prstGeom>
                    <a:noFill/>
                    <a:ln w="9525">
                      <a:noFill/>
                      <a:miter lim="800000"/>
                      <a:headEnd/>
                      <a:tailEnd/>
                    </a:ln>
                  </pic:spPr>
                </pic:pic>
              </a:graphicData>
            </a:graphic>
          </wp:inline>
        </w:drawing>
      </w:r>
    </w:p>
    <w:p w:rsidR="00EE56C0" w:rsidRDefault="000F36A1">
      <w:pPr>
        <w:ind w:firstLine="480"/>
      </w:pPr>
      <w:r>
        <w:rPr>
          <w:rFonts w:hint="eastAsia"/>
        </w:rPr>
        <w:t>式中：</w:t>
      </w:r>
      <w:r>
        <w:t>W</w:t>
      </w:r>
      <w:r>
        <w:rPr>
          <w:vertAlign w:val="subscript"/>
        </w:rPr>
        <w:t>i</w:t>
      </w:r>
      <w:r>
        <w:rPr>
          <w:rFonts w:hint="eastAsia"/>
        </w:rPr>
        <w:t>表示第</w:t>
      </w:r>
      <w:r>
        <w:t>i</w:t>
      </w:r>
      <w:r>
        <w:rPr>
          <w:rFonts w:hint="eastAsia"/>
        </w:rPr>
        <w:t>个一级指标的权重；</w:t>
      </w:r>
      <w:r>
        <w:t>W</w:t>
      </w:r>
      <w:r>
        <w:rPr>
          <w:vertAlign w:val="subscript"/>
        </w:rPr>
        <w:t>ij</w:t>
      </w:r>
      <w:r>
        <w:rPr>
          <w:rFonts w:hint="eastAsia"/>
        </w:rPr>
        <w:t>为第</w:t>
      </w:r>
      <w:r>
        <w:t>i</w:t>
      </w:r>
      <w:r>
        <w:rPr>
          <w:rFonts w:hint="eastAsia"/>
        </w:rPr>
        <w:t>个一级指标下第</w:t>
      </w:r>
      <w:r>
        <w:t>j</w:t>
      </w:r>
      <w:r>
        <w:rPr>
          <w:rFonts w:hint="eastAsia"/>
        </w:rPr>
        <w:t>个二级指标的权重。</w:t>
      </w:r>
    </w:p>
    <w:p w:rsidR="00EE56C0" w:rsidRDefault="000F36A1">
      <w:pPr>
        <w:ind w:firstLine="480"/>
      </w:pPr>
      <w:r>
        <w:rPr>
          <w:rFonts w:hint="eastAsia"/>
        </w:rPr>
        <w:t>不同等级的清洁生产企业的综合评价指数列于下表。</w:t>
      </w:r>
    </w:p>
    <w:p w:rsidR="00EE56C0" w:rsidRDefault="000F36A1">
      <w:pPr>
        <w:pStyle w:val="afd"/>
        <w:spacing w:before="120" w:after="120"/>
        <w:ind w:firstLine="482"/>
      </w:pPr>
      <w:r>
        <w:rPr>
          <w:rFonts w:hint="eastAsia"/>
        </w:rPr>
        <w:t>表</w:t>
      </w:r>
      <w:r>
        <w:rPr>
          <w:rFonts w:hint="eastAsia"/>
        </w:rPr>
        <w:t>3-7</w:t>
      </w:r>
      <w:r w:rsidR="00702FE4">
        <w:rPr>
          <w:rFonts w:hint="eastAsia"/>
        </w:rPr>
        <w:t>6</w:t>
      </w:r>
      <w:r>
        <w:rPr>
          <w:rFonts w:hint="eastAsia"/>
        </w:rPr>
        <w:t xml:space="preserve">      </w:t>
      </w:r>
      <w:r>
        <w:rPr>
          <w:rFonts w:hint="eastAsia"/>
        </w:rPr>
        <w:t>涂装行业不同等级清洁生产企业综合评价指数</w:t>
      </w:r>
    </w:p>
    <w:tbl>
      <w:tblPr>
        <w:tblW w:w="0" w:type="auto"/>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3510"/>
        <w:gridCol w:w="5018"/>
      </w:tblGrid>
      <w:tr w:rsidR="00EE56C0">
        <w:trPr>
          <w:trHeight w:val="397"/>
        </w:trPr>
        <w:tc>
          <w:tcPr>
            <w:tcW w:w="3510" w:type="dxa"/>
            <w:vAlign w:val="center"/>
          </w:tcPr>
          <w:p w:rsidR="00EE56C0" w:rsidRDefault="000F36A1">
            <w:pPr>
              <w:pStyle w:val="aff1"/>
              <w:rPr>
                <w:color w:val="auto"/>
              </w:rPr>
            </w:pPr>
            <w:r>
              <w:rPr>
                <w:rFonts w:hint="eastAsia"/>
                <w:color w:val="auto"/>
              </w:rPr>
              <w:t>企业清洁生产水平</w:t>
            </w:r>
          </w:p>
        </w:tc>
        <w:tc>
          <w:tcPr>
            <w:tcW w:w="5018" w:type="dxa"/>
            <w:vAlign w:val="center"/>
          </w:tcPr>
          <w:p w:rsidR="00EE56C0" w:rsidRDefault="000F36A1">
            <w:pPr>
              <w:pStyle w:val="aff1"/>
              <w:rPr>
                <w:color w:val="auto"/>
              </w:rPr>
            </w:pPr>
            <w:r>
              <w:rPr>
                <w:rFonts w:hint="eastAsia"/>
                <w:color w:val="auto"/>
              </w:rPr>
              <w:t>评定条件</w:t>
            </w:r>
          </w:p>
        </w:tc>
      </w:tr>
      <w:tr w:rsidR="00EE56C0">
        <w:trPr>
          <w:trHeight w:val="397"/>
        </w:trPr>
        <w:tc>
          <w:tcPr>
            <w:tcW w:w="3510" w:type="dxa"/>
            <w:vAlign w:val="center"/>
          </w:tcPr>
          <w:p w:rsidR="00EE56C0" w:rsidRDefault="000F36A1">
            <w:pPr>
              <w:pStyle w:val="afa"/>
            </w:pPr>
            <w:r>
              <w:rPr>
                <w:rFonts w:hint="eastAsia"/>
              </w:rPr>
              <w:t>Ⅰ级（国际清洁生产领先水平）</w:t>
            </w:r>
          </w:p>
        </w:tc>
        <w:tc>
          <w:tcPr>
            <w:tcW w:w="5018" w:type="dxa"/>
            <w:vAlign w:val="center"/>
          </w:tcPr>
          <w:p w:rsidR="00EE56C0" w:rsidRDefault="000F36A1">
            <w:pPr>
              <w:pStyle w:val="afa"/>
            </w:pPr>
            <w:r>
              <w:rPr>
                <w:rFonts w:hint="eastAsia"/>
              </w:rPr>
              <w:t>同时满足：</w:t>
            </w:r>
          </w:p>
          <w:p w:rsidR="00EE56C0" w:rsidRDefault="000F36A1">
            <w:pPr>
              <w:pStyle w:val="afa"/>
            </w:pPr>
            <w:r>
              <w:rPr>
                <w:rFonts w:hint="eastAsia"/>
              </w:rPr>
              <w:t>Y</w:t>
            </w:r>
            <w:r>
              <w:rPr>
                <w:rFonts w:hint="eastAsia"/>
                <w:vertAlign w:val="subscript"/>
              </w:rPr>
              <w:t>Ⅰ</w:t>
            </w:r>
            <w:r>
              <w:rPr>
                <w:rFonts w:hint="eastAsia"/>
              </w:rPr>
              <w:t>≥</w:t>
            </w:r>
            <w:r>
              <w:rPr>
                <w:rFonts w:hint="eastAsia"/>
              </w:rPr>
              <w:t>85</w:t>
            </w:r>
            <w:r>
              <w:rPr>
                <w:rFonts w:hint="eastAsia"/>
              </w:rPr>
              <w:t>；限定性指标全部满足Ⅰ级基准值要求</w:t>
            </w:r>
          </w:p>
        </w:tc>
      </w:tr>
      <w:tr w:rsidR="00EE56C0">
        <w:trPr>
          <w:trHeight w:val="397"/>
        </w:trPr>
        <w:tc>
          <w:tcPr>
            <w:tcW w:w="3510" w:type="dxa"/>
            <w:vAlign w:val="center"/>
          </w:tcPr>
          <w:p w:rsidR="00EE56C0" w:rsidRDefault="000F36A1">
            <w:pPr>
              <w:pStyle w:val="afa"/>
            </w:pPr>
            <w:r>
              <w:rPr>
                <w:rFonts w:hint="eastAsia"/>
              </w:rPr>
              <w:t>Ⅱ级（国内清洁生产先进水平）</w:t>
            </w:r>
          </w:p>
        </w:tc>
        <w:tc>
          <w:tcPr>
            <w:tcW w:w="5018" w:type="dxa"/>
            <w:vAlign w:val="center"/>
          </w:tcPr>
          <w:p w:rsidR="00EE56C0" w:rsidRDefault="000F36A1">
            <w:pPr>
              <w:pStyle w:val="afa"/>
            </w:pPr>
            <w:r>
              <w:rPr>
                <w:rFonts w:hint="eastAsia"/>
              </w:rPr>
              <w:t>同时满足：</w:t>
            </w:r>
          </w:p>
          <w:p w:rsidR="00EE56C0" w:rsidRDefault="000F36A1">
            <w:pPr>
              <w:pStyle w:val="afa"/>
            </w:pPr>
            <w:r>
              <w:rPr>
                <w:rFonts w:hint="eastAsia"/>
              </w:rPr>
              <w:t>Y</w:t>
            </w:r>
            <w:r>
              <w:rPr>
                <w:rFonts w:hint="eastAsia"/>
                <w:vertAlign w:val="subscript"/>
              </w:rPr>
              <w:t>Ⅱ</w:t>
            </w:r>
            <w:r>
              <w:rPr>
                <w:rFonts w:hint="eastAsia"/>
              </w:rPr>
              <w:t>≥</w:t>
            </w:r>
            <w:r>
              <w:rPr>
                <w:rFonts w:hint="eastAsia"/>
              </w:rPr>
              <w:t>85</w:t>
            </w:r>
            <w:r>
              <w:rPr>
                <w:rFonts w:hint="eastAsia"/>
              </w:rPr>
              <w:t>；限定性指标全部满足Ⅱ级基准值要求及以上</w:t>
            </w:r>
          </w:p>
        </w:tc>
      </w:tr>
      <w:tr w:rsidR="00EE56C0">
        <w:trPr>
          <w:trHeight w:val="397"/>
        </w:trPr>
        <w:tc>
          <w:tcPr>
            <w:tcW w:w="3510" w:type="dxa"/>
            <w:vAlign w:val="center"/>
          </w:tcPr>
          <w:p w:rsidR="00EE56C0" w:rsidRDefault="000F36A1">
            <w:pPr>
              <w:pStyle w:val="afa"/>
            </w:pPr>
            <w:r>
              <w:rPr>
                <w:rFonts w:hint="eastAsia"/>
              </w:rPr>
              <w:t>Ⅲ级（国内清洁生产基本水平）</w:t>
            </w:r>
          </w:p>
        </w:tc>
        <w:tc>
          <w:tcPr>
            <w:tcW w:w="5018" w:type="dxa"/>
            <w:vAlign w:val="center"/>
          </w:tcPr>
          <w:p w:rsidR="00EE56C0" w:rsidRDefault="000F36A1">
            <w:pPr>
              <w:pStyle w:val="afa"/>
            </w:pPr>
            <w:r>
              <w:rPr>
                <w:rFonts w:hint="eastAsia"/>
              </w:rPr>
              <w:t>满足：</w:t>
            </w:r>
            <w:r>
              <w:rPr>
                <w:rFonts w:hint="eastAsia"/>
              </w:rPr>
              <w:t>Y</w:t>
            </w:r>
            <w:r>
              <w:rPr>
                <w:rFonts w:hint="eastAsia"/>
                <w:vertAlign w:val="subscript"/>
              </w:rPr>
              <w:t>Ⅲ</w:t>
            </w:r>
            <w:r>
              <w:rPr>
                <w:rFonts w:hint="eastAsia"/>
              </w:rPr>
              <w:t>=100</w:t>
            </w:r>
          </w:p>
        </w:tc>
      </w:tr>
    </w:tbl>
    <w:p w:rsidR="00EE56C0" w:rsidRDefault="000F36A1">
      <w:pPr>
        <w:ind w:firstLine="480"/>
      </w:pPr>
      <w:r>
        <w:rPr>
          <w:rFonts w:hint="eastAsia"/>
        </w:rPr>
        <w:t>根据计算可以得出：</w:t>
      </w:r>
    </w:p>
    <w:p w:rsidR="00EE56C0" w:rsidRDefault="000F36A1">
      <w:pPr>
        <w:pStyle w:val="afd"/>
        <w:spacing w:before="120" w:after="120"/>
        <w:ind w:firstLine="482"/>
      </w:pPr>
      <w:r>
        <w:rPr>
          <w:rFonts w:hint="eastAsia"/>
        </w:rPr>
        <w:t>表</w:t>
      </w:r>
      <w:r>
        <w:rPr>
          <w:rFonts w:hint="eastAsia"/>
        </w:rPr>
        <w:t>3-7</w:t>
      </w:r>
      <w:r w:rsidR="00702FE4">
        <w:rPr>
          <w:rFonts w:hint="eastAsia"/>
        </w:rPr>
        <w:t>7</w:t>
      </w:r>
      <w:r>
        <w:rPr>
          <w:rFonts w:hint="eastAsia"/>
        </w:rPr>
        <w:t xml:space="preserve">             </w:t>
      </w:r>
      <w:r>
        <w:rPr>
          <w:rFonts w:hint="eastAsia"/>
        </w:rPr>
        <w:t>本项目清洁生产计算结果</w:t>
      </w:r>
    </w:p>
    <w:tbl>
      <w:tblPr>
        <w:tblW w:w="0" w:type="auto"/>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1809"/>
        <w:gridCol w:w="1418"/>
        <w:gridCol w:w="1276"/>
        <w:gridCol w:w="1275"/>
        <w:gridCol w:w="2750"/>
      </w:tblGrid>
      <w:tr w:rsidR="00EE56C0">
        <w:trPr>
          <w:trHeight w:val="397"/>
        </w:trPr>
        <w:tc>
          <w:tcPr>
            <w:tcW w:w="1809" w:type="dxa"/>
            <w:vAlign w:val="center"/>
          </w:tcPr>
          <w:p w:rsidR="00EE56C0" w:rsidRDefault="000F36A1">
            <w:pPr>
              <w:pStyle w:val="aff1"/>
              <w:rPr>
                <w:color w:val="auto"/>
              </w:rPr>
            </w:pPr>
            <w:r>
              <w:rPr>
                <w:rFonts w:hint="eastAsia"/>
                <w:color w:val="auto"/>
              </w:rPr>
              <w:t>分级</w:t>
            </w:r>
          </w:p>
        </w:tc>
        <w:tc>
          <w:tcPr>
            <w:tcW w:w="1418" w:type="dxa"/>
            <w:vAlign w:val="center"/>
          </w:tcPr>
          <w:p w:rsidR="00EE56C0" w:rsidRDefault="000F36A1">
            <w:pPr>
              <w:pStyle w:val="aff1"/>
              <w:rPr>
                <w:color w:val="auto"/>
              </w:rPr>
            </w:pPr>
            <w:r>
              <w:rPr>
                <w:rFonts w:hint="eastAsia"/>
                <w:color w:val="auto"/>
              </w:rPr>
              <w:t>Y</w:t>
            </w:r>
            <w:r>
              <w:rPr>
                <w:rFonts w:hint="eastAsia"/>
                <w:color w:val="auto"/>
                <w:vertAlign w:val="subscript"/>
              </w:rPr>
              <w:t>Ⅰ</w:t>
            </w:r>
          </w:p>
        </w:tc>
        <w:tc>
          <w:tcPr>
            <w:tcW w:w="1276" w:type="dxa"/>
            <w:vAlign w:val="center"/>
          </w:tcPr>
          <w:p w:rsidR="00EE56C0" w:rsidRDefault="000F36A1">
            <w:pPr>
              <w:pStyle w:val="aff1"/>
              <w:rPr>
                <w:color w:val="auto"/>
              </w:rPr>
            </w:pPr>
            <w:r>
              <w:rPr>
                <w:rFonts w:hint="eastAsia"/>
                <w:color w:val="auto"/>
              </w:rPr>
              <w:t>Y</w:t>
            </w:r>
            <w:r>
              <w:rPr>
                <w:rFonts w:hint="eastAsia"/>
                <w:color w:val="auto"/>
                <w:vertAlign w:val="subscript"/>
              </w:rPr>
              <w:t>Ⅱ</w:t>
            </w:r>
          </w:p>
        </w:tc>
        <w:tc>
          <w:tcPr>
            <w:tcW w:w="1275" w:type="dxa"/>
            <w:vAlign w:val="center"/>
          </w:tcPr>
          <w:p w:rsidR="00EE56C0" w:rsidRDefault="000F36A1">
            <w:pPr>
              <w:pStyle w:val="aff1"/>
              <w:rPr>
                <w:color w:val="auto"/>
              </w:rPr>
            </w:pPr>
            <w:r>
              <w:rPr>
                <w:rFonts w:hint="eastAsia"/>
                <w:color w:val="auto"/>
              </w:rPr>
              <w:t>Y</w:t>
            </w:r>
            <w:r>
              <w:rPr>
                <w:rFonts w:hint="eastAsia"/>
                <w:color w:val="auto"/>
                <w:vertAlign w:val="subscript"/>
              </w:rPr>
              <w:t>Ⅲ</w:t>
            </w:r>
          </w:p>
        </w:tc>
        <w:tc>
          <w:tcPr>
            <w:tcW w:w="2750" w:type="dxa"/>
            <w:vAlign w:val="center"/>
          </w:tcPr>
          <w:p w:rsidR="00EE56C0" w:rsidRDefault="000F36A1">
            <w:pPr>
              <w:pStyle w:val="aff1"/>
              <w:rPr>
                <w:color w:val="auto"/>
              </w:rPr>
            </w:pPr>
            <w:r>
              <w:rPr>
                <w:rFonts w:hint="eastAsia"/>
                <w:color w:val="auto"/>
              </w:rPr>
              <w:t>其他</w:t>
            </w:r>
          </w:p>
        </w:tc>
      </w:tr>
      <w:tr w:rsidR="00EE56C0">
        <w:trPr>
          <w:trHeight w:val="397"/>
        </w:trPr>
        <w:tc>
          <w:tcPr>
            <w:tcW w:w="1809" w:type="dxa"/>
            <w:vAlign w:val="center"/>
          </w:tcPr>
          <w:p w:rsidR="00EE56C0" w:rsidRPr="005338D5" w:rsidRDefault="000F36A1">
            <w:pPr>
              <w:pStyle w:val="afa"/>
              <w:rPr>
                <w:b/>
                <w:u w:val="single"/>
              </w:rPr>
            </w:pPr>
            <w:r w:rsidRPr="005338D5">
              <w:rPr>
                <w:rFonts w:hint="eastAsia"/>
                <w:b/>
                <w:u w:val="single"/>
              </w:rPr>
              <w:t>综合</w:t>
            </w:r>
          </w:p>
        </w:tc>
        <w:tc>
          <w:tcPr>
            <w:tcW w:w="1418" w:type="dxa"/>
            <w:vAlign w:val="center"/>
          </w:tcPr>
          <w:p w:rsidR="00EE56C0" w:rsidRPr="005338D5" w:rsidRDefault="000F36A1" w:rsidP="005338D5">
            <w:pPr>
              <w:pStyle w:val="afa"/>
              <w:rPr>
                <w:b/>
                <w:u w:val="single"/>
              </w:rPr>
            </w:pPr>
            <w:r w:rsidRPr="005338D5">
              <w:rPr>
                <w:rFonts w:hint="eastAsia"/>
                <w:b/>
                <w:u w:val="single"/>
              </w:rPr>
              <w:t>8</w:t>
            </w:r>
            <w:r w:rsidR="005338D5" w:rsidRPr="005338D5">
              <w:rPr>
                <w:rFonts w:hint="eastAsia"/>
                <w:b/>
                <w:u w:val="single"/>
              </w:rPr>
              <w:t>6</w:t>
            </w:r>
          </w:p>
        </w:tc>
        <w:tc>
          <w:tcPr>
            <w:tcW w:w="1276" w:type="dxa"/>
            <w:vAlign w:val="center"/>
          </w:tcPr>
          <w:p w:rsidR="00EE56C0" w:rsidRPr="005338D5" w:rsidRDefault="005338D5">
            <w:pPr>
              <w:pStyle w:val="afa"/>
              <w:rPr>
                <w:b/>
                <w:u w:val="single"/>
              </w:rPr>
            </w:pPr>
            <w:r w:rsidRPr="005338D5">
              <w:rPr>
                <w:rFonts w:hint="eastAsia"/>
                <w:b/>
                <w:u w:val="single"/>
              </w:rPr>
              <w:t>100</w:t>
            </w:r>
          </w:p>
        </w:tc>
        <w:tc>
          <w:tcPr>
            <w:tcW w:w="1275" w:type="dxa"/>
            <w:vAlign w:val="center"/>
          </w:tcPr>
          <w:p w:rsidR="00EE56C0" w:rsidRPr="005338D5" w:rsidRDefault="000F36A1">
            <w:pPr>
              <w:pStyle w:val="afa"/>
              <w:rPr>
                <w:b/>
                <w:u w:val="single"/>
              </w:rPr>
            </w:pPr>
            <w:r w:rsidRPr="005338D5">
              <w:rPr>
                <w:rFonts w:hint="eastAsia"/>
                <w:b/>
                <w:u w:val="single"/>
              </w:rPr>
              <w:t>100</w:t>
            </w:r>
          </w:p>
        </w:tc>
        <w:tc>
          <w:tcPr>
            <w:tcW w:w="2750" w:type="dxa"/>
            <w:vAlign w:val="center"/>
          </w:tcPr>
          <w:p w:rsidR="00EE56C0" w:rsidRPr="005338D5" w:rsidRDefault="000F36A1">
            <w:pPr>
              <w:pStyle w:val="afa"/>
              <w:rPr>
                <w:b/>
                <w:u w:val="single"/>
              </w:rPr>
            </w:pPr>
            <w:r w:rsidRPr="005338D5">
              <w:rPr>
                <w:rFonts w:hint="eastAsia"/>
                <w:b/>
                <w:u w:val="single"/>
              </w:rPr>
              <w:t>限定性指标</w:t>
            </w:r>
            <w:r w:rsidR="00D56FFA" w:rsidRPr="005338D5">
              <w:rPr>
                <w:rFonts w:hint="eastAsia"/>
                <w:b/>
                <w:u w:val="single"/>
              </w:rPr>
              <w:t>全</w:t>
            </w:r>
            <w:r w:rsidRPr="005338D5">
              <w:rPr>
                <w:rFonts w:hint="eastAsia"/>
                <w:b/>
                <w:u w:val="single"/>
              </w:rPr>
              <w:t>部满足</w:t>
            </w:r>
            <w:r w:rsidR="005338D5" w:rsidRPr="005338D5">
              <w:rPr>
                <w:rFonts w:hint="eastAsia"/>
                <w:b/>
                <w:u w:val="single"/>
              </w:rPr>
              <w:t>Ⅰ</w:t>
            </w:r>
            <w:r w:rsidRPr="005338D5">
              <w:rPr>
                <w:rFonts w:hint="eastAsia"/>
                <w:b/>
                <w:u w:val="single"/>
              </w:rPr>
              <w:t>级基准值要求及以上</w:t>
            </w:r>
          </w:p>
        </w:tc>
      </w:tr>
    </w:tbl>
    <w:p w:rsidR="00EE56C0" w:rsidRPr="005338D5" w:rsidRDefault="000F36A1" w:rsidP="005338D5">
      <w:pPr>
        <w:ind w:firstLine="482"/>
        <w:rPr>
          <w:b/>
          <w:u w:val="single"/>
        </w:rPr>
      </w:pPr>
      <w:r w:rsidRPr="005338D5">
        <w:rPr>
          <w:rFonts w:hint="eastAsia"/>
          <w:b/>
          <w:u w:val="single"/>
        </w:rPr>
        <w:t>由表</w:t>
      </w:r>
      <w:r w:rsidRPr="005338D5">
        <w:rPr>
          <w:rFonts w:hint="eastAsia"/>
          <w:b/>
          <w:u w:val="single"/>
        </w:rPr>
        <w:t>3-36</w:t>
      </w:r>
      <w:r w:rsidRPr="005338D5">
        <w:rPr>
          <w:rFonts w:hint="eastAsia"/>
          <w:b/>
          <w:u w:val="single"/>
        </w:rPr>
        <w:t>可知，本项目</w:t>
      </w:r>
      <w:r w:rsidRPr="005338D5">
        <w:rPr>
          <w:b/>
          <w:u w:val="single"/>
        </w:rPr>
        <w:t>Y</w:t>
      </w:r>
      <w:r w:rsidRPr="005338D5">
        <w:rPr>
          <w:rFonts w:hint="eastAsia"/>
          <w:b/>
          <w:u w:val="single"/>
          <w:vertAlign w:val="subscript"/>
        </w:rPr>
        <w:t>Ⅰ</w:t>
      </w:r>
      <w:r w:rsidRPr="005338D5">
        <w:rPr>
          <w:b/>
          <w:u w:val="single"/>
        </w:rPr>
        <w:t>=</w:t>
      </w:r>
      <w:r w:rsidR="005338D5" w:rsidRPr="005338D5">
        <w:rPr>
          <w:rFonts w:hint="eastAsia"/>
          <w:b/>
          <w:u w:val="single"/>
        </w:rPr>
        <w:t>86</w:t>
      </w:r>
      <w:r w:rsidR="005338D5" w:rsidRPr="005338D5">
        <w:rPr>
          <w:rFonts w:hint="eastAsia"/>
          <w:b/>
          <w:u w:val="single"/>
        </w:rPr>
        <w:t>＞</w:t>
      </w:r>
      <w:r w:rsidRPr="005338D5">
        <w:rPr>
          <w:rFonts w:hint="eastAsia"/>
          <w:b/>
          <w:u w:val="single"/>
        </w:rPr>
        <w:t>85</w:t>
      </w:r>
      <w:r w:rsidR="005338D5" w:rsidRPr="005338D5">
        <w:rPr>
          <w:rFonts w:hint="eastAsia"/>
          <w:b/>
          <w:u w:val="single"/>
        </w:rPr>
        <w:t>，</w:t>
      </w:r>
      <w:r w:rsidR="005338D5" w:rsidRPr="005338D5">
        <w:rPr>
          <w:rFonts w:hint="eastAsia"/>
          <w:b/>
          <w:u w:val="single"/>
        </w:rPr>
        <w:t>Y</w:t>
      </w:r>
      <w:r w:rsidR="005338D5" w:rsidRPr="005338D5">
        <w:rPr>
          <w:rFonts w:hint="eastAsia"/>
          <w:b/>
          <w:u w:val="single"/>
          <w:vertAlign w:val="subscript"/>
        </w:rPr>
        <w:t>Ⅱ</w:t>
      </w:r>
      <w:r w:rsidR="005338D5" w:rsidRPr="005338D5">
        <w:rPr>
          <w:b/>
          <w:u w:val="single"/>
        </w:rPr>
        <w:t>=</w:t>
      </w:r>
      <w:r w:rsidR="005338D5" w:rsidRPr="005338D5">
        <w:rPr>
          <w:rFonts w:hint="eastAsia"/>
          <w:b/>
          <w:u w:val="single"/>
        </w:rPr>
        <w:t>100</w:t>
      </w:r>
      <w:r w:rsidR="005338D5" w:rsidRPr="005338D5">
        <w:rPr>
          <w:rFonts w:hint="eastAsia"/>
          <w:b/>
          <w:u w:val="single"/>
        </w:rPr>
        <w:t>，限定性指标全部满足Ⅰ级基准值要求（国际清洁生产领先水平）</w:t>
      </w:r>
      <w:r w:rsidRPr="005338D5">
        <w:rPr>
          <w:rFonts w:hint="eastAsia"/>
          <w:b/>
          <w:u w:val="single"/>
        </w:rPr>
        <w:t>。因此，本项目属于</w:t>
      </w:r>
      <w:r w:rsidR="005338D5" w:rsidRPr="005338D5">
        <w:rPr>
          <w:rFonts w:hint="eastAsia"/>
          <w:b/>
          <w:u w:val="single"/>
        </w:rPr>
        <w:t>Ⅰ</w:t>
      </w:r>
      <w:r w:rsidRPr="005338D5">
        <w:rPr>
          <w:rFonts w:hint="eastAsia"/>
          <w:b/>
          <w:u w:val="single"/>
        </w:rPr>
        <w:t>级，即国</w:t>
      </w:r>
      <w:r w:rsidR="005338D5" w:rsidRPr="005338D5">
        <w:rPr>
          <w:rFonts w:hint="eastAsia"/>
          <w:b/>
          <w:u w:val="single"/>
        </w:rPr>
        <w:t>际</w:t>
      </w:r>
      <w:r w:rsidRPr="005338D5">
        <w:rPr>
          <w:rFonts w:hint="eastAsia"/>
          <w:b/>
          <w:u w:val="single"/>
        </w:rPr>
        <w:t>清洁生</w:t>
      </w:r>
      <w:r w:rsidRPr="005338D5">
        <w:rPr>
          <w:rFonts w:hint="eastAsia"/>
          <w:b/>
          <w:u w:val="single"/>
        </w:rPr>
        <w:lastRenderedPageBreak/>
        <w:t>产</w:t>
      </w:r>
      <w:r w:rsidR="005338D5" w:rsidRPr="005338D5">
        <w:rPr>
          <w:rFonts w:hint="eastAsia"/>
          <w:b/>
          <w:u w:val="single"/>
        </w:rPr>
        <w:t>领先</w:t>
      </w:r>
      <w:r w:rsidRPr="005338D5">
        <w:rPr>
          <w:rFonts w:hint="eastAsia"/>
          <w:b/>
          <w:u w:val="single"/>
        </w:rPr>
        <w:t>水平。</w:t>
      </w:r>
    </w:p>
    <w:p w:rsidR="00EE56C0" w:rsidRDefault="000F36A1">
      <w:pPr>
        <w:pStyle w:val="3"/>
        <w:spacing w:before="240" w:after="120"/>
      </w:pPr>
      <w:bookmarkStart w:id="210" w:name="_Toc283581211"/>
      <w:bookmarkStart w:id="211" w:name="_Toc256177445"/>
      <w:bookmarkStart w:id="212" w:name="_Toc247457097"/>
      <w:r>
        <w:rPr>
          <w:rFonts w:hint="eastAsia"/>
        </w:rPr>
        <w:t>3.10.3</w:t>
      </w:r>
      <w:r>
        <w:rPr>
          <w:rFonts w:hint="eastAsia"/>
        </w:rPr>
        <w:t>清洁生产管理</w:t>
      </w:r>
    </w:p>
    <w:p w:rsidR="00EE56C0" w:rsidRDefault="000F36A1">
      <w:pPr>
        <w:ind w:firstLine="480"/>
      </w:pPr>
      <w:r>
        <w:t>清洁生产是提高企业管理水平和控制环境污染的有效手段。不仅可以减少原材料的浪费，降低废弃物的产生，而且在降低生产成本和提高产品质量的同时，又可减少污染物的排放和减少对环境危害程度。因此，项目投入运行后，企业要建立清洁生产组织，落实专人负责企业的清洁生产。清洁生产组织的具体职责如下：</w:t>
      </w:r>
    </w:p>
    <w:p w:rsidR="00EE56C0" w:rsidRDefault="000F36A1">
      <w:pPr>
        <w:ind w:firstLine="480"/>
      </w:pPr>
      <w:r>
        <w:t>（</w:t>
      </w:r>
      <w:r>
        <w:t>1</w:t>
      </w:r>
      <w:r>
        <w:t>）</w:t>
      </w:r>
      <w:r>
        <w:rPr>
          <w:rFonts w:hint="eastAsia"/>
        </w:rPr>
        <w:t>制定有利于清洁生产的管理条例及岗位操作规程；</w:t>
      </w:r>
    </w:p>
    <w:p w:rsidR="00EE56C0" w:rsidRDefault="000F36A1">
      <w:pPr>
        <w:ind w:firstLine="480"/>
      </w:pPr>
      <w:r>
        <w:t>（</w:t>
      </w:r>
      <w:r>
        <w:t>2</w:t>
      </w:r>
      <w:r>
        <w:t>）</w:t>
      </w:r>
      <w:r>
        <w:rPr>
          <w:rFonts w:hint="eastAsia"/>
        </w:rPr>
        <w:t>制定专门的管理制度及可持续清洁生产计划，推行</w:t>
      </w:r>
      <w:r>
        <w:t>ISO14001</w:t>
      </w:r>
      <w:r>
        <w:rPr>
          <w:rFonts w:hint="eastAsia"/>
        </w:rPr>
        <w:t>环境管理体系；</w:t>
      </w:r>
    </w:p>
    <w:p w:rsidR="00EE56C0" w:rsidRDefault="000F36A1">
      <w:pPr>
        <w:ind w:firstLine="480"/>
      </w:pPr>
      <w:r>
        <w:t>（</w:t>
      </w:r>
      <w:r>
        <w:t>3</w:t>
      </w:r>
      <w:r>
        <w:t>）制定企业的清洁生产方案，对企业职工进行清洁生产知识教育和培训</w:t>
      </w:r>
      <w:r>
        <w:rPr>
          <w:rFonts w:hint="eastAsia"/>
        </w:rPr>
        <w:t>；</w:t>
      </w:r>
    </w:p>
    <w:p w:rsidR="00EE56C0" w:rsidRDefault="000F36A1">
      <w:pPr>
        <w:ind w:firstLine="480"/>
      </w:pPr>
      <w:r>
        <w:t>（</w:t>
      </w:r>
      <w:r>
        <w:t>4</w:t>
      </w:r>
      <w:r>
        <w:t>）定期对生产过程进行清洁生产审核，编制清洁生产审核报告</w:t>
      </w:r>
      <w:r>
        <w:rPr>
          <w:rFonts w:hint="eastAsia"/>
        </w:rPr>
        <w:t>；</w:t>
      </w:r>
    </w:p>
    <w:p w:rsidR="00EE56C0" w:rsidRDefault="000F36A1">
      <w:pPr>
        <w:ind w:firstLine="480"/>
      </w:pPr>
      <w:r>
        <w:t>（</w:t>
      </w:r>
      <w:r>
        <w:t>5</w:t>
      </w:r>
      <w:r>
        <w:t>）制定持续清洁生产计划</w:t>
      </w:r>
      <w:r>
        <w:rPr>
          <w:rFonts w:hint="eastAsia"/>
        </w:rPr>
        <w:t>；</w:t>
      </w:r>
    </w:p>
    <w:p w:rsidR="00EE56C0" w:rsidRDefault="000F36A1">
      <w:pPr>
        <w:ind w:firstLine="480"/>
      </w:pPr>
      <w:r>
        <w:t>（</w:t>
      </w:r>
      <w:r>
        <w:t>6</w:t>
      </w:r>
      <w:r>
        <w:t>）建立清洁生产激励机制，使员工在积极参与清洁生产过程中，不仅使企业经济效益增加，同时也使员工获得直接经济利益，以激励清洁生产工作持续、有效开展</w:t>
      </w:r>
      <w:r>
        <w:rPr>
          <w:rFonts w:hint="eastAsia"/>
        </w:rPr>
        <w:t>。</w:t>
      </w:r>
    </w:p>
    <w:p w:rsidR="00EE56C0" w:rsidRDefault="000F36A1">
      <w:pPr>
        <w:pStyle w:val="3"/>
        <w:spacing w:before="240" w:after="120"/>
      </w:pPr>
      <w:bookmarkStart w:id="213" w:name="_Toc292384083"/>
      <w:bookmarkStart w:id="214" w:name="_Toc292267855"/>
      <w:bookmarkStart w:id="215" w:name="_Toc256177446"/>
      <w:bookmarkStart w:id="216" w:name="_Toc247457101"/>
      <w:bookmarkEnd w:id="210"/>
      <w:bookmarkEnd w:id="211"/>
      <w:bookmarkEnd w:id="212"/>
      <w:r>
        <w:rPr>
          <w:rFonts w:hint="eastAsia"/>
        </w:rPr>
        <w:t>3.10.4</w:t>
      </w:r>
      <w:r>
        <w:rPr>
          <w:rFonts w:hint="eastAsia"/>
        </w:rPr>
        <w:t>清洁生产分析</w:t>
      </w:r>
      <w:bookmarkEnd w:id="213"/>
      <w:bookmarkEnd w:id="214"/>
      <w:r>
        <w:rPr>
          <w:rFonts w:hint="eastAsia"/>
        </w:rPr>
        <w:t>小结</w:t>
      </w:r>
    </w:p>
    <w:p w:rsidR="00EE56C0" w:rsidRDefault="000F36A1">
      <w:pPr>
        <w:ind w:firstLine="480"/>
      </w:pPr>
      <w:r>
        <w:t>通过以上清洁生产分析，</w:t>
      </w:r>
      <w:bookmarkEnd w:id="215"/>
      <w:bookmarkEnd w:id="216"/>
      <w:r>
        <w:rPr>
          <w:rFonts w:hint="eastAsia"/>
        </w:rPr>
        <w:t>评价认为</w:t>
      </w:r>
      <w:r>
        <w:t>本项目符合国家产业政策，生产工艺装备先进，物耗和能耗低，在采取全过程治理及综合利用并加强生产管理后，符合清洁生产的要求，</w:t>
      </w:r>
      <w:r w:rsidRPr="005338D5">
        <w:rPr>
          <w:b/>
          <w:u w:val="single"/>
        </w:rPr>
        <w:t>达到</w:t>
      </w:r>
      <w:r w:rsidR="005338D5" w:rsidRPr="005338D5">
        <w:rPr>
          <w:rFonts w:hint="eastAsia"/>
          <w:b/>
          <w:u w:val="single"/>
        </w:rPr>
        <w:t>国际</w:t>
      </w:r>
      <w:r w:rsidRPr="005338D5">
        <w:rPr>
          <w:rFonts w:hint="eastAsia"/>
          <w:b/>
          <w:u w:val="single"/>
        </w:rPr>
        <w:t>清洁生产</w:t>
      </w:r>
      <w:r w:rsidR="005338D5" w:rsidRPr="005338D5">
        <w:rPr>
          <w:rFonts w:hint="eastAsia"/>
          <w:b/>
          <w:u w:val="single"/>
        </w:rPr>
        <w:t>领先</w:t>
      </w:r>
      <w:r w:rsidRPr="005338D5">
        <w:rPr>
          <w:rFonts w:hint="eastAsia"/>
          <w:b/>
          <w:u w:val="single"/>
        </w:rPr>
        <w:t>水平</w:t>
      </w:r>
      <w:r w:rsidRPr="005338D5">
        <w:rPr>
          <w:b/>
          <w:u w:val="single"/>
        </w:rPr>
        <w:t>。</w:t>
      </w:r>
    </w:p>
    <w:p w:rsidR="00EE56C0" w:rsidRDefault="000F36A1">
      <w:pPr>
        <w:pStyle w:val="3"/>
        <w:spacing w:before="240" w:after="120"/>
      </w:pPr>
      <w:r>
        <w:rPr>
          <w:rFonts w:hint="eastAsia"/>
        </w:rPr>
        <w:t>3.10.5</w:t>
      </w:r>
      <w:r>
        <w:rPr>
          <w:rFonts w:hint="eastAsia"/>
        </w:rPr>
        <w:t>持续清洁生产</w:t>
      </w:r>
    </w:p>
    <w:p w:rsidR="00EE56C0" w:rsidRDefault="000F36A1">
      <w:pPr>
        <w:pStyle w:val="4"/>
        <w:ind w:left="120" w:firstLine="241"/>
      </w:pPr>
      <w:bookmarkStart w:id="217" w:name="_Toc428287593"/>
      <w:bookmarkStart w:id="218" w:name="_Toc428286880"/>
      <w:bookmarkStart w:id="219" w:name="_Toc428287241"/>
      <w:r>
        <w:rPr>
          <w:rFonts w:hint="eastAsia"/>
        </w:rPr>
        <w:t>3.10.5.1</w:t>
      </w:r>
      <w:r>
        <w:rPr>
          <w:rFonts w:hint="eastAsia"/>
        </w:rPr>
        <w:t>建立和完善清洁生产组织</w:t>
      </w:r>
      <w:bookmarkEnd w:id="217"/>
      <w:bookmarkEnd w:id="218"/>
      <w:bookmarkEnd w:id="219"/>
    </w:p>
    <w:p w:rsidR="00EE56C0" w:rsidRDefault="000F36A1">
      <w:pPr>
        <w:ind w:firstLine="480"/>
      </w:pPr>
      <w:r>
        <w:rPr>
          <w:rFonts w:hint="eastAsia"/>
        </w:rPr>
        <w:t>清洁生产是一个动态的、相对的概念，是一个连续的过程，因而需有一个固定的机构和工作人员来组织协调这方面的工作，以巩固已取得的清洁生产成果，并使企业清洁生产工作持续地开展下去。</w:t>
      </w:r>
    </w:p>
    <w:p w:rsidR="00EE56C0" w:rsidRDefault="000F36A1">
      <w:pPr>
        <w:ind w:firstLine="480"/>
      </w:pPr>
      <w:r>
        <w:rPr>
          <w:rFonts w:hint="eastAsia"/>
        </w:rPr>
        <w:lastRenderedPageBreak/>
        <w:t>一、成立清洁生产组织</w:t>
      </w:r>
    </w:p>
    <w:p w:rsidR="00EE56C0" w:rsidRDefault="000F36A1">
      <w:pPr>
        <w:ind w:firstLine="480"/>
      </w:pPr>
      <w:r>
        <w:rPr>
          <w:rFonts w:hint="eastAsia"/>
        </w:rPr>
        <w:t>评价建议该企业单独设立清洁生产办公室，直接归属厂长领导，实行专人负责制，配备人员须具备以下能力：熟练掌握清洁生产知识，熟悉企业环保情况，了解企业生产工艺和国内最先进技术动态和发展方向，具有较强的工作协调能力、有较好的工作责任心和敬业精神。</w:t>
      </w:r>
    </w:p>
    <w:p w:rsidR="00EE56C0" w:rsidRDefault="000F36A1">
      <w:pPr>
        <w:ind w:firstLine="480"/>
      </w:pPr>
      <w:r>
        <w:rPr>
          <w:rFonts w:hint="eastAsia"/>
        </w:rPr>
        <w:t>二、清洁生产组织的任务</w:t>
      </w:r>
    </w:p>
    <w:p w:rsidR="00EE56C0" w:rsidRDefault="000F36A1">
      <w:pPr>
        <w:ind w:firstLine="480"/>
      </w:pPr>
      <w:r>
        <w:rPr>
          <w:rFonts w:ascii="宋体" w:hAnsi="宋体" w:cs="宋体" w:hint="eastAsia"/>
        </w:rPr>
        <w:t>①</w:t>
      </w:r>
      <w:r>
        <w:rPr>
          <w:rFonts w:hint="eastAsia"/>
        </w:rPr>
        <w:t>组织协调并监督管理各项清洁生产方案的实施；</w:t>
      </w:r>
      <w:r>
        <w:rPr>
          <w:rFonts w:ascii="宋体" w:hAnsi="宋体" w:cs="宋体" w:hint="eastAsia"/>
        </w:rPr>
        <w:t>②</w:t>
      </w:r>
      <w:r>
        <w:rPr>
          <w:rFonts w:hint="eastAsia"/>
        </w:rPr>
        <w:t>定期组织对企业职工的清洁生产教育和培训；</w:t>
      </w:r>
      <w:r>
        <w:rPr>
          <w:rFonts w:ascii="宋体" w:hAnsi="宋体" w:cs="宋体" w:hint="eastAsia"/>
        </w:rPr>
        <w:t>③</w:t>
      </w:r>
      <w:r>
        <w:rPr>
          <w:rFonts w:hint="eastAsia"/>
        </w:rPr>
        <w:t>制定清洁生产相关制度及激励机制；</w:t>
      </w:r>
      <w:r>
        <w:rPr>
          <w:rFonts w:ascii="宋体" w:hAnsi="宋体" w:cs="宋体" w:hint="eastAsia"/>
        </w:rPr>
        <w:t>④</w:t>
      </w:r>
      <w:r>
        <w:rPr>
          <w:rFonts w:hint="eastAsia"/>
        </w:rPr>
        <w:t>收集并宣传相关清洁生产信息，为下一轮清洁生产做好准备；</w:t>
      </w:r>
      <w:r>
        <w:rPr>
          <w:rFonts w:ascii="宋体" w:hAnsi="宋体" w:cs="宋体" w:hint="eastAsia"/>
        </w:rPr>
        <w:t>⑤</w:t>
      </w:r>
      <w:r>
        <w:rPr>
          <w:rFonts w:hint="eastAsia"/>
        </w:rPr>
        <w:t>负责清洁生产活动的日常管理。</w:t>
      </w:r>
    </w:p>
    <w:p w:rsidR="00EE56C0" w:rsidRDefault="000F36A1">
      <w:pPr>
        <w:ind w:firstLine="480"/>
      </w:pPr>
      <w:r>
        <w:rPr>
          <w:rFonts w:hint="eastAsia"/>
        </w:rPr>
        <w:t>三、建立和完善清洁生产管理制度</w:t>
      </w:r>
    </w:p>
    <w:p w:rsidR="00EE56C0" w:rsidRDefault="000F36A1">
      <w:pPr>
        <w:ind w:firstLine="480"/>
      </w:pPr>
      <w:r>
        <w:rPr>
          <w:rFonts w:hint="eastAsia"/>
        </w:rPr>
        <w:t>主要是把清洁生产方案纳入企业的日常管理轨道，建立资金管理制度以保证稳定的清洁生产资金来源，建立激励机制提高企业员工的自主清洁生产意识。</w:t>
      </w:r>
    </w:p>
    <w:p w:rsidR="00EE56C0" w:rsidRDefault="000F36A1">
      <w:pPr>
        <w:ind w:firstLine="480"/>
      </w:pPr>
      <w:r>
        <w:rPr>
          <w:rFonts w:hint="eastAsia"/>
        </w:rPr>
        <w:t>四、把清洁生产纳入企业的日常管理</w:t>
      </w:r>
    </w:p>
    <w:p w:rsidR="00EE56C0" w:rsidRDefault="000F36A1">
      <w:pPr>
        <w:ind w:firstLine="480"/>
      </w:pPr>
      <w:r>
        <w:rPr>
          <w:rFonts w:hint="eastAsia"/>
        </w:rPr>
        <w:t>把清洁生产的成果及时纳入企业的日常管理轨道，是巩固清洁生产成效的重要手段，特别是把清洁生产分析产生的一些无、低费方案及时纳入企业的日常管理轨道。</w:t>
      </w:r>
    </w:p>
    <w:p w:rsidR="00EE56C0" w:rsidRDefault="000F36A1">
      <w:pPr>
        <w:ind w:firstLine="480"/>
      </w:pPr>
      <w:r>
        <w:rPr>
          <w:rFonts w:hint="eastAsia"/>
        </w:rPr>
        <w:t>（</w:t>
      </w:r>
      <w:r>
        <w:t>1</w:t>
      </w:r>
      <w:r>
        <w:rPr>
          <w:rFonts w:hint="eastAsia"/>
        </w:rPr>
        <w:t>）加强管理措施，形成清洁生产分析制度；</w:t>
      </w:r>
    </w:p>
    <w:p w:rsidR="00EE56C0" w:rsidRDefault="000F36A1">
      <w:pPr>
        <w:ind w:firstLine="480"/>
      </w:pPr>
      <w:r>
        <w:rPr>
          <w:rFonts w:hint="eastAsia"/>
        </w:rPr>
        <w:t>（</w:t>
      </w:r>
      <w:r>
        <w:t>2</w:t>
      </w:r>
      <w:r>
        <w:rPr>
          <w:rFonts w:hint="eastAsia"/>
        </w:rPr>
        <w:t>）把清洁生产分析提出的岗位操作改进措施写进岗位的操作规程，并要求严格遵照执行；</w:t>
      </w:r>
    </w:p>
    <w:p w:rsidR="00EE56C0" w:rsidRDefault="000F36A1">
      <w:pPr>
        <w:ind w:firstLine="480"/>
      </w:pPr>
      <w:r>
        <w:rPr>
          <w:rFonts w:hint="eastAsia"/>
        </w:rPr>
        <w:t>（</w:t>
      </w:r>
      <w:r>
        <w:t>3</w:t>
      </w:r>
      <w:r>
        <w:rPr>
          <w:rFonts w:hint="eastAsia"/>
        </w:rPr>
        <w:t>）把清洁生产分析提出的工艺过程控制的改进措施写入企业技术规范。</w:t>
      </w:r>
    </w:p>
    <w:p w:rsidR="00EE56C0" w:rsidRDefault="000F36A1">
      <w:pPr>
        <w:ind w:firstLine="480"/>
      </w:pPr>
      <w:r>
        <w:rPr>
          <w:rFonts w:hint="eastAsia"/>
        </w:rPr>
        <w:t>五、保证稳定的清洁生产资金来源</w:t>
      </w:r>
    </w:p>
    <w:p w:rsidR="00EE56C0" w:rsidRDefault="000F36A1">
      <w:pPr>
        <w:ind w:firstLine="480"/>
      </w:pPr>
      <w:r>
        <w:rPr>
          <w:rFonts w:hint="eastAsia"/>
        </w:rPr>
        <w:t>清洁生产的资金来源可以有多种渠道，但是清洁生产管理制度的一项重要作用是保证实施清洁生产所产生的经济效益，全部或部分地用于清洁生产，持续滚动地推进清洁生产，建议企业对清洁生产的投资和效益单独建帐。</w:t>
      </w:r>
    </w:p>
    <w:p w:rsidR="00EE56C0" w:rsidRDefault="000F36A1">
      <w:pPr>
        <w:ind w:firstLine="480"/>
      </w:pPr>
      <w:r>
        <w:rPr>
          <w:rFonts w:hint="eastAsia"/>
        </w:rPr>
        <w:t>六、建立和完善清洁生产奖惩机制</w:t>
      </w:r>
    </w:p>
    <w:p w:rsidR="00EE56C0" w:rsidRDefault="000F36A1">
      <w:pPr>
        <w:ind w:firstLine="480"/>
      </w:pPr>
      <w:r>
        <w:rPr>
          <w:rFonts w:hint="eastAsia"/>
        </w:rPr>
        <w:t>在企业奖惩方面与清洁生产挂钩，建立清洁生产奖惩激励机制，以调动全体</w:t>
      </w:r>
      <w:r>
        <w:rPr>
          <w:rFonts w:hint="eastAsia"/>
        </w:rPr>
        <w:lastRenderedPageBreak/>
        <w:t>职工参与清洁生产的积极性，将清洁生产变为职工的自觉行为。</w:t>
      </w:r>
    </w:p>
    <w:p w:rsidR="00EE56C0" w:rsidRDefault="000F36A1">
      <w:pPr>
        <w:pStyle w:val="4"/>
        <w:ind w:left="120" w:firstLine="241"/>
      </w:pPr>
      <w:bookmarkStart w:id="220" w:name="_Toc428287242"/>
      <w:bookmarkStart w:id="221" w:name="_Toc428287594"/>
      <w:bookmarkStart w:id="222" w:name="_Toc428286881"/>
      <w:r>
        <w:rPr>
          <w:rFonts w:hint="eastAsia"/>
        </w:rPr>
        <w:t>3.10.5.2</w:t>
      </w:r>
      <w:r>
        <w:rPr>
          <w:rFonts w:hint="eastAsia"/>
        </w:rPr>
        <w:t>搞好职工培训工作</w:t>
      </w:r>
      <w:bookmarkEnd w:id="220"/>
      <w:bookmarkEnd w:id="221"/>
      <w:bookmarkEnd w:id="222"/>
    </w:p>
    <w:p w:rsidR="00EE56C0" w:rsidRDefault="000F36A1">
      <w:pPr>
        <w:ind w:firstLine="480"/>
      </w:pPr>
      <w:r>
        <w:rPr>
          <w:rFonts w:hint="eastAsia"/>
        </w:rPr>
        <w:t>清洁生产措施能否顺利落实，清洁生产目标能否达到与企业每个职工的素质有很大关系，评价建议企业应对职工加强关于清洁生产方面的培训工作，不仅对操作工人进行培训，也要对各层干部、工程技术人员、车间班主任培训，并把实现清洁生产目标具体分配到每一个人，每一个环节都有专人负责，以利于清洁生产目标的实现，针对培训内容，制订出合理的培训计划。</w:t>
      </w:r>
    </w:p>
    <w:p w:rsidR="00EE56C0" w:rsidRDefault="000F36A1">
      <w:pPr>
        <w:pStyle w:val="4"/>
        <w:ind w:left="120" w:firstLine="241"/>
      </w:pPr>
      <w:bookmarkStart w:id="223" w:name="_Toc428287595"/>
      <w:bookmarkStart w:id="224" w:name="_Toc428287243"/>
      <w:bookmarkStart w:id="225" w:name="_Toc428286882"/>
      <w:r>
        <w:rPr>
          <w:rFonts w:hint="eastAsia"/>
        </w:rPr>
        <w:t>3.10.5.3</w:t>
      </w:r>
      <w:r>
        <w:rPr>
          <w:rFonts w:hint="eastAsia"/>
        </w:rPr>
        <w:t>制定持续清洁生产计划</w:t>
      </w:r>
      <w:bookmarkEnd w:id="223"/>
      <w:bookmarkEnd w:id="224"/>
      <w:bookmarkEnd w:id="225"/>
    </w:p>
    <w:p w:rsidR="00EE56C0" w:rsidRDefault="000F36A1">
      <w:pPr>
        <w:ind w:firstLine="480"/>
      </w:pPr>
      <w:r>
        <w:rPr>
          <w:rFonts w:hint="eastAsia"/>
        </w:rPr>
        <w:t>清洁生产是长期、动态的发展过程，因此应考虑企业的发展情况，制定长期的清洁生产方案。根据本项目具体情况，评价建议企业执行如下清洁生产计划：</w:t>
      </w:r>
    </w:p>
    <w:p w:rsidR="00EE56C0" w:rsidRDefault="000F36A1">
      <w:pPr>
        <w:pStyle w:val="afd"/>
        <w:spacing w:before="120" w:after="120"/>
        <w:ind w:firstLine="482"/>
      </w:pPr>
      <w:r>
        <w:rPr>
          <w:rFonts w:hint="eastAsia"/>
        </w:rPr>
        <w:t>表</w:t>
      </w:r>
      <w:r>
        <w:rPr>
          <w:rFonts w:hint="eastAsia"/>
        </w:rPr>
        <w:t>3-7</w:t>
      </w:r>
      <w:r w:rsidR="00702FE4">
        <w:rPr>
          <w:rFonts w:hint="eastAsia"/>
        </w:rPr>
        <w:t>8</w:t>
      </w:r>
      <w:r>
        <w:rPr>
          <w:rFonts w:hint="eastAsia"/>
        </w:rPr>
        <w:t xml:space="preserve">            </w:t>
      </w:r>
      <w:r>
        <w:rPr>
          <w:rFonts w:hint="eastAsia"/>
        </w:rPr>
        <w:t>企业清洁生产计划一览表</w:t>
      </w:r>
    </w:p>
    <w:tbl>
      <w:tblPr>
        <w:tblW w:w="5005"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710"/>
        <w:gridCol w:w="1955"/>
        <w:gridCol w:w="5872"/>
      </w:tblGrid>
      <w:tr w:rsidR="00EE56C0">
        <w:trPr>
          <w:trHeight w:val="425"/>
          <w:jc w:val="center"/>
        </w:trPr>
        <w:tc>
          <w:tcPr>
            <w:tcW w:w="416" w:type="pct"/>
            <w:vAlign w:val="center"/>
          </w:tcPr>
          <w:p w:rsidR="00EE56C0" w:rsidRDefault="000F36A1">
            <w:pPr>
              <w:pStyle w:val="aff1"/>
              <w:rPr>
                <w:color w:val="auto"/>
              </w:rPr>
            </w:pPr>
            <w:r>
              <w:rPr>
                <w:rFonts w:hint="eastAsia"/>
                <w:color w:val="auto"/>
              </w:rPr>
              <w:t>序号</w:t>
            </w:r>
          </w:p>
        </w:tc>
        <w:tc>
          <w:tcPr>
            <w:tcW w:w="1145" w:type="pct"/>
            <w:vAlign w:val="center"/>
          </w:tcPr>
          <w:p w:rsidR="00EE56C0" w:rsidRDefault="000F36A1">
            <w:pPr>
              <w:pStyle w:val="aff1"/>
              <w:rPr>
                <w:color w:val="auto"/>
              </w:rPr>
            </w:pPr>
            <w:r>
              <w:rPr>
                <w:rFonts w:hint="eastAsia"/>
                <w:color w:val="auto"/>
              </w:rPr>
              <w:t>项目</w:t>
            </w:r>
          </w:p>
        </w:tc>
        <w:tc>
          <w:tcPr>
            <w:tcW w:w="3439" w:type="pct"/>
            <w:vAlign w:val="center"/>
          </w:tcPr>
          <w:p w:rsidR="00EE56C0" w:rsidRDefault="000F36A1">
            <w:pPr>
              <w:pStyle w:val="aff1"/>
              <w:rPr>
                <w:color w:val="auto"/>
              </w:rPr>
            </w:pPr>
            <w:r>
              <w:rPr>
                <w:rFonts w:hint="eastAsia"/>
                <w:color w:val="auto"/>
              </w:rPr>
              <w:t>内容</w:t>
            </w:r>
          </w:p>
        </w:tc>
      </w:tr>
      <w:tr w:rsidR="00EE56C0">
        <w:trPr>
          <w:trHeight w:val="425"/>
          <w:jc w:val="center"/>
        </w:trPr>
        <w:tc>
          <w:tcPr>
            <w:tcW w:w="416" w:type="pct"/>
            <w:vAlign w:val="center"/>
          </w:tcPr>
          <w:p w:rsidR="00EE56C0" w:rsidRDefault="000F36A1">
            <w:pPr>
              <w:pStyle w:val="afa"/>
            </w:pPr>
            <w:r>
              <w:t>1</w:t>
            </w:r>
          </w:p>
        </w:tc>
        <w:tc>
          <w:tcPr>
            <w:tcW w:w="1145" w:type="pct"/>
            <w:vAlign w:val="center"/>
          </w:tcPr>
          <w:p w:rsidR="00EE56C0" w:rsidRDefault="000F36A1">
            <w:pPr>
              <w:pStyle w:val="afa"/>
            </w:pPr>
            <w:r>
              <w:rPr>
                <w:rFonts w:hint="eastAsia"/>
              </w:rPr>
              <w:t>组建清洁生产机构</w:t>
            </w:r>
          </w:p>
        </w:tc>
        <w:tc>
          <w:tcPr>
            <w:tcW w:w="3439" w:type="pct"/>
            <w:vAlign w:val="center"/>
          </w:tcPr>
          <w:p w:rsidR="00EE56C0" w:rsidRDefault="000F36A1">
            <w:pPr>
              <w:pStyle w:val="afa"/>
            </w:pPr>
            <w:r>
              <w:rPr>
                <w:rFonts w:hint="eastAsia"/>
              </w:rPr>
              <w:t>建立清洁生产办公室，全面开展企业的清洁生产工作。</w:t>
            </w:r>
          </w:p>
          <w:p w:rsidR="00EE56C0" w:rsidRDefault="000F36A1">
            <w:pPr>
              <w:pStyle w:val="afa"/>
              <w:rPr>
                <w:highlight w:val="yellow"/>
              </w:rPr>
            </w:pPr>
            <w:r>
              <w:rPr>
                <w:rFonts w:hint="eastAsia"/>
              </w:rPr>
              <w:t>建立下属分支机构，例如新技术研究与开发、清洁生产管理等。</w:t>
            </w:r>
          </w:p>
        </w:tc>
      </w:tr>
      <w:tr w:rsidR="00EE56C0">
        <w:trPr>
          <w:trHeight w:val="425"/>
          <w:jc w:val="center"/>
        </w:trPr>
        <w:tc>
          <w:tcPr>
            <w:tcW w:w="416" w:type="pct"/>
            <w:vAlign w:val="center"/>
          </w:tcPr>
          <w:p w:rsidR="00EE56C0" w:rsidRDefault="000F36A1">
            <w:pPr>
              <w:pStyle w:val="afa"/>
            </w:pPr>
            <w:r>
              <w:t>2</w:t>
            </w:r>
          </w:p>
        </w:tc>
        <w:tc>
          <w:tcPr>
            <w:tcW w:w="1145" w:type="pct"/>
            <w:vAlign w:val="center"/>
          </w:tcPr>
          <w:p w:rsidR="00EE56C0" w:rsidRDefault="000F36A1">
            <w:pPr>
              <w:pStyle w:val="afa"/>
            </w:pPr>
            <w:r>
              <w:rPr>
                <w:rFonts w:hint="eastAsia"/>
              </w:rPr>
              <w:t>清洁生产方案实施</w:t>
            </w:r>
          </w:p>
        </w:tc>
        <w:tc>
          <w:tcPr>
            <w:tcW w:w="3439" w:type="pct"/>
            <w:vAlign w:val="center"/>
          </w:tcPr>
          <w:p w:rsidR="00EE56C0" w:rsidRDefault="000F36A1">
            <w:pPr>
              <w:pStyle w:val="afa"/>
            </w:pPr>
            <w:r>
              <w:rPr>
                <w:rFonts w:hint="eastAsia"/>
              </w:rPr>
              <w:t>在企业内部各个生产环节推行清洁生产</w:t>
            </w:r>
          </w:p>
        </w:tc>
      </w:tr>
      <w:tr w:rsidR="00EE56C0">
        <w:trPr>
          <w:trHeight w:val="425"/>
          <w:jc w:val="center"/>
        </w:trPr>
        <w:tc>
          <w:tcPr>
            <w:tcW w:w="416" w:type="pct"/>
            <w:vAlign w:val="center"/>
          </w:tcPr>
          <w:p w:rsidR="00EE56C0" w:rsidRDefault="000F36A1">
            <w:pPr>
              <w:pStyle w:val="afa"/>
            </w:pPr>
            <w:r>
              <w:t>3</w:t>
            </w:r>
          </w:p>
        </w:tc>
        <w:tc>
          <w:tcPr>
            <w:tcW w:w="1145" w:type="pct"/>
            <w:vAlign w:val="center"/>
          </w:tcPr>
          <w:p w:rsidR="00EE56C0" w:rsidRDefault="000F36A1">
            <w:pPr>
              <w:pStyle w:val="afa"/>
            </w:pPr>
            <w:r>
              <w:rPr>
                <w:rFonts w:hint="eastAsia"/>
              </w:rPr>
              <w:t>清洁生产培训</w:t>
            </w:r>
          </w:p>
        </w:tc>
        <w:tc>
          <w:tcPr>
            <w:tcW w:w="3439" w:type="pct"/>
            <w:vAlign w:val="center"/>
          </w:tcPr>
          <w:p w:rsidR="00EE56C0" w:rsidRDefault="000F36A1">
            <w:pPr>
              <w:pStyle w:val="afa"/>
            </w:pPr>
            <w:r>
              <w:rPr>
                <w:rFonts w:hint="eastAsia"/>
              </w:rPr>
              <w:t>分层次对企业工作人员进行清洁生产培训</w:t>
            </w:r>
          </w:p>
        </w:tc>
      </w:tr>
      <w:tr w:rsidR="00EE56C0">
        <w:trPr>
          <w:trHeight w:val="425"/>
          <w:jc w:val="center"/>
        </w:trPr>
        <w:tc>
          <w:tcPr>
            <w:tcW w:w="416" w:type="pct"/>
            <w:vAlign w:val="center"/>
          </w:tcPr>
          <w:p w:rsidR="00EE56C0" w:rsidRDefault="000F36A1">
            <w:pPr>
              <w:pStyle w:val="afa"/>
            </w:pPr>
            <w:r>
              <w:t>4</w:t>
            </w:r>
          </w:p>
        </w:tc>
        <w:tc>
          <w:tcPr>
            <w:tcW w:w="1145" w:type="pct"/>
            <w:vAlign w:val="center"/>
          </w:tcPr>
          <w:p w:rsidR="00EE56C0" w:rsidRDefault="000F36A1">
            <w:pPr>
              <w:pStyle w:val="afa"/>
            </w:pPr>
            <w:r>
              <w:rPr>
                <w:rFonts w:hint="eastAsia"/>
              </w:rPr>
              <w:t>清洁生产审计</w:t>
            </w:r>
          </w:p>
        </w:tc>
        <w:tc>
          <w:tcPr>
            <w:tcW w:w="3439" w:type="pct"/>
            <w:vAlign w:val="center"/>
          </w:tcPr>
          <w:p w:rsidR="00EE56C0" w:rsidRDefault="000F36A1">
            <w:pPr>
              <w:pStyle w:val="afa"/>
            </w:pPr>
            <w:r>
              <w:rPr>
                <w:rFonts w:hint="eastAsia"/>
              </w:rPr>
              <w:t>开展清洁生产审计工作，积极进行</w:t>
            </w:r>
            <w:r>
              <w:t>ISO14001</w:t>
            </w:r>
            <w:r>
              <w:rPr>
                <w:rFonts w:hint="eastAsia"/>
              </w:rPr>
              <w:t>认证</w:t>
            </w:r>
          </w:p>
        </w:tc>
      </w:tr>
    </w:tbl>
    <w:p w:rsidR="00EE56C0" w:rsidRDefault="000F36A1">
      <w:pPr>
        <w:pStyle w:val="1"/>
        <w:numPr>
          <w:ilvl w:val="0"/>
          <w:numId w:val="2"/>
        </w:numPr>
        <w:spacing w:before="360" w:after="480"/>
      </w:pPr>
      <w:bookmarkStart w:id="226" w:name="_Toc25400910"/>
      <w:r>
        <w:rPr>
          <w:rFonts w:hint="eastAsia"/>
        </w:rPr>
        <w:lastRenderedPageBreak/>
        <w:t>环境现状</w:t>
      </w:r>
      <w:bookmarkEnd w:id="207"/>
      <w:bookmarkEnd w:id="208"/>
      <w:bookmarkEnd w:id="209"/>
      <w:bookmarkEnd w:id="226"/>
      <w:r>
        <w:rPr>
          <w:rFonts w:hint="eastAsia"/>
        </w:rPr>
        <w:t>调查与评价</w:t>
      </w:r>
    </w:p>
    <w:p w:rsidR="00EE56C0" w:rsidRDefault="000F36A1">
      <w:pPr>
        <w:pStyle w:val="2"/>
        <w:numPr>
          <w:ilvl w:val="1"/>
          <w:numId w:val="3"/>
        </w:numPr>
        <w:ind w:left="0" w:firstLine="301"/>
      </w:pPr>
      <w:bookmarkStart w:id="227" w:name="_Toc25400911"/>
      <w:bookmarkStart w:id="228" w:name="_Toc428286782"/>
      <w:bookmarkStart w:id="229" w:name="_Toc429318390"/>
      <w:bookmarkStart w:id="230" w:name="_Toc428287176"/>
      <w:bookmarkStart w:id="231" w:name="_Toc428286861"/>
      <w:bookmarkStart w:id="232" w:name="_Toc428287222"/>
      <w:bookmarkStart w:id="233" w:name="_Toc429318405"/>
      <w:bookmarkStart w:id="234" w:name="_Toc410051662"/>
      <w:bookmarkStart w:id="235" w:name="_Toc310408269"/>
      <w:r>
        <w:rPr>
          <w:rFonts w:hint="eastAsia"/>
        </w:rPr>
        <w:t>自然环境</w:t>
      </w:r>
      <w:bookmarkEnd w:id="227"/>
      <w:r>
        <w:rPr>
          <w:rFonts w:hint="eastAsia"/>
        </w:rPr>
        <w:t>现状调查与评价</w:t>
      </w:r>
    </w:p>
    <w:p w:rsidR="00EE56C0" w:rsidRDefault="000F36A1">
      <w:pPr>
        <w:pStyle w:val="3"/>
        <w:spacing w:before="240" w:after="120"/>
      </w:pPr>
      <w:r>
        <w:rPr>
          <w:rFonts w:hint="eastAsia"/>
        </w:rPr>
        <w:t>4.1.1</w:t>
      </w:r>
      <w:r>
        <w:rPr>
          <w:rFonts w:hint="eastAsia"/>
        </w:rPr>
        <w:t>区域环境概况</w:t>
      </w:r>
      <w:bookmarkEnd w:id="228"/>
      <w:bookmarkEnd w:id="229"/>
      <w:bookmarkEnd w:id="230"/>
    </w:p>
    <w:p w:rsidR="00EE56C0" w:rsidRDefault="000F36A1">
      <w:pPr>
        <w:pStyle w:val="4"/>
        <w:ind w:left="120" w:firstLine="241"/>
      </w:pPr>
      <w:bookmarkStart w:id="236" w:name="_Toc428287529"/>
      <w:bookmarkStart w:id="237" w:name="_Toc428286783"/>
      <w:bookmarkStart w:id="238" w:name="_Toc428287177"/>
      <w:r>
        <w:rPr>
          <w:rFonts w:hint="eastAsia"/>
        </w:rPr>
        <w:t>4.1.1.1</w:t>
      </w:r>
      <w:r>
        <w:t>地理位置</w:t>
      </w:r>
      <w:bookmarkEnd w:id="236"/>
      <w:bookmarkEnd w:id="237"/>
      <w:bookmarkEnd w:id="238"/>
    </w:p>
    <w:p w:rsidR="00EE56C0" w:rsidRDefault="000F36A1">
      <w:pPr>
        <w:ind w:firstLine="480"/>
      </w:pPr>
      <w:r>
        <w:t>新乡市地处河南省北部，南临黄河，与省会郑州、古都开封隔河相望；北依太行，与鹤壁、安阳毗邻；西连煤城焦作，与晋东南接壤；东接油城濮阳，与鲁西相连，是豫北的经济和交通中心，是中原经济区</w:t>
      </w:r>
      <w:r>
        <w:t>“</w:t>
      </w:r>
      <w:r>
        <w:t>十字</w:t>
      </w:r>
      <w:r>
        <w:t>”</w:t>
      </w:r>
      <w:r>
        <w:t>核心区城市。地理坐标为北纬</w:t>
      </w:r>
      <w:r>
        <w:t>35°18′</w:t>
      </w:r>
      <w:r>
        <w:t>，东经</w:t>
      </w:r>
      <w:r>
        <w:t>113°54′</w:t>
      </w:r>
      <w:r>
        <w:t>。总面积</w:t>
      </w:r>
      <w:r>
        <w:t>8629</w:t>
      </w:r>
      <w:r>
        <w:t>平方公里，其中市区面积</w:t>
      </w:r>
      <w:r>
        <w:t>422</w:t>
      </w:r>
      <w:r>
        <w:t>平方公里。</w:t>
      </w:r>
    </w:p>
    <w:p w:rsidR="00EE56C0" w:rsidRDefault="000F36A1">
      <w:pPr>
        <w:ind w:firstLine="480"/>
      </w:pPr>
      <w:r>
        <w:t>新乡县位于新乡市南部，贴邻新乡市市区。地处东经</w:t>
      </w:r>
      <w:r>
        <w:t>113°42’~114°04’</w:t>
      </w:r>
      <w:r>
        <w:t>，北纬</w:t>
      </w:r>
      <w:r>
        <w:t>35°05’~35°24’</w:t>
      </w:r>
      <w:r>
        <w:t>之间。东与东北邻延津、卫辉，西毗获嘉县，南连原阳县，北与新乡市区及辉县接壤。东西宽</w:t>
      </w:r>
      <w:r>
        <w:t>32.7</w:t>
      </w:r>
      <w:r>
        <w:t>公里，南北长</w:t>
      </w:r>
      <w:r>
        <w:t>34.5</w:t>
      </w:r>
      <w:r>
        <w:t>公里，总面积</w:t>
      </w:r>
      <w:r>
        <w:t>385</w:t>
      </w:r>
      <w:r>
        <w:t>平方公里。</w:t>
      </w:r>
    </w:p>
    <w:p w:rsidR="00EE56C0" w:rsidRDefault="000F36A1">
      <w:pPr>
        <w:ind w:firstLine="480"/>
      </w:pPr>
      <w:r>
        <w:rPr>
          <w:rFonts w:hint="eastAsia"/>
        </w:rPr>
        <w:t>河南华洋电工科技集团有限公司投资</w:t>
      </w:r>
      <w:r>
        <w:rPr>
          <w:rFonts w:hint="eastAsia"/>
        </w:rPr>
        <w:t>13750</w:t>
      </w:r>
      <w:r>
        <w:rPr>
          <w:rFonts w:hint="eastAsia"/>
        </w:rPr>
        <w:t>万元建设“高可靠性抗高压耐热绕组线项目”。</w:t>
      </w:r>
      <w:r>
        <w:t>该项目位于</w:t>
      </w:r>
      <w:r>
        <w:rPr>
          <w:rFonts w:hint="eastAsia"/>
        </w:rPr>
        <w:t>新乡市新乡县新乡经济技术集聚区远大路西段。</w:t>
      </w:r>
      <w:r>
        <w:t>厂区四周环境为：</w:t>
      </w:r>
      <w:r w:rsidRPr="0084643A">
        <w:rPr>
          <w:rFonts w:hint="eastAsia"/>
          <w:b/>
          <w:u w:val="single"/>
        </w:rPr>
        <w:t>南侧隔路为临敦留店水泥和顺祥养殖、北侧为农田（规划为工业用地）和新飞家电产业园，西侧隔路为农科院实验基地，东侧隔路为恒森纸制品。东南</w:t>
      </w:r>
      <w:r w:rsidRPr="0084643A">
        <w:rPr>
          <w:rFonts w:hint="eastAsia"/>
          <w:b/>
          <w:u w:val="single"/>
        </w:rPr>
        <w:t>850m</w:t>
      </w:r>
      <w:r w:rsidRPr="0084643A">
        <w:rPr>
          <w:rFonts w:hint="eastAsia"/>
          <w:b/>
          <w:u w:val="single"/>
        </w:rPr>
        <w:t>处的南王庄村、东南</w:t>
      </w:r>
      <w:r w:rsidRPr="0084643A">
        <w:rPr>
          <w:rFonts w:hint="eastAsia"/>
          <w:b/>
          <w:u w:val="single"/>
        </w:rPr>
        <w:t>790m</w:t>
      </w:r>
      <w:r w:rsidRPr="0084643A">
        <w:rPr>
          <w:rFonts w:hint="eastAsia"/>
          <w:b/>
          <w:u w:val="single"/>
        </w:rPr>
        <w:t>处</w:t>
      </w:r>
      <w:r w:rsidRPr="0084643A">
        <w:rPr>
          <w:rFonts w:hAnsi="宋体" w:hint="eastAsia"/>
          <w:b/>
          <w:u w:val="single"/>
        </w:rPr>
        <w:t>刘店村</w:t>
      </w:r>
      <w:r>
        <w:rPr>
          <w:rFonts w:hAnsi="宋体" w:hint="eastAsia"/>
        </w:rPr>
        <w:t>。</w:t>
      </w:r>
      <w:r>
        <w:t>详见下图。</w:t>
      </w:r>
    </w:p>
    <w:p w:rsidR="00EE56C0" w:rsidRDefault="00EE56C0">
      <w:pPr>
        <w:pStyle w:val="aff8"/>
      </w:pPr>
      <w:r>
        <w:object w:dxaOrig="17495" w:dyaOrig="13264">
          <v:shape id="_x0000_i1036" type="#_x0000_t75" style="width:414.7pt;height:311.05pt" o:ole="">
            <v:imagedata r:id="rId69" o:title=""/>
          </v:shape>
          <o:OLEObject Type="Embed" ProgID="Visio.Drawing.11" ShapeID="_x0000_i1036" DrawAspect="Content" ObjectID="_1705848364" r:id="rId70"/>
        </w:object>
      </w:r>
    </w:p>
    <w:p w:rsidR="00EE56C0" w:rsidRDefault="00EE56C0">
      <w:pPr>
        <w:pStyle w:val="aff8"/>
      </w:pPr>
    </w:p>
    <w:p w:rsidR="00EE56C0" w:rsidRDefault="000F36A1">
      <w:pPr>
        <w:pStyle w:val="aff8"/>
      </w:pPr>
      <w:r>
        <w:t>图</w:t>
      </w:r>
      <w:r>
        <w:rPr>
          <w:rFonts w:hint="eastAsia"/>
        </w:rPr>
        <w:t>4</w:t>
      </w:r>
      <w:r>
        <w:t>-</w:t>
      </w:r>
      <w:r>
        <w:rPr>
          <w:rFonts w:hint="eastAsia"/>
        </w:rPr>
        <w:t>1</w:t>
      </w:r>
      <w:r>
        <w:t xml:space="preserve">   </w:t>
      </w:r>
      <w:r>
        <w:t>项目周围环境情况图</w:t>
      </w:r>
    </w:p>
    <w:p w:rsidR="00EE56C0" w:rsidRDefault="000F36A1">
      <w:pPr>
        <w:pStyle w:val="4"/>
        <w:ind w:left="120" w:firstLine="241"/>
      </w:pPr>
      <w:bookmarkStart w:id="239" w:name="_Toc428287178"/>
      <w:bookmarkStart w:id="240" w:name="_Toc428286784"/>
      <w:bookmarkStart w:id="241" w:name="_Toc428287530"/>
      <w:r>
        <w:rPr>
          <w:rFonts w:hint="eastAsia"/>
        </w:rPr>
        <w:t>4.1.1.2</w:t>
      </w:r>
      <w:r>
        <w:t>地形地貌</w:t>
      </w:r>
      <w:bookmarkEnd w:id="239"/>
      <w:bookmarkEnd w:id="240"/>
      <w:bookmarkEnd w:id="241"/>
    </w:p>
    <w:p w:rsidR="00EE56C0" w:rsidRDefault="000F36A1">
      <w:pPr>
        <w:ind w:firstLine="480"/>
      </w:pPr>
      <w:r>
        <w:rPr>
          <w:rFonts w:hint="eastAsia"/>
        </w:rPr>
        <w:t>新乡县地势的总特点是西南高，东北低。西南端黄河大堤南的地表高程，可达</w:t>
      </w:r>
      <w:r>
        <w:rPr>
          <w:rFonts w:hint="eastAsia"/>
        </w:rPr>
        <w:t>93m</w:t>
      </w:r>
      <w:r>
        <w:rPr>
          <w:rFonts w:hint="eastAsia"/>
        </w:rPr>
        <w:t>以上，东北部的地面高程仅有</w:t>
      </w:r>
      <w:r>
        <w:rPr>
          <w:rFonts w:hint="eastAsia"/>
        </w:rPr>
        <w:t>65m</w:t>
      </w:r>
      <w:r>
        <w:rPr>
          <w:rFonts w:hint="eastAsia"/>
        </w:rPr>
        <w:t>左右。区内地形平坦，纵向平均坡降小于</w:t>
      </w:r>
      <w:r>
        <w:rPr>
          <w:rFonts w:hint="eastAsia"/>
        </w:rPr>
        <w:t>1/3000</w:t>
      </w:r>
      <w:r>
        <w:rPr>
          <w:rFonts w:hint="eastAsia"/>
        </w:rPr>
        <w:t>。</w:t>
      </w:r>
    </w:p>
    <w:p w:rsidR="00EE56C0" w:rsidRDefault="000F36A1">
      <w:pPr>
        <w:ind w:firstLine="480"/>
      </w:pPr>
      <w:r>
        <w:rPr>
          <w:rFonts w:hint="eastAsia"/>
        </w:rPr>
        <w:t>新乡县为主要为黄河冲积平原，二级地貌为黄河故道、泛流平原等，仅在新乡县西北角分布有冲洪积倾斜平原，二级地貌属山前交接洼地。总的地势为西高东低，海拔</w:t>
      </w:r>
      <w:r>
        <w:rPr>
          <w:rFonts w:hint="eastAsia"/>
        </w:rPr>
        <w:t>72</w:t>
      </w:r>
      <w:r>
        <w:rPr>
          <w:rFonts w:hint="eastAsia"/>
        </w:rPr>
        <w:t>～</w:t>
      </w:r>
      <w:r>
        <w:rPr>
          <w:rFonts w:hint="eastAsia"/>
        </w:rPr>
        <w:t>90m</w:t>
      </w:r>
      <w:r>
        <w:rPr>
          <w:rFonts w:hint="eastAsia"/>
        </w:rPr>
        <w:t>，地势开阔平坦</w:t>
      </w:r>
    </w:p>
    <w:p w:rsidR="00EE56C0" w:rsidRDefault="000F36A1">
      <w:pPr>
        <w:pStyle w:val="4"/>
        <w:ind w:left="120" w:firstLine="241"/>
      </w:pPr>
      <w:bookmarkStart w:id="242" w:name="_Toc428287531"/>
      <w:bookmarkStart w:id="243" w:name="_Toc428286785"/>
      <w:bookmarkStart w:id="244" w:name="_Toc428287179"/>
      <w:r>
        <w:rPr>
          <w:rFonts w:hint="eastAsia"/>
        </w:rPr>
        <w:t>4.1.1.3</w:t>
      </w:r>
      <w:r>
        <w:t>地质</w:t>
      </w:r>
      <w:bookmarkEnd w:id="242"/>
      <w:bookmarkEnd w:id="243"/>
      <w:bookmarkEnd w:id="244"/>
    </w:p>
    <w:p w:rsidR="00EE56C0" w:rsidRDefault="000F36A1">
      <w:pPr>
        <w:ind w:firstLine="480"/>
        <w:rPr>
          <w:kern w:val="28"/>
        </w:rPr>
      </w:pPr>
      <w:r>
        <w:rPr>
          <w:kern w:val="28"/>
        </w:rPr>
        <w:t>工程地质特征：根据厂区岩土工程勘查报告，在揭露深度范围内均为第四系沉淀层。共分为</w:t>
      </w:r>
      <w:r>
        <w:rPr>
          <w:kern w:val="28"/>
        </w:rPr>
        <w:t>4</w:t>
      </w:r>
      <w:r>
        <w:rPr>
          <w:kern w:val="28"/>
        </w:rPr>
        <w:t>个地质单元层：</w:t>
      </w:r>
      <w:r>
        <w:rPr>
          <w:rFonts w:hint="eastAsia"/>
        </w:rPr>
        <w:t>素填土</w:t>
      </w:r>
      <w:r>
        <w:rPr>
          <w:kern w:val="28"/>
        </w:rPr>
        <w:t>、粉</w:t>
      </w:r>
      <w:r>
        <w:rPr>
          <w:rFonts w:hint="eastAsia"/>
          <w:kern w:val="28"/>
        </w:rPr>
        <w:t>土</w:t>
      </w:r>
      <w:r>
        <w:rPr>
          <w:kern w:val="28"/>
        </w:rPr>
        <w:t>、</w:t>
      </w:r>
      <w:r>
        <w:rPr>
          <w:rFonts w:hint="eastAsia"/>
        </w:rPr>
        <w:t>粉砂</w:t>
      </w:r>
      <w:r>
        <w:rPr>
          <w:kern w:val="28"/>
        </w:rPr>
        <w:t>、</w:t>
      </w:r>
      <w:r>
        <w:rPr>
          <w:rFonts w:hint="eastAsia"/>
        </w:rPr>
        <w:t>粉砂</w:t>
      </w:r>
      <w:r>
        <w:rPr>
          <w:kern w:val="28"/>
        </w:rPr>
        <w:t>。土质均匀，层位稳定，层面坡角平缓，属中软场地土，建筑场地类型为</w:t>
      </w:r>
      <w:r>
        <w:rPr>
          <w:rFonts w:cs="宋体" w:hint="eastAsia"/>
          <w:kern w:val="28"/>
        </w:rPr>
        <w:t>Ⅱ</w:t>
      </w:r>
      <w:r>
        <w:rPr>
          <w:kern w:val="28"/>
        </w:rPr>
        <w:t>类。根据饱和砂土的液化判别结果，不存在地震液化土层，地震作用下不会发生震陷。</w:t>
      </w:r>
    </w:p>
    <w:p w:rsidR="00EE56C0" w:rsidRDefault="000F36A1" w:rsidP="001705C4">
      <w:pPr>
        <w:pStyle w:val="4"/>
        <w:ind w:left="120" w:firstLine="241"/>
      </w:pPr>
      <w:bookmarkStart w:id="245" w:name="_Toc428286786"/>
      <w:bookmarkStart w:id="246" w:name="_Toc428287180"/>
      <w:bookmarkStart w:id="247" w:name="_Toc428287532"/>
      <w:r>
        <w:rPr>
          <w:rFonts w:hint="eastAsia"/>
        </w:rPr>
        <w:lastRenderedPageBreak/>
        <w:t>4.1.1.4</w:t>
      </w:r>
      <w:r>
        <w:t>气候气象</w:t>
      </w:r>
      <w:bookmarkEnd w:id="245"/>
      <w:bookmarkEnd w:id="246"/>
      <w:bookmarkEnd w:id="247"/>
    </w:p>
    <w:p w:rsidR="00EE56C0" w:rsidRDefault="000F36A1">
      <w:pPr>
        <w:ind w:firstLine="480"/>
      </w:pPr>
      <w:r>
        <w:t>区域气候类型属暖温带大陆性季风气候，春季干旱多风沙，夏季炎热雨量大，秋季凉爽时令短，冬季寒冷少雨雪，气温的四季变化具有典型的大陆性气候特征，即冬冷夏热。年平均气温为</w:t>
      </w:r>
      <w:r>
        <w:t>14</w:t>
      </w:r>
      <w:r>
        <w:rPr>
          <w:rFonts w:hint="eastAsia"/>
        </w:rPr>
        <w:t>.4</w:t>
      </w:r>
      <w:r>
        <w:rPr>
          <w:rFonts w:cs="宋体" w:hint="eastAsia"/>
        </w:rPr>
        <w:t>℃</w:t>
      </w:r>
      <w:r>
        <w:t>，历年最高气温</w:t>
      </w:r>
      <w:r>
        <w:t>4</w:t>
      </w:r>
      <w:r>
        <w:rPr>
          <w:rFonts w:hint="eastAsia"/>
        </w:rPr>
        <w:t>0.9</w:t>
      </w:r>
      <w:r>
        <w:rPr>
          <w:rFonts w:cs="宋体" w:hint="eastAsia"/>
        </w:rPr>
        <w:t>℃</w:t>
      </w:r>
      <w:r>
        <w:t>（</w:t>
      </w:r>
      <w:r>
        <w:rPr>
          <w:rFonts w:hint="eastAsia"/>
        </w:rPr>
        <w:t>2009</w:t>
      </w:r>
      <w:r>
        <w:t>年），最低气温</w:t>
      </w:r>
      <w:r>
        <w:t>-1</w:t>
      </w:r>
      <w:r>
        <w:rPr>
          <w:rFonts w:hint="eastAsia"/>
        </w:rPr>
        <w:t>3.1</w:t>
      </w:r>
      <w:r>
        <w:rPr>
          <w:rFonts w:cs="宋体" w:hint="eastAsia"/>
        </w:rPr>
        <w:t>℃</w:t>
      </w:r>
      <w:r>
        <w:t>（</w:t>
      </w:r>
      <w:r>
        <w:rPr>
          <w:rFonts w:hint="eastAsia"/>
        </w:rPr>
        <w:t>2016</w:t>
      </w:r>
      <w:r>
        <w:t>年）。年均日照时数为</w:t>
      </w:r>
      <w:r>
        <w:t>2504</w:t>
      </w:r>
      <w:r>
        <w:t>小时，年均日照率</w:t>
      </w:r>
      <w:r>
        <w:t>57%</w:t>
      </w:r>
      <w:r>
        <w:t>。多年年均降水量为</w:t>
      </w:r>
      <w:r>
        <w:rPr>
          <w:rFonts w:hint="eastAsia"/>
        </w:rPr>
        <w:t>414</w:t>
      </w:r>
      <w:r>
        <w:t>毫米，年际最大降水量为</w:t>
      </w:r>
      <w:r>
        <w:t>1127.3</w:t>
      </w:r>
      <w:r>
        <w:t>毫米（</w:t>
      </w:r>
      <w:r>
        <w:t>2000</w:t>
      </w:r>
      <w:r>
        <w:t>年），最小降雨量为</w:t>
      </w:r>
      <w:r>
        <w:t>319</w:t>
      </w:r>
      <w:r>
        <w:t>毫米（</w:t>
      </w:r>
      <w:r>
        <w:t>1987</w:t>
      </w:r>
      <w:r>
        <w:t>年），且年降水量季节分布很不均匀，大雨高度集中于夏季，</w:t>
      </w:r>
      <w:r>
        <w:rPr>
          <w:rFonts w:hint="eastAsia"/>
        </w:rPr>
        <w:t>多</w:t>
      </w:r>
      <w:r>
        <w:t>年平均降水日为</w:t>
      </w:r>
      <w:r>
        <w:t>74</w:t>
      </w:r>
      <w:r>
        <w:t>天。多年平均相对湿度为</w:t>
      </w:r>
      <w:r>
        <w:t>68%</w:t>
      </w:r>
      <w:r>
        <w:t>，平均冻结期为</w:t>
      </w:r>
      <w:r>
        <w:t>30</w:t>
      </w:r>
      <w:r>
        <w:t>天，无霜期为</w:t>
      </w:r>
      <w:r>
        <w:t>216</w:t>
      </w:r>
      <w:r>
        <w:t>天，</w:t>
      </w:r>
      <w:r>
        <w:rPr>
          <w:rFonts w:hint="eastAsia"/>
        </w:rPr>
        <w:t>多</w:t>
      </w:r>
      <w:r>
        <w:t>年主导风向为东北风，年平均风速</w:t>
      </w:r>
      <w:r>
        <w:t>2.</w:t>
      </w:r>
      <w:r>
        <w:rPr>
          <w:rFonts w:hint="eastAsia"/>
        </w:rPr>
        <w:t>4</w:t>
      </w:r>
      <w:r>
        <w:t>m/s</w:t>
      </w:r>
      <w:r>
        <w:t>。</w:t>
      </w:r>
    </w:p>
    <w:p w:rsidR="00EE56C0" w:rsidRDefault="000F36A1">
      <w:pPr>
        <w:pStyle w:val="4"/>
        <w:ind w:left="120" w:firstLine="241"/>
      </w:pPr>
      <w:bookmarkStart w:id="248" w:name="_Toc428287181"/>
      <w:bookmarkStart w:id="249" w:name="_Toc428286787"/>
      <w:bookmarkStart w:id="250" w:name="_Toc428287533"/>
      <w:r>
        <w:rPr>
          <w:rFonts w:hint="eastAsia"/>
        </w:rPr>
        <w:t>4.1.1.5</w:t>
      </w:r>
      <w:r>
        <w:t>地表水环境</w:t>
      </w:r>
      <w:bookmarkEnd w:id="248"/>
      <w:bookmarkEnd w:id="249"/>
      <w:bookmarkEnd w:id="250"/>
    </w:p>
    <w:p w:rsidR="00EE56C0" w:rsidRDefault="000F36A1">
      <w:pPr>
        <w:ind w:firstLine="480"/>
      </w:pPr>
      <w:r>
        <w:rPr>
          <w:rFonts w:hint="eastAsia"/>
        </w:rPr>
        <w:t>（一）地表水</w:t>
      </w:r>
    </w:p>
    <w:p w:rsidR="00EE56C0" w:rsidRDefault="000F36A1">
      <w:pPr>
        <w:ind w:firstLine="480"/>
        <w:rPr>
          <w:szCs w:val="28"/>
        </w:rPr>
      </w:pPr>
      <w:r>
        <w:rPr>
          <w:szCs w:val="28"/>
        </w:rPr>
        <w:t>新乡县分属于黄河与海河两大水系。位于区段中部偏北呈南西</w:t>
      </w:r>
      <w:r>
        <w:rPr>
          <w:szCs w:val="28"/>
        </w:rPr>
        <w:t>-</w:t>
      </w:r>
      <w:r>
        <w:rPr>
          <w:szCs w:val="28"/>
        </w:rPr>
        <w:t>北东向延伸的黄河地表故道，是该两大水系在本次工程所在区域段的分水岭。境内天然河流有卫河、东孟姜女河、西孟姜女河、均属海河水系；人工河流有共产主义渠、人民胜利渠和武嘉干渠等，区内引水渠都以黄河水作为水源</w:t>
      </w:r>
      <w:r>
        <w:rPr>
          <w:rFonts w:hint="eastAsia"/>
          <w:szCs w:val="28"/>
        </w:rPr>
        <w:t>。</w:t>
      </w:r>
    </w:p>
    <w:p w:rsidR="00EE56C0" w:rsidRDefault="000F36A1">
      <w:pPr>
        <w:ind w:firstLine="480"/>
        <w:rPr>
          <w:szCs w:val="28"/>
        </w:rPr>
      </w:pPr>
      <w:r>
        <w:rPr>
          <w:rFonts w:hint="eastAsia"/>
          <w:szCs w:val="28"/>
        </w:rPr>
        <w:t>（</w:t>
      </w:r>
      <w:r>
        <w:rPr>
          <w:rFonts w:hint="eastAsia"/>
          <w:szCs w:val="28"/>
        </w:rPr>
        <w:t>1</w:t>
      </w:r>
      <w:r>
        <w:rPr>
          <w:rFonts w:hint="eastAsia"/>
          <w:szCs w:val="28"/>
        </w:rPr>
        <w:t>）天然河流</w:t>
      </w:r>
    </w:p>
    <w:p w:rsidR="00EE56C0" w:rsidRDefault="000F36A1">
      <w:pPr>
        <w:ind w:firstLine="480"/>
        <w:rPr>
          <w:szCs w:val="28"/>
        </w:rPr>
      </w:pPr>
      <w:r>
        <w:rPr>
          <w:rFonts w:hint="eastAsia"/>
          <w:szCs w:val="28"/>
        </w:rPr>
        <w:t>卫河隶属海河水系，发源于太行南麓的山西省陵川县夺火镇，自西向东流经本次工程所在区域西北部，流经长度为</w:t>
      </w:r>
      <w:r>
        <w:rPr>
          <w:rFonts w:hint="eastAsia"/>
          <w:szCs w:val="28"/>
        </w:rPr>
        <w:t>40.365km</w:t>
      </w:r>
      <w:r>
        <w:rPr>
          <w:rFonts w:hint="eastAsia"/>
          <w:szCs w:val="28"/>
        </w:rPr>
        <w:t>，为常年性河流，多年平均径流量</w:t>
      </w:r>
      <w:r>
        <w:rPr>
          <w:rFonts w:hint="eastAsia"/>
          <w:szCs w:val="28"/>
        </w:rPr>
        <w:t>10.0m</w:t>
      </w:r>
      <w:r>
        <w:rPr>
          <w:rFonts w:hint="eastAsia"/>
          <w:szCs w:val="28"/>
          <w:vertAlign w:val="superscript"/>
        </w:rPr>
        <w:t>3</w:t>
      </w:r>
      <w:r>
        <w:rPr>
          <w:rFonts w:hint="eastAsia"/>
          <w:szCs w:val="28"/>
        </w:rPr>
        <w:t>/s</w:t>
      </w:r>
      <w:r>
        <w:rPr>
          <w:rFonts w:hint="eastAsia"/>
          <w:szCs w:val="28"/>
        </w:rPr>
        <w:t>。由于上游及沿河城镇工业、生活废水的排放，现卫河已成为地下水的线性污染源。</w:t>
      </w:r>
    </w:p>
    <w:p w:rsidR="00EE56C0" w:rsidRDefault="000F36A1">
      <w:pPr>
        <w:ind w:firstLine="480"/>
        <w:rPr>
          <w:szCs w:val="28"/>
        </w:rPr>
      </w:pPr>
      <w:r>
        <w:rPr>
          <w:rFonts w:hint="eastAsia"/>
          <w:szCs w:val="28"/>
        </w:rPr>
        <w:t>东孟姜女河，属卫河支流，源于获嘉县南部，向东北流经新乡县，于卫辉市区汇入卫河，该河流已经大部分断流，被填平。该河起着排泄地下水与排涝的作用，现已成为排污河道。</w:t>
      </w:r>
    </w:p>
    <w:p w:rsidR="00EE56C0" w:rsidRDefault="000F36A1">
      <w:pPr>
        <w:ind w:firstLine="480"/>
        <w:rPr>
          <w:szCs w:val="28"/>
        </w:rPr>
      </w:pPr>
      <w:r>
        <w:rPr>
          <w:rFonts w:hint="eastAsia"/>
          <w:szCs w:val="28"/>
        </w:rPr>
        <w:t>西孟姜女河，属卫河支流，源于获嘉县后小召附近，流经古背堤洼地西北侧，于新乡市南高村注入卫河。现该河流获嘉县境内已经部分断流，被填平。该河起着排泄地下水与排涝的作用，现已成为排污河道。</w:t>
      </w:r>
    </w:p>
    <w:p w:rsidR="00EE56C0" w:rsidRDefault="000F36A1">
      <w:pPr>
        <w:ind w:firstLine="480"/>
        <w:rPr>
          <w:szCs w:val="28"/>
        </w:rPr>
      </w:pPr>
      <w:r>
        <w:rPr>
          <w:rFonts w:hint="eastAsia"/>
          <w:szCs w:val="28"/>
        </w:rPr>
        <w:lastRenderedPageBreak/>
        <w:t>（</w:t>
      </w:r>
      <w:r>
        <w:rPr>
          <w:rFonts w:hint="eastAsia"/>
          <w:szCs w:val="28"/>
        </w:rPr>
        <w:t>2</w:t>
      </w:r>
      <w:r>
        <w:rPr>
          <w:rFonts w:hint="eastAsia"/>
          <w:szCs w:val="28"/>
        </w:rPr>
        <w:t>）人工河渠</w:t>
      </w:r>
    </w:p>
    <w:p w:rsidR="00EE56C0" w:rsidRDefault="000F36A1">
      <w:pPr>
        <w:ind w:firstLine="480"/>
        <w:rPr>
          <w:szCs w:val="28"/>
        </w:rPr>
      </w:pPr>
      <w:r>
        <w:rPr>
          <w:rFonts w:hint="eastAsia"/>
          <w:szCs w:val="28"/>
        </w:rPr>
        <w:t>共产主义渠，为一大型引黄济卫工程，源于武陟县秦厂，在境内照镜乡楼村北汇入卫河，常年有水，由西南向东北方向大致平行于卫河延伸，流经本次工程所在区域长度</w:t>
      </w:r>
      <w:r>
        <w:rPr>
          <w:rFonts w:hint="eastAsia"/>
          <w:szCs w:val="28"/>
        </w:rPr>
        <w:t>26.4km</w:t>
      </w:r>
      <w:r>
        <w:rPr>
          <w:rFonts w:hint="eastAsia"/>
          <w:szCs w:val="28"/>
        </w:rPr>
        <w:t>左右。近几年，由于引黄灌溉向下游输水，造成严重淤积，仅剩主流槽</w:t>
      </w:r>
      <w:r>
        <w:rPr>
          <w:rFonts w:hint="eastAsia"/>
          <w:szCs w:val="28"/>
        </w:rPr>
        <w:t>23km</w:t>
      </w:r>
      <w:r>
        <w:rPr>
          <w:rFonts w:hint="eastAsia"/>
          <w:szCs w:val="28"/>
        </w:rPr>
        <w:t>，排水量仅有</w:t>
      </w:r>
      <w:r>
        <w:rPr>
          <w:rFonts w:hint="eastAsia"/>
          <w:szCs w:val="28"/>
        </w:rPr>
        <w:t>30m</w:t>
      </w:r>
      <w:r>
        <w:rPr>
          <w:rFonts w:hint="eastAsia"/>
          <w:szCs w:val="28"/>
          <w:vertAlign w:val="superscript"/>
        </w:rPr>
        <w:t>3</w:t>
      </w:r>
      <w:r>
        <w:rPr>
          <w:rFonts w:hint="eastAsia"/>
          <w:szCs w:val="28"/>
        </w:rPr>
        <w:t>/s</w:t>
      </w:r>
      <w:r>
        <w:rPr>
          <w:rFonts w:hint="eastAsia"/>
          <w:szCs w:val="28"/>
        </w:rPr>
        <w:t>，曾多次因排水不畅造成洪水漫溢。目前主要功能是分洪、排涝、灌溉，也是补给地下水的重要来源之一。</w:t>
      </w:r>
    </w:p>
    <w:p w:rsidR="00EE56C0" w:rsidRDefault="000F36A1">
      <w:pPr>
        <w:ind w:firstLine="480"/>
        <w:rPr>
          <w:szCs w:val="28"/>
        </w:rPr>
      </w:pPr>
      <w:r>
        <w:rPr>
          <w:rFonts w:hint="eastAsia"/>
          <w:szCs w:val="28"/>
        </w:rPr>
        <w:t>人民胜利渠，为引黄济卫灌溉渠道，源于武陟县秦厂，由西南向东北流经本次工程所在区域，流经长度</w:t>
      </w:r>
      <w:r>
        <w:rPr>
          <w:rFonts w:hint="eastAsia"/>
          <w:szCs w:val="28"/>
        </w:rPr>
        <w:t>50.155km</w:t>
      </w:r>
      <w:r>
        <w:rPr>
          <w:rFonts w:hint="eastAsia"/>
          <w:szCs w:val="28"/>
        </w:rPr>
        <w:t>左右，是季节性引水渠道。渠道底部和两侧均进行了硬化衬砌，对区内地下水的补给造成了一定的阻隔。</w:t>
      </w:r>
    </w:p>
    <w:p w:rsidR="00EE56C0" w:rsidRDefault="000F36A1">
      <w:pPr>
        <w:ind w:firstLine="480"/>
        <w:rPr>
          <w:szCs w:val="28"/>
        </w:rPr>
      </w:pPr>
      <w:r>
        <w:rPr>
          <w:rFonts w:hint="eastAsia"/>
          <w:szCs w:val="28"/>
        </w:rPr>
        <w:t>武嘉干渠，自西浮庄入境，向北引水至辛村，主要目的为排涝，兼引黄灌溉，在引水期间对地下水具有一定的补给作用。</w:t>
      </w:r>
    </w:p>
    <w:p w:rsidR="00EE56C0" w:rsidRDefault="000F36A1">
      <w:pPr>
        <w:ind w:firstLine="480"/>
      </w:pPr>
      <w:r>
        <w:rPr>
          <w:rFonts w:hint="eastAsia"/>
          <w:szCs w:val="28"/>
        </w:rPr>
        <w:t>本次工程所在区域流经的地表水主要为东孟姜女河，属于海河流域。</w:t>
      </w:r>
      <w:r>
        <w:rPr>
          <w:rFonts w:hint="eastAsia"/>
          <w:szCs w:val="21"/>
        </w:rPr>
        <w:t>管网接通后，经管网排入新乡县综合污水处理厂</w:t>
      </w:r>
      <w:r>
        <w:rPr>
          <w:rFonts w:hint="eastAsia"/>
        </w:rPr>
        <w:t>进一步处理，处理达标后排入东孟姜女河。</w:t>
      </w:r>
    </w:p>
    <w:p w:rsidR="00EE56C0" w:rsidRDefault="000F36A1">
      <w:pPr>
        <w:ind w:firstLine="480"/>
      </w:pPr>
      <w:r>
        <w:rPr>
          <w:rFonts w:hint="eastAsia"/>
        </w:rPr>
        <w:t>评价区域内水系分布图详见下图。</w:t>
      </w:r>
    </w:p>
    <w:p w:rsidR="00EE56C0" w:rsidRDefault="00EE56C0">
      <w:pPr>
        <w:ind w:firstLine="480"/>
      </w:pPr>
    </w:p>
    <w:p w:rsidR="00EE56C0" w:rsidRDefault="00EE56C0">
      <w:pPr>
        <w:ind w:firstLine="480"/>
      </w:pPr>
    </w:p>
    <w:p w:rsidR="00EE56C0" w:rsidRDefault="000F36A1">
      <w:pPr>
        <w:pStyle w:val="aff8"/>
      </w:pPr>
      <w:r>
        <w:rPr>
          <w:b w:val="0"/>
          <w:noProof/>
        </w:rPr>
        <w:lastRenderedPageBreak/>
        <w:drawing>
          <wp:inline distT="0" distB="0" distL="0" distR="0">
            <wp:extent cx="4713605" cy="4020185"/>
            <wp:effectExtent l="1905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71"/>
                    <a:srcRect/>
                    <a:stretch>
                      <a:fillRect/>
                    </a:stretch>
                  </pic:blipFill>
                  <pic:spPr>
                    <a:xfrm>
                      <a:off x="0" y="0"/>
                      <a:ext cx="4713605" cy="4020185"/>
                    </a:xfrm>
                    <a:prstGeom prst="rect">
                      <a:avLst/>
                    </a:prstGeom>
                    <a:noFill/>
                    <a:ln w="9525">
                      <a:noFill/>
                      <a:miter lim="800000"/>
                      <a:headEnd/>
                      <a:tailEnd/>
                    </a:ln>
                  </pic:spPr>
                </pic:pic>
              </a:graphicData>
            </a:graphic>
          </wp:inline>
        </w:drawing>
      </w:r>
    </w:p>
    <w:p w:rsidR="00EE56C0" w:rsidRDefault="000F36A1">
      <w:pPr>
        <w:pStyle w:val="aff8"/>
        <w:rPr>
          <w:rFonts w:eastAsia="黑体"/>
        </w:rPr>
      </w:pPr>
      <w:r>
        <w:rPr>
          <w:rFonts w:eastAsia="黑体" w:hint="eastAsia"/>
        </w:rPr>
        <w:t>图</w:t>
      </w:r>
      <w:r>
        <w:rPr>
          <w:rFonts w:eastAsia="黑体" w:hint="eastAsia"/>
        </w:rPr>
        <w:t xml:space="preserve">4-2  </w:t>
      </w:r>
      <w:r>
        <w:rPr>
          <w:rFonts w:eastAsia="黑体" w:hint="eastAsia"/>
        </w:rPr>
        <w:t>区域水系及功能区划示意图</w:t>
      </w:r>
    </w:p>
    <w:p w:rsidR="00EE56C0" w:rsidRDefault="000F36A1">
      <w:pPr>
        <w:pStyle w:val="4"/>
        <w:ind w:left="120" w:firstLine="241"/>
      </w:pPr>
      <w:bookmarkStart w:id="251" w:name="_Toc428286788"/>
      <w:bookmarkStart w:id="252" w:name="_Toc428287534"/>
      <w:bookmarkStart w:id="253" w:name="_Toc428287182"/>
      <w:r>
        <w:rPr>
          <w:rFonts w:hint="eastAsia"/>
        </w:rPr>
        <w:t>4.1.1.6</w:t>
      </w:r>
      <w:r>
        <w:t>地下水环境</w:t>
      </w:r>
      <w:bookmarkEnd w:id="251"/>
      <w:bookmarkEnd w:id="252"/>
      <w:bookmarkEnd w:id="253"/>
    </w:p>
    <w:p w:rsidR="00EE56C0" w:rsidRDefault="000F36A1">
      <w:pPr>
        <w:ind w:firstLine="480"/>
      </w:pPr>
      <w:bookmarkStart w:id="254" w:name="_Toc242350681"/>
      <w:bookmarkStart w:id="255" w:name="_Toc251338304"/>
      <w:bookmarkStart w:id="256" w:name="_Toc245634107"/>
      <w:bookmarkStart w:id="257" w:name="_Toc245630714"/>
      <w:bookmarkStart w:id="258" w:name="_Toc249411650"/>
      <w:r>
        <w:t>新乡县属黄河故道，地下水资源丰富，经探测表明：该地区浅层水顶板埋深</w:t>
      </w:r>
      <w:r>
        <w:t>4~8m</w:t>
      </w:r>
      <w:r>
        <w:t>。底板埋深</w:t>
      </w:r>
      <w:r>
        <w:t>71~87m</w:t>
      </w:r>
      <w:r>
        <w:t>，以中砂为主；中层水顶板埋深</w:t>
      </w:r>
      <w:r>
        <w:t>73~97m</w:t>
      </w:r>
      <w:r>
        <w:t>，底板埋深</w:t>
      </w:r>
      <w:r>
        <w:t>124~137m</w:t>
      </w:r>
      <w:r>
        <w:t>，以中细沙为主；水位年变幅</w:t>
      </w:r>
      <w:r>
        <w:t>3</w:t>
      </w:r>
      <w:r>
        <w:t>～</w:t>
      </w:r>
      <w:r>
        <w:t>6m</w:t>
      </w:r>
      <w:r>
        <w:t>。地下水化学类型以</w:t>
      </w:r>
      <w:r>
        <w:t>HCO</w:t>
      </w:r>
      <w:r>
        <w:rPr>
          <w:vertAlign w:val="subscript"/>
        </w:rPr>
        <w:t>3</w:t>
      </w:r>
      <w:r>
        <w:t>-Ca·Mg</w:t>
      </w:r>
      <w:r>
        <w:t>或</w:t>
      </w:r>
      <w:r>
        <w:t>HCO</w:t>
      </w:r>
      <w:r>
        <w:rPr>
          <w:vertAlign w:val="subscript"/>
        </w:rPr>
        <w:t>3</w:t>
      </w:r>
      <w:r>
        <w:t>·CL-Ca·Mg</w:t>
      </w:r>
      <w:r>
        <w:t>型为主，矿化度小于</w:t>
      </w:r>
      <w:r>
        <w:t>1g/L</w:t>
      </w:r>
      <w:r>
        <w:t>。</w:t>
      </w:r>
    </w:p>
    <w:p w:rsidR="00EE56C0" w:rsidRDefault="000F36A1">
      <w:pPr>
        <w:ind w:firstLine="480"/>
      </w:pPr>
      <w:r>
        <w:t>该区域上浅层地下水为松散岩类孔隙水、碎屑岩裂隙水，主要接受大气降水入渗和侧向径流补给，排泄以侧向径流与人工开采为主要方式。地下水流向从西南至东北。</w:t>
      </w:r>
    </w:p>
    <w:p w:rsidR="00EE56C0" w:rsidRDefault="000F36A1">
      <w:pPr>
        <w:pStyle w:val="4"/>
        <w:ind w:left="120" w:firstLine="241"/>
      </w:pPr>
      <w:bookmarkStart w:id="259" w:name="_Toc428286789"/>
      <w:bookmarkStart w:id="260" w:name="_Toc428287183"/>
      <w:bookmarkStart w:id="261" w:name="_Toc428287535"/>
      <w:r>
        <w:rPr>
          <w:rFonts w:hint="eastAsia"/>
        </w:rPr>
        <w:t>4.1.1.7</w:t>
      </w:r>
      <w:r>
        <w:t>土壤与动植物</w:t>
      </w:r>
      <w:bookmarkEnd w:id="259"/>
      <w:bookmarkEnd w:id="260"/>
      <w:bookmarkEnd w:id="261"/>
    </w:p>
    <w:p w:rsidR="00EE56C0" w:rsidRDefault="000F36A1">
      <w:pPr>
        <w:ind w:firstLine="480"/>
      </w:pPr>
      <w:r>
        <w:t>新乡县的土壤母质系新生界第四系，由太行山前冲积物和黄河、沁河冲积物形成，可分为潮土、褐土、水稻土、风沙土</w:t>
      </w:r>
      <w:r>
        <w:t>4</w:t>
      </w:r>
      <w:r>
        <w:t>个土类，</w:t>
      </w:r>
      <w:r>
        <w:t>7</w:t>
      </w:r>
      <w:r>
        <w:t>个亚类，</w:t>
      </w:r>
      <w:r>
        <w:t>13</w:t>
      </w:r>
      <w:r>
        <w:t>个土属，</w:t>
      </w:r>
      <w:r>
        <w:t>35</w:t>
      </w:r>
      <w:r>
        <w:t>个土种。境内潮土分布最广。本项目所在区域土壤为潮土</w:t>
      </w:r>
      <w:r>
        <w:rPr>
          <w:rFonts w:hint="eastAsia"/>
        </w:rPr>
        <w:t>。</w:t>
      </w:r>
    </w:p>
    <w:p w:rsidR="00EE56C0" w:rsidRDefault="000F36A1">
      <w:pPr>
        <w:pStyle w:val="4"/>
        <w:ind w:left="120" w:firstLine="241"/>
      </w:pPr>
      <w:bookmarkStart w:id="262" w:name="_Toc428286790"/>
      <w:bookmarkStart w:id="263" w:name="_Toc417375754"/>
      <w:bookmarkStart w:id="264" w:name="_Toc428287184"/>
      <w:bookmarkStart w:id="265" w:name="_Toc429318391"/>
      <w:bookmarkEnd w:id="254"/>
      <w:bookmarkEnd w:id="255"/>
      <w:bookmarkEnd w:id="256"/>
      <w:bookmarkEnd w:id="257"/>
      <w:bookmarkEnd w:id="258"/>
      <w:r>
        <w:rPr>
          <w:rFonts w:hint="eastAsia"/>
        </w:rPr>
        <w:lastRenderedPageBreak/>
        <w:t>4.1.1.8</w:t>
      </w:r>
      <w:r>
        <w:rPr>
          <w:rFonts w:hint="eastAsia"/>
        </w:rPr>
        <w:t>生态现状</w:t>
      </w:r>
    </w:p>
    <w:p w:rsidR="00EE56C0" w:rsidRDefault="000F36A1">
      <w:pPr>
        <w:ind w:firstLine="480"/>
      </w:pPr>
      <w:r>
        <w:t>新乡市地处华北平原，土地肥沃，气候温和，雨量适中，光热条件较好，地貌类型多样。既有山川、平原，又有沙丘、滩地、湿地，自然条件优越，适宜多种动、植物生长繁衍，野生动植物资源丰富。</w:t>
      </w:r>
    </w:p>
    <w:p w:rsidR="00EE56C0" w:rsidRDefault="000F36A1">
      <w:pPr>
        <w:ind w:firstLine="480"/>
      </w:pPr>
      <w:r>
        <w:t>据调查新乡市市域内野生动植物资源品种繁多，但是数量比较少。据统计，有动物</w:t>
      </w:r>
      <w:r>
        <w:t>607</w:t>
      </w:r>
      <w:r>
        <w:t>种，其中鸟类</w:t>
      </w:r>
      <w:r>
        <w:t>1222</w:t>
      </w:r>
      <w:r>
        <w:t>种，兽类</w:t>
      </w:r>
      <w:r>
        <w:t>40</w:t>
      </w:r>
      <w:r>
        <w:t>种，昆虫</w:t>
      </w:r>
      <w:r>
        <w:t>306</w:t>
      </w:r>
      <w:r>
        <w:t>种，鱼类</w:t>
      </w:r>
      <w:r>
        <w:t>44</w:t>
      </w:r>
      <w:r>
        <w:t>种，其他动物</w:t>
      </w:r>
      <w:r>
        <w:t>100</w:t>
      </w:r>
      <w:r>
        <w:t>多种。国家一级保护动物</w:t>
      </w:r>
      <w:r>
        <w:t>13</w:t>
      </w:r>
      <w:r>
        <w:t>种，二级保护动物</w:t>
      </w:r>
      <w:r>
        <w:t>31</w:t>
      </w:r>
      <w:r>
        <w:t>种。野生动物集中区在：原阳黄河湿地自然保护区、辉县太行山猕猴国家级自然保护区、豫北黄河故道湿地鸟类国家级自然保护区。</w:t>
      </w:r>
    </w:p>
    <w:p w:rsidR="00EE56C0" w:rsidRDefault="000F36A1">
      <w:pPr>
        <w:ind w:firstLine="480"/>
      </w:pPr>
      <w:r>
        <w:t>新乡市有植物</w:t>
      </w:r>
      <w:r>
        <w:t>520</w:t>
      </w:r>
      <w:r>
        <w:t>种，其中低等植物</w:t>
      </w:r>
      <w:r>
        <w:t>6</w:t>
      </w:r>
      <w:r>
        <w:t>门</w:t>
      </w:r>
      <w:r>
        <w:t>87</w:t>
      </w:r>
      <w:r>
        <w:t>种，高等植物</w:t>
      </w:r>
      <w:r>
        <w:t>65</w:t>
      </w:r>
      <w:r>
        <w:t>科</w:t>
      </w:r>
      <w:r>
        <w:t>212</w:t>
      </w:r>
      <w:r>
        <w:t>属，苔藓植物</w:t>
      </w:r>
      <w:r>
        <w:t>9</w:t>
      </w:r>
      <w:r>
        <w:t>科</w:t>
      </w:r>
      <w:r>
        <w:t>12</w:t>
      </w:r>
      <w:r>
        <w:t>属</w:t>
      </w:r>
      <w:r>
        <w:t>10</w:t>
      </w:r>
      <w:r>
        <w:t>种；裸子植物</w:t>
      </w:r>
      <w:r>
        <w:t>50</w:t>
      </w:r>
      <w:r>
        <w:t>科</w:t>
      </w:r>
      <w:r>
        <w:t>195</w:t>
      </w:r>
      <w:r>
        <w:t>属</w:t>
      </w:r>
      <w:r>
        <w:t>405</w:t>
      </w:r>
      <w:r>
        <w:t>种；被子植物</w:t>
      </w:r>
      <w:r>
        <w:t>139</w:t>
      </w:r>
      <w:r>
        <w:t>科</w:t>
      </w:r>
      <w:r>
        <w:t>686</w:t>
      </w:r>
      <w:r>
        <w:t>属</w:t>
      </w:r>
      <w:r>
        <w:t>1585</w:t>
      </w:r>
      <w:r>
        <w:t>种、</w:t>
      </w:r>
      <w:r>
        <w:t>7</w:t>
      </w:r>
      <w:r>
        <w:t>亚种、</w:t>
      </w:r>
      <w:r>
        <w:t>134</w:t>
      </w:r>
      <w:r>
        <w:t>变种及</w:t>
      </w:r>
      <w:r>
        <w:t>4</w:t>
      </w:r>
      <w:r>
        <w:t>栽培变种。属于国家和省重点保护的植物有银杏、红豆杉、红椿、天麻、核桃楸、华榛、青檀、猥实等</w:t>
      </w:r>
      <w:r>
        <w:t>10</w:t>
      </w:r>
      <w:r>
        <w:t>多种</w:t>
      </w:r>
      <w:r>
        <w:rPr>
          <w:rFonts w:hint="eastAsia"/>
        </w:rPr>
        <w:t>。</w:t>
      </w:r>
      <w:bookmarkEnd w:id="262"/>
      <w:bookmarkEnd w:id="263"/>
      <w:bookmarkEnd w:id="264"/>
      <w:bookmarkEnd w:id="265"/>
    </w:p>
    <w:p w:rsidR="00EE56C0" w:rsidRDefault="000F36A1">
      <w:pPr>
        <w:pStyle w:val="2"/>
        <w:numPr>
          <w:ilvl w:val="1"/>
          <w:numId w:val="3"/>
        </w:numPr>
        <w:ind w:left="0" w:firstLine="301"/>
      </w:pPr>
      <w:bookmarkStart w:id="266" w:name="_Toc25400912"/>
      <w:r>
        <w:rPr>
          <w:rFonts w:hint="eastAsia"/>
        </w:rPr>
        <w:t>环境质量现状调查与评价</w:t>
      </w:r>
      <w:bookmarkEnd w:id="266"/>
    </w:p>
    <w:p w:rsidR="00EE56C0" w:rsidRDefault="000F36A1">
      <w:pPr>
        <w:pStyle w:val="3"/>
        <w:spacing w:before="240" w:after="120"/>
      </w:pPr>
      <w:r>
        <w:rPr>
          <w:rFonts w:hint="eastAsia"/>
        </w:rPr>
        <w:t>4.2.1</w:t>
      </w:r>
      <w:r>
        <w:rPr>
          <w:rFonts w:hint="eastAsia"/>
        </w:rPr>
        <w:t>现状监测数据来源</w:t>
      </w:r>
      <w:bookmarkEnd w:id="231"/>
      <w:bookmarkEnd w:id="232"/>
      <w:bookmarkEnd w:id="233"/>
      <w:bookmarkEnd w:id="234"/>
    </w:p>
    <w:p w:rsidR="00EE56C0" w:rsidRDefault="000F36A1">
      <w:pPr>
        <w:ind w:firstLine="480"/>
      </w:pPr>
      <w:bookmarkStart w:id="267" w:name="_Toc199565748"/>
      <w:bookmarkStart w:id="268" w:name="_Toc199566844"/>
      <w:bookmarkStart w:id="269" w:name="_Toc311812644"/>
      <w:bookmarkStart w:id="270" w:name="_Toc324839303"/>
      <w:bookmarkStart w:id="271" w:name="_Toc502244697"/>
      <w:bookmarkStart w:id="272" w:name="_Toc324839600"/>
      <w:bookmarkStart w:id="273" w:name="_Toc428287224"/>
      <w:bookmarkStart w:id="274" w:name="_Toc429318407"/>
      <w:bookmarkStart w:id="275" w:name="_Toc310408270"/>
      <w:bookmarkStart w:id="276" w:name="_Toc428286863"/>
      <w:bookmarkEnd w:id="235"/>
      <w:r>
        <w:t>环境空气质量评价因子中</w:t>
      </w:r>
      <w:r>
        <w:rPr>
          <w:rFonts w:hint="eastAsia"/>
        </w:rPr>
        <w:t>基本污染物（</w:t>
      </w:r>
      <w:r>
        <w:t>SO</w:t>
      </w:r>
      <w:r>
        <w:rPr>
          <w:vertAlign w:val="subscript"/>
        </w:rPr>
        <w:t>2</w:t>
      </w:r>
      <w:r>
        <w:t>、</w:t>
      </w:r>
      <w:r>
        <w:t>NO</w:t>
      </w:r>
      <w:r>
        <w:rPr>
          <w:vertAlign w:val="subscript"/>
        </w:rPr>
        <w:t>2</w:t>
      </w:r>
      <w:r>
        <w:t>、</w:t>
      </w:r>
      <w:r>
        <w:t>PM</w:t>
      </w:r>
      <w:r>
        <w:rPr>
          <w:vertAlign w:val="subscript"/>
        </w:rPr>
        <w:t>10</w:t>
      </w:r>
      <w:r>
        <w:t>、</w:t>
      </w:r>
      <w:r>
        <w:t>PM</w:t>
      </w:r>
      <w:r>
        <w:rPr>
          <w:rFonts w:hint="eastAsia"/>
          <w:vertAlign w:val="subscript"/>
        </w:rPr>
        <w:t>2.5</w:t>
      </w:r>
      <w:r>
        <w:t>、</w:t>
      </w:r>
      <w:r>
        <w:rPr>
          <w:rFonts w:hint="eastAsia"/>
        </w:rPr>
        <w:t>CO</w:t>
      </w:r>
      <w:r>
        <w:rPr>
          <w:rFonts w:hint="eastAsia"/>
        </w:rPr>
        <w:t>、</w:t>
      </w:r>
      <w:r>
        <w:rPr>
          <w:rFonts w:hint="eastAsia"/>
        </w:rPr>
        <w:t>O</w:t>
      </w:r>
      <w:r>
        <w:rPr>
          <w:rFonts w:hint="eastAsia"/>
          <w:vertAlign w:val="subscript"/>
        </w:rPr>
        <w:t>3</w:t>
      </w:r>
      <w:r>
        <w:rPr>
          <w:rFonts w:hint="eastAsia"/>
        </w:rPr>
        <w:t>）环境质量现状数据来源于新乡市生态环境局发布的《新乡市</w:t>
      </w:r>
      <w:r>
        <w:rPr>
          <w:rFonts w:hint="eastAsia"/>
        </w:rPr>
        <w:t>2020</w:t>
      </w:r>
      <w:r>
        <w:rPr>
          <w:rFonts w:hint="eastAsia"/>
        </w:rPr>
        <w:t>年环境质量年报》。其他污染物（苯、甲苯、二甲苯、非甲烷总烃、酚）环境质量现状数据</w:t>
      </w:r>
      <w:r>
        <w:t>来源于</w:t>
      </w:r>
      <w:r>
        <w:rPr>
          <w:rFonts w:hint="eastAsia"/>
        </w:rPr>
        <w:t>本次环评委托河南永飞检测科技有限公司</w:t>
      </w:r>
      <w:r>
        <w:rPr>
          <w:rFonts w:hint="eastAsia"/>
        </w:rPr>
        <w:t>2021</w:t>
      </w:r>
      <w:r>
        <w:rPr>
          <w:rFonts w:hint="eastAsia"/>
        </w:rPr>
        <w:t>年</w:t>
      </w:r>
      <w:r>
        <w:rPr>
          <w:rFonts w:hint="eastAsia"/>
        </w:rPr>
        <w:t>4</w:t>
      </w:r>
      <w:r>
        <w:rPr>
          <w:rFonts w:hint="eastAsia"/>
        </w:rPr>
        <w:t>月</w:t>
      </w:r>
      <w:r>
        <w:rPr>
          <w:rFonts w:hint="eastAsia"/>
        </w:rPr>
        <w:t>5</w:t>
      </w:r>
      <w:r>
        <w:rPr>
          <w:rFonts w:hint="eastAsia"/>
        </w:rPr>
        <w:t>日</w:t>
      </w:r>
      <w:r>
        <w:rPr>
          <w:rFonts w:hint="eastAsia"/>
        </w:rPr>
        <w:t>~11</w:t>
      </w:r>
      <w:r>
        <w:rPr>
          <w:rFonts w:hint="eastAsia"/>
        </w:rPr>
        <w:t>日进行的监测。</w:t>
      </w:r>
    </w:p>
    <w:p w:rsidR="00EE56C0" w:rsidRDefault="000F36A1">
      <w:pPr>
        <w:ind w:firstLine="480"/>
      </w:pPr>
      <w:r>
        <w:rPr>
          <w:rFonts w:hint="eastAsia"/>
        </w:rPr>
        <w:t>地下水环境质量</w:t>
      </w:r>
      <w:r>
        <w:t>现状</w:t>
      </w:r>
      <w:r>
        <w:rPr>
          <w:rFonts w:hint="eastAsia"/>
        </w:rPr>
        <w:t>来源于本次环评委托河南永飞检测科技有限公司</w:t>
      </w:r>
      <w:r>
        <w:rPr>
          <w:rFonts w:hint="eastAsia"/>
        </w:rPr>
        <w:t>2021</w:t>
      </w:r>
      <w:r>
        <w:rPr>
          <w:rFonts w:hint="eastAsia"/>
        </w:rPr>
        <w:t>年</w:t>
      </w:r>
      <w:r>
        <w:rPr>
          <w:rFonts w:hint="eastAsia"/>
        </w:rPr>
        <w:t>4</w:t>
      </w:r>
      <w:r>
        <w:rPr>
          <w:rFonts w:hint="eastAsia"/>
        </w:rPr>
        <w:t>月</w:t>
      </w:r>
      <w:r>
        <w:rPr>
          <w:rFonts w:hint="eastAsia"/>
        </w:rPr>
        <w:t>5</w:t>
      </w:r>
      <w:r>
        <w:rPr>
          <w:rFonts w:hint="eastAsia"/>
        </w:rPr>
        <w:t>日</w:t>
      </w:r>
      <w:r>
        <w:rPr>
          <w:rFonts w:hint="eastAsia"/>
        </w:rPr>
        <w:t>~7</w:t>
      </w:r>
      <w:r>
        <w:rPr>
          <w:rFonts w:hint="eastAsia"/>
        </w:rPr>
        <w:t>日进行的监测。</w:t>
      </w:r>
    </w:p>
    <w:p w:rsidR="00EE56C0" w:rsidRDefault="000F36A1">
      <w:pPr>
        <w:ind w:firstLine="480"/>
      </w:pPr>
      <w:r>
        <w:rPr>
          <w:rFonts w:hint="eastAsia"/>
        </w:rPr>
        <w:t>声环境质量</w:t>
      </w:r>
      <w:r>
        <w:t>现状</w:t>
      </w:r>
      <w:r>
        <w:rPr>
          <w:rFonts w:hint="eastAsia"/>
        </w:rPr>
        <w:t>来源于本次环评委托河南永飞检测科技有限公司</w:t>
      </w:r>
      <w:r>
        <w:rPr>
          <w:rFonts w:hint="eastAsia"/>
        </w:rPr>
        <w:t>2021</w:t>
      </w:r>
      <w:r>
        <w:rPr>
          <w:rFonts w:hint="eastAsia"/>
        </w:rPr>
        <w:t>年</w:t>
      </w:r>
      <w:r>
        <w:rPr>
          <w:rFonts w:hint="eastAsia"/>
        </w:rPr>
        <w:t>4</w:t>
      </w:r>
      <w:r>
        <w:rPr>
          <w:rFonts w:hint="eastAsia"/>
        </w:rPr>
        <w:t>月</w:t>
      </w:r>
      <w:r>
        <w:rPr>
          <w:rFonts w:hint="eastAsia"/>
        </w:rPr>
        <w:t>5</w:t>
      </w:r>
      <w:r>
        <w:rPr>
          <w:rFonts w:hint="eastAsia"/>
        </w:rPr>
        <w:t>日</w:t>
      </w:r>
      <w:r>
        <w:rPr>
          <w:rFonts w:hint="eastAsia"/>
        </w:rPr>
        <w:t>~6</w:t>
      </w:r>
      <w:r>
        <w:rPr>
          <w:rFonts w:hint="eastAsia"/>
        </w:rPr>
        <w:t>日进行的监测。</w:t>
      </w:r>
    </w:p>
    <w:p w:rsidR="00EE56C0" w:rsidRDefault="000F36A1">
      <w:pPr>
        <w:ind w:firstLine="480"/>
      </w:pPr>
      <w:r>
        <w:rPr>
          <w:rFonts w:hint="eastAsia"/>
        </w:rPr>
        <w:t>地表水环境质量</w:t>
      </w:r>
      <w:r>
        <w:t>现状</w:t>
      </w:r>
      <w:r>
        <w:rPr>
          <w:rFonts w:hint="eastAsia"/>
        </w:rPr>
        <w:t>监测数据来源：</w:t>
      </w:r>
      <w:r>
        <w:t>引用新乡市环境监测站</w:t>
      </w:r>
      <w:r>
        <w:rPr>
          <w:rFonts w:hint="eastAsia"/>
        </w:rPr>
        <w:t>编制的监测通报</w:t>
      </w:r>
      <w:r>
        <w:lastRenderedPageBreak/>
        <w:t>20</w:t>
      </w:r>
      <w:r>
        <w:rPr>
          <w:rFonts w:hint="eastAsia"/>
        </w:rPr>
        <w:t>20</w:t>
      </w:r>
      <w:r>
        <w:rPr>
          <w:rFonts w:hint="eastAsia"/>
        </w:rPr>
        <w:t>年</w:t>
      </w:r>
      <w:r>
        <w:rPr>
          <w:rFonts w:hint="eastAsia"/>
        </w:rPr>
        <w:t>8</w:t>
      </w:r>
      <w:r>
        <w:rPr>
          <w:rFonts w:hint="eastAsia"/>
        </w:rPr>
        <w:t>月～</w:t>
      </w:r>
      <w:r>
        <w:t>20</w:t>
      </w:r>
      <w:r>
        <w:rPr>
          <w:rFonts w:hint="eastAsia"/>
        </w:rPr>
        <w:t>21</w:t>
      </w:r>
      <w:r>
        <w:rPr>
          <w:rFonts w:hint="eastAsia"/>
        </w:rPr>
        <w:t>年</w:t>
      </w:r>
      <w:r>
        <w:rPr>
          <w:rFonts w:hint="eastAsia"/>
        </w:rPr>
        <w:t>7</w:t>
      </w:r>
      <w:r>
        <w:rPr>
          <w:rFonts w:hint="eastAsia"/>
        </w:rPr>
        <w:t>月的东孟姜女河青龙路化肥厂断面的常规监测资料。</w:t>
      </w:r>
    </w:p>
    <w:p w:rsidR="00EE56C0" w:rsidRDefault="000F36A1">
      <w:pPr>
        <w:ind w:firstLine="480"/>
      </w:pPr>
      <w:r>
        <w:rPr>
          <w:rFonts w:hint="eastAsia"/>
        </w:rPr>
        <w:t>土壤环境质量</w:t>
      </w:r>
      <w:r>
        <w:t>现状</w:t>
      </w:r>
      <w:r>
        <w:rPr>
          <w:rFonts w:hint="eastAsia"/>
        </w:rPr>
        <w:t>来源于本次环评委托河南永飞检测科技有限公司</w:t>
      </w:r>
      <w:r>
        <w:rPr>
          <w:rFonts w:hint="eastAsia"/>
        </w:rPr>
        <w:t>2021</w:t>
      </w:r>
      <w:r>
        <w:rPr>
          <w:rFonts w:hint="eastAsia"/>
        </w:rPr>
        <w:t>年</w:t>
      </w:r>
      <w:r>
        <w:rPr>
          <w:rFonts w:hint="eastAsia"/>
        </w:rPr>
        <w:t>4</w:t>
      </w:r>
      <w:r>
        <w:rPr>
          <w:rFonts w:hint="eastAsia"/>
        </w:rPr>
        <w:t>月</w:t>
      </w:r>
      <w:r>
        <w:rPr>
          <w:rFonts w:hint="eastAsia"/>
        </w:rPr>
        <w:t>5</w:t>
      </w:r>
      <w:r>
        <w:rPr>
          <w:rFonts w:hint="eastAsia"/>
        </w:rPr>
        <w:t>日进行的监测。</w:t>
      </w:r>
    </w:p>
    <w:p w:rsidR="00EE56C0" w:rsidRDefault="000F36A1">
      <w:pPr>
        <w:ind w:firstLine="480"/>
      </w:pPr>
      <w:r>
        <w:rPr>
          <w:rFonts w:hint="eastAsia"/>
        </w:rPr>
        <w:t>本次评价根据以上监测数据对本项目所在区域环境质量进行评价。</w:t>
      </w:r>
    </w:p>
    <w:p w:rsidR="00EE56C0" w:rsidRDefault="000F36A1">
      <w:pPr>
        <w:pStyle w:val="3"/>
        <w:spacing w:before="240" w:after="120"/>
      </w:pPr>
      <w:r>
        <w:rPr>
          <w:rFonts w:hint="eastAsia"/>
        </w:rPr>
        <w:t>4.2.2</w:t>
      </w:r>
      <w:r>
        <w:rPr>
          <w:rFonts w:hint="eastAsia"/>
        </w:rPr>
        <w:t>环境空气质量现状</w:t>
      </w:r>
      <w:bookmarkEnd w:id="267"/>
      <w:bookmarkEnd w:id="268"/>
      <w:r>
        <w:rPr>
          <w:rFonts w:hint="eastAsia"/>
        </w:rPr>
        <w:t>评价</w:t>
      </w:r>
      <w:bookmarkEnd w:id="269"/>
      <w:bookmarkEnd w:id="270"/>
      <w:bookmarkEnd w:id="271"/>
      <w:bookmarkEnd w:id="272"/>
    </w:p>
    <w:p w:rsidR="00EE56C0" w:rsidRDefault="000F36A1">
      <w:pPr>
        <w:pStyle w:val="4"/>
        <w:ind w:left="120" w:firstLine="241"/>
      </w:pPr>
      <w:bookmarkStart w:id="277" w:name="_Toc324839304"/>
      <w:bookmarkStart w:id="278" w:name="_Toc324839601"/>
      <w:r>
        <w:rPr>
          <w:rFonts w:hint="eastAsia"/>
        </w:rPr>
        <w:t>4.2.2.1</w:t>
      </w:r>
      <w:r>
        <w:rPr>
          <w:rFonts w:hint="eastAsia"/>
        </w:rPr>
        <w:t>基本污染物环境质量现状评价</w:t>
      </w:r>
    </w:p>
    <w:p w:rsidR="00EE56C0" w:rsidRDefault="000F36A1">
      <w:pPr>
        <w:ind w:firstLine="480"/>
        <w:rPr>
          <w:kern w:val="2"/>
        </w:rPr>
      </w:pPr>
      <w:r>
        <w:rPr>
          <w:rFonts w:hint="eastAsia"/>
          <w:kern w:val="2"/>
        </w:rPr>
        <w:t>根据大气功能区划分原则，项目所在区域为二类功能区，环境空气质量应执行《环境空气质量标准》（</w:t>
      </w:r>
      <w:r>
        <w:rPr>
          <w:kern w:val="2"/>
        </w:rPr>
        <w:t>GB3095-2012</w:t>
      </w:r>
      <w:r>
        <w:rPr>
          <w:rFonts w:hint="eastAsia"/>
          <w:kern w:val="2"/>
        </w:rPr>
        <w:t>）二级标准。</w:t>
      </w:r>
      <w:r>
        <w:rPr>
          <w:rFonts w:hint="eastAsia"/>
        </w:rPr>
        <w:t>根据新乡市生态环境局发布的《新乡市</w:t>
      </w:r>
      <w:r>
        <w:t>20</w:t>
      </w:r>
      <w:r>
        <w:rPr>
          <w:rFonts w:hint="eastAsia"/>
        </w:rPr>
        <w:t>20</w:t>
      </w:r>
      <w:r>
        <w:rPr>
          <w:rFonts w:hint="eastAsia"/>
        </w:rPr>
        <w:t>年环境质量年报》，区域空气质量现状数据如下表所示。</w:t>
      </w:r>
    </w:p>
    <w:p w:rsidR="00EE56C0" w:rsidRDefault="000F36A1">
      <w:pPr>
        <w:pStyle w:val="afd"/>
        <w:spacing w:before="120" w:after="120"/>
        <w:ind w:firstLine="482"/>
      </w:pPr>
      <w:r>
        <w:rPr>
          <w:rFonts w:hint="eastAsia"/>
        </w:rPr>
        <w:t>表</w:t>
      </w:r>
      <w:r>
        <w:t>4</w:t>
      </w:r>
      <w:r>
        <w:rPr>
          <w:rFonts w:hint="eastAsia"/>
        </w:rPr>
        <w:t xml:space="preserve">-1            </w:t>
      </w:r>
      <w:r>
        <w:rPr>
          <w:rFonts w:hint="eastAsia"/>
        </w:rPr>
        <w:t>区域空气质量现状评价表</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CellMar>
          <w:top w:w="57" w:type="dxa"/>
          <w:bottom w:w="57" w:type="dxa"/>
        </w:tblCellMar>
        <w:tblLook w:val="04A0"/>
      </w:tblPr>
      <w:tblGrid>
        <w:gridCol w:w="1305"/>
        <w:gridCol w:w="1757"/>
        <w:gridCol w:w="1457"/>
        <w:gridCol w:w="1583"/>
        <w:gridCol w:w="1191"/>
        <w:gridCol w:w="1189"/>
      </w:tblGrid>
      <w:tr w:rsidR="00EE56C0">
        <w:trPr>
          <w:cantSplit/>
          <w:trHeight w:val="369"/>
          <w:jc w:val="center"/>
        </w:trPr>
        <w:tc>
          <w:tcPr>
            <w:tcW w:w="769" w:type="pct"/>
            <w:tcMar>
              <w:top w:w="57" w:type="dxa"/>
              <w:left w:w="85" w:type="dxa"/>
              <w:bottom w:w="57" w:type="dxa"/>
              <w:right w:w="85" w:type="dxa"/>
            </w:tcMar>
            <w:vAlign w:val="center"/>
          </w:tcPr>
          <w:p w:rsidR="00EE56C0" w:rsidRDefault="000F36A1">
            <w:pPr>
              <w:pStyle w:val="aff1"/>
              <w:rPr>
                <w:color w:val="auto"/>
              </w:rPr>
            </w:pPr>
            <w:r>
              <w:rPr>
                <w:rFonts w:hint="eastAsia"/>
                <w:color w:val="auto"/>
              </w:rPr>
              <w:t>污染物</w:t>
            </w:r>
          </w:p>
        </w:tc>
        <w:tc>
          <w:tcPr>
            <w:tcW w:w="1036" w:type="pct"/>
            <w:tcMar>
              <w:top w:w="57" w:type="dxa"/>
              <w:left w:w="85" w:type="dxa"/>
              <w:bottom w:w="57" w:type="dxa"/>
              <w:right w:w="85" w:type="dxa"/>
            </w:tcMar>
            <w:vAlign w:val="center"/>
          </w:tcPr>
          <w:p w:rsidR="00EE56C0" w:rsidRDefault="000F36A1">
            <w:pPr>
              <w:pStyle w:val="aff1"/>
              <w:rPr>
                <w:color w:val="auto"/>
              </w:rPr>
            </w:pPr>
            <w:r>
              <w:rPr>
                <w:rFonts w:hint="eastAsia"/>
                <w:color w:val="auto"/>
              </w:rPr>
              <w:t>年评价指标</w:t>
            </w:r>
          </w:p>
        </w:tc>
        <w:tc>
          <w:tcPr>
            <w:tcW w:w="859" w:type="pct"/>
            <w:tcMar>
              <w:top w:w="57" w:type="dxa"/>
              <w:left w:w="85" w:type="dxa"/>
              <w:bottom w:w="57" w:type="dxa"/>
              <w:right w:w="85" w:type="dxa"/>
            </w:tcMar>
            <w:vAlign w:val="center"/>
          </w:tcPr>
          <w:p w:rsidR="00EE56C0" w:rsidRDefault="000F36A1">
            <w:pPr>
              <w:pStyle w:val="aff1"/>
              <w:rPr>
                <w:color w:val="auto"/>
              </w:rPr>
            </w:pPr>
            <w:r>
              <w:rPr>
                <w:rFonts w:hint="eastAsia"/>
                <w:color w:val="auto"/>
              </w:rPr>
              <w:t>现状浓度</w:t>
            </w:r>
          </w:p>
          <w:p w:rsidR="00EE56C0" w:rsidRDefault="000F36A1">
            <w:pPr>
              <w:pStyle w:val="aff1"/>
              <w:rPr>
                <w:color w:val="auto"/>
              </w:rPr>
            </w:pPr>
            <w:r>
              <w:rPr>
                <w:rFonts w:hint="eastAsia"/>
                <w:color w:val="auto"/>
              </w:rPr>
              <w:t>（</w:t>
            </w:r>
            <w:r>
              <w:rPr>
                <w:color w:val="auto"/>
              </w:rPr>
              <w:t>μg/m</w:t>
            </w:r>
            <w:r>
              <w:rPr>
                <w:color w:val="auto"/>
                <w:vertAlign w:val="superscript"/>
              </w:rPr>
              <w:t>3</w:t>
            </w:r>
            <w:r>
              <w:rPr>
                <w:rFonts w:hint="eastAsia"/>
                <w:color w:val="auto"/>
              </w:rPr>
              <w:t>）</w:t>
            </w:r>
          </w:p>
        </w:tc>
        <w:tc>
          <w:tcPr>
            <w:tcW w:w="933" w:type="pct"/>
            <w:tcMar>
              <w:top w:w="57" w:type="dxa"/>
              <w:left w:w="85" w:type="dxa"/>
              <w:bottom w:w="57" w:type="dxa"/>
              <w:right w:w="85" w:type="dxa"/>
            </w:tcMar>
            <w:vAlign w:val="center"/>
          </w:tcPr>
          <w:p w:rsidR="00EE56C0" w:rsidRDefault="000F36A1">
            <w:pPr>
              <w:pStyle w:val="aff1"/>
              <w:rPr>
                <w:color w:val="auto"/>
              </w:rPr>
            </w:pPr>
            <w:r>
              <w:rPr>
                <w:rFonts w:hint="eastAsia"/>
                <w:color w:val="auto"/>
              </w:rPr>
              <w:t>标准值</w:t>
            </w:r>
          </w:p>
          <w:p w:rsidR="00EE56C0" w:rsidRDefault="000F36A1">
            <w:pPr>
              <w:pStyle w:val="aff1"/>
              <w:rPr>
                <w:color w:val="auto"/>
              </w:rPr>
            </w:pPr>
            <w:r>
              <w:rPr>
                <w:rFonts w:hint="eastAsia"/>
                <w:color w:val="auto"/>
              </w:rPr>
              <w:t>（</w:t>
            </w:r>
            <w:r>
              <w:rPr>
                <w:bCs/>
                <w:color w:val="auto"/>
              </w:rPr>
              <w:t>μ</w:t>
            </w:r>
            <w:r>
              <w:rPr>
                <w:color w:val="auto"/>
              </w:rPr>
              <w:t>g/m</w:t>
            </w:r>
            <w:r>
              <w:rPr>
                <w:color w:val="auto"/>
                <w:vertAlign w:val="superscript"/>
              </w:rPr>
              <w:t>3</w:t>
            </w:r>
            <w:r>
              <w:rPr>
                <w:rFonts w:hint="eastAsia"/>
                <w:color w:val="auto"/>
              </w:rPr>
              <w:t>）</w:t>
            </w:r>
          </w:p>
        </w:tc>
        <w:tc>
          <w:tcPr>
            <w:tcW w:w="702" w:type="pct"/>
            <w:tcMar>
              <w:top w:w="57" w:type="dxa"/>
              <w:left w:w="85" w:type="dxa"/>
              <w:bottom w:w="57" w:type="dxa"/>
              <w:right w:w="85" w:type="dxa"/>
            </w:tcMar>
            <w:vAlign w:val="center"/>
          </w:tcPr>
          <w:p w:rsidR="00EE56C0" w:rsidRDefault="000F36A1">
            <w:pPr>
              <w:pStyle w:val="aff1"/>
              <w:rPr>
                <w:color w:val="auto"/>
              </w:rPr>
            </w:pPr>
            <w:r>
              <w:rPr>
                <w:rFonts w:hint="eastAsia"/>
                <w:color w:val="auto"/>
              </w:rPr>
              <w:t>占标率</w:t>
            </w:r>
          </w:p>
          <w:p w:rsidR="00EE56C0" w:rsidRDefault="000F36A1">
            <w:pPr>
              <w:pStyle w:val="aff1"/>
              <w:rPr>
                <w:color w:val="auto"/>
              </w:rPr>
            </w:pPr>
            <w:r>
              <w:rPr>
                <w:color w:val="auto"/>
              </w:rPr>
              <w:t>%</w:t>
            </w:r>
          </w:p>
        </w:tc>
        <w:tc>
          <w:tcPr>
            <w:tcW w:w="701" w:type="pct"/>
            <w:tcMar>
              <w:top w:w="57" w:type="dxa"/>
              <w:left w:w="85" w:type="dxa"/>
              <w:bottom w:w="57" w:type="dxa"/>
              <w:right w:w="85" w:type="dxa"/>
            </w:tcMar>
            <w:vAlign w:val="center"/>
          </w:tcPr>
          <w:p w:rsidR="00EE56C0" w:rsidRDefault="000F36A1">
            <w:pPr>
              <w:pStyle w:val="aff1"/>
              <w:rPr>
                <w:color w:val="auto"/>
              </w:rPr>
            </w:pPr>
            <w:r>
              <w:rPr>
                <w:rFonts w:hint="eastAsia"/>
                <w:color w:val="auto"/>
              </w:rPr>
              <w:t>达标情况</w:t>
            </w:r>
          </w:p>
        </w:tc>
      </w:tr>
      <w:tr w:rsidR="00EE56C0">
        <w:trPr>
          <w:cantSplit/>
          <w:trHeight w:val="369"/>
          <w:jc w:val="center"/>
        </w:trPr>
        <w:tc>
          <w:tcPr>
            <w:tcW w:w="769" w:type="pct"/>
            <w:tcMar>
              <w:top w:w="57" w:type="dxa"/>
              <w:left w:w="85" w:type="dxa"/>
              <w:bottom w:w="57" w:type="dxa"/>
              <w:right w:w="85" w:type="dxa"/>
            </w:tcMar>
            <w:vAlign w:val="center"/>
          </w:tcPr>
          <w:p w:rsidR="00EE56C0" w:rsidRDefault="000F36A1">
            <w:pPr>
              <w:pStyle w:val="afa"/>
            </w:pPr>
            <w:r>
              <w:t>PM</w:t>
            </w:r>
            <w:r>
              <w:rPr>
                <w:vertAlign w:val="subscript"/>
              </w:rPr>
              <w:t>10</w:t>
            </w:r>
          </w:p>
        </w:tc>
        <w:tc>
          <w:tcPr>
            <w:tcW w:w="1036" w:type="pct"/>
            <w:tcMar>
              <w:top w:w="57" w:type="dxa"/>
              <w:left w:w="85" w:type="dxa"/>
              <w:bottom w:w="57" w:type="dxa"/>
              <w:right w:w="85" w:type="dxa"/>
            </w:tcMar>
            <w:vAlign w:val="center"/>
          </w:tcPr>
          <w:p w:rsidR="00EE56C0" w:rsidRDefault="000F36A1">
            <w:pPr>
              <w:pStyle w:val="afa"/>
            </w:pPr>
            <w:r>
              <w:rPr>
                <w:rFonts w:hint="eastAsia"/>
              </w:rPr>
              <w:t>年平均质量浓度</w:t>
            </w:r>
          </w:p>
        </w:tc>
        <w:tc>
          <w:tcPr>
            <w:tcW w:w="859" w:type="pct"/>
            <w:tcMar>
              <w:top w:w="57" w:type="dxa"/>
              <w:left w:w="85" w:type="dxa"/>
              <w:bottom w:w="57" w:type="dxa"/>
              <w:right w:w="85" w:type="dxa"/>
            </w:tcMar>
            <w:vAlign w:val="center"/>
          </w:tcPr>
          <w:p w:rsidR="00EE56C0" w:rsidRDefault="000F36A1">
            <w:pPr>
              <w:pStyle w:val="afa"/>
            </w:pPr>
            <w:r>
              <w:rPr>
                <w:rFonts w:hint="eastAsia"/>
              </w:rPr>
              <w:t>89</w:t>
            </w:r>
          </w:p>
        </w:tc>
        <w:tc>
          <w:tcPr>
            <w:tcW w:w="933" w:type="pct"/>
            <w:tcMar>
              <w:top w:w="57" w:type="dxa"/>
              <w:left w:w="85" w:type="dxa"/>
              <w:bottom w:w="57" w:type="dxa"/>
              <w:right w:w="85" w:type="dxa"/>
            </w:tcMar>
            <w:vAlign w:val="center"/>
          </w:tcPr>
          <w:p w:rsidR="00EE56C0" w:rsidRDefault="000F36A1">
            <w:pPr>
              <w:pStyle w:val="afa"/>
            </w:pPr>
            <w:r>
              <w:t>70</w:t>
            </w:r>
          </w:p>
        </w:tc>
        <w:tc>
          <w:tcPr>
            <w:tcW w:w="702" w:type="pct"/>
            <w:tcMar>
              <w:top w:w="57" w:type="dxa"/>
              <w:left w:w="85" w:type="dxa"/>
              <w:bottom w:w="57" w:type="dxa"/>
              <w:right w:w="85" w:type="dxa"/>
            </w:tcMar>
            <w:vAlign w:val="center"/>
          </w:tcPr>
          <w:p w:rsidR="00EE56C0" w:rsidRDefault="000F36A1">
            <w:pPr>
              <w:pStyle w:val="afa"/>
            </w:pPr>
            <w:r>
              <w:t>1</w:t>
            </w:r>
            <w:r>
              <w:rPr>
                <w:rFonts w:hint="eastAsia"/>
              </w:rPr>
              <w:t>27</w:t>
            </w:r>
          </w:p>
        </w:tc>
        <w:tc>
          <w:tcPr>
            <w:tcW w:w="701" w:type="pct"/>
            <w:tcMar>
              <w:top w:w="57" w:type="dxa"/>
              <w:left w:w="85" w:type="dxa"/>
              <w:bottom w:w="57" w:type="dxa"/>
              <w:right w:w="85" w:type="dxa"/>
            </w:tcMar>
            <w:vAlign w:val="center"/>
          </w:tcPr>
          <w:p w:rsidR="00EE56C0" w:rsidRDefault="000F36A1">
            <w:pPr>
              <w:pStyle w:val="afa"/>
            </w:pPr>
            <w:r>
              <w:rPr>
                <w:rFonts w:hint="eastAsia"/>
              </w:rPr>
              <w:t>超标</w:t>
            </w:r>
          </w:p>
        </w:tc>
      </w:tr>
      <w:tr w:rsidR="00EE56C0">
        <w:trPr>
          <w:cantSplit/>
          <w:trHeight w:val="369"/>
          <w:jc w:val="center"/>
        </w:trPr>
        <w:tc>
          <w:tcPr>
            <w:tcW w:w="769" w:type="pct"/>
            <w:tcMar>
              <w:top w:w="57" w:type="dxa"/>
              <w:left w:w="85" w:type="dxa"/>
              <w:bottom w:w="57" w:type="dxa"/>
              <w:right w:w="85" w:type="dxa"/>
            </w:tcMar>
            <w:vAlign w:val="center"/>
          </w:tcPr>
          <w:p w:rsidR="00EE56C0" w:rsidRDefault="000F36A1">
            <w:pPr>
              <w:pStyle w:val="afa"/>
            </w:pPr>
            <w:r>
              <w:t>PM</w:t>
            </w:r>
            <w:r>
              <w:rPr>
                <w:vertAlign w:val="subscript"/>
              </w:rPr>
              <w:t>2.5</w:t>
            </w:r>
          </w:p>
        </w:tc>
        <w:tc>
          <w:tcPr>
            <w:tcW w:w="1036" w:type="pct"/>
            <w:tcMar>
              <w:top w:w="57" w:type="dxa"/>
              <w:left w:w="85" w:type="dxa"/>
              <w:bottom w:w="57" w:type="dxa"/>
              <w:right w:w="85" w:type="dxa"/>
            </w:tcMar>
            <w:vAlign w:val="center"/>
          </w:tcPr>
          <w:p w:rsidR="00EE56C0" w:rsidRDefault="000F36A1">
            <w:pPr>
              <w:pStyle w:val="afa"/>
            </w:pPr>
            <w:r>
              <w:rPr>
                <w:rFonts w:hint="eastAsia"/>
              </w:rPr>
              <w:t>年平均质量浓度</w:t>
            </w:r>
          </w:p>
        </w:tc>
        <w:tc>
          <w:tcPr>
            <w:tcW w:w="859" w:type="pct"/>
            <w:tcMar>
              <w:top w:w="57" w:type="dxa"/>
              <w:left w:w="85" w:type="dxa"/>
              <w:bottom w:w="57" w:type="dxa"/>
              <w:right w:w="85" w:type="dxa"/>
            </w:tcMar>
            <w:vAlign w:val="center"/>
          </w:tcPr>
          <w:p w:rsidR="00EE56C0" w:rsidRDefault="000F36A1">
            <w:pPr>
              <w:pStyle w:val="afa"/>
            </w:pPr>
            <w:r>
              <w:rPr>
                <w:rFonts w:hint="eastAsia"/>
              </w:rPr>
              <w:t>51</w:t>
            </w:r>
          </w:p>
        </w:tc>
        <w:tc>
          <w:tcPr>
            <w:tcW w:w="933" w:type="pct"/>
            <w:tcMar>
              <w:top w:w="57" w:type="dxa"/>
              <w:left w:w="85" w:type="dxa"/>
              <w:bottom w:w="57" w:type="dxa"/>
              <w:right w:w="85" w:type="dxa"/>
            </w:tcMar>
            <w:vAlign w:val="center"/>
          </w:tcPr>
          <w:p w:rsidR="00EE56C0" w:rsidRDefault="000F36A1">
            <w:pPr>
              <w:pStyle w:val="afa"/>
            </w:pPr>
            <w:r>
              <w:t>35</w:t>
            </w:r>
          </w:p>
        </w:tc>
        <w:tc>
          <w:tcPr>
            <w:tcW w:w="702" w:type="pct"/>
            <w:tcMar>
              <w:top w:w="57" w:type="dxa"/>
              <w:left w:w="85" w:type="dxa"/>
              <w:bottom w:w="57" w:type="dxa"/>
              <w:right w:w="85" w:type="dxa"/>
            </w:tcMar>
            <w:vAlign w:val="center"/>
          </w:tcPr>
          <w:p w:rsidR="00EE56C0" w:rsidRDefault="000F36A1">
            <w:pPr>
              <w:pStyle w:val="afa"/>
            </w:pPr>
            <w:r>
              <w:t>1</w:t>
            </w:r>
            <w:r>
              <w:rPr>
                <w:rFonts w:hint="eastAsia"/>
              </w:rPr>
              <w:t>46</w:t>
            </w:r>
          </w:p>
        </w:tc>
        <w:tc>
          <w:tcPr>
            <w:tcW w:w="701" w:type="pct"/>
            <w:tcMar>
              <w:top w:w="57" w:type="dxa"/>
              <w:left w:w="85" w:type="dxa"/>
              <w:bottom w:w="57" w:type="dxa"/>
              <w:right w:w="85" w:type="dxa"/>
            </w:tcMar>
            <w:vAlign w:val="center"/>
          </w:tcPr>
          <w:p w:rsidR="00EE56C0" w:rsidRDefault="000F36A1">
            <w:pPr>
              <w:pStyle w:val="afa"/>
            </w:pPr>
            <w:r>
              <w:rPr>
                <w:rFonts w:hint="eastAsia"/>
              </w:rPr>
              <w:t>超标</w:t>
            </w:r>
          </w:p>
        </w:tc>
      </w:tr>
      <w:tr w:rsidR="00EE56C0">
        <w:trPr>
          <w:cantSplit/>
          <w:trHeight w:val="369"/>
          <w:jc w:val="center"/>
        </w:trPr>
        <w:tc>
          <w:tcPr>
            <w:tcW w:w="769" w:type="pct"/>
            <w:tcMar>
              <w:top w:w="57" w:type="dxa"/>
              <w:left w:w="85" w:type="dxa"/>
              <w:bottom w:w="57" w:type="dxa"/>
              <w:right w:w="85" w:type="dxa"/>
            </w:tcMar>
            <w:vAlign w:val="center"/>
          </w:tcPr>
          <w:p w:rsidR="00EE56C0" w:rsidRDefault="000F36A1">
            <w:pPr>
              <w:pStyle w:val="afa"/>
            </w:pPr>
            <w:r>
              <w:t>SO</w:t>
            </w:r>
            <w:r>
              <w:rPr>
                <w:vertAlign w:val="subscript"/>
              </w:rPr>
              <w:t>2</w:t>
            </w:r>
          </w:p>
        </w:tc>
        <w:tc>
          <w:tcPr>
            <w:tcW w:w="1036" w:type="pct"/>
            <w:tcMar>
              <w:top w:w="57" w:type="dxa"/>
              <w:left w:w="85" w:type="dxa"/>
              <w:bottom w:w="57" w:type="dxa"/>
              <w:right w:w="85" w:type="dxa"/>
            </w:tcMar>
            <w:vAlign w:val="center"/>
          </w:tcPr>
          <w:p w:rsidR="00EE56C0" w:rsidRDefault="000F36A1">
            <w:pPr>
              <w:pStyle w:val="afa"/>
            </w:pPr>
            <w:r>
              <w:rPr>
                <w:rFonts w:hint="eastAsia"/>
              </w:rPr>
              <w:t>年平均质量浓度</w:t>
            </w:r>
          </w:p>
        </w:tc>
        <w:tc>
          <w:tcPr>
            <w:tcW w:w="859" w:type="pct"/>
            <w:tcMar>
              <w:top w:w="57" w:type="dxa"/>
              <w:left w:w="85" w:type="dxa"/>
              <w:bottom w:w="57" w:type="dxa"/>
              <w:right w:w="85" w:type="dxa"/>
            </w:tcMar>
            <w:vAlign w:val="center"/>
          </w:tcPr>
          <w:p w:rsidR="00EE56C0" w:rsidRDefault="000F36A1">
            <w:pPr>
              <w:pStyle w:val="afa"/>
            </w:pPr>
            <w:r>
              <w:t>1</w:t>
            </w:r>
            <w:r>
              <w:rPr>
                <w:rFonts w:hint="eastAsia"/>
              </w:rPr>
              <w:t>3</w:t>
            </w:r>
          </w:p>
        </w:tc>
        <w:tc>
          <w:tcPr>
            <w:tcW w:w="933" w:type="pct"/>
            <w:tcMar>
              <w:top w:w="57" w:type="dxa"/>
              <w:left w:w="85" w:type="dxa"/>
              <w:bottom w:w="57" w:type="dxa"/>
              <w:right w:w="85" w:type="dxa"/>
            </w:tcMar>
            <w:vAlign w:val="center"/>
          </w:tcPr>
          <w:p w:rsidR="00EE56C0" w:rsidRDefault="000F36A1">
            <w:pPr>
              <w:pStyle w:val="afa"/>
            </w:pPr>
            <w:r>
              <w:t>60</w:t>
            </w:r>
          </w:p>
        </w:tc>
        <w:tc>
          <w:tcPr>
            <w:tcW w:w="702" w:type="pct"/>
            <w:tcMar>
              <w:top w:w="57" w:type="dxa"/>
              <w:left w:w="85" w:type="dxa"/>
              <w:bottom w:w="57" w:type="dxa"/>
              <w:right w:w="85" w:type="dxa"/>
            </w:tcMar>
            <w:vAlign w:val="center"/>
          </w:tcPr>
          <w:p w:rsidR="00EE56C0" w:rsidRDefault="000F36A1">
            <w:pPr>
              <w:pStyle w:val="afa"/>
            </w:pPr>
            <w:r>
              <w:t>2</w:t>
            </w:r>
            <w:r>
              <w:rPr>
                <w:rFonts w:hint="eastAsia"/>
              </w:rPr>
              <w:t>1</w:t>
            </w:r>
            <w:r>
              <w:t>.7</w:t>
            </w:r>
          </w:p>
        </w:tc>
        <w:tc>
          <w:tcPr>
            <w:tcW w:w="701" w:type="pct"/>
            <w:tcMar>
              <w:top w:w="57" w:type="dxa"/>
              <w:left w:w="85" w:type="dxa"/>
              <w:bottom w:w="57" w:type="dxa"/>
              <w:right w:w="85" w:type="dxa"/>
            </w:tcMar>
            <w:vAlign w:val="center"/>
          </w:tcPr>
          <w:p w:rsidR="00EE56C0" w:rsidRDefault="000F36A1">
            <w:pPr>
              <w:pStyle w:val="afa"/>
            </w:pPr>
            <w:r>
              <w:rPr>
                <w:rFonts w:hint="eastAsia"/>
              </w:rPr>
              <w:t>达标</w:t>
            </w:r>
          </w:p>
        </w:tc>
      </w:tr>
      <w:tr w:rsidR="00EE56C0">
        <w:trPr>
          <w:cantSplit/>
          <w:trHeight w:val="369"/>
          <w:jc w:val="center"/>
        </w:trPr>
        <w:tc>
          <w:tcPr>
            <w:tcW w:w="769" w:type="pct"/>
            <w:tcMar>
              <w:top w:w="57" w:type="dxa"/>
              <w:left w:w="85" w:type="dxa"/>
              <w:bottom w:w="57" w:type="dxa"/>
              <w:right w:w="85" w:type="dxa"/>
            </w:tcMar>
            <w:vAlign w:val="center"/>
          </w:tcPr>
          <w:p w:rsidR="00EE56C0" w:rsidRDefault="000F36A1">
            <w:pPr>
              <w:pStyle w:val="afa"/>
            </w:pPr>
            <w:r>
              <w:t>NO</w:t>
            </w:r>
            <w:r>
              <w:rPr>
                <w:vertAlign w:val="subscript"/>
              </w:rPr>
              <w:t>2</w:t>
            </w:r>
          </w:p>
        </w:tc>
        <w:tc>
          <w:tcPr>
            <w:tcW w:w="1036" w:type="pct"/>
            <w:tcMar>
              <w:top w:w="57" w:type="dxa"/>
              <w:left w:w="85" w:type="dxa"/>
              <w:bottom w:w="57" w:type="dxa"/>
              <w:right w:w="85" w:type="dxa"/>
            </w:tcMar>
            <w:vAlign w:val="center"/>
          </w:tcPr>
          <w:p w:rsidR="00EE56C0" w:rsidRDefault="000F36A1">
            <w:pPr>
              <w:pStyle w:val="afa"/>
            </w:pPr>
            <w:r>
              <w:rPr>
                <w:rFonts w:hint="eastAsia"/>
              </w:rPr>
              <w:t>年平均质量浓度</w:t>
            </w:r>
          </w:p>
        </w:tc>
        <w:tc>
          <w:tcPr>
            <w:tcW w:w="859" w:type="pct"/>
            <w:tcMar>
              <w:top w:w="57" w:type="dxa"/>
              <w:left w:w="85" w:type="dxa"/>
              <w:bottom w:w="57" w:type="dxa"/>
              <w:right w:w="85" w:type="dxa"/>
            </w:tcMar>
            <w:vAlign w:val="center"/>
          </w:tcPr>
          <w:p w:rsidR="00EE56C0" w:rsidRDefault="000F36A1">
            <w:pPr>
              <w:pStyle w:val="afa"/>
            </w:pPr>
            <w:r>
              <w:rPr>
                <w:rFonts w:hint="eastAsia"/>
              </w:rPr>
              <w:t>35</w:t>
            </w:r>
          </w:p>
        </w:tc>
        <w:tc>
          <w:tcPr>
            <w:tcW w:w="933" w:type="pct"/>
            <w:tcMar>
              <w:top w:w="57" w:type="dxa"/>
              <w:left w:w="85" w:type="dxa"/>
              <w:bottom w:w="57" w:type="dxa"/>
              <w:right w:w="85" w:type="dxa"/>
            </w:tcMar>
            <w:vAlign w:val="center"/>
          </w:tcPr>
          <w:p w:rsidR="00EE56C0" w:rsidRDefault="000F36A1">
            <w:pPr>
              <w:pStyle w:val="afa"/>
            </w:pPr>
            <w:r>
              <w:t>40</w:t>
            </w:r>
          </w:p>
        </w:tc>
        <w:tc>
          <w:tcPr>
            <w:tcW w:w="702" w:type="pct"/>
            <w:tcMar>
              <w:top w:w="57" w:type="dxa"/>
              <w:left w:w="85" w:type="dxa"/>
              <w:bottom w:w="57" w:type="dxa"/>
              <w:right w:w="85" w:type="dxa"/>
            </w:tcMar>
            <w:vAlign w:val="center"/>
          </w:tcPr>
          <w:p w:rsidR="00EE56C0" w:rsidRDefault="000F36A1">
            <w:pPr>
              <w:pStyle w:val="afa"/>
            </w:pPr>
            <w:r>
              <w:rPr>
                <w:rFonts w:hint="eastAsia"/>
              </w:rPr>
              <w:t>87.5</w:t>
            </w:r>
          </w:p>
        </w:tc>
        <w:tc>
          <w:tcPr>
            <w:tcW w:w="701" w:type="pct"/>
            <w:tcMar>
              <w:top w:w="57" w:type="dxa"/>
              <w:left w:w="85" w:type="dxa"/>
              <w:bottom w:w="57" w:type="dxa"/>
              <w:right w:w="85" w:type="dxa"/>
            </w:tcMar>
            <w:vAlign w:val="center"/>
          </w:tcPr>
          <w:p w:rsidR="00EE56C0" w:rsidRDefault="000F36A1">
            <w:pPr>
              <w:pStyle w:val="afa"/>
            </w:pPr>
            <w:r>
              <w:rPr>
                <w:rFonts w:hint="eastAsia"/>
              </w:rPr>
              <w:t>达标</w:t>
            </w:r>
          </w:p>
        </w:tc>
      </w:tr>
      <w:tr w:rsidR="00EE56C0">
        <w:trPr>
          <w:cantSplit/>
          <w:trHeight w:val="369"/>
          <w:jc w:val="center"/>
        </w:trPr>
        <w:tc>
          <w:tcPr>
            <w:tcW w:w="769" w:type="pct"/>
            <w:tcMar>
              <w:top w:w="57" w:type="dxa"/>
              <w:left w:w="85" w:type="dxa"/>
              <w:bottom w:w="57" w:type="dxa"/>
              <w:right w:w="85" w:type="dxa"/>
            </w:tcMar>
            <w:vAlign w:val="center"/>
          </w:tcPr>
          <w:p w:rsidR="00EE56C0" w:rsidRDefault="000F36A1">
            <w:pPr>
              <w:pStyle w:val="afa"/>
            </w:pPr>
            <w:r>
              <w:t>CO</w:t>
            </w:r>
          </w:p>
        </w:tc>
        <w:tc>
          <w:tcPr>
            <w:tcW w:w="1036" w:type="pct"/>
            <w:tcMar>
              <w:top w:w="57" w:type="dxa"/>
              <w:left w:w="85" w:type="dxa"/>
              <w:bottom w:w="57" w:type="dxa"/>
              <w:right w:w="85" w:type="dxa"/>
            </w:tcMar>
            <w:vAlign w:val="center"/>
          </w:tcPr>
          <w:p w:rsidR="00EE56C0" w:rsidRDefault="000F36A1">
            <w:pPr>
              <w:pStyle w:val="afa"/>
            </w:pPr>
            <w:r>
              <w:rPr>
                <w:rFonts w:hint="eastAsia"/>
              </w:rPr>
              <w:t>第</w:t>
            </w:r>
            <w:r>
              <w:t>95</w:t>
            </w:r>
            <w:r>
              <w:rPr>
                <w:rFonts w:hint="eastAsia"/>
              </w:rPr>
              <w:t>百分位浓度</w:t>
            </w:r>
          </w:p>
        </w:tc>
        <w:tc>
          <w:tcPr>
            <w:tcW w:w="859" w:type="pct"/>
            <w:tcMar>
              <w:top w:w="57" w:type="dxa"/>
              <w:left w:w="85" w:type="dxa"/>
              <w:bottom w:w="57" w:type="dxa"/>
              <w:right w:w="85" w:type="dxa"/>
            </w:tcMar>
            <w:vAlign w:val="center"/>
          </w:tcPr>
          <w:p w:rsidR="00EE56C0" w:rsidRDefault="000F36A1">
            <w:pPr>
              <w:pStyle w:val="afa"/>
            </w:pPr>
            <w:r>
              <w:rPr>
                <w:rFonts w:hint="eastAsia"/>
              </w:rPr>
              <w:t>1.675</w:t>
            </w:r>
            <w:r>
              <w:t>mg/m</w:t>
            </w:r>
            <w:r>
              <w:rPr>
                <w:vertAlign w:val="superscript"/>
              </w:rPr>
              <w:t>3</w:t>
            </w:r>
          </w:p>
        </w:tc>
        <w:tc>
          <w:tcPr>
            <w:tcW w:w="933" w:type="pct"/>
            <w:tcMar>
              <w:top w:w="57" w:type="dxa"/>
              <w:left w:w="85" w:type="dxa"/>
              <w:bottom w:w="57" w:type="dxa"/>
              <w:right w:w="85" w:type="dxa"/>
            </w:tcMar>
            <w:vAlign w:val="center"/>
          </w:tcPr>
          <w:p w:rsidR="00EE56C0" w:rsidRDefault="000F36A1">
            <w:pPr>
              <w:pStyle w:val="afa"/>
            </w:pPr>
            <w:r>
              <w:t>4mg/m</w:t>
            </w:r>
            <w:r>
              <w:rPr>
                <w:vertAlign w:val="superscript"/>
              </w:rPr>
              <w:t>3</w:t>
            </w:r>
          </w:p>
        </w:tc>
        <w:tc>
          <w:tcPr>
            <w:tcW w:w="702" w:type="pct"/>
            <w:tcMar>
              <w:top w:w="57" w:type="dxa"/>
              <w:left w:w="85" w:type="dxa"/>
              <w:bottom w:w="57" w:type="dxa"/>
              <w:right w:w="85" w:type="dxa"/>
            </w:tcMar>
            <w:vAlign w:val="center"/>
          </w:tcPr>
          <w:p w:rsidR="00EE56C0" w:rsidRDefault="000F36A1">
            <w:pPr>
              <w:pStyle w:val="afa"/>
            </w:pPr>
            <w:r>
              <w:rPr>
                <w:rFonts w:hint="eastAsia"/>
              </w:rPr>
              <w:t>41.9</w:t>
            </w:r>
          </w:p>
        </w:tc>
        <w:tc>
          <w:tcPr>
            <w:tcW w:w="701" w:type="pct"/>
            <w:tcMar>
              <w:top w:w="57" w:type="dxa"/>
              <w:left w:w="85" w:type="dxa"/>
              <w:bottom w:w="57" w:type="dxa"/>
              <w:right w:w="85" w:type="dxa"/>
            </w:tcMar>
            <w:vAlign w:val="center"/>
          </w:tcPr>
          <w:p w:rsidR="00EE56C0" w:rsidRDefault="000F36A1">
            <w:pPr>
              <w:pStyle w:val="afa"/>
            </w:pPr>
            <w:r>
              <w:rPr>
                <w:rFonts w:hint="eastAsia"/>
              </w:rPr>
              <w:t>达标</w:t>
            </w:r>
          </w:p>
        </w:tc>
      </w:tr>
      <w:tr w:rsidR="00EE56C0">
        <w:trPr>
          <w:cantSplit/>
          <w:trHeight w:val="369"/>
          <w:jc w:val="center"/>
        </w:trPr>
        <w:tc>
          <w:tcPr>
            <w:tcW w:w="769" w:type="pct"/>
            <w:tcMar>
              <w:top w:w="57" w:type="dxa"/>
              <w:left w:w="85" w:type="dxa"/>
              <w:bottom w:w="57" w:type="dxa"/>
              <w:right w:w="85" w:type="dxa"/>
            </w:tcMar>
            <w:vAlign w:val="center"/>
          </w:tcPr>
          <w:p w:rsidR="00EE56C0" w:rsidRDefault="000F36A1">
            <w:pPr>
              <w:pStyle w:val="afa"/>
            </w:pPr>
            <w:r>
              <w:t>O</w:t>
            </w:r>
            <w:r>
              <w:rPr>
                <w:vertAlign w:val="subscript"/>
              </w:rPr>
              <w:t>3</w:t>
            </w:r>
          </w:p>
        </w:tc>
        <w:tc>
          <w:tcPr>
            <w:tcW w:w="1036" w:type="pct"/>
            <w:tcMar>
              <w:top w:w="57" w:type="dxa"/>
              <w:left w:w="85" w:type="dxa"/>
              <w:bottom w:w="57" w:type="dxa"/>
              <w:right w:w="85" w:type="dxa"/>
            </w:tcMar>
            <w:vAlign w:val="center"/>
          </w:tcPr>
          <w:p w:rsidR="00EE56C0" w:rsidRDefault="000F36A1">
            <w:pPr>
              <w:pStyle w:val="afa"/>
            </w:pPr>
            <w:r>
              <w:rPr>
                <w:rFonts w:hint="eastAsia"/>
              </w:rPr>
              <w:t>第</w:t>
            </w:r>
            <w:r>
              <w:t>90</w:t>
            </w:r>
            <w:r>
              <w:rPr>
                <w:rFonts w:hint="eastAsia"/>
              </w:rPr>
              <w:t>百分位浓度</w:t>
            </w:r>
          </w:p>
        </w:tc>
        <w:tc>
          <w:tcPr>
            <w:tcW w:w="859" w:type="pct"/>
            <w:tcMar>
              <w:top w:w="57" w:type="dxa"/>
              <w:left w:w="85" w:type="dxa"/>
              <w:bottom w:w="57" w:type="dxa"/>
              <w:right w:w="85" w:type="dxa"/>
            </w:tcMar>
            <w:vAlign w:val="center"/>
          </w:tcPr>
          <w:p w:rsidR="00EE56C0" w:rsidRDefault="000F36A1">
            <w:pPr>
              <w:pStyle w:val="afa"/>
            </w:pPr>
            <w:r>
              <w:t>17</w:t>
            </w:r>
            <w:r>
              <w:rPr>
                <w:rFonts w:hint="eastAsia"/>
              </w:rPr>
              <w:t>3</w:t>
            </w:r>
          </w:p>
        </w:tc>
        <w:tc>
          <w:tcPr>
            <w:tcW w:w="933" w:type="pct"/>
            <w:tcMar>
              <w:top w:w="57" w:type="dxa"/>
              <w:left w:w="85" w:type="dxa"/>
              <w:bottom w:w="57" w:type="dxa"/>
              <w:right w:w="85" w:type="dxa"/>
            </w:tcMar>
            <w:vAlign w:val="center"/>
          </w:tcPr>
          <w:p w:rsidR="00EE56C0" w:rsidRDefault="000F36A1">
            <w:pPr>
              <w:pStyle w:val="afa"/>
            </w:pPr>
            <w:r>
              <w:t>160</w:t>
            </w:r>
          </w:p>
        </w:tc>
        <w:tc>
          <w:tcPr>
            <w:tcW w:w="702" w:type="pct"/>
            <w:tcMar>
              <w:top w:w="57" w:type="dxa"/>
              <w:left w:w="85" w:type="dxa"/>
              <w:bottom w:w="57" w:type="dxa"/>
              <w:right w:w="85" w:type="dxa"/>
            </w:tcMar>
            <w:vAlign w:val="center"/>
          </w:tcPr>
          <w:p w:rsidR="00EE56C0" w:rsidRDefault="000F36A1">
            <w:pPr>
              <w:pStyle w:val="afa"/>
            </w:pPr>
            <w:r>
              <w:t>1</w:t>
            </w:r>
            <w:r>
              <w:rPr>
                <w:rFonts w:hint="eastAsia"/>
              </w:rPr>
              <w:t>08</w:t>
            </w:r>
          </w:p>
        </w:tc>
        <w:tc>
          <w:tcPr>
            <w:tcW w:w="701" w:type="pct"/>
            <w:tcMar>
              <w:top w:w="57" w:type="dxa"/>
              <w:left w:w="85" w:type="dxa"/>
              <w:bottom w:w="57" w:type="dxa"/>
              <w:right w:w="85" w:type="dxa"/>
            </w:tcMar>
            <w:vAlign w:val="center"/>
          </w:tcPr>
          <w:p w:rsidR="00EE56C0" w:rsidRDefault="000F36A1">
            <w:pPr>
              <w:pStyle w:val="afa"/>
            </w:pPr>
            <w:r>
              <w:rPr>
                <w:rFonts w:hint="eastAsia"/>
              </w:rPr>
              <w:t>超标</w:t>
            </w:r>
          </w:p>
        </w:tc>
      </w:tr>
    </w:tbl>
    <w:p w:rsidR="00EE56C0" w:rsidRDefault="000F36A1">
      <w:pPr>
        <w:ind w:firstLine="480"/>
        <w:rPr>
          <w:rFonts w:cs="宋体"/>
        </w:rPr>
      </w:pPr>
      <w:r>
        <w:rPr>
          <w:rFonts w:cs="宋体" w:hint="eastAsia"/>
        </w:rPr>
        <w:t>由上表可知，其中</w:t>
      </w:r>
      <w:r>
        <w:rPr>
          <w:rFonts w:cs="宋体"/>
        </w:rPr>
        <w:t>PM</w:t>
      </w:r>
      <w:r>
        <w:rPr>
          <w:rFonts w:cs="宋体"/>
          <w:vertAlign w:val="subscript"/>
        </w:rPr>
        <w:t>10</w:t>
      </w:r>
      <w:r>
        <w:rPr>
          <w:rFonts w:cs="宋体" w:hint="eastAsia"/>
        </w:rPr>
        <w:t>、</w:t>
      </w:r>
      <w:r>
        <w:rPr>
          <w:rFonts w:cs="宋体"/>
        </w:rPr>
        <w:t>PM</w:t>
      </w:r>
      <w:r>
        <w:rPr>
          <w:rFonts w:cs="宋体"/>
          <w:vertAlign w:val="subscript"/>
        </w:rPr>
        <w:t>2.5</w:t>
      </w:r>
      <w:r>
        <w:rPr>
          <w:rFonts w:cs="宋体" w:hint="eastAsia"/>
        </w:rPr>
        <w:t>和</w:t>
      </w:r>
      <w:r>
        <w:rPr>
          <w:rFonts w:cs="宋体"/>
        </w:rPr>
        <w:t>O</w:t>
      </w:r>
      <w:r>
        <w:rPr>
          <w:rFonts w:cs="宋体"/>
          <w:vertAlign w:val="subscript"/>
        </w:rPr>
        <w:t>3</w:t>
      </w:r>
      <w:r>
        <w:rPr>
          <w:rFonts w:cs="宋体" w:hint="eastAsia"/>
        </w:rPr>
        <w:t>均不能够满足《环境空气质量标准》（</w:t>
      </w:r>
      <w:r>
        <w:rPr>
          <w:rFonts w:cs="宋体"/>
        </w:rPr>
        <w:t>GB3095-2012</w:t>
      </w:r>
      <w:r>
        <w:rPr>
          <w:rFonts w:cs="宋体" w:hint="eastAsia"/>
        </w:rPr>
        <w:t>）二级标准要求。根据《环境影响评价技术导则大气环境》</w:t>
      </w:r>
      <w:r>
        <w:rPr>
          <w:rFonts w:cs="宋体"/>
        </w:rPr>
        <w:t>(HJ2.2-2018)</w:t>
      </w:r>
      <w:r>
        <w:rPr>
          <w:rFonts w:cs="宋体" w:hint="eastAsia"/>
        </w:rPr>
        <w:t>，本项目所在区域属于未达标区。空气质量超标原因主要为：①冬季供暖锅炉以及部分企业燃煤锅炉启动，且冬季大气自净能力下降，污染扩散气象条件差；②区域内汽车等交通源增加，污染物排放量增大；③天气干燥，尘土较多。因此超标现象属于区域性污染问题。</w:t>
      </w:r>
    </w:p>
    <w:p w:rsidR="00EE56C0" w:rsidRDefault="000F36A1">
      <w:pPr>
        <w:ind w:firstLine="480"/>
      </w:pPr>
      <w:r>
        <w:rPr>
          <w:rFonts w:cs="宋体" w:hint="eastAsia"/>
        </w:rPr>
        <w:t>2020</w:t>
      </w:r>
      <w:r>
        <w:rPr>
          <w:rFonts w:cs="宋体" w:hint="eastAsia"/>
        </w:rPr>
        <w:t>年，新乡市</w:t>
      </w:r>
      <w:r>
        <w:rPr>
          <w:rFonts w:cs="宋体" w:hint="eastAsia"/>
        </w:rPr>
        <w:t>PM</w:t>
      </w:r>
      <w:r>
        <w:rPr>
          <w:rFonts w:cs="宋体" w:hint="eastAsia"/>
          <w:vertAlign w:val="subscript"/>
        </w:rPr>
        <w:t>10</w:t>
      </w:r>
      <w:r>
        <w:rPr>
          <w:rFonts w:cs="宋体" w:hint="eastAsia"/>
        </w:rPr>
        <w:t>平均浓度</w:t>
      </w:r>
      <w:r>
        <w:rPr>
          <w:rFonts w:cs="宋体" w:hint="eastAsia"/>
        </w:rPr>
        <w:t>89</w:t>
      </w:r>
      <w:r>
        <w:rPr>
          <w:rFonts w:cs="宋体" w:hint="eastAsia"/>
        </w:rPr>
        <w:t>微克</w:t>
      </w:r>
      <w:r>
        <w:rPr>
          <w:rFonts w:cs="宋体" w:hint="eastAsia"/>
        </w:rPr>
        <w:t>/</w:t>
      </w:r>
      <w:r>
        <w:rPr>
          <w:rFonts w:cs="宋体" w:hint="eastAsia"/>
        </w:rPr>
        <w:t>立方米，同比下降</w:t>
      </w:r>
      <w:r>
        <w:rPr>
          <w:rFonts w:cs="宋体" w:hint="eastAsia"/>
        </w:rPr>
        <w:t>12</w:t>
      </w:r>
      <w:r>
        <w:rPr>
          <w:rFonts w:cs="宋体" w:hint="eastAsia"/>
        </w:rPr>
        <w:t>微克</w:t>
      </w:r>
      <w:r>
        <w:rPr>
          <w:rFonts w:cs="宋体" w:hint="eastAsia"/>
        </w:rPr>
        <w:t>/</w:t>
      </w:r>
      <w:r>
        <w:rPr>
          <w:rFonts w:cs="宋体" w:hint="eastAsia"/>
        </w:rPr>
        <w:t>立方米，降幅</w:t>
      </w:r>
      <w:r>
        <w:rPr>
          <w:rFonts w:cs="宋体" w:hint="eastAsia"/>
        </w:rPr>
        <w:t>11.9%</w:t>
      </w:r>
      <w:r>
        <w:rPr>
          <w:rFonts w:cs="宋体" w:hint="eastAsia"/>
        </w:rPr>
        <w:t>；</w:t>
      </w:r>
      <w:r>
        <w:rPr>
          <w:rFonts w:cs="宋体" w:hint="eastAsia"/>
        </w:rPr>
        <w:t>PM</w:t>
      </w:r>
      <w:r>
        <w:rPr>
          <w:rFonts w:cs="宋体" w:hint="eastAsia"/>
          <w:vertAlign w:val="subscript"/>
        </w:rPr>
        <w:t>2.5</w:t>
      </w:r>
      <w:r>
        <w:rPr>
          <w:rFonts w:cs="宋体" w:hint="eastAsia"/>
        </w:rPr>
        <w:t>平均浓度</w:t>
      </w:r>
      <w:r>
        <w:rPr>
          <w:rFonts w:cs="宋体" w:hint="eastAsia"/>
        </w:rPr>
        <w:t>51</w:t>
      </w:r>
      <w:r>
        <w:rPr>
          <w:rFonts w:cs="宋体" w:hint="eastAsia"/>
        </w:rPr>
        <w:t>微克</w:t>
      </w:r>
      <w:r>
        <w:rPr>
          <w:rFonts w:cs="宋体" w:hint="eastAsia"/>
        </w:rPr>
        <w:t>/</w:t>
      </w:r>
      <w:r>
        <w:rPr>
          <w:rFonts w:cs="宋体" w:hint="eastAsia"/>
        </w:rPr>
        <w:t>立方米，同比下降</w:t>
      </w:r>
      <w:r>
        <w:rPr>
          <w:rFonts w:cs="宋体" w:hint="eastAsia"/>
        </w:rPr>
        <w:t>5</w:t>
      </w:r>
      <w:r>
        <w:rPr>
          <w:rFonts w:cs="宋体" w:hint="eastAsia"/>
        </w:rPr>
        <w:t>微克</w:t>
      </w:r>
      <w:r>
        <w:rPr>
          <w:rFonts w:cs="宋体" w:hint="eastAsia"/>
        </w:rPr>
        <w:t>/</w:t>
      </w:r>
      <w:r>
        <w:rPr>
          <w:rFonts w:cs="宋体" w:hint="eastAsia"/>
        </w:rPr>
        <w:t>立方米，降幅</w:t>
      </w:r>
      <w:r>
        <w:rPr>
          <w:rFonts w:cs="宋体" w:hint="eastAsia"/>
        </w:rPr>
        <w:t>8.9%</w:t>
      </w:r>
      <w:r>
        <w:rPr>
          <w:rFonts w:cs="宋体" w:hint="eastAsia"/>
        </w:rPr>
        <w:t>；</w:t>
      </w:r>
      <w:r>
        <w:rPr>
          <w:rFonts w:cs="宋体" w:hint="eastAsia"/>
        </w:rPr>
        <w:lastRenderedPageBreak/>
        <w:t>SO</w:t>
      </w:r>
      <w:r>
        <w:rPr>
          <w:rFonts w:cs="宋体" w:hint="eastAsia"/>
          <w:vertAlign w:val="subscript"/>
        </w:rPr>
        <w:t>2</w:t>
      </w:r>
      <w:r>
        <w:rPr>
          <w:rFonts w:cs="宋体" w:hint="eastAsia"/>
        </w:rPr>
        <w:t>平均浓度</w:t>
      </w:r>
      <w:r>
        <w:rPr>
          <w:rFonts w:cs="宋体" w:hint="eastAsia"/>
        </w:rPr>
        <w:t>13</w:t>
      </w:r>
      <w:r>
        <w:rPr>
          <w:rFonts w:cs="宋体" w:hint="eastAsia"/>
        </w:rPr>
        <w:t>微克</w:t>
      </w:r>
      <w:r>
        <w:rPr>
          <w:rFonts w:cs="宋体" w:hint="eastAsia"/>
        </w:rPr>
        <w:t>/</w:t>
      </w:r>
      <w:r>
        <w:rPr>
          <w:rFonts w:cs="宋体" w:hint="eastAsia"/>
        </w:rPr>
        <w:t>立方米，同比下降</w:t>
      </w:r>
      <w:r>
        <w:rPr>
          <w:rFonts w:cs="宋体" w:hint="eastAsia"/>
        </w:rPr>
        <w:t>3</w:t>
      </w:r>
      <w:r>
        <w:rPr>
          <w:rFonts w:cs="宋体" w:hint="eastAsia"/>
        </w:rPr>
        <w:t>微克</w:t>
      </w:r>
      <w:r>
        <w:rPr>
          <w:rFonts w:cs="宋体" w:hint="eastAsia"/>
        </w:rPr>
        <w:t>/</w:t>
      </w:r>
      <w:r>
        <w:rPr>
          <w:rFonts w:cs="宋体" w:hint="eastAsia"/>
        </w:rPr>
        <w:t>立方米，降幅</w:t>
      </w:r>
      <w:r>
        <w:rPr>
          <w:rFonts w:cs="宋体" w:hint="eastAsia"/>
        </w:rPr>
        <w:t>18.8%</w:t>
      </w:r>
      <w:r>
        <w:rPr>
          <w:rFonts w:cs="宋体" w:hint="eastAsia"/>
        </w:rPr>
        <w:t>；</w:t>
      </w:r>
      <w:r>
        <w:rPr>
          <w:rFonts w:cs="宋体" w:hint="eastAsia"/>
        </w:rPr>
        <w:t>NO</w:t>
      </w:r>
      <w:r>
        <w:rPr>
          <w:rFonts w:cs="宋体" w:hint="eastAsia"/>
          <w:vertAlign w:val="subscript"/>
        </w:rPr>
        <w:t>2</w:t>
      </w:r>
      <w:r>
        <w:rPr>
          <w:rFonts w:cs="宋体" w:hint="eastAsia"/>
        </w:rPr>
        <w:t>平均浓度</w:t>
      </w:r>
      <w:r>
        <w:rPr>
          <w:rFonts w:cs="宋体" w:hint="eastAsia"/>
        </w:rPr>
        <w:t>35</w:t>
      </w:r>
      <w:r>
        <w:rPr>
          <w:rFonts w:cs="宋体" w:hint="eastAsia"/>
        </w:rPr>
        <w:t>微克</w:t>
      </w:r>
      <w:r>
        <w:rPr>
          <w:rFonts w:cs="宋体" w:hint="eastAsia"/>
        </w:rPr>
        <w:t>/</w:t>
      </w:r>
      <w:r>
        <w:rPr>
          <w:rFonts w:cs="宋体" w:hint="eastAsia"/>
        </w:rPr>
        <w:t>立方米，同比下降</w:t>
      </w:r>
      <w:r>
        <w:rPr>
          <w:rFonts w:cs="宋体" w:hint="eastAsia"/>
        </w:rPr>
        <w:t>9</w:t>
      </w:r>
      <w:r>
        <w:rPr>
          <w:rFonts w:cs="宋体" w:hint="eastAsia"/>
        </w:rPr>
        <w:t>微克</w:t>
      </w:r>
      <w:r>
        <w:rPr>
          <w:rFonts w:cs="宋体" w:hint="eastAsia"/>
        </w:rPr>
        <w:t>/</w:t>
      </w:r>
      <w:r>
        <w:rPr>
          <w:rFonts w:cs="宋体" w:hint="eastAsia"/>
        </w:rPr>
        <w:t>立方米，降幅</w:t>
      </w:r>
      <w:r>
        <w:rPr>
          <w:rFonts w:cs="宋体" w:hint="eastAsia"/>
        </w:rPr>
        <w:t>20.5%</w:t>
      </w:r>
      <w:r>
        <w:rPr>
          <w:rFonts w:cs="宋体" w:hint="eastAsia"/>
        </w:rPr>
        <w:t>；</w:t>
      </w:r>
      <w:r>
        <w:rPr>
          <w:rFonts w:cs="宋体" w:hint="eastAsia"/>
        </w:rPr>
        <w:t>O</w:t>
      </w:r>
      <w:r>
        <w:rPr>
          <w:rFonts w:cs="宋体" w:hint="eastAsia"/>
          <w:vertAlign w:val="subscript"/>
        </w:rPr>
        <w:t>3</w:t>
      </w:r>
      <w:r>
        <w:rPr>
          <w:rFonts w:cs="宋体" w:hint="eastAsia"/>
        </w:rPr>
        <w:t>第</w:t>
      </w:r>
      <w:r>
        <w:rPr>
          <w:rFonts w:cs="宋体" w:hint="eastAsia"/>
        </w:rPr>
        <w:t>90</w:t>
      </w:r>
      <w:r>
        <w:rPr>
          <w:rFonts w:cs="宋体" w:hint="eastAsia"/>
        </w:rPr>
        <w:t>百分位浓度为</w:t>
      </w:r>
      <w:r>
        <w:rPr>
          <w:rFonts w:cs="宋体" w:hint="eastAsia"/>
        </w:rPr>
        <w:t>173</w:t>
      </w:r>
      <w:r>
        <w:rPr>
          <w:rFonts w:cs="宋体" w:hint="eastAsia"/>
        </w:rPr>
        <w:t>微克</w:t>
      </w:r>
      <w:r>
        <w:rPr>
          <w:rFonts w:cs="宋体" w:hint="eastAsia"/>
        </w:rPr>
        <w:t>/</w:t>
      </w:r>
      <w:r>
        <w:rPr>
          <w:rFonts w:cs="宋体" w:hint="eastAsia"/>
        </w:rPr>
        <w:t>立方米，同比下降</w:t>
      </w:r>
      <w:r>
        <w:rPr>
          <w:rFonts w:cs="宋体" w:hint="eastAsia"/>
        </w:rPr>
        <w:t>12</w:t>
      </w:r>
      <w:r>
        <w:rPr>
          <w:rFonts w:cs="宋体" w:hint="eastAsia"/>
        </w:rPr>
        <w:t>微克</w:t>
      </w:r>
      <w:r>
        <w:rPr>
          <w:rFonts w:cs="宋体" w:hint="eastAsia"/>
        </w:rPr>
        <w:t>/</w:t>
      </w:r>
      <w:r>
        <w:rPr>
          <w:rFonts w:cs="宋体" w:hint="eastAsia"/>
        </w:rPr>
        <w:t>立方米，降幅</w:t>
      </w:r>
      <w:r>
        <w:rPr>
          <w:rFonts w:cs="宋体" w:hint="eastAsia"/>
        </w:rPr>
        <w:t>6.5%</w:t>
      </w:r>
      <w:r>
        <w:rPr>
          <w:rFonts w:cs="宋体" w:hint="eastAsia"/>
        </w:rPr>
        <w:t>，</w:t>
      </w:r>
      <w:r>
        <w:rPr>
          <w:rFonts w:cs="宋体" w:hint="eastAsia"/>
        </w:rPr>
        <w:t>CO</w:t>
      </w:r>
      <w:r>
        <w:rPr>
          <w:rFonts w:cs="宋体" w:hint="eastAsia"/>
        </w:rPr>
        <w:t>第</w:t>
      </w:r>
      <w:r>
        <w:rPr>
          <w:rFonts w:cs="宋体" w:hint="eastAsia"/>
        </w:rPr>
        <w:t>95</w:t>
      </w:r>
      <w:r>
        <w:rPr>
          <w:rFonts w:cs="宋体" w:hint="eastAsia"/>
        </w:rPr>
        <w:t>百分位浓度</w:t>
      </w:r>
      <w:r>
        <w:rPr>
          <w:rFonts w:cs="宋体" w:hint="eastAsia"/>
        </w:rPr>
        <w:t>1.675</w:t>
      </w:r>
      <w:r>
        <w:rPr>
          <w:rFonts w:cs="宋体" w:hint="eastAsia"/>
        </w:rPr>
        <w:t>毫克</w:t>
      </w:r>
      <w:r>
        <w:rPr>
          <w:rFonts w:cs="宋体" w:hint="eastAsia"/>
        </w:rPr>
        <w:t>/</w:t>
      </w:r>
      <w:r>
        <w:rPr>
          <w:rFonts w:cs="宋体" w:hint="eastAsia"/>
        </w:rPr>
        <w:t>立方米，同比下降</w:t>
      </w:r>
      <w:r>
        <w:rPr>
          <w:rFonts w:cs="宋体" w:hint="eastAsia"/>
        </w:rPr>
        <w:t>0.405</w:t>
      </w:r>
      <w:r>
        <w:rPr>
          <w:rFonts w:cs="宋体" w:hint="eastAsia"/>
        </w:rPr>
        <w:t>毫克</w:t>
      </w:r>
      <w:r>
        <w:rPr>
          <w:rFonts w:cs="宋体" w:hint="eastAsia"/>
        </w:rPr>
        <w:t>/</w:t>
      </w:r>
      <w:r>
        <w:rPr>
          <w:rFonts w:cs="宋体" w:hint="eastAsia"/>
        </w:rPr>
        <w:t>立方米，降幅</w:t>
      </w:r>
      <w:r>
        <w:rPr>
          <w:rFonts w:cs="宋体" w:hint="eastAsia"/>
        </w:rPr>
        <w:t>19.5%</w:t>
      </w:r>
      <w:r>
        <w:rPr>
          <w:rFonts w:cs="宋体" w:hint="eastAsia"/>
        </w:rPr>
        <w:t>。</w:t>
      </w:r>
    </w:p>
    <w:p w:rsidR="00EE56C0" w:rsidRDefault="000F36A1">
      <w:pPr>
        <w:pStyle w:val="4"/>
        <w:ind w:left="120" w:firstLine="241"/>
      </w:pPr>
      <w:r>
        <w:rPr>
          <w:rFonts w:hint="eastAsia"/>
        </w:rPr>
        <w:t>4.2.2.2</w:t>
      </w:r>
      <w:r>
        <w:rPr>
          <w:rFonts w:hint="eastAsia"/>
        </w:rPr>
        <w:t>其他因子监测点位</w:t>
      </w:r>
      <w:bookmarkEnd w:id="277"/>
      <w:bookmarkEnd w:id="278"/>
      <w:r>
        <w:rPr>
          <w:rFonts w:hint="eastAsia"/>
        </w:rPr>
        <w:t>及监测因子</w:t>
      </w:r>
    </w:p>
    <w:p w:rsidR="00EE56C0" w:rsidRDefault="000F36A1">
      <w:pPr>
        <w:ind w:firstLine="480"/>
      </w:pPr>
      <w:bookmarkStart w:id="279" w:name="_Toc324839307"/>
      <w:bookmarkStart w:id="280" w:name="_Toc324839604"/>
      <w:r>
        <w:rPr>
          <w:rFonts w:hint="eastAsia"/>
        </w:rPr>
        <w:t>本次环境空气质量现状监测共布设了</w:t>
      </w:r>
      <w:r>
        <w:rPr>
          <w:rFonts w:hint="eastAsia"/>
        </w:rPr>
        <w:t>2</w:t>
      </w:r>
      <w:r>
        <w:rPr>
          <w:rFonts w:hint="eastAsia"/>
        </w:rPr>
        <w:t>个监测点对其他因子进行现状监测，具体监测点位布设及监测因子情况见下表。</w:t>
      </w:r>
    </w:p>
    <w:p w:rsidR="00EE56C0" w:rsidRDefault="000F36A1">
      <w:pPr>
        <w:pStyle w:val="afd"/>
        <w:spacing w:before="120" w:after="120"/>
        <w:ind w:firstLine="482"/>
      </w:pPr>
      <w:r>
        <w:rPr>
          <w:rFonts w:hint="eastAsia"/>
        </w:rPr>
        <w:t>表</w:t>
      </w:r>
      <w:r>
        <w:rPr>
          <w:rFonts w:hint="eastAsia"/>
        </w:rPr>
        <w:t xml:space="preserve">4-2           </w:t>
      </w:r>
      <w:r>
        <w:rPr>
          <w:rFonts w:hint="eastAsia"/>
        </w:rPr>
        <w:t>环境空气监测布点及监测因子一览表</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676"/>
        <w:gridCol w:w="2125"/>
        <w:gridCol w:w="708"/>
        <w:gridCol w:w="1276"/>
        <w:gridCol w:w="2552"/>
        <w:gridCol w:w="1191"/>
      </w:tblGrid>
      <w:tr w:rsidR="00EE56C0">
        <w:trPr>
          <w:trHeight w:val="454"/>
          <w:jc w:val="center"/>
        </w:trPr>
        <w:tc>
          <w:tcPr>
            <w:tcW w:w="396" w:type="pct"/>
            <w:vAlign w:val="center"/>
          </w:tcPr>
          <w:p w:rsidR="00EE56C0" w:rsidRDefault="000F36A1">
            <w:pPr>
              <w:pStyle w:val="aff1"/>
              <w:rPr>
                <w:color w:val="auto"/>
              </w:rPr>
            </w:pPr>
            <w:r>
              <w:rPr>
                <w:color w:val="auto"/>
              </w:rPr>
              <w:t>编号</w:t>
            </w:r>
          </w:p>
        </w:tc>
        <w:tc>
          <w:tcPr>
            <w:tcW w:w="1246" w:type="pct"/>
            <w:vAlign w:val="center"/>
          </w:tcPr>
          <w:p w:rsidR="00EE56C0" w:rsidRDefault="000F36A1">
            <w:pPr>
              <w:pStyle w:val="aff1"/>
              <w:rPr>
                <w:color w:val="auto"/>
              </w:rPr>
            </w:pPr>
            <w:r>
              <w:rPr>
                <w:color w:val="auto"/>
              </w:rPr>
              <w:t>监测点名称</w:t>
            </w:r>
          </w:p>
        </w:tc>
        <w:tc>
          <w:tcPr>
            <w:tcW w:w="415" w:type="pct"/>
            <w:vAlign w:val="center"/>
          </w:tcPr>
          <w:p w:rsidR="00EE56C0" w:rsidRDefault="000F36A1">
            <w:pPr>
              <w:pStyle w:val="aff1"/>
              <w:rPr>
                <w:color w:val="auto"/>
              </w:rPr>
            </w:pPr>
            <w:r>
              <w:rPr>
                <w:color w:val="auto"/>
              </w:rPr>
              <w:t>方位</w:t>
            </w:r>
          </w:p>
        </w:tc>
        <w:tc>
          <w:tcPr>
            <w:tcW w:w="748" w:type="pct"/>
            <w:tcBorders>
              <w:right w:val="single" w:sz="4" w:space="0" w:color="auto"/>
            </w:tcBorders>
            <w:vAlign w:val="center"/>
          </w:tcPr>
          <w:p w:rsidR="00EE56C0" w:rsidRDefault="000F36A1">
            <w:pPr>
              <w:pStyle w:val="aff1"/>
              <w:rPr>
                <w:color w:val="auto"/>
              </w:rPr>
            </w:pPr>
            <w:r>
              <w:rPr>
                <w:rFonts w:hint="eastAsia"/>
                <w:color w:val="auto"/>
              </w:rPr>
              <w:t>距厂界距离（</w:t>
            </w:r>
            <w:r>
              <w:rPr>
                <w:rFonts w:hint="eastAsia"/>
                <w:color w:val="auto"/>
              </w:rPr>
              <w:t>m</w:t>
            </w:r>
            <w:r>
              <w:rPr>
                <w:rFonts w:hint="eastAsia"/>
                <w:color w:val="auto"/>
              </w:rPr>
              <w:t>）</w:t>
            </w:r>
          </w:p>
        </w:tc>
        <w:tc>
          <w:tcPr>
            <w:tcW w:w="1496" w:type="pct"/>
            <w:tcBorders>
              <w:left w:val="single" w:sz="4" w:space="0" w:color="auto"/>
            </w:tcBorders>
            <w:vAlign w:val="center"/>
          </w:tcPr>
          <w:p w:rsidR="00EE56C0" w:rsidRDefault="000F36A1">
            <w:pPr>
              <w:pStyle w:val="aff1"/>
              <w:rPr>
                <w:color w:val="auto"/>
              </w:rPr>
            </w:pPr>
            <w:r>
              <w:rPr>
                <w:rFonts w:hint="eastAsia"/>
                <w:color w:val="auto"/>
              </w:rPr>
              <w:t>监测因子</w:t>
            </w:r>
          </w:p>
        </w:tc>
        <w:tc>
          <w:tcPr>
            <w:tcW w:w="698" w:type="pct"/>
            <w:vAlign w:val="center"/>
          </w:tcPr>
          <w:p w:rsidR="00EE56C0" w:rsidRDefault="000F36A1">
            <w:pPr>
              <w:pStyle w:val="aff1"/>
              <w:rPr>
                <w:color w:val="auto"/>
              </w:rPr>
            </w:pPr>
            <w:r>
              <w:rPr>
                <w:color w:val="auto"/>
              </w:rPr>
              <w:t>功能</w:t>
            </w:r>
          </w:p>
        </w:tc>
      </w:tr>
      <w:tr w:rsidR="00EE56C0">
        <w:trPr>
          <w:trHeight w:val="454"/>
          <w:jc w:val="center"/>
        </w:trPr>
        <w:tc>
          <w:tcPr>
            <w:tcW w:w="396" w:type="pct"/>
            <w:vAlign w:val="center"/>
          </w:tcPr>
          <w:p w:rsidR="00EE56C0" w:rsidRDefault="000F36A1">
            <w:pPr>
              <w:pStyle w:val="afa"/>
            </w:pPr>
            <w:r>
              <w:rPr>
                <w:rFonts w:hint="eastAsia"/>
              </w:rPr>
              <w:t>1#</w:t>
            </w:r>
          </w:p>
        </w:tc>
        <w:tc>
          <w:tcPr>
            <w:tcW w:w="1246" w:type="pct"/>
            <w:vAlign w:val="center"/>
          </w:tcPr>
          <w:p w:rsidR="00EE56C0" w:rsidRDefault="000F36A1">
            <w:pPr>
              <w:pStyle w:val="afa"/>
            </w:pPr>
            <w:r>
              <w:t>厂址</w:t>
            </w:r>
            <w:r>
              <w:rPr>
                <w:rFonts w:hint="eastAsia"/>
              </w:rPr>
              <w:t>西南角</w:t>
            </w:r>
          </w:p>
        </w:tc>
        <w:tc>
          <w:tcPr>
            <w:tcW w:w="415" w:type="pct"/>
            <w:vAlign w:val="center"/>
          </w:tcPr>
          <w:p w:rsidR="00EE56C0" w:rsidRDefault="000F36A1">
            <w:pPr>
              <w:pStyle w:val="afa"/>
            </w:pPr>
            <w:r>
              <w:t>/</w:t>
            </w:r>
          </w:p>
        </w:tc>
        <w:tc>
          <w:tcPr>
            <w:tcW w:w="748" w:type="pct"/>
            <w:tcBorders>
              <w:right w:val="single" w:sz="4" w:space="0" w:color="auto"/>
            </w:tcBorders>
            <w:vAlign w:val="center"/>
          </w:tcPr>
          <w:p w:rsidR="00EE56C0" w:rsidRDefault="000F36A1">
            <w:pPr>
              <w:pStyle w:val="afa"/>
            </w:pPr>
            <w:r>
              <w:rPr>
                <w:rFonts w:hint="eastAsia"/>
              </w:rPr>
              <w:t>/</w:t>
            </w:r>
          </w:p>
        </w:tc>
        <w:tc>
          <w:tcPr>
            <w:tcW w:w="1496" w:type="pct"/>
            <w:tcBorders>
              <w:left w:val="single" w:sz="4" w:space="0" w:color="auto"/>
            </w:tcBorders>
            <w:vAlign w:val="center"/>
          </w:tcPr>
          <w:p w:rsidR="00EE56C0" w:rsidRDefault="000F36A1">
            <w:pPr>
              <w:pStyle w:val="afa"/>
            </w:pPr>
            <w:r>
              <w:rPr>
                <w:rFonts w:hint="eastAsia"/>
              </w:rPr>
              <w:t>酚、苯、甲苯、二甲苯、非甲烷总烃</w:t>
            </w:r>
          </w:p>
        </w:tc>
        <w:tc>
          <w:tcPr>
            <w:tcW w:w="698" w:type="pct"/>
            <w:vAlign w:val="center"/>
          </w:tcPr>
          <w:p w:rsidR="00EE56C0" w:rsidRDefault="000F36A1">
            <w:pPr>
              <w:pStyle w:val="afa"/>
            </w:pPr>
            <w:r>
              <w:rPr>
                <w:rFonts w:hint="eastAsia"/>
              </w:rPr>
              <w:t>下风向</w:t>
            </w:r>
          </w:p>
        </w:tc>
      </w:tr>
      <w:tr w:rsidR="00EE56C0">
        <w:trPr>
          <w:trHeight w:val="454"/>
          <w:jc w:val="center"/>
        </w:trPr>
        <w:tc>
          <w:tcPr>
            <w:tcW w:w="396" w:type="pct"/>
            <w:vAlign w:val="center"/>
          </w:tcPr>
          <w:p w:rsidR="00EE56C0" w:rsidRDefault="000F36A1">
            <w:pPr>
              <w:pStyle w:val="afa"/>
            </w:pPr>
            <w:r>
              <w:rPr>
                <w:rFonts w:hint="eastAsia"/>
              </w:rPr>
              <w:t>2#</w:t>
            </w:r>
          </w:p>
        </w:tc>
        <w:tc>
          <w:tcPr>
            <w:tcW w:w="1246" w:type="pct"/>
            <w:vAlign w:val="center"/>
          </w:tcPr>
          <w:p w:rsidR="00EE56C0" w:rsidRDefault="000F36A1">
            <w:pPr>
              <w:pStyle w:val="afa"/>
            </w:pPr>
            <w:r>
              <w:rPr>
                <w:rFonts w:hint="eastAsia"/>
              </w:rPr>
              <w:t>康庄村</w:t>
            </w:r>
          </w:p>
        </w:tc>
        <w:tc>
          <w:tcPr>
            <w:tcW w:w="415" w:type="pct"/>
            <w:vAlign w:val="center"/>
          </w:tcPr>
          <w:p w:rsidR="00EE56C0" w:rsidRDefault="000F36A1">
            <w:pPr>
              <w:pStyle w:val="afa"/>
            </w:pPr>
            <w:r>
              <w:rPr>
                <w:rFonts w:hint="eastAsia"/>
              </w:rPr>
              <w:t>西南</w:t>
            </w:r>
          </w:p>
        </w:tc>
        <w:tc>
          <w:tcPr>
            <w:tcW w:w="748" w:type="pct"/>
            <w:tcBorders>
              <w:right w:val="single" w:sz="4" w:space="0" w:color="auto"/>
            </w:tcBorders>
            <w:vAlign w:val="center"/>
          </w:tcPr>
          <w:p w:rsidR="00EE56C0" w:rsidRDefault="000F36A1">
            <w:pPr>
              <w:pStyle w:val="afa"/>
            </w:pPr>
            <w:r>
              <w:rPr>
                <w:rFonts w:hint="eastAsia"/>
              </w:rPr>
              <w:t>1765m</w:t>
            </w:r>
          </w:p>
        </w:tc>
        <w:tc>
          <w:tcPr>
            <w:tcW w:w="1496" w:type="pct"/>
            <w:tcBorders>
              <w:left w:val="single" w:sz="4" w:space="0" w:color="auto"/>
            </w:tcBorders>
            <w:vAlign w:val="center"/>
          </w:tcPr>
          <w:p w:rsidR="00EE56C0" w:rsidRDefault="000F36A1">
            <w:pPr>
              <w:pStyle w:val="afa"/>
              <w:rPr>
                <w:iCs/>
              </w:rPr>
            </w:pPr>
            <w:r>
              <w:rPr>
                <w:rFonts w:hint="eastAsia"/>
              </w:rPr>
              <w:t>酚、苯、甲苯、二甲苯、非甲烷总烃</w:t>
            </w:r>
          </w:p>
        </w:tc>
        <w:tc>
          <w:tcPr>
            <w:tcW w:w="698" w:type="pct"/>
            <w:vAlign w:val="center"/>
          </w:tcPr>
          <w:p w:rsidR="00EE56C0" w:rsidRDefault="000F36A1">
            <w:pPr>
              <w:pStyle w:val="afa"/>
            </w:pPr>
            <w:r>
              <w:rPr>
                <w:rFonts w:hint="eastAsia"/>
              </w:rPr>
              <w:t>下风向</w:t>
            </w:r>
          </w:p>
        </w:tc>
      </w:tr>
    </w:tbl>
    <w:p w:rsidR="00EE56C0" w:rsidRDefault="000F36A1">
      <w:pPr>
        <w:pStyle w:val="4"/>
        <w:ind w:left="120" w:firstLine="241"/>
      </w:pPr>
      <w:r>
        <w:rPr>
          <w:rFonts w:hint="eastAsia"/>
        </w:rPr>
        <w:t>4.2.2.3</w:t>
      </w:r>
      <w:r>
        <w:rPr>
          <w:rFonts w:hint="eastAsia"/>
        </w:rPr>
        <w:t>监测时间和频率</w:t>
      </w:r>
    </w:p>
    <w:p w:rsidR="00EE56C0" w:rsidRDefault="000F36A1">
      <w:pPr>
        <w:ind w:firstLine="480"/>
      </w:pPr>
      <w:r>
        <w:rPr>
          <w:rFonts w:hint="eastAsia"/>
        </w:rPr>
        <w:t>受建设单位委托，河南永飞检测科技有限公司于</w:t>
      </w:r>
      <w:r>
        <w:rPr>
          <w:rFonts w:hint="eastAsia"/>
        </w:rPr>
        <w:t>2021</w:t>
      </w:r>
      <w:r>
        <w:rPr>
          <w:rFonts w:hint="eastAsia"/>
        </w:rPr>
        <w:t>年</w:t>
      </w:r>
      <w:r>
        <w:rPr>
          <w:rFonts w:hint="eastAsia"/>
        </w:rPr>
        <w:t>4</w:t>
      </w:r>
      <w:r>
        <w:rPr>
          <w:rFonts w:hint="eastAsia"/>
        </w:rPr>
        <w:t>月</w:t>
      </w:r>
      <w:r>
        <w:rPr>
          <w:rFonts w:hint="eastAsia"/>
        </w:rPr>
        <w:t>5</w:t>
      </w:r>
      <w:r>
        <w:rPr>
          <w:rFonts w:hint="eastAsia"/>
        </w:rPr>
        <w:t>日</w:t>
      </w:r>
      <w:r>
        <w:rPr>
          <w:rFonts w:hint="eastAsia"/>
        </w:rPr>
        <w:t>~11</w:t>
      </w:r>
      <w:r>
        <w:rPr>
          <w:rFonts w:hint="eastAsia"/>
        </w:rPr>
        <w:t>日、对</w:t>
      </w:r>
      <w:r>
        <w:rPr>
          <w:rFonts w:hint="eastAsia"/>
        </w:rPr>
        <w:t>2</w:t>
      </w:r>
      <w:r>
        <w:rPr>
          <w:rFonts w:hint="eastAsia"/>
        </w:rPr>
        <w:t>个监测点位进行了连续</w:t>
      </w:r>
      <w:r>
        <w:rPr>
          <w:rFonts w:hint="eastAsia"/>
        </w:rPr>
        <w:t>7</w:t>
      </w:r>
      <w:r>
        <w:rPr>
          <w:rFonts w:hint="eastAsia"/>
        </w:rPr>
        <w:t>天的环境空气质量现状监测，监测因子及频率见表</w:t>
      </w:r>
      <w:r>
        <w:rPr>
          <w:rFonts w:hint="eastAsia"/>
        </w:rPr>
        <w:t>4-3</w:t>
      </w:r>
      <w:r>
        <w:rPr>
          <w:rFonts w:hint="eastAsia"/>
        </w:rPr>
        <w:t>。</w:t>
      </w:r>
    </w:p>
    <w:p w:rsidR="00EE56C0" w:rsidRDefault="000F36A1">
      <w:pPr>
        <w:pStyle w:val="afd"/>
        <w:spacing w:before="120" w:after="120"/>
        <w:ind w:firstLine="482"/>
      </w:pPr>
      <w:r>
        <w:rPr>
          <w:rFonts w:hint="eastAsia"/>
        </w:rPr>
        <w:t>表</w:t>
      </w:r>
      <w:r>
        <w:rPr>
          <w:rFonts w:hint="eastAsia"/>
        </w:rPr>
        <w:t xml:space="preserve">4-3                </w:t>
      </w:r>
      <w:r>
        <w:rPr>
          <w:rFonts w:hint="eastAsia"/>
        </w:rPr>
        <w:t>监测因子及频率一览表</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1244"/>
        <w:gridCol w:w="1458"/>
        <w:gridCol w:w="5826"/>
      </w:tblGrid>
      <w:tr w:rsidR="00EE56C0">
        <w:trPr>
          <w:trHeight w:val="397"/>
          <w:jc w:val="center"/>
        </w:trPr>
        <w:tc>
          <w:tcPr>
            <w:tcW w:w="729" w:type="pct"/>
            <w:vAlign w:val="center"/>
          </w:tcPr>
          <w:p w:rsidR="00EE56C0" w:rsidRDefault="000F36A1">
            <w:pPr>
              <w:pStyle w:val="aff1"/>
              <w:rPr>
                <w:color w:val="auto"/>
              </w:rPr>
            </w:pPr>
            <w:r>
              <w:rPr>
                <w:rFonts w:hint="eastAsia"/>
                <w:color w:val="auto"/>
              </w:rPr>
              <w:t>监测因子</w:t>
            </w:r>
          </w:p>
        </w:tc>
        <w:tc>
          <w:tcPr>
            <w:tcW w:w="855" w:type="pct"/>
            <w:vAlign w:val="center"/>
          </w:tcPr>
          <w:p w:rsidR="00EE56C0" w:rsidRDefault="000F36A1">
            <w:pPr>
              <w:pStyle w:val="aff1"/>
              <w:rPr>
                <w:color w:val="auto"/>
              </w:rPr>
            </w:pPr>
            <w:r>
              <w:rPr>
                <w:rFonts w:hint="eastAsia"/>
                <w:color w:val="auto"/>
              </w:rPr>
              <w:t>监测项目</w:t>
            </w:r>
          </w:p>
        </w:tc>
        <w:tc>
          <w:tcPr>
            <w:tcW w:w="3416" w:type="pct"/>
            <w:vAlign w:val="center"/>
          </w:tcPr>
          <w:p w:rsidR="00EE56C0" w:rsidRDefault="000F36A1">
            <w:pPr>
              <w:pStyle w:val="aff1"/>
              <w:rPr>
                <w:color w:val="auto"/>
              </w:rPr>
            </w:pPr>
            <w:r>
              <w:rPr>
                <w:rFonts w:hint="eastAsia"/>
                <w:color w:val="auto"/>
              </w:rPr>
              <w:t>监测频率</w:t>
            </w:r>
          </w:p>
        </w:tc>
      </w:tr>
      <w:tr w:rsidR="00EE56C0">
        <w:trPr>
          <w:trHeight w:val="397"/>
          <w:jc w:val="center"/>
        </w:trPr>
        <w:tc>
          <w:tcPr>
            <w:tcW w:w="729" w:type="pct"/>
            <w:vMerge w:val="restart"/>
            <w:vAlign w:val="center"/>
          </w:tcPr>
          <w:p w:rsidR="00EE56C0" w:rsidRDefault="000F36A1">
            <w:pPr>
              <w:pStyle w:val="afa"/>
            </w:pPr>
            <w:r>
              <w:rPr>
                <w:rFonts w:hint="eastAsia"/>
              </w:rPr>
              <w:t>苯</w:t>
            </w:r>
          </w:p>
        </w:tc>
        <w:tc>
          <w:tcPr>
            <w:tcW w:w="855" w:type="pct"/>
            <w:vAlign w:val="center"/>
          </w:tcPr>
          <w:p w:rsidR="00EE56C0" w:rsidRDefault="000F36A1">
            <w:pPr>
              <w:pStyle w:val="afa"/>
            </w:pPr>
            <w:r>
              <w:rPr>
                <w:rFonts w:hint="eastAsia"/>
              </w:rPr>
              <w:t>1h</w:t>
            </w:r>
            <w:r>
              <w:rPr>
                <w:rFonts w:hint="eastAsia"/>
              </w:rPr>
              <w:t>浓度值</w:t>
            </w:r>
          </w:p>
        </w:tc>
        <w:tc>
          <w:tcPr>
            <w:tcW w:w="3416" w:type="pct"/>
            <w:tcBorders>
              <w:top w:val="single" w:sz="4" w:space="0" w:color="auto"/>
              <w:bottom w:val="single" w:sz="4" w:space="0" w:color="auto"/>
            </w:tcBorders>
            <w:vAlign w:val="center"/>
          </w:tcPr>
          <w:p w:rsidR="00EE56C0" w:rsidRDefault="000F36A1">
            <w:pPr>
              <w:pStyle w:val="afa"/>
            </w:pPr>
            <w:r>
              <w:t>连续监测</w:t>
            </w:r>
            <w:r>
              <w:rPr>
                <w:rFonts w:hint="eastAsia"/>
              </w:rPr>
              <w:t>7</w:t>
            </w:r>
            <w:r>
              <w:t>天，每天</w:t>
            </w:r>
            <w:r>
              <w:rPr>
                <w:rFonts w:hint="eastAsia"/>
              </w:rPr>
              <w:t>02</w:t>
            </w:r>
            <w:r>
              <w:rPr>
                <w:rFonts w:hint="eastAsia"/>
              </w:rPr>
              <w:t>、</w:t>
            </w:r>
            <w:r>
              <w:rPr>
                <w:rFonts w:hint="eastAsia"/>
              </w:rPr>
              <w:t>08</w:t>
            </w:r>
            <w:r>
              <w:rPr>
                <w:rFonts w:hint="eastAsia"/>
              </w:rPr>
              <w:t>、</w:t>
            </w:r>
            <w:r>
              <w:rPr>
                <w:rFonts w:hint="eastAsia"/>
              </w:rPr>
              <w:t>14</w:t>
            </w:r>
            <w:r>
              <w:rPr>
                <w:rFonts w:hint="eastAsia"/>
              </w:rPr>
              <w:t>、</w:t>
            </w:r>
            <w:r>
              <w:rPr>
                <w:rFonts w:hint="eastAsia"/>
              </w:rPr>
              <w:t>20</w:t>
            </w:r>
            <w:r>
              <w:rPr>
                <w:rFonts w:hint="eastAsia"/>
              </w:rPr>
              <w:t>时采样</w:t>
            </w:r>
            <w:r>
              <w:rPr>
                <w:rFonts w:hint="eastAsia"/>
              </w:rPr>
              <w:t>4</w:t>
            </w:r>
            <w:r>
              <w:rPr>
                <w:rFonts w:hint="eastAsia"/>
              </w:rPr>
              <w:t>次，每次采样时间不少于</w:t>
            </w:r>
            <w:r>
              <w:rPr>
                <w:rFonts w:hint="eastAsia"/>
              </w:rPr>
              <w:t>45min</w:t>
            </w:r>
            <w:r>
              <w:rPr>
                <w:rFonts w:hint="eastAsia"/>
              </w:rPr>
              <w:t>，取每次监测时段的</w:t>
            </w:r>
            <w:r>
              <w:rPr>
                <w:rFonts w:hint="eastAsia"/>
              </w:rPr>
              <w:t>1h</w:t>
            </w:r>
            <w:r>
              <w:rPr>
                <w:rFonts w:hint="eastAsia"/>
              </w:rPr>
              <w:t>浓度值</w:t>
            </w:r>
          </w:p>
        </w:tc>
      </w:tr>
      <w:tr w:rsidR="00EE56C0">
        <w:trPr>
          <w:trHeight w:val="397"/>
          <w:jc w:val="center"/>
        </w:trPr>
        <w:tc>
          <w:tcPr>
            <w:tcW w:w="729" w:type="pct"/>
            <w:vMerge/>
            <w:vAlign w:val="center"/>
          </w:tcPr>
          <w:p w:rsidR="00EE56C0" w:rsidRDefault="00EE56C0">
            <w:pPr>
              <w:pStyle w:val="afa"/>
            </w:pPr>
          </w:p>
        </w:tc>
        <w:tc>
          <w:tcPr>
            <w:tcW w:w="855" w:type="pct"/>
            <w:vAlign w:val="center"/>
          </w:tcPr>
          <w:p w:rsidR="00EE56C0" w:rsidRDefault="000F36A1">
            <w:pPr>
              <w:pStyle w:val="afa"/>
            </w:pPr>
            <w:r>
              <w:rPr>
                <w:rFonts w:hint="eastAsia"/>
              </w:rPr>
              <w:t>日均值</w:t>
            </w:r>
          </w:p>
        </w:tc>
        <w:tc>
          <w:tcPr>
            <w:tcW w:w="3416" w:type="pct"/>
            <w:tcBorders>
              <w:top w:val="single" w:sz="4" w:space="0" w:color="auto"/>
              <w:bottom w:val="single" w:sz="4" w:space="0" w:color="auto"/>
            </w:tcBorders>
            <w:vAlign w:val="center"/>
          </w:tcPr>
          <w:p w:rsidR="00EE56C0" w:rsidRDefault="000F36A1">
            <w:pPr>
              <w:pStyle w:val="afa"/>
            </w:pPr>
            <w:r>
              <w:t>连续监测</w:t>
            </w:r>
            <w:r>
              <w:rPr>
                <w:rFonts w:hint="eastAsia"/>
              </w:rPr>
              <w:t>7</w:t>
            </w:r>
            <w:r>
              <w:t>天，</w:t>
            </w:r>
            <w:r>
              <w:rPr>
                <w:rFonts w:hint="eastAsia"/>
              </w:rPr>
              <w:t>每日</w:t>
            </w:r>
            <w:r>
              <w:t>采样不少于</w:t>
            </w:r>
            <w:r>
              <w:rPr>
                <w:rFonts w:hint="eastAsia"/>
              </w:rPr>
              <w:t>20</w:t>
            </w:r>
            <w:r>
              <w:rPr>
                <w:rFonts w:hint="eastAsia"/>
              </w:rPr>
              <w:t>小时</w:t>
            </w:r>
          </w:p>
        </w:tc>
      </w:tr>
      <w:tr w:rsidR="00EE56C0">
        <w:trPr>
          <w:trHeight w:val="397"/>
          <w:jc w:val="center"/>
        </w:trPr>
        <w:tc>
          <w:tcPr>
            <w:tcW w:w="729" w:type="pct"/>
            <w:vMerge w:val="restart"/>
            <w:vAlign w:val="center"/>
          </w:tcPr>
          <w:p w:rsidR="00EE56C0" w:rsidRDefault="000F36A1">
            <w:pPr>
              <w:pStyle w:val="afa"/>
            </w:pPr>
            <w:r>
              <w:rPr>
                <w:rFonts w:hint="eastAsia"/>
              </w:rPr>
              <w:t>甲苯</w:t>
            </w:r>
          </w:p>
        </w:tc>
        <w:tc>
          <w:tcPr>
            <w:tcW w:w="855" w:type="pct"/>
            <w:vAlign w:val="center"/>
          </w:tcPr>
          <w:p w:rsidR="00EE56C0" w:rsidRDefault="000F36A1">
            <w:pPr>
              <w:pStyle w:val="afa"/>
            </w:pPr>
            <w:r>
              <w:rPr>
                <w:rFonts w:hint="eastAsia"/>
              </w:rPr>
              <w:t>1h</w:t>
            </w:r>
            <w:r>
              <w:rPr>
                <w:rFonts w:hint="eastAsia"/>
              </w:rPr>
              <w:t>浓度值</w:t>
            </w:r>
          </w:p>
        </w:tc>
        <w:tc>
          <w:tcPr>
            <w:tcW w:w="3416" w:type="pct"/>
            <w:tcBorders>
              <w:top w:val="single" w:sz="4" w:space="0" w:color="auto"/>
              <w:bottom w:val="single" w:sz="4" w:space="0" w:color="auto"/>
            </w:tcBorders>
            <w:vAlign w:val="center"/>
          </w:tcPr>
          <w:p w:rsidR="00EE56C0" w:rsidRDefault="000F36A1">
            <w:pPr>
              <w:pStyle w:val="afa"/>
            </w:pPr>
            <w:r>
              <w:t>连续监测</w:t>
            </w:r>
            <w:r>
              <w:rPr>
                <w:rFonts w:hint="eastAsia"/>
              </w:rPr>
              <w:t>7</w:t>
            </w:r>
            <w:r>
              <w:t>天，每天</w:t>
            </w:r>
            <w:r>
              <w:rPr>
                <w:rFonts w:hint="eastAsia"/>
              </w:rPr>
              <w:t>02</w:t>
            </w:r>
            <w:r>
              <w:rPr>
                <w:rFonts w:hint="eastAsia"/>
              </w:rPr>
              <w:t>、</w:t>
            </w:r>
            <w:r>
              <w:rPr>
                <w:rFonts w:hint="eastAsia"/>
              </w:rPr>
              <w:t>08</w:t>
            </w:r>
            <w:r>
              <w:rPr>
                <w:rFonts w:hint="eastAsia"/>
              </w:rPr>
              <w:t>、</w:t>
            </w:r>
            <w:r>
              <w:rPr>
                <w:rFonts w:hint="eastAsia"/>
              </w:rPr>
              <w:t>14</w:t>
            </w:r>
            <w:r>
              <w:rPr>
                <w:rFonts w:hint="eastAsia"/>
              </w:rPr>
              <w:t>、</w:t>
            </w:r>
            <w:r>
              <w:rPr>
                <w:rFonts w:hint="eastAsia"/>
              </w:rPr>
              <w:t>20</w:t>
            </w:r>
            <w:r>
              <w:rPr>
                <w:rFonts w:hint="eastAsia"/>
              </w:rPr>
              <w:t>时采样</w:t>
            </w:r>
            <w:r>
              <w:rPr>
                <w:rFonts w:hint="eastAsia"/>
              </w:rPr>
              <w:t>4</w:t>
            </w:r>
            <w:r>
              <w:rPr>
                <w:rFonts w:hint="eastAsia"/>
              </w:rPr>
              <w:t>次，每次采样时间不少于</w:t>
            </w:r>
            <w:r>
              <w:rPr>
                <w:rFonts w:hint="eastAsia"/>
              </w:rPr>
              <w:t>45min</w:t>
            </w:r>
            <w:r>
              <w:rPr>
                <w:rFonts w:hint="eastAsia"/>
              </w:rPr>
              <w:t>，取每次监测时段的</w:t>
            </w:r>
            <w:r>
              <w:rPr>
                <w:rFonts w:hint="eastAsia"/>
              </w:rPr>
              <w:t>1h</w:t>
            </w:r>
            <w:r>
              <w:rPr>
                <w:rFonts w:hint="eastAsia"/>
              </w:rPr>
              <w:t>浓度值</w:t>
            </w:r>
          </w:p>
        </w:tc>
      </w:tr>
      <w:tr w:rsidR="00EE56C0">
        <w:trPr>
          <w:trHeight w:val="397"/>
          <w:jc w:val="center"/>
        </w:trPr>
        <w:tc>
          <w:tcPr>
            <w:tcW w:w="729" w:type="pct"/>
            <w:vMerge/>
            <w:vAlign w:val="center"/>
          </w:tcPr>
          <w:p w:rsidR="00EE56C0" w:rsidRDefault="00EE56C0">
            <w:pPr>
              <w:pStyle w:val="afa"/>
            </w:pPr>
          </w:p>
        </w:tc>
        <w:tc>
          <w:tcPr>
            <w:tcW w:w="855" w:type="pct"/>
            <w:vAlign w:val="center"/>
          </w:tcPr>
          <w:p w:rsidR="00EE56C0" w:rsidRDefault="000F36A1">
            <w:pPr>
              <w:pStyle w:val="afa"/>
            </w:pPr>
            <w:r>
              <w:rPr>
                <w:rFonts w:hint="eastAsia"/>
              </w:rPr>
              <w:t>日均值</w:t>
            </w:r>
          </w:p>
        </w:tc>
        <w:tc>
          <w:tcPr>
            <w:tcW w:w="3416" w:type="pct"/>
            <w:vAlign w:val="center"/>
          </w:tcPr>
          <w:p w:rsidR="00EE56C0" w:rsidRDefault="000F36A1">
            <w:pPr>
              <w:pStyle w:val="afa"/>
            </w:pPr>
            <w:r>
              <w:t>连续监测</w:t>
            </w:r>
            <w:r>
              <w:rPr>
                <w:rFonts w:hint="eastAsia"/>
              </w:rPr>
              <w:t>7</w:t>
            </w:r>
            <w:r>
              <w:t>天，</w:t>
            </w:r>
            <w:r>
              <w:rPr>
                <w:rFonts w:hint="eastAsia"/>
              </w:rPr>
              <w:t>每日</w:t>
            </w:r>
            <w:r>
              <w:t>采样不少于</w:t>
            </w:r>
            <w:r>
              <w:rPr>
                <w:rFonts w:hint="eastAsia"/>
              </w:rPr>
              <w:t>20</w:t>
            </w:r>
            <w:r>
              <w:rPr>
                <w:rFonts w:hint="eastAsia"/>
              </w:rPr>
              <w:t>小时</w:t>
            </w:r>
          </w:p>
        </w:tc>
      </w:tr>
      <w:tr w:rsidR="00EE56C0">
        <w:trPr>
          <w:trHeight w:val="397"/>
          <w:jc w:val="center"/>
        </w:trPr>
        <w:tc>
          <w:tcPr>
            <w:tcW w:w="729" w:type="pct"/>
            <w:vMerge w:val="restart"/>
            <w:vAlign w:val="center"/>
          </w:tcPr>
          <w:p w:rsidR="00EE56C0" w:rsidRDefault="000F36A1">
            <w:pPr>
              <w:pStyle w:val="afa"/>
            </w:pPr>
            <w:r>
              <w:rPr>
                <w:rFonts w:hint="eastAsia"/>
              </w:rPr>
              <w:t>二甲苯</w:t>
            </w:r>
          </w:p>
        </w:tc>
        <w:tc>
          <w:tcPr>
            <w:tcW w:w="855" w:type="pct"/>
            <w:vAlign w:val="center"/>
          </w:tcPr>
          <w:p w:rsidR="00EE56C0" w:rsidRDefault="000F36A1">
            <w:pPr>
              <w:pStyle w:val="afa"/>
            </w:pPr>
            <w:r>
              <w:rPr>
                <w:rFonts w:hint="eastAsia"/>
              </w:rPr>
              <w:t>1h</w:t>
            </w:r>
            <w:r>
              <w:rPr>
                <w:rFonts w:hint="eastAsia"/>
              </w:rPr>
              <w:t>浓度值</w:t>
            </w:r>
          </w:p>
        </w:tc>
        <w:tc>
          <w:tcPr>
            <w:tcW w:w="3416" w:type="pct"/>
            <w:vAlign w:val="center"/>
          </w:tcPr>
          <w:p w:rsidR="00EE56C0" w:rsidRDefault="000F36A1">
            <w:pPr>
              <w:pStyle w:val="afa"/>
            </w:pPr>
            <w:r>
              <w:t>连续监测</w:t>
            </w:r>
            <w:r>
              <w:rPr>
                <w:rFonts w:hint="eastAsia"/>
              </w:rPr>
              <w:t>7</w:t>
            </w:r>
            <w:r>
              <w:t>天，每天</w:t>
            </w:r>
            <w:r>
              <w:rPr>
                <w:rFonts w:hint="eastAsia"/>
              </w:rPr>
              <w:t>02</w:t>
            </w:r>
            <w:r>
              <w:rPr>
                <w:rFonts w:hint="eastAsia"/>
              </w:rPr>
              <w:t>、</w:t>
            </w:r>
            <w:r>
              <w:rPr>
                <w:rFonts w:hint="eastAsia"/>
              </w:rPr>
              <w:t>08</w:t>
            </w:r>
            <w:r>
              <w:rPr>
                <w:rFonts w:hint="eastAsia"/>
              </w:rPr>
              <w:t>、</w:t>
            </w:r>
            <w:r>
              <w:rPr>
                <w:rFonts w:hint="eastAsia"/>
              </w:rPr>
              <w:t>14</w:t>
            </w:r>
            <w:r>
              <w:rPr>
                <w:rFonts w:hint="eastAsia"/>
              </w:rPr>
              <w:t>、</w:t>
            </w:r>
            <w:r>
              <w:rPr>
                <w:rFonts w:hint="eastAsia"/>
              </w:rPr>
              <w:t>20</w:t>
            </w:r>
            <w:r>
              <w:rPr>
                <w:rFonts w:hint="eastAsia"/>
              </w:rPr>
              <w:t>时采样</w:t>
            </w:r>
            <w:r>
              <w:rPr>
                <w:rFonts w:hint="eastAsia"/>
              </w:rPr>
              <w:t>4</w:t>
            </w:r>
            <w:r>
              <w:rPr>
                <w:rFonts w:hint="eastAsia"/>
              </w:rPr>
              <w:t>次，每次采样时间不少于</w:t>
            </w:r>
            <w:r>
              <w:rPr>
                <w:rFonts w:hint="eastAsia"/>
              </w:rPr>
              <w:t>45min</w:t>
            </w:r>
            <w:r>
              <w:rPr>
                <w:rFonts w:hint="eastAsia"/>
              </w:rPr>
              <w:t>，取每次监测时段的</w:t>
            </w:r>
            <w:r>
              <w:rPr>
                <w:rFonts w:hint="eastAsia"/>
              </w:rPr>
              <w:t>1h</w:t>
            </w:r>
            <w:r>
              <w:rPr>
                <w:rFonts w:hint="eastAsia"/>
              </w:rPr>
              <w:t>浓度值</w:t>
            </w:r>
          </w:p>
        </w:tc>
      </w:tr>
      <w:tr w:rsidR="00EE56C0">
        <w:trPr>
          <w:trHeight w:val="397"/>
          <w:jc w:val="center"/>
        </w:trPr>
        <w:tc>
          <w:tcPr>
            <w:tcW w:w="729" w:type="pct"/>
            <w:vMerge/>
            <w:vAlign w:val="center"/>
          </w:tcPr>
          <w:p w:rsidR="00EE56C0" w:rsidRDefault="00EE56C0">
            <w:pPr>
              <w:pStyle w:val="afa"/>
            </w:pPr>
          </w:p>
        </w:tc>
        <w:tc>
          <w:tcPr>
            <w:tcW w:w="855" w:type="pct"/>
            <w:vAlign w:val="center"/>
          </w:tcPr>
          <w:p w:rsidR="00EE56C0" w:rsidRDefault="000F36A1">
            <w:pPr>
              <w:pStyle w:val="afa"/>
            </w:pPr>
            <w:r>
              <w:rPr>
                <w:rFonts w:hint="eastAsia"/>
              </w:rPr>
              <w:t>日均值</w:t>
            </w:r>
          </w:p>
        </w:tc>
        <w:tc>
          <w:tcPr>
            <w:tcW w:w="3416" w:type="pct"/>
            <w:vAlign w:val="center"/>
          </w:tcPr>
          <w:p w:rsidR="00EE56C0" w:rsidRDefault="000F36A1">
            <w:pPr>
              <w:pStyle w:val="afa"/>
            </w:pPr>
            <w:r>
              <w:t>连续监测</w:t>
            </w:r>
            <w:r>
              <w:rPr>
                <w:rFonts w:hint="eastAsia"/>
              </w:rPr>
              <w:t>7</w:t>
            </w:r>
            <w:r>
              <w:t>天，</w:t>
            </w:r>
            <w:r>
              <w:rPr>
                <w:rFonts w:hint="eastAsia"/>
              </w:rPr>
              <w:t>每日</w:t>
            </w:r>
            <w:r>
              <w:t>采样不少于</w:t>
            </w:r>
            <w:r>
              <w:rPr>
                <w:rFonts w:hint="eastAsia"/>
              </w:rPr>
              <w:t>20</w:t>
            </w:r>
            <w:r>
              <w:rPr>
                <w:rFonts w:hint="eastAsia"/>
              </w:rPr>
              <w:t>小时</w:t>
            </w:r>
          </w:p>
        </w:tc>
      </w:tr>
      <w:tr w:rsidR="00EE56C0">
        <w:trPr>
          <w:trHeight w:val="397"/>
          <w:jc w:val="center"/>
        </w:trPr>
        <w:tc>
          <w:tcPr>
            <w:tcW w:w="729" w:type="pct"/>
            <w:vMerge w:val="restart"/>
            <w:vAlign w:val="center"/>
          </w:tcPr>
          <w:p w:rsidR="00EE56C0" w:rsidRDefault="000F36A1">
            <w:pPr>
              <w:pStyle w:val="afa"/>
            </w:pPr>
            <w:r>
              <w:rPr>
                <w:rFonts w:hint="eastAsia"/>
              </w:rPr>
              <w:t>非甲烷总烃</w:t>
            </w:r>
          </w:p>
        </w:tc>
        <w:tc>
          <w:tcPr>
            <w:tcW w:w="855" w:type="pct"/>
            <w:vAlign w:val="center"/>
          </w:tcPr>
          <w:p w:rsidR="00EE56C0" w:rsidRDefault="000F36A1">
            <w:pPr>
              <w:pStyle w:val="afa"/>
            </w:pPr>
            <w:r>
              <w:rPr>
                <w:rFonts w:hint="eastAsia"/>
              </w:rPr>
              <w:t>1h</w:t>
            </w:r>
            <w:r>
              <w:rPr>
                <w:rFonts w:hint="eastAsia"/>
              </w:rPr>
              <w:t>浓度值</w:t>
            </w:r>
          </w:p>
        </w:tc>
        <w:tc>
          <w:tcPr>
            <w:tcW w:w="3416" w:type="pct"/>
            <w:vAlign w:val="center"/>
          </w:tcPr>
          <w:p w:rsidR="00EE56C0" w:rsidRDefault="000F36A1">
            <w:pPr>
              <w:pStyle w:val="afa"/>
            </w:pPr>
            <w:r>
              <w:t>连续监测</w:t>
            </w:r>
            <w:r>
              <w:rPr>
                <w:rFonts w:hint="eastAsia"/>
              </w:rPr>
              <w:t>7</w:t>
            </w:r>
            <w:r>
              <w:t>天，每天</w:t>
            </w:r>
            <w:r>
              <w:rPr>
                <w:rFonts w:hint="eastAsia"/>
              </w:rPr>
              <w:t>02</w:t>
            </w:r>
            <w:r>
              <w:rPr>
                <w:rFonts w:hint="eastAsia"/>
              </w:rPr>
              <w:t>、</w:t>
            </w:r>
            <w:r>
              <w:rPr>
                <w:rFonts w:hint="eastAsia"/>
              </w:rPr>
              <w:t>08</w:t>
            </w:r>
            <w:r>
              <w:rPr>
                <w:rFonts w:hint="eastAsia"/>
              </w:rPr>
              <w:t>、</w:t>
            </w:r>
            <w:r>
              <w:rPr>
                <w:rFonts w:hint="eastAsia"/>
              </w:rPr>
              <w:t>14</w:t>
            </w:r>
            <w:r>
              <w:rPr>
                <w:rFonts w:hint="eastAsia"/>
              </w:rPr>
              <w:t>、</w:t>
            </w:r>
            <w:r>
              <w:rPr>
                <w:rFonts w:hint="eastAsia"/>
              </w:rPr>
              <w:t>20</w:t>
            </w:r>
            <w:r>
              <w:rPr>
                <w:rFonts w:hint="eastAsia"/>
              </w:rPr>
              <w:t>时采样</w:t>
            </w:r>
            <w:r>
              <w:rPr>
                <w:rFonts w:hint="eastAsia"/>
              </w:rPr>
              <w:t>4</w:t>
            </w:r>
            <w:r>
              <w:rPr>
                <w:rFonts w:hint="eastAsia"/>
              </w:rPr>
              <w:t>次，每次采样时间不少于</w:t>
            </w:r>
            <w:r>
              <w:rPr>
                <w:rFonts w:hint="eastAsia"/>
              </w:rPr>
              <w:t>45min</w:t>
            </w:r>
            <w:r>
              <w:rPr>
                <w:rFonts w:hint="eastAsia"/>
              </w:rPr>
              <w:t>，取每次监测时段的</w:t>
            </w:r>
            <w:r>
              <w:rPr>
                <w:rFonts w:hint="eastAsia"/>
              </w:rPr>
              <w:t>1h</w:t>
            </w:r>
            <w:r>
              <w:rPr>
                <w:rFonts w:hint="eastAsia"/>
              </w:rPr>
              <w:t>浓度值</w:t>
            </w:r>
          </w:p>
        </w:tc>
      </w:tr>
      <w:tr w:rsidR="00EE56C0">
        <w:trPr>
          <w:trHeight w:val="397"/>
          <w:jc w:val="center"/>
        </w:trPr>
        <w:tc>
          <w:tcPr>
            <w:tcW w:w="729" w:type="pct"/>
            <w:vMerge/>
            <w:vAlign w:val="center"/>
          </w:tcPr>
          <w:p w:rsidR="00EE56C0" w:rsidRDefault="00EE56C0">
            <w:pPr>
              <w:pStyle w:val="afa"/>
            </w:pPr>
          </w:p>
        </w:tc>
        <w:tc>
          <w:tcPr>
            <w:tcW w:w="855" w:type="pct"/>
            <w:vAlign w:val="center"/>
          </w:tcPr>
          <w:p w:rsidR="00EE56C0" w:rsidRDefault="000F36A1">
            <w:pPr>
              <w:pStyle w:val="afa"/>
            </w:pPr>
            <w:r>
              <w:rPr>
                <w:rFonts w:hint="eastAsia"/>
              </w:rPr>
              <w:t>日均值</w:t>
            </w:r>
          </w:p>
        </w:tc>
        <w:tc>
          <w:tcPr>
            <w:tcW w:w="3416" w:type="pct"/>
            <w:vAlign w:val="center"/>
          </w:tcPr>
          <w:p w:rsidR="00EE56C0" w:rsidRDefault="000F36A1">
            <w:pPr>
              <w:pStyle w:val="afa"/>
            </w:pPr>
            <w:r>
              <w:t>连续监测</w:t>
            </w:r>
            <w:r>
              <w:rPr>
                <w:rFonts w:hint="eastAsia"/>
              </w:rPr>
              <w:t>7</w:t>
            </w:r>
            <w:r>
              <w:t>天，</w:t>
            </w:r>
            <w:r>
              <w:rPr>
                <w:rFonts w:hint="eastAsia"/>
              </w:rPr>
              <w:t>每日</w:t>
            </w:r>
            <w:r>
              <w:t>采样不少于</w:t>
            </w:r>
            <w:r>
              <w:rPr>
                <w:rFonts w:hint="eastAsia"/>
              </w:rPr>
              <w:t>20</w:t>
            </w:r>
            <w:r>
              <w:rPr>
                <w:rFonts w:hint="eastAsia"/>
              </w:rPr>
              <w:t>小时</w:t>
            </w:r>
          </w:p>
        </w:tc>
      </w:tr>
      <w:tr w:rsidR="00EE56C0">
        <w:trPr>
          <w:trHeight w:val="397"/>
          <w:jc w:val="center"/>
        </w:trPr>
        <w:tc>
          <w:tcPr>
            <w:tcW w:w="729" w:type="pct"/>
            <w:vAlign w:val="center"/>
          </w:tcPr>
          <w:p w:rsidR="00EE56C0" w:rsidRDefault="000F36A1">
            <w:pPr>
              <w:pStyle w:val="afa"/>
            </w:pPr>
            <w:r>
              <w:rPr>
                <w:rFonts w:hint="eastAsia"/>
              </w:rPr>
              <w:t>酚</w:t>
            </w:r>
          </w:p>
        </w:tc>
        <w:tc>
          <w:tcPr>
            <w:tcW w:w="855" w:type="pct"/>
            <w:vAlign w:val="center"/>
          </w:tcPr>
          <w:p w:rsidR="00EE56C0" w:rsidRDefault="000F36A1">
            <w:pPr>
              <w:pStyle w:val="afa"/>
            </w:pPr>
            <w:r>
              <w:t>一次最高容许浓度</w:t>
            </w:r>
          </w:p>
        </w:tc>
        <w:tc>
          <w:tcPr>
            <w:tcW w:w="3416" w:type="pct"/>
            <w:vAlign w:val="center"/>
          </w:tcPr>
          <w:p w:rsidR="00EE56C0" w:rsidRDefault="000F36A1">
            <w:pPr>
              <w:pStyle w:val="afa"/>
            </w:pPr>
            <w:r>
              <w:t>连续监测</w:t>
            </w:r>
            <w:r>
              <w:rPr>
                <w:rFonts w:hint="eastAsia"/>
              </w:rPr>
              <w:t>7</w:t>
            </w:r>
            <w:r>
              <w:t>天</w:t>
            </w:r>
          </w:p>
        </w:tc>
      </w:tr>
    </w:tbl>
    <w:p w:rsidR="00EE56C0" w:rsidRDefault="000F36A1">
      <w:pPr>
        <w:pStyle w:val="4"/>
        <w:ind w:left="120" w:firstLine="241"/>
      </w:pPr>
      <w:r>
        <w:rPr>
          <w:rFonts w:hint="eastAsia"/>
        </w:rPr>
        <w:lastRenderedPageBreak/>
        <w:t>4.2.2.4</w:t>
      </w:r>
      <w:r>
        <w:rPr>
          <w:rFonts w:hint="eastAsia"/>
        </w:rPr>
        <w:t>监测分析方法</w:t>
      </w:r>
    </w:p>
    <w:p w:rsidR="00EE56C0" w:rsidRDefault="000F36A1">
      <w:pPr>
        <w:ind w:firstLine="480"/>
      </w:pPr>
      <w:r>
        <w:rPr>
          <w:rFonts w:hint="eastAsia"/>
        </w:rPr>
        <w:t>环境空气监测中的采样点、采样环境、采样高度及采样频率的要求，按《环境监测技术规范》（大气部分）和</w:t>
      </w:r>
      <w:r>
        <w:t>《</w:t>
      </w:r>
      <w:r>
        <w:rPr>
          <w:rFonts w:hint="eastAsia"/>
        </w:rPr>
        <w:t>空气和废气监测分析方法</w:t>
      </w:r>
      <w:r>
        <w:t>》</w:t>
      </w:r>
      <w:r>
        <w:rPr>
          <w:rFonts w:hint="eastAsia"/>
        </w:rPr>
        <w:t>执行。各项监测因子分析方法见表</w:t>
      </w:r>
      <w:r>
        <w:rPr>
          <w:rFonts w:hint="eastAsia"/>
        </w:rPr>
        <w:t>4-4</w:t>
      </w:r>
      <w:r>
        <w:rPr>
          <w:rFonts w:hint="eastAsia"/>
        </w:rPr>
        <w:t>。</w:t>
      </w:r>
    </w:p>
    <w:p w:rsidR="00EE56C0" w:rsidRDefault="000F36A1">
      <w:pPr>
        <w:pStyle w:val="afd"/>
        <w:spacing w:before="120" w:after="120"/>
        <w:ind w:firstLine="482"/>
      </w:pPr>
      <w:r>
        <w:rPr>
          <w:rFonts w:hint="eastAsia"/>
        </w:rPr>
        <w:t>表</w:t>
      </w:r>
      <w:r>
        <w:rPr>
          <w:rFonts w:hint="eastAsia"/>
        </w:rPr>
        <w:t xml:space="preserve">4-4            </w:t>
      </w:r>
      <w:r>
        <w:rPr>
          <w:rFonts w:hint="eastAsia"/>
        </w:rPr>
        <w:t>环境空气监测分析方法一览表</w:t>
      </w:r>
    </w:p>
    <w:tbl>
      <w:tblPr>
        <w:tblW w:w="0" w:type="auto"/>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28" w:type="dxa"/>
          <w:right w:w="28" w:type="dxa"/>
        </w:tblCellMar>
        <w:tblLook w:val="04A0"/>
      </w:tblPr>
      <w:tblGrid>
        <w:gridCol w:w="1304"/>
        <w:gridCol w:w="3686"/>
        <w:gridCol w:w="1559"/>
        <w:gridCol w:w="1813"/>
      </w:tblGrid>
      <w:tr w:rsidR="00EE56C0">
        <w:trPr>
          <w:trHeight w:val="397"/>
        </w:trPr>
        <w:tc>
          <w:tcPr>
            <w:tcW w:w="1304" w:type="dxa"/>
            <w:vAlign w:val="center"/>
          </w:tcPr>
          <w:p w:rsidR="00EE56C0" w:rsidRDefault="000F36A1">
            <w:pPr>
              <w:pStyle w:val="aff1"/>
              <w:rPr>
                <w:color w:val="auto"/>
              </w:rPr>
            </w:pPr>
            <w:r>
              <w:rPr>
                <w:rFonts w:hint="eastAsia"/>
                <w:color w:val="auto"/>
              </w:rPr>
              <w:t>项目</w:t>
            </w:r>
          </w:p>
        </w:tc>
        <w:tc>
          <w:tcPr>
            <w:tcW w:w="3686" w:type="dxa"/>
            <w:vAlign w:val="center"/>
          </w:tcPr>
          <w:p w:rsidR="00EE56C0" w:rsidRDefault="000F36A1">
            <w:pPr>
              <w:pStyle w:val="aff1"/>
              <w:rPr>
                <w:color w:val="auto"/>
              </w:rPr>
            </w:pPr>
            <w:r>
              <w:rPr>
                <w:rFonts w:hint="eastAsia"/>
                <w:color w:val="auto"/>
              </w:rPr>
              <w:t>分析方法</w:t>
            </w:r>
          </w:p>
        </w:tc>
        <w:tc>
          <w:tcPr>
            <w:tcW w:w="1559" w:type="dxa"/>
            <w:vAlign w:val="center"/>
          </w:tcPr>
          <w:p w:rsidR="00EE56C0" w:rsidRDefault="000F36A1">
            <w:pPr>
              <w:pStyle w:val="aff1"/>
              <w:rPr>
                <w:color w:val="auto"/>
              </w:rPr>
            </w:pPr>
            <w:r>
              <w:rPr>
                <w:rFonts w:hint="eastAsia"/>
                <w:color w:val="auto"/>
              </w:rPr>
              <w:t>方法来源</w:t>
            </w:r>
          </w:p>
        </w:tc>
        <w:tc>
          <w:tcPr>
            <w:tcW w:w="1813" w:type="dxa"/>
            <w:vAlign w:val="center"/>
          </w:tcPr>
          <w:p w:rsidR="00EE56C0" w:rsidRDefault="000F36A1">
            <w:pPr>
              <w:pStyle w:val="aff1"/>
              <w:rPr>
                <w:color w:val="auto"/>
              </w:rPr>
            </w:pPr>
            <w:r>
              <w:rPr>
                <w:rFonts w:hint="eastAsia"/>
                <w:color w:val="auto"/>
              </w:rPr>
              <w:t>检出限（</w:t>
            </w:r>
            <w:r>
              <w:rPr>
                <w:color w:val="auto"/>
              </w:rPr>
              <w:t>mg/m</w:t>
            </w:r>
            <w:r>
              <w:rPr>
                <w:color w:val="auto"/>
                <w:vertAlign w:val="superscript"/>
              </w:rPr>
              <w:t>3</w:t>
            </w:r>
            <w:r>
              <w:rPr>
                <w:rFonts w:hint="eastAsia"/>
                <w:color w:val="auto"/>
              </w:rPr>
              <w:t>）</w:t>
            </w:r>
          </w:p>
        </w:tc>
      </w:tr>
      <w:tr w:rsidR="00EE56C0">
        <w:trPr>
          <w:trHeight w:val="397"/>
        </w:trPr>
        <w:tc>
          <w:tcPr>
            <w:tcW w:w="1304" w:type="dxa"/>
            <w:vAlign w:val="center"/>
          </w:tcPr>
          <w:p w:rsidR="00EE56C0" w:rsidRDefault="000F36A1">
            <w:pPr>
              <w:pStyle w:val="afa"/>
            </w:pPr>
            <w:r>
              <w:rPr>
                <w:rFonts w:hint="eastAsia"/>
              </w:rPr>
              <w:t>非甲烷总烃</w:t>
            </w:r>
          </w:p>
        </w:tc>
        <w:tc>
          <w:tcPr>
            <w:tcW w:w="3686" w:type="dxa"/>
            <w:vAlign w:val="center"/>
          </w:tcPr>
          <w:p w:rsidR="00EE56C0" w:rsidRDefault="000F36A1">
            <w:pPr>
              <w:pStyle w:val="afa"/>
            </w:pPr>
            <w:r>
              <w:rPr>
                <w:rFonts w:hint="eastAsia"/>
              </w:rPr>
              <w:t>《环境空气总烃、甲烷和非甲烷总烃的测定直接进样</w:t>
            </w:r>
            <w:r>
              <w:t>-</w:t>
            </w:r>
            <w:r>
              <w:rPr>
                <w:rFonts w:hint="eastAsia"/>
              </w:rPr>
              <w:t>气相色谱法》</w:t>
            </w:r>
          </w:p>
        </w:tc>
        <w:tc>
          <w:tcPr>
            <w:tcW w:w="1559" w:type="dxa"/>
            <w:vAlign w:val="center"/>
          </w:tcPr>
          <w:p w:rsidR="00EE56C0" w:rsidRDefault="000F36A1">
            <w:pPr>
              <w:pStyle w:val="afa"/>
              <w:rPr>
                <w:szCs w:val="24"/>
              </w:rPr>
            </w:pPr>
            <w:r>
              <w:t>HJ</w:t>
            </w:r>
            <w:r>
              <w:rPr>
                <w:rFonts w:hint="eastAsia"/>
              </w:rPr>
              <w:t xml:space="preserve"> 604-2017</w:t>
            </w:r>
          </w:p>
        </w:tc>
        <w:tc>
          <w:tcPr>
            <w:tcW w:w="1813" w:type="dxa"/>
            <w:vAlign w:val="center"/>
          </w:tcPr>
          <w:p w:rsidR="00EE56C0" w:rsidRDefault="000F36A1">
            <w:pPr>
              <w:pStyle w:val="afa"/>
            </w:pPr>
            <w:r>
              <w:t>0.</w:t>
            </w:r>
            <w:r>
              <w:rPr>
                <w:rFonts w:hint="eastAsia"/>
              </w:rPr>
              <w:t>07</w:t>
            </w:r>
          </w:p>
        </w:tc>
      </w:tr>
      <w:tr w:rsidR="00EE56C0">
        <w:trPr>
          <w:trHeight w:val="397"/>
        </w:trPr>
        <w:tc>
          <w:tcPr>
            <w:tcW w:w="1304" w:type="dxa"/>
            <w:vAlign w:val="center"/>
          </w:tcPr>
          <w:p w:rsidR="00EE56C0" w:rsidRDefault="000F36A1">
            <w:pPr>
              <w:pStyle w:val="afa"/>
            </w:pPr>
            <w:r>
              <w:t>甲苯</w:t>
            </w:r>
          </w:p>
        </w:tc>
        <w:tc>
          <w:tcPr>
            <w:tcW w:w="3686" w:type="dxa"/>
            <w:vMerge w:val="restart"/>
            <w:vAlign w:val="center"/>
          </w:tcPr>
          <w:p w:rsidR="00EE56C0" w:rsidRDefault="000F36A1">
            <w:pPr>
              <w:pStyle w:val="afa"/>
            </w:pPr>
            <w:r>
              <w:rPr>
                <w:rFonts w:hint="eastAsia"/>
              </w:rPr>
              <w:t>《环境空气苯系物的测定活性炭吸附</w:t>
            </w:r>
            <w:r>
              <w:t>/</w:t>
            </w:r>
            <w:r>
              <w:rPr>
                <w:rFonts w:hint="eastAsia"/>
              </w:rPr>
              <w:t>二硫化碳解吸</w:t>
            </w:r>
            <w:r>
              <w:t>-</w:t>
            </w:r>
            <w:r>
              <w:rPr>
                <w:rFonts w:hint="eastAsia"/>
              </w:rPr>
              <w:t>气相色谱法》</w:t>
            </w:r>
          </w:p>
        </w:tc>
        <w:tc>
          <w:tcPr>
            <w:tcW w:w="1559" w:type="dxa"/>
            <w:vMerge w:val="restart"/>
            <w:vAlign w:val="center"/>
          </w:tcPr>
          <w:p w:rsidR="00EE56C0" w:rsidRDefault="000F36A1">
            <w:pPr>
              <w:pStyle w:val="afa"/>
            </w:pPr>
            <w:r>
              <w:t>HJ 584-2010</w:t>
            </w:r>
          </w:p>
        </w:tc>
        <w:tc>
          <w:tcPr>
            <w:tcW w:w="1813" w:type="dxa"/>
            <w:vMerge w:val="restart"/>
            <w:vAlign w:val="center"/>
          </w:tcPr>
          <w:p w:rsidR="00EE56C0" w:rsidRDefault="000F36A1">
            <w:pPr>
              <w:pStyle w:val="afa"/>
            </w:pPr>
            <w:r>
              <w:rPr>
                <w:rFonts w:hint="eastAsia"/>
              </w:rPr>
              <w:t>1.5</w:t>
            </w:r>
            <w:r>
              <w:t>×10</w:t>
            </w:r>
            <w:r>
              <w:rPr>
                <w:vertAlign w:val="superscript"/>
              </w:rPr>
              <w:t>-</w:t>
            </w:r>
            <w:r>
              <w:rPr>
                <w:rFonts w:hint="eastAsia"/>
                <w:vertAlign w:val="superscript"/>
              </w:rPr>
              <w:t>3</w:t>
            </w:r>
          </w:p>
        </w:tc>
      </w:tr>
      <w:tr w:rsidR="00EE56C0">
        <w:trPr>
          <w:trHeight w:val="397"/>
        </w:trPr>
        <w:tc>
          <w:tcPr>
            <w:tcW w:w="1304" w:type="dxa"/>
            <w:vAlign w:val="center"/>
          </w:tcPr>
          <w:p w:rsidR="00EE56C0" w:rsidRDefault="000F36A1">
            <w:pPr>
              <w:pStyle w:val="afa"/>
            </w:pPr>
            <w:r>
              <w:rPr>
                <w:rFonts w:hint="eastAsia"/>
              </w:rPr>
              <w:t>二甲苯</w:t>
            </w:r>
          </w:p>
        </w:tc>
        <w:tc>
          <w:tcPr>
            <w:tcW w:w="3686" w:type="dxa"/>
            <w:vMerge/>
            <w:vAlign w:val="center"/>
          </w:tcPr>
          <w:p w:rsidR="00EE56C0" w:rsidRDefault="00EE56C0">
            <w:pPr>
              <w:pStyle w:val="afa"/>
            </w:pPr>
          </w:p>
        </w:tc>
        <w:tc>
          <w:tcPr>
            <w:tcW w:w="1559" w:type="dxa"/>
            <w:vMerge/>
            <w:vAlign w:val="center"/>
          </w:tcPr>
          <w:p w:rsidR="00EE56C0" w:rsidRDefault="00EE56C0">
            <w:pPr>
              <w:pStyle w:val="afa"/>
            </w:pPr>
          </w:p>
        </w:tc>
        <w:tc>
          <w:tcPr>
            <w:tcW w:w="1813" w:type="dxa"/>
            <w:vMerge/>
            <w:vAlign w:val="center"/>
          </w:tcPr>
          <w:p w:rsidR="00EE56C0" w:rsidRDefault="00EE56C0">
            <w:pPr>
              <w:pStyle w:val="afa"/>
            </w:pPr>
          </w:p>
        </w:tc>
      </w:tr>
      <w:tr w:rsidR="00EE56C0">
        <w:trPr>
          <w:trHeight w:val="397"/>
        </w:trPr>
        <w:tc>
          <w:tcPr>
            <w:tcW w:w="1304" w:type="dxa"/>
            <w:vAlign w:val="center"/>
          </w:tcPr>
          <w:p w:rsidR="00EE56C0" w:rsidRDefault="000F36A1">
            <w:pPr>
              <w:pStyle w:val="afa"/>
            </w:pPr>
            <w:r>
              <w:rPr>
                <w:rFonts w:hint="eastAsia"/>
              </w:rPr>
              <w:t>苯</w:t>
            </w:r>
          </w:p>
        </w:tc>
        <w:tc>
          <w:tcPr>
            <w:tcW w:w="3686" w:type="dxa"/>
            <w:vMerge/>
            <w:vAlign w:val="center"/>
          </w:tcPr>
          <w:p w:rsidR="00EE56C0" w:rsidRDefault="00EE56C0">
            <w:pPr>
              <w:pStyle w:val="afa"/>
            </w:pPr>
          </w:p>
        </w:tc>
        <w:tc>
          <w:tcPr>
            <w:tcW w:w="1559" w:type="dxa"/>
            <w:vMerge/>
            <w:vAlign w:val="center"/>
          </w:tcPr>
          <w:p w:rsidR="00EE56C0" w:rsidRDefault="00EE56C0">
            <w:pPr>
              <w:pStyle w:val="afa"/>
            </w:pPr>
          </w:p>
        </w:tc>
        <w:tc>
          <w:tcPr>
            <w:tcW w:w="1813" w:type="dxa"/>
            <w:vMerge/>
            <w:vAlign w:val="center"/>
          </w:tcPr>
          <w:p w:rsidR="00EE56C0" w:rsidRDefault="00EE56C0">
            <w:pPr>
              <w:pStyle w:val="afa"/>
            </w:pPr>
          </w:p>
        </w:tc>
      </w:tr>
      <w:tr w:rsidR="00EE56C0">
        <w:trPr>
          <w:trHeight w:val="397"/>
        </w:trPr>
        <w:tc>
          <w:tcPr>
            <w:tcW w:w="1304" w:type="dxa"/>
            <w:vAlign w:val="center"/>
          </w:tcPr>
          <w:p w:rsidR="00EE56C0" w:rsidRDefault="000F36A1">
            <w:pPr>
              <w:pStyle w:val="afa"/>
            </w:pPr>
            <w:r>
              <w:rPr>
                <w:rFonts w:hint="eastAsia"/>
              </w:rPr>
              <w:t>酚</w:t>
            </w:r>
          </w:p>
        </w:tc>
        <w:tc>
          <w:tcPr>
            <w:tcW w:w="3686" w:type="dxa"/>
            <w:vAlign w:val="center"/>
          </w:tcPr>
          <w:p w:rsidR="00EE56C0" w:rsidRDefault="000F36A1">
            <w:pPr>
              <w:pStyle w:val="afa"/>
            </w:pPr>
            <w:r>
              <w:rPr>
                <w:rFonts w:hint="eastAsia"/>
              </w:rPr>
              <w:t>《固定污染源排气中酚类化合物的测定</w:t>
            </w:r>
            <w:r>
              <w:t xml:space="preserve"> 4-</w:t>
            </w:r>
            <w:r>
              <w:rPr>
                <w:rFonts w:hint="eastAsia"/>
              </w:rPr>
              <w:t>氨基安替比林分光光度法》</w:t>
            </w:r>
          </w:p>
        </w:tc>
        <w:tc>
          <w:tcPr>
            <w:tcW w:w="1559" w:type="dxa"/>
            <w:vAlign w:val="center"/>
          </w:tcPr>
          <w:p w:rsidR="00EE56C0" w:rsidRDefault="000F36A1">
            <w:pPr>
              <w:pStyle w:val="afa"/>
            </w:pPr>
            <w:r>
              <w:t>HJ/T 32-1999</w:t>
            </w:r>
          </w:p>
        </w:tc>
        <w:tc>
          <w:tcPr>
            <w:tcW w:w="1813" w:type="dxa"/>
            <w:vAlign w:val="center"/>
          </w:tcPr>
          <w:p w:rsidR="00EE56C0" w:rsidRDefault="000F36A1">
            <w:pPr>
              <w:pStyle w:val="afa"/>
            </w:pPr>
            <w:r>
              <w:rPr>
                <w:rFonts w:hint="eastAsia"/>
              </w:rPr>
              <w:t>0.003</w:t>
            </w:r>
          </w:p>
        </w:tc>
      </w:tr>
    </w:tbl>
    <w:p w:rsidR="00EE56C0" w:rsidRDefault="000F36A1">
      <w:pPr>
        <w:pStyle w:val="4"/>
        <w:ind w:left="120" w:firstLine="241"/>
      </w:pPr>
      <w:r>
        <w:rPr>
          <w:rFonts w:hint="eastAsia"/>
        </w:rPr>
        <w:t>4.2.2.5</w:t>
      </w:r>
      <w:r>
        <w:rPr>
          <w:rFonts w:hint="eastAsia"/>
        </w:rPr>
        <w:t>评价标准</w:t>
      </w:r>
      <w:r>
        <w:rPr>
          <w:rFonts w:hint="eastAsia"/>
        </w:rPr>
        <w:t xml:space="preserve"> </w:t>
      </w:r>
    </w:p>
    <w:p w:rsidR="00EE56C0" w:rsidRDefault="000F36A1">
      <w:pPr>
        <w:ind w:firstLine="480"/>
      </w:pPr>
      <w:r>
        <w:rPr>
          <w:rFonts w:hint="eastAsia"/>
        </w:rPr>
        <w:t>本次评价苯、甲苯和二甲苯执行《环境影响评价技术导则</w:t>
      </w:r>
      <w:r>
        <w:rPr>
          <w:rFonts w:hint="eastAsia"/>
        </w:rPr>
        <w:t xml:space="preserve"> </w:t>
      </w:r>
      <w:r>
        <w:rPr>
          <w:rFonts w:hint="eastAsia"/>
        </w:rPr>
        <w:t>大气环境》（</w:t>
      </w:r>
      <w:r>
        <w:rPr>
          <w:rFonts w:hint="eastAsia"/>
        </w:rPr>
        <w:t>HJ2.2-2018</w:t>
      </w:r>
      <w:r>
        <w:rPr>
          <w:rFonts w:hint="eastAsia"/>
        </w:rPr>
        <w:t>）附录</w:t>
      </w:r>
      <w:r>
        <w:rPr>
          <w:rFonts w:hint="eastAsia"/>
        </w:rPr>
        <w:t>D</w:t>
      </w:r>
      <w:r>
        <w:rPr>
          <w:rFonts w:hint="eastAsia"/>
        </w:rPr>
        <w:t>的标准要求；非甲烷总烃参照</w:t>
      </w:r>
      <w:r>
        <w:t>根据</w:t>
      </w:r>
      <w:r>
        <w:rPr>
          <w:rFonts w:hint="eastAsia"/>
        </w:rPr>
        <w:t>（大气综合污染物排放标准详解）第四章标准值说明</w:t>
      </w:r>
      <w:r>
        <w:rPr>
          <w:rFonts w:hint="eastAsia"/>
        </w:rPr>
        <w:t>-</w:t>
      </w:r>
      <w:r>
        <w:rPr>
          <w:rFonts w:hint="eastAsia"/>
        </w:rPr>
        <w:t>三十一、非甲烷总烃的标准执行；酚参照</w:t>
      </w:r>
      <w:r>
        <w:rPr>
          <w:rFonts w:hint="eastAsia"/>
          <w:b/>
          <w:u w:val="single"/>
        </w:rPr>
        <w:t>《居住区大气中酚卫生标准》（</w:t>
      </w:r>
      <w:r>
        <w:rPr>
          <w:rFonts w:hint="eastAsia"/>
          <w:b/>
          <w:u w:val="single"/>
        </w:rPr>
        <w:t>GB18067-2000</w:t>
      </w:r>
      <w:r>
        <w:rPr>
          <w:rFonts w:hint="eastAsia"/>
          <w:b/>
          <w:u w:val="single"/>
        </w:rPr>
        <w:t>）</w:t>
      </w:r>
      <w:r>
        <w:rPr>
          <w:rFonts w:hint="eastAsia"/>
        </w:rPr>
        <w:t>中标准执行。浓度标准限值见表</w:t>
      </w:r>
      <w:r>
        <w:rPr>
          <w:rFonts w:hint="eastAsia"/>
        </w:rPr>
        <w:t>4-5</w:t>
      </w:r>
      <w:r>
        <w:rPr>
          <w:rFonts w:hint="eastAsia"/>
        </w:rPr>
        <w:t>。</w:t>
      </w:r>
    </w:p>
    <w:p w:rsidR="00EE56C0" w:rsidRDefault="000F36A1">
      <w:pPr>
        <w:pStyle w:val="afd"/>
        <w:spacing w:before="120" w:after="120"/>
        <w:ind w:firstLine="482"/>
      </w:pPr>
      <w:r>
        <w:rPr>
          <w:rFonts w:hint="eastAsia"/>
        </w:rPr>
        <w:t>表</w:t>
      </w:r>
      <w:r>
        <w:rPr>
          <w:rFonts w:hint="eastAsia"/>
        </w:rPr>
        <w:t xml:space="preserve">4-5              </w:t>
      </w:r>
      <w:r>
        <w:rPr>
          <w:rFonts w:hint="eastAsia"/>
        </w:rPr>
        <w:t>环境空气质量评价标准</w:t>
      </w:r>
    </w:p>
    <w:tbl>
      <w:tblPr>
        <w:tblW w:w="5000" w:type="pct"/>
        <w:tblBorders>
          <w:top w:val="single" w:sz="8" w:space="0" w:color="auto"/>
          <w:bottom w:val="single" w:sz="8" w:space="0" w:color="auto"/>
          <w:insideH w:val="single" w:sz="4" w:space="0" w:color="auto"/>
          <w:insideV w:val="single" w:sz="4" w:space="0" w:color="auto"/>
        </w:tblBorders>
        <w:tblLayout w:type="fixed"/>
        <w:tblLook w:val="04A0"/>
      </w:tblPr>
      <w:tblGrid>
        <w:gridCol w:w="1385"/>
        <w:gridCol w:w="2270"/>
        <w:gridCol w:w="1702"/>
        <w:gridCol w:w="3171"/>
      </w:tblGrid>
      <w:tr w:rsidR="00EE56C0">
        <w:trPr>
          <w:trHeight w:val="397"/>
        </w:trPr>
        <w:tc>
          <w:tcPr>
            <w:tcW w:w="1385" w:type="dxa"/>
            <w:tcBorders>
              <w:top w:val="single" w:sz="8" w:space="0" w:color="auto"/>
              <w:left w:val="single" w:sz="8" w:space="0" w:color="auto"/>
              <w:bottom w:val="single" w:sz="4" w:space="0" w:color="auto"/>
            </w:tcBorders>
            <w:vAlign w:val="center"/>
          </w:tcPr>
          <w:p w:rsidR="00EE56C0" w:rsidRDefault="000F36A1">
            <w:pPr>
              <w:pStyle w:val="aff1"/>
              <w:rPr>
                <w:color w:val="auto"/>
              </w:rPr>
            </w:pPr>
            <w:r>
              <w:rPr>
                <w:rFonts w:hint="eastAsia"/>
                <w:color w:val="auto"/>
              </w:rPr>
              <w:t>污染物名称</w:t>
            </w:r>
          </w:p>
        </w:tc>
        <w:tc>
          <w:tcPr>
            <w:tcW w:w="2270" w:type="dxa"/>
            <w:tcBorders>
              <w:top w:val="single" w:sz="8" w:space="0" w:color="auto"/>
              <w:bottom w:val="single" w:sz="4" w:space="0" w:color="auto"/>
            </w:tcBorders>
            <w:vAlign w:val="center"/>
          </w:tcPr>
          <w:p w:rsidR="00EE56C0" w:rsidRDefault="000F36A1">
            <w:pPr>
              <w:pStyle w:val="aff1"/>
              <w:rPr>
                <w:color w:val="auto"/>
              </w:rPr>
            </w:pPr>
            <w:r>
              <w:rPr>
                <w:rFonts w:hint="eastAsia"/>
                <w:color w:val="auto"/>
              </w:rPr>
              <w:t>取值时间</w:t>
            </w:r>
          </w:p>
        </w:tc>
        <w:tc>
          <w:tcPr>
            <w:tcW w:w="1702" w:type="dxa"/>
            <w:tcBorders>
              <w:top w:val="single" w:sz="8" w:space="0" w:color="auto"/>
              <w:bottom w:val="single" w:sz="4" w:space="0" w:color="auto"/>
            </w:tcBorders>
            <w:vAlign w:val="center"/>
          </w:tcPr>
          <w:p w:rsidR="00EE56C0" w:rsidRDefault="000F36A1">
            <w:pPr>
              <w:pStyle w:val="aff1"/>
              <w:rPr>
                <w:color w:val="auto"/>
              </w:rPr>
            </w:pPr>
            <w:r>
              <w:rPr>
                <w:rFonts w:hint="eastAsia"/>
                <w:color w:val="auto"/>
              </w:rPr>
              <w:t>标准浓度限值</w:t>
            </w:r>
          </w:p>
        </w:tc>
        <w:tc>
          <w:tcPr>
            <w:tcW w:w="3171" w:type="dxa"/>
            <w:tcBorders>
              <w:top w:val="single" w:sz="8" w:space="0" w:color="auto"/>
              <w:bottom w:val="single" w:sz="4" w:space="0" w:color="auto"/>
              <w:right w:val="single" w:sz="8" w:space="0" w:color="auto"/>
            </w:tcBorders>
            <w:vAlign w:val="center"/>
          </w:tcPr>
          <w:p w:rsidR="00EE56C0" w:rsidRDefault="000F36A1">
            <w:pPr>
              <w:pStyle w:val="aff1"/>
              <w:rPr>
                <w:color w:val="auto"/>
              </w:rPr>
            </w:pPr>
            <w:r>
              <w:rPr>
                <w:rFonts w:hint="eastAsia"/>
                <w:color w:val="auto"/>
              </w:rPr>
              <w:t>标准出处</w:t>
            </w:r>
          </w:p>
        </w:tc>
      </w:tr>
      <w:tr w:rsidR="00EE56C0">
        <w:trPr>
          <w:trHeight w:val="397"/>
        </w:trPr>
        <w:tc>
          <w:tcPr>
            <w:tcW w:w="1385" w:type="dxa"/>
            <w:tcBorders>
              <w:left w:val="single" w:sz="8" w:space="0" w:color="auto"/>
            </w:tcBorders>
            <w:vAlign w:val="center"/>
          </w:tcPr>
          <w:p w:rsidR="00EE56C0" w:rsidRDefault="000F36A1">
            <w:pPr>
              <w:pStyle w:val="afa"/>
            </w:pPr>
            <w:r>
              <w:rPr>
                <w:rFonts w:hint="eastAsia"/>
              </w:rPr>
              <w:t>苯</w:t>
            </w:r>
          </w:p>
        </w:tc>
        <w:tc>
          <w:tcPr>
            <w:tcW w:w="2270" w:type="dxa"/>
            <w:vAlign w:val="center"/>
          </w:tcPr>
          <w:p w:rsidR="00EE56C0" w:rsidRDefault="000F36A1">
            <w:pPr>
              <w:pStyle w:val="afa"/>
            </w:pPr>
            <w:r>
              <w:t>1</w:t>
            </w:r>
            <w:r>
              <w:rPr>
                <w:rFonts w:hint="eastAsia"/>
              </w:rPr>
              <w:t>小时平均</w:t>
            </w:r>
          </w:p>
        </w:tc>
        <w:tc>
          <w:tcPr>
            <w:tcW w:w="1702" w:type="dxa"/>
            <w:vAlign w:val="center"/>
          </w:tcPr>
          <w:p w:rsidR="00EE56C0" w:rsidRDefault="000F36A1">
            <w:pPr>
              <w:pStyle w:val="afa"/>
              <w:rPr>
                <w:highlight w:val="yellow"/>
              </w:rPr>
            </w:pPr>
            <w:r>
              <w:rPr>
                <w:rFonts w:hint="eastAsia"/>
              </w:rPr>
              <w:t>0.11mg/m</w:t>
            </w:r>
            <w:r>
              <w:rPr>
                <w:rFonts w:hint="eastAsia"/>
                <w:vertAlign w:val="superscript"/>
              </w:rPr>
              <w:t>3</w:t>
            </w:r>
          </w:p>
        </w:tc>
        <w:tc>
          <w:tcPr>
            <w:tcW w:w="3171" w:type="dxa"/>
            <w:vMerge w:val="restart"/>
            <w:tcBorders>
              <w:right w:val="single" w:sz="8" w:space="0" w:color="auto"/>
            </w:tcBorders>
            <w:vAlign w:val="center"/>
          </w:tcPr>
          <w:p w:rsidR="00EE56C0" w:rsidRDefault="000F36A1">
            <w:pPr>
              <w:pStyle w:val="afa"/>
            </w:pPr>
            <w:r>
              <w:rPr>
                <w:rFonts w:hint="eastAsia"/>
              </w:rPr>
              <w:t>《环境影响评价技术导则</w:t>
            </w:r>
            <w:r>
              <w:rPr>
                <w:rFonts w:hint="eastAsia"/>
              </w:rPr>
              <w:t xml:space="preserve"> </w:t>
            </w:r>
            <w:r>
              <w:rPr>
                <w:rFonts w:hint="eastAsia"/>
              </w:rPr>
              <w:t>大气环境》（</w:t>
            </w:r>
            <w:r>
              <w:rPr>
                <w:rFonts w:hint="eastAsia"/>
              </w:rPr>
              <w:t>HJ2.2-2018</w:t>
            </w:r>
            <w:r>
              <w:rPr>
                <w:rFonts w:hint="eastAsia"/>
              </w:rPr>
              <w:t>）附录</w:t>
            </w:r>
            <w:r>
              <w:rPr>
                <w:rFonts w:hint="eastAsia"/>
              </w:rPr>
              <w:t>D</w:t>
            </w:r>
          </w:p>
        </w:tc>
      </w:tr>
      <w:tr w:rsidR="00EE56C0">
        <w:trPr>
          <w:trHeight w:val="397"/>
        </w:trPr>
        <w:tc>
          <w:tcPr>
            <w:tcW w:w="1385" w:type="dxa"/>
            <w:tcBorders>
              <w:left w:val="single" w:sz="8" w:space="0" w:color="auto"/>
            </w:tcBorders>
            <w:vAlign w:val="center"/>
          </w:tcPr>
          <w:p w:rsidR="00EE56C0" w:rsidRDefault="000F36A1">
            <w:pPr>
              <w:pStyle w:val="afa"/>
            </w:pPr>
            <w:r>
              <w:rPr>
                <w:rFonts w:hint="eastAsia"/>
              </w:rPr>
              <w:t>甲苯</w:t>
            </w:r>
          </w:p>
        </w:tc>
        <w:tc>
          <w:tcPr>
            <w:tcW w:w="2270" w:type="dxa"/>
            <w:vAlign w:val="center"/>
          </w:tcPr>
          <w:p w:rsidR="00EE56C0" w:rsidRDefault="000F36A1">
            <w:pPr>
              <w:pStyle w:val="afa"/>
            </w:pPr>
            <w:r>
              <w:t>1</w:t>
            </w:r>
            <w:r>
              <w:rPr>
                <w:rFonts w:hint="eastAsia"/>
              </w:rPr>
              <w:t>小时平均</w:t>
            </w:r>
          </w:p>
        </w:tc>
        <w:tc>
          <w:tcPr>
            <w:tcW w:w="1702" w:type="dxa"/>
            <w:vAlign w:val="center"/>
          </w:tcPr>
          <w:p w:rsidR="00EE56C0" w:rsidRDefault="000F36A1">
            <w:pPr>
              <w:pStyle w:val="afa"/>
            </w:pPr>
            <w:r>
              <w:t>0.</w:t>
            </w:r>
            <w:r>
              <w:rPr>
                <w:rFonts w:hint="eastAsia"/>
              </w:rPr>
              <w:t>2</w:t>
            </w:r>
            <w:r>
              <w:t>mg/m</w:t>
            </w:r>
            <w:r>
              <w:rPr>
                <w:vertAlign w:val="superscript"/>
              </w:rPr>
              <w:t>3</w:t>
            </w:r>
          </w:p>
        </w:tc>
        <w:tc>
          <w:tcPr>
            <w:tcW w:w="3171" w:type="dxa"/>
            <w:vMerge/>
            <w:tcBorders>
              <w:right w:val="single" w:sz="8" w:space="0" w:color="auto"/>
            </w:tcBorders>
            <w:vAlign w:val="center"/>
          </w:tcPr>
          <w:p w:rsidR="00EE56C0" w:rsidRDefault="00EE56C0">
            <w:pPr>
              <w:pStyle w:val="afa"/>
            </w:pPr>
          </w:p>
        </w:tc>
      </w:tr>
      <w:tr w:rsidR="00EE56C0">
        <w:trPr>
          <w:trHeight w:val="397"/>
        </w:trPr>
        <w:tc>
          <w:tcPr>
            <w:tcW w:w="1385" w:type="dxa"/>
            <w:tcBorders>
              <w:left w:val="single" w:sz="8" w:space="0" w:color="auto"/>
            </w:tcBorders>
            <w:vAlign w:val="center"/>
          </w:tcPr>
          <w:p w:rsidR="00EE56C0" w:rsidRDefault="000F36A1">
            <w:pPr>
              <w:pStyle w:val="afa"/>
            </w:pPr>
            <w:r>
              <w:rPr>
                <w:rFonts w:hint="eastAsia"/>
              </w:rPr>
              <w:t>二甲苯</w:t>
            </w:r>
          </w:p>
        </w:tc>
        <w:tc>
          <w:tcPr>
            <w:tcW w:w="2270" w:type="dxa"/>
            <w:vAlign w:val="center"/>
          </w:tcPr>
          <w:p w:rsidR="00EE56C0" w:rsidRDefault="000F36A1">
            <w:pPr>
              <w:pStyle w:val="afa"/>
            </w:pPr>
            <w:r>
              <w:t>1</w:t>
            </w:r>
            <w:r>
              <w:rPr>
                <w:rFonts w:hint="eastAsia"/>
              </w:rPr>
              <w:t>小时平均</w:t>
            </w:r>
          </w:p>
        </w:tc>
        <w:tc>
          <w:tcPr>
            <w:tcW w:w="1702" w:type="dxa"/>
            <w:vAlign w:val="center"/>
          </w:tcPr>
          <w:p w:rsidR="00EE56C0" w:rsidRDefault="000F36A1">
            <w:pPr>
              <w:pStyle w:val="afa"/>
            </w:pPr>
            <w:r>
              <w:rPr>
                <w:rFonts w:hint="eastAsia"/>
              </w:rPr>
              <w:t>0.2</w:t>
            </w:r>
            <w:r>
              <w:t>mg/m</w:t>
            </w:r>
            <w:r>
              <w:rPr>
                <w:vertAlign w:val="superscript"/>
              </w:rPr>
              <w:t>3</w:t>
            </w:r>
          </w:p>
        </w:tc>
        <w:tc>
          <w:tcPr>
            <w:tcW w:w="3171" w:type="dxa"/>
            <w:vMerge/>
            <w:tcBorders>
              <w:right w:val="single" w:sz="8" w:space="0" w:color="auto"/>
            </w:tcBorders>
            <w:vAlign w:val="center"/>
          </w:tcPr>
          <w:p w:rsidR="00EE56C0" w:rsidRDefault="00EE56C0">
            <w:pPr>
              <w:pStyle w:val="afa"/>
            </w:pPr>
          </w:p>
        </w:tc>
      </w:tr>
      <w:tr w:rsidR="00EE56C0">
        <w:trPr>
          <w:trHeight w:val="397"/>
        </w:trPr>
        <w:tc>
          <w:tcPr>
            <w:tcW w:w="1385" w:type="dxa"/>
            <w:tcBorders>
              <w:left w:val="single" w:sz="8" w:space="0" w:color="auto"/>
            </w:tcBorders>
            <w:vAlign w:val="center"/>
          </w:tcPr>
          <w:p w:rsidR="00EE56C0" w:rsidRDefault="000F36A1">
            <w:pPr>
              <w:pStyle w:val="afa"/>
            </w:pPr>
            <w:r>
              <w:t>非甲烷总烃</w:t>
            </w:r>
          </w:p>
        </w:tc>
        <w:tc>
          <w:tcPr>
            <w:tcW w:w="2270" w:type="dxa"/>
            <w:vAlign w:val="center"/>
          </w:tcPr>
          <w:p w:rsidR="00EE56C0" w:rsidRDefault="000F36A1">
            <w:pPr>
              <w:pStyle w:val="afa"/>
            </w:pPr>
            <w:r>
              <w:rPr>
                <w:rFonts w:hint="eastAsia"/>
              </w:rPr>
              <w:t>1</w:t>
            </w:r>
            <w:r>
              <w:rPr>
                <w:rFonts w:hint="eastAsia"/>
              </w:rPr>
              <w:t>小时平均</w:t>
            </w:r>
          </w:p>
        </w:tc>
        <w:tc>
          <w:tcPr>
            <w:tcW w:w="1702" w:type="dxa"/>
            <w:vAlign w:val="center"/>
          </w:tcPr>
          <w:p w:rsidR="00EE56C0" w:rsidRDefault="000F36A1">
            <w:pPr>
              <w:pStyle w:val="afa"/>
            </w:pPr>
            <w:r>
              <w:rPr>
                <w:rFonts w:hint="eastAsia"/>
              </w:rPr>
              <w:t>2.0</w:t>
            </w:r>
            <w:r>
              <w:t>mg/m</w:t>
            </w:r>
            <w:r>
              <w:rPr>
                <w:vertAlign w:val="superscript"/>
              </w:rPr>
              <w:t>3</w:t>
            </w:r>
          </w:p>
        </w:tc>
        <w:tc>
          <w:tcPr>
            <w:tcW w:w="3171" w:type="dxa"/>
            <w:tcBorders>
              <w:right w:val="single" w:sz="8" w:space="0" w:color="auto"/>
            </w:tcBorders>
            <w:vAlign w:val="center"/>
          </w:tcPr>
          <w:p w:rsidR="00EE56C0" w:rsidRDefault="000F36A1">
            <w:pPr>
              <w:pStyle w:val="afa"/>
            </w:pPr>
            <w:r>
              <w:t>根据</w:t>
            </w:r>
            <w:r>
              <w:rPr>
                <w:rFonts w:hint="eastAsia"/>
              </w:rPr>
              <w:t>（大气综合污染物排放标准详解）第四章标准值说明</w:t>
            </w:r>
            <w:r>
              <w:rPr>
                <w:rFonts w:hint="eastAsia"/>
              </w:rPr>
              <w:t>-</w:t>
            </w:r>
            <w:r>
              <w:rPr>
                <w:rFonts w:hint="eastAsia"/>
              </w:rPr>
              <w:t>三十一、非甲烷总烃</w:t>
            </w:r>
          </w:p>
        </w:tc>
      </w:tr>
      <w:tr w:rsidR="00EE56C0">
        <w:trPr>
          <w:trHeight w:val="397"/>
        </w:trPr>
        <w:tc>
          <w:tcPr>
            <w:tcW w:w="1385" w:type="dxa"/>
            <w:tcBorders>
              <w:left w:val="single" w:sz="8" w:space="0" w:color="auto"/>
            </w:tcBorders>
            <w:vAlign w:val="center"/>
          </w:tcPr>
          <w:p w:rsidR="00EE56C0" w:rsidRDefault="000F36A1">
            <w:pPr>
              <w:pStyle w:val="afa"/>
            </w:pPr>
            <w:r>
              <w:t>酚</w:t>
            </w:r>
          </w:p>
        </w:tc>
        <w:tc>
          <w:tcPr>
            <w:tcW w:w="2270" w:type="dxa"/>
            <w:vAlign w:val="center"/>
          </w:tcPr>
          <w:p w:rsidR="00EE56C0" w:rsidRDefault="000F36A1">
            <w:pPr>
              <w:pStyle w:val="afa"/>
            </w:pPr>
            <w:r>
              <w:rPr>
                <w:rFonts w:hint="eastAsia"/>
              </w:rPr>
              <w:t>1</w:t>
            </w:r>
            <w:r>
              <w:rPr>
                <w:rFonts w:hint="eastAsia"/>
              </w:rPr>
              <w:t>小时平均</w:t>
            </w:r>
          </w:p>
        </w:tc>
        <w:tc>
          <w:tcPr>
            <w:tcW w:w="1702" w:type="dxa"/>
            <w:vAlign w:val="center"/>
          </w:tcPr>
          <w:p w:rsidR="00EE56C0" w:rsidRDefault="000F36A1">
            <w:pPr>
              <w:pStyle w:val="afa"/>
            </w:pPr>
            <w:r>
              <w:rPr>
                <w:rFonts w:hint="eastAsia"/>
              </w:rPr>
              <w:t>0.05</w:t>
            </w:r>
            <w:r>
              <w:t>mg/m</w:t>
            </w:r>
            <w:r>
              <w:rPr>
                <w:vertAlign w:val="superscript"/>
              </w:rPr>
              <w:t>3</w:t>
            </w:r>
          </w:p>
        </w:tc>
        <w:tc>
          <w:tcPr>
            <w:tcW w:w="3171" w:type="dxa"/>
            <w:tcBorders>
              <w:right w:val="single" w:sz="8" w:space="0" w:color="auto"/>
            </w:tcBorders>
            <w:vAlign w:val="center"/>
          </w:tcPr>
          <w:p w:rsidR="00EE56C0" w:rsidRDefault="000F36A1">
            <w:pPr>
              <w:pStyle w:val="afa"/>
              <w:rPr>
                <w:b/>
              </w:rPr>
            </w:pPr>
            <w:r>
              <w:rPr>
                <w:rFonts w:hint="eastAsia"/>
                <w:b/>
                <w:u w:val="single"/>
              </w:rPr>
              <w:t>《居住区大气中酚卫生标准》（</w:t>
            </w:r>
            <w:r>
              <w:rPr>
                <w:rFonts w:hint="eastAsia"/>
                <w:b/>
                <w:u w:val="single"/>
              </w:rPr>
              <w:t>GB18067-2000</w:t>
            </w:r>
            <w:r>
              <w:rPr>
                <w:rFonts w:hint="eastAsia"/>
                <w:b/>
                <w:u w:val="single"/>
              </w:rPr>
              <w:t>）</w:t>
            </w:r>
          </w:p>
        </w:tc>
      </w:tr>
    </w:tbl>
    <w:p w:rsidR="00EE56C0" w:rsidRDefault="000F36A1">
      <w:pPr>
        <w:pStyle w:val="4"/>
        <w:ind w:left="120" w:firstLine="241"/>
      </w:pPr>
      <w:r>
        <w:rPr>
          <w:rFonts w:hint="eastAsia"/>
        </w:rPr>
        <w:t>4.2.2.6</w:t>
      </w:r>
      <w:r>
        <w:rPr>
          <w:rFonts w:hint="eastAsia"/>
        </w:rPr>
        <w:t>评价方法</w:t>
      </w:r>
      <w:r>
        <w:rPr>
          <w:rFonts w:hint="eastAsia"/>
        </w:rPr>
        <w:t xml:space="preserve"> </w:t>
      </w:r>
    </w:p>
    <w:p w:rsidR="00EE56C0" w:rsidRDefault="000F36A1">
      <w:pPr>
        <w:ind w:firstLine="480"/>
      </w:pPr>
      <w:r>
        <w:rPr>
          <w:rFonts w:hint="eastAsia"/>
        </w:rPr>
        <w:t>环境空气质量现状评价方法采用统计监测浓度范围，同时计算其超标率及最大值超标倍数。采用单因子污染指数法进行评价，计算公式如下：</w:t>
      </w:r>
    </w:p>
    <w:p w:rsidR="00EE56C0" w:rsidRDefault="000F36A1">
      <w:pPr>
        <w:pStyle w:val="aff9"/>
        <w:spacing w:before="240" w:after="120"/>
      </w:pPr>
      <w:r>
        <w:lastRenderedPageBreak/>
        <w:t>Pi=Ci/Si</w:t>
      </w:r>
    </w:p>
    <w:p w:rsidR="00EE56C0" w:rsidRDefault="000F36A1">
      <w:pPr>
        <w:ind w:firstLine="480"/>
      </w:pPr>
      <w:r>
        <w:t>P</w:t>
      </w:r>
      <w:r>
        <w:rPr>
          <w:kern w:val="2"/>
          <w:szCs w:val="28"/>
          <w:vertAlign w:val="subscript"/>
        </w:rPr>
        <w:t>i</w:t>
      </w:r>
      <w:r>
        <w:t>:i</w:t>
      </w:r>
      <w:r>
        <w:rPr>
          <w:rFonts w:hint="eastAsia"/>
        </w:rPr>
        <w:t>种污染物的单因子污染指数</w:t>
      </w:r>
    </w:p>
    <w:p w:rsidR="00EE56C0" w:rsidRDefault="000F36A1">
      <w:pPr>
        <w:ind w:firstLine="480"/>
      </w:pPr>
      <w:r>
        <w:t>C</w:t>
      </w:r>
      <w:r>
        <w:rPr>
          <w:kern w:val="2"/>
          <w:szCs w:val="28"/>
          <w:vertAlign w:val="subscript"/>
        </w:rPr>
        <w:t>i</w:t>
      </w:r>
      <w:r>
        <w:t>:i</w:t>
      </w:r>
      <w:r>
        <w:rPr>
          <w:rFonts w:hint="eastAsia"/>
        </w:rPr>
        <w:t>种污染物的实测浓度（</w:t>
      </w:r>
      <w:r>
        <w:t>μg</w:t>
      </w:r>
      <w:r>
        <w:rPr>
          <w:rFonts w:hint="eastAsia"/>
        </w:rPr>
        <w:t>/m</w:t>
      </w:r>
      <w:r>
        <w:rPr>
          <w:rFonts w:hint="eastAsia"/>
          <w:vertAlign w:val="superscript"/>
        </w:rPr>
        <w:t>3</w:t>
      </w:r>
      <w:r>
        <w:rPr>
          <w:rFonts w:hint="eastAsia"/>
        </w:rPr>
        <w:t>）</w:t>
      </w:r>
    </w:p>
    <w:p w:rsidR="00EE56C0" w:rsidRDefault="000F36A1">
      <w:pPr>
        <w:pStyle w:val="4"/>
        <w:ind w:left="120" w:firstLine="241"/>
      </w:pPr>
      <w:r>
        <w:rPr>
          <w:rFonts w:hint="eastAsia"/>
        </w:rPr>
        <w:t>4.2.2.7</w:t>
      </w:r>
      <w:r>
        <w:rPr>
          <w:rFonts w:hint="eastAsia"/>
        </w:rPr>
        <w:t>监测结果统计分析</w:t>
      </w:r>
    </w:p>
    <w:p w:rsidR="00EE56C0" w:rsidRDefault="000F36A1">
      <w:pPr>
        <w:ind w:firstLine="480"/>
      </w:pPr>
      <w:r>
        <w:rPr>
          <w:rFonts w:hint="eastAsia"/>
        </w:rPr>
        <w:t>各污染物浓度监测</w:t>
      </w:r>
      <w:r>
        <w:rPr>
          <w:rFonts w:hint="eastAsia"/>
          <w:bCs/>
        </w:rPr>
        <w:t>数据</w:t>
      </w:r>
      <w:r>
        <w:rPr>
          <w:rFonts w:hint="eastAsia"/>
        </w:rPr>
        <w:t>统计见表</w:t>
      </w:r>
      <w:r>
        <w:rPr>
          <w:rFonts w:hint="eastAsia"/>
        </w:rPr>
        <w:t>4-6</w:t>
      </w:r>
      <w:r>
        <w:rPr>
          <w:rFonts w:hint="eastAsia"/>
        </w:rPr>
        <w:t>至表</w:t>
      </w:r>
      <w:r>
        <w:rPr>
          <w:rFonts w:hint="eastAsia"/>
        </w:rPr>
        <w:t>4-10</w:t>
      </w:r>
      <w:r>
        <w:rPr>
          <w:rFonts w:hint="eastAsia"/>
        </w:rPr>
        <w:t>。</w:t>
      </w:r>
    </w:p>
    <w:p w:rsidR="00EE56C0" w:rsidRDefault="000F36A1">
      <w:pPr>
        <w:pStyle w:val="afd"/>
        <w:spacing w:before="120" w:after="120"/>
        <w:ind w:firstLine="482"/>
      </w:pPr>
      <w:r>
        <w:rPr>
          <w:rFonts w:hint="eastAsia"/>
        </w:rPr>
        <w:t>表</w:t>
      </w:r>
      <w:r>
        <w:rPr>
          <w:rFonts w:hint="eastAsia"/>
        </w:rPr>
        <w:t xml:space="preserve">4-8           </w:t>
      </w:r>
      <w:r>
        <w:rPr>
          <w:rFonts w:hint="eastAsia"/>
        </w:rPr>
        <w:t>苯</w:t>
      </w:r>
      <w:r>
        <w:rPr>
          <w:rFonts w:hint="eastAsia"/>
        </w:rPr>
        <w:t>1</w:t>
      </w:r>
      <w:r>
        <w:rPr>
          <w:rFonts w:hint="eastAsia"/>
        </w:rPr>
        <w:t>小时平均浓度统计结果</w:t>
      </w:r>
      <w:r>
        <w:rPr>
          <w:rFonts w:hint="eastAsia"/>
        </w:rPr>
        <w:t xml:space="preserve">          </w:t>
      </w:r>
      <w:r>
        <w:rPr>
          <w:rFonts w:hint="eastAsia"/>
        </w:rPr>
        <w:t>单位：</w:t>
      </w:r>
      <w:r>
        <w:rPr>
          <w:rFonts w:hint="eastAsia"/>
        </w:rPr>
        <w:t>mg/m</w:t>
      </w:r>
      <w:r>
        <w:rPr>
          <w:rFonts w:hint="eastAsia"/>
          <w:vertAlign w:val="superscript"/>
        </w:rPr>
        <w:t>3</w:t>
      </w:r>
    </w:p>
    <w:tbl>
      <w:tblPr>
        <w:tblW w:w="0" w:type="auto"/>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tblPr>
      <w:tblGrid>
        <w:gridCol w:w="650"/>
        <w:gridCol w:w="1512"/>
        <w:gridCol w:w="1403"/>
        <w:gridCol w:w="1508"/>
        <w:gridCol w:w="864"/>
        <w:gridCol w:w="1508"/>
        <w:gridCol w:w="1077"/>
      </w:tblGrid>
      <w:tr w:rsidR="00EE56C0">
        <w:trPr>
          <w:trHeight w:val="425"/>
          <w:jc w:val="center"/>
        </w:trPr>
        <w:tc>
          <w:tcPr>
            <w:tcW w:w="650" w:type="dxa"/>
            <w:vAlign w:val="center"/>
          </w:tcPr>
          <w:p w:rsidR="00EE56C0" w:rsidRDefault="000F36A1">
            <w:pPr>
              <w:pStyle w:val="aff1"/>
              <w:rPr>
                <w:color w:val="auto"/>
              </w:rPr>
            </w:pPr>
            <w:r>
              <w:rPr>
                <w:rFonts w:hint="eastAsia"/>
                <w:color w:val="auto"/>
              </w:rPr>
              <w:t>序号</w:t>
            </w:r>
          </w:p>
        </w:tc>
        <w:tc>
          <w:tcPr>
            <w:tcW w:w="1512" w:type="dxa"/>
            <w:vAlign w:val="center"/>
          </w:tcPr>
          <w:p w:rsidR="00EE56C0" w:rsidRDefault="000F36A1">
            <w:pPr>
              <w:pStyle w:val="aff1"/>
              <w:rPr>
                <w:color w:val="auto"/>
              </w:rPr>
            </w:pPr>
            <w:r>
              <w:rPr>
                <w:rFonts w:hint="eastAsia"/>
                <w:color w:val="auto"/>
              </w:rPr>
              <w:t>点位</w:t>
            </w:r>
          </w:p>
        </w:tc>
        <w:tc>
          <w:tcPr>
            <w:tcW w:w="1403" w:type="dxa"/>
            <w:vAlign w:val="center"/>
          </w:tcPr>
          <w:p w:rsidR="00EE56C0" w:rsidRDefault="000F36A1">
            <w:pPr>
              <w:pStyle w:val="aff1"/>
              <w:rPr>
                <w:color w:val="auto"/>
              </w:rPr>
            </w:pPr>
            <w:r>
              <w:rPr>
                <w:rFonts w:hint="eastAsia"/>
                <w:color w:val="auto"/>
              </w:rPr>
              <w:t>监测值范围</w:t>
            </w:r>
          </w:p>
        </w:tc>
        <w:tc>
          <w:tcPr>
            <w:tcW w:w="1508" w:type="dxa"/>
            <w:vAlign w:val="center"/>
          </w:tcPr>
          <w:p w:rsidR="00EE56C0" w:rsidRDefault="000F36A1">
            <w:pPr>
              <w:pStyle w:val="aff1"/>
              <w:rPr>
                <w:color w:val="auto"/>
              </w:rPr>
            </w:pPr>
            <w:r>
              <w:rPr>
                <w:rFonts w:hint="eastAsia"/>
                <w:color w:val="auto"/>
              </w:rPr>
              <w:t>标准指数范围</w:t>
            </w:r>
          </w:p>
        </w:tc>
        <w:tc>
          <w:tcPr>
            <w:tcW w:w="864" w:type="dxa"/>
            <w:vAlign w:val="center"/>
          </w:tcPr>
          <w:p w:rsidR="00EE56C0" w:rsidRDefault="000F36A1">
            <w:pPr>
              <w:pStyle w:val="aff1"/>
              <w:rPr>
                <w:color w:val="auto"/>
              </w:rPr>
            </w:pPr>
            <w:r>
              <w:rPr>
                <w:rFonts w:hint="eastAsia"/>
                <w:color w:val="auto"/>
              </w:rPr>
              <w:t>超标率</w:t>
            </w:r>
          </w:p>
        </w:tc>
        <w:tc>
          <w:tcPr>
            <w:tcW w:w="1508" w:type="dxa"/>
            <w:vAlign w:val="center"/>
          </w:tcPr>
          <w:p w:rsidR="00EE56C0" w:rsidRDefault="000F36A1">
            <w:pPr>
              <w:pStyle w:val="aff1"/>
              <w:rPr>
                <w:color w:val="auto"/>
              </w:rPr>
            </w:pPr>
            <w:r>
              <w:rPr>
                <w:rFonts w:hint="eastAsia"/>
                <w:color w:val="auto"/>
              </w:rPr>
              <w:t>最大超标倍数</w:t>
            </w:r>
          </w:p>
        </w:tc>
        <w:tc>
          <w:tcPr>
            <w:tcW w:w="1077" w:type="dxa"/>
            <w:vAlign w:val="center"/>
          </w:tcPr>
          <w:p w:rsidR="00EE56C0" w:rsidRDefault="000F36A1">
            <w:pPr>
              <w:pStyle w:val="aff1"/>
              <w:rPr>
                <w:color w:val="auto"/>
              </w:rPr>
            </w:pPr>
            <w:r>
              <w:rPr>
                <w:rFonts w:hint="eastAsia"/>
                <w:color w:val="auto"/>
              </w:rPr>
              <w:t>标准限值</w:t>
            </w:r>
          </w:p>
        </w:tc>
      </w:tr>
      <w:tr w:rsidR="00EE56C0">
        <w:trPr>
          <w:trHeight w:val="425"/>
          <w:jc w:val="center"/>
        </w:trPr>
        <w:tc>
          <w:tcPr>
            <w:tcW w:w="650" w:type="dxa"/>
            <w:vAlign w:val="center"/>
          </w:tcPr>
          <w:p w:rsidR="00EE56C0" w:rsidRDefault="000F36A1">
            <w:pPr>
              <w:pStyle w:val="afa"/>
            </w:pPr>
            <w:r>
              <w:rPr>
                <w:rFonts w:hint="eastAsia"/>
              </w:rPr>
              <w:t>1</w:t>
            </w:r>
          </w:p>
        </w:tc>
        <w:tc>
          <w:tcPr>
            <w:tcW w:w="1512" w:type="dxa"/>
            <w:vAlign w:val="center"/>
          </w:tcPr>
          <w:p w:rsidR="00EE56C0" w:rsidRDefault="000F36A1">
            <w:pPr>
              <w:pStyle w:val="afa"/>
            </w:pPr>
            <w:r>
              <w:rPr>
                <w:rFonts w:hint="eastAsia"/>
              </w:rPr>
              <w:t>厂区西南角</w:t>
            </w:r>
          </w:p>
        </w:tc>
        <w:tc>
          <w:tcPr>
            <w:tcW w:w="1403" w:type="dxa"/>
            <w:vAlign w:val="center"/>
          </w:tcPr>
          <w:p w:rsidR="00EE56C0" w:rsidRDefault="000F36A1">
            <w:pPr>
              <w:pStyle w:val="afa"/>
            </w:pPr>
            <w:r>
              <w:rPr>
                <w:rFonts w:hint="eastAsia"/>
              </w:rPr>
              <w:t>未检出</w:t>
            </w:r>
          </w:p>
        </w:tc>
        <w:tc>
          <w:tcPr>
            <w:tcW w:w="1508" w:type="dxa"/>
            <w:vAlign w:val="center"/>
          </w:tcPr>
          <w:p w:rsidR="00EE56C0" w:rsidRDefault="000F36A1">
            <w:pPr>
              <w:pStyle w:val="afa"/>
            </w:pPr>
            <w:r>
              <w:rPr>
                <w:rFonts w:hint="eastAsia"/>
              </w:rPr>
              <w:t>0</w:t>
            </w:r>
          </w:p>
        </w:tc>
        <w:tc>
          <w:tcPr>
            <w:tcW w:w="864" w:type="dxa"/>
            <w:vAlign w:val="center"/>
          </w:tcPr>
          <w:p w:rsidR="00EE56C0" w:rsidRDefault="000F36A1">
            <w:pPr>
              <w:pStyle w:val="afa"/>
            </w:pPr>
            <w:r>
              <w:rPr>
                <w:rFonts w:hint="eastAsia"/>
              </w:rPr>
              <w:t>0</w:t>
            </w:r>
          </w:p>
        </w:tc>
        <w:tc>
          <w:tcPr>
            <w:tcW w:w="1508" w:type="dxa"/>
            <w:vAlign w:val="center"/>
          </w:tcPr>
          <w:p w:rsidR="00EE56C0" w:rsidRDefault="000F36A1">
            <w:pPr>
              <w:pStyle w:val="afa"/>
            </w:pPr>
            <w:r>
              <w:rPr>
                <w:rFonts w:hint="eastAsia"/>
              </w:rPr>
              <w:t>0</w:t>
            </w:r>
          </w:p>
        </w:tc>
        <w:tc>
          <w:tcPr>
            <w:tcW w:w="1077" w:type="dxa"/>
            <w:vMerge w:val="restart"/>
            <w:vAlign w:val="center"/>
          </w:tcPr>
          <w:p w:rsidR="00EE56C0" w:rsidRDefault="000F36A1">
            <w:pPr>
              <w:pStyle w:val="afa"/>
            </w:pPr>
            <w:r>
              <w:rPr>
                <w:rFonts w:hint="eastAsia"/>
              </w:rPr>
              <w:t>0.011</w:t>
            </w:r>
          </w:p>
        </w:tc>
      </w:tr>
      <w:tr w:rsidR="00EE56C0">
        <w:trPr>
          <w:trHeight w:val="425"/>
          <w:jc w:val="center"/>
        </w:trPr>
        <w:tc>
          <w:tcPr>
            <w:tcW w:w="650" w:type="dxa"/>
            <w:vAlign w:val="center"/>
          </w:tcPr>
          <w:p w:rsidR="00EE56C0" w:rsidRDefault="000F36A1">
            <w:pPr>
              <w:pStyle w:val="afa"/>
            </w:pPr>
            <w:r>
              <w:rPr>
                <w:rFonts w:hint="eastAsia"/>
              </w:rPr>
              <w:t>2</w:t>
            </w:r>
          </w:p>
        </w:tc>
        <w:tc>
          <w:tcPr>
            <w:tcW w:w="1512" w:type="dxa"/>
            <w:vAlign w:val="center"/>
          </w:tcPr>
          <w:p w:rsidR="00EE56C0" w:rsidRDefault="000F36A1">
            <w:pPr>
              <w:pStyle w:val="afa"/>
            </w:pPr>
            <w:r>
              <w:rPr>
                <w:rFonts w:hint="eastAsia"/>
              </w:rPr>
              <w:t>康庄村</w:t>
            </w:r>
          </w:p>
        </w:tc>
        <w:tc>
          <w:tcPr>
            <w:tcW w:w="1403" w:type="dxa"/>
            <w:vAlign w:val="center"/>
          </w:tcPr>
          <w:p w:rsidR="00EE56C0" w:rsidRDefault="000F36A1">
            <w:pPr>
              <w:pStyle w:val="afa"/>
            </w:pPr>
            <w:r>
              <w:rPr>
                <w:rFonts w:hint="eastAsia"/>
              </w:rPr>
              <w:t>未检出</w:t>
            </w:r>
          </w:p>
        </w:tc>
        <w:tc>
          <w:tcPr>
            <w:tcW w:w="1508" w:type="dxa"/>
            <w:vAlign w:val="center"/>
          </w:tcPr>
          <w:p w:rsidR="00EE56C0" w:rsidRDefault="000F36A1">
            <w:pPr>
              <w:pStyle w:val="afa"/>
            </w:pPr>
            <w:r>
              <w:rPr>
                <w:rFonts w:hint="eastAsia"/>
              </w:rPr>
              <w:t>0</w:t>
            </w:r>
          </w:p>
        </w:tc>
        <w:tc>
          <w:tcPr>
            <w:tcW w:w="864" w:type="dxa"/>
            <w:vAlign w:val="center"/>
          </w:tcPr>
          <w:p w:rsidR="00EE56C0" w:rsidRDefault="000F36A1">
            <w:pPr>
              <w:pStyle w:val="afa"/>
            </w:pPr>
            <w:r>
              <w:rPr>
                <w:rFonts w:hint="eastAsia"/>
              </w:rPr>
              <w:t>0</w:t>
            </w:r>
          </w:p>
        </w:tc>
        <w:tc>
          <w:tcPr>
            <w:tcW w:w="1508" w:type="dxa"/>
            <w:vAlign w:val="center"/>
          </w:tcPr>
          <w:p w:rsidR="00EE56C0" w:rsidRDefault="000F36A1">
            <w:pPr>
              <w:pStyle w:val="afa"/>
            </w:pPr>
            <w:r>
              <w:rPr>
                <w:rFonts w:hint="eastAsia"/>
              </w:rPr>
              <w:t>0</w:t>
            </w:r>
          </w:p>
        </w:tc>
        <w:tc>
          <w:tcPr>
            <w:tcW w:w="1077" w:type="dxa"/>
            <w:vMerge/>
            <w:vAlign w:val="center"/>
          </w:tcPr>
          <w:p w:rsidR="00EE56C0" w:rsidRDefault="00EE56C0">
            <w:pPr>
              <w:pStyle w:val="afa"/>
            </w:pPr>
          </w:p>
        </w:tc>
      </w:tr>
    </w:tbl>
    <w:p w:rsidR="00EE56C0" w:rsidRDefault="000F36A1">
      <w:pPr>
        <w:pStyle w:val="afd"/>
        <w:spacing w:before="120" w:after="120"/>
        <w:ind w:firstLine="482"/>
      </w:pPr>
      <w:r>
        <w:rPr>
          <w:rFonts w:hint="eastAsia"/>
        </w:rPr>
        <w:t>表</w:t>
      </w:r>
      <w:r>
        <w:rPr>
          <w:rFonts w:hint="eastAsia"/>
        </w:rPr>
        <w:t xml:space="preserve">4-9            </w:t>
      </w:r>
      <w:r>
        <w:rPr>
          <w:rFonts w:hint="eastAsia"/>
        </w:rPr>
        <w:t>甲苯</w:t>
      </w:r>
      <w:r>
        <w:rPr>
          <w:rFonts w:hint="eastAsia"/>
        </w:rPr>
        <w:t>1</w:t>
      </w:r>
      <w:r>
        <w:rPr>
          <w:rFonts w:hint="eastAsia"/>
        </w:rPr>
        <w:t>小时平均浓度统计结果</w:t>
      </w:r>
      <w:r>
        <w:rPr>
          <w:rFonts w:hint="eastAsia"/>
        </w:rPr>
        <w:t xml:space="preserve">         </w:t>
      </w:r>
      <w:r>
        <w:rPr>
          <w:rFonts w:hint="eastAsia"/>
        </w:rPr>
        <w:t>单位：</w:t>
      </w:r>
      <w:r>
        <w:rPr>
          <w:rFonts w:hint="eastAsia"/>
        </w:rPr>
        <w:t>mg/m</w:t>
      </w:r>
      <w:r>
        <w:rPr>
          <w:rFonts w:hint="eastAsia"/>
          <w:vertAlign w:val="superscript"/>
        </w:rPr>
        <w:t>3</w:t>
      </w:r>
    </w:p>
    <w:tbl>
      <w:tblPr>
        <w:tblW w:w="0" w:type="auto"/>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tblPr>
      <w:tblGrid>
        <w:gridCol w:w="650"/>
        <w:gridCol w:w="1512"/>
        <w:gridCol w:w="1403"/>
        <w:gridCol w:w="1508"/>
        <w:gridCol w:w="864"/>
        <w:gridCol w:w="1508"/>
        <w:gridCol w:w="1077"/>
      </w:tblGrid>
      <w:tr w:rsidR="00EE56C0">
        <w:trPr>
          <w:trHeight w:val="425"/>
          <w:jc w:val="center"/>
        </w:trPr>
        <w:tc>
          <w:tcPr>
            <w:tcW w:w="650" w:type="dxa"/>
            <w:vAlign w:val="center"/>
          </w:tcPr>
          <w:p w:rsidR="00EE56C0" w:rsidRDefault="000F36A1">
            <w:pPr>
              <w:pStyle w:val="aff1"/>
              <w:rPr>
                <w:color w:val="auto"/>
              </w:rPr>
            </w:pPr>
            <w:r>
              <w:rPr>
                <w:rFonts w:hint="eastAsia"/>
                <w:color w:val="auto"/>
              </w:rPr>
              <w:t>序号</w:t>
            </w:r>
          </w:p>
        </w:tc>
        <w:tc>
          <w:tcPr>
            <w:tcW w:w="1512" w:type="dxa"/>
            <w:vAlign w:val="center"/>
          </w:tcPr>
          <w:p w:rsidR="00EE56C0" w:rsidRDefault="000F36A1">
            <w:pPr>
              <w:pStyle w:val="aff1"/>
              <w:rPr>
                <w:color w:val="auto"/>
              </w:rPr>
            </w:pPr>
            <w:r>
              <w:rPr>
                <w:rFonts w:hint="eastAsia"/>
                <w:color w:val="auto"/>
              </w:rPr>
              <w:t>点位</w:t>
            </w:r>
          </w:p>
        </w:tc>
        <w:tc>
          <w:tcPr>
            <w:tcW w:w="1403" w:type="dxa"/>
            <w:vAlign w:val="center"/>
          </w:tcPr>
          <w:p w:rsidR="00EE56C0" w:rsidRDefault="000F36A1">
            <w:pPr>
              <w:pStyle w:val="aff1"/>
              <w:rPr>
                <w:color w:val="auto"/>
              </w:rPr>
            </w:pPr>
            <w:r>
              <w:rPr>
                <w:rFonts w:hint="eastAsia"/>
                <w:color w:val="auto"/>
              </w:rPr>
              <w:t>监测值范围</w:t>
            </w:r>
          </w:p>
        </w:tc>
        <w:tc>
          <w:tcPr>
            <w:tcW w:w="1508" w:type="dxa"/>
            <w:vAlign w:val="center"/>
          </w:tcPr>
          <w:p w:rsidR="00EE56C0" w:rsidRDefault="000F36A1">
            <w:pPr>
              <w:pStyle w:val="aff1"/>
              <w:rPr>
                <w:color w:val="auto"/>
              </w:rPr>
            </w:pPr>
            <w:r>
              <w:rPr>
                <w:rFonts w:hint="eastAsia"/>
                <w:color w:val="auto"/>
              </w:rPr>
              <w:t>标准指数范围</w:t>
            </w:r>
          </w:p>
        </w:tc>
        <w:tc>
          <w:tcPr>
            <w:tcW w:w="864" w:type="dxa"/>
            <w:vAlign w:val="center"/>
          </w:tcPr>
          <w:p w:rsidR="00EE56C0" w:rsidRDefault="000F36A1">
            <w:pPr>
              <w:pStyle w:val="aff1"/>
              <w:rPr>
                <w:color w:val="auto"/>
              </w:rPr>
            </w:pPr>
            <w:r>
              <w:rPr>
                <w:rFonts w:hint="eastAsia"/>
                <w:color w:val="auto"/>
              </w:rPr>
              <w:t>超标率</w:t>
            </w:r>
          </w:p>
        </w:tc>
        <w:tc>
          <w:tcPr>
            <w:tcW w:w="1508" w:type="dxa"/>
            <w:vAlign w:val="center"/>
          </w:tcPr>
          <w:p w:rsidR="00EE56C0" w:rsidRDefault="000F36A1">
            <w:pPr>
              <w:pStyle w:val="aff1"/>
              <w:rPr>
                <w:color w:val="auto"/>
              </w:rPr>
            </w:pPr>
            <w:r>
              <w:rPr>
                <w:rFonts w:hint="eastAsia"/>
                <w:color w:val="auto"/>
              </w:rPr>
              <w:t>最大超标倍数</w:t>
            </w:r>
          </w:p>
        </w:tc>
        <w:tc>
          <w:tcPr>
            <w:tcW w:w="1077" w:type="dxa"/>
            <w:vAlign w:val="center"/>
          </w:tcPr>
          <w:p w:rsidR="00EE56C0" w:rsidRDefault="000F36A1">
            <w:pPr>
              <w:pStyle w:val="aff1"/>
              <w:rPr>
                <w:color w:val="auto"/>
              </w:rPr>
            </w:pPr>
            <w:r>
              <w:rPr>
                <w:rFonts w:hint="eastAsia"/>
                <w:color w:val="auto"/>
              </w:rPr>
              <w:t>标准限值</w:t>
            </w:r>
          </w:p>
        </w:tc>
      </w:tr>
      <w:tr w:rsidR="00EE56C0">
        <w:trPr>
          <w:trHeight w:val="425"/>
          <w:jc w:val="center"/>
        </w:trPr>
        <w:tc>
          <w:tcPr>
            <w:tcW w:w="650" w:type="dxa"/>
            <w:vAlign w:val="center"/>
          </w:tcPr>
          <w:p w:rsidR="00EE56C0" w:rsidRDefault="000F36A1">
            <w:pPr>
              <w:pStyle w:val="afa"/>
            </w:pPr>
            <w:r>
              <w:rPr>
                <w:rFonts w:hint="eastAsia"/>
              </w:rPr>
              <w:t>1</w:t>
            </w:r>
          </w:p>
        </w:tc>
        <w:tc>
          <w:tcPr>
            <w:tcW w:w="1512" w:type="dxa"/>
            <w:vAlign w:val="center"/>
          </w:tcPr>
          <w:p w:rsidR="00EE56C0" w:rsidRDefault="000F36A1">
            <w:pPr>
              <w:pStyle w:val="afa"/>
            </w:pPr>
            <w:r>
              <w:rPr>
                <w:rFonts w:hint="eastAsia"/>
              </w:rPr>
              <w:t>厂区西南角</w:t>
            </w:r>
          </w:p>
        </w:tc>
        <w:tc>
          <w:tcPr>
            <w:tcW w:w="1403" w:type="dxa"/>
            <w:vAlign w:val="center"/>
          </w:tcPr>
          <w:p w:rsidR="00EE56C0" w:rsidRDefault="000F36A1">
            <w:pPr>
              <w:pStyle w:val="afa"/>
            </w:pPr>
            <w:r>
              <w:rPr>
                <w:rFonts w:hint="eastAsia"/>
              </w:rPr>
              <w:t>未检出</w:t>
            </w:r>
          </w:p>
        </w:tc>
        <w:tc>
          <w:tcPr>
            <w:tcW w:w="1508" w:type="dxa"/>
            <w:vAlign w:val="center"/>
          </w:tcPr>
          <w:p w:rsidR="00EE56C0" w:rsidRDefault="000F36A1">
            <w:pPr>
              <w:pStyle w:val="afa"/>
            </w:pPr>
            <w:r>
              <w:rPr>
                <w:rFonts w:hint="eastAsia"/>
              </w:rPr>
              <w:t>0</w:t>
            </w:r>
          </w:p>
        </w:tc>
        <w:tc>
          <w:tcPr>
            <w:tcW w:w="864" w:type="dxa"/>
            <w:vAlign w:val="center"/>
          </w:tcPr>
          <w:p w:rsidR="00EE56C0" w:rsidRDefault="000F36A1">
            <w:pPr>
              <w:pStyle w:val="afa"/>
            </w:pPr>
            <w:r>
              <w:rPr>
                <w:rFonts w:hint="eastAsia"/>
              </w:rPr>
              <w:t>0</w:t>
            </w:r>
          </w:p>
        </w:tc>
        <w:tc>
          <w:tcPr>
            <w:tcW w:w="1508" w:type="dxa"/>
            <w:vAlign w:val="center"/>
          </w:tcPr>
          <w:p w:rsidR="00EE56C0" w:rsidRDefault="000F36A1">
            <w:pPr>
              <w:pStyle w:val="afa"/>
            </w:pPr>
            <w:r>
              <w:rPr>
                <w:rFonts w:hint="eastAsia"/>
              </w:rPr>
              <w:t>0</w:t>
            </w:r>
          </w:p>
        </w:tc>
        <w:tc>
          <w:tcPr>
            <w:tcW w:w="1077" w:type="dxa"/>
            <w:vMerge w:val="restart"/>
            <w:vAlign w:val="center"/>
          </w:tcPr>
          <w:p w:rsidR="00EE56C0" w:rsidRDefault="000F36A1">
            <w:pPr>
              <w:pStyle w:val="afa"/>
            </w:pPr>
            <w:r>
              <w:rPr>
                <w:rFonts w:hint="eastAsia"/>
              </w:rPr>
              <w:t>0.2</w:t>
            </w:r>
          </w:p>
        </w:tc>
      </w:tr>
      <w:tr w:rsidR="00EE56C0">
        <w:trPr>
          <w:trHeight w:val="425"/>
          <w:jc w:val="center"/>
        </w:trPr>
        <w:tc>
          <w:tcPr>
            <w:tcW w:w="650" w:type="dxa"/>
            <w:vAlign w:val="center"/>
          </w:tcPr>
          <w:p w:rsidR="00EE56C0" w:rsidRDefault="000F36A1">
            <w:pPr>
              <w:pStyle w:val="afa"/>
            </w:pPr>
            <w:r>
              <w:rPr>
                <w:rFonts w:hint="eastAsia"/>
              </w:rPr>
              <w:t>2</w:t>
            </w:r>
          </w:p>
        </w:tc>
        <w:tc>
          <w:tcPr>
            <w:tcW w:w="1512" w:type="dxa"/>
            <w:vAlign w:val="center"/>
          </w:tcPr>
          <w:p w:rsidR="00EE56C0" w:rsidRDefault="000F36A1">
            <w:pPr>
              <w:pStyle w:val="afa"/>
            </w:pPr>
            <w:r>
              <w:rPr>
                <w:rFonts w:hint="eastAsia"/>
              </w:rPr>
              <w:t>康庄村</w:t>
            </w:r>
          </w:p>
        </w:tc>
        <w:tc>
          <w:tcPr>
            <w:tcW w:w="1403" w:type="dxa"/>
            <w:vAlign w:val="center"/>
          </w:tcPr>
          <w:p w:rsidR="00EE56C0" w:rsidRDefault="000F36A1">
            <w:pPr>
              <w:pStyle w:val="afa"/>
            </w:pPr>
            <w:r>
              <w:rPr>
                <w:rFonts w:hint="eastAsia"/>
              </w:rPr>
              <w:t>未检出</w:t>
            </w:r>
          </w:p>
        </w:tc>
        <w:tc>
          <w:tcPr>
            <w:tcW w:w="1508" w:type="dxa"/>
            <w:vAlign w:val="center"/>
          </w:tcPr>
          <w:p w:rsidR="00EE56C0" w:rsidRDefault="000F36A1">
            <w:pPr>
              <w:pStyle w:val="afa"/>
            </w:pPr>
            <w:r>
              <w:rPr>
                <w:rFonts w:hint="eastAsia"/>
              </w:rPr>
              <w:t>0</w:t>
            </w:r>
          </w:p>
        </w:tc>
        <w:tc>
          <w:tcPr>
            <w:tcW w:w="864" w:type="dxa"/>
            <w:vAlign w:val="center"/>
          </w:tcPr>
          <w:p w:rsidR="00EE56C0" w:rsidRDefault="000F36A1">
            <w:pPr>
              <w:pStyle w:val="afa"/>
            </w:pPr>
            <w:r>
              <w:rPr>
                <w:rFonts w:hint="eastAsia"/>
              </w:rPr>
              <w:t>0</w:t>
            </w:r>
          </w:p>
        </w:tc>
        <w:tc>
          <w:tcPr>
            <w:tcW w:w="1508" w:type="dxa"/>
            <w:vAlign w:val="center"/>
          </w:tcPr>
          <w:p w:rsidR="00EE56C0" w:rsidRDefault="000F36A1">
            <w:pPr>
              <w:pStyle w:val="afa"/>
            </w:pPr>
            <w:r>
              <w:rPr>
                <w:rFonts w:hint="eastAsia"/>
              </w:rPr>
              <w:t>0</w:t>
            </w:r>
          </w:p>
        </w:tc>
        <w:tc>
          <w:tcPr>
            <w:tcW w:w="1077" w:type="dxa"/>
            <w:vMerge/>
            <w:vAlign w:val="center"/>
          </w:tcPr>
          <w:p w:rsidR="00EE56C0" w:rsidRDefault="00EE56C0">
            <w:pPr>
              <w:pStyle w:val="afa"/>
            </w:pPr>
          </w:p>
        </w:tc>
      </w:tr>
    </w:tbl>
    <w:p w:rsidR="00EE56C0" w:rsidRDefault="000F36A1">
      <w:pPr>
        <w:pStyle w:val="afd"/>
        <w:spacing w:before="120" w:after="120"/>
        <w:ind w:firstLine="482"/>
      </w:pPr>
      <w:r>
        <w:rPr>
          <w:rFonts w:hint="eastAsia"/>
        </w:rPr>
        <w:t>表</w:t>
      </w:r>
      <w:r>
        <w:rPr>
          <w:rFonts w:hint="eastAsia"/>
        </w:rPr>
        <w:t xml:space="preserve">4-10           </w:t>
      </w:r>
      <w:r>
        <w:rPr>
          <w:rFonts w:hint="eastAsia"/>
        </w:rPr>
        <w:t>二甲苯</w:t>
      </w:r>
      <w:r>
        <w:rPr>
          <w:rFonts w:hint="eastAsia"/>
        </w:rPr>
        <w:t>1</w:t>
      </w:r>
      <w:r>
        <w:rPr>
          <w:rFonts w:hint="eastAsia"/>
        </w:rPr>
        <w:t>小时平均浓度统计结果</w:t>
      </w:r>
      <w:r>
        <w:rPr>
          <w:rFonts w:hint="eastAsia"/>
        </w:rPr>
        <w:t xml:space="preserve">         </w:t>
      </w:r>
      <w:r>
        <w:rPr>
          <w:rFonts w:hint="eastAsia"/>
        </w:rPr>
        <w:t>单位：</w:t>
      </w:r>
      <w:r>
        <w:rPr>
          <w:rFonts w:hint="eastAsia"/>
        </w:rPr>
        <w:t>mg/m</w:t>
      </w:r>
      <w:r>
        <w:rPr>
          <w:rFonts w:hint="eastAsia"/>
          <w:vertAlign w:val="superscript"/>
        </w:rPr>
        <w:t>3</w:t>
      </w:r>
    </w:p>
    <w:tbl>
      <w:tblPr>
        <w:tblW w:w="0" w:type="auto"/>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tblPr>
      <w:tblGrid>
        <w:gridCol w:w="650"/>
        <w:gridCol w:w="1512"/>
        <w:gridCol w:w="1403"/>
        <w:gridCol w:w="1508"/>
        <w:gridCol w:w="864"/>
        <w:gridCol w:w="1508"/>
        <w:gridCol w:w="1077"/>
      </w:tblGrid>
      <w:tr w:rsidR="00EE56C0">
        <w:trPr>
          <w:trHeight w:val="425"/>
          <w:jc w:val="center"/>
        </w:trPr>
        <w:tc>
          <w:tcPr>
            <w:tcW w:w="650" w:type="dxa"/>
            <w:vAlign w:val="center"/>
          </w:tcPr>
          <w:p w:rsidR="00EE56C0" w:rsidRDefault="000F36A1">
            <w:pPr>
              <w:pStyle w:val="aff1"/>
              <w:rPr>
                <w:color w:val="auto"/>
              </w:rPr>
            </w:pPr>
            <w:r>
              <w:rPr>
                <w:rFonts w:hint="eastAsia"/>
                <w:color w:val="auto"/>
              </w:rPr>
              <w:t>序号</w:t>
            </w:r>
          </w:p>
        </w:tc>
        <w:tc>
          <w:tcPr>
            <w:tcW w:w="1512" w:type="dxa"/>
            <w:vAlign w:val="center"/>
          </w:tcPr>
          <w:p w:rsidR="00EE56C0" w:rsidRDefault="000F36A1">
            <w:pPr>
              <w:pStyle w:val="aff1"/>
              <w:rPr>
                <w:color w:val="auto"/>
              </w:rPr>
            </w:pPr>
            <w:r>
              <w:rPr>
                <w:rFonts w:hint="eastAsia"/>
                <w:color w:val="auto"/>
              </w:rPr>
              <w:t>点位</w:t>
            </w:r>
          </w:p>
        </w:tc>
        <w:tc>
          <w:tcPr>
            <w:tcW w:w="1403" w:type="dxa"/>
            <w:vAlign w:val="center"/>
          </w:tcPr>
          <w:p w:rsidR="00EE56C0" w:rsidRDefault="000F36A1">
            <w:pPr>
              <w:pStyle w:val="aff1"/>
              <w:rPr>
                <w:color w:val="auto"/>
              </w:rPr>
            </w:pPr>
            <w:r>
              <w:rPr>
                <w:rFonts w:hint="eastAsia"/>
                <w:color w:val="auto"/>
              </w:rPr>
              <w:t>监测值范围</w:t>
            </w:r>
          </w:p>
        </w:tc>
        <w:tc>
          <w:tcPr>
            <w:tcW w:w="1508" w:type="dxa"/>
            <w:vAlign w:val="center"/>
          </w:tcPr>
          <w:p w:rsidR="00EE56C0" w:rsidRDefault="000F36A1">
            <w:pPr>
              <w:pStyle w:val="aff1"/>
              <w:rPr>
                <w:color w:val="auto"/>
              </w:rPr>
            </w:pPr>
            <w:r>
              <w:rPr>
                <w:rFonts w:hint="eastAsia"/>
                <w:color w:val="auto"/>
              </w:rPr>
              <w:t>标准指数范围</w:t>
            </w:r>
          </w:p>
        </w:tc>
        <w:tc>
          <w:tcPr>
            <w:tcW w:w="864" w:type="dxa"/>
            <w:vAlign w:val="center"/>
          </w:tcPr>
          <w:p w:rsidR="00EE56C0" w:rsidRDefault="000F36A1">
            <w:pPr>
              <w:pStyle w:val="aff1"/>
              <w:rPr>
                <w:color w:val="auto"/>
              </w:rPr>
            </w:pPr>
            <w:r>
              <w:rPr>
                <w:rFonts w:hint="eastAsia"/>
                <w:color w:val="auto"/>
              </w:rPr>
              <w:t>超标率</w:t>
            </w:r>
          </w:p>
        </w:tc>
        <w:tc>
          <w:tcPr>
            <w:tcW w:w="1508" w:type="dxa"/>
            <w:vAlign w:val="center"/>
          </w:tcPr>
          <w:p w:rsidR="00EE56C0" w:rsidRDefault="000F36A1">
            <w:pPr>
              <w:pStyle w:val="aff1"/>
              <w:rPr>
                <w:color w:val="auto"/>
              </w:rPr>
            </w:pPr>
            <w:r>
              <w:rPr>
                <w:rFonts w:hint="eastAsia"/>
                <w:color w:val="auto"/>
              </w:rPr>
              <w:t>最大超标倍数</w:t>
            </w:r>
          </w:p>
        </w:tc>
        <w:tc>
          <w:tcPr>
            <w:tcW w:w="1077" w:type="dxa"/>
            <w:vAlign w:val="center"/>
          </w:tcPr>
          <w:p w:rsidR="00EE56C0" w:rsidRDefault="000F36A1">
            <w:pPr>
              <w:pStyle w:val="aff1"/>
              <w:rPr>
                <w:color w:val="auto"/>
              </w:rPr>
            </w:pPr>
            <w:r>
              <w:rPr>
                <w:rFonts w:hint="eastAsia"/>
                <w:color w:val="auto"/>
              </w:rPr>
              <w:t>标准限值</w:t>
            </w:r>
          </w:p>
        </w:tc>
      </w:tr>
      <w:tr w:rsidR="00EE56C0">
        <w:trPr>
          <w:trHeight w:val="425"/>
          <w:jc w:val="center"/>
        </w:trPr>
        <w:tc>
          <w:tcPr>
            <w:tcW w:w="650" w:type="dxa"/>
            <w:vAlign w:val="center"/>
          </w:tcPr>
          <w:p w:rsidR="00EE56C0" w:rsidRDefault="000F36A1">
            <w:pPr>
              <w:pStyle w:val="afa"/>
            </w:pPr>
            <w:r>
              <w:rPr>
                <w:rFonts w:hint="eastAsia"/>
              </w:rPr>
              <w:t>1</w:t>
            </w:r>
          </w:p>
        </w:tc>
        <w:tc>
          <w:tcPr>
            <w:tcW w:w="1512" w:type="dxa"/>
            <w:vAlign w:val="center"/>
          </w:tcPr>
          <w:p w:rsidR="00EE56C0" w:rsidRDefault="000F36A1">
            <w:pPr>
              <w:pStyle w:val="afa"/>
            </w:pPr>
            <w:r>
              <w:rPr>
                <w:rFonts w:hint="eastAsia"/>
              </w:rPr>
              <w:t>厂区西南角</w:t>
            </w:r>
          </w:p>
        </w:tc>
        <w:tc>
          <w:tcPr>
            <w:tcW w:w="1403" w:type="dxa"/>
            <w:vAlign w:val="center"/>
          </w:tcPr>
          <w:p w:rsidR="00EE56C0" w:rsidRDefault="000F36A1">
            <w:pPr>
              <w:pStyle w:val="afa"/>
            </w:pPr>
            <w:r>
              <w:rPr>
                <w:rFonts w:hint="eastAsia"/>
              </w:rPr>
              <w:t>未检出</w:t>
            </w:r>
          </w:p>
        </w:tc>
        <w:tc>
          <w:tcPr>
            <w:tcW w:w="1508" w:type="dxa"/>
            <w:vAlign w:val="center"/>
          </w:tcPr>
          <w:p w:rsidR="00EE56C0" w:rsidRDefault="000F36A1">
            <w:pPr>
              <w:pStyle w:val="afa"/>
            </w:pPr>
            <w:r>
              <w:rPr>
                <w:rFonts w:hint="eastAsia"/>
              </w:rPr>
              <w:t>0</w:t>
            </w:r>
          </w:p>
        </w:tc>
        <w:tc>
          <w:tcPr>
            <w:tcW w:w="864" w:type="dxa"/>
            <w:vAlign w:val="center"/>
          </w:tcPr>
          <w:p w:rsidR="00EE56C0" w:rsidRDefault="000F36A1">
            <w:pPr>
              <w:pStyle w:val="afa"/>
            </w:pPr>
            <w:r>
              <w:rPr>
                <w:rFonts w:hint="eastAsia"/>
              </w:rPr>
              <w:t>0</w:t>
            </w:r>
          </w:p>
        </w:tc>
        <w:tc>
          <w:tcPr>
            <w:tcW w:w="1508" w:type="dxa"/>
            <w:vAlign w:val="center"/>
          </w:tcPr>
          <w:p w:rsidR="00EE56C0" w:rsidRDefault="000F36A1">
            <w:pPr>
              <w:pStyle w:val="afa"/>
            </w:pPr>
            <w:r>
              <w:rPr>
                <w:rFonts w:hint="eastAsia"/>
              </w:rPr>
              <w:t>0</w:t>
            </w:r>
          </w:p>
        </w:tc>
        <w:tc>
          <w:tcPr>
            <w:tcW w:w="1077" w:type="dxa"/>
            <w:vMerge w:val="restart"/>
            <w:vAlign w:val="center"/>
          </w:tcPr>
          <w:p w:rsidR="00EE56C0" w:rsidRDefault="000F36A1">
            <w:pPr>
              <w:pStyle w:val="afa"/>
            </w:pPr>
            <w:r>
              <w:rPr>
                <w:rFonts w:hint="eastAsia"/>
              </w:rPr>
              <w:t>0.2</w:t>
            </w:r>
          </w:p>
        </w:tc>
      </w:tr>
      <w:tr w:rsidR="00EE56C0">
        <w:trPr>
          <w:trHeight w:val="425"/>
          <w:jc w:val="center"/>
        </w:trPr>
        <w:tc>
          <w:tcPr>
            <w:tcW w:w="650" w:type="dxa"/>
            <w:vAlign w:val="center"/>
          </w:tcPr>
          <w:p w:rsidR="00EE56C0" w:rsidRDefault="000F36A1">
            <w:pPr>
              <w:pStyle w:val="afa"/>
            </w:pPr>
            <w:r>
              <w:rPr>
                <w:rFonts w:hint="eastAsia"/>
              </w:rPr>
              <w:t>2</w:t>
            </w:r>
          </w:p>
        </w:tc>
        <w:tc>
          <w:tcPr>
            <w:tcW w:w="1512" w:type="dxa"/>
            <w:vAlign w:val="center"/>
          </w:tcPr>
          <w:p w:rsidR="00EE56C0" w:rsidRDefault="000F36A1">
            <w:pPr>
              <w:pStyle w:val="afa"/>
            </w:pPr>
            <w:r>
              <w:rPr>
                <w:rFonts w:hint="eastAsia"/>
              </w:rPr>
              <w:t>康庄村</w:t>
            </w:r>
          </w:p>
        </w:tc>
        <w:tc>
          <w:tcPr>
            <w:tcW w:w="1403" w:type="dxa"/>
            <w:vAlign w:val="center"/>
          </w:tcPr>
          <w:p w:rsidR="00EE56C0" w:rsidRDefault="000F36A1">
            <w:pPr>
              <w:pStyle w:val="afa"/>
            </w:pPr>
            <w:r>
              <w:rPr>
                <w:rFonts w:hint="eastAsia"/>
              </w:rPr>
              <w:t>未检出</w:t>
            </w:r>
          </w:p>
        </w:tc>
        <w:tc>
          <w:tcPr>
            <w:tcW w:w="1508" w:type="dxa"/>
            <w:vAlign w:val="center"/>
          </w:tcPr>
          <w:p w:rsidR="00EE56C0" w:rsidRDefault="000F36A1">
            <w:pPr>
              <w:pStyle w:val="afa"/>
            </w:pPr>
            <w:r>
              <w:rPr>
                <w:rFonts w:hint="eastAsia"/>
              </w:rPr>
              <w:t>0</w:t>
            </w:r>
          </w:p>
        </w:tc>
        <w:tc>
          <w:tcPr>
            <w:tcW w:w="864" w:type="dxa"/>
            <w:vAlign w:val="center"/>
          </w:tcPr>
          <w:p w:rsidR="00EE56C0" w:rsidRDefault="000F36A1">
            <w:pPr>
              <w:pStyle w:val="afa"/>
            </w:pPr>
            <w:r>
              <w:rPr>
                <w:rFonts w:hint="eastAsia"/>
              </w:rPr>
              <w:t>0</w:t>
            </w:r>
          </w:p>
        </w:tc>
        <w:tc>
          <w:tcPr>
            <w:tcW w:w="1508" w:type="dxa"/>
            <w:vAlign w:val="center"/>
          </w:tcPr>
          <w:p w:rsidR="00EE56C0" w:rsidRDefault="000F36A1">
            <w:pPr>
              <w:pStyle w:val="afa"/>
            </w:pPr>
            <w:r>
              <w:rPr>
                <w:rFonts w:hint="eastAsia"/>
              </w:rPr>
              <w:t>0</w:t>
            </w:r>
          </w:p>
        </w:tc>
        <w:tc>
          <w:tcPr>
            <w:tcW w:w="1077" w:type="dxa"/>
            <w:vMerge/>
            <w:vAlign w:val="center"/>
          </w:tcPr>
          <w:p w:rsidR="00EE56C0" w:rsidRDefault="00EE56C0">
            <w:pPr>
              <w:pStyle w:val="afa"/>
            </w:pPr>
          </w:p>
        </w:tc>
      </w:tr>
    </w:tbl>
    <w:p w:rsidR="00EE56C0" w:rsidRDefault="000F36A1">
      <w:pPr>
        <w:pStyle w:val="afd"/>
        <w:spacing w:before="120" w:after="120"/>
        <w:ind w:firstLine="482"/>
      </w:pPr>
      <w:r>
        <w:rPr>
          <w:rFonts w:hint="eastAsia"/>
        </w:rPr>
        <w:t>表</w:t>
      </w:r>
      <w:r>
        <w:rPr>
          <w:rFonts w:hint="eastAsia"/>
        </w:rPr>
        <w:t xml:space="preserve">4-11         </w:t>
      </w:r>
      <w:r>
        <w:rPr>
          <w:rFonts w:hint="eastAsia"/>
        </w:rPr>
        <w:t>非甲烷总烃</w:t>
      </w:r>
      <w:r>
        <w:rPr>
          <w:rFonts w:hint="eastAsia"/>
        </w:rPr>
        <w:t>1</w:t>
      </w:r>
      <w:r>
        <w:rPr>
          <w:rFonts w:hint="eastAsia"/>
        </w:rPr>
        <w:t>小时平均浓度统计结果</w:t>
      </w:r>
      <w:r>
        <w:rPr>
          <w:rFonts w:hint="eastAsia"/>
        </w:rPr>
        <w:t xml:space="preserve">        </w:t>
      </w:r>
      <w:r>
        <w:rPr>
          <w:rFonts w:hint="eastAsia"/>
        </w:rPr>
        <w:t>单位：</w:t>
      </w:r>
      <w:r>
        <w:rPr>
          <w:rFonts w:hint="eastAsia"/>
        </w:rPr>
        <w:t>mg/m</w:t>
      </w:r>
      <w:r>
        <w:rPr>
          <w:rFonts w:hint="eastAsia"/>
          <w:vertAlign w:val="superscript"/>
        </w:rPr>
        <w:t>3</w:t>
      </w:r>
    </w:p>
    <w:tbl>
      <w:tblPr>
        <w:tblW w:w="0" w:type="auto"/>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tblPr>
      <w:tblGrid>
        <w:gridCol w:w="650"/>
        <w:gridCol w:w="1512"/>
        <w:gridCol w:w="1403"/>
        <w:gridCol w:w="1508"/>
        <w:gridCol w:w="864"/>
        <w:gridCol w:w="1508"/>
        <w:gridCol w:w="1077"/>
      </w:tblGrid>
      <w:tr w:rsidR="00EE56C0">
        <w:trPr>
          <w:trHeight w:val="425"/>
          <w:jc w:val="center"/>
        </w:trPr>
        <w:tc>
          <w:tcPr>
            <w:tcW w:w="650" w:type="dxa"/>
            <w:vAlign w:val="center"/>
          </w:tcPr>
          <w:p w:rsidR="00EE56C0" w:rsidRDefault="000F36A1">
            <w:pPr>
              <w:pStyle w:val="aff1"/>
              <w:rPr>
                <w:color w:val="auto"/>
              </w:rPr>
            </w:pPr>
            <w:r>
              <w:rPr>
                <w:rFonts w:hint="eastAsia"/>
                <w:color w:val="auto"/>
              </w:rPr>
              <w:t>序号</w:t>
            </w:r>
          </w:p>
        </w:tc>
        <w:tc>
          <w:tcPr>
            <w:tcW w:w="1512" w:type="dxa"/>
            <w:vAlign w:val="center"/>
          </w:tcPr>
          <w:p w:rsidR="00EE56C0" w:rsidRDefault="000F36A1">
            <w:pPr>
              <w:pStyle w:val="aff1"/>
              <w:rPr>
                <w:color w:val="auto"/>
              </w:rPr>
            </w:pPr>
            <w:r>
              <w:rPr>
                <w:rFonts w:hint="eastAsia"/>
                <w:color w:val="auto"/>
              </w:rPr>
              <w:t>点位</w:t>
            </w:r>
          </w:p>
        </w:tc>
        <w:tc>
          <w:tcPr>
            <w:tcW w:w="1403" w:type="dxa"/>
            <w:vAlign w:val="center"/>
          </w:tcPr>
          <w:p w:rsidR="00EE56C0" w:rsidRDefault="000F36A1">
            <w:pPr>
              <w:pStyle w:val="aff1"/>
              <w:rPr>
                <w:color w:val="auto"/>
              </w:rPr>
            </w:pPr>
            <w:r>
              <w:rPr>
                <w:rFonts w:hint="eastAsia"/>
                <w:color w:val="auto"/>
              </w:rPr>
              <w:t>监测值范围</w:t>
            </w:r>
          </w:p>
        </w:tc>
        <w:tc>
          <w:tcPr>
            <w:tcW w:w="1508" w:type="dxa"/>
            <w:vAlign w:val="center"/>
          </w:tcPr>
          <w:p w:rsidR="00EE56C0" w:rsidRDefault="000F36A1">
            <w:pPr>
              <w:pStyle w:val="aff1"/>
              <w:rPr>
                <w:color w:val="auto"/>
              </w:rPr>
            </w:pPr>
            <w:r>
              <w:rPr>
                <w:rFonts w:hint="eastAsia"/>
                <w:color w:val="auto"/>
              </w:rPr>
              <w:t>标准指数范围</w:t>
            </w:r>
          </w:p>
        </w:tc>
        <w:tc>
          <w:tcPr>
            <w:tcW w:w="864" w:type="dxa"/>
            <w:vAlign w:val="center"/>
          </w:tcPr>
          <w:p w:rsidR="00EE56C0" w:rsidRDefault="000F36A1">
            <w:pPr>
              <w:pStyle w:val="aff1"/>
              <w:rPr>
                <w:color w:val="auto"/>
              </w:rPr>
            </w:pPr>
            <w:r>
              <w:rPr>
                <w:rFonts w:hint="eastAsia"/>
                <w:color w:val="auto"/>
              </w:rPr>
              <w:t>超标率</w:t>
            </w:r>
          </w:p>
        </w:tc>
        <w:tc>
          <w:tcPr>
            <w:tcW w:w="1508" w:type="dxa"/>
            <w:vAlign w:val="center"/>
          </w:tcPr>
          <w:p w:rsidR="00EE56C0" w:rsidRDefault="000F36A1">
            <w:pPr>
              <w:pStyle w:val="aff1"/>
              <w:rPr>
                <w:color w:val="auto"/>
              </w:rPr>
            </w:pPr>
            <w:r>
              <w:rPr>
                <w:rFonts w:hint="eastAsia"/>
                <w:color w:val="auto"/>
              </w:rPr>
              <w:t>最大超标倍数</w:t>
            </w:r>
          </w:p>
        </w:tc>
        <w:tc>
          <w:tcPr>
            <w:tcW w:w="1077" w:type="dxa"/>
            <w:vAlign w:val="center"/>
          </w:tcPr>
          <w:p w:rsidR="00EE56C0" w:rsidRDefault="000F36A1">
            <w:pPr>
              <w:pStyle w:val="aff1"/>
              <w:rPr>
                <w:color w:val="auto"/>
              </w:rPr>
            </w:pPr>
            <w:r>
              <w:rPr>
                <w:rFonts w:hint="eastAsia"/>
                <w:color w:val="auto"/>
              </w:rPr>
              <w:t>标准限值</w:t>
            </w:r>
          </w:p>
        </w:tc>
      </w:tr>
      <w:tr w:rsidR="00EE56C0">
        <w:trPr>
          <w:trHeight w:val="425"/>
          <w:jc w:val="center"/>
        </w:trPr>
        <w:tc>
          <w:tcPr>
            <w:tcW w:w="650" w:type="dxa"/>
            <w:vAlign w:val="center"/>
          </w:tcPr>
          <w:p w:rsidR="00EE56C0" w:rsidRDefault="000F36A1">
            <w:pPr>
              <w:pStyle w:val="afa"/>
            </w:pPr>
            <w:r>
              <w:rPr>
                <w:rFonts w:hint="eastAsia"/>
              </w:rPr>
              <w:t>1</w:t>
            </w:r>
          </w:p>
        </w:tc>
        <w:tc>
          <w:tcPr>
            <w:tcW w:w="1512" w:type="dxa"/>
            <w:vAlign w:val="center"/>
          </w:tcPr>
          <w:p w:rsidR="00EE56C0" w:rsidRDefault="000F36A1">
            <w:pPr>
              <w:pStyle w:val="afa"/>
            </w:pPr>
            <w:r>
              <w:rPr>
                <w:rFonts w:hint="eastAsia"/>
              </w:rPr>
              <w:t>厂区西南角</w:t>
            </w:r>
          </w:p>
        </w:tc>
        <w:tc>
          <w:tcPr>
            <w:tcW w:w="1403" w:type="dxa"/>
            <w:vAlign w:val="center"/>
          </w:tcPr>
          <w:p w:rsidR="00EE56C0" w:rsidRDefault="000F36A1">
            <w:pPr>
              <w:pStyle w:val="afa"/>
            </w:pPr>
            <w:r>
              <w:rPr>
                <w:rFonts w:hint="eastAsia"/>
              </w:rPr>
              <w:t>未检出</w:t>
            </w:r>
          </w:p>
        </w:tc>
        <w:tc>
          <w:tcPr>
            <w:tcW w:w="1508" w:type="dxa"/>
            <w:vAlign w:val="center"/>
          </w:tcPr>
          <w:p w:rsidR="00EE56C0" w:rsidRDefault="000F36A1">
            <w:pPr>
              <w:pStyle w:val="afa"/>
            </w:pPr>
            <w:r>
              <w:rPr>
                <w:rFonts w:hint="eastAsia"/>
              </w:rPr>
              <w:t>0</w:t>
            </w:r>
          </w:p>
        </w:tc>
        <w:tc>
          <w:tcPr>
            <w:tcW w:w="864" w:type="dxa"/>
            <w:vAlign w:val="center"/>
          </w:tcPr>
          <w:p w:rsidR="00EE56C0" w:rsidRDefault="000F36A1">
            <w:pPr>
              <w:pStyle w:val="afa"/>
            </w:pPr>
            <w:r>
              <w:rPr>
                <w:rFonts w:hint="eastAsia"/>
              </w:rPr>
              <w:t>0</w:t>
            </w:r>
          </w:p>
        </w:tc>
        <w:tc>
          <w:tcPr>
            <w:tcW w:w="1508" w:type="dxa"/>
            <w:vAlign w:val="center"/>
          </w:tcPr>
          <w:p w:rsidR="00EE56C0" w:rsidRDefault="000F36A1">
            <w:pPr>
              <w:pStyle w:val="afa"/>
            </w:pPr>
            <w:r>
              <w:rPr>
                <w:rFonts w:hint="eastAsia"/>
              </w:rPr>
              <w:t>0</w:t>
            </w:r>
          </w:p>
        </w:tc>
        <w:tc>
          <w:tcPr>
            <w:tcW w:w="1077" w:type="dxa"/>
            <w:vMerge w:val="restart"/>
            <w:vAlign w:val="center"/>
          </w:tcPr>
          <w:p w:rsidR="00EE56C0" w:rsidRDefault="000F36A1">
            <w:pPr>
              <w:pStyle w:val="afa"/>
            </w:pPr>
            <w:r>
              <w:rPr>
                <w:rFonts w:hint="eastAsia"/>
              </w:rPr>
              <w:t>2.0</w:t>
            </w:r>
          </w:p>
        </w:tc>
      </w:tr>
      <w:tr w:rsidR="00EE56C0">
        <w:trPr>
          <w:trHeight w:val="425"/>
          <w:jc w:val="center"/>
        </w:trPr>
        <w:tc>
          <w:tcPr>
            <w:tcW w:w="650" w:type="dxa"/>
            <w:vAlign w:val="center"/>
          </w:tcPr>
          <w:p w:rsidR="00EE56C0" w:rsidRDefault="000F36A1">
            <w:pPr>
              <w:pStyle w:val="afa"/>
            </w:pPr>
            <w:r>
              <w:rPr>
                <w:rFonts w:hint="eastAsia"/>
              </w:rPr>
              <w:t>2</w:t>
            </w:r>
          </w:p>
        </w:tc>
        <w:tc>
          <w:tcPr>
            <w:tcW w:w="1512" w:type="dxa"/>
            <w:vAlign w:val="center"/>
          </w:tcPr>
          <w:p w:rsidR="00EE56C0" w:rsidRDefault="000F36A1">
            <w:pPr>
              <w:pStyle w:val="afa"/>
            </w:pPr>
            <w:r>
              <w:rPr>
                <w:rFonts w:hint="eastAsia"/>
              </w:rPr>
              <w:t>康庄村</w:t>
            </w:r>
          </w:p>
        </w:tc>
        <w:tc>
          <w:tcPr>
            <w:tcW w:w="1403" w:type="dxa"/>
            <w:vAlign w:val="center"/>
          </w:tcPr>
          <w:p w:rsidR="00EE56C0" w:rsidRDefault="000F36A1">
            <w:pPr>
              <w:pStyle w:val="afa"/>
            </w:pPr>
            <w:r>
              <w:rPr>
                <w:rFonts w:hint="eastAsia"/>
              </w:rPr>
              <w:t>未检出</w:t>
            </w:r>
          </w:p>
        </w:tc>
        <w:tc>
          <w:tcPr>
            <w:tcW w:w="1508" w:type="dxa"/>
            <w:vAlign w:val="center"/>
          </w:tcPr>
          <w:p w:rsidR="00EE56C0" w:rsidRDefault="000F36A1">
            <w:pPr>
              <w:pStyle w:val="afa"/>
            </w:pPr>
            <w:r>
              <w:rPr>
                <w:rFonts w:hint="eastAsia"/>
              </w:rPr>
              <w:t>0</w:t>
            </w:r>
          </w:p>
        </w:tc>
        <w:tc>
          <w:tcPr>
            <w:tcW w:w="864" w:type="dxa"/>
            <w:vAlign w:val="center"/>
          </w:tcPr>
          <w:p w:rsidR="00EE56C0" w:rsidRDefault="000F36A1">
            <w:pPr>
              <w:pStyle w:val="afa"/>
            </w:pPr>
            <w:r>
              <w:rPr>
                <w:rFonts w:hint="eastAsia"/>
              </w:rPr>
              <w:t>0</w:t>
            </w:r>
          </w:p>
        </w:tc>
        <w:tc>
          <w:tcPr>
            <w:tcW w:w="1508" w:type="dxa"/>
            <w:vAlign w:val="center"/>
          </w:tcPr>
          <w:p w:rsidR="00EE56C0" w:rsidRDefault="000F36A1">
            <w:pPr>
              <w:pStyle w:val="afa"/>
            </w:pPr>
            <w:r>
              <w:rPr>
                <w:rFonts w:hint="eastAsia"/>
              </w:rPr>
              <w:t>0</w:t>
            </w:r>
          </w:p>
        </w:tc>
        <w:tc>
          <w:tcPr>
            <w:tcW w:w="1077" w:type="dxa"/>
            <w:vMerge/>
            <w:vAlign w:val="center"/>
          </w:tcPr>
          <w:p w:rsidR="00EE56C0" w:rsidRDefault="00EE56C0">
            <w:pPr>
              <w:pStyle w:val="afa"/>
            </w:pPr>
          </w:p>
        </w:tc>
      </w:tr>
    </w:tbl>
    <w:p w:rsidR="00EE56C0" w:rsidRDefault="000F36A1">
      <w:pPr>
        <w:pStyle w:val="afd"/>
        <w:spacing w:before="120" w:after="120"/>
        <w:ind w:firstLine="482"/>
      </w:pPr>
      <w:r>
        <w:rPr>
          <w:rFonts w:hint="eastAsia"/>
        </w:rPr>
        <w:t>表</w:t>
      </w:r>
      <w:r>
        <w:rPr>
          <w:rFonts w:hint="eastAsia"/>
        </w:rPr>
        <w:t xml:space="preserve">4-10          </w:t>
      </w:r>
      <w:r>
        <w:rPr>
          <w:rFonts w:hint="eastAsia"/>
        </w:rPr>
        <w:t>酚类化合物一次浓度统计结果</w:t>
      </w:r>
      <w:r>
        <w:rPr>
          <w:rFonts w:hint="eastAsia"/>
        </w:rPr>
        <w:t xml:space="preserve">         </w:t>
      </w:r>
      <w:r>
        <w:rPr>
          <w:rFonts w:hint="eastAsia"/>
        </w:rPr>
        <w:t>单位：</w:t>
      </w:r>
      <w:r>
        <w:rPr>
          <w:rFonts w:hint="eastAsia"/>
        </w:rPr>
        <w:t>mg/m</w:t>
      </w:r>
      <w:r>
        <w:rPr>
          <w:rFonts w:hint="eastAsia"/>
          <w:vertAlign w:val="superscript"/>
        </w:rPr>
        <w:t>3</w:t>
      </w:r>
    </w:p>
    <w:tbl>
      <w:tblPr>
        <w:tblW w:w="0" w:type="auto"/>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tblPr>
      <w:tblGrid>
        <w:gridCol w:w="650"/>
        <w:gridCol w:w="1512"/>
        <w:gridCol w:w="1403"/>
        <w:gridCol w:w="1508"/>
        <w:gridCol w:w="864"/>
        <w:gridCol w:w="1508"/>
        <w:gridCol w:w="1077"/>
      </w:tblGrid>
      <w:tr w:rsidR="00EE56C0">
        <w:trPr>
          <w:trHeight w:val="425"/>
          <w:jc w:val="center"/>
        </w:trPr>
        <w:tc>
          <w:tcPr>
            <w:tcW w:w="650" w:type="dxa"/>
            <w:vAlign w:val="center"/>
          </w:tcPr>
          <w:p w:rsidR="00EE56C0" w:rsidRDefault="000F36A1">
            <w:pPr>
              <w:pStyle w:val="aff1"/>
              <w:rPr>
                <w:color w:val="auto"/>
              </w:rPr>
            </w:pPr>
            <w:r>
              <w:rPr>
                <w:rFonts w:hint="eastAsia"/>
                <w:color w:val="auto"/>
              </w:rPr>
              <w:t>序号</w:t>
            </w:r>
          </w:p>
        </w:tc>
        <w:tc>
          <w:tcPr>
            <w:tcW w:w="1512" w:type="dxa"/>
            <w:vAlign w:val="center"/>
          </w:tcPr>
          <w:p w:rsidR="00EE56C0" w:rsidRDefault="000F36A1">
            <w:pPr>
              <w:pStyle w:val="aff1"/>
              <w:rPr>
                <w:color w:val="auto"/>
              </w:rPr>
            </w:pPr>
            <w:r>
              <w:rPr>
                <w:rFonts w:hint="eastAsia"/>
                <w:color w:val="auto"/>
              </w:rPr>
              <w:t>点位</w:t>
            </w:r>
          </w:p>
        </w:tc>
        <w:tc>
          <w:tcPr>
            <w:tcW w:w="1403" w:type="dxa"/>
            <w:vAlign w:val="center"/>
          </w:tcPr>
          <w:p w:rsidR="00EE56C0" w:rsidRDefault="000F36A1">
            <w:pPr>
              <w:pStyle w:val="aff1"/>
              <w:rPr>
                <w:color w:val="auto"/>
              </w:rPr>
            </w:pPr>
            <w:r>
              <w:rPr>
                <w:rFonts w:hint="eastAsia"/>
                <w:color w:val="auto"/>
              </w:rPr>
              <w:t>监测值范围</w:t>
            </w:r>
          </w:p>
        </w:tc>
        <w:tc>
          <w:tcPr>
            <w:tcW w:w="1508" w:type="dxa"/>
            <w:vAlign w:val="center"/>
          </w:tcPr>
          <w:p w:rsidR="00EE56C0" w:rsidRDefault="000F36A1">
            <w:pPr>
              <w:pStyle w:val="aff1"/>
              <w:rPr>
                <w:color w:val="auto"/>
              </w:rPr>
            </w:pPr>
            <w:r>
              <w:rPr>
                <w:rFonts w:hint="eastAsia"/>
                <w:color w:val="auto"/>
              </w:rPr>
              <w:t>标准指数范围</w:t>
            </w:r>
          </w:p>
        </w:tc>
        <w:tc>
          <w:tcPr>
            <w:tcW w:w="864" w:type="dxa"/>
            <w:vAlign w:val="center"/>
          </w:tcPr>
          <w:p w:rsidR="00EE56C0" w:rsidRDefault="000F36A1">
            <w:pPr>
              <w:pStyle w:val="aff1"/>
              <w:rPr>
                <w:color w:val="auto"/>
              </w:rPr>
            </w:pPr>
            <w:r>
              <w:rPr>
                <w:rFonts w:hint="eastAsia"/>
                <w:color w:val="auto"/>
              </w:rPr>
              <w:t>超标率</w:t>
            </w:r>
          </w:p>
        </w:tc>
        <w:tc>
          <w:tcPr>
            <w:tcW w:w="1508" w:type="dxa"/>
            <w:vAlign w:val="center"/>
          </w:tcPr>
          <w:p w:rsidR="00EE56C0" w:rsidRDefault="000F36A1">
            <w:pPr>
              <w:pStyle w:val="aff1"/>
              <w:rPr>
                <w:color w:val="auto"/>
              </w:rPr>
            </w:pPr>
            <w:r>
              <w:rPr>
                <w:rFonts w:hint="eastAsia"/>
                <w:color w:val="auto"/>
              </w:rPr>
              <w:t>最大超标倍数</w:t>
            </w:r>
          </w:p>
        </w:tc>
        <w:tc>
          <w:tcPr>
            <w:tcW w:w="1077" w:type="dxa"/>
            <w:vAlign w:val="center"/>
          </w:tcPr>
          <w:p w:rsidR="00EE56C0" w:rsidRDefault="000F36A1">
            <w:pPr>
              <w:pStyle w:val="aff1"/>
              <w:rPr>
                <w:color w:val="auto"/>
              </w:rPr>
            </w:pPr>
            <w:r>
              <w:rPr>
                <w:rFonts w:hint="eastAsia"/>
                <w:color w:val="auto"/>
              </w:rPr>
              <w:t>标准限值</w:t>
            </w:r>
          </w:p>
        </w:tc>
      </w:tr>
      <w:tr w:rsidR="00EE56C0">
        <w:trPr>
          <w:trHeight w:val="425"/>
          <w:jc w:val="center"/>
        </w:trPr>
        <w:tc>
          <w:tcPr>
            <w:tcW w:w="650" w:type="dxa"/>
            <w:vAlign w:val="center"/>
          </w:tcPr>
          <w:p w:rsidR="00EE56C0" w:rsidRDefault="000F36A1">
            <w:pPr>
              <w:pStyle w:val="afa"/>
            </w:pPr>
            <w:r>
              <w:rPr>
                <w:rFonts w:hint="eastAsia"/>
              </w:rPr>
              <w:t>1</w:t>
            </w:r>
          </w:p>
        </w:tc>
        <w:tc>
          <w:tcPr>
            <w:tcW w:w="1512" w:type="dxa"/>
            <w:vAlign w:val="center"/>
          </w:tcPr>
          <w:p w:rsidR="00EE56C0" w:rsidRDefault="000F36A1">
            <w:pPr>
              <w:pStyle w:val="afa"/>
            </w:pPr>
            <w:r>
              <w:rPr>
                <w:rFonts w:hint="eastAsia"/>
              </w:rPr>
              <w:t>厂区西南角</w:t>
            </w:r>
          </w:p>
        </w:tc>
        <w:tc>
          <w:tcPr>
            <w:tcW w:w="1403" w:type="dxa"/>
            <w:vAlign w:val="center"/>
          </w:tcPr>
          <w:p w:rsidR="00EE56C0" w:rsidRDefault="000F36A1">
            <w:pPr>
              <w:pStyle w:val="afa"/>
            </w:pPr>
            <w:r>
              <w:rPr>
                <w:rFonts w:hint="eastAsia"/>
              </w:rPr>
              <w:t>未检出</w:t>
            </w:r>
          </w:p>
        </w:tc>
        <w:tc>
          <w:tcPr>
            <w:tcW w:w="1508" w:type="dxa"/>
            <w:vAlign w:val="center"/>
          </w:tcPr>
          <w:p w:rsidR="00EE56C0" w:rsidRDefault="000F36A1">
            <w:pPr>
              <w:pStyle w:val="afa"/>
            </w:pPr>
            <w:r>
              <w:rPr>
                <w:rFonts w:hint="eastAsia"/>
              </w:rPr>
              <w:t>0</w:t>
            </w:r>
          </w:p>
        </w:tc>
        <w:tc>
          <w:tcPr>
            <w:tcW w:w="864" w:type="dxa"/>
            <w:vAlign w:val="center"/>
          </w:tcPr>
          <w:p w:rsidR="00EE56C0" w:rsidRDefault="000F36A1">
            <w:pPr>
              <w:pStyle w:val="afa"/>
            </w:pPr>
            <w:r>
              <w:rPr>
                <w:rFonts w:hint="eastAsia"/>
              </w:rPr>
              <w:t>0</w:t>
            </w:r>
          </w:p>
        </w:tc>
        <w:tc>
          <w:tcPr>
            <w:tcW w:w="1508" w:type="dxa"/>
            <w:vAlign w:val="center"/>
          </w:tcPr>
          <w:p w:rsidR="00EE56C0" w:rsidRDefault="000F36A1">
            <w:pPr>
              <w:pStyle w:val="afa"/>
            </w:pPr>
            <w:r>
              <w:rPr>
                <w:rFonts w:hint="eastAsia"/>
              </w:rPr>
              <w:t>0</w:t>
            </w:r>
          </w:p>
        </w:tc>
        <w:tc>
          <w:tcPr>
            <w:tcW w:w="1077" w:type="dxa"/>
            <w:vMerge w:val="restart"/>
            <w:vAlign w:val="center"/>
          </w:tcPr>
          <w:p w:rsidR="00EE56C0" w:rsidRDefault="000F36A1">
            <w:pPr>
              <w:pStyle w:val="afa"/>
            </w:pPr>
            <w:r>
              <w:rPr>
                <w:rFonts w:hint="eastAsia"/>
              </w:rPr>
              <w:t>0.02</w:t>
            </w:r>
          </w:p>
        </w:tc>
      </w:tr>
      <w:tr w:rsidR="00EE56C0">
        <w:trPr>
          <w:trHeight w:val="425"/>
          <w:jc w:val="center"/>
        </w:trPr>
        <w:tc>
          <w:tcPr>
            <w:tcW w:w="650" w:type="dxa"/>
            <w:vAlign w:val="center"/>
          </w:tcPr>
          <w:p w:rsidR="00EE56C0" w:rsidRDefault="000F36A1">
            <w:pPr>
              <w:pStyle w:val="afa"/>
            </w:pPr>
            <w:r>
              <w:rPr>
                <w:rFonts w:hint="eastAsia"/>
              </w:rPr>
              <w:t>2</w:t>
            </w:r>
          </w:p>
        </w:tc>
        <w:tc>
          <w:tcPr>
            <w:tcW w:w="1512" w:type="dxa"/>
            <w:vAlign w:val="center"/>
          </w:tcPr>
          <w:p w:rsidR="00EE56C0" w:rsidRDefault="000F36A1">
            <w:pPr>
              <w:pStyle w:val="afa"/>
            </w:pPr>
            <w:r>
              <w:rPr>
                <w:rFonts w:hint="eastAsia"/>
              </w:rPr>
              <w:t>康庄村</w:t>
            </w:r>
          </w:p>
        </w:tc>
        <w:tc>
          <w:tcPr>
            <w:tcW w:w="1403" w:type="dxa"/>
            <w:vAlign w:val="center"/>
          </w:tcPr>
          <w:p w:rsidR="00EE56C0" w:rsidRDefault="000F36A1">
            <w:pPr>
              <w:pStyle w:val="afa"/>
            </w:pPr>
            <w:r>
              <w:rPr>
                <w:rFonts w:hint="eastAsia"/>
              </w:rPr>
              <w:t>未检出</w:t>
            </w:r>
          </w:p>
        </w:tc>
        <w:tc>
          <w:tcPr>
            <w:tcW w:w="1508" w:type="dxa"/>
            <w:vAlign w:val="center"/>
          </w:tcPr>
          <w:p w:rsidR="00EE56C0" w:rsidRDefault="000F36A1">
            <w:pPr>
              <w:pStyle w:val="afa"/>
            </w:pPr>
            <w:r>
              <w:rPr>
                <w:rFonts w:hint="eastAsia"/>
              </w:rPr>
              <w:t>0</w:t>
            </w:r>
          </w:p>
        </w:tc>
        <w:tc>
          <w:tcPr>
            <w:tcW w:w="864" w:type="dxa"/>
            <w:vAlign w:val="center"/>
          </w:tcPr>
          <w:p w:rsidR="00EE56C0" w:rsidRDefault="000F36A1">
            <w:pPr>
              <w:pStyle w:val="afa"/>
            </w:pPr>
            <w:r>
              <w:rPr>
                <w:rFonts w:hint="eastAsia"/>
              </w:rPr>
              <w:t>0</w:t>
            </w:r>
          </w:p>
        </w:tc>
        <w:tc>
          <w:tcPr>
            <w:tcW w:w="1508" w:type="dxa"/>
            <w:vAlign w:val="center"/>
          </w:tcPr>
          <w:p w:rsidR="00EE56C0" w:rsidRDefault="000F36A1">
            <w:pPr>
              <w:pStyle w:val="afa"/>
            </w:pPr>
            <w:r>
              <w:rPr>
                <w:rFonts w:hint="eastAsia"/>
              </w:rPr>
              <w:t>0</w:t>
            </w:r>
          </w:p>
        </w:tc>
        <w:tc>
          <w:tcPr>
            <w:tcW w:w="1077" w:type="dxa"/>
            <w:vMerge/>
            <w:vAlign w:val="center"/>
          </w:tcPr>
          <w:p w:rsidR="00EE56C0" w:rsidRDefault="00EE56C0">
            <w:pPr>
              <w:pStyle w:val="afa"/>
            </w:pPr>
          </w:p>
        </w:tc>
      </w:tr>
    </w:tbl>
    <w:p w:rsidR="00EE56C0" w:rsidRDefault="000F36A1">
      <w:pPr>
        <w:pStyle w:val="4"/>
        <w:ind w:left="120" w:firstLine="241"/>
      </w:pPr>
      <w:r>
        <w:rPr>
          <w:rFonts w:hint="eastAsia"/>
        </w:rPr>
        <w:t>4.2.2.8</w:t>
      </w:r>
      <w:r>
        <w:rPr>
          <w:rFonts w:hint="eastAsia"/>
        </w:rPr>
        <w:t>监测统计结果分析</w:t>
      </w:r>
    </w:p>
    <w:p w:rsidR="00EE56C0" w:rsidRDefault="000F36A1">
      <w:pPr>
        <w:ind w:firstLine="480"/>
      </w:pPr>
      <w:r>
        <w:rPr>
          <w:rFonts w:hint="eastAsia"/>
        </w:rPr>
        <w:t>根据环境空气现状监测统计结果可知：酚类化合物、苯、甲苯、二甲苯、非甲烷总烃的监测结果均为未检出，最大超标倍数均为</w:t>
      </w:r>
      <w:r>
        <w:rPr>
          <w:rFonts w:hint="eastAsia"/>
        </w:rPr>
        <w:t>0</w:t>
      </w:r>
      <w:r>
        <w:rPr>
          <w:rFonts w:hint="eastAsia"/>
        </w:rPr>
        <w:t>。苯、甲苯、二甲苯能够</w:t>
      </w:r>
      <w:r>
        <w:rPr>
          <w:rFonts w:hint="eastAsia"/>
        </w:rPr>
        <w:lastRenderedPageBreak/>
        <w:t>满足《环境影响评价技术导则</w:t>
      </w:r>
      <w:r>
        <w:rPr>
          <w:rFonts w:hint="eastAsia"/>
        </w:rPr>
        <w:t xml:space="preserve"> </w:t>
      </w:r>
      <w:r>
        <w:rPr>
          <w:rFonts w:hint="eastAsia"/>
        </w:rPr>
        <w:t>大气环境》（</w:t>
      </w:r>
      <w:r>
        <w:rPr>
          <w:rFonts w:hint="eastAsia"/>
        </w:rPr>
        <w:t>HJ2.2-2018</w:t>
      </w:r>
      <w:r>
        <w:rPr>
          <w:rFonts w:hint="eastAsia"/>
        </w:rPr>
        <w:t>）附录</w:t>
      </w:r>
      <w:r>
        <w:rPr>
          <w:rFonts w:hint="eastAsia"/>
        </w:rPr>
        <w:t>D</w:t>
      </w:r>
      <w:r>
        <w:rPr>
          <w:rFonts w:hint="eastAsia"/>
        </w:rPr>
        <w:t>的限值要求，非甲烷总烃能够满足大气综合污染物排放标准详解第章标准值说明</w:t>
      </w:r>
      <w:r>
        <w:rPr>
          <w:rFonts w:hint="eastAsia"/>
        </w:rPr>
        <w:t>-</w:t>
      </w:r>
      <w:r>
        <w:rPr>
          <w:rFonts w:hint="eastAsia"/>
        </w:rPr>
        <w:t>三十一、非甲烷总烃中的标准要求，酚类化合物能够满足</w:t>
      </w:r>
      <w:r>
        <w:rPr>
          <w:rFonts w:hint="eastAsia"/>
          <w:b/>
          <w:u w:val="single"/>
        </w:rPr>
        <w:t>《居住区大气中酚卫生标准》（</w:t>
      </w:r>
      <w:r>
        <w:rPr>
          <w:rFonts w:hint="eastAsia"/>
          <w:b/>
          <w:u w:val="single"/>
        </w:rPr>
        <w:t>GB18067-2000</w:t>
      </w:r>
      <w:r>
        <w:rPr>
          <w:rFonts w:hint="eastAsia"/>
          <w:b/>
          <w:u w:val="single"/>
        </w:rPr>
        <w:t>）</w:t>
      </w:r>
      <w:r>
        <w:rPr>
          <w:rFonts w:hint="eastAsia"/>
        </w:rPr>
        <w:t>中的标准要求。</w:t>
      </w:r>
    </w:p>
    <w:bookmarkEnd w:id="279"/>
    <w:bookmarkEnd w:id="280"/>
    <w:p w:rsidR="00EE56C0" w:rsidRDefault="000F36A1">
      <w:pPr>
        <w:pStyle w:val="3"/>
        <w:spacing w:before="240" w:after="120"/>
      </w:pPr>
      <w:r>
        <w:rPr>
          <w:rFonts w:hint="eastAsia"/>
        </w:rPr>
        <w:t>4.2.3</w:t>
      </w:r>
      <w:r>
        <w:rPr>
          <w:rFonts w:hint="eastAsia"/>
        </w:rPr>
        <w:t>地表水环境质量现状监测与评价</w:t>
      </w:r>
      <w:bookmarkEnd w:id="273"/>
      <w:bookmarkEnd w:id="274"/>
      <w:bookmarkEnd w:id="275"/>
      <w:bookmarkEnd w:id="276"/>
    </w:p>
    <w:p w:rsidR="00EE56C0" w:rsidRDefault="000F36A1">
      <w:pPr>
        <w:pStyle w:val="4"/>
        <w:ind w:left="120" w:firstLine="241"/>
      </w:pPr>
      <w:r>
        <w:rPr>
          <w:rFonts w:hint="eastAsia"/>
        </w:rPr>
        <w:t>4.2.3.1</w:t>
      </w:r>
      <w:r>
        <w:t>项目纳污水体环境概况</w:t>
      </w:r>
    </w:p>
    <w:p w:rsidR="00EE56C0" w:rsidRDefault="000F36A1">
      <w:pPr>
        <w:ind w:firstLine="480"/>
      </w:pPr>
      <w:r>
        <w:rPr>
          <w:rFonts w:hint="eastAsia"/>
        </w:rPr>
        <w:t>目前管网未接通，生活污水经“隔油池</w:t>
      </w:r>
      <w:r>
        <w:rPr>
          <w:rFonts w:hint="eastAsia"/>
        </w:rPr>
        <w:t>+</w:t>
      </w:r>
      <w:r>
        <w:rPr>
          <w:rFonts w:hint="eastAsia"/>
        </w:rPr>
        <w:t>化粪池”处理后经厂区污水处理站（调节</w:t>
      </w:r>
      <w:r>
        <w:rPr>
          <w:rFonts w:hint="eastAsia"/>
        </w:rPr>
        <w:t>+MBR</w:t>
      </w:r>
      <w:r>
        <w:rPr>
          <w:rFonts w:hint="eastAsia"/>
        </w:rPr>
        <w:t>）处理后与反渗透浓水均用于厂区绿化，不外排。待</w:t>
      </w:r>
      <w:r>
        <w:t>管网接通后</w:t>
      </w:r>
      <w:r>
        <w:rPr>
          <w:rFonts w:hint="eastAsia"/>
        </w:rPr>
        <w:t>，生活污水经“隔油池</w:t>
      </w:r>
      <w:r>
        <w:rPr>
          <w:rFonts w:hint="eastAsia"/>
        </w:rPr>
        <w:t>+</w:t>
      </w:r>
      <w:r>
        <w:rPr>
          <w:rFonts w:hint="eastAsia"/>
        </w:rPr>
        <w:t>化粪池”处理后与反渗透浓水在厂区总排口混合后，</w:t>
      </w:r>
      <w:r>
        <w:t>经污水管网排入</w:t>
      </w:r>
      <w:r>
        <w:rPr>
          <w:rFonts w:hint="eastAsia"/>
        </w:rPr>
        <w:t>新乡县综合污水处理厂</w:t>
      </w:r>
      <w:r>
        <w:t>进一步处理</w:t>
      </w:r>
      <w:r>
        <w:rPr>
          <w:rFonts w:hint="eastAsia"/>
        </w:rPr>
        <w:t>，最终排入东孟姜女河</w:t>
      </w:r>
      <w:r>
        <w:t>。</w:t>
      </w:r>
      <w:r>
        <w:rPr>
          <w:rFonts w:hint="eastAsia"/>
        </w:rPr>
        <w:t>经调查，</w:t>
      </w:r>
      <w:r>
        <w:t>距离本次工程最近的地表水体东孟姜女河为卫河支流，在卫辉汇入卫河，属海河流域。根据新乡市地表水功能区划，东孟姜女河地表水功能区划为</w:t>
      </w:r>
      <w:r>
        <w:t>V</w:t>
      </w:r>
      <w:r>
        <w:t>类水体。</w:t>
      </w:r>
    </w:p>
    <w:p w:rsidR="00EE56C0" w:rsidRDefault="000F36A1">
      <w:pPr>
        <w:ind w:firstLine="480"/>
      </w:pPr>
      <w:r>
        <w:rPr>
          <w:rFonts w:hint="eastAsia"/>
        </w:rPr>
        <w:t>本次评价引用新乡市环境监测站编制的监测通报中</w:t>
      </w:r>
      <w:r>
        <w:t>青龙路化肥厂东</w:t>
      </w:r>
      <w:r>
        <w:rPr>
          <w:rFonts w:hint="eastAsia"/>
        </w:rPr>
        <w:t>断面监测数据来进行说明。</w:t>
      </w:r>
    </w:p>
    <w:p w:rsidR="00EE56C0" w:rsidRDefault="000F36A1">
      <w:pPr>
        <w:pStyle w:val="4"/>
        <w:ind w:left="120" w:firstLine="241"/>
      </w:pPr>
      <w:r>
        <w:rPr>
          <w:rFonts w:hint="eastAsia"/>
        </w:rPr>
        <w:t>4.2.3.2</w:t>
      </w:r>
      <w:r>
        <w:rPr>
          <w:rFonts w:hint="eastAsia"/>
        </w:rPr>
        <w:t>东孟姜女河</w:t>
      </w:r>
      <w:r>
        <w:t>水质现状</w:t>
      </w:r>
    </w:p>
    <w:p w:rsidR="00EE56C0" w:rsidRDefault="000F36A1">
      <w:pPr>
        <w:ind w:firstLine="480"/>
      </w:pPr>
      <w:r>
        <w:t>为反映本项目纳污水体</w:t>
      </w:r>
      <w:r>
        <w:rPr>
          <w:rFonts w:hint="eastAsia"/>
        </w:rPr>
        <w:t>东孟姜女河</w:t>
      </w:r>
      <w:r>
        <w:t>的环境质量现状，本次评价引用新乡市环境监测站编制的例行监测中青龙路化肥厂东</w:t>
      </w:r>
      <w:r>
        <w:rPr>
          <w:rFonts w:hint="eastAsia"/>
        </w:rPr>
        <w:t>断面</w:t>
      </w:r>
      <w:r>
        <w:rPr>
          <w:rFonts w:hint="eastAsia"/>
        </w:rPr>
        <w:t>2020</w:t>
      </w:r>
      <w:r>
        <w:rPr>
          <w:rFonts w:hint="eastAsia"/>
        </w:rPr>
        <w:t>年</w:t>
      </w:r>
      <w:r>
        <w:rPr>
          <w:rFonts w:hint="eastAsia"/>
        </w:rPr>
        <w:t>11</w:t>
      </w:r>
      <w:r>
        <w:rPr>
          <w:rFonts w:hint="eastAsia"/>
        </w:rPr>
        <w:t>月～</w:t>
      </w:r>
      <w:r>
        <w:t>20</w:t>
      </w:r>
      <w:r>
        <w:rPr>
          <w:rFonts w:hint="eastAsia"/>
        </w:rPr>
        <w:t>21</w:t>
      </w:r>
      <w:r>
        <w:rPr>
          <w:rFonts w:hint="eastAsia"/>
        </w:rPr>
        <w:t>年</w:t>
      </w:r>
      <w:r>
        <w:rPr>
          <w:rFonts w:hint="eastAsia"/>
        </w:rPr>
        <w:t>10</w:t>
      </w:r>
      <w:r>
        <w:rPr>
          <w:rFonts w:hint="eastAsia"/>
        </w:rPr>
        <w:t>月的监测结果</w:t>
      </w:r>
      <w:r>
        <w:t>来进行说明，详见表</w:t>
      </w:r>
      <w:r>
        <w:rPr>
          <w:rFonts w:hint="eastAsia"/>
        </w:rPr>
        <w:t>4</w:t>
      </w:r>
      <w:r>
        <w:t>-1</w:t>
      </w:r>
      <w:r>
        <w:rPr>
          <w:rFonts w:hint="eastAsia"/>
        </w:rPr>
        <w:t>1</w:t>
      </w:r>
      <w:r>
        <w:t>：</w:t>
      </w:r>
    </w:p>
    <w:p w:rsidR="00EE56C0" w:rsidRDefault="000F36A1">
      <w:pPr>
        <w:pStyle w:val="afd"/>
        <w:spacing w:before="120" w:after="120"/>
        <w:ind w:firstLine="482"/>
      </w:pPr>
      <w:r>
        <w:rPr>
          <w:rFonts w:hint="eastAsia"/>
        </w:rPr>
        <w:t>表</w:t>
      </w:r>
      <w:r>
        <w:rPr>
          <w:rFonts w:hint="eastAsia"/>
        </w:rPr>
        <w:t>4</w:t>
      </w:r>
      <w:r>
        <w:t>-1</w:t>
      </w:r>
      <w:r>
        <w:rPr>
          <w:rFonts w:hint="eastAsia"/>
        </w:rPr>
        <w:t xml:space="preserve">1    </w:t>
      </w:r>
      <w:r>
        <w:rPr>
          <w:rFonts w:ascii="黑体" w:hint="eastAsia"/>
        </w:rPr>
        <w:t>东孟姜女河</w:t>
      </w:r>
      <w:r>
        <w:rPr>
          <w:rFonts w:hint="eastAsia"/>
        </w:rPr>
        <w:t>水质例行监测结果统计一览表</w:t>
      </w:r>
      <w:r>
        <w:rPr>
          <w:rFonts w:hint="eastAsia"/>
        </w:rPr>
        <w:t xml:space="preserve">     </w:t>
      </w:r>
      <w:r>
        <w:rPr>
          <w:rFonts w:hint="eastAsia"/>
        </w:rPr>
        <w:t>单位：</w:t>
      </w:r>
      <w:r>
        <w:rPr>
          <w:rFonts w:hint="eastAsia"/>
        </w:rPr>
        <w:t>mg/L</w:t>
      </w:r>
    </w:p>
    <w:tbl>
      <w:tblPr>
        <w:tblW w:w="5000" w:type="pct"/>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tblPr>
      <w:tblGrid>
        <w:gridCol w:w="1160"/>
        <w:gridCol w:w="1359"/>
        <w:gridCol w:w="890"/>
        <w:gridCol w:w="1042"/>
        <w:gridCol w:w="1076"/>
        <w:gridCol w:w="998"/>
        <w:gridCol w:w="1097"/>
        <w:gridCol w:w="906"/>
      </w:tblGrid>
      <w:tr w:rsidR="00EE56C0">
        <w:trPr>
          <w:trHeight w:val="425"/>
          <w:tblHeader/>
        </w:trPr>
        <w:tc>
          <w:tcPr>
            <w:tcW w:w="680" w:type="pct"/>
            <w:vMerge w:val="restart"/>
            <w:vAlign w:val="center"/>
          </w:tcPr>
          <w:p w:rsidR="00EE56C0" w:rsidRDefault="000F36A1">
            <w:pPr>
              <w:pStyle w:val="aff1"/>
              <w:rPr>
                <w:color w:val="auto"/>
              </w:rPr>
            </w:pPr>
            <w:r>
              <w:rPr>
                <w:rFonts w:hint="eastAsia"/>
                <w:color w:val="auto"/>
              </w:rPr>
              <w:t>监测项目</w:t>
            </w:r>
          </w:p>
        </w:tc>
        <w:tc>
          <w:tcPr>
            <w:tcW w:w="797" w:type="pct"/>
            <w:vMerge w:val="restart"/>
            <w:vAlign w:val="center"/>
          </w:tcPr>
          <w:p w:rsidR="00EE56C0" w:rsidRDefault="000F36A1">
            <w:pPr>
              <w:pStyle w:val="aff1"/>
              <w:rPr>
                <w:color w:val="auto"/>
              </w:rPr>
            </w:pPr>
            <w:r>
              <w:rPr>
                <w:rFonts w:hint="eastAsia"/>
                <w:color w:val="auto"/>
              </w:rPr>
              <w:t>监测时间</w:t>
            </w:r>
          </w:p>
        </w:tc>
        <w:tc>
          <w:tcPr>
            <w:tcW w:w="1764" w:type="pct"/>
            <w:gridSpan w:val="3"/>
            <w:vAlign w:val="center"/>
          </w:tcPr>
          <w:p w:rsidR="00EE56C0" w:rsidRDefault="000F36A1">
            <w:pPr>
              <w:pStyle w:val="aff1"/>
              <w:rPr>
                <w:color w:val="auto"/>
              </w:rPr>
            </w:pPr>
            <w:r>
              <w:rPr>
                <w:rFonts w:hint="eastAsia"/>
                <w:color w:val="auto"/>
              </w:rPr>
              <w:t>监测结果（</w:t>
            </w:r>
            <w:r>
              <w:rPr>
                <w:rFonts w:hint="eastAsia"/>
                <w:color w:val="auto"/>
              </w:rPr>
              <w:t>mg/L</w:t>
            </w:r>
            <w:r>
              <w:rPr>
                <w:rFonts w:hint="eastAsia"/>
                <w:color w:val="auto"/>
              </w:rPr>
              <w:t>）</w:t>
            </w:r>
          </w:p>
        </w:tc>
        <w:tc>
          <w:tcPr>
            <w:tcW w:w="1759" w:type="pct"/>
            <w:gridSpan w:val="3"/>
            <w:vAlign w:val="center"/>
          </w:tcPr>
          <w:p w:rsidR="00EE56C0" w:rsidRDefault="000F36A1">
            <w:pPr>
              <w:pStyle w:val="aff1"/>
              <w:rPr>
                <w:color w:val="auto"/>
              </w:rPr>
            </w:pPr>
            <w:r>
              <w:rPr>
                <w:rFonts w:hint="eastAsia"/>
                <w:color w:val="auto"/>
              </w:rPr>
              <w:t>污染指数</w:t>
            </w:r>
          </w:p>
        </w:tc>
      </w:tr>
      <w:tr w:rsidR="00EE56C0">
        <w:trPr>
          <w:trHeight w:val="425"/>
          <w:tblHeader/>
        </w:trPr>
        <w:tc>
          <w:tcPr>
            <w:tcW w:w="680" w:type="pct"/>
            <w:vMerge/>
            <w:vAlign w:val="center"/>
          </w:tcPr>
          <w:p w:rsidR="00EE56C0" w:rsidRDefault="00EE56C0">
            <w:pPr>
              <w:pStyle w:val="aff1"/>
              <w:rPr>
                <w:color w:val="auto"/>
              </w:rPr>
            </w:pPr>
          </w:p>
        </w:tc>
        <w:tc>
          <w:tcPr>
            <w:tcW w:w="797" w:type="pct"/>
            <w:vMerge/>
            <w:vAlign w:val="center"/>
          </w:tcPr>
          <w:p w:rsidR="00EE56C0" w:rsidRDefault="00EE56C0">
            <w:pPr>
              <w:pStyle w:val="aff1"/>
              <w:rPr>
                <w:color w:val="auto"/>
              </w:rPr>
            </w:pPr>
          </w:p>
        </w:tc>
        <w:tc>
          <w:tcPr>
            <w:tcW w:w="522" w:type="pct"/>
            <w:vAlign w:val="center"/>
          </w:tcPr>
          <w:p w:rsidR="00EE56C0" w:rsidRDefault="000F36A1">
            <w:pPr>
              <w:pStyle w:val="aff1"/>
              <w:rPr>
                <w:color w:val="auto"/>
              </w:rPr>
            </w:pPr>
            <w:r>
              <w:rPr>
                <w:rFonts w:hint="eastAsia"/>
                <w:color w:val="auto"/>
              </w:rPr>
              <w:t>COD</w:t>
            </w:r>
          </w:p>
        </w:tc>
        <w:tc>
          <w:tcPr>
            <w:tcW w:w="611" w:type="pct"/>
            <w:vAlign w:val="center"/>
          </w:tcPr>
          <w:p w:rsidR="00EE56C0" w:rsidRDefault="000F36A1">
            <w:pPr>
              <w:pStyle w:val="aff1"/>
              <w:rPr>
                <w:color w:val="auto"/>
              </w:rPr>
            </w:pPr>
            <w:r>
              <w:rPr>
                <w:rFonts w:hint="eastAsia"/>
                <w:color w:val="auto"/>
              </w:rPr>
              <w:t>氨氮</w:t>
            </w:r>
          </w:p>
        </w:tc>
        <w:tc>
          <w:tcPr>
            <w:tcW w:w="631" w:type="pct"/>
            <w:vAlign w:val="center"/>
          </w:tcPr>
          <w:p w:rsidR="00EE56C0" w:rsidRDefault="000F36A1">
            <w:pPr>
              <w:pStyle w:val="aff1"/>
              <w:rPr>
                <w:color w:val="auto"/>
              </w:rPr>
            </w:pPr>
            <w:r>
              <w:rPr>
                <w:rFonts w:hint="eastAsia"/>
                <w:color w:val="auto"/>
              </w:rPr>
              <w:t>总磷</w:t>
            </w:r>
          </w:p>
        </w:tc>
        <w:tc>
          <w:tcPr>
            <w:tcW w:w="585" w:type="pct"/>
            <w:vAlign w:val="center"/>
          </w:tcPr>
          <w:p w:rsidR="00EE56C0" w:rsidRDefault="000F36A1">
            <w:pPr>
              <w:pStyle w:val="aff1"/>
              <w:rPr>
                <w:color w:val="auto"/>
              </w:rPr>
            </w:pPr>
            <w:r>
              <w:rPr>
                <w:rFonts w:hint="eastAsia"/>
                <w:color w:val="auto"/>
              </w:rPr>
              <w:t>COD</w:t>
            </w:r>
          </w:p>
        </w:tc>
        <w:tc>
          <w:tcPr>
            <w:tcW w:w="643" w:type="pct"/>
            <w:vAlign w:val="center"/>
          </w:tcPr>
          <w:p w:rsidR="00EE56C0" w:rsidRDefault="000F36A1">
            <w:pPr>
              <w:pStyle w:val="aff1"/>
              <w:rPr>
                <w:color w:val="auto"/>
              </w:rPr>
            </w:pPr>
            <w:r>
              <w:rPr>
                <w:rFonts w:hint="eastAsia"/>
                <w:color w:val="auto"/>
              </w:rPr>
              <w:t>氨氮</w:t>
            </w:r>
          </w:p>
        </w:tc>
        <w:tc>
          <w:tcPr>
            <w:tcW w:w="531" w:type="pct"/>
            <w:vAlign w:val="center"/>
          </w:tcPr>
          <w:p w:rsidR="00EE56C0" w:rsidRDefault="000F36A1">
            <w:pPr>
              <w:pStyle w:val="aff1"/>
              <w:rPr>
                <w:color w:val="auto"/>
              </w:rPr>
            </w:pPr>
            <w:r>
              <w:rPr>
                <w:rFonts w:hint="eastAsia"/>
                <w:color w:val="auto"/>
              </w:rPr>
              <w:t>总磷</w:t>
            </w:r>
          </w:p>
        </w:tc>
      </w:tr>
      <w:tr w:rsidR="00EE56C0">
        <w:trPr>
          <w:trHeight w:val="425"/>
        </w:trPr>
        <w:tc>
          <w:tcPr>
            <w:tcW w:w="680" w:type="pct"/>
            <w:vMerge w:val="restart"/>
            <w:tcBorders>
              <w:top w:val="single" w:sz="4" w:space="0" w:color="auto"/>
            </w:tcBorders>
            <w:vAlign w:val="center"/>
          </w:tcPr>
          <w:p w:rsidR="00EE56C0" w:rsidRDefault="000F36A1">
            <w:pPr>
              <w:pStyle w:val="afa"/>
            </w:pPr>
            <w:r>
              <w:t>青龙路化肥厂东</w:t>
            </w:r>
            <w:r>
              <w:rPr>
                <w:rFonts w:hint="eastAsia"/>
              </w:rPr>
              <w:t>桥断面</w:t>
            </w:r>
          </w:p>
        </w:tc>
        <w:tc>
          <w:tcPr>
            <w:tcW w:w="797" w:type="pct"/>
            <w:vAlign w:val="center"/>
          </w:tcPr>
          <w:p w:rsidR="00EE56C0" w:rsidRDefault="000F36A1">
            <w:pPr>
              <w:pStyle w:val="afa"/>
            </w:pPr>
            <w:r>
              <w:rPr>
                <w:rFonts w:hint="eastAsia"/>
              </w:rPr>
              <w:t>2020.11</w:t>
            </w:r>
          </w:p>
        </w:tc>
        <w:tc>
          <w:tcPr>
            <w:tcW w:w="522" w:type="pct"/>
            <w:vAlign w:val="center"/>
          </w:tcPr>
          <w:p w:rsidR="00EE56C0" w:rsidRDefault="000F36A1">
            <w:pPr>
              <w:pStyle w:val="afa"/>
              <w:rPr>
                <w:rFonts w:ascii="宋体" w:hAnsi="宋体" w:cs="宋体"/>
              </w:rPr>
            </w:pPr>
            <w:r>
              <w:rPr>
                <w:rFonts w:hint="eastAsia"/>
              </w:rPr>
              <w:t>30.90</w:t>
            </w:r>
          </w:p>
        </w:tc>
        <w:tc>
          <w:tcPr>
            <w:tcW w:w="611" w:type="pct"/>
            <w:vAlign w:val="center"/>
          </w:tcPr>
          <w:p w:rsidR="00EE56C0" w:rsidRDefault="000F36A1">
            <w:pPr>
              <w:pStyle w:val="afa"/>
              <w:rPr>
                <w:rFonts w:ascii="宋体" w:hAnsi="宋体" w:cs="宋体"/>
              </w:rPr>
            </w:pPr>
            <w:r>
              <w:rPr>
                <w:rFonts w:hint="eastAsia"/>
              </w:rPr>
              <w:t>0.44</w:t>
            </w:r>
          </w:p>
        </w:tc>
        <w:tc>
          <w:tcPr>
            <w:tcW w:w="631" w:type="pct"/>
            <w:vAlign w:val="center"/>
          </w:tcPr>
          <w:p w:rsidR="00EE56C0" w:rsidRDefault="000F36A1">
            <w:pPr>
              <w:pStyle w:val="afa"/>
              <w:rPr>
                <w:rFonts w:ascii="宋体" w:hAnsi="宋体" w:cs="宋体"/>
              </w:rPr>
            </w:pPr>
            <w:r>
              <w:rPr>
                <w:rFonts w:hint="eastAsia"/>
              </w:rPr>
              <w:t>0.035</w:t>
            </w:r>
          </w:p>
        </w:tc>
        <w:tc>
          <w:tcPr>
            <w:tcW w:w="585" w:type="pct"/>
            <w:vAlign w:val="center"/>
          </w:tcPr>
          <w:p w:rsidR="00EE56C0" w:rsidRDefault="000F36A1">
            <w:pPr>
              <w:pStyle w:val="afa"/>
              <w:rPr>
                <w:rFonts w:ascii="宋体" w:eastAsia="宋体" w:hAnsi="宋体" w:cs="宋体"/>
                <w:sz w:val="24"/>
                <w:szCs w:val="24"/>
              </w:rPr>
            </w:pPr>
            <w:r>
              <w:rPr>
                <w:rFonts w:hint="eastAsia"/>
              </w:rPr>
              <w:t xml:space="preserve">1.03 </w:t>
            </w:r>
          </w:p>
        </w:tc>
        <w:tc>
          <w:tcPr>
            <w:tcW w:w="643" w:type="pct"/>
            <w:vAlign w:val="center"/>
          </w:tcPr>
          <w:p w:rsidR="00EE56C0" w:rsidRDefault="000F36A1">
            <w:pPr>
              <w:pStyle w:val="afa"/>
              <w:rPr>
                <w:rFonts w:ascii="宋体" w:eastAsia="宋体" w:hAnsi="宋体" w:cs="宋体"/>
                <w:sz w:val="24"/>
                <w:szCs w:val="24"/>
              </w:rPr>
            </w:pPr>
            <w:r>
              <w:rPr>
                <w:rFonts w:hint="eastAsia"/>
              </w:rPr>
              <w:t xml:space="preserve">0.29 </w:t>
            </w:r>
          </w:p>
        </w:tc>
        <w:tc>
          <w:tcPr>
            <w:tcW w:w="531" w:type="pct"/>
            <w:vAlign w:val="center"/>
          </w:tcPr>
          <w:p w:rsidR="00EE56C0" w:rsidRDefault="000F36A1">
            <w:pPr>
              <w:pStyle w:val="afa"/>
              <w:rPr>
                <w:rFonts w:ascii="宋体" w:eastAsia="宋体" w:hAnsi="宋体" w:cs="宋体"/>
                <w:sz w:val="24"/>
                <w:szCs w:val="24"/>
              </w:rPr>
            </w:pPr>
            <w:r>
              <w:rPr>
                <w:rFonts w:hint="eastAsia"/>
              </w:rPr>
              <w:t xml:space="preserve">0.12 </w:t>
            </w:r>
          </w:p>
        </w:tc>
      </w:tr>
      <w:tr w:rsidR="00EE56C0">
        <w:trPr>
          <w:trHeight w:val="425"/>
        </w:trPr>
        <w:tc>
          <w:tcPr>
            <w:tcW w:w="680" w:type="pct"/>
            <w:vMerge/>
            <w:vAlign w:val="center"/>
          </w:tcPr>
          <w:p w:rsidR="00EE56C0" w:rsidRDefault="00EE56C0">
            <w:pPr>
              <w:pStyle w:val="afa"/>
            </w:pPr>
          </w:p>
        </w:tc>
        <w:tc>
          <w:tcPr>
            <w:tcW w:w="797" w:type="pct"/>
            <w:vAlign w:val="center"/>
          </w:tcPr>
          <w:p w:rsidR="00EE56C0" w:rsidRDefault="000F36A1">
            <w:pPr>
              <w:pStyle w:val="afa"/>
            </w:pPr>
            <w:r>
              <w:rPr>
                <w:rFonts w:hint="eastAsia"/>
              </w:rPr>
              <w:t>2020.12</w:t>
            </w:r>
          </w:p>
        </w:tc>
        <w:tc>
          <w:tcPr>
            <w:tcW w:w="522" w:type="pct"/>
            <w:vAlign w:val="center"/>
          </w:tcPr>
          <w:p w:rsidR="00EE56C0" w:rsidRDefault="000F36A1">
            <w:pPr>
              <w:pStyle w:val="afa"/>
              <w:rPr>
                <w:rFonts w:ascii="宋体" w:hAnsi="宋体" w:cs="宋体"/>
              </w:rPr>
            </w:pPr>
            <w:r>
              <w:rPr>
                <w:rFonts w:hint="eastAsia"/>
              </w:rPr>
              <w:t>34.50</w:t>
            </w:r>
          </w:p>
        </w:tc>
        <w:tc>
          <w:tcPr>
            <w:tcW w:w="611" w:type="pct"/>
            <w:vAlign w:val="center"/>
          </w:tcPr>
          <w:p w:rsidR="00EE56C0" w:rsidRDefault="000F36A1">
            <w:pPr>
              <w:pStyle w:val="afa"/>
              <w:rPr>
                <w:rFonts w:ascii="宋体" w:hAnsi="宋体" w:cs="宋体"/>
              </w:rPr>
            </w:pPr>
            <w:r>
              <w:rPr>
                <w:rFonts w:hint="eastAsia"/>
              </w:rPr>
              <w:t>0.55</w:t>
            </w:r>
          </w:p>
        </w:tc>
        <w:tc>
          <w:tcPr>
            <w:tcW w:w="631" w:type="pct"/>
            <w:vAlign w:val="center"/>
          </w:tcPr>
          <w:p w:rsidR="00EE56C0" w:rsidRDefault="000F36A1">
            <w:pPr>
              <w:pStyle w:val="afa"/>
              <w:rPr>
                <w:rFonts w:ascii="宋体" w:hAnsi="宋体" w:cs="宋体"/>
              </w:rPr>
            </w:pPr>
            <w:r>
              <w:rPr>
                <w:rFonts w:hint="eastAsia"/>
              </w:rPr>
              <w:t>0.226</w:t>
            </w:r>
          </w:p>
        </w:tc>
        <w:tc>
          <w:tcPr>
            <w:tcW w:w="585" w:type="pct"/>
            <w:vAlign w:val="center"/>
          </w:tcPr>
          <w:p w:rsidR="00EE56C0" w:rsidRDefault="000F36A1">
            <w:pPr>
              <w:pStyle w:val="afa"/>
              <w:rPr>
                <w:rFonts w:ascii="宋体" w:eastAsia="宋体" w:hAnsi="宋体" w:cs="宋体"/>
                <w:sz w:val="24"/>
                <w:szCs w:val="24"/>
              </w:rPr>
            </w:pPr>
            <w:r>
              <w:rPr>
                <w:rFonts w:hint="eastAsia"/>
              </w:rPr>
              <w:t xml:space="preserve">1.15 </w:t>
            </w:r>
          </w:p>
        </w:tc>
        <w:tc>
          <w:tcPr>
            <w:tcW w:w="643" w:type="pct"/>
            <w:vAlign w:val="center"/>
          </w:tcPr>
          <w:p w:rsidR="00EE56C0" w:rsidRDefault="000F36A1">
            <w:pPr>
              <w:pStyle w:val="afa"/>
              <w:rPr>
                <w:rFonts w:ascii="宋体" w:eastAsia="宋体" w:hAnsi="宋体" w:cs="宋体"/>
                <w:sz w:val="24"/>
                <w:szCs w:val="24"/>
              </w:rPr>
            </w:pPr>
            <w:r>
              <w:rPr>
                <w:rFonts w:hint="eastAsia"/>
              </w:rPr>
              <w:t xml:space="preserve">0.37 </w:t>
            </w:r>
          </w:p>
        </w:tc>
        <w:tc>
          <w:tcPr>
            <w:tcW w:w="531" w:type="pct"/>
            <w:vAlign w:val="center"/>
          </w:tcPr>
          <w:p w:rsidR="00EE56C0" w:rsidRDefault="000F36A1">
            <w:pPr>
              <w:pStyle w:val="afa"/>
              <w:rPr>
                <w:rFonts w:ascii="宋体" w:eastAsia="宋体" w:hAnsi="宋体" w:cs="宋体"/>
                <w:sz w:val="24"/>
                <w:szCs w:val="24"/>
              </w:rPr>
            </w:pPr>
            <w:r>
              <w:rPr>
                <w:rFonts w:hint="eastAsia"/>
              </w:rPr>
              <w:t xml:space="preserve">0.75 </w:t>
            </w:r>
          </w:p>
        </w:tc>
      </w:tr>
      <w:tr w:rsidR="00EE56C0">
        <w:trPr>
          <w:trHeight w:val="425"/>
        </w:trPr>
        <w:tc>
          <w:tcPr>
            <w:tcW w:w="680" w:type="pct"/>
            <w:vMerge/>
            <w:vAlign w:val="center"/>
          </w:tcPr>
          <w:p w:rsidR="00EE56C0" w:rsidRDefault="00EE56C0">
            <w:pPr>
              <w:pStyle w:val="afa"/>
            </w:pPr>
          </w:p>
        </w:tc>
        <w:tc>
          <w:tcPr>
            <w:tcW w:w="797" w:type="pct"/>
            <w:vAlign w:val="center"/>
          </w:tcPr>
          <w:p w:rsidR="00EE56C0" w:rsidRDefault="000F36A1">
            <w:pPr>
              <w:pStyle w:val="afa"/>
            </w:pPr>
            <w:r>
              <w:rPr>
                <w:rFonts w:hint="eastAsia"/>
              </w:rPr>
              <w:t>2021.01</w:t>
            </w:r>
          </w:p>
        </w:tc>
        <w:tc>
          <w:tcPr>
            <w:tcW w:w="522" w:type="pct"/>
            <w:vAlign w:val="center"/>
          </w:tcPr>
          <w:p w:rsidR="00EE56C0" w:rsidRDefault="000F36A1">
            <w:pPr>
              <w:pStyle w:val="afa"/>
            </w:pPr>
            <w:r>
              <w:rPr>
                <w:rFonts w:hint="eastAsia"/>
              </w:rPr>
              <w:t>31.93</w:t>
            </w:r>
          </w:p>
        </w:tc>
        <w:tc>
          <w:tcPr>
            <w:tcW w:w="611" w:type="pct"/>
            <w:vAlign w:val="center"/>
          </w:tcPr>
          <w:p w:rsidR="00EE56C0" w:rsidRDefault="000F36A1">
            <w:pPr>
              <w:pStyle w:val="afa"/>
            </w:pPr>
            <w:r>
              <w:rPr>
                <w:rFonts w:hint="eastAsia"/>
              </w:rPr>
              <w:t>0.61</w:t>
            </w:r>
          </w:p>
        </w:tc>
        <w:tc>
          <w:tcPr>
            <w:tcW w:w="631" w:type="pct"/>
            <w:vAlign w:val="center"/>
          </w:tcPr>
          <w:p w:rsidR="00EE56C0" w:rsidRDefault="000F36A1">
            <w:pPr>
              <w:pStyle w:val="afa"/>
            </w:pPr>
            <w:r>
              <w:rPr>
                <w:rFonts w:hint="eastAsia"/>
              </w:rPr>
              <w:t>0.033</w:t>
            </w:r>
          </w:p>
        </w:tc>
        <w:tc>
          <w:tcPr>
            <w:tcW w:w="585" w:type="pct"/>
            <w:vAlign w:val="center"/>
          </w:tcPr>
          <w:p w:rsidR="00EE56C0" w:rsidRDefault="000F36A1">
            <w:pPr>
              <w:pStyle w:val="afa"/>
              <w:rPr>
                <w:rFonts w:ascii="宋体" w:eastAsia="宋体" w:hAnsi="宋体" w:cs="宋体"/>
                <w:sz w:val="24"/>
                <w:szCs w:val="24"/>
              </w:rPr>
            </w:pPr>
            <w:r>
              <w:rPr>
                <w:rFonts w:hint="eastAsia"/>
              </w:rPr>
              <w:t xml:space="preserve">1.06 </w:t>
            </w:r>
          </w:p>
        </w:tc>
        <w:tc>
          <w:tcPr>
            <w:tcW w:w="643" w:type="pct"/>
            <w:vAlign w:val="center"/>
          </w:tcPr>
          <w:p w:rsidR="00EE56C0" w:rsidRDefault="000F36A1">
            <w:pPr>
              <w:pStyle w:val="afa"/>
              <w:rPr>
                <w:rFonts w:ascii="宋体" w:eastAsia="宋体" w:hAnsi="宋体" w:cs="宋体"/>
                <w:sz w:val="24"/>
                <w:szCs w:val="24"/>
              </w:rPr>
            </w:pPr>
            <w:r>
              <w:rPr>
                <w:rFonts w:hint="eastAsia"/>
              </w:rPr>
              <w:t xml:space="preserve">0.41 </w:t>
            </w:r>
          </w:p>
        </w:tc>
        <w:tc>
          <w:tcPr>
            <w:tcW w:w="531" w:type="pct"/>
            <w:vAlign w:val="center"/>
          </w:tcPr>
          <w:p w:rsidR="00EE56C0" w:rsidRDefault="000F36A1">
            <w:pPr>
              <w:pStyle w:val="afa"/>
              <w:rPr>
                <w:rFonts w:ascii="宋体" w:eastAsia="宋体" w:hAnsi="宋体" w:cs="宋体"/>
                <w:sz w:val="24"/>
                <w:szCs w:val="24"/>
              </w:rPr>
            </w:pPr>
            <w:r>
              <w:rPr>
                <w:rFonts w:hint="eastAsia"/>
              </w:rPr>
              <w:t xml:space="preserve">0.11 </w:t>
            </w:r>
          </w:p>
        </w:tc>
      </w:tr>
      <w:tr w:rsidR="00EE56C0">
        <w:trPr>
          <w:trHeight w:val="425"/>
        </w:trPr>
        <w:tc>
          <w:tcPr>
            <w:tcW w:w="680" w:type="pct"/>
            <w:vMerge/>
            <w:vAlign w:val="center"/>
          </w:tcPr>
          <w:p w:rsidR="00EE56C0" w:rsidRDefault="00EE56C0">
            <w:pPr>
              <w:pStyle w:val="afa"/>
            </w:pPr>
          </w:p>
        </w:tc>
        <w:tc>
          <w:tcPr>
            <w:tcW w:w="797" w:type="pct"/>
            <w:vAlign w:val="center"/>
          </w:tcPr>
          <w:p w:rsidR="00EE56C0" w:rsidRDefault="000F36A1">
            <w:pPr>
              <w:pStyle w:val="afa"/>
            </w:pPr>
            <w:r>
              <w:rPr>
                <w:rFonts w:hint="eastAsia"/>
              </w:rPr>
              <w:t>2021.02</w:t>
            </w:r>
          </w:p>
        </w:tc>
        <w:tc>
          <w:tcPr>
            <w:tcW w:w="522" w:type="pct"/>
            <w:vAlign w:val="center"/>
          </w:tcPr>
          <w:p w:rsidR="00EE56C0" w:rsidRDefault="000F36A1">
            <w:pPr>
              <w:pStyle w:val="afa"/>
            </w:pPr>
            <w:r>
              <w:rPr>
                <w:rFonts w:hint="eastAsia"/>
              </w:rPr>
              <w:t>32.85</w:t>
            </w:r>
          </w:p>
        </w:tc>
        <w:tc>
          <w:tcPr>
            <w:tcW w:w="611" w:type="pct"/>
            <w:vAlign w:val="center"/>
          </w:tcPr>
          <w:p w:rsidR="00EE56C0" w:rsidRDefault="000F36A1">
            <w:pPr>
              <w:pStyle w:val="afa"/>
            </w:pPr>
            <w:r>
              <w:rPr>
                <w:rFonts w:hint="eastAsia"/>
              </w:rPr>
              <w:t>0.59</w:t>
            </w:r>
          </w:p>
        </w:tc>
        <w:tc>
          <w:tcPr>
            <w:tcW w:w="631" w:type="pct"/>
            <w:vAlign w:val="center"/>
          </w:tcPr>
          <w:p w:rsidR="00EE56C0" w:rsidRDefault="000F36A1">
            <w:pPr>
              <w:pStyle w:val="afa"/>
            </w:pPr>
            <w:r>
              <w:rPr>
                <w:rFonts w:hint="eastAsia"/>
              </w:rPr>
              <w:t>0.04</w:t>
            </w:r>
          </w:p>
        </w:tc>
        <w:tc>
          <w:tcPr>
            <w:tcW w:w="585" w:type="pct"/>
            <w:vAlign w:val="center"/>
          </w:tcPr>
          <w:p w:rsidR="00EE56C0" w:rsidRDefault="000F36A1">
            <w:pPr>
              <w:pStyle w:val="afa"/>
              <w:rPr>
                <w:rFonts w:ascii="宋体" w:eastAsia="宋体" w:hAnsi="宋体" w:cs="宋体"/>
                <w:sz w:val="24"/>
                <w:szCs w:val="24"/>
              </w:rPr>
            </w:pPr>
            <w:r>
              <w:rPr>
                <w:rFonts w:hint="eastAsia"/>
              </w:rPr>
              <w:t xml:space="preserve">1.10 </w:t>
            </w:r>
          </w:p>
        </w:tc>
        <w:tc>
          <w:tcPr>
            <w:tcW w:w="643" w:type="pct"/>
            <w:vAlign w:val="center"/>
          </w:tcPr>
          <w:p w:rsidR="00EE56C0" w:rsidRDefault="000F36A1">
            <w:pPr>
              <w:pStyle w:val="afa"/>
              <w:rPr>
                <w:rFonts w:ascii="宋体" w:eastAsia="宋体" w:hAnsi="宋体" w:cs="宋体"/>
                <w:sz w:val="24"/>
                <w:szCs w:val="24"/>
              </w:rPr>
            </w:pPr>
            <w:r>
              <w:rPr>
                <w:rFonts w:hint="eastAsia"/>
              </w:rPr>
              <w:t xml:space="preserve">0.39 </w:t>
            </w:r>
          </w:p>
        </w:tc>
        <w:tc>
          <w:tcPr>
            <w:tcW w:w="531" w:type="pct"/>
            <w:vAlign w:val="center"/>
          </w:tcPr>
          <w:p w:rsidR="00EE56C0" w:rsidRDefault="000F36A1">
            <w:pPr>
              <w:pStyle w:val="afa"/>
              <w:rPr>
                <w:rFonts w:ascii="宋体" w:eastAsia="宋体" w:hAnsi="宋体" w:cs="宋体"/>
                <w:sz w:val="24"/>
                <w:szCs w:val="24"/>
              </w:rPr>
            </w:pPr>
            <w:r>
              <w:rPr>
                <w:rFonts w:hint="eastAsia"/>
              </w:rPr>
              <w:t xml:space="preserve">0.13 </w:t>
            </w:r>
          </w:p>
        </w:tc>
      </w:tr>
      <w:tr w:rsidR="00EE56C0">
        <w:trPr>
          <w:trHeight w:val="425"/>
        </w:trPr>
        <w:tc>
          <w:tcPr>
            <w:tcW w:w="680" w:type="pct"/>
            <w:vMerge/>
            <w:vAlign w:val="center"/>
          </w:tcPr>
          <w:p w:rsidR="00EE56C0" w:rsidRDefault="00EE56C0">
            <w:pPr>
              <w:pStyle w:val="afa"/>
            </w:pPr>
          </w:p>
        </w:tc>
        <w:tc>
          <w:tcPr>
            <w:tcW w:w="797" w:type="pct"/>
            <w:vAlign w:val="center"/>
          </w:tcPr>
          <w:p w:rsidR="00EE56C0" w:rsidRDefault="000F36A1">
            <w:pPr>
              <w:pStyle w:val="afa"/>
            </w:pPr>
            <w:r>
              <w:rPr>
                <w:rFonts w:hint="eastAsia"/>
              </w:rPr>
              <w:t>2021.03</w:t>
            </w:r>
          </w:p>
        </w:tc>
        <w:tc>
          <w:tcPr>
            <w:tcW w:w="522" w:type="pct"/>
            <w:vAlign w:val="center"/>
          </w:tcPr>
          <w:p w:rsidR="00EE56C0" w:rsidRDefault="000F36A1">
            <w:pPr>
              <w:pStyle w:val="afa"/>
            </w:pPr>
            <w:r>
              <w:rPr>
                <w:rFonts w:hint="eastAsia"/>
              </w:rPr>
              <w:t>39.38</w:t>
            </w:r>
          </w:p>
        </w:tc>
        <w:tc>
          <w:tcPr>
            <w:tcW w:w="611" w:type="pct"/>
            <w:vAlign w:val="center"/>
          </w:tcPr>
          <w:p w:rsidR="00EE56C0" w:rsidRDefault="000F36A1">
            <w:pPr>
              <w:pStyle w:val="afa"/>
            </w:pPr>
            <w:r>
              <w:rPr>
                <w:rFonts w:hint="eastAsia"/>
              </w:rPr>
              <w:t>0.29</w:t>
            </w:r>
          </w:p>
        </w:tc>
        <w:tc>
          <w:tcPr>
            <w:tcW w:w="631" w:type="pct"/>
            <w:vAlign w:val="center"/>
          </w:tcPr>
          <w:p w:rsidR="00EE56C0" w:rsidRDefault="000F36A1">
            <w:pPr>
              <w:pStyle w:val="afa"/>
            </w:pPr>
            <w:r>
              <w:rPr>
                <w:rFonts w:hint="eastAsia"/>
              </w:rPr>
              <w:t>0.055</w:t>
            </w:r>
          </w:p>
        </w:tc>
        <w:tc>
          <w:tcPr>
            <w:tcW w:w="585" w:type="pct"/>
            <w:vAlign w:val="center"/>
          </w:tcPr>
          <w:p w:rsidR="00EE56C0" w:rsidRDefault="000F36A1">
            <w:pPr>
              <w:pStyle w:val="afa"/>
              <w:rPr>
                <w:rFonts w:ascii="宋体" w:eastAsia="宋体" w:hAnsi="宋体" w:cs="宋体"/>
                <w:sz w:val="24"/>
                <w:szCs w:val="24"/>
              </w:rPr>
            </w:pPr>
            <w:r>
              <w:rPr>
                <w:rFonts w:hint="eastAsia"/>
              </w:rPr>
              <w:t xml:space="preserve">1.31 </w:t>
            </w:r>
          </w:p>
        </w:tc>
        <w:tc>
          <w:tcPr>
            <w:tcW w:w="643" w:type="pct"/>
            <w:vAlign w:val="center"/>
          </w:tcPr>
          <w:p w:rsidR="00EE56C0" w:rsidRDefault="000F36A1">
            <w:pPr>
              <w:pStyle w:val="afa"/>
              <w:rPr>
                <w:rFonts w:ascii="宋体" w:eastAsia="宋体" w:hAnsi="宋体" w:cs="宋体"/>
                <w:sz w:val="24"/>
                <w:szCs w:val="24"/>
              </w:rPr>
            </w:pPr>
            <w:r>
              <w:rPr>
                <w:rFonts w:hint="eastAsia"/>
              </w:rPr>
              <w:t xml:space="preserve">0.19 </w:t>
            </w:r>
          </w:p>
        </w:tc>
        <w:tc>
          <w:tcPr>
            <w:tcW w:w="531" w:type="pct"/>
            <w:vAlign w:val="center"/>
          </w:tcPr>
          <w:p w:rsidR="00EE56C0" w:rsidRDefault="000F36A1">
            <w:pPr>
              <w:pStyle w:val="afa"/>
              <w:rPr>
                <w:rFonts w:ascii="宋体" w:eastAsia="宋体" w:hAnsi="宋体" w:cs="宋体"/>
                <w:sz w:val="24"/>
                <w:szCs w:val="24"/>
              </w:rPr>
            </w:pPr>
            <w:r>
              <w:rPr>
                <w:rFonts w:hint="eastAsia"/>
              </w:rPr>
              <w:t xml:space="preserve">0.18 </w:t>
            </w:r>
          </w:p>
        </w:tc>
      </w:tr>
      <w:tr w:rsidR="00EE56C0">
        <w:trPr>
          <w:trHeight w:val="425"/>
        </w:trPr>
        <w:tc>
          <w:tcPr>
            <w:tcW w:w="680" w:type="pct"/>
            <w:vMerge/>
            <w:vAlign w:val="center"/>
          </w:tcPr>
          <w:p w:rsidR="00EE56C0" w:rsidRDefault="00EE56C0">
            <w:pPr>
              <w:pStyle w:val="afa"/>
            </w:pPr>
          </w:p>
        </w:tc>
        <w:tc>
          <w:tcPr>
            <w:tcW w:w="797" w:type="pct"/>
            <w:vAlign w:val="center"/>
          </w:tcPr>
          <w:p w:rsidR="00EE56C0" w:rsidRDefault="000F36A1">
            <w:pPr>
              <w:pStyle w:val="afa"/>
            </w:pPr>
            <w:r>
              <w:rPr>
                <w:rFonts w:hint="eastAsia"/>
              </w:rPr>
              <w:t>2021.04</w:t>
            </w:r>
          </w:p>
        </w:tc>
        <w:tc>
          <w:tcPr>
            <w:tcW w:w="522" w:type="pct"/>
            <w:vAlign w:val="center"/>
          </w:tcPr>
          <w:p w:rsidR="00EE56C0" w:rsidRDefault="000F36A1">
            <w:pPr>
              <w:pStyle w:val="afa"/>
            </w:pPr>
            <w:r>
              <w:rPr>
                <w:rFonts w:hint="eastAsia"/>
              </w:rPr>
              <w:t>34.88</w:t>
            </w:r>
          </w:p>
        </w:tc>
        <w:tc>
          <w:tcPr>
            <w:tcW w:w="611" w:type="pct"/>
            <w:vAlign w:val="center"/>
          </w:tcPr>
          <w:p w:rsidR="00EE56C0" w:rsidRDefault="000F36A1">
            <w:pPr>
              <w:pStyle w:val="afa"/>
            </w:pPr>
            <w:r>
              <w:rPr>
                <w:rFonts w:hint="eastAsia"/>
              </w:rPr>
              <w:t>0.54</w:t>
            </w:r>
          </w:p>
        </w:tc>
        <w:tc>
          <w:tcPr>
            <w:tcW w:w="631" w:type="pct"/>
            <w:vAlign w:val="center"/>
          </w:tcPr>
          <w:p w:rsidR="00EE56C0" w:rsidRDefault="000F36A1">
            <w:pPr>
              <w:pStyle w:val="afa"/>
            </w:pPr>
            <w:r>
              <w:rPr>
                <w:rFonts w:hint="eastAsia"/>
              </w:rPr>
              <w:t>0.099</w:t>
            </w:r>
          </w:p>
        </w:tc>
        <w:tc>
          <w:tcPr>
            <w:tcW w:w="585" w:type="pct"/>
            <w:vAlign w:val="center"/>
          </w:tcPr>
          <w:p w:rsidR="00EE56C0" w:rsidRDefault="000F36A1">
            <w:pPr>
              <w:pStyle w:val="afa"/>
              <w:rPr>
                <w:rFonts w:ascii="宋体" w:eastAsia="宋体" w:hAnsi="宋体" w:cs="宋体"/>
                <w:sz w:val="24"/>
                <w:szCs w:val="24"/>
              </w:rPr>
            </w:pPr>
            <w:r>
              <w:rPr>
                <w:rFonts w:hint="eastAsia"/>
              </w:rPr>
              <w:t xml:space="preserve">1.16 </w:t>
            </w:r>
          </w:p>
        </w:tc>
        <w:tc>
          <w:tcPr>
            <w:tcW w:w="643" w:type="pct"/>
            <w:vAlign w:val="center"/>
          </w:tcPr>
          <w:p w:rsidR="00EE56C0" w:rsidRDefault="000F36A1">
            <w:pPr>
              <w:pStyle w:val="afa"/>
              <w:rPr>
                <w:rFonts w:ascii="宋体" w:eastAsia="宋体" w:hAnsi="宋体" w:cs="宋体"/>
                <w:sz w:val="24"/>
                <w:szCs w:val="24"/>
              </w:rPr>
            </w:pPr>
            <w:r>
              <w:rPr>
                <w:rFonts w:hint="eastAsia"/>
              </w:rPr>
              <w:t xml:space="preserve">0.36 </w:t>
            </w:r>
          </w:p>
        </w:tc>
        <w:tc>
          <w:tcPr>
            <w:tcW w:w="531" w:type="pct"/>
            <w:vAlign w:val="center"/>
          </w:tcPr>
          <w:p w:rsidR="00EE56C0" w:rsidRDefault="000F36A1">
            <w:pPr>
              <w:pStyle w:val="afa"/>
              <w:rPr>
                <w:rFonts w:ascii="宋体" w:eastAsia="宋体" w:hAnsi="宋体" w:cs="宋体"/>
                <w:sz w:val="24"/>
                <w:szCs w:val="24"/>
              </w:rPr>
            </w:pPr>
            <w:r>
              <w:rPr>
                <w:rFonts w:hint="eastAsia"/>
              </w:rPr>
              <w:t xml:space="preserve">0.33 </w:t>
            </w:r>
          </w:p>
        </w:tc>
      </w:tr>
      <w:tr w:rsidR="00EE56C0">
        <w:trPr>
          <w:trHeight w:val="425"/>
        </w:trPr>
        <w:tc>
          <w:tcPr>
            <w:tcW w:w="680" w:type="pct"/>
            <w:vMerge/>
            <w:vAlign w:val="center"/>
          </w:tcPr>
          <w:p w:rsidR="00EE56C0" w:rsidRDefault="00EE56C0">
            <w:pPr>
              <w:pStyle w:val="afa"/>
            </w:pPr>
          </w:p>
        </w:tc>
        <w:tc>
          <w:tcPr>
            <w:tcW w:w="797" w:type="pct"/>
            <w:vAlign w:val="center"/>
          </w:tcPr>
          <w:p w:rsidR="00EE56C0" w:rsidRDefault="000F36A1">
            <w:pPr>
              <w:pStyle w:val="afa"/>
            </w:pPr>
            <w:r>
              <w:rPr>
                <w:rFonts w:hint="eastAsia"/>
              </w:rPr>
              <w:t>2021.05</w:t>
            </w:r>
          </w:p>
        </w:tc>
        <w:tc>
          <w:tcPr>
            <w:tcW w:w="522" w:type="pct"/>
            <w:vAlign w:val="center"/>
          </w:tcPr>
          <w:p w:rsidR="00EE56C0" w:rsidRDefault="000F36A1">
            <w:pPr>
              <w:pStyle w:val="afa"/>
            </w:pPr>
            <w:r>
              <w:rPr>
                <w:rFonts w:hint="eastAsia"/>
              </w:rPr>
              <w:t>39.9</w:t>
            </w:r>
          </w:p>
        </w:tc>
        <w:tc>
          <w:tcPr>
            <w:tcW w:w="611" w:type="pct"/>
            <w:vAlign w:val="center"/>
          </w:tcPr>
          <w:p w:rsidR="00EE56C0" w:rsidRDefault="000F36A1">
            <w:pPr>
              <w:pStyle w:val="afa"/>
            </w:pPr>
            <w:r>
              <w:rPr>
                <w:rFonts w:hint="eastAsia"/>
              </w:rPr>
              <w:t>0.76</w:t>
            </w:r>
          </w:p>
        </w:tc>
        <w:tc>
          <w:tcPr>
            <w:tcW w:w="631" w:type="pct"/>
            <w:vAlign w:val="center"/>
          </w:tcPr>
          <w:p w:rsidR="00EE56C0" w:rsidRDefault="000F36A1">
            <w:pPr>
              <w:pStyle w:val="afa"/>
            </w:pPr>
            <w:r>
              <w:rPr>
                <w:rFonts w:hint="eastAsia"/>
              </w:rPr>
              <w:t>0.138</w:t>
            </w:r>
          </w:p>
        </w:tc>
        <w:tc>
          <w:tcPr>
            <w:tcW w:w="585" w:type="pct"/>
            <w:vAlign w:val="center"/>
          </w:tcPr>
          <w:p w:rsidR="00EE56C0" w:rsidRDefault="000F36A1">
            <w:pPr>
              <w:pStyle w:val="afa"/>
              <w:rPr>
                <w:rFonts w:ascii="宋体" w:eastAsia="宋体" w:hAnsi="宋体" w:cs="宋体"/>
                <w:sz w:val="24"/>
                <w:szCs w:val="24"/>
              </w:rPr>
            </w:pPr>
            <w:r>
              <w:rPr>
                <w:rFonts w:hint="eastAsia"/>
              </w:rPr>
              <w:t xml:space="preserve">1.33 </w:t>
            </w:r>
          </w:p>
        </w:tc>
        <w:tc>
          <w:tcPr>
            <w:tcW w:w="643" w:type="pct"/>
            <w:vAlign w:val="center"/>
          </w:tcPr>
          <w:p w:rsidR="00EE56C0" w:rsidRDefault="000F36A1">
            <w:pPr>
              <w:pStyle w:val="afa"/>
              <w:rPr>
                <w:rFonts w:ascii="宋体" w:eastAsia="宋体" w:hAnsi="宋体" w:cs="宋体"/>
                <w:sz w:val="24"/>
                <w:szCs w:val="24"/>
              </w:rPr>
            </w:pPr>
            <w:r>
              <w:rPr>
                <w:rFonts w:hint="eastAsia"/>
              </w:rPr>
              <w:t xml:space="preserve">0.51 </w:t>
            </w:r>
          </w:p>
        </w:tc>
        <w:tc>
          <w:tcPr>
            <w:tcW w:w="531" w:type="pct"/>
            <w:vAlign w:val="center"/>
          </w:tcPr>
          <w:p w:rsidR="00EE56C0" w:rsidRDefault="000F36A1">
            <w:pPr>
              <w:pStyle w:val="afa"/>
              <w:rPr>
                <w:rFonts w:ascii="宋体" w:eastAsia="宋体" w:hAnsi="宋体" w:cs="宋体"/>
                <w:sz w:val="24"/>
                <w:szCs w:val="24"/>
              </w:rPr>
            </w:pPr>
            <w:r>
              <w:rPr>
                <w:rFonts w:hint="eastAsia"/>
              </w:rPr>
              <w:t xml:space="preserve">0.46 </w:t>
            </w:r>
          </w:p>
        </w:tc>
      </w:tr>
      <w:tr w:rsidR="00EE56C0">
        <w:trPr>
          <w:trHeight w:val="425"/>
        </w:trPr>
        <w:tc>
          <w:tcPr>
            <w:tcW w:w="680" w:type="pct"/>
            <w:vMerge/>
            <w:vAlign w:val="center"/>
          </w:tcPr>
          <w:p w:rsidR="00EE56C0" w:rsidRDefault="00EE56C0">
            <w:pPr>
              <w:pStyle w:val="afa"/>
            </w:pPr>
          </w:p>
        </w:tc>
        <w:tc>
          <w:tcPr>
            <w:tcW w:w="797" w:type="pct"/>
            <w:vAlign w:val="center"/>
          </w:tcPr>
          <w:p w:rsidR="00EE56C0" w:rsidRDefault="000F36A1">
            <w:pPr>
              <w:pStyle w:val="afa"/>
            </w:pPr>
            <w:r>
              <w:rPr>
                <w:rFonts w:hint="eastAsia"/>
              </w:rPr>
              <w:t>2021.06</w:t>
            </w:r>
          </w:p>
        </w:tc>
        <w:tc>
          <w:tcPr>
            <w:tcW w:w="522" w:type="pct"/>
            <w:vAlign w:val="center"/>
          </w:tcPr>
          <w:p w:rsidR="00EE56C0" w:rsidRDefault="000F36A1">
            <w:pPr>
              <w:pStyle w:val="afa"/>
            </w:pPr>
            <w:r>
              <w:rPr>
                <w:rFonts w:hint="eastAsia"/>
              </w:rPr>
              <w:t>35.9</w:t>
            </w:r>
          </w:p>
        </w:tc>
        <w:tc>
          <w:tcPr>
            <w:tcW w:w="611" w:type="pct"/>
            <w:vAlign w:val="center"/>
          </w:tcPr>
          <w:p w:rsidR="00EE56C0" w:rsidRDefault="000F36A1">
            <w:pPr>
              <w:pStyle w:val="afa"/>
            </w:pPr>
            <w:r>
              <w:rPr>
                <w:rFonts w:hint="eastAsia"/>
              </w:rPr>
              <w:t>0.56</w:t>
            </w:r>
          </w:p>
        </w:tc>
        <w:tc>
          <w:tcPr>
            <w:tcW w:w="631" w:type="pct"/>
            <w:vAlign w:val="center"/>
          </w:tcPr>
          <w:p w:rsidR="00EE56C0" w:rsidRDefault="000F36A1">
            <w:pPr>
              <w:pStyle w:val="afa"/>
            </w:pPr>
            <w:r>
              <w:rPr>
                <w:rFonts w:hint="eastAsia"/>
              </w:rPr>
              <w:t>0.108</w:t>
            </w:r>
          </w:p>
        </w:tc>
        <w:tc>
          <w:tcPr>
            <w:tcW w:w="585" w:type="pct"/>
            <w:vAlign w:val="center"/>
          </w:tcPr>
          <w:p w:rsidR="00EE56C0" w:rsidRDefault="000F36A1">
            <w:pPr>
              <w:pStyle w:val="afa"/>
              <w:rPr>
                <w:rFonts w:ascii="宋体" w:eastAsia="宋体" w:hAnsi="宋体" w:cs="宋体"/>
                <w:sz w:val="24"/>
                <w:szCs w:val="24"/>
              </w:rPr>
            </w:pPr>
            <w:r>
              <w:rPr>
                <w:rFonts w:hint="eastAsia"/>
              </w:rPr>
              <w:t xml:space="preserve">1.20 </w:t>
            </w:r>
          </w:p>
        </w:tc>
        <w:tc>
          <w:tcPr>
            <w:tcW w:w="643" w:type="pct"/>
            <w:vAlign w:val="center"/>
          </w:tcPr>
          <w:p w:rsidR="00EE56C0" w:rsidRDefault="000F36A1">
            <w:pPr>
              <w:pStyle w:val="afa"/>
              <w:rPr>
                <w:rFonts w:ascii="宋体" w:eastAsia="宋体" w:hAnsi="宋体" w:cs="宋体"/>
                <w:sz w:val="24"/>
                <w:szCs w:val="24"/>
              </w:rPr>
            </w:pPr>
            <w:r>
              <w:rPr>
                <w:rFonts w:hint="eastAsia"/>
              </w:rPr>
              <w:t xml:space="preserve">0.37 </w:t>
            </w:r>
          </w:p>
        </w:tc>
        <w:tc>
          <w:tcPr>
            <w:tcW w:w="531" w:type="pct"/>
            <w:vAlign w:val="center"/>
          </w:tcPr>
          <w:p w:rsidR="00EE56C0" w:rsidRDefault="000F36A1">
            <w:pPr>
              <w:pStyle w:val="afa"/>
              <w:rPr>
                <w:rFonts w:ascii="宋体" w:eastAsia="宋体" w:hAnsi="宋体" w:cs="宋体"/>
                <w:sz w:val="24"/>
                <w:szCs w:val="24"/>
              </w:rPr>
            </w:pPr>
            <w:r>
              <w:rPr>
                <w:rFonts w:hint="eastAsia"/>
              </w:rPr>
              <w:t xml:space="preserve">0.36 </w:t>
            </w:r>
          </w:p>
        </w:tc>
      </w:tr>
      <w:tr w:rsidR="00EE56C0">
        <w:trPr>
          <w:trHeight w:val="425"/>
        </w:trPr>
        <w:tc>
          <w:tcPr>
            <w:tcW w:w="680" w:type="pct"/>
            <w:vMerge/>
            <w:vAlign w:val="center"/>
          </w:tcPr>
          <w:p w:rsidR="00EE56C0" w:rsidRDefault="00EE56C0">
            <w:pPr>
              <w:pStyle w:val="afa"/>
            </w:pPr>
          </w:p>
        </w:tc>
        <w:tc>
          <w:tcPr>
            <w:tcW w:w="797" w:type="pct"/>
            <w:vAlign w:val="center"/>
          </w:tcPr>
          <w:p w:rsidR="00EE56C0" w:rsidRDefault="000F36A1">
            <w:pPr>
              <w:pStyle w:val="afa"/>
            </w:pPr>
            <w:r>
              <w:rPr>
                <w:rFonts w:hint="eastAsia"/>
              </w:rPr>
              <w:t>2021.07</w:t>
            </w:r>
          </w:p>
        </w:tc>
        <w:tc>
          <w:tcPr>
            <w:tcW w:w="522" w:type="pct"/>
            <w:vAlign w:val="center"/>
          </w:tcPr>
          <w:p w:rsidR="00EE56C0" w:rsidRDefault="000F36A1">
            <w:pPr>
              <w:pStyle w:val="afa"/>
            </w:pPr>
            <w:r>
              <w:rPr>
                <w:rFonts w:hint="eastAsia"/>
              </w:rPr>
              <w:t>37.8</w:t>
            </w:r>
          </w:p>
        </w:tc>
        <w:tc>
          <w:tcPr>
            <w:tcW w:w="611" w:type="pct"/>
            <w:vAlign w:val="center"/>
          </w:tcPr>
          <w:p w:rsidR="00EE56C0" w:rsidRDefault="000F36A1">
            <w:pPr>
              <w:pStyle w:val="afa"/>
            </w:pPr>
            <w:r>
              <w:rPr>
                <w:rFonts w:hint="eastAsia"/>
              </w:rPr>
              <w:t>1.44</w:t>
            </w:r>
          </w:p>
        </w:tc>
        <w:tc>
          <w:tcPr>
            <w:tcW w:w="631" w:type="pct"/>
            <w:vAlign w:val="center"/>
          </w:tcPr>
          <w:p w:rsidR="00EE56C0" w:rsidRDefault="000F36A1">
            <w:pPr>
              <w:pStyle w:val="afa"/>
            </w:pPr>
            <w:r>
              <w:rPr>
                <w:rFonts w:hint="eastAsia"/>
              </w:rPr>
              <w:t>0.253</w:t>
            </w:r>
          </w:p>
        </w:tc>
        <w:tc>
          <w:tcPr>
            <w:tcW w:w="585" w:type="pct"/>
            <w:vAlign w:val="center"/>
          </w:tcPr>
          <w:p w:rsidR="00EE56C0" w:rsidRDefault="000F36A1">
            <w:pPr>
              <w:pStyle w:val="afa"/>
              <w:rPr>
                <w:rFonts w:ascii="宋体" w:eastAsia="宋体" w:hAnsi="宋体" w:cs="宋体"/>
                <w:sz w:val="24"/>
                <w:szCs w:val="24"/>
              </w:rPr>
            </w:pPr>
            <w:r>
              <w:rPr>
                <w:rFonts w:hint="eastAsia"/>
              </w:rPr>
              <w:t xml:space="preserve">1.26 </w:t>
            </w:r>
          </w:p>
        </w:tc>
        <w:tc>
          <w:tcPr>
            <w:tcW w:w="643" w:type="pct"/>
            <w:vAlign w:val="center"/>
          </w:tcPr>
          <w:p w:rsidR="00EE56C0" w:rsidRDefault="000F36A1">
            <w:pPr>
              <w:pStyle w:val="afa"/>
              <w:rPr>
                <w:rFonts w:ascii="宋体" w:eastAsia="宋体" w:hAnsi="宋体" w:cs="宋体"/>
                <w:sz w:val="24"/>
                <w:szCs w:val="24"/>
              </w:rPr>
            </w:pPr>
            <w:r>
              <w:rPr>
                <w:rFonts w:hint="eastAsia"/>
              </w:rPr>
              <w:t xml:space="preserve">0.96 </w:t>
            </w:r>
          </w:p>
        </w:tc>
        <w:tc>
          <w:tcPr>
            <w:tcW w:w="531" w:type="pct"/>
            <w:vAlign w:val="center"/>
          </w:tcPr>
          <w:p w:rsidR="00EE56C0" w:rsidRDefault="000F36A1">
            <w:pPr>
              <w:pStyle w:val="afa"/>
              <w:rPr>
                <w:rFonts w:ascii="宋体" w:eastAsia="宋体" w:hAnsi="宋体" w:cs="宋体"/>
                <w:sz w:val="24"/>
                <w:szCs w:val="24"/>
              </w:rPr>
            </w:pPr>
            <w:r>
              <w:rPr>
                <w:rFonts w:hint="eastAsia"/>
              </w:rPr>
              <w:t xml:space="preserve">0.84 </w:t>
            </w:r>
          </w:p>
        </w:tc>
      </w:tr>
      <w:tr w:rsidR="00EE56C0">
        <w:trPr>
          <w:trHeight w:val="425"/>
        </w:trPr>
        <w:tc>
          <w:tcPr>
            <w:tcW w:w="680" w:type="pct"/>
            <w:vMerge/>
            <w:vAlign w:val="center"/>
          </w:tcPr>
          <w:p w:rsidR="00EE56C0" w:rsidRDefault="00EE56C0">
            <w:pPr>
              <w:pStyle w:val="afa"/>
            </w:pPr>
          </w:p>
        </w:tc>
        <w:tc>
          <w:tcPr>
            <w:tcW w:w="797" w:type="pct"/>
            <w:vAlign w:val="center"/>
          </w:tcPr>
          <w:p w:rsidR="00EE56C0" w:rsidRDefault="000F36A1">
            <w:pPr>
              <w:pStyle w:val="afa"/>
            </w:pPr>
            <w:r>
              <w:rPr>
                <w:rFonts w:hint="eastAsia"/>
              </w:rPr>
              <w:t>2021.08</w:t>
            </w:r>
          </w:p>
        </w:tc>
        <w:tc>
          <w:tcPr>
            <w:tcW w:w="522" w:type="pct"/>
            <w:vAlign w:val="center"/>
          </w:tcPr>
          <w:p w:rsidR="00EE56C0" w:rsidRDefault="000F36A1">
            <w:pPr>
              <w:pStyle w:val="afa"/>
            </w:pPr>
            <w:r>
              <w:rPr>
                <w:rFonts w:hint="eastAsia"/>
              </w:rPr>
              <w:t>75.1</w:t>
            </w:r>
          </w:p>
        </w:tc>
        <w:tc>
          <w:tcPr>
            <w:tcW w:w="611" w:type="pct"/>
            <w:vAlign w:val="center"/>
          </w:tcPr>
          <w:p w:rsidR="00EE56C0" w:rsidRDefault="000F36A1">
            <w:pPr>
              <w:pStyle w:val="afa"/>
            </w:pPr>
            <w:r>
              <w:rPr>
                <w:rFonts w:hint="eastAsia"/>
              </w:rPr>
              <w:t>4.28</w:t>
            </w:r>
          </w:p>
        </w:tc>
        <w:tc>
          <w:tcPr>
            <w:tcW w:w="631" w:type="pct"/>
            <w:vAlign w:val="center"/>
          </w:tcPr>
          <w:p w:rsidR="00EE56C0" w:rsidRDefault="000F36A1">
            <w:pPr>
              <w:pStyle w:val="afa"/>
            </w:pPr>
            <w:r>
              <w:rPr>
                <w:rFonts w:hint="eastAsia"/>
              </w:rPr>
              <w:t>0.769</w:t>
            </w:r>
          </w:p>
        </w:tc>
        <w:tc>
          <w:tcPr>
            <w:tcW w:w="585" w:type="pct"/>
            <w:vAlign w:val="center"/>
          </w:tcPr>
          <w:p w:rsidR="00EE56C0" w:rsidRDefault="000F36A1">
            <w:pPr>
              <w:pStyle w:val="afa"/>
              <w:rPr>
                <w:rFonts w:ascii="宋体" w:eastAsia="宋体" w:hAnsi="宋体" w:cs="宋体"/>
                <w:sz w:val="24"/>
                <w:szCs w:val="24"/>
              </w:rPr>
            </w:pPr>
            <w:r>
              <w:rPr>
                <w:rFonts w:hint="eastAsia"/>
              </w:rPr>
              <w:t xml:space="preserve">2.50 </w:t>
            </w:r>
          </w:p>
        </w:tc>
        <w:tc>
          <w:tcPr>
            <w:tcW w:w="643" w:type="pct"/>
            <w:vAlign w:val="center"/>
          </w:tcPr>
          <w:p w:rsidR="00EE56C0" w:rsidRDefault="000F36A1">
            <w:pPr>
              <w:pStyle w:val="afa"/>
              <w:rPr>
                <w:rFonts w:ascii="宋体" w:eastAsia="宋体" w:hAnsi="宋体" w:cs="宋体"/>
                <w:sz w:val="24"/>
                <w:szCs w:val="24"/>
              </w:rPr>
            </w:pPr>
            <w:r>
              <w:rPr>
                <w:rFonts w:hint="eastAsia"/>
              </w:rPr>
              <w:t xml:space="preserve">2.85 </w:t>
            </w:r>
          </w:p>
        </w:tc>
        <w:tc>
          <w:tcPr>
            <w:tcW w:w="531" w:type="pct"/>
            <w:vAlign w:val="center"/>
          </w:tcPr>
          <w:p w:rsidR="00EE56C0" w:rsidRDefault="000F36A1">
            <w:pPr>
              <w:pStyle w:val="afa"/>
              <w:rPr>
                <w:rFonts w:ascii="宋体" w:eastAsia="宋体" w:hAnsi="宋体" w:cs="宋体"/>
                <w:sz w:val="24"/>
                <w:szCs w:val="24"/>
              </w:rPr>
            </w:pPr>
            <w:r>
              <w:rPr>
                <w:rFonts w:hint="eastAsia"/>
              </w:rPr>
              <w:t xml:space="preserve">2.56 </w:t>
            </w:r>
          </w:p>
        </w:tc>
      </w:tr>
      <w:tr w:rsidR="00EE56C0">
        <w:trPr>
          <w:trHeight w:val="425"/>
        </w:trPr>
        <w:tc>
          <w:tcPr>
            <w:tcW w:w="680" w:type="pct"/>
            <w:vMerge/>
            <w:vAlign w:val="center"/>
          </w:tcPr>
          <w:p w:rsidR="00EE56C0" w:rsidRDefault="00EE56C0">
            <w:pPr>
              <w:pStyle w:val="afa"/>
            </w:pPr>
          </w:p>
        </w:tc>
        <w:tc>
          <w:tcPr>
            <w:tcW w:w="797" w:type="pct"/>
            <w:vAlign w:val="center"/>
          </w:tcPr>
          <w:p w:rsidR="00EE56C0" w:rsidRDefault="000F36A1">
            <w:pPr>
              <w:pStyle w:val="afa"/>
            </w:pPr>
            <w:r>
              <w:rPr>
                <w:rFonts w:hint="eastAsia"/>
              </w:rPr>
              <w:t>2021.09</w:t>
            </w:r>
          </w:p>
        </w:tc>
        <w:tc>
          <w:tcPr>
            <w:tcW w:w="522" w:type="pct"/>
            <w:vAlign w:val="center"/>
          </w:tcPr>
          <w:p w:rsidR="00EE56C0" w:rsidRDefault="000F36A1">
            <w:pPr>
              <w:pStyle w:val="afa"/>
            </w:pPr>
            <w:r>
              <w:rPr>
                <w:rFonts w:hint="eastAsia"/>
              </w:rPr>
              <w:t>43.63</w:t>
            </w:r>
          </w:p>
        </w:tc>
        <w:tc>
          <w:tcPr>
            <w:tcW w:w="611" w:type="pct"/>
            <w:vAlign w:val="center"/>
          </w:tcPr>
          <w:p w:rsidR="00EE56C0" w:rsidRDefault="000F36A1">
            <w:pPr>
              <w:pStyle w:val="afa"/>
            </w:pPr>
            <w:r>
              <w:rPr>
                <w:rFonts w:hint="eastAsia"/>
              </w:rPr>
              <w:t>1.91</w:t>
            </w:r>
          </w:p>
        </w:tc>
        <w:tc>
          <w:tcPr>
            <w:tcW w:w="631" w:type="pct"/>
            <w:vAlign w:val="center"/>
          </w:tcPr>
          <w:p w:rsidR="00EE56C0" w:rsidRDefault="000F36A1">
            <w:pPr>
              <w:pStyle w:val="afa"/>
            </w:pPr>
            <w:r>
              <w:rPr>
                <w:rFonts w:hint="eastAsia"/>
              </w:rPr>
              <w:t>0.227</w:t>
            </w:r>
          </w:p>
        </w:tc>
        <w:tc>
          <w:tcPr>
            <w:tcW w:w="585" w:type="pct"/>
            <w:vAlign w:val="center"/>
          </w:tcPr>
          <w:p w:rsidR="00EE56C0" w:rsidRDefault="000F36A1">
            <w:pPr>
              <w:pStyle w:val="afa"/>
              <w:rPr>
                <w:rFonts w:ascii="宋体" w:eastAsia="宋体" w:hAnsi="宋体" w:cs="宋体"/>
                <w:sz w:val="24"/>
                <w:szCs w:val="24"/>
              </w:rPr>
            </w:pPr>
            <w:r>
              <w:rPr>
                <w:rFonts w:hint="eastAsia"/>
              </w:rPr>
              <w:t xml:space="preserve">1.45 </w:t>
            </w:r>
          </w:p>
        </w:tc>
        <w:tc>
          <w:tcPr>
            <w:tcW w:w="643" w:type="pct"/>
            <w:vAlign w:val="center"/>
          </w:tcPr>
          <w:p w:rsidR="00EE56C0" w:rsidRDefault="000F36A1">
            <w:pPr>
              <w:pStyle w:val="afa"/>
              <w:rPr>
                <w:rFonts w:ascii="宋体" w:eastAsia="宋体" w:hAnsi="宋体" w:cs="宋体"/>
                <w:sz w:val="24"/>
                <w:szCs w:val="24"/>
              </w:rPr>
            </w:pPr>
            <w:r>
              <w:rPr>
                <w:rFonts w:hint="eastAsia"/>
              </w:rPr>
              <w:t xml:space="preserve">1.27 </w:t>
            </w:r>
          </w:p>
        </w:tc>
        <w:tc>
          <w:tcPr>
            <w:tcW w:w="531" w:type="pct"/>
            <w:vAlign w:val="center"/>
          </w:tcPr>
          <w:p w:rsidR="00EE56C0" w:rsidRDefault="000F36A1">
            <w:pPr>
              <w:pStyle w:val="afa"/>
              <w:rPr>
                <w:rFonts w:ascii="宋体" w:eastAsia="宋体" w:hAnsi="宋体" w:cs="宋体"/>
                <w:sz w:val="24"/>
                <w:szCs w:val="24"/>
              </w:rPr>
            </w:pPr>
            <w:r>
              <w:rPr>
                <w:rFonts w:hint="eastAsia"/>
              </w:rPr>
              <w:t xml:space="preserve">0.76 </w:t>
            </w:r>
          </w:p>
        </w:tc>
      </w:tr>
      <w:tr w:rsidR="00EE56C0">
        <w:trPr>
          <w:trHeight w:val="425"/>
        </w:trPr>
        <w:tc>
          <w:tcPr>
            <w:tcW w:w="680" w:type="pct"/>
            <w:vMerge/>
            <w:vAlign w:val="center"/>
          </w:tcPr>
          <w:p w:rsidR="00EE56C0" w:rsidRDefault="00EE56C0">
            <w:pPr>
              <w:pStyle w:val="afa"/>
            </w:pPr>
          </w:p>
        </w:tc>
        <w:tc>
          <w:tcPr>
            <w:tcW w:w="797" w:type="pct"/>
            <w:vAlign w:val="center"/>
          </w:tcPr>
          <w:p w:rsidR="00EE56C0" w:rsidRDefault="000F36A1">
            <w:pPr>
              <w:pStyle w:val="afa"/>
            </w:pPr>
            <w:r>
              <w:rPr>
                <w:rFonts w:hint="eastAsia"/>
              </w:rPr>
              <w:t>2021.10</w:t>
            </w:r>
          </w:p>
        </w:tc>
        <w:tc>
          <w:tcPr>
            <w:tcW w:w="522" w:type="pct"/>
            <w:vAlign w:val="center"/>
          </w:tcPr>
          <w:p w:rsidR="00EE56C0" w:rsidRDefault="000F36A1">
            <w:pPr>
              <w:pStyle w:val="afa"/>
            </w:pPr>
            <w:r>
              <w:rPr>
                <w:rFonts w:hint="eastAsia"/>
              </w:rPr>
              <w:t>32.13</w:t>
            </w:r>
          </w:p>
        </w:tc>
        <w:tc>
          <w:tcPr>
            <w:tcW w:w="611" w:type="pct"/>
            <w:vAlign w:val="center"/>
          </w:tcPr>
          <w:p w:rsidR="00EE56C0" w:rsidRDefault="000F36A1">
            <w:pPr>
              <w:pStyle w:val="afa"/>
            </w:pPr>
            <w:r>
              <w:rPr>
                <w:rFonts w:hint="eastAsia"/>
              </w:rPr>
              <w:t>1.22</w:t>
            </w:r>
          </w:p>
        </w:tc>
        <w:tc>
          <w:tcPr>
            <w:tcW w:w="631" w:type="pct"/>
            <w:vAlign w:val="center"/>
          </w:tcPr>
          <w:p w:rsidR="00EE56C0" w:rsidRDefault="000F36A1">
            <w:pPr>
              <w:pStyle w:val="afa"/>
            </w:pPr>
            <w:r>
              <w:rPr>
                <w:rFonts w:hint="eastAsia"/>
              </w:rPr>
              <w:t>0.288</w:t>
            </w:r>
          </w:p>
        </w:tc>
        <w:tc>
          <w:tcPr>
            <w:tcW w:w="585" w:type="pct"/>
            <w:vAlign w:val="center"/>
          </w:tcPr>
          <w:p w:rsidR="00EE56C0" w:rsidRDefault="000F36A1">
            <w:pPr>
              <w:pStyle w:val="afa"/>
              <w:rPr>
                <w:rFonts w:ascii="宋体" w:eastAsia="宋体" w:hAnsi="宋体" w:cs="宋体"/>
                <w:sz w:val="24"/>
                <w:szCs w:val="24"/>
              </w:rPr>
            </w:pPr>
            <w:r>
              <w:rPr>
                <w:rFonts w:hint="eastAsia"/>
              </w:rPr>
              <w:t xml:space="preserve">1.07 </w:t>
            </w:r>
          </w:p>
        </w:tc>
        <w:tc>
          <w:tcPr>
            <w:tcW w:w="643" w:type="pct"/>
            <w:vAlign w:val="center"/>
          </w:tcPr>
          <w:p w:rsidR="00EE56C0" w:rsidRDefault="000F36A1">
            <w:pPr>
              <w:pStyle w:val="afa"/>
              <w:rPr>
                <w:rFonts w:ascii="宋体" w:eastAsia="宋体" w:hAnsi="宋体" w:cs="宋体"/>
                <w:sz w:val="24"/>
                <w:szCs w:val="24"/>
              </w:rPr>
            </w:pPr>
            <w:r>
              <w:rPr>
                <w:rFonts w:hint="eastAsia"/>
              </w:rPr>
              <w:t xml:space="preserve">0.81 </w:t>
            </w:r>
          </w:p>
        </w:tc>
        <w:tc>
          <w:tcPr>
            <w:tcW w:w="531" w:type="pct"/>
            <w:vAlign w:val="center"/>
          </w:tcPr>
          <w:p w:rsidR="00EE56C0" w:rsidRDefault="000F36A1">
            <w:pPr>
              <w:pStyle w:val="afa"/>
              <w:rPr>
                <w:rFonts w:ascii="宋体" w:eastAsia="宋体" w:hAnsi="宋体" w:cs="宋体"/>
                <w:sz w:val="24"/>
                <w:szCs w:val="24"/>
              </w:rPr>
            </w:pPr>
            <w:r>
              <w:rPr>
                <w:rFonts w:hint="eastAsia"/>
              </w:rPr>
              <w:t xml:space="preserve">0.96 </w:t>
            </w:r>
          </w:p>
        </w:tc>
      </w:tr>
      <w:tr w:rsidR="00EE56C0">
        <w:trPr>
          <w:trHeight w:val="425"/>
        </w:trPr>
        <w:tc>
          <w:tcPr>
            <w:tcW w:w="1477" w:type="pct"/>
            <w:gridSpan w:val="2"/>
            <w:vAlign w:val="center"/>
          </w:tcPr>
          <w:p w:rsidR="00EE56C0" w:rsidRDefault="000F36A1">
            <w:pPr>
              <w:pStyle w:val="afa"/>
            </w:pPr>
            <w:r>
              <w:rPr>
                <w:rFonts w:hint="eastAsia"/>
              </w:rPr>
              <w:t>《地表水环境质量标准》（</w:t>
            </w:r>
            <w:r>
              <w:t>GB3838-2002</w:t>
            </w:r>
            <w:r>
              <w:rPr>
                <w:rFonts w:hint="eastAsia"/>
              </w:rPr>
              <w:t>）</w:t>
            </w:r>
            <w:r>
              <w:rPr>
                <w:rFonts w:asciiTheme="minorEastAsia" w:hAnsiTheme="minorEastAsia" w:hint="eastAsia"/>
              </w:rPr>
              <w:t>Ⅳ</w:t>
            </w:r>
            <w:r>
              <w:rPr>
                <w:rFonts w:hint="eastAsia"/>
              </w:rPr>
              <w:t>类</w:t>
            </w:r>
          </w:p>
        </w:tc>
        <w:tc>
          <w:tcPr>
            <w:tcW w:w="522" w:type="pct"/>
            <w:vAlign w:val="center"/>
          </w:tcPr>
          <w:p w:rsidR="00EE56C0" w:rsidRDefault="000F36A1">
            <w:pPr>
              <w:pStyle w:val="afa"/>
            </w:pPr>
            <w:r>
              <w:rPr>
                <w:rFonts w:hint="eastAsia"/>
              </w:rPr>
              <w:t>≤</w:t>
            </w:r>
            <w:r>
              <w:rPr>
                <w:rFonts w:hint="eastAsia"/>
              </w:rPr>
              <w:t>30</w:t>
            </w:r>
          </w:p>
        </w:tc>
        <w:tc>
          <w:tcPr>
            <w:tcW w:w="611" w:type="pct"/>
            <w:vAlign w:val="center"/>
          </w:tcPr>
          <w:p w:rsidR="00EE56C0" w:rsidRDefault="000F36A1">
            <w:pPr>
              <w:pStyle w:val="afa"/>
            </w:pPr>
            <w:r>
              <w:rPr>
                <w:rFonts w:hint="eastAsia"/>
              </w:rPr>
              <w:t>≤</w:t>
            </w:r>
            <w:r>
              <w:rPr>
                <w:rFonts w:hint="eastAsia"/>
              </w:rPr>
              <w:t>1.5</w:t>
            </w:r>
          </w:p>
        </w:tc>
        <w:tc>
          <w:tcPr>
            <w:tcW w:w="631" w:type="pct"/>
            <w:vAlign w:val="center"/>
          </w:tcPr>
          <w:p w:rsidR="00EE56C0" w:rsidRDefault="000F36A1">
            <w:pPr>
              <w:pStyle w:val="afa"/>
            </w:pPr>
            <w:r>
              <w:rPr>
                <w:rFonts w:hint="eastAsia"/>
              </w:rPr>
              <w:t>≤</w:t>
            </w:r>
            <w:r>
              <w:rPr>
                <w:rFonts w:hint="eastAsia"/>
              </w:rPr>
              <w:t>0.3</w:t>
            </w:r>
          </w:p>
        </w:tc>
        <w:tc>
          <w:tcPr>
            <w:tcW w:w="585" w:type="pct"/>
            <w:vAlign w:val="center"/>
          </w:tcPr>
          <w:p w:rsidR="00EE56C0" w:rsidRDefault="000F36A1">
            <w:pPr>
              <w:pStyle w:val="afa"/>
            </w:pPr>
            <w:r>
              <w:rPr>
                <w:rFonts w:hint="eastAsia"/>
              </w:rPr>
              <w:t>超标</w:t>
            </w:r>
          </w:p>
        </w:tc>
        <w:tc>
          <w:tcPr>
            <w:tcW w:w="643" w:type="pct"/>
            <w:vAlign w:val="center"/>
          </w:tcPr>
          <w:p w:rsidR="00EE56C0" w:rsidRDefault="000F36A1">
            <w:pPr>
              <w:pStyle w:val="afa"/>
            </w:pPr>
            <w:r>
              <w:rPr>
                <w:rFonts w:hint="eastAsia"/>
              </w:rPr>
              <w:t>超标</w:t>
            </w:r>
          </w:p>
        </w:tc>
        <w:tc>
          <w:tcPr>
            <w:tcW w:w="531" w:type="pct"/>
            <w:vAlign w:val="center"/>
          </w:tcPr>
          <w:p w:rsidR="00EE56C0" w:rsidRDefault="000F36A1">
            <w:pPr>
              <w:pStyle w:val="afa"/>
            </w:pPr>
            <w:r>
              <w:rPr>
                <w:rFonts w:hint="eastAsia"/>
              </w:rPr>
              <w:t>达标</w:t>
            </w:r>
          </w:p>
        </w:tc>
      </w:tr>
    </w:tbl>
    <w:p w:rsidR="00EE56C0" w:rsidRDefault="000F36A1">
      <w:pPr>
        <w:ind w:firstLine="480"/>
      </w:pPr>
      <w:r>
        <w:rPr>
          <w:rFonts w:hint="eastAsia"/>
        </w:rPr>
        <w:t>由以上图表可知，</w:t>
      </w:r>
      <w:r>
        <w:t>东孟姜女河青龙路化肥厂东断面</w:t>
      </w:r>
      <w:r>
        <w:t>20</w:t>
      </w:r>
      <w:r>
        <w:rPr>
          <w:rFonts w:hint="eastAsia"/>
        </w:rPr>
        <w:t>20</w:t>
      </w:r>
      <w:r>
        <w:rPr>
          <w:rFonts w:hint="eastAsia"/>
        </w:rPr>
        <w:t>年</w:t>
      </w:r>
      <w:r>
        <w:rPr>
          <w:rFonts w:hint="eastAsia"/>
        </w:rPr>
        <w:t>11</w:t>
      </w:r>
      <w:r>
        <w:rPr>
          <w:rFonts w:hint="eastAsia"/>
        </w:rPr>
        <w:t>月～</w:t>
      </w:r>
      <w:r>
        <w:t>20</w:t>
      </w:r>
      <w:r>
        <w:rPr>
          <w:rFonts w:hint="eastAsia"/>
        </w:rPr>
        <w:t>21</w:t>
      </w:r>
      <w:r>
        <w:rPr>
          <w:rFonts w:hint="eastAsia"/>
        </w:rPr>
        <w:t>年</w:t>
      </w:r>
      <w:r>
        <w:rPr>
          <w:rFonts w:hint="eastAsia"/>
        </w:rPr>
        <w:t>10</w:t>
      </w:r>
      <w:r>
        <w:rPr>
          <w:rFonts w:hint="eastAsia"/>
        </w:rPr>
        <w:t>月水质状况为：</w:t>
      </w:r>
      <w:r>
        <w:rPr>
          <w:rFonts w:hint="eastAsia"/>
        </w:rPr>
        <w:t>COD</w:t>
      </w:r>
      <w:r>
        <w:rPr>
          <w:rFonts w:hint="eastAsia"/>
        </w:rPr>
        <w:t>在</w:t>
      </w:r>
      <w:r>
        <w:rPr>
          <w:rFonts w:hint="eastAsia"/>
        </w:rPr>
        <w:t>30.9-75.1mg/L</w:t>
      </w:r>
      <w:r>
        <w:rPr>
          <w:rFonts w:hint="eastAsia"/>
        </w:rPr>
        <w:t>，标准指数为</w:t>
      </w:r>
      <w:r>
        <w:rPr>
          <w:rFonts w:hint="eastAsia"/>
        </w:rPr>
        <w:t>1.03-2.5</w:t>
      </w:r>
      <w:r>
        <w:rPr>
          <w:rFonts w:hint="eastAsia"/>
        </w:rPr>
        <w:t>，最大超标倍数为</w:t>
      </w:r>
      <w:r>
        <w:rPr>
          <w:rFonts w:hint="eastAsia"/>
        </w:rPr>
        <w:t>2.5</w:t>
      </w:r>
      <w:r>
        <w:rPr>
          <w:rFonts w:hint="eastAsia"/>
        </w:rPr>
        <w:t>倍；</w:t>
      </w:r>
      <w:r>
        <w:rPr>
          <w:rFonts w:hint="eastAsia"/>
        </w:rPr>
        <w:t>NH</w:t>
      </w:r>
      <w:r>
        <w:rPr>
          <w:rFonts w:hint="eastAsia"/>
          <w:vertAlign w:val="subscript"/>
        </w:rPr>
        <w:t>3</w:t>
      </w:r>
      <w:r>
        <w:rPr>
          <w:rFonts w:hint="eastAsia"/>
        </w:rPr>
        <w:t>-N</w:t>
      </w:r>
      <w:r>
        <w:rPr>
          <w:rFonts w:hint="eastAsia"/>
        </w:rPr>
        <w:t>在</w:t>
      </w:r>
      <w:r>
        <w:rPr>
          <w:rFonts w:hint="eastAsia"/>
        </w:rPr>
        <w:t>0.29-4.28mg/L</w:t>
      </w:r>
      <w:r>
        <w:rPr>
          <w:rFonts w:hint="eastAsia"/>
        </w:rPr>
        <w:t>，标准指数为</w:t>
      </w:r>
      <w:r>
        <w:rPr>
          <w:rFonts w:hint="eastAsia"/>
        </w:rPr>
        <w:t>0.19-2.85</w:t>
      </w:r>
      <w:r>
        <w:rPr>
          <w:rFonts w:hint="eastAsia"/>
        </w:rPr>
        <w:t>，最大超标倍数为</w:t>
      </w:r>
      <w:r>
        <w:rPr>
          <w:rFonts w:hint="eastAsia"/>
        </w:rPr>
        <w:t>2.85</w:t>
      </w:r>
      <w:r>
        <w:rPr>
          <w:rFonts w:hint="eastAsia"/>
        </w:rPr>
        <w:t>倍；总磷在</w:t>
      </w:r>
      <w:r>
        <w:rPr>
          <w:rFonts w:hint="eastAsia"/>
        </w:rPr>
        <w:t>0.033-0.769mg/L</w:t>
      </w:r>
      <w:r>
        <w:rPr>
          <w:rFonts w:hint="eastAsia"/>
        </w:rPr>
        <w:t>，标准指数为</w:t>
      </w:r>
      <w:r>
        <w:rPr>
          <w:rFonts w:hint="eastAsia"/>
        </w:rPr>
        <w:t>0.11-2.56</w:t>
      </w:r>
      <w:r>
        <w:rPr>
          <w:rFonts w:hint="eastAsia"/>
        </w:rPr>
        <w:t>，最大超标倍数为</w:t>
      </w:r>
      <w:r>
        <w:rPr>
          <w:rFonts w:hint="eastAsia"/>
        </w:rPr>
        <w:t>2.56</w:t>
      </w:r>
      <w:r>
        <w:rPr>
          <w:rFonts w:hint="eastAsia"/>
        </w:rPr>
        <w:t>倍；</w:t>
      </w:r>
      <w:r>
        <w:rPr>
          <w:rFonts w:hint="eastAsia"/>
        </w:rPr>
        <w:t>COD</w:t>
      </w:r>
      <w:r>
        <w:rPr>
          <w:rFonts w:hint="eastAsia"/>
        </w:rPr>
        <w:t>、氨氮、总磷的超标率分别为</w:t>
      </w:r>
      <w:r>
        <w:rPr>
          <w:rFonts w:hint="eastAsia"/>
        </w:rPr>
        <w:t>100%</w:t>
      </w:r>
      <w:r>
        <w:rPr>
          <w:rFonts w:hint="eastAsia"/>
        </w:rPr>
        <w:t>、</w:t>
      </w:r>
      <w:r>
        <w:rPr>
          <w:rFonts w:hint="eastAsia"/>
        </w:rPr>
        <w:t>17%</w:t>
      </w:r>
      <w:r>
        <w:rPr>
          <w:rFonts w:hint="eastAsia"/>
        </w:rPr>
        <w:t>、</w:t>
      </w:r>
      <w:r>
        <w:rPr>
          <w:rFonts w:hint="eastAsia"/>
        </w:rPr>
        <w:t>8%</w:t>
      </w:r>
      <w:r>
        <w:rPr>
          <w:rFonts w:hint="eastAsia"/>
        </w:rPr>
        <w:t>。</w:t>
      </w:r>
    </w:p>
    <w:p w:rsidR="00EE56C0" w:rsidRDefault="000F36A1">
      <w:pPr>
        <w:ind w:firstLine="480"/>
      </w:pPr>
      <w:r>
        <w:rPr>
          <w:rFonts w:hint="eastAsia"/>
        </w:rPr>
        <w:t>监测结果显示，</w:t>
      </w:r>
      <w:r>
        <w:t>东孟姜女河</w:t>
      </w:r>
      <w:r>
        <w:rPr>
          <w:rFonts w:hint="eastAsia"/>
        </w:rPr>
        <w:t>地表水体</w:t>
      </w:r>
      <w:r>
        <w:rPr>
          <w:rFonts w:hint="eastAsia"/>
        </w:rPr>
        <w:t>COD</w:t>
      </w:r>
      <w:r>
        <w:rPr>
          <w:rFonts w:hint="eastAsia"/>
        </w:rPr>
        <w:t>、氨氮、总磷污染因子均不能满足《地表水环境质量标准》（</w:t>
      </w:r>
      <w:r>
        <w:t>GB3838-2002</w:t>
      </w:r>
      <w:r>
        <w:rPr>
          <w:rFonts w:hint="eastAsia"/>
        </w:rPr>
        <w:t>）</w:t>
      </w:r>
      <w:r>
        <w:rPr>
          <w:rFonts w:asciiTheme="minorEastAsia" w:eastAsiaTheme="minorEastAsia" w:hAnsiTheme="minorEastAsia" w:hint="eastAsia"/>
        </w:rPr>
        <w:t>Ⅳ</w:t>
      </w:r>
      <w:r>
        <w:rPr>
          <w:rFonts w:hint="eastAsia"/>
        </w:rPr>
        <w:t>类标准。</w:t>
      </w:r>
    </w:p>
    <w:p w:rsidR="00EE56C0" w:rsidRDefault="000F36A1">
      <w:pPr>
        <w:pStyle w:val="4"/>
        <w:ind w:left="120" w:firstLine="241"/>
      </w:pPr>
      <w:r>
        <w:rPr>
          <w:rFonts w:hint="eastAsia"/>
        </w:rPr>
        <w:t>4.2.3.3</w:t>
      </w:r>
      <w:r>
        <w:rPr>
          <w:rFonts w:hint="eastAsia"/>
        </w:rPr>
        <w:t>区域水污染物削减方案</w:t>
      </w:r>
    </w:p>
    <w:p w:rsidR="00EE56C0" w:rsidRDefault="000F36A1">
      <w:pPr>
        <w:ind w:firstLine="480"/>
      </w:pPr>
      <w:r>
        <w:rPr>
          <w:rFonts w:hint="eastAsia"/>
        </w:rPr>
        <w:t>为了改善区域水环境质量，新乡市出了一系列整治方案，并提出了相应的污染物削减方案：《新乡市</w:t>
      </w:r>
      <w:r>
        <w:rPr>
          <w:rFonts w:hint="eastAsia"/>
        </w:rPr>
        <w:t>2021</w:t>
      </w:r>
      <w:r>
        <w:rPr>
          <w:rFonts w:hint="eastAsia"/>
        </w:rPr>
        <w:t>年水污染防治攻坚战实施方案》（新环攻坚办〔</w:t>
      </w:r>
      <w:r>
        <w:rPr>
          <w:rFonts w:hint="eastAsia"/>
        </w:rPr>
        <w:t>2021</w:t>
      </w:r>
      <w:r>
        <w:rPr>
          <w:rFonts w:hint="eastAsia"/>
        </w:rPr>
        <w:t>〕</w:t>
      </w:r>
      <w:r>
        <w:rPr>
          <w:rFonts w:hint="eastAsia"/>
        </w:rPr>
        <w:t>90</w:t>
      </w:r>
      <w:r>
        <w:rPr>
          <w:rFonts w:hint="eastAsia"/>
        </w:rPr>
        <w:t>号）和《新乡市环境污染防治攻坚战三年行动实施方案（</w:t>
      </w:r>
      <w:r>
        <w:rPr>
          <w:rFonts w:hint="eastAsia"/>
        </w:rPr>
        <w:t>2018-2020</w:t>
      </w:r>
      <w:r>
        <w:rPr>
          <w:rFonts w:hint="eastAsia"/>
        </w:rPr>
        <w:t>年）》等。随着各方案的实施，区域废水收集处理率不断提高，将逐步改善</w:t>
      </w:r>
      <w:r>
        <w:t>东孟姜女河</w:t>
      </w:r>
      <w:r>
        <w:rPr>
          <w:rFonts w:hint="eastAsia"/>
        </w:rPr>
        <w:t>的环境质量，逐步实现</w:t>
      </w:r>
      <w:r>
        <w:rPr>
          <w:rFonts w:hint="eastAsia"/>
        </w:rPr>
        <w:t>2021</w:t>
      </w:r>
      <w:r>
        <w:rPr>
          <w:rFonts w:hint="eastAsia"/>
        </w:rPr>
        <w:t>年的环境目标。</w:t>
      </w:r>
    </w:p>
    <w:p w:rsidR="00EE56C0" w:rsidRDefault="000F36A1">
      <w:pPr>
        <w:pStyle w:val="3"/>
        <w:spacing w:before="240" w:after="120"/>
      </w:pPr>
      <w:bookmarkStart w:id="281" w:name="_Toc502244696"/>
      <w:bookmarkStart w:id="282" w:name="_Toc428286865"/>
      <w:bookmarkStart w:id="283" w:name="_Toc429318409"/>
      <w:bookmarkStart w:id="284" w:name="_Toc428287226"/>
      <w:r>
        <w:rPr>
          <w:rFonts w:hint="eastAsia"/>
        </w:rPr>
        <w:t>4.2.4</w:t>
      </w:r>
      <w:r>
        <w:rPr>
          <w:rFonts w:hint="eastAsia"/>
        </w:rPr>
        <w:t>地下水环境现状评价</w:t>
      </w:r>
      <w:bookmarkEnd w:id="281"/>
    </w:p>
    <w:p w:rsidR="00EE56C0" w:rsidRDefault="000F36A1">
      <w:pPr>
        <w:pStyle w:val="4"/>
        <w:ind w:left="120" w:firstLine="241"/>
      </w:pPr>
      <w:r>
        <w:rPr>
          <w:rFonts w:hint="eastAsia"/>
        </w:rPr>
        <w:t>4.2.4.1</w:t>
      </w:r>
      <w:r>
        <w:rPr>
          <w:rFonts w:hint="eastAsia"/>
        </w:rPr>
        <w:t>地下水环境质量现状监测与评价</w:t>
      </w:r>
    </w:p>
    <w:p w:rsidR="00EE56C0" w:rsidRDefault="000F36A1">
      <w:pPr>
        <w:pStyle w:val="5"/>
        <w:numPr>
          <w:ilvl w:val="0"/>
          <w:numId w:val="4"/>
        </w:numPr>
      </w:pPr>
      <w:r>
        <w:rPr>
          <w:rFonts w:hint="eastAsia"/>
        </w:rPr>
        <w:t>监测点的布设</w:t>
      </w:r>
    </w:p>
    <w:p w:rsidR="00EE56C0" w:rsidRDefault="000F36A1">
      <w:pPr>
        <w:ind w:firstLine="480"/>
      </w:pPr>
      <w:r>
        <w:rPr>
          <w:rFonts w:hint="eastAsia"/>
        </w:rPr>
        <w:t>本次评价的地下水监测工作委托河南永飞检测科技有限公司</w:t>
      </w:r>
      <w:r>
        <w:rPr>
          <w:rFonts w:hint="eastAsia"/>
          <w:bCs/>
        </w:rPr>
        <w:t>进行</w:t>
      </w:r>
      <w:r>
        <w:rPr>
          <w:rFonts w:hint="eastAsia"/>
        </w:rPr>
        <w:t>，监测时间</w:t>
      </w:r>
      <w:r>
        <w:rPr>
          <w:rFonts w:hint="eastAsia"/>
        </w:rPr>
        <w:lastRenderedPageBreak/>
        <w:t>为于</w:t>
      </w:r>
      <w:r>
        <w:rPr>
          <w:rFonts w:hint="eastAsia"/>
        </w:rPr>
        <w:t>2021</w:t>
      </w:r>
      <w:r>
        <w:rPr>
          <w:rFonts w:hint="eastAsia"/>
        </w:rPr>
        <w:t>年</w:t>
      </w:r>
      <w:r>
        <w:rPr>
          <w:rFonts w:hint="eastAsia"/>
        </w:rPr>
        <w:t>4</w:t>
      </w:r>
      <w:r>
        <w:rPr>
          <w:rFonts w:hint="eastAsia"/>
        </w:rPr>
        <w:t>月</w:t>
      </w:r>
      <w:r>
        <w:rPr>
          <w:rFonts w:hint="eastAsia"/>
        </w:rPr>
        <w:t>5</w:t>
      </w:r>
      <w:r>
        <w:rPr>
          <w:rFonts w:hint="eastAsia"/>
        </w:rPr>
        <w:t>日</w:t>
      </w:r>
      <w:r>
        <w:rPr>
          <w:rFonts w:hint="eastAsia"/>
        </w:rPr>
        <w:t>~7</w:t>
      </w:r>
      <w:r>
        <w:rPr>
          <w:rFonts w:hint="eastAsia"/>
        </w:rPr>
        <w:t>日，连续三天，每天采样一次。</w:t>
      </w:r>
      <w:bookmarkStart w:id="285" w:name="_Toc324839598"/>
      <w:bookmarkStart w:id="286" w:name="_Toc324839301"/>
      <w:r>
        <w:rPr>
          <w:rFonts w:hint="eastAsia"/>
        </w:rPr>
        <w:t>考虑工程特点、区域环境特征及地下水流向（由西南向东北），结合评价区域水资源利用和居民点生活用水情况，共设置</w:t>
      </w:r>
      <w:r>
        <w:rPr>
          <w:rFonts w:hint="eastAsia"/>
        </w:rPr>
        <w:t>3</w:t>
      </w:r>
      <w:r>
        <w:rPr>
          <w:rFonts w:hint="eastAsia"/>
        </w:rPr>
        <w:t>个地下水水质监测点和</w:t>
      </w:r>
      <w:r>
        <w:rPr>
          <w:rFonts w:hint="eastAsia"/>
        </w:rPr>
        <w:t>6</w:t>
      </w:r>
      <w:r>
        <w:rPr>
          <w:rFonts w:hint="eastAsia"/>
        </w:rPr>
        <w:t>个地下水水位监测点，详见表</w:t>
      </w:r>
      <w:r>
        <w:rPr>
          <w:rFonts w:hint="eastAsia"/>
        </w:rPr>
        <w:t>4</w:t>
      </w:r>
      <w:r>
        <w:t>-1</w:t>
      </w:r>
      <w:r>
        <w:rPr>
          <w:rFonts w:hint="eastAsia"/>
        </w:rPr>
        <w:t>2</w:t>
      </w:r>
      <w:r>
        <w:rPr>
          <w:rFonts w:hint="eastAsia"/>
        </w:rPr>
        <w:t>和表</w:t>
      </w:r>
      <w:r>
        <w:rPr>
          <w:rFonts w:hint="eastAsia"/>
        </w:rPr>
        <w:t>4-13</w:t>
      </w:r>
      <w:r>
        <w:rPr>
          <w:rFonts w:hint="eastAsia"/>
        </w:rPr>
        <w:t>。</w:t>
      </w:r>
    </w:p>
    <w:p w:rsidR="00EE56C0" w:rsidRDefault="000F36A1">
      <w:pPr>
        <w:pStyle w:val="afd"/>
        <w:spacing w:before="120" w:after="120"/>
        <w:ind w:firstLine="482"/>
      </w:pPr>
      <w:r>
        <w:rPr>
          <w:rFonts w:hint="eastAsia"/>
        </w:rPr>
        <w:t>表</w:t>
      </w:r>
      <w:r>
        <w:rPr>
          <w:rFonts w:hint="eastAsia"/>
        </w:rPr>
        <w:t>4</w:t>
      </w:r>
      <w:r>
        <w:t>-1</w:t>
      </w:r>
      <w:r>
        <w:rPr>
          <w:rFonts w:hint="eastAsia"/>
        </w:rPr>
        <w:t xml:space="preserve">2          </w:t>
      </w:r>
      <w:r>
        <w:rPr>
          <w:rFonts w:hint="eastAsia"/>
        </w:rPr>
        <w:t>地下水环境现状水质监测点位一览表</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1058"/>
        <w:gridCol w:w="2882"/>
        <w:gridCol w:w="2270"/>
        <w:gridCol w:w="2318"/>
      </w:tblGrid>
      <w:tr w:rsidR="00EE56C0">
        <w:trPr>
          <w:trHeight w:val="425"/>
          <w:jc w:val="center"/>
        </w:trPr>
        <w:tc>
          <w:tcPr>
            <w:tcW w:w="620" w:type="pct"/>
            <w:vAlign w:val="center"/>
          </w:tcPr>
          <w:p w:rsidR="00EE56C0" w:rsidRDefault="000F36A1">
            <w:pPr>
              <w:pStyle w:val="afa"/>
              <w:rPr>
                <w:b/>
                <w:szCs w:val="24"/>
              </w:rPr>
            </w:pPr>
            <w:r>
              <w:rPr>
                <w:b/>
                <w:szCs w:val="24"/>
              </w:rPr>
              <w:t>序号</w:t>
            </w:r>
          </w:p>
        </w:tc>
        <w:tc>
          <w:tcPr>
            <w:tcW w:w="1690" w:type="pct"/>
            <w:vAlign w:val="center"/>
          </w:tcPr>
          <w:p w:rsidR="00EE56C0" w:rsidRDefault="000F36A1">
            <w:pPr>
              <w:pStyle w:val="afa"/>
              <w:rPr>
                <w:b/>
                <w:szCs w:val="24"/>
              </w:rPr>
            </w:pPr>
            <w:r>
              <w:rPr>
                <w:b/>
                <w:szCs w:val="24"/>
              </w:rPr>
              <w:t>监测点</w:t>
            </w:r>
          </w:p>
        </w:tc>
        <w:tc>
          <w:tcPr>
            <w:tcW w:w="1331" w:type="pct"/>
            <w:vAlign w:val="center"/>
          </w:tcPr>
          <w:p w:rsidR="00EE56C0" w:rsidRDefault="000F36A1">
            <w:pPr>
              <w:pStyle w:val="afa"/>
              <w:rPr>
                <w:b/>
                <w:szCs w:val="24"/>
              </w:rPr>
            </w:pPr>
            <w:r>
              <w:rPr>
                <w:b/>
                <w:szCs w:val="24"/>
              </w:rPr>
              <w:t>方位</w:t>
            </w:r>
          </w:p>
        </w:tc>
        <w:tc>
          <w:tcPr>
            <w:tcW w:w="1359" w:type="pct"/>
            <w:vAlign w:val="center"/>
          </w:tcPr>
          <w:p w:rsidR="00EE56C0" w:rsidRDefault="000F36A1">
            <w:pPr>
              <w:pStyle w:val="afa"/>
              <w:rPr>
                <w:b/>
                <w:szCs w:val="24"/>
              </w:rPr>
            </w:pPr>
            <w:r>
              <w:rPr>
                <w:b/>
                <w:szCs w:val="24"/>
              </w:rPr>
              <w:t>备注</w:t>
            </w:r>
          </w:p>
        </w:tc>
      </w:tr>
      <w:tr w:rsidR="00EE56C0">
        <w:trPr>
          <w:trHeight w:val="425"/>
          <w:jc w:val="center"/>
        </w:trPr>
        <w:tc>
          <w:tcPr>
            <w:tcW w:w="620" w:type="pct"/>
            <w:vAlign w:val="center"/>
          </w:tcPr>
          <w:p w:rsidR="00EE56C0" w:rsidRDefault="000F36A1">
            <w:pPr>
              <w:pStyle w:val="afa"/>
              <w:rPr>
                <w:szCs w:val="24"/>
              </w:rPr>
            </w:pPr>
            <w:r>
              <w:rPr>
                <w:szCs w:val="24"/>
              </w:rPr>
              <w:t>1</w:t>
            </w:r>
          </w:p>
        </w:tc>
        <w:tc>
          <w:tcPr>
            <w:tcW w:w="1690" w:type="pct"/>
            <w:vAlign w:val="center"/>
          </w:tcPr>
          <w:p w:rsidR="00EE56C0" w:rsidRDefault="000F36A1">
            <w:pPr>
              <w:pStyle w:val="afa"/>
            </w:pPr>
            <w:r>
              <w:rPr>
                <w:rFonts w:hint="eastAsia"/>
              </w:rPr>
              <w:t>康庄村</w:t>
            </w:r>
          </w:p>
        </w:tc>
        <w:tc>
          <w:tcPr>
            <w:tcW w:w="1331" w:type="pct"/>
            <w:vAlign w:val="center"/>
          </w:tcPr>
          <w:p w:rsidR="00EE56C0" w:rsidRDefault="000F36A1">
            <w:pPr>
              <w:pStyle w:val="afa"/>
            </w:pPr>
            <w:r>
              <w:rPr>
                <w:rFonts w:hint="eastAsia"/>
              </w:rPr>
              <w:t>西南</w:t>
            </w:r>
          </w:p>
        </w:tc>
        <w:tc>
          <w:tcPr>
            <w:tcW w:w="1359" w:type="pct"/>
            <w:vAlign w:val="center"/>
          </w:tcPr>
          <w:p w:rsidR="00EE56C0" w:rsidRDefault="000F36A1">
            <w:pPr>
              <w:pStyle w:val="afa"/>
              <w:rPr>
                <w:szCs w:val="24"/>
              </w:rPr>
            </w:pPr>
            <w:r>
              <w:rPr>
                <w:szCs w:val="24"/>
              </w:rPr>
              <w:t>水质</w:t>
            </w:r>
          </w:p>
        </w:tc>
      </w:tr>
      <w:tr w:rsidR="00EE56C0">
        <w:trPr>
          <w:trHeight w:val="425"/>
          <w:jc w:val="center"/>
        </w:trPr>
        <w:tc>
          <w:tcPr>
            <w:tcW w:w="620" w:type="pct"/>
            <w:vAlign w:val="center"/>
          </w:tcPr>
          <w:p w:rsidR="00EE56C0" w:rsidRDefault="000F36A1">
            <w:pPr>
              <w:pStyle w:val="afa"/>
              <w:rPr>
                <w:szCs w:val="24"/>
              </w:rPr>
            </w:pPr>
            <w:r>
              <w:rPr>
                <w:szCs w:val="24"/>
              </w:rPr>
              <w:t>2</w:t>
            </w:r>
          </w:p>
        </w:tc>
        <w:tc>
          <w:tcPr>
            <w:tcW w:w="1690" w:type="pct"/>
            <w:vAlign w:val="center"/>
          </w:tcPr>
          <w:p w:rsidR="00EE56C0" w:rsidRDefault="000F36A1">
            <w:pPr>
              <w:pStyle w:val="afa"/>
            </w:pPr>
            <w:r>
              <w:rPr>
                <w:rFonts w:hint="eastAsia"/>
              </w:rPr>
              <w:t>厂址</w:t>
            </w:r>
          </w:p>
        </w:tc>
        <w:tc>
          <w:tcPr>
            <w:tcW w:w="1331" w:type="pct"/>
            <w:vAlign w:val="center"/>
          </w:tcPr>
          <w:p w:rsidR="00EE56C0" w:rsidRDefault="000F36A1">
            <w:pPr>
              <w:pStyle w:val="afa"/>
            </w:pPr>
            <w:r>
              <w:rPr>
                <w:rFonts w:hint="eastAsia"/>
              </w:rPr>
              <w:t>/</w:t>
            </w:r>
          </w:p>
        </w:tc>
        <w:tc>
          <w:tcPr>
            <w:tcW w:w="1359" w:type="pct"/>
            <w:vAlign w:val="center"/>
          </w:tcPr>
          <w:p w:rsidR="00EE56C0" w:rsidRDefault="000F36A1">
            <w:pPr>
              <w:pStyle w:val="afa"/>
              <w:rPr>
                <w:szCs w:val="24"/>
              </w:rPr>
            </w:pPr>
            <w:r>
              <w:rPr>
                <w:szCs w:val="24"/>
              </w:rPr>
              <w:t>水质</w:t>
            </w:r>
          </w:p>
        </w:tc>
      </w:tr>
      <w:tr w:rsidR="00EE56C0">
        <w:trPr>
          <w:trHeight w:val="425"/>
          <w:jc w:val="center"/>
        </w:trPr>
        <w:tc>
          <w:tcPr>
            <w:tcW w:w="620" w:type="pct"/>
            <w:vAlign w:val="center"/>
          </w:tcPr>
          <w:p w:rsidR="00EE56C0" w:rsidRDefault="000F36A1">
            <w:pPr>
              <w:pStyle w:val="afa"/>
              <w:rPr>
                <w:szCs w:val="24"/>
              </w:rPr>
            </w:pPr>
            <w:r>
              <w:rPr>
                <w:szCs w:val="24"/>
              </w:rPr>
              <w:t>3</w:t>
            </w:r>
          </w:p>
        </w:tc>
        <w:tc>
          <w:tcPr>
            <w:tcW w:w="1690" w:type="pct"/>
            <w:vAlign w:val="center"/>
          </w:tcPr>
          <w:p w:rsidR="00EE56C0" w:rsidRDefault="000F36A1">
            <w:pPr>
              <w:pStyle w:val="afa"/>
            </w:pPr>
            <w:r>
              <w:rPr>
                <w:rFonts w:hint="eastAsia"/>
              </w:rPr>
              <w:t>七里营镇</w:t>
            </w:r>
          </w:p>
        </w:tc>
        <w:tc>
          <w:tcPr>
            <w:tcW w:w="1331" w:type="pct"/>
            <w:vAlign w:val="center"/>
          </w:tcPr>
          <w:p w:rsidR="00EE56C0" w:rsidRDefault="000F36A1">
            <w:pPr>
              <w:pStyle w:val="afa"/>
            </w:pPr>
            <w:r>
              <w:rPr>
                <w:rFonts w:hint="eastAsia"/>
              </w:rPr>
              <w:t>东</w:t>
            </w:r>
            <w:r>
              <w:t>北</w:t>
            </w:r>
          </w:p>
        </w:tc>
        <w:tc>
          <w:tcPr>
            <w:tcW w:w="1359" w:type="pct"/>
            <w:vAlign w:val="center"/>
          </w:tcPr>
          <w:p w:rsidR="00EE56C0" w:rsidRDefault="000F36A1">
            <w:pPr>
              <w:pStyle w:val="afa"/>
              <w:rPr>
                <w:szCs w:val="24"/>
              </w:rPr>
            </w:pPr>
            <w:r>
              <w:rPr>
                <w:szCs w:val="24"/>
              </w:rPr>
              <w:t>水质</w:t>
            </w:r>
          </w:p>
        </w:tc>
      </w:tr>
    </w:tbl>
    <w:p w:rsidR="00EE56C0" w:rsidRDefault="000F36A1">
      <w:pPr>
        <w:pStyle w:val="afd"/>
        <w:spacing w:before="120" w:after="120"/>
        <w:ind w:firstLine="482"/>
      </w:pPr>
      <w:r>
        <w:rPr>
          <w:rFonts w:hint="eastAsia"/>
        </w:rPr>
        <w:t>表</w:t>
      </w:r>
      <w:r>
        <w:rPr>
          <w:rFonts w:hint="eastAsia"/>
        </w:rPr>
        <w:t>4</w:t>
      </w:r>
      <w:r>
        <w:t>-1</w:t>
      </w:r>
      <w:r>
        <w:rPr>
          <w:rFonts w:hint="eastAsia"/>
        </w:rPr>
        <w:t xml:space="preserve">3          </w:t>
      </w:r>
      <w:r>
        <w:rPr>
          <w:rFonts w:hint="eastAsia"/>
        </w:rPr>
        <w:t>地下水环境现状水位监测点位一览表</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1326"/>
        <w:gridCol w:w="1977"/>
        <w:gridCol w:w="1648"/>
        <w:gridCol w:w="1825"/>
        <w:gridCol w:w="1752"/>
      </w:tblGrid>
      <w:tr w:rsidR="00EE56C0">
        <w:trPr>
          <w:cantSplit/>
          <w:trHeight w:val="425"/>
          <w:jc w:val="center"/>
        </w:trPr>
        <w:tc>
          <w:tcPr>
            <w:tcW w:w="777" w:type="pct"/>
            <w:vAlign w:val="center"/>
          </w:tcPr>
          <w:p w:rsidR="00EE56C0" w:rsidRDefault="000F36A1">
            <w:pPr>
              <w:pStyle w:val="afa"/>
              <w:rPr>
                <w:b/>
              </w:rPr>
            </w:pPr>
            <w:r>
              <w:rPr>
                <w:rFonts w:hint="eastAsia"/>
                <w:b/>
              </w:rPr>
              <w:t>监测点</w:t>
            </w:r>
          </w:p>
        </w:tc>
        <w:tc>
          <w:tcPr>
            <w:tcW w:w="1159" w:type="pct"/>
            <w:vAlign w:val="center"/>
          </w:tcPr>
          <w:p w:rsidR="00EE56C0" w:rsidRDefault="000F36A1">
            <w:pPr>
              <w:pStyle w:val="afa"/>
              <w:rPr>
                <w:b/>
              </w:rPr>
            </w:pPr>
            <w:r>
              <w:rPr>
                <w:rFonts w:hint="eastAsia"/>
                <w:b/>
              </w:rPr>
              <w:t>监测井位</w:t>
            </w:r>
          </w:p>
        </w:tc>
        <w:tc>
          <w:tcPr>
            <w:tcW w:w="966" w:type="pct"/>
            <w:vAlign w:val="center"/>
          </w:tcPr>
          <w:p w:rsidR="00EE56C0" w:rsidRDefault="000F36A1">
            <w:pPr>
              <w:pStyle w:val="afa"/>
              <w:rPr>
                <w:b/>
              </w:rPr>
            </w:pPr>
            <w:r>
              <w:rPr>
                <w:rFonts w:hint="eastAsia"/>
                <w:b/>
              </w:rPr>
              <w:t>方位</w:t>
            </w:r>
          </w:p>
        </w:tc>
        <w:tc>
          <w:tcPr>
            <w:tcW w:w="1070" w:type="pct"/>
            <w:vAlign w:val="center"/>
          </w:tcPr>
          <w:p w:rsidR="00EE56C0" w:rsidRDefault="000F36A1">
            <w:pPr>
              <w:pStyle w:val="afa"/>
              <w:rPr>
                <w:b/>
              </w:rPr>
            </w:pPr>
            <w:r>
              <w:rPr>
                <w:rFonts w:hint="eastAsia"/>
                <w:b/>
              </w:rPr>
              <w:t>距离厂界（</w:t>
            </w:r>
            <w:r>
              <w:rPr>
                <w:rFonts w:hint="eastAsia"/>
                <w:b/>
              </w:rPr>
              <w:t>m</w:t>
            </w:r>
            <w:r>
              <w:rPr>
                <w:rFonts w:hint="eastAsia"/>
                <w:b/>
              </w:rPr>
              <w:t>）</w:t>
            </w:r>
          </w:p>
        </w:tc>
        <w:tc>
          <w:tcPr>
            <w:tcW w:w="1027" w:type="pct"/>
            <w:vAlign w:val="center"/>
          </w:tcPr>
          <w:p w:rsidR="00EE56C0" w:rsidRDefault="000F36A1">
            <w:pPr>
              <w:pStyle w:val="afa"/>
              <w:rPr>
                <w:b/>
              </w:rPr>
            </w:pPr>
            <w:r>
              <w:rPr>
                <w:b/>
              </w:rPr>
              <w:t>备注</w:t>
            </w:r>
          </w:p>
        </w:tc>
      </w:tr>
      <w:tr w:rsidR="00EE56C0">
        <w:trPr>
          <w:cantSplit/>
          <w:trHeight w:val="425"/>
          <w:jc w:val="center"/>
        </w:trPr>
        <w:tc>
          <w:tcPr>
            <w:tcW w:w="777" w:type="pct"/>
            <w:vAlign w:val="center"/>
          </w:tcPr>
          <w:p w:rsidR="00EE56C0" w:rsidRDefault="000F36A1">
            <w:pPr>
              <w:pStyle w:val="afa"/>
            </w:pPr>
            <w:r>
              <w:rPr>
                <w:rFonts w:hint="eastAsia"/>
              </w:rPr>
              <w:t>1#</w:t>
            </w:r>
          </w:p>
        </w:tc>
        <w:tc>
          <w:tcPr>
            <w:tcW w:w="1159" w:type="pct"/>
            <w:vAlign w:val="center"/>
          </w:tcPr>
          <w:p w:rsidR="00EE56C0" w:rsidRDefault="000F36A1">
            <w:pPr>
              <w:pStyle w:val="afa"/>
            </w:pPr>
            <w:r>
              <w:rPr>
                <w:rFonts w:hint="eastAsia"/>
              </w:rPr>
              <w:t>康庄村</w:t>
            </w:r>
          </w:p>
        </w:tc>
        <w:tc>
          <w:tcPr>
            <w:tcW w:w="966" w:type="pct"/>
            <w:vAlign w:val="center"/>
          </w:tcPr>
          <w:p w:rsidR="00EE56C0" w:rsidRDefault="000F36A1">
            <w:pPr>
              <w:pStyle w:val="afa"/>
            </w:pPr>
            <w:r>
              <w:rPr>
                <w:rFonts w:hint="eastAsia"/>
              </w:rPr>
              <w:t>上游</w:t>
            </w:r>
          </w:p>
        </w:tc>
        <w:tc>
          <w:tcPr>
            <w:tcW w:w="1070" w:type="pct"/>
            <w:vAlign w:val="center"/>
          </w:tcPr>
          <w:p w:rsidR="00EE56C0" w:rsidRDefault="000F36A1">
            <w:pPr>
              <w:pStyle w:val="afa"/>
            </w:pPr>
            <w:r>
              <w:rPr>
                <w:rFonts w:hint="eastAsia"/>
              </w:rPr>
              <w:t>1765</w:t>
            </w:r>
          </w:p>
        </w:tc>
        <w:tc>
          <w:tcPr>
            <w:tcW w:w="1027" w:type="pct"/>
            <w:vAlign w:val="center"/>
          </w:tcPr>
          <w:p w:rsidR="00EE56C0" w:rsidRDefault="000F36A1">
            <w:pPr>
              <w:pStyle w:val="afa"/>
            </w:pPr>
            <w:r>
              <w:rPr>
                <w:rFonts w:hint="eastAsia"/>
              </w:rPr>
              <w:t>水位</w:t>
            </w:r>
          </w:p>
        </w:tc>
      </w:tr>
      <w:tr w:rsidR="00EE56C0">
        <w:trPr>
          <w:cantSplit/>
          <w:trHeight w:val="425"/>
          <w:jc w:val="center"/>
        </w:trPr>
        <w:tc>
          <w:tcPr>
            <w:tcW w:w="777" w:type="pct"/>
            <w:vAlign w:val="center"/>
          </w:tcPr>
          <w:p w:rsidR="00EE56C0" w:rsidRDefault="000F36A1">
            <w:pPr>
              <w:pStyle w:val="afa"/>
            </w:pPr>
            <w:r>
              <w:rPr>
                <w:rFonts w:hint="eastAsia"/>
              </w:rPr>
              <w:t>2#</w:t>
            </w:r>
          </w:p>
        </w:tc>
        <w:tc>
          <w:tcPr>
            <w:tcW w:w="1159" w:type="pct"/>
            <w:vAlign w:val="center"/>
          </w:tcPr>
          <w:p w:rsidR="00EE56C0" w:rsidRDefault="000F36A1">
            <w:pPr>
              <w:pStyle w:val="afa"/>
            </w:pPr>
            <w:r>
              <w:rPr>
                <w:rFonts w:hint="eastAsia"/>
              </w:rPr>
              <w:t>厂址</w:t>
            </w:r>
          </w:p>
        </w:tc>
        <w:tc>
          <w:tcPr>
            <w:tcW w:w="966" w:type="pct"/>
            <w:vAlign w:val="center"/>
          </w:tcPr>
          <w:p w:rsidR="00EE56C0" w:rsidRDefault="000F36A1">
            <w:pPr>
              <w:pStyle w:val="afa"/>
            </w:pPr>
            <w:r>
              <w:rPr>
                <w:rFonts w:hint="eastAsia"/>
              </w:rPr>
              <w:t>项目场地</w:t>
            </w:r>
          </w:p>
        </w:tc>
        <w:tc>
          <w:tcPr>
            <w:tcW w:w="1070" w:type="pct"/>
            <w:vAlign w:val="center"/>
          </w:tcPr>
          <w:p w:rsidR="00EE56C0" w:rsidRDefault="000F36A1">
            <w:pPr>
              <w:pStyle w:val="afa"/>
            </w:pPr>
            <w:r>
              <w:rPr>
                <w:rFonts w:hint="eastAsia"/>
              </w:rPr>
              <w:t>0</w:t>
            </w:r>
          </w:p>
        </w:tc>
        <w:tc>
          <w:tcPr>
            <w:tcW w:w="1027" w:type="pct"/>
            <w:vAlign w:val="center"/>
          </w:tcPr>
          <w:p w:rsidR="00EE56C0" w:rsidRDefault="000F36A1">
            <w:pPr>
              <w:pStyle w:val="afa"/>
            </w:pPr>
            <w:r>
              <w:rPr>
                <w:rFonts w:hint="eastAsia"/>
              </w:rPr>
              <w:t>水位</w:t>
            </w:r>
          </w:p>
        </w:tc>
      </w:tr>
      <w:tr w:rsidR="00EE56C0">
        <w:trPr>
          <w:cantSplit/>
          <w:trHeight w:val="425"/>
          <w:jc w:val="center"/>
        </w:trPr>
        <w:tc>
          <w:tcPr>
            <w:tcW w:w="777" w:type="pct"/>
            <w:vAlign w:val="center"/>
          </w:tcPr>
          <w:p w:rsidR="00EE56C0" w:rsidRDefault="000F36A1">
            <w:pPr>
              <w:pStyle w:val="afa"/>
            </w:pPr>
            <w:r>
              <w:rPr>
                <w:rFonts w:hint="eastAsia"/>
              </w:rPr>
              <w:t>3#</w:t>
            </w:r>
          </w:p>
        </w:tc>
        <w:tc>
          <w:tcPr>
            <w:tcW w:w="1159" w:type="pct"/>
            <w:vAlign w:val="center"/>
          </w:tcPr>
          <w:p w:rsidR="00EE56C0" w:rsidRDefault="000F36A1">
            <w:pPr>
              <w:pStyle w:val="afa"/>
            </w:pPr>
            <w:r>
              <w:rPr>
                <w:rFonts w:hint="eastAsia"/>
              </w:rPr>
              <w:t>七里营镇</w:t>
            </w:r>
          </w:p>
        </w:tc>
        <w:tc>
          <w:tcPr>
            <w:tcW w:w="966" w:type="pct"/>
            <w:vAlign w:val="center"/>
          </w:tcPr>
          <w:p w:rsidR="00EE56C0" w:rsidRDefault="000F36A1">
            <w:pPr>
              <w:pStyle w:val="afa"/>
            </w:pPr>
            <w:r>
              <w:rPr>
                <w:rFonts w:hint="eastAsia"/>
              </w:rPr>
              <w:t>下游</w:t>
            </w:r>
          </w:p>
        </w:tc>
        <w:tc>
          <w:tcPr>
            <w:tcW w:w="1070" w:type="pct"/>
            <w:vAlign w:val="center"/>
          </w:tcPr>
          <w:p w:rsidR="00EE56C0" w:rsidRDefault="000F36A1">
            <w:pPr>
              <w:pStyle w:val="afa"/>
            </w:pPr>
            <w:r>
              <w:rPr>
                <w:rFonts w:hint="eastAsia"/>
              </w:rPr>
              <w:t>1500</w:t>
            </w:r>
          </w:p>
        </w:tc>
        <w:tc>
          <w:tcPr>
            <w:tcW w:w="1027" w:type="pct"/>
            <w:vAlign w:val="center"/>
          </w:tcPr>
          <w:p w:rsidR="00EE56C0" w:rsidRDefault="000F36A1">
            <w:pPr>
              <w:pStyle w:val="afa"/>
            </w:pPr>
            <w:r>
              <w:rPr>
                <w:rFonts w:hint="eastAsia"/>
              </w:rPr>
              <w:t>水位</w:t>
            </w:r>
          </w:p>
        </w:tc>
      </w:tr>
      <w:tr w:rsidR="00EE56C0">
        <w:trPr>
          <w:cantSplit/>
          <w:trHeight w:val="425"/>
          <w:jc w:val="center"/>
        </w:trPr>
        <w:tc>
          <w:tcPr>
            <w:tcW w:w="777" w:type="pct"/>
            <w:vAlign w:val="center"/>
          </w:tcPr>
          <w:p w:rsidR="00EE56C0" w:rsidRDefault="000F36A1">
            <w:pPr>
              <w:pStyle w:val="afa"/>
            </w:pPr>
            <w:r>
              <w:rPr>
                <w:rFonts w:hint="eastAsia"/>
              </w:rPr>
              <w:t>4#</w:t>
            </w:r>
          </w:p>
        </w:tc>
        <w:tc>
          <w:tcPr>
            <w:tcW w:w="1159" w:type="pct"/>
            <w:vAlign w:val="center"/>
          </w:tcPr>
          <w:p w:rsidR="00EE56C0" w:rsidRDefault="000F36A1">
            <w:pPr>
              <w:pStyle w:val="afa"/>
            </w:pPr>
            <w:r>
              <w:rPr>
                <w:rFonts w:hint="eastAsia"/>
              </w:rPr>
              <w:t>东曹村</w:t>
            </w:r>
          </w:p>
        </w:tc>
        <w:tc>
          <w:tcPr>
            <w:tcW w:w="966" w:type="pct"/>
            <w:vAlign w:val="center"/>
          </w:tcPr>
          <w:p w:rsidR="00EE56C0" w:rsidRDefault="000F36A1">
            <w:pPr>
              <w:pStyle w:val="afa"/>
            </w:pPr>
            <w:r>
              <w:rPr>
                <w:rFonts w:hint="eastAsia"/>
              </w:rPr>
              <w:t>侧向</w:t>
            </w:r>
          </w:p>
        </w:tc>
        <w:tc>
          <w:tcPr>
            <w:tcW w:w="1070" w:type="pct"/>
            <w:vAlign w:val="center"/>
          </w:tcPr>
          <w:p w:rsidR="00EE56C0" w:rsidRDefault="000F36A1">
            <w:pPr>
              <w:pStyle w:val="afa"/>
            </w:pPr>
            <w:r>
              <w:rPr>
                <w:rFonts w:hint="eastAsia"/>
              </w:rPr>
              <w:t>1820</w:t>
            </w:r>
          </w:p>
        </w:tc>
        <w:tc>
          <w:tcPr>
            <w:tcW w:w="1027" w:type="pct"/>
            <w:vAlign w:val="center"/>
          </w:tcPr>
          <w:p w:rsidR="00EE56C0" w:rsidRDefault="000F36A1">
            <w:pPr>
              <w:pStyle w:val="afa"/>
            </w:pPr>
            <w:r>
              <w:rPr>
                <w:rFonts w:hint="eastAsia"/>
              </w:rPr>
              <w:t>水位</w:t>
            </w:r>
          </w:p>
        </w:tc>
      </w:tr>
      <w:tr w:rsidR="00EE56C0">
        <w:trPr>
          <w:cantSplit/>
          <w:trHeight w:val="425"/>
          <w:jc w:val="center"/>
        </w:trPr>
        <w:tc>
          <w:tcPr>
            <w:tcW w:w="777" w:type="pct"/>
            <w:vAlign w:val="center"/>
          </w:tcPr>
          <w:p w:rsidR="00EE56C0" w:rsidRDefault="000F36A1">
            <w:pPr>
              <w:pStyle w:val="afa"/>
            </w:pPr>
            <w:r>
              <w:rPr>
                <w:rFonts w:hint="eastAsia"/>
              </w:rPr>
              <w:t>5#</w:t>
            </w:r>
          </w:p>
        </w:tc>
        <w:tc>
          <w:tcPr>
            <w:tcW w:w="1159" w:type="pct"/>
            <w:vAlign w:val="center"/>
          </w:tcPr>
          <w:p w:rsidR="00EE56C0" w:rsidRDefault="000F36A1">
            <w:pPr>
              <w:pStyle w:val="afa"/>
            </w:pPr>
            <w:r>
              <w:rPr>
                <w:rFonts w:hint="eastAsia"/>
              </w:rPr>
              <w:t>南王庄村</w:t>
            </w:r>
          </w:p>
        </w:tc>
        <w:tc>
          <w:tcPr>
            <w:tcW w:w="966" w:type="pct"/>
            <w:vAlign w:val="center"/>
          </w:tcPr>
          <w:p w:rsidR="00EE56C0" w:rsidRDefault="000F36A1">
            <w:pPr>
              <w:pStyle w:val="afa"/>
            </w:pPr>
            <w:r>
              <w:rPr>
                <w:rFonts w:hint="eastAsia"/>
              </w:rPr>
              <w:t>侧向</w:t>
            </w:r>
          </w:p>
        </w:tc>
        <w:tc>
          <w:tcPr>
            <w:tcW w:w="1070" w:type="pct"/>
            <w:vAlign w:val="center"/>
          </w:tcPr>
          <w:p w:rsidR="00EE56C0" w:rsidRDefault="000F36A1">
            <w:pPr>
              <w:pStyle w:val="afa"/>
            </w:pPr>
            <w:r>
              <w:rPr>
                <w:rFonts w:hint="eastAsia"/>
              </w:rPr>
              <w:t>850</w:t>
            </w:r>
          </w:p>
        </w:tc>
        <w:tc>
          <w:tcPr>
            <w:tcW w:w="1027" w:type="pct"/>
            <w:vAlign w:val="center"/>
          </w:tcPr>
          <w:p w:rsidR="00EE56C0" w:rsidRDefault="000F36A1">
            <w:pPr>
              <w:pStyle w:val="afa"/>
            </w:pPr>
            <w:r>
              <w:rPr>
                <w:rFonts w:hint="eastAsia"/>
              </w:rPr>
              <w:t>水位</w:t>
            </w:r>
          </w:p>
        </w:tc>
      </w:tr>
      <w:tr w:rsidR="00EE56C0">
        <w:trPr>
          <w:cantSplit/>
          <w:trHeight w:val="425"/>
          <w:jc w:val="center"/>
        </w:trPr>
        <w:tc>
          <w:tcPr>
            <w:tcW w:w="777" w:type="pct"/>
            <w:vAlign w:val="center"/>
          </w:tcPr>
          <w:p w:rsidR="00EE56C0" w:rsidRDefault="000F36A1">
            <w:pPr>
              <w:pStyle w:val="afa"/>
            </w:pPr>
            <w:r>
              <w:rPr>
                <w:rFonts w:hint="eastAsia"/>
              </w:rPr>
              <w:t>6#</w:t>
            </w:r>
          </w:p>
        </w:tc>
        <w:tc>
          <w:tcPr>
            <w:tcW w:w="1159" w:type="pct"/>
            <w:vAlign w:val="center"/>
          </w:tcPr>
          <w:p w:rsidR="00EE56C0" w:rsidRDefault="000F36A1">
            <w:pPr>
              <w:pStyle w:val="afa"/>
            </w:pPr>
            <w:r>
              <w:rPr>
                <w:rFonts w:hint="eastAsia"/>
              </w:rPr>
              <w:t>东王庄村</w:t>
            </w:r>
          </w:p>
        </w:tc>
        <w:tc>
          <w:tcPr>
            <w:tcW w:w="966" w:type="pct"/>
            <w:vAlign w:val="center"/>
          </w:tcPr>
          <w:p w:rsidR="00EE56C0" w:rsidRDefault="000F36A1">
            <w:pPr>
              <w:pStyle w:val="afa"/>
            </w:pPr>
            <w:r>
              <w:rPr>
                <w:rFonts w:hint="eastAsia"/>
              </w:rPr>
              <w:t>下游</w:t>
            </w:r>
          </w:p>
        </w:tc>
        <w:tc>
          <w:tcPr>
            <w:tcW w:w="1070" w:type="pct"/>
            <w:vAlign w:val="center"/>
          </w:tcPr>
          <w:p w:rsidR="00EE56C0" w:rsidRDefault="000F36A1">
            <w:pPr>
              <w:pStyle w:val="afa"/>
            </w:pPr>
            <w:r>
              <w:rPr>
                <w:rFonts w:hint="eastAsia"/>
              </w:rPr>
              <w:t>4480</w:t>
            </w:r>
          </w:p>
        </w:tc>
        <w:tc>
          <w:tcPr>
            <w:tcW w:w="1027" w:type="pct"/>
            <w:vAlign w:val="center"/>
          </w:tcPr>
          <w:p w:rsidR="00EE56C0" w:rsidRDefault="000F36A1">
            <w:pPr>
              <w:pStyle w:val="afa"/>
            </w:pPr>
            <w:r>
              <w:rPr>
                <w:rFonts w:hint="eastAsia"/>
              </w:rPr>
              <w:t>水位</w:t>
            </w:r>
          </w:p>
        </w:tc>
      </w:tr>
    </w:tbl>
    <w:p w:rsidR="00EE56C0" w:rsidRDefault="000F36A1">
      <w:pPr>
        <w:pStyle w:val="5"/>
      </w:pPr>
      <w:r>
        <w:rPr>
          <w:rFonts w:hint="eastAsia"/>
        </w:rPr>
        <w:t>二、监测因子</w:t>
      </w:r>
    </w:p>
    <w:p w:rsidR="00EE56C0" w:rsidRDefault="000F36A1">
      <w:pPr>
        <w:ind w:firstLine="480"/>
      </w:pPr>
      <w:r>
        <w:t>本次地下水</w:t>
      </w:r>
      <w:r>
        <w:rPr>
          <w:rFonts w:hint="eastAsia"/>
        </w:rPr>
        <w:t>水质</w:t>
      </w:r>
      <w:r>
        <w:t>现状监测因子选取</w:t>
      </w:r>
      <w:r>
        <w:rPr>
          <w:kern w:val="2"/>
          <w:szCs w:val="28"/>
        </w:rPr>
        <w:t>pH</w:t>
      </w:r>
      <w:r>
        <w:rPr>
          <w:kern w:val="2"/>
          <w:szCs w:val="28"/>
        </w:rPr>
        <w:t>、</w:t>
      </w:r>
      <w:r>
        <w:rPr>
          <w:kern w:val="2"/>
          <w:szCs w:val="28"/>
        </w:rPr>
        <w:t>K</w:t>
      </w:r>
      <w:r>
        <w:rPr>
          <w:kern w:val="2"/>
          <w:szCs w:val="28"/>
          <w:vertAlign w:val="superscript"/>
        </w:rPr>
        <w:t>+</w:t>
      </w:r>
      <w:r>
        <w:rPr>
          <w:kern w:val="2"/>
          <w:szCs w:val="28"/>
        </w:rPr>
        <w:t>、</w:t>
      </w:r>
      <w:r>
        <w:rPr>
          <w:kern w:val="2"/>
          <w:szCs w:val="28"/>
        </w:rPr>
        <w:t>Na</w:t>
      </w:r>
      <w:r>
        <w:rPr>
          <w:kern w:val="2"/>
          <w:szCs w:val="28"/>
          <w:vertAlign w:val="superscript"/>
        </w:rPr>
        <w:t>+</w:t>
      </w:r>
      <w:r>
        <w:rPr>
          <w:kern w:val="2"/>
          <w:szCs w:val="28"/>
        </w:rPr>
        <w:t>、</w:t>
      </w:r>
      <w:r>
        <w:rPr>
          <w:kern w:val="2"/>
          <w:szCs w:val="28"/>
        </w:rPr>
        <w:t>Ca</w:t>
      </w:r>
      <w:r>
        <w:rPr>
          <w:kern w:val="2"/>
          <w:szCs w:val="28"/>
          <w:vertAlign w:val="superscript"/>
        </w:rPr>
        <w:t>2+</w:t>
      </w:r>
      <w:r>
        <w:rPr>
          <w:kern w:val="2"/>
          <w:szCs w:val="28"/>
        </w:rPr>
        <w:t>、</w:t>
      </w:r>
      <w:r>
        <w:rPr>
          <w:kern w:val="2"/>
          <w:szCs w:val="28"/>
        </w:rPr>
        <w:t>Mg</w:t>
      </w:r>
      <w:r>
        <w:rPr>
          <w:kern w:val="2"/>
          <w:szCs w:val="28"/>
          <w:vertAlign w:val="superscript"/>
        </w:rPr>
        <w:t>2+</w:t>
      </w:r>
      <w:r>
        <w:rPr>
          <w:kern w:val="2"/>
          <w:szCs w:val="28"/>
        </w:rPr>
        <w:t>、</w:t>
      </w:r>
      <w:r>
        <w:rPr>
          <w:kern w:val="2"/>
          <w:szCs w:val="28"/>
        </w:rPr>
        <w:t>CO</w:t>
      </w:r>
      <w:r>
        <w:rPr>
          <w:kern w:val="2"/>
          <w:szCs w:val="28"/>
          <w:vertAlign w:val="subscript"/>
        </w:rPr>
        <w:t>3</w:t>
      </w:r>
      <w:r>
        <w:rPr>
          <w:kern w:val="2"/>
          <w:szCs w:val="28"/>
          <w:vertAlign w:val="superscript"/>
        </w:rPr>
        <w:t>2-</w:t>
      </w:r>
      <w:r>
        <w:rPr>
          <w:kern w:val="2"/>
          <w:szCs w:val="28"/>
        </w:rPr>
        <w:t>、</w:t>
      </w:r>
      <w:r>
        <w:rPr>
          <w:kern w:val="2"/>
          <w:szCs w:val="28"/>
        </w:rPr>
        <w:t>HCO</w:t>
      </w:r>
      <w:r>
        <w:rPr>
          <w:kern w:val="2"/>
          <w:szCs w:val="28"/>
          <w:vertAlign w:val="superscript"/>
        </w:rPr>
        <w:t>3-</w:t>
      </w:r>
      <w:r>
        <w:rPr>
          <w:rFonts w:hint="eastAsia"/>
          <w:kern w:val="2"/>
          <w:szCs w:val="28"/>
        </w:rPr>
        <w:t>、</w:t>
      </w:r>
      <w:r>
        <w:rPr>
          <w:rFonts w:hint="eastAsia"/>
          <w:kern w:val="2"/>
          <w:szCs w:val="28"/>
        </w:rPr>
        <w:t>Cl</w:t>
      </w:r>
      <w:r>
        <w:rPr>
          <w:rFonts w:hint="eastAsia"/>
          <w:kern w:val="2"/>
          <w:szCs w:val="28"/>
          <w:vertAlign w:val="superscript"/>
        </w:rPr>
        <w:t>-</w:t>
      </w:r>
      <w:r>
        <w:rPr>
          <w:rFonts w:hint="eastAsia"/>
          <w:kern w:val="2"/>
          <w:szCs w:val="28"/>
        </w:rPr>
        <w:t>、</w:t>
      </w:r>
      <w:r>
        <w:rPr>
          <w:rFonts w:hint="eastAsia"/>
          <w:kern w:val="2"/>
          <w:szCs w:val="28"/>
        </w:rPr>
        <w:t>S</w:t>
      </w:r>
      <w:r>
        <w:rPr>
          <w:kern w:val="2"/>
          <w:szCs w:val="28"/>
        </w:rPr>
        <w:t>O</w:t>
      </w:r>
      <w:r>
        <w:rPr>
          <w:rFonts w:hint="eastAsia"/>
          <w:kern w:val="2"/>
          <w:szCs w:val="28"/>
          <w:vertAlign w:val="subscript"/>
        </w:rPr>
        <w:t>4</w:t>
      </w:r>
      <w:r>
        <w:rPr>
          <w:kern w:val="2"/>
          <w:szCs w:val="28"/>
          <w:vertAlign w:val="superscript"/>
        </w:rPr>
        <w:t>2-</w:t>
      </w:r>
      <w:r>
        <w:rPr>
          <w:rFonts w:hint="eastAsia"/>
          <w:kern w:val="2"/>
          <w:szCs w:val="28"/>
        </w:rPr>
        <w:t>、</w:t>
      </w:r>
      <w:r>
        <w:rPr>
          <w:kern w:val="2"/>
          <w:szCs w:val="28"/>
        </w:rPr>
        <w:t>氨氮</w:t>
      </w:r>
      <w:r>
        <w:rPr>
          <w:rFonts w:hint="eastAsia"/>
          <w:kern w:val="2"/>
          <w:szCs w:val="28"/>
        </w:rPr>
        <w:t>、亚硝酸盐、硝酸盐、挥发性酚类、总硬度、汞、铬</w:t>
      </w:r>
      <w:r>
        <w:rPr>
          <w:kern w:val="2"/>
          <w:szCs w:val="28"/>
        </w:rPr>
        <w:t>(</w:t>
      </w:r>
      <w:r>
        <w:rPr>
          <w:rFonts w:hint="eastAsia"/>
          <w:kern w:val="2"/>
          <w:szCs w:val="28"/>
        </w:rPr>
        <w:t>六价</w:t>
      </w:r>
      <w:r>
        <w:rPr>
          <w:kern w:val="2"/>
          <w:szCs w:val="28"/>
        </w:rPr>
        <w:t>)</w:t>
      </w:r>
      <w:r>
        <w:rPr>
          <w:rFonts w:hint="eastAsia"/>
          <w:kern w:val="2"/>
          <w:szCs w:val="28"/>
        </w:rPr>
        <w:t>、铅、氟、镉、铁、锰、溶解性总固体、高锰酸盐指数、氰化物、砷、动植物油</w:t>
      </w:r>
      <w:r>
        <w:rPr>
          <w:rFonts w:ascii="宋体e眠副浡渀." w:eastAsia="宋体e眠副浡渀." w:cs="宋体e眠副浡渀." w:hint="eastAsia"/>
        </w:rPr>
        <w:t>。水位监测点</w:t>
      </w:r>
      <w:r>
        <w:t>监测井深、水位和水温</w:t>
      </w:r>
      <w:r>
        <w:rPr>
          <w:rFonts w:hint="eastAsia"/>
        </w:rPr>
        <w:t>。</w:t>
      </w:r>
    </w:p>
    <w:p w:rsidR="00EE56C0" w:rsidRDefault="000F36A1">
      <w:pPr>
        <w:pStyle w:val="5"/>
      </w:pPr>
      <w:r>
        <w:rPr>
          <w:rFonts w:hint="eastAsia"/>
        </w:rPr>
        <w:t>三、监测方法及频率</w:t>
      </w:r>
    </w:p>
    <w:p w:rsidR="00EE56C0" w:rsidRDefault="000F36A1">
      <w:pPr>
        <w:ind w:firstLine="480"/>
      </w:pPr>
      <w:r>
        <w:rPr>
          <w:rFonts w:hint="eastAsia"/>
        </w:rPr>
        <w:t>监测点位及监测因子</w:t>
      </w:r>
      <w:bookmarkEnd w:id="285"/>
      <w:bookmarkEnd w:id="286"/>
      <w:r>
        <w:rPr>
          <w:rFonts w:hint="eastAsia"/>
        </w:rPr>
        <w:t>详见表</w:t>
      </w:r>
      <w:r>
        <w:rPr>
          <w:rFonts w:hint="eastAsia"/>
        </w:rPr>
        <w:t>4</w:t>
      </w:r>
      <w:r>
        <w:t>-1</w:t>
      </w:r>
      <w:r>
        <w:rPr>
          <w:rFonts w:hint="eastAsia"/>
        </w:rPr>
        <w:t>4</w:t>
      </w:r>
      <w:r>
        <w:rPr>
          <w:rFonts w:hint="eastAsia"/>
        </w:rPr>
        <w:t>。</w:t>
      </w:r>
    </w:p>
    <w:p w:rsidR="00EE56C0" w:rsidRDefault="00EE56C0">
      <w:pPr>
        <w:pStyle w:val="afd"/>
        <w:spacing w:before="120" w:after="120"/>
        <w:ind w:firstLine="482"/>
        <w:rPr>
          <w:bCs/>
        </w:rPr>
      </w:pPr>
    </w:p>
    <w:p w:rsidR="00EE56C0" w:rsidRDefault="00EE56C0">
      <w:pPr>
        <w:pStyle w:val="afd"/>
        <w:spacing w:before="120" w:after="120"/>
        <w:ind w:firstLine="482"/>
        <w:rPr>
          <w:bCs/>
        </w:rPr>
      </w:pPr>
    </w:p>
    <w:p w:rsidR="00EE56C0" w:rsidRDefault="00EE56C0">
      <w:pPr>
        <w:pStyle w:val="afd"/>
        <w:spacing w:before="120" w:after="120"/>
        <w:ind w:firstLine="482"/>
        <w:rPr>
          <w:bCs/>
        </w:rPr>
      </w:pPr>
    </w:p>
    <w:p w:rsidR="00EE56C0" w:rsidRDefault="000F36A1">
      <w:pPr>
        <w:pStyle w:val="afd"/>
        <w:spacing w:before="120" w:after="120"/>
        <w:ind w:firstLine="482"/>
      </w:pPr>
      <w:r>
        <w:rPr>
          <w:bCs/>
        </w:rPr>
        <w:lastRenderedPageBreak/>
        <w:t>表</w:t>
      </w:r>
      <w:r>
        <w:rPr>
          <w:rFonts w:hint="eastAsia"/>
          <w:bCs/>
        </w:rPr>
        <w:t xml:space="preserve">4-14         </w:t>
      </w:r>
      <w:r>
        <w:rPr>
          <w:rFonts w:hint="eastAsia"/>
        </w:rPr>
        <w:t>地下水</w:t>
      </w:r>
      <w:r>
        <w:t>检测分析方法及所用仪器一览表</w:t>
      </w:r>
    </w:p>
    <w:tbl>
      <w:tblPr>
        <w:tblW w:w="5000" w:type="pct"/>
        <w:jc w:val="center"/>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CellMar>
          <w:left w:w="57" w:type="dxa"/>
          <w:right w:w="57" w:type="dxa"/>
        </w:tblCellMar>
        <w:tblLook w:val="04A0"/>
      </w:tblPr>
      <w:tblGrid>
        <w:gridCol w:w="499"/>
        <w:gridCol w:w="939"/>
        <w:gridCol w:w="3305"/>
        <w:gridCol w:w="1640"/>
        <w:gridCol w:w="937"/>
        <w:gridCol w:w="1106"/>
      </w:tblGrid>
      <w:tr w:rsidR="00EE56C0">
        <w:trPr>
          <w:trHeight w:val="397"/>
          <w:tblHeader/>
          <w:jc w:val="center"/>
        </w:trPr>
        <w:tc>
          <w:tcPr>
            <w:tcW w:w="304" w:type="pct"/>
            <w:vAlign w:val="center"/>
          </w:tcPr>
          <w:p w:rsidR="00EE56C0" w:rsidRDefault="000F36A1">
            <w:pPr>
              <w:pStyle w:val="afa"/>
              <w:ind w:firstLine="482"/>
              <w:rPr>
                <w:b/>
              </w:rPr>
            </w:pPr>
            <w:r>
              <w:rPr>
                <w:b/>
              </w:rPr>
              <w:t>序号</w:t>
            </w:r>
          </w:p>
        </w:tc>
        <w:tc>
          <w:tcPr>
            <w:tcW w:w="565" w:type="pct"/>
            <w:vAlign w:val="center"/>
          </w:tcPr>
          <w:p w:rsidR="00EE56C0" w:rsidRDefault="000F36A1">
            <w:pPr>
              <w:pStyle w:val="afa"/>
              <w:rPr>
                <w:b/>
              </w:rPr>
            </w:pPr>
            <w:r>
              <w:rPr>
                <w:b/>
              </w:rPr>
              <w:t>项目</w:t>
            </w:r>
          </w:p>
        </w:tc>
        <w:tc>
          <w:tcPr>
            <w:tcW w:w="1969" w:type="pct"/>
            <w:vAlign w:val="center"/>
          </w:tcPr>
          <w:p w:rsidR="00EE56C0" w:rsidRDefault="000F36A1">
            <w:pPr>
              <w:pStyle w:val="afa"/>
              <w:rPr>
                <w:b/>
              </w:rPr>
            </w:pPr>
            <w:r>
              <w:rPr>
                <w:b/>
              </w:rPr>
              <w:t>检测方法标准号或来源</w:t>
            </w:r>
          </w:p>
        </w:tc>
        <w:tc>
          <w:tcPr>
            <w:tcW w:w="981" w:type="pct"/>
            <w:tcMar>
              <w:top w:w="0" w:type="dxa"/>
              <w:left w:w="57" w:type="dxa"/>
              <w:bottom w:w="0" w:type="dxa"/>
              <w:right w:w="57" w:type="dxa"/>
            </w:tcMar>
            <w:vAlign w:val="center"/>
          </w:tcPr>
          <w:p w:rsidR="00EE56C0" w:rsidRDefault="000F36A1">
            <w:pPr>
              <w:pStyle w:val="afa"/>
              <w:rPr>
                <w:b/>
              </w:rPr>
            </w:pPr>
            <w:r>
              <w:rPr>
                <w:b/>
              </w:rPr>
              <w:t>使用仪器</w:t>
            </w:r>
          </w:p>
        </w:tc>
        <w:tc>
          <w:tcPr>
            <w:tcW w:w="517" w:type="pct"/>
            <w:vAlign w:val="center"/>
          </w:tcPr>
          <w:p w:rsidR="00EE56C0" w:rsidRDefault="000F36A1">
            <w:pPr>
              <w:pStyle w:val="afa"/>
              <w:rPr>
                <w:b/>
              </w:rPr>
            </w:pPr>
            <w:r>
              <w:rPr>
                <w:b/>
              </w:rPr>
              <w:t>检出限</w:t>
            </w:r>
          </w:p>
        </w:tc>
        <w:tc>
          <w:tcPr>
            <w:tcW w:w="664" w:type="pct"/>
            <w:vAlign w:val="center"/>
          </w:tcPr>
          <w:p w:rsidR="00EE56C0" w:rsidRDefault="000F36A1">
            <w:pPr>
              <w:pStyle w:val="afa"/>
              <w:rPr>
                <w:b/>
              </w:rPr>
            </w:pPr>
            <w:r>
              <w:rPr>
                <w:rFonts w:hint="eastAsia"/>
                <w:b/>
              </w:rPr>
              <w:t>监测频率</w:t>
            </w:r>
          </w:p>
        </w:tc>
      </w:tr>
      <w:tr w:rsidR="00EE56C0">
        <w:trPr>
          <w:trHeight w:val="397"/>
          <w:jc w:val="center"/>
        </w:trPr>
        <w:tc>
          <w:tcPr>
            <w:tcW w:w="304" w:type="pct"/>
            <w:vAlign w:val="center"/>
          </w:tcPr>
          <w:p w:rsidR="00EE56C0" w:rsidRDefault="000F36A1">
            <w:pPr>
              <w:pStyle w:val="afa"/>
            </w:pPr>
            <w:r>
              <w:t>1</w:t>
            </w:r>
          </w:p>
        </w:tc>
        <w:tc>
          <w:tcPr>
            <w:tcW w:w="565" w:type="pct"/>
            <w:vAlign w:val="center"/>
          </w:tcPr>
          <w:p w:rsidR="00EE56C0" w:rsidRDefault="000F36A1">
            <w:pPr>
              <w:pStyle w:val="afa"/>
            </w:pPr>
            <w:r>
              <w:t>K</w:t>
            </w:r>
            <w:r>
              <w:rPr>
                <w:vertAlign w:val="superscript"/>
              </w:rPr>
              <w:t>+</w:t>
            </w:r>
          </w:p>
        </w:tc>
        <w:tc>
          <w:tcPr>
            <w:tcW w:w="1969" w:type="pct"/>
            <w:vAlign w:val="center"/>
          </w:tcPr>
          <w:p w:rsidR="00EE56C0" w:rsidRDefault="000F36A1">
            <w:pPr>
              <w:pStyle w:val="afa"/>
            </w:pPr>
            <w:r>
              <w:t>《水质</w:t>
            </w:r>
            <w:r>
              <w:t xml:space="preserve"> </w:t>
            </w:r>
            <w:r>
              <w:t>钾和钠的测定</w:t>
            </w:r>
            <w:r>
              <w:t xml:space="preserve"> </w:t>
            </w:r>
            <w:r>
              <w:t>火焰原子吸收分光光度法》</w:t>
            </w:r>
          </w:p>
          <w:p w:rsidR="00EE56C0" w:rsidRDefault="000F36A1">
            <w:pPr>
              <w:pStyle w:val="afa"/>
            </w:pPr>
            <w:r>
              <w:t>GB/T 11904-1989</w:t>
            </w:r>
          </w:p>
        </w:tc>
        <w:tc>
          <w:tcPr>
            <w:tcW w:w="981" w:type="pct"/>
            <w:tcMar>
              <w:top w:w="0" w:type="dxa"/>
              <w:left w:w="57" w:type="dxa"/>
              <w:bottom w:w="0" w:type="dxa"/>
              <w:right w:w="57" w:type="dxa"/>
            </w:tcMar>
            <w:vAlign w:val="center"/>
          </w:tcPr>
          <w:p w:rsidR="00EE56C0" w:rsidRDefault="000F36A1">
            <w:pPr>
              <w:pStyle w:val="afa"/>
            </w:pPr>
            <w:r>
              <w:rPr>
                <w:rFonts w:hint="eastAsia"/>
              </w:rPr>
              <w:t>原子吸收分光光度计</w:t>
            </w:r>
            <w:r>
              <w:t>TAS-990AFG</w:t>
            </w:r>
          </w:p>
        </w:tc>
        <w:tc>
          <w:tcPr>
            <w:tcW w:w="517" w:type="pct"/>
            <w:vAlign w:val="center"/>
          </w:tcPr>
          <w:p w:rsidR="00EE56C0" w:rsidRDefault="000F36A1">
            <w:pPr>
              <w:pStyle w:val="afa"/>
              <w:rPr>
                <w:bCs/>
              </w:rPr>
            </w:pPr>
            <w:r>
              <w:t>/</w:t>
            </w:r>
          </w:p>
        </w:tc>
        <w:tc>
          <w:tcPr>
            <w:tcW w:w="664" w:type="pct"/>
            <w:vMerge w:val="restart"/>
            <w:vAlign w:val="center"/>
          </w:tcPr>
          <w:p w:rsidR="00EE56C0" w:rsidRDefault="000F36A1">
            <w:pPr>
              <w:pStyle w:val="afa"/>
            </w:pPr>
            <w:r>
              <w:rPr>
                <w:rFonts w:hint="eastAsia"/>
              </w:rPr>
              <w:t>一次性连续监测</w:t>
            </w:r>
            <w:r>
              <w:rPr>
                <w:rFonts w:hint="eastAsia"/>
              </w:rPr>
              <w:t>3</w:t>
            </w:r>
            <w:r>
              <w:rPr>
                <w:rFonts w:hint="eastAsia"/>
              </w:rPr>
              <w:t>天，每天</w:t>
            </w:r>
            <w:r>
              <w:rPr>
                <w:rFonts w:hint="eastAsia"/>
              </w:rPr>
              <w:t>1</w:t>
            </w:r>
            <w:r>
              <w:rPr>
                <w:rFonts w:hint="eastAsia"/>
              </w:rPr>
              <w:t>次</w:t>
            </w:r>
          </w:p>
        </w:tc>
      </w:tr>
      <w:tr w:rsidR="00EE56C0">
        <w:trPr>
          <w:trHeight w:val="397"/>
          <w:jc w:val="center"/>
        </w:trPr>
        <w:tc>
          <w:tcPr>
            <w:tcW w:w="304" w:type="pct"/>
            <w:vAlign w:val="center"/>
          </w:tcPr>
          <w:p w:rsidR="00EE56C0" w:rsidRDefault="000F36A1">
            <w:pPr>
              <w:pStyle w:val="afa"/>
            </w:pPr>
            <w:r>
              <w:t>2</w:t>
            </w:r>
          </w:p>
        </w:tc>
        <w:tc>
          <w:tcPr>
            <w:tcW w:w="565" w:type="pct"/>
            <w:vAlign w:val="center"/>
          </w:tcPr>
          <w:p w:rsidR="00EE56C0" w:rsidRDefault="000F36A1">
            <w:pPr>
              <w:pStyle w:val="afa"/>
            </w:pPr>
            <w:r>
              <w:t>Na</w:t>
            </w:r>
            <w:r>
              <w:rPr>
                <w:vertAlign w:val="superscript"/>
              </w:rPr>
              <w:t>+</w:t>
            </w:r>
          </w:p>
        </w:tc>
        <w:tc>
          <w:tcPr>
            <w:tcW w:w="1969" w:type="pct"/>
            <w:vAlign w:val="center"/>
          </w:tcPr>
          <w:p w:rsidR="00EE56C0" w:rsidRDefault="000F36A1">
            <w:pPr>
              <w:pStyle w:val="afa"/>
            </w:pPr>
            <w:r>
              <w:t>《水质</w:t>
            </w:r>
            <w:r>
              <w:t xml:space="preserve"> </w:t>
            </w:r>
            <w:r>
              <w:t>钾和钠的测定</w:t>
            </w:r>
            <w:r>
              <w:t xml:space="preserve"> </w:t>
            </w:r>
            <w:r>
              <w:t>火焰原子吸收分光光度法》</w:t>
            </w:r>
          </w:p>
          <w:p w:rsidR="00EE56C0" w:rsidRDefault="000F36A1">
            <w:pPr>
              <w:pStyle w:val="afa"/>
            </w:pPr>
            <w:r>
              <w:t>GB/T 11904-1989</w:t>
            </w:r>
          </w:p>
        </w:tc>
        <w:tc>
          <w:tcPr>
            <w:tcW w:w="981" w:type="pct"/>
            <w:tcMar>
              <w:top w:w="0" w:type="dxa"/>
              <w:left w:w="57" w:type="dxa"/>
              <w:bottom w:w="0" w:type="dxa"/>
              <w:right w:w="57" w:type="dxa"/>
            </w:tcMar>
            <w:vAlign w:val="center"/>
          </w:tcPr>
          <w:p w:rsidR="00EE56C0" w:rsidRDefault="000F36A1">
            <w:pPr>
              <w:pStyle w:val="afa"/>
            </w:pPr>
            <w:r>
              <w:rPr>
                <w:rFonts w:hint="eastAsia"/>
              </w:rPr>
              <w:t>原子吸收分光光度计</w:t>
            </w:r>
            <w:r>
              <w:t>TAS-990AFG</w:t>
            </w:r>
          </w:p>
        </w:tc>
        <w:tc>
          <w:tcPr>
            <w:tcW w:w="517" w:type="pct"/>
            <w:vAlign w:val="center"/>
          </w:tcPr>
          <w:p w:rsidR="00EE56C0" w:rsidRDefault="000F36A1">
            <w:pPr>
              <w:pStyle w:val="afa"/>
            </w:pPr>
            <w:r>
              <w:rPr>
                <w:rFonts w:hint="eastAsia"/>
                <w:bCs/>
              </w:rPr>
              <w:t>/</w:t>
            </w:r>
          </w:p>
        </w:tc>
        <w:tc>
          <w:tcPr>
            <w:tcW w:w="664" w:type="pct"/>
            <w:vMerge/>
            <w:vAlign w:val="center"/>
          </w:tcPr>
          <w:p w:rsidR="00EE56C0" w:rsidRDefault="00EE56C0">
            <w:pPr>
              <w:pStyle w:val="afa"/>
            </w:pPr>
          </w:p>
        </w:tc>
      </w:tr>
      <w:tr w:rsidR="00EE56C0">
        <w:trPr>
          <w:trHeight w:val="397"/>
          <w:jc w:val="center"/>
        </w:trPr>
        <w:tc>
          <w:tcPr>
            <w:tcW w:w="304" w:type="pct"/>
            <w:vAlign w:val="center"/>
          </w:tcPr>
          <w:p w:rsidR="00EE56C0" w:rsidRDefault="000F36A1">
            <w:pPr>
              <w:pStyle w:val="afa"/>
            </w:pPr>
            <w:r>
              <w:t>3</w:t>
            </w:r>
          </w:p>
        </w:tc>
        <w:tc>
          <w:tcPr>
            <w:tcW w:w="565" w:type="pct"/>
            <w:vAlign w:val="center"/>
          </w:tcPr>
          <w:p w:rsidR="00EE56C0" w:rsidRDefault="000F36A1">
            <w:pPr>
              <w:pStyle w:val="afa"/>
            </w:pPr>
            <w:r>
              <w:t>Ca</w:t>
            </w:r>
            <w:r>
              <w:rPr>
                <w:vertAlign w:val="superscript"/>
              </w:rPr>
              <w:t>2+</w:t>
            </w:r>
          </w:p>
        </w:tc>
        <w:tc>
          <w:tcPr>
            <w:tcW w:w="1969" w:type="pct"/>
            <w:vAlign w:val="center"/>
          </w:tcPr>
          <w:p w:rsidR="00EE56C0" w:rsidRDefault="000F36A1">
            <w:pPr>
              <w:pStyle w:val="afa"/>
            </w:pPr>
            <w:r>
              <w:t>《水质</w:t>
            </w:r>
            <w:r>
              <w:t xml:space="preserve"> </w:t>
            </w:r>
            <w:r>
              <w:t>钙和镁的测定</w:t>
            </w:r>
            <w:r>
              <w:t xml:space="preserve"> </w:t>
            </w:r>
            <w:r>
              <w:t>原子吸收分光光度法》</w:t>
            </w:r>
            <w:r>
              <w:t>GB/T 11905-1989</w:t>
            </w:r>
          </w:p>
        </w:tc>
        <w:tc>
          <w:tcPr>
            <w:tcW w:w="981" w:type="pct"/>
            <w:tcMar>
              <w:top w:w="0" w:type="dxa"/>
              <w:left w:w="57" w:type="dxa"/>
              <w:bottom w:w="0" w:type="dxa"/>
              <w:right w:w="57" w:type="dxa"/>
            </w:tcMar>
            <w:vAlign w:val="center"/>
          </w:tcPr>
          <w:p w:rsidR="00EE56C0" w:rsidRDefault="000F36A1">
            <w:pPr>
              <w:pStyle w:val="afa"/>
            </w:pPr>
            <w:r>
              <w:rPr>
                <w:rFonts w:hint="eastAsia"/>
              </w:rPr>
              <w:t>原子吸收分光光度计</w:t>
            </w:r>
            <w:r>
              <w:t>TAS-990AFG</w:t>
            </w:r>
          </w:p>
        </w:tc>
        <w:tc>
          <w:tcPr>
            <w:tcW w:w="517" w:type="pct"/>
            <w:vAlign w:val="center"/>
          </w:tcPr>
          <w:p w:rsidR="00EE56C0" w:rsidRDefault="000F36A1">
            <w:pPr>
              <w:pStyle w:val="afa"/>
            </w:pPr>
            <w:r>
              <w:rPr>
                <w:rFonts w:hint="eastAsia"/>
                <w:bCs/>
              </w:rPr>
              <w:t>/</w:t>
            </w:r>
          </w:p>
        </w:tc>
        <w:tc>
          <w:tcPr>
            <w:tcW w:w="664" w:type="pct"/>
            <w:vMerge/>
            <w:vAlign w:val="center"/>
          </w:tcPr>
          <w:p w:rsidR="00EE56C0" w:rsidRDefault="00EE56C0">
            <w:pPr>
              <w:pStyle w:val="afa"/>
            </w:pPr>
          </w:p>
        </w:tc>
      </w:tr>
      <w:tr w:rsidR="00EE56C0">
        <w:trPr>
          <w:trHeight w:val="397"/>
          <w:jc w:val="center"/>
        </w:trPr>
        <w:tc>
          <w:tcPr>
            <w:tcW w:w="304" w:type="pct"/>
            <w:vAlign w:val="center"/>
          </w:tcPr>
          <w:p w:rsidR="00EE56C0" w:rsidRDefault="000F36A1">
            <w:pPr>
              <w:pStyle w:val="afa"/>
            </w:pPr>
            <w:r>
              <w:t>4</w:t>
            </w:r>
          </w:p>
        </w:tc>
        <w:tc>
          <w:tcPr>
            <w:tcW w:w="565" w:type="pct"/>
            <w:vAlign w:val="center"/>
          </w:tcPr>
          <w:p w:rsidR="00EE56C0" w:rsidRDefault="000F36A1">
            <w:pPr>
              <w:pStyle w:val="afa"/>
            </w:pPr>
            <w:r>
              <w:t>Mg</w:t>
            </w:r>
            <w:r>
              <w:rPr>
                <w:vertAlign w:val="superscript"/>
              </w:rPr>
              <w:t>2+</w:t>
            </w:r>
          </w:p>
        </w:tc>
        <w:tc>
          <w:tcPr>
            <w:tcW w:w="1969" w:type="pct"/>
            <w:vAlign w:val="center"/>
          </w:tcPr>
          <w:p w:rsidR="00EE56C0" w:rsidRDefault="000F36A1">
            <w:pPr>
              <w:pStyle w:val="afa"/>
            </w:pPr>
            <w:r>
              <w:t>《水质</w:t>
            </w:r>
            <w:r>
              <w:t xml:space="preserve"> </w:t>
            </w:r>
            <w:r>
              <w:t>钙和镁的测定</w:t>
            </w:r>
            <w:r>
              <w:t xml:space="preserve"> </w:t>
            </w:r>
            <w:r>
              <w:t>原子吸收分光光度法》</w:t>
            </w:r>
            <w:r>
              <w:t>GB/T 11905-1989</w:t>
            </w:r>
          </w:p>
        </w:tc>
        <w:tc>
          <w:tcPr>
            <w:tcW w:w="981" w:type="pct"/>
            <w:vAlign w:val="center"/>
          </w:tcPr>
          <w:p w:rsidR="00EE56C0" w:rsidRDefault="000F36A1">
            <w:pPr>
              <w:pStyle w:val="afa"/>
            </w:pPr>
            <w:r>
              <w:rPr>
                <w:rFonts w:hint="eastAsia"/>
              </w:rPr>
              <w:t>原子吸收分光光度计</w:t>
            </w:r>
            <w:r>
              <w:t>TAS-990AFG</w:t>
            </w:r>
          </w:p>
        </w:tc>
        <w:tc>
          <w:tcPr>
            <w:tcW w:w="517" w:type="pct"/>
            <w:vAlign w:val="center"/>
          </w:tcPr>
          <w:p w:rsidR="00EE56C0" w:rsidRDefault="000F36A1">
            <w:pPr>
              <w:pStyle w:val="afa"/>
            </w:pPr>
            <w:r>
              <w:rPr>
                <w:rFonts w:hint="eastAsia"/>
                <w:bCs/>
              </w:rPr>
              <w:t>/</w:t>
            </w:r>
          </w:p>
        </w:tc>
        <w:tc>
          <w:tcPr>
            <w:tcW w:w="664" w:type="pct"/>
            <w:vMerge/>
            <w:vAlign w:val="center"/>
          </w:tcPr>
          <w:p w:rsidR="00EE56C0" w:rsidRDefault="00EE56C0">
            <w:pPr>
              <w:pStyle w:val="afa"/>
            </w:pPr>
          </w:p>
        </w:tc>
      </w:tr>
      <w:tr w:rsidR="00EE56C0">
        <w:trPr>
          <w:trHeight w:val="397"/>
          <w:jc w:val="center"/>
        </w:trPr>
        <w:tc>
          <w:tcPr>
            <w:tcW w:w="304" w:type="pct"/>
            <w:vAlign w:val="center"/>
          </w:tcPr>
          <w:p w:rsidR="00EE56C0" w:rsidRDefault="000F36A1">
            <w:pPr>
              <w:pStyle w:val="afa"/>
            </w:pPr>
            <w:r>
              <w:t>5</w:t>
            </w:r>
          </w:p>
        </w:tc>
        <w:tc>
          <w:tcPr>
            <w:tcW w:w="565" w:type="pct"/>
            <w:vAlign w:val="center"/>
          </w:tcPr>
          <w:p w:rsidR="00EE56C0" w:rsidRDefault="000F36A1">
            <w:pPr>
              <w:pStyle w:val="afa"/>
            </w:pPr>
            <w:r>
              <w:t>CO</w:t>
            </w:r>
            <w:r>
              <w:rPr>
                <w:vertAlign w:val="subscript"/>
              </w:rPr>
              <w:t>3</w:t>
            </w:r>
            <w:r>
              <w:rPr>
                <w:vertAlign w:val="superscript"/>
              </w:rPr>
              <w:t>2-</w:t>
            </w:r>
          </w:p>
        </w:tc>
        <w:tc>
          <w:tcPr>
            <w:tcW w:w="1969" w:type="pct"/>
            <w:vAlign w:val="center"/>
          </w:tcPr>
          <w:p w:rsidR="00EE56C0" w:rsidRDefault="000F36A1">
            <w:pPr>
              <w:pStyle w:val="afa"/>
            </w:pPr>
            <w:r>
              <w:t>《水和废水监测分析方法》</w:t>
            </w:r>
            <w:r>
              <w:t>(</w:t>
            </w:r>
            <w:r>
              <w:t>第四版增补版</w:t>
            </w:r>
            <w:r>
              <w:t xml:space="preserve">) </w:t>
            </w:r>
            <w:r>
              <w:t>国家环境保护总局</w:t>
            </w:r>
            <w:r>
              <w:t>(2002</w:t>
            </w:r>
            <w:r>
              <w:t>年</w:t>
            </w:r>
            <w:r>
              <w:t xml:space="preserve">) </w:t>
            </w:r>
            <w:r>
              <w:t>第三篇第一章</w:t>
            </w:r>
            <w:r>
              <w:t xml:space="preserve"> </w:t>
            </w:r>
            <w:r>
              <w:t>理化指标</w:t>
            </w:r>
            <w:r>
              <w:t xml:space="preserve">  </w:t>
            </w:r>
            <w:r>
              <w:t>十二、碱度（总碱度、重碳酸盐和碳酸盐）（一）酸碱指示剂滴定法（</w:t>
            </w:r>
            <w:r>
              <w:t>B</w:t>
            </w:r>
            <w:r>
              <w:t>）</w:t>
            </w:r>
          </w:p>
        </w:tc>
        <w:tc>
          <w:tcPr>
            <w:tcW w:w="981" w:type="pct"/>
            <w:tcMar>
              <w:top w:w="0" w:type="dxa"/>
              <w:left w:w="57" w:type="dxa"/>
              <w:bottom w:w="0" w:type="dxa"/>
              <w:right w:w="57" w:type="dxa"/>
            </w:tcMar>
            <w:vAlign w:val="center"/>
          </w:tcPr>
          <w:p w:rsidR="00EE56C0" w:rsidRDefault="000F36A1">
            <w:pPr>
              <w:pStyle w:val="afa"/>
            </w:pPr>
            <w:r>
              <w:t>酸式滴定管</w:t>
            </w:r>
          </w:p>
        </w:tc>
        <w:tc>
          <w:tcPr>
            <w:tcW w:w="517" w:type="pct"/>
            <w:vAlign w:val="center"/>
          </w:tcPr>
          <w:p w:rsidR="00EE56C0" w:rsidRDefault="000F36A1">
            <w:pPr>
              <w:pStyle w:val="afa"/>
            </w:pPr>
            <w:r>
              <w:t>/</w:t>
            </w:r>
          </w:p>
        </w:tc>
        <w:tc>
          <w:tcPr>
            <w:tcW w:w="664" w:type="pct"/>
            <w:vMerge/>
            <w:vAlign w:val="center"/>
          </w:tcPr>
          <w:p w:rsidR="00EE56C0" w:rsidRDefault="00EE56C0">
            <w:pPr>
              <w:pStyle w:val="afa"/>
            </w:pPr>
          </w:p>
        </w:tc>
      </w:tr>
      <w:tr w:rsidR="00EE56C0">
        <w:trPr>
          <w:trHeight w:val="397"/>
          <w:jc w:val="center"/>
        </w:trPr>
        <w:tc>
          <w:tcPr>
            <w:tcW w:w="304" w:type="pct"/>
            <w:vAlign w:val="center"/>
          </w:tcPr>
          <w:p w:rsidR="00EE56C0" w:rsidRDefault="000F36A1">
            <w:pPr>
              <w:pStyle w:val="afa"/>
            </w:pPr>
            <w:r>
              <w:t>6</w:t>
            </w:r>
          </w:p>
        </w:tc>
        <w:tc>
          <w:tcPr>
            <w:tcW w:w="565" w:type="pct"/>
            <w:vAlign w:val="center"/>
          </w:tcPr>
          <w:p w:rsidR="00EE56C0" w:rsidRDefault="000F36A1">
            <w:pPr>
              <w:pStyle w:val="afa"/>
            </w:pPr>
            <w:r>
              <w:t>HCO</w:t>
            </w:r>
            <w:r>
              <w:rPr>
                <w:vertAlign w:val="subscript"/>
              </w:rPr>
              <w:t>3</w:t>
            </w:r>
            <w:r>
              <w:rPr>
                <w:vertAlign w:val="superscript"/>
              </w:rPr>
              <w:t>-</w:t>
            </w:r>
          </w:p>
        </w:tc>
        <w:tc>
          <w:tcPr>
            <w:tcW w:w="1969" w:type="pct"/>
            <w:vAlign w:val="center"/>
          </w:tcPr>
          <w:p w:rsidR="00EE56C0" w:rsidRDefault="000F36A1">
            <w:pPr>
              <w:pStyle w:val="afa"/>
            </w:pPr>
            <w:r>
              <w:t>《水和废水监测分析方法》</w:t>
            </w:r>
            <w:r>
              <w:t>(</w:t>
            </w:r>
            <w:r>
              <w:t>第四版增补版</w:t>
            </w:r>
            <w:r>
              <w:t xml:space="preserve">) </w:t>
            </w:r>
            <w:r>
              <w:t>国家环境保护总局</w:t>
            </w:r>
            <w:r>
              <w:t>(2002</w:t>
            </w:r>
            <w:r>
              <w:t>年</w:t>
            </w:r>
            <w:r>
              <w:t xml:space="preserve">) </w:t>
            </w:r>
            <w:r>
              <w:t>第三篇第一章</w:t>
            </w:r>
            <w:r>
              <w:t xml:space="preserve"> </w:t>
            </w:r>
            <w:r>
              <w:t>理化指标</w:t>
            </w:r>
            <w:r>
              <w:t xml:space="preserve">  </w:t>
            </w:r>
            <w:r>
              <w:t>十二、碱度（总碱度、重碳酸盐和碳酸盐）（一）酸碱指示剂滴定法（</w:t>
            </w:r>
            <w:r>
              <w:t>B</w:t>
            </w:r>
            <w:r>
              <w:t>）</w:t>
            </w:r>
          </w:p>
        </w:tc>
        <w:tc>
          <w:tcPr>
            <w:tcW w:w="981" w:type="pct"/>
            <w:tcMar>
              <w:top w:w="0" w:type="dxa"/>
              <w:left w:w="57" w:type="dxa"/>
              <w:bottom w:w="0" w:type="dxa"/>
              <w:right w:w="57" w:type="dxa"/>
            </w:tcMar>
            <w:vAlign w:val="center"/>
          </w:tcPr>
          <w:p w:rsidR="00EE56C0" w:rsidRDefault="000F36A1">
            <w:pPr>
              <w:pStyle w:val="afa"/>
            </w:pPr>
            <w:r>
              <w:t>酸式滴定管</w:t>
            </w:r>
          </w:p>
        </w:tc>
        <w:tc>
          <w:tcPr>
            <w:tcW w:w="517" w:type="pct"/>
            <w:vAlign w:val="center"/>
          </w:tcPr>
          <w:p w:rsidR="00EE56C0" w:rsidRDefault="000F36A1">
            <w:pPr>
              <w:pStyle w:val="afa"/>
            </w:pPr>
            <w:r>
              <w:t>/</w:t>
            </w:r>
          </w:p>
        </w:tc>
        <w:tc>
          <w:tcPr>
            <w:tcW w:w="664" w:type="pct"/>
            <w:vMerge/>
            <w:vAlign w:val="center"/>
          </w:tcPr>
          <w:p w:rsidR="00EE56C0" w:rsidRDefault="00EE56C0">
            <w:pPr>
              <w:pStyle w:val="afa"/>
            </w:pPr>
          </w:p>
        </w:tc>
      </w:tr>
      <w:tr w:rsidR="00EE56C0">
        <w:trPr>
          <w:trHeight w:val="397"/>
          <w:jc w:val="center"/>
        </w:trPr>
        <w:tc>
          <w:tcPr>
            <w:tcW w:w="304" w:type="pct"/>
            <w:vAlign w:val="center"/>
          </w:tcPr>
          <w:p w:rsidR="00EE56C0" w:rsidRDefault="000F36A1">
            <w:pPr>
              <w:pStyle w:val="afa"/>
            </w:pPr>
            <w:r>
              <w:t>7</w:t>
            </w:r>
          </w:p>
        </w:tc>
        <w:tc>
          <w:tcPr>
            <w:tcW w:w="565" w:type="pct"/>
            <w:vAlign w:val="center"/>
          </w:tcPr>
          <w:p w:rsidR="00EE56C0" w:rsidRDefault="000F36A1">
            <w:pPr>
              <w:pStyle w:val="afa"/>
            </w:pPr>
            <w:r>
              <w:t>SO</w:t>
            </w:r>
            <w:r>
              <w:rPr>
                <w:vertAlign w:val="subscript"/>
              </w:rPr>
              <w:t>4</w:t>
            </w:r>
            <w:r>
              <w:rPr>
                <w:vertAlign w:val="superscript"/>
              </w:rPr>
              <w:t>2-</w:t>
            </w:r>
          </w:p>
        </w:tc>
        <w:tc>
          <w:tcPr>
            <w:tcW w:w="1969" w:type="pct"/>
            <w:vMerge w:val="restart"/>
            <w:vAlign w:val="center"/>
          </w:tcPr>
          <w:p w:rsidR="00EE56C0" w:rsidRDefault="000F36A1">
            <w:pPr>
              <w:pStyle w:val="afa"/>
            </w:pPr>
            <w:r>
              <w:t>《水质</w:t>
            </w:r>
            <w:r>
              <w:t xml:space="preserve"> </w:t>
            </w:r>
            <w:r>
              <w:t>无机阴离子（</w:t>
            </w:r>
            <w:r>
              <w:t>F</w:t>
            </w:r>
            <w:r>
              <w:rPr>
                <w:vertAlign w:val="superscript"/>
              </w:rPr>
              <w:t>-</w:t>
            </w:r>
            <w:r>
              <w:t>、</w:t>
            </w:r>
            <w:r>
              <w:t>Cl</w:t>
            </w:r>
            <w:r>
              <w:rPr>
                <w:vertAlign w:val="superscript"/>
              </w:rPr>
              <w:t>-</w:t>
            </w:r>
            <w:r>
              <w:t>、</w:t>
            </w:r>
            <w:r>
              <w:t>NO</w:t>
            </w:r>
            <w:r>
              <w:rPr>
                <w:vertAlign w:val="subscript"/>
              </w:rPr>
              <w:t>2</w:t>
            </w:r>
            <w:r>
              <w:rPr>
                <w:vertAlign w:val="superscript"/>
              </w:rPr>
              <w:t>-</w:t>
            </w:r>
            <w:r>
              <w:t>、</w:t>
            </w:r>
            <w:r>
              <w:t>Br</w:t>
            </w:r>
            <w:r>
              <w:rPr>
                <w:vertAlign w:val="superscript"/>
              </w:rPr>
              <w:t>-</w:t>
            </w:r>
            <w:r>
              <w:t>、</w:t>
            </w:r>
            <w:r>
              <w:t>NO</w:t>
            </w:r>
            <w:r>
              <w:rPr>
                <w:vertAlign w:val="subscript"/>
              </w:rPr>
              <w:t>3</w:t>
            </w:r>
            <w:r>
              <w:rPr>
                <w:vertAlign w:val="superscript"/>
              </w:rPr>
              <w:t>-</w:t>
            </w:r>
            <w:r>
              <w:t>、</w:t>
            </w:r>
            <w:r>
              <w:t>PO</w:t>
            </w:r>
            <w:r>
              <w:rPr>
                <w:vertAlign w:val="subscript"/>
              </w:rPr>
              <w:t>4</w:t>
            </w:r>
            <w:r>
              <w:rPr>
                <w:vertAlign w:val="superscript"/>
              </w:rPr>
              <w:t>3-</w:t>
            </w:r>
            <w:r>
              <w:t>、</w:t>
            </w:r>
            <w:r>
              <w:t>SO</w:t>
            </w:r>
            <w:r>
              <w:rPr>
                <w:vertAlign w:val="subscript"/>
              </w:rPr>
              <w:t>3</w:t>
            </w:r>
            <w:r>
              <w:rPr>
                <w:vertAlign w:val="superscript"/>
              </w:rPr>
              <w:t>2-</w:t>
            </w:r>
            <w:r>
              <w:t>、</w:t>
            </w:r>
            <w:r>
              <w:t>SO</w:t>
            </w:r>
            <w:r>
              <w:rPr>
                <w:vertAlign w:val="subscript"/>
              </w:rPr>
              <w:t>4</w:t>
            </w:r>
            <w:r>
              <w:rPr>
                <w:vertAlign w:val="superscript"/>
              </w:rPr>
              <w:t>2-</w:t>
            </w:r>
            <w:r>
              <w:t>）的测定</w:t>
            </w:r>
            <w:r>
              <w:t xml:space="preserve"> </w:t>
            </w:r>
            <w:r>
              <w:t>离子色谱法》</w:t>
            </w:r>
          </w:p>
          <w:p w:rsidR="00EE56C0" w:rsidRDefault="000F36A1">
            <w:pPr>
              <w:pStyle w:val="afa"/>
            </w:pPr>
            <w:r>
              <w:t>HJ 84-2016</w:t>
            </w:r>
          </w:p>
        </w:tc>
        <w:tc>
          <w:tcPr>
            <w:tcW w:w="981" w:type="pct"/>
            <w:vMerge w:val="restart"/>
            <w:tcMar>
              <w:top w:w="0" w:type="dxa"/>
              <w:left w:w="57" w:type="dxa"/>
              <w:bottom w:w="0" w:type="dxa"/>
              <w:right w:w="57" w:type="dxa"/>
            </w:tcMar>
            <w:vAlign w:val="center"/>
          </w:tcPr>
          <w:p w:rsidR="00EE56C0" w:rsidRDefault="000F36A1">
            <w:pPr>
              <w:pStyle w:val="afa"/>
            </w:pPr>
            <w:r>
              <w:rPr>
                <w:rFonts w:hint="eastAsia"/>
              </w:rPr>
              <w:t>离子色谱仪</w:t>
            </w:r>
          </w:p>
          <w:p w:rsidR="00EE56C0" w:rsidRDefault="000F36A1">
            <w:pPr>
              <w:pStyle w:val="afa"/>
            </w:pPr>
            <w:r>
              <w:t>CIC-D100</w:t>
            </w:r>
          </w:p>
        </w:tc>
        <w:tc>
          <w:tcPr>
            <w:tcW w:w="517" w:type="pct"/>
            <w:vAlign w:val="center"/>
          </w:tcPr>
          <w:p w:rsidR="00EE56C0" w:rsidRDefault="000F36A1">
            <w:pPr>
              <w:pStyle w:val="afa"/>
            </w:pPr>
            <w:r>
              <w:t>0.018</w:t>
            </w:r>
          </w:p>
          <w:p w:rsidR="00EE56C0" w:rsidRDefault="000F36A1">
            <w:pPr>
              <w:pStyle w:val="afa"/>
            </w:pPr>
            <w:r>
              <w:t>mg/L</w:t>
            </w:r>
          </w:p>
        </w:tc>
        <w:tc>
          <w:tcPr>
            <w:tcW w:w="664" w:type="pct"/>
            <w:vMerge/>
            <w:vAlign w:val="center"/>
          </w:tcPr>
          <w:p w:rsidR="00EE56C0" w:rsidRDefault="00EE56C0">
            <w:pPr>
              <w:pStyle w:val="afa"/>
            </w:pPr>
          </w:p>
        </w:tc>
      </w:tr>
      <w:tr w:rsidR="00EE56C0">
        <w:trPr>
          <w:trHeight w:val="397"/>
          <w:jc w:val="center"/>
        </w:trPr>
        <w:tc>
          <w:tcPr>
            <w:tcW w:w="304" w:type="pct"/>
            <w:vAlign w:val="center"/>
          </w:tcPr>
          <w:p w:rsidR="00EE56C0" w:rsidRDefault="000F36A1">
            <w:pPr>
              <w:pStyle w:val="afa"/>
            </w:pPr>
            <w:r>
              <w:t>8</w:t>
            </w:r>
          </w:p>
        </w:tc>
        <w:tc>
          <w:tcPr>
            <w:tcW w:w="565" w:type="pct"/>
            <w:vAlign w:val="center"/>
          </w:tcPr>
          <w:p w:rsidR="00EE56C0" w:rsidRDefault="000F36A1">
            <w:pPr>
              <w:pStyle w:val="afa"/>
            </w:pPr>
            <w:r>
              <w:t>Cl</w:t>
            </w:r>
            <w:r>
              <w:rPr>
                <w:vertAlign w:val="superscript"/>
              </w:rPr>
              <w:t>-</w:t>
            </w:r>
          </w:p>
        </w:tc>
        <w:tc>
          <w:tcPr>
            <w:tcW w:w="1969" w:type="pct"/>
            <w:vMerge/>
            <w:vAlign w:val="center"/>
          </w:tcPr>
          <w:p w:rsidR="00EE56C0" w:rsidRDefault="00EE56C0">
            <w:pPr>
              <w:pStyle w:val="afa"/>
            </w:pPr>
          </w:p>
        </w:tc>
        <w:tc>
          <w:tcPr>
            <w:tcW w:w="981" w:type="pct"/>
            <w:vMerge/>
            <w:tcMar>
              <w:top w:w="0" w:type="dxa"/>
              <w:left w:w="57" w:type="dxa"/>
              <w:bottom w:w="0" w:type="dxa"/>
              <w:right w:w="57" w:type="dxa"/>
            </w:tcMar>
            <w:vAlign w:val="center"/>
          </w:tcPr>
          <w:p w:rsidR="00EE56C0" w:rsidRDefault="00EE56C0">
            <w:pPr>
              <w:pStyle w:val="afa"/>
            </w:pPr>
          </w:p>
        </w:tc>
        <w:tc>
          <w:tcPr>
            <w:tcW w:w="517" w:type="pct"/>
            <w:vAlign w:val="center"/>
          </w:tcPr>
          <w:p w:rsidR="00EE56C0" w:rsidRDefault="000F36A1">
            <w:pPr>
              <w:pStyle w:val="afa"/>
            </w:pPr>
            <w:r>
              <w:t>0.007</w:t>
            </w:r>
          </w:p>
          <w:p w:rsidR="00EE56C0" w:rsidRDefault="000F36A1">
            <w:pPr>
              <w:pStyle w:val="afa"/>
            </w:pPr>
            <w:r>
              <w:t>mg/L</w:t>
            </w:r>
          </w:p>
        </w:tc>
        <w:tc>
          <w:tcPr>
            <w:tcW w:w="664" w:type="pct"/>
            <w:vMerge/>
            <w:vAlign w:val="center"/>
          </w:tcPr>
          <w:p w:rsidR="00EE56C0" w:rsidRDefault="00EE56C0">
            <w:pPr>
              <w:pStyle w:val="afa"/>
            </w:pPr>
          </w:p>
        </w:tc>
      </w:tr>
      <w:tr w:rsidR="00EE56C0">
        <w:trPr>
          <w:trHeight w:val="397"/>
          <w:jc w:val="center"/>
        </w:trPr>
        <w:tc>
          <w:tcPr>
            <w:tcW w:w="304" w:type="pct"/>
            <w:vAlign w:val="center"/>
          </w:tcPr>
          <w:p w:rsidR="00EE56C0" w:rsidRDefault="000F36A1">
            <w:pPr>
              <w:pStyle w:val="afa"/>
            </w:pPr>
            <w:r>
              <w:t>9</w:t>
            </w:r>
          </w:p>
        </w:tc>
        <w:tc>
          <w:tcPr>
            <w:tcW w:w="565" w:type="pct"/>
            <w:vAlign w:val="center"/>
          </w:tcPr>
          <w:p w:rsidR="00EE56C0" w:rsidRDefault="000F36A1">
            <w:pPr>
              <w:pStyle w:val="afa"/>
            </w:pPr>
            <w:r>
              <w:t>pH</w:t>
            </w:r>
            <w:r>
              <w:t>值</w:t>
            </w:r>
          </w:p>
        </w:tc>
        <w:tc>
          <w:tcPr>
            <w:tcW w:w="1969" w:type="pct"/>
            <w:vAlign w:val="center"/>
          </w:tcPr>
          <w:p w:rsidR="00EE56C0" w:rsidRDefault="000F36A1">
            <w:pPr>
              <w:pStyle w:val="afa"/>
            </w:pPr>
            <w:r>
              <w:t>《水和废水监测分析方法》</w:t>
            </w:r>
            <w:r>
              <w:t>(</w:t>
            </w:r>
            <w:r>
              <w:t>第四版增补版</w:t>
            </w:r>
            <w:r>
              <w:t>)</w:t>
            </w:r>
            <w:r>
              <w:t>国家环境保护总局</w:t>
            </w:r>
            <w:r>
              <w:t>(2002</w:t>
            </w:r>
            <w:r>
              <w:t>年</w:t>
            </w:r>
            <w:r>
              <w:t>)</w:t>
            </w:r>
            <w:r>
              <w:t>第三篇第一章理化指标</w:t>
            </w:r>
            <w:r>
              <w:t xml:space="preserve"> </w:t>
            </w:r>
            <w:r>
              <w:t>六、</w:t>
            </w:r>
            <w:r>
              <w:t>pH</w:t>
            </w:r>
            <w:r>
              <w:t>值（二）便携式</w:t>
            </w:r>
            <w:r>
              <w:t>pH</w:t>
            </w:r>
            <w:r>
              <w:t>计法</w:t>
            </w:r>
            <w:r>
              <w:t>(B)</w:t>
            </w:r>
          </w:p>
        </w:tc>
        <w:tc>
          <w:tcPr>
            <w:tcW w:w="981" w:type="pct"/>
            <w:tcMar>
              <w:top w:w="0" w:type="dxa"/>
              <w:left w:w="57" w:type="dxa"/>
              <w:bottom w:w="0" w:type="dxa"/>
              <w:right w:w="57" w:type="dxa"/>
            </w:tcMar>
            <w:vAlign w:val="center"/>
          </w:tcPr>
          <w:p w:rsidR="00EE56C0" w:rsidRDefault="000F36A1">
            <w:pPr>
              <w:pStyle w:val="afa"/>
            </w:pPr>
            <w:r>
              <w:t>PHB-4</w:t>
            </w:r>
            <w:r>
              <w:t>便携式酸度计</w:t>
            </w:r>
          </w:p>
        </w:tc>
        <w:tc>
          <w:tcPr>
            <w:tcW w:w="517" w:type="pct"/>
            <w:vAlign w:val="center"/>
          </w:tcPr>
          <w:p w:rsidR="00EE56C0" w:rsidRDefault="000F36A1">
            <w:pPr>
              <w:pStyle w:val="afa"/>
            </w:pPr>
            <w:r>
              <w:t>/</w:t>
            </w:r>
          </w:p>
        </w:tc>
        <w:tc>
          <w:tcPr>
            <w:tcW w:w="664" w:type="pct"/>
            <w:vMerge/>
            <w:vAlign w:val="center"/>
          </w:tcPr>
          <w:p w:rsidR="00EE56C0" w:rsidRDefault="00EE56C0">
            <w:pPr>
              <w:pStyle w:val="afa"/>
            </w:pPr>
          </w:p>
        </w:tc>
      </w:tr>
      <w:tr w:rsidR="00EE56C0">
        <w:trPr>
          <w:trHeight w:val="397"/>
          <w:jc w:val="center"/>
        </w:trPr>
        <w:tc>
          <w:tcPr>
            <w:tcW w:w="304" w:type="pct"/>
            <w:vAlign w:val="center"/>
          </w:tcPr>
          <w:p w:rsidR="00EE56C0" w:rsidRDefault="000F36A1">
            <w:pPr>
              <w:pStyle w:val="afa"/>
            </w:pPr>
            <w:r>
              <w:t>10</w:t>
            </w:r>
          </w:p>
        </w:tc>
        <w:tc>
          <w:tcPr>
            <w:tcW w:w="565" w:type="pct"/>
            <w:vAlign w:val="center"/>
          </w:tcPr>
          <w:p w:rsidR="00EE56C0" w:rsidRDefault="000F36A1">
            <w:pPr>
              <w:pStyle w:val="afa"/>
            </w:pPr>
            <w:r>
              <w:t>氨氮</w:t>
            </w:r>
          </w:p>
        </w:tc>
        <w:tc>
          <w:tcPr>
            <w:tcW w:w="1969" w:type="pct"/>
            <w:vAlign w:val="center"/>
          </w:tcPr>
          <w:p w:rsidR="00EE56C0" w:rsidRDefault="000F36A1">
            <w:pPr>
              <w:pStyle w:val="afa"/>
            </w:pPr>
            <w:r>
              <w:t>《水质</w:t>
            </w:r>
            <w:r>
              <w:t xml:space="preserve"> </w:t>
            </w:r>
            <w:r>
              <w:t>氨氮的测定</w:t>
            </w:r>
            <w:r>
              <w:t xml:space="preserve"> </w:t>
            </w:r>
            <w:r>
              <w:t>纳氏试剂分光光度法》</w:t>
            </w:r>
            <w:r>
              <w:t>HJ 535-2009</w:t>
            </w:r>
          </w:p>
        </w:tc>
        <w:tc>
          <w:tcPr>
            <w:tcW w:w="981" w:type="pct"/>
            <w:tcMar>
              <w:top w:w="0" w:type="dxa"/>
              <w:left w:w="57" w:type="dxa"/>
              <w:bottom w:w="0" w:type="dxa"/>
              <w:right w:w="57" w:type="dxa"/>
            </w:tcMar>
            <w:vAlign w:val="center"/>
          </w:tcPr>
          <w:p w:rsidR="00EE56C0" w:rsidRDefault="000F36A1">
            <w:pPr>
              <w:pStyle w:val="afa"/>
            </w:pPr>
            <w:r>
              <w:rPr>
                <w:rFonts w:hint="eastAsia"/>
              </w:rPr>
              <w:t>紫外可见分光光度计</w:t>
            </w:r>
            <w:r>
              <w:t>T6</w:t>
            </w:r>
            <w:r>
              <w:rPr>
                <w:rFonts w:hint="eastAsia"/>
              </w:rPr>
              <w:t>新世纪</w:t>
            </w:r>
          </w:p>
        </w:tc>
        <w:tc>
          <w:tcPr>
            <w:tcW w:w="517" w:type="pct"/>
            <w:vAlign w:val="center"/>
          </w:tcPr>
          <w:p w:rsidR="00EE56C0" w:rsidRDefault="000F36A1">
            <w:pPr>
              <w:pStyle w:val="afa"/>
            </w:pPr>
            <w:r>
              <w:t>0.025</w:t>
            </w:r>
          </w:p>
          <w:p w:rsidR="00EE56C0" w:rsidRDefault="000F36A1">
            <w:pPr>
              <w:pStyle w:val="afa"/>
            </w:pPr>
            <w:r>
              <w:t>mg/L</w:t>
            </w:r>
          </w:p>
        </w:tc>
        <w:tc>
          <w:tcPr>
            <w:tcW w:w="664" w:type="pct"/>
            <w:vMerge/>
            <w:vAlign w:val="center"/>
          </w:tcPr>
          <w:p w:rsidR="00EE56C0" w:rsidRDefault="00EE56C0">
            <w:pPr>
              <w:pStyle w:val="afa"/>
            </w:pPr>
          </w:p>
        </w:tc>
      </w:tr>
      <w:tr w:rsidR="00EE56C0">
        <w:trPr>
          <w:trHeight w:val="397"/>
          <w:jc w:val="center"/>
        </w:trPr>
        <w:tc>
          <w:tcPr>
            <w:tcW w:w="304" w:type="pct"/>
            <w:vAlign w:val="center"/>
          </w:tcPr>
          <w:p w:rsidR="00EE56C0" w:rsidRDefault="000F36A1">
            <w:pPr>
              <w:pStyle w:val="afa"/>
            </w:pPr>
            <w:r>
              <w:t>11</w:t>
            </w:r>
          </w:p>
        </w:tc>
        <w:tc>
          <w:tcPr>
            <w:tcW w:w="565" w:type="pct"/>
            <w:vAlign w:val="center"/>
          </w:tcPr>
          <w:p w:rsidR="00EE56C0" w:rsidRDefault="000F36A1">
            <w:pPr>
              <w:pStyle w:val="afa"/>
            </w:pPr>
            <w:r>
              <w:t>总硬度</w:t>
            </w:r>
          </w:p>
        </w:tc>
        <w:tc>
          <w:tcPr>
            <w:tcW w:w="1969" w:type="pct"/>
            <w:vAlign w:val="center"/>
          </w:tcPr>
          <w:p w:rsidR="00EE56C0" w:rsidRDefault="000F36A1">
            <w:pPr>
              <w:pStyle w:val="afa"/>
            </w:pPr>
            <w:r>
              <w:rPr>
                <w:rFonts w:hint="eastAsia"/>
              </w:rPr>
              <w:t>《生活饮用水标准检验方法</w:t>
            </w:r>
            <w:r>
              <w:t> </w:t>
            </w:r>
            <w:r>
              <w:rPr>
                <w:rFonts w:hint="eastAsia"/>
              </w:rPr>
              <w:t>感官性状和物理指标》（</w:t>
            </w:r>
            <w:r>
              <w:t xml:space="preserve">7.1 </w:t>
            </w:r>
            <w:r>
              <w:rPr>
                <w:rFonts w:hint="eastAsia"/>
              </w:rPr>
              <w:t>总硬度</w:t>
            </w:r>
            <w:r>
              <w:t> </w:t>
            </w:r>
            <w:r>
              <w:rPr>
                <w:rFonts w:hint="eastAsia"/>
              </w:rPr>
              <w:t>乙二胺四乙酸二钠滴定法）</w:t>
            </w:r>
          </w:p>
          <w:p w:rsidR="00EE56C0" w:rsidRDefault="000F36A1">
            <w:pPr>
              <w:pStyle w:val="afa"/>
            </w:pPr>
            <w:r>
              <w:t>GB/T 5750.4-2006</w:t>
            </w:r>
          </w:p>
        </w:tc>
        <w:tc>
          <w:tcPr>
            <w:tcW w:w="981" w:type="pct"/>
            <w:tcMar>
              <w:top w:w="0" w:type="dxa"/>
              <w:left w:w="57" w:type="dxa"/>
              <w:bottom w:w="0" w:type="dxa"/>
              <w:right w:w="57" w:type="dxa"/>
            </w:tcMar>
            <w:vAlign w:val="center"/>
          </w:tcPr>
          <w:p w:rsidR="00EE56C0" w:rsidRDefault="000F36A1">
            <w:pPr>
              <w:pStyle w:val="afa"/>
            </w:pPr>
            <w:r>
              <w:t>酸式滴定管</w:t>
            </w:r>
          </w:p>
        </w:tc>
        <w:tc>
          <w:tcPr>
            <w:tcW w:w="517" w:type="pct"/>
            <w:vAlign w:val="center"/>
          </w:tcPr>
          <w:p w:rsidR="00EE56C0" w:rsidRDefault="000F36A1">
            <w:pPr>
              <w:pStyle w:val="afa"/>
            </w:pPr>
            <w:r>
              <w:rPr>
                <w:rFonts w:hint="eastAsia"/>
              </w:rPr>
              <w:t>/</w:t>
            </w:r>
          </w:p>
        </w:tc>
        <w:tc>
          <w:tcPr>
            <w:tcW w:w="664" w:type="pct"/>
            <w:vMerge/>
            <w:vAlign w:val="center"/>
          </w:tcPr>
          <w:p w:rsidR="00EE56C0" w:rsidRDefault="00EE56C0">
            <w:pPr>
              <w:pStyle w:val="afa"/>
            </w:pPr>
          </w:p>
        </w:tc>
      </w:tr>
      <w:tr w:rsidR="00EE56C0">
        <w:trPr>
          <w:trHeight w:val="397"/>
          <w:jc w:val="center"/>
        </w:trPr>
        <w:tc>
          <w:tcPr>
            <w:tcW w:w="304" w:type="pct"/>
            <w:vAlign w:val="center"/>
          </w:tcPr>
          <w:p w:rsidR="00EE56C0" w:rsidRDefault="000F36A1">
            <w:pPr>
              <w:pStyle w:val="afa"/>
            </w:pPr>
            <w:r>
              <w:t>12</w:t>
            </w:r>
          </w:p>
        </w:tc>
        <w:tc>
          <w:tcPr>
            <w:tcW w:w="565" w:type="pct"/>
            <w:vAlign w:val="center"/>
          </w:tcPr>
          <w:p w:rsidR="00EE56C0" w:rsidRDefault="000F36A1">
            <w:pPr>
              <w:pStyle w:val="afa"/>
            </w:pPr>
            <w:r>
              <w:t>溶解性总固体</w:t>
            </w:r>
          </w:p>
        </w:tc>
        <w:tc>
          <w:tcPr>
            <w:tcW w:w="1969" w:type="pct"/>
            <w:vAlign w:val="center"/>
          </w:tcPr>
          <w:p w:rsidR="00EE56C0" w:rsidRDefault="000F36A1">
            <w:pPr>
              <w:pStyle w:val="afa"/>
            </w:pPr>
            <w:r>
              <w:rPr>
                <w:rFonts w:hint="eastAsia"/>
              </w:rPr>
              <w:t>《生活饮用水标准检验方法</w:t>
            </w:r>
            <w:r>
              <w:t> </w:t>
            </w:r>
            <w:r>
              <w:rPr>
                <w:rFonts w:hint="eastAsia"/>
              </w:rPr>
              <w:t>感官性状和物理指标》（</w:t>
            </w:r>
            <w:r>
              <w:t xml:space="preserve">8.1 </w:t>
            </w:r>
            <w:r>
              <w:rPr>
                <w:rFonts w:hint="eastAsia"/>
              </w:rPr>
              <w:t>溶解性总固体</w:t>
            </w:r>
            <w:r>
              <w:t> </w:t>
            </w:r>
            <w:r>
              <w:rPr>
                <w:rFonts w:hint="eastAsia"/>
              </w:rPr>
              <w:t>称重法）</w:t>
            </w:r>
            <w:r>
              <w:t>GB/T 5750.4-2006</w:t>
            </w:r>
          </w:p>
        </w:tc>
        <w:tc>
          <w:tcPr>
            <w:tcW w:w="981" w:type="pct"/>
            <w:tcMar>
              <w:top w:w="0" w:type="dxa"/>
              <w:left w:w="57" w:type="dxa"/>
              <w:bottom w:w="0" w:type="dxa"/>
              <w:right w:w="57" w:type="dxa"/>
            </w:tcMar>
            <w:vAlign w:val="center"/>
          </w:tcPr>
          <w:p w:rsidR="00EE56C0" w:rsidRDefault="000F36A1">
            <w:pPr>
              <w:pStyle w:val="afa"/>
            </w:pPr>
            <w:r>
              <w:rPr>
                <w:rFonts w:hint="eastAsia"/>
              </w:rPr>
              <w:t>电子分析天平</w:t>
            </w:r>
          </w:p>
          <w:p w:rsidR="00EE56C0" w:rsidRDefault="000F36A1">
            <w:pPr>
              <w:pStyle w:val="afa"/>
            </w:pPr>
            <w:r>
              <w:t>FA224</w:t>
            </w:r>
          </w:p>
        </w:tc>
        <w:tc>
          <w:tcPr>
            <w:tcW w:w="517" w:type="pct"/>
            <w:vAlign w:val="center"/>
          </w:tcPr>
          <w:p w:rsidR="00EE56C0" w:rsidRDefault="000F36A1">
            <w:pPr>
              <w:pStyle w:val="afa"/>
            </w:pPr>
            <w:r>
              <w:rPr>
                <w:bCs/>
              </w:rPr>
              <w:t>/</w:t>
            </w:r>
          </w:p>
        </w:tc>
        <w:tc>
          <w:tcPr>
            <w:tcW w:w="664" w:type="pct"/>
            <w:vMerge/>
            <w:vAlign w:val="center"/>
          </w:tcPr>
          <w:p w:rsidR="00EE56C0" w:rsidRDefault="00EE56C0">
            <w:pPr>
              <w:pStyle w:val="afa"/>
            </w:pPr>
          </w:p>
        </w:tc>
      </w:tr>
      <w:tr w:rsidR="00EE56C0">
        <w:trPr>
          <w:trHeight w:val="397"/>
          <w:jc w:val="center"/>
        </w:trPr>
        <w:tc>
          <w:tcPr>
            <w:tcW w:w="304" w:type="pct"/>
            <w:vAlign w:val="center"/>
          </w:tcPr>
          <w:p w:rsidR="00EE56C0" w:rsidRDefault="000F36A1">
            <w:pPr>
              <w:pStyle w:val="afa"/>
            </w:pPr>
            <w:r>
              <w:t>13</w:t>
            </w:r>
          </w:p>
        </w:tc>
        <w:tc>
          <w:tcPr>
            <w:tcW w:w="565" w:type="pct"/>
            <w:vAlign w:val="center"/>
          </w:tcPr>
          <w:p w:rsidR="00EE56C0" w:rsidRDefault="000F36A1">
            <w:pPr>
              <w:pStyle w:val="afa"/>
            </w:pPr>
            <w:r>
              <w:rPr>
                <w:rFonts w:hint="eastAsia"/>
              </w:rPr>
              <w:t>硝酸盐</w:t>
            </w:r>
          </w:p>
        </w:tc>
        <w:tc>
          <w:tcPr>
            <w:tcW w:w="1969" w:type="pct"/>
            <w:vAlign w:val="center"/>
          </w:tcPr>
          <w:p w:rsidR="00EE56C0" w:rsidRDefault="000F36A1">
            <w:pPr>
              <w:pStyle w:val="afa"/>
            </w:pPr>
            <w:r>
              <w:rPr>
                <w:rFonts w:hint="eastAsia"/>
              </w:rPr>
              <w:t>《水质硝酸盐氮的测定酚二磺酸分光光度法》</w:t>
            </w:r>
          </w:p>
          <w:p w:rsidR="00EE56C0" w:rsidRDefault="000F36A1">
            <w:pPr>
              <w:pStyle w:val="afa"/>
            </w:pPr>
            <w:r>
              <w:t>GB/T 7480-1987</w:t>
            </w:r>
          </w:p>
        </w:tc>
        <w:tc>
          <w:tcPr>
            <w:tcW w:w="981" w:type="pct"/>
            <w:tcMar>
              <w:top w:w="0" w:type="dxa"/>
              <w:left w:w="57" w:type="dxa"/>
              <w:bottom w:w="0" w:type="dxa"/>
              <w:right w:w="57" w:type="dxa"/>
            </w:tcMar>
            <w:vAlign w:val="center"/>
          </w:tcPr>
          <w:p w:rsidR="00EE56C0" w:rsidRDefault="000F36A1">
            <w:pPr>
              <w:pStyle w:val="afa"/>
            </w:pPr>
            <w:r>
              <w:rPr>
                <w:rFonts w:hint="eastAsia"/>
              </w:rPr>
              <w:t>紫外可见分光光度计</w:t>
            </w:r>
            <w:r>
              <w:t>T6</w:t>
            </w:r>
            <w:r>
              <w:rPr>
                <w:rFonts w:hint="eastAsia"/>
              </w:rPr>
              <w:t>新世纪</w:t>
            </w:r>
          </w:p>
        </w:tc>
        <w:tc>
          <w:tcPr>
            <w:tcW w:w="517" w:type="pct"/>
            <w:vAlign w:val="center"/>
          </w:tcPr>
          <w:p w:rsidR="00EE56C0" w:rsidRDefault="000F36A1">
            <w:pPr>
              <w:pStyle w:val="afa"/>
            </w:pPr>
            <w:r>
              <w:rPr>
                <w:rFonts w:hint="eastAsia"/>
              </w:rPr>
              <w:t>/</w:t>
            </w:r>
          </w:p>
        </w:tc>
        <w:tc>
          <w:tcPr>
            <w:tcW w:w="664" w:type="pct"/>
            <w:vMerge/>
            <w:vAlign w:val="center"/>
          </w:tcPr>
          <w:p w:rsidR="00EE56C0" w:rsidRDefault="00EE56C0">
            <w:pPr>
              <w:pStyle w:val="afa"/>
            </w:pPr>
          </w:p>
        </w:tc>
      </w:tr>
      <w:tr w:rsidR="00EE56C0">
        <w:trPr>
          <w:trHeight w:val="397"/>
          <w:jc w:val="center"/>
        </w:trPr>
        <w:tc>
          <w:tcPr>
            <w:tcW w:w="304" w:type="pct"/>
            <w:vAlign w:val="center"/>
          </w:tcPr>
          <w:p w:rsidR="00EE56C0" w:rsidRDefault="000F36A1">
            <w:pPr>
              <w:pStyle w:val="afa"/>
            </w:pPr>
            <w:r>
              <w:t>14</w:t>
            </w:r>
          </w:p>
        </w:tc>
        <w:tc>
          <w:tcPr>
            <w:tcW w:w="565" w:type="pct"/>
            <w:vAlign w:val="center"/>
          </w:tcPr>
          <w:p w:rsidR="00EE56C0" w:rsidRDefault="000F36A1">
            <w:pPr>
              <w:pStyle w:val="afa"/>
            </w:pPr>
            <w:r>
              <w:t>亚硝酸盐</w:t>
            </w:r>
            <w:r>
              <w:rPr>
                <w:rFonts w:hint="eastAsia"/>
              </w:rPr>
              <w:t>（以</w:t>
            </w:r>
            <w:r>
              <w:rPr>
                <w:rFonts w:hint="eastAsia"/>
              </w:rPr>
              <w:t>N</w:t>
            </w:r>
            <w:r>
              <w:rPr>
                <w:rFonts w:hint="eastAsia"/>
              </w:rPr>
              <w:t>计）</w:t>
            </w:r>
          </w:p>
        </w:tc>
        <w:tc>
          <w:tcPr>
            <w:tcW w:w="1969" w:type="pct"/>
            <w:vAlign w:val="center"/>
          </w:tcPr>
          <w:p w:rsidR="00EE56C0" w:rsidRDefault="000F36A1">
            <w:pPr>
              <w:pStyle w:val="afa"/>
            </w:pPr>
            <w:r>
              <w:rPr>
                <w:rFonts w:hint="eastAsia"/>
              </w:rPr>
              <w:t>《水质硝酸盐氮的测定酚二磺酸分光光度法》</w:t>
            </w:r>
          </w:p>
          <w:p w:rsidR="00EE56C0" w:rsidRDefault="000F36A1">
            <w:pPr>
              <w:pStyle w:val="afa"/>
            </w:pPr>
            <w:r>
              <w:t>GB/T 7480-1987</w:t>
            </w:r>
          </w:p>
        </w:tc>
        <w:tc>
          <w:tcPr>
            <w:tcW w:w="981" w:type="pct"/>
            <w:tcMar>
              <w:top w:w="0" w:type="dxa"/>
              <w:left w:w="57" w:type="dxa"/>
              <w:bottom w:w="0" w:type="dxa"/>
              <w:right w:w="57" w:type="dxa"/>
            </w:tcMar>
            <w:vAlign w:val="center"/>
          </w:tcPr>
          <w:p w:rsidR="00EE56C0" w:rsidRDefault="000F36A1">
            <w:pPr>
              <w:pStyle w:val="afa"/>
            </w:pPr>
            <w:r>
              <w:rPr>
                <w:rFonts w:hint="eastAsia"/>
              </w:rPr>
              <w:t>紫外可见分光光度计</w:t>
            </w:r>
            <w:r>
              <w:t>T6</w:t>
            </w:r>
            <w:r>
              <w:rPr>
                <w:rFonts w:hint="eastAsia"/>
              </w:rPr>
              <w:t>新世纪</w:t>
            </w:r>
          </w:p>
        </w:tc>
        <w:tc>
          <w:tcPr>
            <w:tcW w:w="517" w:type="pct"/>
            <w:vAlign w:val="center"/>
          </w:tcPr>
          <w:p w:rsidR="00EE56C0" w:rsidRDefault="000F36A1">
            <w:pPr>
              <w:pStyle w:val="afa"/>
            </w:pPr>
            <w:r>
              <w:rPr>
                <w:rFonts w:hint="eastAsia"/>
              </w:rPr>
              <w:t>/</w:t>
            </w:r>
          </w:p>
        </w:tc>
        <w:tc>
          <w:tcPr>
            <w:tcW w:w="664" w:type="pct"/>
            <w:vMerge/>
            <w:vAlign w:val="center"/>
          </w:tcPr>
          <w:p w:rsidR="00EE56C0" w:rsidRDefault="00EE56C0">
            <w:pPr>
              <w:pStyle w:val="afa"/>
            </w:pPr>
          </w:p>
        </w:tc>
      </w:tr>
      <w:tr w:rsidR="00EE56C0">
        <w:trPr>
          <w:trHeight w:val="397"/>
          <w:jc w:val="center"/>
        </w:trPr>
        <w:tc>
          <w:tcPr>
            <w:tcW w:w="304" w:type="pct"/>
            <w:vAlign w:val="center"/>
          </w:tcPr>
          <w:p w:rsidR="00EE56C0" w:rsidRDefault="000F36A1">
            <w:pPr>
              <w:pStyle w:val="afa"/>
            </w:pPr>
            <w:r>
              <w:t>15</w:t>
            </w:r>
          </w:p>
        </w:tc>
        <w:tc>
          <w:tcPr>
            <w:tcW w:w="565" w:type="pct"/>
            <w:vAlign w:val="center"/>
          </w:tcPr>
          <w:p w:rsidR="00EE56C0" w:rsidRDefault="000F36A1">
            <w:pPr>
              <w:pStyle w:val="afa"/>
            </w:pPr>
            <w:r>
              <w:t>挥发酚</w:t>
            </w:r>
            <w:r>
              <w:lastRenderedPageBreak/>
              <w:t>类</w:t>
            </w:r>
          </w:p>
        </w:tc>
        <w:tc>
          <w:tcPr>
            <w:tcW w:w="1969" w:type="pct"/>
            <w:vAlign w:val="center"/>
          </w:tcPr>
          <w:p w:rsidR="00EE56C0" w:rsidRDefault="000F36A1">
            <w:pPr>
              <w:pStyle w:val="afa"/>
            </w:pPr>
            <w:r>
              <w:lastRenderedPageBreak/>
              <w:t>《水质</w:t>
            </w:r>
            <w:r>
              <w:t xml:space="preserve"> </w:t>
            </w:r>
            <w:r>
              <w:t>挥发酚的测定</w:t>
            </w:r>
            <w:r>
              <w:t>4-</w:t>
            </w:r>
            <w:r>
              <w:t>氨基安替</w:t>
            </w:r>
            <w:r>
              <w:lastRenderedPageBreak/>
              <w:t>比林分光光度法》</w:t>
            </w:r>
            <w:r>
              <w:t>HJ 503-2009</w:t>
            </w:r>
          </w:p>
        </w:tc>
        <w:tc>
          <w:tcPr>
            <w:tcW w:w="981" w:type="pct"/>
            <w:tcMar>
              <w:top w:w="0" w:type="dxa"/>
              <w:left w:w="57" w:type="dxa"/>
              <w:bottom w:w="0" w:type="dxa"/>
              <w:right w:w="57" w:type="dxa"/>
            </w:tcMar>
            <w:vAlign w:val="center"/>
          </w:tcPr>
          <w:p w:rsidR="00EE56C0" w:rsidRDefault="000F36A1">
            <w:pPr>
              <w:pStyle w:val="afa"/>
            </w:pPr>
            <w:r>
              <w:rPr>
                <w:rFonts w:hint="eastAsia"/>
              </w:rPr>
              <w:lastRenderedPageBreak/>
              <w:t>紫外可见分光光</w:t>
            </w:r>
            <w:r>
              <w:rPr>
                <w:rFonts w:hint="eastAsia"/>
              </w:rPr>
              <w:lastRenderedPageBreak/>
              <w:t>度计</w:t>
            </w:r>
            <w:r>
              <w:t>T6</w:t>
            </w:r>
            <w:r>
              <w:rPr>
                <w:rFonts w:hint="eastAsia"/>
              </w:rPr>
              <w:t>新世纪</w:t>
            </w:r>
          </w:p>
        </w:tc>
        <w:tc>
          <w:tcPr>
            <w:tcW w:w="517" w:type="pct"/>
            <w:vAlign w:val="center"/>
          </w:tcPr>
          <w:p w:rsidR="00EE56C0" w:rsidRDefault="000F36A1">
            <w:pPr>
              <w:pStyle w:val="afa"/>
            </w:pPr>
            <w:r>
              <w:lastRenderedPageBreak/>
              <w:t>0.0003</w:t>
            </w:r>
          </w:p>
          <w:p w:rsidR="00EE56C0" w:rsidRDefault="000F36A1">
            <w:pPr>
              <w:pStyle w:val="afa"/>
            </w:pPr>
            <w:r>
              <w:lastRenderedPageBreak/>
              <w:t>mg/L</w:t>
            </w:r>
          </w:p>
        </w:tc>
        <w:tc>
          <w:tcPr>
            <w:tcW w:w="664" w:type="pct"/>
            <w:vMerge/>
            <w:vAlign w:val="center"/>
          </w:tcPr>
          <w:p w:rsidR="00EE56C0" w:rsidRDefault="00EE56C0">
            <w:pPr>
              <w:pStyle w:val="afa"/>
            </w:pPr>
          </w:p>
        </w:tc>
      </w:tr>
      <w:tr w:rsidR="00EE56C0">
        <w:trPr>
          <w:trHeight w:val="397"/>
          <w:jc w:val="center"/>
        </w:trPr>
        <w:tc>
          <w:tcPr>
            <w:tcW w:w="304" w:type="pct"/>
            <w:vAlign w:val="center"/>
          </w:tcPr>
          <w:p w:rsidR="00EE56C0" w:rsidRDefault="000F36A1">
            <w:pPr>
              <w:pStyle w:val="afa"/>
            </w:pPr>
            <w:r>
              <w:lastRenderedPageBreak/>
              <w:t>16</w:t>
            </w:r>
          </w:p>
        </w:tc>
        <w:tc>
          <w:tcPr>
            <w:tcW w:w="565" w:type="pct"/>
            <w:vAlign w:val="center"/>
          </w:tcPr>
          <w:p w:rsidR="00EE56C0" w:rsidRDefault="000F36A1">
            <w:pPr>
              <w:pStyle w:val="afa"/>
            </w:pPr>
            <w:r>
              <w:t>砷</w:t>
            </w:r>
          </w:p>
        </w:tc>
        <w:tc>
          <w:tcPr>
            <w:tcW w:w="1969" w:type="pct"/>
            <w:vAlign w:val="center"/>
          </w:tcPr>
          <w:p w:rsidR="00EE56C0" w:rsidRDefault="000F36A1">
            <w:pPr>
              <w:pStyle w:val="afa"/>
            </w:pPr>
            <w:r>
              <w:rPr>
                <w:rFonts w:hint="eastAsia"/>
              </w:rPr>
              <w:t>《水质汞、砷、硒、铋、锑的测定原子荧光法》</w:t>
            </w:r>
          </w:p>
          <w:p w:rsidR="00EE56C0" w:rsidRDefault="000F36A1">
            <w:pPr>
              <w:pStyle w:val="afa"/>
            </w:pPr>
            <w:r>
              <w:t>HJ 694-2014</w:t>
            </w:r>
          </w:p>
        </w:tc>
        <w:tc>
          <w:tcPr>
            <w:tcW w:w="981" w:type="pct"/>
            <w:tcMar>
              <w:top w:w="0" w:type="dxa"/>
              <w:left w:w="57" w:type="dxa"/>
              <w:bottom w:w="0" w:type="dxa"/>
              <w:right w:w="57" w:type="dxa"/>
            </w:tcMar>
            <w:vAlign w:val="center"/>
          </w:tcPr>
          <w:p w:rsidR="00EE56C0" w:rsidRDefault="000F36A1">
            <w:pPr>
              <w:pStyle w:val="afa"/>
            </w:pPr>
            <w:r>
              <w:rPr>
                <w:rFonts w:hint="eastAsia"/>
              </w:rPr>
              <w:t>原子荧光光度计</w:t>
            </w:r>
            <w:r>
              <w:t>AFS-8220</w:t>
            </w:r>
          </w:p>
        </w:tc>
        <w:tc>
          <w:tcPr>
            <w:tcW w:w="517" w:type="pct"/>
            <w:vAlign w:val="center"/>
          </w:tcPr>
          <w:p w:rsidR="00EE56C0" w:rsidRDefault="000F36A1">
            <w:pPr>
              <w:pStyle w:val="afa"/>
              <w:rPr>
                <w:bCs/>
              </w:rPr>
            </w:pPr>
            <w:r>
              <w:rPr>
                <w:rFonts w:hint="eastAsia"/>
                <w:bCs/>
              </w:rPr>
              <w:t>0.3</w:t>
            </w:r>
          </w:p>
          <w:p w:rsidR="00EE56C0" w:rsidRDefault="000F36A1">
            <w:pPr>
              <w:pStyle w:val="afa"/>
            </w:pPr>
            <w:r>
              <w:t>μg/L</w:t>
            </w:r>
          </w:p>
        </w:tc>
        <w:tc>
          <w:tcPr>
            <w:tcW w:w="664" w:type="pct"/>
            <w:vMerge/>
            <w:vAlign w:val="center"/>
          </w:tcPr>
          <w:p w:rsidR="00EE56C0" w:rsidRDefault="00EE56C0">
            <w:pPr>
              <w:pStyle w:val="afa"/>
            </w:pPr>
          </w:p>
        </w:tc>
      </w:tr>
      <w:tr w:rsidR="00EE56C0">
        <w:trPr>
          <w:trHeight w:val="397"/>
          <w:jc w:val="center"/>
        </w:trPr>
        <w:tc>
          <w:tcPr>
            <w:tcW w:w="304" w:type="pct"/>
            <w:vAlign w:val="center"/>
          </w:tcPr>
          <w:p w:rsidR="00EE56C0" w:rsidRDefault="000F36A1">
            <w:pPr>
              <w:pStyle w:val="afa"/>
            </w:pPr>
            <w:r>
              <w:t>17</w:t>
            </w:r>
          </w:p>
        </w:tc>
        <w:tc>
          <w:tcPr>
            <w:tcW w:w="565" w:type="pct"/>
            <w:vAlign w:val="center"/>
          </w:tcPr>
          <w:p w:rsidR="00EE56C0" w:rsidRDefault="000F36A1">
            <w:pPr>
              <w:pStyle w:val="afa"/>
            </w:pPr>
            <w:r>
              <w:t>汞</w:t>
            </w:r>
          </w:p>
        </w:tc>
        <w:tc>
          <w:tcPr>
            <w:tcW w:w="1969" w:type="pct"/>
            <w:vAlign w:val="center"/>
          </w:tcPr>
          <w:p w:rsidR="00EE56C0" w:rsidRDefault="000F36A1">
            <w:pPr>
              <w:pStyle w:val="afa"/>
            </w:pPr>
            <w:r>
              <w:rPr>
                <w:rFonts w:hint="eastAsia"/>
              </w:rPr>
              <w:t>《水质汞、砷、硒、铋、锑的测定原子荧光法》</w:t>
            </w:r>
          </w:p>
          <w:p w:rsidR="00EE56C0" w:rsidRDefault="000F36A1">
            <w:pPr>
              <w:pStyle w:val="afa"/>
            </w:pPr>
            <w:r>
              <w:t>HJ 694-2014</w:t>
            </w:r>
          </w:p>
        </w:tc>
        <w:tc>
          <w:tcPr>
            <w:tcW w:w="981" w:type="pct"/>
            <w:tcMar>
              <w:top w:w="0" w:type="dxa"/>
              <w:left w:w="57" w:type="dxa"/>
              <w:bottom w:w="0" w:type="dxa"/>
              <w:right w:w="57" w:type="dxa"/>
            </w:tcMar>
            <w:vAlign w:val="center"/>
          </w:tcPr>
          <w:p w:rsidR="00EE56C0" w:rsidRDefault="000F36A1">
            <w:pPr>
              <w:pStyle w:val="afa"/>
            </w:pPr>
            <w:r>
              <w:rPr>
                <w:rFonts w:hint="eastAsia"/>
              </w:rPr>
              <w:t>原子荧光光度计</w:t>
            </w:r>
            <w:r>
              <w:t>AFS-8220</w:t>
            </w:r>
          </w:p>
        </w:tc>
        <w:tc>
          <w:tcPr>
            <w:tcW w:w="517" w:type="pct"/>
            <w:vAlign w:val="center"/>
          </w:tcPr>
          <w:p w:rsidR="00EE56C0" w:rsidRDefault="000F36A1">
            <w:pPr>
              <w:pStyle w:val="afa"/>
              <w:rPr>
                <w:bCs/>
              </w:rPr>
            </w:pPr>
            <w:r>
              <w:rPr>
                <w:rFonts w:hint="eastAsia"/>
                <w:bCs/>
              </w:rPr>
              <w:t>0.04</w:t>
            </w:r>
          </w:p>
          <w:p w:rsidR="00EE56C0" w:rsidRDefault="000F36A1">
            <w:pPr>
              <w:pStyle w:val="afa"/>
            </w:pPr>
            <w:r>
              <w:t>μg/L</w:t>
            </w:r>
          </w:p>
        </w:tc>
        <w:tc>
          <w:tcPr>
            <w:tcW w:w="664" w:type="pct"/>
            <w:vMerge/>
            <w:vAlign w:val="center"/>
          </w:tcPr>
          <w:p w:rsidR="00EE56C0" w:rsidRDefault="00EE56C0">
            <w:pPr>
              <w:pStyle w:val="afa"/>
            </w:pPr>
          </w:p>
        </w:tc>
      </w:tr>
      <w:tr w:rsidR="00EE56C0">
        <w:trPr>
          <w:trHeight w:val="397"/>
          <w:jc w:val="center"/>
        </w:trPr>
        <w:tc>
          <w:tcPr>
            <w:tcW w:w="304" w:type="pct"/>
            <w:vAlign w:val="center"/>
          </w:tcPr>
          <w:p w:rsidR="00EE56C0" w:rsidRDefault="000F36A1">
            <w:pPr>
              <w:pStyle w:val="afa"/>
            </w:pPr>
            <w:r>
              <w:t>18</w:t>
            </w:r>
          </w:p>
        </w:tc>
        <w:tc>
          <w:tcPr>
            <w:tcW w:w="565" w:type="pct"/>
            <w:vAlign w:val="center"/>
          </w:tcPr>
          <w:p w:rsidR="00EE56C0" w:rsidRDefault="000F36A1">
            <w:pPr>
              <w:pStyle w:val="afa"/>
            </w:pPr>
            <w:r>
              <w:t>六价铬</w:t>
            </w:r>
          </w:p>
        </w:tc>
        <w:tc>
          <w:tcPr>
            <w:tcW w:w="1969" w:type="pct"/>
            <w:vAlign w:val="center"/>
          </w:tcPr>
          <w:p w:rsidR="00EE56C0" w:rsidRDefault="000F36A1">
            <w:pPr>
              <w:pStyle w:val="afa"/>
            </w:pPr>
            <w:r>
              <w:rPr>
                <w:rFonts w:hint="eastAsia"/>
              </w:rPr>
              <w:t>《水质六价铬的测定二苯碳酰二肼分光光度法》</w:t>
            </w:r>
            <w:r>
              <w:t>GB/T 7467-1987</w:t>
            </w:r>
          </w:p>
        </w:tc>
        <w:tc>
          <w:tcPr>
            <w:tcW w:w="981" w:type="pct"/>
            <w:tcMar>
              <w:top w:w="0" w:type="dxa"/>
              <w:left w:w="57" w:type="dxa"/>
              <w:bottom w:w="0" w:type="dxa"/>
              <w:right w:w="57" w:type="dxa"/>
            </w:tcMar>
            <w:vAlign w:val="center"/>
          </w:tcPr>
          <w:p w:rsidR="00EE56C0" w:rsidRDefault="000F36A1">
            <w:pPr>
              <w:pStyle w:val="afa"/>
            </w:pPr>
            <w:r>
              <w:rPr>
                <w:rFonts w:hint="eastAsia"/>
              </w:rPr>
              <w:t>紫外可见分光光度计</w:t>
            </w:r>
            <w:r>
              <w:t>T6</w:t>
            </w:r>
            <w:r>
              <w:rPr>
                <w:rFonts w:hint="eastAsia"/>
              </w:rPr>
              <w:t>新世纪</w:t>
            </w:r>
          </w:p>
        </w:tc>
        <w:tc>
          <w:tcPr>
            <w:tcW w:w="517" w:type="pct"/>
            <w:vAlign w:val="center"/>
          </w:tcPr>
          <w:p w:rsidR="00EE56C0" w:rsidRDefault="000F36A1">
            <w:pPr>
              <w:pStyle w:val="afa"/>
            </w:pPr>
            <w:r>
              <w:rPr>
                <w:rFonts w:hint="eastAsia"/>
                <w:bCs/>
              </w:rPr>
              <w:t>/</w:t>
            </w:r>
          </w:p>
        </w:tc>
        <w:tc>
          <w:tcPr>
            <w:tcW w:w="664" w:type="pct"/>
            <w:vMerge/>
            <w:vAlign w:val="center"/>
          </w:tcPr>
          <w:p w:rsidR="00EE56C0" w:rsidRDefault="00EE56C0">
            <w:pPr>
              <w:pStyle w:val="afa"/>
            </w:pPr>
          </w:p>
        </w:tc>
      </w:tr>
      <w:tr w:rsidR="00EE56C0">
        <w:trPr>
          <w:trHeight w:val="397"/>
          <w:jc w:val="center"/>
        </w:trPr>
        <w:tc>
          <w:tcPr>
            <w:tcW w:w="304" w:type="pct"/>
            <w:vAlign w:val="center"/>
          </w:tcPr>
          <w:p w:rsidR="00EE56C0" w:rsidRDefault="000F36A1">
            <w:pPr>
              <w:pStyle w:val="afa"/>
            </w:pPr>
            <w:r>
              <w:t>19</w:t>
            </w:r>
          </w:p>
        </w:tc>
        <w:tc>
          <w:tcPr>
            <w:tcW w:w="565" w:type="pct"/>
            <w:vAlign w:val="center"/>
          </w:tcPr>
          <w:p w:rsidR="00EE56C0" w:rsidRDefault="000F36A1">
            <w:pPr>
              <w:pStyle w:val="afa"/>
            </w:pPr>
            <w:r>
              <w:rPr>
                <w:rFonts w:hint="eastAsia"/>
              </w:rPr>
              <w:t>氟</w:t>
            </w:r>
          </w:p>
        </w:tc>
        <w:tc>
          <w:tcPr>
            <w:tcW w:w="1969" w:type="pct"/>
            <w:vAlign w:val="center"/>
          </w:tcPr>
          <w:p w:rsidR="00EE56C0" w:rsidRDefault="000F36A1">
            <w:pPr>
              <w:pStyle w:val="afa"/>
            </w:pPr>
            <w:r>
              <w:rPr>
                <w:rFonts w:hint="eastAsia"/>
              </w:rPr>
              <w:t>《水质氟化物的测定离子选择电极法》</w:t>
            </w:r>
          </w:p>
          <w:p w:rsidR="00EE56C0" w:rsidRDefault="000F36A1">
            <w:pPr>
              <w:pStyle w:val="afa"/>
            </w:pPr>
            <w:r>
              <w:t>GB/T 7484-1987</w:t>
            </w:r>
          </w:p>
        </w:tc>
        <w:tc>
          <w:tcPr>
            <w:tcW w:w="981" w:type="pct"/>
            <w:tcMar>
              <w:top w:w="0" w:type="dxa"/>
              <w:left w:w="57" w:type="dxa"/>
              <w:bottom w:w="0" w:type="dxa"/>
              <w:right w:w="57" w:type="dxa"/>
            </w:tcMar>
            <w:vAlign w:val="center"/>
          </w:tcPr>
          <w:p w:rsidR="00EE56C0" w:rsidRDefault="000F36A1">
            <w:pPr>
              <w:pStyle w:val="afa"/>
            </w:pPr>
            <w:r>
              <w:rPr>
                <w:rFonts w:hint="eastAsia"/>
              </w:rPr>
              <w:t>氟离子选择电极</w:t>
            </w:r>
          </w:p>
        </w:tc>
        <w:tc>
          <w:tcPr>
            <w:tcW w:w="517" w:type="pct"/>
            <w:vAlign w:val="center"/>
          </w:tcPr>
          <w:p w:rsidR="00EE56C0" w:rsidRDefault="000F36A1">
            <w:pPr>
              <w:pStyle w:val="afa"/>
            </w:pPr>
            <w:r>
              <w:rPr>
                <w:rFonts w:hint="eastAsia"/>
              </w:rPr>
              <w:t>/</w:t>
            </w:r>
          </w:p>
        </w:tc>
        <w:tc>
          <w:tcPr>
            <w:tcW w:w="664" w:type="pct"/>
            <w:vMerge/>
            <w:vAlign w:val="center"/>
          </w:tcPr>
          <w:p w:rsidR="00EE56C0" w:rsidRDefault="00EE56C0">
            <w:pPr>
              <w:pStyle w:val="afa"/>
            </w:pPr>
          </w:p>
        </w:tc>
      </w:tr>
      <w:tr w:rsidR="00EE56C0">
        <w:trPr>
          <w:trHeight w:val="397"/>
          <w:jc w:val="center"/>
        </w:trPr>
        <w:tc>
          <w:tcPr>
            <w:tcW w:w="304" w:type="pct"/>
            <w:vAlign w:val="center"/>
          </w:tcPr>
          <w:p w:rsidR="00EE56C0" w:rsidRDefault="000F36A1">
            <w:pPr>
              <w:pStyle w:val="afa"/>
            </w:pPr>
            <w:r>
              <w:t>20</w:t>
            </w:r>
          </w:p>
        </w:tc>
        <w:tc>
          <w:tcPr>
            <w:tcW w:w="565" w:type="pct"/>
            <w:vAlign w:val="center"/>
          </w:tcPr>
          <w:p w:rsidR="00EE56C0" w:rsidRDefault="000F36A1">
            <w:pPr>
              <w:pStyle w:val="afa"/>
            </w:pPr>
            <w:r>
              <w:t>铅</w:t>
            </w:r>
          </w:p>
        </w:tc>
        <w:tc>
          <w:tcPr>
            <w:tcW w:w="1969" w:type="pct"/>
            <w:vAlign w:val="center"/>
          </w:tcPr>
          <w:p w:rsidR="00EE56C0" w:rsidRDefault="000F36A1">
            <w:pPr>
              <w:pStyle w:val="afa"/>
            </w:pPr>
            <w:r>
              <w:t>《生活饮用水标准检验方法</w:t>
            </w:r>
            <w:r>
              <w:t xml:space="preserve"> </w:t>
            </w:r>
            <w:r>
              <w:t>金属指标》无火焰原子吸收分光光度法</w:t>
            </w:r>
            <w:r>
              <w:t>GB/T5750.6-2006</w:t>
            </w:r>
          </w:p>
        </w:tc>
        <w:tc>
          <w:tcPr>
            <w:tcW w:w="981" w:type="pct"/>
            <w:tcMar>
              <w:top w:w="0" w:type="dxa"/>
              <w:left w:w="57" w:type="dxa"/>
              <w:bottom w:w="0" w:type="dxa"/>
              <w:right w:w="57" w:type="dxa"/>
            </w:tcMar>
            <w:vAlign w:val="center"/>
          </w:tcPr>
          <w:p w:rsidR="00EE56C0" w:rsidRDefault="000F36A1">
            <w:pPr>
              <w:pStyle w:val="afa"/>
            </w:pPr>
            <w:r>
              <w:rPr>
                <w:rFonts w:hint="eastAsia"/>
              </w:rPr>
              <w:t>原子吸收分光光度计</w:t>
            </w:r>
            <w:r>
              <w:t>TAS-990AFG</w:t>
            </w:r>
          </w:p>
        </w:tc>
        <w:tc>
          <w:tcPr>
            <w:tcW w:w="517" w:type="pct"/>
            <w:vAlign w:val="center"/>
          </w:tcPr>
          <w:p w:rsidR="00EE56C0" w:rsidRDefault="000F36A1">
            <w:pPr>
              <w:pStyle w:val="afa"/>
            </w:pPr>
            <w:r>
              <w:rPr>
                <w:rFonts w:hint="eastAsia"/>
              </w:rPr>
              <w:t>/</w:t>
            </w:r>
          </w:p>
        </w:tc>
        <w:tc>
          <w:tcPr>
            <w:tcW w:w="664" w:type="pct"/>
            <w:vMerge/>
            <w:vAlign w:val="center"/>
          </w:tcPr>
          <w:p w:rsidR="00EE56C0" w:rsidRDefault="00EE56C0">
            <w:pPr>
              <w:pStyle w:val="afa"/>
            </w:pPr>
          </w:p>
        </w:tc>
      </w:tr>
      <w:tr w:rsidR="00EE56C0">
        <w:trPr>
          <w:trHeight w:val="397"/>
          <w:jc w:val="center"/>
        </w:trPr>
        <w:tc>
          <w:tcPr>
            <w:tcW w:w="304" w:type="pct"/>
            <w:vAlign w:val="center"/>
          </w:tcPr>
          <w:p w:rsidR="00EE56C0" w:rsidRDefault="000F36A1">
            <w:pPr>
              <w:pStyle w:val="afa"/>
            </w:pPr>
            <w:r>
              <w:t>21</w:t>
            </w:r>
          </w:p>
        </w:tc>
        <w:tc>
          <w:tcPr>
            <w:tcW w:w="565" w:type="pct"/>
            <w:vAlign w:val="center"/>
          </w:tcPr>
          <w:p w:rsidR="00EE56C0" w:rsidRDefault="000F36A1">
            <w:pPr>
              <w:pStyle w:val="afa"/>
            </w:pPr>
            <w:r>
              <w:t>铁</w:t>
            </w:r>
          </w:p>
        </w:tc>
        <w:tc>
          <w:tcPr>
            <w:tcW w:w="1969" w:type="pct"/>
            <w:vAlign w:val="center"/>
          </w:tcPr>
          <w:p w:rsidR="00EE56C0" w:rsidRDefault="000F36A1">
            <w:pPr>
              <w:pStyle w:val="afa"/>
            </w:pPr>
            <w:r>
              <w:rPr>
                <w:rFonts w:hint="eastAsia"/>
              </w:rPr>
              <w:t>《水质铁、锰的测定火焰原子吸收分光光度法》</w:t>
            </w:r>
            <w:r>
              <w:t xml:space="preserve"> GB/T 11911-1989</w:t>
            </w:r>
          </w:p>
        </w:tc>
        <w:tc>
          <w:tcPr>
            <w:tcW w:w="981" w:type="pct"/>
            <w:tcMar>
              <w:top w:w="0" w:type="dxa"/>
              <w:left w:w="57" w:type="dxa"/>
              <w:bottom w:w="0" w:type="dxa"/>
              <w:right w:w="57" w:type="dxa"/>
            </w:tcMar>
            <w:vAlign w:val="center"/>
          </w:tcPr>
          <w:p w:rsidR="00EE56C0" w:rsidRDefault="000F36A1">
            <w:pPr>
              <w:pStyle w:val="afa"/>
            </w:pPr>
            <w:r>
              <w:rPr>
                <w:rFonts w:hint="eastAsia"/>
              </w:rPr>
              <w:t>原子吸收分光光度计</w:t>
            </w:r>
            <w:r>
              <w:t>TAS-990AFG</w:t>
            </w:r>
          </w:p>
        </w:tc>
        <w:tc>
          <w:tcPr>
            <w:tcW w:w="517" w:type="pct"/>
            <w:vAlign w:val="center"/>
          </w:tcPr>
          <w:p w:rsidR="00EE56C0" w:rsidRDefault="000F36A1">
            <w:pPr>
              <w:pStyle w:val="afa"/>
            </w:pPr>
            <w:r>
              <w:rPr>
                <w:rFonts w:hint="eastAsia"/>
              </w:rPr>
              <w:t>/</w:t>
            </w:r>
          </w:p>
        </w:tc>
        <w:tc>
          <w:tcPr>
            <w:tcW w:w="664" w:type="pct"/>
            <w:vMerge/>
            <w:vAlign w:val="center"/>
          </w:tcPr>
          <w:p w:rsidR="00EE56C0" w:rsidRDefault="00EE56C0">
            <w:pPr>
              <w:pStyle w:val="afa"/>
            </w:pPr>
          </w:p>
        </w:tc>
      </w:tr>
      <w:tr w:rsidR="00EE56C0">
        <w:trPr>
          <w:trHeight w:val="397"/>
          <w:jc w:val="center"/>
        </w:trPr>
        <w:tc>
          <w:tcPr>
            <w:tcW w:w="304" w:type="pct"/>
            <w:vAlign w:val="center"/>
          </w:tcPr>
          <w:p w:rsidR="00EE56C0" w:rsidRDefault="000F36A1">
            <w:pPr>
              <w:pStyle w:val="afa"/>
            </w:pPr>
            <w:r>
              <w:t>22</w:t>
            </w:r>
          </w:p>
        </w:tc>
        <w:tc>
          <w:tcPr>
            <w:tcW w:w="565" w:type="pct"/>
            <w:vAlign w:val="center"/>
          </w:tcPr>
          <w:p w:rsidR="00EE56C0" w:rsidRDefault="000F36A1">
            <w:pPr>
              <w:pStyle w:val="afa"/>
            </w:pPr>
            <w:r>
              <w:rPr>
                <w:rFonts w:hint="eastAsia"/>
              </w:rPr>
              <w:t>锰</w:t>
            </w:r>
          </w:p>
        </w:tc>
        <w:tc>
          <w:tcPr>
            <w:tcW w:w="1969" w:type="pct"/>
            <w:vAlign w:val="center"/>
          </w:tcPr>
          <w:p w:rsidR="00EE56C0" w:rsidRDefault="000F36A1">
            <w:pPr>
              <w:pStyle w:val="afa"/>
            </w:pPr>
            <w:r>
              <w:rPr>
                <w:rFonts w:hint="eastAsia"/>
              </w:rPr>
              <w:t>《水质铁、锰的测定火焰原子吸收分光光度法》</w:t>
            </w:r>
            <w:r>
              <w:t xml:space="preserve"> GB/T 11911-1989</w:t>
            </w:r>
          </w:p>
        </w:tc>
        <w:tc>
          <w:tcPr>
            <w:tcW w:w="981" w:type="pct"/>
            <w:tcMar>
              <w:top w:w="0" w:type="dxa"/>
              <w:left w:w="57" w:type="dxa"/>
              <w:bottom w:w="0" w:type="dxa"/>
              <w:right w:w="57" w:type="dxa"/>
            </w:tcMar>
            <w:vAlign w:val="center"/>
          </w:tcPr>
          <w:p w:rsidR="00EE56C0" w:rsidRDefault="000F36A1">
            <w:pPr>
              <w:pStyle w:val="afa"/>
            </w:pPr>
            <w:r>
              <w:rPr>
                <w:rFonts w:hint="eastAsia"/>
              </w:rPr>
              <w:t>原子吸收分光光度计</w:t>
            </w:r>
            <w:r>
              <w:t>TAS-990AFG</w:t>
            </w:r>
          </w:p>
        </w:tc>
        <w:tc>
          <w:tcPr>
            <w:tcW w:w="517" w:type="pct"/>
            <w:vAlign w:val="center"/>
          </w:tcPr>
          <w:p w:rsidR="00EE56C0" w:rsidRDefault="000F36A1">
            <w:pPr>
              <w:pStyle w:val="afa"/>
            </w:pPr>
            <w:r>
              <w:rPr>
                <w:rFonts w:hint="eastAsia"/>
              </w:rPr>
              <w:t>/</w:t>
            </w:r>
          </w:p>
        </w:tc>
        <w:tc>
          <w:tcPr>
            <w:tcW w:w="664" w:type="pct"/>
            <w:vMerge/>
            <w:vAlign w:val="center"/>
          </w:tcPr>
          <w:p w:rsidR="00EE56C0" w:rsidRDefault="00EE56C0">
            <w:pPr>
              <w:pStyle w:val="afa"/>
            </w:pPr>
          </w:p>
        </w:tc>
      </w:tr>
      <w:tr w:rsidR="00EE56C0">
        <w:trPr>
          <w:trHeight w:val="397"/>
          <w:jc w:val="center"/>
        </w:trPr>
        <w:tc>
          <w:tcPr>
            <w:tcW w:w="304" w:type="pct"/>
            <w:vAlign w:val="center"/>
          </w:tcPr>
          <w:p w:rsidR="00EE56C0" w:rsidRDefault="000F36A1">
            <w:pPr>
              <w:pStyle w:val="afa"/>
            </w:pPr>
            <w:r>
              <w:t>23</w:t>
            </w:r>
          </w:p>
        </w:tc>
        <w:tc>
          <w:tcPr>
            <w:tcW w:w="565" w:type="pct"/>
            <w:vAlign w:val="center"/>
          </w:tcPr>
          <w:p w:rsidR="00EE56C0" w:rsidRDefault="000F36A1">
            <w:pPr>
              <w:pStyle w:val="afa"/>
            </w:pPr>
            <w:r>
              <w:rPr>
                <w:rFonts w:hint="eastAsia"/>
              </w:rPr>
              <w:t>镉</w:t>
            </w:r>
          </w:p>
        </w:tc>
        <w:tc>
          <w:tcPr>
            <w:tcW w:w="1969" w:type="pct"/>
            <w:vAlign w:val="center"/>
          </w:tcPr>
          <w:p w:rsidR="00EE56C0" w:rsidRDefault="000F36A1">
            <w:pPr>
              <w:pStyle w:val="afa"/>
            </w:pPr>
            <w:r>
              <w:rPr>
                <w:rFonts w:hint="eastAsia"/>
              </w:rPr>
              <w:t>《生活饮用水标准检验方法金属指标》（</w:t>
            </w:r>
            <w:r>
              <w:t xml:space="preserve">9.1 </w:t>
            </w:r>
            <w:r>
              <w:rPr>
                <w:rFonts w:hint="eastAsia"/>
              </w:rPr>
              <w:t>镉无火焰原子吸收分光光度法）</w:t>
            </w:r>
          </w:p>
          <w:p w:rsidR="00EE56C0" w:rsidRDefault="000F36A1">
            <w:pPr>
              <w:pStyle w:val="afa"/>
            </w:pPr>
            <w:r>
              <w:t>GB/T 5750.6-2006</w:t>
            </w:r>
          </w:p>
        </w:tc>
        <w:tc>
          <w:tcPr>
            <w:tcW w:w="981" w:type="pct"/>
            <w:tcMar>
              <w:top w:w="0" w:type="dxa"/>
              <w:left w:w="57" w:type="dxa"/>
              <w:bottom w:w="0" w:type="dxa"/>
              <w:right w:w="57" w:type="dxa"/>
            </w:tcMar>
            <w:vAlign w:val="center"/>
          </w:tcPr>
          <w:p w:rsidR="00EE56C0" w:rsidRDefault="000F36A1">
            <w:pPr>
              <w:pStyle w:val="afa"/>
            </w:pPr>
            <w:r>
              <w:rPr>
                <w:rFonts w:hint="eastAsia"/>
              </w:rPr>
              <w:t>原子吸收分光光度计</w:t>
            </w:r>
            <w:r>
              <w:t>TAS-990AFG</w:t>
            </w:r>
          </w:p>
        </w:tc>
        <w:tc>
          <w:tcPr>
            <w:tcW w:w="517" w:type="pct"/>
            <w:vAlign w:val="center"/>
          </w:tcPr>
          <w:p w:rsidR="00EE56C0" w:rsidRDefault="000F36A1">
            <w:pPr>
              <w:pStyle w:val="afa"/>
            </w:pPr>
            <w:r>
              <w:rPr>
                <w:rFonts w:hint="eastAsia"/>
              </w:rPr>
              <w:t>/</w:t>
            </w:r>
          </w:p>
        </w:tc>
        <w:tc>
          <w:tcPr>
            <w:tcW w:w="664" w:type="pct"/>
            <w:vMerge/>
            <w:vAlign w:val="center"/>
          </w:tcPr>
          <w:p w:rsidR="00EE56C0" w:rsidRDefault="00EE56C0">
            <w:pPr>
              <w:pStyle w:val="afa"/>
            </w:pPr>
          </w:p>
        </w:tc>
      </w:tr>
      <w:tr w:rsidR="00EE56C0">
        <w:trPr>
          <w:trHeight w:val="397"/>
          <w:jc w:val="center"/>
        </w:trPr>
        <w:tc>
          <w:tcPr>
            <w:tcW w:w="304" w:type="pct"/>
            <w:vAlign w:val="center"/>
          </w:tcPr>
          <w:p w:rsidR="00EE56C0" w:rsidRDefault="000F36A1">
            <w:pPr>
              <w:pStyle w:val="afa"/>
            </w:pPr>
            <w:r>
              <w:t>24</w:t>
            </w:r>
          </w:p>
        </w:tc>
        <w:tc>
          <w:tcPr>
            <w:tcW w:w="565" w:type="pct"/>
            <w:vAlign w:val="center"/>
          </w:tcPr>
          <w:p w:rsidR="00EE56C0" w:rsidRDefault="000F36A1">
            <w:pPr>
              <w:pStyle w:val="afa"/>
            </w:pPr>
            <w:r>
              <w:rPr>
                <w:rFonts w:hint="eastAsia"/>
              </w:rPr>
              <w:t>高锰酸钾指数</w:t>
            </w:r>
          </w:p>
        </w:tc>
        <w:tc>
          <w:tcPr>
            <w:tcW w:w="1969" w:type="pct"/>
            <w:vAlign w:val="center"/>
          </w:tcPr>
          <w:p w:rsidR="00EE56C0" w:rsidRDefault="000F36A1">
            <w:pPr>
              <w:pStyle w:val="afa"/>
            </w:pPr>
            <w:r>
              <w:rPr>
                <w:rFonts w:hint="eastAsia"/>
              </w:rPr>
              <w:t>《水质</w:t>
            </w:r>
            <w:r>
              <w:rPr>
                <w:rFonts w:hint="eastAsia"/>
              </w:rPr>
              <w:t xml:space="preserve"> </w:t>
            </w:r>
            <w:r>
              <w:rPr>
                <w:rFonts w:hint="eastAsia"/>
              </w:rPr>
              <w:t>高锰酸盐指数的测定》</w:t>
            </w:r>
            <w:r>
              <w:t>GB/T 11892-1989</w:t>
            </w:r>
          </w:p>
        </w:tc>
        <w:tc>
          <w:tcPr>
            <w:tcW w:w="981" w:type="pct"/>
            <w:tcMar>
              <w:top w:w="0" w:type="dxa"/>
              <w:left w:w="57" w:type="dxa"/>
              <w:bottom w:w="0" w:type="dxa"/>
              <w:right w:w="57" w:type="dxa"/>
            </w:tcMar>
            <w:vAlign w:val="center"/>
          </w:tcPr>
          <w:p w:rsidR="00EE56C0" w:rsidRDefault="000F36A1">
            <w:pPr>
              <w:pStyle w:val="afa"/>
            </w:pPr>
            <w:r>
              <w:rPr>
                <w:rFonts w:hint="eastAsia"/>
              </w:rPr>
              <w:t>酸式滴定管</w:t>
            </w:r>
          </w:p>
        </w:tc>
        <w:tc>
          <w:tcPr>
            <w:tcW w:w="517" w:type="pct"/>
            <w:vAlign w:val="center"/>
          </w:tcPr>
          <w:p w:rsidR="00EE56C0" w:rsidRDefault="000F36A1">
            <w:pPr>
              <w:pStyle w:val="afa"/>
            </w:pPr>
            <w:r>
              <w:rPr>
                <w:rFonts w:hint="eastAsia"/>
              </w:rPr>
              <w:t>/</w:t>
            </w:r>
          </w:p>
        </w:tc>
        <w:tc>
          <w:tcPr>
            <w:tcW w:w="664" w:type="pct"/>
            <w:vMerge/>
            <w:vAlign w:val="center"/>
          </w:tcPr>
          <w:p w:rsidR="00EE56C0" w:rsidRDefault="00EE56C0">
            <w:pPr>
              <w:pStyle w:val="afa"/>
            </w:pPr>
          </w:p>
        </w:tc>
      </w:tr>
      <w:tr w:rsidR="00EE56C0">
        <w:trPr>
          <w:trHeight w:val="397"/>
          <w:jc w:val="center"/>
        </w:trPr>
        <w:tc>
          <w:tcPr>
            <w:tcW w:w="304" w:type="pct"/>
            <w:vAlign w:val="center"/>
          </w:tcPr>
          <w:p w:rsidR="00EE56C0" w:rsidRDefault="000F36A1">
            <w:pPr>
              <w:pStyle w:val="afa"/>
            </w:pPr>
            <w:r>
              <w:rPr>
                <w:rFonts w:hint="eastAsia"/>
              </w:rPr>
              <w:t>25</w:t>
            </w:r>
          </w:p>
        </w:tc>
        <w:tc>
          <w:tcPr>
            <w:tcW w:w="565" w:type="pct"/>
            <w:vAlign w:val="center"/>
          </w:tcPr>
          <w:p w:rsidR="00EE56C0" w:rsidRDefault="000F36A1">
            <w:pPr>
              <w:pStyle w:val="afa"/>
            </w:pPr>
            <w:r>
              <w:rPr>
                <w:rFonts w:hint="eastAsia"/>
              </w:rPr>
              <w:t>动植物油</w:t>
            </w:r>
          </w:p>
        </w:tc>
        <w:tc>
          <w:tcPr>
            <w:tcW w:w="1969" w:type="pct"/>
            <w:vAlign w:val="center"/>
          </w:tcPr>
          <w:p w:rsidR="00EE56C0" w:rsidRDefault="000F36A1">
            <w:pPr>
              <w:pStyle w:val="afa"/>
            </w:pPr>
            <w:r>
              <w:rPr>
                <w:rFonts w:hint="eastAsia"/>
              </w:rPr>
              <w:t>《水质</w:t>
            </w:r>
            <w:r>
              <w:t> </w:t>
            </w:r>
            <w:r>
              <w:rPr>
                <w:rFonts w:hint="eastAsia"/>
              </w:rPr>
              <w:t>石油类和动植物油类的测定</w:t>
            </w:r>
            <w:r>
              <w:t> </w:t>
            </w:r>
            <w:r>
              <w:rPr>
                <w:rFonts w:hint="eastAsia"/>
              </w:rPr>
              <w:t>红外分光光度法》</w:t>
            </w:r>
            <w:r>
              <w:t xml:space="preserve"> HJ 637-2018</w:t>
            </w:r>
          </w:p>
        </w:tc>
        <w:tc>
          <w:tcPr>
            <w:tcW w:w="981" w:type="pct"/>
            <w:tcMar>
              <w:top w:w="0" w:type="dxa"/>
              <w:left w:w="57" w:type="dxa"/>
              <w:bottom w:w="0" w:type="dxa"/>
              <w:right w:w="57" w:type="dxa"/>
            </w:tcMar>
            <w:vAlign w:val="center"/>
          </w:tcPr>
          <w:p w:rsidR="00EE56C0" w:rsidRDefault="000F36A1">
            <w:pPr>
              <w:pStyle w:val="afa"/>
            </w:pPr>
            <w:r>
              <w:rPr>
                <w:rFonts w:hint="eastAsia"/>
              </w:rPr>
              <w:t>红外测油仪</w:t>
            </w:r>
          </w:p>
          <w:p w:rsidR="00EE56C0" w:rsidRDefault="000F36A1">
            <w:pPr>
              <w:pStyle w:val="afa"/>
            </w:pPr>
            <w:r>
              <w:t>OL580</w:t>
            </w:r>
            <w:r>
              <w:rPr>
                <w:rFonts w:hint="eastAsia"/>
              </w:rPr>
              <w:t>型</w:t>
            </w:r>
          </w:p>
        </w:tc>
        <w:tc>
          <w:tcPr>
            <w:tcW w:w="517" w:type="pct"/>
            <w:vAlign w:val="center"/>
          </w:tcPr>
          <w:p w:rsidR="00EE56C0" w:rsidRDefault="000F36A1">
            <w:pPr>
              <w:pStyle w:val="afa"/>
            </w:pPr>
            <w:r>
              <w:rPr>
                <w:rFonts w:hint="eastAsia"/>
              </w:rPr>
              <w:t>0.06mg/L</w:t>
            </w:r>
          </w:p>
        </w:tc>
        <w:tc>
          <w:tcPr>
            <w:tcW w:w="664" w:type="pct"/>
            <w:vMerge/>
            <w:vAlign w:val="center"/>
          </w:tcPr>
          <w:p w:rsidR="00EE56C0" w:rsidRDefault="00EE56C0">
            <w:pPr>
              <w:pStyle w:val="afa"/>
            </w:pPr>
          </w:p>
        </w:tc>
      </w:tr>
    </w:tbl>
    <w:p w:rsidR="00EE56C0" w:rsidRDefault="000F36A1">
      <w:pPr>
        <w:pStyle w:val="5"/>
      </w:pPr>
      <w:r>
        <w:rPr>
          <w:rFonts w:hint="eastAsia"/>
        </w:rPr>
        <w:t>四、评价标准</w:t>
      </w:r>
    </w:p>
    <w:p w:rsidR="00EE56C0" w:rsidRDefault="000F36A1">
      <w:pPr>
        <w:ind w:firstLine="480"/>
      </w:pPr>
      <w:r>
        <w:rPr>
          <w:rFonts w:hint="eastAsia"/>
        </w:rPr>
        <w:t>根据新乡县环境保护局关于本次环评执行标准的批复意见，本项目地下水现状质量评价</w:t>
      </w:r>
      <w:r>
        <w:t>执行《地下水质量标准》（</w:t>
      </w:r>
      <w:r>
        <w:t>GB/T14848-</w:t>
      </w:r>
      <w:r>
        <w:rPr>
          <w:rFonts w:hint="eastAsia"/>
        </w:rPr>
        <w:t>2017</w:t>
      </w:r>
      <w:r>
        <w:t>）中的</w:t>
      </w:r>
      <w:r>
        <w:rPr>
          <w:rFonts w:ascii="宋体" w:hAnsi="宋体" w:cs="宋体" w:hint="eastAsia"/>
        </w:rPr>
        <w:t>Ⅲ</w:t>
      </w:r>
      <w:r>
        <w:t>类标准，见</w:t>
      </w:r>
      <w:r>
        <w:rPr>
          <w:rFonts w:hint="eastAsia"/>
        </w:rPr>
        <w:t>下</w:t>
      </w:r>
      <w:r>
        <w:t>表。</w:t>
      </w:r>
    </w:p>
    <w:p w:rsidR="00EE56C0" w:rsidRDefault="000F36A1">
      <w:pPr>
        <w:pStyle w:val="afd"/>
        <w:spacing w:before="120" w:after="120"/>
        <w:ind w:firstLine="482"/>
        <w:rPr>
          <w:sz w:val="21"/>
          <w:szCs w:val="21"/>
        </w:rPr>
      </w:pPr>
      <w:r>
        <w:t>表</w:t>
      </w:r>
      <w:r>
        <w:rPr>
          <w:rFonts w:hint="eastAsia"/>
        </w:rPr>
        <w:t>4</w:t>
      </w:r>
      <w:r>
        <w:t>-1</w:t>
      </w:r>
      <w:r>
        <w:rPr>
          <w:rFonts w:hint="eastAsia"/>
        </w:rPr>
        <w:t xml:space="preserve">5           </w:t>
      </w:r>
      <w:r>
        <w:t>地下水质量标准</w:t>
      </w:r>
      <w:r>
        <w:t xml:space="preserve">        </w:t>
      </w:r>
      <w:r>
        <w:rPr>
          <w:sz w:val="21"/>
          <w:szCs w:val="21"/>
        </w:rPr>
        <w:t>单位：</w:t>
      </w:r>
      <w:r>
        <w:rPr>
          <w:sz w:val="21"/>
          <w:szCs w:val="21"/>
        </w:rPr>
        <w:t>mg/L</w:t>
      </w:r>
    </w:p>
    <w:tbl>
      <w:tblPr>
        <w:tblW w:w="5000" w:type="pct"/>
        <w:jc w:val="center"/>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ook w:val="04A0"/>
      </w:tblPr>
      <w:tblGrid>
        <w:gridCol w:w="1526"/>
        <w:gridCol w:w="1395"/>
        <w:gridCol w:w="1155"/>
        <w:gridCol w:w="1561"/>
        <w:gridCol w:w="1276"/>
        <w:gridCol w:w="1615"/>
      </w:tblGrid>
      <w:tr w:rsidR="00EE56C0">
        <w:trPr>
          <w:trHeight w:val="454"/>
          <w:jc w:val="center"/>
        </w:trPr>
        <w:tc>
          <w:tcPr>
            <w:tcW w:w="895" w:type="pct"/>
            <w:vAlign w:val="center"/>
          </w:tcPr>
          <w:p w:rsidR="00EE56C0" w:rsidRDefault="000F36A1">
            <w:pPr>
              <w:pStyle w:val="aff1"/>
              <w:rPr>
                <w:color w:val="auto"/>
              </w:rPr>
            </w:pPr>
            <w:r>
              <w:rPr>
                <w:color w:val="auto"/>
              </w:rPr>
              <w:t>项目</w:t>
            </w:r>
          </w:p>
        </w:tc>
        <w:tc>
          <w:tcPr>
            <w:tcW w:w="818" w:type="pct"/>
            <w:tcMar>
              <w:left w:w="0" w:type="dxa"/>
              <w:right w:w="0" w:type="dxa"/>
            </w:tcMar>
            <w:vAlign w:val="center"/>
          </w:tcPr>
          <w:p w:rsidR="00EE56C0" w:rsidRDefault="000F36A1">
            <w:pPr>
              <w:pStyle w:val="aff1"/>
              <w:rPr>
                <w:color w:val="auto"/>
              </w:rPr>
            </w:pPr>
            <w:r>
              <w:rPr>
                <w:rFonts w:ascii="宋体" w:hAnsi="宋体" w:hint="eastAsia"/>
                <w:color w:val="auto"/>
              </w:rPr>
              <w:t>Ⅲ</w:t>
            </w:r>
            <w:r>
              <w:rPr>
                <w:color w:val="auto"/>
              </w:rPr>
              <w:t>类标准限值</w:t>
            </w:r>
          </w:p>
        </w:tc>
        <w:tc>
          <w:tcPr>
            <w:tcW w:w="677" w:type="pct"/>
            <w:vAlign w:val="center"/>
          </w:tcPr>
          <w:p w:rsidR="00EE56C0" w:rsidRDefault="000F36A1">
            <w:pPr>
              <w:pStyle w:val="aff1"/>
              <w:rPr>
                <w:color w:val="auto"/>
              </w:rPr>
            </w:pPr>
            <w:r>
              <w:rPr>
                <w:color w:val="auto"/>
              </w:rPr>
              <w:t>项目</w:t>
            </w:r>
          </w:p>
        </w:tc>
        <w:tc>
          <w:tcPr>
            <w:tcW w:w="915" w:type="pct"/>
            <w:vAlign w:val="center"/>
          </w:tcPr>
          <w:p w:rsidR="00EE56C0" w:rsidRDefault="000F36A1">
            <w:pPr>
              <w:pStyle w:val="aff1"/>
              <w:rPr>
                <w:color w:val="auto"/>
              </w:rPr>
            </w:pPr>
            <w:r>
              <w:rPr>
                <w:rFonts w:ascii="宋体" w:hAnsi="宋体" w:hint="eastAsia"/>
                <w:color w:val="auto"/>
              </w:rPr>
              <w:t>Ⅲ</w:t>
            </w:r>
            <w:r>
              <w:rPr>
                <w:color w:val="auto"/>
              </w:rPr>
              <w:t>类标准限值</w:t>
            </w:r>
          </w:p>
        </w:tc>
        <w:tc>
          <w:tcPr>
            <w:tcW w:w="748" w:type="pct"/>
            <w:vAlign w:val="center"/>
          </w:tcPr>
          <w:p w:rsidR="00EE56C0" w:rsidRDefault="000F36A1">
            <w:pPr>
              <w:pStyle w:val="aff1"/>
              <w:rPr>
                <w:color w:val="auto"/>
              </w:rPr>
            </w:pPr>
            <w:r>
              <w:rPr>
                <w:color w:val="auto"/>
              </w:rPr>
              <w:t>项目</w:t>
            </w:r>
          </w:p>
        </w:tc>
        <w:tc>
          <w:tcPr>
            <w:tcW w:w="947" w:type="pct"/>
            <w:vAlign w:val="center"/>
          </w:tcPr>
          <w:p w:rsidR="00EE56C0" w:rsidRDefault="000F36A1">
            <w:pPr>
              <w:pStyle w:val="aff1"/>
              <w:rPr>
                <w:color w:val="auto"/>
              </w:rPr>
            </w:pPr>
            <w:r>
              <w:rPr>
                <w:rFonts w:ascii="宋体" w:hAnsi="宋体" w:hint="eastAsia"/>
                <w:color w:val="auto"/>
              </w:rPr>
              <w:t>Ⅲ</w:t>
            </w:r>
            <w:r>
              <w:rPr>
                <w:color w:val="auto"/>
              </w:rPr>
              <w:t>类标准限值</w:t>
            </w:r>
          </w:p>
        </w:tc>
      </w:tr>
      <w:tr w:rsidR="00EE56C0">
        <w:trPr>
          <w:trHeight w:val="454"/>
          <w:jc w:val="center"/>
        </w:trPr>
        <w:tc>
          <w:tcPr>
            <w:tcW w:w="895" w:type="pct"/>
            <w:vAlign w:val="center"/>
          </w:tcPr>
          <w:p w:rsidR="00EE56C0" w:rsidRDefault="000F36A1">
            <w:pPr>
              <w:pStyle w:val="afa"/>
            </w:pPr>
            <w:r>
              <w:t>pH</w:t>
            </w:r>
          </w:p>
        </w:tc>
        <w:tc>
          <w:tcPr>
            <w:tcW w:w="818" w:type="pct"/>
            <w:vAlign w:val="center"/>
          </w:tcPr>
          <w:p w:rsidR="00EE56C0" w:rsidRDefault="000F36A1">
            <w:pPr>
              <w:pStyle w:val="afa"/>
            </w:pPr>
            <w:r>
              <w:t>6.5~8.5</w:t>
            </w:r>
          </w:p>
        </w:tc>
        <w:tc>
          <w:tcPr>
            <w:tcW w:w="677" w:type="pct"/>
            <w:vAlign w:val="center"/>
          </w:tcPr>
          <w:p w:rsidR="00EE56C0" w:rsidRDefault="000F36A1">
            <w:pPr>
              <w:pStyle w:val="afa"/>
            </w:pPr>
            <w:r>
              <w:t>Cl</w:t>
            </w:r>
            <w:r>
              <w:rPr>
                <w:vertAlign w:val="superscript"/>
              </w:rPr>
              <w:t>-</w:t>
            </w:r>
          </w:p>
        </w:tc>
        <w:tc>
          <w:tcPr>
            <w:tcW w:w="915" w:type="pct"/>
            <w:vAlign w:val="center"/>
          </w:tcPr>
          <w:p w:rsidR="00EE56C0" w:rsidRDefault="000F36A1">
            <w:pPr>
              <w:pStyle w:val="afa"/>
            </w:pPr>
            <w:r>
              <w:t>250</w:t>
            </w:r>
          </w:p>
        </w:tc>
        <w:tc>
          <w:tcPr>
            <w:tcW w:w="748" w:type="pct"/>
            <w:vAlign w:val="center"/>
          </w:tcPr>
          <w:p w:rsidR="00EE56C0" w:rsidRDefault="000F36A1">
            <w:pPr>
              <w:pStyle w:val="afa"/>
            </w:pPr>
            <w:r>
              <w:t>Na</w:t>
            </w:r>
            <w:r>
              <w:rPr>
                <w:vertAlign w:val="superscript"/>
              </w:rPr>
              <w:t>+</w:t>
            </w:r>
          </w:p>
        </w:tc>
        <w:tc>
          <w:tcPr>
            <w:tcW w:w="947" w:type="pct"/>
            <w:vAlign w:val="center"/>
          </w:tcPr>
          <w:p w:rsidR="00EE56C0" w:rsidRDefault="000F36A1">
            <w:pPr>
              <w:pStyle w:val="afa"/>
            </w:pPr>
            <w:r>
              <w:t>/</w:t>
            </w:r>
          </w:p>
        </w:tc>
      </w:tr>
      <w:tr w:rsidR="00EE56C0">
        <w:trPr>
          <w:trHeight w:val="454"/>
          <w:jc w:val="center"/>
        </w:trPr>
        <w:tc>
          <w:tcPr>
            <w:tcW w:w="895" w:type="pct"/>
            <w:vAlign w:val="center"/>
          </w:tcPr>
          <w:p w:rsidR="00EE56C0" w:rsidRDefault="000F36A1">
            <w:pPr>
              <w:pStyle w:val="afa"/>
            </w:pPr>
            <w:r>
              <w:t>总硬度</w:t>
            </w:r>
          </w:p>
        </w:tc>
        <w:tc>
          <w:tcPr>
            <w:tcW w:w="818" w:type="pct"/>
            <w:vAlign w:val="center"/>
          </w:tcPr>
          <w:p w:rsidR="00EE56C0" w:rsidRDefault="000F36A1">
            <w:pPr>
              <w:pStyle w:val="afa"/>
            </w:pPr>
            <w:r>
              <w:t>450</w:t>
            </w:r>
          </w:p>
        </w:tc>
        <w:tc>
          <w:tcPr>
            <w:tcW w:w="677" w:type="pct"/>
            <w:vAlign w:val="center"/>
          </w:tcPr>
          <w:p w:rsidR="00EE56C0" w:rsidRDefault="000F36A1">
            <w:pPr>
              <w:pStyle w:val="afa"/>
            </w:pPr>
            <w:r>
              <w:t>SO</w:t>
            </w:r>
            <w:r>
              <w:rPr>
                <w:vertAlign w:val="subscript"/>
              </w:rPr>
              <w:t>4</w:t>
            </w:r>
            <w:r>
              <w:rPr>
                <w:vertAlign w:val="superscript"/>
              </w:rPr>
              <w:t>2-</w:t>
            </w:r>
          </w:p>
        </w:tc>
        <w:tc>
          <w:tcPr>
            <w:tcW w:w="915" w:type="pct"/>
            <w:vAlign w:val="center"/>
          </w:tcPr>
          <w:p w:rsidR="00EE56C0" w:rsidRDefault="000F36A1">
            <w:pPr>
              <w:pStyle w:val="afa"/>
            </w:pPr>
            <w:r>
              <w:t>250</w:t>
            </w:r>
          </w:p>
        </w:tc>
        <w:tc>
          <w:tcPr>
            <w:tcW w:w="748" w:type="pct"/>
            <w:vAlign w:val="center"/>
          </w:tcPr>
          <w:p w:rsidR="00EE56C0" w:rsidRDefault="000F36A1">
            <w:pPr>
              <w:pStyle w:val="afa"/>
            </w:pPr>
            <w:r>
              <w:t>HCO</w:t>
            </w:r>
            <w:r>
              <w:rPr>
                <w:vertAlign w:val="subscript"/>
              </w:rPr>
              <w:t>3</w:t>
            </w:r>
            <w:r>
              <w:rPr>
                <w:vertAlign w:val="superscript"/>
              </w:rPr>
              <w:t>2-</w:t>
            </w:r>
          </w:p>
        </w:tc>
        <w:tc>
          <w:tcPr>
            <w:tcW w:w="947" w:type="pct"/>
            <w:vAlign w:val="center"/>
          </w:tcPr>
          <w:p w:rsidR="00EE56C0" w:rsidRDefault="000F36A1">
            <w:pPr>
              <w:pStyle w:val="afa"/>
            </w:pPr>
            <w:r>
              <w:t>/</w:t>
            </w:r>
          </w:p>
        </w:tc>
      </w:tr>
      <w:tr w:rsidR="00EE56C0">
        <w:trPr>
          <w:trHeight w:val="454"/>
          <w:jc w:val="center"/>
        </w:trPr>
        <w:tc>
          <w:tcPr>
            <w:tcW w:w="895" w:type="pct"/>
            <w:vAlign w:val="center"/>
          </w:tcPr>
          <w:p w:rsidR="00EE56C0" w:rsidRDefault="000F36A1">
            <w:pPr>
              <w:pStyle w:val="afa"/>
            </w:pPr>
            <w:r>
              <w:rPr>
                <w:rFonts w:hint="eastAsia"/>
              </w:rPr>
              <w:t>耗氧量</w:t>
            </w:r>
          </w:p>
        </w:tc>
        <w:tc>
          <w:tcPr>
            <w:tcW w:w="818" w:type="pct"/>
            <w:vAlign w:val="center"/>
          </w:tcPr>
          <w:p w:rsidR="00EE56C0" w:rsidRDefault="000F36A1">
            <w:pPr>
              <w:pStyle w:val="afa"/>
            </w:pPr>
            <w:r>
              <w:t>3.0</w:t>
            </w:r>
          </w:p>
        </w:tc>
        <w:tc>
          <w:tcPr>
            <w:tcW w:w="677" w:type="pct"/>
            <w:vAlign w:val="center"/>
          </w:tcPr>
          <w:p w:rsidR="00EE56C0" w:rsidRDefault="000F36A1">
            <w:pPr>
              <w:pStyle w:val="afa"/>
            </w:pPr>
            <w:r>
              <w:t>K+</w:t>
            </w:r>
          </w:p>
        </w:tc>
        <w:tc>
          <w:tcPr>
            <w:tcW w:w="915" w:type="pct"/>
            <w:vAlign w:val="center"/>
          </w:tcPr>
          <w:p w:rsidR="00EE56C0" w:rsidRDefault="000F36A1">
            <w:pPr>
              <w:pStyle w:val="afa"/>
            </w:pPr>
            <w:r>
              <w:t>/</w:t>
            </w:r>
          </w:p>
        </w:tc>
        <w:tc>
          <w:tcPr>
            <w:tcW w:w="748" w:type="pct"/>
            <w:vAlign w:val="center"/>
          </w:tcPr>
          <w:p w:rsidR="00EE56C0" w:rsidRDefault="000F36A1">
            <w:pPr>
              <w:pStyle w:val="afa"/>
            </w:pPr>
            <w:r>
              <w:t>CO</w:t>
            </w:r>
            <w:r>
              <w:rPr>
                <w:vertAlign w:val="subscript"/>
              </w:rPr>
              <w:t>3</w:t>
            </w:r>
            <w:r>
              <w:rPr>
                <w:vertAlign w:val="superscript"/>
              </w:rPr>
              <w:t>2-</w:t>
            </w:r>
          </w:p>
        </w:tc>
        <w:tc>
          <w:tcPr>
            <w:tcW w:w="947" w:type="pct"/>
            <w:vAlign w:val="center"/>
          </w:tcPr>
          <w:p w:rsidR="00EE56C0" w:rsidRDefault="000F36A1">
            <w:pPr>
              <w:pStyle w:val="afa"/>
            </w:pPr>
            <w:r>
              <w:t>/</w:t>
            </w:r>
          </w:p>
        </w:tc>
      </w:tr>
      <w:tr w:rsidR="00EE56C0">
        <w:trPr>
          <w:trHeight w:val="454"/>
          <w:jc w:val="center"/>
        </w:trPr>
        <w:tc>
          <w:tcPr>
            <w:tcW w:w="895" w:type="pct"/>
            <w:vAlign w:val="center"/>
          </w:tcPr>
          <w:p w:rsidR="00EE56C0" w:rsidRDefault="000F36A1">
            <w:pPr>
              <w:pStyle w:val="afa"/>
            </w:pPr>
            <w:r>
              <w:t>氨氮</w:t>
            </w:r>
          </w:p>
        </w:tc>
        <w:tc>
          <w:tcPr>
            <w:tcW w:w="818" w:type="pct"/>
            <w:vAlign w:val="center"/>
          </w:tcPr>
          <w:p w:rsidR="00EE56C0" w:rsidRDefault="000F36A1">
            <w:pPr>
              <w:pStyle w:val="afa"/>
            </w:pPr>
            <w:r>
              <w:t>0.</w:t>
            </w:r>
            <w:r>
              <w:rPr>
                <w:rFonts w:hint="eastAsia"/>
              </w:rPr>
              <w:t>5</w:t>
            </w:r>
          </w:p>
        </w:tc>
        <w:tc>
          <w:tcPr>
            <w:tcW w:w="677" w:type="pct"/>
            <w:vAlign w:val="center"/>
          </w:tcPr>
          <w:p w:rsidR="00EE56C0" w:rsidRDefault="000F36A1">
            <w:pPr>
              <w:pStyle w:val="afa"/>
            </w:pPr>
            <w:r>
              <w:t>Ca</w:t>
            </w:r>
            <w:r>
              <w:rPr>
                <w:vertAlign w:val="superscript"/>
              </w:rPr>
              <w:t>2+</w:t>
            </w:r>
          </w:p>
        </w:tc>
        <w:tc>
          <w:tcPr>
            <w:tcW w:w="915" w:type="pct"/>
            <w:vAlign w:val="center"/>
          </w:tcPr>
          <w:p w:rsidR="00EE56C0" w:rsidRDefault="000F36A1">
            <w:pPr>
              <w:pStyle w:val="afa"/>
            </w:pPr>
            <w:r>
              <w:t>/</w:t>
            </w:r>
          </w:p>
        </w:tc>
        <w:tc>
          <w:tcPr>
            <w:tcW w:w="748" w:type="pct"/>
            <w:vAlign w:val="center"/>
          </w:tcPr>
          <w:p w:rsidR="00EE56C0" w:rsidRDefault="000F36A1">
            <w:pPr>
              <w:pStyle w:val="afa"/>
            </w:pPr>
            <w:r>
              <w:t>Mg</w:t>
            </w:r>
            <w:r>
              <w:rPr>
                <w:vertAlign w:val="superscript"/>
              </w:rPr>
              <w:t>+</w:t>
            </w:r>
          </w:p>
        </w:tc>
        <w:tc>
          <w:tcPr>
            <w:tcW w:w="947" w:type="pct"/>
            <w:vAlign w:val="center"/>
          </w:tcPr>
          <w:p w:rsidR="00EE56C0" w:rsidRDefault="000F36A1">
            <w:pPr>
              <w:pStyle w:val="afa"/>
            </w:pPr>
            <w:r>
              <w:t>/</w:t>
            </w:r>
          </w:p>
        </w:tc>
      </w:tr>
      <w:tr w:rsidR="00EE56C0">
        <w:trPr>
          <w:trHeight w:val="454"/>
          <w:jc w:val="center"/>
        </w:trPr>
        <w:tc>
          <w:tcPr>
            <w:tcW w:w="895" w:type="pct"/>
            <w:vAlign w:val="center"/>
          </w:tcPr>
          <w:p w:rsidR="00EE56C0" w:rsidRDefault="000F36A1">
            <w:pPr>
              <w:pStyle w:val="afa"/>
            </w:pPr>
            <w:r>
              <w:lastRenderedPageBreak/>
              <w:t>溶解性总固体</w:t>
            </w:r>
          </w:p>
        </w:tc>
        <w:tc>
          <w:tcPr>
            <w:tcW w:w="818" w:type="pct"/>
            <w:vAlign w:val="center"/>
          </w:tcPr>
          <w:p w:rsidR="00EE56C0" w:rsidRDefault="000F36A1">
            <w:pPr>
              <w:pStyle w:val="afa"/>
            </w:pPr>
            <w:r>
              <w:t>1000</w:t>
            </w:r>
          </w:p>
        </w:tc>
        <w:tc>
          <w:tcPr>
            <w:tcW w:w="677" w:type="pct"/>
            <w:vAlign w:val="center"/>
          </w:tcPr>
          <w:p w:rsidR="00EE56C0" w:rsidRDefault="000F36A1">
            <w:pPr>
              <w:pStyle w:val="afa"/>
            </w:pPr>
            <w:r>
              <w:rPr>
                <w:rFonts w:hint="eastAsia"/>
              </w:rPr>
              <w:t>亚硝酸盐</w:t>
            </w:r>
          </w:p>
        </w:tc>
        <w:tc>
          <w:tcPr>
            <w:tcW w:w="915" w:type="pct"/>
            <w:vAlign w:val="center"/>
          </w:tcPr>
          <w:p w:rsidR="00EE56C0" w:rsidRDefault="000F36A1">
            <w:pPr>
              <w:pStyle w:val="afa"/>
            </w:pPr>
            <w:r>
              <w:rPr>
                <w:rFonts w:hint="eastAsia"/>
              </w:rPr>
              <w:t>1.00</w:t>
            </w:r>
          </w:p>
        </w:tc>
        <w:tc>
          <w:tcPr>
            <w:tcW w:w="748" w:type="pct"/>
            <w:vAlign w:val="center"/>
          </w:tcPr>
          <w:p w:rsidR="00EE56C0" w:rsidRDefault="000F36A1">
            <w:pPr>
              <w:pStyle w:val="afa"/>
            </w:pPr>
            <w:r>
              <w:rPr>
                <w:rFonts w:hint="eastAsia"/>
              </w:rPr>
              <w:t>挥发性酚类</w:t>
            </w:r>
          </w:p>
        </w:tc>
        <w:tc>
          <w:tcPr>
            <w:tcW w:w="947" w:type="pct"/>
            <w:vAlign w:val="center"/>
          </w:tcPr>
          <w:p w:rsidR="00EE56C0" w:rsidRDefault="000F36A1">
            <w:pPr>
              <w:pStyle w:val="afa"/>
            </w:pPr>
            <w:r>
              <w:rPr>
                <w:rFonts w:hint="eastAsia"/>
              </w:rPr>
              <w:t>0.002</w:t>
            </w:r>
          </w:p>
        </w:tc>
      </w:tr>
      <w:tr w:rsidR="00EE56C0">
        <w:trPr>
          <w:trHeight w:val="454"/>
          <w:jc w:val="center"/>
        </w:trPr>
        <w:tc>
          <w:tcPr>
            <w:tcW w:w="895" w:type="pct"/>
            <w:vAlign w:val="center"/>
          </w:tcPr>
          <w:p w:rsidR="00EE56C0" w:rsidRDefault="000F36A1">
            <w:pPr>
              <w:pStyle w:val="afa"/>
            </w:pPr>
            <w:r>
              <w:rPr>
                <w:rFonts w:hint="eastAsia"/>
              </w:rPr>
              <w:t>硝酸盐</w:t>
            </w:r>
          </w:p>
        </w:tc>
        <w:tc>
          <w:tcPr>
            <w:tcW w:w="818" w:type="pct"/>
            <w:vAlign w:val="center"/>
          </w:tcPr>
          <w:p w:rsidR="00EE56C0" w:rsidRDefault="000F36A1">
            <w:pPr>
              <w:pStyle w:val="afa"/>
            </w:pPr>
            <w:r>
              <w:rPr>
                <w:rFonts w:hint="eastAsia"/>
              </w:rPr>
              <w:t>20</w:t>
            </w:r>
          </w:p>
        </w:tc>
        <w:tc>
          <w:tcPr>
            <w:tcW w:w="677" w:type="pct"/>
            <w:vAlign w:val="center"/>
          </w:tcPr>
          <w:p w:rsidR="00EE56C0" w:rsidRDefault="000F36A1">
            <w:pPr>
              <w:pStyle w:val="afa"/>
            </w:pPr>
            <w:r>
              <w:rPr>
                <w:rFonts w:hint="eastAsia"/>
              </w:rPr>
              <w:t>汞</w:t>
            </w:r>
          </w:p>
        </w:tc>
        <w:tc>
          <w:tcPr>
            <w:tcW w:w="915" w:type="pct"/>
            <w:vAlign w:val="center"/>
          </w:tcPr>
          <w:p w:rsidR="00EE56C0" w:rsidRDefault="000F36A1">
            <w:pPr>
              <w:pStyle w:val="afa"/>
            </w:pPr>
            <w:r>
              <w:rPr>
                <w:rFonts w:hint="eastAsia"/>
              </w:rPr>
              <w:t>0.001</w:t>
            </w:r>
          </w:p>
        </w:tc>
        <w:tc>
          <w:tcPr>
            <w:tcW w:w="748" w:type="pct"/>
            <w:vAlign w:val="center"/>
          </w:tcPr>
          <w:p w:rsidR="00EE56C0" w:rsidRDefault="000F36A1">
            <w:pPr>
              <w:pStyle w:val="afa"/>
            </w:pPr>
            <w:r>
              <w:rPr>
                <w:rFonts w:hint="eastAsia"/>
              </w:rPr>
              <w:t>铬</w:t>
            </w:r>
            <w:r>
              <w:t>(</w:t>
            </w:r>
            <w:r>
              <w:rPr>
                <w:rFonts w:hint="eastAsia"/>
              </w:rPr>
              <w:t>六价</w:t>
            </w:r>
            <w:r>
              <w:t>)</w:t>
            </w:r>
          </w:p>
        </w:tc>
        <w:tc>
          <w:tcPr>
            <w:tcW w:w="947" w:type="pct"/>
            <w:vAlign w:val="center"/>
          </w:tcPr>
          <w:p w:rsidR="00EE56C0" w:rsidRDefault="000F36A1">
            <w:pPr>
              <w:pStyle w:val="afa"/>
            </w:pPr>
            <w:r>
              <w:rPr>
                <w:rFonts w:hint="eastAsia"/>
              </w:rPr>
              <w:t>0.05</w:t>
            </w:r>
          </w:p>
        </w:tc>
      </w:tr>
      <w:tr w:rsidR="00EE56C0">
        <w:trPr>
          <w:trHeight w:val="454"/>
          <w:jc w:val="center"/>
        </w:trPr>
        <w:tc>
          <w:tcPr>
            <w:tcW w:w="895" w:type="pct"/>
            <w:vAlign w:val="center"/>
          </w:tcPr>
          <w:p w:rsidR="00EE56C0" w:rsidRDefault="000F36A1">
            <w:pPr>
              <w:pStyle w:val="afa"/>
            </w:pPr>
            <w:r>
              <w:rPr>
                <w:rFonts w:hint="eastAsia"/>
              </w:rPr>
              <w:t>铅</w:t>
            </w:r>
          </w:p>
        </w:tc>
        <w:tc>
          <w:tcPr>
            <w:tcW w:w="818" w:type="pct"/>
            <w:vAlign w:val="center"/>
          </w:tcPr>
          <w:p w:rsidR="00EE56C0" w:rsidRDefault="000F36A1">
            <w:pPr>
              <w:pStyle w:val="afa"/>
            </w:pPr>
            <w:r>
              <w:rPr>
                <w:rFonts w:hint="eastAsia"/>
              </w:rPr>
              <w:t>0.01</w:t>
            </w:r>
          </w:p>
        </w:tc>
        <w:tc>
          <w:tcPr>
            <w:tcW w:w="677" w:type="pct"/>
            <w:vAlign w:val="center"/>
          </w:tcPr>
          <w:p w:rsidR="00EE56C0" w:rsidRDefault="000F36A1">
            <w:pPr>
              <w:pStyle w:val="afa"/>
            </w:pPr>
            <w:r>
              <w:rPr>
                <w:rFonts w:hint="eastAsia"/>
              </w:rPr>
              <w:t>氟</w:t>
            </w:r>
          </w:p>
        </w:tc>
        <w:tc>
          <w:tcPr>
            <w:tcW w:w="915" w:type="pct"/>
            <w:vAlign w:val="center"/>
          </w:tcPr>
          <w:p w:rsidR="00EE56C0" w:rsidRDefault="000F36A1">
            <w:pPr>
              <w:pStyle w:val="afa"/>
            </w:pPr>
            <w:r>
              <w:rPr>
                <w:rFonts w:hint="eastAsia"/>
              </w:rPr>
              <w:t>1.0</w:t>
            </w:r>
          </w:p>
        </w:tc>
        <w:tc>
          <w:tcPr>
            <w:tcW w:w="748" w:type="pct"/>
            <w:vAlign w:val="center"/>
          </w:tcPr>
          <w:p w:rsidR="00EE56C0" w:rsidRDefault="000F36A1">
            <w:pPr>
              <w:pStyle w:val="afa"/>
            </w:pPr>
            <w:r>
              <w:rPr>
                <w:rFonts w:hint="eastAsia"/>
              </w:rPr>
              <w:t>镉</w:t>
            </w:r>
          </w:p>
        </w:tc>
        <w:tc>
          <w:tcPr>
            <w:tcW w:w="947" w:type="pct"/>
            <w:vAlign w:val="center"/>
          </w:tcPr>
          <w:p w:rsidR="00EE56C0" w:rsidRDefault="000F36A1">
            <w:pPr>
              <w:pStyle w:val="afa"/>
            </w:pPr>
            <w:r>
              <w:rPr>
                <w:rFonts w:hint="eastAsia"/>
              </w:rPr>
              <w:t>0.005</w:t>
            </w:r>
          </w:p>
        </w:tc>
      </w:tr>
      <w:tr w:rsidR="00EE56C0">
        <w:trPr>
          <w:trHeight w:val="454"/>
          <w:jc w:val="center"/>
        </w:trPr>
        <w:tc>
          <w:tcPr>
            <w:tcW w:w="895" w:type="pct"/>
            <w:vAlign w:val="center"/>
          </w:tcPr>
          <w:p w:rsidR="00EE56C0" w:rsidRDefault="000F36A1">
            <w:pPr>
              <w:pStyle w:val="afa"/>
            </w:pPr>
            <w:r>
              <w:rPr>
                <w:rFonts w:hint="eastAsia"/>
              </w:rPr>
              <w:t>铁</w:t>
            </w:r>
          </w:p>
        </w:tc>
        <w:tc>
          <w:tcPr>
            <w:tcW w:w="818" w:type="pct"/>
            <w:vAlign w:val="center"/>
          </w:tcPr>
          <w:p w:rsidR="00EE56C0" w:rsidRDefault="000F36A1">
            <w:pPr>
              <w:pStyle w:val="afa"/>
            </w:pPr>
            <w:r>
              <w:rPr>
                <w:rFonts w:hint="eastAsia"/>
              </w:rPr>
              <w:t>0.3</w:t>
            </w:r>
          </w:p>
        </w:tc>
        <w:tc>
          <w:tcPr>
            <w:tcW w:w="677" w:type="pct"/>
            <w:vAlign w:val="center"/>
          </w:tcPr>
          <w:p w:rsidR="00EE56C0" w:rsidRDefault="000F36A1">
            <w:pPr>
              <w:pStyle w:val="afa"/>
            </w:pPr>
            <w:r>
              <w:rPr>
                <w:rFonts w:hint="eastAsia"/>
              </w:rPr>
              <w:t>锰</w:t>
            </w:r>
          </w:p>
        </w:tc>
        <w:tc>
          <w:tcPr>
            <w:tcW w:w="915" w:type="pct"/>
            <w:vAlign w:val="center"/>
          </w:tcPr>
          <w:p w:rsidR="00EE56C0" w:rsidRDefault="000F36A1">
            <w:pPr>
              <w:pStyle w:val="afa"/>
            </w:pPr>
            <w:r>
              <w:rPr>
                <w:rFonts w:hint="eastAsia"/>
              </w:rPr>
              <w:t>0.1</w:t>
            </w:r>
          </w:p>
        </w:tc>
        <w:tc>
          <w:tcPr>
            <w:tcW w:w="748" w:type="pct"/>
            <w:vAlign w:val="center"/>
          </w:tcPr>
          <w:p w:rsidR="00EE56C0" w:rsidRDefault="000F36A1">
            <w:pPr>
              <w:pStyle w:val="afa"/>
            </w:pPr>
            <w:r>
              <w:rPr>
                <w:rFonts w:hint="eastAsia"/>
              </w:rPr>
              <w:t>氰化物</w:t>
            </w:r>
          </w:p>
        </w:tc>
        <w:tc>
          <w:tcPr>
            <w:tcW w:w="947" w:type="pct"/>
            <w:vAlign w:val="center"/>
          </w:tcPr>
          <w:p w:rsidR="00EE56C0" w:rsidRDefault="000F36A1">
            <w:pPr>
              <w:pStyle w:val="afa"/>
            </w:pPr>
            <w:r>
              <w:rPr>
                <w:rFonts w:hint="eastAsia"/>
              </w:rPr>
              <w:t>0.05</w:t>
            </w:r>
          </w:p>
        </w:tc>
      </w:tr>
    </w:tbl>
    <w:p w:rsidR="00EE56C0" w:rsidRDefault="000F36A1">
      <w:pPr>
        <w:pStyle w:val="5"/>
      </w:pPr>
      <w:r>
        <w:rPr>
          <w:rFonts w:hint="eastAsia"/>
        </w:rPr>
        <w:t>五、监测结果统计分析</w:t>
      </w:r>
    </w:p>
    <w:p w:rsidR="00EE56C0" w:rsidRDefault="000F36A1">
      <w:pPr>
        <w:ind w:firstLine="480"/>
      </w:pPr>
      <w:r>
        <w:rPr>
          <w:rFonts w:hint="eastAsia"/>
        </w:rPr>
        <w:t>本次评价地下水现状统计结果详见表</w:t>
      </w:r>
      <w:r>
        <w:rPr>
          <w:rFonts w:hint="eastAsia"/>
        </w:rPr>
        <w:t>4-16~4-20</w:t>
      </w:r>
      <w:r>
        <w:rPr>
          <w:rFonts w:hint="eastAsia"/>
        </w:rPr>
        <w:t>。</w:t>
      </w:r>
    </w:p>
    <w:p w:rsidR="00EE56C0" w:rsidRDefault="000F36A1">
      <w:pPr>
        <w:pStyle w:val="afd"/>
        <w:spacing w:before="120" w:after="120"/>
        <w:ind w:firstLine="482"/>
        <w:rPr>
          <w:sz w:val="21"/>
          <w:szCs w:val="21"/>
        </w:rPr>
      </w:pPr>
      <w:r>
        <w:t>表</w:t>
      </w:r>
      <w:r>
        <w:rPr>
          <w:rFonts w:hint="eastAsia"/>
        </w:rPr>
        <w:t xml:space="preserve">4-16         </w:t>
      </w:r>
      <w:r>
        <w:t>地下水现状结果统计</w:t>
      </w:r>
      <w:r>
        <w:rPr>
          <w:rFonts w:hint="eastAsia"/>
        </w:rPr>
        <w:t>表</w:t>
      </w:r>
      <w:r>
        <w:rPr>
          <w:rFonts w:hint="eastAsia"/>
        </w:rPr>
        <w:t xml:space="preserve">1         </w:t>
      </w:r>
      <w:r>
        <w:rPr>
          <w:sz w:val="21"/>
          <w:szCs w:val="21"/>
        </w:rPr>
        <w:t>单位：</w:t>
      </w:r>
      <w:r>
        <w:rPr>
          <w:sz w:val="21"/>
          <w:szCs w:val="21"/>
        </w:rPr>
        <w:t>mg/L</w:t>
      </w:r>
    </w:p>
    <w:tbl>
      <w:tblPr>
        <w:tblW w:w="5000" w:type="pct"/>
        <w:jc w:val="center"/>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ook w:val="04A0"/>
      </w:tblPr>
      <w:tblGrid>
        <w:gridCol w:w="1383"/>
        <w:gridCol w:w="1276"/>
        <w:gridCol w:w="1134"/>
        <w:gridCol w:w="1276"/>
        <w:gridCol w:w="1134"/>
        <w:gridCol w:w="1276"/>
        <w:gridCol w:w="1049"/>
      </w:tblGrid>
      <w:tr w:rsidR="00EE56C0">
        <w:trPr>
          <w:trHeight w:val="397"/>
          <w:tblHeader/>
          <w:jc w:val="center"/>
        </w:trPr>
        <w:tc>
          <w:tcPr>
            <w:tcW w:w="811" w:type="pct"/>
            <w:vMerge w:val="restart"/>
            <w:vAlign w:val="center"/>
          </w:tcPr>
          <w:p w:rsidR="00EE56C0" w:rsidRDefault="000F36A1">
            <w:pPr>
              <w:pStyle w:val="aff1"/>
              <w:rPr>
                <w:color w:val="auto"/>
              </w:rPr>
            </w:pPr>
            <w:r>
              <w:rPr>
                <w:rFonts w:hint="eastAsia"/>
                <w:color w:val="auto"/>
              </w:rPr>
              <w:t>监测点</w:t>
            </w:r>
          </w:p>
        </w:tc>
        <w:tc>
          <w:tcPr>
            <w:tcW w:w="748" w:type="pct"/>
            <w:vMerge w:val="restart"/>
            <w:vAlign w:val="center"/>
          </w:tcPr>
          <w:p w:rsidR="00EE56C0" w:rsidRDefault="000F36A1">
            <w:pPr>
              <w:pStyle w:val="aff1"/>
              <w:rPr>
                <w:color w:val="auto"/>
              </w:rPr>
            </w:pPr>
            <w:r>
              <w:rPr>
                <w:rFonts w:hint="eastAsia"/>
                <w:color w:val="auto"/>
              </w:rPr>
              <w:t>类别</w:t>
            </w:r>
          </w:p>
        </w:tc>
        <w:tc>
          <w:tcPr>
            <w:tcW w:w="3441" w:type="pct"/>
            <w:gridSpan w:val="5"/>
            <w:vAlign w:val="center"/>
          </w:tcPr>
          <w:p w:rsidR="00EE56C0" w:rsidRDefault="000F36A1">
            <w:pPr>
              <w:pStyle w:val="aff1"/>
              <w:rPr>
                <w:color w:val="auto"/>
              </w:rPr>
            </w:pPr>
            <w:r>
              <w:rPr>
                <w:rFonts w:hint="eastAsia"/>
                <w:color w:val="auto"/>
              </w:rPr>
              <w:t>监测因子</w:t>
            </w:r>
          </w:p>
        </w:tc>
      </w:tr>
      <w:tr w:rsidR="00EE56C0">
        <w:trPr>
          <w:trHeight w:val="397"/>
          <w:tblHeader/>
          <w:jc w:val="center"/>
        </w:trPr>
        <w:tc>
          <w:tcPr>
            <w:tcW w:w="811" w:type="pct"/>
            <w:vMerge/>
            <w:vAlign w:val="center"/>
          </w:tcPr>
          <w:p w:rsidR="00EE56C0" w:rsidRDefault="00EE56C0">
            <w:pPr>
              <w:spacing w:line="240" w:lineRule="auto"/>
              <w:ind w:firstLineChars="0" w:firstLine="0"/>
              <w:jc w:val="center"/>
              <w:rPr>
                <w:b/>
                <w:sz w:val="21"/>
                <w:szCs w:val="21"/>
              </w:rPr>
            </w:pPr>
          </w:p>
        </w:tc>
        <w:tc>
          <w:tcPr>
            <w:tcW w:w="748" w:type="pct"/>
            <w:vMerge/>
            <w:vAlign w:val="center"/>
          </w:tcPr>
          <w:p w:rsidR="00EE56C0" w:rsidRDefault="00EE56C0">
            <w:pPr>
              <w:spacing w:line="240" w:lineRule="auto"/>
              <w:ind w:firstLineChars="0" w:firstLine="0"/>
              <w:jc w:val="center"/>
              <w:rPr>
                <w:b/>
                <w:sz w:val="21"/>
                <w:szCs w:val="21"/>
              </w:rPr>
            </w:pPr>
          </w:p>
        </w:tc>
        <w:tc>
          <w:tcPr>
            <w:tcW w:w="665" w:type="pct"/>
            <w:tcMar>
              <w:left w:w="0" w:type="dxa"/>
              <w:right w:w="0" w:type="dxa"/>
            </w:tcMar>
            <w:vAlign w:val="center"/>
          </w:tcPr>
          <w:p w:rsidR="00EE56C0" w:rsidRDefault="000F36A1">
            <w:pPr>
              <w:pStyle w:val="aff1"/>
              <w:rPr>
                <w:color w:val="auto"/>
              </w:rPr>
            </w:pPr>
            <w:r>
              <w:rPr>
                <w:color w:val="auto"/>
              </w:rPr>
              <w:t>pH</w:t>
            </w:r>
          </w:p>
        </w:tc>
        <w:tc>
          <w:tcPr>
            <w:tcW w:w="748" w:type="pct"/>
            <w:vAlign w:val="center"/>
          </w:tcPr>
          <w:p w:rsidR="00EE56C0" w:rsidRDefault="000F36A1">
            <w:pPr>
              <w:pStyle w:val="aff1"/>
              <w:rPr>
                <w:color w:val="auto"/>
              </w:rPr>
            </w:pPr>
            <w:r>
              <w:rPr>
                <w:color w:val="auto"/>
              </w:rPr>
              <w:t>总硬度</w:t>
            </w:r>
          </w:p>
        </w:tc>
        <w:tc>
          <w:tcPr>
            <w:tcW w:w="665" w:type="pct"/>
            <w:vAlign w:val="center"/>
          </w:tcPr>
          <w:p w:rsidR="00EE56C0" w:rsidRDefault="000F36A1">
            <w:pPr>
              <w:pStyle w:val="aff1"/>
              <w:rPr>
                <w:color w:val="auto"/>
              </w:rPr>
            </w:pPr>
            <w:r>
              <w:rPr>
                <w:rFonts w:hint="eastAsia"/>
                <w:color w:val="auto"/>
              </w:rPr>
              <w:t>氰化物</w:t>
            </w:r>
          </w:p>
        </w:tc>
        <w:tc>
          <w:tcPr>
            <w:tcW w:w="748" w:type="pct"/>
            <w:tcBorders>
              <w:right w:val="single" w:sz="4" w:space="0" w:color="auto"/>
            </w:tcBorders>
            <w:vAlign w:val="center"/>
          </w:tcPr>
          <w:p w:rsidR="00EE56C0" w:rsidRDefault="000F36A1">
            <w:pPr>
              <w:pStyle w:val="aff1"/>
              <w:rPr>
                <w:color w:val="auto"/>
              </w:rPr>
            </w:pPr>
            <w:r>
              <w:rPr>
                <w:color w:val="auto"/>
              </w:rPr>
              <w:t>氨氮</w:t>
            </w:r>
          </w:p>
        </w:tc>
        <w:tc>
          <w:tcPr>
            <w:tcW w:w="615" w:type="pct"/>
            <w:tcBorders>
              <w:left w:val="single" w:sz="4" w:space="0" w:color="auto"/>
            </w:tcBorders>
            <w:vAlign w:val="center"/>
          </w:tcPr>
          <w:p w:rsidR="00EE56C0" w:rsidRDefault="000F36A1">
            <w:pPr>
              <w:pStyle w:val="aff1"/>
              <w:rPr>
                <w:color w:val="auto"/>
              </w:rPr>
            </w:pPr>
            <w:r>
              <w:rPr>
                <w:color w:val="auto"/>
              </w:rPr>
              <w:t>氟</w:t>
            </w:r>
          </w:p>
        </w:tc>
      </w:tr>
      <w:tr w:rsidR="00EE56C0">
        <w:trPr>
          <w:trHeight w:val="570"/>
          <w:jc w:val="center"/>
        </w:trPr>
        <w:tc>
          <w:tcPr>
            <w:tcW w:w="811" w:type="pct"/>
            <w:vMerge w:val="restart"/>
            <w:vAlign w:val="center"/>
          </w:tcPr>
          <w:p w:rsidR="00EE56C0" w:rsidRDefault="000F36A1">
            <w:pPr>
              <w:pStyle w:val="afa"/>
              <w:rPr>
                <w:highlight w:val="yellow"/>
              </w:rPr>
            </w:pPr>
            <w:r>
              <w:rPr>
                <w:rFonts w:hint="eastAsia"/>
              </w:rPr>
              <w:t>康庄村</w:t>
            </w:r>
          </w:p>
        </w:tc>
        <w:tc>
          <w:tcPr>
            <w:tcW w:w="748" w:type="pct"/>
            <w:vAlign w:val="center"/>
          </w:tcPr>
          <w:p w:rsidR="00EE56C0" w:rsidRDefault="000F36A1">
            <w:pPr>
              <w:pStyle w:val="afa"/>
            </w:pPr>
            <w:r>
              <w:rPr>
                <w:rFonts w:hint="eastAsia"/>
              </w:rPr>
              <w:t>浓度范围</w:t>
            </w:r>
          </w:p>
        </w:tc>
        <w:tc>
          <w:tcPr>
            <w:tcW w:w="665" w:type="pct"/>
            <w:vAlign w:val="center"/>
          </w:tcPr>
          <w:p w:rsidR="00EE56C0" w:rsidRDefault="000F36A1">
            <w:pPr>
              <w:pStyle w:val="afa"/>
            </w:pPr>
            <w:r>
              <w:rPr>
                <w:rFonts w:hint="eastAsia"/>
              </w:rPr>
              <w:t>7.47</w:t>
            </w:r>
            <w:r>
              <w:t>~</w:t>
            </w:r>
            <w:r>
              <w:rPr>
                <w:rFonts w:hint="eastAsia"/>
              </w:rPr>
              <w:t>7.52</w:t>
            </w:r>
          </w:p>
        </w:tc>
        <w:tc>
          <w:tcPr>
            <w:tcW w:w="748" w:type="pct"/>
            <w:vAlign w:val="center"/>
          </w:tcPr>
          <w:p w:rsidR="00EE56C0" w:rsidRDefault="000F36A1">
            <w:pPr>
              <w:pStyle w:val="afa"/>
            </w:pPr>
            <w:r>
              <w:rPr>
                <w:rFonts w:hint="eastAsia"/>
              </w:rPr>
              <w:t>353-376</w:t>
            </w:r>
          </w:p>
        </w:tc>
        <w:tc>
          <w:tcPr>
            <w:tcW w:w="665" w:type="pct"/>
            <w:vAlign w:val="center"/>
          </w:tcPr>
          <w:p w:rsidR="00EE56C0" w:rsidRDefault="000F36A1">
            <w:pPr>
              <w:pStyle w:val="afa"/>
            </w:pPr>
            <w:r>
              <w:rPr>
                <w:rFonts w:hint="eastAsia"/>
              </w:rPr>
              <w:t>未检出</w:t>
            </w:r>
          </w:p>
        </w:tc>
        <w:tc>
          <w:tcPr>
            <w:tcW w:w="748" w:type="pct"/>
            <w:tcBorders>
              <w:right w:val="single" w:sz="4" w:space="0" w:color="auto"/>
            </w:tcBorders>
            <w:vAlign w:val="center"/>
          </w:tcPr>
          <w:p w:rsidR="00EE56C0" w:rsidRDefault="000F36A1">
            <w:pPr>
              <w:pStyle w:val="afa"/>
            </w:pPr>
            <w:r>
              <w:rPr>
                <w:rFonts w:hint="eastAsia"/>
              </w:rPr>
              <w:t>0.138-0.154</w:t>
            </w:r>
          </w:p>
        </w:tc>
        <w:tc>
          <w:tcPr>
            <w:tcW w:w="615" w:type="pct"/>
            <w:tcBorders>
              <w:left w:val="single" w:sz="4" w:space="0" w:color="auto"/>
            </w:tcBorders>
            <w:vAlign w:val="center"/>
          </w:tcPr>
          <w:p w:rsidR="00EE56C0" w:rsidRDefault="000F36A1">
            <w:pPr>
              <w:pStyle w:val="afa"/>
            </w:pPr>
            <w:r>
              <w:rPr>
                <w:rFonts w:hint="eastAsia"/>
              </w:rPr>
              <w:t>0.09-0.12</w:t>
            </w:r>
          </w:p>
        </w:tc>
      </w:tr>
      <w:tr w:rsidR="00EE56C0">
        <w:trPr>
          <w:trHeight w:val="397"/>
          <w:jc w:val="center"/>
        </w:trPr>
        <w:tc>
          <w:tcPr>
            <w:tcW w:w="811" w:type="pct"/>
            <w:vMerge/>
            <w:vAlign w:val="center"/>
          </w:tcPr>
          <w:p w:rsidR="00EE56C0" w:rsidRDefault="00EE56C0">
            <w:pPr>
              <w:pStyle w:val="afa"/>
            </w:pPr>
          </w:p>
        </w:tc>
        <w:tc>
          <w:tcPr>
            <w:tcW w:w="748" w:type="pct"/>
            <w:vAlign w:val="center"/>
          </w:tcPr>
          <w:p w:rsidR="00EE56C0" w:rsidRDefault="000F36A1">
            <w:pPr>
              <w:pStyle w:val="afa"/>
            </w:pPr>
            <w:r>
              <w:rPr>
                <w:rFonts w:hint="eastAsia"/>
              </w:rPr>
              <w:t>标准限值</w:t>
            </w:r>
          </w:p>
        </w:tc>
        <w:tc>
          <w:tcPr>
            <w:tcW w:w="665" w:type="pct"/>
            <w:vAlign w:val="center"/>
          </w:tcPr>
          <w:p w:rsidR="00EE56C0" w:rsidRDefault="000F36A1">
            <w:pPr>
              <w:pStyle w:val="afa"/>
            </w:pPr>
            <w:r>
              <w:t>6.5~8.5</w:t>
            </w:r>
          </w:p>
        </w:tc>
        <w:tc>
          <w:tcPr>
            <w:tcW w:w="748" w:type="pct"/>
            <w:vAlign w:val="center"/>
          </w:tcPr>
          <w:p w:rsidR="00EE56C0" w:rsidRDefault="000F36A1">
            <w:pPr>
              <w:pStyle w:val="afa"/>
            </w:pPr>
            <w:r>
              <w:t>450</w:t>
            </w:r>
          </w:p>
        </w:tc>
        <w:tc>
          <w:tcPr>
            <w:tcW w:w="665" w:type="pct"/>
            <w:vAlign w:val="center"/>
          </w:tcPr>
          <w:p w:rsidR="00EE56C0" w:rsidRDefault="000F36A1">
            <w:pPr>
              <w:pStyle w:val="afa"/>
            </w:pPr>
            <w:r>
              <w:rPr>
                <w:rFonts w:hint="eastAsia"/>
              </w:rPr>
              <w:t>0.05</w:t>
            </w:r>
          </w:p>
        </w:tc>
        <w:tc>
          <w:tcPr>
            <w:tcW w:w="748" w:type="pct"/>
            <w:tcBorders>
              <w:right w:val="single" w:sz="4" w:space="0" w:color="auto"/>
            </w:tcBorders>
            <w:vAlign w:val="center"/>
          </w:tcPr>
          <w:p w:rsidR="00EE56C0" w:rsidRDefault="000F36A1">
            <w:pPr>
              <w:pStyle w:val="afa"/>
            </w:pPr>
            <w:r>
              <w:t>0.</w:t>
            </w:r>
            <w:r>
              <w:rPr>
                <w:rFonts w:hint="eastAsia"/>
              </w:rPr>
              <w:t>5</w:t>
            </w:r>
          </w:p>
        </w:tc>
        <w:tc>
          <w:tcPr>
            <w:tcW w:w="615" w:type="pct"/>
            <w:tcBorders>
              <w:left w:val="single" w:sz="4" w:space="0" w:color="auto"/>
            </w:tcBorders>
            <w:vAlign w:val="center"/>
          </w:tcPr>
          <w:p w:rsidR="00EE56C0" w:rsidRDefault="000F36A1">
            <w:pPr>
              <w:pStyle w:val="afa"/>
            </w:pPr>
            <w:r>
              <w:rPr>
                <w:rFonts w:hint="eastAsia"/>
              </w:rPr>
              <w:t>1.0</w:t>
            </w:r>
          </w:p>
        </w:tc>
      </w:tr>
      <w:tr w:rsidR="00EE56C0">
        <w:trPr>
          <w:trHeight w:val="397"/>
          <w:jc w:val="center"/>
        </w:trPr>
        <w:tc>
          <w:tcPr>
            <w:tcW w:w="811" w:type="pct"/>
            <w:vMerge/>
            <w:vAlign w:val="center"/>
          </w:tcPr>
          <w:p w:rsidR="00EE56C0" w:rsidRDefault="00EE56C0">
            <w:pPr>
              <w:pStyle w:val="afa"/>
            </w:pPr>
          </w:p>
        </w:tc>
        <w:tc>
          <w:tcPr>
            <w:tcW w:w="748" w:type="pct"/>
            <w:vAlign w:val="center"/>
          </w:tcPr>
          <w:p w:rsidR="00EE56C0" w:rsidRDefault="000F36A1">
            <w:pPr>
              <w:pStyle w:val="afa"/>
            </w:pPr>
            <w:r>
              <w:rPr>
                <w:rFonts w:hint="eastAsia"/>
              </w:rPr>
              <w:t>达标情况</w:t>
            </w:r>
          </w:p>
        </w:tc>
        <w:tc>
          <w:tcPr>
            <w:tcW w:w="665" w:type="pct"/>
            <w:vAlign w:val="center"/>
          </w:tcPr>
          <w:p w:rsidR="00EE56C0" w:rsidRDefault="000F36A1">
            <w:pPr>
              <w:pStyle w:val="afa"/>
            </w:pPr>
            <w:r>
              <w:rPr>
                <w:rFonts w:hint="eastAsia"/>
              </w:rPr>
              <w:t>达标</w:t>
            </w:r>
          </w:p>
        </w:tc>
        <w:tc>
          <w:tcPr>
            <w:tcW w:w="748" w:type="pct"/>
            <w:vAlign w:val="center"/>
          </w:tcPr>
          <w:p w:rsidR="00EE56C0" w:rsidRDefault="000F36A1">
            <w:pPr>
              <w:pStyle w:val="afa"/>
            </w:pPr>
            <w:r>
              <w:rPr>
                <w:rFonts w:hint="eastAsia"/>
              </w:rPr>
              <w:t>达标</w:t>
            </w:r>
          </w:p>
        </w:tc>
        <w:tc>
          <w:tcPr>
            <w:tcW w:w="665" w:type="pct"/>
            <w:vAlign w:val="center"/>
          </w:tcPr>
          <w:p w:rsidR="00EE56C0" w:rsidRDefault="000F36A1">
            <w:pPr>
              <w:pStyle w:val="afa"/>
            </w:pPr>
            <w:r>
              <w:rPr>
                <w:rFonts w:hint="eastAsia"/>
              </w:rPr>
              <w:t>达标</w:t>
            </w:r>
          </w:p>
        </w:tc>
        <w:tc>
          <w:tcPr>
            <w:tcW w:w="748" w:type="pct"/>
            <w:tcBorders>
              <w:right w:val="single" w:sz="4" w:space="0" w:color="auto"/>
            </w:tcBorders>
            <w:vAlign w:val="center"/>
          </w:tcPr>
          <w:p w:rsidR="00EE56C0" w:rsidRDefault="000F36A1">
            <w:pPr>
              <w:pStyle w:val="afa"/>
            </w:pPr>
            <w:r>
              <w:rPr>
                <w:rFonts w:hint="eastAsia"/>
              </w:rPr>
              <w:t>达标</w:t>
            </w:r>
          </w:p>
        </w:tc>
        <w:tc>
          <w:tcPr>
            <w:tcW w:w="615" w:type="pct"/>
            <w:tcBorders>
              <w:left w:val="single" w:sz="4" w:space="0" w:color="auto"/>
            </w:tcBorders>
            <w:vAlign w:val="center"/>
          </w:tcPr>
          <w:p w:rsidR="00EE56C0" w:rsidRDefault="000F36A1">
            <w:pPr>
              <w:pStyle w:val="afa"/>
            </w:pPr>
            <w:r>
              <w:rPr>
                <w:rFonts w:hint="eastAsia"/>
              </w:rPr>
              <w:t>达标</w:t>
            </w:r>
          </w:p>
        </w:tc>
      </w:tr>
      <w:tr w:rsidR="00EE56C0">
        <w:trPr>
          <w:trHeight w:val="397"/>
          <w:jc w:val="center"/>
        </w:trPr>
        <w:tc>
          <w:tcPr>
            <w:tcW w:w="811" w:type="pct"/>
            <w:vMerge w:val="restart"/>
            <w:vAlign w:val="center"/>
          </w:tcPr>
          <w:p w:rsidR="00EE56C0" w:rsidRDefault="000F36A1">
            <w:pPr>
              <w:pStyle w:val="afa"/>
              <w:rPr>
                <w:iCs/>
                <w:highlight w:val="yellow"/>
              </w:rPr>
            </w:pPr>
            <w:r>
              <w:rPr>
                <w:rFonts w:hint="eastAsia"/>
              </w:rPr>
              <w:t>厂址（自备井）</w:t>
            </w:r>
          </w:p>
        </w:tc>
        <w:tc>
          <w:tcPr>
            <w:tcW w:w="748" w:type="pct"/>
            <w:vAlign w:val="center"/>
          </w:tcPr>
          <w:p w:rsidR="00EE56C0" w:rsidRDefault="000F36A1">
            <w:pPr>
              <w:pStyle w:val="afa"/>
            </w:pPr>
            <w:r>
              <w:rPr>
                <w:rFonts w:hint="eastAsia"/>
              </w:rPr>
              <w:t>浓度范围</w:t>
            </w:r>
          </w:p>
        </w:tc>
        <w:tc>
          <w:tcPr>
            <w:tcW w:w="665" w:type="pct"/>
            <w:vAlign w:val="center"/>
          </w:tcPr>
          <w:p w:rsidR="00EE56C0" w:rsidRDefault="000F36A1">
            <w:pPr>
              <w:pStyle w:val="afa"/>
            </w:pPr>
            <w:r>
              <w:rPr>
                <w:rFonts w:hint="eastAsia"/>
              </w:rPr>
              <w:t>7.59</w:t>
            </w:r>
            <w:r>
              <w:t>~</w:t>
            </w:r>
            <w:r>
              <w:rPr>
                <w:rFonts w:hint="eastAsia"/>
              </w:rPr>
              <w:t>7.66</w:t>
            </w:r>
          </w:p>
        </w:tc>
        <w:tc>
          <w:tcPr>
            <w:tcW w:w="748" w:type="pct"/>
            <w:vAlign w:val="center"/>
          </w:tcPr>
          <w:p w:rsidR="00EE56C0" w:rsidRDefault="000F36A1">
            <w:pPr>
              <w:pStyle w:val="afa"/>
            </w:pPr>
            <w:r>
              <w:rPr>
                <w:rFonts w:hint="eastAsia"/>
              </w:rPr>
              <w:t>355-367</w:t>
            </w:r>
          </w:p>
        </w:tc>
        <w:tc>
          <w:tcPr>
            <w:tcW w:w="665" w:type="pct"/>
            <w:vAlign w:val="center"/>
          </w:tcPr>
          <w:p w:rsidR="00EE56C0" w:rsidRDefault="000F36A1">
            <w:pPr>
              <w:pStyle w:val="afa"/>
            </w:pPr>
            <w:r>
              <w:rPr>
                <w:rFonts w:hint="eastAsia"/>
              </w:rPr>
              <w:t>未检出</w:t>
            </w:r>
          </w:p>
        </w:tc>
        <w:tc>
          <w:tcPr>
            <w:tcW w:w="748" w:type="pct"/>
            <w:tcBorders>
              <w:right w:val="single" w:sz="4" w:space="0" w:color="auto"/>
            </w:tcBorders>
            <w:vAlign w:val="center"/>
          </w:tcPr>
          <w:p w:rsidR="00EE56C0" w:rsidRDefault="000F36A1">
            <w:pPr>
              <w:pStyle w:val="afa"/>
            </w:pPr>
            <w:r>
              <w:rPr>
                <w:rFonts w:hint="eastAsia"/>
              </w:rPr>
              <w:t>0.127-0.136</w:t>
            </w:r>
          </w:p>
        </w:tc>
        <w:tc>
          <w:tcPr>
            <w:tcW w:w="615" w:type="pct"/>
            <w:tcBorders>
              <w:left w:val="single" w:sz="4" w:space="0" w:color="auto"/>
            </w:tcBorders>
            <w:vAlign w:val="center"/>
          </w:tcPr>
          <w:p w:rsidR="00EE56C0" w:rsidRDefault="000F36A1">
            <w:pPr>
              <w:pStyle w:val="afa"/>
            </w:pPr>
            <w:r>
              <w:rPr>
                <w:rFonts w:hint="eastAsia"/>
              </w:rPr>
              <w:t>0.13-0.18</w:t>
            </w:r>
          </w:p>
        </w:tc>
      </w:tr>
      <w:tr w:rsidR="00EE56C0">
        <w:trPr>
          <w:trHeight w:val="397"/>
          <w:jc w:val="center"/>
        </w:trPr>
        <w:tc>
          <w:tcPr>
            <w:tcW w:w="811" w:type="pct"/>
            <w:vMerge/>
            <w:vAlign w:val="center"/>
          </w:tcPr>
          <w:p w:rsidR="00EE56C0" w:rsidRDefault="00EE56C0">
            <w:pPr>
              <w:pStyle w:val="afa"/>
            </w:pPr>
          </w:p>
        </w:tc>
        <w:tc>
          <w:tcPr>
            <w:tcW w:w="748" w:type="pct"/>
            <w:vAlign w:val="center"/>
          </w:tcPr>
          <w:p w:rsidR="00EE56C0" w:rsidRDefault="000F36A1">
            <w:pPr>
              <w:pStyle w:val="afa"/>
            </w:pPr>
            <w:r>
              <w:rPr>
                <w:rFonts w:hint="eastAsia"/>
              </w:rPr>
              <w:t>标准限值</w:t>
            </w:r>
          </w:p>
        </w:tc>
        <w:tc>
          <w:tcPr>
            <w:tcW w:w="665" w:type="pct"/>
            <w:vAlign w:val="center"/>
          </w:tcPr>
          <w:p w:rsidR="00EE56C0" w:rsidRDefault="000F36A1">
            <w:pPr>
              <w:pStyle w:val="afa"/>
            </w:pPr>
            <w:r>
              <w:t>6.5~8.5</w:t>
            </w:r>
          </w:p>
        </w:tc>
        <w:tc>
          <w:tcPr>
            <w:tcW w:w="748" w:type="pct"/>
            <w:vAlign w:val="center"/>
          </w:tcPr>
          <w:p w:rsidR="00EE56C0" w:rsidRDefault="000F36A1">
            <w:pPr>
              <w:pStyle w:val="afa"/>
            </w:pPr>
            <w:r>
              <w:t>450</w:t>
            </w:r>
          </w:p>
        </w:tc>
        <w:tc>
          <w:tcPr>
            <w:tcW w:w="665" w:type="pct"/>
            <w:vAlign w:val="center"/>
          </w:tcPr>
          <w:p w:rsidR="00EE56C0" w:rsidRDefault="000F36A1">
            <w:pPr>
              <w:pStyle w:val="afa"/>
            </w:pPr>
            <w:r>
              <w:rPr>
                <w:rFonts w:hint="eastAsia"/>
              </w:rPr>
              <w:t>0.05</w:t>
            </w:r>
          </w:p>
        </w:tc>
        <w:tc>
          <w:tcPr>
            <w:tcW w:w="748" w:type="pct"/>
            <w:tcBorders>
              <w:right w:val="single" w:sz="4" w:space="0" w:color="auto"/>
            </w:tcBorders>
            <w:vAlign w:val="center"/>
          </w:tcPr>
          <w:p w:rsidR="00EE56C0" w:rsidRDefault="000F36A1">
            <w:pPr>
              <w:pStyle w:val="afa"/>
            </w:pPr>
            <w:r>
              <w:t>0.</w:t>
            </w:r>
            <w:r>
              <w:rPr>
                <w:rFonts w:hint="eastAsia"/>
              </w:rPr>
              <w:t>5</w:t>
            </w:r>
          </w:p>
        </w:tc>
        <w:tc>
          <w:tcPr>
            <w:tcW w:w="615" w:type="pct"/>
            <w:tcBorders>
              <w:left w:val="single" w:sz="4" w:space="0" w:color="auto"/>
            </w:tcBorders>
            <w:vAlign w:val="center"/>
          </w:tcPr>
          <w:p w:rsidR="00EE56C0" w:rsidRDefault="000F36A1">
            <w:pPr>
              <w:pStyle w:val="afa"/>
            </w:pPr>
            <w:r>
              <w:rPr>
                <w:rFonts w:hint="eastAsia"/>
              </w:rPr>
              <w:t>0.1-0.11</w:t>
            </w:r>
          </w:p>
        </w:tc>
      </w:tr>
      <w:tr w:rsidR="00EE56C0">
        <w:trPr>
          <w:trHeight w:val="397"/>
          <w:jc w:val="center"/>
        </w:trPr>
        <w:tc>
          <w:tcPr>
            <w:tcW w:w="811" w:type="pct"/>
            <w:vMerge/>
            <w:vAlign w:val="center"/>
          </w:tcPr>
          <w:p w:rsidR="00EE56C0" w:rsidRDefault="00EE56C0">
            <w:pPr>
              <w:pStyle w:val="afa"/>
            </w:pPr>
          </w:p>
        </w:tc>
        <w:tc>
          <w:tcPr>
            <w:tcW w:w="748" w:type="pct"/>
            <w:vAlign w:val="center"/>
          </w:tcPr>
          <w:p w:rsidR="00EE56C0" w:rsidRDefault="000F36A1">
            <w:pPr>
              <w:pStyle w:val="afa"/>
            </w:pPr>
            <w:r>
              <w:rPr>
                <w:rFonts w:hint="eastAsia"/>
              </w:rPr>
              <w:t>达标情况</w:t>
            </w:r>
          </w:p>
        </w:tc>
        <w:tc>
          <w:tcPr>
            <w:tcW w:w="665" w:type="pct"/>
            <w:vAlign w:val="center"/>
          </w:tcPr>
          <w:p w:rsidR="00EE56C0" w:rsidRDefault="000F36A1">
            <w:pPr>
              <w:pStyle w:val="afa"/>
            </w:pPr>
            <w:r>
              <w:rPr>
                <w:rFonts w:hint="eastAsia"/>
              </w:rPr>
              <w:t>达标</w:t>
            </w:r>
          </w:p>
        </w:tc>
        <w:tc>
          <w:tcPr>
            <w:tcW w:w="748" w:type="pct"/>
            <w:vAlign w:val="center"/>
          </w:tcPr>
          <w:p w:rsidR="00EE56C0" w:rsidRDefault="000F36A1">
            <w:pPr>
              <w:pStyle w:val="afa"/>
            </w:pPr>
            <w:r>
              <w:rPr>
                <w:rFonts w:hint="eastAsia"/>
              </w:rPr>
              <w:t>达标</w:t>
            </w:r>
          </w:p>
        </w:tc>
        <w:tc>
          <w:tcPr>
            <w:tcW w:w="665" w:type="pct"/>
            <w:vAlign w:val="center"/>
          </w:tcPr>
          <w:p w:rsidR="00EE56C0" w:rsidRDefault="000F36A1">
            <w:pPr>
              <w:pStyle w:val="afa"/>
            </w:pPr>
            <w:r>
              <w:rPr>
                <w:rFonts w:hint="eastAsia"/>
              </w:rPr>
              <w:t>达标</w:t>
            </w:r>
          </w:p>
        </w:tc>
        <w:tc>
          <w:tcPr>
            <w:tcW w:w="748" w:type="pct"/>
            <w:tcBorders>
              <w:right w:val="single" w:sz="4" w:space="0" w:color="auto"/>
            </w:tcBorders>
            <w:vAlign w:val="center"/>
          </w:tcPr>
          <w:p w:rsidR="00EE56C0" w:rsidRDefault="000F36A1">
            <w:pPr>
              <w:pStyle w:val="afa"/>
            </w:pPr>
            <w:r>
              <w:rPr>
                <w:rFonts w:hint="eastAsia"/>
              </w:rPr>
              <w:t>达标</w:t>
            </w:r>
          </w:p>
        </w:tc>
        <w:tc>
          <w:tcPr>
            <w:tcW w:w="615" w:type="pct"/>
            <w:tcBorders>
              <w:left w:val="single" w:sz="4" w:space="0" w:color="auto"/>
            </w:tcBorders>
            <w:vAlign w:val="center"/>
          </w:tcPr>
          <w:p w:rsidR="00EE56C0" w:rsidRDefault="000F36A1">
            <w:pPr>
              <w:pStyle w:val="afa"/>
            </w:pPr>
            <w:r>
              <w:rPr>
                <w:rFonts w:hint="eastAsia"/>
              </w:rPr>
              <w:t>1.0</w:t>
            </w:r>
          </w:p>
        </w:tc>
      </w:tr>
      <w:tr w:rsidR="00EE56C0">
        <w:trPr>
          <w:trHeight w:val="397"/>
          <w:jc w:val="center"/>
        </w:trPr>
        <w:tc>
          <w:tcPr>
            <w:tcW w:w="811" w:type="pct"/>
            <w:vMerge w:val="restart"/>
            <w:vAlign w:val="center"/>
          </w:tcPr>
          <w:p w:rsidR="00EE56C0" w:rsidRDefault="000F36A1">
            <w:pPr>
              <w:pStyle w:val="afa"/>
              <w:rPr>
                <w:iCs/>
                <w:highlight w:val="yellow"/>
              </w:rPr>
            </w:pPr>
            <w:r>
              <w:rPr>
                <w:rFonts w:hint="eastAsia"/>
              </w:rPr>
              <w:t>七里营镇</w:t>
            </w:r>
          </w:p>
        </w:tc>
        <w:tc>
          <w:tcPr>
            <w:tcW w:w="748" w:type="pct"/>
            <w:vAlign w:val="center"/>
          </w:tcPr>
          <w:p w:rsidR="00EE56C0" w:rsidRDefault="000F36A1">
            <w:pPr>
              <w:pStyle w:val="afa"/>
            </w:pPr>
            <w:r>
              <w:rPr>
                <w:rFonts w:hint="eastAsia"/>
              </w:rPr>
              <w:t>浓度范围</w:t>
            </w:r>
          </w:p>
        </w:tc>
        <w:tc>
          <w:tcPr>
            <w:tcW w:w="665" w:type="pct"/>
            <w:vAlign w:val="center"/>
          </w:tcPr>
          <w:p w:rsidR="00EE56C0" w:rsidRDefault="000F36A1">
            <w:pPr>
              <w:pStyle w:val="afa"/>
            </w:pPr>
            <w:r>
              <w:rPr>
                <w:rFonts w:hint="eastAsia"/>
              </w:rPr>
              <w:t>7.58</w:t>
            </w:r>
            <w:r>
              <w:t>~</w:t>
            </w:r>
            <w:r>
              <w:rPr>
                <w:rFonts w:hint="eastAsia"/>
              </w:rPr>
              <w:t>7.62</w:t>
            </w:r>
          </w:p>
        </w:tc>
        <w:tc>
          <w:tcPr>
            <w:tcW w:w="748" w:type="pct"/>
            <w:vAlign w:val="center"/>
          </w:tcPr>
          <w:p w:rsidR="00EE56C0" w:rsidRDefault="000F36A1">
            <w:pPr>
              <w:pStyle w:val="afa"/>
            </w:pPr>
            <w:r>
              <w:rPr>
                <w:rFonts w:hint="eastAsia"/>
              </w:rPr>
              <w:t>366-383</w:t>
            </w:r>
          </w:p>
        </w:tc>
        <w:tc>
          <w:tcPr>
            <w:tcW w:w="665" w:type="pct"/>
            <w:vAlign w:val="center"/>
          </w:tcPr>
          <w:p w:rsidR="00EE56C0" w:rsidRDefault="000F36A1">
            <w:pPr>
              <w:pStyle w:val="afa"/>
            </w:pPr>
            <w:r>
              <w:rPr>
                <w:rFonts w:hint="eastAsia"/>
              </w:rPr>
              <w:t>未检出</w:t>
            </w:r>
          </w:p>
        </w:tc>
        <w:tc>
          <w:tcPr>
            <w:tcW w:w="748" w:type="pct"/>
            <w:tcBorders>
              <w:right w:val="single" w:sz="4" w:space="0" w:color="auto"/>
            </w:tcBorders>
            <w:vAlign w:val="center"/>
          </w:tcPr>
          <w:p w:rsidR="00EE56C0" w:rsidRDefault="000F36A1">
            <w:pPr>
              <w:pStyle w:val="afa"/>
            </w:pPr>
            <w:r>
              <w:rPr>
                <w:rFonts w:hint="eastAsia"/>
              </w:rPr>
              <w:t>0.123-0.141</w:t>
            </w:r>
          </w:p>
        </w:tc>
        <w:tc>
          <w:tcPr>
            <w:tcW w:w="615" w:type="pct"/>
            <w:tcBorders>
              <w:left w:val="single" w:sz="4" w:space="0" w:color="auto"/>
            </w:tcBorders>
            <w:vAlign w:val="center"/>
          </w:tcPr>
          <w:p w:rsidR="00EE56C0" w:rsidRDefault="000F36A1">
            <w:pPr>
              <w:pStyle w:val="afa"/>
            </w:pPr>
            <w:r>
              <w:rPr>
                <w:rFonts w:hint="eastAsia"/>
              </w:rPr>
              <w:t>0.17-0.20</w:t>
            </w:r>
          </w:p>
        </w:tc>
      </w:tr>
      <w:tr w:rsidR="00EE56C0">
        <w:trPr>
          <w:trHeight w:val="397"/>
          <w:jc w:val="center"/>
        </w:trPr>
        <w:tc>
          <w:tcPr>
            <w:tcW w:w="811" w:type="pct"/>
            <w:vMerge/>
            <w:vAlign w:val="center"/>
          </w:tcPr>
          <w:p w:rsidR="00EE56C0" w:rsidRDefault="00EE56C0">
            <w:pPr>
              <w:pStyle w:val="afa"/>
            </w:pPr>
          </w:p>
        </w:tc>
        <w:tc>
          <w:tcPr>
            <w:tcW w:w="748" w:type="pct"/>
            <w:vAlign w:val="center"/>
          </w:tcPr>
          <w:p w:rsidR="00EE56C0" w:rsidRDefault="000F36A1">
            <w:pPr>
              <w:pStyle w:val="afa"/>
            </w:pPr>
            <w:r>
              <w:rPr>
                <w:rFonts w:hint="eastAsia"/>
              </w:rPr>
              <w:t>标准限值</w:t>
            </w:r>
          </w:p>
        </w:tc>
        <w:tc>
          <w:tcPr>
            <w:tcW w:w="665" w:type="pct"/>
            <w:vAlign w:val="center"/>
          </w:tcPr>
          <w:p w:rsidR="00EE56C0" w:rsidRDefault="000F36A1">
            <w:pPr>
              <w:pStyle w:val="afa"/>
            </w:pPr>
            <w:r>
              <w:t>6.5~8.5</w:t>
            </w:r>
          </w:p>
        </w:tc>
        <w:tc>
          <w:tcPr>
            <w:tcW w:w="748" w:type="pct"/>
            <w:vAlign w:val="center"/>
          </w:tcPr>
          <w:p w:rsidR="00EE56C0" w:rsidRDefault="000F36A1">
            <w:pPr>
              <w:pStyle w:val="afa"/>
            </w:pPr>
            <w:r>
              <w:t>450</w:t>
            </w:r>
          </w:p>
        </w:tc>
        <w:tc>
          <w:tcPr>
            <w:tcW w:w="665" w:type="pct"/>
            <w:vAlign w:val="center"/>
          </w:tcPr>
          <w:p w:rsidR="00EE56C0" w:rsidRDefault="000F36A1">
            <w:pPr>
              <w:pStyle w:val="afa"/>
            </w:pPr>
            <w:r>
              <w:rPr>
                <w:rFonts w:hint="eastAsia"/>
              </w:rPr>
              <w:t>0.05</w:t>
            </w:r>
          </w:p>
        </w:tc>
        <w:tc>
          <w:tcPr>
            <w:tcW w:w="748" w:type="pct"/>
            <w:tcBorders>
              <w:right w:val="single" w:sz="4" w:space="0" w:color="auto"/>
            </w:tcBorders>
            <w:vAlign w:val="center"/>
          </w:tcPr>
          <w:p w:rsidR="00EE56C0" w:rsidRDefault="000F36A1">
            <w:pPr>
              <w:pStyle w:val="afa"/>
            </w:pPr>
            <w:r>
              <w:t>0.</w:t>
            </w:r>
            <w:r>
              <w:rPr>
                <w:rFonts w:hint="eastAsia"/>
              </w:rPr>
              <w:t>5</w:t>
            </w:r>
          </w:p>
        </w:tc>
        <w:tc>
          <w:tcPr>
            <w:tcW w:w="615" w:type="pct"/>
            <w:tcBorders>
              <w:left w:val="single" w:sz="4" w:space="0" w:color="auto"/>
            </w:tcBorders>
            <w:vAlign w:val="center"/>
          </w:tcPr>
          <w:p w:rsidR="00EE56C0" w:rsidRDefault="000F36A1">
            <w:pPr>
              <w:pStyle w:val="afa"/>
            </w:pPr>
            <w:r>
              <w:rPr>
                <w:rFonts w:hint="eastAsia"/>
              </w:rPr>
              <w:t>0.08-0.11</w:t>
            </w:r>
          </w:p>
        </w:tc>
      </w:tr>
      <w:tr w:rsidR="00EE56C0">
        <w:trPr>
          <w:trHeight w:val="397"/>
          <w:jc w:val="center"/>
        </w:trPr>
        <w:tc>
          <w:tcPr>
            <w:tcW w:w="811" w:type="pct"/>
            <w:vMerge/>
            <w:vAlign w:val="center"/>
          </w:tcPr>
          <w:p w:rsidR="00EE56C0" w:rsidRDefault="00EE56C0">
            <w:pPr>
              <w:pStyle w:val="afa"/>
            </w:pPr>
          </w:p>
        </w:tc>
        <w:tc>
          <w:tcPr>
            <w:tcW w:w="748" w:type="pct"/>
            <w:vAlign w:val="center"/>
          </w:tcPr>
          <w:p w:rsidR="00EE56C0" w:rsidRDefault="000F36A1">
            <w:pPr>
              <w:pStyle w:val="afa"/>
            </w:pPr>
            <w:r>
              <w:rPr>
                <w:rFonts w:hint="eastAsia"/>
              </w:rPr>
              <w:t>达标情况</w:t>
            </w:r>
          </w:p>
        </w:tc>
        <w:tc>
          <w:tcPr>
            <w:tcW w:w="665" w:type="pct"/>
            <w:vAlign w:val="center"/>
          </w:tcPr>
          <w:p w:rsidR="00EE56C0" w:rsidRDefault="000F36A1">
            <w:pPr>
              <w:pStyle w:val="afa"/>
            </w:pPr>
            <w:r>
              <w:rPr>
                <w:rFonts w:hint="eastAsia"/>
              </w:rPr>
              <w:t>达标</w:t>
            </w:r>
          </w:p>
        </w:tc>
        <w:tc>
          <w:tcPr>
            <w:tcW w:w="748" w:type="pct"/>
            <w:vAlign w:val="center"/>
          </w:tcPr>
          <w:p w:rsidR="00EE56C0" w:rsidRDefault="000F36A1">
            <w:pPr>
              <w:pStyle w:val="afa"/>
            </w:pPr>
            <w:r>
              <w:rPr>
                <w:rFonts w:hint="eastAsia"/>
              </w:rPr>
              <w:t>达标</w:t>
            </w:r>
          </w:p>
        </w:tc>
        <w:tc>
          <w:tcPr>
            <w:tcW w:w="665" w:type="pct"/>
            <w:vAlign w:val="center"/>
          </w:tcPr>
          <w:p w:rsidR="00EE56C0" w:rsidRDefault="000F36A1">
            <w:pPr>
              <w:pStyle w:val="afa"/>
            </w:pPr>
            <w:r>
              <w:rPr>
                <w:rFonts w:hint="eastAsia"/>
              </w:rPr>
              <w:t>达标</w:t>
            </w:r>
          </w:p>
        </w:tc>
        <w:tc>
          <w:tcPr>
            <w:tcW w:w="748" w:type="pct"/>
            <w:tcBorders>
              <w:right w:val="single" w:sz="4" w:space="0" w:color="auto"/>
            </w:tcBorders>
            <w:vAlign w:val="center"/>
          </w:tcPr>
          <w:p w:rsidR="00EE56C0" w:rsidRDefault="000F36A1">
            <w:pPr>
              <w:pStyle w:val="afa"/>
            </w:pPr>
            <w:r>
              <w:rPr>
                <w:rFonts w:hint="eastAsia"/>
              </w:rPr>
              <w:t>达标</w:t>
            </w:r>
          </w:p>
        </w:tc>
        <w:tc>
          <w:tcPr>
            <w:tcW w:w="615" w:type="pct"/>
            <w:tcBorders>
              <w:left w:val="single" w:sz="4" w:space="0" w:color="auto"/>
            </w:tcBorders>
            <w:vAlign w:val="center"/>
          </w:tcPr>
          <w:p w:rsidR="00EE56C0" w:rsidRDefault="000F36A1">
            <w:pPr>
              <w:pStyle w:val="afa"/>
            </w:pPr>
            <w:r>
              <w:rPr>
                <w:rFonts w:hint="eastAsia"/>
              </w:rPr>
              <w:t>1.0</w:t>
            </w:r>
          </w:p>
        </w:tc>
      </w:tr>
    </w:tbl>
    <w:p w:rsidR="00EE56C0" w:rsidRDefault="000F36A1">
      <w:pPr>
        <w:pStyle w:val="afd"/>
        <w:spacing w:before="120" w:after="120"/>
        <w:ind w:firstLine="482"/>
        <w:rPr>
          <w:szCs w:val="21"/>
        </w:rPr>
      </w:pPr>
      <w:r>
        <w:t>表</w:t>
      </w:r>
      <w:r>
        <w:rPr>
          <w:rFonts w:hint="eastAsia"/>
        </w:rPr>
        <w:t>4-17</w:t>
      </w:r>
      <w:r>
        <w:t>地下水现状结果统计</w:t>
      </w:r>
      <w:r>
        <w:rPr>
          <w:rFonts w:hint="eastAsia"/>
        </w:rPr>
        <w:t>表</w:t>
      </w:r>
      <w:r>
        <w:rPr>
          <w:rFonts w:hint="eastAsia"/>
        </w:rPr>
        <w:t>2</w:t>
      </w:r>
      <w:r>
        <w:rPr>
          <w:sz w:val="21"/>
          <w:szCs w:val="21"/>
        </w:rPr>
        <w:t>单位：</w:t>
      </w:r>
      <w:r>
        <w:rPr>
          <w:sz w:val="21"/>
          <w:szCs w:val="21"/>
        </w:rPr>
        <w:t>mg/L</w:t>
      </w:r>
    </w:p>
    <w:tbl>
      <w:tblPr>
        <w:tblW w:w="5000" w:type="pct"/>
        <w:jc w:val="center"/>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Look w:val="04A0"/>
      </w:tblPr>
      <w:tblGrid>
        <w:gridCol w:w="1383"/>
        <w:gridCol w:w="1277"/>
        <w:gridCol w:w="1167"/>
        <w:gridCol w:w="1243"/>
        <w:gridCol w:w="1134"/>
        <w:gridCol w:w="1133"/>
        <w:gridCol w:w="1191"/>
      </w:tblGrid>
      <w:tr w:rsidR="00EE56C0">
        <w:trPr>
          <w:trHeight w:val="397"/>
          <w:tblHeader/>
          <w:jc w:val="center"/>
        </w:trPr>
        <w:tc>
          <w:tcPr>
            <w:tcW w:w="811" w:type="pct"/>
            <w:vMerge w:val="restart"/>
            <w:vAlign w:val="center"/>
          </w:tcPr>
          <w:p w:rsidR="00EE56C0" w:rsidRDefault="000F36A1">
            <w:pPr>
              <w:pStyle w:val="aff1"/>
              <w:rPr>
                <w:color w:val="auto"/>
              </w:rPr>
            </w:pPr>
            <w:r>
              <w:rPr>
                <w:rFonts w:hint="eastAsia"/>
                <w:color w:val="auto"/>
              </w:rPr>
              <w:t>监测点</w:t>
            </w:r>
          </w:p>
        </w:tc>
        <w:tc>
          <w:tcPr>
            <w:tcW w:w="749" w:type="pct"/>
            <w:vMerge w:val="restart"/>
            <w:vAlign w:val="center"/>
          </w:tcPr>
          <w:p w:rsidR="00EE56C0" w:rsidRDefault="000F36A1">
            <w:pPr>
              <w:pStyle w:val="aff1"/>
              <w:rPr>
                <w:color w:val="auto"/>
              </w:rPr>
            </w:pPr>
            <w:r>
              <w:rPr>
                <w:rFonts w:hint="eastAsia"/>
                <w:color w:val="auto"/>
              </w:rPr>
              <w:t>类别</w:t>
            </w:r>
          </w:p>
        </w:tc>
        <w:tc>
          <w:tcPr>
            <w:tcW w:w="3440" w:type="pct"/>
            <w:gridSpan w:val="5"/>
            <w:vAlign w:val="center"/>
          </w:tcPr>
          <w:p w:rsidR="00EE56C0" w:rsidRDefault="000F36A1">
            <w:pPr>
              <w:pStyle w:val="aff1"/>
              <w:rPr>
                <w:color w:val="auto"/>
              </w:rPr>
            </w:pPr>
            <w:r>
              <w:rPr>
                <w:rFonts w:hint="eastAsia"/>
                <w:color w:val="auto"/>
              </w:rPr>
              <w:t>监测因子</w:t>
            </w:r>
          </w:p>
        </w:tc>
      </w:tr>
      <w:tr w:rsidR="00EE56C0">
        <w:trPr>
          <w:trHeight w:val="397"/>
          <w:tblHeader/>
          <w:jc w:val="center"/>
        </w:trPr>
        <w:tc>
          <w:tcPr>
            <w:tcW w:w="811" w:type="pct"/>
            <w:vMerge/>
            <w:vAlign w:val="center"/>
          </w:tcPr>
          <w:p w:rsidR="00EE56C0" w:rsidRDefault="00EE56C0">
            <w:pPr>
              <w:pStyle w:val="aff1"/>
              <w:rPr>
                <w:color w:val="auto"/>
              </w:rPr>
            </w:pPr>
          </w:p>
        </w:tc>
        <w:tc>
          <w:tcPr>
            <w:tcW w:w="749" w:type="pct"/>
            <w:vMerge/>
            <w:vAlign w:val="center"/>
          </w:tcPr>
          <w:p w:rsidR="00EE56C0" w:rsidRDefault="00EE56C0">
            <w:pPr>
              <w:pStyle w:val="aff1"/>
              <w:rPr>
                <w:color w:val="auto"/>
              </w:rPr>
            </w:pPr>
          </w:p>
        </w:tc>
        <w:tc>
          <w:tcPr>
            <w:tcW w:w="684" w:type="pct"/>
            <w:tcBorders>
              <w:right w:val="single" w:sz="4" w:space="0" w:color="auto"/>
            </w:tcBorders>
            <w:tcMar>
              <w:left w:w="0" w:type="dxa"/>
              <w:right w:w="0" w:type="dxa"/>
            </w:tcMar>
            <w:vAlign w:val="center"/>
          </w:tcPr>
          <w:p w:rsidR="00EE56C0" w:rsidRDefault="000F36A1">
            <w:pPr>
              <w:pStyle w:val="aff1"/>
              <w:rPr>
                <w:color w:val="auto"/>
              </w:rPr>
            </w:pPr>
            <w:r>
              <w:rPr>
                <w:color w:val="auto"/>
              </w:rPr>
              <w:t>溶解性总固体</w:t>
            </w:r>
          </w:p>
        </w:tc>
        <w:tc>
          <w:tcPr>
            <w:tcW w:w="729" w:type="pct"/>
            <w:tcBorders>
              <w:left w:val="single" w:sz="4" w:space="0" w:color="auto"/>
            </w:tcBorders>
            <w:vAlign w:val="center"/>
          </w:tcPr>
          <w:p w:rsidR="00EE56C0" w:rsidRDefault="000F36A1">
            <w:pPr>
              <w:pStyle w:val="aff1"/>
              <w:rPr>
                <w:color w:val="auto"/>
              </w:rPr>
            </w:pPr>
            <w:r>
              <w:rPr>
                <w:color w:val="auto"/>
              </w:rPr>
              <w:t>动植物油</w:t>
            </w:r>
          </w:p>
        </w:tc>
        <w:tc>
          <w:tcPr>
            <w:tcW w:w="665" w:type="pct"/>
            <w:vAlign w:val="center"/>
          </w:tcPr>
          <w:p w:rsidR="00EE56C0" w:rsidRDefault="000F36A1">
            <w:pPr>
              <w:pStyle w:val="aff1"/>
              <w:rPr>
                <w:color w:val="auto"/>
              </w:rPr>
            </w:pPr>
            <w:r>
              <w:rPr>
                <w:color w:val="auto"/>
              </w:rPr>
              <w:t>Cl</w:t>
            </w:r>
            <w:r>
              <w:rPr>
                <w:color w:val="auto"/>
                <w:vertAlign w:val="superscript"/>
              </w:rPr>
              <w:t>-</w:t>
            </w:r>
          </w:p>
        </w:tc>
        <w:tc>
          <w:tcPr>
            <w:tcW w:w="664" w:type="pct"/>
            <w:vAlign w:val="center"/>
          </w:tcPr>
          <w:p w:rsidR="00EE56C0" w:rsidRDefault="000F36A1">
            <w:pPr>
              <w:pStyle w:val="aff1"/>
              <w:rPr>
                <w:color w:val="auto"/>
              </w:rPr>
            </w:pPr>
            <w:r>
              <w:rPr>
                <w:color w:val="auto"/>
              </w:rPr>
              <w:t>SO</w:t>
            </w:r>
            <w:r>
              <w:rPr>
                <w:color w:val="auto"/>
                <w:vertAlign w:val="subscript"/>
              </w:rPr>
              <w:t>4</w:t>
            </w:r>
            <w:r>
              <w:rPr>
                <w:color w:val="auto"/>
                <w:vertAlign w:val="superscript"/>
              </w:rPr>
              <w:t>2-</w:t>
            </w:r>
          </w:p>
        </w:tc>
        <w:tc>
          <w:tcPr>
            <w:tcW w:w="698" w:type="pct"/>
            <w:vAlign w:val="center"/>
          </w:tcPr>
          <w:p w:rsidR="00EE56C0" w:rsidRDefault="000F36A1">
            <w:pPr>
              <w:pStyle w:val="aff1"/>
              <w:rPr>
                <w:color w:val="auto"/>
              </w:rPr>
            </w:pPr>
            <w:r>
              <w:rPr>
                <w:color w:val="auto"/>
              </w:rPr>
              <w:t>K</w:t>
            </w:r>
            <w:r>
              <w:rPr>
                <w:color w:val="auto"/>
                <w:vertAlign w:val="superscript"/>
              </w:rPr>
              <w:t>+</w:t>
            </w:r>
          </w:p>
        </w:tc>
      </w:tr>
      <w:tr w:rsidR="00EE56C0">
        <w:trPr>
          <w:trHeight w:val="397"/>
          <w:jc w:val="center"/>
        </w:trPr>
        <w:tc>
          <w:tcPr>
            <w:tcW w:w="811" w:type="pct"/>
            <w:vMerge w:val="restart"/>
            <w:vAlign w:val="center"/>
          </w:tcPr>
          <w:p w:rsidR="00EE56C0" w:rsidRDefault="000F36A1">
            <w:pPr>
              <w:pStyle w:val="afa"/>
              <w:rPr>
                <w:highlight w:val="yellow"/>
              </w:rPr>
            </w:pPr>
            <w:r>
              <w:rPr>
                <w:rFonts w:hint="eastAsia"/>
              </w:rPr>
              <w:t>康庄村</w:t>
            </w:r>
          </w:p>
        </w:tc>
        <w:tc>
          <w:tcPr>
            <w:tcW w:w="749" w:type="pct"/>
            <w:vAlign w:val="center"/>
          </w:tcPr>
          <w:p w:rsidR="00EE56C0" w:rsidRDefault="000F36A1">
            <w:pPr>
              <w:pStyle w:val="afa"/>
            </w:pPr>
            <w:r>
              <w:rPr>
                <w:rFonts w:hint="eastAsia"/>
              </w:rPr>
              <w:t>浓度范围</w:t>
            </w:r>
          </w:p>
        </w:tc>
        <w:tc>
          <w:tcPr>
            <w:tcW w:w="684" w:type="pct"/>
            <w:tcBorders>
              <w:right w:val="single" w:sz="4" w:space="0" w:color="auto"/>
            </w:tcBorders>
            <w:vAlign w:val="center"/>
          </w:tcPr>
          <w:p w:rsidR="00EE56C0" w:rsidRDefault="000F36A1">
            <w:pPr>
              <w:pStyle w:val="afa"/>
            </w:pPr>
            <w:r>
              <w:rPr>
                <w:rFonts w:hint="eastAsia"/>
              </w:rPr>
              <w:t>633-675</w:t>
            </w:r>
          </w:p>
        </w:tc>
        <w:tc>
          <w:tcPr>
            <w:tcW w:w="729" w:type="pct"/>
            <w:tcBorders>
              <w:left w:val="single" w:sz="4" w:space="0" w:color="auto"/>
            </w:tcBorders>
            <w:vAlign w:val="center"/>
          </w:tcPr>
          <w:p w:rsidR="00EE56C0" w:rsidRDefault="000F36A1">
            <w:pPr>
              <w:pStyle w:val="afa"/>
            </w:pPr>
            <w:r>
              <w:t>未检出</w:t>
            </w:r>
          </w:p>
        </w:tc>
        <w:tc>
          <w:tcPr>
            <w:tcW w:w="665" w:type="pct"/>
            <w:vAlign w:val="center"/>
          </w:tcPr>
          <w:p w:rsidR="00EE56C0" w:rsidRDefault="000F36A1">
            <w:pPr>
              <w:pStyle w:val="afa"/>
            </w:pPr>
            <w:r>
              <w:rPr>
                <w:rFonts w:hint="eastAsia"/>
              </w:rPr>
              <w:t>174-177</w:t>
            </w:r>
          </w:p>
        </w:tc>
        <w:tc>
          <w:tcPr>
            <w:tcW w:w="664" w:type="pct"/>
            <w:vAlign w:val="center"/>
          </w:tcPr>
          <w:p w:rsidR="00EE56C0" w:rsidRDefault="000F36A1">
            <w:pPr>
              <w:pStyle w:val="afa"/>
            </w:pPr>
            <w:r>
              <w:rPr>
                <w:rFonts w:hint="eastAsia"/>
              </w:rPr>
              <w:t>81.5-84.1</w:t>
            </w:r>
          </w:p>
        </w:tc>
        <w:tc>
          <w:tcPr>
            <w:tcW w:w="698" w:type="pct"/>
            <w:vAlign w:val="center"/>
          </w:tcPr>
          <w:p w:rsidR="00EE56C0" w:rsidRDefault="000F36A1">
            <w:pPr>
              <w:pStyle w:val="afa"/>
            </w:pPr>
            <w:r>
              <w:rPr>
                <w:rFonts w:hint="eastAsia"/>
              </w:rPr>
              <w:t>4.40-4.73</w:t>
            </w:r>
          </w:p>
        </w:tc>
      </w:tr>
      <w:tr w:rsidR="00EE56C0">
        <w:trPr>
          <w:trHeight w:val="397"/>
          <w:jc w:val="center"/>
        </w:trPr>
        <w:tc>
          <w:tcPr>
            <w:tcW w:w="811" w:type="pct"/>
            <w:vMerge/>
            <w:vAlign w:val="center"/>
          </w:tcPr>
          <w:p w:rsidR="00EE56C0" w:rsidRDefault="00EE56C0">
            <w:pPr>
              <w:pStyle w:val="afa"/>
            </w:pPr>
          </w:p>
        </w:tc>
        <w:tc>
          <w:tcPr>
            <w:tcW w:w="749" w:type="pct"/>
            <w:vAlign w:val="center"/>
          </w:tcPr>
          <w:p w:rsidR="00EE56C0" w:rsidRDefault="000F36A1">
            <w:pPr>
              <w:pStyle w:val="afa"/>
            </w:pPr>
            <w:r>
              <w:rPr>
                <w:rFonts w:hint="eastAsia"/>
              </w:rPr>
              <w:t>标准限值</w:t>
            </w:r>
          </w:p>
        </w:tc>
        <w:tc>
          <w:tcPr>
            <w:tcW w:w="684" w:type="pct"/>
            <w:tcBorders>
              <w:right w:val="single" w:sz="4" w:space="0" w:color="auto"/>
            </w:tcBorders>
            <w:vAlign w:val="center"/>
          </w:tcPr>
          <w:p w:rsidR="00EE56C0" w:rsidRDefault="000F36A1">
            <w:pPr>
              <w:pStyle w:val="afa"/>
            </w:pPr>
            <w:r>
              <w:rPr>
                <w:rFonts w:hint="eastAsia"/>
              </w:rPr>
              <w:t>1000</w:t>
            </w:r>
          </w:p>
        </w:tc>
        <w:tc>
          <w:tcPr>
            <w:tcW w:w="729" w:type="pct"/>
            <w:tcBorders>
              <w:left w:val="single" w:sz="4" w:space="0" w:color="auto"/>
            </w:tcBorders>
            <w:vAlign w:val="center"/>
          </w:tcPr>
          <w:p w:rsidR="00EE56C0" w:rsidRDefault="000F36A1">
            <w:pPr>
              <w:pStyle w:val="afa"/>
            </w:pPr>
            <w:r>
              <w:rPr>
                <w:rFonts w:hint="eastAsia"/>
              </w:rPr>
              <w:t>/</w:t>
            </w:r>
          </w:p>
        </w:tc>
        <w:tc>
          <w:tcPr>
            <w:tcW w:w="665" w:type="pct"/>
            <w:vAlign w:val="center"/>
          </w:tcPr>
          <w:p w:rsidR="00EE56C0" w:rsidRDefault="000F36A1">
            <w:pPr>
              <w:pStyle w:val="afa"/>
            </w:pPr>
            <w:r>
              <w:rPr>
                <w:rFonts w:hint="eastAsia"/>
              </w:rPr>
              <w:t>2</w:t>
            </w:r>
            <w:r>
              <w:t>50</w:t>
            </w:r>
          </w:p>
        </w:tc>
        <w:tc>
          <w:tcPr>
            <w:tcW w:w="664" w:type="pct"/>
            <w:vAlign w:val="center"/>
          </w:tcPr>
          <w:p w:rsidR="00EE56C0" w:rsidRDefault="000F36A1">
            <w:pPr>
              <w:pStyle w:val="afa"/>
            </w:pPr>
            <w:r>
              <w:rPr>
                <w:rFonts w:hint="eastAsia"/>
              </w:rPr>
              <w:t>250</w:t>
            </w:r>
          </w:p>
        </w:tc>
        <w:tc>
          <w:tcPr>
            <w:tcW w:w="698" w:type="pct"/>
            <w:vAlign w:val="center"/>
          </w:tcPr>
          <w:p w:rsidR="00EE56C0" w:rsidRDefault="000F36A1">
            <w:pPr>
              <w:pStyle w:val="afa"/>
            </w:pPr>
            <w:r>
              <w:rPr>
                <w:rFonts w:hint="eastAsia"/>
              </w:rPr>
              <w:t>/</w:t>
            </w:r>
          </w:p>
        </w:tc>
      </w:tr>
      <w:tr w:rsidR="00EE56C0">
        <w:trPr>
          <w:trHeight w:val="397"/>
          <w:jc w:val="center"/>
        </w:trPr>
        <w:tc>
          <w:tcPr>
            <w:tcW w:w="811" w:type="pct"/>
            <w:vMerge/>
            <w:vAlign w:val="center"/>
          </w:tcPr>
          <w:p w:rsidR="00EE56C0" w:rsidRDefault="00EE56C0">
            <w:pPr>
              <w:pStyle w:val="afa"/>
            </w:pPr>
          </w:p>
        </w:tc>
        <w:tc>
          <w:tcPr>
            <w:tcW w:w="749" w:type="pct"/>
            <w:vAlign w:val="center"/>
          </w:tcPr>
          <w:p w:rsidR="00EE56C0" w:rsidRDefault="000F36A1">
            <w:pPr>
              <w:pStyle w:val="afa"/>
            </w:pPr>
            <w:r>
              <w:rPr>
                <w:rFonts w:hint="eastAsia"/>
              </w:rPr>
              <w:t>达标情况</w:t>
            </w:r>
          </w:p>
        </w:tc>
        <w:tc>
          <w:tcPr>
            <w:tcW w:w="684" w:type="pct"/>
            <w:tcBorders>
              <w:right w:val="single" w:sz="4" w:space="0" w:color="auto"/>
            </w:tcBorders>
            <w:vAlign w:val="center"/>
          </w:tcPr>
          <w:p w:rsidR="00EE56C0" w:rsidRDefault="000F36A1">
            <w:pPr>
              <w:pStyle w:val="afa"/>
            </w:pPr>
            <w:r>
              <w:rPr>
                <w:rFonts w:hint="eastAsia"/>
              </w:rPr>
              <w:t>达标</w:t>
            </w:r>
          </w:p>
        </w:tc>
        <w:tc>
          <w:tcPr>
            <w:tcW w:w="729" w:type="pct"/>
            <w:tcBorders>
              <w:left w:val="single" w:sz="4" w:space="0" w:color="auto"/>
            </w:tcBorders>
            <w:vAlign w:val="center"/>
          </w:tcPr>
          <w:p w:rsidR="00EE56C0" w:rsidRDefault="000F36A1">
            <w:pPr>
              <w:pStyle w:val="afa"/>
            </w:pPr>
            <w:r>
              <w:rPr>
                <w:rFonts w:hint="eastAsia"/>
              </w:rPr>
              <w:t>/</w:t>
            </w:r>
          </w:p>
        </w:tc>
        <w:tc>
          <w:tcPr>
            <w:tcW w:w="665" w:type="pct"/>
            <w:vAlign w:val="center"/>
          </w:tcPr>
          <w:p w:rsidR="00EE56C0" w:rsidRDefault="000F36A1">
            <w:pPr>
              <w:pStyle w:val="afa"/>
            </w:pPr>
            <w:r>
              <w:rPr>
                <w:rFonts w:hint="eastAsia"/>
              </w:rPr>
              <w:t>达标</w:t>
            </w:r>
          </w:p>
        </w:tc>
        <w:tc>
          <w:tcPr>
            <w:tcW w:w="664" w:type="pct"/>
            <w:vAlign w:val="center"/>
          </w:tcPr>
          <w:p w:rsidR="00EE56C0" w:rsidRDefault="000F36A1">
            <w:pPr>
              <w:pStyle w:val="afa"/>
            </w:pPr>
            <w:r>
              <w:rPr>
                <w:rFonts w:hint="eastAsia"/>
              </w:rPr>
              <w:t>达标</w:t>
            </w:r>
          </w:p>
        </w:tc>
        <w:tc>
          <w:tcPr>
            <w:tcW w:w="698" w:type="pct"/>
            <w:vAlign w:val="center"/>
          </w:tcPr>
          <w:p w:rsidR="00EE56C0" w:rsidRDefault="000F36A1">
            <w:pPr>
              <w:pStyle w:val="afa"/>
            </w:pPr>
            <w:r>
              <w:rPr>
                <w:rFonts w:hint="eastAsia"/>
              </w:rPr>
              <w:t>/</w:t>
            </w:r>
          </w:p>
        </w:tc>
      </w:tr>
      <w:tr w:rsidR="00EE56C0">
        <w:trPr>
          <w:trHeight w:val="397"/>
          <w:jc w:val="center"/>
        </w:trPr>
        <w:tc>
          <w:tcPr>
            <w:tcW w:w="811" w:type="pct"/>
            <w:vMerge w:val="restart"/>
            <w:vAlign w:val="center"/>
          </w:tcPr>
          <w:p w:rsidR="00EE56C0" w:rsidRDefault="000F36A1">
            <w:pPr>
              <w:pStyle w:val="afa"/>
              <w:rPr>
                <w:iCs/>
                <w:highlight w:val="yellow"/>
              </w:rPr>
            </w:pPr>
            <w:r>
              <w:rPr>
                <w:rFonts w:hint="eastAsia"/>
              </w:rPr>
              <w:t>厂址（自备井）</w:t>
            </w:r>
          </w:p>
        </w:tc>
        <w:tc>
          <w:tcPr>
            <w:tcW w:w="749" w:type="pct"/>
            <w:vAlign w:val="center"/>
          </w:tcPr>
          <w:p w:rsidR="00EE56C0" w:rsidRDefault="000F36A1">
            <w:pPr>
              <w:pStyle w:val="afa"/>
            </w:pPr>
            <w:r>
              <w:rPr>
                <w:rFonts w:hint="eastAsia"/>
              </w:rPr>
              <w:t>浓度范围</w:t>
            </w:r>
          </w:p>
        </w:tc>
        <w:tc>
          <w:tcPr>
            <w:tcW w:w="684" w:type="pct"/>
            <w:tcBorders>
              <w:right w:val="single" w:sz="4" w:space="0" w:color="auto"/>
            </w:tcBorders>
            <w:vAlign w:val="center"/>
          </w:tcPr>
          <w:p w:rsidR="00EE56C0" w:rsidRDefault="000F36A1">
            <w:pPr>
              <w:pStyle w:val="afa"/>
            </w:pPr>
            <w:r>
              <w:rPr>
                <w:rFonts w:hint="eastAsia"/>
              </w:rPr>
              <w:t>667-705</w:t>
            </w:r>
          </w:p>
        </w:tc>
        <w:tc>
          <w:tcPr>
            <w:tcW w:w="729" w:type="pct"/>
            <w:tcBorders>
              <w:left w:val="single" w:sz="4" w:space="0" w:color="auto"/>
            </w:tcBorders>
            <w:vAlign w:val="center"/>
          </w:tcPr>
          <w:p w:rsidR="00EE56C0" w:rsidRDefault="000F36A1">
            <w:pPr>
              <w:pStyle w:val="afa"/>
            </w:pPr>
            <w:r>
              <w:t>未检出</w:t>
            </w:r>
          </w:p>
        </w:tc>
        <w:tc>
          <w:tcPr>
            <w:tcW w:w="665" w:type="pct"/>
            <w:vAlign w:val="center"/>
          </w:tcPr>
          <w:p w:rsidR="00EE56C0" w:rsidRDefault="000F36A1">
            <w:pPr>
              <w:pStyle w:val="afa"/>
            </w:pPr>
            <w:r>
              <w:rPr>
                <w:rFonts w:hint="eastAsia"/>
              </w:rPr>
              <w:t>35.6-37.9</w:t>
            </w:r>
          </w:p>
        </w:tc>
        <w:tc>
          <w:tcPr>
            <w:tcW w:w="664" w:type="pct"/>
            <w:vAlign w:val="center"/>
          </w:tcPr>
          <w:p w:rsidR="00EE56C0" w:rsidRDefault="000F36A1">
            <w:pPr>
              <w:pStyle w:val="afa"/>
            </w:pPr>
            <w:r>
              <w:rPr>
                <w:rFonts w:hint="eastAsia"/>
              </w:rPr>
              <w:t>25.6-26.4</w:t>
            </w:r>
          </w:p>
        </w:tc>
        <w:tc>
          <w:tcPr>
            <w:tcW w:w="698" w:type="pct"/>
            <w:vAlign w:val="center"/>
          </w:tcPr>
          <w:p w:rsidR="00EE56C0" w:rsidRDefault="000F36A1">
            <w:pPr>
              <w:pStyle w:val="afa"/>
            </w:pPr>
            <w:r>
              <w:rPr>
                <w:rFonts w:hint="eastAsia"/>
              </w:rPr>
              <w:t>1.65-1.67</w:t>
            </w:r>
          </w:p>
        </w:tc>
      </w:tr>
      <w:tr w:rsidR="00EE56C0">
        <w:trPr>
          <w:trHeight w:val="397"/>
          <w:jc w:val="center"/>
        </w:trPr>
        <w:tc>
          <w:tcPr>
            <w:tcW w:w="811" w:type="pct"/>
            <w:vMerge/>
            <w:vAlign w:val="center"/>
          </w:tcPr>
          <w:p w:rsidR="00EE56C0" w:rsidRDefault="00EE56C0">
            <w:pPr>
              <w:pStyle w:val="afa"/>
            </w:pPr>
          </w:p>
        </w:tc>
        <w:tc>
          <w:tcPr>
            <w:tcW w:w="749" w:type="pct"/>
            <w:vAlign w:val="center"/>
          </w:tcPr>
          <w:p w:rsidR="00EE56C0" w:rsidRDefault="000F36A1">
            <w:pPr>
              <w:pStyle w:val="afa"/>
            </w:pPr>
            <w:r>
              <w:rPr>
                <w:rFonts w:hint="eastAsia"/>
              </w:rPr>
              <w:t>标准限值</w:t>
            </w:r>
          </w:p>
        </w:tc>
        <w:tc>
          <w:tcPr>
            <w:tcW w:w="684" w:type="pct"/>
            <w:tcBorders>
              <w:right w:val="single" w:sz="4" w:space="0" w:color="auto"/>
            </w:tcBorders>
            <w:vAlign w:val="center"/>
          </w:tcPr>
          <w:p w:rsidR="00EE56C0" w:rsidRDefault="000F36A1">
            <w:pPr>
              <w:pStyle w:val="afa"/>
            </w:pPr>
            <w:r>
              <w:rPr>
                <w:rFonts w:hint="eastAsia"/>
              </w:rPr>
              <w:t>1000</w:t>
            </w:r>
          </w:p>
        </w:tc>
        <w:tc>
          <w:tcPr>
            <w:tcW w:w="729" w:type="pct"/>
            <w:tcBorders>
              <w:left w:val="single" w:sz="4" w:space="0" w:color="auto"/>
            </w:tcBorders>
            <w:vAlign w:val="center"/>
          </w:tcPr>
          <w:p w:rsidR="00EE56C0" w:rsidRDefault="000F36A1">
            <w:pPr>
              <w:pStyle w:val="afa"/>
            </w:pPr>
            <w:r>
              <w:rPr>
                <w:rFonts w:hint="eastAsia"/>
              </w:rPr>
              <w:t>/</w:t>
            </w:r>
          </w:p>
        </w:tc>
        <w:tc>
          <w:tcPr>
            <w:tcW w:w="665" w:type="pct"/>
            <w:vAlign w:val="center"/>
          </w:tcPr>
          <w:p w:rsidR="00EE56C0" w:rsidRDefault="000F36A1">
            <w:pPr>
              <w:pStyle w:val="afa"/>
            </w:pPr>
            <w:r>
              <w:rPr>
                <w:rFonts w:hint="eastAsia"/>
              </w:rPr>
              <w:t>2</w:t>
            </w:r>
            <w:r>
              <w:t>50</w:t>
            </w:r>
          </w:p>
        </w:tc>
        <w:tc>
          <w:tcPr>
            <w:tcW w:w="664" w:type="pct"/>
            <w:vAlign w:val="center"/>
          </w:tcPr>
          <w:p w:rsidR="00EE56C0" w:rsidRDefault="000F36A1">
            <w:pPr>
              <w:pStyle w:val="afa"/>
            </w:pPr>
            <w:r>
              <w:rPr>
                <w:rFonts w:hint="eastAsia"/>
              </w:rPr>
              <w:t>250</w:t>
            </w:r>
          </w:p>
        </w:tc>
        <w:tc>
          <w:tcPr>
            <w:tcW w:w="698" w:type="pct"/>
            <w:vAlign w:val="center"/>
          </w:tcPr>
          <w:p w:rsidR="00EE56C0" w:rsidRDefault="000F36A1">
            <w:pPr>
              <w:pStyle w:val="afa"/>
            </w:pPr>
            <w:r>
              <w:rPr>
                <w:rFonts w:hint="eastAsia"/>
              </w:rPr>
              <w:t>/</w:t>
            </w:r>
          </w:p>
        </w:tc>
      </w:tr>
      <w:tr w:rsidR="00EE56C0">
        <w:trPr>
          <w:trHeight w:val="397"/>
          <w:jc w:val="center"/>
        </w:trPr>
        <w:tc>
          <w:tcPr>
            <w:tcW w:w="811" w:type="pct"/>
            <w:vMerge/>
            <w:vAlign w:val="center"/>
          </w:tcPr>
          <w:p w:rsidR="00EE56C0" w:rsidRDefault="00EE56C0">
            <w:pPr>
              <w:pStyle w:val="afa"/>
            </w:pPr>
          </w:p>
        </w:tc>
        <w:tc>
          <w:tcPr>
            <w:tcW w:w="749" w:type="pct"/>
            <w:vAlign w:val="center"/>
          </w:tcPr>
          <w:p w:rsidR="00EE56C0" w:rsidRDefault="000F36A1">
            <w:pPr>
              <w:pStyle w:val="afa"/>
            </w:pPr>
            <w:r>
              <w:rPr>
                <w:rFonts w:hint="eastAsia"/>
              </w:rPr>
              <w:t>达标情况</w:t>
            </w:r>
          </w:p>
        </w:tc>
        <w:tc>
          <w:tcPr>
            <w:tcW w:w="684" w:type="pct"/>
            <w:tcBorders>
              <w:right w:val="single" w:sz="4" w:space="0" w:color="auto"/>
            </w:tcBorders>
            <w:vAlign w:val="center"/>
          </w:tcPr>
          <w:p w:rsidR="00EE56C0" w:rsidRDefault="000F36A1">
            <w:pPr>
              <w:pStyle w:val="afa"/>
            </w:pPr>
            <w:r>
              <w:rPr>
                <w:rFonts w:hint="eastAsia"/>
              </w:rPr>
              <w:t>达标</w:t>
            </w:r>
          </w:p>
        </w:tc>
        <w:tc>
          <w:tcPr>
            <w:tcW w:w="729" w:type="pct"/>
            <w:tcBorders>
              <w:left w:val="single" w:sz="4" w:space="0" w:color="auto"/>
            </w:tcBorders>
            <w:vAlign w:val="center"/>
          </w:tcPr>
          <w:p w:rsidR="00EE56C0" w:rsidRDefault="000F36A1">
            <w:pPr>
              <w:pStyle w:val="afa"/>
            </w:pPr>
            <w:r>
              <w:rPr>
                <w:rFonts w:hint="eastAsia"/>
              </w:rPr>
              <w:t>/</w:t>
            </w:r>
          </w:p>
        </w:tc>
        <w:tc>
          <w:tcPr>
            <w:tcW w:w="665" w:type="pct"/>
            <w:vAlign w:val="center"/>
          </w:tcPr>
          <w:p w:rsidR="00EE56C0" w:rsidRDefault="000F36A1">
            <w:pPr>
              <w:pStyle w:val="afa"/>
            </w:pPr>
            <w:r>
              <w:rPr>
                <w:rFonts w:hint="eastAsia"/>
              </w:rPr>
              <w:t>达标</w:t>
            </w:r>
          </w:p>
        </w:tc>
        <w:tc>
          <w:tcPr>
            <w:tcW w:w="664" w:type="pct"/>
            <w:vAlign w:val="center"/>
          </w:tcPr>
          <w:p w:rsidR="00EE56C0" w:rsidRDefault="000F36A1">
            <w:pPr>
              <w:pStyle w:val="afa"/>
            </w:pPr>
            <w:r>
              <w:rPr>
                <w:rFonts w:hint="eastAsia"/>
              </w:rPr>
              <w:t>达标</w:t>
            </w:r>
          </w:p>
        </w:tc>
        <w:tc>
          <w:tcPr>
            <w:tcW w:w="698" w:type="pct"/>
            <w:vAlign w:val="center"/>
          </w:tcPr>
          <w:p w:rsidR="00EE56C0" w:rsidRDefault="000F36A1">
            <w:pPr>
              <w:pStyle w:val="afa"/>
            </w:pPr>
            <w:r>
              <w:rPr>
                <w:rFonts w:hint="eastAsia"/>
              </w:rPr>
              <w:t>/</w:t>
            </w:r>
          </w:p>
        </w:tc>
      </w:tr>
      <w:tr w:rsidR="00EE56C0">
        <w:trPr>
          <w:trHeight w:val="397"/>
          <w:jc w:val="center"/>
        </w:trPr>
        <w:tc>
          <w:tcPr>
            <w:tcW w:w="811" w:type="pct"/>
            <w:vMerge w:val="restart"/>
            <w:vAlign w:val="center"/>
          </w:tcPr>
          <w:p w:rsidR="00EE56C0" w:rsidRDefault="000F36A1">
            <w:pPr>
              <w:pStyle w:val="afa"/>
              <w:rPr>
                <w:iCs/>
                <w:highlight w:val="yellow"/>
              </w:rPr>
            </w:pPr>
            <w:r>
              <w:rPr>
                <w:rFonts w:hint="eastAsia"/>
              </w:rPr>
              <w:t>七里营镇</w:t>
            </w:r>
          </w:p>
        </w:tc>
        <w:tc>
          <w:tcPr>
            <w:tcW w:w="749" w:type="pct"/>
            <w:vAlign w:val="center"/>
          </w:tcPr>
          <w:p w:rsidR="00EE56C0" w:rsidRDefault="000F36A1">
            <w:pPr>
              <w:pStyle w:val="afa"/>
            </w:pPr>
            <w:r>
              <w:rPr>
                <w:rFonts w:hint="eastAsia"/>
              </w:rPr>
              <w:t>浓度范围</w:t>
            </w:r>
          </w:p>
        </w:tc>
        <w:tc>
          <w:tcPr>
            <w:tcW w:w="684" w:type="pct"/>
            <w:tcBorders>
              <w:right w:val="single" w:sz="4" w:space="0" w:color="auto"/>
            </w:tcBorders>
            <w:vAlign w:val="center"/>
          </w:tcPr>
          <w:p w:rsidR="00EE56C0" w:rsidRDefault="000F36A1">
            <w:pPr>
              <w:pStyle w:val="afa"/>
            </w:pPr>
            <w:r>
              <w:rPr>
                <w:rFonts w:hint="eastAsia"/>
              </w:rPr>
              <w:t>544-612</w:t>
            </w:r>
          </w:p>
        </w:tc>
        <w:tc>
          <w:tcPr>
            <w:tcW w:w="729" w:type="pct"/>
            <w:tcBorders>
              <w:left w:val="single" w:sz="4" w:space="0" w:color="auto"/>
            </w:tcBorders>
            <w:vAlign w:val="center"/>
          </w:tcPr>
          <w:p w:rsidR="00EE56C0" w:rsidRDefault="000F36A1">
            <w:pPr>
              <w:pStyle w:val="afa"/>
            </w:pPr>
            <w:r>
              <w:t>未检出</w:t>
            </w:r>
          </w:p>
        </w:tc>
        <w:tc>
          <w:tcPr>
            <w:tcW w:w="665" w:type="pct"/>
            <w:vAlign w:val="center"/>
          </w:tcPr>
          <w:p w:rsidR="00EE56C0" w:rsidRDefault="000F36A1">
            <w:pPr>
              <w:pStyle w:val="afa"/>
            </w:pPr>
            <w:r>
              <w:rPr>
                <w:rFonts w:hint="eastAsia"/>
              </w:rPr>
              <w:t>33.8-36.1</w:t>
            </w:r>
          </w:p>
        </w:tc>
        <w:tc>
          <w:tcPr>
            <w:tcW w:w="664" w:type="pct"/>
            <w:vAlign w:val="center"/>
          </w:tcPr>
          <w:p w:rsidR="00EE56C0" w:rsidRDefault="000F36A1">
            <w:pPr>
              <w:pStyle w:val="afa"/>
            </w:pPr>
            <w:r>
              <w:rPr>
                <w:rFonts w:hint="eastAsia"/>
              </w:rPr>
              <w:t>31.7-36.1</w:t>
            </w:r>
          </w:p>
        </w:tc>
        <w:tc>
          <w:tcPr>
            <w:tcW w:w="698" w:type="pct"/>
            <w:vAlign w:val="center"/>
          </w:tcPr>
          <w:p w:rsidR="00EE56C0" w:rsidRDefault="000F36A1">
            <w:pPr>
              <w:pStyle w:val="afa"/>
            </w:pPr>
            <w:r>
              <w:rPr>
                <w:rFonts w:hint="eastAsia"/>
              </w:rPr>
              <w:t>4.16-4.30</w:t>
            </w:r>
          </w:p>
        </w:tc>
      </w:tr>
      <w:tr w:rsidR="00EE56C0">
        <w:trPr>
          <w:trHeight w:val="397"/>
          <w:jc w:val="center"/>
        </w:trPr>
        <w:tc>
          <w:tcPr>
            <w:tcW w:w="811" w:type="pct"/>
            <w:vMerge/>
            <w:vAlign w:val="center"/>
          </w:tcPr>
          <w:p w:rsidR="00EE56C0" w:rsidRDefault="00EE56C0">
            <w:pPr>
              <w:pStyle w:val="afa"/>
            </w:pPr>
          </w:p>
        </w:tc>
        <w:tc>
          <w:tcPr>
            <w:tcW w:w="749" w:type="pct"/>
            <w:vAlign w:val="center"/>
          </w:tcPr>
          <w:p w:rsidR="00EE56C0" w:rsidRDefault="000F36A1">
            <w:pPr>
              <w:pStyle w:val="afa"/>
            </w:pPr>
            <w:r>
              <w:rPr>
                <w:rFonts w:hint="eastAsia"/>
              </w:rPr>
              <w:t>标准限值</w:t>
            </w:r>
          </w:p>
        </w:tc>
        <w:tc>
          <w:tcPr>
            <w:tcW w:w="684" w:type="pct"/>
            <w:tcBorders>
              <w:right w:val="single" w:sz="4" w:space="0" w:color="auto"/>
            </w:tcBorders>
            <w:vAlign w:val="center"/>
          </w:tcPr>
          <w:p w:rsidR="00EE56C0" w:rsidRDefault="000F36A1">
            <w:pPr>
              <w:pStyle w:val="afa"/>
            </w:pPr>
            <w:r>
              <w:rPr>
                <w:rFonts w:hint="eastAsia"/>
              </w:rPr>
              <w:t>1000</w:t>
            </w:r>
          </w:p>
        </w:tc>
        <w:tc>
          <w:tcPr>
            <w:tcW w:w="729" w:type="pct"/>
            <w:tcBorders>
              <w:left w:val="single" w:sz="4" w:space="0" w:color="auto"/>
            </w:tcBorders>
            <w:vAlign w:val="center"/>
          </w:tcPr>
          <w:p w:rsidR="00EE56C0" w:rsidRDefault="000F36A1">
            <w:pPr>
              <w:pStyle w:val="afa"/>
            </w:pPr>
            <w:r>
              <w:rPr>
                <w:rFonts w:hint="eastAsia"/>
              </w:rPr>
              <w:t>/</w:t>
            </w:r>
          </w:p>
        </w:tc>
        <w:tc>
          <w:tcPr>
            <w:tcW w:w="665" w:type="pct"/>
            <w:vAlign w:val="center"/>
          </w:tcPr>
          <w:p w:rsidR="00EE56C0" w:rsidRDefault="000F36A1">
            <w:pPr>
              <w:pStyle w:val="afa"/>
            </w:pPr>
            <w:r>
              <w:rPr>
                <w:rFonts w:hint="eastAsia"/>
              </w:rPr>
              <w:t>2</w:t>
            </w:r>
            <w:r>
              <w:t>50</w:t>
            </w:r>
          </w:p>
        </w:tc>
        <w:tc>
          <w:tcPr>
            <w:tcW w:w="664" w:type="pct"/>
            <w:vAlign w:val="center"/>
          </w:tcPr>
          <w:p w:rsidR="00EE56C0" w:rsidRDefault="000F36A1">
            <w:pPr>
              <w:pStyle w:val="afa"/>
            </w:pPr>
            <w:r>
              <w:rPr>
                <w:rFonts w:hint="eastAsia"/>
              </w:rPr>
              <w:t>250</w:t>
            </w:r>
          </w:p>
        </w:tc>
        <w:tc>
          <w:tcPr>
            <w:tcW w:w="698" w:type="pct"/>
            <w:vAlign w:val="center"/>
          </w:tcPr>
          <w:p w:rsidR="00EE56C0" w:rsidRDefault="000F36A1">
            <w:pPr>
              <w:pStyle w:val="afa"/>
            </w:pPr>
            <w:r>
              <w:rPr>
                <w:rFonts w:hint="eastAsia"/>
              </w:rPr>
              <w:t>/</w:t>
            </w:r>
          </w:p>
        </w:tc>
      </w:tr>
      <w:tr w:rsidR="00EE56C0">
        <w:trPr>
          <w:trHeight w:val="397"/>
          <w:jc w:val="center"/>
        </w:trPr>
        <w:tc>
          <w:tcPr>
            <w:tcW w:w="811" w:type="pct"/>
            <w:vMerge/>
            <w:vAlign w:val="center"/>
          </w:tcPr>
          <w:p w:rsidR="00EE56C0" w:rsidRDefault="00EE56C0">
            <w:pPr>
              <w:pStyle w:val="afa"/>
            </w:pPr>
          </w:p>
        </w:tc>
        <w:tc>
          <w:tcPr>
            <w:tcW w:w="749" w:type="pct"/>
            <w:vAlign w:val="center"/>
          </w:tcPr>
          <w:p w:rsidR="00EE56C0" w:rsidRDefault="000F36A1">
            <w:pPr>
              <w:pStyle w:val="afa"/>
            </w:pPr>
            <w:r>
              <w:rPr>
                <w:rFonts w:hint="eastAsia"/>
              </w:rPr>
              <w:t>达标情况</w:t>
            </w:r>
          </w:p>
        </w:tc>
        <w:tc>
          <w:tcPr>
            <w:tcW w:w="684" w:type="pct"/>
            <w:tcBorders>
              <w:right w:val="single" w:sz="4" w:space="0" w:color="auto"/>
            </w:tcBorders>
            <w:vAlign w:val="center"/>
          </w:tcPr>
          <w:p w:rsidR="00EE56C0" w:rsidRDefault="000F36A1">
            <w:pPr>
              <w:pStyle w:val="afa"/>
            </w:pPr>
            <w:r>
              <w:rPr>
                <w:rFonts w:hint="eastAsia"/>
              </w:rPr>
              <w:t>达标</w:t>
            </w:r>
          </w:p>
        </w:tc>
        <w:tc>
          <w:tcPr>
            <w:tcW w:w="729" w:type="pct"/>
            <w:tcBorders>
              <w:left w:val="single" w:sz="4" w:space="0" w:color="auto"/>
            </w:tcBorders>
            <w:vAlign w:val="center"/>
          </w:tcPr>
          <w:p w:rsidR="00EE56C0" w:rsidRDefault="000F36A1">
            <w:pPr>
              <w:pStyle w:val="afa"/>
            </w:pPr>
            <w:r>
              <w:rPr>
                <w:rFonts w:hint="eastAsia"/>
              </w:rPr>
              <w:t>/</w:t>
            </w:r>
          </w:p>
        </w:tc>
        <w:tc>
          <w:tcPr>
            <w:tcW w:w="665" w:type="pct"/>
            <w:vAlign w:val="center"/>
          </w:tcPr>
          <w:p w:rsidR="00EE56C0" w:rsidRDefault="000F36A1">
            <w:pPr>
              <w:pStyle w:val="afa"/>
            </w:pPr>
            <w:r>
              <w:rPr>
                <w:rFonts w:hint="eastAsia"/>
              </w:rPr>
              <w:t>达标</w:t>
            </w:r>
          </w:p>
        </w:tc>
        <w:tc>
          <w:tcPr>
            <w:tcW w:w="664" w:type="pct"/>
            <w:vAlign w:val="center"/>
          </w:tcPr>
          <w:p w:rsidR="00EE56C0" w:rsidRDefault="000F36A1">
            <w:pPr>
              <w:pStyle w:val="afa"/>
            </w:pPr>
            <w:r>
              <w:rPr>
                <w:rFonts w:hint="eastAsia"/>
              </w:rPr>
              <w:t>达标</w:t>
            </w:r>
          </w:p>
        </w:tc>
        <w:tc>
          <w:tcPr>
            <w:tcW w:w="698" w:type="pct"/>
            <w:vAlign w:val="center"/>
          </w:tcPr>
          <w:p w:rsidR="00EE56C0" w:rsidRDefault="000F36A1">
            <w:pPr>
              <w:pStyle w:val="afa"/>
            </w:pPr>
            <w:r>
              <w:rPr>
                <w:rFonts w:hint="eastAsia"/>
              </w:rPr>
              <w:t>/</w:t>
            </w:r>
          </w:p>
        </w:tc>
      </w:tr>
    </w:tbl>
    <w:p w:rsidR="00EE56C0" w:rsidRDefault="000F36A1">
      <w:pPr>
        <w:pStyle w:val="afd"/>
        <w:spacing w:before="120" w:after="120"/>
        <w:ind w:firstLine="482"/>
        <w:rPr>
          <w:szCs w:val="21"/>
        </w:rPr>
      </w:pPr>
      <w:r>
        <w:t>表</w:t>
      </w:r>
      <w:r>
        <w:rPr>
          <w:rFonts w:hint="eastAsia"/>
        </w:rPr>
        <w:t>4-18</w:t>
      </w:r>
      <w:r>
        <w:t>地下水现状结果统计</w:t>
      </w:r>
      <w:r>
        <w:rPr>
          <w:rFonts w:hint="eastAsia"/>
        </w:rPr>
        <w:t>表</w:t>
      </w:r>
      <w:r>
        <w:rPr>
          <w:rFonts w:hint="eastAsia"/>
        </w:rPr>
        <w:t>3</w:t>
      </w:r>
      <w:r>
        <w:rPr>
          <w:szCs w:val="21"/>
        </w:rPr>
        <w:t>单位：</w:t>
      </w:r>
      <w:r>
        <w:rPr>
          <w:szCs w:val="21"/>
        </w:rPr>
        <w:t>mg/L</w:t>
      </w:r>
    </w:p>
    <w:tbl>
      <w:tblPr>
        <w:tblW w:w="5000" w:type="pct"/>
        <w:jc w:val="center"/>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ook w:val="04A0"/>
      </w:tblPr>
      <w:tblGrid>
        <w:gridCol w:w="1452"/>
        <w:gridCol w:w="1277"/>
        <w:gridCol w:w="1225"/>
        <w:gridCol w:w="1144"/>
        <w:gridCol w:w="1134"/>
        <w:gridCol w:w="1134"/>
        <w:gridCol w:w="1162"/>
      </w:tblGrid>
      <w:tr w:rsidR="00EE56C0">
        <w:trPr>
          <w:trHeight w:val="454"/>
          <w:tblHeader/>
          <w:jc w:val="center"/>
        </w:trPr>
        <w:tc>
          <w:tcPr>
            <w:tcW w:w="851" w:type="pct"/>
            <w:vMerge w:val="restart"/>
            <w:vAlign w:val="center"/>
          </w:tcPr>
          <w:p w:rsidR="00EE56C0" w:rsidRDefault="000F36A1">
            <w:pPr>
              <w:pStyle w:val="aff1"/>
              <w:rPr>
                <w:color w:val="auto"/>
              </w:rPr>
            </w:pPr>
            <w:r>
              <w:rPr>
                <w:rFonts w:hint="eastAsia"/>
                <w:color w:val="auto"/>
              </w:rPr>
              <w:t>监测点</w:t>
            </w:r>
          </w:p>
        </w:tc>
        <w:tc>
          <w:tcPr>
            <w:tcW w:w="749" w:type="pct"/>
            <w:vMerge w:val="restart"/>
            <w:vAlign w:val="center"/>
          </w:tcPr>
          <w:p w:rsidR="00EE56C0" w:rsidRDefault="000F36A1">
            <w:pPr>
              <w:pStyle w:val="aff1"/>
              <w:rPr>
                <w:color w:val="auto"/>
              </w:rPr>
            </w:pPr>
            <w:r>
              <w:rPr>
                <w:rFonts w:hint="eastAsia"/>
                <w:color w:val="auto"/>
              </w:rPr>
              <w:t>类别</w:t>
            </w:r>
          </w:p>
        </w:tc>
        <w:tc>
          <w:tcPr>
            <w:tcW w:w="3400" w:type="pct"/>
            <w:gridSpan w:val="5"/>
            <w:shd w:val="clear" w:color="auto" w:fill="auto"/>
            <w:vAlign w:val="center"/>
          </w:tcPr>
          <w:p w:rsidR="00EE56C0" w:rsidRDefault="000F36A1">
            <w:pPr>
              <w:pStyle w:val="aff1"/>
              <w:rPr>
                <w:color w:val="auto"/>
              </w:rPr>
            </w:pPr>
            <w:r>
              <w:rPr>
                <w:rFonts w:hint="eastAsia"/>
                <w:color w:val="auto"/>
              </w:rPr>
              <w:t>监测因子</w:t>
            </w:r>
          </w:p>
        </w:tc>
      </w:tr>
      <w:tr w:rsidR="00EE56C0">
        <w:trPr>
          <w:trHeight w:val="454"/>
          <w:tblHeader/>
          <w:jc w:val="center"/>
        </w:trPr>
        <w:tc>
          <w:tcPr>
            <w:tcW w:w="851" w:type="pct"/>
            <w:vMerge/>
            <w:vAlign w:val="center"/>
          </w:tcPr>
          <w:p w:rsidR="00EE56C0" w:rsidRDefault="00EE56C0">
            <w:pPr>
              <w:pStyle w:val="aff1"/>
              <w:rPr>
                <w:color w:val="auto"/>
              </w:rPr>
            </w:pPr>
          </w:p>
        </w:tc>
        <w:tc>
          <w:tcPr>
            <w:tcW w:w="749" w:type="pct"/>
            <w:vMerge/>
            <w:vAlign w:val="center"/>
          </w:tcPr>
          <w:p w:rsidR="00EE56C0" w:rsidRDefault="00EE56C0">
            <w:pPr>
              <w:pStyle w:val="aff1"/>
              <w:rPr>
                <w:color w:val="auto"/>
              </w:rPr>
            </w:pPr>
          </w:p>
        </w:tc>
        <w:tc>
          <w:tcPr>
            <w:tcW w:w="718" w:type="pct"/>
            <w:shd w:val="clear" w:color="auto" w:fill="auto"/>
            <w:vAlign w:val="center"/>
          </w:tcPr>
          <w:p w:rsidR="00EE56C0" w:rsidRDefault="000F36A1">
            <w:pPr>
              <w:pStyle w:val="aff1"/>
              <w:rPr>
                <w:color w:val="auto"/>
              </w:rPr>
            </w:pPr>
            <w:r>
              <w:rPr>
                <w:rFonts w:hint="eastAsia"/>
                <w:color w:val="auto"/>
              </w:rPr>
              <w:t>Na</w:t>
            </w:r>
            <w:r>
              <w:rPr>
                <w:rFonts w:hint="eastAsia"/>
                <w:color w:val="auto"/>
                <w:vertAlign w:val="superscript"/>
              </w:rPr>
              <w:t>+</w:t>
            </w:r>
          </w:p>
        </w:tc>
        <w:tc>
          <w:tcPr>
            <w:tcW w:w="671" w:type="pct"/>
            <w:tcMar>
              <w:left w:w="0" w:type="dxa"/>
              <w:right w:w="0" w:type="dxa"/>
            </w:tcMar>
            <w:vAlign w:val="center"/>
          </w:tcPr>
          <w:p w:rsidR="00EE56C0" w:rsidRDefault="000F36A1">
            <w:pPr>
              <w:pStyle w:val="aff1"/>
              <w:rPr>
                <w:color w:val="auto"/>
              </w:rPr>
            </w:pPr>
            <w:r>
              <w:rPr>
                <w:rFonts w:hint="eastAsia"/>
                <w:color w:val="auto"/>
              </w:rPr>
              <w:t>HCO</w:t>
            </w:r>
            <w:r>
              <w:rPr>
                <w:rFonts w:hint="eastAsia"/>
                <w:color w:val="auto"/>
                <w:vertAlign w:val="subscript"/>
              </w:rPr>
              <w:t>3</w:t>
            </w:r>
            <w:r>
              <w:rPr>
                <w:rFonts w:hint="eastAsia"/>
                <w:color w:val="auto"/>
                <w:vertAlign w:val="superscript"/>
              </w:rPr>
              <w:t>2-</w:t>
            </w:r>
          </w:p>
        </w:tc>
        <w:tc>
          <w:tcPr>
            <w:tcW w:w="665" w:type="pct"/>
            <w:vAlign w:val="center"/>
          </w:tcPr>
          <w:p w:rsidR="00EE56C0" w:rsidRDefault="000F36A1">
            <w:pPr>
              <w:pStyle w:val="aff1"/>
              <w:rPr>
                <w:color w:val="auto"/>
              </w:rPr>
            </w:pPr>
            <w:r>
              <w:rPr>
                <w:rFonts w:hint="eastAsia"/>
                <w:color w:val="auto"/>
              </w:rPr>
              <w:t>Ca</w:t>
            </w:r>
            <w:r>
              <w:rPr>
                <w:rFonts w:hint="eastAsia"/>
                <w:color w:val="auto"/>
                <w:vertAlign w:val="superscript"/>
              </w:rPr>
              <w:t>2+</w:t>
            </w:r>
          </w:p>
        </w:tc>
        <w:tc>
          <w:tcPr>
            <w:tcW w:w="665" w:type="pct"/>
            <w:vAlign w:val="center"/>
          </w:tcPr>
          <w:p w:rsidR="00EE56C0" w:rsidRDefault="000F36A1">
            <w:pPr>
              <w:pStyle w:val="aff1"/>
              <w:rPr>
                <w:color w:val="auto"/>
              </w:rPr>
            </w:pPr>
            <w:r>
              <w:rPr>
                <w:rFonts w:hint="eastAsia"/>
                <w:color w:val="auto"/>
              </w:rPr>
              <w:t>Mg</w:t>
            </w:r>
            <w:r>
              <w:rPr>
                <w:rFonts w:hint="eastAsia"/>
                <w:color w:val="auto"/>
                <w:vertAlign w:val="superscript"/>
              </w:rPr>
              <w:t>+</w:t>
            </w:r>
          </w:p>
        </w:tc>
        <w:tc>
          <w:tcPr>
            <w:tcW w:w="681" w:type="pct"/>
            <w:vAlign w:val="center"/>
          </w:tcPr>
          <w:p w:rsidR="00EE56C0" w:rsidRDefault="000F36A1">
            <w:pPr>
              <w:pStyle w:val="aff1"/>
              <w:rPr>
                <w:color w:val="auto"/>
              </w:rPr>
            </w:pPr>
            <w:r>
              <w:rPr>
                <w:rFonts w:hint="eastAsia"/>
                <w:color w:val="auto"/>
              </w:rPr>
              <w:t>CO</w:t>
            </w:r>
            <w:r>
              <w:rPr>
                <w:rFonts w:hint="eastAsia"/>
                <w:color w:val="auto"/>
                <w:vertAlign w:val="subscript"/>
              </w:rPr>
              <w:t>3</w:t>
            </w:r>
            <w:r>
              <w:rPr>
                <w:rFonts w:hint="eastAsia"/>
                <w:color w:val="auto"/>
                <w:vertAlign w:val="superscript"/>
              </w:rPr>
              <w:t>2-</w:t>
            </w:r>
          </w:p>
        </w:tc>
      </w:tr>
      <w:tr w:rsidR="00EE56C0">
        <w:trPr>
          <w:trHeight w:val="454"/>
          <w:jc w:val="center"/>
        </w:trPr>
        <w:tc>
          <w:tcPr>
            <w:tcW w:w="851" w:type="pct"/>
            <w:vMerge w:val="restart"/>
            <w:vAlign w:val="center"/>
          </w:tcPr>
          <w:p w:rsidR="00EE56C0" w:rsidRDefault="000F36A1">
            <w:pPr>
              <w:pStyle w:val="afa"/>
              <w:rPr>
                <w:highlight w:val="yellow"/>
              </w:rPr>
            </w:pPr>
            <w:r>
              <w:rPr>
                <w:rFonts w:hint="eastAsia"/>
              </w:rPr>
              <w:t>康庄村</w:t>
            </w:r>
          </w:p>
        </w:tc>
        <w:tc>
          <w:tcPr>
            <w:tcW w:w="749" w:type="pct"/>
            <w:vAlign w:val="center"/>
          </w:tcPr>
          <w:p w:rsidR="00EE56C0" w:rsidRDefault="000F36A1">
            <w:pPr>
              <w:pStyle w:val="afa"/>
            </w:pPr>
            <w:r>
              <w:rPr>
                <w:rFonts w:hint="eastAsia"/>
              </w:rPr>
              <w:t>浓度范围</w:t>
            </w:r>
          </w:p>
        </w:tc>
        <w:tc>
          <w:tcPr>
            <w:tcW w:w="718" w:type="pct"/>
            <w:vAlign w:val="center"/>
          </w:tcPr>
          <w:p w:rsidR="00EE56C0" w:rsidRDefault="000F36A1">
            <w:pPr>
              <w:pStyle w:val="afa"/>
            </w:pPr>
            <w:r>
              <w:rPr>
                <w:rFonts w:hint="eastAsia"/>
              </w:rPr>
              <w:t>126-127</w:t>
            </w:r>
          </w:p>
        </w:tc>
        <w:tc>
          <w:tcPr>
            <w:tcW w:w="671" w:type="pct"/>
            <w:vAlign w:val="center"/>
          </w:tcPr>
          <w:p w:rsidR="00EE56C0" w:rsidRDefault="000F36A1">
            <w:pPr>
              <w:pStyle w:val="afa"/>
            </w:pPr>
            <w:r>
              <w:rPr>
                <w:rFonts w:hint="eastAsia"/>
              </w:rPr>
              <w:t>5.74-6.01</w:t>
            </w:r>
          </w:p>
        </w:tc>
        <w:tc>
          <w:tcPr>
            <w:tcW w:w="665" w:type="pct"/>
            <w:vAlign w:val="center"/>
          </w:tcPr>
          <w:p w:rsidR="00EE56C0" w:rsidRDefault="000F36A1">
            <w:pPr>
              <w:pStyle w:val="afa"/>
            </w:pPr>
            <w:r>
              <w:rPr>
                <w:rFonts w:hint="eastAsia"/>
              </w:rPr>
              <w:t>80.0-81.5</w:t>
            </w:r>
          </w:p>
        </w:tc>
        <w:tc>
          <w:tcPr>
            <w:tcW w:w="665" w:type="pct"/>
            <w:vAlign w:val="center"/>
          </w:tcPr>
          <w:p w:rsidR="00EE56C0" w:rsidRDefault="000F36A1">
            <w:pPr>
              <w:pStyle w:val="afa"/>
            </w:pPr>
            <w:r>
              <w:rPr>
                <w:rFonts w:hint="eastAsia"/>
              </w:rPr>
              <w:t>20.6-20.7</w:t>
            </w:r>
          </w:p>
        </w:tc>
        <w:tc>
          <w:tcPr>
            <w:tcW w:w="681" w:type="pct"/>
            <w:vAlign w:val="center"/>
          </w:tcPr>
          <w:p w:rsidR="00EE56C0" w:rsidRDefault="000F36A1">
            <w:pPr>
              <w:pStyle w:val="afa"/>
            </w:pPr>
            <w:r>
              <w:rPr>
                <w:rFonts w:hint="eastAsia"/>
              </w:rPr>
              <w:t>未检出</w:t>
            </w:r>
          </w:p>
        </w:tc>
      </w:tr>
      <w:tr w:rsidR="00EE56C0">
        <w:trPr>
          <w:trHeight w:val="454"/>
          <w:jc w:val="center"/>
        </w:trPr>
        <w:tc>
          <w:tcPr>
            <w:tcW w:w="851" w:type="pct"/>
            <w:vMerge/>
            <w:vAlign w:val="center"/>
          </w:tcPr>
          <w:p w:rsidR="00EE56C0" w:rsidRDefault="00EE56C0">
            <w:pPr>
              <w:pStyle w:val="afa"/>
            </w:pPr>
          </w:p>
        </w:tc>
        <w:tc>
          <w:tcPr>
            <w:tcW w:w="749" w:type="pct"/>
            <w:vAlign w:val="center"/>
          </w:tcPr>
          <w:p w:rsidR="00EE56C0" w:rsidRDefault="000F36A1">
            <w:pPr>
              <w:pStyle w:val="afa"/>
            </w:pPr>
            <w:r>
              <w:rPr>
                <w:rFonts w:hint="eastAsia"/>
              </w:rPr>
              <w:t>标准限值</w:t>
            </w:r>
          </w:p>
        </w:tc>
        <w:tc>
          <w:tcPr>
            <w:tcW w:w="718" w:type="pct"/>
            <w:vAlign w:val="center"/>
          </w:tcPr>
          <w:p w:rsidR="00EE56C0" w:rsidRDefault="000F36A1">
            <w:pPr>
              <w:pStyle w:val="afa"/>
            </w:pPr>
            <w:r>
              <w:rPr>
                <w:rFonts w:hint="eastAsia"/>
              </w:rPr>
              <w:t>/</w:t>
            </w:r>
          </w:p>
        </w:tc>
        <w:tc>
          <w:tcPr>
            <w:tcW w:w="671" w:type="pct"/>
            <w:vAlign w:val="center"/>
          </w:tcPr>
          <w:p w:rsidR="00EE56C0" w:rsidRDefault="000F36A1">
            <w:pPr>
              <w:pStyle w:val="afa"/>
            </w:pPr>
            <w:r>
              <w:rPr>
                <w:rFonts w:hint="eastAsia"/>
              </w:rPr>
              <w:t>/</w:t>
            </w:r>
          </w:p>
        </w:tc>
        <w:tc>
          <w:tcPr>
            <w:tcW w:w="665" w:type="pct"/>
            <w:vAlign w:val="center"/>
          </w:tcPr>
          <w:p w:rsidR="00EE56C0" w:rsidRDefault="000F36A1">
            <w:pPr>
              <w:pStyle w:val="afa"/>
            </w:pPr>
            <w:r>
              <w:rPr>
                <w:rFonts w:hint="eastAsia"/>
              </w:rPr>
              <w:t>/</w:t>
            </w:r>
          </w:p>
        </w:tc>
        <w:tc>
          <w:tcPr>
            <w:tcW w:w="665" w:type="pct"/>
            <w:vAlign w:val="center"/>
          </w:tcPr>
          <w:p w:rsidR="00EE56C0" w:rsidRDefault="000F36A1">
            <w:pPr>
              <w:pStyle w:val="afa"/>
            </w:pPr>
            <w:r>
              <w:rPr>
                <w:rFonts w:hint="eastAsia"/>
              </w:rPr>
              <w:t>/</w:t>
            </w:r>
          </w:p>
        </w:tc>
        <w:tc>
          <w:tcPr>
            <w:tcW w:w="681" w:type="pct"/>
            <w:vAlign w:val="center"/>
          </w:tcPr>
          <w:p w:rsidR="00EE56C0" w:rsidRDefault="000F36A1">
            <w:pPr>
              <w:pStyle w:val="afa"/>
            </w:pPr>
            <w:r>
              <w:rPr>
                <w:rFonts w:hint="eastAsia"/>
              </w:rPr>
              <w:t>/</w:t>
            </w:r>
          </w:p>
        </w:tc>
      </w:tr>
      <w:tr w:rsidR="00EE56C0">
        <w:trPr>
          <w:trHeight w:val="454"/>
          <w:jc w:val="center"/>
        </w:trPr>
        <w:tc>
          <w:tcPr>
            <w:tcW w:w="851" w:type="pct"/>
            <w:vMerge/>
            <w:vAlign w:val="center"/>
          </w:tcPr>
          <w:p w:rsidR="00EE56C0" w:rsidRDefault="00EE56C0">
            <w:pPr>
              <w:pStyle w:val="afa"/>
            </w:pPr>
          </w:p>
        </w:tc>
        <w:tc>
          <w:tcPr>
            <w:tcW w:w="749" w:type="pct"/>
            <w:vAlign w:val="center"/>
          </w:tcPr>
          <w:p w:rsidR="00EE56C0" w:rsidRDefault="000F36A1">
            <w:pPr>
              <w:pStyle w:val="afa"/>
            </w:pPr>
            <w:r>
              <w:rPr>
                <w:rFonts w:hint="eastAsia"/>
              </w:rPr>
              <w:t>达标情况</w:t>
            </w:r>
          </w:p>
        </w:tc>
        <w:tc>
          <w:tcPr>
            <w:tcW w:w="718" w:type="pct"/>
            <w:vAlign w:val="center"/>
          </w:tcPr>
          <w:p w:rsidR="00EE56C0" w:rsidRDefault="000F36A1">
            <w:pPr>
              <w:pStyle w:val="afa"/>
            </w:pPr>
            <w:r>
              <w:rPr>
                <w:rFonts w:hint="eastAsia"/>
              </w:rPr>
              <w:t>/</w:t>
            </w:r>
          </w:p>
        </w:tc>
        <w:tc>
          <w:tcPr>
            <w:tcW w:w="671" w:type="pct"/>
            <w:vAlign w:val="center"/>
          </w:tcPr>
          <w:p w:rsidR="00EE56C0" w:rsidRDefault="000F36A1">
            <w:pPr>
              <w:pStyle w:val="afa"/>
            </w:pPr>
            <w:r>
              <w:rPr>
                <w:rFonts w:hint="eastAsia"/>
              </w:rPr>
              <w:t>/</w:t>
            </w:r>
          </w:p>
        </w:tc>
        <w:tc>
          <w:tcPr>
            <w:tcW w:w="665" w:type="pct"/>
            <w:vAlign w:val="center"/>
          </w:tcPr>
          <w:p w:rsidR="00EE56C0" w:rsidRDefault="000F36A1">
            <w:pPr>
              <w:pStyle w:val="afa"/>
            </w:pPr>
            <w:r>
              <w:rPr>
                <w:rFonts w:hint="eastAsia"/>
              </w:rPr>
              <w:t>/</w:t>
            </w:r>
          </w:p>
        </w:tc>
        <w:tc>
          <w:tcPr>
            <w:tcW w:w="665" w:type="pct"/>
            <w:vAlign w:val="center"/>
          </w:tcPr>
          <w:p w:rsidR="00EE56C0" w:rsidRDefault="000F36A1">
            <w:pPr>
              <w:pStyle w:val="afa"/>
            </w:pPr>
            <w:r>
              <w:rPr>
                <w:rFonts w:hint="eastAsia"/>
              </w:rPr>
              <w:t>/</w:t>
            </w:r>
          </w:p>
        </w:tc>
        <w:tc>
          <w:tcPr>
            <w:tcW w:w="681" w:type="pct"/>
            <w:vAlign w:val="center"/>
          </w:tcPr>
          <w:p w:rsidR="00EE56C0" w:rsidRDefault="000F36A1">
            <w:pPr>
              <w:pStyle w:val="afa"/>
            </w:pPr>
            <w:r>
              <w:rPr>
                <w:rFonts w:hint="eastAsia"/>
              </w:rPr>
              <w:t>/</w:t>
            </w:r>
          </w:p>
        </w:tc>
      </w:tr>
      <w:tr w:rsidR="00EE56C0">
        <w:trPr>
          <w:trHeight w:val="454"/>
          <w:jc w:val="center"/>
        </w:trPr>
        <w:tc>
          <w:tcPr>
            <w:tcW w:w="851" w:type="pct"/>
            <w:vMerge w:val="restart"/>
            <w:vAlign w:val="center"/>
          </w:tcPr>
          <w:p w:rsidR="00EE56C0" w:rsidRDefault="000F36A1">
            <w:pPr>
              <w:pStyle w:val="afa"/>
              <w:rPr>
                <w:iCs/>
                <w:highlight w:val="yellow"/>
              </w:rPr>
            </w:pPr>
            <w:r>
              <w:rPr>
                <w:rFonts w:hint="eastAsia"/>
              </w:rPr>
              <w:t>厂址（自备井）</w:t>
            </w:r>
          </w:p>
        </w:tc>
        <w:tc>
          <w:tcPr>
            <w:tcW w:w="749" w:type="pct"/>
            <w:vAlign w:val="center"/>
          </w:tcPr>
          <w:p w:rsidR="00EE56C0" w:rsidRDefault="000F36A1">
            <w:pPr>
              <w:pStyle w:val="afa"/>
            </w:pPr>
            <w:r>
              <w:rPr>
                <w:rFonts w:hint="eastAsia"/>
              </w:rPr>
              <w:t>浓度范围</w:t>
            </w:r>
          </w:p>
        </w:tc>
        <w:tc>
          <w:tcPr>
            <w:tcW w:w="718" w:type="pct"/>
            <w:vAlign w:val="center"/>
          </w:tcPr>
          <w:p w:rsidR="00EE56C0" w:rsidRDefault="000F36A1">
            <w:pPr>
              <w:pStyle w:val="afa"/>
            </w:pPr>
            <w:r>
              <w:rPr>
                <w:rFonts w:hint="eastAsia"/>
              </w:rPr>
              <w:t>84-96</w:t>
            </w:r>
          </w:p>
        </w:tc>
        <w:tc>
          <w:tcPr>
            <w:tcW w:w="671" w:type="pct"/>
            <w:vAlign w:val="center"/>
          </w:tcPr>
          <w:p w:rsidR="00EE56C0" w:rsidRDefault="000F36A1">
            <w:pPr>
              <w:pStyle w:val="afa"/>
            </w:pPr>
            <w:r>
              <w:rPr>
                <w:rFonts w:hint="eastAsia"/>
              </w:rPr>
              <w:t>6.34-6.51</w:t>
            </w:r>
          </w:p>
        </w:tc>
        <w:tc>
          <w:tcPr>
            <w:tcW w:w="665" w:type="pct"/>
            <w:vAlign w:val="center"/>
          </w:tcPr>
          <w:p w:rsidR="00EE56C0" w:rsidRDefault="000F36A1">
            <w:pPr>
              <w:pStyle w:val="afa"/>
            </w:pPr>
            <w:r>
              <w:rPr>
                <w:rFonts w:hint="eastAsia"/>
              </w:rPr>
              <w:t>67.9-71.7</w:t>
            </w:r>
          </w:p>
        </w:tc>
        <w:tc>
          <w:tcPr>
            <w:tcW w:w="665" w:type="pct"/>
            <w:vAlign w:val="center"/>
          </w:tcPr>
          <w:p w:rsidR="00EE56C0" w:rsidRDefault="000F36A1">
            <w:pPr>
              <w:pStyle w:val="afa"/>
            </w:pPr>
            <w:r>
              <w:rPr>
                <w:rFonts w:hint="eastAsia"/>
              </w:rPr>
              <w:t>11.0-11.4</w:t>
            </w:r>
          </w:p>
        </w:tc>
        <w:tc>
          <w:tcPr>
            <w:tcW w:w="681" w:type="pct"/>
            <w:vAlign w:val="center"/>
          </w:tcPr>
          <w:p w:rsidR="00EE56C0" w:rsidRDefault="000F36A1">
            <w:pPr>
              <w:pStyle w:val="afa"/>
            </w:pPr>
            <w:r>
              <w:rPr>
                <w:rFonts w:hint="eastAsia"/>
              </w:rPr>
              <w:t>未检出</w:t>
            </w:r>
          </w:p>
        </w:tc>
      </w:tr>
      <w:tr w:rsidR="00EE56C0">
        <w:trPr>
          <w:trHeight w:val="454"/>
          <w:jc w:val="center"/>
        </w:trPr>
        <w:tc>
          <w:tcPr>
            <w:tcW w:w="851" w:type="pct"/>
            <w:vMerge/>
            <w:vAlign w:val="center"/>
          </w:tcPr>
          <w:p w:rsidR="00EE56C0" w:rsidRDefault="00EE56C0">
            <w:pPr>
              <w:pStyle w:val="afa"/>
            </w:pPr>
          </w:p>
        </w:tc>
        <w:tc>
          <w:tcPr>
            <w:tcW w:w="749" w:type="pct"/>
            <w:vAlign w:val="center"/>
          </w:tcPr>
          <w:p w:rsidR="00EE56C0" w:rsidRDefault="000F36A1">
            <w:pPr>
              <w:pStyle w:val="afa"/>
            </w:pPr>
            <w:r>
              <w:rPr>
                <w:rFonts w:hint="eastAsia"/>
              </w:rPr>
              <w:t>标准限值</w:t>
            </w:r>
          </w:p>
        </w:tc>
        <w:tc>
          <w:tcPr>
            <w:tcW w:w="718" w:type="pct"/>
            <w:vAlign w:val="center"/>
          </w:tcPr>
          <w:p w:rsidR="00EE56C0" w:rsidRDefault="000F36A1">
            <w:pPr>
              <w:pStyle w:val="afa"/>
            </w:pPr>
            <w:r>
              <w:rPr>
                <w:rFonts w:hint="eastAsia"/>
              </w:rPr>
              <w:t>/</w:t>
            </w:r>
          </w:p>
        </w:tc>
        <w:tc>
          <w:tcPr>
            <w:tcW w:w="671" w:type="pct"/>
            <w:vAlign w:val="center"/>
          </w:tcPr>
          <w:p w:rsidR="00EE56C0" w:rsidRDefault="000F36A1">
            <w:pPr>
              <w:pStyle w:val="afa"/>
            </w:pPr>
            <w:r>
              <w:rPr>
                <w:rFonts w:hint="eastAsia"/>
              </w:rPr>
              <w:t>/</w:t>
            </w:r>
          </w:p>
        </w:tc>
        <w:tc>
          <w:tcPr>
            <w:tcW w:w="665" w:type="pct"/>
            <w:vAlign w:val="center"/>
          </w:tcPr>
          <w:p w:rsidR="00EE56C0" w:rsidRDefault="000F36A1">
            <w:pPr>
              <w:pStyle w:val="afa"/>
            </w:pPr>
            <w:r>
              <w:rPr>
                <w:rFonts w:hint="eastAsia"/>
              </w:rPr>
              <w:t>/</w:t>
            </w:r>
          </w:p>
        </w:tc>
        <w:tc>
          <w:tcPr>
            <w:tcW w:w="665" w:type="pct"/>
            <w:vAlign w:val="center"/>
          </w:tcPr>
          <w:p w:rsidR="00EE56C0" w:rsidRDefault="000F36A1">
            <w:pPr>
              <w:pStyle w:val="afa"/>
            </w:pPr>
            <w:r>
              <w:rPr>
                <w:rFonts w:hint="eastAsia"/>
              </w:rPr>
              <w:t>/</w:t>
            </w:r>
          </w:p>
        </w:tc>
        <w:tc>
          <w:tcPr>
            <w:tcW w:w="681" w:type="pct"/>
            <w:vAlign w:val="center"/>
          </w:tcPr>
          <w:p w:rsidR="00EE56C0" w:rsidRDefault="000F36A1">
            <w:pPr>
              <w:pStyle w:val="afa"/>
            </w:pPr>
            <w:r>
              <w:rPr>
                <w:rFonts w:hint="eastAsia"/>
              </w:rPr>
              <w:t>/</w:t>
            </w:r>
          </w:p>
        </w:tc>
      </w:tr>
      <w:tr w:rsidR="00EE56C0">
        <w:trPr>
          <w:trHeight w:val="454"/>
          <w:jc w:val="center"/>
        </w:trPr>
        <w:tc>
          <w:tcPr>
            <w:tcW w:w="851" w:type="pct"/>
            <w:vMerge/>
            <w:vAlign w:val="center"/>
          </w:tcPr>
          <w:p w:rsidR="00EE56C0" w:rsidRDefault="00EE56C0">
            <w:pPr>
              <w:pStyle w:val="afa"/>
            </w:pPr>
          </w:p>
        </w:tc>
        <w:tc>
          <w:tcPr>
            <w:tcW w:w="749" w:type="pct"/>
            <w:vAlign w:val="center"/>
          </w:tcPr>
          <w:p w:rsidR="00EE56C0" w:rsidRDefault="000F36A1">
            <w:pPr>
              <w:pStyle w:val="afa"/>
            </w:pPr>
            <w:r>
              <w:rPr>
                <w:rFonts w:hint="eastAsia"/>
              </w:rPr>
              <w:t>达标情况</w:t>
            </w:r>
          </w:p>
        </w:tc>
        <w:tc>
          <w:tcPr>
            <w:tcW w:w="718" w:type="pct"/>
            <w:vAlign w:val="center"/>
          </w:tcPr>
          <w:p w:rsidR="00EE56C0" w:rsidRDefault="000F36A1">
            <w:pPr>
              <w:pStyle w:val="afa"/>
            </w:pPr>
            <w:r>
              <w:rPr>
                <w:rFonts w:hint="eastAsia"/>
              </w:rPr>
              <w:t>/</w:t>
            </w:r>
          </w:p>
        </w:tc>
        <w:tc>
          <w:tcPr>
            <w:tcW w:w="671" w:type="pct"/>
            <w:vAlign w:val="center"/>
          </w:tcPr>
          <w:p w:rsidR="00EE56C0" w:rsidRDefault="000F36A1">
            <w:pPr>
              <w:pStyle w:val="afa"/>
            </w:pPr>
            <w:r>
              <w:rPr>
                <w:rFonts w:hint="eastAsia"/>
              </w:rPr>
              <w:t>/</w:t>
            </w:r>
          </w:p>
        </w:tc>
        <w:tc>
          <w:tcPr>
            <w:tcW w:w="665" w:type="pct"/>
            <w:vAlign w:val="center"/>
          </w:tcPr>
          <w:p w:rsidR="00EE56C0" w:rsidRDefault="000F36A1">
            <w:pPr>
              <w:pStyle w:val="afa"/>
            </w:pPr>
            <w:r>
              <w:rPr>
                <w:rFonts w:hint="eastAsia"/>
              </w:rPr>
              <w:t>/</w:t>
            </w:r>
          </w:p>
        </w:tc>
        <w:tc>
          <w:tcPr>
            <w:tcW w:w="665" w:type="pct"/>
            <w:vAlign w:val="center"/>
          </w:tcPr>
          <w:p w:rsidR="00EE56C0" w:rsidRDefault="000F36A1">
            <w:pPr>
              <w:pStyle w:val="afa"/>
            </w:pPr>
            <w:r>
              <w:rPr>
                <w:rFonts w:hint="eastAsia"/>
              </w:rPr>
              <w:t>/</w:t>
            </w:r>
          </w:p>
        </w:tc>
        <w:tc>
          <w:tcPr>
            <w:tcW w:w="681" w:type="pct"/>
            <w:vAlign w:val="center"/>
          </w:tcPr>
          <w:p w:rsidR="00EE56C0" w:rsidRDefault="000F36A1">
            <w:pPr>
              <w:pStyle w:val="afa"/>
            </w:pPr>
            <w:r>
              <w:rPr>
                <w:rFonts w:hint="eastAsia"/>
              </w:rPr>
              <w:t>/</w:t>
            </w:r>
          </w:p>
        </w:tc>
      </w:tr>
      <w:tr w:rsidR="00EE56C0">
        <w:trPr>
          <w:trHeight w:val="454"/>
          <w:jc w:val="center"/>
        </w:trPr>
        <w:tc>
          <w:tcPr>
            <w:tcW w:w="851" w:type="pct"/>
            <w:vMerge w:val="restart"/>
            <w:vAlign w:val="center"/>
          </w:tcPr>
          <w:p w:rsidR="00EE56C0" w:rsidRDefault="000F36A1">
            <w:pPr>
              <w:pStyle w:val="afa"/>
              <w:rPr>
                <w:iCs/>
                <w:highlight w:val="yellow"/>
              </w:rPr>
            </w:pPr>
            <w:r>
              <w:rPr>
                <w:rFonts w:hint="eastAsia"/>
              </w:rPr>
              <w:t>七里营镇</w:t>
            </w:r>
          </w:p>
        </w:tc>
        <w:tc>
          <w:tcPr>
            <w:tcW w:w="749" w:type="pct"/>
            <w:vAlign w:val="center"/>
          </w:tcPr>
          <w:p w:rsidR="00EE56C0" w:rsidRDefault="000F36A1">
            <w:pPr>
              <w:pStyle w:val="afa"/>
            </w:pPr>
            <w:r>
              <w:rPr>
                <w:rFonts w:hint="eastAsia"/>
              </w:rPr>
              <w:t>浓度范围</w:t>
            </w:r>
          </w:p>
        </w:tc>
        <w:tc>
          <w:tcPr>
            <w:tcW w:w="718" w:type="pct"/>
            <w:vAlign w:val="center"/>
          </w:tcPr>
          <w:p w:rsidR="00EE56C0" w:rsidRDefault="000F36A1">
            <w:pPr>
              <w:pStyle w:val="afa"/>
            </w:pPr>
            <w:r>
              <w:rPr>
                <w:rFonts w:hint="eastAsia"/>
              </w:rPr>
              <w:t>67.2-68.2</w:t>
            </w:r>
          </w:p>
        </w:tc>
        <w:tc>
          <w:tcPr>
            <w:tcW w:w="671" w:type="pct"/>
            <w:vAlign w:val="center"/>
          </w:tcPr>
          <w:p w:rsidR="00EE56C0" w:rsidRDefault="000F36A1">
            <w:pPr>
              <w:pStyle w:val="afa"/>
            </w:pPr>
            <w:r>
              <w:rPr>
                <w:rFonts w:hint="eastAsia"/>
              </w:rPr>
              <w:t>5.07-5.25</w:t>
            </w:r>
          </w:p>
        </w:tc>
        <w:tc>
          <w:tcPr>
            <w:tcW w:w="665" w:type="pct"/>
            <w:vAlign w:val="center"/>
          </w:tcPr>
          <w:p w:rsidR="00EE56C0" w:rsidRDefault="000F36A1">
            <w:pPr>
              <w:pStyle w:val="afa"/>
            </w:pPr>
            <w:r>
              <w:rPr>
                <w:rFonts w:hint="eastAsia"/>
              </w:rPr>
              <w:t>57.2-58.4</w:t>
            </w:r>
          </w:p>
        </w:tc>
        <w:tc>
          <w:tcPr>
            <w:tcW w:w="665" w:type="pct"/>
            <w:vAlign w:val="center"/>
          </w:tcPr>
          <w:p w:rsidR="00EE56C0" w:rsidRDefault="000F36A1">
            <w:pPr>
              <w:pStyle w:val="afa"/>
            </w:pPr>
            <w:r>
              <w:rPr>
                <w:rFonts w:hint="eastAsia"/>
              </w:rPr>
              <w:t>7.40-7.87</w:t>
            </w:r>
          </w:p>
        </w:tc>
        <w:tc>
          <w:tcPr>
            <w:tcW w:w="681" w:type="pct"/>
            <w:vAlign w:val="center"/>
          </w:tcPr>
          <w:p w:rsidR="00EE56C0" w:rsidRDefault="000F36A1">
            <w:pPr>
              <w:pStyle w:val="afa"/>
            </w:pPr>
            <w:r>
              <w:rPr>
                <w:rFonts w:hint="eastAsia"/>
              </w:rPr>
              <w:t>未检出</w:t>
            </w:r>
          </w:p>
        </w:tc>
      </w:tr>
      <w:tr w:rsidR="00EE56C0">
        <w:trPr>
          <w:trHeight w:val="454"/>
          <w:jc w:val="center"/>
        </w:trPr>
        <w:tc>
          <w:tcPr>
            <w:tcW w:w="851" w:type="pct"/>
            <w:vMerge/>
            <w:vAlign w:val="center"/>
          </w:tcPr>
          <w:p w:rsidR="00EE56C0" w:rsidRDefault="00EE56C0">
            <w:pPr>
              <w:pStyle w:val="afa"/>
            </w:pPr>
          </w:p>
        </w:tc>
        <w:tc>
          <w:tcPr>
            <w:tcW w:w="749" w:type="pct"/>
            <w:vAlign w:val="center"/>
          </w:tcPr>
          <w:p w:rsidR="00EE56C0" w:rsidRDefault="000F36A1">
            <w:pPr>
              <w:pStyle w:val="afa"/>
            </w:pPr>
            <w:r>
              <w:rPr>
                <w:rFonts w:hint="eastAsia"/>
              </w:rPr>
              <w:t>标准限值</w:t>
            </w:r>
          </w:p>
        </w:tc>
        <w:tc>
          <w:tcPr>
            <w:tcW w:w="718" w:type="pct"/>
            <w:vAlign w:val="center"/>
          </w:tcPr>
          <w:p w:rsidR="00EE56C0" w:rsidRDefault="000F36A1">
            <w:pPr>
              <w:pStyle w:val="afa"/>
            </w:pPr>
            <w:r>
              <w:rPr>
                <w:rFonts w:hint="eastAsia"/>
              </w:rPr>
              <w:t>/</w:t>
            </w:r>
          </w:p>
        </w:tc>
        <w:tc>
          <w:tcPr>
            <w:tcW w:w="671" w:type="pct"/>
            <w:vAlign w:val="center"/>
          </w:tcPr>
          <w:p w:rsidR="00EE56C0" w:rsidRDefault="000F36A1">
            <w:pPr>
              <w:pStyle w:val="afa"/>
            </w:pPr>
            <w:r>
              <w:rPr>
                <w:rFonts w:hint="eastAsia"/>
              </w:rPr>
              <w:t>/</w:t>
            </w:r>
          </w:p>
        </w:tc>
        <w:tc>
          <w:tcPr>
            <w:tcW w:w="665" w:type="pct"/>
            <w:vAlign w:val="center"/>
          </w:tcPr>
          <w:p w:rsidR="00EE56C0" w:rsidRDefault="000F36A1">
            <w:pPr>
              <w:pStyle w:val="afa"/>
            </w:pPr>
            <w:r>
              <w:rPr>
                <w:rFonts w:hint="eastAsia"/>
              </w:rPr>
              <w:t>/</w:t>
            </w:r>
          </w:p>
        </w:tc>
        <w:tc>
          <w:tcPr>
            <w:tcW w:w="665" w:type="pct"/>
            <w:vAlign w:val="center"/>
          </w:tcPr>
          <w:p w:rsidR="00EE56C0" w:rsidRDefault="000F36A1">
            <w:pPr>
              <w:pStyle w:val="afa"/>
            </w:pPr>
            <w:r>
              <w:rPr>
                <w:rFonts w:hint="eastAsia"/>
              </w:rPr>
              <w:t>/</w:t>
            </w:r>
          </w:p>
        </w:tc>
        <w:tc>
          <w:tcPr>
            <w:tcW w:w="681" w:type="pct"/>
            <w:vAlign w:val="center"/>
          </w:tcPr>
          <w:p w:rsidR="00EE56C0" w:rsidRDefault="000F36A1">
            <w:pPr>
              <w:pStyle w:val="afa"/>
            </w:pPr>
            <w:r>
              <w:rPr>
                <w:rFonts w:hint="eastAsia"/>
              </w:rPr>
              <w:t>/</w:t>
            </w:r>
          </w:p>
        </w:tc>
      </w:tr>
      <w:tr w:rsidR="00EE56C0">
        <w:trPr>
          <w:trHeight w:val="493"/>
          <w:jc w:val="center"/>
        </w:trPr>
        <w:tc>
          <w:tcPr>
            <w:tcW w:w="851" w:type="pct"/>
            <w:vMerge/>
            <w:vAlign w:val="center"/>
          </w:tcPr>
          <w:p w:rsidR="00EE56C0" w:rsidRDefault="00EE56C0">
            <w:pPr>
              <w:pStyle w:val="afa"/>
            </w:pPr>
          </w:p>
        </w:tc>
        <w:tc>
          <w:tcPr>
            <w:tcW w:w="749" w:type="pct"/>
            <w:vAlign w:val="center"/>
          </w:tcPr>
          <w:p w:rsidR="00EE56C0" w:rsidRDefault="000F36A1">
            <w:pPr>
              <w:pStyle w:val="afa"/>
            </w:pPr>
            <w:r>
              <w:rPr>
                <w:rFonts w:hint="eastAsia"/>
              </w:rPr>
              <w:t>达标情况</w:t>
            </w:r>
          </w:p>
        </w:tc>
        <w:tc>
          <w:tcPr>
            <w:tcW w:w="718" w:type="pct"/>
            <w:vAlign w:val="center"/>
          </w:tcPr>
          <w:p w:rsidR="00EE56C0" w:rsidRDefault="000F36A1">
            <w:pPr>
              <w:pStyle w:val="afa"/>
            </w:pPr>
            <w:r>
              <w:rPr>
                <w:rFonts w:hint="eastAsia"/>
              </w:rPr>
              <w:t>/</w:t>
            </w:r>
          </w:p>
        </w:tc>
        <w:tc>
          <w:tcPr>
            <w:tcW w:w="671" w:type="pct"/>
            <w:vAlign w:val="center"/>
          </w:tcPr>
          <w:p w:rsidR="00EE56C0" w:rsidRDefault="000F36A1">
            <w:pPr>
              <w:pStyle w:val="afa"/>
            </w:pPr>
            <w:r>
              <w:rPr>
                <w:rFonts w:hint="eastAsia"/>
              </w:rPr>
              <w:t>/</w:t>
            </w:r>
          </w:p>
        </w:tc>
        <w:tc>
          <w:tcPr>
            <w:tcW w:w="665" w:type="pct"/>
            <w:vAlign w:val="center"/>
          </w:tcPr>
          <w:p w:rsidR="00EE56C0" w:rsidRDefault="000F36A1">
            <w:pPr>
              <w:pStyle w:val="afa"/>
            </w:pPr>
            <w:r>
              <w:rPr>
                <w:rFonts w:hint="eastAsia"/>
              </w:rPr>
              <w:t>/</w:t>
            </w:r>
          </w:p>
        </w:tc>
        <w:tc>
          <w:tcPr>
            <w:tcW w:w="665" w:type="pct"/>
            <w:vAlign w:val="center"/>
          </w:tcPr>
          <w:p w:rsidR="00EE56C0" w:rsidRDefault="000F36A1">
            <w:pPr>
              <w:pStyle w:val="afa"/>
            </w:pPr>
            <w:r>
              <w:rPr>
                <w:rFonts w:hint="eastAsia"/>
              </w:rPr>
              <w:t>/</w:t>
            </w:r>
          </w:p>
        </w:tc>
        <w:tc>
          <w:tcPr>
            <w:tcW w:w="681" w:type="pct"/>
            <w:vAlign w:val="center"/>
          </w:tcPr>
          <w:p w:rsidR="00EE56C0" w:rsidRDefault="000F36A1">
            <w:pPr>
              <w:pStyle w:val="afa"/>
            </w:pPr>
            <w:r>
              <w:rPr>
                <w:rFonts w:hint="eastAsia"/>
              </w:rPr>
              <w:t>/</w:t>
            </w:r>
          </w:p>
        </w:tc>
      </w:tr>
    </w:tbl>
    <w:p w:rsidR="00EE56C0" w:rsidRDefault="000F36A1">
      <w:pPr>
        <w:pStyle w:val="afd"/>
        <w:spacing w:before="120" w:after="120"/>
        <w:ind w:firstLine="482"/>
        <w:rPr>
          <w:szCs w:val="21"/>
        </w:rPr>
      </w:pPr>
      <w:r>
        <w:t>表</w:t>
      </w:r>
      <w:r>
        <w:rPr>
          <w:rFonts w:hint="eastAsia"/>
        </w:rPr>
        <w:t xml:space="preserve">4-19           </w:t>
      </w:r>
      <w:r>
        <w:t>地下水现状结果统计</w:t>
      </w:r>
      <w:r>
        <w:rPr>
          <w:rFonts w:hint="eastAsia"/>
        </w:rPr>
        <w:t>表</w:t>
      </w:r>
      <w:r>
        <w:rPr>
          <w:rFonts w:hint="eastAsia"/>
        </w:rPr>
        <w:t xml:space="preserve">4          </w:t>
      </w:r>
      <w:r>
        <w:rPr>
          <w:szCs w:val="21"/>
        </w:rPr>
        <w:t>单位：</w:t>
      </w:r>
      <w:r>
        <w:rPr>
          <w:szCs w:val="21"/>
        </w:rPr>
        <w:t>mg/L</w:t>
      </w:r>
    </w:p>
    <w:tbl>
      <w:tblPr>
        <w:tblW w:w="5000" w:type="pct"/>
        <w:jc w:val="center"/>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Look w:val="04A0"/>
      </w:tblPr>
      <w:tblGrid>
        <w:gridCol w:w="1401"/>
        <w:gridCol w:w="1226"/>
        <w:gridCol w:w="1231"/>
        <w:gridCol w:w="1211"/>
        <w:gridCol w:w="1134"/>
        <w:gridCol w:w="1276"/>
        <w:gridCol w:w="1049"/>
      </w:tblGrid>
      <w:tr w:rsidR="00EE56C0">
        <w:trPr>
          <w:trHeight w:val="425"/>
          <w:tblHeader/>
          <w:jc w:val="center"/>
        </w:trPr>
        <w:tc>
          <w:tcPr>
            <w:tcW w:w="821" w:type="pct"/>
            <w:vMerge w:val="restart"/>
            <w:vAlign w:val="center"/>
          </w:tcPr>
          <w:p w:rsidR="00EE56C0" w:rsidRDefault="000F36A1">
            <w:pPr>
              <w:pStyle w:val="aff1"/>
              <w:rPr>
                <w:color w:val="auto"/>
              </w:rPr>
            </w:pPr>
            <w:r>
              <w:rPr>
                <w:rFonts w:hint="eastAsia"/>
                <w:color w:val="auto"/>
              </w:rPr>
              <w:t>监测点</w:t>
            </w:r>
          </w:p>
        </w:tc>
        <w:tc>
          <w:tcPr>
            <w:tcW w:w="719" w:type="pct"/>
            <w:vMerge w:val="restart"/>
            <w:vAlign w:val="center"/>
          </w:tcPr>
          <w:p w:rsidR="00EE56C0" w:rsidRDefault="000F36A1">
            <w:pPr>
              <w:pStyle w:val="aff1"/>
              <w:rPr>
                <w:color w:val="auto"/>
              </w:rPr>
            </w:pPr>
            <w:r>
              <w:rPr>
                <w:rFonts w:hint="eastAsia"/>
                <w:color w:val="auto"/>
              </w:rPr>
              <w:t>类别</w:t>
            </w:r>
          </w:p>
        </w:tc>
        <w:tc>
          <w:tcPr>
            <w:tcW w:w="3460" w:type="pct"/>
            <w:gridSpan w:val="5"/>
            <w:vAlign w:val="center"/>
          </w:tcPr>
          <w:p w:rsidR="00EE56C0" w:rsidRDefault="000F36A1">
            <w:pPr>
              <w:pStyle w:val="aff1"/>
              <w:rPr>
                <w:color w:val="auto"/>
              </w:rPr>
            </w:pPr>
            <w:r>
              <w:rPr>
                <w:rFonts w:hint="eastAsia"/>
                <w:color w:val="auto"/>
              </w:rPr>
              <w:t>监测因子</w:t>
            </w:r>
          </w:p>
        </w:tc>
      </w:tr>
      <w:tr w:rsidR="00EE56C0">
        <w:trPr>
          <w:trHeight w:val="425"/>
          <w:tblHeader/>
          <w:jc w:val="center"/>
        </w:trPr>
        <w:tc>
          <w:tcPr>
            <w:tcW w:w="821" w:type="pct"/>
            <w:vMerge/>
            <w:vAlign w:val="center"/>
          </w:tcPr>
          <w:p w:rsidR="00EE56C0" w:rsidRDefault="00EE56C0">
            <w:pPr>
              <w:pStyle w:val="aff1"/>
              <w:rPr>
                <w:color w:val="auto"/>
              </w:rPr>
            </w:pPr>
          </w:p>
        </w:tc>
        <w:tc>
          <w:tcPr>
            <w:tcW w:w="719" w:type="pct"/>
            <w:vMerge/>
            <w:vAlign w:val="center"/>
          </w:tcPr>
          <w:p w:rsidR="00EE56C0" w:rsidRDefault="00EE56C0">
            <w:pPr>
              <w:pStyle w:val="aff1"/>
              <w:rPr>
                <w:color w:val="auto"/>
              </w:rPr>
            </w:pPr>
          </w:p>
        </w:tc>
        <w:tc>
          <w:tcPr>
            <w:tcW w:w="722" w:type="pct"/>
            <w:vAlign w:val="center"/>
          </w:tcPr>
          <w:p w:rsidR="00EE56C0" w:rsidRDefault="000F36A1">
            <w:pPr>
              <w:pStyle w:val="aff1"/>
              <w:rPr>
                <w:color w:val="auto"/>
              </w:rPr>
            </w:pPr>
            <w:r>
              <w:rPr>
                <w:rFonts w:hint="eastAsia"/>
                <w:color w:val="auto"/>
              </w:rPr>
              <w:t>亚硝酸盐</w:t>
            </w:r>
          </w:p>
        </w:tc>
        <w:tc>
          <w:tcPr>
            <w:tcW w:w="710" w:type="pct"/>
            <w:tcMar>
              <w:left w:w="0" w:type="dxa"/>
              <w:right w:w="0" w:type="dxa"/>
            </w:tcMar>
            <w:vAlign w:val="center"/>
          </w:tcPr>
          <w:p w:rsidR="00EE56C0" w:rsidRDefault="000F36A1">
            <w:pPr>
              <w:pStyle w:val="aff1"/>
              <w:rPr>
                <w:color w:val="auto"/>
              </w:rPr>
            </w:pPr>
            <w:r>
              <w:rPr>
                <w:rFonts w:hint="eastAsia"/>
                <w:color w:val="auto"/>
              </w:rPr>
              <w:t>挥发性酚类</w:t>
            </w:r>
          </w:p>
        </w:tc>
        <w:tc>
          <w:tcPr>
            <w:tcW w:w="665" w:type="pct"/>
            <w:vAlign w:val="center"/>
          </w:tcPr>
          <w:p w:rsidR="00EE56C0" w:rsidRDefault="000F36A1">
            <w:pPr>
              <w:pStyle w:val="aff1"/>
              <w:rPr>
                <w:color w:val="auto"/>
              </w:rPr>
            </w:pPr>
            <w:r>
              <w:rPr>
                <w:rFonts w:hint="eastAsia"/>
                <w:color w:val="auto"/>
              </w:rPr>
              <w:t>铁</w:t>
            </w:r>
          </w:p>
        </w:tc>
        <w:tc>
          <w:tcPr>
            <w:tcW w:w="748" w:type="pct"/>
            <w:vAlign w:val="center"/>
          </w:tcPr>
          <w:p w:rsidR="00EE56C0" w:rsidRDefault="000F36A1">
            <w:pPr>
              <w:pStyle w:val="aff1"/>
              <w:rPr>
                <w:color w:val="auto"/>
              </w:rPr>
            </w:pPr>
            <w:r>
              <w:rPr>
                <w:rFonts w:hint="eastAsia"/>
                <w:color w:val="auto"/>
              </w:rPr>
              <w:t>锌</w:t>
            </w:r>
          </w:p>
        </w:tc>
        <w:tc>
          <w:tcPr>
            <w:tcW w:w="615" w:type="pct"/>
            <w:vAlign w:val="center"/>
          </w:tcPr>
          <w:p w:rsidR="00EE56C0" w:rsidRDefault="000F36A1">
            <w:pPr>
              <w:pStyle w:val="aff1"/>
              <w:rPr>
                <w:color w:val="auto"/>
              </w:rPr>
            </w:pPr>
            <w:r>
              <w:rPr>
                <w:rFonts w:hint="eastAsia"/>
                <w:color w:val="auto"/>
              </w:rPr>
              <w:t>铬</w:t>
            </w:r>
            <w:r>
              <w:rPr>
                <w:color w:val="auto"/>
              </w:rPr>
              <w:t>(</w:t>
            </w:r>
            <w:r>
              <w:rPr>
                <w:rFonts w:hint="eastAsia"/>
                <w:color w:val="auto"/>
              </w:rPr>
              <w:t>六价</w:t>
            </w:r>
            <w:r>
              <w:rPr>
                <w:color w:val="auto"/>
              </w:rPr>
              <w:t>)</w:t>
            </w:r>
          </w:p>
        </w:tc>
      </w:tr>
      <w:tr w:rsidR="00EE56C0">
        <w:trPr>
          <w:trHeight w:val="425"/>
          <w:jc w:val="center"/>
        </w:trPr>
        <w:tc>
          <w:tcPr>
            <w:tcW w:w="821" w:type="pct"/>
            <w:vMerge w:val="restart"/>
            <w:vAlign w:val="center"/>
          </w:tcPr>
          <w:p w:rsidR="00EE56C0" w:rsidRDefault="000F36A1">
            <w:pPr>
              <w:pStyle w:val="afa"/>
              <w:rPr>
                <w:highlight w:val="yellow"/>
              </w:rPr>
            </w:pPr>
            <w:r>
              <w:rPr>
                <w:rFonts w:hint="eastAsia"/>
              </w:rPr>
              <w:t>康庄村</w:t>
            </w:r>
          </w:p>
        </w:tc>
        <w:tc>
          <w:tcPr>
            <w:tcW w:w="719" w:type="pct"/>
            <w:vAlign w:val="center"/>
          </w:tcPr>
          <w:p w:rsidR="00EE56C0" w:rsidRDefault="000F36A1">
            <w:pPr>
              <w:pStyle w:val="afa"/>
            </w:pPr>
            <w:r>
              <w:rPr>
                <w:rFonts w:hint="eastAsia"/>
              </w:rPr>
              <w:t>浓度范围</w:t>
            </w:r>
          </w:p>
        </w:tc>
        <w:tc>
          <w:tcPr>
            <w:tcW w:w="722" w:type="pct"/>
            <w:vAlign w:val="center"/>
          </w:tcPr>
          <w:p w:rsidR="00EE56C0" w:rsidRDefault="000F36A1">
            <w:pPr>
              <w:pStyle w:val="afa"/>
            </w:pPr>
            <w:r>
              <w:rPr>
                <w:rFonts w:hint="eastAsia"/>
              </w:rPr>
              <w:t>未检出</w:t>
            </w:r>
          </w:p>
        </w:tc>
        <w:tc>
          <w:tcPr>
            <w:tcW w:w="710" w:type="pct"/>
            <w:vAlign w:val="center"/>
          </w:tcPr>
          <w:p w:rsidR="00EE56C0" w:rsidRDefault="000F36A1">
            <w:pPr>
              <w:pStyle w:val="afa"/>
            </w:pPr>
            <w:r>
              <w:rPr>
                <w:rFonts w:hint="eastAsia"/>
              </w:rPr>
              <w:t>0.39-0.50</w:t>
            </w:r>
          </w:p>
        </w:tc>
        <w:tc>
          <w:tcPr>
            <w:tcW w:w="665" w:type="pct"/>
            <w:vAlign w:val="center"/>
          </w:tcPr>
          <w:p w:rsidR="00EE56C0" w:rsidRDefault="000F36A1">
            <w:pPr>
              <w:pStyle w:val="afa"/>
            </w:pPr>
            <w:r>
              <w:rPr>
                <w:rFonts w:hint="eastAsia"/>
              </w:rPr>
              <w:t>未检出</w:t>
            </w:r>
          </w:p>
        </w:tc>
        <w:tc>
          <w:tcPr>
            <w:tcW w:w="748" w:type="pct"/>
            <w:vAlign w:val="center"/>
          </w:tcPr>
          <w:p w:rsidR="00EE56C0" w:rsidRDefault="000F36A1">
            <w:pPr>
              <w:pStyle w:val="afa"/>
            </w:pPr>
            <w:r>
              <w:rPr>
                <w:rFonts w:hint="eastAsia"/>
              </w:rPr>
              <w:t>未检出</w:t>
            </w:r>
          </w:p>
        </w:tc>
        <w:tc>
          <w:tcPr>
            <w:tcW w:w="615" w:type="pct"/>
            <w:vAlign w:val="center"/>
          </w:tcPr>
          <w:p w:rsidR="00EE56C0" w:rsidRDefault="000F36A1">
            <w:pPr>
              <w:pStyle w:val="afa"/>
            </w:pPr>
            <w:r>
              <w:rPr>
                <w:rFonts w:hint="eastAsia"/>
              </w:rPr>
              <w:t>未检出</w:t>
            </w:r>
          </w:p>
        </w:tc>
      </w:tr>
      <w:tr w:rsidR="00EE56C0">
        <w:trPr>
          <w:trHeight w:val="425"/>
          <w:jc w:val="center"/>
        </w:trPr>
        <w:tc>
          <w:tcPr>
            <w:tcW w:w="821" w:type="pct"/>
            <w:vMerge/>
            <w:vAlign w:val="center"/>
          </w:tcPr>
          <w:p w:rsidR="00EE56C0" w:rsidRDefault="00EE56C0">
            <w:pPr>
              <w:pStyle w:val="afa"/>
            </w:pPr>
          </w:p>
        </w:tc>
        <w:tc>
          <w:tcPr>
            <w:tcW w:w="719" w:type="pct"/>
            <w:vAlign w:val="center"/>
          </w:tcPr>
          <w:p w:rsidR="00EE56C0" w:rsidRDefault="000F36A1">
            <w:pPr>
              <w:pStyle w:val="afa"/>
            </w:pPr>
            <w:r>
              <w:rPr>
                <w:rFonts w:hint="eastAsia"/>
              </w:rPr>
              <w:t>标准限值</w:t>
            </w:r>
          </w:p>
        </w:tc>
        <w:tc>
          <w:tcPr>
            <w:tcW w:w="722" w:type="pct"/>
            <w:vAlign w:val="center"/>
          </w:tcPr>
          <w:p w:rsidR="00EE56C0" w:rsidRDefault="000F36A1">
            <w:pPr>
              <w:pStyle w:val="afa"/>
            </w:pPr>
            <w:r>
              <w:rPr>
                <w:rFonts w:hint="eastAsia"/>
              </w:rPr>
              <w:t>1.00</w:t>
            </w:r>
          </w:p>
        </w:tc>
        <w:tc>
          <w:tcPr>
            <w:tcW w:w="710" w:type="pct"/>
            <w:vAlign w:val="center"/>
          </w:tcPr>
          <w:p w:rsidR="00EE56C0" w:rsidRDefault="000F36A1">
            <w:pPr>
              <w:pStyle w:val="afa"/>
            </w:pPr>
            <w:r>
              <w:rPr>
                <w:rFonts w:hint="eastAsia"/>
              </w:rPr>
              <w:t>20</w:t>
            </w:r>
          </w:p>
        </w:tc>
        <w:tc>
          <w:tcPr>
            <w:tcW w:w="665" w:type="pct"/>
            <w:vAlign w:val="center"/>
          </w:tcPr>
          <w:p w:rsidR="00EE56C0" w:rsidRDefault="000F36A1">
            <w:pPr>
              <w:pStyle w:val="afa"/>
            </w:pPr>
            <w:r>
              <w:rPr>
                <w:rFonts w:hint="eastAsia"/>
              </w:rPr>
              <w:t>0.002</w:t>
            </w:r>
          </w:p>
        </w:tc>
        <w:tc>
          <w:tcPr>
            <w:tcW w:w="748" w:type="pct"/>
            <w:vAlign w:val="center"/>
          </w:tcPr>
          <w:p w:rsidR="00EE56C0" w:rsidRDefault="000F36A1">
            <w:pPr>
              <w:pStyle w:val="afa"/>
            </w:pPr>
            <w:r>
              <w:rPr>
                <w:rFonts w:hint="eastAsia"/>
              </w:rPr>
              <w:t>0.001</w:t>
            </w:r>
          </w:p>
        </w:tc>
        <w:tc>
          <w:tcPr>
            <w:tcW w:w="615" w:type="pct"/>
            <w:vAlign w:val="center"/>
          </w:tcPr>
          <w:p w:rsidR="00EE56C0" w:rsidRDefault="000F36A1">
            <w:pPr>
              <w:pStyle w:val="afa"/>
            </w:pPr>
            <w:r>
              <w:rPr>
                <w:rFonts w:hint="eastAsia"/>
              </w:rPr>
              <w:t>0.05</w:t>
            </w:r>
          </w:p>
        </w:tc>
      </w:tr>
      <w:tr w:rsidR="00EE56C0">
        <w:trPr>
          <w:trHeight w:val="425"/>
          <w:jc w:val="center"/>
        </w:trPr>
        <w:tc>
          <w:tcPr>
            <w:tcW w:w="821" w:type="pct"/>
            <w:vMerge/>
            <w:vAlign w:val="center"/>
          </w:tcPr>
          <w:p w:rsidR="00EE56C0" w:rsidRDefault="00EE56C0">
            <w:pPr>
              <w:pStyle w:val="afa"/>
            </w:pPr>
          </w:p>
        </w:tc>
        <w:tc>
          <w:tcPr>
            <w:tcW w:w="719" w:type="pct"/>
            <w:vAlign w:val="center"/>
          </w:tcPr>
          <w:p w:rsidR="00EE56C0" w:rsidRDefault="000F36A1">
            <w:pPr>
              <w:pStyle w:val="afa"/>
            </w:pPr>
            <w:r>
              <w:rPr>
                <w:rFonts w:hint="eastAsia"/>
              </w:rPr>
              <w:t>达标情况</w:t>
            </w:r>
          </w:p>
        </w:tc>
        <w:tc>
          <w:tcPr>
            <w:tcW w:w="722" w:type="pct"/>
            <w:vAlign w:val="center"/>
          </w:tcPr>
          <w:p w:rsidR="00EE56C0" w:rsidRDefault="000F36A1">
            <w:pPr>
              <w:pStyle w:val="afa"/>
            </w:pPr>
            <w:r>
              <w:rPr>
                <w:rFonts w:hint="eastAsia"/>
              </w:rPr>
              <w:t>达标</w:t>
            </w:r>
          </w:p>
        </w:tc>
        <w:tc>
          <w:tcPr>
            <w:tcW w:w="710" w:type="pct"/>
            <w:vAlign w:val="center"/>
          </w:tcPr>
          <w:p w:rsidR="00EE56C0" w:rsidRDefault="000F36A1">
            <w:pPr>
              <w:pStyle w:val="afa"/>
            </w:pPr>
            <w:r>
              <w:rPr>
                <w:rFonts w:hint="eastAsia"/>
              </w:rPr>
              <w:t>达标</w:t>
            </w:r>
          </w:p>
        </w:tc>
        <w:tc>
          <w:tcPr>
            <w:tcW w:w="665" w:type="pct"/>
            <w:vAlign w:val="center"/>
          </w:tcPr>
          <w:p w:rsidR="00EE56C0" w:rsidRDefault="000F36A1">
            <w:pPr>
              <w:pStyle w:val="afa"/>
            </w:pPr>
            <w:r>
              <w:rPr>
                <w:rFonts w:hint="eastAsia"/>
              </w:rPr>
              <w:t>/</w:t>
            </w:r>
          </w:p>
        </w:tc>
        <w:tc>
          <w:tcPr>
            <w:tcW w:w="748" w:type="pct"/>
            <w:vAlign w:val="center"/>
          </w:tcPr>
          <w:p w:rsidR="00EE56C0" w:rsidRDefault="000F36A1">
            <w:pPr>
              <w:pStyle w:val="afa"/>
            </w:pPr>
            <w:r>
              <w:rPr>
                <w:rFonts w:hint="eastAsia"/>
              </w:rPr>
              <w:t>达标</w:t>
            </w:r>
          </w:p>
        </w:tc>
        <w:tc>
          <w:tcPr>
            <w:tcW w:w="615" w:type="pct"/>
            <w:vAlign w:val="center"/>
          </w:tcPr>
          <w:p w:rsidR="00EE56C0" w:rsidRDefault="000F36A1">
            <w:pPr>
              <w:pStyle w:val="afa"/>
            </w:pPr>
            <w:r>
              <w:rPr>
                <w:rFonts w:hint="eastAsia"/>
              </w:rPr>
              <w:t>达标</w:t>
            </w:r>
          </w:p>
        </w:tc>
      </w:tr>
      <w:tr w:rsidR="00EE56C0">
        <w:trPr>
          <w:trHeight w:val="425"/>
          <w:jc w:val="center"/>
        </w:trPr>
        <w:tc>
          <w:tcPr>
            <w:tcW w:w="821" w:type="pct"/>
            <w:vMerge w:val="restart"/>
            <w:vAlign w:val="center"/>
          </w:tcPr>
          <w:p w:rsidR="00EE56C0" w:rsidRDefault="000F36A1">
            <w:pPr>
              <w:pStyle w:val="afa"/>
              <w:rPr>
                <w:iCs/>
                <w:highlight w:val="yellow"/>
              </w:rPr>
            </w:pPr>
            <w:r>
              <w:rPr>
                <w:rFonts w:hint="eastAsia"/>
              </w:rPr>
              <w:t>厂址（自备井）</w:t>
            </w:r>
          </w:p>
        </w:tc>
        <w:tc>
          <w:tcPr>
            <w:tcW w:w="719" w:type="pct"/>
            <w:vAlign w:val="center"/>
          </w:tcPr>
          <w:p w:rsidR="00EE56C0" w:rsidRDefault="000F36A1">
            <w:pPr>
              <w:pStyle w:val="afa"/>
            </w:pPr>
            <w:r>
              <w:rPr>
                <w:rFonts w:hint="eastAsia"/>
              </w:rPr>
              <w:t>浓度范围</w:t>
            </w:r>
          </w:p>
        </w:tc>
        <w:tc>
          <w:tcPr>
            <w:tcW w:w="722" w:type="pct"/>
            <w:vAlign w:val="center"/>
          </w:tcPr>
          <w:p w:rsidR="00EE56C0" w:rsidRDefault="000F36A1">
            <w:pPr>
              <w:pStyle w:val="afa"/>
            </w:pPr>
            <w:r>
              <w:rPr>
                <w:rFonts w:hint="eastAsia"/>
              </w:rPr>
              <w:t>未检出</w:t>
            </w:r>
          </w:p>
        </w:tc>
        <w:tc>
          <w:tcPr>
            <w:tcW w:w="710" w:type="pct"/>
            <w:vAlign w:val="center"/>
          </w:tcPr>
          <w:p w:rsidR="00EE56C0" w:rsidRDefault="000F36A1">
            <w:pPr>
              <w:pStyle w:val="afa"/>
            </w:pPr>
            <w:r>
              <w:rPr>
                <w:rFonts w:hint="eastAsia"/>
              </w:rPr>
              <w:t>0.37-0.45</w:t>
            </w:r>
          </w:p>
        </w:tc>
        <w:tc>
          <w:tcPr>
            <w:tcW w:w="665" w:type="pct"/>
            <w:vAlign w:val="center"/>
          </w:tcPr>
          <w:p w:rsidR="00EE56C0" w:rsidRDefault="000F36A1">
            <w:pPr>
              <w:pStyle w:val="afa"/>
            </w:pPr>
            <w:r>
              <w:rPr>
                <w:rFonts w:hint="eastAsia"/>
              </w:rPr>
              <w:t>未检出</w:t>
            </w:r>
          </w:p>
        </w:tc>
        <w:tc>
          <w:tcPr>
            <w:tcW w:w="748" w:type="pct"/>
            <w:vAlign w:val="center"/>
          </w:tcPr>
          <w:p w:rsidR="00EE56C0" w:rsidRDefault="000F36A1">
            <w:pPr>
              <w:pStyle w:val="afa"/>
            </w:pPr>
            <w:r>
              <w:rPr>
                <w:rFonts w:hint="eastAsia"/>
              </w:rPr>
              <w:t>未检出</w:t>
            </w:r>
          </w:p>
        </w:tc>
        <w:tc>
          <w:tcPr>
            <w:tcW w:w="615" w:type="pct"/>
            <w:vAlign w:val="center"/>
          </w:tcPr>
          <w:p w:rsidR="00EE56C0" w:rsidRDefault="000F36A1">
            <w:pPr>
              <w:pStyle w:val="afa"/>
            </w:pPr>
            <w:r>
              <w:rPr>
                <w:rFonts w:hint="eastAsia"/>
              </w:rPr>
              <w:t>未检出</w:t>
            </w:r>
          </w:p>
        </w:tc>
      </w:tr>
      <w:tr w:rsidR="00EE56C0">
        <w:trPr>
          <w:trHeight w:val="425"/>
          <w:jc w:val="center"/>
        </w:trPr>
        <w:tc>
          <w:tcPr>
            <w:tcW w:w="821" w:type="pct"/>
            <w:vMerge/>
            <w:vAlign w:val="center"/>
          </w:tcPr>
          <w:p w:rsidR="00EE56C0" w:rsidRDefault="00EE56C0">
            <w:pPr>
              <w:pStyle w:val="afa"/>
            </w:pPr>
          </w:p>
        </w:tc>
        <w:tc>
          <w:tcPr>
            <w:tcW w:w="719" w:type="pct"/>
            <w:vAlign w:val="center"/>
          </w:tcPr>
          <w:p w:rsidR="00EE56C0" w:rsidRDefault="000F36A1">
            <w:pPr>
              <w:pStyle w:val="afa"/>
            </w:pPr>
            <w:r>
              <w:rPr>
                <w:rFonts w:hint="eastAsia"/>
              </w:rPr>
              <w:t>标准限值</w:t>
            </w:r>
          </w:p>
        </w:tc>
        <w:tc>
          <w:tcPr>
            <w:tcW w:w="722" w:type="pct"/>
            <w:vAlign w:val="center"/>
          </w:tcPr>
          <w:p w:rsidR="00EE56C0" w:rsidRDefault="000F36A1">
            <w:pPr>
              <w:pStyle w:val="afa"/>
            </w:pPr>
            <w:r>
              <w:rPr>
                <w:rFonts w:hint="eastAsia"/>
              </w:rPr>
              <w:t>1.00</w:t>
            </w:r>
          </w:p>
        </w:tc>
        <w:tc>
          <w:tcPr>
            <w:tcW w:w="710" w:type="pct"/>
            <w:vAlign w:val="center"/>
          </w:tcPr>
          <w:p w:rsidR="00EE56C0" w:rsidRDefault="000F36A1">
            <w:pPr>
              <w:pStyle w:val="afa"/>
            </w:pPr>
            <w:r>
              <w:rPr>
                <w:rFonts w:hint="eastAsia"/>
              </w:rPr>
              <w:t>20</w:t>
            </w:r>
          </w:p>
        </w:tc>
        <w:tc>
          <w:tcPr>
            <w:tcW w:w="665" w:type="pct"/>
            <w:vAlign w:val="center"/>
          </w:tcPr>
          <w:p w:rsidR="00EE56C0" w:rsidRDefault="000F36A1">
            <w:pPr>
              <w:pStyle w:val="afa"/>
            </w:pPr>
            <w:r>
              <w:rPr>
                <w:rFonts w:hint="eastAsia"/>
              </w:rPr>
              <w:t>0.002</w:t>
            </w:r>
          </w:p>
        </w:tc>
        <w:tc>
          <w:tcPr>
            <w:tcW w:w="748" w:type="pct"/>
            <w:vAlign w:val="center"/>
          </w:tcPr>
          <w:p w:rsidR="00EE56C0" w:rsidRDefault="000F36A1">
            <w:pPr>
              <w:pStyle w:val="afa"/>
            </w:pPr>
            <w:r>
              <w:rPr>
                <w:rFonts w:hint="eastAsia"/>
              </w:rPr>
              <w:t>0.001</w:t>
            </w:r>
          </w:p>
        </w:tc>
        <w:tc>
          <w:tcPr>
            <w:tcW w:w="615" w:type="pct"/>
            <w:vAlign w:val="center"/>
          </w:tcPr>
          <w:p w:rsidR="00EE56C0" w:rsidRDefault="000F36A1">
            <w:pPr>
              <w:pStyle w:val="afa"/>
            </w:pPr>
            <w:r>
              <w:rPr>
                <w:rFonts w:hint="eastAsia"/>
              </w:rPr>
              <w:t>0.05</w:t>
            </w:r>
          </w:p>
        </w:tc>
      </w:tr>
      <w:tr w:rsidR="00EE56C0">
        <w:trPr>
          <w:trHeight w:val="425"/>
          <w:jc w:val="center"/>
        </w:trPr>
        <w:tc>
          <w:tcPr>
            <w:tcW w:w="821" w:type="pct"/>
            <w:vMerge/>
            <w:vAlign w:val="center"/>
          </w:tcPr>
          <w:p w:rsidR="00EE56C0" w:rsidRDefault="00EE56C0">
            <w:pPr>
              <w:pStyle w:val="afa"/>
            </w:pPr>
          </w:p>
        </w:tc>
        <w:tc>
          <w:tcPr>
            <w:tcW w:w="719" w:type="pct"/>
            <w:vAlign w:val="center"/>
          </w:tcPr>
          <w:p w:rsidR="00EE56C0" w:rsidRDefault="000F36A1">
            <w:pPr>
              <w:pStyle w:val="afa"/>
            </w:pPr>
            <w:r>
              <w:rPr>
                <w:rFonts w:hint="eastAsia"/>
              </w:rPr>
              <w:t>达标情况</w:t>
            </w:r>
          </w:p>
        </w:tc>
        <w:tc>
          <w:tcPr>
            <w:tcW w:w="722" w:type="pct"/>
            <w:vAlign w:val="center"/>
          </w:tcPr>
          <w:p w:rsidR="00EE56C0" w:rsidRDefault="000F36A1">
            <w:pPr>
              <w:pStyle w:val="afa"/>
            </w:pPr>
            <w:r>
              <w:rPr>
                <w:rFonts w:hint="eastAsia"/>
              </w:rPr>
              <w:t>达标</w:t>
            </w:r>
          </w:p>
        </w:tc>
        <w:tc>
          <w:tcPr>
            <w:tcW w:w="710" w:type="pct"/>
            <w:vAlign w:val="center"/>
          </w:tcPr>
          <w:p w:rsidR="00EE56C0" w:rsidRDefault="000F36A1">
            <w:pPr>
              <w:pStyle w:val="afa"/>
            </w:pPr>
            <w:r>
              <w:rPr>
                <w:rFonts w:hint="eastAsia"/>
              </w:rPr>
              <w:t>达标</w:t>
            </w:r>
          </w:p>
        </w:tc>
        <w:tc>
          <w:tcPr>
            <w:tcW w:w="665" w:type="pct"/>
            <w:vAlign w:val="center"/>
          </w:tcPr>
          <w:p w:rsidR="00EE56C0" w:rsidRDefault="000F36A1">
            <w:pPr>
              <w:pStyle w:val="afa"/>
            </w:pPr>
            <w:r>
              <w:rPr>
                <w:rFonts w:hint="eastAsia"/>
              </w:rPr>
              <w:t>/</w:t>
            </w:r>
          </w:p>
        </w:tc>
        <w:tc>
          <w:tcPr>
            <w:tcW w:w="748" w:type="pct"/>
            <w:vAlign w:val="center"/>
          </w:tcPr>
          <w:p w:rsidR="00EE56C0" w:rsidRDefault="000F36A1">
            <w:pPr>
              <w:pStyle w:val="afa"/>
            </w:pPr>
            <w:r>
              <w:rPr>
                <w:rFonts w:hint="eastAsia"/>
              </w:rPr>
              <w:t>达标</w:t>
            </w:r>
          </w:p>
        </w:tc>
        <w:tc>
          <w:tcPr>
            <w:tcW w:w="615" w:type="pct"/>
            <w:vAlign w:val="center"/>
          </w:tcPr>
          <w:p w:rsidR="00EE56C0" w:rsidRDefault="000F36A1">
            <w:pPr>
              <w:pStyle w:val="afa"/>
            </w:pPr>
            <w:r>
              <w:rPr>
                <w:rFonts w:hint="eastAsia"/>
              </w:rPr>
              <w:t>达标</w:t>
            </w:r>
          </w:p>
        </w:tc>
      </w:tr>
      <w:tr w:rsidR="00EE56C0">
        <w:trPr>
          <w:trHeight w:val="425"/>
          <w:jc w:val="center"/>
        </w:trPr>
        <w:tc>
          <w:tcPr>
            <w:tcW w:w="821" w:type="pct"/>
            <w:vMerge w:val="restart"/>
            <w:vAlign w:val="center"/>
          </w:tcPr>
          <w:p w:rsidR="00EE56C0" w:rsidRDefault="000F36A1">
            <w:pPr>
              <w:pStyle w:val="afa"/>
              <w:rPr>
                <w:iCs/>
                <w:highlight w:val="yellow"/>
              </w:rPr>
            </w:pPr>
            <w:r>
              <w:rPr>
                <w:rFonts w:hint="eastAsia"/>
              </w:rPr>
              <w:t>七里营镇</w:t>
            </w:r>
          </w:p>
        </w:tc>
        <w:tc>
          <w:tcPr>
            <w:tcW w:w="719" w:type="pct"/>
            <w:vAlign w:val="center"/>
          </w:tcPr>
          <w:p w:rsidR="00EE56C0" w:rsidRDefault="000F36A1">
            <w:pPr>
              <w:pStyle w:val="afa"/>
            </w:pPr>
            <w:r>
              <w:rPr>
                <w:rFonts w:hint="eastAsia"/>
              </w:rPr>
              <w:t>浓度范围</w:t>
            </w:r>
          </w:p>
        </w:tc>
        <w:tc>
          <w:tcPr>
            <w:tcW w:w="722" w:type="pct"/>
            <w:vAlign w:val="center"/>
          </w:tcPr>
          <w:p w:rsidR="00EE56C0" w:rsidRDefault="000F36A1">
            <w:pPr>
              <w:pStyle w:val="afa"/>
            </w:pPr>
            <w:r>
              <w:rPr>
                <w:rFonts w:hint="eastAsia"/>
              </w:rPr>
              <w:t>未检出</w:t>
            </w:r>
          </w:p>
        </w:tc>
        <w:tc>
          <w:tcPr>
            <w:tcW w:w="710" w:type="pct"/>
            <w:vAlign w:val="center"/>
          </w:tcPr>
          <w:p w:rsidR="00EE56C0" w:rsidRDefault="000F36A1">
            <w:pPr>
              <w:pStyle w:val="afa"/>
            </w:pPr>
            <w:r>
              <w:rPr>
                <w:rFonts w:hint="eastAsia"/>
              </w:rPr>
              <w:t>0.38-0.43</w:t>
            </w:r>
          </w:p>
        </w:tc>
        <w:tc>
          <w:tcPr>
            <w:tcW w:w="665" w:type="pct"/>
            <w:vAlign w:val="center"/>
          </w:tcPr>
          <w:p w:rsidR="00EE56C0" w:rsidRDefault="000F36A1">
            <w:pPr>
              <w:pStyle w:val="afa"/>
            </w:pPr>
            <w:r>
              <w:rPr>
                <w:rFonts w:hint="eastAsia"/>
              </w:rPr>
              <w:t>未检出</w:t>
            </w:r>
          </w:p>
        </w:tc>
        <w:tc>
          <w:tcPr>
            <w:tcW w:w="748" w:type="pct"/>
            <w:vAlign w:val="center"/>
          </w:tcPr>
          <w:p w:rsidR="00EE56C0" w:rsidRDefault="000F36A1">
            <w:pPr>
              <w:pStyle w:val="afa"/>
            </w:pPr>
            <w:r>
              <w:rPr>
                <w:rFonts w:hint="eastAsia"/>
              </w:rPr>
              <w:t>未检出</w:t>
            </w:r>
          </w:p>
        </w:tc>
        <w:tc>
          <w:tcPr>
            <w:tcW w:w="615" w:type="pct"/>
            <w:vAlign w:val="center"/>
          </w:tcPr>
          <w:p w:rsidR="00EE56C0" w:rsidRDefault="000F36A1">
            <w:pPr>
              <w:pStyle w:val="afa"/>
            </w:pPr>
            <w:r>
              <w:rPr>
                <w:rFonts w:hint="eastAsia"/>
              </w:rPr>
              <w:t>未检出</w:t>
            </w:r>
          </w:p>
        </w:tc>
      </w:tr>
      <w:tr w:rsidR="00EE56C0">
        <w:trPr>
          <w:trHeight w:val="425"/>
          <w:jc w:val="center"/>
        </w:trPr>
        <w:tc>
          <w:tcPr>
            <w:tcW w:w="821" w:type="pct"/>
            <w:vMerge/>
            <w:vAlign w:val="center"/>
          </w:tcPr>
          <w:p w:rsidR="00EE56C0" w:rsidRDefault="00EE56C0">
            <w:pPr>
              <w:pStyle w:val="afa"/>
            </w:pPr>
          </w:p>
        </w:tc>
        <w:tc>
          <w:tcPr>
            <w:tcW w:w="719" w:type="pct"/>
            <w:vAlign w:val="center"/>
          </w:tcPr>
          <w:p w:rsidR="00EE56C0" w:rsidRDefault="000F36A1">
            <w:pPr>
              <w:pStyle w:val="afa"/>
            </w:pPr>
            <w:r>
              <w:rPr>
                <w:rFonts w:hint="eastAsia"/>
              </w:rPr>
              <w:t>标准限值</w:t>
            </w:r>
          </w:p>
        </w:tc>
        <w:tc>
          <w:tcPr>
            <w:tcW w:w="722" w:type="pct"/>
            <w:vAlign w:val="center"/>
          </w:tcPr>
          <w:p w:rsidR="00EE56C0" w:rsidRDefault="000F36A1">
            <w:pPr>
              <w:pStyle w:val="afa"/>
            </w:pPr>
            <w:r>
              <w:rPr>
                <w:rFonts w:hint="eastAsia"/>
              </w:rPr>
              <w:t>1.00</w:t>
            </w:r>
          </w:p>
        </w:tc>
        <w:tc>
          <w:tcPr>
            <w:tcW w:w="710" w:type="pct"/>
            <w:vAlign w:val="center"/>
          </w:tcPr>
          <w:p w:rsidR="00EE56C0" w:rsidRDefault="000F36A1">
            <w:pPr>
              <w:pStyle w:val="afa"/>
            </w:pPr>
            <w:r>
              <w:rPr>
                <w:rFonts w:hint="eastAsia"/>
              </w:rPr>
              <w:t>20</w:t>
            </w:r>
          </w:p>
        </w:tc>
        <w:tc>
          <w:tcPr>
            <w:tcW w:w="665" w:type="pct"/>
            <w:vAlign w:val="center"/>
          </w:tcPr>
          <w:p w:rsidR="00EE56C0" w:rsidRDefault="000F36A1">
            <w:pPr>
              <w:pStyle w:val="afa"/>
            </w:pPr>
            <w:r>
              <w:rPr>
                <w:rFonts w:hint="eastAsia"/>
              </w:rPr>
              <w:t>0.002</w:t>
            </w:r>
          </w:p>
        </w:tc>
        <w:tc>
          <w:tcPr>
            <w:tcW w:w="748" w:type="pct"/>
            <w:vAlign w:val="center"/>
          </w:tcPr>
          <w:p w:rsidR="00EE56C0" w:rsidRDefault="000F36A1">
            <w:pPr>
              <w:pStyle w:val="afa"/>
            </w:pPr>
            <w:r>
              <w:rPr>
                <w:rFonts w:hint="eastAsia"/>
              </w:rPr>
              <w:t>0.001</w:t>
            </w:r>
          </w:p>
        </w:tc>
        <w:tc>
          <w:tcPr>
            <w:tcW w:w="615" w:type="pct"/>
            <w:vAlign w:val="center"/>
          </w:tcPr>
          <w:p w:rsidR="00EE56C0" w:rsidRDefault="000F36A1">
            <w:pPr>
              <w:pStyle w:val="afa"/>
            </w:pPr>
            <w:r>
              <w:rPr>
                <w:rFonts w:hint="eastAsia"/>
              </w:rPr>
              <w:t>0.05</w:t>
            </w:r>
          </w:p>
        </w:tc>
      </w:tr>
      <w:tr w:rsidR="00EE56C0">
        <w:trPr>
          <w:trHeight w:val="425"/>
          <w:jc w:val="center"/>
        </w:trPr>
        <w:tc>
          <w:tcPr>
            <w:tcW w:w="821" w:type="pct"/>
            <w:vMerge/>
            <w:vAlign w:val="center"/>
          </w:tcPr>
          <w:p w:rsidR="00EE56C0" w:rsidRDefault="00EE56C0">
            <w:pPr>
              <w:pStyle w:val="afa"/>
            </w:pPr>
          </w:p>
        </w:tc>
        <w:tc>
          <w:tcPr>
            <w:tcW w:w="719" w:type="pct"/>
            <w:vAlign w:val="center"/>
          </w:tcPr>
          <w:p w:rsidR="00EE56C0" w:rsidRDefault="000F36A1">
            <w:pPr>
              <w:pStyle w:val="afa"/>
            </w:pPr>
            <w:r>
              <w:rPr>
                <w:rFonts w:hint="eastAsia"/>
              </w:rPr>
              <w:t>达标情况</w:t>
            </w:r>
          </w:p>
        </w:tc>
        <w:tc>
          <w:tcPr>
            <w:tcW w:w="722" w:type="pct"/>
            <w:vAlign w:val="center"/>
          </w:tcPr>
          <w:p w:rsidR="00EE56C0" w:rsidRDefault="000F36A1">
            <w:pPr>
              <w:pStyle w:val="afa"/>
            </w:pPr>
            <w:r>
              <w:rPr>
                <w:rFonts w:hint="eastAsia"/>
              </w:rPr>
              <w:t>达标</w:t>
            </w:r>
          </w:p>
        </w:tc>
        <w:tc>
          <w:tcPr>
            <w:tcW w:w="710" w:type="pct"/>
            <w:vAlign w:val="center"/>
          </w:tcPr>
          <w:p w:rsidR="00EE56C0" w:rsidRDefault="000F36A1">
            <w:pPr>
              <w:pStyle w:val="afa"/>
            </w:pPr>
            <w:r>
              <w:rPr>
                <w:rFonts w:hint="eastAsia"/>
              </w:rPr>
              <w:t>达标</w:t>
            </w:r>
          </w:p>
        </w:tc>
        <w:tc>
          <w:tcPr>
            <w:tcW w:w="665" w:type="pct"/>
            <w:vAlign w:val="center"/>
          </w:tcPr>
          <w:p w:rsidR="00EE56C0" w:rsidRDefault="000F36A1">
            <w:pPr>
              <w:pStyle w:val="afa"/>
            </w:pPr>
            <w:r>
              <w:rPr>
                <w:rFonts w:hint="eastAsia"/>
              </w:rPr>
              <w:t>/</w:t>
            </w:r>
          </w:p>
        </w:tc>
        <w:tc>
          <w:tcPr>
            <w:tcW w:w="748" w:type="pct"/>
            <w:vAlign w:val="center"/>
          </w:tcPr>
          <w:p w:rsidR="00EE56C0" w:rsidRDefault="000F36A1">
            <w:pPr>
              <w:pStyle w:val="afa"/>
            </w:pPr>
            <w:r>
              <w:rPr>
                <w:rFonts w:hint="eastAsia"/>
              </w:rPr>
              <w:t>达标</w:t>
            </w:r>
          </w:p>
        </w:tc>
        <w:tc>
          <w:tcPr>
            <w:tcW w:w="615" w:type="pct"/>
            <w:vAlign w:val="center"/>
          </w:tcPr>
          <w:p w:rsidR="00EE56C0" w:rsidRDefault="000F36A1">
            <w:pPr>
              <w:pStyle w:val="afa"/>
            </w:pPr>
            <w:r>
              <w:rPr>
                <w:rFonts w:hint="eastAsia"/>
              </w:rPr>
              <w:t>达标</w:t>
            </w:r>
          </w:p>
        </w:tc>
      </w:tr>
    </w:tbl>
    <w:p w:rsidR="00EE56C0" w:rsidRDefault="00EE56C0">
      <w:pPr>
        <w:pStyle w:val="afd"/>
        <w:spacing w:before="120" w:after="120"/>
        <w:ind w:firstLine="482"/>
      </w:pPr>
    </w:p>
    <w:p w:rsidR="00EE56C0" w:rsidRDefault="00EE56C0">
      <w:pPr>
        <w:pStyle w:val="afd"/>
        <w:spacing w:before="120" w:after="120"/>
        <w:ind w:firstLine="482"/>
      </w:pPr>
    </w:p>
    <w:p w:rsidR="00EE56C0" w:rsidRDefault="000F36A1">
      <w:pPr>
        <w:pStyle w:val="afd"/>
        <w:spacing w:before="120" w:after="120"/>
        <w:ind w:firstLine="482"/>
        <w:rPr>
          <w:szCs w:val="21"/>
        </w:rPr>
      </w:pPr>
      <w:r>
        <w:lastRenderedPageBreak/>
        <w:t>表</w:t>
      </w:r>
      <w:r>
        <w:rPr>
          <w:rFonts w:hint="eastAsia"/>
        </w:rPr>
        <w:t xml:space="preserve">4-20            </w:t>
      </w:r>
      <w:r>
        <w:t>地下水现状结果统计</w:t>
      </w:r>
      <w:r>
        <w:rPr>
          <w:rFonts w:hint="eastAsia"/>
        </w:rPr>
        <w:t>表</w:t>
      </w:r>
      <w:r>
        <w:rPr>
          <w:rFonts w:hint="eastAsia"/>
        </w:rPr>
        <w:t xml:space="preserve">5      </w:t>
      </w:r>
      <w:r>
        <w:rPr>
          <w:szCs w:val="21"/>
        </w:rPr>
        <w:t>单位：</w:t>
      </w:r>
      <w:r>
        <w:rPr>
          <w:szCs w:val="21"/>
        </w:rPr>
        <w:t>mg/L</w:t>
      </w:r>
    </w:p>
    <w:tbl>
      <w:tblPr>
        <w:tblW w:w="5000" w:type="pct"/>
        <w:jc w:val="center"/>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ook w:val="04A0"/>
      </w:tblPr>
      <w:tblGrid>
        <w:gridCol w:w="1384"/>
        <w:gridCol w:w="1277"/>
        <w:gridCol w:w="991"/>
        <w:gridCol w:w="993"/>
        <w:gridCol w:w="924"/>
        <w:gridCol w:w="919"/>
        <w:gridCol w:w="1093"/>
        <w:gridCol w:w="947"/>
      </w:tblGrid>
      <w:tr w:rsidR="00EE56C0">
        <w:trPr>
          <w:trHeight w:val="425"/>
          <w:tblHeader/>
          <w:jc w:val="center"/>
        </w:trPr>
        <w:tc>
          <w:tcPr>
            <w:tcW w:w="811" w:type="pct"/>
            <w:vMerge w:val="restart"/>
            <w:vAlign w:val="center"/>
          </w:tcPr>
          <w:p w:rsidR="00EE56C0" w:rsidRDefault="000F36A1">
            <w:pPr>
              <w:pStyle w:val="aff1"/>
              <w:rPr>
                <w:color w:val="auto"/>
              </w:rPr>
            </w:pPr>
            <w:r>
              <w:rPr>
                <w:rFonts w:hint="eastAsia"/>
                <w:color w:val="auto"/>
              </w:rPr>
              <w:t>监测点</w:t>
            </w:r>
          </w:p>
        </w:tc>
        <w:tc>
          <w:tcPr>
            <w:tcW w:w="749" w:type="pct"/>
            <w:vMerge w:val="restart"/>
            <w:vAlign w:val="center"/>
          </w:tcPr>
          <w:p w:rsidR="00EE56C0" w:rsidRDefault="000F36A1">
            <w:pPr>
              <w:pStyle w:val="aff1"/>
              <w:rPr>
                <w:color w:val="auto"/>
              </w:rPr>
            </w:pPr>
            <w:r>
              <w:rPr>
                <w:rFonts w:hint="eastAsia"/>
                <w:color w:val="auto"/>
              </w:rPr>
              <w:t>类别</w:t>
            </w:r>
          </w:p>
        </w:tc>
        <w:tc>
          <w:tcPr>
            <w:tcW w:w="3440" w:type="pct"/>
            <w:gridSpan w:val="6"/>
            <w:vAlign w:val="center"/>
          </w:tcPr>
          <w:p w:rsidR="00EE56C0" w:rsidRDefault="000F36A1">
            <w:pPr>
              <w:pStyle w:val="aff1"/>
              <w:rPr>
                <w:color w:val="auto"/>
              </w:rPr>
            </w:pPr>
            <w:r>
              <w:rPr>
                <w:rFonts w:hint="eastAsia"/>
                <w:color w:val="auto"/>
              </w:rPr>
              <w:t>监测因子</w:t>
            </w:r>
          </w:p>
        </w:tc>
      </w:tr>
      <w:tr w:rsidR="00EE56C0">
        <w:trPr>
          <w:trHeight w:val="425"/>
          <w:tblHeader/>
          <w:jc w:val="center"/>
        </w:trPr>
        <w:tc>
          <w:tcPr>
            <w:tcW w:w="811" w:type="pct"/>
            <w:vMerge/>
            <w:vAlign w:val="center"/>
          </w:tcPr>
          <w:p w:rsidR="00EE56C0" w:rsidRDefault="00EE56C0">
            <w:pPr>
              <w:pStyle w:val="aff1"/>
              <w:rPr>
                <w:color w:val="auto"/>
              </w:rPr>
            </w:pPr>
          </w:p>
        </w:tc>
        <w:tc>
          <w:tcPr>
            <w:tcW w:w="749" w:type="pct"/>
            <w:vMerge/>
            <w:vAlign w:val="center"/>
          </w:tcPr>
          <w:p w:rsidR="00EE56C0" w:rsidRDefault="00EE56C0">
            <w:pPr>
              <w:pStyle w:val="aff1"/>
              <w:rPr>
                <w:color w:val="auto"/>
              </w:rPr>
            </w:pPr>
          </w:p>
        </w:tc>
        <w:tc>
          <w:tcPr>
            <w:tcW w:w="581" w:type="pct"/>
            <w:tcBorders>
              <w:right w:val="single" w:sz="4" w:space="0" w:color="000000"/>
            </w:tcBorders>
            <w:vAlign w:val="center"/>
          </w:tcPr>
          <w:p w:rsidR="00EE56C0" w:rsidRDefault="000F36A1">
            <w:pPr>
              <w:pStyle w:val="aff1"/>
              <w:rPr>
                <w:color w:val="auto"/>
              </w:rPr>
            </w:pPr>
            <w:r>
              <w:rPr>
                <w:rFonts w:hint="eastAsia"/>
                <w:color w:val="auto"/>
              </w:rPr>
              <w:t>镉</w:t>
            </w:r>
          </w:p>
        </w:tc>
        <w:tc>
          <w:tcPr>
            <w:tcW w:w="582" w:type="pct"/>
            <w:tcBorders>
              <w:left w:val="single" w:sz="4" w:space="0" w:color="000000"/>
            </w:tcBorders>
            <w:vAlign w:val="center"/>
          </w:tcPr>
          <w:p w:rsidR="00EE56C0" w:rsidRDefault="000F36A1">
            <w:pPr>
              <w:pStyle w:val="aff1"/>
              <w:rPr>
                <w:color w:val="auto"/>
              </w:rPr>
            </w:pPr>
            <w:r>
              <w:rPr>
                <w:rFonts w:hint="eastAsia"/>
                <w:color w:val="auto"/>
              </w:rPr>
              <w:t>砷</w:t>
            </w:r>
          </w:p>
        </w:tc>
        <w:tc>
          <w:tcPr>
            <w:tcW w:w="542" w:type="pct"/>
            <w:tcBorders>
              <w:right w:val="single" w:sz="4" w:space="0" w:color="000000"/>
            </w:tcBorders>
            <w:tcMar>
              <w:left w:w="0" w:type="dxa"/>
              <w:right w:w="0" w:type="dxa"/>
            </w:tcMar>
            <w:vAlign w:val="center"/>
          </w:tcPr>
          <w:p w:rsidR="00EE56C0" w:rsidRDefault="000F36A1">
            <w:pPr>
              <w:pStyle w:val="aff1"/>
              <w:rPr>
                <w:color w:val="auto"/>
              </w:rPr>
            </w:pPr>
            <w:r>
              <w:rPr>
                <w:rFonts w:hint="eastAsia"/>
                <w:color w:val="auto"/>
              </w:rPr>
              <w:t>铅</w:t>
            </w:r>
          </w:p>
        </w:tc>
        <w:tc>
          <w:tcPr>
            <w:tcW w:w="539" w:type="pct"/>
            <w:tcBorders>
              <w:left w:val="single" w:sz="4" w:space="0" w:color="000000"/>
            </w:tcBorders>
            <w:vAlign w:val="center"/>
          </w:tcPr>
          <w:p w:rsidR="00EE56C0" w:rsidRDefault="000F36A1">
            <w:pPr>
              <w:pStyle w:val="aff1"/>
              <w:rPr>
                <w:color w:val="auto"/>
              </w:rPr>
            </w:pPr>
            <w:r>
              <w:rPr>
                <w:rFonts w:hint="eastAsia"/>
                <w:color w:val="auto"/>
              </w:rPr>
              <w:t>铁</w:t>
            </w:r>
          </w:p>
        </w:tc>
        <w:tc>
          <w:tcPr>
            <w:tcW w:w="641" w:type="pct"/>
            <w:tcBorders>
              <w:right w:val="single" w:sz="4" w:space="0" w:color="000000"/>
            </w:tcBorders>
            <w:vAlign w:val="center"/>
          </w:tcPr>
          <w:p w:rsidR="00EE56C0" w:rsidRDefault="000F36A1">
            <w:pPr>
              <w:pStyle w:val="aff1"/>
              <w:rPr>
                <w:color w:val="auto"/>
              </w:rPr>
            </w:pPr>
            <w:r>
              <w:rPr>
                <w:rFonts w:hint="eastAsia"/>
                <w:color w:val="auto"/>
              </w:rPr>
              <w:t>锰</w:t>
            </w:r>
          </w:p>
        </w:tc>
        <w:tc>
          <w:tcPr>
            <w:tcW w:w="555" w:type="pct"/>
            <w:tcBorders>
              <w:left w:val="single" w:sz="4" w:space="0" w:color="000000"/>
            </w:tcBorders>
            <w:vAlign w:val="center"/>
          </w:tcPr>
          <w:p w:rsidR="00EE56C0" w:rsidRDefault="000F36A1">
            <w:pPr>
              <w:pStyle w:val="aff1"/>
              <w:rPr>
                <w:color w:val="auto"/>
              </w:rPr>
            </w:pPr>
            <w:r>
              <w:rPr>
                <w:rFonts w:hint="eastAsia"/>
                <w:color w:val="auto"/>
              </w:rPr>
              <w:t>耗氧量</w:t>
            </w:r>
          </w:p>
        </w:tc>
      </w:tr>
      <w:tr w:rsidR="00EE56C0">
        <w:trPr>
          <w:trHeight w:val="425"/>
          <w:jc w:val="center"/>
        </w:trPr>
        <w:tc>
          <w:tcPr>
            <w:tcW w:w="811" w:type="pct"/>
            <w:vMerge w:val="restart"/>
            <w:vAlign w:val="center"/>
          </w:tcPr>
          <w:p w:rsidR="00EE56C0" w:rsidRDefault="000F36A1">
            <w:pPr>
              <w:pStyle w:val="afa"/>
              <w:rPr>
                <w:highlight w:val="yellow"/>
              </w:rPr>
            </w:pPr>
            <w:r>
              <w:rPr>
                <w:rFonts w:hint="eastAsia"/>
              </w:rPr>
              <w:t>厂址</w:t>
            </w:r>
          </w:p>
        </w:tc>
        <w:tc>
          <w:tcPr>
            <w:tcW w:w="749" w:type="pct"/>
            <w:vAlign w:val="center"/>
          </w:tcPr>
          <w:p w:rsidR="00EE56C0" w:rsidRDefault="000F36A1">
            <w:pPr>
              <w:pStyle w:val="afa"/>
            </w:pPr>
            <w:r>
              <w:rPr>
                <w:rFonts w:hint="eastAsia"/>
              </w:rPr>
              <w:t>浓度范围</w:t>
            </w:r>
          </w:p>
        </w:tc>
        <w:tc>
          <w:tcPr>
            <w:tcW w:w="581" w:type="pct"/>
            <w:tcBorders>
              <w:right w:val="single" w:sz="4" w:space="0" w:color="000000"/>
            </w:tcBorders>
            <w:vAlign w:val="center"/>
          </w:tcPr>
          <w:p w:rsidR="00EE56C0" w:rsidRDefault="000F36A1">
            <w:pPr>
              <w:pStyle w:val="afa"/>
            </w:pPr>
            <w:r>
              <w:rPr>
                <w:rFonts w:hint="eastAsia"/>
              </w:rPr>
              <w:t>未检出</w:t>
            </w:r>
          </w:p>
        </w:tc>
        <w:tc>
          <w:tcPr>
            <w:tcW w:w="582" w:type="pct"/>
            <w:tcBorders>
              <w:left w:val="single" w:sz="4" w:space="0" w:color="000000"/>
            </w:tcBorders>
            <w:vAlign w:val="center"/>
          </w:tcPr>
          <w:p w:rsidR="00EE56C0" w:rsidRDefault="000F36A1">
            <w:pPr>
              <w:pStyle w:val="afa"/>
            </w:pPr>
            <w:r>
              <w:rPr>
                <w:rFonts w:hint="eastAsia"/>
              </w:rPr>
              <w:t>未检出</w:t>
            </w:r>
          </w:p>
        </w:tc>
        <w:tc>
          <w:tcPr>
            <w:tcW w:w="542" w:type="pct"/>
            <w:tcBorders>
              <w:right w:val="single" w:sz="4" w:space="0" w:color="000000"/>
            </w:tcBorders>
            <w:vAlign w:val="center"/>
          </w:tcPr>
          <w:p w:rsidR="00EE56C0" w:rsidRDefault="000F36A1">
            <w:pPr>
              <w:pStyle w:val="afa"/>
            </w:pPr>
            <w:r>
              <w:rPr>
                <w:rFonts w:hint="eastAsia"/>
              </w:rPr>
              <w:t>未检出</w:t>
            </w:r>
          </w:p>
        </w:tc>
        <w:tc>
          <w:tcPr>
            <w:tcW w:w="539" w:type="pct"/>
            <w:tcBorders>
              <w:left w:val="single" w:sz="4" w:space="0" w:color="000000"/>
            </w:tcBorders>
            <w:vAlign w:val="center"/>
          </w:tcPr>
          <w:p w:rsidR="00EE56C0" w:rsidRDefault="000F36A1">
            <w:pPr>
              <w:pStyle w:val="afa"/>
            </w:pPr>
            <w:r>
              <w:rPr>
                <w:rFonts w:hint="eastAsia"/>
              </w:rPr>
              <w:t>未检出</w:t>
            </w:r>
          </w:p>
        </w:tc>
        <w:tc>
          <w:tcPr>
            <w:tcW w:w="641" w:type="pct"/>
            <w:tcBorders>
              <w:right w:val="single" w:sz="4" w:space="0" w:color="000000"/>
            </w:tcBorders>
            <w:vAlign w:val="center"/>
          </w:tcPr>
          <w:p w:rsidR="00EE56C0" w:rsidRDefault="000F36A1">
            <w:pPr>
              <w:pStyle w:val="afa"/>
            </w:pPr>
            <w:r>
              <w:rPr>
                <w:rFonts w:hint="eastAsia"/>
              </w:rPr>
              <w:t>未检出</w:t>
            </w:r>
          </w:p>
        </w:tc>
        <w:tc>
          <w:tcPr>
            <w:tcW w:w="555" w:type="pct"/>
            <w:tcBorders>
              <w:left w:val="single" w:sz="4" w:space="0" w:color="000000"/>
            </w:tcBorders>
            <w:vAlign w:val="center"/>
          </w:tcPr>
          <w:p w:rsidR="00EE56C0" w:rsidRDefault="000F36A1">
            <w:pPr>
              <w:pStyle w:val="afa"/>
            </w:pPr>
            <w:r>
              <w:rPr>
                <w:rFonts w:hint="eastAsia"/>
              </w:rPr>
              <w:t>1.1-1.5</w:t>
            </w:r>
          </w:p>
        </w:tc>
      </w:tr>
      <w:tr w:rsidR="00EE56C0">
        <w:trPr>
          <w:trHeight w:val="425"/>
          <w:jc w:val="center"/>
        </w:trPr>
        <w:tc>
          <w:tcPr>
            <w:tcW w:w="811" w:type="pct"/>
            <w:vMerge/>
            <w:vAlign w:val="center"/>
          </w:tcPr>
          <w:p w:rsidR="00EE56C0" w:rsidRDefault="00EE56C0">
            <w:pPr>
              <w:pStyle w:val="afa"/>
            </w:pPr>
          </w:p>
        </w:tc>
        <w:tc>
          <w:tcPr>
            <w:tcW w:w="749" w:type="pct"/>
            <w:vAlign w:val="center"/>
          </w:tcPr>
          <w:p w:rsidR="00EE56C0" w:rsidRDefault="000F36A1">
            <w:pPr>
              <w:pStyle w:val="afa"/>
            </w:pPr>
            <w:r>
              <w:rPr>
                <w:rFonts w:hint="eastAsia"/>
              </w:rPr>
              <w:t>标准限值</w:t>
            </w:r>
          </w:p>
        </w:tc>
        <w:tc>
          <w:tcPr>
            <w:tcW w:w="581" w:type="pct"/>
            <w:tcBorders>
              <w:right w:val="single" w:sz="4" w:space="0" w:color="000000"/>
            </w:tcBorders>
            <w:vAlign w:val="center"/>
          </w:tcPr>
          <w:p w:rsidR="00EE56C0" w:rsidRDefault="000F36A1">
            <w:pPr>
              <w:pStyle w:val="afa"/>
            </w:pPr>
            <w:r>
              <w:rPr>
                <w:rFonts w:hint="eastAsia"/>
              </w:rPr>
              <w:t>0.005</w:t>
            </w:r>
          </w:p>
        </w:tc>
        <w:tc>
          <w:tcPr>
            <w:tcW w:w="582" w:type="pct"/>
            <w:tcBorders>
              <w:left w:val="single" w:sz="4" w:space="0" w:color="000000"/>
            </w:tcBorders>
            <w:vAlign w:val="center"/>
          </w:tcPr>
          <w:p w:rsidR="00EE56C0" w:rsidRDefault="000F36A1">
            <w:pPr>
              <w:pStyle w:val="afa"/>
            </w:pPr>
            <w:r>
              <w:rPr>
                <w:rFonts w:hint="eastAsia"/>
              </w:rPr>
              <w:t>0.01</w:t>
            </w:r>
          </w:p>
        </w:tc>
        <w:tc>
          <w:tcPr>
            <w:tcW w:w="542" w:type="pct"/>
            <w:tcBorders>
              <w:right w:val="single" w:sz="4" w:space="0" w:color="000000"/>
            </w:tcBorders>
            <w:vAlign w:val="center"/>
          </w:tcPr>
          <w:p w:rsidR="00EE56C0" w:rsidRDefault="000F36A1">
            <w:pPr>
              <w:pStyle w:val="afa"/>
            </w:pPr>
            <w:r>
              <w:rPr>
                <w:rFonts w:hint="eastAsia"/>
              </w:rPr>
              <w:t>0.01</w:t>
            </w:r>
          </w:p>
        </w:tc>
        <w:tc>
          <w:tcPr>
            <w:tcW w:w="539" w:type="pct"/>
            <w:tcBorders>
              <w:left w:val="single" w:sz="4" w:space="0" w:color="000000"/>
            </w:tcBorders>
            <w:vAlign w:val="center"/>
          </w:tcPr>
          <w:p w:rsidR="00EE56C0" w:rsidRDefault="000F36A1">
            <w:pPr>
              <w:pStyle w:val="afa"/>
            </w:pPr>
            <w:r>
              <w:rPr>
                <w:rFonts w:hint="eastAsia"/>
              </w:rPr>
              <w:t>0.3</w:t>
            </w:r>
          </w:p>
        </w:tc>
        <w:tc>
          <w:tcPr>
            <w:tcW w:w="641" w:type="pct"/>
            <w:tcBorders>
              <w:right w:val="single" w:sz="4" w:space="0" w:color="000000"/>
            </w:tcBorders>
            <w:vAlign w:val="center"/>
          </w:tcPr>
          <w:p w:rsidR="00EE56C0" w:rsidRDefault="000F36A1">
            <w:pPr>
              <w:pStyle w:val="afa"/>
            </w:pPr>
            <w:r>
              <w:rPr>
                <w:rFonts w:hint="eastAsia"/>
              </w:rPr>
              <w:t>0.1</w:t>
            </w:r>
          </w:p>
        </w:tc>
        <w:tc>
          <w:tcPr>
            <w:tcW w:w="555" w:type="pct"/>
            <w:tcBorders>
              <w:left w:val="single" w:sz="4" w:space="0" w:color="000000"/>
            </w:tcBorders>
            <w:vAlign w:val="center"/>
          </w:tcPr>
          <w:p w:rsidR="00EE56C0" w:rsidRDefault="000F36A1">
            <w:pPr>
              <w:pStyle w:val="afa"/>
            </w:pPr>
            <w:r>
              <w:rPr>
                <w:rFonts w:hint="eastAsia"/>
              </w:rPr>
              <w:t>1000</w:t>
            </w:r>
          </w:p>
        </w:tc>
      </w:tr>
      <w:tr w:rsidR="00EE56C0">
        <w:trPr>
          <w:trHeight w:val="425"/>
          <w:jc w:val="center"/>
        </w:trPr>
        <w:tc>
          <w:tcPr>
            <w:tcW w:w="811" w:type="pct"/>
            <w:vMerge/>
            <w:vAlign w:val="center"/>
          </w:tcPr>
          <w:p w:rsidR="00EE56C0" w:rsidRDefault="00EE56C0">
            <w:pPr>
              <w:pStyle w:val="afa"/>
            </w:pPr>
          </w:p>
        </w:tc>
        <w:tc>
          <w:tcPr>
            <w:tcW w:w="749" w:type="pct"/>
            <w:vAlign w:val="center"/>
          </w:tcPr>
          <w:p w:rsidR="00EE56C0" w:rsidRDefault="000F36A1">
            <w:pPr>
              <w:pStyle w:val="afa"/>
            </w:pPr>
            <w:r>
              <w:rPr>
                <w:rFonts w:hint="eastAsia"/>
              </w:rPr>
              <w:t>达标情况</w:t>
            </w:r>
          </w:p>
        </w:tc>
        <w:tc>
          <w:tcPr>
            <w:tcW w:w="581" w:type="pct"/>
            <w:tcBorders>
              <w:right w:val="single" w:sz="4" w:space="0" w:color="000000"/>
            </w:tcBorders>
            <w:vAlign w:val="center"/>
          </w:tcPr>
          <w:p w:rsidR="00EE56C0" w:rsidRDefault="000F36A1">
            <w:pPr>
              <w:pStyle w:val="afa"/>
            </w:pPr>
            <w:r>
              <w:rPr>
                <w:rFonts w:hint="eastAsia"/>
              </w:rPr>
              <w:t>/</w:t>
            </w:r>
          </w:p>
        </w:tc>
        <w:tc>
          <w:tcPr>
            <w:tcW w:w="582" w:type="pct"/>
            <w:tcBorders>
              <w:left w:val="single" w:sz="4" w:space="0" w:color="000000"/>
            </w:tcBorders>
            <w:vAlign w:val="center"/>
          </w:tcPr>
          <w:p w:rsidR="00EE56C0" w:rsidRDefault="000F36A1">
            <w:pPr>
              <w:pStyle w:val="afa"/>
            </w:pPr>
            <w:r>
              <w:rPr>
                <w:rFonts w:hint="eastAsia"/>
              </w:rPr>
              <w:t>/</w:t>
            </w:r>
          </w:p>
        </w:tc>
        <w:tc>
          <w:tcPr>
            <w:tcW w:w="542" w:type="pct"/>
            <w:tcBorders>
              <w:right w:val="single" w:sz="4" w:space="0" w:color="000000"/>
            </w:tcBorders>
            <w:vAlign w:val="center"/>
          </w:tcPr>
          <w:p w:rsidR="00EE56C0" w:rsidRDefault="000F36A1">
            <w:pPr>
              <w:pStyle w:val="afa"/>
            </w:pPr>
            <w:r>
              <w:rPr>
                <w:rFonts w:hint="eastAsia"/>
              </w:rPr>
              <w:t>/</w:t>
            </w:r>
          </w:p>
        </w:tc>
        <w:tc>
          <w:tcPr>
            <w:tcW w:w="539" w:type="pct"/>
            <w:tcBorders>
              <w:left w:val="single" w:sz="4" w:space="0" w:color="000000"/>
            </w:tcBorders>
            <w:vAlign w:val="center"/>
          </w:tcPr>
          <w:p w:rsidR="00EE56C0" w:rsidRDefault="000F36A1">
            <w:pPr>
              <w:pStyle w:val="afa"/>
            </w:pPr>
            <w:r>
              <w:rPr>
                <w:rFonts w:hint="eastAsia"/>
              </w:rPr>
              <w:t>/</w:t>
            </w:r>
          </w:p>
        </w:tc>
        <w:tc>
          <w:tcPr>
            <w:tcW w:w="641" w:type="pct"/>
            <w:tcBorders>
              <w:right w:val="single" w:sz="4" w:space="0" w:color="000000"/>
            </w:tcBorders>
            <w:vAlign w:val="center"/>
          </w:tcPr>
          <w:p w:rsidR="00EE56C0" w:rsidRDefault="000F36A1">
            <w:pPr>
              <w:pStyle w:val="afa"/>
            </w:pPr>
            <w:r>
              <w:rPr>
                <w:rFonts w:hint="eastAsia"/>
              </w:rPr>
              <w:t>/</w:t>
            </w:r>
          </w:p>
        </w:tc>
        <w:tc>
          <w:tcPr>
            <w:tcW w:w="555" w:type="pct"/>
            <w:tcBorders>
              <w:left w:val="single" w:sz="4" w:space="0" w:color="000000"/>
            </w:tcBorders>
            <w:vAlign w:val="center"/>
          </w:tcPr>
          <w:p w:rsidR="00EE56C0" w:rsidRDefault="000F36A1">
            <w:pPr>
              <w:pStyle w:val="afa"/>
            </w:pPr>
            <w:r>
              <w:rPr>
                <w:rFonts w:hint="eastAsia"/>
              </w:rPr>
              <w:t>达标</w:t>
            </w:r>
          </w:p>
        </w:tc>
      </w:tr>
      <w:tr w:rsidR="00EE56C0">
        <w:trPr>
          <w:trHeight w:val="425"/>
          <w:jc w:val="center"/>
        </w:trPr>
        <w:tc>
          <w:tcPr>
            <w:tcW w:w="811" w:type="pct"/>
            <w:vMerge w:val="restart"/>
            <w:vAlign w:val="center"/>
          </w:tcPr>
          <w:p w:rsidR="00EE56C0" w:rsidRDefault="000F36A1">
            <w:pPr>
              <w:pStyle w:val="afa"/>
              <w:rPr>
                <w:iCs/>
                <w:highlight w:val="yellow"/>
              </w:rPr>
            </w:pPr>
            <w:r>
              <w:rPr>
                <w:rFonts w:hint="eastAsia"/>
              </w:rPr>
              <w:t>水花堡村</w:t>
            </w:r>
          </w:p>
        </w:tc>
        <w:tc>
          <w:tcPr>
            <w:tcW w:w="749" w:type="pct"/>
            <w:vAlign w:val="center"/>
          </w:tcPr>
          <w:p w:rsidR="00EE56C0" w:rsidRDefault="000F36A1">
            <w:pPr>
              <w:pStyle w:val="afa"/>
            </w:pPr>
            <w:r>
              <w:rPr>
                <w:rFonts w:hint="eastAsia"/>
              </w:rPr>
              <w:t>浓度范围</w:t>
            </w:r>
          </w:p>
        </w:tc>
        <w:tc>
          <w:tcPr>
            <w:tcW w:w="581" w:type="pct"/>
            <w:tcBorders>
              <w:right w:val="single" w:sz="4" w:space="0" w:color="000000"/>
            </w:tcBorders>
            <w:vAlign w:val="center"/>
          </w:tcPr>
          <w:p w:rsidR="00EE56C0" w:rsidRDefault="000F36A1">
            <w:pPr>
              <w:pStyle w:val="afa"/>
            </w:pPr>
            <w:r>
              <w:rPr>
                <w:rFonts w:hint="eastAsia"/>
              </w:rPr>
              <w:t>未检出</w:t>
            </w:r>
          </w:p>
        </w:tc>
        <w:tc>
          <w:tcPr>
            <w:tcW w:w="582" w:type="pct"/>
            <w:tcBorders>
              <w:left w:val="single" w:sz="4" w:space="0" w:color="000000"/>
            </w:tcBorders>
            <w:vAlign w:val="center"/>
          </w:tcPr>
          <w:p w:rsidR="00EE56C0" w:rsidRDefault="000F36A1">
            <w:pPr>
              <w:pStyle w:val="afa"/>
            </w:pPr>
            <w:r>
              <w:rPr>
                <w:rFonts w:hint="eastAsia"/>
              </w:rPr>
              <w:t>未检出</w:t>
            </w:r>
          </w:p>
        </w:tc>
        <w:tc>
          <w:tcPr>
            <w:tcW w:w="542" w:type="pct"/>
            <w:tcBorders>
              <w:right w:val="single" w:sz="4" w:space="0" w:color="000000"/>
            </w:tcBorders>
            <w:vAlign w:val="center"/>
          </w:tcPr>
          <w:p w:rsidR="00EE56C0" w:rsidRDefault="000F36A1">
            <w:pPr>
              <w:pStyle w:val="afa"/>
            </w:pPr>
            <w:r>
              <w:rPr>
                <w:rFonts w:hint="eastAsia"/>
              </w:rPr>
              <w:t>未检出</w:t>
            </w:r>
          </w:p>
        </w:tc>
        <w:tc>
          <w:tcPr>
            <w:tcW w:w="539" w:type="pct"/>
            <w:tcBorders>
              <w:left w:val="single" w:sz="4" w:space="0" w:color="000000"/>
            </w:tcBorders>
            <w:vAlign w:val="center"/>
          </w:tcPr>
          <w:p w:rsidR="00EE56C0" w:rsidRDefault="000F36A1">
            <w:pPr>
              <w:pStyle w:val="afa"/>
            </w:pPr>
            <w:r>
              <w:rPr>
                <w:rFonts w:hint="eastAsia"/>
              </w:rPr>
              <w:t>未检出</w:t>
            </w:r>
          </w:p>
        </w:tc>
        <w:tc>
          <w:tcPr>
            <w:tcW w:w="641" w:type="pct"/>
            <w:tcBorders>
              <w:right w:val="single" w:sz="4" w:space="0" w:color="000000"/>
            </w:tcBorders>
            <w:vAlign w:val="center"/>
          </w:tcPr>
          <w:p w:rsidR="00EE56C0" w:rsidRDefault="000F36A1">
            <w:pPr>
              <w:pStyle w:val="afa"/>
            </w:pPr>
            <w:r>
              <w:rPr>
                <w:rFonts w:hint="eastAsia"/>
              </w:rPr>
              <w:t>未检出</w:t>
            </w:r>
          </w:p>
        </w:tc>
        <w:tc>
          <w:tcPr>
            <w:tcW w:w="555" w:type="pct"/>
            <w:tcBorders>
              <w:left w:val="single" w:sz="4" w:space="0" w:color="000000"/>
            </w:tcBorders>
            <w:vAlign w:val="center"/>
          </w:tcPr>
          <w:p w:rsidR="00EE56C0" w:rsidRDefault="000F36A1">
            <w:pPr>
              <w:pStyle w:val="afa"/>
            </w:pPr>
            <w:r>
              <w:rPr>
                <w:rFonts w:hint="eastAsia"/>
              </w:rPr>
              <w:t>1.3-1.6</w:t>
            </w:r>
          </w:p>
        </w:tc>
      </w:tr>
      <w:tr w:rsidR="00EE56C0">
        <w:trPr>
          <w:trHeight w:val="425"/>
          <w:jc w:val="center"/>
        </w:trPr>
        <w:tc>
          <w:tcPr>
            <w:tcW w:w="811" w:type="pct"/>
            <w:vMerge/>
            <w:vAlign w:val="center"/>
          </w:tcPr>
          <w:p w:rsidR="00EE56C0" w:rsidRDefault="00EE56C0">
            <w:pPr>
              <w:pStyle w:val="afa"/>
            </w:pPr>
          </w:p>
        </w:tc>
        <w:tc>
          <w:tcPr>
            <w:tcW w:w="749" w:type="pct"/>
            <w:vAlign w:val="center"/>
          </w:tcPr>
          <w:p w:rsidR="00EE56C0" w:rsidRDefault="000F36A1">
            <w:pPr>
              <w:pStyle w:val="afa"/>
            </w:pPr>
            <w:r>
              <w:rPr>
                <w:rFonts w:hint="eastAsia"/>
              </w:rPr>
              <w:t>标准限值</w:t>
            </w:r>
          </w:p>
        </w:tc>
        <w:tc>
          <w:tcPr>
            <w:tcW w:w="581" w:type="pct"/>
            <w:tcBorders>
              <w:right w:val="single" w:sz="4" w:space="0" w:color="000000"/>
            </w:tcBorders>
            <w:vAlign w:val="center"/>
          </w:tcPr>
          <w:p w:rsidR="00EE56C0" w:rsidRDefault="000F36A1">
            <w:pPr>
              <w:pStyle w:val="afa"/>
            </w:pPr>
            <w:r>
              <w:rPr>
                <w:rFonts w:hint="eastAsia"/>
              </w:rPr>
              <w:t>0.005</w:t>
            </w:r>
          </w:p>
        </w:tc>
        <w:tc>
          <w:tcPr>
            <w:tcW w:w="582" w:type="pct"/>
            <w:tcBorders>
              <w:left w:val="single" w:sz="4" w:space="0" w:color="000000"/>
            </w:tcBorders>
            <w:vAlign w:val="center"/>
          </w:tcPr>
          <w:p w:rsidR="00EE56C0" w:rsidRDefault="000F36A1">
            <w:pPr>
              <w:pStyle w:val="afa"/>
            </w:pPr>
            <w:r>
              <w:rPr>
                <w:rFonts w:hint="eastAsia"/>
              </w:rPr>
              <w:t>0.01</w:t>
            </w:r>
          </w:p>
        </w:tc>
        <w:tc>
          <w:tcPr>
            <w:tcW w:w="542" w:type="pct"/>
            <w:tcBorders>
              <w:right w:val="single" w:sz="4" w:space="0" w:color="000000"/>
            </w:tcBorders>
            <w:vAlign w:val="center"/>
          </w:tcPr>
          <w:p w:rsidR="00EE56C0" w:rsidRDefault="000F36A1">
            <w:pPr>
              <w:pStyle w:val="afa"/>
            </w:pPr>
            <w:r>
              <w:rPr>
                <w:rFonts w:hint="eastAsia"/>
              </w:rPr>
              <w:t>0.01</w:t>
            </w:r>
          </w:p>
        </w:tc>
        <w:tc>
          <w:tcPr>
            <w:tcW w:w="539" w:type="pct"/>
            <w:tcBorders>
              <w:left w:val="single" w:sz="4" w:space="0" w:color="000000"/>
            </w:tcBorders>
            <w:vAlign w:val="center"/>
          </w:tcPr>
          <w:p w:rsidR="00EE56C0" w:rsidRDefault="000F36A1">
            <w:pPr>
              <w:pStyle w:val="afa"/>
            </w:pPr>
            <w:r>
              <w:rPr>
                <w:rFonts w:hint="eastAsia"/>
              </w:rPr>
              <w:t>0.3</w:t>
            </w:r>
          </w:p>
        </w:tc>
        <w:tc>
          <w:tcPr>
            <w:tcW w:w="641" w:type="pct"/>
            <w:tcBorders>
              <w:right w:val="single" w:sz="4" w:space="0" w:color="000000"/>
            </w:tcBorders>
            <w:vAlign w:val="center"/>
          </w:tcPr>
          <w:p w:rsidR="00EE56C0" w:rsidRDefault="000F36A1">
            <w:pPr>
              <w:pStyle w:val="afa"/>
            </w:pPr>
            <w:r>
              <w:rPr>
                <w:rFonts w:hint="eastAsia"/>
              </w:rPr>
              <w:t>0.1</w:t>
            </w:r>
          </w:p>
        </w:tc>
        <w:tc>
          <w:tcPr>
            <w:tcW w:w="555" w:type="pct"/>
            <w:tcBorders>
              <w:left w:val="single" w:sz="4" w:space="0" w:color="000000"/>
            </w:tcBorders>
            <w:vAlign w:val="center"/>
          </w:tcPr>
          <w:p w:rsidR="00EE56C0" w:rsidRDefault="000F36A1">
            <w:pPr>
              <w:pStyle w:val="afa"/>
            </w:pPr>
            <w:r>
              <w:rPr>
                <w:rFonts w:hint="eastAsia"/>
              </w:rPr>
              <w:t>1000</w:t>
            </w:r>
          </w:p>
        </w:tc>
      </w:tr>
      <w:tr w:rsidR="00EE56C0">
        <w:trPr>
          <w:trHeight w:val="425"/>
          <w:jc w:val="center"/>
        </w:trPr>
        <w:tc>
          <w:tcPr>
            <w:tcW w:w="811" w:type="pct"/>
            <w:vMerge/>
            <w:vAlign w:val="center"/>
          </w:tcPr>
          <w:p w:rsidR="00EE56C0" w:rsidRDefault="00EE56C0">
            <w:pPr>
              <w:pStyle w:val="afa"/>
            </w:pPr>
          </w:p>
        </w:tc>
        <w:tc>
          <w:tcPr>
            <w:tcW w:w="749" w:type="pct"/>
            <w:vAlign w:val="center"/>
          </w:tcPr>
          <w:p w:rsidR="00EE56C0" w:rsidRDefault="000F36A1">
            <w:pPr>
              <w:pStyle w:val="afa"/>
            </w:pPr>
            <w:r>
              <w:rPr>
                <w:rFonts w:hint="eastAsia"/>
              </w:rPr>
              <w:t>达标情况</w:t>
            </w:r>
          </w:p>
        </w:tc>
        <w:tc>
          <w:tcPr>
            <w:tcW w:w="581" w:type="pct"/>
            <w:tcBorders>
              <w:right w:val="single" w:sz="4" w:space="0" w:color="000000"/>
            </w:tcBorders>
            <w:vAlign w:val="center"/>
          </w:tcPr>
          <w:p w:rsidR="00EE56C0" w:rsidRDefault="000F36A1">
            <w:pPr>
              <w:pStyle w:val="afa"/>
            </w:pPr>
            <w:r>
              <w:rPr>
                <w:rFonts w:hint="eastAsia"/>
              </w:rPr>
              <w:t>/</w:t>
            </w:r>
          </w:p>
        </w:tc>
        <w:tc>
          <w:tcPr>
            <w:tcW w:w="582" w:type="pct"/>
            <w:tcBorders>
              <w:left w:val="single" w:sz="4" w:space="0" w:color="000000"/>
            </w:tcBorders>
            <w:vAlign w:val="center"/>
          </w:tcPr>
          <w:p w:rsidR="00EE56C0" w:rsidRDefault="000F36A1">
            <w:pPr>
              <w:pStyle w:val="afa"/>
            </w:pPr>
            <w:r>
              <w:rPr>
                <w:rFonts w:hint="eastAsia"/>
              </w:rPr>
              <w:t>/</w:t>
            </w:r>
          </w:p>
        </w:tc>
        <w:tc>
          <w:tcPr>
            <w:tcW w:w="542" w:type="pct"/>
            <w:tcBorders>
              <w:right w:val="single" w:sz="4" w:space="0" w:color="000000"/>
            </w:tcBorders>
            <w:vAlign w:val="center"/>
          </w:tcPr>
          <w:p w:rsidR="00EE56C0" w:rsidRDefault="000F36A1">
            <w:pPr>
              <w:pStyle w:val="afa"/>
            </w:pPr>
            <w:r>
              <w:rPr>
                <w:rFonts w:hint="eastAsia"/>
              </w:rPr>
              <w:t>/</w:t>
            </w:r>
          </w:p>
        </w:tc>
        <w:tc>
          <w:tcPr>
            <w:tcW w:w="539" w:type="pct"/>
            <w:tcBorders>
              <w:left w:val="single" w:sz="4" w:space="0" w:color="000000"/>
            </w:tcBorders>
            <w:vAlign w:val="center"/>
          </w:tcPr>
          <w:p w:rsidR="00EE56C0" w:rsidRDefault="000F36A1">
            <w:pPr>
              <w:pStyle w:val="afa"/>
            </w:pPr>
            <w:r>
              <w:rPr>
                <w:rFonts w:hint="eastAsia"/>
              </w:rPr>
              <w:t>/</w:t>
            </w:r>
          </w:p>
        </w:tc>
        <w:tc>
          <w:tcPr>
            <w:tcW w:w="641" w:type="pct"/>
            <w:tcBorders>
              <w:right w:val="single" w:sz="4" w:space="0" w:color="000000"/>
            </w:tcBorders>
            <w:vAlign w:val="center"/>
          </w:tcPr>
          <w:p w:rsidR="00EE56C0" w:rsidRDefault="000F36A1">
            <w:pPr>
              <w:pStyle w:val="afa"/>
            </w:pPr>
            <w:r>
              <w:rPr>
                <w:rFonts w:hint="eastAsia"/>
              </w:rPr>
              <w:t>/</w:t>
            </w:r>
          </w:p>
        </w:tc>
        <w:tc>
          <w:tcPr>
            <w:tcW w:w="555" w:type="pct"/>
            <w:tcBorders>
              <w:left w:val="single" w:sz="4" w:space="0" w:color="000000"/>
            </w:tcBorders>
            <w:vAlign w:val="center"/>
          </w:tcPr>
          <w:p w:rsidR="00EE56C0" w:rsidRDefault="000F36A1">
            <w:pPr>
              <w:pStyle w:val="afa"/>
            </w:pPr>
            <w:r>
              <w:rPr>
                <w:rFonts w:hint="eastAsia"/>
              </w:rPr>
              <w:t>达标</w:t>
            </w:r>
          </w:p>
        </w:tc>
      </w:tr>
      <w:tr w:rsidR="00EE56C0">
        <w:trPr>
          <w:trHeight w:val="425"/>
          <w:jc w:val="center"/>
        </w:trPr>
        <w:tc>
          <w:tcPr>
            <w:tcW w:w="811" w:type="pct"/>
            <w:vMerge w:val="restart"/>
            <w:vAlign w:val="center"/>
          </w:tcPr>
          <w:p w:rsidR="00EE56C0" w:rsidRDefault="000F36A1">
            <w:pPr>
              <w:pStyle w:val="afa"/>
              <w:rPr>
                <w:iCs/>
                <w:highlight w:val="yellow"/>
              </w:rPr>
            </w:pPr>
            <w:r>
              <w:rPr>
                <w:rFonts w:hint="eastAsia"/>
              </w:rPr>
              <w:t>北张兴庄村</w:t>
            </w:r>
          </w:p>
        </w:tc>
        <w:tc>
          <w:tcPr>
            <w:tcW w:w="749" w:type="pct"/>
            <w:vAlign w:val="center"/>
          </w:tcPr>
          <w:p w:rsidR="00EE56C0" w:rsidRDefault="000F36A1">
            <w:pPr>
              <w:pStyle w:val="afa"/>
            </w:pPr>
            <w:r>
              <w:rPr>
                <w:rFonts w:hint="eastAsia"/>
              </w:rPr>
              <w:t>浓度范围</w:t>
            </w:r>
          </w:p>
        </w:tc>
        <w:tc>
          <w:tcPr>
            <w:tcW w:w="581" w:type="pct"/>
            <w:tcBorders>
              <w:right w:val="single" w:sz="4" w:space="0" w:color="000000"/>
            </w:tcBorders>
            <w:vAlign w:val="center"/>
          </w:tcPr>
          <w:p w:rsidR="00EE56C0" w:rsidRDefault="000F36A1">
            <w:pPr>
              <w:pStyle w:val="afa"/>
            </w:pPr>
            <w:r>
              <w:rPr>
                <w:rFonts w:hint="eastAsia"/>
              </w:rPr>
              <w:t>未检出</w:t>
            </w:r>
          </w:p>
        </w:tc>
        <w:tc>
          <w:tcPr>
            <w:tcW w:w="582" w:type="pct"/>
            <w:tcBorders>
              <w:left w:val="single" w:sz="4" w:space="0" w:color="000000"/>
            </w:tcBorders>
            <w:vAlign w:val="center"/>
          </w:tcPr>
          <w:p w:rsidR="00EE56C0" w:rsidRDefault="000F36A1">
            <w:pPr>
              <w:pStyle w:val="afa"/>
            </w:pPr>
            <w:r>
              <w:rPr>
                <w:rFonts w:hint="eastAsia"/>
              </w:rPr>
              <w:t>未检出</w:t>
            </w:r>
          </w:p>
        </w:tc>
        <w:tc>
          <w:tcPr>
            <w:tcW w:w="542" w:type="pct"/>
            <w:tcBorders>
              <w:right w:val="single" w:sz="4" w:space="0" w:color="000000"/>
            </w:tcBorders>
            <w:vAlign w:val="center"/>
          </w:tcPr>
          <w:p w:rsidR="00EE56C0" w:rsidRDefault="000F36A1">
            <w:pPr>
              <w:pStyle w:val="afa"/>
            </w:pPr>
            <w:r>
              <w:rPr>
                <w:rFonts w:hint="eastAsia"/>
              </w:rPr>
              <w:t>未检出</w:t>
            </w:r>
          </w:p>
        </w:tc>
        <w:tc>
          <w:tcPr>
            <w:tcW w:w="539" w:type="pct"/>
            <w:tcBorders>
              <w:left w:val="single" w:sz="4" w:space="0" w:color="000000"/>
            </w:tcBorders>
            <w:vAlign w:val="center"/>
          </w:tcPr>
          <w:p w:rsidR="00EE56C0" w:rsidRDefault="000F36A1">
            <w:pPr>
              <w:pStyle w:val="afa"/>
            </w:pPr>
            <w:r>
              <w:rPr>
                <w:rFonts w:hint="eastAsia"/>
              </w:rPr>
              <w:t>未检出</w:t>
            </w:r>
          </w:p>
        </w:tc>
        <w:tc>
          <w:tcPr>
            <w:tcW w:w="641" w:type="pct"/>
            <w:tcBorders>
              <w:right w:val="single" w:sz="4" w:space="0" w:color="000000"/>
            </w:tcBorders>
            <w:vAlign w:val="center"/>
          </w:tcPr>
          <w:p w:rsidR="00EE56C0" w:rsidRDefault="000F36A1">
            <w:pPr>
              <w:pStyle w:val="afa"/>
            </w:pPr>
            <w:r>
              <w:rPr>
                <w:rFonts w:hint="eastAsia"/>
              </w:rPr>
              <w:t>未检出</w:t>
            </w:r>
          </w:p>
        </w:tc>
        <w:tc>
          <w:tcPr>
            <w:tcW w:w="555" w:type="pct"/>
            <w:tcBorders>
              <w:left w:val="single" w:sz="4" w:space="0" w:color="000000"/>
            </w:tcBorders>
            <w:vAlign w:val="center"/>
          </w:tcPr>
          <w:p w:rsidR="00EE56C0" w:rsidRDefault="000F36A1">
            <w:pPr>
              <w:pStyle w:val="afa"/>
            </w:pPr>
            <w:r>
              <w:rPr>
                <w:rFonts w:hint="eastAsia"/>
              </w:rPr>
              <w:t>1.2-1.7</w:t>
            </w:r>
          </w:p>
        </w:tc>
      </w:tr>
      <w:tr w:rsidR="00EE56C0">
        <w:trPr>
          <w:trHeight w:val="425"/>
          <w:jc w:val="center"/>
        </w:trPr>
        <w:tc>
          <w:tcPr>
            <w:tcW w:w="811" w:type="pct"/>
            <w:vMerge/>
            <w:vAlign w:val="center"/>
          </w:tcPr>
          <w:p w:rsidR="00EE56C0" w:rsidRDefault="00EE56C0">
            <w:pPr>
              <w:pStyle w:val="afa"/>
            </w:pPr>
          </w:p>
        </w:tc>
        <w:tc>
          <w:tcPr>
            <w:tcW w:w="749" w:type="pct"/>
            <w:vAlign w:val="center"/>
          </w:tcPr>
          <w:p w:rsidR="00EE56C0" w:rsidRDefault="000F36A1">
            <w:pPr>
              <w:pStyle w:val="afa"/>
            </w:pPr>
            <w:r>
              <w:rPr>
                <w:rFonts w:hint="eastAsia"/>
              </w:rPr>
              <w:t>标准限值</w:t>
            </w:r>
          </w:p>
        </w:tc>
        <w:tc>
          <w:tcPr>
            <w:tcW w:w="581" w:type="pct"/>
            <w:tcBorders>
              <w:right w:val="single" w:sz="4" w:space="0" w:color="000000"/>
            </w:tcBorders>
            <w:vAlign w:val="center"/>
          </w:tcPr>
          <w:p w:rsidR="00EE56C0" w:rsidRDefault="000F36A1">
            <w:pPr>
              <w:pStyle w:val="afa"/>
            </w:pPr>
            <w:r>
              <w:rPr>
                <w:rFonts w:hint="eastAsia"/>
              </w:rPr>
              <w:t>0.005</w:t>
            </w:r>
          </w:p>
        </w:tc>
        <w:tc>
          <w:tcPr>
            <w:tcW w:w="582" w:type="pct"/>
            <w:tcBorders>
              <w:left w:val="single" w:sz="4" w:space="0" w:color="000000"/>
            </w:tcBorders>
            <w:vAlign w:val="center"/>
          </w:tcPr>
          <w:p w:rsidR="00EE56C0" w:rsidRDefault="000F36A1">
            <w:pPr>
              <w:pStyle w:val="afa"/>
            </w:pPr>
            <w:r>
              <w:rPr>
                <w:rFonts w:hint="eastAsia"/>
              </w:rPr>
              <w:t>0.01</w:t>
            </w:r>
          </w:p>
        </w:tc>
        <w:tc>
          <w:tcPr>
            <w:tcW w:w="542" w:type="pct"/>
            <w:tcBorders>
              <w:right w:val="single" w:sz="4" w:space="0" w:color="000000"/>
            </w:tcBorders>
            <w:vAlign w:val="center"/>
          </w:tcPr>
          <w:p w:rsidR="00EE56C0" w:rsidRDefault="000F36A1">
            <w:pPr>
              <w:pStyle w:val="afa"/>
            </w:pPr>
            <w:r>
              <w:rPr>
                <w:rFonts w:hint="eastAsia"/>
              </w:rPr>
              <w:t>0.01</w:t>
            </w:r>
          </w:p>
        </w:tc>
        <w:tc>
          <w:tcPr>
            <w:tcW w:w="539" w:type="pct"/>
            <w:tcBorders>
              <w:left w:val="single" w:sz="4" w:space="0" w:color="000000"/>
            </w:tcBorders>
            <w:vAlign w:val="center"/>
          </w:tcPr>
          <w:p w:rsidR="00EE56C0" w:rsidRDefault="000F36A1">
            <w:pPr>
              <w:pStyle w:val="afa"/>
            </w:pPr>
            <w:r>
              <w:rPr>
                <w:rFonts w:hint="eastAsia"/>
              </w:rPr>
              <w:t>0.3</w:t>
            </w:r>
          </w:p>
        </w:tc>
        <w:tc>
          <w:tcPr>
            <w:tcW w:w="641" w:type="pct"/>
            <w:tcBorders>
              <w:right w:val="single" w:sz="4" w:space="0" w:color="000000"/>
            </w:tcBorders>
            <w:vAlign w:val="center"/>
          </w:tcPr>
          <w:p w:rsidR="00EE56C0" w:rsidRDefault="000F36A1">
            <w:pPr>
              <w:pStyle w:val="afa"/>
            </w:pPr>
            <w:r>
              <w:rPr>
                <w:rFonts w:hint="eastAsia"/>
              </w:rPr>
              <w:t>0.1</w:t>
            </w:r>
          </w:p>
        </w:tc>
        <w:tc>
          <w:tcPr>
            <w:tcW w:w="555" w:type="pct"/>
            <w:tcBorders>
              <w:left w:val="single" w:sz="4" w:space="0" w:color="000000"/>
            </w:tcBorders>
            <w:vAlign w:val="center"/>
          </w:tcPr>
          <w:p w:rsidR="00EE56C0" w:rsidRDefault="000F36A1">
            <w:pPr>
              <w:pStyle w:val="afa"/>
            </w:pPr>
            <w:r>
              <w:rPr>
                <w:rFonts w:hint="eastAsia"/>
              </w:rPr>
              <w:t>1000</w:t>
            </w:r>
          </w:p>
        </w:tc>
      </w:tr>
      <w:tr w:rsidR="00EE56C0">
        <w:trPr>
          <w:trHeight w:val="425"/>
          <w:jc w:val="center"/>
        </w:trPr>
        <w:tc>
          <w:tcPr>
            <w:tcW w:w="811" w:type="pct"/>
            <w:vMerge/>
            <w:vAlign w:val="center"/>
          </w:tcPr>
          <w:p w:rsidR="00EE56C0" w:rsidRDefault="00EE56C0">
            <w:pPr>
              <w:pStyle w:val="afa"/>
            </w:pPr>
          </w:p>
        </w:tc>
        <w:tc>
          <w:tcPr>
            <w:tcW w:w="749" w:type="pct"/>
            <w:vAlign w:val="center"/>
          </w:tcPr>
          <w:p w:rsidR="00EE56C0" w:rsidRDefault="000F36A1">
            <w:pPr>
              <w:pStyle w:val="afa"/>
            </w:pPr>
            <w:r>
              <w:rPr>
                <w:rFonts w:hint="eastAsia"/>
              </w:rPr>
              <w:t>达标情况</w:t>
            </w:r>
          </w:p>
        </w:tc>
        <w:tc>
          <w:tcPr>
            <w:tcW w:w="581" w:type="pct"/>
            <w:tcBorders>
              <w:right w:val="single" w:sz="4" w:space="0" w:color="000000"/>
            </w:tcBorders>
            <w:vAlign w:val="center"/>
          </w:tcPr>
          <w:p w:rsidR="00EE56C0" w:rsidRDefault="000F36A1">
            <w:pPr>
              <w:pStyle w:val="afa"/>
            </w:pPr>
            <w:r>
              <w:rPr>
                <w:rFonts w:hint="eastAsia"/>
              </w:rPr>
              <w:t>/</w:t>
            </w:r>
          </w:p>
        </w:tc>
        <w:tc>
          <w:tcPr>
            <w:tcW w:w="582" w:type="pct"/>
            <w:tcBorders>
              <w:left w:val="single" w:sz="4" w:space="0" w:color="000000"/>
            </w:tcBorders>
            <w:vAlign w:val="center"/>
          </w:tcPr>
          <w:p w:rsidR="00EE56C0" w:rsidRDefault="000F36A1">
            <w:pPr>
              <w:pStyle w:val="afa"/>
            </w:pPr>
            <w:r>
              <w:rPr>
                <w:rFonts w:hint="eastAsia"/>
              </w:rPr>
              <w:t>/</w:t>
            </w:r>
          </w:p>
        </w:tc>
        <w:tc>
          <w:tcPr>
            <w:tcW w:w="542" w:type="pct"/>
            <w:tcBorders>
              <w:right w:val="single" w:sz="4" w:space="0" w:color="000000"/>
            </w:tcBorders>
            <w:vAlign w:val="center"/>
          </w:tcPr>
          <w:p w:rsidR="00EE56C0" w:rsidRDefault="000F36A1">
            <w:pPr>
              <w:pStyle w:val="afa"/>
            </w:pPr>
            <w:r>
              <w:rPr>
                <w:rFonts w:hint="eastAsia"/>
              </w:rPr>
              <w:t>/</w:t>
            </w:r>
          </w:p>
        </w:tc>
        <w:tc>
          <w:tcPr>
            <w:tcW w:w="539" w:type="pct"/>
            <w:tcBorders>
              <w:left w:val="single" w:sz="4" w:space="0" w:color="000000"/>
            </w:tcBorders>
            <w:vAlign w:val="center"/>
          </w:tcPr>
          <w:p w:rsidR="00EE56C0" w:rsidRDefault="000F36A1">
            <w:pPr>
              <w:pStyle w:val="afa"/>
            </w:pPr>
            <w:r>
              <w:rPr>
                <w:rFonts w:hint="eastAsia"/>
              </w:rPr>
              <w:t>/</w:t>
            </w:r>
          </w:p>
        </w:tc>
        <w:tc>
          <w:tcPr>
            <w:tcW w:w="641" w:type="pct"/>
            <w:tcBorders>
              <w:right w:val="single" w:sz="4" w:space="0" w:color="000000"/>
            </w:tcBorders>
            <w:vAlign w:val="center"/>
          </w:tcPr>
          <w:p w:rsidR="00EE56C0" w:rsidRDefault="000F36A1">
            <w:pPr>
              <w:pStyle w:val="afa"/>
            </w:pPr>
            <w:r>
              <w:rPr>
                <w:rFonts w:hint="eastAsia"/>
              </w:rPr>
              <w:t>/</w:t>
            </w:r>
          </w:p>
        </w:tc>
        <w:tc>
          <w:tcPr>
            <w:tcW w:w="555" w:type="pct"/>
            <w:tcBorders>
              <w:left w:val="single" w:sz="4" w:space="0" w:color="000000"/>
            </w:tcBorders>
            <w:vAlign w:val="center"/>
          </w:tcPr>
          <w:p w:rsidR="00EE56C0" w:rsidRDefault="000F36A1">
            <w:pPr>
              <w:pStyle w:val="afa"/>
            </w:pPr>
            <w:r>
              <w:rPr>
                <w:rFonts w:hint="eastAsia"/>
              </w:rPr>
              <w:t>达标</w:t>
            </w:r>
          </w:p>
        </w:tc>
      </w:tr>
    </w:tbl>
    <w:p w:rsidR="00EE56C0" w:rsidRDefault="000F36A1">
      <w:pPr>
        <w:ind w:firstLine="480"/>
      </w:pPr>
      <w:r>
        <w:rPr>
          <w:rFonts w:hint="eastAsia"/>
        </w:rPr>
        <w:t>由以上监测统计结果分析可知，评价区域内三个监测点位的地下水水质因子</w:t>
      </w:r>
      <w:r>
        <w:t>pH</w:t>
      </w:r>
      <w:r>
        <w:t>、</w:t>
      </w:r>
      <w:r>
        <w:t>K+</w:t>
      </w:r>
      <w:r>
        <w:t>、</w:t>
      </w:r>
      <w:r>
        <w:t>Na+</w:t>
      </w:r>
      <w:r>
        <w:t>、</w:t>
      </w:r>
      <w:r>
        <w:t>Ca</w:t>
      </w:r>
      <w:r>
        <w:rPr>
          <w:vertAlign w:val="superscript"/>
        </w:rPr>
        <w:t>2+</w:t>
      </w:r>
      <w:r>
        <w:t>、</w:t>
      </w:r>
      <w:r>
        <w:t>Mg</w:t>
      </w:r>
      <w:r>
        <w:rPr>
          <w:vertAlign w:val="superscript"/>
        </w:rPr>
        <w:t>2+</w:t>
      </w:r>
      <w:r>
        <w:t>、</w:t>
      </w:r>
      <w:r>
        <w:t>CO</w:t>
      </w:r>
      <w:r>
        <w:rPr>
          <w:vertAlign w:val="subscript"/>
        </w:rPr>
        <w:t>3</w:t>
      </w:r>
      <w:r>
        <w:rPr>
          <w:vertAlign w:val="superscript"/>
        </w:rPr>
        <w:t>2-</w:t>
      </w:r>
      <w:r>
        <w:t>、</w:t>
      </w:r>
      <w:r>
        <w:t>HCO</w:t>
      </w:r>
      <w:r>
        <w:rPr>
          <w:vertAlign w:val="subscript"/>
        </w:rPr>
        <w:t>3</w:t>
      </w:r>
      <w:r>
        <w:rPr>
          <w:vertAlign w:val="superscript"/>
        </w:rPr>
        <w:t>-</w:t>
      </w:r>
      <w:r>
        <w:rPr>
          <w:rFonts w:hint="eastAsia"/>
        </w:rPr>
        <w:t>、</w:t>
      </w:r>
      <w:r>
        <w:rPr>
          <w:rFonts w:hint="eastAsia"/>
        </w:rPr>
        <w:t>Cl</w:t>
      </w:r>
      <w:r>
        <w:rPr>
          <w:rFonts w:hint="eastAsia"/>
          <w:vertAlign w:val="superscript"/>
        </w:rPr>
        <w:t>-</w:t>
      </w:r>
      <w:r>
        <w:rPr>
          <w:rFonts w:hint="eastAsia"/>
        </w:rPr>
        <w:t>、</w:t>
      </w:r>
      <w:r>
        <w:rPr>
          <w:rFonts w:hint="eastAsia"/>
        </w:rPr>
        <w:t>S</w:t>
      </w:r>
      <w:r>
        <w:t>O</w:t>
      </w:r>
      <w:r>
        <w:rPr>
          <w:rFonts w:hint="eastAsia"/>
          <w:vertAlign w:val="subscript"/>
        </w:rPr>
        <w:t>4</w:t>
      </w:r>
      <w:r>
        <w:rPr>
          <w:vertAlign w:val="superscript"/>
        </w:rPr>
        <w:t>2-</w:t>
      </w:r>
      <w:r>
        <w:t>、氨氮、</w:t>
      </w:r>
      <w:r>
        <w:rPr>
          <w:rFonts w:hint="eastAsia"/>
        </w:rPr>
        <w:t>亚硝酸盐、硝酸盐、挥发性酚类、总硬度、汞、铬</w:t>
      </w:r>
      <w:r>
        <w:t>(</w:t>
      </w:r>
      <w:r>
        <w:rPr>
          <w:rFonts w:hint="eastAsia"/>
        </w:rPr>
        <w:t>六价</w:t>
      </w:r>
      <w:r>
        <w:t>)</w:t>
      </w:r>
      <w:r>
        <w:rPr>
          <w:rFonts w:hint="eastAsia"/>
        </w:rPr>
        <w:t>、铅、氟、镉、铁、锰、溶解性总固体、高锰酸盐指数、氰化物、砷、动植物油均能满足</w:t>
      </w:r>
      <w:r>
        <w:t>《地下水质量标准》（</w:t>
      </w:r>
      <w:r>
        <w:t>GB/T14843-</w:t>
      </w:r>
      <w:r>
        <w:rPr>
          <w:rFonts w:hint="eastAsia"/>
        </w:rPr>
        <w:t>2017</w:t>
      </w:r>
      <w:r>
        <w:t>）</w:t>
      </w:r>
      <w:r>
        <w:rPr>
          <w:rFonts w:cs="宋体" w:hint="eastAsia"/>
        </w:rPr>
        <w:t>Ⅲ</w:t>
      </w:r>
      <w:r>
        <w:t>类标准</w:t>
      </w:r>
      <w:r>
        <w:rPr>
          <w:rFonts w:hint="eastAsia"/>
        </w:rPr>
        <w:t>的要求。</w:t>
      </w:r>
    </w:p>
    <w:p w:rsidR="00EE56C0" w:rsidRDefault="000F36A1">
      <w:pPr>
        <w:ind w:firstLine="480"/>
      </w:pPr>
      <w:r>
        <w:rPr>
          <w:rFonts w:hint="eastAsia"/>
        </w:rPr>
        <w:t>项目周边地下水水位监测数据详见表</w:t>
      </w:r>
      <w:r>
        <w:rPr>
          <w:rFonts w:hint="eastAsia"/>
        </w:rPr>
        <w:t>4-21</w:t>
      </w:r>
      <w:r>
        <w:rPr>
          <w:rFonts w:hint="eastAsia"/>
        </w:rPr>
        <w:t>。</w:t>
      </w:r>
    </w:p>
    <w:p w:rsidR="00EE56C0" w:rsidRDefault="000F36A1">
      <w:pPr>
        <w:pStyle w:val="afd"/>
        <w:spacing w:before="120" w:after="120"/>
        <w:ind w:firstLine="482"/>
        <w:rPr>
          <w:szCs w:val="21"/>
        </w:rPr>
      </w:pPr>
      <w:r>
        <w:t>表</w:t>
      </w:r>
      <w:r>
        <w:rPr>
          <w:rFonts w:hint="eastAsia"/>
        </w:rPr>
        <w:t xml:space="preserve">4-21     </w:t>
      </w:r>
      <w:r>
        <w:t>地下水</w:t>
      </w:r>
      <w:r>
        <w:rPr>
          <w:rFonts w:hint="eastAsia"/>
        </w:rPr>
        <w:t>水位</w:t>
      </w:r>
      <w:r>
        <w:t>现状</w:t>
      </w:r>
      <w:r>
        <w:rPr>
          <w:rFonts w:hint="eastAsia"/>
        </w:rPr>
        <w:t>监测</w:t>
      </w:r>
      <w:r>
        <w:t>结果统计</w:t>
      </w:r>
      <w:r>
        <w:rPr>
          <w:rFonts w:hint="eastAsia"/>
        </w:rPr>
        <w:t>表</w:t>
      </w:r>
      <w:r>
        <w:rPr>
          <w:rFonts w:hint="eastAsia"/>
        </w:rPr>
        <w:t xml:space="preserve">          </w:t>
      </w:r>
      <w:r>
        <w:rPr>
          <w:szCs w:val="21"/>
        </w:rPr>
        <w:t>单位：</w:t>
      </w:r>
      <w:r>
        <w:rPr>
          <w:szCs w:val="21"/>
        </w:rPr>
        <w:t>mg/L</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CellMar>
          <w:left w:w="0" w:type="dxa"/>
          <w:right w:w="0" w:type="dxa"/>
        </w:tblCellMar>
        <w:tblLook w:val="04A0"/>
      </w:tblPr>
      <w:tblGrid>
        <w:gridCol w:w="2628"/>
        <w:gridCol w:w="1910"/>
        <w:gridCol w:w="1903"/>
        <w:gridCol w:w="1891"/>
      </w:tblGrid>
      <w:tr w:rsidR="00EE56C0">
        <w:trPr>
          <w:cantSplit/>
          <w:trHeight w:val="425"/>
          <w:tblHeader/>
          <w:jc w:val="center"/>
        </w:trPr>
        <w:tc>
          <w:tcPr>
            <w:tcW w:w="1577" w:type="pct"/>
            <w:vAlign w:val="center"/>
          </w:tcPr>
          <w:p w:rsidR="00EE56C0" w:rsidRDefault="000F36A1">
            <w:pPr>
              <w:pStyle w:val="afa"/>
              <w:rPr>
                <w:b/>
              </w:rPr>
            </w:pPr>
            <w:r>
              <w:rPr>
                <w:rFonts w:hint="eastAsia"/>
                <w:b/>
              </w:rPr>
              <w:t>检测点位</w:t>
            </w:r>
          </w:p>
        </w:tc>
        <w:tc>
          <w:tcPr>
            <w:tcW w:w="1146" w:type="pct"/>
            <w:vAlign w:val="center"/>
          </w:tcPr>
          <w:p w:rsidR="00EE56C0" w:rsidRDefault="000F36A1">
            <w:pPr>
              <w:pStyle w:val="afa"/>
              <w:rPr>
                <w:b/>
              </w:rPr>
            </w:pPr>
            <w:r>
              <w:rPr>
                <w:rFonts w:hint="eastAsia"/>
                <w:b/>
              </w:rPr>
              <w:t>井深</w:t>
            </w:r>
            <w:r>
              <w:rPr>
                <w:b/>
              </w:rPr>
              <w:t>（</w:t>
            </w:r>
            <w:r>
              <w:rPr>
                <w:b/>
              </w:rPr>
              <w:t>m</w:t>
            </w:r>
            <w:r>
              <w:rPr>
                <w:b/>
              </w:rPr>
              <w:t>）</w:t>
            </w:r>
          </w:p>
        </w:tc>
        <w:tc>
          <w:tcPr>
            <w:tcW w:w="1142" w:type="pct"/>
            <w:vAlign w:val="center"/>
          </w:tcPr>
          <w:p w:rsidR="00EE56C0" w:rsidRDefault="000F36A1">
            <w:pPr>
              <w:pStyle w:val="afa"/>
              <w:rPr>
                <w:b/>
              </w:rPr>
            </w:pPr>
            <w:r>
              <w:rPr>
                <w:rFonts w:hint="eastAsia"/>
                <w:b/>
              </w:rPr>
              <w:t>水位</w:t>
            </w:r>
            <w:r>
              <w:rPr>
                <w:b/>
              </w:rPr>
              <w:t>（</w:t>
            </w:r>
            <w:r>
              <w:rPr>
                <w:b/>
              </w:rPr>
              <w:t>m</w:t>
            </w:r>
            <w:r>
              <w:rPr>
                <w:b/>
              </w:rPr>
              <w:t>）</w:t>
            </w:r>
          </w:p>
        </w:tc>
        <w:tc>
          <w:tcPr>
            <w:tcW w:w="1135" w:type="pct"/>
            <w:vAlign w:val="center"/>
          </w:tcPr>
          <w:p w:rsidR="00EE56C0" w:rsidRDefault="000F36A1">
            <w:pPr>
              <w:pStyle w:val="afa"/>
              <w:rPr>
                <w:b/>
              </w:rPr>
            </w:pPr>
            <w:r>
              <w:rPr>
                <w:rFonts w:hint="eastAsia"/>
                <w:b/>
              </w:rPr>
              <w:t>水温</w:t>
            </w:r>
            <w:r>
              <w:rPr>
                <w:b/>
              </w:rPr>
              <w:t>（</w:t>
            </w:r>
            <w:r>
              <w:rPr>
                <w:rFonts w:hint="eastAsia"/>
                <w:b/>
              </w:rPr>
              <w:t>℃</w:t>
            </w:r>
            <w:r>
              <w:rPr>
                <w:b/>
              </w:rPr>
              <w:t>）</w:t>
            </w:r>
          </w:p>
        </w:tc>
      </w:tr>
      <w:tr w:rsidR="00EE56C0">
        <w:trPr>
          <w:cantSplit/>
          <w:trHeight w:val="425"/>
          <w:tblHeader/>
          <w:jc w:val="center"/>
        </w:trPr>
        <w:tc>
          <w:tcPr>
            <w:tcW w:w="1577" w:type="pct"/>
            <w:vAlign w:val="center"/>
          </w:tcPr>
          <w:p w:rsidR="00EE56C0" w:rsidRDefault="000F36A1">
            <w:pPr>
              <w:pStyle w:val="afa"/>
            </w:pPr>
            <w:r>
              <w:rPr>
                <w:rFonts w:hint="eastAsia"/>
              </w:rPr>
              <w:t>康庄村</w:t>
            </w:r>
          </w:p>
        </w:tc>
        <w:tc>
          <w:tcPr>
            <w:tcW w:w="1146" w:type="pct"/>
            <w:vAlign w:val="center"/>
          </w:tcPr>
          <w:p w:rsidR="00EE56C0" w:rsidRDefault="000F36A1">
            <w:pPr>
              <w:pStyle w:val="afa"/>
            </w:pPr>
            <w:r>
              <w:rPr>
                <w:rFonts w:hint="eastAsia"/>
              </w:rPr>
              <w:t>35</w:t>
            </w:r>
          </w:p>
        </w:tc>
        <w:tc>
          <w:tcPr>
            <w:tcW w:w="1142" w:type="pct"/>
            <w:vAlign w:val="center"/>
          </w:tcPr>
          <w:p w:rsidR="00EE56C0" w:rsidRDefault="000F36A1">
            <w:pPr>
              <w:pStyle w:val="afa"/>
            </w:pPr>
            <w:r>
              <w:rPr>
                <w:rFonts w:hint="eastAsia"/>
              </w:rPr>
              <w:t>68</w:t>
            </w:r>
          </w:p>
        </w:tc>
        <w:tc>
          <w:tcPr>
            <w:tcW w:w="1135" w:type="pct"/>
            <w:vAlign w:val="center"/>
          </w:tcPr>
          <w:p w:rsidR="00EE56C0" w:rsidRDefault="000F36A1">
            <w:pPr>
              <w:pStyle w:val="afa"/>
            </w:pPr>
            <w:r>
              <w:rPr>
                <w:rFonts w:hint="eastAsia"/>
              </w:rPr>
              <w:t>13.1</w:t>
            </w:r>
          </w:p>
        </w:tc>
      </w:tr>
      <w:tr w:rsidR="00EE56C0">
        <w:trPr>
          <w:cantSplit/>
          <w:trHeight w:val="425"/>
          <w:tblHeader/>
          <w:jc w:val="center"/>
        </w:trPr>
        <w:tc>
          <w:tcPr>
            <w:tcW w:w="1577" w:type="pct"/>
            <w:vAlign w:val="center"/>
          </w:tcPr>
          <w:p w:rsidR="00EE56C0" w:rsidRDefault="000F36A1">
            <w:pPr>
              <w:pStyle w:val="afa"/>
            </w:pPr>
            <w:r>
              <w:rPr>
                <w:rFonts w:hint="eastAsia"/>
              </w:rPr>
              <w:t>厂址（自备井）</w:t>
            </w:r>
          </w:p>
        </w:tc>
        <w:tc>
          <w:tcPr>
            <w:tcW w:w="1146" w:type="pct"/>
            <w:vAlign w:val="center"/>
          </w:tcPr>
          <w:p w:rsidR="00EE56C0" w:rsidRDefault="000F36A1">
            <w:pPr>
              <w:pStyle w:val="afa"/>
            </w:pPr>
            <w:r>
              <w:rPr>
                <w:rFonts w:hint="eastAsia"/>
              </w:rPr>
              <w:t>80</w:t>
            </w:r>
          </w:p>
        </w:tc>
        <w:tc>
          <w:tcPr>
            <w:tcW w:w="1142" w:type="pct"/>
            <w:vAlign w:val="center"/>
          </w:tcPr>
          <w:p w:rsidR="00EE56C0" w:rsidRDefault="000F36A1">
            <w:pPr>
              <w:pStyle w:val="afa"/>
            </w:pPr>
            <w:r>
              <w:rPr>
                <w:rFonts w:hint="eastAsia"/>
              </w:rPr>
              <w:t>32</w:t>
            </w:r>
          </w:p>
        </w:tc>
        <w:tc>
          <w:tcPr>
            <w:tcW w:w="1135" w:type="pct"/>
            <w:vAlign w:val="center"/>
          </w:tcPr>
          <w:p w:rsidR="00EE56C0" w:rsidRDefault="000F36A1">
            <w:pPr>
              <w:pStyle w:val="afa"/>
            </w:pPr>
            <w:r>
              <w:rPr>
                <w:rFonts w:hint="eastAsia"/>
              </w:rPr>
              <w:t>14.2</w:t>
            </w:r>
          </w:p>
        </w:tc>
      </w:tr>
      <w:tr w:rsidR="00EE56C0">
        <w:trPr>
          <w:cantSplit/>
          <w:trHeight w:val="425"/>
          <w:tblHeader/>
          <w:jc w:val="center"/>
        </w:trPr>
        <w:tc>
          <w:tcPr>
            <w:tcW w:w="1577" w:type="pct"/>
            <w:vAlign w:val="center"/>
          </w:tcPr>
          <w:p w:rsidR="00EE56C0" w:rsidRDefault="000F36A1">
            <w:pPr>
              <w:pStyle w:val="afa"/>
            </w:pPr>
            <w:r>
              <w:rPr>
                <w:rFonts w:hint="eastAsia"/>
              </w:rPr>
              <w:t>七里营镇</w:t>
            </w:r>
          </w:p>
        </w:tc>
        <w:tc>
          <w:tcPr>
            <w:tcW w:w="1146" w:type="pct"/>
            <w:vAlign w:val="center"/>
          </w:tcPr>
          <w:p w:rsidR="00EE56C0" w:rsidRDefault="000F36A1">
            <w:pPr>
              <w:pStyle w:val="afa"/>
            </w:pPr>
            <w:r>
              <w:rPr>
                <w:rFonts w:hint="eastAsia"/>
              </w:rPr>
              <w:t>35</w:t>
            </w:r>
          </w:p>
        </w:tc>
        <w:tc>
          <w:tcPr>
            <w:tcW w:w="1142" w:type="pct"/>
            <w:vAlign w:val="center"/>
          </w:tcPr>
          <w:p w:rsidR="00EE56C0" w:rsidRDefault="000F36A1">
            <w:pPr>
              <w:pStyle w:val="afa"/>
            </w:pPr>
            <w:r>
              <w:rPr>
                <w:rFonts w:hint="eastAsia"/>
              </w:rPr>
              <w:t>38</w:t>
            </w:r>
          </w:p>
        </w:tc>
        <w:tc>
          <w:tcPr>
            <w:tcW w:w="1135" w:type="pct"/>
            <w:vAlign w:val="center"/>
          </w:tcPr>
          <w:p w:rsidR="00EE56C0" w:rsidRDefault="000F36A1">
            <w:pPr>
              <w:pStyle w:val="afa"/>
            </w:pPr>
            <w:r>
              <w:rPr>
                <w:rFonts w:hint="eastAsia"/>
              </w:rPr>
              <w:t>13.7</w:t>
            </w:r>
          </w:p>
        </w:tc>
      </w:tr>
      <w:tr w:rsidR="00EE56C0">
        <w:trPr>
          <w:cantSplit/>
          <w:trHeight w:val="425"/>
          <w:tblHeader/>
          <w:jc w:val="center"/>
        </w:trPr>
        <w:tc>
          <w:tcPr>
            <w:tcW w:w="1577" w:type="pct"/>
            <w:vAlign w:val="center"/>
          </w:tcPr>
          <w:p w:rsidR="00EE56C0" w:rsidRDefault="000F36A1">
            <w:pPr>
              <w:pStyle w:val="afa"/>
            </w:pPr>
            <w:r>
              <w:rPr>
                <w:rFonts w:hint="eastAsia"/>
              </w:rPr>
              <w:t>东曹村</w:t>
            </w:r>
          </w:p>
        </w:tc>
        <w:tc>
          <w:tcPr>
            <w:tcW w:w="1146" w:type="pct"/>
            <w:vAlign w:val="center"/>
          </w:tcPr>
          <w:p w:rsidR="00EE56C0" w:rsidRDefault="000F36A1">
            <w:pPr>
              <w:pStyle w:val="afa"/>
            </w:pPr>
            <w:r>
              <w:rPr>
                <w:rFonts w:hint="eastAsia"/>
              </w:rPr>
              <w:t>25</w:t>
            </w:r>
          </w:p>
        </w:tc>
        <w:tc>
          <w:tcPr>
            <w:tcW w:w="1142" w:type="pct"/>
            <w:vAlign w:val="center"/>
          </w:tcPr>
          <w:p w:rsidR="00EE56C0" w:rsidRDefault="000F36A1">
            <w:pPr>
              <w:pStyle w:val="afa"/>
            </w:pPr>
            <w:r>
              <w:rPr>
                <w:rFonts w:hint="eastAsia"/>
              </w:rPr>
              <w:t>59</w:t>
            </w:r>
          </w:p>
        </w:tc>
        <w:tc>
          <w:tcPr>
            <w:tcW w:w="1135" w:type="pct"/>
            <w:vAlign w:val="center"/>
          </w:tcPr>
          <w:p w:rsidR="00EE56C0" w:rsidRDefault="000F36A1">
            <w:pPr>
              <w:pStyle w:val="afa"/>
            </w:pPr>
            <w:r>
              <w:rPr>
                <w:rFonts w:hint="eastAsia"/>
              </w:rPr>
              <w:t>12.5</w:t>
            </w:r>
          </w:p>
        </w:tc>
      </w:tr>
      <w:tr w:rsidR="00EE56C0">
        <w:trPr>
          <w:cantSplit/>
          <w:trHeight w:val="425"/>
          <w:tblHeader/>
          <w:jc w:val="center"/>
        </w:trPr>
        <w:tc>
          <w:tcPr>
            <w:tcW w:w="1577" w:type="pct"/>
            <w:vAlign w:val="center"/>
          </w:tcPr>
          <w:p w:rsidR="00EE56C0" w:rsidRDefault="000F36A1">
            <w:pPr>
              <w:pStyle w:val="afa"/>
            </w:pPr>
            <w:r>
              <w:rPr>
                <w:rFonts w:hint="eastAsia"/>
              </w:rPr>
              <w:t>南王庄村</w:t>
            </w:r>
          </w:p>
        </w:tc>
        <w:tc>
          <w:tcPr>
            <w:tcW w:w="1146" w:type="pct"/>
            <w:vAlign w:val="center"/>
          </w:tcPr>
          <w:p w:rsidR="00EE56C0" w:rsidRDefault="000F36A1">
            <w:pPr>
              <w:pStyle w:val="afa"/>
            </w:pPr>
            <w:r>
              <w:rPr>
                <w:rFonts w:hint="eastAsia"/>
              </w:rPr>
              <w:t>40</w:t>
            </w:r>
          </w:p>
        </w:tc>
        <w:tc>
          <w:tcPr>
            <w:tcW w:w="1142" w:type="pct"/>
            <w:vAlign w:val="center"/>
          </w:tcPr>
          <w:p w:rsidR="00EE56C0" w:rsidRDefault="000F36A1">
            <w:pPr>
              <w:pStyle w:val="afa"/>
            </w:pPr>
            <w:r>
              <w:rPr>
                <w:rFonts w:hint="eastAsia"/>
              </w:rPr>
              <w:t>36</w:t>
            </w:r>
          </w:p>
        </w:tc>
        <w:tc>
          <w:tcPr>
            <w:tcW w:w="1135" w:type="pct"/>
            <w:vAlign w:val="center"/>
          </w:tcPr>
          <w:p w:rsidR="00EE56C0" w:rsidRDefault="000F36A1">
            <w:pPr>
              <w:pStyle w:val="afa"/>
            </w:pPr>
            <w:r>
              <w:rPr>
                <w:rFonts w:hint="eastAsia"/>
              </w:rPr>
              <w:t>14.0</w:t>
            </w:r>
          </w:p>
        </w:tc>
      </w:tr>
      <w:tr w:rsidR="00EE56C0">
        <w:trPr>
          <w:cantSplit/>
          <w:trHeight w:val="425"/>
          <w:tblHeader/>
          <w:jc w:val="center"/>
        </w:trPr>
        <w:tc>
          <w:tcPr>
            <w:tcW w:w="1577" w:type="pct"/>
            <w:vAlign w:val="center"/>
          </w:tcPr>
          <w:p w:rsidR="00EE56C0" w:rsidRDefault="000F36A1">
            <w:pPr>
              <w:pStyle w:val="afa"/>
            </w:pPr>
            <w:r>
              <w:rPr>
                <w:rFonts w:hint="eastAsia"/>
              </w:rPr>
              <w:t>东王庄村</w:t>
            </w:r>
          </w:p>
        </w:tc>
        <w:tc>
          <w:tcPr>
            <w:tcW w:w="1146" w:type="pct"/>
            <w:vAlign w:val="center"/>
          </w:tcPr>
          <w:p w:rsidR="00EE56C0" w:rsidRDefault="000F36A1">
            <w:pPr>
              <w:pStyle w:val="afa"/>
            </w:pPr>
            <w:r>
              <w:rPr>
                <w:rFonts w:hint="eastAsia"/>
              </w:rPr>
              <w:t>30</w:t>
            </w:r>
          </w:p>
        </w:tc>
        <w:tc>
          <w:tcPr>
            <w:tcW w:w="1142" w:type="pct"/>
            <w:vAlign w:val="center"/>
          </w:tcPr>
          <w:p w:rsidR="00EE56C0" w:rsidRDefault="000F36A1">
            <w:pPr>
              <w:pStyle w:val="afa"/>
            </w:pPr>
            <w:r>
              <w:rPr>
                <w:rFonts w:hint="eastAsia"/>
              </w:rPr>
              <w:t>59</w:t>
            </w:r>
          </w:p>
        </w:tc>
        <w:tc>
          <w:tcPr>
            <w:tcW w:w="1135" w:type="pct"/>
            <w:vAlign w:val="center"/>
          </w:tcPr>
          <w:p w:rsidR="00EE56C0" w:rsidRDefault="000F36A1">
            <w:pPr>
              <w:pStyle w:val="afa"/>
            </w:pPr>
            <w:r>
              <w:rPr>
                <w:rFonts w:hint="eastAsia"/>
              </w:rPr>
              <w:t>13.4</w:t>
            </w:r>
          </w:p>
        </w:tc>
      </w:tr>
    </w:tbl>
    <w:p w:rsidR="00EE56C0" w:rsidRDefault="000F36A1">
      <w:pPr>
        <w:pStyle w:val="3"/>
        <w:spacing w:before="240" w:after="120"/>
      </w:pPr>
      <w:r>
        <w:rPr>
          <w:rFonts w:hint="eastAsia"/>
        </w:rPr>
        <w:lastRenderedPageBreak/>
        <w:t>4.2.5</w:t>
      </w:r>
      <w:r>
        <w:rPr>
          <w:rFonts w:hint="eastAsia"/>
        </w:rPr>
        <w:t>声环境质量现状监测</w:t>
      </w:r>
      <w:bookmarkEnd w:id="282"/>
      <w:bookmarkEnd w:id="283"/>
      <w:bookmarkEnd w:id="284"/>
    </w:p>
    <w:p w:rsidR="00EE56C0" w:rsidRDefault="000F36A1">
      <w:pPr>
        <w:pStyle w:val="4"/>
        <w:ind w:left="120" w:firstLine="241"/>
      </w:pPr>
      <w:r>
        <w:rPr>
          <w:rFonts w:hint="eastAsia"/>
        </w:rPr>
        <w:t>4.2.5.1</w:t>
      </w:r>
      <w:r>
        <w:rPr>
          <w:rFonts w:hint="eastAsia"/>
        </w:rPr>
        <w:t>监测布点</w:t>
      </w:r>
    </w:p>
    <w:p w:rsidR="00EE56C0" w:rsidRDefault="000F36A1">
      <w:pPr>
        <w:ind w:firstLine="480"/>
      </w:pPr>
      <w:r>
        <w:rPr>
          <w:rFonts w:hint="eastAsia"/>
        </w:rPr>
        <w:t>考虑工程特点及区域环境特征，在评价区内共布设了</w:t>
      </w:r>
      <w:r>
        <w:rPr>
          <w:rFonts w:hint="eastAsia"/>
        </w:rPr>
        <w:t>4</w:t>
      </w:r>
      <w:r>
        <w:rPr>
          <w:rFonts w:hint="eastAsia"/>
        </w:rPr>
        <w:t>个声环境质量现状监测点。</w:t>
      </w:r>
    </w:p>
    <w:p w:rsidR="00EE56C0" w:rsidRDefault="000F36A1">
      <w:pPr>
        <w:pStyle w:val="4"/>
        <w:ind w:left="120" w:firstLine="241"/>
      </w:pPr>
      <w:r>
        <w:rPr>
          <w:rFonts w:hint="eastAsia"/>
        </w:rPr>
        <w:t>4.2.5.2</w:t>
      </w:r>
      <w:r>
        <w:rPr>
          <w:rFonts w:hint="eastAsia"/>
        </w:rPr>
        <w:t>监测方法和频率</w:t>
      </w:r>
    </w:p>
    <w:p w:rsidR="00EE56C0" w:rsidRDefault="000F36A1">
      <w:pPr>
        <w:ind w:firstLine="480"/>
      </w:pPr>
      <w:r>
        <w:rPr>
          <w:rFonts w:hint="eastAsia"/>
        </w:rPr>
        <w:t>监测点位及监测时间见表</w:t>
      </w:r>
      <w:r>
        <w:rPr>
          <w:rFonts w:hint="eastAsia"/>
        </w:rPr>
        <w:t>4-22</w:t>
      </w:r>
      <w:r>
        <w:rPr>
          <w:rFonts w:hint="eastAsia"/>
        </w:rPr>
        <w:t>。</w:t>
      </w:r>
    </w:p>
    <w:p w:rsidR="00EE56C0" w:rsidRDefault="000F36A1">
      <w:pPr>
        <w:pStyle w:val="afd"/>
        <w:spacing w:before="120" w:after="120"/>
        <w:ind w:firstLine="482"/>
      </w:pPr>
      <w:r>
        <w:rPr>
          <w:rFonts w:hint="eastAsia"/>
        </w:rPr>
        <w:t>表</w:t>
      </w:r>
      <w:r>
        <w:rPr>
          <w:rFonts w:hint="eastAsia"/>
        </w:rPr>
        <w:t xml:space="preserve">4-22          </w:t>
      </w:r>
      <w:r>
        <w:rPr>
          <w:rFonts w:hint="eastAsia"/>
        </w:rPr>
        <w:t>声环境现状监测点位及监测时间表</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CellMar>
          <w:left w:w="28" w:type="dxa"/>
          <w:right w:w="28" w:type="dxa"/>
        </w:tblCellMar>
        <w:tblLook w:val="04A0"/>
      </w:tblPr>
      <w:tblGrid>
        <w:gridCol w:w="1886"/>
        <w:gridCol w:w="1820"/>
        <w:gridCol w:w="2410"/>
        <w:gridCol w:w="2234"/>
      </w:tblGrid>
      <w:tr w:rsidR="00EE56C0">
        <w:trPr>
          <w:trHeight w:val="397"/>
          <w:jc w:val="center"/>
        </w:trPr>
        <w:tc>
          <w:tcPr>
            <w:tcW w:w="1129" w:type="pct"/>
            <w:tcMar>
              <w:top w:w="57" w:type="dxa"/>
              <w:left w:w="0" w:type="dxa"/>
              <w:bottom w:w="57" w:type="dxa"/>
              <w:right w:w="0" w:type="dxa"/>
            </w:tcMar>
            <w:vAlign w:val="center"/>
          </w:tcPr>
          <w:p w:rsidR="00EE56C0" w:rsidRDefault="000F36A1">
            <w:pPr>
              <w:pStyle w:val="aff1"/>
              <w:rPr>
                <w:color w:val="auto"/>
              </w:rPr>
            </w:pPr>
            <w:r>
              <w:rPr>
                <w:rFonts w:hint="eastAsia"/>
                <w:color w:val="auto"/>
              </w:rPr>
              <w:t>监测点位置</w:t>
            </w:r>
          </w:p>
        </w:tc>
        <w:tc>
          <w:tcPr>
            <w:tcW w:w="1089" w:type="pct"/>
            <w:vAlign w:val="center"/>
          </w:tcPr>
          <w:p w:rsidR="00EE56C0" w:rsidRDefault="000F36A1">
            <w:pPr>
              <w:pStyle w:val="aff1"/>
              <w:rPr>
                <w:color w:val="auto"/>
              </w:rPr>
            </w:pPr>
            <w:r>
              <w:rPr>
                <w:rFonts w:hint="eastAsia"/>
                <w:color w:val="auto"/>
              </w:rPr>
              <w:t>监测因子</w:t>
            </w:r>
          </w:p>
        </w:tc>
        <w:tc>
          <w:tcPr>
            <w:tcW w:w="1443" w:type="pct"/>
            <w:vAlign w:val="center"/>
          </w:tcPr>
          <w:p w:rsidR="00EE56C0" w:rsidRDefault="000F36A1">
            <w:pPr>
              <w:pStyle w:val="aff1"/>
              <w:rPr>
                <w:color w:val="auto"/>
              </w:rPr>
            </w:pPr>
            <w:r>
              <w:rPr>
                <w:rFonts w:hint="eastAsia"/>
                <w:color w:val="auto"/>
              </w:rPr>
              <w:t>监测频率</w:t>
            </w:r>
          </w:p>
        </w:tc>
        <w:tc>
          <w:tcPr>
            <w:tcW w:w="1338" w:type="pct"/>
            <w:vAlign w:val="center"/>
          </w:tcPr>
          <w:p w:rsidR="00EE56C0" w:rsidRDefault="000F36A1">
            <w:pPr>
              <w:pStyle w:val="aff1"/>
              <w:rPr>
                <w:color w:val="auto"/>
              </w:rPr>
            </w:pPr>
            <w:r>
              <w:rPr>
                <w:rFonts w:hint="eastAsia"/>
                <w:color w:val="auto"/>
              </w:rPr>
              <w:t>监测方法</w:t>
            </w:r>
          </w:p>
        </w:tc>
      </w:tr>
      <w:tr w:rsidR="00EE56C0">
        <w:trPr>
          <w:trHeight w:val="397"/>
          <w:jc w:val="center"/>
        </w:trPr>
        <w:tc>
          <w:tcPr>
            <w:tcW w:w="1129" w:type="pct"/>
            <w:tcMar>
              <w:top w:w="57" w:type="dxa"/>
              <w:left w:w="0" w:type="dxa"/>
              <w:bottom w:w="57" w:type="dxa"/>
              <w:right w:w="0" w:type="dxa"/>
            </w:tcMar>
            <w:vAlign w:val="center"/>
          </w:tcPr>
          <w:p w:rsidR="00EE56C0" w:rsidRDefault="000F36A1">
            <w:pPr>
              <w:pStyle w:val="afa"/>
              <w:rPr>
                <w:b/>
              </w:rPr>
            </w:pPr>
            <w:r>
              <w:rPr>
                <w:rFonts w:hint="eastAsia"/>
              </w:rPr>
              <w:t>东厂界</w:t>
            </w:r>
          </w:p>
        </w:tc>
        <w:tc>
          <w:tcPr>
            <w:tcW w:w="1089" w:type="pct"/>
            <w:vMerge w:val="restart"/>
            <w:vAlign w:val="center"/>
          </w:tcPr>
          <w:p w:rsidR="00EE56C0" w:rsidRDefault="000F36A1">
            <w:pPr>
              <w:pStyle w:val="afa"/>
            </w:pPr>
            <w:r>
              <w:rPr>
                <w:rFonts w:hint="eastAsia"/>
              </w:rPr>
              <w:t>等效连续</w:t>
            </w:r>
            <w:r>
              <w:rPr>
                <w:rFonts w:hint="eastAsia"/>
              </w:rPr>
              <w:t>A</w:t>
            </w:r>
            <w:r>
              <w:rPr>
                <w:rFonts w:hint="eastAsia"/>
              </w:rPr>
              <w:t>声级</w:t>
            </w:r>
          </w:p>
        </w:tc>
        <w:tc>
          <w:tcPr>
            <w:tcW w:w="1443" w:type="pct"/>
            <w:vMerge w:val="restart"/>
            <w:vAlign w:val="center"/>
          </w:tcPr>
          <w:p w:rsidR="00EE56C0" w:rsidRDefault="000F36A1">
            <w:pPr>
              <w:pStyle w:val="afa"/>
            </w:pPr>
            <w:r>
              <w:rPr>
                <w:rFonts w:hint="eastAsia"/>
              </w:rPr>
              <w:t>连续监测</w:t>
            </w:r>
            <w:r>
              <w:t>2</w:t>
            </w:r>
            <w:r>
              <w:rPr>
                <w:rFonts w:hint="eastAsia"/>
              </w:rPr>
              <w:t>天，每天昼夜各监测一次</w:t>
            </w:r>
          </w:p>
        </w:tc>
        <w:tc>
          <w:tcPr>
            <w:tcW w:w="1338" w:type="pct"/>
            <w:vMerge w:val="restart"/>
            <w:vAlign w:val="center"/>
          </w:tcPr>
          <w:p w:rsidR="00EE56C0" w:rsidRDefault="000F36A1">
            <w:pPr>
              <w:pStyle w:val="afa"/>
            </w:pPr>
            <w:r>
              <w:rPr>
                <w:rFonts w:hint="eastAsia"/>
              </w:rPr>
              <w:t>《声环境质量标准》</w:t>
            </w:r>
            <w:r>
              <w:rPr>
                <w:rFonts w:hint="eastAsia"/>
              </w:rPr>
              <w:t>GB3096-2008</w:t>
            </w:r>
            <w:r>
              <w:rPr>
                <w:rFonts w:hint="eastAsia"/>
              </w:rPr>
              <w:t>附录</w:t>
            </w:r>
            <w:r>
              <w:rPr>
                <w:rFonts w:hint="eastAsia"/>
              </w:rPr>
              <w:t>B</w:t>
            </w:r>
            <w:r>
              <w:rPr>
                <w:rFonts w:hint="eastAsia"/>
              </w:rPr>
              <w:t>《声环境功能区监测方法》</w:t>
            </w:r>
          </w:p>
        </w:tc>
      </w:tr>
      <w:tr w:rsidR="00EE56C0">
        <w:trPr>
          <w:trHeight w:val="397"/>
          <w:jc w:val="center"/>
        </w:trPr>
        <w:tc>
          <w:tcPr>
            <w:tcW w:w="1129" w:type="pct"/>
            <w:tcMar>
              <w:top w:w="57" w:type="dxa"/>
              <w:left w:w="0" w:type="dxa"/>
              <w:bottom w:w="57" w:type="dxa"/>
              <w:right w:w="0" w:type="dxa"/>
            </w:tcMar>
            <w:vAlign w:val="center"/>
          </w:tcPr>
          <w:p w:rsidR="00EE56C0" w:rsidRDefault="000F36A1">
            <w:pPr>
              <w:pStyle w:val="afa"/>
            </w:pPr>
            <w:r>
              <w:rPr>
                <w:rFonts w:hint="eastAsia"/>
              </w:rPr>
              <w:t>南厂界</w:t>
            </w:r>
          </w:p>
        </w:tc>
        <w:tc>
          <w:tcPr>
            <w:tcW w:w="1089" w:type="pct"/>
            <w:vMerge/>
            <w:vAlign w:val="center"/>
          </w:tcPr>
          <w:p w:rsidR="00EE56C0" w:rsidRDefault="00EE56C0">
            <w:pPr>
              <w:pStyle w:val="afa"/>
            </w:pPr>
          </w:p>
        </w:tc>
        <w:tc>
          <w:tcPr>
            <w:tcW w:w="1443" w:type="pct"/>
            <w:vMerge/>
            <w:vAlign w:val="center"/>
          </w:tcPr>
          <w:p w:rsidR="00EE56C0" w:rsidRDefault="00EE56C0">
            <w:pPr>
              <w:pStyle w:val="afa"/>
            </w:pPr>
          </w:p>
        </w:tc>
        <w:tc>
          <w:tcPr>
            <w:tcW w:w="1338" w:type="pct"/>
            <w:vMerge/>
            <w:vAlign w:val="center"/>
          </w:tcPr>
          <w:p w:rsidR="00EE56C0" w:rsidRDefault="00EE56C0">
            <w:pPr>
              <w:pStyle w:val="afa"/>
            </w:pPr>
          </w:p>
        </w:tc>
      </w:tr>
      <w:tr w:rsidR="00EE56C0">
        <w:trPr>
          <w:trHeight w:val="397"/>
          <w:jc w:val="center"/>
        </w:trPr>
        <w:tc>
          <w:tcPr>
            <w:tcW w:w="1129" w:type="pct"/>
            <w:tcMar>
              <w:top w:w="57" w:type="dxa"/>
              <w:left w:w="0" w:type="dxa"/>
              <w:bottom w:w="57" w:type="dxa"/>
              <w:right w:w="0" w:type="dxa"/>
            </w:tcMar>
            <w:vAlign w:val="center"/>
          </w:tcPr>
          <w:p w:rsidR="00EE56C0" w:rsidRDefault="000F36A1">
            <w:pPr>
              <w:pStyle w:val="afa"/>
            </w:pPr>
            <w:r>
              <w:rPr>
                <w:rFonts w:hint="eastAsia"/>
              </w:rPr>
              <w:t>西厂界</w:t>
            </w:r>
          </w:p>
        </w:tc>
        <w:tc>
          <w:tcPr>
            <w:tcW w:w="1089" w:type="pct"/>
            <w:vMerge/>
            <w:vAlign w:val="center"/>
          </w:tcPr>
          <w:p w:rsidR="00EE56C0" w:rsidRDefault="00EE56C0">
            <w:pPr>
              <w:pStyle w:val="afa"/>
            </w:pPr>
          </w:p>
        </w:tc>
        <w:tc>
          <w:tcPr>
            <w:tcW w:w="1443" w:type="pct"/>
            <w:vMerge/>
            <w:vAlign w:val="center"/>
          </w:tcPr>
          <w:p w:rsidR="00EE56C0" w:rsidRDefault="00EE56C0">
            <w:pPr>
              <w:pStyle w:val="afa"/>
            </w:pPr>
          </w:p>
        </w:tc>
        <w:tc>
          <w:tcPr>
            <w:tcW w:w="1338" w:type="pct"/>
            <w:vMerge/>
            <w:vAlign w:val="center"/>
          </w:tcPr>
          <w:p w:rsidR="00EE56C0" w:rsidRDefault="00EE56C0">
            <w:pPr>
              <w:pStyle w:val="afa"/>
            </w:pPr>
          </w:p>
        </w:tc>
      </w:tr>
      <w:tr w:rsidR="00EE56C0">
        <w:trPr>
          <w:trHeight w:val="397"/>
          <w:jc w:val="center"/>
        </w:trPr>
        <w:tc>
          <w:tcPr>
            <w:tcW w:w="1129" w:type="pct"/>
            <w:tcMar>
              <w:top w:w="57" w:type="dxa"/>
              <w:left w:w="0" w:type="dxa"/>
              <w:bottom w:w="57" w:type="dxa"/>
              <w:right w:w="0" w:type="dxa"/>
            </w:tcMar>
            <w:vAlign w:val="center"/>
          </w:tcPr>
          <w:p w:rsidR="00EE56C0" w:rsidRDefault="000F36A1">
            <w:pPr>
              <w:pStyle w:val="afa"/>
            </w:pPr>
            <w:r>
              <w:rPr>
                <w:rFonts w:hint="eastAsia"/>
              </w:rPr>
              <w:t>北厂界</w:t>
            </w:r>
          </w:p>
        </w:tc>
        <w:tc>
          <w:tcPr>
            <w:tcW w:w="1089" w:type="pct"/>
            <w:vMerge/>
            <w:vAlign w:val="center"/>
          </w:tcPr>
          <w:p w:rsidR="00EE56C0" w:rsidRDefault="00EE56C0">
            <w:pPr>
              <w:pStyle w:val="afa"/>
            </w:pPr>
          </w:p>
        </w:tc>
        <w:tc>
          <w:tcPr>
            <w:tcW w:w="1443" w:type="pct"/>
            <w:vMerge/>
            <w:vAlign w:val="center"/>
          </w:tcPr>
          <w:p w:rsidR="00EE56C0" w:rsidRDefault="00EE56C0">
            <w:pPr>
              <w:pStyle w:val="afa"/>
            </w:pPr>
          </w:p>
        </w:tc>
        <w:tc>
          <w:tcPr>
            <w:tcW w:w="1338" w:type="pct"/>
            <w:vMerge/>
            <w:vAlign w:val="center"/>
          </w:tcPr>
          <w:p w:rsidR="00EE56C0" w:rsidRDefault="00EE56C0">
            <w:pPr>
              <w:pStyle w:val="afa"/>
            </w:pPr>
          </w:p>
        </w:tc>
      </w:tr>
    </w:tbl>
    <w:p w:rsidR="00EE56C0" w:rsidRDefault="000F36A1">
      <w:pPr>
        <w:pStyle w:val="4"/>
        <w:ind w:left="120" w:firstLine="241"/>
      </w:pPr>
      <w:r>
        <w:rPr>
          <w:rFonts w:hint="eastAsia"/>
        </w:rPr>
        <w:t>4.2.5.3</w:t>
      </w:r>
      <w:r>
        <w:rPr>
          <w:rFonts w:hint="eastAsia"/>
        </w:rPr>
        <w:t>评价标准</w:t>
      </w:r>
    </w:p>
    <w:p w:rsidR="00EE56C0" w:rsidRDefault="000F36A1">
      <w:pPr>
        <w:ind w:firstLine="480"/>
      </w:pPr>
      <w:r>
        <w:rPr>
          <w:rFonts w:hint="eastAsia"/>
        </w:rPr>
        <w:t>根据新乡县环境保护局关于本次环评执行标准的批复意见，本项目厂界执行《声环境质量标准》</w:t>
      </w:r>
      <w:r>
        <w:t>（</w:t>
      </w:r>
      <w:r>
        <w:t>GB3096-2008</w:t>
      </w:r>
      <w:r>
        <w:t>）</w:t>
      </w:r>
      <w:r>
        <w:rPr>
          <w:rFonts w:hint="eastAsia"/>
        </w:rPr>
        <w:t>3</w:t>
      </w:r>
      <w:r>
        <w:rPr>
          <w:rFonts w:hint="eastAsia"/>
        </w:rPr>
        <w:t>类</w:t>
      </w:r>
      <w:r>
        <w:t>标准</w:t>
      </w:r>
      <w:r>
        <w:rPr>
          <w:rFonts w:hint="eastAsia"/>
        </w:rPr>
        <w:t>。</w:t>
      </w:r>
    </w:p>
    <w:p w:rsidR="00EE56C0" w:rsidRDefault="000F36A1">
      <w:pPr>
        <w:pStyle w:val="afd"/>
        <w:spacing w:before="120" w:after="120"/>
        <w:ind w:firstLine="482"/>
      </w:pPr>
      <w:r>
        <w:t>表</w:t>
      </w:r>
      <w:r>
        <w:rPr>
          <w:rFonts w:hint="eastAsia"/>
        </w:rPr>
        <w:t xml:space="preserve">4-23          </w:t>
      </w:r>
      <w:r>
        <w:t>声环境现状监测评价标准</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2072"/>
        <w:gridCol w:w="2004"/>
        <w:gridCol w:w="4452"/>
      </w:tblGrid>
      <w:tr w:rsidR="00EE56C0">
        <w:trPr>
          <w:cantSplit/>
          <w:trHeight w:val="454"/>
          <w:jc w:val="center"/>
        </w:trPr>
        <w:tc>
          <w:tcPr>
            <w:tcW w:w="1215" w:type="pct"/>
            <w:vAlign w:val="center"/>
          </w:tcPr>
          <w:p w:rsidR="00EE56C0" w:rsidRDefault="000F36A1">
            <w:pPr>
              <w:pStyle w:val="aff1"/>
              <w:rPr>
                <w:color w:val="auto"/>
              </w:rPr>
            </w:pPr>
            <w:r>
              <w:rPr>
                <w:color w:val="auto"/>
              </w:rPr>
              <w:t>位</w:t>
            </w:r>
            <w:r>
              <w:rPr>
                <w:color w:val="auto"/>
              </w:rPr>
              <w:t xml:space="preserve"> </w:t>
            </w:r>
            <w:r>
              <w:rPr>
                <w:color w:val="auto"/>
              </w:rPr>
              <w:t>置</w:t>
            </w:r>
          </w:p>
        </w:tc>
        <w:tc>
          <w:tcPr>
            <w:tcW w:w="1175" w:type="pct"/>
            <w:vAlign w:val="center"/>
          </w:tcPr>
          <w:p w:rsidR="00EE56C0" w:rsidRDefault="000F36A1">
            <w:pPr>
              <w:pStyle w:val="aff1"/>
              <w:rPr>
                <w:color w:val="auto"/>
              </w:rPr>
            </w:pPr>
            <w:r>
              <w:rPr>
                <w:color w:val="auto"/>
              </w:rPr>
              <w:t>标准值</w:t>
            </w:r>
            <w:r>
              <w:rPr>
                <w:color w:val="auto"/>
              </w:rPr>
              <w:t>dB</w:t>
            </w:r>
            <w:r>
              <w:rPr>
                <w:color w:val="auto"/>
              </w:rPr>
              <w:t>（</w:t>
            </w:r>
            <w:r>
              <w:rPr>
                <w:color w:val="auto"/>
              </w:rPr>
              <w:t>A</w:t>
            </w:r>
            <w:r>
              <w:rPr>
                <w:color w:val="auto"/>
              </w:rPr>
              <w:t>）</w:t>
            </w:r>
          </w:p>
        </w:tc>
        <w:tc>
          <w:tcPr>
            <w:tcW w:w="2610" w:type="pct"/>
            <w:vAlign w:val="center"/>
          </w:tcPr>
          <w:p w:rsidR="00EE56C0" w:rsidRDefault="000F36A1">
            <w:pPr>
              <w:pStyle w:val="aff1"/>
              <w:rPr>
                <w:color w:val="auto"/>
              </w:rPr>
            </w:pPr>
            <w:r>
              <w:rPr>
                <w:color w:val="auto"/>
              </w:rPr>
              <w:t>标准来源</w:t>
            </w:r>
          </w:p>
        </w:tc>
      </w:tr>
      <w:tr w:rsidR="00EE56C0">
        <w:trPr>
          <w:cantSplit/>
          <w:trHeight w:val="454"/>
          <w:jc w:val="center"/>
        </w:trPr>
        <w:tc>
          <w:tcPr>
            <w:tcW w:w="1215" w:type="pct"/>
            <w:vAlign w:val="center"/>
          </w:tcPr>
          <w:p w:rsidR="00EE56C0" w:rsidRDefault="000F36A1">
            <w:pPr>
              <w:pStyle w:val="afa"/>
            </w:pPr>
            <w:r>
              <w:rPr>
                <w:rFonts w:hint="eastAsia"/>
              </w:rPr>
              <w:t>东、南厂界</w:t>
            </w:r>
          </w:p>
        </w:tc>
        <w:tc>
          <w:tcPr>
            <w:tcW w:w="1175" w:type="pct"/>
            <w:vAlign w:val="center"/>
          </w:tcPr>
          <w:p w:rsidR="00EE56C0" w:rsidRDefault="000F36A1">
            <w:pPr>
              <w:pStyle w:val="afa"/>
            </w:pPr>
            <w:r>
              <w:t>昼</w:t>
            </w:r>
            <w:r>
              <w:t>6</w:t>
            </w:r>
            <w:r>
              <w:rPr>
                <w:rFonts w:hint="eastAsia"/>
              </w:rPr>
              <w:t>5</w:t>
            </w:r>
            <w:r>
              <w:t>、夜</w:t>
            </w:r>
            <w:r>
              <w:t>5</w:t>
            </w:r>
            <w:r>
              <w:rPr>
                <w:rFonts w:hint="eastAsia"/>
              </w:rPr>
              <w:t>5</w:t>
            </w:r>
          </w:p>
        </w:tc>
        <w:tc>
          <w:tcPr>
            <w:tcW w:w="2610" w:type="pct"/>
            <w:vAlign w:val="center"/>
          </w:tcPr>
          <w:p w:rsidR="00EE56C0" w:rsidRDefault="000F36A1">
            <w:pPr>
              <w:pStyle w:val="afa"/>
            </w:pPr>
            <w:r>
              <w:t>《声环境质量标准》（</w:t>
            </w:r>
            <w:r>
              <w:t>GB3096-2008</w:t>
            </w:r>
            <w:r>
              <w:rPr>
                <w:rFonts w:hint="eastAsia"/>
              </w:rPr>
              <w:t>）</w:t>
            </w:r>
            <w:r>
              <w:rPr>
                <w:rFonts w:hint="eastAsia"/>
              </w:rPr>
              <w:t>3</w:t>
            </w:r>
            <w:r>
              <w:t>类</w:t>
            </w:r>
          </w:p>
        </w:tc>
      </w:tr>
    </w:tbl>
    <w:p w:rsidR="00EE56C0" w:rsidRDefault="000F36A1">
      <w:pPr>
        <w:pStyle w:val="4"/>
        <w:ind w:left="120" w:firstLine="241"/>
      </w:pPr>
      <w:r>
        <w:rPr>
          <w:rFonts w:hint="eastAsia"/>
        </w:rPr>
        <w:t>4.2.5.4</w:t>
      </w:r>
      <w:r>
        <w:rPr>
          <w:rFonts w:hint="eastAsia"/>
        </w:rPr>
        <w:t>评价方法</w:t>
      </w:r>
    </w:p>
    <w:p w:rsidR="00EE56C0" w:rsidRDefault="000F36A1">
      <w:pPr>
        <w:ind w:firstLine="480"/>
      </w:pPr>
      <w:r>
        <w:rPr>
          <w:rFonts w:hint="eastAsia"/>
        </w:rPr>
        <w:t>根据噪声现状监测统计结果的等效声级，采用与评价标准直接比较的方法，对评价范围内的声环境现状进行评价。</w:t>
      </w:r>
    </w:p>
    <w:p w:rsidR="00EE56C0" w:rsidRDefault="000F36A1">
      <w:pPr>
        <w:pStyle w:val="4"/>
        <w:ind w:left="120" w:firstLine="241"/>
      </w:pPr>
      <w:r>
        <w:rPr>
          <w:rFonts w:hint="eastAsia"/>
        </w:rPr>
        <w:t>4.2.5.5</w:t>
      </w:r>
      <w:r>
        <w:rPr>
          <w:rFonts w:hint="eastAsia"/>
        </w:rPr>
        <w:t>监测结果统计和评价结果</w:t>
      </w:r>
    </w:p>
    <w:p w:rsidR="00EE56C0" w:rsidRDefault="000F36A1">
      <w:pPr>
        <w:ind w:firstLine="480"/>
      </w:pPr>
      <w:r>
        <w:rPr>
          <w:rFonts w:hint="eastAsia"/>
        </w:rPr>
        <w:t>各监测点现状监测统计结果见表</w:t>
      </w:r>
      <w:r>
        <w:rPr>
          <w:rFonts w:hint="eastAsia"/>
        </w:rPr>
        <w:t>4-24</w:t>
      </w:r>
      <w:r>
        <w:rPr>
          <w:rFonts w:hint="eastAsia"/>
        </w:rPr>
        <w:t>。</w:t>
      </w:r>
    </w:p>
    <w:p w:rsidR="00EE56C0" w:rsidRDefault="00EE56C0">
      <w:pPr>
        <w:pStyle w:val="afd"/>
        <w:spacing w:before="120" w:after="120"/>
        <w:ind w:firstLine="482"/>
        <w:rPr>
          <w:kern w:val="0"/>
        </w:rPr>
      </w:pPr>
    </w:p>
    <w:p w:rsidR="00EE56C0" w:rsidRDefault="00EE56C0">
      <w:pPr>
        <w:pStyle w:val="afd"/>
        <w:spacing w:before="120" w:after="120"/>
        <w:ind w:firstLine="482"/>
        <w:rPr>
          <w:kern w:val="0"/>
        </w:rPr>
      </w:pPr>
    </w:p>
    <w:p w:rsidR="00EE56C0" w:rsidRDefault="00EE56C0">
      <w:pPr>
        <w:pStyle w:val="afd"/>
        <w:spacing w:before="120" w:after="120"/>
        <w:ind w:firstLine="482"/>
        <w:rPr>
          <w:kern w:val="0"/>
        </w:rPr>
      </w:pPr>
    </w:p>
    <w:p w:rsidR="00EE56C0" w:rsidRDefault="00EE56C0">
      <w:pPr>
        <w:pStyle w:val="afd"/>
        <w:spacing w:before="120" w:after="120"/>
        <w:ind w:firstLine="482"/>
        <w:rPr>
          <w:kern w:val="0"/>
        </w:rPr>
      </w:pPr>
    </w:p>
    <w:p w:rsidR="00EE56C0" w:rsidRDefault="000F36A1">
      <w:pPr>
        <w:pStyle w:val="afd"/>
        <w:spacing w:before="120" w:after="120"/>
        <w:ind w:firstLine="482"/>
        <w:rPr>
          <w:kern w:val="0"/>
        </w:rPr>
      </w:pPr>
      <w:r>
        <w:rPr>
          <w:rFonts w:hint="eastAsia"/>
          <w:kern w:val="0"/>
        </w:rPr>
        <w:lastRenderedPageBreak/>
        <w:t>表</w:t>
      </w:r>
      <w:r>
        <w:rPr>
          <w:rFonts w:hint="eastAsia"/>
        </w:rPr>
        <w:t>4-24</w:t>
      </w:r>
      <w:r>
        <w:rPr>
          <w:rFonts w:hint="eastAsia"/>
          <w:kern w:val="0"/>
        </w:rPr>
        <w:t xml:space="preserve">                    </w:t>
      </w:r>
      <w:r>
        <w:rPr>
          <w:rFonts w:hint="eastAsia"/>
          <w:kern w:val="0"/>
        </w:rPr>
        <w:t>噪声监测结果</w:t>
      </w:r>
    </w:p>
    <w:tbl>
      <w:tblPr>
        <w:tblW w:w="0" w:type="auto"/>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tblPr>
      <w:tblGrid>
        <w:gridCol w:w="1772"/>
        <w:gridCol w:w="2160"/>
        <w:gridCol w:w="2295"/>
        <w:gridCol w:w="2295"/>
      </w:tblGrid>
      <w:tr w:rsidR="00EE56C0">
        <w:trPr>
          <w:trHeight w:val="425"/>
          <w:jc w:val="center"/>
        </w:trPr>
        <w:tc>
          <w:tcPr>
            <w:tcW w:w="1772" w:type="dxa"/>
            <w:vMerge w:val="restart"/>
            <w:vAlign w:val="center"/>
          </w:tcPr>
          <w:p w:rsidR="00EE56C0" w:rsidRDefault="000F36A1">
            <w:pPr>
              <w:pStyle w:val="aff1"/>
              <w:rPr>
                <w:color w:val="auto"/>
              </w:rPr>
            </w:pPr>
            <w:r>
              <w:rPr>
                <w:color w:val="auto"/>
              </w:rPr>
              <w:t>监测时间</w:t>
            </w:r>
          </w:p>
        </w:tc>
        <w:tc>
          <w:tcPr>
            <w:tcW w:w="2160" w:type="dxa"/>
            <w:vMerge w:val="restart"/>
            <w:vAlign w:val="center"/>
          </w:tcPr>
          <w:p w:rsidR="00EE56C0" w:rsidRDefault="000F36A1">
            <w:pPr>
              <w:pStyle w:val="aff1"/>
              <w:rPr>
                <w:color w:val="auto"/>
              </w:rPr>
            </w:pPr>
            <w:r>
              <w:rPr>
                <w:color w:val="auto"/>
              </w:rPr>
              <w:t>监测点位</w:t>
            </w:r>
          </w:p>
        </w:tc>
        <w:tc>
          <w:tcPr>
            <w:tcW w:w="4590" w:type="dxa"/>
            <w:gridSpan w:val="2"/>
            <w:vAlign w:val="center"/>
          </w:tcPr>
          <w:p w:rsidR="00EE56C0" w:rsidRDefault="000F36A1">
            <w:pPr>
              <w:pStyle w:val="aff1"/>
              <w:rPr>
                <w:color w:val="auto"/>
              </w:rPr>
            </w:pPr>
            <w:r>
              <w:rPr>
                <w:color w:val="auto"/>
              </w:rPr>
              <w:t>监测结果</w:t>
            </w:r>
            <w:r>
              <w:rPr>
                <w:color w:val="auto"/>
              </w:rPr>
              <w:t>dB(A)</w:t>
            </w:r>
          </w:p>
        </w:tc>
      </w:tr>
      <w:tr w:rsidR="00EE56C0">
        <w:trPr>
          <w:trHeight w:val="425"/>
          <w:jc w:val="center"/>
        </w:trPr>
        <w:tc>
          <w:tcPr>
            <w:tcW w:w="1772" w:type="dxa"/>
            <w:vMerge/>
            <w:vAlign w:val="center"/>
          </w:tcPr>
          <w:p w:rsidR="00EE56C0" w:rsidRDefault="00EE56C0">
            <w:pPr>
              <w:pStyle w:val="aff1"/>
              <w:rPr>
                <w:color w:val="auto"/>
              </w:rPr>
            </w:pPr>
          </w:p>
        </w:tc>
        <w:tc>
          <w:tcPr>
            <w:tcW w:w="2160" w:type="dxa"/>
            <w:vMerge/>
            <w:vAlign w:val="center"/>
          </w:tcPr>
          <w:p w:rsidR="00EE56C0" w:rsidRDefault="00EE56C0">
            <w:pPr>
              <w:pStyle w:val="aff1"/>
              <w:rPr>
                <w:color w:val="auto"/>
              </w:rPr>
            </w:pPr>
          </w:p>
        </w:tc>
        <w:tc>
          <w:tcPr>
            <w:tcW w:w="2295" w:type="dxa"/>
            <w:vAlign w:val="center"/>
          </w:tcPr>
          <w:p w:rsidR="00EE56C0" w:rsidRDefault="000F36A1">
            <w:pPr>
              <w:pStyle w:val="aff1"/>
              <w:rPr>
                <w:color w:val="auto"/>
              </w:rPr>
            </w:pPr>
            <w:r>
              <w:rPr>
                <w:color w:val="auto"/>
              </w:rPr>
              <w:t>昼间</w:t>
            </w:r>
          </w:p>
        </w:tc>
        <w:tc>
          <w:tcPr>
            <w:tcW w:w="2295" w:type="dxa"/>
            <w:vAlign w:val="center"/>
          </w:tcPr>
          <w:p w:rsidR="00EE56C0" w:rsidRDefault="000F36A1">
            <w:pPr>
              <w:pStyle w:val="aff1"/>
              <w:rPr>
                <w:color w:val="auto"/>
              </w:rPr>
            </w:pPr>
            <w:r>
              <w:rPr>
                <w:rFonts w:hint="eastAsia"/>
                <w:color w:val="auto"/>
              </w:rPr>
              <w:t>夜间</w:t>
            </w:r>
          </w:p>
        </w:tc>
      </w:tr>
      <w:tr w:rsidR="00EE56C0">
        <w:trPr>
          <w:trHeight w:val="425"/>
          <w:jc w:val="center"/>
        </w:trPr>
        <w:tc>
          <w:tcPr>
            <w:tcW w:w="1772" w:type="dxa"/>
            <w:vMerge w:val="restart"/>
            <w:vAlign w:val="center"/>
          </w:tcPr>
          <w:p w:rsidR="00EE56C0" w:rsidRDefault="000F36A1">
            <w:pPr>
              <w:pStyle w:val="afa"/>
            </w:pPr>
            <w:r>
              <w:rPr>
                <w:rFonts w:hint="eastAsia"/>
              </w:rPr>
              <w:t>2021.04.05</w:t>
            </w:r>
          </w:p>
        </w:tc>
        <w:tc>
          <w:tcPr>
            <w:tcW w:w="2160" w:type="dxa"/>
            <w:vAlign w:val="center"/>
          </w:tcPr>
          <w:p w:rsidR="00EE56C0" w:rsidRDefault="000F36A1">
            <w:pPr>
              <w:pStyle w:val="afa"/>
            </w:pPr>
            <w:r>
              <w:t>东厂界</w:t>
            </w:r>
          </w:p>
        </w:tc>
        <w:tc>
          <w:tcPr>
            <w:tcW w:w="2295" w:type="dxa"/>
            <w:vAlign w:val="center"/>
          </w:tcPr>
          <w:p w:rsidR="00EE56C0" w:rsidRDefault="000F36A1">
            <w:pPr>
              <w:pStyle w:val="afa"/>
            </w:pPr>
            <w:r>
              <w:rPr>
                <w:rFonts w:hint="eastAsia"/>
              </w:rPr>
              <w:t>53</w:t>
            </w:r>
          </w:p>
        </w:tc>
        <w:tc>
          <w:tcPr>
            <w:tcW w:w="2295" w:type="dxa"/>
            <w:vAlign w:val="center"/>
          </w:tcPr>
          <w:p w:rsidR="00EE56C0" w:rsidRDefault="000F36A1">
            <w:pPr>
              <w:pStyle w:val="afa"/>
            </w:pPr>
            <w:r>
              <w:rPr>
                <w:rFonts w:hint="eastAsia"/>
              </w:rPr>
              <w:t>44</w:t>
            </w:r>
          </w:p>
        </w:tc>
      </w:tr>
      <w:tr w:rsidR="00EE56C0">
        <w:trPr>
          <w:trHeight w:val="425"/>
          <w:jc w:val="center"/>
        </w:trPr>
        <w:tc>
          <w:tcPr>
            <w:tcW w:w="1772" w:type="dxa"/>
            <w:vMerge/>
            <w:vAlign w:val="center"/>
          </w:tcPr>
          <w:p w:rsidR="00EE56C0" w:rsidRDefault="00EE56C0">
            <w:pPr>
              <w:pStyle w:val="afa"/>
            </w:pPr>
          </w:p>
        </w:tc>
        <w:tc>
          <w:tcPr>
            <w:tcW w:w="2160" w:type="dxa"/>
            <w:vAlign w:val="center"/>
          </w:tcPr>
          <w:p w:rsidR="00EE56C0" w:rsidRDefault="000F36A1">
            <w:pPr>
              <w:pStyle w:val="afa"/>
            </w:pPr>
            <w:r>
              <w:t>南厂界</w:t>
            </w:r>
          </w:p>
        </w:tc>
        <w:tc>
          <w:tcPr>
            <w:tcW w:w="2295" w:type="dxa"/>
            <w:vAlign w:val="center"/>
          </w:tcPr>
          <w:p w:rsidR="00EE56C0" w:rsidRDefault="000F36A1">
            <w:pPr>
              <w:pStyle w:val="afa"/>
            </w:pPr>
            <w:r>
              <w:rPr>
                <w:rFonts w:hint="eastAsia"/>
              </w:rPr>
              <w:t>52</w:t>
            </w:r>
          </w:p>
        </w:tc>
        <w:tc>
          <w:tcPr>
            <w:tcW w:w="2295" w:type="dxa"/>
            <w:vAlign w:val="center"/>
          </w:tcPr>
          <w:p w:rsidR="00EE56C0" w:rsidRDefault="000F36A1">
            <w:pPr>
              <w:pStyle w:val="afa"/>
            </w:pPr>
            <w:r>
              <w:rPr>
                <w:rFonts w:hint="eastAsia"/>
              </w:rPr>
              <w:t>42</w:t>
            </w:r>
          </w:p>
        </w:tc>
      </w:tr>
      <w:tr w:rsidR="00EE56C0">
        <w:trPr>
          <w:trHeight w:val="425"/>
          <w:jc w:val="center"/>
        </w:trPr>
        <w:tc>
          <w:tcPr>
            <w:tcW w:w="1772" w:type="dxa"/>
            <w:vMerge/>
            <w:vAlign w:val="center"/>
          </w:tcPr>
          <w:p w:rsidR="00EE56C0" w:rsidRDefault="00EE56C0">
            <w:pPr>
              <w:pStyle w:val="afa"/>
            </w:pPr>
          </w:p>
        </w:tc>
        <w:tc>
          <w:tcPr>
            <w:tcW w:w="2160" w:type="dxa"/>
            <w:vAlign w:val="center"/>
          </w:tcPr>
          <w:p w:rsidR="00EE56C0" w:rsidRDefault="000F36A1">
            <w:pPr>
              <w:pStyle w:val="afa"/>
            </w:pPr>
            <w:r>
              <w:t>西厂界</w:t>
            </w:r>
          </w:p>
        </w:tc>
        <w:tc>
          <w:tcPr>
            <w:tcW w:w="2295" w:type="dxa"/>
            <w:vAlign w:val="center"/>
          </w:tcPr>
          <w:p w:rsidR="00EE56C0" w:rsidRDefault="000F36A1">
            <w:pPr>
              <w:pStyle w:val="afa"/>
            </w:pPr>
            <w:r>
              <w:rPr>
                <w:rFonts w:hint="eastAsia"/>
              </w:rPr>
              <w:t>54</w:t>
            </w:r>
          </w:p>
        </w:tc>
        <w:tc>
          <w:tcPr>
            <w:tcW w:w="2295" w:type="dxa"/>
            <w:vAlign w:val="center"/>
          </w:tcPr>
          <w:p w:rsidR="00EE56C0" w:rsidRDefault="000F36A1">
            <w:pPr>
              <w:pStyle w:val="afa"/>
            </w:pPr>
            <w:r>
              <w:rPr>
                <w:rFonts w:hint="eastAsia"/>
              </w:rPr>
              <w:t>43</w:t>
            </w:r>
          </w:p>
        </w:tc>
      </w:tr>
      <w:tr w:rsidR="00EE56C0">
        <w:trPr>
          <w:trHeight w:val="425"/>
          <w:jc w:val="center"/>
        </w:trPr>
        <w:tc>
          <w:tcPr>
            <w:tcW w:w="1772" w:type="dxa"/>
            <w:vMerge/>
            <w:vAlign w:val="center"/>
          </w:tcPr>
          <w:p w:rsidR="00EE56C0" w:rsidRDefault="00EE56C0">
            <w:pPr>
              <w:pStyle w:val="afa"/>
            </w:pPr>
          </w:p>
        </w:tc>
        <w:tc>
          <w:tcPr>
            <w:tcW w:w="2160" w:type="dxa"/>
            <w:vAlign w:val="center"/>
          </w:tcPr>
          <w:p w:rsidR="00EE56C0" w:rsidRDefault="000F36A1">
            <w:pPr>
              <w:pStyle w:val="afa"/>
            </w:pPr>
            <w:r>
              <w:t>北厂界</w:t>
            </w:r>
          </w:p>
        </w:tc>
        <w:tc>
          <w:tcPr>
            <w:tcW w:w="2295" w:type="dxa"/>
            <w:vAlign w:val="center"/>
          </w:tcPr>
          <w:p w:rsidR="00EE56C0" w:rsidRDefault="000F36A1">
            <w:pPr>
              <w:pStyle w:val="afa"/>
            </w:pPr>
            <w:r>
              <w:rPr>
                <w:rFonts w:hint="eastAsia"/>
              </w:rPr>
              <w:t>53</w:t>
            </w:r>
          </w:p>
        </w:tc>
        <w:tc>
          <w:tcPr>
            <w:tcW w:w="2295" w:type="dxa"/>
            <w:vAlign w:val="center"/>
          </w:tcPr>
          <w:p w:rsidR="00EE56C0" w:rsidRDefault="000F36A1">
            <w:pPr>
              <w:pStyle w:val="afa"/>
            </w:pPr>
            <w:r>
              <w:rPr>
                <w:rFonts w:hint="eastAsia"/>
              </w:rPr>
              <w:t>42</w:t>
            </w:r>
          </w:p>
        </w:tc>
      </w:tr>
      <w:tr w:rsidR="00EE56C0">
        <w:trPr>
          <w:trHeight w:val="425"/>
          <w:jc w:val="center"/>
        </w:trPr>
        <w:tc>
          <w:tcPr>
            <w:tcW w:w="1772" w:type="dxa"/>
            <w:vMerge w:val="restart"/>
            <w:vAlign w:val="center"/>
          </w:tcPr>
          <w:p w:rsidR="00EE56C0" w:rsidRDefault="000F36A1">
            <w:pPr>
              <w:pStyle w:val="afa"/>
            </w:pPr>
            <w:r>
              <w:rPr>
                <w:rFonts w:hint="eastAsia"/>
              </w:rPr>
              <w:t>2021.04.06</w:t>
            </w:r>
          </w:p>
        </w:tc>
        <w:tc>
          <w:tcPr>
            <w:tcW w:w="2160" w:type="dxa"/>
            <w:vAlign w:val="center"/>
          </w:tcPr>
          <w:p w:rsidR="00EE56C0" w:rsidRDefault="000F36A1">
            <w:pPr>
              <w:pStyle w:val="afa"/>
            </w:pPr>
            <w:r>
              <w:t>东厂界</w:t>
            </w:r>
          </w:p>
        </w:tc>
        <w:tc>
          <w:tcPr>
            <w:tcW w:w="2295" w:type="dxa"/>
            <w:vAlign w:val="center"/>
          </w:tcPr>
          <w:p w:rsidR="00EE56C0" w:rsidRDefault="000F36A1">
            <w:pPr>
              <w:pStyle w:val="afa"/>
            </w:pPr>
            <w:r>
              <w:rPr>
                <w:rFonts w:hint="eastAsia"/>
              </w:rPr>
              <w:t>52</w:t>
            </w:r>
          </w:p>
        </w:tc>
        <w:tc>
          <w:tcPr>
            <w:tcW w:w="2295" w:type="dxa"/>
            <w:vAlign w:val="center"/>
          </w:tcPr>
          <w:p w:rsidR="00EE56C0" w:rsidRDefault="000F36A1">
            <w:pPr>
              <w:pStyle w:val="afa"/>
            </w:pPr>
            <w:r>
              <w:rPr>
                <w:rFonts w:hint="eastAsia"/>
              </w:rPr>
              <w:t>43</w:t>
            </w:r>
          </w:p>
        </w:tc>
      </w:tr>
      <w:tr w:rsidR="00EE56C0">
        <w:trPr>
          <w:trHeight w:val="425"/>
          <w:jc w:val="center"/>
        </w:trPr>
        <w:tc>
          <w:tcPr>
            <w:tcW w:w="1772" w:type="dxa"/>
            <w:vMerge/>
            <w:vAlign w:val="center"/>
          </w:tcPr>
          <w:p w:rsidR="00EE56C0" w:rsidRDefault="00EE56C0">
            <w:pPr>
              <w:pStyle w:val="afa"/>
            </w:pPr>
          </w:p>
        </w:tc>
        <w:tc>
          <w:tcPr>
            <w:tcW w:w="2160" w:type="dxa"/>
            <w:vAlign w:val="center"/>
          </w:tcPr>
          <w:p w:rsidR="00EE56C0" w:rsidRDefault="000F36A1">
            <w:pPr>
              <w:pStyle w:val="afa"/>
            </w:pPr>
            <w:r>
              <w:t>南厂界</w:t>
            </w:r>
          </w:p>
        </w:tc>
        <w:tc>
          <w:tcPr>
            <w:tcW w:w="2295" w:type="dxa"/>
            <w:vAlign w:val="center"/>
          </w:tcPr>
          <w:p w:rsidR="00EE56C0" w:rsidRDefault="000F36A1">
            <w:pPr>
              <w:pStyle w:val="afa"/>
            </w:pPr>
            <w:r>
              <w:rPr>
                <w:rFonts w:hint="eastAsia"/>
              </w:rPr>
              <w:t>54</w:t>
            </w:r>
          </w:p>
        </w:tc>
        <w:tc>
          <w:tcPr>
            <w:tcW w:w="2295" w:type="dxa"/>
            <w:vAlign w:val="center"/>
          </w:tcPr>
          <w:p w:rsidR="00EE56C0" w:rsidRDefault="000F36A1">
            <w:pPr>
              <w:pStyle w:val="afa"/>
            </w:pPr>
            <w:r>
              <w:rPr>
                <w:rFonts w:hint="eastAsia"/>
              </w:rPr>
              <w:t>43</w:t>
            </w:r>
          </w:p>
        </w:tc>
      </w:tr>
      <w:tr w:rsidR="00EE56C0">
        <w:trPr>
          <w:trHeight w:val="425"/>
          <w:jc w:val="center"/>
        </w:trPr>
        <w:tc>
          <w:tcPr>
            <w:tcW w:w="1772" w:type="dxa"/>
            <w:vMerge/>
            <w:vAlign w:val="center"/>
          </w:tcPr>
          <w:p w:rsidR="00EE56C0" w:rsidRDefault="00EE56C0">
            <w:pPr>
              <w:pStyle w:val="afa"/>
            </w:pPr>
          </w:p>
        </w:tc>
        <w:tc>
          <w:tcPr>
            <w:tcW w:w="2160" w:type="dxa"/>
            <w:vAlign w:val="center"/>
          </w:tcPr>
          <w:p w:rsidR="00EE56C0" w:rsidRDefault="000F36A1">
            <w:pPr>
              <w:pStyle w:val="afa"/>
            </w:pPr>
            <w:r>
              <w:t>西厂界</w:t>
            </w:r>
          </w:p>
        </w:tc>
        <w:tc>
          <w:tcPr>
            <w:tcW w:w="2295" w:type="dxa"/>
            <w:vAlign w:val="center"/>
          </w:tcPr>
          <w:p w:rsidR="00EE56C0" w:rsidRDefault="000F36A1">
            <w:pPr>
              <w:pStyle w:val="afa"/>
            </w:pPr>
            <w:r>
              <w:rPr>
                <w:rFonts w:hint="eastAsia"/>
              </w:rPr>
              <w:t>53</w:t>
            </w:r>
          </w:p>
        </w:tc>
        <w:tc>
          <w:tcPr>
            <w:tcW w:w="2295" w:type="dxa"/>
            <w:vAlign w:val="center"/>
          </w:tcPr>
          <w:p w:rsidR="00EE56C0" w:rsidRDefault="000F36A1">
            <w:pPr>
              <w:pStyle w:val="afa"/>
            </w:pPr>
            <w:r>
              <w:rPr>
                <w:rFonts w:hint="eastAsia"/>
              </w:rPr>
              <w:t>42</w:t>
            </w:r>
          </w:p>
        </w:tc>
      </w:tr>
      <w:tr w:rsidR="00EE56C0">
        <w:trPr>
          <w:trHeight w:val="425"/>
          <w:jc w:val="center"/>
        </w:trPr>
        <w:tc>
          <w:tcPr>
            <w:tcW w:w="1772" w:type="dxa"/>
            <w:vMerge/>
            <w:vAlign w:val="center"/>
          </w:tcPr>
          <w:p w:rsidR="00EE56C0" w:rsidRDefault="00EE56C0">
            <w:pPr>
              <w:pStyle w:val="afa"/>
            </w:pPr>
          </w:p>
        </w:tc>
        <w:tc>
          <w:tcPr>
            <w:tcW w:w="2160" w:type="dxa"/>
            <w:vAlign w:val="center"/>
          </w:tcPr>
          <w:p w:rsidR="00EE56C0" w:rsidRDefault="000F36A1">
            <w:pPr>
              <w:pStyle w:val="afa"/>
            </w:pPr>
            <w:r>
              <w:t>北厂界</w:t>
            </w:r>
          </w:p>
        </w:tc>
        <w:tc>
          <w:tcPr>
            <w:tcW w:w="2295" w:type="dxa"/>
            <w:vAlign w:val="center"/>
          </w:tcPr>
          <w:p w:rsidR="00EE56C0" w:rsidRDefault="000F36A1">
            <w:pPr>
              <w:pStyle w:val="afa"/>
            </w:pPr>
            <w:r>
              <w:rPr>
                <w:rFonts w:hint="eastAsia"/>
              </w:rPr>
              <w:t>52</w:t>
            </w:r>
          </w:p>
        </w:tc>
        <w:tc>
          <w:tcPr>
            <w:tcW w:w="2295" w:type="dxa"/>
            <w:vAlign w:val="center"/>
          </w:tcPr>
          <w:p w:rsidR="00EE56C0" w:rsidRDefault="000F36A1">
            <w:pPr>
              <w:pStyle w:val="afa"/>
            </w:pPr>
            <w:r>
              <w:rPr>
                <w:rFonts w:hint="eastAsia"/>
              </w:rPr>
              <w:t>44</w:t>
            </w:r>
          </w:p>
        </w:tc>
      </w:tr>
      <w:tr w:rsidR="00EE56C0">
        <w:trPr>
          <w:trHeight w:val="425"/>
          <w:jc w:val="center"/>
        </w:trPr>
        <w:tc>
          <w:tcPr>
            <w:tcW w:w="3932" w:type="dxa"/>
            <w:gridSpan w:val="2"/>
            <w:vAlign w:val="center"/>
          </w:tcPr>
          <w:p w:rsidR="00EE56C0" w:rsidRDefault="000F36A1">
            <w:pPr>
              <w:pStyle w:val="afa"/>
            </w:pPr>
            <w:r>
              <w:rPr>
                <w:rFonts w:hint="eastAsia"/>
              </w:rPr>
              <w:t>《声环境质量标准》（</w:t>
            </w:r>
            <w:r>
              <w:rPr>
                <w:rFonts w:hint="eastAsia"/>
              </w:rPr>
              <w:t>GB3096-2008</w:t>
            </w:r>
            <w:r>
              <w:rPr>
                <w:rFonts w:hint="eastAsia"/>
              </w:rPr>
              <w:t>）</w:t>
            </w:r>
          </w:p>
          <w:p w:rsidR="00EE56C0" w:rsidRDefault="000F36A1">
            <w:pPr>
              <w:pStyle w:val="afa"/>
            </w:pPr>
            <w:r>
              <w:rPr>
                <w:rFonts w:hint="eastAsia"/>
              </w:rPr>
              <w:t>3</w:t>
            </w:r>
            <w:r>
              <w:rPr>
                <w:rFonts w:hint="eastAsia"/>
              </w:rPr>
              <w:t>类标准</w:t>
            </w:r>
          </w:p>
        </w:tc>
        <w:tc>
          <w:tcPr>
            <w:tcW w:w="2295" w:type="dxa"/>
            <w:vAlign w:val="center"/>
          </w:tcPr>
          <w:p w:rsidR="00EE56C0" w:rsidRDefault="000F36A1">
            <w:pPr>
              <w:pStyle w:val="afa"/>
            </w:pPr>
            <w:r>
              <w:rPr>
                <w:rFonts w:hint="eastAsia"/>
              </w:rPr>
              <w:t>65</w:t>
            </w:r>
          </w:p>
        </w:tc>
        <w:tc>
          <w:tcPr>
            <w:tcW w:w="2295" w:type="dxa"/>
            <w:vAlign w:val="center"/>
          </w:tcPr>
          <w:p w:rsidR="00EE56C0" w:rsidRDefault="000F36A1">
            <w:pPr>
              <w:pStyle w:val="afa"/>
            </w:pPr>
            <w:r>
              <w:rPr>
                <w:rFonts w:hint="eastAsia"/>
              </w:rPr>
              <w:t>55</w:t>
            </w:r>
          </w:p>
        </w:tc>
      </w:tr>
    </w:tbl>
    <w:p w:rsidR="00EE56C0" w:rsidRDefault="000F36A1">
      <w:pPr>
        <w:ind w:firstLine="480"/>
      </w:pPr>
      <w:r>
        <w:rPr>
          <w:rFonts w:hint="eastAsia"/>
        </w:rPr>
        <w:t>由监测结果可知：目前项目各厂界现状可以满足</w:t>
      </w:r>
      <w:r>
        <w:t>《声环境质量标准》（</w:t>
      </w:r>
      <w:r>
        <w:t>GB3096-2008</w:t>
      </w:r>
      <w:r>
        <w:rPr>
          <w:rFonts w:hint="eastAsia"/>
        </w:rPr>
        <w:t>）</w:t>
      </w:r>
      <w:r>
        <w:rPr>
          <w:rFonts w:hint="eastAsia"/>
        </w:rPr>
        <w:t>3</w:t>
      </w:r>
      <w:r>
        <w:rPr>
          <w:rFonts w:hint="eastAsia"/>
        </w:rPr>
        <w:t>类标准的要求。</w:t>
      </w:r>
    </w:p>
    <w:p w:rsidR="00EE56C0" w:rsidRDefault="000F36A1">
      <w:pPr>
        <w:pStyle w:val="3"/>
        <w:spacing w:before="240" w:after="120"/>
      </w:pPr>
      <w:bookmarkStart w:id="287" w:name="_Toc535836888"/>
      <w:r>
        <w:rPr>
          <w:rFonts w:hint="eastAsia"/>
        </w:rPr>
        <w:t>4.2.6</w:t>
      </w:r>
      <w:r>
        <w:rPr>
          <w:rFonts w:hint="eastAsia"/>
        </w:rPr>
        <w:t>土壤环境质量现状监测与评价</w:t>
      </w:r>
      <w:bookmarkEnd w:id="287"/>
    </w:p>
    <w:p w:rsidR="00EE56C0" w:rsidRDefault="000F36A1">
      <w:pPr>
        <w:ind w:firstLine="480"/>
        <w:rPr>
          <w:rFonts w:ascii="宋体" w:hAnsi="宋体"/>
        </w:rPr>
      </w:pPr>
      <w:bookmarkStart w:id="288" w:name="_Toc428287207"/>
      <w:bookmarkStart w:id="289" w:name="_Toc429318397"/>
      <w:bookmarkStart w:id="290" w:name="_Toc428286813"/>
      <w:r>
        <w:rPr>
          <w:rFonts w:hint="eastAsia"/>
        </w:rPr>
        <w:t>本项目利用现有厂房进行建设，根据本公司的岩土工程勘察报告，本项目所在区域内土壤的理化特性见下表：</w:t>
      </w:r>
    </w:p>
    <w:p w:rsidR="00EE56C0" w:rsidRDefault="00EE56C0">
      <w:pPr>
        <w:ind w:firstLine="480"/>
        <w:rPr>
          <w:rFonts w:ascii="宋体" w:hAnsi="宋体"/>
        </w:rPr>
      </w:pPr>
    </w:p>
    <w:p w:rsidR="00EE56C0" w:rsidRDefault="00EE56C0">
      <w:pPr>
        <w:ind w:firstLine="480"/>
        <w:rPr>
          <w:rFonts w:ascii="宋体" w:hAnsi="宋体"/>
        </w:rPr>
        <w:sectPr w:rsidR="00EE56C0">
          <w:pgSz w:w="11906" w:h="16838"/>
          <w:pgMar w:top="1440" w:right="1797" w:bottom="1440" w:left="1797" w:header="851" w:footer="992" w:gutter="0"/>
          <w:cols w:space="720"/>
          <w:docGrid w:linePitch="312"/>
        </w:sectPr>
      </w:pPr>
    </w:p>
    <w:p w:rsidR="00EE56C0" w:rsidRDefault="00EE56C0">
      <w:pPr>
        <w:ind w:firstLine="480"/>
        <w:rPr>
          <w:rFonts w:ascii="宋体" w:hAnsi="宋体"/>
        </w:rPr>
        <w:sectPr w:rsidR="00EE56C0">
          <w:type w:val="continuous"/>
          <w:pgSz w:w="11906" w:h="16838"/>
          <w:pgMar w:top="1440" w:right="1797" w:bottom="1440" w:left="1797" w:header="851" w:footer="992" w:gutter="0"/>
          <w:cols w:space="720"/>
          <w:docGrid w:linePitch="312"/>
        </w:sectPr>
      </w:pPr>
    </w:p>
    <w:p w:rsidR="00EE56C0" w:rsidRDefault="000F36A1">
      <w:pPr>
        <w:pStyle w:val="afd"/>
        <w:spacing w:before="120" w:after="120"/>
        <w:ind w:firstLine="482"/>
      </w:pPr>
      <w:r>
        <w:rPr>
          <w:rFonts w:hint="eastAsia"/>
        </w:rPr>
        <w:lastRenderedPageBreak/>
        <w:t>表</w:t>
      </w:r>
      <w:r>
        <w:rPr>
          <w:rFonts w:hint="eastAsia"/>
        </w:rPr>
        <w:t xml:space="preserve">4-25                                   </w:t>
      </w:r>
      <w:r>
        <w:rPr>
          <w:rFonts w:hint="eastAsia"/>
        </w:rPr>
        <w:t>土壤理化特性调查一览表（一）</w:t>
      </w:r>
    </w:p>
    <w:tbl>
      <w:tblPr>
        <w:tblW w:w="499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14"/>
        <w:gridCol w:w="1576"/>
        <w:gridCol w:w="894"/>
        <w:gridCol w:w="1018"/>
        <w:gridCol w:w="1024"/>
        <w:gridCol w:w="908"/>
        <w:gridCol w:w="1018"/>
        <w:gridCol w:w="1024"/>
        <w:gridCol w:w="897"/>
        <w:gridCol w:w="1018"/>
        <w:gridCol w:w="1004"/>
        <w:gridCol w:w="20"/>
        <w:gridCol w:w="897"/>
        <w:gridCol w:w="1018"/>
        <w:gridCol w:w="1024"/>
      </w:tblGrid>
      <w:tr w:rsidR="00EE56C0">
        <w:trPr>
          <w:cantSplit/>
          <w:trHeight w:val="510"/>
          <w:jc w:val="center"/>
        </w:trPr>
        <w:tc>
          <w:tcPr>
            <w:tcW w:w="889" w:type="pct"/>
            <w:gridSpan w:val="2"/>
            <w:vAlign w:val="center"/>
          </w:tcPr>
          <w:p w:rsidR="00EE56C0" w:rsidRDefault="000F36A1">
            <w:pPr>
              <w:pStyle w:val="aff1"/>
              <w:rPr>
                <w:color w:val="auto"/>
              </w:rPr>
            </w:pPr>
            <w:r>
              <w:rPr>
                <w:color w:val="auto"/>
              </w:rPr>
              <w:t>采样点位</w:t>
            </w:r>
          </w:p>
        </w:tc>
        <w:tc>
          <w:tcPr>
            <w:tcW w:w="1026" w:type="pct"/>
            <w:gridSpan w:val="3"/>
            <w:vAlign w:val="center"/>
          </w:tcPr>
          <w:p w:rsidR="00EE56C0" w:rsidRDefault="000F36A1">
            <w:pPr>
              <w:pStyle w:val="aff1"/>
              <w:rPr>
                <w:color w:val="auto"/>
              </w:rPr>
            </w:pPr>
            <w:r>
              <w:rPr>
                <w:color w:val="auto"/>
              </w:rPr>
              <w:t>厂区西南方向</w:t>
            </w:r>
          </w:p>
          <w:p w:rsidR="00EE56C0" w:rsidRDefault="000F36A1">
            <w:pPr>
              <w:pStyle w:val="aff1"/>
              <w:rPr>
                <w:color w:val="auto"/>
              </w:rPr>
            </w:pPr>
            <w:r>
              <w:rPr>
                <w:color w:val="auto"/>
              </w:rPr>
              <w:t>（已建催化燃烧装置下风向）</w:t>
            </w:r>
            <w:r>
              <w:rPr>
                <w:color w:val="auto"/>
              </w:rPr>
              <w:t>1#</w:t>
            </w:r>
          </w:p>
        </w:tc>
        <w:tc>
          <w:tcPr>
            <w:tcW w:w="1027" w:type="pct"/>
            <w:gridSpan w:val="3"/>
            <w:vAlign w:val="center"/>
          </w:tcPr>
          <w:p w:rsidR="00EE56C0" w:rsidRDefault="000F36A1">
            <w:pPr>
              <w:pStyle w:val="aff1"/>
              <w:rPr>
                <w:color w:val="auto"/>
              </w:rPr>
            </w:pPr>
            <w:r>
              <w:rPr>
                <w:color w:val="auto"/>
              </w:rPr>
              <w:t>已建危废间附近</w:t>
            </w:r>
            <w:r>
              <w:rPr>
                <w:color w:val="auto"/>
              </w:rPr>
              <w:t>2#</w:t>
            </w:r>
          </w:p>
        </w:tc>
        <w:tc>
          <w:tcPr>
            <w:tcW w:w="1027" w:type="pct"/>
            <w:gridSpan w:val="4"/>
            <w:vAlign w:val="center"/>
          </w:tcPr>
          <w:p w:rsidR="00EE56C0" w:rsidRDefault="000F36A1">
            <w:pPr>
              <w:pStyle w:val="aff1"/>
              <w:rPr>
                <w:color w:val="auto"/>
              </w:rPr>
            </w:pPr>
            <w:r>
              <w:rPr>
                <w:color w:val="auto"/>
              </w:rPr>
              <w:t>已建污水处理设施</w:t>
            </w:r>
          </w:p>
          <w:p w:rsidR="00EE56C0" w:rsidRDefault="000F36A1">
            <w:pPr>
              <w:pStyle w:val="aff1"/>
              <w:rPr>
                <w:color w:val="auto"/>
              </w:rPr>
            </w:pPr>
            <w:r>
              <w:rPr>
                <w:color w:val="auto"/>
              </w:rPr>
              <w:t>附近</w:t>
            </w:r>
            <w:r>
              <w:rPr>
                <w:color w:val="auto"/>
              </w:rPr>
              <w:t>3#</w:t>
            </w:r>
          </w:p>
        </w:tc>
        <w:tc>
          <w:tcPr>
            <w:tcW w:w="1028" w:type="pct"/>
            <w:gridSpan w:val="3"/>
            <w:vAlign w:val="center"/>
          </w:tcPr>
          <w:p w:rsidR="00EE56C0" w:rsidRDefault="000F36A1">
            <w:pPr>
              <w:pStyle w:val="aff1"/>
              <w:rPr>
                <w:color w:val="auto"/>
              </w:rPr>
            </w:pPr>
            <w:r>
              <w:rPr>
                <w:color w:val="auto"/>
              </w:rPr>
              <w:t>厂区东北方向</w:t>
            </w:r>
            <w:r>
              <w:rPr>
                <w:color w:val="auto"/>
              </w:rPr>
              <w:t>4#</w:t>
            </w:r>
          </w:p>
        </w:tc>
      </w:tr>
      <w:tr w:rsidR="00EE56C0">
        <w:trPr>
          <w:cantSplit/>
          <w:trHeight w:val="510"/>
          <w:jc w:val="center"/>
        </w:trPr>
        <w:tc>
          <w:tcPr>
            <w:tcW w:w="889" w:type="pct"/>
            <w:gridSpan w:val="2"/>
            <w:vAlign w:val="center"/>
          </w:tcPr>
          <w:p w:rsidR="00EE56C0" w:rsidRDefault="000F36A1">
            <w:pPr>
              <w:pStyle w:val="afa"/>
            </w:pPr>
            <w:r>
              <w:t>坐标</w:t>
            </w:r>
          </w:p>
        </w:tc>
        <w:tc>
          <w:tcPr>
            <w:tcW w:w="1026" w:type="pct"/>
            <w:gridSpan w:val="3"/>
            <w:vAlign w:val="center"/>
          </w:tcPr>
          <w:p w:rsidR="00EE56C0" w:rsidRDefault="000F36A1">
            <w:pPr>
              <w:pStyle w:val="afa"/>
            </w:pPr>
            <w:r>
              <w:t>E11</w:t>
            </w:r>
            <w:r>
              <w:rPr>
                <w:rFonts w:hint="eastAsia"/>
              </w:rPr>
              <w:t>3</w:t>
            </w:r>
            <w:r>
              <w:t>°</w:t>
            </w:r>
            <w:r>
              <w:rPr>
                <w:rFonts w:hint="eastAsia"/>
              </w:rPr>
              <w:t>46</w:t>
            </w:r>
            <w:r>
              <w:t>′</w:t>
            </w:r>
            <w:r>
              <w:rPr>
                <w:rFonts w:hint="eastAsia"/>
              </w:rPr>
              <w:t>58</w:t>
            </w:r>
            <w:r>
              <w:t>"</w:t>
            </w:r>
          </w:p>
          <w:p w:rsidR="00EE56C0" w:rsidRDefault="000F36A1">
            <w:pPr>
              <w:pStyle w:val="afa"/>
            </w:pPr>
            <w:r>
              <w:t>N3</w:t>
            </w:r>
            <w:r>
              <w:rPr>
                <w:rFonts w:hint="eastAsia"/>
              </w:rPr>
              <w:t>5</w:t>
            </w:r>
            <w:r>
              <w:t>°</w:t>
            </w:r>
            <w:r>
              <w:rPr>
                <w:rFonts w:hint="eastAsia"/>
              </w:rPr>
              <w:t>08</w:t>
            </w:r>
            <w:r>
              <w:t>′</w:t>
            </w:r>
            <w:r>
              <w:rPr>
                <w:rFonts w:hint="eastAsia"/>
              </w:rPr>
              <w:t>06</w:t>
            </w:r>
            <w:r>
              <w:t>"</w:t>
            </w:r>
          </w:p>
        </w:tc>
        <w:tc>
          <w:tcPr>
            <w:tcW w:w="1027" w:type="pct"/>
            <w:gridSpan w:val="3"/>
            <w:vAlign w:val="center"/>
          </w:tcPr>
          <w:p w:rsidR="00EE56C0" w:rsidRDefault="000F36A1">
            <w:pPr>
              <w:pStyle w:val="afa"/>
            </w:pPr>
            <w:r>
              <w:t>E11</w:t>
            </w:r>
            <w:r>
              <w:rPr>
                <w:rFonts w:hint="eastAsia"/>
              </w:rPr>
              <w:t>3</w:t>
            </w:r>
            <w:r>
              <w:t>°</w:t>
            </w:r>
            <w:r>
              <w:rPr>
                <w:rFonts w:hint="eastAsia"/>
              </w:rPr>
              <w:t>46</w:t>
            </w:r>
            <w:r>
              <w:t>′</w:t>
            </w:r>
            <w:r>
              <w:rPr>
                <w:rFonts w:hint="eastAsia"/>
              </w:rPr>
              <w:t>58</w:t>
            </w:r>
            <w:r>
              <w:t>"</w:t>
            </w:r>
          </w:p>
          <w:p w:rsidR="00EE56C0" w:rsidRDefault="000F36A1">
            <w:pPr>
              <w:pStyle w:val="afa"/>
            </w:pPr>
            <w:r>
              <w:t>N3</w:t>
            </w:r>
            <w:r>
              <w:rPr>
                <w:rFonts w:hint="eastAsia"/>
              </w:rPr>
              <w:t>5</w:t>
            </w:r>
            <w:r>
              <w:t>°</w:t>
            </w:r>
            <w:r>
              <w:rPr>
                <w:rFonts w:hint="eastAsia"/>
              </w:rPr>
              <w:t>08</w:t>
            </w:r>
            <w:r>
              <w:t>′</w:t>
            </w:r>
            <w:r>
              <w:rPr>
                <w:rFonts w:hint="eastAsia"/>
              </w:rPr>
              <w:t>14</w:t>
            </w:r>
            <w:r>
              <w:t>"</w:t>
            </w:r>
          </w:p>
        </w:tc>
        <w:tc>
          <w:tcPr>
            <w:tcW w:w="1027" w:type="pct"/>
            <w:gridSpan w:val="4"/>
            <w:vAlign w:val="center"/>
          </w:tcPr>
          <w:p w:rsidR="00EE56C0" w:rsidRDefault="000F36A1">
            <w:pPr>
              <w:pStyle w:val="afa"/>
            </w:pPr>
            <w:r>
              <w:t>E11</w:t>
            </w:r>
            <w:r>
              <w:rPr>
                <w:rFonts w:hint="eastAsia"/>
              </w:rPr>
              <w:t>3</w:t>
            </w:r>
            <w:r>
              <w:t>°</w:t>
            </w:r>
            <w:r>
              <w:rPr>
                <w:rFonts w:hint="eastAsia"/>
              </w:rPr>
              <w:t>46</w:t>
            </w:r>
            <w:r>
              <w:t>′</w:t>
            </w:r>
            <w:r>
              <w:rPr>
                <w:rFonts w:hint="eastAsia"/>
              </w:rPr>
              <w:t>53</w:t>
            </w:r>
            <w:r>
              <w:t>"</w:t>
            </w:r>
          </w:p>
          <w:p w:rsidR="00EE56C0" w:rsidRDefault="000F36A1">
            <w:pPr>
              <w:pStyle w:val="afa"/>
            </w:pPr>
            <w:r>
              <w:t>N3</w:t>
            </w:r>
            <w:r>
              <w:rPr>
                <w:rFonts w:hint="eastAsia"/>
              </w:rPr>
              <w:t>5</w:t>
            </w:r>
            <w:r>
              <w:t>°</w:t>
            </w:r>
            <w:r>
              <w:rPr>
                <w:rFonts w:hint="eastAsia"/>
              </w:rPr>
              <w:t>08</w:t>
            </w:r>
            <w:r>
              <w:t>′</w:t>
            </w:r>
            <w:r>
              <w:rPr>
                <w:rFonts w:hint="eastAsia"/>
              </w:rPr>
              <w:t>05</w:t>
            </w:r>
            <w:r>
              <w:t>"</w:t>
            </w:r>
          </w:p>
        </w:tc>
        <w:tc>
          <w:tcPr>
            <w:tcW w:w="1028" w:type="pct"/>
            <w:gridSpan w:val="3"/>
            <w:vAlign w:val="center"/>
          </w:tcPr>
          <w:p w:rsidR="00EE56C0" w:rsidRDefault="000F36A1">
            <w:pPr>
              <w:pStyle w:val="afa"/>
            </w:pPr>
            <w:r>
              <w:t>E11</w:t>
            </w:r>
            <w:r>
              <w:rPr>
                <w:rFonts w:hint="eastAsia"/>
              </w:rPr>
              <w:t>3</w:t>
            </w:r>
            <w:r>
              <w:t>°</w:t>
            </w:r>
            <w:r>
              <w:rPr>
                <w:rFonts w:hint="eastAsia"/>
              </w:rPr>
              <w:t>47</w:t>
            </w:r>
            <w:r>
              <w:t>′</w:t>
            </w:r>
            <w:r>
              <w:rPr>
                <w:rFonts w:hint="eastAsia"/>
              </w:rPr>
              <w:t>06</w:t>
            </w:r>
            <w:r>
              <w:t>"</w:t>
            </w:r>
          </w:p>
          <w:p w:rsidR="00EE56C0" w:rsidRDefault="000F36A1">
            <w:pPr>
              <w:pStyle w:val="afa"/>
            </w:pPr>
            <w:r>
              <w:t>N3</w:t>
            </w:r>
            <w:r>
              <w:rPr>
                <w:rFonts w:hint="eastAsia"/>
              </w:rPr>
              <w:t>5</w:t>
            </w:r>
            <w:r>
              <w:t>°</w:t>
            </w:r>
            <w:r>
              <w:rPr>
                <w:rFonts w:hint="eastAsia"/>
              </w:rPr>
              <w:t>08</w:t>
            </w:r>
            <w:r>
              <w:t>′</w:t>
            </w:r>
            <w:r>
              <w:rPr>
                <w:rFonts w:hint="eastAsia"/>
              </w:rPr>
              <w:t>16</w:t>
            </w:r>
            <w:r>
              <w:t>"</w:t>
            </w:r>
          </w:p>
        </w:tc>
      </w:tr>
      <w:tr w:rsidR="00EE56C0">
        <w:trPr>
          <w:cantSplit/>
          <w:trHeight w:val="510"/>
          <w:jc w:val="center"/>
        </w:trPr>
        <w:tc>
          <w:tcPr>
            <w:tcW w:w="889" w:type="pct"/>
            <w:gridSpan w:val="2"/>
            <w:vAlign w:val="center"/>
          </w:tcPr>
          <w:p w:rsidR="00EE56C0" w:rsidRDefault="000F36A1">
            <w:pPr>
              <w:pStyle w:val="afa"/>
            </w:pPr>
            <w:r>
              <w:t>采样时间</w:t>
            </w:r>
          </w:p>
        </w:tc>
        <w:tc>
          <w:tcPr>
            <w:tcW w:w="1026" w:type="pct"/>
            <w:gridSpan w:val="3"/>
            <w:vAlign w:val="center"/>
          </w:tcPr>
          <w:p w:rsidR="00EE56C0" w:rsidRDefault="000F36A1">
            <w:pPr>
              <w:pStyle w:val="afa"/>
            </w:pPr>
            <w:r>
              <w:rPr>
                <w:rFonts w:hint="eastAsia"/>
              </w:rPr>
              <w:t>2021.04.05</w:t>
            </w:r>
          </w:p>
        </w:tc>
        <w:tc>
          <w:tcPr>
            <w:tcW w:w="2995" w:type="dxa"/>
            <w:gridSpan w:val="3"/>
            <w:vAlign w:val="center"/>
          </w:tcPr>
          <w:p w:rsidR="00EE56C0" w:rsidRDefault="000F36A1">
            <w:pPr>
              <w:pStyle w:val="afa"/>
            </w:pPr>
            <w:r>
              <w:rPr>
                <w:rFonts w:hint="eastAsia"/>
              </w:rPr>
              <w:t>2021.04.05</w:t>
            </w:r>
          </w:p>
        </w:tc>
        <w:tc>
          <w:tcPr>
            <w:tcW w:w="2995" w:type="dxa"/>
            <w:gridSpan w:val="4"/>
            <w:vAlign w:val="center"/>
          </w:tcPr>
          <w:p w:rsidR="00EE56C0" w:rsidRDefault="000F36A1">
            <w:pPr>
              <w:pStyle w:val="afa"/>
            </w:pPr>
            <w:r>
              <w:rPr>
                <w:rFonts w:hint="eastAsia"/>
              </w:rPr>
              <w:t>2021.04.05</w:t>
            </w:r>
          </w:p>
        </w:tc>
        <w:tc>
          <w:tcPr>
            <w:tcW w:w="2999" w:type="dxa"/>
            <w:gridSpan w:val="3"/>
            <w:vAlign w:val="center"/>
          </w:tcPr>
          <w:p w:rsidR="00EE56C0" w:rsidRDefault="000F36A1">
            <w:pPr>
              <w:pStyle w:val="afa"/>
            </w:pPr>
            <w:r>
              <w:rPr>
                <w:rFonts w:hint="eastAsia"/>
              </w:rPr>
              <w:t>2021.04.05</w:t>
            </w:r>
          </w:p>
        </w:tc>
      </w:tr>
      <w:tr w:rsidR="00EE56C0">
        <w:trPr>
          <w:cantSplit/>
          <w:trHeight w:val="510"/>
          <w:jc w:val="center"/>
        </w:trPr>
        <w:tc>
          <w:tcPr>
            <w:tcW w:w="889" w:type="pct"/>
            <w:gridSpan w:val="2"/>
            <w:vAlign w:val="center"/>
          </w:tcPr>
          <w:p w:rsidR="00EE56C0" w:rsidRDefault="000F36A1">
            <w:pPr>
              <w:pStyle w:val="afa"/>
            </w:pPr>
            <w:r>
              <w:t>层次</w:t>
            </w:r>
          </w:p>
        </w:tc>
        <w:tc>
          <w:tcPr>
            <w:tcW w:w="338" w:type="pct"/>
            <w:vAlign w:val="center"/>
          </w:tcPr>
          <w:p w:rsidR="00EE56C0" w:rsidRDefault="000F36A1">
            <w:pPr>
              <w:pStyle w:val="afa"/>
            </w:pPr>
            <w:r>
              <w:t>0~0.5m</w:t>
            </w:r>
          </w:p>
        </w:tc>
        <w:tc>
          <w:tcPr>
            <w:tcW w:w="339" w:type="pct"/>
            <w:vAlign w:val="center"/>
          </w:tcPr>
          <w:p w:rsidR="00EE56C0" w:rsidRDefault="000F36A1">
            <w:pPr>
              <w:pStyle w:val="afa"/>
            </w:pPr>
            <w:r>
              <w:t>0.5~1.5m</w:t>
            </w:r>
          </w:p>
        </w:tc>
        <w:tc>
          <w:tcPr>
            <w:tcW w:w="349" w:type="pct"/>
            <w:vAlign w:val="center"/>
          </w:tcPr>
          <w:p w:rsidR="00EE56C0" w:rsidRDefault="000F36A1">
            <w:pPr>
              <w:pStyle w:val="afa"/>
            </w:pPr>
            <w:r>
              <w:t>1.5m~3m</w:t>
            </w:r>
          </w:p>
        </w:tc>
        <w:tc>
          <w:tcPr>
            <w:tcW w:w="343" w:type="pct"/>
            <w:vAlign w:val="center"/>
          </w:tcPr>
          <w:p w:rsidR="00EE56C0" w:rsidRDefault="000F36A1">
            <w:pPr>
              <w:pStyle w:val="afa"/>
            </w:pPr>
            <w:r>
              <w:t>0~0.5m</w:t>
            </w:r>
          </w:p>
        </w:tc>
        <w:tc>
          <w:tcPr>
            <w:tcW w:w="340" w:type="pct"/>
            <w:vAlign w:val="center"/>
          </w:tcPr>
          <w:p w:rsidR="00EE56C0" w:rsidRDefault="000F36A1">
            <w:pPr>
              <w:pStyle w:val="afa"/>
            </w:pPr>
            <w:r>
              <w:t>0.5~1.5m</w:t>
            </w:r>
          </w:p>
        </w:tc>
        <w:tc>
          <w:tcPr>
            <w:tcW w:w="344" w:type="pct"/>
            <w:vAlign w:val="center"/>
          </w:tcPr>
          <w:p w:rsidR="00EE56C0" w:rsidRDefault="000F36A1">
            <w:pPr>
              <w:pStyle w:val="afa"/>
            </w:pPr>
            <w:r>
              <w:t>1.5m~3m</w:t>
            </w:r>
          </w:p>
        </w:tc>
        <w:tc>
          <w:tcPr>
            <w:tcW w:w="339" w:type="pct"/>
            <w:vAlign w:val="center"/>
          </w:tcPr>
          <w:p w:rsidR="00EE56C0" w:rsidRDefault="000F36A1">
            <w:pPr>
              <w:pStyle w:val="afa"/>
            </w:pPr>
            <w:r>
              <w:t>0~0.5m</w:t>
            </w:r>
          </w:p>
        </w:tc>
        <w:tc>
          <w:tcPr>
            <w:tcW w:w="343" w:type="pct"/>
            <w:vAlign w:val="center"/>
          </w:tcPr>
          <w:p w:rsidR="00EE56C0" w:rsidRDefault="000F36A1">
            <w:pPr>
              <w:pStyle w:val="afa"/>
            </w:pPr>
            <w:r>
              <w:t>0.5~1.5m</w:t>
            </w:r>
          </w:p>
        </w:tc>
        <w:tc>
          <w:tcPr>
            <w:tcW w:w="345" w:type="pct"/>
            <w:gridSpan w:val="2"/>
            <w:vAlign w:val="center"/>
          </w:tcPr>
          <w:p w:rsidR="00EE56C0" w:rsidRDefault="000F36A1">
            <w:pPr>
              <w:pStyle w:val="afa"/>
            </w:pPr>
            <w:r>
              <w:t>1.5m~3m</w:t>
            </w:r>
          </w:p>
        </w:tc>
        <w:tc>
          <w:tcPr>
            <w:tcW w:w="339" w:type="pct"/>
            <w:vAlign w:val="center"/>
          </w:tcPr>
          <w:p w:rsidR="00EE56C0" w:rsidRDefault="000F36A1">
            <w:pPr>
              <w:pStyle w:val="afa"/>
            </w:pPr>
            <w:r>
              <w:t>0~0.5m</w:t>
            </w:r>
          </w:p>
        </w:tc>
        <w:tc>
          <w:tcPr>
            <w:tcW w:w="341" w:type="pct"/>
            <w:vAlign w:val="center"/>
          </w:tcPr>
          <w:p w:rsidR="00EE56C0" w:rsidRDefault="000F36A1">
            <w:pPr>
              <w:pStyle w:val="afa"/>
            </w:pPr>
            <w:r>
              <w:t>0.5~1.5m</w:t>
            </w:r>
          </w:p>
        </w:tc>
        <w:tc>
          <w:tcPr>
            <w:tcW w:w="347" w:type="pct"/>
            <w:vAlign w:val="center"/>
          </w:tcPr>
          <w:p w:rsidR="00EE56C0" w:rsidRDefault="000F36A1">
            <w:pPr>
              <w:pStyle w:val="afa"/>
            </w:pPr>
            <w:r>
              <w:t>1.5m~3m</w:t>
            </w:r>
          </w:p>
        </w:tc>
      </w:tr>
      <w:tr w:rsidR="00EE56C0">
        <w:trPr>
          <w:cantSplit/>
          <w:trHeight w:val="510"/>
          <w:jc w:val="center"/>
        </w:trPr>
        <w:tc>
          <w:tcPr>
            <w:tcW w:w="310" w:type="pct"/>
            <w:vMerge w:val="restart"/>
            <w:textDirection w:val="tbRlV"/>
            <w:vAlign w:val="center"/>
          </w:tcPr>
          <w:p w:rsidR="00EE56C0" w:rsidRDefault="000F36A1">
            <w:pPr>
              <w:pStyle w:val="afa"/>
            </w:pPr>
            <w:r>
              <w:t>现</w:t>
            </w:r>
            <w:r>
              <w:t xml:space="preserve"> </w:t>
            </w:r>
            <w:r>
              <w:t>场</w:t>
            </w:r>
            <w:r>
              <w:t xml:space="preserve"> </w:t>
            </w:r>
            <w:r>
              <w:t>记</w:t>
            </w:r>
            <w:r>
              <w:t xml:space="preserve"> </w:t>
            </w:r>
            <w:r>
              <w:t>录</w:t>
            </w:r>
          </w:p>
        </w:tc>
        <w:tc>
          <w:tcPr>
            <w:tcW w:w="579" w:type="pct"/>
            <w:vAlign w:val="center"/>
          </w:tcPr>
          <w:p w:rsidR="00EE56C0" w:rsidRDefault="000F36A1">
            <w:pPr>
              <w:pStyle w:val="afa"/>
            </w:pPr>
            <w:r>
              <w:t>颜色</w:t>
            </w:r>
          </w:p>
        </w:tc>
        <w:tc>
          <w:tcPr>
            <w:tcW w:w="1026" w:type="pct"/>
            <w:gridSpan w:val="3"/>
            <w:vAlign w:val="center"/>
          </w:tcPr>
          <w:p w:rsidR="00EE56C0" w:rsidRDefault="000F36A1">
            <w:pPr>
              <w:pStyle w:val="afa"/>
            </w:pPr>
            <w:r>
              <w:rPr>
                <w:rFonts w:hint="eastAsia"/>
              </w:rPr>
              <w:t>褐色</w:t>
            </w:r>
          </w:p>
        </w:tc>
        <w:tc>
          <w:tcPr>
            <w:tcW w:w="1027" w:type="pct"/>
            <w:gridSpan w:val="3"/>
            <w:vAlign w:val="center"/>
          </w:tcPr>
          <w:p w:rsidR="00EE56C0" w:rsidRDefault="000F36A1">
            <w:pPr>
              <w:pStyle w:val="afa"/>
            </w:pPr>
            <w:r>
              <w:rPr>
                <w:rFonts w:hint="eastAsia"/>
              </w:rPr>
              <w:t>褐色</w:t>
            </w:r>
          </w:p>
        </w:tc>
        <w:tc>
          <w:tcPr>
            <w:tcW w:w="1027" w:type="pct"/>
            <w:gridSpan w:val="4"/>
            <w:vAlign w:val="center"/>
          </w:tcPr>
          <w:p w:rsidR="00EE56C0" w:rsidRDefault="000F36A1">
            <w:pPr>
              <w:pStyle w:val="afa"/>
            </w:pPr>
            <w:r>
              <w:rPr>
                <w:rFonts w:hint="eastAsia"/>
              </w:rPr>
              <w:t>褐色</w:t>
            </w:r>
          </w:p>
        </w:tc>
        <w:tc>
          <w:tcPr>
            <w:tcW w:w="1028" w:type="pct"/>
            <w:gridSpan w:val="3"/>
            <w:vAlign w:val="center"/>
          </w:tcPr>
          <w:p w:rsidR="00EE56C0" w:rsidRDefault="000F36A1">
            <w:pPr>
              <w:pStyle w:val="afa"/>
            </w:pPr>
            <w:r>
              <w:rPr>
                <w:rFonts w:hint="eastAsia"/>
              </w:rPr>
              <w:t>褐色</w:t>
            </w:r>
          </w:p>
        </w:tc>
      </w:tr>
      <w:tr w:rsidR="00EE56C0">
        <w:trPr>
          <w:cantSplit/>
          <w:trHeight w:val="510"/>
          <w:jc w:val="center"/>
        </w:trPr>
        <w:tc>
          <w:tcPr>
            <w:tcW w:w="310" w:type="pct"/>
            <w:vMerge/>
            <w:vAlign w:val="center"/>
          </w:tcPr>
          <w:p w:rsidR="00EE56C0" w:rsidRDefault="00EE56C0">
            <w:pPr>
              <w:pStyle w:val="afa"/>
            </w:pPr>
          </w:p>
        </w:tc>
        <w:tc>
          <w:tcPr>
            <w:tcW w:w="579" w:type="pct"/>
            <w:vAlign w:val="center"/>
          </w:tcPr>
          <w:p w:rsidR="00EE56C0" w:rsidRDefault="000F36A1">
            <w:pPr>
              <w:pStyle w:val="afa"/>
            </w:pPr>
            <w:r>
              <w:t>质地</w:t>
            </w:r>
          </w:p>
        </w:tc>
        <w:tc>
          <w:tcPr>
            <w:tcW w:w="1026" w:type="pct"/>
            <w:gridSpan w:val="3"/>
            <w:vAlign w:val="center"/>
          </w:tcPr>
          <w:p w:rsidR="00EE56C0" w:rsidRDefault="000F36A1">
            <w:pPr>
              <w:pStyle w:val="afa"/>
            </w:pPr>
            <w:r>
              <w:rPr>
                <w:rFonts w:hint="eastAsia"/>
              </w:rPr>
              <w:t>壤土</w:t>
            </w:r>
          </w:p>
        </w:tc>
        <w:tc>
          <w:tcPr>
            <w:tcW w:w="1027" w:type="pct"/>
            <w:gridSpan w:val="3"/>
            <w:vAlign w:val="center"/>
          </w:tcPr>
          <w:p w:rsidR="00EE56C0" w:rsidRDefault="000F36A1">
            <w:pPr>
              <w:pStyle w:val="afa"/>
            </w:pPr>
            <w:r>
              <w:rPr>
                <w:rFonts w:hint="eastAsia"/>
              </w:rPr>
              <w:t>壤土</w:t>
            </w:r>
          </w:p>
        </w:tc>
        <w:tc>
          <w:tcPr>
            <w:tcW w:w="1027" w:type="pct"/>
            <w:gridSpan w:val="4"/>
            <w:vAlign w:val="center"/>
          </w:tcPr>
          <w:p w:rsidR="00EE56C0" w:rsidRDefault="000F36A1">
            <w:pPr>
              <w:pStyle w:val="afa"/>
            </w:pPr>
            <w:r>
              <w:rPr>
                <w:rFonts w:hint="eastAsia"/>
              </w:rPr>
              <w:t>壤土</w:t>
            </w:r>
          </w:p>
        </w:tc>
        <w:tc>
          <w:tcPr>
            <w:tcW w:w="1028" w:type="pct"/>
            <w:gridSpan w:val="3"/>
            <w:vAlign w:val="center"/>
          </w:tcPr>
          <w:p w:rsidR="00EE56C0" w:rsidRDefault="000F36A1">
            <w:pPr>
              <w:pStyle w:val="afa"/>
            </w:pPr>
            <w:r>
              <w:rPr>
                <w:rFonts w:hint="eastAsia"/>
              </w:rPr>
              <w:t>壤土</w:t>
            </w:r>
          </w:p>
        </w:tc>
      </w:tr>
      <w:tr w:rsidR="00EE56C0">
        <w:trPr>
          <w:cantSplit/>
          <w:trHeight w:val="510"/>
          <w:jc w:val="center"/>
        </w:trPr>
        <w:tc>
          <w:tcPr>
            <w:tcW w:w="310" w:type="pct"/>
            <w:vMerge/>
            <w:vAlign w:val="center"/>
          </w:tcPr>
          <w:p w:rsidR="00EE56C0" w:rsidRDefault="00EE56C0">
            <w:pPr>
              <w:pStyle w:val="afa"/>
            </w:pPr>
          </w:p>
        </w:tc>
        <w:tc>
          <w:tcPr>
            <w:tcW w:w="579" w:type="pct"/>
            <w:vAlign w:val="center"/>
          </w:tcPr>
          <w:p w:rsidR="00EE56C0" w:rsidRDefault="000F36A1">
            <w:pPr>
              <w:pStyle w:val="afa"/>
            </w:pPr>
            <w:r>
              <w:t>砂砾含量</w:t>
            </w:r>
          </w:p>
        </w:tc>
        <w:tc>
          <w:tcPr>
            <w:tcW w:w="338" w:type="pct"/>
            <w:vAlign w:val="center"/>
          </w:tcPr>
          <w:p w:rsidR="00EE56C0" w:rsidRDefault="000F36A1">
            <w:pPr>
              <w:pStyle w:val="afa"/>
            </w:pPr>
            <w:r>
              <w:rPr>
                <w:rFonts w:hint="eastAsia"/>
              </w:rPr>
              <w:t>14%</w:t>
            </w:r>
          </w:p>
        </w:tc>
        <w:tc>
          <w:tcPr>
            <w:tcW w:w="339" w:type="pct"/>
            <w:vAlign w:val="center"/>
          </w:tcPr>
          <w:p w:rsidR="00EE56C0" w:rsidRDefault="000F36A1">
            <w:pPr>
              <w:pStyle w:val="afa"/>
            </w:pPr>
            <w:r>
              <w:rPr>
                <w:rFonts w:hint="eastAsia"/>
              </w:rPr>
              <w:t>12%</w:t>
            </w:r>
          </w:p>
        </w:tc>
        <w:tc>
          <w:tcPr>
            <w:tcW w:w="349" w:type="pct"/>
            <w:vAlign w:val="center"/>
          </w:tcPr>
          <w:p w:rsidR="00EE56C0" w:rsidRDefault="000F36A1">
            <w:pPr>
              <w:pStyle w:val="afa"/>
            </w:pPr>
            <w:r>
              <w:rPr>
                <w:rFonts w:hint="eastAsia"/>
              </w:rPr>
              <w:t>16%</w:t>
            </w:r>
          </w:p>
        </w:tc>
        <w:tc>
          <w:tcPr>
            <w:tcW w:w="343" w:type="pct"/>
            <w:vAlign w:val="center"/>
          </w:tcPr>
          <w:p w:rsidR="00EE56C0" w:rsidRDefault="000F36A1">
            <w:pPr>
              <w:pStyle w:val="afa"/>
            </w:pPr>
            <w:r>
              <w:rPr>
                <w:rFonts w:hint="eastAsia"/>
              </w:rPr>
              <w:t>11%</w:t>
            </w:r>
          </w:p>
        </w:tc>
        <w:tc>
          <w:tcPr>
            <w:tcW w:w="340" w:type="pct"/>
            <w:vAlign w:val="center"/>
          </w:tcPr>
          <w:p w:rsidR="00EE56C0" w:rsidRDefault="000F36A1">
            <w:pPr>
              <w:pStyle w:val="afa"/>
            </w:pPr>
            <w:r>
              <w:rPr>
                <w:rFonts w:hint="eastAsia"/>
              </w:rPr>
              <w:t>13%</w:t>
            </w:r>
          </w:p>
        </w:tc>
        <w:tc>
          <w:tcPr>
            <w:tcW w:w="344" w:type="pct"/>
            <w:vAlign w:val="center"/>
          </w:tcPr>
          <w:p w:rsidR="00EE56C0" w:rsidRDefault="000F36A1">
            <w:pPr>
              <w:pStyle w:val="afa"/>
            </w:pPr>
            <w:r>
              <w:rPr>
                <w:rFonts w:hint="eastAsia"/>
              </w:rPr>
              <w:t>15%</w:t>
            </w:r>
          </w:p>
        </w:tc>
        <w:tc>
          <w:tcPr>
            <w:tcW w:w="339" w:type="pct"/>
            <w:vAlign w:val="center"/>
          </w:tcPr>
          <w:p w:rsidR="00EE56C0" w:rsidRDefault="000F36A1">
            <w:pPr>
              <w:pStyle w:val="afa"/>
            </w:pPr>
            <w:r>
              <w:rPr>
                <w:rFonts w:hint="eastAsia"/>
              </w:rPr>
              <w:t>10%</w:t>
            </w:r>
          </w:p>
        </w:tc>
        <w:tc>
          <w:tcPr>
            <w:tcW w:w="343" w:type="pct"/>
            <w:vAlign w:val="center"/>
          </w:tcPr>
          <w:p w:rsidR="00EE56C0" w:rsidRDefault="000F36A1">
            <w:pPr>
              <w:pStyle w:val="afa"/>
            </w:pPr>
            <w:r>
              <w:rPr>
                <w:rFonts w:hint="eastAsia"/>
              </w:rPr>
              <w:t>9%</w:t>
            </w:r>
          </w:p>
        </w:tc>
        <w:tc>
          <w:tcPr>
            <w:tcW w:w="345" w:type="pct"/>
            <w:gridSpan w:val="2"/>
            <w:vAlign w:val="center"/>
          </w:tcPr>
          <w:p w:rsidR="00EE56C0" w:rsidRDefault="000F36A1">
            <w:pPr>
              <w:pStyle w:val="afa"/>
            </w:pPr>
            <w:r>
              <w:rPr>
                <w:rFonts w:hint="eastAsia"/>
              </w:rPr>
              <w:t>14%</w:t>
            </w:r>
          </w:p>
        </w:tc>
        <w:tc>
          <w:tcPr>
            <w:tcW w:w="339" w:type="pct"/>
            <w:vAlign w:val="center"/>
          </w:tcPr>
          <w:p w:rsidR="00EE56C0" w:rsidRDefault="000F36A1">
            <w:pPr>
              <w:pStyle w:val="afa"/>
            </w:pPr>
            <w:r>
              <w:rPr>
                <w:rFonts w:hint="eastAsia"/>
              </w:rPr>
              <w:t>12%</w:t>
            </w:r>
          </w:p>
        </w:tc>
        <w:tc>
          <w:tcPr>
            <w:tcW w:w="341" w:type="pct"/>
            <w:vAlign w:val="center"/>
          </w:tcPr>
          <w:p w:rsidR="00EE56C0" w:rsidRDefault="000F36A1">
            <w:pPr>
              <w:pStyle w:val="afa"/>
            </w:pPr>
            <w:r>
              <w:rPr>
                <w:rFonts w:hint="eastAsia"/>
              </w:rPr>
              <w:t>16%</w:t>
            </w:r>
          </w:p>
        </w:tc>
        <w:tc>
          <w:tcPr>
            <w:tcW w:w="347" w:type="pct"/>
            <w:vAlign w:val="center"/>
          </w:tcPr>
          <w:p w:rsidR="00EE56C0" w:rsidRDefault="000F36A1">
            <w:pPr>
              <w:pStyle w:val="afa"/>
            </w:pPr>
            <w:r>
              <w:rPr>
                <w:rFonts w:hint="eastAsia"/>
              </w:rPr>
              <w:t>11%</w:t>
            </w:r>
          </w:p>
        </w:tc>
      </w:tr>
      <w:tr w:rsidR="00EE56C0">
        <w:trPr>
          <w:cantSplit/>
          <w:trHeight w:val="510"/>
          <w:jc w:val="center"/>
        </w:trPr>
        <w:tc>
          <w:tcPr>
            <w:tcW w:w="310" w:type="pct"/>
            <w:vMerge/>
            <w:vAlign w:val="center"/>
          </w:tcPr>
          <w:p w:rsidR="00EE56C0" w:rsidRDefault="00EE56C0">
            <w:pPr>
              <w:pStyle w:val="afa"/>
            </w:pPr>
          </w:p>
        </w:tc>
        <w:tc>
          <w:tcPr>
            <w:tcW w:w="579" w:type="pct"/>
            <w:vAlign w:val="center"/>
          </w:tcPr>
          <w:p w:rsidR="00EE56C0" w:rsidRDefault="000F36A1">
            <w:pPr>
              <w:pStyle w:val="afa"/>
            </w:pPr>
            <w:r>
              <w:t>其他异物</w:t>
            </w:r>
          </w:p>
        </w:tc>
        <w:tc>
          <w:tcPr>
            <w:tcW w:w="1026" w:type="pct"/>
            <w:gridSpan w:val="3"/>
            <w:vAlign w:val="center"/>
          </w:tcPr>
          <w:p w:rsidR="00EE56C0" w:rsidRDefault="000F36A1">
            <w:pPr>
              <w:pStyle w:val="afa"/>
            </w:pPr>
            <w:r>
              <w:t>植物根系</w:t>
            </w:r>
          </w:p>
        </w:tc>
        <w:tc>
          <w:tcPr>
            <w:tcW w:w="1027" w:type="pct"/>
            <w:gridSpan w:val="3"/>
            <w:vAlign w:val="center"/>
          </w:tcPr>
          <w:p w:rsidR="00EE56C0" w:rsidRDefault="000F36A1">
            <w:pPr>
              <w:pStyle w:val="afa"/>
            </w:pPr>
            <w:r>
              <w:t>植物根系</w:t>
            </w:r>
          </w:p>
        </w:tc>
        <w:tc>
          <w:tcPr>
            <w:tcW w:w="1020" w:type="pct"/>
            <w:gridSpan w:val="3"/>
            <w:vAlign w:val="center"/>
          </w:tcPr>
          <w:p w:rsidR="00EE56C0" w:rsidRDefault="000F36A1">
            <w:pPr>
              <w:pStyle w:val="afa"/>
            </w:pPr>
            <w:r>
              <w:t>植物根系</w:t>
            </w:r>
          </w:p>
        </w:tc>
        <w:tc>
          <w:tcPr>
            <w:tcW w:w="1035" w:type="pct"/>
            <w:gridSpan w:val="4"/>
            <w:vAlign w:val="center"/>
          </w:tcPr>
          <w:p w:rsidR="00EE56C0" w:rsidRDefault="000F36A1">
            <w:pPr>
              <w:pStyle w:val="afa"/>
            </w:pPr>
            <w:r>
              <w:t>植物根系</w:t>
            </w:r>
          </w:p>
        </w:tc>
      </w:tr>
      <w:tr w:rsidR="00EE56C0">
        <w:trPr>
          <w:cantSplit/>
          <w:trHeight w:val="510"/>
          <w:jc w:val="center"/>
        </w:trPr>
        <w:tc>
          <w:tcPr>
            <w:tcW w:w="310" w:type="pct"/>
            <w:vMerge w:val="restart"/>
            <w:textDirection w:val="tbRlV"/>
            <w:vAlign w:val="center"/>
          </w:tcPr>
          <w:p w:rsidR="00EE56C0" w:rsidRDefault="000F36A1">
            <w:pPr>
              <w:pStyle w:val="afa"/>
            </w:pPr>
            <w:r>
              <w:t>实</w:t>
            </w:r>
            <w:r>
              <w:t xml:space="preserve"> </w:t>
            </w:r>
            <w:r>
              <w:t>验</w:t>
            </w:r>
            <w:r>
              <w:t xml:space="preserve"> </w:t>
            </w:r>
            <w:r>
              <w:t>室</w:t>
            </w:r>
            <w:r>
              <w:t xml:space="preserve"> </w:t>
            </w:r>
            <w:r>
              <w:t>测</w:t>
            </w:r>
            <w:r>
              <w:t xml:space="preserve"> </w:t>
            </w:r>
            <w:r>
              <w:t>定</w:t>
            </w:r>
          </w:p>
        </w:tc>
        <w:tc>
          <w:tcPr>
            <w:tcW w:w="579" w:type="pct"/>
            <w:vAlign w:val="center"/>
          </w:tcPr>
          <w:p w:rsidR="00EE56C0" w:rsidRDefault="000F36A1">
            <w:pPr>
              <w:pStyle w:val="afa"/>
            </w:pPr>
            <w:r>
              <w:rPr>
                <w:rFonts w:hint="eastAsia"/>
              </w:rPr>
              <w:t>pH</w:t>
            </w:r>
            <w:r>
              <w:rPr>
                <w:rFonts w:hint="eastAsia"/>
              </w:rPr>
              <w:t>值</w:t>
            </w:r>
          </w:p>
        </w:tc>
        <w:tc>
          <w:tcPr>
            <w:tcW w:w="338" w:type="pct"/>
            <w:vAlign w:val="center"/>
          </w:tcPr>
          <w:p w:rsidR="00EE56C0" w:rsidRDefault="000F36A1">
            <w:pPr>
              <w:pStyle w:val="afa"/>
            </w:pPr>
            <w:r>
              <w:t>7.64</w:t>
            </w:r>
          </w:p>
        </w:tc>
        <w:tc>
          <w:tcPr>
            <w:tcW w:w="339" w:type="pct"/>
            <w:vAlign w:val="center"/>
          </w:tcPr>
          <w:p w:rsidR="00EE56C0" w:rsidRDefault="000F36A1">
            <w:pPr>
              <w:pStyle w:val="afa"/>
            </w:pPr>
            <w:r>
              <w:t>7.66</w:t>
            </w:r>
          </w:p>
        </w:tc>
        <w:tc>
          <w:tcPr>
            <w:tcW w:w="349" w:type="pct"/>
            <w:vAlign w:val="center"/>
          </w:tcPr>
          <w:p w:rsidR="00EE56C0" w:rsidRDefault="000F36A1">
            <w:pPr>
              <w:pStyle w:val="afa"/>
            </w:pPr>
            <w:r>
              <w:t>7.71</w:t>
            </w:r>
          </w:p>
        </w:tc>
        <w:tc>
          <w:tcPr>
            <w:tcW w:w="343" w:type="pct"/>
            <w:vAlign w:val="center"/>
          </w:tcPr>
          <w:p w:rsidR="00EE56C0" w:rsidRDefault="000F36A1">
            <w:pPr>
              <w:pStyle w:val="afa"/>
            </w:pPr>
            <w:r>
              <w:t>7.60</w:t>
            </w:r>
          </w:p>
        </w:tc>
        <w:tc>
          <w:tcPr>
            <w:tcW w:w="340" w:type="pct"/>
            <w:vAlign w:val="center"/>
          </w:tcPr>
          <w:p w:rsidR="00EE56C0" w:rsidRDefault="000F36A1">
            <w:pPr>
              <w:pStyle w:val="afa"/>
            </w:pPr>
            <w:r>
              <w:t>7.52</w:t>
            </w:r>
          </w:p>
        </w:tc>
        <w:tc>
          <w:tcPr>
            <w:tcW w:w="344" w:type="pct"/>
            <w:vAlign w:val="center"/>
          </w:tcPr>
          <w:p w:rsidR="00EE56C0" w:rsidRDefault="000F36A1">
            <w:pPr>
              <w:pStyle w:val="afa"/>
            </w:pPr>
            <w:r>
              <w:t>7.67</w:t>
            </w:r>
          </w:p>
        </w:tc>
        <w:tc>
          <w:tcPr>
            <w:tcW w:w="339" w:type="pct"/>
            <w:vAlign w:val="center"/>
          </w:tcPr>
          <w:p w:rsidR="00EE56C0" w:rsidRDefault="000F36A1">
            <w:pPr>
              <w:pStyle w:val="afa"/>
            </w:pPr>
            <w:r>
              <w:t>7.58</w:t>
            </w:r>
          </w:p>
        </w:tc>
        <w:tc>
          <w:tcPr>
            <w:tcW w:w="343" w:type="pct"/>
            <w:vAlign w:val="center"/>
          </w:tcPr>
          <w:p w:rsidR="00EE56C0" w:rsidRDefault="000F36A1">
            <w:pPr>
              <w:pStyle w:val="afa"/>
            </w:pPr>
            <w:r>
              <w:t>7.66</w:t>
            </w:r>
          </w:p>
        </w:tc>
        <w:tc>
          <w:tcPr>
            <w:tcW w:w="345" w:type="pct"/>
            <w:gridSpan w:val="2"/>
            <w:vAlign w:val="center"/>
          </w:tcPr>
          <w:p w:rsidR="00EE56C0" w:rsidRDefault="000F36A1">
            <w:pPr>
              <w:pStyle w:val="afa"/>
            </w:pPr>
            <w:r>
              <w:t>7.68</w:t>
            </w:r>
          </w:p>
        </w:tc>
        <w:tc>
          <w:tcPr>
            <w:tcW w:w="339" w:type="pct"/>
            <w:vAlign w:val="center"/>
          </w:tcPr>
          <w:p w:rsidR="00EE56C0" w:rsidRDefault="000F36A1">
            <w:pPr>
              <w:pStyle w:val="afa"/>
            </w:pPr>
            <w:r>
              <w:t>7.55</w:t>
            </w:r>
          </w:p>
        </w:tc>
        <w:tc>
          <w:tcPr>
            <w:tcW w:w="341" w:type="pct"/>
            <w:vAlign w:val="center"/>
          </w:tcPr>
          <w:p w:rsidR="00EE56C0" w:rsidRDefault="000F36A1">
            <w:pPr>
              <w:pStyle w:val="afa"/>
            </w:pPr>
            <w:r>
              <w:t>7.63</w:t>
            </w:r>
          </w:p>
        </w:tc>
        <w:tc>
          <w:tcPr>
            <w:tcW w:w="347" w:type="pct"/>
            <w:vAlign w:val="center"/>
          </w:tcPr>
          <w:p w:rsidR="00EE56C0" w:rsidRDefault="000F36A1">
            <w:pPr>
              <w:pStyle w:val="afa"/>
            </w:pPr>
            <w:r>
              <w:t>7.59</w:t>
            </w:r>
          </w:p>
        </w:tc>
      </w:tr>
      <w:tr w:rsidR="00EE56C0">
        <w:trPr>
          <w:cantSplit/>
          <w:trHeight w:val="510"/>
          <w:jc w:val="center"/>
        </w:trPr>
        <w:tc>
          <w:tcPr>
            <w:tcW w:w="310" w:type="pct"/>
            <w:vMerge/>
            <w:textDirection w:val="tbRlV"/>
            <w:vAlign w:val="center"/>
          </w:tcPr>
          <w:p w:rsidR="00EE56C0" w:rsidRDefault="00EE56C0">
            <w:pPr>
              <w:pStyle w:val="afa"/>
            </w:pPr>
          </w:p>
        </w:tc>
        <w:tc>
          <w:tcPr>
            <w:tcW w:w="579" w:type="pct"/>
            <w:vAlign w:val="center"/>
          </w:tcPr>
          <w:p w:rsidR="00EE56C0" w:rsidRDefault="000F36A1">
            <w:pPr>
              <w:pStyle w:val="afa"/>
            </w:pPr>
            <w:r>
              <w:t>阳离子交换量</w:t>
            </w:r>
            <w:r>
              <w:rPr>
                <w:rFonts w:hint="eastAsia"/>
              </w:rPr>
              <w:t>（</w:t>
            </w:r>
            <w:r>
              <w:t>cmol</w:t>
            </w:r>
            <w:r>
              <w:rPr>
                <w:vertAlign w:val="superscript"/>
              </w:rPr>
              <w:t>+</w:t>
            </w:r>
            <w:r>
              <w:t>/kg</w:t>
            </w:r>
            <w:r>
              <w:rPr>
                <w:rFonts w:hint="eastAsia"/>
              </w:rPr>
              <w:t>）</w:t>
            </w:r>
          </w:p>
        </w:tc>
        <w:tc>
          <w:tcPr>
            <w:tcW w:w="338" w:type="pct"/>
            <w:vAlign w:val="center"/>
          </w:tcPr>
          <w:p w:rsidR="00EE56C0" w:rsidRDefault="000F36A1">
            <w:pPr>
              <w:pStyle w:val="afa"/>
            </w:pPr>
            <w:r>
              <w:rPr>
                <w:rFonts w:hint="eastAsia"/>
              </w:rPr>
              <w:t>11.2</w:t>
            </w:r>
          </w:p>
        </w:tc>
        <w:tc>
          <w:tcPr>
            <w:tcW w:w="339" w:type="pct"/>
            <w:vAlign w:val="center"/>
          </w:tcPr>
          <w:p w:rsidR="00EE56C0" w:rsidRDefault="000F36A1">
            <w:pPr>
              <w:pStyle w:val="afa"/>
            </w:pPr>
            <w:r>
              <w:rPr>
                <w:rFonts w:hint="eastAsia"/>
              </w:rPr>
              <w:t>14.5</w:t>
            </w:r>
          </w:p>
        </w:tc>
        <w:tc>
          <w:tcPr>
            <w:tcW w:w="349" w:type="pct"/>
            <w:vAlign w:val="center"/>
          </w:tcPr>
          <w:p w:rsidR="00EE56C0" w:rsidRDefault="000F36A1">
            <w:pPr>
              <w:pStyle w:val="afa"/>
            </w:pPr>
            <w:r>
              <w:rPr>
                <w:rFonts w:hint="eastAsia"/>
              </w:rPr>
              <w:t>15.8</w:t>
            </w:r>
          </w:p>
        </w:tc>
        <w:tc>
          <w:tcPr>
            <w:tcW w:w="343" w:type="pct"/>
            <w:vAlign w:val="center"/>
          </w:tcPr>
          <w:p w:rsidR="00EE56C0" w:rsidRDefault="000F36A1">
            <w:pPr>
              <w:pStyle w:val="afa"/>
            </w:pPr>
            <w:r>
              <w:rPr>
                <w:rFonts w:hint="eastAsia"/>
              </w:rPr>
              <w:t>11.5</w:t>
            </w:r>
          </w:p>
        </w:tc>
        <w:tc>
          <w:tcPr>
            <w:tcW w:w="340" w:type="pct"/>
            <w:vAlign w:val="center"/>
          </w:tcPr>
          <w:p w:rsidR="00EE56C0" w:rsidRDefault="000F36A1">
            <w:pPr>
              <w:pStyle w:val="afa"/>
            </w:pPr>
            <w:r>
              <w:rPr>
                <w:rFonts w:hint="eastAsia"/>
              </w:rPr>
              <w:t>13.4</w:t>
            </w:r>
          </w:p>
        </w:tc>
        <w:tc>
          <w:tcPr>
            <w:tcW w:w="344" w:type="pct"/>
            <w:vAlign w:val="center"/>
          </w:tcPr>
          <w:p w:rsidR="00EE56C0" w:rsidRDefault="000F36A1">
            <w:pPr>
              <w:pStyle w:val="afa"/>
            </w:pPr>
            <w:r>
              <w:rPr>
                <w:rFonts w:hint="eastAsia"/>
              </w:rPr>
              <w:t>13.0</w:t>
            </w:r>
          </w:p>
        </w:tc>
        <w:tc>
          <w:tcPr>
            <w:tcW w:w="339" w:type="pct"/>
            <w:vAlign w:val="center"/>
          </w:tcPr>
          <w:p w:rsidR="00EE56C0" w:rsidRDefault="000F36A1">
            <w:pPr>
              <w:pStyle w:val="afa"/>
            </w:pPr>
            <w:r>
              <w:rPr>
                <w:rFonts w:hint="eastAsia"/>
              </w:rPr>
              <w:t>13.6</w:t>
            </w:r>
          </w:p>
        </w:tc>
        <w:tc>
          <w:tcPr>
            <w:tcW w:w="343" w:type="pct"/>
            <w:vAlign w:val="center"/>
          </w:tcPr>
          <w:p w:rsidR="00EE56C0" w:rsidRDefault="000F36A1">
            <w:pPr>
              <w:pStyle w:val="afa"/>
            </w:pPr>
            <w:r>
              <w:rPr>
                <w:rFonts w:hint="eastAsia"/>
              </w:rPr>
              <w:t>12.5</w:t>
            </w:r>
          </w:p>
        </w:tc>
        <w:tc>
          <w:tcPr>
            <w:tcW w:w="345" w:type="pct"/>
            <w:gridSpan w:val="2"/>
            <w:vAlign w:val="center"/>
          </w:tcPr>
          <w:p w:rsidR="00EE56C0" w:rsidRDefault="000F36A1">
            <w:pPr>
              <w:pStyle w:val="afa"/>
            </w:pPr>
            <w:r>
              <w:rPr>
                <w:rFonts w:hint="eastAsia"/>
              </w:rPr>
              <w:t>14.3</w:t>
            </w:r>
          </w:p>
        </w:tc>
        <w:tc>
          <w:tcPr>
            <w:tcW w:w="339" w:type="pct"/>
            <w:vAlign w:val="center"/>
          </w:tcPr>
          <w:p w:rsidR="00EE56C0" w:rsidRDefault="000F36A1">
            <w:pPr>
              <w:pStyle w:val="afa"/>
            </w:pPr>
            <w:r>
              <w:rPr>
                <w:rFonts w:hint="eastAsia"/>
              </w:rPr>
              <w:t>13.1</w:t>
            </w:r>
          </w:p>
        </w:tc>
        <w:tc>
          <w:tcPr>
            <w:tcW w:w="341" w:type="pct"/>
            <w:vAlign w:val="center"/>
          </w:tcPr>
          <w:p w:rsidR="00EE56C0" w:rsidRDefault="000F36A1">
            <w:pPr>
              <w:pStyle w:val="afa"/>
            </w:pPr>
            <w:r>
              <w:rPr>
                <w:rFonts w:hint="eastAsia"/>
              </w:rPr>
              <w:t>12.6</w:t>
            </w:r>
          </w:p>
        </w:tc>
        <w:tc>
          <w:tcPr>
            <w:tcW w:w="347" w:type="pct"/>
            <w:vAlign w:val="center"/>
          </w:tcPr>
          <w:p w:rsidR="00EE56C0" w:rsidRDefault="000F36A1">
            <w:pPr>
              <w:pStyle w:val="afa"/>
            </w:pPr>
            <w:r>
              <w:rPr>
                <w:rFonts w:hint="eastAsia"/>
              </w:rPr>
              <w:t>14.0</w:t>
            </w:r>
          </w:p>
        </w:tc>
      </w:tr>
      <w:tr w:rsidR="00EE56C0">
        <w:trPr>
          <w:cantSplit/>
          <w:trHeight w:val="510"/>
          <w:jc w:val="center"/>
        </w:trPr>
        <w:tc>
          <w:tcPr>
            <w:tcW w:w="310" w:type="pct"/>
            <w:vMerge/>
            <w:vAlign w:val="center"/>
          </w:tcPr>
          <w:p w:rsidR="00EE56C0" w:rsidRDefault="00EE56C0">
            <w:pPr>
              <w:pStyle w:val="afa"/>
            </w:pPr>
          </w:p>
        </w:tc>
        <w:tc>
          <w:tcPr>
            <w:tcW w:w="579" w:type="pct"/>
            <w:vAlign w:val="center"/>
          </w:tcPr>
          <w:p w:rsidR="00EE56C0" w:rsidRDefault="000F36A1">
            <w:pPr>
              <w:pStyle w:val="afa"/>
            </w:pPr>
            <w:r>
              <w:t>氧化还原电</w:t>
            </w:r>
            <w:r>
              <w:rPr>
                <w:rFonts w:hint="eastAsia"/>
              </w:rPr>
              <w:t>位（</w:t>
            </w:r>
            <w:r>
              <w:rPr>
                <w:rFonts w:hint="eastAsia"/>
              </w:rPr>
              <w:t>mv</w:t>
            </w:r>
            <w:r>
              <w:rPr>
                <w:rFonts w:hint="eastAsia"/>
              </w:rPr>
              <w:t>）</w:t>
            </w:r>
          </w:p>
        </w:tc>
        <w:tc>
          <w:tcPr>
            <w:tcW w:w="338" w:type="pct"/>
            <w:vAlign w:val="center"/>
          </w:tcPr>
          <w:p w:rsidR="00EE56C0" w:rsidRDefault="000F36A1">
            <w:pPr>
              <w:pStyle w:val="afa"/>
            </w:pPr>
            <w:r>
              <w:rPr>
                <w:rFonts w:hint="eastAsia"/>
              </w:rPr>
              <w:t>318</w:t>
            </w:r>
          </w:p>
        </w:tc>
        <w:tc>
          <w:tcPr>
            <w:tcW w:w="339" w:type="pct"/>
            <w:vAlign w:val="center"/>
          </w:tcPr>
          <w:p w:rsidR="00EE56C0" w:rsidRDefault="000F36A1">
            <w:pPr>
              <w:pStyle w:val="afa"/>
            </w:pPr>
            <w:r>
              <w:rPr>
                <w:rFonts w:hint="eastAsia"/>
              </w:rPr>
              <w:t>325</w:t>
            </w:r>
          </w:p>
        </w:tc>
        <w:tc>
          <w:tcPr>
            <w:tcW w:w="349" w:type="pct"/>
            <w:vAlign w:val="center"/>
          </w:tcPr>
          <w:p w:rsidR="00EE56C0" w:rsidRDefault="000F36A1">
            <w:pPr>
              <w:pStyle w:val="afa"/>
            </w:pPr>
            <w:r>
              <w:rPr>
                <w:rFonts w:hint="eastAsia"/>
              </w:rPr>
              <w:t>327</w:t>
            </w:r>
          </w:p>
        </w:tc>
        <w:tc>
          <w:tcPr>
            <w:tcW w:w="343" w:type="pct"/>
            <w:vAlign w:val="center"/>
          </w:tcPr>
          <w:p w:rsidR="00EE56C0" w:rsidRDefault="000F36A1">
            <w:pPr>
              <w:pStyle w:val="afa"/>
            </w:pPr>
            <w:r>
              <w:rPr>
                <w:rFonts w:hint="eastAsia"/>
              </w:rPr>
              <w:t>322</w:t>
            </w:r>
          </w:p>
        </w:tc>
        <w:tc>
          <w:tcPr>
            <w:tcW w:w="340" w:type="pct"/>
            <w:vAlign w:val="center"/>
          </w:tcPr>
          <w:p w:rsidR="00EE56C0" w:rsidRDefault="000F36A1">
            <w:pPr>
              <w:pStyle w:val="afa"/>
            </w:pPr>
            <w:r>
              <w:rPr>
                <w:rFonts w:hint="eastAsia"/>
              </w:rPr>
              <w:t>326</w:t>
            </w:r>
          </w:p>
        </w:tc>
        <w:tc>
          <w:tcPr>
            <w:tcW w:w="344" w:type="pct"/>
            <w:vAlign w:val="center"/>
          </w:tcPr>
          <w:p w:rsidR="00EE56C0" w:rsidRDefault="000F36A1">
            <w:pPr>
              <w:pStyle w:val="afa"/>
            </w:pPr>
            <w:r>
              <w:rPr>
                <w:rFonts w:hint="eastAsia"/>
              </w:rPr>
              <w:t>320</w:t>
            </w:r>
          </w:p>
        </w:tc>
        <w:tc>
          <w:tcPr>
            <w:tcW w:w="339" w:type="pct"/>
            <w:vAlign w:val="center"/>
          </w:tcPr>
          <w:p w:rsidR="00EE56C0" w:rsidRDefault="000F36A1">
            <w:pPr>
              <w:pStyle w:val="afa"/>
            </w:pPr>
            <w:r>
              <w:rPr>
                <w:rFonts w:hint="eastAsia"/>
              </w:rPr>
              <w:t>331</w:t>
            </w:r>
          </w:p>
        </w:tc>
        <w:tc>
          <w:tcPr>
            <w:tcW w:w="343" w:type="pct"/>
            <w:vAlign w:val="center"/>
          </w:tcPr>
          <w:p w:rsidR="00EE56C0" w:rsidRDefault="000F36A1">
            <w:pPr>
              <w:pStyle w:val="afa"/>
            </w:pPr>
            <w:r>
              <w:rPr>
                <w:rFonts w:hint="eastAsia"/>
              </w:rPr>
              <w:t>333</w:t>
            </w:r>
          </w:p>
        </w:tc>
        <w:tc>
          <w:tcPr>
            <w:tcW w:w="345" w:type="pct"/>
            <w:gridSpan w:val="2"/>
            <w:vAlign w:val="center"/>
          </w:tcPr>
          <w:p w:rsidR="00EE56C0" w:rsidRDefault="000F36A1">
            <w:pPr>
              <w:pStyle w:val="afa"/>
            </w:pPr>
            <w:r>
              <w:rPr>
                <w:rFonts w:hint="eastAsia"/>
              </w:rPr>
              <w:t>332</w:t>
            </w:r>
          </w:p>
        </w:tc>
        <w:tc>
          <w:tcPr>
            <w:tcW w:w="339" w:type="pct"/>
            <w:vAlign w:val="center"/>
          </w:tcPr>
          <w:p w:rsidR="00EE56C0" w:rsidRDefault="000F36A1">
            <w:pPr>
              <w:pStyle w:val="afa"/>
            </w:pPr>
            <w:r>
              <w:rPr>
                <w:rFonts w:hint="eastAsia"/>
              </w:rPr>
              <w:t>319</w:t>
            </w:r>
          </w:p>
        </w:tc>
        <w:tc>
          <w:tcPr>
            <w:tcW w:w="341" w:type="pct"/>
            <w:vAlign w:val="center"/>
          </w:tcPr>
          <w:p w:rsidR="00EE56C0" w:rsidRDefault="000F36A1">
            <w:pPr>
              <w:pStyle w:val="afa"/>
            </w:pPr>
            <w:r>
              <w:rPr>
                <w:rFonts w:hint="eastAsia"/>
              </w:rPr>
              <w:t>337</w:t>
            </w:r>
          </w:p>
        </w:tc>
        <w:tc>
          <w:tcPr>
            <w:tcW w:w="347" w:type="pct"/>
            <w:vAlign w:val="center"/>
          </w:tcPr>
          <w:p w:rsidR="00EE56C0" w:rsidRDefault="000F36A1">
            <w:pPr>
              <w:pStyle w:val="afa"/>
            </w:pPr>
            <w:r>
              <w:rPr>
                <w:rFonts w:hint="eastAsia"/>
              </w:rPr>
              <w:t>318</w:t>
            </w:r>
          </w:p>
        </w:tc>
      </w:tr>
      <w:tr w:rsidR="00EE56C0">
        <w:trPr>
          <w:cantSplit/>
          <w:trHeight w:val="510"/>
          <w:jc w:val="center"/>
        </w:trPr>
        <w:tc>
          <w:tcPr>
            <w:tcW w:w="310" w:type="pct"/>
            <w:vMerge/>
            <w:vAlign w:val="center"/>
          </w:tcPr>
          <w:p w:rsidR="00EE56C0" w:rsidRDefault="00EE56C0">
            <w:pPr>
              <w:pStyle w:val="afa"/>
            </w:pPr>
          </w:p>
        </w:tc>
        <w:tc>
          <w:tcPr>
            <w:tcW w:w="579" w:type="pct"/>
            <w:vAlign w:val="center"/>
          </w:tcPr>
          <w:p w:rsidR="00EE56C0" w:rsidRDefault="000F36A1">
            <w:pPr>
              <w:pStyle w:val="afa"/>
            </w:pPr>
            <w:r>
              <w:t>饱和导水率（</w:t>
            </w:r>
            <w:r>
              <w:t>cm/s</w:t>
            </w:r>
            <w:r>
              <w:t>）</w:t>
            </w:r>
          </w:p>
        </w:tc>
        <w:tc>
          <w:tcPr>
            <w:tcW w:w="338" w:type="pct"/>
            <w:vAlign w:val="center"/>
          </w:tcPr>
          <w:p w:rsidR="00EE56C0" w:rsidRDefault="000F36A1">
            <w:pPr>
              <w:pStyle w:val="afa"/>
            </w:pPr>
            <w:r>
              <w:rPr>
                <w:rFonts w:hint="eastAsia"/>
              </w:rPr>
              <w:t>0.95</w:t>
            </w:r>
          </w:p>
        </w:tc>
        <w:tc>
          <w:tcPr>
            <w:tcW w:w="339" w:type="pct"/>
            <w:vAlign w:val="center"/>
          </w:tcPr>
          <w:p w:rsidR="00EE56C0" w:rsidRDefault="000F36A1">
            <w:pPr>
              <w:pStyle w:val="afa"/>
            </w:pPr>
            <w:r>
              <w:rPr>
                <w:rFonts w:hint="eastAsia"/>
              </w:rPr>
              <w:t>1.04</w:t>
            </w:r>
          </w:p>
        </w:tc>
        <w:tc>
          <w:tcPr>
            <w:tcW w:w="349" w:type="pct"/>
            <w:vAlign w:val="center"/>
          </w:tcPr>
          <w:p w:rsidR="00EE56C0" w:rsidRDefault="000F36A1">
            <w:pPr>
              <w:pStyle w:val="afa"/>
            </w:pPr>
            <w:r>
              <w:rPr>
                <w:rFonts w:hint="eastAsia"/>
              </w:rPr>
              <w:t>0.92</w:t>
            </w:r>
          </w:p>
        </w:tc>
        <w:tc>
          <w:tcPr>
            <w:tcW w:w="343" w:type="pct"/>
            <w:vAlign w:val="center"/>
          </w:tcPr>
          <w:p w:rsidR="00EE56C0" w:rsidRDefault="000F36A1">
            <w:pPr>
              <w:pStyle w:val="afa"/>
            </w:pPr>
            <w:r>
              <w:rPr>
                <w:rFonts w:hint="eastAsia"/>
              </w:rPr>
              <w:t>0.86</w:t>
            </w:r>
          </w:p>
        </w:tc>
        <w:tc>
          <w:tcPr>
            <w:tcW w:w="340" w:type="pct"/>
            <w:vAlign w:val="center"/>
          </w:tcPr>
          <w:p w:rsidR="00EE56C0" w:rsidRDefault="000F36A1">
            <w:pPr>
              <w:pStyle w:val="afa"/>
            </w:pPr>
            <w:r>
              <w:rPr>
                <w:rFonts w:hint="eastAsia"/>
              </w:rPr>
              <w:t>1.10</w:t>
            </w:r>
          </w:p>
        </w:tc>
        <w:tc>
          <w:tcPr>
            <w:tcW w:w="344" w:type="pct"/>
            <w:vAlign w:val="center"/>
          </w:tcPr>
          <w:p w:rsidR="00EE56C0" w:rsidRDefault="000F36A1">
            <w:pPr>
              <w:pStyle w:val="afa"/>
            </w:pPr>
            <w:r>
              <w:rPr>
                <w:rFonts w:hint="eastAsia"/>
              </w:rPr>
              <w:t>0.78</w:t>
            </w:r>
          </w:p>
        </w:tc>
        <w:tc>
          <w:tcPr>
            <w:tcW w:w="339" w:type="pct"/>
            <w:vAlign w:val="center"/>
          </w:tcPr>
          <w:p w:rsidR="00EE56C0" w:rsidRDefault="000F36A1">
            <w:pPr>
              <w:pStyle w:val="afa"/>
            </w:pPr>
            <w:r>
              <w:rPr>
                <w:rFonts w:hint="eastAsia"/>
              </w:rPr>
              <w:t>1.18</w:t>
            </w:r>
          </w:p>
        </w:tc>
        <w:tc>
          <w:tcPr>
            <w:tcW w:w="343" w:type="pct"/>
            <w:vAlign w:val="center"/>
          </w:tcPr>
          <w:p w:rsidR="00EE56C0" w:rsidRDefault="000F36A1">
            <w:pPr>
              <w:pStyle w:val="afa"/>
            </w:pPr>
            <w:r>
              <w:rPr>
                <w:rFonts w:hint="eastAsia"/>
              </w:rPr>
              <w:t>1.07</w:t>
            </w:r>
          </w:p>
        </w:tc>
        <w:tc>
          <w:tcPr>
            <w:tcW w:w="345" w:type="pct"/>
            <w:gridSpan w:val="2"/>
            <w:vAlign w:val="center"/>
          </w:tcPr>
          <w:p w:rsidR="00EE56C0" w:rsidRDefault="000F36A1">
            <w:pPr>
              <w:pStyle w:val="afa"/>
            </w:pPr>
            <w:r>
              <w:rPr>
                <w:rFonts w:hint="eastAsia"/>
              </w:rPr>
              <w:t>1.22</w:t>
            </w:r>
          </w:p>
        </w:tc>
        <w:tc>
          <w:tcPr>
            <w:tcW w:w="339" w:type="pct"/>
            <w:vAlign w:val="center"/>
          </w:tcPr>
          <w:p w:rsidR="00EE56C0" w:rsidRDefault="000F36A1">
            <w:pPr>
              <w:pStyle w:val="afa"/>
            </w:pPr>
            <w:r>
              <w:rPr>
                <w:rFonts w:hint="eastAsia"/>
              </w:rPr>
              <w:t>0.97</w:t>
            </w:r>
          </w:p>
        </w:tc>
        <w:tc>
          <w:tcPr>
            <w:tcW w:w="341" w:type="pct"/>
            <w:vAlign w:val="center"/>
          </w:tcPr>
          <w:p w:rsidR="00EE56C0" w:rsidRDefault="000F36A1">
            <w:pPr>
              <w:pStyle w:val="afa"/>
            </w:pPr>
            <w:r>
              <w:rPr>
                <w:rFonts w:hint="eastAsia"/>
              </w:rPr>
              <w:t>1.02</w:t>
            </w:r>
          </w:p>
        </w:tc>
        <w:tc>
          <w:tcPr>
            <w:tcW w:w="347" w:type="pct"/>
            <w:vAlign w:val="center"/>
          </w:tcPr>
          <w:p w:rsidR="00EE56C0" w:rsidRDefault="000F36A1">
            <w:pPr>
              <w:pStyle w:val="afa"/>
            </w:pPr>
            <w:r>
              <w:rPr>
                <w:rFonts w:hint="eastAsia"/>
              </w:rPr>
              <w:t>1.11</w:t>
            </w:r>
          </w:p>
        </w:tc>
      </w:tr>
      <w:tr w:rsidR="00EE56C0">
        <w:trPr>
          <w:cantSplit/>
          <w:trHeight w:val="510"/>
          <w:jc w:val="center"/>
        </w:trPr>
        <w:tc>
          <w:tcPr>
            <w:tcW w:w="310" w:type="pct"/>
            <w:vMerge/>
            <w:vAlign w:val="center"/>
          </w:tcPr>
          <w:p w:rsidR="00EE56C0" w:rsidRDefault="00EE56C0">
            <w:pPr>
              <w:pStyle w:val="afa"/>
            </w:pPr>
          </w:p>
        </w:tc>
        <w:tc>
          <w:tcPr>
            <w:tcW w:w="579" w:type="pct"/>
            <w:vAlign w:val="center"/>
          </w:tcPr>
          <w:p w:rsidR="00EE56C0" w:rsidRDefault="000F36A1">
            <w:pPr>
              <w:pStyle w:val="afa"/>
            </w:pPr>
            <w:r>
              <w:t>土壤容重</w:t>
            </w:r>
            <w:r>
              <w:t>(g/cm</w:t>
            </w:r>
            <w:r>
              <w:rPr>
                <w:vertAlign w:val="superscript"/>
              </w:rPr>
              <w:t>3</w:t>
            </w:r>
            <w:r>
              <w:t>)</w:t>
            </w:r>
          </w:p>
        </w:tc>
        <w:tc>
          <w:tcPr>
            <w:tcW w:w="338" w:type="pct"/>
            <w:vAlign w:val="center"/>
          </w:tcPr>
          <w:p w:rsidR="00EE56C0" w:rsidRDefault="000F36A1">
            <w:pPr>
              <w:pStyle w:val="afa"/>
            </w:pPr>
            <w:r>
              <w:rPr>
                <w:rFonts w:hint="eastAsia"/>
              </w:rPr>
              <w:t>1.55</w:t>
            </w:r>
          </w:p>
        </w:tc>
        <w:tc>
          <w:tcPr>
            <w:tcW w:w="339" w:type="pct"/>
            <w:vAlign w:val="center"/>
          </w:tcPr>
          <w:p w:rsidR="00EE56C0" w:rsidRDefault="000F36A1">
            <w:pPr>
              <w:pStyle w:val="afa"/>
            </w:pPr>
            <w:r>
              <w:rPr>
                <w:rFonts w:hint="eastAsia"/>
              </w:rPr>
              <w:t>1.44</w:t>
            </w:r>
          </w:p>
        </w:tc>
        <w:tc>
          <w:tcPr>
            <w:tcW w:w="349" w:type="pct"/>
            <w:vAlign w:val="center"/>
          </w:tcPr>
          <w:p w:rsidR="00EE56C0" w:rsidRDefault="000F36A1">
            <w:pPr>
              <w:pStyle w:val="afa"/>
            </w:pPr>
            <w:r>
              <w:rPr>
                <w:rFonts w:hint="eastAsia"/>
              </w:rPr>
              <w:t>1.51</w:t>
            </w:r>
          </w:p>
        </w:tc>
        <w:tc>
          <w:tcPr>
            <w:tcW w:w="343" w:type="pct"/>
            <w:vAlign w:val="center"/>
          </w:tcPr>
          <w:p w:rsidR="00EE56C0" w:rsidRDefault="000F36A1">
            <w:pPr>
              <w:pStyle w:val="afa"/>
            </w:pPr>
            <w:r>
              <w:rPr>
                <w:rFonts w:hint="eastAsia"/>
              </w:rPr>
              <w:t>1.47</w:t>
            </w:r>
          </w:p>
        </w:tc>
        <w:tc>
          <w:tcPr>
            <w:tcW w:w="340" w:type="pct"/>
            <w:vAlign w:val="center"/>
          </w:tcPr>
          <w:p w:rsidR="00EE56C0" w:rsidRDefault="000F36A1">
            <w:pPr>
              <w:pStyle w:val="afa"/>
            </w:pPr>
            <w:r>
              <w:rPr>
                <w:rFonts w:hint="eastAsia"/>
              </w:rPr>
              <w:t>1.39</w:t>
            </w:r>
          </w:p>
        </w:tc>
        <w:tc>
          <w:tcPr>
            <w:tcW w:w="344" w:type="pct"/>
            <w:vAlign w:val="center"/>
          </w:tcPr>
          <w:p w:rsidR="00EE56C0" w:rsidRDefault="000F36A1">
            <w:pPr>
              <w:pStyle w:val="afa"/>
            </w:pPr>
            <w:r>
              <w:rPr>
                <w:rFonts w:hint="eastAsia"/>
              </w:rPr>
              <w:t>1.43</w:t>
            </w:r>
          </w:p>
        </w:tc>
        <w:tc>
          <w:tcPr>
            <w:tcW w:w="339" w:type="pct"/>
            <w:vAlign w:val="center"/>
          </w:tcPr>
          <w:p w:rsidR="00EE56C0" w:rsidRDefault="000F36A1">
            <w:pPr>
              <w:pStyle w:val="afa"/>
            </w:pPr>
            <w:r>
              <w:rPr>
                <w:rFonts w:hint="eastAsia"/>
              </w:rPr>
              <w:t>1.41</w:t>
            </w:r>
          </w:p>
        </w:tc>
        <w:tc>
          <w:tcPr>
            <w:tcW w:w="343" w:type="pct"/>
            <w:vAlign w:val="center"/>
          </w:tcPr>
          <w:p w:rsidR="00EE56C0" w:rsidRDefault="000F36A1">
            <w:pPr>
              <w:pStyle w:val="afa"/>
            </w:pPr>
            <w:r>
              <w:rPr>
                <w:rFonts w:hint="eastAsia"/>
              </w:rPr>
              <w:t>1.45</w:t>
            </w:r>
          </w:p>
        </w:tc>
        <w:tc>
          <w:tcPr>
            <w:tcW w:w="345" w:type="pct"/>
            <w:gridSpan w:val="2"/>
            <w:vAlign w:val="center"/>
          </w:tcPr>
          <w:p w:rsidR="00EE56C0" w:rsidRDefault="000F36A1">
            <w:pPr>
              <w:pStyle w:val="afa"/>
            </w:pPr>
            <w:r>
              <w:rPr>
                <w:rFonts w:hint="eastAsia"/>
              </w:rPr>
              <w:t>1.42</w:t>
            </w:r>
          </w:p>
        </w:tc>
        <w:tc>
          <w:tcPr>
            <w:tcW w:w="339" w:type="pct"/>
            <w:vAlign w:val="center"/>
          </w:tcPr>
          <w:p w:rsidR="00EE56C0" w:rsidRDefault="000F36A1">
            <w:pPr>
              <w:pStyle w:val="afa"/>
            </w:pPr>
            <w:r>
              <w:rPr>
                <w:rFonts w:hint="eastAsia"/>
              </w:rPr>
              <w:t>1.60</w:t>
            </w:r>
          </w:p>
        </w:tc>
        <w:tc>
          <w:tcPr>
            <w:tcW w:w="341" w:type="pct"/>
            <w:vAlign w:val="center"/>
          </w:tcPr>
          <w:p w:rsidR="00EE56C0" w:rsidRDefault="000F36A1">
            <w:pPr>
              <w:pStyle w:val="afa"/>
            </w:pPr>
            <w:r>
              <w:rPr>
                <w:rFonts w:hint="eastAsia"/>
              </w:rPr>
              <w:t>1.40</w:t>
            </w:r>
          </w:p>
        </w:tc>
        <w:tc>
          <w:tcPr>
            <w:tcW w:w="347" w:type="pct"/>
            <w:vAlign w:val="center"/>
          </w:tcPr>
          <w:p w:rsidR="00EE56C0" w:rsidRDefault="000F36A1">
            <w:pPr>
              <w:pStyle w:val="afa"/>
            </w:pPr>
            <w:r>
              <w:rPr>
                <w:rFonts w:hint="eastAsia"/>
              </w:rPr>
              <w:t>1.48</w:t>
            </w:r>
          </w:p>
        </w:tc>
      </w:tr>
      <w:tr w:rsidR="00EE56C0">
        <w:trPr>
          <w:cantSplit/>
          <w:trHeight w:val="510"/>
          <w:jc w:val="center"/>
        </w:trPr>
        <w:tc>
          <w:tcPr>
            <w:tcW w:w="310" w:type="pct"/>
            <w:vMerge/>
            <w:vAlign w:val="center"/>
          </w:tcPr>
          <w:p w:rsidR="00EE56C0" w:rsidRDefault="00EE56C0">
            <w:pPr>
              <w:pStyle w:val="afa"/>
            </w:pPr>
          </w:p>
        </w:tc>
        <w:tc>
          <w:tcPr>
            <w:tcW w:w="579" w:type="pct"/>
            <w:vAlign w:val="center"/>
          </w:tcPr>
          <w:p w:rsidR="00EE56C0" w:rsidRDefault="000F36A1">
            <w:pPr>
              <w:pStyle w:val="afa"/>
            </w:pPr>
            <w:r>
              <w:t>孔隙度</w:t>
            </w:r>
            <w:r>
              <w:t>(%)</w:t>
            </w:r>
          </w:p>
        </w:tc>
        <w:tc>
          <w:tcPr>
            <w:tcW w:w="338" w:type="pct"/>
            <w:vAlign w:val="center"/>
          </w:tcPr>
          <w:p w:rsidR="00EE56C0" w:rsidRDefault="000F36A1">
            <w:pPr>
              <w:pStyle w:val="afa"/>
            </w:pPr>
            <w:r>
              <w:rPr>
                <w:rFonts w:hint="eastAsia"/>
              </w:rPr>
              <w:t>41.5</w:t>
            </w:r>
          </w:p>
        </w:tc>
        <w:tc>
          <w:tcPr>
            <w:tcW w:w="339" w:type="pct"/>
            <w:vAlign w:val="center"/>
          </w:tcPr>
          <w:p w:rsidR="00EE56C0" w:rsidRDefault="000F36A1">
            <w:pPr>
              <w:pStyle w:val="afa"/>
            </w:pPr>
            <w:r>
              <w:rPr>
                <w:rFonts w:hint="eastAsia"/>
              </w:rPr>
              <w:t>45.7</w:t>
            </w:r>
          </w:p>
        </w:tc>
        <w:tc>
          <w:tcPr>
            <w:tcW w:w="349" w:type="pct"/>
            <w:vAlign w:val="center"/>
          </w:tcPr>
          <w:p w:rsidR="00EE56C0" w:rsidRDefault="000F36A1">
            <w:pPr>
              <w:pStyle w:val="afa"/>
            </w:pPr>
            <w:r>
              <w:rPr>
                <w:rFonts w:hint="eastAsia"/>
              </w:rPr>
              <w:t>43.0</w:t>
            </w:r>
          </w:p>
        </w:tc>
        <w:tc>
          <w:tcPr>
            <w:tcW w:w="343" w:type="pct"/>
            <w:vAlign w:val="center"/>
          </w:tcPr>
          <w:p w:rsidR="00EE56C0" w:rsidRDefault="000F36A1">
            <w:pPr>
              <w:pStyle w:val="afa"/>
            </w:pPr>
            <w:r>
              <w:rPr>
                <w:rFonts w:hint="eastAsia"/>
              </w:rPr>
              <w:t>44.5</w:t>
            </w:r>
          </w:p>
        </w:tc>
        <w:tc>
          <w:tcPr>
            <w:tcW w:w="340" w:type="pct"/>
            <w:vAlign w:val="center"/>
          </w:tcPr>
          <w:p w:rsidR="00EE56C0" w:rsidRDefault="000F36A1">
            <w:pPr>
              <w:pStyle w:val="afa"/>
            </w:pPr>
            <w:r>
              <w:rPr>
                <w:rFonts w:hint="eastAsia"/>
              </w:rPr>
              <w:t>47.5</w:t>
            </w:r>
          </w:p>
        </w:tc>
        <w:tc>
          <w:tcPr>
            <w:tcW w:w="344" w:type="pct"/>
            <w:vAlign w:val="center"/>
          </w:tcPr>
          <w:p w:rsidR="00EE56C0" w:rsidRDefault="000F36A1">
            <w:pPr>
              <w:pStyle w:val="afa"/>
            </w:pPr>
            <w:r>
              <w:rPr>
                <w:rFonts w:hint="eastAsia"/>
              </w:rPr>
              <w:t>46.0</w:t>
            </w:r>
          </w:p>
        </w:tc>
        <w:tc>
          <w:tcPr>
            <w:tcW w:w="339" w:type="pct"/>
            <w:vAlign w:val="center"/>
          </w:tcPr>
          <w:p w:rsidR="00EE56C0" w:rsidRDefault="000F36A1">
            <w:pPr>
              <w:pStyle w:val="afa"/>
            </w:pPr>
            <w:r>
              <w:rPr>
                <w:rFonts w:hint="eastAsia"/>
              </w:rPr>
              <w:t>46.8</w:t>
            </w:r>
          </w:p>
        </w:tc>
        <w:tc>
          <w:tcPr>
            <w:tcW w:w="343" w:type="pct"/>
            <w:vAlign w:val="center"/>
          </w:tcPr>
          <w:p w:rsidR="00EE56C0" w:rsidRDefault="000F36A1">
            <w:pPr>
              <w:pStyle w:val="afa"/>
            </w:pPr>
            <w:r>
              <w:rPr>
                <w:rFonts w:hint="eastAsia"/>
              </w:rPr>
              <w:t>45.3</w:t>
            </w:r>
          </w:p>
        </w:tc>
        <w:tc>
          <w:tcPr>
            <w:tcW w:w="345" w:type="pct"/>
            <w:gridSpan w:val="2"/>
            <w:vAlign w:val="center"/>
          </w:tcPr>
          <w:p w:rsidR="00EE56C0" w:rsidRDefault="000F36A1">
            <w:pPr>
              <w:pStyle w:val="afa"/>
            </w:pPr>
            <w:r>
              <w:rPr>
                <w:rFonts w:hint="eastAsia"/>
              </w:rPr>
              <w:t>46.4</w:t>
            </w:r>
          </w:p>
        </w:tc>
        <w:tc>
          <w:tcPr>
            <w:tcW w:w="339" w:type="pct"/>
            <w:vAlign w:val="center"/>
          </w:tcPr>
          <w:p w:rsidR="00EE56C0" w:rsidRDefault="000F36A1">
            <w:pPr>
              <w:pStyle w:val="afa"/>
            </w:pPr>
            <w:r>
              <w:rPr>
                <w:rFonts w:hint="eastAsia"/>
              </w:rPr>
              <w:t>39.6</w:t>
            </w:r>
          </w:p>
        </w:tc>
        <w:tc>
          <w:tcPr>
            <w:tcW w:w="341" w:type="pct"/>
            <w:vAlign w:val="center"/>
          </w:tcPr>
          <w:p w:rsidR="00EE56C0" w:rsidRDefault="000F36A1">
            <w:pPr>
              <w:pStyle w:val="afa"/>
            </w:pPr>
            <w:r>
              <w:rPr>
                <w:rFonts w:hint="eastAsia"/>
              </w:rPr>
              <w:t>47.2</w:t>
            </w:r>
          </w:p>
        </w:tc>
        <w:tc>
          <w:tcPr>
            <w:tcW w:w="347" w:type="pct"/>
            <w:vAlign w:val="center"/>
          </w:tcPr>
          <w:p w:rsidR="00EE56C0" w:rsidRDefault="000F36A1">
            <w:pPr>
              <w:pStyle w:val="afa"/>
            </w:pPr>
            <w:r>
              <w:rPr>
                <w:rFonts w:hint="eastAsia"/>
              </w:rPr>
              <w:t>44.2</w:t>
            </w:r>
          </w:p>
        </w:tc>
      </w:tr>
    </w:tbl>
    <w:p w:rsidR="00EE56C0" w:rsidRDefault="000F36A1">
      <w:pPr>
        <w:pStyle w:val="afd"/>
        <w:spacing w:before="120" w:after="120"/>
        <w:ind w:firstLine="482"/>
      </w:pPr>
      <w:r>
        <w:rPr>
          <w:rFonts w:hint="eastAsia"/>
        </w:rPr>
        <w:lastRenderedPageBreak/>
        <w:t>表</w:t>
      </w:r>
      <w:r>
        <w:rPr>
          <w:rFonts w:hint="eastAsia"/>
        </w:rPr>
        <w:t xml:space="preserve">4-26                               </w:t>
      </w:r>
      <w:r>
        <w:rPr>
          <w:rFonts w:hint="eastAsia"/>
        </w:rPr>
        <w:t>土壤理化特性调查一览表（二）</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46"/>
        <w:gridCol w:w="1727"/>
        <w:gridCol w:w="1075"/>
        <w:gridCol w:w="1018"/>
        <w:gridCol w:w="1024"/>
        <w:gridCol w:w="1413"/>
        <w:gridCol w:w="1413"/>
        <w:gridCol w:w="1413"/>
        <w:gridCol w:w="1413"/>
        <w:gridCol w:w="1413"/>
        <w:gridCol w:w="1413"/>
      </w:tblGrid>
      <w:tr w:rsidR="00EE56C0">
        <w:trPr>
          <w:trHeight w:val="510"/>
          <w:jc w:val="center"/>
        </w:trPr>
        <w:tc>
          <w:tcPr>
            <w:tcW w:w="917" w:type="pct"/>
            <w:gridSpan w:val="2"/>
            <w:vAlign w:val="center"/>
          </w:tcPr>
          <w:p w:rsidR="00EE56C0" w:rsidRDefault="000F36A1">
            <w:pPr>
              <w:pStyle w:val="afa"/>
            </w:pPr>
            <w:r>
              <w:t>采样点位</w:t>
            </w:r>
          </w:p>
        </w:tc>
        <w:tc>
          <w:tcPr>
            <w:tcW w:w="1062" w:type="pct"/>
            <w:gridSpan w:val="3"/>
            <w:vAlign w:val="center"/>
          </w:tcPr>
          <w:p w:rsidR="00EE56C0" w:rsidRDefault="000F36A1">
            <w:pPr>
              <w:pStyle w:val="afa"/>
            </w:pPr>
            <w:r>
              <w:rPr>
                <w:rFonts w:hint="eastAsia"/>
              </w:rPr>
              <w:t>厂区西侧预留用地</w:t>
            </w:r>
            <w:r>
              <w:rPr>
                <w:rFonts w:hint="eastAsia"/>
              </w:rPr>
              <w:t>5#</w:t>
            </w:r>
          </w:p>
        </w:tc>
        <w:tc>
          <w:tcPr>
            <w:tcW w:w="503" w:type="pct"/>
            <w:vAlign w:val="center"/>
          </w:tcPr>
          <w:p w:rsidR="00EE56C0" w:rsidRDefault="000F36A1">
            <w:pPr>
              <w:pStyle w:val="afa"/>
            </w:pPr>
            <w:r>
              <w:rPr>
                <w:rFonts w:hint="eastAsia"/>
              </w:rPr>
              <w:t>厂区东北方向（背景点）</w:t>
            </w:r>
            <w:r>
              <w:rPr>
                <w:rFonts w:hint="eastAsia"/>
              </w:rPr>
              <w:t>6#</w:t>
            </w:r>
          </w:p>
        </w:tc>
        <w:tc>
          <w:tcPr>
            <w:tcW w:w="1469" w:type="dxa"/>
            <w:vAlign w:val="center"/>
          </w:tcPr>
          <w:p w:rsidR="00EE56C0" w:rsidRDefault="000F36A1">
            <w:pPr>
              <w:pStyle w:val="afa"/>
            </w:pPr>
            <w:r>
              <w:rPr>
                <w:rFonts w:hint="eastAsia"/>
              </w:rPr>
              <w:t>厂区内西侧预留用地</w:t>
            </w:r>
            <w:r>
              <w:rPr>
                <w:rFonts w:hint="eastAsia"/>
              </w:rPr>
              <w:t>7#</w:t>
            </w:r>
          </w:p>
        </w:tc>
        <w:tc>
          <w:tcPr>
            <w:tcW w:w="1469" w:type="dxa"/>
            <w:vAlign w:val="center"/>
          </w:tcPr>
          <w:p w:rsidR="00EE56C0" w:rsidRDefault="000F36A1">
            <w:pPr>
              <w:pStyle w:val="afa"/>
            </w:pPr>
            <w:r>
              <w:rPr>
                <w:rFonts w:hint="eastAsia"/>
              </w:rPr>
              <w:t>厂外北侧农田</w:t>
            </w:r>
            <w:r>
              <w:rPr>
                <w:rFonts w:hint="eastAsia"/>
              </w:rPr>
              <w:t>1#</w:t>
            </w:r>
          </w:p>
        </w:tc>
        <w:tc>
          <w:tcPr>
            <w:tcW w:w="1469" w:type="dxa"/>
            <w:vAlign w:val="center"/>
          </w:tcPr>
          <w:p w:rsidR="00EE56C0" w:rsidRDefault="000F36A1">
            <w:pPr>
              <w:pStyle w:val="afa"/>
            </w:pPr>
            <w:r>
              <w:rPr>
                <w:rFonts w:hint="eastAsia"/>
              </w:rPr>
              <w:t>厂外东侧农田</w:t>
            </w:r>
            <w:r>
              <w:rPr>
                <w:rFonts w:hint="eastAsia"/>
              </w:rPr>
              <w:t>2#</w:t>
            </w:r>
          </w:p>
        </w:tc>
        <w:tc>
          <w:tcPr>
            <w:tcW w:w="1469" w:type="dxa"/>
            <w:vAlign w:val="center"/>
          </w:tcPr>
          <w:p w:rsidR="00EE56C0" w:rsidRDefault="000F36A1">
            <w:pPr>
              <w:pStyle w:val="afa"/>
            </w:pPr>
            <w:r>
              <w:rPr>
                <w:rFonts w:hint="eastAsia"/>
              </w:rPr>
              <w:t>厂外西侧农田</w:t>
            </w:r>
            <w:r>
              <w:rPr>
                <w:rFonts w:hint="eastAsia"/>
              </w:rPr>
              <w:t>3#</w:t>
            </w:r>
          </w:p>
        </w:tc>
        <w:tc>
          <w:tcPr>
            <w:tcW w:w="1470" w:type="dxa"/>
            <w:vAlign w:val="center"/>
          </w:tcPr>
          <w:p w:rsidR="00EE56C0" w:rsidRDefault="000F36A1">
            <w:pPr>
              <w:pStyle w:val="afa"/>
            </w:pPr>
            <w:r>
              <w:rPr>
                <w:rFonts w:hint="eastAsia"/>
              </w:rPr>
              <w:t>厂外西南方向农田</w:t>
            </w:r>
            <w:r>
              <w:rPr>
                <w:rFonts w:hint="eastAsia"/>
              </w:rPr>
              <w:t>4#</w:t>
            </w:r>
          </w:p>
        </w:tc>
      </w:tr>
      <w:tr w:rsidR="00EE56C0">
        <w:trPr>
          <w:trHeight w:val="510"/>
          <w:jc w:val="center"/>
        </w:trPr>
        <w:tc>
          <w:tcPr>
            <w:tcW w:w="917" w:type="pct"/>
            <w:gridSpan w:val="2"/>
            <w:vAlign w:val="center"/>
          </w:tcPr>
          <w:p w:rsidR="00EE56C0" w:rsidRDefault="000F36A1">
            <w:pPr>
              <w:pStyle w:val="afa"/>
            </w:pPr>
            <w:r>
              <w:t>坐标</w:t>
            </w:r>
          </w:p>
        </w:tc>
        <w:tc>
          <w:tcPr>
            <w:tcW w:w="1062" w:type="pct"/>
            <w:gridSpan w:val="3"/>
            <w:vAlign w:val="center"/>
          </w:tcPr>
          <w:p w:rsidR="00EE56C0" w:rsidRDefault="000F36A1">
            <w:pPr>
              <w:pStyle w:val="afa"/>
            </w:pPr>
            <w:r>
              <w:t>E11</w:t>
            </w:r>
            <w:r>
              <w:rPr>
                <w:rFonts w:hint="eastAsia"/>
              </w:rPr>
              <w:t>3</w:t>
            </w:r>
            <w:r>
              <w:t>°</w:t>
            </w:r>
            <w:r>
              <w:rPr>
                <w:rFonts w:hint="eastAsia"/>
              </w:rPr>
              <w:t>46</w:t>
            </w:r>
            <w:r>
              <w:t>′</w:t>
            </w:r>
            <w:r>
              <w:rPr>
                <w:rFonts w:hint="eastAsia"/>
              </w:rPr>
              <w:t>56</w:t>
            </w:r>
            <w:r>
              <w:t>"</w:t>
            </w:r>
          </w:p>
          <w:p w:rsidR="00EE56C0" w:rsidRDefault="000F36A1">
            <w:pPr>
              <w:pStyle w:val="afa"/>
            </w:pPr>
            <w:r>
              <w:t>N3</w:t>
            </w:r>
            <w:r>
              <w:rPr>
                <w:rFonts w:hint="eastAsia"/>
              </w:rPr>
              <w:t>5</w:t>
            </w:r>
            <w:r>
              <w:t>°</w:t>
            </w:r>
            <w:r>
              <w:rPr>
                <w:rFonts w:hint="eastAsia"/>
              </w:rPr>
              <w:t>08</w:t>
            </w:r>
            <w:r>
              <w:t>′</w:t>
            </w:r>
            <w:r>
              <w:rPr>
                <w:rFonts w:hint="eastAsia"/>
              </w:rPr>
              <w:t>09</w:t>
            </w:r>
            <w:r>
              <w:t>"</w:t>
            </w:r>
          </w:p>
        </w:tc>
        <w:tc>
          <w:tcPr>
            <w:tcW w:w="503" w:type="pct"/>
            <w:vAlign w:val="center"/>
          </w:tcPr>
          <w:p w:rsidR="00EE56C0" w:rsidRDefault="000F36A1">
            <w:pPr>
              <w:pStyle w:val="afa"/>
            </w:pPr>
            <w:r>
              <w:t>E11</w:t>
            </w:r>
            <w:r>
              <w:rPr>
                <w:rFonts w:hint="eastAsia"/>
              </w:rPr>
              <w:t>3</w:t>
            </w:r>
            <w:r>
              <w:t>°</w:t>
            </w:r>
            <w:r>
              <w:rPr>
                <w:rFonts w:hint="eastAsia"/>
              </w:rPr>
              <w:t>47</w:t>
            </w:r>
            <w:r>
              <w:t>′</w:t>
            </w:r>
            <w:r>
              <w:rPr>
                <w:rFonts w:hint="eastAsia"/>
              </w:rPr>
              <w:t>06</w:t>
            </w:r>
            <w:r>
              <w:t>"</w:t>
            </w:r>
          </w:p>
          <w:p w:rsidR="00EE56C0" w:rsidRDefault="000F36A1">
            <w:pPr>
              <w:pStyle w:val="afa"/>
            </w:pPr>
            <w:r>
              <w:t>N3</w:t>
            </w:r>
            <w:r>
              <w:rPr>
                <w:rFonts w:hint="eastAsia"/>
              </w:rPr>
              <w:t>5</w:t>
            </w:r>
            <w:r>
              <w:t>°</w:t>
            </w:r>
            <w:r>
              <w:rPr>
                <w:rFonts w:hint="eastAsia"/>
              </w:rPr>
              <w:t>08</w:t>
            </w:r>
            <w:r>
              <w:t>′</w:t>
            </w:r>
            <w:r>
              <w:rPr>
                <w:rFonts w:hint="eastAsia"/>
              </w:rPr>
              <w:t>15</w:t>
            </w:r>
            <w:r>
              <w:t>"</w:t>
            </w:r>
          </w:p>
        </w:tc>
        <w:tc>
          <w:tcPr>
            <w:tcW w:w="503" w:type="pct"/>
            <w:vAlign w:val="center"/>
          </w:tcPr>
          <w:p w:rsidR="00EE56C0" w:rsidRDefault="000F36A1">
            <w:pPr>
              <w:pStyle w:val="afa"/>
            </w:pPr>
            <w:r>
              <w:t>E11</w:t>
            </w:r>
            <w:r>
              <w:rPr>
                <w:rFonts w:hint="eastAsia"/>
              </w:rPr>
              <w:t>3</w:t>
            </w:r>
            <w:r>
              <w:t>°</w:t>
            </w:r>
            <w:r>
              <w:rPr>
                <w:rFonts w:hint="eastAsia"/>
              </w:rPr>
              <w:t>46</w:t>
            </w:r>
            <w:r>
              <w:t>′</w:t>
            </w:r>
            <w:r>
              <w:rPr>
                <w:rFonts w:hint="eastAsia"/>
              </w:rPr>
              <w:t>58</w:t>
            </w:r>
            <w:r>
              <w:t>"</w:t>
            </w:r>
          </w:p>
          <w:p w:rsidR="00EE56C0" w:rsidRDefault="000F36A1">
            <w:pPr>
              <w:pStyle w:val="afa"/>
            </w:pPr>
            <w:r>
              <w:t>N3</w:t>
            </w:r>
            <w:r>
              <w:rPr>
                <w:rFonts w:hint="eastAsia"/>
              </w:rPr>
              <w:t>5</w:t>
            </w:r>
            <w:r>
              <w:t>°</w:t>
            </w:r>
            <w:r>
              <w:rPr>
                <w:rFonts w:hint="eastAsia"/>
              </w:rPr>
              <w:t>08</w:t>
            </w:r>
            <w:r>
              <w:t>′</w:t>
            </w:r>
            <w:r>
              <w:rPr>
                <w:rFonts w:hint="eastAsia"/>
              </w:rPr>
              <w:t>11</w:t>
            </w:r>
            <w:r>
              <w:t>"</w:t>
            </w:r>
          </w:p>
        </w:tc>
        <w:tc>
          <w:tcPr>
            <w:tcW w:w="503" w:type="pct"/>
            <w:vAlign w:val="center"/>
          </w:tcPr>
          <w:p w:rsidR="00EE56C0" w:rsidRDefault="000F36A1">
            <w:pPr>
              <w:pStyle w:val="afa"/>
            </w:pPr>
            <w:r>
              <w:t>E11</w:t>
            </w:r>
            <w:r>
              <w:rPr>
                <w:rFonts w:hint="eastAsia"/>
              </w:rPr>
              <w:t>3</w:t>
            </w:r>
            <w:r>
              <w:t>°</w:t>
            </w:r>
            <w:r>
              <w:rPr>
                <w:rFonts w:hint="eastAsia"/>
              </w:rPr>
              <w:t>46</w:t>
            </w:r>
            <w:r>
              <w:t>′</w:t>
            </w:r>
            <w:r>
              <w:rPr>
                <w:rFonts w:hint="eastAsia"/>
              </w:rPr>
              <w:t>44</w:t>
            </w:r>
            <w:r>
              <w:t>"</w:t>
            </w:r>
          </w:p>
          <w:p w:rsidR="00EE56C0" w:rsidRDefault="000F36A1">
            <w:pPr>
              <w:pStyle w:val="afa"/>
            </w:pPr>
            <w:r>
              <w:t>N3</w:t>
            </w:r>
            <w:r>
              <w:rPr>
                <w:rFonts w:hint="eastAsia"/>
              </w:rPr>
              <w:t>5</w:t>
            </w:r>
            <w:r>
              <w:t>°</w:t>
            </w:r>
            <w:r>
              <w:rPr>
                <w:rFonts w:hint="eastAsia"/>
              </w:rPr>
              <w:t>08</w:t>
            </w:r>
            <w:r>
              <w:t>′</w:t>
            </w:r>
            <w:r>
              <w:rPr>
                <w:rFonts w:hint="eastAsia"/>
              </w:rPr>
              <w:t>30</w:t>
            </w:r>
            <w:r>
              <w:t>"</w:t>
            </w:r>
          </w:p>
        </w:tc>
        <w:tc>
          <w:tcPr>
            <w:tcW w:w="503" w:type="pct"/>
            <w:vAlign w:val="center"/>
          </w:tcPr>
          <w:p w:rsidR="00EE56C0" w:rsidRDefault="000F36A1">
            <w:pPr>
              <w:pStyle w:val="afa"/>
            </w:pPr>
            <w:r>
              <w:t>E11</w:t>
            </w:r>
            <w:r>
              <w:rPr>
                <w:rFonts w:hint="eastAsia"/>
              </w:rPr>
              <w:t>3</w:t>
            </w:r>
            <w:r>
              <w:t>°</w:t>
            </w:r>
            <w:r>
              <w:rPr>
                <w:rFonts w:hint="eastAsia"/>
              </w:rPr>
              <w:t>47</w:t>
            </w:r>
            <w:r>
              <w:t>′</w:t>
            </w:r>
            <w:r>
              <w:rPr>
                <w:rFonts w:hint="eastAsia"/>
              </w:rPr>
              <w:t>11</w:t>
            </w:r>
            <w:r>
              <w:t>"</w:t>
            </w:r>
          </w:p>
          <w:p w:rsidR="00EE56C0" w:rsidRDefault="000F36A1">
            <w:pPr>
              <w:pStyle w:val="afa"/>
            </w:pPr>
            <w:r>
              <w:t>N3</w:t>
            </w:r>
            <w:r>
              <w:rPr>
                <w:rFonts w:hint="eastAsia"/>
              </w:rPr>
              <w:t>5</w:t>
            </w:r>
            <w:r>
              <w:t>°</w:t>
            </w:r>
            <w:r>
              <w:rPr>
                <w:rFonts w:hint="eastAsia"/>
              </w:rPr>
              <w:t>08</w:t>
            </w:r>
            <w:r>
              <w:t>′</w:t>
            </w:r>
            <w:r>
              <w:rPr>
                <w:rFonts w:hint="eastAsia"/>
              </w:rPr>
              <w:t>15</w:t>
            </w:r>
            <w:r>
              <w:t>"</w:t>
            </w:r>
          </w:p>
        </w:tc>
        <w:tc>
          <w:tcPr>
            <w:tcW w:w="503" w:type="pct"/>
            <w:vAlign w:val="center"/>
          </w:tcPr>
          <w:p w:rsidR="00EE56C0" w:rsidRDefault="000F36A1">
            <w:pPr>
              <w:pStyle w:val="afa"/>
            </w:pPr>
            <w:r>
              <w:t>E11</w:t>
            </w:r>
            <w:r>
              <w:rPr>
                <w:rFonts w:hint="eastAsia"/>
              </w:rPr>
              <w:t>3</w:t>
            </w:r>
            <w:r>
              <w:t>°</w:t>
            </w:r>
            <w:r>
              <w:rPr>
                <w:rFonts w:hint="eastAsia"/>
              </w:rPr>
              <w:t>46</w:t>
            </w:r>
            <w:r>
              <w:t>′</w:t>
            </w:r>
            <w:r>
              <w:rPr>
                <w:rFonts w:hint="eastAsia"/>
              </w:rPr>
              <w:t>40</w:t>
            </w:r>
            <w:r>
              <w:t>"</w:t>
            </w:r>
          </w:p>
          <w:p w:rsidR="00EE56C0" w:rsidRDefault="000F36A1">
            <w:pPr>
              <w:pStyle w:val="afa"/>
            </w:pPr>
            <w:r>
              <w:t>N3</w:t>
            </w:r>
            <w:r>
              <w:rPr>
                <w:rFonts w:hint="eastAsia"/>
              </w:rPr>
              <w:t>5</w:t>
            </w:r>
            <w:r>
              <w:t>°</w:t>
            </w:r>
            <w:r>
              <w:rPr>
                <w:rFonts w:hint="eastAsia"/>
              </w:rPr>
              <w:t>08</w:t>
            </w:r>
            <w:r>
              <w:t>′</w:t>
            </w:r>
            <w:r>
              <w:rPr>
                <w:rFonts w:hint="eastAsia"/>
              </w:rPr>
              <w:t>17</w:t>
            </w:r>
            <w:r>
              <w:t>"</w:t>
            </w:r>
          </w:p>
        </w:tc>
        <w:tc>
          <w:tcPr>
            <w:tcW w:w="503" w:type="pct"/>
            <w:vAlign w:val="center"/>
          </w:tcPr>
          <w:p w:rsidR="00EE56C0" w:rsidRDefault="000F36A1">
            <w:pPr>
              <w:pStyle w:val="afa"/>
            </w:pPr>
            <w:r>
              <w:t>E11</w:t>
            </w:r>
            <w:r>
              <w:rPr>
                <w:rFonts w:hint="eastAsia"/>
              </w:rPr>
              <w:t>3</w:t>
            </w:r>
            <w:r>
              <w:t>°</w:t>
            </w:r>
            <w:r>
              <w:rPr>
                <w:rFonts w:hint="eastAsia"/>
              </w:rPr>
              <w:t>46</w:t>
            </w:r>
            <w:r>
              <w:t>′</w:t>
            </w:r>
            <w:r>
              <w:rPr>
                <w:rFonts w:hint="eastAsia"/>
              </w:rPr>
              <w:t>44</w:t>
            </w:r>
          </w:p>
          <w:p w:rsidR="00EE56C0" w:rsidRDefault="000F36A1">
            <w:pPr>
              <w:pStyle w:val="afa"/>
            </w:pPr>
            <w:r>
              <w:t>N3</w:t>
            </w:r>
            <w:r>
              <w:rPr>
                <w:rFonts w:hint="eastAsia"/>
              </w:rPr>
              <w:t>5</w:t>
            </w:r>
            <w:r>
              <w:t>°</w:t>
            </w:r>
            <w:r>
              <w:rPr>
                <w:rFonts w:hint="eastAsia"/>
              </w:rPr>
              <w:t>08</w:t>
            </w:r>
            <w:r>
              <w:t>′</w:t>
            </w:r>
            <w:r>
              <w:rPr>
                <w:rFonts w:hint="eastAsia"/>
              </w:rPr>
              <w:t>06</w:t>
            </w:r>
            <w:r>
              <w:t>"</w:t>
            </w:r>
          </w:p>
        </w:tc>
      </w:tr>
      <w:tr w:rsidR="00EE56C0">
        <w:trPr>
          <w:trHeight w:val="510"/>
          <w:jc w:val="center"/>
        </w:trPr>
        <w:tc>
          <w:tcPr>
            <w:tcW w:w="917" w:type="pct"/>
            <w:gridSpan w:val="2"/>
            <w:vAlign w:val="center"/>
          </w:tcPr>
          <w:p w:rsidR="00EE56C0" w:rsidRDefault="000F36A1">
            <w:pPr>
              <w:pStyle w:val="afa"/>
            </w:pPr>
            <w:r>
              <w:t>采样时间</w:t>
            </w:r>
          </w:p>
        </w:tc>
        <w:tc>
          <w:tcPr>
            <w:tcW w:w="3100" w:type="dxa"/>
            <w:gridSpan w:val="3"/>
            <w:vAlign w:val="center"/>
          </w:tcPr>
          <w:p w:rsidR="00EE56C0" w:rsidRDefault="000F36A1">
            <w:pPr>
              <w:pStyle w:val="afa"/>
            </w:pPr>
            <w:r>
              <w:rPr>
                <w:rFonts w:hint="eastAsia"/>
              </w:rPr>
              <w:t>2021.04.05</w:t>
            </w:r>
          </w:p>
        </w:tc>
        <w:tc>
          <w:tcPr>
            <w:tcW w:w="1468" w:type="dxa"/>
            <w:vAlign w:val="center"/>
          </w:tcPr>
          <w:p w:rsidR="00EE56C0" w:rsidRDefault="000F36A1">
            <w:pPr>
              <w:pStyle w:val="afa"/>
            </w:pPr>
            <w:r>
              <w:rPr>
                <w:rFonts w:hint="eastAsia"/>
              </w:rPr>
              <w:t>2021.04.05</w:t>
            </w:r>
          </w:p>
        </w:tc>
        <w:tc>
          <w:tcPr>
            <w:tcW w:w="1468" w:type="dxa"/>
            <w:vAlign w:val="center"/>
          </w:tcPr>
          <w:p w:rsidR="00EE56C0" w:rsidRDefault="000F36A1">
            <w:pPr>
              <w:pStyle w:val="afa"/>
            </w:pPr>
            <w:r>
              <w:rPr>
                <w:rFonts w:hint="eastAsia"/>
              </w:rPr>
              <w:t>2021.04.05</w:t>
            </w:r>
          </w:p>
        </w:tc>
        <w:tc>
          <w:tcPr>
            <w:tcW w:w="1468" w:type="dxa"/>
            <w:vAlign w:val="center"/>
          </w:tcPr>
          <w:p w:rsidR="00EE56C0" w:rsidRDefault="000F36A1">
            <w:pPr>
              <w:pStyle w:val="afa"/>
            </w:pPr>
            <w:r>
              <w:rPr>
                <w:rFonts w:hint="eastAsia"/>
              </w:rPr>
              <w:t>2021.04.05</w:t>
            </w:r>
          </w:p>
        </w:tc>
        <w:tc>
          <w:tcPr>
            <w:tcW w:w="1468" w:type="dxa"/>
            <w:vAlign w:val="center"/>
          </w:tcPr>
          <w:p w:rsidR="00EE56C0" w:rsidRDefault="000F36A1">
            <w:pPr>
              <w:pStyle w:val="afa"/>
            </w:pPr>
            <w:r>
              <w:rPr>
                <w:rFonts w:hint="eastAsia"/>
              </w:rPr>
              <w:t>2021.04.05</w:t>
            </w:r>
          </w:p>
        </w:tc>
        <w:tc>
          <w:tcPr>
            <w:tcW w:w="1469" w:type="dxa"/>
            <w:vAlign w:val="center"/>
          </w:tcPr>
          <w:p w:rsidR="00EE56C0" w:rsidRDefault="000F36A1">
            <w:pPr>
              <w:pStyle w:val="afa"/>
            </w:pPr>
            <w:r>
              <w:rPr>
                <w:rFonts w:hint="eastAsia"/>
              </w:rPr>
              <w:t>2021.04.05</w:t>
            </w:r>
          </w:p>
        </w:tc>
        <w:tc>
          <w:tcPr>
            <w:tcW w:w="1469" w:type="dxa"/>
            <w:vAlign w:val="center"/>
          </w:tcPr>
          <w:p w:rsidR="00EE56C0" w:rsidRDefault="000F36A1">
            <w:pPr>
              <w:pStyle w:val="afa"/>
            </w:pPr>
            <w:r>
              <w:rPr>
                <w:rFonts w:hint="eastAsia"/>
              </w:rPr>
              <w:t>2021.04.05</w:t>
            </w:r>
          </w:p>
        </w:tc>
      </w:tr>
      <w:tr w:rsidR="00EE56C0">
        <w:trPr>
          <w:trHeight w:val="510"/>
          <w:jc w:val="center"/>
        </w:trPr>
        <w:tc>
          <w:tcPr>
            <w:tcW w:w="917" w:type="pct"/>
            <w:gridSpan w:val="2"/>
            <w:vAlign w:val="center"/>
          </w:tcPr>
          <w:p w:rsidR="00EE56C0" w:rsidRDefault="000F36A1">
            <w:pPr>
              <w:pStyle w:val="afa"/>
            </w:pPr>
            <w:r>
              <w:t>层次</w:t>
            </w:r>
          </w:p>
        </w:tc>
        <w:tc>
          <w:tcPr>
            <w:tcW w:w="384" w:type="pct"/>
            <w:vAlign w:val="center"/>
          </w:tcPr>
          <w:p w:rsidR="00EE56C0" w:rsidRDefault="000F36A1">
            <w:pPr>
              <w:pStyle w:val="afa"/>
            </w:pPr>
            <w:r>
              <w:t>0~0.5m</w:t>
            </w:r>
          </w:p>
        </w:tc>
        <w:tc>
          <w:tcPr>
            <w:tcW w:w="332" w:type="pct"/>
            <w:vAlign w:val="center"/>
          </w:tcPr>
          <w:p w:rsidR="00EE56C0" w:rsidRDefault="000F36A1">
            <w:pPr>
              <w:pStyle w:val="afa"/>
            </w:pPr>
            <w:r>
              <w:t>0.5~1.5m</w:t>
            </w:r>
          </w:p>
        </w:tc>
        <w:tc>
          <w:tcPr>
            <w:tcW w:w="345" w:type="pct"/>
            <w:vAlign w:val="center"/>
          </w:tcPr>
          <w:p w:rsidR="00EE56C0" w:rsidRDefault="000F36A1">
            <w:pPr>
              <w:pStyle w:val="afa"/>
            </w:pPr>
            <w:r>
              <w:t>1.5m~3m</w:t>
            </w:r>
          </w:p>
        </w:tc>
        <w:tc>
          <w:tcPr>
            <w:tcW w:w="503" w:type="pct"/>
            <w:vAlign w:val="center"/>
          </w:tcPr>
          <w:p w:rsidR="00EE56C0" w:rsidRDefault="000F36A1">
            <w:pPr>
              <w:pStyle w:val="afa"/>
            </w:pPr>
            <w:r>
              <w:t>0~0.</w:t>
            </w:r>
            <w:r>
              <w:rPr>
                <w:rFonts w:hint="eastAsia"/>
              </w:rPr>
              <w:t>2</w:t>
            </w:r>
            <w:r>
              <w:t>m</w:t>
            </w:r>
          </w:p>
        </w:tc>
        <w:tc>
          <w:tcPr>
            <w:tcW w:w="503" w:type="pct"/>
            <w:vAlign w:val="center"/>
          </w:tcPr>
          <w:p w:rsidR="00EE56C0" w:rsidRDefault="000F36A1">
            <w:pPr>
              <w:pStyle w:val="afa"/>
            </w:pPr>
            <w:r>
              <w:t>0~0.</w:t>
            </w:r>
            <w:r>
              <w:rPr>
                <w:rFonts w:hint="eastAsia"/>
              </w:rPr>
              <w:t>2</w:t>
            </w:r>
            <w:r>
              <w:t>m</w:t>
            </w:r>
          </w:p>
        </w:tc>
        <w:tc>
          <w:tcPr>
            <w:tcW w:w="503" w:type="pct"/>
            <w:vAlign w:val="center"/>
          </w:tcPr>
          <w:p w:rsidR="00EE56C0" w:rsidRDefault="000F36A1">
            <w:pPr>
              <w:pStyle w:val="afa"/>
            </w:pPr>
            <w:r>
              <w:t>0~0.</w:t>
            </w:r>
            <w:r>
              <w:rPr>
                <w:rFonts w:hint="eastAsia"/>
              </w:rPr>
              <w:t>2</w:t>
            </w:r>
            <w:r>
              <w:t>m</w:t>
            </w:r>
          </w:p>
        </w:tc>
        <w:tc>
          <w:tcPr>
            <w:tcW w:w="503" w:type="pct"/>
            <w:vAlign w:val="center"/>
          </w:tcPr>
          <w:p w:rsidR="00EE56C0" w:rsidRDefault="000F36A1">
            <w:pPr>
              <w:pStyle w:val="afa"/>
            </w:pPr>
            <w:r>
              <w:t>0~0.</w:t>
            </w:r>
            <w:r>
              <w:rPr>
                <w:rFonts w:hint="eastAsia"/>
              </w:rPr>
              <w:t>2</w:t>
            </w:r>
            <w:r>
              <w:t>m</w:t>
            </w:r>
          </w:p>
        </w:tc>
        <w:tc>
          <w:tcPr>
            <w:tcW w:w="503" w:type="pct"/>
            <w:vAlign w:val="center"/>
          </w:tcPr>
          <w:p w:rsidR="00EE56C0" w:rsidRDefault="000F36A1">
            <w:pPr>
              <w:pStyle w:val="afa"/>
            </w:pPr>
            <w:r>
              <w:t>0~0.</w:t>
            </w:r>
            <w:r>
              <w:rPr>
                <w:rFonts w:hint="eastAsia"/>
              </w:rPr>
              <w:t>2</w:t>
            </w:r>
            <w:r>
              <w:t>m</w:t>
            </w:r>
          </w:p>
        </w:tc>
        <w:tc>
          <w:tcPr>
            <w:tcW w:w="503" w:type="pct"/>
            <w:vAlign w:val="center"/>
          </w:tcPr>
          <w:p w:rsidR="00EE56C0" w:rsidRDefault="000F36A1">
            <w:pPr>
              <w:pStyle w:val="afa"/>
            </w:pPr>
            <w:r>
              <w:t>0~0.</w:t>
            </w:r>
            <w:r>
              <w:rPr>
                <w:rFonts w:hint="eastAsia"/>
              </w:rPr>
              <w:t>2</w:t>
            </w:r>
            <w:r>
              <w:t>m</w:t>
            </w:r>
          </w:p>
        </w:tc>
      </w:tr>
      <w:tr w:rsidR="00EE56C0">
        <w:trPr>
          <w:trHeight w:val="510"/>
          <w:jc w:val="center"/>
        </w:trPr>
        <w:tc>
          <w:tcPr>
            <w:tcW w:w="303" w:type="pct"/>
            <w:vMerge w:val="restart"/>
            <w:textDirection w:val="tbRlV"/>
            <w:vAlign w:val="center"/>
          </w:tcPr>
          <w:p w:rsidR="00EE56C0" w:rsidRDefault="000F36A1">
            <w:pPr>
              <w:pStyle w:val="afa"/>
            </w:pPr>
            <w:r>
              <w:t>现</w:t>
            </w:r>
            <w:r>
              <w:t xml:space="preserve"> </w:t>
            </w:r>
            <w:r>
              <w:t>场</w:t>
            </w:r>
            <w:r>
              <w:t xml:space="preserve"> </w:t>
            </w:r>
            <w:r>
              <w:t>记</w:t>
            </w:r>
            <w:r>
              <w:t xml:space="preserve"> </w:t>
            </w:r>
            <w:r>
              <w:t>录</w:t>
            </w:r>
          </w:p>
        </w:tc>
        <w:tc>
          <w:tcPr>
            <w:tcW w:w="613" w:type="pct"/>
            <w:vAlign w:val="center"/>
          </w:tcPr>
          <w:p w:rsidR="00EE56C0" w:rsidRDefault="000F36A1">
            <w:pPr>
              <w:pStyle w:val="afa"/>
            </w:pPr>
            <w:r>
              <w:t>颜色</w:t>
            </w:r>
          </w:p>
        </w:tc>
        <w:tc>
          <w:tcPr>
            <w:tcW w:w="1062" w:type="pct"/>
            <w:gridSpan w:val="3"/>
            <w:vAlign w:val="center"/>
          </w:tcPr>
          <w:p w:rsidR="00EE56C0" w:rsidRDefault="000F36A1">
            <w:pPr>
              <w:pStyle w:val="afa"/>
            </w:pPr>
            <w:r>
              <w:rPr>
                <w:rFonts w:hint="eastAsia"/>
              </w:rPr>
              <w:t>褐色</w:t>
            </w:r>
          </w:p>
        </w:tc>
        <w:tc>
          <w:tcPr>
            <w:tcW w:w="503" w:type="pct"/>
            <w:vAlign w:val="center"/>
          </w:tcPr>
          <w:p w:rsidR="00EE56C0" w:rsidRDefault="000F36A1">
            <w:pPr>
              <w:pStyle w:val="afa"/>
            </w:pPr>
            <w:r>
              <w:rPr>
                <w:rFonts w:hint="eastAsia"/>
              </w:rPr>
              <w:t>褐色</w:t>
            </w:r>
          </w:p>
        </w:tc>
        <w:tc>
          <w:tcPr>
            <w:tcW w:w="503" w:type="pct"/>
            <w:vAlign w:val="center"/>
          </w:tcPr>
          <w:p w:rsidR="00EE56C0" w:rsidRDefault="000F36A1">
            <w:pPr>
              <w:pStyle w:val="afa"/>
            </w:pPr>
            <w:r>
              <w:rPr>
                <w:rFonts w:hint="eastAsia"/>
              </w:rPr>
              <w:t>褐色</w:t>
            </w:r>
          </w:p>
        </w:tc>
        <w:tc>
          <w:tcPr>
            <w:tcW w:w="503" w:type="pct"/>
            <w:vAlign w:val="center"/>
          </w:tcPr>
          <w:p w:rsidR="00EE56C0" w:rsidRDefault="000F36A1">
            <w:pPr>
              <w:pStyle w:val="afa"/>
            </w:pPr>
            <w:r>
              <w:rPr>
                <w:rFonts w:hint="eastAsia"/>
              </w:rPr>
              <w:t>褐色</w:t>
            </w:r>
          </w:p>
        </w:tc>
        <w:tc>
          <w:tcPr>
            <w:tcW w:w="503" w:type="pct"/>
            <w:vAlign w:val="center"/>
          </w:tcPr>
          <w:p w:rsidR="00EE56C0" w:rsidRDefault="000F36A1">
            <w:pPr>
              <w:pStyle w:val="afa"/>
            </w:pPr>
            <w:r>
              <w:rPr>
                <w:rFonts w:hint="eastAsia"/>
              </w:rPr>
              <w:t>褐色</w:t>
            </w:r>
          </w:p>
        </w:tc>
        <w:tc>
          <w:tcPr>
            <w:tcW w:w="503" w:type="pct"/>
            <w:vAlign w:val="center"/>
          </w:tcPr>
          <w:p w:rsidR="00EE56C0" w:rsidRDefault="000F36A1">
            <w:pPr>
              <w:pStyle w:val="afa"/>
            </w:pPr>
            <w:r>
              <w:rPr>
                <w:rFonts w:hint="eastAsia"/>
              </w:rPr>
              <w:t>褐色</w:t>
            </w:r>
          </w:p>
        </w:tc>
        <w:tc>
          <w:tcPr>
            <w:tcW w:w="503" w:type="pct"/>
            <w:vAlign w:val="center"/>
          </w:tcPr>
          <w:p w:rsidR="00EE56C0" w:rsidRDefault="000F36A1">
            <w:pPr>
              <w:pStyle w:val="afa"/>
            </w:pPr>
            <w:r>
              <w:rPr>
                <w:rFonts w:hint="eastAsia"/>
              </w:rPr>
              <w:t>褐色</w:t>
            </w:r>
          </w:p>
        </w:tc>
      </w:tr>
      <w:tr w:rsidR="00EE56C0">
        <w:trPr>
          <w:trHeight w:val="510"/>
          <w:jc w:val="center"/>
        </w:trPr>
        <w:tc>
          <w:tcPr>
            <w:tcW w:w="303" w:type="pct"/>
            <w:vMerge/>
            <w:vAlign w:val="center"/>
          </w:tcPr>
          <w:p w:rsidR="00EE56C0" w:rsidRDefault="00EE56C0">
            <w:pPr>
              <w:pStyle w:val="afa"/>
            </w:pPr>
          </w:p>
        </w:tc>
        <w:tc>
          <w:tcPr>
            <w:tcW w:w="613" w:type="pct"/>
            <w:vAlign w:val="center"/>
          </w:tcPr>
          <w:p w:rsidR="00EE56C0" w:rsidRDefault="000F36A1">
            <w:pPr>
              <w:pStyle w:val="afa"/>
            </w:pPr>
            <w:r>
              <w:t>质地</w:t>
            </w:r>
          </w:p>
        </w:tc>
        <w:tc>
          <w:tcPr>
            <w:tcW w:w="1062" w:type="pct"/>
            <w:gridSpan w:val="3"/>
            <w:vAlign w:val="center"/>
          </w:tcPr>
          <w:p w:rsidR="00EE56C0" w:rsidRDefault="000F36A1">
            <w:pPr>
              <w:pStyle w:val="afa"/>
            </w:pPr>
            <w:r>
              <w:rPr>
                <w:rFonts w:hint="eastAsia"/>
              </w:rPr>
              <w:t>壤土</w:t>
            </w:r>
          </w:p>
        </w:tc>
        <w:tc>
          <w:tcPr>
            <w:tcW w:w="503" w:type="pct"/>
            <w:vAlign w:val="center"/>
          </w:tcPr>
          <w:p w:rsidR="00EE56C0" w:rsidRDefault="000F36A1">
            <w:pPr>
              <w:pStyle w:val="afa"/>
            </w:pPr>
            <w:r>
              <w:rPr>
                <w:rFonts w:hint="eastAsia"/>
              </w:rPr>
              <w:t>壤土</w:t>
            </w:r>
          </w:p>
        </w:tc>
        <w:tc>
          <w:tcPr>
            <w:tcW w:w="503" w:type="pct"/>
            <w:vAlign w:val="center"/>
          </w:tcPr>
          <w:p w:rsidR="00EE56C0" w:rsidRDefault="000F36A1">
            <w:pPr>
              <w:pStyle w:val="afa"/>
            </w:pPr>
            <w:r>
              <w:rPr>
                <w:rFonts w:hint="eastAsia"/>
              </w:rPr>
              <w:t>壤土</w:t>
            </w:r>
          </w:p>
        </w:tc>
        <w:tc>
          <w:tcPr>
            <w:tcW w:w="503" w:type="pct"/>
            <w:vAlign w:val="center"/>
          </w:tcPr>
          <w:p w:rsidR="00EE56C0" w:rsidRDefault="000F36A1">
            <w:pPr>
              <w:pStyle w:val="afa"/>
            </w:pPr>
            <w:r>
              <w:rPr>
                <w:rFonts w:hint="eastAsia"/>
              </w:rPr>
              <w:t>壤土</w:t>
            </w:r>
          </w:p>
        </w:tc>
        <w:tc>
          <w:tcPr>
            <w:tcW w:w="503" w:type="pct"/>
            <w:vAlign w:val="center"/>
          </w:tcPr>
          <w:p w:rsidR="00EE56C0" w:rsidRDefault="000F36A1">
            <w:pPr>
              <w:pStyle w:val="afa"/>
            </w:pPr>
            <w:r>
              <w:rPr>
                <w:rFonts w:hint="eastAsia"/>
              </w:rPr>
              <w:t>壤土</w:t>
            </w:r>
          </w:p>
        </w:tc>
        <w:tc>
          <w:tcPr>
            <w:tcW w:w="503" w:type="pct"/>
            <w:vAlign w:val="center"/>
          </w:tcPr>
          <w:p w:rsidR="00EE56C0" w:rsidRDefault="000F36A1">
            <w:pPr>
              <w:pStyle w:val="afa"/>
            </w:pPr>
            <w:r>
              <w:rPr>
                <w:rFonts w:hint="eastAsia"/>
              </w:rPr>
              <w:t>壤土</w:t>
            </w:r>
          </w:p>
        </w:tc>
        <w:tc>
          <w:tcPr>
            <w:tcW w:w="503" w:type="pct"/>
            <w:vAlign w:val="center"/>
          </w:tcPr>
          <w:p w:rsidR="00EE56C0" w:rsidRDefault="000F36A1">
            <w:pPr>
              <w:pStyle w:val="afa"/>
            </w:pPr>
            <w:r>
              <w:rPr>
                <w:rFonts w:hint="eastAsia"/>
              </w:rPr>
              <w:t>壤土</w:t>
            </w:r>
          </w:p>
        </w:tc>
      </w:tr>
      <w:tr w:rsidR="00EE56C0">
        <w:trPr>
          <w:trHeight w:val="510"/>
          <w:jc w:val="center"/>
        </w:trPr>
        <w:tc>
          <w:tcPr>
            <w:tcW w:w="303" w:type="pct"/>
            <w:vMerge/>
            <w:vAlign w:val="center"/>
          </w:tcPr>
          <w:p w:rsidR="00EE56C0" w:rsidRDefault="00EE56C0">
            <w:pPr>
              <w:pStyle w:val="afa"/>
            </w:pPr>
          </w:p>
        </w:tc>
        <w:tc>
          <w:tcPr>
            <w:tcW w:w="613" w:type="pct"/>
            <w:vAlign w:val="center"/>
          </w:tcPr>
          <w:p w:rsidR="00EE56C0" w:rsidRDefault="000F36A1">
            <w:pPr>
              <w:pStyle w:val="afa"/>
            </w:pPr>
            <w:r>
              <w:t>砂砾含量</w:t>
            </w:r>
          </w:p>
        </w:tc>
        <w:tc>
          <w:tcPr>
            <w:tcW w:w="384" w:type="pct"/>
            <w:vAlign w:val="center"/>
          </w:tcPr>
          <w:p w:rsidR="00EE56C0" w:rsidRDefault="000F36A1">
            <w:pPr>
              <w:pStyle w:val="afa"/>
            </w:pPr>
            <w:r>
              <w:rPr>
                <w:rFonts w:hint="eastAsia"/>
              </w:rPr>
              <w:t>15%</w:t>
            </w:r>
          </w:p>
        </w:tc>
        <w:tc>
          <w:tcPr>
            <w:tcW w:w="332" w:type="pct"/>
            <w:vAlign w:val="center"/>
          </w:tcPr>
          <w:p w:rsidR="00EE56C0" w:rsidRDefault="000F36A1">
            <w:pPr>
              <w:pStyle w:val="afa"/>
            </w:pPr>
            <w:r>
              <w:rPr>
                <w:rFonts w:hint="eastAsia"/>
              </w:rPr>
              <w:t>12%</w:t>
            </w:r>
          </w:p>
        </w:tc>
        <w:tc>
          <w:tcPr>
            <w:tcW w:w="345" w:type="pct"/>
            <w:vAlign w:val="center"/>
          </w:tcPr>
          <w:p w:rsidR="00EE56C0" w:rsidRDefault="000F36A1">
            <w:pPr>
              <w:pStyle w:val="afa"/>
            </w:pPr>
            <w:r>
              <w:rPr>
                <w:rFonts w:hint="eastAsia"/>
              </w:rPr>
              <w:t>16%</w:t>
            </w:r>
          </w:p>
        </w:tc>
        <w:tc>
          <w:tcPr>
            <w:tcW w:w="503" w:type="pct"/>
            <w:vAlign w:val="center"/>
          </w:tcPr>
          <w:p w:rsidR="00EE56C0" w:rsidRDefault="000F36A1">
            <w:pPr>
              <w:pStyle w:val="afa"/>
            </w:pPr>
            <w:r>
              <w:rPr>
                <w:rFonts w:hint="eastAsia"/>
              </w:rPr>
              <w:t>14%</w:t>
            </w:r>
          </w:p>
        </w:tc>
        <w:tc>
          <w:tcPr>
            <w:tcW w:w="503" w:type="pct"/>
            <w:vAlign w:val="center"/>
          </w:tcPr>
          <w:p w:rsidR="00EE56C0" w:rsidRDefault="000F36A1">
            <w:pPr>
              <w:pStyle w:val="afa"/>
            </w:pPr>
            <w:r>
              <w:rPr>
                <w:rFonts w:hint="eastAsia"/>
              </w:rPr>
              <w:t>11%</w:t>
            </w:r>
          </w:p>
        </w:tc>
        <w:tc>
          <w:tcPr>
            <w:tcW w:w="503" w:type="pct"/>
            <w:vAlign w:val="center"/>
          </w:tcPr>
          <w:p w:rsidR="00EE56C0" w:rsidRDefault="000F36A1">
            <w:pPr>
              <w:pStyle w:val="afa"/>
            </w:pPr>
            <w:r>
              <w:rPr>
                <w:rFonts w:hint="eastAsia"/>
              </w:rPr>
              <w:t>13%</w:t>
            </w:r>
          </w:p>
        </w:tc>
        <w:tc>
          <w:tcPr>
            <w:tcW w:w="503" w:type="pct"/>
            <w:vAlign w:val="center"/>
          </w:tcPr>
          <w:p w:rsidR="00EE56C0" w:rsidRDefault="000F36A1">
            <w:pPr>
              <w:pStyle w:val="afa"/>
            </w:pPr>
            <w:r>
              <w:rPr>
                <w:rFonts w:hint="eastAsia"/>
              </w:rPr>
              <w:t>15%</w:t>
            </w:r>
          </w:p>
        </w:tc>
        <w:tc>
          <w:tcPr>
            <w:tcW w:w="503" w:type="pct"/>
            <w:vAlign w:val="center"/>
          </w:tcPr>
          <w:p w:rsidR="00EE56C0" w:rsidRDefault="000F36A1">
            <w:pPr>
              <w:pStyle w:val="afa"/>
            </w:pPr>
            <w:r>
              <w:rPr>
                <w:rFonts w:hint="eastAsia"/>
              </w:rPr>
              <w:t>12%</w:t>
            </w:r>
          </w:p>
        </w:tc>
        <w:tc>
          <w:tcPr>
            <w:tcW w:w="503" w:type="pct"/>
            <w:vAlign w:val="center"/>
          </w:tcPr>
          <w:p w:rsidR="00EE56C0" w:rsidRDefault="000F36A1">
            <w:pPr>
              <w:pStyle w:val="afa"/>
            </w:pPr>
            <w:r>
              <w:rPr>
                <w:rFonts w:hint="eastAsia"/>
              </w:rPr>
              <w:t>10%</w:t>
            </w:r>
          </w:p>
        </w:tc>
      </w:tr>
      <w:tr w:rsidR="00EE56C0">
        <w:trPr>
          <w:trHeight w:val="510"/>
          <w:jc w:val="center"/>
        </w:trPr>
        <w:tc>
          <w:tcPr>
            <w:tcW w:w="303" w:type="pct"/>
            <w:vMerge/>
            <w:vAlign w:val="center"/>
          </w:tcPr>
          <w:p w:rsidR="00EE56C0" w:rsidRDefault="00EE56C0">
            <w:pPr>
              <w:pStyle w:val="afa"/>
            </w:pPr>
          </w:p>
        </w:tc>
        <w:tc>
          <w:tcPr>
            <w:tcW w:w="613" w:type="pct"/>
            <w:vAlign w:val="center"/>
          </w:tcPr>
          <w:p w:rsidR="00EE56C0" w:rsidRDefault="000F36A1">
            <w:pPr>
              <w:pStyle w:val="afa"/>
            </w:pPr>
            <w:r>
              <w:t>其他异物</w:t>
            </w:r>
          </w:p>
        </w:tc>
        <w:tc>
          <w:tcPr>
            <w:tcW w:w="1062" w:type="pct"/>
            <w:gridSpan w:val="3"/>
            <w:vAlign w:val="center"/>
          </w:tcPr>
          <w:p w:rsidR="00EE56C0" w:rsidRDefault="000F36A1">
            <w:pPr>
              <w:pStyle w:val="afa"/>
            </w:pPr>
            <w:r>
              <w:t>植物根系</w:t>
            </w:r>
          </w:p>
        </w:tc>
        <w:tc>
          <w:tcPr>
            <w:tcW w:w="503" w:type="pct"/>
            <w:vAlign w:val="center"/>
          </w:tcPr>
          <w:p w:rsidR="00EE56C0" w:rsidRDefault="000F36A1">
            <w:pPr>
              <w:pStyle w:val="afa"/>
            </w:pPr>
            <w:r>
              <w:t>植物根系</w:t>
            </w:r>
          </w:p>
        </w:tc>
        <w:tc>
          <w:tcPr>
            <w:tcW w:w="503" w:type="pct"/>
            <w:vAlign w:val="center"/>
          </w:tcPr>
          <w:p w:rsidR="00EE56C0" w:rsidRDefault="000F36A1">
            <w:pPr>
              <w:pStyle w:val="afa"/>
            </w:pPr>
            <w:r>
              <w:t>植物根系</w:t>
            </w:r>
          </w:p>
        </w:tc>
        <w:tc>
          <w:tcPr>
            <w:tcW w:w="503" w:type="pct"/>
            <w:vAlign w:val="center"/>
          </w:tcPr>
          <w:p w:rsidR="00EE56C0" w:rsidRDefault="000F36A1">
            <w:pPr>
              <w:pStyle w:val="afa"/>
            </w:pPr>
            <w:r>
              <w:t>植物根系</w:t>
            </w:r>
          </w:p>
        </w:tc>
        <w:tc>
          <w:tcPr>
            <w:tcW w:w="503" w:type="pct"/>
            <w:vAlign w:val="center"/>
          </w:tcPr>
          <w:p w:rsidR="00EE56C0" w:rsidRDefault="000F36A1">
            <w:pPr>
              <w:pStyle w:val="afa"/>
            </w:pPr>
            <w:r>
              <w:t>植物根系</w:t>
            </w:r>
          </w:p>
        </w:tc>
        <w:tc>
          <w:tcPr>
            <w:tcW w:w="503" w:type="pct"/>
            <w:vAlign w:val="center"/>
          </w:tcPr>
          <w:p w:rsidR="00EE56C0" w:rsidRDefault="000F36A1">
            <w:pPr>
              <w:pStyle w:val="afa"/>
            </w:pPr>
            <w:r>
              <w:t>植物根系</w:t>
            </w:r>
          </w:p>
        </w:tc>
        <w:tc>
          <w:tcPr>
            <w:tcW w:w="503" w:type="pct"/>
            <w:vAlign w:val="center"/>
          </w:tcPr>
          <w:p w:rsidR="00EE56C0" w:rsidRDefault="000F36A1">
            <w:pPr>
              <w:pStyle w:val="afa"/>
            </w:pPr>
            <w:r>
              <w:t>植物根系</w:t>
            </w:r>
          </w:p>
        </w:tc>
      </w:tr>
      <w:tr w:rsidR="00EE56C0">
        <w:trPr>
          <w:trHeight w:val="510"/>
          <w:jc w:val="center"/>
        </w:trPr>
        <w:tc>
          <w:tcPr>
            <w:tcW w:w="303" w:type="pct"/>
            <w:vMerge w:val="restart"/>
            <w:textDirection w:val="tbRlV"/>
            <w:vAlign w:val="center"/>
          </w:tcPr>
          <w:p w:rsidR="00EE56C0" w:rsidRDefault="000F36A1">
            <w:pPr>
              <w:pStyle w:val="afa"/>
            </w:pPr>
            <w:r>
              <w:t>实</w:t>
            </w:r>
            <w:r>
              <w:t xml:space="preserve"> </w:t>
            </w:r>
            <w:r>
              <w:t>验</w:t>
            </w:r>
            <w:r>
              <w:t xml:space="preserve"> </w:t>
            </w:r>
            <w:r>
              <w:t>室</w:t>
            </w:r>
            <w:r>
              <w:t xml:space="preserve"> </w:t>
            </w:r>
            <w:r>
              <w:t>测</w:t>
            </w:r>
            <w:r>
              <w:t xml:space="preserve"> </w:t>
            </w:r>
            <w:r>
              <w:t>定</w:t>
            </w:r>
          </w:p>
        </w:tc>
        <w:tc>
          <w:tcPr>
            <w:tcW w:w="613" w:type="pct"/>
            <w:vAlign w:val="center"/>
          </w:tcPr>
          <w:p w:rsidR="00EE56C0" w:rsidRDefault="000F36A1">
            <w:pPr>
              <w:pStyle w:val="afa"/>
            </w:pPr>
            <w:r>
              <w:rPr>
                <w:rFonts w:hint="eastAsia"/>
              </w:rPr>
              <w:t>pH</w:t>
            </w:r>
            <w:r>
              <w:rPr>
                <w:rFonts w:hint="eastAsia"/>
              </w:rPr>
              <w:t>值</w:t>
            </w:r>
          </w:p>
        </w:tc>
        <w:tc>
          <w:tcPr>
            <w:tcW w:w="384" w:type="pct"/>
            <w:vAlign w:val="center"/>
          </w:tcPr>
          <w:p w:rsidR="00EE56C0" w:rsidRDefault="000F36A1">
            <w:pPr>
              <w:pStyle w:val="afa"/>
            </w:pPr>
            <w:r>
              <w:rPr>
                <w:rFonts w:hint="eastAsia"/>
              </w:rPr>
              <w:t>7.37</w:t>
            </w:r>
          </w:p>
        </w:tc>
        <w:tc>
          <w:tcPr>
            <w:tcW w:w="332" w:type="pct"/>
            <w:vAlign w:val="center"/>
          </w:tcPr>
          <w:p w:rsidR="00EE56C0" w:rsidRDefault="000F36A1">
            <w:pPr>
              <w:pStyle w:val="afa"/>
            </w:pPr>
            <w:r>
              <w:rPr>
                <w:rFonts w:hint="eastAsia"/>
              </w:rPr>
              <w:t>7.34</w:t>
            </w:r>
          </w:p>
        </w:tc>
        <w:tc>
          <w:tcPr>
            <w:tcW w:w="345" w:type="pct"/>
            <w:vAlign w:val="center"/>
          </w:tcPr>
          <w:p w:rsidR="00EE56C0" w:rsidRDefault="000F36A1">
            <w:pPr>
              <w:pStyle w:val="afa"/>
            </w:pPr>
            <w:r>
              <w:rPr>
                <w:rFonts w:hint="eastAsia"/>
              </w:rPr>
              <w:t>7.43</w:t>
            </w:r>
          </w:p>
        </w:tc>
        <w:tc>
          <w:tcPr>
            <w:tcW w:w="503" w:type="pct"/>
            <w:vAlign w:val="center"/>
          </w:tcPr>
          <w:p w:rsidR="00EE56C0" w:rsidRDefault="000F36A1">
            <w:pPr>
              <w:pStyle w:val="afa"/>
            </w:pPr>
            <w:r>
              <w:rPr>
                <w:rFonts w:hint="eastAsia"/>
              </w:rPr>
              <w:t>7.35</w:t>
            </w:r>
          </w:p>
        </w:tc>
        <w:tc>
          <w:tcPr>
            <w:tcW w:w="503" w:type="pct"/>
            <w:vAlign w:val="center"/>
          </w:tcPr>
          <w:p w:rsidR="00EE56C0" w:rsidRDefault="000F36A1">
            <w:pPr>
              <w:pStyle w:val="afa"/>
            </w:pPr>
            <w:r>
              <w:rPr>
                <w:rFonts w:hint="eastAsia"/>
              </w:rPr>
              <w:t>7.42</w:t>
            </w:r>
          </w:p>
        </w:tc>
        <w:tc>
          <w:tcPr>
            <w:tcW w:w="503" w:type="pct"/>
            <w:vAlign w:val="center"/>
          </w:tcPr>
          <w:p w:rsidR="00EE56C0" w:rsidRDefault="000F36A1">
            <w:pPr>
              <w:pStyle w:val="afa"/>
            </w:pPr>
            <w:r>
              <w:rPr>
                <w:rFonts w:hint="eastAsia"/>
              </w:rPr>
              <w:t>7.36</w:t>
            </w:r>
          </w:p>
        </w:tc>
        <w:tc>
          <w:tcPr>
            <w:tcW w:w="503" w:type="pct"/>
            <w:vAlign w:val="center"/>
          </w:tcPr>
          <w:p w:rsidR="00EE56C0" w:rsidRDefault="000F36A1">
            <w:pPr>
              <w:pStyle w:val="afa"/>
            </w:pPr>
            <w:r>
              <w:rPr>
                <w:rFonts w:hint="eastAsia"/>
              </w:rPr>
              <w:t>7.42</w:t>
            </w:r>
          </w:p>
        </w:tc>
        <w:tc>
          <w:tcPr>
            <w:tcW w:w="503" w:type="pct"/>
            <w:vAlign w:val="center"/>
          </w:tcPr>
          <w:p w:rsidR="00EE56C0" w:rsidRDefault="000F36A1">
            <w:pPr>
              <w:pStyle w:val="afa"/>
            </w:pPr>
            <w:r>
              <w:rPr>
                <w:rFonts w:hint="eastAsia"/>
              </w:rPr>
              <w:t>7.40</w:t>
            </w:r>
          </w:p>
        </w:tc>
        <w:tc>
          <w:tcPr>
            <w:tcW w:w="503" w:type="pct"/>
            <w:vAlign w:val="center"/>
          </w:tcPr>
          <w:p w:rsidR="00EE56C0" w:rsidRDefault="000F36A1">
            <w:pPr>
              <w:pStyle w:val="afa"/>
            </w:pPr>
            <w:r>
              <w:rPr>
                <w:rFonts w:hint="eastAsia"/>
              </w:rPr>
              <w:t>7.48</w:t>
            </w:r>
          </w:p>
        </w:tc>
      </w:tr>
      <w:tr w:rsidR="00EE56C0">
        <w:trPr>
          <w:trHeight w:val="510"/>
          <w:jc w:val="center"/>
        </w:trPr>
        <w:tc>
          <w:tcPr>
            <w:tcW w:w="303" w:type="pct"/>
            <w:vMerge/>
            <w:textDirection w:val="tbRlV"/>
            <w:vAlign w:val="center"/>
          </w:tcPr>
          <w:p w:rsidR="00EE56C0" w:rsidRDefault="00EE56C0">
            <w:pPr>
              <w:pStyle w:val="afa"/>
            </w:pPr>
          </w:p>
        </w:tc>
        <w:tc>
          <w:tcPr>
            <w:tcW w:w="613" w:type="pct"/>
            <w:vAlign w:val="center"/>
          </w:tcPr>
          <w:p w:rsidR="00EE56C0" w:rsidRDefault="000F36A1">
            <w:pPr>
              <w:pStyle w:val="afa"/>
            </w:pPr>
            <w:r>
              <w:t>阳离子交换量</w:t>
            </w:r>
            <w:r>
              <w:rPr>
                <w:rFonts w:hint="eastAsia"/>
              </w:rPr>
              <w:t>（</w:t>
            </w:r>
            <w:r>
              <w:t>cmol</w:t>
            </w:r>
            <w:r>
              <w:rPr>
                <w:vertAlign w:val="superscript"/>
              </w:rPr>
              <w:t>+</w:t>
            </w:r>
            <w:r>
              <w:t>/kg</w:t>
            </w:r>
            <w:r>
              <w:rPr>
                <w:rFonts w:hint="eastAsia"/>
              </w:rPr>
              <w:t>）</w:t>
            </w:r>
          </w:p>
        </w:tc>
        <w:tc>
          <w:tcPr>
            <w:tcW w:w="384" w:type="pct"/>
            <w:vAlign w:val="center"/>
          </w:tcPr>
          <w:p w:rsidR="00EE56C0" w:rsidRDefault="000F36A1">
            <w:pPr>
              <w:pStyle w:val="afa"/>
            </w:pPr>
            <w:r>
              <w:rPr>
                <w:rFonts w:hint="eastAsia"/>
              </w:rPr>
              <w:t>13.7</w:t>
            </w:r>
          </w:p>
        </w:tc>
        <w:tc>
          <w:tcPr>
            <w:tcW w:w="332" w:type="pct"/>
            <w:vAlign w:val="center"/>
          </w:tcPr>
          <w:p w:rsidR="00EE56C0" w:rsidRDefault="000F36A1">
            <w:pPr>
              <w:pStyle w:val="afa"/>
            </w:pPr>
            <w:r>
              <w:rPr>
                <w:rFonts w:hint="eastAsia"/>
              </w:rPr>
              <w:t>14.1</w:t>
            </w:r>
          </w:p>
        </w:tc>
        <w:tc>
          <w:tcPr>
            <w:tcW w:w="345" w:type="pct"/>
            <w:vAlign w:val="center"/>
          </w:tcPr>
          <w:p w:rsidR="00EE56C0" w:rsidRDefault="000F36A1">
            <w:pPr>
              <w:pStyle w:val="afa"/>
            </w:pPr>
            <w:r>
              <w:rPr>
                <w:rFonts w:hint="eastAsia"/>
              </w:rPr>
              <w:t>16.1</w:t>
            </w:r>
          </w:p>
        </w:tc>
        <w:tc>
          <w:tcPr>
            <w:tcW w:w="503" w:type="pct"/>
            <w:vAlign w:val="center"/>
          </w:tcPr>
          <w:p w:rsidR="00EE56C0" w:rsidRDefault="000F36A1">
            <w:pPr>
              <w:pStyle w:val="afa"/>
            </w:pPr>
            <w:r>
              <w:rPr>
                <w:rFonts w:hint="eastAsia"/>
              </w:rPr>
              <w:t>13.8</w:t>
            </w:r>
          </w:p>
        </w:tc>
        <w:tc>
          <w:tcPr>
            <w:tcW w:w="503" w:type="pct"/>
            <w:vAlign w:val="center"/>
          </w:tcPr>
          <w:p w:rsidR="00EE56C0" w:rsidRDefault="000F36A1">
            <w:pPr>
              <w:pStyle w:val="afa"/>
            </w:pPr>
            <w:r>
              <w:rPr>
                <w:rFonts w:hint="eastAsia"/>
              </w:rPr>
              <w:t>12.9</w:t>
            </w:r>
          </w:p>
        </w:tc>
        <w:tc>
          <w:tcPr>
            <w:tcW w:w="503" w:type="pct"/>
            <w:vAlign w:val="center"/>
          </w:tcPr>
          <w:p w:rsidR="00EE56C0" w:rsidRDefault="000F36A1">
            <w:pPr>
              <w:pStyle w:val="afa"/>
            </w:pPr>
            <w:r>
              <w:rPr>
                <w:rFonts w:hint="eastAsia"/>
              </w:rPr>
              <w:t>12.2</w:t>
            </w:r>
          </w:p>
        </w:tc>
        <w:tc>
          <w:tcPr>
            <w:tcW w:w="503" w:type="pct"/>
            <w:vAlign w:val="center"/>
          </w:tcPr>
          <w:p w:rsidR="00EE56C0" w:rsidRDefault="000F36A1">
            <w:pPr>
              <w:pStyle w:val="afa"/>
            </w:pPr>
            <w:r>
              <w:rPr>
                <w:rFonts w:hint="eastAsia"/>
              </w:rPr>
              <w:t>13.5</w:t>
            </w:r>
          </w:p>
        </w:tc>
        <w:tc>
          <w:tcPr>
            <w:tcW w:w="503" w:type="pct"/>
            <w:vAlign w:val="center"/>
          </w:tcPr>
          <w:p w:rsidR="00EE56C0" w:rsidRDefault="000F36A1">
            <w:pPr>
              <w:pStyle w:val="afa"/>
            </w:pPr>
            <w:r>
              <w:rPr>
                <w:rFonts w:hint="eastAsia"/>
              </w:rPr>
              <w:t>14.4</w:t>
            </w:r>
          </w:p>
        </w:tc>
        <w:tc>
          <w:tcPr>
            <w:tcW w:w="503" w:type="pct"/>
            <w:vAlign w:val="center"/>
          </w:tcPr>
          <w:p w:rsidR="00EE56C0" w:rsidRDefault="000F36A1">
            <w:pPr>
              <w:pStyle w:val="afa"/>
            </w:pPr>
            <w:r>
              <w:rPr>
                <w:rFonts w:hint="eastAsia"/>
              </w:rPr>
              <w:t>13.9</w:t>
            </w:r>
          </w:p>
        </w:tc>
      </w:tr>
      <w:tr w:rsidR="00EE56C0">
        <w:trPr>
          <w:trHeight w:val="510"/>
          <w:jc w:val="center"/>
        </w:trPr>
        <w:tc>
          <w:tcPr>
            <w:tcW w:w="303" w:type="pct"/>
            <w:vMerge/>
            <w:vAlign w:val="center"/>
          </w:tcPr>
          <w:p w:rsidR="00EE56C0" w:rsidRDefault="00EE56C0">
            <w:pPr>
              <w:pStyle w:val="afa"/>
            </w:pPr>
          </w:p>
        </w:tc>
        <w:tc>
          <w:tcPr>
            <w:tcW w:w="613" w:type="pct"/>
            <w:vAlign w:val="center"/>
          </w:tcPr>
          <w:p w:rsidR="00EE56C0" w:rsidRDefault="000F36A1">
            <w:pPr>
              <w:pStyle w:val="afa"/>
            </w:pPr>
            <w:r>
              <w:t>氧化还原电</w:t>
            </w:r>
            <w:r>
              <w:rPr>
                <w:rFonts w:hint="eastAsia"/>
              </w:rPr>
              <w:t>位（</w:t>
            </w:r>
            <w:r>
              <w:rPr>
                <w:rFonts w:hint="eastAsia"/>
              </w:rPr>
              <w:t>mv</w:t>
            </w:r>
            <w:r>
              <w:rPr>
                <w:rFonts w:hint="eastAsia"/>
              </w:rPr>
              <w:t>）</w:t>
            </w:r>
          </w:p>
        </w:tc>
        <w:tc>
          <w:tcPr>
            <w:tcW w:w="384" w:type="pct"/>
            <w:vAlign w:val="center"/>
          </w:tcPr>
          <w:p w:rsidR="00EE56C0" w:rsidRDefault="000F36A1">
            <w:pPr>
              <w:pStyle w:val="afa"/>
            </w:pPr>
            <w:r>
              <w:rPr>
                <w:rFonts w:hint="eastAsia"/>
              </w:rPr>
              <w:t>333</w:t>
            </w:r>
          </w:p>
        </w:tc>
        <w:tc>
          <w:tcPr>
            <w:tcW w:w="332" w:type="pct"/>
            <w:vAlign w:val="center"/>
          </w:tcPr>
          <w:p w:rsidR="00EE56C0" w:rsidRDefault="000F36A1">
            <w:pPr>
              <w:pStyle w:val="afa"/>
            </w:pPr>
            <w:r>
              <w:rPr>
                <w:rFonts w:hint="eastAsia"/>
              </w:rPr>
              <w:t>326</w:t>
            </w:r>
          </w:p>
        </w:tc>
        <w:tc>
          <w:tcPr>
            <w:tcW w:w="345" w:type="pct"/>
            <w:vAlign w:val="center"/>
          </w:tcPr>
          <w:p w:rsidR="00EE56C0" w:rsidRDefault="000F36A1">
            <w:pPr>
              <w:pStyle w:val="afa"/>
            </w:pPr>
            <w:r>
              <w:rPr>
                <w:rFonts w:hint="eastAsia"/>
              </w:rPr>
              <w:t>318</w:t>
            </w:r>
          </w:p>
        </w:tc>
        <w:tc>
          <w:tcPr>
            <w:tcW w:w="503" w:type="pct"/>
            <w:vAlign w:val="center"/>
          </w:tcPr>
          <w:p w:rsidR="00EE56C0" w:rsidRDefault="000F36A1">
            <w:pPr>
              <w:pStyle w:val="afa"/>
            </w:pPr>
            <w:r>
              <w:rPr>
                <w:rFonts w:hint="eastAsia"/>
              </w:rPr>
              <w:t>315</w:t>
            </w:r>
          </w:p>
        </w:tc>
        <w:tc>
          <w:tcPr>
            <w:tcW w:w="503" w:type="pct"/>
            <w:vAlign w:val="center"/>
          </w:tcPr>
          <w:p w:rsidR="00EE56C0" w:rsidRDefault="000F36A1">
            <w:pPr>
              <w:pStyle w:val="afa"/>
            </w:pPr>
            <w:r>
              <w:rPr>
                <w:rFonts w:hint="eastAsia"/>
              </w:rPr>
              <w:t>324</w:t>
            </w:r>
          </w:p>
        </w:tc>
        <w:tc>
          <w:tcPr>
            <w:tcW w:w="503" w:type="pct"/>
            <w:vAlign w:val="center"/>
          </w:tcPr>
          <w:p w:rsidR="00EE56C0" w:rsidRDefault="000F36A1">
            <w:pPr>
              <w:pStyle w:val="afa"/>
            </w:pPr>
            <w:r>
              <w:rPr>
                <w:rFonts w:hint="eastAsia"/>
              </w:rPr>
              <w:t>319</w:t>
            </w:r>
          </w:p>
        </w:tc>
        <w:tc>
          <w:tcPr>
            <w:tcW w:w="503" w:type="pct"/>
            <w:vAlign w:val="center"/>
          </w:tcPr>
          <w:p w:rsidR="00EE56C0" w:rsidRDefault="000F36A1">
            <w:pPr>
              <w:pStyle w:val="afa"/>
            </w:pPr>
            <w:r>
              <w:rPr>
                <w:rFonts w:hint="eastAsia"/>
              </w:rPr>
              <w:t>328</w:t>
            </w:r>
          </w:p>
        </w:tc>
        <w:tc>
          <w:tcPr>
            <w:tcW w:w="503" w:type="pct"/>
            <w:vAlign w:val="center"/>
          </w:tcPr>
          <w:p w:rsidR="00EE56C0" w:rsidRDefault="000F36A1">
            <w:pPr>
              <w:pStyle w:val="afa"/>
            </w:pPr>
            <w:r>
              <w:rPr>
                <w:rFonts w:hint="eastAsia"/>
              </w:rPr>
              <w:t>330</w:t>
            </w:r>
          </w:p>
        </w:tc>
        <w:tc>
          <w:tcPr>
            <w:tcW w:w="503" w:type="pct"/>
            <w:vAlign w:val="center"/>
          </w:tcPr>
          <w:p w:rsidR="00EE56C0" w:rsidRDefault="000F36A1">
            <w:pPr>
              <w:pStyle w:val="afa"/>
            </w:pPr>
            <w:r>
              <w:rPr>
                <w:rFonts w:hint="eastAsia"/>
              </w:rPr>
              <w:t>307</w:t>
            </w:r>
          </w:p>
        </w:tc>
      </w:tr>
      <w:tr w:rsidR="00EE56C0">
        <w:trPr>
          <w:trHeight w:val="510"/>
          <w:jc w:val="center"/>
        </w:trPr>
        <w:tc>
          <w:tcPr>
            <w:tcW w:w="303" w:type="pct"/>
            <w:vMerge/>
            <w:vAlign w:val="center"/>
          </w:tcPr>
          <w:p w:rsidR="00EE56C0" w:rsidRDefault="00EE56C0">
            <w:pPr>
              <w:pStyle w:val="afa"/>
            </w:pPr>
          </w:p>
        </w:tc>
        <w:tc>
          <w:tcPr>
            <w:tcW w:w="613" w:type="pct"/>
            <w:vAlign w:val="center"/>
          </w:tcPr>
          <w:p w:rsidR="00EE56C0" w:rsidRDefault="000F36A1">
            <w:pPr>
              <w:pStyle w:val="afa"/>
            </w:pPr>
            <w:r>
              <w:t>饱和导水率（</w:t>
            </w:r>
            <w:r>
              <w:t>cm/s</w:t>
            </w:r>
            <w:r>
              <w:t>）</w:t>
            </w:r>
          </w:p>
        </w:tc>
        <w:tc>
          <w:tcPr>
            <w:tcW w:w="384" w:type="pct"/>
            <w:vAlign w:val="center"/>
          </w:tcPr>
          <w:p w:rsidR="00EE56C0" w:rsidRDefault="000F36A1">
            <w:pPr>
              <w:pStyle w:val="afa"/>
            </w:pPr>
            <w:r>
              <w:rPr>
                <w:rFonts w:hint="eastAsia"/>
              </w:rPr>
              <w:t>1.15</w:t>
            </w:r>
          </w:p>
        </w:tc>
        <w:tc>
          <w:tcPr>
            <w:tcW w:w="332" w:type="pct"/>
            <w:vAlign w:val="center"/>
          </w:tcPr>
          <w:p w:rsidR="00EE56C0" w:rsidRDefault="000F36A1">
            <w:pPr>
              <w:pStyle w:val="afa"/>
            </w:pPr>
            <w:r>
              <w:rPr>
                <w:rFonts w:hint="eastAsia"/>
              </w:rPr>
              <w:t>1.00</w:t>
            </w:r>
          </w:p>
        </w:tc>
        <w:tc>
          <w:tcPr>
            <w:tcW w:w="345" w:type="pct"/>
            <w:vAlign w:val="center"/>
          </w:tcPr>
          <w:p w:rsidR="00EE56C0" w:rsidRDefault="000F36A1">
            <w:pPr>
              <w:pStyle w:val="afa"/>
            </w:pPr>
            <w:r>
              <w:rPr>
                <w:rFonts w:hint="eastAsia"/>
              </w:rPr>
              <w:t>0.97</w:t>
            </w:r>
          </w:p>
        </w:tc>
        <w:tc>
          <w:tcPr>
            <w:tcW w:w="503" w:type="pct"/>
            <w:vAlign w:val="center"/>
          </w:tcPr>
          <w:p w:rsidR="00EE56C0" w:rsidRDefault="000F36A1">
            <w:pPr>
              <w:pStyle w:val="afa"/>
            </w:pPr>
            <w:r>
              <w:rPr>
                <w:rFonts w:hint="eastAsia"/>
              </w:rPr>
              <w:t>0.81</w:t>
            </w:r>
          </w:p>
        </w:tc>
        <w:tc>
          <w:tcPr>
            <w:tcW w:w="503" w:type="pct"/>
            <w:vAlign w:val="center"/>
          </w:tcPr>
          <w:p w:rsidR="00EE56C0" w:rsidRDefault="000F36A1">
            <w:pPr>
              <w:pStyle w:val="afa"/>
            </w:pPr>
            <w:r>
              <w:rPr>
                <w:rFonts w:hint="eastAsia"/>
              </w:rPr>
              <w:t>0.95</w:t>
            </w:r>
          </w:p>
        </w:tc>
        <w:tc>
          <w:tcPr>
            <w:tcW w:w="503" w:type="pct"/>
            <w:vAlign w:val="center"/>
          </w:tcPr>
          <w:p w:rsidR="00EE56C0" w:rsidRDefault="000F36A1">
            <w:pPr>
              <w:pStyle w:val="afa"/>
            </w:pPr>
            <w:r>
              <w:rPr>
                <w:rFonts w:hint="eastAsia"/>
              </w:rPr>
              <w:t>1.09</w:t>
            </w:r>
          </w:p>
        </w:tc>
        <w:tc>
          <w:tcPr>
            <w:tcW w:w="503" w:type="pct"/>
            <w:vAlign w:val="center"/>
          </w:tcPr>
          <w:p w:rsidR="00EE56C0" w:rsidRDefault="000F36A1">
            <w:pPr>
              <w:pStyle w:val="afa"/>
            </w:pPr>
            <w:r>
              <w:rPr>
                <w:rFonts w:hint="eastAsia"/>
              </w:rPr>
              <w:t>1.17</w:t>
            </w:r>
          </w:p>
        </w:tc>
        <w:tc>
          <w:tcPr>
            <w:tcW w:w="503" w:type="pct"/>
            <w:vAlign w:val="center"/>
          </w:tcPr>
          <w:p w:rsidR="00EE56C0" w:rsidRDefault="000F36A1">
            <w:pPr>
              <w:pStyle w:val="afa"/>
            </w:pPr>
            <w:r>
              <w:rPr>
                <w:rFonts w:hint="eastAsia"/>
              </w:rPr>
              <w:t>1.14</w:t>
            </w:r>
          </w:p>
        </w:tc>
        <w:tc>
          <w:tcPr>
            <w:tcW w:w="503" w:type="pct"/>
            <w:vAlign w:val="center"/>
          </w:tcPr>
          <w:p w:rsidR="00EE56C0" w:rsidRDefault="000F36A1">
            <w:pPr>
              <w:pStyle w:val="afa"/>
            </w:pPr>
            <w:r>
              <w:rPr>
                <w:rFonts w:hint="eastAsia"/>
              </w:rPr>
              <w:t>1.08</w:t>
            </w:r>
          </w:p>
        </w:tc>
      </w:tr>
      <w:tr w:rsidR="00EE56C0">
        <w:trPr>
          <w:trHeight w:val="510"/>
          <w:jc w:val="center"/>
        </w:trPr>
        <w:tc>
          <w:tcPr>
            <w:tcW w:w="303" w:type="pct"/>
            <w:vMerge/>
            <w:vAlign w:val="center"/>
          </w:tcPr>
          <w:p w:rsidR="00EE56C0" w:rsidRDefault="00EE56C0">
            <w:pPr>
              <w:pStyle w:val="afa"/>
            </w:pPr>
          </w:p>
        </w:tc>
        <w:tc>
          <w:tcPr>
            <w:tcW w:w="613" w:type="pct"/>
            <w:vAlign w:val="center"/>
          </w:tcPr>
          <w:p w:rsidR="00EE56C0" w:rsidRDefault="000F36A1">
            <w:pPr>
              <w:pStyle w:val="afa"/>
            </w:pPr>
            <w:r>
              <w:t>土壤容重</w:t>
            </w:r>
            <w:r>
              <w:t>(g/cm</w:t>
            </w:r>
            <w:r>
              <w:rPr>
                <w:vertAlign w:val="superscript"/>
              </w:rPr>
              <w:t>3</w:t>
            </w:r>
            <w:r>
              <w:t>)</w:t>
            </w:r>
          </w:p>
        </w:tc>
        <w:tc>
          <w:tcPr>
            <w:tcW w:w="384" w:type="pct"/>
            <w:vAlign w:val="center"/>
          </w:tcPr>
          <w:p w:rsidR="00EE56C0" w:rsidRDefault="000F36A1">
            <w:pPr>
              <w:pStyle w:val="afa"/>
            </w:pPr>
            <w:r>
              <w:t>1.31</w:t>
            </w:r>
          </w:p>
        </w:tc>
        <w:tc>
          <w:tcPr>
            <w:tcW w:w="332" w:type="pct"/>
            <w:vAlign w:val="center"/>
          </w:tcPr>
          <w:p w:rsidR="00EE56C0" w:rsidRDefault="000F36A1">
            <w:pPr>
              <w:pStyle w:val="afa"/>
            </w:pPr>
            <w:r>
              <w:rPr>
                <w:rFonts w:hint="eastAsia"/>
              </w:rPr>
              <w:t>1.46</w:t>
            </w:r>
          </w:p>
        </w:tc>
        <w:tc>
          <w:tcPr>
            <w:tcW w:w="345" w:type="pct"/>
            <w:vAlign w:val="center"/>
          </w:tcPr>
          <w:p w:rsidR="00EE56C0" w:rsidRDefault="000F36A1">
            <w:pPr>
              <w:pStyle w:val="afa"/>
            </w:pPr>
            <w:r>
              <w:t>1.54</w:t>
            </w:r>
          </w:p>
        </w:tc>
        <w:tc>
          <w:tcPr>
            <w:tcW w:w="503" w:type="pct"/>
            <w:vAlign w:val="center"/>
          </w:tcPr>
          <w:p w:rsidR="00EE56C0" w:rsidRDefault="000F36A1">
            <w:pPr>
              <w:pStyle w:val="afa"/>
            </w:pPr>
            <w:r>
              <w:rPr>
                <w:rFonts w:hint="eastAsia"/>
              </w:rPr>
              <w:t>1.44</w:t>
            </w:r>
          </w:p>
        </w:tc>
        <w:tc>
          <w:tcPr>
            <w:tcW w:w="503" w:type="pct"/>
            <w:vAlign w:val="center"/>
          </w:tcPr>
          <w:p w:rsidR="00EE56C0" w:rsidRDefault="000F36A1">
            <w:pPr>
              <w:pStyle w:val="afa"/>
            </w:pPr>
            <w:r>
              <w:rPr>
                <w:rFonts w:hint="eastAsia"/>
              </w:rPr>
              <w:t>1.48</w:t>
            </w:r>
          </w:p>
        </w:tc>
        <w:tc>
          <w:tcPr>
            <w:tcW w:w="503" w:type="pct"/>
            <w:vAlign w:val="center"/>
          </w:tcPr>
          <w:p w:rsidR="00EE56C0" w:rsidRDefault="000F36A1">
            <w:pPr>
              <w:pStyle w:val="afa"/>
            </w:pPr>
            <w:r>
              <w:t>1.57</w:t>
            </w:r>
          </w:p>
        </w:tc>
        <w:tc>
          <w:tcPr>
            <w:tcW w:w="503" w:type="pct"/>
            <w:vAlign w:val="center"/>
          </w:tcPr>
          <w:p w:rsidR="00EE56C0" w:rsidRDefault="000F36A1">
            <w:pPr>
              <w:pStyle w:val="afa"/>
            </w:pPr>
            <w:r>
              <w:t>1.36</w:t>
            </w:r>
          </w:p>
        </w:tc>
        <w:tc>
          <w:tcPr>
            <w:tcW w:w="503" w:type="pct"/>
            <w:vAlign w:val="center"/>
          </w:tcPr>
          <w:p w:rsidR="00EE56C0" w:rsidRDefault="000F36A1">
            <w:pPr>
              <w:pStyle w:val="afa"/>
            </w:pPr>
            <w:r>
              <w:rPr>
                <w:rFonts w:hint="eastAsia"/>
              </w:rPr>
              <w:t>1.39</w:t>
            </w:r>
          </w:p>
        </w:tc>
        <w:tc>
          <w:tcPr>
            <w:tcW w:w="503" w:type="pct"/>
            <w:vAlign w:val="center"/>
          </w:tcPr>
          <w:p w:rsidR="00EE56C0" w:rsidRDefault="000F36A1">
            <w:pPr>
              <w:pStyle w:val="afa"/>
            </w:pPr>
            <w:r>
              <w:rPr>
                <w:rFonts w:hint="eastAsia"/>
              </w:rPr>
              <w:t>1.45</w:t>
            </w:r>
          </w:p>
        </w:tc>
      </w:tr>
      <w:tr w:rsidR="00EE56C0">
        <w:trPr>
          <w:trHeight w:val="510"/>
          <w:jc w:val="center"/>
        </w:trPr>
        <w:tc>
          <w:tcPr>
            <w:tcW w:w="303" w:type="pct"/>
            <w:vMerge/>
            <w:vAlign w:val="center"/>
          </w:tcPr>
          <w:p w:rsidR="00EE56C0" w:rsidRDefault="00EE56C0">
            <w:pPr>
              <w:pStyle w:val="afa"/>
            </w:pPr>
          </w:p>
        </w:tc>
        <w:tc>
          <w:tcPr>
            <w:tcW w:w="613" w:type="pct"/>
            <w:vAlign w:val="center"/>
          </w:tcPr>
          <w:p w:rsidR="00EE56C0" w:rsidRDefault="000F36A1">
            <w:pPr>
              <w:pStyle w:val="afa"/>
            </w:pPr>
            <w:r>
              <w:t>孔隙度</w:t>
            </w:r>
            <w:r>
              <w:t>(%)</w:t>
            </w:r>
          </w:p>
        </w:tc>
        <w:tc>
          <w:tcPr>
            <w:tcW w:w="384" w:type="pct"/>
            <w:vAlign w:val="center"/>
          </w:tcPr>
          <w:p w:rsidR="00EE56C0" w:rsidRDefault="000F36A1">
            <w:pPr>
              <w:pStyle w:val="afa"/>
            </w:pPr>
            <w:r>
              <w:t>50.6</w:t>
            </w:r>
          </w:p>
        </w:tc>
        <w:tc>
          <w:tcPr>
            <w:tcW w:w="332" w:type="pct"/>
            <w:vAlign w:val="center"/>
          </w:tcPr>
          <w:p w:rsidR="00EE56C0" w:rsidRDefault="000F36A1">
            <w:pPr>
              <w:pStyle w:val="afa"/>
            </w:pPr>
            <w:r>
              <w:rPr>
                <w:rFonts w:hint="eastAsia"/>
              </w:rPr>
              <w:t>44.9</w:t>
            </w:r>
          </w:p>
        </w:tc>
        <w:tc>
          <w:tcPr>
            <w:tcW w:w="345" w:type="pct"/>
            <w:vAlign w:val="center"/>
          </w:tcPr>
          <w:p w:rsidR="00EE56C0" w:rsidRDefault="000F36A1">
            <w:pPr>
              <w:pStyle w:val="afa"/>
            </w:pPr>
            <w:r>
              <w:t>41.7</w:t>
            </w:r>
          </w:p>
        </w:tc>
        <w:tc>
          <w:tcPr>
            <w:tcW w:w="503" w:type="pct"/>
            <w:vAlign w:val="center"/>
          </w:tcPr>
          <w:p w:rsidR="00EE56C0" w:rsidRDefault="000F36A1">
            <w:pPr>
              <w:pStyle w:val="afa"/>
            </w:pPr>
            <w:r>
              <w:rPr>
                <w:rFonts w:hint="eastAsia"/>
              </w:rPr>
              <w:t>45.7</w:t>
            </w:r>
          </w:p>
        </w:tc>
        <w:tc>
          <w:tcPr>
            <w:tcW w:w="503" w:type="pct"/>
            <w:vAlign w:val="center"/>
          </w:tcPr>
          <w:p w:rsidR="00EE56C0" w:rsidRDefault="000F36A1">
            <w:pPr>
              <w:pStyle w:val="afa"/>
            </w:pPr>
            <w:r>
              <w:rPr>
                <w:rFonts w:hint="eastAsia"/>
              </w:rPr>
              <w:t>44.2</w:t>
            </w:r>
          </w:p>
        </w:tc>
        <w:tc>
          <w:tcPr>
            <w:tcW w:w="503" w:type="pct"/>
            <w:vAlign w:val="center"/>
          </w:tcPr>
          <w:p w:rsidR="00EE56C0" w:rsidRDefault="000F36A1">
            <w:pPr>
              <w:pStyle w:val="afa"/>
            </w:pPr>
            <w:r>
              <w:t>40.8</w:t>
            </w:r>
          </w:p>
        </w:tc>
        <w:tc>
          <w:tcPr>
            <w:tcW w:w="503" w:type="pct"/>
            <w:vAlign w:val="center"/>
          </w:tcPr>
          <w:p w:rsidR="00EE56C0" w:rsidRDefault="000F36A1">
            <w:pPr>
              <w:pStyle w:val="afa"/>
            </w:pPr>
            <w:r>
              <w:t>48.7</w:t>
            </w:r>
          </w:p>
        </w:tc>
        <w:tc>
          <w:tcPr>
            <w:tcW w:w="503" w:type="pct"/>
            <w:vAlign w:val="center"/>
          </w:tcPr>
          <w:p w:rsidR="00EE56C0" w:rsidRDefault="000F36A1">
            <w:pPr>
              <w:pStyle w:val="afa"/>
            </w:pPr>
            <w:r>
              <w:rPr>
                <w:rFonts w:hint="eastAsia"/>
              </w:rPr>
              <w:t>47.5</w:t>
            </w:r>
          </w:p>
        </w:tc>
        <w:tc>
          <w:tcPr>
            <w:tcW w:w="503" w:type="pct"/>
            <w:vAlign w:val="center"/>
          </w:tcPr>
          <w:p w:rsidR="00EE56C0" w:rsidRDefault="000F36A1">
            <w:pPr>
              <w:pStyle w:val="afa"/>
            </w:pPr>
            <w:r>
              <w:rPr>
                <w:rFonts w:hint="eastAsia"/>
              </w:rPr>
              <w:t>45.3</w:t>
            </w:r>
          </w:p>
        </w:tc>
      </w:tr>
    </w:tbl>
    <w:p w:rsidR="00EE56C0" w:rsidRDefault="00EE56C0">
      <w:pPr>
        <w:pStyle w:val="afd"/>
        <w:spacing w:before="120" w:after="120"/>
        <w:ind w:firstLine="482"/>
        <w:rPr>
          <w:rFonts w:ascii="宋体" w:hAnsi="宋体"/>
        </w:rPr>
        <w:sectPr w:rsidR="00EE56C0">
          <w:pgSz w:w="16838" w:h="11906" w:orient="landscape"/>
          <w:pgMar w:top="1797" w:right="1440" w:bottom="1797" w:left="1440" w:header="851" w:footer="992" w:gutter="0"/>
          <w:cols w:space="720"/>
          <w:docGrid w:linePitch="326"/>
        </w:sectPr>
      </w:pPr>
    </w:p>
    <w:p w:rsidR="00EE56C0" w:rsidRDefault="000F36A1">
      <w:pPr>
        <w:pStyle w:val="5"/>
        <w:numPr>
          <w:ilvl w:val="0"/>
          <w:numId w:val="5"/>
        </w:numPr>
        <w:tabs>
          <w:tab w:val="clear" w:pos="0"/>
        </w:tabs>
        <w:autoSpaceDE/>
        <w:autoSpaceDN/>
        <w:ind w:left="420"/>
      </w:pPr>
      <w:r>
        <w:rPr>
          <w:rFonts w:hint="eastAsia"/>
        </w:rPr>
        <w:lastRenderedPageBreak/>
        <w:t>监测点位</w:t>
      </w:r>
    </w:p>
    <w:p w:rsidR="00EE56C0" w:rsidRDefault="000F36A1">
      <w:pPr>
        <w:ind w:firstLine="480"/>
      </w:pPr>
      <w:r>
        <w:rPr>
          <w:rFonts w:hint="eastAsia"/>
        </w:rPr>
        <w:t>河南华洋电工科技集团有限公司于</w:t>
      </w:r>
      <w:r>
        <w:t>20</w:t>
      </w:r>
      <w:r>
        <w:rPr>
          <w:rFonts w:hint="eastAsia"/>
        </w:rPr>
        <w:t>21</w:t>
      </w:r>
      <w:r>
        <w:t>年</w:t>
      </w:r>
      <w:r>
        <w:rPr>
          <w:rFonts w:hint="eastAsia"/>
        </w:rPr>
        <w:t>4</w:t>
      </w:r>
      <w:r>
        <w:t>月</w:t>
      </w:r>
      <w:r>
        <w:rPr>
          <w:rFonts w:hint="eastAsia"/>
        </w:rPr>
        <w:t>委托河南永飞检测科技有限公司对项目所在区域土壤进行了监测，</w:t>
      </w:r>
      <w:r w:rsidRPr="00702FE4">
        <w:rPr>
          <w:rFonts w:hint="eastAsia"/>
          <w:b/>
          <w:u w:val="single"/>
        </w:rPr>
        <w:t>于</w:t>
      </w:r>
      <w:r w:rsidRPr="00702FE4">
        <w:rPr>
          <w:b/>
          <w:u w:val="single"/>
        </w:rPr>
        <w:t>20</w:t>
      </w:r>
      <w:r w:rsidRPr="00702FE4">
        <w:rPr>
          <w:rFonts w:hint="eastAsia"/>
          <w:b/>
          <w:u w:val="single"/>
        </w:rPr>
        <w:t>21</w:t>
      </w:r>
      <w:r w:rsidRPr="00702FE4">
        <w:rPr>
          <w:b/>
          <w:u w:val="single"/>
        </w:rPr>
        <w:t>年</w:t>
      </w:r>
      <w:r w:rsidRPr="00702FE4">
        <w:rPr>
          <w:rFonts w:hint="eastAsia"/>
          <w:b/>
          <w:u w:val="single"/>
        </w:rPr>
        <w:t>11</w:t>
      </w:r>
      <w:r w:rsidRPr="00702FE4">
        <w:rPr>
          <w:b/>
          <w:u w:val="single"/>
        </w:rPr>
        <w:t>月</w:t>
      </w:r>
      <w:r w:rsidRPr="00702FE4">
        <w:rPr>
          <w:rFonts w:hint="eastAsia"/>
          <w:b/>
          <w:u w:val="single"/>
        </w:rPr>
        <w:t>委托河南永飞检测科技有限公司对厂区外西侧农田土壤进行了补测</w:t>
      </w:r>
      <w:r>
        <w:rPr>
          <w:rFonts w:hint="eastAsia"/>
        </w:rPr>
        <w:t>。监测点位及监测因子情况见表</w:t>
      </w:r>
      <w:r>
        <w:rPr>
          <w:rFonts w:hint="eastAsia"/>
        </w:rPr>
        <w:t>4</w:t>
      </w:r>
      <w:r>
        <w:t>-</w:t>
      </w:r>
      <w:r>
        <w:rPr>
          <w:rFonts w:hint="eastAsia"/>
        </w:rPr>
        <w:t>26</w:t>
      </w:r>
      <w:r>
        <w:rPr>
          <w:rFonts w:hint="eastAsia"/>
        </w:rPr>
        <w:t>。</w:t>
      </w:r>
    </w:p>
    <w:p w:rsidR="00EE56C0" w:rsidRDefault="000F36A1">
      <w:pPr>
        <w:pStyle w:val="afd"/>
        <w:spacing w:before="120" w:after="120"/>
        <w:ind w:firstLine="482"/>
      </w:pPr>
      <w:r>
        <w:rPr>
          <w:rFonts w:hint="eastAsia"/>
        </w:rPr>
        <w:t>表</w:t>
      </w:r>
      <w:r>
        <w:rPr>
          <w:rFonts w:hint="eastAsia"/>
        </w:rPr>
        <w:t>4</w:t>
      </w:r>
      <w:r>
        <w:t>-</w:t>
      </w:r>
      <w:r>
        <w:rPr>
          <w:rFonts w:hint="eastAsia"/>
        </w:rPr>
        <w:t xml:space="preserve">27     </w:t>
      </w:r>
      <w:r>
        <w:rPr>
          <w:rFonts w:hint="eastAsia"/>
        </w:rPr>
        <w:t>土壤环境现状监测点位及监测因子情况一览表</w:t>
      </w:r>
    </w:p>
    <w:tbl>
      <w:tblPr>
        <w:tblW w:w="4766"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1044"/>
        <w:gridCol w:w="1987"/>
        <w:gridCol w:w="2409"/>
        <w:gridCol w:w="2689"/>
      </w:tblGrid>
      <w:tr w:rsidR="00EE56C0">
        <w:trPr>
          <w:trHeight w:val="425"/>
          <w:jc w:val="center"/>
        </w:trPr>
        <w:tc>
          <w:tcPr>
            <w:tcW w:w="642" w:type="pct"/>
            <w:vAlign w:val="center"/>
          </w:tcPr>
          <w:p w:rsidR="00EE56C0" w:rsidRDefault="000F36A1">
            <w:pPr>
              <w:pStyle w:val="aff1"/>
              <w:rPr>
                <w:color w:val="auto"/>
              </w:rPr>
            </w:pPr>
            <w:r>
              <w:rPr>
                <w:rFonts w:hint="eastAsia"/>
                <w:color w:val="auto"/>
              </w:rPr>
              <w:t>序号</w:t>
            </w:r>
          </w:p>
        </w:tc>
        <w:tc>
          <w:tcPr>
            <w:tcW w:w="1222" w:type="pct"/>
            <w:tcBorders>
              <w:right w:val="single" w:sz="4" w:space="0" w:color="auto"/>
            </w:tcBorders>
            <w:vAlign w:val="center"/>
          </w:tcPr>
          <w:p w:rsidR="00EE56C0" w:rsidRDefault="000F36A1">
            <w:pPr>
              <w:pStyle w:val="aff1"/>
              <w:rPr>
                <w:color w:val="auto"/>
              </w:rPr>
            </w:pPr>
            <w:r>
              <w:rPr>
                <w:color w:val="auto"/>
              </w:rPr>
              <w:t>监测点</w:t>
            </w:r>
          </w:p>
        </w:tc>
        <w:tc>
          <w:tcPr>
            <w:tcW w:w="1482" w:type="pct"/>
            <w:tcBorders>
              <w:left w:val="single" w:sz="4" w:space="0" w:color="auto"/>
            </w:tcBorders>
            <w:vAlign w:val="center"/>
          </w:tcPr>
          <w:p w:rsidR="00EE56C0" w:rsidRDefault="000F36A1">
            <w:pPr>
              <w:pStyle w:val="aff1"/>
              <w:rPr>
                <w:color w:val="auto"/>
              </w:rPr>
            </w:pPr>
            <w:r>
              <w:rPr>
                <w:rFonts w:hint="eastAsia"/>
                <w:color w:val="auto"/>
              </w:rPr>
              <w:t>监测因子</w:t>
            </w:r>
          </w:p>
        </w:tc>
        <w:tc>
          <w:tcPr>
            <w:tcW w:w="1655" w:type="pct"/>
            <w:vAlign w:val="center"/>
          </w:tcPr>
          <w:p w:rsidR="00EE56C0" w:rsidRDefault="000F36A1">
            <w:pPr>
              <w:pStyle w:val="aff1"/>
              <w:rPr>
                <w:color w:val="auto"/>
              </w:rPr>
            </w:pPr>
            <w:r>
              <w:rPr>
                <w:rFonts w:hint="eastAsia"/>
                <w:color w:val="auto"/>
              </w:rPr>
              <w:t>采样深度</w:t>
            </w:r>
          </w:p>
        </w:tc>
      </w:tr>
      <w:tr w:rsidR="00EE56C0">
        <w:trPr>
          <w:trHeight w:val="425"/>
          <w:jc w:val="center"/>
        </w:trPr>
        <w:tc>
          <w:tcPr>
            <w:tcW w:w="642" w:type="pct"/>
            <w:vAlign w:val="center"/>
          </w:tcPr>
          <w:p w:rsidR="00EE56C0" w:rsidRDefault="000F36A1">
            <w:pPr>
              <w:pStyle w:val="afa"/>
            </w:pPr>
            <w:r>
              <w:t>1</w:t>
            </w:r>
          </w:p>
        </w:tc>
        <w:tc>
          <w:tcPr>
            <w:tcW w:w="1222" w:type="pct"/>
            <w:tcBorders>
              <w:right w:val="single" w:sz="4" w:space="0" w:color="auto"/>
            </w:tcBorders>
            <w:vAlign w:val="center"/>
          </w:tcPr>
          <w:p w:rsidR="00EE56C0" w:rsidRDefault="000F36A1">
            <w:pPr>
              <w:pStyle w:val="afa"/>
            </w:pPr>
            <w:r>
              <w:t>厂区西南方向</w:t>
            </w:r>
            <w:r>
              <w:rPr>
                <w:rFonts w:hint="eastAsia"/>
              </w:rPr>
              <w:t>（已建催化燃烧装置下风向）</w:t>
            </w:r>
          </w:p>
        </w:tc>
        <w:tc>
          <w:tcPr>
            <w:tcW w:w="1482" w:type="pct"/>
            <w:tcBorders>
              <w:left w:val="single" w:sz="4" w:space="0" w:color="auto"/>
            </w:tcBorders>
            <w:vAlign w:val="center"/>
          </w:tcPr>
          <w:p w:rsidR="00EE56C0" w:rsidRDefault="000F36A1">
            <w:pPr>
              <w:pStyle w:val="afa"/>
            </w:pPr>
            <w:r>
              <w:t>GB36600-2018</w:t>
            </w:r>
            <w:r>
              <w:rPr>
                <w:rFonts w:hint="eastAsia"/>
              </w:rPr>
              <w:t>表</w:t>
            </w:r>
            <w:r>
              <w:t>1</w:t>
            </w:r>
            <w:r>
              <w:rPr>
                <w:rFonts w:hint="eastAsia"/>
              </w:rPr>
              <w:t>中</w:t>
            </w:r>
            <w:r>
              <w:t>45</w:t>
            </w:r>
            <w:r>
              <w:rPr>
                <w:rFonts w:hint="eastAsia"/>
              </w:rPr>
              <w:t>项基本因子和石油烃</w:t>
            </w:r>
          </w:p>
        </w:tc>
        <w:tc>
          <w:tcPr>
            <w:tcW w:w="1655" w:type="pct"/>
            <w:vAlign w:val="center"/>
          </w:tcPr>
          <w:p w:rsidR="00EE56C0" w:rsidRDefault="000F36A1">
            <w:pPr>
              <w:pStyle w:val="afa"/>
            </w:pPr>
            <w:r>
              <w:t>0-0.5m</w:t>
            </w:r>
            <w:r>
              <w:rPr>
                <w:rFonts w:hint="eastAsia"/>
              </w:rPr>
              <w:t>、</w:t>
            </w:r>
            <w:r>
              <w:t>0.5-1.5m</w:t>
            </w:r>
            <w:r>
              <w:rPr>
                <w:rFonts w:hint="eastAsia"/>
              </w:rPr>
              <w:t>、</w:t>
            </w:r>
            <w:r>
              <w:t>1.5-3m</w:t>
            </w:r>
            <w:r>
              <w:rPr>
                <w:rFonts w:hint="eastAsia"/>
              </w:rPr>
              <w:t>分别各取</w:t>
            </w:r>
            <w:r>
              <w:t>1</w:t>
            </w:r>
            <w:r>
              <w:rPr>
                <w:rFonts w:hint="eastAsia"/>
              </w:rPr>
              <w:t>个样</w:t>
            </w:r>
          </w:p>
        </w:tc>
      </w:tr>
      <w:tr w:rsidR="00EE56C0">
        <w:trPr>
          <w:trHeight w:val="425"/>
          <w:jc w:val="center"/>
        </w:trPr>
        <w:tc>
          <w:tcPr>
            <w:tcW w:w="642" w:type="pct"/>
            <w:vAlign w:val="center"/>
          </w:tcPr>
          <w:p w:rsidR="00EE56C0" w:rsidRDefault="000F36A1">
            <w:pPr>
              <w:pStyle w:val="afa"/>
            </w:pPr>
            <w:r>
              <w:rPr>
                <w:rFonts w:hint="eastAsia"/>
              </w:rPr>
              <w:t>2</w:t>
            </w:r>
          </w:p>
        </w:tc>
        <w:tc>
          <w:tcPr>
            <w:tcW w:w="1222" w:type="pct"/>
            <w:tcBorders>
              <w:right w:val="single" w:sz="4" w:space="0" w:color="auto"/>
            </w:tcBorders>
            <w:vAlign w:val="center"/>
          </w:tcPr>
          <w:p w:rsidR="00EE56C0" w:rsidRDefault="000F36A1">
            <w:pPr>
              <w:pStyle w:val="afa"/>
            </w:pPr>
            <w:r>
              <w:t>已建危废间附近</w:t>
            </w:r>
          </w:p>
          <w:p w:rsidR="00EE56C0" w:rsidRDefault="00EE56C0">
            <w:pPr>
              <w:pStyle w:val="afa"/>
            </w:pPr>
          </w:p>
        </w:tc>
        <w:tc>
          <w:tcPr>
            <w:tcW w:w="1482" w:type="pct"/>
            <w:tcBorders>
              <w:left w:val="single" w:sz="4" w:space="0" w:color="auto"/>
            </w:tcBorders>
            <w:vAlign w:val="center"/>
          </w:tcPr>
          <w:p w:rsidR="00EE56C0" w:rsidRDefault="000F36A1">
            <w:pPr>
              <w:pStyle w:val="afa"/>
            </w:pPr>
            <w:r>
              <w:t>GB36600-2018</w:t>
            </w:r>
            <w:r>
              <w:rPr>
                <w:rFonts w:hint="eastAsia"/>
              </w:rPr>
              <w:t>表</w:t>
            </w:r>
            <w:r>
              <w:t>1</w:t>
            </w:r>
            <w:r>
              <w:rPr>
                <w:rFonts w:hint="eastAsia"/>
              </w:rPr>
              <w:t>中</w:t>
            </w:r>
            <w:r>
              <w:t>45</w:t>
            </w:r>
            <w:r>
              <w:rPr>
                <w:rFonts w:hint="eastAsia"/>
              </w:rPr>
              <w:t>项基本因子和石油烃</w:t>
            </w:r>
          </w:p>
        </w:tc>
        <w:tc>
          <w:tcPr>
            <w:tcW w:w="1655" w:type="pct"/>
            <w:vAlign w:val="center"/>
          </w:tcPr>
          <w:p w:rsidR="00EE56C0" w:rsidRDefault="000F36A1">
            <w:pPr>
              <w:pStyle w:val="afa"/>
            </w:pPr>
            <w:r>
              <w:t>0-0.5m</w:t>
            </w:r>
            <w:r>
              <w:rPr>
                <w:rFonts w:hint="eastAsia"/>
              </w:rPr>
              <w:t>、</w:t>
            </w:r>
            <w:r>
              <w:t>0.5-1.5m</w:t>
            </w:r>
            <w:r>
              <w:rPr>
                <w:rFonts w:hint="eastAsia"/>
              </w:rPr>
              <w:t>、</w:t>
            </w:r>
            <w:r>
              <w:t>1.5-3m</w:t>
            </w:r>
            <w:r>
              <w:rPr>
                <w:rFonts w:hint="eastAsia"/>
              </w:rPr>
              <w:t>分别各取</w:t>
            </w:r>
            <w:r>
              <w:t>1</w:t>
            </w:r>
            <w:r>
              <w:rPr>
                <w:rFonts w:hint="eastAsia"/>
              </w:rPr>
              <w:t>个样</w:t>
            </w:r>
          </w:p>
        </w:tc>
      </w:tr>
      <w:tr w:rsidR="00EE56C0">
        <w:trPr>
          <w:trHeight w:val="425"/>
          <w:jc w:val="center"/>
        </w:trPr>
        <w:tc>
          <w:tcPr>
            <w:tcW w:w="642" w:type="pct"/>
            <w:vAlign w:val="center"/>
          </w:tcPr>
          <w:p w:rsidR="00EE56C0" w:rsidRDefault="000F36A1">
            <w:pPr>
              <w:pStyle w:val="afa"/>
            </w:pPr>
            <w:r>
              <w:rPr>
                <w:rFonts w:hint="eastAsia"/>
              </w:rPr>
              <w:t>3</w:t>
            </w:r>
          </w:p>
        </w:tc>
        <w:tc>
          <w:tcPr>
            <w:tcW w:w="1222" w:type="pct"/>
            <w:tcBorders>
              <w:right w:val="single" w:sz="4" w:space="0" w:color="auto"/>
            </w:tcBorders>
            <w:vAlign w:val="center"/>
          </w:tcPr>
          <w:p w:rsidR="00EE56C0" w:rsidRDefault="000F36A1">
            <w:pPr>
              <w:pStyle w:val="afa"/>
            </w:pPr>
            <w:r>
              <w:rPr>
                <w:rFonts w:hint="eastAsia"/>
              </w:rPr>
              <w:t>已建</w:t>
            </w:r>
            <w:r>
              <w:t>污水处理设施附近</w:t>
            </w:r>
          </w:p>
        </w:tc>
        <w:tc>
          <w:tcPr>
            <w:tcW w:w="1482" w:type="pct"/>
            <w:tcBorders>
              <w:left w:val="single" w:sz="4" w:space="0" w:color="auto"/>
            </w:tcBorders>
            <w:vAlign w:val="center"/>
          </w:tcPr>
          <w:p w:rsidR="00EE56C0" w:rsidRDefault="000F36A1">
            <w:pPr>
              <w:pStyle w:val="afa"/>
            </w:pPr>
            <w:r>
              <w:rPr>
                <w:rFonts w:hint="eastAsia"/>
              </w:rPr>
              <w:t>pH</w:t>
            </w:r>
            <w:r>
              <w:rPr>
                <w:rFonts w:hint="eastAsia"/>
              </w:rPr>
              <w:t>、苯、甲苯、二甲苯、石油烃、甲酚</w:t>
            </w:r>
          </w:p>
        </w:tc>
        <w:tc>
          <w:tcPr>
            <w:tcW w:w="1655" w:type="pct"/>
            <w:vAlign w:val="center"/>
          </w:tcPr>
          <w:p w:rsidR="00EE56C0" w:rsidRDefault="000F36A1">
            <w:pPr>
              <w:pStyle w:val="afa"/>
            </w:pPr>
            <w:r>
              <w:t>0-0.5m</w:t>
            </w:r>
            <w:r>
              <w:rPr>
                <w:rFonts w:hint="eastAsia"/>
              </w:rPr>
              <w:t>、</w:t>
            </w:r>
            <w:r>
              <w:t>0.5-1.5m</w:t>
            </w:r>
            <w:r>
              <w:rPr>
                <w:rFonts w:hint="eastAsia"/>
              </w:rPr>
              <w:t>、</w:t>
            </w:r>
            <w:r>
              <w:t>1.5-3m</w:t>
            </w:r>
            <w:r>
              <w:rPr>
                <w:rFonts w:hint="eastAsia"/>
              </w:rPr>
              <w:t>分别各取</w:t>
            </w:r>
            <w:r>
              <w:t>1</w:t>
            </w:r>
            <w:r>
              <w:rPr>
                <w:rFonts w:hint="eastAsia"/>
              </w:rPr>
              <w:t>个样</w:t>
            </w:r>
          </w:p>
        </w:tc>
      </w:tr>
      <w:tr w:rsidR="00EE56C0">
        <w:trPr>
          <w:trHeight w:val="425"/>
          <w:jc w:val="center"/>
        </w:trPr>
        <w:tc>
          <w:tcPr>
            <w:tcW w:w="642" w:type="pct"/>
            <w:vAlign w:val="center"/>
          </w:tcPr>
          <w:p w:rsidR="00EE56C0" w:rsidRDefault="000F36A1">
            <w:pPr>
              <w:pStyle w:val="afa"/>
            </w:pPr>
            <w:r>
              <w:rPr>
                <w:rFonts w:hint="eastAsia"/>
              </w:rPr>
              <w:t>4</w:t>
            </w:r>
          </w:p>
        </w:tc>
        <w:tc>
          <w:tcPr>
            <w:tcW w:w="1222" w:type="pct"/>
            <w:tcBorders>
              <w:right w:val="single" w:sz="4" w:space="0" w:color="auto"/>
            </w:tcBorders>
            <w:vAlign w:val="center"/>
          </w:tcPr>
          <w:p w:rsidR="00EE56C0" w:rsidRDefault="000F36A1">
            <w:pPr>
              <w:pStyle w:val="afa"/>
            </w:pPr>
            <w:r>
              <w:t>厂区东北方向</w:t>
            </w:r>
          </w:p>
        </w:tc>
        <w:tc>
          <w:tcPr>
            <w:tcW w:w="1482" w:type="pct"/>
            <w:tcBorders>
              <w:left w:val="single" w:sz="4" w:space="0" w:color="auto"/>
            </w:tcBorders>
            <w:vAlign w:val="center"/>
          </w:tcPr>
          <w:p w:rsidR="00EE56C0" w:rsidRDefault="000F36A1">
            <w:pPr>
              <w:pStyle w:val="afa"/>
            </w:pPr>
            <w:r>
              <w:rPr>
                <w:rFonts w:hint="eastAsia"/>
              </w:rPr>
              <w:t>pH</w:t>
            </w:r>
            <w:r>
              <w:rPr>
                <w:rFonts w:hint="eastAsia"/>
              </w:rPr>
              <w:t>、苯、甲苯、二甲苯、石油烃、甲酚</w:t>
            </w:r>
          </w:p>
        </w:tc>
        <w:tc>
          <w:tcPr>
            <w:tcW w:w="1655" w:type="pct"/>
            <w:vAlign w:val="center"/>
          </w:tcPr>
          <w:p w:rsidR="00EE56C0" w:rsidRDefault="000F36A1">
            <w:pPr>
              <w:pStyle w:val="afa"/>
            </w:pPr>
            <w:r>
              <w:t>0-0.5m</w:t>
            </w:r>
            <w:r>
              <w:rPr>
                <w:rFonts w:hint="eastAsia"/>
              </w:rPr>
              <w:t>、</w:t>
            </w:r>
            <w:r>
              <w:t>0.5-1.5m</w:t>
            </w:r>
            <w:r>
              <w:rPr>
                <w:rFonts w:hint="eastAsia"/>
              </w:rPr>
              <w:t>、</w:t>
            </w:r>
            <w:r>
              <w:t>1.5-3m</w:t>
            </w:r>
            <w:r>
              <w:rPr>
                <w:rFonts w:hint="eastAsia"/>
              </w:rPr>
              <w:t>分别各取</w:t>
            </w:r>
            <w:r>
              <w:t>1</w:t>
            </w:r>
            <w:r>
              <w:rPr>
                <w:rFonts w:hint="eastAsia"/>
              </w:rPr>
              <w:t>个样</w:t>
            </w:r>
          </w:p>
        </w:tc>
      </w:tr>
      <w:tr w:rsidR="00EE56C0">
        <w:trPr>
          <w:trHeight w:val="425"/>
          <w:jc w:val="center"/>
        </w:trPr>
        <w:tc>
          <w:tcPr>
            <w:tcW w:w="642" w:type="pct"/>
            <w:vAlign w:val="center"/>
          </w:tcPr>
          <w:p w:rsidR="00EE56C0" w:rsidRDefault="000F36A1">
            <w:pPr>
              <w:pStyle w:val="afa"/>
            </w:pPr>
            <w:r>
              <w:rPr>
                <w:rFonts w:hint="eastAsia"/>
              </w:rPr>
              <w:t>5</w:t>
            </w:r>
          </w:p>
        </w:tc>
        <w:tc>
          <w:tcPr>
            <w:tcW w:w="1222" w:type="pct"/>
            <w:tcBorders>
              <w:right w:val="single" w:sz="4" w:space="0" w:color="auto"/>
            </w:tcBorders>
            <w:vAlign w:val="center"/>
          </w:tcPr>
          <w:p w:rsidR="00EE56C0" w:rsidRDefault="000F36A1">
            <w:pPr>
              <w:pStyle w:val="afa"/>
            </w:pPr>
            <w:r>
              <w:t>厂区西侧预留用地</w:t>
            </w:r>
          </w:p>
        </w:tc>
        <w:tc>
          <w:tcPr>
            <w:tcW w:w="1482" w:type="pct"/>
            <w:tcBorders>
              <w:left w:val="single" w:sz="4" w:space="0" w:color="auto"/>
            </w:tcBorders>
            <w:vAlign w:val="center"/>
          </w:tcPr>
          <w:p w:rsidR="00EE56C0" w:rsidRDefault="000F36A1">
            <w:pPr>
              <w:pStyle w:val="afa"/>
            </w:pPr>
            <w:r>
              <w:rPr>
                <w:rFonts w:hint="eastAsia"/>
              </w:rPr>
              <w:t>pH</w:t>
            </w:r>
            <w:r>
              <w:rPr>
                <w:rFonts w:hint="eastAsia"/>
              </w:rPr>
              <w:t>、苯、甲苯、二甲苯、石油烃、甲酚</w:t>
            </w:r>
          </w:p>
        </w:tc>
        <w:tc>
          <w:tcPr>
            <w:tcW w:w="1655" w:type="pct"/>
            <w:vAlign w:val="center"/>
          </w:tcPr>
          <w:p w:rsidR="00EE56C0" w:rsidRDefault="000F36A1">
            <w:pPr>
              <w:pStyle w:val="afa"/>
            </w:pPr>
            <w:r>
              <w:t>0-0.5m</w:t>
            </w:r>
            <w:r>
              <w:rPr>
                <w:rFonts w:hint="eastAsia"/>
              </w:rPr>
              <w:t>、</w:t>
            </w:r>
            <w:r>
              <w:t>0.5-1.5m</w:t>
            </w:r>
            <w:r>
              <w:rPr>
                <w:rFonts w:hint="eastAsia"/>
              </w:rPr>
              <w:t>、</w:t>
            </w:r>
            <w:r>
              <w:t>1.5-3m</w:t>
            </w:r>
            <w:r>
              <w:rPr>
                <w:rFonts w:hint="eastAsia"/>
              </w:rPr>
              <w:t>分别各取</w:t>
            </w:r>
            <w:r>
              <w:t>1</w:t>
            </w:r>
            <w:r>
              <w:rPr>
                <w:rFonts w:hint="eastAsia"/>
              </w:rPr>
              <w:t>个样</w:t>
            </w:r>
          </w:p>
        </w:tc>
      </w:tr>
      <w:tr w:rsidR="00EE56C0">
        <w:trPr>
          <w:trHeight w:val="425"/>
          <w:jc w:val="center"/>
        </w:trPr>
        <w:tc>
          <w:tcPr>
            <w:tcW w:w="642" w:type="pct"/>
            <w:vAlign w:val="center"/>
          </w:tcPr>
          <w:p w:rsidR="00EE56C0" w:rsidRDefault="000F36A1">
            <w:pPr>
              <w:pStyle w:val="afa"/>
            </w:pPr>
            <w:r>
              <w:rPr>
                <w:rFonts w:hint="eastAsia"/>
              </w:rPr>
              <w:t>6</w:t>
            </w:r>
          </w:p>
        </w:tc>
        <w:tc>
          <w:tcPr>
            <w:tcW w:w="1222" w:type="pct"/>
            <w:tcBorders>
              <w:right w:val="single" w:sz="4" w:space="0" w:color="auto"/>
            </w:tcBorders>
            <w:vAlign w:val="center"/>
          </w:tcPr>
          <w:p w:rsidR="00EE56C0" w:rsidRDefault="000F36A1">
            <w:pPr>
              <w:pStyle w:val="afa"/>
            </w:pPr>
            <w:r>
              <w:t>厂区东北方向</w:t>
            </w:r>
            <w:r>
              <w:rPr>
                <w:rFonts w:hint="eastAsia"/>
              </w:rPr>
              <w:t>（背景点）</w:t>
            </w:r>
          </w:p>
        </w:tc>
        <w:tc>
          <w:tcPr>
            <w:tcW w:w="1482" w:type="pct"/>
            <w:tcBorders>
              <w:left w:val="single" w:sz="4" w:space="0" w:color="auto"/>
            </w:tcBorders>
            <w:vAlign w:val="center"/>
          </w:tcPr>
          <w:p w:rsidR="00EE56C0" w:rsidRDefault="000F36A1">
            <w:pPr>
              <w:pStyle w:val="afa"/>
            </w:pPr>
            <w:r>
              <w:t>GB36600-2018</w:t>
            </w:r>
            <w:r>
              <w:rPr>
                <w:rFonts w:hint="eastAsia"/>
              </w:rPr>
              <w:t>表</w:t>
            </w:r>
            <w:r>
              <w:t>1</w:t>
            </w:r>
            <w:r>
              <w:rPr>
                <w:rFonts w:hint="eastAsia"/>
              </w:rPr>
              <w:t>中</w:t>
            </w:r>
            <w:r>
              <w:t>45</w:t>
            </w:r>
            <w:r>
              <w:rPr>
                <w:rFonts w:hint="eastAsia"/>
              </w:rPr>
              <w:t>项基本因子和石油烃</w:t>
            </w:r>
          </w:p>
        </w:tc>
        <w:tc>
          <w:tcPr>
            <w:tcW w:w="1655" w:type="pct"/>
            <w:vAlign w:val="center"/>
          </w:tcPr>
          <w:p w:rsidR="00EE56C0" w:rsidRDefault="000F36A1">
            <w:pPr>
              <w:pStyle w:val="afa"/>
            </w:pPr>
            <w:r>
              <w:t>0-0.2m</w:t>
            </w:r>
            <w:r>
              <w:rPr>
                <w:rFonts w:hint="eastAsia"/>
              </w:rPr>
              <w:t>取</w:t>
            </w:r>
            <w:r>
              <w:rPr>
                <w:rFonts w:hint="eastAsia"/>
              </w:rPr>
              <w:t>1</w:t>
            </w:r>
            <w:r>
              <w:rPr>
                <w:rFonts w:hint="eastAsia"/>
              </w:rPr>
              <w:t>个样</w:t>
            </w:r>
          </w:p>
        </w:tc>
      </w:tr>
      <w:tr w:rsidR="00EE56C0">
        <w:trPr>
          <w:trHeight w:val="425"/>
          <w:jc w:val="center"/>
        </w:trPr>
        <w:tc>
          <w:tcPr>
            <w:tcW w:w="642" w:type="pct"/>
            <w:vAlign w:val="center"/>
          </w:tcPr>
          <w:p w:rsidR="00EE56C0" w:rsidRDefault="000F36A1">
            <w:pPr>
              <w:pStyle w:val="afa"/>
            </w:pPr>
            <w:r>
              <w:rPr>
                <w:rFonts w:hint="eastAsia"/>
              </w:rPr>
              <w:t>7</w:t>
            </w:r>
          </w:p>
        </w:tc>
        <w:tc>
          <w:tcPr>
            <w:tcW w:w="1222" w:type="pct"/>
            <w:tcBorders>
              <w:right w:val="single" w:sz="4" w:space="0" w:color="auto"/>
            </w:tcBorders>
            <w:vAlign w:val="center"/>
          </w:tcPr>
          <w:p w:rsidR="00EE56C0" w:rsidRDefault="000F36A1">
            <w:pPr>
              <w:pStyle w:val="afa"/>
            </w:pPr>
            <w:r>
              <w:t>厂区内西侧预留用地</w:t>
            </w:r>
          </w:p>
        </w:tc>
        <w:tc>
          <w:tcPr>
            <w:tcW w:w="1482" w:type="pct"/>
            <w:tcBorders>
              <w:left w:val="single" w:sz="4" w:space="0" w:color="auto"/>
            </w:tcBorders>
            <w:vAlign w:val="center"/>
          </w:tcPr>
          <w:p w:rsidR="00EE56C0" w:rsidRDefault="000F36A1">
            <w:pPr>
              <w:pStyle w:val="afa"/>
            </w:pPr>
            <w:r>
              <w:rPr>
                <w:rFonts w:hint="eastAsia"/>
              </w:rPr>
              <w:t>pH</w:t>
            </w:r>
            <w:r>
              <w:rPr>
                <w:rFonts w:hint="eastAsia"/>
              </w:rPr>
              <w:t>、苯、甲苯、二甲苯、石油烃、甲酚</w:t>
            </w:r>
          </w:p>
        </w:tc>
        <w:tc>
          <w:tcPr>
            <w:tcW w:w="1655" w:type="pct"/>
            <w:vAlign w:val="center"/>
          </w:tcPr>
          <w:p w:rsidR="00EE56C0" w:rsidRDefault="000F36A1">
            <w:pPr>
              <w:pStyle w:val="afa"/>
            </w:pPr>
            <w:r>
              <w:t>0-0.2m</w:t>
            </w:r>
            <w:r>
              <w:rPr>
                <w:rFonts w:hint="eastAsia"/>
              </w:rPr>
              <w:t>取</w:t>
            </w:r>
            <w:r>
              <w:rPr>
                <w:rFonts w:hint="eastAsia"/>
              </w:rPr>
              <w:t>1</w:t>
            </w:r>
            <w:r>
              <w:rPr>
                <w:rFonts w:hint="eastAsia"/>
              </w:rPr>
              <w:t>个样</w:t>
            </w:r>
          </w:p>
        </w:tc>
      </w:tr>
      <w:tr w:rsidR="00EE56C0">
        <w:trPr>
          <w:trHeight w:val="425"/>
          <w:jc w:val="center"/>
        </w:trPr>
        <w:tc>
          <w:tcPr>
            <w:tcW w:w="642" w:type="pct"/>
            <w:vAlign w:val="center"/>
          </w:tcPr>
          <w:p w:rsidR="00EE56C0" w:rsidRDefault="000F36A1">
            <w:pPr>
              <w:pStyle w:val="afa"/>
            </w:pPr>
            <w:r>
              <w:rPr>
                <w:rFonts w:hint="eastAsia"/>
              </w:rPr>
              <w:t>8</w:t>
            </w:r>
          </w:p>
        </w:tc>
        <w:tc>
          <w:tcPr>
            <w:tcW w:w="1222" w:type="pct"/>
            <w:tcBorders>
              <w:right w:val="single" w:sz="4" w:space="0" w:color="auto"/>
            </w:tcBorders>
            <w:vAlign w:val="center"/>
          </w:tcPr>
          <w:p w:rsidR="00EE56C0" w:rsidRDefault="000F36A1">
            <w:pPr>
              <w:pStyle w:val="afa"/>
            </w:pPr>
            <w:r>
              <w:t>厂外北侧农田</w:t>
            </w:r>
          </w:p>
        </w:tc>
        <w:tc>
          <w:tcPr>
            <w:tcW w:w="1482" w:type="pct"/>
            <w:tcBorders>
              <w:left w:val="single" w:sz="4" w:space="0" w:color="auto"/>
            </w:tcBorders>
            <w:vAlign w:val="center"/>
          </w:tcPr>
          <w:p w:rsidR="00EE56C0" w:rsidRDefault="000F36A1">
            <w:pPr>
              <w:pStyle w:val="afa"/>
            </w:pPr>
            <w:r>
              <w:rPr>
                <w:rFonts w:hint="eastAsia"/>
              </w:rPr>
              <w:t>pH</w:t>
            </w:r>
            <w:r>
              <w:rPr>
                <w:rFonts w:hint="eastAsia"/>
              </w:rPr>
              <w:t>、苯、甲苯、二甲苯、石油烃、甲酚</w:t>
            </w:r>
          </w:p>
        </w:tc>
        <w:tc>
          <w:tcPr>
            <w:tcW w:w="1655" w:type="pct"/>
            <w:vAlign w:val="center"/>
          </w:tcPr>
          <w:p w:rsidR="00EE56C0" w:rsidRDefault="000F36A1">
            <w:pPr>
              <w:pStyle w:val="afa"/>
            </w:pPr>
            <w:r>
              <w:t>0-0.2m</w:t>
            </w:r>
            <w:r>
              <w:rPr>
                <w:rFonts w:hint="eastAsia"/>
              </w:rPr>
              <w:t>取</w:t>
            </w:r>
            <w:r>
              <w:rPr>
                <w:rFonts w:hint="eastAsia"/>
              </w:rPr>
              <w:t>1</w:t>
            </w:r>
            <w:r>
              <w:rPr>
                <w:rFonts w:hint="eastAsia"/>
              </w:rPr>
              <w:t>个样</w:t>
            </w:r>
          </w:p>
        </w:tc>
      </w:tr>
      <w:tr w:rsidR="00EE56C0">
        <w:trPr>
          <w:trHeight w:val="425"/>
          <w:jc w:val="center"/>
        </w:trPr>
        <w:tc>
          <w:tcPr>
            <w:tcW w:w="642" w:type="pct"/>
            <w:vAlign w:val="center"/>
          </w:tcPr>
          <w:p w:rsidR="00EE56C0" w:rsidRDefault="000F36A1">
            <w:pPr>
              <w:pStyle w:val="afa"/>
            </w:pPr>
            <w:r>
              <w:rPr>
                <w:rFonts w:hint="eastAsia"/>
              </w:rPr>
              <w:t>9</w:t>
            </w:r>
          </w:p>
        </w:tc>
        <w:tc>
          <w:tcPr>
            <w:tcW w:w="1222" w:type="pct"/>
            <w:tcBorders>
              <w:right w:val="single" w:sz="4" w:space="0" w:color="auto"/>
            </w:tcBorders>
            <w:vAlign w:val="center"/>
          </w:tcPr>
          <w:p w:rsidR="00EE56C0" w:rsidRDefault="000F36A1">
            <w:pPr>
              <w:pStyle w:val="afa"/>
            </w:pPr>
            <w:r>
              <w:t>厂外东侧农田</w:t>
            </w:r>
          </w:p>
        </w:tc>
        <w:tc>
          <w:tcPr>
            <w:tcW w:w="1482" w:type="pct"/>
            <w:tcBorders>
              <w:left w:val="single" w:sz="4" w:space="0" w:color="auto"/>
            </w:tcBorders>
            <w:vAlign w:val="center"/>
          </w:tcPr>
          <w:p w:rsidR="00EE56C0" w:rsidRDefault="000F36A1">
            <w:pPr>
              <w:pStyle w:val="afa"/>
            </w:pPr>
            <w:r>
              <w:rPr>
                <w:rFonts w:hint="eastAsia"/>
              </w:rPr>
              <w:t>pH</w:t>
            </w:r>
            <w:r>
              <w:rPr>
                <w:rFonts w:hint="eastAsia"/>
              </w:rPr>
              <w:t>、苯、甲苯、二甲苯、石油烃、甲酚</w:t>
            </w:r>
          </w:p>
        </w:tc>
        <w:tc>
          <w:tcPr>
            <w:tcW w:w="1655" w:type="pct"/>
            <w:vAlign w:val="center"/>
          </w:tcPr>
          <w:p w:rsidR="00EE56C0" w:rsidRDefault="000F36A1">
            <w:pPr>
              <w:pStyle w:val="afa"/>
            </w:pPr>
            <w:r>
              <w:t>0-0.2m</w:t>
            </w:r>
            <w:r>
              <w:rPr>
                <w:rFonts w:hint="eastAsia"/>
              </w:rPr>
              <w:t>取</w:t>
            </w:r>
            <w:r>
              <w:rPr>
                <w:rFonts w:hint="eastAsia"/>
              </w:rPr>
              <w:t>1</w:t>
            </w:r>
            <w:r>
              <w:rPr>
                <w:rFonts w:hint="eastAsia"/>
              </w:rPr>
              <w:t>个样</w:t>
            </w:r>
          </w:p>
        </w:tc>
      </w:tr>
      <w:tr w:rsidR="00EE56C0">
        <w:trPr>
          <w:trHeight w:val="425"/>
          <w:jc w:val="center"/>
        </w:trPr>
        <w:tc>
          <w:tcPr>
            <w:tcW w:w="642" w:type="pct"/>
            <w:vAlign w:val="center"/>
          </w:tcPr>
          <w:p w:rsidR="00EE56C0" w:rsidRDefault="000F36A1">
            <w:pPr>
              <w:pStyle w:val="afa"/>
            </w:pPr>
            <w:r>
              <w:rPr>
                <w:rFonts w:hint="eastAsia"/>
              </w:rPr>
              <w:t>10</w:t>
            </w:r>
          </w:p>
        </w:tc>
        <w:tc>
          <w:tcPr>
            <w:tcW w:w="1222" w:type="pct"/>
            <w:tcBorders>
              <w:right w:val="single" w:sz="4" w:space="0" w:color="auto"/>
            </w:tcBorders>
            <w:vAlign w:val="center"/>
          </w:tcPr>
          <w:p w:rsidR="00EE56C0" w:rsidRDefault="000F36A1">
            <w:pPr>
              <w:pStyle w:val="afa"/>
            </w:pPr>
            <w:r>
              <w:t>厂外西侧农田</w:t>
            </w:r>
          </w:p>
        </w:tc>
        <w:tc>
          <w:tcPr>
            <w:tcW w:w="1482" w:type="pct"/>
            <w:tcBorders>
              <w:left w:val="single" w:sz="4" w:space="0" w:color="auto"/>
            </w:tcBorders>
            <w:vAlign w:val="center"/>
          </w:tcPr>
          <w:p w:rsidR="00EE56C0" w:rsidRDefault="000F36A1">
            <w:pPr>
              <w:pStyle w:val="afa"/>
            </w:pPr>
            <w:r>
              <w:rPr>
                <w:rFonts w:hint="eastAsia"/>
              </w:rPr>
              <w:t>pH</w:t>
            </w:r>
            <w:r>
              <w:rPr>
                <w:rFonts w:hint="eastAsia"/>
              </w:rPr>
              <w:t>、苯、甲苯、二甲苯、石油烃、甲酚</w:t>
            </w:r>
          </w:p>
        </w:tc>
        <w:tc>
          <w:tcPr>
            <w:tcW w:w="1655" w:type="pct"/>
            <w:vAlign w:val="center"/>
          </w:tcPr>
          <w:p w:rsidR="00EE56C0" w:rsidRDefault="000F36A1">
            <w:pPr>
              <w:pStyle w:val="afa"/>
            </w:pPr>
            <w:r>
              <w:t>0-0.2m</w:t>
            </w:r>
            <w:r>
              <w:rPr>
                <w:rFonts w:hint="eastAsia"/>
              </w:rPr>
              <w:t>取</w:t>
            </w:r>
            <w:r>
              <w:rPr>
                <w:rFonts w:hint="eastAsia"/>
              </w:rPr>
              <w:t>1</w:t>
            </w:r>
            <w:r>
              <w:rPr>
                <w:rFonts w:hint="eastAsia"/>
              </w:rPr>
              <w:t>个样</w:t>
            </w:r>
          </w:p>
        </w:tc>
      </w:tr>
      <w:tr w:rsidR="00EE56C0">
        <w:trPr>
          <w:trHeight w:val="425"/>
          <w:jc w:val="center"/>
        </w:trPr>
        <w:tc>
          <w:tcPr>
            <w:tcW w:w="642" w:type="pct"/>
            <w:vAlign w:val="center"/>
          </w:tcPr>
          <w:p w:rsidR="00EE56C0" w:rsidRDefault="000F36A1">
            <w:pPr>
              <w:pStyle w:val="afa"/>
            </w:pPr>
            <w:r>
              <w:rPr>
                <w:rFonts w:hint="eastAsia"/>
              </w:rPr>
              <w:t>11</w:t>
            </w:r>
          </w:p>
        </w:tc>
        <w:tc>
          <w:tcPr>
            <w:tcW w:w="1222" w:type="pct"/>
            <w:tcBorders>
              <w:right w:val="single" w:sz="4" w:space="0" w:color="auto"/>
            </w:tcBorders>
            <w:vAlign w:val="center"/>
          </w:tcPr>
          <w:p w:rsidR="00EE56C0" w:rsidRDefault="000F36A1">
            <w:pPr>
              <w:pStyle w:val="afa"/>
            </w:pPr>
            <w:r>
              <w:t>厂外西南方向农田</w:t>
            </w:r>
          </w:p>
        </w:tc>
        <w:tc>
          <w:tcPr>
            <w:tcW w:w="1482" w:type="pct"/>
            <w:tcBorders>
              <w:left w:val="single" w:sz="4" w:space="0" w:color="auto"/>
            </w:tcBorders>
            <w:vAlign w:val="center"/>
          </w:tcPr>
          <w:p w:rsidR="00EE56C0" w:rsidRDefault="000F36A1">
            <w:pPr>
              <w:pStyle w:val="afa"/>
            </w:pPr>
            <w:r>
              <w:rPr>
                <w:rFonts w:hint="eastAsia"/>
              </w:rPr>
              <w:t>pH</w:t>
            </w:r>
            <w:r>
              <w:rPr>
                <w:rFonts w:hint="eastAsia"/>
              </w:rPr>
              <w:t>、苯、甲苯、二甲苯、石油烃、甲酚、</w:t>
            </w:r>
            <w:r>
              <w:rPr>
                <w:rFonts w:eastAsia="宋体" w:cs="Times New Roman"/>
                <w:b/>
                <w:u w:val="single"/>
              </w:rPr>
              <w:t>镉</w:t>
            </w:r>
            <w:r>
              <w:rPr>
                <w:rFonts w:hint="eastAsia"/>
                <w:b/>
                <w:u w:val="single"/>
              </w:rPr>
              <w:t>、</w:t>
            </w:r>
            <w:r>
              <w:rPr>
                <w:rFonts w:eastAsia="宋体" w:cs="Times New Roman"/>
                <w:b/>
                <w:u w:val="single"/>
              </w:rPr>
              <w:t>镍</w:t>
            </w:r>
            <w:r>
              <w:rPr>
                <w:rFonts w:hint="eastAsia"/>
                <w:b/>
                <w:u w:val="single"/>
              </w:rPr>
              <w:t>、</w:t>
            </w:r>
            <w:r>
              <w:rPr>
                <w:rFonts w:eastAsia="宋体" w:cs="Times New Roman"/>
                <w:b/>
                <w:u w:val="single"/>
              </w:rPr>
              <w:t>铅</w:t>
            </w:r>
            <w:r>
              <w:rPr>
                <w:rFonts w:hint="eastAsia"/>
                <w:b/>
                <w:u w:val="single"/>
              </w:rPr>
              <w:t>、</w:t>
            </w:r>
            <w:r>
              <w:rPr>
                <w:rFonts w:eastAsia="宋体" w:cs="Times New Roman" w:hint="eastAsia"/>
                <w:b/>
                <w:u w:val="single"/>
              </w:rPr>
              <w:t>铬</w:t>
            </w:r>
            <w:r>
              <w:rPr>
                <w:rFonts w:hint="eastAsia"/>
                <w:b/>
                <w:u w:val="single"/>
              </w:rPr>
              <w:t>、</w:t>
            </w:r>
            <w:r>
              <w:rPr>
                <w:rFonts w:eastAsia="宋体" w:cs="Times New Roman" w:hint="eastAsia"/>
                <w:b/>
                <w:u w:val="single"/>
              </w:rPr>
              <w:t>锌</w:t>
            </w:r>
            <w:r>
              <w:rPr>
                <w:rFonts w:hint="eastAsia"/>
                <w:b/>
                <w:u w:val="single"/>
              </w:rPr>
              <w:t>、</w:t>
            </w:r>
            <w:r>
              <w:rPr>
                <w:rFonts w:eastAsia="宋体" w:cs="Times New Roman"/>
                <w:b/>
                <w:u w:val="single"/>
              </w:rPr>
              <w:t>铜</w:t>
            </w:r>
            <w:r>
              <w:rPr>
                <w:rFonts w:hint="eastAsia"/>
                <w:b/>
                <w:u w:val="single"/>
              </w:rPr>
              <w:t>、</w:t>
            </w:r>
            <w:r>
              <w:rPr>
                <w:rFonts w:eastAsia="宋体" w:cs="Times New Roman"/>
                <w:b/>
                <w:u w:val="single"/>
              </w:rPr>
              <w:t>砷</w:t>
            </w:r>
            <w:r>
              <w:rPr>
                <w:rFonts w:hint="eastAsia"/>
                <w:b/>
                <w:u w:val="single"/>
              </w:rPr>
              <w:t>、</w:t>
            </w:r>
            <w:r>
              <w:rPr>
                <w:rFonts w:eastAsia="宋体" w:cs="Times New Roman"/>
                <w:b/>
                <w:u w:val="single"/>
              </w:rPr>
              <w:t>汞</w:t>
            </w:r>
          </w:p>
        </w:tc>
        <w:tc>
          <w:tcPr>
            <w:tcW w:w="1655" w:type="pct"/>
            <w:vAlign w:val="center"/>
          </w:tcPr>
          <w:p w:rsidR="00EE56C0" w:rsidRDefault="000F36A1">
            <w:pPr>
              <w:pStyle w:val="afa"/>
            </w:pPr>
            <w:r>
              <w:t>0-0.2m</w:t>
            </w:r>
            <w:r>
              <w:rPr>
                <w:rFonts w:hint="eastAsia"/>
              </w:rPr>
              <w:t>取</w:t>
            </w:r>
            <w:r>
              <w:rPr>
                <w:rFonts w:hint="eastAsia"/>
              </w:rPr>
              <w:t>1</w:t>
            </w:r>
            <w:r>
              <w:rPr>
                <w:rFonts w:hint="eastAsia"/>
              </w:rPr>
              <w:t>个样</w:t>
            </w:r>
          </w:p>
        </w:tc>
      </w:tr>
    </w:tbl>
    <w:p w:rsidR="00EE56C0" w:rsidRDefault="000F36A1">
      <w:pPr>
        <w:pStyle w:val="5"/>
        <w:numPr>
          <w:ilvl w:val="0"/>
          <w:numId w:val="5"/>
        </w:numPr>
        <w:tabs>
          <w:tab w:val="clear" w:pos="0"/>
        </w:tabs>
        <w:autoSpaceDE/>
        <w:autoSpaceDN/>
        <w:ind w:left="420"/>
      </w:pPr>
      <w:r>
        <w:rPr>
          <w:rFonts w:hint="eastAsia"/>
        </w:rPr>
        <w:t>监测结果</w:t>
      </w:r>
    </w:p>
    <w:p w:rsidR="00EE56C0" w:rsidRDefault="000F36A1">
      <w:pPr>
        <w:ind w:firstLine="480"/>
      </w:pPr>
      <w:r>
        <w:rPr>
          <w:rFonts w:hint="eastAsia"/>
        </w:rPr>
        <w:t>本次土壤环境监测结果见表</w:t>
      </w:r>
      <w:r>
        <w:rPr>
          <w:rFonts w:hint="eastAsia"/>
        </w:rPr>
        <w:t>4-28~</w:t>
      </w:r>
      <w:r>
        <w:rPr>
          <w:rFonts w:hint="eastAsia"/>
        </w:rPr>
        <w:t>表</w:t>
      </w:r>
      <w:r>
        <w:rPr>
          <w:rFonts w:hint="eastAsia"/>
        </w:rPr>
        <w:t>4-29</w:t>
      </w:r>
      <w:r>
        <w:rPr>
          <w:rFonts w:hint="eastAsia"/>
        </w:rPr>
        <w:t>：</w:t>
      </w:r>
    </w:p>
    <w:p w:rsidR="00EE56C0" w:rsidRDefault="00EE56C0">
      <w:pPr>
        <w:pStyle w:val="afd"/>
        <w:spacing w:before="120" w:after="120"/>
        <w:ind w:firstLine="482"/>
      </w:pPr>
    </w:p>
    <w:p w:rsidR="00EE56C0" w:rsidRDefault="00EE56C0">
      <w:pPr>
        <w:pStyle w:val="afd"/>
        <w:spacing w:before="120" w:after="120"/>
        <w:ind w:firstLine="482"/>
      </w:pPr>
    </w:p>
    <w:p w:rsidR="00EE56C0" w:rsidRDefault="00EE56C0">
      <w:pPr>
        <w:pStyle w:val="afd"/>
        <w:spacing w:before="120" w:after="120"/>
        <w:ind w:firstLine="482"/>
      </w:pPr>
    </w:p>
    <w:p w:rsidR="00EE56C0" w:rsidRDefault="00EE56C0">
      <w:pPr>
        <w:pStyle w:val="afd"/>
        <w:spacing w:before="120" w:after="120"/>
        <w:ind w:firstLine="482"/>
      </w:pPr>
    </w:p>
    <w:p w:rsidR="00EE56C0" w:rsidRDefault="00EE56C0">
      <w:pPr>
        <w:pStyle w:val="afd"/>
        <w:spacing w:before="120" w:after="120"/>
        <w:ind w:firstLine="482"/>
      </w:pPr>
    </w:p>
    <w:p w:rsidR="00EE56C0" w:rsidRDefault="000F36A1">
      <w:pPr>
        <w:pStyle w:val="afd"/>
        <w:spacing w:before="120" w:after="120"/>
        <w:ind w:firstLine="482"/>
      </w:pPr>
      <w:r>
        <w:lastRenderedPageBreak/>
        <w:t>表</w:t>
      </w:r>
      <w:r>
        <w:t>4-</w:t>
      </w:r>
      <w:r>
        <w:rPr>
          <w:rFonts w:hint="eastAsia"/>
        </w:rPr>
        <w:t xml:space="preserve">28      </w:t>
      </w:r>
      <w:r>
        <w:rPr>
          <w:rFonts w:hint="eastAsia"/>
        </w:rPr>
        <w:t>项目</w:t>
      </w:r>
      <w:r>
        <w:t>土壤</w:t>
      </w:r>
      <w:r>
        <w:rPr>
          <w:rFonts w:hint="eastAsia"/>
        </w:rPr>
        <w:t>环境</w:t>
      </w:r>
      <w:r>
        <w:t>监测结果</w:t>
      </w:r>
      <w:r>
        <w:rPr>
          <w:rFonts w:hint="eastAsia"/>
        </w:rPr>
        <w:t>1</w:t>
      </w:r>
      <w:r>
        <w:t>单位</w:t>
      </w:r>
      <w:r>
        <w:t>mg/kg</w:t>
      </w:r>
    </w:p>
    <w:tbl>
      <w:tblPr>
        <w:tblW w:w="5149" w:type="pct"/>
        <w:jc w:val="center"/>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CellMar>
          <w:left w:w="0" w:type="dxa"/>
          <w:right w:w="0" w:type="dxa"/>
        </w:tblCellMar>
        <w:tblLook w:val="04A0"/>
      </w:tblPr>
      <w:tblGrid>
        <w:gridCol w:w="499"/>
        <w:gridCol w:w="552"/>
        <w:gridCol w:w="1262"/>
        <w:gridCol w:w="796"/>
        <w:gridCol w:w="991"/>
        <w:gridCol w:w="851"/>
        <w:gridCol w:w="851"/>
        <w:gridCol w:w="900"/>
        <w:gridCol w:w="760"/>
        <w:gridCol w:w="1113"/>
      </w:tblGrid>
      <w:tr w:rsidR="00EE56C0">
        <w:trPr>
          <w:trHeight w:val="425"/>
          <w:tblHeader/>
          <w:jc w:val="center"/>
        </w:trPr>
        <w:tc>
          <w:tcPr>
            <w:tcW w:w="291" w:type="pct"/>
            <w:vMerge w:val="restart"/>
            <w:vAlign w:val="center"/>
          </w:tcPr>
          <w:p w:rsidR="00EE56C0" w:rsidRDefault="000F36A1">
            <w:pPr>
              <w:pStyle w:val="afa"/>
              <w:rPr>
                <w:b/>
              </w:rPr>
            </w:pPr>
            <w:r>
              <w:rPr>
                <w:b/>
              </w:rPr>
              <w:t>检测</w:t>
            </w:r>
          </w:p>
          <w:p w:rsidR="00EE56C0" w:rsidRDefault="000F36A1">
            <w:pPr>
              <w:pStyle w:val="afa"/>
              <w:rPr>
                <w:b/>
              </w:rPr>
            </w:pPr>
            <w:r>
              <w:rPr>
                <w:b/>
              </w:rPr>
              <w:t>时间</w:t>
            </w:r>
          </w:p>
        </w:tc>
        <w:tc>
          <w:tcPr>
            <w:tcW w:w="322" w:type="pct"/>
            <w:vMerge w:val="restart"/>
            <w:vAlign w:val="center"/>
          </w:tcPr>
          <w:p w:rsidR="00EE56C0" w:rsidRDefault="000F36A1">
            <w:pPr>
              <w:pStyle w:val="afa"/>
              <w:rPr>
                <w:b/>
              </w:rPr>
            </w:pPr>
            <w:r>
              <w:rPr>
                <w:rFonts w:hint="eastAsia"/>
                <w:b/>
              </w:rPr>
              <w:t>序号</w:t>
            </w:r>
          </w:p>
        </w:tc>
        <w:tc>
          <w:tcPr>
            <w:tcW w:w="736" w:type="pct"/>
            <w:vMerge w:val="restart"/>
            <w:vAlign w:val="center"/>
          </w:tcPr>
          <w:p w:rsidR="00EE56C0" w:rsidRDefault="000F36A1">
            <w:pPr>
              <w:pStyle w:val="afa"/>
              <w:rPr>
                <w:b/>
              </w:rPr>
            </w:pPr>
            <w:r>
              <w:rPr>
                <w:b/>
              </w:rPr>
              <w:t>检测因子</w:t>
            </w:r>
          </w:p>
        </w:tc>
        <w:tc>
          <w:tcPr>
            <w:tcW w:w="3651" w:type="pct"/>
            <w:gridSpan w:val="7"/>
            <w:tcBorders>
              <w:right w:val="single" w:sz="4" w:space="0" w:color="auto"/>
            </w:tcBorders>
            <w:vAlign w:val="center"/>
          </w:tcPr>
          <w:p w:rsidR="00EE56C0" w:rsidRDefault="000F36A1">
            <w:pPr>
              <w:pStyle w:val="afa"/>
              <w:rPr>
                <w:b/>
              </w:rPr>
            </w:pPr>
            <w:r>
              <w:rPr>
                <w:b/>
              </w:rPr>
              <w:t>检测结果</w:t>
            </w:r>
          </w:p>
        </w:tc>
      </w:tr>
      <w:tr w:rsidR="00EE56C0">
        <w:trPr>
          <w:trHeight w:val="425"/>
          <w:tblHeader/>
          <w:jc w:val="center"/>
        </w:trPr>
        <w:tc>
          <w:tcPr>
            <w:tcW w:w="291" w:type="pct"/>
            <w:vMerge/>
            <w:vAlign w:val="center"/>
          </w:tcPr>
          <w:p w:rsidR="00EE56C0" w:rsidRDefault="00EE56C0">
            <w:pPr>
              <w:pStyle w:val="afa"/>
              <w:rPr>
                <w:b/>
              </w:rPr>
            </w:pPr>
          </w:p>
        </w:tc>
        <w:tc>
          <w:tcPr>
            <w:tcW w:w="322" w:type="pct"/>
            <w:vMerge/>
            <w:vAlign w:val="center"/>
          </w:tcPr>
          <w:p w:rsidR="00EE56C0" w:rsidRDefault="00EE56C0">
            <w:pPr>
              <w:pStyle w:val="afa"/>
              <w:rPr>
                <w:b/>
              </w:rPr>
            </w:pPr>
          </w:p>
        </w:tc>
        <w:tc>
          <w:tcPr>
            <w:tcW w:w="736" w:type="pct"/>
            <w:vMerge/>
            <w:vAlign w:val="center"/>
          </w:tcPr>
          <w:p w:rsidR="00EE56C0" w:rsidRDefault="00EE56C0">
            <w:pPr>
              <w:pStyle w:val="afa"/>
              <w:rPr>
                <w:b/>
              </w:rPr>
            </w:pPr>
          </w:p>
        </w:tc>
        <w:tc>
          <w:tcPr>
            <w:tcW w:w="1538" w:type="pct"/>
            <w:gridSpan w:val="3"/>
            <w:vAlign w:val="center"/>
          </w:tcPr>
          <w:p w:rsidR="00EE56C0" w:rsidRDefault="000F36A1">
            <w:pPr>
              <w:pStyle w:val="afa"/>
              <w:rPr>
                <w:b/>
              </w:rPr>
            </w:pPr>
            <w:r>
              <w:rPr>
                <w:rFonts w:hint="eastAsia"/>
                <w:b/>
              </w:rPr>
              <w:t>厂区西南方向</w:t>
            </w:r>
          </w:p>
        </w:tc>
        <w:tc>
          <w:tcPr>
            <w:tcW w:w="1464" w:type="pct"/>
            <w:gridSpan w:val="3"/>
            <w:tcBorders>
              <w:right w:val="single" w:sz="4" w:space="0" w:color="auto"/>
            </w:tcBorders>
            <w:vAlign w:val="center"/>
          </w:tcPr>
          <w:p w:rsidR="00EE56C0" w:rsidRDefault="000F36A1">
            <w:pPr>
              <w:pStyle w:val="afa"/>
              <w:rPr>
                <w:b/>
              </w:rPr>
            </w:pPr>
            <w:r>
              <w:rPr>
                <w:b/>
              </w:rPr>
              <w:t>已建危废间附近</w:t>
            </w:r>
          </w:p>
        </w:tc>
        <w:tc>
          <w:tcPr>
            <w:tcW w:w="649" w:type="pct"/>
            <w:tcBorders>
              <w:left w:val="single" w:sz="4" w:space="0" w:color="auto"/>
              <w:right w:val="single" w:sz="4" w:space="0" w:color="auto"/>
            </w:tcBorders>
            <w:vAlign w:val="center"/>
          </w:tcPr>
          <w:p w:rsidR="00EE56C0" w:rsidRDefault="000F36A1">
            <w:pPr>
              <w:pStyle w:val="afa"/>
              <w:rPr>
                <w:b/>
              </w:rPr>
            </w:pPr>
            <w:r>
              <w:rPr>
                <w:b/>
              </w:rPr>
              <w:t>厂区</w:t>
            </w:r>
            <w:r>
              <w:rPr>
                <w:rFonts w:hint="eastAsia"/>
                <w:b/>
              </w:rPr>
              <w:t>东北方向（背景点）</w:t>
            </w:r>
          </w:p>
        </w:tc>
      </w:tr>
      <w:tr w:rsidR="00EE56C0">
        <w:trPr>
          <w:trHeight w:val="425"/>
          <w:tblHeader/>
          <w:jc w:val="center"/>
        </w:trPr>
        <w:tc>
          <w:tcPr>
            <w:tcW w:w="291" w:type="pct"/>
            <w:vMerge/>
            <w:vAlign w:val="center"/>
          </w:tcPr>
          <w:p w:rsidR="00EE56C0" w:rsidRDefault="00EE56C0">
            <w:pPr>
              <w:pStyle w:val="afa"/>
              <w:rPr>
                <w:b/>
              </w:rPr>
            </w:pPr>
          </w:p>
        </w:tc>
        <w:tc>
          <w:tcPr>
            <w:tcW w:w="322" w:type="pct"/>
            <w:vMerge/>
            <w:vAlign w:val="center"/>
          </w:tcPr>
          <w:p w:rsidR="00EE56C0" w:rsidRDefault="00EE56C0">
            <w:pPr>
              <w:pStyle w:val="afa"/>
              <w:rPr>
                <w:b/>
              </w:rPr>
            </w:pPr>
          </w:p>
        </w:tc>
        <w:tc>
          <w:tcPr>
            <w:tcW w:w="736" w:type="pct"/>
            <w:vMerge/>
            <w:vAlign w:val="center"/>
          </w:tcPr>
          <w:p w:rsidR="00EE56C0" w:rsidRDefault="00EE56C0">
            <w:pPr>
              <w:pStyle w:val="afa"/>
              <w:rPr>
                <w:b/>
              </w:rPr>
            </w:pPr>
          </w:p>
        </w:tc>
        <w:tc>
          <w:tcPr>
            <w:tcW w:w="464" w:type="pct"/>
            <w:vAlign w:val="center"/>
          </w:tcPr>
          <w:p w:rsidR="00EE56C0" w:rsidRDefault="000F36A1">
            <w:pPr>
              <w:pStyle w:val="afa"/>
              <w:rPr>
                <w:b/>
              </w:rPr>
            </w:pPr>
            <w:r>
              <w:rPr>
                <w:rFonts w:hint="eastAsia"/>
                <w:b/>
              </w:rPr>
              <w:t>0-0.5m</w:t>
            </w:r>
          </w:p>
        </w:tc>
        <w:tc>
          <w:tcPr>
            <w:tcW w:w="578" w:type="pct"/>
            <w:vAlign w:val="center"/>
          </w:tcPr>
          <w:p w:rsidR="00EE56C0" w:rsidRDefault="000F36A1">
            <w:pPr>
              <w:pStyle w:val="afa"/>
              <w:rPr>
                <w:b/>
              </w:rPr>
            </w:pPr>
            <w:r>
              <w:rPr>
                <w:rFonts w:hint="eastAsia"/>
                <w:b/>
              </w:rPr>
              <w:t>0.5-1.5m</w:t>
            </w:r>
          </w:p>
        </w:tc>
        <w:tc>
          <w:tcPr>
            <w:tcW w:w="496" w:type="pct"/>
            <w:vAlign w:val="center"/>
          </w:tcPr>
          <w:p w:rsidR="00EE56C0" w:rsidRDefault="000F36A1">
            <w:pPr>
              <w:pStyle w:val="afa"/>
              <w:rPr>
                <w:b/>
              </w:rPr>
            </w:pPr>
            <w:r>
              <w:rPr>
                <w:rFonts w:hint="eastAsia"/>
                <w:b/>
              </w:rPr>
              <w:t>1.5-3m</w:t>
            </w:r>
          </w:p>
        </w:tc>
        <w:tc>
          <w:tcPr>
            <w:tcW w:w="496" w:type="pct"/>
            <w:tcBorders>
              <w:right w:val="single" w:sz="4" w:space="0" w:color="auto"/>
            </w:tcBorders>
            <w:vAlign w:val="center"/>
          </w:tcPr>
          <w:p w:rsidR="00EE56C0" w:rsidRDefault="000F36A1">
            <w:pPr>
              <w:pStyle w:val="afa"/>
              <w:rPr>
                <w:b/>
              </w:rPr>
            </w:pPr>
            <w:r>
              <w:rPr>
                <w:rFonts w:hint="eastAsia"/>
                <w:b/>
              </w:rPr>
              <w:t>0-0.5m</w:t>
            </w:r>
          </w:p>
        </w:tc>
        <w:tc>
          <w:tcPr>
            <w:tcW w:w="525" w:type="pct"/>
            <w:tcBorders>
              <w:left w:val="single" w:sz="4" w:space="0" w:color="auto"/>
              <w:right w:val="single" w:sz="4" w:space="0" w:color="auto"/>
            </w:tcBorders>
            <w:vAlign w:val="center"/>
          </w:tcPr>
          <w:p w:rsidR="00EE56C0" w:rsidRDefault="000F36A1">
            <w:pPr>
              <w:pStyle w:val="afa"/>
              <w:rPr>
                <w:b/>
              </w:rPr>
            </w:pPr>
            <w:r>
              <w:rPr>
                <w:rFonts w:hint="eastAsia"/>
                <w:b/>
              </w:rPr>
              <w:t>0.5-1.5m</w:t>
            </w:r>
          </w:p>
        </w:tc>
        <w:tc>
          <w:tcPr>
            <w:tcW w:w="443" w:type="pct"/>
            <w:tcBorders>
              <w:left w:val="single" w:sz="4" w:space="0" w:color="auto"/>
              <w:right w:val="single" w:sz="4" w:space="0" w:color="auto"/>
            </w:tcBorders>
            <w:vAlign w:val="center"/>
          </w:tcPr>
          <w:p w:rsidR="00EE56C0" w:rsidRDefault="000F36A1">
            <w:pPr>
              <w:pStyle w:val="afa"/>
              <w:rPr>
                <w:b/>
              </w:rPr>
            </w:pPr>
            <w:r>
              <w:rPr>
                <w:rFonts w:hint="eastAsia"/>
                <w:b/>
              </w:rPr>
              <w:t>1.5-3m</w:t>
            </w:r>
          </w:p>
        </w:tc>
        <w:tc>
          <w:tcPr>
            <w:tcW w:w="649" w:type="pct"/>
            <w:tcBorders>
              <w:left w:val="single" w:sz="4" w:space="0" w:color="auto"/>
            </w:tcBorders>
            <w:vAlign w:val="center"/>
          </w:tcPr>
          <w:p w:rsidR="00EE56C0" w:rsidRDefault="000F36A1">
            <w:pPr>
              <w:pStyle w:val="afa"/>
              <w:rPr>
                <w:b/>
              </w:rPr>
            </w:pPr>
            <w:r>
              <w:rPr>
                <w:rFonts w:hint="eastAsia"/>
                <w:b/>
              </w:rPr>
              <w:t>0-0.2m</w:t>
            </w:r>
          </w:p>
        </w:tc>
      </w:tr>
      <w:tr w:rsidR="00EE56C0">
        <w:trPr>
          <w:trHeight w:val="425"/>
          <w:jc w:val="center"/>
        </w:trPr>
        <w:tc>
          <w:tcPr>
            <w:tcW w:w="291" w:type="pct"/>
            <w:vMerge w:val="restart"/>
            <w:vAlign w:val="center"/>
          </w:tcPr>
          <w:p w:rsidR="00EE56C0" w:rsidRDefault="000F36A1">
            <w:pPr>
              <w:pStyle w:val="afa"/>
            </w:pPr>
            <w:r>
              <w:t>20</w:t>
            </w:r>
            <w:r>
              <w:rPr>
                <w:rFonts w:hint="eastAsia"/>
              </w:rPr>
              <w:t>21.</w:t>
            </w:r>
          </w:p>
          <w:p w:rsidR="00EE56C0" w:rsidRDefault="000F36A1">
            <w:pPr>
              <w:pStyle w:val="afa"/>
            </w:pPr>
            <w:r>
              <w:rPr>
                <w:rFonts w:hint="eastAsia"/>
              </w:rPr>
              <w:t>04.05</w:t>
            </w:r>
          </w:p>
        </w:tc>
        <w:tc>
          <w:tcPr>
            <w:tcW w:w="322" w:type="pct"/>
            <w:vAlign w:val="center"/>
          </w:tcPr>
          <w:p w:rsidR="00EE56C0" w:rsidRDefault="000F36A1">
            <w:pPr>
              <w:pStyle w:val="afa"/>
            </w:pPr>
            <w:r>
              <w:rPr>
                <w:rFonts w:hint="eastAsia"/>
              </w:rPr>
              <w:t>1</w:t>
            </w:r>
          </w:p>
        </w:tc>
        <w:tc>
          <w:tcPr>
            <w:tcW w:w="736" w:type="pct"/>
            <w:vAlign w:val="center"/>
          </w:tcPr>
          <w:p w:rsidR="00EE56C0" w:rsidRDefault="000F36A1">
            <w:pPr>
              <w:pStyle w:val="afa"/>
            </w:pPr>
            <w:r>
              <w:t>p</w:t>
            </w:r>
            <w:r>
              <w:rPr>
                <w:rFonts w:hint="eastAsia"/>
              </w:rPr>
              <w:t>H</w:t>
            </w:r>
          </w:p>
        </w:tc>
        <w:tc>
          <w:tcPr>
            <w:tcW w:w="464" w:type="pct"/>
            <w:vAlign w:val="center"/>
          </w:tcPr>
          <w:p w:rsidR="00EE56C0" w:rsidRDefault="000F36A1">
            <w:pPr>
              <w:pStyle w:val="afa"/>
            </w:pPr>
            <w:r>
              <w:rPr>
                <w:rFonts w:hint="eastAsia"/>
              </w:rPr>
              <w:t>7.64</w:t>
            </w:r>
          </w:p>
        </w:tc>
        <w:tc>
          <w:tcPr>
            <w:tcW w:w="578" w:type="pct"/>
            <w:vAlign w:val="center"/>
          </w:tcPr>
          <w:p w:rsidR="00EE56C0" w:rsidRDefault="000F36A1">
            <w:pPr>
              <w:pStyle w:val="afa"/>
            </w:pPr>
            <w:r>
              <w:rPr>
                <w:rFonts w:hint="eastAsia"/>
              </w:rPr>
              <w:t>7.66</w:t>
            </w:r>
          </w:p>
        </w:tc>
        <w:tc>
          <w:tcPr>
            <w:tcW w:w="496" w:type="pct"/>
            <w:vAlign w:val="center"/>
          </w:tcPr>
          <w:p w:rsidR="00EE56C0" w:rsidRDefault="000F36A1">
            <w:pPr>
              <w:pStyle w:val="afa"/>
            </w:pPr>
            <w:r>
              <w:rPr>
                <w:rFonts w:hint="eastAsia"/>
              </w:rPr>
              <w:t>7.71</w:t>
            </w:r>
          </w:p>
        </w:tc>
        <w:tc>
          <w:tcPr>
            <w:tcW w:w="496" w:type="pct"/>
            <w:tcBorders>
              <w:right w:val="single" w:sz="4" w:space="0" w:color="auto"/>
            </w:tcBorders>
            <w:vAlign w:val="center"/>
          </w:tcPr>
          <w:p w:rsidR="00EE56C0" w:rsidRDefault="000F36A1">
            <w:pPr>
              <w:pStyle w:val="afa"/>
            </w:pPr>
            <w:r>
              <w:rPr>
                <w:rFonts w:hint="eastAsia"/>
              </w:rPr>
              <w:t>7.60</w:t>
            </w:r>
          </w:p>
        </w:tc>
        <w:tc>
          <w:tcPr>
            <w:tcW w:w="525" w:type="pct"/>
            <w:tcBorders>
              <w:left w:val="single" w:sz="4" w:space="0" w:color="auto"/>
              <w:right w:val="single" w:sz="4" w:space="0" w:color="auto"/>
            </w:tcBorders>
            <w:vAlign w:val="center"/>
          </w:tcPr>
          <w:p w:rsidR="00EE56C0" w:rsidRDefault="000F36A1">
            <w:pPr>
              <w:pStyle w:val="afa"/>
            </w:pPr>
            <w:r>
              <w:rPr>
                <w:rFonts w:hint="eastAsia"/>
              </w:rPr>
              <w:t>7.52</w:t>
            </w:r>
          </w:p>
        </w:tc>
        <w:tc>
          <w:tcPr>
            <w:tcW w:w="443" w:type="pct"/>
            <w:tcBorders>
              <w:left w:val="single" w:sz="4" w:space="0" w:color="auto"/>
              <w:right w:val="single" w:sz="4" w:space="0" w:color="auto"/>
            </w:tcBorders>
            <w:vAlign w:val="center"/>
          </w:tcPr>
          <w:p w:rsidR="00EE56C0" w:rsidRDefault="000F36A1">
            <w:pPr>
              <w:pStyle w:val="afa"/>
            </w:pPr>
            <w:r>
              <w:rPr>
                <w:rFonts w:hint="eastAsia"/>
              </w:rPr>
              <w:t>7.67</w:t>
            </w:r>
          </w:p>
        </w:tc>
        <w:tc>
          <w:tcPr>
            <w:tcW w:w="649" w:type="pct"/>
            <w:tcBorders>
              <w:left w:val="single" w:sz="4" w:space="0" w:color="auto"/>
            </w:tcBorders>
            <w:vAlign w:val="center"/>
          </w:tcPr>
          <w:p w:rsidR="00EE56C0" w:rsidRDefault="000F36A1">
            <w:pPr>
              <w:pStyle w:val="afa"/>
            </w:pPr>
            <w:r>
              <w:rPr>
                <w:rFonts w:hint="eastAsia"/>
              </w:rPr>
              <w:t>7.35</w:t>
            </w:r>
          </w:p>
        </w:tc>
      </w:tr>
      <w:tr w:rsidR="00EE56C0">
        <w:trPr>
          <w:trHeight w:val="425"/>
          <w:jc w:val="center"/>
        </w:trPr>
        <w:tc>
          <w:tcPr>
            <w:tcW w:w="291" w:type="pct"/>
            <w:vMerge/>
            <w:vAlign w:val="center"/>
          </w:tcPr>
          <w:p w:rsidR="00EE56C0" w:rsidRDefault="00EE56C0">
            <w:pPr>
              <w:pStyle w:val="afa"/>
            </w:pPr>
          </w:p>
        </w:tc>
        <w:tc>
          <w:tcPr>
            <w:tcW w:w="322" w:type="pct"/>
            <w:vAlign w:val="center"/>
          </w:tcPr>
          <w:p w:rsidR="00EE56C0" w:rsidRDefault="000F36A1">
            <w:pPr>
              <w:pStyle w:val="afa"/>
            </w:pPr>
            <w:r>
              <w:rPr>
                <w:rFonts w:hint="eastAsia"/>
              </w:rPr>
              <w:t>2</w:t>
            </w:r>
          </w:p>
        </w:tc>
        <w:tc>
          <w:tcPr>
            <w:tcW w:w="736" w:type="pct"/>
            <w:vAlign w:val="center"/>
          </w:tcPr>
          <w:p w:rsidR="00EE56C0" w:rsidRDefault="000F36A1">
            <w:pPr>
              <w:pStyle w:val="afa"/>
            </w:pPr>
            <w:r>
              <w:t>镉</w:t>
            </w:r>
          </w:p>
        </w:tc>
        <w:tc>
          <w:tcPr>
            <w:tcW w:w="464" w:type="pct"/>
            <w:vAlign w:val="center"/>
          </w:tcPr>
          <w:p w:rsidR="00EE56C0" w:rsidRDefault="000F36A1">
            <w:pPr>
              <w:pStyle w:val="afa"/>
            </w:pPr>
            <w:r>
              <w:rPr>
                <w:rFonts w:hint="eastAsia"/>
              </w:rPr>
              <w:t>0.170</w:t>
            </w:r>
          </w:p>
        </w:tc>
        <w:tc>
          <w:tcPr>
            <w:tcW w:w="578" w:type="pct"/>
            <w:vAlign w:val="center"/>
          </w:tcPr>
          <w:p w:rsidR="00EE56C0" w:rsidRDefault="000F36A1">
            <w:pPr>
              <w:pStyle w:val="afa"/>
            </w:pPr>
            <w:r>
              <w:rPr>
                <w:rFonts w:hint="eastAsia"/>
              </w:rPr>
              <w:t>0.147</w:t>
            </w:r>
          </w:p>
        </w:tc>
        <w:tc>
          <w:tcPr>
            <w:tcW w:w="496" w:type="pct"/>
            <w:vAlign w:val="center"/>
          </w:tcPr>
          <w:p w:rsidR="00EE56C0" w:rsidRDefault="000F36A1">
            <w:pPr>
              <w:pStyle w:val="afa"/>
            </w:pPr>
            <w:r>
              <w:rPr>
                <w:rFonts w:hint="eastAsia"/>
              </w:rPr>
              <w:t>0.156</w:t>
            </w:r>
          </w:p>
        </w:tc>
        <w:tc>
          <w:tcPr>
            <w:tcW w:w="496" w:type="pct"/>
            <w:tcBorders>
              <w:right w:val="single" w:sz="4" w:space="0" w:color="auto"/>
            </w:tcBorders>
            <w:vAlign w:val="center"/>
          </w:tcPr>
          <w:p w:rsidR="00EE56C0" w:rsidRDefault="000F36A1">
            <w:pPr>
              <w:pStyle w:val="afa"/>
            </w:pPr>
            <w:r>
              <w:rPr>
                <w:rFonts w:hint="eastAsia"/>
              </w:rPr>
              <w:t>0.181</w:t>
            </w:r>
          </w:p>
        </w:tc>
        <w:tc>
          <w:tcPr>
            <w:tcW w:w="525" w:type="pct"/>
            <w:tcBorders>
              <w:left w:val="single" w:sz="4" w:space="0" w:color="auto"/>
              <w:right w:val="single" w:sz="4" w:space="0" w:color="auto"/>
            </w:tcBorders>
            <w:vAlign w:val="center"/>
          </w:tcPr>
          <w:p w:rsidR="00EE56C0" w:rsidRDefault="000F36A1">
            <w:pPr>
              <w:pStyle w:val="afa"/>
            </w:pPr>
            <w:r>
              <w:rPr>
                <w:rFonts w:hint="eastAsia"/>
              </w:rPr>
              <w:t>0.179</w:t>
            </w:r>
          </w:p>
        </w:tc>
        <w:tc>
          <w:tcPr>
            <w:tcW w:w="443" w:type="pct"/>
            <w:tcBorders>
              <w:left w:val="single" w:sz="4" w:space="0" w:color="auto"/>
              <w:right w:val="single" w:sz="4" w:space="0" w:color="auto"/>
            </w:tcBorders>
            <w:vAlign w:val="center"/>
          </w:tcPr>
          <w:p w:rsidR="00EE56C0" w:rsidRDefault="000F36A1">
            <w:pPr>
              <w:pStyle w:val="afa"/>
            </w:pPr>
            <w:r>
              <w:rPr>
                <w:rFonts w:hint="eastAsia"/>
              </w:rPr>
              <w:t>0.148</w:t>
            </w:r>
          </w:p>
        </w:tc>
        <w:tc>
          <w:tcPr>
            <w:tcW w:w="649" w:type="pct"/>
            <w:tcBorders>
              <w:left w:val="single" w:sz="4" w:space="0" w:color="auto"/>
            </w:tcBorders>
            <w:vAlign w:val="center"/>
          </w:tcPr>
          <w:p w:rsidR="00EE56C0" w:rsidRDefault="000F36A1">
            <w:pPr>
              <w:pStyle w:val="afa"/>
            </w:pPr>
            <w:r>
              <w:rPr>
                <w:rFonts w:hint="eastAsia"/>
              </w:rPr>
              <w:t>0.114</w:t>
            </w:r>
          </w:p>
        </w:tc>
      </w:tr>
      <w:tr w:rsidR="00EE56C0">
        <w:trPr>
          <w:trHeight w:val="425"/>
          <w:jc w:val="center"/>
        </w:trPr>
        <w:tc>
          <w:tcPr>
            <w:tcW w:w="291" w:type="pct"/>
            <w:vMerge/>
            <w:vAlign w:val="center"/>
          </w:tcPr>
          <w:p w:rsidR="00EE56C0" w:rsidRDefault="00EE56C0">
            <w:pPr>
              <w:pStyle w:val="afa"/>
            </w:pPr>
          </w:p>
        </w:tc>
        <w:tc>
          <w:tcPr>
            <w:tcW w:w="322" w:type="pct"/>
            <w:vAlign w:val="center"/>
          </w:tcPr>
          <w:p w:rsidR="00EE56C0" w:rsidRDefault="000F36A1">
            <w:pPr>
              <w:pStyle w:val="afa"/>
            </w:pPr>
            <w:r>
              <w:rPr>
                <w:rFonts w:hint="eastAsia"/>
              </w:rPr>
              <w:t>3</w:t>
            </w:r>
          </w:p>
        </w:tc>
        <w:tc>
          <w:tcPr>
            <w:tcW w:w="736" w:type="pct"/>
            <w:vAlign w:val="center"/>
          </w:tcPr>
          <w:p w:rsidR="00EE56C0" w:rsidRDefault="000F36A1">
            <w:pPr>
              <w:pStyle w:val="afa"/>
            </w:pPr>
            <w:r>
              <w:rPr>
                <w:rFonts w:hint="eastAsia"/>
              </w:rPr>
              <w:t>镍</w:t>
            </w:r>
          </w:p>
        </w:tc>
        <w:tc>
          <w:tcPr>
            <w:tcW w:w="464" w:type="pct"/>
            <w:vAlign w:val="center"/>
          </w:tcPr>
          <w:p w:rsidR="00EE56C0" w:rsidRDefault="000F36A1">
            <w:pPr>
              <w:pStyle w:val="afa"/>
            </w:pPr>
            <w:r>
              <w:rPr>
                <w:rFonts w:hint="eastAsia"/>
              </w:rPr>
              <w:t>31</w:t>
            </w:r>
          </w:p>
        </w:tc>
        <w:tc>
          <w:tcPr>
            <w:tcW w:w="578" w:type="pct"/>
            <w:vAlign w:val="center"/>
          </w:tcPr>
          <w:p w:rsidR="00EE56C0" w:rsidRDefault="000F36A1">
            <w:pPr>
              <w:pStyle w:val="afa"/>
            </w:pPr>
            <w:r>
              <w:rPr>
                <w:rFonts w:hint="eastAsia"/>
              </w:rPr>
              <w:t>31</w:t>
            </w:r>
          </w:p>
        </w:tc>
        <w:tc>
          <w:tcPr>
            <w:tcW w:w="496" w:type="pct"/>
            <w:vAlign w:val="center"/>
          </w:tcPr>
          <w:p w:rsidR="00EE56C0" w:rsidRDefault="000F36A1">
            <w:pPr>
              <w:pStyle w:val="afa"/>
            </w:pPr>
            <w:r>
              <w:rPr>
                <w:rFonts w:hint="eastAsia"/>
              </w:rPr>
              <w:t>20</w:t>
            </w:r>
          </w:p>
        </w:tc>
        <w:tc>
          <w:tcPr>
            <w:tcW w:w="496" w:type="pct"/>
            <w:tcBorders>
              <w:right w:val="single" w:sz="4" w:space="0" w:color="auto"/>
            </w:tcBorders>
            <w:vAlign w:val="center"/>
          </w:tcPr>
          <w:p w:rsidR="00EE56C0" w:rsidRDefault="000F36A1">
            <w:pPr>
              <w:pStyle w:val="afa"/>
            </w:pPr>
            <w:r>
              <w:rPr>
                <w:rFonts w:hint="eastAsia"/>
              </w:rPr>
              <w:t>27</w:t>
            </w:r>
          </w:p>
        </w:tc>
        <w:tc>
          <w:tcPr>
            <w:tcW w:w="525" w:type="pct"/>
            <w:tcBorders>
              <w:left w:val="single" w:sz="4" w:space="0" w:color="auto"/>
              <w:right w:val="single" w:sz="4" w:space="0" w:color="auto"/>
            </w:tcBorders>
            <w:vAlign w:val="center"/>
          </w:tcPr>
          <w:p w:rsidR="00EE56C0" w:rsidRDefault="000F36A1">
            <w:pPr>
              <w:pStyle w:val="afa"/>
            </w:pPr>
            <w:r>
              <w:rPr>
                <w:rFonts w:hint="eastAsia"/>
              </w:rPr>
              <w:t>30</w:t>
            </w:r>
          </w:p>
        </w:tc>
        <w:tc>
          <w:tcPr>
            <w:tcW w:w="443" w:type="pct"/>
            <w:tcBorders>
              <w:left w:val="single" w:sz="4" w:space="0" w:color="auto"/>
              <w:right w:val="single" w:sz="4" w:space="0" w:color="auto"/>
            </w:tcBorders>
            <w:vAlign w:val="center"/>
          </w:tcPr>
          <w:p w:rsidR="00EE56C0" w:rsidRDefault="000F36A1">
            <w:pPr>
              <w:pStyle w:val="afa"/>
            </w:pPr>
            <w:r>
              <w:rPr>
                <w:rFonts w:hint="eastAsia"/>
              </w:rPr>
              <w:t>27</w:t>
            </w:r>
          </w:p>
        </w:tc>
        <w:tc>
          <w:tcPr>
            <w:tcW w:w="649" w:type="pct"/>
            <w:tcBorders>
              <w:left w:val="single" w:sz="4" w:space="0" w:color="auto"/>
            </w:tcBorders>
            <w:vAlign w:val="center"/>
          </w:tcPr>
          <w:p w:rsidR="00EE56C0" w:rsidRDefault="000F36A1">
            <w:pPr>
              <w:pStyle w:val="afa"/>
            </w:pPr>
            <w:r>
              <w:rPr>
                <w:rFonts w:hint="eastAsia"/>
              </w:rPr>
              <w:t>30</w:t>
            </w:r>
          </w:p>
        </w:tc>
      </w:tr>
      <w:tr w:rsidR="00EE56C0">
        <w:trPr>
          <w:trHeight w:val="425"/>
          <w:jc w:val="center"/>
        </w:trPr>
        <w:tc>
          <w:tcPr>
            <w:tcW w:w="291" w:type="pct"/>
            <w:vMerge/>
            <w:vAlign w:val="center"/>
          </w:tcPr>
          <w:p w:rsidR="00EE56C0" w:rsidRDefault="00EE56C0">
            <w:pPr>
              <w:pStyle w:val="afa"/>
            </w:pPr>
          </w:p>
        </w:tc>
        <w:tc>
          <w:tcPr>
            <w:tcW w:w="322" w:type="pct"/>
            <w:vAlign w:val="center"/>
          </w:tcPr>
          <w:p w:rsidR="00EE56C0" w:rsidRDefault="000F36A1">
            <w:pPr>
              <w:pStyle w:val="afa"/>
            </w:pPr>
            <w:r>
              <w:rPr>
                <w:rFonts w:hint="eastAsia"/>
              </w:rPr>
              <w:t>4</w:t>
            </w:r>
          </w:p>
        </w:tc>
        <w:tc>
          <w:tcPr>
            <w:tcW w:w="736" w:type="pct"/>
            <w:vAlign w:val="center"/>
          </w:tcPr>
          <w:p w:rsidR="00EE56C0" w:rsidRDefault="000F36A1">
            <w:pPr>
              <w:pStyle w:val="afa"/>
            </w:pPr>
            <w:r>
              <w:rPr>
                <w:rFonts w:hint="eastAsia"/>
              </w:rPr>
              <w:t>铅</w:t>
            </w:r>
          </w:p>
        </w:tc>
        <w:tc>
          <w:tcPr>
            <w:tcW w:w="464" w:type="pct"/>
            <w:vAlign w:val="center"/>
          </w:tcPr>
          <w:p w:rsidR="00EE56C0" w:rsidRDefault="000F36A1">
            <w:pPr>
              <w:pStyle w:val="afa"/>
            </w:pPr>
            <w:r>
              <w:rPr>
                <w:rFonts w:hint="eastAsia"/>
              </w:rPr>
              <w:t>68</w:t>
            </w:r>
          </w:p>
        </w:tc>
        <w:tc>
          <w:tcPr>
            <w:tcW w:w="578" w:type="pct"/>
            <w:vAlign w:val="center"/>
          </w:tcPr>
          <w:p w:rsidR="00EE56C0" w:rsidRDefault="000F36A1">
            <w:pPr>
              <w:pStyle w:val="afa"/>
            </w:pPr>
            <w:r>
              <w:rPr>
                <w:rFonts w:hint="eastAsia"/>
              </w:rPr>
              <w:t>25</w:t>
            </w:r>
          </w:p>
        </w:tc>
        <w:tc>
          <w:tcPr>
            <w:tcW w:w="496" w:type="pct"/>
            <w:vAlign w:val="center"/>
          </w:tcPr>
          <w:p w:rsidR="00EE56C0" w:rsidRDefault="000F36A1">
            <w:pPr>
              <w:pStyle w:val="afa"/>
            </w:pPr>
            <w:r>
              <w:rPr>
                <w:rFonts w:hint="eastAsia"/>
              </w:rPr>
              <w:t>25</w:t>
            </w:r>
          </w:p>
        </w:tc>
        <w:tc>
          <w:tcPr>
            <w:tcW w:w="496" w:type="pct"/>
            <w:tcBorders>
              <w:right w:val="single" w:sz="4" w:space="0" w:color="auto"/>
            </w:tcBorders>
            <w:vAlign w:val="center"/>
          </w:tcPr>
          <w:p w:rsidR="00EE56C0" w:rsidRDefault="000F36A1">
            <w:pPr>
              <w:pStyle w:val="afa"/>
            </w:pPr>
            <w:r>
              <w:rPr>
                <w:rFonts w:hint="eastAsia"/>
              </w:rPr>
              <w:t>45</w:t>
            </w:r>
          </w:p>
        </w:tc>
        <w:tc>
          <w:tcPr>
            <w:tcW w:w="525" w:type="pct"/>
            <w:tcBorders>
              <w:left w:val="single" w:sz="4" w:space="0" w:color="auto"/>
              <w:right w:val="single" w:sz="4" w:space="0" w:color="auto"/>
            </w:tcBorders>
            <w:vAlign w:val="center"/>
          </w:tcPr>
          <w:p w:rsidR="00EE56C0" w:rsidRDefault="000F36A1">
            <w:pPr>
              <w:pStyle w:val="afa"/>
            </w:pPr>
            <w:r>
              <w:rPr>
                <w:rFonts w:hint="eastAsia"/>
              </w:rPr>
              <w:t>28</w:t>
            </w:r>
          </w:p>
        </w:tc>
        <w:tc>
          <w:tcPr>
            <w:tcW w:w="443" w:type="pct"/>
            <w:tcBorders>
              <w:left w:val="single" w:sz="4" w:space="0" w:color="auto"/>
              <w:right w:val="single" w:sz="4" w:space="0" w:color="auto"/>
            </w:tcBorders>
            <w:vAlign w:val="center"/>
          </w:tcPr>
          <w:p w:rsidR="00EE56C0" w:rsidRDefault="000F36A1">
            <w:pPr>
              <w:pStyle w:val="afa"/>
            </w:pPr>
            <w:r>
              <w:rPr>
                <w:rFonts w:hint="eastAsia"/>
              </w:rPr>
              <w:t>71</w:t>
            </w:r>
          </w:p>
        </w:tc>
        <w:tc>
          <w:tcPr>
            <w:tcW w:w="649" w:type="pct"/>
            <w:tcBorders>
              <w:left w:val="single" w:sz="4" w:space="0" w:color="auto"/>
            </w:tcBorders>
            <w:vAlign w:val="center"/>
          </w:tcPr>
          <w:p w:rsidR="00EE56C0" w:rsidRDefault="000F36A1">
            <w:pPr>
              <w:pStyle w:val="afa"/>
            </w:pPr>
            <w:r>
              <w:rPr>
                <w:rFonts w:hint="eastAsia"/>
              </w:rPr>
              <w:t>26</w:t>
            </w:r>
          </w:p>
        </w:tc>
      </w:tr>
      <w:tr w:rsidR="00EE56C0">
        <w:trPr>
          <w:trHeight w:val="425"/>
          <w:jc w:val="center"/>
        </w:trPr>
        <w:tc>
          <w:tcPr>
            <w:tcW w:w="291" w:type="pct"/>
            <w:vMerge/>
            <w:vAlign w:val="center"/>
          </w:tcPr>
          <w:p w:rsidR="00EE56C0" w:rsidRDefault="00EE56C0">
            <w:pPr>
              <w:pStyle w:val="afa"/>
            </w:pPr>
          </w:p>
        </w:tc>
        <w:tc>
          <w:tcPr>
            <w:tcW w:w="322" w:type="pct"/>
            <w:vAlign w:val="center"/>
          </w:tcPr>
          <w:p w:rsidR="00EE56C0" w:rsidRDefault="000F36A1">
            <w:pPr>
              <w:pStyle w:val="afa"/>
            </w:pPr>
            <w:r>
              <w:rPr>
                <w:rFonts w:hint="eastAsia"/>
              </w:rPr>
              <w:t>5</w:t>
            </w:r>
          </w:p>
        </w:tc>
        <w:tc>
          <w:tcPr>
            <w:tcW w:w="736" w:type="pct"/>
            <w:vAlign w:val="center"/>
          </w:tcPr>
          <w:p w:rsidR="00EE56C0" w:rsidRDefault="000F36A1">
            <w:pPr>
              <w:pStyle w:val="afa"/>
            </w:pPr>
            <w:r>
              <w:rPr>
                <w:rFonts w:hint="eastAsia"/>
              </w:rPr>
              <w:t>铜</w:t>
            </w:r>
          </w:p>
        </w:tc>
        <w:tc>
          <w:tcPr>
            <w:tcW w:w="464" w:type="pct"/>
            <w:vAlign w:val="center"/>
          </w:tcPr>
          <w:p w:rsidR="00EE56C0" w:rsidRDefault="000F36A1">
            <w:pPr>
              <w:pStyle w:val="afa"/>
            </w:pPr>
            <w:r>
              <w:rPr>
                <w:rFonts w:hint="eastAsia"/>
              </w:rPr>
              <w:t>47</w:t>
            </w:r>
          </w:p>
        </w:tc>
        <w:tc>
          <w:tcPr>
            <w:tcW w:w="578" w:type="pct"/>
            <w:vAlign w:val="center"/>
          </w:tcPr>
          <w:p w:rsidR="00EE56C0" w:rsidRDefault="000F36A1">
            <w:pPr>
              <w:pStyle w:val="afa"/>
            </w:pPr>
            <w:r>
              <w:rPr>
                <w:rFonts w:hint="eastAsia"/>
              </w:rPr>
              <w:t>37</w:t>
            </w:r>
          </w:p>
        </w:tc>
        <w:tc>
          <w:tcPr>
            <w:tcW w:w="496" w:type="pct"/>
            <w:vAlign w:val="center"/>
          </w:tcPr>
          <w:p w:rsidR="00EE56C0" w:rsidRDefault="000F36A1">
            <w:pPr>
              <w:pStyle w:val="afa"/>
            </w:pPr>
            <w:r>
              <w:rPr>
                <w:rFonts w:hint="eastAsia"/>
              </w:rPr>
              <w:t>37</w:t>
            </w:r>
          </w:p>
        </w:tc>
        <w:tc>
          <w:tcPr>
            <w:tcW w:w="496" w:type="pct"/>
            <w:tcBorders>
              <w:right w:val="single" w:sz="4" w:space="0" w:color="auto"/>
            </w:tcBorders>
            <w:vAlign w:val="center"/>
          </w:tcPr>
          <w:p w:rsidR="00EE56C0" w:rsidRDefault="000F36A1">
            <w:pPr>
              <w:pStyle w:val="afa"/>
            </w:pPr>
            <w:r>
              <w:rPr>
                <w:rFonts w:hint="eastAsia"/>
              </w:rPr>
              <w:t>44</w:t>
            </w:r>
          </w:p>
        </w:tc>
        <w:tc>
          <w:tcPr>
            <w:tcW w:w="525" w:type="pct"/>
            <w:tcBorders>
              <w:left w:val="single" w:sz="4" w:space="0" w:color="auto"/>
              <w:right w:val="single" w:sz="4" w:space="0" w:color="auto"/>
            </w:tcBorders>
            <w:vAlign w:val="center"/>
          </w:tcPr>
          <w:p w:rsidR="00EE56C0" w:rsidRDefault="000F36A1">
            <w:pPr>
              <w:pStyle w:val="afa"/>
            </w:pPr>
            <w:r>
              <w:rPr>
                <w:rFonts w:hint="eastAsia"/>
              </w:rPr>
              <w:t>33</w:t>
            </w:r>
          </w:p>
        </w:tc>
        <w:tc>
          <w:tcPr>
            <w:tcW w:w="443" w:type="pct"/>
            <w:tcBorders>
              <w:left w:val="single" w:sz="4" w:space="0" w:color="auto"/>
              <w:right w:val="single" w:sz="4" w:space="0" w:color="auto"/>
            </w:tcBorders>
            <w:vAlign w:val="center"/>
          </w:tcPr>
          <w:p w:rsidR="00EE56C0" w:rsidRDefault="000F36A1">
            <w:pPr>
              <w:pStyle w:val="afa"/>
            </w:pPr>
            <w:r>
              <w:rPr>
                <w:rFonts w:hint="eastAsia"/>
              </w:rPr>
              <w:t>25</w:t>
            </w:r>
          </w:p>
        </w:tc>
        <w:tc>
          <w:tcPr>
            <w:tcW w:w="649" w:type="pct"/>
            <w:tcBorders>
              <w:left w:val="single" w:sz="4" w:space="0" w:color="auto"/>
            </w:tcBorders>
            <w:vAlign w:val="center"/>
          </w:tcPr>
          <w:p w:rsidR="00EE56C0" w:rsidRDefault="000F36A1">
            <w:pPr>
              <w:pStyle w:val="afa"/>
            </w:pPr>
            <w:r>
              <w:rPr>
                <w:rFonts w:hint="eastAsia"/>
              </w:rPr>
              <w:t>38</w:t>
            </w:r>
          </w:p>
        </w:tc>
      </w:tr>
      <w:tr w:rsidR="00EE56C0">
        <w:trPr>
          <w:trHeight w:val="425"/>
          <w:jc w:val="center"/>
        </w:trPr>
        <w:tc>
          <w:tcPr>
            <w:tcW w:w="291" w:type="pct"/>
            <w:vMerge/>
            <w:vAlign w:val="center"/>
          </w:tcPr>
          <w:p w:rsidR="00EE56C0" w:rsidRDefault="00EE56C0">
            <w:pPr>
              <w:pStyle w:val="afa"/>
            </w:pPr>
          </w:p>
        </w:tc>
        <w:tc>
          <w:tcPr>
            <w:tcW w:w="322" w:type="pct"/>
            <w:vAlign w:val="center"/>
          </w:tcPr>
          <w:p w:rsidR="00EE56C0" w:rsidRDefault="000F36A1">
            <w:pPr>
              <w:pStyle w:val="afa"/>
            </w:pPr>
            <w:r>
              <w:rPr>
                <w:rFonts w:hint="eastAsia"/>
              </w:rPr>
              <w:t>6</w:t>
            </w:r>
          </w:p>
        </w:tc>
        <w:tc>
          <w:tcPr>
            <w:tcW w:w="736" w:type="pct"/>
            <w:vAlign w:val="center"/>
          </w:tcPr>
          <w:p w:rsidR="00EE56C0" w:rsidRDefault="000F36A1">
            <w:pPr>
              <w:pStyle w:val="afa"/>
            </w:pPr>
            <w:r>
              <w:rPr>
                <w:rFonts w:hint="eastAsia"/>
              </w:rPr>
              <w:t>砷</w:t>
            </w:r>
          </w:p>
        </w:tc>
        <w:tc>
          <w:tcPr>
            <w:tcW w:w="464" w:type="pct"/>
            <w:vAlign w:val="center"/>
          </w:tcPr>
          <w:p w:rsidR="00EE56C0" w:rsidRDefault="000F36A1">
            <w:pPr>
              <w:pStyle w:val="afa"/>
            </w:pPr>
            <w:r>
              <w:rPr>
                <w:rFonts w:hint="eastAsia"/>
              </w:rPr>
              <w:t>4.43</w:t>
            </w:r>
          </w:p>
        </w:tc>
        <w:tc>
          <w:tcPr>
            <w:tcW w:w="578" w:type="pct"/>
            <w:vAlign w:val="center"/>
          </w:tcPr>
          <w:p w:rsidR="00EE56C0" w:rsidRDefault="000F36A1">
            <w:pPr>
              <w:pStyle w:val="afa"/>
            </w:pPr>
            <w:r>
              <w:rPr>
                <w:rFonts w:hint="eastAsia"/>
              </w:rPr>
              <w:t>5.44</w:t>
            </w:r>
          </w:p>
        </w:tc>
        <w:tc>
          <w:tcPr>
            <w:tcW w:w="496" w:type="pct"/>
            <w:vAlign w:val="center"/>
          </w:tcPr>
          <w:p w:rsidR="00EE56C0" w:rsidRDefault="000F36A1">
            <w:pPr>
              <w:pStyle w:val="afa"/>
            </w:pPr>
            <w:r>
              <w:rPr>
                <w:rFonts w:hint="eastAsia"/>
              </w:rPr>
              <w:t>3.92</w:t>
            </w:r>
          </w:p>
        </w:tc>
        <w:tc>
          <w:tcPr>
            <w:tcW w:w="496" w:type="pct"/>
            <w:tcBorders>
              <w:right w:val="single" w:sz="4" w:space="0" w:color="auto"/>
            </w:tcBorders>
            <w:vAlign w:val="center"/>
          </w:tcPr>
          <w:p w:rsidR="00EE56C0" w:rsidRDefault="000F36A1">
            <w:pPr>
              <w:pStyle w:val="afa"/>
            </w:pPr>
            <w:r>
              <w:rPr>
                <w:rFonts w:hint="eastAsia"/>
              </w:rPr>
              <w:t>4.18</w:t>
            </w:r>
          </w:p>
        </w:tc>
        <w:tc>
          <w:tcPr>
            <w:tcW w:w="525" w:type="pct"/>
            <w:tcBorders>
              <w:left w:val="single" w:sz="4" w:space="0" w:color="auto"/>
              <w:right w:val="single" w:sz="4" w:space="0" w:color="auto"/>
            </w:tcBorders>
            <w:vAlign w:val="center"/>
          </w:tcPr>
          <w:p w:rsidR="00EE56C0" w:rsidRDefault="000F36A1">
            <w:pPr>
              <w:pStyle w:val="afa"/>
            </w:pPr>
            <w:r>
              <w:rPr>
                <w:rFonts w:hint="eastAsia"/>
              </w:rPr>
              <w:t>5.54</w:t>
            </w:r>
          </w:p>
        </w:tc>
        <w:tc>
          <w:tcPr>
            <w:tcW w:w="443" w:type="pct"/>
            <w:tcBorders>
              <w:left w:val="single" w:sz="4" w:space="0" w:color="auto"/>
              <w:right w:val="single" w:sz="4" w:space="0" w:color="auto"/>
            </w:tcBorders>
            <w:vAlign w:val="center"/>
          </w:tcPr>
          <w:p w:rsidR="00EE56C0" w:rsidRDefault="000F36A1">
            <w:pPr>
              <w:pStyle w:val="afa"/>
            </w:pPr>
            <w:r>
              <w:rPr>
                <w:rFonts w:hint="eastAsia"/>
              </w:rPr>
              <w:t>5.10</w:t>
            </w:r>
          </w:p>
        </w:tc>
        <w:tc>
          <w:tcPr>
            <w:tcW w:w="649" w:type="pct"/>
            <w:tcBorders>
              <w:left w:val="single" w:sz="4" w:space="0" w:color="auto"/>
            </w:tcBorders>
            <w:vAlign w:val="center"/>
          </w:tcPr>
          <w:p w:rsidR="00EE56C0" w:rsidRDefault="000F36A1">
            <w:pPr>
              <w:pStyle w:val="afa"/>
            </w:pPr>
            <w:r>
              <w:rPr>
                <w:rFonts w:hint="eastAsia"/>
              </w:rPr>
              <w:t>6.19</w:t>
            </w:r>
          </w:p>
        </w:tc>
      </w:tr>
      <w:tr w:rsidR="00EE56C0">
        <w:trPr>
          <w:trHeight w:val="425"/>
          <w:jc w:val="center"/>
        </w:trPr>
        <w:tc>
          <w:tcPr>
            <w:tcW w:w="291" w:type="pct"/>
            <w:vMerge/>
            <w:vAlign w:val="center"/>
          </w:tcPr>
          <w:p w:rsidR="00EE56C0" w:rsidRDefault="00EE56C0">
            <w:pPr>
              <w:pStyle w:val="afa"/>
            </w:pPr>
          </w:p>
        </w:tc>
        <w:tc>
          <w:tcPr>
            <w:tcW w:w="322" w:type="pct"/>
            <w:vAlign w:val="center"/>
          </w:tcPr>
          <w:p w:rsidR="00EE56C0" w:rsidRDefault="000F36A1">
            <w:pPr>
              <w:pStyle w:val="afa"/>
            </w:pPr>
            <w:r>
              <w:rPr>
                <w:rFonts w:hint="eastAsia"/>
              </w:rPr>
              <w:t>7</w:t>
            </w:r>
          </w:p>
        </w:tc>
        <w:tc>
          <w:tcPr>
            <w:tcW w:w="736" w:type="pct"/>
            <w:vAlign w:val="center"/>
          </w:tcPr>
          <w:p w:rsidR="00EE56C0" w:rsidRDefault="000F36A1">
            <w:pPr>
              <w:pStyle w:val="afa"/>
            </w:pPr>
            <w:r>
              <w:rPr>
                <w:rFonts w:hint="eastAsia"/>
              </w:rPr>
              <w:t>汞</w:t>
            </w:r>
          </w:p>
        </w:tc>
        <w:tc>
          <w:tcPr>
            <w:tcW w:w="464" w:type="pct"/>
            <w:vAlign w:val="center"/>
          </w:tcPr>
          <w:p w:rsidR="00EE56C0" w:rsidRDefault="000F36A1">
            <w:pPr>
              <w:pStyle w:val="afa"/>
            </w:pPr>
            <w:r>
              <w:rPr>
                <w:rFonts w:hint="eastAsia"/>
              </w:rPr>
              <w:t>0.058</w:t>
            </w:r>
          </w:p>
        </w:tc>
        <w:tc>
          <w:tcPr>
            <w:tcW w:w="578" w:type="pct"/>
            <w:vAlign w:val="center"/>
          </w:tcPr>
          <w:p w:rsidR="00EE56C0" w:rsidRDefault="000F36A1">
            <w:pPr>
              <w:pStyle w:val="afa"/>
            </w:pPr>
            <w:r>
              <w:rPr>
                <w:rFonts w:hint="eastAsia"/>
              </w:rPr>
              <w:t>0.080</w:t>
            </w:r>
          </w:p>
        </w:tc>
        <w:tc>
          <w:tcPr>
            <w:tcW w:w="496" w:type="pct"/>
            <w:vAlign w:val="center"/>
          </w:tcPr>
          <w:p w:rsidR="00EE56C0" w:rsidRDefault="000F36A1">
            <w:pPr>
              <w:pStyle w:val="afa"/>
            </w:pPr>
            <w:r>
              <w:rPr>
                <w:rFonts w:hint="eastAsia"/>
              </w:rPr>
              <w:t>0.076</w:t>
            </w:r>
          </w:p>
        </w:tc>
        <w:tc>
          <w:tcPr>
            <w:tcW w:w="496" w:type="pct"/>
            <w:tcBorders>
              <w:right w:val="single" w:sz="4" w:space="0" w:color="auto"/>
            </w:tcBorders>
            <w:vAlign w:val="center"/>
          </w:tcPr>
          <w:p w:rsidR="00EE56C0" w:rsidRDefault="000F36A1">
            <w:pPr>
              <w:pStyle w:val="afa"/>
            </w:pPr>
            <w:r>
              <w:rPr>
                <w:rFonts w:hint="eastAsia"/>
              </w:rPr>
              <w:t>0.054</w:t>
            </w:r>
          </w:p>
        </w:tc>
        <w:tc>
          <w:tcPr>
            <w:tcW w:w="525" w:type="pct"/>
            <w:tcBorders>
              <w:left w:val="single" w:sz="4" w:space="0" w:color="auto"/>
              <w:right w:val="single" w:sz="4" w:space="0" w:color="auto"/>
            </w:tcBorders>
            <w:vAlign w:val="center"/>
          </w:tcPr>
          <w:p w:rsidR="00EE56C0" w:rsidRDefault="000F36A1">
            <w:pPr>
              <w:pStyle w:val="afa"/>
            </w:pPr>
            <w:r>
              <w:rPr>
                <w:rFonts w:hint="eastAsia"/>
              </w:rPr>
              <w:t>0.072</w:t>
            </w:r>
          </w:p>
        </w:tc>
        <w:tc>
          <w:tcPr>
            <w:tcW w:w="443" w:type="pct"/>
            <w:tcBorders>
              <w:left w:val="single" w:sz="4" w:space="0" w:color="auto"/>
              <w:right w:val="single" w:sz="4" w:space="0" w:color="auto"/>
            </w:tcBorders>
            <w:vAlign w:val="center"/>
          </w:tcPr>
          <w:p w:rsidR="00EE56C0" w:rsidRDefault="000F36A1">
            <w:pPr>
              <w:pStyle w:val="afa"/>
            </w:pPr>
            <w:r>
              <w:rPr>
                <w:rFonts w:hint="eastAsia"/>
              </w:rPr>
              <w:t>0.098</w:t>
            </w:r>
          </w:p>
        </w:tc>
        <w:tc>
          <w:tcPr>
            <w:tcW w:w="649" w:type="pct"/>
            <w:tcBorders>
              <w:left w:val="single" w:sz="4" w:space="0" w:color="auto"/>
            </w:tcBorders>
            <w:vAlign w:val="center"/>
          </w:tcPr>
          <w:p w:rsidR="00EE56C0" w:rsidRDefault="000F36A1">
            <w:pPr>
              <w:pStyle w:val="afa"/>
            </w:pPr>
            <w:r>
              <w:rPr>
                <w:rFonts w:hint="eastAsia"/>
              </w:rPr>
              <w:t>0.075</w:t>
            </w:r>
          </w:p>
        </w:tc>
      </w:tr>
      <w:tr w:rsidR="00EE56C0">
        <w:trPr>
          <w:trHeight w:val="425"/>
          <w:jc w:val="center"/>
        </w:trPr>
        <w:tc>
          <w:tcPr>
            <w:tcW w:w="291" w:type="pct"/>
            <w:vMerge/>
            <w:vAlign w:val="center"/>
          </w:tcPr>
          <w:p w:rsidR="00EE56C0" w:rsidRDefault="00EE56C0">
            <w:pPr>
              <w:pStyle w:val="afa"/>
            </w:pPr>
          </w:p>
        </w:tc>
        <w:tc>
          <w:tcPr>
            <w:tcW w:w="322" w:type="pct"/>
            <w:vAlign w:val="center"/>
          </w:tcPr>
          <w:p w:rsidR="00EE56C0" w:rsidRDefault="000F36A1">
            <w:pPr>
              <w:pStyle w:val="afa"/>
            </w:pPr>
            <w:r>
              <w:rPr>
                <w:rFonts w:hint="eastAsia"/>
              </w:rPr>
              <w:t>8</w:t>
            </w:r>
          </w:p>
        </w:tc>
        <w:tc>
          <w:tcPr>
            <w:tcW w:w="736" w:type="pct"/>
            <w:vAlign w:val="center"/>
          </w:tcPr>
          <w:p w:rsidR="00EE56C0" w:rsidRDefault="000F36A1">
            <w:pPr>
              <w:pStyle w:val="afa"/>
              <w:rPr>
                <w:rFonts w:ascii="宋体" w:hAnsi="宋体" w:cs="宋体"/>
              </w:rPr>
            </w:pPr>
            <w:r>
              <w:rPr>
                <w:rFonts w:ascii="宋体" w:hAnsi="宋体" w:cs="宋体" w:hint="eastAsia"/>
              </w:rPr>
              <w:t>六价铬</w:t>
            </w:r>
          </w:p>
        </w:tc>
        <w:tc>
          <w:tcPr>
            <w:tcW w:w="464" w:type="pct"/>
            <w:vAlign w:val="center"/>
          </w:tcPr>
          <w:p w:rsidR="00EE56C0" w:rsidRDefault="000F36A1">
            <w:pPr>
              <w:pStyle w:val="afa"/>
            </w:pPr>
            <w:r>
              <w:rPr>
                <w:rFonts w:hint="eastAsia"/>
              </w:rPr>
              <w:t>未检出</w:t>
            </w:r>
          </w:p>
        </w:tc>
        <w:tc>
          <w:tcPr>
            <w:tcW w:w="578" w:type="pct"/>
            <w:vAlign w:val="center"/>
          </w:tcPr>
          <w:p w:rsidR="00EE56C0" w:rsidRDefault="000F36A1">
            <w:pPr>
              <w:pStyle w:val="afa"/>
            </w:pPr>
            <w:r>
              <w:rPr>
                <w:rFonts w:hint="eastAsia"/>
              </w:rPr>
              <w:t>未检出</w:t>
            </w:r>
          </w:p>
        </w:tc>
        <w:tc>
          <w:tcPr>
            <w:tcW w:w="496" w:type="pct"/>
            <w:vAlign w:val="center"/>
          </w:tcPr>
          <w:p w:rsidR="00EE56C0" w:rsidRDefault="000F36A1">
            <w:pPr>
              <w:pStyle w:val="afa"/>
            </w:pPr>
            <w:r>
              <w:rPr>
                <w:rFonts w:hint="eastAsia"/>
              </w:rPr>
              <w:t>未检出</w:t>
            </w:r>
          </w:p>
        </w:tc>
        <w:tc>
          <w:tcPr>
            <w:tcW w:w="496" w:type="pct"/>
            <w:tcBorders>
              <w:right w:val="single" w:sz="4" w:space="0" w:color="auto"/>
            </w:tcBorders>
            <w:vAlign w:val="center"/>
          </w:tcPr>
          <w:p w:rsidR="00EE56C0" w:rsidRDefault="000F36A1">
            <w:pPr>
              <w:pStyle w:val="afa"/>
            </w:pPr>
            <w:r>
              <w:t>未检出</w:t>
            </w:r>
          </w:p>
        </w:tc>
        <w:tc>
          <w:tcPr>
            <w:tcW w:w="525" w:type="pct"/>
            <w:tcBorders>
              <w:left w:val="single" w:sz="4" w:space="0" w:color="auto"/>
              <w:right w:val="single" w:sz="4" w:space="0" w:color="auto"/>
            </w:tcBorders>
            <w:vAlign w:val="center"/>
          </w:tcPr>
          <w:p w:rsidR="00EE56C0" w:rsidRDefault="000F36A1">
            <w:pPr>
              <w:pStyle w:val="afa"/>
            </w:pPr>
            <w:r>
              <w:t>未检出</w:t>
            </w:r>
          </w:p>
        </w:tc>
        <w:tc>
          <w:tcPr>
            <w:tcW w:w="443" w:type="pct"/>
            <w:tcBorders>
              <w:left w:val="single" w:sz="4" w:space="0" w:color="auto"/>
              <w:right w:val="single" w:sz="4" w:space="0" w:color="auto"/>
            </w:tcBorders>
            <w:vAlign w:val="center"/>
          </w:tcPr>
          <w:p w:rsidR="00EE56C0" w:rsidRDefault="000F36A1">
            <w:pPr>
              <w:pStyle w:val="afa"/>
            </w:pPr>
            <w:r>
              <w:t>未检出</w:t>
            </w:r>
          </w:p>
        </w:tc>
        <w:tc>
          <w:tcPr>
            <w:tcW w:w="649" w:type="pct"/>
            <w:tcBorders>
              <w:left w:val="single" w:sz="4" w:space="0" w:color="auto"/>
            </w:tcBorders>
            <w:vAlign w:val="center"/>
          </w:tcPr>
          <w:p w:rsidR="00EE56C0" w:rsidRDefault="000F36A1">
            <w:pPr>
              <w:pStyle w:val="afa"/>
            </w:pPr>
            <w:r>
              <w:rPr>
                <w:rFonts w:hint="eastAsia"/>
              </w:rPr>
              <w:t>未检出</w:t>
            </w:r>
          </w:p>
        </w:tc>
      </w:tr>
      <w:tr w:rsidR="00EE56C0">
        <w:trPr>
          <w:trHeight w:val="425"/>
          <w:jc w:val="center"/>
        </w:trPr>
        <w:tc>
          <w:tcPr>
            <w:tcW w:w="291" w:type="pct"/>
            <w:vMerge/>
            <w:vAlign w:val="center"/>
          </w:tcPr>
          <w:p w:rsidR="00EE56C0" w:rsidRDefault="00EE56C0">
            <w:pPr>
              <w:pStyle w:val="afa"/>
            </w:pPr>
          </w:p>
        </w:tc>
        <w:tc>
          <w:tcPr>
            <w:tcW w:w="322" w:type="pct"/>
            <w:vAlign w:val="center"/>
          </w:tcPr>
          <w:p w:rsidR="00EE56C0" w:rsidRDefault="000F36A1">
            <w:pPr>
              <w:pStyle w:val="afa"/>
            </w:pPr>
            <w:r>
              <w:rPr>
                <w:rFonts w:hint="eastAsia"/>
              </w:rPr>
              <w:t>9</w:t>
            </w:r>
          </w:p>
        </w:tc>
        <w:tc>
          <w:tcPr>
            <w:tcW w:w="736" w:type="pct"/>
            <w:vAlign w:val="center"/>
          </w:tcPr>
          <w:p w:rsidR="00EE56C0" w:rsidRDefault="000F36A1">
            <w:pPr>
              <w:pStyle w:val="afa"/>
            </w:pPr>
            <w:r>
              <w:t>四氯化碳</w:t>
            </w:r>
          </w:p>
        </w:tc>
        <w:tc>
          <w:tcPr>
            <w:tcW w:w="464" w:type="pct"/>
            <w:vAlign w:val="center"/>
          </w:tcPr>
          <w:p w:rsidR="00EE56C0" w:rsidRDefault="000F36A1">
            <w:pPr>
              <w:pStyle w:val="afa"/>
            </w:pPr>
            <w:r>
              <w:rPr>
                <w:rFonts w:hint="eastAsia"/>
              </w:rPr>
              <w:t>未检出</w:t>
            </w:r>
          </w:p>
        </w:tc>
        <w:tc>
          <w:tcPr>
            <w:tcW w:w="578" w:type="pct"/>
            <w:vAlign w:val="center"/>
          </w:tcPr>
          <w:p w:rsidR="00EE56C0" w:rsidRDefault="000F36A1">
            <w:pPr>
              <w:pStyle w:val="afa"/>
            </w:pPr>
            <w:r>
              <w:rPr>
                <w:rFonts w:hint="eastAsia"/>
              </w:rPr>
              <w:t>未检出</w:t>
            </w:r>
          </w:p>
        </w:tc>
        <w:tc>
          <w:tcPr>
            <w:tcW w:w="496" w:type="pct"/>
            <w:vAlign w:val="center"/>
          </w:tcPr>
          <w:p w:rsidR="00EE56C0" w:rsidRDefault="000F36A1">
            <w:pPr>
              <w:pStyle w:val="afa"/>
            </w:pPr>
            <w:r>
              <w:rPr>
                <w:rFonts w:hint="eastAsia"/>
              </w:rPr>
              <w:t>未检出</w:t>
            </w:r>
          </w:p>
        </w:tc>
        <w:tc>
          <w:tcPr>
            <w:tcW w:w="496" w:type="pct"/>
            <w:tcBorders>
              <w:right w:val="single" w:sz="4" w:space="0" w:color="auto"/>
            </w:tcBorders>
            <w:vAlign w:val="center"/>
          </w:tcPr>
          <w:p w:rsidR="00EE56C0" w:rsidRDefault="000F36A1">
            <w:pPr>
              <w:pStyle w:val="afa"/>
            </w:pPr>
            <w:r>
              <w:t>未检出</w:t>
            </w:r>
          </w:p>
        </w:tc>
        <w:tc>
          <w:tcPr>
            <w:tcW w:w="525" w:type="pct"/>
            <w:tcBorders>
              <w:left w:val="single" w:sz="4" w:space="0" w:color="auto"/>
              <w:right w:val="single" w:sz="4" w:space="0" w:color="auto"/>
            </w:tcBorders>
            <w:vAlign w:val="center"/>
          </w:tcPr>
          <w:p w:rsidR="00EE56C0" w:rsidRDefault="000F36A1">
            <w:pPr>
              <w:pStyle w:val="afa"/>
            </w:pPr>
            <w:r>
              <w:t>未检出</w:t>
            </w:r>
          </w:p>
        </w:tc>
        <w:tc>
          <w:tcPr>
            <w:tcW w:w="443" w:type="pct"/>
            <w:tcBorders>
              <w:left w:val="single" w:sz="4" w:space="0" w:color="auto"/>
              <w:right w:val="single" w:sz="4" w:space="0" w:color="auto"/>
            </w:tcBorders>
            <w:vAlign w:val="center"/>
          </w:tcPr>
          <w:p w:rsidR="00EE56C0" w:rsidRDefault="000F36A1">
            <w:pPr>
              <w:pStyle w:val="afa"/>
            </w:pPr>
            <w:r>
              <w:t>未检出</w:t>
            </w:r>
          </w:p>
        </w:tc>
        <w:tc>
          <w:tcPr>
            <w:tcW w:w="649" w:type="pct"/>
            <w:tcBorders>
              <w:left w:val="single" w:sz="4" w:space="0" w:color="auto"/>
            </w:tcBorders>
            <w:vAlign w:val="center"/>
          </w:tcPr>
          <w:p w:rsidR="00EE56C0" w:rsidRDefault="000F36A1">
            <w:pPr>
              <w:pStyle w:val="afa"/>
            </w:pPr>
            <w:r>
              <w:rPr>
                <w:rFonts w:hint="eastAsia"/>
              </w:rPr>
              <w:t>未检出</w:t>
            </w:r>
          </w:p>
        </w:tc>
      </w:tr>
      <w:tr w:rsidR="00EE56C0">
        <w:trPr>
          <w:trHeight w:val="425"/>
          <w:jc w:val="center"/>
        </w:trPr>
        <w:tc>
          <w:tcPr>
            <w:tcW w:w="291" w:type="pct"/>
            <w:vMerge/>
            <w:vAlign w:val="center"/>
          </w:tcPr>
          <w:p w:rsidR="00EE56C0" w:rsidRDefault="00EE56C0">
            <w:pPr>
              <w:pStyle w:val="afa"/>
            </w:pPr>
          </w:p>
        </w:tc>
        <w:tc>
          <w:tcPr>
            <w:tcW w:w="322" w:type="pct"/>
            <w:vAlign w:val="center"/>
          </w:tcPr>
          <w:p w:rsidR="00EE56C0" w:rsidRDefault="000F36A1">
            <w:pPr>
              <w:pStyle w:val="afa"/>
            </w:pPr>
            <w:r>
              <w:rPr>
                <w:rFonts w:hint="eastAsia"/>
              </w:rPr>
              <w:t>10</w:t>
            </w:r>
          </w:p>
        </w:tc>
        <w:tc>
          <w:tcPr>
            <w:tcW w:w="736" w:type="pct"/>
            <w:vAlign w:val="center"/>
          </w:tcPr>
          <w:p w:rsidR="00EE56C0" w:rsidRDefault="000F36A1">
            <w:pPr>
              <w:pStyle w:val="afa"/>
            </w:pPr>
            <w:r>
              <w:t>氯仿</w:t>
            </w:r>
          </w:p>
        </w:tc>
        <w:tc>
          <w:tcPr>
            <w:tcW w:w="464" w:type="pct"/>
            <w:vAlign w:val="center"/>
          </w:tcPr>
          <w:p w:rsidR="00EE56C0" w:rsidRDefault="000F36A1">
            <w:pPr>
              <w:pStyle w:val="afa"/>
            </w:pPr>
            <w:r>
              <w:rPr>
                <w:rFonts w:hint="eastAsia"/>
              </w:rPr>
              <w:t>未检出</w:t>
            </w:r>
          </w:p>
        </w:tc>
        <w:tc>
          <w:tcPr>
            <w:tcW w:w="578" w:type="pct"/>
            <w:vAlign w:val="center"/>
          </w:tcPr>
          <w:p w:rsidR="00EE56C0" w:rsidRDefault="000F36A1">
            <w:pPr>
              <w:pStyle w:val="afa"/>
            </w:pPr>
            <w:r>
              <w:t>未检出</w:t>
            </w:r>
          </w:p>
        </w:tc>
        <w:tc>
          <w:tcPr>
            <w:tcW w:w="496" w:type="pct"/>
            <w:vAlign w:val="center"/>
          </w:tcPr>
          <w:p w:rsidR="00EE56C0" w:rsidRDefault="000F36A1">
            <w:pPr>
              <w:pStyle w:val="afa"/>
            </w:pPr>
            <w:r>
              <w:rPr>
                <w:rFonts w:hint="eastAsia"/>
              </w:rPr>
              <w:t>未检出</w:t>
            </w:r>
          </w:p>
        </w:tc>
        <w:tc>
          <w:tcPr>
            <w:tcW w:w="496" w:type="pct"/>
            <w:tcBorders>
              <w:right w:val="single" w:sz="4" w:space="0" w:color="auto"/>
            </w:tcBorders>
            <w:vAlign w:val="center"/>
          </w:tcPr>
          <w:p w:rsidR="00EE56C0" w:rsidRDefault="000F36A1">
            <w:pPr>
              <w:pStyle w:val="afa"/>
            </w:pPr>
            <w:r>
              <w:t>未检出</w:t>
            </w:r>
          </w:p>
        </w:tc>
        <w:tc>
          <w:tcPr>
            <w:tcW w:w="525" w:type="pct"/>
            <w:tcBorders>
              <w:left w:val="single" w:sz="4" w:space="0" w:color="auto"/>
              <w:right w:val="single" w:sz="4" w:space="0" w:color="auto"/>
            </w:tcBorders>
            <w:vAlign w:val="center"/>
          </w:tcPr>
          <w:p w:rsidR="00EE56C0" w:rsidRDefault="000F36A1">
            <w:pPr>
              <w:pStyle w:val="afa"/>
            </w:pPr>
            <w:r>
              <w:t>未检出</w:t>
            </w:r>
          </w:p>
        </w:tc>
        <w:tc>
          <w:tcPr>
            <w:tcW w:w="443" w:type="pct"/>
            <w:tcBorders>
              <w:left w:val="single" w:sz="4" w:space="0" w:color="auto"/>
              <w:right w:val="single" w:sz="4" w:space="0" w:color="auto"/>
            </w:tcBorders>
            <w:vAlign w:val="center"/>
          </w:tcPr>
          <w:p w:rsidR="00EE56C0" w:rsidRDefault="000F36A1">
            <w:pPr>
              <w:pStyle w:val="afa"/>
            </w:pPr>
            <w:r>
              <w:t>未检出</w:t>
            </w:r>
          </w:p>
        </w:tc>
        <w:tc>
          <w:tcPr>
            <w:tcW w:w="649" w:type="pct"/>
            <w:tcBorders>
              <w:left w:val="single" w:sz="4" w:space="0" w:color="auto"/>
            </w:tcBorders>
            <w:vAlign w:val="center"/>
          </w:tcPr>
          <w:p w:rsidR="00EE56C0" w:rsidRDefault="000F36A1">
            <w:pPr>
              <w:pStyle w:val="afa"/>
            </w:pPr>
            <w:r>
              <w:rPr>
                <w:rFonts w:hint="eastAsia"/>
              </w:rPr>
              <w:t>未检出</w:t>
            </w:r>
          </w:p>
        </w:tc>
      </w:tr>
      <w:tr w:rsidR="00EE56C0">
        <w:trPr>
          <w:trHeight w:val="425"/>
          <w:jc w:val="center"/>
        </w:trPr>
        <w:tc>
          <w:tcPr>
            <w:tcW w:w="291" w:type="pct"/>
            <w:vMerge/>
            <w:vAlign w:val="center"/>
          </w:tcPr>
          <w:p w:rsidR="00EE56C0" w:rsidRDefault="00EE56C0">
            <w:pPr>
              <w:pStyle w:val="afa"/>
            </w:pPr>
          </w:p>
        </w:tc>
        <w:tc>
          <w:tcPr>
            <w:tcW w:w="322" w:type="pct"/>
            <w:vAlign w:val="center"/>
          </w:tcPr>
          <w:p w:rsidR="00EE56C0" w:rsidRDefault="000F36A1">
            <w:pPr>
              <w:pStyle w:val="afa"/>
            </w:pPr>
            <w:r>
              <w:rPr>
                <w:rFonts w:hint="eastAsia"/>
              </w:rPr>
              <w:t>11</w:t>
            </w:r>
          </w:p>
        </w:tc>
        <w:tc>
          <w:tcPr>
            <w:tcW w:w="736" w:type="pct"/>
            <w:vAlign w:val="center"/>
          </w:tcPr>
          <w:p w:rsidR="00EE56C0" w:rsidRDefault="000F36A1">
            <w:pPr>
              <w:pStyle w:val="afa"/>
            </w:pPr>
            <w:r>
              <w:t>氯甲烷</w:t>
            </w:r>
          </w:p>
        </w:tc>
        <w:tc>
          <w:tcPr>
            <w:tcW w:w="464" w:type="pct"/>
            <w:vAlign w:val="center"/>
          </w:tcPr>
          <w:p w:rsidR="00EE56C0" w:rsidRDefault="000F36A1">
            <w:pPr>
              <w:pStyle w:val="afa"/>
            </w:pPr>
            <w:r>
              <w:rPr>
                <w:rFonts w:hint="eastAsia"/>
              </w:rPr>
              <w:t>未检出</w:t>
            </w:r>
          </w:p>
        </w:tc>
        <w:tc>
          <w:tcPr>
            <w:tcW w:w="578" w:type="pct"/>
            <w:vAlign w:val="center"/>
          </w:tcPr>
          <w:p w:rsidR="00EE56C0" w:rsidRDefault="000F36A1">
            <w:pPr>
              <w:pStyle w:val="afa"/>
            </w:pPr>
            <w:r>
              <w:rPr>
                <w:rFonts w:hint="eastAsia"/>
              </w:rPr>
              <w:t>未检出</w:t>
            </w:r>
          </w:p>
        </w:tc>
        <w:tc>
          <w:tcPr>
            <w:tcW w:w="496" w:type="pct"/>
            <w:vAlign w:val="center"/>
          </w:tcPr>
          <w:p w:rsidR="00EE56C0" w:rsidRDefault="000F36A1">
            <w:pPr>
              <w:pStyle w:val="afa"/>
            </w:pPr>
            <w:r>
              <w:rPr>
                <w:rFonts w:hint="eastAsia"/>
              </w:rPr>
              <w:t>未检出</w:t>
            </w:r>
          </w:p>
        </w:tc>
        <w:tc>
          <w:tcPr>
            <w:tcW w:w="496" w:type="pct"/>
            <w:tcBorders>
              <w:right w:val="single" w:sz="4" w:space="0" w:color="auto"/>
            </w:tcBorders>
            <w:vAlign w:val="center"/>
          </w:tcPr>
          <w:p w:rsidR="00EE56C0" w:rsidRDefault="000F36A1">
            <w:pPr>
              <w:pStyle w:val="afa"/>
            </w:pPr>
            <w:r>
              <w:t>未检出</w:t>
            </w:r>
          </w:p>
        </w:tc>
        <w:tc>
          <w:tcPr>
            <w:tcW w:w="525" w:type="pct"/>
            <w:tcBorders>
              <w:left w:val="single" w:sz="4" w:space="0" w:color="auto"/>
              <w:right w:val="single" w:sz="4" w:space="0" w:color="auto"/>
            </w:tcBorders>
            <w:vAlign w:val="center"/>
          </w:tcPr>
          <w:p w:rsidR="00EE56C0" w:rsidRDefault="000F36A1">
            <w:pPr>
              <w:pStyle w:val="afa"/>
            </w:pPr>
            <w:r>
              <w:t>未检出</w:t>
            </w:r>
          </w:p>
        </w:tc>
        <w:tc>
          <w:tcPr>
            <w:tcW w:w="443" w:type="pct"/>
            <w:tcBorders>
              <w:left w:val="single" w:sz="4" w:space="0" w:color="auto"/>
              <w:right w:val="single" w:sz="4" w:space="0" w:color="auto"/>
            </w:tcBorders>
            <w:vAlign w:val="center"/>
          </w:tcPr>
          <w:p w:rsidR="00EE56C0" w:rsidRDefault="000F36A1">
            <w:pPr>
              <w:pStyle w:val="afa"/>
            </w:pPr>
            <w:r>
              <w:t>未检出</w:t>
            </w:r>
          </w:p>
        </w:tc>
        <w:tc>
          <w:tcPr>
            <w:tcW w:w="649" w:type="pct"/>
            <w:tcBorders>
              <w:left w:val="single" w:sz="4" w:space="0" w:color="auto"/>
            </w:tcBorders>
            <w:vAlign w:val="center"/>
          </w:tcPr>
          <w:p w:rsidR="00EE56C0" w:rsidRDefault="000F36A1">
            <w:pPr>
              <w:pStyle w:val="afa"/>
            </w:pPr>
            <w:r>
              <w:rPr>
                <w:rFonts w:hint="eastAsia"/>
              </w:rPr>
              <w:t>未检出</w:t>
            </w:r>
          </w:p>
        </w:tc>
      </w:tr>
      <w:tr w:rsidR="00EE56C0">
        <w:trPr>
          <w:trHeight w:val="425"/>
          <w:jc w:val="center"/>
        </w:trPr>
        <w:tc>
          <w:tcPr>
            <w:tcW w:w="291" w:type="pct"/>
            <w:vMerge/>
            <w:vAlign w:val="center"/>
          </w:tcPr>
          <w:p w:rsidR="00EE56C0" w:rsidRDefault="00EE56C0">
            <w:pPr>
              <w:pStyle w:val="afa"/>
            </w:pPr>
          </w:p>
        </w:tc>
        <w:tc>
          <w:tcPr>
            <w:tcW w:w="322" w:type="pct"/>
            <w:vAlign w:val="center"/>
          </w:tcPr>
          <w:p w:rsidR="00EE56C0" w:rsidRDefault="000F36A1">
            <w:pPr>
              <w:pStyle w:val="afa"/>
            </w:pPr>
            <w:r>
              <w:rPr>
                <w:rFonts w:hint="eastAsia"/>
              </w:rPr>
              <w:t>12</w:t>
            </w:r>
          </w:p>
        </w:tc>
        <w:tc>
          <w:tcPr>
            <w:tcW w:w="736" w:type="pct"/>
            <w:vAlign w:val="center"/>
          </w:tcPr>
          <w:p w:rsidR="00EE56C0" w:rsidRDefault="000F36A1">
            <w:pPr>
              <w:pStyle w:val="afa"/>
            </w:pPr>
            <w:r>
              <w:t>1.1-</w:t>
            </w:r>
            <w:r>
              <w:t>二氯乙烷</w:t>
            </w:r>
          </w:p>
        </w:tc>
        <w:tc>
          <w:tcPr>
            <w:tcW w:w="464" w:type="pct"/>
            <w:vAlign w:val="center"/>
          </w:tcPr>
          <w:p w:rsidR="00EE56C0" w:rsidRDefault="000F36A1">
            <w:pPr>
              <w:pStyle w:val="afa"/>
            </w:pPr>
            <w:r>
              <w:rPr>
                <w:rFonts w:hint="eastAsia"/>
              </w:rPr>
              <w:t>未检出</w:t>
            </w:r>
          </w:p>
        </w:tc>
        <w:tc>
          <w:tcPr>
            <w:tcW w:w="578" w:type="pct"/>
            <w:vAlign w:val="center"/>
          </w:tcPr>
          <w:p w:rsidR="00EE56C0" w:rsidRDefault="000F36A1">
            <w:pPr>
              <w:pStyle w:val="afa"/>
            </w:pPr>
            <w:r>
              <w:rPr>
                <w:rFonts w:hint="eastAsia"/>
              </w:rPr>
              <w:t>未检出</w:t>
            </w:r>
          </w:p>
        </w:tc>
        <w:tc>
          <w:tcPr>
            <w:tcW w:w="496" w:type="pct"/>
            <w:vAlign w:val="center"/>
          </w:tcPr>
          <w:p w:rsidR="00EE56C0" w:rsidRDefault="000F36A1">
            <w:pPr>
              <w:pStyle w:val="afa"/>
            </w:pPr>
            <w:r>
              <w:rPr>
                <w:rFonts w:hint="eastAsia"/>
              </w:rPr>
              <w:t>未检出</w:t>
            </w:r>
          </w:p>
        </w:tc>
        <w:tc>
          <w:tcPr>
            <w:tcW w:w="496" w:type="pct"/>
            <w:tcBorders>
              <w:right w:val="single" w:sz="4" w:space="0" w:color="auto"/>
            </w:tcBorders>
            <w:vAlign w:val="center"/>
          </w:tcPr>
          <w:p w:rsidR="00EE56C0" w:rsidRDefault="000F36A1">
            <w:pPr>
              <w:pStyle w:val="afa"/>
            </w:pPr>
            <w:r>
              <w:t>未检出</w:t>
            </w:r>
          </w:p>
        </w:tc>
        <w:tc>
          <w:tcPr>
            <w:tcW w:w="525" w:type="pct"/>
            <w:tcBorders>
              <w:left w:val="single" w:sz="4" w:space="0" w:color="auto"/>
              <w:right w:val="single" w:sz="4" w:space="0" w:color="auto"/>
            </w:tcBorders>
            <w:vAlign w:val="center"/>
          </w:tcPr>
          <w:p w:rsidR="00EE56C0" w:rsidRDefault="000F36A1">
            <w:pPr>
              <w:pStyle w:val="afa"/>
            </w:pPr>
            <w:r>
              <w:t>未检出</w:t>
            </w:r>
          </w:p>
        </w:tc>
        <w:tc>
          <w:tcPr>
            <w:tcW w:w="443" w:type="pct"/>
            <w:tcBorders>
              <w:left w:val="single" w:sz="4" w:space="0" w:color="auto"/>
              <w:right w:val="single" w:sz="4" w:space="0" w:color="auto"/>
            </w:tcBorders>
            <w:vAlign w:val="center"/>
          </w:tcPr>
          <w:p w:rsidR="00EE56C0" w:rsidRDefault="000F36A1">
            <w:pPr>
              <w:pStyle w:val="afa"/>
            </w:pPr>
            <w:r>
              <w:t>未检出</w:t>
            </w:r>
          </w:p>
        </w:tc>
        <w:tc>
          <w:tcPr>
            <w:tcW w:w="649" w:type="pct"/>
            <w:tcBorders>
              <w:left w:val="single" w:sz="4" w:space="0" w:color="auto"/>
            </w:tcBorders>
            <w:vAlign w:val="center"/>
          </w:tcPr>
          <w:p w:rsidR="00EE56C0" w:rsidRDefault="000F36A1">
            <w:pPr>
              <w:pStyle w:val="afa"/>
            </w:pPr>
            <w:r>
              <w:rPr>
                <w:rFonts w:hint="eastAsia"/>
              </w:rPr>
              <w:t>未检出</w:t>
            </w:r>
          </w:p>
        </w:tc>
      </w:tr>
      <w:tr w:rsidR="00EE56C0">
        <w:trPr>
          <w:trHeight w:val="425"/>
          <w:jc w:val="center"/>
        </w:trPr>
        <w:tc>
          <w:tcPr>
            <w:tcW w:w="291" w:type="pct"/>
            <w:vMerge/>
            <w:vAlign w:val="center"/>
          </w:tcPr>
          <w:p w:rsidR="00EE56C0" w:rsidRDefault="00EE56C0">
            <w:pPr>
              <w:pStyle w:val="afa"/>
            </w:pPr>
          </w:p>
        </w:tc>
        <w:tc>
          <w:tcPr>
            <w:tcW w:w="322" w:type="pct"/>
            <w:vAlign w:val="center"/>
          </w:tcPr>
          <w:p w:rsidR="00EE56C0" w:rsidRDefault="000F36A1">
            <w:pPr>
              <w:pStyle w:val="afa"/>
            </w:pPr>
            <w:r>
              <w:rPr>
                <w:rFonts w:hint="eastAsia"/>
              </w:rPr>
              <w:t>13</w:t>
            </w:r>
          </w:p>
        </w:tc>
        <w:tc>
          <w:tcPr>
            <w:tcW w:w="736" w:type="pct"/>
            <w:vAlign w:val="center"/>
          </w:tcPr>
          <w:p w:rsidR="00EE56C0" w:rsidRDefault="000F36A1">
            <w:pPr>
              <w:pStyle w:val="afa"/>
            </w:pPr>
            <w:r>
              <w:t>1.2-</w:t>
            </w:r>
            <w:r>
              <w:t>二氯乙烷</w:t>
            </w:r>
          </w:p>
        </w:tc>
        <w:tc>
          <w:tcPr>
            <w:tcW w:w="464" w:type="pct"/>
            <w:vAlign w:val="center"/>
          </w:tcPr>
          <w:p w:rsidR="00EE56C0" w:rsidRDefault="000F36A1">
            <w:pPr>
              <w:pStyle w:val="afa"/>
            </w:pPr>
            <w:r>
              <w:rPr>
                <w:rFonts w:hint="eastAsia"/>
              </w:rPr>
              <w:t>未检出</w:t>
            </w:r>
          </w:p>
        </w:tc>
        <w:tc>
          <w:tcPr>
            <w:tcW w:w="578" w:type="pct"/>
            <w:vAlign w:val="center"/>
          </w:tcPr>
          <w:p w:rsidR="00EE56C0" w:rsidRDefault="000F36A1">
            <w:pPr>
              <w:pStyle w:val="afa"/>
            </w:pPr>
            <w:r>
              <w:rPr>
                <w:rFonts w:hint="eastAsia"/>
              </w:rPr>
              <w:t>未检出</w:t>
            </w:r>
          </w:p>
        </w:tc>
        <w:tc>
          <w:tcPr>
            <w:tcW w:w="496" w:type="pct"/>
            <w:vAlign w:val="center"/>
          </w:tcPr>
          <w:p w:rsidR="00EE56C0" w:rsidRDefault="000F36A1">
            <w:pPr>
              <w:pStyle w:val="afa"/>
            </w:pPr>
            <w:r>
              <w:rPr>
                <w:rFonts w:hint="eastAsia"/>
              </w:rPr>
              <w:t>未检出</w:t>
            </w:r>
          </w:p>
        </w:tc>
        <w:tc>
          <w:tcPr>
            <w:tcW w:w="496" w:type="pct"/>
            <w:tcBorders>
              <w:right w:val="single" w:sz="4" w:space="0" w:color="auto"/>
            </w:tcBorders>
            <w:vAlign w:val="center"/>
          </w:tcPr>
          <w:p w:rsidR="00EE56C0" w:rsidRDefault="000F36A1">
            <w:pPr>
              <w:pStyle w:val="afa"/>
            </w:pPr>
            <w:r>
              <w:t>未检出</w:t>
            </w:r>
          </w:p>
        </w:tc>
        <w:tc>
          <w:tcPr>
            <w:tcW w:w="525" w:type="pct"/>
            <w:tcBorders>
              <w:left w:val="single" w:sz="4" w:space="0" w:color="auto"/>
              <w:right w:val="single" w:sz="4" w:space="0" w:color="auto"/>
            </w:tcBorders>
            <w:vAlign w:val="center"/>
          </w:tcPr>
          <w:p w:rsidR="00EE56C0" w:rsidRDefault="000F36A1">
            <w:pPr>
              <w:pStyle w:val="afa"/>
            </w:pPr>
            <w:r>
              <w:t>未检出</w:t>
            </w:r>
          </w:p>
        </w:tc>
        <w:tc>
          <w:tcPr>
            <w:tcW w:w="443" w:type="pct"/>
            <w:tcBorders>
              <w:left w:val="single" w:sz="4" w:space="0" w:color="auto"/>
              <w:right w:val="single" w:sz="4" w:space="0" w:color="auto"/>
            </w:tcBorders>
            <w:vAlign w:val="center"/>
          </w:tcPr>
          <w:p w:rsidR="00EE56C0" w:rsidRDefault="000F36A1">
            <w:pPr>
              <w:pStyle w:val="afa"/>
            </w:pPr>
            <w:r>
              <w:t>未检出</w:t>
            </w:r>
          </w:p>
        </w:tc>
        <w:tc>
          <w:tcPr>
            <w:tcW w:w="649" w:type="pct"/>
            <w:tcBorders>
              <w:left w:val="single" w:sz="4" w:space="0" w:color="auto"/>
            </w:tcBorders>
            <w:vAlign w:val="center"/>
          </w:tcPr>
          <w:p w:rsidR="00EE56C0" w:rsidRDefault="000F36A1">
            <w:pPr>
              <w:pStyle w:val="afa"/>
            </w:pPr>
            <w:r>
              <w:rPr>
                <w:rFonts w:hint="eastAsia"/>
              </w:rPr>
              <w:t>未检出</w:t>
            </w:r>
          </w:p>
        </w:tc>
      </w:tr>
      <w:tr w:rsidR="00EE56C0">
        <w:trPr>
          <w:trHeight w:val="425"/>
          <w:jc w:val="center"/>
        </w:trPr>
        <w:tc>
          <w:tcPr>
            <w:tcW w:w="291" w:type="pct"/>
            <w:vMerge/>
            <w:vAlign w:val="center"/>
          </w:tcPr>
          <w:p w:rsidR="00EE56C0" w:rsidRDefault="00EE56C0">
            <w:pPr>
              <w:pStyle w:val="afa"/>
            </w:pPr>
          </w:p>
        </w:tc>
        <w:tc>
          <w:tcPr>
            <w:tcW w:w="322" w:type="pct"/>
            <w:vAlign w:val="center"/>
          </w:tcPr>
          <w:p w:rsidR="00EE56C0" w:rsidRDefault="000F36A1">
            <w:pPr>
              <w:pStyle w:val="afa"/>
            </w:pPr>
            <w:r>
              <w:rPr>
                <w:rFonts w:hint="eastAsia"/>
              </w:rPr>
              <w:t>14</w:t>
            </w:r>
          </w:p>
        </w:tc>
        <w:tc>
          <w:tcPr>
            <w:tcW w:w="736" w:type="pct"/>
            <w:vAlign w:val="center"/>
          </w:tcPr>
          <w:p w:rsidR="00EE56C0" w:rsidRDefault="000F36A1">
            <w:pPr>
              <w:pStyle w:val="afa"/>
            </w:pPr>
            <w:r>
              <w:t>1,1-</w:t>
            </w:r>
            <w:r>
              <w:t>二氯乙烯</w:t>
            </w:r>
          </w:p>
        </w:tc>
        <w:tc>
          <w:tcPr>
            <w:tcW w:w="464" w:type="pct"/>
            <w:vAlign w:val="center"/>
          </w:tcPr>
          <w:p w:rsidR="00EE56C0" w:rsidRDefault="000F36A1">
            <w:pPr>
              <w:pStyle w:val="afa"/>
            </w:pPr>
            <w:r>
              <w:rPr>
                <w:rFonts w:hint="eastAsia"/>
              </w:rPr>
              <w:t>未检出</w:t>
            </w:r>
          </w:p>
        </w:tc>
        <w:tc>
          <w:tcPr>
            <w:tcW w:w="578" w:type="pct"/>
            <w:vAlign w:val="center"/>
          </w:tcPr>
          <w:p w:rsidR="00EE56C0" w:rsidRDefault="000F36A1">
            <w:pPr>
              <w:pStyle w:val="afa"/>
            </w:pPr>
            <w:r>
              <w:rPr>
                <w:rFonts w:hint="eastAsia"/>
              </w:rPr>
              <w:t>未检出</w:t>
            </w:r>
          </w:p>
        </w:tc>
        <w:tc>
          <w:tcPr>
            <w:tcW w:w="496" w:type="pct"/>
            <w:vAlign w:val="center"/>
          </w:tcPr>
          <w:p w:rsidR="00EE56C0" w:rsidRDefault="000F36A1">
            <w:pPr>
              <w:pStyle w:val="afa"/>
            </w:pPr>
            <w:r>
              <w:rPr>
                <w:rFonts w:hint="eastAsia"/>
              </w:rPr>
              <w:t>未检出</w:t>
            </w:r>
          </w:p>
        </w:tc>
        <w:tc>
          <w:tcPr>
            <w:tcW w:w="496" w:type="pct"/>
            <w:tcBorders>
              <w:right w:val="single" w:sz="4" w:space="0" w:color="auto"/>
            </w:tcBorders>
            <w:vAlign w:val="center"/>
          </w:tcPr>
          <w:p w:rsidR="00EE56C0" w:rsidRDefault="000F36A1">
            <w:pPr>
              <w:pStyle w:val="afa"/>
            </w:pPr>
            <w:r>
              <w:t>未检出</w:t>
            </w:r>
          </w:p>
        </w:tc>
        <w:tc>
          <w:tcPr>
            <w:tcW w:w="525" w:type="pct"/>
            <w:tcBorders>
              <w:left w:val="single" w:sz="4" w:space="0" w:color="auto"/>
              <w:right w:val="single" w:sz="4" w:space="0" w:color="auto"/>
            </w:tcBorders>
            <w:vAlign w:val="center"/>
          </w:tcPr>
          <w:p w:rsidR="00EE56C0" w:rsidRDefault="000F36A1">
            <w:pPr>
              <w:pStyle w:val="afa"/>
            </w:pPr>
            <w:r>
              <w:t>未检出</w:t>
            </w:r>
          </w:p>
        </w:tc>
        <w:tc>
          <w:tcPr>
            <w:tcW w:w="443" w:type="pct"/>
            <w:tcBorders>
              <w:left w:val="single" w:sz="4" w:space="0" w:color="auto"/>
              <w:right w:val="single" w:sz="4" w:space="0" w:color="auto"/>
            </w:tcBorders>
            <w:vAlign w:val="center"/>
          </w:tcPr>
          <w:p w:rsidR="00EE56C0" w:rsidRDefault="000F36A1">
            <w:pPr>
              <w:pStyle w:val="afa"/>
            </w:pPr>
            <w:r>
              <w:t>未检出</w:t>
            </w:r>
          </w:p>
        </w:tc>
        <w:tc>
          <w:tcPr>
            <w:tcW w:w="649" w:type="pct"/>
            <w:tcBorders>
              <w:left w:val="single" w:sz="4" w:space="0" w:color="auto"/>
            </w:tcBorders>
            <w:vAlign w:val="center"/>
          </w:tcPr>
          <w:p w:rsidR="00EE56C0" w:rsidRDefault="000F36A1">
            <w:pPr>
              <w:pStyle w:val="afa"/>
            </w:pPr>
            <w:r>
              <w:rPr>
                <w:rFonts w:hint="eastAsia"/>
              </w:rPr>
              <w:t>未检出</w:t>
            </w:r>
          </w:p>
        </w:tc>
      </w:tr>
      <w:tr w:rsidR="00EE56C0">
        <w:trPr>
          <w:trHeight w:val="425"/>
          <w:jc w:val="center"/>
        </w:trPr>
        <w:tc>
          <w:tcPr>
            <w:tcW w:w="291" w:type="pct"/>
            <w:vMerge/>
            <w:vAlign w:val="center"/>
          </w:tcPr>
          <w:p w:rsidR="00EE56C0" w:rsidRDefault="00EE56C0">
            <w:pPr>
              <w:pStyle w:val="afa"/>
            </w:pPr>
          </w:p>
        </w:tc>
        <w:tc>
          <w:tcPr>
            <w:tcW w:w="322" w:type="pct"/>
            <w:vAlign w:val="center"/>
          </w:tcPr>
          <w:p w:rsidR="00EE56C0" w:rsidRDefault="000F36A1">
            <w:pPr>
              <w:pStyle w:val="afa"/>
            </w:pPr>
            <w:r>
              <w:rPr>
                <w:rFonts w:hint="eastAsia"/>
              </w:rPr>
              <w:t>15</w:t>
            </w:r>
          </w:p>
        </w:tc>
        <w:tc>
          <w:tcPr>
            <w:tcW w:w="736" w:type="pct"/>
            <w:vAlign w:val="center"/>
          </w:tcPr>
          <w:p w:rsidR="00EE56C0" w:rsidRDefault="000F36A1">
            <w:pPr>
              <w:pStyle w:val="afa"/>
            </w:pPr>
            <w:r>
              <w:t>顺</w:t>
            </w:r>
            <w:r>
              <w:t>-1,2-</w:t>
            </w:r>
            <w:r>
              <w:t>二氯乙烯</w:t>
            </w:r>
          </w:p>
        </w:tc>
        <w:tc>
          <w:tcPr>
            <w:tcW w:w="464" w:type="pct"/>
            <w:vAlign w:val="center"/>
          </w:tcPr>
          <w:p w:rsidR="00EE56C0" w:rsidRDefault="000F36A1">
            <w:pPr>
              <w:pStyle w:val="afa"/>
            </w:pPr>
            <w:r>
              <w:rPr>
                <w:rFonts w:hint="eastAsia"/>
              </w:rPr>
              <w:t>未检出</w:t>
            </w:r>
          </w:p>
        </w:tc>
        <w:tc>
          <w:tcPr>
            <w:tcW w:w="578" w:type="pct"/>
            <w:vAlign w:val="center"/>
          </w:tcPr>
          <w:p w:rsidR="00EE56C0" w:rsidRDefault="000F36A1">
            <w:pPr>
              <w:pStyle w:val="afa"/>
            </w:pPr>
            <w:r>
              <w:rPr>
                <w:rFonts w:hint="eastAsia"/>
              </w:rPr>
              <w:t>未检出</w:t>
            </w:r>
          </w:p>
        </w:tc>
        <w:tc>
          <w:tcPr>
            <w:tcW w:w="496" w:type="pct"/>
            <w:vAlign w:val="center"/>
          </w:tcPr>
          <w:p w:rsidR="00EE56C0" w:rsidRDefault="000F36A1">
            <w:pPr>
              <w:pStyle w:val="afa"/>
            </w:pPr>
            <w:r>
              <w:rPr>
                <w:rFonts w:hint="eastAsia"/>
              </w:rPr>
              <w:t>未检出</w:t>
            </w:r>
          </w:p>
        </w:tc>
        <w:tc>
          <w:tcPr>
            <w:tcW w:w="496" w:type="pct"/>
            <w:tcBorders>
              <w:right w:val="single" w:sz="4" w:space="0" w:color="auto"/>
            </w:tcBorders>
            <w:vAlign w:val="center"/>
          </w:tcPr>
          <w:p w:rsidR="00EE56C0" w:rsidRDefault="000F36A1">
            <w:pPr>
              <w:pStyle w:val="afa"/>
            </w:pPr>
            <w:r>
              <w:t>未检出</w:t>
            </w:r>
          </w:p>
        </w:tc>
        <w:tc>
          <w:tcPr>
            <w:tcW w:w="525" w:type="pct"/>
            <w:tcBorders>
              <w:left w:val="single" w:sz="4" w:space="0" w:color="auto"/>
              <w:right w:val="single" w:sz="4" w:space="0" w:color="auto"/>
            </w:tcBorders>
            <w:vAlign w:val="center"/>
          </w:tcPr>
          <w:p w:rsidR="00EE56C0" w:rsidRDefault="000F36A1">
            <w:pPr>
              <w:pStyle w:val="afa"/>
            </w:pPr>
            <w:r>
              <w:t>未检出</w:t>
            </w:r>
          </w:p>
        </w:tc>
        <w:tc>
          <w:tcPr>
            <w:tcW w:w="443" w:type="pct"/>
            <w:tcBorders>
              <w:left w:val="single" w:sz="4" w:space="0" w:color="auto"/>
              <w:right w:val="single" w:sz="4" w:space="0" w:color="auto"/>
            </w:tcBorders>
            <w:vAlign w:val="center"/>
          </w:tcPr>
          <w:p w:rsidR="00EE56C0" w:rsidRDefault="000F36A1">
            <w:pPr>
              <w:pStyle w:val="afa"/>
            </w:pPr>
            <w:r>
              <w:t>未检出</w:t>
            </w:r>
          </w:p>
        </w:tc>
        <w:tc>
          <w:tcPr>
            <w:tcW w:w="649" w:type="pct"/>
            <w:tcBorders>
              <w:left w:val="single" w:sz="4" w:space="0" w:color="auto"/>
            </w:tcBorders>
            <w:vAlign w:val="center"/>
          </w:tcPr>
          <w:p w:rsidR="00EE56C0" w:rsidRDefault="000F36A1">
            <w:pPr>
              <w:pStyle w:val="afa"/>
            </w:pPr>
            <w:r>
              <w:rPr>
                <w:rFonts w:hint="eastAsia"/>
              </w:rPr>
              <w:t>未检出</w:t>
            </w:r>
          </w:p>
        </w:tc>
      </w:tr>
      <w:tr w:rsidR="00EE56C0">
        <w:trPr>
          <w:trHeight w:val="425"/>
          <w:jc w:val="center"/>
        </w:trPr>
        <w:tc>
          <w:tcPr>
            <w:tcW w:w="291" w:type="pct"/>
            <w:vMerge/>
            <w:vAlign w:val="center"/>
          </w:tcPr>
          <w:p w:rsidR="00EE56C0" w:rsidRDefault="00EE56C0">
            <w:pPr>
              <w:pStyle w:val="afa"/>
            </w:pPr>
          </w:p>
        </w:tc>
        <w:tc>
          <w:tcPr>
            <w:tcW w:w="322" w:type="pct"/>
            <w:vAlign w:val="center"/>
          </w:tcPr>
          <w:p w:rsidR="00EE56C0" w:rsidRDefault="000F36A1">
            <w:pPr>
              <w:pStyle w:val="afa"/>
            </w:pPr>
            <w:r>
              <w:rPr>
                <w:rFonts w:hint="eastAsia"/>
              </w:rPr>
              <w:t>16</w:t>
            </w:r>
          </w:p>
        </w:tc>
        <w:tc>
          <w:tcPr>
            <w:tcW w:w="736" w:type="pct"/>
            <w:vAlign w:val="center"/>
          </w:tcPr>
          <w:p w:rsidR="00EE56C0" w:rsidRDefault="000F36A1">
            <w:pPr>
              <w:pStyle w:val="afa"/>
            </w:pPr>
            <w:r>
              <w:t>反</w:t>
            </w:r>
            <w:r>
              <w:t>-1,2-</w:t>
            </w:r>
            <w:r>
              <w:t>二氯乙烯</w:t>
            </w:r>
          </w:p>
        </w:tc>
        <w:tc>
          <w:tcPr>
            <w:tcW w:w="464" w:type="pct"/>
            <w:vAlign w:val="center"/>
          </w:tcPr>
          <w:p w:rsidR="00EE56C0" w:rsidRDefault="000F36A1">
            <w:pPr>
              <w:pStyle w:val="afa"/>
            </w:pPr>
            <w:r>
              <w:rPr>
                <w:rFonts w:hint="eastAsia"/>
              </w:rPr>
              <w:t>未检出</w:t>
            </w:r>
          </w:p>
        </w:tc>
        <w:tc>
          <w:tcPr>
            <w:tcW w:w="578" w:type="pct"/>
            <w:vAlign w:val="center"/>
          </w:tcPr>
          <w:p w:rsidR="00EE56C0" w:rsidRDefault="000F36A1">
            <w:pPr>
              <w:pStyle w:val="afa"/>
            </w:pPr>
            <w:r>
              <w:rPr>
                <w:rFonts w:hint="eastAsia"/>
              </w:rPr>
              <w:t>未检出</w:t>
            </w:r>
          </w:p>
        </w:tc>
        <w:tc>
          <w:tcPr>
            <w:tcW w:w="496" w:type="pct"/>
            <w:vAlign w:val="center"/>
          </w:tcPr>
          <w:p w:rsidR="00EE56C0" w:rsidRDefault="000F36A1">
            <w:pPr>
              <w:pStyle w:val="afa"/>
            </w:pPr>
            <w:r>
              <w:rPr>
                <w:rFonts w:hint="eastAsia"/>
              </w:rPr>
              <w:t>未检出</w:t>
            </w:r>
          </w:p>
        </w:tc>
        <w:tc>
          <w:tcPr>
            <w:tcW w:w="496" w:type="pct"/>
            <w:tcBorders>
              <w:right w:val="single" w:sz="4" w:space="0" w:color="auto"/>
            </w:tcBorders>
            <w:vAlign w:val="center"/>
          </w:tcPr>
          <w:p w:rsidR="00EE56C0" w:rsidRDefault="000F36A1">
            <w:pPr>
              <w:pStyle w:val="afa"/>
            </w:pPr>
            <w:r>
              <w:t>未检出</w:t>
            </w:r>
          </w:p>
        </w:tc>
        <w:tc>
          <w:tcPr>
            <w:tcW w:w="525" w:type="pct"/>
            <w:tcBorders>
              <w:left w:val="single" w:sz="4" w:space="0" w:color="auto"/>
              <w:right w:val="single" w:sz="4" w:space="0" w:color="auto"/>
            </w:tcBorders>
            <w:vAlign w:val="center"/>
          </w:tcPr>
          <w:p w:rsidR="00EE56C0" w:rsidRDefault="000F36A1">
            <w:pPr>
              <w:pStyle w:val="afa"/>
            </w:pPr>
            <w:r>
              <w:t>未检出</w:t>
            </w:r>
          </w:p>
        </w:tc>
        <w:tc>
          <w:tcPr>
            <w:tcW w:w="443" w:type="pct"/>
            <w:tcBorders>
              <w:left w:val="single" w:sz="4" w:space="0" w:color="auto"/>
              <w:right w:val="single" w:sz="4" w:space="0" w:color="auto"/>
            </w:tcBorders>
            <w:vAlign w:val="center"/>
          </w:tcPr>
          <w:p w:rsidR="00EE56C0" w:rsidRDefault="000F36A1">
            <w:pPr>
              <w:pStyle w:val="afa"/>
            </w:pPr>
            <w:r>
              <w:t>未检出</w:t>
            </w:r>
          </w:p>
        </w:tc>
        <w:tc>
          <w:tcPr>
            <w:tcW w:w="649" w:type="pct"/>
            <w:tcBorders>
              <w:left w:val="single" w:sz="4" w:space="0" w:color="auto"/>
            </w:tcBorders>
            <w:vAlign w:val="center"/>
          </w:tcPr>
          <w:p w:rsidR="00EE56C0" w:rsidRDefault="000F36A1">
            <w:pPr>
              <w:pStyle w:val="afa"/>
            </w:pPr>
            <w:r>
              <w:rPr>
                <w:rFonts w:hint="eastAsia"/>
              </w:rPr>
              <w:t>未检出</w:t>
            </w:r>
          </w:p>
        </w:tc>
      </w:tr>
      <w:tr w:rsidR="00EE56C0">
        <w:trPr>
          <w:trHeight w:val="425"/>
          <w:jc w:val="center"/>
        </w:trPr>
        <w:tc>
          <w:tcPr>
            <w:tcW w:w="291" w:type="pct"/>
            <w:vMerge/>
            <w:vAlign w:val="center"/>
          </w:tcPr>
          <w:p w:rsidR="00EE56C0" w:rsidRDefault="00EE56C0">
            <w:pPr>
              <w:pStyle w:val="afa"/>
            </w:pPr>
          </w:p>
        </w:tc>
        <w:tc>
          <w:tcPr>
            <w:tcW w:w="322" w:type="pct"/>
            <w:vAlign w:val="center"/>
          </w:tcPr>
          <w:p w:rsidR="00EE56C0" w:rsidRDefault="000F36A1">
            <w:pPr>
              <w:pStyle w:val="afa"/>
            </w:pPr>
            <w:r>
              <w:rPr>
                <w:rFonts w:hint="eastAsia"/>
              </w:rPr>
              <w:t>17</w:t>
            </w:r>
          </w:p>
        </w:tc>
        <w:tc>
          <w:tcPr>
            <w:tcW w:w="736" w:type="pct"/>
            <w:vAlign w:val="center"/>
          </w:tcPr>
          <w:p w:rsidR="00EE56C0" w:rsidRDefault="000F36A1">
            <w:pPr>
              <w:pStyle w:val="afa"/>
            </w:pPr>
            <w:r>
              <w:t>二氯甲烷</w:t>
            </w:r>
          </w:p>
        </w:tc>
        <w:tc>
          <w:tcPr>
            <w:tcW w:w="464" w:type="pct"/>
            <w:vAlign w:val="center"/>
          </w:tcPr>
          <w:p w:rsidR="00EE56C0" w:rsidRDefault="000F36A1">
            <w:pPr>
              <w:pStyle w:val="afa"/>
            </w:pPr>
            <w:r>
              <w:rPr>
                <w:rFonts w:hint="eastAsia"/>
              </w:rPr>
              <w:t>未检出</w:t>
            </w:r>
          </w:p>
        </w:tc>
        <w:tc>
          <w:tcPr>
            <w:tcW w:w="578" w:type="pct"/>
            <w:vAlign w:val="center"/>
          </w:tcPr>
          <w:p w:rsidR="00EE56C0" w:rsidRDefault="000F36A1">
            <w:pPr>
              <w:pStyle w:val="afa"/>
            </w:pPr>
            <w:r>
              <w:rPr>
                <w:rFonts w:hint="eastAsia"/>
              </w:rPr>
              <w:t>未检出</w:t>
            </w:r>
          </w:p>
        </w:tc>
        <w:tc>
          <w:tcPr>
            <w:tcW w:w="496" w:type="pct"/>
            <w:vAlign w:val="center"/>
          </w:tcPr>
          <w:p w:rsidR="00EE56C0" w:rsidRDefault="000F36A1">
            <w:pPr>
              <w:pStyle w:val="afa"/>
            </w:pPr>
            <w:r>
              <w:rPr>
                <w:rFonts w:hint="eastAsia"/>
              </w:rPr>
              <w:t>未检出</w:t>
            </w:r>
          </w:p>
        </w:tc>
        <w:tc>
          <w:tcPr>
            <w:tcW w:w="496" w:type="pct"/>
            <w:tcBorders>
              <w:right w:val="single" w:sz="4" w:space="0" w:color="auto"/>
            </w:tcBorders>
            <w:vAlign w:val="center"/>
          </w:tcPr>
          <w:p w:rsidR="00EE56C0" w:rsidRDefault="000F36A1">
            <w:pPr>
              <w:pStyle w:val="afa"/>
            </w:pPr>
            <w:r>
              <w:t>未检出</w:t>
            </w:r>
          </w:p>
        </w:tc>
        <w:tc>
          <w:tcPr>
            <w:tcW w:w="525" w:type="pct"/>
            <w:tcBorders>
              <w:left w:val="single" w:sz="4" w:space="0" w:color="auto"/>
              <w:right w:val="single" w:sz="4" w:space="0" w:color="auto"/>
            </w:tcBorders>
            <w:vAlign w:val="center"/>
          </w:tcPr>
          <w:p w:rsidR="00EE56C0" w:rsidRDefault="000F36A1">
            <w:pPr>
              <w:pStyle w:val="afa"/>
            </w:pPr>
            <w:r>
              <w:t>未检出</w:t>
            </w:r>
          </w:p>
        </w:tc>
        <w:tc>
          <w:tcPr>
            <w:tcW w:w="443" w:type="pct"/>
            <w:tcBorders>
              <w:left w:val="single" w:sz="4" w:space="0" w:color="auto"/>
              <w:right w:val="single" w:sz="4" w:space="0" w:color="auto"/>
            </w:tcBorders>
            <w:vAlign w:val="center"/>
          </w:tcPr>
          <w:p w:rsidR="00EE56C0" w:rsidRDefault="000F36A1">
            <w:pPr>
              <w:pStyle w:val="afa"/>
            </w:pPr>
            <w:r>
              <w:t>未检出</w:t>
            </w:r>
          </w:p>
        </w:tc>
        <w:tc>
          <w:tcPr>
            <w:tcW w:w="649" w:type="pct"/>
            <w:tcBorders>
              <w:left w:val="single" w:sz="4" w:space="0" w:color="auto"/>
            </w:tcBorders>
            <w:vAlign w:val="center"/>
          </w:tcPr>
          <w:p w:rsidR="00EE56C0" w:rsidRDefault="000F36A1">
            <w:pPr>
              <w:pStyle w:val="afa"/>
            </w:pPr>
            <w:r>
              <w:rPr>
                <w:rFonts w:hint="eastAsia"/>
              </w:rPr>
              <w:t>未检出</w:t>
            </w:r>
          </w:p>
        </w:tc>
      </w:tr>
      <w:tr w:rsidR="00EE56C0">
        <w:trPr>
          <w:trHeight w:val="425"/>
          <w:jc w:val="center"/>
        </w:trPr>
        <w:tc>
          <w:tcPr>
            <w:tcW w:w="291" w:type="pct"/>
            <w:vMerge/>
            <w:vAlign w:val="center"/>
          </w:tcPr>
          <w:p w:rsidR="00EE56C0" w:rsidRDefault="00EE56C0">
            <w:pPr>
              <w:pStyle w:val="afa"/>
            </w:pPr>
          </w:p>
        </w:tc>
        <w:tc>
          <w:tcPr>
            <w:tcW w:w="322" w:type="pct"/>
            <w:vAlign w:val="center"/>
          </w:tcPr>
          <w:p w:rsidR="00EE56C0" w:rsidRDefault="000F36A1">
            <w:pPr>
              <w:pStyle w:val="afa"/>
            </w:pPr>
            <w:r>
              <w:rPr>
                <w:rFonts w:hint="eastAsia"/>
              </w:rPr>
              <w:t>18</w:t>
            </w:r>
          </w:p>
        </w:tc>
        <w:tc>
          <w:tcPr>
            <w:tcW w:w="736" w:type="pct"/>
            <w:vAlign w:val="center"/>
          </w:tcPr>
          <w:p w:rsidR="00EE56C0" w:rsidRDefault="000F36A1">
            <w:pPr>
              <w:pStyle w:val="afa"/>
            </w:pPr>
            <w:r>
              <w:t>1,2-</w:t>
            </w:r>
            <w:r>
              <w:t>二氯丙烷</w:t>
            </w:r>
          </w:p>
        </w:tc>
        <w:tc>
          <w:tcPr>
            <w:tcW w:w="464" w:type="pct"/>
            <w:vAlign w:val="center"/>
          </w:tcPr>
          <w:p w:rsidR="00EE56C0" w:rsidRDefault="000F36A1">
            <w:pPr>
              <w:pStyle w:val="afa"/>
            </w:pPr>
            <w:r>
              <w:rPr>
                <w:rFonts w:hint="eastAsia"/>
              </w:rPr>
              <w:t>未检出</w:t>
            </w:r>
          </w:p>
        </w:tc>
        <w:tc>
          <w:tcPr>
            <w:tcW w:w="578" w:type="pct"/>
            <w:vAlign w:val="center"/>
          </w:tcPr>
          <w:p w:rsidR="00EE56C0" w:rsidRDefault="000F36A1">
            <w:pPr>
              <w:pStyle w:val="afa"/>
            </w:pPr>
            <w:r>
              <w:rPr>
                <w:rFonts w:hint="eastAsia"/>
              </w:rPr>
              <w:t>未检出</w:t>
            </w:r>
          </w:p>
        </w:tc>
        <w:tc>
          <w:tcPr>
            <w:tcW w:w="496" w:type="pct"/>
            <w:vAlign w:val="center"/>
          </w:tcPr>
          <w:p w:rsidR="00EE56C0" w:rsidRDefault="000F36A1">
            <w:pPr>
              <w:pStyle w:val="afa"/>
            </w:pPr>
            <w:r>
              <w:rPr>
                <w:rFonts w:hint="eastAsia"/>
              </w:rPr>
              <w:t>未检出</w:t>
            </w:r>
          </w:p>
        </w:tc>
        <w:tc>
          <w:tcPr>
            <w:tcW w:w="496" w:type="pct"/>
            <w:tcBorders>
              <w:right w:val="single" w:sz="4" w:space="0" w:color="auto"/>
            </w:tcBorders>
            <w:vAlign w:val="center"/>
          </w:tcPr>
          <w:p w:rsidR="00EE56C0" w:rsidRDefault="000F36A1">
            <w:pPr>
              <w:pStyle w:val="afa"/>
            </w:pPr>
            <w:r>
              <w:t>未检出</w:t>
            </w:r>
          </w:p>
        </w:tc>
        <w:tc>
          <w:tcPr>
            <w:tcW w:w="525" w:type="pct"/>
            <w:tcBorders>
              <w:left w:val="single" w:sz="4" w:space="0" w:color="auto"/>
              <w:right w:val="single" w:sz="4" w:space="0" w:color="auto"/>
            </w:tcBorders>
            <w:vAlign w:val="center"/>
          </w:tcPr>
          <w:p w:rsidR="00EE56C0" w:rsidRDefault="000F36A1">
            <w:pPr>
              <w:pStyle w:val="afa"/>
            </w:pPr>
            <w:r>
              <w:t>未检出</w:t>
            </w:r>
          </w:p>
        </w:tc>
        <w:tc>
          <w:tcPr>
            <w:tcW w:w="443" w:type="pct"/>
            <w:tcBorders>
              <w:left w:val="single" w:sz="4" w:space="0" w:color="auto"/>
              <w:right w:val="single" w:sz="4" w:space="0" w:color="auto"/>
            </w:tcBorders>
            <w:vAlign w:val="center"/>
          </w:tcPr>
          <w:p w:rsidR="00EE56C0" w:rsidRDefault="000F36A1">
            <w:pPr>
              <w:pStyle w:val="afa"/>
            </w:pPr>
            <w:r>
              <w:t>未检出</w:t>
            </w:r>
          </w:p>
        </w:tc>
        <w:tc>
          <w:tcPr>
            <w:tcW w:w="649" w:type="pct"/>
            <w:tcBorders>
              <w:left w:val="single" w:sz="4" w:space="0" w:color="auto"/>
            </w:tcBorders>
            <w:vAlign w:val="center"/>
          </w:tcPr>
          <w:p w:rsidR="00EE56C0" w:rsidRDefault="000F36A1">
            <w:pPr>
              <w:pStyle w:val="afa"/>
            </w:pPr>
            <w:r>
              <w:rPr>
                <w:rFonts w:hint="eastAsia"/>
              </w:rPr>
              <w:t>未检出</w:t>
            </w:r>
          </w:p>
        </w:tc>
      </w:tr>
      <w:tr w:rsidR="00EE56C0">
        <w:trPr>
          <w:trHeight w:val="425"/>
          <w:jc w:val="center"/>
        </w:trPr>
        <w:tc>
          <w:tcPr>
            <w:tcW w:w="291" w:type="pct"/>
            <w:vMerge/>
            <w:vAlign w:val="center"/>
          </w:tcPr>
          <w:p w:rsidR="00EE56C0" w:rsidRDefault="00EE56C0">
            <w:pPr>
              <w:pStyle w:val="afa"/>
            </w:pPr>
          </w:p>
        </w:tc>
        <w:tc>
          <w:tcPr>
            <w:tcW w:w="322" w:type="pct"/>
            <w:vAlign w:val="center"/>
          </w:tcPr>
          <w:p w:rsidR="00EE56C0" w:rsidRDefault="000F36A1">
            <w:pPr>
              <w:pStyle w:val="afa"/>
            </w:pPr>
            <w:r>
              <w:rPr>
                <w:rFonts w:hint="eastAsia"/>
              </w:rPr>
              <w:t>19</w:t>
            </w:r>
          </w:p>
        </w:tc>
        <w:tc>
          <w:tcPr>
            <w:tcW w:w="736" w:type="pct"/>
            <w:vAlign w:val="center"/>
          </w:tcPr>
          <w:p w:rsidR="00EE56C0" w:rsidRDefault="000F36A1">
            <w:pPr>
              <w:pStyle w:val="afa"/>
            </w:pPr>
            <w:r>
              <w:t>1,1,1,2-</w:t>
            </w:r>
            <w:r>
              <w:t>四氯乙烷</w:t>
            </w:r>
          </w:p>
        </w:tc>
        <w:tc>
          <w:tcPr>
            <w:tcW w:w="464" w:type="pct"/>
            <w:vAlign w:val="center"/>
          </w:tcPr>
          <w:p w:rsidR="00EE56C0" w:rsidRDefault="000F36A1">
            <w:pPr>
              <w:pStyle w:val="afa"/>
            </w:pPr>
            <w:r>
              <w:rPr>
                <w:rFonts w:hint="eastAsia"/>
              </w:rPr>
              <w:t>未检出</w:t>
            </w:r>
          </w:p>
        </w:tc>
        <w:tc>
          <w:tcPr>
            <w:tcW w:w="578" w:type="pct"/>
            <w:vAlign w:val="center"/>
          </w:tcPr>
          <w:p w:rsidR="00EE56C0" w:rsidRDefault="000F36A1">
            <w:pPr>
              <w:pStyle w:val="afa"/>
            </w:pPr>
            <w:r>
              <w:rPr>
                <w:rFonts w:hint="eastAsia"/>
              </w:rPr>
              <w:t>未检出</w:t>
            </w:r>
          </w:p>
        </w:tc>
        <w:tc>
          <w:tcPr>
            <w:tcW w:w="496" w:type="pct"/>
            <w:vAlign w:val="center"/>
          </w:tcPr>
          <w:p w:rsidR="00EE56C0" w:rsidRDefault="000F36A1">
            <w:pPr>
              <w:pStyle w:val="afa"/>
            </w:pPr>
            <w:r>
              <w:rPr>
                <w:rFonts w:hint="eastAsia"/>
              </w:rPr>
              <w:t>未检出</w:t>
            </w:r>
          </w:p>
        </w:tc>
        <w:tc>
          <w:tcPr>
            <w:tcW w:w="496" w:type="pct"/>
            <w:tcBorders>
              <w:right w:val="single" w:sz="4" w:space="0" w:color="auto"/>
            </w:tcBorders>
            <w:vAlign w:val="center"/>
          </w:tcPr>
          <w:p w:rsidR="00EE56C0" w:rsidRDefault="000F36A1">
            <w:pPr>
              <w:pStyle w:val="afa"/>
            </w:pPr>
            <w:r>
              <w:t>未检出</w:t>
            </w:r>
          </w:p>
        </w:tc>
        <w:tc>
          <w:tcPr>
            <w:tcW w:w="525" w:type="pct"/>
            <w:tcBorders>
              <w:left w:val="single" w:sz="4" w:space="0" w:color="auto"/>
              <w:right w:val="single" w:sz="4" w:space="0" w:color="auto"/>
            </w:tcBorders>
            <w:vAlign w:val="center"/>
          </w:tcPr>
          <w:p w:rsidR="00EE56C0" w:rsidRDefault="000F36A1">
            <w:pPr>
              <w:pStyle w:val="afa"/>
            </w:pPr>
            <w:r>
              <w:t>未检出</w:t>
            </w:r>
          </w:p>
        </w:tc>
        <w:tc>
          <w:tcPr>
            <w:tcW w:w="443" w:type="pct"/>
            <w:tcBorders>
              <w:left w:val="single" w:sz="4" w:space="0" w:color="auto"/>
              <w:right w:val="single" w:sz="4" w:space="0" w:color="auto"/>
            </w:tcBorders>
            <w:vAlign w:val="center"/>
          </w:tcPr>
          <w:p w:rsidR="00EE56C0" w:rsidRDefault="000F36A1">
            <w:pPr>
              <w:pStyle w:val="afa"/>
            </w:pPr>
            <w:r>
              <w:t>未检出</w:t>
            </w:r>
          </w:p>
        </w:tc>
        <w:tc>
          <w:tcPr>
            <w:tcW w:w="649" w:type="pct"/>
            <w:tcBorders>
              <w:left w:val="single" w:sz="4" w:space="0" w:color="auto"/>
            </w:tcBorders>
            <w:vAlign w:val="center"/>
          </w:tcPr>
          <w:p w:rsidR="00EE56C0" w:rsidRDefault="000F36A1">
            <w:pPr>
              <w:pStyle w:val="afa"/>
            </w:pPr>
            <w:r>
              <w:rPr>
                <w:rFonts w:hint="eastAsia"/>
              </w:rPr>
              <w:t>未检出</w:t>
            </w:r>
          </w:p>
        </w:tc>
      </w:tr>
      <w:tr w:rsidR="00EE56C0">
        <w:trPr>
          <w:trHeight w:val="425"/>
          <w:jc w:val="center"/>
        </w:trPr>
        <w:tc>
          <w:tcPr>
            <w:tcW w:w="291" w:type="pct"/>
            <w:vMerge/>
            <w:vAlign w:val="center"/>
          </w:tcPr>
          <w:p w:rsidR="00EE56C0" w:rsidRDefault="00EE56C0">
            <w:pPr>
              <w:pStyle w:val="afa"/>
            </w:pPr>
          </w:p>
        </w:tc>
        <w:tc>
          <w:tcPr>
            <w:tcW w:w="322" w:type="pct"/>
            <w:vAlign w:val="center"/>
          </w:tcPr>
          <w:p w:rsidR="00EE56C0" w:rsidRDefault="000F36A1">
            <w:pPr>
              <w:pStyle w:val="afa"/>
            </w:pPr>
            <w:r>
              <w:rPr>
                <w:rFonts w:hint="eastAsia"/>
              </w:rPr>
              <w:t>20</w:t>
            </w:r>
          </w:p>
        </w:tc>
        <w:tc>
          <w:tcPr>
            <w:tcW w:w="736" w:type="pct"/>
            <w:vAlign w:val="center"/>
          </w:tcPr>
          <w:p w:rsidR="00EE56C0" w:rsidRDefault="000F36A1">
            <w:pPr>
              <w:pStyle w:val="afa"/>
            </w:pPr>
            <w:r>
              <w:t>1,1,2,2-</w:t>
            </w:r>
            <w:r>
              <w:t>四氯乙烷</w:t>
            </w:r>
          </w:p>
        </w:tc>
        <w:tc>
          <w:tcPr>
            <w:tcW w:w="464" w:type="pct"/>
            <w:vAlign w:val="center"/>
          </w:tcPr>
          <w:p w:rsidR="00EE56C0" w:rsidRDefault="000F36A1">
            <w:pPr>
              <w:pStyle w:val="afa"/>
            </w:pPr>
            <w:r>
              <w:rPr>
                <w:rFonts w:hint="eastAsia"/>
              </w:rPr>
              <w:t>未检出</w:t>
            </w:r>
          </w:p>
        </w:tc>
        <w:tc>
          <w:tcPr>
            <w:tcW w:w="578" w:type="pct"/>
            <w:vAlign w:val="center"/>
          </w:tcPr>
          <w:p w:rsidR="00EE56C0" w:rsidRDefault="000F36A1">
            <w:pPr>
              <w:pStyle w:val="afa"/>
            </w:pPr>
            <w:r>
              <w:rPr>
                <w:rFonts w:hint="eastAsia"/>
              </w:rPr>
              <w:t>未检出</w:t>
            </w:r>
          </w:p>
        </w:tc>
        <w:tc>
          <w:tcPr>
            <w:tcW w:w="496" w:type="pct"/>
            <w:vAlign w:val="center"/>
          </w:tcPr>
          <w:p w:rsidR="00EE56C0" w:rsidRDefault="000F36A1">
            <w:pPr>
              <w:pStyle w:val="afa"/>
            </w:pPr>
            <w:r>
              <w:rPr>
                <w:rFonts w:hint="eastAsia"/>
              </w:rPr>
              <w:t>未检出</w:t>
            </w:r>
          </w:p>
        </w:tc>
        <w:tc>
          <w:tcPr>
            <w:tcW w:w="496" w:type="pct"/>
            <w:tcBorders>
              <w:right w:val="single" w:sz="4" w:space="0" w:color="auto"/>
            </w:tcBorders>
            <w:vAlign w:val="center"/>
          </w:tcPr>
          <w:p w:rsidR="00EE56C0" w:rsidRDefault="000F36A1">
            <w:pPr>
              <w:pStyle w:val="afa"/>
            </w:pPr>
            <w:r>
              <w:t>未检出</w:t>
            </w:r>
          </w:p>
        </w:tc>
        <w:tc>
          <w:tcPr>
            <w:tcW w:w="525" w:type="pct"/>
            <w:tcBorders>
              <w:left w:val="single" w:sz="4" w:space="0" w:color="auto"/>
              <w:right w:val="single" w:sz="4" w:space="0" w:color="auto"/>
            </w:tcBorders>
            <w:vAlign w:val="center"/>
          </w:tcPr>
          <w:p w:rsidR="00EE56C0" w:rsidRDefault="000F36A1">
            <w:pPr>
              <w:pStyle w:val="afa"/>
            </w:pPr>
            <w:r>
              <w:t>未检出</w:t>
            </w:r>
          </w:p>
        </w:tc>
        <w:tc>
          <w:tcPr>
            <w:tcW w:w="443" w:type="pct"/>
            <w:tcBorders>
              <w:left w:val="single" w:sz="4" w:space="0" w:color="auto"/>
              <w:right w:val="single" w:sz="4" w:space="0" w:color="auto"/>
            </w:tcBorders>
            <w:vAlign w:val="center"/>
          </w:tcPr>
          <w:p w:rsidR="00EE56C0" w:rsidRDefault="000F36A1">
            <w:pPr>
              <w:pStyle w:val="afa"/>
            </w:pPr>
            <w:r>
              <w:t>未检出</w:t>
            </w:r>
          </w:p>
        </w:tc>
        <w:tc>
          <w:tcPr>
            <w:tcW w:w="649" w:type="pct"/>
            <w:tcBorders>
              <w:left w:val="single" w:sz="4" w:space="0" w:color="auto"/>
            </w:tcBorders>
            <w:vAlign w:val="center"/>
          </w:tcPr>
          <w:p w:rsidR="00EE56C0" w:rsidRDefault="000F36A1">
            <w:pPr>
              <w:pStyle w:val="afa"/>
            </w:pPr>
            <w:r>
              <w:rPr>
                <w:rFonts w:hint="eastAsia"/>
              </w:rPr>
              <w:t>未检出</w:t>
            </w:r>
          </w:p>
        </w:tc>
      </w:tr>
      <w:tr w:rsidR="00EE56C0">
        <w:trPr>
          <w:trHeight w:val="425"/>
          <w:jc w:val="center"/>
        </w:trPr>
        <w:tc>
          <w:tcPr>
            <w:tcW w:w="291" w:type="pct"/>
            <w:vMerge/>
            <w:vAlign w:val="center"/>
          </w:tcPr>
          <w:p w:rsidR="00EE56C0" w:rsidRDefault="00EE56C0">
            <w:pPr>
              <w:pStyle w:val="afa"/>
            </w:pPr>
          </w:p>
        </w:tc>
        <w:tc>
          <w:tcPr>
            <w:tcW w:w="322" w:type="pct"/>
            <w:vAlign w:val="center"/>
          </w:tcPr>
          <w:p w:rsidR="00EE56C0" w:rsidRDefault="000F36A1">
            <w:pPr>
              <w:pStyle w:val="afa"/>
            </w:pPr>
            <w:r>
              <w:rPr>
                <w:rFonts w:hint="eastAsia"/>
              </w:rPr>
              <w:t>21</w:t>
            </w:r>
          </w:p>
        </w:tc>
        <w:tc>
          <w:tcPr>
            <w:tcW w:w="736" w:type="pct"/>
            <w:vAlign w:val="center"/>
          </w:tcPr>
          <w:p w:rsidR="00EE56C0" w:rsidRDefault="000F36A1">
            <w:pPr>
              <w:pStyle w:val="afa"/>
            </w:pPr>
            <w:r>
              <w:t>四氯乙烯</w:t>
            </w:r>
          </w:p>
        </w:tc>
        <w:tc>
          <w:tcPr>
            <w:tcW w:w="464" w:type="pct"/>
            <w:vAlign w:val="center"/>
          </w:tcPr>
          <w:p w:rsidR="00EE56C0" w:rsidRDefault="000F36A1">
            <w:pPr>
              <w:pStyle w:val="afa"/>
            </w:pPr>
            <w:r>
              <w:rPr>
                <w:rFonts w:hint="eastAsia"/>
              </w:rPr>
              <w:t>未检出</w:t>
            </w:r>
          </w:p>
        </w:tc>
        <w:tc>
          <w:tcPr>
            <w:tcW w:w="578" w:type="pct"/>
            <w:vAlign w:val="center"/>
          </w:tcPr>
          <w:p w:rsidR="00EE56C0" w:rsidRDefault="000F36A1">
            <w:pPr>
              <w:pStyle w:val="afa"/>
            </w:pPr>
            <w:r>
              <w:rPr>
                <w:rFonts w:hint="eastAsia"/>
              </w:rPr>
              <w:t>未检出</w:t>
            </w:r>
          </w:p>
        </w:tc>
        <w:tc>
          <w:tcPr>
            <w:tcW w:w="496" w:type="pct"/>
            <w:vAlign w:val="center"/>
          </w:tcPr>
          <w:p w:rsidR="00EE56C0" w:rsidRDefault="000F36A1">
            <w:pPr>
              <w:pStyle w:val="afa"/>
            </w:pPr>
            <w:r>
              <w:rPr>
                <w:rFonts w:hint="eastAsia"/>
              </w:rPr>
              <w:t>未检出</w:t>
            </w:r>
          </w:p>
        </w:tc>
        <w:tc>
          <w:tcPr>
            <w:tcW w:w="496" w:type="pct"/>
            <w:tcBorders>
              <w:right w:val="single" w:sz="4" w:space="0" w:color="auto"/>
            </w:tcBorders>
            <w:vAlign w:val="center"/>
          </w:tcPr>
          <w:p w:rsidR="00EE56C0" w:rsidRDefault="000F36A1">
            <w:pPr>
              <w:pStyle w:val="afa"/>
            </w:pPr>
            <w:r>
              <w:t>未检出</w:t>
            </w:r>
          </w:p>
        </w:tc>
        <w:tc>
          <w:tcPr>
            <w:tcW w:w="525" w:type="pct"/>
            <w:tcBorders>
              <w:left w:val="single" w:sz="4" w:space="0" w:color="auto"/>
              <w:right w:val="single" w:sz="4" w:space="0" w:color="auto"/>
            </w:tcBorders>
            <w:vAlign w:val="center"/>
          </w:tcPr>
          <w:p w:rsidR="00EE56C0" w:rsidRDefault="000F36A1">
            <w:pPr>
              <w:pStyle w:val="afa"/>
            </w:pPr>
            <w:r>
              <w:t>未检出</w:t>
            </w:r>
          </w:p>
        </w:tc>
        <w:tc>
          <w:tcPr>
            <w:tcW w:w="443" w:type="pct"/>
            <w:tcBorders>
              <w:left w:val="single" w:sz="4" w:space="0" w:color="auto"/>
              <w:right w:val="single" w:sz="4" w:space="0" w:color="auto"/>
            </w:tcBorders>
            <w:vAlign w:val="center"/>
          </w:tcPr>
          <w:p w:rsidR="00EE56C0" w:rsidRDefault="000F36A1">
            <w:pPr>
              <w:pStyle w:val="afa"/>
            </w:pPr>
            <w:r>
              <w:t>未检出</w:t>
            </w:r>
          </w:p>
        </w:tc>
        <w:tc>
          <w:tcPr>
            <w:tcW w:w="649" w:type="pct"/>
            <w:tcBorders>
              <w:left w:val="single" w:sz="4" w:space="0" w:color="auto"/>
            </w:tcBorders>
            <w:vAlign w:val="center"/>
          </w:tcPr>
          <w:p w:rsidR="00EE56C0" w:rsidRDefault="000F36A1">
            <w:pPr>
              <w:pStyle w:val="afa"/>
            </w:pPr>
            <w:r>
              <w:rPr>
                <w:rFonts w:hint="eastAsia"/>
              </w:rPr>
              <w:t>未检出</w:t>
            </w:r>
          </w:p>
        </w:tc>
      </w:tr>
      <w:tr w:rsidR="00EE56C0">
        <w:trPr>
          <w:trHeight w:val="425"/>
          <w:jc w:val="center"/>
        </w:trPr>
        <w:tc>
          <w:tcPr>
            <w:tcW w:w="291" w:type="pct"/>
            <w:vMerge/>
            <w:vAlign w:val="center"/>
          </w:tcPr>
          <w:p w:rsidR="00EE56C0" w:rsidRDefault="00EE56C0">
            <w:pPr>
              <w:pStyle w:val="afa"/>
            </w:pPr>
          </w:p>
        </w:tc>
        <w:tc>
          <w:tcPr>
            <w:tcW w:w="322" w:type="pct"/>
            <w:vAlign w:val="center"/>
          </w:tcPr>
          <w:p w:rsidR="00EE56C0" w:rsidRDefault="000F36A1">
            <w:pPr>
              <w:pStyle w:val="afa"/>
            </w:pPr>
            <w:r>
              <w:rPr>
                <w:rFonts w:hint="eastAsia"/>
              </w:rPr>
              <w:t>22</w:t>
            </w:r>
          </w:p>
        </w:tc>
        <w:tc>
          <w:tcPr>
            <w:tcW w:w="736" w:type="pct"/>
            <w:vAlign w:val="center"/>
          </w:tcPr>
          <w:p w:rsidR="00EE56C0" w:rsidRDefault="000F36A1">
            <w:pPr>
              <w:pStyle w:val="afa"/>
            </w:pPr>
            <w:r>
              <w:t>1,1,1-</w:t>
            </w:r>
            <w:r>
              <w:t>三氯乙烷</w:t>
            </w:r>
          </w:p>
        </w:tc>
        <w:tc>
          <w:tcPr>
            <w:tcW w:w="464" w:type="pct"/>
            <w:vAlign w:val="center"/>
          </w:tcPr>
          <w:p w:rsidR="00EE56C0" w:rsidRDefault="000F36A1">
            <w:pPr>
              <w:pStyle w:val="afa"/>
            </w:pPr>
            <w:r>
              <w:rPr>
                <w:rFonts w:hint="eastAsia"/>
              </w:rPr>
              <w:t>未检出</w:t>
            </w:r>
          </w:p>
        </w:tc>
        <w:tc>
          <w:tcPr>
            <w:tcW w:w="578" w:type="pct"/>
            <w:vAlign w:val="center"/>
          </w:tcPr>
          <w:p w:rsidR="00EE56C0" w:rsidRDefault="000F36A1">
            <w:pPr>
              <w:pStyle w:val="afa"/>
            </w:pPr>
            <w:r>
              <w:rPr>
                <w:rFonts w:hint="eastAsia"/>
              </w:rPr>
              <w:t>未检出</w:t>
            </w:r>
          </w:p>
        </w:tc>
        <w:tc>
          <w:tcPr>
            <w:tcW w:w="496" w:type="pct"/>
            <w:vAlign w:val="center"/>
          </w:tcPr>
          <w:p w:rsidR="00EE56C0" w:rsidRDefault="000F36A1">
            <w:pPr>
              <w:pStyle w:val="afa"/>
            </w:pPr>
            <w:r>
              <w:rPr>
                <w:rFonts w:hint="eastAsia"/>
              </w:rPr>
              <w:t>未检出</w:t>
            </w:r>
          </w:p>
        </w:tc>
        <w:tc>
          <w:tcPr>
            <w:tcW w:w="496" w:type="pct"/>
            <w:tcBorders>
              <w:right w:val="single" w:sz="4" w:space="0" w:color="auto"/>
            </w:tcBorders>
            <w:vAlign w:val="center"/>
          </w:tcPr>
          <w:p w:rsidR="00EE56C0" w:rsidRDefault="000F36A1">
            <w:pPr>
              <w:pStyle w:val="afa"/>
            </w:pPr>
            <w:r>
              <w:t>未检出</w:t>
            </w:r>
          </w:p>
        </w:tc>
        <w:tc>
          <w:tcPr>
            <w:tcW w:w="525" w:type="pct"/>
            <w:tcBorders>
              <w:left w:val="single" w:sz="4" w:space="0" w:color="auto"/>
              <w:right w:val="single" w:sz="4" w:space="0" w:color="auto"/>
            </w:tcBorders>
            <w:vAlign w:val="center"/>
          </w:tcPr>
          <w:p w:rsidR="00EE56C0" w:rsidRDefault="000F36A1">
            <w:pPr>
              <w:pStyle w:val="afa"/>
            </w:pPr>
            <w:r>
              <w:t>未检出</w:t>
            </w:r>
          </w:p>
        </w:tc>
        <w:tc>
          <w:tcPr>
            <w:tcW w:w="443" w:type="pct"/>
            <w:tcBorders>
              <w:left w:val="single" w:sz="4" w:space="0" w:color="auto"/>
              <w:right w:val="single" w:sz="4" w:space="0" w:color="auto"/>
            </w:tcBorders>
            <w:vAlign w:val="center"/>
          </w:tcPr>
          <w:p w:rsidR="00EE56C0" w:rsidRDefault="000F36A1">
            <w:pPr>
              <w:pStyle w:val="afa"/>
            </w:pPr>
            <w:r>
              <w:t>未检出</w:t>
            </w:r>
          </w:p>
        </w:tc>
        <w:tc>
          <w:tcPr>
            <w:tcW w:w="649" w:type="pct"/>
            <w:tcBorders>
              <w:left w:val="single" w:sz="4" w:space="0" w:color="auto"/>
            </w:tcBorders>
            <w:vAlign w:val="center"/>
          </w:tcPr>
          <w:p w:rsidR="00EE56C0" w:rsidRDefault="000F36A1">
            <w:pPr>
              <w:pStyle w:val="afa"/>
            </w:pPr>
            <w:r>
              <w:rPr>
                <w:rFonts w:hint="eastAsia"/>
              </w:rPr>
              <w:t>未检出</w:t>
            </w:r>
          </w:p>
        </w:tc>
      </w:tr>
      <w:tr w:rsidR="00EE56C0">
        <w:trPr>
          <w:trHeight w:val="425"/>
          <w:jc w:val="center"/>
        </w:trPr>
        <w:tc>
          <w:tcPr>
            <w:tcW w:w="291" w:type="pct"/>
            <w:vMerge/>
            <w:vAlign w:val="center"/>
          </w:tcPr>
          <w:p w:rsidR="00EE56C0" w:rsidRDefault="00EE56C0">
            <w:pPr>
              <w:pStyle w:val="afa"/>
            </w:pPr>
          </w:p>
        </w:tc>
        <w:tc>
          <w:tcPr>
            <w:tcW w:w="322" w:type="pct"/>
            <w:vAlign w:val="center"/>
          </w:tcPr>
          <w:p w:rsidR="00EE56C0" w:rsidRDefault="000F36A1">
            <w:pPr>
              <w:pStyle w:val="afa"/>
            </w:pPr>
            <w:r>
              <w:rPr>
                <w:rFonts w:hint="eastAsia"/>
              </w:rPr>
              <w:t>23</w:t>
            </w:r>
          </w:p>
        </w:tc>
        <w:tc>
          <w:tcPr>
            <w:tcW w:w="736" w:type="pct"/>
            <w:vAlign w:val="center"/>
          </w:tcPr>
          <w:p w:rsidR="00EE56C0" w:rsidRDefault="000F36A1">
            <w:pPr>
              <w:pStyle w:val="afa"/>
            </w:pPr>
            <w:r>
              <w:t>1,1,2-</w:t>
            </w:r>
            <w:r>
              <w:t>三氯乙烷</w:t>
            </w:r>
          </w:p>
        </w:tc>
        <w:tc>
          <w:tcPr>
            <w:tcW w:w="464" w:type="pct"/>
            <w:vAlign w:val="center"/>
          </w:tcPr>
          <w:p w:rsidR="00EE56C0" w:rsidRDefault="000F36A1">
            <w:pPr>
              <w:pStyle w:val="afa"/>
            </w:pPr>
            <w:r>
              <w:rPr>
                <w:rFonts w:hint="eastAsia"/>
              </w:rPr>
              <w:t>未检出</w:t>
            </w:r>
          </w:p>
        </w:tc>
        <w:tc>
          <w:tcPr>
            <w:tcW w:w="578" w:type="pct"/>
            <w:vAlign w:val="center"/>
          </w:tcPr>
          <w:p w:rsidR="00EE56C0" w:rsidRDefault="000F36A1">
            <w:pPr>
              <w:pStyle w:val="afa"/>
            </w:pPr>
            <w:r>
              <w:rPr>
                <w:rFonts w:hint="eastAsia"/>
              </w:rPr>
              <w:t>未检出</w:t>
            </w:r>
          </w:p>
        </w:tc>
        <w:tc>
          <w:tcPr>
            <w:tcW w:w="496" w:type="pct"/>
            <w:vAlign w:val="center"/>
          </w:tcPr>
          <w:p w:rsidR="00EE56C0" w:rsidRDefault="000F36A1">
            <w:pPr>
              <w:pStyle w:val="afa"/>
            </w:pPr>
            <w:r>
              <w:rPr>
                <w:rFonts w:hint="eastAsia"/>
              </w:rPr>
              <w:t>未检出</w:t>
            </w:r>
          </w:p>
        </w:tc>
        <w:tc>
          <w:tcPr>
            <w:tcW w:w="496" w:type="pct"/>
            <w:tcBorders>
              <w:right w:val="single" w:sz="4" w:space="0" w:color="auto"/>
            </w:tcBorders>
            <w:vAlign w:val="center"/>
          </w:tcPr>
          <w:p w:rsidR="00EE56C0" w:rsidRDefault="000F36A1">
            <w:pPr>
              <w:pStyle w:val="afa"/>
            </w:pPr>
            <w:r>
              <w:t>未检出</w:t>
            </w:r>
          </w:p>
        </w:tc>
        <w:tc>
          <w:tcPr>
            <w:tcW w:w="525" w:type="pct"/>
            <w:tcBorders>
              <w:left w:val="single" w:sz="4" w:space="0" w:color="auto"/>
              <w:right w:val="single" w:sz="4" w:space="0" w:color="auto"/>
            </w:tcBorders>
            <w:vAlign w:val="center"/>
          </w:tcPr>
          <w:p w:rsidR="00EE56C0" w:rsidRDefault="000F36A1">
            <w:pPr>
              <w:pStyle w:val="afa"/>
            </w:pPr>
            <w:r>
              <w:t>未检出</w:t>
            </w:r>
          </w:p>
        </w:tc>
        <w:tc>
          <w:tcPr>
            <w:tcW w:w="443" w:type="pct"/>
            <w:tcBorders>
              <w:left w:val="single" w:sz="4" w:space="0" w:color="auto"/>
              <w:right w:val="single" w:sz="4" w:space="0" w:color="auto"/>
            </w:tcBorders>
            <w:vAlign w:val="center"/>
          </w:tcPr>
          <w:p w:rsidR="00EE56C0" w:rsidRDefault="000F36A1">
            <w:pPr>
              <w:pStyle w:val="afa"/>
            </w:pPr>
            <w:r>
              <w:t>未检出</w:t>
            </w:r>
          </w:p>
        </w:tc>
        <w:tc>
          <w:tcPr>
            <w:tcW w:w="649" w:type="pct"/>
            <w:tcBorders>
              <w:left w:val="single" w:sz="4" w:space="0" w:color="auto"/>
            </w:tcBorders>
            <w:vAlign w:val="center"/>
          </w:tcPr>
          <w:p w:rsidR="00EE56C0" w:rsidRDefault="000F36A1">
            <w:pPr>
              <w:pStyle w:val="afa"/>
            </w:pPr>
            <w:r>
              <w:rPr>
                <w:rFonts w:hint="eastAsia"/>
              </w:rPr>
              <w:t>未检出</w:t>
            </w:r>
          </w:p>
        </w:tc>
      </w:tr>
      <w:tr w:rsidR="00EE56C0">
        <w:trPr>
          <w:trHeight w:val="425"/>
          <w:jc w:val="center"/>
        </w:trPr>
        <w:tc>
          <w:tcPr>
            <w:tcW w:w="291" w:type="pct"/>
            <w:vMerge/>
            <w:vAlign w:val="center"/>
          </w:tcPr>
          <w:p w:rsidR="00EE56C0" w:rsidRDefault="00EE56C0">
            <w:pPr>
              <w:pStyle w:val="afa"/>
            </w:pPr>
          </w:p>
        </w:tc>
        <w:tc>
          <w:tcPr>
            <w:tcW w:w="322" w:type="pct"/>
            <w:vAlign w:val="center"/>
          </w:tcPr>
          <w:p w:rsidR="00EE56C0" w:rsidRDefault="000F36A1">
            <w:pPr>
              <w:pStyle w:val="afa"/>
            </w:pPr>
            <w:r>
              <w:rPr>
                <w:rFonts w:hint="eastAsia"/>
              </w:rPr>
              <w:t>24</w:t>
            </w:r>
          </w:p>
        </w:tc>
        <w:tc>
          <w:tcPr>
            <w:tcW w:w="736" w:type="pct"/>
            <w:vAlign w:val="center"/>
          </w:tcPr>
          <w:p w:rsidR="00EE56C0" w:rsidRDefault="000F36A1">
            <w:pPr>
              <w:pStyle w:val="afa"/>
            </w:pPr>
            <w:r>
              <w:t>三氯乙烯</w:t>
            </w:r>
          </w:p>
        </w:tc>
        <w:tc>
          <w:tcPr>
            <w:tcW w:w="464" w:type="pct"/>
            <w:vAlign w:val="center"/>
          </w:tcPr>
          <w:p w:rsidR="00EE56C0" w:rsidRDefault="000F36A1">
            <w:pPr>
              <w:pStyle w:val="afa"/>
            </w:pPr>
            <w:r>
              <w:rPr>
                <w:rFonts w:hint="eastAsia"/>
              </w:rPr>
              <w:t>未检出</w:t>
            </w:r>
          </w:p>
        </w:tc>
        <w:tc>
          <w:tcPr>
            <w:tcW w:w="578" w:type="pct"/>
            <w:vAlign w:val="center"/>
          </w:tcPr>
          <w:p w:rsidR="00EE56C0" w:rsidRDefault="000F36A1">
            <w:pPr>
              <w:pStyle w:val="afa"/>
            </w:pPr>
            <w:r>
              <w:rPr>
                <w:rFonts w:hint="eastAsia"/>
              </w:rPr>
              <w:t>未检出</w:t>
            </w:r>
          </w:p>
        </w:tc>
        <w:tc>
          <w:tcPr>
            <w:tcW w:w="496" w:type="pct"/>
            <w:vAlign w:val="center"/>
          </w:tcPr>
          <w:p w:rsidR="00EE56C0" w:rsidRDefault="000F36A1">
            <w:pPr>
              <w:pStyle w:val="afa"/>
            </w:pPr>
            <w:r>
              <w:rPr>
                <w:rFonts w:hint="eastAsia"/>
              </w:rPr>
              <w:t>未检出</w:t>
            </w:r>
          </w:p>
        </w:tc>
        <w:tc>
          <w:tcPr>
            <w:tcW w:w="496" w:type="pct"/>
            <w:tcBorders>
              <w:right w:val="single" w:sz="4" w:space="0" w:color="auto"/>
            </w:tcBorders>
            <w:vAlign w:val="center"/>
          </w:tcPr>
          <w:p w:rsidR="00EE56C0" w:rsidRDefault="000F36A1">
            <w:pPr>
              <w:pStyle w:val="afa"/>
            </w:pPr>
            <w:r>
              <w:t>未检出</w:t>
            </w:r>
          </w:p>
        </w:tc>
        <w:tc>
          <w:tcPr>
            <w:tcW w:w="525" w:type="pct"/>
            <w:tcBorders>
              <w:left w:val="single" w:sz="4" w:space="0" w:color="auto"/>
              <w:right w:val="single" w:sz="4" w:space="0" w:color="auto"/>
            </w:tcBorders>
            <w:vAlign w:val="center"/>
          </w:tcPr>
          <w:p w:rsidR="00EE56C0" w:rsidRDefault="000F36A1">
            <w:pPr>
              <w:pStyle w:val="afa"/>
            </w:pPr>
            <w:r>
              <w:t>未检出</w:t>
            </w:r>
          </w:p>
        </w:tc>
        <w:tc>
          <w:tcPr>
            <w:tcW w:w="443" w:type="pct"/>
            <w:tcBorders>
              <w:left w:val="single" w:sz="4" w:space="0" w:color="auto"/>
              <w:right w:val="single" w:sz="4" w:space="0" w:color="auto"/>
            </w:tcBorders>
            <w:vAlign w:val="center"/>
          </w:tcPr>
          <w:p w:rsidR="00EE56C0" w:rsidRDefault="000F36A1">
            <w:pPr>
              <w:pStyle w:val="afa"/>
            </w:pPr>
            <w:r>
              <w:t>未检出</w:t>
            </w:r>
          </w:p>
        </w:tc>
        <w:tc>
          <w:tcPr>
            <w:tcW w:w="649" w:type="pct"/>
            <w:tcBorders>
              <w:left w:val="single" w:sz="4" w:space="0" w:color="auto"/>
            </w:tcBorders>
            <w:vAlign w:val="center"/>
          </w:tcPr>
          <w:p w:rsidR="00EE56C0" w:rsidRDefault="000F36A1">
            <w:pPr>
              <w:pStyle w:val="afa"/>
            </w:pPr>
            <w:r>
              <w:rPr>
                <w:rFonts w:hint="eastAsia"/>
              </w:rPr>
              <w:t>未检出</w:t>
            </w:r>
          </w:p>
        </w:tc>
      </w:tr>
      <w:tr w:rsidR="00EE56C0">
        <w:trPr>
          <w:trHeight w:val="425"/>
          <w:jc w:val="center"/>
        </w:trPr>
        <w:tc>
          <w:tcPr>
            <w:tcW w:w="291" w:type="pct"/>
            <w:vMerge/>
            <w:vAlign w:val="center"/>
          </w:tcPr>
          <w:p w:rsidR="00EE56C0" w:rsidRDefault="00EE56C0">
            <w:pPr>
              <w:pStyle w:val="afa"/>
            </w:pPr>
          </w:p>
        </w:tc>
        <w:tc>
          <w:tcPr>
            <w:tcW w:w="322" w:type="pct"/>
            <w:vAlign w:val="center"/>
          </w:tcPr>
          <w:p w:rsidR="00EE56C0" w:rsidRDefault="000F36A1">
            <w:pPr>
              <w:pStyle w:val="afa"/>
            </w:pPr>
            <w:r>
              <w:rPr>
                <w:rFonts w:hint="eastAsia"/>
              </w:rPr>
              <w:t>25</w:t>
            </w:r>
          </w:p>
        </w:tc>
        <w:tc>
          <w:tcPr>
            <w:tcW w:w="736" w:type="pct"/>
            <w:vAlign w:val="center"/>
          </w:tcPr>
          <w:p w:rsidR="00EE56C0" w:rsidRDefault="000F36A1">
            <w:pPr>
              <w:pStyle w:val="afa"/>
            </w:pPr>
            <w:r>
              <w:t>1,2,3-</w:t>
            </w:r>
            <w:r>
              <w:t>三氯丙</w:t>
            </w:r>
            <w:r>
              <w:lastRenderedPageBreak/>
              <w:t>烷</w:t>
            </w:r>
          </w:p>
        </w:tc>
        <w:tc>
          <w:tcPr>
            <w:tcW w:w="464" w:type="pct"/>
            <w:vAlign w:val="center"/>
          </w:tcPr>
          <w:p w:rsidR="00EE56C0" w:rsidRDefault="000F36A1">
            <w:pPr>
              <w:pStyle w:val="afa"/>
            </w:pPr>
            <w:r>
              <w:rPr>
                <w:rFonts w:hint="eastAsia"/>
              </w:rPr>
              <w:lastRenderedPageBreak/>
              <w:t>未检出</w:t>
            </w:r>
          </w:p>
        </w:tc>
        <w:tc>
          <w:tcPr>
            <w:tcW w:w="578" w:type="pct"/>
            <w:vAlign w:val="center"/>
          </w:tcPr>
          <w:p w:rsidR="00EE56C0" w:rsidRDefault="000F36A1">
            <w:pPr>
              <w:pStyle w:val="afa"/>
            </w:pPr>
            <w:r>
              <w:rPr>
                <w:rFonts w:hint="eastAsia"/>
              </w:rPr>
              <w:t>未检出</w:t>
            </w:r>
          </w:p>
        </w:tc>
        <w:tc>
          <w:tcPr>
            <w:tcW w:w="496" w:type="pct"/>
            <w:vAlign w:val="center"/>
          </w:tcPr>
          <w:p w:rsidR="00EE56C0" w:rsidRDefault="000F36A1">
            <w:pPr>
              <w:pStyle w:val="afa"/>
            </w:pPr>
            <w:r>
              <w:rPr>
                <w:rFonts w:hint="eastAsia"/>
              </w:rPr>
              <w:t>未检出</w:t>
            </w:r>
          </w:p>
        </w:tc>
        <w:tc>
          <w:tcPr>
            <w:tcW w:w="496" w:type="pct"/>
            <w:tcBorders>
              <w:right w:val="single" w:sz="4" w:space="0" w:color="auto"/>
            </w:tcBorders>
            <w:vAlign w:val="center"/>
          </w:tcPr>
          <w:p w:rsidR="00EE56C0" w:rsidRDefault="000F36A1">
            <w:pPr>
              <w:pStyle w:val="afa"/>
            </w:pPr>
            <w:r>
              <w:t>未检出</w:t>
            </w:r>
          </w:p>
        </w:tc>
        <w:tc>
          <w:tcPr>
            <w:tcW w:w="525" w:type="pct"/>
            <w:tcBorders>
              <w:left w:val="single" w:sz="4" w:space="0" w:color="auto"/>
              <w:right w:val="single" w:sz="4" w:space="0" w:color="auto"/>
            </w:tcBorders>
            <w:vAlign w:val="center"/>
          </w:tcPr>
          <w:p w:rsidR="00EE56C0" w:rsidRDefault="000F36A1">
            <w:pPr>
              <w:pStyle w:val="afa"/>
            </w:pPr>
            <w:r>
              <w:t>未检出</w:t>
            </w:r>
          </w:p>
        </w:tc>
        <w:tc>
          <w:tcPr>
            <w:tcW w:w="443" w:type="pct"/>
            <w:tcBorders>
              <w:left w:val="single" w:sz="4" w:space="0" w:color="auto"/>
              <w:right w:val="single" w:sz="4" w:space="0" w:color="auto"/>
            </w:tcBorders>
            <w:vAlign w:val="center"/>
          </w:tcPr>
          <w:p w:rsidR="00EE56C0" w:rsidRDefault="000F36A1">
            <w:pPr>
              <w:pStyle w:val="afa"/>
            </w:pPr>
            <w:r>
              <w:t>未检出</w:t>
            </w:r>
          </w:p>
        </w:tc>
        <w:tc>
          <w:tcPr>
            <w:tcW w:w="649" w:type="pct"/>
            <w:tcBorders>
              <w:left w:val="single" w:sz="4" w:space="0" w:color="auto"/>
            </w:tcBorders>
            <w:vAlign w:val="center"/>
          </w:tcPr>
          <w:p w:rsidR="00EE56C0" w:rsidRDefault="000F36A1">
            <w:pPr>
              <w:pStyle w:val="afa"/>
            </w:pPr>
            <w:r>
              <w:rPr>
                <w:rFonts w:hint="eastAsia"/>
              </w:rPr>
              <w:t>未检出</w:t>
            </w:r>
          </w:p>
        </w:tc>
      </w:tr>
      <w:tr w:rsidR="00EE56C0">
        <w:trPr>
          <w:trHeight w:val="425"/>
          <w:jc w:val="center"/>
        </w:trPr>
        <w:tc>
          <w:tcPr>
            <w:tcW w:w="291" w:type="pct"/>
            <w:vMerge/>
            <w:vAlign w:val="center"/>
          </w:tcPr>
          <w:p w:rsidR="00EE56C0" w:rsidRDefault="00EE56C0">
            <w:pPr>
              <w:pStyle w:val="afa"/>
            </w:pPr>
          </w:p>
        </w:tc>
        <w:tc>
          <w:tcPr>
            <w:tcW w:w="322" w:type="pct"/>
            <w:vAlign w:val="center"/>
          </w:tcPr>
          <w:p w:rsidR="00EE56C0" w:rsidRDefault="000F36A1">
            <w:pPr>
              <w:pStyle w:val="afa"/>
            </w:pPr>
            <w:r>
              <w:rPr>
                <w:rFonts w:hint="eastAsia"/>
              </w:rPr>
              <w:t>26</w:t>
            </w:r>
          </w:p>
        </w:tc>
        <w:tc>
          <w:tcPr>
            <w:tcW w:w="736" w:type="pct"/>
            <w:vAlign w:val="center"/>
          </w:tcPr>
          <w:p w:rsidR="00EE56C0" w:rsidRDefault="000F36A1">
            <w:pPr>
              <w:pStyle w:val="afa"/>
            </w:pPr>
            <w:r>
              <w:t>氯乙烯</w:t>
            </w:r>
          </w:p>
        </w:tc>
        <w:tc>
          <w:tcPr>
            <w:tcW w:w="464" w:type="pct"/>
            <w:vAlign w:val="center"/>
          </w:tcPr>
          <w:p w:rsidR="00EE56C0" w:rsidRDefault="000F36A1">
            <w:pPr>
              <w:pStyle w:val="afa"/>
            </w:pPr>
            <w:r>
              <w:rPr>
                <w:rFonts w:hint="eastAsia"/>
              </w:rPr>
              <w:t>未检出</w:t>
            </w:r>
          </w:p>
        </w:tc>
        <w:tc>
          <w:tcPr>
            <w:tcW w:w="578" w:type="pct"/>
            <w:vAlign w:val="center"/>
          </w:tcPr>
          <w:p w:rsidR="00EE56C0" w:rsidRDefault="000F36A1">
            <w:pPr>
              <w:pStyle w:val="afa"/>
            </w:pPr>
            <w:r>
              <w:rPr>
                <w:rFonts w:hint="eastAsia"/>
              </w:rPr>
              <w:t>未检出</w:t>
            </w:r>
          </w:p>
        </w:tc>
        <w:tc>
          <w:tcPr>
            <w:tcW w:w="496" w:type="pct"/>
            <w:vAlign w:val="center"/>
          </w:tcPr>
          <w:p w:rsidR="00EE56C0" w:rsidRDefault="000F36A1">
            <w:pPr>
              <w:pStyle w:val="afa"/>
            </w:pPr>
            <w:r>
              <w:rPr>
                <w:rFonts w:hint="eastAsia"/>
              </w:rPr>
              <w:t>未检出</w:t>
            </w:r>
          </w:p>
        </w:tc>
        <w:tc>
          <w:tcPr>
            <w:tcW w:w="496" w:type="pct"/>
            <w:tcBorders>
              <w:right w:val="single" w:sz="4" w:space="0" w:color="auto"/>
            </w:tcBorders>
            <w:vAlign w:val="center"/>
          </w:tcPr>
          <w:p w:rsidR="00EE56C0" w:rsidRDefault="000F36A1">
            <w:pPr>
              <w:pStyle w:val="afa"/>
            </w:pPr>
            <w:r>
              <w:t>未检出</w:t>
            </w:r>
          </w:p>
        </w:tc>
        <w:tc>
          <w:tcPr>
            <w:tcW w:w="525" w:type="pct"/>
            <w:tcBorders>
              <w:left w:val="single" w:sz="4" w:space="0" w:color="auto"/>
              <w:right w:val="single" w:sz="4" w:space="0" w:color="auto"/>
            </w:tcBorders>
            <w:vAlign w:val="center"/>
          </w:tcPr>
          <w:p w:rsidR="00EE56C0" w:rsidRDefault="000F36A1">
            <w:pPr>
              <w:pStyle w:val="afa"/>
            </w:pPr>
            <w:r>
              <w:t>未检出</w:t>
            </w:r>
          </w:p>
        </w:tc>
        <w:tc>
          <w:tcPr>
            <w:tcW w:w="443" w:type="pct"/>
            <w:tcBorders>
              <w:left w:val="single" w:sz="4" w:space="0" w:color="auto"/>
              <w:right w:val="single" w:sz="4" w:space="0" w:color="auto"/>
            </w:tcBorders>
            <w:vAlign w:val="center"/>
          </w:tcPr>
          <w:p w:rsidR="00EE56C0" w:rsidRDefault="000F36A1">
            <w:pPr>
              <w:pStyle w:val="afa"/>
            </w:pPr>
            <w:r>
              <w:t>未检出</w:t>
            </w:r>
          </w:p>
        </w:tc>
        <w:tc>
          <w:tcPr>
            <w:tcW w:w="649" w:type="pct"/>
            <w:tcBorders>
              <w:left w:val="single" w:sz="4" w:space="0" w:color="auto"/>
            </w:tcBorders>
            <w:vAlign w:val="center"/>
          </w:tcPr>
          <w:p w:rsidR="00EE56C0" w:rsidRDefault="000F36A1">
            <w:pPr>
              <w:pStyle w:val="afa"/>
            </w:pPr>
            <w:r>
              <w:rPr>
                <w:rFonts w:hint="eastAsia"/>
              </w:rPr>
              <w:t>未检出</w:t>
            </w:r>
          </w:p>
        </w:tc>
      </w:tr>
      <w:tr w:rsidR="00EE56C0">
        <w:trPr>
          <w:trHeight w:val="425"/>
          <w:jc w:val="center"/>
        </w:trPr>
        <w:tc>
          <w:tcPr>
            <w:tcW w:w="291" w:type="pct"/>
            <w:vMerge/>
            <w:vAlign w:val="center"/>
          </w:tcPr>
          <w:p w:rsidR="00EE56C0" w:rsidRDefault="00EE56C0">
            <w:pPr>
              <w:pStyle w:val="afa"/>
            </w:pPr>
          </w:p>
        </w:tc>
        <w:tc>
          <w:tcPr>
            <w:tcW w:w="322" w:type="pct"/>
            <w:vAlign w:val="center"/>
          </w:tcPr>
          <w:p w:rsidR="00EE56C0" w:rsidRDefault="000F36A1">
            <w:pPr>
              <w:pStyle w:val="afa"/>
            </w:pPr>
            <w:r>
              <w:rPr>
                <w:rFonts w:hint="eastAsia"/>
              </w:rPr>
              <w:t>27</w:t>
            </w:r>
          </w:p>
        </w:tc>
        <w:tc>
          <w:tcPr>
            <w:tcW w:w="736" w:type="pct"/>
            <w:vAlign w:val="center"/>
          </w:tcPr>
          <w:p w:rsidR="00EE56C0" w:rsidRDefault="000F36A1">
            <w:pPr>
              <w:pStyle w:val="afa"/>
            </w:pPr>
            <w:r>
              <w:t>苯</w:t>
            </w:r>
          </w:p>
        </w:tc>
        <w:tc>
          <w:tcPr>
            <w:tcW w:w="464" w:type="pct"/>
            <w:vAlign w:val="center"/>
          </w:tcPr>
          <w:p w:rsidR="00EE56C0" w:rsidRDefault="000F36A1">
            <w:pPr>
              <w:pStyle w:val="afa"/>
            </w:pPr>
            <w:r>
              <w:rPr>
                <w:rFonts w:hint="eastAsia"/>
              </w:rPr>
              <w:t>未检出</w:t>
            </w:r>
          </w:p>
        </w:tc>
        <w:tc>
          <w:tcPr>
            <w:tcW w:w="578" w:type="pct"/>
            <w:vAlign w:val="center"/>
          </w:tcPr>
          <w:p w:rsidR="00EE56C0" w:rsidRDefault="000F36A1">
            <w:pPr>
              <w:pStyle w:val="afa"/>
            </w:pPr>
            <w:r>
              <w:rPr>
                <w:rFonts w:hint="eastAsia"/>
              </w:rPr>
              <w:t>未检出</w:t>
            </w:r>
          </w:p>
        </w:tc>
        <w:tc>
          <w:tcPr>
            <w:tcW w:w="496" w:type="pct"/>
            <w:vAlign w:val="center"/>
          </w:tcPr>
          <w:p w:rsidR="00EE56C0" w:rsidRDefault="000F36A1">
            <w:pPr>
              <w:pStyle w:val="afa"/>
            </w:pPr>
            <w:r>
              <w:rPr>
                <w:rFonts w:hint="eastAsia"/>
              </w:rPr>
              <w:t>未检出</w:t>
            </w:r>
          </w:p>
        </w:tc>
        <w:tc>
          <w:tcPr>
            <w:tcW w:w="496" w:type="pct"/>
            <w:tcBorders>
              <w:right w:val="single" w:sz="4" w:space="0" w:color="auto"/>
            </w:tcBorders>
            <w:vAlign w:val="center"/>
          </w:tcPr>
          <w:p w:rsidR="00EE56C0" w:rsidRDefault="000F36A1">
            <w:pPr>
              <w:pStyle w:val="afa"/>
            </w:pPr>
            <w:r>
              <w:t>未检出</w:t>
            </w:r>
          </w:p>
        </w:tc>
        <w:tc>
          <w:tcPr>
            <w:tcW w:w="525" w:type="pct"/>
            <w:tcBorders>
              <w:left w:val="single" w:sz="4" w:space="0" w:color="auto"/>
              <w:right w:val="single" w:sz="4" w:space="0" w:color="auto"/>
            </w:tcBorders>
            <w:vAlign w:val="center"/>
          </w:tcPr>
          <w:p w:rsidR="00EE56C0" w:rsidRDefault="000F36A1">
            <w:pPr>
              <w:pStyle w:val="afa"/>
            </w:pPr>
            <w:r>
              <w:t>未检出</w:t>
            </w:r>
          </w:p>
        </w:tc>
        <w:tc>
          <w:tcPr>
            <w:tcW w:w="443" w:type="pct"/>
            <w:tcBorders>
              <w:left w:val="single" w:sz="4" w:space="0" w:color="auto"/>
              <w:right w:val="single" w:sz="4" w:space="0" w:color="auto"/>
            </w:tcBorders>
            <w:vAlign w:val="center"/>
          </w:tcPr>
          <w:p w:rsidR="00EE56C0" w:rsidRDefault="000F36A1">
            <w:pPr>
              <w:pStyle w:val="afa"/>
            </w:pPr>
            <w:r>
              <w:t>未检出</w:t>
            </w:r>
          </w:p>
        </w:tc>
        <w:tc>
          <w:tcPr>
            <w:tcW w:w="649" w:type="pct"/>
            <w:tcBorders>
              <w:left w:val="single" w:sz="4" w:space="0" w:color="auto"/>
            </w:tcBorders>
            <w:vAlign w:val="center"/>
          </w:tcPr>
          <w:p w:rsidR="00EE56C0" w:rsidRDefault="000F36A1">
            <w:pPr>
              <w:pStyle w:val="afa"/>
            </w:pPr>
            <w:r>
              <w:rPr>
                <w:rFonts w:hint="eastAsia"/>
              </w:rPr>
              <w:t>未检出</w:t>
            </w:r>
          </w:p>
        </w:tc>
      </w:tr>
      <w:tr w:rsidR="00EE56C0">
        <w:trPr>
          <w:trHeight w:val="425"/>
          <w:jc w:val="center"/>
        </w:trPr>
        <w:tc>
          <w:tcPr>
            <w:tcW w:w="291" w:type="pct"/>
            <w:vMerge/>
            <w:vAlign w:val="center"/>
          </w:tcPr>
          <w:p w:rsidR="00EE56C0" w:rsidRDefault="00EE56C0">
            <w:pPr>
              <w:pStyle w:val="afa"/>
            </w:pPr>
          </w:p>
        </w:tc>
        <w:tc>
          <w:tcPr>
            <w:tcW w:w="322" w:type="pct"/>
            <w:vAlign w:val="center"/>
          </w:tcPr>
          <w:p w:rsidR="00EE56C0" w:rsidRDefault="000F36A1">
            <w:pPr>
              <w:pStyle w:val="afa"/>
            </w:pPr>
            <w:r>
              <w:rPr>
                <w:rFonts w:hint="eastAsia"/>
              </w:rPr>
              <w:t>28</w:t>
            </w:r>
          </w:p>
        </w:tc>
        <w:tc>
          <w:tcPr>
            <w:tcW w:w="736" w:type="pct"/>
            <w:vAlign w:val="center"/>
          </w:tcPr>
          <w:p w:rsidR="00EE56C0" w:rsidRDefault="000F36A1">
            <w:pPr>
              <w:pStyle w:val="afa"/>
            </w:pPr>
            <w:r>
              <w:t>氯苯</w:t>
            </w:r>
          </w:p>
        </w:tc>
        <w:tc>
          <w:tcPr>
            <w:tcW w:w="464" w:type="pct"/>
            <w:vAlign w:val="center"/>
          </w:tcPr>
          <w:p w:rsidR="00EE56C0" w:rsidRDefault="000F36A1">
            <w:pPr>
              <w:pStyle w:val="afa"/>
            </w:pPr>
            <w:r>
              <w:rPr>
                <w:rFonts w:hint="eastAsia"/>
              </w:rPr>
              <w:t>未检出</w:t>
            </w:r>
          </w:p>
        </w:tc>
        <w:tc>
          <w:tcPr>
            <w:tcW w:w="578" w:type="pct"/>
            <w:vAlign w:val="center"/>
          </w:tcPr>
          <w:p w:rsidR="00EE56C0" w:rsidRDefault="000F36A1">
            <w:pPr>
              <w:pStyle w:val="afa"/>
            </w:pPr>
            <w:r>
              <w:rPr>
                <w:rFonts w:hint="eastAsia"/>
              </w:rPr>
              <w:t>未检出</w:t>
            </w:r>
          </w:p>
        </w:tc>
        <w:tc>
          <w:tcPr>
            <w:tcW w:w="496" w:type="pct"/>
            <w:vAlign w:val="center"/>
          </w:tcPr>
          <w:p w:rsidR="00EE56C0" w:rsidRDefault="000F36A1">
            <w:pPr>
              <w:pStyle w:val="afa"/>
            </w:pPr>
            <w:r>
              <w:rPr>
                <w:rFonts w:hint="eastAsia"/>
              </w:rPr>
              <w:t>未检出</w:t>
            </w:r>
          </w:p>
        </w:tc>
        <w:tc>
          <w:tcPr>
            <w:tcW w:w="496" w:type="pct"/>
            <w:tcBorders>
              <w:right w:val="single" w:sz="4" w:space="0" w:color="auto"/>
            </w:tcBorders>
            <w:vAlign w:val="center"/>
          </w:tcPr>
          <w:p w:rsidR="00EE56C0" w:rsidRDefault="000F36A1">
            <w:pPr>
              <w:pStyle w:val="afa"/>
            </w:pPr>
            <w:r>
              <w:t>未检出</w:t>
            </w:r>
          </w:p>
        </w:tc>
        <w:tc>
          <w:tcPr>
            <w:tcW w:w="525" w:type="pct"/>
            <w:tcBorders>
              <w:left w:val="single" w:sz="4" w:space="0" w:color="auto"/>
              <w:right w:val="single" w:sz="4" w:space="0" w:color="auto"/>
            </w:tcBorders>
            <w:vAlign w:val="center"/>
          </w:tcPr>
          <w:p w:rsidR="00EE56C0" w:rsidRDefault="000F36A1">
            <w:pPr>
              <w:pStyle w:val="afa"/>
            </w:pPr>
            <w:r>
              <w:t>未检出</w:t>
            </w:r>
          </w:p>
        </w:tc>
        <w:tc>
          <w:tcPr>
            <w:tcW w:w="443" w:type="pct"/>
            <w:tcBorders>
              <w:left w:val="single" w:sz="4" w:space="0" w:color="auto"/>
              <w:right w:val="single" w:sz="4" w:space="0" w:color="auto"/>
            </w:tcBorders>
            <w:vAlign w:val="center"/>
          </w:tcPr>
          <w:p w:rsidR="00EE56C0" w:rsidRDefault="000F36A1">
            <w:pPr>
              <w:pStyle w:val="afa"/>
            </w:pPr>
            <w:r>
              <w:t>未检出</w:t>
            </w:r>
          </w:p>
        </w:tc>
        <w:tc>
          <w:tcPr>
            <w:tcW w:w="649" w:type="pct"/>
            <w:tcBorders>
              <w:left w:val="single" w:sz="4" w:space="0" w:color="auto"/>
            </w:tcBorders>
            <w:vAlign w:val="center"/>
          </w:tcPr>
          <w:p w:rsidR="00EE56C0" w:rsidRDefault="000F36A1">
            <w:pPr>
              <w:pStyle w:val="afa"/>
            </w:pPr>
            <w:r>
              <w:rPr>
                <w:rFonts w:hint="eastAsia"/>
              </w:rPr>
              <w:t>未检出</w:t>
            </w:r>
          </w:p>
        </w:tc>
      </w:tr>
      <w:tr w:rsidR="00EE56C0">
        <w:trPr>
          <w:trHeight w:val="425"/>
          <w:jc w:val="center"/>
        </w:trPr>
        <w:tc>
          <w:tcPr>
            <w:tcW w:w="291" w:type="pct"/>
            <w:vMerge/>
            <w:vAlign w:val="center"/>
          </w:tcPr>
          <w:p w:rsidR="00EE56C0" w:rsidRDefault="00EE56C0">
            <w:pPr>
              <w:pStyle w:val="afa"/>
            </w:pPr>
          </w:p>
        </w:tc>
        <w:tc>
          <w:tcPr>
            <w:tcW w:w="322" w:type="pct"/>
            <w:vAlign w:val="center"/>
          </w:tcPr>
          <w:p w:rsidR="00EE56C0" w:rsidRDefault="000F36A1">
            <w:pPr>
              <w:pStyle w:val="afa"/>
            </w:pPr>
            <w:r>
              <w:rPr>
                <w:rFonts w:hint="eastAsia"/>
              </w:rPr>
              <w:t>29</w:t>
            </w:r>
          </w:p>
        </w:tc>
        <w:tc>
          <w:tcPr>
            <w:tcW w:w="736" w:type="pct"/>
            <w:vAlign w:val="center"/>
          </w:tcPr>
          <w:p w:rsidR="00EE56C0" w:rsidRDefault="000F36A1">
            <w:pPr>
              <w:pStyle w:val="afa"/>
            </w:pPr>
            <w:r>
              <w:t>1,2</w:t>
            </w:r>
            <w:r>
              <w:t>二氯苯</w:t>
            </w:r>
          </w:p>
        </w:tc>
        <w:tc>
          <w:tcPr>
            <w:tcW w:w="464" w:type="pct"/>
            <w:vAlign w:val="center"/>
          </w:tcPr>
          <w:p w:rsidR="00EE56C0" w:rsidRDefault="000F36A1">
            <w:pPr>
              <w:pStyle w:val="afa"/>
            </w:pPr>
            <w:r>
              <w:rPr>
                <w:rFonts w:hint="eastAsia"/>
              </w:rPr>
              <w:t>未检出</w:t>
            </w:r>
          </w:p>
        </w:tc>
        <w:tc>
          <w:tcPr>
            <w:tcW w:w="578" w:type="pct"/>
            <w:vAlign w:val="center"/>
          </w:tcPr>
          <w:p w:rsidR="00EE56C0" w:rsidRDefault="000F36A1">
            <w:pPr>
              <w:pStyle w:val="afa"/>
            </w:pPr>
            <w:r>
              <w:rPr>
                <w:rFonts w:hint="eastAsia"/>
              </w:rPr>
              <w:t>未检出</w:t>
            </w:r>
          </w:p>
        </w:tc>
        <w:tc>
          <w:tcPr>
            <w:tcW w:w="496" w:type="pct"/>
            <w:vAlign w:val="center"/>
          </w:tcPr>
          <w:p w:rsidR="00EE56C0" w:rsidRDefault="000F36A1">
            <w:pPr>
              <w:pStyle w:val="afa"/>
            </w:pPr>
            <w:r>
              <w:rPr>
                <w:rFonts w:hint="eastAsia"/>
              </w:rPr>
              <w:t>未检出</w:t>
            </w:r>
          </w:p>
        </w:tc>
        <w:tc>
          <w:tcPr>
            <w:tcW w:w="496" w:type="pct"/>
            <w:tcBorders>
              <w:right w:val="single" w:sz="4" w:space="0" w:color="auto"/>
            </w:tcBorders>
            <w:vAlign w:val="center"/>
          </w:tcPr>
          <w:p w:rsidR="00EE56C0" w:rsidRDefault="000F36A1">
            <w:pPr>
              <w:pStyle w:val="afa"/>
            </w:pPr>
            <w:r>
              <w:t>未检出</w:t>
            </w:r>
          </w:p>
        </w:tc>
        <w:tc>
          <w:tcPr>
            <w:tcW w:w="525" w:type="pct"/>
            <w:tcBorders>
              <w:left w:val="single" w:sz="4" w:space="0" w:color="auto"/>
              <w:right w:val="single" w:sz="4" w:space="0" w:color="auto"/>
            </w:tcBorders>
            <w:vAlign w:val="center"/>
          </w:tcPr>
          <w:p w:rsidR="00EE56C0" w:rsidRDefault="000F36A1">
            <w:pPr>
              <w:pStyle w:val="afa"/>
            </w:pPr>
            <w:r>
              <w:t>未检出</w:t>
            </w:r>
          </w:p>
        </w:tc>
        <w:tc>
          <w:tcPr>
            <w:tcW w:w="443" w:type="pct"/>
            <w:tcBorders>
              <w:left w:val="single" w:sz="4" w:space="0" w:color="auto"/>
              <w:right w:val="single" w:sz="4" w:space="0" w:color="auto"/>
            </w:tcBorders>
            <w:vAlign w:val="center"/>
          </w:tcPr>
          <w:p w:rsidR="00EE56C0" w:rsidRDefault="000F36A1">
            <w:pPr>
              <w:pStyle w:val="afa"/>
            </w:pPr>
            <w:r>
              <w:t>未检出</w:t>
            </w:r>
          </w:p>
        </w:tc>
        <w:tc>
          <w:tcPr>
            <w:tcW w:w="649" w:type="pct"/>
            <w:tcBorders>
              <w:left w:val="single" w:sz="4" w:space="0" w:color="auto"/>
            </w:tcBorders>
            <w:vAlign w:val="center"/>
          </w:tcPr>
          <w:p w:rsidR="00EE56C0" w:rsidRDefault="000F36A1">
            <w:pPr>
              <w:pStyle w:val="afa"/>
            </w:pPr>
            <w:r>
              <w:rPr>
                <w:rFonts w:hint="eastAsia"/>
              </w:rPr>
              <w:t>未检出</w:t>
            </w:r>
          </w:p>
        </w:tc>
      </w:tr>
      <w:tr w:rsidR="00EE56C0">
        <w:trPr>
          <w:trHeight w:val="425"/>
          <w:jc w:val="center"/>
        </w:trPr>
        <w:tc>
          <w:tcPr>
            <w:tcW w:w="291" w:type="pct"/>
            <w:vMerge/>
            <w:vAlign w:val="center"/>
          </w:tcPr>
          <w:p w:rsidR="00EE56C0" w:rsidRDefault="00EE56C0">
            <w:pPr>
              <w:pStyle w:val="afa"/>
            </w:pPr>
          </w:p>
        </w:tc>
        <w:tc>
          <w:tcPr>
            <w:tcW w:w="322" w:type="pct"/>
            <w:vAlign w:val="center"/>
          </w:tcPr>
          <w:p w:rsidR="00EE56C0" w:rsidRDefault="000F36A1">
            <w:pPr>
              <w:pStyle w:val="afa"/>
            </w:pPr>
            <w:r>
              <w:rPr>
                <w:rFonts w:hint="eastAsia"/>
              </w:rPr>
              <w:t>30</w:t>
            </w:r>
          </w:p>
        </w:tc>
        <w:tc>
          <w:tcPr>
            <w:tcW w:w="736" w:type="pct"/>
            <w:vAlign w:val="center"/>
          </w:tcPr>
          <w:p w:rsidR="00EE56C0" w:rsidRDefault="000F36A1">
            <w:pPr>
              <w:pStyle w:val="afa"/>
            </w:pPr>
            <w:r>
              <w:t>1,4</w:t>
            </w:r>
            <w:r>
              <w:rPr>
                <w:rFonts w:ascii="宋体" w:hAnsi="宋体" w:cs="宋体" w:hint="eastAsia"/>
              </w:rPr>
              <w:t>二氯苯</w:t>
            </w:r>
          </w:p>
        </w:tc>
        <w:tc>
          <w:tcPr>
            <w:tcW w:w="464" w:type="pct"/>
            <w:vAlign w:val="center"/>
          </w:tcPr>
          <w:p w:rsidR="00EE56C0" w:rsidRDefault="000F36A1">
            <w:pPr>
              <w:pStyle w:val="afa"/>
            </w:pPr>
            <w:r>
              <w:rPr>
                <w:rFonts w:hint="eastAsia"/>
              </w:rPr>
              <w:t>未检出</w:t>
            </w:r>
          </w:p>
        </w:tc>
        <w:tc>
          <w:tcPr>
            <w:tcW w:w="578" w:type="pct"/>
            <w:vAlign w:val="center"/>
          </w:tcPr>
          <w:p w:rsidR="00EE56C0" w:rsidRDefault="000F36A1">
            <w:pPr>
              <w:pStyle w:val="afa"/>
            </w:pPr>
            <w:r>
              <w:rPr>
                <w:rFonts w:hint="eastAsia"/>
              </w:rPr>
              <w:t>未检出</w:t>
            </w:r>
          </w:p>
        </w:tc>
        <w:tc>
          <w:tcPr>
            <w:tcW w:w="496" w:type="pct"/>
            <w:vAlign w:val="center"/>
          </w:tcPr>
          <w:p w:rsidR="00EE56C0" w:rsidRDefault="000F36A1">
            <w:pPr>
              <w:pStyle w:val="afa"/>
            </w:pPr>
            <w:r>
              <w:rPr>
                <w:rFonts w:hint="eastAsia"/>
              </w:rPr>
              <w:t>未检出</w:t>
            </w:r>
          </w:p>
        </w:tc>
        <w:tc>
          <w:tcPr>
            <w:tcW w:w="496" w:type="pct"/>
            <w:tcBorders>
              <w:right w:val="single" w:sz="4" w:space="0" w:color="auto"/>
            </w:tcBorders>
            <w:vAlign w:val="center"/>
          </w:tcPr>
          <w:p w:rsidR="00EE56C0" w:rsidRDefault="000F36A1">
            <w:pPr>
              <w:pStyle w:val="afa"/>
            </w:pPr>
            <w:r>
              <w:t>未检出</w:t>
            </w:r>
          </w:p>
        </w:tc>
        <w:tc>
          <w:tcPr>
            <w:tcW w:w="525" w:type="pct"/>
            <w:tcBorders>
              <w:left w:val="single" w:sz="4" w:space="0" w:color="auto"/>
              <w:right w:val="single" w:sz="4" w:space="0" w:color="auto"/>
            </w:tcBorders>
            <w:vAlign w:val="center"/>
          </w:tcPr>
          <w:p w:rsidR="00EE56C0" w:rsidRDefault="000F36A1">
            <w:pPr>
              <w:pStyle w:val="afa"/>
            </w:pPr>
            <w:r>
              <w:t>未检出</w:t>
            </w:r>
          </w:p>
        </w:tc>
        <w:tc>
          <w:tcPr>
            <w:tcW w:w="443" w:type="pct"/>
            <w:tcBorders>
              <w:left w:val="single" w:sz="4" w:space="0" w:color="auto"/>
              <w:right w:val="single" w:sz="4" w:space="0" w:color="auto"/>
            </w:tcBorders>
            <w:vAlign w:val="center"/>
          </w:tcPr>
          <w:p w:rsidR="00EE56C0" w:rsidRDefault="000F36A1">
            <w:pPr>
              <w:pStyle w:val="afa"/>
            </w:pPr>
            <w:r>
              <w:t>未检出</w:t>
            </w:r>
          </w:p>
        </w:tc>
        <w:tc>
          <w:tcPr>
            <w:tcW w:w="649" w:type="pct"/>
            <w:tcBorders>
              <w:left w:val="single" w:sz="4" w:space="0" w:color="auto"/>
            </w:tcBorders>
            <w:vAlign w:val="center"/>
          </w:tcPr>
          <w:p w:rsidR="00EE56C0" w:rsidRDefault="000F36A1">
            <w:pPr>
              <w:pStyle w:val="afa"/>
            </w:pPr>
            <w:r>
              <w:rPr>
                <w:rFonts w:hint="eastAsia"/>
              </w:rPr>
              <w:t>未检出</w:t>
            </w:r>
          </w:p>
        </w:tc>
      </w:tr>
      <w:tr w:rsidR="00EE56C0">
        <w:trPr>
          <w:trHeight w:val="425"/>
          <w:jc w:val="center"/>
        </w:trPr>
        <w:tc>
          <w:tcPr>
            <w:tcW w:w="291" w:type="pct"/>
            <w:vMerge/>
            <w:vAlign w:val="center"/>
          </w:tcPr>
          <w:p w:rsidR="00EE56C0" w:rsidRDefault="00EE56C0">
            <w:pPr>
              <w:pStyle w:val="afa"/>
            </w:pPr>
          </w:p>
        </w:tc>
        <w:tc>
          <w:tcPr>
            <w:tcW w:w="322" w:type="pct"/>
            <w:vAlign w:val="center"/>
          </w:tcPr>
          <w:p w:rsidR="00EE56C0" w:rsidRDefault="000F36A1">
            <w:pPr>
              <w:pStyle w:val="afa"/>
            </w:pPr>
            <w:r>
              <w:rPr>
                <w:rFonts w:hint="eastAsia"/>
              </w:rPr>
              <w:t>31</w:t>
            </w:r>
          </w:p>
        </w:tc>
        <w:tc>
          <w:tcPr>
            <w:tcW w:w="736" w:type="pct"/>
            <w:vAlign w:val="center"/>
          </w:tcPr>
          <w:p w:rsidR="00EE56C0" w:rsidRDefault="000F36A1">
            <w:pPr>
              <w:pStyle w:val="afa"/>
            </w:pPr>
            <w:r>
              <w:rPr>
                <w:rFonts w:ascii="宋体" w:hAnsi="宋体" w:cs="宋体" w:hint="eastAsia"/>
              </w:rPr>
              <w:t>乙苯</w:t>
            </w:r>
          </w:p>
        </w:tc>
        <w:tc>
          <w:tcPr>
            <w:tcW w:w="464" w:type="pct"/>
            <w:vAlign w:val="center"/>
          </w:tcPr>
          <w:p w:rsidR="00EE56C0" w:rsidRDefault="000F36A1">
            <w:pPr>
              <w:pStyle w:val="afa"/>
            </w:pPr>
            <w:r>
              <w:rPr>
                <w:rFonts w:hint="eastAsia"/>
              </w:rPr>
              <w:t>未检出</w:t>
            </w:r>
          </w:p>
        </w:tc>
        <w:tc>
          <w:tcPr>
            <w:tcW w:w="578" w:type="pct"/>
            <w:vAlign w:val="center"/>
          </w:tcPr>
          <w:p w:rsidR="00EE56C0" w:rsidRDefault="000F36A1">
            <w:pPr>
              <w:pStyle w:val="afa"/>
            </w:pPr>
            <w:r>
              <w:rPr>
                <w:rFonts w:hint="eastAsia"/>
              </w:rPr>
              <w:t>未检出</w:t>
            </w:r>
          </w:p>
        </w:tc>
        <w:tc>
          <w:tcPr>
            <w:tcW w:w="496" w:type="pct"/>
            <w:vAlign w:val="center"/>
          </w:tcPr>
          <w:p w:rsidR="00EE56C0" w:rsidRDefault="000F36A1">
            <w:pPr>
              <w:pStyle w:val="afa"/>
            </w:pPr>
            <w:r>
              <w:rPr>
                <w:rFonts w:hint="eastAsia"/>
              </w:rPr>
              <w:t>未检出</w:t>
            </w:r>
          </w:p>
        </w:tc>
        <w:tc>
          <w:tcPr>
            <w:tcW w:w="496" w:type="pct"/>
            <w:tcBorders>
              <w:right w:val="single" w:sz="4" w:space="0" w:color="auto"/>
            </w:tcBorders>
            <w:vAlign w:val="center"/>
          </w:tcPr>
          <w:p w:rsidR="00EE56C0" w:rsidRDefault="000F36A1">
            <w:pPr>
              <w:pStyle w:val="afa"/>
            </w:pPr>
            <w:r>
              <w:t>未检出</w:t>
            </w:r>
          </w:p>
        </w:tc>
        <w:tc>
          <w:tcPr>
            <w:tcW w:w="525" w:type="pct"/>
            <w:tcBorders>
              <w:left w:val="single" w:sz="4" w:space="0" w:color="auto"/>
              <w:right w:val="single" w:sz="4" w:space="0" w:color="auto"/>
            </w:tcBorders>
            <w:vAlign w:val="center"/>
          </w:tcPr>
          <w:p w:rsidR="00EE56C0" w:rsidRDefault="000F36A1">
            <w:pPr>
              <w:pStyle w:val="afa"/>
            </w:pPr>
            <w:r>
              <w:t>未检出</w:t>
            </w:r>
          </w:p>
        </w:tc>
        <w:tc>
          <w:tcPr>
            <w:tcW w:w="443" w:type="pct"/>
            <w:tcBorders>
              <w:left w:val="single" w:sz="4" w:space="0" w:color="auto"/>
              <w:right w:val="single" w:sz="4" w:space="0" w:color="auto"/>
            </w:tcBorders>
            <w:vAlign w:val="center"/>
          </w:tcPr>
          <w:p w:rsidR="00EE56C0" w:rsidRDefault="000F36A1">
            <w:pPr>
              <w:pStyle w:val="afa"/>
            </w:pPr>
            <w:r>
              <w:t>未检出</w:t>
            </w:r>
          </w:p>
        </w:tc>
        <w:tc>
          <w:tcPr>
            <w:tcW w:w="649" w:type="pct"/>
            <w:tcBorders>
              <w:left w:val="single" w:sz="4" w:space="0" w:color="auto"/>
            </w:tcBorders>
            <w:vAlign w:val="center"/>
          </w:tcPr>
          <w:p w:rsidR="00EE56C0" w:rsidRDefault="000F36A1">
            <w:pPr>
              <w:pStyle w:val="afa"/>
            </w:pPr>
            <w:r>
              <w:rPr>
                <w:rFonts w:hint="eastAsia"/>
              </w:rPr>
              <w:t>未检出</w:t>
            </w:r>
          </w:p>
        </w:tc>
      </w:tr>
      <w:tr w:rsidR="00EE56C0">
        <w:trPr>
          <w:trHeight w:val="425"/>
          <w:jc w:val="center"/>
        </w:trPr>
        <w:tc>
          <w:tcPr>
            <w:tcW w:w="291" w:type="pct"/>
            <w:vMerge/>
            <w:vAlign w:val="center"/>
          </w:tcPr>
          <w:p w:rsidR="00EE56C0" w:rsidRDefault="00EE56C0">
            <w:pPr>
              <w:pStyle w:val="afa"/>
            </w:pPr>
          </w:p>
        </w:tc>
        <w:tc>
          <w:tcPr>
            <w:tcW w:w="322" w:type="pct"/>
            <w:vAlign w:val="center"/>
          </w:tcPr>
          <w:p w:rsidR="00EE56C0" w:rsidRDefault="000F36A1">
            <w:pPr>
              <w:pStyle w:val="afa"/>
            </w:pPr>
            <w:r>
              <w:rPr>
                <w:rFonts w:hint="eastAsia"/>
              </w:rPr>
              <w:t>32</w:t>
            </w:r>
          </w:p>
        </w:tc>
        <w:tc>
          <w:tcPr>
            <w:tcW w:w="736" w:type="pct"/>
            <w:vAlign w:val="center"/>
          </w:tcPr>
          <w:p w:rsidR="00EE56C0" w:rsidRDefault="000F36A1">
            <w:pPr>
              <w:pStyle w:val="afa"/>
            </w:pPr>
            <w:r>
              <w:rPr>
                <w:rFonts w:ascii="宋体" w:hAnsi="宋体" w:cs="宋体" w:hint="eastAsia"/>
              </w:rPr>
              <w:t>苯乙烯</w:t>
            </w:r>
          </w:p>
        </w:tc>
        <w:tc>
          <w:tcPr>
            <w:tcW w:w="464" w:type="pct"/>
            <w:vAlign w:val="center"/>
          </w:tcPr>
          <w:p w:rsidR="00EE56C0" w:rsidRDefault="000F36A1">
            <w:pPr>
              <w:pStyle w:val="afa"/>
            </w:pPr>
            <w:r>
              <w:rPr>
                <w:rFonts w:hint="eastAsia"/>
              </w:rPr>
              <w:t>未检出</w:t>
            </w:r>
          </w:p>
        </w:tc>
        <w:tc>
          <w:tcPr>
            <w:tcW w:w="578" w:type="pct"/>
            <w:vAlign w:val="center"/>
          </w:tcPr>
          <w:p w:rsidR="00EE56C0" w:rsidRDefault="000F36A1">
            <w:pPr>
              <w:pStyle w:val="afa"/>
            </w:pPr>
            <w:r>
              <w:rPr>
                <w:rFonts w:hint="eastAsia"/>
              </w:rPr>
              <w:t>未检出</w:t>
            </w:r>
          </w:p>
        </w:tc>
        <w:tc>
          <w:tcPr>
            <w:tcW w:w="496" w:type="pct"/>
            <w:vAlign w:val="center"/>
          </w:tcPr>
          <w:p w:rsidR="00EE56C0" w:rsidRDefault="000F36A1">
            <w:pPr>
              <w:pStyle w:val="afa"/>
            </w:pPr>
            <w:r>
              <w:rPr>
                <w:rFonts w:hint="eastAsia"/>
              </w:rPr>
              <w:t>未检出</w:t>
            </w:r>
          </w:p>
        </w:tc>
        <w:tc>
          <w:tcPr>
            <w:tcW w:w="496" w:type="pct"/>
            <w:tcBorders>
              <w:right w:val="single" w:sz="4" w:space="0" w:color="auto"/>
            </w:tcBorders>
            <w:vAlign w:val="center"/>
          </w:tcPr>
          <w:p w:rsidR="00EE56C0" w:rsidRDefault="000F36A1">
            <w:pPr>
              <w:pStyle w:val="afa"/>
            </w:pPr>
            <w:r>
              <w:t>未检出</w:t>
            </w:r>
          </w:p>
        </w:tc>
        <w:tc>
          <w:tcPr>
            <w:tcW w:w="525" w:type="pct"/>
            <w:tcBorders>
              <w:left w:val="single" w:sz="4" w:space="0" w:color="auto"/>
              <w:right w:val="single" w:sz="4" w:space="0" w:color="auto"/>
            </w:tcBorders>
            <w:vAlign w:val="center"/>
          </w:tcPr>
          <w:p w:rsidR="00EE56C0" w:rsidRDefault="000F36A1">
            <w:pPr>
              <w:pStyle w:val="afa"/>
            </w:pPr>
            <w:r>
              <w:t>未检出</w:t>
            </w:r>
          </w:p>
        </w:tc>
        <w:tc>
          <w:tcPr>
            <w:tcW w:w="443" w:type="pct"/>
            <w:tcBorders>
              <w:left w:val="single" w:sz="4" w:space="0" w:color="auto"/>
              <w:right w:val="single" w:sz="4" w:space="0" w:color="auto"/>
            </w:tcBorders>
            <w:vAlign w:val="center"/>
          </w:tcPr>
          <w:p w:rsidR="00EE56C0" w:rsidRDefault="000F36A1">
            <w:pPr>
              <w:pStyle w:val="afa"/>
            </w:pPr>
            <w:r>
              <w:t>未检出</w:t>
            </w:r>
          </w:p>
        </w:tc>
        <w:tc>
          <w:tcPr>
            <w:tcW w:w="649" w:type="pct"/>
            <w:tcBorders>
              <w:left w:val="single" w:sz="4" w:space="0" w:color="auto"/>
            </w:tcBorders>
            <w:vAlign w:val="center"/>
          </w:tcPr>
          <w:p w:rsidR="00EE56C0" w:rsidRDefault="000F36A1">
            <w:pPr>
              <w:pStyle w:val="afa"/>
            </w:pPr>
            <w:r>
              <w:rPr>
                <w:rFonts w:hint="eastAsia"/>
              </w:rPr>
              <w:t>未检出</w:t>
            </w:r>
          </w:p>
        </w:tc>
      </w:tr>
      <w:tr w:rsidR="00EE56C0">
        <w:trPr>
          <w:trHeight w:val="425"/>
          <w:jc w:val="center"/>
        </w:trPr>
        <w:tc>
          <w:tcPr>
            <w:tcW w:w="291" w:type="pct"/>
            <w:vMerge/>
            <w:vAlign w:val="center"/>
          </w:tcPr>
          <w:p w:rsidR="00EE56C0" w:rsidRDefault="00EE56C0">
            <w:pPr>
              <w:pStyle w:val="afa"/>
            </w:pPr>
          </w:p>
        </w:tc>
        <w:tc>
          <w:tcPr>
            <w:tcW w:w="322" w:type="pct"/>
            <w:vAlign w:val="center"/>
          </w:tcPr>
          <w:p w:rsidR="00EE56C0" w:rsidRDefault="000F36A1">
            <w:pPr>
              <w:pStyle w:val="afa"/>
            </w:pPr>
            <w:r>
              <w:rPr>
                <w:rFonts w:hint="eastAsia"/>
              </w:rPr>
              <w:t>33</w:t>
            </w:r>
          </w:p>
        </w:tc>
        <w:tc>
          <w:tcPr>
            <w:tcW w:w="736" w:type="pct"/>
            <w:vAlign w:val="center"/>
          </w:tcPr>
          <w:p w:rsidR="00EE56C0" w:rsidRDefault="000F36A1">
            <w:pPr>
              <w:pStyle w:val="afa"/>
            </w:pPr>
            <w:r>
              <w:rPr>
                <w:rFonts w:ascii="宋体" w:hAnsi="宋体" w:cs="宋体" w:hint="eastAsia"/>
              </w:rPr>
              <w:t>甲苯</w:t>
            </w:r>
          </w:p>
        </w:tc>
        <w:tc>
          <w:tcPr>
            <w:tcW w:w="464" w:type="pct"/>
            <w:vAlign w:val="center"/>
          </w:tcPr>
          <w:p w:rsidR="00EE56C0" w:rsidRDefault="000F36A1">
            <w:pPr>
              <w:pStyle w:val="afa"/>
            </w:pPr>
            <w:r>
              <w:rPr>
                <w:rFonts w:hint="eastAsia"/>
              </w:rPr>
              <w:t>未检出</w:t>
            </w:r>
          </w:p>
        </w:tc>
        <w:tc>
          <w:tcPr>
            <w:tcW w:w="578" w:type="pct"/>
            <w:vAlign w:val="center"/>
          </w:tcPr>
          <w:p w:rsidR="00EE56C0" w:rsidRDefault="000F36A1">
            <w:pPr>
              <w:pStyle w:val="afa"/>
            </w:pPr>
            <w:r>
              <w:rPr>
                <w:rFonts w:hint="eastAsia"/>
              </w:rPr>
              <w:t>未检出</w:t>
            </w:r>
          </w:p>
        </w:tc>
        <w:tc>
          <w:tcPr>
            <w:tcW w:w="496" w:type="pct"/>
            <w:vAlign w:val="center"/>
          </w:tcPr>
          <w:p w:rsidR="00EE56C0" w:rsidRDefault="000F36A1">
            <w:pPr>
              <w:pStyle w:val="afa"/>
            </w:pPr>
            <w:r>
              <w:rPr>
                <w:rFonts w:hint="eastAsia"/>
              </w:rPr>
              <w:t>未检出</w:t>
            </w:r>
          </w:p>
        </w:tc>
        <w:tc>
          <w:tcPr>
            <w:tcW w:w="496" w:type="pct"/>
            <w:tcBorders>
              <w:right w:val="single" w:sz="4" w:space="0" w:color="auto"/>
            </w:tcBorders>
            <w:vAlign w:val="center"/>
          </w:tcPr>
          <w:p w:rsidR="00EE56C0" w:rsidRDefault="000F36A1">
            <w:pPr>
              <w:pStyle w:val="afa"/>
            </w:pPr>
            <w:r>
              <w:t>未检出</w:t>
            </w:r>
          </w:p>
        </w:tc>
        <w:tc>
          <w:tcPr>
            <w:tcW w:w="525" w:type="pct"/>
            <w:tcBorders>
              <w:left w:val="single" w:sz="4" w:space="0" w:color="auto"/>
              <w:right w:val="single" w:sz="4" w:space="0" w:color="auto"/>
            </w:tcBorders>
            <w:vAlign w:val="center"/>
          </w:tcPr>
          <w:p w:rsidR="00EE56C0" w:rsidRDefault="000F36A1">
            <w:pPr>
              <w:pStyle w:val="afa"/>
            </w:pPr>
            <w:r>
              <w:t>未检出</w:t>
            </w:r>
          </w:p>
        </w:tc>
        <w:tc>
          <w:tcPr>
            <w:tcW w:w="443" w:type="pct"/>
            <w:tcBorders>
              <w:left w:val="single" w:sz="4" w:space="0" w:color="auto"/>
              <w:right w:val="single" w:sz="4" w:space="0" w:color="auto"/>
            </w:tcBorders>
            <w:vAlign w:val="center"/>
          </w:tcPr>
          <w:p w:rsidR="00EE56C0" w:rsidRDefault="000F36A1">
            <w:pPr>
              <w:pStyle w:val="afa"/>
            </w:pPr>
            <w:r>
              <w:t>未检出</w:t>
            </w:r>
          </w:p>
        </w:tc>
        <w:tc>
          <w:tcPr>
            <w:tcW w:w="649" w:type="pct"/>
            <w:tcBorders>
              <w:left w:val="single" w:sz="4" w:space="0" w:color="auto"/>
            </w:tcBorders>
            <w:vAlign w:val="center"/>
          </w:tcPr>
          <w:p w:rsidR="00EE56C0" w:rsidRDefault="000F36A1">
            <w:pPr>
              <w:pStyle w:val="afa"/>
            </w:pPr>
            <w:r>
              <w:rPr>
                <w:rFonts w:hint="eastAsia"/>
              </w:rPr>
              <w:t>未检出</w:t>
            </w:r>
          </w:p>
        </w:tc>
      </w:tr>
      <w:tr w:rsidR="00EE56C0">
        <w:trPr>
          <w:trHeight w:val="425"/>
          <w:jc w:val="center"/>
        </w:trPr>
        <w:tc>
          <w:tcPr>
            <w:tcW w:w="291" w:type="pct"/>
            <w:vMerge/>
          </w:tcPr>
          <w:p w:rsidR="00EE56C0" w:rsidRDefault="00EE56C0">
            <w:pPr>
              <w:pStyle w:val="afa"/>
            </w:pPr>
          </w:p>
        </w:tc>
        <w:tc>
          <w:tcPr>
            <w:tcW w:w="322" w:type="pct"/>
            <w:vAlign w:val="center"/>
          </w:tcPr>
          <w:p w:rsidR="00EE56C0" w:rsidRDefault="000F36A1">
            <w:pPr>
              <w:pStyle w:val="afa"/>
            </w:pPr>
            <w:r>
              <w:rPr>
                <w:rFonts w:hint="eastAsia"/>
              </w:rPr>
              <w:t>34</w:t>
            </w:r>
          </w:p>
        </w:tc>
        <w:tc>
          <w:tcPr>
            <w:tcW w:w="736" w:type="pct"/>
            <w:vAlign w:val="center"/>
          </w:tcPr>
          <w:p w:rsidR="00EE56C0" w:rsidRDefault="000F36A1">
            <w:pPr>
              <w:pStyle w:val="afa"/>
            </w:pPr>
            <w:r>
              <w:rPr>
                <w:rFonts w:ascii="宋体" w:hAnsi="宋体" w:cs="宋体" w:hint="eastAsia"/>
              </w:rPr>
              <w:t>间二甲苯</w:t>
            </w:r>
            <w:r>
              <w:t>-</w:t>
            </w:r>
            <w:r>
              <w:rPr>
                <w:rFonts w:ascii="宋体" w:hAnsi="宋体" w:cs="宋体" w:hint="eastAsia"/>
              </w:rPr>
              <w:t>对二甲苯</w:t>
            </w:r>
          </w:p>
        </w:tc>
        <w:tc>
          <w:tcPr>
            <w:tcW w:w="464" w:type="pct"/>
            <w:vAlign w:val="center"/>
          </w:tcPr>
          <w:p w:rsidR="00EE56C0" w:rsidRDefault="000F36A1">
            <w:pPr>
              <w:pStyle w:val="afa"/>
            </w:pPr>
            <w:r>
              <w:rPr>
                <w:rFonts w:hint="eastAsia"/>
              </w:rPr>
              <w:t>未检出</w:t>
            </w:r>
          </w:p>
        </w:tc>
        <w:tc>
          <w:tcPr>
            <w:tcW w:w="578" w:type="pct"/>
            <w:vAlign w:val="center"/>
          </w:tcPr>
          <w:p w:rsidR="00EE56C0" w:rsidRDefault="000F36A1">
            <w:pPr>
              <w:pStyle w:val="afa"/>
            </w:pPr>
            <w:r>
              <w:rPr>
                <w:rFonts w:hint="eastAsia"/>
              </w:rPr>
              <w:t>未检出</w:t>
            </w:r>
          </w:p>
        </w:tc>
        <w:tc>
          <w:tcPr>
            <w:tcW w:w="496" w:type="pct"/>
            <w:vAlign w:val="center"/>
          </w:tcPr>
          <w:p w:rsidR="00EE56C0" w:rsidRDefault="000F36A1">
            <w:pPr>
              <w:pStyle w:val="afa"/>
            </w:pPr>
            <w:r>
              <w:rPr>
                <w:rFonts w:hint="eastAsia"/>
              </w:rPr>
              <w:t>未检出</w:t>
            </w:r>
          </w:p>
        </w:tc>
        <w:tc>
          <w:tcPr>
            <w:tcW w:w="496" w:type="pct"/>
            <w:tcBorders>
              <w:right w:val="single" w:sz="4" w:space="0" w:color="auto"/>
            </w:tcBorders>
            <w:vAlign w:val="center"/>
          </w:tcPr>
          <w:p w:rsidR="00EE56C0" w:rsidRDefault="000F36A1">
            <w:pPr>
              <w:pStyle w:val="afa"/>
            </w:pPr>
            <w:r>
              <w:t>未检出</w:t>
            </w:r>
          </w:p>
        </w:tc>
        <w:tc>
          <w:tcPr>
            <w:tcW w:w="525" w:type="pct"/>
            <w:tcBorders>
              <w:left w:val="single" w:sz="4" w:space="0" w:color="auto"/>
              <w:right w:val="single" w:sz="4" w:space="0" w:color="auto"/>
            </w:tcBorders>
            <w:vAlign w:val="center"/>
          </w:tcPr>
          <w:p w:rsidR="00EE56C0" w:rsidRDefault="000F36A1">
            <w:pPr>
              <w:pStyle w:val="afa"/>
            </w:pPr>
            <w:r>
              <w:t>未检出</w:t>
            </w:r>
          </w:p>
        </w:tc>
        <w:tc>
          <w:tcPr>
            <w:tcW w:w="443" w:type="pct"/>
            <w:tcBorders>
              <w:left w:val="single" w:sz="4" w:space="0" w:color="auto"/>
              <w:right w:val="single" w:sz="4" w:space="0" w:color="auto"/>
            </w:tcBorders>
            <w:vAlign w:val="center"/>
          </w:tcPr>
          <w:p w:rsidR="00EE56C0" w:rsidRDefault="000F36A1">
            <w:pPr>
              <w:pStyle w:val="afa"/>
            </w:pPr>
            <w:r>
              <w:t>未检出</w:t>
            </w:r>
          </w:p>
        </w:tc>
        <w:tc>
          <w:tcPr>
            <w:tcW w:w="649" w:type="pct"/>
            <w:tcBorders>
              <w:left w:val="single" w:sz="4" w:space="0" w:color="auto"/>
            </w:tcBorders>
            <w:vAlign w:val="center"/>
          </w:tcPr>
          <w:p w:rsidR="00EE56C0" w:rsidRDefault="000F36A1">
            <w:pPr>
              <w:pStyle w:val="afa"/>
            </w:pPr>
            <w:r>
              <w:rPr>
                <w:rFonts w:hint="eastAsia"/>
              </w:rPr>
              <w:t>未检出</w:t>
            </w:r>
          </w:p>
        </w:tc>
      </w:tr>
      <w:tr w:rsidR="00EE56C0">
        <w:trPr>
          <w:trHeight w:val="425"/>
          <w:jc w:val="center"/>
        </w:trPr>
        <w:tc>
          <w:tcPr>
            <w:tcW w:w="291" w:type="pct"/>
            <w:vMerge/>
          </w:tcPr>
          <w:p w:rsidR="00EE56C0" w:rsidRDefault="00EE56C0">
            <w:pPr>
              <w:pStyle w:val="afa"/>
            </w:pPr>
          </w:p>
        </w:tc>
        <w:tc>
          <w:tcPr>
            <w:tcW w:w="322" w:type="pct"/>
            <w:vAlign w:val="center"/>
          </w:tcPr>
          <w:p w:rsidR="00EE56C0" w:rsidRDefault="000F36A1">
            <w:pPr>
              <w:pStyle w:val="afa"/>
            </w:pPr>
            <w:r>
              <w:rPr>
                <w:rFonts w:hint="eastAsia"/>
              </w:rPr>
              <w:t>35</w:t>
            </w:r>
          </w:p>
        </w:tc>
        <w:tc>
          <w:tcPr>
            <w:tcW w:w="736" w:type="pct"/>
            <w:vAlign w:val="center"/>
          </w:tcPr>
          <w:p w:rsidR="00EE56C0" w:rsidRDefault="000F36A1">
            <w:pPr>
              <w:pStyle w:val="afa"/>
            </w:pPr>
            <w:r>
              <w:rPr>
                <w:rFonts w:ascii="宋体" w:hAnsi="宋体" w:cs="宋体" w:hint="eastAsia"/>
              </w:rPr>
              <w:t>邻二甲苯</w:t>
            </w:r>
          </w:p>
        </w:tc>
        <w:tc>
          <w:tcPr>
            <w:tcW w:w="464" w:type="pct"/>
            <w:vAlign w:val="center"/>
          </w:tcPr>
          <w:p w:rsidR="00EE56C0" w:rsidRDefault="000F36A1">
            <w:pPr>
              <w:pStyle w:val="afa"/>
            </w:pPr>
            <w:r>
              <w:rPr>
                <w:rFonts w:hint="eastAsia"/>
              </w:rPr>
              <w:t>未检出</w:t>
            </w:r>
          </w:p>
        </w:tc>
        <w:tc>
          <w:tcPr>
            <w:tcW w:w="578" w:type="pct"/>
            <w:vAlign w:val="center"/>
          </w:tcPr>
          <w:p w:rsidR="00EE56C0" w:rsidRDefault="000F36A1">
            <w:pPr>
              <w:pStyle w:val="afa"/>
            </w:pPr>
            <w:r>
              <w:rPr>
                <w:rFonts w:hint="eastAsia"/>
              </w:rPr>
              <w:t>未检出</w:t>
            </w:r>
          </w:p>
        </w:tc>
        <w:tc>
          <w:tcPr>
            <w:tcW w:w="496" w:type="pct"/>
            <w:vAlign w:val="center"/>
          </w:tcPr>
          <w:p w:rsidR="00EE56C0" w:rsidRDefault="000F36A1">
            <w:pPr>
              <w:pStyle w:val="afa"/>
            </w:pPr>
            <w:r>
              <w:rPr>
                <w:rFonts w:hint="eastAsia"/>
              </w:rPr>
              <w:t>未检出</w:t>
            </w:r>
          </w:p>
        </w:tc>
        <w:tc>
          <w:tcPr>
            <w:tcW w:w="496" w:type="pct"/>
            <w:tcBorders>
              <w:right w:val="single" w:sz="4" w:space="0" w:color="auto"/>
            </w:tcBorders>
            <w:vAlign w:val="center"/>
          </w:tcPr>
          <w:p w:rsidR="00EE56C0" w:rsidRDefault="000F36A1">
            <w:pPr>
              <w:pStyle w:val="afa"/>
            </w:pPr>
            <w:r>
              <w:t>未检出</w:t>
            </w:r>
          </w:p>
        </w:tc>
        <w:tc>
          <w:tcPr>
            <w:tcW w:w="525" w:type="pct"/>
            <w:tcBorders>
              <w:left w:val="single" w:sz="4" w:space="0" w:color="auto"/>
              <w:right w:val="single" w:sz="4" w:space="0" w:color="auto"/>
            </w:tcBorders>
            <w:vAlign w:val="center"/>
          </w:tcPr>
          <w:p w:rsidR="00EE56C0" w:rsidRDefault="000F36A1">
            <w:pPr>
              <w:pStyle w:val="afa"/>
            </w:pPr>
            <w:r>
              <w:t>未检出</w:t>
            </w:r>
          </w:p>
        </w:tc>
        <w:tc>
          <w:tcPr>
            <w:tcW w:w="443" w:type="pct"/>
            <w:tcBorders>
              <w:left w:val="single" w:sz="4" w:space="0" w:color="auto"/>
              <w:right w:val="single" w:sz="4" w:space="0" w:color="auto"/>
            </w:tcBorders>
            <w:vAlign w:val="center"/>
          </w:tcPr>
          <w:p w:rsidR="00EE56C0" w:rsidRDefault="000F36A1">
            <w:pPr>
              <w:pStyle w:val="afa"/>
            </w:pPr>
            <w:r>
              <w:t>未检出</w:t>
            </w:r>
          </w:p>
        </w:tc>
        <w:tc>
          <w:tcPr>
            <w:tcW w:w="649" w:type="pct"/>
            <w:tcBorders>
              <w:left w:val="single" w:sz="4" w:space="0" w:color="auto"/>
            </w:tcBorders>
            <w:vAlign w:val="center"/>
          </w:tcPr>
          <w:p w:rsidR="00EE56C0" w:rsidRDefault="000F36A1">
            <w:pPr>
              <w:pStyle w:val="afa"/>
            </w:pPr>
            <w:r>
              <w:rPr>
                <w:rFonts w:hint="eastAsia"/>
              </w:rPr>
              <w:t>未检出</w:t>
            </w:r>
          </w:p>
        </w:tc>
      </w:tr>
      <w:tr w:rsidR="00EE56C0">
        <w:trPr>
          <w:trHeight w:val="425"/>
          <w:jc w:val="center"/>
        </w:trPr>
        <w:tc>
          <w:tcPr>
            <w:tcW w:w="291" w:type="pct"/>
            <w:vMerge/>
          </w:tcPr>
          <w:p w:rsidR="00EE56C0" w:rsidRDefault="00EE56C0">
            <w:pPr>
              <w:pStyle w:val="afa"/>
            </w:pPr>
          </w:p>
        </w:tc>
        <w:tc>
          <w:tcPr>
            <w:tcW w:w="322" w:type="pct"/>
            <w:vAlign w:val="center"/>
          </w:tcPr>
          <w:p w:rsidR="00EE56C0" w:rsidRDefault="000F36A1">
            <w:pPr>
              <w:pStyle w:val="afa"/>
            </w:pPr>
            <w:r>
              <w:rPr>
                <w:rFonts w:hint="eastAsia"/>
              </w:rPr>
              <w:t>36</w:t>
            </w:r>
          </w:p>
        </w:tc>
        <w:tc>
          <w:tcPr>
            <w:tcW w:w="736" w:type="pct"/>
            <w:vAlign w:val="center"/>
          </w:tcPr>
          <w:p w:rsidR="00EE56C0" w:rsidRDefault="000F36A1">
            <w:pPr>
              <w:pStyle w:val="afa"/>
            </w:pPr>
            <w:r>
              <w:rPr>
                <w:rFonts w:ascii="宋体" w:hAnsi="宋体" w:cs="宋体" w:hint="eastAsia"/>
              </w:rPr>
              <w:t>硝基苯</w:t>
            </w:r>
          </w:p>
        </w:tc>
        <w:tc>
          <w:tcPr>
            <w:tcW w:w="464" w:type="pct"/>
            <w:vAlign w:val="center"/>
          </w:tcPr>
          <w:p w:rsidR="00EE56C0" w:rsidRDefault="000F36A1">
            <w:pPr>
              <w:pStyle w:val="afa"/>
            </w:pPr>
            <w:r>
              <w:rPr>
                <w:rFonts w:hint="eastAsia"/>
              </w:rPr>
              <w:t>未检出</w:t>
            </w:r>
          </w:p>
        </w:tc>
        <w:tc>
          <w:tcPr>
            <w:tcW w:w="578" w:type="pct"/>
            <w:vAlign w:val="center"/>
          </w:tcPr>
          <w:p w:rsidR="00EE56C0" w:rsidRDefault="000F36A1">
            <w:pPr>
              <w:pStyle w:val="afa"/>
            </w:pPr>
            <w:r>
              <w:rPr>
                <w:rFonts w:hint="eastAsia"/>
              </w:rPr>
              <w:t>未检出</w:t>
            </w:r>
          </w:p>
        </w:tc>
        <w:tc>
          <w:tcPr>
            <w:tcW w:w="496" w:type="pct"/>
            <w:vAlign w:val="center"/>
          </w:tcPr>
          <w:p w:rsidR="00EE56C0" w:rsidRDefault="000F36A1">
            <w:pPr>
              <w:pStyle w:val="afa"/>
            </w:pPr>
            <w:r>
              <w:rPr>
                <w:rFonts w:hint="eastAsia"/>
              </w:rPr>
              <w:t>未检出</w:t>
            </w:r>
          </w:p>
        </w:tc>
        <w:tc>
          <w:tcPr>
            <w:tcW w:w="496" w:type="pct"/>
            <w:tcBorders>
              <w:right w:val="single" w:sz="4" w:space="0" w:color="auto"/>
            </w:tcBorders>
            <w:vAlign w:val="center"/>
          </w:tcPr>
          <w:p w:rsidR="00EE56C0" w:rsidRDefault="000F36A1">
            <w:pPr>
              <w:pStyle w:val="afa"/>
            </w:pPr>
            <w:r>
              <w:t>未检出</w:t>
            </w:r>
          </w:p>
        </w:tc>
        <w:tc>
          <w:tcPr>
            <w:tcW w:w="525" w:type="pct"/>
            <w:tcBorders>
              <w:left w:val="single" w:sz="4" w:space="0" w:color="auto"/>
              <w:right w:val="single" w:sz="4" w:space="0" w:color="auto"/>
            </w:tcBorders>
            <w:vAlign w:val="center"/>
          </w:tcPr>
          <w:p w:rsidR="00EE56C0" w:rsidRDefault="000F36A1">
            <w:pPr>
              <w:pStyle w:val="afa"/>
            </w:pPr>
            <w:r>
              <w:t>未检出</w:t>
            </w:r>
          </w:p>
        </w:tc>
        <w:tc>
          <w:tcPr>
            <w:tcW w:w="443" w:type="pct"/>
            <w:tcBorders>
              <w:left w:val="single" w:sz="4" w:space="0" w:color="auto"/>
              <w:right w:val="single" w:sz="4" w:space="0" w:color="auto"/>
            </w:tcBorders>
            <w:vAlign w:val="center"/>
          </w:tcPr>
          <w:p w:rsidR="00EE56C0" w:rsidRDefault="000F36A1">
            <w:pPr>
              <w:pStyle w:val="afa"/>
            </w:pPr>
            <w:r>
              <w:t>未检出</w:t>
            </w:r>
          </w:p>
        </w:tc>
        <w:tc>
          <w:tcPr>
            <w:tcW w:w="649" w:type="pct"/>
            <w:tcBorders>
              <w:left w:val="single" w:sz="4" w:space="0" w:color="auto"/>
            </w:tcBorders>
            <w:vAlign w:val="center"/>
          </w:tcPr>
          <w:p w:rsidR="00EE56C0" w:rsidRDefault="000F36A1">
            <w:pPr>
              <w:pStyle w:val="afa"/>
            </w:pPr>
            <w:r>
              <w:rPr>
                <w:rFonts w:hint="eastAsia"/>
              </w:rPr>
              <w:t>未检出</w:t>
            </w:r>
          </w:p>
        </w:tc>
      </w:tr>
      <w:tr w:rsidR="00EE56C0">
        <w:trPr>
          <w:trHeight w:val="425"/>
          <w:jc w:val="center"/>
        </w:trPr>
        <w:tc>
          <w:tcPr>
            <w:tcW w:w="291" w:type="pct"/>
            <w:vMerge/>
          </w:tcPr>
          <w:p w:rsidR="00EE56C0" w:rsidRDefault="00EE56C0">
            <w:pPr>
              <w:pStyle w:val="afa"/>
            </w:pPr>
          </w:p>
        </w:tc>
        <w:tc>
          <w:tcPr>
            <w:tcW w:w="322" w:type="pct"/>
            <w:vAlign w:val="center"/>
          </w:tcPr>
          <w:p w:rsidR="00EE56C0" w:rsidRDefault="000F36A1">
            <w:pPr>
              <w:pStyle w:val="afa"/>
            </w:pPr>
            <w:r>
              <w:rPr>
                <w:rFonts w:hint="eastAsia"/>
              </w:rPr>
              <w:t>37</w:t>
            </w:r>
          </w:p>
        </w:tc>
        <w:tc>
          <w:tcPr>
            <w:tcW w:w="736" w:type="pct"/>
            <w:vAlign w:val="center"/>
          </w:tcPr>
          <w:p w:rsidR="00EE56C0" w:rsidRDefault="000F36A1">
            <w:pPr>
              <w:pStyle w:val="afa"/>
            </w:pPr>
            <w:r>
              <w:rPr>
                <w:rFonts w:ascii="宋体" w:hAnsi="宋体" w:cs="宋体" w:hint="eastAsia"/>
              </w:rPr>
              <w:t>苯胺</w:t>
            </w:r>
          </w:p>
        </w:tc>
        <w:tc>
          <w:tcPr>
            <w:tcW w:w="464" w:type="pct"/>
            <w:vAlign w:val="center"/>
          </w:tcPr>
          <w:p w:rsidR="00EE56C0" w:rsidRDefault="000F36A1">
            <w:pPr>
              <w:pStyle w:val="afa"/>
            </w:pPr>
            <w:r>
              <w:rPr>
                <w:rFonts w:hint="eastAsia"/>
              </w:rPr>
              <w:t>未检出</w:t>
            </w:r>
          </w:p>
        </w:tc>
        <w:tc>
          <w:tcPr>
            <w:tcW w:w="578" w:type="pct"/>
            <w:vAlign w:val="center"/>
          </w:tcPr>
          <w:p w:rsidR="00EE56C0" w:rsidRDefault="000F36A1">
            <w:pPr>
              <w:pStyle w:val="afa"/>
            </w:pPr>
            <w:r>
              <w:rPr>
                <w:rFonts w:hint="eastAsia"/>
              </w:rPr>
              <w:t>未检出</w:t>
            </w:r>
          </w:p>
        </w:tc>
        <w:tc>
          <w:tcPr>
            <w:tcW w:w="496" w:type="pct"/>
            <w:vAlign w:val="center"/>
          </w:tcPr>
          <w:p w:rsidR="00EE56C0" w:rsidRDefault="000F36A1">
            <w:pPr>
              <w:pStyle w:val="afa"/>
            </w:pPr>
            <w:r>
              <w:rPr>
                <w:rFonts w:hint="eastAsia"/>
              </w:rPr>
              <w:t>未检出</w:t>
            </w:r>
          </w:p>
        </w:tc>
        <w:tc>
          <w:tcPr>
            <w:tcW w:w="496" w:type="pct"/>
            <w:tcBorders>
              <w:right w:val="single" w:sz="4" w:space="0" w:color="auto"/>
            </w:tcBorders>
            <w:vAlign w:val="center"/>
          </w:tcPr>
          <w:p w:rsidR="00EE56C0" w:rsidRDefault="000F36A1">
            <w:pPr>
              <w:pStyle w:val="afa"/>
            </w:pPr>
            <w:r>
              <w:t>未检出</w:t>
            </w:r>
          </w:p>
        </w:tc>
        <w:tc>
          <w:tcPr>
            <w:tcW w:w="525" w:type="pct"/>
            <w:tcBorders>
              <w:left w:val="single" w:sz="4" w:space="0" w:color="auto"/>
              <w:right w:val="single" w:sz="4" w:space="0" w:color="auto"/>
            </w:tcBorders>
            <w:vAlign w:val="center"/>
          </w:tcPr>
          <w:p w:rsidR="00EE56C0" w:rsidRDefault="000F36A1">
            <w:pPr>
              <w:pStyle w:val="afa"/>
            </w:pPr>
            <w:r>
              <w:t>未检出</w:t>
            </w:r>
          </w:p>
        </w:tc>
        <w:tc>
          <w:tcPr>
            <w:tcW w:w="443" w:type="pct"/>
            <w:tcBorders>
              <w:left w:val="single" w:sz="4" w:space="0" w:color="auto"/>
              <w:right w:val="single" w:sz="4" w:space="0" w:color="auto"/>
            </w:tcBorders>
            <w:vAlign w:val="center"/>
          </w:tcPr>
          <w:p w:rsidR="00EE56C0" w:rsidRDefault="000F36A1">
            <w:pPr>
              <w:pStyle w:val="afa"/>
            </w:pPr>
            <w:r>
              <w:t>未检出</w:t>
            </w:r>
          </w:p>
        </w:tc>
        <w:tc>
          <w:tcPr>
            <w:tcW w:w="649" w:type="pct"/>
            <w:tcBorders>
              <w:left w:val="single" w:sz="4" w:space="0" w:color="auto"/>
            </w:tcBorders>
            <w:vAlign w:val="center"/>
          </w:tcPr>
          <w:p w:rsidR="00EE56C0" w:rsidRDefault="000F36A1">
            <w:pPr>
              <w:pStyle w:val="afa"/>
            </w:pPr>
            <w:r>
              <w:rPr>
                <w:rFonts w:hint="eastAsia"/>
              </w:rPr>
              <w:t>未检出</w:t>
            </w:r>
          </w:p>
        </w:tc>
      </w:tr>
      <w:tr w:rsidR="00EE56C0">
        <w:trPr>
          <w:trHeight w:val="425"/>
          <w:jc w:val="center"/>
        </w:trPr>
        <w:tc>
          <w:tcPr>
            <w:tcW w:w="291" w:type="pct"/>
            <w:vMerge/>
          </w:tcPr>
          <w:p w:rsidR="00EE56C0" w:rsidRDefault="00EE56C0">
            <w:pPr>
              <w:pStyle w:val="afa"/>
            </w:pPr>
          </w:p>
        </w:tc>
        <w:tc>
          <w:tcPr>
            <w:tcW w:w="322" w:type="pct"/>
            <w:vAlign w:val="center"/>
          </w:tcPr>
          <w:p w:rsidR="00EE56C0" w:rsidRDefault="000F36A1">
            <w:pPr>
              <w:pStyle w:val="afa"/>
            </w:pPr>
            <w:r>
              <w:rPr>
                <w:rFonts w:hint="eastAsia"/>
              </w:rPr>
              <w:t>38</w:t>
            </w:r>
          </w:p>
        </w:tc>
        <w:tc>
          <w:tcPr>
            <w:tcW w:w="736" w:type="pct"/>
            <w:vAlign w:val="center"/>
          </w:tcPr>
          <w:p w:rsidR="00EE56C0" w:rsidRDefault="000F36A1">
            <w:pPr>
              <w:pStyle w:val="afa"/>
            </w:pPr>
            <w:r>
              <w:t>2</w:t>
            </w:r>
            <w:r>
              <w:rPr>
                <w:rFonts w:ascii="宋体" w:hAnsi="宋体" w:cs="宋体" w:hint="eastAsia"/>
              </w:rPr>
              <w:t>-氯酚</w:t>
            </w:r>
          </w:p>
        </w:tc>
        <w:tc>
          <w:tcPr>
            <w:tcW w:w="464" w:type="pct"/>
            <w:vAlign w:val="center"/>
          </w:tcPr>
          <w:p w:rsidR="00EE56C0" w:rsidRDefault="000F36A1">
            <w:pPr>
              <w:pStyle w:val="afa"/>
            </w:pPr>
            <w:r>
              <w:rPr>
                <w:rFonts w:hint="eastAsia"/>
              </w:rPr>
              <w:t>未检出</w:t>
            </w:r>
          </w:p>
        </w:tc>
        <w:tc>
          <w:tcPr>
            <w:tcW w:w="578" w:type="pct"/>
            <w:vAlign w:val="center"/>
          </w:tcPr>
          <w:p w:rsidR="00EE56C0" w:rsidRDefault="000F36A1">
            <w:pPr>
              <w:pStyle w:val="afa"/>
            </w:pPr>
            <w:r>
              <w:rPr>
                <w:rFonts w:hint="eastAsia"/>
              </w:rPr>
              <w:t>未检出</w:t>
            </w:r>
          </w:p>
        </w:tc>
        <w:tc>
          <w:tcPr>
            <w:tcW w:w="496" w:type="pct"/>
            <w:vAlign w:val="center"/>
          </w:tcPr>
          <w:p w:rsidR="00EE56C0" w:rsidRDefault="000F36A1">
            <w:pPr>
              <w:pStyle w:val="afa"/>
            </w:pPr>
            <w:r>
              <w:rPr>
                <w:rFonts w:hint="eastAsia"/>
              </w:rPr>
              <w:t>未检出</w:t>
            </w:r>
          </w:p>
        </w:tc>
        <w:tc>
          <w:tcPr>
            <w:tcW w:w="496" w:type="pct"/>
            <w:tcBorders>
              <w:right w:val="single" w:sz="4" w:space="0" w:color="auto"/>
            </w:tcBorders>
            <w:vAlign w:val="center"/>
          </w:tcPr>
          <w:p w:rsidR="00EE56C0" w:rsidRDefault="000F36A1">
            <w:pPr>
              <w:pStyle w:val="afa"/>
            </w:pPr>
            <w:r>
              <w:t>未检出</w:t>
            </w:r>
          </w:p>
        </w:tc>
        <w:tc>
          <w:tcPr>
            <w:tcW w:w="525" w:type="pct"/>
            <w:tcBorders>
              <w:left w:val="single" w:sz="4" w:space="0" w:color="auto"/>
              <w:right w:val="single" w:sz="4" w:space="0" w:color="auto"/>
            </w:tcBorders>
            <w:vAlign w:val="center"/>
          </w:tcPr>
          <w:p w:rsidR="00EE56C0" w:rsidRDefault="000F36A1">
            <w:pPr>
              <w:pStyle w:val="afa"/>
            </w:pPr>
            <w:r>
              <w:t>未检出</w:t>
            </w:r>
          </w:p>
        </w:tc>
        <w:tc>
          <w:tcPr>
            <w:tcW w:w="443" w:type="pct"/>
            <w:tcBorders>
              <w:left w:val="single" w:sz="4" w:space="0" w:color="auto"/>
              <w:right w:val="single" w:sz="4" w:space="0" w:color="auto"/>
            </w:tcBorders>
            <w:vAlign w:val="center"/>
          </w:tcPr>
          <w:p w:rsidR="00EE56C0" w:rsidRDefault="000F36A1">
            <w:pPr>
              <w:pStyle w:val="afa"/>
            </w:pPr>
            <w:r>
              <w:t>未检出</w:t>
            </w:r>
          </w:p>
        </w:tc>
        <w:tc>
          <w:tcPr>
            <w:tcW w:w="649" w:type="pct"/>
            <w:tcBorders>
              <w:left w:val="single" w:sz="4" w:space="0" w:color="auto"/>
            </w:tcBorders>
            <w:vAlign w:val="center"/>
          </w:tcPr>
          <w:p w:rsidR="00EE56C0" w:rsidRDefault="000F36A1">
            <w:pPr>
              <w:pStyle w:val="afa"/>
            </w:pPr>
            <w:r>
              <w:rPr>
                <w:rFonts w:hint="eastAsia"/>
              </w:rPr>
              <w:t>未检出</w:t>
            </w:r>
          </w:p>
        </w:tc>
      </w:tr>
      <w:tr w:rsidR="00EE56C0">
        <w:trPr>
          <w:trHeight w:val="425"/>
          <w:jc w:val="center"/>
        </w:trPr>
        <w:tc>
          <w:tcPr>
            <w:tcW w:w="291" w:type="pct"/>
            <w:vMerge/>
          </w:tcPr>
          <w:p w:rsidR="00EE56C0" w:rsidRDefault="00EE56C0">
            <w:pPr>
              <w:pStyle w:val="afa"/>
            </w:pPr>
          </w:p>
        </w:tc>
        <w:tc>
          <w:tcPr>
            <w:tcW w:w="322" w:type="pct"/>
            <w:vAlign w:val="center"/>
          </w:tcPr>
          <w:p w:rsidR="00EE56C0" w:rsidRDefault="000F36A1">
            <w:pPr>
              <w:pStyle w:val="afa"/>
            </w:pPr>
            <w:r>
              <w:rPr>
                <w:rFonts w:hint="eastAsia"/>
              </w:rPr>
              <w:t>39</w:t>
            </w:r>
          </w:p>
        </w:tc>
        <w:tc>
          <w:tcPr>
            <w:tcW w:w="736" w:type="pct"/>
            <w:vAlign w:val="center"/>
          </w:tcPr>
          <w:p w:rsidR="00EE56C0" w:rsidRDefault="000F36A1">
            <w:pPr>
              <w:pStyle w:val="afa"/>
            </w:pPr>
            <w:r>
              <w:rPr>
                <w:rFonts w:ascii="宋体" w:hAnsi="宋体" w:cs="宋体" w:hint="eastAsia"/>
              </w:rPr>
              <w:t>苯并</w:t>
            </w:r>
            <w:r>
              <w:t>[a]</w:t>
            </w:r>
            <w:r>
              <w:rPr>
                <w:rFonts w:ascii="宋体" w:hAnsi="宋体" w:cs="宋体" w:hint="eastAsia"/>
              </w:rPr>
              <w:t>蒽</w:t>
            </w:r>
          </w:p>
        </w:tc>
        <w:tc>
          <w:tcPr>
            <w:tcW w:w="464" w:type="pct"/>
            <w:vAlign w:val="center"/>
          </w:tcPr>
          <w:p w:rsidR="00EE56C0" w:rsidRDefault="000F36A1">
            <w:pPr>
              <w:pStyle w:val="afa"/>
            </w:pPr>
            <w:r>
              <w:rPr>
                <w:rFonts w:hint="eastAsia"/>
              </w:rPr>
              <w:t>未检出</w:t>
            </w:r>
          </w:p>
        </w:tc>
        <w:tc>
          <w:tcPr>
            <w:tcW w:w="578" w:type="pct"/>
            <w:vAlign w:val="center"/>
          </w:tcPr>
          <w:p w:rsidR="00EE56C0" w:rsidRDefault="000F36A1">
            <w:pPr>
              <w:pStyle w:val="afa"/>
            </w:pPr>
            <w:r>
              <w:rPr>
                <w:rFonts w:hint="eastAsia"/>
              </w:rPr>
              <w:t>未检出</w:t>
            </w:r>
          </w:p>
        </w:tc>
        <w:tc>
          <w:tcPr>
            <w:tcW w:w="496" w:type="pct"/>
            <w:vAlign w:val="center"/>
          </w:tcPr>
          <w:p w:rsidR="00EE56C0" w:rsidRDefault="000F36A1">
            <w:pPr>
              <w:pStyle w:val="afa"/>
            </w:pPr>
            <w:r>
              <w:rPr>
                <w:rFonts w:hint="eastAsia"/>
              </w:rPr>
              <w:t>未检出</w:t>
            </w:r>
          </w:p>
        </w:tc>
        <w:tc>
          <w:tcPr>
            <w:tcW w:w="496" w:type="pct"/>
            <w:tcBorders>
              <w:right w:val="single" w:sz="4" w:space="0" w:color="auto"/>
            </w:tcBorders>
            <w:vAlign w:val="center"/>
          </w:tcPr>
          <w:p w:rsidR="00EE56C0" w:rsidRDefault="000F36A1">
            <w:pPr>
              <w:pStyle w:val="afa"/>
            </w:pPr>
            <w:r>
              <w:t>未检出</w:t>
            </w:r>
          </w:p>
        </w:tc>
        <w:tc>
          <w:tcPr>
            <w:tcW w:w="525" w:type="pct"/>
            <w:tcBorders>
              <w:left w:val="single" w:sz="4" w:space="0" w:color="auto"/>
              <w:right w:val="single" w:sz="4" w:space="0" w:color="auto"/>
            </w:tcBorders>
            <w:vAlign w:val="center"/>
          </w:tcPr>
          <w:p w:rsidR="00EE56C0" w:rsidRDefault="000F36A1">
            <w:pPr>
              <w:pStyle w:val="afa"/>
            </w:pPr>
            <w:r>
              <w:t>未检出</w:t>
            </w:r>
          </w:p>
        </w:tc>
        <w:tc>
          <w:tcPr>
            <w:tcW w:w="443" w:type="pct"/>
            <w:tcBorders>
              <w:left w:val="single" w:sz="4" w:space="0" w:color="auto"/>
              <w:right w:val="single" w:sz="4" w:space="0" w:color="auto"/>
            </w:tcBorders>
            <w:vAlign w:val="center"/>
          </w:tcPr>
          <w:p w:rsidR="00EE56C0" w:rsidRDefault="000F36A1">
            <w:pPr>
              <w:pStyle w:val="afa"/>
            </w:pPr>
            <w:r>
              <w:t>未检出</w:t>
            </w:r>
          </w:p>
        </w:tc>
        <w:tc>
          <w:tcPr>
            <w:tcW w:w="649" w:type="pct"/>
            <w:tcBorders>
              <w:left w:val="single" w:sz="4" w:space="0" w:color="auto"/>
            </w:tcBorders>
            <w:vAlign w:val="center"/>
          </w:tcPr>
          <w:p w:rsidR="00EE56C0" w:rsidRDefault="000F36A1">
            <w:pPr>
              <w:pStyle w:val="afa"/>
            </w:pPr>
            <w:r>
              <w:rPr>
                <w:rFonts w:hint="eastAsia"/>
              </w:rPr>
              <w:t>未检出</w:t>
            </w:r>
          </w:p>
        </w:tc>
      </w:tr>
      <w:tr w:rsidR="00EE56C0">
        <w:trPr>
          <w:trHeight w:val="425"/>
          <w:jc w:val="center"/>
        </w:trPr>
        <w:tc>
          <w:tcPr>
            <w:tcW w:w="291" w:type="pct"/>
            <w:vMerge/>
          </w:tcPr>
          <w:p w:rsidR="00EE56C0" w:rsidRDefault="00EE56C0">
            <w:pPr>
              <w:pStyle w:val="afa"/>
            </w:pPr>
          </w:p>
        </w:tc>
        <w:tc>
          <w:tcPr>
            <w:tcW w:w="322" w:type="pct"/>
            <w:vAlign w:val="center"/>
          </w:tcPr>
          <w:p w:rsidR="00EE56C0" w:rsidRDefault="000F36A1">
            <w:pPr>
              <w:pStyle w:val="afa"/>
            </w:pPr>
            <w:r>
              <w:rPr>
                <w:rFonts w:hint="eastAsia"/>
              </w:rPr>
              <w:t>40</w:t>
            </w:r>
          </w:p>
        </w:tc>
        <w:tc>
          <w:tcPr>
            <w:tcW w:w="736" w:type="pct"/>
            <w:vAlign w:val="center"/>
          </w:tcPr>
          <w:p w:rsidR="00EE56C0" w:rsidRDefault="000F36A1">
            <w:pPr>
              <w:pStyle w:val="afa"/>
            </w:pPr>
            <w:r>
              <w:rPr>
                <w:rFonts w:ascii="宋体" w:hAnsi="宋体" w:cs="宋体" w:hint="eastAsia"/>
              </w:rPr>
              <w:t>苯并</w:t>
            </w:r>
            <w:r>
              <w:t>[a]</w:t>
            </w:r>
            <w:r>
              <w:rPr>
                <w:rFonts w:ascii="宋体" w:hAnsi="宋体" w:cs="宋体" w:hint="eastAsia"/>
              </w:rPr>
              <w:t>芘</w:t>
            </w:r>
          </w:p>
        </w:tc>
        <w:tc>
          <w:tcPr>
            <w:tcW w:w="464" w:type="pct"/>
            <w:vAlign w:val="center"/>
          </w:tcPr>
          <w:p w:rsidR="00EE56C0" w:rsidRDefault="000F36A1">
            <w:pPr>
              <w:pStyle w:val="afa"/>
            </w:pPr>
            <w:r>
              <w:rPr>
                <w:rFonts w:hint="eastAsia"/>
              </w:rPr>
              <w:t>未检出</w:t>
            </w:r>
          </w:p>
        </w:tc>
        <w:tc>
          <w:tcPr>
            <w:tcW w:w="578" w:type="pct"/>
            <w:vAlign w:val="center"/>
          </w:tcPr>
          <w:p w:rsidR="00EE56C0" w:rsidRDefault="000F36A1">
            <w:pPr>
              <w:pStyle w:val="afa"/>
            </w:pPr>
            <w:r>
              <w:rPr>
                <w:rFonts w:hint="eastAsia"/>
              </w:rPr>
              <w:t>未检出</w:t>
            </w:r>
          </w:p>
        </w:tc>
        <w:tc>
          <w:tcPr>
            <w:tcW w:w="496" w:type="pct"/>
            <w:vAlign w:val="center"/>
          </w:tcPr>
          <w:p w:rsidR="00EE56C0" w:rsidRDefault="000F36A1">
            <w:pPr>
              <w:pStyle w:val="afa"/>
            </w:pPr>
            <w:r>
              <w:rPr>
                <w:rFonts w:hint="eastAsia"/>
              </w:rPr>
              <w:t>未检出</w:t>
            </w:r>
          </w:p>
        </w:tc>
        <w:tc>
          <w:tcPr>
            <w:tcW w:w="496" w:type="pct"/>
            <w:tcBorders>
              <w:right w:val="single" w:sz="4" w:space="0" w:color="auto"/>
            </w:tcBorders>
            <w:vAlign w:val="center"/>
          </w:tcPr>
          <w:p w:rsidR="00EE56C0" w:rsidRDefault="000F36A1">
            <w:pPr>
              <w:pStyle w:val="afa"/>
            </w:pPr>
            <w:r>
              <w:t>未检出</w:t>
            </w:r>
          </w:p>
        </w:tc>
        <w:tc>
          <w:tcPr>
            <w:tcW w:w="525" w:type="pct"/>
            <w:tcBorders>
              <w:left w:val="single" w:sz="4" w:space="0" w:color="auto"/>
              <w:right w:val="single" w:sz="4" w:space="0" w:color="auto"/>
            </w:tcBorders>
            <w:vAlign w:val="center"/>
          </w:tcPr>
          <w:p w:rsidR="00EE56C0" w:rsidRDefault="000F36A1">
            <w:pPr>
              <w:pStyle w:val="afa"/>
            </w:pPr>
            <w:r>
              <w:t>未检出</w:t>
            </w:r>
          </w:p>
        </w:tc>
        <w:tc>
          <w:tcPr>
            <w:tcW w:w="443" w:type="pct"/>
            <w:tcBorders>
              <w:left w:val="single" w:sz="4" w:space="0" w:color="auto"/>
              <w:right w:val="single" w:sz="4" w:space="0" w:color="auto"/>
            </w:tcBorders>
            <w:vAlign w:val="center"/>
          </w:tcPr>
          <w:p w:rsidR="00EE56C0" w:rsidRDefault="000F36A1">
            <w:pPr>
              <w:pStyle w:val="afa"/>
            </w:pPr>
            <w:r>
              <w:t>未检出</w:t>
            </w:r>
          </w:p>
        </w:tc>
        <w:tc>
          <w:tcPr>
            <w:tcW w:w="649" w:type="pct"/>
            <w:tcBorders>
              <w:left w:val="single" w:sz="4" w:space="0" w:color="auto"/>
            </w:tcBorders>
            <w:vAlign w:val="center"/>
          </w:tcPr>
          <w:p w:rsidR="00EE56C0" w:rsidRDefault="000F36A1">
            <w:pPr>
              <w:pStyle w:val="afa"/>
            </w:pPr>
            <w:r>
              <w:rPr>
                <w:rFonts w:hint="eastAsia"/>
              </w:rPr>
              <w:t>未检出</w:t>
            </w:r>
          </w:p>
        </w:tc>
      </w:tr>
      <w:tr w:rsidR="00EE56C0">
        <w:trPr>
          <w:trHeight w:val="425"/>
          <w:jc w:val="center"/>
        </w:trPr>
        <w:tc>
          <w:tcPr>
            <w:tcW w:w="291" w:type="pct"/>
            <w:vMerge/>
          </w:tcPr>
          <w:p w:rsidR="00EE56C0" w:rsidRDefault="00EE56C0">
            <w:pPr>
              <w:pStyle w:val="afa"/>
            </w:pPr>
          </w:p>
        </w:tc>
        <w:tc>
          <w:tcPr>
            <w:tcW w:w="322" w:type="pct"/>
            <w:vAlign w:val="center"/>
          </w:tcPr>
          <w:p w:rsidR="00EE56C0" w:rsidRDefault="000F36A1">
            <w:pPr>
              <w:pStyle w:val="afa"/>
            </w:pPr>
            <w:r>
              <w:rPr>
                <w:rFonts w:hint="eastAsia"/>
              </w:rPr>
              <w:t>41</w:t>
            </w:r>
          </w:p>
        </w:tc>
        <w:tc>
          <w:tcPr>
            <w:tcW w:w="736" w:type="pct"/>
            <w:vAlign w:val="center"/>
          </w:tcPr>
          <w:p w:rsidR="00EE56C0" w:rsidRDefault="000F36A1">
            <w:pPr>
              <w:pStyle w:val="afa"/>
            </w:pPr>
            <w:r>
              <w:rPr>
                <w:rFonts w:ascii="宋体" w:hAnsi="宋体" w:cs="宋体" w:hint="eastAsia"/>
              </w:rPr>
              <w:t>苯并</w:t>
            </w:r>
            <w:r>
              <w:t>[b]</w:t>
            </w:r>
            <w:r>
              <w:rPr>
                <w:rFonts w:ascii="宋体" w:hAnsi="宋体" w:cs="宋体" w:hint="eastAsia"/>
              </w:rPr>
              <w:t>荧蒽</w:t>
            </w:r>
          </w:p>
        </w:tc>
        <w:tc>
          <w:tcPr>
            <w:tcW w:w="464" w:type="pct"/>
            <w:vAlign w:val="center"/>
          </w:tcPr>
          <w:p w:rsidR="00EE56C0" w:rsidRDefault="000F36A1">
            <w:pPr>
              <w:pStyle w:val="afa"/>
            </w:pPr>
            <w:r>
              <w:rPr>
                <w:rFonts w:hint="eastAsia"/>
              </w:rPr>
              <w:t>未检出</w:t>
            </w:r>
          </w:p>
        </w:tc>
        <w:tc>
          <w:tcPr>
            <w:tcW w:w="578" w:type="pct"/>
            <w:vAlign w:val="center"/>
          </w:tcPr>
          <w:p w:rsidR="00EE56C0" w:rsidRDefault="000F36A1">
            <w:pPr>
              <w:pStyle w:val="afa"/>
            </w:pPr>
            <w:r>
              <w:rPr>
                <w:rFonts w:hint="eastAsia"/>
              </w:rPr>
              <w:t>未检出</w:t>
            </w:r>
          </w:p>
        </w:tc>
        <w:tc>
          <w:tcPr>
            <w:tcW w:w="496" w:type="pct"/>
            <w:vAlign w:val="center"/>
          </w:tcPr>
          <w:p w:rsidR="00EE56C0" w:rsidRDefault="000F36A1">
            <w:pPr>
              <w:pStyle w:val="afa"/>
            </w:pPr>
            <w:r>
              <w:rPr>
                <w:rFonts w:hint="eastAsia"/>
              </w:rPr>
              <w:t>未检出</w:t>
            </w:r>
          </w:p>
        </w:tc>
        <w:tc>
          <w:tcPr>
            <w:tcW w:w="496" w:type="pct"/>
            <w:tcBorders>
              <w:right w:val="single" w:sz="4" w:space="0" w:color="auto"/>
            </w:tcBorders>
            <w:vAlign w:val="center"/>
          </w:tcPr>
          <w:p w:rsidR="00EE56C0" w:rsidRDefault="000F36A1">
            <w:pPr>
              <w:pStyle w:val="afa"/>
            </w:pPr>
            <w:r>
              <w:t>未检出</w:t>
            </w:r>
          </w:p>
        </w:tc>
        <w:tc>
          <w:tcPr>
            <w:tcW w:w="525" w:type="pct"/>
            <w:tcBorders>
              <w:left w:val="single" w:sz="4" w:space="0" w:color="auto"/>
              <w:right w:val="single" w:sz="4" w:space="0" w:color="auto"/>
            </w:tcBorders>
            <w:vAlign w:val="center"/>
          </w:tcPr>
          <w:p w:rsidR="00EE56C0" w:rsidRDefault="000F36A1">
            <w:pPr>
              <w:pStyle w:val="afa"/>
            </w:pPr>
            <w:r>
              <w:t>未检出</w:t>
            </w:r>
          </w:p>
        </w:tc>
        <w:tc>
          <w:tcPr>
            <w:tcW w:w="443" w:type="pct"/>
            <w:tcBorders>
              <w:left w:val="single" w:sz="4" w:space="0" w:color="auto"/>
              <w:right w:val="single" w:sz="4" w:space="0" w:color="auto"/>
            </w:tcBorders>
            <w:vAlign w:val="center"/>
          </w:tcPr>
          <w:p w:rsidR="00EE56C0" w:rsidRDefault="000F36A1">
            <w:pPr>
              <w:pStyle w:val="afa"/>
            </w:pPr>
            <w:r>
              <w:t>未检出</w:t>
            </w:r>
          </w:p>
        </w:tc>
        <w:tc>
          <w:tcPr>
            <w:tcW w:w="649" w:type="pct"/>
            <w:tcBorders>
              <w:left w:val="single" w:sz="4" w:space="0" w:color="auto"/>
            </w:tcBorders>
            <w:vAlign w:val="center"/>
          </w:tcPr>
          <w:p w:rsidR="00EE56C0" w:rsidRDefault="000F36A1">
            <w:pPr>
              <w:pStyle w:val="afa"/>
            </w:pPr>
            <w:r>
              <w:rPr>
                <w:rFonts w:hint="eastAsia"/>
              </w:rPr>
              <w:t>未检出</w:t>
            </w:r>
          </w:p>
        </w:tc>
      </w:tr>
      <w:tr w:rsidR="00EE56C0">
        <w:trPr>
          <w:trHeight w:val="425"/>
          <w:jc w:val="center"/>
        </w:trPr>
        <w:tc>
          <w:tcPr>
            <w:tcW w:w="291" w:type="pct"/>
            <w:vMerge/>
            <w:vAlign w:val="center"/>
          </w:tcPr>
          <w:p w:rsidR="00EE56C0" w:rsidRDefault="00EE56C0">
            <w:pPr>
              <w:pStyle w:val="afa"/>
            </w:pPr>
          </w:p>
        </w:tc>
        <w:tc>
          <w:tcPr>
            <w:tcW w:w="322" w:type="pct"/>
            <w:vAlign w:val="center"/>
          </w:tcPr>
          <w:p w:rsidR="00EE56C0" w:rsidRDefault="000F36A1">
            <w:pPr>
              <w:pStyle w:val="afa"/>
            </w:pPr>
            <w:r>
              <w:rPr>
                <w:rFonts w:hint="eastAsia"/>
              </w:rPr>
              <w:t>42</w:t>
            </w:r>
          </w:p>
        </w:tc>
        <w:tc>
          <w:tcPr>
            <w:tcW w:w="736" w:type="pct"/>
            <w:vAlign w:val="center"/>
          </w:tcPr>
          <w:p w:rsidR="00EE56C0" w:rsidRDefault="000F36A1">
            <w:pPr>
              <w:pStyle w:val="afa"/>
            </w:pPr>
            <w:r>
              <w:rPr>
                <w:rFonts w:ascii="宋体" w:hAnsi="宋体" w:cs="宋体" w:hint="eastAsia"/>
              </w:rPr>
              <w:t>苯并</w:t>
            </w:r>
            <w:r>
              <w:t>[k]</w:t>
            </w:r>
            <w:r>
              <w:rPr>
                <w:rFonts w:ascii="宋体" w:hAnsi="宋体" w:cs="宋体" w:hint="eastAsia"/>
              </w:rPr>
              <w:t>荧蒽</w:t>
            </w:r>
          </w:p>
        </w:tc>
        <w:tc>
          <w:tcPr>
            <w:tcW w:w="464" w:type="pct"/>
            <w:vAlign w:val="center"/>
          </w:tcPr>
          <w:p w:rsidR="00EE56C0" w:rsidRDefault="000F36A1">
            <w:pPr>
              <w:pStyle w:val="afa"/>
            </w:pPr>
            <w:r>
              <w:rPr>
                <w:rFonts w:hint="eastAsia"/>
              </w:rPr>
              <w:t>未检出</w:t>
            </w:r>
          </w:p>
        </w:tc>
        <w:tc>
          <w:tcPr>
            <w:tcW w:w="578" w:type="pct"/>
            <w:vAlign w:val="center"/>
          </w:tcPr>
          <w:p w:rsidR="00EE56C0" w:rsidRDefault="000F36A1">
            <w:pPr>
              <w:pStyle w:val="afa"/>
            </w:pPr>
            <w:r>
              <w:rPr>
                <w:rFonts w:hint="eastAsia"/>
              </w:rPr>
              <w:t>未检出</w:t>
            </w:r>
          </w:p>
        </w:tc>
        <w:tc>
          <w:tcPr>
            <w:tcW w:w="496" w:type="pct"/>
            <w:vAlign w:val="center"/>
          </w:tcPr>
          <w:p w:rsidR="00EE56C0" w:rsidRDefault="000F36A1">
            <w:pPr>
              <w:pStyle w:val="afa"/>
            </w:pPr>
            <w:r>
              <w:rPr>
                <w:rFonts w:hint="eastAsia"/>
              </w:rPr>
              <w:t>未检出</w:t>
            </w:r>
          </w:p>
        </w:tc>
        <w:tc>
          <w:tcPr>
            <w:tcW w:w="496" w:type="pct"/>
            <w:tcBorders>
              <w:right w:val="single" w:sz="4" w:space="0" w:color="auto"/>
            </w:tcBorders>
            <w:vAlign w:val="center"/>
          </w:tcPr>
          <w:p w:rsidR="00EE56C0" w:rsidRDefault="000F36A1">
            <w:pPr>
              <w:pStyle w:val="afa"/>
            </w:pPr>
            <w:r>
              <w:t>未检出</w:t>
            </w:r>
          </w:p>
        </w:tc>
        <w:tc>
          <w:tcPr>
            <w:tcW w:w="525" w:type="pct"/>
            <w:tcBorders>
              <w:left w:val="single" w:sz="4" w:space="0" w:color="auto"/>
              <w:right w:val="single" w:sz="4" w:space="0" w:color="auto"/>
            </w:tcBorders>
            <w:vAlign w:val="center"/>
          </w:tcPr>
          <w:p w:rsidR="00EE56C0" w:rsidRDefault="000F36A1">
            <w:pPr>
              <w:pStyle w:val="afa"/>
            </w:pPr>
            <w:r>
              <w:t>未检出</w:t>
            </w:r>
          </w:p>
        </w:tc>
        <w:tc>
          <w:tcPr>
            <w:tcW w:w="443" w:type="pct"/>
            <w:tcBorders>
              <w:left w:val="single" w:sz="4" w:space="0" w:color="auto"/>
              <w:right w:val="single" w:sz="4" w:space="0" w:color="auto"/>
            </w:tcBorders>
            <w:vAlign w:val="center"/>
          </w:tcPr>
          <w:p w:rsidR="00EE56C0" w:rsidRDefault="000F36A1">
            <w:pPr>
              <w:pStyle w:val="afa"/>
            </w:pPr>
            <w:r>
              <w:t>未检出</w:t>
            </w:r>
          </w:p>
        </w:tc>
        <w:tc>
          <w:tcPr>
            <w:tcW w:w="649" w:type="pct"/>
            <w:tcBorders>
              <w:left w:val="single" w:sz="4" w:space="0" w:color="auto"/>
            </w:tcBorders>
            <w:vAlign w:val="center"/>
          </w:tcPr>
          <w:p w:rsidR="00EE56C0" w:rsidRDefault="000F36A1">
            <w:pPr>
              <w:pStyle w:val="afa"/>
            </w:pPr>
            <w:r>
              <w:rPr>
                <w:rFonts w:hint="eastAsia"/>
              </w:rPr>
              <w:t>未检出</w:t>
            </w:r>
          </w:p>
        </w:tc>
      </w:tr>
      <w:tr w:rsidR="00EE56C0">
        <w:trPr>
          <w:trHeight w:val="425"/>
          <w:jc w:val="center"/>
        </w:trPr>
        <w:tc>
          <w:tcPr>
            <w:tcW w:w="291" w:type="pct"/>
            <w:vMerge/>
          </w:tcPr>
          <w:p w:rsidR="00EE56C0" w:rsidRDefault="00EE56C0">
            <w:pPr>
              <w:pStyle w:val="afa"/>
            </w:pPr>
          </w:p>
        </w:tc>
        <w:tc>
          <w:tcPr>
            <w:tcW w:w="322" w:type="pct"/>
            <w:vAlign w:val="center"/>
          </w:tcPr>
          <w:p w:rsidR="00EE56C0" w:rsidRDefault="000F36A1">
            <w:pPr>
              <w:pStyle w:val="afa"/>
            </w:pPr>
            <w:r>
              <w:rPr>
                <w:rFonts w:hint="eastAsia"/>
              </w:rPr>
              <w:t>43</w:t>
            </w:r>
          </w:p>
        </w:tc>
        <w:tc>
          <w:tcPr>
            <w:tcW w:w="736" w:type="pct"/>
            <w:vAlign w:val="center"/>
          </w:tcPr>
          <w:p w:rsidR="00EE56C0" w:rsidRDefault="000F36A1">
            <w:pPr>
              <w:pStyle w:val="afa"/>
            </w:pPr>
            <w:r>
              <w:rPr>
                <w:rFonts w:ascii="宋体" w:hAnsi="宋体" w:cs="宋体" w:hint="eastAsia"/>
              </w:rPr>
              <w:t>䓛</w:t>
            </w:r>
          </w:p>
        </w:tc>
        <w:tc>
          <w:tcPr>
            <w:tcW w:w="464" w:type="pct"/>
            <w:vAlign w:val="center"/>
          </w:tcPr>
          <w:p w:rsidR="00EE56C0" w:rsidRDefault="000F36A1">
            <w:pPr>
              <w:pStyle w:val="afa"/>
            </w:pPr>
            <w:r>
              <w:rPr>
                <w:rFonts w:hint="eastAsia"/>
              </w:rPr>
              <w:t>未检出</w:t>
            </w:r>
          </w:p>
        </w:tc>
        <w:tc>
          <w:tcPr>
            <w:tcW w:w="578" w:type="pct"/>
            <w:vAlign w:val="center"/>
          </w:tcPr>
          <w:p w:rsidR="00EE56C0" w:rsidRDefault="000F36A1">
            <w:pPr>
              <w:pStyle w:val="afa"/>
            </w:pPr>
            <w:r>
              <w:rPr>
                <w:rFonts w:hint="eastAsia"/>
              </w:rPr>
              <w:t>未检出</w:t>
            </w:r>
          </w:p>
        </w:tc>
        <w:tc>
          <w:tcPr>
            <w:tcW w:w="496" w:type="pct"/>
            <w:vAlign w:val="center"/>
          </w:tcPr>
          <w:p w:rsidR="00EE56C0" w:rsidRDefault="000F36A1">
            <w:pPr>
              <w:pStyle w:val="afa"/>
            </w:pPr>
            <w:r>
              <w:rPr>
                <w:rFonts w:hint="eastAsia"/>
              </w:rPr>
              <w:t>未检出</w:t>
            </w:r>
          </w:p>
        </w:tc>
        <w:tc>
          <w:tcPr>
            <w:tcW w:w="496" w:type="pct"/>
            <w:tcBorders>
              <w:right w:val="single" w:sz="4" w:space="0" w:color="auto"/>
            </w:tcBorders>
            <w:vAlign w:val="center"/>
          </w:tcPr>
          <w:p w:rsidR="00EE56C0" w:rsidRDefault="000F36A1">
            <w:pPr>
              <w:pStyle w:val="afa"/>
            </w:pPr>
            <w:r>
              <w:t>未检出</w:t>
            </w:r>
          </w:p>
        </w:tc>
        <w:tc>
          <w:tcPr>
            <w:tcW w:w="525" w:type="pct"/>
            <w:tcBorders>
              <w:left w:val="single" w:sz="4" w:space="0" w:color="auto"/>
              <w:right w:val="single" w:sz="4" w:space="0" w:color="auto"/>
            </w:tcBorders>
            <w:vAlign w:val="center"/>
          </w:tcPr>
          <w:p w:rsidR="00EE56C0" w:rsidRDefault="000F36A1">
            <w:pPr>
              <w:pStyle w:val="afa"/>
            </w:pPr>
            <w:r>
              <w:t>未检出</w:t>
            </w:r>
          </w:p>
        </w:tc>
        <w:tc>
          <w:tcPr>
            <w:tcW w:w="443" w:type="pct"/>
            <w:tcBorders>
              <w:left w:val="single" w:sz="4" w:space="0" w:color="auto"/>
              <w:right w:val="single" w:sz="4" w:space="0" w:color="auto"/>
            </w:tcBorders>
            <w:vAlign w:val="center"/>
          </w:tcPr>
          <w:p w:rsidR="00EE56C0" w:rsidRDefault="000F36A1">
            <w:pPr>
              <w:pStyle w:val="afa"/>
            </w:pPr>
            <w:r>
              <w:t>未检出</w:t>
            </w:r>
          </w:p>
        </w:tc>
        <w:tc>
          <w:tcPr>
            <w:tcW w:w="649" w:type="pct"/>
            <w:tcBorders>
              <w:left w:val="single" w:sz="4" w:space="0" w:color="auto"/>
            </w:tcBorders>
            <w:vAlign w:val="center"/>
          </w:tcPr>
          <w:p w:rsidR="00EE56C0" w:rsidRDefault="000F36A1">
            <w:pPr>
              <w:pStyle w:val="afa"/>
            </w:pPr>
            <w:r>
              <w:rPr>
                <w:rFonts w:hint="eastAsia"/>
              </w:rPr>
              <w:t>未检出</w:t>
            </w:r>
          </w:p>
        </w:tc>
      </w:tr>
      <w:tr w:rsidR="00EE56C0">
        <w:trPr>
          <w:trHeight w:val="425"/>
          <w:jc w:val="center"/>
        </w:trPr>
        <w:tc>
          <w:tcPr>
            <w:tcW w:w="291" w:type="pct"/>
            <w:vMerge/>
          </w:tcPr>
          <w:p w:rsidR="00EE56C0" w:rsidRDefault="00EE56C0">
            <w:pPr>
              <w:pStyle w:val="afa"/>
            </w:pPr>
          </w:p>
        </w:tc>
        <w:tc>
          <w:tcPr>
            <w:tcW w:w="322" w:type="pct"/>
            <w:vAlign w:val="center"/>
          </w:tcPr>
          <w:p w:rsidR="00EE56C0" w:rsidRDefault="000F36A1">
            <w:pPr>
              <w:pStyle w:val="afa"/>
            </w:pPr>
            <w:r>
              <w:rPr>
                <w:rFonts w:hint="eastAsia"/>
              </w:rPr>
              <w:t>44</w:t>
            </w:r>
          </w:p>
        </w:tc>
        <w:tc>
          <w:tcPr>
            <w:tcW w:w="736" w:type="pct"/>
            <w:vAlign w:val="center"/>
          </w:tcPr>
          <w:p w:rsidR="00EE56C0" w:rsidRDefault="000F36A1">
            <w:pPr>
              <w:pStyle w:val="afa"/>
            </w:pPr>
            <w:r>
              <w:rPr>
                <w:rFonts w:ascii="宋体" w:hAnsi="宋体" w:cs="宋体" w:hint="eastAsia"/>
              </w:rPr>
              <w:t>二苯并</w:t>
            </w:r>
            <w:r>
              <w:t>[a,h]</w:t>
            </w:r>
            <w:r>
              <w:rPr>
                <w:rFonts w:ascii="宋体" w:hAnsi="宋体" w:cs="宋体" w:hint="eastAsia"/>
              </w:rPr>
              <w:t>蒽</w:t>
            </w:r>
          </w:p>
        </w:tc>
        <w:tc>
          <w:tcPr>
            <w:tcW w:w="464" w:type="pct"/>
            <w:vAlign w:val="center"/>
          </w:tcPr>
          <w:p w:rsidR="00EE56C0" w:rsidRDefault="000F36A1">
            <w:pPr>
              <w:pStyle w:val="afa"/>
            </w:pPr>
            <w:r>
              <w:rPr>
                <w:rFonts w:hint="eastAsia"/>
              </w:rPr>
              <w:t>未检出</w:t>
            </w:r>
          </w:p>
        </w:tc>
        <w:tc>
          <w:tcPr>
            <w:tcW w:w="578" w:type="pct"/>
            <w:vAlign w:val="center"/>
          </w:tcPr>
          <w:p w:rsidR="00EE56C0" w:rsidRDefault="000F36A1">
            <w:pPr>
              <w:pStyle w:val="afa"/>
            </w:pPr>
            <w:r>
              <w:rPr>
                <w:rFonts w:hint="eastAsia"/>
              </w:rPr>
              <w:t>未检出</w:t>
            </w:r>
          </w:p>
        </w:tc>
        <w:tc>
          <w:tcPr>
            <w:tcW w:w="496" w:type="pct"/>
            <w:vAlign w:val="center"/>
          </w:tcPr>
          <w:p w:rsidR="00EE56C0" w:rsidRDefault="000F36A1">
            <w:pPr>
              <w:pStyle w:val="afa"/>
            </w:pPr>
            <w:r>
              <w:rPr>
                <w:rFonts w:hint="eastAsia"/>
              </w:rPr>
              <w:t>未检出</w:t>
            </w:r>
          </w:p>
        </w:tc>
        <w:tc>
          <w:tcPr>
            <w:tcW w:w="496" w:type="pct"/>
            <w:tcBorders>
              <w:right w:val="single" w:sz="4" w:space="0" w:color="auto"/>
            </w:tcBorders>
            <w:vAlign w:val="center"/>
          </w:tcPr>
          <w:p w:rsidR="00EE56C0" w:rsidRDefault="000F36A1">
            <w:pPr>
              <w:pStyle w:val="afa"/>
            </w:pPr>
            <w:r>
              <w:t>未检出</w:t>
            </w:r>
          </w:p>
        </w:tc>
        <w:tc>
          <w:tcPr>
            <w:tcW w:w="525" w:type="pct"/>
            <w:tcBorders>
              <w:left w:val="single" w:sz="4" w:space="0" w:color="auto"/>
              <w:right w:val="single" w:sz="4" w:space="0" w:color="auto"/>
            </w:tcBorders>
            <w:vAlign w:val="center"/>
          </w:tcPr>
          <w:p w:rsidR="00EE56C0" w:rsidRDefault="000F36A1">
            <w:pPr>
              <w:pStyle w:val="afa"/>
            </w:pPr>
            <w:r>
              <w:t>未检出</w:t>
            </w:r>
          </w:p>
        </w:tc>
        <w:tc>
          <w:tcPr>
            <w:tcW w:w="443" w:type="pct"/>
            <w:tcBorders>
              <w:left w:val="single" w:sz="4" w:space="0" w:color="auto"/>
              <w:right w:val="single" w:sz="4" w:space="0" w:color="auto"/>
            </w:tcBorders>
            <w:vAlign w:val="center"/>
          </w:tcPr>
          <w:p w:rsidR="00EE56C0" w:rsidRDefault="000F36A1">
            <w:pPr>
              <w:pStyle w:val="afa"/>
            </w:pPr>
            <w:r>
              <w:t>未检出</w:t>
            </w:r>
          </w:p>
        </w:tc>
        <w:tc>
          <w:tcPr>
            <w:tcW w:w="649" w:type="pct"/>
            <w:tcBorders>
              <w:left w:val="single" w:sz="4" w:space="0" w:color="auto"/>
            </w:tcBorders>
            <w:vAlign w:val="center"/>
          </w:tcPr>
          <w:p w:rsidR="00EE56C0" w:rsidRDefault="000F36A1">
            <w:pPr>
              <w:pStyle w:val="afa"/>
            </w:pPr>
            <w:r>
              <w:rPr>
                <w:rFonts w:hint="eastAsia"/>
              </w:rPr>
              <w:t>未检出</w:t>
            </w:r>
          </w:p>
        </w:tc>
      </w:tr>
      <w:tr w:rsidR="00EE56C0">
        <w:trPr>
          <w:trHeight w:val="425"/>
          <w:jc w:val="center"/>
        </w:trPr>
        <w:tc>
          <w:tcPr>
            <w:tcW w:w="291" w:type="pct"/>
            <w:vMerge/>
          </w:tcPr>
          <w:p w:rsidR="00EE56C0" w:rsidRDefault="00EE56C0">
            <w:pPr>
              <w:pStyle w:val="afa"/>
            </w:pPr>
          </w:p>
        </w:tc>
        <w:tc>
          <w:tcPr>
            <w:tcW w:w="322" w:type="pct"/>
            <w:vAlign w:val="center"/>
          </w:tcPr>
          <w:p w:rsidR="00EE56C0" w:rsidRDefault="000F36A1">
            <w:pPr>
              <w:pStyle w:val="afa"/>
            </w:pPr>
            <w:r>
              <w:rPr>
                <w:rFonts w:hint="eastAsia"/>
              </w:rPr>
              <w:t>45</w:t>
            </w:r>
          </w:p>
        </w:tc>
        <w:tc>
          <w:tcPr>
            <w:tcW w:w="736" w:type="pct"/>
            <w:vAlign w:val="center"/>
          </w:tcPr>
          <w:p w:rsidR="00EE56C0" w:rsidRDefault="000F36A1">
            <w:pPr>
              <w:pStyle w:val="afa"/>
            </w:pPr>
            <w:r>
              <w:rPr>
                <w:rFonts w:ascii="宋体" w:hAnsi="宋体" w:cs="宋体" w:hint="eastAsia"/>
              </w:rPr>
              <w:t>茚并</w:t>
            </w:r>
            <w:r>
              <w:t>[1,2,3-cd]</w:t>
            </w:r>
            <w:r>
              <w:rPr>
                <w:rFonts w:ascii="宋体" w:hAnsi="宋体" w:cs="宋体" w:hint="eastAsia"/>
              </w:rPr>
              <w:t>芘</w:t>
            </w:r>
          </w:p>
        </w:tc>
        <w:tc>
          <w:tcPr>
            <w:tcW w:w="464" w:type="pct"/>
            <w:vAlign w:val="center"/>
          </w:tcPr>
          <w:p w:rsidR="00EE56C0" w:rsidRDefault="000F36A1">
            <w:pPr>
              <w:pStyle w:val="afa"/>
            </w:pPr>
            <w:r>
              <w:rPr>
                <w:rFonts w:hint="eastAsia"/>
              </w:rPr>
              <w:t>未检出</w:t>
            </w:r>
          </w:p>
        </w:tc>
        <w:tc>
          <w:tcPr>
            <w:tcW w:w="578" w:type="pct"/>
            <w:vAlign w:val="center"/>
          </w:tcPr>
          <w:p w:rsidR="00EE56C0" w:rsidRDefault="000F36A1">
            <w:pPr>
              <w:pStyle w:val="afa"/>
            </w:pPr>
            <w:r>
              <w:rPr>
                <w:rFonts w:hint="eastAsia"/>
              </w:rPr>
              <w:t>未检出</w:t>
            </w:r>
          </w:p>
        </w:tc>
        <w:tc>
          <w:tcPr>
            <w:tcW w:w="496" w:type="pct"/>
            <w:vAlign w:val="center"/>
          </w:tcPr>
          <w:p w:rsidR="00EE56C0" w:rsidRDefault="000F36A1">
            <w:pPr>
              <w:pStyle w:val="afa"/>
            </w:pPr>
            <w:r>
              <w:rPr>
                <w:rFonts w:hint="eastAsia"/>
              </w:rPr>
              <w:t>未检出</w:t>
            </w:r>
          </w:p>
        </w:tc>
        <w:tc>
          <w:tcPr>
            <w:tcW w:w="496" w:type="pct"/>
            <w:tcBorders>
              <w:right w:val="single" w:sz="4" w:space="0" w:color="auto"/>
            </w:tcBorders>
            <w:vAlign w:val="center"/>
          </w:tcPr>
          <w:p w:rsidR="00EE56C0" w:rsidRDefault="000F36A1">
            <w:pPr>
              <w:pStyle w:val="afa"/>
            </w:pPr>
            <w:r>
              <w:t>未检出</w:t>
            </w:r>
          </w:p>
        </w:tc>
        <w:tc>
          <w:tcPr>
            <w:tcW w:w="525" w:type="pct"/>
            <w:tcBorders>
              <w:left w:val="single" w:sz="4" w:space="0" w:color="auto"/>
              <w:right w:val="single" w:sz="4" w:space="0" w:color="auto"/>
            </w:tcBorders>
            <w:vAlign w:val="center"/>
          </w:tcPr>
          <w:p w:rsidR="00EE56C0" w:rsidRDefault="000F36A1">
            <w:pPr>
              <w:pStyle w:val="afa"/>
            </w:pPr>
            <w:r>
              <w:t>未检出</w:t>
            </w:r>
          </w:p>
        </w:tc>
        <w:tc>
          <w:tcPr>
            <w:tcW w:w="443" w:type="pct"/>
            <w:tcBorders>
              <w:left w:val="single" w:sz="4" w:space="0" w:color="auto"/>
              <w:right w:val="single" w:sz="4" w:space="0" w:color="auto"/>
            </w:tcBorders>
            <w:vAlign w:val="center"/>
          </w:tcPr>
          <w:p w:rsidR="00EE56C0" w:rsidRDefault="000F36A1">
            <w:pPr>
              <w:pStyle w:val="afa"/>
            </w:pPr>
            <w:r>
              <w:t>未检出</w:t>
            </w:r>
          </w:p>
        </w:tc>
        <w:tc>
          <w:tcPr>
            <w:tcW w:w="649" w:type="pct"/>
            <w:tcBorders>
              <w:left w:val="single" w:sz="4" w:space="0" w:color="auto"/>
            </w:tcBorders>
            <w:vAlign w:val="center"/>
          </w:tcPr>
          <w:p w:rsidR="00EE56C0" w:rsidRDefault="000F36A1">
            <w:pPr>
              <w:pStyle w:val="afa"/>
            </w:pPr>
            <w:r>
              <w:rPr>
                <w:rFonts w:hint="eastAsia"/>
              </w:rPr>
              <w:t>未检出</w:t>
            </w:r>
          </w:p>
        </w:tc>
      </w:tr>
      <w:tr w:rsidR="00EE56C0">
        <w:trPr>
          <w:trHeight w:val="425"/>
          <w:jc w:val="center"/>
        </w:trPr>
        <w:tc>
          <w:tcPr>
            <w:tcW w:w="291" w:type="pct"/>
            <w:vMerge/>
          </w:tcPr>
          <w:p w:rsidR="00EE56C0" w:rsidRDefault="00EE56C0">
            <w:pPr>
              <w:pStyle w:val="afa"/>
            </w:pPr>
          </w:p>
        </w:tc>
        <w:tc>
          <w:tcPr>
            <w:tcW w:w="322" w:type="pct"/>
            <w:vAlign w:val="center"/>
          </w:tcPr>
          <w:p w:rsidR="00EE56C0" w:rsidRDefault="000F36A1">
            <w:pPr>
              <w:pStyle w:val="afa"/>
            </w:pPr>
            <w:r>
              <w:rPr>
                <w:rFonts w:hint="eastAsia"/>
              </w:rPr>
              <w:t>46</w:t>
            </w:r>
          </w:p>
        </w:tc>
        <w:tc>
          <w:tcPr>
            <w:tcW w:w="736" w:type="pct"/>
            <w:vAlign w:val="center"/>
          </w:tcPr>
          <w:p w:rsidR="00EE56C0" w:rsidRDefault="000F36A1">
            <w:pPr>
              <w:pStyle w:val="afa"/>
            </w:pPr>
            <w:r>
              <w:rPr>
                <w:rFonts w:ascii="宋体" w:hAnsi="宋体" w:cs="宋体" w:hint="eastAsia"/>
              </w:rPr>
              <w:t>萘</w:t>
            </w:r>
          </w:p>
        </w:tc>
        <w:tc>
          <w:tcPr>
            <w:tcW w:w="464" w:type="pct"/>
            <w:vAlign w:val="center"/>
          </w:tcPr>
          <w:p w:rsidR="00EE56C0" w:rsidRDefault="000F36A1">
            <w:pPr>
              <w:pStyle w:val="afa"/>
            </w:pPr>
            <w:r>
              <w:rPr>
                <w:rFonts w:hint="eastAsia"/>
              </w:rPr>
              <w:t>未检出</w:t>
            </w:r>
          </w:p>
        </w:tc>
        <w:tc>
          <w:tcPr>
            <w:tcW w:w="578" w:type="pct"/>
            <w:vAlign w:val="center"/>
          </w:tcPr>
          <w:p w:rsidR="00EE56C0" w:rsidRDefault="000F36A1">
            <w:pPr>
              <w:pStyle w:val="afa"/>
            </w:pPr>
            <w:r>
              <w:rPr>
                <w:rFonts w:hint="eastAsia"/>
              </w:rPr>
              <w:t>未检出</w:t>
            </w:r>
          </w:p>
        </w:tc>
        <w:tc>
          <w:tcPr>
            <w:tcW w:w="496" w:type="pct"/>
            <w:vAlign w:val="center"/>
          </w:tcPr>
          <w:p w:rsidR="00EE56C0" w:rsidRDefault="000F36A1">
            <w:pPr>
              <w:pStyle w:val="afa"/>
            </w:pPr>
            <w:r>
              <w:rPr>
                <w:rFonts w:hint="eastAsia"/>
              </w:rPr>
              <w:t>未检出</w:t>
            </w:r>
          </w:p>
        </w:tc>
        <w:tc>
          <w:tcPr>
            <w:tcW w:w="496" w:type="pct"/>
            <w:tcBorders>
              <w:right w:val="single" w:sz="4" w:space="0" w:color="auto"/>
            </w:tcBorders>
            <w:vAlign w:val="center"/>
          </w:tcPr>
          <w:p w:rsidR="00EE56C0" w:rsidRDefault="000F36A1">
            <w:pPr>
              <w:pStyle w:val="afa"/>
            </w:pPr>
            <w:r>
              <w:t>未检出</w:t>
            </w:r>
          </w:p>
        </w:tc>
        <w:tc>
          <w:tcPr>
            <w:tcW w:w="525" w:type="pct"/>
            <w:tcBorders>
              <w:left w:val="single" w:sz="4" w:space="0" w:color="auto"/>
              <w:right w:val="single" w:sz="4" w:space="0" w:color="auto"/>
            </w:tcBorders>
            <w:vAlign w:val="center"/>
          </w:tcPr>
          <w:p w:rsidR="00EE56C0" w:rsidRDefault="000F36A1">
            <w:pPr>
              <w:pStyle w:val="afa"/>
            </w:pPr>
            <w:r>
              <w:t>未检出</w:t>
            </w:r>
          </w:p>
        </w:tc>
        <w:tc>
          <w:tcPr>
            <w:tcW w:w="443" w:type="pct"/>
            <w:tcBorders>
              <w:left w:val="single" w:sz="4" w:space="0" w:color="auto"/>
              <w:right w:val="single" w:sz="4" w:space="0" w:color="auto"/>
            </w:tcBorders>
            <w:vAlign w:val="center"/>
          </w:tcPr>
          <w:p w:rsidR="00EE56C0" w:rsidRDefault="000F36A1">
            <w:pPr>
              <w:pStyle w:val="afa"/>
            </w:pPr>
            <w:r>
              <w:t>未检出</w:t>
            </w:r>
          </w:p>
        </w:tc>
        <w:tc>
          <w:tcPr>
            <w:tcW w:w="649" w:type="pct"/>
            <w:tcBorders>
              <w:left w:val="single" w:sz="4" w:space="0" w:color="auto"/>
            </w:tcBorders>
            <w:vAlign w:val="center"/>
          </w:tcPr>
          <w:p w:rsidR="00EE56C0" w:rsidRDefault="000F36A1">
            <w:pPr>
              <w:pStyle w:val="afa"/>
            </w:pPr>
            <w:r>
              <w:rPr>
                <w:rFonts w:hint="eastAsia"/>
              </w:rPr>
              <w:t>未检出</w:t>
            </w:r>
          </w:p>
        </w:tc>
      </w:tr>
      <w:tr w:rsidR="00EE56C0">
        <w:trPr>
          <w:trHeight w:val="425"/>
          <w:jc w:val="center"/>
        </w:trPr>
        <w:tc>
          <w:tcPr>
            <w:tcW w:w="291" w:type="pct"/>
            <w:vMerge/>
          </w:tcPr>
          <w:p w:rsidR="00EE56C0" w:rsidRDefault="00EE56C0">
            <w:pPr>
              <w:pStyle w:val="afa"/>
            </w:pPr>
          </w:p>
        </w:tc>
        <w:tc>
          <w:tcPr>
            <w:tcW w:w="322" w:type="pct"/>
            <w:vAlign w:val="center"/>
          </w:tcPr>
          <w:p w:rsidR="00EE56C0" w:rsidRDefault="000F36A1">
            <w:pPr>
              <w:pStyle w:val="afa"/>
            </w:pPr>
            <w:r>
              <w:rPr>
                <w:rFonts w:hint="eastAsia"/>
              </w:rPr>
              <w:t>47</w:t>
            </w:r>
          </w:p>
        </w:tc>
        <w:tc>
          <w:tcPr>
            <w:tcW w:w="736" w:type="pct"/>
            <w:vAlign w:val="center"/>
          </w:tcPr>
          <w:p w:rsidR="00EE56C0" w:rsidRDefault="000F36A1">
            <w:pPr>
              <w:pStyle w:val="afa"/>
            </w:pPr>
            <w:r>
              <w:rPr>
                <w:rFonts w:hint="eastAsia"/>
              </w:rPr>
              <w:t>石油烃（</w:t>
            </w:r>
            <w:r>
              <w:rPr>
                <w:rFonts w:hint="eastAsia"/>
              </w:rPr>
              <w:t>C</w:t>
            </w:r>
            <w:r>
              <w:rPr>
                <w:rFonts w:hint="eastAsia"/>
                <w:vertAlign w:val="subscript"/>
              </w:rPr>
              <w:t>10</w:t>
            </w:r>
            <w:r>
              <w:rPr>
                <w:rFonts w:hint="eastAsia"/>
              </w:rPr>
              <w:t>-C</w:t>
            </w:r>
            <w:r>
              <w:rPr>
                <w:rFonts w:hint="eastAsia"/>
                <w:vertAlign w:val="subscript"/>
              </w:rPr>
              <w:t>40</w:t>
            </w:r>
            <w:r>
              <w:rPr>
                <w:rFonts w:hint="eastAsia"/>
              </w:rPr>
              <w:t>）</w:t>
            </w:r>
          </w:p>
        </w:tc>
        <w:tc>
          <w:tcPr>
            <w:tcW w:w="464" w:type="pct"/>
            <w:vAlign w:val="center"/>
          </w:tcPr>
          <w:p w:rsidR="00EE56C0" w:rsidRDefault="000F36A1">
            <w:pPr>
              <w:pStyle w:val="afa"/>
            </w:pPr>
            <w:r>
              <w:rPr>
                <w:rFonts w:hint="eastAsia"/>
              </w:rPr>
              <w:t>156</w:t>
            </w:r>
          </w:p>
        </w:tc>
        <w:tc>
          <w:tcPr>
            <w:tcW w:w="578" w:type="pct"/>
            <w:vAlign w:val="center"/>
          </w:tcPr>
          <w:p w:rsidR="00EE56C0" w:rsidRDefault="000F36A1">
            <w:pPr>
              <w:pStyle w:val="afa"/>
            </w:pPr>
            <w:r>
              <w:rPr>
                <w:rFonts w:hint="eastAsia"/>
              </w:rPr>
              <w:t>142</w:t>
            </w:r>
          </w:p>
        </w:tc>
        <w:tc>
          <w:tcPr>
            <w:tcW w:w="496" w:type="pct"/>
            <w:vAlign w:val="center"/>
          </w:tcPr>
          <w:p w:rsidR="00EE56C0" w:rsidRDefault="000F36A1">
            <w:pPr>
              <w:pStyle w:val="afa"/>
            </w:pPr>
            <w:r>
              <w:rPr>
                <w:rFonts w:hint="eastAsia"/>
              </w:rPr>
              <w:t>124</w:t>
            </w:r>
          </w:p>
        </w:tc>
        <w:tc>
          <w:tcPr>
            <w:tcW w:w="496" w:type="pct"/>
            <w:tcBorders>
              <w:right w:val="single" w:sz="4" w:space="0" w:color="auto"/>
            </w:tcBorders>
            <w:vAlign w:val="center"/>
          </w:tcPr>
          <w:p w:rsidR="00EE56C0" w:rsidRDefault="000F36A1">
            <w:pPr>
              <w:pStyle w:val="afa"/>
            </w:pPr>
            <w:r>
              <w:rPr>
                <w:rFonts w:hint="eastAsia"/>
              </w:rPr>
              <w:t>176</w:t>
            </w:r>
          </w:p>
        </w:tc>
        <w:tc>
          <w:tcPr>
            <w:tcW w:w="525" w:type="pct"/>
            <w:tcBorders>
              <w:left w:val="single" w:sz="4" w:space="0" w:color="auto"/>
              <w:right w:val="single" w:sz="4" w:space="0" w:color="auto"/>
            </w:tcBorders>
            <w:vAlign w:val="center"/>
          </w:tcPr>
          <w:p w:rsidR="00EE56C0" w:rsidRDefault="000F36A1">
            <w:pPr>
              <w:pStyle w:val="afa"/>
            </w:pPr>
            <w:r>
              <w:rPr>
                <w:rFonts w:hint="eastAsia"/>
              </w:rPr>
              <w:t>138</w:t>
            </w:r>
          </w:p>
        </w:tc>
        <w:tc>
          <w:tcPr>
            <w:tcW w:w="443" w:type="pct"/>
            <w:tcBorders>
              <w:left w:val="single" w:sz="4" w:space="0" w:color="auto"/>
              <w:right w:val="single" w:sz="4" w:space="0" w:color="auto"/>
            </w:tcBorders>
            <w:vAlign w:val="center"/>
          </w:tcPr>
          <w:p w:rsidR="00EE56C0" w:rsidRDefault="000F36A1">
            <w:pPr>
              <w:pStyle w:val="afa"/>
            </w:pPr>
            <w:r>
              <w:rPr>
                <w:rFonts w:hint="eastAsia"/>
              </w:rPr>
              <w:t>126</w:t>
            </w:r>
          </w:p>
        </w:tc>
        <w:tc>
          <w:tcPr>
            <w:tcW w:w="649" w:type="pct"/>
            <w:tcBorders>
              <w:left w:val="single" w:sz="4" w:space="0" w:color="auto"/>
            </w:tcBorders>
            <w:vAlign w:val="center"/>
          </w:tcPr>
          <w:p w:rsidR="00EE56C0" w:rsidRDefault="000F36A1">
            <w:pPr>
              <w:pStyle w:val="afa"/>
            </w:pPr>
            <w:r>
              <w:rPr>
                <w:rFonts w:hint="eastAsia"/>
              </w:rPr>
              <w:t>154</w:t>
            </w:r>
          </w:p>
        </w:tc>
      </w:tr>
      <w:tr w:rsidR="00EE56C0">
        <w:trPr>
          <w:trHeight w:val="425"/>
          <w:jc w:val="center"/>
        </w:trPr>
        <w:tc>
          <w:tcPr>
            <w:tcW w:w="291" w:type="pct"/>
            <w:vMerge/>
          </w:tcPr>
          <w:p w:rsidR="00EE56C0" w:rsidRDefault="00EE56C0">
            <w:pPr>
              <w:pStyle w:val="afa"/>
            </w:pPr>
          </w:p>
        </w:tc>
        <w:tc>
          <w:tcPr>
            <w:tcW w:w="322" w:type="pct"/>
            <w:vAlign w:val="center"/>
          </w:tcPr>
          <w:p w:rsidR="00EE56C0" w:rsidRDefault="000F36A1">
            <w:pPr>
              <w:pStyle w:val="afa"/>
            </w:pPr>
            <w:r>
              <w:rPr>
                <w:rFonts w:hint="eastAsia"/>
              </w:rPr>
              <w:t>48</w:t>
            </w:r>
          </w:p>
        </w:tc>
        <w:tc>
          <w:tcPr>
            <w:tcW w:w="736" w:type="pct"/>
            <w:vAlign w:val="center"/>
          </w:tcPr>
          <w:p w:rsidR="00EE56C0" w:rsidRDefault="000F36A1">
            <w:pPr>
              <w:pStyle w:val="afa"/>
            </w:pPr>
            <w:r>
              <w:rPr>
                <w:rFonts w:hint="eastAsia"/>
              </w:rPr>
              <w:t>甲酚</w:t>
            </w:r>
          </w:p>
        </w:tc>
        <w:tc>
          <w:tcPr>
            <w:tcW w:w="464" w:type="pct"/>
            <w:vAlign w:val="center"/>
          </w:tcPr>
          <w:p w:rsidR="00EE56C0" w:rsidRDefault="000F36A1">
            <w:pPr>
              <w:pStyle w:val="afa"/>
            </w:pPr>
            <w:r>
              <w:rPr>
                <w:rFonts w:hint="eastAsia"/>
              </w:rPr>
              <w:t>未检出</w:t>
            </w:r>
          </w:p>
        </w:tc>
        <w:tc>
          <w:tcPr>
            <w:tcW w:w="578" w:type="pct"/>
            <w:vAlign w:val="center"/>
          </w:tcPr>
          <w:p w:rsidR="00EE56C0" w:rsidRDefault="000F36A1">
            <w:pPr>
              <w:pStyle w:val="afa"/>
            </w:pPr>
            <w:r>
              <w:rPr>
                <w:rFonts w:hint="eastAsia"/>
              </w:rPr>
              <w:t>未检出</w:t>
            </w:r>
          </w:p>
        </w:tc>
        <w:tc>
          <w:tcPr>
            <w:tcW w:w="496" w:type="pct"/>
            <w:vAlign w:val="center"/>
          </w:tcPr>
          <w:p w:rsidR="00EE56C0" w:rsidRDefault="000F36A1">
            <w:pPr>
              <w:pStyle w:val="afa"/>
            </w:pPr>
            <w:r>
              <w:rPr>
                <w:rFonts w:hint="eastAsia"/>
              </w:rPr>
              <w:t>未检出</w:t>
            </w:r>
          </w:p>
        </w:tc>
        <w:tc>
          <w:tcPr>
            <w:tcW w:w="496" w:type="pct"/>
            <w:tcBorders>
              <w:right w:val="single" w:sz="4" w:space="0" w:color="auto"/>
            </w:tcBorders>
            <w:vAlign w:val="center"/>
          </w:tcPr>
          <w:p w:rsidR="00EE56C0" w:rsidRDefault="000F36A1">
            <w:pPr>
              <w:pStyle w:val="afa"/>
            </w:pPr>
            <w:r>
              <w:t>未检出</w:t>
            </w:r>
          </w:p>
        </w:tc>
        <w:tc>
          <w:tcPr>
            <w:tcW w:w="525" w:type="pct"/>
            <w:tcBorders>
              <w:left w:val="single" w:sz="4" w:space="0" w:color="auto"/>
              <w:right w:val="single" w:sz="4" w:space="0" w:color="auto"/>
            </w:tcBorders>
            <w:vAlign w:val="center"/>
          </w:tcPr>
          <w:p w:rsidR="00EE56C0" w:rsidRDefault="000F36A1">
            <w:pPr>
              <w:pStyle w:val="afa"/>
            </w:pPr>
            <w:r>
              <w:t>未检出</w:t>
            </w:r>
          </w:p>
        </w:tc>
        <w:tc>
          <w:tcPr>
            <w:tcW w:w="443" w:type="pct"/>
            <w:tcBorders>
              <w:left w:val="single" w:sz="4" w:space="0" w:color="auto"/>
              <w:right w:val="single" w:sz="4" w:space="0" w:color="auto"/>
            </w:tcBorders>
            <w:vAlign w:val="center"/>
          </w:tcPr>
          <w:p w:rsidR="00EE56C0" w:rsidRDefault="000F36A1">
            <w:pPr>
              <w:pStyle w:val="afa"/>
            </w:pPr>
            <w:r>
              <w:t>未检出</w:t>
            </w:r>
          </w:p>
        </w:tc>
        <w:tc>
          <w:tcPr>
            <w:tcW w:w="649" w:type="pct"/>
            <w:tcBorders>
              <w:left w:val="single" w:sz="4" w:space="0" w:color="auto"/>
            </w:tcBorders>
            <w:vAlign w:val="center"/>
          </w:tcPr>
          <w:p w:rsidR="00EE56C0" w:rsidRDefault="000F36A1">
            <w:pPr>
              <w:pStyle w:val="afa"/>
            </w:pPr>
            <w:r>
              <w:rPr>
                <w:rFonts w:hint="eastAsia"/>
              </w:rPr>
              <w:t>未检出</w:t>
            </w:r>
          </w:p>
        </w:tc>
      </w:tr>
    </w:tbl>
    <w:p w:rsidR="00EE56C0" w:rsidRDefault="00EE56C0">
      <w:pPr>
        <w:pStyle w:val="afd"/>
        <w:spacing w:before="120" w:after="120"/>
        <w:ind w:firstLine="482"/>
      </w:pPr>
    </w:p>
    <w:p w:rsidR="00EE56C0" w:rsidRDefault="00EE56C0">
      <w:pPr>
        <w:pStyle w:val="afd"/>
        <w:spacing w:before="120" w:after="120"/>
        <w:ind w:firstLine="482"/>
      </w:pPr>
    </w:p>
    <w:p w:rsidR="00EE56C0" w:rsidRDefault="00EE56C0">
      <w:pPr>
        <w:pStyle w:val="afd"/>
        <w:spacing w:before="120" w:after="120"/>
        <w:ind w:firstLine="482"/>
      </w:pPr>
    </w:p>
    <w:p w:rsidR="00EE56C0" w:rsidRDefault="000F36A1">
      <w:pPr>
        <w:pStyle w:val="afd"/>
        <w:spacing w:before="120" w:after="120"/>
        <w:ind w:firstLine="482"/>
      </w:pPr>
      <w:r>
        <w:lastRenderedPageBreak/>
        <w:t>表</w:t>
      </w:r>
      <w:r>
        <w:t>4-</w:t>
      </w:r>
      <w:r>
        <w:rPr>
          <w:rFonts w:hint="eastAsia"/>
        </w:rPr>
        <w:t xml:space="preserve">29          </w:t>
      </w:r>
      <w:r>
        <w:rPr>
          <w:rFonts w:hint="eastAsia"/>
        </w:rPr>
        <w:t>项目</w:t>
      </w:r>
      <w:r>
        <w:t>土壤</w:t>
      </w:r>
      <w:r>
        <w:rPr>
          <w:rFonts w:hint="eastAsia"/>
        </w:rPr>
        <w:t>环境</w:t>
      </w:r>
      <w:r>
        <w:t>监测结果</w:t>
      </w:r>
      <w:r>
        <w:rPr>
          <w:rFonts w:hint="eastAsia"/>
        </w:rPr>
        <w:t>2</w:t>
      </w:r>
      <w:r>
        <w:t>单位</w:t>
      </w:r>
      <w:r>
        <w:t>mg/kg</w:t>
      </w:r>
    </w:p>
    <w:tbl>
      <w:tblPr>
        <w:tblW w:w="5025"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0" w:type="dxa"/>
          <w:right w:w="0" w:type="dxa"/>
        </w:tblCellMar>
        <w:tblLook w:val="04A0"/>
      </w:tblPr>
      <w:tblGrid>
        <w:gridCol w:w="580"/>
        <w:gridCol w:w="1416"/>
        <w:gridCol w:w="993"/>
        <w:gridCol w:w="993"/>
        <w:gridCol w:w="993"/>
        <w:gridCol w:w="851"/>
        <w:gridCol w:w="852"/>
        <w:gridCol w:w="991"/>
        <w:gridCol w:w="705"/>
      </w:tblGrid>
      <w:tr w:rsidR="00EE56C0">
        <w:trPr>
          <w:cantSplit/>
          <w:trHeight w:val="425"/>
          <w:tblHeader/>
          <w:jc w:val="center"/>
        </w:trPr>
        <w:tc>
          <w:tcPr>
            <w:tcW w:w="346" w:type="pct"/>
            <w:vAlign w:val="center"/>
          </w:tcPr>
          <w:p w:rsidR="00EE56C0" w:rsidRDefault="000F36A1">
            <w:pPr>
              <w:pStyle w:val="afa"/>
              <w:rPr>
                <w:b/>
              </w:rPr>
            </w:pPr>
            <w:r>
              <w:rPr>
                <w:b/>
              </w:rPr>
              <w:t>采样时间</w:t>
            </w:r>
          </w:p>
        </w:tc>
        <w:tc>
          <w:tcPr>
            <w:tcW w:w="1438" w:type="pct"/>
            <w:gridSpan w:val="2"/>
            <w:tcBorders>
              <w:tl2br w:val="single" w:sz="4" w:space="0" w:color="auto"/>
            </w:tcBorders>
            <w:vAlign w:val="center"/>
          </w:tcPr>
          <w:p w:rsidR="00EE56C0" w:rsidRDefault="000F36A1">
            <w:pPr>
              <w:pStyle w:val="afa"/>
              <w:rPr>
                <w:b/>
              </w:rPr>
            </w:pPr>
            <w:r>
              <w:rPr>
                <w:b/>
              </w:rPr>
              <w:t>检测因子</w:t>
            </w:r>
          </w:p>
          <w:p w:rsidR="00EE56C0" w:rsidRDefault="000F36A1">
            <w:pPr>
              <w:pStyle w:val="afa"/>
              <w:rPr>
                <w:b/>
              </w:rPr>
            </w:pPr>
            <w:r>
              <w:rPr>
                <w:b/>
              </w:rPr>
              <w:t>检测点位</w:t>
            </w:r>
          </w:p>
        </w:tc>
        <w:tc>
          <w:tcPr>
            <w:tcW w:w="593" w:type="pct"/>
            <w:vAlign w:val="center"/>
          </w:tcPr>
          <w:p w:rsidR="00EE56C0" w:rsidRDefault="000F36A1">
            <w:pPr>
              <w:pStyle w:val="afa"/>
              <w:rPr>
                <w:b/>
                <w:bCs/>
              </w:rPr>
            </w:pPr>
            <w:r>
              <w:rPr>
                <w:b/>
                <w:bCs/>
              </w:rPr>
              <w:t>pH</w:t>
            </w:r>
            <w:r>
              <w:rPr>
                <w:b/>
                <w:bCs/>
              </w:rPr>
              <w:t>值</w:t>
            </w:r>
          </w:p>
          <w:p w:rsidR="00EE56C0" w:rsidRDefault="000F36A1">
            <w:pPr>
              <w:pStyle w:val="afa"/>
              <w:rPr>
                <w:b/>
                <w:bCs/>
              </w:rPr>
            </w:pPr>
            <w:r>
              <w:rPr>
                <w:b/>
                <w:bCs/>
              </w:rPr>
              <w:t>(</w:t>
            </w:r>
            <w:r>
              <w:rPr>
                <w:b/>
                <w:bCs/>
              </w:rPr>
              <w:t>无量纲</w:t>
            </w:r>
            <w:r>
              <w:rPr>
                <w:b/>
                <w:bCs/>
              </w:rPr>
              <w:t>)</w:t>
            </w:r>
          </w:p>
        </w:tc>
        <w:tc>
          <w:tcPr>
            <w:tcW w:w="593" w:type="pct"/>
            <w:vAlign w:val="center"/>
          </w:tcPr>
          <w:p w:rsidR="00EE56C0" w:rsidRDefault="000F36A1">
            <w:pPr>
              <w:pStyle w:val="afa"/>
              <w:rPr>
                <w:b/>
                <w:bCs/>
              </w:rPr>
            </w:pPr>
            <w:r>
              <w:rPr>
                <w:rFonts w:hint="eastAsia"/>
                <w:b/>
                <w:bCs/>
              </w:rPr>
              <w:t>苯</w:t>
            </w:r>
          </w:p>
        </w:tc>
        <w:tc>
          <w:tcPr>
            <w:tcW w:w="508" w:type="pct"/>
            <w:vAlign w:val="center"/>
          </w:tcPr>
          <w:p w:rsidR="00EE56C0" w:rsidRDefault="000F36A1">
            <w:pPr>
              <w:pStyle w:val="afa"/>
              <w:rPr>
                <w:b/>
                <w:bCs/>
              </w:rPr>
            </w:pPr>
            <w:r>
              <w:rPr>
                <w:rFonts w:hint="eastAsia"/>
                <w:b/>
                <w:bCs/>
              </w:rPr>
              <w:t>甲苯</w:t>
            </w:r>
          </w:p>
        </w:tc>
        <w:tc>
          <w:tcPr>
            <w:tcW w:w="509" w:type="pct"/>
            <w:tcBorders>
              <w:right w:val="single" w:sz="4" w:space="0" w:color="auto"/>
            </w:tcBorders>
            <w:vAlign w:val="center"/>
          </w:tcPr>
          <w:p w:rsidR="00EE56C0" w:rsidRDefault="000F36A1">
            <w:pPr>
              <w:pStyle w:val="afa"/>
              <w:rPr>
                <w:b/>
                <w:bCs/>
              </w:rPr>
            </w:pPr>
            <w:r>
              <w:rPr>
                <w:rFonts w:hint="eastAsia"/>
                <w:b/>
                <w:bCs/>
              </w:rPr>
              <w:t>二甲苯</w:t>
            </w:r>
          </w:p>
        </w:tc>
        <w:tc>
          <w:tcPr>
            <w:tcW w:w="592" w:type="pct"/>
            <w:tcBorders>
              <w:left w:val="single" w:sz="4" w:space="0" w:color="auto"/>
              <w:right w:val="single" w:sz="4" w:space="0" w:color="auto"/>
            </w:tcBorders>
            <w:vAlign w:val="center"/>
          </w:tcPr>
          <w:p w:rsidR="00EE56C0" w:rsidRDefault="000F36A1">
            <w:pPr>
              <w:pStyle w:val="afa"/>
              <w:rPr>
                <w:b/>
                <w:bCs/>
              </w:rPr>
            </w:pPr>
            <w:r>
              <w:rPr>
                <w:rFonts w:hint="eastAsia"/>
                <w:b/>
                <w:bCs/>
              </w:rPr>
              <w:t>石油烃（</w:t>
            </w:r>
            <w:r>
              <w:rPr>
                <w:rFonts w:hint="eastAsia"/>
                <w:b/>
                <w:bCs/>
              </w:rPr>
              <w:t>C</w:t>
            </w:r>
            <w:r>
              <w:rPr>
                <w:rFonts w:hint="eastAsia"/>
                <w:b/>
                <w:bCs/>
                <w:vertAlign w:val="subscript"/>
              </w:rPr>
              <w:t>10</w:t>
            </w:r>
            <w:r>
              <w:rPr>
                <w:rFonts w:hint="eastAsia"/>
                <w:b/>
                <w:bCs/>
              </w:rPr>
              <w:t>-C</w:t>
            </w:r>
            <w:r>
              <w:rPr>
                <w:rFonts w:hint="eastAsia"/>
                <w:b/>
                <w:bCs/>
                <w:vertAlign w:val="subscript"/>
              </w:rPr>
              <w:t>40</w:t>
            </w:r>
            <w:r>
              <w:rPr>
                <w:rFonts w:hint="eastAsia"/>
                <w:b/>
                <w:bCs/>
              </w:rPr>
              <w:t>）</w:t>
            </w:r>
          </w:p>
        </w:tc>
        <w:tc>
          <w:tcPr>
            <w:tcW w:w="421" w:type="pct"/>
            <w:tcBorders>
              <w:left w:val="single" w:sz="4" w:space="0" w:color="auto"/>
            </w:tcBorders>
            <w:vAlign w:val="center"/>
          </w:tcPr>
          <w:p w:rsidR="00EE56C0" w:rsidRDefault="000F36A1">
            <w:pPr>
              <w:pStyle w:val="afa"/>
              <w:rPr>
                <w:b/>
                <w:bCs/>
              </w:rPr>
            </w:pPr>
            <w:r>
              <w:rPr>
                <w:b/>
                <w:bCs/>
              </w:rPr>
              <w:t>甲酚</w:t>
            </w:r>
          </w:p>
        </w:tc>
      </w:tr>
      <w:tr w:rsidR="00EE56C0">
        <w:trPr>
          <w:cantSplit/>
          <w:trHeight w:val="425"/>
          <w:tblHeader/>
          <w:jc w:val="center"/>
        </w:trPr>
        <w:tc>
          <w:tcPr>
            <w:tcW w:w="346" w:type="pct"/>
            <w:vMerge w:val="restart"/>
            <w:vAlign w:val="center"/>
          </w:tcPr>
          <w:p w:rsidR="00EE56C0" w:rsidRDefault="000F36A1">
            <w:pPr>
              <w:pStyle w:val="afa"/>
              <w:rPr>
                <w:bCs/>
              </w:rPr>
            </w:pPr>
            <w:r>
              <w:rPr>
                <w:rFonts w:hint="eastAsia"/>
                <w:bCs/>
              </w:rPr>
              <w:t>2021.</w:t>
            </w:r>
          </w:p>
          <w:p w:rsidR="00EE56C0" w:rsidRDefault="000F36A1">
            <w:pPr>
              <w:pStyle w:val="afa"/>
              <w:rPr>
                <w:bCs/>
              </w:rPr>
            </w:pPr>
            <w:r>
              <w:rPr>
                <w:rFonts w:hint="eastAsia"/>
                <w:bCs/>
              </w:rPr>
              <w:t>04.05</w:t>
            </w:r>
          </w:p>
        </w:tc>
        <w:tc>
          <w:tcPr>
            <w:tcW w:w="845" w:type="pct"/>
            <w:vMerge w:val="restart"/>
            <w:vAlign w:val="center"/>
          </w:tcPr>
          <w:p w:rsidR="00EE56C0" w:rsidRDefault="000F36A1">
            <w:pPr>
              <w:pStyle w:val="afa"/>
            </w:pPr>
            <w:r>
              <w:rPr>
                <w:rFonts w:hint="eastAsia"/>
              </w:rPr>
              <w:t>已建污水处理设施附近</w:t>
            </w:r>
          </w:p>
        </w:tc>
        <w:tc>
          <w:tcPr>
            <w:tcW w:w="593" w:type="pct"/>
            <w:vAlign w:val="center"/>
          </w:tcPr>
          <w:p w:rsidR="00EE56C0" w:rsidRDefault="000F36A1">
            <w:pPr>
              <w:pStyle w:val="afa"/>
              <w:rPr>
                <w:bCs/>
              </w:rPr>
            </w:pPr>
            <w:r>
              <w:rPr>
                <w:bCs/>
              </w:rPr>
              <w:t>0</w:t>
            </w:r>
            <w:r>
              <w:rPr>
                <w:rFonts w:hint="eastAsia"/>
                <w:bCs/>
              </w:rPr>
              <w:t>~</w:t>
            </w:r>
            <w:r>
              <w:rPr>
                <w:bCs/>
              </w:rPr>
              <w:t>0.</w:t>
            </w:r>
            <w:r>
              <w:rPr>
                <w:rFonts w:hint="eastAsia"/>
                <w:bCs/>
              </w:rPr>
              <w:t>5m</w:t>
            </w:r>
          </w:p>
        </w:tc>
        <w:tc>
          <w:tcPr>
            <w:tcW w:w="593" w:type="pct"/>
            <w:vAlign w:val="center"/>
          </w:tcPr>
          <w:p w:rsidR="00EE56C0" w:rsidRDefault="000F36A1">
            <w:pPr>
              <w:pStyle w:val="afa"/>
            </w:pPr>
            <w:r>
              <w:rPr>
                <w:rFonts w:hint="eastAsia"/>
              </w:rPr>
              <w:t>7.58</w:t>
            </w:r>
          </w:p>
        </w:tc>
        <w:tc>
          <w:tcPr>
            <w:tcW w:w="593" w:type="pct"/>
            <w:vAlign w:val="center"/>
          </w:tcPr>
          <w:p w:rsidR="00EE56C0" w:rsidRDefault="000F36A1">
            <w:pPr>
              <w:pStyle w:val="afa"/>
            </w:pPr>
            <w:r>
              <w:rPr>
                <w:rFonts w:hint="eastAsia"/>
              </w:rPr>
              <w:t>未检出</w:t>
            </w:r>
          </w:p>
        </w:tc>
        <w:tc>
          <w:tcPr>
            <w:tcW w:w="508" w:type="pct"/>
            <w:vAlign w:val="center"/>
          </w:tcPr>
          <w:p w:rsidR="00EE56C0" w:rsidRDefault="000F36A1">
            <w:pPr>
              <w:pStyle w:val="afa"/>
            </w:pPr>
            <w:r>
              <w:rPr>
                <w:rFonts w:hint="eastAsia"/>
              </w:rPr>
              <w:t>未检出</w:t>
            </w:r>
          </w:p>
        </w:tc>
        <w:tc>
          <w:tcPr>
            <w:tcW w:w="509" w:type="pct"/>
            <w:tcBorders>
              <w:right w:val="single" w:sz="4" w:space="0" w:color="auto"/>
            </w:tcBorders>
            <w:vAlign w:val="center"/>
          </w:tcPr>
          <w:p w:rsidR="00EE56C0" w:rsidRDefault="000F36A1">
            <w:pPr>
              <w:pStyle w:val="afa"/>
            </w:pPr>
            <w:r>
              <w:rPr>
                <w:rFonts w:hint="eastAsia"/>
              </w:rPr>
              <w:t>未检出</w:t>
            </w:r>
          </w:p>
        </w:tc>
        <w:tc>
          <w:tcPr>
            <w:tcW w:w="592" w:type="pct"/>
            <w:tcBorders>
              <w:left w:val="single" w:sz="4" w:space="0" w:color="auto"/>
              <w:right w:val="single" w:sz="4" w:space="0" w:color="auto"/>
            </w:tcBorders>
            <w:vAlign w:val="center"/>
          </w:tcPr>
          <w:p w:rsidR="00EE56C0" w:rsidRDefault="000F36A1">
            <w:pPr>
              <w:pStyle w:val="afa"/>
            </w:pPr>
            <w:r>
              <w:rPr>
                <w:rFonts w:hint="eastAsia"/>
              </w:rPr>
              <w:t>未检出</w:t>
            </w:r>
          </w:p>
        </w:tc>
        <w:tc>
          <w:tcPr>
            <w:tcW w:w="421" w:type="pct"/>
            <w:tcBorders>
              <w:left w:val="single" w:sz="4" w:space="0" w:color="auto"/>
            </w:tcBorders>
            <w:vAlign w:val="center"/>
          </w:tcPr>
          <w:p w:rsidR="00EE56C0" w:rsidRDefault="000F36A1">
            <w:pPr>
              <w:pStyle w:val="afa"/>
            </w:pPr>
            <w:r>
              <w:rPr>
                <w:rFonts w:hint="eastAsia"/>
              </w:rPr>
              <w:t>未检出</w:t>
            </w:r>
          </w:p>
        </w:tc>
      </w:tr>
      <w:tr w:rsidR="00EE56C0">
        <w:trPr>
          <w:cantSplit/>
          <w:trHeight w:val="425"/>
          <w:tblHeader/>
          <w:jc w:val="center"/>
        </w:trPr>
        <w:tc>
          <w:tcPr>
            <w:tcW w:w="346" w:type="pct"/>
            <w:vMerge/>
            <w:vAlign w:val="center"/>
          </w:tcPr>
          <w:p w:rsidR="00EE56C0" w:rsidRDefault="00EE56C0">
            <w:pPr>
              <w:pStyle w:val="afa"/>
              <w:rPr>
                <w:bCs/>
              </w:rPr>
            </w:pPr>
          </w:p>
        </w:tc>
        <w:tc>
          <w:tcPr>
            <w:tcW w:w="845" w:type="pct"/>
            <w:vMerge/>
            <w:vAlign w:val="center"/>
          </w:tcPr>
          <w:p w:rsidR="00EE56C0" w:rsidRDefault="00EE56C0">
            <w:pPr>
              <w:pStyle w:val="afa"/>
            </w:pPr>
          </w:p>
        </w:tc>
        <w:tc>
          <w:tcPr>
            <w:tcW w:w="593" w:type="pct"/>
            <w:vAlign w:val="center"/>
          </w:tcPr>
          <w:p w:rsidR="00EE56C0" w:rsidRDefault="000F36A1">
            <w:pPr>
              <w:pStyle w:val="afa"/>
              <w:rPr>
                <w:bCs/>
              </w:rPr>
            </w:pPr>
            <w:r>
              <w:rPr>
                <w:rFonts w:hint="eastAsia"/>
                <w:bCs/>
              </w:rPr>
              <w:t>0.5~1.5m</w:t>
            </w:r>
          </w:p>
        </w:tc>
        <w:tc>
          <w:tcPr>
            <w:tcW w:w="593" w:type="pct"/>
            <w:vAlign w:val="center"/>
          </w:tcPr>
          <w:p w:rsidR="00EE56C0" w:rsidRDefault="000F36A1">
            <w:pPr>
              <w:pStyle w:val="afa"/>
            </w:pPr>
            <w:r>
              <w:rPr>
                <w:rFonts w:hint="eastAsia"/>
              </w:rPr>
              <w:t>7.66</w:t>
            </w:r>
          </w:p>
        </w:tc>
        <w:tc>
          <w:tcPr>
            <w:tcW w:w="593" w:type="pct"/>
            <w:vAlign w:val="center"/>
          </w:tcPr>
          <w:p w:rsidR="00EE56C0" w:rsidRDefault="000F36A1">
            <w:pPr>
              <w:pStyle w:val="afa"/>
            </w:pPr>
            <w:r>
              <w:rPr>
                <w:rFonts w:hint="eastAsia"/>
              </w:rPr>
              <w:t>未检出</w:t>
            </w:r>
          </w:p>
        </w:tc>
        <w:tc>
          <w:tcPr>
            <w:tcW w:w="508" w:type="pct"/>
            <w:vAlign w:val="center"/>
          </w:tcPr>
          <w:p w:rsidR="00EE56C0" w:rsidRDefault="000F36A1">
            <w:pPr>
              <w:pStyle w:val="afa"/>
            </w:pPr>
            <w:r>
              <w:rPr>
                <w:rFonts w:hint="eastAsia"/>
              </w:rPr>
              <w:t>未检出</w:t>
            </w:r>
          </w:p>
        </w:tc>
        <w:tc>
          <w:tcPr>
            <w:tcW w:w="509" w:type="pct"/>
            <w:tcBorders>
              <w:right w:val="single" w:sz="4" w:space="0" w:color="auto"/>
            </w:tcBorders>
            <w:vAlign w:val="center"/>
          </w:tcPr>
          <w:p w:rsidR="00EE56C0" w:rsidRDefault="000F36A1">
            <w:pPr>
              <w:pStyle w:val="afa"/>
            </w:pPr>
            <w:r>
              <w:rPr>
                <w:rFonts w:hint="eastAsia"/>
              </w:rPr>
              <w:t>未检出</w:t>
            </w:r>
          </w:p>
        </w:tc>
        <w:tc>
          <w:tcPr>
            <w:tcW w:w="592" w:type="pct"/>
            <w:tcBorders>
              <w:left w:val="single" w:sz="4" w:space="0" w:color="auto"/>
              <w:right w:val="single" w:sz="4" w:space="0" w:color="auto"/>
            </w:tcBorders>
            <w:vAlign w:val="center"/>
          </w:tcPr>
          <w:p w:rsidR="00EE56C0" w:rsidRDefault="000F36A1">
            <w:pPr>
              <w:pStyle w:val="afa"/>
            </w:pPr>
            <w:r>
              <w:rPr>
                <w:rFonts w:hint="eastAsia"/>
              </w:rPr>
              <w:t>未检出</w:t>
            </w:r>
          </w:p>
        </w:tc>
        <w:tc>
          <w:tcPr>
            <w:tcW w:w="421" w:type="pct"/>
            <w:tcBorders>
              <w:left w:val="single" w:sz="4" w:space="0" w:color="auto"/>
            </w:tcBorders>
            <w:vAlign w:val="center"/>
          </w:tcPr>
          <w:p w:rsidR="00EE56C0" w:rsidRDefault="000F36A1">
            <w:pPr>
              <w:pStyle w:val="afa"/>
            </w:pPr>
            <w:r>
              <w:rPr>
                <w:rFonts w:hint="eastAsia"/>
              </w:rPr>
              <w:t>未检出</w:t>
            </w:r>
          </w:p>
        </w:tc>
      </w:tr>
      <w:tr w:rsidR="00EE56C0">
        <w:trPr>
          <w:cantSplit/>
          <w:trHeight w:val="425"/>
          <w:tblHeader/>
          <w:jc w:val="center"/>
        </w:trPr>
        <w:tc>
          <w:tcPr>
            <w:tcW w:w="346" w:type="pct"/>
            <w:vMerge/>
            <w:vAlign w:val="center"/>
          </w:tcPr>
          <w:p w:rsidR="00EE56C0" w:rsidRDefault="00EE56C0">
            <w:pPr>
              <w:pStyle w:val="afa"/>
              <w:rPr>
                <w:bCs/>
              </w:rPr>
            </w:pPr>
          </w:p>
        </w:tc>
        <w:tc>
          <w:tcPr>
            <w:tcW w:w="845" w:type="pct"/>
            <w:vMerge/>
            <w:vAlign w:val="center"/>
          </w:tcPr>
          <w:p w:rsidR="00EE56C0" w:rsidRDefault="00EE56C0">
            <w:pPr>
              <w:pStyle w:val="afa"/>
            </w:pPr>
          </w:p>
        </w:tc>
        <w:tc>
          <w:tcPr>
            <w:tcW w:w="593" w:type="pct"/>
            <w:vAlign w:val="center"/>
          </w:tcPr>
          <w:p w:rsidR="00EE56C0" w:rsidRDefault="000F36A1">
            <w:pPr>
              <w:pStyle w:val="afa"/>
              <w:rPr>
                <w:bCs/>
              </w:rPr>
            </w:pPr>
            <w:r>
              <w:rPr>
                <w:rFonts w:hint="eastAsia"/>
                <w:bCs/>
              </w:rPr>
              <w:t>1.5~3.0m</w:t>
            </w:r>
          </w:p>
        </w:tc>
        <w:tc>
          <w:tcPr>
            <w:tcW w:w="593" w:type="pct"/>
            <w:vAlign w:val="center"/>
          </w:tcPr>
          <w:p w:rsidR="00EE56C0" w:rsidRDefault="000F36A1">
            <w:pPr>
              <w:pStyle w:val="afa"/>
            </w:pPr>
            <w:r>
              <w:rPr>
                <w:rFonts w:hint="eastAsia"/>
              </w:rPr>
              <w:t>7.68</w:t>
            </w:r>
          </w:p>
        </w:tc>
        <w:tc>
          <w:tcPr>
            <w:tcW w:w="593" w:type="pct"/>
            <w:vAlign w:val="center"/>
          </w:tcPr>
          <w:p w:rsidR="00EE56C0" w:rsidRDefault="000F36A1">
            <w:pPr>
              <w:pStyle w:val="afa"/>
            </w:pPr>
            <w:r>
              <w:rPr>
                <w:rFonts w:hint="eastAsia"/>
              </w:rPr>
              <w:t>未检出</w:t>
            </w:r>
          </w:p>
        </w:tc>
        <w:tc>
          <w:tcPr>
            <w:tcW w:w="508" w:type="pct"/>
            <w:vAlign w:val="center"/>
          </w:tcPr>
          <w:p w:rsidR="00EE56C0" w:rsidRDefault="000F36A1">
            <w:pPr>
              <w:pStyle w:val="afa"/>
            </w:pPr>
            <w:r>
              <w:rPr>
                <w:rFonts w:hint="eastAsia"/>
              </w:rPr>
              <w:t>未检出</w:t>
            </w:r>
          </w:p>
        </w:tc>
        <w:tc>
          <w:tcPr>
            <w:tcW w:w="509" w:type="pct"/>
            <w:tcBorders>
              <w:right w:val="single" w:sz="4" w:space="0" w:color="auto"/>
            </w:tcBorders>
            <w:vAlign w:val="center"/>
          </w:tcPr>
          <w:p w:rsidR="00EE56C0" w:rsidRDefault="000F36A1">
            <w:pPr>
              <w:pStyle w:val="afa"/>
            </w:pPr>
            <w:r>
              <w:rPr>
                <w:rFonts w:hint="eastAsia"/>
              </w:rPr>
              <w:t>未检出</w:t>
            </w:r>
          </w:p>
        </w:tc>
        <w:tc>
          <w:tcPr>
            <w:tcW w:w="592" w:type="pct"/>
            <w:tcBorders>
              <w:left w:val="single" w:sz="4" w:space="0" w:color="auto"/>
              <w:right w:val="single" w:sz="4" w:space="0" w:color="auto"/>
            </w:tcBorders>
            <w:vAlign w:val="center"/>
          </w:tcPr>
          <w:p w:rsidR="00EE56C0" w:rsidRDefault="000F36A1">
            <w:pPr>
              <w:pStyle w:val="afa"/>
            </w:pPr>
            <w:r>
              <w:rPr>
                <w:rFonts w:hint="eastAsia"/>
              </w:rPr>
              <w:t>未检出</w:t>
            </w:r>
          </w:p>
        </w:tc>
        <w:tc>
          <w:tcPr>
            <w:tcW w:w="421" w:type="pct"/>
            <w:tcBorders>
              <w:left w:val="single" w:sz="4" w:space="0" w:color="auto"/>
            </w:tcBorders>
            <w:vAlign w:val="center"/>
          </w:tcPr>
          <w:p w:rsidR="00EE56C0" w:rsidRDefault="000F36A1">
            <w:pPr>
              <w:pStyle w:val="afa"/>
            </w:pPr>
            <w:r>
              <w:rPr>
                <w:rFonts w:hint="eastAsia"/>
              </w:rPr>
              <w:t>未检出</w:t>
            </w:r>
          </w:p>
        </w:tc>
      </w:tr>
      <w:tr w:rsidR="00EE56C0">
        <w:trPr>
          <w:cantSplit/>
          <w:trHeight w:val="425"/>
          <w:tblHeader/>
          <w:jc w:val="center"/>
        </w:trPr>
        <w:tc>
          <w:tcPr>
            <w:tcW w:w="346" w:type="pct"/>
            <w:vMerge/>
            <w:vAlign w:val="center"/>
          </w:tcPr>
          <w:p w:rsidR="00EE56C0" w:rsidRDefault="00EE56C0">
            <w:pPr>
              <w:pStyle w:val="afa"/>
              <w:rPr>
                <w:bCs/>
              </w:rPr>
            </w:pPr>
          </w:p>
        </w:tc>
        <w:tc>
          <w:tcPr>
            <w:tcW w:w="845" w:type="pct"/>
            <w:vMerge w:val="restart"/>
            <w:vAlign w:val="center"/>
          </w:tcPr>
          <w:p w:rsidR="00EE56C0" w:rsidRDefault="000F36A1">
            <w:pPr>
              <w:pStyle w:val="afa"/>
            </w:pPr>
            <w:r>
              <w:rPr>
                <w:rFonts w:hint="eastAsia"/>
              </w:rPr>
              <w:t>厂区东北方向</w:t>
            </w:r>
          </w:p>
        </w:tc>
        <w:tc>
          <w:tcPr>
            <w:tcW w:w="593" w:type="pct"/>
            <w:vAlign w:val="center"/>
          </w:tcPr>
          <w:p w:rsidR="00EE56C0" w:rsidRDefault="000F36A1">
            <w:pPr>
              <w:pStyle w:val="afa"/>
              <w:rPr>
                <w:bCs/>
              </w:rPr>
            </w:pPr>
            <w:r>
              <w:rPr>
                <w:bCs/>
              </w:rPr>
              <w:t>0</w:t>
            </w:r>
            <w:r>
              <w:rPr>
                <w:rFonts w:hint="eastAsia"/>
                <w:bCs/>
              </w:rPr>
              <w:t>~</w:t>
            </w:r>
            <w:r>
              <w:rPr>
                <w:bCs/>
              </w:rPr>
              <w:t>0.</w:t>
            </w:r>
            <w:r>
              <w:rPr>
                <w:rFonts w:hint="eastAsia"/>
                <w:bCs/>
              </w:rPr>
              <w:t>5m</w:t>
            </w:r>
          </w:p>
        </w:tc>
        <w:tc>
          <w:tcPr>
            <w:tcW w:w="593" w:type="pct"/>
            <w:vAlign w:val="center"/>
          </w:tcPr>
          <w:p w:rsidR="00EE56C0" w:rsidRDefault="000F36A1">
            <w:pPr>
              <w:pStyle w:val="afa"/>
            </w:pPr>
            <w:r>
              <w:rPr>
                <w:rFonts w:hint="eastAsia"/>
              </w:rPr>
              <w:t>7.55</w:t>
            </w:r>
          </w:p>
        </w:tc>
        <w:tc>
          <w:tcPr>
            <w:tcW w:w="593" w:type="pct"/>
            <w:vAlign w:val="center"/>
          </w:tcPr>
          <w:p w:rsidR="00EE56C0" w:rsidRDefault="000F36A1">
            <w:pPr>
              <w:pStyle w:val="afa"/>
            </w:pPr>
            <w:r>
              <w:rPr>
                <w:rFonts w:hint="eastAsia"/>
              </w:rPr>
              <w:t>未检出</w:t>
            </w:r>
          </w:p>
        </w:tc>
        <w:tc>
          <w:tcPr>
            <w:tcW w:w="508" w:type="pct"/>
            <w:vAlign w:val="center"/>
          </w:tcPr>
          <w:p w:rsidR="00EE56C0" w:rsidRDefault="000F36A1">
            <w:pPr>
              <w:pStyle w:val="afa"/>
            </w:pPr>
            <w:r>
              <w:rPr>
                <w:rFonts w:hint="eastAsia"/>
              </w:rPr>
              <w:t>未检出</w:t>
            </w:r>
          </w:p>
        </w:tc>
        <w:tc>
          <w:tcPr>
            <w:tcW w:w="509" w:type="pct"/>
            <w:tcBorders>
              <w:right w:val="single" w:sz="4" w:space="0" w:color="auto"/>
            </w:tcBorders>
            <w:vAlign w:val="center"/>
          </w:tcPr>
          <w:p w:rsidR="00EE56C0" w:rsidRDefault="000F36A1">
            <w:pPr>
              <w:pStyle w:val="afa"/>
            </w:pPr>
            <w:r>
              <w:rPr>
                <w:rFonts w:hint="eastAsia"/>
              </w:rPr>
              <w:t>未检出</w:t>
            </w:r>
          </w:p>
        </w:tc>
        <w:tc>
          <w:tcPr>
            <w:tcW w:w="592" w:type="pct"/>
            <w:tcBorders>
              <w:left w:val="single" w:sz="4" w:space="0" w:color="auto"/>
              <w:right w:val="single" w:sz="4" w:space="0" w:color="auto"/>
            </w:tcBorders>
            <w:vAlign w:val="center"/>
          </w:tcPr>
          <w:p w:rsidR="00EE56C0" w:rsidRDefault="000F36A1">
            <w:pPr>
              <w:pStyle w:val="afa"/>
            </w:pPr>
            <w:r>
              <w:rPr>
                <w:rFonts w:hint="eastAsia"/>
              </w:rPr>
              <w:t>未检出</w:t>
            </w:r>
          </w:p>
        </w:tc>
        <w:tc>
          <w:tcPr>
            <w:tcW w:w="421" w:type="pct"/>
            <w:tcBorders>
              <w:left w:val="single" w:sz="4" w:space="0" w:color="auto"/>
            </w:tcBorders>
            <w:vAlign w:val="center"/>
          </w:tcPr>
          <w:p w:rsidR="00EE56C0" w:rsidRDefault="000F36A1">
            <w:pPr>
              <w:pStyle w:val="afa"/>
            </w:pPr>
            <w:r>
              <w:rPr>
                <w:rFonts w:hint="eastAsia"/>
              </w:rPr>
              <w:t>未检出</w:t>
            </w:r>
          </w:p>
        </w:tc>
      </w:tr>
      <w:tr w:rsidR="00EE56C0">
        <w:trPr>
          <w:cantSplit/>
          <w:trHeight w:val="425"/>
          <w:tblHeader/>
          <w:jc w:val="center"/>
        </w:trPr>
        <w:tc>
          <w:tcPr>
            <w:tcW w:w="346" w:type="pct"/>
            <w:vMerge/>
            <w:vAlign w:val="center"/>
          </w:tcPr>
          <w:p w:rsidR="00EE56C0" w:rsidRDefault="00EE56C0">
            <w:pPr>
              <w:pStyle w:val="afa"/>
              <w:rPr>
                <w:bCs/>
              </w:rPr>
            </w:pPr>
          </w:p>
        </w:tc>
        <w:tc>
          <w:tcPr>
            <w:tcW w:w="845" w:type="pct"/>
            <w:vMerge/>
            <w:vAlign w:val="center"/>
          </w:tcPr>
          <w:p w:rsidR="00EE56C0" w:rsidRDefault="00EE56C0">
            <w:pPr>
              <w:pStyle w:val="afa"/>
            </w:pPr>
          </w:p>
        </w:tc>
        <w:tc>
          <w:tcPr>
            <w:tcW w:w="593" w:type="pct"/>
            <w:vAlign w:val="center"/>
          </w:tcPr>
          <w:p w:rsidR="00EE56C0" w:rsidRDefault="000F36A1">
            <w:pPr>
              <w:pStyle w:val="afa"/>
              <w:rPr>
                <w:bCs/>
              </w:rPr>
            </w:pPr>
            <w:r>
              <w:rPr>
                <w:rFonts w:hint="eastAsia"/>
                <w:bCs/>
              </w:rPr>
              <w:t>0.5~1.5m</w:t>
            </w:r>
          </w:p>
        </w:tc>
        <w:tc>
          <w:tcPr>
            <w:tcW w:w="593" w:type="pct"/>
            <w:vAlign w:val="center"/>
          </w:tcPr>
          <w:p w:rsidR="00EE56C0" w:rsidRDefault="000F36A1">
            <w:pPr>
              <w:pStyle w:val="afa"/>
            </w:pPr>
            <w:r>
              <w:rPr>
                <w:rFonts w:hint="eastAsia"/>
              </w:rPr>
              <w:t>7.63</w:t>
            </w:r>
          </w:p>
        </w:tc>
        <w:tc>
          <w:tcPr>
            <w:tcW w:w="593" w:type="pct"/>
            <w:vAlign w:val="center"/>
          </w:tcPr>
          <w:p w:rsidR="00EE56C0" w:rsidRDefault="000F36A1">
            <w:pPr>
              <w:pStyle w:val="afa"/>
            </w:pPr>
            <w:r>
              <w:rPr>
                <w:rFonts w:hint="eastAsia"/>
              </w:rPr>
              <w:t>未检出</w:t>
            </w:r>
          </w:p>
        </w:tc>
        <w:tc>
          <w:tcPr>
            <w:tcW w:w="508" w:type="pct"/>
            <w:vAlign w:val="center"/>
          </w:tcPr>
          <w:p w:rsidR="00EE56C0" w:rsidRDefault="000F36A1">
            <w:pPr>
              <w:pStyle w:val="afa"/>
            </w:pPr>
            <w:r>
              <w:rPr>
                <w:rFonts w:hint="eastAsia"/>
              </w:rPr>
              <w:t>未检出</w:t>
            </w:r>
          </w:p>
        </w:tc>
        <w:tc>
          <w:tcPr>
            <w:tcW w:w="509" w:type="pct"/>
            <w:tcBorders>
              <w:right w:val="single" w:sz="4" w:space="0" w:color="auto"/>
            </w:tcBorders>
            <w:vAlign w:val="center"/>
          </w:tcPr>
          <w:p w:rsidR="00EE56C0" w:rsidRDefault="000F36A1">
            <w:pPr>
              <w:pStyle w:val="afa"/>
            </w:pPr>
            <w:r>
              <w:rPr>
                <w:rFonts w:hint="eastAsia"/>
              </w:rPr>
              <w:t>未检出</w:t>
            </w:r>
          </w:p>
        </w:tc>
        <w:tc>
          <w:tcPr>
            <w:tcW w:w="592" w:type="pct"/>
            <w:tcBorders>
              <w:left w:val="single" w:sz="4" w:space="0" w:color="auto"/>
              <w:right w:val="single" w:sz="4" w:space="0" w:color="auto"/>
            </w:tcBorders>
            <w:vAlign w:val="center"/>
          </w:tcPr>
          <w:p w:rsidR="00EE56C0" w:rsidRDefault="000F36A1">
            <w:pPr>
              <w:pStyle w:val="afa"/>
            </w:pPr>
            <w:r>
              <w:rPr>
                <w:rFonts w:hint="eastAsia"/>
              </w:rPr>
              <w:t>未检出</w:t>
            </w:r>
          </w:p>
        </w:tc>
        <w:tc>
          <w:tcPr>
            <w:tcW w:w="421" w:type="pct"/>
            <w:tcBorders>
              <w:left w:val="single" w:sz="4" w:space="0" w:color="auto"/>
            </w:tcBorders>
            <w:vAlign w:val="center"/>
          </w:tcPr>
          <w:p w:rsidR="00EE56C0" w:rsidRDefault="000F36A1">
            <w:pPr>
              <w:pStyle w:val="afa"/>
            </w:pPr>
            <w:r>
              <w:rPr>
                <w:rFonts w:hint="eastAsia"/>
              </w:rPr>
              <w:t>未检出</w:t>
            </w:r>
          </w:p>
        </w:tc>
      </w:tr>
      <w:tr w:rsidR="00EE56C0">
        <w:trPr>
          <w:cantSplit/>
          <w:trHeight w:val="425"/>
          <w:tblHeader/>
          <w:jc w:val="center"/>
        </w:trPr>
        <w:tc>
          <w:tcPr>
            <w:tcW w:w="346" w:type="pct"/>
            <w:vMerge/>
            <w:vAlign w:val="center"/>
          </w:tcPr>
          <w:p w:rsidR="00EE56C0" w:rsidRDefault="00EE56C0">
            <w:pPr>
              <w:pStyle w:val="afa"/>
              <w:rPr>
                <w:bCs/>
              </w:rPr>
            </w:pPr>
          </w:p>
        </w:tc>
        <w:tc>
          <w:tcPr>
            <w:tcW w:w="845" w:type="pct"/>
            <w:vMerge/>
            <w:vAlign w:val="center"/>
          </w:tcPr>
          <w:p w:rsidR="00EE56C0" w:rsidRDefault="00EE56C0">
            <w:pPr>
              <w:pStyle w:val="afa"/>
            </w:pPr>
          </w:p>
        </w:tc>
        <w:tc>
          <w:tcPr>
            <w:tcW w:w="593" w:type="pct"/>
            <w:vAlign w:val="center"/>
          </w:tcPr>
          <w:p w:rsidR="00EE56C0" w:rsidRDefault="000F36A1">
            <w:pPr>
              <w:pStyle w:val="afa"/>
              <w:rPr>
                <w:bCs/>
              </w:rPr>
            </w:pPr>
            <w:r>
              <w:rPr>
                <w:rFonts w:hint="eastAsia"/>
                <w:bCs/>
              </w:rPr>
              <w:t>1.5~3.0m</w:t>
            </w:r>
          </w:p>
        </w:tc>
        <w:tc>
          <w:tcPr>
            <w:tcW w:w="593" w:type="pct"/>
            <w:vAlign w:val="center"/>
          </w:tcPr>
          <w:p w:rsidR="00EE56C0" w:rsidRDefault="000F36A1">
            <w:pPr>
              <w:pStyle w:val="afa"/>
            </w:pPr>
            <w:r>
              <w:rPr>
                <w:rFonts w:hint="eastAsia"/>
              </w:rPr>
              <w:t>7.59</w:t>
            </w:r>
          </w:p>
        </w:tc>
        <w:tc>
          <w:tcPr>
            <w:tcW w:w="593" w:type="pct"/>
            <w:vAlign w:val="center"/>
          </w:tcPr>
          <w:p w:rsidR="00EE56C0" w:rsidRDefault="000F36A1">
            <w:pPr>
              <w:pStyle w:val="afa"/>
            </w:pPr>
            <w:r>
              <w:rPr>
                <w:rFonts w:hint="eastAsia"/>
              </w:rPr>
              <w:t>未检出</w:t>
            </w:r>
          </w:p>
        </w:tc>
        <w:tc>
          <w:tcPr>
            <w:tcW w:w="508" w:type="pct"/>
            <w:vAlign w:val="center"/>
          </w:tcPr>
          <w:p w:rsidR="00EE56C0" w:rsidRDefault="000F36A1">
            <w:pPr>
              <w:pStyle w:val="afa"/>
            </w:pPr>
            <w:r>
              <w:rPr>
                <w:rFonts w:hint="eastAsia"/>
              </w:rPr>
              <w:t>未检出</w:t>
            </w:r>
          </w:p>
        </w:tc>
        <w:tc>
          <w:tcPr>
            <w:tcW w:w="509" w:type="pct"/>
            <w:tcBorders>
              <w:right w:val="single" w:sz="4" w:space="0" w:color="auto"/>
            </w:tcBorders>
            <w:vAlign w:val="center"/>
          </w:tcPr>
          <w:p w:rsidR="00EE56C0" w:rsidRDefault="000F36A1">
            <w:pPr>
              <w:pStyle w:val="afa"/>
            </w:pPr>
            <w:r>
              <w:rPr>
                <w:rFonts w:hint="eastAsia"/>
              </w:rPr>
              <w:t>未检出</w:t>
            </w:r>
          </w:p>
        </w:tc>
        <w:tc>
          <w:tcPr>
            <w:tcW w:w="592" w:type="pct"/>
            <w:tcBorders>
              <w:left w:val="single" w:sz="4" w:space="0" w:color="auto"/>
              <w:right w:val="single" w:sz="4" w:space="0" w:color="auto"/>
            </w:tcBorders>
            <w:vAlign w:val="center"/>
          </w:tcPr>
          <w:p w:rsidR="00EE56C0" w:rsidRDefault="000F36A1">
            <w:pPr>
              <w:pStyle w:val="afa"/>
            </w:pPr>
            <w:r>
              <w:rPr>
                <w:rFonts w:hint="eastAsia"/>
              </w:rPr>
              <w:t>未检出</w:t>
            </w:r>
          </w:p>
        </w:tc>
        <w:tc>
          <w:tcPr>
            <w:tcW w:w="421" w:type="pct"/>
            <w:tcBorders>
              <w:left w:val="single" w:sz="4" w:space="0" w:color="auto"/>
            </w:tcBorders>
            <w:vAlign w:val="center"/>
          </w:tcPr>
          <w:p w:rsidR="00EE56C0" w:rsidRDefault="000F36A1">
            <w:pPr>
              <w:pStyle w:val="afa"/>
            </w:pPr>
            <w:r>
              <w:rPr>
                <w:rFonts w:hint="eastAsia"/>
              </w:rPr>
              <w:t>未检出</w:t>
            </w:r>
          </w:p>
        </w:tc>
      </w:tr>
      <w:tr w:rsidR="00EE56C0">
        <w:trPr>
          <w:cantSplit/>
          <w:trHeight w:val="425"/>
          <w:tblHeader/>
          <w:jc w:val="center"/>
        </w:trPr>
        <w:tc>
          <w:tcPr>
            <w:tcW w:w="346" w:type="pct"/>
            <w:vMerge/>
            <w:vAlign w:val="center"/>
          </w:tcPr>
          <w:p w:rsidR="00EE56C0" w:rsidRDefault="00EE56C0">
            <w:pPr>
              <w:pStyle w:val="afa"/>
              <w:rPr>
                <w:bCs/>
              </w:rPr>
            </w:pPr>
          </w:p>
        </w:tc>
        <w:tc>
          <w:tcPr>
            <w:tcW w:w="845" w:type="pct"/>
            <w:vMerge w:val="restart"/>
            <w:vAlign w:val="center"/>
          </w:tcPr>
          <w:p w:rsidR="00EE56C0" w:rsidRDefault="000F36A1">
            <w:pPr>
              <w:pStyle w:val="afa"/>
            </w:pPr>
            <w:r>
              <w:t>厂区西侧预留用地</w:t>
            </w:r>
          </w:p>
        </w:tc>
        <w:tc>
          <w:tcPr>
            <w:tcW w:w="593" w:type="pct"/>
            <w:vAlign w:val="center"/>
          </w:tcPr>
          <w:p w:rsidR="00EE56C0" w:rsidRDefault="000F36A1">
            <w:pPr>
              <w:pStyle w:val="afa"/>
              <w:rPr>
                <w:bCs/>
              </w:rPr>
            </w:pPr>
            <w:r>
              <w:rPr>
                <w:bCs/>
              </w:rPr>
              <w:t>0</w:t>
            </w:r>
            <w:r>
              <w:rPr>
                <w:rFonts w:hint="eastAsia"/>
                <w:bCs/>
              </w:rPr>
              <w:t>~</w:t>
            </w:r>
            <w:r>
              <w:rPr>
                <w:bCs/>
              </w:rPr>
              <w:t>0.</w:t>
            </w:r>
            <w:r>
              <w:rPr>
                <w:rFonts w:hint="eastAsia"/>
                <w:bCs/>
              </w:rPr>
              <w:t>5m</w:t>
            </w:r>
          </w:p>
        </w:tc>
        <w:tc>
          <w:tcPr>
            <w:tcW w:w="593" w:type="pct"/>
            <w:vAlign w:val="center"/>
          </w:tcPr>
          <w:p w:rsidR="00EE56C0" w:rsidRDefault="000F36A1">
            <w:pPr>
              <w:pStyle w:val="afa"/>
            </w:pPr>
            <w:r>
              <w:rPr>
                <w:rFonts w:hint="eastAsia"/>
              </w:rPr>
              <w:t>7.37</w:t>
            </w:r>
          </w:p>
        </w:tc>
        <w:tc>
          <w:tcPr>
            <w:tcW w:w="593" w:type="pct"/>
            <w:vAlign w:val="center"/>
          </w:tcPr>
          <w:p w:rsidR="00EE56C0" w:rsidRDefault="000F36A1">
            <w:pPr>
              <w:pStyle w:val="afa"/>
            </w:pPr>
            <w:r>
              <w:rPr>
                <w:rFonts w:hint="eastAsia"/>
              </w:rPr>
              <w:t>未检出</w:t>
            </w:r>
          </w:p>
        </w:tc>
        <w:tc>
          <w:tcPr>
            <w:tcW w:w="508" w:type="pct"/>
            <w:vAlign w:val="center"/>
          </w:tcPr>
          <w:p w:rsidR="00EE56C0" w:rsidRDefault="000F36A1">
            <w:pPr>
              <w:pStyle w:val="afa"/>
            </w:pPr>
            <w:r>
              <w:rPr>
                <w:rFonts w:hint="eastAsia"/>
              </w:rPr>
              <w:t>未检出</w:t>
            </w:r>
          </w:p>
        </w:tc>
        <w:tc>
          <w:tcPr>
            <w:tcW w:w="509" w:type="pct"/>
            <w:tcBorders>
              <w:right w:val="single" w:sz="4" w:space="0" w:color="auto"/>
            </w:tcBorders>
            <w:vAlign w:val="center"/>
          </w:tcPr>
          <w:p w:rsidR="00EE56C0" w:rsidRDefault="000F36A1">
            <w:pPr>
              <w:pStyle w:val="afa"/>
            </w:pPr>
            <w:r>
              <w:rPr>
                <w:rFonts w:hint="eastAsia"/>
              </w:rPr>
              <w:t>未检出</w:t>
            </w:r>
          </w:p>
        </w:tc>
        <w:tc>
          <w:tcPr>
            <w:tcW w:w="592" w:type="pct"/>
            <w:tcBorders>
              <w:left w:val="single" w:sz="4" w:space="0" w:color="auto"/>
              <w:right w:val="single" w:sz="4" w:space="0" w:color="auto"/>
            </w:tcBorders>
            <w:vAlign w:val="center"/>
          </w:tcPr>
          <w:p w:rsidR="00EE56C0" w:rsidRDefault="000F36A1">
            <w:pPr>
              <w:pStyle w:val="afa"/>
            </w:pPr>
            <w:r>
              <w:rPr>
                <w:rFonts w:hint="eastAsia"/>
              </w:rPr>
              <w:t>未检出</w:t>
            </w:r>
          </w:p>
        </w:tc>
        <w:tc>
          <w:tcPr>
            <w:tcW w:w="421" w:type="pct"/>
            <w:tcBorders>
              <w:left w:val="single" w:sz="4" w:space="0" w:color="auto"/>
            </w:tcBorders>
            <w:vAlign w:val="center"/>
          </w:tcPr>
          <w:p w:rsidR="00EE56C0" w:rsidRDefault="000F36A1">
            <w:pPr>
              <w:pStyle w:val="afa"/>
            </w:pPr>
            <w:r>
              <w:rPr>
                <w:rFonts w:hint="eastAsia"/>
              </w:rPr>
              <w:t>未检出</w:t>
            </w:r>
          </w:p>
        </w:tc>
      </w:tr>
      <w:tr w:rsidR="00EE56C0">
        <w:trPr>
          <w:cantSplit/>
          <w:trHeight w:val="425"/>
          <w:tblHeader/>
          <w:jc w:val="center"/>
        </w:trPr>
        <w:tc>
          <w:tcPr>
            <w:tcW w:w="346" w:type="pct"/>
            <w:vMerge/>
            <w:vAlign w:val="center"/>
          </w:tcPr>
          <w:p w:rsidR="00EE56C0" w:rsidRDefault="00EE56C0">
            <w:pPr>
              <w:pStyle w:val="afa"/>
              <w:rPr>
                <w:bCs/>
              </w:rPr>
            </w:pPr>
          </w:p>
        </w:tc>
        <w:tc>
          <w:tcPr>
            <w:tcW w:w="845" w:type="pct"/>
            <w:vMerge/>
            <w:vAlign w:val="center"/>
          </w:tcPr>
          <w:p w:rsidR="00EE56C0" w:rsidRDefault="00EE56C0">
            <w:pPr>
              <w:pStyle w:val="afa"/>
            </w:pPr>
          </w:p>
        </w:tc>
        <w:tc>
          <w:tcPr>
            <w:tcW w:w="593" w:type="pct"/>
            <w:vAlign w:val="center"/>
          </w:tcPr>
          <w:p w:rsidR="00EE56C0" w:rsidRDefault="000F36A1">
            <w:pPr>
              <w:pStyle w:val="afa"/>
              <w:rPr>
                <w:bCs/>
              </w:rPr>
            </w:pPr>
            <w:r>
              <w:rPr>
                <w:rFonts w:hint="eastAsia"/>
                <w:bCs/>
              </w:rPr>
              <w:t>0.5~1.5m</w:t>
            </w:r>
          </w:p>
        </w:tc>
        <w:tc>
          <w:tcPr>
            <w:tcW w:w="593" w:type="pct"/>
            <w:vAlign w:val="center"/>
          </w:tcPr>
          <w:p w:rsidR="00EE56C0" w:rsidRDefault="000F36A1">
            <w:pPr>
              <w:pStyle w:val="afa"/>
            </w:pPr>
            <w:r>
              <w:rPr>
                <w:rFonts w:hint="eastAsia"/>
              </w:rPr>
              <w:t>7.34</w:t>
            </w:r>
          </w:p>
        </w:tc>
        <w:tc>
          <w:tcPr>
            <w:tcW w:w="593" w:type="pct"/>
            <w:vAlign w:val="center"/>
          </w:tcPr>
          <w:p w:rsidR="00EE56C0" w:rsidRDefault="000F36A1">
            <w:pPr>
              <w:pStyle w:val="afa"/>
            </w:pPr>
            <w:r>
              <w:rPr>
                <w:rFonts w:hint="eastAsia"/>
              </w:rPr>
              <w:t>未检出</w:t>
            </w:r>
          </w:p>
        </w:tc>
        <w:tc>
          <w:tcPr>
            <w:tcW w:w="508" w:type="pct"/>
            <w:vAlign w:val="center"/>
          </w:tcPr>
          <w:p w:rsidR="00EE56C0" w:rsidRDefault="000F36A1">
            <w:pPr>
              <w:pStyle w:val="afa"/>
            </w:pPr>
            <w:r>
              <w:rPr>
                <w:rFonts w:hint="eastAsia"/>
              </w:rPr>
              <w:t>未检出</w:t>
            </w:r>
          </w:p>
        </w:tc>
        <w:tc>
          <w:tcPr>
            <w:tcW w:w="509" w:type="pct"/>
            <w:tcBorders>
              <w:right w:val="single" w:sz="4" w:space="0" w:color="auto"/>
            </w:tcBorders>
            <w:vAlign w:val="center"/>
          </w:tcPr>
          <w:p w:rsidR="00EE56C0" w:rsidRDefault="000F36A1">
            <w:pPr>
              <w:pStyle w:val="afa"/>
            </w:pPr>
            <w:r>
              <w:rPr>
                <w:rFonts w:hint="eastAsia"/>
              </w:rPr>
              <w:t>未检出</w:t>
            </w:r>
          </w:p>
        </w:tc>
        <w:tc>
          <w:tcPr>
            <w:tcW w:w="592" w:type="pct"/>
            <w:tcBorders>
              <w:left w:val="single" w:sz="4" w:space="0" w:color="auto"/>
              <w:right w:val="single" w:sz="4" w:space="0" w:color="auto"/>
            </w:tcBorders>
            <w:vAlign w:val="center"/>
          </w:tcPr>
          <w:p w:rsidR="00EE56C0" w:rsidRDefault="000F36A1">
            <w:pPr>
              <w:pStyle w:val="afa"/>
            </w:pPr>
            <w:r>
              <w:rPr>
                <w:rFonts w:hint="eastAsia"/>
              </w:rPr>
              <w:t>未检出</w:t>
            </w:r>
          </w:p>
        </w:tc>
        <w:tc>
          <w:tcPr>
            <w:tcW w:w="421" w:type="pct"/>
            <w:tcBorders>
              <w:left w:val="single" w:sz="4" w:space="0" w:color="auto"/>
            </w:tcBorders>
            <w:vAlign w:val="center"/>
          </w:tcPr>
          <w:p w:rsidR="00EE56C0" w:rsidRDefault="000F36A1">
            <w:pPr>
              <w:pStyle w:val="afa"/>
            </w:pPr>
            <w:r>
              <w:rPr>
                <w:rFonts w:hint="eastAsia"/>
              </w:rPr>
              <w:t>未检出</w:t>
            </w:r>
          </w:p>
        </w:tc>
      </w:tr>
      <w:tr w:rsidR="00EE56C0">
        <w:trPr>
          <w:cantSplit/>
          <w:trHeight w:val="425"/>
          <w:tblHeader/>
          <w:jc w:val="center"/>
        </w:trPr>
        <w:tc>
          <w:tcPr>
            <w:tcW w:w="346" w:type="pct"/>
            <w:vMerge/>
            <w:vAlign w:val="center"/>
          </w:tcPr>
          <w:p w:rsidR="00EE56C0" w:rsidRDefault="00EE56C0">
            <w:pPr>
              <w:pStyle w:val="afa"/>
              <w:rPr>
                <w:bCs/>
              </w:rPr>
            </w:pPr>
          </w:p>
        </w:tc>
        <w:tc>
          <w:tcPr>
            <w:tcW w:w="845" w:type="pct"/>
            <w:vMerge/>
            <w:vAlign w:val="center"/>
          </w:tcPr>
          <w:p w:rsidR="00EE56C0" w:rsidRDefault="00EE56C0">
            <w:pPr>
              <w:pStyle w:val="afa"/>
            </w:pPr>
          </w:p>
        </w:tc>
        <w:tc>
          <w:tcPr>
            <w:tcW w:w="593" w:type="pct"/>
            <w:vAlign w:val="center"/>
          </w:tcPr>
          <w:p w:rsidR="00EE56C0" w:rsidRDefault="000F36A1">
            <w:pPr>
              <w:pStyle w:val="afa"/>
              <w:rPr>
                <w:bCs/>
              </w:rPr>
            </w:pPr>
            <w:r>
              <w:rPr>
                <w:rFonts w:hint="eastAsia"/>
                <w:bCs/>
              </w:rPr>
              <w:t>1.5~3.0m</w:t>
            </w:r>
          </w:p>
        </w:tc>
        <w:tc>
          <w:tcPr>
            <w:tcW w:w="593" w:type="pct"/>
            <w:vAlign w:val="center"/>
          </w:tcPr>
          <w:p w:rsidR="00EE56C0" w:rsidRDefault="000F36A1">
            <w:pPr>
              <w:pStyle w:val="afa"/>
            </w:pPr>
            <w:r>
              <w:rPr>
                <w:rFonts w:hint="eastAsia"/>
              </w:rPr>
              <w:t>7.43</w:t>
            </w:r>
          </w:p>
        </w:tc>
        <w:tc>
          <w:tcPr>
            <w:tcW w:w="593" w:type="pct"/>
            <w:vAlign w:val="center"/>
          </w:tcPr>
          <w:p w:rsidR="00EE56C0" w:rsidRDefault="000F36A1">
            <w:pPr>
              <w:pStyle w:val="afa"/>
            </w:pPr>
            <w:r>
              <w:rPr>
                <w:rFonts w:hint="eastAsia"/>
              </w:rPr>
              <w:t>未检出</w:t>
            </w:r>
          </w:p>
        </w:tc>
        <w:tc>
          <w:tcPr>
            <w:tcW w:w="508" w:type="pct"/>
            <w:vAlign w:val="center"/>
          </w:tcPr>
          <w:p w:rsidR="00EE56C0" w:rsidRDefault="000F36A1">
            <w:pPr>
              <w:pStyle w:val="afa"/>
            </w:pPr>
            <w:r>
              <w:rPr>
                <w:rFonts w:hint="eastAsia"/>
              </w:rPr>
              <w:t>未检出</w:t>
            </w:r>
          </w:p>
        </w:tc>
        <w:tc>
          <w:tcPr>
            <w:tcW w:w="509" w:type="pct"/>
            <w:tcBorders>
              <w:right w:val="single" w:sz="4" w:space="0" w:color="auto"/>
            </w:tcBorders>
            <w:vAlign w:val="center"/>
          </w:tcPr>
          <w:p w:rsidR="00EE56C0" w:rsidRDefault="000F36A1">
            <w:pPr>
              <w:pStyle w:val="afa"/>
            </w:pPr>
            <w:r>
              <w:rPr>
                <w:rFonts w:hint="eastAsia"/>
              </w:rPr>
              <w:t>未检出</w:t>
            </w:r>
          </w:p>
        </w:tc>
        <w:tc>
          <w:tcPr>
            <w:tcW w:w="592" w:type="pct"/>
            <w:tcBorders>
              <w:left w:val="single" w:sz="4" w:space="0" w:color="auto"/>
              <w:right w:val="single" w:sz="4" w:space="0" w:color="auto"/>
            </w:tcBorders>
            <w:vAlign w:val="center"/>
          </w:tcPr>
          <w:p w:rsidR="00EE56C0" w:rsidRDefault="000F36A1">
            <w:pPr>
              <w:pStyle w:val="afa"/>
            </w:pPr>
            <w:r>
              <w:rPr>
                <w:rFonts w:hint="eastAsia"/>
              </w:rPr>
              <w:t>未检出</w:t>
            </w:r>
          </w:p>
        </w:tc>
        <w:tc>
          <w:tcPr>
            <w:tcW w:w="421" w:type="pct"/>
            <w:tcBorders>
              <w:left w:val="single" w:sz="4" w:space="0" w:color="auto"/>
            </w:tcBorders>
            <w:vAlign w:val="center"/>
          </w:tcPr>
          <w:p w:rsidR="00EE56C0" w:rsidRDefault="000F36A1">
            <w:pPr>
              <w:pStyle w:val="afa"/>
            </w:pPr>
            <w:r>
              <w:rPr>
                <w:rFonts w:hint="eastAsia"/>
              </w:rPr>
              <w:t>未检出</w:t>
            </w:r>
          </w:p>
        </w:tc>
      </w:tr>
      <w:tr w:rsidR="00EE56C0">
        <w:trPr>
          <w:cantSplit/>
          <w:trHeight w:val="425"/>
          <w:tblHeader/>
          <w:jc w:val="center"/>
        </w:trPr>
        <w:tc>
          <w:tcPr>
            <w:tcW w:w="346" w:type="pct"/>
            <w:vMerge/>
            <w:vAlign w:val="center"/>
          </w:tcPr>
          <w:p w:rsidR="00EE56C0" w:rsidRDefault="00EE56C0">
            <w:pPr>
              <w:pStyle w:val="afa"/>
              <w:rPr>
                <w:bCs/>
              </w:rPr>
            </w:pPr>
          </w:p>
        </w:tc>
        <w:tc>
          <w:tcPr>
            <w:tcW w:w="845" w:type="pct"/>
            <w:vAlign w:val="center"/>
          </w:tcPr>
          <w:p w:rsidR="00EE56C0" w:rsidRDefault="000F36A1">
            <w:pPr>
              <w:pStyle w:val="afa"/>
            </w:pPr>
            <w:r>
              <w:t>厂区内西侧预留用地</w:t>
            </w:r>
          </w:p>
        </w:tc>
        <w:tc>
          <w:tcPr>
            <w:tcW w:w="593" w:type="pct"/>
            <w:vAlign w:val="center"/>
          </w:tcPr>
          <w:p w:rsidR="00EE56C0" w:rsidRDefault="000F36A1">
            <w:pPr>
              <w:pStyle w:val="afa"/>
              <w:rPr>
                <w:bCs/>
              </w:rPr>
            </w:pPr>
            <w:r>
              <w:rPr>
                <w:rFonts w:hint="eastAsia"/>
                <w:bCs/>
              </w:rPr>
              <w:t>0~0.2m</w:t>
            </w:r>
          </w:p>
        </w:tc>
        <w:tc>
          <w:tcPr>
            <w:tcW w:w="593" w:type="pct"/>
            <w:vAlign w:val="center"/>
          </w:tcPr>
          <w:p w:rsidR="00EE56C0" w:rsidRDefault="000F36A1">
            <w:pPr>
              <w:pStyle w:val="afa"/>
            </w:pPr>
            <w:r>
              <w:rPr>
                <w:rFonts w:hint="eastAsia"/>
              </w:rPr>
              <w:t>7.42</w:t>
            </w:r>
          </w:p>
        </w:tc>
        <w:tc>
          <w:tcPr>
            <w:tcW w:w="593" w:type="pct"/>
            <w:vAlign w:val="center"/>
          </w:tcPr>
          <w:p w:rsidR="00EE56C0" w:rsidRDefault="000F36A1">
            <w:pPr>
              <w:pStyle w:val="afa"/>
            </w:pPr>
            <w:r>
              <w:rPr>
                <w:rFonts w:hint="eastAsia"/>
              </w:rPr>
              <w:t>未检出</w:t>
            </w:r>
          </w:p>
        </w:tc>
        <w:tc>
          <w:tcPr>
            <w:tcW w:w="508" w:type="pct"/>
            <w:vAlign w:val="center"/>
          </w:tcPr>
          <w:p w:rsidR="00EE56C0" w:rsidRDefault="000F36A1">
            <w:pPr>
              <w:pStyle w:val="afa"/>
            </w:pPr>
            <w:r>
              <w:rPr>
                <w:rFonts w:hint="eastAsia"/>
              </w:rPr>
              <w:t>未检出</w:t>
            </w:r>
          </w:p>
        </w:tc>
        <w:tc>
          <w:tcPr>
            <w:tcW w:w="509" w:type="pct"/>
            <w:tcBorders>
              <w:right w:val="single" w:sz="4" w:space="0" w:color="auto"/>
            </w:tcBorders>
            <w:vAlign w:val="center"/>
          </w:tcPr>
          <w:p w:rsidR="00EE56C0" w:rsidRDefault="000F36A1">
            <w:pPr>
              <w:pStyle w:val="afa"/>
            </w:pPr>
            <w:r>
              <w:rPr>
                <w:rFonts w:hint="eastAsia"/>
              </w:rPr>
              <w:t>未检出</w:t>
            </w:r>
          </w:p>
        </w:tc>
        <w:tc>
          <w:tcPr>
            <w:tcW w:w="592" w:type="pct"/>
            <w:tcBorders>
              <w:left w:val="single" w:sz="4" w:space="0" w:color="auto"/>
              <w:right w:val="single" w:sz="4" w:space="0" w:color="auto"/>
            </w:tcBorders>
            <w:vAlign w:val="center"/>
          </w:tcPr>
          <w:p w:rsidR="00EE56C0" w:rsidRDefault="000F36A1">
            <w:pPr>
              <w:pStyle w:val="afa"/>
            </w:pPr>
            <w:r>
              <w:rPr>
                <w:rFonts w:hint="eastAsia"/>
              </w:rPr>
              <w:t>未检出</w:t>
            </w:r>
          </w:p>
        </w:tc>
        <w:tc>
          <w:tcPr>
            <w:tcW w:w="421" w:type="pct"/>
            <w:tcBorders>
              <w:left w:val="single" w:sz="4" w:space="0" w:color="auto"/>
            </w:tcBorders>
            <w:vAlign w:val="center"/>
          </w:tcPr>
          <w:p w:rsidR="00EE56C0" w:rsidRDefault="000F36A1">
            <w:pPr>
              <w:pStyle w:val="afa"/>
            </w:pPr>
            <w:r>
              <w:rPr>
                <w:rFonts w:hint="eastAsia"/>
              </w:rPr>
              <w:t>未检出</w:t>
            </w:r>
          </w:p>
        </w:tc>
      </w:tr>
      <w:tr w:rsidR="00EE56C0">
        <w:trPr>
          <w:cantSplit/>
          <w:trHeight w:val="425"/>
          <w:tblHeader/>
          <w:jc w:val="center"/>
        </w:trPr>
        <w:tc>
          <w:tcPr>
            <w:tcW w:w="346" w:type="pct"/>
            <w:vMerge/>
            <w:vAlign w:val="center"/>
          </w:tcPr>
          <w:p w:rsidR="00EE56C0" w:rsidRDefault="00EE56C0">
            <w:pPr>
              <w:pStyle w:val="afa"/>
              <w:rPr>
                <w:bCs/>
              </w:rPr>
            </w:pPr>
          </w:p>
        </w:tc>
        <w:tc>
          <w:tcPr>
            <w:tcW w:w="845" w:type="pct"/>
            <w:vAlign w:val="center"/>
          </w:tcPr>
          <w:p w:rsidR="00EE56C0" w:rsidRDefault="000F36A1">
            <w:pPr>
              <w:pStyle w:val="afa"/>
            </w:pPr>
            <w:r>
              <w:t>厂外北侧农田</w:t>
            </w:r>
          </w:p>
        </w:tc>
        <w:tc>
          <w:tcPr>
            <w:tcW w:w="593" w:type="pct"/>
            <w:vAlign w:val="center"/>
          </w:tcPr>
          <w:p w:rsidR="00EE56C0" w:rsidRDefault="000F36A1">
            <w:pPr>
              <w:pStyle w:val="afa"/>
            </w:pPr>
            <w:r>
              <w:rPr>
                <w:rFonts w:hint="eastAsia"/>
              </w:rPr>
              <w:t>0~0.2m</w:t>
            </w:r>
          </w:p>
        </w:tc>
        <w:tc>
          <w:tcPr>
            <w:tcW w:w="593" w:type="pct"/>
            <w:vAlign w:val="center"/>
          </w:tcPr>
          <w:p w:rsidR="00EE56C0" w:rsidRDefault="000F36A1">
            <w:pPr>
              <w:pStyle w:val="afa"/>
            </w:pPr>
            <w:r>
              <w:rPr>
                <w:rFonts w:hint="eastAsia"/>
              </w:rPr>
              <w:t>7.36</w:t>
            </w:r>
          </w:p>
        </w:tc>
        <w:tc>
          <w:tcPr>
            <w:tcW w:w="593" w:type="pct"/>
            <w:vAlign w:val="center"/>
          </w:tcPr>
          <w:p w:rsidR="00EE56C0" w:rsidRDefault="000F36A1">
            <w:pPr>
              <w:pStyle w:val="afa"/>
            </w:pPr>
            <w:r>
              <w:rPr>
                <w:rFonts w:hint="eastAsia"/>
              </w:rPr>
              <w:t>未检出</w:t>
            </w:r>
          </w:p>
        </w:tc>
        <w:tc>
          <w:tcPr>
            <w:tcW w:w="508" w:type="pct"/>
            <w:vAlign w:val="center"/>
          </w:tcPr>
          <w:p w:rsidR="00EE56C0" w:rsidRDefault="000F36A1">
            <w:pPr>
              <w:pStyle w:val="afa"/>
            </w:pPr>
            <w:r>
              <w:rPr>
                <w:rFonts w:hint="eastAsia"/>
              </w:rPr>
              <w:t>未检出</w:t>
            </w:r>
          </w:p>
        </w:tc>
        <w:tc>
          <w:tcPr>
            <w:tcW w:w="509" w:type="pct"/>
            <w:tcBorders>
              <w:right w:val="single" w:sz="4" w:space="0" w:color="auto"/>
            </w:tcBorders>
            <w:vAlign w:val="center"/>
          </w:tcPr>
          <w:p w:rsidR="00EE56C0" w:rsidRDefault="000F36A1">
            <w:pPr>
              <w:pStyle w:val="afa"/>
            </w:pPr>
            <w:r>
              <w:rPr>
                <w:rFonts w:hint="eastAsia"/>
              </w:rPr>
              <w:t>未检出</w:t>
            </w:r>
          </w:p>
        </w:tc>
        <w:tc>
          <w:tcPr>
            <w:tcW w:w="592" w:type="pct"/>
            <w:tcBorders>
              <w:left w:val="single" w:sz="4" w:space="0" w:color="auto"/>
              <w:right w:val="single" w:sz="4" w:space="0" w:color="auto"/>
            </w:tcBorders>
            <w:vAlign w:val="center"/>
          </w:tcPr>
          <w:p w:rsidR="00EE56C0" w:rsidRDefault="000F36A1">
            <w:pPr>
              <w:pStyle w:val="afa"/>
            </w:pPr>
            <w:r>
              <w:rPr>
                <w:rFonts w:hint="eastAsia"/>
              </w:rPr>
              <w:t>未检出</w:t>
            </w:r>
          </w:p>
        </w:tc>
        <w:tc>
          <w:tcPr>
            <w:tcW w:w="421" w:type="pct"/>
            <w:tcBorders>
              <w:left w:val="single" w:sz="4" w:space="0" w:color="auto"/>
            </w:tcBorders>
            <w:vAlign w:val="center"/>
          </w:tcPr>
          <w:p w:rsidR="00EE56C0" w:rsidRDefault="000F36A1">
            <w:pPr>
              <w:pStyle w:val="afa"/>
            </w:pPr>
            <w:r>
              <w:rPr>
                <w:rFonts w:hint="eastAsia"/>
              </w:rPr>
              <w:t>未检出</w:t>
            </w:r>
          </w:p>
        </w:tc>
      </w:tr>
      <w:tr w:rsidR="00EE56C0">
        <w:trPr>
          <w:cantSplit/>
          <w:trHeight w:val="425"/>
          <w:tblHeader/>
          <w:jc w:val="center"/>
        </w:trPr>
        <w:tc>
          <w:tcPr>
            <w:tcW w:w="346" w:type="pct"/>
            <w:vMerge/>
            <w:vAlign w:val="center"/>
          </w:tcPr>
          <w:p w:rsidR="00EE56C0" w:rsidRDefault="00EE56C0">
            <w:pPr>
              <w:pStyle w:val="afa"/>
              <w:rPr>
                <w:bCs/>
              </w:rPr>
            </w:pPr>
          </w:p>
        </w:tc>
        <w:tc>
          <w:tcPr>
            <w:tcW w:w="845" w:type="pct"/>
            <w:vAlign w:val="center"/>
          </w:tcPr>
          <w:p w:rsidR="00EE56C0" w:rsidRDefault="000F36A1">
            <w:pPr>
              <w:pStyle w:val="afa"/>
            </w:pPr>
            <w:r>
              <w:t>厂外东侧农田</w:t>
            </w:r>
          </w:p>
        </w:tc>
        <w:tc>
          <w:tcPr>
            <w:tcW w:w="593" w:type="pct"/>
            <w:vAlign w:val="center"/>
          </w:tcPr>
          <w:p w:rsidR="00EE56C0" w:rsidRDefault="000F36A1">
            <w:pPr>
              <w:pStyle w:val="afa"/>
            </w:pPr>
            <w:r>
              <w:rPr>
                <w:rFonts w:hint="eastAsia"/>
              </w:rPr>
              <w:t>0~0.2m</w:t>
            </w:r>
          </w:p>
        </w:tc>
        <w:tc>
          <w:tcPr>
            <w:tcW w:w="593" w:type="pct"/>
            <w:vAlign w:val="center"/>
          </w:tcPr>
          <w:p w:rsidR="00EE56C0" w:rsidRDefault="000F36A1">
            <w:pPr>
              <w:pStyle w:val="afa"/>
            </w:pPr>
            <w:r>
              <w:rPr>
                <w:rFonts w:hint="eastAsia"/>
              </w:rPr>
              <w:t>7.42</w:t>
            </w:r>
          </w:p>
        </w:tc>
        <w:tc>
          <w:tcPr>
            <w:tcW w:w="593" w:type="pct"/>
            <w:vAlign w:val="center"/>
          </w:tcPr>
          <w:p w:rsidR="00EE56C0" w:rsidRDefault="000F36A1">
            <w:pPr>
              <w:pStyle w:val="afa"/>
            </w:pPr>
            <w:r>
              <w:rPr>
                <w:rFonts w:hint="eastAsia"/>
              </w:rPr>
              <w:t>未检出</w:t>
            </w:r>
          </w:p>
        </w:tc>
        <w:tc>
          <w:tcPr>
            <w:tcW w:w="508" w:type="pct"/>
            <w:vAlign w:val="center"/>
          </w:tcPr>
          <w:p w:rsidR="00EE56C0" w:rsidRDefault="000F36A1">
            <w:pPr>
              <w:pStyle w:val="afa"/>
            </w:pPr>
            <w:r>
              <w:rPr>
                <w:rFonts w:hint="eastAsia"/>
              </w:rPr>
              <w:t>未检出</w:t>
            </w:r>
          </w:p>
        </w:tc>
        <w:tc>
          <w:tcPr>
            <w:tcW w:w="509" w:type="pct"/>
            <w:tcBorders>
              <w:right w:val="single" w:sz="4" w:space="0" w:color="auto"/>
            </w:tcBorders>
            <w:vAlign w:val="center"/>
          </w:tcPr>
          <w:p w:rsidR="00EE56C0" w:rsidRDefault="000F36A1">
            <w:pPr>
              <w:pStyle w:val="afa"/>
            </w:pPr>
            <w:r>
              <w:rPr>
                <w:rFonts w:hint="eastAsia"/>
              </w:rPr>
              <w:t>未检出</w:t>
            </w:r>
          </w:p>
        </w:tc>
        <w:tc>
          <w:tcPr>
            <w:tcW w:w="592" w:type="pct"/>
            <w:tcBorders>
              <w:left w:val="single" w:sz="4" w:space="0" w:color="auto"/>
              <w:right w:val="single" w:sz="4" w:space="0" w:color="auto"/>
            </w:tcBorders>
            <w:vAlign w:val="center"/>
          </w:tcPr>
          <w:p w:rsidR="00EE56C0" w:rsidRDefault="000F36A1">
            <w:pPr>
              <w:pStyle w:val="afa"/>
            </w:pPr>
            <w:r>
              <w:rPr>
                <w:rFonts w:hint="eastAsia"/>
              </w:rPr>
              <w:t>未检出</w:t>
            </w:r>
          </w:p>
        </w:tc>
        <w:tc>
          <w:tcPr>
            <w:tcW w:w="421" w:type="pct"/>
            <w:tcBorders>
              <w:left w:val="single" w:sz="4" w:space="0" w:color="auto"/>
            </w:tcBorders>
            <w:vAlign w:val="center"/>
          </w:tcPr>
          <w:p w:rsidR="00EE56C0" w:rsidRDefault="000F36A1">
            <w:pPr>
              <w:pStyle w:val="afa"/>
            </w:pPr>
            <w:r>
              <w:rPr>
                <w:rFonts w:hint="eastAsia"/>
              </w:rPr>
              <w:t>未检出</w:t>
            </w:r>
          </w:p>
        </w:tc>
      </w:tr>
      <w:tr w:rsidR="00EE56C0">
        <w:trPr>
          <w:cantSplit/>
          <w:trHeight w:val="425"/>
          <w:tblHeader/>
          <w:jc w:val="center"/>
        </w:trPr>
        <w:tc>
          <w:tcPr>
            <w:tcW w:w="346" w:type="pct"/>
            <w:vMerge/>
            <w:vAlign w:val="center"/>
          </w:tcPr>
          <w:p w:rsidR="00EE56C0" w:rsidRDefault="00EE56C0">
            <w:pPr>
              <w:pStyle w:val="afa"/>
              <w:rPr>
                <w:bCs/>
              </w:rPr>
            </w:pPr>
          </w:p>
        </w:tc>
        <w:tc>
          <w:tcPr>
            <w:tcW w:w="845" w:type="pct"/>
            <w:vAlign w:val="center"/>
          </w:tcPr>
          <w:p w:rsidR="00EE56C0" w:rsidRDefault="000F36A1">
            <w:pPr>
              <w:pStyle w:val="afa"/>
            </w:pPr>
            <w:r>
              <w:t>厂外西侧农田</w:t>
            </w:r>
          </w:p>
        </w:tc>
        <w:tc>
          <w:tcPr>
            <w:tcW w:w="593" w:type="pct"/>
            <w:vAlign w:val="center"/>
          </w:tcPr>
          <w:p w:rsidR="00EE56C0" w:rsidRDefault="000F36A1">
            <w:pPr>
              <w:pStyle w:val="afa"/>
            </w:pPr>
            <w:r>
              <w:rPr>
                <w:rFonts w:hint="eastAsia"/>
              </w:rPr>
              <w:t>0~0.2m</w:t>
            </w:r>
          </w:p>
        </w:tc>
        <w:tc>
          <w:tcPr>
            <w:tcW w:w="593" w:type="pct"/>
            <w:vAlign w:val="center"/>
          </w:tcPr>
          <w:p w:rsidR="00EE56C0" w:rsidRDefault="000F36A1">
            <w:pPr>
              <w:pStyle w:val="afa"/>
            </w:pPr>
            <w:r>
              <w:rPr>
                <w:rFonts w:hint="eastAsia"/>
              </w:rPr>
              <w:t>7.40</w:t>
            </w:r>
          </w:p>
        </w:tc>
        <w:tc>
          <w:tcPr>
            <w:tcW w:w="593" w:type="pct"/>
            <w:vAlign w:val="center"/>
          </w:tcPr>
          <w:p w:rsidR="00EE56C0" w:rsidRDefault="000F36A1">
            <w:pPr>
              <w:pStyle w:val="afa"/>
            </w:pPr>
            <w:r>
              <w:rPr>
                <w:rFonts w:hint="eastAsia"/>
              </w:rPr>
              <w:t>未检出</w:t>
            </w:r>
          </w:p>
        </w:tc>
        <w:tc>
          <w:tcPr>
            <w:tcW w:w="508" w:type="pct"/>
            <w:vAlign w:val="center"/>
          </w:tcPr>
          <w:p w:rsidR="00EE56C0" w:rsidRDefault="000F36A1">
            <w:pPr>
              <w:pStyle w:val="afa"/>
            </w:pPr>
            <w:r>
              <w:rPr>
                <w:rFonts w:hint="eastAsia"/>
              </w:rPr>
              <w:t>未检出</w:t>
            </w:r>
          </w:p>
        </w:tc>
        <w:tc>
          <w:tcPr>
            <w:tcW w:w="509" w:type="pct"/>
            <w:tcBorders>
              <w:right w:val="single" w:sz="4" w:space="0" w:color="auto"/>
            </w:tcBorders>
            <w:vAlign w:val="center"/>
          </w:tcPr>
          <w:p w:rsidR="00EE56C0" w:rsidRDefault="000F36A1">
            <w:pPr>
              <w:pStyle w:val="afa"/>
            </w:pPr>
            <w:r>
              <w:rPr>
                <w:rFonts w:hint="eastAsia"/>
              </w:rPr>
              <w:t>未检出</w:t>
            </w:r>
          </w:p>
        </w:tc>
        <w:tc>
          <w:tcPr>
            <w:tcW w:w="592" w:type="pct"/>
            <w:tcBorders>
              <w:left w:val="single" w:sz="4" w:space="0" w:color="auto"/>
              <w:right w:val="single" w:sz="4" w:space="0" w:color="auto"/>
            </w:tcBorders>
            <w:vAlign w:val="center"/>
          </w:tcPr>
          <w:p w:rsidR="00EE56C0" w:rsidRDefault="000F36A1">
            <w:pPr>
              <w:pStyle w:val="afa"/>
            </w:pPr>
            <w:r>
              <w:rPr>
                <w:rFonts w:hint="eastAsia"/>
              </w:rPr>
              <w:t>未检出</w:t>
            </w:r>
          </w:p>
        </w:tc>
        <w:tc>
          <w:tcPr>
            <w:tcW w:w="421" w:type="pct"/>
            <w:tcBorders>
              <w:left w:val="single" w:sz="4" w:space="0" w:color="auto"/>
            </w:tcBorders>
            <w:vAlign w:val="center"/>
          </w:tcPr>
          <w:p w:rsidR="00EE56C0" w:rsidRDefault="000F36A1">
            <w:pPr>
              <w:pStyle w:val="afa"/>
            </w:pPr>
            <w:r>
              <w:rPr>
                <w:rFonts w:hint="eastAsia"/>
              </w:rPr>
              <w:t>未检出</w:t>
            </w:r>
          </w:p>
        </w:tc>
      </w:tr>
      <w:tr w:rsidR="00EE56C0">
        <w:trPr>
          <w:cantSplit/>
          <w:trHeight w:val="425"/>
          <w:tblHeader/>
          <w:jc w:val="center"/>
        </w:trPr>
        <w:tc>
          <w:tcPr>
            <w:tcW w:w="346" w:type="pct"/>
            <w:vMerge/>
            <w:vAlign w:val="center"/>
          </w:tcPr>
          <w:p w:rsidR="00EE56C0" w:rsidRDefault="00EE56C0">
            <w:pPr>
              <w:pStyle w:val="afa"/>
              <w:rPr>
                <w:bCs/>
              </w:rPr>
            </w:pPr>
          </w:p>
        </w:tc>
        <w:tc>
          <w:tcPr>
            <w:tcW w:w="845" w:type="pct"/>
            <w:vAlign w:val="center"/>
          </w:tcPr>
          <w:p w:rsidR="00EE56C0" w:rsidRDefault="000F36A1">
            <w:pPr>
              <w:pStyle w:val="afa"/>
            </w:pPr>
            <w:r>
              <w:t>厂外西南方向农田</w:t>
            </w:r>
          </w:p>
        </w:tc>
        <w:tc>
          <w:tcPr>
            <w:tcW w:w="593" w:type="pct"/>
            <w:vAlign w:val="center"/>
          </w:tcPr>
          <w:p w:rsidR="00EE56C0" w:rsidRDefault="000F36A1">
            <w:pPr>
              <w:pStyle w:val="afa"/>
            </w:pPr>
            <w:r>
              <w:rPr>
                <w:rFonts w:hint="eastAsia"/>
              </w:rPr>
              <w:t>0~0.2m</w:t>
            </w:r>
          </w:p>
        </w:tc>
        <w:tc>
          <w:tcPr>
            <w:tcW w:w="593" w:type="pct"/>
            <w:vAlign w:val="center"/>
          </w:tcPr>
          <w:p w:rsidR="00EE56C0" w:rsidRDefault="000F36A1">
            <w:pPr>
              <w:pStyle w:val="afa"/>
            </w:pPr>
            <w:r>
              <w:rPr>
                <w:rFonts w:hint="eastAsia"/>
              </w:rPr>
              <w:t>7.48</w:t>
            </w:r>
          </w:p>
        </w:tc>
        <w:tc>
          <w:tcPr>
            <w:tcW w:w="593" w:type="pct"/>
            <w:vAlign w:val="center"/>
          </w:tcPr>
          <w:p w:rsidR="00EE56C0" w:rsidRDefault="000F36A1">
            <w:pPr>
              <w:pStyle w:val="afa"/>
            </w:pPr>
            <w:r>
              <w:rPr>
                <w:rFonts w:hint="eastAsia"/>
              </w:rPr>
              <w:t>未检出</w:t>
            </w:r>
          </w:p>
        </w:tc>
        <w:tc>
          <w:tcPr>
            <w:tcW w:w="508" w:type="pct"/>
            <w:vAlign w:val="center"/>
          </w:tcPr>
          <w:p w:rsidR="00EE56C0" w:rsidRDefault="000F36A1">
            <w:pPr>
              <w:pStyle w:val="afa"/>
            </w:pPr>
            <w:r>
              <w:rPr>
                <w:rFonts w:hint="eastAsia"/>
              </w:rPr>
              <w:t>未检出</w:t>
            </w:r>
          </w:p>
        </w:tc>
        <w:tc>
          <w:tcPr>
            <w:tcW w:w="509" w:type="pct"/>
            <w:tcBorders>
              <w:right w:val="single" w:sz="4" w:space="0" w:color="auto"/>
            </w:tcBorders>
            <w:vAlign w:val="center"/>
          </w:tcPr>
          <w:p w:rsidR="00EE56C0" w:rsidRDefault="000F36A1">
            <w:pPr>
              <w:pStyle w:val="afa"/>
            </w:pPr>
            <w:r>
              <w:rPr>
                <w:rFonts w:hint="eastAsia"/>
              </w:rPr>
              <w:t>未检出</w:t>
            </w:r>
          </w:p>
        </w:tc>
        <w:tc>
          <w:tcPr>
            <w:tcW w:w="592" w:type="pct"/>
            <w:tcBorders>
              <w:left w:val="single" w:sz="4" w:space="0" w:color="auto"/>
              <w:right w:val="single" w:sz="4" w:space="0" w:color="auto"/>
            </w:tcBorders>
            <w:vAlign w:val="center"/>
          </w:tcPr>
          <w:p w:rsidR="00EE56C0" w:rsidRDefault="000F36A1">
            <w:pPr>
              <w:pStyle w:val="afa"/>
            </w:pPr>
            <w:r>
              <w:rPr>
                <w:rFonts w:hint="eastAsia"/>
              </w:rPr>
              <w:t>未检出</w:t>
            </w:r>
          </w:p>
        </w:tc>
        <w:tc>
          <w:tcPr>
            <w:tcW w:w="421" w:type="pct"/>
            <w:tcBorders>
              <w:left w:val="single" w:sz="4" w:space="0" w:color="auto"/>
            </w:tcBorders>
            <w:vAlign w:val="center"/>
          </w:tcPr>
          <w:p w:rsidR="00EE56C0" w:rsidRDefault="000F36A1">
            <w:pPr>
              <w:pStyle w:val="afa"/>
            </w:pPr>
            <w:r>
              <w:rPr>
                <w:rFonts w:hint="eastAsia"/>
              </w:rPr>
              <w:t>未检出</w:t>
            </w:r>
          </w:p>
        </w:tc>
      </w:tr>
    </w:tbl>
    <w:p w:rsidR="00EE56C0" w:rsidRDefault="000F36A1">
      <w:pPr>
        <w:pStyle w:val="afd"/>
        <w:spacing w:before="120" w:after="120"/>
        <w:ind w:firstLine="482"/>
        <w:rPr>
          <w:u w:val="single"/>
        </w:rPr>
      </w:pPr>
      <w:r>
        <w:rPr>
          <w:u w:val="single"/>
        </w:rPr>
        <w:t>表</w:t>
      </w:r>
      <w:r>
        <w:rPr>
          <w:u w:val="single"/>
        </w:rPr>
        <w:t>4-</w:t>
      </w:r>
      <w:r>
        <w:rPr>
          <w:rFonts w:hint="eastAsia"/>
          <w:u w:val="single"/>
        </w:rPr>
        <w:t xml:space="preserve">30          </w:t>
      </w:r>
      <w:r>
        <w:rPr>
          <w:rFonts w:hint="eastAsia"/>
          <w:u w:val="single"/>
        </w:rPr>
        <w:t>项目</w:t>
      </w:r>
      <w:r>
        <w:rPr>
          <w:u w:val="single"/>
        </w:rPr>
        <w:t>土壤</w:t>
      </w:r>
      <w:r>
        <w:rPr>
          <w:rFonts w:hint="eastAsia"/>
          <w:u w:val="single"/>
        </w:rPr>
        <w:t>环境部</w:t>
      </w:r>
      <w:r>
        <w:rPr>
          <w:u w:val="single"/>
        </w:rPr>
        <w:t>测结果</w:t>
      </w:r>
      <w:r>
        <w:rPr>
          <w:rFonts w:hint="eastAsia"/>
          <w:u w:val="single"/>
        </w:rPr>
        <w:t>3</w:t>
      </w:r>
      <w:r>
        <w:rPr>
          <w:u w:val="single"/>
        </w:rPr>
        <w:t>单位</w:t>
      </w:r>
      <w:r>
        <w:rPr>
          <w:u w:val="single"/>
        </w:rPr>
        <w:t>mg/kg</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48"/>
        <w:gridCol w:w="1758"/>
        <w:gridCol w:w="4905"/>
        <w:gridCol w:w="17"/>
      </w:tblGrid>
      <w:tr w:rsidR="00EE56C0">
        <w:trPr>
          <w:trHeight w:val="397"/>
          <w:tblHeader/>
          <w:jc w:val="center"/>
        </w:trPr>
        <w:tc>
          <w:tcPr>
            <w:tcW w:w="1083" w:type="pct"/>
            <w:vMerge w:val="restart"/>
            <w:vAlign w:val="center"/>
          </w:tcPr>
          <w:p w:rsidR="00EE56C0" w:rsidRDefault="000F36A1">
            <w:pPr>
              <w:spacing w:line="240" w:lineRule="auto"/>
              <w:ind w:firstLineChars="0" w:firstLine="0"/>
              <w:jc w:val="center"/>
              <w:rPr>
                <w:b/>
                <w:bCs/>
                <w:sz w:val="21"/>
                <w:szCs w:val="21"/>
                <w:u w:val="single"/>
              </w:rPr>
            </w:pPr>
            <w:r>
              <w:rPr>
                <w:rFonts w:hint="eastAsia"/>
                <w:b/>
                <w:bCs/>
                <w:sz w:val="21"/>
                <w:szCs w:val="21"/>
                <w:u w:val="single"/>
              </w:rPr>
              <w:t>检测因子</w:t>
            </w:r>
          </w:p>
        </w:tc>
        <w:tc>
          <w:tcPr>
            <w:tcW w:w="1031" w:type="pct"/>
            <w:vMerge w:val="restart"/>
            <w:vAlign w:val="center"/>
          </w:tcPr>
          <w:p w:rsidR="00EE56C0" w:rsidRDefault="000F36A1">
            <w:pPr>
              <w:spacing w:line="240" w:lineRule="auto"/>
              <w:ind w:firstLineChars="0" w:firstLine="0"/>
              <w:jc w:val="center"/>
              <w:textAlignment w:val="center"/>
              <w:rPr>
                <w:b/>
                <w:bCs/>
                <w:color w:val="000000"/>
                <w:sz w:val="21"/>
                <w:szCs w:val="21"/>
                <w:u w:val="single"/>
              </w:rPr>
            </w:pPr>
            <w:r>
              <w:rPr>
                <w:rFonts w:hint="eastAsia"/>
                <w:b/>
                <w:bCs/>
                <w:color w:val="000000"/>
                <w:sz w:val="21"/>
                <w:szCs w:val="21"/>
                <w:u w:val="single"/>
              </w:rPr>
              <w:t>采样时间</w:t>
            </w:r>
          </w:p>
        </w:tc>
        <w:tc>
          <w:tcPr>
            <w:tcW w:w="2886" w:type="pct"/>
            <w:gridSpan w:val="2"/>
            <w:vAlign w:val="center"/>
          </w:tcPr>
          <w:p w:rsidR="00EE56C0" w:rsidRDefault="000F36A1">
            <w:pPr>
              <w:spacing w:line="240" w:lineRule="auto"/>
              <w:ind w:firstLineChars="0" w:firstLine="0"/>
              <w:jc w:val="center"/>
              <w:textAlignment w:val="center"/>
              <w:rPr>
                <w:b/>
                <w:bCs/>
                <w:color w:val="000000"/>
                <w:sz w:val="21"/>
                <w:szCs w:val="21"/>
                <w:u w:val="single"/>
              </w:rPr>
            </w:pPr>
            <w:r>
              <w:rPr>
                <w:rFonts w:hint="eastAsia"/>
                <w:b/>
                <w:bCs/>
                <w:color w:val="000000"/>
                <w:sz w:val="21"/>
                <w:szCs w:val="21"/>
                <w:u w:val="single"/>
              </w:rPr>
              <w:t>检测结果</w:t>
            </w:r>
          </w:p>
        </w:tc>
      </w:tr>
      <w:tr w:rsidR="00EE56C0">
        <w:trPr>
          <w:gridAfter w:val="1"/>
          <w:wAfter w:w="10" w:type="pct"/>
          <w:trHeight w:val="397"/>
          <w:tblHeader/>
          <w:jc w:val="center"/>
        </w:trPr>
        <w:tc>
          <w:tcPr>
            <w:tcW w:w="1083" w:type="pct"/>
            <w:vMerge/>
            <w:vAlign w:val="center"/>
          </w:tcPr>
          <w:p w:rsidR="00EE56C0" w:rsidRDefault="00EE56C0">
            <w:pPr>
              <w:spacing w:line="240" w:lineRule="auto"/>
              <w:ind w:firstLineChars="0" w:firstLine="0"/>
              <w:jc w:val="center"/>
              <w:textAlignment w:val="center"/>
              <w:rPr>
                <w:u w:val="single"/>
              </w:rPr>
            </w:pPr>
          </w:p>
        </w:tc>
        <w:tc>
          <w:tcPr>
            <w:tcW w:w="1031" w:type="pct"/>
            <w:vMerge/>
            <w:vAlign w:val="center"/>
          </w:tcPr>
          <w:p w:rsidR="00EE56C0" w:rsidRDefault="00EE56C0">
            <w:pPr>
              <w:spacing w:line="240" w:lineRule="auto"/>
              <w:ind w:firstLineChars="0" w:firstLine="0"/>
              <w:jc w:val="center"/>
              <w:textAlignment w:val="center"/>
              <w:rPr>
                <w:b/>
                <w:bCs/>
                <w:color w:val="000000"/>
                <w:sz w:val="21"/>
                <w:szCs w:val="21"/>
                <w:u w:val="single"/>
              </w:rPr>
            </w:pPr>
          </w:p>
        </w:tc>
        <w:tc>
          <w:tcPr>
            <w:tcW w:w="2876" w:type="pct"/>
            <w:vAlign w:val="center"/>
          </w:tcPr>
          <w:p w:rsidR="00EE56C0" w:rsidRDefault="000F36A1">
            <w:pPr>
              <w:spacing w:line="240" w:lineRule="auto"/>
              <w:ind w:firstLineChars="0" w:firstLine="0"/>
              <w:jc w:val="center"/>
              <w:rPr>
                <w:b/>
                <w:bCs/>
                <w:sz w:val="21"/>
                <w:szCs w:val="21"/>
                <w:u w:val="single"/>
              </w:rPr>
            </w:pPr>
            <w:r>
              <w:rPr>
                <w:rFonts w:hint="eastAsia"/>
                <w:b/>
                <w:bCs/>
                <w:sz w:val="21"/>
                <w:szCs w:val="21"/>
                <w:u w:val="single"/>
              </w:rPr>
              <w:t>厂外西南方向农田（</w:t>
            </w:r>
            <w:r>
              <w:rPr>
                <w:rFonts w:hint="eastAsia"/>
                <w:b/>
                <w:bCs/>
                <w:sz w:val="21"/>
                <w:szCs w:val="21"/>
                <w:u w:val="single"/>
              </w:rPr>
              <w:t>0~0.2m</w:t>
            </w:r>
            <w:r>
              <w:rPr>
                <w:rFonts w:hint="eastAsia"/>
                <w:b/>
                <w:bCs/>
                <w:sz w:val="21"/>
                <w:szCs w:val="21"/>
                <w:u w:val="single"/>
              </w:rPr>
              <w:t>）</w:t>
            </w:r>
          </w:p>
        </w:tc>
      </w:tr>
      <w:tr w:rsidR="00EE56C0">
        <w:trPr>
          <w:gridAfter w:val="1"/>
          <w:wAfter w:w="10" w:type="pct"/>
          <w:trHeight w:val="397"/>
          <w:jc w:val="center"/>
        </w:trPr>
        <w:tc>
          <w:tcPr>
            <w:tcW w:w="1083" w:type="pct"/>
            <w:vAlign w:val="center"/>
          </w:tcPr>
          <w:p w:rsidR="00EE56C0" w:rsidRDefault="000F36A1">
            <w:pPr>
              <w:spacing w:line="240" w:lineRule="auto"/>
              <w:ind w:firstLineChars="0" w:firstLine="0"/>
              <w:jc w:val="center"/>
              <w:rPr>
                <w:sz w:val="21"/>
                <w:szCs w:val="21"/>
                <w:u w:val="single"/>
              </w:rPr>
            </w:pPr>
            <w:r>
              <w:rPr>
                <w:sz w:val="21"/>
                <w:szCs w:val="21"/>
                <w:u w:val="single"/>
              </w:rPr>
              <w:t>镉</w:t>
            </w:r>
          </w:p>
        </w:tc>
        <w:tc>
          <w:tcPr>
            <w:tcW w:w="1031" w:type="pct"/>
            <w:vAlign w:val="center"/>
          </w:tcPr>
          <w:p w:rsidR="00EE56C0" w:rsidRDefault="000F36A1">
            <w:pPr>
              <w:spacing w:line="240" w:lineRule="auto"/>
              <w:ind w:firstLineChars="0" w:firstLine="0"/>
              <w:jc w:val="center"/>
              <w:textAlignment w:val="center"/>
              <w:rPr>
                <w:sz w:val="21"/>
                <w:szCs w:val="21"/>
                <w:u w:val="single"/>
              </w:rPr>
            </w:pPr>
            <w:r>
              <w:rPr>
                <w:sz w:val="21"/>
                <w:szCs w:val="21"/>
                <w:u w:val="single"/>
              </w:rPr>
              <w:t>202</w:t>
            </w:r>
            <w:r>
              <w:rPr>
                <w:rFonts w:hint="eastAsia"/>
                <w:sz w:val="21"/>
                <w:szCs w:val="21"/>
                <w:u w:val="single"/>
              </w:rPr>
              <w:t>1.11.15</w:t>
            </w:r>
          </w:p>
        </w:tc>
        <w:tc>
          <w:tcPr>
            <w:tcW w:w="2876" w:type="pct"/>
            <w:vAlign w:val="center"/>
          </w:tcPr>
          <w:p w:rsidR="00EE56C0" w:rsidRDefault="000F36A1">
            <w:pPr>
              <w:spacing w:line="240" w:lineRule="auto"/>
              <w:ind w:firstLineChars="0" w:firstLine="0"/>
              <w:jc w:val="center"/>
              <w:rPr>
                <w:sz w:val="21"/>
                <w:szCs w:val="21"/>
                <w:u w:val="single"/>
              </w:rPr>
            </w:pPr>
            <w:r>
              <w:rPr>
                <w:rFonts w:hint="eastAsia"/>
                <w:sz w:val="21"/>
                <w:szCs w:val="21"/>
                <w:u w:val="single"/>
              </w:rPr>
              <w:t>0.155</w:t>
            </w:r>
          </w:p>
        </w:tc>
      </w:tr>
      <w:tr w:rsidR="00EE56C0">
        <w:trPr>
          <w:gridAfter w:val="1"/>
          <w:wAfter w:w="10" w:type="pct"/>
          <w:trHeight w:val="397"/>
          <w:jc w:val="center"/>
        </w:trPr>
        <w:tc>
          <w:tcPr>
            <w:tcW w:w="1083" w:type="pct"/>
            <w:vAlign w:val="center"/>
          </w:tcPr>
          <w:p w:rsidR="00EE56C0" w:rsidRDefault="000F36A1">
            <w:pPr>
              <w:spacing w:line="240" w:lineRule="auto"/>
              <w:ind w:firstLineChars="0" w:firstLine="0"/>
              <w:jc w:val="center"/>
              <w:rPr>
                <w:sz w:val="21"/>
                <w:szCs w:val="21"/>
                <w:u w:val="single"/>
              </w:rPr>
            </w:pPr>
            <w:r>
              <w:rPr>
                <w:sz w:val="21"/>
                <w:szCs w:val="21"/>
                <w:u w:val="single"/>
              </w:rPr>
              <w:t>镍</w:t>
            </w:r>
          </w:p>
        </w:tc>
        <w:tc>
          <w:tcPr>
            <w:tcW w:w="1031" w:type="pct"/>
            <w:vAlign w:val="center"/>
          </w:tcPr>
          <w:p w:rsidR="00EE56C0" w:rsidRDefault="000F36A1">
            <w:pPr>
              <w:spacing w:line="240" w:lineRule="auto"/>
              <w:ind w:firstLineChars="0" w:firstLine="0"/>
              <w:jc w:val="center"/>
              <w:textAlignment w:val="center"/>
              <w:rPr>
                <w:sz w:val="21"/>
                <w:szCs w:val="21"/>
                <w:u w:val="single"/>
              </w:rPr>
            </w:pPr>
            <w:r>
              <w:rPr>
                <w:sz w:val="21"/>
                <w:szCs w:val="21"/>
                <w:u w:val="single"/>
              </w:rPr>
              <w:t>202</w:t>
            </w:r>
            <w:r>
              <w:rPr>
                <w:rFonts w:hint="eastAsia"/>
                <w:sz w:val="21"/>
                <w:szCs w:val="21"/>
                <w:u w:val="single"/>
              </w:rPr>
              <w:t>1.11.15</w:t>
            </w:r>
          </w:p>
        </w:tc>
        <w:tc>
          <w:tcPr>
            <w:tcW w:w="2876" w:type="pct"/>
            <w:vAlign w:val="center"/>
          </w:tcPr>
          <w:p w:rsidR="00EE56C0" w:rsidRDefault="000F36A1">
            <w:pPr>
              <w:spacing w:line="240" w:lineRule="auto"/>
              <w:ind w:firstLineChars="0" w:firstLine="0"/>
              <w:jc w:val="center"/>
              <w:rPr>
                <w:sz w:val="21"/>
                <w:szCs w:val="21"/>
                <w:u w:val="single"/>
              </w:rPr>
            </w:pPr>
            <w:r>
              <w:rPr>
                <w:rFonts w:hint="eastAsia"/>
                <w:sz w:val="21"/>
                <w:szCs w:val="21"/>
                <w:u w:val="single"/>
              </w:rPr>
              <w:t>47</w:t>
            </w:r>
          </w:p>
        </w:tc>
      </w:tr>
      <w:tr w:rsidR="00EE56C0">
        <w:trPr>
          <w:gridAfter w:val="1"/>
          <w:wAfter w:w="10" w:type="pct"/>
          <w:trHeight w:val="397"/>
          <w:jc w:val="center"/>
        </w:trPr>
        <w:tc>
          <w:tcPr>
            <w:tcW w:w="1083" w:type="pct"/>
            <w:vAlign w:val="center"/>
          </w:tcPr>
          <w:p w:rsidR="00EE56C0" w:rsidRDefault="000F36A1">
            <w:pPr>
              <w:spacing w:line="240" w:lineRule="auto"/>
              <w:ind w:firstLineChars="0" w:firstLine="0"/>
              <w:jc w:val="center"/>
              <w:rPr>
                <w:sz w:val="21"/>
                <w:szCs w:val="21"/>
                <w:u w:val="single"/>
              </w:rPr>
            </w:pPr>
            <w:r>
              <w:rPr>
                <w:sz w:val="21"/>
                <w:szCs w:val="21"/>
                <w:u w:val="single"/>
              </w:rPr>
              <w:t>铅</w:t>
            </w:r>
          </w:p>
        </w:tc>
        <w:tc>
          <w:tcPr>
            <w:tcW w:w="1031" w:type="pct"/>
            <w:vAlign w:val="center"/>
          </w:tcPr>
          <w:p w:rsidR="00EE56C0" w:rsidRDefault="000F36A1">
            <w:pPr>
              <w:spacing w:line="240" w:lineRule="auto"/>
              <w:ind w:firstLineChars="0" w:firstLine="0"/>
              <w:jc w:val="center"/>
              <w:textAlignment w:val="center"/>
              <w:rPr>
                <w:sz w:val="21"/>
                <w:szCs w:val="21"/>
                <w:u w:val="single"/>
              </w:rPr>
            </w:pPr>
            <w:r>
              <w:rPr>
                <w:sz w:val="21"/>
                <w:szCs w:val="21"/>
                <w:u w:val="single"/>
              </w:rPr>
              <w:t>202</w:t>
            </w:r>
            <w:r>
              <w:rPr>
                <w:rFonts w:hint="eastAsia"/>
                <w:sz w:val="21"/>
                <w:szCs w:val="21"/>
                <w:u w:val="single"/>
              </w:rPr>
              <w:t>1.11.15</w:t>
            </w:r>
          </w:p>
        </w:tc>
        <w:tc>
          <w:tcPr>
            <w:tcW w:w="2876" w:type="pct"/>
            <w:vAlign w:val="center"/>
          </w:tcPr>
          <w:p w:rsidR="00EE56C0" w:rsidRDefault="000F36A1">
            <w:pPr>
              <w:spacing w:line="240" w:lineRule="auto"/>
              <w:ind w:firstLineChars="0" w:firstLine="0"/>
              <w:jc w:val="center"/>
              <w:rPr>
                <w:sz w:val="21"/>
                <w:szCs w:val="21"/>
                <w:u w:val="single"/>
              </w:rPr>
            </w:pPr>
            <w:r>
              <w:rPr>
                <w:rFonts w:hint="eastAsia"/>
                <w:sz w:val="21"/>
                <w:szCs w:val="21"/>
                <w:u w:val="single"/>
              </w:rPr>
              <w:t>20</w:t>
            </w:r>
          </w:p>
        </w:tc>
      </w:tr>
      <w:tr w:rsidR="00EE56C0">
        <w:trPr>
          <w:gridAfter w:val="1"/>
          <w:wAfter w:w="10" w:type="pct"/>
          <w:trHeight w:val="397"/>
          <w:jc w:val="center"/>
        </w:trPr>
        <w:tc>
          <w:tcPr>
            <w:tcW w:w="1083" w:type="pct"/>
            <w:vAlign w:val="center"/>
          </w:tcPr>
          <w:p w:rsidR="00EE56C0" w:rsidRDefault="000F36A1">
            <w:pPr>
              <w:spacing w:line="240" w:lineRule="auto"/>
              <w:ind w:firstLineChars="0" w:firstLine="0"/>
              <w:jc w:val="center"/>
              <w:rPr>
                <w:sz w:val="21"/>
                <w:szCs w:val="21"/>
                <w:u w:val="single"/>
              </w:rPr>
            </w:pPr>
            <w:r>
              <w:rPr>
                <w:rFonts w:hint="eastAsia"/>
                <w:sz w:val="21"/>
                <w:szCs w:val="21"/>
                <w:u w:val="single"/>
              </w:rPr>
              <w:t>铬</w:t>
            </w:r>
          </w:p>
        </w:tc>
        <w:tc>
          <w:tcPr>
            <w:tcW w:w="1031" w:type="pct"/>
            <w:vAlign w:val="center"/>
          </w:tcPr>
          <w:p w:rsidR="00EE56C0" w:rsidRDefault="000F36A1">
            <w:pPr>
              <w:spacing w:line="240" w:lineRule="auto"/>
              <w:ind w:firstLineChars="0" w:firstLine="0"/>
              <w:jc w:val="center"/>
              <w:textAlignment w:val="center"/>
              <w:rPr>
                <w:sz w:val="21"/>
                <w:szCs w:val="21"/>
                <w:u w:val="single"/>
              </w:rPr>
            </w:pPr>
            <w:r>
              <w:rPr>
                <w:sz w:val="21"/>
                <w:szCs w:val="21"/>
                <w:u w:val="single"/>
              </w:rPr>
              <w:t>202</w:t>
            </w:r>
            <w:r>
              <w:rPr>
                <w:rFonts w:hint="eastAsia"/>
                <w:sz w:val="21"/>
                <w:szCs w:val="21"/>
                <w:u w:val="single"/>
              </w:rPr>
              <w:t>1.11.15</w:t>
            </w:r>
          </w:p>
        </w:tc>
        <w:tc>
          <w:tcPr>
            <w:tcW w:w="2876" w:type="pct"/>
            <w:vAlign w:val="center"/>
          </w:tcPr>
          <w:p w:rsidR="00EE56C0" w:rsidRDefault="000F36A1">
            <w:pPr>
              <w:spacing w:line="240" w:lineRule="auto"/>
              <w:ind w:firstLineChars="0" w:firstLine="0"/>
              <w:jc w:val="center"/>
              <w:rPr>
                <w:sz w:val="21"/>
                <w:szCs w:val="21"/>
                <w:u w:val="single"/>
              </w:rPr>
            </w:pPr>
            <w:r>
              <w:rPr>
                <w:rFonts w:hint="eastAsia"/>
                <w:sz w:val="21"/>
                <w:szCs w:val="21"/>
                <w:u w:val="single"/>
              </w:rPr>
              <w:t>25</w:t>
            </w:r>
          </w:p>
        </w:tc>
      </w:tr>
      <w:tr w:rsidR="00EE56C0">
        <w:trPr>
          <w:gridAfter w:val="1"/>
          <w:wAfter w:w="10" w:type="pct"/>
          <w:trHeight w:val="397"/>
          <w:jc w:val="center"/>
        </w:trPr>
        <w:tc>
          <w:tcPr>
            <w:tcW w:w="1083" w:type="pct"/>
            <w:vAlign w:val="center"/>
          </w:tcPr>
          <w:p w:rsidR="00EE56C0" w:rsidRDefault="000F36A1">
            <w:pPr>
              <w:spacing w:line="240" w:lineRule="auto"/>
              <w:ind w:firstLineChars="0" w:firstLine="0"/>
              <w:jc w:val="center"/>
              <w:rPr>
                <w:sz w:val="21"/>
                <w:szCs w:val="21"/>
                <w:u w:val="single"/>
              </w:rPr>
            </w:pPr>
            <w:r>
              <w:rPr>
                <w:rFonts w:hint="eastAsia"/>
                <w:sz w:val="21"/>
                <w:szCs w:val="21"/>
                <w:u w:val="single"/>
              </w:rPr>
              <w:t>锌</w:t>
            </w:r>
          </w:p>
        </w:tc>
        <w:tc>
          <w:tcPr>
            <w:tcW w:w="1031" w:type="pct"/>
            <w:vAlign w:val="center"/>
          </w:tcPr>
          <w:p w:rsidR="00EE56C0" w:rsidRDefault="000F36A1">
            <w:pPr>
              <w:spacing w:line="240" w:lineRule="auto"/>
              <w:ind w:firstLineChars="0" w:firstLine="0"/>
              <w:jc w:val="center"/>
              <w:textAlignment w:val="center"/>
              <w:rPr>
                <w:sz w:val="21"/>
                <w:szCs w:val="21"/>
                <w:u w:val="single"/>
              </w:rPr>
            </w:pPr>
            <w:r>
              <w:rPr>
                <w:sz w:val="21"/>
                <w:szCs w:val="21"/>
                <w:u w:val="single"/>
              </w:rPr>
              <w:t>202</w:t>
            </w:r>
            <w:r>
              <w:rPr>
                <w:rFonts w:hint="eastAsia"/>
                <w:sz w:val="21"/>
                <w:szCs w:val="21"/>
                <w:u w:val="single"/>
              </w:rPr>
              <w:t>1.11.15</w:t>
            </w:r>
          </w:p>
        </w:tc>
        <w:tc>
          <w:tcPr>
            <w:tcW w:w="2876" w:type="pct"/>
            <w:vAlign w:val="center"/>
          </w:tcPr>
          <w:p w:rsidR="00EE56C0" w:rsidRDefault="000F36A1">
            <w:pPr>
              <w:spacing w:line="240" w:lineRule="auto"/>
              <w:ind w:firstLineChars="0" w:firstLine="0"/>
              <w:jc w:val="center"/>
              <w:rPr>
                <w:sz w:val="21"/>
                <w:szCs w:val="21"/>
                <w:u w:val="single"/>
              </w:rPr>
            </w:pPr>
            <w:r>
              <w:rPr>
                <w:rFonts w:hint="eastAsia"/>
                <w:sz w:val="21"/>
                <w:szCs w:val="21"/>
                <w:u w:val="single"/>
              </w:rPr>
              <w:t>53</w:t>
            </w:r>
          </w:p>
        </w:tc>
      </w:tr>
      <w:tr w:rsidR="00EE56C0">
        <w:trPr>
          <w:gridAfter w:val="1"/>
          <w:wAfter w:w="10" w:type="pct"/>
          <w:trHeight w:val="397"/>
          <w:jc w:val="center"/>
        </w:trPr>
        <w:tc>
          <w:tcPr>
            <w:tcW w:w="1083" w:type="pct"/>
            <w:vAlign w:val="center"/>
          </w:tcPr>
          <w:p w:rsidR="00EE56C0" w:rsidRDefault="000F36A1">
            <w:pPr>
              <w:spacing w:line="240" w:lineRule="auto"/>
              <w:ind w:firstLineChars="0" w:firstLine="0"/>
              <w:jc w:val="center"/>
              <w:rPr>
                <w:sz w:val="21"/>
                <w:szCs w:val="21"/>
                <w:u w:val="single"/>
              </w:rPr>
            </w:pPr>
            <w:r>
              <w:rPr>
                <w:sz w:val="21"/>
                <w:szCs w:val="21"/>
                <w:u w:val="single"/>
              </w:rPr>
              <w:t>铜</w:t>
            </w:r>
          </w:p>
        </w:tc>
        <w:tc>
          <w:tcPr>
            <w:tcW w:w="1031" w:type="pct"/>
            <w:vAlign w:val="center"/>
          </w:tcPr>
          <w:p w:rsidR="00EE56C0" w:rsidRDefault="000F36A1">
            <w:pPr>
              <w:spacing w:line="240" w:lineRule="auto"/>
              <w:ind w:firstLineChars="0" w:firstLine="0"/>
              <w:jc w:val="center"/>
              <w:textAlignment w:val="center"/>
              <w:rPr>
                <w:sz w:val="21"/>
                <w:szCs w:val="21"/>
                <w:u w:val="single"/>
              </w:rPr>
            </w:pPr>
            <w:r>
              <w:rPr>
                <w:sz w:val="21"/>
                <w:szCs w:val="21"/>
                <w:u w:val="single"/>
              </w:rPr>
              <w:t>202</w:t>
            </w:r>
            <w:r>
              <w:rPr>
                <w:rFonts w:hint="eastAsia"/>
                <w:sz w:val="21"/>
                <w:szCs w:val="21"/>
                <w:u w:val="single"/>
              </w:rPr>
              <w:t>1.11.15</w:t>
            </w:r>
          </w:p>
        </w:tc>
        <w:tc>
          <w:tcPr>
            <w:tcW w:w="2876" w:type="pct"/>
            <w:vAlign w:val="center"/>
          </w:tcPr>
          <w:p w:rsidR="00EE56C0" w:rsidRDefault="000F36A1">
            <w:pPr>
              <w:spacing w:line="240" w:lineRule="auto"/>
              <w:ind w:firstLineChars="0" w:firstLine="0"/>
              <w:jc w:val="center"/>
              <w:textAlignment w:val="center"/>
              <w:rPr>
                <w:sz w:val="21"/>
                <w:szCs w:val="21"/>
                <w:u w:val="single"/>
              </w:rPr>
            </w:pPr>
            <w:r>
              <w:rPr>
                <w:rFonts w:hint="eastAsia"/>
                <w:sz w:val="21"/>
                <w:szCs w:val="21"/>
                <w:u w:val="single"/>
              </w:rPr>
              <w:t>27</w:t>
            </w:r>
          </w:p>
        </w:tc>
      </w:tr>
      <w:tr w:rsidR="00EE56C0">
        <w:trPr>
          <w:gridAfter w:val="1"/>
          <w:wAfter w:w="10" w:type="pct"/>
          <w:trHeight w:val="397"/>
          <w:jc w:val="center"/>
        </w:trPr>
        <w:tc>
          <w:tcPr>
            <w:tcW w:w="1083" w:type="pct"/>
            <w:vAlign w:val="center"/>
          </w:tcPr>
          <w:p w:rsidR="00EE56C0" w:rsidRDefault="000F36A1">
            <w:pPr>
              <w:spacing w:line="240" w:lineRule="auto"/>
              <w:ind w:firstLineChars="0" w:firstLine="0"/>
              <w:jc w:val="center"/>
              <w:rPr>
                <w:sz w:val="21"/>
                <w:szCs w:val="21"/>
                <w:u w:val="single"/>
              </w:rPr>
            </w:pPr>
            <w:r>
              <w:rPr>
                <w:sz w:val="21"/>
                <w:szCs w:val="21"/>
                <w:u w:val="single"/>
              </w:rPr>
              <w:t>砷</w:t>
            </w:r>
          </w:p>
        </w:tc>
        <w:tc>
          <w:tcPr>
            <w:tcW w:w="1031" w:type="pct"/>
            <w:vAlign w:val="center"/>
          </w:tcPr>
          <w:p w:rsidR="00EE56C0" w:rsidRDefault="000F36A1">
            <w:pPr>
              <w:spacing w:line="240" w:lineRule="auto"/>
              <w:ind w:firstLineChars="0" w:firstLine="0"/>
              <w:jc w:val="center"/>
              <w:rPr>
                <w:sz w:val="21"/>
                <w:szCs w:val="21"/>
                <w:u w:val="single"/>
              </w:rPr>
            </w:pPr>
            <w:r>
              <w:rPr>
                <w:sz w:val="21"/>
                <w:szCs w:val="21"/>
                <w:u w:val="single"/>
              </w:rPr>
              <w:t>202</w:t>
            </w:r>
            <w:r>
              <w:rPr>
                <w:rFonts w:hint="eastAsia"/>
                <w:sz w:val="21"/>
                <w:szCs w:val="21"/>
                <w:u w:val="single"/>
              </w:rPr>
              <w:t>1.11.15</w:t>
            </w:r>
          </w:p>
        </w:tc>
        <w:tc>
          <w:tcPr>
            <w:tcW w:w="2876" w:type="pct"/>
            <w:vAlign w:val="center"/>
          </w:tcPr>
          <w:p w:rsidR="00EE56C0" w:rsidRDefault="000F36A1">
            <w:pPr>
              <w:spacing w:line="240" w:lineRule="auto"/>
              <w:ind w:firstLineChars="0" w:firstLine="0"/>
              <w:jc w:val="center"/>
              <w:rPr>
                <w:sz w:val="21"/>
                <w:szCs w:val="21"/>
                <w:u w:val="single"/>
              </w:rPr>
            </w:pPr>
            <w:r>
              <w:rPr>
                <w:rFonts w:hint="eastAsia"/>
                <w:sz w:val="21"/>
                <w:szCs w:val="21"/>
                <w:u w:val="single"/>
              </w:rPr>
              <w:t>6.18</w:t>
            </w:r>
          </w:p>
        </w:tc>
      </w:tr>
      <w:tr w:rsidR="00EE56C0">
        <w:trPr>
          <w:gridAfter w:val="1"/>
          <w:wAfter w:w="10" w:type="pct"/>
          <w:trHeight w:val="397"/>
          <w:jc w:val="center"/>
        </w:trPr>
        <w:tc>
          <w:tcPr>
            <w:tcW w:w="1083" w:type="pct"/>
            <w:vAlign w:val="center"/>
          </w:tcPr>
          <w:p w:rsidR="00EE56C0" w:rsidRDefault="000F36A1">
            <w:pPr>
              <w:spacing w:line="240" w:lineRule="auto"/>
              <w:ind w:firstLineChars="0" w:firstLine="0"/>
              <w:jc w:val="center"/>
              <w:rPr>
                <w:sz w:val="21"/>
                <w:szCs w:val="21"/>
                <w:u w:val="single"/>
              </w:rPr>
            </w:pPr>
            <w:r>
              <w:rPr>
                <w:sz w:val="21"/>
                <w:szCs w:val="21"/>
                <w:u w:val="single"/>
              </w:rPr>
              <w:t>汞</w:t>
            </w:r>
          </w:p>
        </w:tc>
        <w:tc>
          <w:tcPr>
            <w:tcW w:w="1031" w:type="pct"/>
            <w:vAlign w:val="center"/>
          </w:tcPr>
          <w:p w:rsidR="00EE56C0" w:rsidRDefault="000F36A1">
            <w:pPr>
              <w:spacing w:line="240" w:lineRule="auto"/>
              <w:ind w:firstLineChars="0" w:firstLine="0"/>
              <w:jc w:val="center"/>
              <w:rPr>
                <w:sz w:val="21"/>
                <w:szCs w:val="21"/>
                <w:u w:val="single"/>
              </w:rPr>
            </w:pPr>
            <w:r>
              <w:rPr>
                <w:sz w:val="21"/>
                <w:szCs w:val="21"/>
                <w:u w:val="single"/>
              </w:rPr>
              <w:t>202</w:t>
            </w:r>
            <w:r>
              <w:rPr>
                <w:rFonts w:hint="eastAsia"/>
                <w:sz w:val="21"/>
                <w:szCs w:val="21"/>
                <w:u w:val="single"/>
              </w:rPr>
              <w:t>1.11.15</w:t>
            </w:r>
          </w:p>
        </w:tc>
        <w:tc>
          <w:tcPr>
            <w:tcW w:w="2876" w:type="pct"/>
            <w:vAlign w:val="center"/>
          </w:tcPr>
          <w:p w:rsidR="00EE56C0" w:rsidRDefault="000F36A1">
            <w:pPr>
              <w:spacing w:line="240" w:lineRule="auto"/>
              <w:ind w:firstLineChars="0" w:firstLine="0"/>
              <w:jc w:val="center"/>
              <w:rPr>
                <w:sz w:val="21"/>
                <w:szCs w:val="21"/>
                <w:u w:val="single"/>
              </w:rPr>
            </w:pPr>
            <w:r>
              <w:rPr>
                <w:rFonts w:hint="eastAsia"/>
                <w:sz w:val="21"/>
                <w:szCs w:val="21"/>
                <w:u w:val="single"/>
              </w:rPr>
              <w:t>0.070</w:t>
            </w:r>
          </w:p>
        </w:tc>
      </w:tr>
    </w:tbl>
    <w:p w:rsidR="00EE56C0" w:rsidRDefault="000F36A1">
      <w:pPr>
        <w:ind w:firstLine="480"/>
      </w:pPr>
      <w:r>
        <w:rPr>
          <w:rFonts w:hint="eastAsia"/>
        </w:rPr>
        <w:t>由表</w:t>
      </w:r>
      <w:r>
        <w:rPr>
          <w:rFonts w:hint="eastAsia"/>
        </w:rPr>
        <w:t>4-28~</w:t>
      </w:r>
      <w:r>
        <w:rPr>
          <w:rFonts w:hint="eastAsia"/>
        </w:rPr>
        <w:t>表</w:t>
      </w:r>
      <w:r>
        <w:rPr>
          <w:rFonts w:hint="eastAsia"/>
        </w:rPr>
        <w:t>4-30</w:t>
      </w:r>
      <w:r>
        <w:rPr>
          <w:rFonts w:hint="eastAsia"/>
        </w:rPr>
        <w:t>可知：项目所在区域的土壤环境</w:t>
      </w:r>
      <w:r>
        <w:t>检测值</w:t>
      </w:r>
      <w:r>
        <w:rPr>
          <w:rFonts w:hint="eastAsia"/>
        </w:rPr>
        <w:t>均</w:t>
      </w:r>
      <w:r>
        <w:t>符合《土壤环境质量</w:t>
      </w:r>
      <w:r>
        <w:t xml:space="preserve"> </w:t>
      </w:r>
      <w:r>
        <w:t>建设用地土壤污染风险管控标准（试行）（</w:t>
      </w:r>
      <w:r>
        <w:t>GB36600-2018</w:t>
      </w:r>
      <w:r>
        <w:t>）表</w:t>
      </w:r>
      <w:r>
        <w:t>1</w:t>
      </w:r>
      <w:r>
        <w:rPr>
          <w:rFonts w:hint="eastAsia"/>
        </w:rPr>
        <w:t>和</w:t>
      </w:r>
      <w:r>
        <w:rPr>
          <w:rFonts w:hint="eastAsia"/>
        </w:rPr>
        <w:t xml:space="preserve"> </w:t>
      </w:r>
      <w:r>
        <w:rPr>
          <w:rFonts w:hint="eastAsia"/>
        </w:rPr>
        <w:t>表</w:t>
      </w:r>
      <w:r>
        <w:rPr>
          <w:rFonts w:hint="eastAsia"/>
        </w:rPr>
        <w:t>2</w:t>
      </w:r>
      <w:r>
        <w:rPr>
          <w:rFonts w:hint="eastAsia"/>
        </w:rPr>
        <w:t>、《土壤环境质量</w:t>
      </w:r>
      <w:r>
        <w:rPr>
          <w:rFonts w:hint="eastAsia"/>
        </w:rPr>
        <w:t>-</w:t>
      </w:r>
      <w:r>
        <w:rPr>
          <w:rFonts w:hint="eastAsia"/>
        </w:rPr>
        <w:t>农用地土壤污染风险管控标准（试行）》（</w:t>
      </w:r>
      <w:r>
        <w:rPr>
          <w:rFonts w:hint="eastAsia"/>
        </w:rPr>
        <w:t>GB15618-2018</w:t>
      </w:r>
      <w:r>
        <w:rPr>
          <w:rFonts w:hint="eastAsia"/>
        </w:rPr>
        <w:t>）表</w:t>
      </w:r>
      <w:r>
        <w:rPr>
          <w:rFonts w:hint="eastAsia"/>
        </w:rPr>
        <w:lastRenderedPageBreak/>
        <w:t>1</w:t>
      </w:r>
      <w:r>
        <w:t>标准</w:t>
      </w:r>
      <w:r>
        <w:rPr>
          <w:rFonts w:hint="eastAsia"/>
        </w:rPr>
        <w:t>限值要求。</w:t>
      </w:r>
    </w:p>
    <w:p w:rsidR="00EE56C0" w:rsidRDefault="000F36A1">
      <w:pPr>
        <w:pStyle w:val="2"/>
        <w:numPr>
          <w:ilvl w:val="1"/>
          <w:numId w:val="3"/>
        </w:numPr>
        <w:ind w:left="0" w:firstLine="301"/>
      </w:pPr>
      <w:bookmarkStart w:id="291" w:name="_Toc25400913"/>
      <w:r>
        <w:t>区域污染源调查</w:t>
      </w:r>
      <w:bookmarkEnd w:id="288"/>
      <w:bookmarkEnd w:id="289"/>
      <w:bookmarkEnd w:id="290"/>
      <w:bookmarkEnd w:id="291"/>
    </w:p>
    <w:p w:rsidR="00EE56C0" w:rsidRDefault="000F36A1">
      <w:pPr>
        <w:ind w:firstLine="480"/>
      </w:pPr>
      <w:r>
        <w:t>经调查，评价区域主要</w:t>
      </w:r>
      <w:r>
        <w:rPr>
          <w:rFonts w:hint="eastAsia"/>
        </w:rPr>
        <w:t>废水</w:t>
      </w:r>
      <w:r>
        <w:t>污染源排放情况见表</w:t>
      </w:r>
      <w:r>
        <w:rPr>
          <w:rFonts w:hint="eastAsia"/>
        </w:rPr>
        <w:t>4-31</w:t>
      </w:r>
      <w:r>
        <w:rPr>
          <w:rFonts w:hint="eastAsia"/>
        </w:rPr>
        <w:t>、主要废气污染源排放情况见</w:t>
      </w:r>
      <w:r>
        <w:t>表</w:t>
      </w:r>
      <w:r>
        <w:rPr>
          <w:rFonts w:hint="eastAsia"/>
        </w:rPr>
        <w:t>4-32</w:t>
      </w:r>
      <w:r>
        <w:t>。</w:t>
      </w:r>
    </w:p>
    <w:p w:rsidR="00EE56C0" w:rsidRDefault="000F36A1">
      <w:pPr>
        <w:pStyle w:val="afd"/>
        <w:spacing w:before="120" w:after="120"/>
        <w:ind w:firstLine="482"/>
      </w:pPr>
      <w:r>
        <w:rPr>
          <w:rFonts w:hint="eastAsia"/>
        </w:rPr>
        <w:t>表</w:t>
      </w:r>
      <w:r>
        <w:rPr>
          <w:rFonts w:hint="eastAsia"/>
        </w:rPr>
        <w:t xml:space="preserve">4-31         </w:t>
      </w:r>
      <w:r>
        <w:rPr>
          <w:rFonts w:hint="eastAsia"/>
        </w:rPr>
        <w:t>区域内工业废水污染源统计一览表</w:t>
      </w:r>
    </w:p>
    <w:tbl>
      <w:tblPr>
        <w:tblW w:w="91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85" w:type="dxa"/>
          <w:bottom w:w="85" w:type="dxa"/>
        </w:tblCellMar>
        <w:tblLook w:val="04A0"/>
      </w:tblPr>
      <w:tblGrid>
        <w:gridCol w:w="1251"/>
        <w:gridCol w:w="3677"/>
        <w:gridCol w:w="1399"/>
        <w:gridCol w:w="1402"/>
        <w:gridCol w:w="1403"/>
      </w:tblGrid>
      <w:tr w:rsidR="00EE56C0">
        <w:tc>
          <w:tcPr>
            <w:tcW w:w="1251" w:type="dxa"/>
            <w:tcBorders>
              <w:top w:val="single" w:sz="4" w:space="0" w:color="auto"/>
            </w:tcBorders>
            <w:vAlign w:val="center"/>
          </w:tcPr>
          <w:p w:rsidR="00EE56C0" w:rsidRDefault="000F36A1">
            <w:pPr>
              <w:pStyle w:val="aff1"/>
              <w:rPr>
                <w:color w:val="auto"/>
                <w:u w:val="single"/>
              </w:rPr>
            </w:pPr>
            <w:r>
              <w:rPr>
                <w:rFonts w:hint="eastAsia"/>
                <w:color w:val="auto"/>
                <w:u w:val="single"/>
              </w:rPr>
              <w:t>序号</w:t>
            </w:r>
          </w:p>
        </w:tc>
        <w:tc>
          <w:tcPr>
            <w:tcW w:w="3677" w:type="dxa"/>
            <w:tcBorders>
              <w:top w:val="single" w:sz="4" w:space="0" w:color="auto"/>
            </w:tcBorders>
            <w:vAlign w:val="center"/>
          </w:tcPr>
          <w:p w:rsidR="00EE56C0" w:rsidRDefault="000F36A1">
            <w:pPr>
              <w:pStyle w:val="aff1"/>
              <w:rPr>
                <w:color w:val="auto"/>
                <w:u w:val="single"/>
              </w:rPr>
            </w:pPr>
            <w:r>
              <w:rPr>
                <w:rFonts w:hint="eastAsia"/>
                <w:color w:val="auto"/>
                <w:u w:val="single"/>
              </w:rPr>
              <w:t>企业名称</w:t>
            </w:r>
          </w:p>
        </w:tc>
        <w:tc>
          <w:tcPr>
            <w:tcW w:w="1399" w:type="dxa"/>
            <w:vAlign w:val="center"/>
          </w:tcPr>
          <w:p w:rsidR="00EE56C0" w:rsidRDefault="000F36A1">
            <w:pPr>
              <w:pStyle w:val="aff1"/>
              <w:rPr>
                <w:color w:val="auto"/>
                <w:u w:val="single"/>
              </w:rPr>
            </w:pPr>
            <w:r>
              <w:rPr>
                <w:rFonts w:hint="eastAsia"/>
                <w:color w:val="auto"/>
                <w:u w:val="single"/>
              </w:rPr>
              <w:t>废水量</w:t>
            </w:r>
          </w:p>
          <w:p w:rsidR="00EE56C0" w:rsidRDefault="000F36A1">
            <w:pPr>
              <w:pStyle w:val="aff1"/>
              <w:rPr>
                <w:color w:val="auto"/>
                <w:u w:val="single"/>
              </w:rPr>
            </w:pPr>
            <w:r>
              <w:rPr>
                <w:rFonts w:hint="eastAsia"/>
                <w:color w:val="auto"/>
                <w:u w:val="single"/>
              </w:rPr>
              <w:t>（万</w:t>
            </w:r>
            <w:r>
              <w:rPr>
                <w:rFonts w:hint="eastAsia"/>
                <w:color w:val="auto"/>
                <w:u w:val="single"/>
              </w:rPr>
              <w:t>m</w:t>
            </w:r>
            <w:r>
              <w:rPr>
                <w:rFonts w:hint="eastAsia"/>
                <w:color w:val="auto"/>
                <w:u w:val="single"/>
                <w:vertAlign w:val="superscript"/>
              </w:rPr>
              <w:t>3</w:t>
            </w:r>
            <w:r>
              <w:rPr>
                <w:rFonts w:hint="eastAsia"/>
                <w:color w:val="auto"/>
                <w:u w:val="single"/>
              </w:rPr>
              <w:t>/a</w:t>
            </w:r>
            <w:r>
              <w:rPr>
                <w:rFonts w:hint="eastAsia"/>
                <w:color w:val="auto"/>
                <w:u w:val="single"/>
              </w:rPr>
              <w:t>）</w:t>
            </w:r>
          </w:p>
        </w:tc>
        <w:tc>
          <w:tcPr>
            <w:tcW w:w="1402" w:type="dxa"/>
            <w:tcBorders>
              <w:right w:val="single" w:sz="4" w:space="0" w:color="auto"/>
            </w:tcBorders>
            <w:vAlign w:val="center"/>
          </w:tcPr>
          <w:p w:rsidR="00EE56C0" w:rsidRDefault="000F36A1">
            <w:pPr>
              <w:pStyle w:val="aff1"/>
              <w:rPr>
                <w:color w:val="auto"/>
                <w:u w:val="single"/>
              </w:rPr>
            </w:pPr>
            <w:r>
              <w:rPr>
                <w:rFonts w:hint="eastAsia"/>
                <w:color w:val="auto"/>
                <w:u w:val="single"/>
              </w:rPr>
              <w:t>COD</w:t>
            </w:r>
          </w:p>
          <w:p w:rsidR="00EE56C0" w:rsidRDefault="000F36A1">
            <w:pPr>
              <w:pStyle w:val="aff1"/>
              <w:rPr>
                <w:color w:val="auto"/>
                <w:u w:val="single"/>
              </w:rPr>
            </w:pPr>
            <w:r>
              <w:rPr>
                <w:rFonts w:hint="eastAsia"/>
                <w:color w:val="auto"/>
                <w:u w:val="single"/>
              </w:rPr>
              <w:t>（</w:t>
            </w:r>
            <w:r>
              <w:rPr>
                <w:rFonts w:hint="eastAsia"/>
                <w:color w:val="auto"/>
                <w:u w:val="single"/>
              </w:rPr>
              <w:t>t/a</w:t>
            </w:r>
            <w:r>
              <w:rPr>
                <w:rFonts w:hint="eastAsia"/>
                <w:color w:val="auto"/>
                <w:u w:val="single"/>
              </w:rPr>
              <w:t>）</w:t>
            </w:r>
          </w:p>
        </w:tc>
        <w:tc>
          <w:tcPr>
            <w:tcW w:w="1403" w:type="dxa"/>
            <w:tcBorders>
              <w:left w:val="single" w:sz="4" w:space="0" w:color="auto"/>
            </w:tcBorders>
            <w:vAlign w:val="center"/>
          </w:tcPr>
          <w:p w:rsidR="00EE56C0" w:rsidRDefault="000F36A1">
            <w:pPr>
              <w:pStyle w:val="aff1"/>
              <w:rPr>
                <w:color w:val="auto"/>
                <w:u w:val="single"/>
              </w:rPr>
            </w:pPr>
            <w:r>
              <w:rPr>
                <w:rFonts w:hint="eastAsia"/>
                <w:color w:val="auto"/>
                <w:u w:val="single"/>
              </w:rPr>
              <w:t>氨氮</w:t>
            </w:r>
          </w:p>
          <w:p w:rsidR="00EE56C0" w:rsidRDefault="000F36A1">
            <w:pPr>
              <w:pStyle w:val="aff1"/>
              <w:rPr>
                <w:color w:val="auto"/>
                <w:u w:val="single"/>
              </w:rPr>
            </w:pPr>
            <w:r>
              <w:rPr>
                <w:rFonts w:hint="eastAsia"/>
                <w:color w:val="auto"/>
                <w:u w:val="single"/>
              </w:rPr>
              <w:t>（</w:t>
            </w:r>
            <w:r>
              <w:rPr>
                <w:rFonts w:hint="eastAsia"/>
                <w:color w:val="auto"/>
                <w:u w:val="single"/>
              </w:rPr>
              <w:t>t/a</w:t>
            </w:r>
            <w:r>
              <w:rPr>
                <w:rFonts w:hint="eastAsia"/>
                <w:color w:val="auto"/>
                <w:u w:val="single"/>
              </w:rPr>
              <w:t>）</w:t>
            </w:r>
          </w:p>
        </w:tc>
      </w:tr>
      <w:tr w:rsidR="00EE56C0">
        <w:tc>
          <w:tcPr>
            <w:tcW w:w="1251" w:type="dxa"/>
            <w:tcBorders>
              <w:top w:val="single" w:sz="4" w:space="0" w:color="auto"/>
            </w:tcBorders>
            <w:vAlign w:val="center"/>
          </w:tcPr>
          <w:p w:rsidR="00EE56C0" w:rsidRDefault="000F36A1">
            <w:pPr>
              <w:pStyle w:val="afa"/>
              <w:rPr>
                <w:u w:val="single"/>
              </w:rPr>
            </w:pPr>
            <w:r>
              <w:rPr>
                <w:rFonts w:hint="eastAsia"/>
                <w:u w:val="single"/>
              </w:rPr>
              <w:t>1</w:t>
            </w:r>
          </w:p>
        </w:tc>
        <w:tc>
          <w:tcPr>
            <w:tcW w:w="3677" w:type="dxa"/>
            <w:tcBorders>
              <w:top w:val="single" w:sz="4" w:space="0" w:color="auto"/>
            </w:tcBorders>
            <w:vAlign w:val="center"/>
          </w:tcPr>
          <w:p w:rsidR="00EE56C0" w:rsidRDefault="000F36A1">
            <w:pPr>
              <w:pStyle w:val="afa"/>
              <w:rPr>
                <w:u w:val="single"/>
              </w:rPr>
            </w:pPr>
            <w:r>
              <w:rPr>
                <w:rFonts w:hint="eastAsia"/>
                <w:u w:val="single"/>
              </w:rPr>
              <w:t>新乡新原纸业有限公司</w:t>
            </w:r>
          </w:p>
        </w:tc>
        <w:tc>
          <w:tcPr>
            <w:tcW w:w="1399" w:type="dxa"/>
            <w:vAlign w:val="center"/>
          </w:tcPr>
          <w:p w:rsidR="00EE56C0" w:rsidRDefault="000F36A1">
            <w:pPr>
              <w:pStyle w:val="afa"/>
              <w:rPr>
                <w:u w:val="single"/>
              </w:rPr>
            </w:pPr>
            <w:r>
              <w:rPr>
                <w:rFonts w:hint="eastAsia"/>
                <w:u w:val="single"/>
              </w:rPr>
              <w:t>33.0</w:t>
            </w:r>
          </w:p>
        </w:tc>
        <w:tc>
          <w:tcPr>
            <w:tcW w:w="1402" w:type="dxa"/>
            <w:tcBorders>
              <w:right w:val="single" w:sz="4" w:space="0" w:color="auto"/>
            </w:tcBorders>
            <w:vAlign w:val="center"/>
          </w:tcPr>
          <w:p w:rsidR="00EE56C0" w:rsidRDefault="000F36A1">
            <w:pPr>
              <w:pStyle w:val="afa"/>
              <w:rPr>
                <w:u w:val="single"/>
              </w:rPr>
            </w:pPr>
            <w:r>
              <w:rPr>
                <w:rFonts w:hint="eastAsia"/>
                <w:u w:val="single"/>
              </w:rPr>
              <w:t>16.5</w:t>
            </w:r>
          </w:p>
        </w:tc>
        <w:tc>
          <w:tcPr>
            <w:tcW w:w="1403" w:type="dxa"/>
            <w:tcBorders>
              <w:left w:val="single" w:sz="4" w:space="0" w:color="auto"/>
            </w:tcBorders>
            <w:vAlign w:val="center"/>
          </w:tcPr>
          <w:p w:rsidR="00EE56C0" w:rsidRDefault="000F36A1">
            <w:pPr>
              <w:pStyle w:val="afa"/>
              <w:rPr>
                <w:u w:val="single"/>
              </w:rPr>
            </w:pPr>
            <w:r>
              <w:rPr>
                <w:rFonts w:hint="eastAsia"/>
                <w:u w:val="single"/>
              </w:rPr>
              <w:t>1.65</w:t>
            </w:r>
          </w:p>
        </w:tc>
      </w:tr>
      <w:tr w:rsidR="00EE56C0">
        <w:tc>
          <w:tcPr>
            <w:tcW w:w="1251" w:type="dxa"/>
            <w:tcBorders>
              <w:top w:val="single" w:sz="4" w:space="0" w:color="auto"/>
            </w:tcBorders>
            <w:vAlign w:val="center"/>
          </w:tcPr>
          <w:p w:rsidR="00EE56C0" w:rsidRDefault="000F36A1">
            <w:pPr>
              <w:pStyle w:val="afa"/>
              <w:rPr>
                <w:u w:val="single"/>
              </w:rPr>
            </w:pPr>
            <w:r>
              <w:rPr>
                <w:rFonts w:hint="eastAsia"/>
                <w:u w:val="single"/>
              </w:rPr>
              <w:t>2</w:t>
            </w:r>
          </w:p>
        </w:tc>
        <w:tc>
          <w:tcPr>
            <w:tcW w:w="3677" w:type="dxa"/>
            <w:tcBorders>
              <w:top w:val="single" w:sz="4" w:space="0" w:color="auto"/>
            </w:tcBorders>
            <w:vAlign w:val="center"/>
          </w:tcPr>
          <w:p w:rsidR="00EE56C0" w:rsidRDefault="000F36A1">
            <w:pPr>
              <w:pStyle w:val="afa"/>
              <w:rPr>
                <w:u w:val="single"/>
              </w:rPr>
            </w:pPr>
            <w:r>
              <w:rPr>
                <w:rFonts w:hint="eastAsia"/>
                <w:u w:val="single"/>
              </w:rPr>
              <w:t>河南新乡华星药厂</w:t>
            </w:r>
          </w:p>
        </w:tc>
        <w:tc>
          <w:tcPr>
            <w:tcW w:w="1399" w:type="dxa"/>
            <w:vAlign w:val="center"/>
          </w:tcPr>
          <w:p w:rsidR="00EE56C0" w:rsidRDefault="000F36A1">
            <w:pPr>
              <w:pStyle w:val="afa"/>
              <w:rPr>
                <w:u w:val="single"/>
              </w:rPr>
            </w:pPr>
            <w:r>
              <w:rPr>
                <w:rFonts w:hint="eastAsia"/>
                <w:u w:val="single"/>
              </w:rPr>
              <w:t>759</w:t>
            </w:r>
          </w:p>
        </w:tc>
        <w:tc>
          <w:tcPr>
            <w:tcW w:w="1402" w:type="dxa"/>
            <w:tcBorders>
              <w:right w:val="single" w:sz="4" w:space="0" w:color="auto"/>
            </w:tcBorders>
            <w:vAlign w:val="center"/>
          </w:tcPr>
          <w:p w:rsidR="00EE56C0" w:rsidRDefault="000F36A1">
            <w:pPr>
              <w:pStyle w:val="afa"/>
              <w:rPr>
                <w:u w:val="single"/>
              </w:rPr>
            </w:pPr>
            <w:r>
              <w:rPr>
                <w:rFonts w:hint="eastAsia"/>
                <w:u w:val="single"/>
              </w:rPr>
              <w:t>379.5</w:t>
            </w:r>
          </w:p>
        </w:tc>
        <w:tc>
          <w:tcPr>
            <w:tcW w:w="1403" w:type="dxa"/>
            <w:tcBorders>
              <w:left w:val="single" w:sz="4" w:space="0" w:color="auto"/>
            </w:tcBorders>
            <w:vAlign w:val="center"/>
          </w:tcPr>
          <w:p w:rsidR="00EE56C0" w:rsidRDefault="000F36A1">
            <w:pPr>
              <w:pStyle w:val="afa"/>
              <w:rPr>
                <w:u w:val="single"/>
              </w:rPr>
            </w:pPr>
            <w:r>
              <w:rPr>
                <w:rFonts w:hint="eastAsia"/>
                <w:u w:val="single"/>
              </w:rPr>
              <w:t>38.0</w:t>
            </w:r>
          </w:p>
        </w:tc>
      </w:tr>
      <w:tr w:rsidR="00EE56C0">
        <w:tc>
          <w:tcPr>
            <w:tcW w:w="1251" w:type="dxa"/>
            <w:tcBorders>
              <w:top w:val="single" w:sz="4" w:space="0" w:color="auto"/>
            </w:tcBorders>
            <w:vAlign w:val="center"/>
          </w:tcPr>
          <w:p w:rsidR="00EE56C0" w:rsidRDefault="000F36A1">
            <w:pPr>
              <w:pStyle w:val="afa"/>
              <w:rPr>
                <w:u w:val="single"/>
              </w:rPr>
            </w:pPr>
            <w:r>
              <w:rPr>
                <w:rFonts w:hint="eastAsia"/>
                <w:u w:val="single"/>
              </w:rPr>
              <w:t>3</w:t>
            </w:r>
          </w:p>
        </w:tc>
        <w:tc>
          <w:tcPr>
            <w:tcW w:w="3677" w:type="dxa"/>
            <w:tcBorders>
              <w:top w:val="single" w:sz="4" w:space="0" w:color="auto"/>
            </w:tcBorders>
            <w:vAlign w:val="center"/>
          </w:tcPr>
          <w:p w:rsidR="00EE56C0" w:rsidRDefault="000F36A1">
            <w:pPr>
              <w:pStyle w:val="afa"/>
              <w:rPr>
                <w:u w:val="single"/>
              </w:rPr>
            </w:pPr>
            <w:r>
              <w:rPr>
                <w:rFonts w:hint="eastAsia"/>
                <w:u w:val="single"/>
              </w:rPr>
              <w:t>河南省心连心化肥有限公司</w:t>
            </w:r>
          </w:p>
        </w:tc>
        <w:tc>
          <w:tcPr>
            <w:tcW w:w="1399" w:type="dxa"/>
            <w:vAlign w:val="center"/>
          </w:tcPr>
          <w:p w:rsidR="00EE56C0" w:rsidRDefault="000F36A1">
            <w:pPr>
              <w:pStyle w:val="afa"/>
              <w:rPr>
                <w:u w:val="single"/>
              </w:rPr>
            </w:pPr>
            <w:r>
              <w:rPr>
                <w:rFonts w:hint="eastAsia"/>
                <w:u w:val="single"/>
              </w:rPr>
              <w:t>528.0</w:t>
            </w:r>
          </w:p>
        </w:tc>
        <w:tc>
          <w:tcPr>
            <w:tcW w:w="1402" w:type="dxa"/>
            <w:tcBorders>
              <w:right w:val="single" w:sz="4" w:space="0" w:color="auto"/>
            </w:tcBorders>
            <w:vAlign w:val="center"/>
          </w:tcPr>
          <w:p w:rsidR="00EE56C0" w:rsidRDefault="000F36A1">
            <w:pPr>
              <w:pStyle w:val="afa"/>
              <w:rPr>
                <w:u w:val="single"/>
              </w:rPr>
            </w:pPr>
            <w:r>
              <w:rPr>
                <w:rFonts w:hint="eastAsia"/>
                <w:u w:val="single"/>
              </w:rPr>
              <w:t>264</w:t>
            </w:r>
          </w:p>
        </w:tc>
        <w:tc>
          <w:tcPr>
            <w:tcW w:w="1403" w:type="dxa"/>
            <w:tcBorders>
              <w:left w:val="single" w:sz="4" w:space="0" w:color="auto"/>
            </w:tcBorders>
            <w:vAlign w:val="center"/>
          </w:tcPr>
          <w:p w:rsidR="00EE56C0" w:rsidRDefault="000F36A1">
            <w:pPr>
              <w:pStyle w:val="afa"/>
              <w:rPr>
                <w:u w:val="single"/>
              </w:rPr>
            </w:pPr>
            <w:r>
              <w:rPr>
                <w:rFonts w:hint="eastAsia"/>
                <w:u w:val="single"/>
              </w:rPr>
              <w:t>26.4</w:t>
            </w:r>
          </w:p>
        </w:tc>
      </w:tr>
      <w:tr w:rsidR="00EE56C0">
        <w:tc>
          <w:tcPr>
            <w:tcW w:w="1251" w:type="dxa"/>
            <w:tcBorders>
              <w:top w:val="single" w:sz="4" w:space="0" w:color="auto"/>
              <w:bottom w:val="single" w:sz="4" w:space="0" w:color="auto"/>
            </w:tcBorders>
            <w:vAlign w:val="center"/>
          </w:tcPr>
          <w:p w:rsidR="00EE56C0" w:rsidRDefault="000F36A1">
            <w:pPr>
              <w:pStyle w:val="afa"/>
              <w:rPr>
                <w:u w:val="single"/>
              </w:rPr>
            </w:pPr>
            <w:r>
              <w:rPr>
                <w:rFonts w:hint="eastAsia"/>
                <w:u w:val="single"/>
              </w:rPr>
              <w:t>4</w:t>
            </w:r>
          </w:p>
        </w:tc>
        <w:tc>
          <w:tcPr>
            <w:tcW w:w="3677" w:type="dxa"/>
            <w:tcBorders>
              <w:top w:val="single" w:sz="4" w:space="0" w:color="auto"/>
              <w:bottom w:val="single" w:sz="4" w:space="0" w:color="auto"/>
            </w:tcBorders>
            <w:vAlign w:val="center"/>
          </w:tcPr>
          <w:p w:rsidR="00EE56C0" w:rsidRDefault="000F36A1">
            <w:pPr>
              <w:pStyle w:val="afa"/>
              <w:rPr>
                <w:u w:val="single"/>
              </w:rPr>
            </w:pPr>
            <w:r>
              <w:rPr>
                <w:rFonts w:hint="eastAsia"/>
                <w:u w:val="single"/>
              </w:rPr>
              <w:t>新乡市汇丰染化有限公司</w:t>
            </w:r>
          </w:p>
        </w:tc>
        <w:tc>
          <w:tcPr>
            <w:tcW w:w="1399" w:type="dxa"/>
            <w:vAlign w:val="center"/>
          </w:tcPr>
          <w:p w:rsidR="00EE56C0" w:rsidRDefault="000F36A1">
            <w:pPr>
              <w:pStyle w:val="afa"/>
              <w:rPr>
                <w:u w:val="single"/>
              </w:rPr>
            </w:pPr>
            <w:r>
              <w:rPr>
                <w:rFonts w:hint="eastAsia"/>
                <w:u w:val="single"/>
              </w:rPr>
              <w:t>19.8</w:t>
            </w:r>
          </w:p>
        </w:tc>
        <w:tc>
          <w:tcPr>
            <w:tcW w:w="1402" w:type="dxa"/>
            <w:tcBorders>
              <w:right w:val="single" w:sz="4" w:space="0" w:color="auto"/>
            </w:tcBorders>
            <w:vAlign w:val="center"/>
          </w:tcPr>
          <w:p w:rsidR="00EE56C0" w:rsidRDefault="000F36A1">
            <w:pPr>
              <w:pStyle w:val="afa"/>
              <w:rPr>
                <w:u w:val="single"/>
              </w:rPr>
            </w:pPr>
            <w:r>
              <w:rPr>
                <w:rFonts w:hint="eastAsia"/>
                <w:u w:val="single"/>
              </w:rPr>
              <w:t>9.9</w:t>
            </w:r>
          </w:p>
        </w:tc>
        <w:tc>
          <w:tcPr>
            <w:tcW w:w="1403" w:type="dxa"/>
            <w:tcBorders>
              <w:left w:val="single" w:sz="4" w:space="0" w:color="auto"/>
            </w:tcBorders>
            <w:vAlign w:val="center"/>
          </w:tcPr>
          <w:p w:rsidR="00EE56C0" w:rsidRDefault="000F36A1">
            <w:pPr>
              <w:pStyle w:val="afa"/>
              <w:rPr>
                <w:u w:val="single"/>
              </w:rPr>
            </w:pPr>
            <w:r>
              <w:rPr>
                <w:rFonts w:hint="eastAsia"/>
                <w:u w:val="single"/>
              </w:rPr>
              <w:t>0.99</w:t>
            </w:r>
          </w:p>
        </w:tc>
      </w:tr>
      <w:tr w:rsidR="00EE56C0">
        <w:tc>
          <w:tcPr>
            <w:tcW w:w="1251" w:type="dxa"/>
            <w:tcBorders>
              <w:top w:val="single" w:sz="4" w:space="0" w:color="auto"/>
              <w:bottom w:val="single" w:sz="4" w:space="0" w:color="auto"/>
            </w:tcBorders>
            <w:vAlign w:val="center"/>
          </w:tcPr>
          <w:p w:rsidR="00EE56C0" w:rsidRDefault="000F36A1">
            <w:pPr>
              <w:pStyle w:val="afa"/>
              <w:rPr>
                <w:u w:val="single"/>
              </w:rPr>
            </w:pPr>
            <w:r>
              <w:rPr>
                <w:rFonts w:hint="eastAsia"/>
                <w:u w:val="single"/>
              </w:rPr>
              <w:t>5</w:t>
            </w:r>
          </w:p>
        </w:tc>
        <w:tc>
          <w:tcPr>
            <w:tcW w:w="3677" w:type="dxa"/>
            <w:tcBorders>
              <w:top w:val="single" w:sz="4" w:space="0" w:color="auto"/>
              <w:bottom w:val="single" w:sz="4" w:space="0" w:color="auto"/>
            </w:tcBorders>
            <w:vAlign w:val="center"/>
          </w:tcPr>
          <w:p w:rsidR="00EE56C0" w:rsidRDefault="000F36A1">
            <w:pPr>
              <w:pStyle w:val="afa"/>
              <w:rPr>
                <w:u w:val="single"/>
              </w:rPr>
            </w:pPr>
            <w:r>
              <w:rPr>
                <w:rFonts w:hint="eastAsia"/>
                <w:u w:val="single"/>
              </w:rPr>
              <w:t>新乡台硝化工有限公司</w:t>
            </w:r>
          </w:p>
        </w:tc>
        <w:tc>
          <w:tcPr>
            <w:tcW w:w="1399" w:type="dxa"/>
            <w:vAlign w:val="center"/>
          </w:tcPr>
          <w:p w:rsidR="00EE56C0" w:rsidRDefault="000F36A1">
            <w:pPr>
              <w:pStyle w:val="afa"/>
              <w:rPr>
                <w:u w:val="single"/>
              </w:rPr>
            </w:pPr>
            <w:r>
              <w:rPr>
                <w:rFonts w:hint="eastAsia"/>
                <w:u w:val="single"/>
              </w:rPr>
              <w:t>165.0</w:t>
            </w:r>
          </w:p>
        </w:tc>
        <w:tc>
          <w:tcPr>
            <w:tcW w:w="1402" w:type="dxa"/>
            <w:tcBorders>
              <w:right w:val="single" w:sz="4" w:space="0" w:color="auto"/>
            </w:tcBorders>
            <w:vAlign w:val="center"/>
          </w:tcPr>
          <w:p w:rsidR="00EE56C0" w:rsidRDefault="000F36A1">
            <w:pPr>
              <w:pStyle w:val="afa"/>
              <w:rPr>
                <w:u w:val="single"/>
              </w:rPr>
            </w:pPr>
            <w:r>
              <w:rPr>
                <w:rFonts w:hint="eastAsia"/>
                <w:u w:val="single"/>
              </w:rPr>
              <w:t>82.5</w:t>
            </w:r>
          </w:p>
        </w:tc>
        <w:tc>
          <w:tcPr>
            <w:tcW w:w="1403" w:type="dxa"/>
            <w:tcBorders>
              <w:left w:val="single" w:sz="4" w:space="0" w:color="auto"/>
            </w:tcBorders>
            <w:vAlign w:val="center"/>
          </w:tcPr>
          <w:p w:rsidR="00EE56C0" w:rsidRDefault="000F36A1">
            <w:pPr>
              <w:pStyle w:val="afa"/>
              <w:rPr>
                <w:u w:val="single"/>
              </w:rPr>
            </w:pPr>
            <w:r>
              <w:rPr>
                <w:rFonts w:hint="eastAsia"/>
                <w:u w:val="single"/>
              </w:rPr>
              <w:t>8.25</w:t>
            </w:r>
          </w:p>
        </w:tc>
      </w:tr>
      <w:tr w:rsidR="00EE56C0">
        <w:tc>
          <w:tcPr>
            <w:tcW w:w="1251" w:type="dxa"/>
            <w:tcBorders>
              <w:top w:val="single" w:sz="4" w:space="0" w:color="auto"/>
              <w:bottom w:val="single" w:sz="4" w:space="0" w:color="auto"/>
            </w:tcBorders>
            <w:vAlign w:val="center"/>
          </w:tcPr>
          <w:p w:rsidR="00EE56C0" w:rsidRDefault="000F36A1">
            <w:pPr>
              <w:pStyle w:val="afa"/>
              <w:rPr>
                <w:u w:val="single"/>
              </w:rPr>
            </w:pPr>
            <w:r>
              <w:rPr>
                <w:rFonts w:hint="eastAsia"/>
                <w:u w:val="single"/>
              </w:rPr>
              <w:t>6</w:t>
            </w:r>
          </w:p>
        </w:tc>
        <w:tc>
          <w:tcPr>
            <w:tcW w:w="3677" w:type="dxa"/>
            <w:tcBorders>
              <w:top w:val="single" w:sz="4" w:space="0" w:color="auto"/>
              <w:bottom w:val="single" w:sz="4" w:space="0" w:color="auto"/>
            </w:tcBorders>
            <w:vAlign w:val="center"/>
          </w:tcPr>
          <w:p w:rsidR="00EE56C0" w:rsidRDefault="000F36A1">
            <w:pPr>
              <w:pStyle w:val="afa"/>
              <w:rPr>
                <w:u w:val="single"/>
              </w:rPr>
            </w:pPr>
            <w:r>
              <w:rPr>
                <w:rFonts w:hint="eastAsia"/>
                <w:u w:val="single"/>
              </w:rPr>
              <w:t>新乡新亚纸业集团股份有限公司</w:t>
            </w:r>
          </w:p>
        </w:tc>
        <w:tc>
          <w:tcPr>
            <w:tcW w:w="1399" w:type="dxa"/>
            <w:vAlign w:val="center"/>
          </w:tcPr>
          <w:p w:rsidR="00EE56C0" w:rsidRDefault="000F36A1">
            <w:pPr>
              <w:pStyle w:val="afa"/>
              <w:rPr>
                <w:u w:val="single"/>
              </w:rPr>
            </w:pPr>
            <w:r>
              <w:rPr>
                <w:rFonts w:hint="eastAsia"/>
                <w:u w:val="single"/>
              </w:rPr>
              <w:t>1320.0</w:t>
            </w:r>
          </w:p>
        </w:tc>
        <w:tc>
          <w:tcPr>
            <w:tcW w:w="1402" w:type="dxa"/>
            <w:tcBorders>
              <w:right w:val="single" w:sz="4" w:space="0" w:color="auto"/>
            </w:tcBorders>
            <w:vAlign w:val="center"/>
          </w:tcPr>
          <w:p w:rsidR="00EE56C0" w:rsidRDefault="000F36A1">
            <w:pPr>
              <w:pStyle w:val="afa"/>
              <w:rPr>
                <w:u w:val="single"/>
              </w:rPr>
            </w:pPr>
            <w:r>
              <w:rPr>
                <w:rFonts w:hint="eastAsia"/>
                <w:u w:val="single"/>
              </w:rPr>
              <w:t>660</w:t>
            </w:r>
          </w:p>
        </w:tc>
        <w:tc>
          <w:tcPr>
            <w:tcW w:w="1403" w:type="dxa"/>
            <w:tcBorders>
              <w:left w:val="single" w:sz="4" w:space="0" w:color="auto"/>
            </w:tcBorders>
            <w:vAlign w:val="center"/>
          </w:tcPr>
          <w:p w:rsidR="00EE56C0" w:rsidRDefault="000F36A1">
            <w:pPr>
              <w:pStyle w:val="afa"/>
              <w:rPr>
                <w:u w:val="single"/>
              </w:rPr>
            </w:pPr>
            <w:r>
              <w:rPr>
                <w:rFonts w:hint="eastAsia"/>
                <w:u w:val="single"/>
              </w:rPr>
              <w:t>66</w:t>
            </w:r>
          </w:p>
        </w:tc>
      </w:tr>
      <w:tr w:rsidR="00EE56C0">
        <w:tc>
          <w:tcPr>
            <w:tcW w:w="1251" w:type="dxa"/>
            <w:tcBorders>
              <w:top w:val="single" w:sz="4" w:space="0" w:color="auto"/>
              <w:bottom w:val="single" w:sz="4" w:space="0" w:color="auto"/>
            </w:tcBorders>
            <w:vAlign w:val="center"/>
          </w:tcPr>
          <w:p w:rsidR="00EE56C0" w:rsidRDefault="000F36A1">
            <w:pPr>
              <w:pStyle w:val="afa"/>
              <w:rPr>
                <w:u w:val="single"/>
              </w:rPr>
            </w:pPr>
            <w:r>
              <w:rPr>
                <w:rFonts w:hint="eastAsia"/>
                <w:u w:val="single"/>
              </w:rPr>
              <w:t>7</w:t>
            </w:r>
          </w:p>
        </w:tc>
        <w:tc>
          <w:tcPr>
            <w:tcW w:w="3677" w:type="dxa"/>
            <w:tcBorders>
              <w:top w:val="single" w:sz="4" w:space="0" w:color="auto"/>
              <w:bottom w:val="single" w:sz="4" w:space="0" w:color="auto"/>
            </w:tcBorders>
            <w:vAlign w:val="center"/>
          </w:tcPr>
          <w:p w:rsidR="00EE56C0" w:rsidRDefault="000F36A1">
            <w:pPr>
              <w:pStyle w:val="afa"/>
              <w:rPr>
                <w:u w:val="single"/>
              </w:rPr>
            </w:pPr>
            <w:r>
              <w:rPr>
                <w:rFonts w:hint="eastAsia"/>
                <w:u w:val="single"/>
              </w:rPr>
              <w:t>河南省华中纸业有限公司</w:t>
            </w:r>
          </w:p>
        </w:tc>
        <w:tc>
          <w:tcPr>
            <w:tcW w:w="1399" w:type="dxa"/>
            <w:vAlign w:val="center"/>
          </w:tcPr>
          <w:p w:rsidR="00EE56C0" w:rsidRDefault="000F36A1">
            <w:pPr>
              <w:pStyle w:val="afa"/>
              <w:rPr>
                <w:u w:val="single"/>
              </w:rPr>
            </w:pPr>
            <w:r>
              <w:rPr>
                <w:rFonts w:hint="eastAsia"/>
                <w:u w:val="single"/>
              </w:rPr>
              <w:t>49.5</w:t>
            </w:r>
          </w:p>
        </w:tc>
        <w:tc>
          <w:tcPr>
            <w:tcW w:w="1402" w:type="dxa"/>
            <w:tcBorders>
              <w:right w:val="single" w:sz="4" w:space="0" w:color="auto"/>
            </w:tcBorders>
            <w:vAlign w:val="center"/>
          </w:tcPr>
          <w:p w:rsidR="00EE56C0" w:rsidRDefault="000F36A1">
            <w:pPr>
              <w:pStyle w:val="afa"/>
              <w:rPr>
                <w:u w:val="single"/>
              </w:rPr>
            </w:pPr>
            <w:r>
              <w:rPr>
                <w:rFonts w:hint="eastAsia"/>
                <w:u w:val="single"/>
              </w:rPr>
              <w:t>24.8</w:t>
            </w:r>
          </w:p>
        </w:tc>
        <w:tc>
          <w:tcPr>
            <w:tcW w:w="1403" w:type="dxa"/>
            <w:tcBorders>
              <w:left w:val="single" w:sz="4" w:space="0" w:color="auto"/>
            </w:tcBorders>
            <w:vAlign w:val="center"/>
          </w:tcPr>
          <w:p w:rsidR="00EE56C0" w:rsidRDefault="000F36A1">
            <w:pPr>
              <w:pStyle w:val="afa"/>
              <w:rPr>
                <w:u w:val="single"/>
              </w:rPr>
            </w:pPr>
            <w:r>
              <w:rPr>
                <w:rFonts w:hint="eastAsia"/>
                <w:u w:val="single"/>
              </w:rPr>
              <w:t>2.48</w:t>
            </w:r>
          </w:p>
        </w:tc>
      </w:tr>
      <w:tr w:rsidR="00EE56C0">
        <w:tc>
          <w:tcPr>
            <w:tcW w:w="1251" w:type="dxa"/>
            <w:tcBorders>
              <w:top w:val="single" w:sz="4" w:space="0" w:color="auto"/>
              <w:bottom w:val="single" w:sz="4" w:space="0" w:color="auto"/>
            </w:tcBorders>
            <w:vAlign w:val="center"/>
          </w:tcPr>
          <w:p w:rsidR="00EE56C0" w:rsidRDefault="000F36A1">
            <w:pPr>
              <w:pStyle w:val="afa"/>
              <w:rPr>
                <w:u w:val="single"/>
              </w:rPr>
            </w:pPr>
            <w:r>
              <w:rPr>
                <w:rFonts w:hint="eastAsia"/>
                <w:u w:val="single"/>
              </w:rPr>
              <w:t>8</w:t>
            </w:r>
          </w:p>
        </w:tc>
        <w:tc>
          <w:tcPr>
            <w:tcW w:w="3677" w:type="dxa"/>
            <w:tcBorders>
              <w:top w:val="single" w:sz="4" w:space="0" w:color="auto"/>
              <w:bottom w:val="single" w:sz="4" w:space="0" w:color="auto"/>
            </w:tcBorders>
            <w:vAlign w:val="center"/>
          </w:tcPr>
          <w:p w:rsidR="00EE56C0" w:rsidRDefault="000F36A1">
            <w:pPr>
              <w:pStyle w:val="afa"/>
              <w:rPr>
                <w:u w:val="single"/>
              </w:rPr>
            </w:pPr>
            <w:r>
              <w:rPr>
                <w:rFonts w:hint="eastAsia"/>
                <w:u w:val="single"/>
              </w:rPr>
              <w:t>新乡海伦颜料有限公司</w:t>
            </w:r>
          </w:p>
        </w:tc>
        <w:tc>
          <w:tcPr>
            <w:tcW w:w="1399" w:type="dxa"/>
            <w:vAlign w:val="center"/>
          </w:tcPr>
          <w:p w:rsidR="00EE56C0" w:rsidRDefault="000F36A1">
            <w:pPr>
              <w:pStyle w:val="afa"/>
              <w:rPr>
                <w:u w:val="single"/>
              </w:rPr>
            </w:pPr>
            <w:r>
              <w:rPr>
                <w:rFonts w:hint="eastAsia"/>
                <w:u w:val="single"/>
              </w:rPr>
              <w:t>13.2</w:t>
            </w:r>
          </w:p>
        </w:tc>
        <w:tc>
          <w:tcPr>
            <w:tcW w:w="1402" w:type="dxa"/>
            <w:tcBorders>
              <w:right w:val="single" w:sz="4" w:space="0" w:color="auto"/>
            </w:tcBorders>
            <w:vAlign w:val="center"/>
          </w:tcPr>
          <w:p w:rsidR="00EE56C0" w:rsidRDefault="000F36A1">
            <w:pPr>
              <w:pStyle w:val="afa"/>
              <w:rPr>
                <w:u w:val="single"/>
              </w:rPr>
            </w:pPr>
            <w:r>
              <w:rPr>
                <w:rFonts w:hint="eastAsia"/>
                <w:u w:val="single"/>
              </w:rPr>
              <w:t>6.6</w:t>
            </w:r>
          </w:p>
        </w:tc>
        <w:tc>
          <w:tcPr>
            <w:tcW w:w="1403" w:type="dxa"/>
            <w:tcBorders>
              <w:left w:val="single" w:sz="4" w:space="0" w:color="auto"/>
            </w:tcBorders>
            <w:vAlign w:val="center"/>
          </w:tcPr>
          <w:p w:rsidR="00EE56C0" w:rsidRDefault="000F36A1">
            <w:pPr>
              <w:pStyle w:val="afa"/>
              <w:rPr>
                <w:u w:val="single"/>
              </w:rPr>
            </w:pPr>
            <w:r>
              <w:rPr>
                <w:rFonts w:hint="eastAsia"/>
                <w:u w:val="single"/>
              </w:rPr>
              <w:t>0.66</w:t>
            </w:r>
          </w:p>
        </w:tc>
      </w:tr>
      <w:tr w:rsidR="00EE56C0">
        <w:tc>
          <w:tcPr>
            <w:tcW w:w="1251" w:type="dxa"/>
            <w:tcBorders>
              <w:top w:val="single" w:sz="4" w:space="0" w:color="auto"/>
              <w:bottom w:val="single" w:sz="4" w:space="0" w:color="auto"/>
            </w:tcBorders>
            <w:vAlign w:val="center"/>
          </w:tcPr>
          <w:p w:rsidR="00EE56C0" w:rsidRDefault="000F36A1">
            <w:pPr>
              <w:pStyle w:val="afa"/>
              <w:rPr>
                <w:u w:val="single"/>
              </w:rPr>
            </w:pPr>
            <w:r>
              <w:rPr>
                <w:rFonts w:hint="eastAsia"/>
                <w:u w:val="single"/>
              </w:rPr>
              <w:t>9</w:t>
            </w:r>
          </w:p>
        </w:tc>
        <w:tc>
          <w:tcPr>
            <w:tcW w:w="3677" w:type="dxa"/>
            <w:tcBorders>
              <w:top w:val="single" w:sz="4" w:space="0" w:color="auto"/>
              <w:bottom w:val="single" w:sz="4" w:space="0" w:color="auto"/>
            </w:tcBorders>
            <w:vAlign w:val="center"/>
          </w:tcPr>
          <w:p w:rsidR="00EE56C0" w:rsidRDefault="000F36A1">
            <w:pPr>
              <w:pStyle w:val="afa"/>
              <w:rPr>
                <w:u w:val="single"/>
              </w:rPr>
            </w:pPr>
            <w:r>
              <w:rPr>
                <w:rFonts w:hint="eastAsia"/>
                <w:u w:val="single"/>
              </w:rPr>
              <w:t>新乡瑞城科技股份有限公司</w:t>
            </w:r>
          </w:p>
        </w:tc>
        <w:tc>
          <w:tcPr>
            <w:tcW w:w="1399" w:type="dxa"/>
            <w:vAlign w:val="center"/>
          </w:tcPr>
          <w:p w:rsidR="00EE56C0" w:rsidRDefault="000F36A1">
            <w:pPr>
              <w:pStyle w:val="afa"/>
              <w:rPr>
                <w:u w:val="single"/>
              </w:rPr>
            </w:pPr>
            <w:r>
              <w:rPr>
                <w:rFonts w:hint="eastAsia"/>
                <w:u w:val="single"/>
              </w:rPr>
              <w:t>3.3</w:t>
            </w:r>
          </w:p>
        </w:tc>
        <w:tc>
          <w:tcPr>
            <w:tcW w:w="1402" w:type="dxa"/>
            <w:tcBorders>
              <w:right w:val="single" w:sz="4" w:space="0" w:color="auto"/>
            </w:tcBorders>
            <w:vAlign w:val="center"/>
          </w:tcPr>
          <w:p w:rsidR="00EE56C0" w:rsidRDefault="000F36A1">
            <w:pPr>
              <w:pStyle w:val="afa"/>
              <w:rPr>
                <w:u w:val="single"/>
              </w:rPr>
            </w:pPr>
            <w:r>
              <w:rPr>
                <w:rFonts w:hint="eastAsia"/>
                <w:u w:val="single"/>
              </w:rPr>
              <w:t>1.65</w:t>
            </w:r>
          </w:p>
        </w:tc>
        <w:tc>
          <w:tcPr>
            <w:tcW w:w="1403" w:type="dxa"/>
            <w:tcBorders>
              <w:left w:val="single" w:sz="4" w:space="0" w:color="auto"/>
            </w:tcBorders>
            <w:vAlign w:val="center"/>
          </w:tcPr>
          <w:p w:rsidR="00EE56C0" w:rsidRDefault="000F36A1">
            <w:pPr>
              <w:pStyle w:val="afa"/>
              <w:rPr>
                <w:u w:val="single"/>
              </w:rPr>
            </w:pPr>
            <w:r>
              <w:rPr>
                <w:rFonts w:hint="eastAsia"/>
                <w:u w:val="single"/>
              </w:rPr>
              <w:t>0.17</w:t>
            </w:r>
          </w:p>
        </w:tc>
      </w:tr>
      <w:tr w:rsidR="00EE56C0">
        <w:tc>
          <w:tcPr>
            <w:tcW w:w="1251" w:type="dxa"/>
            <w:tcBorders>
              <w:top w:val="single" w:sz="4" w:space="0" w:color="auto"/>
              <w:bottom w:val="single" w:sz="4" w:space="0" w:color="auto"/>
            </w:tcBorders>
            <w:vAlign w:val="center"/>
          </w:tcPr>
          <w:p w:rsidR="00EE56C0" w:rsidRDefault="000F36A1">
            <w:pPr>
              <w:pStyle w:val="afa"/>
              <w:rPr>
                <w:u w:val="single"/>
              </w:rPr>
            </w:pPr>
            <w:r>
              <w:rPr>
                <w:rFonts w:hint="eastAsia"/>
                <w:u w:val="single"/>
              </w:rPr>
              <w:t>10</w:t>
            </w:r>
          </w:p>
        </w:tc>
        <w:tc>
          <w:tcPr>
            <w:tcW w:w="3677" w:type="dxa"/>
            <w:tcBorders>
              <w:top w:val="single" w:sz="4" w:space="0" w:color="auto"/>
              <w:bottom w:val="single" w:sz="4" w:space="0" w:color="auto"/>
            </w:tcBorders>
            <w:vAlign w:val="center"/>
          </w:tcPr>
          <w:p w:rsidR="00EE56C0" w:rsidRDefault="000F36A1">
            <w:pPr>
              <w:pStyle w:val="afa"/>
              <w:rPr>
                <w:u w:val="single"/>
              </w:rPr>
            </w:pPr>
            <w:r>
              <w:rPr>
                <w:rFonts w:hint="eastAsia"/>
                <w:u w:val="single"/>
              </w:rPr>
              <w:t>河南兴泰纸业有限公司</w:t>
            </w:r>
          </w:p>
        </w:tc>
        <w:tc>
          <w:tcPr>
            <w:tcW w:w="1399" w:type="dxa"/>
            <w:vAlign w:val="center"/>
          </w:tcPr>
          <w:p w:rsidR="00EE56C0" w:rsidRDefault="000F36A1">
            <w:pPr>
              <w:pStyle w:val="afa"/>
              <w:rPr>
                <w:u w:val="single"/>
              </w:rPr>
            </w:pPr>
            <w:r>
              <w:rPr>
                <w:rFonts w:hint="eastAsia"/>
                <w:u w:val="single"/>
              </w:rPr>
              <w:t>165</w:t>
            </w:r>
          </w:p>
        </w:tc>
        <w:tc>
          <w:tcPr>
            <w:tcW w:w="1402" w:type="dxa"/>
            <w:tcBorders>
              <w:right w:val="single" w:sz="4" w:space="0" w:color="auto"/>
            </w:tcBorders>
            <w:vAlign w:val="center"/>
          </w:tcPr>
          <w:p w:rsidR="00EE56C0" w:rsidRDefault="000F36A1">
            <w:pPr>
              <w:pStyle w:val="afa"/>
              <w:rPr>
                <w:u w:val="single"/>
              </w:rPr>
            </w:pPr>
            <w:r>
              <w:rPr>
                <w:rFonts w:hint="eastAsia"/>
                <w:u w:val="single"/>
              </w:rPr>
              <w:t>82.5</w:t>
            </w:r>
          </w:p>
        </w:tc>
        <w:tc>
          <w:tcPr>
            <w:tcW w:w="1403" w:type="dxa"/>
            <w:tcBorders>
              <w:left w:val="single" w:sz="4" w:space="0" w:color="auto"/>
            </w:tcBorders>
            <w:vAlign w:val="center"/>
          </w:tcPr>
          <w:p w:rsidR="00EE56C0" w:rsidRDefault="000F36A1">
            <w:pPr>
              <w:pStyle w:val="afa"/>
              <w:rPr>
                <w:u w:val="single"/>
              </w:rPr>
            </w:pPr>
            <w:r>
              <w:rPr>
                <w:rFonts w:hint="eastAsia"/>
                <w:u w:val="single"/>
              </w:rPr>
              <w:t>8.25</w:t>
            </w:r>
          </w:p>
        </w:tc>
      </w:tr>
      <w:tr w:rsidR="00EE56C0">
        <w:tc>
          <w:tcPr>
            <w:tcW w:w="1251" w:type="dxa"/>
            <w:tcBorders>
              <w:top w:val="single" w:sz="4" w:space="0" w:color="auto"/>
              <w:bottom w:val="single" w:sz="4" w:space="0" w:color="auto"/>
            </w:tcBorders>
            <w:vAlign w:val="center"/>
          </w:tcPr>
          <w:p w:rsidR="00EE56C0" w:rsidRDefault="000F36A1">
            <w:pPr>
              <w:pStyle w:val="afa"/>
              <w:rPr>
                <w:u w:val="single"/>
              </w:rPr>
            </w:pPr>
            <w:r>
              <w:rPr>
                <w:rFonts w:hint="eastAsia"/>
                <w:u w:val="single"/>
              </w:rPr>
              <w:t>11</w:t>
            </w:r>
          </w:p>
        </w:tc>
        <w:tc>
          <w:tcPr>
            <w:tcW w:w="3677" w:type="dxa"/>
            <w:tcBorders>
              <w:top w:val="single" w:sz="4" w:space="0" w:color="auto"/>
              <w:bottom w:val="single" w:sz="4" w:space="0" w:color="auto"/>
            </w:tcBorders>
            <w:vAlign w:val="center"/>
          </w:tcPr>
          <w:p w:rsidR="00EE56C0" w:rsidRDefault="000F36A1">
            <w:pPr>
              <w:pStyle w:val="afa"/>
              <w:rPr>
                <w:u w:val="single"/>
              </w:rPr>
            </w:pPr>
            <w:r>
              <w:rPr>
                <w:rFonts w:hint="eastAsia"/>
                <w:u w:val="single"/>
              </w:rPr>
              <w:t>河南新乡鸿泰纸业有限公司</w:t>
            </w:r>
          </w:p>
        </w:tc>
        <w:tc>
          <w:tcPr>
            <w:tcW w:w="1399" w:type="dxa"/>
            <w:vAlign w:val="center"/>
          </w:tcPr>
          <w:p w:rsidR="00EE56C0" w:rsidRDefault="000F36A1">
            <w:pPr>
              <w:pStyle w:val="afa"/>
              <w:rPr>
                <w:u w:val="single"/>
              </w:rPr>
            </w:pPr>
            <w:r>
              <w:rPr>
                <w:rFonts w:hint="eastAsia"/>
                <w:u w:val="single"/>
              </w:rPr>
              <w:t>132</w:t>
            </w:r>
          </w:p>
        </w:tc>
        <w:tc>
          <w:tcPr>
            <w:tcW w:w="1402" w:type="dxa"/>
            <w:tcBorders>
              <w:right w:val="single" w:sz="4" w:space="0" w:color="auto"/>
            </w:tcBorders>
            <w:vAlign w:val="center"/>
          </w:tcPr>
          <w:p w:rsidR="00EE56C0" w:rsidRDefault="000F36A1">
            <w:pPr>
              <w:pStyle w:val="afa"/>
              <w:rPr>
                <w:u w:val="single"/>
              </w:rPr>
            </w:pPr>
            <w:r>
              <w:rPr>
                <w:rFonts w:hint="eastAsia"/>
                <w:u w:val="single"/>
              </w:rPr>
              <w:t>66</w:t>
            </w:r>
          </w:p>
        </w:tc>
        <w:tc>
          <w:tcPr>
            <w:tcW w:w="1403" w:type="dxa"/>
            <w:tcBorders>
              <w:left w:val="single" w:sz="4" w:space="0" w:color="auto"/>
            </w:tcBorders>
            <w:vAlign w:val="center"/>
          </w:tcPr>
          <w:p w:rsidR="00EE56C0" w:rsidRDefault="000F36A1">
            <w:pPr>
              <w:pStyle w:val="afa"/>
              <w:rPr>
                <w:u w:val="single"/>
              </w:rPr>
            </w:pPr>
            <w:r>
              <w:rPr>
                <w:rFonts w:hint="eastAsia"/>
                <w:u w:val="single"/>
              </w:rPr>
              <w:t>6.6</w:t>
            </w:r>
          </w:p>
        </w:tc>
      </w:tr>
      <w:tr w:rsidR="00EE56C0">
        <w:tc>
          <w:tcPr>
            <w:tcW w:w="1251" w:type="dxa"/>
            <w:tcBorders>
              <w:top w:val="single" w:sz="4" w:space="0" w:color="auto"/>
              <w:bottom w:val="single" w:sz="4" w:space="0" w:color="auto"/>
            </w:tcBorders>
            <w:vAlign w:val="center"/>
          </w:tcPr>
          <w:p w:rsidR="00EE56C0" w:rsidRDefault="000F36A1">
            <w:pPr>
              <w:pStyle w:val="afa"/>
              <w:rPr>
                <w:u w:val="single"/>
              </w:rPr>
            </w:pPr>
            <w:r>
              <w:rPr>
                <w:rFonts w:hint="eastAsia"/>
                <w:u w:val="single"/>
              </w:rPr>
              <w:t>12</w:t>
            </w:r>
          </w:p>
        </w:tc>
        <w:tc>
          <w:tcPr>
            <w:tcW w:w="3677" w:type="dxa"/>
            <w:tcBorders>
              <w:top w:val="single" w:sz="4" w:space="0" w:color="auto"/>
              <w:bottom w:val="single" w:sz="4" w:space="0" w:color="auto"/>
            </w:tcBorders>
            <w:vAlign w:val="center"/>
          </w:tcPr>
          <w:p w:rsidR="00EE56C0" w:rsidRDefault="000F36A1">
            <w:pPr>
              <w:pStyle w:val="afa"/>
              <w:rPr>
                <w:u w:val="single"/>
              </w:rPr>
            </w:pPr>
            <w:r>
              <w:rPr>
                <w:rFonts w:hint="eastAsia"/>
                <w:u w:val="single"/>
              </w:rPr>
              <w:t>新乡市康健化工有限公司</w:t>
            </w:r>
          </w:p>
        </w:tc>
        <w:tc>
          <w:tcPr>
            <w:tcW w:w="1399" w:type="dxa"/>
            <w:vAlign w:val="center"/>
          </w:tcPr>
          <w:p w:rsidR="00EE56C0" w:rsidRDefault="000F36A1">
            <w:pPr>
              <w:pStyle w:val="afa"/>
              <w:rPr>
                <w:u w:val="single"/>
              </w:rPr>
            </w:pPr>
            <w:r>
              <w:rPr>
                <w:rFonts w:hint="eastAsia"/>
                <w:u w:val="single"/>
              </w:rPr>
              <w:t>33.0</w:t>
            </w:r>
          </w:p>
        </w:tc>
        <w:tc>
          <w:tcPr>
            <w:tcW w:w="1402" w:type="dxa"/>
            <w:tcBorders>
              <w:right w:val="single" w:sz="4" w:space="0" w:color="auto"/>
            </w:tcBorders>
            <w:vAlign w:val="center"/>
          </w:tcPr>
          <w:p w:rsidR="00EE56C0" w:rsidRDefault="000F36A1">
            <w:pPr>
              <w:pStyle w:val="afa"/>
              <w:rPr>
                <w:u w:val="single"/>
              </w:rPr>
            </w:pPr>
            <w:r>
              <w:rPr>
                <w:rFonts w:hint="eastAsia"/>
                <w:u w:val="single"/>
              </w:rPr>
              <w:t>16.5</w:t>
            </w:r>
          </w:p>
        </w:tc>
        <w:tc>
          <w:tcPr>
            <w:tcW w:w="1403" w:type="dxa"/>
            <w:tcBorders>
              <w:left w:val="single" w:sz="4" w:space="0" w:color="auto"/>
            </w:tcBorders>
            <w:vAlign w:val="center"/>
          </w:tcPr>
          <w:p w:rsidR="00EE56C0" w:rsidRDefault="000F36A1">
            <w:pPr>
              <w:pStyle w:val="afa"/>
              <w:rPr>
                <w:u w:val="single"/>
              </w:rPr>
            </w:pPr>
            <w:r>
              <w:rPr>
                <w:rFonts w:hint="eastAsia"/>
                <w:u w:val="single"/>
              </w:rPr>
              <w:t>1.65</w:t>
            </w:r>
          </w:p>
        </w:tc>
      </w:tr>
      <w:tr w:rsidR="00EE56C0">
        <w:tc>
          <w:tcPr>
            <w:tcW w:w="1251" w:type="dxa"/>
            <w:tcBorders>
              <w:top w:val="single" w:sz="4" w:space="0" w:color="auto"/>
              <w:bottom w:val="single" w:sz="4" w:space="0" w:color="auto"/>
            </w:tcBorders>
            <w:vAlign w:val="center"/>
          </w:tcPr>
          <w:p w:rsidR="00EE56C0" w:rsidRDefault="000F36A1">
            <w:pPr>
              <w:pStyle w:val="afa"/>
              <w:rPr>
                <w:u w:val="single"/>
              </w:rPr>
            </w:pPr>
            <w:r>
              <w:rPr>
                <w:rFonts w:hint="eastAsia"/>
                <w:u w:val="single"/>
              </w:rPr>
              <w:t>13</w:t>
            </w:r>
          </w:p>
        </w:tc>
        <w:tc>
          <w:tcPr>
            <w:tcW w:w="3677" w:type="dxa"/>
            <w:tcBorders>
              <w:top w:val="single" w:sz="4" w:space="0" w:color="auto"/>
              <w:bottom w:val="single" w:sz="4" w:space="0" w:color="auto"/>
            </w:tcBorders>
            <w:vAlign w:val="center"/>
          </w:tcPr>
          <w:p w:rsidR="00EE56C0" w:rsidRDefault="000F36A1">
            <w:pPr>
              <w:pStyle w:val="afa"/>
              <w:rPr>
                <w:u w:val="single"/>
              </w:rPr>
            </w:pPr>
            <w:r>
              <w:rPr>
                <w:rFonts w:hint="eastAsia"/>
                <w:u w:val="single"/>
              </w:rPr>
              <w:t>新乡市信谊染料化工有限公司</w:t>
            </w:r>
          </w:p>
        </w:tc>
        <w:tc>
          <w:tcPr>
            <w:tcW w:w="1399" w:type="dxa"/>
            <w:vAlign w:val="center"/>
          </w:tcPr>
          <w:p w:rsidR="00EE56C0" w:rsidRDefault="000F36A1">
            <w:pPr>
              <w:pStyle w:val="afa"/>
              <w:rPr>
                <w:u w:val="single"/>
              </w:rPr>
            </w:pPr>
            <w:r>
              <w:rPr>
                <w:rFonts w:hint="eastAsia"/>
                <w:u w:val="single"/>
              </w:rPr>
              <w:t>13.2</w:t>
            </w:r>
          </w:p>
        </w:tc>
        <w:tc>
          <w:tcPr>
            <w:tcW w:w="1402" w:type="dxa"/>
            <w:tcBorders>
              <w:right w:val="single" w:sz="4" w:space="0" w:color="auto"/>
            </w:tcBorders>
            <w:vAlign w:val="center"/>
          </w:tcPr>
          <w:p w:rsidR="00EE56C0" w:rsidRDefault="000F36A1">
            <w:pPr>
              <w:pStyle w:val="afa"/>
              <w:rPr>
                <w:u w:val="single"/>
              </w:rPr>
            </w:pPr>
            <w:r>
              <w:rPr>
                <w:rFonts w:hint="eastAsia"/>
                <w:u w:val="single"/>
              </w:rPr>
              <w:t>6.6</w:t>
            </w:r>
          </w:p>
        </w:tc>
        <w:tc>
          <w:tcPr>
            <w:tcW w:w="1403" w:type="dxa"/>
            <w:tcBorders>
              <w:left w:val="single" w:sz="4" w:space="0" w:color="auto"/>
            </w:tcBorders>
            <w:vAlign w:val="center"/>
          </w:tcPr>
          <w:p w:rsidR="00EE56C0" w:rsidRDefault="000F36A1">
            <w:pPr>
              <w:pStyle w:val="afa"/>
              <w:rPr>
                <w:u w:val="single"/>
              </w:rPr>
            </w:pPr>
            <w:r>
              <w:rPr>
                <w:rFonts w:hint="eastAsia"/>
                <w:u w:val="single"/>
              </w:rPr>
              <w:t>0.66</w:t>
            </w:r>
          </w:p>
        </w:tc>
      </w:tr>
      <w:tr w:rsidR="00EE56C0">
        <w:tc>
          <w:tcPr>
            <w:tcW w:w="1251" w:type="dxa"/>
            <w:tcBorders>
              <w:top w:val="single" w:sz="4" w:space="0" w:color="auto"/>
              <w:bottom w:val="single" w:sz="4" w:space="0" w:color="auto"/>
            </w:tcBorders>
            <w:vAlign w:val="center"/>
          </w:tcPr>
          <w:p w:rsidR="00EE56C0" w:rsidRDefault="000F36A1">
            <w:pPr>
              <w:pStyle w:val="afa"/>
              <w:rPr>
                <w:u w:val="single"/>
              </w:rPr>
            </w:pPr>
            <w:r>
              <w:rPr>
                <w:rFonts w:hint="eastAsia"/>
                <w:u w:val="single"/>
              </w:rPr>
              <w:t>14</w:t>
            </w:r>
          </w:p>
        </w:tc>
        <w:tc>
          <w:tcPr>
            <w:tcW w:w="3677" w:type="dxa"/>
            <w:tcBorders>
              <w:top w:val="single" w:sz="4" w:space="0" w:color="auto"/>
              <w:bottom w:val="single" w:sz="4" w:space="0" w:color="auto"/>
            </w:tcBorders>
            <w:vAlign w:val="center"/>
          </w:tcPr>
          <w:p w:rsidR="00EE56C0" w:rsidRDefault="000F36A1">
            <w:pPr>
              <w:pStyle w:val="afa"/>
              <w:rPr>
                <w:u w:val="single"/>
              </w:rPr>
            </w:pPr>
            <w:r>
              <w:rPr>
                <w:rFonts w:hint="eastAsia"/>
                <w:u w:val="single"/>
              </w:rPr>
              <w:t>新乡市中辉纸业有限公司</w:t>
            </w:r>
          </w:p>
        </w:tc>
        <w:tc>
          <w:tcPr>
            <w:tcW w:w="1399" w:type="dxa"/>
            <w:vAlign w:val="center"/>
          </w:tcPr>
          <w:p w:rsidR="00EE56C0" w:rsidRDefault="000F36A1">
            <w:pPr>
              <w:pStyle w:val="afa"/>
              <w:rPr>
                <w:u w:val="single"/>
              </w:rPr>
            </w:pPr>
            <w:r>
              <w:rPr>
                <w:rFonts w:hint="eastAsia"/>
                <w:u w:val="single"/>
              </w:rPr>
              <w:t>6.6</w:t>
            </w:r>
          </w:p>
        </w:tc>
        <w:tc>
          <w:tcPr>
            <w:tcW w:w="1402" w:type="dxa"/>
            <w:tcBorders>
              <w:right w:val="single" w:sz="4" w:space="0" w:color="auto"/>
            </w:tcBorders>
            <w:vAlign w:val="center"/>
          </w:tcPr>
          <w:p w:rsidR="00EE56C0" w:rsidRDefault="000F36A1">
            <w:pPr>
              <w:pStyle w:val="afa"/>
              <w:rPr>
                <w:u w:val="single"/>
              </w:rPr>
            </w:pPr>
            <w:r>
              <w:rPr>
                <w:rFonts w:hint="eastAsia"/>
                <w:u w:val="single"/>
              </w:rPr>
              <w:t>99</w:t>
            </w:r>
          </w:p>
        </w:tc>
        <w:tc>
          <w:tcPr>
            <w:tcW w:w="1403" w:type="dxa"/>
            <w:tcBorders>
              <w:left w:val="single" w:sz="4" w:space="0" w:color="auto"/>
            </w:tcBorders>
            <w:vAlign w:val="center"/>
          </w:tcPr>
          <w:p w:rsidR="00EE56C0" w:rsidRDefault="000F36A1">
            <w:pPr>
              <w:pStyle w:val="afa"/>
              <w:rPr>
                <w:u w:val="single"/>
              </w:rPr>
            </w:pPr>
            <w:r>
              <w:rPr>
                <w:rFonts w:hint="eastAsia"/>
                <w:u w:val="single"/>
              </w:rPr>
              <w:t>9.9</w:t>
            </w:r>
          </w:p>
        </w:tc>
      </w:tr>
      <w:tr w:rsidR="00EE56C0">
        <w:tc>
          <w:tcPr>
            <w:tcW w:w="1251" w:type="dxa"/>
            <w:tcBorders>
              <w:top w:val="single" w:sz="4" w:space="0" w:color="auto"/>
              <w:bottom w:val="single" w:sz="4" w:space="0" w:color="auto"/>
            </w:tcBorders>
            <w:vAlign w:val="center"/>
          </w:tcPr>
          <w:p w:rsidR="00EE56C0" w:rsidRDefault="000F36A1">
            <w:pPr>
              <w:pStyle w:val="afa"/>
              <w:rPr>
                <w:u w:val="single"/>
              </w:rPr>
            </w:pPr>
            <w:r>
              <w:rPr>
                <w:rFonts w:hint="eastAsia"/>
                <w:u w:val="single"/>
              </w:rPr>
              <w:t>15</w:t>
            </w:r>
          </w:p>
        </w:tc>
        <w:tc>
          <w:tcPr>
            <w:tcW w:w="3677" w:type="dxa"/>
            <w:tcBorders>
              <w:top w:val="single" w:sz="4" w:space="0" w:color="auto"/>
              <w:bottom w:val="single" w:sz="4" w:space="0" w:color="auto"/>
            </w:tcBorders>
            <w:vAlign w:val="center"/>
          </w:tcPr>
          <w:p w:rsidR="00EE56C0" w:rsidRDefault="000F36A1">
            <w:pPr>
              <w:pStyle w:val="afa"/>
              <w:rPr>
                <w:u w:val="single"/>
              </w:rPr>
            </w:pPr>
            <w:r>
              <w:rPr>
                <w:rFonts w:hint="eastAsia"/>
                <w:u w:val="single"/>
              </w:rPr>
              <w:t>新乡市博华纸业有限公司</w:t>
            </w:r>
          </w:p>
        </w:tc>
        <w:tc>
          <w:tcPr>
            <w:tcW w:w="1399" w:type="dxa"/>
            <w:vAlign w:val="center"/>
          </w:tcPr>
          <w:p w:rsidR="00EE56C0" w:rsidRDefault="000F36A1">
            <w:pPr>
              <w:pStyle w:val="afa"/>
              <w:rPr>
                <w:u w:val="single"/>
              </w:rPr>
            </w:pPr>
            <w:r>
              <w:rPr>
                <w:rFonts w:hint="eastAsia"/>
                <w:u w:val="single"/>
              </w:rPr>
              <w:t>6.6</w:t>
            </w:r>
          </w:p>
        </w:tc>
        <w:tc>
          <w:tcPr>
            <w:tcW w:w="1402" w:type="dxa"/>
            <w:tcBorders>
              <w:right w:val="single" w:sz="4" w:space="0" w:color="auto"/>
            </w:tcBorders>
            <w:vAlign w:val="center"/>
          </w:tcPr>
          <w:p w:rsidR="00EE56C0" w:rsidRDefault="000F36A1">
            <w:pPr>
              <w:pStyle w:val="afa"/>
              <w:rPr>
                <w:u w:val="single"/>
              </w:rPr>
            </w:pPr>
            <w:r>
              <w:rPr>
                <w:rFonts w:hint="eastAsia"/>
                <w:u w:val="single"/>
              </w:rPr>
              <w:t>8.25</w:t>
            </w:r>
          </w:p>
        </w:tc>
        <w:tc>
          <w:tcPr>
            <w:tcW w:w="1403" w:type="dxa"/>
            <w:tcBorders>
              <w:left w:val="single" w:sz="4" w:space="0" w:color="auto"/>
            </w:tcBorders>
            <w:vAlign w:val="center"/>
          </w:tcPr>
          <w:p w:rsidR="00EE56C0" w:rsidRDefault="000F36A1">
            <w:pPr>
              <w:pStyle w:val="afa"/>
              <w:rPr>
                <w:u w:val="single"/>
              </w:rPr>
            </w:pPr>
            <w:r>
              <w:rPr>
                <w:rFonts w:hint="eastAsia"/>
                <w:u w:val="single"/>
              </w:rPr>
              <w:t>0.83</w:t>
            </w:r>
          </w:p>
        </w:tc>
      </w:tr>
      <w:tr w:rsidR="00EE56C0">
        <w:tc>
          <w:tcPr>
            <w:tcW w:w="1251" w:type="dxa"/>
            <w:tcBorders>
              <w:top w:val="single" w:sz="4" w:space="0" w:color="auto"/>
              <w:bottom w:val="single" w:sz="4" w:space="0" w:color="auto"/>
            </w:tcBorders>
            <w:vAlign w:val="center"/>
          </w:tcPr>
          <w:p w:rsidR="00EE56C0" w:rsidRDefault="000F36A1">
            <w:pPr>
              <w:pStyle w:val="afa"/>
              <w:rPr>
                <w:u w:val="single"/>
              </w:rPr>
            </w:pPr>
            <w:r>
              <w:rPr>
                <w:rFonts w:hint="eastAsia"/>
                <w:u w:val="single"/>
              </w:rPr>
              <w:t>16</w:t>
            </w:r>
          </w:p>
        </w:tc>
        <w:tc>
          <w:tcPr>
            <w:tcW w:w="3677" w:type="dxa"/>
            <w:tcBorders>
              <w:top w:val="single" w:sz="4" w:space="0" w:color="auto"/>
              <w:bottom w:val="single" w:sz="4" w:space="0" w:color="auto"/>
            </w:tcBorders>
            <w:vAlign w:val="center"/>
          </w:tcPr>
          <w:p w:rsidR="00EE56C0" w:rsidRDefault="000F36A1">
            <w:pPr>
              <w:pStyle w:val="afa"/>
              <w:rPr>
                <w:u w:val="single"/>
              </w:rPr>
            </w:pPr>
            <w:r>
              <w:rPr>
                <w:rFonts w:hint="eastAsia"/>
                <w:u w:val="single"/>
              </w:rPr>
              <w:t>绿博药业有限公司</w:t>
            </w:r>
          </w:p>
        </w:tc>
        <w:tc>
          <w:tcPr>
            <w:tcW w:w="1399" w:type="dxa"/>
            <w:vAlign w:val="center"/>
          </w:tcPr>
          <w:p w:rsidR="00EE56C0" w:rsidRDefault="000F36A1">
            <w:pPr>
              <w:pStyle w:val="afa"/>
              <w:rPr>
                <w:u w:val="single"/>
              </w:rPr>
            </w:pPr>
            <w:r>
              <w:rPr>
                <w:rFonts w:hint="eastAsia"/>
                <w:u w:val="single"/>
              </w:rPr>
              <w:t>16.5</w:t>
            </w:r>
          </w:p>
        </w:tc>
        <w:tc>
          <w:tcPr>
            <w:tcW w:w="1402" w:type="dxa"/>
            <w:tcBorders>
              <w:right w:val="single" w:sz="4" w:space="0" w:color="auto"/>
            </w:tcBorders>
            <w:vAlign w:val="center"/>
          </w:tcPr>
          <w:p w:rsidR="00EE56C0" w:rsidRDefault="000F36A1">
            <w:pPr>
              <w:pStyle w:val="afa"/>
              <w:rPr>
                <w:u w:val="single"/>
              </w:rPr>
            </w:pPr>
            <w:r>
              <w:rPr>
                <w:rFonts w:hint="eastAsia"/>
                <w:u w:val="single"/>
              </w:rPr>
              <w:t>8.25</w:t>
            </w:r>
          </w:p>
        </w:tc>
        <w:tc>
          <w:tcPr>
            <w:tcW w:w="1403" w:type="dxa"/>
            <w:tcBorders>
              <w:left w:val="single" w:sz="4" w:space="0" w:color="auto"/>
            </w:tcBorders>
            <w:vAlign w:val="center"/>
          </w:tcPr>
          <w:p w:rsidR="00EE56C0" w:rsidRDefault="000F36A1">
            <w:pPr>
              <w:pStyle w:val="afa"/>
              <w:rPr>
                <w:u w:val="single"/>
              </w:rPr>
            </w:pPr>
            <w:r>
              <w:rPr>
                <w:rFonts w:hint="eastAsia"/>
                <w:u w:val="single"/>
              </w:rPr>
              <w:t>0.83</w:t>
            </w:r>
          </w:p>
        </w:tc>
      </w:tr>
      <w:tr w:rsidR="00EE56C0">
        <w:tc>
          <w:tcPr>
            <w:tcW w:w="1251" w:type="dxa"/>
            <w:tcBorders>
              <w:top w:val="single" w:sz="4" w:space="0" w:color="auto"/>
              <w:bottom w:val="single" w:sz="4" w:space="0" w:color="auto"/>
            </w:tcBorders>
            <w:vAlign w:val="center"/>
          </w:tcPr>
          <w:p w:rsidR="00EE56C0" w:rsidRDefault="000F36A1">
            <w:pPr>
              <w:pStyle w:val="afa"/>
              <w:rPr>
                <w:u w:val="single"/>
              </w:rPr>
            </w:pPr>
            <w:r>
              <w:rPr>
                <w:rFonts w:hint="eastAsia"/>
                <w:u w:val="single"/>
              </w:rPr>
              <w:t>17</w:t>
            </w:r>
          </w:p>
        </w:tc>
        <w:tc>
          <w:tcPr>
            <w:tcW w:w="3677" w:type="dxa"/>
            <w:tcBorders>
              <w:top w:val="single" w:sz="4" w:space="0" w:color="auto"/>
              <w:bottom w:val="single" w:sz="4" w:space="0" w:color="auto"/>
            </w:tcBorders>
            <w:vAlign w:val="center"/>
          </w:tcPr>
          <w:p w:rsidR="00EE56C0" w:rsidRDefault="000F36A1">
            <w:pPr>
              <w:pStyle w:val="afa"/>
              <w:rPr>
                <w:u w:val="single"/>
              </w:rPr>
            </w:pPr>
            <w:r>
              <w:rPr>
                <w:rFonts w:hint="eastAsia"/>
                <w:u w:val="single"/>
              </w:rPr>
              <w:t>新乡县综合污水处理厂</w:t>
            </w:r>
          </w:p>
        </w:tc>
        <w:tc>
          <w:tcPr>
            <w:tcW w:w="1399" w:type="dxa"/>
            <w:vAlign w:val="center"/>
          </w:tcPr>
          <w:p w:rsidR="00EE56C0" w:rsidRDefault="000F36A1">
            <w:pPr>
              <w:pStyle w:val="afa"/>
              <w:rPr>
                <w:u w:val="single"/>
              </w:rPr>
            </w:pPr>
            <w:r>
              <w:rPr>
                <w:rFonts w:hint="eastAsia"/>
                <w:u w:val="single"/>
              </w:rPr>
              <w:t>5475</w:t>
            </w:r>
          </w:p>
        </w:tc>
        <w:tc>
          <w:tcPr>
            <w:tcW w:w="1402" w:type="dxa"/>
            <w:tcBorders>
              <w:right w:val="single" w:sz="4" w:space="0" w:color="auto"/>
            </w:tcBorders>
            <w:vAlign w:val="center"/>
          </w:tcPr>
          <w:p w:rsidR="00EE56C0" w:rsidRDefault="000F36A1">
            <w:pPr>
              <w:pStyle w:val="afa"/>
              <w:rPr>
                <w:u w:val="single"/>
              </w:rPr>
            </w:pPr>
            <w:r>
              <w:rPr>
                <w:rFonts w:hint="eastAsia"/>
                <w:u w:val="single"/>
              </w:rPr>
              <w:t>2190</w:t>
            </w:r>
          </w:p>
        </w:tc>
        <w:tc>
          <w:tcPr>
            <w:tcW w:w="1403" w:type="dxa"/>
            <w:tcBorders>
              <w:left w:val="single" w:sz="4" w:space="0" w:color="auto"/>
            </w:tcBorders>
            <w:vAlign w:val="center"/>
          </w:tcPr>
          <w:p w:rsidR="00EE56C0" w:rsidRDefault="000F36A1">
            <w:pPr>
              <w:pStyle w:val="afa"/>
              <w:rPr>
                <w:u w:val="single"/>
              </w:rPr>
            </w:pPr>
            <w:r>
              <w:rPr>
                <w:rFonts w:hint="eastAsia"/>
                <w:u w:val="single"/>
              </w:rPr>
              <w:t>36.7</w:t>
            </w:r>
          </w:p>
        </w:tc>
      </w:tr>
      <w:tr w:rsidR="00EE56C0">
        <w:tc>
          <w:tcPr>
            <w:tcW w:w="1251" w:type="dxa"/>
            <w:tcBorders>
              <w:top w:val="single" w:sz="4" w:space="0" w:color="auto"/>
              <w:bottom w:val="single" w:sz="4" w:space="0" w:color="auto"/>
            </w:tcBorders>
            <w:vAlign w:val="center"/>
          </w:tcPr>
          <w:p w:rsidR="00EE56C0" w:rsidRDefault="000F36A1">
            <w:pPr>
              <w:pStyle w:val="afa"/>
              <w:rPr>
                <w:u w:val="single"/>
              </w:rPr>
            </w:pPr>
            <w:r>
              <w:rPr>
                <w:rFonts w:hint="eastAsia"/>
                <w:u w:val="single"/>
              </w:rPr>
              <w:t>18</w:t>
            </w:r>
          </w:p>
        </w:tc>
        <w:tc>
          <w:tcPr>
            <w:tcW w:w="3677" w:type="dxa"/>
            <w:tcBorders>
              <w:top w:val="single" w:sz="4" w:space="0" w:color="auto"/>
              <w:bottom w:val="single" w:sz="4" w:space="0" w:color="auto"/>
            </w:tcBorders>
            <w:vAlign w:val="center"/>
          </w:tcPr>
          <w:p w:rsidR="00EE56C0" w:rsidRDefault="000F36A1">
            <w:pPr>
              <w:pStyle w:val="afa"/>
              <w:rPr>
                <w:color w:val="000000" w:themeColor="text1"/>
                <w:u w:val="single"/>
              </w:rPr>
            </w:pPr>
            <w:r>
              <w:rPr>
                <w:rFonts w:hint="eastAsia"/>
                <w:color w:val="000000" w:themeColor="text1"/>
                <w:u w:val="single"/>
              </w:rPr>
              <w:t>河南博源新材料有限公司</w:t>
            </w:r>
          </w:p>
        </w:tc>
        <w:tc>
          <w:tcPr>
            <w:tcW w:w="1399" w:type="dxa"/>
            <w:vAlign w:val="center"/>
          </w:tcPr>
          <w:p w:rsidR="00EE56C0" w:rsidRDefault="000F36A1">
            <w:pPr>
              <w:pStyle w:val="afa"/>
              <w:rPr>
                <w:u w:val="single"/>
              </w:rPr>
            </w:pPr>
            <w:r>
              <w:rPr>
                <w:rFonts w:hint="eastAsia"/>
                <w:u w:val="single"/>
              </w:rPr>
              <w:t>10.5</w:t>
            </w:r>
          </w:p>
        </w:tc>
        <w:tc>
          <w:tcPr>
            <w:tcW w:w="1402" w:type="dxa"/>
            <w:tcBorders>
              <w:right w:val="single" w:sz="4" w:space="0" w:color="auto"/>
            </w:tcBorders>
            <w:vAlign w:val="center"/>
          </w:tcPr>
          <w:p w:rsidR="00EE56C0" w:rsidRDefault="000F36A1">
            <w:pPr>
              <w:pStyle w:val="afa"/>
              <w:rPr>
                <w:u w:val="single"/>
              </w:rPr>
            </w:pPr>
            <w:r>
              <w:rPr>
                <w:rFonts w:hint="eastAsia"/>
                <w:u w:val="single"/>
              </w:rPr>
              <w:t>3.16</w:t>
            </w:r>
          </w:p>
        </w:tc>
        <w:tc>
          <w:tcPr>
            <w:tcW w:w="1403" w:type="dxa"/>
            <w:tcBorders>
              <w:left w:val="single" w:sz="4" w:space="0" w:color="auto"/>
            </w:tcBorders>
            <w:vAlign w:val="center"/>
          </w:tcPr>
          <w:p w:rsidR="00EE56C0" w:rsidRDefault="000F36A1">
            <w:pPr>
              <w:pStyle w:val="afa"/>
              <w:rPr>
                <w:u w:val="single"/>
              </w:rPr>
            </w:pPr>
            <w:r>
              <w:rPr>
                <w:rFonts w:hint="eastAsia"/>
                <w:u w:val="single"/>
              </w:rPr>
              <w:t>0.32</w:t>
            </w:r>
          </w:p>
        </w:tc>
      </w:tr>
      <w:tr w:rsidR="00EE56C0">
        <w:tc>
          <w:tcPr>
            <w:tcW w:w="1251" w:type="dxa"/>
            <w:tcBorders>
              <w:top w:val="single" w:sz="4" w:space="0" w:color="auto"/>
              <w:bottom w:val="single" w:sz="4" w:space="0" w:color="auto"/>
            </w:tcBorders>
            <w:vAlign w:val="center"/>
          </w:tcPr>
          <w:p w:rsidR="00EE56C0" w:rsidRDefault="006302E3">
            <w:pPr>
              <w:pStyle w:val="afa"/>
              <w:rPr>
                <w:u w:val="single"/>
              </w:rPr>
            </w:pPr>
            <w:r>
              <w:rPr>
                <w:u w:val="single"/>
              </w:rPr>
              <w:t>19</w:t>
            </w:r>
          </w:p>
        </w:tc>
        <w:tc>
          <w:tcPr>
            <w:tcW w:w="3677" w:type="dxa"/>
            <w:tcBorders>
              <w:top w:val="single" w:sz="4" w:space="0" w:color="auto"/>
              <w:bottom w:val="single" w:sz="4" w:space="0" w:color="auto"/>
            </w:tcBorders>
            <w:vAlign w:val="center"/>
          </w:tcPr>
          <w:p w:rsidR="00EE56C0" w:rsidRDefault="006302E3">
            <w:pPr>
              <w:pStyle w:val="afa"/>
              <w:rPr>
                <w:color w:val="000000" w:themeColor="text1"/>
                <w:u w:val="single"/>
              </w:rPr>
            </w:pPr>
            <w:r w:rsidRPr="006302E3">
              <w:rPr>
                <w:rFonts w:hint="eastAsia"/>
                <w:color w:val="000000" w:themeColor="text1"/>
                <w:u w:val="single"/>
              </w:rPr>
              <w:t>新乡瑞诺药业有限公司</w:t>
            </w:r>
          </w:p>
        </w:tc>
        <w:tc>
          <w:tcPr>
            <w:tcW w:w="1399" w:type="dxa"/>
            <w:vAlign w:val="center"/>
          </w:tcPr>
          <w:p w:rsidR="00EE56C0" w:rsidRDefault="006302E3">
            <w:pPr>
              <w:pStyle w:val="afa"/>
              <w:rPr>
                <w:u w:val="single"/>
              </w:rPr>
            </w:pPr>
            <w:r>
              <w:rPr>
                <w:u w:val="single"/>
              </w:rPr>
              <w:t>10.8073</w:t>
            </w:r>
          </w:p>
        </w:tc>
        <w:tc>
          <w:tcPr>
            <w:tcW w:w="1402" w:type="dxa"/>
            <w:tcBorders>
              <w:right w:val="single" w:sz="4" w:space="0" w:color="auto"/>
            </w:tcBorders>
            <w:vAlign w:val="center"/>
          </w:tcPr>
          <w:p w:rsidR="00EE56C0" w:rsidRDefault="006302E3">
            <w:pPr>
              <w:pStyle w:val="afa"/>
              <w:rPr>
                <w:u w:val="single"/>
              </w:rPr>
            </w:pPr>
            <w:r>
              <w:rPr>
                <w:u w:val="single"/>
              </w:rPr>
              <w:t>4.3229</w:t>
            </w:r>
          </w:p>
        </w:tc>
        <w:tc>
          <w:tcPr>
            <w:tcW w:w="1403" w:type="dxa"/>
            <w:tcBorders>
              <w:left w:val="single" w:sz="4" w:space="0" w:color="auto"/>
            </w:tcBorders>
            <w:vAlign w:val="center"/>
          </w:tcPr>
          <w:p w:rsidR="00EE56C0" w:rsidRDefault="006302E3">
            <w:pPr>
              <w:pStyle w:val="afa"/>
              <w:rPr>
                <w:u w:val="single"/>
              </w:rPr>
            </w:pPr>
            <w:r>
              <w:rPr>
                <w:u w:val="single"/>
              </w:rPr>
              <w:t>0.2161</w:t>
            </w:r>
          </w:p>
        </w:tc>
      </w:tr>
      <w:tr w:rsidR="003B0135">
        <w:tc>
          <w:tcPr>
            <w:tcW w:w="1251" w:type="dxa"/>
            <w:tcBorders>
              <w:top w:val="single" w:sz="4" w:space="0" w:color="auto"/>
              <w:bottom w:val="single" w:sz="4" w:space="0" w:color="auto"/>
            </w:tcBorders>
            <w:vAlign w:val="center"/>
          </w:tcPr>
          <w:p w:rsidR="003B0135" w:rsidRDefault="003B0135">
            <w:pPr>
              <w:pStyle w:val="afa"/>
              <w:rPr>
                <w:u w:val="single"/>
              </w:rPr>
            </w:pPr>
            <w:r>
              <w:rPr>
                <w:rFonts w:hint="eastAsia"/>
                <w:u w:val="single"/>
              </w:rPr>
              <w:t>20</w:t>
            </w:r>
          </w:p>
        </w:tc>
        <w:tc>
          <w:tcPr>
            <w:tcW w:w="3677" w:type="dxa"/>
            <w:tcBorders>
              <w:top w:val="single" w:sz="4" w:space="0" w:color="auto"/>
              <w:bottom w:val="single" w:sz="4" w:space="0" w:color="auto"/>
            </w:tcBorders>
            <w:vAlign w:val="center"/>
          </w:tcPr>
          <w:p w:rsidR="003B0135" w:rsidRPr="006302E3" w:rsidRDefault="003B0135" w:rsidP="00640296">
            <w:pPr>
              <w:pStyle w:val="afa"/>
              <w:rPr>
                <w:color w:val="000000" w:themeColor="text1"/>
                <w:u w:val="single"/>
              </w:rPr>
            </w:pPr>
            <w:r>
              <w:rPr>
                <w:rFonts w:hint="eastAsia"/>
                <w:color w:val="000000" w:themeColor="text1"/>
                <w:u w:val="single"/>
              </w:rPr>
              <w:t>新乡众恒纸业有</w:t>
            </w:r>
            <w:r w:rsidRPr="005929C6">
              <w:rPr>
                <w:rFonts w:hint="eastAsia"/>
                <w:color w:val="000000" w:themeColor="text1"/>
                <w:u w:val="single"/>
              </w:rPr>
              <w:t>限公司</w:t>
            </w:r>
          </w:p>
        </w:tc>
        <w:tc>
          <w:tcPr>
            <w:tcW w:w="1399" w:type="dxa"/>
            <w:vAlign w:val="center"/>
          </w:tcPr>
          <w:p w:rsidR="003B0135" w:rsidRPr="005929C6" w:rsidRDefault="003B0135" w:rsidP="00640296">
            <w:pPr>
              <w:pStyle w:val="afa"/>
              <w:rPr>
                <w:u w:val="single"/>
              </w:rPr>
            </w:pPr>
            <w:r>
              <w:rPr>
                <w:u w:val="single"/>
              </w:rPr>
              <w:t>0.9965</w:t>
            </w:r>
          </w:p>
        </w:tc>
        <w:tc>
          <w:tcPr>
            <w:tcW w:w="1402" w:type="dxa"/>
            <w:tcBorders>
              <w:right w:val="single" w:sz="4" w:space="0" w:color="auto"/>
            </w:tcBorders>
            <w:vAlign w:val="center"/>
          </w:tcPr>
          <w:p w:rsidR="003B0135" w:rsidRDefault="003B0135" w:rsidP="00640296">
            <w:pPr>
              <w:pStyle w:val="afa"/>
              <w:rPr>
                <w:u w:val="single"/>
              </w:rPr>
            </w:pPr>
            <w:r>
              <w:rPr>
                <w:u w:val="single"/>
              </w:rPr>
              <w:t>1.19</w:t>
            </w:r>
          </w:p>
        </w:tc>
        <w:tc>
          <w:tcPr>
            <w:tcW w:w="1403" w:type="dxa"/>
            <w:tcBorders>
              <w:left w:val="single" w:sz="4" w:space="0" w:color="auto"/>
            </w:tcBorders>
            <w:vAlign w:val="center"/>
          </w:tcPr>
          <w:p w:rsidR="003B0135" w:rsidRDefault="003B0135" w:rsidP="00640296">
            <w:pPr>
              <w:pStyle w:val="afa"/>
              <w:rPr>
                <w:u w:val="single"/>
              </w:rPr>
            </w:pPr>
            <w:r>
              <w:rPr>
                <w:rFonts w:hint="eastAsia"/>
                <w:u w:val="single"/>
              </w:rPr>
              <w:t>/</w:t>
            </w:r>
          </w:p>
        </w:tc>
      </w:tr>
      <w:tr w:rsidR="003B0135">
        <w:tc>
          <w:tcPr>
            <w:tcW w:w="1251" w:type="dxa"/>
            <w:tcBorders>
              <w:top w:val="single" w:sz="4" w:space="0" w:color="auto"/>
              <w:bottom w:val="single" w:sz="4" w:space="0" w:color="auto"/>
            </w:tcBorders>
            <w:vAlign w:val="center"/>
          </w:tcPr>
          <w:p w:rsidR="003B0135" w:rsidRDefault="003B0135">
            <w:pPr>
              <w:pStyle w:val="afa"/>
              <w:rPr>
                <w:u w:val="single"/>
              </w:rPr>
            </w:pPr>
            <w:r>
              <w:rPr>
                <w:rFonts w:hint="eastAsia"/>
                <w:u w:val="single"/>
              </w:rPr>
              <w:t>21</w:t>
            </w:r>
          </w:p>
        </w:tc>
        <w:tc>
          <w:tcPr>
            <w:tcW w:w="3677" w:type="dxa"/>
            <w:tcBorders>
              <w:top w:val="single" w:sz="4" w:space="0" w:color="auto"/>
              <w:bottom w:val="single" w:sz="4" w:space="0" w:color="auto"/>
            </w:tcBorders>
            <w:vAlign w:val="center"/>
          </w:tcPr>
          <w:p w:rsidR="003B0135" w:rsidRPr="006302E3" w:rsidRDefault="003B0135" w:rsidP="00640296">
            <w:pPr>
              <w:pStyle w:val="afa"/>
              <w:rPr>
                <w:color w:val="000000" w:themeColor="text1"/>
                <w:u w:val="single"/>
              </w:rPr>
            </w:pPr>
            <w:r w:rsidRPr="005929C6">
              <w:rPr>
                <w:rFonts w:hint="eastAsia"/>
                <w:color w:val="000000" w:themeColor="text1"/>
                <w:u w:val="single"/>
              </w:rPr>
              <w:t>河南科之杰新材料有限公司</w:t>
            </w:r>
          </w:p>
        </w:tc>
        <w:tc>
          <w:tcPr>
            <w:tcW w:w="1399" w:type="dxa"/>
            <w:vAlign w:val="center"/>
          </w:tcPr>
          <w:p w:rsidR="003B0135" w:rsidRPr="005929C6" w:rsidRDefault="003B0135" w:rsidP="00640296">
            <w:pPr>
              <w:pStyle w:val="afa"/>
              <w:rPr>
                <w:u w:val="single"/>
              </w:rPr>
            </w:pPr>
            <w:r>
              <w:rPr>
                <w:rFonts w:hint="eastAsia"/>
                <w:u w:val="single"/>
              </w:rPr>
              <w:t>0.3432</w:t>
            </w:r>
          </w:p>
        </w:tc>
        <w:tc>
          <w:tcPr>
            <w:tcW w:w="1402" w:type="dxa"/>
            <w:tcBorders>
              <w:right w:val="single" w:sz="4" w:space="0" w:color="auto"/>
            </w:tcBorders>
            <w:vAlign w:val="center"/>
          </w:tcPr>
          <w:p w:rsidR="003B0135" w:rsidRDefault="003B0135" w:rsidP="00640296">
            <w:pPr>
              <w:pStyle w:val="afa"/>
              <w:rPr>
                <w:u w:val="single"/>
              </w:rPr>
            </w:pPr>
            <w:r>
              <w:rPr>
                <w:rFonts w:hint="eastAsia"/>
                <w:u w:val="single"/>
              </w:rPr>
              <w:t>1.14</w:t>
            </w:r>
          </w:p>
        </w:tc>
        <w:tc>
          <w:tcPr>
            <w:tcW w:w="1403" w:type="dxa"/>
            <w:tcBorders>
              <w:left w:val="single" w:sz="4" w:space="0" w:color="auto"/>
            </w:tcBorders>
            <w:vAlign w:val="center"/>
          </w:tcPr>
          <w:p w:rsidR="003B0135" w:rsidRDefault="003B0135" w:rsidP="00640296">
            <w:pPr>
              <w:pStyle w:val="afa"/>
              <w:rPr>
                <w:u w:val="single"/>
              </w:rPr>
            </w:pPr>
            <w:r>
              <w:rPr>
                <w:rFonts w:hint="eastAsia"/>
                <w:u w:val="single"/>
              </w:rPr>
              <w:t>/</w:t>
            </w:r>
          </w:p>
        </w:tc>
      </w:tr>
      <w:tr w:rsidR="003B0135">
        <w:tc>
          <w:tcPr>
            <w:tcW w:w="1251" w:type="dxa"/>
            <w:tcBorders>
              <w:top w:val="single" w:sz="4" w:space="0" w:color="auto"/>
              <w:bottom w:val="single" w:sz="4" w:space="0" w:color="auto"/>
            </w:tcBorders>
            <w:vAlign w:val="center"/>
          </w:tcPr>
          <w:p w:rsidR="003B0135" w:rsidRDefault="003B0135">
            <w:pPr>
              <w:pStyle w:val="afa"/>
              <w:rPr>
                <w:u w:val="single"/>
              </w:rPr>
            </w:pPr>
            <w:r>
              <w:rPr>
                <w:rFonts w:hint="eastAsia"/>
                <w:u w:val="single"/>
              </w:rPr>
              <w:t>22</w:t>
            </w:r>
          </w:p>
        </w:tc>
        <w:tc>
          <w:tcPr>
            <w:tcW w:w="3677" w:type="dxa"/>
            <w:tcBorders>
              <w:top w:val="single" w:sz="4" w:space="0" w:color="auto"/>
              <w:bottom w:val="single" w:sz="4" w:space="0" w:color="auto"/>
            </w:tcBorders>
            <w:vAlign w:val="center"/>
          </w:tcPr>
          <w:p w:rsidR="003B0135" w:rsidRPr="006302E3" w:rsidRDefault="003B0135" w:rsidP="00640296">
            <w:pPr>
              <w:pStyle w:val="afa"/>
              <w:rPr>
                <w:color w:val="000000" w:themeColor="text1"/>
                <w:u w:val="single"/>
              </w:rPr>
            </w:pPr>
            <w:r w:rsidRPr="005929C6">
              <w:rPr>
                <w:rFonts w:hint="eastAsia"/>
                <w:color w:val="000000" w:themeColor="text1"/>
                <w:u w:val="single"/>
              </w:rPr>
              <w:t>新乡市洁神净化有限公司</w:t>
            </w:r>
          </w:p>
        </w:tc>
        <w:tc>
          <w:tcPr>
            <w:tcW w:w="1399" w:type="dxa"/>
            <w:vAlign w:val="center"/>
          </w:tcPr>
          <w:p w:rsidR="003B0135" w:rsidRDefault="003B0135" w:rsidP="00640296">
            <w:pPr>
              <w:pStyle w:val="afa"/>
              <w:rPr>
                <w:u w:val="single"/>
              </w:rPr>
            </w:pPr>
            <w:r>
              <w:rPr>
                <w:rFonts w:hint="eastAsia"/>
                <w:u w:val="single"/>
              </w:rPr>
              <w:t>0.654</w:t>
            </w:r>
          </w:p>
        </w:tc>
        <w:tc>
          <w:tcPr>
            <w:tcW w:w="1402" w:type="dxa"/>
            <w:tcBorders>
              <w:right w:val="single" w:sz="4" w:space="0" w:color="auto"/>
            </w:tcBorders>
            <w:vAlign w:val="center"/>
          </w:tcPr>
          <w:p w:rsidR="003B0135" w:rsidRDefault="003B0135" w:rsidP="00640296">
            <w:pPr>
              <w:pStyle w:val="afa"/>
              <w:rPr>
                <w:u w:val="single"/>
              </w:rPr>
            </w:pPr>
            <w:r>
              <w:rPr>
                <w:rFonts w:hint="eastAsia"/>
                <w:u w:val="single"/>
              </w:rPr>
              <w:t>0.026</w:t>
            </w:r>
          </w:p>
        </w:tc>
        <w:tc>
          <w:tcPr>
            <w:tcW w:w="1403" w:type="dxa"/>
            <w:tcBorders>
              <w:left w:val="single" w:sz="4" w:space="0" w:color="auto"/>
            </w:tcBorders>
            <w:vAlign w:val="center"/>
          </w:tcPr>
          <w:p w:rsidR="003B0135" w:rsidRDefault="003B0135" w:rsidP="00640296">
            <w:pPr>
              <w:pStyle w:val="afa"/>
              <w:rPr>
                <w:u w:val="single"/>
              </w:rPr>
            </w:pPr>
            <w:r>
              <w:rPr>
                <w:rFonts w:hint="eastAsia"/>
                <w:u w:val="single"/>
              </w:rPr>
              <w:t>0.0006</w:t>
            </w:r>
          </w:p>
        </w:tc>
      </w:tr>
      <w:tr w:rsidR="003B0135">
        <w:tc>
          <w:tcPr>
            <w:tcW w:w="1251" w:type="dxa"/>
            <w:tcBorders>
              <w:top w:val="single" w:sz="4" w:space="0" w:color="auto"/>
              <w:bottom w:val="single" w:sz="4" w:space="0" w:color="auto"/>
            </w:tcBorders>
            <w:vAlign w:val="center"/>
          </w:tcPr>
          <w:p w:rsidR="003B0135" w:rsidRDefault="003B0135">
            <w:pPr>
              <w:pStyle w:val="afa"/>
              <w:rPr>
                <w:u w:val="single"/>
              </w:rPr>
            </w:pPr>
            <w:r>
              <w:rPr>
                <w:rFonts w:hint="eastAsia"/>
                <w:u w:val="single"/>
              </w:rPr>
              <w:lastRenderedPageBreak/>
              <w:t>23</w:t>
            </w:r>
          </w:p>
        </w:tc>
        <w:tc>
          <w:tcPr>
            <w:tcW w:w="3677" w:type="dxa"/>
            <w:tcBorders>
              <w:top w:val="single" w:sz="4" w:space="0" w:color="auto"/>
              <w:bottom w:val="single" w:sz="4" w:space="0" w:color="auto"/>
            </w:tcBorders>
            <w:vAlign w:val="center"/>
          </w:tcPr>
          <w:p w:rsidR="003B0135" w:rsidRPr="006302E3" w:rsidRDefault="003B0135" w:rsidP="00640296">
            <w:pPr>
              <w:pStyle w:val="afa"/>
              <w:rPr>
                <w:color w:val="000000" w:themeColor="text1"/>
                <w:u w:val="single"/>
              </w:rPr>
            </w:pPr>
            <w:r w:rsidRPr="005929C6">
              <w:rPr>
                <w:rFonts w:hint="eastAsia"/>
                <w:color w:val="000000" w:themeColor="text1"/>
                <w:u w:val="single"/>
              </w:rPr>
              <w:t>新乡市博科精细化工有限公司</w:t>
            </w:r>
          </w:p>
        </w:tc>
        <w:tc>
          <w:tcPr>
            <w:tcW w:w="1399" w:type="dxa"/>
            <w:vAlign w:val="center"/>
          </w:tcPr>
          <w:p w:rsidR="003B0135" w:rsidRPr="005929C6" w:rsidRDefault="003B0135" w:rsidP="00640296">
            <w:pPr>
              <w:pStyle w:val="afa"/>
              <w:rPr>
                <w:u w:val="single"/>
              </w:rPr>
            </w:pPr>
            <w:r>
              <w:rPr>
                <w:rFonts w:hint="eastAsia"/>
                <w:u w:val="single"/>
              </w:rPr>
              <w:t>0.195</w:t>
            </w:r>
          </w:p>
        </w:tc>
        <w:tc>
          <w:tcPr>
            <w:tcW w:w="1402" w:type="dxa"/>
            <w:tcBorders>
              <w:right w:val="single" w:sz="4" w:space="0" w:color="auto"/>
            </w:tcBorders>
            <w:vAlign w:val="center"/>
          </w:tcPr>
          <w:p w:rsidR="003B0135" w:rsidRDefault="003B0135" w:rsidP="00640296">
            <w:pPr>
              <w:pStyle w:val="afa"/>
              <w:rPr>
                <w:u w:val="single"/>
              </w:rPr>
            </w:pPr>
            <w:r>
              <w:rPr>
                <w:rFonts w:hint="eastAsia"/>
                <w:u w:val="single"/>
              </w:rPr>
              <w:t>0.113</w:t>
            </w:r>
          </w:p>
        </w:tc>
        <w:tc>
          <w:tcPr>
            <w:tcW w:w="1403" w:type="dxa"/>
            <w:tcBorders>
              <w:left w:val="single" w:sz="4" w:space="0" w:color="auto"/>
            </w:tcBorders>
            <w:vAlign w:val="center"/>
          </w:tcPr>
          <w:p w:rsidR="003B0135" w:rsidRDefault="003B0135" w:rsidP="00640296">
            <w:pPr>
              <w:pStyle w:val="afa"/>
              <w:rPr>
                <w:u w:val="single"/>
              </w:rPr>
            </w:pPr>
            <w:r>
              <w:rPr>
                <w:rFonts w:hint="eastAsia"/>
                <w:u w:val="single"/>
              </w:rPr>
              <w:t>0.009</w:t>
            </w:r>
          </w:p>
        </w:tc>
      </w:tr>
      <w:tr w:rsidR="003B0135">
        <w:tc>
          <w:tcPr>
            <w:tcW w:w="1251" w:type="dxa"/>
            <w:tcBorders>
              <w:top w:val="single" w:sz="4" w:space="0" w:color="auto"/>
              <w:bottom w:val="single" w:sz="4" w:space="0" w:color="auto"/>
            </w:tcBorders>
            <w:vAlign w:val="center"/>
          </w:tcPr>
          <w:p w:rsidR="003B0135" w:rsidRDefault="003B0135">
            <w:pPr>
              <w:pStyle w:val="afa"/>
              <w:rPr>
                <w:u w:val="single"/>
              </w:rPr>
            </w:pPr>
            <w:r>
              <w:rPr>
                <w:rFonts w:hint="eastAsia"/>
                <w:u w:val="single"/>
              </w:rPr>
              <w:t>24</w:t>
            </w:r>
          </w:p>
        </w:tc>
        <w:tc>
          <w:tcPr>
            <w:tcW w:w="3677" w:type="dxa"/>
            <w:tcBorders>
              <w:top w:val="single" w:sz="4" w:space="0" w:color="auto"/>
              <w:bottom w:val="single" w:sz="4" w:space="0" w:color="auto"/>
            </w:tcBorders>
            <w:vAlign w:val="center"/>
          </w:tcPr>
          <w:p w:rsidR="003B0135" w:rsidRPr="005929C6" w:rsidRDefault="003B0135" w:rsidP="00640296">
            <w:pPr>
              <w:pStyle w:val="afa"/>
              <w:rPr>
                <w:color w:val="000000" w:themeColor="text1"/>
                <w:u w:val="single"/>
              </w:rPr>
            </w:pPr>
            <w:r w:rsidRPr="005929C6">
              <w:rPr>
                <w:rFonts w:hint="eastAsia"/>
                <w:color w:val="000000" w:themeColor="text1"/>
                <w:u w:val="single"/>
              </w:rPr>
              <w:t>新乡市九金化工有限公司</w:t>
            </w:r>
          </w:p>
        </w:tc>
        <w:tc>
          <w:tcPr>
            <w:tcW w:w="1399" w:type="dxa"/>
            <w:vAlign w:val="center"/>
          </w:tcPr>
          <w:p w:rsidR="003B0135" w:rsidRDefault="003B0135" w:rsidP="00640296">
            <w:pPr>
              <w:pStyle w:val="afa"/>
              <w:rPr>
                <w:u w:val="single"/>
              </w:rPr>
            </w:pPr>
            <w:r>
              <w:rPr>
                <w:rFonts w:hint="eastAsia"/>
                <w:u w:val="single"/>
              </w:rPr>
              <w:t>0.21664</w:t>
            </w:r>
          </w:p>
        </w:tc>
        <w:tc>
          <w:tcPr>
            <w:tcW w:w="1402" w:type="dxa"/>
            <w:tcBorders>
              <w:right w:val="single" w:sz="4" w:space="0" w:color="auto"/>
            </w:tcBorders>
            <w:vAlign w:val="center"/>
          </w:tcPr>
          <w:p w:rsidR="003B0135" w:rsidRDefault="003B0135" w:rsidP="00640296">
            <w:pPr>
              <w:pStyle w:val="afa"/>
              <w:rPr>
                <w:u w:val="single"/>
              </w:rPr>
            </w:pPr>
            <w:r>
              <w:rPr>
                <w:rFonts w:hint="eastAsia"/>
                <w:u w:val="single"/>
              </w:rPr>
              <w:t>0.12</w:t>
            </w:r>
          </w:p>
        </w:tc>
        <w:tc>
          <w:tcPr>
            <w:tcW w:w="1403" w:type="dxa"/>
            <w:tcBorders>
              <w:left w:val="single" w:sz="4" w:space="0" w:color="auto"/>
            </w:tcBorders>
            <w:vAlign w:val="center"/>
          </w:tcPr>
          <w:p w:rsidR="003B0135" w:rsidRDefault="003B0135" w:rsidP="00640296">
            <w:pPr>
              <w:pStyle w:val="afa"/>
              <w:rPr>
                <w:u w:val="single"/>
              </w:rPr>
            </w:pPr>
            <w:r>
              <w:rPr>
                <w:rFonts w:hint="eastAsia"/>
                <w:u w:val="single"/>
              </w:rPr>
              <w:t>0.001</w:t>
            </w:r>
          </w:p>
        </w:tc>
      </w:tr>
      <w:tr w:rsidR="003B0135">
        <w:tc>
          <w:tcPr>
            <w:tcW w:w="1251" w:type="dxa"/>
            <w:tcBorders>
              <w:top w:val="single" w:sz="4" w:space="0" w:color="auto"/>
              <w:bottom w:val="single" w:sz="4" w:space="0" w:color="auto"/>
            </w:tcBorders>
            <w:vAlign w:val="center"/>
          </w:tcPr>
          <w:p w:rsidR="003B0135" w:rsidRDefault="003B0135">
            <w:pPr>
              <w:pStyle w:val="afa"/>
              <w:rPr>
                <w:u w:val="single"/>
              </w:rPr>
            </w:pPr>
            <w:r>
              <w:rPr>
                <w:rFonts w:hint="eastAsia"/>
                <w:u w:val="single"/>
              </w:rPr>
              <w:t>25</w:t>
            </w:r>
          </w:p>
        </w:tc>
        <w:tc>
          <w:tcPr>
            <w:tcW w:w="3677" w:type="dxa"/>
            <w:tcBorders>
              <w:top w:val="single" w:sz="4" w:space="0" w:color="auto"/>
              <w:bottom w:val="single" w:sz="4" w:space="0" w:color="auto"/>
            </w:tcBorders>
            <w:vAlign w:val="center"/>
          </w:tcPr>
          <w:p w:rsidR="003B0135" w:rsidRPr="005929C6" w:rsidRDefault="003B0135" w:rsidP="00640296">
            <w:pPr>
              <w:pStyle w:val="afa"/>
              <w:rPr>
                <w:color w:val="000000" w:themeColor="text1"/>
                <w:u w:val="single"/>
              </w:rPr>
            </w:pPr>
            <w:r w:rsidRPr="003B0135">
              <w:rPr>
                <w:rFonts w:hint="eastAsia"/>
                <w:color w:val="000000" w:themeColor="text1"/>
                <w:u w:val="single"/>
              </w:rPr>
              <w:t>新乡市华幸生物科技有限公司</w:t>
            </w:r>
          </w:p>
        </w:tc>
        <w:tc>
          <w:tcPr>
            <w:tcW w:w="1399" w:type="dxa"/>
            <w:vAlign w:val="center"/>
          </w:tcPr>
          <w:p w:rsidR="003B0135" w:rsidRPr="003B0135" w:rsidRDefault="003B0135" w:rsidP="00640296">
            <w:pPr>
              <w:pStyle w:val="afa"/>
              <w:rPr>
                <w:u w:val="single"/>
              </w:rPr>
            </w:pPr>
            <w:r>
              <w:rPr>
                <w:rFonts w:hint="eastAsia"/>
                <w:u w:val="single"/>
              </w:rPr>
              <w:t>1.512</w:t>
            </w:r>
          </w:p>
        </w:tc>
        <w:tc>
          <w:tcPr>
            <w:tcW w:w="1402" w:type="dxa"/>
            <w:tcBorders>
              <w:right w:val="single" w:sz="4" w:space="0" w:color="auto"/>
            </w:tcBorders>
            <w:vAlign w:val="center"/>
          </w:tcPr>
          <w:p w:rsidR="003B0135" w:rsidRDefault="003B0135" w:rsidP="00640296">
            <w:pPr>
              <w:pStyle w:val="afa"/>
              <w:rPr>
                <w:u w:val="single"/>
              </w:rPr>
            </w:pPr>
            <w:r>
              <w:rPr>
                <w:rFonts w:hint="eastAsia"/>
                <w:u w:val="single"/>
              </w:rPr>
              <w:t>0.0027</w:t>
            </w:r>
          </w:p>
        </w:tc>
        <w:tc>
          <w:tcPr>
            <w:tcW w:w="1403" w:type="dxa"/>
            <w:tcBorders>
              <w:left w:val="single" w:sz="4" w:space="0" w:color="auto"/>
            </w:tcBorders>
            <w:vAlign w:val="center"/>
          </w:tcPr>
          <w:p w:rsidR="003B0135" w:rsidRDefault="003B0135" w:rsidP="00640296">
            <w:pPr>
              <w:pStyle w:val="afa"/>
              <w:rPr>
                <w:u w:val="single"/>
              </w:rPr>
            </w:pPr>
            <w:r>
              <w:rPr>
                <w:rFonts w:hint="eastAsia"/>
                <w:u w:val="single"/>
              </w:rPr>
              <w:t>0.0003</w:t>
            </w:r>
          </w:p>
        </w:tc>
      </w:tr>
      <w:tr w:rsidR="003B0135">
        <w:tc>
          <w:tcPr>
            <w:tcW w:w="1251" w:type="dxa"/>
            <w:tcBorders>
              <w:top w:val="single" w:sz="4" w:space="0" w:color="auto"/>
              <w:bottom w:val="single" w:sz="4" w:space="0" w:color="auto"/>
            </w:tcBorders>
            <w:vAlign w:val="center"/>
          </w:tcPr>
          <w:p w:rsidR="003B0135" w:rsidRDefault="003B0135">
            <w:pPr>
              <w:pStyle w:val="afa"/>
              <w:rPr>
                <w:u w:val="single"/>
              </w:rPr>
            </w:pPr>
            <w:r>
              <w:rPr>
                <w:rFonts w:hint="eastAsia"/>
                <w:u w:val="single"/>
              </w:rPr>
              <w:t>26</w:t>
            </w:r>
          </w:p>
        </w:tc>
        <w:tc>
          <w:tcPr>
            <w:tcW w:w="3677" w:type="dxa"/>
            <w:tcBorders>
              <w:top w:val="single" w:sz="4" w:space="0" w:color="auto"/>
              <w:bottom w:val="single" w:sz="4" w:space="0" w:color="auto"/>
            </w:tcBorders>
            <w:vAlign w:val="center"/>
          </w:tcPr>
          <w:p w:rsidR="003B0135" w:rsidRPr="003B0135" w:rsidRDefault="003B0135" w:rsidP="00640296">
            <w:pPr>
              <w:pStyle w:val="afa"/>
              <w:rPr>
                <w:color w:val="000000" w:themeColor="text1"/>
                <w:u w:val="single"/>
              </w:rPr>
            </w:pPr>
            <w:r w:rsidRPr="003B0135">
              <w:rPr>
                <w:rFonts w:hint="eastAsia"/>
                <w:color w:val="000000" w:themeColor="text1"/>
                <w:u w:val="single"/>
              </w:rPr>
              <w:t>新乡市众和化工有限公司</w:t>
            </w:r>
          </w:p>
        </w:tc>
        <w:tc>
          <w:tcPr>
            <w:tcW w:w="1399" w:type="dxa"/>
            <w:vAlign w:val="center"/>
          </w:tcPr>
          <w:p w:rsidR="003B0135" w:rsidRDefault="003B0135" w:rsidP="00640296">
            <w:pPr>
              <w:pStyle w:val="afa"/>
              <w:rPr>
                <w:u w:val="single"/>
              </w:rPr>
            </w:pPr>
            <w:r>
              <w:rPr>
                <w:rFonts w:hint="eastAsia"/>
                <w:u w:val="single"/>
              </w:rPr>
              <w:t>2.18</w:t>
            </w:r>
          </w:p>
        </w:tc>
        <w:tc>
          <w:tcPr>
            <w:tcW w:w="1402" w:type="dxa"/>
            <w:tcBorders>
              <w:right w:val="single" w:sz="4" w:space="0" w:color="auto"/>
            </w:tcBorders>
            <w:vAlign w:val="center"/>
          </w:tcPr>
          <w:p w:rsidR="003B0135" w:rsidRDefault="003B0135" w:rsidP="00640296">
            <w:pPr>
              <w:pStyle w:val="afa"/>
              <w:rPr>
                <w:u w:val="single"/>
              </w:rPr>
            </w:pPr>
            <w:r>
              <w:rPr>
                <w:rFonts w:hint="eastAsia"/>
                <w:u w:val="single"/>
              </w:rPr>
              <w:t>1.09</w:t>
            </w:r>
          </w:p>
        </w:tc>
        <w:tc>
          <w:tcPr>
            <w:tcW w:w="1403" w:type="dxa"/>
            <w:tcBorders>
              <w:left w:val="single" w:sz="4" w:space="0" w:color="auto"/>
            </w:tcBorders>
            <w:vAlign w:val="center"/>
          </w:tcPr>
          <w:p w:rsidR="003B0135" w:rsidRDefault="003B0135" w:rsidP="00640296">
            <w:pPr>
              <w:pStyle w:val="afa"/>
              <w:rPr>
                <w:u w:val="single"/>
              </w:rPr>
            </w:pPr>
            <w:r>
              <w:rPr>
                <w:rFonts w:hint="eastAsia"/>
                <w:u w:val="single"/>
              </w:rPr>
              <w:t>0.109</w:t>
            </w:r>
          </w:p>
        </w:tc>
      </w:tr>
      <w:tr w:rsidR="003B0135">
        <w:tc>
          <w:tcPr>
            <w:tcW w:w="1251" w:type="dxa"/>
            <w:tcBorders>
              <w:top w:val="single" w:sz="4" w:space="0" w:color="auto"/>
              <w:bottom w:val="single" w:sz="4" w:space="0" w:color="auto"/>
            </w:tcBorders>
            <w:vAlign w:val="center"/>
          </w:tcPr>
          <w:p w:rsidR="003B0135" w:rsidRDefault="003B0135">
            <w:pPr>
              <w:pStyle w:val="afa"/>
              <w:rPr>
                <w:u w:val="single"/>
              </w:rPr>
            </w:pPr>
            <w:r>
              <w:rPr>
                <w:rFonts w:hint="eastAsia"/>
                <w:u w:val="single"/>
              </w:rPr>
              <w:t>27</w:t>
            </w:r>
          </w:p>
        </w:tc>
        <w:tc>
          <w:tcPr>
            <w:tcW w:w="3677" w:type="dxa"/>
            <w:tcBorders>
              <w:top w:val="single" w:sz="4" w:space="0" w:color="auto"/>
              <w:bottom w:val="single" w:sz="4" w:space="0" w:color="auto"/>
            </w:tcBorders>
            <w:vAlign w:val="center"/>
          </w:tcPr>
          <w:p w:rsidR="003B0135" w:rsidRPr="003B0135" w:rsidRDefault="003B0135" w:rsidP="00640296">
            <w:pPr>
              <w:pStyle w:val="afa"/>
              <w:rPr>
                <w:color w:val="000000" w:themeColor="text1"/>
                <w:u w:val="single"/>
              </w:rPr>
            </w:pPr>
            <w:r w:rsidRPr="003B0135">
              <w:rPr>
                <w:rFonts w:hint="eastAsia"/>
                <w:color w:val="000000" w:themeColor="text1"/>
                <w:u w:val="single"/>
              </w:rPr>
              <w:t>新乡市京华净水材料有限公司</w:t>
            </w:r>
          </w:p>
        </w:tc>
        <w:tc>
          <w:tcPr>
            <w:tcW w:w="1399" w:type="dxa"/>
            <w:vAlign w:val="center"/>
          </w:tcPr>
          <w:p w:rsidR="003B0135" w:rsidRDefault="003B0135" w:rsidP="00640296">
            <w:pPr>
              <w:pStyle w:val="afa"/>
              <w:rPr>
                <w:u w:val="single"/>
              </w:rPr>
            </w:pPr>
            <w:r>
              <w:rPr>
                <w:rFonts w:hint="eastAsia"/>
                <w:u w:val="single"/>
              </w:rPr>
              <w:t>0.3488</w:t>
            </w:r>
          </w:p>
        </w:tc>
        <w:tc>
          <w:tcPr>
            <w:tcW w:w="1402" w:type="dxa"/>
            <w:tcBorders>
              <w:right w:val="single" w:sz="4" w:space="0" w:color="auto"/>
            </w:tcBorders>
            <w:vAlign w:val="center"/>
          </w:tcPr>
          <w:p w:rsidR="003B0135" w:rsidRDefault="003B0135" w:rsidP="00640296">
            <w:pPr>
              <w:pStyle w:val="afa"/>
              <w:rPr>
                <w:u w:val="single"/>
              </w:rPr>
            </w:pPr>
            <w:r>
              <w:rPr>
                <w:rFonts w:hint="eastAsia"/>
                <w:u w:val="single"/>
              </w:rPr>
              <w:t>0.0544</w:t>
            </w:r>
          </w:p>
        </w:tc>
        <w:tc>
          <w:tcPr>
            <w:tcW w:w="1403" w:type="dxa"/>
            <w:tcBorders>
              <w:left w:val="single" w:sz="4" w:space="0" w:color="auto"/>
            </w:tcBorders>
            <w:vAlign w:val="center"/>
          </w:tcPr>
          <w:p w:rsidR="003B0135" w:rsidRDefault="003B0135" w:rsidP="00640296">
            <w:pPr>
              <w:pStyle w:val="afa"/>
              <w:rPr>
                <w:u w:val="single"/>
              </w:rPr>
            </w:pPr>
            <w:r>
              <w:rPr>
                <w:rFonts w:hint="eastAsia"/>
                <w:u w:val="single"/>
              </w:rPr>
              <w:t>0.0001</w:t>
            </w:r>
          </w:p>
        </w:tc>
      </w:tr>
      <w:tr w:rsidR="003B0135">
        <w:tc>
          <w:tcPr>
            <w:tcW w:w="1251" w:type="dxa"/>
            <w:tcBorders>
              <w:top w:val="single" w:sz="4" w:space="0" w:color="auto"/>
              <w:bottom w:val="single" w:sz="4" w:space="0" w:color="auto"/>
            </w:tcBorders>
            <w:vAlign w:val="center"/>
          </w:tcPr>
          <w:p w:rsidR="003B0135" w:rsidRDefault="003B0135">
            <w:pPr>
              <w:pStyle w:val="afa"/>
              <w:rPr>
                <w:u w:val="single"/>
              </w:rPr>
            </w:pPr>
            <w:r>
              <w:rPr>
                <w:rFonts w:hint="eastAsia"/>
                <w:u w:val="single"/>
              </w:rPr>
              <w:t>28</w:t>
            </w:r>
          </w:p>
        </w:tc>
        <w:tc>
          <w:tcPr>
            <w:tcW w:w="3677" w:type="dxa"/>
            <w:tcBorders>
              <w:top w:val="single" w:sz="4" w:space="0" w:color="auto"/>
              <w:bottom w:val="single" w:sz="4" w:space="0" w:color="auto"/>
            </w:tcBorders>
            <w:vAlign w:val="center"/>
          </w:tcPr>
          <w:p w:rsidR="003B0135" w:rsidRPr="003B0135" w:rsidRDefault="003B0135" w:rsidP="00640296">
            <w:pPr>
              <w:pStyle w:val="afa"/>
              <w:rPr>
                <w:color w:val="000000" w:themeColor="text1"/>
                <w:u w:val="single"/>
              </w:rPr>
            </w:pPr>
            <w:r w:rsidRPr="003B0135">
              <w:rPr>
                <w:rFonts w:hint="eastAsia"/>
                <w:color w:val="000000" w:themeColor="text1"/>
                <w:u w:val="single"/>
              </w:rPr>
              <w:t>新乡市华丰净水材料有限公司</w:t>
            </w:r>
          </w:p>
        </w:tc>
        <w:tc>
          <w:tcPr>
            <w:tcW w:w="1399" w:type="dxa"/>
            <w:vAlign w:val="center"/>
          </w:tcPr>
          <w:p w:rsidR="003B0135" w:rsidRDefault="003B0135" w:rsidP="00640296">
            <w:pPr>
              <w:pStyle w:val="afa"/>
              <w:rPr>
                <w:u w:val="single"/>
              </w:rPr>
            </w:pPr>
            <w:r>
              <w:rPr>
                <w:rFonts w:hint="eastAsia"/>
                <w:u w:val="single"/>
              </w:rPr>
              <w:t>0.35</w:t>
            </w:r>
          </w:p>
        </w:tc>
        <w:tc>
          <w:tcPr>
            <w:tcW w:w="1402" w:type="dxa"/>
            <w:tcBorders>
              <w:right w:val="single" w:sz="4" w:space="0" w:color="auto"/>
            </w:tcBorders>
            <w:vAlign w:val="center"/>
          </w:tcPr>
          <w:p w:rsidR="003B0135" w:rsidRDefault="003B0135" w:rsidP="00640296">
            <w:pPr>
              <w:pStyle w:val="afa"/>
              <w:rPr>
                <w:u w:val="single"/>
              </w:rPr>
            </w:pPr>
            <w:r>
              <w:rPr>
                <w:rFonts w:hint="eastAsia"/>
                <w:u w:val="single"/>
              </w:rPr>
              <w:t>0.02157</w:t>
            </w:r>
          </w:p>
        </w:tc>
        <w:tc>
          <w:tcPr>
            <w:tcW w:w="1403" w:type="dxa"/>
            <w:tcBorders>
              <w:left w:val="single" w:sz="4" w:space="0" w:color="auto"/>
            </w:tcBorders>
            <w:vAlign w:val="center"/>
          </w:tcPr>
          <w:p w:rsidR="003B0135" w:rsidRDefault="003B0135" w:rsidP="00640296">
            <w:pPr>
              <w:pStyle w:val="afa"/>
              <w:rPr>
                <w:u w:val="single"/>
              </w:rPr>
            </w:pPr>
            <w:r>
              <w:rPr>
                <w:rFonts w:hint="eastAsia"/>
                <w:u w:val="single"/>
              </w:rPr>
              <w:t>0.0032</w:t>
            </w:r>
          </w:p>
        </w:tc>
      </w:tr>
      <w:tr w:rsidR="00971E69">
        <w:tc>
          <w:tcPr>
            <w:tcW w:w="1251" w:type="dxa"/>
            <w:tcBorders>
              <w:top w:val="single" w:sz="4" w:space="0" w:color="auto"/>
              <w:bottom w:val="single" w:sz="4" w:space="0" w:color="auto"/>
            </w:tcBorders>
            <w:vAlign w:val="center"/>
          </w:tcPr>
          <w:p w:rsidR="00971E69" w:rsidRDefault="00971E69">
            <w:pPr>
              <w:pStyle w:val="afa"/>
              <w:rPr>
                <w:u w:val="single"/>
              </w:rPr>
            </w:pPr>
            <w:r>
              <w:rPr>
                <w:rFonts w:hint="eastAsia"/>
                <w:u w:val="single"/>
              </w:rPr>
              <w:t>29</w:t>
            </w:r>
          </w:p>
        </w:tc>
        <w:tc>
          <w:tcPr>
            <w:tcW w:w="3677" w:type="dxa"/>
            <w:tcBorders>
              <w:top w:val="single" w:sz="4" w:space="0" w:color="auto"/>
              <w:bottom w:val="single" w:sz="4" w:space="0" w:color="auto"/>
            </w:tcBorders>
            <w:vAlign w:val="center"/>
          </w:tcPr>
          <w:p w:rsidR="00971E69" w:rsidRPr="003B0135" w:rsidRDefault="00971E69" w:rsidP="00640296">
            <w:pPr>
              <w:pStyle w:val="afa"/>
              <w:rPr>
                <w:color w:val="000000" w:themeColor="text1"/>
                <w:u w:val="single"/>
              </w:rPr>
            </w:pPr>
            <w:r w:rsidRPr="00971E69">
              <w:rPr>
                <w:rFonts w:hint="eastAsia"/>
                <w:color w:val="000000" w:themeColor="text1"/>
                <w:u w:val="single"/>
              </w:rPr>
              <w:t>新乡瑞诺药业有限公司</w:t>
            </w:r>
          </w:p>
        </w:tc>
        <w:tc>
          <w:tcPr>
            <w:tcW w:w="1399" w:type="dxa"/>
            <w:vAlign w:val="center"/>
          </w:tcPr>
          <w:p w:rsidR="00971E69" w:rsidRDefault="00971E69" w:rsidP="00640296">
            <w:pPr>
              <w:pStyle w:val="afa"/>
              <w:rPr>
                <w:u w:val="single"/>
              </w:rPr>
            </w:pPr>
            <w:r>
              <w:rPr>
                <w:rFonts w:hint="eastAsia"/>
                <w:u w:val="single"/>
              </w:rPr>
              <w:t>10.8073</w:t>
            </w:r>
          </w:p>
        </w:tc>
        <w:tc>
          <w:tcPr>
            <w:tcW w:w="1402" w:type="dxa"/>
            <w:tcBorders>
              <w:right w:val="single" w:sz="4" w:space="0" w:color="auto"/>
            </w:tcBorders>
            <w:vAlign w:val="center"/>
          </w:tcPr>
          <w:p w:rsidR="00971E69" w:rsidRDefault="00971E69" w:rsidP="00640296">
            <w:pPr>
              <w:pStyle w:val="afa"/>
              <w:rPr>
                <w:u w:val="single"/>
              </w:rPr>
            </w:pPr>
            <w:r>
              <w:rPr>
                <w:rFonts w:hint="eastAsia"/>
                <w:u w:val="single"/>
              </w:rPr>
              <w:t>4.3229</w:t>
            </w:r>
          </w:p>
        </w:tc>
        <w:tc>
          <w:tcPr>
            <w:tcW w:w="1403" w:type="dxa"/>
            <w:tcBorders>
              <w:left w:val="single" w:sz="4" w:space="0" w:color="auto"/>
            </w:tcBorders>
            <w:vAlign w:val="center"/>
          </w:tcPr>
          <w:p w:rsidR="00971E69" w:rsidRDefault="00971E69" w:rsidP="00640296">
            <w:pPr>
              <w:pStyle w:val="afa"/>
              <w:rPr>
                <w:u w:val="single"/>
              </w:rPr>
            </w:pPr>
            <w:r>
              <w:rPr>
                <w:rFonts w:hint="eastAsia"/>
                <w:u w:val="single"/>
              </w:rPr>
              <w:t>0.2161</w:t>
            </w:r>
          </w:p>
        </w:tc>
      </w:tr>
    </w:tbl>
    <w:p w:rsidR="00EE56C0" w:rsidRDefault="000F36A1">
      <w:pPr>
        <w:pStyle w:val="afd"/>
        <w:spacing w:before="120" w:after="120"/>
        <w:ind w:firstLine="482"/>
      </w:pPr>
      <w:r>
        <w:rPr>
          <w:rFonts w:hint="eastAsia"/>
        </w:rPr>
        <w:t>表</w:t>
      </w:r>
      <w:r>
        <w:rPr>
          <w:rFonts w:hint="eastAsia"/>
        </w:rPr>
        <w:t>4-3</w:t>
      </w:r>
      <w:r w:rsidR="00702FE4">
        <w:rPr>
          <w:rFonts w:hint="eastAsia"/>
        </w:rPr>
        <w:t>2</w:t>
      </w:r>
      <w:r>
        <w:rPr>
          <w:rFonts w:hint="eastAsia"/>
        </w:rPr>
        <w:t xml:space="preserve">        </w:t>
      </w:r>
      <w:r>
        <w:rPr>
          <w:rFonts w:hint="eastAsia"/>
        </w:rPr>
        <w:t>区域内主要工业废气污染源统计一览表</w:t>
      </w:r>
    </w:p>
    <w:tbl>
      <w:tblPr>
        <w:tblW w:w="91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85" w:type="dxa"/>
          <w:bottom w:w="85" w:type="dxa"/>
        </w:tblCellMar>
        <w:tblLook w:val="04A0"/>
      </w:tblPr>
      <w:tblGrid>
        <w:gridCol w:w="1236"/>
        <w:gridCol w:w="3750"/>
        <w:gridCol w:w="2073"/>
        <w:gridCol w:w="2074"/>
      </w:tblGrid>
      <w:tr w:rsidR="00EE56C0">
        <w:tc>
          <w:tcPr>
            <w:tcW w:w="1236" w:type="dxa"/>
            <w:tcBorders>
              <w:top w:val="single" w:sz="4" w:space="0" w:color="auto"/>
            </w:tcBorders>
            <w:vAlign w:val="center"/>
          </w:tcPr>
          <w:p w:rsidR="00EE56C0" w:rsidRDefault="000F36A1">
            <w:pPr>
              <w:pStyle w:val="aff1"/>
              <w:rPr>
                <w:color w:val="auto"/>
                <w:u w:val="single"/>
              </w:rPr>
            </w:pPr>
            <w:r>
              <w:rPr>
                <w:rFonts w:hint="eastAsia"/>
                <w:color w:val="auto"/>
                <w:u w:val="single"/>
              </w:rPr>
              <w:t>序号</w:t>
            </w:r>
          </w:p>
        </w:tc>
        <w:tc>
          <w:tcPr>
            <w:tcW w:w="3750" w:type="dxa"/>
            <w:tcBorders>
              <w:top w:val="single" w:sz="4" w:space="0" w:color="auto"/>
            </w:tcBorders>
            <w:vAlign w:val="center"/>
          </w:tcPr>
          <w:p w:rsidR="00EE56C0" w:rsidRDefault="000F36A1">
            <w:pPr>
              <w:pStyle w:val="aff1"/>
              <w:rPr>
                <w:color w:val="auto"/>
                <w:u w:val="single"/>
              </w:rPr>
            </w:pPr>
            <w:r>
              <w:rPr>
                <w:rFonts w:hint="eastAsia"/>
                <w:color w:val="auto"/>
                <w:u w:val="single"/>
              </w:rPr>
              <w:t>企业名称</w:t>
            </w:r>
          </w:p>
        </w:tc>
        <w:tc>
          <w:tcPr>
            <w:tcW w:w="2073" w:type="dxa"/>
            <w:tcBorders>
              <w:left w:val="single" w:sz="4" w:space="0" w:color="auto"/>
            </w:tcBorders>
            <w:vAlign w:val="center"/>
          </w:tcPr>
          <w:p w:rsidR="00EE56C0" w:rsidRDefault="000F36A1">
            <w:pPr>
              <w:pStyle w:val="aff1"/>
              <w:rPr>
                <w:color w:val="auto"/>
                <w:u w:val="single"/>
              </w:rPr>
            </w:pPr>
            <w:r>
              <w:rPr>
                <w:rFonts w:hint="eastAsia"/>
                <w:color w:val="auto"/>
                <w:u w:val="single"/>
              </w:rPr>
              <w:t>SO</w:t>
            </w:r>
            <w:r>
              <w:rPr>
                <w:rFonts w:hint="eastAsia"/>
                <w:color w:val="auto"/>
                <w:u w:val="single"/>
                <w:vertAlign w:val="subscript"/>
              </w:rPr>
              <w:t>2</w:t>
            </w:r>
            <w:r>
              <w:rPr>
                <w:rFonts w:hint="eastAsia"/>
                <w:color w:val="auto"/>
                <w:u w:val="single"/>
              </w:rPr>
              <w:t>（</w:t>
            </w:r>
            <w:r>
              <w:rPr>
                <w:rFonts w:hint="eastAsia"/>
                <w:color w:val="auto"/>
                <w:u w:val="single"/>
              </w:rPr>
              <w:t>t/a</w:t>
            </w:r>
            <w:r>
              <w:rPr>
                <w:rFonts w:hint="eastAsia"/>
                <w:color w:val="auto"/>
                <w:u w:val="single"/>
              </w:rPr>
              <w:t>）</w:t>
            </w:r>
          </w:p>
        </w:tc>
        <w:tc>
          <w:tcPr>
            <w:tcW w:w="2074" w:type="dxa"/>
            <w:tcBorders>
              <w:left w:val="single" w:sz="4" w:space="0" w:color="auto"/>
            </w:tcBorders>
            <w:vAlign w:val="center"/>
          </w:tcPr>
          <w:p w:rsidR="00EE56C0" w:rsidRDefault="000F36A1">
            <w:pPr>
              <w:pStyle w:val="aff1"/>
              <w:rPr>
                <w:color w:val="auto"/>
                <w:u w:val="single"/>
              </w:rPr>
            </w:pPr>
            <w:r>
              <w:rPr>
                <w:rFonts w:hint="eastAsia"/>
                <w:color w:val="auto"/>
                <w:u w:val="single"/>
              </w:rPr>
              <w:t>NO</w:t>
            </w:r>
            <w:r>
              <w:rPr>
                <w:rFonts w:hint="eastAsia"/>
                <w:color w:val="auto"/>
                <w:u w:val="single"/>
                <w:vertAlign w:val="subscript"/>
              </w:rPr>
              <w:t>x</w:t>
            </w:r>
            <w:r>
              <w:rPr>
                <w:rFonts w:hint="eastAsia"/>
                <w:color w:val="auto"/>
                <w:u w:val="single"/>
              </w:rPr>
              <w:t>（</w:t>
            </w:r>
            <w:r>
              <w:rPr>
                <w:rFonts w:hint="eastAsia"/>
                <w:color w:val="auto"/>
                <w:u w:val="single"/>
              </w:rPr>
              <w:t>t/a</w:t>
            </w:r>
            <w:r>
              <w:rPr>
                <w:rFonts w:hint="eastAsia"/>
                <w:color w:val="auto"/>
                <w:u w:val="single"/>
              </w:rPr>
              <w:t>）</w:t>
            </w:r>
          </w:p>
        </w:tc>
      </w:tr>
      <w:tr w:rsidR="00EE56C0">
        <w:tc>
          <w:tcPr>
            <w:tcW w:w="1236" w:type="dxa"/>
            <w:tcBorders>
              <w:top w:val="single" w:sz="4" w:space="0" w:color="auto"/>
            </w:tcBorders>
            <w:vAlign w:val="center"/>
          </w:tcPr>
          <w:p w:rsidR="00EE56C0" w:rsidRDefault="000F36A1">
            <w:pPr>
              <w:pStyle w:val="afa"/>
              <w:rPr>
                <w:u w:val="single"/>
              </w:rPr>
            </w:pPr>
            <w:r>
              <w:rPr>
                <w:rFonts w:hint="eastAsia"/>
                <w:u w:val="single"/>
              </w:rPr>
              <w:t>1</w:t>
            </w:r>
          </w:p>
        </w:tc>
        <w:tc>
          <w:tcPr>
            <w:tcW w:w="3750" w:type="dxa"/>
            <w:tcBorders>
              <w:top w:val="single" w:sz="4" w:space="0" w:color="auto"/>
            </w:tcBorders>
            <w:vAlign w:val="center"/>
          </w:tcPr>
          <w:p w:rsidR="00EE56C0" w:rsidRDefault="000F36A1">
            <w:pPr>
              <w:pStyle w:val="afa"/>
              <w:rPr>
                <w:u w:val="single"/>
              </w:rPr>
            </w:pPr>
            <w:r>
              <w:rPr>
                <w:rFonts w:hint="eastAsia"/>
                <w:u w:val="single"/>
              </w:rPr>
              <w:t>新乡新原纸业有限公司</w:t>
            </w:r>
          </w:p>
        </w:tc>
        <w:tc>
          <w:tcPr>
            <w:tcW w:w="2073" w:type="dxa"/>
            <w:tcBorders>
              <w:left w:val="single" w:sz="4" w:space="0" w:color="auto"/>
            </w:tcBorders>
            <w:vAlign w:val="center"/>
          </w:tcPr>
          <w:p w:rsidR="00EE56C0" w:rsidRDefault="000F36A1">
            <w:pPr>
              <w:pStyle w:val="afa"/>
              <w:rPr>
                <w:u w:val="single"/>
              </w:rPr>
            </w:pPr>
            <w:r>
              <w:rPr>
                <w:rFonts w:hint="eastAsia"/>
                <w:u w:val="single"/>
              </w:rPr>
              <w:t>25.6</w:t>
            </w:r>
          </w:p>
        </w:tc>
        <w:tc>
          <w:tcPr>
            <w:tcW w:w="2074" w:type="dxa"/>
            <w:tcBorders>
              <w:left w:val="single" w:sz="4" w:space="0" w:color="auto"/>
            </w:tcBorders>
            <w:vAlign w:val="center"/>
          </w:tcPr>
          <w:p w:rsidR="00EE56C0" w:rsidRDefault="000F36A1">
            <w:pPr>
              <w:pStyle w:val="afa"/>
              <w:rPr>
                <w:u w:val="single"/>
              </w:rPr>
            </w:pPr>
            <w:r>
              <w:rPr>
                <w:rFonts w:hint="eastAsia"/>
                <w:u w:val="single"/>
              </w:rPr>
              <w:t>206</w:t>
            </w:r>
          </w:p>
        </w:tc>
      </w:tr>
      <w:tr w:rsidR="00EE56C0">
        <w:tc>
          <w:tcPr>
            <w:tcW w:w="1236" w:type="dxa"/>
            <w:tcBorders>
              <w:top w:val="single" w:sz="4" w:space="0" w:color="auto"/>
            </w:tcBorders>
            <w:vAlign w:val="center"/>
          </w:tcPr>
          <w:p w:rsidR="00EE56C0" w:rsidRDefault="000F36A1">
            <w:pPr>
              <w:pStyle w:val="afa"/>
              <w:rPr>
                <w:u w:val="single"/>
              </w:rPr>
            </w:pPr>
            <w:r>
              <w:rPr>
                <w:rFonts w:hint="eastAsia"/>
                <w:u w:val="single"/>
              </w:rPr>
              <w:t>2</w:t>
            </w:r>
          </w:p>
        </w:tc>
        <w:tc>
          <w:tcPr>
            <w:tcW w:w="3750" w:type="dxa"/>
            <w:tcBorders>
              <w:top w:val="single" w:sz="4" w:space="0" w:color="auto"/>
            </w:tcBorders>
            <w:vAlign w:val="center"/>
          </w:tcPr>
          <w:p w:rsidR="00EE56C0" w:rsidRDefault="000F36A1">
            <w:pPr>
              <w:pStyle w:val="afa"/>
              <w:rPr>
                <w:u w:val="single"/>
              </w:rPr>
            </w:pPr>
            <w:r>
              <w:rPr>
                <w:rFonts w:hint="eastAsia"/>
                <w:u w:val="single"/>
              </w:rPr>
              <w:t>河南新乡华星药厂</w:t>
            </w:r>
          </w:p>
        </w:tc>
        <w:tc>
          <w:tcPr>
            <w:tcW w:w="2073" w:type="dxa"/>
            <w:tcBorders>
              <w:left w:val="single" w:sz="4" w:space="0" w:color="auto"/>
            </w:tcBorders>
            <w:vAlign w:val="center"/>
          </w:tcPr>
          <w:p w:rsidR="00EE56C0" w:rsidRDefault="000F36A1">
            <w:pPr>
              <w:pStyle w:val="afa"/>
              <w:rPr>
                <w:u w:val="single"/>
              </w:rPr>
            </w:pPr>
            <w:r>
              <w:rPr>
                <w:rFonts w:hint="eastAsia"/>
                <w:u w:val="single"/>
              </w:rPr>
              <w:t>49.62</w:t>
            </w:r>
          </w:p>
        </w:tc>
        <w:tc>
          <w:tcPr>
            <w:tcW w:w="2074" w:type="dxa"/>
            <w:tcBorders>
              <w:left w:val="single" w:sz="4" w:space="0" w:color="auto"/>
            </w:tcBorders>
            <w:vAlign w:val="center"/>
          </w:tcPr>
          <w:p w:rsidR="00EE56C0" w:rsidRDefault="000F36A1">
            <w:pPr>
              <w:pStyle w:val="afa"/>
              <w:rPr>
                <w:u w:val="single"/>
              </w:rPr>
            </w:pPr>
            <w:r>
              <w:rPr>
                <w:rFonts w:hint="eastAsia"/>
                <w:u w:val="single"/>
              </w:rPr>
              <w:t>306.26</w:t>
            </w:r>
          </w:p>
        </w:tc>
      </w:tr>
      <w:tr w:rsidR="00EE56C0">
        <w:tc>
          <w:tcPr>
            <w:tcW w:w="1236" w:type="dxa"/>
            <w:tcBorders>
              <w:top w:val="single" w:sz="4" w:space="0" w:color="auto"/>
            </w:tcBorders>
            <w:vAlign w:val="center"/>
          </w:tcPr>
          <w:p w:rsidR="00EE56C0" w:rsidRDefault="000F36A1">
            <w:pPr>
              <w:pStyle w:val="afa"/>
              <w:rPr>
                <w:u w:val="single"/>
              </w:rPr>
            </w:pPr>
            <w:r>
              <w:rPr>
                <w:rFonts w:hint="eastAsia"/>
                <w:u w:val="single"/>
              </w:rPr>
              <w:t>3</w:t>
            </w:r>
          </w:p>
        </w:tc>
        <w:tc>
          <w:tcPr>
            <w:tcW w:w="3750" w:type="dxa"/>
            <w:tcBorders>
              <w:top w:val="single" w:sz="4" w:space="0" w:color="auto"/>
            </w:tcBorders>
            <w:vAlign w:val="center"/>
          </w:tcPr>
          <w:p w:rsidR="00EE56C0" w:rsidRDefault="000F36A1">
            <w:pPr>
              <w:pStyle w:val="afa"/>
              <w:rPr>
                <w:u w:val="single"/>
              </w:rPr>
            </w:pPr>
            <w:r>
              <w:rPr>
                <w:rFonts w:hint="eastAsia"/>
                <w:u w:val="single"/>
              </w:rPr>
              <w:t>河南心连心化肥有限公司</w:t>
            </w:r>
          </w:p>
        </w:tc>
        <w:tc>
          <w:tcPr>
            <w:tcW w:w="2073" w:type="dxa"/>
            <w:tcBorders>
              <w:left w:val="single" w:sz="4" w:space="0" w:color="auto"/>
            </w:tcBorders>
            <w:vAlign w:val="center"/>
          </w:tcPr>
          <w:p w:rsidR="00EE56C0" w:rsidRDefault="000F36A1">
            <w:pPr>
              <w:pStyle w:val="afa"/>
              <w:rPr>
                <w:u w:val="single"/>
              </w:rPr>
            </w:pPr>
            <w:r>
              <w:rPr>
                <w:rFonts w:hint="eastAsia"/>
                <w:u w:val="single"/>
              </w:rPr>
              <w:t>1248.9</w:t>
            </w:r>
          </w:p>
        </w:tc>
        <w:tc>
          <w:tcPr>
            <w:tcW w:w="2074" w:type="dxa"/>
            <w:tcBorders>
              <w:left w:val="single" w:sz="4" w:space="0" w:color="auto"/>
            </w:tcBorders>
            <w:vAlign w:val="center"/>
          </w:tcPr>
          <w:p w:rsidR="00EE56C0" w:rsidRDefault="000F36A1">
            <w:pPr>
              <w:pStyle w:val="afa"/>
              <w:rPr>
                <w:u w:val="single"/>
              </w:rPr>
            </w:pPr>
            <w:r>
              <w:rPr>
                <w:rFonts w:hint="eastAsia"/>
                <w:u w:val="single"/>
              </w:rPr>
              <w:t>1819.3</w:t>
            </w:r>
          </w:p>
        </w:tc>
      </w:tr>
      <w:tr w:rsidR="00EE56C0">
        <w:tc>
          <w:tcPr>
            <w:tcW w:w="1236" w:type="dxa"/>
            <w:tcBorders>
              <w:top w:val="single" w:sz="4" w:space="0" w:color="auto"/>
            </w:tcBorders>
            <w:vAlign w:val="center"/>
          </w:tcPr>
          <w:p w:rsidR="00EE56C0" w:rsidRDefault="000F36A1">
            <w:pPr>
              <w:pStyle w:val="afa"/>
              <w:rPr>
                <w:u w:val="single"/>
              </w:rPr>
            </w:pPr>
            <w:r>
              <w:rPr>
                <w:rFonts w:hint="eastAsia"/>
                <w:u w:val="single"/>
              </w:rPr>
              <w:t>4</w:t>
            </w:r>
          </w:p>
        </w:tc>
        <w:tc>
          <w:tcPr>
            <w:tcW w:w="3750" w:type="dxa"/>
            <w:tcBorders>
              <w:top w:val="single" w:sz="4" w:space="0" w:color="auto"/>
            </w:tcBorders>
            <w:vAlign w:val="center"/>
          </w:tcPr>
          <w:p w:rsidR="00EE56C0" w:rsidRDefault="000F36A1">
            <w:pPr>
              <w:pStyle w:val="afa"/>
              <w:rPr>
                <w:u w:val="single"/>
              </w:rPr>
            </w:pPr>
            <w:r>
              <w:rPr>
                <w:rFonts w:hint="eastAsia"/>
                <w:u w:val="single"/>
              </w:rPr>
              <w:t>新乡新亚纸业集团股份有限公司</w:t>
            </w:r>
          </w:p>
        </w:tc>
        <w:tc>
          <w:tcPr>
            <w:tcW w:w="2073" w:type="dxa"/>
            <w:tcBorders>
              <w:left w:val="single" w:sz="4" w:space="0" w:color="auto"/>
            </w:tcBorders>
            <w:vAlign w:val="center"/>
          </w:tcPr>
          <w:p w:rsidR="00EE56C0" w:rsidRDefault="000F36A1">
            <w:pPr>
              <w:pStyle w:val="afa"/>
              <w:rPr>
                <w:u w:val="single"/>
              </w:rPr>
            </w:pPr>
            <w:r>
              <w:rPr>
                <w:rFonts w:hint="eastAsia"/>
                <w:u w:val="single"/>
              </w:rPr>
              <w:t>201.8</w:t>
            </w:r>
          </w:p>
        </w:tc>
        <w:tc>
          <w:tcPr>
            <w:tcW w:w="2074" w:type="dxa"/>
            <w:tcBorders>
              <w:left w:val="single" w:sz="4" w:space="0" w:color="auto"/>
            </w:tcBorders>
            <w:vAlign w:val="center"/>
          </w:tcPr>
          <w:p w:rsidR="00EE56C0" w:rsidRDefault="000F36A1">
            <w:pPr>
              <w:pStyle w:val="afa"/>
              <w:rPr>
                <w:u w:val="single"/>
              </w:rPr>
            </w:pPr>
            <w:r>
              <w:rPr>
                <w:rFonts w:hint="eastAsia"/>
                <w:u w:val="single"/>
              </w:rPr>
              <w:t>710.75</w:t>
            </w:r>
          </w:p>
        </w:tc>
      </w:tr>
      <w:tr w:rsidR="00EE56C0">
        <w:tc>
          <w:tcPr>
            <w:tcW w:w="1236" w:type="dxa"/>
            <w:tcBorders>
              <w:top w:val="single" w:sz="4" w:space="0" w:color="auto"/>
            </w:tcBorders>
            <w:vAlign w:val="center"/>
          </w:tcPr>
          <w:p w:rsidR="00EE56C0" w:rsidRDefault="000F36A1">
            <w:pPr>
              <w:pStyle w:val="afa"/>
              <w:rPr>
                <w:u w:val="single"/>
              </w:rPr>
            </w:pPr>
            <w:r>
              <w:rPr>
                <w:rFonts w:hint="eastAsia"/>
                <w:u w:val="single"/>
              </w:rPr>
              <w:t>5</w:t>
            </w:r>
          </w:p>
        </w:tc>
        <w:tc>
          <w:tcPr>
            <w:tcW w:w="3750" w:type="dxa"/>
            <w:tcBorders>
              <w:top w:val="single" w:sz="4" w:space="0" w:color="auto"/>
            </w:tcBorders>
            <w:vAlign w:val="center"/>
          </w:tcPr>
          <w:p w:rsidR="00EE56C0" w:rsidRDefault="000F36A1">
            <w:pPr>
              <w:pStyle w:val="afa"/>
              <w:rPr>
                <w:u w:val="single"/>
              </w:rPr>
            </w:pPr>
            <w:r>
              <w:rPr>
                <w:rFonts w:hint="eastAsia"/>
                <w:u w:val="single"/>
              </w:rPr>
              <w:t>河南省华中纸业有限公司</w:t>
            </w:r>
          </w:p>
        </w:tc>
        <w:tc>
          <w:tcPr>
            <w:tcW w:w="2073" w:type="dxa"/>
            <w:tcBorders>
              <w:left w:val="single" w:sz="4" w:space="0" w:color="auto"/>
            </w:tcBorders>
            <w:vAlign w:val="center"/>
          </w:tcPr>
          <w:p w:rsidR="00EE56C0" w:rsidRDefault="000F36A1">
            <w:pPr>
              <w:pStyle w:val="afa"/>
              <w:rPr>
                <w:u w:val="single"/>
              </w:rPr>
            </w:pPr>
            <w:r>
              <w:rPr>
                <w:rFonts w:hint="eastAsia"/>
                <w:u w:val="single"/>
              </w:rPr>
              <w:t>20.3</w:t>
            </w:r>
          </w:p>
        </w:tc>
        <w:tc>
          <w:tcPr>
            <w:tcW w:w="2074" w:type="dxa"/>
            <w:tcBorders>
              <w:left w:val="single" w:sz="4" w:space="0" w:color="auto"/>
            </w:tcBorders>
            <w:vAlign w:val="center"/>
          </w:tcPr>
          <w:p w:rsidR="00EE56C0" w:rsidRDefault="000F36A1">
            <w:pPr>
              <w:pStyle w:val="afa"/>
              <w:rPr>
                <w:u w:val="single"/>
              </w:rPr>
            </w:pPr>
            <w:r>
              <w:rPr>
                <w:rFonts w:hint="eastAsia"/>
                <w:u w:val="single"/>
              </w:rPr>
              <w:t>20.3</w:t>
            </w:r>
          </w:p>
        </w:tc>
      </w:tr>
      <w:tr w:rsidR="00EE56C0">
        <w:tc>
          <w:tcPr>
            <w:tcW w:w="1236" w:type="dxa"/>
            <w:tcBorders>
              <w:top w:val="single" w:sz="4" w:space="0" w:color="auto"/>
            </w:tcBorders>
            <w:vAlign w:val="center"/>
          </w:tcPr>
          <w:p w:rsidR="00EE56C0" w:rsidRDefault="000F36A1">
            <w:pPr>
              <w:pStyle w:val="afa"/>
              <w:rPr>
                <w:u w:val="single"/>
              </w:rPr>
            </w:pPr>
            <w:r>
              <w:rPr>
                <w:rFonts w:hint="eastAsia"/>
                <w:u w:val="single"/>
              </w:rPr>
              <w:t>6</w:t>
            </w:r>
          </w:p>
        </w:tc>
        <w:tc>
          <w:tcPr>
            <w:tcW w:w="3750" w:type="dxa"/>
            <w:tcBorders>
              <w:top w:val="single" w:sz="4" w:space="0" w:color="auto"/>
            </w:tcBorders>
            <w:vAlign w:val="center"/>
          </w:tcPr>
          <w:p w:rsidR="00EE56C0" w:rsidRDefault="000F36A1">
            <w:pPr>
              <w:pStyle w:val="afa"/>
              <w:rPr>
                <w:u w:val="single"/>
              </w:rPr>
            </w:pPr>
            <w:r>
              <w:rPr>
                <w:rFonts w:hint="eastAsia"/>
                <w:u w:val="single"/>
              </w:rPr>
              <w:t>河南兴泰纸业有限公司</w:t>
            </w:r>
          </w:p>
        </w:tc>
        <w:tc>
          <w:tcPr>
            <w:tcW w:w="2073" w:type="dxa"/>
            <w:tcBorders>
              <w:left w:val="single" w:sz="4" w:space="0" w:color="auto"/>
            </w:tcBorders>
            <w:vAlign w:val="center"/>
          </w:tcPr>
          <w:p w:rsidR="00EE56C0" w:rsidRDefault="000F36A1">
            <w:pPr>
              <w:pStyle w:val="afa"/>
              <w:rPr>
                <w:u w:val="single"/>
              </w:rPr>
            </w:pPr>
            <w:r>
              <w:rPr>
                <w:rFonts w:hint="eastAsia"/>
                <w:u w:val="single"/>
              </w:rPr>
              <w:t>17.5</w:t>
            </w:r>
          </w:p>
        </w:tc>
        <w:tc>
          <w:tcPr>
            <w:tcW w:w="2074" w:type="dxa"/>
            <w:tcBorders>
              <w:left w:val="single" w:sz="4" w:space="0" w:color="auto"/>
            </w:tcBorders>
            <w:vAlign w:val="center"/>
          </w:tcPr>
          <w:p w:rsidR="00EE56C0" w:rsidRDefault="000F36A1">
            <w:pPr>
              <w:pStyle w:val="afa"/>
              <w:rPr>
                <w:u w:val="single"/>
              </w:rPr>
            </w:pPr>
            <w:r>
              <w:rPr>
                <w:rFonts w:hint="eastAsia"/>
                <w:u w:val="single"/>
              </w:rPr>
              <w:t>49.9</w:t>
            </w:r>
          </w:p>
        </w:tc>
      </w:tr>
      <w:tr w:rsidR="00EE56C0">
        <w:tc>
          <w:tcPr>
            <w:tcW w:w="1236" w:type="dxa"/>
            <w:tcBorders>
              <w:top w:val="single" w:sz="4" w:space="0" w:color="auto"/>
            </w:tcBorders>
            <w:vAlign w:val="center"/>
          </w:tcPr>
          <w:p w:rsidR="00EE56C0" w:rsidRDefault="000F36A1">
            <w:pPr>
              <w:pStyle w:val="afa"/>
              <w:rPr>
                <w:u w:val="single"/>
              </w:rPr>
            </w:pPr>
            <w:r>
              <w:rPr>
                <w:rFonts w:hint="eastAsia"/>
                <w:u w:val="single"/>
              </w:rPr>
              <w:t>7</w:t>
            </w:r>
          </w:p>
        </w:tc>
        <w:tc>
          <w:tcPr>
            <w:tcW w:w="3750" w:type="dxa"/>
            <w:tcBorders>
              <w:top w:val="single" w:sz="4" w:space="0" w:color="auto"/>
            </w:tcBorders>
            <w:vAlign w:val="center"/>
          </w:tcPr>
          <w:p w:rsidR="00EE56C0" w:rsidRDefault="000F36A1">
            <w:pPr>
              <w:pStyle w:val="afa"/>
              <w:rPr>
                <w:u w:val="single"/>
              </w:rPr>
            </w:pPr>
            <w:r>
              <w:rPr>
                <w:rFonts w:hint="eastAsia"/>
                <w:u w:val="single"/>
              </w:rPr>
              <w:t>河南新乡鸿泰纸业有限公司</w:t>
            </w:r>
          </w:p>
        </w:tc>
        <w:tc>
          <w:tcPr>
            <w:tcW w:w="2073" w:type="dxa"/>
            <w:tcBorders>
              <w:left w:val="single" w:sz="4" w:space="0" w:color="auto"/>
            </w:tcBorders>
            <w:vAlign w:val="center"/>
          </w:tcPr>
          <w:p w:rsidR="00EE56C0" w:rsidRDefault="000F36A1">
            <w:pPr>
              <w:pStyle w:val="afa"/>
              <w:rPr>
                <w:u w:val="single"/>
              </w:rPr>
            </w:pPr>
            <w:r>
              <w:rPr>
                <w:rFonts w:hint="eastAsia"/>
                <w:u w:val="single"/>
              </w:rPr>
              <w:t>21.9</w:t>
            </w:r>
          </w:p>
        </w:tc>
        <w:tc>
          <w:tcPr>
            <w:tcW w:w="2074" w:type="dxa"/>
            <w:tcBorders>
              <w:left w:val="single" w:sz="4" w:space="0" w:color="auto"/>
            </w:tcBorders>
            <w:vAlign w:val="center"/>
          </w:tcPr>
          <w:p w:rsidR="00EE56C0" w:rsidRDefault="000F36A1">
            <w:pPr>
              <w:pStyle w:val="afa"/>
              <w:rPr>
                <w:u w:val="single"/>
              </w:rPr>
            </w:pPr>
            <w:r>
              <w:rPr>
                <w:rFonts w:hint="eastAsia"/>
                <w:u w:val="single"/>
              </w:rPr>
              <w:t>62.6</w:t>
            </w:r>
          </w:p>
        </w:tc>
      </w:tr>
      <w:tr w:rsidR="00EE56C0">
        <w:tc>
          <w:tcPr>
            <w:tcW w:w="1236" w:type="dxa"/>
            <w:tcBorders>
              <w:top w:val="single" w:sz="4" w:space="0" w:color="auto"/>
              <w:bottom w:val="single" w:sz="4" w:space="0" w:color="auto"/>
            </w:tcBorders>
            <w:vAlign w:val="center"/>
          </w:tcPr>
          <w:p w:rsidR="00EE56C0" w:rsidRDefault="000F36A1">
            <w:pPr>
              <w:pStyle w:val="afa"/>
              <w:rPr>
                <w:u w:val="single"/>
              </w:rPr>
            </w:pPr>
            <w:r>
              <w:rPr>
                <w:rFonts w:hint="eastAsia"/>
                <w:u w:val="single"/>
              </w:rPr>
              <w:t>8</w:t>
            </w:r>
          </w:p>
        </w:tc>
        <w:tc>
          <w:tcPr>
            <w:tcW w:w="3750" w:type="dxa"/>
            <w:tcBorders>
              <w:top w:val="single" w:sz="4" w:space="0" w:color="auto"/>
              <w:bottom w:val="single" w:sz="4" w:space="0" w:color="auto"/>
            </w:tcBorders>
            <w:vAlign w:val="center"/>
          </w:tcPr>
          <w:p w:rsidR="00EE56C0" w:rsidRDefault="000F36A1">
            <w:pPr>
              <w:pStyle w:val="afa"/>
              <w:rPr>
                <w:u w:val="single"/>
              </w:rPr>
            </w:pPr>
            <w:r>
              <w:rPr>
                <w:rFonts w:hint="eastAsia"/>
                <w:u w:val="single"/>
              </w:rPr>
              <w:t>新乡市奥柯建材有限公司</w:t>
            </w:r>
          </w:p>
        </w:tc>
        <w:tc>
          <w:tcPr>
            <w:tcW w:w="2073" w:type="dxa"/>
            <w:tcBorders>
              <w:left w:val="single" w:sz="4" w:space="0" w:color="auto"/>
            </w:tcBorders>
            <w:vAlign w:val="center"/>
          </w:tcPr>
          <w:p w:rsidR="00EE56C0" w:rsidRDefault="000F36A1">
            <w:pPr>
              <w:pStyle w:val="afa"/>
              <w:rPr>
                <w:u w:val="single"/>
              </w:rPr>
            </w:pPr>
            <w:r>
              <w:rPr>
                <w:rFonts w:hint="eastAsia"/>
                <w:u w:val="single"/>
              </w:rPr>
              <w:t>8.95</w:t>
            </w:r>
          </w:p>
        </w:tc>
        <w:tc>
          <w:tcPr>
            <w:tcW w:w="2074" w:type="dxa"/>
            <w:tcBorders>
              <w:left w:val="single" w:sz="4" w:space="0" w:color="auto"/>
            </w:tcBorders>
            <w:vAlign w:val="center"/>
          </w:tcPr>
          <w:p w:rsidR="00EE56C0" w:rsidRDefault="000F36A1">
            <w:pPr>
              <w:pStyle w:val="afa"/>
              <w:rPr>
                <w:u w:val="single"/>
              </w:rPr>
            </w:pPr>
            <w:r>
              <w:rPr>
                <w:rFonts w:hint="eastAsia"/>
                <w:u w:val="single"/>
              </w:rPr>
              <w:t>27.5</w:t>
            </w:r>
          </w:p>
        </w:tc>
      </w:tr>
      <w:tr w:rsidR="00EE56C0">
        <w:tc>
          <w:tcPr>
            <w:tcW w:w="1236" w:type="dxa"/>
            <w:tcBorders>
              <w:top w:val="single" w:sz="4" w:space="0" w:color="auto"/>
              <w:bottom w:val="single" w:sz="4" w:space="0" w:color="auto"/>
            </w:tcBorders>
            <w:vAlign w:val="center"/>
          </w:tcPr>
          <w:p w:rsidR="00EE56C0" w:rsidRDefault="000F36A1">
            <w:pPr>
              <w:pStyle w:val="afa"/>
              <w:rPr>
                <w:u w:val="single"/>
              </w:rPr>
            </w:pPr>
            <w:r>
              <w:rPr>
                <w:rFonts w:hint="eastAsia"/>
                <w:u w:val="single"/>
              </w:rPr>
              <w:t>9</w:t>
            </w:r>
          </w:p>
        </w:tc>
        <w:tc>
          <w:tcPr>
            <w:tcW w:w="3750" w:type="dxa"/>
            <w:tcBorders>
              <w:top w:val="single" w:sz="4" w:space="0" w:color="auto"/>
              <w:bottom w:val="single" w:sz="4" w:space="0" w:color="auto"/>
            </w:tcBorders>
            <w:vAlign w:val="center"/>
          </w:tcPr>
          <w:p w:rsidR="00EE56C0" w:rsidRDefault="000F36A1">
            <w:pPr>
              <w:pStyle w:val="afa"/>
              <w:rPr>
                <w:u w:val="single"/>
              </w:rPr>
            </w:pPr>
            <w:r>
              <w:rPr>
                <w:rFonts w:hint="eastAsia"/>
                <w:u w:val="single"/>
              </w:rPr>
              <w:t>新乡市博源生物科技有限公司</w:t>
            </w:r>
          </w:p>
        </w:tc>
        <w:tc>
          <w:tcPr>
            <w:tcW w:w="2073" w:type="dxa"/>
            <w:tcBorders>
              <w:left w:val="single" w:sz="4" w:space="0" w:color="auto"/>
            </w:tcBorders>
            <w:vAlign w:val="center"/>
          </w:tcPr>
          <w:p w:rsidR="00EE56C0" w:rsidRDefault="000F36A1">
            <w:pPr>
              <w:pStyle w:val="afa"/>
              <w:rPr>
                <w:u w:val="single"/>
              </w:rPr>
            </w:pPr>
            <w:r>
              <w:rPr>
                <w:rFonts w:hint="eastAsia"/>
                <w:u w:val="single"/>
              </w:rPr>
              <w:t>0.864</w:t>
            </w:r>
          </w:p>
        </w:tc>
        <w:tc>
          <w:tcPr>
            <w:tcW w:w="2074" w:type="dxa"/>
            <w:tcBorders>
              <w:left w:val="single" w:sz="4" w:space="0" w:color="auto"/>
            </w:tcBorders>
            <w:vAlign w:val="center"/>
          </w:tcPr>
          <w:p w:rsidR="00EE56C0" w:rsidRDefault="000F36A1">
            <w:pPr>
              <w:pStyle w:val="afa"/>
              <w:rPr>
                <w:u w:val="single"/>
              </w:rPr>
            </w:pPr>
            <w:r>
              <w:rPr>
                <w:rFonts w:hint="eastAsia"/>
                <w:u w:val="single"/>
              </w:rPr>
              <w:t>6.7356</w:t>
            </w:r>
          </w:p>
        </w:tc>
      </w:tr>
      <w:tr w:rsidR="00EE56C0">
        <w:tc>
          <w:tcPr>
            <w:tcW w:w="1236" w:type="dxa"/>
            <w:tcBorders>
              <w:top w:val="single" w:sz="4" w:space="0" w:color="auto"/>
              <w:bottom w:val="single" w:sz="4" w:space="0" w:color="auto"/>
            </w:tcBorders>
            <w:vAlign w:val="center"/>
          </w:tcPr>
          <w:p w:rsidR="00EE56C0" w:rsidRDefault="000F36A1">
            <w:pPr>
              <w:pStyle w:val="afa"/>
              <w:rPr>
                <w:u w:val="single"/>
              </w:rPr>
            </w:pPr>
            <w:r>
              <w:rPr>
                <w:rFonts w:hint="eastAsia"/>
                <w:u w:val="single"/>
              </w:rPr>
              <w:t>10</w:t>
            </w:r>
          </w:p>
        </w:tc>
        <w:tc>
          <w:tcPr>
            <w:tcW w:w="3750" w:type="dxa"/>
            <w:tcBorders>
              <w:top w:val="single" w:sz="4" w:space="0" w:color="auto"/>
              <w:bottom w:val="single" w:sz="4" w:space="0" w:color="auto"/>
            </w:tcBorders>
            <w:vAlign w:val="center"/>
          </w:tcPr>
          <w:p w:rsidR="00EE56C0" w:rsidRDefault="000F36A1">
            <w:pPr>
              <w:pStyle w:val="afa"/>
              <w:rPr>
                <w:u w:val="single"/>
              </w:rPr>
            </w:pPr>
            <w:r>
              <w:rPr>
                <w:rFonts w:hint="eastAsia"/>
                <w:u w:val="single"/>
              </w:rPr>
              <w:t>河南科之杰新材料有限公司</w:t>
            </w:r>
          </w:p>
        </w:tc>
        <w:tc>
          <w:tcPr>
            <w:tcW w:w="2073" w:type="dxa"/>
            <w:tcBorders>
              <w:left w:val="single" w:sz="4" w:space="0" w:color="auto"/>
            </w:tcBorders>
            <w:vAlign w:val="center"/>
          </w:tcPr>
          <w:p w:rsidR="00EE56C0" w:rsidRDefault="000F36A1">
            <w:pPr>
              <w:pStyle w:val="afa"/>
              <w:rPr>
                <w:u w:val="single"/>
              </w:rPr>
            </w:pPr>
            <w:r>
              <w:rPr>
                <w:rFonts w:hint="eastAsia"/>
                <w:u w:val="single"/>
              </w:rPr>
              <w:t>1.56</w:t>
            </w:r>
          </w:p>
        </w:tc>
        <w:tc>
          <w:tcPr>
            <w:tcW w:w="2074" w:type="dxa"/>
            <w:tcBorders>
              <w:left w:val="single" w:sz="4" w:space="0" w:color="auto"/>
            </w:tcBorders>
            <w:vAlign w:val="center"/>
          </w:tcPr>
          <w:p w:rsidR="00EE56C0" w:rsidRDefault="000F36A1">
            <w:pPr>
              <w:pStyle w:val="afa"/>
              <w:rPr>
                <w:u w:val="single"/>
              </w:rPr>
            </w:pPr>
            <w:r>
              <w:rPr>
                <w:rFonts w:hint="eastAsia"/>
                <w:u w:val="single"/>
              </w:rPr>
              <w:t>4.68</w:t>
            </w:r>
          </w:p>
        </w:tc>
      </w:tr>
      <w:tr w:rsidR="00EE56C0">
        <w:tc>
          <w:tcPr>
            <w:tcW w:w="1236" w:type="dxa"/>
            <w:tcBorders>
              <w:top w:val="single" w:sz="4" w:space="0" w:color="auto"/>
              <w:bottom w:val="single" w:sz="4" w:space="0" w:color="auto"/>
            </w:tcBorders>
            <w:vAlign w:val="center"/>
          </w:tcPr>
          <w:p w:rsidR="00EE56C0" w:rsidRDefault="000F36A1">
            <w:pPr>
              <w:pStyle w:val="afa"/>
              <w:rPr>
                <w:u w:val="single"/>
              </w:rPr>
            </w:pPr>
            <w:r>
              <w:rPr>
                <w:rFonts w:hint="eastAsia"/>
                <w:u w:val="single"/>
              </w:rPr>
              <w:t>11</w:t>
            </w:r>
          </w:p>
        </w:tc>
        <w:tc>
          <w:tcPr>
            <w:tcW w:w="3750" w:type="dxa"/>
            <w:tcBorders>
              <w:top w:val="single" w:sz="4" w:space="0" w:color="auto"/>
              <w:bottom w:val="single" w:sz="4" w:space="0" w:color="auto"/>
            </w:tcBorders>
            <w:vAlign w:val="center"/>
          </w:tcPr>
          <w:p w:rsidR="00EE56C0" w:rsidRDefault="000F36A1">
            <w:pPr>
              <w:pStyle w:val="afa"/>
              <w:rPr>
                <w:u w:val="single"/>
              </w:rPr>
            </w:pPr>
            <w:r>
              <w:rPr>
                <w:rFonts w:hint="eastAsia"/>
                <w:u w:val="single"/>
              </w:rPr>
              <w:t>新乡市众恒纸业有限公司</w:t>
            </w:r>
          </w:p>
        </w:tc>
        <w:tc>
          <w:tcPr>
            <w:tcW w:w="2073" w:type="dxa"/>
            <w:tcBorders>
              <w:left w:val="single" w:sz="4" w:space="0" w:color="auto"/>
            </w:tcBorders>
            <w:vAlign w:val="center"/>
          </w:tcPr>
          <w:p w:rsidR="00EE56C0" w:rsidRDefault="000F36A1">
            <w:pPr>
              <w:pStyle w:val="afa"/>
              <w:rPr>
                <w:u w:val="single"/>
              </w:rPr>
            </w:pPr>
            <w:r>
              <w:rPr>
                <w:rFonts w:hint="eastAsia"/>
                <w:u w:val="single"/>
              </w:rPr>
              <w:t>1.2</w:t>
            </w:r>
          </w:p>
        </w:tc>
        <w:tc>
          <w:tcPr>
            <w:tcW w:w="2074" w:type="dxa"/>
            <w:tcBorders>
              <w:left w:val="single" w:sz="4" w:space="0" w:color="auto"/>
            </w:tcBorders>
            <w:vAlign w:val="center"/>
          </w:tcPr>
          <w:p w:rsidR="00EE56C0" w:rsidRDefault="000F36A1">
            <w:pPr>
              <w:pStyle w:val="afa"/>
              <w:rPr>
                <w:u w:val="single"/>
              </w:rPr>
            </w:pPr>
            <w:r>
              <w:rPr>
                <w:rFonts w:hint="eastAsia"/>
                <w:u w:val="single"/>
              </w:rPr>
              <w:t>9.3</w:t>
            </w:r>
          </w:p>
        </w:tc>
      </w:tr>
      <w:tr w:rsidR="00EE56C0">
        <w:tc>
          <w:tcPr>
            <w:tcW w:w="1236" w:type="dxa"/>
            <w:tcBorders>
              <w:top w:val="single" w:sz="4" w:space="0" w:color="auto"/>
              <w:bottom w:val="single" w:sz="4" w:space="0" w:color="auto"/>
            </w:tcBorders>
            <w:vAlign w:val="center"/>
          </w:tcPr>
          <w:p w:rsidR="00EE56C0" w:rsidRDefault="000F36A1">
            <w:pPr>
              <w:pStyle w:val="afa"/>
              <w:rPr>
                <w:u w:val="single"/>
              </w:rPr>
            </w:pPr>
            <w:r>
              <w:rPr>
                <w:rFonts w:hint="eastAsia"/>
                <w:u w:val="single"/>
              </w:rPr>
              <w:t>12</w:t>
            </w:r>
          </w:p>
        </w:tc>
        <w:tc>
          <w:tcPr>
            <w:tcW w:w="3750" w:type="dxa"/>
            <w:tcBorders>
              <w:top w:val="single" w:sz="4" w:space="0" w:color="auto"/>
              <w:bottom w:val="single" w:sz="4" w:space="0" w:color="auto"/>
            </w:tcBorders>
            <w:vAlign w:val="center"/>
          </w:tcPr>
          <w:p w:rsidR="00EE56C0" w:rsidRDefault="000F36A1">
            <w:pPr>
              <w:pStyle w:val="afa"/>
              <w:rPr>
                <w:color w:val="FF0000"/>
                <w:u w:val="single"/>
              </w:rPr>
            </w:pPr>
            <w:r>
              <w:rPr>
                <w:rFonts w:hint="eastAsia"/>
                <w:color w:val="000000" w:themeColor="text1"/>
                <w:u w:val="single"/>
              </w:rPr>
              <w:t>河南博源新材料有限公司</w:t>
            </w:r>
          </w:p>
        </w:tc>
        <w:tc>
          <w:tcPr>
            <w:tcW w:w="2073" w:type="dxa"/>
            <w:tcBorders>
              <w:left w:val="single" w:sz="4" w:space="0" w:color="auto"/>
            </w:tcBorders>
            <w:vAlign w:val="center"/>
          </w:tcPr>
          <w:p w:rsidR="00EE56C0" w:rsidRDefault="000F36A1">
            <w:pPr>
              <w:pStyle w:val="afa"/>
              <w:rPr>
                <w:u w:val="single"/>
              </w:rPr>
            </w:pPr>
            <w:r>
              <w:rPr>
                <w:rFonts w:hint="eastAsia"/>
                <w:u w:val="single"/>
              </w:rPr>
              <w:t>0.5728</w:t>
            </w:r>
          </w:p>
        </w:tc>
        <w:tc>
          <w:tcPr>
            <w:tcW w:w="2074" w:type="dxa"/>
            <w:tcBorders>
              <w:left w:val="single" w:sz="4" w:space="0" w:color="auto"/>
            </w:tcBorders>
            <w:vAlign w:val="center"/>
          </w:tcPr>
          <w:p w:rsidR="00EE56C0" w:rsidRDefault="000F36A1">
            <w:pPr>
              <w:pStyle w:val="afa"/>
              <w:rPr>
                <w:u w:val="single"/>
              </w:rPr>
            </w:pPr>
            <w:r>
              <w:rPr>
                <w:rFonts w:hint="eastAsia"/>
                <w:u w:val="single"/>
              </w:rPr>
              <w:t>1.7184</w:t>
            </w:r>
          </w:p>
        </w:tc>
      </w:tr>
      <w:tr w:rsidR="006302E3">
        <w:tc>
          <w:tcPr>
            <w:tcW w:w="1236" w:type="dxa"/>
            <w:tcBorders>
              <w:top w:val="single" w:sz="4" w:space="0" w:color="auto"/>
              <w:bottom w:val="single" w:sz="4" w:space="0" w:color="auto"/>
            </w:tcBorders>
            <w:vAlign w:val="center"/>
          </w:tcPr>
          <w:p w:rsidR="006302E3" w:rsidRDefault="006302E3">
            <w:pPr>
              <w:pStyle w:val="afa"/>
              <w:rPr>
                <w:u w:val="single"/>
              </w:rPr>
            </w:pPr>
            <w:r>
              <w:rPr>
                <w:rFonts w:hint="eastAsia"/>
                <w:u w:val="single"/>
              </w:rPr>
              <w:t>13</w:t>
            </w:r>
          </w:p>
        </w:tc>
        <w:tc>
          <w:tcPr>
            <w:tcW w:w="3750" w:type="dxa"/>
            <w:tcBorders>
              <w:top w:val="single" w:sz="4" w:space="0" w:color="auto"/>
              <w:bottom w:val="single" w:sz="4" w:space="0" w:color="auto"/>
            </w:tcBorders>
            <w:vAlign w:val="center"/>
          </w:tcPr>
          <w:p w:rsidR="006302E3" w:rsidRDefault="006302E3">
            <w:pPr>
              <w:pStyle w:val="afa"/>
              <w:rPr>
                <w:color w:val="000000" w:themeColor="text1"/>
                <w:u w:val="single"/>
              </w:rPr>
            </w:pPr>
            <w:r w:rsidRPr="006302E3">
              <w:rPr>
                <w:rFonts w:hint="eastAsia"/>
                <w:color w:val="000000" w:themeColor="text1"/>
                <w:u w:val="single"/>
              </w:rPr>
              <w:t>新乡瑞诺药业有限公司</w:t>
            </w:r>
          </w:p>
        </w:tc>
        <w:tc>
          <w:tcPr>
            <w:tcW w:w="2073" w:type="dxa"/>
            <w:tcBorders>
              <w:left w:val="single" w:sz="4" w:space="0" w:color="auto"/>
            </w:tcBorders>
            <w:vAlign w:val="center"/>
          </w:tcPr>
          <w:p w:rsidR="006302E3" w:rsidRDefault="006302E3">
            <w:pPr>
              <w:pStyle w:val="afa"/>
              <w:rPr>
                <w:u w:val="single"/>
              </w:rPr>
            </w:pPr>
            <w:r>
              <w:rPr>
                <w:rFonts w:hint="eastAsia"/>
                <w:u w:val="single"/>
              </w:rPr>
              <w:t>8.9469</w:t>
            </w:r>
          </w:p>
        </w:tc>
        <w:tc>
          <w:tcPr>
            <w:tcW w:w="2074" w:type="dxa"/>
            <w:tcBorders>
              <w:left w:val="single" w:sz="4" w:space="0" w:color="auto"/>
            </w:tcBorders>
            <w:vAlign w:val="center"/>
          </w:tcPr>
          <w:p w:rsidR="006302E3" w:rsidRDefault="006302E3">
            <w:pPr>
              <w:pStyle w:val="afa"/>
              <w:rPr>
                <w:u w:val="single"/>
              </w:rPr>
            </w:pPr>
            <w:r>
              <w:rPr>
                <w:rFonts w:hint="eastAsia"/>
                <w:u w:val="single"/>
              </w:rPr>
              <w:t>3.8573</w:t>
            </w:r>
          </w:p>
        </w:tc>
      </w:tr>
      <w:tr w:rsidR="003B0135">
        <w:tc>
          <w:tcPr>
            <w:tcW w:w="1236" w:type="dxa"/>
            <w:tcBorders>
              <w:top w:val="single" w:sz="4" w:space="0" w:color="auto"/>
              <w:bottom w:val="single" w:sz="4" w:space="0" w:color="auto"/>
            </w:tcBorders>
            <w:vAlign w:val="center"/>
          </w:tcPr>
          <w:p w:rsidR="003B0135" w:rsidRDefault="003B0135">
            <w:pPr>
              <w:pStyle w:val="afa"/>
              <w:rPr>
                <w:u w:val="single"/>
              </w:rPr>
            </w:pPr>
            <w:r>
              <w:rPr>
                <w:rFonts w:hint="eastAsia"/>
                <w:u w:val="single"/>
              </w:rPr>
              <w:t>14</w:t>
            </w:r>
          </w:p>
        </w:tc>
        <w:tc>
          <w:tcPr>
            <w:tcW w:w="3750" w:type="dxa"/>
            <w:tcBorders>
              <w:top w:val="single" w:sz="4" w:space="0" w:color="auto"/>
              <w:bottom w:val="single" w:sz="4" w:space="0" w:color="auto"/>
            </w:tcBorders>
            <w:vAlign w:val="center"/>
          </w:tcPr>
          <w:p w:rsidR="003B0135" w:rsidRPr="006302E3" w:rsidRDefault="003B0135">
            <w:pPr>
              <w:pStyle w:val="afa"/>
              <w:rPr>
                <w:color w:val="000000" w:themeColor="text1"/>
                <w:u w:val="single"/>
              </w:rPr>
            </w:pPr>
            <w:r w:rsidRPr="005929C6">
              <w:rPr>
                <w:rFonts w:hint="eastAsia"/>
                <w:color w:val="000000" w:themeColor="text1"/>
                <w:u w:val="single"/>
              </w:rPr>
              <w:t>新乡市博科精细化工有限公司</w:t>
            </w:r>
          </w:p>
        </w:tc>
        <w:tc>
          <w:tcPr>
            <w:tcW w:w="2073" w:type="dxa"/>
            <w:tcBorders>
              <w:left w:val="single" w:sz="4" w:space="0" w:color="auto"/>
            </w:tcBorders>
            <w:vAlign w:val="center"/>
          </w:tcPr>
          <w:p w:rsidR="003B0135" w:rsidRDefault="003B0135">
            <w:pPr>
              <w:pStyle w:val="afa"/>
              <w:rPr>
                <w:u w:val="single"/>
              </w:rPr>
            </w:pPr>
            <w:r>
              <w:rPr>
                <w:rFonts w:hint="eastAsia"/>
                <w:u w:val="single"/>
              </w:rPr>
              <w:t>3.36</w:t>
            </w:r>
          </w:p>
        </w:tc>
        <w:tc>
          <w:tcPr>
            <w:tcW w:w="2074" w:type="dxa"/>
            <w:tcBorders>
              <w:left w:val="single" w:sz="4" w:space="0" w:color="auto"/>
            </w:tcBorders>
            <w:vAlign w:val="center"/>
          </w:tcPr>
          <w:p w:rsidR="003B0135" w:rsidRDefault="003B0135">
            <w:pPr>
              <w:pStyle w:val="afa"/>
              <w:rPr>
                <w:u w:val="single"/>
              </w:rPr>
            </w:pPr>
            <w:r>
              <w:rPr>
                <w:rFonts w:hint="eastAsia"/>
                <w:u w:val="single"/>
              </w:rPr>
              <w:t>/</w:t>
            </w:r>
          </w:p>
        </w:tc>
      </w:tr>
      <w:tr w:rsidR="003B0135">
        <w:tc>
          <w:tcPr>
            <w:tcW w:w="1236" w:type="dxa"/>
            <w:tcBorders>
              <w:top w:val="single" w:sz="4" w:space="0" w:color="auto"/>
              <w:bottom w:val="single" w:sz="4" w:space="0" w:color="auto"/>
            </w:tcBorders>
            <w:vAlign w:val="center"/>
          </w:tcPr>
          <w:p w:rsidR="003B0135" w:rsidRDefault="003B0135">
            <w:pPr>
              <w:pStyle w:val="afa"/>
              <w:rPr>
                <w:u w:val="single"/>
              </w:rPr>
            </w:pPr>
            <w:r>
              <w:rPr>
                <w:rFonts w:hint="eastAsia"/>
                <w:u w:val="single"/>
              </w:rPr>
              <w:t>15</w:t>
            </w:r>
          </w:p>
        </w:tc>
        <w:tc>
          <w:tcPr>
            <w:tcW w:w="3750" w:type="dxa"/>
            <w:tcBorders>
              <w:top w:val="single" w:sz="4" w:space="0" w:color="auto"/>
              <w:bottom w:val="single" w:sz="4" w:space="0" w:color="auto"/>
            </w:tcBorders>
            <w:vAlign w:val="center"/>
          </w:tcPr>
          <w:p w:rsidR="003B0135" w:rsidRPr="006302E3" w:rsidRDefault="003B0135">
            <w:pPr>
              <w:pStyle w:val="afa"/>
              <w:rPr>
                <w:color w:val="000000" w:themeColor="text1"/>
                <w:u w:val="single"/>
              </w:rPr>
            </w:pPr>
            <w:r w:rsidRPr="003B0135">
              <w:rPr>
                <w:rFonts w:hint="eastAsia"/>
                <w:color w:val="000000" w:themeColor="text1"/>
                <w:u w:val="single"/>
              </w:rPr>
              <w:t>新乡市华幸生物科技有限公司</w:t>
            </w:r>
          </w:p>
        </w:tc>
        <w:tc>
          <w:tcPr>
            <w:tcW w:w="2073" w:type="dxa"/>
            <w:tcBorders>
              <w:left w:val="single" w:sz="4" w:space="0" w:color="auto"/>
            </w:tcBorders>
            <w:vAlign w:val="center"/>
          </w:tcPr>
          <w:p w:rsidR="003B0135" w:rsidRDefault="003B0135">
            <w:pPr>
              <w:pStyle w:val="afa"/>
              <w:rPr>
                <w:u w:val="single"/>
              </w:rPr>
            </w:pPr>
            <w:r>
              <w:rPr>
                <w:rFonts w:hint="eastAsia"/>
                <w:u w:val="single"/>
              </w:rPr>
              <w:t>2.8</w:t>
            </w:r>
          </w:p>
        </w:tc>
        <w:tc>
          <w:tcPr>
            <w:tcW w:w="2074" w:type="dxa"/>
            <w:tcBorders>
              <w:left w:val="single" w:sz="4" w:space="0" w:color="auto"/>
            </w:tcBorders>
            <w:vAlign w:val="center"/>
          </w:tcPr>
          <w:p w:rsidR="003B0135" w:rsidRDefault="003B0135">
            <w:pPr>
              <w:pStyle w:val="afa"/>
              <w:rPr>
                <w:u w:val="single"/>
              </w:rPr>
            </w:pPr>
            <w:r>
              <w:rPr>
                <w:rFonts w:hint="eastAsia"/>
                <w:u w:val="single"/>
              </w:rPr>
              <w:t>/</w:t>
            </w:r>
          </w:p>
        </w:tc>
      </w:tr>
      <w:tr w:rsidR="003B0135">
        <w:tc>
          <w:tcPr>
            <w:tcW w:w="1236" w:type="dxa"/>
            <w:tcBorders>
              <w:top w:val="single" w:sz="4" w:space="0" w:color="auto"/>
              <w:bottom w:val="single" w:sz="4" w:space="0" w:color="auto"/>
            </w:tcBorders>
            <w:vAlign w:val="center"/>
          </w:tcPr>
          <w:p w:rsidR="003B0135" w:rsidRDefault="003B0135">
            <w:pPr>
              <w:pStyle w:val="afa"/>
              <w:rPr>
                <w:u w:val="single"/>
              </w:rPr>
            </w:pPr>
            <w:r>
              <w:rPr>
                <w:rFonts w:hint="eastAsia"/>
                <w:u w:val="single"/>
              </w:rPr>
              <w:t>16</w:t>
            </w:r>
          </w:p>
        </w:tc>
        <w:tc>
          <w:tcPr>
            <w:tcW w:w="3750" w:type="dxa"/>
            <w:tcBorders>
              <w:top w:val="single" w:sz="4" w:space="0" w:color="auto"/>
              <w:bottom w:val="single" w:sz="4" w:space="0" w:color="auto"/>
            </w:tcBorders>
            <w:vAlign w:val="center"/>
          </w:tcPr>
          <w:p w:rsidR="003B0135" w:rsidRPr="006302E3" w:rsidRDefault="003B0135">
            <w:pPr>
              <w:pStyle w:val="afa"/>
              <w:rPr>
                <w:color w:val="000000" w:themeColor="text1"/>
                <w:u w:val="single"/>
              </w:rPr>
            </w:pPr>
            <w:r w:rsidRPr="003B0135">
              <w:rPr>
                <w:rFonts w:hint="eastAsia"/>
                <w:color w:val="000000" w:themeColor="text1"/>
                <w:u w:val="single"/>
              </w:rPr>
              <w:t>新乡市华丰净水材料有限公司</w:t>
            </w:r>
          </w:p>
        </w:tc>
        <w:tc>
          <w:tcPr>
            <w:tcW w:w="2073" w:type="dxa"/>
            <w:tcBorders>
              <w:left w:val="single" w:sz="4" w:space="0" w:color="auto"/>
            </w:tcBorders>
            <w:vAlign w:val="center"/>
          </w:tcPr>
          <w:p w:rsidR="003B0135" w:rsidRDefault="003B0135">
            <w:pPr>
              <w:pStyle w:val="afa"/>
              <w:rPr>
                <w:u w:val="single"/>
              </w:rPr>
            </w:pPr>
            <w:r>
              <w:rPr>
                <w:rFonts w:hint="eastAsia"/>
                <w:u w:val="single"/>
              </w:rPr>
              <w:t>0.27</w:t>
            </w:r>
          </w:p>
        </w:tc>
        <w:tc>
          <w:tcPr>
            <w:tcW w:w="2074" w:type="dxa"/>
            <w:tcBorders>
              <w:left w:val="single" w:sz="4" w:space="0" w:color="auto"/>
            </w:tcBorders>
            <w:vAlign w:val="center"/>
          </w:tcPr>
          <w:p w:rsidR="003B0135" w:rsidRDefault="003B0135">
            <w:pPr>
              <w:pStyle w:val="afa"/>
              <w:rPr>
                <w:u w:val="single"/>
              </w:rPr>
            </w:pPr>
            <w:r>
              <w:rPr>
                <w:rFonts w:hint="eastAsia"/>
                <w:u w:val="single"/>
              </w:rPr>
              <w:t>2.1</w:t>
            </w:r>
          </w:p>
        </w:tc>
      </w:tr>
      <w:tr w:rsidR="00971E69">
        <w:tc>
          <w:tcPr>
            <w:tcW w:w="1236" w:type="dxa"/>
            <w:tcBorders>
              <w:top w:val="single" w:sz="4" w:space="0" w:color="auto"/>
              <w:bottom w:val="single" w:sz="4" w:space="0" w:color="auto"/>
            </w:tcBorders>
            <w:vAlign w:val="center"/>
          </w:tcPr>
          <w:p w:rsidR="00971E69" w:rsidRDefault="00971E69">
            <w:pPr>
              <w:pStyle w:val="afa"/>
              <w:rPr>
                <w:u w:val="single"/>
              </w:rPr>
            </w:pPr>
            <w:r>
              <w:rPr>
                <w:rFonts w:hint="eastAsia"/>
                <w:u w:val="single"/>
              </w:rPr>
              <w:t>17</w:t>
            </w:r>
          </w:p>
        </w:tc>
        <w:tc>
          <w:tcPr>
            <w:tcW w:w="3750" w:type="dxa"/>
            <w:tcBorders>
              <w:top w:val="single" w:sz="4" w:space="0" w:color="auto"/>
              <w:bottom w:val="single" w:sz="4" w:space="0" w:color="auto"/>
            </w:tcBorders>
            <w:vAlign w:val="center"/>
          </w:tcPr>
          <w:p w:rsidR="00971E69" w:rsidRPr="003B0135" w:rsidRDefault="00971E69">
            <w:pPr>
              <w:pStyle w:val="afa"/>
              <w:rPr>
                <w:color w:val="000000" w:themeColor="text1"/>
                <w:u w:val="single"/>
              </w:rPr>
            </w:pPr>
            <w:r w:rsidRPr="00971E69">
              <w:rPr>
                <w:rFonts w:hint="eastAsia"/>
                <w:color w:val="000000" w:themeColor="text1"/>
                <w:u w:val="single"/>
              </w:rPr>
              <w:t>新乡瑞诺药业有限公司</w:t>
            </w:r>
          </w:p>
        </w:tc>
        <w:tc>
          <w:tcPr>
            <w:tcW w:w="2073" w:type="dxa"/>
            <w:tcBorders>
              <w:left w:val="single" w:sz="4" w:space="0" w:color="auto"/>
            </w:tcBorders>
            <w:vAlign w:val="center"/>
          </w:tcPr>
          <w:p w:rsidR="00971E69" w:rsidRDefault="002F5FB6">
            <w:pPr>
              <w:pStyle w:val="afa"/>
              <w:rPr>
                <w:u w:val="single"/>
              </w:rPr>
            </w:pPr>
            <w:r>
              <w:rPr>
                <w:rFonts w:hint="eastAsia"/>
                <w:u w:val="single"/>
              </w:rPr>
              <w:t>8.9469</w:t>
            </w:r>
          </w:p>
        </w:tc>
        <w:tc>
          <w:tcPr>
            <w:tcW w:w="2074" w:type="dxa"/>
            <w:tcBorders>
              <w:left w:val="single" w:sz="4" w:space="0" w:color="auto"/>
            </w:tcBorders>
            <w:vAlign w:val="center"/>
          </w:tcPr>
          <w:p w:rsidR="00971E69" w:rsidRDefault="002F5FB6">
            <w:pPr>
              <w:pStyle w:val="afa"/>
              <w:rPr>
                <w:u w:val="single"/>
              </w:rPr>
            </w:pPr>
            <w:r>
              <w:rPr>
                <w:rFonts w:hint="eastAsia"/>
                <w:u w:val="single"/>
              </w:rPr>
              <w:t>3.8573</w:t>
            </w:r>
          </w:p>
        </w:tc>
      </w:tr>
    </w:tbl>
    <w:p w:rsidR="00EE56C0" w:rsidRDefault="00EE56C0">
      <w:pPr>
        <w:ind w:firstLine="480"/>
        <w:sectPr w:rsidR="00EE56C0">
          <w:pgSz w:w="11906" w:h="16838"/>
          <w:pgMar w:top="1440" w:right="1797" w:bottom="1440" w:left="1797" w:header="851" w:footer="992" w:gutter="0"/>
          <w:cols w:space="720"/>
          <w:docGrid w:linePitch="312"/>
        </w:sectPr>
      </w:pPr>
    </w:p>
    <w:p w:rsidR="00EE56C0" w:rsidRDefault="000F36A1">
      <w:pPr>
        <w:pStyle w:val="1"/>
        <w:numPr>
          <w:ilvl w:val="0"/>
          <w:numId w:val="3"/>
        </w:numPr>
        <w:spacing w:before="360" w:after="480"/>
      </w:pPr>
      <w:bookmarkStart w:id="292" w:name="_Toc311812647"/>
      <w:bookmarkStart w:id="293" w:name="_Toc324839314"/>
      <w:bookmarkStart w:id="294" w:name="_Toc33416068"/>
      <w:bookmarkStart w:id="295" w:name="_Toc324839611"/>
      <w:bookmarkStart w:id="296" w:name="_Toc25400914"/>
      <w:r>
        <w:rPr>
          <w:rFonts w:hint="eastAsia"/>
        </w:rPr>
        <w:lastRenderedPageBreak/>
        <w:t>环境影响预测与评价</w:t>
      </w:r>
      <w:bookmarkEnd w:id="292"/>
      <w:bookmarkEnd w:id="293"/>
      <w:bookmarkEnd w:id="294"/>
      <w:bookmarkEnd w:id="295"/>
      <w:bookmarkEnd w:id="296"/>
    </w:p>
    <w:p w:rsidR="00EE56C0" w:rsidRDefault="000F36A1">
      <w:pPr>
        <w:pStyle w:val="2"/>
        <w:ind w:left="301" w:firstLineChars="0" w:firstLine="0"/>
      </w:pPr>
      <w:bookmarkStart w:id="297" w:name="_Toc324839315"/>
      <w:bookmarkStart w:id="298" w:name="_Toc324839612"/>
      <w:bookmarkStart w:id="299" w:name="_Toc25400915"/>
      <w:r>
        <w:rPr>
          <w:rFonts w:hint="eastAsia"/>
        </w:rPr>
        <w:t>5.1</w:t>
      </w:r>
      <w:r>
        <w:rPr>
          <w:rFonts w:hint="eastAsia"/>
        </w:rPr>
        <w:t>环境空气质量影响预测</w:t>
      </w:r>
      <w:bookmarkEnd w:id="297"/>
      <w:bookmarkEnd w:id="298"/>
      <w:bookmarkEnd w:id="299"/>
    </w:p>
    <w:p w:rsidR="00EE56C0" w:rsidRDefault="000F36A1">
      <w:pPr>
        <w:pStyle w:val="3"/>
        <w:spacing w:before="240" w:after="120"/>
      </w:pPr>
      <w:bookmarkStart w:id="300" w:name="_Toc525977831"/>
      <w:bookmarkStart w:id="301" w:name="_Toc511983168"/>
      <w:bookmarkStart w:id="302" w:name="_Toc300681306"/>
      <w:bookmarkStart w:id="303" w:name="_Toc324839613"/>
      <w:bookmarkStart w:id="304" w:name="_Toc302145935"/>
      <w:bookmarkStart w:id="305" w:name="_Toc22179"/>
      <w:bookmarkStart w:id="306" w:name="_Toc324839316"/>
      <w:bookmarkStart w:id="307" w:name="_Toc304300430"/>
      <w:bookmarkStart w:id="308" w:name="_Toc311812648"/>
      <w:bookmarkStart w:id="309" w:name="_Toc198193468"/>
      <w:bookmarkStart w:id="310" w:name="_Toc324839622"/>
      <w:bookmarkStart w:id="311" w:name="_Toc324839325"/>
      <w:bookmarkStart w:id="312" w:name="_Toc227946422"/>
      <w:r>
        <w:rPr>
          <w:rFonts w:hint="eastAsia"/>
        </w:rPr>
        <w:t>5.1.1</w:t>
      </w:r>
      <w:r>
        <w:t>气象观测资料统计</w:t>
      </w:r>
      <w:bookmarkEnd w:id="300"/>
      <w:bookmarkEnd w:id="301"/>
    </w:p>
    <w:bookmarkEnd w:id="302"/>
    <w:bookmarkEnd w:id="303"/>
    <w:bookmarkEnd w:id="304"/>
    <w:bookmarkEnd w:id="305"/>
    <w:bookmarkEnd w:id="306"/>
    <w:bookmarkEnd w:id="307"/>
    <w:p w:rsidR="00EE56C0" w:rsidRDefault="000F36A1">
      <w:pPr>
        <w:pStyle w:val="4"/>
        <w:ind w:left="120" w:firstLine="241"/>
      </w:pPr>
      <w:r>
        <w:rPr>
          <w:rFonts w:hint="eastAsia"/>
        </w:rPr>
        <w:t>5.1.1.1</w:t>
      </w:r>
      <w:r>
        <w:rPr>
          <w:rFonts w:hint="eastAsia"/>
        </w:rPr>
        <w:t>资料来源</w:t>
      </w:r>
    </w:p>
    <w:p w:rsidR="00EE56C0" w:rsidRDefault="000F36A1">
      <w:pPr>
        <w:ind w:firstLine="480"/>
      </w:pPr>
      <w:r>
        <w:rPr>
          <w:rFonts w:hint="eastAsia"/>
        </w:rPr>
        <w:t>气象概况项目采用的是新乡气象站（</w:t>
      </w:r>
      <w:r>
        <w:rPr>
          <w:rFonts w:hint="eastAsia"/>
        </w:rPr>
        <w:t>53986</w:t>
      </w:r>
      <w:r>
        <w:rPr>
          <w:rFonts w:hint="eastAsia"/>
        </w:rPr>
        <w:t>）资料，气象站位于河南省新乡市，地理坐标为东经</w:t>
      </w:r>
      <w:r>
        <w:rPr>
          <w:rFonts w:hint="eastAsia"/>
        </w:rPr>
        <w:t>113.912</w:t>
      </w:r>
      <w:r>
        <w:rPr>
          <w:rFonts w:hint="eastAsia"/>
        </w:rPr>
        <w:t>度，北纬</w:t>
      </w:r>
      <w:r>
        <w:rPr>
          <w:rFonts w:hint="eastAsia"/>
        </w:rPr>
        <w:t>35.3219</w:t>
      </w:r>
      <w:r>
        <w:rPr>
          <w:rFonts w:hint="eastAsia"/>
        </w:rPr>
        <w:t>度，海拔高度</w:t>
      </w:r>
      <w:r>
        <w:rPr>
          <w:rFonts w:hint="eastAsia"/>
        </w:rPr>
        <w:t>73.2</w:t>
      </w:r>
      <w:r>
        <w:rPr>
          <w:rFonts w:hint="eastAsia"/>
        </w:rPr>
        <w:t>米。新乡气象站距项目</w:t>
      </w:r>
      <w:r>
        <w:rPr>
          <w:rFonts w:hint="eastAsia"/>
        </w:rPr>
        <w:t>17.4km</w:t>
      </w:r>
      <w:r>
        <w:rPr>
          <w:rFonts w:hint="eastAsia"/>
        </w:rPr>
        <w:t>，是距项目最近的国家气象站，与本项目所在区域地理特征基本一致，可以直接使用。根据《环境影响评价技术导则</w:t>
      </w:r>
      <w:r>
        <w:rPr>
          <w:rFonts w:hint="eastAsia"/>
        </w:rPr>
        <w:t xml:space="preserve">  </w:t>
      </w:r>
      <w:r>
        <w:rPr>
          <w:rFonts w:hint="eastAsia"/>
        </w:rPr>
        <w:t>大气环境》</w:t>
      </w:r>
      <w:r>
        <w:rPr>
          <w:rFonts w:hint="eastAsia"/>
        </w:rPr>
        <w:t>(HJ2.2-2018)</w:t>
      </w:r>
      <w:r>
        <w:rPr>
          <w:rFonts w:hint="eastAsia"/>
        </w:rPr>
        <w:t>附录</w:t>
      </w:r>
      <w:r>
        <w:rPr>
          <w:rFonts w:hint="eastAsia"/>
        </w:rPr>
        <w:t>B</w:t>
      </w:r>
      <w:r>
        <w:rPr>
          <w:rFonts w:hint="eastAsia"/>
        </w:rPr>
        <w:t>要求，评价收集了新乡市连续</w:t>
      </w:r>
      <w:r>
        <w:rPr>
          <w:rFonts w:hint="eastAsia"/>
        </w:rPr>
        <w:t>20</w:t>
      </w:r>
      <w:r>
        <w:rPr>
          <w:rFonts w:hint="eastAsia"/>
        </w:rPr>
        <w:t>年（</w:t>
      </w:r>
      <w:r>
        <w:rPr>
          <w:rFonts w:hint="eastAsia"/>
        </w:rPr>
        <w:t>2000-2019</w:t>
      </w:r>
      <w:r>
        <w:rPr>
          <w:rFonts w:hint="eastAsia"/>
        </w:rPr>
        <w:t>年）的气象统计资料，具体统计结果如下：</w:t>
      </w:r>
    </w:p>
    <w:p w:rsidR="00EE56C0" w:rsidRDefault="000F36A1">
      <w:pPr>
        <w:pStyle w:val="afd"/>
        <w:spacing w:before="120" w:after="120"/>
        <w:ind w:firstLine="482"/>
      </w:pPr>
      <w:r>
        <w:t>表</w:t>
      </w:r>
      <w:r>
        <w:rPr>
          <w:rFonts w:hint="eastAsia"/>
        </w:rPr>
        <w:t>5-</w:t>
      </w:r>
      <w:r>
        <w:t xml:space="preserve">1 </w:t>
      </w:r>
      <w:r>
        <w:t>新乡气象站常规气象项目统计（</w:t>
      </w:r>
      <w:r>
        <w:rPr>
          <w:rFonts w:hint="eastAsia"/>
        </w:rPr>
        <w:t>2000</w:t>
      </w:r>
      <w:r>
        <w:t>-201</w:t>
      </w:r>
      <w:r>
        <w:rPr>
          <w:rFonts w:hint="eastAsia"/>
        </w:rPr>
        <w:t>9</w:t>
      </w:r>
      <w:r>
        <w:t>）</w:t>
      </w:r>
    </w:p>
    <w:p w:rsidR="00EE56C0" w:rsidRDefault="00EE56C0">
      <w:pPr>
        <w:spacing w:line="28" w:lineRule="exact"/>
        <w:ind w:firstLine="480"/>
        <w:rPr>
          <w:rFonts w:eastAsia="Times New Roman"/>
        </w:rPr>
      </w:pPr>
    </w:p>
    <w:tbl>
      <w:tblPr>
        <w:tblW w:w="5000" w:type="pct"/>
        <w:tblInd w:w="10" w:type="dxa"/>
        <w:tblBorders>
          <w:top w:val="single" w:sz="8" w:space="0" w:color="000001"/>
          <w:left w:val="single" w:sz="8" w:space="0" w:color="000001"/>
          <w:bottom w:val="single" w:sz="8" w:space="0" w:color="000001"/>
          <w:right w:val="single" w:sz="8" w:space="0" w:color="000001"/>
          <w:insideH w:val="single" w:sz="6" w:space="0" w:color="000001"/>
          <w:insideV w:val="single" w:sz="6" w:space="0" w:color="000001"/>
        </w:tblBorders>
        <w:tblCellMar>
          <w:left w:w="0" w:type="dxa"/>
          <w:right w:w="0" w:type="dxa"/>
        </w:tblCellMar>
        <w:tblLook w:val="04A0"/>
      </w:tblPr>
      <w:tblGrid>
        <w:gridCol w:w="1003"/>
        <w:gridCol w:w="2882"/>
        <w:gridCol w:w="1378"/>
        <w:gridCol w:w="1713"/>
        <w:gridCol w:w="1357"/>
      </w:tblGrid>
      <w:tr w:rsidR="00EE56C0">
        <w:trPr>
          <w:trHeight w:val="340"/>
        </w:trPr>
        <w:tc>
          <w:tcPr>
            <w:tcW w:w="2331" w:type="pct"/>
            <w:gridSpan w:val="2"/>
            <w:vAlign w:val="center"/>
          </w:tcPr>
          <w:p w:rsidR="00EE56C0" w:rsidRDefault="000F36A1">
            <w:pPr>
              <w:pStyle w:val="aff1"/>
              <w:rPr>
                <w:color w:val="auto"/>
                <w:w w:val="99"/>
              </w:rPr>
            </w:pPr>
            <w:r>
              <w:rPr>
                <w:color w:val="auto"/>
                <w:w w:val="99"/>
              </w:rPr>
              <w:t>统计项目</w:t>
            </w:r>
          </w:p>
        </w:tc>
        <w:tc>
          <w:tcPr>
            <w:tcW w:w="827" w:type="pct"/>
            <w:vAlign w:val="center"/>
          </w:tcPr>
          <w:p w:rsidR="00EE56C0" w:rsidRDefault="000F36A1">
            <w:pPr>
              <w:pStyle w:val="aff1"/>
              <w:rPr>
                <w:color w:val="auto"/>
              </w:rPr>
            </w:pPr>
            <w:r>
              <w:rPr>
                <w:color w:val="auto"/>
              </w:rPr>
              <w:t>统计值</w:t>
            </w:r>
          </w:p>
        </w:tc>
        <w:tc>
          <w:tcPr>
            <w:tcW w:w="1028" w:type="pct"/>
            <w:vAlign w:val="center"/>
          </w:tcPr>
          <w:p w:rsidR="00EE56C0" w:rsidRDefault="000F36A1">
            <w:pPr>
              <w:pStyle w:val="aff1"/>
              <w:rPr>
                <w:color w:val="auto"/>
                <w:w w:val="99"/>
              </w:rPr>
            </w:pPr>
            <w:r>
              <w:rPr>
                <w:color w:val="auto"/>
                <w:w w:val="99"/>
              </w:rPr>
              <w:t>极值出现时间</w:t>
            </w:r>
          </w:p>
        </w:tc>
        <w:tc>
          <w:tcPr>
            <w:tcW w:w="814" w:type="pct"/>
            <w:vAlign w:val="center"/>
          </w:tcPr>
          <w:p w:rsidR="00EE56C0" w:rsidRDefault="000F36A1">
            <w:pPr>
              <w:pStyle w:val="aff1"/>
              <w:rPr>
                <w:color w:val="auto"/>
                <w:w w:val="99"/>
              </w:rPr>
            </w:pPr>
            <w:r>
              <w:rPr>
                <w:color w:val="auto"/>
                <w:w w:val="99"/>
              </w:rPr>
              <w:t>极值</w:t>
            </w:r>
          </w:p>
        </w:tc>
      </w:tr>
      <w:tr w:rsidR="00EE56C0">
        <w:trPr>
          <w:trHeight w:val="340"/>
        </w:trPr>
        <w:tc>
          <w:tcPr>
            <w:tcW w:w="2331" w:type="pct"/>
            <w:gridSpan w:val="2"/>
            <w:vAlign w:val="center"/>
          </w:tcPr>
          <w:p w:rsidR="00EE56C0" w:rsidRDefault="000F36A1">
            <w:pPr>
              <w:pStyle w:val="afa"/>
            </w:pPr>
            <w:r>
              <w:t>多年平均气温（</w:t>
            </w:r>
            <w:r>
              <w:rPr>
                <w:rFonts w:ascii="宋体" w:hAnsi="宋体" w:cs="宋体" w:hint="eastAsia"/>
              </w:rPr>
              <w:t>℃</w:t>
            </w:r>
            <w:r>
              <w:t>）</w:t>
            </w:r>
          </w:p>
        </w:tc>
        <w:tc>
          <w:tcPr>
            <w:tcW w:w="827" w:type="pct"/>
            <w:vAlign w:val="center"/>
          </w:tcPr>
          <w:p w:rsidR="00EE56C0" w:rsidRDefault="000F36A1">
            <w:pPr>
              <w:pStyle w:val="afa"/>
            </w:pPr>
            <w:r>
              <w:rPr>
                <w:rFonts w:hint="eastAsia"/>
              </w:rPr>
              <w:t>15.3</w:t>
            </w:r>
          </w:p>
        </w:tc>
        <w:tc>
          <w:tcPr>
            <w:tcW w:w="1028" w:type="pct"/>
            <w:vAlign w:val="center"/>
          </w:tcPr>
          <w:p w:rsidR="00EE56C0" w:rsidRDefault="000F36A1">
            <w:pPr>
              <w:pStyle w:val="afa"/>
            </w:pPr>
            <w:r>
              <w:rPr>
                <w:rFonts w:hint="eastAsia"/>
              </w:rPr>
              <w:t>/</w:t>
            </w:r>
          </w:p>
        </w:tc>
        <w:tc>
          <w:tcPr>
            <w:tcW w:w="814" w:type="pct"/>
            <w:vAlign w:val="center"/>
          </w:tcPr>
          <w:p w:rsidR="00EE56C0" w:rsidRDefault="000F36A1">
            <w:pPr>
              <w:pStyle w:val="afa"/>
            </w:pPr>
            <w:r>
              <w:rPr>
                <w:rFonts w:hint="eastAsia"/>
              </w:rPr>
              <w:t>/</w:t>
            </w:r>
          </w:p>
        </w:tc>
      </w:tr>
      <w:tr w:rsidR="00EE56C0">
        <w:trPr>
          <w:trHeight w:val="340"/>
        </w:trPr>
        <w:tc>
          <w:tcPr>
            <w:tcW w:w="2331" w:type="pct"/>
            <w:gridSpan w:val="2"/>
            <w:vAlign w:val="center"/>
          </w:tcPr>
          <w:p w:rsidR="00EE56C0" w:rsidRDefault="000F36A1">
            <w:pPr>
              <w:pStyle w:val="afa"/>
            </w:pPr>
            <w:r>
              <w:t>累年极端最高气温（</w:t>
            </w:r>
            <w:r>
              <w:rPr>
                <w:rFonts w:ascii="宋体" w:hAnsi="宋体" w:cs="宋体" w:hint="eastAsia"/>
              </w:rPr>
              <w:t>℃</w:t>
            </w:r>
            <w:r>
              <w:t>）</w:t>
            </w:r>
          </w:p>
        </w:tc>
        <w:tc>
          <w:tcPr>
            <w:tcW w:w="827" w:type="pct"/>
            <w:vAlign w:val="center"/>
          </w:tcPr>
          <w:p w:rsidR="00EE56C0" w:rsidRDefault="000F36A1">
            <w:pPr>
              <w:pStyle w:val="afa"/>
            </w:pPr>
            <w:r>
              <w:t>38.</w:t>
            </w:r>
            <w:r>
              <w:rPr>
                <w:rFonts w:hint="eastAsia"/>
              </w:rPr>
              <w:t>5</w:t>
            </w:r>
          </w:p>
        </w:tc>
        <w:tc>
          <w:tcPr>
            <w:tcW w:w="1028" w:type="pct"/>
            <w:vAlign w:val="center"/>
          </w:tcPr>
          <w:p w:rsidR="00EE56C0" w:rsidRDefault="000F36A1">
            <w:pPr>
              <w:pStyle w:val="afa"/>
            </w:pPr>
            <w:r>
              <w:t>2009-06-25</w:t>
            </w:r>
          </w:p>
        </w:tc>
        <w:tc>
          <w:tcPr>
            <w:tcW w:w="814" w:type="pct"/>
            <w:vAlign w:val="center"/>
          </w:tcPr>
          <w:p w:rsidR="00EE56C0" w:rsidRDefault="000F36A1">
            <w:pPr>
              <w:pStyle w:val="afa"/>
            </w:pPr>
            <w:r>
              <w:t>40.9</w:t>
            </w:r>
          </w:p>
        </w:tc>
      </w:tr>
      <w:tr w:rsidR="00EE56C0">
        <w:trPr>
          <w:trHeight w:val="340"/>
        </w:trPr>
        <w:tc>
          <w:tcPr>
            <w:tcW w:w="2331" w:type="pct"/>
            <w:gridSpan w:val="2"/>
            <w:vAlign w:val="center"/>
          </w:tcPr>
          <w:p w:rsidR="00EE56C0" w:rsidRDefault="000F36A1">
            <w:pPr>
              <w:pStyle w:val="afa"/>
            </w:pPr>
            <w:r>
              <w:t>累年极端最低气温（</w:t>
            </w:r>
            <w:r>
              <w:rPr>
                <w:rFonts w:ascii="宋体" w:hAnsi="宋体" w:cs="宋体" w:hint="eastAsia"/>
              </w:rPr>
              <w:t>℃</w:t>
            </w:r>
            <w:r>
              <w:t>）</w:t>
            </w:r>
          </w:p>
        </w:tc>
        <w:tc>
          <w:tcPr>
            <w:tcW w:w="827" w:type="pct"/>
            <w:vAlign w:val="center"/>
          </w:tcPr>
          <w:p w:rsidR="00EE56C0" w:rsidRDefault="000F36A1">
            <w:pPr>
              <w:pStyle w:val="afa"/>
            </w:pPr>
            <w:r>
              <w:t>-9.</w:t>
            </w:r>
            <w:r>
              <w:rPr>
                <w:rFonts w:hint="eastAsia"/>
              </w:rPr>
              <w:t>0</w:t>
            </w:r>
          </w:p>
        </w:tc>
        <w:tc>
          <w:tcPr>
            <w:tcW w:w="1028" w:type="pct"/>
            <w:vAlign w:val="center"/>
          </w:tcPr>
          <w:p w:rsidR="00EE56C0" w:rsidRDefault="000F36A1">
            <w:pPr>
              <w:pStyle w:val="afa"/>
            </w:pPr>
            <w:r>
              <w:t>2016-01-24</w:t>
            </w:r>
          </w:p>
        </w:tc>
        <w:tc>
          <w:tcPr>
            <w:tcW w:w="814" w:type="pct"/>
            <w:vAlign w:val="center"/>
          </w:tcPr>
          <w:p w:rsidR="00EE56C0" w:rsidRDefault="000F36A1">
            <w:pPr>
              <w:pStyle w:val="afa"/>
            </w:pPr>
            <w:r>
              <w:t>-13.1</w:t>
            </w:r>
          </w:p>
        </w:tc>
      </w:tr>
      <w:tr w:rsidR="00EE56C0">
        <w:trPr>
          <w:trHeight w:val="340"/>
        </w:trPr>
        <w:tc>
          <w:tcPr>
            <w:tcW w:w="2331" w:type="pct"/>
            <w:gridSpan w:val="2"/>
            <w:vAlign w:val="center"/>
          </w:tcPr>
          <w:p w:rsidR="00EE56C0" w:rsidRDefault="000F36A1">
            <w:pPr>
              <w:pStyle w:val="afa"/>
            </w:pPr>
            <w:r>
              <w:t>多年平均气压（</w:t>
            </w:r>
            <w:r>
              <w:t>hPa</w:t>
            </w:r>
            <w:r>
              <w:t>）</w:t>
            </w:r>
          </w:p>
        </w:tc>
        <w:tc>
          <w:tcPr>
            <w:tcW w:w="827" w:type="pct"/>
            <w:vAlign w:val="center"/>
          </w:tcPr>
          <w:p w:rsidR="00EE56C0" w:rsidRDefault="000F36A1">
            <w:pPr>
              <w:pStyle w:val="afa"/>
            </w:pPr>
            <w:r>
              <w:t>1008.0</w:t>
            </w:r>
          </w:p>
        </w:tc>
        <w:tc>
          <w:tcPr>
            <w:tcW w:w="1028" w:type="pct"/>
            <w:vAlign w:val="center"/>
          </w:tcPr>
          <w:p w:rsidR="00EE56C0" w:rsidRDefault="000F36A1">
            <w:pPr>
              <w:pStyle w:val="afa"/>
            </w:pPr>
            <w:r>
              <w:rPr>
                <w:rFonts w:hint="eastAsia"/>
              </w:rPr>
              <w:t>/</w:t>
            </w:r>
          </w:p>
        </w:tc>
        <w:tc>
          <w:tcPr>
            <w:tcW w:w="814" w:type="pct"/>
            <w:vAlign w:val="center"/>
          </w:tcPr>
          <w:p w:rsidR="00EE56C0" w:rsidRDefault="000F36A1">
            <w:pPr>
              <w:pStyle w:val="afa"/>
            </w:pPr>
            <w:r>
              <w:rPr>
                <w:rFonts w:hint="eastAsia"/>
              </w:rPr>
              <w:t>/</w:t>
            </w:r>
          </w:p>
        </w:tc>
      </w:tr>
      <w:tr w:rsidR="00EE56C0">
        <w:trPr>
          <w:trHeight w:val="340"/>
        </w:trPr>
        <w:tc>
          <w:tcPr>
            <w:tcW w:w="2331" w:type="pct"/>
            <w:gridSpan w:val="2"/>
            <w:vAlign w:val="center"/>
          </w:tcPr>
          <w:p w:rsidR="00EE56C0" w:rsidRDefault="000F36A1">
            <w:pPr>
              <w:pStyle w:val="afa"/>
            </w:pPr>
            <w:r>
              <w:t>多年平均水汽压（</w:t>
            </w:r>
            <w:r>
              <w:t>hPa</w:t>
            </w:r>
            <w:r>
              <w:t>）</w:t>
            </w:r>
          </w:p>
        </w:tc>
        <w:tc>
          <w:tcPr>
            <w:tcW w:w="827" w:type="pct"/>
            <w:vAlign w:val="center"/>
          </w:tcPr>
          <w:p w:rsidR="00EE56C0" w:rsidRDefault="000F36A1">
            <w:pPr>
              <w:pStyle w:val="afa"/>
            </w:pPr>
            <w:r>
              <w:rPr>
                <w:rFonts w:hint="eastAsia"/>
              </w:rPr>
              <w:t>12.9</w:t>
            </w:r>
          </w:p>
        </w:tc>
        <w:tc>
          <w:tcPr>
            <w:tcW w:w="1028" w:type="pct"/>
            <w:vAlign w:val="center"/>
          </w:tcPr>
          <w:p w:rsidR="00EE56C0" w:rsidRDefault="000F36A1">
            <w:pPr>
              <w:pStyle w:val="afa"/>
            </w:pPr>
            <w:r>
              <w:rPr>
                <w:rFonts w:hint="eastAsia"/>
              </w:rPr>
              <w:t>/</w:t>
            </w:r>
          </w:p>
        </w:tc>
        <w:tc>
          <w:tcPr>
            <w:tcW w:w="814" w:type="pct"/>
            <w:vAlign w:val="center"/>
          </w:tcPr>
          <w:p w:rsidR="00EE56C0" w:rsidRDefault="000F36A1">
            <w:pPr>
              <w:pStyle w:val="afa"/>
            </w:pPr>
            <w:r>
              <w:rPr>
                <w:rFonts w:hint="eastAsia"/>
              </w:rPr>
              <w:t>/</w:t>
            </w:r>
          </w:p>
        </w:tc>
      </w:tr>
      <w:tr w:rsidR="00EE56C0">
        <w:trPr>
          <w:trHeight w:val="340"/>
        </w:trPr>
        <w:tc>
          <w:tcPr>
            <w:tcW w:w="2331" w:type="pct"/>
            <w:gridSpan w:val="2"/>
            <w:vAlign w:val="center"/>
          </w:tcPr>
          <w:p w:rsidR="00EE56C0" w:rsidRDefault="000F36A1">
            <w:pPr>
              <w:pStyle w:val="afa"/>
            </w:pPr>
            <w:r>
              <w:t>多年平均相对湿度</w:t>
            </w:r>
            <w:r>
              <w:t>(%)</w:t>
            </w:r>
          </w:p>
        </w:tc>
        <w:tc>
          <w:tcPr>
            <w:tcW w:w="827" w:type="pct"/>
            <w:vAlign w:val="center"/>
          </w:tcPr>
          <w:p w:rsidR="00EE56C0" w:rsidRDefault="000F36A1">
            <w:pPr>
              <w:pStyle w:val="afa"/>
            </w:pPr>
            <w:r>
              <w:t>63.</w:t>
            </w:r>
            <w:r>
              <w:rPr>
                <w:rFonts w:hint="eastAsia"/>
              </w:rPr>
              <w:t>0</w:t>
            </w:r>
          </w:p>
        </w:tc>
        <w:tc>
          <w:tcPr>
            <w:tcW w:w="1028" w:type="pct"/>
            <w:vAlign w:val="center"/>
          </w:tcPr>
          <w:p w:rsidR="00EE56C0" w:rsidRDefault="000F36A1">
            <w:pPr>
              <w:pStyle w:val="afa"/>
            </w:pPr>
            <w:r>
              <w:rPr>
                <w:rFonts w:hint="eastAsia"/>
              </w:rPr>
              <w:t>/</w:t>
            </w:r>
          </w:p>
        </w:tc>
        <w:tc>
          <w:tcPr>
            <w:tcW w:w="814" w:type="pct"/>
            <w:vAlign w:val="center"/>
          </w:tcPr>
          <w:p w:rsidR="00EE56C0" w:rsidRDefault="000F36A1">
            <w:pPr>
              <w:pStyle w:val="afa"/>
            </w:pPr>
            <w:r>
              <w:rPr>
                <w:rFonts w:hint="eastAsia"/>
              </w:rPr>
              <w:t>/</w:t>
            </w:r>
          </w:p>
        </w:tc>
      </w:tr>
      <w:tr w:rsidR="00EE56C0">
        <w:trPr>
          <w:trHeight w:val="340"/>
        </w:trPr>
        <w:tc>
          <w:tcPr>
            <w:tcW w:w="2331" w:type="pct"/>
            <w:gridSpan w:val="2"/>
            <w:vAlign w:val="center"/>
          </w:tcPr>
          <w:p w:rsidR="00EE56C0" w:rsidRDefault="000F36A1">
            <w:pPr>
              <w:pStyle w:val="afa"/>
            </w:pPr>
            <w:r>
              <w:t>多年平均降雨量</w:t>
            </w:r>
            <w:r>
              <w:t>(mm)</w:t>
            </w:r>
          </w:p>
        </w:tc>
        <w:tc>
          <w:tcPr>
            <w:tcW w:w="827" w:type="pct"/>
            <w:vAlign w:val="center"/>
          </w:tcPr>
          <w:p w:rsidR="00EE56C0" w:rsidRDefault="000F36A1">
            <w:pPr>
              <w:pStyle w:val="afa"/>
            </w:pPr>
            <w:r>
              <w:rPr>
                <w:rFonts w:hint="eastAsia"/>
              </w:rPr>
              <w:t>555.5</w:t>
            </w:r>
          </w:p>
        </w:tc>
        <w:tc>
          <w:tcPr>
            <w:tcW w:w="1028" w:type="pct"/>
            <w:vAlign w:val="center"/>
          </w:tcPr>
          <w:p w:rsidR="00EE56C0" w:rsidRDefault="000F36A1">
            <w:pPr>
              <w:pStyle w:val="afa"/>
            </w:pPr>
            <w:r>
              <w:t>2016-07-09</w:t>
            </w:r>
          </w:p>
        </w:tc>
        <w:tc>
          <w:tcPr>
            <w:tcW w:w="814" w:type="pct"/>
            <w:vAlign w:val="center"/>
          </w:tcPr>
          <w:p w:rsidR="00EE56C0" w:rsidRDefault="000F36A1">
            <w:pPr>
              <w:pStyle w:val="afa"/>
            </w:pPr>
            <w:r>
              <w:t>414.0</w:t>
            </w:r>
          </w:p>
        </w:tc>
      </w:tr>
      <w:tr w:rsidR="00EE56C0">
        <w:trPr>
          <w:trHeight w:val="340"/>
        </w:trPr>
        <w:tc>
          <w:tcPr>
            <w:tcW w:w="602" w:type="pct"/>
            <w:vMerge w:val="restart"/>
            <w:vAlign w:val="center"/>
          </w:tcPr>
          <w:p w:rsidR="00EE56C0" w:rsidRDefault="000F36A1">
            <w:pPr>
              <w:pStyle w:val="afa"/>
            </w:pPr>
            <w:r>
              <w:t>灾害天气统计</w:t>
            </w:r>
          </w:p>
        </w:tc>
        <w:tc>
          <w:tcPr>
            <w:tcW w:w="1729" w:type="pct"/>
            <w:vAlign w:val="center"/>
          </w:tcPr>
          <w:p w:rsidR="00EE56C0" w:rsidRDefault="000F36A1">
            <w:pPr>
              <w:pStyle w:val="afa"/>
            </w:pPr>
            <w:r>
              <w:t>多年平均沙暴日数</w:t>
            </w:r>
            <w:r>
              <w:t>(d)</w:t>
            </w:r>
          </w:p>
        </w:tc>
        <w:tc>
          <w:tcPr>
            <w:tcW w:w="827" w:type="pct"/>
            <w:vAlign w:val="center"/>
          </w:tcPr>
          <w:p w:rsidR="00EE56C0" w:rsidRDefault="000F36A1">
            <w:pPr>
              <w:pStyle w:val="afa"/>
            </w:pPr>
            <w:r>
              <w:t>0.3</w:t>
            </w:r>
          </w:p>
        </w:tc>
        <w:tc>
          <w:tcPr>
            <w:tcW w:w="1028" w:type="pct"/>
            <w:vAlign w:val="center"/>
          </w:tcPr>
          <w:p w:rsidR="00EE56C0" w:rsidRDefault="000F36A1">
            <w:pPr>
              <w:pStyle w:val="afa"/>
            </w:pPr>
            <w:r>
              <w:rPr>
                <w:rFonts w:hint="eastAsia"/>
              </w:rPr>
              <w:t>/</w:t>
            </w:r>
          </w:p>
        </w:tc>
        <w:tc>
          <w:tcPr>
            <w:tcW w:w="814" w:type="pct"/>
            <w:vAlign w:val="center"/>
          </w:tcPr>
          <w:p w:rsidR="00EE56C0" w:rsidRDefault="000F36A1">
            <w:pPr>
              <w:pStyle w:val="afa"/>
            </w:pPr>
            <w:r>
              <w:rPr>
                <w:rFonts w:hint="eastAsia"/>
              </w:rPr>
              <w:t>/</w:t>
            </w:r>
          </w:p>
        </w:tc>
      </w:tr>
      <w:tr w:rsidR="00EE56C0">
        <w:trPr>
          <w:trHeight w:val="340"/>
        </w:trPr>
        <w:tc>
          <w:tcPr>
            <w:tcW w:w="602" w:type="pct"/>
            <w:vMerge/>
            <w:vAlign w:val="center"/>
          </w:tcPr>
          <w:p w:rsidR="00EE56C0" w:rsidRDefault="00EE56C0">
            <w:pPr>
              <w:pStyle w:val="afa"/>
            </w:pPr>
          </w:p>
        </w:tc>
        <w:tc>
          <w:tcPr>
            <w:tcW w:w="1729" w:type="pct"/>
            <w:vAlign w:val="center"/>
          </w:tcPr>
          <w:p w:rsidR="00EE56C0" w:rsidRDefault="000F36A1">
            <w:pPr>
              <w:pStyle w:val="afa"/>
            </w:pPr>
            <w:r>
              <w:t>多年平均雷暴日数</w:t>
            </w:r>
            <w:r>
              <w:t>(d)</w:t>
            </w:r>
          </w:p>
        </w:tc>
        <w:tc>
          <w:tcPr>
            <w:tcW w:w="827" w:type="pct"/>
            <w:vAlign w:val="center"/>
          </w:tcPr>
          <w:p w:rsidR="00EE56C0" w:rsidRDefault="000F36A1">
            <w:pPr>
              <w:pStyle w:val="afa"/>
            </w:pPr>
            <w:r>
              <w:t>21.</w:t>
            </w:r>
            <w:r>
              <w:rPr>
                <w:rFonts w:hint="eastAsia"/>
              </w:rPr>
              <w:t>5</w:t>
            </w:r>
          </w:p>
        </w:tc>
        <w:tc>
          <w:tcPr>
            <w:tcW w:w="1028" w:type="pct"/>
            <w:vAlign w:val="center"/>
          </w:tcPr>
          <w:p w:rsidR="00EE56C0" w:rsidRDefault="000F36A1">
            <w:pPr>
              <w:pStyle w:val="afa"/>
            </w:pPr>
            <w:r>
              <w:rPr>
                <w:rFonts w:hint="eastAsia"/>
              </w:rPr>
              <w:t>/</w:t>
            </w:r>
          </w:p>
        </w:tc>
        <w:tc>
          <w:tcPr>
            <w:tcW w:w="814" w:type="pct"/>
            <w:vAlign w:val="center"/>
          </w:tcPr>
          <w:p w:rsidR="00EE56C0" w:rsidRDefault="000F36A1">
            <w:pPr>
              <w:pStyle w:val="afa"/>
            </w:pPr>
            <w:r>
              <w:rPr>
                <w:rFonts w:hint="eastAsia"/>
              </w:rPr>
              <w:t>/</w:t>
            </w:r>
          </w:p>
        </w:tc>
      </w:tr>
      <w:tr w:rsidR="00EE56C0">
        <w:trPr>
          <w:trHeight w:val="340"/>
        </w:trPr>
        <w:tc>
          <w:tcPr>
            <w:tcW w:w="602" w:type="pct"/>
            <w:vMerge/>
            <w:vAlign w:val="center"/>
          </w:tcPr>
          <w:p w:rsidR="00EE56C0" w:rsidRDefault="00EE56C0">
            <w:pPr>
              <w:pStyle w:val="afa"/>
            </w:pPr>
          </w:p>
        </w:tc>
        <w:tc>
          <w:tcPr>
            <w:tcW w:w="1729" w:type="pct"/>
            <w:vAlign w:val="center"/>
          </w:tcPr>
          <w:p w:rsidR="00EE56C0" w:rsidRDefault="000F36A1">
            <w:pPr>
              <w:pStyle w:val="afa"/>
            </w:pPr>
            <w:r>
              <w:t>多年平均冰雹日数</w:t>
            </w:r>
            <w:r>
              <w:t>(d)</w:t>
            </w:r>
          </w:p>
        </w:tc>
        <w:tc>
          <w:tcPr>
            <w:tcW w:w="827" w:type="pct"/>
            <w:vAlign w:val="center"/>
          </w:tcPr>
          <w:p w:rsidR="00EE56C0" w:rsidRDefault="000F36A1">
            <w:pPr>
              <w:pStyle w:val="afa"/>
            </w:pPr>
            <w:r>
              <w:t>0.</w:t>
            </w:r>
            <w:r>
              <w:rPr>
                <w:rFonts w:hint="eastAsia"/>
              </w:rPr>
              <w:t>2</w:t>
            </w:r>
          </w:p>
        </w:tc>
        <w:tc>
          <w:tcPr>
            <w:tcW w:w="1028" w:type="pct"/>
            <w:vAlign w:val="center"/>
          </w:tcPr>
          <w:p w:rsidR="00EE56C0" w:rsidRDefault="000F36A1">
            <w:pPr>
              <w:pStyle w:val="afa"/>
            </w:pPr>
            <w:r>
              <w:rPr>
                <w:rFonts w:hint="eastAsia"/>
              </w:rPr>
              <w:t>/</w:t>
            </w:r>
          </w:p>
        </w:tc>
        <w:tc>
          <w:tcPr>
            <w:tcW w:w="814" w:type="pct"/>
            <w:vAlign w:val="center"/>
          </w:tcPr>
          <w:p w:rsidR="00EE56C0" w:rsidRDefault="000F36A1">
            <w:pPr>
              <w:pStyle w:val="afa"/>
            </w:pPr>
            <w:r>
              <w:rPr>
                <w:rFonts w:hint="eastAsia"/>
              </w:rPr>
              <w:t>/</w:t>
            </w:r>
          </w:p>
        </w:tc>
      </w:tr>
      <w:tr w:rsidR="00EE56C0">
        <w:trPr>
          <w:trHeight w:val="340"/>
        </w:trPr>
        <w:tc>
          <w:tcPr>
            <w:tcW w:w="602" w:type="pct"/>
            <w:vMerge/>
            <w:vAlign w:val="center"/>
          </w:tcPr>
          <w:p w:rsidR="00EE56C0" w:rsidRDefault="00EE56C0">
            <w:pPr>
              <w:pStyle w:val="afa"/>
            </w:pPr>
          </w:p>
        </w:tc>
        <w:tc>
          <w:tcPr>
            <w:tcW w:w="1729" w:type="pct"/>
            <w:vAlign w:val="center"/>
          </w:tcPr>
          <w:p w:rsidR="00EE56C0" w:rsidRDefault="000F36A1">
            <w:pPr>
              <w:pStyle w:val="afa"/>
            </w:pPr>
            <w:r>
              <w:t>多年平均大风日数</w:t>
            </w:r>
            <w:r>
              <w:t>(d)</w:t>
            </w:r>
          </w:p>
        </w:tc>
        <w:tc>
          <w:tcPr>
            <w:tcW w:w="827" w:type="pct"/>
            <w:vAlign w:val="center"/>
          </w:tcPr>
          <w:p w:rsidR="00EE56C0" w:rsidRDefault="000F36A1">
            <w:pPr>
              <w:pStyle w:val="afa"/>
            </w:pPr>
            <w:r>
              <w:t>3.9</w:t>
            </w:r>
          </w:p>
        </w:tc>
        <w:tc>
          <w:tcPr>
            <w:tcW w:w="1028" w:type="pct"/>
            <w:vAlign w:val="center"/>
          </w:tcPr>
          <w:p w:rsidR="00EE56C0" w:rsidRDefault="000F36A1">
            <w:pPr>
              <w:pStyle w:val="afa"/>
            </w:pPr>
            <w:r>
              <w:rPr>
                <w:rFonts w:hint="eastAsia"/>
              </w:rPr>
              <w:t>/</w:t>
            </w:r>
          </w:p>
        </w:tc>
        <w:tc>
          <w:tcPr>
            <w:tcW w:w="814" w:type="pct"/>
            <w:vAlign w:val="center"/>
          </w:tcPr>
          <w:p w:rsidR="00EE56C0" w:rsidRDefault="000F36A1">
            <w:pPr>
              <w:pStyle w:val="afa"/>
            </w:pPr>
            <w:r>
              <w:rPr>
                <w:rFonts w:hint="eastAsia"/>
              </w:rPr>
              <w:t>/</w:t>
            </w:r>
          </w:p>
        </w:tc>
      </w:tr>
      <w:tr w:rsidR="00EE56C0">
        <w:trPr>
          <w:trHeight w:val="340"/>
        </w:trPr>
        <w:tc>
          <w:tcPr>
            <w:tcW w:w="2331" w:type="pct"/>
            <w:gridSpan w:val="2"/>
            <w:vMerge w:val="restart"/>
            <w:vAlign w:val="center"/>
          </w:tcPr>
          <w:p w:rsidR="00EE56C0" w:rsidRDefault="000F36A1">
            <w:pPr>
              <w:pStyle w:val="afa"/>
            </w:pPr>
            <w:r>
              <w:t>多年实测极大风速（</w:t>
            </w:r>
            <w:r>
              <w:t>m/s</w:t>
            </w:r>
            <w:r>
              <w:t>）、相应风向</w:t>
            </w:r>
          </w:p>
        </w:tc>
        <w:tc>
          <w:tcPr>
            <w:tcW w:w="827" w:type="pct"/>
            <w:vMerge w:val="restart"/>
            <w:vAlign w:val="center"/>
          </w:tcPr>
          <w:p w:rsidR="00EE56C0" w:rsidRDefault="000F36A1">
            <w:pPr>
              <w:pStyle w:val="afa"/>
            </w:pPr>
            <w:r>
              <w:rPr>
                <w:rFonts w:hint="eastAsia"/>
              </w:rPr>
              <w:t>20</w:t>
            </w:r>
          </w:p>
        </w:tc>
        <w:tc>
          <w:tcPr>
            <w:tcW w:w="1028" w:type="pct"/>
            <w:vMerge w:val="restart"/>
            <w:vAlign w:val="center"/>
          </w:tcPr>
          <w:p w:rsidR="00EE56C0" w:rsidRDefault="000F36A1">
            <w:pPr>
              <w:pStyle w:val="afa"/>
            </w:pPr>
            <w:r>
              <w:t>2002-06-01</w:t>
            </w:r>
          </w:p>
        </w:tc>
        <w:tc>
          <w:tcPr>
            <w:tcW w:w="814" w:type="pct"/>
            <w:vAlign w:val="center"/>
          </w:tcPr>
          <w:p w:rsidR="00EE56C0" w:rsidRDefault="000F36A1">
            <w:pPr>
              <w:pStyle w:val="afa"/>
            </w:pPr>
            <w:r>
              <w:t>23.8</w:t>
            </w:r>
          </w:p>
        </w:tc>
      </w:tr>
      <w:tr w:rsidR="00EE56C0">
        <w:trPr>
          <w:trHeight w:val="340"/>
        </w:trPr>
        <w:tc>
          <w:tcPr>
            <w:tcW w:w="2331" w:type="pct"/>
            <w:gridSpan w:val="2"/>
            <w:vMerge/>
            <w:vAlign w:val="center"/>
          </w:tcPr>
          <w:p w:rsidR="00EE56C0" w:rsidRDefault="00EE56C0">
            <w:pPr>
              <w:pStyle w:val="afa"/>
            </w:pPr>
          </w:p>
        </w:tc>
        <w:tc>
          <w:tcPr>
            <w:tcW w:w="827" w:type="pct"/>
            <w:vMerge/>
            <w:vAlign w:val="center"/>
          </w:tcPr>
          <w:p w:rsidR="00EE56C0" w:rsidRDefault="00EE56C0">
            <w:pPr>
              <w:pStyle w:val="afa"/>
            </w:pPr>
          </w:p>
        </w:tc>
        <w:tc>
          <w:tcPr>
            <w:tcW w:w="1028" w:type="pct"/>
            <w:vMerge/>
            <w:vAlign w:val="center"/>
          </w:tcPr>
          <w:p w:rsidR="00EE56C0" w:rsidRDefault="00EE56C0">
            <w:pPr>
              <w:pStyle w:val="afa"/>
            </w:pPr>
          </w:p>
        </w:tc>
        <w:tc>
          <w:tcPr>
            <w:tcW w:w="814" w:type="pct"/>
            <w:vAlign w:val="center"/>
          </w:tcPr>
          <w:p w:rsidR="00EE56C0" w:rsidRDefault="000F36A1">
            <w:pPr>
              <w:pStyle w:val="afa"/>
            </w:pPr>
            <w:r>
              <w:t>N</w:t>
            </w:r>
          </w:p>
        </w:tc>
      </w:tr>
      <w:tr w:rsidR="00EE56C0">
        <w:trPr>
          <w:trHeight w:val="340"/>
        </w:trPr>
        <w:tc>
          <w:tcPr>
            <w:tcW w:w="2331" w:type="pct"/>
            <w:gridSpan w:val="2"/>
            <w:vAlign w:val="center"/>
          </w:tcPr>
          <w:p w:rsidR="00EE56C0" w:rsidRDefault="000F36A1">
            <w:pPr>
              <w:pStyle w:val="afa"/>
            </w:pPr>
            <w:r>
              <w:t>多年平均风速（</w:t>
            </w:r>
            <w:r>
              <w:t>m/s</w:t>
            </w:r>
            <w:r>
              <w:t>）</w:t>
            </w:r>
          </w:p>
        </w:tc>
        <w:tc>
          <w:tcPr>
            <w:tcW w:w="827" w:type="pct"/>
            <w:vAlign w:val="center"/>
          </w:tcPr>
          <w:p w:rsidR="00EE56C0" w:rsidRDefault="000F36A1">
            <w:pPr>
              <w:pStyle w:val="afa"/>
            </w:pPr>
            <w:r>
              <w:t>2.1</w:t>
            </w:r>
          </w:p>
        </w:tc>
        <w:tc>
          <w:tcPr>
            <w:tcW w:w="1028" w:type="pct"/>
            <w:vAlign w:val="center"/>
          </w:tcPr>
          <w:p w:rsidR="00EE56C0" w:rsidRDefault="000F36A1">
            <w:pPr>
              <w:pStyle w:val="afa"/>
            </w:pPr>
            <w:r>
              <w:rPr>
                <w:rFonts w:hint="eastAsia"/>
              </w:rPr>
              <w:t>/</w:t>
            </w:r>
          </w:p>
        </w:tc>
        <w:tc>
          <w:tcPr>
            <w:tcW w:w="814" w:type="pct"/>
            <w:vAlign w:val="center"/>
          </w:tcPr>
          <w:p w:rsidR="00EE56C0" w:rsidRDefault="000F36A1">
            <w:pPr>
              <w:pStyle w:val="afa"/>
            </w:pPr>
            <w:r>
              <w:rPr>
                <w:rFonts w:hint="eastAsia"/>
              </w:rPr>
              <w:t>/</w:t>
            </w:r>
          </w:p>
        </w:tc>
      </w:tr>
      <w:tr w:rsidR="00EE56C0">
        <w:trPr>
          <w:trHeight w:val="340"/>
        </w:trPr>
        <w:tc>
          <w:tcPr>
            <w:tcW w:w="2331" w:type="pct"/>
            <w:gridSpan w:val="2"/>
            <w:vMerge w:val="restart"/>
            <w:vAlign w:val="center"/>
          </w:tcPr>
          <w:p w:rsidR="00EE56C0" w:rsidRDefault="000F36A1">
            <w:pPr>
              <w:pStyle w:val="afa"/>
            </w:pPr>
            <w:r>
              <w:t>多年主导风向、风向频率</w:t>
            </w:r>
            <w:r>
              <w:t>(%)</w:t>
            </w:r>
          </w:p>
        </w:tc>
        <w:tc>
          <w:tcPr>
            <w:tcW w:w="827" w:type="pct"/>
            <w:vAlign w:val="center"/>
          </w:tcPr>
          <w:p w:rsidR="00EE56C0" w:rsidRDefault="000F36A1">
            <w:pPr>
              <w:pStyle w:val="afa"/>
            </w:pPr>
            <w:r>
              <w:t>ENE</w:t>
            </w:r>
          </w:p>
        </w:tc>
        <w:tc>
          <w:tcPr>
            <w:tcW w:w="1028" w:type="pct"/>
            <w:vAlign w:val="center"/>
          </w:tcPr>
          <w:p w:rsidR="00EE56C0" w:rsidRDefault="000F36A1">
            <w:pPr>
              <w:pStyle w:val="afa"/>
            </w:pPr>
            <w:r>
              <w:rPr>
                <w:rFonts w:hint="eastAsia"/>
              </w:rPr>
              <w:t>/</w:t>
            </w:r>
          </w:p>
        </w:tc>
        <w:tc>
          <w:tcPr>
            <w:tcW w:w="814" w:type="pct"/>
            <w:vAlign w:val="center"/>
          </w:tcPr>
          <w:p w:rsidR="00EE56C0" w:rsidRDefault="000F36A1">
            <w:pPr>
              <w:pStyle w:val="afa"/>
            </w:pPr>
            <w:r>
              <w:rPr>
                <w:rFonts w:hint="eastAsia"/>
              </w:rPr>
              <w:t>/</w:t>
            </w:r>
          </w:p>
        </w:tc>
      </w:tr>
      <w:tr w:rsidR="00EE56C0">
        <w:trPr>
          <w:trHeight w:val="340"/>
        </w:trPr>
        <w:tc>
          <w:tcPr>
            <w:tcW w:w="2331" w:type="pct"/>
            <w:gridSpan w:val="2"/>
            <w:vMerge/>
            <w:vAlign w:val="center"/>
          </w:tcPr>
          <w:p w:rsidR="00EE56C0" w:rsidRDefault="00EE56C0">
            <w:pPr>
              <w:pStyle w:val="afa"/>
            </w:pPr>
          </w:p>
        </w:tc>
        <w:tc>
          <w:tcPr>
            <w:tcW w:w="827" w:type="pct"/>
            <w:vAlign w:val="center"/>
          </w:tcPr>
          <w:p w:rsidR="00EE56C0" w:rsidRDefault="000F36A1">
            <w:pPr>
              <w:pStyle w:val="afa"/>
            </w:pPr>
            <w:r>
              <w:t>17.0</w:t>
            </w:r>
          </w:p>
        </w:tc>
        <w:tc>
          <w:tcPr>
            <w:tcW w:w="1028" w:type="pct"/>
            <w:vAlign w:val="center"/>
          </w:tcPr>
          <w:p w:rsidR="00EE56C0" w:rsidRDefault="000F36A1">
            <w:pPr>
              <w:pStyle w:val="afa"/>
            </w:pPr>
            <w:r>
              <w:rPr>
                <w:rFonts w:hint="eastAsia"/>
              </w:rPr>
              <w:t>/</w:t>
            </w:r>
          </w:p>
        </w:tc>
        <w:tc>
          <w:tcPr>
            <w:tcW w:w="814" w:type="pct"/>
            <w:vAlign w:val="center"/>
          </w:tcPr>
          <w:p w:rsidR="00EE56C0" w:rsidRDefault="000F36A1">
            <w:pPr>
              <w:pStyle w:val="afa"/>
            </w:pPr>
            <w:r>
              <w:rPr>
                <w:rFonts w:hint="eastAsia"/>
              </w:rPr>
              <w:t>/</w:t>
            </w:r>
          </w:p>
        </w:tc>
      </w:tr>
      <w:tr w:rsidR="00EE56C0">
        <w:trPr>
          <w:trHeight w:val="340"/>
        </w:trPr>
        <w:tc>
          <w:tcPr>
            <w:tcW w:w="2331" w:type="pct"/>
            <w:gridSpan w:val="2"/>
            <w:vAlign w:val="center"/>
          </w:tcPr>
          <w:p w:rsidR="00EE56C0" w:rsidRDefault="000F36A1">
            <w:pPr>
              <w:pStyle w:val="afa"/>
            </w:pPr>
            <w:r>
              <w:t>多年静风频率</w:t>
            </w:r>
            <w:r>
              <w:t>(</w:t>
            </w:r>
            <w:r>
              <w:t>风速</w:t>
            </w:r>
            <w:r>
              <w:t>&lt;0.2m/s)(%)</w:t>
            </w:r>
          </w:p>
        </w:tc>
        <w:tc>
          <w:tcPr>
            <w:tcW w:w="827" w:type="pct"/>
            <w:vAlign w:val="center"/>
          </w:tcPr>
          <w:p w:rsidR="00EE56C0" w:rsidRDefault="000F36A1">
            <w:pPr>
              <w:pStyle w:val="afa"/>
            </w:pPr>
            <w:r>
              <w:t>1</w:t>
            </w:r>
            <w:r>
              <w:rPr>
                <w:rFonts w:hint="eastAsia"/>
              </w:rPr>
              <w:t>0</w:t>
            </w:r>
            <w:r>
              <w:t>.8</w:t>
            </w:r>
          </w:p>
        </w:tc>
        <w:tc>
          <w:tcPr>
            <w:tcW w:w="1028" w:type="pct"/>
            <w:vAlign w:val="center"/>
          </w:tcPr>
          <w:p w:rsidR="00EE56C0" w:rsidRDefault="000F36A1">
            <w:pPr>
              <w:pStyle w:val="afa"/>
            </w:pPr>
            <w:r>
              <w:rPr>
                <w:rFonts w:hint="eastAsia"/>
              </w:rPr>
              <w:t>/</w:t>
            </w:r>
          </w:p>
        </w:tc>
        <w:tc>
          <w:tcPr>
            <w:tcW w:w="814" w:type="pct"/>
            <w:vAlign w:val="center"/>
          </w:tcPr>
          <w:p w:rsidR="00EE56C0" w:rsidRDefault="000F36A1">
            <w:pPr>
              <w:pStyle w:val="afa"/>
            </w:pPr>
            <w:r>
              <w:rPr>
                <w:rFonts w:hint="eastAsia"/>
              </w:rPr>
              <w:t>/</w:t>
            </w:r>
          </w:p>
        </w:tc>
      </w:tr>
    </w:tbl>
    <w:p w:rsidR="00EE56C0" w:rsidRDefault="000F36A1">
      <w:pPr>
        <w:pStyle w:val="4"/>
        <w:ind w:left="120" w:firstLine="241"/>
      </w:pPr>
      <w:r>
        <w:rPr>
          <w:rFonts w:hint="eastAsia"/>
        </w:rPr>
        <w:lastRenderedPageBreak/>
        <w:t>5.1.1.2</w:t>
      </w:r>
      <w:r>
        <w:rPr>
          <w:rFonts w:hint="eastAsia"/>
        </w:rPr>
        <w:t>气象站风观测数据统计</w:t>
      </w:r>
    </w:p>
    <w:p w:rsidR="00EE56C0" w:rsidRDefault="000F36A1">
      <w:pPr>
        <w:ind w:firstLine="480"/>
      </w:pPr>
      <w:r>
        <w:rPr>
          <w:rFonts w:hint="eastAsia"/>
        </w:rPr>
        <w:t>（</w:t>
      </w:r>
      <w:r>
        <w:rPr>
          <w:rFonts w:hint="eastAsia"/>
        </w:rPr>
        <w:t>1</w:t>
      </w:r>
      <w:r>
        <w:rPr>
          <w:rFonts w:hint="eastAsia"/>
        </w:rPr>
        <w:t>）</w:t>
      </w:r>
      <w:r>
        <w:t>月平均风速</w:t>
      </w:r>
    </w:p>
    <w:p w:rsidR="00EE56C0" w:rsidRDefault="000F36A1">
      <w:pPr>
        <w:ind w:firstLine="480"/>
      </w:pPr>
      <w:r>
        <w:t>新乡气象站月平均风速如表</w:t>
      </w:r>
      <w:r>
        <w:rPr>
          <w:rFonts w:hint="eastAsia"/>
        </w:rPr>
        <w:t>5-</w:t>
      </w:r>
      <w:r>
        <w:t>2</w:t>
      </w:r>
      <w:r>
        <w:t>，</w:t>
      </w:r>
      <w:r>
        <w:t>04</w:t>
      </w:r>
      <w:r>
        <w:t>月平均风速最大（</w:t>
      </w:r>
      <w:r>
        <w:t>2.6</w:t>
      </w:r>
      <w:r>
        <w:t>米</w:t>
      </w:r>
      <w:r>
        <w:t>/</w:t>
      </w:r>
      <w:r>
        <w:t>秒），</w:t>
      </w:r>
      <w:r>
        <w:t>09</w:t>
      </w:r>
      <w:r>
        <w:t>月风最小（</w:t>
      </w:r>
      <w:r>
        <w:t>1.7</w:t>
      </w:r>
      <w:r>
        <w:t>米</w:t>
      </w:r>
      <w:r>
        <w:t>/</w:t>
      </w:r>
      <w:r>
        <w:t>秒）。</w:t>
      </w:r>
    </w:p>
    <w:p w:rsidR="00EE56C0" w:rsidRDefault="000F36A1">
      <w:pPr>
        <w:pStyle w:val="afd"/>
        <w:spacing w:before="120" w:after="120"/>
        <w:ind w:firstLine="482"/>
      </w:pPr>
      <w:r>
        <w:t>表</w:t>
      </w:r>
      <w:r>
        <w:rPr>
          <w:rFonts w:hint="eastAsia"/>
        </w:rPr>
        <w:t>5-</w:t>
      </w:r>
      <w:r>
        <w:t xml:space="preserve">2 </w:t>
      </w:r>
      <w:r>
        <w:t>新乡气象站月平均风速统计单位</w:t>
      </w:r>
      <w:r>
        <w:rPr>
          <w:rFonts w:hint="eastAsia"/>
        </w:rPr>
        <w:t>：</w:t>
      </w:r>
      <w:r>
        <w:t>m/s</w:t>
      </w:r>
    </w:p>
    <w:tbl>
      <w:tblPr>
        <w:tblW w:w="5000" w:type="pct"/>
        <w:jc w:val="center"/>
        <w:tblBorders>
          <w:top w:val="single" w:sz="8" w:space="0" w:color="000001"/>
          <w:left w:val="single" w:sz="8" w:space="0" w:color="000001"/>
          <w:bottom w:val="single" w:sz="8" w:space="0" w:color="000001"/>
          <w:right w:val="single" w:sz="8" w:space="0" w:color="000001"/>
          <w:insideH w:val="single" w:sz="6" w:space="0" w:color="000001"/>
          <w:insideV w:val="single" w:sz="6" w:space="0" w:color="000001"/>
        </w:tblBorders>
        <w:tblCellMar>
          <w:left w:w="0" w:type="dxa"/>
          <w:right w:w="0" w:type="dxa"/>
        </w:tblCellMar>
        <w:tblLook w:val="04A0"/>
      </w:tblPr>
      <w:tblGrid>
        <w:gridCol w:w="998"/>
        <w:gridCol w:w="602"/>
        <w:gridCol w:w="620"/>
        <w:gridCol w:w="600"/>
        <w:gridCol w:w="620"/>
        <w:gridCol w:w="620"/>
        <w:gridCol w:w="600"/>
        <w:gridCol w:w="620"/>
        <w:gridCol w:w="620"/>
        <w:gridCol w:w="600"/>
        <w:gridCol w:w="620"/>
        <w:gridCol w:w="600"/>
        <w:gridCol w:w="613"/>
      </w:tblGrid>
      <w:tr w:rsidR="00EE56C0">
        <w:trPr>
          <w:trHeight w:val="487"/>
          <w:jc w:val="center"/>
        </w:trPr>
        <w:tc>
          <w:tcPr>
            <w:tcW w:w="599" w:type="pct"/>
            <w:vAlign w:val="center"/>
          </w:tcPr>
          <w:p w:rsidR="00EE56C0" w:rsidRDefault="000F36A1">
            <w:pPr>
              <w:pStyle w:val="aff1"/>
              <w:rPr>
                <w:color w:val="auto"/>
              </w:rPr>
            </w:pPr>
            <w:r>
              <w:rPr>
                <w:b w:val="0"/>
                <w:noProof/>
                <w:color w:val="auto"/>
              </w:rPr>
              <w:drawing>
                <wp:anchor distT="0" distB="0" distL="114300" distR="114300" simplePos="0" relativeHeight="251598336" behindDoc="1" locked="0" layoutInCell="0" allowOverlap="1">
                  <wp:simplePos x="0" y="0"/>
                  <wp:positionH relativeFrom="column">
                    <wp:posOffset>1280795</wp:posOffset>
                  </wp:positionH>
                  <wp:positionV relativeFrom="paragraph">
                    <wp:posOffset>95250</wp:posOffset>
                  </wp:positionV>
                  <wp:extent cx="1270" cy="20320"/>
                  <wp:effectExtent l="0" t="0" r="0" b="0"/>
                  <wp:wrapNone/>
                  <wp:docPr id="109" name="图片 6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6144"/>
                          <pic:cNvPicPr>
                            <a:picLocks noChangeAspect="1" noChangeArrowheads="1"/>
                          </pic:cNvPicPr>
                        </pic:nvPicPr>
                        <pic:blipFill>
                          <a:blip r:embed="rId72"/>
                          <a:srcRect/>
                          <a:stretch>
                            <a:fillRect/>
                          </a:stretch>
                        </pic:blipFill>
                        <pic:spPr>
                          <a:xfrm>
                            <a:off x="0" y="0"/>
                            <a:ext cx="1270" cy="20320"/>
                          </a:xfrm>
                          <a:prstGeom prst="rect">
                            <a:avLst/>
                          </a:prstGeom>
                          <a:noFill/>
                          <a:ln w="9525">
                            <a:noFill/>
                            <a:miter lim="800000"/>
                            <a:headEnd/>
                            <a:tailEnd/>
                          </a:ln>
                        </pic:spPr>
                      </pic:pic>
                    </a:graphicData>
                  </a:graphic>
                </wp:anchor>
              </w:drawing>
            </w:r>
            <w:r>
              <w:rPr>
                <w:b w:val="0"/>
                <w:noProof/>
                <w:color w:val="auto"/>
              </w:rPr>
              <w:drawing>
                <wp:anchor distT="0" distB="0" distL="114300" distR="114300" simplePos="0" relativeHeight="251599360" behindDoc="1" locked="0" layoutInCell="0" allowOverlap="1">
                  <wp:simplePos x="0" y="0"/>
                  <wp:positionH relativeFrom="column">
                    <wp:posOffset>1671955</wp:posOffset>
                  </wp:positionH>
                  <wp:positionV relativeFrom="paragraph">
                    <wp:posOffset>95250</wp:posOffset>
                  </wp:positionV>
                  <wp:extent cx="1270" cy="20320"/>
                  <wp:effectExtent l="0" t="0" r="0" b="0"/>
                  <wp:wrapNone/>
                  <wp:docPr id="108" name="图片 6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6145"/>
                          <pic:cNvPicPr>
                            <a:picLocks noChangeAspect="1" noChangeArrowheads="1"/>
                          </pic:cNvPicPr>
                        </pic:nvPicPr>
                        <pic:blipFill>
                          <a:blip r:embed="rId72"/>
                          <a:srcRect/>
                          <a:stretch>
                            <a:fillRect/>
                          </a:stretch>
                        </pic:blipFill>
                        <pic:spPr>
                          <a:xfrm>
                            <a:off x="0" y="0"/>
                            <a:ext cx="1270" cy="20320"/>
                          </a:xfrm>
                          <a:prstGeom prst="rect">
                            <a:avLst/>
                          </a:prstGeom>
                          <a:noFill/>
                          <a:ln w="9525">
                            <a:noFill/>
                            <a:miter lim="800000"/>
                            <a:headEnd/>
                            <a:tailEnd/>
                          </a:ln>
                        </pic:spPr>
                      </pic:pic>
                    </a:graphicData>
                  </a:graphic>
                </wp:anchor>
              </w:drawing>
            </w:r>
            <w:r>
              <w:rPr>
                <w:b w:val="0"/>
                <w:noProof/>
                <w:color w:val="auto"/>
              </w:rPr>
              <w:drawing>
                <wp:anchor distT="0" distB="0" distL="114300" distR="114300" simplePos="0" relativeHeight="251600384" behindDoc="1" locked="0" layoutInCell="0" allowOverlap="1">
                  <wp:simplePos x="0" y="0"/>
                  <wp:positionH relativeFrom="column">
                    <wp:posOffset>2059305</wp:posOffset>
                  </wp:positionH>
                  <wp:positionV relativeFrom="paragraph">
                    <wp:posOffset>95250</wp:posOffset>
                  </wp:positionV>
                  <wp:extent cx="1270" cy="20320"/>
                  <wp:effectExtent l="0" t="0" r="0" b="0"/>
                  <wp:wrapNone/>
                  <wp:docPr id="107" name="图片 6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6146"/>
                          <pic:cNvPicPr>
                            <a:picLocks noChangeAspect="1" noChangeArrowheads="1"/>
                          </pic:cNvPicPr>
                        </pic:nvPicPr>
                        <pic:blipFill>
                          <a:blip r:embed="rId72"/>
                          <a:srcRect/>
                          <a:stretch>
                            <a:fillRect/>
                          </a:stretch>
                        </pic:blipFill>
                        <pic:spPr>
                          <a:xfrm>
                            <a:off x="0" y="0"/>
                            <a:ext cx="1270" cy="20320"/>
                          </a:xfrm>
                          <a:prstGeom prst="rect">
                            <a:avLst/>
                          </a:prstGeom>
                          <a:noFill/>
                          <a:ln w="9525">
                            <a:noFill/>
                            <a:miter lim="800000"/>
                            <a:headEnd/>
                            <a:tailEnd/>
                          </a:ln>
                        </pic:spPr>
                      </pic:pic>
                    </a:graphicData>
                  </a:graphic>
                </wp:anchor>
              </w:drawing>
            </w:r>
            <w:r>
              <w:rPr>
                <w:b w:val="0"/>
                <w:noProof/>
                <w:color w:val="auto"/>
              </w:rPr>
              <w:drawing>
                <wp:anchor distT="0" distB="0" distL="114300" distR="114300" simplePos="0" relativeHeight="251601408" behindDoc="1" locked="0" layoutInCell="0" allowOverlap="1">
                  <wp:simplePos x="0" y="0"/>
                  <wp:positionH relativeFrom="column">
                    <wp:posOffset>2447925</wp:posOffset>
                  </wp:positionH>
                  <wp:positionV relativeFrom="paragraph">
                    <wp:posOffset>95250</wp:posOffset>
                  </wp:positionV>
                  <wp:extent cx="1270" cy="20320"/>
                  <wp:effectExtent l="0" t="0" r="0" b="0"/>
                  <wp:wrapNone/>
                  <wp:docPr id="106" name="图片 6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6147"/>
                          <pic:cNvPicPr>
                            <a:picLocks noChangeAspect="1" noChangeArrowheads="1"/>
                          </pic:cNvPicPr>
                        </pic:nvPicPr>
                        <pic:blipFill>
                          <a:blip r:embed="rId72"/>
                          <a:srcRect/>
                          <a:stretch>
                            <a:fillRect/>
                          </a:stretch>
                        </pic:blipFill>
                        <pic:spPr>
                          <a:xfrm>
                            <a:off x="0" y="0"/>
                            <a:ext cx="1270" cy="20320"/>
                          </a:xfrm>
                          <a:prstGeom prst="rect">
                            <a:avLst/>
                          </a:prstGeom>
                          <a:noFill/>
                          <a:ln w="9525">
                            <a:noFill/>
                            <a:miter lim="800000"/>
                            <a:headEnd/>
                            <a:tailEnd/>
                          </a:ln>
                        </pic:spPr>
                      </pic:pic>
                    </a:graphicData>
                  </a:graphic>
                </wp:anchor>
              </w:drawing>
            </w:r>
            <w:r>
              <w:rPr>
                <w:b w:val="0"/>
                <w:noProof/>
                <w:color w:val="auto"/>
              </w:rPr>
              <w:drawing>
                <wp:anchor distT="0" distB="0" distL="114300" distR="114300" simplePos="0" relativeHeight="251602432" behindDoc="1" locked="0" layoutInCell="0" allowOverlap="1">
                  <wp:simplePos x="0" y="0"/>
                  <wp:positionH relativeFrom="column">
                    <wp:posOffset>2836545</wp:posOffset>
                  </wp:positionH>
                  <wp:positionV relativeFrom="paragraph">
                    <wp:posOffset>95250</wp:posOffset>
                  </wp:positionV>
                  <wp:extent cx="1270" cy="20320"/>
                  <wp:effectExtent l="0" t="0" r="0" b="0"/>
                  <wp:wrapNone/>
                  <wp:docPr id="105" name="图片 6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6148"/>
                          <pic:cNvPicPr>
                            <a:picLocks noChangeAspect="1" noChangeArrowheads="1"/>
                          </pic:cNvPicPr>
                        </pic:nvPicPr>
                        <pic:blipFill>
                          <a:blip r:embed="rId72"/>
                          <a:srcRect/>
                          <a:stretch>
                            <a:fillRect/>
                          </a:stretch>
                        </pic:blipFill>
                        <pic:spPr>
                          <a:xfrm>
                            <a:off x="0" y="0"/>
                            <a:ext cx="1270" cy="20320"/>
                          </a:xfrm>
                          <a:prstGeom prst="rect">
                            <a:avLst/>
                          </a:prstGeom>
                          <a:noFill/>
                          <a:ln w="9525">
                            <a:noFill/>
                            <a:miter lim="800000"/>
                            <a:headEnd/>
                            <a:tailEnd/>
                          </a:ln>
                        </pic:spPr>
                      </pic:pic>
                    </a:graphicData>
                  </a:graphic>
                </wp:anchor>
              </w:drawing>
            </w:r>
            <w:r>
              <w:rPr>
                <w:b w:val="0"/>
                <w:noProof/>
                <w:color w:val="auto"/>
              </w:rPr>
              <w:drawing>
                <wp:anchor distT="0" distB="0" distL="114300" distR="114300" simplePos="0" relativeHeight="251603456" behindDoc="1" locked="0" layoutInCell="0" allowOverlap="1">
                  <wp:simplePos x="0" y="0"/>
                  <wp:positionH relativeFrom="column">
                    <wp:posOffset>3223895</wp:posOffset>
                  </wp:positionH>
                  <wp:positionV relativeFrom="paragraph">
                    <wp:posOffset>95250</wp:posOffset>
                  </wp:positionV>
                  <wp:extent cx="1270" cy="20320"/>
                  <wp:effectExtent l="0" t="0" r="0" b="0"/>
                  <wp:wrapNone/>
                  <wp:docPr id="104" name="图片 6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6149"/>
                          <pic:cNvPicPr>
                            <a:picLocks noChangeAspect="1" noChangeArrowheads="1"/>
                          </pic:cNvPicPr>
                        </pic:nvPicPr>
                        <pic:blipFill>
                          <a:blip r:embed="rId72"/>
                          <a:srcRect/>
                          <a:stretch>
                            <a:fillRect/>
                          </a:stretch>
                        </pic:blipFill>
                        <pic:spPr>
                          <a:xfrm>
                            <a:off x="0" y="0"/>
                            <a:ext cx="1270" cy="20320"/>
                          </a:xfrm>
                          <a:prstGeom prst="rect">
                            <a:avLst/>
                          </a:prstGeom>
                          <a:noFill/>
                          <a:ln w="9525">
                            <a:noFill/>
                            <a:miter lim="800000"/>
                            <a:headEnd/>
                            <a:tailEnd/>
                          </a:ln>
                        </pic:spPr>
                      </pic:pic>
                    </a:graphicData>
                  </a:graphic>
                </wp:anchor>
              </w:drawing>
            </w:r>
            <w:r>
              <w:rPr>
                <w:b w:val="0"/>
                <w:noProof/>
                <w:color w:val="auto"/>
              </w:rPr>
              <w:drawing>
                <wp:anchor distT="0" distB="0" distL="114300" distR="114300" simplePos="0" relativeHeight="251604480" behindDoc="1" locked="0" layoutInCell="0" allowOverlap="1">
                  <wp:simplePos x="0" y="0"/>
                  <wp:positionH relativeFrom="column">
                    <wp:posOffset>3612515</wp:posOffset>
                  </wp:positionH>
                  <wp:positionV relativeFrom="paragraph">
                    <wp:posOffset>95250</wp:posOffset>
                  </wp:positionV>
                  <wp:extent cx="1270" cy="20320"/>
                  <wp:effectExtent l="0" t="0" r="0" b="0"/>
                  <wp:wrapNone/>
                  <wp:docPr id="103" name="图片 6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6150"/>
                          <pic:cNvPicPr>
                            <a:picLocks noChangeAspect="1" noChangeArrowheads="1"/>
                          </pic:cNvPicPr>
                        </pic:nvPicPr>
                        <pic:blipFill>
                          <a:blip r:embed="rId72"/>
                          <a:srcRect/>
                          <a:stretch>
                            <a:fillRect/>
                          </a:stretch>
                        </pic:blipFill>
                        <pic:spPr>
                          <a:xfrm>
                            <a:off x="0" y="0"/>
                            <a:ext cx="1270" cy="20320"/>
                          </a:xfrm>
                          <a:prstGeom prst="rect">
                            <a:avLst/>
                          </a:prstGeom>
                          <a:noFill/>
                          <a:ln w="9525">
                            <a:noFill/>
                            <a:miter lim="800000"/>
                            <a:headEnd/>
                            <a:tailEnd/>
                          </a:ln>
                        </pic:spPr>
                      </pic:pic>
                    </a:graphicData>
                  </a:graphic>
                </wp:anchor>
              </w:drawing>
            </w:r>
            <w:r>
              <w:rPr>
                <w:b w:val="0"/>
                <w:noProof/>
                <w:color w:val="auto"/>
              </w:rPr>
              <w:drawing>
                <wp:anchor distT="0" distB="0" distL="114300" distR="114300" simplePos="0" relativeHeight="251605504" behindDoc="1" locked="0" layoutInCell="0" allowOverlap="1">
                  <wp:simplePos x="0" y="0"/>
                  <wp:positionH relativeFrom="column">
                    <wp:posOffset>4003675</wp:posOffset>
                  </wp:positionH>
                  <wp:positionV relativeFrom="paragraph">
                    <wp:posOffset>95250</wp:posOffset>
                  </wp:positionV>
                  <wp:extent cx="1270" cy="20320"/>
                  <wp:effectExtent l="0" t="0" r="0" b="0"/>
                  <wp:wrapNone/>
                  <wp:docPr id="102" name="图片 6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6151"/>
                          <pic:cNvPicPr>
                            <a:picLocks noChangeAspect="1" noChangeArrowheads="1"/>
                          </pic:cNvPicPr>
                        </pic:nvPicPr>
                        <pic:blipFill>
                          <a:blip r:embed="rId72"/>
                          <a:srcRect/>
                          <a:stretch>
                            <a:fillRect/>
                          </a:stretch>
                        </pic:blipFill>
                        <pic:spPr>
                          <a:xfrm>
                            <a:off x="0" y="0"/>
                            <a:ext cx="1270" cy="20320"/>
                          </a:xfrm>
                          <a:prstGeom prst="rect">
                            <a:avLst/>
                          </a:prstGeom>
                          <a:noFill/>
                          <a:ln w="9525">
                            <a:noFill/>
                            <a:miter lim="800000"/>
                            <a:headEnd/>
                            <a:tailEnd/>
                          </a:ln>
                        </pic:spPr>
                      </pic:pic>
                    </a:graphicData>
                  </a:graphic>
                </wp:anchor>
              </w:drawing>
            </w:r>
            <w:r>
              <w:rPr>
                <w:b w:val="0"/>
                <w:noProof/>
                <w:color w:val="auto"/>
              </w:rPr>
              <w:drawing>
                <wp:anchor distT="0" distB="0" distL="114300" distR="114300" simplePos="0" relativeHeight="251606528" behindDoc="1" locked="0" layoutInCell="0" allowOverlap="1">
                  <wp:simplePos x="0" y="0"/>
                  <wp:positionH relativeFrom="column">
                    <wp:posOffset>4392295</wp:posOffset>
                  </wp:positionH>
                  <wp:positionV relativeFrom="paragraph">
                    <wp:posOffset>95250</wp:posOffset>
                  </wp:positionV>
                  <wp:extent cx="1270" cy="20320"/>
                  <wp:effectExtent l="0" t="0" r="0" b="0"/>
                  <wp:wrapNone/>
                  <wp:docPr id="101" name="图片 6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6152"/>
                          <pic:cNvPicPr>
                            <a:picLocks noChangeAspect="1" noChangeArrowheads="1"/>
                          </pic:cNvPicPr>
                        </pic:nvPicPr>
                        <pic:blipFill>
                          <a:blip r:embed="rId72"/>
                          <a:srcRect/>
                          <a:stretch>
                            <a:fillRect/>
                          </a:stretch>
                        </pic:blipFill>
                        <pic:spPr>
                          <a:xfrm>
                            <a:off x="0" y="0"/>
                            <a:ext cx="1270" cy="20320"/>
                          </a:xfrm>
                          <a:prstGeom prst="rect">
                            <a:avLst/>
                          </a:prstGeom>
                          <a:noFill/>
                          <a:ln w="9525">
                            <a:noFill/>
                            <a:miter lim="800000"/>
                            <a:headEnd/>
                            <a:tailEnd/>
                          </a:ln>
                        </pic:spPr>
                      </pic:pic>
                    </a:graphicData>
                  </a:graphic>
                </wp:anchor>
              </w:drawing>
            </w:r>
            <w:r>
              <w:rPr>
                <w:b w:val="0"/>
                <w:noProof/>
                <w:color w:val="auto"/>
              </w:rPr>
              <w:drawing>
                <wp:anchor distT="0" distB="0" distL="114300" distR="114300" simplePos="0" relativeHeight="251607552" behindDoc="1" locked="0" layoutInCell="0" allowOverlap="1">
                  <wp:simplePos x="0" y="0"/>
                  <wp:positionH relativeFrom="column">
                    <wp:posOffset>4780915</wp:posOffset>
                  </wp:positionH>
                  <wp:positionV relativeFrom="paragraph">
                    <wp:posOffset>95250</wp:posOffset>
                  </wp:positionV>
                  <wp:extent cx="1270" cy="20320"/>
                  <wp:effectExtent l="0" t="0" r="0" b="0"/>
                  <wp:wrapNone/>
                  <wp:docPr id="100" name="图片 6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6153"/>
                          <pic:cNvPicPr>
                            <a:picLocks noChangeAspect="1" noChangeArrowheads="1"/>
                          </pic:cNvPicPr>
                        </pic:nvPicPr>
                        <pic:blipFill>
                          <a:blip r:embed="rId72"/>
                          <a:srcRect/>
                          <a:stretch>
                            <a:fillRect/>
                          </a:stretch>
                        </pic:blipFill>
                        <pic:spPr>
                          <a:xfrm>
                            <a:off x="0" y="0"/>
                            <a:ext cx="1270" cy="20320"/>
                          </a:xfrm>
                          <a:prstGeom prst="rect">
                            <a:avLst/>
                          </a:prstGeom>
                          <a:noFill/>
                          <a:ln w="9525">
                            <a:noFill/>
                            <a:miter lim="800000"/>
                            <a:headEnd/>
                            <a:tailEnd/>
                          </a:ln>
                        </pic:spPr>
                      </pic:pic>
                    </a:graphicData>
                  </a:graphic>
                </wp:anchor>
              </w:drawing>
            </w:r>
            <w:r>
              <w:rPr>
                <w:b w:val="0"/>
                <w:noProof/>
                <w:color w:val="auto"/>
              </w:rPr>
              <w:drawing>
                <wp:anchor distT="0" distB="0" distL="114300" distR="114300" simplePos="0" relativeHeight="251608576" behindDoc="1" locked="0" layoutInCell="0" allowOverlap="1">
                  <wp:simplePos x="0" y="0"/>
                  <wp:positionH relativeFrom="column">
                    <wp:posOffset>5169535</wp:posOffset>
                  </wp:positionH>
                  <wp:positionV relativeFrom="paragraph">
                    <wp:posOffset>95250</wp:posOffset>
                  </wp:positionV>
                  <wp:extent cx="1270" cy="20320"/>
                  <wp:effectExtent l="0" t="0" r="0" b="0"/>
                  <wp:wrapNone/>
                  <wp:docPr id="99" name="图片 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6154"/>
                          <pic:cNvPicPr>
                            <a:picLocks noChangeAspect="1" noChangeArrowheads="1"/>
                          </pic:cNvPicPr>
                        </pic:nvPicPr>
                        <pic:blipFill>
                          <a:blip r:embed="rId72"/>
                          <a:srcRect/>
                          <a:stretch>
                            <a:fillRect/>
                          </a:stretch>
                        </pic:blipFill>
                        <pic:spPr>
                          <a:xfrm>
                            <a:off x="0" y="0"/>
                            <a:ext cx="1270" cy="20320"/>
                          </a:xfrm>
                          <a:prstGeom prst="rect">
                            <a:avLst/>
                          </a:prstGeom>
                          <a:noFill/>
                          <a:ln w="9525">
                            <a:noFill/>
                            <a:miter lim="800000"/>
                            <a:headEnd/>
                            <a:tailEnd/>
                          </a:ln>
                        </pic:spPr>
                      </pic:pic>
                    </a:graphicData>
                  </a:graphic>
                </wp:anchor>
              </w:drawing>
            </w:r>
            <w:r>
              <w:rPr>
                <w:b w:val="0"/>
                <w:noProof/>
                <w:color w:val="auto"/>
              </w:rPr>
              <w:drawing>
                <wp:anchor distT="0" distB="0" distL="114300" distR="114300" simplePos="0" relativeHeight="251609600" behindDoc="1" locked="0" layoutInCell="0" allowOverlap="1">
                  <wp:simplePos x="0" y="0"/>
                  <wp:positionH relativeFrom="column">
                    <wp:posOffset>5555615</wp:posOffset>
                  </wp:positionH>
                  <wp:positionV relativeFrom="paragraph">
                    <wp:posOffset>95250</wp:posOffset>
                  </wp:positionV>
                  <wp:extent cx="1270" cy="20320"/>
                  <wp:effectExtent l="0" t="0" r="0" b="0"/>
                  <wp:wrapNone/>
                  <wp:docPr id="98" name="图片 6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6155"/>
                          <pic:cNvPicPr>
                            <a:picLocks noChangeAspect="1" noChangeArrowheads="1"/>
                          </pic:cNvPicPr>
                        </pic:nvPicPr>
                        <pic:blipFill>
                          <a:blip r:embed="rId72"/>
                          <a:srcRect/>
                          <a:stretch>
                            <a:fillRect/>
                          </a:stretch>
                        </pic:blipFill>
                        <pic:spPr>
                          <a:xfrm>
                            <a:off x="0" y="0"/>
                            <a:ext cx="1270" cy="20320"/>
                          </a:xfrm>
                          <a:prstGeom prst="rect">
                            <a:avLst/>
                          </a:prstGeom>
                          <a:noFill/>
                          <a:ln w="9525">
                            <a:noFill/>
                            <a:miter lim="800000"/>
                            <a:headEnd/>
                            <a:tailEnd/>
                          </a:ln>
                        </pic:spPr>
                      </pic:pic>
                    </a:graphicData>
                  </a:graphic>
                </wp:anchor>
              </w:drawing>
            </w:r>
            <w:r>
              <w:rPr>
                <w:color w:val="auto"/>
              </w:rPr>
              <w:t>月份</w:t>
            </w:r>
          </w:p>
        </w:tc>
        <w:tc>
          <w:tcPr>
            <w:tcW w:w="361" w:type="pct"/>
            <w:vAlign w:val="center"/>
          </w:tcPr>
          <w:p w:rsidR="00EE56C0" w:rsidRDefault="000F36A1">
            <w:pPr>
              <w:pStyle w:val="aff1"/>
              <w:rPr>
                <w:color w:val="auto"/>
              </w:rPr>
            </w:pPr>
            <w:r>
              <w:rPr>
                <w:color w:val="auto"/>
              </w:rPr>
              <w:t>1</w:t>
            </w:r>
          </w:p>
        </w:tc>
        <w:tc>
          <w:tcPr>
            <w:tcW w:w="372" w:type="pct"/>
            <w:vAlign w:val="center"/>
          </w:tcPr>
          <w:p w:rsidR="00EE56C0" w:rsidRDefault="000F36A1">
            <w:pPr>
              <w:pStyle w:val="aff1"/>
              <w:rPr>
                <w:color w:val="auto"/>
              </w:rPr>
            </w:pPr>
            <w:r>
              <w:rPr>
                <w:color w:val="auto"/>
              </w:rPr>
              <w:t>2</w:t>
            </w:r>
          </w:p>
        </w:tc>
        <w:tc>
          <w:tcPr>
            <w:tcW w:w="360" w:type="pct"/>
            <w:vAlign w:val="center"/>
          </w:tcPr>
          <w:p w:rsidR="00EE56C0" w:rsidRDefault="000F36A1">
            <w:pPr>
              <w:pStyle w:val="aff1"/>
              <w:rPr>
                <w:color w:val="auto"/>
              </w:rPr>
            </w:pPr>
            <w:r>
              <w:rPr>
                <w:color w:val="auto"/>
              </w:rPr>
              <w:t>3</w:t>
            </w:r>
          </w:p>
        </w:tc>
        <w:tc>
          <w:tcPr>
            <w:tcW w:w="372" w:type="pct"/>
            <w:vAlign w:val="center"/>
          </w:tcPr>
          <w:p w:rsidR="00EE56C0" w:rsidRDefault="000F36A1">
            <w:pPr>
              <w:pStyle w:val="aff1"/>
              <w:rPr>
                <w:color w:val="auto"/>
              </w:rPr>
            </w:pPr>
            <w:r>
              <w:rPr>
                <w:color w:val="auto"/>
              </w:rPr>
              <w:t>4</w:t>
            </w:r>
          </w:p>
        </w:tc>
        <w:tc>
          <w:tcPr>
            <w:tcW w:w="372" w:type="pct"/>
            <w:vAlign w:val="center"/>
          </w:tcPr>
          <w:p w:rsidR="00EE56C0" w:rsidRDefault="000F36A1">
            <w:pPr>
              <w:pStyle w:val="aff1"/>
              <w:rPr>
                <w:color w:val="auto"/>
              </w:rPr>
            </w:pPr>
            <w:r>
              <w:rPr>
                <w:color w:val="auto"/>
              </w:rPr>
              <w:t>5</w:t>
            </w:r>
          </w:p>
        </w:tc>
        <w:tc>
          <w:tcPr>
            <w:tcW w:w="360" w:type="pct"/>
            <w:vAlign w:val="center"/>
          </w:tcPr>
          <w:p w:rsidR="00EE56C0" w:rsidRDefault="000F36A1">
            <w:pPr>
              <w:pStyle w:val="aff1"/>
              <w:rPr>
                <w:color w:val="auto"/>
              </w:rPr>
            </w:pPr>
            <w:r>
              <w:rPr>
                <w:color w:val="auto"/>
              </w:rPr>
              <w:t>6</w:t>
            </w:r>
          </w:p>
        </w:tc>
        <w:tc>
          <w:tcPr>
            <w:tcW w:w="372" w:type="pct"/>
            <w:vAlign w:val="center"/>
          </w:tcPr>
          <w:p w:rsidR="00EE56C0" w:rsidRDefault="000F36A1">
            <w:pPr>
              <w:pStyle w:val="aff1"/>
              <w:rPr>
                <w:color w:val="auto"/>
              </w:rPr>
            </w:pPr>
            <w:r>
              <w:rPr>
                <w:color w:val="auto"/>
              </w:rPr>
              <w:t>7</w:t>
            </w:r>
          </w:p>
        </w:tc>
        <w:tc>
          <w:tcPr>
            <w:tcW w:w="372" w:type="pct"/>
            <w:vAlign w:val="center"/>
          </w:tcPr>
          <w:p w:rsidR="00EE56C0" w:rsidRDefault="000F36A1">
            <w:pPr>
              <w:pStyle w:val="aff1"/>
              <w:rPr>
                <w:color w:val="auto"/>
              </w:rPr>
            </w:pPr>
            <w:r>
              <w:rPr>
                <w:color w:val="auto"/>
              </w:rPr>
              <w:t>8</w:t>
            </w:r>
          </w:p>
        </w:tc>
        <w:tc>
          <w:tcPr>
            <w:tcW w:w="360" w:type="pct"/>
            <w:vAlign w:val="center"/>
          </w:tcPr>
          <w:p w:rsidR="00EE56C0" w:rsidRDefault="000F36A1">
            <w:pPr>
              <w:pStyle w:val="aff1"/>
              <w:rPr>
                <w:color w:val="auto"/>
              </w:rPr>
            </w:pPr>
            <w:r>
              <w:rPr>
                <w:color w:val="auto"/>
              </w:rPr>
              <w:t>9</w:t>
            </w:r>
          </w:p>
        </w:tc>
        <w:tc>
          <w:tcPr>
            <w:tcW w:w="372" w:type="pct"/>
            <w:vAlign w:val="center"/>
          </w:tcPr>
          <w:p w:rsidR="00EE56C0" w:rsidRDefault="000F36A1">
            <w:pPr>
              <w:pStyle w:val="aff1"/>
              <w:rPr>
                <w:color w:val="auto"/>
              </w:rPr>
            </w:pPr>
            <w:r>
              <w:rPr>
                <w:color w:val="auto"/>
              </w:rPr>
              <w:t>10</w:t>
            </w:r>
          </w:p>
        </w:tc>
        <w:tc>
          <w:tcPr>
            <w:tcW w:w="360" w:type="pct"/>
            <w:vAlign w:val="center"/>
          </w:tcPr>
          <w:p w:rsidR="00EE56C0" w:rsidRDefault="000F36A1">
            <w:pPr>
              <w:pStyle w:val="aff1"/>
              <w:rPr>
                <w:color w:val="auto"/>
              </w:rPr>
            </w:pPr>
            <w:r>
              <w:rPr>
                <w:color w:val="auto"/>
              </w:rPr>
              <w:t>11</w:t>
            </w:r>
          </w:p>
        </w:tc>
        <w:tc>
          <w:tcPr>
            <w:tcW w:w="368" w:type="pct"/>
            <w:vAlign w:val="center"/>
          </w:tcPr>
          <w:p w:rsidR="00EE56C0" w:rsidRDefault="000F36A1">
            <w:pPr>
              <w:pStyle w:val="aff1"/>
              <w:rPr>
                <w:color w:val="auto"/>
              </w:rPr>
            </w:pPr>
            <w:r>
              <w:rPr>
                <w:color w:val="auto"/>
              </w:rPr>
              <w:t>12</w:t>
            </w:r>
          </w:p>
        </w:tc>
      </w:tr>
      <w:tr w:rsidR="00EE56C0">
        <w:trPr>
          <w:trHeight w:val="399"/>
          <w:jc w:val="center"/>
        </w:trPr>
        <w:tc>
          <w:tcPr>
            <w:tcW w:w="599" w:type="pct"/>
            <w:vAlign w:val="center"/>
          </w:tcPr>
          <w:p w:rsidR="00EE56C0" w:rsidRDefault="000F36A1">
            <w:pPr>
              <w:pStyle w:val="afa"/>
            </w:pPr>
            <w:r>
              <w:t>平均风速</w:t>
            </w:r>
          </w:p>
        </w:tc>
        <w:tc>
          <w:tcPr>
            <w:tcW w:w="361" w:type="pct"/>
            <w:vAlign w:val="center"/>
          </w:tcPr>
          <w:p w:rsidR="00EE56C0" w:rsidRDefault="000F36A1">
            <w:pPr>
              <w:pStyle w:val="afa"/>
            </w:pPr>
            <w:r>
              <w:t>2.</w:t>
            </w:r>
            <w:r>
              <w:rPr>
                <w:rFonts w:hint="eastAsia"/>
              </w:rPr>
              <w:t>0</w:t>
            </w:r>
          </w:p>
        </w:tc>
        <w:tc>
          <w:tcPr>
            <w:tcW w:w="372" w:type="pct"/>
            <w:vAlign w:val="center"/>
          </w:tcPr>
          <w:p w:rsidR="00EE56C0" w:rsidRDefault="000F36A1">
            <w:pPr>
              <w:pStyle w:val="afa"/>
            </w:pPr>
            <w:r>
              <w:t>2.3</w:t>
            </w:r>
          </w:p>
        </w:tc>
        <w:tc>
          <w:tcPr>
            <w:tcW w:w="360" w:type="pct"/>
            <w:vAlign w:val="center"/>
          </w:tcPr>
          <w:p w:rsidR="00EE56C0" w:rsidRDefault="000F36A1">
            <w:pPr>
              <w:pStyle w:val="afa"/>
            </w:pPr>
            <w:r>
              <w:t>2.</w:t>
            </w:r>
            <w:r>
              <w:rPr>
                <w:rFonts w:hint="eastAsia"/>
              </w:rPr>
              <w:t>6</w:t>
            </w:r>
          </w:p>
        </w:tc>
        <w:tc>
          <w:tcPr>
            <w:tcW w:w="372" w:type="pct"/>
            <w:vAlign w:val="center"/>
          </w:tcPr>
          <w:p w:rsidR="00EE56C0" w:rsidRDefault="000F36A1">
            <w:pPr>
              <w:pStyle w:val="afa"/>
            </w:pPr>
            <w:r>
              <w:t>2.</w:t>
            </w:r>
            <w:r>
              <w:rPr>
                <w:rFonts w:hint="eastAsia"/>
              </w:rPr>
              <w:t>6</w:t>
            </w:r>
          </w:p>
        </w:tc>
        <w:tc>
          <w:tcPr>
            <w:tcW w:w="372" w:type="pct"/>
            <w:vAlign w:val="center"/>
          </w:tcPr>
          <w:p w:rsidR="00EE56C0" w:rsidRDefault="000F36A1">
            <w:pPr>
              <w:pStyle w:val="afa"/>
            </w:pPr>
            <w:r>
              <w:t>2.</w:t>
            </w:r>
            <w:r>
              <w:rPr>
                <w:rFonts w:hint="eastAsia"/>
              </w:rPr>
              <w:t>4</w:t>
            </w:r>
          </w:p>
        </w:tc>
        <w:tc>
          <w:tcPr>
            <w:tcW w:w="360" w:type="pct"/>
            <w:vAlign w:val="center"/>
          </w:tcPr>
          <w:p w:rsidR="00EE56C0" w:rsidRDefault="000F36A1">
            <w:pPr>
              <w:pStyle w:val="afa"/>
            </w:pPr>
            <w:r>
              <w:t>2.2</w:t>
            </w:r>
          </w:p>
        </w:tc>
        <w:tc>
          <w:tcPr>
            <w:tcW w:w="372" w:type="pct"/>
            <w:vAlign w:val="center"/>
          </w:tcPr>
          <w:p w:rsidR="00EE56C0" w:rsidRDefault="000F36A1">
            <w:pPr>
              <w:pStyle w:val="afa"/>
            </w:pPr>
            <w:r>
              <w:t>2.0</w:t>
            </w:r>
          </w:p>
        </w:tc>
        <w:tc>
          <w:tcPr>
            <w:tcW w:w="372" w:type="pct"/>
            <w:vAlign w:val="center"/>
          </w:tcPr>
          <w:p w:rsidR="00EE56C0" w:rsidRDefault="000F36A1">
            <w:pPr>
              <w:pStyle w:val="afa"/>
            </w:pPr>
            <w:r>
              <w:t>1.9</w:t>
            </w:r>
          </w:p>
        </w:tc>
        <w:tc>
          <w:tcPr>
            <w:tcW w:w="360" w:type="pct"/>
            <w:vAlign w:val="center"/>
          </w:tcPr>
          <w:p w:rsidR="00EE56C0" w:rsidRDefault="000F36A1">
            <w:pPr>
              <w:pStyle w:val="afa"/>
            </w:pPr>
            <w:r>
              <w:t>1.7</w:t>
            </w:r>
          </w:p>
        </w:tc>
        <w:tc>
          <w:tcPr>
            <w:tcW w:w="372" w:type="pct"/>
            <w:vAlign w:val="center"/>
          </w:tcPr>
          <w:p w:rsidR="00EE56C0" w:rsidRDefault="000F36A1">
            <w:pPr>
              <w:pStyle w:val="afa"/>
            </w:pPr>
            <w:r>
              <w:t>1.</w:t>
            </w:r>
            <w:r>
              <w:rPr>
                <w:rFonts w:hint="eastAsia"/>
              </w:rPr>
              <w:t>7</w:t>
            </w:r>
          </w:p>
        </w:tc>
        <w:tc>
          <w:tcPr>
            <w:tcW w:w="360" w:type="pct"/>
            <w:vAlign w:val="center"/>
          </w:tcPr>
          <w:p w:rsidR="00EE56C0" w:rsidRDefault="000F36A1">
            <w:pPr>
              <w:pStyle w:val="afa"/>
            </w:pPr>
            <w:r>
              <w:t>1.9</w:t>
            </w:r>
          </w:p>
        </w:tc>
        <w:tc>
          <w:tcPr>
            <w:tcW w:w="368" w:type="pct"/>
            <w:vAlign w:val="center"/>
          </w:tcPr>
          <w:p w:rsidR="00EE56C0" w:rsidRDefault="000F36A1">
            <w:pPr>
              <w:pStyle w:val="afa"/>
            </w:pPr>
            <w:r>
              <w:t>2.0</w:t>
            </w:r>
          </w:p>
        </w:tc>
      </w:tr>
    </w:tbl>
    <w:p w:rsidR="00EE56C0" w:rsidRDefault="000F36A1">
      <w:pPr>
        <w:ind w:firstLine="480"/>
      </w:pPr>
      <w:r>
        <w:rPr>
          <w:noProof/>
        </w:rPr>
        <w:drawing>
          <wp:anchor distT="0" distB="0" distL="114300" distR="114300" simplePos="0" relativeHeight="251610624" behindDoc="1" locked="0" layoutInCell="0" allowOverlap="1">
            <wp:simplePos x="0" y="0"/>
            <wp:positionH relativeFrom="column">
              <wp:posOffset>1280795</wp:posOffset>
            </wp:positionH>
            <wp:positionV relativeFrom="paragraph">
              <wp:posOffset>-384175</wp:posOffset>
            </wp:positionV>
            <wp:extent cx="1270" cy="10160"/>
            <wp:effectExtent l="0" t="0" r="0" b="0"/>
            <wp:wrapNone/>
            <wp:docPr id="97" name="图片 6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6156"/>
                    <pic:cNvPicPr>
                      <a:picLocks noChangeAspect="1" noChangeArrowheads="1"/>
                    </pic:cNvPicPr>
                  </pic:nvPicPr>
                  <pic:blipFill>
                    <a:blip r:embed="rId73"/>
                    <a:srcRect/>
                    <a:stretch>
                      <a:fillRect/>
                    </a:stretch>
                  </pic:blipFill>
                  <pic:spPr>
                    <a:xfrm>
                      <a:off x="0" y="0"/>
                      <a:ext cx="1270" cy="10160"/>
                    </a:xfrm>
                    <a:prstGeom prst="rect">
                      <a:avLst/>
                    </a:prstGeom>
                    <a:noFill/>
                    <a:ln w="9525">
                      <a:noFill/>
                      <a:miter lim="800000"/>
                      <a:headEnd/>
                      <a:tailEnd/>
                    </a:ln>
                  </pic:spPr>
                </pic:pic>
              </a:graphicData>
            </a:graphic>
          </wp:anchor>
        </w:drawing>
      </w:r>
      <w:r>
        <w:rPr>
          <w:noProof/>
        </w:rPr>
        <w:drawing>
          <wp:anchor distT="0" distB="0" distL="114300" distR="114300" simplePos="0" relativeHeight="251611648" behindDoc="1" locked="0" layoutInCell="0" allowOverlap="1">
            <wp:simplePos x="0" y="0"/>
            <wp:positionH relativeFrom="column">
              <wp:posOffset>1671955</wp:posOffset>
            </wp:positionH>
            <wp:positionV relativeFrom="paragraph">
              <wp:posOffset>-384175</wp:posOffset>
            </wp:positionV>
            <wp:extent cx="1270" cy="10160"/>
            <wp:effectExtent l="0" t="0" r="0" b="0"/>
            <wp:wrapNone/>
            <wp:docPr id="96" name="图片 6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6157"/>
                    <pic:cNvPicPr>
                      <a:picLocks noChangeAspect="1" noChangeArrowheads="1"/>
                    </pic:cNvPicPr>
                  </pic:nvPicPr>
                  <pic:blipFill>
                    <a:blip r:embed="rId73"/>
                    <a:srcRect/>
                    <a:stretch>
                      <a:fillRect/>
                    </a:stretch>
                  </pic:blipFill>
                  <pic:spPr>
                    <a:xfrm>
                      <a:off x="0" y="0"/>
                      <a:ext cx="1270" cy="10160"/>
                    </a:xfrm>
                    <a:prstGeom prst="rect">
                      <a:avLst/>
                    </a:prstGeom>
                    <a:noFill/>
                    <a:ln w="9525">
                      <a:noFill/>
                      <a:miter lim="800000"/>
                      <a:headEnd/>
                      <a:tailEnd/>
                    </a:ln>
                  </pic:spPr>
                </pic:pic>
              </a:graphicData>
            </a:graphic>
          </wp:anchor>
        </w:drawing>
      </w:r>
      <w:r>
        <w:rPr>
          <w:noProof/>
        </w:rPr>
        <w:drawing>
          <wp:anchor distT="0" distB="0" distL="114300" distR="114300" simplePos="0" relativeHeight="251612672" behindDoc="1" locked="0" layoutInCell="0" allowOverlap="1">
            <wp:simplePos x="0" y="0"/>
            <wp:positionH relativeFrom="column">
              <wp:posOffset>2059305</wp:posOffset>
            </wp:positionH>
            <wp:positionV relativeFrom="paragraph">
              <wp:posOffset>-384175</wp:posOffset>
            </wp:positionV>
            <wp:extent cx="1270" cy="10160"/>
            <wp:effectExtent l="0" t="0" r="0" b="0"/>
            <wp:wrapNone/>
            <wp:docPr id="95" name="图片 6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6158"/>
                    <pic:cNvPicPr>
                      <a:picLocks noChangeAspect="1" noChangeArrowheads="1"/>
                    </pic:cNvPicPr>
                  </pic:nvPicPr>
                  <pic:blipFill>
                    <a:blip r:embed="rId73"/>
                    <a:srcRect/>
                    <a:stretch>
                      <a:fillRect/>
                    </a:stretch>
                  </pic:blipFill>
                  <pic:spPr>
                    <a:xfrm>
                      <a:off x="0" y="0"/>
                      <a:ext cx="1270" cy="10160"/>
                    </a:xfrm>
                    <a:prstGeom prst="rect">
                      <a:avLst/>
                    </a:prstGeom>
                    <a:noFill/>
                    <a:ln w="9525">
                      <a:noFill/>
                      <a:miter lim="800000"/>
                      <a:headEnd/>
                      <a:tailEnd/>
                    </a:ln>
                  </pic:spPr>
                </pic:pic>
              </a:graphicData>
            </a:graphic>
          </wp:anchor>
        </w:drawing>
      </w:r>
      <w:r>
        <w:rPr>
          <w:noProof/>
        </w:rPr>
        <w:drawing>
          <wp:anchor distT="0" distB="0" distL="114300" distR="114300" simplePos="0" relativeHeight="251613696" behindDoc="1" locked="0" layoutInCell="0" allowOverlap="1">
            <wp:simplePos x="0" y="0"/>
            <wp:positionH relativeFrom="column">
              <wp:posOffset>2447925</wp:posOffset>
            </wp:positionH>
            <wp:positionV relativeFrom="paragraph">
              <wp:posOffset>-384175</wp:posOffset>
            </wp:positionV>
            <wp:extent cx="1270" cy="10160"/>
            <wp:effectExtent l="0" t="0" r="0" b="0"/>
            <wp:wrapNone/>
            <wp:docPr id="94" name="图片 6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6159"/>
                    <pic:cNvPicPr>
                      <a:picLocks noChangeAspect="1" noChangeArrowheads="1"/>
                    </pic:cNvPicPr>
                  </pic:nvPicPr>
                  <pic:blipFill>
                    <a:blip r:embed="rId73"/>
                    <a:srcRect/>
                    <a:stretch>
                      <a:fillRect/>
                    </a:stretch>
                  </pic:blipFill>
                  <pic:spPr>
                    <a:xfrm>
                      <a:off x="0" y="0"/>
                      <a:ext cx="1270" cy="10160"/>
                    </a:xfrm>
                    <a:prstGeom prst="rect">
                      <a:avLst/>
                    </a:prstGeom>
                    <a:noFill/>
                    <a:ln w="9525">
                      <a:noFill/>
                      <a:miter lim="800000"/>
                      <a:headEnd/>
                      <a:tailEnd/>
                    </a:ln>
                  </pic:spPr>
                </pic:pic>
              </a:graphicData>
            </a:graphic>
          </wp:anchor>
        </w:drawing>
      </w:r>
      <w:r>
        <w:rPr>
          <w:noProof/>
        </w:rPr>
        <w:drawing>
          <wp:anchor distT="0" distB="0" distL="114300" distR="114300" simplePos="0" relativeHeight="251614720" behindDoc="1" locked="0" layoutInCell="0" allowOverlap="1">
            <wp:simplePos x="0" y="0"/>
            <wp:positionH relativeFrom="column">
              <wp:posOffset>2836545</wp:posOffset>
            </wp:positionH>
            <wp:positionV relativeFrom="paragraph">
              <wp:posOffset>-384175</wp:posOffset>
            </wp:positionV>
            <wp:extent cx="1270" cy="10160"/>
            <wp:effectExtent l="0" t="0" r="0" b="0"/>
            <wp:wrapNone/>
            <wp:docPr id="93" name="图片 6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6160"/>
                    <pic:cNvPicPr>
                      <a:picLocks noChangeAspect="1" noChangeArrowheads="1"/>
                    </pic:cNvPicPr>
                  </pic:nvPicPr>
                  <pic:blipFill>
                    <a:blip r:embed="rId73"/>
                    <a:srcRect/>
                    <a:stretch>
                      <a:fillRect/>
                    </a:stretch>
                  </pic:blipFill>
                  <pic:spPr>
                    <a:xfrm>
                      <a:off x="0" y="0"/>
                      <a:ext cx="1270" cy="10160"/>
                    </a:xfrm>
                    <a:prstGeom prst="rect">
                      <a:avLst/>
                    </a:prstGeom>
                    <a:noFill/>
                    <a:ln w="9525">
                      <a:noFill/>
                      <a:miter lim="800000"/>
                      <a:headEnd/>
                      <a:tailEnd/>
                    </a:ln>
                  </pic:spPr>
                </pic:pic>
              </a:graphicData>
            </a:graphic>
          </wp:anchor>
        </w:drawing>
      </w:r>
      <w:r>
        <w:rPr>
          <w:noProof/>
        </w:rPr>
        <w:drawing>
          <wp:anchor distT="0" distB="0" distL="114300" distR="114300" simplePos="0" relativeHeight="251615744" behindDoc="1" locked="0" layoutInCell="0" allowOverlap="1">
            <wp:simplePos x="0" y="0"/>
            <wp:positionH relativeFrom="column">
              <wp:posOffset>3223895</wp:posOffset>
            </wp:positionH>
            <wp:positionV relativeFrom="paragraph">
              <wp:posOffset>-384175</wp:posOffset>
            </wp:positionV>
            <wp:extent cx="1270" cy="10160"/>
            <wp:effectExtent l="0" t="0" r="0" b="0"/>
            <wp:wrapNone/>
            <wp:docPr id="92" name="图片 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6161"/>
                    <pic:cNvPicPr>
                      <a:picLocks noChangeAspect="1" noChangeArrowheads="1"/>
                    </pic:cNvPicPr>
                  </pic:nvPicPr>
                  <pic:blipFill>
                    <a:blip r:embed="rId73"/>
                    <a:srcRect/>
                    <a:stretch>
                      <a:fillRect/>
                    </a:stretch>
                  </pic:blipFill>
                  <pic:spPr>
                    <a:xfrm>
                      <a:off x="0" y="0"/>
                      <a:ext cx="1270" cy="10160"/>
                    </a:xfrm>
                    <a:prstGeom prst="rect">
                      <a:avLst/>
                    </a:prstGeom>
                    <a:noFill/>
                    <a:ln w="9525">
                      <a:noFill/>
                      <a:miter lim="800000"/>
                      <a:headEnd/>
                      <a:tailEnd/>
                    </a:ln>
                  </pic:spPr>
                </pic:pic>
              </a:graphicData>
            </a:graphic>
          </wp:anchor>
        </w:drawing>
      </w:r>
      <w:r>
        <w:rPr>
          <w:noProof/>
        </w:rPr>
        <w:drawing>
          <wp:anchor distT="0" distB="0" distL="114300" distR="114300" simplePos="0" relativeHeight="251616768" behindDoc="1" locked="0" layoutInCell="0" allowOverlap="1">
            <wp:simplePos x="0" y="0"/>
            <wp:positionH relativeFrom="column">
              <wp:posOffset>3612515</wp:posOffset>
            </wp:positionH>
            <wp:positionV relativeFrom="paragraph">
              <wp:posOffset>-384175</wp:posOffset>
            </wp:positionV>
            <wp:extent cx="1270" cy="10160"/>
            <wp:effectExtent l="0" t="0" r="0" b="0"/>
            <wp:wrapNone/>
            <wp:docPr id="91" name="图片 6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6162"/>
                    <pic:cNvPicPr>
                      <a:picLocks noChangeAspect="1" noChangeArrowheads="1"/>
                    </pic:cNvPicPr>
                  </pic:nvPicPr>
                  <pic:blipFill>
                    <a:blip r:embed="rId73"/>
                    <a:srcRect/>
                    <a:stretch>
                      <a:fillRect/>
                    </a:stretch>
                  </pic:blipFill>
                  <pic:spPr>
                    <a:xfrm>
                      <a:off x="0" y="0"/>
                      <a:ext cx="1270" cy="10160"/>
                    </a:xfrm>
                    <a:prstGeom prst="rect">
                      <a:avLst/>
                    </a:prstGeom>
                    <a:noFill/>
                    <a:ln w="9525">
                      <a:noFill/>
                      <a:miter lim="800000"/>
                      <a:headEnd/>
                      <a:tailEnd/>
                    </a:ln>
                  </pic:spPr>
                </pic:pic>
              </a:graphicData>
            </a:graphic>
          </wp:anchor>
        </w:drawing>
      </w:r>
      <w:r>
        <w:rPr>
          <w:noProof/>
        </w:rPr>
        <w:drawing>
          <wp:anchor distT="0" distB="0" distL="114300" distR="114300" simplePos="0" relativeHeight="251617792" behindDoc="1" locked="0" layoutInCell="0" allowOverlap="1">
            <wp:simplePos x="0" y="0"/>
            <wp:positionH relativeFrom="column">
              <wp:posOffset>4003675</wp:posOffset>
            </wp:positionH>
            <wp:positionV relativeFrom="paragraph">
              <wp:posOffset>-384175</wp:posOffset>
            </wp:positionV>
            <wp:extent cx="1270" cy="10160"/>
            <wp:effectExtent l="0" t="0" r="0" b="0"/>
            <wp:wrapNone/>
            <wp:docPr id="90" name="图片 6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6163"/>
                    <pic:cNvPicPr>
                      <a:picLocks noChangeAspect="1" noChangeArrowheads="1"/>
                    </pic:cNvPicPr>
                  </pic:nvPicPr>
                  <pic:blipFill>
                    <a:blip r:embed="rId73"/>
                    <a:srcRect/>
                    <a:stretch>
                      <a:fillRect/>
                    </a:stretch>
                  </pic:blipFill>
                  <pic:spPr>
                    <a:xfrm>
                      <a:off x="0" y="0"/>
                      <a:ext cx="1270" cy="10160"/>
                    </a:xfrm>
                    <a:prstGeom prst="rect">
                      <a:avLst/>
                    </a:prstGeom>
                    <a:noFill/>
                    <a:ln w="9525">
                      <a:noFill/>
                      <a:miter lim="800000"/>
                      <a:headEnd/>
                      <a:tailEnd/>
                    </a:ln>
                  </pic:spPr>
                </pic:pic>
              </a:graphicData>
            </a:graphic>
          </wp:anchor>
        </w:drawing>
      </w:r>
      <w:r>
        <w:rPr>
          <w:noProof/>
        </w:rPr>
        <w:drawing>
          <wp:anchor distT="0" distB="0" distL="114300" distR="114300" simplePos="0" relativeHeight="251618816" behindDoc="1" locked="0" layoutInCell="0" allowOverlap="1">
            <wp:simplePos x="0" y="0"/>
            <wp:positionH relativeFrom="column">
              <wp:posOffset>4392295</wp:posOffset>
            </wp:positionH>
            <wp:positionV relativeFrom="paragraph">
              <wp:posOffset>-384175</wp:posOffset>
            </wp:positionV>
            <wp:extent cx="1270" cy="10160"/>
            <wp:effectExtent l="0" t="0" r="0" b="0"/>
            <wp:wrapNone/>
            <wp:docPr id="89" name="图片 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6164"/>
                    <pic:cNvPicPr>
                      <a:picLocks noChangeAspect="1" noChangeArrowheads="1"/>
                    </pic:cNvPicPr>
                  </pic:nvPicPr>
                  <pic:blipFill>
                    <a:blip r:embed="rId73"/>
                    <a:srcRect/>
                    <a:stretch>
                      <a:fillRect/>
                    </a:stretch>
                  </pic:blipFill>
                  <pic:spPr>
                    <a:xfrm>
                      <a:off x="0" y="0"/>
                      <a:ext cx="1270" cy="10160"/>
                    </a:xfrm>
                    <a:prstGeom prst="rect">
                      <a:avLst/>
                    </a:prstGeom>
                    <a:noFill/>
                    <a:ln w="9525">
                      <a:noFill/>
                      <a:miter lim="800000"/>
                      <a:headEnd/>
                      <a:tailEnd/>
                    </a:ln>
                  </pic:spPr>
                </pic:pic>
              </a:graphicData>
            </a:graphic>
          </wp:anchor>
        </w:drawing>
      </w:r>
      <w:r>
        <w:rPr>
          <w:noProof/>
        </w:rPr>
        <w:drawing>
          <wp:anchor distT="0" distB="0" distL="114300" distR="114300" simplePos="0" relativeHeight="251619840" behindDoc="1" locked="0" layoutInCell="0" allowOverlap="1">
            <wp:simplePos x="0" y="0"/>
            <wp:positionH relativeFrom="column">
              <wp:posOffset>4780915</wp:posOffset>
            </wp:positionH>
            <wp:positionV relativeFrom="paragraph">
              <wp:posOffset>-384175</wp:posOffset>
            </wp:positionV>
            <wp:extent cx="1270" cy="10160"/>
            <wp:effectExtent l="0" t="0" r="0" b="0"/>
            <wp:wrapNone/>
            <wp:docPr id="88" name="图片 6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6165"/>
                    <pic:cNvPicPr>
                      <a:picLocks noChangeAspect="1" noChangeArrowheads="1"/>
                    </pic:cNvPicPr>
                  </pic:nvPicPr>
                  <pic:blipFill>
                    <a:blip r:embed="rId73"/>
                    <a:srcRect/>
                    <a:stretch>
                      <a:fillRect/>
                    </a:stretch>
                  </pic:blipFill>
                  <pic:spPr>
                    <a:xfrm>
                      <a:off x="0" y="0"/>
                      <a:ext cx="1270" cy="10160"/>
                    </a:xfrm>
                    <a:prstGeom prst="rect">
                      <a:avLst/>
                    </a:prstGeom>
                    <a:noFill/>
                    <a:ln w="9525">
                      <a:noFill/>
                      <a:miter lim="800000"/>
                      <a:headEnd/>
                      <a:tailEnd/>
                    </a:ln>
                  </pic:spPr>
                </pic:pic>
              </a:graphicData>
            </a:graphic>
          </wp:anchor>
        </w:drawing>
      </w:r>
      <w:r>
        <w:rPr>
          <w:noProof/>
        </w:rPr>
        <w:drawing>
          <wp:anchor distT="0" distB="0" distL="114300" distR="114300" simplePos="0" relativeHeight="251620864" behindDoc="1" locked="0" layoutInCell="0" allowOverlap="1">
            <wp:simplePos x="0" y="0"/>
            <wp:positionH relativeFrom="column">
              <wp:posOffset>5169535</wp:posOffset>
            </wp:positionH>
            <wp:positionV relativeFrom="paragraph">
              <wp:posOffset>-384175</wp:posOffset>
            </wp:positionV>
            <wp:extent cx="1270" cy="10160"/>
            <wp:effectExtent l="0" t="0" r="0" b="0"/>
            <wp:wrapNone/>
            <wp:docPr id="87" name="图片 6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6166"/>
                    <pic:cNvPicPr>
                      <a:picLocks noChangeAspect="1" noChangeArrowheads="1"/>
                    </pic:cNvPicPr>
                  </pic:nvPicPr>
                  <pic:blipFill>
                    <a:blip r:embed="rId73"/>
                    <a:srcRect/>
                    <a:stretch>
                      <a:fillRect/>
                    </a:stretch>
                  </pic:blipFill>
                  <pic:spPr>
                    <a:xfrm>
                      <a:off x="0" y="0"/>
                      <a:ext cx="1270" cy="10160"/>
                    </a:xfrm>
                    <a:prstGeom prst="rect">
                      <a:avLst/>
                    </a:prstGeom>
                    <a:noFill/>
                    <a:ln w="9525">
                      <a:noFill/>
                      <a:miter lim="800000"/>
                      <a:headEnd/>
                      <a:tailEnd/>
                    </a:ln>
                  </pic:spPr>
                </pic:pic>
              </a:graphicData>
            </a:graphic>
          </wp:anchor>
        </w:drawing>
      </w:r>
      <w:r>
        <w:rPr>
          <w:noProof/>
        </w:rPr>
        <w:drawing>
          <wp:anchor distT="0" distB="0" distL="114300" distR="114300" simplePos="0" relativeHeight="251621888" behindDoc="1" locked="0" layoutInCell="0" allowOverlap="1">
            <wp:simplePos x="0" y="0"/>
            <wp:positionH relativeFrom="column">
              <wp:posOffset>5555615</wp:posOffset>
            </wp:positionH>
            <wp:positionV relativeFrom="paragraph">
              <wp:posOffset>-384175</wp:posOffset>
            </wp:positionV>
            <wp:extent cx="1270" cy="10160"/>
            <wp:effectExtent l="0" t="0" r="0" b="0"/>
            <wp:wrapNone/>
            <wp:docPr id="86" name="图片 6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6167"/>
                    <pic:cNvPicPr>
                      <a:picLocks noChangeAspect="1" noChangeArrowheads="1"/>
                    </pic:cNvPicPr>
                  </pic:nvPicPr>
                  <pic:blipFill>
                    <a:blip r:embed="rId73"/>
                    <a:srcRect/>
                    <a:stretch>
                      <a:fillRect/>
                    </a:stretch>
                  </pic:blipFill>
                  <pic:spPr>
                    <a:xfrm>
                      <a:off x="0" y="0"/>
                      <a:ext cx="1270" cy="10160"/>
                    </a:xfrm>
                    <a:prstGeom prst="rect">
                      <a:avLst/>
                    </a:prstGeom>
                    <a:noFill/>
                    <a:ln w="9525">
                      <a:noFill/>
                      <a:miter lim="800000"/>
                      <a:headEnd/>
                      <a:tailEnd/>
                    </a:ln>
                  </pic:spPr>
                </pic:pic>
              </a:graphicData>
            </a:graphic>
          </wp:anchor>
        </w:drawing>
      </w:r>
      <w:r>
        <w:rPr>
          <w:noProof/>
        </w:rPr>
        <w:drawing>
          <wp:anchor distT="0" distB="0" distL="114300" distR="114300" simplePos="0" relativeHeight="251622912" behindDoc="1" locked="0" layoutInCell="0" allowOverlap="1">
            <wp:simplePos x="0" y="0"/>
            <wp:positionH relativeFrom="column">
              <wp:posOffset>1280795</wp:posOffset>
            </wp:positionH>
            <wp:positionV relativeFrom="paragraph">
              <wp:posOffset>-19685</wp:posOffset>
            </wp:positionV>
            <wp:extent cx="1270" cy="20320"/>
            <wp:effectExtent l="0" t="0" r="0" b="0"/>
            <wp:wrapNone/>
            <wp:docPr id="85" name="图片 6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6168"/>
                    <pic:cNvPicPr>
                      <a:picLocks noChangeAspect="1" noChangeArrowheads="1"/>
                    </pic:cNvPicPr>
                  </pic:nvPicPr>
                  <pic:blipFill>
                    <a:blip r:embed="rId72"/>
                    <a:srcRect/>
                    <a:stretch>
                      <a:fillRect/>
                    </a:stretch>
                  </pic:blipFill>
                  <pic:spPr>
                    <a:xfrm>
                      <a:off x="0" y="0"/>
                      <a:ext cx="1270" cy="20320"/>
                    </a:xfrm>
                    <a:prstGeom prst="rect">
                      <a:avLst/>
                    </a:prstGeom>
                    <a:noFill/>
                    <a:ln w="9525">
                      <a:noFill/>
                      <a:miter lim="800000"/>
                      <a:headEnd/>
                      <a:tailEnd/>
                    </a:ln>
                  </pic:spPr>
                </pic:pic>
              </a:graphicData>
            </a:graphic>
          </wp:anchor>
        </w:drawing>
      </w:r>
      <w:r>
        <w:rPr>
          <w:noProof/>
        </w:rPr>
        <w:drawing>
          <wp:anchor distT="0" distB="0" distL="114300" distR="114300" simplePos="0" relativeHeight="251623936" behindDoc="1" locked="0" layoutInCell="0" allowOverlap="1">
            <wp:simplePos x="0" y="0"/>
            <wp:positionH relativeFrom="column">
              <wp:posOffset>1671955</wp:posOffset>
            </wp:positionH>
            <wp:positionV relativeFrom="paragraph">
              <wp:posOffset>-19685</wp:posOffset>
            </wp:positionV>
            <wp:extent cx="1270" cy="20320"/>
            <wp:effectExtent l="0" t="0" r="0" b="0"/>
            <wp:wrapNone/>
            <wp:docPr id="84" name="图片 6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6169"/>
                    <pic:cNvPicPr>
                      <a:picLocks noChangeAspect="1" noChangeArrowheads="1"/>
                    </pic:cNvPicPr>
                  </pic:nvPicPr>
                  <pic:blipFill>
                    <a:blip r:embed="rId72"/>
                    <a:srcRect/>
                    <a:stretch>
                      <a:fillRect/>
                    </a:stretch>
                  </pic:blipFill>
                  <pic:spPr>
                    <a:xfrm>
                      <a:off x="0" y="0"/>
                      <a:ext cx="1270" cy="20320"/>
                    </a:xfrm>
                    <a:prstGeom prst="rect">
                      <a:avLst/>
                    </a:prstGeom>
                    <a:noFill/>
                    <a:ln w="9525">
                      <a:noFill/>
                      <a:miter lim="800000"/>
                      <a:headEnd/>
                      <a:tailEnd/>
                    </a:ln>
                  </pic:spPr>
                </pic:pic>
              </a:graphicData>
            </a:graphic>
          </wp:anchor>
        </w:drawing>
      </w:r>
      <w:r>
        <w:rPr>
          <w:noProof/>
        </w:rPr>
        <w:drawing>
          <wp:anchor distT="0" distB="0" distL="114300" distR="114300" simplePos="0" relativeHeight="251624960" behindDoc="1" locked="0" layoutInCell="0" allowOverlap="1">
            <wp:simplePos x="0" y="0"/>
            <wp:positionH relativeFrom="column">
              <wp:posOffset>2059305</wp:posOffset>
            </wp:positionH>
            <wp:positionV relativeFrom="paragraph">
              <wp:posOffset>-19685</wp:posOffset>
            </wp:positionV>
            <wp:extent cx="1270" cy="20320"/>
            <wp:effectExtent l="0" t="0" r="0" b="0"/>
            <wp:wrapNone/>
            <wp:docPr id="83" name="图片 6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6170"/>
                    <pic:cNvPicPr>
                      <a:picLocks noChangeAspect="1" noChangeArrowheads="1"/>
                    </pic:cNvPicPr>
                  </pic:nvPicPr>
                  <pic:blipFill>
                    <a:blip r:embed="rId72"/>
                    <a:srcRect/>
                    <a:stretch>
                      <a:fillRect/>
                    </a:stretch>
                  </pic:blipFill>
                  <pic:spPr>
                    <a:xfrm>
                      <a:off x="0" y="0"/>
                      <a:ext cx="1270" cy="20320"/>
                    </a:xfrm>
                    <a:prstGeom prst="rect">
                      <a:avLst/>
                    </a:prstGeom>
                    <a:noFill/>
                    <a:ln w="9525">
                      <a:noFill/>
                      <a:miter lim="800000"/>
                      <a:headEnd/>
                      <a:tailEnd/>
                    </a:ln>
                  </pic:spPr>
                </pic:pic>
              </a:graphicData>
            </a:graphic>
          </wp:anchor>
        </w:drawing>
      </w:r>
      <w:r>
        <w:rPr>
          <w:noProof/>
        </w:rPr>
        <w:drawing>
          <wp:anchor distT="0" distB="0" distL="114300" distR="114300" simplePos="0" relativeHeight="251625984" behindDoc="1" locked="0" layoutInCell="0" allowOverlap="1">
            <wp:simplePos x="0" y="0"/>
            <wp:positionH relativeFrom="column">
              <wp:posOffset>2447925</wp:posOffset>
            </wp:positionH>
            <wp:positionV relativeFrom="paragraph">
              <wp:posOffset>-19685</wp:posOffset>
            </wp:positionV>
            <wp:extent cx="1270" cy="20320"/>
            <wp:effectExtent l="0" t="0" r="0" b="0"/>
            <wp:wrapNone/>
            <wp:docPr id="82" name="图片 6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6171"/>
                    <pic:cNvPicPr>
                      <a:picLocks noChangeAspect="1" noChangeArrowheads="1"/>
                    </pic:cNvPicPr>
                  </pic:nvPicPr>
                  <pic:blipFill>
                    <a:blip r:embed="rId72"/>
                    <a:srcRect/>
                    <a:stretch>
                      <a:fillRect/>
                    </a:stretch>
                  </pic:blipFill>
                  <pic:spPr>
                    <a:xfrm>
                      <a:off x="0" y="0"/>
                      <a:ext cx="1270" cy="20320"/>
                    </a:xfrm>
                    <a:prstGeom prst="rect">
                      <a:avLst/>
                    </a:prstGeom>
                    <a:noFill/>
                    <a:ln w="9525">
                      <a:noFill/>
                      <a:miter lim="800000"/>
                      <a:headEnd/>
                      <a:tailEnd/>
                    </a:ln>
                  </pic:spPr>
                </pic:pic>
              </a:graphicData>
            </a:graphic>
          </wp:anchor>
        </w:drawing>
      </w:r>
      <w:r>
        <w:rPr>
          <w:noProof/>
        </w:rPr>
        <w:drawing>
          <wp:anchor distT="0" distB="0" distL="114300" distR="114300" simplePos="0" relativeHeight="251627008" behindDoc="1" locked="0" layoutInCell="0" allowOverlap="1">
            <wp:simplePos x="0" y="0"/>
            <wp:positionH relativeFrom="column">
              <wp:posOffset>2836545</wp:posOffset>
            </wp:positionH>
            <wp:positionV relativeFrom="paragraph">
              <wp:posOffset>-19685</wp:posOffset>
            </wp:positionV>
            <wp:extent cx="1270" cy="20320"/>
            <wp:effectExtent l="0" t="0" r="0" b="0"/>
            <wp:wrapNone/>
            <wp:docPr id="81" name="图片 6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6172"/>
                    <pic:cNvPicPr>
                      <a:picLocks noChangeAspect="1" noChangeArrowheads="1"/>
                    </pic:cNvPicPr>
                  </pic:nvPicPr>
                  <pic:blipFill>
                    <a:blip r:embed="rId72"/>
                    <a:srcRect/>
                    <a:stretch>
                      <a:fillRect/>
                    </a:stretch>
                  </pic:blipFill>
                  <pic:spPr>
                    <a:xfrm>
                      <a:off x="0" y="0"/>
                      <a:ext cx="1270" cy="20320"/>
                    </a:xfrm>
                    <a:prstGeom prst="rect">
                      <a:avLst/>
                    </a:prstGeom>
                    <a:noFill/>
                    <a:ln w="9525">
                      <a:noFill/>
                      <a:miter lim="800000"/>
                      <a:headEnd/>
                      <a:tailEnd/>
                    </a:ln>
                  </pic:spPr>
                </pic:pic>
              </a:graphicData>
            </a:graphic>
          </wp:anchor>
        </w:drawing>
      </w:r>
      <w:r>
        <w:rPr>
          <w:noProof/>
        </w:rPr>
        <w:drawing>
          <wp:anchor distT="0" distB="0" distL="114300" distR="114300" simplePos="0" relativeHeight="251628032" behindDoc="1" locked="0" layoutInCell="0" allowOverlap="1">
            <wp:simplePos x="0" y="0"/>
            <wp:positionH relativeFrom="column">
              <wp:posOffset>3223895</wp:posOffset>
            </wp:positionH>
            <wp:positionV relativeFrom="paragraph">
              <wp:posOffset>-19685</wp:posOffset>
            </wp:positionV>
            <wp:extent cx="1270" cy="20320"/>
            <wp:effectExtent l="0" t="0" r="0" b="0"/>
            <wp:wrapNone/>
            <wp:docPr id="80" name="图片 6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6173"/>
                    <pic:cNvPicPr>
                      <a:picLocks noChangeAspect="1" noChangeArrowheads="1"/>
                    </pic:cNvPicPr>
                  </pic:nvPicPr>
                  <pic:blipFill>
                    <a:blip r:embed="rId72"/>
                    <a:srcRect/>
                    <a:stretch>
                      <a:fillRect/>
                    </a:stretch>
                  </pic:blipFill>
                  <pic:spPr>
                    <a:xfrm>
                      <a:off x="0" y="0"/>
                      <a:ext cx="1270" cy="20320"/>
                    </a:xfrm>
                    <a:prstGeom prst="rect">
                      <a:avLst/>
                    </a:prstGeom>
                    <a:noFill/>
                    <a:ln w="9525">
                      <a:noFill/>
                      <a:miter lim="800000"/>
                      <a:headEnd/>
                      <a:tailEnd/>
                    </a:ln>
                  </pic:spPr>
                </pic:pic>
              </a:graphicData>
            </a:graphic>
          </wp:anchor>
        </w:drawing>
      </w:r>
      <w:r>
        <w:rPr>
          <w:noProof/>
        </w:rPr>
        <w:drawing>
          <wp:anchor distT="0" distB="0" distL="114300" distR="114300" simplePos="0" relativeHeight="251629056" behindDoc="1" locked="0" layoutInCell="0" allowOverlap="1">
            <wp:simplePos x="0" y="0"/>
            <wp:positionH relativeFrom="column">
              <wp:posOffset>3612515</wp:posOffset>
            </wp:positionH>
            <wp:positionV relativeFrom="paragraph">
              <wp:posOffset>-19685</wp:posOffset>
            </wp:positionV>
            <wp:extent cx="1270" cy="20320"/>
            <wp:effectExtent l="0" t="0" r="0" b="0"/>
            <wp:wrapNone/>
            <wp:docPr id="79" name="图片 6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6174"/>
                    <pic:cNvPicPr>
                      <a:picLocks noChangeAspect="1" noChangeArrowheads="1"/>
                    </pic:cNvPicPr>
                  </pic:nvPicPr>
                  <pic:blipFill>
                    <a:blip r:embed="rId72"/>
                    <a:srcRect/>
                    <a:stretch>
                      <a:fillRect/>
                    </a:stretch>
                  </pic:blipFill>
                  <pic:spPr>
                    <a:xfrm>
                      <a:off x="0" y="0"/>
                      <a:ext cx="1270" cy="20320"/>
                    </a:xfrm>
                    <a:prstGeom prst="rect">
                      <a:avLst/>
                    </a:prstGeom>
                    <a:noFill/>
                    <a:ln w="9525">
                      <a:noFill/>
                      <a:miter lim="800000"/>
                      <a:headEnd/>
                      <a:tailEnd/>
                    </a:ln>
                  </pic:spPr>
                </pic:pic>
              </a:graphicData>
            </a:graphic>
          </wp:anchor>
        </w:drawing>
      </w:r>
      <w:r>
        <w:rPr>
          <w:noProof/>
        </w:rPr>
        <w:drawing>
          <wp:anchor distT="0" distB="0" distL="114300" distR="114300" simplePos="0" relativeHeight="251630080" behindDoc="1" locked="0" layoutInCell="0" allowOverlap="1">
            <wp:simplePos x="0" y="0"/>
            <wp:positionH relativeFrom="column">
              <wp:posOffset>4003675</wp:posOffset>
            </wp:positionH>
            <wp:positionV relativeFrom="paragraph">
              <wp:posOffset>-19685</wp:posOffset>
            </wp:positionV>
            <wp:extent cx="1270" cy="20320"/>
            <wp:effectExtent l="0" t="0" r="0" b="0"/>
            <wp:wrapNone/>
            <wp:docPr id="78" name="图片 6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6175"/>
                    <pic:cNvPicPr>
                      <a:picLocks noChangeAspect="1" noChangeArrowheads="1"/>
                    </pic:cNvPicPr>
                  </pic:nvPicPr>
                  <pic:blipFill>
                    <a:blip r:embed="rId72"/>
                    <a:srcRect/>
                    <a:stretch>
                      <a:fillRect/>
                    </a:stretch>
                  </pic:blipFill>
                  <pic:spPr>
                    <a:xfrm>
                      <a:off x="0" y="0"/>
                      <a:ext cx="1270" cy="20320"/>
                    </a:xfrm>
                    <a:prstGeom prst="rect">
                      <a:avLst/>
                    </a:prstGeom>
                    <a:noFill/>
                    <a:ln w="9525">
                      <a:noFill/>
                      <a:miter lim="800000"/>
                      <a:headEnd/>
                      <a:tailEnd/>
                    </a:ln>
                  </pic:spPr>
                </pic:pic>
              </a:graphicData>
            </a:graphic>
          </wp:anchor>
        </w:drawing>
      </w:r>
      <w:r>
        <w:rPr>
          <w:noProof/>
        </w:rPr>
        <w:drawing>
          <wp:anchor distT="0" distB="0" distL="114300" distR="114300" simplePos="0" relativeHeight="251631104" behindDoc="1" locked="0" layoutInCell="0" allowOverlap="1">
            <wp:simplePos x="0" y="0"/>
            <wp:positionH relativeFrom="column">
              <wp:posOffset>4392295</wp:posOffset>
            </wp:positionH>
            <wp:positionV relativeFrom="paragraph">
              <wp:posOffset>-19685</wp:posOffset>
            </wp:positionV>
            <wp:extent cx="1270" cy="20320"/>
            <wp:effectExtent l="0" t="0" r="0" b="0"/>
            <wp:wrapNone/>
            <wp:docPr id="77" name="图片 6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6176"/>
                    <pic:cNvPicPr>
                      <a:picLocks noChangeAspect="1" noChangeArrowheads="1"/>
                    </pic:cNvPicPr>
                  </pic:nvPicPr>
                  <pic:blipFill>
                    <a:blip r:embed="rId72"/>
                    <a:srcRect/>
                    <a:stretch>
                      <a:fillRect/>
                    </a:stretch>
                  </pic:blipFill>
                  <pic:spPr>
                    <a:xfrm>
                      <a:off x="0" y="0"/>
                      <a:ext cx="1270" cy="20320"/>
                    </a:xfrm>
                    <a:prstGeom prst="rect">
                      <a:avLst/>
                    </a:prstGeom>
                    <a:noFill/>
                    <a:ln w="9525">
                      <a:noFill/>
                      <a:miter lim="800000"/>
                      <a:headEnd/>
                      <a:tailEnd/>
                    </a:ln>
                  </pic:spPr>
                </pic:pic>
              </a:graphicData>
            </a:graphic>
          </wp:anchor>
        </w:drawing>
      </w:r>
      <w:r>
        <w:rPr>
          <w:noProof/>
        </w:rPr>
        <w:drawing>
          <wp:anchor distT="0" distB="0" distL="114300" distR="114300" simplePos="0" relativeHeight="251632128" behindDoc="1" locked="0" layoutInCell="0" allowOverlap="1">
            <wp:simplePos x="0" y="0"/>
            <wp:positionH relativeFrom="column">
              <wp:posOffset>4780915</wp:posOffset>
            </wp:positionH>
            <wp:positionV relativeFrom="paragraph">
              <wp:posOffset>-19685</wp:posOffset>
            </wp:positionV>
            <wp:extent cx="1270" cy="20320"/>
            <wp:effectExtent l="0" t="0" r="0" b="0"/>
            <wp:wrapNone/>
            <wp:docPr id="76" name="图片 6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6177"/>
                    <pic:cNvPicPr>
                      <a:picLocks noChangeAspect="1" noChangeArrowheads="1"/>
                    </pic:cNvPicPr>
                  </pic:nvPicPr>
                  <pic:blipFill>
                    <a:blip r:embed="rId72"/>
                    <a:srcRect/>
                    <a:stretch>
                      <a:fillRect/>
                    </a:stretch>
                  </pic:blipFill>
                  <pic:spPr>
                    <a:xfrm>
                      <a:off x="0" y="0"/>
                      <a:ext cx="1270" cy="20320"/>
                    </a:xfrm>
                    <a:prstGeom prst="rect">
                      <a:avLst/>
                    </a:prstGeom>
                    <a:noFill/>
                    <a:ln w="9525">
                      <a:noFill/>
                      <a:miter lim="800000"/>
                      <a:headEnd/>
                      <a:tailEnd/>
                    </a:ln>
                  </pic:spPr>
                </pic:pic>
              </a:graphicData>
            </a:graphic>
          </wp:anchor>
        </w:drawing>
      </w:r>
      <w:r>
        <w:rPr>
          <w:noProof/>
        </w:rPr>
        <w:drawing>
          <wp:anchor distT="0" distB="0" distL="114300" distR="114300" simplePos="0" relativeHeight="251633152" behindDoc="1" locked="0" layoutInCell="0" allowOverlap="1">
            <wp:simplePos x="0" y="0"/>
            <wp:positionH relativeFrom="column">
              <wp:posOffset>5169535</wp:posOffset>
            </wp:positionH>
            <wp:positionV relativeFrom="paragraph">
              <wp:posOffset>-19685</wp:posOffset>
            </wp:positionV>
            <wp:extent cx="1270" cy="20320"/>
            <wp:effectExtent l="0" t="0" r="0" b="0"/>
            <wp:wrapNone/>
            <wp:docPr id="75" name="图片 6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6178"/>
                    <pic:cNvPicPr>
                      <a:picLocks noChangeAspect="1" noChangeArrowheads="1"/>
                    </pic:cNvPicPr>
                  </pic:nvPicPr>
                  <pic:blipFill>
                    <a:blip r:embed="rId72"/>
                    <a:srcRect/>
                    <a:stretch>
                      <a:fillRect/>
                    </a:stretch>
                  </pic:blipFill>
                  <pic:spPr>
                    <a:xfrm>
                      <a:off x="0" y="0"/>
                      <a:ext cx="1270" cy="20320"/>
                    </a:xfrm>
                    <a:prstGeom prst="rect">
                      <a:avLst/>
                    </a:prstGeom>
                    <a:noFill/>
                    <a:ln w="9525">
                      <a:noFill/>
                      <a:miter lim="800000"/>
                      <a:headEnd/>
                      <a:tailEnd/>
                    </a:ln>
                  </pic:spPr>
                </pic:pic>
              </a:graphicData>
            </a:graphic>
          </wp:anchor>
        </w:drawing>
      </w:r>
      <w:r>
        <w:rPr>
          <w:noProof/>
        </w:rPr>
        <w:drawing>
          <wp:anchor distT="0" distB="0" distL="114300" distR="114300" simplePos="0" relativeHeight="251634176" behindDoc="1" locked="0" layoutInCell="0" allowOverlap="1">
            <wp:simplePos x="0" y="0"/>
            <wp:positionH relativeFrom="column">
              <wp:posOffset>5555615</wp:posOffset>
            </wp:positionH>
            <wp:positionV relativeFrom="paragraph">
              <wp:posOffset>-19685</wp:posOffset>
            </wp:positionV>
            <wp:extent cx="1270" cy="20320"/>
            <wp:effectExtent l="0" t="0" r="0" b="0"/>
            <wp:wrapNone/>
            <wp:docPr id="74" name="图片 6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6179"/>
                    <pic:cNvPicPr>
                      <a:picLocks noChangeAspect="1" noChangeArrowheads="1"/>
                    </pic:cNvPicPr>
                  </pic:nvPicPr>
                  <pic:blipFill>
                    <a:blip r:embed="rId72"/>
                    <a:srcRect/>
                    <a:stretch>
                      <a:fillRect/>
                    </a:stretch>
                  </pic:blipFill>
                  <pic:spPr>
                    <a:xfrm>
                      <a:off x="0" y="0"/>
                      <a:ext cx="1270" cy="20320"/>
                    </a:xfrm>
                    <a:prstGeom prst="rect">
                      <a:avLst/>
                    </a:prstGeom>
                    <a:noFill/>
                    <a:ln w="9525">
                      <a:noFill/>
                      <a:miter lim="800000"/>
                      <a:headEnd/>
                      <a:tailEnd/>
                    </a:ln>
                  </pic:spPr>
                </pic:pic>
              </a:graphicData>
            </a:graphic>
          </wp:anchor>
        </w:drawing>
      </w:r>
      <w:r>
        <w:rPr>
          <w:rFonts w:hint="eastAsia"/>
        </w:rPr>
        <w:t>（</w:t>
      </w:r>
      <w:r>
        <w:rPr>
          <w:rFonts w:hint="eastAsia"/>
        </w:rPr>
        <w:t>2</w:t>
      </w:r>
      <w:r>
        <w:rPr>
          <w:rFonts w:hint="eastAsia"/>
        </w:rPr>
        <w:t>）</w:t>
      </w:r>
      <w:r>
        <w:t>风向特征</w:t>
      </w:r>
    </w:p>
    <w:p w:rsidR="00EE56C0" w:rsidRDefault="000F36A1">
      <w:pPr>
        <w:ind w:firstLine="480"/>
      </w:pPr>
      <w:r>
        <w:t>近</w:t>
      </w:r>
      <w:r>
        <w:t>20</w:t>
      </w:r>
      <w:r>
        <w:t>年资料分析的风向玫瑰图如图</w:t>
      </w:r>
      <w:r>
        <w:rPr>
          <w:rFonts w:hint="eastAsia"/>
        </w:rPr>
        <w:t>5-</w:t>
      </w:r>
      <w:r>
        <w:t>1</w:t>
      </w:r>
      <w:r>
        <w:t>所示，新乡气象站主要风向为</w:t>
      </w:r>
      <w:r>
        <w:t>ENE</w:t>
      </w:r>
      <w:r>
        <w:t>和</w:t>
      </w:r>
      <w:r>
        <w:t>C</w:t>
      </w:r>
      <w:r>
        <w:t>、</w:t>
      </w:r>
      <w:r>
        <w:t>NE</w:t>
      </w:r>
      <w:r>
        <w:t>、</w:t>
      </w:r>
      <w:r>
        <w:t>E</w:t>
      </w:r>
      <w:r>
        <w:t>，占</w:t>
      </w:r>
      <w:r>
        <w:t>50.</w:t>
      </w:r>
      <w:r>
        <w:rPr>
          <w:rFonts w:hint="eastAsia"/>
        </w:rPr>
        <w:t>2</w:t>
      </w:r>
      <w:r>
        <w:t>％，其中以</w:t>
      </w:r>
      <w:r>
        <w:t>ENE</w:t>
      </w:r>
      <w:r>
        <w:t>为主风向，占到全年</w:t>
      </w:r>
      <w:r>
        <w:t>17.0</w:t>
      </w:r>
      <w:r>
        <w:t>％左右。</w:t>
      </w:r>
    </w:p>
    <w:p w:rsidR="00EE56C0" w:rsidRDefault="000F36A1">
      <w:pPr>
        <w:pStyle w:val="afd"/>
        <w:spacing w:before="120" w:after="120"/>
        <w:ind w:firstLine="482"/>
      </w:pPr>
      <w:r>
        <w:t>表</w:t>
      </w:r>
      <w:r>
        <w:rPr>
          <w:rFonts w:hint="eastAsia"/>
        </w:rPr>
        <w:t>5-</w:t>
      </w:r>
      <w:r>
        <w:t xml:space="preserve">3 </w:t>
      </w:r>
      <w:r>
        <w:t>新乡气象站年风向频率统计单位</w:t>
      </w:r>
      <w:r>
        <w:rPr>
          <w:rFonts w:hint="eastAsia"/>
        </w:rPr>
        <w:t>：</w:t>
      </w:r>
      <w:r>
        <w:t>%</w:t>
      </w:r>
    </w:p>
    <w:tbl>
      <w:tblPr>
        <w:tblW w:w="5000" w:type="pct"/>
        <w:jc w:val="center"/>
        <w:tblBorders>
          <w:top w:val="single" w:sz="8" w:space="0" w:color="000001"/>
          <w:left w:val="single" w:sz="8" w:space="0" w:color="000001"/>
          <w:bottom w:val="single" w:sz="8" w:space="0" w:color="000001"/>
          <w:right w:val="single" w:sz="8" w:space="0" w:color="000001"/>
          <w:insideH w:val="single" w:sz="6" w:space="0" w:color="000001"/>
          <w:insideV w:val="single" w:sz="6" w:space="0" w:color="000001"/>
        </w:tblBorders>
        <w:tblCellMar>
          <w:left w:w="0" w:type="dxa"/>
          <w:right w:w="0" w:type="dxa"/>
        </w:tblCellMar>
        <w:tblLook w:val="04A0"/>
      </w:tblPr>
      <w:tblGrid>
        <w:gridCol w:w="489"/>
        <w:gridCol w:w="536"/>
        <w:gridCol w:w="459"/>
        <w:gridCol w:w="441"/>
        <w:gridCol w:w="456"/>
        <w:gridCol w:w="442"/>
        <w:gridCol w:w="443"/>
        <w:gridCol w:w="458"/>
        <w:gridCol w:w="443"/>
        <w:gridCol w:w="443"/>
        <w:gridCol w:w="459"/>
        <w:gridCol w:w="442"/>
        <w:gridCol w:w="570"/>
        <w:gridCol w:w="332"/>
        <w:gridCol w:w="587"/>
        <w:gridCol w:w="377"/>
        <w:gridCol w:w="570"/>
        <w:gridCol w:w="386"/>
      </w:tblGrid>
      <w:tr w:rsidR="00EE56C0">
        <w:trPr>
          <w:trHeight w:val="510"/>
          <w:jc w:val="center"/>
        </w:trPr>
        <w:tc>
          <w:tcPr>
            <w:tcW w:w="294" w:type="pct"/>
            <w:vAlign w:val="center"/>
          </w:tcPr>
          <w:p w:rsidR="00EE56C0" w:rsidRDefault="000F36A1">
            <w:pPr>
              <w:pStyle w:val="aff1"/>
              <w:rPr>
                <w:color w:val="auto"/>
              </w:rPr>
            </w:pPr>
            <w:r>
              <w:rPr>
                <w:b w:val="0"/>
                <w:noProof/>
                <w:color w:val="auto"/>
              </w:rPr>
              <w:drawing>
                <wp:anchor distT="0" distB="0" distL="114300" distR="114300" simplePos="0" relativeHeight="251652608" behindDoc="1" locked="0" layoutInCell="0" allowOverlap="1">
                  <wp:simplePos x="0" y="0"/>
                  <wp:positionH relativeFrom="column">
                    <wp:posOffset>380365</wp:posOffset>
                  </wp:positionH>
                  <wp:positionV relativeFrom="paragraph">
                    <wp:posOffset>95250</wp:posOffset>
                  </wp:positionV>
                  <wp:extent cx="1270" cy="20320"/>
                  <wp:effectExtent l="0" t="0" r="0" b="0"/>
                  <wp:wrapNone/>
                  <wp:docPr id="73" name="图片 6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6180"/>
                          <pic:cNvPicPr>
                            <a:picLocks noChangeAspect="1" noChangeArrowheads="1"/>
                          </pic:cNvPicPr>
                        </pic:nvPicPr>
                        <pic:blipFill>
                          <a:blip r:embed="rId72"/>
                          <a:srcRect/>
                          <a:stretch>
                            <a:fillRect/>
                          </a:stretch>
                        </pic:blipFill>
                        <pic:spPr>
                          <a:xfrm>
                            <a:off x="0" y="0"/>
                            <a:ext cx="1270" cy="20320"/>
                          </a:xfrm>
                          <a:prstGeom prst="rect">
                            <a:avLst/>
                          </a:prstGeom>
                          <a:noFill/>
                          <a:ln w="9525">
                            <a:noFill/>
                            <a:miter lim="800000"/>
                            <a:headEnd/>
                            <a:tailEnd/>
                          </a:ln>
                        </pic:spPr>
                      </pic:pic>
                    </a:graphicData>
                  </a:graphic>
                </wp:anchor>
              </w:drawing>
            </w:r>
            <w:r>
              <w:rPr>
                <w:b w:val="0"/>
                <w:noProof/>
                <w:color w:val="auto"/>
              </w:rPr>
              <w:drawing>
                <wp:anchor distT="0" distB="0" distL="114300" distR="114300" simplePos="0" relativeHeight="251653632" behindDoc="1" locked="0" layoutInCell="0" allowOverlap="1">
                  <wp:simplePos x="0" y="0"/>
                  <wp:positionH relativeFrom="column">
                    <wp:posOffset>814705</wp:posOffset>
                  </wp:positionH>
                  <wp:positionV relativeFrom="paragraph">
                    <wp:posOffset>95250</wp:posOffset>
                  </wp:positionV>
                  <wp:extent cx="1270" cy="20320"/>
                  <wp:effectExtent l="0" t="0" r="0" b="0"/>
                  <wp:wrapNone/>
                  <wp:docPr id="72" name="图片 6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6181"/>
                          <pic:cNvPicPr>
                            <a:picLocks noChangeAspect="1" noChangeArrowheads="1"/>
                          </pic:cNvPicPr>
                        </pic:nvPicPr>
                        <pic:blipFill>
                          <a:blip r:embed="rId72"/>
                          <a:srcRect/>
                          <a:stretch>
                            <a:fillRect/>
                          </a:stretch>
                        </pic:blipFill>
                        <pic:spPr>
                          <a:xfrm>
                            <a:off x="0" y="0"/>
                            <a:ext cx="1270" cy="20320"/>
                          </a:xfrm>
                          <a:prstGeom prst="rect">
                            <a:avLst/>
                          </a:prstGeom>
                          <a:noFill/>
                          <a:ln w="9525">
                            <a:noFill/>
                            <a:miter lim="800000"/>
                            <a:headEnd/>
                            <a:tailEnd/>
                          </a:ln>
                        </pic:spPr>
                      </pic:pic>
                    </a:graphicData>
                  </a:graphic>
                </wp:anchor>
              </w:drawing>
            </w:r>
            <w:r>
              <w:rPr>
                <w:b w:val="0"/>
                <w:noProof/>
                <w:color w:val="auto"/>
              </w:rPr>
              <w:drawing>
                <wp:anchor distT="0" distB="0" distL="114300" distR="114300" simplePos="0" relativeHeight="251654656" behindDoc="1" locked="0" layoutInCell="0" allowOverlap="1">
                  <wp:simplePos x="0" y="0"/>
                  <wp:positionH relativeFrom="column">
                    <wp:posOffset>1174115</wp:posOffset>
                  </wp:positionH>
                  <wp:positionV relativeFrom="paragraph">
                    <wp:posOffset>95250</wp:posOffset>
                  </wp:positionV>
                  <wp:extent cx="1270" cy="20320"/>
                  <wp:effectExtent l="0" t="0" r="0" b="0"/>
                  <wp:wrapNone/>
                  <wp:docPr id="55" name="图片 6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6182"/>
                          <pic:cNvPicPr>
                            <a:picLocks noChangeAspect="1" noChangeArrowheads="1"/>
                          </pic:cNvPicPr>
                        </pic:nvPicPr>
                        <pic:blipFill>
                          <a:blip r:embed="rId72"/>
                          <a:srcRect/>
                          <a:stretch>
                            <a:fillRect/>
                          </a:stretch>
                        </pic:blipFill>
                        <pic:spPr>
                          <a:xfrm>
                            <a:off x="0" y="0"/>
                            <a:ext cx="1270" cy="20320"/>
                          </a:xfrm>
                          <a:prstGeom prst="rect">
                            <a:avLst/>
                          </a:prstGeom>
                          <a:noFill/>
                          <a:ln w="9525">
                            <a:noFill/>
                            <a:miter lim="800000"/>
                            <a:headEnd/>
                            <a:tailEnd/>
                          </a:ln>
                        </pic:spPr>
                      </pic:pic>
                    </a:graphicData>
                  </a:graphic>
                </wp:anchor>
              </w:drawing>
            </w:r>
            <w:r>
              <w:rPr>
                <w:b w:val="0"/>
                <w:noProof/>
                <w:color w:val="auto"/>
              </w:rPr>
              <w:drawing>
                <wp:anchor distT="0" distB="0" distL="114300" distR="114300" simplePos="0" relativeHeight="251655680" behindDoc="1" locked="0" layoutInCell="0" allowOverlap="1">
                  <wp:simplePos x="0" y="0"/>
                  <wp:positionH relativeFrom="column">
                    <wp:posOffset>1533525</wp:posOffset>
                  </wp:positionH>
                  <wp:positionV relativeFrom="paragraph">
                    <wp:posOffset>95250</wp:posOffset>
                  </wp:positionV>
                  <wp:extent cx="1270" cy="20320"/>
                  <wp:effectExtent l="0" t="0" r="0" b="0"/>
                  <wp:wrapNone/>
                  <wp:docPr id="9" name="图片 6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183"/>
                          <pic:cNvPicPr>
                            <a:picLocks noChangeAspect="1" noChangeArrowheads="1"/>
                          </pic:cNvPicPr>
                        </pic:nvPicPr>
                        <pic:blipFill>
                          <a:blip r:embed="rId72"/>
                          <a:srcRect/>
                          <a:stretch>
                            <a:fillRect/>
                          </a:stretch>
                        </pic:blipFill>
                        <pic:spPr>
                          <a:xfrm>
                            <a:off x="0" y="0"/>
                            <a:ext cx="1270" cy="20320"/>
                          </a:xfrm>
                          <a:prstGeom prst="rect">
                            <a:avLst/>
                          </a:prstGeom>
                          <a:noFill/>
                          <a:ln w="9525">
                            <a:noFill/>
                            <a:miter lim="800000"/>
                            <a:headEnd/>
                            <a:tailEnd/>
                          </a:ln>
                        </pic:spPr>
                      </pic:pic>
                    </a:graphicData>
                  </a:graphic>
                </wp:anchor>
              </w:drawing>
            </w:r>
            <w:r>
              <w:rPr>
                <w:b w:val="0"/>
                <w:noProof/>
                <w:color w:val="auto"/>
              </w:rPr>
              <w:drawing>
                <wp:anchor distT="0" distB="0" distL="114300" distR="114300" simplePos="0" relativeHeight="251656704" behindDoc="1" locked="0" layoutInCell="0" allowOverlap="1">
                  <wp:simplePos x="0" y="0"/>
                  <wp:positionH relativeFrom="column">
                    <wp:posOffset>1894205</wp:posOffset>
                  </wp:positionH>
                  <wp:positionV relativeFrom="paragraph">
                    <wp:posOffset>95250</wp:posOffset>
                  </wp:positionV>
                  <wp:extent cx="1270" cy="20320"/>
                  <wp:effectExtent l="0" t="0" r="0" b="0"/>
                  <wp:wrapNone/>
                  <wp:docPr id="8" name="图片 6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184"/>
                          <pic:cNvPicPr>
                            <a:picLocks noChangeAspect="1" noChangeArrowheads="1"/>
                          </pic:cNvPicPr>
                        </pic:nvPicPr>
                        <pic:blipFill>
                          <a:blip r:embed="rId72"/>
                          <a:srcRect/>
                          <a:stretch>
                            <a:fillRect/>
                          </a:stretch>
                        </pic:blipFill>
                        <pic:spPr>
                          <a:xfrm>
                            <a:off x="0" y="0"/>
                            <a:ext cx="1270" cy="20320"/>
                          </a:xfrm>
                          <a:prstGeom prst="rect">
                            <a:avLst/>
                          </a:prstGeom>
                          <a:noFill/>
                          <a:ln w="9525">
                            <a:noFill/>
                            <a:miter lim="800000"/>
                            <a:headEnd/>
                            <a:tailEnd/>
                          </a:ln>
                        </pic:spPr>
                      </pic:pic>
                    </a:graphicData>
                  </a:graphic>
                </wp:anchor>
              </w:drawing>
            </w:r>
            <w:r>
              <w:rPr>
                <w:b w:val="0"/>
                <w:noProof/>
                <w:color w:val="auto"/>
              </w:rPr>
              <w:drawing>
                <wp:anchor distT="0" distB="0" distL="114300" distR="114300" simplePos="0" relativeHeight="251657728" behindDoc="1" locked="0" layoutInCell="0" allowOverlap="1">
                  <wp:simplePos x="0" y="0"/>
                  <wp:positionH relativeFrom="column">
                    <wp:posOffset>2253615</wp:posOffset>
                  </wp:positionH>
                  <wp:positionV relativeFrom="paragraph">
                    <wp:posOffset>95250</wp:posOffset>
                  </wp:positionV>
                  <wp:extent cx="1270" cy="20320"/>
                  <wp:effectExtent l="0" t="0" r="0" b="0"/>
                  <wp:wrapNone/>
                  <wp:docPr id="60" name="图片 6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185"/>
                          <pic:cNvPicPr>
                            <a:picLocks noChangeAspect="1" noChangeArrowheads="1"/>
                          </pic:cNvPicPr>
                        </pic:nvPicPr>
                        <pic:blipFill>
                          <a:blip r:embed="rId72"/>
                          <a:srcRect/>
                          <a:stretch>
                            <a:fillRect/>
                          </a:stretch>
                        </pic:blipFill>
                        <pic:spPr>
                          <a:xfrm>
                            <a:off x="0" y="0"/>
                            <a:ext cx="1270" cy="20320"/>
                          </a:xfrm>
                          <a:prstGeom prst="rect">
                            <a:avLst/>
                          </a:prstGeom>
                          <a:noFill/>
                          <a:ln w="9525">
                            <a:noFill/>
                            <a:miter lim="800000"/>
                            <a:headEnd/>
                            <a:tailEnd/>
                          </a:ln>
                        </pic:spPr>
                      </pic:pic>
                    </a:graphicData>
                  </a:graphic>
                </wp:anchor>
              </w:drawing>
            </w:r>
            <w:r>
              <w:rPr>
                <w:b w:val="0"/>
                <w:noProof/>
                <w:color w:val="auto"/>
              </w:rPr>
              <w:drawing>
                <wp:anchor distT="0" distB="0" distL="114300" distR="114300" simplePos="0" relativeHeight="251658752" behindDoc="1" locked="0" layoutInCell="0" allowOverlap="1">
                  <wp:simplePos x="0" y="0"/>
                  <wp:positionH relativeFrom="column">
                    <wp:posOffset>2613025</wp:posOffset>
                  </wp:positionH>
                  <wp:positionV relativeFrom="paragraph">
                    <wp:posOffset>95250</wp:posOffset>
                  </wp:positionV>
                  <wp:extent cx="1270" cy="20320"/>
                  <wp:effectExtent l="0" t="0" r="0" b="0"/>
                  <wp:wrapNone/>
                  <wp:docPr id="61" name="图片 6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86"/>
                          <pic:cNvPicPr>
                            <a:picLocks noChangeAspect="1" noChangeArrowheads="1"/>
                          </pic:cNvPicPr>
                        </pic:nvPicPr>
                        <pic:blipFill>
                          <a:blip r:embed="rId72"/>
                          <a:srcRect/>
                          <a:stretch>
                            <a:fillRect/>
                          </a:stretch>
                        </pic:blipFill>
                        <pic:spPr>
                          <a:xfrm>
                            <a:off x="0" y="0"/>
                            <a:ext cx="1270" cy="20320"/>
                          </a:xfrm>
                          <a:prstGeom prst="rect">
                            <a:avLst/>
                          </a:prstGeom>
                          <a:noFill/>
                          <a:ln w="9525">
                            <a:noFill/>
                            <a:miter lim="800000"/>
                            <a:headEnd/>
                            <a:tailEnd/>
                          </a:ln>
                        </pic:spPr>
                      </pic:pic>
                    </a:graphicData>
                  </a:graphic>
                </wp:anchor>
              </w:drawing>
            </w:r>
            <w:r>
              <w:rPr>
                <w:b w:val="0"/>
                <w:noProof/>
                <w:color w:val="auto"/>
              </w:rPr>
              <w:drawing>
                <wp:anchor distT="0" distB="0" distL="114300" distR="114300" simplePos="0" relativeHeight="251659776" behindDoc="1" locked="0" layoutInCell="0" allowOverlap="1">
                  <wp:simplePos x="0" y="0"/>
                  <wp:positionH relativeFrom="column">
                    <wp:posOffset>2973705</wp:posOffset>
                  </wp:positionH>
                  <wp:positionV relativeFrom="paragraph">
                    <wp:posOffset>95250</wp:posOffset>
                  </wp:positionV>
                  <wp:extent cx="1270" cy="20320"/>
                  <wp:effectExtent l="0" t="0" r="0" b="0"/>
                  <wp:wrapNone/>
                  <wp:docPr id="62" name="图片 6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187"/>
                          <pic:cNvPicPr>
                            <a:picLocks noChangeAspect="1" noChangeArrowheads="1"/>
                          </pic:cNvPicPr>
                        </pic:nvPicPr>
                        <pic:blipFill>
                          <a:blip r:embed="rId72"/>
                          <a:srcRect/>
                          <a:stretch>
                            <a:fillRect/>
                          </a:stretch>
                        </pic:blipFill>
                        <pic:spPr>
                          <a:xfrm>
                            <a:off x="0" y="0"/>
                            <a:ext cx="1270" cy="20320"/>
                          </a:xfrm>
                          <a:prstGeom prst="rect">
                            <a:avLst/>
                          </a:prstGeom>
                          <a:noFill/>
                          <a:ln w="9525">
                            <a:noFill/>
                            <a:miter lim="800000"/>
                            <a:headEnd/>
                            <a:tailEnd/>
                          </a:ln>
                        </pic:spPr>
                      </pic:pic>
                    </a:graphicData>
                  </a:graphic>
                </wp:anchor>
              </w:drawing>
            </w:r>
            <w:r>
              <w:rPr>
                <w:b w:val="0"/>
                <w:noProof/>
                <w:color w:val="auto"/>
              </w:rPr>
              <w:drawing>
                <wp:anchor distT="0" distB="0" distL="114300" distR="114300" simplePos="0" relativeHeight="251660800" behindDoc="1" locked="0" layoutInCell="0" allowOverlap="1">
                  <wp:simplePos x="0" y="0"/>
                  <wp:positionH relativeFrom="column">
                    <wp:posOffset>3333115</wp:posOffset>
                  </wp:positionH>
                  <wp:positionV relativeFrom="paragraph">
                    <wp:posOffset>95250</wp:posOffset>
                  </wp:positionV>
                  <wp:extent cx="1270" cy="20320"/>
                  <wp:effectExtent l="0" t="0" r="0" b="0"/>
                  <wp:wrapNone/>
                  <wp:docPr id="63" name="图片 6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188"/>
                          <pic:cNvPicPr>
                            <a:picLocks noChangeAspect="1" noChangeArrowheads="1"/>
                          </pic:cNvPicPr>
                        </pic:nvPicPr>
                        <pic:blipFill>
                          <a:blip r:embed="rId72"/>
                          <a:srcRect/>
                          <a:stretch>
                            <a:fillRect/>
                          </a:stretch>
                        </pic:blipFill>
                        <pic:spPr>
                          <a:xfrm>
                            <a:off x="0" y="0"/>
                            <a:ext cx="1270" cy="20320"/>
                          </a:xfrm>
                          <a:prstGeom prst="rect">
                            <a:avLst/>
                          </a:prstGeom>
                          <a:noFill/>
                          <a:ln w="9525">
                            <a:noFill/>
                            <a:miter lim="800000"/>
                            <a:headEnd/>
                            <a:tailEnd/>
                          </a:ln>
                        </pic:spPr>
                      </pic:pic>
                    </a:graphicData>
                  </a:graphic>
                </wp:anchor>
              </w:drawing>
            </w:r>
            <w:r>
              <w:rPr>
                <w:b w:val="0"/>
                <w:noProof/>
                <w:color w:val="auto"/>
              </w:rPr>
              <w:drawing>
                <wp:anchor distT="0" distB="0" distL="114300" distR="114300" simplePos="0" relativeHeight="251661824" behindDoc="1" locked="0" layoutInCell="0" allowOverlap="1">
                  <wp:simplePos x="0" y="0"/>
                  <wp:positionH relativeFrom="column">
                    <wp:posOffset>3692525</wp:posOffset>
                  </wp:positionH>
                  <wp:positionV relativeFrom="paragraph">
                    <wp:posOffset>95250</wp:posOffset>
                  </wp:positionV>
                  <wp:extent cx="1270" cy="20320"/>
                  <wp:effectExtent l="0" t="0" r="0" b="0"/>
                  <wp:wrapNone/>
                  <wp:docPr id="64" name="图片 6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189"/>
                          <pic:cNvPicPr>
                            <a:picLocks noChangeAspect="1" noChangeArrowheads="1"/>
                          </pic:cNvPicPr>
                        </pic:nvPicPr>
                        <pic:blipFill>
                          <a:blip r:embed="rId72"/>
                          <a:srcRect/>
                          <a:stretch>
                            <a:fillRect/>
                          </a:stretch>
                        </pic:blipFill>
                        <pic:spPr>
                          <a:xfrm>
                            <a:off x="0" y="0"/>
                            <a:ext cx="1270" cy="20320"/>
                          </a:xfrm>
                          <a:prstGeom prst="rect">
                            <a:avLst/>
                          </a:prstGeom>
                          <a:noFill/>
                          <a:ln w="9525">
                            <a:noFill/>
                            <a:miter lim="800000"/>
                            <a:headEnd/>
                            <a:tailEnd/>
                          </a:ln>
                        </pic:spPr>
                      </pic:pic>
                    </a:graphicData>
                  </a:graphic>
                </wp:anchor>
              </w:drawing>
            </w:r>
            <w:r>
              <w:rPr>
                <w:b w:val="0"/>
                <w:noProof/>
                <w:color w:val="auto"/>
              </w:rPr>
              <w:drawing>
                <wp:anchor distT="0" distB="0" distL="114300" distR="114300" simplePos="0" relativeHeight="251662848" behindDoc="1" locked="0" layoutInCell="0" allowOverlap="1">
                  <wp:simplePos x="0" y="0"/>
                  <wp:positionH relativeFrom="column">
                    <wp:posOffset>4053205</wp:posOffset>
                  </wp:positionH>
                  <wp:positionV relativeFrom="paragraph">
                    <wp:posOffset>95250</wp:posOffset>
                  </wp:positionV>
                  <wp:extent cx="1270" cy="20320"/>
                  <wp:effectExtent l="0" t="0" r="0" b="0"/>
                  <wp:wrapNone/>
                  <wp:docPr id="65" name="图片 6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190"/>
                          <pic:cNvPicPr>
                            <a:picLocks noChangeAspect="1" noChangeArrowheads="1"/>
                          </pic:cNvPicPr>
                        </pic:nvPicPr>
                        <pic:blipFill>
                          <a:blip r:embed="rId72"/>
                          <a:srcRect/>
                          <a:stretch>
                            <a:fillRect/>
                          </a:stretch>
                        </pic:blipFill>
                        <pic:spPr>
                          <a:xfrm>
                            <a:off x="0" y="0"/>
                            <a:ext cx="1270" cy="20320"/>
                          </a:xfrm>
                          <a:prstGeom prst="rect">
                            <a:avLst/>
                          </a:prstGeom>
                          <a:noFill/>
                          <a:ln w="9525">
                            <a:noFill/>
                            <a:miter lim="800000"/>
                            <a:headEnd/>
                            <a:tailEnd/>
                          </a:ln>
                        </pic:spPr>
                      </pic:pic>
                    </a:graphicData>
                  </a:graphic>
                </wp:anchor>
              </w:drawing>
            </w:r>
            <w:r>
              <w:rPr>
                <w:b w:val="0"/>
                <w:noProof/>
                <w:color w:val="auto"/>
              </w:rPr>
              <w:drawing>
                <wp:anchor distT="0" distB="0" distL="114300" distR="114300" simplePos="0" relativeHeight="251663872" behindDoc="1" locked="0" layoutInCell="0" allowOverlap="1">
                  <wp:simplePos x="0" y="0"/>
                  <wp:positionH relativeFrom="column">
                    <wp:posOffset>4412615</wp:posOffset>
                  </wp:positionH>
                  <wp:positionV relativeFrom="paragraph">
                    <wp:posOffset>95250</wp:posOffset>
                  </wp:positionV>
                  <wp:extent cx="1270" cy="20320"/>
                  <wp:effectExtent l="0" t="0" r="0" b="0"/>
                  <wp:wrapNone/>
                  <wp:docPr id="66" name="图片 6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191"/>
                          <pic:cNvPicPr>
                            <a:picLocks noChangeAspect="1" noChangeArrowheads="1"/>
                          </pic:cNvPicPr>
                        </pic:nvPicPr>
                        <pic:blipFill>
                          <a:blip r:embed="rId72"/>
                          <a:srcRect/>
                          <a:stretch>
                            <a:fillRect/>
                          </a:stretch>
                        </pic:blipFill>
                        <pic:spPr>
                          <a:xfrm>
                            <a:off x="0" y="0"/>
                            <a:ext cx="1270" cy="20320"/>
                          </a:xfrm>
                          <a:prstGeom prst="rect">
                            <a:avLst/>
                          </a:prstGeom>
                          <a:noFill/>
                          <a:ln w="9525">
                            <a:noFill/>
                            <a:miter lim="800000"/>
                            <a:headEnd/>
                            <a:tailEnd/>
                          </a:ln>
                        </pic:spPr>
                      </pic:pic>
                    </a:graphicData>
                  </a:graphic>
                </wp:anchor>
              </w:drawing>
            </w:r>
            <w:r>
              <w:rPr>
                <w:b w:val="0"/>
                <w:noProof/>
                <w:color w:val="auto"/>
              </w:rPr>
              <w:drawing>
                <wp:anchor distT="0" distB="0" distL="114300" distR="114300" simplePos="0" relativeHeight="251664896" behindDoc="1" locked="0" layoutInCell="0" allowOverlap="1">
                  <wp:simplePos x="0" y="0"/>
                  <wp:positionH relativeFrom="column">
                    <wp:posOffset>4862195</wp:posOffset>
                  </wp:positionH>
                  <wp:positionV relativeFrom="paragraph">
                    <wp:posOffset>95250</wp:posOffset>
                  </wp:positionV>
                  <wp:extent cx="1270" cy="20320"/>
                  <wp:effectExtent l="0" t="0" r="0" b="0"/>
                  <wp:wrapNone/>
                  <wp:docPr id="67" name="图片 6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192"/>
                          <pic:cNvPicPr>
                            <a:picLocks noChangeAspect="1" noChangeArrowheads="1"/>
                          </pic:cNvPicPr>
                        </pic:nvPicPr>
                        <pic:blipFill>
                          <a:blip r:embed="rId72"/>
                          <a:srcRect/>
                          <a:stretch>
                            <a:fillRect/>
                          </a:stretch>
                        </pic:blipFill>
                        <pic:spPr>
                          <a:xfrm>
                            <a:off x="0" y="0"/>
                            <a:ext cx="1270" cy="20320"/>
                          </a:xfrm>
                          <a:prstGeom prst="rect">
                            <a:avLst/>
                          </a:prstGeom>
                          <a:noFill/>
                          <a:ln w="9525">
                            <a:noFill/>
                            <a:miter lim="800000"/>
                            <a:headEnd/>
                            <a:tailEnd/>
                          </a:ln>
                        </pic:spPr>
                      </pic:pic>
                    </a:graphicData>
                  </a:graphic>
                </wp:anchor>
              </w:drawing>
            </w:r>
            <w:r>
              <w:rPr>
                <w:b w:val="0"/>
                <w:noProof/>
                <w:color w:val="auto"/>
              </w:rPr>
              <w:drawing>
                <wp:anchor distT="0" distB="0" distL="114300" distR="114300" simplePos="0" relativeHeight="251665920" behindDoc="1" locked="0" layoutInCell="0" allowOverlap="1">
                  <wp:simplePos x="0" y="0"/>
                  <wp:positionH relativeFrom="column">
                    <wp:posOffset>5132705</wp:posOffset>
                  </wp:positionH>
                  <wp:positionV relativeFrom="paragraph">
                    <wp:posOffset>95250</wp:posOffset>
                  </wp:positionV>
                  <wp:extent cx="1270" cy="20320"/>
                  <wp:effectExtent l="0" t="0" r="0" b="0"/>
                  <wp:wrapNone/>
                  <wp:docPr id="68" name="图片 6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193"/>
                          <pic:cNvPicPr>
                            <a:picLocks noChangeAspect="1" noChangeArrowheads="1"/>
                          </pic:cNvPicPr>
                        </pic:nvPicPr>
                        <pic:blipFill>
                          <a:blip r:embed="rId72"/>
                          <a:srcRect/>
                          <a:stretch>
                            <a:fillRect/>
                          </a:stretch>
                        </pic:blipFill>
                        <pic:spPr>
                          <a:xfrm>
                            <a:off x="0" y="0"/>
                            <a:ext cx="1270" cy="20320"/>
                          </a:xfrm>
                          <a:prstGeom prst="rect">
                            <a:avLst/>
                          </a:prstGeom>
                          <a:noFill/>
                          <a:ln w="9525">
                            <a:noFill/>
                            <a:miter lim="800000"/>
                            <a:headEnd/>
                            <a:tailEnd/>
                          </a:ln>
                        </pic:spPr>
                      </pic:pic>
                    </a:graphicData>
                  </a:graphic>
                </wp:anchor>
              </w:drawing>
            </w:r>
            <w:r>
              <w:rPr>
                <w:b w:val="0"/>
                <w:noProof/>
                <w:color w:val="auto"/>
              </w:rPr>
              <w:drawing>
                <wp:anchor distT="0" distB="0" distL="114300" distR="114300" simplePos="0" relativeHeight="251666944" behindDoc="1" locked="0" layoutInCell="0" allowOverlap="1">
                  <wp:simplePos x="0" y="0"/>
                  <wp:positionH relativeFrom="column">
                    <wp:posOffset>5582285</wp:posOffset>
                  </wp:positionH>
                  <wp:positionV relativeFrom="paragraph">
                    <wp:posOffset>95250</wp:posOffset>
                  </wp:positionV>
                  <wp:extent cx="1270" cy="20320"/>
                  <wp:effectExtent l="0" t="0" r="0" b="0"/>
                  <wp:wrapNone/>
                  <wp:docPr id="69" name="图片 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194"/>
                          <pic:cNvPicPr>
                            <a:picLocks noChangeAspect="1" noChangeArrowheads="1"/>
                          </pic:cNvPicPr>
                        </pic:nvPicPr>
                        <pic:blipFill>
                          <a:blip r:embed="rId72"/>
                          <a:srcRect/>
                          <a:stretch>
                            <a:fillRect/>
                          </a:stretch>
                        </pic:blipFill>
                        <pic:spPr>
                          <a:xfrm>
                            <a:off x="0" y="0"/>
                            <a:ext cx="1270" cy="20320"/>
                          </a:xfrm>
                          <a:prstGeom prst="rect">
                            <a:avLst/>
                          </a:prstGeom>
                          <a:noFill/>
                          <a:ln w="9525">
                            <a:noFill/>
                            <a:miter lim="800000"/>
                            <a:headEnd/>
                            <a:tailEnd/>
                          </a:ln>
                        </pic:spPr>
                      </pic:pic>
                    </a:graphicData>
                  </a:graphic>
                </wp:anchor>
              </w:drawing>
            </w:r>
            <w:r>
              <w:rPr>
                <w:b w:val="0"/>
                <w:noProof/>
                <w:color w:val="auto"/>
              </w:rPr>
              <w:drawing>
                <wp:anchor distT="0" distB="0" distL="114300" distR="114300" simplePos="0" relativeHeight="251667968" behindDoc="1" locked="0" layoutInCell="0" allowOverlap="1">
                  <wp:simplePos x="0" y="0"/>
                  <wp:positionH relativeFrom="column">
                    <wp:posOffset>5851525</wp:posOffset>
                  </wp:positionH>
                  <wp:positionV relativeFrom="paragraph">
                    <wp:posOffset>95250</wp:posOffset>
                  </wp:positionV>
                  <wp:extent cx="1270" cy="20320"/>
                  <wp:effectExtent l="0" t="0" r="0" b="0"/>
                  <wp:wrapNone/>
                  <wp:docPr id="70" name="图片 6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6195"/>
                          <pic:cNvPicPr>
                            <a:picLocks noChangeAspect="1" noChangeArrowheads="1"/>
                          </pic:cNvPicPr>
                        </pic:nvPicPr>
                        <pic:blipFill>
                          <a:blip r:embed="rId72"/>
                          <a:srcRect/>
                          <a:stretch>
                            <a:fillRect/>
                          </a:stretch>
                        </pic:blipFill>
                        <pic:spPr>
                          <a:xfrm>
                            <a:off x="0" y="0"/>
                            <a:ext cx="1270" cy="20320"/>
                          </a:xfrm>
                          <a:prstGeom prst="rect">
                            <a:avLst/>
                          </a:prstGeom>
                          <a:noFill/>
                          <a:ln w="9525">
                            <a:noFill/>
                            <a:miter lim="800000"/>
                            <a:headEnd/>
                            <a:tailEnd/>
                          </a:ln>
                        </pic:spPr>
                      </pic:pic>
                    </a:graphicData>
                  </a:graphic>
                </wp:anchor>
              </w:drawing>
            </w:r>
            <w:r>
              <w:rPr>
                <w:b w:val="0"/>
                <w:noProof/>
                <w:color w:val="auto"/>
              </w:rPr>
              <w:drawing>
                <wp:anchor distT="0" distB="0" distL="114300" distR="114300" simplePos="0" relativeHeight="251668992" behindDoc="1" locked="0" layoutInCell="0" allowOverlap="1">
                  <wp:simplePos x="0" y="0"/>
                  <wp:positionH relativeFrom="column">
                    <wp:posOffset>6302375</wp:posOffset>
                  </wp:positionH>
                  <wp:positionV relativeFrom="paragraph">
                    <wp:posOffset>95250</wp:posOffset>
                  </wp:positionV>
                  <wp:extent cx="1270" cy="20320"/>
                  <wp:effectExtent l="0" t="0" r="0" b="0"/>
                  <wp:wrapNone/>
                  <wp:docPr id="71" name="图片 6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6196"/>
                          <pic:cNvPicPr>
                            <a:picLocks noChangeAspect="1" noChangeArrowheads="1"/>
                          </pic:cNvPicPr>
                        </pic:nvPicPr>
                        <pic:blipFill>
                          <a:blip r:embed="rId72"/>
                          <a:srcRect/>
                          <a:stretch>
                            <a:fillRect/>
                          </a:stretch>
                        </pic:blipFill>
                        <pic:spPr>
                          <a:xfrm>
                            <a:off x="0" y="0"/>
                            <a:ext cx="1270" cy="20320"/>
                          </a:xfrm>
                          <a:prstGeom prst="rect">
                            <a:avLst/>
                          </a:prstGeom>
                          <a:noFill/>
                          <a:ln w="9525">
                            <a:noFill/>
                            <a:miter lim="800000"/>
                            <a:headEnd/>
                            <a:tailEnd/>
                          </a:ln>
                        </pic:spPr>
                      </pic:pic>
                    </a:graphicData>
                  </a:graphic>
                </wp:anchor>
              </w:drawing>
            </w:r>
            <w:r>
              <w:rPr>
                <w:rFonts w:hint="eastAsia"/>
                <w:color w:val="auto"/>
              </w:rPr>
              <w:t>风</w:t>
            </w:r>
            <w:r>
              <w:rPr>
                <w:color w:val="auto"/>
              </w:rPr>
              <w:t>向</w:t>
            </w:r>
          </w:p>
        </w:tc>
        <w:tc>
          <w:tcPr>
            <w:tcW w:w="322" w:type="pct"/>
            <w:vAlign w:val="center"/>
          </w:tcPr>
          <w:p w:rsidR="00EE56C0" w:rsidRDefault="000F36A1">
            <w:pPr>
              <w:pStyle w:val="aff1"/>
              <w:rPr>
                <w:color w:val="auto"/>
                <w:w w:val="94"/>
              </w:rPr>
            </w:pPr>
            <w:r>
              <w:rPr>
                <w:color w:val="auto"/>
                <w:w w:val="94"/>
              </w:rPr>
              <w:t>N</w:t>
            </w:r>
          </w:p>
        </w:tc>
        <w:tc>
          <w:tcPr>
            <w:tcW w:w="275" w:type="pct"/>
            <w:vAlign w:val="center"/>
          </w:tcPr>
          <w:p w:rsidR="00EE56C0" w:rsidRDefault="000F36A1">
            <w:pPr>
              <w:pStyle w:val="aff1"/>
              <w:rPr>
                <w:color w:val="auto"/>
              </w:rPr>
            </w:pPr>
            <w:r>
              <w:rPr>
                <w:color w:val="auto"/>
              </w:rPr>
              <w:t>NNE</w:t>
            </w:r>
          </w:p>
        </w:tc>
        <w:tc>
          <w:tcPr>
            <w:tcW w:w="265" w:type="pct"/>
            <w:vAlign w:val="center"/>
          </w:tcPr>
          <w:p w:rsidR="00EE56C0" w:rsidRDefault="000F36A1">
            <w:pPr>
              <w:pStyle w:val="aff1"/>
              <w:rPr>
                <w:color w:val="auto"/>
                <w:w w:val="95"/>
              </w:rPr>
            </w:pPr>
            <w:r>
              <w:rPr>
                <w:color w:val="auto"/>
                <w:w w:val="95"/>
              </w:rPr>
              <w:t>NE</w:t>
            </w:r>
          </w:p>
        </w:tc>
        <w:tc>
          <w:tcPr>
            <w:tcW w:w="274" w:type="pct"/>
            <w:vAlign w:val="center"/>
          </w:tcPr>
          <w:p w:rsidR="00EE56C0" w:rsidRDefault="000F36A1">
            <w:pPr>
              <w:pStyle w:val="aff1"/>
              <w:rPr>
                <w:color w:val="auto"/>
              </w:rPr>
            </w:pPr>
            <w:r>
              <w:rPr>
                <w:color w:val="auto"/>
              </w:rPr>
              <w:t>ENE</w:t>
            </w:r>
          </w:p>
        </w:tc>
        <w:tc>
          <w:tcPr>
            <w:tcW w:w="265" w:type="pct"/>
            <w:vAlign w:val="center"/>
          </w:tcPr>
          <w:p w:rsidR="00EE56C0" w:rsidRDefault="000F36A1">
            <w:pPr>
              <w:pStyle w:val="aff1"/>
              <w:rPr>
                <w:color w:val="auto"/>
                <w:w w:val="94"/>
              </w:rPr>
            </w:pPr>
            <w:r>
              <w:rPr>
                <w:color w:val="auto"/>
                <w:w w:val="94"/>
              </w:rPr>
              <w:t>E</w:t>
            </w:r>
          </w:p>
        </w:tc>
        <w:tc>
          <w:tcPr>
            <w:tcW w:w="266" w:type="pct"/>
            <w:vAlign w:val="center"/>
          </w:tcPr>
          <w:p w:rsidR="00EE56C0" w:rsidRDefault="000F36A1">
            <w:pPr>
              <w:pStyle w:val="aff1"/>
              <w:rPr>
                <w:color w:val="auto"/>
              </w:rPr>
            </w:pPr>
            <w:r>
              <w:rPr>
                <w:color w:val="auto"/>
              </w:rPr>
              <w:t>ESE</w:t>
            </w:r>
          </w:p>
        </w:tc>
        <w:tc>
          <w:tcPr>
            <w:tcW w:w="275" w:type="pct"/>
            <w:vAlign w:val="center"/>
          </w:tcPr>
          <w:p w:rsidR="00EE56C0" w:rsidRDefault="000F36A1">
            <w:pPr>
              <w:pStyle w:val="aff1"/>
              <w:rPr>
                <w:color w:val="auto"/>
                <w:w w:val="95"/>
              </w:rPr>
            </w:pPr>
            <w:r>
              <w:rPr>
                <w:color w:val="auto"/>
                <w:w w:val="95"/>
              </w:rPr>
              <w:t>SE</w:t>
            </w:r>
          </w:p>
        </w:tc>
        <w:tc>
          <w:tcPr>
            <w:tcW w:w="266" w:type="pct"/>
            <w:vAlign w:val="center"/>
          </w:tcPr>
          <w:p w:rsidR="00EE56C0" w:rsidRDefault="000F36A1">
            <w:pPr>
              <w:pStyle w:val="aff1"/>
              <w:rPr>
                <w:color w:val="auto"/>
              </w:rPr>
            </w:pPr>
            <w:r>
              <w:rPr>
                <w:color w:val="auto"/>
              </w:rPr>
              <w:t>SSE</w:t>
            </w:r>
          </w:p>
        </w:tc>
        <w:tc>
          <w:tcPr>
            <w:tcW w:w="266" w:type="pct"/>
            <w:vAlign w:val="center"/>
          </w:tcPr>
          <w:p w:rsidR="00EE56C0" w:rsidRDefault="000F36A1">
            <w:pPr>
              <w:pStyle w:val="aff1"/>
              <w:rPr>
                <w:color w:val="auto"/>
                <w:w w:val="94"/>
              </w:rPr>
            </w:pPr>
            <w:r>
              <w:rPr>
                <w:color w:val="auto"/>
                <w:w w:val="94"/>
              </w:rPr>
              <w:t>S</w:t>
            </w:r>
          </w:p>
        </w:tc>
        <w:tc>
          <w:tcPr>
            <w:tcW w:w="275" w:type="pct"/>
            <w:vAlign w:val="center"/>
          </w:tcPr>
          <w:p w:rsidR="00EE56C0" w:rsidRDefault="000F36A1">
            <w:pPr>
              <w:pStyle w:val="aff1"/>
              <w:rPr>
                <w:color w:val="auto"/>
              </w:rPr>
            </w:pPr>
            <w:r>
              <w:rPr>
                <w:color w:val="auto"/>
              </w:rPr>
              <w:t>SSW</w:t>
            </w:r>
          </w:p>
        </w:tc>
        <w:tc>
          <w:tcPr>
            <w:tcW w:w="265" w:type="pct"/>
            <w:vAlign w:val="center"/>
          </w:tcPr>
          <w:p w:rsidR="00EE56C0" w:rsidRDefault="000F36A1">
            <w:pPr>
              <w:pStyle w:val="aff1"/>
              <w:rPr>
                <w:color w:val="auto"/>
              </w:rPr>
            </w:pPr>
            <w:r>
              <w:rPr>
                <w:color w:val="auto"/>
              </w:rPr>
              <w:t>SW</w:t>
            </w:r>
          </w:p>
        </w:tc>
        <w:tc>
          <w:tcPr>
            <w:tcW w:w="342" w:type="pct"/>
            <w:vAlign w:val="center"/>
          </w:tcPr>
          <w:p w:rsidR="00EE56C0" w:rsidRDefault="000F36A1">
            <w:pPr>
              <w:pStyle w:val="aff1"/>
              <w:rPr>
                <w:color w:val="auto"/>
              </w:rPr>
            </w:pPr>
            <w:r>
              <w:rPr>
                <w:color w:val="auto"/>
              </w:rPr>
              <w:t>WSW</w:t>
            </w:r>
          </w:p>
        </w:tc>
        <w:tc>
          <w:tcPr>
            <w:tcW w:w="199" w:type="pct"/>
            <w:vAlign w:val="center"/>
          </w:tcPr>
          <w:p w:rsidR="00EE56C0" w:rsidRDefault="000F36A1">
            <w:pPr>
              <w:pStyle w:val="aff1"/>
              <w:rPr>
                <w:color w:val="auto"/>
                <w:w w:val="94"/>
              </w:rPr>
            </w:pPr>
            <w:r>
              <w:rPr>
                <w:color w:val="auto"/>
                <w:w w:val="94"/>
              </w:rPr>
              <w:t>W</w:t>
            </w:r>
          </w:p>
        </w:tc>
        <w:tc>
          <w:tcPr>
            <w:tcW w:w="352" w:type="pct"/>
            <w:vAlign w:val="center"/>
          </w:tcPr>
          <w:p w:rsidR="00EE56C0" w:rsidRDefault="000F36A1">
            <w:pPr>
              <w:pStyle w:val="aff1"/>
              <w:rPr>
                <w:color w:val="auto"/>
              </w:rPr>
            </w:pPr>
            <w:r>
              <w:rPr>
                <w:color w:val="auto"/>
              </w:rPr>
              <w:t>WNW</w:t>
            </w:r>
          </w:p>
        </w:tc>
        <w:tc>
          <w:tcPr>
            <w:tcW w:w="226" w:type="pct"/>
            <w:vAlign w:val="center"/>
          </w:tcPr>
          <w:p w:rsidR="00EE56C0" w:rsidRDefault="000F36A1">
            <w:pPr>
              <w:pStyle w:val="aff1"/>
              <w:rPr>
                <w:color w:val="auto"/>
              </w:rPr>
            </w:pPr>
            <w:r>
              <w:rPr>
                <w:color w:val="auto"/>
              </w:rPr>
              <w:t>NW</w:t>
            </w:r>
          </w:p>
        </w:tc>
        <w:tc>
          <w:tcPr>
            <w:tcW w:w="342" w:type="pct"/>
            <w:vAlign w:val="center"/>
          </w:tcPr>
          <w:p w:rsidR="00EE56C0" w:rsidRDefault="000F36A1">
            <w:pPr>
              <w:pStyle w:val="aff1"/>
              <w:rPr>
                <w:color w:val="auto"/>
              </w:rPr>
            </w:pPr>
            <w:r>
              <w:rPr>
                <w:color w:val="auto"/>
              </w:rPr>
              <w:t>NNW</w:t>
            </w:r>
          </w:p>
        </w:tc>
        <w:tc>
          <w:tcPr>
            <w:tcW w:w="232" w:type="pct"/>
            <w:vAlign w:val="center"/>
          </w:tcPr>
          <w:p w:rsidR="00EE56C0" w:rsidRDefault="000F36A1">
            <w:pPr>
              <w:pStyle w:val="aff1"/>
              <w:rPr>
                <w:color w:val="auto"/>
                <w:w w:val="94"/>
              </w:rPr>
            </w:pPr>
            <w:r>
              <w:rPr>
                <w:color w:val="auto"/>
                <w:w w:val="94"/>
              </w:rPr>
              <w:t>C</w:t>
            </w:r>
          </w:p>
        </w:tc>
      </w:tr>
      <w:tr w:rsidR="00EE56C0">
        <w:trPr>
          <w:trHeight w:val="510"/>
          <w:jc w:val="center"/>
        </w:trPr>
        <w:tc>
          <w:tcPr>
            <w:tcW w:w="294" w:type="pct"/>
            <w:vAlign w:val="center"/>
          </w:tcPr>
          <w:p w:rsidR="00EE56C0" w:rsidRDefault="000F36A1">
            <w:pPr>
              <w:pStyle w:val="afa"/>
            </w:pPr>
            <w:r>
              <w:t>频率</w:t>
            </w:r>
          </w:p>
        </w:tc>
        <w:tc>
          <w:tcPr>
            <w:tcW w:w="322" w:type="pct"/>
            <w:vAlign w:val="center"/>
          </w:tcPr>
          <w:p w:rsidR="00EE56C0" w:rsidRDefault="000F36A1">
            <w:pPr>
              <w:pStyle w:val="afa"/>
            </w:pPr>
            <w:r>
              <w:t>1.3</w:t>
            </w:r>
          </w:p>
        </w:tc>
        <w:tc>
          <w:tcPr>
            <w:tcW w:w="275" w:type="pct"/>
            <w:vAlign w:val="center"/>
          </w:tcPr>
          <w:p w:rsidR="00EE56C0" w:rsidRDefault="000F36A1">
            <w:pPr>
              <w:pStyle w:val="afa"/>
            </w:pPr>
            <w:r>
              <w:t>1.7</w:t>
            </w:r>
          </w:p>
        </w:tc>
        <w:tc>
          <w:tcPr>
            <w:tcW w:w="265" w:type="pct"/>
            <w:vAlign w:val="center"/>
          </w:tcPr>
          <w:p w:rsidR="00EE56C0" w:rsidRDefault="000F36A1">
            <w:pPr>
              <w:pStyle w:val="afa"/>
            </w:pPr>
            <w:r>
              <w:t>11.</w:t>
            </w:r>
            <w:r>
              <w:rPr>
                <w:rFonts w:hint="eastAsia"/>
              </w:rPr>
              <w:t>9</w:t>
            </w:r>
          </w:p>
        </w:tc>
        <w:tc>
          <w:tcPr>
            <w:tcW w:w="274" w:type="pct"/>
            <w:vAlign w:val="center"/>
          </w:tcPr>
          <w:p w:rsidR="00EE56C0" w:rsidRDefault="000F36A1">
            <w:pPr>
              <w:pStyle w:val="afa"/>
            </w:pPr>
            <w:r>
              <w:t>17.0</w:t>
            </w:r>
          </w:p>
        </w:tc>
        <w:tc>
          <w:tcPr>
            <w:tcW w:w="265" w:type="pct"/>
            <w:vAlign w:val="center"/>
          </w:tcPr>
          <w:p w:rsidR="00EE56C0" w:rsidRDefault="000F36A1">
            <w:pPr>
              <w:pStyle w:val="afa"/>
            </w:pPr>
            <w:r>
              <w:t>10.</w:t>
            </w:r>
            <w:r>
              <w:rPr>
                <w:rFonts w:hint="eastAsia"/>
              </w:rPr>
              <w:t>5</w:t>
            </w:r>
          </w:p>
        </w:tc>
        <w:tc>
          <w:tcPr>
            <w:tcW w:w="266" w:type="pct"/>
            <w:vAlign w:val="center"/>
          </w:tcPr>
          <w:p w:rsidR="00EE56C0" w:rsidRDefault="000F36A1">
            <w:pPr>
              <w:pStyle w:val="afa"/>
            </w:pPr>
            <w:r>
              <w:t>4.</w:t>
            </w:r>
            <w:r>
              <w:rPr>
                <w:rFonts w:hint="eastAsia"/>
              </w:rPr>
              <w:t>6</w:t>
            </w:r>
          </w:p>
        </w:tc>
        <w:tc>
          <w:tcPr>
            <w:tcW w:w="275" w:type="pct"/>
            <w:vAlign w:val="center"/>
          </w:tcPr>
          <w:p w:rsidR="00EE56C0" w:rsidRDefault="000F36A1">
            <w:pPr>
              <w:pStyle w:val="afa"/>
            </w:pPr>
            <w:r>
              <w:t>2.</w:t>
            </w:r>
            <w:r>
              <w:rPr>
                <w:rFonts w:hint="eastAsia"/>
              </w:rPr>
              <w:t>8</w:t>
            </w:r>
          </w:p>
        </w:tc>
        <w:tc>
          <w:tcPr>
            <w:tcW w:w="266" w:type="pct"/>
            <w:vAlign w:val="center"/>
          </w:tcPr>
          <w:p w:rsidR="00EE56C0" w:rsidRDefault="000F36A1">
            <w:pPr>
              <w:pStyle w:val="afa"/>
            </w:pPr>
            <w:r>
              <w:t>2.4</w:t>
            </w:r>
          </w:p>
        </w:tc>
        <w:tc>
          <w:tcPr>
            <w:tcW w:w="266" w:type="pct"/>
            <w:vAlign w:val="center"/>
          </w:tcPr>
          <w:p w:rsidR="00EE56C0" w:rsidRDefault="000F36A1">
            <w:pPr>
              <w:pStyle w:val="afa"/>
            </w:pPr>
            <w:r>
              <w:t>6.</w:t>
            </w:r>
            <w:r>
              <w:rPr>
                <w:rFonts w:hint="eastAsia"/>
              </w:rPr>
              <w:t>9</w:t>
            </w:r>
          </w:p>
        </w:tc>
        <w:tc>
          <w:tcPr>
            <w:tcW w:w="275" w:type="pct"/>
            <w:vAlign w:val="center"/>
          </w:tcPr>
          <w:p w:rsidR="00EE56C0" w:rsidRDefault="000F36A1">
            <w:pPr>
              <w:pStyle w:val="afa"/>
            </w:pPr>
            <w:r>
              <w:t>8.</w:t>
            </w:r>
            <w:r>
              <w:rPr>
                <w:rFonts w:hint="eastAsia"/>
              </w:rPr>
              <w:t>6</w:t>
            </w:r>
          </w:p>
        </w:tc>
        <w:tc>
          <w:tcPr>
            <w:tcW w:w="265" w:type="pct"/>
            <w:vAlign w:val="center"/>
          </w:tcPr>
          <w:p w:rsidR="00EE56C0" w:rsidRDefault="000F36A1">
            <w:pPr>
              <w:pStyle w:val="afa"/>
            </w:pPr>
            <w:r>
              <w:t>8.</w:t>
            </w:r>
            <w:r>
              <w:rPr>
                <w:rFonts w:hint="eastAsia"/>
              </w:rPr>
              <w:t>2</w:t>
            </w:r>
          </w:p>
        </w:tc>
        <w:tc>
          <w:tcPr>
            <w:tcW w:w="342" w:type="pct"/>
            <w:vAlign w:val="center"/>
          </w:tcPr>
          <w:p w:rsidR="00EE56C0" w:rsidRDefault="000F36A1">
            <w:pPr>
              <w:pStyle w:val="afa"/>
            </w:pPr>
            <w:r>
              <w:t>4.4</w:t>
            </w:r>
          </w:p>
        </w:tc>
        <w:tc>
          <w:tcPr>
            <w:tcW w:w="199" w:type="pct"/>
            <w:vAlign w:val="center"/>
          </w:tcPr>
          <w:p w:rsidR="00EE56C0" w:rsidRDefault="000F36A1">
            <w:pPr>
              <w:pStyle w:val="afa"/>
            </w:pPr>
            <w:r>
              <w:t>4.</w:t>
            </w:r>
            <w:r>
              <w:rPr>
                <w:rFonts w:hint="eastAsia"/>
              </w:rPr>
              <w:t>0</w:t>
            </w:r>
          </w:p>
        </w:tc>
        <w:tc>
          <w:tcPr>
            <w:tcW w:w="352" w:type="pct"/>
            <w:vAlign w:val="center"/>
          </w:tcPr>
          <w:p w:rsidR="00EE56C0" w:rsidRDefault="000F36A1">
            <w:pPr>
              <w:pStyle w:val="afa"/>
            </w:pPr>
            <w:r>
              <w:t>2.2</w:t>
            </w:r>
          </w:p>
        </w:tc>
        <w:tc>
          <w:tcPr>
            <w:tcW w:w="226" w:type="pct"/>
            <w:vAlign w:val="center"/>
          </w:tcPr>
          <w:p w:rsidR="00EE56C0" w:rsidRDefault="000F36A1">
            <w:pPr>
              <w:pStyle w:val="afa"/>
            </w:pPr>
            <w:r>
              <w:t>1.</w:t>
            </w:r>
            <w:r>
              <w:rPr>
                <w:rFonts w:hint="eastAsia"/>
              </w:rPr>
              <w:t>9</w:t>
            </w:r>
          </w:p>
        </w:tc>
        <w:tc>
          <w:tcPr>
            <w:tcW w:w="342" w:type="pct"/>
            <w:vAlign w:val="center"/>
          </w:tcPr>
          <w:p w:rsidR="00EE56C0" w:rsidRDefault="000F36A1">
            <w:pPr>
              <w:pStyle w:val="afa"/>
            </w:pPr>
            <w:r>
              <w:t>1.1</w:t>
            </w:r>
          </w:p>
        </w:tc>
        <w:tc>
          <w:tcPr>
            <w:tcW w:w="232" w:type="pct"/>
            <w:vAlign w:val="center"/>
          </w:tcPr>
          <w:p w:rsidR="00EE56C0" w:rsidRDefault="000F36A1">
            <w:pPr>
              <w:pStyle w:val="afa"/>
            </w:pPr>
            <w:r>
              <w:t>1</w:t>
            </w:r>
            <w:r>
              <w:rPr>
                <w:rFonts w:hint="eastAsia"/>
              </w:rPr>
              <w:t>0</w:t>
            </w:r>
            <w:r>
              <w:t>.8</w:t>
            </w:r>
          </w:p>
        </w:tc>
      </w:tr>
    </w:tbl>
    <w:p w:rsidR="00EE56C0" w:rsidRDefault="00EE56C0">
      <w:pPr>
        <w:pStyle w:val="aff8"/>
      </w:pPr>
    </w:p>
    <w:p w:rsidR="00EE56C0" w:rsidRDefault="000F36A1">
      <w:pPr>
        <w:pStyle w:val="aff8"/>
      </w:pPr>
      <w:r>
        <w:rPr>
          <w:noProof/>
        </w:rPr>
        <w:drawing>
          <wp:inline distT="0" distB="0" distL="0" distR="0">
            <wp:extent cx="4209415" cy="3295015"/>
            <wp:effectExtent l="19050" t="0" r="635" b="0"/>
            <wp:docPr id="13"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89"/>
                    <pic:cNvPicPr>
                      <a:picLocks noChangeAspect="1" noChangeArrowheads="1"/>
                    </pic:cNvPicPr>
                  </pic:nvPicPr>
                  <pic:blipFill>
                    <a:blip r:embed="rId74"/>
                    <a:srcRect/>
                    <a:stretch>
                      <a:fillRect/>
                    </a:stretch>
                  </pic:blipFill>
                  <pic:spPr>
                    <a:xfrm>
                      <a:off x="0" y="0"/>
                      <a:ext cx="4209415" cy="3295015"/>
                    </a:xfrm>
                    <a:prstGeom prst="rect">
                      <a:avLst/>
                    </a:prstGeom>
                    <a:noFill/>
                    <a:ln w="9525">
                      <a:noFill/>
                      <a:miter lim="800000"/>
                      <a:headEnd/>
                      <a:tailEnd/>
                    </a:ln>
                  </pic:spPr>
                </pic:pic>
              </a:graphicData>
            </a:graphic>
          </wp:inline>
        </w:drawing>
      </w:r>
    </w:p>
    <w:p w:rsidR="00EE56C0" w:rsidRDefault="00EE56C0">
      <w:pPr>
        <w:pStyle w:val="aff8"/>
      </w:pPr>
    </w:p>
    <w:p w:rsidR="00EE56C0" w:rsidRDefault="000F36A1">
      <w:pPr>
        <w:pStyle w:val="aff8"/>
      </w:pPr>
      <w:r>
        <w:rPr>
          <w:b w:val="0"/>
          <w:noProof/>
        </w:rPr>
        <w:drawing>
          <wp:anchor distT="0" distB="0" distL="114300" distR="114300" simplePos="0" relativeHeight="251635200" behindDoc="1" locked="0" layoutInCell="0" allowOverlap="1">
            <wp:simplePos x="0" y="0"/>
            <wp:positionH relativeFrom="column">
              <wp:posOffset>380365</wp:posOffset>
            </wp:positionH>
            <wp:positionV relativeFrom="paragraph">
              <wp:posOffset>-384175</wp:posOffset>
            </wp:positionV>
            <wp:extent cx="1270" cy="10160"/>
            <wp:effectExtent l="0" t="0" r="0" b="0"/>
            <wp:wrapNone/>
            <wp:docPr id="7" name="图片 6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197"/>
                    <pic:cNvPicPr>
                      <a:picLocks noChangeAspect="1" noChangeArrowheads="1"/>
                    </pic:cNvPicPr>
                  </pic:nvPicPr>
                  <pic:blipFill>
                    <a:blip r:embed="rId73"/>
                    <a:srcRect/>
                    <a:stretch>
                      <a:fillRect/>
                    </a:stretch>
                  </pic:blipFill>
                  <pic:spPr>
                    <a:xfrm>
                      <a:off x="0" y="0"/>
                      <a:ext cx="1270" cy="10160"/>
                    </a:xfrm>
                    <a:prstGeom prst="rect">
                      <a:avLst/>
                    </a:prstGeom>
                    <a:noFill/>
                    <a:ln w="9525">
                      <a:noFill/>
                      <a:miter lim="800000"/>
                      <a:headEnd/>
                      <a:tailEnd/>
                    </a:ln>
                  </pic:spPr>
                </pic:pic>
              </a:graphicData>
            </a:graphic>
          </wp:anchor>
        </w:drawing>
      </w:r>
      <w:r>
        <w:rPr>
          <w:b w:val="0"/>
          <w:noProof/>
        </w:rPr>
        <w:drawing>
          <wp:anchor distT="0" distB="0" distL="114300" distR="114300" simplePos="0" relativeHeight="251636224" behindDoc="1" locked="0" layoutInCell="0" allowOverlap="1">
            <wp:simplePos x="0" y="0"/>
            <wp:positionH relativeFrom="column">
              <wp:posOffset>814705</wp:posOffset>
            </wp:positionH>
            <wp:positionV relativeFrom="paragraph">
              <wp:posOffset>-384175</wp:posOffset>
            </wp:positionV>
            <wp:extent cx="1270" cy="10160"/>
            <wp:effectExtent l="0" t="0" r="0" b="0"/>
            <wp:wrapNone/>
            <wp:docPr id="6" name="图片 6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198"/>
                    <pic:cNvPicPr>
                      <a:picLocks noChangeAspect="1" noChangeArrowheads="1"/>
                    </pic:cNvPicPr>
                  </pic:nvPicPr>
                  <pic:blipFill>
                    <a:blip r:embed="rId73"/>
                    <a:srcRect/>
                    <a:stretch>
                      <a:fillRect/>
                    </a:stretch>
                  </pic:blipFill>
                  <pic:spPr>
                    <a:xfrm>
                      <a:off x="0" y="0"/>
                      <a:ext cx="1270" cy="10160"/>
                    </a:xfrm>
                    <a:prstGeom prst="rect">
                      <a:avLst/>
                    </a:prstGeom>
                    <a:noFill/>
                    <a:ln w="9525">
                      <a:noFill/>
                      <a:miter lim="800000"/>
                      <a:headEnd/>
                      <a:tailEnd/>
                    </a:ln>
                  </pic:spPr>
                </pic:pic>
              </a:graphicData>
            </a:graphic>
          </wp:anchor>
        </w:drawing>
      </w:r>
      <w:r>
        <w:rPr>
          <w:b w:val="0"/>
          <w:noProof/>
        </w:rPr>
        <w:drawing>
          <wp:anchor distT="0" distB="0" distL="114300" distR="114300" simplePos="0" relativeHeight="251637248" behindDoc="1" locked="0" layoutInCell="0" allowOverlap="1">
            <wp:simplePos x="0" y="0"/>
            <wp:positionH relativeFrom="column">
              <wp:posOffset>1174115</wp:posOffset>
            </wp:positionH>
            <wp:positionV relativeFrom="paragraph">
              <wp:posOffset>-384175</wp:posOffset>
            </wp:positionV>
            <wp:extent cx="1270" cy="10160"/>
            <wp:effectExtent l="0" t="0" r="0" b="0"/>
            <wp:wrapNone/>
            <wp:docPr id="5" name="图片 6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199"/>
                    <pic:cNvPicPr>
                      <a:picLocks noChangeAspect="1" noChangeArrowheads="1"/>
                    </pic:cNvPicPr>
                  </pic:nvPicPr>
                  <pic:blipFill>
                    <a:blip r:embed="rId73"/>
                    <a:srcRect/>
                    <a:stretch>
                      <a:fillRect/>
                    </a:stretch>
                  </pic:blipFill>
                  <pic:spPr>
                    <a:xfrm>
                      <a:off x="0" y="0"/>
                      <a:ext cx="1270" cy="10160"/>
                    </a:xfrm>
                    <a:prstGeom prst="rect">
                      <a:avLst/>
                    </a:prstGeom>
                    <a:noFill/>
                    <a:ln w="9525">
                      <a:noFill/>
                      <a:miter lim="800000"/>
                      <a:headEnd/>
                      <a:tailEnd/>
                    </a:ln>
                  </pic:spPr>
                </pic:pic>
              </a:graphicData>
            </a:graphic>
          </wp:anchor>
        </w:drawing>
      </w:r>
      <w:r>
        <w:rPr>
          <w:b w:val="0"/>
          <w:noProof/>
        </w:rPr>
        <w:drawing>
          <wp:anchor distT="0" distB="0" distL="114300" distR="114300" simplePos="0" relativeHeight="251638272" behindDoc="1" locked="0" layoutInCell="0" allowOverlap="1">
            <wp:simplePos x="0" y="0"/>
            <wp:positionH relativeFrom="column">
              <wp:posOffset>1533525</wp:posOffset>
            </wp:positionH>
            <wp:positionV relativeFrom="paragraph">
              <wp:posOffset>-384175</wp:posOffset>
            </wp:positionV>
            <wp:extent cx="1270" cy="10160"/>
            <wp:effectExtent l="0" t="0" r="0" b="0"/>
            <wp:wrapNone/>
            <wp:docPr id="41" name="图片 6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6200"/>
                    <pic:cNvPicPr>
                      <a:picLocks noChangeAspect="1" noChangeArrowheads="1"/>
                    </pic:cNvPicPr>
                  </pic:nvPicPr>
                  <pic:blipFill>
                    <a:blip r:embed="rId73"/>
                    <a:srcRect/>
                    <a:stretch>
                      <a:fillRect/>
                    </a:stretch>
                  </pic:blipFill>
                  <pic:spPr>
                    <a:xfrm>
                      <a:off x="0" y="0"/>
                      <a:ext cx="1270" cy="10160"/>
                    </a:xfrm>
                    <a:prstGeom prst="rect">
                      <a:avLst/>
                    </a:prstGeom>
                    <a:noFill/>
                    <a:ln w="9525">
                      <a:noFill/>
                      <a:miter lim="800000"/>
                      <a:headEnd/>
                      <a:tailEnd/>
                    </a:ln>
                  </pic:spPr>
                </pic:pic>
              </a:graphicData>
            </a:graphic>
          </wp:anchor>
        </w:drawing>
      </w:r>
      <w:r>
        <w:rPr>
          <w:b w:val="0"/>
          <w:noProof/>
        </w:rPr>
        <w:drawing>
          <wp:anchor distT="0" distB="0" distL="114300" distR="114300" simplePos="0" relativeHeight="251639296" behindDoc="1" locked="0" layoutInCell="0" allowOverlap="1">
            <wp:simplePos x="0" y="0"/>
            <wp:positionH relativeFrom="column">
              <wp:posOffset>1894205</wp:posOffset>
            </wp:positionH>
            <wp:positionV relativeFrom="paragraph">
              <wp:posOffset>-384175</wp:posOffset>
            </wp:positionV>
            <wp:extent cx="1270" cy="10160"/>
            <wp:effectExtent l="0" t="0" r="0" b="0"/>
            <wp:wrapNone/>
            <wp:docPr id="42" name="图片 6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6201"/>
                    <pic:cNvPicPr>
                      <a:picLocks noChangeAspect="1" noChangeArrowheads="1"/>
                    </pic:cNvPicPr>
                  </pic:nvPicPr>
                  <pic:blipFill>
                    <a:blip r:embed="rId73"/>
                    <a:srcRect/>
                    <a:stretch>
                      <a:fillRect/>
                    </a:stretch>
                  </pic:blipFill>
                  <pic:spPr>
                    <a:xfrm>
                      <a:off x="0" y="0"/>
                      <a:ext cx="1270" cy="10160"/>
                    </a:xfrm>
                    <a:prstGeom prst="rect">
                      <a:avLst/>
                    </a:prstGeom>
                    <a:noFill/>
                    <a:ln w="9525">
                      <a:noFill/>
                      <a:miter lim="800000"/>
                      <a:headEnd/>
                      <a:tailEnd/>
                    </a:ln>
                  </pic:spPr>
                </pic:pic>
              </a:graphicData>
            </a:graphic>
          </wp:anchor>
        </w:drawing>
      </w:r>
      <w:r>
        <w:rPr>
          <w:b w:val="0"/>
          <w:noProof/>
        </w:rPr>
        <w:drawing>
          <wp:anchor distT="0" distB="0" distL="114300" distR="114300" simplePos="0" relativeHeight="251640320" behindDoc="1" locked="0" layoutInCell="0" allowOverlap="1">
            <wp:simplePos x="0" y="0"/>
            <wp:positionH relativeFrom="column">
              <wp:posOffset>2253615</wp:posOffset>
            </wp:positionH>
            <wp:positionV relativeFrom="paragraph">
              <wp:posOffset>-384175</wp:posOffset>
            </wp:positionV>
            <wp:extent cx="1270" cy="10160"/>
            <wp:effectExtent l="0" t="0" r="0" b="0"/>
            <wp:wrapNone/>
            <wp:docPr id="43" name="图片 6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6202"/>
                    <pic:cNvPicPr>
                      <a:picLocks noChangeAspect="1" noChangeArrowheads="1"/>
                    </pic:cNvPicPr>
                  </pic:nvPicPr>
                  <pic:blipFill>
                    <a:blip r:embed="rId73"/>
                    <a:srcRect/>
                    <a:stretch>
                      <a:fillRect/>
                    </a:stretch>
                  </pic:blipFill>
                  <pic:spPr>
                    <a:xfrm>
                      <a:off x="0" y="0"/>
                      <a:ext cx="1270" cy="10160"/>
                    </a:xfrm>
                    <a:prstGeom prst="rect">
                      <a:avLst/>
                    </a:prstGeom>
                    <a:noFill/>
                    <a:ln w="9525">
                      <a:noFill/>
                      <a:miter lim="800000"/>
                      <a:headEnd/>
                      <a:tailEnd/>
                    </a:ln>
                  </pic:spPr>
                </pic:pic>
              </a:graphicData>
            </a:graphic>
          </wp:anchor>
        </w:drawing>
      </w:r>
      <w:r>
        <w:rPr>
          <w:b w:val="0"/>
          <w:noProof/>
        </w:rPr>
        <w:drawing>
          <wp:anchor distT="0" distB="0" distL="114300" distR="114300" simplePos="0" relativeHeight="251641344" behindDoc="1" locked="0" layoutInCell="0" allowOverlap="1">
            <wp:simplePos x="0" y="0"/>
            <wp:positionH relativeFrom="column">
              <wp:posOffset>2613025</wp:posOffset>
            </wp:positionH>
            <wp:positionV relativeFrom="paragraph">
              <wp:posOffset>-384175</wp:posOffset>
            </wp:positionV>
            <wp:extent cx="1270" cy="10160"/>
            <wp:effectExtent l="0" t="0" r="0" b="0"/>
            <wp:wrapNone/>
            <wp:docPr id="44" name="图片 6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6203"/>
                    <pic:cNvPicPr>
                      <a:picLocks noChangeAspect="1" noChangeArrowheads="1"/>
                    </pic:cNvPicPr>
                  </pic:nvPicPr>
                  <pic:blipFill>
                    <a:blip r:embed="rId73"/>
                    <a:srcRect/>
                    <a:stretch>
                      <a:fillRect/>
                    </a:stretch>
                  </pic:blipFill>
                  <pic:spPr>
                    <a:xfrm>
                      <a:off x="0" y="0"/>
                      <a:ext cx="1270" cy="10160"/>
                    </a:xfrm>
                    <a:prstGeom prst="rect">
                      <a:avLst/>
                    </a:prstGeom>
                    <a:noFill/>
                    <a:ln w="9525">
                      <a:noFill/>
                      <a:miter lim="800000"/>
                      <a:headEnd/>
                      <a:tailEnd/>
                    </a:ln>
                  </pic:spPr>
                </pic:pic>
              </a:graphicData>
            </a:graphic>
          </wp:anchor>
        </w:drawing>
      </w:r>
      <w:r>
        <w:rPr>
          <w:b w:val="0"/>
          <w:noProof/>
        </w:rPr>
        <w:drawing>
          <wp:anchor distT="0" distB="0" distL="114300" distR="114300" simplePos="0" relativeHeight="251642368" behindDoc="1" locked="0" layoutInCell="0" allowOverlap="1">
            <wp:simplePos x="0" y="0"/>
            <wp:positionH relativeFrom="column">
              <wp:posOffset>2973705</wp:posOffset>
            </wp:positionH>
            <wp:positionV relativeFrom="paragraph">
              <wp:posOffset>-384175</wp:posOffset>
            </wp:positionV>
            <wp:extent cx="1270" cy="10160"/>
            <wp:effectExtent l="0" t="0" r="0" b="0"/>
            <wp:wrapNone/>
            <wp:docPr id="45" name="图片 6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6204"/>
                    <pic:cNvPicPr>
                      <a:picLocks noChangeAspect="1" noChangeArrowheads="1"/>
                    </pic:cNvPicPr>
                  </pic:nvPicPr>
                  <pic:blipFill>
                    <a:blip r:embed="rId73"/>
                    <a:srcRect/>
                    <a:stretch>
                      <a:fillRect/>
                    </a:stretch>
                  </pic:blipFill>
                  <pic:spPr>
                    <a:xfrm>
                      <a:off x="0" y="0"/>
                      <a:ext cx="1270" cy="10160"/>
                    </a:xfrm>
                    <a:prstGeom prst="rect">
                      <a:avLst/>
                    </a:prstGeom>
                    <a:noFill/>
                    <a:ln w="9525">
                      <a:noFill/>
                      <a:miter lim="800000"/>
                      <a:headEnd/>
                      <a:tailEnd/>
                    </a:ln>
                  </pic:spPr>
                </pic:pic>
              </a:graphicData>
            </a:graphic>
          </wp:anchor>
        </w:drawing>
      </w:r>
      <w:r>
        <w:rPr>
          <w:b w:val="0"/>
          <w:noProof/>
        </w:rPr>
        <w:drawing>
          <wp:anchor distT="0" distB="0" distL="114300" distR="114300" simplePos="0" relativeHeight="251643392" behindDoc="1" locked="0" layoutInCell="0" allowOverlap="1">
            <wp:simplePos x="0" y="0"/>
            <wp:positionH relativeFrom="column">
              <wp:posOffset>3333115</wp:posOffset>
            </wp:positionH>
            <wp:positionV relativeFrom="paragraph">
              <wp:posOffset>-384175</wp:posOffset>
            </wp:positionV>
            <wp:extent cx="1270" cy="10160"/>
            <wp:effectExtent l="0" t="0" r="0" b="0"/>
            <wp:wrapNone/>
            <wp:docPr id="46" name="图片 6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6205"/>
                    <pic:cNvPicPr>
                      <a:picLocks noChangeAspect="1" noChangeArrowheads="1"/>
                    </pic:cNvPicPr>
                  </pic:nvPicPr>
                  <pic:blipFill>
                    <a:blip r:embed="rId73"/>
                    <a:srcRect/>
                    <a:stretch>
                      <a:fillRect/>
                    </a:stretch>
                  </pic:blipFill>
                  <pic:spPr>
                    <a:xfrm>
                      <a:off x="0" y="0"/>
                      <a:ext cx="1270" cy="10160"/>
                    </a:xfrm>
                    <a:prstGeom prst="rect">
                      <a:avLst/>
                    </a:prstGeom>
                    <a:noFill/>
                    <a:ln w="9525">
                      <a:noFill/>
                      <a:miter lim="800000"/>
                      <a:headEnd/>
                      <a:tailEnd/>
                    </a:ln>
                  </pic:spPr>
                </pic:pic>
              </a:graphicData>
            </a:graphic>
          </wp:anchor>
        </w:drawing>
      </w:r>
      <w:r>
        <w:rPr>
          <w:b w:val="0"/>
          <w:noProof/>
        </w:rPr>
        <w:drawing>
          <wp:anchor distT="0" distB="0" distL="114300" distR="114300" simplePos="0" relativeHeight="251644416" behindDoc="1" locked="0" layoutInCell="0" allowOverlap="1">
            <wp:simplePos x="0" y="0"/>
            <wp:positionH relativeFrom="column">
              <wp:posOffset>3692525</wp:posOffset>
            </wp:positionH>
            <wp:positionV relativeFrom="paragraph">
              <wp:posOffset>-384175</wp:posOffset>
            </wp:positionV>
            <wp:extent cx="1270" cy="10160"/>
            <wp:effectExtent l="0" t="0" r="0" b="0"/>
            <wp:wrapNone/>
            <wp:docPr id="47" name="图片 6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6206"/>
                    <pic:cNvPicPr>
                      <a:picLocks noChangeAspect="1" noChangeArrowheads="1"/>
                    </pic:cNvPicPr>
                  </pic:nvPicPr>
                  <pic:blipFill>
                    <a:blip r:embed="rId73"/>
                    <a:srcRect/>
                    <a:stretch>
                      <a:fillRect/>
                    </a:stretch>
                  </pic:blipFill>
                  <pic:spPr>
                    <a:xfrm>
                      <a:off x="0" y="0"/>
                      <a:ext cx="1270" cy="10160"/>
                    </a:xfrm>
                    <a:prstGeom prst="rect">
                      <a:avLst/>
                    </a:prstGeom>
                    <a:noFill/>
                    <a:ln w="9525">
                      <a:noFill/>
                      <a:miter lim="800000"/>
                      <a:headEnd/>
                      <a:tailEnd/>
                    </a:ln>
                  </pic:spPr>
                </pic:pic>
              </a:graphicData>
            </a:graphic>
          </wp:anchor>
        </w:drawing>
      </w:r>
      <w:r>
        <w:rPr>
          <w:b w:val="0"/>
          <w:noProof/>
        </w:rPr>
        <w:drawing>
          <wp:anchor distT="0" distB="0" distL="114300" distR="114300" simplePos="0" relativeHeight="251645440" behindDoc="1" locked="0" layoutInCell="0" allowOverlap="1">
            <wp:simplePos x="0" y="0"/>
            <wp:positionH relativeFrom="column">
              <wp:posOffset>4053205</wp:posOffset>
            </wp:positionH>
            <wp:positionV relativeFrom="paragraph">
              <wp:posOffset>-384175</wp:posOffset>
            </wp:positionV>
            <wp:extent cx="1270" cy="10160"/>
            <wp:effectExtent l="0" t="0" r="0" b="0"/>
            <wp:wrapNone/>
            <wp:docPr id="48" name="图片 6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6207"/>
                    <pic:cNvPicPr>
                      <a:picLocks noChangeAspect="1" noChangeArrowheads="1"/>
                    </pic:cNvPicPr>
                  </pic:nvPicPr>
                  <pic:blipFill>
                    <a:blip r:embed="rId73"/>
                    <a:srcRect/>
                    <a:stretch>
                      <a:fillRect/>
                    </a:stretch>
                  </pic:blipFill>
                  <pic:spPr>
                    <a:xfrm>
                      <a:off x="0" y="0"/>
                      <a:ext cx="1270" cy="10160"/>
                    </a:xfrm>
                    <a:prstGeom prst="rect">
                      <a:avLst/>
                    </a:prstGeom>
                    <a:noFill/>
                    <a:ln w="9525">
                      <a:noFill/>
                      <a:miter lim="800000"/>
                      <a:headEnd/>
                      <a:tailEnd/>
                    </a:ln>
                  </pic:spPr>
                </pic:pic>
              </a:graphicData>
            </a:graphic>
          </wp:anchor>
        </w:drawing>
      </w:r>
      <w:r>
        <w:rPr>
          <w:b w:val="0"/>
          <w:noProof/>
        </w:rPr>
        <w:drawing>
          <wp:anchor distT="0" distB="0" distL="114300" distR="114300" simplePos="0" relativeHeight="251646464" behindDoc="1" locked="0" layoutInCell="0" allowOverlap="1">
            <wp:simplePos x="0" y="0"/>
            <wp:positionH relativeFrom="column">
              <wp:posOffset>4412615</wp:posOffset>
            </wp:positionH>
            <wp:positionV relativeFrom="paragraph">
              <wp:posOffset>-384175</wp:posOffset>
            </wp:positionV>
            <wp:extent cx="1270" cy="10160"/>
            <wp:effectExtent l="0" t="0" r="0" b="0"/>
            <wp:wrapNone/>
            <wp:docPr id="49" name="图片 6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6208"/>
                    <pic:cNvPicPr>
                      <a:picLocks noChangeAspect="1" noChangeArrowheads="1"/>
                    </pic:cNvPicPr>
                  </pic:nvPicPr>
                  <pic:blipFill>
                    <a:blip r:embed="rId73"/>
                    <a:srcRect/>
                    <a:stretch>
                      <a:fillRect/>
                    </a:stretch>
                  </pic:blipFill>
                  <pic:spPr>
                    <a:xfrm>
                      <a:off x="0" y="0"/>
                      <a:ext cx="1270" cy="10160"/>
                    </a:xfrm>
                    <a:prstGeom prst="rect">
                      <a:avLst/>
                    </a:prstGeom>
                    <a:noFill/>
                    <a:ln w="9525">
                      <a:noFill/>
                      <a:miter lim="800000"/>
                      <a:headEnd/>
                      <a:tailEnd/>
                    </a:ln>
                  </pic:spPr>
                </pic:pic>
              </a:graphicData>
            </a:graphic>
          </wp:anchor>
        </w:drawing>
      </w:r>
      <w:r>
        <w:rPr>
          <w:b w:val="0"/>
          <w:noProof/>
        </w:rPr>
        <w:drawing>
          <wp:anchor distT="0" distB="0" distL="114300" distR="114300" simplePos="0" relativeHeight="251647488" behindDoc="1" locked="0" layoutInCell="0" allowOverlap="1">
            <wp:simplePos x="0" y="0"/>
            <wp:positionH relativeFrom="column">
              <wp:posOffset>4862195</wp:posOffset>
            </wp:positionH>
            <wp:positionV relativeFrom="paragraph">
              <wp:posOffset>-384175</wp:posOffset>
            </wp:positionV>
            <wp:extent cx="1270" cy="10160"/>
            <wp:effectExtent l="0" t="0" r="0" b="0"/>
            <wp:wrapNone/>
            <wp:docPr id="50" name="图片 6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6209"/>
                    <pic:cNvPicPr>
                      <a:picLocks noChangeAspect="1" noChangeArrowheads="1"/>
                    </pic:cNvPicPr>
                  </pic:nvPicPr>
                  <pic:blipFill>
                    <a:blip r:embed="rId73"/>
                    <a:srcRect/>
                    <a:stretch>
                      <a:fillRect/>
                    </a:stretch>
                  </pic:blipFill>
                  <pic:spPr>
                    <a:xfrm>
                      <a:off x="0" y="0"/>
                      <a:ext cx="1270" cy="10160"/>
                    </a:xfrm>
                    <a:prstGeom prst="rect">
                      <a:avLst/>
                    </a:prstGeom>
                    <a:noFill/>
                    <a:ln w="9525">
                      <a:noFill/>
                      <a:miter lim="800000"/>
                      <a:headEnd/>
                      <a:tailEnd/>
                    </a:ln>
                  </pic:spPr>
                </pic:pic>
              </a:graphicData>
            </a:graphic>
          </wp:anchor>
        </w:drawing>
      </w:r>
      <w:r>
        <w:rPr>
          <w:b w:val="0"/>
          <w:noProof/>
        </w:rPr>
        <w:drawing>
          <wp:anchor distT="0" distB="0" distL="114300" distR="114300" simplePos="0" relativeHeight="251648512" behindDoc="1" locked="0" layoutInCell="0" allowOverlap="1">
            <wp:simplePos x="0" y="0"/>
            <wp:positionH relativeFrom="column">
              <wp:posOffset>5132705</wp:posOffset>
            </wp:positionH>
            <wp:positionV relativeFrom="paragraph">
              <wp:posOffset>-384175</wp:posOffset>
            </wp:positionV>
            <wp:extent cx="1270" cy="10160"/>
            <wp:effectExtent l="0" t="0" r="0" b="0"/>
            <wp:wrapNone/>
            <wp:docPr id="51" name="图片 6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6210"/>
                    <pic:cNvPicPr>
                      <a:picLocks noChangeAspect="1" noChangeArrowheads="1"/>
                    </pic:cNvPicPr>
                  </pic:nvPicPr>
                  <pic:blipFill>
                    <a:blip r:embed="rId73"/>
                    <a:srcRect/>
                    <a:stretch>
                      <a:fillRect/>
                    </a:stretch>
                  </pic:blipFill>
                  <pic:spPr>
                    <a:xfrm>
                      <a:off x="0" y="0"/>
                      <a:ext cx="1270" cy="10160"/>
                    </a:xfrm>
                    <a:prstGeom prst="rect">
                      <a:avLst/>
                    </a:prstGeom>
                    <a:noFill/>
                    <a:ln w="9525">
                      <a:noFill/>
                      <a:miter lim="800000"/>
                      <a:headEnd/>
                      <a:tailEnd/>
                    </a:ln>
                  </pic:spPr>
                </pic:pic>
              </a:graphicData>
            </a:graphic>
          </wp:anchor>
        </w:drawing>
      </w:r>
      <w:r>
        <w:rPr>
          <w:b w:val="0"/>
          <w:noProof/>
        </w:rPr>
        <w:drawing>
          <wp:anchor distT="0" distB="0" distL="114300" distR="114300" simplePos="0" relativeHeight="251649536" behindDoc="1" locked="0" layoutInCell="0" allowOverlap="1">
            <wp:simplePos x="0" y="0"/>
            <wp:positionH relativeFrom="column">
              <wp:posOffset>5582285</wp:posOffset>
            </wp:positionH>
            <wp:positionV relativeFrom="paragraph">
              <wp:posOffset>-384175</wp:posOffset>
            </wp:positionV>
            <wp:extent cx="1270" cy="10160"/>
            <wp:effectExtent l="0" t="0" r="0" b="0"/>
            <wp:wrapNone/>
            <wp:docPr id="52" name="图片 6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6211"/>
                    <pic:cNvPicPr>
                      <a:picLocks noChangeAspect="1" noChangeArrowheads="1"/>
                    </pic:cNvPicPr>
                  </pic:nvPicPr>
                  <pic:blipFill>
                    <a:blip r:embed="rId73"/>
                    <a:srcRect/>
                    <a:stretch>
                      <a:fillRect/>
                    </a:stretch>
                  </pic:blipFill>
                  <pic:spPr>
                    <a:xfrm>
                      <a:off x="0" y="0"/>
                      <a:ext cx="1270" cy="10160"/>
                    </a:xfrm>
                    <a:prstGeom prst="rect">
                      <a:avLst/>
                    </a:prstGeom>
                    <a:noFill/>
                    <a:ln w="9525">
                      <a:noFill/>
                      <a:miter lim="800000"/>
                      <a:headEnd/>
                      <a:tailEnd/>
                    </a:ln>
                  </pic:spPr>
                </pic:pic>
              </a:graphicData>
            </a:graphic>
          </wp:anchor>
        </w:drawing>
      </w:r>
      <w:r>
        <w:rPr>
          <w:b w:val="0"/>
          <w:noProof/>
        </w:rPr>
        <w:drawing>
          <wp:anchor distT="0" distB="0" distL="114300" distR="114300" simplePos="0" relativeHeight="251650560" behindDoc="1" locked="0" layoutInCell="0" allowOverlap="1">
            <wp:simplePos x="0" y="0"/>
            <wp:positionH relativeFrom="column">
              <wp:posOffset>5851525</wp:posOffset>
            </wp:positionH>
            <wp:positionV relativeFrom="paragraph">
              <wp:posOffset>-384175</wp:posOffset>
            </wp:positionV>
            <wp:extent cx="1270" cy="10160"/>
            <wp:effectExtent l="0" t="0" r="0" b="0"/>
            <wp:wrapNone/>
            <wp:docPr id="4" name="图片 6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6212"/>
                    <pic:cNvPicPr>
                      <a:picLocks noChangeAspect="1" noChangeArrowheads="1"/>
                    </pic:cNvPicPr>
                  </pic:nvPicPr>
                  <pic:blipFill>
                    <a:blip r:embed="rId73"/>
                    <a:srcRect/>
                    <a:stretch>
                      <a:fillRect/>
                    </a:stretch>
                  </pic:blipFill>
                  <pic:spPr>
                    <a:xfrm>
                      <a:off x="0" y="0"/>
                      <a:ext cx="1270" cy="10160"/>
                    </a:xfrm>
                    <a:prstGeom prst="rect">
                      <a:avLst/>
                    </a:prstGeom>
                    <a:noFill/>
                    <a:ln w="9525">
                      <a:noFill/>
                      <a:miter lim="800000"/>
                      <a:headEnd/>
                      <a:tailEnd/>
                    </a:ln>
                  </pic:spPr>
                </pic:pic>
              </a:graphicData>
            </a:graphic>
          </wp:anchor>
        </w:drawing>
      </w:r>
      <w:r>
        <w:rPr>
          <w:b w:val="0"/>
          <w:noProof/>
        </w:rPr>
        <w:drawing>
          <wp:anchor distT="0" distB="0" distL="114300" distR="114300" simplePos="0" relativeHeight="251651584" behindDoc="1" locked="0" layoutInCell="0" allowOverlap="1">
            <wp:simplePos x="0" y="0"/>
            <wp:positionH relativeFrom="column">
              <wp:posOffset>6302375</wp:posOffset>
            </wp:positionH>
            <wp:positionV relativeFrom="paragraph">
              <wp:posOffset>-384175</wp:posOffset>
            </wp:positionV>
            <wp:extent cx="1270" cy="10160"/>
            <wp:effectExtent l="0" t="0" r="0" b="0"/>
            <wp:wrapNone/>
            <wp:docPr id="3" name="图片 6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6213"/>
                    <pic:cNvPicPr>
                      <a:picLocks noChangeAspect="1" noChangeArrowheads="1"/>
                    </pic:cNvPicPr>
                  </pic:nvPicPr>
                  <pic:blipFill>
                    <a:blip r:embed="rId73"/>
                    <a:srcRect/>
                    <a:stretch>
                      <a:fillRect/>
                    </a:stretch>
                  </pic:blipFill>
                  <pic:spPr>
                    <a:xfrm>
                      <a:off x="0" y="0"/>
                      <a:ext cx="1270" cy="10160"/>
                    </a:xfrm>
                    <a:prstGeom prst="rect">
                      <a:avLst/>
                    </a:prstGeom>
                    <a:noFill/>
                    <a:ln w="9525">
                      <a:noFill/>
                      <a:miter lim="800000"/>
                      <a:headEnd/>
                      <a:tailEnd/>
                    </a:ln>
                  </pic:spPr>
                </pic:pic>
              </a:graphicData>
            </a:graphic>
          </wp:anchor>
        </w:drawing>
      </w:r>
      <w:r>
        <w:t>图</w:t>
      </w:r>
      <w:r>
        <w:rPr>
          <w:rFonts w:hint="eastAsia"/>
        </w:rPr>
        <w:t>5-</w:t>
      </w:r>
      <w:r>
        <w:t>1</w:t>
      </w:r>
      <w:r>
        <w:t>新乡风向玫瑰图（静风频率</w:t>
      </w:r>
      <w:r>
        <w:t>1</w:t>
      </w:r>
      <w:r>
        <w:rPr>
          <w:rFonts w:hint="eastAsia"/>
        </w:rPr>
        <w:t>0</w:t>
      </w:r>
      <w:r>
        <w:t>.8%</w:t>
      </w:r>
      <w:r>
        <w:t>）</w:t>
      </w:r>
    </w:p>
    <w:p w:rsidR="00EE56C0" w:rsidRDefault="000F36A1">
      <w:pPr>
        <w:ind w:firstLine="480"/>
      </w:pPr>
      <w:r>
        <w:rPr>
          <w:rFonts w:hint="eastAsia"/>
        </w:rPr>
        <w:lastRenderedPageBreak/>
        <w:t>（</w:t>
      </w:r>
      <w:r>
        <w:rPr>
          <w:rFonts w:hint="eastAsia"/>
        </w:rPr>
        <w:t>3</w:t>
      </w:r>
      <w:r>
        <w:rPr>
          <w:rFonts w:hint="eastAsia"/>
        </w:rPr>
        <w:t>）</w:t>
      </w:r>
      <w:r>
        <w:t>风速年际变化特征与周期分析</w:t>
      </w:r>
    </w:p>
    <w:p w:rsidR="00EE56C0" w:rsidRDefault="000F36A1">
      <w:pPr>
        <w:ind w:firstLine="480"/>
      </w:pPr>
      <w:r>
        <w:rPr>
          <w:rFonts w:hint="eastAsia"/>
        </w:rPr>
        <w:t>根据近</w:t>
      </w:r>
      <w:r>
        <w:rPr>
          <w:rFonts w:hint="eastAsia"/>
        </w:rPr>
        <w:t>20</w:t>
      </w:r>
      <w:r>
        <w:rPr>
          <w:rFonts w:hint="eastAsia"/>
        </w:rPr>
        <w:t>年资料分析，新乡气象站风速呈现下降趋势，每年下降</w:t>
      </w:r>
      <w:r>
        <w:rPr>
          <w:rFonts w:hint="eastAsia"/>
        </w:rPr>
        <w:t>0.02%</w:t>
      </w:r>
      <w:r>
        <w:rPr>
          <w:rFonts w:hint="eastAsia"/>
        </w:rPr>
        <w:t>，</w:t>
      </w:r>
      <w:r>
        <w:rPr>
          <w:rFonts w:hint="eastAsia"/>
        </w:rPr>
        <w:t>2004</w:t>
      </w:r>
      <w:r>
        <w:rPr>
          <w:rFonts w:hint="eastAsia"/>
        </w:rPr>
        <w:t>年年平均风速最大（</w:t>
      </w:r>
      <w:r>
        <w:rPr>
          <w:rFonts w:hint="eastAsia"/>
        </w:rPr>
        <w:t>2.4</w:t>
      </w:r>
      <w:r>
        <w:rPr>
          <w:rFonts w:hint="eastAsia"/>
        </w:rPr>
        <w:t>米</w:t>
      </w:r>
      <w:r>
        <w:rPr>
          <w:rFonts w:hint="eastAsia"/>
        </w:rPr>
        <w:t>/</w:t>
      </w:r>
      <w:r>
        <w:rPr>
          <w:rFonts w:hint="eastAsia"/>
        </w:rPr>
        <w:t>秒），</w:t>
      </w:r>
      <w:r>
        <w:rPr>
          <w:rFonts w:hint="eastAsia"/>
        </w:rPr>
        <w:t>2012</w:t>
      </w:r>
      <w:r>
        <w:rPr>
          <w:rFonts w:hint="eastAsia"/>
        </w:rPr>
        <w:t>年年平均风速最小（</w:t>
      </w:r>
      <w:r>
        <w:rPr>
          <w:rFonts w:hint="eastAsia"/>
        </w:rPr>
        <w:t>1.8</w:t>
      </w:r>
      <w:r>
        <w:rPr>
          <w:rFonts w:hint="eastAsia"/>
        </w:rPr>
        <w:t>米</w:t>
      </w:r>
      <w:r>
        <w:rPr>
          <w:rFonts w:hint="eastAsia"/>
        </w:rPr>
        <w:t>/</w:t>
      </w:r>
      <w:r>
        <w:rPr>
          <w:rFonts w:hint="eastAsia"/>
        </w:rPr>
        <w:t>秒），周期为</w:t>
      </w:r>
      <w:r>
        <w:rPr>
          <w:rFonts w:hint="eastAsia"/>
        </w:rPr>
        <w:t>4</w:t>
      </w:r>
      <w:r>
        <w:rPr>
          <w:rFonts w:hint="eastAsia"/>
        </w:rPr>
        <w:t>年。新乡近</w:t>
      </w:r>
      <w:r>
        <w:rPr>
          <w:rFonts w:hint="eastAsia"/>
        </w:rPr>
        <w:t>20</w:t>
      </w:r>
      <w:r>
        <w:rPr>
          <w:rFonts w:hint="eastAsia"/>
        </w:rPr>
        <w:t>年</w:t>
      </w:r>
      <w:r>
        <w:t>风速</w:t>
      </w:r>
      <w:r>
        <w:rPr>
          <w:rFonts w:hint="eastAsia"/>
        </w:rPr>
        <w:t>变化见下图：</w:t>
      </w:r>
    </w:p>
    <w:p w:rsidR="00EE56C0" w:rsidRDefault="000F36A1">
      <w:pPr>
        <w:pStyle w:val="aff8"/>
      </w:pPr>
      <w:r>
        <w:rPr>
          <w:noProof/>
        </w:rPr>
        <w:drawing>
          <wp:inline distT="0" distB="0" distL="0" distR="0">
            <wp:extent cx="4618990" cy="3547110"/>
            <wp:effectExtent l="19050" t="0" r="0" b="0"/>
            <wp:docPr id="14" name="IM 10" descr="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 10" descr="IM 10"/>
                    <pic:cNvPicPr>
                      <a:picLocks noChangeAspect="1" noChangeArrowheads="1"/>
                    </pic:cNvPicPr>
                  </pic:nvPicPr>
                  <pic:blipFill>
                    <a:blip r:embed="rId75"/>
                    <a:srcRect/>
                    <a:stretch>
                      <a:fillRect/>
                    </a:stretch>
                  </pic:blipFill>
                  <pic:spPr>
                    <a:xfrm>
                      <a:off x="0" y="0"/>
                      <a:ext cx="4618990" cy="3547110"/>
                    </a:xfrm>
                    <a:prstGeom prst="rect">
                      <a:avLst/>
                    </a:prstGeom>
                    <a:noFill/>
                    <a:ln w="9525">
                      <a:noFill/>
                      <a:miter lim="800000"/>
                      <a:headEnd/>
                      <a:tailEnd/>
                    </a:ln>
                  </pic:spPr>
                </pic:pic>
              </a:graphicData>
            </a:graphic>
          </wp:inline>
        </w:drawing>
      </w:r>
    </w:p>
    <w:p w:rsidR="00EE56C0" w:rsidRDefault="00EE56C0">
      <w:pPr>
        <w:pStyle w:val="aff8"/>
      </w:pPr>
    </w:p>
    <w:p w:rsidR="00EE56C0" w:rsidRDefault="000F36A1">
      <w:pPr>
        <w:pStyle w:val="aff8"/>
      </w:pPr>
      <w:r>
        <w:t>图</w:t>
      </w:r>
      <w:r>
        <w:rPr>
          <w:rFonts w:hint="eastAsia"/>
        </w:rPr>
        <w:t xml:space="preserve">5-2  </w:t>
      </w:r>
      <w:r>
        <w:t xml:space="preserve"> </w:t>
      </w:r>
      <w:r>
        <w:t>新乡年平均风速（单位：</w:t>
      </w:r>
      <w:r>
        <w:t>m/s</w:t>
      </w:r>
      <w:r>
        <w:t>，虚线为趋势线）</w:t>
      </w:r>
    </w:p>
    <w:p w:rsidR="00EE56C0" w:rsidRDefault="000F36A1">
      <w:pPr>
        <w:pStyle w:val="4"/>
        <w:tabs>
          <w:tab w:val="left" w:pos="360"/>
          <w:tab w:val="left" w:pos="2214"/>
        </w:tabs>
        <w:ind w:leftChars="100" w:left="240" w:rightChars="100" w:right="240" w:firstLineChars="0" w:firstLine="0"/>
      </w:pPr>
      <w:r>
        <w:rPr>
          <w:rFonts w:hint="eastAsia"/>
        </w:rPr>
        <w:t>5.1.1.3</w:t>
      </w:r>
      <w:r>
        <w:rPr>
          <w:rFonts w:hint="eastAsia"/>
        </w:rPr>
        <w:t>气象站温度分析</w:t>
      </w:r>
    </w:p>
    <w:p w:rsidR="00EE56C0" w:rsidRDefault="000F36A1">
      <w:pPr>
        <w:ind w:firstLine="480"/>
      </w:pPr>
      <w:r>
        <w:rPr>
          <w:rFonts w:hint="eastAsia"/>
        </w:rPr>
        <w:t>新乡气象站近</w:t>
      </w:r>
      <w:r>
        <w:rPr>
          <w:rFonts w:hint="eastAsia"/>
        </w:rPr>
        <w:t>20</w:t>
      </w:r>
      <w:r>
        <w:rPr>
          <w:rFonts w:hint="eastAsia"/>
        </w:rPr>
        <w:t>年气温呈现上升趋势，每年上升</w:t>
      </w:r>
      <w:r>
        <w:rPr>
          <w:rFonts w:hint="eastAsia"/>
        </w:rPr>
        <w:t>0.08%</w:t>
      </w:r>
      <w:r>
        <w:rPr>
          <w:rFonts w:hint="eastAsia"/>
        </w:rPr>
        <w:t>，</w:t>
      </w:r>
      <w:r>
        <w:rPr>
          <w:rFonts w:hint="eastAsia"/>
        </w:rPr>
        <w:t>2019</w:t>
      </w:r>
      <w:r>
        <w:rPr>
          <w:rFonts w:hint="eastAsia"/>
        </w:rPr>
        <w:t>年年平均气温最高（</w:t>
      </w:r>
      <w:r>
        <w:rPr>
          <w:rFonts w:hint="eastAsia"/>
        </w:rPr>
        <w:t>16.2</w:t>
      </w:r>
      <w:r>
        <w:rPr>
          <w:rFonts w:hint="eastAsia"/>
          <w:szCs w:val="24"/>
        </w:rPr>
        <w:t>℃</w:t>
      </w:r>
      <w:r>
        <w:rPr>
          <w:rFonts w:hint="eastAsia"/>
        </w:rPr>
        <w:t>），</w:t>
      </w:r>
      <w:r>
        <w:rPr>
          <w:rFonts w:hint="eastAsia"/>
        </w:rPr>
        <w:t>2003</w:t>
      </w:r>
      <w:r>
        <w:rPr>
          <w:rFonts w:hint="eastAsia"/>
        </w:rPr>
        <w:t>年年平均气温最低（</w:t>
      </w:r>
      <w:r>
        <w:rPr>
          <w:rFonts w:hint="eastAsia"/>
        </w:rPr>
        <w:t>14.2</w:t>
      </w:r>
      <w:r>
        <w:rPr>
          <w:rFonts w:hint="eastAsia"/>
          <w:szCs w:val="24"/>
        </w:rPr>
        <w:t>℃</w:t>
      </w:r>
      <w:r>
        <w:rPr>
          <w:rFonts w:hint="eastAsia"/>
        </w:rPr>
        <w:t>），无明显周期。新乡近</w:t>
      </w:r>
      <w:r>
        <w:rPr>
          <w:rFonts w:hint="eastAsia"/>
        </w:rPr>
        <w:t>20</w:t>
      </w:r>
      <w:r>
        <w:rPr>
          <w:rFonts w:hint="eastAsia"/>
        </w:rPr>
        <w:t>年年平均气温变化见下图：</w:t>
      </w:r>
    </w:p>
    <w:p w:rsidR="00EE56C0" w:rsidRDefault="000F36A1">
      <w:pPr>
        <w:pStyle w:val="aff8"/>
      </w:pPr>
      <w:r>
        <w:rPr>
          <w:noProof/>
        </w:rPr>
        <w:lastRenderedPageBreak/>
        <w:drawing>
          <wp:inline distT="0" distB="0" distL="0" distR="0">
            <wp:extent cx="4366895" cy="2853690"/>
            <wp:effectExtent l="19050" t="0" r="0" b="0"/>
            <wp:docPr id="15" name="IM 12" descr="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 12" descr="IM 12"/>
                    <pic:cNvPicPr>
                      <a:picLocks noChangeAspect="1" noChangeArrowheads="1"/>
                    </pic:cNvPicPr>
                  </pic:nvPicPr>
                  <pic:blipFill>
                    <a:blip r:embed="rId76"/>
                    <a:srcRect t="4507"/>
                    <a:stretch>
                      <a:fillRect/>
                    </a:stretch>
                  </pic:blipFill>
                  <pic:spPr>
                    <a:xfrm>
                      <a:off x="0" y="0"/>
                      <a:ext cx="4366895" cy="2853690"/>
                    </a:xfrm>
                    <a:prstGeom prst="rect">
                      <a:avLst/>
                    </a:prstGeom>
                    <a:noFill/>
                    <a:ln w="9525">
                      <a:noFill/>
                      <a:miter lim="800000"/>
                      <a:headEnd/>
                      <a:tailEnd/>
                    </a:ln>
                  </pic:spPr>
                </pic:pic>
              </a:graphicData>
            </a:graphic>
          </wp:inline>
        </w:drawing>
      </w:r>
    </w:p>
    <w:p w:rsidR="00EE56C0" w:rsidRDefault="000F36A1">
      <w:pPr>
        <w:pStyle w:val="aff8"/>
      </w:pPr>
      <w:r>
        <w:t>图</w:t>
      </w:r>
      <w:r>
        <w:t>5</w:t>
      </w:r>
      <w:r>
        <w:rPr>
          <w:rFonts w:hint="eastAsia"/>
        </w:rPr>
        <w:t xml:space="preserve">-3 </w:t>
      </w:r>
      <w:r>
        <w:t xml:space="preserve"> </w:t>
      </w:r>
      <w:r>
        <w:t>新乡年平均气温（单位：</w:t>
      </w:r>
      <w:r>
        <w:rPr>
          <w:rFonts w:ascii="宋体" w:hAnsi="宋体" w:cs="宋体" w:hint="eastAsia"/>
        </w:rPr>
        <w:t>℃</w:t>
      </w:r>
      <w:r>
        <w:t>，虚线为趋势线）</w:t>
      </w:r>
    </w:p>
    <w:p w:rsidR="00EE56C0" w:rsidRDefault="000F36A1">
      <w:pPr>
        <w:pStyle w:val="4"/>
        <w:tabs>
          <w:tab w:val="left" w:pos="360"/>
          <w:tab w:val="left" w:pos="2214"/>
        </w:tabs>
        <w:ind w:leftChars="100" w:left="240" w:rightChars="100" w:right="240" w:firstLineChars="0" w:firstLine="0"/>
      </w:pPr>
      <w:r>
        <w:rPr>
          <w:rFonts w:hint="eastAsia"/>
        </w:rPr>
        <w:t>5.1.1.4</w:t>
      </w:r>
      <w:r>
        <w:rPr>
          <w:rFonts w:hint="eastAsia"/>
        </w:rPr>
        <w:t>气象站相对湿度分析</w:t>
      </w:r>
    </w:p>
    <w:p w:rsidR="00EE56C0" w:rsidRDefault="000F36A1">
      <w:pPr>
        <w:ind w:firstLine="480"/>
      </w:pPr>
      <w:r>
        <w:t>A</w:t>
      </w:r>
      <w:r>
        <w:rPr>
          <w:rFonts w:hint="eastAsia"/>
        </w:rPr>
        <w:t>、月平均降水与极端降水</w:t>
      </w:r>
    </w:p>
    <w:p w:rsidR="00EE56C0" w:rsidRDefault="000F36A1">
      <w:pPr>
        <w:ind w:firstLine="480"/>
        <w:rPr>
          <w:szCs w:val="24"/>
        </w:rPr>
      </w:pPr>
      <w:r>
        <w:rPr>
          <w:rFonts w:hint="eastAsia"/>
          <w:szCs w:val="24"/>
        </w:rPr>
        <w:t>新乡气象站</w:t>
      </w:r>
      <w:r>
        <w:rPr>
          <w:rFonts w:hint="eastAsia"/>
          <w:szCs w:val="24"/>
        </w:rPr>
        <w:t>07</w:t>
      </w:r>
      <w:r>
        <w:rPr>
          <w:rFonts w:hint="eastAsia"/>
          <w:szCs w:val="24"/>
        </w:rPr>
        <w:t>月降水量最大（</w:t>
      </w:r>
      <w:r>
        <w:rPr>
          <w:rFonts w:hint="eastAsia"/>
          <w:szCs w:val="24"/>
        </w:rPr>
        <w:t>180.5</w:t>
      </w:r>
      <w:r>
        <w:rPr>
          <w:rFonts w:hint="eastAsia"/>
          <w:szCs w:val="24"/>
        </w:rPr>
        <w:t>毫米），</w:t>
      </w:r>
      <w:r>
        <w:rPr>
          <w:rFonts w:hint="eastAsia"/>
          <w:szCs w:val="24"/>
        </w:rPr>
        <w:t>12</w:t>
      </w:r>
      <w:r>
        <w:rPr>
          <w:rFonts w:hint="eastAsia"/>
          <w:szCs w:val="24"/>
        </w:rPr>
        <w:t>月降水量最小（</w:t>
      </w:r>
      <w:r>
        <w:rPr>
          <w:rFonts w:hint="eastAsia"/>
          <w:szCs w:val="24"/>
        </w:rPr>
        <w:t>5.2</w:t>
      </w:r>
      <w:r>
        <w:rPr>
          <w:rFonts w:hint="eastAsia"/>
          <w:szCs w:val="24"/>
        </w:rPr>
        <w:t>毫米），近</w:t>
      </w:r>
      <w:r>
        <w:rPr>
          <w:rFonts w:hint="eastAsia"/>
          <w:szCs w:val="24"/>
        </w:rPr>
        <w:t>20</w:t>
      </w:r>
      <w:r>
        <w:rPr>
          <w:rFonts w:hint="eastAsia"/>
          <w:szCs w:val="24"/>
        </w:rPr>
        <w:t>年极端最大日降水出现在</w:t>
      </w:r>
      <w:r>
        <w:rPr>
          <w:rFonts w:hint="eastAsia"/>
          <w:szCs w:val="24"/>
        </w:rPr>
        <w:t>2016-07-09</w:t>
      </w:r>
      <w:r>
        <w:rPr>
          <w:rFonts w:hint="eastAsia"/>
          <w:szCs w:val="24"/>
        </w:rPr>
        <w:t>（</w:t>
      </w:r>
      <w:r>
        <w:rPr>
          <w:rFonts w:hint="eastAsia"/>
          <w:szCs w:val="24"/>
        </w:rPr>
        <w:t>414.0</w:t>
      </w:r>
      <w:r>
        <w:rPr>
          <w:rFonts w:hint="eastAsia"/>
          <w:szCs w:val="24"/>
        </w:rPr>
        <w:t>毫米）。</w:t>
      </w:r>
    </w:p>
    <w:p w:rsidR="00EE56C0" w:rsidRDefault="000F36A1">
      <w:pPr>
        <w:pStyle w:val="aff8"/>
      </w:pPr>
      <w:r>
        <w:rPr>
          <w:noProof/>
        </w:rPr>
        <w:drawing>
          <wp:inline distT="0" distB="0" distL="0" distR="0">
            <wp:extent cx="4184650" cy="2671445"/>
            <wp:effectExtent l="19050" t="0" r="6186" b="0"/>
            <wp:docPr id="2" name="IM 13" descr="IM 13"/>
            <wp:cNvGraphicFramePr/>
            <a:graphic xmlns:a="http://schemas.openxmlformats.org/drawingml/2006/main">
              <a:graphicData uri="http://schemas.openxmlformats.org/drawingml/2006/picture">
                <pic:pic xmlns:pic="http://schemas.openxmlformats.org/drawingml/2006/picture">
                  <pic:nvPicPr>
                    <pic:cNvPr id="2" name="IM 13" descr="IM 13"/>
                    <pic:cNvPicPr/>
                  </pic:nvPicPr>
                  <pic:blipFill>
                    <a:blip r:embed="rId77" cstate="print"/>
                    <a:srcRect t="4016"/>
                    <a:stretch>
                      <a:fillRect/>
                    </a:stretch>
                  </pic:blipFill>
                  <pic:spPr>
                    <a:xfrm>
                      <a:off x="0" y="0"/>
                      <a:ext cx="4189017" cy="2674632"/>
                    </a:xfrm>
                    <a:prstGeom prst="rect">
                      <a:avLst/>
                    </a:prstGeom>
                  </pic:spPr>
                </pic:pic>
              </a:graphicData>
            </a:graphic>
          </wp:inline>
        </w:drawing>
      </w:r>
    </w:p>
    <w:p w:rsidR="00EE56C0" w:rsidRDefault="000F36A1">
      <w:pPr>
        <w:pStyle w:val="aff8"/>
      </w:pPr>
      <w:r>
        <w:rPr>
          <w:rFonts w:hint="eastAsia"/>
        </w:rPr>
        <w:t>图</w:t>
      </w:r>
      <w:r>
        <w:rPr>
          <w:rFonts w:hint="eastAsia"/>
        </w:rPr>
        <w:t xml:space="preserve">5-6  </w:t>
      </w:r>
      <w:r>
        <w:rPr>
          <w:rFonts w:hint="eastAsia"/>
        </w:rPr>
        <w:t>新乡月平均降水量（单位：毫米）</w:t>
      </w:r>
    </w:p>
    <w:p w:rsidR="00EE56C0" w:rsidRDefault="000F36A1">
      <w:pPr>
        <w:ind w:firstLine="480"/>
      </w:pPr>
      <w:r>
        <w:t>B</w:t>
      </w:r>
      <w:r>
        <w:rPr>
          <w:rFonts w:hint="eastAsia"/>
        </w:rPr>
        <w:t>、降水年际变化趋势与周期分析</w:t>
      </w:r>
    </w:p>
    <w:p w:rsidR="00EE56C0" w:rsidRDefault="000F36A1">
      <w:pPr>
        <w:ind w:firstLine="480"/>
      </w:pPr>
      <w:r>
        <w:rPr>
          <w:rFonts w:hint="eastAsia"/>
        </w:rPr>
        <w:t>新乡气象站近</w:t>
      </w:r>
      <w:r>
        <w:rPr>
          <w:rFonts w:hint="eastAsia"/>
        </w:rPr>
        <w:t>20</w:t>
      </w:r>
      <w:r>
        <w:rPr>
          <w:rFonts w:hint="eastAsia"/>
        </w:rPr>
        <w:t>年年降水总量无明显变化趋势，</w:t>
      </w:r>
      <w:r>
        <w:rPr>
          <w:rFonts w:hint="eastAsia"/>
        </w:rPr>
        <w:t>2016</w:t>
      </w:r>
      <w:r>
        <w:rPr>
          <w:rFonts w:hint="eastAsia"/>
        </w:rPr>
        <w:t>年年总降水量最大（</w:t>
      </w:r>
      <w:r>
        <w:rPr>
          <w:rFonts w:hint="eastAsia"/>
        </w:rPr>
        <w:t>994.3</w:t>
      </w:r>
      <w:r>
        <w:rPr>
          <w:rFonts w:hint="eastAsia"/>
        </w:rPr>
        <w:t>毫米），</w:t>
      </w:r>
      <w:r>
        <w:rPr>
          <w:rFonts w:hint="eastAsia"/>
        </w:rPr>
        <w:t>2002</w:t>
      </w:r>
      <w:r>
        <w:rPr>
          <w:rFonts w:hint="eastAsia"/>
        </w:rPr>
        <w:t>年年总降水量最小（</w:t>
      </w:r>
      <w:r>
        <w:rPr>
          <w:rFonts w:hint="eastAsia"/>
        </w:rPr>
        <w:t>327.7</w:t>
      </w:r>
      <w:r>
        <w:rPr>
          <w:rFonts w:hint="eastAsia"/>
        </w:rPr>
        <w:t>毫米），周期为</w:t>
      </w:r>
      <w:r>
        <w:rPr>
          <w:rFonts w:hint="eastAsia"/>
        </w:rPr>
        <w:t>5</w:t>
      </w:r>
      <w:r>
        <w:rPr>
          <w:rFonts w:hint="eastAsia"/>
        </w:rPr>
        <w:t>年。</w:t>
      </w:r>
    </w:p>
    <w:p w:rsidR="00EE56C0" w:rsidRDefault="000F36A1">
      <w:pPr>
        <w:pStyle w:val="aff8"/>
        <w:ind w:firstLine="482"/>
      </w:pPr>
      <w:r>
        <w:rPr>
          <w:rFonts w:hint="eastAsia"/>
          <w:b w:val="0"/>
          <w:noProof/>
        </w:rPr>
        <w:lastRenderedPageBreak/>
        <w:drawing>
          <wp:inline distT="0" distB="0" distL="0" distR="0">
            <wp:extent cx="4077335" cy="3054985"/>
            <wp:effectExtent l="19050" t="0" r="0" b="0"/>
            <wp:docPr id="1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98"/>
                    <pic:cNvPicPr>
                      <a:picLocks noChangeAspect="1" noChangeArrowheads="1"/>
                    </pic:cNvPicPr>
                  </pic:nvPicPr>
                  <pic:blipFill>
                    <a:blip r:embed="rId78" cstate="print"/>
                    <a:srcRect/>
                    <a:stretch>
                      <a:fillRect/>
                    </a:stretch>
                  </pic:blipFill>
                  <pic:spPr>
                    <a:xfrm>
                      <a:off x="0" y="0"/>
                      <a:ext cx="4084242" cy="3060133"/>
                    </a:xfrm>
                    <a:prstGeom prst="rect">
                      <a:avLst/>
                    </a:prstGeom>
                    <a:noFill/>
                    <a:ln w="9525">
                      <a:noFill/>
                      <a:miter lim="800000"/>
                      <a:headEnd/>
                      <a:tailEnd/>
                    </a:ln>
                  </pic:spPr>
                </pic:pic>
              </a:graphicData>
            </a:graphic>
          </wp:inline>
        </w:drawing>
      </w:r>
    </w:p>
    <w:p w:rsidR="00EE56C0" w:rsidRDefault="000F36A1">
      <w:pPr>
        <w:pStyle w:val="aff8"/>
      </w:pPr>
      <w:r>
        <w:rPr>
          <w:rFonts w:hint="eastAsia"/>
        </w:rPr>
        <w:t>图</w:t>
      </w:r>
      <w:r>
        <w:rPr>
          <w:rFonts w:hint="eastAsia"/>
        </w:rPr>
        <w:t xml:space="preserve">5-7  </w:t>
      </w:r>
      <w:r>
        <w:rPr>
          <w:rFonts w:hint="eastAsia"/>
        </w:rPr>
        <w:t>新乡（</w:t>
      </w:r>
      <w:r>
        <w:rPr>
          <w:rFonts w:hint="eastAsia"/>
        </w:rPr>
        <w:t>2000-2019</w:t>
      </w:r>
      <w:r>
        <w:rPr>
          <w:rFonts w:hint="eastAsia"/>
        </w:rPr>
        <w:t>）年总降水量（单位</w:t>
      </w:r>
      <w:r>
        <w:rPr>
          <w:rFonts w:hint="eastAsia"/>
        </w:rPr>
        <w:t>:mm,</w:t>
      </w:r>
      <w:r>
        <w:rPr>
          <w:rFonts w:hint="eastAsia"/>
        </w:rPr>
        <w:t>虚线为趋势线）</w:t>
      </w:r>
    </w:p>
    <w:p w:rsidR="00EE56C0" w:rsidRDefault="000F36A1">
      <w:pPr>
        <w:pStyle w:val="4"/>
        <w:ind w:left="120" w:firstLine="241"/>
      </w:pPr>
      <w:r>
        <w:rPr>
          <w:rFonts w:hint="eastAsia"/>
        </w:rPr>
        <w:t>5.1.1.5</w:t>
      </w:r>
      <w:r>
        <w:rPr>
          <w:rFonts w:hint="eastAsia"/>
        </w:rPr>
        <w:t>气象站湿度分析</w:t>
      </w:r>
    </w:p>
    <w:p w:rsidR="00EE56C0" w:rsidRDefault="000F36A1">
      <w:pPr>
        <w:ind w:firstLine="480"/>
      </w:pPr>
      <w:r>
        <w:rPr>
          <w:rFonts w:hint="eastAsia"/>
        </w:rPr>
        <w:t>A</w:t>
      </w:r>
      <w:r>
        <w:rPr>
          <w:rFonts w:hint="eastAsia"/>
        </w:rPr>
        <w:t>、月相对湿度分析</w:t>
      </w:r>
    </w:p>
    <w:p w:rsidR="00EE56C0" w:rsidRDefault="000F36A1">
      <w:pPr>
        <w:ind w:firstLine="480"/>
        <w:rPr>
          <w:szCs w:val="24"/>
        </w:rPr>
      </w:pPr>
      <w:r>
        <w:rPr>
          <w:rFonts w:hint="eastAsia"/>
          <w:szCs w:val="24"/>
        </w:rPr>
        <w:t>新乡气象站</w:t>
      </w:r>
      <w:r>
        <w:rPr>
          <w:rFonts w:hint="eastAsia"/>
          <w:szCs w:val="24"/>
        </w:rPr>
        <w:t>08</w:t>
      </w:r>
      <w:r>
        <w:rPr>
          <w:rFonts w:hint="eastAsia"/>
          <w:szCs w:val="24"/>
        </w:rPr>
        <w:t>月平均相对湿度最大（</w:t>
      </w:r>
      <w:r>
        <w:rPr>
          <w:rFonts w:hint="eastAsia"/>
          <w:szCs w:val="24"/>
        </w:rPr>
        <w:t>76.0%</w:t>
      </w:r>
      <w:r>
        <w:rPr>
          <w:rFonts w:hint="eastAsia"/>
          <w:szCs w:val="24"/>
        </w:rPr>
        <w:t>），</w:t>
      </w:r>
      <w:r>
        <w:rPr>
          <w:rFonts w:hint="eastAsia"/>
          <w:szCs w:val="24"/>
        </w:rPr>
        <w:t>03</w:t>
      </w:r>
      <w:r>
        <w:rPr>
          <w:rFonts w:hint="eastAsia"/>
          <w:szCs w:val="24"/>
        </w:rPr>
        <w:t>月平均相对湿度最小（</w:t>
      </w:r>
      <w:r>
        <w:rPr>
          <w:rFonts w:hint="eastAsia"/>
          <w:szCs w:val="24"/>
        </w:rPr>
        <w:t>51.8%</w:t>
      </w:r>
      <w:r>
        <w:rPr>
          <w:rFonts w:hint="eastAsia"/>
          <w:szCs w:val="24"/>
        </w:rPr>
        <w:t>）。</w:t>
      </w:r>
    </w:p>
    <w:p w:rsidR="00EE56C0" w:rsidRDefault="000F36A1">
      <w:pPr>
        <w:pStyle w:val="aff8"/>
      </w:pPr>
      <w:r>
        <w:rPr>
          <w:rFonts w:hint="eastAsia"/>
          <w:b w:val="0"/>
          <w:noProof/>
        </w:rPr>
        <w:drawing>
          <wp:inline distT="0" distB="0" distL="0" distR="0">
            <wp:extent cx="3755390" cy="2896870"/>
            <wp:effectExtent l="19050" t="0" r="0" b="0"/>
            <wp:docPr id="115"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01"/>
                    <pic:cNvPicPr>
                      <a:picLocks noChangeAspect="1" noChangeArrowheads="1"/>
                    </pic:cNvPicPr>
                  </pic:nvPicPr>
                  <pic:blipFill>
                    <a:blip r:embed="rId79" cstate="print"/>
                    <a:srcRect/>
                    <a:stretch>
                      <a:fillRect/>
                    </a:stretch>
                  </pic:blipFill>
                  <pic:spPr>
                    <a:xfrm>
                      <a:off x="0" y="0"/>
                      <a:ext cx="3780274" cy="2916211"/>
                    </a:xfrm>
                    <a:prstGeom prst="rect">
                      <a:avLst/>
                    </a:prstGeom>
                    <a:noFill/>
                    <a:ln w="9525">
                      <a:noFill/>
                      <a:miter lim="800000"/>
                      <a:headEnd/>
                      <a:tailEnd/>
                    </a:ln>
                  </pic:spPr>
                </pic:pic>
              </a:graphicData>
            </a:graphic>
          </wp:inline>
        </w:drawing>
      </w:r>
    </w:p>
    <w:p w:rsidR="00EE56C0" w:rsidRDefault="000F36A1">
      <w:pPr>
        <w:pStyle w:val="aff8"/>
      </w:pPr>
      <w:r>
        <w:rPr>
          <w:rFonts w:hint="eastAsia"/>
        </w:rPr>
        <w:t>图</w:t>
      </w:r>
      <w:r>
        <w:rPr>
          <w:rFonts w:hint="eastAsia"/>
        </w:rPr>
        <w:t xml:space="preserve">5-8  </w:t>
      </w:r>
      <w:r>
        <w:rPr>
          <w:rFonts w:hint="eastAsia"/>
        </w:rPr>
        <w:t>新乡月平均相对湿度（纵轴为百分比）</w:t>
      </w:r>
    </w:p>
    <w:p w:rsidR="00EE56C0" w:rsidRDefault="000F36A1">
      <w:pPr>
        <w:ind w:firstLine="480"/>
      </w:pPr>
      <w:r>
        <w:rPr>
          <w:rFonts w:hint="eastAsia"/>
        </w:rPr>
        <w:t>B</w:t>
      </w:r>
      <w:r>
        <w:rPr>
          <w:rFonts w:hint="eastAsia"/>
        </w:rPr>
        <w:t>、相对湿度年际变化趋势与周期分析</w:t>
      </w:r>
    </w:p>
    <w:p w:rsidR="00EE56C0" w:rsidRDefault="000F36A1">
      <w:pPr>
        <w:ind w:firstLine="480"/>
      </w:pPr>
      <w:r>
        <w:t>新乡气象站近</w:t>
      </w:r>
      <w:r>
        <w:t>20</w:t>
      </w:r>
      <w:r>
        <w:t>年年平均相对湿度呈现下降趋势</w:t>
      </w:r>
      <w:r>
        <w:rPr>
          <w:rFonts w:hint="eastAsia"/>
        </w:rPr>
        <w:t>，</w:t>
      </w:r>
      <w:r>
        <w:t>每年下降</w:t>
      </w:r>
      <w:r>
        <w:t>0.4</w:t>
      </w:r>
      <w:r>
        <w:rPr>
          <w:rFonts w:hint="eastAsia"/>
        </w:rPr>
        <w:t>8</w:t>
      </w:r>
      <w:r>
        <w:t>%</w:t>
      </w:r>
      <w:r>
        <w:t>，</w:t>
      </w:r>
      <w:r>
        <w:t>2003</w:t>
      </w:r>
      <w:r>
        <w:lastRenderedPageBreak/>
        <w:t>年年平均相对湿度最大（</w:t>
      </w:r>
      <w:r>
        <w:t>72.0%</w:t>
      </w:r>
      <w:r>
        <w:t>），</w:t>
      </w:r>
      <w:r>
        <w:t>2019</w:t>
      </w:r>
      <w:r>
        <w:t>年年平均相对湿度最小（</w:t>
      </w:r>
      <w:r>
        <w:t>5</w:t>
      </w:r>
      <w:r>
        <w:rPr>
          <w:rFonts w:hint="eastAsia"/>
        </w:rPr>
        <w:t>7</w:t>
      </w:r>
      <w:r>
        <w:t>.7%</w:t>
      </w:r>
      <w:r>
        <w:t>），无明显周期。</w:t>
      </w:r>
      <w:r>
        <w:rPr>
          <w:rFonts w:hint="eastAsia"/>
        </w:rPr>
        <w:t>新乡近</w:t>
      </w:r>
      <w:r>
        <w:rPr>
          <w:rFonts w:hint="eastAsia"/>
        </w:rPr>
        <w:t>20</w:t>
      </w:r>
      <w:r>
        <w:rPr>
          <w:rFonts w:hint="eastAsia"/>
        </w:rPr>
        <w:t>年</w:t>
      </w:r>
      <w:r>
        <w:t>年平均相对湿度</w:t>
      </w:r>
      <w:r>
        <w:rPr>
          <w:rFonts w:hint="eastAsia"/>
        </w:rPr>
        <w:t>变化见下图：</w:t>
      </w:r>
    </w:p>
    <w:p w:rsidR="00EE56C0" w:rsidRDefault="000F36A1">
      <w:pPr>
        <w:pStyle w:val="aff8"/>
      </w:pPr>
      <w:r>
        <w:rPr>
          <w:rFonts w:hint="eastAsia"/>
          <w:b w:val="0"/>
          <w:noProof/>
        </w:rPr>
        <w:drawing>
          <wp:inline distT="0" distB="0" distL="0" distR="0">
            <wp:extent cx="3712845" cy="2806700"/>
            <wp:effectExtent l="19050" t="0" r="1645" b="0"/>
            <wp:docPr id="116"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04"/>
                    <pic:cNvPicPr>
                      <a:picLocks noChangeAspect="1" noChangeArrowheads="1"/>
                    </pic:cNvPicPr>
                  </pic:nvPicPr>
                  <pic:blipFill>
                    <a:blip r:embed="rId80" cstate="print"/>
                    <a:srcRect t="3279"/>
                    <a:stretch>
                      <a:fillRect/>
                    </a:stretch>
                  </pic:blipFill>
                  <pic:spPr>
                    <a:xfrm>
                      <a:off x="0" y="0"/>
                      <a:ext cx="3713105" cy="2806995"/>
                    </a:xfrm>
                    <a:prstGeom prst="rect">
                      <a:avLst/>
                    </a:prstGeom>
                    <a:noFill/>
                    <a:ln w="9525">
                      <a:noFill/>
                      <a:miter lim="800000"/>
                      <a:headEnd/>
                      <a:tailEnd/>
                    </a:ln>
                  </pic:spPr>
                </pic:pic>
              </a:graphicData>
            </a:graphic>
          </wp:inline>
        </w:drawing>
      </w:r>
    </w:p>
    <w:p w:rsidR="00EE56C0" w:rsidRDefault="000F36A1">
      <w:pPr>
        <w:pStyle w:val="aff8"/>
      </w:pPr>
      <w:r>
        <w:t>图</w:t>
      </w:r>
      <w:r>
        <w:rPr>
          <w:rFonts w:hint="eastAsia"/>
        </w:rPr>
        <w:t>5-9</w:t>
      </w:r>
      <w:r>
        <w:t>新乡年平均相对湿度（纵轴为百分比，虚线为趋势线）</w:t>
      </w:r>
    </w:p>
    <w:p w:rsidR="00EE56C0" w:rsidRDefault="000F36A1">
      <w:pPr>
        <w:pStyle w:val="4"/>
        <w:ind w:left="120" w:firstLine="241"/>
      </w:pPr>
      <w:r>
        <w:rPr>
          <w:rFonts w:hint="eastAsia"/>
        </w:rPr>
        <w:t>5.1.1.6</w:t>
      </w:r>
      <w:r>
        <w:rPr>
          <w:rFonts w:hint="eastAsia"/>
        </w:rPr>
        <w:t>地面逐时气象数据</w:t>
      </w:r>
    </w:p>
    <w:p w:rsidR="00EE56C0" w:rsidRDefault="000F36A1">
      <w:pPr>
        <w:ind w:firstLine="480"/>
      </w:pPr>
      <w:r>
        <w:rPr>
          <w:rFonts w:hint="eastAsia"/>
        </w:rPr>
        <w:t>根据该项目的评价工作等级，本次评价选取</w:t>
      </w:r>
      <w:r>
        <w:rPr>
          <w:rFonts w:hint="eastAsia"/>
        </w:rPr>
        <w:t>2019</w:t>
      </w:r>
      <w:r>
        <w:rPr>
          <w:rFonts w:hint="eastAsia"/>
        </w:rPr>
        <w:t>年全年作为评价基准年进行预测，因此近年地面气象资料采用年</w:t>
      </w:r>
      <w:r>
        <w:t>201</w:t>
      </w:r>
      <w:r>
        <w:rPr>
          <w:rFonts w:hint="eastAsia"/>
        </w:rPr>
        <w:t>9</w:t>
      </w:r>
      <w:r>
        <w:rPr>
          <w:rFonts w:hint="eastAsia"/>
        </w:rPr>
        <w:t>新乡气象观测站逐时逐次的观测结果。</w:t>
      </w:r>
    </w:p>
    <w:p w:rsidR="00EE56C0" w:rsidRDefault="000F36A1">
      <w:pPr>
        <w:ind w:firstLine="480"/>
      </w:pPr>
      <w:r>
        <w:rPr>
          <w:rFonts w:hint="eastAsia"/>
        </w:rPr>
        <w:t>（</w:t>
      </w:r>
      <w:r>
        <w:t>1</w:t>
      </w:r>
      <w:r>
        <w:rPr>
          <w:rFonts w:hint="eastAsia"/>
        </w:rPr>
        <w:t>）温度</w:t>
      </w:r>
    </w:p>
    <w:p w:rsidR="00EE56C0" w:rsidRDefault="000F36A1">
      <w:pPr>
        <w:ind w:firstLine="480"/>
      </w:pPr>
      <w:r>
        <w:rPr>
          <w:rFonts w:hint="eastAsia"/>
        </w:rPr>
        <w:t>各月平均气温统计结果分别见表</w:t>
      </w:r>
      <w:r>
        <w:rPr>
          <w:rFonts w:hint="eastAsia"/>
        </w:rPr>
        <w:t>5-5</w:t>
      </w:r>
      <w:r>
        <w:rPr>
          <w:rFonts w:hint="eastAsia"/>
        </w:rPr>
        <w:t>。</w:t>
      </w:r>
    </w:p>
    <w:p w:rsidR="00EE56C0" w:rsidRDefault="000F36A1">
      <w:pPr>
        <w:pStyle w:val="afd"/>
        <w:spacing w:before="120" w:after="120"/>
        <w:ind w:firstLine="482"/>
      </w:pPr>
      <w:r>
        <w:rPr>
          <w:rFonts w:hint="eastAsia"/>
        </w:rPr>
        <w:t>表</w:t>
      </w:r>
      <w:r>
        <w:rPr>
          <w:rFonts w:hint="eastAsia"/>
        </w:rPr>
        <w:t>5</w:t>
      </w:r>
      <w:r>
        <w:t>-</w:t>
      </w:r>
      <w:r>
        <w:rPr>
          <w:rFonts w:hint="eastAsia"/>
        </w:rPr>
        <w:t xml:space="preserve">5 </w:t>
      </w:r>
      <w:r>
        <w:rPr>
          <w:rFonts w:hint="eastAsia"/>
        </w:rPr>
        <w:t>平均气温的月变化</w:t>
      </w:r>
      <w:r>
        <w:t>(</w:t>
      </w:r>
      <w:r>
        <w:rPr>
          <w:rFonts w:ascii="宋体" w:hAnsi="宋体" w:cs="宋体" w:hint="eastAsia"/>
        </w:rPr>
        <w:t>℃</w:t>
      </w:r>
      <w:r>
        <w:t>)</w:t>
      </w:r>
    </w:p>
    <w:tbl>
      <w:tblPr>
        <w:tblW w:w="9049"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tblPr>
      <w:tblGrid>
        <w:gridCol w:w="712"/>
        <w:gridCol w:w="593"/>
        <w:gridCol w:w="589"/>
        <w:gridCol w:w="709"/>
        <w:gridCol w:w="709"/>
        <w:gridCol w:w="708"/>
        <w:gridCol w:w="769"/>
        <w:gridCol w:w="708"/>
        <w:gridCol w:w="689"/>
        <w:gridCol w:w="696"/>
        <w:gridCol w:w="689"/>
        <w:gridCol w:w="807"/>
        <w:gridCol w:w="671"/>
      </w:tblGrid>
      <w:tr w:rsidR="00EE56C0">
        <w:trPr>
          <w:trHeight w:val="454"/>
          <w:jc w:val="center"/>
        </w:trPr>
        <w:tc>
          <w:tcPr>
            <w:tcW w:w="712" w:type="dxa"/>
            <w:noWrap/>
            <w:vAlign w:val="center"/>
          </w:tcPr>
          <w:p w:rsidR="00EE56C0" w:rsidRDefault="000F36A1">
            <w:pPr>
              <w:pStyle w:val="aff1"/>
            </w:pPr>
            <w:r>
              <w:rPr>
                <w:rFonts w:hint="eastAsia"/>
              </w:rPr>
              <w:t>月份</w:t>
            </w:r>
          </w:p>
        </w:tc>
        <w:tc>
          <w:tcPr>
            <w:tcW w:w="593" w:type="dxa"/>
            <w:noWrap/>
            <w:vAlign w:val="center"/>
          </w:tcPr>
          <w:p w:rsidR="00EE56C0" w:rsidRDefault="000F36A1">
            <w:pPr>
              <w:pStyle w:val="aff1"/>
            </w:pPr>
            <w:r>
              <w:t>1</w:t>
            </w:r>
            <w:r>
              <w:rPr>
                <w:rFonts w:hint="eastAsia"/>
              </w:rPr>
              <w:t>月</w:t>
            </w:r>
          </w:p>
        </w:tc>
        <w:tc>
          <w:tcPr>
            <w:tcW w:w="589" w:type="dxa"/>
            <w:noWrap/>
            <w:vAlign w:val="center"/>
          </w:tcPr>
          <w:p w:rsidR="00EE56C0" w:rsidRDefault="000F36A1">
            <w:pPr>
              <w:pStyle w:val="aff1"/>
            </w:pPr>
            <w:r>
              <w:t>2</w:t>
            </w:r>
            <w:r>
              <w:rPr>
                <w:rFonts w:hint="eastAsia"/>
              </w:rPr>
              <w:t>月</w:t>
            </w:r>
          </w:p>
        </w:tc>
        <w:tc>
          <w:tcPr>
            <w:tcW w:w="709" w:type="dxa"/>
            <w:noWrap/>
            <w:vAlign w:val="center"/>
          </w:tcPr>
          <w:p w:rsidR="00EE56C0" w:rsidRDefault="000F36A1">
            <w:pPr>
              <w:pStyle w:val="aff1"/>
            </w:pPr>
            <w:r>
              <w:t>3</w:t>
            </w:r>
            <w:r>
              <w:rPr>
                <w:rFonts w:hint="eastAsia"/>
              </w:rPr>
              <w:t>月</w:t>
            </w:r>
          </w:p>
        </w:tc>
        <w:tc>
          <w:tcPr>
            <w:tcW w:w="709" w:type="dxa"/>
            <w:noWrap/>
            <w:vAlign w:val="center"/>
          </w:tcPr>
          <w:p w:rsidR="00EE56C0" w:rsidRDefault="000F36A1">
            <w:pPr>
              <w:pStyle w:val="aff1"/>
            </w:pPr>
            <w:r>
              <w:t>4</w:t>
            </w:r>
            <w:r>
              <w:rPr>
                <w:rFonts w:hint="eastAsia"/>
              </w:rPr>
              <w:t>月</w:t>
            </w:r>
          </w:p>
        </w:tc>
        <w:tc>
          <w:tcPr>
            <w:tcW w:w="708" w:type="dxa"/>
            <w:noWrap/>
            <w:vAlign w:val="center"/>
          </w:tcPr>
          <w:p w:rsidR="00EE56C0" w:rsidRDefault="000F36A1">
            <w:pPr>
              <w:pStyle w:val="aff1"/>
            </w:pPr>
            <w:r>
              <w:t>5</w:t>
            </w:r>
            <w:r>
              <w:rPr>
                <w:rFonts w:hint="eastAsia"/>
              </w:rPr>
              <w:t>月</w:t>
            </w:r>
          </w:p>
        </w:tc>
        <w:tc>
          <w:tcPr>
            <w:tcW w:w="769" w:type="dxa"/>
            <w:noWrap/>
            <w:vAlign w:val="center"/>
          </w:tcPr>
          <w:p w:rsidR="00EE56C0" w:rsidRDefault="000F36A1">
            <w:pPr>
              <w:pStyle w:val="aff1"/>
            </w:pPr>
            <w:r>
              <w:t>6</w:t>
            </w:r>
            <w:r>
              <w:rPr>
                <w:rFonts w:hint="eastAsia"/>
              </w:rPr>
              <w:t>月</w:t>
            </w:r>
          </w:p>
        </w:tc>
        <w:tc>
          <w:tcPr>
            <w:tcW w:w="708" w:type="dxa"/>
            <w:noWrap/>
            <w:vAlign w:val="center"/>
          </w:tcPr>
          <w:p w:rsidR="00EE56C0" w:rsidRDefault="000F36A1">
            <w:pPr>
              <w:pStyle w:val="aff1"/>
            </w:pPr>
            <w:r>
              <w:t>7</w:t>
            </w:r>
            <w:r>
              <w:rPr>
                <w:rFonts w:hint="eastAsia"/>
              </w:rPr>
              <w:t>月</w:t>
            </w:r>
          </w:p>
        </w:tc>
        <w:tc>
          <w:tcPr>
            <w:tcW w:w="689" w:type="dxa"/>
            <w:noWrap/>
            <w:vAlign w:val="center"/>
          </w:tcPr>
          <w:p w:rsidR="00EE56C0" w:rsidRDefault="000F36A1">
            <w:pPr>
              <w:pStyle w:val="aff1"/>
            </w:pPr>
            <w:r>
              <w:t>8</w:t>
            </w:r>
            <w:r>
              <w:rPr>
                <w:rFonts w:hint="eastAsia"/>
              </w:rPr>
              <w:t>月</w:t>
            </w:r>
          </w:p>
        </w:tc>
        <w:tc>
          <w:tcPr>
            <w:tcW w:w="696" w:type="dxa"/>
            <w:noWrap/>
            <w:vAlign w:val="center"/>
          </w:tcPr>
          <w:p w:rsidR="00EE56C0" w:rsidRDefault="000F36A1">
            <w:pPr>
              <w:pStyle w:val="aff1"/>
            </w:pPr>
            <w:r>
              <w:t>9</w:t>
            </w:r>
            <w:r>
              <w:rPr>
                <w:rFonts w:hint="eastAsia"/>
              </w:rPr>
              <w:t>月</w:t>
            </w:r>
          </w:p>
        </w:tc>
        <w:tc>
          <w:tcPr>
            <w:tcW w:w="689" w:type="dxa"/>
            <w:noWrap/>
            <w:vAlign w:val="center"/>
          </w:tcPr>
          <w:p w:rsidR="00EE56C0" w:rsidRDefault="000F36A1">
            <w:pPr>
              <w:pStyle w:val="aff1"/>
            </w:pPr>
            <w:r>
              <w:t>10</w:t>
            </w:r>
            <w:r>
              <w:rPr>
                <w:rFonts w:hint="eastAsia"/>
              </w:rPr>
              <w:t>月</w:t>
            </w:r>
          </w:p>
        </w:tc>
        <w:tc>
          <w:tcPr>
            <w:tcW w:w="807" w:type="dxa"/>
            <w:noWrap/>
            <w:vAlign w:val="center"/>
          </w:tcPr>
          <w:p w:rsidR="00EE56C0" w:rsidRDefault="000F36A1">
            <w:pPr>
              <w:pStyle w:val="aff1"/>
            </w:pPr>
            <w:r>
              <w:t>11</w:t>
            </w:r>
            <w:r>
              <w:rPr>
                <w:rFonts w:hint="eastAsia"/>
              </w:rPr>
              <w:t>月</w:t>
            </w:r>
          </w:p>
        </w:tc>
        <w:tc>
          <w:tcPr>
            <w:tcW w:w="671" w:type="dxa"/>
            <w:noWrap/>
            <w:vAlign w:val="center"/>
          </w:tcPr>
          <w:p w:rsidR="00EE56C0" w:rsidRDefault="000F36A1">
            <w:pPr>
              <w:pStyle w:val="aff1"/>
            </w:pPr>
            <w:r>
              <w:t>12</w:t>
            </w:r>
            <w:r>
              <w:rPr>
                <w:rFonts w:hint="eastAsia"/>
              </w:rPr>
              <w:t>月</w:t>
            </w:r>
          </w:p>
        </w:tc>
      </w:tr>
      <w:tr w:rsidR="00EE56C0">
        <w:trPr>
          <w:trHeight w:val="381"/>
          <w:jc w:val="center"/>
        </w:trPr>
        <w:tc>
          <w:tcPr>
            <w:tcW w:w="712" w:type="dxa"/>
            <w:noWrap/>
            <w:vAlign w:val="center"/>
          </w:tcPr>
          <w:p w:rsidR="00EE56C0" w:rsidRDefault="000F36A1">
            <w:pPr>
              <w:pStyle w:val="afa"/>
            </w:pPr>
            <w:r>
              <w:rPr>
                <w:rFonts w:hint="eastAsia"/>
              </w:rPr>
              <w:t>温度</w:t>
            </w:r>
            <w:r>
              <w:t>(</w:t>
            </w:r>
            <w:r>
              <w:rPr>
                <w:rFonts w:ascii="宋体" w:hAnsi="宋体" w:cs="宋体" w:hint="eastAsia"/>
              </w:rPr>
              <w:t>℃</w:t>
            </w:r>
            <w:r>
              <w:t>)</w:t>
            </w:r>
          </w:p>
        </w:tc>
        <w:tc>
          <w:tcPr>
            <w:tcW w:w="593" w:type="dxa"/>
            <w:noWrap/>
            <w:vAlign w:val="center"/>
          </w:tcPr>
          <w:p w:rsidR="00EE56C0" w:rsidRDefault="000F36A1">
            <w:pPr>
              <w:pStyle w:val="afa"/>
            </w:pPr>
            <w:r>
              <w:t>1.26</w:t>
            </w:r>
          </w:p>
        </w:tc>
        <w:tc>
          <w:tcPr>
            <w:tcW w:w="589" w:type="dxa"/>
            <w:noWrap/>
            <w:vAlign w:val="center"/>
          </w:tcPr>
          <w:p w:rsidR="00EE56C0" w:rsidRDefault="000F36A1">
            <w:pPr>
              <w:pStyle w:val="afa"/>
            </w:pPr>
            <w:r>
              <w:t>2.43</w:t>
            </w:r>
          </w:p>
        </w:tc>
        <w:tc>
          <w:tcPr>
            <w:tcW w:w="709" w:type="dxa"/>
            <w:noWrap/>
            <w:vAlign w:val="center"/>
          </w:tcPr>
          <w:p w:rsidR="00EE56C0" w:rsidRDefault="000F36A1">
            <w:pPr>
              <w:pStyle w:val="afa"/>
            </w:pPr>
            <w:r>
              <w:t>12.61</w:t>
            </w:r>
          </w:p>
        </w:tc>
        <w:tc>
          <w:tcPr>
            <w:tcW w:w="709" w:type="dxa"/>
            <w:noWrap/>
            <w:vAlign w:val="center"/>
          </w:tcPr>
          <w:p w:rsidR="00EE56C0" w:rsidRDefault="000F36A1">
            <w:pPr>
              <w:pStyle w:val="afa"/>
            </w:pPr>
            <w:r>
              <w:t>16.18</w:t>
            </w:r>
          </w:p>
        </w:tc>
        <w:tc>
          <w:tcPr>
            <w:tcW w:w="708" w:type="dxa"/>
            <w:noWrap/>
            <w:vAlign w:val="center"/>
          </w:tcPr>
          <w:p w:rsidR="00EE56C0" w:rsidRDefault="000F36A1">
            <w:pPr>
              <w:pStyle w:val="afa"/>
            </w:pPr>
            <w:r>
              <w:t>23.50</w:t>
            </w:r>
          </w:p>
        </w:tc>
        <w:tc>
          <w:tcPr>
            <w:tcW w:w="769" w:type="dxa"/>
            <w:noWrap/>
            <w:vAlign w:val="center"/>
          </w:tcPr>
          <w:p w:rsidR="00EE56C0" w:rsidRDefault="000F36A1">
            <w:pPr>
              <w:pStyle w:val="afa"/>
            </w:pPr>
            <w:r>
              <w:t>28.93</w:t>
            </w:r>
          </w:p>
        </w:tc>
        <w:tc>
          <w:tcPr>
            <w:tcW w:w="708" w:type="dxa"/>
            <w:noWrap/>
            <w:vAlign w:val="center"/>
          </w:tcPr>
          <w:p w:rsidR="00EE56C0" w:rsidRDefault="000F36A1">
            <w:pPr>
              <w:pStyle w:val="afa"/>
            </w:pPr>
            <w:r>
              <w:t>29.60</w:t>
            </w:r>
          </w:p>
        </w:tc>
        <w:tc>
          <w:tcPr>
            <w:tcW w:w="689" w:type="dxa"/>
            <w:noWrap/>
            <w:vAlign w:val="center"/>
          </w:tcPr>
          <w:p w:rsidR="00EE56C0" w:rsidRDefault="000F36A1">
            <w:pPr>
              <w:pStyle w:val="afa"/>
            </w:pPr>
            <w:r>
              <w:t>27.05</w:t>
            </w:r>
          </w:p>
        </w:tc>
        <w:tc>
          <w:tcPr>
            <w:tcW w:w="696" w:type="dxa"/>
            <w:noWrap/>
            <w:vAlign w:val="center"/>
          </w:tcPr>
          <w:p w:rsidR="00EE56C0" w:rsidRDefault="000F36A1">
            <w:pPr>
              <w:pStyle w:val="afa"/>
            </w:pPr>
            <w:r>
              <w:t>23.05</w:t>
            </w:r>
          </w:p>
        </w:tc>
        <w:tc>
          <w:tcPr>
            <w:tcW w:w="689" w:type="dxa"/>
            <w:noWrap/>
            <w:vAlign w:val="center"/>
          </w:tcPr>
          <w:p w:rsidR="00EE56C0" w:rsidRDefault="000F36A1">
            <w:pPr>
              <w:pStyle w:val="afa"/>
            </w:pPr>
            <w:r>
              <w:t>16.51</w:t>
            </w:r>
          </w:p>
        </w:tc>
        <w:tc>
          <w:tcPr>
            <w:tcW w:w="807" w:type="dxa"/>
            <w:noWrap/>
            <w:vAlign w:val="center"/>
          </w:tcPr>
          <w:p w:rsidR="00EE56C0" w:rsidRDefault="000F36A1">
            <w:pPr>
              <w:pStyle w:val="afa"/>
            </w:pPr>
            <w:r>
              <w:t>10.32</w:t>
            </w:r>
          </w:p>
        </w:tc>
        <w:tc>
          <w:tcPr>
            <w:tcW w:w="671" w:type="dxa"/>
            <w:noWrap/>
            <w:vAlign w:val="center"/>
          </w:tcPr>
          <w:p w:rsidR="00EE56C0" w:rsidRDefault="000F36A1">
            <w:pPr>
              <w:pStyle w:val="afa"/>
            </w:pPr>
            <w:r>
              <w:t>3.58</w:t>
            </w:r>
          </w:p>
        </w:tc>
      </w:tr>
    </w:tbl>
    <w:p w:rsidR="00EE56C0" w:rsidRDefault="000F36A1">
      <w:pPr>
        <w:ind w:firstLine="480"/>
      </w:pPr>
      <w:r>
        <w:rPr>
          <w:rFonts w:hint="eastAsia"/>
        </w:rPr>
        <w:t>由表可见：该地</w:t>
      </w:r>
      <w:r>
        <w:t>201</w:t>
      </w:r>
      <w:r>
        <w:rPr>
          <w:rFonts w:hint="eastAsia"/>
        </w:rPr>
        <w:t>9</w:t>
      </w:r>
      <w:r>
        <w:rPr>
          <w:rFonts w:hint="eastAsia"/>
        </w:rPr>
        <w:t>年平均气温</w:t>
      </w:r>
      <w:r>
        <w:rPr>
          <w:rFonts w:hint="eastAsia"/>
        </w:rPr>
        <w:t>16.33</w:t>
      </w:r>
      <w:r>
        <w:rPr>
          <w:rFonts w:hint="eastAsia"/>
        </w:rPr>
        <w:t>℃。其中</w:t>
      </w:r>
      <w:r>
        <w:t>11</w:t>
      </w:r>
      <w:r>
        <w:rPr>
          <w:rFonts w:hint="eastAsia"/>
        </w:rPr>
        <w:t>月至</w:t>
      </w:r>
      <w:r>
        <w:rPr>
          <w:rFonts w:hint="eastAsia"/>
        </w:rPr>
        <w:t>4</w:t>
      </w:r>
      <w:r>
        <w:rPr>
          <w:rFonts w:hint="eastAsia"/>
        </w:rPr>
        <w:t>月份的平均气温在年均值以下，以</w:t>
      </w:r>
      <w:r>
        <w:t>1</w:t>
      </w:r>
      <w:r>
        <w:rPr>
          <w:rFonts w:hint="eastAsia"/>
        </w:rPr>
        <w:t>月份最低，</w:t>
      </w:r>
      <w:r>
        <w:t>4</w:t>
      </w:r>
      <w:r>
        <w:rPr>
          <w:rFonts w:hint="eastAsia"/>
        </w:rPr>
        <w:t>月至</w:t>
      </w:r>
      <w:r>
        <w:t>10</w:t>
      </w:r>
      <w:r>
        <w:rPr>
          <w:rFonts w:hint="eastAsia"/>
        </w:rPr>
        <w:t>月份的平均气温在年均值以上，以</w:t>
      </w:r>
      <w:r>
        <w:t>7</w:t>
      </w:r>
      <w:r>
        <w:rPr>
          <w:rFonts w:hint="eastAsia"/>
        </w:rPr>
        <w:t>月份最高。</w:t>
      </w:r>
    </w:p>
    <w:p w:rsidR="00EE56C0" w:rsidRDefault="000F36A1">
      <w:pPr>
        <w:ind w:firstLine="480"/>
      </w:pPr>
      <w:r>
        <w:rPr>
          <w:rFonts w:hint="eastAsia"/>
        </w:rPr>
        <w:t>（</w:t>
      </w:r>
      <w:r>
        <w:t>2</w:t>
      </w:r>
      <w:r>
        <w:rPr>
          <w:rFonts w:hint="eastAsia"/>
        </w:rPr>
        <w:t>）风速</w:t>
      </w:r>
    </w:p>
    <w:p w:rsidR="00EE56C0" w:rsidRDefault="000F36A1">
      <w:pPr>
        <w:ind w:firstLine="480"/>
      </w:pPr>
      <w:r>
        <w:rPr>
          <w:rFonts w:hint="eastAsia"/>
        </w:rPr>
        <w:t>地面风速资料采用新乡气象观测站电接风每日</w:t>
      </w:r>
      <w:r>
        <w:t>4</w:t>
      </w:r>
      <w:r>
        <w:rPr>
          <w:rFonts w:hint="eastAsia"/>
        </w:rPr>
        <w:t>次自记记录资料，该地</w:t>
      </w:r>
      <w:r>
        <w:t>201</w:t>
      </w:r>
      <w:r>
        <w:rPr>
          <w:rFonts w:hint="eastAsia"/>
        </w:rPr>
        <w:t>9</w:t>
      </w:r>
      <w:r>
        <w:rPr>
          <w:rFonts w:hint="eastAsia"/>
        </w:rPr>
        <w:lastRenderedPageBreak/>
        <w:t>年平均风速</w:t>
      </w:r>
      <w:r>
        <w:rPr>
          <w:rFonts w:hint="eastAsia"/>
        </w:rPr>
        <w:t>2.02</w:t>
      </w:r>
      <w:r>
        <w:t>m/s</w:t>
      </w:r>
      <w:r>
        <w:rPr>
          <w:rFonts w:hint="eastAsia"/>
        </w:rPr>
        <w:t>。将</w:t>
      </w:r>
      <w:r>
        <w:t>201</w:t>
      </w:r>
      <w:r>
        <w:rPr>
          <w:rFonts w:hint="eastAsia"/>
        </w:rPr>
        <w:t>9</w:t>
      </w:r>
      <w:r>
        <w:rPr>
          <w:rFonts w:hint="eastAsia"/>
        </w:rPr>
        <w:t>年及各月平均风速统计结果分别列在表</w:t>
      </w:r>
      <w:r>
        <w:rPr>
          <w:rFonts w:hint="eastAsia"/>
        </w:rPr>
        <w:t>5-6</w:t>
      </w:r>
      <w:r>
        <w:rPr>
          <w:rFonts w:hint="eastAsia"/>
        </w:rPr>
        <w:t>。</w:t>
      </w:r>
    </w:p>
    <w:p w:rsidR="00EE56C0" w:rsidRDefault="000F36A1">
      <w:pPr>
        <w:pStyle w:val="afd"/>
        <w:spacing w:before="120" w:after="120"/>
        <w:ind w:firstLine="482"/>
      </w:pPr>
      <w:r>
        <w:rPr>
          <w:rFonts w:hint="eastAsia"/>
        </w:rPr>
        <w:t>表</w:t>
      </w:r>
      <w:r>
        <w:rPr>
          <w:rFonts w:hint="eastAsia"/>
        </w:rPr>
        <w:t>5</w:t>
      </w:r>
      <w:r>
        <w:t>-</w:t>
      </w:r>
      <w:r>
        <w:rPr>
          <w:rFonts w:hint="eastAsia"/>
        </w:rPr>
        <w:t>6</w:t>
      </w:r>
      <w:r>
        <w:t xml:space="preserve">             201</w:t>
      </w:r>
      <w:r>
        <w:rPr>
          <w:rFonts w:hint="eastAsia"/>
        </w:rPr>
        <w:t>9</w:t>
      </w:r>
      <w:r>
        <w:rPr>
          <w:rFonts w:hint="eastAsia"/>
        </w:rPr>
        <w:t>年及各月平均风速（</w:t>
      </w:r>
      <w:r>
        <w:t>m/s</w:t>
      </w:r>
      <w:r>
        <w:rPr>
          <w:rFonts w:hint="eastAsia"/>
        </w:rPr>
        <w:t>）</w:t>
      </w:r>
    </w:p>
    <w:tbl>
      <w:tblPr>
        <w:tblW w:w="5113"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1080"/>
        <w:gridCol w:w="597"/>
        <w:gridCol w:w="619"/>
        <w:gridCol w:w="616"/>
        <w:gridCol w:w="616"/>
        <w:gridCol w:w="585"/>
        <w:gridCol w:w="670"/>
        <w:gridCol w:w="586"/>
        <w:gridCol w:w="694"/>
        <w:gridCol w:w="598"/>
        <w:gridCol w:w="691"/>
        <w:gridCol w:w="679"/>
        <w:gridCol w:w="691"/>
      </w:tblGrid>
      <w:tr w:rsidR="00EE56C0">
        <w:trPr>
          <w:trHeight w:val="510"/>
          <w:jc w:val="center"/>
        </w:trPr>
        <w:tc>
          <w:tcPr>
            <w:tcW w:w="619" w:type="pct"/>
            <w:shd w:val="clear" w:color="auto" w:fill="auto"/>
            <w:noWrap/>
            <w:vAlign w:val="center"/>
          </w:tcPr>
          <w:p w:rsidR="00EE56C0" w:rsidRDefault="000F36A1">
            <w:pPr>
              <w:pStyle w:val="aff1"/>
              <w:rPr>
                <w:sz w:val="24"/>
              </w:rPr>
            </w:pPr>
            <w:r>
              <w:rPr>
                <w:rFonts w:hint="eastAsia"/>
              </w:rPr>
              <w:t>月份</w:t>
            </w:r>
          </w:p>
        </w:tc>
        <w:tc>
          <w:tcPr>
            <w:tcW w:w="342" w:type="pct"/>
            <w:shd w:val="clear" w:color="auto" w:fill="auto"/>
            <w:noWrap/>
            <w:vAlign w:val="center"/>
          </w:tcPr>
          <w:p w:rsidR="00EE56C0" w:rsidRDefault="000F36A1">
            <w:pPr>
              <w:pStyle w:val="aff1"/>
              <w:rPr>
                <w:sz w:val="24"/>
              </w:rPr>
            </w:pPr>
            <w:r>
              <w:t>1</w:t>
            </w:r>
            <w:r>
              <w:rPr>
                <w:rFonts w:hint="eastAsia"/>
              </w:rPr>
              <w:t>月</w:t>
            </w:r>
          </w:p>
        </w:tc>
        <w:tc>
          <w:tcPr>
            <w:tcW w:w="355" w:type="pct"/>
            <w:shd w:val="clear" w:color="auto" w:fill="auto"/>
            <w:noWrap/>
            <w:vAlign w:val="center"/>
          </w:tcPr>
          <w:p w:rsidR="00EE56C0" w:rsidRDefault="000F36A1">
            <w:pPr>
              <w:pStyle w:val="aff1"/>
              <w:rPr>
                <w:sz w:val="24"/>
              </w:rPr>
            </w:pPr>
            <w:r>
              <w:t>2</w:t>
            </w:r>
            <w:r>
              <w:rPr>
                <w:rFonts w:hint="eastAsia"/>
              </w:rPr>
              <w:t>月</w:t>
            </w:r>
          </w:p>
        </w:tc>
        <w:tc>
          <w:tcPr>
            <w:tcW w:w="353" w:type="pct"/>
            <w:shd w:val="clear" w:color="auto" w:fill="auto"/>
            <w:noWrap/>
            <w:vAlign w:val="center"/>
          </w:tcPr>
          <w:p w:rsidR="00EE56C0" w:rsidRDefault="000F36A1">
            <w:pPr>
              <w:pStyle w:val="aff1"/>
              <w:rPr>
                <w:sz w:val="24"/>
              </w:rPr>
            </w:pPr>
            <w:r>
              <w:t>3</w:t>
            </w:r>
            <w:r>
              <w:rPr>
                <w:rFonts w:hint="eastAsia"/>
              </w:rPr>
              <w:t>月</w:t>
            </w:r>
          </w:p>
        </w:tc>
        <w:tc>
          <w:tcPr>
            <w:tcW w:w="353" w:type="pct"/>
            <w:shd w:val="clear" w:color="auto" w:fill="auto"/>
            <w:noWrap/>
            <w:vAlign w:val="center"/>
          </w:tcPr>
          <w:p w:rsidR="00EE56C0" w:rsidRDefault="000F36A1">
            <w:pPr>
              <w:pStyle w:val="aff1"/>
              <w:rPr>
                <w:sz w:val="24"/>
              </w:rPr>
            </w:pPr>
            <w:r>
              <w:t>4</w:t>
            </w:r>
            <w:r>
              <w:rPr>
                <w:rFonts w:hint="eastAsia"/>
              </w:rPr>
              <w:t>月</w:t>
            </w:r>
          </w:p>
        </w:tc>
        <w:tc>
          <w:tcPr>
            <w:tcW w:w="335" w:type="pct"/>
            <w:shd w:val="clear" w:color="auto" w:fill="auto"/>
            <w:noWrap/>
            <w:vAlign w:val="center"/>
          </w:tcPr>
          <w:p w:rsidR="00EE56C0" w:rsidRDefault="000F36A1">
            <w:pPr>
              <w:pStyle w:val="aff1"/>
              <w:rPr>
                <w:sz w:val="24"/>
              </w:rPr>
            </w:pPr>
            <w:r>
              <w:t>5</w:t>
            </w:r>
            <w:r>
              <w:rPr>
                <w:rFonts w:hint="eastAsia"/>
              </w:rPr>
              <w:t>月</w:t>
            </w:r>
          </w:p>
        </w:tc>
        <w:tc>
          <w:tcPr>
            <w:tcW w:w="384" w:type="pct"/>
            <w:shd w:val="clear" w:color="auto" w:fill="auto"/>
            <w:noWrap/>
            <w:vAlign w:val="center"/>
          </w:tcPr>
          <w:p w:rsidR="00EE56C0" w:rsidRDefault="000F36A1">
            <w:pPr>
              <w:pStyle w:val="aff1"/>
              <w:rPr>
                <w:sz w:val="24"/>
              </w:rPr>
            </w:pPr>
            <w:r>
              <w:t>6</w:t>
            </w:r>
            <w:r>
              <w:rPr>
                <w:rFonts w:hint="eastAsia"/>
              </w:rPr>
              <w:t>月</w:t>
            </w:r>
          </w:p>
        </w:tc>
        <w:tc>
          <w:tcPr>
            <w:tcW w:w="336" w:type="pct"/>
            <w:shd w:val="clear" w:color="auto" w:fill="auto"/>
            <w:noWrap/>
            <w:vAlign w:val="center"/>
          </w:tcPr>
          <w:p w:rsidR="00EE56C0" w:rsidRDefault="000F36A1">
            <w:pPr>
              <w:pStyle w:val="aff1"/>
              <w:rPr>
                <w:sz w:val="24"/>
              </w:rPr>
            </w:pPr>
            <w:r>
              <w:t>7</w:t>
            </w:r>
            <w:r>
              <w:rPr>
                <w:rFonts w:hint="eastAsia"/>
              </w:rPr>
              <w:t>月</w:t>
            </w:r>
          </w:p>
        </w:tc>
        <w:tc>
          <w:tcPr>
            <w:tcW w:w="398" w:type="pct"/>
            <w:shd w:val="clear" w:color="auto" w:fill="auto"/>
            <w:noWrap/>
            <w:vAlign w:val="center"/>
          </w:tcPr>
          <w:p w:rsidR="00EE56C0" w:rsidRDefault="000F36A1">
            <w:pPr>
              <w:pStyle w:val="aff1"/>
              <w:rPr>
                <w:sz w:val="24"/>
              </w:rPr>
            </w:pPr>
            <w:r>
              <w:t>8</w:t>
            </w:r>
            <w:r>
              <w:rPr>
                <w:rFonts w:hint="eastAsia"/>
              </w:rPr>
              <w:t>月</w:t>
            </w:r>
          </w:p>
        </w:tc>
        <w:tc>
          <w:tcPr>
            <w:tcW w:w="343" w:type="pct"/>
            <w:shd w:val="clear" w:color="auto" w:fill="auto"/>
            <w:noWrap/>
            <w:vAlign w:val="center"/>
          </w:tcPr>
          <w:p w:rsidR="00EE56C0" w:rsidRDefault="000F36A1">
            <w:pPr>
              <w:pStyle w:val="aff1"/>
              <w:rPr>
                <w:sz w:val="24"/>
              </w:rPr>
            </w:pPr>
            <w:r>
              <w:t>9</w:t>
            </w:r>
            <w:r>
              <w:rPr>
                <w:rFonts w:hint="eastAsia"/>
              </w:rPr>
              <w:t>月</w:t>
            </w:r>
          </w:p>
        </w:tc>
        <w:tc>
          <w:tcPr>
            <w:tcW w:w="396" w:type="pct"/>
            <w:shd w:val="clear" w:color="auto" w:fill="auto"/>
            <w:noWrap/>
            <w:vAlign w:val="center"/>
          </w:tcPr>
          <w:p w:rsidR="00EE56C0" w:rsidRDefault="000F36A1">
            <w:pPr>
              <w:pStyle w:val="aff1"/>
              <w:rPr>
                <w:sz w:val="24"/>
              </w:rPr>
            </w:pPr>
            <w:r>
              <w:t>10</w:t>
            </w:r>
            <w:r>
              <w:rPr>
                <w:rFonts w:hint="eastAsia"/>
              </w:rPr>
              <w:t>月</w:t>
            </w:r>
          </w:p>
        </w:tc>
        <w:tc>
          <w:tcPr>
            <w:tcW w:w="389" w:type="pct"/>
            <w:shd w:val="clear" w:color="auto" w:fill="auto"/>
            <w:noWrap/>
            <w:vAlign w:val="center"/>
          </w:tcPr>
          <w:p w:rsidR="00EE56C0" w:rsidRDefault="000F36A1">
            <w:pPr>
              <w:pStyle w:val="aff1"/>
              <w:rPr>
                <w:sz w:val="24"/>
              </w:rPr>
            </w:pPr>
            <w:r>
              <w:t>11</w:t>
            </w:r>
            <w:r>
              <w:rPr>
                <w:rFonts w:hint="eastAsia"/>
              </w:rPr>
              <w:t>月</w:t>
            </w:r>
          </w:p>
        </w:tc>
        <w:tc>
          <w:tcPr>
            <w:tcW w:w="396" w:type="pct"/>
            <w:shd w:val="clear" w:color="auto" w:fill="auto"/>
            <w:noWrap/>
            <w:vAlign w:val="center"/>
          </w:tcPr>
          <w:p w:rsidR="00EE56C0" w:rsidRDefault="000F36A1">
            <w:pPr>
              <w:pStyle w:val="aff1"/>
              <w:rPr>
                <w:sz w:val="24"/>
              </w:rPr>
            </w:pPr>
            <w:r>
              <w:t>12</w:t>
            </w:r>
            <w:r>
              <w:rPr>
                <w:rFonts w:hint="eastAsia"/>
              </w:rPr>
              <w:t>月</w:t>
            </w:r>
          </w:p>
        </w:tc>
      </w:tr>
      <w:tr w:rsidR="00EE56C0">
        <w:trPr>
          <w:trHeight w:val="510"/>
          <w:jc w:val="center"/>
        </w:trPr>
        <w:tc>
          <w:tcPr>
            <w:tcW w:w="619" w:type="pct"/>
            <w:shd w:val="clear" w:color="auto" w:fill="auto"/>
            <w:noWrap/>
            <w:vAlign w:val="center"/>
          </w:tcPr>
          <w:p w:rsidR="00EE56C0" w:rsidRDefault="000F36A1">
            <w:pPr>
              <w:pStyle w:val="afa"/>
              <w:rPr>
                <w:sz w:val="24"/>
              </w:rPr>
            </w:pPr>
            <w:r>
              <w:rPr>
                <w:rFonts w:hint="eastAsia"/>
              </w:rPr>
              <w:t>风速</w:t>
            </w:r>
            <w:r>
              <w:t>(m/s)</w:t>
            </w:r>
          </w:p>
        </w:tc>
        <w:tc>
          <w:tcPr>
            <w:tcW w:w="342" w:type="pct"/>
            <w:shd w:val="clear" w:color="auto" w:fill="auto"/>
            <w:noWrap/>
            <w:vAlign w:val="center"/>
          </w:tcPr>
          <w:p w:rsidR="00EE56C0" w:rsidRDefault="000F36A1">
            <w:pPr>
              <w:pStyle w:val="afa"/>
            </w:pPr>
            <w:r>
              <w:t>1.71</w:t>
            </w:r>
          </w:p>
        </w:tc>
        <w:tc>
          <w:tcPr>
            <w:tcW w:w="355" w:type="pct"/>
            <w:shd w:val="clear" w:color="auto" w:fill="auto"/>
            <w:noWrap/>
            <w:vAlign w:val="center"/>
          </w:tcPr>
          <w:p w:rsidR="00EE56C0" w:rsidRDefault="000F36A1">
            <w:pPr>
              <w:pStyle w:val="afa"/>
            </w:pPr>
            <w:r>
              <w:t>2.01</w:t>
            </w:r>
          </w:p>
        </w:tc>
        <w:tc>
          <w:tcPr>
            <w:tcW w:w="353" w:type="pct"/>
            <w:shd w:val="clear" w:color="auto" w:fill="auto"/>
            <w:noWrap/>
            <w:vAlign w:val="center"/>
          </w:tcPr>
          <w:p w:rsidR="00EE56C0" w:rsidRDefault="000F36A1">
            <w:pPr>
              <w:pStyle w:val="afa"/>
            </w:pPr>
            <w:r>
              <w:t>2.28</w:t>
            </w:r>
          </w:p>
        </w:tc>
        <w:tc>
          <w:tcPr>
            <w:tcW w:w="353" w:type="pct"/>
            <w:shd w:val="clear" w:color="auto" w:fill="auto"/>
            <w:noWrap/>
            <w:vAlign w:val="center"/>
          </w:tcPr>
          <w:p w:rsidR="00EE56C0" w:rsidRDefault="000F36A1">
            <w:pPr>
              <w:pStyle w:val="afa"/>
            </w:pPr>
            <w:r>
              <w:t>2.58</w:t>
            </w:r>
          </w:p>
        </w:tc>
        <w:tc>
          <w:tcPr>
            <w:tcW w:w="335" w:type="pct"/>
            <w:shd w:val="clear" w:color="auto" w:fill="auto"/>
            <w:noWrap/>
            <w:vAlign w:val="center"/>
          </w:tcPr>
          <w:p w:rsidR="00EE56C0" w:rsidRDefault="000F36A1">
            <w:pPr>
              <w:pStyle w:val="afa"/>
            </w:pPr>
            <w:r>
              <w:t>2.46</w:t>
            </w:r>
          </w:p>
        </w:tc>
        <w:tc>
          <w:tcPr>
            <w:tcW w:w="384" w:type="pct"/>
            <w:shd w:val="clear" w:color="auto" w:fill="auto"/>
            <w:noWrap/>
            <w:vAlign w:val="center"/>
          </w:tcPr>
          <w:p w:rsidR="00EE56C0" w:rsidRDefault="000F36A1">
            <w:pPr>
              <w:pStyle w:val="afa"/>
            </w:pPr>
            <w:r>
              <w:t>2.22</w:t>
            </w:r>
          </w:p>
        </w:tc>
        <w:tc>
          <w:tcPr>
            <w:tcW w:w="336" w:type="pct"/>
            <w:shd w:val="clear" w:color="auto" w:fill="auto"/>
            <w:noWrap/>
            <w:vAlign w:val="center"/>
          </w:tcPr>
          <w:p w:rsidR="00EE56C0" w:rsidRDefault="000F36A1">
            <w:pPr>
              <w:pStyle w:val="afa"/>
            </w:pPr>
            <w:r>
              <w:t>2.02</w:t>
            </w:r>
          </w:p>
        </w:tc>
        <w:tc>
          <w:tcPr>
            <w:tcW w:w="398" w:type="pct"/>
            <w:shd w:val="clear" w:color="auto" w:fill="auto"/>
            <w:noWrap/>
            <w:vAlign w:val="center"/>
          </w:tcPr>
          <w:p w:rsidR="00EE56C0" w:rsidRDefault="000F36A1">
            <w:pPr>
              <w:pStyle w:val="afa"/>
            </w:pPr>
            <w:r>
              <w:t>1.91</w:t>
            </w:r>
          </w:p>
        </w:tc>
        <w:tc>
          <w:tcPr>
            <w:tcW w:w="343" w:type="pct"/>
            <w:shd w:val="clear" w:color="auto" w:fill="auto"/>
            <w:noWrap/>
            <w:vAlign w:val="center"/>
          </w:tcPr>
          <w:p w:rsidR="00EE56C0" w:rsidRDefault="000F36A1">
            <w:pPr>
              <w:pStyle w:val="afa"/>
            </w:pPr>
            <w:r>
              <w:t>1.62</w:t>
            </w:r>
          </w:p>
        </w:tc>
        <w:tc>
          <w:tcPr>
            <w:tcW w:w="396" w:type="pct"/>
            <w:shd w:val="clear" w:color="auto" w:fill="auto"/>
            <w:noWrap/>
            <w:vAlign w:val="center"/>
          </w:tcPr>
          <w:p w:rsidR="00EE56C0" w:rsidRDefault="000F36A1">
            <w:pPr>
              <w:pStyle w:val="afa"/>
            </w:pPr>
            <w:r>
              <w:t>1.71</w:t>
            </w:r>
          </w:p>
        </w:tc>
        <w:tc>
          <w:tcPr>
            <w:tcW w:w="389" w:type="pct"/>
            <w:shd w:val="clear" w:color="auto" w:fill="auto"/>
            <w:noWrap/>
            <w:vAlign w:val="center"/>
          </w:tcPr>
          <w:p w:rsidR="00EE56C0" w:rsidRDefault="000F36A1">
            <w:pPr>
              <w:pStyle w:val="afa"/>
            </w:pPr>
            <w:r>
              <w:t>1.74</w:t>
            </w:r>
          </w:p>
        </w:tc>
        <w:tc>
          <w:tcPr>
            <w:tcW w:w="396" w:type="pct"/>
            <w:shd w:val="clear" w:color="auto" w:fill="auto"/>
            <w:noWrap/>
            <w:vAlign w:val="center"/>
          </w:tcPr>
          <w:p w:rsidR="00EE56C0" w:rsidRDefault="000F36A1">
            <w:pPr>
              <w:pStyle w:val="afa"/>
            </w:pPr>
            <w:r>
              <w:t>1.93</w:t>
            </w:r>
          </w:p>
        </w:tc>
      </w:tr>
    </w:tbl>
    <w:p w:rsidR="00EE56C0" w:rsidRDefault="000F36A1">
      <w:pPr>
        <w:ind w:firstLine="480"/>
      </w:pPr>
      <w:r>
        <w:rPr>
          <w:rFonts w:hint="eastAsia"/>
        </w:rPr>
        <w:t>（</w:t>
      </w:r>
      <w:r>
        <w:rPr>
          <w:rFonts w:hint="eastAsia"/>
        </w:rPr>
        <w:t>3</w:t>
      </w:r>
      <w:r>
        <w:rPr>
          <w:rFonts w:hint="eastAsia"/>
        </w:rPr>
        <w:t>）风向、风频</w:t>
      </w:r>
    </w:p>
    <w:p w:rsidR="00EE56C0" w:rsidRDefault="000F36A1">
      <w:pPr>
        <w:ind w:firstLine="480"/>
      </w:pPr>
      <w:r>
        <w:rPr>
          <w:rFonts w:hint="eastAsia"/>
        </w:rPr>
        <w:t>根据</w:t>
      </w:r>
      <w:r>
        <w:rPr>
          <w:rFonts w:hint="eastAsia"/>
          <w:snapToGrid w:val="0"/>
        </w:rPr>
        <w:t>新乡</w:t>
      </w:r>
      <w:r>
        <w:rPr>
          <w:rFonts w:hint="eastAsia"/>
        </w:rPr>
        <w:t>气象观测站电接风自记记录资料统计各月各风向出现频率结果见表</w:t>
      </w:r>
      <w:r>
        <w:rPr>
          <w:rFonts w:hint="eastAsia"/>
        </w:rPr>
        <w:t>5</w:t>
      </w:r>
      <w:r>
        <w:t>-</w:t>
      </w:r>
      <w:r>
        <w:rPr>
          <w:rFonts w:hint="eastAsia"/>
        </w:rPr>
        <w:t>7</w:t>
      </w:r>
      <w:r>
        <w:rPr>
          <w:rFonts w:hint="eastAsia"/>
        </w:rPr>
        <w:t>，各季各风向频率统计结果见表</w:t>
      </w:r>
      <w:r>
        <w:rPr>
          <w:rFonts w:hint="eastAsia"/>
        </w:rPr>
        <w:t>5-8</w:t>
      </w:r>
      <w:r>
        <w:rPr>
          <w:rFonts w:hint="eastAsia"/>
        </w:rPr>
        <w:t>。全年及各季风向频率图见图</w:t>
      </w:r>
      <w:r>
        <w:rPr>
          <w:rFonts w:hint="eastAsia"/>
        </w:rPr>
        <w:t>5</w:t>
      </w:r>
      <w:r>
        <w:t>-</w:t>
      </w:r>
      <w:r>
        <w:rPr>
          <w:rFonts w:hint="eastAsia"/>
        </w:rPr>
        <w:t>10</w:t>
      </w:r>
      <w:r>
        <w:rPr>
          <w:rFonts w:hint="eastAsia"/>
        </w:rPr>
        <w:t>。</w:t>
      </w:r>
    </w:p>
    <w:p w:rsidR="00EE56C0" w:rsidRDefault="000F36A1">
      <w:pPr>
        <w:pStyle w:val="afd"/>
        <w:spacing w:before="120" w:after="120"/>
        <w:ind w:firstLine="482"/>
      </w:pPr>
      <w:r>
        <w:rPr>
          <w:rFonts w:hint="eastAsia"/>
        </w:rPr>
        <w:t>表</w:t>
      </w:r>
      <w:r>
        <w:rPr>
          <w:rFonts w:hint="eastAsia"/>
        </w:rPr>
        <w:t>5-7</w:t>
      </w:r>
      <w:r>
        <w:rPr>
          <w:rFonts w:hint="eastAsia"/>
        </w:rPr>
        <w:t>各月各风向出现频率</w:t>
      </w:r>
      <w:r>
        <w:t>(%)</w:t>
      </w:r>
    </w:p>
    <w:tbl>
      <w:tblPr>
        <w:tblW w:w="5308"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CellMar>
          <w:left w:w="0" w:type="dxa"/>
          <w:right w:w="0" w:type="dxa"/>
        </w:tblCellMar>
        <w:tblLook w:val="04A0"/>
      </w:tblPr>
      <w:tblGrid>
        <w:gridCol w:w="593"/>
        <w:gridCol w:w="410"/>
        <w:gridCol w:w="487"/>
        <w:gridCol w:w="518"/>
        <w:gridCol w:w="518"/>
        <w:gridCol w:w="518"/>
        <w:gridCol w:w="437"/>
        <w:gridCol w:w="406"/>
        <w:gridCol w:w="413"/>
        <w:gridCol w:w="518"/>
        <w:gridCol w:w="518"/>
        <w:gridCol w:w="518"/>
        <w:gridCol w:w="586"/>
        <w:gridCol w:w="406"/>
        <w:gridCol w:w="623"/>
        <w:gridCol w:w="406"/>
        <w:gridCol w:w="561"/>
        <w:gridCol w:w="410"/>
      </w:tblGrid>
      <w:tr w:rsidR="00EE56C0">
        <w:trPr>
          <w:trHeight w:val="369"/>
          <w:jc w:val="center"/>
        </w:trPr>
        <w:tc>
          <w:tcPr>
            <w:tcW w:w="335" w:type="pct"/>
            <w:vAlign w:val="center"/>
          </w:tcPr>
          <w:p w:rsidR="00EE56C0" w:rsidRDefault="000F36A1">
            <w:pPr>
              <w:pStyle w:val="aff1"/>
            </w:pPr>
            <w:r>
              <w:rPr>
                <w:rFonts w:hint="eastAsia"/>
              </w:rPr>
              <w:t>风向</w:t>
            </w:r>
          </w:p>
          <w:p w:rsidR="00EE56C0" w:rsidRDefault="000F36A1">
            <w:pPr>
              <w:pStyle w:val="aff1"/>
            </w:pPr>
            <w:r>
              <w:rPr>
                <w:rFonts w:hint="eastAsia"/>
              </w:rPr>
              <w:t>月份</w:t>
            </w:r>
          </w:p>
        </w:tc>
        <w:tc>
          <w:tcPr>
            <w:tcW w:w="232" w:type="pct"/>
            <w:vAlign w:val="center"/>
          </w:tcPr>
          <w:p w:rsidR="00EE56C0" w:rsidRDefault="000F36A1">
            <w:pPr>
              <w:pStyle w:val="aff1"/>
            </w:pPr>
            <w:r>
              <w:t>N</w:t>
            </w:r>
          </w:p>
        </w:tc>
        <w:tc>
          <w:tcPr>
            <w:tcW w:w="0" w:type="auto"/>
            <w:vAlign w:val="center"/>
          </w:tcPr>
          <w:p w:rsidR="00EE56C0" w:rsidRDefault="000F36A1">
            <w:pPr>
              <w:pStyle w:val="aff1"/>
            </w:pPr>
            <w:r>
              <w:t>NNE</w:t>
            </w:r>
          </w:p>
        </w:tc>
        <w:tc>
          <w:tcPr>
            <w:tcW w:w="0" w:type="auto"/>
            <w:vAlign w:val="center"/>
          </w:tcPr>
          <w:p w:rsidR="00EE56C0" w:rsidRDefault="000F36A1">
            <w:pPr>
              <w:pStyle w:val="aff1"/>
            </w:pPr>
            <w:r>
              <w:t>NE</w:t>
            </w:r>
          </w:p>
        </w:tc>
        <w:tc>
          <w:tcPr>
            <w:tcW w:w="0" w:type="auto"/>
            <w:vAlign w:val="center"/>
          </w:tcPr>
          <w:p w:rsidR="00EE56C0" w:rsidRDefault="000F36A1">
            <w:pPr>
              <w:pStyle w:val="aff1"/>
            </w:pPr>
            <w:r>
              <w:t>ENE</w:t>
            </w:r>
          </w:p>
        </w:tc>
        <w:tc>
          <w:tcPr>
            <w:tcW w:w="0" w:type="auto"/>
            <w:vAlign w:val="center"/>
          </w:tcPr>
          <w:p w:rsidR="00EE56C0" w:rsidRDefault="000F36A1">
            <w:pPr>
              <w:pStyle w:val="aff1"/>
            </w:pPr>
            <w:r>
              <w:t>E</w:t>
            </w:r>
          </w:p>
        </w:tc>
        <w:tc>
          <w:tcPr>
            <w:tcW w:w="0" w:type="auto"/>
            <w:vAlign w:val="center"/>
          </w:tcPr>
          <w:p w:rsidR="00EE56C0" w:rsidRDefault="000F36A1">
            <w:pPr>
              <w:pStyle w:val="aff1"/>
            </w:pPr>
            <w:r>
              <w:t>ESE</w:t>
            </w:r>
          </w:p>
        </w:tc>
        <w:tc>
          <w:tcPr>
            <w:tcW w:w="0" w:type="auto"/>
            <w:vAlign w:val="center"/>
          </w:tcPr>
          <w:p w:rsidR="00EE56C0" w:rsidRDefault="000F36A1">
            <w:pPr>
              <w:pStyle w:val="aff1"/>
            </w:pPr>
            <w:r>
              <w:t>SE</w:t>
            </w:r>
          </w:p>
        </w:tc>
        <w:tc>
          <w:tcPr>
            <w:tcW w:w="0" w:type="auto"/>
            <w:vAlign w:val="center"/>
          </w:tcPr>
          <w:p w:rsidR="00EE56C0" w:rsidRDefault="000F36A1">
            <w:pPr>
              <w:pStyle w:val="aff1"/>
            </w:pPr>
            <w:r>
              <w:t>SSE</w:t>
            </w:r>
          </w:p>
        </w:tc>
        <w:tc>
          <w:tcPr>
            <w:tcW w:w="0" w:type="auto"/>
            <w:vAlign w:val="center"/>
          </w:tcPr>
          <w:p w:rsidR="00EE56C0" w:rsidRDefault="000F36A1">
            <w:pPr>
              <w:pStyle w:val="aff1"/>
            </w:pPr>
            <w:r>
              <w:t>S</w:t>
            </w:r>
          </w:p>
        </w:tc>
        <w:tc>
          <w:tcPr>
            <w:tcW w:w="0" w:type="auto"/>
            <w:vAlign w:val="center"/>
          </w:tcPr>
          <w:p w:rsidR="00EE56C0" w:rsidRDefault="000F36A1">
            <w:pPr>
              <w:pStyle w:val="aff1"/>
            </w:pPr>
            <w:r>
              <w:t>SSW</w:t>
            </w:r>
          </w:p>
        </w:tc>
        <w:tc>
          <w:tcPr>
            <w:tcW w:w="0" w:type="auto"/>
            <w:vAlign w:val="center"/>
          </w:tcPr>
          <w:p w:rsidR="00EE56C0" w:rsidRDefault="000F36A1">
            <w:pPr>
              <w:pStyle w:val="aff1"/>
            </w:pPr>
            <w:r>
              <w:t>SW</w:t>
            </w:r>
          </w:p>
        </w:tc>
        <w:tc>
          <w:tcPr>
            <w:tcW w:w="0" w:type="auto"/>
            <w:vAlign w:val="center"/>
          </w:tcPr>
          <w:p w:rsidR="00EE56C0" w:rsidRDefault="000F36A1">
            <w:pPr>
              <w:pStyle w:val="aff1"/>
            </w:pPr>
            <w:r>
              <w:t>WSW</w:t>
            </w:r>
          </w:p>
        </w:tc>
        <w:tc>
          <w:tcPr>
            <w:tcW w:w="0" w:type="auto"/>
            <w:vAlign w:val="center"/>
          </w:tcPr>
          <w:p w:rsidR="00EE56C0" w:rsidRDefault="000F36A1">
            <w:pPr>
              <w:pStyle w:val="aff1"/>
            </w:pPr>
            <w:r>
              <w:t>W</w:t>
            </w:r>
          </w:p>
        </w:tc>
        <w:tc>
          <w:tcPr>
            <w:tcW w:w="0" w:type="auto"/>
            <w:vAlign w:val="center"/>
          </w:tcPr>
          <w:p w:rsidR="00EE56C0" w:rsidRDefault="000F36A1">
            <w:pPr>
              <w:pStyle w:val="aff1"/>
            </w:pPr>
            <w:r>
              <w:t>WNW</w:t>
            </w:r>
          </w:p>
        </w:tc>
        <w:tc>
          <w:tcPr>
            <w:tcW w:w="0" w:type="auto"/>
            <w:vAlign w:val="center"/>
          </w:tcPr>
          <w:p w:rsidR="00EE56C0" w:rsidRDefault="000F36A1">
            <w:pPr>
              <w:pStyle w:val="aff1"/>
            </w:pPr>
            <w:r>
              <w:t>NW</w:t>
            </w:r>
          </w:p>
        </w:tc>
        <w:tc>
          <w:tcPr>
            <w:tcW w:w="0" w:type="auto"/>
            <w:vAlign w:val="center"/>
          </w:tcPr>
          <w:p w:rsidR="00EE56C0" w:rsidRDefault="000F36A1">
            <w:pPr>
              <w:pStyle w:val="aff1"/>
            </w:pPr>
            <w:r>
              <w:t>NNW</w:t>
            </w:r>
          </w:p>
        </w:tc>
        <w:tc>
          <w:tcPr>
            <w:tcW w:w="0" w:type="auto"/>
            <w:vAlign w:val="center"/>
          </w:tcPr>
          <w:p w:rsidR="00EE56C0" w:rsidRDefault="000F36A1">
            <w:pPr>
              <w:pStyle w:val="aff1"/>
            </w:pPr>
            <w:r>
              <w:t>C</w:t>
            </w:r>
          </w:p>
        </w:tc>
      </w:tr>
      <w:tr w:rsidR="00EE56C0">
        <w:trPr>
          <w:trHeight w:val="369"/>
          <w:jc w:val="center"/>
        </w:trPr>
        <w:tc>
          <w:tcPr>
            <w:tcW w:w="335" w:type="pct"/>
            <w:vAlign w:val="center"/>
          </w:tcPr>
          <w:p w:rsidR="00EE56C0" w:rsidRDefault="000F36A1">
            <w:pPr>
              <w:pStyle w:val="afa"/>
            </w:pPr>
            <w:r>
              <w:t>1</w:t>
            </w:r>
          </w:p>
        </w:tc>
        <w:tc>
          <w:tcPr>
            <w:tcW w:w="232" w:type="pct"/>
            <w:vAlign w:val="center"/>
          </w:tcPr>
          <w:p w:rsidR="00EE56C0" w:rsidRDefault="000F36A1">
            <w:pPr>
              <w:pStyle w:val="afa"/>
            </w:pPr>
            <w:r>
              <w:t>2.42</w:t>
            </w:r>
          </w:p>
        </w:tc>
        <w:tc>
          <w:tcPr>
            <w:tcW w:w="0" w:type="auto"/>
            <w:vAlign w:val="center"/>
          </w:tcPr>
          <w:p w:rsidR="00EE56C0" w:rsidRDefault="000F36A1">
            <w:pPr>
              <w:pStyle w:val="afa"/>
            </w:pPr>
            <w:r>
              <w:t>2.69</w:t>
            </w:r>
          </w:p>
        </w:tc>
        <w:tc>
          <w:tcPr>
            <w:tcW w:w="0" w:type="auto"/>
            <w:vAlign w:val="center"/>
          </w:tcPr>
          <w:p w:rsidR="00EE56C0" w:rsidRDefault="000F36A1">
            <w:pPr>
              <w:pStyle w:val="afa"/>
            </w:pPr>
            <w:r>
              <w:t>10.22</w:t>
            </w:r>
          </w:p>
        </w:tc>
        <w:tc>
          <w:tcPr>
            <w:tcW w:w="0" w:type="auto"/>
            <w:vAlign w:val="center"/>
          </w:tcPr>
          <w:p w:rsidR="00EE56C0" w:rsidRDefault="000F36A1">
            <w:pPr>
              <w:pStyle w:val="afa"/>
            </w:pPr>
            <w:r>
              <w:t>22.98</w:t>
            </w:r>
          </w:p>
        </w:tc>
        <w:tc>
          <w:tcPr>
            <w:tcW w:w="0" w:type="auto"/>
            <w:vAlign w:val="center"/>
          </w:tcPr>
          <w:p w:rsidR="00EE56C0" w:rsidRDefault="000F36A1">
            <w:pPr>
              <w:pStyle w:val="afa"/>
            </w:pPr>
            <w:r>
              <w:t>16.94</w:t>
            </w:r>
          </w:p>
        </w:tc>
        <w:tc>
          <w:tcPr>
            <w:tcW w:w="0" w:type="auto"/>
            <w:vAlign w:val="center"/>
          </w:tcPr>
          <w:p w:rsidR="00EE56C0" w:rsidRDefault="000F36A1">
            <w:pPr>
              <w:pStyle w:val="afa"/>
            </w:pPr>
            <w:r>
              <w:t>1.61</w:t>
            </w:r>
          </w:p>
        </w:tc>
        <w:tc>
          <w:tcPr>
            <w:tcW w:w="0" w:type="auto"/>
            <w:vAlign w:val="center"/>
          </w:tcPr>
          <w:p w:rsidR="00EE56C0" w:rsidRDefault="000F36A1">
            <w:pPr>
              <w:pStyle w:val="afa"/>
            </w:pPr>
            <w:r>
              <w:t>1.08</w:t>
            </w:r>
          </w:p>
        </w:tc>
        <w:tc>
          <w:tcPr>
            <w:tcW w:w="0" w:type="auto"/>
            <w:vAlign w:val="center"/>
          </w:tcPr>
          <w:p w:rsidR="00EE56C0" w:rsidRDefault="000F36A1">
            <w:pPr>
              <w:pStyle w:val="afa"/>
            </w:pPr>
            <w:r>
              <w:t>1.75</w:t>
            </w:r>
          </w:p>
        </w:tc>
        <w:tc>
          <w:tcPr>
            <w:tcW w:w="0" w:type="auto"/>
            <w:vAlign w:val="center"/>
          </w:tcPr>
          <w:p w:rsidR="00EE56C0" w:rsidRDefault="000F36A1">
            <w:pPr>
              <w:pStyle w:val="afa"/>
            </w:pPr>
            <w:r>
              <w:t>7.80</w:t>
            </w:r>
          </w:p>
        </w:tc>
        <w:tc>
          <w:tcPr>
            <w:tcW w:w="0" w:type="auto"/>
            <w:vAlign w:val="center"/>
          </w:tcPr>
          <w:p w:rsidR="00EE56C0" w:rsidRDefault="000F36A1">
            <w:pPr>
              <w:pStyle w:val="afa"/>
            </w:pPr>
            <w:r>
              <w:t>9.27</w:t>
            </w:r>
          </w:p>
        </w:tc>
        <w:tc>
          <w:tcPr>
            <w:tcW w:w="0" w:type="auto"/>
            <w:vAlign w:val="center"/>
          </w:tcPr>
          <w:p w:rsidR="00EE56C0" w:rsidRDefault="000F36A1">
            <w:pPr>
              <w:pStyle w:val="afa"/>
            </w:pPr>
            <w:r>
              <w:t>5.91</w:t>
            </w:r>
          </w:p>
        </w:tc>
        <w:tc>
          <w:tcPr>
            <w:tcW w:w="0" w:type="auto"/>
            <w:vAlign w:val="center"/>
          </w:tcPr>
          <w:p w:rsidR="00EE56C0" w:rsidRDefault="000F36A1">
            <w:pPr>
              <w:pStyle w:val="afa"/>
            </w:pPr>
            <w:r>
              <w:t>4.57</w:t>
            </w:r>
          </w:p>
        </w:tc>
        <w:tc>
          <w:tcPr>
            <w:tcW w:w="0" w:type="auto"/>
            <w:vAlign w:val="center"/>
          </w:tcPr>
          <w:p w:rsidR="00EE56C0" w:rsidRDefault="000F36A1">
            <w:pPr>
              <w:pStyle w:val="afa"/>
            </w:pPr>
            <w:r>
              <w:t>2.28</w:t>
            </w:r>
          </w:p>
        </w:tc>
        <w:tc>
          <w:tcPr>
            <w:tcW w:w="0" w:type="auto"/>
            <w:vAlign w:val="center"/>
          </w:tcPr>
          <w:p w:rsidR="00EE56C0" w:rsidRDefault="000F36A1">
            <w:pPr>
              <w:pStyle w:val="afa"/>
            </w:pPr>
            <w:r>
              <w:t>0.94</w:t>
            </w:r>
          </w:p>
        </w:tc>
        <w:tc>
          <w:tcPr>
            <w:tcW w:w="0" w:type="auto"/>
            <w:vAlign w:val="center"/>
          </w:tcPr>
          <w:p w:rsidR="00EE56C0" w:rsidRDefault="000F36A1">
            <w:pPr>
              <w:pStyle w:val="afa"/>
            </w:pPr>
            <w:r>
              <w:t>0.81</w:t>
            </w:r>
          </w:p>
        </w:tc>
        <w:tc>
          <w:tcPr>
            <w:tcW w:w="0" w:type="auto"/>
            <w:vAlign w:val="center"/>
          </w:tcPr>
          <w:p w:rsidR="00EE56C0" w:rsidRDefault="000F36A1">
            <w:pPr>
              <w:pStyle w:val="afa"/>
            </w:pPr>
            <w:r>
              <w:t>2.28</w:t>
            </w:r>
          </w:p>
        </w:tc>
        <w:tc>
          <w:tcPr>
            <w:tcW w:w="0" w:type="auto"/>
            <w:vAlign w:val="center"/>
          </w:tcPr>
          <w:p w:rsidR="00EE56C0" w:rsidRDefault="000F36A1">
            <w:pPr>
              <w:pStyle w:val="afa"/>
            </w:pPr>
            <w:r>
              <w:t>6.45</w:t>
            </w:r>
          </w:p>
        </w:tc>
      </w:tr>
      <w:tr w:rsidR="00EE56C0">
        <w:trPr>
          <w:trHeight w:val="369"/>
          <w:jc w:val="center"/>
        </w:trPr>
        <w:tc>
          <w:tcPr>
            <w:tcW w:w="335" w:type="pct"/>
            <w:vAlign w:val="center"/>
          </w:tcPr>
          <w:p w:rsidR="00EE56C0" w:rsidRDefault="000F36A1">
            <w:pPr>
              <w:pStyle w:val="afa"/>
            </w:pPr>
            <w:r>
              <w:t>2</w:t>
            </w:r>
          </w:p>
        </w:tc>
        <w:tc>
          <w:tcPr>
            <w:tcW w:w="232" w:type="pct"/>
            <w:vAlign w:val="center"/>
          </w:tcPr>
          <w:p w:rsidR="00EE56C0" w:rsidRDefault="000F36A1">
            <w:pPr>
              <w:pStyle w:val="afa"/>
            </w:pPr>
            <w:r>
              <w:t>2.68</w:t>
            </w:r>
          </w:p>
        </w:tc>
        <w:tc>
          <w:tcPr>
            <w:tcW w:w="0" w:type="auto"/>
            <w:vAlign w:val="center"/>
          </w:tcPr>
          <w:p w:rsidR="00EE56C0" w:rsidRDefault="000F36A1">
            <w:pPr>
              <w:pStyle w:val="afa"/>
            </w:pPr>
            <w:r>
              <w:t>1.93</w:t>
            </w:r>
          </w:p>
        </w:tc>
        <w:tc>
          <w:tcPr>
            <w:tcW w:w="0" w:type="auto"/>
            <w:vAlign w:val="center"/>
          </w:tcPr>
          <w:p w:rsidR="00EE56C0" w:rsidRDefault="000F36A1">
            <w:pPr>
              <w:pStyle w:val="afa"/>
            </w:pPr>
            <w:r>
              <w:t>7.59</w:t>
            </w:r>
          </w:p>
        </w:tc>
        <w:tc>
          <w:tcPr>
            <w:tcW w:w="0" w:type="auto"/>
            <w:vAlign w:val="center"/>
          </w:tcPr>
          <w:p w:rsidR="00EE56C0" w:rsidRDefault="000F36A1">
            <w:pPr>
              <w:pStyle w:val="afa"/>
            </w:pPr>
            <w:r>
              <w:t>24.55</w:t>
            </w:r>
          </w:p>
        </w:tc>
        <w:tc>
          <w:tcPr>
            <w:tcW w:w="0" w:type="auto"/>
            <w:vAlign w:val="center"/>
          </w:tcPr>
          <w:p w:rsidR="00EE56C0" w:rsidRDefault="000F36A1">
            <w:pPr>
              <w:pStyle w:val="afa"/>
            </w:pPr>
            <w:r>
              <w:t>18.60</w:t>
            </w:r>
          </w:p>
        </w:tc>
        <w:tc>
          <w:tcPr>
            <w:tcW w:w="0" w:type="auto"/>
            <w:vAlign w:val="center"/>
          </w:tcPr>
          <w:p w:rsidR="00EE56C0" w:rsidRDefault="000F36A1">
            <w:pPr>
              <w:pStyle w:val="afa"/>
            </w:pPr>
            <w:r>
              <w:t>2.08</w:t>
            </w:r>
          </w:p>
        </w:tc>
        <w:tc>
          <w:tcPr>
            <w:tcW w:w="0" w:type="auto"/>
            <w:vAlign w:val="center"/>
          </w:tcPr>
          <w:p w:rsidR="00EE56C0" w:rsidRDefault="000F36A1">
            <w:pPr>
              <w:pStyle w:val="afa"/>
            </w:pPr>
            <w:r>
              <w:t>1.79</w:t>
            </w:r>
          </w:p>
        </w:tc>
        <w:tc>
          <w:tcPr>
            <w:tcW w:w="0" w:type="auto"/>
            <w:vAlign w:val="center"/>
          </w:tcPr>
          <w:p w:rsidR="00EE56C0" w:rsidRDefault="000F36A1">
            <w:pPr>
              <w:pStyle w:val="afa"/>
            </w:pPr>
            <w:r>
              <w:t>1.93</w:t>
            </w:r>
          </w:p>
        </w:tc>
        <w:tc>
          <w:tcPr>
            <w:tcW w:w="0" w:type="auto"/>
            <w:vAlign w:val="center"/>
          </w:tcPr>
          <w:p w:rsidR="00EE56C0" w:rsidRDefault="000F36A1">
            <w:pPr>
              <w:pStyle w:val="afa"/>
            </w:pPr>
            <w:r>
              <w:t>8.78</w:t>
            </w:r>
          </w:p>
        </w:tc>
        <w:tc>
          <w:tcPr>
            <w:tcW w:w="0" w:type="auto"/>
            <w:vAlign w:val="center"/>
          </w:tcPr>
          <w:p w:rsidR="00EE56C0" w:rsidRDefault="000F36A1">
            <w:pPr>
              <w:pStyle w:val="afa"/>
            </w:pPr>
            <w:r>
              <w:t>9.82</w:t>
            </w:r>
          </w:p>
        </w:tc>
        <w:tc>
          <w:tcPr>
            <w:tcW w:w="0" w:type="auto"/>
            <w:vAlign w:val="center"/>
          </w:tcPr>
          <w:p w:rsidR="00EE56C0" w:rsidRDefault="000F36A1">
            <w:pPr>
              <w:pStyle w:val="afa"/>
            </w:pPr>
            <w:r>
              <w:t>5.51</w:t>
            </w:r>
          </w:p>
        </w:tc>
        <w:tc>
          <w:tcPr>
            <w:tcW w:w="0" w:type="auto"/>
            <w:vAlign w:val="center"/>
          </w:tcPr>
          <w:p w:rsidR="00EE56C0" w:rsidRDefault="000F36A1">
            <w:pPr>
              <w:pStyle w:val="afa"/>
            </w:pPr>
            <w:r>
              <w:t>2.98</w:t>
            </w:r>
          </w:p>
        </w:tc>
        <w:tc>
          <w:tcPr>
            <w:tcW w:w="0" w:type="auto"/>
            <w:vAlign w:val="center"/>
          </w:tcPr>
          <w:p w:rsidR="00EE56C0" w:rsidRDefault="000F36A1">
            <w:pPr>
              <w:pStyle w:val="afa"/>
            </w:pPr>
            <w:r>
              <w:t>2.38</w:t>
            </w:r>
          </w:p>
        </w:tc>
        <w:tc>
          <w:tcPr>
            <w:tcW w:w="0" w:type="auto"/>
            <w:vAlign w:val="center"/>
          </w:tcPr>
          <w:p w:rsidR="00EE56C0" w:rsidRDefault="000F36A1">
            <w:pPr>
              <w:pStyle w:val="afa"/>
            </w:pPr>
            <w:r>
              <w:t>0.30</w:t>
            </w:r>
          </w:p>
        </w:tc>
        <w:tc>
          <w:tcPr>
            <w:tcW w:w="0" w:type="auto"/>
            <w:vAlign w:val="center"/>
          </w:tcPr>
          <w:p w:rsidR="00EE56C0" w:rsidRDefault="000F36A1">
            <w:pPr>
              <w:pStyle w:val="afa"/>
            </w:pPr>
            <w:r>
              <w:t>1.34</w:t>
            </w:r>
          </w:p>
        </w:tc>
        <w:tc>
          <w:tcPr>
            <w:tcW w:w="0" w:type="auto"/>
            <w:vAlign w:val="center"/>
          </w:tcPr>
          <w:p w:rsidR="00EE56C0" w:rsidRDefault="000F36A1">
            <w:pPr>
              <w:pStyle w:val="afa"/>
            </w:pPr>
            <w:r>
              <w:t>1.64</w:t>
            </w:r>
          </w:p>
        </w:tc>
        <w:tc>
          <w:tcPr>
            <w:tcW w:w="0" w:type="auto"/>
            <w:vAlign w:val="center"/>
          </w:tcPr>
          <w:p w:rsidR="00EE56C0" w:rsidRDefault="000F36A1">
            <w:pPr>
              <w:pStyle w:val="afa"/>
            </w:pPr>
            <w:r>
              <w:t>6.10</w:t>
            </w:r>
          </w:p>
        </w:tc>
      </w:tr>
      <w:tr w:rsidR="00EE56C0">
        <w:trPr>
          <w:trHeight w:val="369"/>
          <w:jc w:val="center"/>
        </w:trPr>
        <w:tc>
          <w:tcPr>
            <w:tcW w:w="335" w:type="pct"/>
            <w:vAlign w:val="center"/>
          </w:tcPr>
          <w:p w:rsidR="00EE56C0" w:rsidRDefault="000F36A1">
            <w:pPr>
              <w:pStyle w:val="afa"/>
            </w:pPr>
            <w:r>
              <w:t>3</w:t>
            </w:r>
          </w:p>
        </w:tc>
        <w:tc>
          <w:tcPr>
            <w:tcW w:w="232" w:type="pct"/>
            <w:vAlign w:val="center"/>
          </w:tcPr>
          <w:p w:rsidR="00EE56C0" w:rsidRDefault="000F36A1">
            <w:pPr>
              <w:pStyle w:val="afa"/>
            </w:pPr>
            <w:r>
              <w:t>1.61</w:t>
            </w:r>
          </w:p>
        </w:tc>
        <w:tc>
          <w:tcPr>
            <w:tcW w:w="0" w:type="auto"/>
            <w:vAlign w:val="center"/>
          </w:tcPr>
          <w:p w:rsidR="00EE56C0" w:rsidRDefault="000F36A1">
            <w:pPr>
              <w:pStyle w:val="afa"/>
            </w:pPr>
            <w:r>
              <w:t>0.67</w:t>
            </w:r>
          </w:p>
        </w:tc>
        <w:tc>
          <w:tcPr>
            <w:tcW w:w="0" w:type="auto"/>
            <w:vAlign w:val="center"/>
          </w:tcPr>
          <w:p w:rsidR="00EE56C0" w:rsidRDefault="000F36A1">
            <w:pPr>
              <w:pStyle w:val="afa"/>
            </w:pPr>
            <w:r>
              <w:t>6.18</w:t>
            </w:r>
          </w:p>
        </w:tc>
        <w:tc>
          <w:tcPr>
            <w:tcW w:w="0" w:type="auto"/>
            <w:vAlign w:val="center"/>
          </w:tcPr>
          <w:p w:rsidR="00EE56C0" w:rsidRDefault="000F36A1">
            <w:pPr>
              <w:pStyle w:val="afa"/>
            </w:pPr>
            <w:r>
              <w:t>15.32</w:t>
            </w:r>
          </w:p>
        </w:tc>
        <w:tc>
          <w:tcPr>
            <w:tcW w:w="0" w:type="auto"/>
            <w:vAlign w:val="center"/>
          </w:tcPr>
          <w:p w:rsidR="00EE56C0" w:rsidRDefault="000F36A1">
            <w:pPr>
              <w:pStyle w:val="afa"/>
            </w:pPr>
            <w:r>
              <w:t>15.19</w:t>
            </w:r>
          </w:p>
        </w:tc>
        <w:tc>
          <w:tcPr>
            <w:tcW w:w="0" w:type="auto"/>
            <w:vAlign w:val="center"/>
          </w:tcPr>
          <w:p w:rsidR="00EE56C0" w:rsidRDefault="000F36A1">
            <w:pPr>
              <w:pStyle w:val="afa"/>
            </w:pPr>
            <w:r>
              <w:t>3.90</w:t>
            </w:r>
          </w:p>
        </w:tc>
        <w:tc>
          <w:tcPr>
            <w:tcW w:w="0" w:type="auto"/>
            <w:vAlign w:val="center"/>
          </w:tcPr>
          <w:p w:rsidR="00EE56C0" w:rsidRDefault="000F36A1">
            <w:pPr>
              <w:pStyle w:val="afa"/>
            </w:pPr>
            <w:r>
              <w:t>3.49</w:t>
            </w:r>
          </w:p>
        </w:tc>
        <w:tc>
          <w:tcPr>
            <w:tcW w:w="0" w:type="auto"/>
            <w:vAlign w:val="center"/>
          </w:tcPr>
          <w:p w:rsidR="00EE56C0" w:rsidRDefault="000F36A1">
            <w:pPr>
              <w:pStyle w:val="afa"/>
            </w:pPr>
            <w:r>
              <w:t>2.82</w:t>
            </w:r>
          </w:p>
        </w:tc>
        <w:tc>
          <w:tcPr>
            <w:tcW w:w="0" w:type="auto"/>
            <w:vAlign w:val="center"/>
          </w:tcPr>
          <w:p w:rsidR="00EE56C0" w:rsidRDefault="000F36A1">
            <w:pPr>
              <w:pStyle w:val="afa"/>
            </w:pPr>
            <w:r>
              <w:t>10.62</w:t>
            </w:r>
          </w:p>
        </w:tc>
        <w:tc>
          <w:tcPr>
            <w:tcW w:w="0" w:type="auto"/>
            <w:vAlign w:val="center"/>
          </w:tcPr>
          <w:p w:rsidR="00EE56C0" w:rsidRDefault="000F36A1">
            <w:pPr>
              <w:pStyle w:val="afa"/>
            </w:pPr>
            <w:r>
              <w:t>16.13</w:t>
            </w:r>
          </w:p>
        </w:tc>
        <w:tc>
          <w:tcPr>
            <w:tcW w:w="0" w:type="auto"/>
            <w:vAlign w:val="center"/>
          </w:tcPr>
          <w:p w:rsidR="00EE56C0" w:rsidRDefault="000F36A1">
            <w:pPr>
              <w:pStyle w:val="afa"/>
            </w:pPr>
            <w:r>
              <w:t>6.99</w:t>
            </w:r>
          </w:p>
        </w:tc>
        <w:tc>
          <w:tcPr>
            <w:tcW w:w="0" w:type="auto"/>
            <w:vAlign w:val="center"/>
          </w:tcPr>
          <w:p w:rsidR="00EE56C0" w:rsidRDefault="000F36A1">
            <w:pPr>
              <w:pStyle w:val="afa"/>
            </w:pPr>
            <w:r>
              <w:t>6.59</w:t>
            </w:r>
          </w:p>
        </w:tc>
        <w:tc>
          <w:tcPr>
            <w:tcW w:w="0" w:type="auto"/>
            <w:vAlign w:val="center"/>
          </w:tcPr>
          <w:p w:rsidR="00EE56C0" w:rsidRDefault="000F36A1">
            <w:pPr>
              <w:pStyle w:val="afa"/>
            </w:pPr>
            <w:r>
              <w:t>4.70</w:t>
            </w:r>
          </w:p>
        </w:tc>
        <w:tc>
          <w:tcPr>
            <w:tcW w:w="0" w:type="auto"/>
            <w:vAlign w:val="center"/>
          </w:tcPr>
          <w:p w:rsidR="00EE56C0" w:rsidRDefault="000F36A1">
            <w:pPr>
              <w:pStyle w:val="afa"/>
            </w:pPr>
            <w:r>
              <w:t>1.61</w:t>
            </w:r>
          </w:p>
        </w:tc>
        <w:tc>
          <w:tcPr>
            <w:tcW w:w="0" w:type="auto"/>
            <w:vAlign w:val="center"/>
          </w:tcPr>
          <w:p w:rsidR="00EE56C0" w:rsidRDefault="000F36A1">
            <w:pPr>
              <w:pStyle w:val="afa"/>
            </w:pPr>
            <w:r>
              <w:t>0.54</w:t>
            </w:r>
          </w:p>
        </w:tc>
        <w:tc>
          <w:tcPr>
            <w:tcW w:w="0" w:type="auto"/>
            <w:vAlign w:val="center"/>
          </w:tcPr>
          <w:p w:rsidR="00EE56C0" w:rsidRDefault="000F36A1">
            <w:pPr>
              <w:pStyle w:val="afa"/>
            </w:pPr>
            <w:r>
              <w:t>1.21</w:t>
            </w:r>
          </w:p>
        </w:tc>
        <w:tc>
          <w:tcPr>
            <w:tcW w:w="0" w:type="auto"/>
            <w:vAlign w:val="center"/>
          </w:tcPr>
          <w:p w:rsidR="00EE56C0" w:rsidRDefault="000F36A1">
            <w:pPr>
              <w:pStyle w:val="afa"/>
            </w:pPr>
            <w:r>
              <w:t>2.42</w:t>
            </w:r>
          </w:p>
        </w:tc>
      </w:tr>
      <w:tr w:rsidR="00EE56C0">
        <w:trPr>
          <w:trHeight w:val="369"/>
          <w:jc w:val="center"/>
        </w:trPr>
        <w:tc>
          <w:tcPr>
            <w:tcW w:w="335" w:type="pct"/>
            <w:vAlign w:val="center"/>
          </w:tcPr>
          <w:p w:rsidR="00EE56C0" w:rsidRDefault="000F36A1">
            <w:pPr>
              <w:pStyle w:val="afa"/>
            </w:pPr>
            <w:r>
              <w:t>4</w:t>
            </w:r>
          </w:p>
        </w:tc>
        <w:tc>
          <w:tcPr>
            <w:tcW w:w="232" w:type="pct"/>
            <w:vAlign w:val="center"/>
          </w:tcPr>
          <w:p w:rsidR="00EE56C0" w:rsidRDefault="000F36A1">
            <w:pPr>
              <w:pStyle w:val="afa"/>
            </w:pPr>
            <w:r>
              <w:t>1.11</w:t>
            </w:r>
          </w:p>
        </w:tc>
        <w:tc>
          <w:tcPr>
            <w:tcW w:w="0" w:type="auto"/>
            <w:vAlign w:val="center"/>
          </w:tcPr>
          <w:p w:rsidR="00EE56C0" w:rsidRDefault="000F36A1">
            <w:pPr>
              <w:pStyle w:val="afa"/>
            </w:pPr>
            <w:r>
              <w:t>1.81</w:t>
            </w:r>
          </w:p>
        </w:tc>
        <w:tc>
          <w:tcPr>
            <w:tcW w:w="0" w:type="auto"/>
            <w:vAlign w:val="center"/>
          </w:tcPr>
          <w:p w:rsidR="00EE56C0" w:rsidRDefault="000F36A1">
            <w:pPr>
              <w:pStyle w:val="afa"/>
            </w:pPr>
            <w:r>
              <w:t>13.06</w:t>
            </w:r>
          </w:p>
        </w:tc>
        <w:tc>
          <w:tcPr>
            <w:tcW w:w="0" w:type="auto"/>
            <w:vAlign w:val="center"/>
          </w:tcPr>
          <w:p w:rsidR="00EE56C0" w:rsidRDefault="000F36A1">
            <w:pPr>
              <w:pStyle w:val="afa"/>
            </w:pPr>
            <w:r>
              <w:t>22.64</w:t>
            </w:r>
          </w:p>
        </w:tc>
        <w:tc>
          <w:tcPr>
            <w:tcW w:w="0" w:type="auto"/>
            <w:vAlign w:val="center"/>
          </w:tcPr>
          <w:p w:rsidR="00EE56C0" w:rsidRDefault="000F36A1">
            <w:pPr>
              <w:pStyle w:val="afa"/>
            </w:pPr>
            <w:r>
              <w:t>13.33</w:t>
            </w:r>
          </w:p>
        </w:tc>
        <w:tc>
          <w:tcPr>
            <w:tcW w:w="0" w:type="auto"/>
            <w:vAlign w:val="center"/>
          </w:tcPr>
          <w:p w:rsidR="00EE56C0" w:rsidRDefault="000F36A1">
            <w:pPr>
              <w:pStyle w:val="afa"/>
            </w:pPr>
            <w:r>
              <w:t>2.36</w:t>
            </w:r>
          </w:p>
        </w:tc>
        <w:tc>
          <w:tcPr>
            <w:tcW w:w="0" w:type="auto"/>
            <w:vAlign w:val="center"/>
          </w:tcPr>
          <w:p w:rsidR="00EE56C0" w:rsidRDefault="000F36A1">
            <w:pPr>
              <w:pStyle w:val="afa"/>
            </w:pPr>
            <w:r>
              <w:t>2.08</w:t>
            </w:r>
          </w:p>
        </w:tc>
        <w:tc>
          <w:tcPr>
            <w:tcW w:w="0" w:type="auto"/>
            <w:vAlign w:val="center"/>
          </w:tcPr>
          <w:p w:rsidR="00EE56C0" w:rsidRDefault="000F36A1">
            <w:pPr>
              <w:pStyle w:val="afa"/>
            </w:pPr>
            <w:r>
              <w:t>1.67</w:t>
            </w:r>
          </w:p>
        </w:tc>
        <w:tc>
          <w:tcPr>
            <w:tcW w:w="0" w:type="auto"/>
            <w:vAlign w:val="center"/>
          </w:tcPr>
          <w:p w:rsidR="00EE56C0" w:rsidRDefault="000F36A1">
            <w:pPr>
              <w:pStyle w:val="afa"/>
            </w:pPr>
            <w:r>
              <w:t>9.72</w:t>
            </w:r>
          </w:p>
        </w:tc>
        <w:tc>
          <w:tcPr>
            <w:tcW w:w="0" w:type="auto"/>
            <w:vAlign w:val="center"/>
          </w:tcPr>
          <w:p w:rsidR="00EE56C0" w:rsidRDefault="000F36A1">
            <w:pPr>
              <w:pStyle w:val="afa"/>
            </w:pPr>
            <w:r>
              <w:t>10.83</w:t>
            </w:r>
          </w:p>
        </w:tc>
        <w:tc>
          <w:tcPr>
            <w:tcW w:w="0" w:type="auto"/>
            <w:vAlign w:val="center"/>
          </w:tcPr>
          <w:p w:rsidR="00EE56C0" w:rsidRDefault="000F36A1">
            <w:pPr>
              <w:pStyle w:val="afa"/>
            </w:pPr>
            <w:r>
              <w:t>8.06</w:t>
            </w:r>
          </w:p>
        </w:tc>
        <w:tc>
          <w:tcPr>
            <w:tcW w:w="0" w:type="auto"/>
            <w:vAlign w:val="center"/>
          </w:tcPr>
          <w:p w:rsidR="00EE56C0" w:rsidRDefault="000F36A1">
            <w:pPr>
              <w:pStyle w:val="afa"/>
            </w:pPr>
            <w:r>
              <w:t>3.75</w:t>
            </w:r>
          </w:p>
        </w:tc>
        <w:tc>
          <w:tcPr>
            <w:tcW w:w="0" w:type="auto"/>
            <w:vAlign w:val="center"/>
          </w:tcPr>
          <w:p w:rsidR="00EE56C0" w:rsidRDefault="000F36A1">
            <w:pPr>
              <w:pStyle w:val="afa"/>
            </w:pPr>
            <w:r>
              <w:t>3.47</w:t>
            </w:r>
          </w:p>
        </w:tc>
        <w:tc>
          <w:tcPr>
            <w:tcW w:w="0" w:type="auto"/>
            <w:vAlign w:val="center"/>
          </w:tcPr>
          <w:p w:rsidR="00EE56C0" w:rsidRDefault="000F36A1">
            <w:pPr>
              <w:pStyle w:val="afa"/>
            </w:pPr>
            <w:r>
              <w:t>0.69</w:t>
            </w:r>
          </w:p>
        </w:tc>
        <w:tc>
          <w:tcPr>
            <w:tcW w:w="0" w:type="auto"/>
            <w:vAlign w:val="center"/>
          </w:tcPr>
          <w:p w:rsidR="00EE56C0" w:rsidRDefault="000F36A1">
            <w:pPr>
              <w:pStyle w:val="afa"/>
            </w:pPr>
            <w:r>
              <w:t>1.11</w:t>
            </w:r>
          </w:p>
        </w:tc>
        <w:tc>
          <w:tcPr>
            <w:tcW w:w="0" w:type="auto"/>
            <w:vAlign w:val="center"/>
          </w:tcPr>
          <w:p w:rsidR="00EE56C0" w:rsidRDefault="000F36A1">
            <w:pPr>
              <w:pStyle w:val="afa"/>
            </w:pPr>
            <w:r>
              <w:t>1.25</w:t>
            </w:r>
          </w:p>
        </w:tc>
        <w:tc>
          <w:tcPr>
            <w:tcW w:w="0" w:type="auto"/>
            <w:vAlign w:val="center"/>
          </w:tcPr>
          <w:p w:rsidR="00EE56C0" w:rsidRDefault="000F36A1">
            <w:pPr>
              <w:pStyle w:val="afa"/>
            </w:pPr>
            <w:r>
              <w:t>3.06</w:t>
            </w:r>
          </w:p>
        </w:tc>
      </w:tr>
      <w:tr w:rsidR="00EE56C0">
        <w:trPr>
          <w:trHeight w:val="369"/>
          <w:jc w:val="center"/>
        </w:trPr>
        <w:tc>
          <w:tcPr>
            <w:tcW w:w="335" w:type="pct"/>
            <w:vAlign w:val="center"/>
          </w:tcPr>
          <w:p w:rsidR="00EE56C0" w:rsidRDefault="000F36A1">
            <w:pPr>
              <w:pStyle w:val="afa"/>
            </w:pPr>
            <w:r>
              <w:t>5</w:t>
            </w:r>
          </w:p>
        </w:tc>
        <w:tc>
          <w:tcPr>
            <w:tcW w:w="232" w:type="pct"/>
            <w:vAlign w:val="center"/>
          </w:tcPr>
          <w:p w:rsidR="00EE56C0" w:rsidRDefault="000F36A1">
            <w:pPr>
              <w:pStyle w:val="afa"/>
            </w:pPr>
            <w:r>
              <w:t>1.21</w:t>
            </w:r>
          </w:p>
        </w:tc>
        <w:tc>
          <w:tcPr>
            <w:tcW w:w="0" w:type="auto"/>
            <w:vAlign w:val="center"/>
          </w:tcPr>
          <w:p w:rsidR="00EE56C0" w:rsidRDefault="000F36A1">
            <w:pPr>
              <w:pStyle w:val="afa"/>
            </w:pPr>
            <w:r>
              <w:t>0.13</w:t>
            </w:r>
          </w:p>
        </w:tc>
        <w:tc>
          <w:tcPr>
            <w:tcW w:w="0" w:type="auto"/>
            <w:vAlign w:val="center"/>
          </w:tcPr>
          <w:p w:rsidR="00EE56C0" w:rsidRDefault="000F36A1">
            <w:pPr>
              <w:pStyle w:val="afa"/>
            </w:pPr>
            <w:r>
              <w:t>6.05</w:t>
            </w:r>
          </w:p>
        </w:tc>
        <w:tc>
          <w:tcPr>
            <w:tcW w:w="0" w:type="auto"/>
            <w:vAlign w:val="center"/>
          </w:tcPr>
          <w:p w:rsidR="00EE56C0" w:rsidRDefault="000F36A1">
            <w:pPr>
              <w:pStyle w:val="afa"/>
            </w:pPr>
            <w:r>
              <w:t>6.85</w:t>
            </w:r>
          </w:p>
        </w:tc>
        <w:tc>
          <w:tcPr>
            <w:tcW w:w="0" w:type="auto"/>
            <w:vAlign w:val="center"/>
          </w:tcPr>
          <w:p w:rsidR="00EE56C0" w:rsidRDefault="000F36A1">
            <w:pPr>
              <w:pStyle w:val="afa"/>
            </w:pPr>
            <w:r>
              <w:t>10.89</w:t>
            </w:r>
          </w:p>
        </w:tc>
        <w:tc>
          <w:tcPr>
            <w:tcW w:w="0" w:type="auto"/>
            <w:vAlign w:val="center"/>
          </w:tcPr>
          <w:p w:rsidR="00EE56C0" w:rsidRDefault="000F36A1">
            <w:pPr>
              <w:pStyle w:val="afa"/>
            </w:pPr>
            <w:r>
              <w:t>5.38</w:t>
            </w:r>
          </w:p>
        </w:tc>
        <w:tc>
          <w:tcPr>
            <w:tcW w:w="0" w:type="auto"/>
            <w:vAlign w:val="center"/>
          </w:tcPr>
          <w:p w:rsidR="00EE56C0" w:rsidRDefault="000F36A1">
            <w:pPr>
              <w:pStyle w:val="afa"/>
            </w:pPr>
            <w:r>
              <w:t>3.23</w:t>
            </w:r>
          </w:p>
        </w:tc>
        <w:tc>
          <w:tcPr>
            <w:tcW w:w="0" w:type="auto"/>
            <w:vAlign w:val="center"/>
          </w:tcPr>
          <w:p w:rsidR="00EE56C0" w:rsidRDefault="000F36A1">
            <w:pPr>
              <w:pStyle w:val="afa"/>
            </w:pPr>
            <w:r>
              <w:t>5.24</w:t>
            </w:r>
          </w:p>
        </w:tc>
        <w:tc>
          <w:tcPr>
            <w:tcW w:w="0" w:type="auto"/>
            <w:vAlign w:val="center"/>
          </w:tcPr>
          <w:p w:rsidR="00EE56C0" w:rsidRDefault="000F36A1">
            <w:pPr>
              <w:pStyle w:val="afa"/>
            </w:pPr>
            <w:r>
              <w:t>13.71</w:t>
            </w:r>
          </w:p>
        </w:tc>
        <w:tc>
          <w:tcPr>
            <w:tcW w:w="0" w:type="auto"/>
            <w:vAlign w:val="center"/>
          </w:tcPr>
          <w:p w:rsidR="00EE56C0" w:rsidRDefault="000F36A1">
            <w:pPr>
              <w:pStyle w:val="afa"/>
            </w:pPr>
            <w:r>
              <w:t>18.95</w:t>
            </w:r>
          </w:p>
        </w:tc>
        <w:tc>
          <w:tcPr>
            <w:tcW w:w="0" w:type="auto"/>
            <w:vAlign w:val="center"/>
          </w:tcPr>
          <w:p w:rsidR="00EE56C0" w:rsidRDefault="000F36A1">
            <w:pPr>
              <w:pStyle w:val="afa"/>
            </w:pPr>
            <w:r>
              <w:t>13.31</w:t>
            </w:r>
          </w:p>
        </w:tc>
        <w:tc>
          <w:tcPr>
            <w:tcW w:w="0" w:type="auto"/>
            <w:vAlign w:val="center"/>
          </w:tcPr>
          <w:p w:rsidR="00EE56C0" w:rsidRDefault="000F36A1">
            <w:pPr>
              <w:pStyle w:val="afa"/>
            </w:pPr>
            <w:r>
              <w:t>5.78</w:t>
            </w:r>
          </w:p>
        </w:tc>
        <w:tc>
          <w:tcPr>
            <w:tcW w:w="0" w:type="auto"/>
            <w:vAlign w:val="center"/>
          </w:tcPr>
          <w:p w:rsidR="00EE56C0" w:rsidRDefault="000F36A1">
            <w:pPr>
              <w:pStyle w:val="afa"/>
            </w:pPr>
            <w:r>
              <w:t>4.03</w:t>
            </w:r>
          </w:p>
        </w:tc>
        <w:tc>
          <w:tcPr>
            <w:tcW w:w="0" w:type="auto"/>
            <w:vAlign w:val="center"/>
          </w:tcPr>
          <w:p w:rsidR="00EE56C0" w:rsidRDefault="000F36A1">
            <w:pPr>
              <w:pStyle w:val="afa"/>
            </w:pPr>
            <w:r>
              <w:t>1.88</w:t>
            </w:r>
          </w:p>
        </w:tc>
        <w:tc>
          <w:tcPr>
            <w:tcW w:w="0" w:type="auto"/>
            <w:vAlign w:val="center"/>
          </w:tcPr>
          <w:p w:rsidR="00EE56C0" w:rsidRDefault="000F36A1">
            <w:pPr>
              <w:pStyle w:val="afa"/>
            </w:pPr>
            <w:r>
              <w:t>0.40</w:t>
            </w:r>
          </w:p>
        </w:tc>
        <w:tc>
          <w:tcPr>
            <w:tcW w:w="0" w:type="auto"/>
            <w:vAlign w:val="center"/>
          </w:tcPr>
          <w:p w:rsidR="00EE56C0" w:rsidRDefault="000F36A1">
            <w:pPr>
              <w:pStyle w:val="afa"/>
            </w:pPr>
            <w:r>
              <w:t>0.67</w:t>
            </w:r>
          </w:p>
        </w:tc>
        <w:tc>
          <w:tcPr>
            <w:tcW w:w="0" w:type="auto"/>
            <w:vAlign w:val="center"/>
          </w:tcPr>
          <w:p w:rsidR="00EE56C0" w:rsidRDefault="000F36A1">
            <w:pPr>
              <w:pStyle w:val="afa"/>
            </w:pPr>
            <w:r>
              <w:t>2.28</w:t>
            </w:r>
          </w:p>
        </w:tc>
      </w:tr>
      <w:tr w:rsidR="00EE56C0">
        <w:trPr>
          <w:trHeight w:val="369"/>
          <w:jc w:val="center"/>
        </w:trPr>
        <w:tc>
          <w:tcPr>
            <w:tcW w:w="335" w:type="pct"/>
            <w:vAlign w:val="center"/>
          </w:tcPr>
          <w:p w:rsidR="00EE56C0" w:rsidRDefault="000F36A1">
            <w:pPr>
              <w:pStyle w:val="afa"/>
            </w:pPr>
            <w:r>
              <w:t>6</w:t>
            </w:r>
          </w:p>
        </w:tc>
        <w:tc>
          <w:tcPr>
            <w:tcW w:w="232" w:type="pct"/>
            <w:vAlign w:val="center"/>
          </w:tcPr>
          <w:p w:rsidR="00EE56C0" w:rsidRDefault="000F36A1">
            <w:pPr>
              <w:pStyle w:val="afa"/>
            </w:pPr>
            <w:r>
              <w:t>1.25</w:t>
            </w:r>
          </w:p>
        </w:tc>
        <w:tc>
          <w:tcPr>
            <w:tcW w:w="0" w:type="auto"/>
            <w:vAlign w:val="center"/>
          </w:tcPr>
          <w:p w:rsidR="00EE56C0" w:rsidRDefault="000F36A1">
            <w:pPr>
              <w:pStyle w:val="afa"/>
            </w:pPr>
            <w:r>
              <w:t>1.53</w:t>
            </w:r>
          </w:p>
        </w:tc>
        <w:tc>
          <w:tcPr>
            <w:tcW w:w="0" w:type="auto"/>
            <w:vAlign w:val="center"/>
          </w:tcPr>
          <w:p w:rsidR="00EE56C0" w:rsidRDefault="000F36A1">
            <w:pPr>
              <w:pStyle w:val="afa"/>
            </w:pPr>
            <w:r>
              <w:t>6.53</w:t>
            </w:r>
          </w:p>
        </w:tc>
        <w:tc>
          <w:tcPr>
            <w:tcW w:w="0" w:type="auto"/>
            <w:vAlign w:val="center"/>
          </w:tcPr>
          <w:p w:rsidR="00EE56C0" w:rsidRDefault="000F36A1">
            <w:pPr>
              <w:pStyle w:val="afa"/>
            </w:pPr>
            <w:r>
              <w:t>11.53</w:t>
            </w:r>
          </w:p>
        </w:tc>
        <w:tc>
          <w:tcPr>
            <w:tcW w:w="0" w:type="auto"/>
            <w:vAlign w:val="center"/>
          </w:tcPr>
          <w:p w:rsidR="00EE56C0" w:rsidRDefault="000F36A1">
            <w:pPr>
              <w:pStyle w:val="afa"/>
            </w:pPr>
            <w:r>
              <w:t>11.81</w:t>
            </w:r>
          </w:p>
        </w:tc>
        <w:tc>
          <w:tcPr>
            <w:tcW w:w="0" w:type="auto"/>
            <w:vAlign w:val="center"/>
          </w:tcPr>
          <w:p w:rsidR="00EE56C0" w:rsidRDefault="000F36A1">
            <w:pPr>
              <w:pStyle w:val="afa"/>
            </w:pPr>
            <w:r>
              <w:t>2.22</w:t>
            </w:r>
          </w:p>
        </w:tc>
        <w:tc>
          <w:tcPr>
            <w:tcW w:w="0" w:type="auto"/>
            <w:vAlign w:val="center"/>
          </w:tcPr>
          <w:p w:rsidR="00EE56C0" w:rsidRDefault="000F36A1">
            <w:pPr>
              <w:pStyle w:val="afa"/>
            </w:pPr>
            <w:r>
              <w:t>4.58</w:t>
            </w:r>
          </w:p>
        </w:tc>
        <w:tc>
          <w:tcPr>
            <w:tcW w:w="0" w:type="auto"/>
            <w:vAlign w:val="center"/>
          </w:tcPr>
          <w:p w:rsidR="00EE56C0" w:rsidRDefault="000F36A1">
            <w:pPr>
              <w:pStyle w:val="afa"/>
            </w:pPr>
            <w:r>
              <w:t>5.69</w:t>
            </w:r>
          </w:p>
        </w:tc>
        <w:tc>
          <w:tcPr>
            <w:tcW w:w="0" w:type="auto"/>
            <w:vAlign w:val="center"/>
          </w:tcPr>
          <w:p w:rsidR="00EE56C0" w:rsidRDefault="000F36A1">
            <w:pPr>
              <w:pStyle w:val="afa"/>
            </w:pPr>
            <w:r>
              <w:t>15.00</w:t>
            </w:r>
          </w:p>
        </w:tc>
        <w:tc>
          <w:tcPr>
            <w:tcW w:w="0" w:type="auto"/>
            <w:vAlign w:val="center"/>
          </w:tcPr>
          <w:p w:rsidR="00EE56C0" w:rsidRDefault="000F36A1">
            <w:pPr>
              <w:pStyle w:val="afa"/>
            </w:pPr>
            <w:r>
              <w:t>15.83</w:t>
            </w:r>
          </w:p>
        </w:tc>
        <w:tc>
          <w:tcPr>
            <w:tcW w:w="0" w:type="auto"/>
            <w:vAlign w:val="center"/>
          </w:tcPr>
          <w:p w:rsidR="00EE56C0" w:rsidRDefault="000F36A1">
            <w:pPr>
              <w:pStyle w:val="afa"/>
            </w:pPr>
            <w:r>
              <w:t>10.42</w:t>
            </w:r>
          </w:p>
        </w:tc>
        <w:tc>
          <w:tcPr>
            <w:tcW w:w="0" w:type="auto"/>
            <w:vAlign w:val="center"/>
          </w:tcPr>
          <w:p w:rsidR="00EE56C0" w:rsidRDefault="000F36A1">
            <w:pPr>
              <w:pStyle w:val="afa"/>
            </w:pPr>
            <w:r>
              <w:t>4.03</w:t>
            </w:r>
          </w:p>
        </w:tc>
        <w:tc>
          <w:tcPr>
            <w:tcW w:w="0" w:type="auto"/>
            <w:vAlign w:val="center"/>
          </w:tcPr>
          <w:p w:rsidR="00EE56C0" w:rsidRDefault="000F36A1">
            <w:pPr>
              <w:pStyle w:val="afa"/>
            </w:pPr>
            <w:r>
              <w:t>3.75</w:t>
            </w:r>
          </w:p>
        </w:tc>
        <w:tc>
          <w:tcPr>
            <w:tcW w:w="0" w:type="auto"/>
            <w:vAlign w:val="center"/>
          </w:tcPr>
          <w:p w:rsidR="00EE56C0" w:rsidRDefault="000F36A1">
            <w:pPr>
              <w:pStyle w:val="afa"/>
            </w:pPr>
            <w:r>
              <w:t>1.81</w:t>
            </w:r>
          </w:p>
        </w:tc>
        <w:tc>
          <w:tcPr>
            <w:tcW w:w="0" w:type="auto"/>
            <w:vAlign w:val="center"/>
          </w:tcPr>
          <w:p w:rsidR="00EE56C0" w:rsidRDefault="000F36A1">
            <w:pPr>
              <w:pStyle w:val="afa"/>
            </w:pPr>
            <w:r>
              <w:t>1.67</w:t>
            </w:r>
          </w:p>
        </w:tc>
        <w:tc>
          <w:tcPr>
            <w:tcW w:w="0" w:type="auto"/>
            <w:vAlign w:val="center"/>
          </w:tcPr>
          <w:p w:rsidR="00EE56C0" w:rsidRDefault="000F36A1">
            <w:pPr>
              <w:pStyle w:val="afa"/>
            </w:pPr>
            <w:r>
              <w:t>1.11</w:t>
            </w:r>
          </w:p>
        </w:tc>
        <w:tc>
          <w:tcPr>
            <w:tcW w:w="0" w:type="auto"/>
            <w:vAlign w:val="center"/>
          </w:tcPr>
          <w:p w:rsidR="00EE56C0" w:rsidRDefault="000F36A1">
            <w:pPr>
              <w:pStyle w:val="afa"/>
            </w:pPr>
            <w:r>
              <w:t>1.25</w:t>
            </w:r>
          </w:p>
        </w:tc>
      </w:tr>
      <w:tr w:rsidR="00EE56C0">
        <w:trPr>
          <w:trHeight w:val="369"/>
          <w:jc w:val="center"/>
        </w:trPr>
        <w:tc>
          <w:tcPr>
            <w:tcW w:w="335" w:type="pct"/>
            <w:vAlign w:val="center"/>
          </w:tcPr>
          <w:p w:rsidR="00EE56C0" w:rsidRDefault="000F36A1">
            <w:pPr>
              <w:pStyle w:val="afa"/>
            </w:pPr>
            <w:r>
              <w:t>7</w:t>
            </w:r>
          </w:p>
        </w:tc>
        <w:tc>
          <w:tcPr>
            <w:tcW w:w="232" w:type="pct"/>
            <w:vAlign w:val="center"/>
          </w:tcPr>
          <w:p w:rsidR="00EE56C0" w:rsidRDefault="000F36A1">
            <w:pPr>
              <w:pStyle w:val="afa"/>
            </w:pPr>
            <w:r>
              <w:t>3.23</w:t>
            </w:r>
          </w:p>
        </w:tc>
        <w:tc>
          <w:tcPr>
            <w:tcW w:w="0" w:type="auto"/>
            <w:vAlign w:val="center"/>
          </w:tcPr>
          <w:p w:rsidR="00EE56C0" w:rsidRDefault="000F36A1">
            <w:pPr>
              <w:pStyle w:val="afa"/>
            </w:pPr>
            <w:r>
              <w:t>1.34</w:t>
            </w:r>
          </w:p>
        </w:tc>
        <w:tc>
          <w:tcPr>
            <w:tcW w:w="0" w:type="auto"/>
            <w:vAlign w:val="center"/>
          </w:tcPr>
          <w:p w:rsidR="00EE56C0" w:rsidRDefault="000F36A1">
            <w:pPr>
              <w:pStyle w:val="afa"/>
            </w:pPr>
            <w:r>
              <w:t>6.99</w:t>
            </w:r>
          </w:p>
        </w:tc>
        <w:tc>
          <w:tcPr>
            <w:tcW w:w="0" w:type="auto"/>
            <w:vAlign w:val="center"/>
          </w:tcPr>
          <w:p w:rsidR="00EE56C0" w:rsidRDefault="000F36A1">
            <w:pPr>
              <w:pStyle w:val="afa"/>
            </w:pPr>
            <w:r>
              <w:t>13.98</w:t>
            </w:r>
          </w:p>
        </w:tc>
        <w:tc>
          <w:tcPr>
            <w:tcW w:w="0" w:type="auto"/>
            <w:vAlign w:val="center"/>
          </w:tcPr>
          <w:p w:rsidR="00EE56C0" w:rsidRDefault="000F36A1">
            <w:pPr>
              <w:pStyle w:val="afa"/>
            </w:pPr>
            <w:r>
              <w:t>15.73</w:t>
            </w:r>
          </w:p>
        </w:tc>
        <w:tc>
          <w:tcPr>
            <w:tcW w:w="0" w:type="auto"/>
            <w:vAlign w:val="center"/>
          </w:tcPr>
          <w:p w:rsidR="00EE56C0" w:rsidRDefault="000F36A1">
            <w:pPr>
              <w:pStyle w:val="afa"/>
            </w:pPr>
            <w:r>
              <w:t>4.44</w:t>
            </w:r>
          </w:p>
        </w:tc>
        <w:tc>
          <w:tcPr>
            <w:tcW w:w="0" w:type="auto"/>
            <w:vAlign w:val="center"/>
          </w:tcPr>
          <w:p w:rsidR="00EE56C0" w:rsidRDefault="000F36A1">
            <w:pPr>
              <w:pStyle w:val="afa"/>
            </w:pPr>
            <w:r>
              <w:t>4.17</w:t>
            </w:r>
          </w:p>
        </w:tc>
        <w:tc>
          <w:tcPr>
            <w:tcW w:w="0" w:type="auto"/>
            <w:vAlign w:val="center"/>
          </w:tcPr>
          <w:p w:rsidR="00EE56C0" w:rsidRDefault="000F36A1">
            <w:pPr>
              <w:pStyle w:val="afa"/>
            </w:pPr>
            <w:r>
              <w:t>4.97</w:t>
            </w:r>
          </w:p>
        </w:tc>
        <w:tc>
          <w:tcPr>
            <w:tcW w:w="0" w:type="auto"/>
            <w:vAlign w:val="center"/>
          </w:tcPr>
          <w:p w:rsidR="00EE56C0" w:rsidRDefault="000F36A1">
            <w:pPr>
              <w:pStyle w:val="afa"/>
            </w:pPr>
            <w:r>
              <w:t>14.52</w:t>
            </w:r>
          </w:p>
        </w:tc>
        <w:tc>
          <w:tcPr>
            <w:tcW w:w="0" w:type="auto"/>
            <w:vAlign w:val="center"/>
          </w:tcPr>
          <w:p w:rsidR="00EE56C0" w:rsidRDefault="000F36A1">
            <w:pPr>
              <w:pStyle w:val="afa"/>
            </w:pPr>
            <w:r>
              <w:t>13.04</w:t>
            </w:r>
          </w:p>
        </w:tc>
        <w:tc>
          <w:tcPr>
            <w:tcW w:w="0" w:type="auto"/>
            <w:vAlign w:val="center"/>
          </w:tcPr>
          <w:p w:rsidR="00EE56C0" w:rsidRDefault="000F36A1">
            <w:pPr>
              <w:pStyle w:val="afa"/>
            </w:pPr>
            <w:r>
              <w:t>5.24</w:t>
            </w:r>
          </w:p>
        </w:tc>
        <w:tc>
          <w:tcPr>
            <w:tcW w:w="0" w:type="auto"/>
            <w:vAlign w:val="center"/>
          </w:tcPr>
          <w:p w:rsidR="00EE56C0" w:rsidRDefault="000F36A1">
            <w:pPr>
              <w:pStyle w:val="afa"/>
            </w:pPr>
            <w:r>
              <w:t>2.82</w:t>
            </w:r>
          </w:p>
        </w:tc>
        <w:tc>
          <w:tcPr>
            <w:tcW w:w="0" w:type="auto"/>
            <w:vAlign w:val="center"/>
          </w:tcPr>
          <w:p w:rsidR="00EE56C0" w:rsidRDefault="000F36A1">
            <w:pPr>
              <w:pStyle w:val="afa"/>
            </w:pPr>
            <w:r>
              <w:t>3.63</w:t>
            </w:r>
          </w:p>
        </w:tc>
        <w:tc>
          <w:tcPr>
            <w:tcW w:w="0" w:type="auto"/>
            <w:vAlign w:val="center"/>
          </w:tcPr>
          <w:p w:rsidR="00EE56C0" w:rsidRDefault="000F36A1">
            <w:pPr>
              <w:pStyle w:val="afa"/>
            </w:pPr>
            <w:r>
              <w:t>1.08</w:t>
            </w:r>
          </w:p>
        </w:tc>
        <w:tc>
          <w:tcPr>
            <w:tcW w:w="0" w:type="auto"/>
            <w:vAlign w:val="center"/>
          </w:tcPr>
          <w:p w:rsidR="00EE56C0" w:rsidRDefault="000F36A1">
            <w:pPr>
              <w:pStyle w:val="afa"/>
            </w:pPr>
            <w:r>
              <w:t>1.34</w:t>
            </w:r>
          </w:p>
        </w:tc>
        <w:tc>
          <w:tcPr>
            <w:tcW w:w="0" w:type="auto"/>
            <w:vAlign w:val="center"/>
          </w:tcPr>
          <w:p w:rsidR="00EE56C0" w:rsidRDefault="000F36A1">
            <w:pPr>
              <w:pStyle w:val="afa"/>
            </w:pPr>
            <w:r>
              <w:t>1.34</w:t>
            </w:r>
          </w:p>
        </w:tc>
        <w:tc>
          <w:tcPr>
            <w:tcW w:w="0" w:type="auto"/>
            <w:vAlign w:val="center"/>
          </w:tcPr>
          <w:p w:rsidR="00EE56C0" w:rsidRDefault="000F36A1">
            <w:pPr>
              <w:pStyle w:val="afa"/>
            </w:pPr>
            <w:r>
              <w:t>2.15</w:t>
            </w:r>
          </w:p>
        </w:tc>
      </w:tr>
      <w:tr w:rsidR="00EE56C0">
        <w:trPr>
          <w:trHeight w:val="369"/>
          <w:jc w:val="center"/>
        </w:trPr>
        <w:tc>
          <w:tcPr>
            <w:tcW w:w="335" w:type="pct"/>
            <w:vAlign w:val="center"/>
          </w:tcPr>
          <w:p w:rsidR="00EE56C0" w:rsidRDefault="000F36A1">
            <w:pPr>
              <w:pStyle w:val="afa"/>
            </w:pPr>
            <w:r>
              <w:t>8</w:t>
            </w:r>
          </w:p>
        </w:tc>
        <w:tc>
          <w:tcPr>
            <w:tcW w:w="232" w:type="pct"/>
            <w:vAlign w:val="center"/>
          </w:tcPr>
          <w:p w:rsidR="00EE56C0" w:rsidRDefault="000F36A1">
            <w:pPr>
              <w:pStyle w:val="afa"/>
            </w:pPr>
            <w:r>
              <w:t>2.69</w:t>
            </w:r>
          </w:p>
        </w:tc>
        <w:tc>
          <w:tcPr>
            <w:tcW w:w="0" w:type="auto"/>
            <w:vAlign w:val="center"/>
          </w:tcPr>
          <w:p w:rsidR="00EE56C0" w:rsidRDefault="000F36A1">
            <w:pPr>
              <w:pStyle w:val="afa"/>
            </w:pPr>
            <w:r>
              <w:t>2.02</w:t>
            </w:r>
          </w:p>
        </w:tc>
        <w:tc>
          <w:tcPr>
            <w:tcW w:w="0" w:type="auto"/>
            <w:vAlign w:val="center"/>
          </w:tcPr>
          <w:p w:rsidR="00EE56C0" w:rsidRDefault="000F36A1">
            <w:pPr>
              <w:pStyle w:val="afa"/>
            </w:pPr>
            <w:r>
              <w:t>9.41</w:t>
            </w:r>
          </w:p>
        </w:tc>
        <w:tc>
          <w:tcPr>
            <w:tcW w:w="0" w:type="auto"/>
            <w:vAlign w:val="center"/>
          </w:tcPr>
          <w:p w:rsidR="00EE56C0" w:rsidRDefault="000F36A1">
            <w:pPr>
              <w:pStyle w:val="afa"/>
            </w:pPr>
            <w:r>
              <w:t>23.52</w:t>
            </w:r>
          </w:p>
        </w:tc>
        <w:tc>
          <w:tcPr>
            <w:tcW w:w="0" w:type="auto"/>
            <w:vAlign w:val="center"/>
          </w:tcPr>
          <w:p w:rsidR="00EE56C0" w:rsidRDefault="000F36A1">
            <w:pPr>
              <w:pStyle w:val="afa"/>
            </w:pPr>
            <w:r>
              <w:t>25.00</w:t>
            </w:r>
          </w:p>
        </w:tc>
        <w:tc>
          <w:tcPr>
            <w:tcW w:w="0" w:type="auto"/>
            <w:vAlign w:val="center"/>
          </w:tcPr>
          <w:p w:rsidR="00EE56C0" w:rsidRDefault="000F36A1">
            <w:pPr>
              <w:pStyle w:val="afa"/>
            </w:pPr>
            <w:r>
              <w:t>4.70</w:t>
            </w:r>
          </w:p>
        </w:tc>
        <w:tc>
          <w:tcPr>
            <w:tcW w:w="0" w:type="auto"/>
            <w:vAlign w:val="center"/>
          </w:tcPr>
          <w:p w:rsidR="00EE56C0" w:rsidRDefault="000F36A1">
            <w:pPr>
              <w:pStyle w:val="afa"/>
            </w:pPr>
            <w:r>
              <w:t>3.09</w:t>
            </w:r>
          </w:p>
        </w:tc>
        <w:tc>
          <w:tcPr>
            <w:tcW w:w="0" w:type="auto"/>
            <w:vAlign w:val="center"/>
          </w:tcPr>
          <w:p w:rsidR="00EE56C0" w:rsidRDefault="000F36A1">
            <w:pPr>
              <w:pStyle w:val="afa"/>
            </w:pPr>
            <w:r>
              <w:t>2.02</w:t>
            </w:r>
          </w:p>
        </w:tc>
        <w:tc>
          <w:tcPr>
            <w:tcW w:w="0" w:type="auto"/>
            <w:vAlign w:val="center"/>
          </w:tcPr>
          <w:p w:rsidR="00EE56C0" w:rsidRDefault="000F36A1">
            <w:pPr>
              <w:pStyle w:val="afa"/>
            </w:pPr>
            <w:r>
              <w:t>5.24</w:t>
            </w:r>
          </w:p>
        </w:tc>
        <w:tc>
          <w:tcPr>
            <w:tcW w:w="0" w:type="auto"/>
            <w:vAlign w:val="center"/>
          </w:tcPr>
          <w:p w:rsidR="00EE56C0" w:rsidRDefault="000F36A1">
            <w:pPr>
              <w:pStyle w:val="afa"/>
            </w:pPr>
            <w:r>
              <w:t>4.84</w:t>
            </w:r>
          </w:p>
        </w:tc>
        <w:tc>
          <w:tcPr>
            <w:tcW w:w="0" w:type="auto"/>
            <w:vAlign w:val="center"/>
          </w:tcPr>
          <w:p w:rsidR="00EE56C0" w:rsidRDefault="000F36A1">
            <w:pPr>
              <w:pStyle w:val="afa"/>
            </w:pPr>
            <w:r>
              <w:t>2.96</w:t>
            </w:r>
          </w:p>
        </w:tc>
        <w:tc>
          <w:tcPr>
            <w:tcW w:w="0" w:type="auto"/>
            <w:vAlign w:val="center"/>
          </w:tcPr>
          <w:p w:rsidR="00EE56C0" w:rsidRDefault="000F36A1">
            <w:pPr>
              <w:pStyle w:val="afa"/>
            </w:pPr>
            <w:r>
              <w:t>2.42</w:t>
            </w:r>
          </w:p>
        </w:tc>
        <w:tc>
          <w:tcPr>
            <w:tcW w:w="0" w:type="auto"/>
            <w:vAlign w:val="center"/>
          </w:tcPr>
          <w:p w:rsidR="00EE56C0" w:rsidRDefault="000F36A1">
            <w:pPr>
              <w:pStyle w:val="afa"/>
            </w:pPr>
            <w:r>
              <w:t>5.24</w:t>
            </w:r>
          </w:p>
        </w:tc>
        <w:tc>
          <w:tcPr>
            <w:tcW w:w="0" w:type="auto"/>
            <w:vAlign w:val="center"/>
          </w:tcPr>
          <w:p w:rsidR="00EE56C0" w:rsidRDefault="000F36A1">
            <w:pPr>
              <w:pStyle w:val="afa"/>
            </w:pPr>
            <w:r>
              <w:t>1.61</w:t>
            </w:r>
          </w:p>
        </w:tc>
        <w:tc>
          <w:tcPr>
            <w:tcW w:w="0" w:type="auto"/>
            <w:vAlign w:val="center"/>
          </w:tcPr>
          <w:p w:rsidR="00EE56C0" w:rsidRDefault="000F36A1">
            <w:pPr>
              <w:pStyle w:val="afa"/>
            </w:pPr>
            <w:r>
              <w:t>1.48</w:t>
            </w:r>
          </w:p>
        </w:tc>
        <w:tc>
          <w:tcPr>
            <w:tcW w:w="0" w:type="auto"/>
            <w:vAlign w:val="center"/>
          </w:tcPr>
          <w:p w:rsidR="00EE56C0" w:rsidRDefault="000F36A1">
            <w:pPr>
              <w:pStyle w:val="afa"/>
            </w:pPr>
            <w:r>
              <w:t>1.21</w:t>
            </w:r>
          </w:p>
        </w:tc>
        <w:tc>
          <w:tcPr>
            <w:tcW w:w="0" w:type="auto"/>
            <w:vAlign w:val="center"/>
          </w:tcPr>
          <w:p w:rsidR="00EE56C0" w:rsidRDefault="000F36A1">
            <w:pPr>
              <w:pStyle w:val="afa"/>
            </w:pPr>
            <w:r>
              <w:t>2.55</w:t>
            </w:r>
          </w:p>
        </w:tc>
      </w:tr>
      <w:tr w:rsidR="00EE56C0">
        <w:trPr>
          <w:trHeight w:val="369"/>
          <w:jc w:val="center"/>
        </w:trPr>
        <w:tc>
          <w:tcPr>
            <w:tcW w:w="335" w:type="pct"/>
            <w:vAlign w:val="center"/>
          </w:tcPr>
          <w:p w:rsidR="00EE56C0" w:rsidRDefault="000F36A1">
            <w:pPr>
              <w:pStyle w:val="afa"/>
            </w:pPr>
            <w:r>
              <w:t>9</w:t>
            </w:r>
          </w:p>
        </w:tc>
        <w:tc>
          <w:tcPr>
            <w:tcW w:w="232" w:type="pct"/>
            <w:vAlign w:val="center"/>
          </w:tcPr>
          <w:p w:rsidR="00EE56C0" w:rsidRDefault="000F36A1">
            <w:pPr>
              <w:pStyle w:val="afa"/>
            </w:pPr>
            <w:r>
              <w:t>2.50</w:t>
            </w:r>
          </w:p>
        </w:tc>
        <w:tc>
          <w:tcPr>
            <w:tcW w:w="0" w:type="auto"/>
            <w:vAlign w:val="center"/>
          </w:tcPr>
          <w:p w:rsidR="00EE56C0" w:rsidRDefault="000F36A1">
            <w:pPr>
              <w:pStyle w:val="afa"/>
            </w:pPr>
            <w:r>
              <w:t>2.36</w:t>
            </w:r>
          </w:p>
        </w:tc>
        <w:tc>
          <w:tcPr>
            <w:tcW w:w="0" w:type="auto"/>
            <w:vAlign w:val="center"/>
          </w:tcPr>
          <w:p w:rsidR="00EE56C0" w:rsidRDefault="000F36A1">
            <w:pPr>
              <w:pStyle w:val="afa"/>
            </w:pPr>
            <w:r>
              <w:t>9.31</w:t>
            </w:r>
          </w:p>
        </w:tc>
        <w:tc>
          <w:tcPr>
            <w:tcW w:w="0" w:type="auto"/>
            <w:vAlign w:val="center"/>
          </w:tcPr>
          <w:p w:rsidR="00EE56C0" w:rsidRDefault="000F36A1">
            <w:pPr>
              <w:pStyle w:val="afa"/>
            </w:pPr>
            <w:r>
              <w:t>16.53</w:t>
            </w:r>
          </w:p>
        </w:tc>
        <w:tc>
          <w:tcPr>
            <w:tcW w:w="0" w:type="auto"/>
            <w:vAlign w:val="center"/>
          </w:tcPr>
          <w:p w:rsidR="00EE56C0" w:rsidRDefault="000F36A1">
            <w:pPr>
              <w:pStyle w:val="afa"/>
            </w:pPr>
            <w:r>
              <w:t>17.36</w:t>
            </w:r>
          </w:p>
        </w:tc>
        <w:tc>
          <w:tcPr>
            <w:tcW w:w="0" w:type="auto"/>
            <w:vAlign w:val="center"/>
          </w:tcPr>
          <w:p w:rsidR="00EE56C0" w:rsidRDefault="000F36A1">
            <w:pPr>
              <w:pStyle w:val="afa"/>
            </w:pPr>
            <w:r>
              <w:t>3.75</w:t>
            </w:r>
          </w:p>
        </w:tc>
        <w:tc>
          <w:tcPr>
            <w:tcW w:w="0" w:type="auto"/>
            <w:vAlign w:val="center"/>
          </w:tcPr>
          <w:p w:rsidR="00EE56C0" w:rsidRDefault="000F36A1">
            <w:pPr>
              <w:pStyle w:val="afa"/>
            </w:pPr>
            <w:r>
              <w:t>4.03</w:t>
            </w:r>
          </w:p>
        </w:tc>
        <w:tc>
          <w:tcPr>
            <w:tcW w:w="0" w:type="auto"/>
            <w:vAlign w:val="center"/>
          </w:tcPr>
          <w:p w:rsidR="00EE56C0" w:rsidRDefault="000F36A1">
            <w:pPr>
              <w:pStyle w:val="afa"/>
            </w:pPr>
            <w:r>
              <w:t>2.22</w:t>
            </w:r>
          </w:p>
        </w:tc>
        <w:tc>
          <w:tcPr>
            <w:tcW w:w="0" w:type="auto"/>
            <w:vAlign w:val="center"/>
          </w:tcPr>
          <w:p w:rsidR="00EE56C0" w:rsidRDefault="000F36A1">
            <w:pPr>
              <w:pStyle w:val="afa"/>
            </w:pPr>
            <w:r>
              <w:t>7.92</w:t>
            </w:r>
          </w:p>
        </w:tc>
        <w:tc>
          <w:tcPr>
            <w:tcW w:w="0" w:type="auto"/>
            <w:vAlign w:val="center"/>
          </w:tcPr>
          <w:p w:rsidR="00EE56C0" w:rsidRDefault="000F36A1">
            <w:pPr>
              <w:pStyle w:val="afa"/>
            </w:pPr>
            <w:r>
              <w:t>5.56</w:t>
            </w:r>
          </w:p>
        </w:tc>
        <w:tc>
          <w:tcPr>
            <w:tcW w:w="0" w:type="auto"/>
            <w:vAlign w:val="center"/>
          </w:tcPr>
          <w:p w:rsidR="00EE56C0" w:rsidRDefault="000F36A1">
            <w:pPr>
              <w:pStyle w:val="afa"/>
            </w:pPr>
            <w:r>
              <w:t>6.53</w:t>
            </w:r>
          </w:p>
        </w:tc>
        <w:tc>
          <w:tcPr>
            <w:tcW w:w="0" w:type="auto"/>
            <w:vAlign w:val="center"/>
          </w:tcPr>
          <w:p w:rsidR="00EE56C0" w:rsidRDefault="000F36A1">
            <w:pPr>
              <w:pStyle w:val="afa"/>
            </w:pPr>
            <w:r>
              <w:t>5.00</w:t>
            </w:r>
          </w:p>
        </w:tc>
        <w:tc>
          <w:tcPr>
            <w:tcW w:w="0" w:type="auto"/>
            <w:vAlign w:val="center"/>
          </w:tcPr>
          <w:p w:rsidR="00EE56C0" w:rsidRDefault="000F36A1">
            <w:pPr>
              <w:pStyle w:val="afa"/>
            </w:pPr>
            <w:r>
              <w:t>6.39</w:t>
            </w:r>
          </w:p>
        </w:tc>
        <w:tc>
          <w:tcPr>
            <w:tcW w:w="0" w:type="auto"/>
            <w:vAlign w:val="center"/>
          </w:tcPr>
          <w:p w:rsidR="00EE56C0" w:rsidRDefault="000F36A1">
            <w:pPr>
              <w:pStyle w:val="afa"/>
            </w:pPr>
            <w:r>
              <w:t>2.22</w:t>
            </w:r>
          </w:p>
        </w:tc>
        <w:tc>
          <w:tcPr>
            <w:tcW w:w="0" w:type="auto"/>
            <w:vAlign w:val="center"/>
          </w:tcPr>
          <w:p w:rsidR="00EE56C0" w:rsidRDefault="000F36A1">
            <w:pPr>
              <w:pStyle w:val="afa"/>
            </w:pPr>
            <w:r>
              <w:t>2.08</w:t>
            </w:r>
          </w:p>
        </w:tc>
        <w:tc>
          <w:tcPr>
            <w:tcW w:w="0" w:type="auto"/>
            <w:vAlign w:val="center"/>
          </w:tcPr>
          <w:p w:rsidR="00EE56C0" w:rsidRDefault="000F36A1">
            <w:pPr>
              <w:pStyle w:val="afa"/>
            </w:pPr>
            <w:r>
              <w:t>1.67</w:t>
            </w:r>
          </w:p>
        </w:tc>
        <w:tc>
          <w:tcPr>
            <w:tcW w:w="0" w:type="auto"/>
            <w:vAlign w:val="center"/>
          </w:tcPr>
          <w:p w:rsidR="00EE56C0" w:rsidRDefault="000F36A1">
            <w:pPr>
              <w:pStyle w:val="afa"/>
            </w:pPr>
            <w:r>
              <w:t>4.58</w:t>
            </w:r>
          </w:p>
        </w:tc>
      </w:tr>
      <w:tr w:rsidR="00EE56C0">
        <w:trPr>
          <w:trHeight w:val="369"/>
          <w:jc w:val="center"/>
        </w:trPr>
        <w:tc>
          <w:tcPr>
            <w:tcW w:w="335" w:type="pct"/>
            <w:vAlign w:val="center"/>
          </w:tcPr>
          <w:p w:rsidR="00EE56C0" w:rsidRDefault="000F36A1">
            <w:pPr>
              <w:pStyle w:val="afa"/>
            </w:pPr>
            <w:r>
              <w:t>10</w:t>
            </w:r>
          </w:p>
        </w:tc>
        <w:tc>
          <w:tcPr>
            <w:tcW w:w="232" w:type="pct"/>
            <w:vAlign w:val="center"/>
          </w:tcPr>
          <w:p w:rsidR="00EE56C0" w:rsidRDefault="000F36A1">
            <w:pPr>
              <w:pStyle w:val="afa"/>
            </w:pPr>
            <w:r>
              <w:t>4.84</w:t>
            </w:r>
          </w:p>
        </w:tc>
        <w:tc>
          <w:tcPr>
            <w:tcW w:w="0" w:type="auto"/>
            <w:vAlign w:val="center"/>
          </w:tcPr>
          <w:p w:rsidR="00EE56C0" w:rsidRDefault="000F36A1">
            <w:pPr>
              <w:pStyle w:val="afa"/>
            </w:pPr>
            <w:r>
              <w:t>2.82</w:t>
            </w:r>
          </w:p>
        </w:tc>
        <w:tc>
          <w:tcPr>
            <w:tcW w:w="0" w:type="auto"/>
            <w:vAlign w:val="center"/>
          </w:tcPr>
          <w:p w:rsidR="00EE56C0" w:rsidRDefault="000F36A1">
            <w:pPr>
              <w:pStyle w:val="afa"/>
            </w:pPr>
            <w:r>
              <w:t>14.25</w:t>
            </w:r>
          </w:p>
        </w:tc>
        <w:tc>
          <w:tcPr>
            <w:tcW w:w="0" w:type="auto"/>
            <w:vAlign w:val="center"/>
          </w:tcPr>
          <w:p w:rsidR="00EE56C0" w:rsidRDefault="000F36A1">
            <w:pPr>
              <w:pStyle w:val="afa"/>
            </w:pPr>
            <w:r>
              <w:t>15.59</w:t>
            </w:r>
          </w:p>
        </w:tc>
        <w:tc>
          <w:tcPr>
            <w:tcW w:w="0" w:type="auto"/>
            <w:vAlign w:val="center"/>
          </w:tcPr>
          <w:p w:rsidR="00EE56C0" w:rsidRDefault="000F36A1">
            <w:pPr>
              <w:pStyle w:val="afa"/>
            </w:pPr>
            <w:r>
              <w:t>8.20</w:t>
            </w:r>
          </w:p>
        </w:tc>
        <w:tc>
          <w:tcPr>
            <w:tcW w:w="0" w:type="auto"/>
            <w:vAlign w:val="center"/>
          </w:tcPr>
          <w:p w:rsidR="00EE56C0" w:rsidRDefault="000F36A1">
            <w:pPr>
              <w:pStyle w:val="afa"/>
            </w:pPr>
            <w:r>
              <w:t>1.75</w:t>
            </w:r>
          </w:p>
        </w:tc>
        <w:tc>
          <w:tcPr>
            <w:tcW w:w="0" w:type="auto"/>
            <w:vAlign w:val="center"/>
          </w:tcPr>
          <w:p w:rsidR="00EE56C0" w:rsidRDefault="000F36A1">
            <w:pPr>
              <w:pStyle w:val="afa"/>
            </w:pPr>
            <w:r>
              <w:t>1.61</w:t>
            </w:r>
          </w:p>
        </w:tc>
        <w:tc>
          <w:tcPr>
            <w:tcW w:w="0" w:type="auto"/>
            <w:vAlign w:val="center"/>
          </w:tcPr>
          <w:p w:rsidR="00EE56C0" w:rsidRDefault="000F36A1">
            <w:pPr>
              <w:pStyle w:val="afa"/>
            </w:pPr>
            <w:r>
              <w:t>1.34</w:t>
            </w:r>
          </w:p>
        </w:tc>
        <w:tc>
          <w:tcPr>
            <w:tcW w:w="0" w:type="auto"/>
            <w:vAlign w:val="center"/>
          </w:tcPr>
          <w:p w:rsidR="00EE56C0" w:rsidRDefault="000F36A1">
            <w:pPr>
              <w:pStyle w:val="afa"/>
            </w:pPr>
            <w:r>
              <w:t>6.18</w:t>
            </w:r>
          </w:p>
        </w:tc>
        <w:tc>
          <w:tcPr>
            <w:tcW w:w="0" w:type="auto"/>
            <w:vAlign w:val="center"/>
          </w:tcPr>
          <w:p w:rsidR="00EE56C0" w:rsidRDefault="000F36A1">
            <w:pPr>
              <w:pStyle w:val="afa"/>
            </w:pPr>
            <w:r>
              <w:t>10.35</w:t>
            </w:r>
          </w:p>
        </w:tc>
        <w:tc>
          <w:tcPr>
            <w:tcW w:w="0" w:type="auto"/>
            <w:vAlign w:val="center"/>
          </w:tcPr>
          <w:p w:rsidR="00EE56C0" w:rsidRDefault="000F36A1">
            <w:pPr>
              <w:pStyle w:val="afa"/>
            </w:pPr>
            <w:r>
              <w:t>8.74</w:t>
            </w:r>
          </w:p>
        </w:tc>
        <w:tc>
          <w:tcPr>
            <w:tcW w:w="0" w:type="auto"/>
            <w:vAlign w:val="center"/>
          </w:tcPr>
          <w:p w:rsidR="00EE56C0" w:rsidRDefault="000F36A1">
            <w:pPr>
              <w:pStyle w:val="afa"/>
            </w:pPr>
            <w:r>
              <w:t>6.85</w:t>
            </w:r>
          </w:p>
        </w:tc>
        <w:tc>
          <w:tcPr>
            <w:tcW w:w="0" w:type="auto"/>
            <w:vAlign w:val="center"/>
          </w:tcPr>
          <w:p w:rsidR="00EE56C0" w:rsidRDefault="000F36A1">
            <w:pPr>
              <w:pStyle w:val="afa"/>
            </w:pPr>
            <w:r>
              <w:t>4.70</w:t>
            </w:r>
          </w:p>
        </w:tc>
        <w:tc>
          <w:tcPr>
            <w:tcW w:w="0" w:type="auto"/>
            <w:vAlign w:val="center"/>
          </w:tcPr>
          <w:p w:rsidR="00EE56C0" w:rsidRDefault="000F36A1">
            <w:pPr>
              <w:pStyle w:val="afa"/>
            </w:pPr>
            <w:r>
              <w:t>2.42</w:t>
            </w:r>
          </w:p>
        </w:tc>
        <w:tc>
          <w:tcPr>
            <w:tcW w:w="0" w:type="auto"/>
            <w:vAlign w:val="center"/>
          </w:tcPr>
          <w:p w:rsidR="00EE56C0" w:rsidRDefault="000F36A1">
            <w:pPr>
              <w:pStyle w:val="afa"/>
            </w:pPr>
            <w:r>
              <w:t>1.61</w:t>
            </w:r>
          </w:p>
        </w:tc>
        <w:tc>
          <w:tcPr>
            <w:tcW w:w="0" w:type="auto"/>
            <w:vAlign w:val="center"/>
          </w:tcPr>
          <w:p w:rsidR="00EE56C0" w:rsidRDefault="000F36A1">
            <w:pPr>
              <w:pStyle w:val="afa"/>
            </w:pPr>
            <w:r>
              <w:t>1.61</w:t>
            </w:r>
          </w:p>
        </w:tc>
        <w:tc>
          <w:tcPr>
            <w:tcW w:w="0" w:type="auto"/>
            <w:vAlign w:val="center"/>
          </w:tcPr>
          <w:p w:rsidR="00EE56C0" w:rsidRDefault="000F36A1">
            <w:pPr>
              <w:pStyle w:val="afa"/>
            </w:pPr>
            <w:r>
              <w:t>7.12</w:t>
            </w:r>
          </w:p>
        </w:tc>
      </w:tr>
      <w:tr w:rsidR="00EE56C0">
        <w:trPr>
          <w:trHeight w:val="369"/>
          <w:jc w:val="center"/>
        </w:trPr>
        <w:tc>
          <w:tcPr>
            <w:tcW w:w="335" w:type="pct"/>
            <w:vAlign w:val="center"/>
          </w:tcPr>
          <w:p w:rsidR="00EE56C0" w:rsidRDefault="000F36A1">
            <w:pPr>
              <w:pStyle w:val="afa"/>
            </w:pPr>
            <w:r>
              <w:t>11</w:t>
            </w:r>
          </w:p>
        </w:tc>
        <w:tc>
          <w:tcPr>
            <w:tcW w:w="232" w:type="pct"/>
            <w:vAlign w:val="center"/>
          </w:tcPr>
          <w:p w:rsidR="00EE56C0" w:rsidRDefault="000F36A1">
            <w:pPr>
              <w:pStyle w:val="afa"/>
            </w:pPr>
            <w:r>
              <w:t>6.94</w:t>
            </w:r>
          </w:p>
        </w:tc>
        <w:tc>
          <w:tcPr>
            <w:tcW w:w="0" w:type="auto"/>
            <w:vAlign w:val="center"/>
          </w:tcPr>
          <w:p w:rsidR="00EE56C0" w:rsidRDefault="000F36A1">
            <w:pPr>
              <w:pStyle w:val="afa"/>
            </w:pPr>
            <w:r>
              <w:t>1.53</w:t>
            </w:r>
          </w:p>
        </w:tc>
        <w:tc>
          <w:tcPr>
            <w:tcW w:w="0" w:type="auto"/>
            <w:vAlign w:val="center"/>
          </w:tcPr>
          <w:p w:rsidR="00EE56C0" w:rsidRDefault="000F36A1">
            <w:pPr>
              <w:pStyle w:val="afa"/>
            </w:pPr>
            <w:r>
              <w:t>11.94</w:t>
            </w:r>
          </w:p>
        </w:tc>
        <w:tc>
          <w:tcPr>
            <w:tcW w:w="0" w:type="auto"/>
            <w:vAlign w:val="center"/>
          </w:tcPr>
          <w:p w:rsidR="00EE56C0" w:rsidRDefault="000F36A1">
            <w:pPr>
              <w:pStyle w:val="afa"/>
            </w:pPr>
            <w:r>
              <w:t>22.22</w:t>
            </w:r>
          </w:p>
        </w:tc>
        <w:tc>
          <w:tcPr>
            <w:tcW w:w="0" w:type="auto"/>
            <w:vAlign w:val="center"/>
          </w:tcPr>
          <w:p w:rsidR="00EE56C0" w:rsidRDefault="000F36A1">
            <w:pPr>
              <w:pStyle w:val="afa"/>
            </w:pPr>
            <w:r>
              <w:t>17.22</w:t>
            </w:r>
          </w:p>
        </w:tc>
        <w:tc>
          <w:tcPr>
            <w:tcW w:w="0" w:type="auto"/>
            <w:vAlign w:val="center"/>
          </w:tcPr>
          <w:p w:rsidR="00EE56C0" w:rsidRDefault="000F36A1">
            <w:pPr>
              <w:pStyle w:val="afa"/>
            </w:pPr>
            <w:r>
              <w:t>2.64</w:t>
            </w:r>
          </w:p>
        </w:tc>
        <w:tc>
          <w:tcPr>
            <w:tcW w:w="0" w:type="auto"/>
            <w:vAlign w:val="center"/>
          </w:tcPr>
          <w:p w:rsidR="00EE56C0" w:rsidRDefault="000F36A1">
            <w:pPr>
              <w:pStyle w:val="afa"/>
            </w:pPr>
            <w:r>
              <w:t>1.11</w:t>
            </w:r>
          </w:p>
        </w:tc>
        <w:tc>
          <w:tcPr>
            <w:tcW w:w="0" w:type="auto"/>
            <w:vAlign w:val="center"/>
          </w:tcPr>
          <w:p w:rsidR="00EE56C0" w:rsidRDefault="000F36A1">
            <w:pPr>
              <w:pStyle w:val="afa"/>
            </w:pPr>
            <w:r>
              <w:t>1.25</w:t>
            </w:r>
          </w:p>
        </w:tc>
        <w:tc>
          <w:tcPr>
            <w:tcW w:w="0" w:type="auto"/>
            <w:vAlign w:val="center"/>
          </w:tcPr>
          <w:p w:rsidR="00EE56C0" w:rsidRDefault="000F36A1">
            <w:pPr>
              <w:pStyle w:val="afa"/>
            </w:pPr>
            <w:r>
              <w:t>2.50</w:t>
            </w:r>
          </w:p>
        </w:tc>
        <w:tc>
          <w:tcPr>
            <w:tcW w:w="0" w:type="auto"/>
            <w:vAlign w:val="center"/>
          </w:tcPr>
          <w:p w:rsidR="00EE56C0" w:rsidRDefault="000F36A1">
            <w:pPr>
              <w:pStyle w:val="afa"/>
            </w:pPr>
            <w:r>
              <w:t>8.47</w:t>
            </w:r>
          </w:p>
        </w:tc>
        <w:tc>
          <w:tcPr>
            <w:tcW w:w="0" w:type="auto"/>
            <w:vAlign w:val="center"/>
          </w:tcPr>
          <w:p w:rsidR="00EE56C0" w:rsidRDefault="000F36A1">
            <w:pPr>
              <w:pStyle w:val="afa"/>
            </w:pPr>
            <w:r>
              <w:t>7.36</w:t>
            </w:r>
          </w:p>
        </w:tc>
        <w:tc>
          <w:tcPr>
            <w:tcW w:w="0" w:type="auto"/>
            <w:vAlign w:val="center"/>
          </w:tcPr>
          <w:p w:rsidR="00EE56C0" w:rsidRDefault="000F36A1">
            <w:pPr>
              <w:pStyle w:val="afa"/>
            </w:pPr>
            <w:r>
              <w:t>4.72</w:t>
            </w:r>
          </w:p>
        </w:tc>
        <w:tc>
          <w:tcPr>
            <w:tcW w:w="0" w:type="auto"/>
            <w:vAlign w:val="center"/>
          </w:tcPr>
          <w:p w:rsidR="00EE56C0" w:rsidRDefault="000F36A1">
            <w:pPr>
              <w:pStyle w:val="afa"/>
            </w:pPr>
            <w:r>
              <w:t>4.58</w:t>
            </w:r>
          </w:p>
        </w:tc>
        <w:tc>
          <w:tcPr>
            <w:tcW w:w="0" w:type="auto"/>
            <w:vAlign w:val="center"/>
          </w:tcPr>
          <w:p w:rsidR="00EE56C0" w:rsidRDefault="000F36A1">
            <w:pPr>
              <w:pStyle w:val="afa"/>
            </w:pPr>
            <w:r>
              <w:t>1.81</w:t>
            </w:r>
          </w:p>
        </w:tc>
        <w:tc>
          <w:tcPr>
            <w:tcW w:w="0" w:type="auto"/>
            <w:vAlign w:val="center"/>
          </w:tcPr>
          <w:p w:rsidR="00EE56C0" w:rsidRDefault="000F36A1">
            <w:pPr>
              <w:pStyle w:val="afa"/>
            </w:pPr>
            <w:r>
              <w:t>1.11</w:t>
            </w:r>
          </w:p>
        </w:tc>
        <w:tc>
          <w:tcPr>
            <w:tcW w:w="0" w:type="auto"/>
            <w:vAlign w:val="center"/>
          </w:tcPr>
          <w:p w:rsidR="00EE56C0" w:rsidRDefault="000F36A1">
            <w:pPr>
              <w:pStyle w:val="afa"/>
            </w:pPr>
            <w:r>
              <w:t>1.39</w:t>
            </w:r>
          </w:p>
        </w:tc>
        <w:tc>
          <w:tcPr>
            <w:tcW w:w="0" w:type="auto"/>
            <w:vAlign w:val="center"/>
          </w:tcPr>
          <w:p w:rsidR="00EE56C0" w:rsidRDefault="000F36A1">
            <w:pPr>
              <w:pStyle w:val="afa"/>
            </w:pPr>
            <w:r>
              <w:t>3.19</w:t>
            </w:r>
          </w:p>
        </w:tc>
      </w:tr>
      <w:tr w:rsidR="00EE56C0">
        <w:trPr>
          <w:trHeight w:val="369"/>
          <w:jc w:val="center"/>
        </w:trPr>
        <w:tc>
          <w:tcPr>
            <w:tcW w:w="335" w:type="pct"/>
            <w:vAlign w:val="center"/>
          </w:tcPr>
          <w:p w:rsidR="00EE56C0" w:rsidRDefault="000F36A1">
            <w:pPr>
              <w:pStyle w:val="afa"/>
            </w:pPr>
            <w:r>
              <w:t>12</w:t>
            </w:r>
          </w:p>
        </w:tc>
        <w:tc>
          <w:tcPr>
            <w:tcW w:w="232" w:type="pct"/>
            <w:vAlign w:val="center"/>
          </w:tcPr>
          <w:p w:rsidR="00EE56C0" w:rsidRDefault="000F36A1">
            <w:pPr>
              <w:pStyle w:val="afa"/>
            </w:pPr>
            <w:r>
              <w:t>3.36</w:t>
            </w:r>
          </w:p>
        </w:tc>
        <w:tc>
          <w:tcPr>
            <w:tcW w:w="0" w:type="auto"/>
            <w:vAlign w:val="center"/>
          </w:tcPr>
          <w:p w:rsidR="00EE56C0" w:rsidRDefault="000F36A1">
            <w:pPr>
              <w:pStyle w:val="afa"/>
            </w:pPr>
            <w:r>
              <w:t>1.08</w:t>
            </w:r>
          </w:p>
        </w:tc>
        <w:tc>
          <w:tcPr>
            <w:tcW w:w="0" w:type="auto"/>
            <w:vAlign w:val="center"/>
          </w:tcPr>
          <w:p w:rsidR="00EE56C0" w:rsidRDefault="000F36A1">
            <w:pPr>
              <w:pStyle w:val="afa"/>
            </w:pPr>
            <w:r>
              <w:t>6.72</w:t>
            </w:r>
          </w:p>
        </w:tc>
        <w:tc>
          <w:tcPr>
            <w:tcW w:w="0" w:type="auto"/>
            <w:vAlign w:val="center"/>
          </w:tcPr>
          <w:p w:rsidR="00EE56C0" w:rsidRDefault="000F36A1">
            <w:pPr>
              <w:pStyle w:val="afa"/>
            </w:pPr>
            <w:r>
              <w:t>28.23</w:t>
            </w:r>
          </w:p>
        </w:tc>
        <w:tc>
          <w:tcPr>
            <w:tcW w:w="0" w:type="auto"/>
            <w:vAlign w:val="center"/>
          </w:tcPr>
          <w:p w:rsidR="00EE56C0" w:rsidRDefault="000F36A1">
            <w:pPr>
              <w:pStyle w:val="afa"/>
            </w:pPr>
            <w:r>
              <w:t>17.88</w:t>
            </w:r>
          </w:p>
        </w:tc>
        <w:tc>
          <w:tcPr>
            <w:tcW w:w="0" w:type="auto"/>
            <w:vAlign w:val="center"/>
          </w:tcPr>
          <w:p w:rsidR="00EE56C0" w:rsidRDefault="000F36A1">
            <w:pPr>
              <w:pStyle w:val="afa"/>
            </w:pPr>
            <w:r>
              <w:t>2.15</w:t>
            </w:r>
          </w:p>
        </w:tc>
        <w:tc>
          <w:tcPr>
            <w:tcW w:w="0" w:type="auto"/>
            <w:vAlign w:val="center"/>
          </w:tcPr>
          <w:p w:rsidR="00EE56C0" w:rsidRDefault="000F36A1">
            <w:pPr>
              <w:pStyle w:val="afa"/>
            </w:pPr>
            <w:r>
              <w:t>1.61</w:t>
            </w:r>
          </w:p>
        </w:tc>
        <w:tc>
          <w:tcPr>
            <w:tcW w:w="0" w:type="auto"/>
            <w:vAlign w:val="center"/>
          </w:tcPr>
          <w:p w:rsidR="00EE56C0" w:rsidRDefault="000F36A1">
            <w:pPr>
              <w:pStyle w:val="afa"/>
            </w:pPr>
            <w:r>
              <w:t>0.81</w:t>
            </w:r>
          </w:p>
        </w:tc>
        <w:tc>
          <w:tcPr>
            <w:tcW w:w="0" w:type="auto"/>
            <w:vAlign w:val="center"/>
          </w:tcPr>
          <w:p w:rsidR="00EE56C0" w:rsidRDefault="000F36A1">
            <w:pPr>
              <w:pStyle w:val="afa"/>
            </w:pPr>
            <w:r>
              <w:t>4.84</w:t>
            </w:r>
          </w:p>
        </w:tc>
        <w:tc>
          <w:tcPr>
            <w:tcW w:w="0" w:type="auto"/>
            <w:vAlign w:val="center"/>
          </w:tcPr>
          <w:p w:rsidR="00EE56C0" w:rsidRDefault="000F36A1">
            <w:pPr>
              <w:pStyle w:val="afa"/>
            </w:pPr>
            <w:r>
              <w:t>8.74</w:t>
            </w:r>
          </w:p>
        </w:tc>
        <w:tc>
          <w:tcPr>
            <w:tcW w:w="0" w:type="auto"/>
            <w:vAlign w:val="center"/>
          </w:tcPr>
          <w:p w:rsidR="00EE56C0" w:rsidRDefault="000F36A1">
            <w:pPr>
              <w:pStyle w:val="afa"/>
            </w:pPr>
            <w:r>
              <w:t>7.66</w:t>
            </w:r>
          </w:p>
        </w:tc>
        <w:tc>
          <w:tcPr>
            <w:tcW w:w="0" w:type="auto"/>
            <w:vAlign w:val="center"/>
          </w:tcPr>
          <w:p w:rsidR="00EE56C0" w:rsidRDefault="000F36A1">
            <w:pPr>
              <w:pStyle w:val="afa"/>
            </w:pPr>
            <w:r>
              <w:t>6.72</w:t>
            </w:r>
          </w:p>
        </w:tc>
        <w:tc>
          <w:tcPr>
            <w:tcW w:w="0" w:type="auto"/>
            <w:vAlign w:val="center"/>
          </w:tcPr>
          <w:p w:rsidR="00EE56C0" w:rsidRDefault="000F36A1">
            <w:pPr>
              <w:pStyle w:val="afa"/>
            </w:pPr>
            <w:r>
              <w:t>5.65</w:t>
            </w:r>
          </w:p>
        </w:tc>
        <w:tc>
          <w:tcPr>
            <w:tcW w:w="0" w:type="auto"/>
            <w:vAlign w:val="center"/>
          </w:tcPr>
          <w:p w:rsidR="00EE56C0" w:rsidRDefault="000F36A1">
            <w:pPr>
              <w:pStyle w:val="afa"/>
            </w:pPr>
            <w:r>
              <w:t>0.67</w:t>
            </w:r>
          </w:p>
        </w:tc>
        <w:tc>
          <w:tcPr>
            <w:tcW w:w="0" w:type="auto"/>
            <w:vAlign w:val="center"/>
          </w:tcPr>
          <w:p w:rsidR="00EE56C0" w:rsidRDefault="000F36A1">
            <w:pPr>
              <w:pStyle w:val="afa"/>
            </w:pPr>
            <w:r>
              <w:t>0.81</w:t>
            </w:r>
          </w:p>
        </w:tc>
        <w:tc>
          <w:tcPr>
            <w:tcW w:w="0" w:type="auto"/>
            <w:vAlign w:val="center"/>
          </w:tcPr>
          <w:p w:rsidR="00EE56C0" w:rsidRDefault="000F36A1">
            <w:pPr>
              <w:pStyle w:val="afa"/>
            </w:pPr>
            <w:r>
              <w:t>1.75</w:t>
            </w:r>
          </w:p>
        </w:tc>
        <w:tc>
          <w:tcPr>
            <w:tcW w:w="0" w:type="auto"/>
            <w:vAlign w:val="center"/>
          </w:tcPr>
          <w:p w:rsidR="00EE56C0" w:rsidRDefault="000F36A1">
            <w:pPr>
              <w:pStyle w:val="afa"/>
            </w:pPr>
            <w:r>
              <w:t>1.34</w:t>
            </w:r>
          </w:p>
        </w:tc>
      </w:tr>
    </w:tbl>
    <w:p w:rsidR="00EE56C0" w:rsidRDefault="000F36A1">
      <w:pPr>
        <w:pStyle w:val="afd"/>
        <w:spacing w:before="120" w:after="120"/>
        <w:ind w:firstLine="482"/>
      </w:pPr>
      <w:r>
        <w:rPr>
          <w:rFonts w:hint="eastAsia"/>
        </w:rPr>
        <w:t>表</w:t>
      </w:r>
      <w:r>
        <w:rPr>
          <w:rFonts w:hint="eastAsia"/>
        </w:rPr>
        <w:t>5-8</w:t>
      </w:r>
      <w:r>
        <w:rPr>
          <w:rFonts w:hint="eastAsia"/>
        </w:rPr>
        <w:t>全年及各季风向频率</w:t>
      </w:r>
      <w:r>
        <w:t>(%)</w:t>
      </w:r>
    </w:p>
    <w:tbl>
      <w:tblPr>
        <w:tblW w:w="5291"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CellMar>
          <w:left w:w="0" w:type="dxa"/>
          <w:right w:w="0" w:type="dxa"/>
        </w:tblCellMar>
        <w:tblLook w:val="04A0"/>
      </w:tblPr>
      <w:tblGrid>
        <w:gridCol w:w="635"/>
        <w:gridCol w:w="394"/>
        <w:gridCol w:w="473"/>
        <w:gridCol w:w="494"/>
        <w:gridCol w:w="503"/>
        <w:gridCol w:w="503"/>
        <w:gridCol w:w="424"/>
        <w:gridCol w:w="394"/>
        <w:gridCol w:w="401"/>
        <w:gridCol w:w="494"/>
        <w:gridCol w:w="503"/>
        <w:gridCol w:w="394"/>
        <w:gridCol w:w="569"/>
        <w:gridCol w:w="394"/>
        <w:gridCol w:w="605"/>
        <w:gridCol w:w="580"/>
        <w:gridCol w:w="660"/>
        <w:gridCol w:w="398"/>
      </w:tblGrid>
      <w:tr w:rsidR="00EE56C0">
        <w:trPr>
          <w:trHeight w:val="454"/>
          <w:jc w:val="center"/>
        </w:trPr>
        <w:tc>
          <w:tcPr>
            <w:tcW w:w="360" w:type="pct"/>
            <w:vAlign w:val="center"/>
          </w:tcPr>
          <w:p w:rsidR="00EE56C0" w:rsidRDefault="000F36A1">
            <w:pPr>
              <w:pStyle w:val="aff1"/>
            </w:pPr>
            <w:r>
              <w:rPr>
                <w:rFonts w:hint="eastAsia"/>
              </w:rPr>
              <w:t>风向</w:t>
            </w:r>
          </w:p>
          <w:p w:rsidR="00EE56C0" w:rsidRDefault="000F36A1">
            <w:pPr>
              <w:pStyle w:val="aff1"/>
            </w:pPr>
            <w:r>
              <w:rPr>
                <w:rFonts w:hint="eastAsia"/>
              </w:rPr>
              <w:t>时间</w:t>
            </w:r>
          </w:p>
        </w:tc>
        <w:tc>
          <w:tcPr>
            <w:tcW w:w="0" w:type="auto"/>
            <w:vAlign w:val="center"/>
          </w:tcPr>
          <w:p w:rsidR="00EE56C0" w:rsidRDefault="000F36A1">
            <w:pPr>
              <w:pStyle w:val="aff1"/>
              <w:rPr>
                <w:sz w:val="24"/>
              </w:rPr>
            </w:pPr>
            <w:r>
              <w:t>N</w:t>
            </w:r>
          </w:p>
        </w:tc>
        <w:tc>
          <w:tcPr>
            <w:tcW w:w="0" w:type="auto"/>
            <w:vAlign w:val="center"/>
          </w:tcPr>
          <w:p w:rsidR="00EE56C0" w:rsidRDefault="000F36A1">
            <w:pPr>
              <w:pStyle w:val="aff1"/>
              <w:rPr>
                <w:sz w:val="24"/>
              </w:rPr>
            </w:pPr>
            <w:r>
              <w:t>NNE</w:t>
            </w:r>
          </w:p>
        </w:tc>
        <w:tc>
          <w:tcPr>
            <w:tcW w:w="0" w:type="auto"/>
            <w:vAlign w:val="center"/>
          </w:tcPr>
          <w:p w:rsidR="00EE56C0" w:rsidRDefault="000F36A1">
            <w:pPr>
              <w:pStyle w:val="aff1"/>
              <w:rPr>
                <w:sz w:val="24"/>
              </w:rPr>
            </w:pPr>
            <w:r>
              <w:t>NE</w:t>
            </w:r>
          </w:p>
        </w:tc>
        <w:tc>
          <w:tcPr>
            <w:tcW w:w="0" w:type="auto"/>
            <w:vAlign w:val="center"/>
          </w:tcPr>
          <w:p w:rsidR="00EE56C0" w:rsidRDefault="000F36A1">
            <w:pPr>
              <w:pStyle w:val="aff1"/>
              <w:rPr>
                <w:sz w:val="24"/>
              </w:rPr>
            </w:pPr>
            <w:r>
              <w:t>ENE</w:t>
            </w:r>
          </w:p>
        </w:tc>
        <w:tc>
          <w:tcPr>
            <w:tcW w:w="0" w:type="auto"/>
            <w:vAlign w:val="center"/>
          </w:tcPr>
          <w:p w:rsidR="00EE56C0" w:rsidRDefault="000F36A1">
            <w:pPr>
              <w:pStyle w:val="aff1"/>
              <w:rPr>
                <w:sz w:val="24"/>
              </w:rPr>
            </w:pPr>
            <w:r>
              <w:t>E</w:t>
            </w:r>
          </w:p>
        </w:tc>
        <w:tc>
          <w:tcPr>
            <w:tcW w:w="0" w:type="auto"/>
            <w:vAlign w:val="center"/>
          </w:tcPr>
          <w:p w:rsidR="00EE56C0" w:rsidRDefault="000F36A1">
            <w:pPr>
              <w:pStyle w:val="aff1"/>
              <w:rPr>
                <w:sz w:val="24"/>
              </w:rPr>
            </w:pPr>
            <w:r>
              <w:t>ESE</w:t>
            </w:r>
          </w:p>
        </w:tc>
        <w:tc>
          <w:tcPr>
            <w:tcW w:w="0" w:type="auto"/>
            <w:vAlign w:val="center"/>
          </w:tcPr>
          <w:p w:rsidR="00EE56C0" w:rsidRDefault="000F36A1">
            <w:pPr>
              <w:pStyle w:val="aff1"/>
              <w:rPr>
                <w:sz w:val="24"/>
              </w:rPr>
            </w:pPr>
            <w:r>
              <w:t>SE</w:t>
            </w:r>
          </w:p>
        </w:tc>
        <w:tc>
          <w:tcPr>
            <w:tcW w:w="0" w:type="auto"/>
            <w:vAlign w:val="center"/>
          </w:tcPr>
          <w:p w:rsidR="00EE56C0" w:rsidRDefault="000F36A1">
            <w:pPr>
              <w:pStyle w:val="aff1"/>
              <w:rPr>
                <w:sz w:val="24"/>
              </w:rPr>
            </w:pPr>
            <w:r>
              <w:t>SSE</w:t>
            </w:r>
          </w:p>
        </w:tc>
        <w:tc>
          <w:tcPr>
            <w:tcW w:w="0" w:type="auto"/>
            <w:vAlign w:val="center"/>
          </w:tcPr>
          <w:p w:rsidR="00EE56C0" w:rsidRDefault="000F36A1">
            <w:pPr>
              <w:pStyle w:val="aff1"/>
              <w:rPr>
                <w:sz w:val="24"/>
              </w:rPr>
            </w:pPr>
            <w:r>
              <w:t>S</w:t>
            </w:r>
          </w:p>
        </w:tc>
        <w:tc>
          <w:tcPr>
            <w:tcW w:w="0" w:type="auto"/>
            <w:vAlign w:val="center"/>
          </w:tcPr>
          <w:p w:rsidR="00EE56C0" w:rsidRDefault="000F36A1">
            <w:pPr>
              <w:pStyle w:val="aff1"/>
              <w:rPr>
                <w:sz w:val="24"/>
              </w:rPr>
            </w:pPr>
            <w:r>
              <w:t>SSW</w:t>
            </w:r>
          </w:p>
        </w:tc>
        <w:tc>
          <w:tcPr>
            <w:tcW w:w="0" w:type="auto"/>
            <w:vAlign w:val="center"/>
          </w:tcPr>
          <w:p w:rsidR="00EE56C0" w:rsidRDefault="000F36A1">
            <w:pPr>
              <w:pStyle w:val="aff1"/>
              <w:rPr>
                <w:sz w:val="24"/>
              </w:rPr>
            </w:pPr>
            <w:r>
              <w:t>SW</w:t>
            </w:r>
          </w:p>
        </w:tc>
        <w:tc>
          <w:tcPr>
            <w:tcW w:w="0" w:type="auto"/>
            <w:vAlign w:val="center"/>
          </w:tcPr>
          <w:p w:rsidR="00EE56C0" w:rsidRDefault="000F36A1">
            <w:pPr>
              <w:pStyle w:val="aff1"/>
              <w:rPr>
                <w:sz w:val="24"/>
              </w:rPr>
            </w:pPr>
            <w:r>
              <w:t>WSW</w:t>
            </w:r>
          </w:p>
        </w:tc>
        <w:tc>
          <w:tcPr>
            <w:tcW w:w="0" w:type="auto"/>
            <w:vAlign w:val="center"/>
          </w:tcPr>
          <w:p w:rsidR="00EE56C0" w:rsidRDefault="000F36A1">
            <w:pPr>
              <w:pStyle w:val="aff1"/>
              <w:rPr>
                <w:sz w:val="24"/>
              </w:rPr>
            </w:pPr>
            <w:r>
              <w:t>W</w:t>
            </w:r>
          </w:p>
        </w:tc>
        <w:tc>
          <w:tcPr>
            <w:tcW w:w="0" w:type="auto"/>
            <w:vAlign w:val="center"/>
          </w:tcPr>
          <w:p w:rsidR="00EE56C0" w:rsidRDefault="000F36A1">
            <w:pPr>
              <w:pStyle w:val="aff1"/>
              <w:rPr>
                <w:sz w:val="24"/>
              </w:rPr>
            </w:pPr>
            <w:r>
              <w:t>WNW</w:t>
            </w:r>
          </w:p>
        </w:tc>
        <w:tc>
          <w:tcPr>
            <w:tcW w:w="329" w:type="pct"/>
            <w:vAlign w:val="center"/>
          </w:tcPr>
          <w:p w:rsidR="00EE56C0" w:rsidRDefault="000F36A1">
            <w:pPr>
              <w:pStyle w:val="aff1"/>
              <w:rPr>
                <w:sz w:val="24"/>
              </w:rPr>
            </w:pPr>
            <w:r>
              <w:t>NW</w:t>
            </w:r>
          </w:p>
        </w:tc>
        <w:tc>
          <w:tcPr>
            <w:tcW w:w="374" w:type="pct"/>
            <w:vAlign w:val="center"/>
          </w:tcPr>
          <w:p w:rsidR="00EE56C0" w:rsidRDefault="000F36A1">
            <w:pPr>
              <w:pStyle w:val="aff1"/>
              <w:rPr>
                <w:sz w:val="24"/>
              </w:rPr>
            </w:pPr>
            <w:r>
              <w:t>NNW</w:t>
            </w:r>
          </w:p>
        </w:tc>
        <w:tc>
          <w:tcPr>
            <w:tcW w:w="0" w:type="auto"/>
            <w:vAlign w:val="center"/>
          </w:tcPr>
          <w:p w:rsidR="00EE56C0" w:rsidRDefault="000F36A1">
            <w:pPr>
              <w:pStyle w:val="aff1"/>
              <w:rPr>
                <w:sz w:val="24"/>
              </w:rPr>
            </w:pPr>
            <w:r>
              <w:t>C</w:t>
            </w:r>
          </w:p>
        </w:tc>
      </w:tr>
      <w:tr w:rsidR="00EE56C0">
        <w:trPr>
          <w:trHeight w:val="454"/>
          <w:jc w:val="center"/>
        </w:trPr>
        <w:tc>
          <w:tcPr>
            <w:tcW w:w="360" w:type="pct"/>
            <w:vAlign w:val="center"/>
          </w:tcPr>
          <w:p w:rsidR="00EE56C0" w:rsidRDefault="000F36A1">
            <w:pPr>
              <w:pStyle w:val="afa"/>
            </w:pPr>
            <w:r>
              <w:rPr>
                <w:rFonts w:hint="eastAsia"/>
              </w:rPr>
              <w:t>全年</w:t>
            </w:r>
          </w:p>
        </w:tc>
        <w:tc>
          <w:tcPr>
            <w:tcW w:w="0" w:type="auto"/>
          </w:tcPr>
          <w:p w:rsidR="00EE56C0" w:rsidRDefault="000F36A1">
            <w:pPr>
              <w:pStyle w:val="afa"/>
            </w:pPr>
            <w:r>
              <w:t>2.82</w:t>
            </w:r>
          </w:p>
        </w:tc>
        <w:tc>
          <w:tcPr>
            <w:tcW w:w="0" w:type="auto"/>
          </w:tcPr>
          <w:p w:rsidR="00EE56C0" w:rsidRDefault="000F36A1">
            <w:pPr>
              <w:pStyle w:val="afa"/>
            </w:pPr>
            <w:r>
              <w:t>1.66</w:t>
            </w:r>
          </w:p>
        </w:tc>
        <w:tc>
          <w:tcPr>
            <w:tcW w:w="0" w:type="auto"/>
          </w:tcPr>
          <w:p w:rsidR="00EE56C0" w:rsidRDefault="000F36A1">
            <w:pPr>
              <w:pStyle w:val="afa"/>
            </w:pPr>
            <w:r>
              <w:t>9.02</w:t>
            </w:r>
          </w:p>
        </w:tc>
        <w:tc>
          <w:tcPr>
            <w:tcW w:w="0" w:type="auto"/>
          </w:tcPr>
          <w:p w:rsidR="00EE56C0" w:rsidRDefault="000F36A1">
            <w:pPr>
              <w:pStyle w:val="afa"/>
            </w:pPr>
            <w:r>
              <w:t>18.62</w:t>
            </w:r>
          </w:p>
        </w:tc>
        <w:tc>
          <w:tcPr>
            <w:tcW w:w="0" w:type="auto"/>
          </w:tcPr>
          <w:p w:rsidR="00EE56C0" w:rsidRDefault="000F36A1">
            <w:pPr>
              <w:pStyle w:val="afa"/>
            </w:pPr>
            <w:r>
              <w:t>15.66</w:t>
            </w:r>
          </w:p>
        </w:tc>
        <w:tc>
          <w:tcPr>
            <w:tcW w:w="0" w:type="auto"/>
          </w:tcPr>
          <w:p w:rsidR="00EE56C0" w:rsidRDefault="000F36A1">
            <w:pPr>
              <w:pStyle w:val="afa"/>
            </w:pPr>
            <w:r>
              <w:t>3.09</w:t>
            </w:r>
          </w:p>
        </w:tc>
        <w:tc>
          <w:tcPr>
            <w:tcW w:w="0" w:type="auto"/>
          </w:tcPr>
          <w:p w:rsidR="00EE56C0" w:rsidRDefault="000F36A1">
            <w:pPr>
              <w:pStyle w:val="afa"/>
            </w:pPr>
            <w:r>
              <w:t>2.66</w:t>
            </w:r>
          </w:p>
        </w:tc>
        <w:tc>
          <w:tcPr>
            <w:tcW w:w="0" w:type="auto"/>
          </w:tcPr>
          <w:p w:rsidR="00EE56C0" w:rsidRDefault="000F36A1">
            <w:pPr>
              <w:pStyle w:val="afa"/>
            </w:pPr>
            <w:r>
              <w:t>2.65</w:t>
            </w:r>
          </w:p>
        </w:tc>
        <w:tc>
          <w:tcPr>
            <w:tcW w:w="0" w:type="auto"/>
          </w:tcPr>
          <w:p w:rsidR="00EE56C0" w:rsidRDefault="000F36A1">
            <w:pPr>
              <w:pStyle w:val="afa"/>
            </w:pPr>
            <w:r>
              <w:t>8.90</w:t>
            </w:r>
          </w:p>
        </w:tc>
        <w:tc>
          <w:tcPr>
            <w:tcW w:w="0" w:type="auto"/>
          </w:tcPr>
          <w:p w:rsidR="00EE56C0" w:rsidRDefault="000F36A1">
            <w:pPr>
              <w:pStyle w:val="afa"/>
            </w:pPr>
            <w:r>
              <w:t>11.00</w:t>
            </w:r>
          </w:p>
        </w:tc>
        <w:tc>
          <w:tcPr>
            <w:tcW w:w="0" w:type="auto"/>
          </w:tcPr>
          <w:p w:rsidR="00EE56C0" w:rsidRDefault="000F36A1">
            <w:pPr>
              <w:pStyle w:val="afa"/>
            </w:pPr>
            <w:r>
              <w:t>7.40</w:t>
            </w:r>
          </w:p>
        </w:tc>
        <w:tc>
          <w:tcPr>
            <w:tcW w:w="0" w:type="auto"/>
          </w:tcPr>
          <w:p w:rsidR="00EE56C0" w:rsidRDefault="000F36A1">
            <w:pPr>
              <w:pStyle w:val="afa"/>
            </w:pPr>
            <w:r>
              <w:t>4.70</w:t>
            </w:r>
          </w:p>
        </w:tc>
        <w:tc>
          <w:tcPr>
            <w:tcW w:w="0" w:type="auto"/>
          </w:tcPr>
          <w:p w:rsidR="00EE56C0" w:rsidRDefault="000F36A1">
            <w:pPr>
              <w:pStyle w:val="afa"/>
            </w:pPr>
            <w:r>
              <w:t>4.25</w:t>
            </w:r>
          </w:p>
        </w:tc>
        <w:tc>
          <w:tcPr>
            <w:tcW w:w="0" w:type="auto"/>
          </w:tcPr>
          <w:p w:rsidR="00EE56C0" w:rsidRDefault="000F36A1">
            <w:pPr>
              <w:pStyle w:val="afa"/>
            </w:pPr>
            <w:r>
              <w:t>1.43</w:t>
            </w:r>
          </w:p>
        </w:tc>
        <w:tc>
          <w:tcPr>
            <w:tcW w:w="329" w:type="pct"/>
          </w:tcPr>
          <w:p w:rsidR="00EE56C0" w:rsidRDefault="000F36A1">
            <w:pPr>
              <w:pStyle w:val="afa"/>
            </w:pPr>
            <w:r>
              <w:t>1.19</w:t>
            </w:r>
          </w:p>
        </w:tc>
        <w:tc>
          <w:tcPr>
            <w:tcW w:w="374" w:type="pct"/>
          </w:tcPr>
          <w:p w:rsidR="00EE56C0" w:rsidRDefault="000F36A1">
            <w:pPr>
              <w:pStyle w:val="afa"/>
            </w:pPr>
            <w:r>
              <w:t>1.43</w:t>
            </w:r>
          </w:p>
        </w:tc>
        <w:tc>
          <w:tcPr>
            <w:tcW w:w="0" w:type="auto"/>
          </w:tcPr>
          <w:p w:rsidR="00EE56C0" w:rsidRDefault="000F36A1">
            <w:pPr>
              <w:pStyle w:val="afa"/>
            </w:pPr>
            <w:r>
              <w:t>3.53</w:t>
            </w:r>
          </w:p>
        </w:tc>
      </w:tr>
      <w:tr w:rsidR="00EE56C0">
        <w:trPr>
          <w:trHeight w:val="454"/>
          <w:jc w:val="center"/>
        </w:trPr>
        <w:tc>
          <w:tcPr>
            <w:tcW w:w="360" w:type="pct"/>
            <w:vAlign w:val="center"/>
          </w:tcPr>
          <w:p w:rsidR="00EE56C0" w:rsidRDefault="000F36A1">
            <w:pPr>
              <w:pStyle w:val="afa"/>
            </w:pPr>
            <w:r>
              <w:rPr>
                <w:rFonts w:hint="eastAsia"/>
              </w:rPr>
              <w:t>春季</w:t>
            </w:r>
          </w:p>
        </w:tc>
        <w:tc>
          <w:tcPr>
            <w:tcW w:w="0" w:type="auto"/>
          </w:tcPr>
          <w:p w:rsidR="00EE56C0" w:rsidRDefault="000F36A1">
            <w:pPr>
              <w:pStyle w:val="afa"/>
            </w:pPr>
            <w:r>
              <w:t>1.31</w:t>
            </w:r>
          </w:p>
        </w:tc>
        <w:tc>
          <w:tcPr>
            <w:tcW w:w="0" w:type="auto"/>
          </w:tcPr>
          <w:p w:rsidR="00EE56C0" w:rsidRDefault="000F36A1">
            <w:pPr>
              <w:pStyle w:val="afa"/>
            </w:pPr>
            <w:r>
              <w:t>0.86</w:t>
            </w:r>
          </w:p>
        </w:tc>
        <w:tc>
          <w:tcPr>
            <w:tcW w:w="0" w:type="auto"/>
          </w:tcPr>
          <w:p w:rsidR="00EE56C0" w:rsidRDefault="000F36A1">
            <w:pPr>
              <w:pStyle w:val="afa"/>
            </w:pPr>
            <w:r>
              <w:t>8.38</w:t>
            </w:r>
          </w:p>
        </w:tc>
        <w:tc>
          <w:tcPr>
            <w:tcW w:w="0" w:type="auto"/>
          </w:tcPr>
          <w:p w:rsidR="00EE56C0" w:rsidRDefault="000F36A1">
            <w:pPr>
              <w:pStyle w:val="afa"/>
            </w:pPr>
            <w:r>
              <w:t>14.86</w:t>
            </w:r>
          </w:p>
        </w:tc>
        <w:tc>
          <w:tcPr>
            <w:tcW w:w="0" w:type="auto"/>
          </w:tcPr>
          <w:p w:rsidR="00EE56C0" w:rsidRDefault="000F36A1">
            <w:pPr>
              <w:pStyle w:val="afa"/>
            </w:pPr>
            <w:r>
              <w:t>13.13</w:t>
            </w:r>
          </w:p>
        </w:tc>
        <w:tc>
          <w:tcPr>
            <w:tcW w:w="0" w:type="auto"/>
          </w:tcPr>
          <w:p w:rsidR="00EE56C0" w:rsidRDefault="000F36A1">
            <w:pPr>
              <w:pStyle w:val="afa"/>
            </w:pPr>
            <w:r>
              <w:t>3.89</w:t>
            </w:r>
          </w:p>
        </w:tc>
        <w:tc>
          <w:tcPr>
            <w:tcW w:w="0" w:type="auto"/>
          </w:tcPr>
          <w:p w:rsidR="00EE56C0" w:rsidRDefault="000F36A1">
            <w:pPr>
              <w:pStyle w:val="afa"/>
            </w:pPr>
            <w:r>
              <w:t>2.94</w:t>
            </w:r>
          </w:p>
        </w:tc>
        <w:tc>
          <w:tcPr>
            <w:tcW w:w="0" w:type="auto"/>
          </w:tcPr>
          <w:p w:rsidR="00EE56C0" w:rsidRDefault="000F36A1">
            <w:pPr>
              <w:pStyle w:val="afa"/>
            </w:pPr>
            <w:r>
              <w:t>3.26</w:t>
            </w:r>
          </w:p>
        </w:tc>
        <w:tc>
          <w:tcPr>
            <w:tcW w:w="0" w:type="auto"/>
          </w:tcPr>
          <w:p w:rsidR="00EE56C0" w:rsidRDefault="000F36A1">
            <w:pPr>
              <w:pStyle w:val="afa"/>
            </w:pPr>
            <w:r>
              <w:t>11.37</w:t>
            </w:r>
          </w:p>
        </w:tc>
        <w:tc>
          <w:tcPr>
            <w:tcW w:w="0" w:type="auto"/>
          </w:tcPr>
          <w:p w:rsidR="00EE56C0" w:rsidRDefault="000F36A1">
            <w:pPr>
              <w:pStyle w:val="afa"/>
            </w:pPr>
            <w:r>
              <w:t>15.35</w:t>
            </w:r>
          </w:p>
        </w:tc>
        <w:tc>
          <w:tcPr>
            <w:tcW w:w="0" w:type="auto"/>
          </w:tcPr>
          <w:p w:rsidR="00EE56C0" w:rsidRDefault="000F36A1">
            <w:pPr>
              <w:pStyle w:val="afa"/>
            </w:pPr>
            <w:r>
              <w:t>9.47</w:t>
            </w:r>
          </w:p>
        </w:tc>
        <w:tc>
          <w:tcPr>
            <w:tcW w:w="0" w:type="auto"/>
          </w:tcPr>
          <w:p w:rsidR="00EE56C0" w:rsidRDefault="000F36A1">
            <w:pPr>
              <w:pStyle w:val="afa"/>
            </w:pPr>
            <w:r>
              <w:t>5.39</w:t>
            </w:r>
          </w:p>
        </w:tc>
        <w:tc>
          <w:tcPr>
            <w:tcW w:w="0" w:type="auto"/>
          </w:tcPr>
          <w:p w:rsidR="00EE56C0" w:rsidRDefault="000F36A1">
            <w:pPr>
              <w:pStyle w:val="afa"/>
            </w:pPr>
            <w:r>
              <w:t>4.08</w:t>
            </w:r>
          </w:p>
        </w:tc>
        <w:tc>
          <w:tcPr>
            <w:tcW w:w="0" w:type="auto"/>
          </w:tcPr>
          <w:p w:rsidR="00EE56C0" w:rsidRDefault="000F36A1">
            <w:pPr>
              <w:pStyle w:val="afa"/>
            </w:pPr>
            <w:r>
              <w:t>1.40</w:t>
            </w:r>
          </w:p>
        </w:tc>
        <w:tc>
          <w:tcPr>
            <w:tcW w:w="329" w:type="pct"/>
          </w:tcPr>
          <w:p w:rsidR="00EE56C0" w:rsidRDefault="000F36A1">
            <w:pPr>
              <w:pStyle w:val="afa"/>
            </w:pPr>
            <w:r>
              <w:t>0.68</w:t>
            </w:r>
          </w:p>
        </w:tc>
        <w:tc>
          <w:tcPr>
            <w:tcW w:w="374" w:type="pct"/>
          </w:tcPr>
          <w:p w:rsidR="00EE56C0" w:rsidRDefault="000F36A1">
            <w:pPr>
              <w:pStyle w:val="afa"/>
            </w:pPr>
            <w:r>
              <w:t>1.04</w:t>
            </w:r>
          </w:p>
        </w:tc>
        <w:tc>
          <w:tcPr>
            <w:tcW w:w="0" w:type="auto"/>
          </w:tcPr>
          <w:p w:rsidR="00EE56C0" w:rsidRDefault="000F36A1">
            <w:pPr>
              <w:pStyle w:val="afa"/>
            </w:pPr>
            <w:r>
              <w:t>2.58</w:t>
            </w:r>
          </w:p>
        </w:tc>
      </w:tr>
      <w:tr w:rsidR="00EE56C0">
        <w:trPr>
          <w:trHeight w:val="454"/>
          <w:jc w:val="center"/>
        </w:trPr>
        <w:tc>
          <w:tcPr>
            <w:tcW w:w="360" w:type="pct"/>
            <w:vAlign w:val="center"/>
          </w:tcPr>
          <w:p w:rsidR="00EE56C0" w:rsidRDefault="000F36A1">
            <w:pPr>
              <w:pStyle w:val="afa"/>
            </w:pPr>
            <w:r>
              <w:rPr>
                <w:rFonts w:hint="eastAsia"/>
              </w:rPr>
              <w:t>夏季</w:t>
            </w:r>
          </w:p>
        </w:tc>
        <w:tc>
          <w:tcPr>
            <w:tcW w:w="0" w:type="auto"/>
          </w:tcPr>
          <w:p w:rsidR="00EE56C0" w:rsidRDefault="000F36A1">
            <w:pPr>
              <w:pStyle w:val="afa"/>
            </w:pPr>
            <w:r>
              <w:t>2.40</w:t>
            </w:r>
          </w:p>
        </w:tc>
        <w:tc>
          <w:tcPr>
            <w:tcW w:w="0" w:type="auto"/>
          </w:tcPr>
          <w:p w:rsidR="00EE56C0" w:rsidRDefault="000F36A1">
            <w:pPr>
              <w:pStyle w:val="afa"/>
            </w:pPr>
            <w:r>
              <w:t>1.63</w:t>
            </w:r>
          </w:p>
        </w:tc>
        <w:tc>
          <w:tcPr>
            <w:tcW w:w="0" w:type="auto"/>
          </w:tcPr>
          <w:p w:rsidR="00EE56C0" w:rsidRDefault="000F36A1">
            <w:pPr>
              <w:pStyle w:val="afa"/>
            </w:pPr>
            <w:r>
              <w:t>7.65</w:t>
            </w:r>
          </w:p>
        </w:tc>
        <w:tc>
          <w:tcPr>
            <w:tcW w:w="0" w:type="auto"/>
          </w:tcPr>
          <w:p w:rsidR="00EE56C0" w:rsidRDefault="000F36A1">
            <w:pPr>
              <w:pStyle w:val="afa"/>
            </w:pPr>
            <w:r>
              <w:t>16.39</w:t>
            </w:r>
          </w:p>
        </w:tc>
        <w:tc>
          <w:tcPr>
            <w:tcW w:w="0" w:type="auto"/>
          </w:tcPr>
          <w:p w:rsidR="00EE56C0" w:rsidRDefault="000F36A1">
            <w:pPr>
              <w:pStyle w:val="afa"/>
            </w:pPr>
            <w:r>
              <w:t>17.57</w:t>
            </w:r>
          </w:p>
        </w:tc>
        <w:tc>
          <w:tcPr>
            <w:tcW w:w="0" w:type="auto"/>
          </w:tcPr>
          <w:p w:rsidR="00EE56C0" w:rsidRDefault="000F36A1">
            <w:pPr>
              <w:pStyle w:val="afa"/>
            </w:pPr>
            <w:r>
              <w:t>3.80</w:t>
            </w:r>
          </w:p>
        </w:tc>
        <w:tc>
          <w:tcPr>
            <w:tcW w:w="0" w:type="auto"/>
          </w:tcPr>
          <w:p w:rsidR="00EE56C0" w:rsidRDefault="000F36A1">
            <w:pPr>
              <w:pStyle w:val="afa"/>
            </w:pPr>
            <w:r>
              <w:t>3.94</w:t>
            </w:r>
          </w:p>
        </w:tc>
        <w:tc>
          <w:tcPr>
            <w:tcW w:w="0" w:type="auto"/>
          </w:tcPr>
          <w:p w:rsidR="00EE56C0" w:rsidRDefault="000F36A1">
            <w:pPr>
              <w:pStyle w:val="afa"/>
            </w:pPr>
            <w:r>
              <w:t>4.21</w:t>
            </w:r>
          </w:p>
        </w:tc>
        <w:tc>
          <w:tcPr>
            <w:tcW w:w="0" w:type="auto"/>
          </w:tcPr>
          <w:p w:rsidR="00EE56C0" w:rsidRDefault="000F36A1">
            <w:pPr>
              <w:pStyle w:val="afa"/>
            </w:pPr>
            <w:r>
              <w:t>11.55</w:t>
            </w:r>
          </w:p>
        </w:tc>
        <w:tc>
          <w:tcPr>
            <w:tcW w:w="0" w:type="auto"/>
          </w:tcPr>
          <w:p w:rsidR="00EE56C0" w:rsidRDefault="000F36A1">
            <w:pPr>
              <w:pStyle w:val="afa"/>
            </w:pPr>
            <w:r>
              <w:t>11.19</w:t>
            </w:r>
          </w:p>
        </w:tc>
        <w:tc>
          <w:tcPr>
            <w:tcW w:w="0" w:type="auto"/>
          </w:tcPr>
          <w:p w:rsidR="00EE56C0" w:rsidRDefault="000F36A1">
            <w:pPr>
              <w:pStyle w:val="afa"/>
            </w:pPr>
            <w:r>
              <w:t>6.16</w:t>
            </w:r>
          </w:p>
        </w:tc>
        <w:tc>
          <w:tcPr>
            <w:tcW w:w="0" w:type="auto"/>
          </w:tcPr>
          <w:p w:rsidR="00EE56C0" w:rsidRDefault="000F36A1">
            <w:pPr>
              <w:pStyle w:val="afa"/>
            </w:pPr>
            <w:r>
              <w:t>3.08</w:t>
            </w:r>
          </w:p>
        </w:tc>
        <w:tc>
          <w:tcPr>
            <w:tcW w:w="0" w:type="auto"/>
          </w:tcPr>
          <w:p w:rsidR="00EE56C0" w:rsidRDefault="000F36A1">
            <w:pPr>
              <w:pStyle w:val="afa"/>
            </w:pPr>
            <w:r>
              <w:t>4.21</w:t>
            </w:r>
          </w:p>
        </w:tc>
        <w:tc>
          <w:tcPr>
            <w:tcW w:w="0" w:type="auto"/>
          </w:tcPr>
          <w:p w:rsidR="00EE56C0" w:rsidRDefault="000F36A1">
            <w:pPr>
              <w:pStyle w:val="afa"/>
            </w:pPr>
            <w:r>
              <w:t>1.49</w:t>
            </w:r>
          </w:p>
        </w:tc>
        <w:tc>
          <w:tcPr>
            <w:tcW w:w="329" w:type="pct"/>
          </w:tcPr>
          <w:p w:rsidR="00EE56C0" w:rsidRDefault="000F36A1">
            <w:pPr>
              <w:pStyle w:val="afa"/>
            </w:pPr>
            <w:r>
              <w:t>1.49</w:t>
            </w:r>
          </w:p>
        </w:tc>
        <w:tc>
          <w:tcPr>
            <w:tcW w:w="374" w:type="pct"/>
          </w:tcPr>
          <w:p w:rsidR="00EE56C0" w:rsidRDefault="000F36A1">
            <w:pPr>
              <w:pStyle w:val="afa"/>
            </w:pPr>
            <w:r>
              <w:t>1.22</w:t>
            </w:r>
          </w:p>
        </w:tc>
        <w:tc>
          <w:tcPr>
            <w:tcW w:w="0" w:type="auto"/>
          </w:tcPr>
          <w:p w:rsidR="00EE56C0" w:rsidRDefault="000F36A1">
            <w:pPr>
              <w:pStyle w:val="afa"/>
            </w:pPr>
            <w:r>
              <w:t>1.99</w:t>
            </w:r>
          </w:p>
        </w:tc>
      </w:tr>
      <w:tr w:rsidR="00EE56C0">
        <w:trPr>
          <w:trHeight w:val="454"/>
          <w:jc w:val="center"/>
        </w:trPr>
        <w:tc>
          <w:tcPr>
            <w:tcW w:w="360" w:type="pct"/>
            <w:vAlign w:val="center"/>
          </w:tcPr>
          <w:p w:rsidR="00EE56C0" w:rsidRDefault="000F36A1">
            <w:pPr>
              <w:pStyle w:val="afa"/>
            </w:pPr>
            <w:r>
              <w:rPr>
                <w:rFonts w:hint="eastAsia"/>
              </w:rPr>
              <w:t>秋季</w:t>
            </w:r>
          </w:p>
        </w:tc>
        <w:tc>
          <w:tcPr>
            <w:tcW w:w="0" w:type="auto"/>
          </w:tcPr>
          <w:p w:rsidR="00EE56C0" w:rsidRDefault="000F36A1">
            <w:pPr>
              <w:pStyle w:val="afa"/>
            </w:pPr>
            <w:r>
              <w:t>4.76</w:t>
            </w:r>
          </w:p>
        </w:tc>
        <w:tc>
          <w:tcPr>
            <w:tcW w:w="0" w:type="auto"/>
          </w:tcPr>
          <w:p w:rsidR="00EE56C0" w:rsidRDefault="000F36A1">
            <w:pPr>
              <w:pStyle w:val="afa"/>
            </w:pPr>
            <w:r>
              <w:t>2.24</w:t>
            </w:r>
          </w:p>
        </w:tc>
        <w:tc>
          <w:tcPr>
            <w:tcW w:w="0" w:type="auto"/>
          </w:tcPr>
          <w:p w:rsidR="00EE56C0" w:rsidRDefault="000F36A1">
            <w:pPr>
              <w:pStyle w:val="afa"/>
            </w:pPr>
            <w:r>
              <w:t>11.86</w:t>
            </w:r>
          </w:p>
        </w:tc>
        <w:tc>
          <w:tcPr>
            <w:tcW w:w="0" w:type="auto"/>
          </w:tcPr>
          <w:p w:rsidR="00EE56C0" w:rsidRDefault="000F36A1">
            <w:pPr>
              <w:pStyle w:val="afa"/>
            </w:pPr>
            <w:r>
              <w:t>18.09</w:t>
            </w:r>
          </w:p>
        </w:tc>
        <w:tc>
          <w:tcPr>
            <w:tcW w:w="0" w:type="auto"/>
          </w:tcPr>
          <w:p w:rsidR="00EE56C0" w:rsidRDefault="000F36A1">
            <w:pPr>
              <w:pStyle w:val="afa"/>
            </w:pPr>
            <w:r>
              <w:t>14.19</w:t>
            </w:r>
          </w:p>
        </w:tc>
        <w:tc>
          <w:tcPr>
            <w:tcW w:w="0" w:type="auto"/>
          </w:tcPr>
          <w:p w:rsidR="00EE56C0" w:rsidRDefault="000F36A1">
            <w:pPr>
              <w:pStyle w:val="afa"/>
            </w:pPr>
            <w:r>
              <w:t>2.70</w:t>
            </w:r>
          </w:p>
        </w:tc>
        <w:tc>
          <w:tcPr>
            <w:tcW w:w="0" w:type="auto"/>
          </w:tcPr>
          <w:p w:rsidR="00EE56C0" w:rsidRDefault="000F36A1">
            <w:pPr>
              <w:pStyle w:val="afa"/>
            </w:pPr>
            <w:r>
              <w:t>2.24</w:t>
            </w:r>
          </w:p>
        </w:tc>
        <w:tc>
          <w:tcPr>
            <w:tcW w:w="0" w:type="auto"/>
          </w:tcPr>
          <w:p w:rsidR="00EE56C0" w:rsidRDefault="000F36A1">
            <w:pPr>
              <w:pStyle w:val="afa"/>
            </w:pPr>
            <w:r>
              <w:t>1.60</w:t>
            </w:r>
          </w:p>
        </w:tc>
        <w:tc>
          <w:tcPr>
            <w:tcW w:w="0" w:type="auto"/>
          </w:tcPr>
          <w:p w:rsidR="00EE56C0" w:rsidRDefault="000F36A1">
            <w:pPr>
              <w:pStyle w:val="afa"/>
            </w:pPr>
            <w:r>
              <w:t>5.54</w:t>
            </w:r>
          </w:p>
        </w:tc>
        <w:tc>
          <w:tcPr>
            <w:tcW w:w="0" w:type="auto"/>
          </w:tcPr>
          <w:p w:rsidR="00EE56C0" w:rsidRDefault="000F36A1">
            <w:pPr>
              <w:pStyle w:val="afa"/>
            </w:pPr>
            <w:r>
              <w:t>8.15</w:t>
            </w:r>
          </w:p>
        </w:tc>
        <w:tc>
          <w:tcPr>
            <w:tcW w:w="0" w:type="auto"/>
          </w:tcPr>
          <w:p w:rsidR="00EE56C0" w:rsidRDefault="000F36A1">
            <w:pPr>
              <w:pStyle w:val="afa"/>
            </w:pPr>
            <w:r>
              <w:t>7.55</w:t>
            </w:r>
          </w:p>
        </w:tc>
        <w:tc>
          <w:tcPr>
            <w:tcW w:w="0" w:type="auto"/>
          </w:tcPr>
          <w:p w:rsidR="00EE56C0" w:rsidRDefault="000F36A1">
            <w:pPr>
              <w:pStyle w:val="afa"/>
            </w:pPr>
            <w:r>
              <w:t>5.54</w:t>
            </w:r>
          </w:p>
        </w:tc>
        <w:tc>
          <w:tcPr>
            <w:tcW w:w="0" w:type="auto"/>
          </w:tcPr>
          <w:p w:rsidR="00EE56C0" w:rsidRDefault="000F36A1">
            <w:pPr>
              <w:pStyle w:val="afa"/>
            </w:pPr>
            <w:r>
              <w:t>5.22</w:t>
            </w:r>
          </w:p>
        </w:tc>
        <w:tc>
          <w:tcPr>
            <w:tcW w:w="0" w:type="auto"/>
          </w:tcPr>
          <w:p w:rsidR="00EE56C0" w:rsidRDefault="000F36A1">
            <w:pPr>
              <w:pStyle w:val="afa"/>
            </w:pPr>
            <w:r>
              <w:t>2.15</w:t>
            </w:r>
          </w:p>
        </w:tc>
        <w:tc>
          <w:tcPr>
            <w:tcW w:w="329" w:type="pct"/>
          </w:tcPr>
          <w:p w:rsidR="00EE56C0" w:rsidRDefault="000F36A1">
            <w:pPr>
              <w:pStyle w:val="afa"/>
            </w:pPr>
            <w:r>
              <w:t>1.60</w:t>
            </w:r>
          </w:p>
        </w:tc>
        <w:tc>
          <w:tcPr>
            <w:tcW w:w="374" w:type="pct"/>
          </w:tcPr>
          <w:p w:rsidR="00EE56C0" w:rsidRDefault="000F36A1">
            <w:pPr>
              <w:pStyle w:val="afa"/>
            </w:pPr>
            <w:r>
              <w:t>1.56</w:t>
            </w:r>
          </w:p>
        </w:tc>
        <w:tc>
          <w:tcPr>
            <w:tcW w:w="0" w:type="auto"/>
          </w:tcPr>
          <w:p w:rsidR="00EE56C0" w:rsidRDefault="000F36A1">
            <w:pPr>
              <w:pStyle w:val="afa"/>
            </w:pPr>
            <w:r>
              <w:t>4.99</w:t>
            </w:r>
          </w:p>
        </w:tc>
      </w:tr>
      <w:tr w:rsidR="00EE56C0">
        <w:trPr>
          <w:trHeight w:val="454"/>
          <w:jc w:val="center"/>
        </w:trPr>
        <w:tc>
          <w:tcPr>
            <w:tcW w:w="360" w:type="pct"/>
            <w:vAlign w:val="center"/>
          </w:tcPr>
          <w:p w:rsidR="00EE56C0" w:rsidRDefault="000F36A1">
            <w:pPr>
              <w:pStyle w:val="afa"/>
            </w:pPr>
            <w:r>
              <w:rPr>
                <w:rFonts w:hint="eastAsia"/>
              </w:rPr>
              <w:t>冬季</w:t>
            </w:r>
          </w:p>
        </w:tc>
        <w:tc>
          <w:tcPr>
            <w:tcW w:w="0" w:type="auto"/>
          </w:tcPr>
          <w:p w:rsidR="00EE56C0" w:rsidRDefault="000F36A1">
            <w:pPr>
              <w:pStyle w:val="afa"/>
            </w:pPr>
            <w:r>
              <w:t>2.82</w:t>
            </w:r>
          </w:p>
        </w:tc>
        <w:tc>
          <w:tcPr>
            <w:tcW w:w="0" w:type="auto"/>
          </w:tcPr>
          <w:p w:rsidR="00EE56C0" w:rsidRDefault="000F36A1">
            <w:pPr>
              <w:pStyle w:val="afa"/>
            </w:pPr>
            <w:r>
              <w:t>1.90</w:t>
            </w:r>
          </w:p>
        </w:tc>
        <w:tc>
          <w:tcPr>
            <w:tcW w:w="0" w:type="auto"/>
          </w:tcPr>
          <w:p w:rsidR="00EE56C0" w:rsidRDefault="000F36A1">
            <w:pPr>
              <w:pStyle w:val="afa"/>
            </w:pPr>
            <w:r>
              <w:t>8.19</w:t>
            </w:r>
          </w:p>
        </w:tc>
        <w:tc>
          <w:tcPr>
            <w:tcW w:w="0" w:type="auto"/>
          </w:tcPr>
          <w:p w:rsidR="00EE56C0" w:rsidRDefault="000F36A1">
            <w:pPr>
              <w:pStyle w:val="afa"/>
            </w:pPr>
            <w:r>
              <w:t>25.28</w:t>
            </w:r>
          </w:p>
        </w:tc>
        <w:tc>
          <w:tcPr>
            <w:tcW w:w="0" w:type="auto"/>
          </w:tcPr>
          <w:p w:rsidR="00EE56C0" w:rsidRDefault="000F36A1">
            <w:pPr>
              <w:pStyle w:val="afa"/>
            </w:pPr>
            <w:r>
              <w:t>17.78</w:t>
            </w:r>
          </w:p>
        </w:tc>
        <w:tc>
          <w:tcPr>
            <w:tcW w:w="0" w:type="auto"/>
          </w:tcPr>
          <w:p w:rsidR="00EE56C0" w:rsidRDefault="000F36A1">
            <w:pPr>
              <w:pStyle w:val="afa"/>
            </w:pPr>
            <w:r>
              <w:t>1.94</w:t>
            </w:r>
          </w:p>
        </w:tc>
        <w:tc>
          <w:tcPr>
            <w:tcW w:w="0" w:type="auto"/>
          </w:tcPr>
          <w:p w:rsidR="00EE56C0" w:rsidRDefault="000F36A1">
            <w:pPr>
              <w:pStyle w:val="afa"/>
            </w:pPr>
            <w:r>
              <w:t>1.48</w:t>
            </w:r>
          </w:p>
        </w:tc>
        <w:tc>
          <w:tcPr>
            <w:tcW w:w="0" w:type="auto"/>
          </w:tcPr>
          <w:p w:rsidR="00EE56C0" w:rsidRDefault="000F36A1">
            <w:pPr>
              <w:pStyle w:val="afa"/>
            </w:pPr>
            <w:r>
              <w:t>1.48</w:t>
            </w:r>
          </w:p>
        </w:tc>
        <w:tc>
          <w:tcPr>
            <w:tcW w:w="0" w:type="auto"/>
          </w:tcPr>
          <w:p w:rsidR="00EE56C0" w:rsidRDefault="000F36A1">
            <w:pPr>
              <w:pStyle w:val="afa"/>
            </w:pPr>
            <w:r>
              <w:t>7.08</w:t>
            </w:r>
          </w:p>
        </w:tc>
        <w:tc>
          <w:tcPr>
            <w:tcW w:w="0" w:type="auto"/>
          </w:tcPr>
          <w:p w:rsidR="00EE56C0" w:rsidRDefault="000F36A1">
            <w:pPr>
              <w:pStyle w:val="afa"/>
            </w:pPr>
            <w:r>
              <w:t>9.26</w:t>
            </w:r>
          </w:p>
        </w:tc>
        <w:tc>
          <w:tcPr>
            <w:tcW w:w="0" w:type="auto"/>
          </w:tcPr>
          <w:p w:rsidR="00EE56C0" w:rsidRDefault="000F36A1">
            <w:pPr>
              <w:pStyle w:val="afa"/>
            </w:pPr>
            <w:r>
              <w:t>6.39</w:t>
            </w:r>
          </w:p>
        </w:tc>
        <w:tc>
          <w:tcPr>
            <w:tcW w:w="0" w:type="auto"/>
          </w:tcPr>
          <w:p w:rsidR="00EE56C0" w:rsidRDefault="000F36A1">
            <w:pPr>
              <w:pStyle w:val="afa"/>
            </w:pPr>
            <w:r>
              <w:t>4.81</w:t>
            </w:r>
          </w:p>
        </w:tc>
        <w:tc>
          <w:tcPr>
            <w:tcW w:w="0" w:type="auto"/>
          </w:tcPr>
          <w:p w:rsidR="00EE56C0" w:rsidRDefault="000F36A1">
            <w:pPr>
              <w:pStyle w:val="afa"/>
            </w:pPr>
            <w:r>
              <w:t>3.47</w:t>
            </w:r>
          </w:p>
        </w:tc>
        <w:tc>
          <w:tcPr>
            <w:tcW w:w="0" w:type="auto"/>
          </w:tcPr>
          <w:p w:rsidR="00EE56C0" w:rsidRDefault="000F36A1">
            <w:pPr>
              <w:pStyle w:val="afa"/>
            </w:pPr>
            <w:r>
              <w:t>0.65</w:t>
            </w:r>
          </w:p>
        </w:tc>
        <w:tc>
          <w:tcPr>
            <w:tcW w:w="329" w:type="pct"/>
          </w:tcPr>
          <w:p w:rsidR="00EE56C0" w:rsidRDefault="000F36A1">
            <w:pPr>
              <w:pStyle w:val="afa"/>
            </w:pPr>
            <w:r>
              <w:t>0.97</w:t>
            </w:r>
          </w:p>
        </w:tc>
        <w:tc>
          <w:tcPr>
            <w:tcW w:w="374" w:type="pct"/>
          </w:tcPr>
          <w:p w:rsidR="00EE56C0" w:rsidRDefault="000F36A1">
            <w:pPr>
              <w:pStyle w:val="afa"/>
            </w:pPr>
            <w:r>
              <w:t>1.90</w:t>
            </w:r>
          </w:p>
        </w:tc>
        <w:tc>
          <w:tcPr>
            <w:tcW w:w="0" w:type="auto"/>
          </w:tcPr>
          <w:p w:rsidR="00EE56C0" w:rsidRDefault="000F36A1">
            <w:pPr>
              <w:pStyle w:val="afa"/>
            </w:pPr>
            <w:r>
              <w:t>4.58</w:t>
            </w:r>
          </w:p>
        </w:tc>
      </w:tr>
    </w:tbl>
    <w:p w:rsidR="00EE56C0" w:rsidRDefault="00EE56C0">
      <w:pPr>
        <w:ind w:firstLine="480"/>
        <w:jc w:val="center"/>
        <w:rPr>
          <w:rFonts w:eastAsia="黑体"/>
          <w:bCs/>
          <w:szCs w:val="22"/>
          <w:highlight w:val="yellow"/>
        </w:rPr>
      </w:pPr>
    </w:p>
    <w:p w:rsidR="00EE56C0" w:rsidRDefault="000F36A1">
      <w:pPr>
        <w:pStyle w:val="aff8"/>
        <w:ind w:leftChars="-177" w:left="-1" w:hangingChars="176" w:hanging="424"/>
        <w:rPr>
          <w:highlight w:val="yellow"/>
        </w:rPr>
      </w:pPr>
      <w:r>
        <w:rPr>
          <w:noProof/>
        </w:rPr>
        <w:drawing>
          <wp:inline distT="0" distB="0" distL="0" distR="0">
            <wp:extent cx="4948555" cy="6845935"/>
            <wp:effectExtent l="19050" t="0" r="4389" b="0"/>
            <wp:docPr id="118"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80"/>
                    <pic:cNvPicPr>
                      <a:picLocks noChangeAspect="1" noChangeArrowheads="1"/>
                    </pic:cNvPicPr>
                  </pic:nvPicPr>
                  <pic:blipFill>
                    <a:blip r:embed="rId81" cstate="print"/>
                    <a:srcRect t="692"/>
                    <a:stretch>
                      <a:fillRect/>
                    </a:stretch>
                  </pic:blipFill>
                  <pic:spPr>
                    <a:xfrm>
                      <a:off x="0" y="0"/>
                      <a:ext cx="4948611" cy="6846073"/>
                    </a:xfrm>
                    <a:prstGeom prst="rect">
                      <a:avLst/>
                    </a:prstGeom>
                    <a:noFill/>
                    <a:ln w="9525">
                      <a:noFill/>
                      <a:miter lim="800000"/>
                      <a:headEnd/>
                      <a:tailEnd/>
                    </a:ln>
                  </pic:spPr>
                </pic:pic>
              </a:graphicData>
            </a:graphic>
          </wp:inline>
        </w:drawing>
      </w:r>
    </w:p>
    <w:p w:rsidR="00EE56C0" w:rsidRDefault="000F36A1">
      <w:pPr>
        <w:pStyle w:val="aff8"/>
        <w:rPr>
          <w:szCs w:val="22"/>
        </w:rPr>
      </w:pPr>
      <w:r>
        <w:rPr>
          <w:rFonts w:hint="eastAsia"/>
        </w:rPr>
        <w:t>图</w:t>
      </w:r>
      <w:r>
        <w:rPr>
          <w:rFonts w:hint="eastAsia"/>
        </w:rPr>
        <w:t>5</w:t>
      </w:r>
      <w:r>
        <w:t>-</w:t>
      </w:r>
      <w:r>
        <w:rPr>
          <w:rFonts w:hint="eastAsia"/>
        </w:rPr>
        <w:t>10</w:t>
      </w:r>
      <w:r>
        <w:rPr>
          <w:rFonts w:hint="eastAsia"/>
        </w:rPr>
        <w:t>全年及各季风向频率图</w:t>
      </w:r>
    </w:p>
    <w:p w:rsidR="00EE56C0" w:rsidRDefault="000F36A1">
      <w:pPr>
        <w:ind w:firstLine="480"/>
        <w:rPr>
          <w:szCs w:val="22"/>
        </w:rPr>
      </w:pPr>
      <w:r>
        <w:rPr>
          <w:rFonts w:hint="eastAsia"/>
        </w:rPr>
        <w:t>根据统计结果可知，该地近年全年最多风向为</w:t>
      </w:r>
      <w:r>
        <w:rPr>
          <w:rFonts w:hint="eastAsia"/>
        </w:rPr>
        <w:t>ENE</w:t>
      </w:r>
      <w:r>
        <w:rPr>
          <w:rFonts w:hint="eastAsia"/>
        </w:rPr>
        <w:t>风，频率</w:t>
      </w:r>
      <w:r>
        <w:rPr>
          <w:rFonts w:hint="eastAsia"/>
        </w:rPr>
        <w:t>18.62</w:t>
      </w:r>
      <w:r>
        <w:t>%</w:t>
      </w:r>
      <w:r>
        <w:rPr>
          <w:rFonts w:hint="eastAsia"/>
        </w:rPr>
        <w:t>；次多风向为东风，频率为</w:t>
      </w:r>
      <w:r>
        <w:rPr>
          <w:rFonts w:hint="eastAsia"/>
        </w:rPr>
        <w:t>15.66</w:t>
      </w:r>
      <w:r>
        <w:t>%</w:t>
      </w:r>
      <w:r>
        <w:rPr>
          <w:rFonts w:hint="eastAsia"/>
        </w:rPr>
        <w:t>。按扇形方位统计，</w:t>
      </w:r>
      <w:r>
        <w:t>NE-ENE</w:t>
      </w:r>
      <w:r>
        <w:rPr>
          <w:rFonts w:hint="eastAsia"/>
        </w:rPr>
        <w:t>-E</w:t>
      </w:r>
      <w:r>
        <w:rPr>
          <w:rFonts w:hint="eastAsia"/>
        </w:rPr>
        <w:t>扇形方位的风频之和</w:t>
      </w:r>
      <w:r>
        <w:rPr>
          <w:rFonts w:hint="eastAsia"/>
        </w:rPr>
        <w:lastRenderedPageBreak/>
        <w:t>为</w:t>
      </w:r>
      <w:r>
        <w:rPr>
          <w:rFonts w:hint="eastAsia"/>
        </w:rPr>
        <w:t>36.37</w:t>
      </w:r>
      <w:r>
        <w:t>%</w:t>
      </w:r>
      <w:r>
        <w:rPr>
          <w:rFonts w:hint="eastAsia"/>
        </w:rPr>
        <w:t>。就各季节而言，春、夏、秋、冬四季，最多风向为</w:t>
      </w:r>
      <w:r>
        <w:rPr>
          <w:rFonts w:hint="eastAsia"/>
        </w:rPr>
        <w:t>ENE</w:t>
      </w:r>
      <w:r>
        <w:rPr>
          <w:rFonts w:hint="eastAsia"/>
        </w:rPr>
        <w:t>或</w:t>
      </w:r>
      <w:r>
        <w:rPr>
          <w:rFonts w:hint="eastAsia"/>
        </w:rPr>
        <w:t>E</w:t>
      </w:r>
      <w:r>
        <w:rPr>
          <w:rFonts w:hint="eastAsia"/>
        </w:rPr>
        <w:t>风，频率分别为</w:t>
      </w:r>
      <w:r>
        <w:rPr>
          <w:rFonts w:hint="eastAsia"/>
        </w:rPr>
        <w:t>14.86</w:t>
      </w:r>
      <w:r>
        <w:t>%</w:t>
      </w:r>
      <w:r>
        <w:rPr>
          <w:rFonts w:hint="eastAsia"/>
        </w:rPr>
        <w:t>（</w:t>
      </w:r>
      <w:r>
        <w:rPr>
          <w:rFonts w:hint="eastAsia"/>
        </w:rPr>
        <w:t>ENE</w:t>
      </w:r>
      <w:r>
        <w:rPr>
          <w:rFonts w:hint="eastAsia"/>
        </w:rPr>
        <w:t>）、</w:t>
      </w:r>
      <w:r>
        <w:rPr>
          <w:rFonts w:hint="eastAsia"/>
        </w:rPr>
        <w:t>17.57</w:t>
      </w:r>
      <w:r>
        <w:t>%</w:t>
      </w:r>
      <w:r>
        <w:rPr>
          <w:rFonts w:hint="eastAsia"/>
        </w:rPr>
        <w:t>（</w:t>
      </w:r>
      <w:r>
        <w:rPr>
          <w:rFonts w:hint="eastAsia"/>
        </w:rPr>
        <w:t>E</w:t>
      </w:r>
      <w:r>
        <w:rPr>
          <w:rFonts w:hint="eastAsia"/>
        </w:rPr>
        <w:t>）、</w:t>
      </w:r>
      <w:r>
        <w:rPr>
          <w:rFonts w:hint="eastAsia"/>
        </w:rPr>
        <w:t>18.09</w:t>
      </w:r>
      <w:r>
        <w:t>%</w:t>
      </w:r>
      <w:r>
        <w:rPr>
          <w:rFonts w:hint="eastAsia"/>
        </w:rPr>
        <w:t>（</w:t>
      </w:r>
      <w:r>
        <w:rPr>
          <w:rFonts w:hint="eastAsia"/>
        </w:rPr>
        <w:t>ENE</w:t>
      </w:r>
      <w:r>
        <w:rPr>
          <w:rFonts w:hint="eastAsia"/>
        </w:rPr>
        <w:t>）、</w:t>
      </w:r>
      <w:r>
        <w:rPr>
          <w:rFonts w:hint="eastAsia"/>
        </w:rPr>
        <w:t>25.28</w:t>
      </w:r>
      <w:r>
        <w:t>%</w:t>
      </w:r>
      <w:r>
        <w:rPr>
          <w:rFonts w:hint="eastAsia"/>
        </w:rPr>
        <w:t>（</w:t>
      </w:r>
      <w:r>
        <w:rPr>
          <w:rFonts w:hint="eastAsia"/>
        </w:rPr>
        <w:t>ENE</w:t>
      </w:r>
      <w:r>
        <w:rPr>
          <w:rFonts w:hint="eastAsia"/>
        </w:rPr>
        <w:t>）。该地全年静风频率为</w:t>
      </w:r>
      <w:r>
        <w:rPr>
          <w:rFonts w:hint="eastAsia"/>
        </w:rPr>
        <w:t>3.53</w:t>
      </w:r>
      <w:r>
        <w:t>%</w:t>
      </w:r>
      <w:r>
        <w:rPr>
          <w:rFonts w:hint="eastAsia"/>
        </w:rPr>
        <w:t>，以秋季最多，夏季最少。</w:t>
      </w:r>
    </w:p>
    <w:p w:rsidR="00EE56C0" w:rsidRDefault="000F36A1">
      <w:pPr>
        <w:pStyle w:val="4"/>
        <w:ind w:left="120" w:firstLine="241"/>
      </w:pPr>
      <w:r>
        <w:rPr>
          <w:rFonts w:hint="eastAsia"/>
        </w:rPr>
        <w:t>5.1.1.7</w:t>
      </w:r>
      <w:r>
        <w:rPr>
          <w:rFonts w:hint="eastAsia"/>
        </w:rPr>
        <w:t>高空模拟气象数据</w:t>
      </w:r>
    </w:p>
    <w:p w:rsidR="00EE56C0" w:rsidRDefault="000F36A1">
      <w:pPr>
        <w:ind w:firstLine="480"/>
        <w:rPr>
          <w:highlight w:val="yellow"/>
        </w:rPr>
      </w:pPr>
      <w:r>
        <w:rPr>
          <w:rFonts w:hint="eastAsia"/>
        </w:rPr>
        <w:t>本次环境空气预测常规高空气象资料采用“环境空气质量模型技术支持服务系统”采购的数据，该数据由大气环境影响评价数值模式</w:t>
      </w:r>
      <w:r>
        <w:rPr>
          <w:rFonts w:hint="eastAsia"/>
        </w:rPr>
        <w:t>WRF</w:t>
      </w:r>
      <w:r>
        <w:rPr>
          <w:rFonts w:hint="eastAsia"/>
        </w:rPr>
        <w:t>模拟生成。模式计算过程中把全国共划分为</w:t>
      </w:r>
      <w:r>
        <w:rPr>
          <w:rFonts w:hint="eastAsia"/>
        </w:rPr>
        <w:t>189</w:t>
      </w:r>
      <w:r>
        <w:rPr>
          <w:rFonts w:hint="eastAsia"/>
        </w:rPr>
        <w:t>×</w:t>
      </w:r>
      <w:r>
        <w:rPr>
          <w:rFonts w:hint="eastAsia"/>
        </w:rPr>
        <w:t>159</w:t>
      </w:r>
      <w:r>
        <w:rPr>
          <w:rFonts w:hint="eastAsia"/>
        </w:rPr>
        <w:t>个网格，分辨率为</w:t>
      </w:r>
      <w:r>
        <w:rPr>
          <w:rFonts w:hint="eastAsia"/>
        </w:rPr>
        <w:t>27km</w:t>
      </w:r>
      <w:r>
        <w:rPr>
          <w:rFonts w:hint="eastAsia"/>
        </w:rPr>
        <w:t>×</w:t>
      </w:r>
      <w:r>
        <w:rPr>
          <w:rFonts w:hint="eastAsia"/>
        </w:rPr>
        <w:t>27km</w:t>
      </w:r>
      <w:r>
        <w:rPr>
          <w:rFonts w:hint="eastAsia"/>
        </w:rPr>
        <w:t>。模式采用的原始数据有地形高度、土地利用、陆地</w:t>
      </w:r>
      <w:r>
        <w:rPr>
          <w:rFonts w:hint="eastAsia"/>
        </w:rPr>
        <w:t>-</w:t>
      </w:r>
      <w:r>
        <w:rPr>
          <w:rFonts w:hint="eastAsia"/>
        </w:rPr>
        <w:t>水体标志、植被组成等数据，数据源主要为美国的</w:t>
      </w:r>
      <w:r>
        <w:rPr>
          <w:rFonts w:hint="eastAsia"/>
        </w:rPr>
        <w:t>USGS</w:t>
      </w:r>
      <w:r>
        <w:rPr>
          <w:rFonts w:hint="eastAsia"/>
        </w:rPr>
        <w:t>数据。模式采用美国国家环境预报中心（</w:t>
      </w:r>
      <w:r>
        <w:rPr>
          <w:rFonts w:hint="eastAsia"/>
        </w:rPr>
        <w:t>NCEP)</w:t>
      </w:r>
      <w:r>
        <w:rPr>
          <w:rFonts w:hint="eastAsia"/>
        </w:rPr>
        <w:t>的再分析数据作为模型输入场和边界场。</w:t>
      </w:r>
    </w:p>
    <w:p w:rsidR="00EE56C0" w:rsidRDefault="000F36A1">
      <w:pPr>
        <w:ind w:firstLine="480"/>
        <w:rPr>
          <w:rFonts w:eastAsia="黑体"/>
        </w:rPr>
      </w:pPr>
      <w:r>
        <w:rPr>
          <w:rFonts w:hint="eastAsia"/>
        </w:rPr>
        <w:t>高空探测资料调查时段为</w:t>
      </w:r>
      <w:r>
        <w:t>201</w:t>
      </w:r>
      <w:r>
        <w:rPr>
          <w:rFonts w:hint="eastAsia"/>
        </w:rPr>
        <w:t>9</w:t>
      </w:r>
      <w:r>
        <w:rPr>
          <w:rFonts w:hint="eastAsia"/>
        </w:rPr>
        <w:t>年</w:t>
      </w:r>
      <w:r>
        <w:t>1</w:t>
      </w:r>
      <w:r>
        <w:rPr>
          <w:rFonts w:hint="eastAsia"/>
        </w:rPr>
        <w:t>月至</w:t>
      </w:r>
      <w:r>
        <w:t>201</w:t>
      </w:r>
      <w:r>
        <w:rPr>
          <w:rFonts w:hint="eastAsia"/>
        </w:rPr>
        <w:t>9</w:t>
      </w:r>
      <w:r>
        <w:rPr>
          <w:rFonts w:hint="eastAsia"/>
        </w:rPr>
        <w:t>年</w:t>
      </w:r>
      <w:r>
        <w:t>12</w:t>
      </w:r>
      <w:r>
        <w:rPr>
          <w:rFonts w:hint="eastAsia"/>
        </w:rPr>
        <w:t>月。探空数据主要包括：时间、层数、气压、离地高度、干球温度等。</w:t>
      </w:r>
    </w:p>
    <w:p w:rsidR="00EE56C0" w:rsidRDefault="000F36A1">
      <w:pPr>
        <w:pStyle w:val="3"/>
        <w:spacing w:before="240" w:after="120"/>
      </w:pPr>
      <w:r>
        <w:rPr>
          <w:rFonts w:hint="eastAsia"/>
        </w:rPr>
        <w:t>5.1.2</w:t>
      </w:r>
      <w:r>
        <w:rPr>
          <w:rFonts w:hint="eastAsia"/>
        </w:rPr>
        <w:t>环境空气质量预测</w:t>
      </w:r>
    </w:p>
    <w:p w:rsidR="00EE56C0" w:rsidRDefault="000F36A1">
      <w:pPr>
        <w:pStyle w:val="4"/>
        <w:ind w:left="120" w:firstLine="241"/>
      </w:pPr>
      <w:r>
        <w:rPr>
          <w:rFonts w:hint="eastAsia"/>
        </w:rPr>
        <w:t>5.1.2.1</w:t>
      </w:r>
      <w:r>
        <w:t>预测因子</w:t>
      </w:r>
    </w:p>
    <w:p w:rsidR="00EE56C0" w:rsidRDefault="000F36A1">
      <w:pPr>
        <w:ind w:firstLine="480"/>
      </w:pPr>
      <w:r>
        <w:t>根据工程分析结果，确定本次环境空气影响预测因子为</w:t>
      </w:r>
      <w:r>
        <w:rPr>
          <w:rFonts w:hint="eastAsia"/>
        </w:rPr>
        <w:t>：酚、非甲烷总烃、苯、甲苯、二甲苯。</w:t>
      </w:r>
    </w:p>
    <w:p w:rsidR="00EE56C0" w:rsidRDefault="000F36A1">
      <w:pPr>
        <w:pStyle w:val="4"/>
        <w:ind w:left="120" w:firstLine="241"/>
      </w:pPr>
      <w:bookmarkStart w:id="313" w:name="_Toc324839615"/>
      <w:bookmarkStart w:id="314" w:name="_Toc324839318"/>
      <w:r>
        <w:rPr>
          <w:rFonts w:hint="eastAsia"/>
        </w:rPr>
        <w:t>5.1.2.2</w:t>
      </w:r>
      <w:r>
        <w:rPr>
          <w:rFonts w:hint="eastAsia"/>
        </w:rPr>
        <w:t>评价标准</w:t>
      </w:r>
      <w:bookmarkEnd w:id="313"/>
      <w:bookmarkEnd w:id="314"/>
    </w:p>
    <w:p w:rsidR="00EE56C0" w:rsidRDefault="000F36A1">
      <w:pPr>
        <w:ind w:firstLine="480"/>
      </w:pPr>
      <w:r>
        <w:rPr>
          <w:rFonts w:hint="eastAsia"/>
        </w:rPr>
        <w:t>酚</w:t>
      </w:r>
      <w:r>
        <w:t>质量浓度限值执行</w:t>
      </w:r>
      <w:r>
        <w:rPr>
          <w:rFonts w:hint="eastAsia"/>
          <w:b/>
          <w:u w:val="single"/>
        </w:rPr>
        <w:t>《居住区大气中酚卫生标准》（</w:t>
      </w:r>
      <w:r>
        <w:rPr>
          <w:rFonts w:hint="eastAsia"/>
          <w:b/>
          <w:u w:val="single"/>
        </w:rPr>
        <w:t>GB18067-2000</w:t>
      </w:r>
      <w:r>
        <w:rPr>
          <w:rFonts w:hint="eastAsia"/>
          <w:b/>
          <w:u w:val="single"/>
        </w:rPr>
        <w:t>）</w:t>
      </w:r>
      <w:r>
        <w:rPr>
          <w:rFonts w:hint="eastAsia"/>
        </w:rPr>
        <w:t>小时浓度限值</w:t>
      </w:r>
      <w:r>
        <w:rPr>
          <w:snapToGrid w:val="0"/>
        </w:rPr>
        <w:t>。</w:t>
      </w:r>
    </w:p>
    <w:p w:rsidR="00EE56C0" w:rsidRDefault="000F36A1">
      <w:pPr>
        <w:ind w:firstLine="480"/>
      </w:pPr>
      <w:r>
        <w:rPr>
          <w:rFonts w:hint="eastAsia"/>
        </w:rPr>
        <w:t>非甲烷总烃</w:t>
      </w:r>
      <w:r>
        <w:t>质量浓度限值执行</w:t>
      </w:r>
      <w:r>
        <w:rPr>
          <w:rFonts w:hint="eastAsia"/>
        </w:rPr>
        <w:t>《大气综合污染物排放标准详解》第四章标准值说明</w:t>
      </w:r>
      <w:r>
        <w:t>-</w:t>
      </w:r>
      <w:r>
        <w:rPr>
          <w:rFonts w:hint="eastAsia"/>
        </w:rPr>
        <w:t>三十一、非甲烷总烃。</w:t>
      </w:r>
    </w:p>
    <w:p w:rsidR="00EE56C0" w:rsidRDefault="000F36A1">
      <w:pPr>
        <w:ind w:firstLine="480"/>
      </w:pPr>
      <w:r>
        <w:rPr>
          <w:rFonts w:hint="eastAsia"/>
        </w:rPr>
        <w:t>苯、甲苯、二甲苯</w:t>
      </w:r>
      <w:r>
        <w:t>质量浓度限值执行</w:t>
      </w:r>
      <w:r>
        <w:rPr>
          <w:rFonts w:hint="eastAsia"/>
        </w:rPr>
        <w:t>《环境影响评价技术导则</w:t>
      </w:r>
      <w:r>
        <w:rPr>
          <w:rFonts w:hint="eastAsia"/>
        </w:rPr>
        <w:t xml:space="preserve"> </w:t>
      </w:r>
      <w:r>
        <w:rPr>
          <w:rFonts w:hint="eastAsia"/>
        </w:rPr>
        <w:t>大气环境》（</w:t>
      </w:r>
      <w:r>
        <w:rPr>
          <w:rFonts w:hint="eastAsia"/>
        </w:rPr>
        <w:t>HJ2.2-2018</w:t>
      </w:r>
      <w:r>
        <w:rPr>
          <w:rFonts w:hint="eastAsia"/>
        </w:rPr>
        <w:t>）附录</w:t>
      </w:r>
      <w:r>
        <w:rPr>
          <w:rFonts w:hint="eastAsia"/>
        </w:rPr>
        <w:t>D</w:t>
      </w:r>
      <w:r>
        <w:rPr>
          <w:rFonts w:hint="eastAsia"/>
        </w:rPr>
        <w:t>中的空气质量浓度参考限值</w:t>
      </w:r>
      <w:r>
        <w:rPr>
          <w:snapToGrid w:val="0"/>
        </w:rPr>
        <w:t>。</w:t>
      </w:r>
    </w:p>
    <w:p w:rsidR="00EE56C0" w:rsidRDefault="00EE56C0">
      <w:pPr>
        <w:pStyle w:val="afd"/>
        <w:spacing w:before="120" w:after="120"/>
        <w:ind w:firstLine="482"/>
      </w:pPr>
    </w:p>
    <w:p w:rsidR="00EE56C0" w:rsidRDefault="00EE56C0">
      <w:pPr>
        <w:pStyle w:val="afd"/>
        <w:spacing w:before="120" w:after="120"/>
        <w:ind w:firstLine="482"/>
      </w:pPr>
    </w:p>
    <w:p w:rsidR="00EE56C0" w:rsidRDefault="000F36A1">
      <w:pPr>
        <w:pStyle w:val="afd"/>
        <w:spacing w:before="120" w:after="120"/>
        <w:ind w:firstLine="482"/>
      </w:pPr>
      <w:r>
        <w:lastRenderedPageBreak/>
        <w:t>表</w:t>
      </w:r>
      <w:r>
        <w:rPr>
          <w:rFonts w:hint="eastAsia"/>
        </w:rPr>
        <w:t>5-9</w:t>
      </w:r>
      <w:r>
        <w:t>环境空气质量评价标准</w:t>
      </w:r>
      <w:r>
        <w:rPr>
          <w:rFonts w:hint="eastAsia"/>
        </w:rPr>
        <w:t xml:space="preserve">         </w:t>
      </w:r>
      <w:r>
        <w:rPr>
          <w:rFonts w:hint="eastAsia"/>
        </w:rPr>
        <w:t>单位：</w:t>
      </w:r>
      <w:r>
        <w:t>mg/m</w:t>
      </w:r>
      <w:r>
        <w:rPr>
          <w:vertAlign w:val="superscript"/>
        </w:rPr>
        <w:t>3</w:t>
      </w:r>
    </w:p>
    <w:tbl>
      <w:tblPr>
        <w:tblW w:w="5000" w:type="pct"/>
        <w:jc w:val="center"/>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CellMar>
          <w:left w:w="28" w:type="dxa"/>
          <w:right w:w="28" w:type="dxa"/>
        </w:tblCellMar>
        <w:tblLook w:val="04A0"/>
      </w:tblPr>
      <w:tblGrid>
        <w:gridCol w:w="1446"/>
        <w:gridCol w:w="2268"/>
        <w:gridCol w:w="1133"/>
        <w:gridCol w:w="3522"/>
      </w:tblGrid>
      <w:tr w:rsidR="00EE56C0">
        <w:trPr>
          <w:trHeight w:val="454"/>
          <w:tblHeader/>
          <w:jc w:val="center"/>
        </w:trPr>
        <w:tc>
          <w:tcPr>
            <w:tcW w:w="864" w:type="pct"/>
            <w:vAlign w:val="center"/>
          </w:tcPr>
          <w:p w:rsidR="00EE56C0" w:rsidRDefault="000F36A1">
            <w:pPr>
              <w:pStyle w:val="afa"/>
              <w:rPr>
                <w:b/>
              </w:rPr>
            </w:pPr>
            <w:r>
              <w:rPr>
                <w:b/>
              </w:rPr>
              <w:t>评价因子</w:t>
            </w:r>
          </w:p>
        </w:tc>
        <w:tc>
          <w:tcPr>
            <w:tcW w:w="1355" w:type="pct"/>
            <w:tcBorders>
              <w:right w:val="single" w:sz="4" w:space="0" w:color="auto"/>
            </w:tcBorders>
            <w:vAlign w:val="center"/>
          </w:tcPr>
          <w:p w:rsidR="00EE56C0" w:rsidRDefault="000F36A1">
            <w:pPr>
              <w:pStyle w:val="afa"/>
              <w:rPr>
                <w:b/>
              </w:rPr>
            </w:pPr>
            <w:r>
              <w:rPr>
                <w:rFonts w:hint="eastAsia"/>
                <w:b/>
              </w:rPr>
              <w:t>平均时段</w:t>
            </w:r>
            <w:r>
              <w:rPr>
                <w:rFonts w:hint="eastAsia"/>
                <w:b/>
              </w:rPr>
              <w:t>/</w:t>
            </w:r>
            <w:r>
              <w:rPr>
                <w:rFonts w:hint="eastAsia"/>
                <w:b/>
              </w:rPr>
              <w:t>厂界</w:t>
            </w:r>
          </w:p>
        </w:tc>
        <w:tc>
          <w:tcPr>
            <w:tcW w:w="677" w:type="pct"/>
            <w:tcBorders>
              <w:left w:val="single" w:sz="4" w:space="0" w:color="auto"/>
            </w:tcBorders>
            <w:vAlign w:val="center"/>
          </w:tcPr>
          <w:p w:rsidR="00EE56C0" w:rsidRDefault="000F36A1">
            <w:pPr>
              <w:pStyle w:val="afa"/>
              <w:rPr>
                <w:b/>
              </w:rPr>
            </w:pPr>
            <w:r>
              <w:rPr>
                <w:rFonts w:hint="eastAsia"/>
                <w:b/>
              </w:rPr>
              <w:t>标准值</w:t>
            </w:r>
          </w:p>
        </w:tc>
        <w:tc>
          <w:tcPr>
            <w:tcW w:w="2104" w:type="pct"/>
            <w:vAlign w:val="center"/>
          </w:tcPr>
          <w:p w:rsidR="00EE56C0" w:rsidRDefault="000F36A1">
            <w:pPr>
              <w:pStyle w:val="afa"/>
              <w:rPr>
                <w:b/>
              </w:rPr>
            </w:pPr>
            <w:r>
              <w:rPr>
                <w:rFonts w:hint="eastAsia"/>
                <w:b/>
              </w:rPr>
              <w:t>限值来源</w:t>
            </w:r>
          </w:p>
        </w:tc>
      </w:tr>
      <w:tr w:rsidR="00EE56C0">
        <w:trPr>
          <w:trHeight w:val="454"/>
          <w:jc w:val="center"/>
        </w:trPr>
        <w:tc>
          <w:tcPr>
            <w:tcW w:w="864" w:type="pct"/>
            <w:vAlign w:val="center"/>
          </w:tcPr>
          <w:p w:rsidR="00EE56C0" w:rsidRDefault="000F36A1">
            <w:pPr>
              <w:pStyle w:val="afa"/>
            </w:pPr>
            <w:r>
              <w:rPr>
                <w:rFonts w:hint="eastAsia"/>
              </w:rPr>
              <w:t>苯</w:t>
            </w:r>
          </w:p>
        </w:tc>
        <w:tc>
          <w:tcPr>
            <w:tcW w:w="1355" w:type="pct"/>
            <w:vAlign w:val="center"/>
          </w:tcPr>
          <w:p w:rsidR="00EE56C0" w:rsidRDefault="000F36A1">
            <w:pPr>
              <w:pStyle w:val="afa"/>
            </w:pPr>
            <w:r>
              <w:rPr>
                <w:rFonts w:hint="eastAsia"/>
              </w:rPr>
              <w:t>质量浓度</w:t>
            </w:r>
            <w:r>
              <w:rPr>
                <w:rFonts w:hint="eastAsia"/>
              </w:rPr>
              <w:t>1h</w:t>
            </w:r>
            <w:r>
              <w:rPr>
                <w:rFonts w:hint="eastAsia"/>
              </w:rPr>
              <w:t>限</w:t>
            </w:r>
            <w:r>
              <w:t>值</w:t>
            </w:r>
          </w:p>
        </w:tc>
        <w:tc>
          <w:tcPr>
            <w:tcW w:w="677" w:type="pct"/>
            <w:vAlign w:val="center"/>
          </w:tcPr>
          <w:p w:rsidR="00EE56C0" w:rsidRDefault="000F36A1">
            <w:pPr>
              <w:pStyle w:val="afa"/>
            </w:pPr>
            <w:r>
              <w:t>0.</w:t>
            </w:r>
            <w:r>
              <w:rPr>
                <w:rFonts w:hint="eastAsia"/>
              </w:rPr>
              <w:t>11</w:t>
            </w:r>
          </w:p>
        </w:tc>
        <w:tc>
          <w:tcPr>
            <w:tcW w:w="2104" w:type="pct"/>
            <w:vMerge w:val="restart"/>
            <w:vAlign w:val="center"/>
          </w:tcPr>
          <w:p w:rsidR="00EE56C0" w:rsidRDefault="000F36A1">
            <w:pPr>
              <w:pStyle w:val="afa"/>
            </w:pPr>
            <w:r>
              <w:rPr>
                <w:rFonts w:hint="eastAsia"/>
              </w:rPr>
              <w:t>《环境影响评价技术导则</w:t>
            </w:r>
            <w:r>
              <w:rPr>
                <w:rFonts w:hint="eastAsia"/>
              </w:rPr>
              <w:t xml:space="preserve"> </w:t>
            </w:r>
            <w:r>
              <w:rPr>
                <w:rFonts w:hint="eastAsia"/>
              </w:rPr>
              <w:t>大气环境》（</w:t>
            </w:r>
            <w:r>
              <w:rPr>
                <w:rFonts w:hint="eastAsia"/>
              </w:rPr>
              <w:t>HJ2.2-2018</w:t>
            </w:r>
            <w:r>
              <w:rPr>
                <w:rFonts w:hint="eastAsia"/>
              </w:rPr>
              <w:t>）附录</w:t>
            </w:r>
            <w:r>
              <w:rPr>
                <w:rFonts w:hint="eastAsia"/>
              </w:rPr>
              <w:t>D</w:t>
            </w:r>
          </w:p>
        </w:tc>
      </w:tr>
      <w:tr w:rsidR="00EE56C0">
        <w:trPr>
          <w:trHeight w:val="454"/>
          <w:jc w:val="center"/>
        </w:trPr>
        <w:tc>
          <w:tcPr>
            <w:tcW w:w="864" w:type="pct"/>
            <w:vAlign w:val="center"/>
          </w:tcPr>
          <w:p w:rsidR="00EE56C0" w:rsidRDefault="000F36A1">
            <w:pPr>
              <w:pStyle w:val="afa"/>
            </w:pPr>
            <w:r>
              <w:rPr>
                <w:rFonts w:hint="eastAsia"/>
              </w:rPr>
              <w:t>甲苯</w:t>
            </w:r>
          </w:p>
        </w:tc>
        <w:tc>
          <w:tcPr>
            <w:tcW w:w="1355" w:type="pct"/>
            <w:vAlign w:val="center"/>
          </w:tcPr>
          <w:p w:rsidR="00EE56C0" w:rsidRDefault="000F36A1">
            <w:pPr>
              <w:pStyle w:val="afa"/>
            </w:pPr>
            <w:r>
              <w:rPr>
                <w:rFonts w:hint="eastAsia"/>
              </w:rPr>
              <w:t>质量浓度</w:t>
            </w:r>
            <w:r>
              <w:rPr>
                <w:rFonts w:hint="eastAsia"/>
              </w:rPr>
              <w:t>1h</w:t>
            </w:r>
            <w:r>
              <w:rPr>
                <w:rFonts w:hint="eastAsia"/>
              </w:rPr>
              <w:t>限</w:t>
            </w:r>
            <w:r>
              <w:t>值</w:t>
            </w:r>
          </w:p>
        </w:tc>
        <w:tc>
          <w:tcPr>
            <w:tcW w:w="677" w:type="pct"/>
            <w:vAlign w:val="center"/>
          </w:tcPr>
          <w:p w:rsidR="00EE56C0" w:rsidRDefault="000F36A1">
            <w:pPr>
              <w:pStyle w:val="afa"/>
            </w:pPr>
            <w:r>
              <w:rPr>
                <w:rFonts w:hint="eastAsia"/>
              </w:rPr>
              <w:t>0.2</w:t>
            </w:r>
          </w:p>
        </w:tc>
        <w:tc>
          <w:tcPr>
            <w:tcW w:w="2104" w:type="pct"/>
            <w:vMerge/>
            <w:vAlign w:val="center"/>
          </w:tcPr>
          <w:p w:rsidR="00EE56C0" w:rsidRDefault="00EE56C0">
            <w:pPr>
              <w:pStyle w:val="afa"/>
            </w:pPr>
          </w:p>
        </w:tc>
      </w:tr>
      <w:tr w:rsidR="00EE56C0">
        <w:trPr>
          <w:trHeight w:val="454"/>
          <w:jc w:val="center"/>
        </w:trPr>
        <w:tc>
          <w:tcPr>
            <w:tcW w:w="864" w:type="pct"/>
            <w:vAlign w:val="center"/>
          </w:tcPr>
          <w:p w:rsidR="00EE56C0" w:rsidRDefault="000F36A1">
            <w:pPr>
              <w:pStyle w:val="afa"/>
            </w:pPr>
            <w:r>
              <w:rPr>
                <w:rFonts w:hint="eastAsia"/>
              </w:rPr>
              <w:t>二甲苯</w:t>
            </w:r>
          </w:p>
        </w:tc>
        <w:tc>
          <w:tcPr>
            <w:tcW w:w="1355" w:type="pct"/>
            <w:vAlign w:val="center"/>
          </w:tcPr>
          <w:p w:rsidR="00EE56C0" w:rsidRDefault="000F36A1">
            <w:pPr>
              <w:pStyle w:val="afa"/>
            </w:pPr>
            <w:r>
              <w:rPr>
                <w:rFonts w:hint="eastAsia"/>
              </w:rPr>
              <w:t>质量浓度</w:t>
            </w:r>
            <w:r>
              <w:rPr>
                <w:rFonts w:hint="eastAsia"/>
              </w:rPr>
              <w:t>1h</w:t>
            </w:r>
            <w:r>
              <w:rPr>
                <w:rFonts w:hint="eastAsia"/>
              </w:rPr>
              <w:t>限</w:t>
            </w:r>
            <w:r>
              <w:t>值</w:t>
            </w:r>
          </w:p>
        </w:tc>
        <w:tc>
          <w:tcPr>
            <w:tcW w:w="677" w:type="pct"/>
            <w:vAlign w:val="center"/>
          </w:tcPr>
          <w:p w:rsidR="00EE56C0" w:rsidRDefault="000F36A1">
            <w:pPr>
              <w:pStyle w:val="afa"/>
            </w:pPr>
            <w:r>
              <w:rPr>
                <w:rFonts w:hint="eastAsia"/>
              </w:rPr>
              <w:t>0.2</w:t>
            </w:r>
          </w:p>
        </w:tc>
        <w:tc>
          <w:tcPr>
            <w:tcW w:w="2104" w:type="pct"/>
            <w:vMerge/>
            <w:vAlign w:val="center"/>
          </w:tcPr>
          <w:p w:rsidR="00EE56C0" w:rsidRDefault="00EE56C0">
            <w:pPr>
              <w:pStyle w:val="afa"/>
            </w:pPr>
          </w:p>
        </w:tc>
      </w:tr>
      <w:tr w:rsidR="00EE56C0">
        <w:trPr>
          <w:trHeight w:val="454"/>
          <w:jc w:val="center"/>
        </w:trPr>
        <w:tc>
          <w:tcPr>
            <w:tcW w:w="864" w:type="pct"/>
            <w:vAlign w:val="center"/>
          </w:tcPr>
          <w:p w:rsidR="00EE56C0" w:rsidRDefault="000F36A1">
            <w:pPr>
              <w:pStyle w:val="afa"/>
            </w:pPr>
            <w:r>
              <w:rPr>
                <w:rFonts w:hint="eastAsia"/>
              </w:rPr>
              <w:t>非甲烷总烃</w:t>
            </w:r>
          </w:p>
        </w:tc>
        <w:tc>
          <w:tcPr>
            <w:tcW w:w="1355" w:type="pct"/>
            <w:vAlign w:val="center"/>
          </w:tcPr>
          <w:p w:rsidR="00EE56C0" w:rsidRDefault="000F36A1">
            <w:pPr>
              <w:pStyle w:val="afa"/>
            </w:pPr>
            <w:r>
              <w:rPr>
                <w:rFonts w:hint="eastAsia"/>
              </w:rPr>
              <w:t>一次最高容许浓度</w:t>
            </w:r>
          </w:p>
        </w:tc>
        <w:tc>
          <w:tcPr>
            <w:tcW w:w="677" w:type="pct"/>
            <w:vAlign w:val="center"/>
          </w:tcPr>
          <w:p w:rsidR="00EE56C0" w:rsidRDefault="000F36A1">
            <w:pPr>
              <w:pStyle w:val="afa"/>
            </w:pPr>
            <w:r>
              <w:rPr>
                <w:rFonts w:hint="eastAsia"/>
              </w:rPr>
              <w:t>2.0</w:t>
            </w:r>
          </w:p>
        </w:tc>
        <w:tc>
          <w:tcPr>
            <w:tcW w:w="2104" w:type="pct"/>
            <w:tcBorders>
              <w:bottom w:val="single" w:sz="4" w:space="0" w:color="auto"/>
            </w:tcBorders>
            <w:vAlign w:val="center"/>
          </w:tcPr>
          <w:p w:rsidR="00EE56C0" w:rsidRDefault="000F36A1">
            <w:pPr>
              <w:pStyle w:val="afa"/>
            </w:pPr>
            <w:r>
              <w:rPr>
                <w:rFonts w:hint="eastAsia"/>
              </w:rPr>
              <w:t>《大气综合污染物排放标准详解》第四章标准值说明</w:t>
            </w:r>
            <w:r>
              <w:t>-</w:t>
            </w:r>
            <w:r>
              <w:rPr>
                <w:rFonts w:hint="eastAsia"/>
              </w:rPr>
              <w:t>三十一、非甲烷总烃</w:t>
            </w:r>
          </w:p>
        </w:tc>
      </w:tr>
      <w:tr w:rsidR="00EE56C0">
        <w:trPr>
          <w:trHeight w:val="454"/>
          <w:jc w:val="center"/>
        </w:trPr>
        <w:tc>
          <w:tcPr>
            <w:tcW w:w="864" w:type="pct"/>
            <w:vAlign w:val="center"/>
          </w:tcPr>
          <w:p w:rsidR="00EE56C0" w:rsidRDefault="000F36A1">
            <w:pPr>
              <w:pStyle w:val="afa"/>
            </w:pPr>
            <w:r>
              <w:rPr>
                <w:rFonts w:hint="eastAsia"/>
              </w:rPr>
              <w:t>酚</w:t>
            </w:r>
          </w:p>
        </w:tc>
        <w:tc>
          <w:tcPr>
            <w:tcW w:w="1355" w:type="pct"/>
            <w:vAlign w:val="center"/>
          </w:tcPr>
          <w:p w:rsidR="00EE56C0" w:rsidRDefault="000F36A1">
            <w:pPr>
              <w:pStyle w:val="afa"/>
            </w:pPr>
            <w:r>
              <w:rPr>
                <w:rFonts w:hint="eastAsia"/>
              </w:rPr>
              <w:t>质量浓度</w:t>
            </w:r>
            <w:r>
              <w:rPr>
                <w:rFonts w:hint="eastAsia"/>
              </w:rPr>
              <w:t>1h</w:t>
            </w:r>
            <w:r>
              <w:rPr>
                <w:rFonts w:hint="eastAsia"/>
              </w:rPr>
              <w:t>限</w:t>
            </w:r>
            <w:r>
              <w:t>值</w:t>
            </w:r>
          </w:p>
        </w:tc>
        <w:tc>
          <w:tcPr>
            <w:tcW w:w="677" w:type="pct"/>
            <w:vAlign w:val="center"/>
          </w:tcPr>
          <w:p w:rsidR="00EE56C0" w:rsidRDefault="000F36A1">
            <w:pPr>
              <w:pStyle w:val="afa"/>
            </w:pPr>
            <w:r>
              <w:rPr>
                <w:rFonts w:hint="eastAsia"/>
              </w:rPr>
              <w:t>0.02</w:t>
            </w:r>
          </w:p>
        </w:tc>
        <w:tc>
          <w:tcPr>
            <w:tcW w:w="2104" w:type="pct"/>
            <w:tcBorders>
              <w:top w:val="single" w:sz="4" w:space="0" w:color="auto"/>
            </w:tcBorders>
            <w:vAlign w:val="center"/>
          </w:tcPr>
          <w:p w:rsidR="00EE56C0" w:rsidRDefault="000F36A1">
            <w:pPr>
              <w:pStyle w:val="afa"/>
            </w:pPr>
            <w:r>
              <w:rPr>
                <w:rFonts w:hint="eastAsia"/>
                <w:b/>
                <w:u w:val="single"/>
              </w:rPr>
              <w:t>《居住区大气中酚卫生标准》（</w:t>
            </w:r>
            <w:r>
              <w:rPr>
                <w:rFonts w:hint="eastAsia"/>
                <w:b/>
                <w:u w:val="single"/>
              </w:rPr>
              <w:t>GB18067-2000</w:t>
            </w:r>
            <w:r>
              <w:rPr>
                <w:rFonts w:hint="eastAsia"/>
                <w:b/>
                <w:u w:val="single"/>
              </w:rPr>
              <w:t>）</w:t>
            </w:r>
          </w:p>
        </w:tc>
      </w:tr>
    </w:tbl>
    <w:p w:rsidR="00EE56C0" w:rsidRDefault="000F36A1">
      <w:pPr>
        <w:pStyle w:val="4"/>
        <w:ind w:left="120" w:firstLine="241"/>
      </w:pPr>
      <w:bookmarkStart w:id="315" w:name="_Toc300681311"/>
      <w:bookmarkStart w:id="316" w:name="_Toc324839321"/>
      <w:bookmarkStart w:id="317" w:name="_Toc324839618"/>
      <w:bookmarkStart w:id="318" w:name="_Toc302145940"/>
      <w:bookmarkStart w:id="319" w:name="_Toc304300435"/>
      <w:r>
        <w:rPr>
          <w:rFonts w:hint="eastAsia"/>
        </w:rPr>
        <w:t>5.1.2.3</w:t>
      </w:r>
      <w:r>
        <w:t>预测参数</w:t>
      </w:r>
      <w:bookmarkEnd w:id="315"/>
      <w:bookmarkEnd w:id="316"/>
      <w:bookmarkEnd w:id="317"/>
      <w:bookmarkEnd w:id="318"/>
      <w:bookmarkEnd w:id="319"/>
    </w:p>
    <w:p w:rsidR="00EE56C0" w:rsidRDefault="000F36A1">
      <w:pPr>
        <w:pStyle w:val="aff4"/>
        <w:ind w:firstLine="482"/>
        <w:rPr>
          <w:b/>
        </w:rPr>
      </w:pPr>
      <w:r>
        <w:rPr>
          <w:rFonts w:hint="eastAsia"/>
          <w:b/>
        </w:rPr>
        <w:t>（</w:t>
      </w:r>
      <w:r>
        <w:rPr>
          <w:rFonts w:hint="eastAsia"/>
          <w:b/>
        </w:rPr>
        <w:t>1</w:t>
      </w:r>
      <w:r>
        <w:rPr>
          <w:rFonts w:hint="eastAsia"/>
          <w:b/>
        </w:rPr>
        <w:t>）正常工况下污染源参数</w:t>
      </w:r>
    </w:p>
    <w:p w:rsidR="00EE56C0" w:rsidRDefault="000F36A1">
      <w:pPr>
        <w:pStyle w:val="aff4"/>
      </w:pPr>
      <w:r>
        <w:t>本次工程涉及到</w:t>
      </w:r>
      <w:r>
        <w:rPr>
          <w:rFonts w:hint="eastAsia"/>
        </w:rPr>
        <w:t>的</w:t>
      </w:r>
      <w:r>
        <w:t>废气污染源</w:t>
      </w:r>
      <w:r>
        <w:rPr>
          <w:rFonts w:hint="eastAsia"/>
        </w:rPr>
        <w:t>的</w:t>
      </w:r>
      <w:r>
        <w:t>各项污染物参数见下表</w:t>
      </w:r>
      <w:r>
        <w:rPr>
          <w:rFonts w:hint="eastAsia"/>
        </w:rPr>
        <w:t>。</w:t>
      </w:r>
    </w:p>
    <w:p w:rsidR="00EE56C0" w:rsidRDefault="000F36A1">
      <w:pPr>
        <w:pStyle w:val="afd"/>
        <w:spacing w:before="120" w:after="120"/>
        <w:ind w:firstLine="482"/>
      </w:pPr>
      <w:bookmarkStart w:id="320" w:name="_Toc324839619"/>
      <w:bookmarkStart w:id="321" w:name="_Toc300681312"/>
      <w:bookmarkStart w:id="322" w:name="_Toc302145941"/>
      <w:bookmarkStart w:id="323" w:name="_Toc324839322"/>
      <w:bookmarkStart w:id="324" w:name="_Toc304300436"/>
      <w:r>
        <w:rPr>
          <w:rFonts w:hint="eastAsia"/>
        </w:rPr>
        <w:t>表</w:t>
      </w:r>
      <w:r>
        <w:rPr>
          <w:rFonts w:hint="eastAsia"/>
        </w:rPr>
        <w:t xml:space="preserve">5-10                  </w:t>
      </w:r>
      <w:r>
        <w:rPr>
          <w:rFonts w:hint="eastAsia"/>
        </w:rPr>
        <w:t>项目点源参数表</w:t>
      </w:r>
      <w:r>
        <w:rPr>
          <w:rFonts w:hint="eastAsia"/>
        </w:rPr>
        <w:t xml:space="preserve">  </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CellMar>
          <w:left w:w="0" w:type="dxa"/>
          <w:right w:w="0" w:type="dxa"/>
        </w:tblCellMar>
        <w:tblLook w:val="04A0"/>
      </w:tblPr>
      <w:tblGrid>
        <w:gridCol w:w="539"/>
        <w:gridCol w:w="519"/>
        <w:gridCol w:w="519"/>
        <w:gridCol w:w="628"/>
        <w:gridCol w:w="795"/>
        <w:gridCol w:w="628"/>
        <w:gridCol w:w="628"/>
        <w:gridCol w:w="628"/>
        <w:gridCol w:w="628"/>
        <w:gridCol w:w="628"/>
        <w:gridCol w:w="1300"/>
        <w:gridCol w:w="893"/>
      </w:tblGrid>
      <w:tr w:rsidR="00EE56C0">
        <w:trPr>
          <w:trHeight w:val="928"/>
          <w:jc w:val="center"/>
        </w:trPr>
        <w:tc>
          <w:tcPr>
            <w:tcW w:w="323" w:type="pct"/>
            <w:tcBorders>
              <w:bottom w:val="single" w:sz="6" w:space="0" w:color="auto"/>
            </w:tcBorders>
            <w:vAlign w:val="center"/>
          </w:tcPr>
          <w:p w:rsidR="00EE56C0" w:rsidRDefault="000F36A1">
            <w:pPr>
              <w:pStyle w:val="aff1"/>
              <w:rPr>
                <w:color w:val="auto"/>
              </w:rPr>
            </w:pPr>
            <w:r>
              <w:rPr>
                <w:color w:val="auto"/>
              </w:rPr>
              <w:t>点源</w:t>
            </w:r>
          </w:p>
          <w:p w:rsidR="00EE56C0" w:rsidRDefault="000F36A1">
            <w:pPr>
              <w:pStyle w:val="aff1"/>
              <w:rPr>
                <w:color w:val="auto"/>
              </w:rPr>
            </w:pPr>
            <w:r>
              <w:rPr>
                <w:rFonts w:hint="eastAsia"/>
                <w:color w:val="auto"/>
              </w:rPr>
              <w:t>位置</w:t>
            </w:r>
          </w:p>
        </w:tc>
        <w:tc>
          <w:tcPr>
            <w:tcW w:w="311" w:type="pct"/>
            <w:tcBorders>
              <w:bottom w:val="single" w:sz="6" w:space="0" w:color="auto"/>
            </w:tcBorders>
            <w:vAlign w:val="center"/>
          </w:tcPr>
          <w:p w:rsidR="00EE56C0" w:rsidRDefault="000F36A1">
            <w:pPr>
              <w:pStyle w:val="aff1"/>
              <w:rPr>
                <w:color w:val="auto"/>
              </w:rPr>
            </w:pPr>
            <w:r>
              <w:rPr>
                <w:rFonts w:hint="eastAsia"/>
                <w:color w:val="auto"/>
              </w:rPr>
              <w:t>评价因子</w:t>
            </w:r>
          </w:p>
        </w:tc>
        <w:tc>
          <w:tcPr>
            <w:tcW w:w="311" w:type="pct"/>
            <w:tcBorders>
              <w:bottom w:val="single" w:sz="6" w:space="0" w:color="auto"/>
            </w:tcBorders>
            <w:vAlign w:val="center"/>
          </w:tcPr>
          <w:p w:rsidR="00EE56C0" w:rsidRDefault="000F36A1">
            <w:pPr>
              <w:pStyle w:val="aff1"/>
              <w:rPr>
                <w:color w:val="auto"/>
              </w:rPr>
            </w:pPr>
            <w:r>
              <w:rPr>
                <w:color w:val="auto"/>
              </w:rPr>
              <w:t>X</w:t>
            </w:r>
          </w:p>
          <w:p w:rsidR="00EE56C0" w:rsidRDefault="000F36A1">
            <w:pPr>
              <w:pStyle w:val="aff1"/>
              <w:rPr>
                <w:color w:val="auto"/>
              </w:rPr>
            </w:pPr>
            <w:r>
              <w:rPr>
                <w:color w:val="auto"/>
              </w:rPr>
              <w:t>坐标</w:t>
            </w:r>
          </w:p>
        </w:tc>
        <w:tc>
          <w:tcPr>
            <w:tcW w:w="377" w:type="pct"/>
            <w:tcBorders>
              <w:bottom w:val="single" w:sz="6" w:space="0" w:color="auto"/>
            </w:tcBorders>
            <w:vAlign w:val="center"/>
          </w:tcPr>
          <w:p w:rsidR="00EE56C0" w:rsidRDefault="000F36A1">
            <w:pPr>
              <w:pStyle w:val="aff1"/>
              <w:rPr>
                <w:color w:val="auto"/>
              </w:rPr>
            </w:pPr>
            <w:r>
              <w:rPr>
                <w:color w:val="auto"/>
              </w:rPr>
              <w:t>Y</w:t>
            </w:r>
          </w:p>
          <w:p w:rsidR="00EE56C0" w:rsidRDefault="000F36A1">
            <w:pPr>
              <w:pStyle w:val="aff1"/>
              <w:rPr>
                <w:color w:val="auto"/>
              </w:rPr>
            </w:pPr>
            <w:r>
              <w:rPr>
                <w:color w:val="auto"/>
              </w:rPr>
              <w:t>坐标</w:t>
            </w:r>
          </w:p>
        </w:tc>
        <w:tc>
          <w:tcPr>
            <w:tcW w:w="477" w:type="pct"/>
            <w:tcBorders>
              <w:bottom w:val="single" w:sz="6" w:space="0" w:color="auto"/>
            </w:tcBorders>
            <w:vAlign w:val="center"/>
          </w:tcPr>
          <w:p w:rsidR="00EE56C0" w:rsidRDefault="000F36A1">
            <w:pPr>
              <w:pStyle w:val="aff1"/>
              <w:rPr>
                <w:color w:val="auto"/>
              </w:rPr>
            </w:pPr>
            <w:r>
              <w:rPr>
                <w:color w:val="auto"/>
              </w:rPr>
              <w:t>排气筒底部海拔高度</w:t>
            </w:r>
          </w:p>
        </w:tc>
        <w:tc>
          <w:tcPr>
            <w:tcW w:w="377" w:type="pct"/>
            <w:tcBorders>
              <w:bottom w:val="single" w:sz="6" w:space="0" w:color="auto"/>
            </w:tcBorders>
            <w:vAlign w:val="center"/>
          </w:tcPr>
          <w:p w:rsidR="00EE56C0" w:rsidRDefault="000F36A1">
            <w:pPr>
              <w:pStyle w:val="aff1"/>
              <w:rPr>
                <w:color w:val="auto"/>
              </w:rPr>
            </w:pPr>
            <w:r>
              <w:rPr>
                <w:color w:val="auto"/>
              </w:rPr>
              <w:t>排气筒高度</w:t>
            </w:r>
          </w:p>
        </w:tc>
        <w:tc>
          <w:tcPr>
            <w:tcW w:w="377" w:type="pct"/>
            <w:tcBorders>
              <w:bottom w:val="single" w:sz="6" w:space="0" w:color="auto"/>
            </w:tcBorders>
            <w:vAlign w:val="center"/>
          </w:tcPr>
          <w:p w:rsidR="00EE56C0" w:rsidRDefault="000F36A1">
            <w:pPr>
              <w:pStyle w:val="aff1"/>
              <w:rPr>
                <w:color w:val="auto"/>
              </w:rPr>
            </w:pPr>
            <w:r>
              <w:rPr>
                <w:color w:val="auto"/>
              </w:rPr>
              <w:t>排气筒内径</w:t>
            </w:r>
          </w:p>
        </w:tc>
        <w:tc>
          <w:tcPr>
            <w:tcW w:w="377" w:type="pct"/>
            <w:tcBorders>
              <w:bottom w:val="single" w:sz="6" w:space="0" w:color="auto"/>
            </w:tcBorders>
            <w:vAlign w:val="center"/>
          </w:tcPr>
          <w:p w:rsidR="00EE56C0" w:rsidRDefault="000F36A1">
            <w:pPr>
              <w:pStyle w:val="aff1"/>
              <w:rPr>
                <w:color w:val="auto"/>
              </w:rPr>
            </w:pPr>
            <w:r>
              <w:rPr>
                <w:color w:val="auto"/>
              </w:rPr>
              <w:t>烟气</w:t>
            </w:r>
          </w:p>
          <w:p w:rsidR="00EE56C0" w:rsidRDefault="000F36A1">
            <w:pPr>
              <w:pStyle w:val="aff1"/>
              <w:rPr>
                <w:color w:val="auto"/>
              </w:rPr>
            </w:pPr>
            <w:r>
              <w:rPr>
                <w:rFonts w:hint="eastAsia"/>
                <w:color w:val="auto"/>
              </w:rPr>
              <w:t>速率</w:t>
            </w:r>
          </w:p>
        </w:tc>
        <w:tc>
          <w:tcPr>
            <w:tcW w:w="377" w:type="pct"/>
            <w:tcBorders>
              <w:bottom w:val="single" w:sz="6" w:space="0" w:color="auto"/>
            </w:tcBorders>
            <w:vAlign w:val="center"/>
          </w:tcPr>
          <w:p w:rsidR="00EE56C0" w:rsidRDefault="000F36A1">
            <w:pPr>
              <w:pStyle w:val="aff1"/>
              <w:rPr>
                <w:color w:val="auto"/>
              </w:rPr>
            </w:pPr>
            <w:r>
              <w:rPr>
                <w:color w:val="auto"/>
              </w:rPr>
              <w:t>烟气出口温度</w:t>
            </w:r>
          </w:p>
        </w:tc>
        <w:tc>
          <w:tcPr>
            <w:tcW w:w="377" w:type="pct"/>
            <w:tcBorders>
              <w:bottom w:val="single" w:sz="6" w:space="0" w:color="auto"/>
            </w:tcBorders>
            <w:vAlign w:val="center"/>
          </w:tcPr>
          <w:p w:rsidR="00EE56C0" w:rsidRDefault="000F36A1">
            <w:pPr>
              <w:pStyle w:val="aff1"/>
              <w:rPr>
                <w:color w:val="auto"/>
              </w:rPr>
            </w:pPr>
            <w:r>
              <w:rPr>
                <w:color w:val="auto"/>
              </w:rPr>
              <w:t>年排放小时数</w:t>
            </w:r>
          </w:p>
        </w:tc>
        <w:tc>
          <w:tcPr>
            <w:tcW w:w="780" w:type="pct"/>
            <w:tcBorders>
              <w:bottom w:val="single" w:sz="6" w:space="0" w:color="auto"/>
            </w:tcBorders>
            <w:vAlign w:val="center"/>
          </w:tcPr>
          <w:p w:rsidR="00EE56C0" w:rsidRDefault="000F36A1">
            <w:pPr>
              <w:pStyle w:val="aff1"/>
              <w:rPr>
                <w:color w:val="auto"/>
              </w:rPr>
            </w:pPr>
            <w:r>
              <w:rPr>
                <w:color w:val="auto"/>
              </w:rPr>
              <w:t>排放</w:t>
            </w:r>
          </w:p>
          <w:p w:rsidR="00EE56C0" w:rsidRDefault="000F36A1">
            <w:pPr>
              <w:pStyle w:val="aff1"/>
              <w:rPr>
                <w:color w:val="auto"/>
              </w:rPr>
            </w:pPr>
            <w:r>
              <w:rPr>
                <w:color w:val="auto"/>
              </w:rPr>
              <w:t>工况</w:t>
            </w:r>
          </w:p>
        </w:tc>
        <w:tc>
          <w:tcPr>
            <w:tcW w:w="536" w:type="pct"/>
            <w:vMerge w:val="restart"/>
            <w:tcBorders>
              <w:left w:val="single" w:sz="4" w:space="0" w:color="auto"/>
              <w:bottom w:val="single" w:sz="6" w:space="0" w:color="auto"/>
            </w:tcBorders>
            <w:vAlign w:val="center"/>
          </w:tcPr>
          <w:p w:rsidR="00EE56C0" w:rsidRDefault="000F36A1">
            <w:pPr>
              <w:pStyle w:val="aff1"/>
              <w:rPr>
                <w:color w:val="auto"/>
              </w:rPr>
            </w:pPr>
            <w:r>
              <w:rPr>
                <w:color w:val="auto"/>
              </w:rPr>
              <w:t>源强</w:t>
            </w:r>
          </w:p>
        </w:tc>
      </w:tr>
      <w:tr w:rsidR="00EE56C0">
        <w:trPr>
          <w:trHeight w:val="454"/>
          <w:jc w:val="center"/>
        </w:trPr>
        <w:tc>
          <w:tcPr>
            <w:tcW w:w="323" w:type="pct"/>
            <w:vAlign w:val="center"/>
          </w:tcPr>
          <w:p w:rsidR="00EE56C0" w:rsidRDefault="000F36A1">
            <w:pPr>
              <w:pStyle w:val="afa"/>
            </w:pPr>
            <w:r>
              <w:rPr>
                <w:rFonts w:hint="eastAsia"/>
              </w:rPr>
              <w:t>/</w:t>
            </w:r>
          </w:p>
        </w:tc>
        <w:tc>
          <w:tcPr>
            <w:tcW w:w="311" w:type="pct"/>
            <w:vAlign w:val="center"/>
          </w:tcPr>
          <w:p w:rsidR="00EE56C0" w:rsidRDefault="000F36A1">
            <w:pPr>
              <w:pStyle w:val="afa"/>
            </w:pPr>
            <w:r>
              <w:rPr>
                <w:rFonts w:hint="eastAsia"/>
              </w:rPr>
              <w:t>/</w:t>
            </w:r>
          </w:p>
        </w:tc>
        <w:tc>
          <w:tcPr>
            <w:tcW w:w="311" w:type="pct"/>
            <w:vAlign w:val="center"/>
          </w:tcPr>
          <w:p w:rsidR="00EE56C0" w:rsidRDefault="000F36A1">
            <w:pPr>
              <w:pStyle w:val="afa"/>
            </w:pPr>
            <w:r>
              <w:t>m</w:t>
            </w:r>
          </w:p>
        </w:tc>
        <w:tc>
          <w:tcPr>
            <w:tcW w:w="377" w:type="pct"/>
            <w:vAlign w:val="center"/>
          </w:tcPr>
          <w:p w:rsidR="00EE56C0" w:rsidRDefault="000F36A1">
            <w:pPr>
              <w:pStyle w:val="afa"/>
            </w:pPr>
            <w:r>
              <w:t>m</w:t>
            </w:r>
          </w:p>
        </w:tc>
        <w:tc>
          <w:tcPr>
            <w:tcW w:w="477" w:type="pct"/>
            <w:vAlign w:val="center"/>
          </w:tcPr>
          <w:p w:rsidR="00EE56C0" w:rsidRDefault="000F36A1">
            <w:pPr>
              <w:pStyle w:val="afa"/>
            </w:pPr>
            <w:r>
              <w:t>m</w:t>
            </w:r>
          </w:p>
        </w:tc>
        <w:tc>
          <w:tcPr>
            <w:tcW w:w="377" w:type="pct"/>
            <w:vAlign w:val="center"/>
          </w:tcPr>
          <w:p w:rsidR="00EE56C0" w:rsidRDefault="000F36A1">
            <w:pPr>
              <w:pStyle w:val="afa"/>
            </w:pPr>
            <w:r>
              <w:t>m</w:t>
            </w:r>
          </w:p>
        </w:tc>
        <w:tc>
          <w:tcPr>
            <w:tcW w:w="377" w:type="pct"/>
            <w:vAlign w:val="center"/>
          </w:tcPr>
          <w:p w:rsidR="00EE56C0" w:rsidRDefault="000F36A1">
            <w:pPr>
              <w:pStyle w:val="afa"/>
            </w:pPr>
            <w:r>
              <w:t>m</w:t>
            </w:r>
          </w:p>
        </w:tc>
        <w:tc>
          <w:tcPr>
            <w:tcW w:w="377" w:type="pct"/>
            <w:vAlign w:val="center"/>
          </w:tcPr>
          <w:p w:rsidR="00EE56C0" w:rsidRDefault="000F36A1">
            <w:pPr>
              <w:pStyle w:val="afa"/>
            </w:pPr>
            <w:r>
              <w:t>m/s</w:t>
            </w:r>
          </w:p>
        </w:tc>
        <w:tc>
          <w:tcPr>
            <w:tcW w:w="377" w:type="pct"/>
            <w:vAlign w:val="center"/>
          </w:tcPr>
          <w:p w:rsidR="00EE56C0" w:rsidRDefault="000F36A1">
            <w:pPr>
              <w:pStyle w:val="afa"/>
            </w:pPr>
            <w:r>
              <w:rPr>
                <w:rFonts w:ascii="宋体" w:hAnsi="宋体" w:cs="宋体" w:hint="eastAsia"/>
              </w:rPr>
              <w:t>℃</w:t>
            </w:r>
          </w:p>
        </w:tc>
        <w:tc>
          <w:tcPr>
            <w:tcW w:w="377" w:type="pct"/>
            <w:vAlign w:val="center"/>
          </w:tcPr>
          <w:p w:rsidR="00EE56C0" w:rsidRDefault="000F36A1">
            <w:pPr>
              <w:pStyle w:val="afa"/>
            </w:pPr>
            <w:r>
              <w:t>h</w:t>
            </w:r>
          </w:p>
        </w:tc>
        <w:tc>
          <w:tcPr>
            <w:tcW w:w="780" w:type="pct"/>
            <w:vAlign w:val="center"/>
          </w:tcPr>
          <w:p w:rsidR="00EE56C0" w:rsidRDefault="000F36A1">
            <w:pPr>
              <w:pStyle w:val="afa"/>
            </w:pPr>
            <w:r>
              <w:t>-</w:t>
            </w:r>
          </w:p>
        </w:tc>
        <w:tc>
          <w:tcPr>
            <w:tcW w:w="536" w:type="pct"/>
            <w:vMerge/>
            <w:tcBorders>
              <w:left w:val="single" w:sz="4" w:space="0" w:color="auto"/>
            </w:tcBorders>
            <w:vAlign w:val="center"/>
          </w:tcPr>
          <w:p w:rsidR="00EE56C0" w:rsidRDefault="00EE56C0">
            <w:pPr>
              <w:pStyle w:val="afa"/>
            </w:pPr>
          </w:p>
        </w:tc>
      </w:tr>
      <w:tr w:rsidR="00EE56C0">
        <w:trPr>
          <w:trHeight w:val="454"/>
          <w:jc w:val="center"/>
        </w:trPr>
        <w:tc>
          <w:tcPr>
            <w:tcW w:w="323" w:type="pct"/>
            <w:vMerge w:val="restart"/>
            <w:vAlign w:val="center"/>
          </w:tcPr>
          <w:p w:rsidR="00EE56C0" w:rsidRDefault="000F36A1">
            <w:pPr>
              <w:pStyle w:val="afa"/>
            </w:pPr>
            <w:r>
              <w:rPr>
                <w:rFonts w:hint="eastAsia"/>
              </w:rPr>
              <w:t>P</w:t>
            </w:r>
          </w:p>
        </w:tc>
        <w:tc>
          <w:tcPr>
            <w:tcW w:w="311" w:type="pct"/>
            <w:vAlign w:val="center"/>
          </w:tcPr>
          <w:p w:rsidR="00EE56C0" w:rsidRDefault="000F36A1">
            <w:pPr>
              <w:pStyle w:val="afa"/>
            </w:pPr>
            <w:r>
              <w:rPr>
                <w:rFonts w:hint="eastAsia"/>
              </w:rPr>
              <w:t>酚</w:t>
            </w:r>
          </w:p>
        </w:tc>
        <w:tc>
          <w:tcPr>
            <w:tcW w:w="311" w:type="pct"/>
            <w:vMerge w:val="restart"/>
            <w:vAlign w:val="center"/>
          </w:tcPr>
          <w:p w:rsidR="00EE56C0" w:rsidRDefault="000F36A1">
            <w:pPr>
              <w:pStyle w:val="afa"/>
            </w:pPr>
            <w:r>
              <w:rPr>
                <w:rFonts w:hint="eastAsia"/>
              </w:rPr>
              <w:t>498</w:t>
            </w:r>
          </w:p>
        </w:tc>
        <w:tc>
          <w:tcPr>
            <w:tcW w:w="377" w:type="pct"/>
            <w:vMerge w:val="restart"/>
            <w:vAlign w:val="center"/>
          </w:tcPr>
          <w:p w:rsidR="00EE56C0" w:rsidRDefault="000F36A1">
            <w:pPr>
              <w:pStyle w:val="afa"/>
            </w:pPr>
            <w:r>
              <w:rPr>
                <w:rFonts w:hint="eastAsia"/>
              </w:rPr>
              <w:t>250</w:t>
            </w:r>
          </w:p>
        </w:tc>
        <w:tc>
          <w:tcPr>
            <w:tcW w:w="477" w:type="pct"/>
            <w:vMerge w:val="restart"/>
            <w:vAlign w:val="center"/>
          </w:tcPr>
          <w:p w:rsidR="00EE56C0" w:rsidRDefault="000F36A1">
            <w:pPr>
              <w:pStyle w:val="afa"/>
            </w:pPr>
            <w:r>
              <w:rPr>
                <w:rFonts w:hint="eastAsia"/>
              </w:rPr>
              <w:t>79</w:t>
            </w:r>
          </w:p>
        </w:tc>
        <w:tc>
          <w:tcPr>
            <w:tcW w:w="377" w:type="pct"/>
            <w:vMerge w:val="restart"/>
            <w:vAlign w:val="center"/>
          </w:tcPr>
          <w:p w:rsidR="00EE56C0" w:rsidRDefault="000F36A1">
            <w:pPr>
              <w:pStyle w:val="afa"/>
            </w:pPr>
            <w:r>
              <w:rPr>
                <w:rFonts w:hint="eastAsia"/>
              </w:rPr>
              <w:t>26.5</w:t>
            </w:r>
          </w:p>
        </w:tc>
        <w:tc>
          <w:tcPr>
            <w:tcW w:w="377" w:type="pct"/>
            <w:vMerge w:val="restart"/>
            <w:vAlign w:val="center"/>
          </w:tcPr>
          <w:p w:rsidR="00EE56C0" w:rsidRDefault="000F36A1">
            <w:pPr>
              <w:pStyle w:val="afa"/>
            </w:pPr>
            <w:r>
              <w:rPr>
                <w:rFonts w:hint="eastAsia"/>
              </w:rPr>
              <w:t>1.5</w:t>
            </w:r>
          </w:p>
        </w:tc>
        <w:tc>
          <w:tcPr>
            <w:tcW w:w="377" w:type="pct"/>
            <w:vMerge w:val="restart"/>
            <w:vAlign w:val="center"/>
          </w:tcPr>
          <w:p w:rsidR="00EE56C0" w:rsidRDefault="000F36A1">
            <w:pPr>
              <w:pStyle w:val="afa"/>
            </w:pPr>
            <w:r>
              <w:rPr>
                <w:rFonts w:hint="eastAsia"/>
              </w:rPr>
              <w:t>16.0</w:t>
            </w:r>
          </w:p>
        </w:tc>
        <w:tc>
          <w:tcPr>
            <w:tcW w:w="377" w:type="pct"/>
            <w:vMerge w:val="restart"/>
            <w:vAlign w:val="center"/>
          </w:tcPr>
          <w:p w:rsidR="00EE56C0" w:rsidRDefault="000F36A1">
            <w:pPr>
              <w:pStyle w:val="afa"/>
            </w:pPr>
            <w:r>
              <w:rPr>
                <w:rFonts w:hint="eastAsia"/>
              </w:rPr>
              <w:t>25</w:t>
            </w:r>
          </w:p>
        </w:tc>
        <w:tc>
          <w:tcPr>
            <w:tcW w:w="377" w:type="pct"/>
            <w:vMerge w:val="restart"/>
            <w:vAlign w:val="center"/>
          </w:tcPr>
          <w:p w:rsidR="00EE56C0" w:rsidRDefault="000F36A1">
            <w:pPr>
              <w:pStyle w:val="afa"/>
            </w:pPr>
            <w:r>
              <w:rPr>
                <w:rFonts w:hint="eastAsia"/>
              </w:rPr>
              <w:t>7200</w:t>
            </w:r>
          </w:p>
        </w:tc>
        <w:tc>
          <w:tcPr>
            <w:tcW w:w="780" w:type="pct"/>
            <w:vMerge w:val="restart"/>
            <w:vAlign w:val="center"/>
          </w:tcPr>
          <w:p w:rsidR="00EE56C0" w:rsidRDefault="000F36A1">
            <w:pPr>
              <w:pStyle w:val="afa"/>
            </w:pPr>
            <w:r>
              <w:t>正常</w:t>
            </w:r>
          </w:p>
        </w:tc>
        <w:tc>
          <w:tcPr>
            <w:tcW w:w="536" w:type="pct"/>
            <w:tcBorders>
              <w:left w:val="single" w:sz="4" w:space="0" w:color="auto"/>
            </w:tcBorders>
            <w:vAlign w:val="center"/>
          </w:tcPr>
          <w:p w:rsidR="00EE56C0" w:rsidRPr="00702FE4" w:rsidRDefault="000F36A1">
            <w:pPr>
              <w:pStyle w:val="afa"/>
              <w:rPr>
                <w:rFonts w:ascii="宋体" w:eastAsia="宋体" w:hAnsi="宋体" w:cs="宋体"/>
                <w:u w:val="single"/>
              </w:rPr>
            </w:pPr>
            <w:r w:rsidRPr="00702FE4">
              <w:rPr>
                <w:rFonts w:hint="eastAsia"/>
                <w:u w:val="single"/>
              </w:rPr>
              <w:t xml:space="preserve">0.0155 </w:t>
            </w:r>
          </w:p>
        </w:tc>
      </w:tr>
      <w:tr w:rsidR="00EE56C0">
        <w:trPr>
          <w:trHeight w:val="454"/>
          <w:jc w:val="center"/>
        </w:trPr>
        <w:tc>
          <w:tcPr>
            <w:tcW w:w="323" w:type="pct"/>
            <w:vMerge/>
            <w:vAlign w:val="center"/>
          </w:tcPr>
          <w:p w:rsidR="00EE56C0" w:rsidRDefault="00EE56C0">
            <w:pPr>
              <w:pStyle w:val="afa"/>
            </w:pPr>
          </w:p>
        </w:tc>
        <w:tc>
          <w:tcPr>
            <w:tcW w:w="311" w:type="pct"/>
            <w:vAlign w:val="center"/>
          </w:tcPr>
          <w:p w:rsidR="00EE56C0" w:rsidRDefault="000F36A1">
            <w:pPr>
              <w:pStyle w:val="afa"/>
            </w:pPr>
            <w:r>
              <w:rPr>
                <w:rFonts w:hint="eastAsia"/>
              </w:rPr>
              <w:t>非甲烷总烃</w:t>
            </w:r>
          </w:p>
        </w:tc>
        <w:tc>
          <w:tcPr>
            <w:tcW w:w="311" w:type="pct"/>
            <w:vMerge/>
            <w:vAlign w:val="center"/>
          </w:tcPr>
          <w:p w:rsidR="00EE56C0" w:rsidRDefault="00EE56C0">
            <w:pPr>
              <w:pStyle w:val="afa"/>
            </w:pPr>
          </w:p>
        </w:tc>
        <w:tc>
          <w:tcPr>
            <w:tcW w:w="377" w:type="pct"/>
            <w:vMerge/>
            <w:vAlign w:val="center"/>
          </w:tcPr>
          <w:p w:rsidR="00EE56C0" w:rsidRDefault="00EE56C0">
            <w:pPr>
              <w:pStyle w:val="afa"/>
            </w:pPr>
          </w:p>
        </w:tc>
        <w:tc>
          <w:tcPr>
            <w:tcW w:w="477" w:type="pct"/>
            <w:vMerge/>
            <w:vAlign w:val="center"/>
          </w:tcPr>
          <w:p w:rsidR="00EE56C0" w:rsidRDefault="00EE56C0">
            <w:pPr>
              <w:pStyle w:val="afa"/>
            </w:pPr>
          </w:p>
        </w:tc>
        <w:tc>
          <w:tcPr>
            <w:tcW w:w="377" w:type="pct"/>
            <w:vMerge/>
            <w:vAlign w:val="center"/>
          </w:tcPr>
          <w:p w:rsidR="00EE56C0" w:rsidRDefault="00EE56C0">
            <w:pPr>
              <w:pStyle w:val="afa"/>
            </w:pPr>
          </w:p>
        </w:tc>
        <w:tc>
          <w:tcPr>
            <w:tcW w:w="377" w:type="pct"/>
            <w:vMerge/>
            <w:vAlign w:val="center"/>
          </w:tcPr>
          <w:p w:rsidR="00EE56C0" w:rsidRDefault="00EE56C0">
            <w:pPr>
              <w:pStyle w:val="afa"/>
            </w:pPr>
          </w:p>
        </w:tc>
        <w:tc>
          <w:tcPr>
            <w:tcW w:w="377" w:type="pct"/>
            <w:vMerge/>
            <w:vAlign w:val="center"/>
          </w:tcPr>
          <w:p w:rsidR="00EE56C0" w:rsidRDefault="00EE56C0">
            <w:pPr>
              <w:pStyle w:val="afa"/>
            </w:pPr>
          </w:p>
        </w:tc>
        <w:tc>
          <w:tcPr>
            <w:tcW w:w="377" w:type="pct"/>
            <w:vMerge/>
            <w:vAlign w:val="center"/>
          </w:tcPr>
          <w:p w:rsidR="00EE56C0" w:rsidRDefault="00EE56C0">
            <w:pPr>
              <w:pStyle w:val="afa"/>
            </w:pPr>
          </w:p>
        </w:tc>
        <w:tc>
          <w:tcPr>
            <w:tcW w:w="377" w:type="pct"/>
            <w:vMerge/>
            <w:vAlign w:val="center"/>
          </w:tcPr>
          <w:p w:rsidR="00EE56C0" w:rsidRDefault="00EE56C0">
            <w:pPr>
              <w:pStyle w:val="afa"/>
            </w:pPr>
          </w:p>
        </w:tc>
        <w:tc>
          <w:tcPr>
            <w:tcW w:w="780" w:type="pct"/>
            <w:vMerge/>
            <w:vAlign w:val="center"/>
          </w:tcPr>
          <w:p w:rsidR="00EE56C0" w:rsidRDefault="00EE56C0">
            <w:pPr>
              <w:pStyle w:val="afa"/>
            </w:pPr>
          </w:p>
        </w:tc>
        <w:tc>
          <w:tcPr>
            <w:tcW w:w="536" w:type="pct"/>
            <w:tcBorders>
              <w:left w:val="single" w:sz="4" w:space="0" w:color="auto"/>
            </w:tcBorders>
            <w:vAlign w:val="center"/>
          </w:tcPr>
          <w:p w:rsidR="00EE56C0" w:rsidRPr="00702FE4" w:rsidRDefault="000F36A1">
            <w:pPr>
              <w:pStyle w:val="afa"/>
              <w:rPr>
                <w:rFonts w:ascii="宋体" w:eastAsia="宋体" w:hAnsi="宋体" w:cs="宋体"/>
                <w:u w:val="single"/>
              </w:rPr>
            </w:pPr>
            <w:r w:rsidRPr="00702FE4">
              <w:rPr>
                <w:rFonts w:hint="eastAsia"/>
                <w:u w:val="single"/>
              </w:rPr>
              <w:t xml:space="preserve">0.0289 </w:t>
            </w:r>
          </w:p>
        </w:tc>
      </w:tr>
      <w:tr w:rsidR="00EE56C0">
        <w:trPr>
          <w:trHeight w:val="454"/>
          <w:jc w:val="center"/>
        </w:trPr>
        <w:tc>
          <w:tcPr>
            <w:tcW w:w="323" w:type="pct"/>
            <w:vMerge/>
            <w:vAlign w:val="center"/>
          </w:tcPr>
          <w:p w:rsidR="00EE56C0" w:rsidRDefault="00EE56C0">
            <w:pPr>
              <w:pStyle w:val="afa"/>
            </w:pPr>
          </w:p>
        </w:tc>
        <w:tc>
          <w:tcPr>
            <w:tcW w:w="311" w:type="pct"/>
            <w:vAlign w:val="center"/>
          </w:tcPr>
          <w:p w:rsidR="00EE56C0" w:rsidRDefault="000F36A1">
            <w:pPr>
              <w:pStyle w:val="afa"/>
            </w:pPr>
            <w:r>
              <w:rPr>
                <w:rFonts w:hint="eastAsia"/>
              </w:rPr>
              <w:t>二甲苯</w:t>
            </w:r>
          </w:p>
        </w:tc>
        <w:tc>
          <w:tcPr>
            <w:tcW w:w="311" w:type="pct"/>
            <w:vMerge/>
            <w:vAlign w:val="center"/>
          </w:tcPr>
          <w:p w:rsidR="00EE56C0" w:rsidRDefault="00EE56C0">
            <w:pPr>
              <w:pStyle w:val="afa"/>
            </w:pPr>
          </w:p>
        </w:tc>
        <w:tc>
          <w:tcPr>
            <w:tcW w:w="377" w:type="pct"/>
            <w:vMerge/>
            <w:vAlign w:val="center"/>
          </w:tcPr>
          <w:p w:rsidR="00EE56C0" w:rsidRDefault="00EE56C0">
            <w:pPr>
              <w:pStyle w:val="afa"/>
            </w:pPr>
          </w:p>
        </w:tc>
        <w:tc>
          <w:tcPr>
            <w:tcW w:w="477" w:type="pct"/>
            <w:vMerge/>
            <w:vAlign w:val="center"/>
          </w:tcPr>
          <w:p w:rsidR="00EE56C0" w:rsidRDefault="00EE56C0">
            <w:pPr>
              <w:pStyle w:val="afa"/>
            </w:pPr>
          </w:p>
        </w:tc>
        <w:tc>
          <w:tcPr>
            <w:tcW w:w="377" w:type="pct"/>
            <w:vMerge/>
            <w:vAlign w:val="center"/>
          </w:tcPr>
          <w:p w:rsidR="00EE56C0" w:rsidRDefault="00EE56C0">
            <w:pPr>
              <w:pStyle w:val="afa"/>
            </w:pPr>
          </w:p>
        </w:tc>
        <w:tc>
          <w:tcPr>
            <w:tcW w:w="377" w:type="pct"/>
            <w:vMerge/>
            <w:vAlign w:val="center"/>
          </w:tcPr>
          <w:p w:rsidR="00EE56C0" w:rsidRDefault="00EE56C0">
            <w:pPr>
              <w:pStyle w:val="afa"/>
            </w:pPr>
          </w:p>
        </w:tc>
        <w:tc>
          <w:tcPr>
            <w:tcW w:w="377" w:type="pct"/>
            <w:vMerge/>
            <w:vAlign w:val="center"/>
          </w:tcPr>
          <w:p w:rsidR="00EE56C0" w:rsidRDefault="00EE56C0">
            <w:pPr>
              <w:pStyle w:val="afa"/>
            </w:pPr>
          </w:p>
        </w:tc>
        <w:tc>
          <w:tcPr>
            <w:tcW w:w="377" w:type="pct"/>
            <w:vMerge/>
            <w:vAlign w:val="center"/>
          </w:tcPr>
          <w:p w:rsidR="00EE56C0" w:rsidRDefault="00EE56C0">
            <w:pPr>
              <w:pStyle w:val="afa"/>
            </w:pPr>
          </w:p>
        </w:tc>
        <w:tc>
          <w:tcPr>
            <w:tcW w:w="377" w:type="pct"/>
            <w:vMerge/>
            <w:vAlign w:val="center"/>
          </w:tcPr>
          <w:p w:rsidR="00EE56C0" w:rsidRDefault="00EE56C0">
            <w:pPr>
              <w:pStyle w:val="afa"/>
            </w:pPr>
          </w:p>
        </w:tc>
        <w:tc>
          <w:tcPr>
            <w:tcW w:w="780" w:type="pct"/>
            <w:vMerge/>
            <w:vAlign w:val="center"/>
          </w:tcPr>
          <w:p w:rsidR="00EE56C0" w:rsidRDefault="00EE56C0">
            <w:pPr>
              <w:pStyle w:val="afa"/>
            </w:pPr>
          </w:p>
        </w:tc>
        <w:tc>
          <w:tcPr>
            <w:tcW w:w="536" w:type="pct"/>
            <w:tcBorders>
              <w:left w:val="single" w:sz="4" w:space="0" w:color="auto"/>
            </w:tcBorders>
            <w:vAlign w:val="center"/>
          </w:tcPr>
          <w:p w:rsidR="00EE56C0" w:rsidRPr="00702FE4" w:rsidRDefault="000F36A1">
            <w:pPr>
              <w:pStyle w:val="afa"/>
              <w:rPr>
                <w:rFonts w:ascii="宋体" w:eastAsia="宋体" w:hAnsi="宋体" w:cs="宋体"/>
                <w:u w:val="single"/>
              </w:rPr>
            </w:pPr>
            <w:r w:rsidRPr="00702FE4">
              <w:rPr>
                <w:rFonts w:hint="eastAsia"/>
                <w:u w:val="single"/>
              </w:rPr>
              <w:t xml:space="preserve">0.0567 </w:t>
            </w:r>
          </w:p>
        </w:tc>
      </w:tr>
      <w:tr w:rsidR="00EE56C0">
        <w:trPr>
          <w:trHeight w:val="454"/>
          <w:jc w:val="center"/>
        </w:trPr>
        <w:tc>
          <w:tcPr>
            <w:tcW w:w="323" w:type="pct"/>
            <w:vMerge/>
            <w:vAlign w:val="center"/>
          </w:tcPr>
          <w:p w:rsidR="00EE56C0" w:rsidRDefault="00EE56C0">
            <w:pPr>
              <w:pStyle w:val="afa"/>
            </w:pPr>
          </w:p>
        </w:tc>
        <w:tc>
          <w:tcPr>
            <w:tcW w:w="311" w:type="pct"/>
            <w:vAlign w:val="center"/>
          </w:tcPr>
          <w:p w:rsidR="00EE56C0" w:rsidRDefault="000F36A1">
            <w:pPr>
              <w:pStyle w:val="afa"/>
            </w:pPr>
            <w:r>
              <w:rPr>
                <w:rFonts w:hint="eastAsia"/>
              </w:rPr>
              <w:t>甲苯</w:t>
            </w:r>
          </w:p>
        </w:tc>
        <w:tc>
          <w:tcPr>
            <w:tcW w:w="311" w:type="pct"/>
            <w:vMerge/>
            <w:vAlign w:val="center"/>
          </w:tcPr>
          <w:p w:rsidR="00EE56C0" w:rsidRDefault="00EE56C0">
            <w:pPr>
              <w:pStyle w:val="afa"/>
            </w:pPr>
          </w:p>
        </w:tc>
        <w:tc>
          <w:tcPr>
            <w:tcW w:w="377" w:type="pct"/>
            <w:vMerge/>
            <w:vAlign w:val="center"/>
          </w:tcPr>
          <w:p w:rsidR="00EE56C0" w:rsidRDefault="00EE56C0">
            <w:pPr>
              <w:pStyle w:val="afa"/>
            </w:pPr>
          </w:p>
        </w:tc>
        <w:tc>
          <w:tcPr>
            <w:tcW w:w="477" w:type="pct"/>
            <w:vMerge/>
            <w:vAlign w:val="center"/>
          </w:tcPr>
          <w:p w:rsidR="00EE56C0" w:rsidRDefault="00EE56C0">
            <w:pPr>
              <w:pStyle w:val="afa"/>
            </w:pPr>
          </w:p>
        </w:tc>
        <w:tc>
          <w:tcPr>
            <w:tcW w:w="377" w:type="pct"/>
            <w:vMerge/>
            <w:vAlign w:val="center"/>
          </w:tcPr>
          <w:p w:rsidR="00EE56C0" w:rsidRDefault="00EE56C0">
            <w:pPr>
              <w:pStyle w:val="afa"/>
            </w:pPr>
          </w:p>
        </w:tc>
        <w:tc>
          <w:tcPr>
            <w:tcW w:w="377" w:type="pct"/>
            <w:vMerge/>
            <w:vAlign w:val="center"/>
          </w:tcPr>
          <w:p w:rsidR="00EE56C0" w:rsidRDefault="00EE56C0">
            <w:pPr>
              <w:pStyle w:val="afa"/>
            </w:pPr>
          </w:p>
        </w:tc>
        <w:tc>
          <w:tcPr>
            <w:tcW w:w="377" w:type="pct"/>
            <w:vMerge/>
            <w:vAlign w:val="center"/>
          </w:tcPr>
          <w:p w:rsidR="00EE56C0" w:rsidRDefault="00EE56C0">
            <w:pPr>
              <w:pStyle w:val="afa"/>
            </w:pPr>
          </w:p>
        </w:tc>
        <w:tc>
          <w:tcPr>
            <w:tcW w:w="377" w:type="pct"/>
            <w:vMerge/>
            <w:vAlign w:val="center"/>
          </w:tcPr>
          <w:p w:rsidR="00EE56C0" w:rsidRDefault="00EE56C0">
            <w:pPr>
              <w:pStyle w:val="afa"/>
            </w:pPr>
          </w:p>
        </w:tc>
        <w:tc>
          <w:tcPr>
            <w:tcW w:w="377" w:type="pct"/>
            <w:vMerge/>
            <w:vAlign w:val="center"/>
          </w:tcPr>
          <w:p w:rsidR="00EE56C0" w:rsidRDefault="00EE56C0">
            <w:pPr>
              <w:pStyle w:val="afa"/>
            </w:pPr>
          </w:p>
        </w:tc>
        <w:tc>
          <w:tcPr>
            <w:tcW w:w="780" w:type="pct"/>
            <w:vMerge/>
            <w:vAlign w:val="center"/>
          </w:tcPr>
          <w:p w:rsidR="00EE56C0" w:rsidRDefault="00EE56C0">
            <w:pPr>
              <w:pStyle w:val="afa"/>
            </w:pPr>
          </w:p>
        </w:tc>
        <w:tc>
          <w:tcPr>
            <w:tcW w:w="536" w:type="pct"/>
            <w:tcBorders>
              <w:left w:val="single" w:sz="4" w:space="0" w:color="auto"/>
            </w:tcBorders>
            <w:vAlign w:val="center"/>
          </w:tcPr>
          <w:p w:rsidR="00EE56C0" w:rsidRPr="00702FE4" w:rsidRDefault="000F36A1">
            <w:pPr>
              <w:pStyle w:val="afa"/>
              <w:rPr>
                <w:rFonts w:ascii="宋体" w:eastAsia="宋体" w:hAnsi="宋体" w:cs="宋体"/>
                <w:u w:val="single"/>
              </w:rPr>
            </w:pPr>
            <w:r w:rsidRPr="00702FE4">
              <w:rPr>
                <w:rFonts w:hint="eastAsia"/>
                <w:u w:val="single"/>
              </w:rPr>
              <w:t xml:space="preserve">0.0550 </w:t>
            </w:r>
          </w:p>
        </w:tc>
      </w:tr>
      <w:tr w:rsidR="00EE56C0">
        <w:trPr>
          <w:trHeight w:val="454"/>
          <w:jc w:val="center"/>
        </w:trPr>
        <w:tc>
          <w:tcPr>
            <w:tcW w:w="323" w:type="pct"/>
            <w:vMerge/>
            <w:vAlign w:val="center"/>
          </w:tcPr>
          <w:p w:rsidR="00EE56C0" w:rsidRDefault="00EE56C0">
            <w:pPr>
              <w:pStyle w:val="afa"/>
            </w:pPr>
          </w:p>
        </w:tc>
        <w:tc>
          <w:tcPr>
            <w:tcW w:w="311" w:type="pct"/>
            <w:vAlign w:val="center"/>
          </w:tcPr>
          <w:p w:rsidR="00EE56C0" w:rsidRDefault="000F36A1">
            <w:pPr>
              <w:pStyle w:val="afa"/>
            </w:pPr>
            <w:r>
              <w:rPr>
                <w:rFonts w:hint="eastAsia"/>
              </w:rPr>
              <w:t>苯</w:t>
            </w:r>
          </w:p>
        </w:tc>
        <w:tc>
          <w:tcPr>
            <w:tcW w:w="311" w:type="pct"/>
            <w:vMerge/>
            <w:vAlign w:val="center"/>
          </w:tcPr>
          <w:p w:rsidR="00EE56C0" w:rsidRDefault="00EE56C0">
            <w:pPr>
              <w:pStyle w:val="afa"/>
            </w:pPr>
          </w:p>
        </w:tc>
        <w:tc>
          <w:tcPr>
            <w:tcW w:w="377" w:type="pct"/>
            <w:vMerge/>
            <w:vAlign w:val="center"/>
          </w:tcPr>
          <w:p w:rsidR="00EE56C0" w:rsidRDefault="00EE56C0">
            <w:pPr>
              <w:pStyle w:val="afa"/>
            </w:pPr>
          </w:p>
        </w:tc>
        <w:tc>
          <w:tcPr>
            <w:tcW w:w="477" w:type="pct"/>
            <w:vMerge/>
            <w:vAlign w:val="center"/>
          </w:tcPr>
          <w:p w:rsidR="00EE56C0" w:rsidRDefault="00EE56C0">
            <w:pPr>
              <w:pStyle w:val="afa"/>
            </w:pPr>
          </w:p>
        </w:tc>
        <w:tc>
          <w:tcPr>
            <w:tcW w:w="377" w:type="pct"/>
            <w:vMerge/>
            <w:vAlign w:val="center"/>
          </w:tcPr>
          <w:p w:rsidR="00EE56C0" w:rsidRDefault="00EE56C0">
            <w:pPr>
              <w:pStyle w:val="afa"/>
            </w:pPr>
          </w:p>
        </w:tc>
        <w:tc>
          <w:tcPr>
            <w:tcW w:w="377" w:type="pct"/>
            <w:vMerge/>
            <w:vAlign w:val="center"/>
          </w:tcPr>
          <w:p w:rsidR="00EE56C0" w:rsidRDefault="00EE56C0">
            <w:pPr>
              <w:pStyle w:val="afa"/>
            </w:pPr>
          </w:p>
        </w:tc>
        <w:tc>
          <w:tcPr>
            <w:tcW w:w="377" w:type="pct"/>
            <w:vMerge/>
            <w:vAlign w:val="center"/>
          </w:tcPr>
          <w:p w:rsidR="00EE56C0" w:rsidRDefault="00EE56C0">
            <w:pPr>
              <w:pStyle w:val="afa"/>
            </w:pPr>
          </w:p>
        </w:tc>
        <w:tc>
          <w:tcPr>
            <w:tcW w:w="377" w:type="pct"/>
            <w:vMerge/>
            <w:vAlign w:val="center"/>
          </w:tcPr>
          <w:p w:rsidR="00EE56C0" w:rsidRDefault="00EE56C0">
            <w:pPr>
              <w:pStyle w:val="afa"/>
            </w:pPr>
          </w:p>
        </w:tc>
        <w:tc>
          <w:tcPr>
            <w:tcW w:w="377" w:type="pct"/>
            <w:vMerge/>
            <w:vAlign w:val="center"/>
          </w:tcPr>
          <w:p w:rsidR="00EE56C0" w:rsidRDefault="00EE56C0">
            <w:pPr>
              <w:pStyle w:val="afa"/>
            </w:pPr>
          </w:p>
        </w:tc>
        <w:tc>
          <w:tcPr>
            <w:tcW w:w="780" w:type="pct"/>
            <w:vMerge/>
            <w:vAlign w:val="center"/>
          </w:tcPr>
          <w:p w:rsidR="00EE56C0" w:rsidRDefault="00EE56C0">
            <w:pPr>
              <w:pStyle w:val="afa"/>
            </w:pPr>
          </w:p>
        </w:tc>
        <w:tc>
          <w:tcPr>
            <w:tcW w:w="536" w:type="pct"/>
            <w:tcBorders>
              <w:left w:val="single" w:sz="4" w:space="0" w:color="auto"/>
            </w:tcBorders>
            <w:vAlign w:val="center"/>
          </w:tcPr>
          <w:p w:rsidR="00EE56C0" w:rsidRPr="00702FE4" w:rsidRDefault="000F36A1">
            <w:pPr>
              <w:pStyle w:val="afa"/>
              <w:rPr>
                <w:rFonts w:ascii="宋体" w:eastAsia="宋体" w:hAnsi="宋体" w:cs="宋体"/>
                <w:u w:val="single"/>
              </w:rPr>
            </w:pPr>
            <w:r w:rsidRPr="00702FE4">
              <w:rPr>
                <w:rFonts w:hint="eastAsia"/>
                <w:u w:val="single"/>
              </w:rPr>
              <w:t xml:space="preserve">0.0183 </w:t>
            </w:r>
          </w:p>
        </w:tc>
      </w:tr>
    </w:tbl>
    <w:p w:rsidR="00EE56C0" w:rsidRDefault="000F36A1">
      <w:pPr>
        <w:pStyle w:val="afd"/>
        <w:spacing w:before="120" w:after="120"/>
        <w:ind w:firstLine="482"/>
      </w:pPr>
      <w:r>
        <w:rPr>
          <w:rFonts w:hint="eastAsia"/>
        </w:rPr>
        <w:t>表</w:t>
      </w:r>
      <w:r>
        <w:rPr>
          <w:rFonts w:hint="eastAsia"/>
        </w:rPr>
        <w:t xml:space="preserve">5-11               </w:t>
      </w:r>
      <w:r>
        <w:rPr>
          <w:rFonts w:hint="eastAsia"/>
        </w:rPr>
        <w:t>项目面源源强及有关参数</w:t>
      </w:r>
      <w:r>
        <w:rPr>
          <w:rFonts w:hint="eastAsia"/>
        </w:rPr>
        <w:t xml:space="preserve"> </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CellMar>
          <w:left w:w="0" w:type="dxa"/>
          <w:right w:w="0" w:type="dxa"/>
        </w:tblCellMar>
        <w:tblLook w:val="04A0"/>
      </w:tblPr>
      <w:tblGrid>
        <w:gridCol w:w="772"/>
        <w:gridCol w:w="638"/>
        <w:gridCol w:w="638"/>
        <w:gridCol w:w="662"/>
        <w:gridCol w:w="648"/>
        <w:gridCol w:w="677"/>
        <w:gridCol w:w="617"/>
        <w:gridCol w:w="773"/>
        <w:gridCol w:w="768"/>
        <w:gridCol w:w="768"/>
        <w:gridCol w:w="612"/>
        <w:gridCol w:w="760"/>
      </w:tblGrid>
      <w:tr w:rsidR="00EE56C0">
        <w:trPr>
          <w:trHeight w:val="482"/>
          <w:jc w:val="center"/>
        </w:trPr>
        <w:tc>
          <w:tcPr>
            <w:tcW w:w="463" w:type="pct"/>
            <w:vAlign w:val="center"/>
          </w:tcPr>
          <w:p w:rsidR="00EE56C0" w:rsidRDefault="000F36A1">
            <w:pPr>
              <w:pStyle w:val="aff1"/>
              <w:rPr>
                <w:color w:val="auto"/>
              </w:rPr>
            </w:pPr>
            <w:r>
              <w:rPr>
                <w:color w:val="auto"/>
              </w:rPr>
              <w:t>面源</w:t>
            </w:r>
          </w:p>
          <w:p w:rsidR="00EE56C0" w:rsidRDefault="000F36A1">
            <w:pPr>
              <w:pStyle w:val="aff1"/>
              <w:rPr>
                <w:color w:val="auto"/>
              </w:rPr>
            </w:pPr>
            <w:r>
              <w:rPr>
                <w:color w:val="auto"/>
              </w:rPr>
              <w:t>名称</w:t>
            </w:r>
          </w:p>
        </w:tc>
        <w:tc>
          <w:tcPr>
            <w:tcW w:w="383" w:type="pct"/>
            <w:vMerge w:val="restart"/>
            <w:vAlign w:val="center"/>
          </w:tcPr>
          <w:p w:rsidR="00EE56C0" w:rsidRDefault="000F36A1">
            <w:pPr>
              <w:pStyle w:val="aff1"/>
              <w:rPr>
                <w:color w:val="auto"/>
              </w:rPr>
            </w:pPr>
            <w:r>
              <w:rPr>
                <w:rFonts w:hint="eastAsia"/>
                <w:color w:val="auto"/>
              </w:rPr>
              <w:t>评价因子</w:t>
            </w:r>
          </w:p>
        </w:tc>
        <w:tc>
          <w:tcPr>
            <w:tcW w:w="383" w:type="pct"/>
            <w:vAlign w:val="center"/>
          </w:tcPr>
          <w:p w:rsidR="00EE56C0" w:rsidRDefault="000F36A1">
            <w:pPr>
              <w:pStyle w:val="aff1"/>
              <w:rPr>
                <w:color w:val="auto"/>
              </w:rPr>
            </w:pPr>
            <w:r>
              <w:rPr>
                <w:color w:val="auto"/>
              </w:rPr>
              <w:t>X</w:t>
            </w:r>
          </w:p>
          <w:p w:rsidR="00EE56C0" w:rsidRDefault="000F36A1">
            <w:pPr>
              <w:pStyle w:val="aff1"/>
              <w:rPr>
                <w:color w:val="auto"/>
              </w:rPr>
            </w:pPr>
            <w:r>
              <w:rPr>
                <w:color w:val="auto"/>
              </w:rPr>
              <w:t>坐标</w:t>
            </w:r>
          </w:p>
        </w:tc>
        <w:tc>
          <w:tcPr>
            <w:tcW w:w="397" w:type="pct"/>
            <w:vAlign w:val="center"/>
          </w:tcPr>
          <w:p w:rsidR="00EE56C0" w:rsidRDefault="000F36A1">
            <w:pPr>
              <w:pStyle w:val="aff1"/>
              <w:rPr>
                <w:color w:val="auto"/>
              </w:rPr>
            </w:pPr>
            <w:r>
              <w:rPr>
                <w:color w:val="auto"/>
              </w:rPr>
              <w:t>Y</w:t>
            </w:r>
          </w:p>
          <w:p w:rsidR="00EE56C0" w:rsidRDefault="000F36A1">
            <w:pPr>
              <w:pStyle w:val="aff1"/>
              <w:rPr>
                <w:color w:val="auto"/>
              </w:rPr>
            </w:pPr>
            <w:r>
              <w:rPr>
                <w:color w:val="auto"/>
              </w:rPr>
              <w:t>坐标</w:t>
            </w:r>
          </w:p>
        </w:tc>
        <w:tc>
          <w:tcPr>
            <w:tcW w:w="389" w:type="pct"/>
            <w:vAlign w:val="center"/>
          </w:tcPr>
          <w:p w:rsidR="00EE56C0" w:rsidRDefault="000F36A1">
            <w:pPr>
              <w:pStyle w:val="aff1"/>
              <w:rPr>
                <w:color w:val="auto"/>
              </w:rPr>
            </w:pPr>
            <w:r>
              <w:rPr>
                <w:color w:val="auto"/>
              </w:rPr>
              <w:t>海拔</w:t>
            </w:r>
          </w:p>
          <w:p w:rsidR="00EE56C0" w:rsidRDefault="000F36A1">
            <w:pPr>
              <w:pStyle w:val="aff1"/>
              <w:rPr>
                <w:color w:val="auto"/>
              </w:rPr>
            </w:pPr>
            <w:r>
              <w:rPr>
                <w:color w:val="auto"/>
              </w:rPr>
              <w:t>高度</w:t>
            </w:r>
          </w:p>
        </w:tc>
        <w:tc>
          <w:tcPr>
            <w:tcW w:w="406" w:type="pct"/>
            <w:vAlign w:val="center"/>
          </w:tcPr>
          <w:p w:rsidR="00EE56C0" w:rsidRDefault="000F36A1">
            <w:pPr>
              <w:pStyle w:val="aff1"/>
              <w:rPr>
                <w:color w:val="auto"/>
              </w:rPr>
            </w:pPr>
            <w:r>
              <w:rPr>
                <w:color w:val="auto"/>
              </w:rPr>
              <w:t>面源</w:t>
            </w:r>
          </w:p>
          <w:p w:rsidR="00EE56C0" w:rsidRDefault="000F36A1">
            <w:pPr>
              <w:pStyle w:val="aff1"/>
              <w:rPr>
                <w:color w:val="auto"/>
              </w:rPr>
            </w:pPr>
            <w:r>
              <w:rPr>
                <w:color w:val="auto"/>
              </w:rPr>
              <w:t>长度</w:t>
            </w:r>
          </w:p>
        </w:tc>
        <w:tc>
          <w:tcPr>
            <w:tcW w:w="370" w:type="pct"/>
            <w:vAlign w:val="center"/>
          </w:tcPr>
          <w:p w:rsidR="00EE56C0" w:rsidRDefault="000F36A1">
            <w:pPr>
              <w:pStyle w:val="aff1"/>
              <w:rPr>
                <w:color w:val="auto"/>
              </w:rPr>
            </w:pPr>
            <w:r>
              <w:rPr>
                <w:color w:val="auto"/>
              </w:rPr>
              <w:t>面源</w:t>
            </w:r>
          </w:p>
          <w:p w:rsidR="00EE56C0" w:rsidRDefault="000F36A1">
            <w:pPr>
              <w:pStyle w:val="aff1"/>
              <w:rPr>
                <w:color w:val="auto"/>
              </w:rPr>
            </w:pPr>
            <w:r>
              <w:rPr>
                <w:color w:val="auto"/>
              </w:rPr>
              <w:t>宽度</w:t>
            </w:r>
          </w:p>
        </w:tc>
        <w:tc>
          <w:tcPr>
            <w:tcW w:w="464" w:type="pct"/>
            <w:vAlign w:val="center"/>
          </w:tcPr>
          <w:p w:rsidR="00EE56C0" w:rsidRDefault="000F36A1">
            <w:pPr>
              <w:pStyle w:val="aff1"/>
              <w:rPr>
                <w:color w:val="auto"/>
              </w:rPr>
            </w:pPr>
            <w:r>
              <w:rPr>
                <w:color w:val="auto"/>
              </w:rPr>
              <w:t>与正北夹角</w:t>
            </w:r>
          </w:p>
        </w:tc>
        <w:tc>
          <w:tcPr>
            <w:tcW w:w="461" w:type="pct"/>
            <w:vAlign w:val="center"/>
          </w:tcPr>
          <w:p w:rsidR="00EE56C0" w:rsidRDefault="000F36A1">
            <w:pPr>
              <w:pStyle w:val="aff1"/>
              <w:rPr>
                <w:color w:val="auto"/>
              </w:rPr>
            </w:pPr>
            <w:r>
              <w:rPr>
                <w:color w:val="auto"/>
              </w:rPr>
              <w:t>面源初始排放高度</w:t>
            </w:r>
          </w:p>
        </w:tc>
        <w:tc>
          <w:tcPr>
            <w:tcW w:w="461" w:type="pct"/>
            <w:vAlign w:val="center"/>
          </w:tcPr>
          <w:p w:rsidR="00EE56C0" w:rsidRDefault="000F36A1">
            <w:pPr>
              <w:pStyle w:val="aff1"/>
              <w:rPr>
                <w:color w:val="auto"/>
              </w:rPr>
            </w:pPr>
            <w:r>
              <w:rPr>
                <w:color w:val="auto"/>
              </w:rPr>
              <w:t>年排放小时数</w:t>
            </w:r>
          </w:p>
        </w:tc>
        <w:tc>
          <w:tcPr>
            <w:tcW w:w="367" w:type="pct"/>
            <w:vAlign w:val="center"/>
          </w:tcPr>
          <w:p w:rsidR="00EE56C0" w:rsidRDefault="000F36A1">
            <w:pPr>
              <w:pStyle w:val="aff1"/>
              <w:rPr>
                <w:color w:val="auto"/>
              </w:rPr>
            </w:pPr>
            <w:r>
              <w:rPr>
                <w:color w:val="auto"/>
              </w:rPr>
              <w:t>排放</w:t>
            </w:r>
          </w:p>
          <w:p w:rsidR="00EE56C0" w:rsidRDefault="000F36A1">
            <w:pPr>
              <w:pStyle w:val="aff1"/>
              <w:rPr>
                <w:color w:val="auto"/>
              </w:rPr>
            </w:pPr>
            <w:r>
              <w:rPr>
                <w:color w:val="auto"/>
              </w:rPr>
              <w:t>工况</w:t>
            </w:r>
          </w:p>
        </w:tc>
        <w:tc>
          <w:tcPr>
            <w:tcW w:w="456" w:type="pct"/>
            <w:vMerge w:val="restart"/>
            <w:tcBorders>
              <w:left w:val="single" w:sz="4" w:space="0" w:color="auto"/>
            </w:tcBorders>
            <w:vAlign w:val="center"/>
          </w:tcPr>
          <w:p w:rsidR="00EE56C0" w:rsidRDefault="000F36A1">
            <w:pPr>
              <w:pStyle w:val="aff1"/>
              <w:rPr>
                <w:color w:val="auto"/>
              </w:rPr>
            </w:pPr>
            <w:r>
              <w:rPr>
                <w:color w:val="auto"/>
              </w:rPr>
              <w:t>污染源</w:t>
            </w:r>
          </w:p>
        </w:tc>
      </w:tr>
      <w:tr w:rsidR="00EE56C0">
        <w:trPr>
          <w:trHeight w:val="482"/>
          <w:jc w:val="center"/>
        </w:trPr>
        <w:tc>
          <w:tcPr>
            <w:tcW w:w="463" w:type="pct"/>
            <w:vAlign w:val="center"/>
          </w:tcPr>
          <w:p w:rsidR="00EE56C0" w:rsidRDefault="000F36A1">
            <w:pPr>
              <w:pStyle w:val="afa"/>
            </w:pPr>
            <w:r>
              <w:t>Name</w:t>
            </w:r>
          </w:p>
        </w:tc>
        <w:tc>
          <w:tcPr>
            <w:tcW w:w="383" w:type="pct"/>
            <w:vMerge/>
            <w:vAlign w:val="center"/>
          </w:tcPr>
          <w:p w:rsidR="00EE56C0" w:rsidRDefault="00EE56C0">
            <w:pPr>
              <w:pStyle w:val="afa"/>
            </w:pPr>
          </w:p>
        </w:tc>
        <w:tc>
          <w:tcPr>
            <w:tcW w:w="383" w:type="pct"/>
            <w:vAlign w:val="center"/>
          </w:tcPr>
          <w:p w:rsidR="00EE56C0" w:rsidRDefault="000F36A1">
            <w:pPr>
              <w:pStyle w:val="afa"/>
            </w:pPr>
            <w:r>
              <w:t>Px</w:t>
            </w:r>
          </w:p>
        </w:tc>
        <w:tc>
          <w:tcPr>
            <w:tcW w:w="397" w:type="pct"/>
            <w:vAlign w:val="center"/>
          </w:tcPr>
          <w:p w:rsidR="00EE56C0" w:rsidRDefault="000F36A1">
            <w:pPr>
              <w:pStyle w:val="afa"/>
            </w:pPr>
            <w:r>
              <w:t>Py</w:t>
            </w:r>
          </w:p>
        </w:tc>
        <w:tc>
          <w:tcPr>
            <w:tcW w:w="389" w:type="pct"/>
            <w:vAlign w:val="center"/>
          </w:tcPr>
          <w:p w:rsidR="00EE56C0" w:rsidRDefault="000F36A1">
            <w:pPr>
              <w:pStyle w:val="afa"/>
            </w:pPr>
            <w:r>
              <w:t>Ho</w:t>
            </w:r>
          </w:p>
        </w:tc>
        <w:tc>
          <w:tcPr>
            <w:tcW w:w="406" w:type="pct"/>
            <w:vAlign w:val="center"/>
          </w:tcPr>
          <w:p w:rsidR="00EE56C0" w:rsidRDefault="000F36A1">
            <w:pPr>
              <w:pStyle w:val="afa"/>
              <w:rPr>
                <w:vertAlign w:val="subscript"/>
              </w:rPr>
            </w:pPr>
            <w:r>
              <w:t>L</w:t>
            </w:r>
            <w:r>
              <w:rPr>
                <w:vertAlign w:val="subscript"/>
              </w:rPr>
              <w:t>L</w:t>
            </w:r>
          </w:p>
        </w:tc>
        <w:tc>
          <w:tcPr>
            <w:tcW w:w="370" w:type="pct"/>
            <w:vAlign w:val="center"/>
          </w:tcPr>
          <w:p w:rsidR="00EE56C0" w:rsidRDefault="000F36A1">
            <w:pPr>
              <w:pStyle w:val="afa"/>
              <w:rPr>
                <w:vertAlign w:val="subscript"/>
              </w:rPr>
            </w:pPr>
            <w:r>
              <w:t>L</w:t>
            </w:r>
            <w:r>
              <w:rPr>
                <w:vertAlign w:val="subscript"/>
              </w:rPr>
              <w:t>W</w:t>
            </w:r>
          </w:p>
        </w:tc>
        <w:tc>
          <w:tcPr>
            <w:tcW w:w="464" w:type="pct"/>
            <w:vAlign w:val="center"/>
          </w:tcPr>
          <w:p w:rsidR="00EE56C0" w:rsidRDefault="000F36A1">
            <w:pPr>
              <w:pStyle w:val="afa"/>
            </w:pPr>
            <w:r>
              <w:t>Arc</w:t>
            </w:r>
          </w:p>
        </w:tc>
        <w:tc>
          <w:tcPr>
            <w:tcW w:w="461" w:type="pct"/>
            <w:vAlign w:val="center"/>
          </w:tcPr>
          <w:p w:rsidR="00EE56C0" w:rsidRDefault="000F36A1">
            <w:pPr>
              <w:pStyle w:val="afa"/>
            </w:pPr>
            <w:r>
              <w:t>H</w:t>
            </w:r>
          </w:p>
        </w:tc>
        <w:tc>
          <w:tcPr>
            <w:tcW w:w="461" w:type="pct"/>
            <w:vAlign w:val="center"/>
          </w:tcPr>
          <w:p w:rsidR="00EE56C0" w:rsidRDefault="000F36A1">
            <w:pPr>
              <w:pStyle w:val="afa"/>
            </w:pPr>
            <w:r>
              <w:t>Hr</w:t>
            </w:r>
          </w:p>
        </w:tc>
        <w:tc>
          <w:tcPr>
            <w:tcW w:w="367" w:type="pct"/>
            <w:vAlign w:val="center"/>
          </w:tcPr>
          <w:p w:rsidR="00EE56C0" w:rsidRDefault="000F36A1">
            <w:pPr>
              <w:pStyle w:val="afa"/>
            </w:pPr>
            <w:r>
              <w:t>Cond</w:t>
            </w:r>
          </w:p>
        </w:tc>
        <w:tc>
          <w:tcPr>
            <w:tcW w:w="456" w:type="pct"/>
            <w:vMerge/>
            <w:tcBorders>
              <w:left w:val="single" w:sz="4" w:space="0" w:color="auto"/>
            </w:tcBorders>
            <w:vAlign w:val="center"/>
          </w:tcPr>
          <w:p w:rsidR="00EE56C0" w:rsidRDefault="00EE56C0">
            <w:pPr>
              <w:pStyle w:val="aff1"/>
              <w:rPr>
                <w:color w:val="auto"/>
              </w:rPr>
            </w:pPr>
          </w:p>
        </w:tc>
      </w:tr>
      <w:tr w:rsidR="00EE56C0">
        <w:trPr>
          <w:trHeight w:val="482"/>
          <w:jc w:val="center"/>
        </w:trPr>
        <w:tc>
          <w:tcPr>
            <w:tcW w:w="463" w:type="pct"/>
            <w:vAlign w:val="center"/>
          </w:tcPr>
          <w:p w:rsidR="00EE56C0" w:rsidRDefault="000F36A1">
            <w:pPr>
              <w:pStyle w:val="afa"/>
            </w:pPr>
            <w:r>
              <w:t>/</w:t>
            </w:r>
          </w:p>
        </w:tc>
        <w:tc>
          <w:tcPr>
            <w:tcW w:w="383" w:type="pct"/>
            <w:vAlign w:val="center"/>
          </w:tcPr>
          <w:p w:rsidR="00EE56C0" w:rsidRDefault="000F36A1">
            <w:pPr>
              <w:pStyle w:val="afa"/>
            </w:pPr>
            <w:r>
              <w:rPr>
                <w:rFonts w:hint="eastAsia"/>
              </w:rPr>
              <w:t>/</w:t>
            </w:r>
          </w:p>
        </w:tc>
        <w:tc>
          <w:tcPr>
            <w:tcW w:w="383" w:type="pct"/>
            <w:vAlign w:val="center"/>
          </w:tcPr>
          <w:p w:rsidR="00EE56C0" w:rsidRDefault="000F36A1">
            <w:pPr>
              <w:pStyle w:val="afa"/>
            </w:pPr>
            <w:r>
              <w:t>m</w:t>
            </w:r>
          </w:p>
        </w:tc>
        <w:tc>
          <w:tcPr>
            <w:tcW w:w="397" w:type="pct"/>
            <w:vAlign w:val="center"/>
          </w:tcPr>
          <w:p w:rsidR="00EE56C0" w:rsidRDefault="000F36A1">
            <w:pPr>
              <w:pStyle w:val="afa"/>
            </w:pPr>
            <w:r>
              <w:t>m</w:t>
            </w:r>
          </w:p>
        </w:tc>
        <w:tc>
          <w:tcPr>
            <w:tcW w:w="389" w:type="pct"/>
            <w:vAlign w:val="center"/>
          </w:tcPr>
          <w:p w:rsidR="00EE56C0" w:rsidRDefault="000F36A1">
            <w:pPr>
              <w:pStyle w:val="afa"/>
            </w:pPr>
            <w:r>
              <w:t>m</w:t>
            </w:r>
          </w:p>
        </w:tc>
        <w:tc>
          <w:tcPr>
            <w:tcW w:w="406" w:type="pct"/>
            <w:vAlign w:val="center"/>
          </w:tcPr>
          <w:p w:rsidR="00EE56C0" w:rsidRDefault="000F36A1">
            <w:pPr>
              <w:pStyle w:val="afa"/>
            </w:pPr>
            <w:r>
              <w:t>m</w:t>
            </w:r>
          </w:p>
        </w:tc>
        <w:tc>
          <w:tcPr>
            <w:tcW w:w="370" w:type="pct"/>
            <w:vAlign w:val="center"/>
          </w:tcPr>
          <w:p w:rsidR="00EE56C0" w:rsidRDefault="000F36A1">
            <w:pPr>
              <w:pStyle w:val="afa"/>
            </w:pPr>
            <w:r>
              <w:t>m</w:t>
            </w:r>
          </w:p>
        </w:tc>
        <w:tc>
          <w:tcPr>
            <w:tcW w:w="464" w:type="pct"/>
            <w:vAlign w:val="center"/>
          </w:tcPr>
          <w:p w:rsidR="00EE56C0" w:rsidRDefault="000F36A1">
            <w:pPr>
              <w:pStyle w:val="afa"/>
            </w:pPr>
            <w:r>
              <w:t>º</w:t>
            </w:r>
          </w:p>
        </w:tc>
        <w:tc>
          <w:tcPr>
            <w:tcW w:w="461" w:type="pct"/>
            <w:vAlign w:val="center"/>
          </w:tcPr>
          <w:p w:rsidR="00EE56C0" w:rsidRDefault="000F36A1">
            <w:pPr>
              <w:pStyle w:val="afa"/>
            </w:pPr>
            <w:r>
              <w:t>m</w:t>
            </w:r>
          </w:p>
        </w:tc>
        <w:tc>
          <w:tcPr>
            <w:tcW w:w="461" w:type="pct"/>
            <w:vAlign w:val="center"/>
          </w:tcPr>
          <w:p w:rsidR="00EE56C0" w:rsidRDefault="000F36A1">
            <w:pPr>
              <w:pStyle w:val="afa"/>
            </w:pPr>
            <w:r>
              <w:t>h</w:t>
            </w:r>
          </w:p>
        </w:tc>
        <w:tc>
          <w:tcPr>
            <w:tcW w:w="367" w:type="pct"/>
            <w:vAlign w:val="center"/>
          </w:tcPr>
          <w:p w:rsidR="00EE56C0" w:rsidRDefault="000F36A1">
            <w:pPr>
              <w:pStyle w:val="afa"/>
            </w:pPr>
            <w:r>
              <w:t>/</w:t>
            </w:r>
          </w:p>
        </w:tc>
        <w:tc>
          <w:tcPr>
            <w:tcW w:w="456" w:type="pct"/>
            <w:tcBorders>
              <w:left w:val="single" w:sz="4" w:space="0" w:color="auto"/>
            </w:tcBorders>
            <w:vAlign w:val="center"/>
          </w:tcPr>
          <w:p w:rsidR="00EE56C0" w:rsidRDefault="000F36A1">
            <w:pPr>
              <w:pStyle w:val="afa"/>
            </w:pPr>
            <w:r>
              <w:rPr>
                <w:rFonts w:hint="eastAsia"/>
              </w:rPr>
              <w:t>kg/h</w:t>
            </w:r>
          </w:p>
        </w:tc>
      </w:tr>
      <w:tr w:rsidR="00EE56C0">
        <w:trPr>
          <w:trHeight w:val="482"/>
          <w:jc w:val="center"/>
        </w:trPr>
        <w:tc>
          <w:tcPr>
            <w:tcW w:w="463" w:type="pct"/>
            <w:vMerge w:val="restart"/>
            <w:vAlign w:val="center"/>
          </w:tcPr>
          <w:p w:rsidR="00EE56C0" w:rsidRDefault="000F36A1">
            <w:pPr>
              <w:pStyle w:val="afa"/>
            </w:pPr>
            <w:r>
              <w:rPr>
                <w:rFonts w:hint="eastAsia"/>
              </w:rPr>
              <w:t>生产车</w:t>
            </w:r>
            <w:r>
              <w:rPr>
                <w:rFonts w:hint="eastAsia"/>
              </w:rPr>
              <w:lastRenderedPageBreak/>
              <w:t>间</w:t>
            </w:r>
          </w:p>
        </w:tc>
        <w:tc>
          <w:tcPr>
            <w:tcW w:w="383" w:type="pct"/>
            <w:vAlign w:val="center"/>
          </w:tcPr>
          <w:p w:rsidR="00EE56C0" w:rsidRDefault="000F36A1">
            <w:pPr>
              <w:pStyle w:val="afa"/>
            </w:pPr>
            <w:r>
              <w:rPr>
                <w:rFonts w:hint="eastAsia"/>
              </w:rPr>
              <w:lastRenderedPageBreak/>
              <w:t>酚</w:t>
            </w:r>
          </w:p>
        </w:tc>
        <w:tc>
          <w:tcPr>
            <w:tcW w:w="383" w:type="pct"/>
            <w:vMerge w:val="restart"/>
            <w:vAlign w:val="center"/>
          </w:tcPr>
          <w:p w:rsidR="00EE56C0" w:rsidRDefault="000F36A1">
            <w:pPr>
              <w:pStyle w:val="afa"/>
            </w:pPr>
            <w:r>
              <w:rPr>
                <w:rFonts w:hint="eastAsia"/>
              </w:rPr>
              <w:t>431</w:t>
            </w:r>
          </w:p>
        </w:tc>
        <w:tc>
          <w:tcPr>
            <w:tcW w:w="397" w:type="pct"/>
            <w:vMerge w:val="restart"/>
            <w:vAlign w:val="center"/>
          </w:tcPr>
          <w:p w:rsidR="00EE56C0" w:rsidRDefault="000F36A1">
            <w:pPr>
              <w:pStyle w:val="afa"/>
            </w:pPr>
            <w:r>
              <w:rPr>
                <w:rFonts w:hint="eastAsia"/>
              </w:rPr>
              <w:t>216</w:t>
            </w:r>
          </w:p>
        </w:tc>
        <w:tc>
          <w:tcPr>
            <w:tcW w:w="389" w:type="pct"/>
            <w:vMerge w:val="restart"/>
            <w:vAlign w:val="center"/>
          </w:tcPr>
          <w:p w:rsidR="00EE56C0" w:rsidRDefault="000F36A1">
            <w:pPr>
              <w:pStyle w:val="afa"/>
            </w:pPr>
            <w:r>
              <w:rPr>
                <w:rFonts w:hint="eastAsia"/>
              </w:rPr>
              <w:t>78</w:t>
            </w:r>
          </w:p>
        </w:tc>
        <w:tc>
          <w:tcPr>
            <w:tcW w:w="406" w:type="pct"/>
            <w:vMerge w:val="restart"/>
            <w:vAlign w:val="center"/>
          </w:tcPr>
          <w:p w:rsidR="00EE56C0" w:rsidRDefault="000F36A1">
            <w:pPr>
              <w:pStyle w:val="afa"/>
            </w:pPr>
            <w:r>
              <w:rPr>
                <w:rFonts w:hint="eastAsia"/>
              </w:rPr>
              <w:t>148</w:t>
            </w:r>
          </w:p>
        </w:tc>
        <w:tc>
          <w:tcPr>
            <w:tcW w:w="370" w:type="pct"/>
            <w:vMerge w:val="restart"/>
            <w:vAlign w:val="center"/>
          </w:tcPr>
          <w:p w:rsidR="00EE56C0" w:rsidRDefault="000F36A1">
            <w:pPr>
              <w:pStyle w:val="afa"/>
            </w:pPr>
            <w:r>
              <w:rPr>
                <w:rFonts w:hint="eastAsia"/>
              </w:rPr>
              <w:t>257</w:t>
            </w:r>
          </w:p>
        </w:tc>
        <w:tc>
          <w:tcPr>
            <w:tcW w:w="464" w:type="pct"/>
            <w:vMerge w:val="restart"/>
            <w:vAlign w:val="center"/>
          </w:tcPr>
          <w:p w:rsidR="00EE56C0" w:rsidRDefault="000F36A1">
            <w:pPr>
              <w:pStyle w:val="afa"/>
            </w:pPr>
            <w:r>
              <w:rPr>
                <w:rFonts w:hint="eastAsia"/>
              </w:rPr>
              <w:t>0</w:t>
            </w:r>
          </w:p>
        </w:tc>
        <w:tc>
          <w:tcPr>
            <w:tcW w:w="461" w:type="pct"/>
            <w:vMerge w:val="restart"/>
            <w:vAlign w:val="center"/>
          </w:tcPr>
          <w:p w:rsidR="00EE56C0" w:rsidRDefault="000F36A1">
            <w:pPr>
              <w:pStyle w:val="afa"/>
            </w:pPr>
            <w:r>
              <w:rPr>
                <w:rFonts w:hint="eastAsia"/>
              </w:rPr>
              <w:t>22.5</w:t>
            </w:r>
          </w:p>
        </w:tc>
        <w:tc>
          <w:tcPr>
            <w:tcW w:w="461" w:type="pct"/>
            <w:vMerge w:val="restart"/>
            <w:vAlign w:val="center"/>
          </w:tcPr>
          <w:p w:rsidR="00EE56C0" w:rsidRDefault="000F36A1">
            <w:pPr>
              <w:pStyle w:val="afa"/>
            </w:pPr>
            <w:r>
              <w:rPr>
                <w:rFonts w:hint="eastAsia"/>
              </w:rPr>
              <w:t>7200</w:t>
            </w:r>
          </w:p>
        </w:tc>
        <w:tc>
          <w:tcPr>
            <w:tcW w:w="367" w:type="pct"/>
            <w:vMerge w:val="restart"/>
            <w:vAlign w:val="center"/>
          </w:tcPr>
          <w:p w:rsidR="00EE56C0" w:rsidRDefault="000F36A1">
            <w:pPr>
              <w:pStyle w:val="afa"/>
            </w:pPr>
            <w:r>
              <w:rPr>
                <w:rFonts w:hint="eastAsia"/>
              </w:rPr>
              <w:t>正常</w:t>
            </w:r>
          </w:p>
        </w:tc>
        <w:tc>
          <w:tcPr>
            <w:tcW w:w="456" w:type="pct"/>
            <w:tcBorders>
              <w:left w:val="single" w:sz="4" w:space="0" w:color="auto"/>
            </w:tcBorders>
            <w:vAlign w:val="center"/>
          </w:tcPr>
          <w:p w:rsidR="00EE56C0" w:rsidRPr="00702FE4" w:rsidRDefault="000F36A1">
            <w:pPr>
              <w:pStyle w:val="afa"/>
              <w:rPr>
                <w:rFonts w:ascii="宋体" w:eastAsia="宋体" w:hAnsi="宋体" w:cs="宋体"/>
                <w:u w:val="single"/>
              </w:rPr>
            </w:pPr>
            <w:r w:rsidRPr="00702FE4">
              <w:rPr>
                <w:rFonts w:hint="eastAsia"/>
                <w:u w:val="single"/>
              </w:rPr>
              <w:t xml:space="preserve">0.1287 </w:t>
            </w:r>
          </w:p>
        </w:tc>
      </w:tr>
      <w:tr w:rsidR="00EE56C0">
        <w:trPr>
          <w:trHeight w:val="482"/>
          <w:jc w:val="center"/>
        </w:trPr>
        <w:tc>
          <w:tcPr>
            <w:tcW w:w="463" w:type="pct"/>
            <w:vMerge/>
            <w:vAlign w:val="center"/>
          </w:tcPr>
          <w:p w:rsidR="00EE56C0" w:rsidRDefault="00EE56C0">
            <w:pPr>
              <w:pStyle w:val="afa"/>
            </w:pPr>
          </w:p>
        </w:tc>
        <w:tc>
          <w:tcPr>
            <w:tcW w:w="383" w:type="pct"/>
            <w:vAlign w:val="center"/>
          </w:tcPr>
          <w:p w:rsidR="00EE56C0" w:rsidRDefault="000F36A1">
            <w:pPr>
              <w:pStyle w:val="afa"/>
            </w:pPr>
            <w:r>
              <w:rPr>
                <w:rFonts w:hint="eastAsia"/>
              </w:rPr>
              <w:t>非甲烷总烃</w:t>
            </w:r>
          </w:p>
        </w:tc>
        <w:tc>
          <w:tcPr>
            <w:tcW w:w="383" w:type="pct"/>
            <w:vMerge/>
            <w:vAlign w:val="center"/>
          </w:tcPr>
          <w:p w:rsidR="00EE56C0" w:rsidRDefault="00EE56C0">
            <w:pPr>
              <w:pStyle w:val="afa"/>
            </w:pPr>
          </w:p>
        </w:tc>
        <w:tc>
          <w:tcPr>
            <w:tcW w:w="397" w:type="pct"/>
            <w:vMerge/>
            <w:vAlign w:val="center"/>
          </w:tcPr>
          <w:p w:rsidR="00EE56C0" w:rsidRDefault="00EE56C0">
            <w:pPr>
              <w:pStyle w:val="afa"/>
            </w:pPr>
          </w:p>
        </w:tc>
        <w:tc>
          <w:tcPr>
            <w:tcW w:w="389" w:type="pct"/>
            <w:vMerge/>
            <w:vAlign w:val="center"/>
          </w:tcPr>
          <w:p w:rsidR="00EE56C0" w:rsidRDefault="00EE56C0">
            <w:pPr>
              <w:pStyle w:val="afa"/>
            </w:pPr>
          </w:p>
        </w:tc>
        <w:tc>
          <w:tcPr>
            <w:tcW w:w="406" w:type="pct"/>
            <w:vMerge/>
            <w:vAlign w:val="center"/>
          </w:tcPr>
          <w:p w:rsidR="00EE56C0" w:rsidRDefault="00EE56C0">
            <w:pPr>
              <w:pStyle w:val="afa"/>
            </w:pPr>
          </w:p>
        </w:tc>
        <w:tc>
          <w:tcPr>
            <w:tcW w:w="370" w:type="pct"/>
            <w:vMerge/>
            <w:vAlign w:val="center"/>
          </w:tcPr>
          <w:p w:rsidR="00EE56C0" w:rsidRDefault="00EE56C0">
            <w:pPr>
              <w:pStyle w:val="afa"/>
            </w:pPr>
          </w:p>
        </w:tc>
        <w:tc>
          <w:tcPr>
            <w:tcW w:w="464" w:type="pct"/>
            <w:vMerge/>
            <w:vAlign w:val="center"/>
          </w:tcPr>
          <w:p w:rsidR="00EE56C0" w:rsidRDefault="00EE56C0">
            <w:pPr>
              <w:pStyle w:val="afa"/>
            </w:pPr>
          </w:p>
        </w:tc>
        <w:tc>
          <w:tcPr>
            <w:tcW w:w="461" w:type="pct"/>
            <w:vMerge/>
            <w:vAlign w:val="center"/>
          </w:tcPr>
          <w:p w:rsidR="00EE56C0" w:rsidRDefault="00EE56C0">
            <w:pPr>
              <w:pStyle w:val="afa"/>
            </w:pPr>
          </w:p>
        </w:tc>
        <w:tc>
          <w:tcPr>
            <w:tcW w:w="461" w:type="pct"/>
            <w:vMerge/>
            <w:vAlign w:val="center"/>
          </w:tcPr>
          <w:p w:rsidR="00EE56C0" w:rsidRDefault="00EE56C0">
            <w:pPr>
              <w:pStyle w:val="afa"/>
            </w:pPr>
          </w:p>
        </w:tc>
        <w:tc>
          <w:tcPr>
            <w:tcW w:w="367" w:type="pct"/>
            <w:vMerge/>
            <w:vAlign w:val="center"/>
          </w:tcPr>
          <w:p w:rsidR="00EE56C0" w:rsidRDefault="00EE56C0">
            <w:pPr>
              <w:pStyle w:val="afa"/>
            </w:pPr>
          </w:p>
        </w:tc>
        <w:tc>
          <w:tcPr>
            <w:tcW w:w="456" w:type="pct"/>
            <w:tcBorders>
              <w:left w:val="single" w:sz="4" w:space="0" w:color="auto"/>
            </w:tcBorders>
            <w:vAlign w:val="center"/>
          </w:tcPr>
          <w:p w:rsidR="00EE56C0" w:rsidRPr="00702FE4" w:rsidRDefault="000F36A1">
            <w:pPr>
              <w:pStyle w:val="afa"/>
              <w:rPr>
                <w:rFonts w:ascii="宋体" w:eastAsia="宋体" w:hAnsi="宋体" w:cs="宋体"/>
                <w:u w:val="single"/>
              </w:rPr>
            </w:pPr>
            <w:r w:rsidRPr="00702FE4">
              <w:rPr>
                <w:rFonts w:hint="eastAsia"/>
                <w:u w:val="single"/>
              </w:rPr>
              <w:t xml:space="preserve">0.0949 </w:t>
            </w:r>
          </w:p>
        </w:tc>
      </w:tr>
      <w:tr w:rsidR="00EE56C0">
        <w:trPr>
          <w:trHeight w:val="482"/>
          <w:jc w:val="center"/>
        </w:trPr>
        <w:tc>
          <w:tcPr>
            <w:tcW w:w="463" w:type="pct"/>
            <w:vMerge/>
            <w:vAlign w:val="center"/>
          </w:tcPr>
          <w:p w:rsidR="00EE56C0" w:rsidRDefault="00EE56C0">
            <w:pPr>
              <w:pStyle w:val="afa"/>
            </w:pPr>
          </w:p>
        </w:tc>
        <w:tc>
          <w:tcPr>
            <w:tcW w:w="383" w:type="pct"/>
            <w:vAlign w:val="center"/>
          </w:tcPr>
          <w:p w:rsidR="00EE56C0" w:rsidRDefault="000F36A1">
            <w:pPr>
              <w:pStyle w:val="afa"/>
            </w:pPr>
            <w:r>
              <w:rPr>
                <w:rFonts w:hint="eastAsia"/>
              </w:rPr>
              <w:t>二甲苯</w:t>
            </w:r>
          </w:p>
        </w:tc>
        <w:tc>
          <w:tcPr>
            <w:tcW w:w="383" w:type="pct"/>
            <w:vMerge/>
            <w:vAlign w:val="center"/>
          </w:tcPr>
          <w:p w:rsidR="00EE56C0" w:rsidRDefault="00EE56C0">
            <w:pPr>
              <w:pStyle w:val="afa"/>
            </w:pPr>
          </w:p>
        </w:tc>
        <w:tc>
          <w:tcPr>
            <w:tcW w:w="397" w:type="pct"/>
            <w:vMerge/>
            <w:vAlign w:val="center"/>
          </w:tcPr>
          <w:p w:rsidR="00EE56C0" w:rsidRDefault="00EE56C0">
            <w:pPr>
              <w:pStyle w:val="afa"/>
            </w:pPr>
          </w:p>
        </w:tc>
        <w:tc>
          <w:tcPr>
            <w:tcW w:w="389" w:type="pct"/>
            <w:vMerge/>
            <w:vAlign w:val="center"/>
          </w:tcPr>
          <w:p w:rsidR="00EE56C0" w:rsidRDefault="00EE56C0">
            <w:pPr>
              <w:pStyle w:val="afa"/>
            </w:pPr>
          </w:p>
        </w:tc>
        <w:tc>
          <w:tcPr>
            <w:tcW w:w="406" w:type="pct"/>
            <w:vMerge/>
            <w:vAlign w:val="center"/>
          </w:tcPr>
          <w:p w:rsidR="00EE56C0" w:rsidRDefault="00EE56C0">
            <w:pPr>
              <w:pStyle w:val="afa"/>
            </w:pPr>
          </w:p>
        </w:tc>
        <w:tc>
          <w:tcPr>
            <w:tcW w:w="370" w:type="pct"/>
            <w:vMerge/>
            <w:vAlign w:val="center"/>
          </w:tcPr>
          <w:p w:rsidR="00EE56C0" w:rsidRDefault="00EE56C0">
            <w:pPr>
              <w:pStyle w:val="afa"/>
            </w:pPr>
          </w:p>
        </w:tc>
        <w:tc>
          <w:tcPr>
            <w:tcW w:w="464" w:type="pct"/>
            <w:vMerge/>
            <w:vAlign w:val="center"/>
          </w:tcPr>
          <w:p w:rsidR="00EE56C0" w:rsidRDefault="00EE56C0">
            <w:pPr>
              <w:pStyle w:val="afa"/>
            </w:pPr>
          </w:p>
        </w:tc>
        <w:tc>
          <w:tcPr>
            <w:tcW w:w="461" w:type="pct"/>
            <w:vMerge/>
            <w:vAlign w:val="center"/>
          </w:tcPr>
          <w:p w:rsidR="00EE56C0" w:rsidRDefault="00EE56C0">
            <w:pPr>
              <w:pStyle w:val="afa"/>
            </w:pPr>
          </w:p>
        </w:tc>
        <w:tc>
          <w:tcPr>
            <w:tcW w:w="461" w:type="pct"/>
            <w:vMerge/>
            <w:vAlign w:val="center"/>
          </w:tcPr>
          <w:p w:rsidR="00EE56C0" w:rsidRDefault="00EE56C0">
            <w:pPr>
              <w:pStyle w:val="afa"/>
            </w:pPr>
          </w:p>
        </w:tc>
        <w:tc>
          <w:tcPr>
            <w:tcW w:w="367" w:type="pct"/>
            <w:vMerge/>
            <w:vAlign w:val="center"/>
          </w:tcPr>
          <w:p w:rsidR="00EE56C0" w:rsidRDefault="00EE56C0">
            <w:pPr>
              <w:pStyle w:val="afa"/>
            </w:pPr>
          </w:p>
        </w:tc>
        <w:tc>
          <w:tcPr>
            <w:tcW w:w="456" w:type="pct"/>
            <w:tcBorders>
              <w:left w:val="single" w:sz="4" w:space="0" w:color="auto"/>
            </w:tcBorders>
            <w:vAlign w:val="center"/>
          </w:tcPr>
          <w:p w:rsidR="00EE56C0" w:rsidRPr="00702FE4" w:rsidRDefault="000F36A1">
            <w:pPr>
              <w:pStyle w:val="afa"/>
              <w:rPr>
                <w:rFonts w:ascii="宋体" w:eastAsia="宋体" w:hAnsi="宋体" w:cs="宋体"/>
                <w:u w:val="single"/>
              </w:rPr>
            </w:pPr>
            <w:r w:rsidRPr="00702FE4">
              <w:rPr>
                <w:rFonts w:hint="eastAsia"/>
                <w:u w:val="single"/>
              </w:rPr>
              <w:t xml:space="preserve">0.0278 </w:t>
            </w:r>
          </w:p>
        </w:tc>
      </w:tr>
      <w:tr w:rsidR="00EE56C0">
        <w:trPr>
          <w:trHeight w:val="482"/>
          <w:jc w:val="center"/>
        </w:trPr>
        <w:tc>
          <w:tcPr>
            <w:tcW w:w="463" w:type="pct"/>
            <w:vMerge/>
            <w:vAlign w:val="center"/>
          </w:tcPr>
          <w:p w:rsidR="00EE56C0" w:rsidRDefault="00EE56C0">
            <w:pPr>
              <w:pStyle w:val="afa"/>
            </w:pPr>
          </w:p>
        </w:tc>
        <w:tc>
          <w:tcPr>
            <w:tcW w:w="383" w:type="pct"/>
            <w:vAlign w:val="center"/>
          </w:tcPr>
          <w:p w:rsidR="00EE56C0" w:rsidRDefault="000F36A1">
            <w:pPr>
              <w:pStyle w:val="afa"/>
            </w:pPr>
            <w:r>
              <w:rPr>
                <w:rFonts w:hint="eastAsia"/>
              </w:rPr>
              <w:t>甲苯</w:t>
            </w:r>
          </w:p>
        </w:tc>
        <w:tc>
          <w:tcPr>
            <w:tcW w:w="383" w:type="pct"/>
            <w:vMerge/>
            <w:vAlign w:val="center"/>
          </w:tcPr>
          <w:p w:rsidR="00EE56C0" w:rsidRDefault="00EE56C0">
            <w:pPr>
              <w:pStyle w:val="afa"/>
            </w:pPr>
          </w:p>
        </w:tc>
        <w:tc>
          <w:tcPr>
            <w:tcW w:w="397" w:type="pct"/>
            <w:vMerge/>
            <w:vAlign w:val="center"/>
          </w:tcPr>
          <w:p w:rsidR="00EE56C0" w:rsidRDefault="00EE56C0">
            <w:pPr>
              <w:pStyle w:val="afa"/>
            </w:pPr>
          </w:p>
        </w:tc>
        <w:tc>
          <w:tcPr>
            <w:tcW w:w="389" w:type="pct"/>
            <w:vMerge/>
            <w:vAlign w:val="center"/>
          </w:tcPr>
          <w:p w:rsidR="00EE56C0" w:rsidRDefault="00EE56C0">
            <w:pPr>
              <w:pStyle w:val="afa"/>
            </w:pPr>
          </w:p>
        </w:tc>
        <w:tc>
          <w:tcPr>
            <w:tcW w:w="406" w:type="pct"/>
            <w:vMerge/>
            <w:vAlign w:val="center"/>
          </w:tcPr>
          <w:p w:rsidR="00EE56C0" w:rsidRDefault="00EE56C0">
            <w:pPr>
              <w:pStyle w:val="afa"/>
            </w:pPr>
          </w:p>
        </w:tc>
        <w:tc>
          <w:tcPr>
            <w:tcW w:w="370" w:type="pct"/>
            <w:vMerge/>
            <w:vAlign w:val="center"/>
          </w:tcPr>
          <w:p w:rsidR="00EE56C0" w:rsidRDefault="00EE56C0">
            <w:pPr>
              <w:pStyle w:val="afa"/>
            </w:pPr>
          </w:p>
        </w:tc>
        <w:tc>
          <w:tcPr>
            <w:tcW w:w="464" w:type="pct"/>
            <w:vMerge/>
            <w:vAlign w:val="center"/>
          </w:tcPr>
          <w:p w:rsidR="00EE56C0" w:rsidRDefault="00EE56C0">
            <w:pPr>
              <w:pStyle w:val="afa"/>
            </w:pPr>
          </w:p>
        </w:tc>
        <w:tc>
          <w:tcPr>
            <w:tcW w:w="461" w:type="pct"/>
            <w:vMerge/>
            <w:vAlign w:val="center"/>
          </w:tcPr>
          <w:p w:rsidR="00EE56C0" w:rsidRDefault="00EE56C0">
            <w:pPr>
              <w:pStyle w:val="afa"/>
            </w:pPr>
          </w:p>
        </w:tc>
        <w:tc>
          <w:tcPr>
            <w:tcW w:w="461" w:type="pct"/>
            <w:vMerge/>
            <w:vAlign w:val="center"/>
          </w:tcPr>
          <w:p w:rsidR="00EE56C0" w:rsidRDefault="00EE56C0">
            <w:pPr>
              <w:pStyle w:val="afa"/>
            </w:pPr>
          </w:p>
        </w:tc>
        <w:tc>
          <w:tcPr>
            <w:tcW w:w="367" w:type="pct"/>
            <w:vMerge/>
            <w:vAlign w:val="center"/>
          </w:tcPr>
          <w:p w:rsidR="00EE56C0" w:rsidRDefault="00EE56C0">
            <w:pPr>
              <w:pStyle w:val="afa"/>
            </w:pPr>
          </w:p>
        </w:tc>
        <w:tc>
          <w:tcPr>
            <w:tcW w:w="456" w:type="pct"/>
            <w:tcBorders>
              <w:left w:val="single" w:sz="4" w:space="0" w:color="auto"/>
            </w:tcBorders>
            <w:vAlign w:val="center"/>
          </w:tcPr>
          <w:p w:rsidR="00EE56C0" w:rsidRPr="00702FE4" w:rsidRDefault="000F36A1">
            <w:pPr>
              <w:pStyle w:val="afa"/>
              <w:rPr>
                <w:rFonts w:ascii="宋体" w:eastAsia="宋体" w:hAnsi="宋体" w:cs="宋体"/>
                <w:u w:val="single"/>
              </w:rPr>
            </w:pPr>
            <w:r w:rsidRPr="00702FE4">
              <w:rPr>
                <w:rFonts w:hint="eastAsia"/>
                <w:u w:val="single"/>
              </w:rPr>
              <w:t xml:space="preserve">0.0138 </w:t>
            </w:r>
          </w:p>
        </w:tc>
      </w:tr>
      <w:tr w:rsidR="00EE56C0">
        <w:trPr>
          <w:trHeight w:val="482"/>
          <w:jc w:val="center"/>
        </w:trPr>
        <w:tc>
          <w:tcPr>
            <w:tcW w:w="463" w:type="pct"/>
            <w:vMerge/>
            <w:vAlign w:val="center"/>
          </w:tcPr>
          <w:p w:rsidR="00EE56C0" w:rsidRDefault="00EE56C0">
            <w:pPr>
              <w:pStyle w:val="afa"/>
            </w:pPr>
          </w:p>
        </w:tc>
        <w:tc>
          <w:tcPr>
            <w:tcW w:w="383" w:type="pct"/>
            <w:vAlign w:val="center"/>
          </w:tcPr>
          <w:p w:rsidR="00EE56C0" w:rsidRDefault="000F36A1">
            <w:pPr>
              <w:pStyle w:val="afa"/>
            </w:pPr>
            <w:r>
              <w:rPr>
                <w:rFonts w:hint="eastAsia"/>
              </w:rPr>
              <w:t>苯</w:t>
            </w:r>
          </w:p>
        </w:tc>
        <w:tc>
          <w:tcPr>
            <w:tcW w:w="383" w:type="pct"/>
            <w:vMerge/>
            <w:vAlign w:val="center"/>
          </w:tcPr>
          <w:p w:rsidR="00EE56C0" w:rsidRDefault="00EE56C0">
            <w:pPr>
              <w:pStyle w:val="afa"/>
            </w:pPr>
          </w:p>
        </w:tc>
        <w:tc>
          <w:tcPr>
            <w:tcW w:w="397" w:type="pct"/>
            <w:vMerge/>
            <w:vAlign w:val="center"/>
          </w:tcPr>
          <w:p w:rsidR="00EE56C0" w:rsidRDefault="00EE56C0">
            <w:pPr>
              <w:pStyle w:val="afa"/>
            </w:pPr>
          </w:p>
        </w:tc>
        <w:tc>
          <w:tcPr>
            <w:tcW w:w="389" w:type="pct"/>
            <w:vMerge/>
            <w:vAlign w:val="center"/>
          </w:tcPr>
          <w:p w:rsidR="00EE56C0" w:rsidRDefault="00EE56C0">
            <w:pPr>
              <w:pStyle w:val="afa"/>
            </w:pPr>
          </w:p>
        </w:tc>
        <w:tc>
          <w:tcPr>
            <w:tcW w:w="406" w:type="pct"/>
            <w:vMerge/>
            <w:vAlign w:val="center"/>
          </w:tcPr>
          <w:p w:rsidR="00EE56C0" w:rsidRDefault="00EE56C0">
            <w:pPr>
              <w:pStyle w:val="afa"/>
            </w:pPr>
          </w:p>
        </w:tc>
        <w:tc>
          <w:tcPr>
            <w:tcW w:w="370" w:type="pct"/>
            <w:vMerge/>
            <w:vAlign w:val="center"/>
          </w:tcPr>
          <w:p w:rsidR="00EE56C0" w:rsidRDefault="00EE56C0">
            <w:pPr>
              <w:pStyle w:val="afa"/>
            </w:pPr>
          </w:p>
        </w:tc>
        <w:tc>
          <w:tcPr>
            <w:tcW w:w="464" w:type="pct"/>
            <w:vMerge/>
            <w:vAlign w:val="center"/>
          </w:tcPr>
          <w:p w:rsidR="00EE56C0" w:rsidRDefault="00EE56C0">
            <w:pPr>
              <w:pStyle w:val="afa"/>
            </w:pPr>
          </w:p>
        </w:tc>
        <w:tc>
          <w:tcPr>
            <w:tcW w:w="461" w:type="pct"/>
            <w:vMerge/>
            <w:vAlign w:val="center"/>
          </w:tcPr>
          <w:p w:rsidR="00EE56C0" w:rsidRDefault="00EE56C0">
            <w:pPr>
              <w:pStyle w:val="afa"/>
            </w:pPr>
          </w:p>
        </w:tc>
        <w:tc>
          <w:tcPr>
            <w:tcW w:w="461" w:type="pct"/>
            <w:vMerge/>
            <w:vAlign w:val="center"/>
          </w:tcPr>
          <w:p w:rsidR="00EE56C0" w:rsidRDefault="00EE56C0">
            <w:pPr>
              <w:pStyle w:val="afa"/>
            </w:pPr>
          </w:p>
        </w:tc>
        <w:tc>
          <w:tcPr>
            <w:tcW w:w="367" w:type="pct"/>
            <w:vMerge/>
            <w:vAlign w:val="center"/>
          </w:tcPr>
          <w:p w:rsidR="00EE56C0" w:rsidRDefault="00EE56C0">
            <w:pPr>
              <w:pStyle w:val="afa"/>
            </w:pPr>
          </w:p>
        </w:tc>
        <w:tc>
          <w:tcPr>
            <w:tcW w:w="456" w:type="pct"/>
            <w:tcBorders>
              <w:left w:val="single" w:sz="4" w:space="0" w:color="auto"/>
            </w:tcBorders>
            <w:vAlign w:val="center"/>
          </w:tcPr>
          <w:p w:rsidR="00EE56C0" w:rsidRPr="00702FE4" w:rsidRDefault="000F36A1">
            <w:pPr>
              <w:pStyle w:val="afa"/>
              <w:rPr>
                <w:rFonts w:ascii="宋体" w:eastAsia="宋体" w:hAnsi="宋体" w:cs="宋体"/>
                <w:u w:val="single"/>
              </w:rPr>
            </w:pPr>
            <w:r w:rsidRPr="00702FE4">
              <w:rPr>
                <w:rFonts w:hint="eastAsia"/>
                <w:u w:val="single"/>
              </w:rPr>
              <w:t xml:space="preserve">0.0046 </w:t>
            </w:r>
          </w:p>
        </w:tc>
      </w:tr>
    </w:tbl>
    <w:p w:rsidR="00EE56C0" w:rsidRDefault="000F36A1">
      <w:pPr>
        <w:pStyle w:val="aff4"/>
        <w:ind w:firstLine="482"/>
        <w:rPr>
          <w:b/>
        </w:rPr>
      </w:pPr>
      <w:bookmarkStart w:id="325" w:name="_Toc324839319"/>
      <w:bookmarkStart w:id="326" w:name="_Toc324839616"/>
      <w:r>
        <w:rPr>
          <w:rFonts w:hint="eastAsia"/>
          <w:b/>
        </w:rPr>
        <w:t>（</w:t>
      </w:r>
      <w:r>
        <w:rPr>
          <w:rFonts w:hint="eastAsia"/>
          <w:b/>
        </w:rPr>
        <w:t>2</w:t>
      </w:r>
      <w:r>
        <w:rPr>
          <w:rFonts w:hint="eastAsia"/>
          <w:b/>
        </w:rPr>
        <w:t>）以新带老削减量</w:t>
      </w:r>
    </w:p>
    <w:p w:rsidR="00EE56C0" w:rsidRDefault="000F36A1">
      <w:pPr>
        <w:pStyle w:val="aff4"/>
        <w:ind w:firstLine="482"/>
        <w:rPr>
          <w:b/>
        </w:rPr>
      </w:pPr>
      <w:r>
        <w:rPr>
          <w:rFonts w:hint="eastAsia"/>
          <w:b/>
        </w:rPr>
        <w:t>由于现有工程废气产生情况及排放参数变化，本次以现有工程污染物全部削减进行预测，建成后现有工程有组织废气经排气筒</w:t>
      </w:r>
      <w:r w:rsidR="008660AC">
        <w:rPr>
          <w:rFonts w:hint="eastAsia"/>
          <w:b/>
        </w:rPr>
        <w:t>P</w:t>
      </w:r>
      <w:r>
        <w:rPr>
          <w:rFonts w:hint="eastAsia"/>
          <w:b/>
        </w:rPr>
        <w:t>排放。</w:t>
      </w:r>
    </w:p>
    <w:p w:rsidR="00EE56C0" w:rsidRDefault="000F36A1">
      <w:pPr>
        <w:pStyle w:val="afd"/>
        <w:spacing w:before="120" w:after="120"/>
        <w:ind w:firstLine="482"/>
      </w:pPr>
      <w:r>
        <w:rPr>
          <w:rFonts w:hint="eastAsia"/>
        </w:rPr>
        <w:t>表</w:t>
      </w:r>
      <w:r>
        <w:rPr>
          <w:rFonts w:hint="eastAsia"/>
        </w:rPr>
        <w:t xml:space="preserve">5-12                </w:t>
      </w:r>
      <w:r>
        <w:rPr>
          <w:rFonts w:hint="eastAsia"/>
        </w:rPr>
        <w:t>项目厂区内部削减点源参数表</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CellMar>
          <w:left w:w="0" w:type="dxa"/>
          <w:right w:w="0" w:type="dxa"/>
        </w:tblCellMar>
        <w:tblLook w:val="04A0"/>
      </w:tblPr>
      <w:tblGrid>
        <w:gridCol w:w="539"/>
        <w:gridCol w:w="519"/>
        <w:gridCol w:w="519"/>
        <w:gridCol w:w="628"/>
        <w:gridCol w:w="795"/>
        <w:gridCol w:w="628"/>
        <w:gridCol w:w="628"/>
        <w:gridCol w:w="628"/>
        <w:gridCol w:w="628"/>
        <w:gridCol w:w="628"/>
        <w:gridCol w:w="1300"/>
        <w:gridCol w:w="893"/>
      </w:tblGrid>
      <w:tr w:rsidR="00EE56C0">
        <w:trPr>
          <w:trHeight w:val="928"/>
          <w:jc w:val="center"/>
        </w:trPr>
        <w:tc>
          <w:tcPr>
            <w:tcW w:w="323" w:type="pct"/>
            <w:tcBorders>
              <w:bottom w:val="single" w:sz="6" w:space="0" w:color="auto"/>
            </w:tcBorders>
            <w:vAlign w:val="center"/>
          </w:tcPr>
          <w:p w:rsidR="00EE56C0" w:rsidRDefault="000F36A1">
            <w:pPr>
              <w:pStyle w:val="aff1"/>
              <w:rPr>
                <w:color w:val="auto"/>
              </w:rPr>
            </w:pPr>
            <w:r>
              <w:rPr>
                <w:color w:val="auto"/>
              </w:rPr>
              <w:t>点源</w:t>
            </w:r>
          </w:p>
          <w:p w:rsidR="00EE56C0" w:rsidRDefault="000F36A1">
            <w:pPr>
              <w:pStyle w:val="aff1"/>
              <w:rPr>
                <w:color w:val="auto"/>
              </w:rPr>
            </w:pPr>
            <w:r>
              <w:rPr>
                <w:rFonts w:hint="eastAsia"/>
                <w:color w:val="auto"/>
              </w:rPr>
              <w:t>位置</w:t>
            </w:r>
          </w:p>
        </w:tc>
        <w:tc>
          <w:tcPr>
            <w:tcW w:w="311" w:type="pct"/>
            <w:tcBorders>
              <w:bottom w:val="single" w:sz="6" w:space="0" w:color="auto"/>
            </w:tcBorders>
            <w:vAlign w:val="center"/>
          </w:tcPr>
          <w:p w:rsidR="00EE56C0" w:rsidRDefault="000F36A1">
            <w:pPr>
              <w:pStyle w:val="aff1"/>
              <w:rPr>
                <w:color w:val="auto"/>
              </w:rPr>
            </w:pPr>
            <w:r>
              <w:rPr>
                <w:rFonts w:hint="eastAsia"/>
                <w:color w:val="auto"/>
              </w:rPr>
              <w:t>评价因子</w:t>
            </w:r>
          </w:p>
        </w:tc>
        <w:tc>
          <w:tcPr>
            <w:tcW w:w="311" w:type="pct"/>
            <w:tcBorders>
              <w:bottom w:val="single" w:sz="6" w:space="0" w:color="auto"/>
            </w:tcBorders>
            <w:vAlign w:val="center"/>
          </w:tcPr>
          <w:p w:rsidR="00EE56C0" w:rsidRDefault="000F36A1">
            <w:pPr>
              <w:pStyle w:val="aff1"/>
              <w:rPr>
                <w:color w:val="auto"/>
              </w:rPr>
            </w:pPr>
            <w:r>
              <w:rPr>
                <w:color w:val="auto"/>
              </w:rPr>
              <w:t>X</w:t>
            </w:r>
          </w:p>
          <w:p w:rsidR="00EE56C0" w:rsidRDefault="000F36A1">
            <w:pPr>
              <w:pStyle w:val="aff1"/>
              <w:rPr>
                <w:color w:val="auto"/>
              </w:rPr>
            </w:pPr>
            <w:r>
              <w:rPr>
                <w:color w:val="auto"/>
              </w:rPr>
              <w:t>坐标</w:t>
            </w:r>
          </w:p>
        </w:tc>
        <w:tc>
          <w:tcPr>
            <w:tcW w:w="377" w:type="pct"/>
            <w:tcBorders>
              <w:bottom w:val="single" w:sz="6" w:space="0" w:color="auto"/>
            </w:tcBorders>
            <w:vAlign w:val="center"/>
          </w:tcPr>
          <w:p w:rsidR="00EE56C0" w:rsidRDefault="000F36A1">
            <w:pPr>
              <w:pStyle w:val="aff1"/>
              <w:rPr>
                <w:color w:val="auto"/>
              </w:rPr>
            </w:pPr>
            <w:r>
              <w:rPr>
                <w:color w:val="auto"/>
              </w:rPr>
              <w:t>Y</w:t>
            </w:r>
          </w:p>
          <w:p w:rsidR="00EE56C0" w:rsidRDefault="000F36A1">
            <w:pPr>
              <w:pStyle w:val="aff1"/>
              <w:rPr>
                <w:color w:val="auto"/>
              </w:rPr>
            </w:pPr>
            <w:r>
              <w:rPr>
                <w:color w:val="auto"/>
              </w:rPr>
              <w:t>坐标</w:t>
            </w:r>
          </w:p>
        </w:tc>
        <w:tc>
          <w:tcPr>
            <w:tcW w:w="477" w:type="pct"/>
            <w:tcBorders>
              <w:bottom w:val="single" w:sz="6" w:space="0" w:color="auto"/>
            </w:tcBorders>
            <w:vAlign w:val="center"/>
          </w:tcPr>
          <w:p w:rsidR="00EE56C0" w:rsidRDefault="000F36A1">
            <w:pPr>
              <w:pStyle w:val="aff1"/>
              <w:rPr>
                <w:color w:val="auto"/>
              </w:rPr>
            </w:pPr>
            <w:r>
              <w:rPr>
                <w:color w:val="auto"/>
              </w:rPr>
              <w:t>排气筒底部海拔高度</w:t>
            </w:r>
          </w:p>
        </w:tc>
        <w:tc>
          <w:tcPr>
            <w:tcW w:w="377" w:type="pct"/>
            <w:tcBorders>
              <w:bottom w:val="single" w:sz="6" w:space="0" w:color="auto"/>
            </w:tcBorders>
            <w:vAlign w:val="center"/>
          </w:tcPr>
          <w:p w:rsidR="00EE56C0" w:rsidRDefault="000F36A1">
            <w:pPr>
              <w:pStyle w:val="aff1"/>
              <w:rPr>
                <w:color w:val="auto"/>
              </w:rPr>
            </w:pPr>
            <w:r>
              <w:rPr>
                <w:color w:val="auto"/>
              </w:rPr>
              <w:t>排气筒高度</w:t>
            </w:r>
          </w:p>
        </w:tc>
        <w:tc>
          <w:tcPr>
            <w:tcW w:w="377" w:type="pct"/>
            <w:tcBorders>
              <w:bottom w:val="single" w:sz="6" w:space="0" w:color="auto"/>
            </w:tcBorders>
            <w:vAlign w:val="center"/>
          </w:tcPr>
          <w:p w:rsidR="00EE56C0" w:rsidRDefault="000F36A1">
            <w:pPr>
              <w:pStyle w:val="aff1"/>
              <w:rPr>
                <w:color w:val="auto"/>
              </w:rPr>
            </w:pPr>
            <w:r>
              <w:rPr>
                <w:color w:val="auto"/>
              </w:rPr>
              <w:t>排气筒内径</w:t>
            </w:r>
          </w:p>
        </w:tc>
        <w:tc>
          <w:tcPr>
            <w:tcW w:w="377" w:type="pct"/>
            <w:tcBorders>
              <w:bottom w:val="single" w:sz="6" w:space="0" w:color="auto"/>
            </w:tcBorders>
            <w:vAlign w:val="center"/>
          </w:tcPr>
          <w:p w:rsidR="00EE56C0" w:rsidRDefault="000F36A1">
            <w:pPr>
              <w:pStyle w:val="aff1"/>
              <w:rPr>
                <w:color w:val="auto"/>
              </w:rPr>
            </w:pPr>
            <w:r>
              <w:rPr>
                <w:color w:val="auto"/>
              </w:rPr>
              <w:t>烟气</w:t>
            </w:r>
          </w:p>
          <w:p w:rsidR="00EE56C0" w:rsidRDefault="000F36A1">
            <w:pPr>
              <w:pStyle w:val="aff1"/>
              <w:rPr>
                <w:color w:val="auto"/>
              </w:rPr>
            </w:pPr>
            <w:r>
              <w:rPr>
                <w:rFonts w:hint="eastAsia"/>
                <w:color w:val="auto"/>
              </w:rPr>
              <w:t>速率</w:t>
            </w:r>
          </w:p>
        </w:tc>
        <w:tc>
          <w:tcPr>
            <w:tcW w:w="377" w:type="pct"/>
            <w:tcBorders>
              <w:bottom w:val="single" w:sz="6" w:space="0" w:color="auto"/>
            </w:tcBorders>
            <w:vAlign w:val="center"/>
          </w:tcPr>
          <w:p w:rsidR="00EE56C0" w:rsidRDefault="000F36A1">
            <w:pPr>
              <w:pStyle w:val="aff1"/>
              <w:rPr>
                <w:color w:val="auto"/>
              </w:rPr>
            </w:pPr>
            <w:r>
              <w:rPr>
                <w:color w:val="auto"/>
              </w:rPr>
              <w:t>烟气出口温度</w:t>
            </w:r>
          </w:p>
        </w:tc>
        <w:tc>
          <w:tcPr>
            <w:tcW w:w="377" w:type="pct"/>
            <w:tcBorders>
              <w:bottom w:val="single" w:sz="6" w:space="0" w:color="auto"/>
            </w:tcBorders>
            <w:vAlign w:val="center"/>
          </w:tcPr>
          <w:p w:rsidR="00EE56C0" w:rsidRDefault="000F36A1">
            <w:pPr>
              <w:pStyle w:val="aff1"/>
              <w:rPr>
                <w:color w:val="auto"/>
              </w:rPr>
            </w:pPr>
            <w:r>
              <w:rPr>
                <w:color w:val="auto"/>
              </w:rPr>
              <w:t>年排放小时数</w:t>
            </w:r>
          </w:p>
        </w:tc>
        <w:tc>
          <w:tcPr>
            <w:tcW w:w="780" w:type="pct"/>
            <w:tcBorders>
              <w:bottom w:val="single" w:sz="6" w:space="0" w:color="auto"/>
            </w:tcBorders>
            <w:vAlign w:val="center"/>
          </w:tcPr>
          <w:p w:rsidR="00EE56C0" w:rsidRDefault="000F36A1">
            <w:pPr>
              <w:pStyle w:val="aff1"/>
              <w:rPr>
                <w:color w:val="auto"/>
              </w:rPr>
            </w:pPr>
            <w:r>
              <w:rPr>
                <w:color w:val="auto"/>
              </w:rPr>
              <w:t>排放</w:t>
            </w:r>
          </w:p>
          <w:p w:rsidR="00EE56C0" w:rsidRDefault="000F36A1">
            <w:pPr>
              <w:pStyle w:val="aff1"/>
              <w:rPr>
                <w:color w:val="auto"/>
              </w:rPr>
            </w:pPr>
            <w:r>
              <w:rPr>
                <w:color w:val="auto"/>
              </w:rPr>
              <w:t>工况</w:t>
            </w:r>
          </w:p>
        </w:tc>
        <w:tc>
          <w:tcPr>
            <w:tcW w:w="536" w:type="pct"/>
            <w:vMerge w:val="restart"/>
            <w:tcBorders>
              <w:left w:val="single" w:sz="4" w:space="0" w:color="auto"/>
              <w:bottom w:val="single" w:sz="6" w:space="0" w:color="auto"/>
            </w:tcBorders>
            <w:vAlign w:val="center"/>
          </w:tcPr>
          <w:p w:rsidR="00EE56C0" w:rsidRDefault="000F36A1">
            <w:pPr>
              <w:pStyle w:val="aff1"/>
              <w:rPr>
                <w:color w:val="auto"/>
              </w:rPr>
            </w:pPr>
            <w:r>
              <w:rPr>
                <w:color w:val="auto"/>
              </w:rPr>
              <w:t>源强</w:t>
            </w:r>
          </w:p>
        </w:tc>
      </w:tr>
      <w:tr w:rsidR="00EE56C0">
        <w:trPr>
          <w:trHeight w:val="454"/>
          <w:jc w:val="center"/>
        </w:trPr>
        <w:tc>
          <w:tcPr>
            <w:tcW w:w="323" w:type="pct"/>
            <w:vAlign w:val="center"/>
          </w:tcPr>
          <w:p w:rsidR="00EE56C0" w:rsidRDefault="000F36A1">
            <w:pPr>
              <w:pStyle w:val="afa"/>
            </w:pPr>
            <w:r>
              <w:rPr>
                <w:rFonts w:hint="eastAsia"/>
              </w:rPr>
              <w:t>单位</w:t>
            </w:r>
          </w:p>
        </w:tc>
        <w:tc>
          <w:tcPr>
            <w:tcW w:w="311" w:type="pct"/>
            <w:vAlign w:val="center"/>
          </w:tcPr>
          <w:p w:rsidR="00EE56C0" w:rsidRDefault="000F36A1">
            <w:pPr>
              <w:pStyle w:val="afa"/>
            </w:pPr>
            <w:r>
              <w:rPr>
                <w:rFonts w:hint="eastAsia"/>
              </w:rPr>
              <w:t>/</w:t>
            </w:r>
          </w:p>
        </w:tc>
        <w:tc>
          <w:tcPr>
            <w:tcW w:w="311" w:type="pct"/>
            <w:vAlign w:val="center"/>
          </w:tcPr>
          <w:p w:rsidR="00EE56C0" w:rsidRDefault="000F36A1">
            <w:pPr>
              <w:pStyle w:val="afa"/>
            </w:pPr>
            <w:r>
              <w:t>m</w:t>
            </w:r>
          </w:p>
        </w:tc>
        <w:tc>
          <w:tcPr>
            <w:tcW w:w="377" w:type="pct"/>
            <w:vAlign w:val="center"/>
          </w:tcPr>
          <w:p w:rsidR="00EE56C0" w:rsidRDefault="000F36A1">
            <w:pPr>
              <w:pStyle w:val="afa"/>
            </w:pPr>
            <w:r>
              <w:t>m</w:t>
            </w:r>
          </w:p>
        </w:tc>
        <w:tc>
          <w:tcPr>
            <w:tcW w:w="477" w:type="pct"/>
            <w:vAlign w:val="center"/>
          </w:tcPr>
          <w:p w:rsidR="00EE56C0" w:rsidRDefault="000F36A1">
            <w:pPr>
              <w:pStyle w:val="afa"/>
            </w:pPr>
            <w:r>
              <w:t>m</w:t>
            </w:r>
          </w:p>
        </w:tc>
        <w:tc>
          <w:tcPr>
            <w:tcW w:w="377" w:type="pct"/>
            <w:vAlign w:val="center"/>
          </w:tcPr>
          <w:p w:rsidR="00EE56C0" w:rsidRDefault="000F36A1">
            <w:pPr>
              <w:pStyle w:val="afa"/>
            </w:pPr>
            <w:r>
              <w:t>m</w:t>
            </w:r>
          </w:p>
        </w:tc>
        <w:tc>
          <w:tcPr>
            <w:tcW w:w="377" w:type="pct"/>
            <w:vAlign w:val="center"/>
          </w:tcPr>
          <w:p w:rsidR="00EE56C0" w:rsidRDefault="000F36A1">
            <w:pPr>
              <w:pStyle w:val="afa"/>
            </w:pPr>
            <w:r>
              <w:t>m</w:t>
            </w:r>
          </w:p>
        </w:tc>
        <w:tc>
          <w:tcPr>
            <w:tcW w:w="377" w:type="pct"/>
            <w:vAlign w:val="center"/>
          </w:tcPr>
          <w:p w:rsidR="00EE56C0" w:rsidRDefault="000F36A1">
            <w:pPr>
              <w:pStyle w:val="afa"/>
            </w:pPr>
            <w:r>
              <w:t>m/s</w:t>
            </w:r>
          </w:p>
        </w:tc>
        <w:tc>
          <w:tcPr>
            <w:tcW w:w="377" w:type="pct"/>
            <w:vAlign w:val="center"/>
          </w:tcPr>
          <w:p w:rsidR="00EE56C0" w:rsidRDefault="000F36A1">
            <w:pPr>
              <w:pStyle w:val="afa"/>
            </w:pPr>
            <w:r>
              <w:rPr>
                <w:rFonts w:ascii="宋体" w:hAnsi="宋体" w:cs="宋体" w:hint="eastAsia"/>
              </w:rPr>
              <w:t>℃</w:t>
            </w:r>
          </w:p>
        </w:tc>
        <w:tc>
          <w:tcPr>
            <w:tcW w:w="377" w:type="pct"/>
            <w:vAlign w:val="center"/>
          </w:tcPr>
          <w:p w:rsidR="00EE56C0" w:rsidRDefault="000F36A1">
            <w:pPr>
              <w:pStyle w:val="afa"/>
            </w:pPr>
            <w:r>
              <w:t>h</w:t>
            </w:r>
          </w:p>
        </w:tc>
        <w:tc>
          <w:tcPr>
            <w:tcW w:w="780" w:type="pct"/>
            <w:vAlign w:val="center"/>
          </w:tcPr>
          <w:p w:rsidR="00EE56C0" w:rsidRDefault="000F36A1">
            <w:pPr>
              <w:pStyle w:val="afa"/>
            </w:pPr>
            <w:r>
              <w:t>-</w:t>
            </w:r>
          </w:p>
        </w:tc>
        <w:tc>
          <w:tcPr>
            <w:tcW w:w="536" w:type="pct"/>
            <w:vMerge/>
            <w:tcBorders>
              <w:left w:val="single" w:sz="4" w:space="0" w:color="auto"/>
            </w:tcBorders>
            <w:vAlign w:val="center"/>
          </w:tcPr>
          <w:p w:rsidR="00EE56C0" w:rsidRDefault="00EE56C0">
            <w:pPr>
              <w:pStyle w:val="afa"/>
            </w:pPr>
          </w:p>
        </w:tc>
      </w:tr>
      <w:tr w:rsidR="00EE56C0">
        <w:trPr>
          <w:trHeight w:val="454"/>
          <w:jc w:val="center"/>
        </w:trPr>
        <w:tc>
          <w:tcPr>
            <w:tcW w:w="323" w:type="pct"/>
            <w:vMerge w:val="restart"/>
            <w:vAlign w:val="center"/>
          </w:tcPr>
          <w:p w:rsidR="00EE56C0" w:rsidRDefault="000F36A1">
            <w:pPr>
              <w:pStyle w:val="afa"/>
            </w:pPr>
            <w:r>
              <w:rPr>
                <w:rFonts w:hint="eastAsia"/>
              </w:rPr>
              <w:t>P</w:t>
            </w:r>
          </w:p>
        </w:tc>
        <w:tc>
          <w:tcPr>
            <w:tcW w:w="311" w:type="pct"/>
            <w:vAlign w:val="center"/>
          </w:tcPr>
          <w:p w:rsidR="00EE56C0" w:rsidRDefault="000F36A1">
            <w:pPr>
              <w:pStyle w:val="afa"/>
            </w:pPr>
            <w:r>
              <w:rPr>
                <w:rFonts w:hint="eastAsia"/>
              </w:rPr>
              <w:t>酚</w:t>
            </w:r>
          </w:p>
        </w:tc>
        <w:tc>
          <w:tcPr>
            <w:tcW w:w="311" w:type="pct"/>
            <w:vMerge w:val="restart"/>
            <w:vAlign w:val="center"/>
          </w:tcPr>
          <w:p w:rsidR="00EE56C0" w:rsidRDefault="000F36A1">
            <w:pPr>
              <w:pStyle w:val="afa"/>
            </w:pPr>
            <w:r>
              <w:rPr>
                <w:rFonts w:hint="eastAsia"/>
              </w:rPr>
              <w:t>498</w:t>
            </w:r>
          </w:p>
        </w:tc>
        <w:tc>
          <w:tcPr>
            <w:tcW w:w="377" w:type="pct"/>
            <w:vMerge w:val="restart"/>
            <w:vAlign w:val="center"/>
          </w:tcPr>
          <w:p w:rsidR="00EE56C0" w:rsidRDefault="000F36A1">
            <w:pPr>
              <w:pStyle w:val="afa"/>
            </w:pPr>
            <w:r>
              <w:rPr>
                <w:rFonts w:hint="eastAsia"/>
              </w:rPr>
              <w:t>250</w:t>
            </w:r>
          </w:p>
        </w:tc>
        <w:tc>
          <w:tcPr>
            <w:tcW w:w="477" w:type="pct"/>
            <w:vMerge w:val="restart"/>
            <w:vAlign w:val="center"/>
          </w:tcPr>
          <w:p w:rsidR="00EE56C0" w:rsidRDefault="000F36A1">
            <w:pPr>
              <w:pStyle w:val="afa"/>
            </w:pPr>
            <w:r>
              <w:rPr>
                <w:rFonts w:hint="eastAsia"/>
              </w:rPr>
              <w:t>79</w:t>
            </w:r>
          </w:p>
        </w:tc>
        <w:tc>
          <w:tcPr>
            <w:tcW w:w="377" w:type="pct"/>
            <w:vMerge w:val="restart"/>
            <w:vAlign w:val="center"/>
          </w:tcPr>
          <w:p w:rsidR="00EE56C0" w:rsidRDefault="000F36A1">
            <w:pPr>
              <w:pStyle w:val="afa"/>
            </w:pPr>
            <w:r>
              <w:rPr>
                <w:rFonts w:hint="eastAsia"/>
              </w:rPr>
              <w:t>26.5</w:t>
            </w:r>
          </w:p>
        </w:tc>
        <w:tc>
          <w:tcPr>
            <w:tcW w:w="377" w:type="pct"/>
            <w:vMerge w:val="restart"/>
            <w:vAlign w:val="center"/>
          </w:tcPr>
          <w:p w:rsidR="00EE56C0" w:rsidRDefault="000F36A1">
            <w:pPr>
              <w:pStyle w:val="afa"/>
            </w:pPr>
            <w:r>
              <w:rPr>
                <w:rFonts w:hint="eastAsia"/>
              </w:rPr>
              <w:t>1.2</w:t>
            </w:r>
          </w:p>
        </w:tc>
        <w:tc>
          <w:tcPr>
            <w:tcW w:w="377" w:type="pct"/>
            <w:vMerge w:val="restart"/>
            <w:vAlign w:val="center"/>
          </w:tcPr>
          <w:p w:rsidR="00EE56C0" w:rsidRDefault="000F36A1">
            <w:pPr>
              <w:pStyle w:val="afa"/>
            </w:pPr>
            <w:r>
              <w:rPr>
                <w:rFonts w:hint="eastAsia"/>
              </w:rPr>
              <w:t>12.2</w:t>
            </w:r>
          </w:p>
        </w:tc>
        <w:tc>
          <w:tcPr>
            <w:tcW w:w="377" w:type="pct"/>
            <w:vMerge w:val="restart"/>
            <w:vAlign w:val="center"/>
          </w:tcPr>
          <w:p w:rsidR="00EE56C0" w:rsidRDefault="000F36A1">
            <w:pPr>
              <w:pStyle w:val="afa"/>
            </w:pPr>
            <w:r>
              <w:rPr>
                <w:rFonts w:hint="eastAsia"/>
              </w:rPr>
              <w:t>25</w:t>
            </w:r>
          </w:p>
        </w:tc>
        <w:tc>
          <w:tcPr>
            <w:tcW w:w="377" w:type="pct"/>
            <w:vMerge w:val="restart"/>
            <w:vAlign w:val="center"/>
          </w:tcPr>
          <w:p w:rsidR="00EE56C0" w:rsidRDefault="000F36A1">
            <w:pPr>
              <w:pStyle w:val="afa"/>
            </w:pPr>
            <w:r>
              <w:rPr>
                <w:rFonts w:hint="eastAsia"/>
              </w:rPr>
              <w:t>7200</w:t>
            </w:r>
          </w:p>
        </w:tc>
        <w:tc>
          <w:tcPr>
            <w:tcW w:w="780" w:type="pct"/>
            <w:vMerge w:val="restart"/>
            <w:vAlign w:val="center"/>
          </w:tcPr>
          <w:p w:rsidR="00EE56C0" w:rsidRDefault="000F36A1">
            <w:pPr>
              <w:pStyle w:val="afa"/>
            </w:pPr>
            <w:r>
              <w:t>正常</w:t>
            </w:r>
          </w:p>
        </w:tc>
        <w:tc>
          <w:tcPr>
            <w:tcW w:w="536" w:type="pct"/>
            <w:tcBorders>
              <w:left w:val="single" w:sz="4" w:space="0" w:color="auto"/>
            </w:tcBorders>
            <w:vAlign w:val="center"/>
          </w:tcPr>
          <w:p w:rsidR="00EE56C0" w:rsidRPr="00702FE4" w:rsidRDefault="000F36A1">
            <w:pPr>
              <w:pStyle w:val="afa"/>
              <w:rPr>
                <w:rFonts w:ascii="宋体" w:eastAsia="宋体" w:hAnsi="宋体" w:cs="宋体"/>
                <w:u w:val="single"/>
              </w:rPr>
            </w:pPr>
            <w:r w:rsidRPr="00702FE4">
              <w:rPr>
                <w:rFonts w:hint="eastAsia"/>
                <w:u w:val="single"/>
              </w:rPr>
              <w:t xml:space="preserve">0.0232 </w:t>
            </w:r>
          </w:p>
        </w:tc>
      </w:tr>
      <w:tr w:rsidR="00EE56C0">
        <w:trPr>
          <w:trHeight w:val="454"/>
          <w:jc w:val="center"/>
        </w:trPr>
        <w:tc>
          <w:tcPr>
            <w:tcW w:w="323" w:type="pct"/>
            <w:vMerge/>
            <w:vAlign w:val="center"/>
          </w:tcPr>
          <w:p w:rsidR="00EE56C0" w:rsidRDefault="00EE56C0">
            <w:pPr>
              <w:pStyle w:val="afa"/>
            </w:pPr>
          </w:p>
        </w:tc>
        <w:tc>
          <w:tcPr>
            <w:tcW w:w="311" w:type="pct"/>
            <w:vAlign w:val="center"/>
          </w:tcPr>
          <w:p w:rsidR="00EE56C0" w:rsidRDefault="000F36A1">
            <w:pPr>
              <w:pStyle w:val="afa"/>
            </w:pPr>
            <w:r>
              <w:rPr>
                <w:rFonts w:hint="eastAsia"/>
              </w:rPr>
              <w:t>非甲烷总烃</w:t>
            </w:r>
          </w:p>
        </w:tc>
        <w:tc>
          <w:tcPr>
            <w:tcW w:w="311" w:type="pct"/>
            <w:vMerge/>
            <w:vAlign w:val="center"/>
          </w:tcPr>
          <w:p w:rsidR="00EE56C0" w:rsidRDefault="00EE56C0">
            <w:pPr>
              <w:pStyle w:val="afa"/>
            </w:pPr>
          </w:p>
        </w:tc>
        <w:tc>
          <w:tcPr>
            <w:tcW w:w="377" w:type="pct"/>
            <w:vMerge/>
            <w:vAlign w:val="center"/>
          </w:tcPr>
          <w:p w:rsidR="00EE56C0" w:rsidRDefault="00EE56C0">
            <w:pPr>
              <w:pStyle w:val="afa"/>
            </w:pPr>
          </w:p>
        </w:tc>
        <w:tc>
          <w:tcPr>
            <w:tcW w:w="477" w:type="pct"/>
            <w:vMerge/>
            <w:vAlign w:val="center"/>
          </w:tcPr>
          <w:p w:rsidR="00EE56C0" w:rsidRDefault="00EE56C0">
            <w:pPr>
              <w:pStyle w:val="afa"/>
            </w:pPr>
          </w:p>
        </w:tc>
        <w:tc>
          <w:tcPr>
            <w:tcW w:w="377" w:type="pct"/>
            <w:vMerge/>
            <w:vAlign w:val="center"/>
          </w:tcPr>
          <w:p w:rsidR="00EE56C0" w:rsidRDefault="00EE56C0">
            <w:pPr>
              <w:pStyle w:val="afa"/>
            </w:pPr>
          </w:p>
        </w:tc>
        <w:tc>
          <w:tcPr>
            <w:tcW w:w="377" w:type="pct"/>
            <w:vMerge/>
            <w:vAlign w:val="center"/>
          </w:tcPr>
          <w:p w:rsidR="00EE56C0" w:rsidRDefault="00EE56C0">
            <w:pPr>
              <w:pStyle w:val="afa"/>
            </w:pPr>
          </w:p>
        </w:tc>
        <w:tc>
          <w:tcPr>
            <w:tcW w:w="377" w:type="pct"/>
            <w:vMerge/>
            <w:vAlign w:val="center"/>
          </w:tcPr>
          <w:p w:rsidR="00EE56C0" w:rsidRDefault="00EE56C0">
            <w:pPr>
              <w:pStyle w:val="afa"/>
            </w:pPr>
          </w:p>
        </w:tc>
        <w:tc>
          <w:tcPr>
            <w:tcW w:w="377" w:type="pct"/>
            <w:vMerge/>
            <w:vAlign w:val="center"/>
          </w:tcPr>
          <w:p w:rsidR="00EE56C0" w:rsidRDefault="00EE56C0">
            <w:pPr>
              <w:pStyle w:val="afa"/>
            </w:pPr>
          </w:p>
        </w:tc>
        <w:tc>
          <w:tcPr>
            <w:tcW w:w="377" w:type="pct"/>
            <w:vMerge/>
            <w:vAlign w:val="center"/>
          </w:tcPr>
          <w:p w:rsidR="00EE56C0" w:rsidRDefault="00EE56C0">
            <w:pPr>
              <w:pStyle w:val="afa"/>
            </w:pPr>
          </w:p>
        </w:tc>
        <w:tc>
          <w:tcPr>
            <w:tcW w:w="780" w:type="pct"/>
            <w:vMerge/>
            <w:vAlign w:val="center"/>
          </w:tcPr>
          <w:p w:rsidR="00EE56C0" w:rsidRDefault="00EE56C0">
            <w:pPr>
              <w:pStyle w:val="afa"/>
            </w:pPr>
          </w:p>
        </w:tc>
        <w:tc>
          <w:tcPr>
            <w:tcW w:w="536" w:type="pct"/>
            <w:tcBorders>
              <w:left w:val="single" w:sz="4" w:space="0" w:color="auto"/>
            </w:tcBorders>
            <w:vAlign w:val="center"/>
          </w:tcPr>
          <w:p w:rsidR="00EE56C0" w:rsidRPr="00702FE4" w:rsidRDefault="000F36A1">
            <w:pPr>
              <w:pStyle w:val="afa"/>
              <w:rPr>
                <w:rFonts w:ascii="宋体" w:eastAsia="宋体" w:hAnsi="宋体" w:cs="宋体"/>
                <w:u w:val="single"/>
              </w:rPr>
            </w:pPr>
            <w:r w:rsidRPr="00702FE4">
              <w:rPr>
                <w:rFonts w:hint="eastAsia"/>
                <w:u w:val="single"/>
              </w:rPr>
              <w:t xml:space="preserve">0.1814 </w:t>
            </w:r>
          </w:p>
        </w:tc>
      </w:tr>
      <w:tr w:rsidR="00EE56C0">
        <w:trPr>
          <w:trHeight w:val="454"/>
          <w:jc w:val="center"/>
        </w:trPr>
        <w:tc>
          <w:tcPr>
            <w:tcW w:w="323" w:type="pct"/>
            <w:vMerge/>
            <w:vAlign w:val="center"/>
          </w:tcPr>
          <w:p w:rsidR="00EE56C0" w:rsidRDefault="00EE56C0">
            <w:pPr>
              <w:pStyle w:val="afa"/>
            </w:pPr>
          </w:p>
        </w:tc>
        <w:tc>
          <w:tcPr>
            <w:tcW w:w="311" w:type="pct"/>
            <w:vAlign w:val="center"/>
          </w:tcPr>
          <w:p w:rsidR="00EE56C0" w:rsidRDefault="000F36A1">
            <w:pPr>
              <w:pStyle w:val="afa"/>
            </w:pPr>
            <w:r>
              <w:rPr>
                <w:rFonts w:hint="eastAsia"/>
              </w:rPr>
              <w:t>二甲苯</w:t>
            </w:r>
          </w:p>
        </w:tc>
        <w:tc>
          <w:tcPr>
            <w:tcW w:w="311" w:type="pct"/>
            <w:vMerge/>
            <w:vAlign w:val="center"/>
          </w:tcPr>
          <w:p w:rsidR="00EE56C0" w:rsidRDefault="00EE56C0">
            <w:pPr>
              <w:pStyle w:val="afa"/>
            </w:pPr>
          </w:p>
        </w:tc>
        <w:tc>
          <w:tcPr>
            <w:tcW w:w="377" w:type="pct"/>
            <w:vMerge/>
            <w:vAlign w:val="center"/>
          </w:tcPr>
          <w:p w:rsidR="00EE56C0" w:rsidRDefault="00EE56C0">
            <w:pPr>
              <w:pStyle w:val="afa"/>
            </w:pPr>
          </w:p>
        </w:tc>
        <w:tc>
          <w:tcPr>
            <w:tcW w:w="477" w:type="pct"/>
            <w:vMerge/>
            <w:vAlign w:val="center"/>
          </w:tcPr>
          <w:p w:rsidR="00EE56C0" w:rsidRDefault="00EE56C0">
            <w:pPr>
              <w:pStyle w:val="afa"/>
            </w:pPr>
          </w:p>
        </w:tc>
        <w:tc>
          <w:tcPr>
            <w:tcW w:w="377" w:type="pct"/>
            <w:vMerge/>
            <w:vAlign w:val="center"/>
          </w:tcPr>
          <w:p w:rsidR="00EE56C0" w:rsidRDefault="00EE56C0">
            <w:pPr>
              <w:pStyle w:val="afa"/>
            </w:pPr>
          </w:p>
        </w:tc>
        <w:tc>
          <w:tcPr>
            <w:tcW w:w="377" w:type="pct"/>
            <w:vMerge/>
            <w:vAlign w:val="center"/>
          </w:tcPr>
          <w:p w:rsidR="00EE56C0" w:rsidRDefault="00EE56C0">
            <w:pPr>
              <w:pStyle w:val="afa"/>
            </w:pPr>
          </w:p>
        </w:tc>
        <w:tc>
          <w:tcPr>
            <w:tcW w:w="377" w:type="pct"/>
            <w:vMerge/>
            <w:vAlign w:val="center"/>
          </w:tcPr>
          <w:p w:rsidR="00EE56C0" w:rsidRDefault="00EE56C0">
            <w:pPr>
              <w:pStyle w:val="afa"/>
            </w:pPr>
          </w:p>
        </w:tc>
        <w:tc>
          <w:tcPr>
            <w:tcW w:w="377" w:type="pct"/>
            <w:vMerge/>
            <w:vAlign w:val="center"/>
          </w:tcPr>
          <w:p w:rsidR="00EE56C0" w:rsidRDefault="00EE56C0">
            <w:pPr>
              <w:pStyle w:val="afa"/>
            </w:pPr>
          </w:p>
        </w:tc>
        <w:tc>
          <w:tcPr>
            <w:tcW w:w="377" w:type="pct"/>
            <w:vMerge/>
            <w:vAlign w:val="center"/>
          </w:tcPr>
          <w:p w:rsidR="00EE56C0" w:rsidRDefault="00EE56C0">
            <w:pPr>
              <w:pStyle w:val="afa"/>
            </w:pPr>
          </w:p>
        </w:tc>
        <w:tc>
          <w:tcPr>
            <w:tcW w:w="780" w:type="pct"/>
            <w:vMerge/>
            <w:vAlign w:val="center"/>
          </w:tcPr>
          <w:p w:rsidR="00EE56C0" w:rsidRDefault="00EE56C0">
            <w:pPr>
              <w:pStyle w:val="afa"/>
            </w:pPr>
          </w:p>
        </w:tc>
        <w:tc>
          <w:tcPr>
            <w:tcW w:w="536" w:type="pct"/>
            <w:tcBorders>
              <w:left w:val="single" w:sz="4" w:space="0" w:color="auto"/>
            </w:tcBorders>
            <w:vAlign w:val="center"/>
          </w:tcPr>
          <w:p w:rsidR="00EE56C0" w:rsidRPr="00702FE4" w:rsidRDefault="000F36A1">
            <w:pPr>
              <w:pStyle w:val="afa"/>
              <w:rPr>
                <w:rFonts w:ascii="宋体" w:eastAsia="宋体" w:hAnsi="宋体" w:cs="宋体"/>
                <w:u w:val="single"/>
              </w:rPr>
            </w:pPr>
            <w:r w:rsidRPr="00702FE4">
              <w:rPr>
                <w:rFonts w:hint="eastAsia"/>
                <w:u w:val="single"/>
              </w:rPr>
              <w:t xml:space="preserve">0 </w:t>
            </w:r>
          </w:p>
        </w:tc>
      </w:tr>
      <w:tr w:rsidR="00EE56C0">
        <w:trPr>
          <w:trHeight w:val="454"/>
          <w:jc w:val="center"/>
        </w:trPr>
        <w:tc>
          <w:tcPr>
            <w:tcW w:w="323" w:type="pct"/>
            <w:vMerge/>
            <w:vAlign w:val="center"/>
          </w:tcPr>
          <w:p w:rsidR="00EE56C0" w:rsidRDefault="00EE56C0">
            <w:pPr>
              <w:pStyle w:val="afa"/>
            </w:pPr>
          </w:p>
        </w:tc>
        <w:tc>
          <w:tcPr>
            <w:tcW w:w="311" w:type="pct"/>
            <w:vAlign w:val="center"/>
          </w:tcPr>
          <w:p w:rsidR="00EE56C0" w:rsidRDefault="000F36A1">
            <w:pPr>
              <w:pStyle w:val="afa"/>
            </w:pPr>
            <w:r>
              <w:rPr>
                <w:rFonts w:hint="eastAsia"/>
              </w:rPr>
              <w:t>甲苯</w:t>
            </w:r>
          </w:p>
        </w:tc>
        <w:tc>
          <w:tcPr>
            <w:tcW w:w="311" w:type="pct"/>
            <w:vMerge/>
            <w:vAlign w:val="center"/>
          </w:tcPr>
          <w:p w:rsidR="00EE56C0" w:rsidRDefault="00EE56C0">
            <w:pPr>
              <w:pStyle w:val="afa"/>
            </w:pPr>
          </w:p>
        </w:tc>
        <w:tc>
          <w:tcPr>
            <w:tcW w:w="377" w:type="pct"/>
            <w:vMerge/>
            <w:vAlign w:val="center"/>
          </w:tcPr>
          <w:p w:rsidR="00EE56C0" w:rsidRDefault="00EE56C0">
            <w:pPr>
              <w:pStyle w:val="afa"/>
            </w:pPr>
          </w:p>
        </w:tc>
        <w:tc>
          <w:tcPr>
            <w:tcW w:w="477" w:type="pct"/>
            <w:vMerge/>
            <w:vAlign w:val="center"/>
          </w:tcPr>
          <w:p w:rsidR="00EE56C0" w:rsidRDefault="00EE56C0">
            <w:pPr>
              <w:pStyle w:val="afa"/>
            </w:pPr>
          </w:p>
        </w:tc>
        <w:tc>
          <w:tcPr>
            <w:tcW w:w="377" w:type="pct"/>
            <w:vMerge/>
            <w:vAlign w:val="center"/>
          </w:tcPr>
          <w:p w:rsidR="00EE56C0" w:rsidRDefault="00EE56C0">
            <w:pPr>
              <w:pStyle w:val="afa"/>
            </w:pPr>
          </w:p>
        </w:tc>
        <w:tc>
          <w:tcPr>
            <w:tcW w:w="377" w:type="pct"/>
            <w:vMerge/>
            <w:vAlign w:val="center"/>
          </w:tcPr>
          <w:p w:rsidR="00EE56C0" w:rsidRDefault="00EE56C0">
            <w:pPr>
              <w:pStyle w:val="afa"/>
            </w:pPr>
          </w:p>
        </w:tc>
        <w:tc>
          <w:tcPr>
            <w:tcW w:w="377" w:type="pct"/>
            <w:vMerge/>
            <w:vAlign w:val="center"/>
          </w:tcPr>
          <w:p w:rsidR="00EE56C0" w:rsidRDefault="00EE56C0">
            <w:pPr>
              <w:pStyle w:val="afa"/>
            </w:pPr>
          </w:p>
        </w:tc>
        <w:tc>
          <w:tcPr>
            <w:tcW w:w="377" w:type="pct"/>
            <w:vMerge/>
            <w:vAlign w:val="center"/>
          </w:tcPr>
          <w:p w:rsidR="00EE56C0" w:rsidRDefault="00EE56C0">
            <w:pPr>
              <w:pStyle w:val="afa"/>
            </w:pPr>
          </w:p>
        </w:tc>
        <w:tc>
          <w:tcPr>
            <w:tcW w:w="377" w:type="pct"/>
            <w:vMerge/>
            <w:vAlign w:val="center"/>
          </w:tcPr>
          <w:p w:rsidR="00EE56C0" w:rsidRDefault="00EE56C0">
            <w:pPr>
              <w:pStyle w:val="afa"/>
            </w:pPr>
          </w:p>
        </w:tc>
        <w:tc>
          <w:tcPr>
            <w:tcW w:w="780" w:type="pct"/>
            <w:vMerge/>
            <w:vAlign w:val="center"/>
          </w:tcPr>
          <w:p w:rsidR="00EE56C0" w:rsidRDefault="00EE56C0">
            <w:pPr>
              <w:pStyle w:val="afa"/>
            </w:pPr>
          </w:p>
        </w:tc>
        <w:tc>
          <w:tcPr>
            <w:tcW w:w="536" w:type="pct"/>
            <w:tcBorders>
              <w:left w:val="single" w:sz="4" w:space="0" w:color="auto"/>
            </w:tcBorders>
            <w:vAlign w:val="center"/>
          </w:tcPr>
          <w:p w:rsidR="00EE56C0" w:rsidRPr="00702FE4" w:rsidRDefault="000F36A1">
            <w:pPr>
              <w:pStyle w:val="afa"/>
              <w:rPr>
                <w:rFonts w:ascii="宋体" w:eastAsia="宋体" w:hAnsi="宋体" w:cs="宋体"/>
                <w:u w:val="single"/>
              </w:rPr>
            </w:pPr>
            <w:r w:rsidRPr="00702FE4">
              <w:rPr>
                <w:rFonts w:hint="eastAsia"/>
                <w:u w:val="single"/>
              </w:rPr>
              <w:t xml:space="preserve">0.0130 </w:t>
            </w:r>
          </w:p>
        </w:tc>
      </w:tr>
      <w:tr w:rsidR="00EE56C0">
        <w:trPr>
          <w:trHeight w:val="454"/>
          <w:jc w:val="center"/>
        </w:trPr>
        <w:tc>
          <w:tcPr>
            <w:tcW w:w="323" w:type="pct"/>
            <w:vMerge/>
            <w:vAlign w:val="center"/>
          </w:tcPr>
          <w:p w:rsidR="00EE56C0" w:rsidRDefault="00EE56C0">
            <w:pPr>
              <w:pStyle w:val="afa"/>
            </w:pPr>
          </w:p>
        </w:tc>
        <w:tc>
          <w:tcPr>
            <w:tcW w:w="311" w:type="pct"/>
            <w:vAlign w:val="center"/>
          </w:tcPr>
          <w:p w:rsidR="00EE56C0" w:rsidRDefault="000F36A1">
            <w:pPr>
              <w:pStyle w:val="afa"/>
            </w:pPr>
            <w:r>
              <w:rPr>
                <w:rFonts w:hint="eastAsia"/>
              </w:rPr>
              <w:t>苯</w:t>
            </w:r>
          </w:p>
        </w:tc>
        <w:tc>
          <w:tcPr>
            <w:tcW w:w="311" w:type="pct"/>
            <w:vMerge/>
            <w:vAlign w:val="center"/>
          </w:tcPr>
          <w:p w:rsidR="00EE56C0" w:rsidRDefault="00EE56C0">
            <w:pPr>
              <w:pStyle w:val="afa"/>
            </w:pPr>
          </w:p>
        </w:tc>
        <w:tc>
          <w:tcPr>
            <w:tcW w:w="377" w:type="pct"/>
            <w:vMerge/>
            <w:vAlign w:val="center"/>
          </w:tcPr>
          <w:p w:rsidR="00EE56C0" w:rsidRDefault="00EE56C0">
            <w:pPr>
              <w:pStyle w:val="afa"/>
            </w:pPr>
          </w:p>
        </w:tc>
        <w:tc>
          <w:tcPr>
            <w:tcW w:w="477" w:type="pct"/>
            <w:vMerge/>
            <w:vAlign w:val="center"/>
          </w:tcPr>
          <w:p w:rsidR="00EE56C0" w:rsidRDefault="00EE56C0">
            <w:pPr>
              <w:pStyle w:val="afa"/>
            </w:pPr>
          </w:p>
        </w:tc>
        <w:tc>
          <w:tcPr>
            <w:tcW w:w="377" w:type="pct"/>
            <w:vMerge/>
            <w:vAlign w:val="center"/>
          </w:tcPr>
          <w:p w:rsidR="00EE56C0" w:rsidRDefault="00EE56C0">
            <w:pPr>
              <w:pStyle w:val="afa"/>
            </w:pPr>
          </w:p>
        </w:tc>
        <w:tc>
          <w:tcPr>
            <w:tcW w:w="377" w:type="pct"/>
            <w:vMerge/>
            <w:vAlign w:val="center"/>
          </w:tcPr>
          <w:p w:rsidR="00EE56C0" w:rsidRDefault="00EE56C0">
            <w:pPr>
              <w:pStyle w:val="afa"/>
            </w:pPr>
          </w:p>
        </w:tc>
        <w:tc>
          <w:tcPr>
            <w:tcW w:w="377" w:type="pct"/>
            <w:vMerge/>
            <w:vAlign w:val="center"/>
          </w:tcPr>
          <w:p w:rsidR="00EE56C0" w:rsidRDefault="00EE56C0">
            <w:pPr>
              <w:pStyle w:val="afa"/>
            </w:pPr>
          </w:p>
        </w:tc>
        <w:tc>
          <w:tcPr>
            <w:tcW w:w="377" w:type="pct"/>
            <w:vMerge/>
            <w:vAlign w:val="center"/>
          </w:tcPr>
          <w:p w:rsidR="00EE56C0" w:rsidRDefault="00EE56C0">
            <w:pPr>
              <w:pStyle w:val="afa"/>
            </w:pPr>
          </w:p>
        </w:tc>
        <w:tc>
          <w:tcPr>
            <w:tcW w:w="377" w:type="pct"/>
            <w:vMerge/>
            <w:vAlign w:val="center"/>
          </w:tcPr>
          <w:p w:rsidR="00EE56C0" w:rsidRDefault="00EE56C0">
            <w:pPr>
              <w:pStyle w:val="afa"/>
            </w:pPr>
          </w:p>
        </w:tc>
        <w:tc>
          <w:tcPr>
            <w:tcW w:w="780" w:type="pct"/>
            <w:vMerge/>
            <w:vAlign w:val="center"/>
          </w:tcPr>
          <w:p w:rsidR="00EE56C0" w:rsidRDefault="00EE56C0">
            <w:pPr>
              <w:pStyle w:val="afa"/>
            </w:pPr>
          </w:p>
        </w:tc>
        <w:tc>
          <w:tcPr>
            <w:tcW w:w="536" w:type="pct"/>
            <w:tcBorders>
              <w:left w:val="single" w:sz="4" w:space="0" w:color="auto"/>
            </w:tcBorders>
            <w:vAlign w:val="center"/>
          </w:tcPr>
          <w:p w:rsidR="00EE56C0" w:rsidRPr="00702FE4" w:rsidRDefault="000F36A1">
            <w:pPr>
              <w:pStyle w:val="afa"/>
              <w:rPr>
                <w:rFonts w:ascii="宋体" w:eastAsia="宋体" w:hAnsi="宋体" w:cs="宋体"/>
                <w:u w:val="single"/>
              </w:rPr>
            </w:pPr>
            <w:r w:rsidRPr="00702FE4">
              <w:rPr>
                <w:rFonts w:hint="eastAsia"/>
                <w:u w:val="single"/>
              </w:rPr>
              <w:t xml:space="preserve">0 </w:t>
            </w:r>
          </w:p>
        </w:tc>
      </w:tr>
    </w:tbl>
    <w:p w:rsidR="00EE56C0" w:rsidRDefault="000F36A1">
      <w:pPr>
        <w:pStyle w:val="afd"/>
        <w:spacing w:before="120" w:after="120"/>
        <w:ind w:firstLine="482"/>
      </w:pPr>
      <w:r>
        <w:rPr>
          <w:rFonts w:hint="eastAsia"/>
        </w:rPr>
        <w:t>表</w:t>
      </w:r>
      <w:r>
        <w:rPr>
          <w:rFonts w:hint="eastAsia"/>
        </w:rPr>
        <w:t xml:space="preserve">5-13               </w:t>
      </w:r>
      <w:r>
        <w:rPr>
          <w:rFonts w:hint="eastAsia"/>
        </w:rPr>
        <w:t>项目厂区内部削减面源参数表</w:t>
      </w:r>
      <w:r>
        <w:rPr>
          <w:rFonts w:hint="eastAsia"/>
        </w:rPr>
        <w:t xml:space="preserve">  </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CellMar>
          <w:left w:w="0" w:type="dxa"/>
          <w:right w:w="0" w:type="dxa"/>
        </w:tblCellMar>
        <w:tblLook w:val="04A0"/>
      </w:tblPr>
      <w:tblGrid>
        <w:gridCol w:w="772"/>
        <w:gridCol w:w="638"/>
        <w:gridCol w:w="638"/>
        <w:gridCol w:w="662"/>
        <w:gridCol w:w="648"/>
        <w:gridCol w:w="677"/>
        <w:gridCol w:w="617"/>
        <w:gridCol w:w="773"/>
        <w:gridCol w:w="768"/>
        <w:gridCol w:w="768"/>
        <w:gridCol w:w="612"/>
        <w:gridCol w:w="760"/>
      </w:tblGrid>
      <w:tr w:rsidR="00EE56C0">
        <w:trPr>
          <w:trHeight w:val="454"/>
          <w:jc w:val="center"/>
        </w:trPr>
        <w:tc>
          <w:tcPr>
            <w:tcW w:w="463" w:type="pct"/>
            <w:vAlign w:val="center"/>
          </w:tcPr>
          <w:p w:rsidR="00EE56C0" w:rsidRDefault="000F36A1">
            <w:pPr>
              <w:pStyle w:val="aff1"/>
              <w:rPr>
                <w:color w:val="auto"/>
              </w:rPr>
            </w:pPr>
            <w:r>
              <w:rPr>
                <w:color w:val="auto"/>
              </w:rPr>
              <w:t>面源</w:t>
            </w:r>
          </w:p>
          <w:p w:rsidR="00EE56C0" w:rsidRDefault="000F36A1">
            <w:pPr>
              <w:pStyle w:val="aff1"/>
              <w:rPr>
                <w:color w:val="auto"/>
              </w:rPr>
            </w:pPr>
            <w:r>
              <w:rPr>
                <w:color w:val="auto"/>
              </w:rPr>
              <w:t>名称</w:t>
            </w:r>
          </w:p>
        </w:tc>
        <w:tc>
          <w:tcPr>
            <w:tcW w:w="383" w:type="pct"/>
            <w:vMerge w:val="restart"/>
            <w:vAlign w:val="center"/>
          </w:tcPr>
          <w:p w:rsidR="00EE56C0" w:rsidRDefault="000F36A1">
            <w:pPr>
              <w:pStyle w:val="aff1"/>
              <w:rPr>
                <w:color w:val="auto"/>
              </w:rPr>
            </w:pPr>
            <w:r>
              <w:rPr>
                <w:rFonts w:hint="eastAsia"/>
                <w:color w:val="auto"/>
              </w:rPr>
              <w:t>评价因子</w:t>
            </w:r>
          </w:p>
        </w:tc>
        <w:tc>
          <w:tcPr>
            <w:tcW w:w="383" w:type="pct"/>
            <w:vAlign w:val="center"/>
          </w:tcPr>
          <w:p w:rsidR="00EE56C0" w:rsidRDefault="000F36A1">
            <w:pPr>
              <w:pStyle w:val="aff1"/>
              <w:rPr>
                <w:color w:val="auto"/>
              </w:rPr>
            </w:pPr>
            <w:r>
              <w:rPr>
                <w:color w:val="auto"/>
              </w:rPr>
              <w:t>X</w:t>
            </w:r>
          </w:p>
          <w:p w:rsidR="00EE56C0" w:rsidRDefault="000F36A1">
            <w:pPr>
              <w:pStyle w:val="aff1"/>
              <w:rPr>
                <w:color w:val="auto"/>
              </w:rPr>
            </w:pPr>
            <w:r>
              <w:rPr>
                <w:color w:val="auto"/>
              </w:rPr>
              <w:t>坐标</w:t>
            </w:r>
          </w:p>
        </w:tc>
        <w:tc>
          <w:tcPr>
            <w:tcW w:w="397" w:type="pct"/>
            <w:vAlign w:val="center"/>
          </w:tcPr>
          <w:p w:rsidR="00EE56C0" w:rsidRDefault="000F36A1">
            <w:pPr>
              <w:pStyle w:val="aff1"/>
              <w:rPr>
                <w:color w:val="auto"/>
              </w:rPr>
            </w:pPr>
            <w:r>
              <w:rPr>
                <w:color w:val="auto"/>
              </w:rPr>
              <w:t>Y</w:t>
            </w:r>
          </w:p>
          <w:p w:rsidR="00EE56C0" w:rsidRDefault="000F36A1">
            <w:pPr>
              <w:pStyle w:val="aff1"/>
              <w:rPr>
                <w:color w:val="auto"/>
              </w:rPr>
            </w:pPr>
            <w:r>
              <w:rPr>
                <w:color w:val="auto"/>
              </w:rPr>
              <w:t>坐标</w:t>
            </w:r>
          </w:p>
        </w:tc>
        <w:tc>
          <w:tcPr>
            <w:tcW w:w="389" w:type="pct"/>
            <w:vAlign w:val="center"/>
          </w:tcPr>
          <w:p w:rsidR="00EE56C0" w:rsidRDefault="000F36A1">
            <w:pPr>
              <w:pStyle w:val="aff1"/>
              <w:rPr>
                <w:color w:val="auto"/>
              </w:rPr>
            </w:pPr>
            <w:r>
              <w:rPr>
                <w:color w:val="auto"/>
              </w:rPr>
              <w:t>海拔</w:t>
            </w:r>
          </w:p>
          <w:p w:rsidR="00EE56C0" w:rsidRDefault="000F36A1">
            <w:pPr>
              <w:pStyle w:val="aff1"/>
              <w:rPr>
                <w:color w:val="auto"/>
              </w:rPr>
            </w:pPr>
            <w:r>
              <w:rPr>
                <w:color w:val="auto"/>
              </w:rPr>
              <w:t>高度</w:t>
            </w:r>
          </w:p>
        </w:tc>
        <w:tc>
          <w:tcPr>
            <w:tcW w:w="406" w:type="pct"/>
            <w:vAlign w:val="center"/>
          </w:tcPr>
          <w:p w:rsidR="00EE56C0" w:rsidRDefault="000F36A1">
            <w:pPr>
              <w:pStyle w:val="aff1"/>
              <w:rPr>
                <w:color w:val="auto"/>
              </w:rPr>
            </w:pPr>
            <w:r>
              <w:rPr>
                <w:color w:val="auto"/>
              </w:rPr>
              <w:t>面源</w:t>
            </w:r>
          </w:p>
          <w:p w:rsidR="00EE56C0" w:rsidRDefault="000F36A1">
            <w:pPr>
              <w:pStyle w:val="aff1"/>
              <w:rPr>
                <w:color w:val="auto"/>
              </w:rPr>
            </w:pPr>
            <w:r>
              <w:rPr>
                <w:color w:val="auto"/>
              </w:rPr>
              <w:t>长度</w:t>
            </w:r>
          </w:p>
        </w:tc>
        <w:tc>
          <w:tcPr>
            <w:tcW w:w="370" w:type="pct"/>
            <w:vAlign w:val="center"/>
          </w:tcPr>
          <w:p w:rsidR="00EE56C0" w:rsidRDefault="000F36A1">
            <w:pPr>
              <w:pStyle w:val="aff1"/>
              <w:rPr>
                <w:color w:val="auto"/>
              </w:rPr>
            </w:pPr>
            <w:r>
              <w:rPr>
                <w:color w:val="auto"/>
              </w:rPr>
              <w:t>面源</w:t>
            </w:r>
          </w:p>
          <w:p w:rsidR="00EE56C0" w:rsidRDefault="000F36A1">
            <w:pPr>
              <w:pStyle w:val="aff1"/>
              <w:rPr>
                <w:color w:val="auto"/>
              </w:rPr>
            </w:pPr>
            <w:r>
              <w:rPr>
                <w:color w:val="auto"/>
              </w:rPr>
              <w:t>宽度</w:t>
            </w:r>
          </w:p>
        </w:tc>
        <w:tc>
          <w:tcPr>
            <w:tcW w:w="464" w:type="pct"/>
            <w:vAlign w:val="center"/>
          </w:tcPr>
          <w:p w:rsidR="00EE56C0" w:rsidRDefault="000F36A1">
            <w:pPr>
              <w:pStyle w:val="aff1"/>
              <w:rPr>
                <w:color w:val="auto"/>
              </w:rPr>
            </w:pPr>
            <w:r>
              <w:rPr>
                <w:color w:val="auto"/>
              </w:rPr>
              <w:t>与正北夹角</w:t>
            </w:r>
          </w:p>
        </w:tc>
        <w:tc>
          <w:tcPr>
            <w:tcW w:w="461" w:type="pct"/>
            <w:vAlign w:val="center"/>
          </w:tcPr>
          <w:p w:rsidR="00EE56C0" w:rsidRDefault="000F36A1">
            <w:pPr>
              <w:pStyle w:val="aff1"/>
              <w:rPr>
                <w:color w:val="auto"/>
              </w:rPr>
            </w:pPr>
            <w:r>
              <w:rPr>
                <w:color w:val="auto"/>
              </w:rPr>
              <w:t>面源初始排放高度</w:t>
            </w:r>
          </w:p>
        </w:tc>
        <w:tc>
          <w:tcPr>
            <w:tcW w:w="461" w:type="pct"/>
            <w:vAlign w:val="center"/>
          </w:tcPr>
          <w:p w:rsidR="00EE56C0" w:rsidRDefault="000F36A1">
            <w:pPr>
              <w:pStyle w:val="aff1"/>
              <w:rPr>
                <w:color w:val="auto"/>
              </w:rPr>
            </w:pPr>
            <w:r>
              <w:rPr>
                <w:color w:val="auto"/>
              </w:rPr>
              <w:t>年排放小时数</w:t>
            </w:r>
          </w:p>
        </w:tc>
        <w:tc>
          <w:tcPr>
            <w:tcW w:w="367" w:type="pct"/>
            <w:vAlign w:val="center"/>
          </w:tcPr>
          <w:p w:rsidR="00EE56C0" w:rsidRDefault="000F36A1">
            <w:pPr>
              <w:pStyle w:val="aff1"/>
              <w:rPr>
                <w:color w:val="auto"/>
              </w:rPr>
            </w:pPr>
            <w:r>
              <w:rPr>
                <w:color w:val="auto"/>
              </w:rPr>
              <w:t>排放</w:t>
            </w:r>
          </w:p>
          <w:p w:rsidR="00EE56C0" w:rsidRDefault="000F36A1">
            <w:pPr>
              <w:pStyle w:val="aff1"/>
              <w:rPr>
                <w:color w:val="auto"/>
              </w:rPr>
            </w:pPr>
            <w:r>
              <w:rPr>
                <w:color w:val="auto"/>
              </w:rPr>
              <w:t>工况</w:t>
            </w:r>
          </w:p>
        </w:tc>
        <w:tc>
          <w:tcPr>
            <w:tcW w:w="456" w:type="pct"/>
            <w:vMerge w:val="restart"/>
            <w:tcBorders>
              <w:left w:val="single" w:sz="4" w:space="0" w:color="auto"/>
            </w:tcBorders>
            <w:vAlign w:val="center"/>
          </w:tcPr>
          <w:p w:rsidR="00EE56C0" w:rsidRDefault="000F36A1">
            <w:pPr>
              <w:pStyle w:val="aff1"/>
              <w:rPr>
                <w:color w:val="auto"/>
              </w:rPr>
            </w:pPr>
            <w:r>
              <w:rPr>
                <w:color w:val="auto"/>
              </w:rPr>
              <w:t>污染源</w:t>
            </w:r>
          </w:p>
        </w:tc>
      </w:tr>
      <w:tr w:rsidR="00EE56C0">
        <w:trPr>
          <w:trHeight w:val="454"/>
          <w:jc w:val="center"/>
        </w:trPr>
        <w:tc>
          <w:tcPr>
            <w:tcW w:w="463" w:type="pct"/>
            <w:vAlign w:val="center"/>
          </w:tcPr>
          <w:p w:rsidR="00EE56C0" w:rsidRDefault="000F36A1">
            <w:pPr>
              <w:pStyle w:val="afa"/>
            </w:pPr>
            <w:r>
              <w:t>Name</w:t>
            </w:r>
          </w:p>
        </w:tc>
        <w:tc>
          <w:tcPr>
            <w:tcW w:w="383" w:type="pct"/>
            <w:vMerge/>
            <w:vAlign w:val="center"/>
          </w:tcPr>
          <w:p w:rsidR="00EE56C0" w:rsidRDefault="00EE56C0">
            <w:pPr>
              <w:pStyle w:val="afa"/>
            </w:pPr>
          </w:p>
        </w:tc>
        <w:tc>
          <w:tcPr>
            <w:tcW w:w="383" w:type="pct"/>
            <w:vAlign w:val="center"/>
          </w:tcPr>
          <w:p w:rsidR="00EE56C0" w:rsidRDefault="000F36A1">
            <w:pPr>
              <w:pStyle w:val="afa"/>
            </w:pPr>
            <w:r>
              <w:t>Px</w:t>
            </w:r>
          </w:p>
        </w:tc>
        <w:tc>
          <w:tcPr>
            <w:tcW w:w="397" w:type="pct"/>
            <w:vAlign w:val="center"/>
          </w:tcPr>
          <w:p w:rsidR="00EE56C0" w:rsidRDefault="000F36A1">
            <w:pPr>
              <w:pStyle w:val="afa"/>
            </w:pPr>
            <w:r>
              <w:t>Py</w:t>
            </w:r>
          </w:p>
        </w:tc>
        <w:tc>
          <w:tcPr>
            <w:tcW w:w="389" w:type="pct"/>
            <w:vAlign w:val="center"/>
          </w:tcPr>
          <w:p w:rsidR="00EE56C0" w:rsidRDefault="000F36A1">
            <w:pPr>
              <w:pStyle w:val="afa"/>
            </w:pPr>
            <w:r>
              <w:t>Ho</w:t>
            </w:r>
          </w:p>
        </w:tc>
        <w:tc>
          <w:tcPr>
            <w:tcW w:w="406" w:type="pct"/>
            <w:vAlign w:val="center"/>
          </w:tcPr>
          <w:p w:rsidR="00EE56C0" w:rsidRDefault="000F36A1">
            <w:pPr>
              <w:pStyle w:val="afa"/>
              <w:rPr>
                <w:vertAlign w:val="subscript"/>
              </w:rPr>
            </w:pPr>
            <w:r>
              <w:t>L</w:t>
            </w:r>
            <w:r>
              <w:rPr>
                <w:vertAlign w:val="subscript"/>
              </w:rPr>
              <w:t>L</w:t>
            </w:r>
          </w:p>
        </w:tc>
        <w:tc>
          <w:tcPr>
            <w:tcW w:w="370" w:type="pct"/>
            <w:vAlign w:val="center"/>
          </w:tcPr>
          <w:p w:rsidR="00EE56C0" w:rsidRDefault="000F36A1">
            <w:pPr>
              <w:pStyle w:val="afa"/>
              <w:rPr>
                <w:vertAlign w:val="subscript"/>
              </w:rPr>
            </w:pPr>
            <w:r>
              <w:t>L</w:t>
            </w:r>
            <w:r>
              <w:rPr>
                <w:vertAlign w:val="subscript"/>
              </w:rPr>
              <w:t>W</w:t>
            </w:r>
          </w:p>
        </w:tc>
        <w:tc>
          <w:tcPr>
            <w:tcW w:w="464" w:type="pct"/>
            <w:vAlign w:val="center"/>
          </w:tcPr>
          <w:p w:rsidR="00EE56C0" w:rsidRDefault="000F36A1">
            <w:pPr>
              <w:pStyle w:val="afa"/>
            </w:pPr>
            <w:r>
              <w:t>Arc</w:t>
            </w:r>
          </w:p>
        </w:tc>
        <w:tc>
          <w:tcPr>
            <w:tcW w:w="461" w:type="pct"/>
            <w:vAlign w:val="center"/>
          </w:tcPr>
          <w:p w:rsidR="00EE56C0" w:rsidRDefault="000F36A1">
            <w:pPr>
              <w:pStyle w:val="afa"/>
            </w:pPr>
            <w:r>
              <w:t>H</w:t>
            </w:r>
          </w:p>
        </w:tc>
        <w:tc>
          <w:tcPr>
            <w:tcW w:w="461" w:type="pct"/>
            <w:vAlign w:val="center"/>
          </w:tcPr>
          <w:p w:rsidR="00EE56C0" w:rsidRDefault="000F36A1">
            <w:pPr>
              <w:pStyle w:val="afa"/>
            </w:pPr>
            <w:r>
              <w:t>Hr</w:t>
            </w:r>
          </w:p>
        </w:tc>
        <w:tc>
          <w:tcPr>
            <w:tcW w:w="367" w:type="pct"/>
            <w:vAlign w:val="center"/>
          </w:tcPr>
          <w:p w:rsidR="00EE56C0" w:rsidRDefault="000F36A1">
            <w:pPr>
              <w:pStyle w:val="afa"/>
            </w:pPr>
            <w:r>
              <w:t>Cond</w:t>
            </w:r>
          </w:p>
        </w:tc>
        <w:tc>
          <w:tcPr>
            <w:tcW w:w="456" w:type="pct"/>
            <w:vMerge/>
            <w:tcBorders>
              <w:left w:val="single" w:sz="4" w:space="0" w:color="auto"/>
            </w:tcBorders>
            <w:vAlign w:val="center"/>
          </w:tcPr>
          <w:p w:rsidR="00EE56C0" w:rsidRDefault="00EE56C0">
            <w:pPr>
              <w:pStyle w:val="aff1"/>
              <w:rPr>
                <w:color w:val="auto"/>
              </w:rPr>
            </w:pPr>
          </w:p>
        </w:tc>
      </w:tr>
      <w:tr w:rsidR="00EE56C0">
        <w:trPr>
          <w:trHeight w:val="454"/>
          <w:jc w:val="center"/>
        </w:trPr>
        <w:tc>
          <w:tcPr>
            <w:tcW w:w="463" w:type="pct"/>
            <w:vAlign w:val="center"/>
          </w:tcPr>
          <w:p w:rsidR="00EE56C0" w:rsidRDefault="000F36A1">
            <w:pPr>
              <w:pStyle w:val="afa"/>
            </w:pPr>
            <w:r>
              <w:t>/</w:t>
            </w:r>
          </w:p>
        </w:tc>
        <w:tc>
          <w:tcPr>
            <w:tcW w:w="383" w:type="pct"/>
            <w:vAlign w:val="center"/>
          </w:tcPr>
          <w:p w:rsidR="00EE56C0" w:rsidRDefault="000F36A1">
            <w:pPr>
              <w:pStyle w:val="afa"/>
            </w:pPr>
            <w:r>
              <w:rPr>
                <w:rFonts w:hint="eastAsia"/>
              </w:rPr>
              <w:t>/</w:t>
            </w:r>
          </w:p>
        </w:tc>
        <w:tc>
          <w:tcPr>
            <w:tcW w:w="383" w:type="pct"/>
            <w:vAlign w:val="center"/>
          </w:tcPr>
          <w:p w:rsidR="00EE56C0" w:rsidRDefault="000F36A1">
            <w:pPr>
              <w:pStyle w:val="afa"/>
            </w:pPr>
            <w:r>
              <w:t>m</w:t>
            </w:r>
          </w:p>
        </w:tc>
        <w:tc>
          <w:tcPr>
            <w:tcW w:w="397" w:type="pct"/>
            <w:vAlign w:val="center"/>
          </w:tcPr>
          <w:p w:rsidR="00EE56C0" w:rsidRDefault="000F36A1">
            <w:pPr>
              <w:pStyle w:val="afa"/>
            </w:pPr>
            <w:r>
              <w:t>m</w:t>
            </w:r>
          </w:p>
        </w:tc>
        <w:tc>
          <w:tcPr>
            <w:tcW w:w="389" w:type="pct"/>
            <w:vAlign w:val="center"/>
          </w:tcPr>
          <w:p w:rsidR="00EE56C0" w:rsidRDefault="000F36A1">
            <w:pPr>
              <w:pStyle w:val="afa"/>
            </w:pPr>
            <w:r>
              <w:t>m</w:t>
            </w:r>
          </w:p>
        </w:tc>
        <w:tc>
          <w:tcPr>
            <w:tcW w:w="406" w:type="pct"/>
            <w:vAlign w:val="center"/>
          </w:tcPr>
          <w:p w:rsidR="00EE56C0" w:rsidRDefault="000F36A1">
            <w:pPr>
              <w:pStyle w:val="afa"/>
            </w:pPr>
            <w:r>
              <w:t>m</w:t>
            </w:r>
          </w:p>
        </w:tc>
        <w:tc>
          <w:tcPr>
            <w:tcW w:w="370" w:type="pct"/>
            <w:vAlign w:val="center"/>
          </w:tcPr>
          <w:p w:rsidR="00EE56C0" w:rsidRDefault="000F36A1">
            <w:pPr>
              <w:pStyle w:val="afa"/>
            </w:pPr>
            <w:r>
              <w:t>m</w:t>
            </w:r>
          </w:p>
        </w:tc>
        <w:tc>
          <w:tcPr>
            <w:tcW w:w="464" w:type="pct"/>
            <w:vAlign w:val="center"/>
          </w:tcPr>
          <w:p w:rsidR="00EE56C0" w:rsidRDefault="000F36A1">
            <w:pPr>
              <w:pStyle w:val="afa"/>
            </w:pPr>
            <w:r>
              <w:t>º</w:t>
            </w:r>
          </w:p>
        </w:tc>
        <w:tc>
          <w:tcPr>
            <w:tcW w:w="461" w:type="pct"/>
            <w:vAlign w:val="center"/>
          </w:tcPr>
          <w:p w:rsidR="00EE56C0" w:rsidRDefault="000F36A1">
            <w:pPr>
              <w:pStyle w:val="afa"/>
            </w:pPr>
            <w:r>
              <w:t>m</w:t>
            </w:r>
          </w:p>
        </w:tc>
        <w:tc>
          <w:tcPr>
            <w:tcW w:w="461" w:type="pct"/>
            <w:vAlign w:val="center"/>
          </w:tcPr>
          <w:p w:rsidR="00EE56C0" w:rsidRDefault="000F36A1">
            <w:pPr>
              <w:pStyle w:val="afa"/>
            </w:pPr>
            <w:r>
              <w:t>h</w:t>
            </w:r>
          </w:p>
        </w:tc>
        <w:tc>
          <w:tcPr>
            <w:tcW w:w="367" w:type="pct"/>
            <w:vAlign w:val="center"/>
          </w:tcPr>
          <w:p w:rsidR="00EE56C0" w:rsidRDefault="000F36A1">
            <w:pPr>
              <w:pStyle w:val="afa"/>
            </w:pPr>
            <w:r>
              <w:t>/</w:t>
            </w:r>
          </w:p>
        </w:tc>
        <w:tc>
          <w:tcPr>
            <w:tcW w:w="456" w:type="pct"/>
            <w:tcBorders>
              <w:left w:val="single" w:sz="4" w:space="0" w:color="auto"/>
            </w:tcBorders>
            <w:vAlign w:val="center"/>
          </w:tcPr>
          <w:p w:rsidR="00EE56C0" w:rsidRDefault="000F36A1">
            <w:pPr>
              <w:pStyle w:val="afa"/>
            </w:pPr>
            <w:r>
              <w:rPr>
                <w:rFonts w:hint="eastAsia"/>
              </w:rPr>
              <w:t>kg/h</w:t>
            </w:r>
          </w:p>
        </w:tc>
      </w:tr>
      <w:tr w:rsidR="00EE56C0">
        <w:trPr>
          <w:trHeight w:val="454"/>
          <w:jc w:val="center"/>
        </w:trPr>
        <w:tc>
          <w:tcPr>
            <w:tcW w:w="463" w:type="pct"/>
            <w:vMerge w:val="restart"/>
            <w:vAlign w:val="center"/>
          </w:tcPr>
          <w:p w:rsidR="00EE56C0" w:rsidRDefault="000F36A1">
            <w:pPr>
              <w:pStyle w:val="afa"/>
            </w:pPr>
            <w:r>
              <w:rPr>
                <w:rFonts w:hint="eastAsia"/>
              </w:rPr>
              <w:t>生产车间</w:t>
            </w:r>
          </w:p>
        </w:tc>
        <w:tc>
          <w:tcPr>
            <w:tcW w:w="383" w:type="pct"/>
            <w:vAlign w:val="center"/>
          </w:tcPr>
          <w:p w:rsidR="00EE56C0" w:rsidRDefault="000F36A1">
            <w:pPr>
              <w:pStyle w:val="afa"/>
            </w:pPr>
            <w:r>
              <w:rPr>
                <w:rFonts w:hint="eastAsia"/>
              </w:rPr>
              <w:t>酚</w:t>
            </w:r>
          </w:p>
        </w:tc>
        <w:tc>
          <w:tcPr>
            <w:tcW w:w="383" w:type="pct"/>
            <w:vMerge w:val="restart"/>
            <w:vAlign w:val="center"/>
          </w:tcPr>
          <w:p w:rsidR="00EE56C0" w:rsidRDefault="000F36A1">
            <w:pPr>
              <w:pStyle w:val="afa"/>
            </w:pPr>
            <w:r>
              <w:rPr>
                <w:rFonts w:hint="eastAsia"/>
              </w:rPr>
              <w:t>431</w:t>
            </w:r>
          </w:p>
        </w:tc>
        <w:tc>
          <w:tcPr>
            <w:tcW w:w="397" w:type="pct"/>
            <w:vMerge w:val="restart"/>
            <w:vAlign w:val="center"/>
          </w:tcPr>
          <w:p w:rsidR="00EE56C0" w:rsidRDefault="000F36A1">
            <w:pPr>
              <w:pStyle w:val="afa"/>
            </w:pPr>
            <w:r>
              <w:rPr>
                <w:rFonts w:hint="eastAsia"/>
              </w:rPr>
              <w:t>216</w:t>
            </w:r>
          </w:p>
        </w:tc>
        <w:tc>
          <w:tcPr>
            <w:tcW w:w="389" w:type="pct"/>
            <w:vMerge w:val="restart"/>
            <w:vAlign w:val="center"/>
          </w:tcPr>
          <w:p w:rsidR="00EE56C0" w:rsidRDefault="000F36A1">
            <w:pPr>
              <w:pStyle w:val="afa"/>
            </w:pPr>
            <w:r>
              <w:rPr>
                <w:rFonts w:hint="eastAsia"/>
              </w:rPr>
              <w:t>78</w:t>
            </w:r>
          </w:p>
        </w:tc>
        <w:tc>
          <w:tcPr>
            <w:tcW w:w="406" w:type="pct"/>
            <w:vMerge w:val="restart"/>
            <w:vAlign w:val="center"/>
          </w:tcPr>
          <w:p w:rsidR="00EE56C0" w:rsidRDefault="000F36A1">
            <w:pPr>
              <w:pStyle w:val="afa"/>
            </w:pPr>
            <w:r>
              <w:rPr>
                <w:rFonts w:hint="eastAsia"/>
              </w:rPr>
              <w:t>148</w:t>
            </w:r>
          </w:p>
        </w:tc>
        <w:tc>
          <w:tcPr>
            <w:tcW w:w="370" w:type="pct"/>
            <w:vMerge w:val="restart"/>
            <w:vAlign w:val="center"/>
          </w:tcPr>
          <w:p w:rsidR="00EE56C0" w:rsidRDefault="000F36A1">
            <w:pPr>
              <w:pStyle w:val="afa"/>
            </w:pPr>
            <w:r>
              <w:rPr>
                <w:rFonts w:hint="eastAsia"/>
              </w:rPr>
              <w:t>257</w:t>
            </w:r>
          </w:p>
        </w:tc>
        <w:tc>
          <w:tcPr>
            <w:tcW w:w="464" w:type="pct"/>
            <w:vMerge w:val="restart"/>
            <w:vAlign w:val="center"/>
          </w:tcPr>
          <w:p w:rsidR="00EE56C0" w:rsidRDefault="000F36A1">
            <w:pPr>
              <w:pStyle w:val="afa"/>
            </w:pPr>
            <w:r>
              <w:rPr>
                <w:rFonts w:hint="eastAsia"/>
              </w:rPr>
              <w:t>0</w:t>
            </w:r>
          </w:p>
        </w:tc>
        <w:tc>
          <w:tcPr>
            <w:tcW w:w="461" w:type="pct"/>
            <w:vMerge w:val="restart"/>
            <w:vAlign w:val="center"/>
          </w:tcPr>
          <w:p w:rsidR="00EE56C0" w:rsidRDefault="000F36A1">
            <w:pPr>
              <w:pStyle w:val="afa"/>
            </w:pPr>
            <w:r>
              <w:rPr>
                <w:rFonts w:hint="eastAsia"/>
              </w:rPr>
              <w:t>22.5</w:t>
            </w:r>
          </w:p>
        </w:tc>
        <w:tc>
          <w:tcPr>
            <w:tcW w:w="461" w:type="pct"/>
            <w:vMerge w:val="restart"/>
            <w:vAlign w:val="center"/>
          </w:tcPr>
          <w:p w:rsidR="00EE56C0" w:rsidRDefault="000F36A1">
            <w:pPr>
              <w:pStyle w:val="afa"/>
            </w:pPr>
            <w:r>
              <w:rPr>
                <w:rFonts w:hint="eastAsia"/>
              </w:rPr>
              <w:t>7200</w:t>
            </w:r>
          </w:p>
        </w:tc>
        <w:tc>
          <w:tcPr>
            <w:tcW w:w="367" w:type="pct"/>
            <w:vMerge w:val="restart"/>
            <w:vAlign w:val="center"/>
          </w:tcPr>
          <w:p w:rsidR="00EE56C0" w:rsidRDefault="000F36A1">
            <w:pPr>
              <w:pStyle w:val="afa"/>
            </w:pPr>
            <w:r>
              <w:rPr>
                <w:rFonts w:hint="eastAsia"/>
              </w:rPr>
              <w:t>正常</w:t>
            </w:r>
          </w:p>
        </w:tc>
        <w:tc>
          <w:tcPr>
            <w:tcW w:w="456" w:type="pct"/>
            <w:tcBorders>
              <w:left w:val="single" w:sz="4" w:space="0" w:color="auto"/>
            </w:tcBorders>
            <w:vAlign w:val="center"/>
          </w:tcPr>
          <w:p w:rsidR="00EE56C0" w:rsidRDefault="000F36A1">
            <w:pPr>
              <w:pStyle w:val="afa"/>
              <w:rPr>
                <w:rFonts w:ascii="宋体" w:eastAsia="宋体" w:hAnsi="宋体" w:cs="宋体"/>
                <w:u w:val="single"/>
              </w:rPr>
            </w:pPr>
            <w:r>
              <w:rPr>
                <w:rFonts w:hint="eastAsia"/>
                <w:u w:val="single"/>
              </w:rPr>
              <w:t xml:space="preserve">0.0330 </w:t>
            </w:r>
          </w:p>
        </w:tc>
      </w:tr>
      <w:tr w:rsidR="00EE56C0">
        <w:trPr>
          <w:trHeight w:val="454"/>
          <w:jc w:val="center"/>
        </w:trPr>
        <w:tc>
          <w:tcPr>
            <w:tcW w:w="463" w:type="pct"/>
            <w:vMerge/>
            <w:vAlign w:val="center"/>
          </w:tcPr>
          <w:p w:rsidR="00EE56C0" w:rsidRDefault="00EE56C0">
            <w:pPr>
              <w:pStyle w:val="afa"/>
            </w:pPr>
          </w:p>
        </w:tc>
        <w:tc>
          <w:tcPr>
            <w:tcW w:w="383" w:type="pct"/>
            <w:vAlign w:val="center"/>
          </w:tcPr>
          <w:p w:rsidR="00EE56C0" w:rsidRDefault="000F36A1">
            <w:pPr>
              <w:pStyle w:val="afa"/>
            </w:pPr>
            <w:r>
              <w:rPr>
                <w:rFonts w:hint="eastAsia"/>
              </w:rPr>
              <w:t>非甲烷总烃</w:t>
            </w:r>
          </w:p>
        </w:tc>
        <w:tc>
          <w:tcPr>
            <w:tcW w:w="383" w:type="pct"/>
            <w:vMerge/>
            <w:vAlign w:val="center"/>
          </w:tcPr>
          <w:p w:rsidR="00EE56C0" w:rsidRDefault="00EE56C0">
            <w:pPr>
              <w:pStyle w:val="afa"/>
            </w:pPr>
          </w:p>
        </w:tc>
        <w:tc>
          <w:tcPr>
            <w:tcW w:w="397" w:type="pct"/>
            <w:vMerge/>
            <w:vAlign w:val="center"/>
          </w:tcPr>
          <w:p w:rsidR="00EE56C0" w:rsidRDefault="00EE56C0">
            <w:pPr>
              <w:pStyle w:val="afa"/>
            </w:pPr>
          </w:p>
        </w:tc>
        <w:tc>
          <w:tcPr>
            <w:tcW w:w="389" w:type="pct"/>
            <w:vMerge/>
            <w:vAlign w:val="center"/>
          </w:tcPr>
          <w:p w:rsidR="00EE56C0" w:rsidRDefault="00EE56C0">
            <w:pPr>
              <w:pStyle w:val="afa"/>
            </w:pPr>
          </w:p>
        </w:tc>
        <w:tc>
          <w:tcPr>
            <w:tcW w:w="406" w:type="pct"/>
            <w:vMerge/>
            <w:vAlign w:val="center"/>
          </w:tcPr>
          <w:p w:rsidR="00EE56C0" w:rsidRDefault="00EE56C0">
            <w:pPr>
              <w:pStyle w:val="afa"/>
            </w:pPr>
          </w:p>
        </w:tc>
        <w:tc>
          <w:tcPr>
            <w:tcW w:w="370" w:type="pct"/>
            <w:vMerge/>
            <w:vAlign w:val="center"/>
          </w:tcPr>
          <w:p w:rsidR="00EE56C0" w:rsidRDefault="00EE56C0">
            <w:pPr>
              <w:pStyle w:val="afa"/>
            </w:pPr>
          </w:p>
        </w:tc>
        <w:tc>
          <w:tcPr>
            <w:tcW w:w="464" w:type="pct"/>
            <w:vMerge/>
            <w:vAlign w:val="center"/>
          </w:tcPr>
          <w:p w:rsidR="00EE56C0" w:rsidRDefault="00EE56C0">
            <w:pPr>
              <w:pStyle w:val="afa"/>
            </w:pPr>
          </w:p>
        </w:tc>
        <w:tc>
          <w:tcPr>
            <w:tcW w:w="461" w:type="pct"/>
            <w:vMerge/>
            <w:vAlign w:val="center"/>
          </w:tcPr>
          <w:p w:rsidR="00EE56C0" w:rsidRDefault="00EE56C0">
            <w:pPr>
              <w:pStyle w:val="afa"/>
            </w:pPr>
          </w:p>
        </w:tc>
        <w:tc>
          <w:tcPr>
            <w:tcW w:w="461" w:type="pct"/>
            <w:vMerge/>
            <w:vAlign w:val="center"/>
          </w:tcPr>
          <w:p w:rsidR="00EE56C0" w:rsidRDefault="00EE56C0">
            <w:pPr>
              <w:pStyle w:val="afa"/>
            </w:pPr>
          </w:p>
        </w:tc>
        <w:tc>
          <w:tcPr>
            <w:tcW w:w="367" w:type="pct"/>
            <w:vMerge/>
            <w:vAlign w:val="center"/>
          </w:tcPr>
          <w:p w:rsidR="00EE56C0" w:rsidRDefault="00EE56C0">
            <w:pPr>
              <w:pStyle w:val="afa"/>
            </w:pPr>
          </w:p>
        </w:tc>
        <w:tc>
          <w:tcPr>
            <w:tcW w:w="456" w:type="pct"/>
            <w:tcBorders>
              <w:left w:val="single" w:sz="4" w:space="0" w:color="auto"/>
            </w:tcBorders>
            <w:vAlign w:val="center"/>
          </w:tcPr>
          <w:p w:rsidR="00EE56C0" w:rsidRDefault="000F36A1">
            <w:pPr>
              <w:pStyle w:val="afa"/>
              <w:rPr>
                <w:rFonts w:ascii="宋体" w:eastAsia="宋体" w:hAnsi="宋体" w:cs="宋体"/>
                <w:u w:val="single"/>
              </w:rPr>
            </w:pPr>
            <w:r>
              <w:rPr>
                <w:rFonts w:hint="eastAsia"/>
                <w:u w:val="single"/>
              </w:rPr>
              <w:t xml:space="preserve">0.0466 </w:t>
            </w:r>
          </w:p>
        </w:tc>
      </w:tr>
      <w:tr w:rsidR="00EE56C0">
        <w:trPr>
          <w:trHeight w:val="454"/>
          <w:jc w:val="center"/>
        </w:trPr>
        <w:tc>
          <w:tcPr>
            <w:tcW w:w="463" w:type="pct"/>
            <w:vMerge/>
            <w:vAlign w:val="center"/>
          </w:tcPr>
          <w:p w:rsidR="00EE56C0" w:rsidRDefault="00EE56C0">
            <w:pPr>
              <w:pStyle w:val="afa"/>
            </w:pPr>
          </w:p>
        </w:tc>
        <w:tc>
          <w:tcPr>
            <w:tcW w:w="383" w:type="pct"/>
            <w:vAlign w:val="center"/>
          </w:tcPr>
          <w:p w:rsidR="00EE56C0" w:rsidRDefault="000F36A1">
            <w:pPr>
              <w:pStyle w:val="afa"/>
            </w:pPr>
            <w:r>
              <w:rPr>
                <w:rFonts w:hint="eastAsia"/>
              </w:rPr>
              <w:t>二甲苯</w:t>
            </w:r>
          </w:p>
        </w:tc>
        <w:tc>
          <w:tcPr>
            <w:tcW w:w="383" w:type="pct"/>
            <w:vMerge/>
            <w:vAlign w:val="center"/>
          </w:tcPr>
          <w:p w:rsidR="00EE56C0" w:rsidRDefault="00EE56C0">
            <w:pPr>
              <w:pStyle w:val="afa"/>
            </w:pPr>
          </w:p>
        </w:tc>
        <w:tc>
          <w:tcPr>
            <w:tcW w:w="397" w:type="pct"/>
            <w:vMerge/>
            <w:vAlign w:val="center"/>
          </w:tcPr>
          <w:p w:rsidR="00EE56C0" w:rsidRDefault="00EE56C0">
            <w:pPr>
              <w:pStyle w:val="afa"/>
            </w:pPr>
          </w:p>
        </w:tc>
        <w:tc>
          <w:tcPr>
            <w:tcW w:w="389" w:type="pct"/>
            <w:vMerge/>
            <w:vAlign w:val="center"/>
          </w:tcPr>
          <w:p w:rsidR="00EE56C0" w:rsidRDefault="00EE56C0">
            <w:pPr>
              <w:pStyle w:val="afa"/>
            </w:pPr>
          </w:p>
        </w:tc>
        <w:tc>
          <w:tcPr>
            <w:tcW w:w="406" w:type="pct"/>
            <w:vMerge/>
            <w:vAlign w:val="center"/>
          </w:tcPr>
          <w:p w:rsidR="00EE56C0" w:rsidRDefault="00EE56C0">
            <w:pPr>
              <w:pStyle w:val="afa"/>
            </w:pPr>
          </w:p>
        </w:tc>
        <w:tc>
          <w:tcPr>
            <w:tcW w:w="370" w:type="pct"/>
            <w:vMerge/>
            <w:vAlign w:val="center"/>
          </w:tcPr>
          <w:p w:rsidR="00EE56C0" w:rsidRDefault="00EE56C0">
            <w:pPr>
              <w:pStyle w:val="afa"/>
            </w:pPr>
          </w:p>
        </w:tc>
        <w:tc>
          <w:tcPr>
            <w:tcW w:w="464" w:type="pct"/>
            <w:vMerge/>
            <w:vAlign w:val="center"/>
          </w:tcPr>
          <w:p w:rsidR="00EE56C0" w:rsidRDefault="00EE56C0">
            <w:pPr>
              <w:pStyle w:val="afa"/>
            </w:pPr>
          </w:p>
        </w:tc>
        <w:tc>
          <w:tcPr>
            <w:tcW w:w="461" w:type="pct"/>
            <w:vMerge/>
            <w:vAlign w:val="center"/>
          </w:tcPr>
          <w:p w:rsidR="00EE56C0" w:rsidRDefault="00EE56C0">
            <w:pPr>
              <w:pStyle w:val="afa"/>
            </w:pPr>
          </w:p>
        </w:tc>
        <w:tc>
          <w:tcPr>
            <w:tcW w:w="461" w:type="pct"/>
            <w:vMerge/>
            <w:vAlign w:val="center"/>
          </w:tcPr>
          <w:p w:rsidR="00EE56C0" w:rsidRDefault="00EE56C0">
            <w:pPr>
              <w:pStyle w:val="afa"/>
            </w:pPr>
          </w:p>
        </w:tc>
        <w:tc>
          <w:tcPr>
            <w:tcW w:w="367" w:type="pct"/>
            <w:vMerge/>
            <w:vAlign w:val="center"/>
          </w:tcPr>
          <w:p w:rsidR="00EE56C0" w:rsidRDefault="00EE56C0">
            <w:pPr>
              <w:pStyle w:val="afa"/>
            </w:pPr>
          </w:p>
        </w:tc>
        <w:tc>
          <w:tcPr>
            <w:tcW w:w="456" w:type="pct"/>
            <w:tcBorders>
              <w:left w:val="single" w:sz="4" w:space="0" w:color="auto"/>
            </w:tcBorders>
            <w:vAlign w:val="center"/>
          </w:tcPr>
          <w:p w:rsidR="00EE56C0" w:rsidRDefault="000F36A1">
            <w:pPr>
              <w:pStyle w:val="afa"/>
              <w:rPr>
                <w:rFonts w:ascii="宋体" w:eastAsia="宋体" w:hAnsi="宋体" w:cs="宋体"/>
                <w:u w:val="single"/>
              </w:rPr>
            </w:pPr>
            <w:r>
              <w:rPr>
                <w:rFonts w:hint="eastAsia"/>
                <w:u w:val="single"/>
              </w:rPr>
              <w:t xml:space="preserve">-0.0023 </w:t>
            </w:r>
          </w:p>
        </w:tc>
      </w:tr>
      <w:tr w:rsidR="00EE56C0">
        <w:trPr>
          <w:trHeight w:val="454"/>
          <w:jc w:val="center"/>
        </w:trPr>
        <w:tc>
          <w:tcPr>
            <w:tcW w:w="463" w:type="pct"/>
            <w:vMerge/>
            <w:vAlign w:val="center"/>
          </w:tcPr>
          <w:p w:rsidR="00EE56C0" w:rsidRDefault="00EE56C0">
            <w:pPr>
              <w:pStyle w:val="afa"/>
            </w:pPr>
          </w:p>
        </w:tc>
        <w:tc>
          <w:tcPr>
            <w:tcW w:w="383" w:type="pct"/>
            <w:vAlign w:val="center"/>
          </w:tcPr>
          <w:p w:rsidR="00EE56C0" w:rsidRDefault="000F36A1">
            <w:pPr>
              <w:pStyle w:val="afa"/>
            </w:pPr>
            <w:r>
              <w:rPr>
                <w:rFonts w:hint="eastAsia"/>
              </w:rPr>
              <w:t>甲苯</w:t>
            </w:r>
          </w:p>
        </w:tc>
        <w:tc>
          <w:tcPr>
            <w:tcW w:w="383" w:type="pct"/>
            <w:vMerge/>
            <w:vAlign w:val="center"/>
          </w:tcPr>
          <w:p w:rsidR="00EE56C0" w:rsidRDefault="00EE56C0">
            <w:pPr>
              <w:pStyle w:val="afa"/>
            </w:pPr>
          </w:p>
        </w:tc>
        <w:tc>
          <w:tcPr>
            <w:tcW w:w="397" w:type="pct"/>
            <w:vMerge/>
            <w:vAlign w:val="center"/>
          </w:tcPr>
          <w:p w:rsidR="00EE56C0" w:rsidRDefault="00EE56C0">
            <w:pPr>
              <w:pStyle w:val="afa"/>
            </w:pPr>
          </w:p>
        </w:tc>
        <w:tc>
          <w:tcPr>
            <w:tcW w:w="389" w:type="pct"/>
            <w:vMerge/>
            <w:vAlign w:val="center"/>
          </w:tcPr>
          <w:p w:rsidR="00EE56C0" w:rsidRDefault="00EE56C0">
            <w:pPr>
              <w:pStyle w:val="afa"/>
            </w:pPr>
          </w:p>
        </w:tc>
        <w:tc>
          <w:tcPr>
            <w:tcW w:w="406" w:type="pct"/>
            <w:vMerge/>
            <w:vAlign w:val="center"/>
          </w:tcPr>
          <w:p w:rsidR="00EE56C0" w:rsidRDefault="00EE56C0">
            <w:pPr>
              <w:pStyle w:val="afa"/>
            </w:pPr>
          </w:p>
        </w:tc>
        <w:tc>
          <w:tcPr>
            <w:tcW w:w="370" w:type="pct"/>
            <w:vMerge/>
            <w:vAlign w:val="center"/>
          </w:tcPr>
          <w:p w:rsidR="00EE56C0" w:rsidRDefault="00EE56C0">
            <w:pPr>
              <w:pStyle w:val="afa"/>
            </w:pPr>
          </w:p>
        </w:tc>
        <w:tc>
          <w:tcPr>
            <w:tcW w:w="464" w:type="pct"/>
            <w:vMerge/>
            <w:vAlign w:val="center"/>
          </w:tcPr>
          <w:p w:rsidR="00EE56C0" w:rsidRDefault="00EE56C0">
            <w:pPr>
              <w:pStyle w:val="afa"/>
            </w:pPr>
          </w:p>
        </w:tc>
        <w:tc>
          <w:tcPr>
            <w:tcW w:w="461" w:type="pct"/>
            <w:vMerge/>
            <w:vAlign w:val="center"/>
          </w:tcPr>
          <w:p w:rsidR="00EE56C0" w:rsidRDefault="00EE56C0">
            <w:pPr>
              <w:pStyle w:val="afa"/>
            </w:pPr>
          </w:p>
        </w:tc>
        <w:tc>
          <w:tcPr>
            <w:tcW w:w="461" w:type="pct"/>
            <w:vMerge/>
            <w:vAlign w:val="center"/>
          </w:tcPr>
          <w:p w:rsidR="00EE56C0" w:rsidRDefault="00EE56C0">
            <w:pPr>
              <w:pStyle w:val="afa"/>
            </w:pPr>
          </w:p>
        </w:tc>
        <w:tc>
          <w:tcPr>
            <w:tcW w:w="367" w:type="pct"/>
            <w:vMerge/>
            <w:vAlign w:val="center"/>
          </w:tcPr>
          <w:p w:rsidR="00EE56C0" w:rsidRDefault="00EE56C0">
            <w:pPr>
              <w:pStyle w:val="afa"/>
            </w:pPr>
          </w:p>
        </w:tc>
        <w:tc>
          <w:tcPr>
            <w:tcW w:w="456" w:type="pct"/>
            <w:tcBorders>
              <w:left w:val="single" w:sz="4" w:space="0" w:color="auto"/>
            </w:tcBorders>
            <w:vAlign w:val="center"/>
          </w:tcPr>
          <w:p w:rsidR="00EE56C0" w:rsidRDefault="000F36A1">
            <w:pPr>
              <w:pStyle w:val="afa"/>
              <w:rPr>
                <w:rFonts w:ascii="宋体" w:eastAsia="宋体" w:hAnsi="宋体" w:cs="宋体"/>
                <w:u w:val="single"/>
              </w:rPr>
            </w:pPr>
            <w:r>
              <w:rPr>
                <w:rFonts w:hint="eastAsia"/>
                <w:u w:val="single"/>
              </w:rPr>
              <w:t xml:space="preserve">-0.0045 </w:t>
            </w:r>
          </w:p>
        </w:tc>
      </w:tr>
      <w:tr w:rsidR="00EE56C0">
        <w:trPr>
          <w:trHeight w:val="454"/>
          <w:jc w:val="center"/>
        </w:trPr>
        <w:tc>
          <w:tcPr>
            <w:tcW w:w="463" w:type="pct"/>
            <w:vMerge/>
            <w:vAlign w:val="center"/>
          </w:tcPr>
          <w:p w:rsidR="00EE56C0" w:rsidRDefault="00EE56C0">
            <w:pPr>
              <w:pStyle w:val="afa"/>
            </w:pPr>
          </w:p>
        </w:tc>
        <w:tc>
          <w:tcPr>
            <w:tcW w:w="383" w:type="pct"/>
            <w:vAlign w:val="center"/>
          </w:tcPr>
          <w:p w:rsidR="00EE56C0" w:rsidRDefault="000F36A1">
            <w:pPr>
              <w:pStyle w:val="afa"/>
            </w:pPr>
            <w:r>
              <w:rPr>
                <w:rFonts w:hint="eastAsia"/>
              </w:rPr>
              <w:t>苯</w:t>
            </w:r>
          </w:p>
        </w:tc>
        <w:tc>
          <w:tcPr>
            <w:tcW w:w="383" w:type="pct"/>
            <w:vMerge/>
            <w:vAlign w:val="center"/>
          </w:tcPr>
          <w:p w:rsidR="00EE56C0" w:rsidRDefault="00EE56C0">
            <w:pPr>
              <w:pStyle w:val="afa"/>
            </w:pPr>
          </w:p>
        </w:tc>
        <w:tc>
          <w:tcPr>
            <w:tcW w:w="397" w:type="pct"/>
            <w:vMerge/>
            <w:vAlign w:val="center"/>
          </w:tcPr>
          <w:p w:rsidR="00EE56C0" w:rsidRDefault="00EE56C0">
            <w:pPr>
              <w:pStyle w:val="afa"/>
            </w:pPr>
          </w:p>
        </w:tc>
        <w:tc>
          <w:tcPr>
            <w:tcW w:w="389" w:type="pct"/>
            <w:vMerge/>
            <w:vAlign w:val="center"/>
          </w:tcPr>
          <w:p w:rsidR="00EE56C0" w:rsidRDefault="00EE56C0">
            <w:pPr>
              <w:pStyle w:val="afa"/>
            </w:pPr>
          </w:p>
        </w:tc>
        <w:tc>
          <w:tcPr>
            <w:tcW w:w="406" w:type="pct"/>
            <w:vMerge/>
            <w:vAlign w:val="center"/>
          </w:tcPr>
          <w:p w:rsidR="00EE56C0" w:rsidRDefault="00EE56C0">
            <w:pPr>
              <w:pStyle w:val="afa"/>
            </w:pPr>
          </w:p>
        </w:tc>
        <w:tc>
          <w:tcPr>
            <w:tcW w:w="370" w:type="pct"/>
            <w:vMerge/>
            <w:vAlign w:val="center"/>
          </w:tcPr>
          <w:p w:rsidR="00EE56C0" w:rsidRDefault="00EE56C0">
            <w:pPr>
              <w:pStyle w:val="afa"/>
            </w:pPr>
          </w:p>
        </w:tc>
        <w:tc>
          <w:tcPr>
            <w:tcW w:w="464" w:type="pct"/>
            <w:vMerge/>
            <w:vAlign w:val="center"/>
          </w:tcPr>
          <w:p w:rsidR="00EE56C0" w:rsidRDefault="00EE56C0">
            <w:pPr>
              <w:pStyle w:val="afa"/>
            </w:pPr>
          </w:p>
        </w:tc>
        <w:tc>
          <w:tcPr>
            <w:tcW w:w="461" w:type="pct"/>
            <w:vMerge/>
            <w:vAlign w:val="center"/>
          </w:tcPr>
          <w:p w:rsidR="00EE56C0" w:rsidRDefault="00EE56C0">
            <w:pPr>
              <w:pStyle w:val="afa"/>
            </w:pPr>
          </w:p>
        </w:tc>
        <w:tc>
          <w:tcPr>
            <w:tcW w:w="461" w:type="pct"/>
            <w:vMerge/>
            <w:vAlign w:val="center"/>
          </w:tcPr>
          <w:p w:rsidR="00EE56C0" w:rsidRDefault="00EE56C0">
            <w:pPr>
              <w:pStyle w:val="afa"/>
            </w:pPr>
          </w:p>
        </w:tc>
        <w:tc>
          <w:tcPr>
            <w:tcW w:w="367" w:type="pct"/>
            <w:vMerge/>
            <w:vAlign w:val="center"/>
          </w:tcPr>
          <w:p w:rsidR="00EE56C0" w:rsidRDefault="00EE56C0">
            <w:pPr>
              <w:pStyle w:val="afa"/>
            </w:pPr>
          </w:p>
        </w:tc>
        <w:tc>
          <w:tcPr>
            <w:tcW w:w="456" w:type="pct"/>
            <w:tcBorders>
              <w:left w:val="single" w:sz="4" w:space="0" w:color="auto"/>
            </w:tcBorders>
            <w:vAlign w:val="center"/>
          </w:tcPr>
          <w:p w:rsidR="00EE56C0" w:rsidRDefault="000F36A1">
            <w:pPr>
              <w:pStyle w:val="afa"/>
              <w:rPr>
                <w:rFonts w:ascii="宋体" w:eastAsia="宋体" w:hAnsi="宋体" w:cs="宋体"/>
                <w:u w:val="single"/>
              </w:rPr>
            </w:pPr>
            <w:r>
              <w:rPr>
                <w:rFonts w:hint="eastAsia"/>
                <w:u w:val="single"/>
              </w:rPr>
              <w:t xml:space="preserve">0.0000 </w:t>
            </w:r>
          </w:p>
        </w:tc>
      </w:tr>
    </w:tbl>
    <w:p w:rsidR="00EE56C0" w:rsidRDefault="000F36A1">
      <w:pPr>
        <w:ind w:firstLine="482"/>
        <w:rPr>
          <w:b/>
        </w:rPr>
      </w:pPr>
      <w:r>
        <w:rPr>
          <w:rFonts w:hint="eastAsia"/>
          <w:b/>
        </w:rPr>
        <w:t>（</w:t>
      </w:r>
      <w:r>
        <w:rPr>
          <w:rFonts w:hint="eastAsia"/>
          <w:b/>
        </w:rPr>
        <w:t>3</w:t>
      </w:r>
      <w:r>
        <w:rPr>
          <w:rFonts w:hint="eastAsia"/>
          <w:b/>
        </w:rPr>
        <w:t>）区域在建污染源参数</w:t>
      </w:r>
      <w:r>
        <w:rPr>
          <w:rFonts w:hint="eastAsia"/>
          <w:b/>
        </w:rPr>
        <w:t xml:space="preserve"> </w:t>
      </w:r>
    </w:p>
    <w:p w:rsidR="00EE56C0" w:rsidRDefault="000F36A1">
      <w:pPr>
        <w:ind w:firstLine="480"/>
      </w:pPr>
      <w:r>
        <w:rPr>
          <w:rFonts w:hint="eastAsia"/>
        </w:rPr>
        <w:t>经调查，评价范围内在建工程主要有</w:t>
      </w:r>
      <w:r>
        <w:rPr>
          <w:szCs w:val="21"/>
        </w:rPr>
        <w:t>新乡县鸿森纸业有限公司</w:t>
      </w:r>
      <w:r>
        <w:rPr>
          <w:rFonts w:hint="eastAsia"/>
        </w:rPr>
        <w:t>“</w:t>
      </w:r>
      <w:r>
        <w:rPr>
          <w:szCs w:val="21"/>
        </w:rPr>
        <w:t>年产</w:t>
      </w:r>
      <w:r>
        <w:rPr>
          <w:szCs w:val="21"/>
        </w:rPr>
        <w:t>1500</w:t>
      </w:r>
      <w:r>
        <w:rPr>
          <w:szCs w:val="21"/>
        </w:rPr>
        <w:t>吨</w:t>
      </w:r>
      <w:r>
        <w:rPr>
          <w:szCs w:val="21"/>
        </w:rPr>
        <w:t>EPE</w:t>
      </w:r>
      <w:r>
        <w:rPr>
          <w:szCs w:val="21"/>
        </w:rPr>
        <w:t>包装材料项目</w:t>
      </w:r>
      <w:r>
        <w:rPr>
          <w:rFonts w:hint="eastAsia"/>
        </w:rPr>
        <w:t>”，区域在建点源</w:t>
      </w:r>
      <w:r>
        <w:t>参数</w:t>
      </w:r>
      <w:r>
        <w:rPr>
          <w:rFonts w:hint="eastAsia"/>
        </w:rPr>
        <w:t>见下表：</w:t>
      </w:r>
    </w:p>
    <w:p w:rsidR="00EE56C0" w:rsidRDefault="000F36A1">
      <w:pPr>
        <w:pStyle w:val="afd"/>
        <w:spacing w:before="120" w:after="120"/>
        <w:ind w:firstLine="482"/>
      </w:pPr>
      <w:r>
        <w:t>表</w:t>
      </w:r>
      <w:r>
        <w:rPr>
          <w:rFonts w:hint="eastAsia"/>
        </w:rPr>
        <w:t>5</w:t>
      </w:r>
      <w:r>
        <w:t>-</w:t>
      </w:r>
      <w:r>
        <w:rPr>
          <w:rFonts w:hint="eastAsia"/>
        </w:rPr>
        <w:t>14</w:t>
      </w:r>
      <w:r>
        <w:t xml:space="preserve"> </w:t>
      </w:r>
      <w:r>
        <w:t>项目</w:t>
      </w:r>
      <w:r>
        <w:rPr>
          <w:rFonts w:hint="eastAsia"/>
        </w:rPr>
        <w:t>区域在建点源</w:t>
      </w:r>
      <w:r>
        <w:t>参数表</w:t>
      </w:r>
    </w:p>
    <w:tbl>
      <w:tblPr>
        <w:tblW w:w="5363"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0" w:type="dxa"/>
          <w:right w:w="0" w:type="dxa"/>
        </w:tblCellMar>
        <w:tblLook w:val="04A0"/>
      </w:tblPr>
      <w:tblGrid>
        <w:gridCol w:w="844"/>
        <w:gridCol w:w="563"/>
        <w:gridCol w:w="563"/>
        <w:gridCol w:w="524"/>
        <w:gridCol w:w="770"/>
        <w:gridCol w:w="731"/>
        <w:gridCol w:w="568"/>
        <w:gridCol w:w="567"/>
        <w:gridCol w:w="568"/>
        <w:gridCol w:w="710"/>
        <w:gridCol w:w="710"/>
        <w:gridCol w:w="710"/>
        <w:gridCol w:w="1110"/>
      </w:tblGrid>
      <w:tr w:rsidR="00EE56C0">
        <w:trPr>
          <w:trHeight w:val="454"/>
          <w:tblHeader/>
          <w:jc w:val="center"/>
        </w:trPr>
        <w:tc>
          <w:tcPr>
            <w:tcW w:w="472" w:type="pct"/>
            <w:vAlign w:val="center"/>
          </w:tcPr>
          <w:p w:rsidR="00EE56C0" w:rsidRDefault="000F36A1">
            <w:pPr>
              <w:pStyle w:val="aff1"/>
            </w:pPr>
            <w:r>
              <w:t>点源</w:t>
            </w:r>
          </w:p>
          <w:p w:rsidR="00EE56C0" w:rsidRDefault="000F36A1">
            <w:pPr>
              <w:pStyle w:val="aff1"/>
            </w:pPr>
            <w:r>
              <w:t>名称</w:t>
            </w:r>
          </w:p>
        </w:tc>
        <w:tc>
          <w:tcPr>
            <w:tcW w:w="315" w:type="pct"/>
            <w:vAlign w:val="center"/>
          </w:tcPr>
          <w:p w:rsidR="00EE56C0" w:rsidRDefault="000F36A1">
            <w:pPr>
              <w:pStyle w:val="aff1"/>
            </w:pPr>
            <w:r>
              <w:rPr>
                <w:rFonts w:hint="eastAsia"/>
                <w:color w:val="auto"/>
              </w:rPr>
              <w:t>评价因子</w:t>
            </w:r>
          </w:p>
        </w:tc>
        <w:tc>
          <w:tcPr>
            <w:tcW w:w="315" w:type="pct"/>
            <w:vAlign w:val="center"/>
          </w:tcPr>
          <w:p w:rsidR="00EE56C0" w:rsidRDefault="000F36A1">
            <w:pPr>
              <w:pStyle w:val="aff1"/>
            </w:pPr>
            <w:r>
              <w:t>X</w:t>
            </w:r>
          </w:p>
          <w:p w:rsidR="00EE56C0" w:rsidRDefault="000F36A1">
            <w:pPr>
              <w:pStyle w:val="aff1"/>
            </w:pPr>
            <w:r>
              <w:t>坐标</w:t>
            </w:r>
          </w:p>
        </w:tc>
        <w:tc>
          <w:tcPr>
            <w:tcW w:w="293" w:type="pct"/>
            <w:vAlign w:val="center"/>
          </w:tcPr>
          <w:p w:rsidR="00EE56C0" w:rsidRDefault="000F36A1">
            <w:pPr>
              <w:pStyle w:val="aff1"/>
            </w:pPr>
            <w:r>
              <w:t>Y</w:t>
            </w:r>
          </w:p>
          <w:p w:rsidR="00EE56C0" w:rsidRDefault="000F36A1">
            <w:pPr>
              <w:pStyle w:val="aff1"/>
            </w:pPr>
            <w:r>
              <w:t>坐标</w:t>
            </w:r>
          </w:p>
        </w:tc>
        <w:tc>
          <w:tcPr>
            <w:tcW w:w="431" w:type="pct"/>
            <w:vAlign w:val="center"/>
          </w:tcPr>
          <w:p w:rsidR="00EE56C0" w:rsidRDefault="000F36A1">
            <w:pPr>
              <w:pStyle w:val="aff1"/>
            </w:pPr>
            <w:r>
              <w:t>排气筒底部海拔高度</w:t>
            </w:r>
          </w:p>
        </w:tc>
        <w:tc>
          <w:tcPr>
            <w:tcW w:w="409" w:type="pct"/>
            <w:vAlign w:val="center"/>
          </w:tcPr>
          <w:p w:rsidR="00EE56C0" w:rsidRDefault="000F36A1">
            <w:pPr>
              <w:pStyle w:val="aff1"/>
            </w:pPr>
            <w:r>
              <w:t>排气筒高度</w:t>
            </w:r>
          </w:p>
        </w:tc>
        <w:tc>
          <w:tcPr>
            <w:tcW w:w="318" w:type="pct"/>
            <w:vAlign w:val="center"/>
          </w:tcPr>
          <w:p w:rsidR="00EE56C0" w:rsidRDefault="000F36A1">
            <w:pPr>
              <w:pStyle w:val="aff1"/>
            </w:pPr>
            <w:r>
              <w:t>排气筒内径</w:t>
            </w:r>
          </w:p>
        </w:tc>
        <w:tc>
          <w:tcPr>
            <w:tcW w:w="317" w:type="pct"/>
            <w:vAlign w:val="center"/>
          </w:tcPr>
          <w:p w:rsidR="00EE56C0" w:rsidRDefault="000F36A1">
            <w:pPr>
              <w:pStyle w:val="aff1"/>
            </w:pPr>
            <w:r>
              <w:t>烟气</w:t>
            </w:r>
          </w:p>
          <w:p w:rsidR="00EE56C0" w:rsidRDefault="000F36A1">
            <w:pPr>
              <w:pStyle w:val="aff1"/>
            </w:pPr>
            <w:r>
              <w:t>流量</w:t>
            </w:r>
          </w:p>
        </w:tc>
        <w:tc>
          <w:tcPr>
            <w:tcW w:w="318" w:type="pct"/>
            <w:vAlign w:val="center"/>
          </w:tcPr>
          <w:p w:rsidR="00EE56C0" w:rsidRDefault="000F36A1">
            <w:pPr>
              <w:pStyle w:val="aff1"/>
            </w:pPr>
            <w:r>
              <w:rPr>
                <w:rFonts w:hint="eastAsia"/>
              </w:rPr>
              <w:t>烟气流速</w:t>
            </w:r>
          </w:p>
        </w:tc>
        <w:tc>
          <w:tcPr>
            <w:tcW w:w="397" w:type="pct"/>
            <w:vAlign w:val="center"/>
          </w:tcPr>
          <w:p w:rsidR="00EE56C0" w:rsidRDefault="000F36A1">
            <w:pPr>
              <w:pStyle w:val="aff1"/>
            </w:pPr>
            <w:r>
              <w:t>烟气出口温度</w:t>
            </w:r>
          </w:p>
        </w:tc>
        <w:tc>
          <w:tcPr>
            <w:tcW w:w="397" w:type="pct"/>
            <w:vAlign w:val="center"/>
          </w:tcPr>
          <w:p w:rsidR="00EE56C0" w:rsidRDefault="000F36A1">
            <w:pPr>
              <w:pStyle w:val="aff1"/>
            </w:pPr>
            <w:r>
              <w:t>年排放小时数</w:t>
            </w:r>
          </w:p>
        </w:tc>
        <w:tc>
          <w:tcPr>
            <w:tcW w:w="397" w:type="pct"/>
            <w:vAlign w:val="center"/>
          </w:tcPr>
          <w:p w:rsidR="00EE56C0" w:rsidRDefault="000F36A1">
            <w:pPr>
              <w:pStyle w:val="aff1"/>
            </w:pPr>
            <w:r>
              <w:t>排放</w:t>
            </w:r>
          </w:p>
          <w:p w:rsidR="00EE56C0" w:rsidRDefault="000F36A1">
            <w:pPr>
              <w:pStyle w:val="aff1"/>
            </w:pPr>
            <w:r>
              <w:t>工况</w:t>
            </w:r>
          </w:p>
        </w:tc>
        <w:tc>
          <w:tcPr>
            <w:tcW w:w="621" w:type="pct"/>
            <w:vAlign w:val="center"/>
          </w:tcPr>
          <w:p w:rsidR="00EE56C0" w:rsidRDefault="000F36A1">
            <w:pPr>
              <w:pStyle w:val="aff1"/>
            </w:pPr>
            <w:r>
              <w:t>源强</w:t>
            </w:r>
          </w:p>
        </w:tc>
      </w:tr>
      <w:tr w:rsidR="00EE56C0">
        <w:trPr>
          <w:trHeight w:val="454"/>
          <w:jc w:val="center"/>
        </w:trPr>
        <w:tc>
          <w:tcPr>
            <w:tcW w:w="472" w:type="pct"/>
            <w:vAlign w:val="center"/>
          </w:tcPr>
          <w:p w:rsidR="00EE56C0" w:rsidRDefault="000F36A1">
            <w:pPr>
              <w:pStyle w:val="afa"/>
            </w:pPr>
            <w:r>
              <w:t>单位</w:t>
            </w:r>
          </w:p>
        </w:tc>
        <w:tc>
          <w:tcPr>
            <w:tcW w:w="315" w:type="pct"/>
            <w:vAlign w:val="center"/>
          </w:tcPr>
          <w:p w:rsidR="00EE56C0" w:rsidRDefault="000F36A1">
            <w:pPr>
              <w:pStyle w:val="afa"/>
            </w:pPr>
            <w:r>
              <w:rPr>
                <w:rFonts w:hint="eastAsia"/>
              </w:rPr>
              <w:t>/</w:t>
            </w:r>
          </w:p>
        </w:tc>
        <w:tc>
          <w:tcPr>
            <w:tcW w:w="315" w:type="pct"/>
            <w:vAlign w:val="center"/>
          </w:tcPr>
          <w:p w:rsidR="00EE56C0" w:rsidRDefault="000F36A1">
            <w:pPr>
              <w:pStyle w:val="afa"/>
            </w:pPr>
            <w:r>
              <w:t>m</w:t>
            </w:r>
          </w:p>
        </w:tc>
        <w:tc>
          <w:tcPr>
            <w:tcW w:w="293" w:type="pct"/>
            <w:vAlign w:val="center"/>
          </w:tcPr>
          <w:p w:rsidR="00EE56C0" w:rsidRDefault="000F36A1">
            <w:pPr>
              <w:pStyle w:val="afa"/>
            </w:pPr>
            <w:r>
              <w:t>m</w:t>
            </w:r>
          </w:p>
        </w:tc>
        <w:tc>
          <w:tcPr>
            <w:tcW w:w="431" w:type="pct"/>
            <w:vAlign w:val="center"/>
          </w:tcPr>
          <w:p w:rsidR="00EE56C0" w:rsidRDefault="000F36A1">
            <w:pPr>
              <w:pStyle w:val="afa"/>
            </w:pPr>
            <w:r>
              <w:t>m</w:t>
            </w:r>
          </w:p>
        </w:tc>
        <w:tc>
          <w:tcPr>
            <w:tcW w:w="409" w:type="pct"/>
            <w:vAlign w:val="center"/>
          </w:tcPr>
          <w:p w:rsidR="00EE56C0" w:rsidRDefault="000F36A1">
            <w:pPr>
              <w:pStyle w:val="afa"/>
            </w:pPr>
            <w:r>
              <w:t>m</w:t>
            </w:r>
          </w:p>
        </w:tc>
        <w:tc>
          <w:tcPr>
            <w:tcW w:w="318" w:type="pct"/>
            <w:vAlign w:val="center"/>
          </w:tcPr>
          <w:p w:rsidR="00EE56C0" w:rsidRDefault="000F36A1">
            <w:pPr>
              <w:pStyle w:val="afa"/>
            </w:pPr>
            <w:r>
              <w:t>m</w:t>
            </w:r>
          </w:p>
        </w:tc>
        <w:tc>
          <w:tcPr>
            <w:tcW w:w="317" w:type="pct"/>
            <w:vAlign w:val="center"/>
          </w:tcPr>
          <w:p w:rsidR="00EE56C0" w:rsidRDefault="000F36A1">
            <w:pPr>
              <w:pStyle w:val="afa"/>
            </w:pPr>
            <w:r>
              <w:t>m</w:t>
            </w:r>
            <w:r>
              <w:rPr>
                <w:rFonts w:hint="eastAsia"/>
                <w:vertAlign w:val="superscript"/>
              </w:rPr>
              <w:t>3</w:t>
            </w:r>
            <w:r>
              <w:t>/</w:t>
            </w:r>
            <w:r>
              <w:rPr>
                <w:rFonts w:hint="eastAsia"/>
              </w:rPr>
              <w:t>h</w:t>
            </w:r>
          </w:p>
        </w:tc>
        <w:tc>
          <w:tcPr>
            <w:tcW w:w="318" w:type="pct"/>
            <w:vAlign w:val="center"/>
          </w:tcPr>
          <w:p w:rsidR="00EE56C0" w:rsidRDefault="000F36A1">
            <w:pPr>
              <w:pStyle w:val="afa"/>
            </w:pPr>
            <w:r>
              <w:rPr>
                <w:rFonts w:hint="eastAsia"/>
              </w:rPr>
              <w:t>m/s</w:t>
            </w:r>
          </w:p>
        </w:tc>
        <w:tc>
          <w:tcPr>
            <w:tcW w:w="397" w:type="pct"/>
            <w:vAlign w:val="center"/>
          </w:tcPr>
          <w:p w:rsidR="00EE56C0" w:rsidRDefault="000F36A1">
            <w:pPr>
              <w:pStyle w:val="afa"/>
            </w:pPr>
            <w:r>
              <w:rPr>
                <w:rFonts w:ascii="宋体" w:hAnsi="宋体" w:cs="宋体" w:hint="eastAsia"/>
              </w:rPr>
              <w:t>℃</w:t>
            </w:r>
          </w:p>
        </w:tc>
        <w:tc>
          <w:tcPr>
            <w:tcW w:w="397" w:type="pct"/>
            <w:vAlign w:val="center"/>
          </w:tcPr>
          <w:p w:rsidR="00EE56C0" w:rsidRDefault="000F36A1">
            <w:pPr>
              <w:pStyle w:val="afa"/>
            </w:pPr>
            <w:r>
              <w:t>h</w:t>
            </w:r>
          </w:p>
        </w:tc>
        <w:tc>
          <w:tcPr>
            <w:tcW w:w="397" w:type="pct"/>
            <w:vAlign w:val="center"/>
          </w:tcPr>
          <w:p w:rsidR="00EE56C0" w:rsidRDefault="000F36A1">
            <w:pPr>
              <w:pStyle w:val="afa"/>
            </w:pPr>
            <w:r>
              <w:t>-</w:t>
            </w:r>
          </w:p>
        </w:tc>
        <w:tc>
          <w:tcPr>
            <w:tcW w:w="621" w:type="pct"/>
            <w:vAlign w:val="center"/>
          </w:tcPr>
          <w:p w:rsidR="00EE56C0" w:rsidRDefault="000F36A1">
            <w:pPr>
              <w:pStyle w:val="afa"/>
            </w:pPr>
            <w:r>
              <w:rPr>
                <w:rFonts w:hint="eastAsia"/>
              </w:rPr>
              <w:t>k</w:t>
            </w:r>
            <w:r>
              <w:t>g/</w:t>
            </w:r>
            <w:r>
              <w:rPr>
                <w:rFonts w:hint="eastAsia"/>
              </w:rPr>
              <w:t>h</w:t>
            </w:r>
          </w:p>
        </w:tc>
      </w:tr>
      <w:tr w:rsidR="00EE56C0">
        <w:trPr>
          <w:trHeight w:val="454"/>
          <w:jc w:val="center"/>
        </w:trPr>
        <w:tc>
          <w:tcPr>
            <w:tcW w:w="472" w:type="pct"/>
            <w:vAlign w:val="center"/>
          </w:tcPr>
          <w:p w:rsidR="00EE56C0" w:rsidRDefault="000F36A1">
            <w:pPr>
              <w:pStyle w:val="afa"/>
            </w:pPr>
            <w:r>
              <w:rPr>
                <w:rFonts w:hint="eastAsia"/>
              </w:rPr>
              <w:t>鸿森纸业</w:t>
            </w:r>
          </w:p>
        </w:tc>
        <w:tc>
          <w:tcPr>
            <w:tcW w:w="315" w:type="pct"/>
            <w:vAlign w:val="center"/>
          </w:tcPr>
          <w:p w:rsidR="00EE56C0" w:rsidRDefault="000F36A1">
            <w:pPr>
              <w:pStyle w:val="afa"/>
              <w:rPr>
                <w:highlight w:val="yellow"/>
              </w:rPr>
            </w:pPr>
            <w:r>
              <w:rPr>
                <w:rFonts w:hint="eastAsia"/>
              </w:rPr>
              <w:t>非甲烷总烃</w:t>
            </w:r>
          </w:p>
        </w:tc>
        <w:tc>
          <w:tcPr>
            <w:tcW w:w="315" w:type="pct"/>
            <w:vAlign w:val="center"/>
          </w:tcPr>
          <w:p w:rsidR="00EE56C0" w:rsidRDefault="000F36A1">
            <w:pPr>
              <w:pStyle w:val="afa"/>
            </w:pPr>
            <w:r>
              <w:rPr>
                <w:rFonts w:hint="eastAsia"/>
              </w:rPr>
              <w:t>506</w:t>
            </w:r>
          </w:p>
        </w:tc>
        <w:tc>
          <w:tcPr>
            <w:tcW w:w="293" w:type="pct"/>
            <w:vAlign w:val="center"/>
          </w:tcPr>
          <w:p w:rsidR="00EE56C0" w:rsidRDefault="000F36A1">
            <w:pPr>
              <w:pStyle w:val="afa"/>
            </w:pPr>
            <w:r>
              <w:rPr>
                <w:rFonts w:hint="eastAsia"/>
              </w:rPr>
              <w:t>1616</w:t>
            </w:r>
          </w:p>
        </w:tc>
        <w:tc>
          <w:tcPr>
            <w:tcW w:w="431" w:type="pct"/>
            <w:vAlign w:val="center"/>
          </w:tcPr>
          <w:p w:rsidR="00EE56C0" w:rsidRDefault="000F36A1">
            <w:pPr>
              <w:pStyle w:val="afa"/>
            </w:pPr>
            <w:r>
              <w:rPr>
                <w:rFonts w:hint="eastAsia"/>
              </w:rPr>
              <w:t>80</w:t>
            </w:r>
          </w:p>
        </w:tc>
        <w:tc>
          <w:tcPr>
            <w:tcW w:w="409" w:type="pct"/>
            <w:vAlign w:val="center"/>
          </w:tcPr>
          <w:p w:rsidR="00EE56C0" w:rsidRDefault="000F36A1">
            <w:pPr>
              <w:pStyle w:val="afa"/>
            </w:pPr>
            <w:r>
              <w:rPr>
                <w:rFonts w:hint="eastAsia"/>
              </w:rPr>
              <w:t>15</w:t>
            </w:r>
          </w:p>
        </w:tc>
        <w:tc>
          <w:tcPr>
            <w:tcW w:w="318" w:type="pct"/>
            <w:vAlign w:val="center"/>
          </w:tcPr>
          <w:p w:rsidR="00EE56C0" w:rsidRDefault="000F36A1">
            <w:pPr>
              <w:pStyle w:val="afa"/>
            </w:pPr>
            <w:r>
              <w:rPr>
                <w:rFonts w:hint="eastAsia"/>
              </w:rPr>
              <w:t>0.3</w:t>
            </w:r>
          </w:p>
        </w:tc>
        <w:tc>
          <w:tcPr>
            <w:tcW w:w="317" w:type="pct"/>
            <w:vAlign w:val="center"/>
          </w:tcPr>
          <w:p w:rsidR="00EE56C0" w:rsidRDefault="000F36A1">
            <w:pPr>
              <w:pStyle w:val="afa"/>
            </w:pPr>
            <w:r>
              <w:rPr>
                <w:rFonts w:hint="eastAsia"/>
              </w:rPr>
              <w:t>3000</w:t>
            </w:r>
          </w:p>
        </w:tc>
        <w:tc>
          <w:tcPr>
            <w:tcW w:w="318" w:type="pct"/>
            <w:vAlign w:val="center"/>
          </w:tcPr>
          <w:p w:rsidR="00EE56C0" w:rsidRDefault="000F36A1">
            <w:pPr>
              <w:pStyle w:val="afa"/>
            </w:pPr>
            <w:r>
              <w:rPr>
                <w:rFonts w:hint="eastAsia"/>
              </w:rPr>
              <w:t>11.8</w:t>
            </w:r>
          </w:p>
        </w:tc>
        <w:tc>
          <w:tcPr>
            <w:tcW w:w="397" w:type="pct"/>
            <w:vAlign w:val="center"/>
          </w:tcPr>
          <w:p w:rsidR="00EE56C0" w:rsidRDefault="000F36A1">
            <w:pPr>
              <w:pStyle w:val="afa"/>
            </w:pPr>
            <w:r>
              <w:rPr>
                <w:rFonts w:hint="eastAsia"/>
              </w:rPr>
              <w:t>25</w:t>
            </w:r>
          </w:p>
        </w:tc>
        <w:tc>
          <w:tcPr>
            <w:tcW w:w="397" w:type="pct"/>
            <w:vAlign w:val="center"/>
          </w:tcPr>
          <w:p w:rsidR="00EE56C0" w:rsidRDefault="000F36A1">
            <w:pPr>
              <w:pStyle w:val="afa"/>
            </w:pPr>
            <w:r>
              <w:rPr>
                <w:rFonts w:hint="eastAsia"/>
              </w:rPr>
              <w:t>2240</w:t>
            </w:r>
          </w:p>
        </w:tc>
        <w:tc>
          <w:tcPr>
            <w:tcW w:w="397" w:type="pct"/>
            <w:vAlign w:val="center"/>
          </w:tcPr>
          <w:p w:rsidR="00EE56C0" w:rsidRDefault="00EE56C0">
            <w:pPr>
              <w:pStyle w:val="afa"/>
            </w:pPr>
          </w:p>
        </w:tc>
        <w:tc>
          <w:tcPr>
            <w:tcW w:w="621" w:type="pct"/>
            <w:vAlign w:val="center"/>
          </w:tcPr>
          <w:p w:rsidR="00EE56C0" w:rsidRDefault="000F36A1">
            <w:pPr>
              <w:pStyle w:val="afa"/>
            </w:pPr>
            <w:r>
              <w:rPr>
                <w:rFonts w:hint="eastAsia"/>
              </w:rPr>
              <w:t>0.044</w:t>
            </w:r>
          </w:p>
        </w:tc>
      </w:tr>
    </w:tbl>
    <w:p w:rsidR="00EE56C0" w:rsidRDefault="000F36A1">
      <w:pPr>
        <w:ind w:firstLine="482"/>
        <w:rPr>
          <w:b/>
        </w:rPr>
      </w:pPr>
      <w:r>
        <w:rPr>
          <w:rFonts w:hint="eastAsia"/>
          <w:b/>
        </w:rPr>
        <w:t>（</w:t>
      </w:r>
      <w:r>
        <w:rPr>
          <w:rFonts w:hint="eastAsia"/>
          <w:b/>
        </w:rPr>
        <w:t>4</w:t>
      </w:r>
      <w:r>
        <w:rPr>
          <w:rFonts w:hint="eastAsia"/>
          <w:b/>
        </w:rPr>
        <w:t>）非正常工况下污染源参数</w:t>
      </w:r>
    </w:p>
    <w:p w:rsidR="00EE56C0" w:rsidRDefault="000F36A1">
      <w:pPr>
        <w:pStyle w:val="afd"/>
        <w:spacing w:before="120" w:after="120"/>
        <w:ind w:firstLine="482"/>
      </w:pPr>
      <w:r>
        <w:t>表</w:t>
      </w:r>
      <w:r>
        <w:rPr>
          <w:rFonts w:hint="eastAsia"/>
        </w:rPr>
        <w:t>5</w:t>
      </w:r>
      <w:r>
        <w:t>-</w:t>
      </w:r>
      <w:r>
        <w:rPr>
          <w:rFonts w:hint="eastAsia"/>
        </w:rPr>
        <w:t>15</w:t>
      </w:r>
      <w:r>
        <w:t xml:space="preserve">        </w:t>
      </w:r>
      <w:r>
        <w:t>项目</w:t>
      </w:r>
      <w:r>
        <w:rPr>
          <w:rFonts w:hint="eastAsia"/>
        </w:rPr>
        <w:t>非正常工况</w:t>
      </w:r>
      <w:r>
        <w:t>点源源强及有关参数</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CellMar>
          <w:left w:w="0" w:type="dxa"/>
          <w:right w:w="0" w:type="dxa"/>
        </w:tblCellMar>
        <w:tblLook w:val="04A0"/>
      </w:tblPr>
      <w:tblGrid>
        <w:gridCol w:w="539"/>
        <w:gridCol w:w="519"/>
        <w:gridCol w:w="519"/>
        <w:gridCol w:w="628"/>
        <w:gridCol w:w="795"/>
        <w:gridCol w:w="628"/>
        <w:gridCol w:w="628"/>
        <w:gridCol w:w="628"/>
        <w:gridCol w:w="628"/>
        <w:gridCol w:w="628"/>
        <w:gridCol w:w="1300"/>
        <w:gridCol w:w="893"/>
      </w:tblGrid>
      <w:tr w:rsidR="00EE56C0">
        <w:trPr>
          <w:trHeight w:val="454"/>
          <w:jc w:val="center"/>
        </w:trPr>
        <w:tc>
          <w:tcPr>
            <w:tcW w:w="323" w:type="pct"/>
            <w:tcBorders>
              <w:bottom w:val="single" w:sz="6" w:space="0" w:color="auto"/>
            </w:tcBorders>
            <w:vAlign w:val="center"/>
          </w:tcPr>
          <w:p w:rsidR="00EE56C0" w:rsidRDefault="000F36A1">
            <w:pPr>
              <w:pStyle w:val="aff1"/>
              <w:rPr>
                <w:color w:val="auto"/>
              </w:rPr>
            </w:pPr>
            <w:r>
              <w:rPr>
                <w:color w:val="auto"/>
              </w:rPr>
              <w:t>点源</w:t>
            </w:r>
          </w:p>
          <w:p w:rsidR="00EE56C0" w:rsidRDefault="000F36A1">
            <w:pPr>
              <w:pStyle w:val="aff1"/>
              <w:rPr>
                <w:color w:val="auto"/>
              </w:rPr>
            </w:pPr>
            <w:r>
              <w:rPr>
                <w:rFonts w:hint="eastAsia"/>
                <w:color w:val="auto"/>
              </w:rPr>
              <w:t>位置</w:t>
            </w:r>
          </w:p>
        </w:tc>
        <w:tc>
          <w:tcPr>
            <w:tcW w:w="311" w:type="pct"/>
            <w:tcBorders>
              <w:bottom w:val="single" w:sz="6" w:space="0" w:color="auto"/>
            </w:tcBorders>
            <w:vAlign w:val="center"/>
          </w:tcPr>
          <w:p w:rsidR="00EE56C0" w:rsidRDefault="000F36A1">
            <w:pPr>
              <w:pStyle w:val="aff1"/>
              <w:rPr>
                <w:color w:val="auto"/>
              </w:rPr>
            </w:pPr>
            <w:r>
              <w:rPr>
                <w:rFonts w:hint="eastAsia"/>
                <w:color w:val="auto"/>
              </w:rPr>
              <w:t>评价因子</w:t>
            </w:r>
          </w:p>
        </w:tc>
        <w:tc>
          <w:tcPr>
            <w:tcW w:w="311" w:type="pct"/>
            <w:tcBorders>
              <w:bottom w:val="single" w:sz="6" w:space="0" w:color="auto"/>
            </w:tcBorders>
            <w:vAlign w:val="center"/>
          </w:tcPr>
          <w:p w:rsidR="00EE56C0" w:rsidRDefault="000F36A1">
            <w:pPr>
              <w:pStyle w:val="aff1"/>
              <w:rPr>
                <w:color w:val="auto"/>
              </w:rPr>
            </w:pPr>
            <w:r>
              <w:rPr>
                <w:color w:val="auto"/>
              </w:rPr>
              <w:t>X</w:t>
            </w:r>
          </w:p>
          <w:p w:rsidR="00EE56C0" w:rsidRDefault="000F36A1">
            <w:pPr>
              <w:pStyle w:val="aff1"/>
              <w:rPr>
                <w:color w:val="auto"/>
              </w:rPr>
            </w:pPr>
            <w:r>
              <w:rPr>
                <w:color w:val="auto"/>
              </w:rPr>
              <w:t>坐标</w:t>
            </w:r>
          </w:p>
        </w:tc>
        <w:tc>
          <w:tcPr>
            <w:tcW w:w="377" w:type="pct"/>
            <w:tcBorders>
              <w:bottom w:val="single" w:sz="6" w:space="0" w:color="auto"/>
            </w:tcBorders>
            <w:vAlign w:val="center"/>
          </w:tcPr>
          <w:p w:rsidR="00EE56C0" w:rsidRDefault="000F36A1">
            <w:pPr>
              <w:pStyle w:val="aff1"/>
              <w:rPr>
                <w:color w:val="auto"/>
              </w:rPr>
            </w:pPr>
            <w:r>
              <w:rPr>
                <w:color w:val="auto"/>
              </w:rPr>
              <w:t>Y</w:t>
            </w:r>
          </w:p>
          <w:p w:rsidR="00EE56C0" w:rsidRDefault="000F36A1">
            <w:pPr>
              <w:pStyle w:val="aff1"/>
              <w:rPr>
                <w:color w:val="auto"/>
              </w:rPr>
            </w:pPr>
            <w:r>
              <w:rPr>
                <w:color w:val="auto"/>
              </w:rPr>
              <w:t>坐标</w:t>
            </w:r>
          </w:p>
        </w:tc>
        <w:tc>
          <w:tcPr>
            <w:tcW w:w="477" w:type="pct"/>
            <w:tcBorders>
              <w:bottom w:val="single" w:sz="6" w:space="0" w:color="auto"/>
            </w:tcBorders>
            <w:vAlign w:val="center"/>
          </w:tcPr>
          <w:p w:rsidR="00EE56C0" w:rsidRDefault="000F36A1">
            <w:pPr>
              <w:pStyle w:val="aff1"/>
              <w:rPr>
                <w:color w:val="auto"/>
              </w:rPr>
            </w:pPr>
            <w:r>
              <w:rPr>
                <w:color w:val="auto"/>
              </w:rPr>
              <w:t>排气筒底部海拔高度</w:t>
            </w:r>
          </w:p>
        </w:tc>
        <w:tc>
          <w:tcPr>
            <w:tcW w:w="377" w:type="pct"/>
            <w:tcBorders>
              <w:bottom w:val="single" w:sz="6" w:space="0" w:color="auto"/>
            </w:tcBorders>
            <w:vAlign w:val="center"/>
          </w:tcPr>
          <w:p w:rsidR="00EE56C0" w:rsidRDefault="000F36A1">
            <w:pPr>
              <w:pStyle w:val="aff1"/>
              <w:rPr>
                <w:color w:val="auto"/>
              </w:rPr>
            </w:pPr>
            <w:r>
              <w:rPr>
                <w:color w:val="auto"/>
              </w:rPr>
              <w:t>排气筒高度</w:t>
            </w:r>
          </w:p>
        </w:tc>
        <w:tc>
          <w:tcPr>
            <w:tcW w:w="377" w:type="pct"/>
            <w:tcBorders>
              <w:bottom w:val="single" w:sz="6" w:space="0" w:color="auto"/>
            </w:tcBorders>
            <w:vAlign w:val="center"/>
          </w:tcPr>
          <w:p w:rsidR="00EE56C0" w:rsidRDefault="000F36A1">
            <w:pPr>
              <w:pStyle w:val="aff1"/>
              <w:rPr>
                <w:color w:val="auto"/>
              </w:rPr>
            </w:pPr>
            <w:r>
              <w:rPr>
                <w:color w:val="auto"/>
              </w:rPr>
              <w:t>排气筒内径</w:t>
            </w:r>
          </w:p>
        </w:tc>
        <w:tc>
          <w:tcPr>
            <w:tcW w:w="377" w:type="pct"/>
            <w:tcBorders>
              <w:bottom w:val="single" w:sz="6" w:space="0" w:color="auto"/>
            </w:tcBorders>
            <w:vAlign w:val="center"/>
          </w:tcPr>
          <w:p w:rsidR="00EE56C0" w:rsidRDefault="000F36A1">
            <w:pPr>
              <w:pStyle w:val="aff1"/>
              <w:rPr>
                <w:color w:val="auto"/>
              </w:rPr>
            </w:pPr>
            <w:r>
              <w:rPr>
                <w:color w:val="auto"/>
              </w:rPr>
              <w:t>烟气</w:t>
            </w:r>
          </w:p>
          <w:p w:rsidR="00EE56C0" w:rsidRDefault="000F36A1">
            <w:pPr>
              <w:pStyle w:val="aff1"/>
              <w:rPr>
                <w:color w:val="auto"/>
              </w:rPr>
            </w:pPr>
            <w:r>
              <w:rPr>
                <w:rFonts w:hint="eastAsia"/>
                <w:color w:val="auto"/>
              </w:rPr>
              <w:t>速率</w:t>
            </w:r>
          </w:p>
        </w:tc>
        <w:tc>
          <w:tcPr>
            <w:tcW w:w="377" w:type="pct"/>
            <w:tcBorders>
              <w:bottom w:val="single" w:sz="6" w:space="0" w:color="auto"/>
            </w:tcBorders>
            <w:vAlign w:val="center"/>
          </w:tcPr>
          <w:p w:rsidR="00EE56C0" w:rsidRDefault="000F36A1">
            <w:pPr>
              <w:pStyle w:val="aff1"/>
              <w:rPr>
                <w:color w:val="auto"/>
              </w:rPr>
            </w:pPr>
            <w:r>
              <w:rPr>
                <w:color w:val="auto"/>
              </w:rPr>
              <w:t>烟气出口温度</w:t>
            </w:r>
          </w:p>
        </w:tc>
        <w:tc>
          <w:tcPr>
            <w:tcW w:w="377" w:type="pct"/>
            <w:tcBorders>
              <w:bottom w:val="single" w:sz="6" w:space="0" w:color="auto"/>
            </w:tcBorders>
            <w:vAlign w:val="center"/>
          </w:tcPr>
          <w:p w:rsidR="00EE56C0" w:rsidRDefault="000F36A1">
            <w:pPr>
              <w:pStyle w:val="aff1"/>
              <w:rPr>
                <w:color w:val="auto"/>
              </w:rPr>
            </w:pPr>
            <w:r>
              <w:rPr>
                <w:color w:val="auto"/>
              </w:rPr>
              <w:t>年排放小时数</w:t>
            </w:r>
          </w:p>
        </w:tc>
        <w:tc>
          <w:tcPr>
            <w:tcW w:w="780" w:type="pct"/>
            <w:tcBorders>
              <w:bottom w:val="single" w:sz="6" w:space="0" w:color="auto"/>
            </w:tcBorders>
            <w:vAlign w:val="center"/>
          </w:tcPr>
          <w:p w:rsidR="00EE56C0" w:rsidRDefault="000F36A1">
            <w:pPr>
              <w:pStyle w:val="aff1"/>
              <w:rPr>
                <w:color w:val="auto"/>
              </w:rPr>
            </w:pPr>
            <w:r>
              <w:rPr>
                <w:color w:val="auto"/>
              </w:rPr>
              <w:t>排放</w:t>
            </w:r>
          </w:p>
          <w:p w:rsidR="00EE56C0" w:rsidRDefault="000F36A1">
            <w:pPr>
              <w:pStyle w:val="aff1"/>
              <w:rPr>
                <w:color w:val="auto"/>
              </w:rPr>
            </w:pPr>
            <w:r>
              <w:rPr>
                <w:color w:val="auto"/>
              </w:rPr>
              <w:t>工况</w:t>
            </w:r>
          </w:p>
        </w:tc>
        <w:tc>
          <w:tcPr>
            <w:tcW w:w="536" w:type="pct"/>
            <w:vMerge w:val="restart"/>
            <w:tcBorders>
              <w:left w:val="single" w:sz="4" w:space="0" w:color="auto"/>
              <w:bottom w:val="single" w:sz="6" w:space="0" w:color="auto"/>
            </w:tcBorders>
            <w:vAlign w:val="center"/>
          </w:tcPr>
          <w:p w:rsidR="00EE56C0" w:rsidRDefault="000F36A1">
            <w:pPr>
              <w:pStyle w:val="aff1"/>
              <w:rPr>
                <w:color w:val="auto"/>
              </w:rPr>
            </w:pPr>
            <w:r>
              <w:rPr>
                <w:color w:val="auto"/>
              </w:rPr>
              <w:t>源强</w:t>
            </w:r>
          </w:p>
        </w:tc>
      </w:tr>
      <w:tr w:rsidR="00EE56C0">
        <w:trPr>
          <w:trHeight w:val="454"/>
          <w:jc w:val="center"/>
        </w:trPr>
        <w:tc>
          <w:tcPr>
            <w:tcW w:w="323" w:type="pct"/>
            <w:vAlign w:val="center"/>
          </w:tcPr>
          <w:p w:rsidR="00EE56C0" w:rsidRDefault="000F36A1">
            <w:pPr>
              <w:pStyle w:val="afa"/>
            </w:pPr>
            <w:r>
              <w:rPr>
                <w:rFonts w:hint="eastAsia"/>
              </w:rPr>
              <w:t>/</w:t>
            </w:r>
          </w:p>
        </w:tc>
        <w:tc>
          <w:tcPr>
            <w:tcW w:w="311" w:type="pct"/>
            <w:vAlign w:val="center"/>
          </w:tcPr>
          <w:p w:rsidR="00EE56C0" w:rsidRDefault="000F36A1">
            <w:pPr>
              <w:pStyle w:val="afa"/>
            </w:pPr>
            <w:r>
              <w:rPr>
                <w:rFonts w:hint="eastAsia"/>
              </w:rPr>
              <w:t>/</w:t>
            </w:r>
          </w:p>
        </w:tc>
        <w:tc>
          <w:tcPr>
            <w:tcW w:w="311" w:type="pct"/>
            <w:vAlign w:val="center"/>
          </w:tcPr>
          <w:p w:rsidR="00EE56C0" w:rsidRDefault="000F36A1">
            <w:pPr>
              <w:pStyle w:val="afa"/>
            </w:pPr>
            <w:r>
              <w:t>m</w:t>
            </w:r>
          </w:p>
        </w:tc>
        <w:tc>
          <w:tcPr>
            <w:tcW w:w="377" w:type="pct"/>
            <w:vAlign w:val="center"/>
          </w:tcPr>
          <w:p w:rsidR="00EE56C0" w:rsidRDefault="000F36A1">
            <w:pPr>
              <w:pStyle w:val="afa"/>
            </w:pPr>
            <w:r>
              <w:t>m</w:t>
            </w:r>
          </w:p>
        </w:tc>
        <w:tc>
          <w:tcPr>
            <w:tcW w:w="477" w:type="pct"/>
            <w:vAlign w:val="center"/>
          </w:tcPr>
          <w:p w:rsidR="00EE56C0" w:rsidRDefault="000F36A1">
            <w:pPr>
              <w:pStyle w:val="afa"/>
            </w:pPr>
            <w:r>
              <w:t>m</w:t>
            </w:r>
          </w:p>
        </w:tc>
        <w:tc>
          <w:tcPr>
            <w:tcW w:w="377" w:type="pct"/>
            <w:vAlign w:val="center"/>
          </w:tcPr>
          <w:p w:rsidR="00EE56C0" w:rsidRDefault="000F36A1">
            <w:pPr>
              <w:pStyle w:val="afa"/>
            </w:pPr>
            <w:r>
              <w:t>m</w:t>
            </w:r>
          </w:p>
        </w:tc>
        <w:tc>
          <w:tcPr>
            <w:tcW w:w="377" w:type="pct"/>
            <w:vAlign w:val="center"/>
          </w:tcPr>
          <w:p w:rsidR="00EE56C0" w:rsidRDefault="000F36A1">
            <w:pPr>
              <w:pStyle w:val="afa"/>
            </w:pPr>
            <w:r>
              <w:t>m</w:t>
            </w:r>
          </w:p>
        </w:tc>
        <w:tc>
          <w:tcPr>
            <w:tcW w:w="377" w:type="pct"/>
            <w:vAlign w:val="center"/>
          </w:tcPr>
          <w:p w:rsidR="00EE56C0" w:rsidRDefault="000F36A1">
            <w:pPr>
              <w:pStyle w:val="afa"/>
            </w:pPr>
            <w:r>
              <w:rPr>
                <w:rFonts w:hint="eastAsia"/>
              </w:rPr>
              <w:t>m</w:t>
            </w:r>
            <w:r>
              <w:rPr>
                <w:rFonts w:hint="eastAsia"/>
                <w:vertAlign w:val="superscript"/>
              </w:rPr>
              <w:t>3</w:t>
            </w:r>
            <w:r>
              <w:t>/</w:t>
            </w:r>
            <w:r>
              <w:rPr>
                <w:rFonts w:hint="eastAsia"/>
              </w:rPr>
              <w:t>h</w:t>
            </w:r>
          </w:p>
        </w:tc>
        <w:tc>
          <w:tcPr>
            <w:tcW w:w="377" w:type="pct"/>
            <w:vAlign w:val="center"/>
          </w:tcPr>
          <w:p w:rsidR="00EE56C0" w:rsidRDefault="000F36A1">
            <w:pPr>
              <w:pStyle w:val="afa"/>
            </w:pPr>
            <w:r>
              <w:rPr>
                <w:rFonts w:ascii="宋体" w:hAnsi="宋体" w:cs="宋体" w:hint="eastAsia"/>
              </w:rPr>
              <w:t>℃</w:t>
            </w:r>
          </w:p>
        </w:tc>
        <w:tc>
          <w:tcPr>
            <w:tcW w:w="377" w:type="pct"/>
            <w:vAlign w:val="center"/>
          </w:tcPr>
          <w:p w:rsidR="00EE56C0" w:rsidRDefault="000F36A1">
            <w:pPr>
              <w:pStyle w:val="afa"/>
            </w:pPr>
            <w:r>
              <w:t>h</w:t>
            </w:r>
          </w:p>
        </w:tc>
        <w:tc>
          <w:tcPr>
            <w:tcW w:w="780" w:type="pct"/>
            <w:vAlign w:val="center"/>
          </w:tcPr>
          <w:p w:rsidR="00EE56C0" w:rsidRDefault="000F36A1">
            <w:pPr>
              <w:pStyle w:val="afa"/>
            </w:pPr>
            <w:r>
              <w:t>-</w:t>
            </w:r>
          </w:p>
        </w:tc>
        <w:tc>
          <w:tcPr>
            <w:tcW w:w="536" w:type="pct"/>
            <w:vMerge/>
            <w:tcBorders>
              <w:left w:val="single" w:sz="4" w:space="0" w:color="auto"/>
            </w:tcBorders>
            <w:vAlign w:val="center"/>
          </w:tcPr>
          <w:p w:rsidR="00EE56C0" w:rsidRDefault="00EE56C0">
            <w:pPr>
              <w:pStyle w:val="afa"/>
            </w:pPr>
          </w:p>
        </w:tc>
      </w:tr>
      <w:tr w:rsidR="00EE56C0">
        <w:trPr>
          <w:trHeight w:val="454"/>
          <w:jc w:val="center"/>
        </w:trPr>
        <w:tc>
          <w:tcPr>
            <w:tcW w:w="323" w:type="pct"/>
            <w:vMerge w:val="restart"/>
            <w:vAlign w:val="center"/>
          </w:tcPr>
          <w:p w:rsidR="00EE56C0" w:rsidRDefault="000F36A1">
            <w:pPr>
              <w:pStyle w:val="afa"/>
            </w:pPr>
            <w:r>
              <w:rPr>
                <w:rFonts w:hint="eastAsia"/>
              </w:rPr>
              <w:t>P</w:t>
            </w:r>
          </w:p>
        </w:tc>
        <w:tc>
          <w:tcPr>
            <w:tcW w:w="311" w:type="pct"/>
            <w:vAlign w:val="center"/>
          </w:tcPr>
          <w:p w:rsidR="00EE56C0" w:rsidRDefault="000F36A1">
            <w:pPr>
              <w:pStyle w:val="afa"/>
            </w:pPr>
            <w:r>
              <w:rPr>
                <w:rFonts w:hint="eastAsia"/>
              </w:rPr>
              <w:t>酚</w:t>
            </w:r>
          </w:p>
        </w:tc>
        <w:tc>
          <w:tcPr>
            <w:tcW w:w="311" w:type="pct"/>
            <w:vMerge w:val="restart"/>
            <w:vAlign w:val="center"/>
          </w:tcPr>
          <w:p w:rsidR="00EE56C0" w:rsidRDefault="000F36A1">
            <w:pPr>
              <w:pStyle w:val="afa"/>
            </w:pPr>
            <w:r>
              <w:rPr>
                <w:rFonts w:hint="eastAsia"/>
              </w:rPr>
              <w:t>498</w:t>
            </w:r>
          </w:p>
        </w:tc>
        <w:tc>
          <w:tcPr>
            <w:tcW w:w="377" w:type="pct"/>
            <w:vMerge w:val="restart"/>
            <w:vAlign w:val="center"/>
          </w:tcPr>
          <w:p w:rsidR="00EE56C0" w:rsidRDefault="000F36A1">
            <w:pPr>
              <w:pStyle w:val="afa"/>
            </w:pPr>
            <w:r>
              <w:rPr>
                <w:rFonts w:hint="eastAsia"/>
              </w:rPr>
              <w:t>250</w:t>
            </w:r>
          </w:p>
        </w:tc>
        <w:tc>
          <w:tcPr>
            <w:tcW w:w="477" w:type="pct"/>
            <w:vMerge w:val="restart"/>
            <w:vAlign w:val="center"/>
          </w:tcPr>
          <w:p w:rsidR="00EE56C0" w:rsidRDefault="000F36A1">
            <w:pPr>
              <w:pStyle w:val="afa"/>
            </w:pPr>
            <w:r>
              <w:rPr>
                <w:rFonts w:hint="eastAsia"/>
              </w:rPr>
              <w:t>79</w:t>
            </w:r>
          </w:p>
        </w:tc>
        <w:tc>
          <w:tcPr>
            <w:tcW w:w="377" w:type="pct"/>
            <w:vMerge w:val="restart"/>
            <w:vAlign w:val="center"/>
          </w:tcPr>
          <w:p w:rsidR="00EE56C0" w:rsidRDefault="000F36A1">
            <w:pPr>
              <w:pStyle w:val="afa"/>
            </w:pPr>
            <w:r>
              <w:rPr>
                <w:rFonts w:hint="eastAsia"/>
              </w:rPr>
              <w:t>26.5</w:t>
            </w:r>
          </w:p>
        </w:tc>
        <w:tc>
          <w:tcPr>
            <w:tcW w:w="377" w:type="pct"/>
            <w:vMerge w:val="restart"/>
            <w:vAlign w:val="center"/>
          </w:tcPr>
          <w:p w:rsidR="00EE56C0" w:rsidRDefault="000F36A1">
            <w:pPr>
              <w:pStyle w:val="afa"/>
            </w:pPr>
            <w:r>
              <w:rPr>
                <w:rFonts w:hint="eastAsia"/>
              </w:rPr>
              <w:t>1.5</w:t>
            </w:r>
          </w:p>
        </w:tc>
        <w:tc>
          <w:tcPr>
            <w:tcW w:w="377" w:type="pct"/>
            <w:vMerge w:val="restart"/>
            <w:vAlign w:val="center"/>
          </w:tcPr>
          <w:p w:rsidR="00EE56C0" w:rsidRDefault="000F36A1">
            <w:pPr>
              <w:pStyle w:val="afa"/>
            </w:pPr>
            <w:r>
              <w:rPr>
                <w:rFonts w:hint="eastAsia"/>
              </w:rPr>
              <w:t>16.0</w:t>
            </w:r>
          </w:p>
        </w:tc>
        <w:tc>
          <w:tcPr>
            <w:tcW w:w="377" w:type="pct"/>
            <w:vMerge w:val="restart"/>
            <w:vAlign w:val="center"/>
          </w:tcPr>
          <w:p w:rsidR="00EE56C0" w:rsidRDefault="000F36A1">
            <w:pPr>
              <w:pStyle w:val="afa"/>
            </w:pPr>
            <w:r>
              <w:rPr>
                <w:rFonts w:hint="eastAsia"/>
              </w:rPr>
              <w:t>25</w:t>
            </w:r>
          </w:p>
        </w:tc>
        <w:tc>
          <w:tcPr>
            <w:tcW w:w="377" w:type="pct"/>
            <w:vMerge w:val="restart"/>
            <w:vAlign w:val="center"/>
          </w:tcPr>
          <w:p w:rsidR="00EE56C0" w:rsidRDefault="000F36A1">
            <w:pPr>
              <w:pStyle w:val="afa"/>
            </w:pPr>
            <w:r>
              <w:rPr>
                <w:rFonts w:hint="eastAsia"/>
              </w:rPr>
              <w:t>7200</w:t>
            </w:r>
          </w:p>
        </w:tc>
        <w:tc>
          <w:tcPr>
            <w:tcW w:w="780" w:type="pct"/>
            <w:vMerge w:val="restart"/>
            <w:vAlign w:val="center"/>
          </w:tcPr>
          <w:p w:rsidR="00EE56C0" w:rsidRDefault="000F36A1">
            <w:pPr>
              <w:pStyle w:val="afa"/>
            </w:pPr>
            <w:r>
              <w:t>正常</w:t>
            </w:r>
          </w:p>
        </w:tc>
        <w:tc>
          <w:tcPr>
            <w:tcW w:w="536" w:type="pct"/>
            <w:tcBorders>
              <w:left w:val="single" w:sz="4" w:space="0" w:color="auto"/>
            </w:tcBorders>
            <w:vAlign w:val="center"/>
          </w:tcPr>
          <w:p w:rsidR="00EE56C0" w:rsidRDefault="000F36A1">
            <w:pPr>
              <w:pStyle w:val="afa"/>
              <w:rPr>
                <w:rFonts w:eastAsia="宋体"/>
                <w:u w:val="single"/>
              </w:rPr>
            </w:pPr>
            <w:r>
              <w:rPr>
                <w:u w:val="single"/>
              </w:rPr>
              <w:t xml:space="preserve">0.8007 </w:t>
            </w:r>
          </w:p>
        </w:tc>
      </w:tr>
      <w:tr w:rsidR="00EE56C0">
        <w:trPr>
          <w:trHeight w:val="454"/>
          <w:jc w:val="center"/>
        </w:trPr>
        <w:tc>
          <w:tcPr>
            <w:tcW w:w="323" w:type="pct"/>
            <w:vMerge/>
            <w:vAlign w:val="center"/>
          </w:tcPr>
          <w:p w:rsidR="00EE56C0" w:rsidRDefault="00EE56C0">
            <w:pPr>
              <w:pStyle w:val="afa"/>
            </w:pPr>
          </w:p>
        </w:tc>
        <w:tc>
          <w:tcPr>
            <w:tcW w:w="311" w:type="pct"/>
            <w:vAlign w:val="center"/>
          </w:tcPr>
          <w:p w:rsidR="00EE56C0" w:rsidRDefault="000F36A1">
            <w:pPr>
              <w:pStyle w:val="afa"/>
            </w:pPr>
            <w:r>
              <w:rPr>
                <w:rFonts w:hint="eastAsia"/>
              </w:rPr>
              <w:t>非甲烷总烃</w:t>
            </w:r>
          </w:p>
        </w:tc>
        <w:tc>
          <w:tcPr>
            <w:tcW w:w="311" w:type="pct"/>
            <w:vMerge/>
            <w:vAlign w:val="center"/>
          </w:tcPr>
          <w:p w:rsidR="00EE56C0" w:rsidRDefault="00EE56C0">
            <w:pPr>
              <w:pStyle w:val="afa"/>
            </w:pPr>
          </w:p>
        </w:tc>
        <w:tc>
          <w:tcPr>
            <w:tcW w:w="377" w:type="pct"/>
            <w:vMerge/>
            <w:vAlign w:val="center"/>
          </w:tcPr>
          <w:p w:rsidR="00EE56C0" w:rsidRDefault="00EE56C0">
            <w:pPr>
              <w:pStyle w:val="afa"/>
            </w:pPr>
          </w:p>
        </w:tc>
        <w:tc>
          <w:tcPr>
            <w:tcW w:w="477" w:type="pct"/>
            <w:vMerge/>
            <w:vAlign w:val="center"/>
          </w:tcPr>
          <w:p w:rsidR="00EE56C0" w:rsidRDefault="00EE56C0">
            <w:pPr>
              <w:pStyle w:val="afa"/>
            </w:pPr>
          </w:p>
        </w:tc>
        <w:tc>
          <w:tcPr>
            <w:tcW w:w="377" w:type="pct"/>
            <w:vMerge/>
            <w:vAlign w:val="center"/>
          </w:tcPr>
          <w:p w:rsidR="00EE56C0" w:rsidRDefault="00EE56C0">
            <w:pPr>
              <w:pStyle w:val="afa"/>
            </w:pPr>
          </w:p>
        </w:tc>
        <w:tc>
          <w:tcPr>
            <w:tcW w:w="377" w:type="pct"/>
            <w:vMerge/>
            <w:vAlign w:val="center"/>
          </w:tcPr>
          <w:p w:rsidR="00EE56C0" w:rsidRDefault="00EE56C0">
            <w:pPr>
              <w:pStyle w:val="afa"/>
            </w:pPr>
          </w:p>
        </w:tc>
        <w:tc>
          <w:tcPr>
            <w:tcW w:w="377" w:type="pct"/>
            <w:vMerge/>
            <w:vAlign w:val="center"/>
          </w:tcPr>
          <w:p w:rsidR="00EE56C0" w:rsidRDefault="00EE56C0">
            <w:pPr>
              <w:pStyle w:val="afa"/>
            </w:pPr>
          </w:p>
        </w:tc>
        <w:tc>
          <w:tcPr>
            <w:tcW w:w="377" w:type="pct"/>
            <w:vMerge/>
            <w:vAlign w:val="center"/>
          </w:tcPr>
          <w:p w:rsidR="00EE56C0" w:rsidRDefault="00EE56C0">
            <w:pPr>
              <w:pStyle w:val="afa"/>
            </w:pPr>
          </w:p>
        </w:tc>
        <w:tc>
          <w:tcPr>
            <w:tcW w:w="377" w:type="pct"/>
            <w:vMerge/>
            <w:vAlign w:val="center"/>
          </w:tcPr>
          <w:p w:rsidR="00EE56C0" w:rsidRDefault="00EE56C0">
            <w:pPr>
              <w:pStyle w:val="afa"/>
            </w:pPr>
          </w:p>
        </w:tc>
        <w:tc>
          <w:tcPr>
            <w:tcW w:w="780" w:type="pct"/>
            <w:vMerge/>
            <w:vAlign w:val="center"/>
          </w:tcPr>
          <w:p w:rsidR="00EE56C0" w:rsidRDefault="00EE56C0">
            <w:pPr>
              <w:pStyle w:val="afa"/>
            </w:pPr>
          </w:p>
        </w:tc>
        <w:tc>
          <w:tcPr>
            <w:tcW w:w="536" w:type="pct"/>
            <w:tcBorders>
              <w:left w:val="single" w:sz="4" w:space="0" w:color="auto"/>
            </w:tcBorders>
            <w:vAlign w:val="center"/>
          </w:tcPr>
          <w:p w:rsidR="00EE56C0" w:rsidRDefault="000F36A1">
            <w:pPr>
              <w:pStyle w:val="afa"/>
              <w:rPr>
                <w:rFonts w:eastAsia="宋体"/>
                <w:u w:val="single"/>
              </w:rPr>
            </w:pPr>
            <w:r>
              <w:rPr>
                <w:u w:val="single"/>
              </w:rPr>
              <w:t xml:space="preserve">1.4450 </w:t>
            </w:r>
          </w:p>
        </w:tc>
      </w:tr>
      <w:tr w:rsidR="00EE56C0">
        <w:trPr>
          <w:trHeight w:val="454"/>
          <w:jc w:val="center"/>
        </w:trPr>
        <w:tc>
          <w:tcPr>
            <w:tcW w:w="323" w:type="pct"/>
            <w:vMerge/>
            <w:vAlign w:val="center"/>
          </w:tcPr>
          <w:p w:rsidR="00EE56C0" w:rsidRDefault="00EE56C0">
            <w:pPr>
              <w:pStyle w:val="afa"/>
            </w:pPr>
          </w:p>
        </w:tc>
        <w:tc>
          <w:tcPr>
            <w:tcW w:w="311" w:type="pct"/>
            <w:vAlign w:val="center"/>
          </w:tcPr>
          <w:p w:rsidR="00EE56C0" w:rsidRDefault="000F36A1">
            <w:pPr>
              <w:pStyle w:val="afa"/>
            </w:pPr>
            <w:r>
              <w:rPr>
                <w:rFonts w:hint="eastAsia"/>
              </w:rPr>
              <w:t>二甲苯</w:t>
            </w:r>
          </w:p>
        </w:tc>
        <w:tc>
          <w:tcPr>
            <w:tcW w:w="311" w:type="pct"/>
            <w:vMerge/>
            <w:vAlign w:val="center"/>
          </w:tcPr>
          <w:p w:rsidR="00EE56C0" w:rsidRDefault="00EE56C0">
            <w:pPr>
              <w:pStyle w:val="afa"/>
            </w:pPr>
          </w:p>
        </w:tc>
        <w:tc>
          <w:tcPr>
            <w:tcW w:w="377" w:type="pct"/>
            <w:vMerge/>
            <w:vAlign w:val="center"/>
          </w:tcPr>
          <w:p w:rsidR="00EE56C0" w:rsidRDefault="00EE56C0">
            <w:pPr>
              <w:pStyle w:val="afa"/>
            </w:pPr>
          </w:p>
        </w:tc>
        <w:tc>
          <w:tcPr>
            <w:tcW w:w="477" w:type="pct"/>
            <w:vMerge/>
            <w:vAlign w:val="center"/>
          </w:tcPr>
          <w:p w:rsidR="00EE56C0" w:rsidRDefault="00EE56C0">
            <w:pPr>
              <w:pStyle w:val="afa"/>
            </w:pPr>
          </w:p>
        </w:tc>
        <w:tc>
          <w:tcPr>
            <w:tcW w:w="377" w:type="pct"/>
            <w:vMerge/>
            <w:vAlign w:val="center"/>
          </w:tcPr>
          <w:p w:rsidR="00EE56C0" w:rsidRDefault="00EE56C0">
            <w:pPr>
              <w:pStyle w:val="afa"/>
            </w:pPr>
          </w:p>
        </w:tc>
        <w:tc>
          <w:tcPr>
            <w:tcW w:w="377" w:type="pct"/>
            <w:vMerge/>
            <w:vAlign w:val="center"/>
          </w:tcPr>
          <w:p w:rsidR="00EE56C0" w:rsidRDefault="00EE56C0">
            <w:pPr>
              <w:pStyle w:val="afa"/>
            </w:pPr>
          </w:p>
        </w:tc>
        <w:tc>
          <w:tcPr>
            <w:tcW w:w="377" w:type="pct"/>
            <w:vMerge/>
            <w:vAlign w:val="center"/>
          </w:tcPr>
          <w:p w:rsidR="00EE56C0" w:rsidRDefault="00EE56C0">
            <w:pPr>
              <w:pStyle w:val="afa"/>
            </w:pPr>
          </w:p>
        </w:tc>
        <w:tc>
          <w:tcPr>
            <w:tcW w:w="377" w:type="pct"/>
            <w:vMerge/>
            <w:vAlign w:val="center"/>
          </w:tcPr>
          <w:p w:rsidR="00EE56C0" w:rsidRDefault="00EE56C0">
            <w:pPr>
              <w:pStyle w:val="afa"/>
            </w:pPr>
          </w:p>
        </w:tc>
        <w:tc>
          <w:tcPr>
            <w:tcW w:w="377" w:type="pct"/>
            <w:vMerge/>
            <w:vAlign w:val="center"/>
          </w:tcPr>
          <w:p w:rsidR="00EE56C0" w:rsidRDefault="00EE56C0">
            <w:pPr>
              <w:pStyle w:val="afa"/>
            </w:pPr>
          </w:p>
        </w:tc>
        <w:tc>
          <w:tcPr>
            <w:tcW w:w="780" w:type="pct"/>
            <w:vMerge/>
            <w:vAlign w:val="center"/>
          </w:tcPr>
          <w:p w:rsidR="00EE56C0" w:rsidRDefault="00EE56C0">
            <w:pPr>
              <w:pStyle w:val="afa"/>
            </w:pPr>
          </w:p>
        </w:tc>
        <w:tc>
          <w:tcPr>
            <w:tcW w:w="536" w:type="pct"/>
            <w:tcBorders>
              <w:left w:val="single" w:sz="4" w:space="0" w:color="auto"/>
            </w:tcBorders>
            <w:vAlign w:val="center"/>
          </w:tcPr>
          <w:p w:rsidR="00EE56C0" w:rsidRDefault="000F36A1">
            <w:pPr>
              <w:pStyle w:val="afa"/>
              <w:rPr>
                <w:rFonts w:eastAsia="宋体"/>
                <w:u w:val="single"/>
              </w:rPr>
            </w:pPr>
            <w:r>
              <w:rPr>
                <w:u w:val="single"/>
              </w:rPr>
              <w:t xml:space="preserve">2.8335 </w:t>
            </w:r>
          </w:p>
        </w:tc>
      </w:tr>
      <w:tr w:rsidR="00EE56C0">
        <w:trPr>
          <w:trHeight w:val="454"/>
          <w:jc w:val="center"/>
        </w:trPr>
        <w:tc>
          <w:tcPr>
            <w:tcW w:w="323" w:type="pct"/>
            <w:vMerge/>
            <w:vAlign w:val="center"/>
          </w:tcPr>
          <w:p w:rsidR="00EE56C0" w:rsidRDefault="00EE56C0">
            <w:pPr>
              <w:pStyle w:val="afa"/>
            </w:pPr>
          </w:p>
        </w:tc>
        <w:tc>
          <w:tcPr>
            <w:tcW w:w="311" w:type="pct"/>
            <w:vAlign w:val="center"/>
          </w:tcPr>
          <w:p w:rsidR="00EE56C0" w:rsidRDefault="000F36A1">
            <w:pPr>
              <w:pStyle w:val="afa"/>
            </w:pPr>
            <w:r>
              <w:rPr>
                <w:rFonts w:hint="eastAsia"/>
              </w:rPr>
              <w:t>甲苯</w:t>
            </w:r>
          </w:p>
        </w:tc>
        <w:tc>
          <w:tcPr>
            <w:tcW w:w="311" w:type="pct"/>
            <w:vMerge/>
            <w:vAlign w:val="center"/>
          </w:tcPr>
          <w:p w:rsidR="00EE56C0" w:rsidRDefault="00EE56C0">
            <w:pPr>
              <w:pStyle w:val="afa"/>
            </w:pPr>
          </w:p>
        </w:tc>
        <w:tc>
          <w:tcPr>
            <w:tcW w:w="377" w:type="pct"/>
            <w:vMerge/>
            <w:vAlign w:val="center"/>
          </w:tcPr>
          <w:p w:rsidR="00EE56C0" w:rsidRDefault="00EE56C0">
            <w:pPr>
              <w:pStyle w:val="afa"/>
            </w:pPr>
          </w:p>
        </w:tc>
        <w:tc>
          <w:tcPr>
            <w:tcW w:w="477" w:type="pct"/>
            <w:vMerge/>
            <w:vAlign w:val="center"/>
          </w:tcPr>
          <w:p w:rsidR="00EE56C0" w:rsidRDefault="00EE56C0">
            <w:pPr>
              <w:pStyle w:val="afa"/>
            </w:pPr>
          </w:p>
        </w:tc>
        <w:tc>
          <w:tcPr>
            <w:tcW w:w="377" w:type="pct"/>
            <w:vMerge/>
            <w:vAlign w:val="center"/>
          </w:tcPr>
          <w:p w:rsidR="00EE56C0" w:rsidRDefault="00EE56C0">
            <w:pPr>
              <w:pStyle w:val="afa"/>
            </w:pPr>
          </w:p>
        </w:tc>
        <w:tc>
          <w:tcPr>
            <w:tcW w:w="377" w:type="pct"/>
            <w:vMerge/>
            <w:vAlign w:val="center"/>
          </w:tcPr>
          <w:p w:rsidR="00EE56C0" w:rsidRDefault="00EE56C0">
            <w:pPr>
              <w:pStyle w:val="afa"/>
            </w:pPr>
          </w:p>
        </w:tc>
        <w:tc>
          <w:tcPr>
            <w:tcW w:w="377" w:type="pct"/>
            <w:vMerge/>
            <w:vAlign w:val="center"/>
          </w:tcPr>
          <w:p w:rsidR="00EE56C0" w:rsidRDefault="00EE56C0">
            <w:pPr>
              <w:pStyle w:val="afa"/>
            </w:pPr>
          </w:p>
        </w:tc>
        <w:tc>
          <w:tcPr>
            <w:tcW w:w="377" w:type="pct"/>
            <w:vMerge/>
            <w:vAlign w:val="center"/>
          </w:tcPr>
          <w:p w:rsidR="00EE56C0" w:rsidRDefault="00EE56C0">
            <w:pPr>
              <w:pStyle w:val="afa"/>
            </w:pPr>
          </w:p>
        </w:tc>
        <w:tc>
          <w:tcPr>
            <w:tcW w:w="377" w:type="pct"/>
            <w:vMerge/>
            <w:vAlign w:val="center"/>
          </w:tcPr>
          <w:p w:rsidR="00EE56C0" w:rsidRDefault="00EE56C0">
            <w:pPr>
              <w:pStyle w:val="afa"/>
            </w:pPr>
          </w:p>
        </w:tc>
        <w:tc>
          <w:tcPr>
            <w:tcW w:w="780" w:type="pct"/>
            <w:vMerge/>
            <w:vAlign w:val="center"/>
          </w:tcPr>
          <w:p w:rsidR="00EE56C0" w:rsidRDefault="00EE56C0">
            <w:pPr>
              <w:pStyle w:val="afa"/>
            </w:pPr>
          </w:p>
        </w:tc>
        <w:tc>
          <w:tcPr>
            <w:tcW w:w="536" w:type="pct"/>
            <w:tcBorders>
              <w:left w:val="single" w:sz="4" w:space="0" w:color="auto"/>
            </w:tcBorders>
            <w:vAlign w:val="center"/>
          </w:tcPr>
          <w:p w:rsidR="00EE56C0" w:rsidRDefault="000F36A1">
            <w:pPr>
              <w:pStyle w:val="afa"/>
              <w:rPr>
                <w:rFonts w:eastAsia="宋体"/>
                <w:u w:val="single"/>
              </w:rPr>
            </w:pPr>
            <w:r>
              <w:rPr>
                <w:u w:val="single"/>
              </w:rPr>
              <w:t xml:space="preserve">2.7487 </w:t>
            </w:r>
          </w:p>
        </w:tc>
      </w:tr>
      <w:tr w:rsidR="00EE56C0">
        <w:trPr>
          <w:trHeight w:val="454"/>
          <w:jc w:val="center"/>
        </w:trPr>
        <w:tc>
          <w:tcPr>
            <w:tcW w:w="323" w:type="pct"/>
            <w:vMerge/>
            <w:vAlign w:val="center"/>
          </w:tcPr>
          <w:p w:rsidR="00EE56C0" w:rsidRDefault="00EE56C0">
            <w:pPr>
              <w:pStyle w:val="afa"/>
            </w:pPr>
          </w:p>
        </w:tc>
        <w:tc>
          <w:tcPr>
            <w:tcW w:w="311" w:type="pct"/>
            <w:vAlign w:val="center"/>
          </w:tcPr>
          <w:p w:rsidR="00EE56C0" w:rsidRDefault="000F36A1">
            <w:pPr>
              <w:pStyle w:val="afa"/>
            </w:pPr>
            <w:r>
              <w:rPr>
                <w:rFonts w:hint="eastAsia"/>
              </w:rPr>
              <w:t>苯</w:t>
            </w:r>
          </w:p>
        </w:tc>
        <w:tc>
          <w:tcPr>
            <w:tcW w:w="311" w:type="pct"/>
            <w:vMerge/>
            <w:vAlign w:val="center"/>
          </w:tcPr>
          <w:p w:rsidR="00EE56C0" w:rsidRDefault="00EE56C0">
            <w:pPr>
              <w:pStyle w:val="afa"/>
            </w:pPr>
          </w:p>
        </w:tc>
        <w:tc>
          <w:tcPr>
            <w:tcW w:w="377" w:type="pct"/>
            <w:vMerge/>
            <w:vAlign w:val="center"/>
          </w:tcPr>
          <w:p w:rsidR="00EE56C0" w:rsidRDefault="00EE56C0">
            <w:pPr>
              <w:pStyle w:val="afa"/>
            </w:pPr>
          </w:p>
        </w:tc>
        <w:tc>
          <w:tcPr>
            <w:tcW w:w="477" w:type="pct"/>
            <w:vMerge/>
            <w:vAlign w:val="center"/>
          </w:tcPr>
          <w:p w:rsidR="00EE56C0" w:rsidRDefault="00EE56C0">
            <w:pPr>
              <w:pStyle w:val="afa"/>
            </w:pPr>
          </w:p>
        </w:tc>
        <w:tc>
          <w:tcPr>
            <w:tcW w:w="377" w:type="pct"/>
            <w:vMerge/>
            <w:vAlign w:val="center"/>
          </w:tcPr>
          <w:p w:rsidR="00EE56C0" w:rsidRDefault="00EE56C0">
            <w:pPr>
              <w:pStyle w:val="afa"/>
            </w:pPr>
          </w:p>
        </w:tc>
        <w:tc>
          <w:tcPr>
            <w:tcW w:w="377" w:type="pct"/>
            <w:vMerge/>
            <w:vAlign w:val="center"/>
          </w:tcPr>
          <w:p w:rsidR="00EE56C0" w:rsidRDefault="00EE56C0">
            <w:pPr>
              <w:pStyle w:val="afa"/>
            </w:pPr>
          </w:p>
        </w:tc>
        <w:tc>
          <w:tcPr>
            <w:tcW w:w="377" w:type="pct"/>
            <w:vMerge/>
            <w:vAlign w:val="center"/>
          </w:tcPr>
          <w:p w:rsidR="00EE56C0" w:rsidRDefault="00EE56C0">
            <w:pPr>
              <w:pStyle w:val="afa"/>
            </w:pPr>
          </w:p>
        </w:tc>
        <w:tc>
          <w:tcPr>
            <w:tcW w:w="377" w:type="pct"/>
            <w:vMerge/>
            <w:vAlign w:val="center"/>
          </w:tcPr>
          <w:p w:rsidR="00EE56C0" w:rsidRDefault="00EE56C0">
            <w:pPr>
              <w:pStyle w:val="afa"/>
            </w:pPr>
          </w:p>
        </w:tc>
        <w:tc>
          <w:tcPr>
            <w:tcW w:w="377" w:type="pct"/>
            <w:vMerge/>
            <w:vAlign w:val="center"/>
          </w:tcPr>
          <w:p w:rsidR="00EE56C0" w:rsidRDefault="00EE56C0">
            <w:pPr>
              <w:pStyle w:val="afa"/>
            </w:pPr>
          </w:p>
        </w:tc>
        <w:tc>
          <w:tcPr>
            <w:tcW w:w="780" w:type="pct"/>
            <w:vMerge/>
            <w:vAlign w:val="center"/>
          </w:tcPr>
          <w:p w:rsidR="00EE56C0" w:rsidRDefault="00EE56C0">
            <w:pPr>
              <w:pStyle w:val="afa"/>
            </w:pPr>
          </w:p>
        </w:tc>
        <w:tc>
          <w:tcPr>
            <w:tcW w:w="536" w:type="pct"/>
            <w:tcBorders>
              <w:left w:val="single" w:sz="4" w:space="0" w:color="auto"/>
            </w:tcBorders>
            <w:vAlign w:val="center"/>
          </w:tcPr>
          <w:p w:rsidR="00EE56C0" w:rsidRDefault="000F36A1">
            <w:pPr>
              <w:pStyle w:val="afa"/>
              <w:rPr>
                <w:rFonts w:eastAsia="宋体"/>
                <w:u w:val="single"/>
              </w:rPr>
            </w:pPr>
            <w:r>
              <w:rPr>
                <w:u w:val="single"/>
              </w:rPr>
              <w:t xml:space="preserve">0.9162 </w:t>
            </w:r>
          </w:p>
        </w:tc>
      </w:tr>
    </w:tbl>
    <w:p w:rsidR="00EE56C0" w:rsidRDefault="000F36A1">
      <w:pPr>
        <w:pStyle w:val="4"/>
        <w:ind w:left="120" w:firstLine="241"/>
      </w:pPr>
      <w:r>
        <w:rPr>
          <w:rFonts w:hint="eastAsia"/>
        </w:rPr>
        <w:t>5.1.2.4</w:t>
      </w:r>
      <w:r>
        <w:rPr>
          <w:rFonts w:hint="eastAsia"/>
        </w:rPr>
        <w:t>评价工作等级</w:t>
      </w:r>
      <w:bookmarkEnd w:id="325"/>
      <w:bookmarkEnd w:id="326"/>
    </w:p>
    <w:p w:rsidR="00EE56C0" w:rsidRDefault="000F36A1">
      <w:pPr>
        <w:pStyle w:val="5"/>
        <w:numPr>
          <w:ilvl w:val="0"/>
          <w:numId w:val="6"/>
        </w:numPr>
      </w:pPr>
      <w:r>
        <w:rPr>
          <w:rFonts w:hint="eastAsia"/>
        </w:rPr>
        <w:t>模型参数</w:t>
      </w:r>
    </w:p>
    <w:p w:rsidR="00EE56C0" w:rsidRDefault="000F36A1">
      <w:pPr>
        <w:ind w:firstLine="480"/>
      </w:pPr>
      <w:r>
        <w:t>采用《环境影响评价技术导则</w:t>
      </w:r>
      <w:r>
        <w:t xml:space="preserve">  </w:t>
      </w:r>
      <w:r>
        <w:t>大气环境》</w:t>
      </w:r>
      <w:r>
        <w:rPr>
          <w:rFonts w:hint="eastAsia"/>
        </w:rPr>
        <w:t>（</w:t>
      </w:r>
      <w:r>
        <w:t>HJ2.2-20</w:t>
      </w:r>
      <w:r>
        <w:rPr>
          <w:rFonts w:hint="eastAsia"/>
        </w:rPr>
        <w:t>18</w:t>
      </w:r>
      <w:r>
        <w:rPr>
          <w:rFonts w:hint="eastAsia"/>
        </w:rPr>
        <w:t>）</w:t>
      </w:r>
      <w:r>
        <w:t>推荐的估算模式</w:t>
      </w:r>
      <w:r>
        <w:rPr>
          <w:rFonts w:hint="eastAsia"/>
        </w:rPr>
        <w:t>AERSCREEN</w:t>
      </w:r>
      <w:r>
        <w:t>计算工程主要污染源污染物的最大落地浓度及其出现距离，</w:t>
      </w:r>
      <w:r>
        <w:rPr>
          <w:rFonts w:hint="eastAsia"/>
        </w:rPr>
        <w:t>估算模</w:t>
      </w:r>
      <w:r>
        <w:rPr>
          <w:rFonts w:hint="eastAsia"/>
        </w:rPr>
        <w:lastRenderedPageBreak/>
        <w:t>型参数见下表。</w:t>
      </w:r>
    </w:p>
    <w:p w:rsidR="00EE56C0" w:rsidRDefault="000F36A1">
      <w:pPr>
        <w:pStyle w:val="afd"/>
        <w:spacing w:before="120" w:after="120"/>
        <w:ind w:firstLine="482"/>
      </w:pPr>
      <w:r>
        <w:t>表</w:t>
      </w:r>
      <w:r>
        <w:t>5-</w:t>
      </w:r>
      <w:r>
        <w:rPr>
          <w:rFonts w:hint="eastAsia"/>
        </w:rPr>
        <w:t xml:space="preserve">16                     </w:t>
      </w:r>
      <w:r>
        <w:t>估算</w:t>
      </w:r>
      <w:r>
        <w:rPr>
          <w:rFonts w:hint="eastAsia"/>
        </w:rPr>
        <w:t>模型参数</w:t>
      </w:r>
      <w:r>
        <w:t>表</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28" w:type="dxa"/>
          <w:right w:w="28" w:type="dxa"/>
        </w:tblCellMar>
        <w:tblLook w:val="04A0"/>
      </w:tblPr>
      <w:tblGrid>
        <w:gridCol w:w="2197"/>
        <w:gridCol w:w="3391"/>
        <w:gridCol w:w="2781"/>
      </w:tblGrid>
      <w:tr w:rsidR="00EE56C0">
        <w:trPr>
          <w:trHeight w:val="454"/>
          <w:jc w:val="center"/>
        </w:trPr>
        <w:tc>
          <w:tcPr>
            <w:tcW w:w="5587" w:type="dxa"/>
            <w:gridSpan w:val="2"/>
            <w:vAlign w:val="center"/>
          </w:tcPr>
          <w:p w:rsidR="00EE56C0" w:rsidRDefault="000F36A1">
            <w:pPr>
              <w:pStyle w:val="aff1"/>
              <w:rPr>
                <w:color w:val="auto"/>
              </w:rPr>
            </w:pPr>
            <w:r>
              <w:rPr>
                <w:rFonts w:hint="eastAsia"/>
                <w:color w:val="auto"/>
              </w:rPr>
              <w:t>参数</w:t>
            </w:r>
          </w:p>
        </w:tc>
        <w:tc>
          <w:tcPr>
            <w:tcW w:w="2781" w:type="dxa"/>
            <w:vAlign w:val="center"/>
          </w:tcPr>
          <w:p w:rsidR="00EE56C0" w:rsidRDefault="000F36A1">
            <w:pPr>
              <w:pStyle w:val="aff1"/>
              <w:rPr>
                <w:color w:val="auto"/>
              </w:rPr>
            </w:pPr>
            <w:r>
              <w:rPr>
                <w:rFonts w:hint="eastAsia"/>
                <w:color w:val="auto"/>
              </w:rPr>
              <w:t>取值</w:t>
            </w:r>
          </w:p>
        </w:tc>
      </w:tr>
      <w:tr w:rsidR="00EE56C0">
        <w:trPr>
          <w:trHeight w:val="454"/>
          <w:jc w:val="center"/>
        </w:trPr>
        <w:tc>
          <w:tcPr>
            <w:tcW w:w="2196" w:type="dxa"/>
            <w:vMerge w:val="restart"/>
            <w:vAlign w:val="center"/>
          </w:tcPr>
          <w:p w:rsidR="00EE56C0" w:rsidRDefault="000F36A1">
            <w:pPr>
              <w:pStyle w:val="afa"/>
            </w:pPr>
            <w:r>
              <w:rPr>
                <w:rFonts w:hint="eastAsia"/>
              </w:rPr>
              <w:t>城市</w:t>
            </w:r>
            <w:r>
              <w:rPr>
                <w:rFonts w:hint="eastAsia"/>
              </w:rPr>
              <w:t>/</w:t>
            </w:r>
            <w:r>
              <w:rPr>
                <w:rFonts w:hint="eastAsia"/>
              </w:rPr>
              <w:t>农村选项</w:t>
            </w:r>
          </w:p>
        </w:tc>
        <w:tc>
          <w:tcPr>
            <w:tcW w:w="3391" w:type="dxa"/>
            <w:vAlign w:val="center"/>
          </w:tcPr>
          <w:p w:rsidR="00EE56C0" w:rsidRDefault="000F36A1">
            <w:pPr>
              <w:pStyle w:val="afa"/>
            </w:pPr>
            <w:r>
              <w:rPr>
                <w:rFonts w:hint="eastAsia"/>
              </w:rPr>
              <w:t>城市</w:t>
            </w:r>
            <w:r>
              <w:rPr>
                <w:rFonts w:hint="eastAsia"/>
              </w:rPr>
              <w:t>/</w:t>
            </w:r>
            <w:r>
              <w:rPr>
                <w:rFonts w:hint="eastAsia"/>
              </w:rPr>
              <w:t>农村</w:t>
            </w:r>
          </w:p>
        </w:tc>
        <w:tc>
          <w:tcPr>
            <w:tcW w:w="2781" w:type="dxa"/>
            <w:vAlign w:val="center"/>
          </w:tcPr>
          <w:p w:rsidR="00EE56C0" w:rsidRDefault="000F36A1">
            <w:pPr>
              <w:pStyle w:val="afa"/>
              <w:rPr>
                <w:spacing w:val="-4"/>
              </w:rPr>
            </w:pPr>
            <w:r>
              <w:rPr>
                <w:rFonts w:hint="eastAsia"/>
              </w:rPr>
              <w:t>农村</w:t>
            </w:r>
          </w:p>
        </w:tc>
      </w:tr>
      <w:tr w:rsidR="00EE56C0">
        <w:trPr>
          <w:trHeight w:val="454"/>
          <w:jc w:val="center"/>
        </w:trPr>
        <w:tc>
          <w:tcPr>
            <w:tcW w:w="2196" w:type="dxa"/>
            <w:vMerge/>
            <w:vAlign w:val="center"/>
          </w:tcPr>
          <w:p w:rsidR="00EE56C0" w:rsidRDefault="00EE56C0">
            <w:pPr>
              <w:pStyle w:val="afa"/>
            </w:pPr>
          </w:p>
        </w:tc>
        <w:tc>
          <w:tcPr>
            <w:tcW w:w="3391" w:type="dxa"/>
            <w:vAlign w:val="center"/>
          </w:tcPr>
          <w:p w:rsidR="00EE56C0" w:rsidRDefault="000F36A1">
            <w:pPr>
              <w:pStyle w:val="afa"/>
            </w:pPr>
            <w:r>
              <w:rPr>
                <w:rFonts w:hint="eastAsia"/>
              </w:rPr>
              <w:t>人口数（城市选项时）</w:t>
            </w:r>
          </w:p>
        </w:tc>
        <w:tc>
          <w:tcPr>
            <w:tcW w:w="2781" w:type="dxa"/>
            <w:vAlign w:val="center"/>
          </w:tcPr>
          <w:p w:rsidR="00EE56C0" w:rsidRDefault="000F36A1">
            <w:pPr>
              <w:pStyle w:val="afa"/>
            </w:pPr>
            <w:r>
              <w:rPr>
                <w:rFonts w:hint="eastAsia"/>
              </w:rPr>
              <w:t>/</w:t>
            </w:r>
          </w:p>
        </w:tc>
      </w:tr>
      <w:tr w:rsidR="00EE56C0">
        <w:trPr>
          <w:trHeight w:val="454"/>
          <w:jc w:val="center"/>
        </w:trPr>
        <w:tc>
          <w:tcPr>
            <w:tcW w:w="5587" w:type="dxa"/>
            <w:gridSpan w:val="2"/>
            <w:vAlign w:val="center"/>
          </w:tcPr>
          <w:p w:rsidR="00EE56C0" w:rsidRDefault="000F36A1">
            <w:pPr>
              <w:pStyle w:val="afa"/>
            </w:pPr>
            <w:r>
              <w:rPr>
                <w:rFonts w:hint="eastAsia"/>
              </w:rPr>
              <w:t>最高环境温度</w:t>
            </w:r>
            <w:r>
              <w:rPr>
                <w:rFonts w:hint="eastAsia"/>
              </w:rPr>
              <w:t>/</w:t>
            </w:r>
            <w:r>
              <w:rPr>
                <w:rFonts w:hint="eastAsia"/>
              </w:rPr>
              <w:t>℃</w:t>
            </w:r>
          </w:p>
        </w:tc>
        <w:tc>
          <w:tcPr>
            <w:tcW w:w="2781" w:type="dxa"/>
            <w:vAlign w:val="center"/>
          </w:tcPr>
          <w:p w:rsidR="00EE56C0" w:rsidRDefault="000F36A1">
            <w:pPr>
              <w:pStyle w:val="afa"/>
              <w:rPr>
                <w:spacing w:val="-4"/>
              </w:rPr>
            </w:pPr>
            <w:r>
              <w:rPr>
                <w:rFonts w:hint="eastAsia"/>
                <w:spacing w:val="-4"/>
              </w:rPr>
              <w:t>40.9</w:t>
            </w:r>
          </w:p>
        </w:tc>
      </w:tr>
      <w:tr w:rsidR="00EE56C0">
        <w:trPr>
          <w:trHeight w:val="454"/>
          <w:jc w:val="center"/>
        </w:trPr>
        <w:tc>
          <w:tcPr>
            <w:tcW w:w="5587" w:type="dxa"/>
            <w:gridSpan w:val="2"/>
            <w:vAlign w:val="center"/>
          </w:tcPr>
          <w:p w:rsidR="00EE56C0" w:rsidRDefault="000F36A1">
            <w:pPr>
              <w:pStyle w:val="afa"/>
            </w:pPr>
            <w:r>
              <w:rPr>
                <w:rFonts w:hint="eastAsia"/>
              </w:rPr>
              <w:t>最低环境温度</w:t>
            </w:r>
            <w:r>
              <w:rPr>
                <w:rFonts w:hint="eastAsia"/>
              </w:rPr>
              <w:t>/</w:t>
            </w:r>
            <w:r>
              <w:rPr>
                <w:rFonts w:hint="eastAsia"/>
              </w:rPr>
              <w:t>℃</w:t>
            </w:r>
          </w:p>
        </w:tc>
        <w:tc>
          <w:tcPr>
            <w:tcW w:w="2781" w:type="dxa"/>
            <w:vAlign w:val="center"/>
          </w:tcPr>
          <w:p w:rsidR="00EE56C0" w:rsidRDefault="000F36A1">
            <w:pPr>
              <w:pStyle w:val="afa"/>
              <w:rPr>
                <w:spacing w:val="-4"/>
              </w:rPr>
            </w:pPr>
            <w:r>
              <w:rPr>
                <w:rFonts w:hint="eastAsia"/>
                <w:spacing w:val="-4"/>
              </w:rPr>
              <w:t>-13.1</w:t>
            </w:r>
          </w:p>
        </w:tc>
      </w:tr>
      <w:tr w:rsidR="00EE56C0">
        <w:trPr>
          <w:trHeight w:val="454"/>
          <w:jc w:val="center"/>
        </w:trPr>
        <w:tc>
          <w:tcPr>
            <w:tcW w:w="5587" w:type="dxa"/>
            <w:gridSpan w:val="2"/>
            <w:vAlign w:val="center"/>
          </w:tcPr>
          <w:p w:rsidR="00EE56C0" w:rsidRDefault="000F36A1">
            <w:pPr>
              <w:pStyle w:val="afa"/>
            </w:pPr>
            <w:r>
              <w:rPr>
                <w:rFonts w:hint="eastAsia"/>
              </w:rPr>
              <w:t>土地利用类型</w:t>
            </w:r>
          </w:p>
        </w:tc>
        <w:tc>
          <w:tcPr>
            <w:tcW w:w="2781" w:type="dxa"/>
            <w:vAlign w:val="center"/>
          </w:tcPr>
          <w:p w:rsidR="00EE56C0" w:rsidRDefault="000F36A1">
            <w:pPr>
              <w:pStyle w:val="afa"/>
              <w:rPr>
                <w:spacing w:val="-4"/>
              </w:rPr>
            </w:pPr>
            <w:r>
              <w:rPr>
                <w:rFonts w:hint="eastAsia"/>
              </w:rPr>
              <w:t>农作地</w:t>
            </w:r>
          </w:p>
        </w:tc>
      </w:tr>
      <w:tr w:rsidR="00EE56C0">
        <w:trPr>
          <w:trHeight w:val="454"/>
          <w:jc w:val="center"/>
        </w:trPr>
        <w:tc>
          <w:tcPr>
            <w:tcW w:w="5587" w:type="dxa"/>
            <w:gridSpan w:val="2"/>
            <w:vAlign w:val="center"/>
          </w:tcPr>
          <w:p w:rsidR="00EE56C0" w:rsidRDefault="000F36A1">
            <w:pPr>
              <w:pStyle w:val="afa"/>
            </w:pPr>
            <w:r>
              <w:rPr>
                <w:rFonts w:hint="eastAsia"/>
              </w:rPr>
              <w:t>区域湿度条件</w:t>
            </w:r>
          </w:p>
        </w:tc>
        <w:tc>
          <w:tcPr>
            <w:tcW w:w="2781" w:type="dxa"/>
            <w:vAlign w:val="center"/>
          </w:tcPr>
          <w:p w:rsidR="00EE56C0" w:rsidRDefault="000F36A1">
            <w:pPr>
              <w:pStyle w:val="afa"/>
              <w:rPr>
                <w:spacing w:val="-4"/>
              </w:rPr>
            </w:pPr>
            <w:r>
              <w:rPr>
                <w:rFonts w:hint="eastAsia"/>
                <w:spacing w:val="-4"/>
              </w:rPr>
              <w:t>中等湿度气候</w:t>
            </w:r>
          </w:p>
        </w:tc>
      </w:tr>
      <w:tr w:rsidR="00EE56C0">
        <w:trPr>
          <w:trHeight w:val="454"/>
          <w:jc w:val="center"/>
        </w:trPr>
        <w:tc>
          <w:tcPr>
            <w:tcW w:w="2196" w:type="dxa"/>
            <w:vMerge w:val="restart"/>
            <w:vAlign w:val="center"/>
          </w:tcPr>
          <w:p w:rsidR="00EE56C0" w:rsidRDefault="000F36A1">
            <w:pPr>
              <w:pStyle w:val="afa"/>
              <w:rPr>
                <w:spacing w:val="-4"/>
              </w:rPr>
            </w:pPr>
            <w:r>
              <w:rPr>
                <w:rFonts w:hint="eastAsia"/>
                <w:spacing w:val="-4"/>
              </w:rPr>
              <w:t>是否考虑地形</w:t>
            </w:r>
          </w:p>
        </w:tc>
        <w:tc>
          <w:tcPr>
            <w:tcW w:w="3391" w:type="dxa"/>
            <w:vAlign w:val="center"/>
          </w:tcPr>
          <w:p w:rsidR="00EE56C0" w:rsidRDefault="000F36A1">
            <w:pPr>
              <w:pStyle w:val="afa"/>
            </w:pPr>
            <w:r>
              <w:rPr>
                <w:rFonts w:hint="eastAsia"/>
              </w:rPr>
              <w:t>考虑地形</w:t>
            </w:r>
          </w:p>
        </w:tc>
        <w:tc>
          <w:tcPr>
            <w:tcW w:w="2781" w:type="dxa"/>
            <w:vAlign w:val="center"/>
          </w:tcPr>
          <w:p w:rsidR="00EE56C0" w:rsidRDefault="000F36A1">
            <w:pPr>
              <w:pStyle w:val="afa"/>
              <w:rPr>
                <w:spacing w:val="-4"/>
              </w:rPr>
            </w:pPr>
            <w:r>
              <w:rPr>
                <w:rFonts w:hint="eastAsia"/>
                <w:spacing w:val="-4"/>
              </w:rPr>
              <w:t>是</w:t>
            </w:r>
          </w:p>
        </w:tc>
      </w:tr>
      <w:tr w:rsidR="00EE56C0">
        <w:trPr>
          <w:trHeight w:val="454"/>
          <w:jc w:val="center"/>
        </w:trPr>
        <w:tc>
          <w:tcPr>
            <w:tcW w:w="2196" w:type="dxa"/>
            <w:vMerge/>
            <w:vAlign w:val="center"/>
          </w:tcPr>
          <w:p w:rsidR="00EE56C0" w:rsidRDefault="00EE56C0">
            <w:pPr>
              <w:pStyle w:val="afa"/>
              <w:rPr>
                <w:spacing w:val="-4"/>
              </w:rPr>
            </w:pPr>
          </w:p>
        </w:tc>
        <w:tc>
          <w:tcPr>
            <w:tcW w:w="3391" w:type="dxa"/>
            <w:vAlign w:val="center"/>
          </w:tcPr>
          <w:p w:rsidR="00EE56C0" w:rsidRDefault="000F36A1">
            <w:pPr>
              <w:pStyle w:val="afa"/>
            </w:pPr>
            <w:r>
              <w:rPr>
                <w:rFonts w:hint="eastAsia"/>
              </w:rPr>
              <w:t>地形数据分辨率</w:t>
            </w:r>
            <w:r>
              <w:rPr>
                <w:rFonts w:hint="eastAsia"/>
              </w:rPr>
              <w:t>/m</w:t>
            </w:r>
          </w:p>
        </w:tc>
        <w:tc>
          <w:tcPr>
            <w:tcW w:w="2781" w:type="dxa"/>
            <w:vAlign w:val="center"/>
          </w:tcPr>
          <w:p w:rsidR="00EE56C0" w:rsidRDefault="000F36A1">
            <w:pPr>
              <w:pStyle w:val="afa"/>
              <w:rPr>
                <w:spacing w:val="-4"/>
              </w:rPr>
            </w:pPr>
            <w:r>
              <w:rPr>
                <w:rFonts w:hint="eastAsia"/>
                <w:spacing w:val="-4"/>
              </w:rPr>
              <w:t>90m</w:t>
            </w:r>
          </w:p>
        </w:tc>
      </w:tr>
      <w:tr w:rsidR="00EE56C0">
        <w:trPr>
          <w:trHeight w:val="454"/>
          <w:jc w:val="center"/>
        </w:trPr>
        <w:tc>
          <w:tcPr>
            <w:tcW w:w="2196" w:type="dxa"/>
            <w:vMerge w:val="restart"/>
            <w:vAlign w:val="center"/>
          </w:tcPr>
          <w:p w:rsidR="00EE56C0" w:rsidRDefault="000F36A1">
            <w:pPr>
              <w:pStyle w:val="afa"/>
              <w:rPr>
                <w:spacing w:val="-4"/>
              </w:rPr>
            </w:pPr>
            <w:r>
              <w:rPr>
                <w:rFonts w:hint="eastAsia"/>
                <w:spacing w:val="-4"/>
              </w:rPr>
              <w:t>是否考虑岸线熏烟</w:t>
            </w:r>
          </w:p>
        </w:tc>
        <w:tc>
          <w:tcPr>
            <w:tcW w:w="3391" w:type="dxa"/>
            <w:vAlign w:val="center"/>
          </w:tcPr>
          <w:p w:rsidR="00EE56C0" w:rsidRDefault="000F36A1">
            <w:pPr>
              <w:pStyle w:val="afa"/>
            </w:pPr>
            <w:r>
              <w:rPr>
                <w:rFonts w:hint="eastAsia"/>
                <w:spacing w:val="-4"/>
              </w:rPr>
              <w:t>考虑岸线熏烟</w:t>
            </w:r>
          </w:p>
        </w:tc>
        <w:tc>
          <w:tcPr>
            <w:tcW w:w="2781" w:type="dxa"/>
            <w:vAlign w:val="center"/>
          </w:tcPr>
          <w:p w:rsidR="00EE56C0" w:rsidRDefault="000F36A1">
            <w:pPr>
              <w:pStyle w:val="afa"/>
              <w:rPr>
                <w:spacing w:val="-4"/>
              </w:rPr>
            </w:pPr>
            <w:r>
              <w:rPr>
                <w:rFonts w:hint="eastAsia"/>
                <w:spacing w:val="-4"/>
              </w:rPr>
              <w:t>否</w:t>
            </w:r>
          </w:p>
        </w:tc>
      </w:tr>
      <w:tr w:rsidR="00EE56C0">
        <w:trPr>
          <w:trHeight w:val="454"/>
          <w:jc w:val="center"/>
        </w:trPr>
        <w:tc>
          <w:tcPr>
            <w:tcW w:w="2196" w:type="dxa"/>
            <w:vMerge/>
            <w:vAlign w:val="center"/>
          </w:tcPr>
          <w:p w:rsidR="00EE56C0" w:rsidRDefault="00EE56C0">
            <w:pPr>
              <w:pStyle w:val="afa"/>
              <w:rPr>
                <w:spacing w:val="-4"/>
              </w:rPr>
            </w:pPr>
          </w:p>
        </w:tc>
        <w:tc>
          <w:tcPr>
            <w:tcW w:w="3391" w:type="dxa"/>
            <w:vAlign w:val="center"/>
          </w:tcPr>
          <w:p w:rsidR="00EE56C0" w:rsidRDefault="000F36A1">
            <w:pPr>
              <w:pStyle w:val="afa"/>
            </w:pPr>
            <w:r>
              <w:rPr>
                <w:rFonts w:hint="eastAsia"/>
                <w:spacing w:val="-4"/>
              </w:rPr>
              <w:t>岸线距离</w:t>
            </w:r>
            <w:r>
              <w:rPr>
                <w:rFonts w:hint="eastAsia"/>
                <w:spacing w:val="-4"/>
              </w:rPr>
              <w:t>/km</w:t>
            </w:r>
          </w:p>
        </w:tc>
        <w:tc>
          <w:tcPr>
            <w:tcW w:w="2781" w:type="dxa"/>
            <w:vAlign w:val="center"/>
          </w:tcPr>
          <w:p w:rsidR="00EE56C0" w:rsidRDefault="000F36A1">
            <w:pPr>
              <w:pStyle w:val="afa"/>
              <w:rPr>
                <w:spacing w:val="-4"/>
              </w:rPr>
            </w:pPr>
            <w:r>
              <w:rPr>
                <w:rFonts w:hint="eastAsia"/>
                <w:spacing w:val="-4"/>
              </w:rPr>
              <w:t>/</w:t>
            </w:r>
          </w:p>
        </w:tc>
      </w:tr>
      <w:tr w:rsidR="00EE56C0">
        <w:trPr>
          <w:trHeight w:val="454"/>
          <w:jc w:val="center"/>
        </w:trPr>
        <w:tc>
          <w:tcPr>
            <w:tcW w:w="2196" w:type="dxa"/>
            <w:vMerge/>
            <w:vAlign w:val="center"/>
          </w:tcPr>
          <w:p w:rsidR="00EE56C0" w:rsidRDefault="00EE56C0">
            <w:pPr>
              <w:pStyle w:val="afa"/>
              <w:rPr>
                <w:spacing w:val="-4"/>
              </w:rPr>
            </w:pPr>
          </w:p>
        </w:tc>
        <w:tc>
          <w:tcPr>
            <w:tcW w:w="3391" w:type="dxa"/>
            <w:vAlign w:val="center"/>
          </w:tcPr>
          <w:p w:rsidR="00EE56C0" w:rsidRDefault="000F36A1">
            <w:pPr>
              <w:pStyle w:val="afa"/>
            </w:pPr>
            <w:r>
              <w:rPr>
                <w:rFonts w:hint="eastAsia"/>
                <w:spacing w:val="-4"/>
              </w:rPr>
              <w:t>岸线方向</w:t>
            </w:r>
            <w:r>
              <w:rPr>
                <w:rFonts w:hint="eastAsia"/>
                <w:spacing w:val="-4"/>
              </w:rPr>
              <w:t>/</w:t>
            </w:r>
            <w:r>
              <w:rPr>
                <w:rFonts w:ascii="宋体" w:hAnsi="宋体" w:hint="eastAsia"/>
                <w:spacing w:val="-4"/>
              </w:rPr>
              <w:t>º</w:t>
            </w:r>
          </w:p>
        </w:tc>
        <w:tc>
          <w:tcPr>
            <w:tcW w:w="2781" w:type="dxa"/>
            <w:vAlign w:val="center"/>
          </w:tcPr>
          <w:p w:rsidR="00EE56C0" w:rsidRDefault="000F36A1">
            <w:pPr>
              <w:pStyle w:val="afa"/>
              <w:rPr>
                <w:spacing w:val="-4"/>
              </w:rPr>
            </w:pPr>
            <w:r>
              <w:rPr>
                <w:rFonts w:hint="eastAsia"/>
                <w:spacing w:val="-4"/>
              </w:rPr>
              <w:t>/</w:t>
            </w:r>
          </w:p>
        </w:tc>
      </w:tr>
    </w:tbl>
    <w:p w:rsidR="00EE56C0" w:rsidRDefault="000F36A1">
      <w:pPr>
        <w:pStyle w:val="5"/>
      </w:pPr>
      <w:r>
        <w:rPr>
          <w:rFonts w:hint="eastAsia"/>
        </w:rPr>
        <w:t>二、估算结果</w:t>
      </w:r>
    </w:p>
    <w:p w:rsidR="00EE56C0" w:rsidRDefault="000F36A1">
      <w:pPr>
        <w:ind w:firstLine="480"/>
      </w:pPr>
      <w:r>
        <w:rPr>
          <w:rFonts w:hint="eastAsia"/>
        </w:rPr>
        <w:t>根据估算模式计算结果，本工程大气评价等级为一级，分级判据见下表。</w:t>
      </w:r>
    </w:p>
    <w:p w:rsidR="00EE56C0" w:rsidRDefault="000F36A1">
      <w:pPr>
        <w:pStyle w:val="afd"/>
        <w:spacing w:before="120" w:after="120"/>
        <w:ind w:firstLine="482"/>
      </w:pPr>
      <w:r>
        <w:rPr>
          <w:rFonts w:hint="eastAsia"/>
        </w:rPr>
        <w:t>表</w:t>
      </w:r>
      <w:r>
        <w:rPr>
          <w:rFonts w:hint="eastAsia"/>
        </w:rPr>
        <w:t xml:space="preserve">5-17                </w:t>
      </w:r>
      <w:r>
        <w:rPr>
          <w:rFonts w:hint="eastAsia"/>
        </w:rPr>
        <w:t>环境空气分级判据表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21"/>
        <w:gridCol w:w="571"/>
        <w:gridCol w:w="873"/>
        <w:gridCol w:w="1615"/>
        <w:gridCol w:w="1743"/>
        <w:gridCol w:w="1307"/>
        <w:gridCol w:w="860"/>
        <w:gridCol w:w="1039"/>
      </w:tblGrid>
      <w:tr w:rsidR="00EE56C0">
        <w:trPr>
          <w:trHeight w:val="454"/>
        </w:trPr>
        <w:tc>
          <w:tcPr>
            <w:tcW w:w="1152" w:type="pct"/>
            <w:gridSpan w:val="3"/>
            <w:vAlign w:val="center"/>
          </w:tcPr>
          <w:p w:rsidR="00EE56C0" w:rsidRDefault="000F36A1">
            <w:pPr>
              <w:pStyle w:val="afa"/>
              <w:ind w:firstLine="482"/>
              <w:rPr>
                <w:b/>
              </w:rPr>
            </w:pPr>
            <w:r>
              <w:rPr>
                <w:rFonts w:hint="eastAsia"/>
                <w:b/>
              </w:rPr>
              <w:t>项目</w:t>
            </w:r>
          </w:p>
        </w:tc>
        <w:tc>
          <w:tcPr>
            <w:tcW w:w="947" w:type="pct"/>
            <w:vAlign w:val="center"/>
          </w:tcPr>
          <w:p w:rsidR="00EE56C0" w:rsidRDefault="000F36A1">
            <w:pPr>
              <w:pStyle w:val="afa"/>
              <w:rPr>
                <w:b/>
              </w:rPr>
            </w:pPr>
            <w:r>
              <w:rPr>
                <w:rFonts w:hint="eastAsia"/>
                <w:b/>
              </w:rPr>
              <w:t>P</w:t>
            </w:r>
            <w:r>
              <w:rPr>
                <w:rFonts w:hint="eastAsia"/>
                <w:b/>
                <w:vertAlign w:val="subscript"/>
              </w:rPr>
              <w:t>max</w:t>
            </w:r>
            <w:r>
              <w:rPr>
                <w:rFonts w:hint="eastAsia"/>
                <w:b/>
              </w:rPr>
              <w:t>占标率（</w:t>
            </w:r>
            <w:r>
              <w:rPr>
                <w:rFonts w:hint="eastAsia"/>
                <w:b/>
              </w:rPr>
              <w:t>%</w:t>
            </w:r>
            <w:r>
              <w:rPr>
                <w:rFonts w:hint="eastAsia"/>
                <w:b/>
              </w:rPr>
              <w:t>）</w:t>
            </w:r>
          </w:p>
        </w:tc>
        <w:tc>
          <w:tcPr>
            <w:tcW w:w="1022" w:type="pct"/>
            <w:vAlign w:val="center"/>
          </w:tcPr>
          <w:p w:rsidR="00EE56C0" w:rsidRDefault="000F36A1">
            <w:pPr>
              <w:pStyle w:val="afa"/>
              <w:rPr>
                <w:b/>
              </w:rPr>
            </w:pPr>
            <w:r>
              <w:rPr>
                <w:rFonts w:hint="eastAsia"/>
                <w:b/>
              </w:rPr>
              <w:t>D</w:t>
            </w:r>
            <w:r>
              <w:rPr>
                <w:rFonts w:hint="eastAsia"/>
                <w:b/>
                <w:vertAlign w:val="subscript"/>
              </w:rPr>
              <w:t>10%</w:t>
            </w:r>
            <w:r>
              <w:rPr>
                <w:rFonts w:hint="eastAsia"/>
                <w:b/>
              </w:rPr>
              <w:t>(m)</w:t>
            </w:r>
          </w:p>
        </w:tc>
        <w:tc>
          <w:tcPr>
            <w:tcW w:w="766" w:type="pct"/>
            <w:vAlign w:val="center"/>
          </w:tcPr>
          <w:p w:rsidR="00EE56C0" w:rsidRDefault="000F36A1">
            <w:pPr>
              <w:pStyle w:val="afa"/>
              <w:rPr>
                <w:b/>
              </w:rPr>
            </w:pPr>
            <w:r>
              <w:rPr>
                <w:rFonts w:hint="eastAsia"/>
                <w:b/>
              </w:rPr>
              <w:t>分级判据</w:t>
            </w:r>
          </w:p>
        </w:tc>
        <w:tc>
          <w:tcPr>
            <w:tcW w:w="1113" w:type="pct"/>
            <w:gridSpan w:val="2"/>
            <w:vAlign w:val="center"/>
          </w:tcPr>
          <w:p w:rsidR="00EE56C0" w:rsidRDefault="000F36A1">
            <w:pPr>
              <w:pStyle w:val="afa"/>
              <w:rPr>
                <w:b/>
              </w:rPr>
            </w:pPr>
            <w:r>
              <w:rPr>
                <w:b/>
              </w:rPr>
              <w:t>评价等级</w:t>
            </w:r>
          </w:p>
        </w:tc>
      </w:tr>
      <w:tr w:rsidR="00EE56C0">
        <w:trPr>
          <w:trHeight w:val="454"/>
        </w:trPr>
        <w:tc>
          <w:tcPr>
            <w:tcW w:w="305" w:type="pct"/>
            <w:vMerge w:val="restart"/>
            <w:vAlign w:val="center"/>
          </w:tcPr>
          <w:p w:rsidR="00EE56C0" w:rsidRDefault="000F36A1">
            <w:pPr>
              <w:pStyle w:val="afa"/>
            </w:pPr>
            <w:r>
              <w:rPr>
                <w:rFonts w:hint="eastAsia"/>
              </w:rPr>
              <w:t>有组织</w:t>
            </w:r>
          </w:p>
        </w:tc>
        <w:tc>
          <w:tcPr>
            <w:tcW w:w="335" w:type="pct"/>
            <w:vMerge w:val="restart"/>
            <w:vAlign w:val="center"/>
          </w:tcPr>
          <w:p w:rsidR="00EE56C0" w:rsidRDefault="000F36A1">
            <w:pPr>
              <w:pStyle w:val="afa"/>
            </w:pPr>
            <w:r>
              <w:rPr>
                <w:rFonts w:hint="eastAsia"/>
              </w:rPr>
              <w:t>P</w:t>
            </w:r>
          </w:p>
        </w:tc>
        <w:tc>
          <w:tcPr>
            <w:tcW w:w="512" w:type="pct"/>
            <w:vAlign w:val="center"/>
          </w:tcPr>
          <w:p w:rsidR="00EE56C0" w:rsidRDefault="000F36A1">
            <w:pPr>
              <w:pStyle w:val="afa"/>
            </w:pPr>
            <w:r>
              <w:rPr>
                <w:rFonts w:hint="eastAsia"/>
              </w:rPr>
              <w:t>酚</w:t>
            </w:r>
          </w:p>
        </w:tc>
        <w:tc>
          <w:tcPr>
            <w:tcW w:w="947" w:type="pct"/>
            <w:vAlign w:val="center"/>
          </w:tcPr>
          <w:p w:rsidR="00EE56C0" w:rsidRDefault="000F36A1">
            <w:pPr>
              <w:pStyle w:val="afa"/>
            </w:pPr>
            <w:r>
              <w:rPr>
                <w:rFonts w:hint="eastAsia"/>
              </w:rPr>
              <w:t>11.89</w:t>
            </w:r>
          </w:p>
        </w:tc>
        <w:tc>
          <w:tcPr>
            <w:tcW w:w="1022" w:type="pct"/>
            <w:vAlign w:val="center"/>
          </w:tcPr>
          <w:p w:rsidR="00EE56C0" w:rsidRDefault="000F36A1">
            <w:pPr>
              <w:pStyle w:val="afa"/>
            </w:pPr>
            <w:r>
              <w:rPr>
                <w:rFonts w:hint="eastAsia"/>
              </w:rPr>
              <w:t>350</w:t>
            </w:r>
          </w:p>
        </w:tc>
        <w:tc>
          <w:tcPr>
            <w:tcW w:w="766" w:type="pct"/>
            <w:vMerge w:val="restart"/>
            <w:vAlign w:val="center"/>
          </w:tcPr>
          <w:p w:rsidR="00EE56C0" w:rsidRDefault="000F36A1">
            <w:pPr>
              <w:pStyle w:val="afa"/>
            </w:pPr>
            <w:r>
              <w:rPr>
                <w:rFonts w:hint="eastAsia"/>
              </w:rPr>
              <w:t>P</w:t>
            </w:r>
            <w:r>
              <w:rPr>
                <w:rFonts w:hint="eastAsia"/>
                <w:vertAlign w:val="subscript"/>
              </w:rPr>
              <w:t>max</w:t>
            </w:r>
            <w:r>
              <w:rPr>
                <w:rFonts w:asciiTheme="minorEastAsia" w:hAnsiTheme="minorEastAsia" w:hint="eastAsia"/>
              </w:rPr>
              <w:t>＞</w:t>
            </w:r>
            <w:r>
              <w:rPr>
                <w:rFonts w:hint="eastAsia"/>
              </w:rPr>
              <w:t>10%</w:t>
            </w:r>
          </w:p>
        </w:tc>
        <w:tc>
          <w:tcPr>
            <w:tcW w:w="504" w:type="pct"/>
            <w:vMerge w:val="restart"/>
            <w:vAlign w:val="center"/>
          </w:tcPr>
          <w:p w:rsidR="00EE56C0" w:rsidRDefault="000F36A1">
            <w:pPr>
              <w:pStyle w:val="afa"/>
            </w:pPr>
            <w:r>
              <w:rPr>
                <w:rFonts w:hint="eastAsia"/>
              </w:rPr>
              <w:t>一</w:t>
            </w:r>
            <w:r>
              <w:t>级</w:t>
            </w:r>
          </w:p>
        </w:tc>
        <w:tc>
          <w:tcPr>
            <w:tcW w:w="609" w:type="pct"/>
            <w:vMerge w:val="restart"/>
            <w:vAlign w:val="center"/>
          </w:tcPr>
          <w:p w:rsidR="00EE56C0" w:rsidRDefault="000F36A1">
            <w:pPr>
              <w:pStyle w:val="afa"/>
            </w:pPr>
            <w:r>
              <w:rPr>
                <w:rFonts w:hint="eastAsia"/>
              </w:rPr>
              <w:t>一</w:t>
            </w:r>
            <w:r>
              <w:t xml:space="preserve"> </w:t>
            </w:r>
            <w:r>
              <w:t>级</w:t>
            </w:r>
          </w:p>
        </w:tc>
      </w:tr>
      <w:tr w:rsidR="00EE56C0">
        <w:trPr>
          <w:trHeight w:val="454"/>
        </w:trPr>
        <w:tc>
          <w:tcPr>
            <w:tcW w:w="305" w:type="pct"/>
            <w:vMerge/>
            <w:vAlign w:val="center"/>
          </w:tcPr>
          <w:p w:rsidR="00EE56C0" w:rsidRDefault="00EE56C0">
            <w:pPr>
              <w:pStyle w:val="afa"/>
            </w:pPr>
          </w:p>
        </w:tc>
        <w:tc>
          <w:tcPr>
            <w:tcW w:w="335" w:type="pct"/>
            <w:vMerge/>
            <w:vAlign w:val="center"/>
          </w:tcPr>
          <w:p w:rsidR="00EE56C0" w:rsidRDefault="00EE56C0">
            <w:pPr>
              <w:pStyle w:val="afa"/>
            </w:pPr>
          </w:p>
        </w:tc>
        <w:tc>
          <w:tcPr>
            <w:tcW w:w="512" w:type="pct"/>
            <w:vAlign w:val="center"/>
          </w:tcPr>
          <w:p w:rsidR="00EE56C0" w:rsidRDefault="000F36A1">
            <w:pPr>
              <w:pStyle w:val="afa"/>
            </w:pPr>
            <w:r>
              <w:rPr>
                <w:rFonts w:hint="eastAsia"/>
              </w:rPr>
              <w:t>非甲烷总烃</w:t>
            </w:r>
          </w:p>
        </w:tc>
        <w:tc>
          <w:tcPr>
            <w:tcW w:w="947" w:type="pct"/>
            <w:vAlign w:val="center"/>
          </w:tcPr>
          <w:p w:rsidR="00EE56C0" w:rsidRDefault="000F36A1">
            <w:pPr>
              <w:pStyle w:val="afa"/>
            </w:pPr>
            <w:r>
              <w:rPr>
                <w:rFonts w:hint="eastAsia"/>
              </w:rPr>
              <w:t>0.62</w:t>
            </w:r>
          </w:p>
        </w:tc>
        <w:tc>
          <w:tcPr>
            <w:tcW w:w="1022" w:type="pct"/>
            <w:vAlign w:val="center"/>
          </w:tcPr>
          <w:p w:rsidR="00EE56C0" w:rsidRDefault="000F36A1">
            <w:pPr>
              <w:pStyle w:val="afa"/>
            </w:pPr>
            <w:r>
              <w:rPr>
                <w:rFonts w:hint="eastAsia"/>
              </w:rPr>
              <w:t>0</w:t>
            </w:r>
          </w:p>
        </w:tc>
        <w:tc>
          <w:tcPr>
            <w:tcW w:w="766" w:type="pct"/>
            <w:vMerge/>
            <w:vAlign w:val="center"/>
          </w:tcPr>
          <w:p w:rsidR="00EE56C0" w:rsidRDefault="00EE56C0">
            <w:pPr>
              <w:pStyle w:val="afa"/>
            </w:pPr>
          </w:p>
        </w:tc>
        <w:tc>
          <w:tcPr>
            <w:tcW w:w="504" w:type="pct"/>
            <w:vMerge/>
            <w:vAlign w:val="center"/>
          </w:tcPr>
          <w:p w:rsidR="00EE56C0" w:rsidRDefault="00EE56C0">
            <w:pPr>
              <w:pStyle w:val="afa"/>
            </w:pPr>
          </w:p>
        </w:tc>
        <w:tc>
          <w:tcPr>
            <w:tcW w:w="609" w:type="pct"/>
            <w:vMerge/>
            <w:vAlign w:val="center"/>
          </w:tcPr>
          <w:p w:rsidR="00EE56C0" w:rsidRDefault="00EE56C0">
            <w:pPr>
              <w:pStyle w:val="afa"/>
            </w:pPr>
          </w:p>
        </w:tc>
      </w:tr>
      <w:tr w:rsidR="00EE56C0">
        <w:trPr>
          <w:trHeight w:val="454"/>
        </w:trPr>
        <w:tc>
          <w:tcPr>
            <w:tcW w:w="305" w:type="pct"/>
            <w:vMerge/>
            <w:vAlign w:val="center"/>
          </w:tcPr>
          <w:p w:rsidR="00EE56C0" w:rsidRDefault="00EE56C0">
            <w:pPr>
              <w:pStyle w:val="afa"/>
            </w:pPr>
          </w:p>
        </w:tc>
        <w:tc>
          <w:tcPr>
            <w:tcW w:w="335" w:type="pct"/>
            <w:vMerge/>
            <w:vAlign w:val="center"/>
          </w:tcPr>
          <w:p w:rsidR="00EE56C0" w:rsidRDefault="00EE56C0">
            <w:pPr>
              <w:pStyle w:val="afa"/>
            </w:pPr>
          </w:p>
        </w:tc>
        <w:tc>
          <w:tcPr>
            <w:tcW w:w="512" w:type="pct"/>
            <w:vAlign w:val="center"/>
          </w:tcPr>
          <w:p w:rsidR="00EE56C0" w:rsidRDefault="000F36A1">
            <w:pPr>
              <w:pStyle w:val="afa"/>
            </w:pPr>
            <w:r>
              <w:rPr>
                <w:rFonts w:hint="eastAsia"/>
              </w:rPr>
              <w:t>二甲苯</w:t>
            </w:r>
          </w:p>
        </w:tc>
        <w:tc>
          <w:tcPr>
            <w:tcW w:w="947" w:type="pct"/>
            <w:vAlign w:val="center"/>
          </w:tcPr>
          <w:p w:rsidR="00EE56C0" w:rsidRDefault="000F36A1">
            <w:pPr>
              <w:pStyle w:val="afa"/>
            </w:pPr>
            <w:r>
              <w:rPr>
                <w:rFonts w:hint="eastAsia"/>
              </w:rPr>
              <w:t>8.65</w:t>
            </w:r>
          </w:p>
        </w:tc>
        <w:tc>
          <w:tcPr>
            <w:tcW w:w="1022" w:type="pct"/>
            <w:vAlign w:val="center"/>
          </w:tcPr>
          <w:p w:rsidR="00EE56C0" w:rsidRDefault="000F36A1">
            <w:pPr>
              <w:pStyle w:val="afa"/>
            </w:pPr>
            <w:r>
              <w:rPr>
                <w:rFonts w:hint="eastAsia"/>
              </w:rPr>
              <w:t>0</w:t>
            </w:r>
          </w:p>
        </w:tc>
        <w:tc>
          <w:tcPr>
            <w:tcW w:w="766" w:type="pct"/>
            <w:vMerge/>
            <w:vAlign w:val="center"/>
          </w:tcPr>
          <w:p w:rsidR="00EE56C0" w:rsidRDefault="00EE56C0">
            <w:pPr>
              <w:pStyle w:val="afa"/>
            </w:pPr>
          </w:p>
        </w:tc>
        <w:tc>
          <w:tcPr>
            <w:tcW w:w="504" w:type="pct"/>
            <w:vMerge/>
            <w:vAlign w:val="center"/>
          </w:tcPr>
          <w:p w:rsidR="00EE56C0" w:rsidRDefault="00EE56C0">
            <w:pPr>
              <w:pStyle w:val="afa"/>
            </w:pPr>
          </w:p>
        </w:tc>
        <w:tc>
          <w:tcPr>
            <w:tcW w:w="609" w:type="pct"/>
            <w:vMerge/>
            <w:vAlign w:val="center"/>
          </w:tcPr>
          <w:p w:rsidR="00EE56C0" w:rsidRDefault="00EE56C0">
            <w:pPr>
              <w:pStyle w:val="afa"/>
            </w:pPr>
          </w:p>
        </w:tc>
      </w:tr>
      <w:tr w:rsidR="00EE56C0">
        <w:trPr>
          <w:trHeight w:val="454"/>
        </w:trPr>
        <w:tc>
          <w:tcPr>
            <w:tcW w:w="305" w:type="pct"/>
            <w:vMerge/>
            <w:vAlign w:val="center"/>
          </w:tcPr>
          <w:p w:rsidR="00EE56C0" w:rsidRDefault="00EE56C0">
            <w:pPr>
              <w:pStyle w:val="afa"/>
            </w:pPr>
          </w:p>
        </w:tc>
        <w:tc>
          <w:tcPr>
            <w:tcW w:w="335" w:type="pct"/>
            <w:vMerge/>
            <w:vAlign w:val="center"/>
          </w:tcPr>
          <w:p w:rsidR="00EE56C0" w:rsidRDefault="00EE56C0">
            <w:pPr>
              <w:pStyle w:val="afa"/>
            </w:pPr>
          </w:p>
        </w:tc>
        <w:tc>
          <w:tcPr>
            <w:tcW w:w="512" w:type="pct"/>
            <w:vAlign w:val="center"/>
          </w:tcPr>
          <w:p w:rsidR="00EE56C0" w:rsidRDefault="000F36A1">
            <w:pPr>
              <w:pStyle w:val="afa"/>
            </w:pPr>
            <w:r>
              <w:rPr>
                <w:rFonts w:hint="eastAsia"/>
              </w:rPr>
              <w:t>甲苯</w:t>
            </w:r>
          </w:p>
        </w:tc>
        <w:tc>
          <w:tcPr>
            <w:tcW w:w="947" w:type="pct"/>
            <w:vAlign w:val="center"/>
          </w:tcPr>
          <w:p w:rsidR="00EE56C0" w:rsidRDefault="000F36A1">
            <w:pPr>
              <w:pStyle w:val="afa"/>
            </w:pPr>
            <w:r>
              <w:rPr>
                <w:rFonts w:hint="eastAsia"/>
              </w:rPr>
              <w:t>4.12</w:t>
            </w:r>
          </w:p>
        </w:tc>
        <w:tc>
          <w:tcPr>
            <w:tcW w:w="1022" w:type="pct"/>
            <w:vAlign w:val="center"/>
          </w:tcPr>
          <w:p w:rsidR="00EE56C0" w:rsidRDefault="000F36A1">
            <w:pPr>
              <w:pStyle w:val="afa"/>
            </w:pPr>
            <w:r>
              <w:rPr>
                <w:rFonts w:hint="eastAsia"/>
              </w:rPr>
              <w:t>0</w:t>
            </w:r>
          </w:p>
        </w:tc>
        <w:tc>
          <w:tcPr>
            <w:tcW w:w="766" w:type="pct"/>
            <w:vMerge/>
            <w:vAlign w:val="center"/>
          </w:tcPr>
          <w:p w:rsidR="00EE56C0" w:rsidRDefault="00EE56C0">
            <w:pPr>
              <w:pStyle w:val="afa"/>
            </w:pPr>
          </w:p>
        </w:tc>
        <w:tc>
          <w:tcPr>
            <w:tcW w:w="504" w:type="pct"/>
            <w:vMerge/>
            <w:vAlign w:val="center"/>
          </w:tcPr>
          <w:p w:rsidR="00EE56C0" w:rsidRDefault="00EE56C0">
            <w:pPr>
              <w:pStyle w:val="afa"/>
            </w:pPr>
          </w:p>
        </w:tc>
        <w:tc>
          <w:tcPr>
            <w:tcW w:w="609" w:type="pct"/>
            <w:vMerge/>
            <w:vAlign w:val="center"/>
          </w:tcPr>
          <w:p w:rsidR="00EE56C0" w:rsidRDefault="00EE56C0">
            <w:pPr>
              <w:pStyle w:val="afa"/>
            </w:pPr>
          </w:p>
        </w:tc>
      </w:tr>
      <w:tr w:rsidR="00EE56C0">
        <w:trPr>
          <w:trHeight w:val="454"/>
        </w:trPr>
        <w:tc>
          <w:tcPr>
            <w:tcW w:w="305" w:type="pct"/>
            <w:vMerge/>
            <w:vAlign w:val="center"/>
          </w:tcPr>
          <w:p w:rsidR="00EE56C0" w:rsidRDefault="00EE56C0">
            <w:pPr>
              <w:pStyle w:val="afa"/>
            </w:pPr>
          </w:p>
        </w:tc>
        <w:tc>
          <w:tcPr>
            <w:tcW w:w="335" w:type="pct"/>
            <w:vMerge/>
            <w:vAlign w:val="center"/>
          </w:tcPr>
          <w:p w:rsidR="00EE56C0" w:rsidRDefault="00EE56C0">
            <w:pPr>
              <w:pStyle w:val="afa"/>
            </w:pPr>
          </w:p>
        </w:tc>
        <w:tc>
          <w:tcPr>
            <w:tcW w:w="512" w:type="pct"/>
            <w:vAlign w:val="center"/>
          </w:tcPr>
          <w:p w:rsidR="00EE56C0" w:rsidRDefault="000F36A1">
            <w:pPr>
              <w:pStyle w:val="afa"/>
            </w:pPr>
            <w:r>
              <w:rPr>
                <w:rFonts w:hint="eastAsia"/>
              </w:rPr>
              <w:t>苯</w:t>
            </w:r>
          </w:p>
        </w:tc>
        <w:tc>
          <w:tcPr>
            <w:tcW w:w="947" w:type="pct"/>
            <w:vAlign w:val="center"/>
          </w:tcPr>
          <w:p w:rsidR="00EE56C0" w:rsidRDefault="000F36A1">
            <w:pPr>
              <w:pStyle w:val="afa"/>
            </w:pPr>
            <w:r>
              <w:rPr>
                <w:rFonts w:hint="eastAsia"/>
              </w:rPr>
              <w:t>0.83</w:t>
            </w:r>
          </w:p>
        </w:tc>
        <w:tc>
          <w:tcPr>
            <w:tcW w:w="1022" w:type="pct"/>
            <w:vAlign w:val="center"/>
          </w:tcPr>
          <w:p w:rsidR="00EE56C0" w:rsidRDefault="000F36A1">
            <w:pPr>
              <w:pStyle w:val="afa"/>
            </w:pPr>
            <w:r>
              <w:rPr>
                <w:rFonts w:hint="eastAsia"/>
              </w:rPr>
              <w:t>0</w:t>
            </w:r>
          </w:p>
        </w:tc>
        <w:tc>
          <w:tcPr>
            <w:tcW w:w="766" w:type="pct"/>
            <w:vMerge/>
            <w:vAlign w:val="center"/>
          </w:tcPr>
          <w:p w:rsidR="00EE56C0" w:rsidRDefault="00EE56C0">
            <w:pPr>
              <w:pStyle w:val="afa"/>
            </w:pPr>
          </w:p>
        </w:tc>
        <w:tc>
          <w:tcPr>
            <w:tcW w:w="504" w:type="pct"/>
            <w:vMerge/>
            <w:vAlign w:val="center"/>
          </w:tcPr>
          <w:p w:rsidR="00EE56C0" w:rsidRDefault="00EE56C0">
            <w:pPr>
              <w:pStyle w:val="afa"/>
            </w:pPr>
          </w:p>
        </w:tc>
        <w:tc>
          <w:tcPr>
            <w:tcW w:w="609" w:type="pct"/>
            <w:vMerge/>
            <w:vAlign w:val="center"/>
          </w:tcPr>
          <w:p w:rsidR="00EE56C0" w:rsidRDefault="00EE56C0">
            <w:pPr>
              <w:pStyle w:val="afa"/>
            </w:pPr>
          </w:p>
        </w:tc>
      </w:tr>
      <w:tr w:rsidR="00EE56C0">
        <w:trPr>
          <w:trHeight w:val="454"/>
        </w:trPr>
        <w:tc>
          <w:tcPr>
            <w:tcW w:w="305" w:type="pct"/>
            <w:vMerge w:val="restart"/>
            <w:vAlign w:val="center"/>
          </w:tcPr>
          <w:p w:rsidR="00EE56C0" w:rsidRDefault="000F36A1">
            <w:pPr>
              <w:pStyle w:val="afa"/>
            </w:pPr>
            <w:r>
              <w:rPr>
                <w:rFonts w:hint="eastAsia"/>
              </w:rPr>
              <w:t>无组织</w:t>
            </w:r>
          </w:p>
        </w:tc>
        <w:tc>
          <w:tcPr>
            <w:tcW w:w="335" w:type="pct"/>
            <w:vMerge w:val="restart"/>
            <w:vAlign w:val="center"/>
          </w:tcPr>
          <w:p w:rsidR="00EE56C0" w:rsidRDefault="000F36A1">
            <w:pPr>
              <w:pStyle w:val="afa"/>
            </w:pPr>
            <w:r>
              <w:rPr>
                <w:rFonts w:hint="eastAsia"/>
              </w:rPr>
              <w:t>全厂</w:t>
            </w:r>
          </w:p>
        </w:tc>
        <w:tc>
          <w:tcPr>
            <w:tcW w:w="512" w:type="pct"/>
            <w:vAlign w:val="center"/>
          </w:tcPr>
          <w:p w:rsidR="00EE56C0" w:rsidRDefault="000F36A1">
            <w:pPr>
              <w:pStyle w:val="afa"/>
            </w:pPr>
            <w:r>
              <w:rPr>
                <w:rFonts w:hint="eastAsia"/>
              </w:rPr>
              <w:t>酚</w:t>
            </w:r>
          </w:p>
        </w:tc>
        <w:tc>
          <w:tcPr>
            <w:tcW w:w="947" w:type="pct"/>
            <w:vAlign w:val="center"/>
          </w:tcPr>
          <w:p w:rsidR="00EE56C0" w:rsidRDefault="000F36A1">
            <w:pPr>
              <w:pStyle w:val="afa"/>
              <w:rPr>
                <w:b/>
                <w:u w:val="single"/>
              </w:rPr>
            </w:pPr>
            <w:r>
              <w:rPr>
                <w:rFonts w:hint="eastAsia"/>
                <w:b/>
                <w:u w:val="single"/>
              </w:rPr>
              <w:t>64.2</w:t>
            </w:r>
          </w:p>
        </w:tc>
        <w:tc>
          <w:tcPr>
            <w:tcW w:w="1022" w:type="pct"/>
            <w:vAlign w:val="center"/>
          </w:tcPr>
          <w:p w:rsidR="00EE56C0" w:rsidRDefault="000F36A1">
            <w:pPr>
              <w:pStyle w:val="afa"/>
              <w:rPr>
                <w:b/>
                <w:u w:val="single"/>
              </w:rPr>
            </w:pPr>
            <w:r>
              <w:rPr>
                <w:rFonts w:hint="eastAsia"/>
                <w:b/>
                <w:u w:val="single"/>
              </w:rPr>
              <w:t>3675</w:t>
            </w:r>
          </w:p>
        </w:tc>
        <w:tc>
          <w:tcPr>
            <w:tcW w:w="766" w:type="pct"/>
            <w:vMerge w:val="restart"/>
            <w:vAlign w:val="center"/>
          </w:tcPr>
          <w:p w:rsidR="00EE56C0" w:rsidRDefault="000F36A1">
            <w:pPr>
              <w:pStyle w:val="afa"/>
            </w:pPr>
            <w:r>
              <w:rPr>
                <w:rFonts w:hint="eastAsia"/>
              </w:rPr>
              <w:t>P</w:t>
            </w:r>
            <w:r>
              <w:rPr>
                <w:rFonts w:hint="eastAsia"/>
                <w:vertAlign w:val="subscript"/>
              </w:rPr>
              <w:t>max</w:t>
            </w:r>
            <w:r>
              <w:rPr>
                <w:rFonts w:asciiTheme="minorEastAsia" w:hAnsiTheme="minorEastAsia" w:hint="eastAsia"/>
              </w:rPr>
              <w:t>＞</w:t>
            </w:r>
            <w:r>
              <w:rPr>
                <w:rFonts w:hint="eastAsia"/>
              </w:rPr>
              <w:t>10%</w:t>
            </w:r>
          </w:p>
        </w:tc>
        <w:tc>
          <w:tcPr>
            <w:tcW w:w="504" w:type="pct"/>
            <w:vMerge w:val="restart"/>
            <w:vAlign w:val="center"/>
          </w:tcPr>
          <w:p w:rsidR="00EE56C0" w:rsidRDefault="000F36A1">
            <w:pPr>
              <w:pStyle w:val="afa"/>
            </w:pPr>
            <w:r>
              <w:rPr>
                <w:rFonts w:hint="eastAsia"/>
              </w:rPr>
              <w:t>一</w:t>
            </w:r>
            <w:r>
              <w:t>级</w:t>
            </w:r>
          </w:p>
        </w:tc>
        <w:tc>
          <w:tcPr>
            <w:tcW w:w="609" w:type="pct"/>
            <w:vMerge/>
            <w:vAlign w:val="center"/>
          </w:tcPr>
          <w:p w:rsidR="00EE56C0" w:rsidRDefault="00EE56C0">
            <w:pPr>
              <w:pStyle w:val="afa"/>
            </w:pPr>
          </w:p>
        </w:tc>
      </w:tr>
      <w:tr w:rsidR="00EE56C0">
        <w:trPr>
          <w:trHeight w:val="454"/>
        </w:trPr>
        <w:tc>
          <w:tcPr>
            <w:tcW w:w="305" w:type="pct"/>
            <w:vMerge/>
            <w:vAlign w:val="center"/>
          </w:tcPr>
          <w:p w:rsidR="00EE56C0" w:rsidRDefault="00EE56C0">
            <w:pPr>
              <w:pStyle w:val="afa"/>
            </w:pPr>
          </w:p>
        </w:tc>
        <w:tc>
          <w:tcPr>
            <w:tcW w:w="335" w:type="pct"/>
            <w:vMerge/>
            <w:vAlign w:val="center"/>
          </w:tcPr>
          <w:p w:rsidR="00EE56C0" w:rsidRDefault="00EE56C0">
            <w:pPr>
              <w:pStyle w:val="afa"/>
            </w:pPr>
          </w:p>
        </w:tc>
        <w:tc>
          <w:tcPr>
            <w:tcW w:w="512" w:type="pct"/>
            <w:vAlign w:val="center"/>
          </w:tcPr>
          <w:p w:rsidR="00EE56C0" w:rsidRDefault="000F36A1">
            <w:pPr>
              <w:pStyle w:val="afa"/>
            </w:pPr>
            <w:r>
              <w:rPr>
                <w:rFonts w:hint="eastAsia"/>
              </w:rPr>
              <w:t>非甲烷总烃</w:t>
            </w:r>
          </w:p>
        </w:tc>
        <w:tc>
          <w:tcPr>
            <w:tcW w:w="947" w:type="pct"/>
            <w:vAlign w:val="center"/>
          </w:tcPr>
          <w:p w:rsidR="00EE56C0" w:rsidRDefault="000F36A1">
            <w:pPr>
              <w:pStyle w:val="afa"/>
            </w:pPr>
            <w:r>
              <w:rPr>
                <w:rFonts w:hint="eastAsia"/>
              </w:rPr>
              <w:t>1.44</w:t>
            </w:r>
          </w:p>
        </w:tc>
        <w:tc>
          <w:tcPr>
            <w:tcW w:w="1022" w:type="pct"/>
            <w:vAlign w:val="center"/>
          </w:tcPr>
          <w:p w:rsidR="00EE56C0" w:rsidRDefault="000F36A1">
            <w:pPr>
              <w:pStyle w:val="afa"/>
            </w:pPr>
            <w:r>
              <w:rPr>
                <w:rFonts w:hint="eastAsia"/>
              </w:rPr>
              <w:t>0</w:t>
            </w:r>
          </w:p>
        </w:tc>
        <w:tc>
          <w:tcPr>
            <w:tcW w:w="766" w:type="pct"/>
            <w:vMerge/>
            <w:vAlign w:val="center"/>
          </w:tcPr>
          <w:p w:rsidR="00EE56C0" w:rsidRDefault="00EE56C0">
            <w:pPr>
              <w:pStyle w:val="afa"/>
            </w:pPr>
          </w:p>
        </w:tc>
        <w:tc>
          <w:tcPr>
            <w:tcW w:w="504" w:type="pct"/>
            <w:vMerge/>
            <w:vAlign w:val="center"/>
          </w:tcPr>
          <w:p w:rsidR="00EE56C0" w:rsidRDefault="00EE56C0">
            <w:pPr>
              <w:pStyle w:val="afa"/>
            </w:pPr>
          </w:p>
        </w:tc>
        <w:tc>
          <w:tcPr>
            <w:tcW w:w="609" w:type="pct"/>
            <w:vMerge/>
            <w:vAlign w:val="center"/>
          </w:tcPr>
          <w:p w:rsidR="00EE56C0" w:rsidRDefault="00EE56C0">
            <w:pPr>
              <w:pStyle w:val="afa"/>
            </w:pPr>
          </w:p>
        </w:tc>
      </w:tr>
      <w:tr w:rsidR="00EE56C0">
        <w:trPr>
          <w:trHeight w:val="454"/>
        </w:trPr>
        <w:tc>
          <w:tcPr>
            <w:tcW w:w="305" w:type="pct"/>
            <w:vMerge/>
            <w:vAlign w:val="center"/>
          </w:tcPr>
          <w:p w:rsidR="00EE56C0" w:rsidRDefault="00EE56C0">
            <w:pPr>
              <w:pStyle w:val="afa"/>
            </w:pPr>
          </w:p>
        </w:tc>
        <w:tc>
          <w:tcPr>
            <w:tcW w:w="335" w:type="pct"/>
            <w:vMerge/>
            <w:vAlign w:val="center"/>
          </w:tcPr>
          <w:p w:rsidR="00EE56C0" w:rsidRDefault="00EE56C0">
            <w:pPr>
              <w:pStyle w:val="afa"/>
            </w:pPr>
          </w:p>
        </w:tc>
        <w:tc>
          <w:tcPr>
            <w:tcW w:w="512" w:type="pct"/>
            <w:vAlign w:val="center"/>
          </w:tcPr>
          <w:p w:rsidR="00EE56C0" w:rsidRDefault="000F36A1">
            <w:pPr>
              <w:pStyle w:val="afa"/>
            </w:pPr>
            <w:r>
              <w:rPr>
                <w:rFonts w:hint="eastAsia"/>
              </w:rPr>
              <w:t>二甲苯</w:t>
            </w:r>
          </w:p>
        </w:tc>
        <w:tc>
          <w:tcPr>
            <w:tcW w:w="947" w:type="pct"/>
            <w:vAlign w:val="center"/>
          </w:tcPr>
          <w:p w:rsidR="00EE56C0" w:rsidRDefault="000F36A1">
            <w:pPr>
              <w:pStyle w:val="afa"/>
            </w:pPr>
            <w:r>
              <w:rPr>
                <w:rFonts w:hint="eastAsia"/>
              </w:rPr>
              <w:t>1.0</w:t>
            </w:r>
          </w:p>
        </w:tc>
        <w:tc>
          <w:tcPr>
            <w:tcW w:w="1022" w:type="pct"/>
            <w:vAlign w:val="center"/>
          </w:tcPr>
          <w:p w:rsidR="00EE56C0" w:rsidRDefault="000F36A1">
            <w:pPr>
              <w:pStyle w:val="afa"/>
            </w:pPr>
            <w:r>
              <w:rPr>
                <w:rFonts w:hint="eastAsia"/>
              </w:rPr>
              <w:t>0</w:t>
            </w:r>
          </w:p>
        </w:tc>
        <w:tc>
          <w:tcPr>
            <w:tcW w:w="766" w:type="pct"/>
            <w:vMerge/>
            <w:vAlign w:val="center"/>
          </w:tcPr>
          <w:p w:rsidR="00EE56C0" w:rsidRDefault="00EE56C0">
            <w:pPr>
              <w:pStyle w:val="afa"/>
            </w:pPr>
          </w:p>
        </w:tc>
        <w:tc>
          <w:tcPr>
            <w:tcW w:w="504" w:type="pct"/>
            <w:vMerge/>
            <w:vAlign w:val="center"/>
          </w:tcPr>
          <w:p w:rsidR="00EE56C0" w:rsidRDefault="00EE56C0">
            <w:pPr>
              <w:pStyle w:val="afa"/>
            </w:pPr>
          </w:p>
        </w:tc>
        <w:tc>
          <w:tcPr>
            <w:tcW w:w="609" w:type="pct"/>
            <w:vMerge/>
            <w:vAlign w:val="center"/>
          </w:tcPr>
          <w:p w:rsidR="00EE56C0" w:rsidRDefault="00EE56C0">
            <w:pPr>
              <w:pStyle w:val="afa"/>
            </w:pPr>
          </w:p>
        </w:tc>
      </w:tr>
      <w:tr w:rsidR="00EE56C0">
        <w:trPr>
          <w:trHeight w:val="454"/>
        </w:trPr>
        <w:tc>
          <w:tcPr>
            <w:tcW w:w="305" w:type="pct"/>
            <w:vMerge/>
            <w:vAlign w:val="center"/>
          </w:tcPr>
          <w:p w:rsidR="00EE56C0" w:rsidRDefault="00EE56C0">
            <w:pPr>
              <w:pStyle w:val="afa"/>
            </w:pPr>
          </w:p>
        </w:tc>
        <w:tc>
          <w:tcPr>
            <w:tcW w:w="335" w:type="pct"/>
            <w:vMerge/>
            <w:vAlign w:val="center"/>
          </w:tcPr>
          <w:p w:rsidR="00EE56C0" w:rsidRDefault="00EE56C0">
            <w:pPr>
              <w:pStyle w:val="afa"/>
            </w:pPr>
          </w:p>
        </w:tc>
        <w:tc>
          <w:tcPr>
            <w:tcW w:w="512" w:type="pct"/>
            <w:vAlign w:val="center"/>
          </w:tcPr>
          <w:p w:rsidR="00EE56C0" w:rsidRDefault="000F36A1">
            <w:pPr>
              <w:pStyle w:val="afa"/>
            </w:pPr>
            <w:r>
              <w:rPr>
                <w:rFonts w:hint="eastAsia"/>
              </w:rPr>
              <w:t>甲苯</w:t>
            </w:r>
          </w:p>
        </w:tc>
        <w:tc>
          <w:tcPr>
            <w:tcW w:w="947" w:type="pct"/>
            <w:vAlign w:val="center"/>
          </w:tcPr>
          <w:p w:rsidR="00EE56C0" w:rsidRDefault="000F36A1">
            <w:pPr>
              <w:pStyle w:val="afa"/>
            </w:pPr>
            <w:r>
              <w:rPr>
                <w:rFonts w:hint="eastAsia"/>
              </w:rPr>
              <w:t>1</w:t>
            </w:r>
          </w:p>
        </w:tc>
        <w:tc>
          <w:tcPr>
            <w:tcW w:w="1022" w:type="pct"/>
            <w:vAlign w:val="center"/>
          </w:tcPr>
          <w:p w:rsidR="00EE56C0" w:rsidRDefault="000F36A1">
            <w:pPr>
              <w:pStyle w:val="afa"/>
            </w:pPr>
            <w:r>
              <w:rPr>
                <w:rFonts w:hint="eastAsia"/>
              </w:rPr>
              <w:t>0</w:t>
            </w:r>
          </w:p>
        </w:tc>
        <w:tc>
          <w:tcPr>
            <w:tcW w:w="766" w:type="pct"/>
            <w:vMerge/>
            <w:vAlign w:val="center"/>
          </w:tcPr>
          <w:p w:rsidR="00EE56C0" w:rsidRDefault="00EE56C0">
            <w:pPr>
              <w:pStyle w:val="afa"/>
            </w:pPr>
          </w:p>
        </w:tc>
        <w:tc>
          <w:tcPr>
            <w:tcW w:w="504" w:type="pct"/>
            <w:vMerge/>
            <w:vAlign w:val="center"/>
          </w:tcPr>
          <w:p w:rsidR="00EE56C0" w:rsidRDefault="00EE56C0">
            <w:pPr>
              <w:pStyle w:val="afa"/>
            </w:pPr>
          </w:p>
        </w:tc>
        <w:tc>
          <w:tcPr>
            <w:tcW w:w="609" w:type="pct"/>
            <w:vMerge/>
            <w:vAlign w:val="center"/>
          </w:tcPr>
          <w:p w:rsidR="00EE56C0" w:rsidRDefault="00EE56C0">
            <w:pPr>
              <w:pStyle w:val="afa"/>
            </w:pPr>
          </w:p>
        </w:tc>
      </w:tr>
      <w:tr w:rsidR="00EE56C0">
        <w:trPr>
          <w:trHeight w:val="454"/>
        </w:trPr>
        <w:tc>
          <w:tcPr>
            <w:tcW w:w="305" w:type="pct"/>
            <w:vMerge/>
            <w:vAlign w:val="center"/>
          </w:tcPr>
          <w:p w:rsidR="00EE56C0" w:rsidRDefault="00EE56C0">
            <w:pPr>
              <w:pStyle w:val="afa"/>
            </w:pPr>
          </w:p>
        </w:tc>
        <w:tc>
          <w:tcPr>
            <w:tcW w:w="335" w:type="pct"/>
            <w:vMerge/>
            <w:vAlign w:val="center"/>
          </w:tcPr>
          <w:p w:rsidR="00EE56C0" w:rsidRDefault="00EE56C0">
            <w:pPr>
              <w:pStyle w:val="afa"/>
            </w:pPr>
          </w:p>
        </w:tc>
        <w:tc>
          <w:tcPr>
            <w:tcW w:w="512" w:type="pct"/>
            <w:vAlign w:val="center"/>
          </w:tcPr>
          <w:p w:rsidR="00EE56C0" w:rsidRDefault="000F36A1">
            <w:pPr>
              <w:pStyle w:val="afa"/>
            </w:pPr>
            <w:r>
              <w:rPr>
                <w:rFonts w:hint="eastAsia"/>
              </w:rPr>
              <w:t>苯</w:t>
            </w:r>
          </w:p>
        </w:tc>
        <w:tc>
          <w:tcPr>
            <w:tcW w:w="947" w:type="pct"/>
            <w:vAlign w:val="center"/>
          </w:tcPr>
          <w:p w:rsidR="00EE56C0" w:rsidRDefault="000F36A1">
            <w:pPr>
              <w:pStyle w:val="afa"/>
            </w:pPr>
            <w:r>
              <w:rPr>
                <w:rFonts w:hint="eastAsia"/>
              </w:rPr>
              <w:t>0.52</w:t>
            </w:r>
          </w:p>
        </w:tc>
        <w:tc>
          <w:tcPr>
            <w:tcW w:w="1022" w:type="pct"/>
            <w:vAlign w:val="center"/>
          </w:tcPr>
          <w:p w:rsidR="00EE56C0" w:rsidRDefault="000F36A1">
            <w:pPr>
              <w:pStyle w:val="afa"/>
            </w:pPr>
            <w:r>
              <w:rPr>
                <w:rFonts w:hint="eastAsia"/>
              </w:rPr>
              <w:t>0</w:t>
            </w:r>
          </w:p>
        </w:tc>
        <w:tc>
          <w:tcPr>
            <w:tcW w:w="766" w:type="pct"/>
            <w:vMerge/>
            <w:vAlign w:val="center"/>
          </w:tcPr>
          <w:p w:rsidR="00EE56C0" w:rsidRDefault="00EE56C0">
            <w:pPr>
              <w:pStyle w:val="afa"/>
            </w:pPr>
          </w:p>
        </w:tc>
        <w:tc>
          <w:tcPr>
            <w:tcW w:w="504" w:type="pct"/>
            <w:vMerge/>
            <w:vAlign w:val="center"/>
          </w:tcPr>
          <w:p w:rsidR="00EE56C0" w:rsidRDefault="00EE56C0">
            <w:pPr>
              <w:pStyle w:val="afa"/>
            </w:pPr>
          </w:p>
        </w:tc>
        <w:tc>
          <w:tcPr>
            <w:tcW w:w="609" w:type="pct"/>
            <w:vMerge/>
            <w:vAlign w:val="center"/>
          </w:tcPr>
          <w:p w:rsidR="00EE56C0" w:rsidRDefault="00EE56C0">
            <w:pPr>
              <w:pStyle w:val="afa"/>
            </w:pPr>
          </w:p>
        </w:tc>
      </w:tr>
    </w:tbl>
    <w:p w:rsidR="00EE56C0" w:rsidRDefault="000F36A1">
      <w:pPr>
        <w:ind w:firstLine="480"/>
      </w:pPr>
      <w:r>
        <w:t>由表</w:t>
      </w:r>
      <w:r>
        <w:rPr>
          <w:rFonts w:hint="eastAsia"/>
        </w:rPr>
        <w:t>5-17</w:t>
      </w:r>
      <w:r>
        <w:t>可知，本工程大气评价等级为</w:t>
      </w:r>
      <w:r>
        <w:rPr>
          <w:rFonts w:hint="eastAsia"/>
        </w:rPr>
        <w:t>一</w:t>
      </w:r>
      <w:r>
        <w:t>级</w:t>
      </w:r>
      <w:r>
        <w:rPr>
          <w:rFonts w:hint="eastAsia"/>
        </w:rPr>
        <w:t>。</w:t>
      </w:r>
    </w:p>
    <w:p w:rsidR="00EE56C0" w:rsidRDefault="000F36A1">
      <w:pPr>
        <w:pStyle w:val="4"/>
        <w:ind w:left="120" w:firstLine="241"/>
      </w:pPr>
      <w:bookmarkStart w:id="327" w:name="_Toc304300432"/>
      <w:bookmarkStart w:id="328" w:name="_Toc324839320"/>
      <w:bookmarkStart w:id="329" w:name="_Toc300681308"/>
      <w:bookmarkStart w:id="330" w:name="_Toc302145937"/>
      <w:bookmarkStart w:id="331" w:name="_Toc324839617"/>
      <w:r>
        <w:rPr>
          <w:rFonts w:hint="eastAsia"/>
        </w:rPr>
        <w:t>5.1.2.5</w:t>
      </w:r>
      <w:r>
        <w:rPr>
          <w:rFonts w:hint="eastAsia"/>
        </w:rPr>
        <w:t>评价</w:t>
      </w:r>
      <w:r>
        <w:t>范围</w:t>
      </w:r>
      <w:bookmarkEnd w:id="327"/>
      <w:bookmarkEnd w:id="328"/>
      <w:bookmarkEnd w:id="329"/>
      <w:bookmarkEnd w:id="330"/>
      <w:bookmarkEnd w:id="331"/>
    </w:p>
    <w:p w:rsidR="00EE56C0" w:rsidRDefault="000F36A1">
      <w:pPr>
        <w:ind w:firstLine="482"/>
        <w:rPr>
          <w:b/>
          <w:u w:val="single"/>
        </w:rPr>
      </w:pPr>
      <w:r>
        <w:rPr>
          <w:rFonts w:hint="eastAsia"/>
          <w:b/>
          <w:u w:val="single"/>
        </w:rPr>
        <w:t>根据预测结果，最大</w:t>
      </w:r>
      <w:r>
        <w:rPr>
          <w:b/>
          <w:u w:val="single"/>
        </w:rPr>
        <w:t>D</w:t>
      </w:r>
      <w:r>
        <w:rPr>
          <w:b/>
          <w:u w:val="single"/>
          <w:vertAlign w:val="subscript"/>
        </w:rPr>
        <w:t>10%</w:t>
      </w:r>
      <w:r>
        <w:rPr>
          <w:rFonts w:hint="eastAsia"/>
          <w:b/>
          <w:u w:val="single"/>
        </w:rPr>
        <w:t>为</w:t>
      </w:r>
      <w:r>
        <w:rPr>
          <w:rFonts w:hint="eastAsia"/>
          <w:b/>
          <w:u w:val="single"/>
        </w:rPr>
        <w:t>3675m</w:t>
      </w:r>
      <w:r>
        <w:rPr>
          <w:rFonts w:hint="eastAsia"/>
          <w:b/>
          <w:u w:val="single"/>
        </w:rPr>
        <w:t>，根据</w:t>
      </w:r>
      <w:r>
        <w:rPr>
          <w:b/>
          <w:u w:val="single"/>
        </w:rPr>
        <w:t>《环境影响评价技术导则</w:t>
      </w:r>
      <w:r>
        <w:rPr>
          <w:b/>
          <w:u w:val="single"/>
        </w:rPr>
        <w:t xml:space="preserve">  </w:t>
      </w:r>
      <w:r>
        <w:rPr>
          <w:b/>
          <w:u w:val="single"/>
        </w:rPr>
        <w:t>大气环境》</w:t>
      </w:r>
      <w:r>
        <w:rPr>
          <w:rFonts w:hint="eastAsia"/>
          <w:b/>
          <w:u w:val="single"/>
        </w:rPr>
        <w:t>（</w:t>
      </w:r>
      <w:r>
        <w:rPr>
          <w:b/>
          <w:u w:val="single"/>
        </w:rPr>
        <w:t>HJ2.2-20</w:t>
      </w:r>
      <w:r>
        <w:rPr>
          <w:rFonts w:hint="eastAsia"/>
          <w:b/>
          <w:u w:val="single"/>
        </w:rPr>
        <w:t>18</w:t>
      </w:r>
      <w:r>
        <w:rPr>
          <w:rFonts w:hint="eastAsia"/>
          <w:b/>
          <w:u w:val="single"/>
        </w:rPr>
        <w:t>），确定评价范围为：</w:t>
      </w:r>
      <w:r>
        <w:rPr>
          <w:b/>
          <w:u w:val="single"/>
        </w:rPr>
        <w:t>以</w:t>
      </w:r>
      <w:r>
        <w:rPr>
          <w:rFonts w:hint="eastAsia"/>
          <w:b/>
          <w:u w:val="single"/>
        </w:rPr>
        <w:t>项目厂址为中心区域，以厂界外延</w:t>
      </w:r>
      <w:r>
        <w:rPr>
          <w:rFonts w:hint="eastAsia"/>
          <w:b/>
          <w:u w:val="single"/>
        </w:rPr>
        <w:t>4000m</w:t>
      </w:r>
      <w:r>
        <w:rPr>
          <w:rFonts w:hint="eastAsia"/>
          <w:b/>
          <w:u w:val="single"/>
        </w:rPr>
        <w:t>的区域，评价区内覆盖的敏感点为主要保护目标。</w:t>
      </w:r>
    </w:p>
    <w:p w:rsidR="00EE56C0" w:rsidRDefault="000F36A1">
      <w:pPr>
        <w:pStyle w:val="4"/>
        <w:ind w:left="120" w:firstLine="241"/>
      </w:pPr>
      <w:r>
        <w:rPr>
          <w:rFonts w:hint="eastAsia"/>
        </w:rPr>
        <w:t>5.1.2.6</w:t>
      </w:r>
      <w:r>
        <w:rPr>
          <w:rFonts w:hint="eastAsia"/>
        </w:rPr>
        <w:t>污染物排放量核算</w:t>
      </w:r>
    </w:p>
    <w:p w:rsidR="00EE56C0" w:rsidRDefault="000F36A1">
      <w:pPr>
        <w:ind w:firstLine="480"/>
      </w:pPr>
      <w:r>
        <w:t>（</w:t>
      </w:r>
      <w:r>
        <w:t>1</w:t>
      </w:r>
      <w:r>
        <w:t>）有组织排放核算</w:t>
      </w:r>
    </w:p>
    <w:p w:rsidR="00EE56C0" w:rsidRDefault="000F36A1">
      <w:pPr>
        <w:ind w:firstLine="480"/>
      </w:pPr>
      <w:r>
        <w:rPr>
          <w:rFonts w:hint="eastAsia"/>
        </w:rPr>
        <w:t>本项目</w:t>
      </w:r>
      <w:r>
        <w:t>有组织大气污染物排放量核算见</w:t>
      </w:r>
      <w:r>
        <w:rPr>
          <w:rFonts w:hint="eastAsia"/>
        </w:rPr>
        <w:t>下表</w:t>
      </w:r>
      <w:r>
        <w:t>。</w:t>
      </w:r>
    </w:p>
    <w:p w:rsidR="00EE56C0" w:rsidRDefault="000F36A1">
      <w:pPr>
        <w:pStyle w:val="afd"/>
        <w:spacing w:before="120" w:after="120"/>
        <w:ind w:firstLine="482"/>
      </w:pPr>
      <w:r>
        <w:t>表</w:t>
      </w:r>
      <w:r>
        <w:rPr>
          <w:rFonts w:hint="eastAsia"/>
        </w:rPr>
        <w:t xml:space="preserve">5-18           </w:t>
      </w:r>
      <w:r>
        <w:t>有组织大气污染物排放量核算表</w:t>
      </w:r>
    </w:p>
    <w:tbl>
      <w:tblPr>
        <w:tblW w:w="5000" w:type="pct"/>
        <w:jc w:val="center"/>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CellMar>
          <w:left w:w="28" w:type="dxa"/>
          <w:right w:w="28" w:type="dxa"/>
        </w:tblCellMar>
        <w:tblLook w:val="04A0"/>
      </w:tblPr>
      <w:tblGrid>
        <w:gridCol w:w="831"/>
        <w:gridCol w:w="1399"/>
        <w:gridCol w:w="1369"/>
        <w:gridCol w:w="1630"/>
        <w:gridCol w:w="1598"/>
        <w:gridCol w:w="1542"/>
      </w:tblGrid>
      <w:tr w:rsidR="00EE56C0">
        <w:trPr>
          <w:trHeight w:val="425"/>
          <w:jc w:val="center"/>
        </w:trPr>
        <w:tc>
          <w:tcPr>
            <w:tcW w:w="496" w:type="pct"/>
            <w:vAlign w:val="center"/>
          </w:tcPr>
          <w:p w:rsidR="00EE56C0" w:rsidRDefault="000F36A1">
            <w:pPr>
              <w:pStyle w:val="aff1"/>
              <w:rPr>
                <w:color w:val="auto"/>
              </w:rPr>
            </w:pPr>
            <w:r>
              <w:rPr>
                <w:color w:val="auto"/>
              </w:rPr>
              <w:t>序号</w:t>
            </w:r>
          </w:p>
        </w:tc>
        <w:tc>
          <w:tcPr>
            <w:tcW w:w="836" w:type="pct"/>
            <w:vAlign w:val="center"/>
          </w:tcPr>
          <w:p w:rsidR="00EE56C0" w:rsidRDefault="000F36A1">
            <w:pPr>
              <w:pStyle w:val="aff1"/>
              <w:rPr>
                <w:color w:val="auto"/>
              </w:rPr>
            </w:pPr>
            <w:r>
              <w:rPr>
                <w:color w:val="auto"/>
              </w:rPr>
              <w:t>排放口编号</w:t>
            </w:r>
          </w:p>
        </w:tc>
        <w:tc>
          <w:tcPr>
            <w:tcW w:w="818" w:type="pct"/>
            <w:vAlign w:val="center"/>
          </w:tcPr>
          <w:p w:rsidR="00EE56C0" w:rsidRDefault="000F36A1">
            <w:pPr>
              <w:pStyle w:val="aff1"/>
              <w:rPr>
                <w:color w:val="auto"/>
              </w:rPr>
            </w:pPr>
            <w:r>
              <w:rPr>
                <w:color w:val="auto"/>
              </w:rPr>
              <w:t>污染物</w:t>
            </w:r>
          </w:p>
        </w:tc>
        <w:tc>
          <w:tcPr>
            <w:tcW w:w="974" w:type="pct"/>
            <w:vAlign w:val="center"/>
          </w:tcPr>
          <w:p w:rsidR="00EE56C0" w:rsidRDefault="000F36A1">
            <w:pPr>
              <w:pStyle w:val="aff1"/>
              <w:rPr>
                <w:color w:val="auto"/>
              </w:rPr>
            </w:pPr>
            <w:r>
              <w:rPr>
                <w:color w:val="auto"/>
              </w:rPr>
              <w:t>核算排放浓度</w:t>
            </w:r>
          </w:p>
          <w:p w:rsidR="00EE56C0" w:rsidRDefault="000F36A1">
            <w:pPr>
              <w:pStyle w:val="aff1"/>
              <w:rPr>
                <w:color w:val="auto"/>
              </w:rPr>
            </w:pPr>
            <w:r>
              <w:rPr>
                <w:color w:val="auto"/>
              </w:rPr>
              <w:t>（</w:t>
            </w:r>
            <w:r>
              <w:rPr>
                <w:color w:val="auto"/>
              </w:rPr>
              <w:t>mg/m</w:t>
            </w:r>
            <w:r>
              <w:rPr>
                <w:color w:val="auto"/>
                <w:vertAlign w:val="superscript"/>
              </w:rPr>
              <w:t>3</w:t>
            </w:r>
            <w:r>
              <w:rPr>
                <w:color w:val="auto"/>
              </w:rPr>
              <w:t>）</w:t>
            </w:r>
          </w:p>
        </w:tc>
        <w:tc>
          <w:tcPr>
            <w:tcW w:w="955" w:type="pct"/>
            <w:vAlign w:val="center"/>
          </w:tcPr>
          <w:p w:rsidR="00EE56C0" w:rsidRDefault="000F36A1">
            <w:pPr>
              <w:pStyle w:val="aff1"/>
              <w:rPr>
                <w:color w:val="auto"/>
              </w:rPr>
            </w:pPr>
            <w:r>
              <w:rPr>
                <w:color w:val="auto"/>
              </w:rPr>
              <w:t>核算排放速率</w:t>
            </w:r>
          </w:p>
          <w:p w:rsidR="00EE56C0" w:rsidRDefault="000F36A1">
            <w:pPr>
              <w:pStyle w:val="aff1"/>
              <w:rPr>
                <w:color w:val="auto"/>
              </w:rPr>
            </w:pPr>
            <w:r>
              <w:rPr>
                <w:color w:val="auto"/>
              </w:rPr>
              <w:t>（</w:t>
            </w:r>
            <w:r>
              <w:rPr>
                <w:color w:val="auto"/>
              </w:rPr>
              <w:t>kg/h</w:t>
            </w:r>
            <w:r>
              <w:rPr>
                <w:color w:val="auto"/>
              </w:rPr>
              <w:t>）</w:t>
            </w:r>
          </w:p>
        </w:tc>
        <w:tc>
          <w:tcPr>
            <w:tcW w:w="921" w:type="pct"/>
            <w:vAlign w:val="center"/>
          </w:tcPr>
          <w:p w:rsidR="00EE56C0" w:rsidRDefault="000F36A1">
            <w:pPr>
              <w:pStyle w:val="aff1"/>
              <w:rPr>
                <w:color w:val="auto"/>
              </w:rPr>
            </w:pPr>
            <w:r>
              <w:rPr>
                <w:color w:val="auto"/>
              </w:rPr>
              <w:t>核算年排放量</w:t>
            </w:r>
          </w:p>
          <w:p w:rsidR="00EE56C0" w:rsidRDefault="000F36A1">
            <w:pPr>
              <w:pStyle w:val="aff1"/>
              <w:rPr>
                <w:color w:val="auto"/>
              </w:rPr>
            </w:pPr>
            <w:r>
              <w:rPr>
                <w:color w:val="auto"/>
              </w:rPr>
              <w:t>（</w:t>
            </w:r>
            <w:r>
              <w:rPr>
                <w:color w:val="auto"/>
              </w:rPr>
              <w:t>t/a</w:t>
            </w:r>
            <w:r>
              <w:rPr>
                <w:color w:val="auto"/>
              </w:rPr>
              <w:t>）</w:t>
            </w:r>
          </w:p>
        </w:tc>
      </w:tr>
      <w:tr w:rsidR="00EE56C0">
        <w:trPr>
          <w:trHeight w:val="425"/>
          <w:jc w:val="center"/>
        </w:trPr>
        <w:tc>
          <w:tcPr>
            <w:tcW w:w="496" w:type="pct"/>
            <w:vMerge w:val="restart"/>
            <w:vAlign w:val="center"/>
          </w:tcPr>
          <w:p w:rsidR="00EE56C0" w:rsidRDefault="000F36A1">
            <w:pPr>
              <w:pStyle w:val="afa"/>
            </w:pPr>
            <w:r>
              <w:rPr>
                <w:rFonts w:hint="eastAsia"/>
              </w:rPr>
              <w:t>1</w:t>
            </w:r>
          </w:p>
        </w:tc>
        <w:tc>
          <w:tcPr>
            <w:tcW w:w="836" w:type="pct"/>
            <w:vMerge w:val="restart"/>
            <w:vAlign w:val="center"/>
          </w:tcPr>
          <w:p w:rsidR="00EE56C0" w:rsidRDefault="000F36A1">
            <w:pPr>
              <w:pStyle w:val="afa"/>
            </w:pPr>
            <w:r>
              <w:rPr>
                <w:rFonts w:hint="eastAsia"/>
              </w:rPr>
              <w:t>P</w:t>
            </w:r>
          </w:p>
        </w:tc>
        <w:tc>
          <w:tcPr>
            <w:tcW w:w="818" w:type="pct"/>
            <w:vAlign w:val="center"/>
          </w:tcPr>
          <w:p w:rsidR="00EE56C0" w:rsidRDefault="000F36A1">
            <w:pPr>
              <w:pStyle w:val="afa"/>
            </w:pPr>
            <w:r>
              <w:rPr>
                <w:rFonts w:hint="eastAsia"/>
              </w:rPr>
              <w:t>酚</w:t>
            </w:r>
          </w:p>
        </w:tc>
        <w:tc>
          <w:tcPr>
            <w:tcW w:w="974" w:type="pct"/>
            <w:vAlign w:val="center"/>
          </w:tcPr>
          <w:p w:rsidR="00EE56C0" w:rsidRPr="00702FE4" w:rsidRDefault="000F36A1">
            <w:pPr>
              <w:pStyle w:val="afa"/>
              <w:rPr>
                <w:rFonts w:eastAsia="宋体"/>
                <w:u w:val="single"/>
              </w:rPr>
            </w:pPr>
            <w:r w:rsidRPr="00702FE4">
              <w:rPr>
                <w:u w:val="single"/>
              </w:rPr>
              <w:t xml:space="preserve">0.92 </w:t>
            </w:r>
          </w:p>
        </w:tc>
        <w:tc>
          <w:tcPr>
            <w:tcW w:w="955" w:type="pct"/>
            <w:vAlign w:val="center"/>
          </w:tcPr>
          <w:p w:rsidR="00EE56C0" w:rsidRPr="00702FE4" w:rsidRDefault="000F36A1">
            <w:pPr>
              <w:pStyle w:val="afa"/>
              <w:rPr>
                <w:rFonts w:eastAsia="宋体"/>
                <w:u w:val="single"/>
              </w:rPr>
            </w:pPr>
            <w:r w:rsidRPr="00702FE4">
              <w:rPr>
                <w:u w:val="single"/>
              </w:rPr>
              <w:t xml:space="preserve">0.0935 </w:t>
            </w:r>
          </w:p>
        </w:tc>
        <w:tc>
          <w:tcPr>
            <w:tcW w:w="921" w:type="pct"/>
            <w:vAlign w:val="center"/>
          </w:tcPr>
          <w:p w:rsidR="00EE56C0" w:rsidRPr="00702FE4" w:rsidRDefault="000F36A1">
            <w:pPr>
              <w:pStyle w:val="afa"/>
              <w:rPr>
                <w:rFonts w:eastAsia="宋体"/>
                <w:u w:val="single"/>
              </w:rPr>
            </w:pPr>
            <w:r w:rsidRPr="00702FE4">
              <w:rPr>
                <w:u w:val="single"/>
              </w:rPr>
              <w:t xml:space="preserve">0.6730 </w:t>
            </w:r>
          </w:p>
        </w:tc>
      </w:tr>
      <w:tr w:rsidR="00EE56C0">
        <w:trPr>
          <w:trHeight w:val="425"/>
          <w:jc w:val="center"/>
        </w:trPr>
        <w:tc>
          <w:tcPr>
            <w:tcW w:w="496" w:type="pct"/>
            <w:vMerge/>
            <w:vAlign w:val="center"/>
          </w:tcPr>
          <w:p w:rsidR="00EE56C0" w:rsidRDefault="00EE56C0">
            <w:pPr>
              <w:pStyle w:val="afa"/>
            </w:pPr>
          </w:p>
        </w:tc>
        <w:tc>
          <w:tcPr>
            <w:tcW w:w="836" w:type="pct"/>
            <w:vMerge/>
            <w:vAlign w:val="center"/>
          </w:tcPr>
          <w:p w:rsidR="00EE56C0" w:rsidRDefault="00EE56C0">
            <w:pPr>
              <w:pStyle w:val="afa"/>
            </w:pPr>
          </w:p>
        </w:tc>
        <w:tc>
          <w:tcPr>
            <w:tcW w:w="818" w:type="pct"/>
            <w:vAlign w:val="center"/>
          </w:tcPr>
          <w:p w:rsidR="00EE56C0" w:rsidRDefault="000F36A1">
            <w:pPr>
              <w:pStyle w:val="afa"/>
            </w:pPr>
            <w:r>
              <w:rPr>
                <w:rFonts w:hint="eastAsia"/>
              </w:rPr>
              <w:t>非甲烷总烃</w:t>
            </w:r>
          </w:p>
        </w:tc>
        <w:tc>
          <w:tcPr>
            <w:tcW w:w="974" w:type="pct"/>
            <w:vAlign w:val="center"/>
          </w:tcPr>
          <w:p w:rsidR="00EE56C0" w:rsidRPr="00702FE4" w:rsidRDefault="000F36A1">
            <w:pPr>
              <w:pStyle w:val="afa"/>
              <w:rPr>
                <w:rFonts w:eastAsia="宋体"/>
                <w:u w:val="single"/>
              </w:rPr>
            </w:pPr>
            <w:r w:rsidRPr="00702FE4">
              <w:rPr>
                <w:rFonts w:hint="eastAsia"/>
                <w:u w:val="single"/>
              </w:rPr>
              <w:t>6.18</w:t>
            </w:r>
          </w:p>
        </w:tc>
        <w:tc>
          <w:tcPr>
            <w:tcW w:w="955" w:type="pct"/>
            <w:vAlign w:val="center"/>
          </w:tcPr>
          <w:p w:rsidR="00EE56C0" w:rsidRPr="00702FE4" w:rsidRDefault="000F36A1">
            <w:pPr>
              <w:pStyle w:val="afa"/>
              <w:rPr>
                <w:rFonts w:eastAsia="宋体"/>
                <w:u w:val="single"/>
              </w:rPr>
            </w:pPr>
            <w:r w:rsidRPr="00702FE4">
              <w:rPr>
                <w:rFonts w:hint="eastAsia"/>
                <w:u w:val="single"/>
              </w:rPr>
              <w:t>0.6309</w:t>
            </w:r>
          </w:p>
        </w:tc>
        <w:tc>
          <w:tcPr>
            <w:tcW w:w="921" w:type="pct"/>
            <w:vAlign w:val="center"/>
          </w:tcPr>
          <w:p w:rsidR="00EE56C0" w:rsidRPr="00702FE4" w:rsidRDefault="000F36A1">
            <w:pPr>
              <w:pStyle w:val="afa"/>
              <w:rPr>
                <w:rFonts w:eastAsia="宋体"/>
                <w:u w:val="single"/>
              </w:rPr>
            </w:pPr>
            <w:r w:rsidRPr="00702FE4">
              <w:rPr>
                <w:rFonts w:hint="eastAsia"/>
                <w:u w:val="single"/>
              </w:rPr>
              <w:t>4.5425</w:t>
            </w:r>
          </w:p>
        </w:tc>
      </w:tr>
      <w:tr w:rsidR="00EE56C0">
        <w:trPr>
          <w:trHeight w:val="425"/>
          <w:jc w:val="center"/>
        </w:trPr>
        <w:tc>
          <w:tcPr>
            <w:tcW w:w="496" w:type="pct"/>
            <w:vMerge/>
            <w:vAlign w:val="center"/>
          </w:tcPr>
          <w:p w:rsidR="00EE56C0" w:rsidRDefault="00EE56C0">
            <w:pPr>
              <w:pStyle w:val="afa"/>
            </w:pPr>
          </w:p>
        </w:tc>
        <w:tc>
          <w:tcPr>
            <w:tcW w:w="836" w:type="pct"/>
            <w:vMerge/>
            <w:vAlign w:val="center"/>
          </w:tcPr>
          <w:p w:rsidR="00EE56C0" w:rsidRDefault="00EE56C0">
            <w:pPr>
              <w:pStyle w:val="afa"/>
            </w:pPr>
          </w:p>
        </w:tc>
        <w:tc>
          <w:tcPr>
            <w:tcW w:w="818" w:type="pct"/>
            <w:vAlign w:val="center"/>
          </w:tcPr>
          <w:p w:rsidR="00EE56C0" w:rsidRDefault="000F36A1">
            <w:pPr>
              <w:pStyle w:val="afa"/>
            </w:pPr>
            <w:r>
              <w:rPr>
                <w:rFonts w:hint="eastAsia"/>
              </w:rPr>
              <w:t>二甲苯</w:t>
            </w:r>
          </w:p>
        </w:tc>
        <w:tc>
          <w:tcPr>
            <w:tcW w:w="974" w:type="pct"/>
            <w:vAlign w:val="center"/>
          </w:tcPr>
          <w:p w:rsidR="00EE56C0" w:rsidRPr="00702FE4" w:rsidRDefault="000F36A1">
            <w:pPr>
              <w:pStyle w:val="afa"/>
              <w:rPr>
                <w:rFonts w:eastAsia="宋体"/>
                <w:u w:val="single"/>
              </w:rPr>
            </w:pPr>
            <w:r w:rsidRPr="00702FE4">
              <w:rPr>
                <w:u w:val="single"/>
              </w:rPr>
              <w:t xml:space="preserve">7.93 </w:t>
            </w:r>
          </w:p>
        </w:tc>
        <w:tc>
          <w:tcPr>
            <w:tcW w:w="955" w:type="pct"/>
            <w:vAlign w:val="center"/>
          </w:tcPr>
          <w:p w:rsidR="00EE56C0" w:rsidRPr="00702FE4" w:rsidRDefault="000F36A1">
            <w:pPr>
              <w:pStyle w:val="afa"/>
              <w:rPr>
                <w:rFonts w:eastAsia="宋体"/>
                <w:u w:val="single"/>
              </w:rPr>
            </w:pPr>
            <w:r w:rsidRPr="00702FE4">
              <w:rPr>
                <w:u w:val="single"/>
              </w:rPr>
              <w:t xml:space="preserve">0.8097 </w:t>
            </w:r>
          </w:p>
        </w:tc>
        <w:tc>
          <w:tcPr>
            <w:tcW w:w="921" w:type="pct"/>
            <w:vAlign w:val="center"/>
          </w:tcPr>
          <w:p w:rsidR="00EE56C0" w:rsidRPr="00702FE4" w:rsidRDefault="000F36A1">
            <w:pPr>
              <w:pStyle w:val="afa"/>
              <w:rPr>
                <w:rFonts w:eastAsia="宋体"/>
                <w:u w:val="single"/>
              </w:rPr>
            </w:pPr>
            <w:r w:rsidRPr="00702FE4">
              <w:rPr>
                <w:u w:val="single"/>
              </w:rPr>
              <w:t xml:space="preserve">5.8296 </w:t>
            </w:r>
          </w:p>
        </w:tc>
      </w:tr>
      <w:tr w:rsidR="00EE56C0">
        <w:trPr>
          <w:trHeight w:val="425"/>
          <w:jc w:val="center"/>
        </w:trPr>
        <w:tc>
          <w:tcPr>
            <w:tcW w:w="496" w:type="pct"/>
            <w:vMerge/>
            <w:vAlign w:val="center"/>
          </w:tcPr>
          <w:p w:rsidR="00EE56C0" w:rsidRDefault="00EE56C0">
            <w:pPr>
              <w:pStyle w:val="afa"/>
            </w:pPr>
          </w:p>
        </w:tc>
        <w:tc>
          <w:tcPr>
            <w:tcW w:w="836" w:type="pct"/>
            <w:vMerge/>
            <w:vAlign w:val="center"/>
          </w:tcPr>
          <w:p w:rsidR="00EE56C0" w:rsidRDefault="00EE56C0">
            <w:pPr>
              <w:pStyle w:val="afa"/>
            </w:pPr>
          </w:p>
        </w:tc>
        <w:tc>
          <w:tcPr>
            <w:tcW w:w="818" w:type="pct"/>
            <w:vAlign w:val="center"/>
          </w:tcPr>
          <w:p w:rsidR="00EE56C0" w:rsidRDefault="000F36A1">
            <w:pPr>
              <w:pStyle w:val="afa"/>
            </w:pPr>
            <w:r>
              <w:rPr>
                <w:rFonts w:hint="eastAsia"/>
              </w:rPr>
              <w:t>甲苯</w:t>
            </w:r>
          </w:p>
        </w:tc>
        <w:tc>
          <w:tcPr>
            <w:tcW w:w="974" w:type="pct"/>
            <w:vAlign w:val="center"/>
          </w:tcPr>
          <w:p w:rsidR="00EE56C0" w:rsidRPr="00702FE4" w:rsidRDefault="000F36A1">
            <w:pPr>
              <w:pStyle w:val="afa"/>
              <w:rPr>
                <w:rFonts w:eastAsia="宋体"/>
                <w:u w:val="single"/>
              </w:rPr>
            </w:pPr>
            <w:r w:rsidRPr="00702FE4">
              <w:rPr>
                <w:u w:val="single"/>
              </w:rPr>
              <w:t xml:space="preserve">3.73 </w:t>
            </w:r>
          </w:p>
        </w:tc>
        <w:tc>
          <w:tcPr>
            <w:tcW w:w="955" w:type="pct"/>
            <w:vAlign w:val="center"/>
          </w:tcPr>
          <w:p w:rsidR="00EE56C0" w:rsidRPr="00702FE4" w:rsidRDefault="000F36A1">
            <w:pPr>
              <w:pStyle w:val="afa"/>
              <w:rPr>
                <w:rFonts w:eastAsia="宋体"/>
                <w:u w:val="single"/>
              </w:rPr>
            </w:pPr>
            <w:r w:rsidRPr="00702FE4">
              <w:rPr>
                <w:u w:val="single"/>
              </w:rPr>
              <w:t xml:space="preserve">0.3810 </w:t>
            </w:r>
          </w:p>
        </w:tc>
        <w:tc>
          <w:tcPr>
            <w:tcW w:w="921" w:type="pct"/>
            <w:vAlign w:val="center"/>
          </w:tcPr>
          <w:p w:rsidR="00EE56C0" w:rsidRPr="00702FE4" w:rsidRDefault="000F36A1">
            <w:pPr>
              <w:pStyle w:val="afa"/>
              <w:rPr>
                <w:rFonts w:eastAsia="宋体"/>
                <w:u w:val="single"/>
              </w:rPr>
            </w:pPr>
            <w:r w:rsidRPr="00702FE4">
              <w:rPr>
                <w:u w:val="single"/>
              </w:rPr>
              <w:t xml:space="preserve">2.7430 </w:t>
            </w:r>
          </w:p>
        </w:tc>
      </w:tr>
      <w:tr w:rsidR="00EE56C0">
        <w:trPr>
          <w:trHeight w:val="425"/>
          <w:jc w:val="center"/>
        </w:trPr>
        <w:tc>
          <w:tcPr>
            <w:tcW w:w="496" w:type="pct"/>
            <w:vMerge/>
            <w:vAlign w:val="center"/>
          </w:tcPr>
          <w:p w:rsidR="00EE56C0" w:rsidRDefault="00EE56C0">
            <w:pPr>
              <w:pStyle w:val="afa"/>
            </w:pPr>
          </w:p>
        </w:tc>
        <w:tc>
          <w:tcPr>
            <w:tcW w:w="836" w:type="pct"/>
            <w:vMerge/>
            <w:vAlign w:val="center"/>
          </w:tcPr>
          <w:p w:rsidR="00EE56C0" w:rsidRDefault="00EE56C0">
            <w:pPr>
              <w:pStyle w:val="afa"/>
            </w:pPr>
          </w:p>
        </w:tc>
        <w:tc>
          <w:tcPr>
            <w:tcW w:w="818" w:type="pct"/>
            <w:vAlign w:val="center"/>
          </w:tcPr>
          <w:p w:rsidR="00EE56C0" w:rsidRDefault="000F36A1">
            <w:pPr>
              <w:pStyle w:val="afa"/>
            </w:pPr>
            <w:r>
              <w:rPr>
                <w:rFonts w:hint="eastAsia"/>
              </w:rPr>
              <w:t>苯</w:t>
            </w:r>
          </w:p>
        </w:tc>
        <w:tc>
          <w:tcPr>
            <w:tcW w:w="974" w:type="pct"/>
            <w:vAlign w:val="center"/>
          </w:tcPr>
          <w:p w:rsidR="00EE56C0" w:rsidRPr="00702FE4" w:rsidRDefault="000F36A1">
            <w:pPr>
              <w:pStyle w:val="afa"/>
              <w:rPr>
                <w:rFonts w:eastAsia="宋体"/>
                <w:u w:val="single"/>
              </w:rPr>
            </w:pPr>
            <w:r w:rsidRPr="00702FE4">
              <w:rPr>
                <w:rFonts w:eastAsia="宋体" w:hint="eastAsia"/>
                <w:u w:val="single"/>
              </w:rPr>
              <w:t>0.37</w:t>
            </w:r>
          </w:p>
        </w:tc>
        <w:tc>
          <w:tcPr>
            <w:tcW w:w="955" w:type="pct"/>
            <w:vAlign w:val="center"/>
          </w:tcPr>
          <w:p w:rsidR="00EE56C0" w:rsidRPr="00702FE4" w:rsidRDefault="000F36A1">
            <w:pPr>
              <w:pStyle w:val="afa"/>
              <w:rPr>
                <w:rFonts w:eastAsia="宋体"/>
                <w:u w:val="single"/>
              </w:rPr>
            </w:pPr>
            <w:r w:rsidRPr="00702FE4">
              <w:rPr>
                <w:rFonts w:eastAsia="宋体" w:hint="eastAsia"/>
                <w:u w:val="single"/>
              </w:rPr>
              <w:t>0.0373</w:t>
            </w:r>
          </w:p>
        </w:tc>
        <w:tc>
          <w:tcPr>
            <w:tcW w:w="921" w:type="pct"/>
            <w:vAlign w:val="center"/>
          </w:tcPr>
          <w:p w:rsidR="00EE56C0" w:rsidRPr="00702FE4" w:rsidRDefault="000F36A1">
            <w:pPr>
              <w:pStyle w:val="afa"/>
              <w:rPr>
                <w:rFonts w:eastAsia="宋体"/>
                <w:u w:val="single"/>
              </w:rPr>
            </w:pPr>
            <w:r w:rsidRPr="00702FE4">
              <w:rPr>
                <w:rFonts w:eastAsia="宋体" w:hint="eastAsia"/>
                <w:u w:val="single"/>
              </w:rPr>
              <w:t>0.2688</w:t>
            </w:r>
          </w:p>
        </w:tc>
      </w:tr>
      <w:tr w:rsidR="00EE56C0">
        <w:trPr>
          <w:trHeight w:val="425"/>
          <w:jc w:val="center"/>
        </w:trPr>
        <w:tc>
          <w:tcPr>
            <w:tcW w:w="4079" w:type="pct"/>
            <w:gridSpan w:val="5"/>
            <w:vAlign w:val="center"/>
          </w:tcPr>
          <w:p w:rsidR="00EE56C0" w:rsidRPr="00702FE4" w:rsidRDefault="000F36A1">
            <w:pPr>
              <w:pStyle w:val="afa"/>
              <w:rPr>
                <w:u w:val="single"/>
              </w:rPr>
            </w:pPr>
            <w:r w:rsidRPr="00702FE4">
              <w:rPr>
                <w:rFonts w:hint="eastAsia"/>
                <w:u w:val="single"/>
              </w:rPr>
              <w:t>VOCs</w:t>
            </w:r>
            <w:r w:rsidRPr="00702FE4">
              <w:rPr>
                <w:rFonts w:hint="eastAsia"/>
                <w:u w:val="single"/>
              </w:rPr>
              <w:t>合计</w:t>
            </w:r>
          </w:p>
        </w:tc>
        <w:tc>
          <w:tcPr>
            <w:tcW w:w="921" w:type="pct"/>
            <w:vAlign w:val="center"/>
          </w:tcPr>
          <w:p w:rsidR="00EE56C0" w:rsidRPr="00702FE4" w:rsidRDefault="000F36A1">
            <w:pPr>
              <w:pStyle w:val="afa"/>
              <w:rPr>
                <w:u w:val="single"/>
              </w:rPr>
            </w:pPr>
            <w:r w:rsidRPr="00702FE4">
              <w:rPr>
                <w:rFonts w:eastAsia="宋体" w:hint="eastAsia"/>
                <w:u w:val="single"/>
              </w:rPr>
              <w:t>14.0570</w:t>
            </w:r>
          </w:p>
        </w:tc>
      </w:tr>
    </w:tbl>
    <w:p w:rsidR="00EE56C0" w:rsidRDefault="000F36A1">
      <w:pPr>
        <w:ind w:firstLine="480"/>
      </w:pPr>
      <w:r>
        <w:t>（</w:t>
      </w:r>
      <w:r>
        <w:rPr>
          <w:rFonts w:hint="eastAsia"/>
        </w:rPr>
        <w:t>2</w:t>
      </w:r>
      <w:r>
        <w:t>）无组织排放核算</w:t>
      </w:r>
    </w:p>
    <w:p w:rsidR="00EE56C0" w:rsidRDefault="000F36A1">
      <w:pPr>
        <w:ind w:firstLine="480"/>
      </w:pPr>
      <w:r>
        <w:rPr>
          <w:rFonts w:hint="eastAsia"/>
        </w:rPr>
        <w:t>本项目</w:t>
      </w:r>
      <w:r>
        <w:t>无组织大气污染物排放量核算见</w:t>
      </w:r>
      <w:r>
        <w:rPr>
          <w:rFonts w:hint="eastAsia"/>
        </w:rPr>
        <w:t>下表</w:t>
      </w:r>
      <w:r>
        <w:t>。</w:t>
      </w:r>
    </w:p>
    <w:p w:rsidR="00EE56C0" w:rsidRDefault="000F36A1">
      <w:pPr>
        <w:pStyle w:val="afd"/>
        <w:spacing w:before="120" w:after="120"/>
        <w:ind w:firstLine="482"/>
      </w:pPr>
      <w:r>
        <w:t>表</w:t>
      </w:r>
      <w:r>
        <w:rPr>
          <w:rFonts w:hint="eastAsia"/>
        </w:rPr>
        <w:t xml:space="preserve">5-19         </w:t>
      </w:r>
      <w:r>
        <w:t>无组织大气污染物排放量核算表</w:t>
      </w:r>
    </w:p>
    <w:tbl>
      <w:tblPr>
        <w:tblW w:w="5000" w:type="pct"/>
        <w:jc w:val="center"/>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CellMar>
          <w:left w:w="28" w:type="dxa"/>
          <w:right w:w="28" w:type="dxa"/>
        </w:tblCellMar>
        <w:tblLook w:val="04A0"/>
      </w:tblPr>
      <w:tblGrid>
        <w:gridCol w:w="1848"/>
        <w:gridCol w:w="3105"/>
        <w:gridCol w:w="3416"/>
      </w:tblGrid>
      <w:tr w:rsidR="00EE56C0">
        <w:trPr>
          <w:trHeight w:val="425"/>
          <w:jc w:val="center"/>
        </w:trPr>
        <w:tc>
          <w:tcPr>
            <w:tcW w:w="1104" w:type="pct"/>
            <w:vAlign w:val="center"/>
          </w:tcPr>
          <w:p w:rsidR="00EE56C0" w:rsidRDefault="000F36A1">
            <w:pPr>
              <w:pStyle w:val="aff1"/>
              <w:rPr>
                <w:color w:val="auto"/>
              </w:rPr>
            </w:pPr>
            <w:r>
              <w:rPr>
                <w:color w:val="auto"/>
              </w:rPr>
              <w:t>序号</w:t>
            </w:r>
          </w:p>
        </w:tc>
        <w:tc>
          <w:tcPr>
            <w:tcW w:w="1855" w:type="pct"/>
            <w:vAlign w:val="center"/>
          </w:tcPr>
          <w:p w:rsidR="00EE56C0" w:rsidRDefault="000F36A1">
            <w:pPr>
              <w:pStyle w:val="aff1"/>
              <w:rPr>
                <w:color w:val="auto"/>
              </w:rPr>
            </w:pPr>
            <w:r>
              <w:rPr>
                <w:color w:val="auto"/>
              </w:rPr>
              <w:t>污染物</w:t>
            </w:r>
          </w:p>
        </w:tc>
        <w:tc>
          <w:tcPr>
            <w:tcW w:w="2041" w:type="pct"/>
            <w:vAlign w:val="center"/>
          </w:tcPr>
          <w:p w:rsidR="00EE56C0" w:rsidRDefault="000F36A1">
            <w:pPr>
              <w:pStyle w:val="aff1"/>
              <w:rPr>
                <w:color w:val="auto"/>
              </w:rPr>
            </w:pPr>
            <w:r>
              <w:rPr>
                <w:color w:val="auto"/>
              </w:rPr>
              <w:t>年排放量（</w:t>
            </w:r>
            <w:r>
              <w:rPr>
                <w:color w:val="auto"/>
              </w:rPr>
              <w:t>t/a</w:t>
            </w:r>
            <w:r>
              <w:rPr>
                <w:color w:val="auto"/>
              </w:rPr>
              <w:t>）</w:t>
            </w:r>
          </w:p>
        </w:tc>
      </w:tr>
      <w:tr w:rsidR="00EE56C0" w:rsidRPr="00702FE4">
        <w:trPr>
          <w:trHeight w:val="425"/>
          <w:jc w:val="center"/>
        </w:trPr>
        <w:tc>
          <w:tcPr>
            <w:tcW w:w="1104" w:type="pct"/>
            <w:vAlign w:val="center"/>
          </w:tcPr>
          <w:p w:rsidR="00EE56C0" w:rsidRDefault="000F36A1">
            <w:pPr>
              <w:pStyle w:val="afa"/>
            </w:pPr>
            <w:r>
              <w:t>1</w:t>
            </w:r>
          </w:p>
        </w:tc>
        <w:tc>
          <w:tcPr>
            <w:tcW w:w="1855" w:type="pct"/>
            <w:vAlign w:val="center"/>
          </w:tcPr>
          <w:p w:rsidR="00EE56C0" w:rsidRDefault="000F36A1">
            <w:pPr>
              <w:pStyle w:val="afa"/>
            </w:pPr>
            <w:r>
              <w:rPr>
                <w:rFonts w:hint="eastAsia"/>
              </w:rPr>
              <w:t>酚</w:t>
            </w:r>
          </w:p>
        </w:tc>
        <w:tc>
          <w:tcPr>
            <w:tcW w:w="2041" w:type="pct"/>
            <w:vAlign w:val="center"/>
          </w:tcPr>
          <w:p w:rsidR="00EE56C0" w:rsidRPr="00702FE4" w:rsidRDefault="000F36A1">
            <w:pPr>
              <w:pStyle w:val="afa"/>
              <w:rPr>
                <w:rFonts w:eastAsia="宋体"/>
                <w:u w:val="single"/>
              </w:rPr>
            </w:pPr>
            <w:r w:rsidRPr="00702FE4">
              <w:rPr>
                <w:u w:val="single"/>
              </w:rPr>
              <w:t xml:space="preserve">0.9267 </w:t>
            </w:r>
          </w:p>
        </w:tc>
      </w:tr>
      <w:tr w:rsidR="00EE56C0" w:rsidRPr="00702FE4">
        <w:trPr>
          <w:trHeight w:val="425"/>
          <w:jc w:val="center"/>
        </w:trPr>
        <w:tc>
          <w:tcPr>
            <w:tcW w:w="1104" w:type="pct"/>
            <w:vAlign w:val="center"/>
          </w:tcPr>
          <w:p w:rsidR="00EE56C0" w:rsidRDefault="000F36A1">
            <w:pPr>
              <w:pStyle w:val="afa"/>
            </w:pPr>
            <w:r>
              <w:rPr>
                <w:rFonts w:hint="eastAsia"/>
              </w:rPr>
              <w:t>2</w:t>
            </w:r>
          </w:p>
        </w:tc>
        <w:tc>
          <w:tcPr>
            <w:tcW w:w="1855" w:type="pct"/>
            <w:vAlign w:val="center"/>
          </w:tcPr>
          <w:p w:rsidR="00EE56C0" w:rsidRDefault="000F36A1">
            <w:pPr>
              <w:pStyle w:val="afa"/>
            </w:pPr>
            <w:r>
              <w:rPr>
                <w:rFonts w:hint="eastAsia"/>
              </w:rPr>
              <w:t>非甲烷总烃</w:t>
            </w:r>
          </w:p>
        </w:tc>
        <w:tc>
          <w:tcPr>
            <w:tcW w:w="2041" w:type="pct"/>
            <w:vAlign w:val="center"/>
          </w:tcPr>
          <w:p w:rsidR="00EE56C0" w:rsidRPr="00702FE4" w:rsidRDefault="000F36A1">
            <w:pPr>
              <w:pStyle w:val="afa"/>
              <w:rPr>
                <w:rFonts w:eastAsia="宋体"/>
                <w:u w:val="single"/>
              </w:rPr>
            </w:pPr>
            <w:r w:rsidRPr="00702FE4">
              <w:rPr>
                <w:u w:val="single"/>
              </w:rPr>
              <w:t xml:space="preserve">0.6836 </w:t>
            </w:r>
          </w:p>
        </w:tc>
      </w:tr>
      <w:tr w:rsidR="00EE56C0" w:rsidRPr="00702FE4">
        <w:trPr>
          <w:trHeight w:val="425"/>
          <w:jc w:val="center"/>
        </w:trPr>
        <w:tc>
          <w:tcPr>
            <w:tcW w:w="1104" w:type="pct"/>
            <w:vAlign w:val="center"/>
          </w:tcPr>
          <w:p w:rsidR="00EE56C0" w:rsidRDefault="000F36A1">
            <w:pPr>
              <w:pStyle w:val="afa"/>
            </w:pPr>
            <w:r>
              <w:rPr>
                <w:rFonts w:hint="eastAsia"/>
              </w:rPr>
              <w:t>3</w:t>
            </w:r>
          </w:p>
        </w:tc>
        <w:tc>
          <w:tcPr>
            <w:tcW w:w="1855" w:type="pct"/>
            <w:vAlign w:val="center"/>
          </w:tcPr>
          <w:p w:rsidR="00EE56C0" w:rsidRDefault="000F36A1">
            <w:pPr>
              <w:pStyle w:val="afa"/>
            </w:pPr>
            <w:r>
              <w:rPr>
                <w:rFonts w:hint="eastAsia"/>
              </w:rPr>
              <w:t>二甲苯</w:t>
            </w:r>
          </w:p>
        </w:tc>
        <w:tc>
          <w:tcPr>
            <w:tcW w:w="2041" w:type="pct"/>
            <w:vAlign w:val="center"/>
          </w:tcPr>
          <w:p w:rsidR="00EE56C0" w:rsidRPr="00702FE4" w:rsidRDefault="000F36A1">
            <w:pPr>
              <w:pStyle w:val="afa"/>
              <w:rPr>
                <w:rFonts w:eastAsia="宋体"/>
                <w:u w:val="single"/>
              </w:rPr>
            </w:pPr>
            <w:r w:rsidRPr="00702FE4">
              <w:rPr>
                <w:u w:val="single"/>
              </w:rPr>
              <w:t xml:space="preserve">0.1999 </w:t>
            </w:r>
          </w:p>
        </w:tc>
      </w:tr>
      <w:tr w:rsidR="00EE56C0" w:rsidRPr="00702FE4">
        <w:trPr>
          <w:trHeight w:val="425"/>
          <w:jc w:val="center"/>
        </w:trPr>
        <w:tc>
          <w:tcPr>
            <w:tcW w:w="1104" w:type="pct"/>
            <w:vAlign w:val="center"/>
          </w:tcPr>
          <w:p w:rsidR="00EE56C0" w:rsidRDefault="000F36A1">
            <w:pPr>
              <w:pStyle w:val="afa"/>
            </w:pPr>
            <w:r>
              <w:rPr>
                <w:rFonts w:hint="eastAsia"/>
              </w:rPr>
              <w:t>4</w:t>
            </w:r>
          </w:p>
        </w:tc>
        <w:tc>
          <w:tcPr>
            <w:tcW w:w="1855" w:type="pct"/>
            <w:vAlign w:val="center"/>
          </w:tcPr>
          <w:p w:rsidR="00EE56C0" w:rsidRDefault="000F36A1">
            <w:pPr>
              <w:pStyle w:val="afa"/>
            </w:pPr>
            <w:r>
              <w:rPr>
                <w:rFonts w:hint="eastAsia"/>
              </w:rPr>
              <w:t>甲苯</w:t>
            </w:r>
          </w:p>
        </w:tc>
        <w:tc>
          <w:tcPr>
            <w:tcW w:w="2041" w:type="pct"/>
            <w:vAlign w:val="center"/>
          </w:tcPr>
          <w:p w:rsidR="00EE56C0" w:rsidRPr="00702FE4" w:rsidRDefault="000F36A1">
            <w:pPr>
              <w:pStyle w:val="afa"/>
              <w:rPr>
                <w:rFonts w:eastAsia="宋体"/>
                <w:u w:val="single"/>
              </w:rPr>
            </w:pPr>
            <w:r w:rsidRPr="00702FE4">
              <w:rPr>
                <w:u w:val="single"/>
              </w:rPr>
              <w:t xml:space="preserve">0.0994 </w:t>
            </w:r>
          </w:p>
        </w:tc>
      </w:tr>
      <w:tr w:rsidR="00EE56C0" w:rsidRPr="00702FE4">
        <w:trPr>
          <w:trHeight w:val="425"/>
          <w:jc w:val="center"/>
        </w:trPr>
        <w:tc>
          <w:tcPr>
            <w:tcW w:w="1104" w:type="pct"/>
            <w:vAlign w:val="center"/>
          </w:tcPr>
          <w:p w:rsidR="00EE56C0" w:rsidRDefault="000F36A1">
            <w:pPr>
              <w:pStyle w:val="afa"/>
            </w:pPr>
            <w:r>
              <w:rPr>
                <w:rFonts w:hint="eastAsia"/>
              </w:rPr>
              <w:t>5</w:t>
            </w:r>
          </w:p>
        </w:tc>
        <w:tc>
          <w:tcPr>
            <w:tcW w:w="1855" w:type="pct"/>
            <w:vAlign w:val="center"/>
          </w:tcPr>
          <w:p w:rsidR="00EE56C0" w:rsidRDefault="000F36A1">
            <w:pPr>
              <w:pStyle w:val="afa"/>
            </w:pPr>
            <w:r>
              <w:rPr>
                <w:rFonts w:hint="eastAsia"/>
              </w:rPr>
              <w:t>苯</w:t>
            </w:r>
          </w:p>
        </w:tc>
        <w:tc>
          <w:tcPr>
            <w:tcW w:w="2041" w:type="pct"/>
            <w:vAlign w:val="center"/>
          </w:tcPr>
          <w:p w:rsidR="00EE56C0" w:rsidRPr="00702FE4" w:rsidRDefault="000F36A1">
            <w:pPr>
              <w:pStyle w:val="afa"/>
              <w:rPr>
                <w:rFonts w:eastAsia="宋体"/>
                <w:u w:val="single"/>
              </w:rPr>
            </w:pPr>
            <w:r w:rsidRPr="00702FE4">
              <w:rPr>
                <w:u w:val="single"/>
              </w:rPr>
              <w:t xml:space="preserve">0.0332 </w:t>
            </w:r>
          </w:p>
        </w:tc>
      </w:tr>
      <w:tr w:rsidR="00EE56C0" w:rsidRPr="00702FE4">
        <w:trPr>
          <w:trHeight w:val="425"/>
          <w:jc w:val="center"/>
        </w:trPr>
        <w:tc>
          <w:tcPr>
            <w:tcW w:w="2959" w:type="pct"/>
            <w:gridSpan w:val="2"/>
            <w:vAlign w:val="center"/>
          </w:tcPr>
          <w:p w:rsidR="00EE56C0" w:rsidRDefault="000F36A1">
            <w:pPr>
              <w:pStyle w:val="afa"/>
            </w:pPr>
            <w:r>
              <w:rPr>
                <w:rFonts w:hint="eastAsia"/>
              </w:rPr>
              <w:lastRenderedPageBreak/>
              <w:t>VOCs</w:t>
            </w:r>
            <w:r>
              <w:rPr>
                <w:rFonts w:hint="eastAsia"/>
              </w:rPr>
              <w:t>合计</w:t>
            </w:r>
          </w:p>
        </w:tc>
        <w:tc>
          <w:tcPr>
            <w:tcW w:w="2041" w:type="pct"/>
            <w:vAlign w:val="center"/>
          </w:tcPr>
          <w:p w:rsidR="00EE56C0" w:rsidRPr="00702FE4" w:rsidRDefault="000F36A1">
            <w:pPr>
              <w:pStyle w:val="afa"/>
              <w:rPr>
                <w:u w:val="single"/>
              </w:rPr>
            </w:pPr>
            <w:r w:rsidRPr="00702FE4">
              <w:rPr>
                <w:rFonts w:hint="eastAsia"/>
                <w:u w:val="single"/>
              </w:rPr>
              <w:t>1.9428</w:t>
            </w:r>
          </w:p>
        </w:tc>
      </w:tr>
    </w:tbl>
    <w:p w:rsidR="00EE56C0" w:rsidRDefault="000F36A1">
      <w:pPr>
        <w:ind w:firstLine="480"/>
      </w:pPr>
      <w:r>
        <w:t>（</w:t>
      </w:r>
      <w:r>
        <w:rPr>
          <w:rFonts w:hint="eastAsia"/>
        </w:rPr>
        <w:t>3</w:t>
      </w:r>
      <w:r>
        <w:t>）大气污染物</w:t>
      </w:r>
      <w:r>
        <w:rPr>
          <w:rFonts w:hint="eastAsia"/>
        </w:rPr>
        <w:t>总</w:t>
      </w:r>
      <w:r>
        <w:t>年排放量核算</w:t>
      </w:r>
    </w:p>
    <w:p w:rsidR="00EE56C0" w:rsidRDefault="000F36A1">
      <w:pPr>
        <w:ind w:firstLine="480"/>
      </w:pPr>
      <w:r>
        <w:rPr>
          <w:rFonts w:hint="eastAsia"/>
        </w:rPr>
        <w:t>本项目</w:t>
      </w:r>
      <w:r>
        <w:t>大气污染物年排放量核算见</w:t>
      </w:r>
      <w:r>
        <w:rPr>
          <w:rFonts w:hint="eastAsia"/>
        </w:rPr>
        <w:t>下表</w:t>
      </w:r>
      <w:r>
        <w:t>。</w:t>
      </w:r>
    </w:p>
    <w:p w:rsidR="00EE56C0" w:rsidRDefault="000F36A1">
      <w:pPr>
        <w:pStyle w:val="afd"/>
        <w:spacing w:before="120" w:after="120"/>
        <w:ind w:firstLine="482"/>
      </w:pPr>
      <w:r>
        <w:t>表</w:t>
      </w:r>
      <w:r>
        <w:rPr>
          <w:rFonts w:hint="eastAsia"/>
        </w:rPr>
        <w:t xml:space="preserve">5-20            </w:t>
      </w:r>
      <w:r>
        <w:t>大气污染物年排放量核算表</w:t>
      </w:r>
    </w:p>
    <w:tbl>
      <w:tblPr>
        <w:tblW w:w="5000" w:type="pct"/>
        <w:jc w:val="center"/>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CellMar>
          <w:left w:w="28" w:type="dxa"/>
          <w:right w:w="28" w:type="dxa"/>
        </w:tblCellMar>
        <w:tblLook w:val="04A0"/>
      </w:tblPr>
      <w:tblGrid>
        <w:gridCol w:w="1848"/>
        <w:gridCol w:w="3105"/>
        <w:gridCol w:w="3416"/>
      </w:tblGrid>
      <w:tr w:rsidR="00EE56C0">
        <w:trPr>
          <w:trHeight w:val="425"/>
          <w:jc w:val="center"/>
        </w:trPr>
        <w:tc>
          <w:tcPr>
            <w:tcW w:w="1104" w:type="pct"/>
            <w:vAlign w:val="center"/>
          </w:tcPr>
          <w:p w:rsidR="00EE56C0" w:rsidRDefault="000F36A1">
            <w:pPr>
              <w:pStyle w:val="aff1"/>
              <w:rPr>
                <w:color w:val="auto"/>
              </w:rPr>
            </w:pPr>
            <w:r>
              <w:rPr>
                <w:color w:val="auto"/>
              </w:rPr>
              <w:t>序号</w:t>
            </w:r>
          </w:p>
        </w:tc>
        <w:tc>
          <w:tcPr>
            <w:tcW w:w="1855" w:type="pct"/>
            <w:vAlign w:val="center"/>
          </w:tcPr>
          <w:p w:rsidR="00EE56C0" w:rsidRDefault="000F36A1">
            <w:pPr>
              <w:pStyle w:val="aff1"/>
              <w:rPr>
                <w:color w:val="auto"/>
              </w:rPr>
            </w:pPr>
            <w:r>
              <w:rPr>
                <w:color w:val="auto"/>
              </w:rPr>
              <w:t>污染物</w:t>
            </w:r>
          </w:p>
        </w:tc>
        <w:tc>
          <w:tcPr>
            <w:tcW w:w="2041" w:type="pct"/>
            <w:vAlign w:val="center"/>
          </w:tcPr>
          <w:p w:rsidR="00EE56C0" w:rsidRDefault="000F36A1">
            <w:pPr>
              <w:pStyle w:val="aff1"/>
              <w:rPr>
                <w:color w:val="auto"/>
              </w:rPr>
            </w:pPr>
            <w:r>
              <w:rPr>
                <w:color w:val="auto"/>
              </w:rPr>
              <w:t>年排放量（</w:t>
            </w:r>
            <w:r>
              <w:rPr>
                <w:color w:val="auto"/>
              </w:rPr>
              <w:t>t/a</w:t>
            </w:r>
            <w:r>
              <w:rPr>
                <w:color w:val="auto"/>
              </w:rPr>
              <w:t>）</w:t>
            </w:r>
          </w:p>
        </w:tc>
      </w:tr>
      <w:tr w:rsidR="00EE56C0">
        <w:trPr>
          <w:trHeight w:val="425"/>
          <w:jc w:val="center"/>
        </w:trPr>
        <w:tc>
          <w:tcPr>
            <w:tcW w:w="1104" w:type="pct"/>
            <w:vAlign w:val="center"/>
          </w:tcPr>
          <w:p w:rsidR="00EE56C0" w:rsidRDefault="000F36A1">
            <w:pPr>
              <w:pStyle w:val="afa"/>
            </w:pPr>
            <w:r>
              <w:t>1</w:t>
            </w:r>
          </w:p>
        </w:tc>
        <w:tc>
          <w:tcPr>
            <w:tcW w:w="1855" w:type="pct"/>
            <w:vAlign w:val="center"/>
          </w:tcPr>
          <w:p w:rsidR="00EE56C0" w:rsidRDefault="000F36A1">
            <w:pPr>
              <w:pStyle w:val="afa"/>
            </w:pPr>
            <w:r>
              <w:rPr>
                <w:rFonts w:hint="eastAsia"/>
              </w:rPr>
              <w:t>酚</w:t>
            </w:r>
          </w:p>
        </w:tc>
        <w:tc>
          <w:tcPr>
            <w:tcW w:w="2041" w:type="pct"/>
            <w:vAlign w:val="center"/>
          </w:tcPr>
          <w:p w:rsidR="00EE56C0" w:rsidRPr="00702FE4" w:rsidRDefault="000F36A1">
            <w:pPr>
              <w:pStyle w:val="afa"/>
              <w:rPr>
                <w:rFonts w:ascii="宋体" w:eastAsia="宋体" w:hAnsi="宋体" w:cs="宋体"/>
                <w:u w:val="single"/>
              </w:rPr>
            </w:pPr>
            <w:r w:rsidRPr="00702FE4">
              <w:rPr>
                <w:rFonts w:hint="eastAsia"/>
                <w:u w:val="single"/>
              </w:rPr>
              <w:t>1.0381</w:t>
            </w:r>
          </w:p>
        </w:tc>
      </w:tr>
      <w:tr w:rsidR="00EE56C0">
        <w:trPr>
          <w:trHeight w:val="425"/>
          <w:jc w:val="center"/>
        </w:trPr>
        <w:tc>
          <w:tcPr>
            <w:tcW w:w="1104" w:type="pct"/>
            <w:vAlign w:val="center"/>
          </w:tcPr>
          <w:p w:rsidR="00EE56C0" w:rsidRDefault="000F36A1">
            <w:pPr>
              <w:pStyle w:val="afa"/>
            </w:pPr>
            <w:r>
              <w:rPr>
                <w:rFonts w:hint="eastAsia"/>
              </w:rPr>
              <w:t>2</w:t>
            </w:r>
          </w:p>
        </w:tc>
        <w:tc>
          <w:tcPr>
            <w:tcW w:w="1855" w:type="pct"/>
            <w:vAlign w:val="center"/>
          </w:tcPr>
          <w:p w:rsidR="00EE56C0" w:rsidRDefault="000F36A1">
            <w:pPr>
              <w:pStyle w:val="afa"/>
            </w:pPr>
            <w:r>
              <w:rPr>
                <w:rFonts w:hint="eastAsia"/>
              </w:rPr>
              <w:t>非甲烷总烃</w:t>
            </w:r>
          </w:p>
        </w:tc>
        <w:tc>
          <w:tcPr>
            <w:tcW w:w="2041" w:type="pct"/>
            <w:vAlign w:val="center"/>
          </w:tcPr>
          <w:p w:rsidR="00EE56C0" w:rsidRPr="00702FE4" w:rsidRDefault="000F36A1">
            <w:pPr>
              <w:pStyle w:val="afa"/>
              <w:rPr>
                <w:rFonts w:ascii="宋体" w:eastAsia="宋体" w:hAnsi="宋体" w:cs="宋体"/>
                <w:u w:val="single"/>
              </w:rPr>
            </w:pPr>
            <w:r w:rsidRPr="00702FE4">
              <w:rPr>
                <w:rFonts w:hint="eastAsia"/>
                <w:u w:val="single"/>
              </w:rPr>
              <w:t>0.8917</w:t>
            </w:r>
          </w:p>
        </w:tc>
      </w:tr>
      <w:tr w:rsidR="00EE56C0">
        <w:trPr>
          <w:trHeight w:val="425"/>
          <w:jc w:val="center"/>
        </w:trPr>
        <w:tc>
          <w:tcPr>
            <w:tcW w:w="1104" w:type="pct"/>
            <w:vAlign w:val="center"/>
          </w:tcPr>
          <w:p w:rsidR="00EE56C0" w:rsidRDefault="000F36A1">
            <w:pPr>
              <w:pStyle w:val="afa"/>
            </w:pPr>
            <w:r>
              <w:rPr>
                <w:rFonts w:hint="eastAsia"/>
              </w:rPr>
              <w:t>3</w:t>
            </w:r>
          </w:p>
        </w:tc>
        <w:tc>
          <w:tcPr>
            <w:tcW w:w="1855" w:type="pct"/>
            <w:vAlign w:val="center"/>
          </w:tcPr>
          <w:p w:rsidR="00EE56C0" w:rsidRDefault="000F36A1">
            <w:pPr>
              <w:pStyle w:val="afa"/>
            </w:pPr>
            <w:r>
              <w:rPr>
                <w:rFonts w:hint="eastAsia"/>
              </w:rPr>
              <w:t>二甲苯</w:t>
            </w:r>
          </w:p>
        </w:tc>
        <w:tc>
          <w:tcPr>
            <w:tcW w:w="2041" w:type="pct"/>
            <w:vAlign w:val="center"/>
          </w:tcPr>
          <w:p w:rsidR="00EE56C0" w:rsidRPr="00702FE4" w:rsidRDefault="000F36A1">
            <w:pPr>
              <w:pStyle w:val="afa"/>
              <w:rPr>
                <w:rFonts w:ascii="宋体" w:eastAsia="宋体" w:hAnsi="宋体" w:cs="宋体"/>
                <w:u w:val="single"/>
              </w:rPr>
            </w:pPr>
            <w:r w:rsidRPr="00702FE4">
              <w:rPr>
                <w:rFonts w:hint="eastAsia"/>
                <w:u w:val="single"/>
              </w:rPr>
              <w:t>0.6079</w:t>
            </w:r>
          </w:p>
        </w:tc>
      </w:tr>
      <w:tr w:rsidR="00EE56C0">
        <w:trPr>
          <w:trHeight w:val="425"/>
          <w:jc w:val="center"/>
        </w:trPr>
        <w:tc>
          <w:tcPr>
            <w:tcW w:w="1104" w:type="pct"/>
            <w:vAlign w:val="center"/>
          </w:tcPr>
          <w:p w:rsidR="00EE56C0" w:rsidRDefault="000F36A1">
            <w:pPr>
              <w:pStyle w:val="afa"/>
            </w:pPr>
            <w:r>
              <w:rPr>
                <w:rFonts w:hint="eastAsia"/>
              </w:rPr>
              <w:t>4</w:t>
            </w:r>
          </w:p>
        </w:tc>
        <w:tc>
          <w:tcPr>
            <w:tcW w:w="1855" w:type="pct"/>
            <w:vAlign w:val="center"/>
          </w:tcPr>
          <w:p w:rsidR="00EE56C0" w:rsidRDefault="000F36A1">
            <w:pPr>
              <w:pStyle w:val="afa"/>
            </w:pPr>
            <w:r>
              <w:rPr>
                <w:rFonts w:hint="eastAsia"/>
              </w:rPr>
              <w:t>甲苯</w:t>
            </w:r>
          </w:p>
        </w:tc>
        <w:tc>
          <w:tcPr>
            <w:tcW w:w="2041" w:type="pct"/>
            <w:vAlign w:val="center"/>
          </w:tcPr>
          <w:p w:rsidR="00EE56C0" w:rsidRPr="00702FE4" w:rsidRDefault="000F36A1">
            <w:pPr>
              <w:pStyle w:val="afa"/>
              <w:rPr>
                <w:rFonts w:ascii="宋体" w:eastAsia="宋体" w:hAnsi="宋体" w:cs="宋体"/>
                <w:u w:val="single"/>
              </w:rPr>
            </w:pPr>
            <w:r w:rsidRPr="00702FE4">
              <w:rPr>
                <w:rFonts w:hint="eastAsia"/>
                <w:u w:val="single"/>
              </w:rPr>
              <w:t>0.4953</w:t>
            </w:r>
          </w:p>
        </w:tc>
      </w:tr>
      <w:tr w:rsidR="00EE56C0">
        <w:trPr>
          <w:trHeight w:val="425"/>
          <w:jc w:val="center"/>
        </w:trPr>
        <w:tc>
          <w:tcPr>
            <w:tcW w:w="1104" w:type="pct"/>
            <w:vAlign w:val="center"/>
          </w:tcPr>
          <w:p w:rsidR="00EE56C0" w:rsidRDefault="000F36A1">
            <w:pPr>
              <w:pStyle w:val="afa"/>
            </w:pPr>
            <w:r>
              <w:rPr>
                <w:rFonts w:hint="eastAsia"/>
              </w:rPr>
              <w:t>5</w:t>
            </w:r>
          </w:p>
        </w:tc>
        <w:tc>
          <w:tcPr>
            <w:tcW w:w="1855" w:type="pct"/>
            <w:vAlign w:val="center"/>
          </w:tcPr>
          <w:p w:rsidR="00EE56C0" w:rsidRDefault="000F36A1">
            <w:pPr>
              <w:pStyle w:val="afa"/>
            </w:pPr>
            <w:r>
              <w:rPr>
                <w:rFonts w:hint="eastAsia"/>
              </w:rPr>
              <w:t>苯</w:t>
            </w:r>
          </w:p>
        </w:tc>
        <w:tc>
          <w:tcPr>
            <w:tcW w:w="2041" w:type="pct"/>
            <w:vAlign w:val="center"/>
          </w:tcPr>
          <w:p w:rsidR="00EE56C0" w:rsidRPr="00702FE4" w:rsidRDefault="000F36A1">
            <w:pPr>
              <w:pStyle w:val="afa"/>
              <w:rPr>
                <w:rFonts w:ascii="宋体" w:eastAsia="宋体" w:hAnsi="宋体" w:cs="宋体"/>
                <w:u w:val="single"/>
              </w:rPr>
            </w:pPr>
            <w:r w:rsidRPr="00702FE4">
              <w:rPr>
                <w:rFonts w:hint="eastAsia"/>
                <w:u w:val="single"/>
              </w:rPr>
              <w:t>0.1651</w:t>
            </w:r>
          </w:p>
        </w:tc>
      </w:tr>
      <w:tr w:rsidR="00EE56C0">
        <w:trPr>
          <w:trHeight w:val="425"/>
          <w:jc w:val="center"/>
        </w:trPr>
        <w:tc>
          <w:tcPr>
            <w:tcW w:w="2959" w:type="pct"/>
            <w:gridSpan w:val="2"/>
            <w:vAlign w:val="center"/>
          </w:tcPr>
          <w:p w:rsidR="00EE56C0" w:rsidRDefault="000F36A1">
            <w:pPr>
              <w:pStyle w:val="afa"/>
            </w:pPr>
            <w:r>
              <w:rPr>
                <w:rFonts w:hint="eastAsia"/>
              </w:rPr>
              <w:t>VOCs</w:t>
            </w:r>
            <w:r>
              <w:rPr>
                <w:rFonts w:hint="eastAsia"/>
              </w:rPr>
              <w:t>合计</w:t>
            </w:r>
          </w:p>
        </w:tc>
        <w:tc>
          <w:tcPr>
            <w:tcW w:w="2041" w:type="pct"/>
            <w:vAlign w:val="center"/>
          </w:tcPr>
          <w:p w:rsidR="00EE56C0" w:rsidRPr="00702FE4" w:rsidRDefault="000F36A1">
            <w:pPr>
              <w:pStyle w:val="afa"/>
              <w:rPr>
                <w:rFonts w:ascii="宋体" w:hAnsi="宋体" w:cs="宋体"/>
                <w:u w:val="single"/>
              </w:rPr>
            </w:pPr>
            <w:r w:rsidRPr="00702FE4">
              <w:rPr>
                <w:rFonts w:hint="eastAsia"/>
                <w:u w:val="single"/>
              </w:rPr>
              <w:t>3.198</w:t>
            </w:r>
          </w:p>
        </w:tc>
      </w:tr>
    </w:tbl>
    <w:p w:rsidR="00EE56C0" w:rsidRDefault="000F36A1">
      <w:pPr>
        <w:ind w:firstLine="480"/>
      </w:pPr>
      <w:bookmarkStart w:id="332" w:name="_Toc324839324"/>
      <w:bookmarkStart w:id="333" w:name="_Toc324839621"/>
      <w:bookmarkEnd w:id="320"/>
      <w:bookmarkEnd w:id="321"/>
      <w:bookmarkEnd w:id="322"/>
      <w:bookmarkEnd w:id="323"/>
      <w:bookmarkEnd w:id="324"/>
      <w:r>
        <w:rPr>
          <w:rFonts w:hint="eastAsia"/>
        </w:rPr>
        <w:t>（</w:t>
      </w:r>
      <w:r>
        <w:rPr>
          <w:rFonts w:hint="eastAsia"/>
        </w:rPr>
        <w:t>4</w:t>
      </w:r>
      <w:r>
        <w:rPr>
          <w:rFonts w:hint="eastAsia"/>
        </w:rPr>
        <w:t>）非正常排放量核算</w:t>
      </w:r>
    </w:p>
    <w:p w:rsidR="00EE56C0" w:rsidRDefault="000F36A1">
      <w:pPr>
        <w:ind w:firstLine="480"/>
        <w:rPr>
          <w:b/>
        </w:rPr>
      </w:pPr>
      <w:r>
        <w:rPr>
          <w:rFonts w:hint="eastAsia"/>
        </w:rPr>
        <w:t>本项目非正常工况下大气污染物非正常排放量核算见表</w:t>
      </w:r>
      <w:r>
        <w:rPr>
          <w:rFonts w:hint="eastAsia"/>
        </w:rPr>
        <w:t>5</w:t>
      </w:r>
      <w:r>
        <w:t>-</w:t>
      </w:r>
      <w:r>
        <w:rPr>
          <w:rFonts w:hint="eastAsia"/>
        </w:rPr>
        <w:t>25</w:t>
      </w:r>
      <w:r>
        <w:rPr>
          <w:rFonts w:hint="eastAsia"/>
        </w:rPr>
        <w:t>。</w:t>
      </w:r>
    </w:p>
    <w:p w:rsidR="00EE56C0" w:rsidRDefault="000F36A1">
      <w:pPr>
        <w:pStyle w:val="afd"/>
        <w:spacing w:before="120" w:after="120"/>
        <w:ind w:firstLine="482"/>
      </w:pPr>
      <w:r>
        <w:t>表</w:t>
      </w:r>
      <w:r>
        <w:rPr>
          <w:rFonts w:hint="eastAsia"/>
        </w:rPr>
        <w:t>5</w:t>
      </w:r>
      <w:r>
        <w:t>-</w:t>
      </w:r>
      <w:r>
        <w:rPr>
          <w:rFonts w:hint="eastAsia"/>
        </w:rPr>
        <w:t xml:space="preserve">21       </w:t>
      </w:r>
      <w:r>
        <w:t>非正常工况时污染物排放情况一览表</w:t>
      </w:r>
    </w:p>
    <w:tbl>
      <w:tblPr>
        <w:tblW w:w="5110" w:type="pct"/>
        <w:jc w:val="center"/>
        <w:tblBorders>
          <w:top w:val="single" w:sz="8" w:space="0" w:color="000000"/>
          <w:left w:val="single" w:sz="8" w:space="0" w:color="000000"/>
          <w:bottom w:val="single" w:sz="8" w:space="0" w:color="000000"/>
          <w:right w:val="single" w:sz="8" w:space="0" w:color="000000"/>
          <w:insideH w:val="single" w:sz="4" w:space="0" w:color="auto"/>
          <w:insideV w:val="single" w:sz="4" w:space="0" w:color="auto"/>
        </w:tblBorders>
        <w:tblCellMar>
          <w:left w:w="57" w:type="dxa"/>
          <w:right w:w="57" w:type="dxa"/>
        </w:tblCellMar>
        <w:tblLook w:val="04A0"/>
      </w:tblPr>
      <w:tblGrid>
        <w:gridCol w:w="821"/>
        <w:gridCol w:w="797"/>
        <w:gridCol w:w="642"/>
        <w:gridCol w:w="1204"/>
        <w:gridCol w:w="903"/>
        <w:gridCol w:w="734"/>
        <w:gridCol w:w="951"/>
        <w:gridCol w:w="849"/>
        <w:gridCol w:w="686"/>
        <w:gridCol w:w="1025"/>
      </w:tblGrid>
      <w:tr w:rsidR="00EE56C0">
        <w:trPr>
          <w:trHeight w:val="397"/>
          <w:tblHeader/>
          <w:jc w:val="center"/>
        </w:trPr>
        <w:tc>
          <w:tcPr>
            <w:tcW w:w="477" w:type="pct"/>
            <w:vAlign w:val="center"/>
          </w:tcPr>
          <w:p w:rsidR="00EE56C0" w:rsidRDefault="000F36A1">
            <w:pPr>
              <w:pStyle w:val="aff1"/>
              <w:rPr>
                <w:color w:val="auto"/>
              </w:rPr>
            </w:pPr>
            <w:r>
              <w:rPr>
                <w:rFonts w:hint="eastAsia"/>
                <w:color w:val="auto"/>
              </w:rPr>
              <w:t>污染源</w:t>
            </w:r>
          </w:p>
        </w:tc>
        <w:tc>
          <w:tcPr>
            <w:tcW w:w="463" w:type="pct"/>
            <w:vAlign w:val="center"/>
          </w:tcPr>
          <w:p w:rsidR="00EE56C0" w:rsidRDefault="000F36A1">
            <w:pPr>
              <w:pStyle w:val="aff1"/>
              <w:rPr>
                <w:color w:val="auto"/>
              </w:rPr>
            </w:pPr>
            <w:r>
              <w:rPr>
                <w:rFonts w:hint="eastAsia"/>
                <w:color w:val="auto"/>
              </w:rPr>
              <w:t>非正常排放原因</w:t>
            </w:r>
          </w:p>
        </w:tc>
        <w:tc>
          <w:tcPr>
            <w:tcW w:w="373" w:type="pct"/>
            <w:vAlign w:val="center"/>
          </w:tcPr>
          <w:p w:rsidR="00EE56C0" w:rsidRDefault="000F36A1">
            <w:pPr>
              <w:pStyle w:val="aff1"/>
              <w:rPr>
                <w:color w:val="auto"/>
              </w:rPr>
            </w:pPr>
            <w:r>
              <w:rPr>
                <w:color w:val="auto"/>
              </w:rPr>
              <w:t>污染物</w:t>
            </w:r>
          </w:p>
        </w:tc>
        <w:tc>
          <w:tcPr>
            <w:tcW w:w="699" w:type="pct"/>
            <w:vAlign w:val="center"/>
          </w:tcPr>
          <w:p w:rsidR="00EE56C0" w:rsidRDefault="000F36A1">
            <w:pPr>
              <w:pStyle w:val="aff1"/>
              <w:rPr>
                <w:color w:val="auto"/>
              </w:rPr>
            </w:pPr>
            <w:r>
              <w:rPr>
                <w:color w:val="auto"/>
              </w:rPr>
              <w:t>排放浓度</w:t>
            </w:r>
            <w:r>
              <w:rPr>
                <w:rFonts w:hint="eastAsia"/>
                <w:color w:val="auto"/>
              </w:rPr>
              <w:t>(mg/m</w:t>
            </w:r>
            <w:r>
              <w:rPr>
                <w:rFonts w:hint="eastAsia"/>
                <w:color w:val="auto"/>
                <w:vertAlign w:val="superscript"/>
              </w:rPr>
              <w:t>3</w:t>
            </w:r>
            <w:r>
              <w:rPr>
                <w:rFonts w:hint="eastAsia"/>
                <w:color w:val="auto"/>
              </w:rPr>
              <w:t>)</w:t>
            </w:r>
          </w:p>
        </w:tc>
        <w:tc>
          <w:tcPr>
            <w:tcW w:w="524" w:type="pct"/>
            <w:vAlign w:val="center"/>
          </w:tcPr>
          <w:p w:rsidR="00EE56C0" w:rsidRDefault="000F36A1">
            <w:pPr>
              <w:pStyle w:val="aff1"/>
              <w:rPr>
                <w:color w:val="auto"/>
              </w:rPr>
            </w:pPr>
            <w:r>
              <w:rPr>
                <w:color w:val="auto"/>
              </w:rPr>
              <w:t>排放量</w:t>
            </w:r>
            <w:r>
              <w:rPr>
                <w:rFonts w:hint="eastAsia"/>
                <w:color w:val="auto"/>
              </w:rPr>
              <w:t>(kg/h)</w:t>
            </w:r>
          </w:p>
        </w:tc>
        <w:tc>
          <w:tcPr>
            <w:tcW w:w="426" w:type="pct"/>
            <w:vAlign w:val="center"/>
          </w:tcPr>
          <w:p w:rsidR="00EE56C0" w:rsidRDefault="000F36A1">
            <w:pPr>
              <w:pStyle w:val="aff1"/>
              <w:rPr>
                <w:color w:val="auto"/>
              </w:rPr>
            </w:pPr>
            <w:r>
              <w:rPr>
                <w:rFonts w:hint="eastAsia"/>
                <w:color w:val="auto"/>
              </w:rPr>
              <w:t>单次持续时间</w:t>
            </w:r>
            <w:r>
              <w:rPr>
                <w:rFonts w:hint="eastAsia"/>
                <w:color w:val="auto"/>
              </w:rPr>
              <w:t>(h)</w:t>
            </w:r>
          </w:p>
        </w:tc>
        <w:tc>
          <w:tcPr>
            <w:tcW w:w="552" w:type="pct"/>
            <w:vAlign w:val="center"/>
          </w:tcPr>
          <w:p w:rsidR="00EE56C0" w:rsidRDefault="000F36A1">
            <w:pPr>
              <w:pStyle w:val="aff1"/>
              <w:rPr>
                <w:color w:val="auto"/>
              </w:rPr>
            </w:pPr>
            <w:r>
              <w:rPr>
                <w:rFonts w:hint="eastAsia"/>
                <w:color w:val="auto"/>
              </w:rPr>
              <w:t>发生频次</w:t>
            </w:r>
          </w:p>
        </w:tc>
        <w:tc>
          <w:tcPr>
            <w:tcW w:w="493" w:type="pct"/>
            <w:vAlign w:val="center"/>
          </w:tcPr>
          <w:p w:rsidR="00EE56C0" w:rsidRDefault="000F36A1">
            <w:pPr>
              <w:pStyle w:val="aff1"/>
              <w:rPr>
                <w:color w:val="auto"/>
              </w:rPr>
            </w:pPr>
            <w:r>
              <w:rPr>
                <w:rFonts w:hint="eastAsia"/>
                <w:color w:val="auto"/>
              </w:rPr>
              <w:t>标准值</w:t>
            </w:r>
            <w:r>
              <w:rPr>
                <w:rFonts w:hint="eastAsia"/>
                <w:color w:val="auto"/>
              </w:rPr>
              <w:t>(mg/m</w:t>
            </w:r>
            <w:r>
              <w:rPr>
                <w:rFonts w:hint="eastAsia"/>
                <w:color w:val="auto"/>
                <w:vertAlign w:val="superscript"/>
              </w:rPr>
              <w:t>3</w:t>
            </w:r>
            <w:r>
              <w:rPr>
                <w:rFonts w:hint="eastAsia"/>
                <w:color w:val="auto"/>
              </w:rPr>
              <w:t>)</w:t>
            </w:r>
          </w:p>
        </w:tc>
        <w:tc>
          <w:tcPr>
            <w:tcW w:w="398" w:type="pct"/>
            <w:vAlign w:val="center"/>
          </w:tcPr>
          <w:p w:rsidR="00EE56C0" w:rsidRDefault="000F36A1">
            <w:pPr>
              <w:pStyle w:val="aff1"/>
              <w:rPr>
                <w:color w:val="auto"/>
              </w:rPr>
            </w:pPr>
            <w:r>
              <w:rPr>
                <w:rFonts w:hint="eastAsia"/>
                <w:color w:val="auto"/>
              </w:rPr>
              <w:t>达标情况</w:t>
            </w:r>
          </w:p>
        </w:tc>
        <w:tc>
          <w:tcPr>
            <w:tcW w:w="595" w:type="pct"/>
            <w:vAlign w:val="center"/>
          </w:tcPr>
          <w:p w:rsidR="00EE56C0" w:rsidRDefault="000F36A1">
            <w:pPr>
              <w:pStyle w:val="aff1"/>
              <w:rPr>
                <w:color w:val="auto"/>
              </w:rPr>
            </w:pPr>
            <w:r>
              <w:rPr>
                <w:rFonts w:hint="eastAsia"/>
                <w:color w:val="auto"/>
              </w:rPr>
              <w:t>应对措施</w:t>
            </w:r>
          </w:p>
        </w:tc>
      </w:tr>
      <w:tr w:rsidR="00EE56C0">
        <w:trPr>
          <w:trHeight w:val="397"/>
          <w:jc w:val="center"/>
        </w:trPr>
        <w:tc>
          <w:tcPr>
            <w:tcW w:w="477" w:type="pct"/>
            <w:vMerge w:val="restart"/>
            <w:vAlign w:val="center"/>
          </w:tcPr>
          <w:p w:rsidR="00EE56C0" w:rsidRDefault="000F36A1">
            <w:pPr>
              <w:pStyle w:val="afa"/>
            </w:pPr>
            <w:r>
              <w:rPr>
                <w:rFonts w:hint="eastAsia"/>
              </w:rPr>
              <w:t>P</w:t>
            </w:r>
          </w:p>
        </w:tc>
        <w:tc>
          <w:tcPr>
            <w:tcW w:w="463" w:type="pct"/>
            <w:vMerge w:val="restart"/>
            <w:vAlign w:val="center"/>
          </w:tcPr>
          <w:p w:rsidR="00EE56C0" w:rsidRDefault="000F36A1">
            <w:pPr>
              <w:pStyle w:val="afa"/>
            </w:pPr>
            <w:r>
              <w:rPr>
                <w:rFonts w:hint="eastAsia"/>
              </w:rPr>
              <w:t>废气处理设施故障</w:t>
            </w:r>
          </w:p>
        </w:tc>
        <w:tc>
          <w:tcPr>
            <w:tcW w:w="373" w:type="pct"/>
            <w:vAlign w:val="center"/>
          </w:tcPr>
          <w:p w:rsidR="00EE56C0" w:rsidRDefault="000F36A1">
            <w:pPr>
              <w:pStyle w:val="afa"/>
            </w:pPr>
            <w:r>
              <w:rPr>
                <w:rFonts w:hint="eastAsia"/>
              </w:rPr>
              <w:t>酚</w:t>
            </w:r>
          </w:p>
        </w:tc>
        <w:tc>
          <w:tcPr>
            <w:tcW w:w="699" w:type="pct"/>
            <w:vAlign w:val="center"/>
          </w:tcPr>
          <w:p w:rsidR="00EE56C0" w:rsidRDefault="000F36A1">
            <w:pPr>
              <w:pStyle w:val="afa"/>
              <w:rPr>
                <w:rFonts w:eastAsia="宋体"/>
              </w:rPr>
            </w:pPr>
            <w:r>
              <w:t xml:space="preserve">7.84 </w:t>
            </w:r>
          </w:p>
        </w:tc>
        <w:tc>
          <w:tcPr>
            <w:tcW w:w="524" w:type="pct"/>
            <w:vAlign w:val="center"/>
          </w:tcPr>
          <w:p w:rsidR="00EE56C0" w:rsidRDefault="000F36A1">
            <w:pPr>
              <w:pStyle w:val="afa"/>
              <w:rPr>
                <w:rFonts w:eastAsia="宋体"/>
              </w:rPr>
            </w:pPr>
            <w:r>
              <w:t xml:space="preserve">0.8007 </w:t>
            </w:r>
          </w:p>
        </w:tc>
        <w:tc>
          <w:tcPr>
            <w:tcW w:w="426" w:type="pct"/>
            <w:vAlign w:val="center"/>
          </w:tcPr>
          <w:p w:rsidR="00EE56C0" w:rsidRDefault="000F36A1">
            <w:pPr>
              <w:pStyle w:val="afa"/>
              <w:rPr>
                <w:spacing w:val="-4"/>
              </w:rPr>
            </w:pPr>
            <w:r>
              <w:rPr>
                <w:rFonts w:hint="eastAsia"/>
                <w:spacing w:val="-4"/>
              </w:rPr>
              <w:t>0.5</w:t>
            </w:r>
          </w:p>
        </w:tc>
        <w:tc>
          <w:tcPr>
            <w:tcW w:w="552" w:type="pct"/>
            <w:vMerge w:val="restart"/>
            <w:vAlign w:val="center"/>
          </w:tcPr>
          <w:p w:rsidR="00EE56C0" w:rsidRDefault="000F36A1">
            <w:pPr>
              <w:pStyle w:val="afa"/>
              <w:rPr>
                <w:spacing w:val="-4"/>
              </w:rPr>
            </w:pPr>
            <w:r>
              <w:rPr>
                <w:rFonts w:hint="eastAsia"/>
                <w:spacing w:val="-4"/>
              </w:rPr>
              <w:t>1</w:t>
            </w:r>
            <w:r>
              <w:rPr>
                <w:rFonts w:hint="eastAsia"/>
                <w:spacing w:val="-4"/>
              </w:rPr>
              <w:t>次</w:t>
            </w:r>
            <w:r>
              <w:rPr>
                <w:rFonts w:hint="eastAsia"/>
                <w:spacing w:val="-4"/>
              </w:rPr>
              <w:t>/</w:t>
            </w:r>
            <w:r>
              <w:rPr>
                <w:rFonts w:hint="eastAsia"/>
                <w:spacing w:val="-4"/>
              </w:rPr>
              <w:t>年</w:t>
            </w:r>
          </w:p>
        </w:tc>
        <w:tc>
          <w:tcPr>
            <w:tcW w:w="493" w:type="pct"/>
            <w:vAlign w:val="center"/>
          </w:tcPr>
          <w:p w:rsidR="00EE56C0" w:rsidRDefault="000F36A1">
            <w:pPr>
              <w:pStyle w:val="afa"/>
              <w:rPr>
                <w:spacing w:val="-4"/>
              </w:rPr>
            </w:pPr>
            <w:r>
              <w:rPr>
                <w:rFonts w:hint="eastAsia"/>
                <w:spacing w:val="-4"/>
              </w:rPr>
              <w:t>100</w:t>
            </w:r>
          </w:p>
        </w:tc>
        <w:tc>
          <w:tcPr>
            <w:tcW w:w="398" w:type="pct"/>
            <w:vAlign w:val="center"/>
          </w:tcPr>
          <w:p w:rsidR="00EE56C0" w:rsidRDefault="000F36A1">
            <w:pPr>
              <w:pStyle w:val="afa"/>
              <w:rPr>
                <w:spacing w:val="-4"/>
              </w:rPr>
            </w:pPr>
            <w:r>
              <w:rPr>
                <w:rFonts w:hint="eastAsia"/>
                <w:spacing w:val="-4"/>
              </w:rPr>
              <w:t>达标</w:t>
            </w:r>
          </w:p>
        </w:tc>
        <w:tc>
          <w:tcPr>
            <w:tcW w:w="595" w:type="pct"/>
            <w:vMerge w:val="restart"/>
            <w:vAlign w:val="center"/>
          </w:tcPr>
          <w:p w:rsidR="00EE56C0" w:rsidRDefault="000F36A1">
            <w:pPr>
              <w:pStyle w:val="afa"/>
              <w:rPr>
                <w:spacing w:val="-4"/>
              </w:rPr>
            </w:pPr>
            <w:r>
              <w:rPr>
                <w:rFonts w:hint="eastAsia"/>
              </w:rPr>
              <w:t>定期进行维护保养，保证环保设施正常运行；生产出现时应立即停车检修</w:t>
            </w:r>
          </w:p>
        </w:tc>
      </w:tr>
      <w:tr w:rsidR="00EE56C0">
        <w:trPr>
          <w:trHeight w:val="397"/>
          <w:jc w:val="center"/>
        </w:trPr>
        <w:tc>
          <w:tcPr>
            <w:tcW w:w="477" w:type="pct"/>
            <w:vMerge/>
            <w:vAlign w:val="center"/>
          </w:tcPr>
          <w:p w:rsidR="00EE56C0" w:rsidRDefault="00EE56C0">
            <w:pPr>
              <w:pStyle w:val="afa"/>
            </w:pPr>
          </w:p>
        </w:tc>
        <w:tc>
          <w:tcPr>
            <w:tcW w:w="463" w:type="pct"/>
            <w:vMerge/>
            <w:vAlign w:val="center"/>
          </w:tcPr>
          <w:p w:rsidR="00EE56C0" w:rsidRDefault="00EE56C0">
            <w:pPr>
              <w:pStyle w:val="afa"/>
            </w:pPr>
          </w:p>
        </w:tc>
        <w:tc>
          <w:tcPr>
            <w:tcW w:w="373" w:type="pct"/>
            <w:vAlign w:val="center"/>
          </w:tcPr>
          <w:p w:rsidR="00EE56C0" w:rsidRDefault="000F36A1">
            <w:pPr>
              <w:pStyle w:val="afa"/>
            </w:pPr>
            <w:r>
              <w:rPr>
                <w:rFonts w:hint="eastAsia"/>
              </w:rPr>
              <w:t>非甲烷总烃</w:t>
            </w:r>
          </w:p>
        </w:tc>
        <w:tc>
          <w:tcPr>
            <w:tcW w:w="699" w:type="pct"/>
            <w:vAlign w:val="center"/>
          </w:tcPr>
          <w:p w:rsidR="00EE56C0" w:rsidRDefault="000F36A1">
            <w:pPr>
              <w:pStyle w:val="afa"/>
              <w:rPr>
                <w:rFonts w:eastAsia="宋体"/>
              </w:rPr>
            </w:pPr>
            <w:r>
              <w:t xml:space="preserve">14.15 </w:t>
            </w:r>
          </w:p>
        </w:tc>
        <w:tc>
          <w:tcPr>
            <w:tcW w:w="524" w:type="pct"/>
            <w:vAlign w:val="center"/>
          </w:tcPr>
          <w:p w:rsidR="00EE56C0" w:rsidRDefault="000F36A1">
            <w:pPr>
              <w:pStyle w:val="afa"/>
              <w:rPr>
                <w:rFonts w:eastAsia="宋体"/>
              </w:rPr>
            </w:pPr>
            <w:r>
              <w:t xml:space="preserve">1.4450 </w:t>
            </w:r>
          </w:p>
        </w:tc>
        <w:tc>
          <w:tcPr>
            <w:tcW w:w="426" w:type="pct"/>
            <w:vAlign w:val="center"/>
          </w:tcPr>
          <w:p w:rsidR="00EE56C0" w:rsidRDefault="000F36A1">
            <w:pPr>
              <w:pStyle w:val="afa"/>
            </w:pPr>
            <w:r>
              <w:rPr>
                <w:rFonts w:hint="eastAsia"/>
              </w:rPr>
              <w:t>0.5</w:t>
            </w:r>
          </w:p>
        </w:tc>
        <w:tc>
          <w:tcPr>
            <w:tcW w:w="552" w:type="pct"/>
            <w:vMerge/>
            <w:vAlign w:val="center"/>
          </w:tcPr>
          <w:p w:rsidR="00EE56C0" w:rsidRDefault="00EE56C0">
            <w:pPr>
              <w:pStyle w:val="afa"/>
              <w:rPr>
                <w:spacing w:val="-4"/>
              </w:rPr>
            </w:pPr>
          </w:p>
        </w:tc>
        <w:tc>
          <w:tcPr>
            <w:tcW w:w="493" w:type="pct"/>
            <w:vAlign w:val="center"/>
          </w:tcPr>
          <w:p w:rsidR="00EE56C0" w:rsidRDefault="000F36A1">
            <w:pPr>
              <w:pStyle w:val="afa"/>
              <w:rPr>
                <w:spacing w:val="-4"/>
              </w:rPr>
            </w:pPr>
            <w:r>
              <w:rPr>
                <w:rFonts w:hint="eastAsia"/>
                <w:spacing w:val="-4"/>
              </w:rPr>
              <w:t>50</w:t>
            </w:r>
          </w:p>
        </w:tc>
        <w:tc>
          <w:tcPr>
            <w:tcW w:w="398" w:type="pct"/>
            <w:vAlign w:val="center"/>
          </w:tcPr>
          <w:p w:rsidR="00EE56C0" w:rsidRDefault="000F36A1">
            <w:pPr>
              <w:pStyle w:val="afa"/>
            </w:pPr>
            <w:r>
              <w:rPr>
                <w:rFonts w:hint="eastAsia"/>
              </w:rPr>
              <w:t>达标</w:t>
            </w:r>
          </w:p>
        </w:tc>
        <w:tc>
          <w:tcPr>
            <w:tcW w:w="595" w:type="pct"/>
            <w:vMerge/>
            <w:vAlign w:val="center"/>
          </w:tcPr>
          <w:p w:rsidR="00EE56C0" w:rsidRDefault="00EE56C0">
            <w:pPr>
              <w:pStyle w:val="afa"/>
            </w:pPr>
          </w:p>
        </w:tc>
      </w:tr>
      <w:tr w:rsidR="00EE56C0">
        <w:trPr>
          <w:trHeight w:val="397"/>
          <w:jc w:val="center"/>
        </w:trPr>
        <w:tc>
          <w:tcPr>
            <w:tcW w:w="477" w:type="pct"/>
            <w:vMerge/>
            <w:vAlign w:val="center"/>
          </w:tcPr>
          <w:p w:rsidR="00EE56C0" w:rsidRDefault="00EE56C0">
            <w:pPr>
              <w:pStyle w:val="afa"/>
            </w:pPr>
          </w:p>
        </w:tc>
        <w:tc>
          <w:tcPr>
            <w:tcW w:w="463" w:type="pct"/>
            <w:vMerge/>
            <w:vAlign w:val="center"/>
          </w:tcPr>
          <w:p w:rsidR="00EE56C0" w:rsidRDefault="00EE56C0">
            <w:pPr>
              <w:pStyle w:val="afa"/>
            </w:pPr>
          </w:p>
        </w:tc>
        <w:tc>
          <w:tcPr>
            <w:tcW w:w="373" w:type="pct"/>
            <w:vAlign w:val="center"/>
          </w:tcPr>
          <w:p w:rsidR="00EE56C0" w:rsidRDefault="000F36A1">
            <w:pPr>
              <w:pStyle w:val="afa"/>
            </w:pPr>
            <w:r>
              <w:rPr>
                <w:rFonts w:hint="eastAsia"/>
              </w:rPr>
              <w:t>二甲苯</w:t>
            </w:r>
          </w:p>
        </w:tc>
        <w:tc>
          <w:tcPr>
            <w:tcW w:w="699" w:type="pct"/>
            <w:vAlign w:val="center"/>
          </w:tcPr>
          <w:p w:rsidR="00EE56C0" w:rsidRDefault="000F36A1">
            <w:pPr>
              <w:pStyle w:val="afa"/>
              <w:rPr>
                <w:rFonts w:eastAsia="宋体"/>
              </w:rPr>
            </w:pPr>
            <w:r>
              <w:t xml:space="preserve">27.75 </w:t>
            </w:r>
          </w:p>
        </w:tc>
        <w:tc>
          <w:tcPr>
            <w:tcW w:w="524" w:type="pct"/>
            <w:vAlign w:val="center"/>
          </w:tcPr>
          <w:p w:rsidR="00EE56C0" w:rsidRDefault="000F36A1">
            <w:pPr>
              <w:pStyle w:val="afa"/>
              <w:rPr>
                <w:rFonts w:eastAsia="宋体"/>
              </w:rPr>
            </w:pPr>
            <w:r>
              <w:t xml:space="preserve">2.8335 </w:t>
            </w:r>
          </w:p>
        </w:tc>
        <w:tc>
          <w:tcPr>
            <w:tcW w:w="426" w:type="pct"/>
            <w:vAlign w:val="center"/>
          </w:tcPr>
          <w:p w:rsidR="00EE56C0" w:rsidRDefault="000F36A1">
            <w:pPr>
              <w:pStyle w:val="afa"/>
            </w:pPr>
            <w:r>
              <w:rPr>
                <w:rFonts w:hint="eastAsia"/>
              </w:rPr>
              <w:t>0.5</w:t>
            </w:r>
          </w:p>
        </w:tc>
        <w:tc>
          <w:tcPr>
            <w:tcW w:w="552" w:type="pct"/>
            <w:vMerge/>
            <w:vAlign w:val="center"/>
          </w:tcPr>
          <w:p w:rsidR="00EE56C0" w:rsidRDefault="00EE56C0">
            <w:pPr>
              <w:pStyle w:val="afa"/>
              <w:rPr>
                <w:spacing w:val="-4"/>
              </w:rPr>
            </w:pPr>
          </w:p>
        </w:tc>
        <w:tc>
          <w:tcPr>
            <w:tcW w:w="493" w:type="pct"/>
            <w:vMerge w:val="restart"/>
            <w:vAlign w:val="center"/>
          </w:tcPr>
          <w:p w:rsidR="00EE56C0" w:rsidRDefault="000F36A1">
            <w:pPr>
              <w:pStyle w:val="afa"/>
              <w:rPr>
                <w:spacing w:val="-4"/>
              </w:rPr>
            </w:pPr>
            <w:r>
              <w:rPr>
                <w:rFonts w:hint="eastAsia"/>
                <w:spacing w:val="-4"/>
              </w:rPr>
              <w:t>20</w:t>
            </w:r>
          </w:p>
        </w:tc>
        <w:tc>
          <w:tcPr>
            <w:tcW w:w="398" w:type="pct"/>
            <w:vMerge w:val="restart"/>
            <w:vAlign w:val="center"/>
          </w:tcPr>
          <w:p w:rsidR="00EE56C0" w:rsidRDefault="000F36A1">
            <w:pPr>
              <w:pStyle w:val="afa"/>
            </w:pPr>
            <w:r>
              <w:rPr>
                <w:rFonts w:hint="eastAsia"/>
              </w:rPr>
              <w:t>达标</w:t>
            </w:r>
          </w:p>
        </w:tc>
        <w:tc>
          <w:tcPr>
            <w:tcW w:w="595" w:type="pct"/>
            <w:vMerge/>
            <w:vAlign w:val="center"/>
          </w:tcPr>
          <w:p w:rsidR="00EE56C0" w:rsidRDefault="00EE56C0">
            <w:pPr>
              <w:pStyle w:val="afa"/>
            </w:pPr>
          </w:p>
        </w:tc>
      </w:tr>
      <w:tr w:rsidR="00EE56C0">
        <w:trPr>
          <w:trHeight w:val="397"/>
          <w:jc w:val="center"/>
        </w:trPr>
        <w:tc>
          <w:tcPr>
            <w:tcW w:w="477" w:type="pct"/>
            <w:vMerge/>
            <w:vAlign w:val="center"/>
          </w:tcPr>
          <w:p w:rsidR="00EE56C0" w:rsidRDefault="00EE56C0">
            <w:pPr>
              <w:pStyle w:val="afa"/>
            </w:pPr>
          </w:p>
        </w:tc>
        <w:tc>
          <w:tcPr>
            <w:tcW w:w="463" w:type="pct"/>
            <w:vMerge/>
            <w:vAlign w:val="center"/>
          </w:tcPr>
          <w:p w:rsidR="00EE56C0" w:rsidRDefault="00EE56C0">
            <w:pPr>
              <w:pStyle w:val="afa"/>
            </w:pPr>
          </w:p>
        </w:tc>
        <w:tc>
          <w:tcPr>
            <w:tcW w:w="373" w:type="pct"/>
            <w:vAlign w:val="center"/>
          </w:tcPr>
          <w:p w:rsidR="00EE56C0" w:rsidRDefault="000F36A1">
            <w:pPr>
              <w:pStyle w:val="afa"/>
            </w:pPr>
            <w:r>
              <w:rPr>
                <w:rFonts w:hint="eastAsia"/>
              </w:rPr>
              <w:t>甲苯</w:t>
            </w:r>
          </w:p>
        </w:tc>
        <w:tc>
          <w:tcPr>
            <w:tcW w:w="699" w:type="pct"/>
            <w:vAlign w:val="center"/>
          </w:tcPr>
          <w:p w:rsidR="00EE56C0" w:rsidRDefault="000F36A1">
            <w:pPr>
              <w:pStyle w:val="afa"/>
              <w:rPr>
                <w:rFonts w:eastAsia="宋体"/>
              </w:rPr>
            </w:pPr>
            <w:r>
              <w:t xml:space="preserve">26.92 </w:t>
            </w:r>
          </w:p>
        </w:tc>
        <w:tc>
          <w:tcPr>
            <w:tcW w:w="524" w:type="pct"/>
            <w:vAlign w:val="center"/>
          </w:tcPr>
          <w:p w:rsidR="00EE56C0" w:rsidRDefault="000F36A1">
            <w:pPr>
              <w:pStyle w:val="afa"/>
              <w:rPr>
                <w:rFonts w:eastAsia="宋体"/>
              </w:rPr>
            </w:pPr>
            <w:r>
              <w:t xml:space="preserve">2.7487 </w:t>
            </w:r>
          </w:p>
        </w:tc>
        <w:tc>
          <w:tcPr>
            <w:tcW w:w="426" w:type="pct"/>
            <w:vAlign w:val="center"/>
          </w:tcPr>
          <w:p w:rsidR="00EE56C0" w:rsidRDefault="000F36A1">
            <w:pPr>
              <w:pStyle w:val="afa"/>
            </w:pPr>
            <w:r>
              <w:rPr>
                <w:rFonts w:hint="eastAsia"/>
              </w:rPr>
              <w:t>0.5</w:t>
            </w:r>
          </w:p>
        </w:tc>
        <w:tc>
          <w:tcPr>
            <w:tcW w:w="552" w:type="pct"/>
            <w:vMerge/>
            <w:vAlign w:val="center"/>
          </w:tcPr>
          <w:p w:rsidR="00EE56C0" w:rsidRDefault="00EE56C0">
            <w:pPr>
              <w:pStyle w:val="afa"/>
              <w:rPr>
                <w:spacing w:val="-4"/>
              </w:rPr>
            </w:pPr>
          </w:p>
        </w:tc>
        <w:tc>
          <w:tcPr>
            <w:tcW w:w="493" w:type="pct"/>
            <w:vMerge/>
            <w:vAlign w:val="center"/>
          </w:tcPr>
          <w:p w:rsidR="00EE56C0" w:rsidRDefault="00EE56C0">
            <w:pPr>
              <w:pStyle w:val="afa"/>
              <w:rPr>
                <w:spacing w:val="-4"/>
              </w:rPr>
            </w:pPr>
          </w:p>
        </w:tc>
        <w:tc>
          <w:tcPr>
            <w:tcW w:w="398" w:type="pct"/>
            <w:vMerge/>
            <w:vAlign w:val="center"/>
          </w:tcPr>
          <w:p w:rsidR="00EE56C0" w:rsidRDefault="00EE56C0">
            <w:pPr>
              <w:pStyle w:val="afa"/>
              <w:rPr>
                <w:spacing w:val="-4"/>
              </w:rPr>
            </w:pPr>
          </w:p>
        </w:tc>
        <w:tc>
          <w:tcPr>
            <w:tcW w:w="595" w:type="pct"/>
            <w:vMerge/>
            <w:vAlign w:val="center"/>
          </w:tcPr>
          <w:p w:rsidR="00EE56C0" w:rsidRDefault="00EE56C0">
            <w:pPr>
              <w:pStyle w:val="afa"/>
            </w:pPr>
          </w:p>
        </w:tc>
      </w:tr>
      <w:tr w:rsidR="00EE56C0">
        <w:trPr>
          <w:trHeight w:val="397"/>
          <w:jc w:val="center"/>
        </w:trPr>
        <w:tc>
          <w:tcPr>
            <w:tcW w:w="477" w:type="pct"/>
            <w:vMerge/>
            <w:vAlign w:val="center"/>
          </w:tcPr>
          <w:p w:rsidR="00EE56C0" w:rsidRDefault="00EE56C0">
            <w:pPr>
              <w:pStyle w:val="afa"/>
            </w:pPr>
          </w:p>
        </w:tc>
        <w:tc>
          <w:tcPr>
            <w:tcW w:w="463" w:type="pct"/>
            <w:vMerge/>
            <w:vAlign w:val="center"/>
          </w:tcPr>
          <w:p w:rsidR="00EE56C0" w:rsidRDefault="00EE56C0">
            <w:pPr>
              <w:pStyle w:val="afa"/>
            </w:pPr>
          </w:p>
        </w:tc>
        <w:tc>
          <w:tcPr>
            <w:tcW w:w="373" w:type="pct"/>
            <w:vAlign w:val="center"/>
          </w:tcPr>
          <w:p w:rsidR="00EE56C0" w:rsidRDefault="000F36A1">
            <w:pPr>
              <w:pStyle w:val="afa"/>
            </w:pPr>
            <w:r>
              <w:rPr>
                <w:rFonts w:hint="eastAsia"/>
              </w:rPr>
              <w:t>苯</w:t>
            </w:r>
          </w:p>
        </w:tc>
        <w:tc>
          <w:tcPr>
            <w:tcW w:w="699" w:type="pct"/>
            <w:vAlign w:val="center"/>
          </w:tcPr>
          <w:p w:rsidR="00EE56C0" w:rsidRDefault="000F36A1">
            <w:pPr>
              <w:pStyle w:val="afa"/>
              <w:rPr>
                <w:rFonts w:eastAsia="宋体"/>
              </w:rPr>
            </w:pPr>
            <w:r>
              <w:t xml:space="preserve">8.97 </w:t>
            </w:r>
          </w:p>
        </w:tc>
        <w:tc>
          <w:tcPr>
            <w:tcW w:w="524" w:type="pct"/>
            <w:vAlign w:val="center"/>
          </w:tcPr>
          <w:p w:rsidR="00EE56C0" w:rsidRDefault="000F36A1">
            <w:pPr>
              <w:pStyle w:val="afa"/>
              <w:rPr>
                <w:rFonts w:eastAsia="宋体"/>
              </w:rPr>
            </w:pPr>
            <w:r>
              <w:t xml:space="preserve">0.9162 </w:t>
            </w:r>
          </w:p>
        </w:tc>
        <w:tc>
          <w:tcPr>
            <w:tcW w:w="426" w:type="pct"/>
            <w:vAlign w:val="center"/>
          </w:tcPr>
          <w:p w:rsidR="00EE56C0" w:rsidRDefault="000F36A1">
            <w:pPr>
              <w:pStyle w:val="afa"/>
            </w:pPr>
            <w:r>
              <w:rPr>
                <w:rFonts w:hint="eastAsia"/>
              </w:rPr>
              <w:t>0.5</w:t>
            </w:r>
          </w:p>
        </w:tc>
        <w:tc>
          <w:tcPr>
            <w:tcW w:w="552" w:type="pct"/>
            <w:vMerge/>
            <w:vAlign w:val="center"/>
          </w:tcPr>
          <w:p w:rsidR="00EE56C0" w:rsidRDefault="00EE56C0">
            <w:pPr>
              <w:pStyle w:val="afa"/>
              <w:rPr>
                <w:spacing w:val="-4"/>
              </w:rPr>
            </w:pPr>
          </w:p>
        </w:tc>
        <w:tc>
          <w:tcPr>
            <w:tcW w:w="493" w:type="pct"/>
            <w:vAlign w:val="center"/>
          </w:tcPr>
          <w:p w:rsidR="00EE56C0" w:rsidRDefault="000F36A1">
            <w:pPr>
              <w:pStyle w:val="afa"/>
              <w:rPr>
                <w:spacing w:val="-4"/>
                <w:highlight w:val="yellow"/>
              </w:rPr>
            </w:pPr>
            <w:r>
              <w:rPr>
                <w:rFonts w:hint="eastAsia"/>
                <w:spacing w:val="-4"/>
              </w:rPr>
              <w:t>1</w:t>
            </w:r>
          </w:p>
        </w:tc>
        <w:tc>
          <w:tcPr>
            <w:tcW w:w="398" w:type="pct"/>
            <w:vAlign w:val="center"/>
          </w:tcPr>
          <w:p w:rsidR="00EE56C0" w:rsidRDefault="000F36A1">
            <w:pPr>
              <w:pStyle w:val="afa"/>
              <w:rPr>
                <w:spacing w:val="-4"/>
                <w:highlight w:val="yellow"/>
              </w:rPr>
            </w:pPr>
            <w:r>
              <w:rPr>
                <w:rFonts w:hint="eastAsia"/>
                <w:spacing w:val="-4"/>
              </w:rPr>
              <w:t>超标</w:t>
            </w:r>
          </w:p>
        </w:tc>
        <w:tc>
          <w:tcPr>
            <w:tcW w:w="595" w:type="pct"/>
            <w:vMerge/>
            <w:vAlign w:val="center"/>
          </w:tcPr>
          <w:p w:rsidR="00EE56C0" w:rsidRDefault="00EE56C0">
            <w:pPr>
              <w:pStyle w:val="afa"/>
            </w:pPr>
          </w:p>
        </w:tc>
      </w:tr>
    </w:tbl>
    <w:p w:rsidR="00EE56C0" w:rsidRDefault="000F36A1">
      <w:pPr>
        <w:pStyle w:val="4"/>
        <w:ind w:left="120" w:firstLine="241"/>
      </w:pPr>
      <w:r>
        <w:rPr>
          <w:rFonts w:hint="eastAsia"/>
        </w:rPr>
        <w:t>5.1.2.7</w:t>
      </w:r>
      <w:r>
        <w:rPr>
          <w:rFonts w:hint="eastAsia"/>
        </w:rPr>
        <w:t>大气环境影响预测</w:t>
      </w:r>
    </w:p>
    <w:p w:rsidR="00EE56C0" w:rsidRDefault="000F36A1">
      <w:pPr>
        <w:ind w:firstLine="482"/>
        <w:rPr>
          <w:b/>
        </w:rPr>
      </w:pPr>
      <w:r>
        <w:rPr>
          <w:rFonts w:hint="eastAsia"/>
          <w:b/>
        </w:rPr>
        <w:t>（</w:t>
      </w:r>
      <w:r>
        <w:rPr>
          <w:rFonts w:hint="eastAsia"/>
          <w:b/>
        </w:rPr>
        <w:t>1</w:t>
      </w:r>
      <w:r>
        <w:rPr>
          <w:rFonts w:hint="eastAsia"/>
          <w:b/>
        </w:rPr>
        <w:t>）预测模式</w:t>
      </w:r>
    </w:p>
    <w:p w:rsidR="00EE56C0" w:rsidRDefault="000F36A1">
      <w:pPr>
        <w:ind w:firstLine="480"/>
      </w:pPr>
      <w:r>
        <w:t>预测模式选取</w:t>
      </w:r>
      <w:r>
        <w:t>AERMOD</w:t>
      </w:r>
      <w:r>
        <w:t>模式预测。</w:t>
      </w:r>
    </w:p>
    <w:p w:rsidR="00EE56C0" w:rsidRDefault="000F36A1">
      <w:pPr>
        <w:ind w:firstLine="480"/>
      </w:pPr>
      <w:r>
        <w:t>AERMOD</w:t>
      </w:r>
      <w:r>
        <w:t>模式是一个稳态烟羽扩散模式，可基于大气边界层数据特征模拟点源、面源和体源污染物排放在短期、长期的浓度分布，适用于农村或城市地区，</w:t>
      </w:r>
      <w:r>
        <w:lastRenderedPageBreak/>
        <w:t>复杂地形和简单地形。</w:t>
      </w:r>
      <w:r>
        <w:t>AERMOD</w:t>
      </w:r>
      <w:r>
        <w:t>模式适用于评价范围小于等于</w:t>
      </w:r>
      <w:r>
        <w:t>50km</w:t>
      </w:r>
      <w:r>
        <w:t>的一级、二级项目，符合本项目特点</w:t>
      </w:r>
      <w:r>
        <w:rPr>
          <w:rFonts w:hint="eastAsia"/>
        </w:rPr>
        <w:t>。</w:t>
      </w:r>
    </w:p>
    <w:p w:rsidR="00EE56C0" w:rsidRDefault="000F36A1">
      <w:pPr>
        <w:ind w:firstLine="482"/>
        <w:rPr>
          <w:b/>
        </w:rPr>
      </w:pPr>
      <w:r>
        <w:rPr>
          <w:rFonts w:hint="eastAsia"/>
          <w:b/>
        </w:rPr>
        <w:t>（</w:t>
      </w:r>
      <w:r>
        <w:rPr>
          <w:rFonts w:hint="eastAsia"/>
          <w:b/>
        </w:rPr>
        <w:t>2</w:t>
      </w:r>
      <w:r>
        <w:rPr>
          <w:rFonts w:hint="eastAsia"/>
          <w:b/>
        </w:rPr>
        <w:t>）预测内容</w:t>
      </w:r>
    </w:p>
    <w:p w:rsidR="00EE56C0" w:rsidRDefault="00340837">
      <w:pPr>
        <w:ind w:firstLine="480"/>
      </w:pPr>
      <w:r>
        <w:rPr>
          <w:rFonts w:hint="eastAsia"/>
        </w:rPr>
        <w:fldChar w:fldCharType="begin"/>
      </w:r>
      <w:r w:rsidR="000F36A1">
        <w:instrText xml:space="preserve"> = 1 \* GB3 </w:instrText>
      </w:r>
      <w:r>
        <w:rPr>
          <w:rFonts w:hint="eastAsia"/>
        </w:rPr>
        <w:fldChar w:fldCharType="separate"/>
      </w:r>
      <w:r w:rsidR="000F36A1">
        <w:rPr>
          <w:rFonts w:hint="eastAsia"/>
        </w:rPr>
        <w:t>①</w:t>
      </w:r>
      <w:r>
        <w:rPr>
          <w:rFonts w:hint="eastAsia"/>
        </w:rPr>
        <w:fldChar w:fldCharType="end"/>
      </w:r>
      <w:r w:rsidR="000F36A1">
        <w:t>建立坐标系将评价区划分为方形网格，格距</w:t>
      </w:r>
      <w:r w:rsidR="000F36A1">
        <w:rPr>
          <w:rFonts w:hint="eastAsia"/>
        </w:rPr>
        <w:t>5</w:t>
      </w:r>
      <w:r w:rsidR="000F36A1">
        <w:t>0m</w:t>
      </w:r>
      <w:r w:rsidR="000F36A1">
        <w:t>，对各网格点和关心点进行浓度预测和评价</w:t>
      </w:r>
      <w:r w:rsidR="000F36A1">
        <w:rPr>
          <w:rFonts w:hint="eastAsia"/>
        </w:rPr>
        <w:t>；</w:t>
      </w:r>
    </w:p>
    <w:p w:rsidR="00EE56C0" w:rsidRDefault="00340837">
      <w:pPr>
        <w:ind w:firstLine="480"/>
      </w:pPr>
      <w:r>
        <w:rPr>
          <w:rFonts w:hint="eastAsia"/>
        </w:rPr>
        <w:fldChar w:fldCharType="begin"/>
      </w:r>
      <w:r w:rsidR="000F36A1">
        <w:instrText xml:space="preserve"> = 2 \* GB3 </w:instrText>
      </w:r>
      <w:r>
        <w:rPr>
          <w:rFonts w:hint="eastAsia"/>
        </w:rPr>
        <w:fldChar w:fldCharType="separate"/>
      </w:r>
      <w:r w:rsidR="000F36A1">
        <w:rPr>
          <w:rFonts w:hint="eastAsia"/>
        </w:rPr>
        <w:t>②</w:t>
      </w:r>
      <w:r>
        <w:rPr>
          <w:rFonts w:hint="eastAsia"/>
        </w:rPr>
        <w:fldChar w:fldCharType="end"/>
      </w:r>
      <w:r w:rsidR="000F36A1">
        <w:t>预测正常排放下各污染物最大浓度贡献值及对敏感点的影响</w:t>
      </w:r>
      <w:r w:rsidR="000F36A1">
        <w:rPr>
          <w:rFonts w:hint="eastAsia"/>
        </w:rPr>
        <w:t>；</w:t>
      </w:r>
    </w:p>
    <w:p w:rsidR="00EE56C0" w:rsidRDefault="00340837">
      <w:pPr>
        <w:ind w:firstLine="480"/>
      </w:pPr>
      <w:r>
        <w:rPr>
          <w:rFonts w:hint="eastAsia"/>
        </w:rPr>
        <w:fldChar w:fldCharType="begin"/>
      </w:r>
      <w:r w:rsidR="000F36A1">
        <w:instrText xml:space="preserve"> = 3 \* GB3 </w:instrText>
      </w:r>
      <w:r>
        <w:rPr>
          <w:rFonts w:hint="eastAsia"/>
        </w:rPr>
        <w:fldChar w:fldCharType="separate"/>
      </w:r>
      <w:r w:rsidR="000F36A1">
        <w:rPr>
          <w:rFonts w:hint="eastAsia"/>
        </w:rPr>
        <w:t>③</w:t>
      </w:r>
      <w:r>
        <w:rPr>
          <w:rFonts w:hint="eastAsia"/>
        </w:rPr>
        <w:fldChar w:fldCharType="end"/>
      </w:r>
      <w:r w:rsidR="000F36A1">
        <w:rPr>
          <w:rFonts w:hint="eastAsia"/>
        </w:rPr>
        <w:t>根据预测结果，在各环境空气敏感点处叠加现状背景浓度值、在建项目贡献值及削减项目贡献值，对叠加后的敏感点进行预测和评价，绘制网格点浓度预测值等值线图；</w:t>
      </w:r>
    </w:p>
    <w:p w:rsidR="00EE56C0" w:rsidRDefault="00340837">
      <w:pPr>
        <w:ind w:firstLine="480"/>
      </w:pPr>
      <w:r>
        <w:rPr>
          <w:rFonts w:hint="eastAsia"/>
        </w:rPr>
        <w:fldChar w:fldCharType="begin"/>
      </w:r>
      <w:r w:rsidR="000F36A1">
        <w:instrText xml:space="preserve"> = 4 \* GB3 </w:instrText>
      </w:r>
      <w:r>
        <w:rPr>
          <w:rFonts w:hint="eastAsia"/>
        </w:rPr>
        <w:fldChar w:fldCharType="separate"/>
      </w:r>
      <w:r w:rsidR="000F36A1">
        <w:rPr>
          <w:rFonts w:hint="eastAsia"/>
        </w:rPr>
        <w:t>④</w:t>
      </w:r>
      <w:r>
        <w:rPr>
          <w:rFonts w:hint="eastAsia"/>
        </w:rPr>
        <w:fldChar w:fldCharType="end"/>
      </w:r>
      <w:r w:rsidR="000F36A1">
        <w:rPr>
          <w:rFonts w:hint="eastAsia"/>
        </w:rPr>
        <w:t>预测非正常工况下酚、非甲烷总烃、二甲苯、甲苯、苯在各环境空气敏感点的最大地面小时质量浓度和区域最大浓度影响值；</w:t>
      </w:r>
    </w:p>
    <w:p w:rsidR="00EE56C0" w:rsidRDefault="00340837">
      <w:pPr>
        <w:ind w:firstLine="480"/>
      </w:pPr>
      <w:r>
        <w:rPr>
          <w:rFonts w:hint="eastAsia"/>
        </w:rPr>
        <w:fldChar w:fldCharType="begin"/>
      </w:r>
      <w:r w:rsidR="000F36A1">
        <w:instrText xml:space="preserve"> = 5 \* GB3 </w:instrText>
      </w:r>
      <w:r>
        <w:rPr>
          <w:rFonts w:hint="eastAsia"/>
        </w:rPr>
        <w:fldChar w:fldCharType="separate"/>
      </w:r>
      <w:r w:rsidR="000F36A1">
        <w:rPr>
          <w:rFonts w:hint="eastAsia"/>
        </w:rPr>
        <w:t>⑤</w:t>
      </w:r>
      <w:r>
        <w:rPr>
          <w:rFonts w:hint="eastAsia"/>
        </w:rPr>
        <w:fldChar w:fldCharType="end"/>
      </w:r>
      <w:r w:rsidR="000F36A1">
        <w:t>预测计算本项目大气环境防护距离。</w:t>
      </w:r>
    </w:p>
    <w:p w:rsidR="00EE56C0" w:rsidRDefault="000F36A1">
      <w:pPr>
        <w:ind w:firstLine="480"/>
      </w:pPr>
      <w:r>
        <w:rPr>
          <w:rFonts w:hint="eastAsia"/>
        </w:rPr>
        <w:t>根据环境现状质量章节，本项目属于不达标区，因此主要进行不达标区的评价，对照《环境影响评价技术导则</w:t>
      </w:r>
      <w:r>
        <w:rPr>
          <w:rFonts w:hint="eastAsia"/>
        </w:rPr>
        <w:t>-</w:t>
      </w:r>
      <w:r>
        <w:rPr>
          <w:rFonts w:hint="eastAsia"/>
        </w:rPr>
        <w:t>大气环境》（</w:t>
      </w:r>
      <w:r>
        <w:rPr>
          <w:rFonts w:hint="eastAsia"/>
        </w:rPr>
        <w:t>HJ2.2-2018</w:t>
      </w:r>
      <w:r>
        <w:rPr>
          <w:rFonts w:hint="eastAsia"/>
        </w:rPr>
        <w:t>）预测内容和评价要求，本次预测内容和评价内容如下，详见表</w:t>
      </w:r>
      <w:r>
        <w:rPr>
          <w:rFonts w:hint="eastAsia"/>
        </w:rPr>
        <w:t>5-21</w:t>
      </w:r>
      <w:r>
        <w:rPr>
          <w:rFonts w:hint="eastAsia"/>
        </w:rPr>
        <w:t>。</w:t>
      </w:r>
    </w:p>
    <w:p w:rsidR="00EE56C0" w:rsidRDefault="000F36A1">
      <w:pPr>
        <w:pStyle w:val="afd"/>
        <w:spacing w:before="120" w:after="120"/>
        <w:ind w:firstLine="482"/>
      </w:pPr>
      <w:r>
        <w:t>表</w:t>
      </w:r>
      <w:r>
        <w:rPr>
          <w:rFonts w:hint="eastAsia"/>
        </w:rPr>
        <w:t>5</w:t>
      </w:r>
      <w:r>
        <w:t>-</w:t>
      </w:r>
      <w:r>
        <w:rPr>
          <w:rFonts w:hint="eastAsia"/>
        </w:rPr>
        <w:t xml:space="preserve">22              </w:t>
      </w:r>
      <w:r>
        <w:rPr>
          <w:rFonts w:hint="eastAsia"/>
        </w:rPr>
        <w:t>预测内容和评价内容</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1103"/>
        <w:gridCol w:w="1556"/>
        <w:gridCol w:w="1278"/>
        <w:gridCol w:w="1274"/>
        <w:gridCol w:w="3318"/>
      </w:tblGrid>
      <w:tr w:rsidR="00EE56C0">
        <w:trPr>
          <w:trHeight w:val="369"/>
          <w:jc w:val="center"/>
        </w:trPr>
        <w:tc>
          <w:tcPr>
            <w:tcW w:w="647" w:type="pct"/>
            <w:vAlign w:val="center"/>
          </w:tcPr>
          <w:p w:rsidR="00EE56C0" w:rsidRDefault="000F36A1">
            <w:pPr>
              <w:pStyle w:val="aff1"/>
            </w:pPr>
            <w:r>
              <w:rPr>
                <w:rFonts w:hint="eastAsia"/>
              </w:rPr>
              <w:t>评价对象</w:t>
            </w:r>
          </w:p>
        </w:tc>
        <w:tc>
          <w:tcPr>
            <w:tcW w:w="912" w:type="pct"/>
            <w:vAlign w:val="center"/>
          </w:tcPr>
          <w:p w:rsidR="00EE56C0" w:rsidRDefault="000F36A1">
            <w:pPr>
              <w:pStyle w:val="aff1"/>
            </w:pPr>
            <w:r>
              <w:rPr>
                <w:rFonts w:hint="eastAsia"/>
              </w:rPr>
              <w:t>污染源类型</w:t>
            </w:r>
          </w:p>
        </w:tc>
        <w:tc>
          <w:tcPr>
            <w:tcW w:w="749" w:type="pct"/>
            <w:vAlign w:val="center"/>
          </w:tcPr>
          <w:p w:rsidR="00EE56C0" w:rsidRDefault="000F36A1">
            <w:pPr>
              <w:pStyle w:val="aff1"/>
            </w:pPr>
            <w:r>
              <w:rPr>
                <w:rFonts w:hint="eastAsia"/>
              </w:rPr>
              <w:t>排放形式</w:t>
            </w:r>
          </w:p>
        </w:tc>
        <w:tc>
          <w:tcPr>
            <w:tcW w:w="747" w:type="pct"/>
            <w:vAlign w:val="center"/>
          </w:tcPr>
          <w:p w:rsidR="00EE56C0" w:rsidRDefault="000F36A1">
            <w:pPr>
              <w:pStyle w:val="aff1"/>
              <w:rPr>
                <w:vertAlign w:val="subscript"/>
              </w:rPr>
            </w:pPr>
            <w:r>
              <w:rPr>
                <w:rFonts w:hint="eastAsia"/>
              </w:rPr>
              <w:t>预测内容</w:t>
            </w:r>
          </w:p>
        </w:tc>
        <w:tc>
          <w:tcPr>
            <w:tcW w:w="1945" w:type="pct"/>
            <w:vAlign w:val="center"/>
          </w:tcPr>
          <w:p w:rsidR="00EE56C0" w:rsidRDefault="000F36A1">
            <w:pPr>
              <w:pStyle w:val="aff1"/>
            </w:pPr>
            <w:r>
              <w:rPr>
                <w:rFonts w:hint="eastAsia"/>
              </w:rPr>
              <w:t>评价内容</w:t>
            </w:r>
          </w:p>
        </w:tc>
      </w:tr>
      <w:tr w:rsidR="00EE56C0">
        <w:trPr>
          <w:trHeight w:val="369"/>
          <w:jc w:val="center"/>
        </w:trPr>
        <w:tc>
          <w:tcPr>
            <w:tcW w:w="647" w:type="pct"/>
            <w:vMerge w:val="restart"/>
            <w:vAlign w:val="center"/>
          </w:tcPr>
          <w:p w:rsidR="00EE56C0" w:rsidRDefault="000F36A1">
            <w:pPr>
              <w:pStyle w:val="afa"/>
            </w:pPr>
            <w:r>
              <w:rPr>
                <w:rFonts w:hint="eastAsia"/>
              </w:rPr>
              <w:t>不达标区评价项目</w:t>
            </w:r>
          </w:p>
        </w:tc>
        <w:tc>
          <w:tcPr>
            <w:tcW w:w="912" w:type="pct"/>
            <w:vAlign w:val="center"/>
          </w:tcPr>
          <w:p w:rsidR="00EE56C0" w:rsidRDefault="000F36A1">
            <w:pPr>
              <w:pStyle w:val="afa"/>
            </w:pPr>
            <w:r>
              <w:rPr>
                <w:rFonts w:hint="eastAsia"/>
              </w:rPr>
              <w:t>新增污染源</w:t>
            </w:r>
          </w:p>
        </w:tc>
        <w:tc>
          <w:tcPr>
            <w:tcW w:w="749" w:type="pct"/>
            <w:vAlign w:val="center"/>
          </w:tcPr>
          <w:p w:rsidR="00EE56C0" w:rsidRDefault="000F36A1">
            <w:pPr>
              <w:pStyle w:val="afa"/>
            </w:pPr>
            <w:r>
              <w:rPr>
                <w:rFonts w:hint="eastAsia"/>
              </w:rPr>
              <w:t>正常排放</w:t>
            </w:r>
          </w:p>
        </w:tc>
        <w:tc>
          <w:tcPr>
            <w:tcW w:w="747" w:type="pct"/>
            <w:vAlign w:val="center"/>
          </w:tcPr>
          <w:p w:rsidR="00EE56C0" w:rsidRDefault="000F36A1">
            <w:pPr>
              <w:pStyle w:val="afa"/>
            </w:pPr>
            <w:r>
              <w:rPr>
                <w:rFonts w:hint="eastAsia"/>
              </w:rPr>
              <w:t>短期浓度、长期浓度</w:t>
            </w:r>
          </w:p>
        </w:tc>
        <w:tc>
          <w:tcPr>
            <w:tcW w:w="1945" w:type="pct"/>
            <w:vAlign w:val="center"/>
          </w:tcPr>
          <w:p w:rsidR="00EE56C0" w:rsidRDefault="000F36A1">
            <w:pPr>
              <w:pStyle w:val="afa"/>
            </w:pPr>
            <w:r>
              <w:rPr>
                <w:rFonts w:hint="eastAsia"/>
              </w:rPr>
              <w:t>最大浓度占标率</w:t>
            </w:r>
          </w:p>
        </w:tc>
      </w:tr>
      <w:tr w:rsidR="00EE56C0">
        <w:trPr>
          <w:trHeight w:val="369"/>
          <w:jc w:val="center"/>
        </w:trPr>
        <w:tc>
          <w:tcPr>
            <w:tcW w:w="647" w:type="pct"/>
            <w:vMerge/>
            <w:vAlign w:val="center"/>
          </w:tcPr>
          <w:p w:rsidR="00EE56C0" w:rsidRDefault="00EE56C0">
            <w:pPr>
              <w:pStyle w:val="afa"/>
            </w:pPr>
          </w:p>
        </w:tc>
        <w:tc>
          <w:tcPr>
            <w:tcW w:w="912" w:type="pct"/>
            <w:vAlign w:val="center"/>
          </w:tcPr>
          <w:p w:rsidR="00EE56C0" w:rsidRDefault="000F36A1">
            <w:pPr>
              <w:pStyle w:val="afa"/>
            </w:pPr>
            <w:r>
              <w:rPr>
                <w:rFonts w:hint="eastAsia"/>
              </w:rPr>
              <w:t>新增污染源</w:t>
            </w:r>
            <w:r>
              <w:rPr>
                <w:rFonts w:hint="eastAsia"/>
              </w:rPr>
              <w:t>+</w:t>
            </w:r>
            <w:r>
              <w:rPr>
                <w:rFonts w:hint="eastAsia"/>
              </w:rPr>
              <w:t>在建项目污染源</w:t>
            </w:r>
            <w:r>
              <w:rPr>
                <w:rFonts w:hint="eastAsia"/>
              </w:rPr>
              <w:t>-</w:t>
            </w:r>
            <w:r>
              <w:rPr>
                <w:rFonts w:hint="eastAsia"/>
              </w:rPr>
              <w:t>以新带老污染源</w:t>
            </w:r>
          </w:p>
        </w:tc>
        <w:tc>
          <w:tcPr>
            <w:tcW w:w="749" w:type="pct"/>
            <w:vAlign w:val="center"/>
          </w:tcPr>
          <w:p w:rsidR="00EE56C0" w:rsidRDefault="000F36A1">
            <w:pPr>
              <w:pStyle w:val="afa"/>
            </w:pPr>
            <w:r>
              <w:t>正常排放</w:t>
            </w:r>
          </w:p>
        </w:tc>
        <w:tc>
          <w:tcPr>
            <w:tcW w:w="747" w:type="pct"/>
            <w:vAlign w:val="center"/>
          </w:tcPr>
          <w:p w:rsidR="00EE56C0" w:rsidRDefault="000F36A1">
            <w:pPr>
              <w:pStyle w:val="afa"/>
            </w:pPr>
            <w:r>
              <w:rPr>
                <w:rFonts w:hint="eastAsia"/>
              </w:rPr>
              <w:t>短期浓度、长期浓度</w:t>
            </w:r>
          </w:p>
        </w:tc>
        <w:tc>
          <w:tcPr>
            <w:tcW w:w="1945" w:type="pct"/>
            <w:vAlign w:val="center"/>
          </w:tcPr>
          <w:p w:rsidR="00EE56C0" w:rsidRDefault="000F36A1">
            <w:pPr>
              <w:pStyle w:val="afa"/>
            </w:pPr>
            <w:r>
              <w:rPr>
                <w:rFonts w:hint="eastAsia"/>
              </w:rPr>
              <w:t>现状达标因子评价叠加环境质量现状浓度后的最大浓度占标率，分析达标情况</w:t>
            </w:r>
          </w:p>
        </w:tc>
      </w:tr>
      <w:tr w:rsidR="00EE56C0">
        <w:trPr>
          <w:trHeight w:val="369"/>
          <w:jc w:val="center"/>
        </w:trPr>
        <w:tc>
          <w:tcPr>
            <w:tcW w:w="647" w:type="pct"/>
            <w:vMerge/>
            <w:vAlign w:val="center"/>
          </w:tcPr>
          <w:p w:rsidR="00EE56C0" w:rsidRDefault="00EE56C0">
            <w:pPr>
              <w:pStyle w:val="afa"/>
            </w:pPr>
          </w:p>
        </w:tc>
        <w:tc>
          <w:tcPr>
            <w:tcW w:w="912" w:type="pct"/>
            <w:vAlign w:val="center"/>
          </w:tcPr>
          <w:p w:rsidR="00EE56C0" w:rsidRDefault="000F36A1">
            <w:pPr>
              <w:pStyle w:val="afa"/>
            </w:pPr>
            <w:r>
              <w:rPr>
                <w:rFonts w:hint="eastAsia"/>
              </w:rPr>
              <w:t>新增污染源</w:t>
            </w:r>
          </w:p>
        </w:tc>
        <w:tc>
          <w:tcPr>
            <w:tcW w:w="749" w:type="pct"/>
            <w:vAlign w:val="center"/>
          </w:tcPr>
          <w:p w:rsidR="00EE56C0" w:rsidRDefault="000F36A1">
            <w:pPr>
              <w:pStyle w:val="afa"/>
            </w:pPr>
            <w:r>
              <w:rPr>
                <w:rFonts w:hint="eastAsia"/>
              </w:rPr>
              <w:t>非正常排放</w:t>
            </w:r>
          </w:p>
        </w:tc>
        <w:tc>
          <w:tcPr>
            <w:tcW w:w="747" w:type="pct"/>
            <w:vAlign w:val="center"/>
          </w:tcPr>
          <w:p w:rsidR="00EE56C0" w:rsidRDefault="000F36A1">
            <w:pPr>
              <w:pStyle w:val="afa"/>
            </w:pPr>
            <w:r>
              <w:rPr>
                <w:rFonts w:hint="eastAsia"/>
              </w:rPr>
              <w:t>1h</w:t>
            </w:r>
            <w:r>
              <w:rPr>
                <w:rFonts w:hint="eastAsia"/>
              </w:rPr>
              <w:t>平均质量浓度</w:t>
            </w:r>
          </w:p>
        </w:tc>
        <w:tc>
          <w:tcPr>
            <w:tcW w:w="1945" w:type="pct"/>
            <w:vAlign w:val="center"/>
          </w:tcPr>
          <w:p w:rsidR="00EE56C0" w:rsidRDefault="000F36A1">
            <w:pPr>
              <w:pStyle w:val="afa"/>
            </w:pPr>
            <w:r>
              <w:rPr>
                <w:rFonts w:hint="eastAsia"/>
              </w:rPr>
              <w:t>最大浓度占标率</w:t>
            </w:r>
          </w:p>
        </w:tc>
      </w:tr>
      <w:tr w:rsidR="00EE56C0">
        <w:trPr>
          <w:trHeight w:val="369"/>
          <w:jc w:val="center"/>
        </w:trPr>
        <w:tc>
          <w:tcPr>
            <w:tcW w:w="647" w:type="pct"/>
            <w:vAlign w:val="center"/>
          </w:tcPr>
          <w:p w:rsidR="00EE56C0" w:rsidRDefault="000F36A1">
            <w:pPr>
              <w:pStyle w:val="afa"/>
            </w:pPr>
            <w:r>
              <w:rPr>
                <w:rFonts w:hint="eastAsia"/>
              </w:rPr>
              <w:t>大气环境防护距离</w:t>
            </w:r>
          </w:p>
        </w:tc>
        <w:tc>
          <w:tcPr>
            <w:tcW w:w="912" w:type="pct"/>
            <w:vAlign w:val="center"/>
          </w:tcPr>
          <w:p w:rsidR="00EE56C0" w:rsidRDefault="000F36A1">
            <w:pPr>
              <w:pStyle w:val="afa"/>
            </w:pPr>
            <w:r>
              <w:rPr>
                <w:rFonts w:hint="eastAsia"/>
              </w:rPr>
              <w:t>新增污染源</w:t>
            </w:r>
          </w:p>
        </w:tc>
        <w:tc>
          <w:tcPr>
            <w:tcW w:w="749" w:type="pct"/>
            <w:vAlign w:val="center"/>
          </w:tcPr>
          <w:p w:rsidR="00EE56C0" w:rsidRDefault="000F36A1">
            <w:pPr>
              <w:pStyle w:val="afa"/>
            </w:pPr>
            <w:r>
              <w:t>正常排放</w:t>
            </w:r>
          </w:p>
        </w:tc>
        <w:tc>
          <w:tcPr>
            <w:tcW w:w="747" w:type="pct"/>
            <w:vAlign w:val="center"/>
          </w:tcPr>
          <w:p w:rsidR="00EE56C0" w:rsidRDefault="000F36A1">
            <w:pPr>
              <w:pStyle w:val="afa"/>
            </w:pPr>
            <w:r>
              <w:rPr>
                <w:rFonts w:hint="eastAsia"/>
              </w:rPr>
              <w:t>短期浓度</w:t>
            </w:r>
          </w:p>
        </w:tc>
        <w:tc>
          <w:tcPr>
            <w:tcW w:w="1945" w:type="pct"/>
            <w:vAlign w:val="center"/>
          </w:tcPr>
          <w:p w:rsidR="00EE56C0" w:rsidRDefault="000F36A1">
            <w:pPr>
              <w:pStyle w:val="afa"/>
            </w:pPr>
            <w:r>
              <w:rPr>
                <w:rFonts w:hint="eastAsia"/>
              </w:rPr>
              <w:t>大气环境防护距离</w:t>
            </w:r>
          </w:p>
        </w:tc>
      </w:tr>
    </w:tbl>
    <w:p w:rsidR="00EE56C0" w:rsidRDefault="000F36A1">
      <w:pPr>
        <w:ind w:firstLine="482"/>
        <w:rPr>
          <w:b/>
        </w:rPr>
      </w:pPr>
      <w:r>
        <w:rPr>
          <w:rFonts w:hint="eastAsia"/>
          <w:b/>
        </w:rPr>
        <w:t>（</w:t>
      </w:r>
      <w:r>
        <w:rPr>
          <w:rFonts w:hint="eastAsia"/>
          <w:b/>
        </w:rPr>
        <w:t>3</w:t>
      </w:r>
      <w:r>
        <w:rPr>
          <w:rFonts w:hint="eastAsia"/>
          <w:b/>
        </w:rPr>
        <w:t>）最大浓度贡献值预测结果分析</w:t>
      </w:r>
    </w:p>
    <w:p w:rsidR="00EE56C0" w:rsidRDefault="000F36A1">
      <w:pPr>
        <w:ind w:firstLine="480"/>
      </w:pPr>
      <w:r>
        <w:rPr>
          <w:rFonts w:hint="eastAsia"/>
        </w:rPr>
        <w:t>在不考虑背景浓度的情况下，本项目点源、面源正常排放的各主要污染物在网格点和各环境保护目标的最大浓度贡献值预测结果统计如下。</w:t>
      </w:r>
    </w:p>
    <w:p w:rsidR="00EE56C0" w:rsidRDefault="000F36A1">
      <w:pPr>
        <w:pStyle w:val="5"/>
      </w:pPr>
      <w:r>
        <w:rPr>
          <w:rFonts w:hint="eastAsia"/>
        </w:rPr>
        <w:lastRenderedPageBreak/>
        <w:t>1</w:t>
      </w:r>
      <w:r>
        <w:rPr>
          <w:rFonts w:hint="eastAsia"/>
        </w:rPr>
        <w:t>）</w:t>
      </w:r>
      <w:r>
        <w:t>网格点处最大浓度贡献值</w:t>
      </w:r>
    </w:p>
    <w:p w:rsidR="00EE56C0" w:rsidRDefault="00340837">
      <w:pPr>
        <w:pStyle w:val="aff4"/>
      </w:pPr>
      <w:r>
        <w:rPr>
          <w:rFonts w:hint="eastAsia"/>
        </w:rPr>
        <w:fldChar w:fldCharType="begin"/>
      </w:r>
      <w:r w:rsidR="000F36A1">
        <w:instrText xml:space="preserve"> = 1 \* GB3 </w:instrText>
      </w:r>
      <w:r>
        <w:rPr>
          <w:rFonts w:hint="eastAsia"/>
        </w:rPr>
        <w:fldChar w:fldCharType="separate"/>
      </w:r>
      <w:r w:rsidR="000F36A1">
        <w:rPr>
          <w:rFonts w:hint="eastAsia"/>
        </w:rPr>
        <w:t>①</w:t>
      </w:r>
      <w:r>
        <w:rPr>
          <w:rFonts w:hint="eastAsia"/>
        </w:rPr>
        <w:fldChar w:fldCharType="end"/>
      </w:r>
      <w:r w:rsidR="000F36A1">
        <w:t>根据预测结果</w:t>
      </w:r>
      <w:r w:rsidR="000F36A1">
        <w:rPr>
          <w:rFonts w:hint="eastAsia"/>
        </w:rPr>
        <w:t>，</w:t>
      </w:r>
      <w:r w:rsidR="000F36A1">
        <w:t>项目正常排放条件下</w:t>
      </w:r>
      <w:r w:rsidR="000F36A1">
        <w:rPr>
          <w:rFonts w:hint="eastAsia"/>
        </w:rPr>
        <w:t>，</w:t>
      </w:r>
      <w:r w:rsidR="000F36A1">
        <w:t>网格点处主要污染物最大浓度贡献值如下所示</w:t>
      </w:r>
      <w:r w:rsidR="000F36A1">
        <w:rPr>
          <w:rFonts w:hint="eastAsia"/>
        </w:rPr>
        <w:t>。</w:t>
      </w:r>
    </w:p>
    <w:p w:rsidR="00EE56C0" w:rsidRDefault="000F36A1">
      <w:pPr>
        <w:pStyle w:val="afd"/>
        <w:spacing w:before="120" w:after="120"/>
        <w:ind w:firstLine="482"/>
      </w:pPr>
      <w:r>
        <w:rPr>
          <w:rFonts w:hint="eastAsia"/>
        </w:rPr>
        <w:t>表</w:t>
      </w:r>
      <w:r>
        <w:t xml:space="preserve">5-23     </w:t>
      </w:r>
      <w:r>
        <w:rPr>
          <w:rFonts w:hint="eastAsia"/>
        </w:rPr>
        <w:t>网格点处主要污染物最大浓度贡献值</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CellMar>
          <w:left w:w="28" w:type="dxa"/>
          <w:right w:w="28" w:type="dxa"/>
        </w:tblCellMar>
        <w:tblLook w:val="04A0"/>
      </w:tblPr>
      <w:tblGrid>
        <w:gridCol w:w="701"/>
        <w:gridCol w:w="1152"/>
        <w:gridCol w:w="869"/>
        <w:gridCol w:w="1135"/>
        <w:gridCol w:w="1558"/>
        <w:gridCol w:w="1766"/>
        <w:gridCol w:w="1188"/>
      </w:tblGrid>
      <w:tr w:rsidR="00EE56C0">
        <w:trPr>
          <w:trHeight w:val="454"/>
          <w:tblHeader/>
          <w:jc w:val="center"/>
        </w:trPr>
        <w:tc>
          <w:tcPr>
            <w:tcW w:w="419" w:type="pct"/>
            <w:vMerge w:val="restart"/>
            <w:vAlign w:val="center"/>
          </w:tcPr>
          <w:p w:rsidR="00EE56C0" w:rsidRDefault="000F36A1">
            <w:pPr>
              <w:pStyle w:val="afa"/>
              <w:rPr>
                <w:b/>
              </w:rPr>
            </w:pPr>
            <w:r>
              <w:rPr>
                <w:rFonts w:hint="eastAsia"/>
                <w:b/>
              </w:rPr>
              <w:t>序号</w:t>
            </w:r>
          </w:p>
        </w:tc>
        <w:tc>
          <w:tcPr>
            <w:tcW w:w="688" w:type="pct"/>
            <w:vMerge w:val="restart"/>
            <w:vAlign w:val="center"/>
          </w:tcPr>
          <w:p w:rsidR="00EE56C0" w:rsidRDefault="000F36A1">
            <w:pPr>
              <w:pStyle w:val="afa"/>
              <w:rPr>
                <w:b/>
              </w:rPr>
            </w:pPr>
            <w:r>
              <w:rPr>
                <w:rFonts w:hint="eastAsia"/>
                <w:b/>
              </w:rPr>
              <w:t>污染物</w:t>
            </w:r>
          </w:p>
        </w:tc>
        <w:tc>
          <w:tcPr>
            <w:tcW w:w="519" w:type="pct"/>
            <w:vMerge w:val="restart"/>
            <w:vAlign w:val="center"/>
          </w:tcPr>
          <w:p w:rsidR="00EE56C0" w:rsidRDefault="000F36A1">
            <w:pPr>
              <w:pStyle w:val="afa"/>
              <w:rPr>
                <w:b/>
              </w:rPr>
            </w:pPr>
            <w:r>
              <w:rPr>
                <w:b/>
              </w:rPr>
              <w:t>X/m</w:t>
            </w:r>
          </w:p>
        </w:tc>
        <w:tc>
          <w:tcPr>
            <w:tcW w:w="678" w:type="pct"/>
            <w:vMerge w:val="restart"/>
            <w:vAlign w:val="center"/>
          </w:tcPr>
          <w:p w:rsidR="00EE56C0" w:rsidRDefault="000F36A1">
            <w:pPr>
              <w:pStyle w:val="afa"/>
              <w:rPr>
                <w:b/>
              </w:rPr>
            </w:pPr>
            <w:r>
              <w:rPr>
                <w:b/>
              </w:rPr>
              <w:t>Y/m</w:t>
            </w:r>
          </w:p>
        </w:tc>
        <w:tc>
          <w:tcPr>
            <w:tcW w:w="931" w:type="pct"/>
            <w:vMerge w:val="restart"/>
            <w:vAlign w:val="center"/>
          </w:tcPr>
          <w:p w:rsidR="00EE56C0" w:rsidRDefault="000F36A1">
            <w:pPr>
              <w:pStyle w:val="afa"/>
              <w:rPr>
                <w:b/>
              </w:rPr>
            </w:pPr>
            <w:r>
              <w:rPr>
                <w:rFonts w:hint="eastAsia"/>
                <w:b/>
              </w:rPr>
              <w:t>时间</w:t>
            </w:r>
          </w:p>
        </w:tc>
        <w:tc>
          <w:tcPr>
            <w:tcW w:w="1765" w:type="pct"/>
            <w:gridSpan w:val="2"/>
            <w:vAlign w:val="center"/>
          </w:tcPr>
          <w:p w:rsidR="00EE56C0" w:rsidRDefault="000F36A1">
            <w:pPr>
              <w:pStyle w:val="aff1"/>
            </w:pPr>
            <w:r>
              <w:t>1</w:t>
            </w:r>
            <w:r>
              <w:rPr>
                <w:rFonts w:hint="eastAsia"/>
              </w:rPr>
              <w:t>小时值</w:t>
            </w:r>
          </w:p>
        </w:tc>
      </w:tr>
      <w:tr w:rsidR="00EE56C0">
        <w:trPr>
          <w:trHeight w:val="454"/>
          <w:tblHeader/>
          <w:jc w:val="center"/>
        </w:trPr>
        <w:tc>
          <w:tcPr>
            <w:tcW w:w="419" w:type="pct"/>
            <w:vMerge/>
            <w:vAlign w:val="center"/>
          </w:tcPr>
          <w:p w:rsidR="00EE56C0" w:rsidRDefault="00EE56C0">
            <w:pPr>
              <w:pStyle w:val="aff1"/>
            </w:pPr>
          </w:p>
        </w:tc>
        <w:tc>
          <w:tcPr>
            <w:tcW w:w="688" w:type="pct"/>
            <w:vMerge/>
            <w:vAlign w:val="center"/>
          </w:tcPr>
          <w:p w:rsidR="00EE56C0" w:rsidRDefault="00EE56C0">
            <w:pPr>
              <w:pStyle w:val="afa"/>
            </w:pPr>
          </w:p>
        </w:tc>
        <w:tc>
          <w:tcPr>
            <w:tcW w:w="519" w:type="pct"/>
            <w:vMerge/>
            <w:vAlign w:val="center"/>
          </w:tcPr>
          <w:p w:rsidR="00EE56C0" w:rsidRDefault="00EE56C0">
            <w:pPr>
              <w:pStyle w:val="afa"/>
            </w:pPr>
          </w:p>
        </w:tc>
        <w:tc>
          <w:tcPr>
            <w:tcW w:w="678" w:type="pct"/>
            <w:vMerge/>
            <w:vAlign w:val="center"/>
          </w:tcPr>
          <w:p w:rsidR="00EE56C0" w:rsidRDefault="00EE56C0">
            <w:pPr>
              <w:pStyle w:val="afa"/>
            </w:pPr>
          </w:p>
        </w:tc>
        <w:tc>
          <w:tcPr>
            <w:tcW w:w="931" w:type="pct"/>
            <w:vMerge/>
            <w:vAlign w:val="center"/>
          </w:tcPr>
          <w:p w:rsidR="00EE56C0" w:rsidRDefault="00EE56C0">
            <w:pPr>
              <w:pStyle w:val="afa"/>
            </w:pPr>
          </w:p>
        </w:tc>
        <w:tc>
          <w:tcPr>
            <w:tcW w:w="1055" w:type="pct"/>
            <w:vAlign w:val="center"/>
          </w:tcPr>
          <w:p w:rsidR="00EE56C0" w:rsidRDefault="000F36A1">
            <w:pPr>
              <w:pStyle w:val="aff1"/>
            </w:pPr>
            <w:r>
              <w:rPr>
                <w:rFonts w:hint="eastAsia"/>
              </w:rPr>
              <w:t>浓度</w:t>
            </w:r>
            <w:r>
              <w:t>(mg/m</w:t>
            </w:r>
            <w:r>
              <w:rPr>
                <w:vertAlign w:val="superscript"/>
              </w:rPr>
              <w:t>3</w:t>
            </w:r>
            <w:r>
              <w:t>)</w:t>
            </w:r>
          </w:p>
        </w:tc>
        <w:tc>
          <w:tcPr>
            <w:tcW w:w="710" w:type="pct"/>
            <w:vAlign w:val="center"/>
          </w:tcPr>
          <w:p w:rsidR="00EE56C0" w:rsidRDefault="000F36A1">
            <w:pPr>
              <w:pStyle w:val="aff1"/>
            </w:pPr>
            <w:r>
              <w:rPr>
                <w:rFonts w:hint="eastAsia"/>
              </w:rPr>
              <w:t>占标率</w:t>
            </w:r>
            <w:r>
              <w:t>(%)</w:t>
            </w:r>
          </w:p>
        </w:tc>
      </w:tr>
      <w:tr w:rsidR="00EE56C0">
        <w:trPr>
          <w:trHeight w:val="454"/>
          <w:jc w:val="center"/>
        </w:trPr>
        <w:tc>
          <w:tcPr>
            <w:tcW w:w="419" w:type="pct"/>
            <w:vAlign w:val="center"/>
          </w:tcPr>
          <w:p w:rsidR="00EE56C0" w:rsidRDefault="000F36A1">
            <w:pPr>
              <w:pStyle w:val="afa"/>
            </w:pPr>
            <w:r>
              <w:t>1</w:t>
            </w:r>
          </w:p>
        </w:tc>
        <w:tc>
          <w:tcPr>
            <w:tcW w:w="688" w:type="pct"/>
            <w:vAlign w:val="center"/>
          </w:tcPr>
          <w:p w:rsidR="00EE56C0" w:rsidRDefault="000F36A1">
            <w:pPr>
              <w:pStyle w:val="afa"/>
            </w:pPr>
            <w:r>
              <w:rPr>
                <w:rFonts w:hint="eastAsia"/>
              </w:rPr>
              <w:t>酚</w:t>
            </w:r>
          </w:p>
        </w:tc>
        <w:tc>
          <w:tcPr>
            <w:tcW w:w="519" w:type="pct"/>
            <w:vAlign w:val="center"/>
          </w:tcPr>
          <w:p w:rsidR="00EE56C0" w:rsidRPr="00702FE4" w:rsidRDefault="000F36A1">
            <w:pPr>
              <w:pStyle w:val="afa"/>
              <w:rPr>
                <w:u w:val="single"/>
              </w:rPr>
            </w:pPr>
            <w:r w:rsidRPr="00702FE4">
              <w:rPr>
                <w:rFonts w:hint="eastAsia"/>
                <w:u w:val="single"/>
              </w:rPr>
              <w:t>400</w:t>
            </w:r>
          </w:p>
        </w:tc>
        <w:tc>
          <w:tcPr>
            <w:tcW w:w="678" w:type="pct"/>
            <w:vAlign w:val="center"/>
          </w:tcPr>
          <w:p w:rsidR="00EE56C0" w:rsidRPr="00702FE4" w:rsidRDefault="000F36A1">
            <w:pPr>
              <w:pStyle w:val="afa"/>
              <w:rPr>
                <w:u w:val="single"/>
              </w:rPr>
            </w:pPr>
            <w:r w:rsidRPr="00702FE4">
              <w:rPr>
                <w:rFonts w:hint="eastAsia"/>
                <w:u w:val="single"/>
              </w:rPr>
              <w:t>100</w:t>
            </w:r>
          </w:p>
        </w:tc>
        <w:tc>
          <w:tcPr>
            <w:tcW w:w="931" w:type="pct"/>
            <w:vAlign w:val="center"/>
          </w:tcPr>
          <w:p w:rsidR="00EE56C0" w:rsidRPr="00702FE4" w:rsidRDefault="000F36A1">
            <w:pPr>
              <w:pStyle w:val="afa"/>
              <w:rPr>
                <w:u w:val="single"/>
              </w:rPr>
            </w:pPr>
            <w:r w:rsidRPr="00702FE4">
              <w:rPr>
                <w:rFonts w:hint="eastAsia"/>
                <w:u w:val="single"/>
              </w:rPr>
              <w:t>19071707</w:t>
            </w:r>
          </w:p>
        </w:tc>
        <w:tc>
          <w:tcPr>
            <w:tcW w:w="1055" w:type="pct"/>
            <w:vAlign w:val="center"/>
          </w:tcPr>
          <w:p w:rsidR="00EE56C0" w:rsidRPr="00702FE4" w:rsidRDefault="000F36A1">
            <w:pPr>
              <w:pStyle w:val="afa"/>
              <w:rPr>
                <w:u w:val="single"/>
              </w:rPr>
            </w:pPr>
            <w:r w:rsidRPr="00702FE4">
              <w:rPr>
                <w:rFonts w:hint="eastAsia"/>
                <w:u w:val="single"/>
              </w:rPr>
              <w:t>0.233</w:t>
            </w:r>
          </w:p>
        </w:tc>
        <w:tc>
          <w:tcPr>
            <w:tcW w:w="710" w:type="pct"/>
            <w:vAlign w:val="center"/>
          </w:tcPr>
          <w:p w:rsidR="00EE56C0" w:rsidRPr="00702FE4" w:rsidRDefault="000F36A1">
            <w:pPr>
              <w:pStyle w:val="afa"/>
              <w:rPr>
                <w:u w:val="single"/>
              </w:rPr>
            </w:pPr>
            <w:r w:rsidRPr="00702FE4">
              <w:rPr>
                <w:rFonts w:hint="eastAsia"/>
                <w:u w:val="single"/>
              </w:rPr>
              <w:t>94.5</w:t>
            </w:r>
          </w:p>
        </w:tc>
      </w:tr>
      <w:tr w:rsidR="00EE56C0">
        <w:trPr>
          <w:trHeight w:val="454"/>
          <w:jc w:val="center"/>
        </w:trPr>
        <w:tc>
          <w:tcPr>
            <w:tcW w:w="419" w:type="pct"/>
            <w:vAlign w:val="center"/>
          </w:tcPr>
          <w:p w:rsidR="00EE56C0" w:rsidRDefault="000F36A1">
            <w:pPr>
              <w:pStyle w:val="afa"/>
            </w:pPr>
            <w:r>
              <w:rPr>
                <w:rFonts w:hint="eastAsia"/>
              </w:rPr>
              <w:t>2</w:t>
            </w:r>
          </w:p>
        </w:tc>
        <w:tc>
          <w:tcPr>
            <w:tcW w:w="688" w:type="pct"/>
            <w:vAlign w:val="center"/>
          </w:tcPr>
          <w:p w:rsidR="00EE56C0" w:rsidRDefault="000F36A1">
            <w:pPr>
              <w:pStyle w:val="afa"/>
            </w:pPr>
            <w:r>
              <w:rPr>
                <w:rFonts w:hint="eastAsia"/>
              </w:rPr>
              <w:t>非甲烷总烃</w:t>
            </w:r>
          </w:p>
        </w:tc>
        <w:tc>
          <w:tcPr>
            <w:tcW w:w="519" w:type="pct"/>
            <w:vAlign w:val="center"/>
          </w:tcPr>
          <w:p w:rsidR="00EE56C0" w:rsidRPr="00702FE4" w:rsidRDefault="000F36A1">
            <w:pPr>
              <w:pStyle w:val="afa"/>
              <w:rPr>
                <w:u w:val="single"/>
              </w:rPr>
            </w:pPr>
            <w:r w:rsidRPr="00702FE4">
              <w:rPr>
                <w:rFonts w:hint="eastAsia"/>
                <w:u w:val="single"/>
              </w:rPr>
              <w:t>400</w:t>
            </w:r>
          </w:p>
        </w:tc>
        <w:tc>
          <w:tcPr>
            <w:tcW w:w="678" w:type="pct"/>
            <w:vAlign w:val="center"/>
          </w:tcPr>
          <w:p w:rsidR="00EE56C0" w:rsidRPr="00702FE4" w:rsidRDefault="000F36A1">
            <w:pPr>
              <w:pStyle w:val="afa"/>
              <w:rPr>
                <w:u w:val="single"/>
              </w:rPr>
            </w:pPr>
            <w:r w:rsidRPr="00702FE4">
              <w:rPr>
                <w:rFonts w:hint="eastAsia"/>
                <w:u w:val="single"/>
              </w:rPr>
              <w:t>100</w:t>
            </w:r>
          </w:p>
        </w:tc>
        <w:tc>
          <w:tcPr>
            <w:tcW w:w="931" w:type="pct"/>
            <w:vAlign w:val="center"/>
          </w:tcPr>
          <w:p w:rsidR="00EE56C0" w:rsidRPr="00702FE4" w:rsidRDefault="000F36A1">
            <w:pPr>
              <w:pStyle w:val="afa"/>
              <w:rPr>
                <w:u w:val="single"/>
              </w:rPr>
            </w:pPr>
            <w:r w:rsidRPr="00702FE4">
              <w:rPr>
                <w:rFonts w:hint="eastAsia"/>
                <w:u w:val="single"/>
              </w:rPr>
              <w:t>19071707</w:t>
            </w:r>
          </w:p>
        </w:tc>
        <w:tc>
          <w:tcPr>
            <w:tcW w:w="1055" w:type="pct"/>
            <w:vAlign w:val="center"/>
          </w:tcPr>
          <w:p w:rsidR="00EE56C0" w:rsidRPr="00702FE4" w:rsidRDefault="000F36A1">
            <w:pPr>
              <w:pStyle w:val="afa"/>
              <w:rPr>
                <w:u w:val="single"/>
              </w:rPr>
            </w:pPr>
            <w:r w:rsidRPr="00702FE4">
              <w:rPr>
                <w:rFonts w:hint="eastAsia"/>
                <w:u w:val="single"/>
              </w:rPr>
              <w:t>0.0087</w:t>
            </w:r>
          </w:p>
        </w:tc>
        <w:tc>
          <w:tcPr>
            <w:tcW w:w="710" w:type="pct"/>
            <w:vAlign w:val="center"/>
          </w:tcPr>
          <w:p w:rsidR="00EE56C0" w:rsidRPr="00702FE4" w:rsidRDefault="000F36A1">
            <w:pPr>
              <w:pStyle w:val="afa"/>
              <w:rPr>
                <w:u w:val="single"/>
              </w:rPr>
            </w:pPr>
            <w:r w:rsidRPr="00702FE4">
              <w:rPr>
                <w:rFonts w:hint="eastAsia"/>
                <w:u w:val="single"/>
              </w:rPr>
              <w:t>0.0044</w:t>
            </w:r>
          </w:p>
        </w:tc>
      </w:tr>
      <w:tr w:rsidR="00EE56C0">
        <w:trPr>
          <w:trHeight w:val="454"/>
          <w:jc w:val="center"/>
        </w:trPr>
        <w:tc>
          <w:tcPr>
            <w:tcW w:w="419" w:type="pct"/>
            <w:vAlign w:val="center"/>
          </w:tcPr>
          <w:p w:rsidR="00EE56C0" w:rsidRDefault="000F36A1">
            <w:pPr>
              <w:pStyle w:val="afa"/>
            </w:pPr>
            <w:r>
              <w:t>3</w:t>
            </w:r>
          </w:p>
        </w:tc>
        <w:tc>
          <w:tcPr>
            <w:tcW w:w="688" w:type="pct"/>
            <w:vAlign w:val="center"/>
          </w:tcPr>
          <w:p w:rsidR="00EE56C0" w:rsidRDefault="000F36A1">
            <w:pPr>
              <w:pStyle w:val="afa"/>
            </w:pPr>
            <w:r>
              <w:rPr>
                <w:rFonts w:hint="eastAsia"/>
              </w:rPr>
              <w:t>二甲苯</w:t>
            </w:r>
          </w:p>
        </w:tc>
        <w:tc>
          <w:tcPr>
            <w:tcW w:w="519" w:type="pct"/>
            <w:vAlign w:val="center"/>
          </w:tcPr>
          <w:p w:rsidR="00EE56C0" w:rsidRPr="00702FE4" w:rsidRDefault="000F36A1">
            <w:pPr>
              <w:pStyle w:val="afa"/>
              <w:rPr>
                <w:u w:val="single"/>
              </w:rPr>
            </w:pPr>
            <w:r w:rsidRPr="00702FE4">
              <w:rPr>
                <w:rFonts w:hint="eastAsia"/>
                <w:u w:val="single"/>
              </w:rPr>
              <w:t>100</w:t>
            </w:r>
          </w:p>
        </w:tc>
        <w:tc>
          <w:tcPr>
            <w:tcW w:w="678" w:type="pct"/>
            <w:vAlign w:val="center"/>
          </w:tcPr>
          <w:p w:rsidR="00EE56C0" w:rsidRPr="00702FE4" w:rsidRDefault="000F36A1">
            <w:pPr>
              <w:pStyle w:val="afa"/>
              <w:rPr>
                <w:u w:val="single"/>
              </w:rPr>
            </w:pPr>
            <w:r w:rsidRPr="00702FE4">
              <w:rPr>
                <w:rFonts w:hint="eastAsia"/>
                <w:u w:val="single"/>
              </w:rPr>
              <w:t>0</w:t>
            </w:r>
          </w:p>
        </w:tc>
        <w:tc>
          <w:tcPr>
            <w:tcW w:w="931" w:type="pct"/>
            <w:vAlign w:val="center"/>
          </w:tcPr>
          <w:p w:rsidR="00EE56C0" w:rsidRPr="00702FE4" w:rsidRDefault="000F36A1">
            <w:pPr>
              <w:pStyle w:val="afa"/>
              <w:rPr>
                <w:u w:val="single"/>
              </w:rPr>
            </w:pPr>
            <w:r w:rsidRPr="00702FE4">
              <w:rPr>
                <w:rFonts w:hint="eastAsia"/>
                <w:u w:val="single"/>
              </w:rPr>
              <w:t>19051108</w:t>
            </w:r>
          </w:p>
        </w:tc>
        <w:tc>
          <w:tcPr>
            <w:tcW w:w="1055" w:type="pct"/>
            <w:vAlign w:val="center"/>
          </w:tcPr>
          <w:p w:rsidR="00EE56C0" w:rsidRPr="00702FE4" w:rsidRDefault="000F36A1">
            <w:pPr>
              <w:pStyle w:val="afa"/>
              <w:rPr>
                <w:u w:val="single"/>
              </w:rPr>
            </w:pPr>
            <w:r w:rsidRPr="00702FE4">
              <w:rPr>
                <w:rFonts w:hint="eastAsia"/>
                <w:u w:val="single"/>
              </w:rPr>
              <w:t>0.0038</w:t>
            </w:r>
          </w:p>
        </w:tc>
        <w:tc>
          <w:tcPr>
            <w:tcW w:w="710" w:type="pct"/>
            <w:vAlign w:val="center"/>
          </w:tcPr>
          <w:p w:rsidR="00EE56C0" w:rsidRPr="00702FE4" w:rsidRDefault="000F36A1">
            <w:pPr>
              <w:pStyle w:val="afa"/>
              <w:rPr>
                <w:u w:val="single"/>
              </w:rPr>
            </w:pPr>
            <w:r w:rsidRPr="00702FE4">
              <w:rPr>
                <w:rFonts w:hint="eastAsia"/>
                <w:u w:val="single"/>
              </w:rPr>
              <w:t>0.0188</w:t>
            </w:r>
          </w:p>
        </w:tc>
      </w:tr>
      <w:tr w:rsidR="00EE56C0">
        <w:trPr>
          <w:trHeight w:val="454"/>
          <w:jc w:val="center"/>
        </w:trPr>
        <w:tc>
          <w:tcPr>
            <w:tcW w:w="419" w:type="pct"/>
            <w:vAlign w:val="center"/>
          </w:tcPr>
          <w:p w:rsidR="00EE56C0" w:rsidRDefault="000F36A1">
            <w:pPr>
              <w:pStyle w:val="afa"/>
            </w:pPr>
            <w:r>
              <w:rPr>
                <w:rFonts w:hint="eastAsia"/>
              </w:rPr>
              <w:t>4</w:t>
            </w:r>
          </w:p>
        </w:tc>
        <w:tc>
          <w:tcPr>
            <w:tcW w:w="688" w:type="pct"/>
            <w:vAlign w:val="center"/>
          </w:tcPr>
          <w:p w:rsidR="00EE56C0" w:rsidRDefault="000F36A1">
            <w:pPr>
              <w:pStyle w:val="afa"/>
            </w:pPr>
            <w:r>
              <w:rPr>
                <w:rFonts w:hint="eastAsia"/>
              </w:rPr>
              <w:t>甲苯</w:t>
            </w:r>
          </w:p>
        </w:tc>
        <w:tc>
          <w:tcPr>
            <w:tcW w:w="519" w:type="pct"/>
            <w:vAlign w:val="center"/>
          </w:tcPr>
          <w:p w:rsidR="00EE56C0" w:rsidRPr="00702FE4" w:rsidRDefault="000F36A1">
            <w:pPr>
              <w:pStyle w:val="afa"/>
              <w:rPr>
                <w:u w:val="single"/>
              </w:rPr>
            </w:pPr>
            <w:r w:rsidRPr="00702FE4">
              <w:rPr>
                <w:rFonts w:hint="eastAsia"/>
                <w:u w:val="single"/>
              </w:rPr>
              <w:t>100</w:t>
            </w:r>
          </w:p>
        </w:tc>
        <w:tc>
          <w:tcPr>
            <w:tcW w:w="678" w:type="pct"/>
            <w:vAlign w:val="center"/>
          </w:tcPr>
          <w:p w:rsidR="00EE56C0" w:rsidRPr="00702FE4" w:rsidRDefault="000F36A1">
            <w:pPr>
              <w:pStyle w:val="afa"/>
              <w:rPr>
                <w:u w:val="single"/>
              </w:rPr>
            </w:pPr>
            <w:r w:rsidRPr="00702FE4">
              <w:rPr>
                <w:rFonts w:hint="eastAsia"/>
                <w:u w:val="single"/>
              </w:rPr>
              <w:t>0</w:t>
            </w:r>
          </w:p>
        </w:tc>
        <w:tc>
          <w:tcPr>
            <w:tcW w:w="931" w:type="pct"/>
            <w:vAlign w:val="center"/>
          </w:tcPr>
          <w:p w:rsidR="00EE56C0" w:rsidRPr="00702FE4" w:rsidRDefault="000F36A1">
            <w:pPr>
              <w:pStyle w:val="afa"/>
              <w:rPr>
                <w:u w:val="single"/>
              </w:rPr>
            </w:pPr>
            <w:r w:rsidRPr="00702FE4">
              <w:rPr>
                <w:rFonts w:hint="eastAsia"/>
                <w:u w:val="single"/>
              </w:rPr>
              <w:t>19051108</w:t>
            </w:r>
          </w:p>
        </w:tc>
        <w:tc>
          <w:tcPr>
            <w:tcW w:w="1055" w:type="pct"/>
            <w:vAlign w:val="center"/>
          </w:tcPr>
          <w:p w:rsidR="00EE56C0" w:rsidRPr="00702FE4" w:rsidRDefault="000F36A1">
            <w:pPr>
              <w:pStyle w:val="afa"/>
              <w:rPr>
                <w:u w:val="single"/>
              </w:rPr>
            </w:pPr>
            <w:r w:rsidRPr="00702FE4">
              <w:rPr>
                <w:rFonts w:hint="eastAsia"/>
                <w:u w:val="single"/>
              </w:rPr>
              <w:t>0.0019</w:t>
            </w:r>
          </w:p>
        </w:tc>
        <w:tc>
          <w:tcPr>
            <w:tcW w:w="710" w:type="pct"/>
            <w:vAlign w:val="center"/>
          </w:tcPr>
          <w:p w:rsidR="00EE56C0" w:rsidRPr="00702FE4" w:rsidRDefault="000F36A1">
            <w:pPr>
              <w:pStyle w:val="afa"/>
              <w:rPr>
                <w:u w:val="single"/>
              </w:rPr>
            </w:pPr>
            <w:r w:rsidRPr="00702FE4">
              <w:rPr>
                <w:rFonts w:hint="eastAsia"/>
                <w:u w:val="single"/>
              </w:rPr>
              <w:t>0.0095</w:t>
            </w:r>
          </w:p>
        </w:tc>
      </w:tr>
      <w:tr w:rsidR="00EE56C0">
        <w:trPr>
          <w:trHeight w:val="454"/>
          <w:jc w:val="center"/>
        </w:trPr>
        <w:tc>
          <w:tcPr>
            <w:tcW w:w="419" w:type="pct"/>
            <w:vAlign w:val="center"/>
          </w:tcPr>
          <w:p w:rsidR="00EE56C0" w:rsidRDefault="000F36A1">
            <w:pPr>
              <w:pStyle w:val="afa"/>
            </w:pPr>
            <w:r>
              <w:rPr>
                <w:rFonts w:hint="eastAsia"/>
              </w:rPr>
              <w:t>5</w:t>
            </w:r>
          </w:p>
        </w:tc>
        <w:tc>
          <w:tcPr>
            <w:tcW w:w="688" w:type="pct"/>
            <w:vAlign w:val="center"/>
          </w:tcPr>
          <w:p w:rsidR="00EE56C0" w:rsidRDefault="000F36A1">
            <w:pPr>
              <w:pStyle w:val="afa"/>
            </w:pPr>
            <w:r>
              <w:rPr>
                <w:rFonts w:hint="eastAsia"/>
              </w:rPr>
              <w:t>苯</w:t>
            </w:r>
          </w:p>
        </w:tc>
        <w:tc>
          <w:tcPr>
            <w:tcW w:w="519" w:type="pct"/>
            <w:vAlign w:val="center"/>
          </w:tcPr>
          <w:p w:rsidR="00EE56C0" w:rsidRPr="00702FE4" w:rsidRDefault="000F36A1">
            <w:pPr>
              <w:pStyle w:val="afa"/>
              <w:rPr>
                <w:u w:val="single"/>
              </w:rPr>
            </w:pPr>
            <w:r w:rsidRPr="00702FE4">
              <w:rPr>
                <w:rFonts w:hint="eastAsia"/>
                <w:u w:val="single"/>
              </w:rPr>
              <w:t>400</w:t>
            </w:r>
          </w:p>
        </w:tc>
        <w:tc>
          <w:tcPr>
            <w:tcW w:w="678" w:type="pct"/>
            <w:vAlign w:val="center"/>
          </w:tcPr>
          <w:p w:rsidR="00EE56C0" w:rsidRPr="00702FE4" w:rsidRDefault="000F36A1">
            <w:pPr>
              <w:pStyle w:val="afa"/>
              <w:rPr>
                <w:u w:val="single"/>
              </w:rPr>
            </w:pPr>
            <w:r w:rsidRPr="00702FE4">
              <w:rPr>
                <w:rFonts w:hint="eastAsia"/>
                <w:u w:val="single"/>
              </w:rPr>
              <w:t>100</w:t>
            </w:r>
          </w:p>
        </w:tc>
        <w:tc>
          <w:tcPr>
            <w:tcW w:w="931" w:type="pct"/>
            <w:vAlign w:val="center"/>
          </w:tcPr>
          <w:p w:rsidR="00EE56C0" w:rsidRPr="00702FE4" w:rsidRDefault="000F36A1">
            <w:pPr>
              <w:pStyle w:val="afa"/>
              <w:rPr>
                <w:u w:val="single"/>
              </w:rPr>
            </w:pPr>
            <w:r w:rsidRPr="00702FE4">
              <w:rPr>
                <w:rFonts w:hint="eastAsia"/>
                <w:u w:val="single"/>
              </w:rPr>
              <w:t>19071707</w:t>
            </w:r>
          </w:p>
        </w:tc>
        <w:tc>
          <w:tcPr>
            <w:tcW w:w="1055" w:type="pct"/>
            <w:vAlign w:val="center"/>
          </w:tcPr>
          <w:p w:rsidR="00EE56C0" w:rsidRPr="00702FE4" w:rsidRDefault="000F36A1">
            <w:pPr>
              <w:pStyle w:val="afa"/>
              <w:rPr>
                <w:u w:val="single"/>
              </w:rPr>
            </w:pPr>
            <w:r w:rsidRPr="00702FE4">
              <w:rPr>
                <w:rFonts w:hint="eastAsia"/>
                <w:u w:val="single"/>
              </w:rPr>
              <w:t>0.0005</w:t>
            </w:r>
          </w:p>
        </w:tc>
        <w:tc>
          <w:tcPr>
            <w:tcW w:w="710" w:type="pct"/>
            <w:vAlign w:val="center"/>
          </w:tcPr>
          <w:p w:rsidR="00EE56C0" w:rsidRPr="00702FE4" w:rsidRDefault="000F36A1">
            <w:pPr>
              <w:pStyle w:val="afa"/>
              <w:rPr>
                <w:u w:val="single"/>
              </w:rPr>
            </w:pPr>
            <w:r w:rsidRPr="00702FE4">
              <w:rPr>
                <w:rFonts w:hint="eastAsia"/>
                <w:u w:val="single"/>
              </w:rPr>
              <w:t>0.0048</w:t>
            </w:r>
          </w:p>
        </w:tc>
      </w:tr>
    </w:tbl>
    <w:p w:rsidR="00EE56C0" w:rsidRDefault="00340837">
      <w:pPr>
        <w:ind w:firstLine="480"/>
      </w:pPr>
      <w:r>
        <w:fldChar w:fldCharType="begin"/>
      </w:r>
      <w:r w:rsidR="000F36A1">
        <w:instrText xml:space="preserve"> = 2 \* GB3 </w:instrText>
      </w:r>
      <w:r>
        <w:fldChar w:fldCharType="separate"/>
      </w:r>
      <w:r w:rsidR="000F36A1">
        <w:rPr>
          <w:rFonts w:hint="eastAsia"/>
        </w:rPr>
        <w:t>②</w:t>
      </w:r>
      <w:r>
        <w:fldChar w:fldCharType="end"/>
      </w:r>
      <w:r w:rsidR="000F36A1">
        <w:t>根据预测结果</w:t>
      </w:r>
      <w:r w:rsidR="000F36A1">
        <w:rPr>
          <w:rFonts w:hint="eastAsia"/>
        </w:rPr>
        <w:t>，</w:t>
      </w:r>
      <w:r w:rsidR="000F36A1">
        <w:t>项目正常排放条件下</w:t>
      </w:r>
      <w:r w:rsidR="000F36A1">
        <w:rPr>
          <w:rFonts w:hint="eastAsia"/>
        </w:rPr>
        <w:t>，</w:t>
      </w:r>
      <w:r w:rsidR="000F36A1">
        <w:t>网格点处主要污染物浓度等值线分布图如图所示</w:t>
      </w:r>
      <w:r w:rsidR="000F36A1">
        <w:rPr>
          <w:rFonts w:hint="eastAsia"/>
        </w:rPr>
        <w:t>。</w:t>
      </w:r>
    </w:p>
    <w:p w:rsidR="00EE56C0" w:rsidRDefault="000F36A1">
      <w:pPr>
        <w:pStyle w:val="aff8"/>
      </w:pPr>
      <w:r>
        <w:rPr>
          <w:b w:val="0"/>
          <w:noProof/>
        </w:rPr>
        <w:drawing>
          <wp:inline distT="0" distB="0" distL="0" distR="0">
            <wp:extent cx="4175760" cy="3879850"/>
            <wp:effectExtent l="19050" t="0" r="0" b="0"/>
            <wp:docPr id="11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32"/>
                    <pic:cNvPicPr>
                      <a:picLocks noChangeAspect="1" noChangeArrowheads="1"/>
                    </pic:cNvPicPr>
                  </pic:nvPicPr>
                  <pic:blipFill>
                    <a:blip r:embed="rId82"/>
                    <a:srcRect/>
                    <a:stretch>
                      <a:fillRect/>
                    </a:stretch>
                  </pic:blipFill>
                  <pic:spPr>
                    <a:xfrm>
                      <a:off x="0" y="0"/>
                      <a:ext cx="4174969" cy="3878675"/>
                    </a:xfrm>
                    <a:prstGeom prst="rect">
                      <a:avLst/>
                    </a:prstGeom>
                    <a:noFill/>
                    <a:ln w="9525">
                      <a:noFill/>
                      <a:miter lim="800000"/>
                      <a:headEnd/>
                      <a:tailEnd/>
                    </a:ln>
                  </pic:spPr>
                </pic:pic>
              </a:graphicData>
            </a:graphic>
          </wp:inline>
        </w:drawing>
      </w:r>
    </w:p>
    <w:p w:rsidR="00EE56C0" w:rsidRDefault="000F36A1">
      <w:pPr>
        <w:pStyle w:val="aff8"/>
      </w:pPr>
      <w:r>
        <w:rPr>
          <w:rFonts w:hint="eastAsia"/>
        </w:rPr>
        <w:t>图</w:t>
      </w:r>
      <w:r>
        <w:t>5-1</w:t>
      </w:r>
      <w:r>
        <w:rPr>
          <w:rFonts w:hint="eastAsia"/>
        </w:rPr>
        <w:t>1</w:t>
      </w:r>
      <w:r>
        <w:rPr>
          <w:rFonts w:hint="eastAsia"/>
        </w:rPr>
        <w:t>酚小时浓度贡献值等值线</w:t>
      </w:r>
    </w:p>
    <w:p w:rsidR="00EE56C0" w:rsidRDefault="000F36A1">
      <w:pPr>
        <w:pStyle w:val="aff8"/>
      </w:pPr>
      <w:r>
        <w:rPr>
          <w:b w:val="0"/>
          <w:noProof/>
        </w:rPr>
        <w:lastRenderedPageBreak/>
        <w:drawing>
          <wp:inline distT="0" distB="0" distL="0" distR="0">
            <wp:extent cx="4129405" cy="3892550"/>
            <wp:effectExtent l="19050" t="0" r="4071" b="0"/>
            <wp:docPr id="12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35"/>
                    <pic:cNvPicPr>
                      <a:picLocks noChangeAspect="1" noChangeArrowheads="1"/>
                    </pic:cNvPicPr>
                  </pic:nvPicPr>
                  <pic:blipFill>
                    <a:blip r:embed="rId83"/>
                    <a:srcRect/>
                    <a:stretch>
                      <a:fillRect/>
                    </a:stretch>
                  </pic:blipFill>
                  <pic:spPr>
                    <a:xfrm>
                      <a:off x="0" y="0"/>
                      <a:ext cx="4128585" cy="3891607"/>
                    </a:xfrm>
                    <a:prstGeom prst="rect">
                      <a:avLst/>
                    </a:prstGeom>
                    <a:noFill/>
                    <a:ln w="9525">
                      <a:noFill/>
                      <a:miter lim="800000"/>
                      <a:headEnd/>
                      <a:tailEnd/>
                    </a:ln>
                  </pic:spPr>
                </pic:pic>
              </a:graphicData>
            </a:graphic>
          </wp:inline>
        </w:drawing>
      </w:r>
    </w:p>
    <w:p w:rsidR="00EE56C0" w:rsidRDefault="000F36A1">
      <w:pPr>
        <w:pStyle w:val="aff8"/>
      </w:pPr>
      <w:r>
        <w:rPr>
          <w:rFonts w:hint="eastAsia"/>
        </w:rPr>
        <w:t>图</w:t>
      </w:r>
      <w:r>
        <w:t>5-1</w:t>
      </w:r>
      <w:r>
        <w:rPr>
          <w:rFonts w:hint="eastAsia"/>
        </w:rPr>
        <w:t xml:space="preserve">2  </w:t>
      </w:r>
      <w:r>
        <w:rPr>
          <w:rFonts w:hint="eastAsia"/>
        </w:rPr>
        <w:t>非甲烷总烃小时浓度贡献值等值线</w:t>
      </w:r>
    </w:p>
    <w:p w:rsidR="00EE56C0" w:rsidRDefault="00EE56C0">
      <w:pPr>
        <w:pStyle w:val="aff8"/>
      </w:pPr>
    </w:p>
    <w:p w:rsidR="00EE56C0" w:rsidRDefault="000F36A1">
      <w:pPr>
        <w:pStyle w:val="aff8"/>
      </w:pPr>
      <w:r>
        <w:rPr>
          <w:b w:val="0"/>
          <w:noProof/>
        </w:rPr>
        <w:drawing>
          <wp:inline distT="0" distB="0" distL="0" distR="0">
            <wp:extent cx="4015740" cy="3760470"/>
            <wp:effectExtent l="19050" t="0" r="3628" b="0"/>
            <wp:docPr id="12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38"/>
                    <pic:cNvPicPr>
                      <a:picLocks noChangeAspect="1" noChangeArrowheads="1"/>
                    </pic:cNvPicPr>
                  </pic:nvPicPr>
                  <pic:blipFill>
                    <a:blip r:embed="rId84"/>
                    <a:srcRect/>
                    <a:stretch>
                      <a:fillRect/>
                    </a:stretch>
                  </pic:blipFill>
                  <pic:spPr>
                    <a:xfrm>
                      <a:off x="0" y="0"/>
                      <a:ext cx="4016102" cy="3760915"/>
                    </a:xfrm>
                    <a:prstGeom prst="rect">
                      <a:avLst/>
                    </a:prstGeom>
                    <a:noFill/>
                    <a:ln w="9525">
                      <a:noFill/>
                      <a:miter lim="800000"/>
                      <a:headEnd/>
                      <a:tailEnd/>
                    </a:ln>
                  </pic:spPr>
                </pic:pic>
              </a:graphicData>
            </a:graphic>
          </wp:inline>
        </w:drawing>
      </w:r>
    </w:p>
    <w:p w:rsidR="00EE56C0" w:rsidRDefault="000F36A1">
      <w:pPr>
        <w:pStyle w:val="aff8"/>
        <w:ind w:firstLine="480"/>
      </w:pPr>
      <w:r>
        <w:rPr>
          <w:rFonts w:hint="eastAsia"/>
        </w:rPr>
        <w:t>图</w:t>
      </w:r>
      <w:r>
        <w:t>5-1</w:t>
      </w:r>
      <w:r>
        <w:rPr>
          <w:rFonts w:hint="eastAsia"/>
        </w:rPr>
        <w:t>3</w:t>
      </w:r>
      <w:r>
        <w:rPr>
          <w:rFonts w:hint="eastAsia"/>
        </w:rPr>
        <w:t>二甲苯小时平均浓度贡献值等值线</w:t>
      </w:r>
    </w:p>
    <w:p w:rsidR="00EE56C0" w:rsidRDefault="000F36A1">
      <w:pPr>
        <w:pStyle w:val="aff8"/>
        <w:ind w:firstLine="480"/>
        <w:rPr>
          <w:u w:val="single"/>
        </w:rPr>
      </w:pPr>
      <w:r>
        <w:rPr>
          <w:b w:val="0"/>
          <w:noProof/>
          <w:u w:val="single"/>
        </w:rPr>
        <w:lastRenderedPageBreak/>
        <w:drawing>
          <wp:inline distT="0" distB="0" distL="0" distR="0">
            <wp:extent cx="4180205" cy="3866515"/>
            <wp:effectExtent l="19050" t="0" r="0" b="0"/>
            <wp:docPr id="128"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41"/>
                    <pic:cNvPicPr>
                      <a:picLocks noChangeAspect="1" noChangeArrowheads="1"/>
                    </pic:cNvPicPr>
                  </pic:nvPicPr>
                  <pic:blipFill>
                    <a:blip r:embed="rId85"/>
                    <a:srcRect/>
                    <a:stretch>
                      <a:fillRect/>
                    </a:stretch>
                  </pic:blipFill>
                  <pic:spPr>
                    <a:xfrm>
                      <a:off x="0" y="0"/>
                      <a:ext cx="4178241" cy="3864615"/>
                    </a:xfrm>
                    <a:prstGeom prst="rect">
                      <a:avLst/>
                    </a:prstGeom>
                    <a:noFill/>
                    <a:ln w="9525">
                      <a:noFill/>
                      <a:miter lim="800000"/>
                      <a:headEnd/>
                      <a:tailEnd/>
                    </a:ln>
                  </pic:spPr>
                </pic:pic>
              </a:graphicData>
            </a:graphic>
          </wp:inline>
        </w:drawing>
      </w:r>
    </w:p>
    <w:p w:rsidR="00EE56C0" w:rsidRDefault="000F36A1">
      <w:pPr>
        <w:pStyle w:val="aff8"/>
        <w:ind w:firstLine="480"/>
      </w:pPr>
      <w:r>
        <w:rPr>
          <w:rFonts w:hint="eastAsia"/>
        </w:rPr>
        <w:t>图</w:t>
      </w:r>
      <w:r>
        <w:t>5-1</w:t>
      </w:r>
      <w:r>
        <w:rPr>
          <w:rFonts w:hint="eastAsia"/>
        </w:rPr>
        <w:t xml:space="preserve">4   </w:t>
      </w:r>
      <w:r>
        <w:rPr>
          <w:rFonts w:hint="eastAsia"/>
        </w:rPr>
        <w:t>甲苯小时平均浓度贡献值等值线</w:t>
      </w:r>
    </w:p>
    <w:p w:rsidR="00EE56C0" w:rsidRDefault="000F36A1">
      <w:pPr>
        <w:pStyle w:val="aff8"/>
        <w:ind w:firstLine="480"/>
        <w:rPr>
          <w:u w:val="single"/>
        </w:rPr>
      </w:pPr>
      <w:r>
        <w:rPr>
          <w:rFonts w:hint="eastAsia"/>
          <w:b w:val="0"/>
          <w:noProof/>
          <w:u w:val="single"/>
        </w:rPr>
        <w:drawing>
          <wp:inline distT="0" distB="0" distL="0" distR="0">
            <wp:extent cx="4185920" cy="3888105"/>
            <wp:effectExtent l="19050" t="0" r="5080" b="0"/>
            <wp:docPr id="131"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44"/>
                    <pic:cNvPicPr>
                      <a:picLocks noChangeAspect="1" noChangeArrowheads="1"/>
                    </pic:cNvPicPr>
                  </pic:nvPicPr>
                  <pic:blipFill>
                    <a:blip r:embed="rId86"/>
                    <a:srcRect/>
                    <a:stretch>
                      <a:fillRect/>
                    </a:stretch>
                  </pic:blipFill>
                  <pic:spPr>
                    <a:xfrm>
                      <a:off x="0" y="0"/>
                      <a:ext cx="4185020" cy="3887421"/>
                    </a:xfrm>
                    <a:prstGeom prst="rect">
                      <a:avLst/>
                    </a:prstGeom>
                    <a:noFill/>
                    <a:ln w="9525">
                      <a:noFill/>
                      <a:miter lim="800000"/>
                      <a:headEnd/>
                      <a:tailEnd/>
                    </a:ln>
                  </pic:spPr>
                </pic:pic>
              </a:graphicData>
            </a:graphic>
          </wp:inline>
        </w:drawing>
      </w:r>
    </w:p>
    <w:p w:rsidR="00EE56C0" w:rsidRDefault="000F36A1">
      <w:pPr>
        <w:pStyle w:val="aff8"/>
        <w:ind w:firstLine="480"/>
      </w:pPr>
      <w:r>
        <w:rPr>
          <w:rFonts w:hint="eastAsia"/>
        </w:rPr>
        <w:t>图</w:t>
      </w:r>
      <w:r>
        <w:t>5-1</w:t>
      </w:r>
      <w:r>
        <w:rPr>
          <w:rFonts w:hint="eastAsia"/>
        </w:rPr>
        <w:t xml:space="preserve">5  </w:t>
      </w:r>
      <w:r>
        <w:rPr>
          <w:rFonts w:hint="eastAsia"/>
        </w:rPr>
        <w:t>苯小时平均浓度贡献值等值线</w:t>
      </w:r>
    </w:p>
    <w:p w:rsidR="00EE56C0" w:rsidRDefault="000F36A1">
      <w:pPr>
        <w:pStyle w:val="5"/>
      </w:pPr>
      <w:r>
        <w:rPr>
          <w:rFonts w:hint="eastAsia"/>
        </w:rPr>
        <w:lastRenderedPageBreak/>
        <w:t>2</w:t>
      </w:r>
      <w:r>
        <w:rPr>
          <w:rFonts w:hint="eastAsia"/>
        </w:rPr>
        <w:t>）敏感点最大浓度贡献值</w:t>
      </w:r>
    </w:p>
    <w:p w:rsidR="00EE56C0" w:rsidRDefault="000F36A1">
      <w:pPr>
        <w:pStyle w:val="aff4"/>
      </w:pPr>
      <w:r>
        <w:rPr>
          <w:rFonts w:hint="eastAsia"/>
        </w:rPr>
        <w:t>在不考虑背景浓度的情况下，本项目正常排放的各主要污染物对评价范围内的敏感点最大贡献浓度预测结果见下表。</w:t>
      </w:r>
    </w:p>
    <w:p w:rsidR="00EE56C0" w:rsidRDefault="000F36A1">
      <w:pPr>
        <w:pStyle w:val="afd"/>
        <w:spacing w:before="120" w:after="120"/>
        <w:ind w:firstLine="482"/>
      </w:pPr>
      <w:r>
        <w:t>表</w:t>
      </w:r>
      <w:r>
        <w:t>5-</w:t>
      </w:r>
      <w:r>
        <w:rPr>
          <w:rFonts w:hint="eastAsia"/>
        </w:rPr>
        <w:t xml:space="preserve">24              </w:t>
      </w:r>
      <w:r>
        <w:rPr>
          <w:rFonts w:hint="eastAsia"/>
        </w:rPr>
        <w:t>酚浓度最大贡献值</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574"/>
        <w:gridCol w:w="1095"/>
        <w:gridCol w:w="1274"/>
        <w:gridCol w:w="1702"/>
        <w:gridCol w:w="1561"/>
        <w:gridCol w:w="1134"/>
        <w:gridCol w:w="1189"/>
      </w:tblGrid>
      <w:tr w:rsidR="00EE56C0">
        <w:trPr>
          <w:trHeight w:val="425"/>
          <w:tblHeader/>
          <w:jc w:val="center"/>
        </w:trPr>
        <w:tc>
          <w:tcPr>
            <w:tcW w:w="336" w:type="pct"/>
            <w:vMerge w:val="restart"/>
            <w:vAlign w:val="center"/>
          </w:tcPr>
          <w:p w:rsidR="00EE56C0" w:rsidRDefault="00340837">
            <w:pPr>
              <w:pStyle w:val="aff1"/>
              <w:rPr>
                <w:color w:val="auto"/>
              </w:rPr>
            </w:pPr>
            <w:r>
              <w:rPr>
                <w:color w:val="auto"/>
              </w:rPr>
              <w:pict>
                <v:shape id="_x0000_s2208" type="#_x0000_t202" style="position:absolute;left:0;text-align:left;margin-left:39.35pt;margin-top:-192.15pt;width:21.65pt;height:19.65pt;z-index:251708928" o:gfxdata="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" filled="f" stroked="f" strokeweight="1pt">
                  <v:textbox>
                    <w:txbxContent>
                      <w:p w:rsidR="009C6BD9" w:rsidRDefault="009C6BD9">
                        <w:pPr>
                          <w:ind w:firstLine="482"/>
                          <w:rPr>
                            <w:b/>
                            <w:color w:val="FF0000"/>
                            <w:szCs w:val="21"/>
                          </w:rPr>
                        </w:pPr>
                        <w:r>
                          <w:rPr>
                            <w:rFonts w:hint="eastAsia"/>
                            <w:b/>
                            <w:color w:val="FF0000"/>
                            <w:szCs w:val="21"/>
                          </w:rPr>
                          <w:t>3</w:t>
                        </w:r>
                      </w:p>
                    </w:txbxContent>
                  </v:textbox>
                </v:shape>
              </w:pict>
            </w:r>
            <w:r w:rsidR="000F36A1">
              <w:rPr>
                <w:rFonts w:hAnsi="宋体"/>
                <w:color w:val="auto"/>
              </w:rPr>
              <w:t>序列</w:t>
            </w:r>
          </w:p>
        </w:tc>
        <w:tc>
          <w:tcPr>
            <w:tcW w:w="642" w:type="pct"/>
            <w:vMerge w:val="restart"/>
            <w:tcBorders>
              <w:right w:val="single" w:sz="4" w:space="0" w:color="auto"/>
            </w:tcBorders>
            <w:vAlign w:val="center"/>
          </w:tcPr>
          <w:p w:rsidR="00EE56C0" w:rsidRDefault="000F36A1">
            <w:pPr>
              <w:pStyle w:val="aff1"/>
              <w:rPr>
                <w:color w:val="auto"/>
              </w:rPr>
            </w:pPr>
            <w:r>
              <w:rPr>
                <w:rFonts w:hAnsi="宋体" w:hint="eastAsia"/>
                <w:color w:val="auto"/>
              </w:rPr>
              <w:t>预测点</w:t>
            </w:r>
          </w:p>
        </w:tc>
        <w:tc>
          <w:tcPr>
            <w:tcW w:w="747" w:type="pct"/>
            <w:vMerge w:val="restart"/>
            <w:tcBorders>
              <w:right w:val="single" w:sz="4" w:space="0" w:color="auto"/>
            </w:tcBorders>
            <w:vAlign w:val="center"/>
          </w:tcPr>
          <w:p w:rsidR="00EE56C0" w:rsidRDefault="000F36A1">
            <w:pPr>
              <w:pStyle w:val="aff1"/>
              <w:rPr>
                <w:rFonts w:hAnsi="宋体"/>
                <w:color w:val="auto"/>
              </w:rPr>
            </w:pPr>
            <w:r>
              <w:rPr>
                <w:rFonts w:hAnsi="宋体" w:hint="eastAsia"/>
                <w:color w:val="auto"/>
              </w:rPr>
              <w:t>平均时段</w:t>
            </w:r>
          </w:p>
        </w:tc>
        <w:tc>
          <w:tcPr>
            <w:tcW w:w="998" w:type="pct"/>
            <w:vMerge w:val="restart"/>
            <w:tcBorders>
              <w:right w:val="single" w:sz="4" w:space="0" w:color="auto"/>
            </w:tcBorders>
            <w:vAlign w:val="center"/>
          </w:tcPr>
          <w:p w:rsidR="00EE56C0" w:rsidRPr="005767FB" w:rsidRDefault="000F36A1">
            <w:pPr>
              <w:pStyle w:val="afa"/>
              <w:rPr>
                <w:b/>
                <w:u w:val="single"/>
              </w:rPr>
            </w:pPr>
            <w:r w:rsidRPr="005767FB">
              <w:rPr>
                <w:rFonts w:hint="eastAsia"/>
                <w:b/>
                <w:u w:val="single"/>
              </w:rPr>
              <w:t>最大贡献值（</w:t>
            </w:r>
            <w:r w:rsidRPr="005767FB">
              <w:rPr>
                <w:rFonts w:hint="eastAsia"/>
                <w:b/>
                <w:u w:val="single"/>
              </w:rPr>
              <w:t>mg/m</w:t>
            </w:r>
            <w:r w:rsidRPr="005767FB">
              <w:rPr>
                <w:rFonts w:hint="eastAsia"/>
                <w:b/>
                <w:u w:val="single"/>
                <w:vertAlign w:val="superscript"/>
              </w:rPr>
              <w:t>3</w:t>
            </w:r>
            <w:r w:rsidRPr="005767FB">
              <w:rPr>
                <w:rFonts w:hint="eastAsia"/>
                <w:b/>
                <w:u w:val="single"/>
              </w:rPr>
              <w:t>）</w:t>
            </w:r>
          </w:p>
        </w:tc>
        <w:tc>
          <w:tcPr>
            <w:tcW w:w="915" w:type="pct"/>
            <w:vMerge w:val="restart"/>
            <w:tcBorders>
              <w:left w:val="single" w:sz="4" w:space="0" w:color="auto"/>
              <w:right w:val="single" w:sz="4" w:space="0" w:color="auto"/>
            </w:tcBorders>
            <w:vAlign w:val="center"/>
          </w:tcPr>
          <w:p w:rsidR="00EE56C0" w:rsidRPr="005767FB" w:rsidRDefault="000F36A1">
            <w:pPr>
              <w:pStyle w:val="afa"/>
              <w:rPr>
                <w:b/>
                <w:u w:val="single"/>
              </w:rPr>
            </w:pPr>
            <w:r w:rsidRPr="005767FB">
              <w:rPr>
                <w:rFonts w:hint="eastAsia"/>
                <w:b/>
                <w:u w:val="single"/>
              </w:rPr>
              <w:t>出现时间</w:t>
            </w:r>
          </w:p>
        </w:tc>
        <w:tc>
          <w:tcPr>
            <w:tcW w:w="665" w:type="pct"/>
            <w:vMerge w:val="restart"/>
            <w:tcBorders>
              <w:left w:val="single" w:sz="4" w:space="0" w:color="auto"/>
            </w:tcBorders>
            <w:vAlign w:val="center"/>
          </w:tcPr>
          <w:p w:rsidR="00EE56C0" w:rsidRPr="005767FB" w:rsidRDefault="000F36A1">
            <w:pPr>
              <w:pStyle w:val="afa"/>
              <w:rPr>
                <w:u w:val="single"/>
              </w:rPr>
            </w:pPr>
            <w:r w:rsidRPr="005767FB">
              <w:rPr>
                <w:rFonts w:hint="eastAsia"/>
                <w:b/>
                <w:u w:val="single"/>
              </w:rPr>
              <w:t>占标率（</w:t>
            </w:r>
            <w:r w:rsidRPr="005767FB">
              <w:rPr>
                <w:rFonts w:hint="eastAsia"/>
                <w:b/>
                <w:u w:val="single"/>
              </w:rPr>
              <w:t>%</w:t>
            </w:r>
            <w:r w:rsidRPr="005767FB">
              <w:rPr>
                <w:rFonts w:hint="eastAsia"/>
                <w:u w:val="single"/>
              </w:rPr>
              <w:t>）</w:t>
            </w:r>
          </w:p>
        </w:tc>
        <w:tc>
          <w:tcPr>
            <w:tcW w:w="698" w:type="pct"/>
            <w:vMerge w:val="restart"/>
            <w:vAlign w:val="center"/>
          </w:tcPr>
          <w:p w:rsidR="00EE56C0" w:rsidRDefault="000F36A1">
            <w:pPr>
              <w:pStyle w:val="aff1"/>
              <w:rPr>
                <w:color w:val="auto"/>
              </w:rPr>
            </w:pPr>
            <w:r>
              <w:rPr>
                <w:rFonts w:hint="eastAsia"/>
                <w:color w:val="auto"/>
              </w:rPr>
              <w:t>达标情况</w:t>
            </w:r>
          </w:p>
        </w:tc>
      </w:tr>
      <w:tr w:rsidR="00EE56C0">
        <w:trPr>
          <w:trHeight w:val="425"/>
          <w:tblHeader/>
          <w:jc w:val="center"/>
        </w:trPr>
        <w:tc>
          <w:tcPr>
            <w:tcW w:w="336" w:type="pct"/>
            <w:vMerge/>
            <w:vAlign w:val="center"/>
          </w:tcPr>
          <w:p w:rsidR="00EE56C0" w:rsidRDefault="00EE56C0">
            <w:pPr>
              <w:pStyle w:val="afa"/>
            </w:pPr>
          </w:p>
        </w:tc>
        <w:tc>
          <w:tcPr>
            <w:tcW w:w="642" w:type="pct"/>
            <w:vMerge/>
            <w:tcBorders>
              <w:right w:val="single" w:sz="4" w:space="0" w:color="auto"/>
            </w:tcBorders>
            <w:vAlign w:val="center"/>
          </w:tcPr>
          <w:p w:rsidR="00EE56C0" w:rsidRDefault="00EE56C0">
            <w:pPr>
              <w:pStyle w:val="afa"/>
            </w:pPr>
          </w:p>
        </w:tc>
        <w:tc>
          <w:tcPr>
            <w:tcW w:w="747" w:type="pct"/>
            <w:vMerge/>
            <w:tcBorders>
              <w:right w:val="single" w:sz="4" w:space="0" w:color="auto"/>
            </w:tcBorders>
            <w:vAlign w:val="center"/>
          </w:tcPr>
          <w:p w:rsidR="00EE56C0" w:rsidRDefault="00EE56C0">
            <w:pPr>
              <w:pStyle w:val="aff1"/>
              <w:rPr>
                <w:color w:val="auto"/>
              </w:rPr>
            </w:pPr>
          </w:p>
        </w:tc>
        <w:tc>
          <w:tcPr>
            <w:tcW w:w="998" w:type="pct"/>
            <w:vMerge/>
            <w:tcBorders>
              <w:right w:val="single" w:sz="4" w:space="0" w:color="auto"/>
            </w:tcBorders>
            <w:vAlign w:val="center"/>
          </w:tcPr>
          <w:p w:rsidR="00EE56C0" w:rsidRPr="005767FB" w:rsidRDefault="00EE56C0">
            <w:pPr>
              <w:pStyle w:val="afa"/>
              <w:rPr>
                <w:u w:val="single"/>
              </w:rPr>
            </w:pPr>
          </w:p>
        </w:tc>
        <w:tc>
          <w:tcPr>
            <w:tcW w:w="915" w:type="pct"/>
            <w:vMerge/>
            <w:tcBorders>
              <w:left w:val="single" w:sz="4" w:space="0" w:color="auto"/>
              <w:right w:val="single" w:sz="4" w:space="0" w:color="auto"/>
            </w:tcBorders>
            <w:vAlign w:val="center"/>
          </w:tcPr>
          <w:p w:rsidR="00EE56C0" w:rsidRPr="005767FB" w:rsidRDefault="00EE56C0">
            <w:pPr>
              <w:pStyle w:val="afa"/>
              <w:rPr>
                <w:u w:val="single"/>
              </w:rPr>
            </w:pPr>
          </w:p>
        </w:tc>
        <w:tc>
          <w:tcPr>
            <w:tcW w:w="665" w:type="pct"/>
            <w:vMerge/>
            <w:tcBorders>
              <w:left w:val="single" w:sz="4" w:space="0" w:color="auto"/>
            </w:tcBorders>
            <w:vAlign w:val="center"/>
          </w:tcPr>
          <w:p w:rsidR="00EE56C0" w:rsidRPr="005767FB" w:rsidRDefault="00EE56C0">
            <w:pPr>
              <w:pStyle w:val="afa"/>
              <w:rPr>
                <w:u w:val="single"/>
              </w:rPr>
            </w:pPr>
          </w:p>
        </w:tc>
        <w:tc>
          <w:tcPr>
            <w:tcW w:w="698" w:type="pct"/>
            <w:vMerge/>
            <w:vAlign w:val="center"/>
          </w:tcPr>
          <w:p w:rsidR="00EE56C0" w:rsidRDefault="00EE56C0">
            <w:pPr>
              <w:pStyle w:val="afa"/>
            </w:pPr>
          </w:p>
        </w:tc>
      </w:tr>
      <w:tr w:rsidR="00EE56C0">
        <w:trPr>
          <w:trHeight w:val="425"/>
          <w:jc w:val="center"/>
        </w:trPr>
        <w:tc>
          <w:tcPr>
            <w:tcW w:w="336" w:type="pct"/>
            <w:vAlign w:val="center"/>
          </w:tcPr>
          <w:p w:rsidR="00EE56C0" w:rsidRDefault="000F36A1">
            <w:pPr>
              <w:pStyle w:val="afa"/>
            </w:pPr>
            <w:r>
              <w:t>1</w:t>
            </w:r>
          </w:p>
        </w:tc>
        <w:tc>
          <w:tcPr>
            <w:tcW w:w="642" w:type="pct"/>
            <w:tcBorders>
              <w:right w:val="single" w:sz="4" w:space="0" w:color="auto"/>
            </w:tcBorders>
            <w:vAlign w:val="center"/>
          </w:tcPr>
          <w:p w:rsidR="00EE56C0" w:rsidRDefault="000F36A1">
            <w:pPr>
              <w:pStyle w:val="afa"/>
              <w:rPr>
                <w:b/>
              </w:rPr>
            </w:pPr>
            <w:r>
              <w:rPr>
                <w:rFonts w:hAnsi="宋体" w:hint="eastAsia"/>
              </w:rPr>
              <w:t>南王庄村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98" w:type="pct"/>
            <w:tcBorders>
              <w:right w:val="single" w:sz="4" w:space="0" w:color="auto"/>
            </w:tcBorders>
            <w:vAlign w:val="center"/>
          </w:tcPr>
          <w:p w:rsidR="00EE56C0" w:rsidRPr="005767FB" w:rsidRDefault="000F36A1">
            <w:pPr>
              <w:pStyle w:val="afa"/>
              <w:rPr>
                <w:u w:val="single"/>
              </w:rPr>
            </w:pPr>
            <w:r w:rsidRPr="005767FB">
              <w:rPr>
                <w:u w:val="single"/>
              </w:rPr>
              <w:t>0.0131</w:t>
            </w:r>
          </w:p>
        </w:tc>
        <w:tc>
          <w:tcPr>
            <w:tcW w:w="915"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19071707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65.51</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t>2</w:t>
            </w:r>
          </w:p>
        </w:tc>
        <w:tc>
          <w:tcPr>
            <w:tcW w:w="642" w:type="pct"/>
            <w:tcBorders>
              <w:right w:val="single" w:sz="4" w:space="0" w:color="auto"/>
            </w:tcBorders>
            <w:vAlign w:val="center"/>
          </w:tcPr>
          <w:p w:rsidR="00EE56C0" w:rsidRDefault="000F36A1">
            <w:pPr>
              <w:pStyle w:val="afa"/>
            </w:pPr>
            <w:r>
              <w:rPr>
                <w:rFonts w:hAnsi="宋体" w:hint="eastAsia"/>
              </w:rPr>
              <w:t>刘店村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98" w:type="pct"/>
            <w:tcBorders>
              <w:right w:val="single" w:sz="4" w:space="0" w:color="auto"/>
            </w:tcBorders>
            <w:vAlign w:val="center"/>
          </w:tcPr>
          <w:p w:rsidR="00EE56C0" w:rsidRPr="005767FB" w:rsidRDefault="000F36A1">
            <w:pPr>
              <w:pStyle w:val="afa"/>
              <w:rPr>
                <w:u w:val="single"/>
              </w:rPr>
            </w:pPr>
            <w:r w:rsidRPr="005767FB">
              <w:rPr>
                <w:u w:val="single"/>
              </w:rPr>
              <w:t>0.0013</w:t>
            </w:r>
          </w:p>
        </w:tc>
        <w:tc>
          <w:tcPr>
            <w:tcW w:w="915"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19042008</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6.26</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3</w:t>
            </w:r>
          </w:p>
        </w:tc>
        <w:tc>
          <w:tcPr>
            <w:tcW w:w="642" w:type="pct"/>
            <w:tcBorders>
              <w:right w:val="single" w:sz="4" w:space="0" w:color="auto"/>
            </w:tcBorders>
            <w:vAlign w:val="center"/>
          </w:tcPr>
          <w:p w:rsidR="00EE56C0" w:rsidRDefault="000F36A1">
            <w:pPr>
              <w:pStyle w:val="afa"/>
              <w:rPr>
                <w:rFonts w:hAnsi="宋体"/>
              </w:rPr>
            </w:pPr>
            <w:r>
              <w:rPr>
                <w:rFonts w:hAnsi="宋体" w:hint="eastAsia"/>
              </w:rPr>
              <w:t>马庄村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98" w:type="pct"/>
            <w:tcBorders>
              <w:right w:val="single" w:sz="4" w:space="0" w:color="auto"/>
            </w:tcBorders>
            <w:vAlign w:val="center"/>
          </w:tcPr>
          <w:p w:rsidR="00EE56C0" w:rsidRPr="005767FB" w:rsidRDefault="000F36A1">
            <w:pPr>
              <w:pStyle w:val="afa"/>
              <w:rPr>
                <w:u w:val="single"/>
              </w:rPr>
            </w:pPr>
            <w:r w:rsidRPr="005767FB">
              <w:rPr>
                <w:u w:val="single"/>
              </w:rPr>
              <w:t>0.0022</w:t>
            </w:r>
          </w:p>
        </w:tc>
        <w:tc>
          <w:tcPr>
            <w:tcW w:w="915"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19072107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11.03</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4</w:t>
            </w:r>
          </w:p>
        </w:tc>
        <w:tc>
          <w:tcPr>
            <w:tcW w:w="642" w:type="pct"/>
            <w:tcBorders>
              <w:right w:val="single" w:sz="4" w:space="0" w:color="auto"/>
            </w:tcBorders>
            <w:vAlign w:val="center"/>
          </w:tcPr>
          <w:p w:rsidR="00EE56C0" w:rsidRDefault="000F36A1">
            <w:pPr>
              <w:pStyle w:val="afa"/>
              <w:rPr>
                <w:rFonts w:hAnsi="宋体"/>
              </w:rPr>
            </w:pPr>
            <w:r>
              <w:rPr>
                <w:rFonts w:hAnsi="宋体" w:hint="eastAsia"/>
              </w:rPr>
              <w:t>康庄村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98" w:type="pct"/>
            <w:tcBorders>
              <w:right w:val="single" w:sz="4" w:space="0" w:color="auto"/>
            </w:tcBorders>
            <w:vAlign w:val="center"/>
          </w:tcPr>
          <w:p w:rsidR="00EE56C0" w:rsidRPr="005767FB" w:rsidRDefault="000F36A1">
            <w:pPr>
              <w:pStyle w:val="afa"/>
              <w:rPr>
                <w:u w:val="single"/>
              </w:rPr>
            </w:pPr>
            <w:r w:rsidRPr="005767FB">
              <w:rPr>
                <w:u w:val="single"/>
              </w:rPr>
              <w:t>0.0020</w:t>
            </w:r>
          </w:p>
        </w:tc>
        <w:tc>
          <w:tcPr>
            <w:tcW w:w="915"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19050307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10.00</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5</w:t>
            </w:r>
          </w:p>
        </w:tc>
        <w:tc>
          <w:tcPr>
            <w:tcW w:w="642" w:type="pct"/>
            <w:tcBorders>
              <w:right w:val="single" w:sz="4" w:space="0" w:color="auto"/>
            </w:tcBorders>
            <w:vAlign w:val="center"/>
          </w:tcPr>
          <w:p w:rsidR="00EE56C0" w:rsidRDefault="000F36A1">
            <w:pPr>
              <w:pStyle w:val="afa"/>
              <w:rPr>
                <w:rFonts w:hAnsi="宋体"/>
              </w:rPr>
            </w:pPr>
            <w:r>
              <w:rPr>
                <w:rFonts w:hAnsi="宋体" w:hint="eastAsia"/>
              </w:rPr>
              <w:t>府庄村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98" w:type="pct"/>
            <w:tcBorders>
              <w:right w:val="single" w:sz="4" w:space="0" w:color="auto"/>
            </w:tcBorders>
            <w:vAlign w:val="center"/>
          </w:tcPr>
          <w:p w:rsidR="00EE56C0" w:rsidRPr="005767FB" w:rsidRDefault="000F36A1">
            <w:pPr>
              <w:pStyle w:val="afa"/>
              <w:rPr>
                <w:u w:val="single"/>
              </w:rPr>
            </w:pPr>
            <w:r w:rsidRPr="005767FB">
              <w:rPr>
                <w:u w:val="single"/>
              </w:rPr>
              <w:t>0.0027</w:t>
            </w:r>
          </w:p>
        </w:tc>
        <w:tc>
          <w:tcPr>
            <w:tcW w:w="915"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19050107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13.73</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6</w:t>
            </w:r>
          </w:p>
        </w:tc>
        <w:tc>
          <w:tcPr>
            <w:tcW w:w="642" w:type="pct"/>
            <w:tcBorders>
              <w:right w:val="single" w:sz="4" w:space="0" w:color="auto"/>
            </w:tcBorders>
            <w:vAlign w:val="center"/>
          </w:tcPr>
          <w:p w:rsidR="00EE56C0" w:rsidRDefault="000F36A1">
            <w:pPr>
              <w:pStyle w:val="afa"/>
              <w:rPr>
                <w:rFonts w:hAnsi="宋体"/>
              </w:rPr>
            </w:pPr>
            <w:r>
              <w:rPr>
                <w:rFonts w:hAnsi="宋体" w:hint="eastAsia"/>
              </w:rPr>
              <w:t>大张庄村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98" w:type="pct"/>
            <w:tcBorders>
              <w:right w:val="single" w:sz="4" w:space="0" w:color="auto"/>
            </w:tcBorders>
            <w:vAlign w:val="center"/>
          </w:tcPr>
          <w:p w:rsidR="00EE56C0" w:rsidRPr="005767FB" w:rsidRDefault="000F36A1">
            <w:pPr>
              <w:pStyle w:val="afa"/>
              <w:rPr>
                <w:u w:val="single"/>
              </w:rPr>
            </w:pPr>
            <w:r w:rsidRPr="005767FB">
              <w:rPr>
                <w:u w:val="single"/>
              </w:rPr>
              <w:t>0.0008</w:t>
            </w:r>
          </w:p>
        </w:tc>
        <w:tc>
          <w:tcPr>
            <w:tcW w:w="915"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19070904</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3.97</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7</w:t>
            </w:r>
          </w:p>
        </w:tc>
        <w:tc>
          <w:tcPr>
            <w:tcW w:w="642" w:type="pct"/>
            <w:tcBorders>
              <w:right w:val="single" w:sz="4" w:space="0" w:color="auto"/>
            </w:tcBorders>
            <w:vAlign w:val="center"/>
          </w:tcPr>
          <w:p w:rsidR="00EE56C0" w:rsidRDefault="000F36A1">
            <w:pPr>
              <w:pStyle w:val="afa"/>
              <w:rPr>
                <w:rFonts w:hAnsi="宋体"/>
              </w:rPr>
            </w:pPr>
            <w:r>
              <w:rPr>
                <w:rFonts w:hAnsi="宋体" w:hint="eastAsia"/>
              </w:rPr>
              <w:t>大赵庄村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98" w:type="pct"/>
            <w:tcBorders>
              <w:right w:val="single" w:sz="4" w:space="0" w:color="auto"/>
            </w:tcBorders>
            <w:vAlign w:val="center"/>
          </w:tcPr>
          <w:p w:rsidR="00EE56C0" w:rsidRPr="005767FB" w:rsidRDefault="000F36A1">
            <w:pPr>
              <w:pStyle w:val="afa"/>
              <w:rPr>
                <w:u w:val="single"/>
              </w:rPr>
            </w:pPr>
            <w:r w:rsidRPr="005767FB">
              <w:rPr>
                <w:u w:val="single"/>
              </w:rPr>
              <w:t>0.0020</w:t>
            </w:r>
          </w:p>
        </w:tc>
        <w:tc>
          <w:tcPr>
            <w:tcW w:w="915"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19070207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10.14</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8</w:t>
            </w:r>
          </w:p>
        </w:tc>
        <w:tc>
          <w:tcPr>
            <w:tcW w:w="642" w:type="pct"/>
            <w:tcBorders>
              <w:right w:val="single" w:sz="4" w:space="0" w:color="auto"/>
            </w:tcBorders>
            <w:vAlign w:val="center"/>
          </w:tcPr>
          <w:p w:rsidR="00EE56C0" w:rsidRDefault="000F36A1">
            <w:pPr>
              <w:pStyle w:val="afa"/>
              <w:rPr>
                <w:rFonts w:hAnsi="宋体"/>
              </w:rPr>
            </w:pPr>
            <w:r>
              <w:rPr>
                <w:rFonts w:hAnsi="宋体" w:hint="eastAsia"/>
              </w:rPr>
              <w:t>丁庄村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98" w:type="pct"/>
            <w:tcBorders>
              <w:right w:val="single" w:sz="4" w:space="0" w:color="auto"/>
            </w:tcBorders>
            <w:vAlign w:val="center"/>
          </w:tcPr>
          <w:p w:rsidR="00EE56C0" w:rsidRPr="005767FB" w:rsidRDefault="000F36A1">
            <w:pPr>
              <w:pStyle w:val="afa"/>
              <w:rPr>
                <w:u w:val="single"/>
              </w:rPr>
            </w:pPr>
            <w:r w:rsidRPr="005767FB">
              <w:rPr>
                <w:u w:val="single"/>
              </w:rPr>
              <w:t>0.0010</w:t>
            </w:r>
          </w:p>
        </w:tc>
        <w:tc>
          <w:tcPr>
            <w:tcW w:w="915"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19020311</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4.85</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9</w:t>
            </w:r>
          </w:p>
        </w:tc>
        <w:tc>
          <w:tcPr>
            <w:tcW w:w="642" w:type="pct"/>
            <w:tcBorders>
              <w:right w:val="single" w:sz="4" w:space="0" w:color="auto"/>
            </w:tcBorders>
            <w:vAlign w:val="center"/>
          </w:tcPr>
          <w:p w:rsidR="00EE56C0" w:rsidRDefault="000F36A1">
            <w:pPr>
              <w:pStyle w:val="afa"/>
              <w:rPr>
                <w:rFonts w:hAnsi="宋体"/>
              </w:rPr>
            </w:pPr>
            <w:r>
              <w:rPr>
                <w:rFonts w:hAnsi="宋体" w:hint="eastAsia"/>
              </w:rPr>
              <w:t>刘八庄村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98" w:type="pct"/>
            <w:tcBorders>
              <w:right w:val="single" w:sz="4" w:space="0" w:color="auto"/>
            </w:tcBorders>
            <w:vAlign w:val="center"/>
          </w:tcPr>
          <w:p w:rsidR="00EE56C0" w:rsidRPr="005767FB" w:rsidRDefault="000F36A1">
            <w:pPr>
              <w:pStyle w:val="afa"/>
              <w:rPr>
                <w:u w:val="single"/>
              </w:rPr>
            </w:pPr>
            <w:r w:rsidRPr="005767FB">
              <w:rPr>
                <w:u w:val="single"/>
              </w:rPr>
              <w:t>0.0019</w:t>
            </w:r>
          </w:p>
        </w:tc>
        <w:tc>
          <w:tcPr>
            <w:tcW w:w="915"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19050307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9.36</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10</w:t>
            </w:r>
          </w:p>
        </w:tc>
        <w:tc>
          <w:tcPr>
            <w:tcW w:w="642" w:type="pct"/>
            <w:tcBorders>
              <w:right w:val="single" w:sz="4" w:space="0" w:color="auto"/>
            </w:tcBorders>
            <w:vAlign w:val="center"/>
          </w:tcPr>
          <w:p w:rsidR="00EE56C0" w:rsidRDefault="000F36A1">
            <w:pPr>
              <w:pStyle w:val="afa"/>
              <w:rPr>
                <w:rFonts w:hAnsi="宋体"/>
              </w:rPr>
            </w:pPr>
            <w:r>
              <w:rPr>
                <w:rFonts w:hAnsi="宋体" w:hint="eastAsia"/>
              </w:rPr>
              <w:t>王贵楼村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98"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915"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19050307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7.31</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11</w:t>
            </w:r>
          </w:p>
        </w:tc>
        <w:tc>
          <w:tcPr>
            <w:tcW w:w="642" w:type="pct"/>
            <w:tcBorders>
              <w:right w:val="single" w:sz="4" w:space="0" w:color="auto"/>
            </w:tcBorders>
            <w:vAlign w:val="center"/>
          </w:tcPr>
          <w:p w:rsidR="00EE56C0" w:rsidRDefault="000F36A1">
            <w:pPr>
              <w:pStyle w:val="afa"/>
            </w:pPr>
            <w:r>
              <w:rPr>
                <w:rFonts w:hAnsi="宋体" w:hint="eastAsia"/>
              </w:rPr>
              <w:t>罗滩村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98" w:type="pct"/>
            <w:tcBorders>
              <w:right w:val="single" w:sz="4" w:space="0" w:color="auto"/>
            </w:tcBorders>
            <w:vAlign w:val="center"/>
          </w:tcPr>
          <w:p w:rsidR="00EE56C0" w:rsidRPr="005767FB" w:rsidRDefault="000F36A1">
            <w:pPr>
              <w:pStyle w:val="afa"/>
              <w:rPr>
                <w:u w:val="single"/>
              </w:rPr>
            </w:pPr>
            <w:r w:rsidRPr="005767FB">
              <w:rPr>
                <w:u w:val="single"/>
              </w:rPr>
              <w:t>0.0012</w:t>
            </w:r>
          </w:p>
        </w:tc>
        <w:tc>
          <w:tcPr>
            <w:tcW w:w="915"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19011911</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6.14</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12</w:t>
            </w:r>
          </w:p>
        </w:tc>
        <w:tc>
          <w:tcPr>
            <w:tcW w:w="642" w:type="pct"/>
            <w:tcBorders>
              <w:right w:val="single" w:sz="4" w:space="0" w:color="auto"/>
            </w:tcBorders>
            <w:vAlign w:val="center"/>
          </w:tcPr>
          <w:p w:rsidR="00EE56C0" w:rsidRDefault="000F36A1">
            <w:pPr>
              <w:pStyle w:val="afa"/>
              <w:rPr>
                <w:rFonts w:hAnsi="宋体"/>
              </w:rPr>
            </w:pPr>
            <w:r>
              <w:rPr>
                <w:rFonts w:hAnsi="宋体" w:hint="eastAsia"/>
              </w:rPr>
              <w:t>杨庄村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98" w:type="pct"/>
            <w:tcBorders>
              <w:right w:val="single" w:sz="4" w:space="0" w:color="auto"/>
            </w:tcBorders>
            <w:vAlign w:val="center"/>
          </w:tcPr>
          <w:p w:rsidR="00EE56C0" w:rsidRPr="005767FB" w:rsidRDefault="000F36A1">
            <w:pPr>
              <w:pStyle w:val="afa"/>
              <w:rPr>
                <w:u w:val="single"/>
              </w:rPr>
            </w:pPr>
            <w:r w:rsidRPr="005767FB">
              <w:rPr>
                <w:u w:val="single"/>
              </w:rPr>
              <w:t>0.0014</w:t>
            </w:r>
          </w:p>
        </w:tc>
        <w:tc>
          <w:tcPr>
            <w:tcW w:w="915"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19111709</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7.02</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13</w:t>
            </w:r>
          </w:p>
        </w:tc>
        <w:tc>
          <w:tcPr>
            <w:tcW w:w="642" w:type="pct"/>
            <w:tcBorders>
              <w:right w:val="single" w:sz="4" w:space="0" w:color="auto"/>
            </w:tcBorders>
            <w:vAlign w:val="center"/>
          </w:tcPr>
          <w:p w:rsidR="00EE56C0" w:rsidRDefault="000F36A1">
            <w:pPr>
              <w:pStyle w:val="afa"/>
              <w:rPr>
                <w:rFonts w:hAnsi="宋体"/>
              </w:rPr>
            </w:pPr>
            <w:r>
              <w:rPr>
                <w:rFonts w:hAnsi="宋体" w:hint="eastAsia"/>
              </w:rPr>
              <w:t>杨堤村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98" w:type="pct"/>
            <w:tcBorders>
              <w:right w:val="single" w:sz="4" w:space="0" w:color="auto"/>
            </w:tcBorders>
            <w:vAlign w:val="center"/>
          </w:tcPr>
          <w:p w:rsidR="00EE56C0" w:rsidRPr="005767FB" w:rsidRDefault="000F36A1">
            <w:pPr>
              <w:pStyle w:val="afa"/>
              <w:rPr>
                <w:u w:val="single"/>
              </w:rPr>
            </w:pPr>
            <w:r w:rsidRPr="005767FB">
              <w:rPr>
                <w:u w:val="single"/>
              </w:rPr>
              <w:t>0.0012</w:t>
            </w:r>
          </w:p>
        </w:tc>
        <w:tc>
          <w:tcPr>
            <w:tcW w:w="915"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19070907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5.90</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14</w:t>
            </w:r>
          </w:p>
        </w:tc>
        <w:tc>
          <w:tcPr>
            <w:tcW w:w="642" w:type="pct"/>
            <w:tcBorders>
              <w:right w:val="single" w:sz="4" w:space="0" w:color="auto"/>
            </w:tcBorders>
            <w:vAlign w:val="center"/>
          </w:tcPr>
          <w:p w:rsidR="00EE56C0" w:rsidRDefault="000F36A1">
            <w:pPr>
              <w:pStyle w:val="afa"/>
              <w:rPr>
                <w:rFonts w:hAnsi="宋体"/>
              </w:rPr>
            </w:pPr>
            <w:r>
              <w:rPr>
                <w:rFonts w:hAnsi="宋体" w:hint="eastAsia"/>
              </w:rPr>
              <w:t>西曹村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98" w:type="pct"/>
            <w:tcBorders>
              <w:right w:val="single" w:sz="4" w:space="0" w:color="auto"/>
            </w:tcBorders>
            <w:vAlign w:val="center"/>
          </w:tcPr>
          <w:p w:rsidR="00EE56C0" w:rsidRPr="005767FB" w:rsidRDefault="000F36A1">
            <w:pPr>
              <w:pStyle w:val="afa"/>
              <w:rPr>
                <w:u w:val="single"/>
              </w:rPr>
            </w:pPr>
            <w:r w:rsidRPr="005767FB">
              <w:rPr>
                <w:u w:val="single"/>
              </w:rPr>
              <w:t>0.0036</w:t>
            </w:r>
          </w:p>
        </w:tc>
        <w:tc>
          <w:tcPr>
            <w:tcW w:w="915"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19070907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17.88</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15</w:t>
            </w:r>
          </w:p>
        </w:tc>
        <w:tc>
          <w:tcPr>
            <w:tcW w:w="642" w:type="pct"/>
            <w:tcBorders>
              <w:right w:val="single" w:sz="4" w:space="0" w:color="auto"/>
            </w:tcBorders>
            <w:vAlign w:val="center"/>
          </w:tcPr>
          <w:p w:rsidR="00EE56C0" w:rsidRDefault="000F36A1">
            <w:pPr>
              <w:pStyle w:val="afa"/>
              <w:rPr>
                <w:rFonts w:hAnsi="宋体"/>
              </w:rPr>
            </w:pPr>
            <w:r>
              <w:rPr>
                <w:rFonts w:hAnsi="宋体" w:hint="eastAsia"/>
              </w:rPr>
              <w:t>中曹村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98" w:type="pct"/>
            <w:tcBorders>
              <w:right w:val="single" w:sz="4" w:space="0" w:color="auto"/>
            </w:tcBorders>
            <w:vAlign w:val="center"/>
          </w:tcPr>
          <w:p w:rsidR="00EE56C0" w:rsidRPr="005767FB" w:rsidRDefault="000F36A1">
            <w:pPr>
              <w:pStyle w:val="afa"/>
              <w:rPr>
                <w:u w:val="single"/>
              </w:rPr>
            </w:pPr>
            <w:r w:rsidRPr="005767FB">
              <w:rPr>
                <w:u w:val="single"/>
              </w:rPr>
              <w:t>0.0029</w:t>
            </w:r>
          </w:p>
        </w:tc>
        <w:tc>
          <w:tcPr>
            <w:tcW w:w="915"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19070907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14.73</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16</w:t>
            </w:r>
          </w:p>
        </w:tc>
        <w:tc>
          <w:tcPr>
            <w:tcW w:w="642" w:type="pct"/>
            <w:tcBorders>
              <w:right w:val="single" w:sz="4" w:space="0" w:color="auto"/>
            </w:tcBorders>
            <w:vAlign w:val="center"/>
          </w:tcPr>
          <w:p w:rsidR="00EE56C0" w:rsidRDefault="000F36A1">
            <w:pPr>
              <w:pStyle w:val="afa"/>
              <w:rPr>
                <w:rFonts w:hAnsi="宋体"/>
              </w:rPr>
            </w:pPr>
            <w:r>
              <w:rPr>
                <w:rFonts w:hAnsi="宋体" w:hint="eastAsia"/>
              </w:rPr>
              <w:t>东曹村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98" w:type="pct"/>
            <w:tcBorders>
              <w:right w:val="single" w:sz="4" w:space="0" w:color="auto"/>
            </w:tcBorders>
            <w:vAlign w:val="center"/>
          </w:tcPr>
          <w:p w:rsidR="00EE56C0" w:rsidRPr="005767FB" w:rsidRDefault="000F36A1">
            <w:pPr>
              <w:pStyle w:val="afa"/>
              <w:rPr>
                <w:u w:val="single"/>
              </w:rPr>
            </w:pPr>
            <w:r w:rsidRPr="005767FB">
              <w:rPr>
                <w:u w:val="single"/>
              </w:rPr>
              <w:t>0.0027</w:t>
            </w:r>
          </w:p>
        </w:tc>
        <w:tc>
          <w:tcPr>
            <w:tcW w:w="915"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19022110</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13.36</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17</w:t>
            </w:r>
          </w:p>
        </w:tc>
        <w:tc>
          <w:tcPr>
            <w:tcW w:w="642" w:type="pct"/>
            <w:tcBorders>
              <w:right w:val="single" w:sz="4" w:space="0" w:color="auto"/>
            </w:tcBorders>
            <w:vAlign w:val="center"/>
          </w:tcPr>
          <w:p w:rsidR="00EE56C0" w:rsidRDefault="000F36A1">
            <w:pPr>
              <w:pStyle w:val="afa"/>
              <w:rPr>
                <w:rFonts w:hAnsi="宋体"/>
              </w:rPr>
            </w:pPr>
            <w:r>
              <w:rPr>
                <w:rFonts w:hAnsi="宋体" w:hint="eastAsia"/>
              </w:rPr>
              <w:t>七里营镇</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98" w:type="pct"/>
            <w:tcBorders>
              <w:right w:val="single" w:sz="4" w:space="0" w:color="auto"/>
            </w:tcBorders>
            <w:vAlign w:val="center"/>
          </w:tcPr>
          <w:p w:rsidR="00EE56C0" w:rsidRPr="005767FB" w:rsidRDefault="000F36A1">
            <w:pPr>
              <w:pStyle w:val="afa"/>
              <w:rPr>
                <w:u w:val="single"/>
              </w:rPr>
            </w:pPr>
            <w:r w:rsidRPr="005767FB">
              <w:rPr>
                <w:u w:val="single"/>
              </w:rPr>
              <w:t>0.0029</w:t>
            </w:r>
          </w:p>
        </w:tc>
        <w:tc>
          <w:tcPr>
            <w:tcW w:w="915"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19121910</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14.25</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18</w:t>
            </w:r>
          </w:p>
        </w:tc>
        <w:tc>
          <w:tcPr>
            <w:tcW w:w="642" w:type="pct"/>
            <w:tcBorders>
              <w:right w:val="single" w:sz="4" w:space="0" w:color="auto"/>
            </w:tcBorders>
            <w:vAlign w:val="center"/>
          </w:tcPr>
          <w:p w:rsidR="00EE56C0" w:rsidRDefault="000F36A1">
            <w:pPr>
              <w:pStyle w:val="afa"/>
              <w:rPr>
                <w:rFonts w:hAnsi="宋体"/>
              </w:rPr>
            </w:pPr>
            <w:r>
              <w:rPr>
                <w:rFonts w:hAnsi="宋体" w:hint="eastAsia"/>
              </w:rPr>
              <w:t>七二村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98" w:type="pct"/>
            <w:tcBorders>
              <w:right w:val="single" w:sz="4" w:space="0" w:color="auto"/>
            </w:tcBorders>
            <w:vAlign w:val="center"/>
          </w:tcPr>
          <w:p w:rsidR="00EE56C0" w:rsidRPr="005767FB" w:rsidRDefault="000F36A1">
            <w:pPr>
              <w:pStyle w:val="afa"/>
              <w:rPr>
                <w:u w:val="single"/>
              </w:rPr>
            </w:pPr>
            <w:r w:rsidRPr="005767FB">
              <w:rPr>
                <w:u w:val="single"/>
              </w:rPr>
              <w:t>0.0026</w:t>
            </w:r>
          </w:p>
        </w:tc>
        <w:tc>
          <w:tcPr>
            <w:tcW w:w="915"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19050408</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12.94</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19</w:t>
            </w:r>
          </w:p>
        </w:tc>
        <w:tc>
          <w:tcPr>
            <w:tcW w:w="642" w:type="pct"/>
            <w:tcBorders>
              <w:right w:val="single" w:sz="4" w:space="0" w:color="auto"/>
            </w:tcBorders>
            <w:vAlign w:val="center"/>
          </w:tcPr>
          <w:p w:rsidR="00EE56C0" w:rsidRDefault="000F36A1">
            <w:pPr>
              <w:pStyle w:val="afa"/>
            </w:pPr>
            <w:r>
              <w:rPr>
                <w:rFonts w:hAnsi="宋体" w:hint="eastAsia"/>
              </w:rPr>
              <w:t>刘庄</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98" w:type="pct"/>
            <w:tcBorders>
              <w:right w:val="single" w:sz="4" w:space="0" w:color="auto"/>
            </w:tcBorders>
            <w:vAlign w:val="center"/>
          </w:tcPr>
          <w:p w:rsidR="00EE56C0" w:rsidRPr="005767FB" w:rsidRDefault="000F36A1">
            <w:pPr>
              <w:pStyle w:val="afa"/>
              <w:rPr>
                <w:u w:val="single"/>
              </w:rPr>
            </w:pPr>
            <w:r w:rsidRPr="005767FB">
              <w:rPr>
                <w:u w:val="single"/>
              </w:rPr>
              <w:t>0.0028</w:t>
            </w:r>
          </w:p>
        </w:tc>
        <w:tc>
          <w:tcPr>
            <w:tcW w:w="915"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19051208</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13.98</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20</w:t>
            </w:r>
          </w:p>
        </w:tc>
        <w:tc>
          <w:tcPr>
            <w:tcW w:w="642" w:type="pct"/>
            <w:tcBorders>
              <w:right w:val="single" w:sz="4" w:space="0" w:color="auto"/>
            </w:tcBorders>
            <w:vAlign w:val="center"/>
          </w:tcPr>
          <w:p w:rsidR="00EE56C0" w:rsidRDefault="000F36A1">
            <w:pPr>
              <w:pStyle w:val="afa"/>
            </w:pPr>
            <w:r>
              <w:rPr>
                <w:rFonts w:hAnsi="宋体" w:hint="eastAsia"/>
              </w:rPr>
              <w:t>陈庄村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98" w:type="pct"/>
            <w:tcBorders>
              <w:right w:val="single" w:sz="4" w:space="0" w:color="auto"/>
            </w:tcBorders>
            <w:vAlign w:val="center"/>
          </w:tcPr>
          <w:p w:rsidR="00EE56C0" w:rsidRPr="005767FB" w:rsidRDefault="000F36A1">
            <w:pPr>
              <w:pStyle w:val="afa"/>
              <w:rPr>
                <w:u w:val="single"/>
              </w:rPr>
            </w:pPr>
            <w:r w:rsidRPr="005767FB">
              <w:rPr>
                <w:u w:val="single"/>
              </w:rPr>
              <w:t>0.0029</w:t>
            </w:r>
          </w:p>
        </w:tc>
        <w:tc>
          <w:tcPr>
            <w:tcW w:w="915"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19051208</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14.35</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21</w:t>
            </w:r>
          </w:p>
        </w:tc>
        <w:tc>
          <w:tcPr>
            <w:tcW w:w="642" w:type="pct"/>
            <w:tcBorders>
              <w:right w:val="single" w:sz="4" w:space="0" w:color="auto"/>
            </w:tcBorders>
            <w:vAlign w:val="center"/>
          </w:tcPr>
          <w:p w:rsidR="00EE56C0" w:rsidRDefault="000F36A1">
            <w:pPr>
              <w:pStyle w:val="afa"/>
              <w:rPr>
                <w:rFonts w:hAnsi="宋体"/>
              </w:rPr>
            </w:pPr>
            <w:r>
              <w:rPr>
                <w:rFonts w:hAnsi="宋体" w:hint="eastAsia"/>
                <w:bCs/>
              </w:rPr>
              <w:t>位庄村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98" w:type="pct"/>
            <w:tcBorders>
              <w:right w:val="single" w:sz="4" w:space="0" w:color="auto"/>
            </w:tcBorders>
            <w:vAlign w:val="center"/>
          </w:tcPr>
          <w:p w:rsidR="00EE56C0" w:rsidRPr="005767FB" w:rsidRDefault="000F36A1">
            <w:pPr>
              <w:pStyle w:val="afa"/>
              <w:rPr>
                <w:u w:val="single"/>
              </w:rPr>
            </w:pPr>
            <w:r w:rsidRPr="005767FB">
              <w:rPr>
                <w:u w:val="single"/>
              </w:rPr>
              <w:t>0.0007</w:t>
            </w:r>
          </w:p>
        </w:tc>
        <w:tc>
          <w:tcPr>
            <w:tcW w:w="915"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19080923</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3.27</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22</w:t>
            </w:r>
          </w:p>
        </w:tc>
        <w:tc>
          <w:tcPr>
            <w:tcW w:w="642" w:type="pct"/>
            <w:tcBorders>
              <w:right w:val="single" w:sz="4" w:space="0" w:color="auto"/>
            </w:tcBorders>
            <w:vAlign w:val="center"/>
          </w:tcPr>
          <w:p w:rsidR="00EE56C0" w:rsidRDefault="000F36A1">
            <w:pPr>
              <w:pStyle w:val="afa"/>
              <w:rPr>
                <w:rFonts w:hAnsi="宋体"/>
              </w:rPr>
            </w:pPr>
            <w:r>
              <w:rPr>
                <w:rFonts w:hAnsi="宋体" w:hint="eastAsia"/>
              </w:rPr>
              <w:t>南魏庄</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98" w:type="pct"/>
            <w:tcBorders>
              <w:right w:val="single" w:sz="4" w:space="0" w:color="auto"/>
            </w:tcBorders>
            <w:vAlign w:val="center"/>
          </w:tcPr>
          <w:p w:rsidR="00EE56C0" w:rsidRPr="005767FB" w:rsidRDefault="000F36A1">
            <w:pPr>
              <w:pStyle w:val="afa"/>
              <w:rPr>
                <w:u w:val="single"/>
              </w:rPr>
            </w:pPr>
            <w:r w:rsidRPr="005767FB">
              <w:rPr>
                <w:u w:val="single"/>
              </w:rPr>
              <w:t>0.0008</w:t>
            </w:r>
          </w:p>
        </w:tc>
        <w:tc>
          <w:tcPr>
            <w:tcW w:w="915"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19112309</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4.18</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lastRenderedPageBreak/>
              <w:t>23</w:t>
            </w:r>
          </w:p>
        </w:tc>
        <w:tc>
          <w:tcPr>
            <w:tcW w:w="642" w:type="pct"/>
            <w:tcBorders>
              <w:right w:val="single" w:sz="4" w:space="0" w:color="auto"/>
            </w:tcBorders>
            <w:vAlign w:val="center"/>
          </w:tcPr>
          <w:p w:rsidR="00EE56C0" w:rsidRDefault="000F36A1">
            <w:pPr>
              <w:pStyle w:val="afa"/>
              <w:rPr>
                <w:rFonts w:hAnsi="宋体"/>
              </w:rPr>
            </w:pPr>
            <w:r>
              <w:rPr>
                <w:rFonts w:hAnsi="宋体" w:hint="eastAsia"/>
              </w:rPr>
              <w:t>曹庄村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98" w:type="pct"/>
            <w:tcBorders>
              <w:right w:val="single" w:sz="4" w:space="0" w:color="auto"/>
            </w:tcBorders>
            <w:vAlign w:val="center"/>
          </w:tcPr>
          <w:p w:rsidR="00EE56C0" w:rsidRPr="005767FB" w:rsidRDefault="000F36A1">
            <w:pPr>
              <w:pStyle w:val="afa"/>
              <w:rPr>
                <w:u w:val="single"/>
              </w:rPr>
            </w:pPr>
            <w:r w:rsidRPr="005767FB">
              <w:rPr>
                <w:u w:val="single"/>
              </w:rPr>
              <w:t>0.0011</w:t>
            </w:r>
          </w:p>
        </w:tc>
        <w:tc>
          <w:tcPr>
            <w:tcW w:w="915"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19060607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5.68</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24</w:t>
            </w:r>
          </w:p>
        </w:tc>
        <w:tc>
          <w:tcPr>
            <w:tcW w:w="642" w:type="pct"/>
            <w:tcBorders>
              <w:right w:val="single" w:sz="4" w:space="0" w:color="auto"/>
            </w:tcBorders>
            <w:vAlign w:val="center"/>
          </w:tcPr>
          <w:p w:rsidR="00EE56C0" w:rsidRDefault="000F36A1">
            <w:pPr>
              <w:pStyle w:val="afa"/>
            </w:pPr>
            <w:r>
              <w:rPr>
                <w:rFonts w:hint="eastAsia"/>
              </w:rPr>
              <w:t>新</w:t>
            </w:r>
            <w:r>
              <w:rPr>
                <w:rFonts w:hAnsi="宋体" w:hint="eastAsia"/>
              </w:rPr>
              <w:t>庄</w:t>
            </w:r>
            <w:r>
              <w:rPr>
                <w:rFonts w:hint="eastAsia"/>
              </w:rPr>
              <w:t>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98" w:type="pct"/>
            <w:tcBorders>
              <w:right w:val="single" w:sz="4" w:space="0" w:color="auto"/>
            </w:tcBorders>
            <w:vAlign w:val="center"/>
          </w:tcPr>
          <w:p w:rsidR="00EE56C0" w:rsidRPr="005767FB" w:rsidRDefault="000F36A1">
            <w:pPr>
              <w:pStyle w:val="afa"/>
              <w:rPr>
                <w:u w:val="single"/>
              </w:rPr>
            </w:pPr>
            <w:r w:rsidRPr="005767FB">
              <w:rPr>
                <w:u w:val="single"/>
              </w:rPr>
              <w:t>0.0009</w:t>
            </w:r>
          </w:p>
        </w:tc>
        <w:tc>
          <w:tcPr>
            <w:tcW w:w="915"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19080922</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4.41</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25</w:t>
            </w:r>
          </w:p>
        </w:tc>
        <w:tc>
          <w:tcPr>
            <w:tcW w:w="642" w:type="pct"/>
            <w:tcBorders>
              <w:right w:val="single" w:sz="4" w:space="0" w:color="auto"/>
            </w:tcBorders>
            <w:vAlign w:val="center"/>
          </w:tcPr>
          <w:p w:rsidR="00EE56C0" w:rsidRDefault="000F36A1">
            <w:pPr>
              <w:pStyle w:val="afa"/>
            </w:pPr>
            <w:r>
              <w:rPr>
                <w:rFonts w:hint="eastAsia"/>
              </w:rPr>
              <w:t>刘纪岗</w:t>
            </w:r>
            <w:r>
              <w:rPr>
                <w:rFonts w:hAnsi="宋体" w:hint="eastAsia"/>
              </w:rPr>
              <w:t>庄</w:t>
            </w:r>
            <w:r>
              <w:rPr>
                <w:rFonts w:hint="eastAsia"/>
              </w:rPr>
              <w:t>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98" w:type="pct"/>
            <w:tcBorders>
              <w:right w:val="single" w:sz="4" w:space="0" w:color="auto"/>
            </w:tcBorders>
            <w:vAlign w:val="center"/>
          </w:tcPr>
          <w:p w:rsidR="00EE56C0" w:rsidRPr="005767FB" w:rsidRDefault="000F36A1">
            <w:pPr>
              <w:pStyle w:val="afa"/>
              <w:rPr>
                <w:u w:val="single"/>
              </w:rPr>
            </w:pPr>
            <w:r w:rsidRPr="005767FB">
              <w:rPr>
                <w:u w:val="single"/>
              </w:rPr>
              <w:t>0.0008</w:t>
            </w:r>
          </w:p>
        </w:tc>
        <w:tc>
          <w:tcPr>
            <w:tcW w:w="915"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19073005</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4.13</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26</w:t>
            </w:r>
          </w:p>
        </w:tc>
        <w:tc>
          <w:tcPr>
            <w:tcW w:w="642" w:type="pct"/>
            <w:tcBorders>
              <w:right w:val="single" w:sz="4" w:space="0" w:color="auto"/>
            </w:tcBorders>
            <w:vAlign w:val="center"/>
          </w:tcPr>
          <w:p w:rsidR="00EE56C0" w:rsidRDefault="000F36A1">
            <w:pPr>
              <w:pStyle w:val="afa"/>
            </w:pPr>
            <w:r>
              <w:rPr>
                <w:rFonts w:hint="eastAsia"/>
              </w:rPr>
              <w:t>小张庄村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98" w:type="pct"/>
            <w:tcBorders>
              <w:right w:val="single" w:sz="4" w:space="0" w:color="auto"/>
            </w:tcBorders>
            <w:vAlign w:val="center"/>
          </w:tcPr>
          <w:p w:rsidR="00EE56C0" w:rsidRPr="005767FB" w:rsidRDefault="000F36A1">
            <w:pPr>
              <w:pStyle w:val="afa"/>
              <w:rPr>
                <w:u w:val="single"/>
              </w:rPr>
            </w:pPr>
            <w:r w:rsidRPr="005767FB">
              <w:rPr>
                <w:u w:val="single"/>
              </w:rPr>
              <w:t>0.0007</w:t>
            </w:r>
          </w:p>
        </w:tc>
        <w:tc>
          <w:tcPr>
            <w:tcW w:w="915"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19082021</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3.51</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27</w:t>
            </w:r>
          </w:p>
        </w:tc>
        <w:tc>
          <w:tcPr>
            <w:tcW w:w="642" w:type="pct"/>
            <w:tcBorders>
              <w:right w:val="single" w:sz="4" w:space="0" w:color="auto"/>
            </w:tcBorders>
            <w:vAlign w:val="center"/>
          </w:tcPr>
          <w:p w:rsidR="00EE56C0" w:rsidRDefault="000F36A1">
            <w:pPr>
              <w:pStyle w:val="afa"/>
            </w:pPr>
            <w:r>
              <w:rPr>
                <w:rFonts w:hint="eastAsia"/>
              </w:rPr>
              <w:t>苗庄村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98" w:type="pct"/>
            <w:tcBorders>
              <w:right w:val="single" w:sz="4" w:space="0" w:color="auto"/>
            </w:tcBorders>
            <w:vAlign w:val="center"/>
          </w:tcPr>
          <w:p w:rsidR="00EE56C0" w:rsidRPr="005767FB" w:rsidRDefault="000F36A1">
            <w:pPr>
              <w:pStyle w:val="afa"/>
              <w:rPr>
                <w:u w:val="single"/>
              </w:rPr>
            </w:pPr>
            <w:r w:rsidRPr="005767FB">
              <w:rPr>
                <w:u w:val="single"/>
              </w:rPr>
              <w:t>0.0007</w:t>
            </w:r>
          </w:p>
        </w:tc>
        <w:tc>
          <w:tcPr>
            <w:tcW w:w="915"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19082021</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3.51</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28</w:t>
            </w:r>
          </w:p>
        </w:tc>
        <w:tc>
          <w:tcPr>
            <w:tcW w:w="642" w:type="pct"/>
            <w:tcBorders>
              <w:right w:val="single" w:sz="4" w:space="0" w:color="auto"/>
            </w:tcBorders>
            <w:vAlign w:val="center"/>
          </w:tcPr>
          <w:p w:rsidR="00EE56C0" w:rsidRDefault="000F36A1">
            <w:pPr>
              <w:pStyle w:val="afa"/>
            </w:pPr>
            <w:r>
              <w:rPr>
                <w:rFonts w:hint="eastAsia"/>
              </w:rPr>
              <w:t>沟王村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98" w:type="pct"/>
            <w:tcBorders>
              <w:right w:val="single" w:sz="4" w:space="0" w:color="auto"/>
            </w:tcBorders>
            <w:vAlign w:val="center"/>
          </w:tcPr>
          <w:p w:rsidR="00EE56C0" w:rsidRPr="005767FB" w:rsidRDefault="000F36A1">
            <w:pPr>
              <w:pStyle w:val="afa"/>
              <w:rPr>
                <w:u w:val="single"/>
              </w:rPr>
            </w:pPr>
            <w:r w:rsidRPr="005767FB">
              <w:rPr>
                <w:u w:val="single"/>
              </w:rPr>
              <w:t>0.0019</w:t>
            </w:r>
          </w:p>
        </w:tc>
        <w:tc>
          <w:tcPr>
            <w:tcW w:w="915"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19051208</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9.57</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29</w:t>
            </w:r>
          </w:p>
        </w:tc>
        <w:tc>
          <w:tcPr>
            <w:tcW w:w="642" w:type="pct"/>
            <w:tcBorders>
              <w:right w:val="single" w:sz="4" w:space="0" w:color="auto"/>
            </w:tcBorders>
            <w:vAlign w:val="center"/>
          </w:tcPr>
          <w:p w:rsidR="00EE56C0" w:rsidRDefault="000F36A1">
            <w:pPr>
              <w:pStyle w:val="afa"/>
            </w:pPr>
            <w:r>
              <w:rPr>
                <w:rFonts w:hint="eastAsia"/>
              </w:rPr>
              <w:t>八柳树村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98" w:type="pct"/>
            <w:tcBorders>
              <w:right w:val="single" w:sz="4" w:space="0" w:color="auto"/>
            </w:tcBorders>
            <w:vAlign w:val="center"/>
          </w:tcPr>
          <w:p w:rsidR="00EE56C0" w:rsidRPr="005767FB" w:rsidRDefault="000F36A1">
            <w:pPr>
              <w:pStyle w:val="afa"/>
              <w:rPr>
                <w:u w:val="single"/>
              </w:rPr>
            </w:pPr>
            <w:r w:rsidRPr="005767FB">
              <w:rPr>
                <w:u w:val="single"/>
              </w:rPr>
              <w:t>0.0009</w:t>
            </w:r>
          </w:p>
        </w:tc>
        <w:tc>
          <w:tcPr>
            <w:tcW w:w="915"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19060401</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4.36</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30</w:t>
            </w:r>
          </w:p>
        </w:tc>
        <w:tc>
          <w:tcPr>
            <w:tcW w:w="642" w:type="pct"/>
            <w:tcBorders>
              <w:right w:val="single" w:sz="4" w:space="0" w:color="auto"/>
            </w:tcBorders>
            <w:vAlign w:val="center"/>
          </w:tcPr>
          <w:p w:rsidR="00EE56C0" w:rsidRDefault="000F36A1">
            <w:pPr>
              <w:pStyle w:val="afa"/>
            </w:pPr>
            <w:r>
              <w:rPr>
                <w:rFonts w:hint="eastAsia"/>
              </w:rPr>
              <w:t>宋庄村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98" w:type="pct"/>
            <w:tcBorders>
              <w:right w:val="single" w:sz="4" w:space="0" w:color="auto"/>
            </w:tcBorders>
            <w:vAlign w:val="center"/>
          </w:tcPr>
          <w:p w:rsidR="00EE56C0" w:rsidRPr="005767FB" w:rsidRDefault="000F36A1">
            <w:pPr>
              <w:pStyle w:val="afa"/>
              <w:rPr>
                <w:u w:val="single"/>
              </w:rPr>
            </w:pPr>
            <w:r w:rsidRPr="005767FB">
              <w:rPr>
                <w:u w:val="single"/>
              </w:rPr>
              <w:t>0.0013</w:t>
            </w:r>
          </w:p>
        </w:tc>
        <w:tc>
          <w:tcPr>
            <w:tcW w:w="915"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19051207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6.46</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31</w:t>
            </w:r>
          </w:p>
        </w:tc>
        <w:tc>
          <w:tcPr>
            <w:tcW w:w="642" w:type="pct"/>
            <w:tcBorders>
              <w:right w:val="single" w:sz="4" w:space="0" w:color="auto"/>
            </w:tcBorders>
            <w:vAlign w:val="center"/>
          </w:tcPr>
          <w:p w:rsidR="00EE56C0" w:rsidRDefault="000F36A1">
            <w:pPr>
              <w:pStyle w:val="afa"/>
            </w:pPr>
            <w:r>
              <w:rPr>
                <w:rFonts w:hint="eastAsia"/>
              </w:rPr>
              <w:t>东王庄村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98" w:type="pct"/>
            <w:tcBorders>
              <w:right w:val="single" w:sz="4" w:space="0" w:color="auto"/>
            </w:tcBorders>
            <w:vAlign w:val="center"/>
          </w:tcPr>
          <w:p w:rsidR="00EE56C0" w:rsidRPr="005767FB" w:rsidRDefault="000F36A1">
            <w:pPr>
              <w:pStyle w:val="afa"/>
              <w:rPr>
                <w:u w:val="single"/>
              </w:rPr>
            </w:pPr>
            <w:r w:rsidRPr="005767FB">
              <w:rPr>
                <w:u w:val="single"/>
              </w:rPr>
              <w:t>0.0010</w:t>
            </w:r>
          </w:p>
        </w:tc>
        <w:tc>
          <w:tcPr>
            <w:tcW w:w="915"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19031808</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4.98</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32</w:t>
            </w:r>
          </w:p>
        </w:tc>
        <w:tc>
          <w:tcPr>
            <w:tcW w:w="642" w:type="pct"/>
            <w:tcBorders>
              <w:right w:val="single" w:sz="4" w:space="0" w:color="auto"/>
            </w:tcBorders>
            <w:vAlign w:val="center"/>
          </w:tcPr>
          <w:p w:rsidR="00EE56C0" w:rsidRDefault="000F36A1">
            <w:pPr>
              <w:pStyle w:val="afa"/>
            </w:pPr>
            <w:r>
              <w:rPr>
                <w:rFonts w:hint="eastAsia"/>
              </w:rPr>
              <w:t>大兴村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98" w:type="pct"/>
            <w:tcBorders>
              <w:right w:val="single" w:sz="4" w:space="0" w:color="auto"/>
            </w:tcBorders>
            <w:vAlign w:val="center"/>
          </w:tcPr>
          <w:p w:rsidR="00EE56C0" w:rsidRPr="005767FB" w:rsidRDefault="000F36A1">
            <w:pPr>
              <w:pStyle w:val="afa"/>
              <w:rPr>
                <w:u w:val="single"/>
              </w:rPr>
            </w:pPr>
            <w:r w:rsidRPr="005767FB">
              <w:rPr>
                <w:u w:val="single"/>
              </w:rPr>
              <w:t>0.0012</w:t>
            </w:r>
          </w:p>
        </w:tc>
        <w:tc>
          <w:tcPr>
            <w:tcW w:w="915"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19041208</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6.05</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33</w:t>
            </w:r>
          </w:p>
        </w:tc>
        <w:tc>
          <w:tcPr>
            <w:tcW w:w="642" w:type="pct"/>
            <w:tcBorders>
              <w:right w:val="single" w:sz="4" w:space="0" w:color="auto"/>
            </w:tcBorders>
            <w:vAlign w:val="center"/>
          </w:tcPr>
          <w:p w:rsidR="00EE56C0" w:rsidRDefault="000F36A1">
            <w:pPr>
              <w:pStyle w:val="afa"/>
            </w:pPr>
            <w:r>
              <w:rPr>
                <w:rFonts w:hint="eastAsia"/>
              </w:rPr>
              <w:t>东贾城村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98" w:type="pct"/>
            <w:tcBorders>
              <w:right w:val="single" w:sz="4" w:space="0" w:color="auto"/>
            </w:tcBorders>
            <w:vAlign w:val="center"/>
          </w:tcPr>
          <w:p w:rsidR="00EE56C0" w:rsidRPr="005767FB" w:rsidRDefault="000F36A1">
            <w:pPr>
              <w:pStyle w:val="afa"/>
              <w:rPr>
                <w:u w:val="single"/>
              </w:rPr>
            </w:pPr>
            <w:r w:rsidRPr="005767FB">
              <w:rPr>
                <w:u w:val="single"/>
              </w:rPr>
              <w:t>0.0019</w:t>
            </w:r>
          </w:p>
        </w:tc>
        <w:tc>
          <w:tcPr>
            <w:tcW w:w="915"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19031908</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9.43</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34</w:t>
            </w:r>
          </w:p>
        </w:tc>
        <w:tc>
          <w:tcPr>
            <w:tcW w:w="642" w:type="pct"/>
            <w:tcBorders>
              <w:right w:val="single" w:sz="4" w:space="0" w:color="auto"/>
            </w:tcBorders>
            <w:vAlign w:val="center"/>
          </w:tcPr>
          <w:p w:rsidR="00EE56C0" w:rsidRDefault="000F36A1">
            <w:pPr>
              <w:pStyle w:val="afa"/>
            </w:pPr>
            <w:r>
              <w:rPr>
                <w:rFonts w:hint="eastAsia"/>
              </w:rPr>
              <w:t>高村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98" w:type="pct"/>
            <w:tcBorders>
              <w:right w:val="single" w:sz="4" w:space="0" w:color="auto"/>
            </w:tcBorders>
            <w:vAlign w:val="center"/>
          </w:tcPr>
          <w:p w:rsidR="00EE56C0" w:rsidRPr="005767FB" w:rsidRDefault="000F36A1">
            <w:pPr>
              <w:pStyle w:val="afa"/>
              <w:rPr>
                <w:u w:val="single"/>
              </w:rPr>
            </w:pPr>
            <w:r w:rsidRPr="005767FB">
              <w:rPr>
                <w:u w:val="single"/>
              </w:rPr>
              <w:t>0.0010</w:t>
            </w:r>
          </w:p>
        </w:tc>
        <w:tc>
          <w:tcPr>
            <w:tcW w:w="915"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19051607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4.98</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35</w:t>
            </w:r>
          </w:p>
        </w:tc>
        <w:tc>
          <w:tcPr>
            <w:tcW w:w="642" w:type="pct"/>
            <w:tcBorders>
              <w:right w:val="single" w:sz="4" w:space="0" w:color="auto"/>
            </w:tcBorders>
            <w:vAlign w:val="center"/>
          </w:tcPr>
          <w:p w:rsidR="00EE56C0" w:rsidRDefault="000F36A1">
            <w:pPr>
              <w:pStyle w:val="afa"/>
            </w:pPr>
            <w:r>
              <w:rPr>
                <w:rFonts w:hint="eastAsia"/>
              </w:rPr>
              <w:t>侯庄村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98" w:type="pct"/>
            <w:tcBorders>
              <w:right w:val="single" w:sz="4" w:space="0" w:color="auto"/>
            </w:tcBorders>
            <w:vAlign w:val="center"/>
          </w:tcPr>
          <w:p w:rsidR="00EE56C0" w:rsidRPr="005767FB" w:rsidRDefault="000F36A1">
            <w:pPr>
              <w:pStyle w:val="afa"/>
              <w:rPr>
                <w:u w:val="single"/>
              </w:rPr>
            </w:pPr>
            <w:r w:rsidRPr="005767FB">
              <w:rPr>
                <w:u w:val="single"/>
              </w:rPr>
              <w:t>0.0010</w:t>
            </w:r>
          </w:p>
        </w:tc>
        <w:tc>
          <w:tcPr>
            <w:tcW w:w="915"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19102409</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5.16</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36</w:t>
            </w:r>
          </w:p>
        </w:tc>
        <w:tc>
          <w:tcPr>
            <w:tcW w:w="642" w:type="pct"/>
            <w:tcBorders>
              <w:right w:val="single" w:sz="4" w:space="0" w:color="auto"/>
            </w:tcBorders>
            <w:vAlign w:val="center"/>
          </w:tcPr>
          <w:p w:rsidR="00EE56C0" w:rsidRDefault="000F36A1">
            <w:pPr>
              <w:pStyle w:val="afa"/>
            </w:pPr>
            <w:r>
              <w:rPr>
                <w:rFonts w:hint="eastAsia"/>
              </w:rPr>
              <w:t>东石碑村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98" w:type="pct"/>
            <w:tcBorders>
              <w:right w:val="single" w:sz="4" w:space="0" w:color="auto"/>
            </w:tcBorders>
            <w:vAlign w:val="center"/>
          </w:tcPr>
          <w:p w:rsidR="00EE56C0" w:rsidRPr="005767FB" w:rsidRDefault="000F36A1">
            <w:pPr>
              <w:pStyle w:val="afa"/>
              <w:rPr>
                <w:u w:val="single"/>
              </w:rPr>
            </w:pPr>
            <w:r w:rsidRPr="005767FB">
              <w:rPr>
                <w:u w:val="single"/>
              </w:rPr>
              <w:t>0.0019</w:t>
            </w:r>
          </w:p>
        </w:tc>
        <w:tc>
          <w:tcPr>
            <w:tcW w:w="915"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19120910</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9.44</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37</w:t>
            </w:r>
          </w:p>
        </w:tc>
        <w:tc>
          <w:tcPr>
            <w:tcW w:w="642" w:type="pct"/>
            <w:tcBorders>
              <w:right w:val="single" w:sz="4" w:space="0" w:color="auto"/>
            </w:tcBorders>
            <w:vAlign w:val="center"/>
          </w:tcPr>
          <w:p w:rsidR="00EE56C0" w:rsidRDefault="000F36A1">
            <w:pPr>
              <w:pStyle w:val="afa"/>
            </w:pPr>
            <w:r>
              <w:rPr>
                <w:rFonts w:hint="eastAsia"/>
              </w:rPr>
              <w:t>杏庄村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98" w:type="pct"/>
            <w:tcBorders>
              <w:right w:val="single" w:sz="4" w:space="0" w:color="auto"/>
            </w:tcBorders>
            <w:vAlign w:val="center"/>
          </w:tcPr>
          <w:p w:rsidR="00EE56C0" w:rsidRPr="005767FB" w:rsidRDefault="000F36A1">
            <w:pPr>
              <w:pStyle w:val="afa"/>
              <w:rPr>
                <w:u w:val="single"/>
              </w:rPr>
            </w:pPr>
            <w:r w:rsidRPr="005767FB">
              <w:rPr>
                <w:u w:val="single"/>
              </w:rPr>
              <w:t>0.0017</w:t>
            </w:r>
          </w:p>
        </w:tc>
        <w:tc>
          <w:tcPr>
            <w:tcW w:w="915"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19120910</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8.30</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38</w:t>
            </w:r>
          </w:p>
        </w:tc>
        <w:tc>
          <w:tcPr>
            <w:tcW w:w="642" w:type="pct"/>
            <w:tcBorders>
              <w:right w:val="single" w:sz="4" w:space="0" w:color="auto"/>
            </w:tcBorders>
            <w:vAlign w:val="center"/>
          </w:tcPr>
          <w:p w:rsidR="00EE56C0" w:rsidRDefault="000F36A1">
            <w:pPr>
              <w:pStyle w:val="afa"/>
            </w:pPr>
            <w:r>
              <w:rPr>
                <w:rFonts w:hint="eastAsia"/>
              </w:rPr>
              <w:t>敦留店村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98" w:type="pct"/>
            <w:tcBorders>
              <w:right w:val="single" w:sz="4" w:space="0" w:color="auto"/>
            </w:tcBorders>
            <w:vAlign w:val="center"/>
          </w:tcPr>
          <w:p w:rsidR="00EE56C0" w:rsidRPr="005767FB" w:rsidRDefault="000F36A1">
            <w:pPr>
              <w:pStyle w:val="afa"/>
              <w:rPr>
                <w:u w:val="single"/>
              </w:rPr>
            </w:pPr>
            <w:r w:rsidRPr="005767FB">
              <w:rPr>
                <w:u w:val="single"/>
              </w:rPr>
              <w:t>0.0019</w:t>
            </w:r>
          </w:p>
        </w:tc>
        <w:tc>
          <w:tcPr>
            <w:tcW w:w="915"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19070907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9.55</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39</w:t>
            </w:r>
          </w:p>
        </w:tc>
        <w:tc>
          <w:tcPr>
            <w:tcW w:w="642" w:type="pct"/>
            <w:tcBorders>
              <w:right w:val="single" w:sz="4" w:space="0" w:color="auto"/>
            </w:tcBorders>
            <w:vAlign w:val="center"/>
          </w:tcPr>
          <w:p w:rsidR="00EE56C0" w:rsidRDefault="000F36A1">
            <w:pPr>
              <w:pStyle w:val="afa"/>
            </w:pPr>
            <w:r>
              <w:rPr>
                <w:rFonts w:hint="eastAsia"/>
              </w:rPr>
              <w:t>李道堤村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98" w:type="pct"/>
            <w:tcBorders>
              <w:right w:val="single" w:sz="4" w:space="0" w:color="auto"/>
            </w:tcBorders>
            <w:vAlign w:val="center"/>
          </w:tcPr>
          <w:p w:rsidR="00EE56C0" w:rsidRPr="005767FB" w:rsidRDefault="000F36A1">
            <w:pPr>
              <w:pStyle w:val="afa"/>
              <w:rPr>
                <w:u w:val="single"/>
              </w:rPr>
            </w:pPr>
            <w:r w:rsidRPr="005767FB">
              <w:rPr>
                <w:u w:val="single"/>
              </w:rPr>
              <w:t>0.0017</w:t>
            </w:r>
          </w:p>
        </w:tc>
        <w:tc>
          <w:tcPr>
            <w:tcW w:w="915"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19070907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8.47</w:t>
            </w:r>
          </w:p>
        </w:tc>
        <w:tc>
          <w:tcPr>
            <w:tcW w:w="698" w:type="pct"/>
            <w:vAlign w:val="center"/>
          </w:tcPr>
          <w:p w:rsidR="00EE56C0" w:rsidRDefault="000F36A1">
            <w:pPr>
              <w:pStyle w:val="afa"/>
            </w:pPr>
            <w:r>
              <w:rPr>
                <w:rFonts w:hint="eastAsia"/>
              </w:rPr>
              <w:t>达标</w:t>
            </w:r>
          </w:p>
        </w:tc>
      </w:tr>
    </w:tbl>
    <w:p w:rsidR="00EE56C0" w:rsidRDefault="000F36A1">
      <w:pPr>
        <w:pStyle w:val="afd"/>
        <w:spacing w:before="120" w:after="120"/>
        <w:ind w:firstLine="482"/>
      </w:pPr>
      <w:r>
        <w:t>表</w:t>
      </w:r>
      <w:r>
        <w:t>5-</w:t>
      </w:r>
      <w:r>
        <w:rPr>
          <w:rFonts w:hint="eastAsia"/>
        </w:rPr>
        <w:t xml:space="preserve">25              </w:t>
      </w:r>
      <w:r>
        <w:rPr>
          <w:rFonts w:hint="eastAsia"/>
        </w:rPr>
        <w:t>非甲烷总烃浓度最大贡献值</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573"/>
        <w:gridCol w:w="1095"/>
        <w:gridCol w:w="1274"/>
        <w:gridCol w:w="1986"/>
        <w:gridCol w:w="1276"/>
        <w:gridCol w:w="1134"/>
        <w:gridCol w:w="1191"/>
      </w:tblGrid>
      <w:tr w:rsidR="00EE56C0">
        <w:trPr>
          <w:trHeight w:val="425"/>
          <w:tblHeader/>
          <w:jc w:val="center"/>
        </w:trPr>
        <w:tc>
          <w:tcPr>
            <w:tcW w:w="336" w:type="pct"/>
            <w:vMerge w:val="restart"/>
            <w:vAlign w:val="center"/>
          </w:tcPr>
          <w:p w:rsidR="00EE56C0" w:rsidRDefault="00340837">
            <w:pPr>
              <w:pStyle w:val="aff1"/>
              <w:rPr>
                <w:color w:val="auto"/>
              </w:rPr>
            </w:pPr>
            <w:r>
              <w:rPr>
                <w:color w:val="auto"/>
              </w:rPr>
              <w:pict>
                <v:shape id="_x0000_s2209" type="#_x0000_t202" style="position:absolute;left:0;text-align:left;margin-left:39.35pt;margin-top:-192.15pt;width:21.65pt;height:19.65pt;z-index:251709952" o:gfxdata="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" filled="f" stroked="f" strokeweight="1pt">
                  <v:textbox>
                    <w:txbxContent>
                      <w:p w:rsidR="009C6BD9" w:rsidRDefault="009C6BD9">
                        <w:pPr>
                          <w:ind w:firstLine="482"/>
                          <w:rPr>
                            <w:b/>
                            <w:color w:val="FF0000"/>
                            <w:szCs w:val="21"/>
                          </w:rPr>
                        </w:pPr>
                        <w:r>
                          <w:rPr>
                            <w:rFonts w:hint="eastAsia"/>
                            <w:b/>
                            <w:color w:val="FF0000"/>
                            <w:szCs w:val="21"/>
                          </w:rPr>
                          <w:t>3</w:t>
                        </w:r>
                      </w:p>
                    </w:txbxContent>
                  </v:textbox>
                </v:shape>
              </w:pict>
            </w:r>
            <w:r w:rsidR="000F36A1">
              <w:rPr>
                <w:rFonts w:hAnsi="宋体"/>
                <w:color w:val="auto"/>
              </w:rPr>
              <w:t>序列</w:t>
            </w:r>
          </w:p>
        </w:tc>
        <w:tc>
          <w:tcPr>
            <w:tcW w:w="642" w:type="pct"/>
            <w:vMerge w:val="restart"/>
            <w:tcBorders>
              <w:right w:val="single" w:sz="4" w:space="0" w:color="auto"/>
            </w:tcBorders>
            <w:vAlign w:val="center"/>
          </w:tcPr>
          <w:p w:rsidR="00EE56C0" w:rsidRDefault="000F36A1">
            <w:pPr>
              <w:pStyle w:val="aff1"/>
              <w:rPr>
                <w:color w:val="auto"/>
              </w:rPr>
            </w:pPr>
            <w:r>
              <w:rPr>
                <w:rFonts w:hAnsi="宋体" w:hint="eastAsia"/>
                <w:color w:val="auto"/>
              </w:rPr>
              <w:t>预测点</w:t>
            </w:r>
          </w:p>
        </w:tc>
        <w:tc>
          <w:tcPr>
            <w:tcW w:w="747" w:type="pct"/>
            <w:vMerge w:val="restart"/>
            <w:tcBorders>
              <w:right w:val="single" w:sz="4" w:space="0" w:color="auto"/>
            </w:tcBorders>
            <w:vAlign w:val="center"/>
          </w:tcPr>
          <w:p w:rsidR="00EE56C0" w:rsidRDefault="000F36A1">
            <w:pPr>
              <w:pStyle w:val="aff1"/>
              <w:rPr>
                <w:rFonts w:hAnsi="宋体"/>
                <w:color w:val="auto"/>
              </w:rPr>
            </w:pPr>
            <w:r>
              <w:rPr>
                <w:rFonts w:hAnsi="宋体" w:hint="eastAsia"/>
                <w:color w:val="auto"/>
              </w:rPr>
              <w:t>平均时段</w:t>
            </w:r>
          </w:p>
        </w:tc>
        <w:tc>
          <w:tcPr>
            <w:tcW w:w="1164" w:type="pct"/>
            <w:vMerge w:val="restart"/>
            <w:tcBorders>
              <w:right w:val="single" w:sz="4" w:space="0" w:color="auto"/>
            </w:tcBorders>
            <w:vAlign w:val="center"/>
          </w:tcPr>
          <w:p w:rsidR="00EE56C0" w:rsidRPr="005767FB" w:rsidRDefault="000F36A1">
            <w:pPr>
              <w:pStyle w:val="afa"/>
              <w:rPr>
                <w:b/>
                <w:u w:val="single"/>
              </w:rPr>
            </w:pPr>
            <w:r w:rsidRPr="005767FB">
              <w:rPr>
                <w:rFonts w:hint="eastAsia"/>
                <w:b/>
                <w:u w:val="single"/>
              </w:rPr>
              <w:t>最大贡献值（</w:t>
            </w:r>
            <w:r w:rsidRPr="005767FB">
              <w:rPr>
                <w:rFonts w:hint="eastAsia"/>
                <w:b/>
                <w:u w:val="single"/>
              </w:rPr>
              <w:t>mg/m</w:t>
            </w:r>
            <w:r w:rsidRPr="005767FB">
              <w:rPr>
                <w:rFonts w:hint="eastAsia"/>
                <w:b/>
                <w:u w:val="single"/>
                <w:vertAlign w:val="superscript"/>
              </w:rPr>
              <w:t>3</w:t>
            </w:r>
            <w:r w:rsidRPr="005767FB">
              <w:rPr>
                <w:rFonts w:hint="eastAsia"/>
                <w:b/>
                <w:u w:val="single"/>
              </w:rPr>
              <w:t>）</w:t>
            </w:r>
          </w:p>
        </w:tc>
        <w:tc>
          <w:tcPr>
            <w:tcW w:w="748" w:type="pct"/>
            <w:vMerge w:val="restart"/>
            <w:tcBorders>
              <w:left w:val="single" w:sz="4" w:space="0" w:color="auto"/>
              <w:right w:val="single" w:sz="4" w:space="0" w:color="auto"/>
            </w:tcBorders>
            <w:vAlign w:val="center"/>
          </w:tcPr>
          <w:p w:rsidR="00EE56C0" w:rsidRPr="005767FB" w:rsidRDefault="000F36A1">
            <w:pPr>
              <w:pStyle w:val="afa"/>
              <w:rPr>
                <w:b/>
                <w:u w:val="single"/>
              </w:rPr>
            </w:pPr>
            <w:r w:rsidRPr="005767FB">
              <w:rPr>
                <w:rFonts w:hint="eastAsia"/>
                <w:b/>
                <w:u w:val="single"/>
              </w:rPr>
              <w:t>出现时间</w:t>
            </w:r>
          </w:p>
        </w:tc>
        <w:tc>
          <w:tcPr>
            <w:tcW w:w="665" w:type="pct"/>
            <w:vMerge w:val="restart"/>
            <w:tcBorders>
              <w:left w:val="single" w:sz="4" w:space="0" w:color="auto"/>
            </w:tcBorders>
            <w:vAlign w:val="center"/>
          </w:tcPr>
          <w:p w:rsidR="00EE56C0" w:rsidRPr="005767FB" w:rsidRDefault="000F36A1">
            <w:pPr>
              <w:pStyle w:val="afa"/>
              <w:rPr>
                <w:b/>
                <w:u w:val="single"/>
              </w:rPr>
            </w:pPr>
            <w:r w:rsidRPr="005767FB">
              <w:rPr>
                <w:rFonts w:hint="eastAsia"/>
                <w:b/>
                <w:u w:val="single"/>
              </w:rPr>
              <w:t>占标率（</w:t>
            </w:r>
            <w:r w:rsidRPr="005767FB">
              <w:rPr>
                <w:rFonts w:hint="eastAsia"/>
                <w:b/>
                <w:u w:val="single"/>
              </w:rPr>
              <w:t>%</w:t>
            </w:r>
            <w:r w:rsidRPr="005767FB">
              <w:rPr>
                <w:rFonts w:hint="eastAsia"/>
                <w:b/>
                <w:u w:val="single"/>
              </w:rPr>
              <w:t>）</w:t>
            </w:r>
          </w:p>
        </w:tc>
        <w:tc>
          <w:tcPr>
            <w:tcW w:w="698" w:type="pct"/>
            <w:vMerge w:val="restart"/>
            <w:vAlign w:val="center"/>
          </w:tcPr>
          <w:p w:rsidR="00EE56C0" w:rsidRDefault="000F36A1">
            <w:pPr>
              <w:pStyle w:val="aff1"/>
              <w:rPr>
                <w:color w:val="auto"/>
              </w:rPr>
            </w:pPr>
            <w:r>
              <w:rPr>
                <w:rFonts w:hint="eastAsia"/>
                <w:color w:val="auto"/>
              </w:rPr>
              <w:t>达标情况</w:t>
            </w:r>
          </w:p>
        </w:tc>
      </w:tr>
      <w:tr w:rsidR="00EE56C0">
        <w:trPr>
          <w:trHeight w:val="533"/>
          <w:tblHeader/>
          <w:jc w:val="center"/>
        </w:trPr>
        <w:tc>
          <w:tcPr>
            <w:tcW w:w="336" w:type="pct"/>
            <w:vMerge/>
            <w:vAlign w:val="center"/>
          </w:tcPr>
          <w:p w:rsidR="00EE56C0" w:rsidRDefault="00EE56C0">
            <w:pPr>
              <w:pStyle w:val="afa"/>
            </w:pPr>
          </w:p>
        </w:tc>
        <w:tc>
          <w:tcPr>
            <w:tcW w:w="642" w:type="pct"/>
            <w:vMerge/>
            <w:tcBorders>
              <w:right w:val="single" w:sz="4" w:space="0" w:color="auto"/>
            </w:tcBorders>
            <w:vAlign w:val="center"/>
          </w:tcPr>
          <w:p w:rsidR="00EE56C0" w:rsidRDefault="00EE56C0">
            <w:pPr>
              <w:pStyle w:val="afa"/>
            </w:pPr>
          </w:p>
        </w:tc>
        <w:tc>
          <w:tcPr>
            <w:tcW w:w="747" w:type="pct"/>
            <w:vMerge/>
            <w:tcBorders>
              <w:right w:val="single" w:sz="4" w:space="0" w:color="auto"/>
            </w:tcBorders>
            <w:vAlign w:val="center"/>
          </w:tcPr>
          <w:p w:rsidR="00EE56C0" w:rsidRDefault="00EE56C0">
            <w:pPr>
              <w:pStyle w:val="aff1"/>
              <w:rPr>
                <w:color w:val="auto"/>
              </w:rPr>
            </w:pPr>
          </w:p>
        </w:tc>
        <w:tc>
          <w:tcPr>
            <w:tcW w:w="1164" w:type="pct"/>
            <w:vMerge/>
            <w:tcBorders>
              <w:right w:val="single" w:sz="4" w:space="0" w:color="auto"/>
            </w:tcBorders>
            <w:vAlign w:val="center"/>
          </w:tcPr>
          <w:p w:rsidR="00EE56C0" w:rsidRPr="005767FB" w:rsidRDefault="00EE56C0">
            <w:pPr>
              <w:pStyle w:val="afa"/>
              <w:rPr>
                <w:u w:val="single"/>
              </w:rPr>
            </w:pPr>
          </w:p>
        </w:tc>
        <w:tc>
          <w:tcPr>
            <w:tcW w:w="748" w:type="pct"/>
            <w:vMerge/>
            <w:tcBorders>
              <w:left w:val="single" w:sz="4" w:space="0" w:color="auto"/>
              <w:right w:val="single" w:sz="4" w:space="0" w:color="auto"/>
            </w:tcBorders>
            <w:vAlign w:val="center"/>
          </w:tcPr>
          <w:p w:rsidR="00EE56C0" w:rsidRPr="005767FB" w:rsidRDefault="00EE56C0">
            <w:pPr>
              <w:pStyle w:val="afa"/>
              <w:rPr>
                <w:u w:val="single"/>
              </w:rPr>
            </w:pPr>
          </w:p>
        </w:tc>
        <w:tc>
          <w:tcPr>
            <w:tcW w:w="665" w:type="pct"/>
            <w:vMerge/>
            <w:tcBorders>
              <w:left w:val="single" w:sz="4" w:space="0" w:color="auto"/>
            </w:tcBorders>
            <w:vAlign w:val="center"/>
          </w:tcPr>
          <w:p w:rsidR="00EE56C0" w:rsidRPr="005767FB" w:rsidRDefault="00EE56C0">
            <w:pPr>
              <w:pStyle w:val="afa"/>
              <w:rPr>
                <w:u w:val="single"/>
              </w:rPr>
            </w:pPr>
          </w:p>
        </w:tc>
        <w:tc>
          <w:tcPr>
            <w:tcW w:w="698" w:type="pct"/>
            <w:vMerge/>
            <w:vAlign w:val="center"/>
          </w:tcPr>
          <w:p w:rsidR="00EE56C0" w:rsidRDefault="00EE56C0">
            <w:pPr>
              <w:pStyle w:val="afa"/>
            </w:pPr>
          </w:p>
        </w:tc>
      </w:tr>
      <w:tr w:rsidR="00EE56C0">
        <w:trPr>
          <w:trHeight w:val="425"/>
          <w:jc w:val="center"/>
        </w:trPr>
        <w:tc>
          <w:tcPr>
            <w:tcW w:w="336" w:type="pct"/>
            <w:vAlign w:val="center"/>
          </w:tcPr>
          <w:p w:rsidR="00EE56C0" w:rsidRDefault="000F36A1">
            <w:pPr>
              <w:pStyle w:val="afa"/>
            </w:pPr>
            <w:r>
              <w:t>1</w:t>
            </w:r>
          </w:p>
        </w:tc>
        <w:tc>
          <w:tcPr>
            <w:tcW w:w="642" w:type="pct"/>
            <w:tcBorders>
              <w:right w:val="single" w:sz="4" w:space="0" w:color="auto"/>
            </w:tcBorders>
            <w:vAlign w:val="center"/>
          </w:tcPr>
          <w:p w:rsidR="00EE56C0" w:rsidRDefault="000F36A1">
            <w:pPr>
              <w:pStyle w:val="afa"/>
              <w:rPr>
                <w:b/>
              </w:rPr>
            </w:pPr>
            <w:r>
              <w:rPr>
                <w:rFonts w:hAnsi="宋体" w:hint="eastAsia"/>
              </w:rPr>
              <w:t>南王庄村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0.0049</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19071707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0.25</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t>2</w:t>
            </w:r>
          </w:p>
        </w:tc>
        <w:tc>
          <w:tcPr>
            <w:tcW w:w="642" w:type="pct"/>
            <w:tcBorders>
              <w:right w:val="single" w:sz="4" w:space="0" w:color="auto"/>
            </w:tcBorders>
            <w:vAlign w:val="center"/>
          </w:tcPr>
          <w:p w:rsidR="00EE56C0" w:rsidRDefault="000F36A1">
            <w:pPr>
              <w:pStyle w:val="afa"/>
            </w:pPr>
            <w:r>
              <w:rPr>
                <w:rFonts w:hAnsi="宋体" w:hint="eastAsia"/>
              </w:rPr>
              <w:t>刘店村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0.0013</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19042008</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0.06</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3</w:t>
            </w:r>
          </w:p>
        </w:tc>
        <w:tc>
          <w:tcPr>
            <w:tcW w:w="642" w:type="pct"/>
            <w:tcBorders>
              <w:right w:val="single" w:sz="4" w:space="0" w:color="auto"/>
            </w:tcBorders>
            <w:vAlign w:val="center"/>
          </w:tcPr>
          <w:p w:rsidR="00EE56C0" w:rsidRDefault="000F36A1">
            <w:pPr>
              <w:pStyle w:val="afa"/>
              <w:rPr>
                <w:rFonts w:hAnsi="宋体"/>
              </w:rPr>
            </w:pPr>
            <w:r>
              <w:rPr>
                <w:rFonts w:hAnsi="宋体" w:hint="eastAsia"/>
              </w:rPr>
              <w:t>马庄村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0.0018</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19072107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0.09</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4</w:t>
            </w:r>
          </w:p>
        </w:tc>
        <w:tc>
          <w:tcPr>
            <w:tcW w:w="642" w:type="pct"/>
            <w:tcBorders>
              <w:right w:val="single" w:sz="4" w:space="0" w:color="auto"/>
            </w:tcBorders>
            <w:vAlign w:val="center"/>
          </w:tcPr>
          <w:p w:rsidR="00EE56C0" w:rsidRDefault="000F36A1">
            <w:pPr>
              <w:pStyle w:val="afa"/>
              <w:rPr>
                <w:rFonts w:hAnsi="宋体"/>
              </w:rPr>
            </w:pPr>
            <w:r>
              <w:rPr>
                <w:rFonts w:hAnsi="宋体" w:hint="eastAsia"/>
              </w:rPr>
              <w:t>康庄村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0.0017</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19050307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0.08</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5</w:t>
            </w:r>
          </w:p>
        </w:tc>
        <w:tc>
          <w:tcPr>
            <w:tcW w:w="642" w:type="pct"/>
            <w:tcBorders>
              <w:right w:val="single" w:sz="4" w:space="0" w:color="auto"/>
            </w:tcBorders>
            <w:vAlign w:val="center"/>
          </w:tcPr>
          <w:p w:rsidR="00EE56C0" w:rsidRDefault="000F36A1">
            <w:pPr>
              <w:pStyle w:val="afa"/>
              <w:rPr>
                <w:rFonts w:hAnsi="宋体"/>
              </w:rPr>
            </w:pPr>
            <w:r>
              <w:rPr>
                <w:rFonts w:hAnsi="宋体" w:hint="eastAsia"/>
              </w:rPr>
              <w:t>府庄村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0.0020</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19050107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0.10</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6</w:t>
            </w:r>
          </w:p>
        </w:tc>
        <w:tc>
          <w:tcPr>
            <w:tcW w:w="642" w:type="pct"/>
            <w:tcBorders>
              <w:right w:val="single" w:sz="4" w:space="0" w:color="auto"/>
            </w:tcBorders>
            <w:vAlign w:val="center"/>
          </w:tcPr>
          <w:p w:rsidR="00EE56C0" w:rsidRDefault="000F36A1">
            <w:pPr>
              <w:pStyle w:val="afa"/>
              <w:rPr>
                <w:rFonts w:hAnsi="宋体"/>
              </w:rPr>
            </w:pPr>
            <w:r>
              <w:rPr>
                <w:rFonts w:hAnsi="宋体" w:hint="eastAsia"/>
              </w:rPr>
              <w:t>大张庄村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0.0007</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19112409</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0.03</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7</w:t>
            </w:r>
          </w:p>
        </w:tc>
        <w:tc>
          <w:tcPr>
            <w:tcW w:w="642" w:type="pct"/>
            <w:tcBorders>
              <w:right w:val="single" w:sz="4" w:space="0" w:color="auto"/>
            </w:tcBorders>
            <w:vAlign w:val="center"/>
          </w:tcPr>
          <w:p w:rsidR="00EE56C0" w:rsidRDefault="000F36A1">
            <w:pPr>
              <w:pStyle w:val="afa"/>
              <w:rPr>
                <w:rFonts w:hAnsi="宋体"/>
              </w:rPr>
            </w:pPr>
            <w:r>
              <w:rPr>
                <w:rFonts w:hAnsi="宋体" w:hint="eastAsia"/>
              </w:rPr>
              <w:t>大赵庄村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0.0012</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19070207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0.06</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lastRenderedPageBreak/>
              <w:t>8</w:t>
            </w:r>
          </w:p>
        </w:tc>
        <w:tc>
          <w:tcPr>
            <w:tcW w:w="642" w:type="pct"/>
            <w:tcBorders>
              <w:right w:val="single" w:sz="4" w:space="0" w:color="auto"/>
            </w:tcBorders>
            <w:vAlign w:val="center"/>
          </w:tcPr>
          <w:p w:rsidR="00EE56C0" w:rsidRDefault="000F36A1">
            <w:pPr>
              <w:pStyle w:val="afa"/>
              <w:rPr>
                <w:rFonts w:hAnsi="宋体"/>
              </w:rPr>
            </w:pPr>
            <w:r>
              <w:rPr>
                <w:rFonts w:hAnsi="宋体" w:hint="eastAsia"/>
              </w:rPr>
              <w:t>丁庄村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0.0009</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19050308</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0.05</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9</w:t>
            </w:r>
          </w:p>
        </w:tc>
        <w:tc>
          <w:tcPr>
            <w:tcW w:w="642" w:type="pct"/>
            <w:tcBorders>
              <w:right w:val="single" w:sz="4" w:space="0" w:color="auto"/>
            </w:tcBorders>
            <w:vAlign w:val="center"/>
          </w:tcPr>
          <w:p w:rsidR="00EE56C0" w:rsidRDefault="000F36A1">
            <w:pPr>
              <w:pStyle w:val="afa"/>
              <w:rPr>
                <w:rFonts w:hAnsi="宋体"/>
              </w:rPr>
            </w:pPr>
            <w:r>
              <w:rPr>
                <w:rFonts w:hAnsi="宋体" w:hint="eastAsia"/>
              </w:rPr>
              <w:t>刘八庄村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0.0014</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19050307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0.07</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10</w:t>
            </w:r>
          </w:p>
        </w:tc>
        <w:tc>
          <w:tcPr>
            <w:tcW w:w="642" w:type="pct"/>
            <w:tcBorders>
              <w:right w:val="single" w:sz="4" w:space="0" w:color="auto"/>
            </w:tcBorders>
            <w:vAlign w:val="center"/>
          </w:tcPr>
          <w:p w:rsidR="00EE56C0" w:rsidRDefault="000F36A1">
            <w:pPr>
              <w:pStyle w:val="afa"/>
              <w:rPr>
                <w:rFonts w:hAnsi="宋体"/>
              </w:rPr>
            </w:pPr>
            <w:r>
              <w:rPr>
                <w:rFonts w:hAnsi="宋体" w:hint="eastAsia"/>
              </w:rPr>
              <w:t>王贵楼村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0.0012</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19050307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0.06</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11</w:t>
            </w:r>
          </w:p>
        </w:tc>
        <w:tc>
          <w:tcPr>
            <w:tcW w:w="642" w:type="pct"/>
            <w:tcBorders>
              <w:right w:val="single" w:sz="4" w:space="0" w:color="auto"/>
            </w:tcBorders>
            <w:vAlign w:val="center"/>
          </w:tcPr>
          <w:p w:rsidR="00EE56C0" w:rsidRDefault="000F36A1">
            <w:pPr>
              <w:pStyle w:val="afa"/>
            </w:pPr>
            <w:r>
              <w:rPr>
                <w:rFonts w:hAnsi="宋体" w:hint="eastAsia"/>
              </w:rPr>
              <w:t>罗滩村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0.0010</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19052607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0.05</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12</w:t>
            </w:r>
          </w:p>
        </w:tc>
        <w:tc>
          <w:tcPr>
            <w:tcW w:w="642" w:type="pct"/>
            <w:tcBorders>
              <w:right w:val="single" w:sz="4" w:space="0" w:color="auto"/>
            </w:tcBorders>
            <w:vAlign w:val="center"/>
          </w:tcPr>
          <w:p w:rsidR="00EE56C0" w:rsidRDefault="000F36A1">
            <w:pPr>
              <w:pStyle w:val="afa"/>
              <w:rPr>
                <w:rFonts w:hAnsi="宋体"/>
              </w:rPr>
            </w:pPr>
            <w:r>
              <w:rPr>
                <w:rFonts w:hAnsi="宋体" w:hint="eastAsia"/>
              </w:rPr>
              <w:t>杨庄村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0.0009</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19111709</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0.05</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13</w:t>
            </w:r>
          </w:p>
        </w:tc>
        <w:tc>
          <w:tcPr>
            <w:tcW w:w="642" w:type="pct"/>
            <w:tcBorders>
              <w:right w:val="single" w:sz="4" w:space="0" w:color="auto"/>
            </w:tcBorders>
            <w:vAlign w:val="center"/>
          </w:tcPr>
          <w:p w:rsidR="00EE56C0" w:rsidRDefault="000F36A1">
            <w:pPr>
              <w:pStyle w:val="afa"/>
              <w:rPr>
                <w:rFonts w:hAnsi="宋体"/>
              </w:rPr>
            </w:pPr>
            <w:r>
              <w:rPr>
                <w:rFonts w:hAnsi="宋体" w:hint="eastAsia"/>
              </w:rPr>
              <w:t>杨堤村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0.0012</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19060707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0.06</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14</w:t>
            </w:r>
          </w:p>
        </w:tc>
        <w:tc>
          <w:tcPr>
            <w:tcW w:w="642" w:type="pct"/>
            <w:tcBorders>
              <w:right w:val="single" w:sz="4" w:space="0" w:color="auto"/>
            </w:tcBorders>
            <w:vAlign w:val="center"/>
          </w:tcPr>
          <w:p w:rsidR="00EE56C0" w:rsidRDefault="000F36A1">
            <w:pPr>
              <w:pStyle w:val="afa"/>
              <w:rPr>
                <w:rFonts w:hAnsi="宋体"/>
              </w:rPr>
            </w:pPr>
            <w:r>
              <w:rPr>
                <w:rFonts w:hAnsi="宋体" w:hint="eastAsia"/>
              </w:rPr>
              <w:t>西曹村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0.0017</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19070907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0.08</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15</w:t>
            </w:r>
          </w:p>
        </w:tc>
        <w:tc>
          <w:tcPr>
            <w:tcW w:w="642" w:type="pct"/>
            <w:tcBorders>
              <w:right w:val="single" w:sz="4" w:space="0" w:color="auto"/>
            </w:tcBorders>
            <w:vAlign w:val="center"/>
          </w:tcPr>
          <w:p w:rsidR="00EE56C0" w:rsidRDefault="000F36A1">
            <w:pPr>
              <w:pStyle w:val="afa"/>
              <w:rPr>
                <w:rFonts w:hAnsi="宋体"/>
              </w:rPr>
            </w:pPr>
            <w:r>
              <w:rPr>
                <w:rFonts w:hAnsi="宋体" w:hint="eastAsia"/>
              </w:rPr>
              <w:t>中曹村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19070907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0.07</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16</w:t>
            </w:r>
          </w:p>
        </w:tc>
        <w:tc>
          <w:tcPr>
            <w:tcW w:w="642" w:type="pct"/>
            <w:tcBorders>
              <w:right w:val="single" w:sz="4" w:space="0" w:color="auto"/>
            </w:tcBorders>
            <w:vAlign w:val="center"/>
          </w:tcPr>
          <w:p w:rsidR="00EE56C0" w:rsidRDefault="000F36A1">
            <w:pPr>
              <w:pStyle w:val="afa"/>
              <w:rPr>
                <w:rFonts w:hAnsi="宋体"/>
              </w:rPr>
            </w:pPr>
            <w:r>
              <w:rPr>
                <w:rFonts w:hAnsi="宋体" w:hint="eastAsia"/>
              </w:rPr>
              <w:t>东曹村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0.0017</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19120910</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0.08</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17</w:t>
            </w:r>
          </w:p>
        </w:tc>
        <w:tc>
          <w:tcPr>
            <w:tcW w:w="642" w:type="pct"/>
            <w:tcBorders>
              <w:right w:val="single" w:sz="4" w:space="0" w:color="auto"/>
            </w:tcBorders>
            <w:vAlign w:val="center"/>
          </w:tcPr>
          <w:p w:rsidR="00EE56C0" w:rsidRDefault="000F36A1">
            <w:pPr>
              <w:pStyle w:val="afa"/>
              <w:rPr>
                <w:rFonts w:hAnsi="宋体"/>
              </w:rPr>
            </w:pPr>
            <w:r>
              <w:rPr>
                <w:rFonts w:hAnsi="宋体" w:hint="eastAsia"/>
              </w:rPr>
              <w:t>七里营镇</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0.0018</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19051507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0.09</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18</w:t>
            </w:r>
          </w:p>
        </w:tc>
        <w:tc>
          <w:tcPr>
            <w:tcW w:w="642" w:type="pct"/>
            <w:tcBorders>
              <w:right w:val="single" w:sz="4" w:space="0" w:color="auto"/>
            </w:tcBorders>
            <w:vAlign w:val="center"/>
          </w:tcPr>
          <w:p w:rsidR="00EE56C0" w:rsidRDefault="000F36A1">
            <w:pPr>
              <w:pStyle w:val="afa"/>
              <w:rPr>
                <w:rFonts w:hAnsi="宋体"/>
              </w:rPr>
            </w:pPr>
            <w:r>
              <w:rPr>
                <w:rFonts w:hAnsi="宋体" w:hint="eastAsia"/>
              </w:rPr>
              <w:t>七二村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0.0017</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19050408</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0.09</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19</w:t>
            </w:r>
          </w:p>
        </w:tc>
        <w:tc>
          <w:tcPr>
            <w:tcW w:w="642" w:type="pct"/>
            <w:tcBorders>
              <w:right w:val="single" w:sz="4" w:space="0" w:color="auto"/>
            </w:tcBorders>
            <w:vAlign w:val="center"/>
          </w:tcPr>
          <w:p w:rsidR="00EE56C0" w:rsidRDefault="000F36A1">
            <w:pPr>
              <w:pStyle w:val="afa"/>
            </w:pPr>
            <w:r>
              <w:rPr>
                <w:rFonts w:hAnsi="宋体" w:hint="eastAsia"/>
              </w:rPr>
              <w:t>刘庄</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0.0023</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19051208</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0.11</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20</w:t>
            </w:r>
          </w:p>
        </w:tc>
        <w:tc>
          <w:tcPr>
            <w:tcW w:w="642" w:type="pct"/>
            <w:tcBorders>
              <w:right w:val="single" w:sz="4" w:space="0" w:color="auto"/>
            </w:tcBorders>
            <w:vAlign w:val="center"/>
          </w:tcPr>
          <w:p w:rsidR="00EE56C0" w:rsidRDefault="000F36A1">
            <w:pPr>
              <w:pStyle w:val="afa"/>
            </w:pPr>
            <w:r>
              <w:rPr>
                <w:rFonts w:hAnsi="宋体" w:hint="eastAsia"/>
              </w:rPr>
              <w:t>陈庄村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0.0022</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19051208</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0.11</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21</w:t>
            </w:r>
          </w:p>
        </w:tc>
        <w:tc>
          <w:tcPr>
            <w:tcW w:w="642" w:type="pct"/>
            <w:tcBorders>
              <w:right w:val="single" w:sz="4" w:space="0" w:color="auto"/>
            </w:tcBorders>
            <w:vAlign w:val="center"/>
          </w:tcPr>
          <w:p w:rsidR="00EE56C0" w:rsidRDefault="000F36A1">
            <w:pPr>
              <w:pStyle w:val="afa"/>
              <w:rPr>
                <w:rFonts w:hAnsi="宋体"/>
              </w:rPr>
            </w:pPr>
            <w:r>
              <w:rPr>
                <w:rFonts w:hAnsi="宋体" w:hint="eastAsia"/>
                <w:bCs/>
              </w:rPr>
              <w:t>位庄村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0.0006</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19100322</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0.03</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22</w:t>
            </w:r>
          </w:p>
        </w:tc>
        <w:tc>
          <w:tcPr>
            <w:tcW w:w="642" w:type="pct"/>
            <w:tcBorders>
              <w:right w:val="single" w:sz="4" w:space="0" w:color="auto"/>
            </w:tcBorders>
            <w:vAlign w:val="center"/>
          </w:tcPr>
          <w:p w:rsidR="00EE56C0" w:rsidRDefault="000F36A1">
            <w:pPr>
              <w:pStyle w:val="afa"/>
              <w:rPr>
                <w:rFonts w:hAnsi="宋体"/>
              </w:rPr>
            </w:pPr>
            <w:r>
              <w:rPr>
                <w:rFonts w:hAnsi="宋体" w:hint="eastAsia"/>
              </w:rPr>
              <w:t>南魏庄</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0.0008</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19060607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0.04</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23</w:t>
            </w:r>
          </w:p>
        </w:tc>
        <w:tc>
          <w:tcPr>
            <w:tcW w:w="642" w:type="pct"/>
            <w:tcBorders>
              <w:right w:val="single" w:sz="4" w:space="0" w:color="auto"/>
            </w:tcBorders>
            <w:vAlign w:val="center"/>
          </w:tcPr>
          <w:p w:rsidR="00EE56C0" w:rsidRDefault="000F36A1">
            <w:pPr>
              <w:pStyle w:val="afa"/>
              <w:rPr>
                <w:rFonts w:hAnsi="宋体"/>
              </w:rPr>
            </w:pPr>
            <w:r>
              <w:rPr>
                <w:rFonts w:hAnsi="宋体" w:hint="eastAsia"/>
              </w:rPr>
              <w:t>曹庄村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0.0011</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19060607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0.06</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24</w:t>
            </w:r>
          </w:p>
        </w:tc>
        <w:tc>
          <w:tcPr>
            <w:tcW w:w="642" w:type="pct"/>
            <w:tcBorders>
              <w:right w:val="single" w:sz="4" w:space="0" w:color="auto"/>
            </w:tcBorders>
            <w:vAlign w:val="center"/>
          </w:tcPr>
          <w:p w:rsidR="00EE56C0" w:rsidRDefault="000F36A1">
            <w:pPr>
              <w:pStyle w:val="afa"/>
            </w:pPr>
            <w:r>
              <w:rPr>
                <w:rFonts w:hint="eastAsia"/>
              </w:rPr>
              <w:t>新</w:t>
            </w:r>
            <w:r>
              <w:rPr>
                <w:rFonts w:hAnsi="宋体" w:hint="eastAsia"/>
              </w:rPr>
              <w:t>庄</w:t>
            </w:r>
            <w:r>
              <w:rPr>
                <w:rFonts w:hint="eastAsia"/>
              </w:rPr>
              <w:t>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0.0008</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19060607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0.04</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25</w:t>
            </w:r>
          </w:p>
        </w:tc>
        <w:tc>
          <w:tcPr>
            <w:tcW w:w="642" w:type="pct"/>
            <w:tcBorders>
              <w:right w:val="single" w:sz="4" w:space="0" w:color="auto"/>
            </w:tcBorders>
            <w:vAlign w:val="center"/>
          </w:tcPr>
          <w:p w:rsidR="00EE56C0" w:rsidRDefault="000F36A1">
            <w:pPr>
              <w:pStyle w:val="afa"/>
            </w:pPr>
            <w:r>
              <w:rPr>
                <w:rFonts w:hint="eastAsia"/>
              </w:rPr>
              <w:t>刘纪岗</w:t>
            </w:r>
            <w:r>
              <w:rPr>
                <w:rFonts w:hAnsi="宋体" w:hint="eastAsia"/>
              </w:rPr>
              <w:t>庄</w:t>
            </w:r>
            <w:r>
              <w:rPr>
                <w:rFonts w:hint="eastAsia"/>
              </w:rPr>
              <w:t>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0.0006</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19060607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0.03</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26</w:t>
            </w:r>
          </w:p>
        </w:tc>
        <w:tc>
          <w:tcPr>
            <w:tcW w:w="642" w:type="pct"/>
            <w:tcBorders>
              <w:right w:val="single" w:sz="4" w:space="0" w:color="auto"/>
            </w:tcBorders>
            <w:vAlign w:val="center"/>
          </w:tcPr>
          <w:p w:rsidR="00EE56C0" w:rsidRDefault="000F36A1">
            <w:pPr>
              <w:pStyle w:val="afa"/>
            </w:pPr>
            <w:r>
              <w:rPr>
                <w:rFonts w:hint="eastAsia"/>
              </w:rPr>
              <w:t>小张庄村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0.0004</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19051208</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0.02</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27</w:t>
            </w:r>
          </w:p>
        </w:tc>
        <w:tc>
          <w:tcPr>
            <w:tcW w:w="642" w:type="pct"/>
            <w:tcBorders>
              <w:right w:val="single" w:sz="4" w:space="0" w:color="auto"/>
            </w:tcBorders>
            <w:vAlign w:val="center"/>
          </w:tcPr>
          <w:p w:rsidR="00EE56C0" w:rsidRDefault="000F36A1">
            <w:pPr>
              <w:pStyle w:val="afa"/>
            </w:pPr>
            <w:r>
              <w:rPr>
                <w:rFonts w:hint="eastAsia"/>
              </w:rPr>
              <w:t>苗庄村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0.0004</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19062802</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0.02</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28</w:t>
            </w:r>
          </w:p>
        </w:tc>
        <w:tc>
          <w:tcPr>
            <w:tcW w:w="642" w:type="pct"/>
            <w:tcBorders>
              <w:right w:val="single" w:sz="4" w:space="0" w:color="auto"/>
            </w:tcBorders>
            <w:vAlign w:val="center"/>
          </w:tcPr>
          <w:p w:rsidR="00EE56C0" w:rsidRDefault="000F36A1">
            <w:pPr>
              <w:pStyle w:val="afa"/>
            </w:pPr>
            <w:r>
              <w:rPr>
                <w:rFonts w:hint="eastAsia"/>
              </w:rPr>
              <w:t>沟王村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19051208</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0.07</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29</w:t>
            </w:r>
          </w:p>
        </w:tc>
        <w:tc>
          <w:tcPr>
            <w:tcW w:w="642" w:type="pct"/>
            <w:tcBorders>
              <w:right w:val="single" w:sz="4" w:space="0" w:color="auto"/>
            </w:tcBorders>
            <w:vAlign w:val="center"/>
          </w:tcPr>
          <w:p w:rsidR="00EE56C0" w:rsidRDefault="000F36A1">
            <w:pPr>
              <w:pStyle w:val="afa"/>
            </w:pPr>
            <w:r>
              <w:rPr>
                <w:rFonts w:hint="eastAsia"/>
              </w:rPr>
              <w:t>八柳树村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0.0007</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19032708</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0.03</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30</w:t>
            </w:r>
          </w:p>
        </w:tc>
        <w:tc>
          <w:tcPr>
            <w:tcW w:w="642" w:type="pct"/>
            <w:tcBorders>
              <w:right w:val="single" w:sz="4" w:space="0" w:color="auto"/>
            </w:tcBorders>
            <w:vAlign w:val="center"/>
          </w:tcPr>
          <w:p w:rsidR="00EE56C0" w:rsidRDefault="000F36A1">
            <w:pPr>
              <w:pStyle w:val="afa"/>
            </w:pPr>
            <w:r>
              <w:rPr>
                <w:rFonts w:hint="eastAsia"/>
              </w:rPr>
              <w:t>宋庄村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19051207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0.07</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31</w:t>
            </w:r>
          </w:p>
        </w:tc>
        <w:tc>
          <w:tcPr>
            <w:tcW w:w="642" w:type="pct"/>
            <w:tcBorders>
              <w:right w:val="single" w:sz="4" w:space="0" w:color="auto"/>
            </w:tcBorders>
            <w:vAlign w:val="center"/>
          </w:tcPr>
          <w:p w:rsidR="00EE56C0" w:rsidRDefault="000F36A1">
            <w:pPr>
              <w:pStyle w:val="afa"/>
            </w:pPr>
            <w:r>
              <w:rPr>
                <w:rFonts w:hint="eastAsia"/>
              </w:rPr>
              <w:t>东王庄村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0.0009</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19031808</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0.04</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32</w:t>
            </w:r>
          </w:p>
        </w:tc>
        <w:tc>
          <w:tcPr>
            <w:tcW w:w="642" w:type="pct"/>
            <w:tcBorders>
              <w:right w:val="single" w:sz="4" w:space="0" w:color="auto"/>
            </w:tcBorders>
            <w:vAlign w:val="center"/>
          </w:tcPr>
          <w:p w:rsidR="00EE56C0" w:rsidRDefault="000F36A1">
            <w:pPr>
              <w:pStyle w:val="afa"/>
            </w:pPr>
            <w:r>
              <w:rPr>
                <w:rFonts w:hint="eastAsia"/>
              </w:rPr>
              <w:t>大兴村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0.0008</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19041208</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0.04</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33</w:t>
            </w:r>
          </w:p>
        </w:tc>
        <w:tc>
          <w:tcPr>
            <w:tcW w:w="642" w:type="pct"/>
            <w:tcBorders>
              <w:right w:val="single" w:sz="4" w:space="0" w:color="auto"/>
            </w:tcBorders>
            <w:vAlign w:val="center"/>
          </w:tcPr>
          <w:p w:rsidR="00EE56C0" w:rsidRDefault="000F36A1">
            <w:pPr>
              <w:pStyle w:val="afa"/>
            </w:pPr>
            <w:r>
              <w:rPr>
                <w:rFonts w:hint="eastAsia"/>
              </w:rPr>
              <w:t>东贾城村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0.0012</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19031908</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0.06</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34</w:t>
            </w:r>
          </w:p>
        </w:tc>
        <w:tc>
          <w:tcPr>
            <w:tcW w:w="642" w:type="pct"/>
            <w:tcBorders>
              <w:right w:val="single" w:sz="4" w:space="0" w:color="auto"/>
            </w:tcBorders>
            <w:vAlign w:val="center"/>
          </w:tcPr>
          <w:p w:rsidR="00EE56C0" w:rsidRDefault="000F36A1">
            <w:pPr>
              <w:pStyle w:val="afa"/>
            </w:pPr>
            <w:r>
              <w:rPr>
                <w:rFonts w:hint="eastAsia"/>
              </w:rPr>
              <w:t>高村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0.0013</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19051607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0.06</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lastRenderedPageBreak/>
              <w:t>35</w:t>
            </w:r>
          </w:p>
        </w:tc>
        <w:tc>
          <w:tcPr>
            <w:tcW w:w="642" w:type="pct"/>
            <w:tcBorders>
              <w:right w:val="single" w:sz="4" w:space="0" w:color="auto"/>
            </w:tcBorders>
            <w:vAlign w:val="center"/>
          </w:tcPr>
          <w:p w:rsidR="00EE56C0" w:rsidRDefault="000F36A1">
            <w:pPr>
              <w:pStyle w:val="afa"/>
            </w:pPr>
            <w:r>
              <w:rPr>
                <w:rFonts w:hint="eastAsia"/>
              </w:rPr>
              <w:t>侯庄村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0.0007</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19102409</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0.03</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36</w:t>
            </w:r>
          </w:p>
        </w:tc>
        <w:tc>
          <w:tcPr>
            <w:tcW w:w="642" w:type="pct"/>
            <w:tcBorders>
              <w:right w:val="single" w:sz="4" w:space="0" w:color="auto"/>
            </w:tcBorders>
            <w:vAlign w:val="center"/>
          </w:tcPr>
          <w:p w:rsidR="00EE56C0" w:rsidRDefault="000F36A1">
            <w:pPr>
              <w:pStyle w:val="afa"/>
            </w:pPr>
            <w:r>
              <w:rPr>
                <w:rFonts w:hint="eastAsia"/>
              </w:rPr>
              <w:t>东石碑村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0.0013</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19120910</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0.06</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37</w:t>
            </w:r>
          </w:p>
        </w:tc>
        <w:tc>
          <w:tcPr>
            <w:tcW w:w="642" w:type="pct"/>
            <w:tcBorders>
              <w:right w:val="single" w:sz="4" w:space="0" w:color="auto"/>
            </w:tcBorders>
            <w:vAlign w:val="center"/>
          </w:tcPr>
          <w:p w:rsidR="00EE56C0" w:rsidRDefault="000F36A1">
            <w:pPr>
              <w:pStyle w:val="afa"/>
            </w:pPr>
            <w:r>
              <w:rPr>
                <w:rFonts w:hint="eastAsia"/>
              </w:rPr>
              <w:t>杏庄村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0.0011</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19120910</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0.06</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38</w:t>
            </w:r>
          </w:p>
        </w:tc>
        <w:tc>
          <w:tcPr>
            <w:tcW w:w="642" w:type="pct"/>
            <w:tcBorders>
              <w:right w:val="single" w:sz="4" w:space="0" w:color="auto"/>
            </w:tcBorders>
            <w:vAlign w:val="center"/>
          </w:tcPr>
          <w:p w:rsidR="00EE56C0" w:rsidRDefault="000F36A1">
            <w:pPr>
              <w:pStyle w:val="afa"/>
            </w:pPr>
            <w:r>
              <w:rPr>
                <w:rFonts w:hint="eastAsia"/>
              </w:rPr>
              <w:t>敦留店村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0.0009</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19070907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0.05</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39</w:t>
            </w:r>
          </w:p>
        </w:tc>
        <w:tc>
          <w:tcPr>
            <w:tcW w:w="642" w:type="pct"/>
            <w:tcBorders>
              <w:right w:val="single" w:sz="4" w:space="0" w:color="auto"/>
            </w:tcBorders>
            <w:vAlign w:val="center"/>
          </w:tcPr>
          <w:p w:rsidR="00EE56C0" w:rsidRDefault="000F36A1">
            <w:pPr>
              <w:pStyle w:val="afa"/>
            </w:pPr>
            <w:r>
              <w:rPr>
                <w:rFonts w:hint="eastAsia"/>
              </w:rPr>
              <w:t>李道堤村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0.0008</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19070907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0.04</w:t>
            </w:r>
          </w:p>
        </w:tc>
        <w:tc>
          <w:tcPr>
            <w:tcW w:w="698" w:type="pct"/>
            <w:vAlign w:val="center"/>
          </w:tcPr>
          <w:p w:rsidR="00EE56C0" w:rsidRDefault="000F36A1">
            <w:pPr>
              <w:pStyle w:val="afa"/>
            </w:pPr>
            <w:r>
              <w:rPr>
                <w:rFonts w:hint="eastAsia"/>
              </w:rPr>
              <w:t>达标</w:t>
            </w:r>
          </w:p>
        </w:tc>
      </w:tr>
    </w:tbl>
    <w:p w:rsidR="00EE56C0" w:rsidRDefault="000F36A1">
      <w:pPr>
        <w:pStyle w:val="afd"/>
        <w:spacing w:before="120" w:after="120"/>
        <w:ind w:firstLine="482"/>
      </w:pPr>
      <w:r>
        <w:t>表</w:t>
      </w:r>
      <w:r>
        <w:t>5-</w:t>
      </w:r>
      <w:r>
        <w:rPr>
          <w:rFonts w:hint="eastAsia"/>
        </w:rPr>
        <w:t xml:space="preserve">26             </w:t>
      </w:r>
      <w:r>
        <w:rPr>
          <w:rFonts w:hint="eastAsia"/>
        </w:rPr>
        <w:t>二甲苯浓度最大贡献值</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573"/>
        <w:gridCol w:w="1097"/>
        <w:gridCol w:w="1274"/>
        <w:gridCol w:w="1561"/>
        <w:gridCol w:w="1557"/>
        <w:gridCol w:w="1278"/>
        <w:gridCol w:w="1189"/>
      </w:tblGrid>
      <w:tr w:rsidR="00EE56C0">
        <w:trPr>
          <w:trHeight w:val="425"/>
          <w:tblHeader/>
          <w:jc w:val="center"/>
        </w:trPr>
        <w:tc>
          <w:tcPr>
            <w:tcW w:w="336" w:type="pct"/>
            <w:vMerge w:val="restart"/>
            <w:vAlign w:val="center"/>
          </w:tcPr>
          <w:p w:rsidR="00EE56C0" w:rsidRDefault="00340837">
            <w:pPr>
              <w:pStyle w:val="aff1"/>
              <w:rPr>
                <w:color w:val="auto"/>
              </w:rPr>
            </w:pPr>
            <w:r>
              <w:rPr>
                <w:color w:val="auto"/>
              </w:rPr>
              <w:pict>
                <v:shape id="_x0000_s2210" type="#_x0000_t202" style="position:absolute;left:0;text-align:left;margin-left:39.35pt;margin-top:-192.15pt;width:21.65pt;height:19.65pt;z-index:251710976" o:gfxdata="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" filled="f" stroked="f" strokeweight="1pt">
                  <v:textbox>
                    <w:txbxContent>
                      <w:p w:rsidR="009C6BD9" w:rsidRDefault="009C6BD9">
                        <w:pPr>
                          <w:ind w:firstLine="482"/>
                          <w:rPr>
                            <w:b/>
                            <w:color w:val="FF0000"/>
                            <w:szCs w:val="21"/>
                          </w:rPr>
                        </w:pPr>
                        <w:r>
                          <w:rPr>
                            <w:rFonts w:hint="eastAsia"/>
                            <w:b/>
                            <w:color w:val="FF0000"/>
                            <w:szCs w:val="21"/>
                          </w:rPr>
                          <w:t>3</w:t>
                        </w:r>
                      </w:p>
                    </w:txbxContent>
                  </v:textbox>
                </v:shape>
              </w:pict>
            </w:r>
            <w:r w:rsidR="000F36A1">
              <w:rPr>
                <w:rFonts w:hAnsi="宋体"/>
                <w:color w:val="auto"/>
              </w:rPr>
              <w:t>序列</w:t>
            </w:r>
          </w:p>
        </w:tc>
        <w:tc>
          <w:tcPr>
            <w:tcW w:w="643" w:type="pct"/>
            <w:vMerge w:val="restart"/>
            <w:tcBorders>
              <w:right w:val="single" w:sz="4" w:space="0" w:color="auto"/>
            </w:tcBorders>
            <w:vAlign w:val="center"/>
          </w:tcPr>
          <w:p w:rsidR="00EE56C0" w:rsidRDefault="000F36A1">
            <w:pPr>
              <w:pStyle w:val="aff1"/>
              <w:rPr>
                <w:color w:val="auto"/>
              </w:rPr>
            </w:pPr>
            <w:r>
              <w:rPr>
                <w:rFonts w:hAnsi="宋体" w:hint="eastAsia"/>
                <w:color w:val="auto"/>
              </w:rPr>
              <w:t>预测点</w:t>
            </w:r>
          </w:p>
        </w:tc>
        <w:tc>
          <w:tcPr>
            <w:tcW w:w="747" w:type="pct"/>
            <w:vMerge w:val="restart"/>
            <w:tcBorders>
              <w:right w:val="single" w:sz="4" w:space="0" w:color="auto"/>
            </w:tcBorders>
            <w:vAlign w:val="center"/>
          </w:tcPr>
          <w:p w:rsidR="00EE56C0" w:rsidRDefault="000F36A1">
            <w:pPr>
              <w:pStyle w:val="aff1"/>
              <w:rPr>
                <w:rFonts w:hAnsi="宋体"/>
                <w:color w:val="auto"/>
              </w:rPr>
            </w:pPr>
            <w:r>
              <w:rPr>
                <w:rFonts w:hAnsi="宋体" w:hint="eastAsia"/>
                <w:color w:val="auto"/>
              </w:rPr>
              <w:t>平均时段</w:t>
            </w:r>
          </w:p>
        </w:tc>
        <w:tc>
          <w:tcPr>
            <w:tcW w:w="915" w:type="pct"/>
            <w:vMerge w:val="restart"/>
            <w:tcBorders>
              <w:right w:val="single" w:sz="4" w:space="0" w:color="auto"/>
            </w:tcBorders>
            <w:vAlign w:val="center"/>
          </w:tcPr>
          <w:p w:rsidR="00EE56C0" w:rsidRPr="005767FB" w:rsidRDefault="000F36A1">
            <w:pPr>
              <w:pStyle w:val="afa"/>
              <w:rPr>
                <w:b/>
                <w:u w:val="single"/>
              </w:rPr>
            </w:pPr>
            <w:r w:rsidRPr="005767FB">
              <w:rPr>
                <w:rFonts w:hint="eastAsia"/>
                <w:b/>
                <w:u w:val="single"/>
              </w:rPr>
              <w:t>最大贡献值（</w:t>
            </w:r>
            <w:r w:rsidRPr="005767FB">
              <w:rPr>
                <w:rFonts w:hint="eastAsia"/>
                <w:b/>
                <w:u w:val="single"/>
              </w:rPr>
              <w:t>mg/m</w:t>
            </w:r>
            <w:r w:rsidRPr="005767FB">
              <w:rPr>
                <w:rFonts w:hint="eastAsia"/>
                <w:b/>
                <w:u w:val="single"/>
                <w:vertAlign w:val="superscript"/>
              </w:rPr>
              <w:t>3</w:t>
            </w:r>
            <w:r w:rsidRPr="005767FB">
              <w:rPr>
                <w:rFonts w:hint="eastAsia"/>
                <w:b/>
                <w:u w:val="single"/>
              </w:rPr>
              <w:t>）</w:t>
            </w:r>
          </w:p>
        </w:tc>
        <w:tc>
          <w:tcPr>
            <w:tcW w:w="913" w:type="pct"/>
            <w:vMerge w:val="restart"/>
            <w:tcBorders>
              <w:left w:val="single" w:sz="4" w:space="0" w:color="auto"/>
              <w:right w:val="single" w:sz="4" w:space="0" w:color="auto"/>
            </w:tcBorders>
            <w:vAlign w:val="center"/>
          </w:tcPr>
          <w:p w:rsidR="00EE56C0" w:rsidRPr="005767FB" w:rsidRDefault="000F36A1">
            <w:pPr>
              <w:pStyle w:val="afa"/>
              <w:rPr>
                <w:b/>
                <w:u w:val="single"/>
              </w:rPr>
            </w:pPr>
            <w:r w:rsidRPr="005767FB">
              <w:rPr>
                <w:rFonts w:hint="eastAsia"/>
                <w:b/>
                <w:u w:val="single"/>
              </w:rPr>
              <w:t>出现时间</w:t>
            </w:r>
          </w:p>
        </w:tc>
        <w:tc>
          <w:tcPr>
            <w:tcW w:w="749" w:type="pct"/>
            <w:vMerge w:val="restart"/>
            <w:tcBorders>
              <w:left w:val="single" w:sz="4" w:space="0" w:color="auto"/>
            </w:tcBorders>
            <w:vAlign w:val="center"/>
          </w:tcPr>
          <w:p w:rsidR="00EE56C0" w:rsidRPr="005767FB" w:rsidRDefault="000F36A1">
            <w:pPr>
              <w:pStyle w:val="afa"/>
              <w:rPr>
                <w:b/>
                <w:u w:val="single"/>
              </w:rPr>
            </w:pPr>
            <w:r w:rsidRPr="005767FB">
              <w:rPr>
                <w:rFonts w:hint="eastAsia"/>
                <w:b/>
                <w:u w:val="single"/>
              </w:rPr>
              <w:t>占标率（</w:t>
            </w:r>
            <w:r w:rsidRPr="005767FB">
              <w:rPr>
                <w:rFonts w:hint="eastAsia"/>
                <w:b/>
                <w:u w:val="single"/>
              </w:rPr>
              <w:t>%</w:t>
            </w:r>
            <w:r w:rsidRPr="005767FB">
              <w:rPr>
                <w:rFonts w:hint="eastAsia"/>
                <w:b/>
                <w:u w:val="single"/>
              </w:rPr>
              <w:t>）</w:t>
            </w:r>
          </w:p>
        </w:tc>
        <w:tc>
          <w:tcPr>
            <w:tcW w:w="697" w:type="pct"/>
            <w:vMerge w:val="restart"/>
            <w:vAlign w:val="center"/>
          </w:tcPr>
          <w:p w:rsidR="00EE56C0" w:rsidRDefault="000F36A1">
            <w:pPr>
              <w:pStyle w:val="aff1"/>
              <w:rPr>
                <w:color w:val="auto"/>
              </w:rPr>
            </w:pPr>
            <w:r>
              <w:rPr>
                <w:rFonts w:hint="eastAsia"/>
                <w:color w:val="auto"/>
              </w:rPr>
              <w:t>达标情况</w:t>
            </w:r>
          </w:p>
        </w:tc>
      </w:tr>
      <w:tr w:rsidR="00EE56C0">
        <w:trPr>
          <w:trHeight w:val="425"/>
          <w:tblHeader/>
          <w:jc w:val="center"/>
        </w:trPr>
        <w:tc>
          <w:tcPr>
            <w:tcW w:w="336" w:type="pct"/>
            <w:vMerge/>
            <w:vAlign w:val="center"/>
          </w:tcPr>
          <w:p w:rsidR="00EE56C0" w:rsidRDefault="00EE56C0">
            <w:pPr>
              <w:pStyle w:val="afa"/>
            </w:pPr>
          </w:p>
        </w:tc>
        <w:tc>
          <w:tcPr>
            <w:tcW w:w="643" w:type="pct"/>
            <w:vMerge/>
            <w:tcBorders>
              <w:right w:val="single" w:sz="4" w:space="0" w:color="auto"/>
            </w:tcBorders>
            <w:vAlign w:val="center"/>
          </w:tcPr>
          <w:p w:rsidR="00EE56C0" w:rsidRDefault="00EE56C0">
            <w:pPr>
              <w:pStyle w:val="afa"/>
            </w:pPr>
          </w:p>
        </w:tc>
        <w:tc>
          <w:tcPr>
            <w:tcW w:w="747" w:type="pct"/>
            <w:vMerge/>
            <w:tcBorders>
              <w:right w:val="single" w:sz="4" w:space="0" w:color="auto"/>
            </w:tcBorders>
            <w:vAlign w:val="center"/>
          </w:tcPr>
          <w:p w:rsidR="00EE56C0" w:rsidRDefault="00EE56C0">
            <w:pPr>
              <w:pStyle w:val="aff1"/>
              <w:rPr>
                <w:color w:val="auto"/>
              </w:rPr>
            </w:pPr>
          </w:p>
        </w:tc>
        <w:tc>
          <w:tcPr>
            <w:tcW w:w="915" w:type="pct"/>
            <w:vMerge/>
            <w:tcBorders>
              <w:right w:val="single" w:sz="4" w:space="0" w:color="auto"/>
            </w:tcBorders>
            <w:vAlign w:val="center"/>
          </w:tcPr>
          <w:p w:rsidR="00EE56C0" w:rsidRPr="005767FB" w:rsidRDefault="00EE56C0">
            <w:pPr>
              <w:pStyle w:val="afa"/>
              <w:rPr>
                <w:u w:val="single"/>
              </w:rPr>
            </w:pPr>
          </w:p>
        </w:tc>
        <w:tc>
          <w:tcPr>
            <w:tcW w:w="913" w:type="pct"/>
            <w:vMerge/>
            <w:tcBorders>
              <w:left w:val="single" w:sz="4" w:space="0" w:color="auto"/>
              <w:right w:val="single" w:sz="4" w:space="0" w:color="auto"/>
            </w:tcBorders>
            <w:vAlign w:val="center"/>
          </w:tcPr>
          <w:p w:rsidR="00EE56C0" w:rsidRPr="005767FB" w:rsidRDefault="00EE56C0">
            <w:pPr>
              <w:pStyle w:val="afa"/>
              <w:rPr>
                <w:u w:val="single"/>
              </w:rPr>
            </w:pPr>
          </w:p>
        </w:tc>
        <w:tc>
          <w:tcPr>
            <w:tcW w:w="749" w:type="pct"/>
            <w:vMerge/>
            <w:tcBorders>
              <w:left w:val="single" w:sz="4" w:space="0" w:color="auto"/>
            </w:tcBorders>
            <w:vAlign w:val="center"/>
          </w:tcPr>
          <w:p w:rsidR="00EE56C0" w:rsidRPr="005767FB" w:rsidRDefault="00EE56C0">
            <w:pPr>
              <w:pStyle w:val="afa"/>
              <w:rPr>
                <w:u w:val="single"/>
              </w:rPr>
            </w:pPr>
          </w:p>
        </w:tc>
        <w:tc>
          <w:tcPr>
            <w:tcW w:w="697" w:type="pct"/>
            <w:vMerge/>
            <w:vAlign w:val="center"/>
          </w:tcPr>
          <w:p w:rsidR="00EE56C0" w:rsidRDefault="00EE56C0">
            <w:pPr>
              <w:pStyle w:val="afa"/>
            </w:pPr>
          </w:p>
        </w:tc>
      </w:tr>
      <w:tr w:rsidR="00EE56C0">
        <w:trPr>
          <w:trHeight w:val="425"/>
          <w:jc w:val="center"/>
        </w:trPr>
        <w:tc>
          <w:tcPr>
            <w:tcW w:w="336" w:type="pct"/>
            <w:vAlign w:val="center"/>
          </w:tcPr>
          <w:p w:rsidR="00EE56C0" w:rsidRDefault="000F36A1">
            <w:pPr>
              <w:pStyle w:val="afa"/>
            </w:pPr>
            <w:r>
              <w:t>1</w:t>
            </w:r>
          </w:p>
        </w:tc>
        <w:tc>
          <w:tcPr>
            <w:tcW w:w="643" w:type="pct"/>
            <w:tcBorders>
              <w:right w:val="single" w:sz="4" w:space="0" w:color="auto"/>
            </w:tcBorders>
            <w:vAlign w:val="center"/>
          </w:tcPr>
          <w:p w:rsidR="00EE56C0" w:rsidRDefault="000F36A1">
            <w:pPr>
              <w:pStyle w:val="afa"/>
              <w:rPr>
                <w:b/>
              </w:rPr>
            </w:pPr>
            <w:r>
              <w:rPr>
                <w:rFonts w:hAnsi="宋体" w:hint="eastAsia"/>
              </w:rPr>
              <w:t>南王庄村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15" w:type="pct"/>
            <w:tcBorders>
              <w:right w:val="single" w:sz="4" w:space="0" w:color="auto"/>
            </w:tcBorders>
            <w:vAlign w:val="center"/>
          </w:tcPr>
          <w:p w:rsidR="00EE56C0" w:rsidRPr="005767FB" w:rsidRDefault="000F36A1">
            <w:pPr>
              <w:pStyle w:val="afa"/>
              <w:rPr>
                <w:u w:val="single"/>
              </w:rPr>
            </w:pPr>
            <w:r w:rsidRPr="005767FB">
              <w:rPr>
                <w:u w:val="single"/>
              </w:rPr>
              <w:t>0.0030</w:t>
            </w:r>
          </w:p>
        </w:tc>
        <w:tc>
          <w:tcPr>
            <w:tcW w:w="913"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19072107</w:t>
            </w:r>
          </w:p>
        </w:tc>
        <w:tc>
          <w:tcPr>
            <w:tcW w:w="749" w:type="pct"/>
            <w:tcBorders>
              <w:left w:val="single" w:sz="4" w:space="0" w:color="auto"/>
            </w:tcBorders>
            <w:vAlign w:val="center"/>
          </w:tcPr>
          <w:p w:rsidR="00EE56C0" w:rsidRPr="005767FB" w:rsidRDefault="000F36A1">
            <w:pPr>
              <w:pStyle w:val="afa"/>
              <w:rPr>
                <w:u w:val="single"/>
              </w:rPr>
            </w:pPr>
            <w:r w:rsidRPr="005767FB">
              <w:rPr>
                <w:u w:val="single"/>
              </w:rPr>
              <w:t>1.50</w:t>
            </w:r>
          </w:p>
        </w:tc>
        <w:tc>
          <w:tcPr>
            <w:tcW w:w="697"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t>2</w:t>
            </w:r>
          </w:p>
        </w:tc>
        <w:tc>
          <w:tcPr>
            <w:tcW w:w="643" w:type="pct"/>
            <w:tcBorders>
              <w:right w:val="single" w:sz="4" w:space="0" w:color="auto"/>
            </w:tcBorders>
            <w:vAlign w:val="center"/>
          </w:tcPr>
          <w:p w:rsidR="00EE56C0" w:rsidRDefault="000F36A1">
            <w:pPr>
              <w:pStyle w:val="afa"/>
            </w:pPr>
            <w:r>
              <w:rPr>
                <w:rFonts w:hAnsi="宋体" w:hint="eastAsia"/>
              </w:rPr>
              <w:t>刘店村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15" w:type="pct"/>
            <w:tcBorders>
              <w:right w:val="single" w:sz="4" w:space="0" w:color="auto"/>
            </w:tcBorders>
            <w:vAlign w:val="center"/>
          </w:tcPr>
          <w:p w:rsidR="00EE56C0" w:rsidRPr="005767FB" w:rsidRDefault="000F36A1">
            <w:pPr>
              <w:pStyle w:val="afa"/>
              <w:rPr>
                <w:u w:val="single"/>
              </w:rPr>
            </w:pPr>
            <w:r w:rsidRPr="005767FB">
              <w:rPr>
                <w:u w:val="single"/>
              </w:rPr>
              <w:t>0.0013</w:t>
            </w:r>
          </w:p>
        </w:tc>
        <w:tc>
          <w:tcPr>
            <w:tcW w:w="913"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19042008</w:t>
            </w:r>
          </w:p>
        </w:tc>
        <w:tc>
          <w:tcPr>
            <w:tcW w:w="749" w:type="pct"/>
            <w:tcBorders>
              <w:left w:val="single" w:sz="4" w:space="0" w:color="auto"/>
            </w:tcBorders>
            <w:vAlign w:val="center"/>
          </w:tcPr>
          <w:p w:rsidR="00EE56C0" w:rsidRPr="005767FB" w:rsidRDefault="000F36A1">
            <w:pPr>
              <w:pStyle w:val="afa"/>
              <w:rPr>
                <w:u w:val="single"/>
              </w:rPr>
            </w:pPr>
            <w:r w:rsidRPr="005767FB">
              <w:rPr>
                <w:u w:val="single"/>
              </w:rPr>
              <w:t>0.66</w:t>
            </w:r>
          </w:p>
        </w:tc>
        <w:tc>
          <w:tcPr>
            <w:tcW w:w="697"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3</w:t>
            </w:r>
          </w:p>
        </w:tc>
        <w:tc>
          <w:tcPr>
            <w:tcW w:w="643" w:type="pct"/>
            <w:tcBorders>
              <w:right w:val="single" w:sz="4" w:space="0" w:color="auto"/>
            </w:tcBorders>
            <w:vAlign w:val="center"/>
          </w:tcPr>
          <w:p w:rsidR="00EE56C0" w:rsidRDefault="000F36A1">
            <w:pPr>
              <w:pStyle w:val="afa"/>
              <w:rPr>
                <w:rFonts w:hAnsi="宋体"/>
              </w:rPr>
            </w:pPr>
            <w:r>
              <w:rPr>
                <w:rFonts w:hAnsi="宋体" w:hint="eastAsia"/>
              </w:rPr>
              <w:t>马庄村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15" w:type="pct"/>
            <w:tcBorders>
              <w:right w:val="single" w:sz="4" w:space="0" w:color="auto"/>
            </w:tcBorders>
            <w:vAlign w:val="center"/>
          </w:tcPr>
          <w:p w:rsidR="00EE56C0" w:rsidRPr="005767FB" w:rsidRDefault="000F36A1">
            <w:pPr>
              <w:pStyle w:val="afa"/>
              <w:rPr>
                <w:u w:val="single"/>
              </w:rPr>
            </w:pPr>
            <w:r w:rsidRPr="005767FB">
              <w:rPr>
                <w:u w:val="single"/>
              </w:rPr>
              <w:t>0.0016</w:t>
            </w:r>
          </w:p>
        </w:tc>
        <w:tc>
          <w:tcPr>
            <w:tcW w:w="913"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19072107</w:t>
            </w:r>
          </w:p>
        </w:tc>
        <w:tc>
          <w:tcPr>
            <w:tcW w:w="749" w:type="pct"/>
            <w:tcBorders>
              <w:left w:val="single" w:sz="4" w:space="0" w:color="auto"/>
            </w:tcBorders>
            <w:vAlign w:val="center"/>
          </w:tcPr>
          <w:p w:rsidR="00EE56C0" w:rsidRPr="005767FB" w:rsidRDefault="000F36A1">
            <w:pPr>
              <w:pStyle w:val="afa"/>
              <w:rPr>
                <w:u w:val="single"/>
              </w:rPr>
            </w:pPr>
            <w:r w:rsidRPr="005767FB">
              <w:rPr>
                <w:u w:val="single"/>
              </w:rPr>
              <w:t>0.81</w:t>
            </w:r>
          </w:p>
        </w:tc>
        <w:tc>
          <w:tcPr>
            <w:tcW w:w="697"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4</w:t>
            </w:r>
          </w:p>
        </w:tc>
        <w:tc>
          <w:tcPr>
            <w:tcW w:w="643" w:type="pct"/>
            <w:tcBorders>
              <w:right w:val="single" w:sz="4" w:space="0" w:color="auto"/>
            </w:tcBorders>
            <w:vAlign w:val="center"/>
          </w:tcPr>
          <w:p w:rsidR="00EE56C0" w:rsidRDefault="000F36A1">
            <w:pPr>
              <w:pStyle w:val="afa"/>
              <w:rPr>
                <w:rFonts w:hAnsi="宋体"/>
              </w:rPr>
            </w:pPr>
            <w:r>
              <w:rPr>
                <w:rFonts w:hAnsi="宋体" w:hint="eastAsia"/>
              </w:rPr>
              <w:t>康庄村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15" w:type="pct"/>
            <w:tcBorders>
              <w:right w:val="single" w:sz="4" w:space="0" w:color="auto"/>
            </w:tcBorders>
            <w:vAlign w:val="center"/>
          </w:tcPr>
          <w:p w:rsidR="00EE56C0" w:rsidRPr="005767FB" w:rsidRDefault="000F36A1">
            <w:pPr>
              <w:pStyle w:val="afa"/>
              <w:rPr>
                <w:u w:val="single"/>
              </w:rPr>
            </w:pPr>
            <w:r w:rsidRPr="005767FB">
              <w:rPr>
                <w:u w:val="single"/>
              </w:rPr>
              <w:t>0.0016</w:t>
            </w:r>
          </w:p>
        </w:tc>
        <w:tc>
          <w:tcPr>
            <w:tcW w:w="913"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19050307</w:t>
            </w:r>
          </w:p>
        </w:tc>
        <w:tc>
          <w:tcPr>
            <w:tcW w:w="749" w:type="pct"/>
            <w:tcBorders>
              <w:left w:val="single" w:sz="4" w:space="0" w:color="auto"/>
            </w:tcBorders>
            <w:vAlign w:val="center"/>
          </w:tcPr>
          <w:p w:rsidR="00EE56C0" w:rsidRPr="005767FB" w:rsidRDefault="000F36A1">
            <w:pPr>
              <w:pStyle w:val="afa"/>
              <w:rPr>
                <w:u w:val="single"/>
              </w:rPr>
            </w:pPr>
            <w:r w:rsidRPr="005767FB">
              <w:rPr>
                <w:u w:val="single"/>
              </w:rPr>
              <w:t>0.79</w:t>
            </w:r>
          </w:p>
        </w:tc>
        <w:tc>
          <w:tcPr>
            <w:tcW w:w="697"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5</w:t>
            </w:r>
          </w:p>
        </w:tc>
        <w:tc>
          <w:tcPr>
            <w:tcW w:w="643" w:type="pct"/>
            <w:tcBorders>
              <w:right w:val="single" w:sz="4" w:space="0" w:color="auto"/>
            </w:tcBorders>
            <w:vAlign w:val="center"/>
          </w:tcPr>
          <w:p w:rsidR="00EE56C0" w:rsidRDefault="000F36A1">
            <w:pPr>
              <w:pStyle w:val="afa"/>
              <w:rPr>
                <w:rFonts w:hAnsi="宋体"/>
              </w:rPr>
            </w:pPr>
            <w:r>
              <w:rPr>
                <w:rFonts w:hAnsi="宋体" w:hint="eastAsia"/>
              </w:rPr>
              <w:t>府庄村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15" w:type="pct"/>
            <w:tcBorders>
              <w:right w:val="single" w:sz="4" w:space="0" w:color="auto"/>
            </w:tcBorders>
            <w:vAlign w:val="center"/>
          </w:tcPr>
          <w:p w:rsidR="00EE56C0" w:rsidRPr="005767FB" w:rsidRDefault="000F36A1">
            <w:pPr>
              <w:pStyle w:val="afa"/>
              <w:rPr>
                <w:u w:val="single"/>
              </w:rPr>
            </w:pPr>
            <w:r w:rsidRPr="005767FB">
              <w:rPr>
                <w:u w:val="single"/>
              </w:rPr>
              <w:t>0.0017</w:t>
            </w:r>
          </w:p>
        </w:tc>
        <w:tc>
          <w:tcPr>
            <w:tcW w:w="913"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19050107</w:t>
            </w:r>
          </w:p>
        </w:tc>
        <w:tc>
          <w:tcPr>
            <w:tcW w:w="749" w:type="pct"/>
            <w:tcBorders>
              <w:left w:val="single" w:sz="4" w:space="0" w:color="auto"/>
            </w:tcBorders>
            <w:vAlign w:val="center"/>
          </w:tcPr>
          <w:p w:rsidR="00EE56C0" w:rsidRPr="005767FB" w:rsidRDefault="000F36A1">
            <w:pPr>
              <w:pStyle w:val="afa"/>
              <w:rPr>
                <w:u w:val="single"/>
              </w:rPr>
            </w:pPr>
            <w:r w:rsidRPr="005767FB">
              <w:rPr>
                <w:u w:val="single"/>
              </w:rPr>
              <w:t>0.86</w:t>
            </w:r>
          </w:p>
        </w:tc>
        <w:tc>
          <w:tcPr>
            <w:tcW w:w="697"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6</w:t>
            </w:r>
          </w:p>
        </w:tc>
        <w:tc>
          <w:tcPr>
            <w:tcW w:w="643" w:type="pct"/>
            <w:tcBorders>
              <w:right w:val="single" w:sz="4" w:space="0" w:color="auto"/>
            </w:tcBorders>
            <w:vAlign w:val="center"/>
          </w:tcPr>
          <w:p w:rsidR="00EE56C0" w:rsidRDefault="000F36A1">
            <w:pPr>
              <w:pStyle w:val="afa"/>
              <w:rPr>
                <w:rFonts w:hAnsi="宋体"/>
              </w:rPr>
            </w:pPr>
            <w:r>
              <w:rPr>
                <w:rFonts w:hAnsi="宋体" w:hint="eastAsia"/>
              </w:rPr>
              <w:t>大张庄村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15" w:type="pct"/>
            <w:tcBorders>
              <w:right w:val="single" w:sz="4" w:space="0" w:color="auto"/>
            </w:tcBorders>
            <w:vAlign w:val="center"/>
          </w:tcPr>
          <w:p w:rsidR="00EE56C0" w:rsidRPr="005767FB" w:rsidRDefault="000F36A1">
            <w:pPr>
              <w:pStyle w:val="afa"/>
              <w:rPr>
                <w:u w:val="single"/>
              </w:rPr>
            </w:pPr>
            <w:r w:rsidRPr="005767FB">
              <w:rPr>
                <w:u w:val="single"/>
              </w:rPr>
              <w:t>0.0008</w:t>
            </w:r>
          </w:p>
        </w:tc>
        <w:tc>
          <w:tcPr>
            <w:tcW w:w="913"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19072107</w:t>
            </w:r>
          </w:p>
        </w:tc>
        <w:tc>
          <w:tcPr>
            <w:tcW w:w="749" w:type="pct"/>
            <w:tcBorders>
              <w:left w:val="single" w:sz="4" w:space="0" w:color="auto"/>
            </w:tcBorders>
            <w:vAlign w:val="center"/>
          </w:tcPr>
          <w:p w:rsidR="00EE56C0" w:rsidRPr="005767FB" w:rsidRDefault="000F36A1">
            <w:pPr>
              <w:pStyle w:val="afa"/>
              <w:rPr>
                <w:u w:val="single"/>
              </w:rPr>
            </w:pPr>
            <w:r w:rsidRPr="005767FB">
              <w:rPr>
                <w:u w:val="single"/>
              </w:rPr>
              <w:t>0.40</w:t>
            </w:r>
          </w:p>
        </w:tc>
        <w:tc>
          <w:tcPr>
            <w:tcW w:w="697"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7</w:t>
            </w:r>
          </w:p>
        </w:tc>
        <w:tc>
          <w:tcPr>
            <w:tcW w:w="643" w:type="pct"/>
            <w:tcBorders>
              <w:right w:val="single" w:sz="4" w:space="0" w:color="auto"/>
            </w:tcBorders>
            <w:vAlign w:val="center"/>
          </w:tcPr>
          <w:p w:rsidR="00EE56C0" w:rsidRDefault="000F36A1">
            <w:pPr>
              <w:pStyle w:val="afa"/>
              <w:rPr>
                <w:rFonts w:hAnsi="宋体"/>
              </w:rPr>
            </w:pPr>
            <w:r>
              <w:rPr>
                <w:rFonts w:hAnsi="宋体" w:hint="eastAsia"/>
              </w:rPr>
              <w:t>大赵庄村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15" w:type="pct"/>
            <w:tcBorders>
              <w:right w:val="single" w:sz="4" w:space="0" w:color="auto"/>
            </w:tcBorders>
            <w:vAlign w:val="center"/>
          </w:tcPr>
          <w:p w:rsidR="00EE56C0" w:rsidRPr="005767FB" w:rsidRDefault="000F36A1">
            <w:pPr>
              <w:pStyle w:val="afa"/>
              <w:rPr>
                <w:u w:val="single"/>
              </w:rPr>
            </w:pPr>
            <w:r w:rsidRPr="005767FB">
              <w:rPr>
                <w:u w:val="single"/>
              </w:rPr>
              <w:t>0.0009</w:t>
            </w:r>
          </w:p>
        </w:tc>
        <w:tc>
          <w:tcPr>
            <w:tcW w:w="913"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19061508</w:t>
            </w:r>
          </w:p>
        </w:tc>
        <w:tc>
          <w:tcPr>
            <w:tcW w:w="749" w:type="pct"/>
            <w:tcBorders>
              <w:left w:val="single" w:sz="4" w:space="0" w:color="auto"/>
            </w:tcBorders>
            <w:vAlign w:val="center"/>
          </w:tcPr>
          <w:p w:rsidR="00EE56C0" w:rsidRPr="005767FB" w:rsidRDefault="000F36A1">
            <w:pPr>
              <w:pStyle w:val="afa"/>
              <w:rPr>
                <w:u w:val="single"/>
              </w:rPr>
            </w:pPr>
            <w:r w:rsidRPr="005767FB">
              <w:rPr>
                <w:u w:val="single"/>
              </w:rPr>
              <w:t>0.44</w:t>
            </w:r>
          </w:p>
        </w:tc>
        <w:tc>
          <w:tcPr>
            <w:tcW w:w="697"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8</w:t>
            </w:r>
          </w:p>
        </w:tc>
        <w:tc>
          <w:tcPr>
            <w:tcW w:w="643" w:type="pct"/>
            <w:tcBorders>
              <w:right w:val="single" w:sz="4" w:space="0" w:color="auto"/>
            </w:tcBorders>
            <w:vAlign w:val="center"/>
          </w:tcPr>
          <w:p w:rsidR="00EE56C0" w:rsidRDefault="000F36A1">
            <w:pPr>
              <w:pStyle w:val="afa"/>
              <w:rPr>
                <w:rFonts w:hAnsi="宋体"/>
              </w:rPr>
            </w:pPr>
            <w:r>
              <w:rPr>
                <w:rFonts w:hAnsi="宋体" w:hint="eastAsia"/>
              </w:rPr>
              <w:t>丁庄村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15" w:type="pct"/>
            <w:tcBorders>
              <w:right w:val="single" w:sz="4" w:space="0" w:color="auto"/>
            </w:tcBorders>
            <w:vAlign w:val="center"/>
          </w:tcPr>
          <w:p w:rsidR="00EE56C0" w:rsidRPr="005767FB" w:rsidRDefault="000F36A1">
            <w:pPr>
              <w:pStyle w:val="afa"/>
              <w:rPr>
                <w:u w:val="single"/>
              </w:rPr>
            </w:pPr>
            <w:r w:rsidRPr="005767FB">
              <w:rPr>
                <w:u w:val="single"/>
              </w:rPr>
              <w:t>0.0009</w:t>
            </w:r>
          </w:p>
        </w:tc>
        <w:tc>
          <w:tcPr>
            <w:tcW w:w="913"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19050308</w:t>
            </w:r>
          </w:p>
        </w:tc>
        <w:tc>
          <w:tcPr>
            <w:tcW w:w="749" w:type="pct"/>
            <w:tcBorders>
              <w:left w:val="single" w:sz="4" w:space="0" w:color="auto"/>
            </w:tcBorders>
            <w:vAlign w:val="center"/>
          </w:tcPr>
          <w:p w:rsidR="00EE56C0" w:rsidRPr="005767FB" w:rsidRDefault="000F36A1">
            <w:pPr>
              <w:pStyle w:val="afa"/>
              <w:rPr>
                <w:u w:val="single"/>
              </w:rPr>
            </w:pPr>
            <w:r w:rsidRPr="005767FB">
              <w:rPr>
                <w:u w:val="single"/>
              </w:rPr>
              <w:t>0.47</w:t>
            </w:r>
          </w:p>
        </w:tc>
        <w:tc>
          <w:tcPr>
            <w:tcW w:w="697"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9</w:t>
            </w:r>
          </w:p>
        </w:tc>
        <w:tc>
          <w:tcPr>
            <w:tcW w:w="643" w:type="pct"/>
            <w:tcBorders>
              <w:right w:val="single" w:sz="4" w:space="0" w:color="auto"/>
            </w:tcBorders>
            <w:vAlign w:val="center"/>
          </w:tcPr>
          <w:p w:rsidR="00EE56C0" w:rsidRDefault="000F36A1">
            <w:pPr>
              <w:pStyle w:val="afa"/>
              <w:rPr>
                <w:rFonts w:hAnsi="宋体"/>
              </w:rPr>
            </w:pPr>
            <w:r>
              <w:rPr>
                <w:rFonts w:hAnsi="宋体" w:hint="eastAsia"/>
              </w:rPr>
              <w:t>刘八庄村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15" w:type="pct"/>
            <w:tcBorders>
              <w:right w:val="single" w:sz="4" w:space="0" w:color="auto"/>
            </w:tcBorders>
            <w:vAlign w:val="center"/>
          </w:tcPr>
          <w:p w:rsidR="00EE56C0" w:rsidRPr="005767FB" w:rsidRDefault="000F36A1">
            <w:pPr>
              <w:pStyle w:val="afa"/>
              <w:rPr>
                <w:u w:val="single"/>
              </w:rPr>
            </w:pPr>
            <w:r w:rsidRPr="005767FB">
              <w:rPr>
                <w:u w:val="single"/>
              </w:rPr>
              <w:t>0.0012</w:t>
            </w:r>
          </w:p>
        </w:tc>
        <w:tc>
          <w:tcPr>
            <w:tcW w:w="913"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19050307</w:t>
            </w:r>
          </w:p>
        </w:tc>
        <w:tc>
          <w:tcPr>
            <w:tcW w:w="749" w:type="pct"/>
            <w:tcBorders>
              <w:left w:val="single" w:sz="4" w:space="0" w:color="auto"/>
            </w:tcBorders>
            <w:vAlign w:val="center"/>
          </w:tcPr>
          <w:p w:rsidR="00EE56C0" w:rsidRPr="005767FB" w:rsidRDefault="000F36A1">
            <w:pPr>
              <w:pStyle w:val="afa"/>
              <w:rPr>
                <w:u w:val="single"/>
              </w:rPr>
            </w:pPr>
            <w:r w:rsidRPr="005767FB">
              <w:rPr>
                <w:u w:val="single"/>
              </w:rPr>
              <w:t>0.62</w:t>
            </w:r>
          </w:p>
        </w:tc>
        <w:tc>
          <w:tcPr>
            <w:tcW w:w="697"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10</w:t>
            </w:r>
          </w:p>
        </w:tc>
        <w:tc>
          <w:tcPr>
            <w:tcW w:w="643" w:type="pct"/>
            <w:tcBorders>
              <w:right w:val="single" w:sz="4" w:space="0" w:color="auto"/>
            </w:tcBorders>
            <w:vAlign w:val="center"/>
          </w:tcPr>
          <w:p w:rsidR="00EE56C0" w:rsidRDefault="000F36A1">
            <w:pPr>
              <w:pStyle w:val="afa"/>
              <w:rPr>
                <w:rFonts w:hAnsi="宋体"/>
              </w:rPr>
            </w:pPr>
            <w:r>
              <w:rPr>
                <w:rFonts w:hAnsi="宋体" w:hint="eastAsia"/>
              </w:rPr>
              <w:t>王贵楼村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15" w:type="pct"/>
            <w:tcBorders>
              <w:right w:val="single" w:sz="4" w:space="0" w:color="auto"/>
            </w:tcBorders>
            <w:vAlign w:val="center"/>
          </w:tcPr>
          <w:p w:rsidR="00EE56C0" w:rsidRPr="005767FB" w:rsidRDefault="000F36A1">
            <w:pPr>
              <w:pStyle w:val="afa"/>
              <w:rPr>
                <w:u w:val="single"/>
              </w:rPr>
            </w:pPr>
            <w:r w:rsidRPr="005767FB">
              <w:rPr>
                <w:u w:val="single"/>
              </w:rPr>
              <w:t>0.0011</w:t>
            </w:r>
          </w:p>
        </w:tc>
        <w:tc>
          <w:tcPr>
            <w:tcW w:w="913"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19050307</w:t>
            </w:r>
          </w:p>
        </w:tc>
        <w:tc>
          <w:tcPr>
            <w:tcW w:w="749" w:type="pct"/>
            <w:tcBorders>
              <w:left w:val="single" w:sz="4" w:space="0" w:color="auto"/>
            </w:tcBorders>
            <w:vAlign w:val="center"/>
          </w:tcPr>
          <w:p w:rsidR="00EE56C0" w:rsidRPr="005767FB" w:rsidRDefault="000F36A1">
            <w:pPr>
              <w:pStyle w:val="afa"/>
              <w:rPr>
                <w:u w:val="single"/>
              </w:rPr>
            </w:pPr>
            <w:r w:rsidRPr="005767FB">
              <w:rPr>
                <w:u w:val="single"/>
              </w:rPr>
              <w:t>0.53</w:t>
            </w:r>
          </w:p>
        </w:tc>
        <w:tc>
          <w:tcPr>
            <w:tcW w:w="697"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11</w:t>
            </w:r>
          </w:p>
        </w:tc>
        <w:tc>
          <w:tcPr>
            <w:tcW w:w="643" w:type="pct"/>
            <w:tcBorders>
              <w:right w:val="single" w:sz="4" w:space="0" w:color="auto"/>
            </w:tcBorders>
            <w:vAlign w:val="center"/>
          </w:tcPr>
          <w:p w:rsidR="00EE56C0" w:rsidRDefault="000F36A1">
            <w:pPr>
              <w:pStyle w:val="afa"/>
            </w:pPr>
            <w:r>
              <w:rPr>
                <w:rFonts w:hAnsi="宋体" w:hint="eastAsia"/>
              </w:rPr>
              <w:t>罗滩村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15" w:type="pct"/>
            <w:tcBorders>
              <w:right w:val="single" w:sz="4" w:space="0" w:color="auto"/>
            </w:tcBorders>
            <w:vAlign w:val="center"/>
          </w:tcPr>
          <w:p w:rsidR="00EE56C0" w:rsidRPr="005767FB" w:rsidRDefault="000F36A1">
            <w:pPr>
              <w:pStyle w:val="afa"/>
              <w:rPr>
                <w:u w:val="single"/>
              </w:rPr>
            </w:pPr>
            <w:r w:rsidRPr="005767FB">
              <w:rPr>
                <w:u w:val="single"/>
              </w:rPr>
              <w:t>0.0012</w:t>
            </w:r>
          </w:p>
        </w:tc>
        <w:tc>
          <w:tcPr>
            <w:tcW w:w="913"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19052607</w:t>
            </w:r>
          </w:p>
        </w:tc>
        <w:tc>
          <w:tcPr>
            <w:tcW w:w="749" w:type="pct"/>
            <w:tcBorders>
              <w:left w:val="single" w:sz="4" w:space="0" w:color="auto"/>
            </w:tcBorders>
            <w:vAlign w:val="center"/>
          </w:tcPr>
          <w:p w:rsidR="00EE56C0" w:rsidRPr="005767FB" w:rsidRDefault="000F36A1">
            <w:pPr>
              <w:pStyle w:val="afa"/>
              <w:rPr>
                <w:u w:val="single"/>
              </w:rPr>
            </w:pPr>
            <w:r w:rsidRPr="005767FB">
              <w:rPr>
                <w:u w:val="single"/>
              </w:rPr>
              <w:t>0.59</w:t>
            </w:r>
          </w:p>
        </w:tc>
        <w:tc>
          <w:tcPr>
            <w:tcW w:w="697"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12</w:t>
            </w:r>
          </w:p>
        </w:tc>
        <w:tc>
          <w:tcPr>
            <w:tcW w:w="643" w:type="pct"/>
            <w:tcBorders>
              <w:right w:val="single" w:sz="4" w:space="0" w:color="auto"/>
            </w:tcBorders>
            <w:vAlign w:val="center"/>
          </w:tcPr>
          <w:p w:rsidR="00EE56C0" w:rsidRDefault="000F36A1">
            <w:pPr>
              <w:pStyle w:val="afa"/>
              <w:rPr>
                <w:rFonts w:hAnsi="宋体"/>
              </w:rPr>
            </w:pPr>
            <w:r>
              <w:rPr>
                <w:rFonts w:hAnsi="宋体" w:hint="eastAsia"/>
              </w:rPr>
              <w:t>杨庄村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15" w:type="pct"/>
            <w:tcBorders>
              <w:right w:val="single" w:sz="4" w:space="0" w:color="auto"/>
            </w:tcBorders>
            <w:vAlign w:val="center"/>
          </w:tcPr>
          <w:p w:rsidR="00EE56C0" w:rsidRPr="005767FB" w:rsidRDefault="000F36A1">
            <w:pPr>
              <w:pStyle w:val="afa"/>
              <w:rPr>
                <w:u w:val="single"/>
              </w:rPr>
            </w:pPr>
            <w:r w:rsidRPr="005767FB">
              <w:rPr>
                <w:u w:val="single"/>
              </w:rPr>
              <w:t>0.0010</w:t>
            </w:r>
          </w:p>
        </w:tc>
        <w:tc>
          <w:tcPr>
            <w:tcW w:w="913"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19052607</w:t>
            </w:r>
          </w:p>
        </w:tc>
        <w:tc>
          <w:tcPr>
            <w:tcW w:w="749" w:type="pct"/>
            <w:tcBorders>
              <w:left w:val="single" w:sz="4" w:space="0" w:color="auto"/>
            </w:tcBorders>
            <w:vAlign w:val="center"/>
          </w:tcPr>
          <w:p w:rsidR="00EE56C0" w:rsidRPr="005767FB" w:rsidRDefault="000F36A1">
            <w:pPr>
              <w:pStyle w:val="afa"/>
              <w:rPr>
                <w:u w:val="single"/>
              </w:rPr>
            </w:pPr>
            <w:r w:rsidRPr="005767FB">
              <w:rPr>
                <w:u w:val="single"/>
              </w:rPr>
              <w:t>0.49</w:t>
            </w:r>
          </w:p>
        </w:tc>
        <w:tc>
          <w:tcPr>
            <w:tcW w:w="697"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13</w:t>
            </w:r>
          </w:p>
        </w:tc>
        <w:tc>
          <w:tcPr>
            <w:tcW w:w="643" w:type="pct"/>
            <w:tcBorders>
              <w:right w:val="single" w:sz="4" w:space="0" w:color="auto"/>
            </w:tcBorders>
            <w:vAlign w:val="center"/>
          </w:tcPr>
          <w:p w:rsidR="00EE56C0" w:rsidRDefault="000F36A1">
            <w:pPr>
              <w:pStyle w:val="afa"/>
              <w:rPr>
                <w:rFonts w:hAnsi="宋体"/>
              </w:rPr>
            </w:pPr>
            <w:r>
              <w:rPr>
                <w:rFonts w:hAnsi="宋体" w:hint="eastAsia"/>
              </w:rPr>
              <w:t>杨堤村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15" w:type="pct"/>
            <w:tcBorders>
              <w:right w:val="single" w:sz="4" w:space="0" w:color="auto"/>
            </w:tcBorders>
            <w:vAlign w:val="center"/>
          </w:tcPr>
          <w:p w:rsidR="00EE56C0" w:rsidRPr="005767FB" w:rsidRDefault="000F36A1">
            <w:pPr>
              <w:pStyle w:val="afa"/>
              <w:rPr>
                <w:u w:val="single"/>
              </w:rPr>
            </w:pPr>
            <w:r w:rsidRPr="005767FB">
              <w:rPr>
                <w:u w:val="single"/>
              </w:rPr>
              <w:t>0.0012</w:t>
            </w:r>
          </w:p>
        </w:tc>
        <w:tc>
          <w:tcPr>
            <w:tcW w:w="913"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19060707</w:t>
            </w:r>
          </w:p>
        </w:tc>
        <w:tc>
          <w:tcPr>
            <w:tcW w:w="749" w:type="pct"/>
            <w:tcBorders>
              <w:left w:val="single" w:sz="4" w:space="0" w:color="auto"/>
            </w:tcBorders>
            <w:vAlign w:val="center"/>
          </w:tcPr>
          <w:p w:rsidR="00EE56C0" w:rsidRPr="005767FB" w:rsidRDefault="000F36A1">
            <w:pPr>
              <w:pStyle w:val="afa"/>
              <w:rPr>
                <w:u w:val="single"/>
              </w:rPr>
            </w:pPr>
            <w:r w:rsidRPr="005767FB">
              <w:rPr>
                <w:u w:val="single"/>
              </w:rPr>
              <w:t>0.62</w:t>
            </w:r>
          </w:p>
        </w:tc>
        <w:tc>
          <w:tcPr>
            <w:tcW w:w="697"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14</w:t>
            </w:r>
          </w:p>
        </w:tc>
        <w:tc>
          <w:tcPr>
            <w:tcW w:w="643" w:type="pct"/>
            <w:tcBorders>
              <w:right w:val="single" w:sz="4" w:space="0" w:color="auto"/>
            </w:tcBorders>
            <w:vAlign w:val="center"/>
          </w:tcPr>
          <w:p w:rsidR="00EE56C0" w:rsidRDefault="000F36A1">
            <w:pPr>
              <w:pStyle w:val="afa"/>
              <w:rPr>
                <w:rFonts w:hAnsi="宋体"/>
              </w:rPr>
            </w:pPr>
            <w:r>
              <w:rPr>
                <w:rFonts w:hAnsi="宋体" w:hint="eastAsia"/>
              </w:rPr>
              <w:t>西曹村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15" w:type="pct"/>
            <w:tcBorders>
              <w:right w:val="single" w:sz="4" w:space="0" w:color="auto"/>
            </w:tcBorders>
            <w:vAlign w:val="center"/>
          </w:tcPr>
          <w:p w:rsidR="00EE56C0" w:rsidRPr="005767FB" w:rsidRDefault="000F36A1">
            <w:pPr>
              <w:pStyle w:val="afa"/>
              <w:rPr>
                <w:u w:val="single"/>
              </w:rPr>
            </w:pPr>
            <w:r w:rsidRPr="005767FB">
              <w:rPr>
                <w:u w:val="single"/>
              </w:rPr>
              <w:t>0.0011</w:t>
            </w:r>
          </w:p>
        </w:tc>
        <w:tc>
          <w:tcPr>
            <w:tcW w:w="913"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19100208</w:t>
            </w:r>
          </w:p>
        </w:tc>
        <w:tc>
          <w:tcPr>
            <w:tcW w:w="749" w:type="pct"/>
            <w:tcBorders>
              <w:left w:val="single" w:sz="4" w:space="0" w:color="auto"/>
            </w:tcBorders>
            <w:vAlign w:val="center"/>
          </w:tcPr>
          <w:p w:rsidR="00EE56C0" w:rsidRPr="005767FB" w:rsidRDefault="000F36A1">
            <w:pPr>
              <w:pStyle w:val="afa"/>
              <w:rPr>
                <w:u w:val="single"/>
              </w:rPr>
            </w:pPr>
            <w:r w:rsidRPr="005767FB">
              <w:rPr>
                <w:u w:val="single"/>
              </w:rPr>
              <w:t>0.53</w:t>
            </w:r>
          </w:p>
        </w:tc>
        <w:tc>
          <w:tcPr>
            <w:tcW w:w="697"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15</w:t>
            </w:r>
          </w:p>
        </w:tc>
        <w:tc>
          <w:tcPr>
            <w:tcW w:w="643" w:type="pct"/>
            <w:tcBorders>
              <w:right w:val="single" w:sz="4" w:space="0" w:color="auto"/>
            </w:tcBorders>
            <w:vAlign w:val="center"/>
          </w:tcPr>
          <w:p w:rsidR="00EE56C0" w:rsidRDefault="000F36A1">
            <w:pPr>
              <w:pStyle w:val="afa"/>
              <w:rPr>
                <w:rFonts w:hAnsi="宋体"/>
              </w:rPr>
            </w:pPr>
            <w:r>
              <w:rPr>
                <w:rFonts w:hAnsi="宋体" w:hint="eastAsia"/>
              </w:rPr>
              <w:t>中曹村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15" w:type="pct"/>
            <w:tcBorders>
              <w:right w:val="single" w:sz="4" w:space="0" w:color="auto"/>
            </w:tcBorders>
            <w:vAlign w:val="center"/>
          </w:tcPr>
          <w:p w:rsidR="00EE56C0" w:rsidRPr="005767FB" w:rsidRDefault="000F36A1">
            <w:pPr>
              <w:pStyle w:val="afa"/>
              <w:rPr>
                <w:u w:val="single"/>
              </w:rPr>
            </w:pPr>
            <w:r w:rsidRPr="005767FB">
              <w:rPr>
                <w:u w:val="single"/>
              </w:rPr>
              <w:t>0.0013</w:t>
            </w:r>
          </w:p>
        </w:tc>
        <w:tc>
          <w:tcPr>
            <w:tcW w:w="913"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19110109</w:t>
            </w:r>
          </w:p>
        </w:tc>
        <w:tc>
          <w:tcPr>
            <w:tcW w:w="749" w:type="pct"/>
            <w:tcBorders>
              <w:left w:val="single" w:sz="4" w:space="0" w:color="auto"/>
            </w:tcBorders>
            <w:vAlign w:val="center"/>
          </w:tcPr>
          <w:p w:rsidR="00EE56C0" w:rsidRPr="005767FB" w:rsidRDefault="000F36A1">
            <w:pPr>
              <w:pStyle w:val="afa"/>
              <w:rPr>
                <w:u w:val="single"/>
              </w:rPr>
            </w:pPr>
            <w:r w:rsidRPr="005767FB">
              <w:rPr>
                <w:u w:val="single"/>
              </w:rPr>
              <w:t>0.64</w:t>
            </w:r>
          </w:p>
        </w:tc>
        <w:tc>
          <w:tcPr>
            <w:tcW w:w="697"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16</w:t>
            </w:r>
          </w:p>
        </w:tc>
        <w:tc>
          <w:tcPr>
            <w:tcW w:w="643" w:type="pct"/>
            <w:tcBorders>
              <w:right w:val="single" w:sz="4" w:space="0" w:color="auto"/>
            </w:tcBorders>
            <w:vAlign w:val="center"/>
          </w:tcPr>
          <w:p w:rsidR="00EE56C0" w:rsidRDefault="000F36A1">
            <w:pPr>
              <w:pStyle w:val="afa"/>
              <w:rPr>
                <w:rFonts w:hAnsi="宋体"/>
              </w:rPr>
            </w:pPr>
            <w:r>
              <w:rPr>
                <w:rFonts w:hAnsi="宋体" w:hint="eastAsia"/>
              </w:rPr>
              <w:t>东曹村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15" w:type="pct"/>
            <w:tcBorders>
              <w:right w:val="single" w:sz="4" w:space="0" w:color="auto"/>
            </w:tcBorders>
            <w:vAlign w:val="center"/>
          </w:tcPr>
          <w:p w:rsidR="00EE56C0" w:rsidRPr="005767FB" w:rsidRDefault="000F36A1">
            <w:pPr>
              <w:pStyle w:val="afa"/>
              <w:rPr>
                <w:u w:val="single"/>
              </w:rPr>
            </w:pPr>
            <w:r w:rsidRPr="005767FB">
              <w:rPr>
                <w:u w:val="single"/>
              </w:rPr>
              <w:t>0.0014</w:t>
            </w:r>
          </w:p>
        </w:tc>
        <w:tc>
          <w:tcPr>
            <w:tcW w:w="913"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19120910</w:t>
            </w:r>
          </w:p>
        </w:tc>
        <w:tc>
          <w:tcPr>
            <w:tcW w:w="749" w:type="pct"/>
            <w:tcBorders>
              <w:left w:val="single" w:sz="4" w:space="0" w:color="auto"/>
            </w:tcBorders>
            <w:vAlign w:val="center"/>
          </w:tcPr>
          <w:p w:rsidR="00EE56C0" w:rsidRPr="005767FB" w:rsidRDefault="000F36A1">
            <w:pPr>
              <w:pStyle w:val="afa"/>
              <w:rPr>
                <w:u w:val="single"/>
              </w:rPr>
            </w:pPr>
            <w:r w:rsidRPr="005767FB">
              <w:rPr>
                <w:u w:val="single"/>
              </w:rPr>
              <w:t>0.69</w:t>
            </w:r>
          </w:p>
        </w:tc>
        <w:tc>
          <w:tcPr>
            <w:tcW w:w="697"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17</w:t>
            </w:r>
          </w:p>
        </w:tc>
        <w:tc>
          <w:tcPr>
            <w:tcW w:w="643" w:type="pct"/>
            <w:tcBorders>
              <w:right w:val="single" w:sz="4" w:space="0" w:color="auto"/>
            </w:tcBorders>
            <w:vAlign w:val="center"/>
          </w:tcPr>
          <w:p w:rsidR="00EE56C0" w:rsidRDefault="000F36A1">
            <w:pPr>
              <w:pStyle w:val="afa"/>
              <w:rPr>
                <w:rFonts w:hAnsi="宋体"/>
              </w:rPr>
            </w:pPr>
            <w:r>
              <w:rPr>
                <w:rFonts w:hAnsi="宋体" w:hint="eastAsia"/>
              </w:rPr>
              <w:t>七里营镇</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15" w:type="pct"/>
            <w:tcBorders>
              <w:right w:val="single" w:sz="4" w:space="0" w:color="auto"/>
            </w:tcBorders>
            <w:vAlign w:val="center"/>
          </w:tcPr>
          <w:p w:rsidR="00EE56C0" w:rsidRPr="005767FB" w:rsidRDefault="000F36A1">
            <w:pPr>
              <w:pStyle w:val="afa"/>
              <w:rPr>
                <w:u w:val="single"/>
              </w:rPr>
            </w:pPr>
            <w:r w:rsidRPr="005767FB">
              <w:rPr>
                <w:u w:val="single"/>
              </w:rPr>
              <w:t>0.0019</w:t>
            </w:r>
          </w:p>
        </w:tc>
        <w:tc>
          <w:tcPr>
            <w:tcW w:w="913"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19051507</w:t>
            </w:r>
          </w:p>
        </w:tc>
        <w:tc>
          <w:tcPr>
            <w:tcW w:w="749" w:type="pct"/>
            <w:tcBorders>
              <w:left w:val="single" w:sz="4" w:space="0" w:color="auto"/>
            </w:tcBorders>
            <w:vAlign w:val="center"/>
          </w:tcPr>
          <w:p w:rsidR="00EE56C0" w:rsidRPr="005767FB" w:rsidRDefault="000F36A1">
            <w:pPr>
              <w:pStyle w:val="afa"/>
              <w:rPr>
                <w:u w:val="single"/>
              </w:rPr>
            </w:pPr>
            <w:r w:rsidRPr="005767FB">
              <w:rPr>
                <w:u w:val="single"/>
              </w:rPr>
              <w:t>0.95</w:t>
            </w:r>
          </w:p>
        </w:tc>
        <w:tc>
          <w:tcPr>
            <w:tcW w:w="697"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18</w:t>
            </w:r>
          </w:p>
        </w:tc>
        <w:tc>
          <w:tcPr>
            <w:tcW w:w="643" w:type="pct"/>
            <w:tcBorders>
              <w:right w:val="single" w:sz="4" w:space="0" w:color="auto"/>
            </w:tcBorders>
            <w:vAlign w:val="center"/>
          </w:tcPr>
          <w:p w:rsidR="00EE56C0" w:rsidRDefault="000F36A1">
            <w:pPr>
              <w:pStyle w:val="afa"/>
              <w:rPr>
                <w:rFonts w:hAnsi="宋体"/>
              </w:rPr>
            </w:pPr>
            <w:r>
              <w:rPr>
                <w:rFonts w:hAnsi="宋体" w:hint="eastAsia"/>
              </w:rPr>
              <w:t>七二村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15" w:type="pct"/>
            <w:tcBorders>
              <w:right w:val="single" w:sz="4" w:space="0" w:color="auto"/>
            </w:tcBorders>
            <w:vAlign w:val="center"/>
          </w:tcPr>
          <w:p w:rsidR="00EE56C0" w:rsidRPr="005767FB" w:rsidRDefault="000F36A1">
            <w:pPr>
              <w:pStyle w:val="afa"/>
              <w:rPr>
                <w:u w:val="single"/>
              </w:rPr>
            </w:pPr>
            <w:r w:rsidRPr="005767FB">
              <w:rPr>
                <w:u w:val="single"/>
              </w:rPr>
              <w:t>0.0017</w:t>
            </w:r>
          </w:p>
        </w:tc>
        <w:tc>
          <w:tcPr>
            <w:tcW w:w="913"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19072207</w:t>
            </w:r>
          </w:p>
        </w:tc>
        <w:tc>
          <w:tcPr>
            <w:tcW w:w="749" w:type="pct"/>
            <w:tcBorders>
              <w:left w:val="single" w:sz="4" w:space="0" w:color="auto"/>
            </w:tcBorders>
            <w:vAlign w:val="center"/>
          </w:tcPr>
          <w:p w:rsidR="00EE56C0" w:rsidRPr="005767FB" w:rsidRDefault="000F36A1">
            <w:pPr>
              <w:pStyle w:val="afa"/>
              <w:rPr>
                <w:u w:val="single"/>
              </w:rPr>
            </w:pPr>
            <w:r w:rsidRPr="005767FB">
              <w:rPr>
                <w:u w:val="single"/>
              </w:rPr>
              <w:t>0.83</w:t>
            </w:r>
          </w:p>
        </w:tc>
        <w:tc>
          <w:tcPr>
            <w:tcW w:w="697"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19</w:t>
            </w:r>
          </w:p>
        </w:tc>
        <w:tc>
          <w:tcPr>
            <w:tcW w:w="643" w:type="pct"/>
            <w:tcBorders>
              <w:right w:val="single" w:sz="4" w:space="0" w:color="auto"/>
            </w:tcBorders>
            <w:vAlign w:val="center"/>
          </w:tcPr>
          <w:p w:rsidR="00EE56C0" w:rsidRDefault="000F36A1">
            <w:pPr>
              <w:pStyle w:val="afa"/>
            </w:pPr>
            <w:r>
              <w:rPr>
                <w:rFonts w:hAnsi="宋体" w:hint="eastAsia"/>
              </w:rPr>
              <w:t>刘庄</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15" w:type="pct"/>
            <w:tcBorders>
              <w:right w:val="single" w:sz="4" w:space="0" w:color="auto"/>
            </w:tcBorders>
            <w:vAlign w:val="center"/>
          </w:tcPr>
          <w:p w:rsidR="00EE56C0" w:rsidRPr="005767FB" w:rsidRDefault="000F36A1">
            <w:pPr>
              <w:pStyle w:val="afa"/>
              <w:rPr>
                <w:u w:val="single"/>
              </w:rPr>
            </w:pPr>
            <w:r w:rsidRPr="005767FB">
              <w:rPr>
                <w:u w:val="single"/>
              </w:rPr>
              <w:t>0.0021</w:t>
            </w:r>
          </w:p>
        </w:tc>
        <w:tc>
          <w:tcPr>
            <w:tcW w:w="913"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19051208</w:t>
            </w:r>
          </w:p>
        </w:tc>
        <w:tc>
          <w:tcPr>
            <w:tcW w:w="749" w:type="pct"/>
            <w:tcBorders>
              <w:left w:val="single" w:sz="4" w:space="0" w:color="auto"/>
            </w:tcBorders>
            <w:vAlign w:val="center"/>
          </w:tcPr>
          <w:p w:rsidR="00EE56C0" w:rsidRPr="005767FB" w:rsidRDefault="000F36A1">
            <w:pPr>
              <w:pStyle w:val="afa"/>
              <w:rPr>
                <w:u w:val="single"/>
              </w:rPr>
            </w:pPr>
            <w:r w:rsidRPr="005767FB">
              <w:rPr>
                <w:u w:val="single"/>
              </w:rPr>
              <w:t>1.07</w:t>
            </w:r>
          </w:p>
        </w:tc>
        <w:tc>
          <w:tcPr>
            <w:tcW w:w="697"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lastRenderedPageBreak/>
              <w:t>20</w:t>
            </w:r>
          </w:p>
        </w:tc>
        <w:tc>
          <w:tcPr>
            <w:tcW w:w="643" w:type="pct"/>
            <w:tcBorders>
              <w:right w:val="single" w:sz="4" w:space="0" w:color="auto"/>
            </w:tcBorders>
            <w:vAlign w:val="center"/>
          </w:tcPr>
          <w:p w:rsidR="00EE56C0" w:rsidRDefault="000F36A1">
            <w:pPr>
              <w:pStyle w:val="afa"/>
            </w:pPr>
            <w:r>
              <w:rPr>
                <w:rFonts w:hAnsi="宋体" w:hint="eastAsia"/>
              </w:rPr>
              <w:t>陈庄村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15" w:type="pct"/>
            <w:tcBorders>
              <w:right w:val="single" w:sz="4" w:space="0" w:color="auto"/>
            </w:tcBorders>
            <w:vAlign w:val="center"/>
          </w:tcPr>
          <w:p w:rsidR="00EE56C0" w:rsidRPr="005767FB" w:rsidRDefault="000F36A1">
            <w:pPr>
              <w:pStyle w:val="afa"/>
              <w:rPr>
                <w:u w:val="single"/>
              </w:rPr>
            </w:pPr>
            <w:r w:rsidRPr="005767FB">
              <w:rPr>
                <w:u w:val="single"/>
              </w:rPr>
              <w:t>0.0019</w:t>
            </w:r>
          </w:p>
        </w:tc>
        <w:tc>
          <w:tcPr>
            <w:tcW w:w="913"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19051208</w:t>
            </w:r>
          </w:p>
        </w:tc>
        <w:tc>
          <w:tcPr>
            <w:tcW w:w="749" w:type="pct"/>
            <w:tcBorders>
              <w:left w:val="single" w:sz="4" w:space="0" w:color="auto"/>
            </w:tcBorders>
            <w:vAlign w:val="center"/>
          </w:tcPr>
          <w:p w:rsidR="00EE56C0" w:rsidRPr="005767FB" w:rsidRDefault="000F36A1">
            <w:pPr>
              <w:pStyle w:val="afa"/>
              <w:rPr>
                <w:u w:val="single"/>
              </w:rPr>
            </w:pPr>
            <w:r w:rsidRPr="005767FB">
              <w:rPr>
                <w:u w:val="single"/>
              </w:rPr>
              <w:t>0.96</w:t>
            </w:r>
          </w:p>
        </w:tc>
        <w:tc>
          <w:tcPr>
            <w:tcW w:w="697"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21</w:t>
            </w:r>
          </w:p>
        </w:tc>
        <w:tc>
          <w:tcPr>
            <w:tcW w:w="643" w:type="pct"/>
            <w:tcBorders>
              <w:right w:val="single" w:sz="4" w:space="0" w:color="auto"/>
            </w:tcBorders>
            <w:vAlign w:val="center"/>
          </w:tcPr>
          <w:p w:rsidR="00EE56C0" w:rsidRDefault="000F36A1">
            <w:pPr>
              <w:pStyle w:val="afa"/>
              <w:rPr>
                <w:rFonts w:hAnsi="宋体"/>
              </w:rPr>
            </w:pPr>
            <w:r>
              <w:rPr>
                <w:rFonts w:hAnsi="宋体" w:hint="eastAsia"/>
                <w:bCs/>
              </w:rPr>
              <w:t>位庄村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15" w:type="pct"/>
            <w:tcBorders>
              <w:right w:val="single" w:sz="4" w:space="0" w:color="auto"/>
            </w:tcBorders>
            <w:vAlign w:val="center"/>
          </w:tcPr>
          <w:p w:rsidR="00EE56C0" w:rsidRPr="005767FB" w:rsidRDefault="000F36A1">
            <w:pPr>
              <w:pStyle w:val="afa"/>
              <w:rPr>
                <w:u w:val="single"/>
              </w:rPr>
            </w:pPr>
            <w:r w:rsidRPr="005767FB">
              <w:rPr>
                <w:u w:val="single"/>
              </w:rPr>
              <w:t>0.0006</w:t>
            </w:r>
          </w:p>
        </w:tc>
        <w:tc>
          <w:tcPr>
            <w:tcW w:w="913"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19100322</w:t>
            </w:r>
          </w:p>
        </w:tc>
        <w:tc>
          <w:tcPr>
            <w:tcW w:w="749" w:type="pct"/>
            <w:tcBorders>
              <w:left w:val="single" w:sz="4" w:space="0" w:color="auto"/>
            </w:tcBorders>
            <w:vAlign w:val="center"/>
          </w:tcPr>
          <w:p w:rsidR="00EE56C0" w:rsidRPr="005767FB" w:rsidRDefault="000F36A1">
            <w:pPr>
              <w:pStyle w:val="afa"/>
              <w:rPr>
                <w:u w:val="single"/>
              </w:rPr>
            </w:pPr>
            <w:r w:rsidRPr="005767FB">
              <w:rPr>
                <w:u w:val="single"/>
              </w:rPr>
              <w:t>0.32</w:t>
            </w:r>
          </w:p>
        </w:tc>
        <w:tc>
          <w:tcPr>
            <w:tcW w:w="697"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22</w:t>
            </w:r>
          </w:p>
        </w:tc>
        <w:tc>
          <w:tcPr>
            <w:tcW w:w="643" w:type="pct"/>
            <w:tcBorders>
              <w:right w:val="single" w:sz="4" w:space="0" w:color="auto"/>
            </w:tcBorders>
            <w:vAlign w:val="center"/>
          </w:tcPr>
          <w:p w:rsidR="00EE56C0" w:rsidRDefault="000F36A1">
            <w:pPr>
              <w:pStyle w:val="afa"/>
              <w:rPr>
                <w:rFonts w:hAnsi="宋体"/>
              </w:rPr>
            </w:pPr>
            <w:r>
              <w:rPr>
                <w:rFonts w:hAnsi="宋体" w:hint="eastAsia"/>
              </w:rPr>
              <w:t>南魏庄</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15" w:type="pct"/>
            <w:tcBorders>
              <w:right w:val="single" w:sz="4" w:space="0" w:color="auto"/>
            </w:tcBorders>
            <w:vAlign w:val="center"/>
          </w:tcPr>
          <w:p w:rsidR="00EE56C0" w:rsidRPr="005767FB" w:rsidRDefault="000F36A1">
            <w:pPr>
              <w:pStyle w:val="afa"/>
              <w:rPr>
                <w:u w:val="single"/>
              </w:rPr>
            </w:pPr>
            <w:r w:rsidRPr="005767FB">
              <w:rPr>
                <w:u w:val="single"/>
              </w:rPr>
              <w:t>0.0009</w:t>
            </w:r>
          </w:p>
        </w:tc>
        <w:tc>
          <w:tcPr>
            <w:tcW w:w="913"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19060607</w:t>
            </w:r>
          </w:p>
        </w:tc>
        <w:tc>
          <w:tcPr>
            <w:tcW w:w="749" w:type="pct"/>
            <w:tcBorders>
              <w:left w:val="single" w:sz="4" w:space="0" w:color="auto"/>
            </w:tcBorders>
            <w:vAlign w:val="center"/>
          </w:tcPr>
          <w:p w:rsidR="00EE56C0" w:rsidRPr="005767FB" w:rsidRDefault="000F36A1">
            <w:pPr>
              <w:pStyle w:val="afa"/>
              <w:rPr>
                <w:u w:val="single"/>
              </w:rPr>
            </w:pPr>
            <w:r w:rsidRPr="005767FB">
              <w:rPr>
                <w:u w:val="single"/>
              </w:rPr>
              <w:t>0.45</w:t>
            </w:r>
          </w:p>
        </w:tc>
        <w:tc>
          <w:tcPr>
            <w:tcW w:w="697"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23</w:t>
            </w:r>
          </w:p>
        </w:tc>
        <w:tc>
          <w:tcPr>
            <w:tcW w:w="643" w:type="pct"/>
            <w:tcBorders>
              <w:right w:val="single" w:sz="4" w:space="0" w:color="auto"/>
            </w:tcBorders>
            <w:vAlign w:val="center"/>
          </w:tcPr>
          <w:p w:rsidR="00EE56C0" w:rsidRDefault="000F36A1">
            <w:pPr>
              <w:pStyle w:val="afa"/>
              <w:rPr>
                <w:rFonts w:hAnsi="宋体"/>
              </w:rPr>
            </w:pPr>
            <w:r>
              <w:rPr>
                <w:rFonts w:hAnsi="宋体" w:hint="eastAsia"/>
              </w:rPr>
              <w:t>曹庄村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15" w:type="pct"/>
            <w:tcBorders>
              <w:right w:val="single" w:sz="4" w:space="0" w:color="auto"/>
            </w:tcBorders>
            <w:vAlign w:val="center"/>
          </w:tcPr>
          <w:p w:rsidR="00EE56C0" w:rsidRPr="005767FB" w:rsidRDefault="000F36A1">
            <w:pPr>
              <w:pStyle w:val="afa"/>
              <w:rPr>
                <w:u w:val="single"/>
              </w:rPr>
            </w:pPr>
            <w:r w:rsidRPr="005767FB">
              <w:rPr>
                <w:u w:val="single"/>
              </w:rPr>
              <w:t>0.0011</w:t>
            </w:r>
          </w:p>
        </w:tc>
        <w:tc>
          <w:tcPr>
            <w:tcW w:w="913"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19060607</w:t>
            </w:r>
          </w:p>
        </w:tc>
        <w:tc>
          <w:tcPr>
            <w:tcW w:w="749" w:type="pct"/>
            <w:tcBorders>
              <w:left w:val="single" w:sz="4" w:space="0" w:color="auto"/>
            </w:tcBorders>
            <w:vAlign w:val="center"/>
          </w:tcPr>
          <w:p w:rsidR="00EE56C0" w:rsidRPr="005767FB" w:rsidRDefault="000F36A1">
            <w:pPr>
              <w:pStyle w:val="afa"/>
              <w:rPr>
                <w:u w:val="single"/>
              </w:rPr>
            </w:pPr>
            <w:r w:rsidRPr="005767FB">
              <w:rPr>
                <w:u w:val="single"/>
              </w:rPr>
              <w:t>0.56</w:t>
            </w:r>
          </w:p>
        </w:tc>
        <w:tc>
          <w:tcPr>
            <w:tcW w:w="697"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24</w:t>
            </w:r>
          </w:p>
        </w:tc>
        <w:tc>
          <w:tcPr>
            <w:tcW w:w="643" w:type="pct"/>
            <w:tcBorders>
              <w:right w:val="single" w:sz="4" w:space="0" w:color="auto"/>
            </w:tcBorders>
            <w:vAlign w:val="center"/>
          </w:tcPr>
          <w:p w:rsidR="00EE56C0" w:rsidRDefault="000F36A1">
            <w:pPr>
              <w:pStyle w:val="afa"/>
            </w:pPr>
            <w:r>
              <w:rPr>
                <w:rFonts w:hint="eastAsia"/>
              </w:rPr>
              <w:t>新</w:t>
            </w:r>
            <w:r>
              <w:rPr>
                <w:rFonts w:hAnsi="宋体" w:hint="eastAsia"/>
              </w:rPr>
              <w:t>庄</w:t>
            </w:r>
            <w:r>
              <w:rPr>
                <w:rFonts w:hint="eastAsia"/>
              </w:rPr>
              <w:t>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15" w:type="pct"/>
            <w:tcBorders>
              <w:right w:val="single" w:sz="4" w:space="0" w:color="auto"/>
            </w:tcBorders>
            <w:vAlign w:val="center"/>
          </w:tcPr>
          <w:p w:rsidR="00EE56C0" w:rsidRPr="005767FB" w:rsidRDefault="000F36A1">
            <w:pPr>
              <w:pStyle w:val="afa"/>
              <w:rPr>
                <w:u w:val="single"/>
              </w:rPr>
            </w:pPr>
            <w:r w:rsidRPr="005767FB">
              <w:rPr>
                <w:u w:val="single"/>
              </w:rPr>
              <w:t>0.0008</w:t>
            </w:r>
          </w:p>
        </w:tc>
        <w:tc>
          <w:tcPr>
            <w:tcW w:w="913"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19060607</w:t>
            </w:r>
          </w:p>
        </w:tc>
        <w:tc>
          <w:tcPr>
            <w:tcW w:w="749" w:type="pct"/>
            <w:tcBorders>
              <w:left w:val="single" w:sz="4" w:space="0" w:color="auto"/>
            </w:tcBorders>
            <w:vAlign w:val="center"/>
          </w:tcPr>
          <w:p w:rsidR="00EE56C0" w:rsidRPr="005767FB" w:rsidRDefault="000F36A1">
            <w:pPr>
              <w:pStyle w:val="afa"/>
              <w:rPr>
                <w:u w:val="single"/>
              </w:rPr>
            </w:pPr>
            <w:r w:rsidRPr="005767FB">
              <w:rPr>
                <w:u w:val="single"/>
              </w:rPr>
              <w:t>0.40</w:t>
            </w:r>
          </w:p>
        </w:tc>
        <w:tc>
          <w:tcPr>
            <w:tcW w:w="697"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25</w:t>
            </w:r>
          </w:p>
        </w:tc>
        <w:tc>
          <w:tcPr>
            <w:tcW w:w="643" w:type="pct"/>
            <w:tcBorders>
              <w:right w:val="single" w:sz="4" w:space="0" w:color="auto"/>
            </w:tcBorders>
            <w:vAlign w:val="center"/>
          </w:tcPr>
          <w:p w:rsidR="00EE56C0" w:rsidRDefault="000F36A1">
            <w:pPr>
              <w:pStyle w:val="afa"/>
            </w:pPr>
            <w:r>
              <w:rPr>
                <w:rFonts w:hint="eastAsia"/>
              </w:rPr>
              <w:t>刘纪岗</w:t>
            </w:r>
            <w:r>
              <w:rPr>
                <w:rFonts w:hAnsi="宋体" w:hint="eastAsia"/>
              </w:rPr>
              <w:t>庄</w:t>
            </w:r>
            <w:r>
              <w:rPr>
                <w:rFonts w:hint="eastAsia"/>
              </w:rPr>
              <w:t>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15" w:type="pct"/>
            <w:tcBorders>
              <w:right w:val="single" w:sz="4" w:space="0" w:color="auto"/>
            </w:tcBorders>
            <w:vAlign w:val="center"/>
          </w:tcPr>
          <w:p w:rsidR="00EE56C0" w:rsidRPr="005767FB" w:rsidRDefault="000F36A1">
            <w:pPr>
              <w:pStyle w:val="afa"/>
              <w:rPr>
                <w:u w:val="single"/>
              </w:rPr>
            </w:pPr>
            <w:r w:rsidRPr="005767FB">
              <w:rPr>
                <w:u w:val="single"/>
              </w:rPr>
              <w:t>0.0007</w:t>
            </w:r>
          </w:p>
        </w:tc>
        <w:tc>
          <w:tcPr>
            <w:tcW w:w="913"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19060607</w:t>
            </w:r>
          </w:p>
        </w:tc>
        <w:tc>
          <w:tcPr>
            <w:tcW w:w="749" w:type="pct"/>
            <w:tcBorders>
              <w:left w:val="single" w:sz="4" w:space="0" w:color="auto"/>
            </w:tcBorders>
            <w:vAlign w:val="center"/>
          </w:tcPr>
          <w:p w:rsidR="00EE56C0" w:rsidRPr="005767FB" w:rsidRDefault="000F36A1">
            <w:pPr>
              <w:pStyle w:val="afa"/>
              <w:rPr>
                <w:u w:val="single"/>
              </w:rPr>
            </w:pPr>
            <w:r w:rsidRPr="005767FB">
              <w:rPr>
                <w:u w:val="single"/>
              </w:rPr>
              <w:t>0.34</w:t>
            </w:r>
          </w:p>
        </w:tc>
        <w:tc>
          <w:tcPr>
            <w:tcW w:w="697"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26</w:t>
            </w:r>
          </w:p>
        </w:tc>
        <w:tc>
          <w:tcPr>
            <w:tcW w:w="643" w:type="pct"/>
            <w:tcBorders>
              <w:right w:val="single" w:sz="4" w:space="0" w:color="auto"/>
            </w:tcBorders>
            <w:vAlign w:val="center"/>
          </w:tcPr>
          <w:p w:rsidR="00EE56C0" w:rsidRDefault="000F36A1">
            <w:pPr>
              <w:pStyle w:val="afa"/>
            </w:pPr>
            <w:r>
              <w:rPr>
                <w:rFonts w:hint="eastAsia"/>
              </w:rPr>
              <w:t>小张庄村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15" w:type="pct"/>
            <w:tcBorders>
              <w:right w:val="single" w:sz="4" w:space="0" w:color="auto"/>
            </w:tcBorders>
            <w:vAlign w:val="center"/>
          </w:tcPr>
          <w:p w:rsidR="00EE56C0" w:rsidRPr="005767FB" w:rsidRDefault="000F36A1">
            <w:pPr>
              <w:pStyle w:val="afa"/>
              <w:rPr>
                <w:u w:val="single"/>
              </w:rPr>
            </w:pPr>
            <w:r w:rsidRPr="005767FB">
              <w:rPr>
                <w:u w:val="single"/>
              </w:rPr>
              <w:t>0.0005</w:t>
            </w:r>
          </w:p>
        </w:tc>
        <w:tc>
          <w:tcPr>
            <w:tcW w:w="913"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19051208</w:t>
            </w:r>
          </w:p>
        </w:tc>
        <w:tc>
          <w:tcPr>
            <w:tcW w:w="749" w:type="pct"/>
            <w:tcBorders>
              <w:left w:val="single" w:sz="4" w:space="0" w:color="auto"/>
            </w:tcBorders>
            <w:vAlign w:val="center"/>
          </w:tcPr>
          <w:p w:rsidR="00EE56C0" w:rsidRPr="005767FB" w:rsidRDefault="000F36A1">
            <w:pPr>
              <w:pStyle w:val="afa"/>
              <w:rPr>
                <w:u w:val="single"/>
              </w:rPr>
            </w:pPr>
            <w:r w:rsidRPr="005767FB">
              <w:rPr>
                <w:u w:val="single"/>
              </w:rPr>
              <w:t>0.27</w:t>
            </w:r>
          </w:p>
        </w:tc>
        <w:tc>
          <w:tcPr>
            <w:tcW w:w="697"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27</w:t>
            </w:r>
          </w:p>
        </w:tc>
        <w:tc>
          <w:tcPr>
            <w:tcW w:w="643" w:type="pct"/>
            <w:tcBorders>
              <w:right w:val="single" w:sz="4" w:space="0" w:color="auto"/>
            </w:tcBorders>
            <w:vAlign w:val="center"/>
          </w:tcPr>
          <w:p w:rsidR="00EE56C0" w:rsidRDefault="000F36A1">
            <w:pPr>
              <w:pStyle w:val="afa"/>
            </w:pPr>
            <w:r>
              <w:rPr>
                <w:rFonts w:hint="eastAsia"/>
              </w:rPr>
              <w:t>苗庄村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15" w:type="pct"/>
            <w:tcBorders>
              <w:right w:val="single" w:sz="4" w:space="0" w:color="auto"/>
            </w:tcBorders>
            <w:vAlign w:val="center"/>
          </w:tcPr>
          <w:p w:rsidR="00EE56C0" w:rsidRPr="005767FB" w:rsidRDefault="000F36A1">
            <w:pPr>
              <w:pStyle w:val="afa"/>
              <w:rPr>
                <w:u w:val="single"/>
              </w:rPr>
            </w:pPr>
            <w:r w:rsidRPr="005767FB">
              <w:rPr>
                <w:u w:val="single"/>
              </w:rPr>
              <w:t>0.0004</w:t>
            </w:r>
          </w:p>
        </w:tc>
        <w:tc>
          <w:tcPr>
            <w:tcW w:w="913"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19062802</w:t>
            </w:r>
          </w:p>
        </w:tc>
        <w:tc>
          <w:tcPr>
            <w:tcW w:w="749" w:type="pct"/>
            <w:tcBorders>
              <w:left w:val="single" w:sz="4" w:space="0" w:color="auto"/>
            </w:tcBorders>
            <w:vAlign w:val="center"/>
          </w:tcPr>
          <w:p w:rsidR="00EE56C0" w:rsidRPr="005767FB" w:rsidRDefault="000F36A1">
            <w:pPr>
              <w:pStyle w:val="afa"/>
              <w:rPr>
                <w:u w:val="single"/>
              </w:rPr>
            </w:pPr>
            <w:r w:rsidRPr="005767FB">
              <w:rPr>
                <w:u w:val="single"/>
              </w:rPr>
              <w:t>0.21</w:t>
            </w:r>
          </w:p>
        </w:tc>
        <w:tc>
          <w:tcPr>
            <w:tcW w:w="697"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28</w:t>
            </w:r>
          </w:p>
        </w:tc>
        <w:tc>
          <w:tcPr>
            <w:tcW w:w="643" w:type="pct"/>
            <w:tcBorders>
              <w:right w:val="single" w:sz="4" w:space="0" w:color="auto"/>
            </w:tcBorders>
            <w:vAlign w:val="center"/>
          </w:tcPr>
          <w:p w:rsidR="00EE56C0" w:rsidRDefault="000F36A1">
            <w:pPr>
              <w:pStyle w:val="afa"/>
            </w:pPr>
            <w:r>
              <w:rPr>
                <w:rFonts w:hint="eastAsia"/>
              </w:rPr>
              <w:t>沟王村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15" w:type="pct"/>
            <w:tcBorders>
              <w:right w:val="single" w:sz="4" w:space="0" w:color="auto"/>
            </w:tcBorders>
            <w:vAlign w:val="center"/>
          </w:tcPr>
          <w:p w:rsidR="00EE56C0" w:rsidRPr="005767FB" w:rsidRDefault="000F36A1">
            <w:pPr>
              <w:pStyle w:val="afa"/>
              <w:rPr>
                <w:u w:val="single"/>
              </w:rPr>
            </w:pPr>
            <w:r w:rsidRPr="005767FB">
              <w:rPr>
                <w:u w:val="single"/>
              </w:rPr>
              <w:t>0.0013</w:t>
            </w:r>
          </w:p>
        </w:tc>
        <w:tc>
          <w:tcPr>
            <w:tcW w:w="913"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19051208</w:t>
            </w:r>
          </w:p>
        </w:tc>
        <w:tc>
          <w:tcPr>
            <w:tcW w:w="749" w:type="pct"/>
            <w:tcBorders>
              <w:left w:val="single" w:sz="4" w:space="0" w:color="auto"/>
            </w:tcBorders>
            <w:vAlign w:val="center"/>
          </w:tcPr>
          <w:p w:rsidR="00EE56C0" w:rsidRPr="005767FB" w:rsidRDefault="000F36A1">
            <w:pPr>
              <w:pStyle w:val="afa"/>
              <w:rPr>
                <w:u w:val="single"/>
              </w:rPr>
            </w:pPr>
            <w:r w:rsidRPr="005767FB">
              <w:rPr>
                <w:u w:val="single"/>
              </w:rPr>
              <w:t>0.67</w:t>
            </w:r>
          </w:p>
        </w:tc>
        <w:tc>
          <w:tcPr>
            <w:tcW w:w="697"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29</w:t>
            </w:r>
          </w:p>
        </w:tc>
        <w:tc>
          <w:tcPr>
            <w:tcW w:w="643" w:type="pct"/>
            <w:tcBorders>
              <w:right w:val="single" w:sz="4" w:space="0" w:color="auto"/>
            </w:tcBorders>
            <w:vAlign w:val="center"/>
          </w:tcPr>
          <w:p w:rsidR="00EE56C0" w:rsidRDefault="000F36A1">
            <w:pPr>
              <w:pStyle w:val="afa"/>
            </w:pPr>
            <w:r>
              <w:rPr>
                <w:rFonts w:hint="eastAsia"/>
              </w:rPr>
              <w:t>八柳树村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15" w:type="pct"/>
            <w:tcBorders>
              <w:right w:val="single" w:sz="4" w:space="0" w:color="auto"/>
            </w:tcBorders>
            <w:vAlign w:val="center"/>
          </w:tcPr>
          <w:p w:rsidR="00EE56C0" w:rsidRPr="005767FB" w:rsidRDefault="000F36A1">
            <w:pPr>
              <w:pStyle w:val="afa"/>
              <w:rPr>
                <w:u w:val="single"/>
              </w:rPr>
            </w:pPr>
            <w:r w:rsidRPr="005767FB">
              <w:rPr>
                <w:u w:val="single"/>
              </w:rPr>
              <w:t>0.0007</w:t>
            </w:r>
          </w:p>
        </w:tc>
        <w:tc>
          <w:tcPr>
            <w:tcW w:w="913"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19032708</w:t>
            </w:r>
          </w:p>
        </w:tc>
        <w:tc>
          <w:tcPr>
            <w:tcW w:w="749" w:type="pct"/>
            <w:tcBorders>
              <w:left w:val="single" w:sz="4" w:space="0" w:color="auto"/>
            </w:tcBorders>
            <w:vAlign w:val="center"/>
          </w:tcPr>
          <w:p w:rsidR="00EE56C0" w:rsidRPr="005767FB" w:rsidRDefault="000F36A1">
            <w:pPr>
              <w:pStyle w:val="afa"/>
              <w:rPr>
                <w:u w:val="single"/>
              </w:rPr>
            </w:pPr>
            <w:r w:rsidRPr="005767FB">
              <w:rPr>
                <w:u w:val="single"/>
              </w:rPr>
              <w:t>0.35</w:t>
            </w:r>
          </w:p>
        </w:tc>
        <w:tc>
          <w:tcPr>
            <w:tcW w:w="697"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30</w:t>
            </w:r>
          </w:p>
        </w:tc>
        <w:tc>
          <w:tcPr>
            <w:tcW w:w="643" w:type="pct"/>
            <w:tcBorders>
              <w:right w:val="single" w:sz="4" w:space="0" w:color="auto"/>
            </w:tcBorders>
            <w:vAlign w:val="center"/>
          </w:tcPr>
          <w:p w:rsidR="00EE56C0" w:rsidRDefault="000F36A1">
            <w:pPr>
              <w:pStyle w:val="afa"/>
            </w:pPr>
            <w:r>
              <w:rPr>
                <w:rFonts w:hint="eastAsia"/>
              </w:rPr>
              <w:t>宋庄村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15" w:type="pct"/>
            <w:tcBorders>
              <w:right w:val="single" w:sz="4" w:space="0" w:color="auto"/>
            </w:tcBorders>
            <w:vAlign w:val="center"/>
          </w:tcPr>
          <w:p w:rsidR="00EE56C0" w:rsidRPr="005767FB" w:rsidRDefault="000F36A1">
            <w:pPr>
              <w:pStyle w:val="afa"/>
              <w:rPr>
                <w:u w:val="single"/>
              </w:rPr>
            </w:pPr>
            <w:r w:rsidRPr="005767FB">
              <w:rPr>
                <w:u w:val="single"/>
              </w:rPr>
              <w:t>0.0016</w:t>
            </w:r>
          </w:p>
        </w:tc>
        <w:tc>
          <w:tcPr>
            <w:tcW w:w="913"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19051207</w:t>
            </w:r>
          </w:p>
        </w:tc>
        <w:tc>
          <w:tcPr>
            <w:tcW w:w="749" w:type="pct"/>
            <w:tcBorders>
              <w:left w:val="single" w:sz="4" w:space="0" w:color="auto"/>
            </w:tcBorders>
            <w:vAlign w:val="center"/>
          </w:tcPr>
          <w:p w:rsidR="00EE56C0" w:rsidRPr="005767FB" w:rsidRDefault="000F36A1">
            <w:pPr>
              <w:pStyle w:val="afa"/>
              <w:rPr>
                <w:u w:val="single"/>
              </w:rPr>
            </w:pPr>
            <w:r w:rsidRPr="005767FB">
              <w:rPr>
                <w:u w:val="single"/>
              </w:rPr>
              <w:t>0.79</w:t>
            </w:r>
          </w:p>
        </w:tc>
        <w:tc>
          <w:tcPr>
            <w:tcW w:w="697"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31</w:t>
            </w:r>
          </w:p>
        </w:tc>
        <w:tc>
          <w:tcPr>
            <w:tcW w:w="643" w:type="pct"/>
            <w:tcBorders>
              <w:right w:val="single" w:sz="4" w:space="0" w:color="auto"/>
            </w:tcBorders>
            <w:vAlign w:val="center"/>
          </w:tcPr>
          <w:p w:rsidR="00EE56C0" w:rsidRDefault="000F36A1">
            <w:pPr>
              <w:pStyle w:val="afa"/>
            </w:pPr>
            <w:r>
              <w:rPr>
                <w:rFonts w:hint="eastAsia"/>
              </w:rPr>
              <w:t>东王庄村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15" w:type="pct"/>
            <w:tcBorders>
              <w:right w:val="single" w:sz="4" w:space="0" w:color="auto"/>
            </w:tcBorders>
            <w:vAlign w:val="center"/>
          </w:tcPr>
          <w:p w:rsidR="00EE56C0" w:rsidRPr="005767FB" w:rsidRDefault="000F36A1">
            <w:pPr>
              <w:pStyle w:val="afa"/>
              <w:rPr>
                <w:u w:val="single"/>
              </w:rPr>
            </w:pPr>
            <w:r w:rsidRPr="005767FB">
              <w:rPr>
                <w:u w:val="single"/>
              </w:rPr>
              <w:t>0.0010</w:t>
            </w:r>
          </w:p>
        </w:tc>
        <w:tc>
          <w:tcPr>
            <w:tcW w:w="913"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19051207</w:t>
            </w:r>
          </w:p>
        </w:tc>
        <w:tc>
          <w:tcPr>
            <w:tcW w:w="749" w:type="pct"/>
            <w:tcBorders>
              <w:left w:val="single" w:sz="4" w:space="0" w:color="auto"/>
            </w:tcBorders>
            <w:vAlign w:val="center"/>
          </w:tcPr>
          <w:p w:rsidR="00EE56C0" w:rsidRPr="005767FB" w:rsidRDefault="000F36A1">
            <w:pPr>
              <w:pStyle w:val="afa"/>
              <w:rPr>
                <w:u w:val="single"/>
              </w:rPr>
            </w:pPr>
            <w:r w:rsidRPr="005767FB">
              <w:rPr>
                <w:u w:val="single"/>
              </w:rPr>
              <w:t>0.48</w:t>
            </w:r>
          </w:p>
        </w:tc>
        <w:tc>
          <w:tcPr>
            <w:tcW w:w="697"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32</w:t>
            </w:r>
          </w:p>
        </w:tc>
        <w:tc>
          <w:tcPr>
            <w:tcW w:w="643" w:type="pct"/>
            <w:tcBorders>
              <w:right w:val="single" w:sz="4" w:space="0" w:color="auto"/>
            </w:tcBorders>
            <w:vAlign w:val="center"/>
          </w:tcPr>
          <w:p w:rsidR="00EE56C0" w:rsidRDefault="000F36A1">
            <w:pPr>
              <w:pStyle w:val="afa"/>
            </w:pPr>
            <w:r>
              <w:rPr>
                <w:rFonts w:hint="eastAsia"/>
              </w:rPr>
              <w:t>大兴村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15" w:type="pct"/>
            <w:tcBorders>
              <w:right w:val="single" w:sz="4" w:space="0" w:color="auto"/>
            </w:tcBorders>
            <w:vAlign w:val="center"/>
          </w:tcPr>
          <w:p w:rsidR="00EE56C0" w:rsidRPr="005767FB" w:rsidRDefault="000F36A1">
            <w:pPr>
              <w:pStyle w:val="afa"/>
              <w:rPr>
                <w:u w:val="single"/>
              </w:rPr>
            </w:pPr>
            <w:r w:rsidRPr="005767FB">
              <w:rPr>
                <w:u w:val="single"/>
              </w:rPr>
              <w:t>0.0009</w:t>
            </w:r>
          </w:p>
        </w:tc>
        <w:tc>
          <w:tcPr>
            <w:tcW w:w="913"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19071307</w:t>
            </w:r>
          </w:p>
        </w:tc>
        <w:tc>
          <w:tcPr>
            <w:tcW w:w="749" w:type="pct"/>
            <w:tcBorders>
              <w:left w:val="single" w:sz="4" w:space="0" w:color="auto"/>
            </w:tcBorders>
            <w:vAlign w:val="center"/>
          </w:tcPr>
          <w:p w:rsidR="00EE56C0" w:rsidRPr="005767FB" w:rsidRDefault="000F36A1">
            <w:pPr>
              <w:pStyle w:val="afa"/>
              <w:rPr>
                <w:u w:val="single"/>
              </w:rPr>
            </w:pPr>
            <w:r w:rsidRPr="005767FB">
              <w:rPr>
                <w:u w:val="single"/>
              </w:rPr>
              <w:t>0.46</w:t>
            </w:r>
          </w:p>
        </w:tc>
        <w:tc>
          <w:tcPr>
            <w:tcW w:w="697"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33</w:t>
            </w:r>
          </w:p>
        </w:tc>
        <w:tc>
          <w:tcPr>
            <w:tcW w:w="643" w:type="pct"/>
            <w:tcBorders>
              <w:right w:val="single" w:sz="4" w:space="0" w:color="auto"/>
            </w:tcBorders>
            <w:vAlign w:val="center"/>
          </w:tcPr>
          <w:p w:rsidR="00EE56C0" w:rsidRDefault="000F36A1">
            <w:pPr>
              <w:pStyle w:val="afa"/>
            </w:pPr>
            <w:r>
              <w:rPr>
                <w:rFonts w:hint="eastAsia"/>
              </w:rPr>
              <w:t>东贾城村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15" w:type="pct"/>
            <w:tcBorders>
              <w:right w:val="single" w:sz="4" w:space="0" w:color="auto"/>
            </w:tcBorders>
            <w:vAlign w:val="center"/>
          </w:tcPr>
          <w:p w:rsidR="00EE56C0" w:rsidRPr="005767FB" w:rsidRDefault="000F36A1">
            <w:pPr>
              <w:pStyle w:val="afa"/>
              <w:rPr>
                <w:u w:val="single"/>
              </w:rPr>
            </w:pPr>
            <w:r w:rsidRPr="005767FB">
              <w:rPr>
                <w:u w:val="single"/>
              </w:rPr>
              <w:t>0.0010</w:t>
            </w:r>
          </w:p>
        </w:tc>
        <w:tc>
          <w:tcPr>
            <w:tcW w:w="913"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19031908</w:t>
            </w:r>
          </w:p>
        </w:tc>
        <w:tc>
          <w:tcPr>
            <w:tcW w:w="749" w:type="pct"/>
            <w:tcBorders>
              <w:left w:val="single" w:sz="4" w:space="0" w:color="auto"/>
            </w:tcBorders>
            <w:vAlign w:val="center"/>
          </w:tcPr>
          <w:p w:rsidR="00EE56C0" w:rsidRPr="005767FB" w:rsidRDefault="000F36A1">
            <w:pPr>
              <w:pStyle w:val="afa"/>
              <w:rPr>
                <w:u w:val="single"/>
              </w:rPr>
            </w:pPr>
            <w:r w:rsidRPr="005767FB">
              <w:rPr>
                <w:u w:val="single"/>
              </w:rPr>
              <w:t>0.49</w:t>
            </w:r>
          </w:p>
        </w:tc>
        <w:tc>
          <w:tcPr>
            <w:tcW w:w="697"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34</w:t>
            </w:r>
          </w:p>
        </w:tc>
        <w:tc>
          <w:tcPr>
            <w:tcW w:w="643" w:type="pct"/>
            <w:tcBorders>
              <w:right w:val="single" w:sz="4" w:space="0" w:color="auto"/>
            </w:tcBorders>
            <w:vAlign w:val="center"/>
          </w:tcPr>
          <w:p w:rsidR="00EE56C0" w:rsidRDefault="000F36A1">
            <w:pPr>
              <w:pStyle w:val="afa"/>
            </w:pPr>
            <w:r>
              <w:rPr>
                <w:rFonts w:hint="eastAsia"/>
              </w:rPr>
              <w:t>高村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15" w:type="pct"/>
            <w:tcBorders>
              <w:right w:val="single" w:sz="4" w:space="0" w:color="auto"/>
            </w:tcBorders>
            <w:vAlign w:val="center"/>
          </w:tcPr>
          <w:p w:rsidR="00EE56C0" w:rsidRPr="005767FB" w:rsidRDefault="000F36A1">
            <w:pPr>
              <w:pStyle w:val="afa"/>
              <w:rPr>
                <w:u w:val="single"/>
              </w:rPr>
            </w:pPr>
            <w:r w:rsidRPr="005767FB">
              <w:rPr>
                <w:u w:val="single"/>
              </w:rPr>
              <w:t>0.0014</w:t>
            </w:r>
          </w:p>
        </w:tc>
        <w:tc>
          <w:tcPr>
            <w:tcW w:w="913"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19051607</w:t>
            </w:r>
          </w:p>
        </w:tc>
        <w:tc>
          <w:tcPr>
            <w:tcW w:w="749" w:type="pct"/>
            <w:tcBorders>
              <w:left w:val="single" w:sz="4" w:space="0" w:color="auto"/>
            </w:tcBorders>
            <w:vAlign w:val="center"/>
          </w:tcPr>
          <w:p w:rsidR="00EE56C0" w:rsidRPr="005767FB" w:rsidRDefault="000F36A1">
            <w:pPr>
              <w:pStyle w:val="afa"/>
              <w:rPr>
                <w:u w:val="single"/>
              </w:rPr>
            </w:pPr>
            <w:r w:rsidRPr="005767FB">
              <w:rPr>
                <w:u w:val="single"/>
              </w:rPr>
              <w:t>0.72</w:t>
            </w:r>
          </w:p>
        </w:tc>
        <w:tc>
          <w:tcPr>
            <w:tcW w:w="697"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35</w:t>
            </w:r>
          </w:p>
        </w:tc>
        <w:tc>
          <w:tcPr>
            <w:tcW w:w="643" w:type="pct"/>
            <w:tcBorders>
              <w:right w:val="single" w:sz="4" w:space="0" w:color="auto"/>
            </w:tcBorders>
            <w:vAlign w:val="center"/>
          </w:tcPr>
          <w:p w:rsidR="00EE56C0" w:rsidRDefault="000F36A1">
            <w:pPr>
              <w:pStyle w:val="afa"/>
            </w:pPr>
            <w:r>
              <w:rPr>
                <w:rFonts w:hint="eastAsia"/>
              </w:rPr>
              <w:t>侯庄村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15" w:type="pct"/>
            <w:tcBorders>
              <w:right w:val="single" w:sz="4" w:space="0" w:color="auto"/>
            </w:tcBorders>
            <w:vAlign w:val="center"/>
          </w:tcPr>
          <w:p w:rsidR="00EE56C0" w:rsidRPr="005767FB" w:rsidRDefault="000F36A1">
            <w:pPr>
              <w:pStyle w:val="afa"/>
              <w:rPr>
                <w:u w:val="single"/>
              </w:rPr>
            </w:pPr>
            <w:r w:rsidRPr="005767FB">
              <w:rPr>
                <w:u w:val="single"/>
              </w:rPr>
              <w:t>0.0005</w:t>
            </w:r>
          </w:p>
        </w:tc>
        <w:tc>
          <w:tcPr>
            <w:tcW w:w="913"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19102409</w:t>
            </w:r>
          </w:p>
        </w:tc>
        <w:tc>
          <w:tcPr>
            <w:tcW w:w="749" w:type="pct"/>
            <w:tcBorders>
              <w:left w:val="single" w:sz="4" w:space="0" w:color="auto"/>
            </w:tcBorders>
            <w:vAlign w:val="center"/>
          </w:tcPr>
          <w:p w:rsidR="00EE56C0" w:rsidRPr="005767FB" w:rsidRDefault="000F36A1">
            <w:pPr>
              <w:pStyle w:val="afa"/>
              <w:rPr>
                <w:u w:val="single"/>
              </w:rPr>
            </w:pPr>
            <w:r w:rsidRPr="005767FB">
              <w:rPr>
                <w:u w:val="single"/>
              </w:rPr>
              <w:t>0.27</w:t>
            </w:r>
          </w:p>
        </w:tc>
        <w:tc>
          <w:tcPr>
            <w:tcW w:w="697"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36</w:t>
            </w:r>
          </w:p>
        </w:tc>
        <w:tc>
          <w:tcPr>
            <w:tcW w:w="643" w:type="pct"/>
            <w:tcBorders>
              <w:right w:val="single" w:sz="4" w:space="0" w:color="auto"/>
            </w:tcBorders>
            <w:vAlign w:val="center"/>
          </w:tcPr>
          <w:p w:rsidR="00EE56C0" w:rsidRDefault="000F36A1">
            <w:pPr>
              <w:pStyle w:val="afa"/>
            </w:pPr>
            <w:r>
              <w:rPr>
                <w:rFonts w:hint="eastAsia"/>
              </w:rPr>
              <w:t>东石碑村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15" w:type="pct"/>
            <w:tcBorders>
              <w:right w:val="single" w:sz="4" w:space="0" w:color="auto"/>
            </w:tcBorders>
            <w:vAlign w:val="center"/>
          </w:tcPr>
          <w:p w:rsidR="00EE56C0" w:rsidRPr="005767FB" w:rsidRDefault="000F36A1">
            <w:pPr>
              <w:pStyle w:val="afa"/>
              <w:rPr>
                <w:u w:val="single"/>
              </w:rPr>
            </w:pPr>
            <w:r w:rsidRPr="005767FB">
              <w:rPr>
                <w:u w:val="single"/>
              </w:rPr>
              <w:t>0.0011</w:t>
            </w:r>
          </w:p>
        </w:tc>
        <w:tc>
          <w:tcPr>
            <w:tcW w:w="913"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19120910</w:t>
            </w:r>
          </w:p>
        </w:tc>
        <w:tc>
          <w:tcPr>
            <w:tcW w:w="749" w:type="pct"/>
            <w:tcBorders>
              <w:left w:val="single" w:sz="4" w:space="0" w:color="auto"/>
            </w:tcBorders>
            <w:vAlign w:val="center"/>
          </w:tcPr>
          <w:p w:rsidR="00EE56C0" w:rsidRPr="005767FB" w:rsidRDefault="000F36A1">
            <w:pPr>
              <w:pStyle w:val="afa"/>
              <w:rPr>
                <w:u w:val="single"/>
              </w:rPr>
            </w:pPr>
            <w:r w:rsidRPr="005767FB">
              <w:rPr>
                <w:u w:val="single"/>
              </w:rPr>
              <w:t>0.53</w:t>
            </w:r>
          </w:p>
        </w:tc>
        <w:tc>
          <w:tcPr>
            <w:tcW w:w="697"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37</w:t>
            </w:r>
          </w:p>
        </w:tc>
        <w:tc>
          <w:tcPr>
            <w:tcW w:w="643" w:type="pct"/>
            <w:tcBorders>
              <w:right w:val="single" w:sz="4" w:space="0" w:color="auto"/>
            </w:tcBorders>
            <w:vAlign w:val="center"/>
          </w:tcPr>
          <w:p w:rsidR="00EE56C0" w:rsidRDefault="000F36A1">
            <w:pPr>
              <w:pStyle w:val="afa"/>
            </w:pPr>
            <w:r>
              <w:rPr>
                <w:rFonts w:hint="eastAsia"/>
              </w:rPr>
              <w:t>杏庄村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15" w:type="pct"/>
            <w:tcBorders>
              <w:right w:val="single" w:sz="4" w:space="0" w:color="auto"/>
            </w:tcBorders>
            <w:vAlign w:val="center"/>
          </w:tcPr>
          <w:p w:rsidR="00EE56C0" w:rsidRPr="005767FB" w:rsidRDefault="000F36A1">
            <w:pPr>
              <w:pStyle w:val="afa"/>
              <w:rPr>
                <w:u w:val="single"/>
              </w:rPr>
            </w:pPr>
            <w:r w:rsidRPr="005767FB">
              <w:rPr>
                <w:u w:val="single"/>
              </w:rPr>
              <w:t>0.0009</w:t>
            </w:r>
          </w:p>
        </w:tc>
        <w:tc>
          <w:tcPr>
            <w:tcW w:w="913"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19120910</w:t>
            </w:r>
          </w:p>
        </w:tc>
        <w:tc>
          <w:tcPr>
            <w:tcW w:w="749" w:type="pct"/>
            <w:tcBorders>
              <w:left w:val="single" w:sz="4" w:space="0" w:color="auto"/>
            </w:tcBorders>
            <w:vAlign w:val="center"/>
          </w:tcPr>
          <w:p w:rsidR="00EE56C0" w:rsidRPr="005767FB" w:rsidRDefault="000F36A1">
            <w:pPr>
              <w:pStyle w:val="afa"/>
              <w:rPr>
                <w:u w:val="single"/>
              </w:rPr>
            </w:pPr>
            <w:r w:rsidRPr="005767FB">
              <w:rPr>
                <w:u w:val="single"/>
              </w:rPr>
              <w:t>0.46</w:t>
            </w:r>
          </w:p>
        </w:tc>
        <w:tc>
          <w:tcPr>
            <w:tcW w:w="697"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38</w:t>
            </w:r>
          </w:p>
        </w:tc>
        <w:tc>
          <w:tcPr>
            <w:tcW w:w="643" w:type="pct"/>
            <w:tcBorders>
              <w:right w:val="single" w:sz="4" w:space="0" w:color="auto"/>
            </w:tcBorders>
            <w:vAlign w:val="center"/>
          </w:tcPr>
          <w:p w:rsidR="00EE56C0" w:rsidRDefault="000F36A1">
            <w:pPr>
              <w:pStyle w:val="afa"/>
            </w:pPr>
            <w:r>
              <w:rPr>
                <w:rFonts w:hint="eastAsia"/>
              </w:rPr>
              <w:t>敦留店村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15" w:type="pct"/>
            <w:tcBorders>
              <w:right w:val="single" w:sz="4" w:space="0" w:color="auto"/>
            </w:tcBorders>
            <w:vAlign w:val="center"/>
          </w:tcPr>
          <w:p w:rsidR="00EE56C0" w:rsidRPr="005767FB" w:rsidRDefault="000F36A1">
            <w:pPr>
              <w:pStyle w:val="afa"/>
              <w:rPr>
                <w:u w:val="single"/>
              </w:rPr>
            </w:pPr>
            <w:r w:rsidRPr="005767FB">
              <w:rPr>
                <w:u w:val="single"/>
              </w:rPr>
              <w:t>0.0008</w:t>
            </w:r>
          </w:p>
        </w:tc>
        <w:tc>
          <w:tcPr>
            <w:tcW w:w="913"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19110109</w:t>
            </w:r>
          </w:p>
        </w:tc>
        <w:tc>
          <w:tcPr>
            <w:tcW w:w="749" w:type="pct"/>
            <w:tcBorders>
              <w:left w:val="single" w:sz="4" w:space="0" w:color="auto"/>
            </w:tcBorders>
            <w:vAlign w:val="center"/>
          </w:tcPr>
          <w:p w:rsidR="00EE56C0" w:rsidRPr="005767FB" w:rsidRDefault="000F36A1">
            <w:pPr>
              <w:pStyle w:val="afa"/>
              <w:rPr>
                <w:u w:val="single"/>
              </w:rPr>
            </w:pPr>
            <w:r w:rsidRPr="005767FB">
              <w:rPr>
                <w:u w:val="single"/>
              </w:rPr>
              <w:t>0.39</w:t>
            </w:r>
          </w:p>
        </w:tc>
        <w:tc>
          <w:tcPr>
            <w:tcW w:w="697"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39</w:t>
            </w:r>
          </w:p>
        </w:tc>
        <w:tc>
          <w:tcPr>
            <w:tcW w:w="643" w:type="pct"/>
            <w:tcBorders>
              <w:right w:val="single" w:sz="4" w:space="0" w:color="auto"/>
            </w:tcBorders>
            <w:vAlign w:val="center"/>
          </w:tcPr>
          <w:p w:rsidR="00EE56C0" w:rsidRDefault="000F36A1">
            <w:pPr>
              <w:pStyle w:val="afa"/>
            </w:pPr>
            <w:r>
              <w:rPr>
                <w:rFonts w:hint="eastAsia"/>
              </w:rPr>
              <w:t>李道堤村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915" w:type="pct"/>
            <w:tcBorders>
              <w:right w:val="single" w:sz="4" w:space="0" w:color="auto"/>
            </w:tcBorders>
            <w:vAlign w:val="center"/>
          </w:tcPr>
          <w:p w:rsidR="00EE56C0" w:rsidRPr="005767FB" w:rsidRDefault="000F36A1">
            <w:pPr>
              <w:pStyle w:val="afa"/>
              <w:rPr>
                <w:u w:val="single"/>
              </w:rPr>
            </w:pPr>
            <w:r w:rsidRPr="005767FB">
              <w:rPr>
                <w:u w:val="single"/>
              </w:rPr>
              <w:t>0.0007</w:t>
            </w:r>
          </w:p>
        </w:tc>
        <w:tc>
          <w:tcPr>
            <w:tcW w:w="913"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19110109</w:t>
            </w:r>
          </w:p>
        </w:tc>
        <w:tc>
          <w:tcPr>
            <w:tcW w:w="749" w:type="pct"/>
            <w:tcBorders>
              <w:left w:val="single" w:sz="4" w:space="0" w:color="auto"/>
            </w:tcBorders>
            <w:vAlign w:val="center"/>
          </w:tcPr>
          <w:p w:rsidR="00EE56C0" w:rsidRPr="005767FB" w:rsidRDefault="000F36A1">
            <w:pPr>
              <w:pStyle w:val="afa"/>
              <w:rPr>
                <w:u w:val="single"/>
              </w:rPr>
            </w:pPr>
            <w:r w:rsidRPr="005767FB">
              <w:rPr>
                <w:u w:val="single"/>
              </w:rPr>
              <w:t>0.35</w:t>
            </w:r>
          </w:p>
        </w:tc>
        <w:tc>
          <w:tcPr>
            <w:tcW w:w="697" w:type="pct"/>
            <w:vAlign w:val="center"/>
          </w:tcPr>
          <w:p w:rsidR="00EE56C0" w:rsidRDefault="000F36A1">
            <w:pPr>
              <w:pStyle w:val="afa"/>
            </w:pPr>
            <w:r>
              <w:rPr>
                <w:rFonts w:hint="eastAsia"/>
              </w:rPr>
              <w:t>达标</w:t>
            </w:r>
          </w:p>
        </w:tc>
      </w:tr>
    </w:tbl>
    <w:p w:rsidR="00EE56C0" w:rsidRDefault="000F36A1">
      <w:pPr>
        <w:pStyle w:val="afd"/>
        <w:spacing w:before="120" w:after="120"/>
        <w:ind w:firstLine="482"/>
      </w:pPr>
      <w:r>
        <w:t>表</w:t>
      </w:r>
      <w:r>
        <w:t>5-</w:t>
      </w:r>
      <w:r>
        <w:rPr>
          <w:rFonts w:hint="eastAsia"/>
        </w:rPr>
        <w:t xml:space="preserve">27              </w:t>
      </w:r>
      <w:r>
        <w:rPr>
          <w:rFonts w:hint="eastAsia"/>
        </w:rPr>
        <w:t>甲苯浓度最大贡献值</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573"/>
        <w:gridCol w:w="1095"/>
        <w:gridCol w:w="1274"/>
        <w:gridCol w:w="1986"/>
        <w:gridCol w:w="1276"/>
        <w:gridCol w:w="1134"/>
        <w:gridCol w:w="1191"/>
      </w:tblGrid>
      <w:tr w:rsidR="00EE56C0">
        <w:trPr>
          <w:trHeight w:val="425"/>
          <w:tblHeader/>
          <w:jc w:val="center"/>
        </w:trPr>
        <w:tc>
          <w:tcPr>
            <w:tcW w:w="336" w:type="pct"/>
            <w:vMerge w:val="restart"/>
            <w:vAlign w:val="center"/>
          </w:tcPr>
          <w:p w:rsidR="00EE56C0" w:rsidRDefault="00340837">
            <w:pPr>
              <w:pStyle w:val="aff1"/>
              <w:rPr>
                <w:color w:val="auto"/>
              </w:rPr>
            </w:pPr>
            <w:r>
              <w:rPr>
                <w:color w:val="auto"/>
              </w:rPr>
              <w:pict>
                <v:shape id="_x0000_s2211" type="#_x0000_t202" style="position:absolute;left:0;text-align:left;margin-left:39.35pt;margin-top:-192.15pt;width:21.65pt;height:19.65pt;z-index:251712000" o:gfxdata="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" filled="f" stroked="f" strokeweight="1pt">
                  <v:textbox>
                    <w:txbxContent>
                      <w:p w:rsidR="009C6BD9" w:rsidRDefault="009C6BD9">
                        <w:pPr>
                          <w:ind w:firstLine="482"/>
                          <w:rPr>
                            <w:b/>
                            <w:color w:val="FF0000"/>
                            <w:szCs w:val="21"/>
                          </w:rPr>
                        </w:pPr>
                        <w:r>
                          <w:rPr>
                            <w:rFonts w:hint="eastAsia"/>
                            <w:b/>
                            <w:color w:val="FF0000"/>
                            <w:szCs w:val="21"/>
                          </w:rPr>
                          <w:t>3</w:t>
                        </w:r>
                      </w:p>
                    </w:txbxContent>
                  </v:textbox>
                </v:shape>
              </w:pict>
            </w:r>
            <w:r w:rsidR="000F36A1">
              <w:rPr>
                <w:rFonts w:hAnsi="宋体"/>
                <w:color w:val="auto"/>
              </w:rPr>
              <w:t>序列</w:t>
            </w:r>
          </w:p>
        </w:tc>
        <w:tc>
          <w:tcPr>
            <w:tcW w:w="642" w:type="pct"/>
            <w:vMerge w:val="restart"/>
            <w:tcBorders>
              <w:right w:val="single" w:sz="4" w:space="0" w:color="auto"/>
            </w:tcBorders>
            <w:vAlign w:val="center"/>
          </w:tcPr>
          <w:p w:rsidR="00EE56C0" w:rsidRDefault="000F36A1">
            <w:pPr>
              <w:pStyle w:val="aff1"/>
              <w:rPr>
                <w:color w:val="auto"/>
              </w:rPr>
            </w:pPr>
            <w:r>
              <w:rPr>
                <w:rFonts w:hAnsi="宋体" w:hint="eastAsia"/>
                <w:color w:val="auto"/>
              </w:rPr>
              <w:t>预测点</w:t>
            </w:r>
          </w:p>
        </w:tc>
        <w:tc>
          <w:tcPr>
            <w:tcW w:w="747" w:type="pct"/>
            <w:vMerge w:val="restart"/>
            <w:tcBorders>
              <w:right w:val="single" w:sz="4" w:space="0" w:color="auto"/>
            </w:tcBorders>
            <w:vAlign w:val="center"/>
          </w:tcPr>
          <w:p w:rsidR="00EE56C0" w:rsidRDefault="000F36A1">
            <w:pPr>
              <w:pStyle w:val="aff1"/>
              <w:rPr>
                <w:rFonts w:hAnsi="宋体"/>
                <w:color w:val="auto"/>
              </w:rPr>
            </w:pPr>
            <w:r>
              <w:rPr>
                <w:rFonts w:hAnsi="宋体" w:hint="eastAsia"/>
                <w:color w:val="auto"/>
              </w:rPr>
              <w:t>平均时段</w:t>
            </w:r>
          </w:p>
        </w:tc>
        <w:tc>
          <w:tcPr>
            <w:tcW w:w="1164" w:type="pct"/>
            <w:vMerge w:val="restart"/>
            <w:tcBorders>
              <w:right w:val="single" w:sz="4" w:space="0" w:color="auto"/>
            </w:tcBorders>
            <w:vAlign w:val="center"/>
          </w:tcPr>
          <w:p w:rsidR="00EE56C0" w:rsidRPr="005767FB" w:rsidRDefault="000F36A1">
            <w:pPr>
              <w:pStyle w:val="afa"/>
              <w:rPr>
                <w:b/>
                <w:u w:val="single"/>
              </w:rPr>
            </w:pPr>
            <w:r w:rsidRPr="005767FB">
              <w:rPr>
                <w:rFonts w:hint="eastAsia"/>
                <w:b/>
                <w:u w:val="single"/>
              </w:rPr>
              <w:t>最大贡献值（</w:t>
            </w:r>
            <w:r w:rsidRPr="005767FB">
              <w:rPr>
                <w:rFonts w:hint="eastAsia"/>
                <w:b/>
                <w:u w:val="single"/>
              </w:rPr>
              <w:t>mg/m</w:t>
            </w:r>
            <w:r w:rsidRPr="005767FB">
              <w:rPr>
                <w:rFonts w:hint="eastAsia"/>
                <w:b/>
                <w:u w:val="single"/>
                <w:vertAlign w:val="superscript"/>
              </w:rPr>
              <w:t>3</w:t>
            </w:r>
            <w:r w:rsidRPr="005767FB">
              <w:rPr>
                <w:rFonts w:hint="eastAsia"/>
                <w:b/>
                <w:u w:val="single"/>
              </w:rPr>
              <w:t>）</w:t>
            </w:r>
          </w:p>
        </w:tc>
        <w:tc>
          <w:tcPr>
            <w:tcW w:w="748" w:type="pct"/>
            <w:vMerge w:val="restart"/>
            <w:tcBorders>
              <w:left w:val="single" w:sz="4" w:space="0" w:color="auto"/>
              <w:right w:val="single" w:sz="4" w:space="0" w:color="auto"/>
            </w:tcBorders>
            <w:vAlign w:val="center"/>
          </w:tcPr>
          <w:p w:rsidR="00EE56C0" w:rsidRPr="005767FB" w:rsidRDefault="000F36A1">
            <w:pPr>
              <w:pStyle w:val="afa"/>
              <w:rPr>
                <w:b/>
                <w:u w:val="single"/>
              </w:rPr>
            </w:pPr>
            <w:r w:rsidRPr="005767FB">
              <w:rPr>
                <w:rFonts w:hint="eastAsia"/>
                <w:b/>
                <w:u w:val="single"/>
              </w:rPr>
              <w:t>出现时间</w:t>
            </w:r>
          </w:p>
        </w:tc>
        <w:tc>
          <w:tcPr>
            <w:tcW w:w="665" w:type="pct"/>
            <w:vMerge w:val="restart"/>
            <w:tcBorders>
              <w:left w:val="single" w:sz="4" w:space="0" w:color="auto"/>
            </w:tcBorders>
            <w:vAlign w:val="center"/>
          </w:tcPr>
          <w:p w:rsidR="00EE56C0" w:rsidRPr="005767FB" w:rsidRDefault="000F36A1">
            <w:pPr>
              <w:pStyle w:val="afa"/>
              <w:rPr>
                <w:b/>
                <w:u w:val="single"/>
              </w:rPr>
            </w:pPr>
            <w:r w:rsidRPr="005767FB">
              <w:rPr>
                <w:rFonts w:hint="eastAsia"/>
                <w:b/>
                <w:u w:val="single"/>
              </w:rPr>
              <w:t>占标率（</w:t>
            </w:r>
            <w:r w:rsidRPr="005767FB">
              <w:rPr>
                <w:rFonts w:hint="eastAsia"/>
                <w:b/>
                <w:u w:val="single"/>
              </w:rPr>
              <w:t>%</w:t>
            </w:r>
            <w:r w:rsidRPr="005767FB">
              <w:rPr>
                <w:rFonts w:hint="eastAsia"/>
                <w:b/>
                <w:u w:val="single"/>
              </w:rPr>
              <w:t>）</w:t>
            </w:r>
          </w:p>
        </w:tc>
        <w:tc>
          <w:tcPr>
            <w:tcW w:w="698" w:type="pct"/>
            <w:vMerge w:val="restart"/>
            <w:vAlign w:val="center"/>
          </w:tcPr>
          <w:p w:rsidR="00EE56C0" w:rsidRDefault="000F36A1">
            <w:pPr>
              <w:pStyle w:val="aff1"/>
              <w:rPr>
                <w:color w:val="auto"/>
              </w:rPr>
            </w:pPr>
            <w:r>
              <w:rPr>
                <w:rFonts w:hint="eastAsia"/>
                <w:color w:val="auto"/>
              </w:rPr>
              <w:t>达标情况</w:t>
            </w:r>
          </w:p>
        </w:tc>
      </w:tr>
      <w:tr w:rsidR="00EE56C0">
        <w:trPr>
          <w:trHeight w:val="425"/>
          <w:tblHeader/>
          <w:jc w:val="center"/>
        </w:trPr>
        <w:tc>
          <w:tcPr>
            <w:tcW w:w="336" w:type="pct"/>
            <w:vMerge/>
            <w:vAlign w:val="center"/>
          </w:tcPr>
          <w:p w:rsidR="00EE56C0" w:rsidRDefault="00EE56C0">
            <w:pPr>
              <w:pStyle w:val="afa"/>
            </w:pPr>
          </w:p>
        </w:tc>
        <w:tc>
          <w:tcPr>
            <w:tcW w:w="642" w:type="pct"/>
            <w:vMerge/>
            <w:tcBorders>
              <w:right w:val="single" w:sz="4" w:space="0" w:color="auto"/>
            </w:tcBorders>
            <w:vAlign w:val="center"/>
          </w:tcPr>
          <w:p w:rsidR="00EE56C0" w:rsidRDefault="00EE56C0">
            <w:pPr>
              <w:pStyle w:val="afa"/>
            </w:pPr>
          </w:p>
        </w:tc>
        <w:tc>
          <w:tcPr>
            <w:tcW w:w="747" w:type="pct"/>
            <w:vMerge/>
            <w:tcBorders>
              <w:right w:val="single" w:sz="4" w:space="0" w:color="auto"/>
            </w:tcBorders>
            <w:vAlign w:val="center"/>
          </w:tcPr>
          <w:p w:rsidR="00EE56C0" w:rsidRDefault="00EE56C0">
            <w:pPr>
              <w:pStyle w:val="aff1"/>
              <w:rPr>
                <w:color w:val="auto"/>
              </w:rPr>
            </w:pPr>
          </w:p>
        </w:tc>
        <w:tc>
          <w:tcPr>
            <w:tcW w:w="1164" w:type="pct"/>
            <w:vMerge/>
            <w:tcBorders>
              <w:right w:val="single" w:sz="4" w:space="0" w:color="auto"/>
            </w:tcBorders>
            <w:vAlign w:val="center"/>
          </w:tcPr>
          <w:p w:rsidR="00EE56C0" w:rsidRPr="005767FB" w:rsidRDefault="00EE56C0">
            <w:pPr>
              <w:pStyle w:val="afa"/>
              <w:rPr>
                <w:u w:val="single"/>
              </w:rPr>
            </w:pPr>
          </w:p>
        </w:tc>
        <w:tc>
          <w:tcPr>
            <w:tcW w:w="748" w:type="pct"/>
            <w:vMerge/>
            <w:tcBorders>
              <w:left w:val="single" w:sz="4" w:space="0" w:color="auto"/>
              <w:right w:val="single" w:sz="4" w:space="0" w:color="auto"/>
            </w:tcBorders>
            <w:vAlign w:val="center"/>
          </w:tcPr>
          <w:p w:rsidR="00EE56C0" w:rsidRPr="005767FB" w:rsidRDefault="00EE56C0">
            <w:pPr>
              <w:pStyle w:val="afa"/>
              <w:rPr>
                <w:u w:val="single"/>
              </w:rPr>
            </w:pPr>
          </w:p>
        </w:tc>
        <w:tc>
          <w:tcPr>
            <w:tcW w:w="665" w:type="pct"/>
            <w:vMerge/>
            <w:tcBorders>
              <w:left w:val="single" w:sz="4" w:space="0" w:color="auto"/>
            </w:tcBorders>
            <w:vAlign w:val="center"/>
          </w:tcPr>
          <w:p w:rsidR="00EE56C0" w:rsidRPr="005767FB" w:rsidRDefault="00EE56C0">
            <w:pPr>
              <w:pStyle w:val="afa"/>
              <w:rPr>
                <w:u w:val="single"/>
              </w:rPr>
            </w:pPr>
          </w:p>
        </w:tc>
        <w:tc>
          <w:tcPr>
            <w:tcW w:w="698" w:type="pct"/>
            <w:vMerge/>
            <w:vAlign w:val="center"/>
          </w:tcPr>
          <w:p w:rsidR="00EE56C0" w:rsidRDefault="00EE56C0">
            <w:pPr>
              <w:pStyle w:val="afa"/>
            </w:pPr>
          </w:p>
        </w:tc>
      </w:tr>
      <w:tr w:rsidR="00EE56C0">
        <w:trPr>
          <w:trHeight w:val="425"/>
          <w:jc w:val="center"/>
        </w:trPr>
        <w:tc>
          <w:tcPr>
            <w:tcW w:w="336" w:type="pct"/>
            <w:vAlign w:val="center"/>
          </w:tcPr>
          <w:p w:rsidR="00EE56C0" w:rsidRDefault="000F36A1">
            <w:pPr>
              <w:pStyle w:val="afa"/>
            </w:pPr>
            <w:r>
              <w:t>1</w:t>
            </w:r>
          </w:p>
        </w:tc>
        <w:tc>
          <w:tcPr>
            <w:tcW w:w="642" w:type="pct"/>
            <w:tcBorders>
              <w:right w:val="single" w:sz="4" w:space="0" w:color="auto"/>
            </w:tcBorders>
            <w:vAlign w:val="center"/>
          </w:tcPr>
          <w:p w:rsidR="00EE56C0" w:rsidRDefault="000F36A1">
            <w:pPr>
              <w:pStyle w:val="afa"/>
              <w:rPr>
                <w:b/>
              </w:rPr>
            </w:pPr>
            <w:r>
              <w:rPr>
                <w:rFonts w:hAnsi="宋体" w:hint="eastAsia"/>
              </w:rPr>
              <w:t>南王庄村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19072107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0.77</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t>2</w:t>
            </w:r>
          </w:p>
        </w:tc>
        <w:tc>
          <w:tcPr>
            <w:tcW w:w="642" w:type="pct"/>
            <w:tcBorders>
              <w:right w:val="single" w:sz="4" w:space="0" w:color="auto"/>
            </w:tcBorders>
            <w:vAlign w:val="center"/>
          </w:tcPr>
          <w:p w:rsidR="00EE56C0" w:rsidRDefault="000F36A1">
            <w:pPr>
              <w:pStyle w:val="afa"/>
            </w:pPr>
            <w:r>
              <w:rPr>
                <w:rFonts w:hAnsi="宋体" w:hint="eastAsia"/>
              </w:rPr>
              <w:t>刘店村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0.0007</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19042008</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0.33</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3</w:t>
            </w:r>
          </w:p>
        </w:tc>
        <w:tc>
          <w:tcPr>
            <w:tcW w:w="642" w:type="pct"/>
            <w:tcBorders>
              <w:right w:val="single" w:sz="4" w:space="0" w:color="auto"/>
            </w:tcBorders>
            <w:vAlign w:val="center"/>
          </w:tcPr>
          <w:p w:rsidR="00EE56C0" w:rsidRDefault="000F36A1">
            <w:pPr>
              <w:pStyle w:val="afa"/>
              <w:rPr>
                <w:rFonts w:hAnsi="宋体"/>
              </w:rPr>
            </w:pPr>
            <w:r>
              <w:rPr>
                <w:rFonts w:hAnsi="宋体" w:hint="eastAsia"/>
              </w:rPr>
              <w:t>马庄村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0.0008</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19072107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0.41</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4</w:t>
            </w:r>
          </w:p>
        </w:tc>
        <w:tc>
          <w:tcPr>
            <w:tcW w:w="642" w:type="pct"/>
            <w:tcBorders>
              <w:right w:val="single" w:sz="4" w:space="0" w:color="auto"/>
            </w:tcBorders>
            <w:vAlign w:val="center"/>
          </w:tcPr>
          <w:p w:rsidR="00EE56C0" w:rsidRDefault="000F36A1">
            <w:pPr>
              <w:pStyle w:val="afa"/>
              <w:rPr>
                <w:rFonts w:hAnsi="宋体"/>
              </w:rPr>
            </w:pPr>
            <w:r>
              <w:rPr>
                <w:rFonts w:hAnsi="宋体" w:hint="eastAsia"/>
              </w:rPr>
              <w:t>康庄村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0.0008</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19050307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0.40</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lastRenderedPageBreak/>
              <w:t>5</w:t>
            </w:r>
          </w:p>
        </w:tc>
        <w:tc>
          <w:tcPr>
            <w:tcW w:w="642" w:type="pct"/>
            <w:tcBorders>
              <w:right w:val="single" w:sz="4" w:space="0" w:color="auto"/>
            </w:tcBorders>
            <w:vAlign w:val="center"/>
          </w:tcPr>
          <w:p w:rsidR="00EE56C0" w:rsidRDefault="000F36A1">
            <w:pPr>
              <w:pStyle w:val="afa"/>
              <w:rPr>
                <w:rFonts w:hAnsi="宋体"/>
              </w:rPr>
            </w:pPr>
            <w:r>
              <w:rPr>
                <w:rFonts w:hAnsi="宋体" w:hint="eastAsia"/>
              </w:rPr>
              <w:t>府庄村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0.0009</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19050107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0.44</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6</w:t>
            </w:r>
          </w:p>
        </w:tc>
        <w:tc>
          <w:tcPr>
            <w:tcW w:w="642" w:type="pct"/>
            <w:tcBorders>
              <w:right w:val="single" w:sz="4" w:space="0" w:color="auto"/>
            </w:tcBorders>
            <w:vAlign w:val="center"/>
          </w:tcPr>
          <w:p w:rsidR="00EE56C0" w:rsidRDefault="000F36A1">
            <w:pPr>
              <w:pStyle w:val="afa"/>
              <w:rPr>
                <w:rFonts w:hAnsi="宋体"/>
              </w:rPr>
            </w:pPr>
            <w:r>
              <w:rPr>
                <w:rFonts w:hAnsi="宋体" w:hint="eastAsia"/>
              </w:rPr>
              <w:t>大张庄村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0.0004</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19072107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0.20</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7</w:t>
            </w:r>
          </w:p>
        </w:tc>
        <w:tc>
          <w:tcPr>
            <w:tcW w:w="642" w:type="pct"/>
            <w:tcBorders>
              <w:right w:val="single" w:sz="4" w:space="0" w:color="auto"/>
            </w:tcBorders>
            <w:vAlign w:val="center"/>
          </w:tcPr>
          <w:p w:rsidR="00EE56C0" w:rsidRDefault="000F36A1">
            <w:pPr>
              <w:pStyle w:val="afa"/>
              <w:rPr>
                <w:rFonts w:hAnsi="宋体"/>
              </w:rPr>
            </w:pPr>
            <w:r>
              <w:rPr>
                <w:rFonts w:hAnsi="宋体" w:hint="eastAsia"/>
              </w:rPr>
              <w:t>大赵庄村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0.0005</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19070207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0.23</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8</w:t>
            </w:r>
          </w:p>
        </w:tc>
        <w:tc>
          <w:tcPr>
            <w:tcW w:w="642" w:type="pct"/>
            <w:tcBorders>
              <w:right w:val="single" w:sz="4" w:space="0" w:color="auto"/>
            </w:tcBorders>
            <w:vAlign w:val="center"/>
          </w:tcPr>
          <w:p w:rsidR="00EE56C0" w:rsidRDefault="000F36A1">
            <w:pPr>
              <w:pStyle w:val="afa"/>
              <w:rPr>
                <w:rFonts w:hAnsi="宋体"/>
              </w:rPr>
            </w:pPr>
            <w:r>
              <w:rPr>
                <w:rFonts w:hAnsi="宋体" w:hint="eastAsia"/>
              </w:rPr>
              <w:t>丁庄村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0.0005</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19050308</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0.23</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9</w:t>
            </w:r>
          </w:p>
        </w:tc>
        <w:tc>
          <w:tcPr>
            <w:tcW w:w="642" w:type="pct"/>
            <w:tcBorders>
              <w:right w:val="single" w:sz="4" w:space="0" w:color="auto"/>
            </w:tcBorders>
            <w:vAlign w:val="center"/>
          </w:tcPr>
          <w:p w:rsidR="00EE56C0" w:rsidRDefault="000F36A1">
            <w:pPr>
              <w:pStyle w:val="afa"/>
              <w:rPr>
                <w:rFonts w:hAnsi="宋体"/>
              </w:rPr>
            </w:pPr>
            <w:r>
              <w:rPr>
                <w:rFonts w:hAnsi="宋体" w:hint="eastAsia"/>
              </w:rPr>
              <w:t>刘八庄村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0.0006</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19050307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0.32</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10</w:t>
            </w:r>
          </w:p>
        </w:tc>
        <w:tc>
          <w:tcPr>
            <w:tcW w:w="642" w:type="pct"/>
            <w:tcBorders>
              <w:right w:val="single" w:sz="4" w:space="0" w:color="auto"/>
            </w:tcBorders>
            <w:vAlign w:val="center"/>
          </w:tcPr>
          <w:p w:rsidR="00EE56C0" w:rsidRDefault="000F36A1">
            <w:pPr>
              <w:pStyle w:val="afa"/>
              <w:rPr>
                <w:rFonts w:hAnsi="宋体"/>
              </w:rPr>
            </w:pPr>
            <w:r>
              <w:rPr>
                <w:rFonts w:hAnsi="宋体" w:hint="eastAsia"/>
              </w:rPr>
              <w:t>王贵楼村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0.0005</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19050307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0.27</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11</w:t>
            </w:r>
          </w:p>
        </w:tc>
        <w:tc>
          <w:tcPr>
            <w:tcW w:w="642" w:type="pct"/>
            <w:tcBorders>
              <w:right w:val="single" w:sz="4" w:space="0" w:color="auto"/>
            </w:tcBorders>
            <w:vAlign w:val="center"/>
          </w:tcPr>
          <w:p w:rsidR="00EE56C0" w:rsidRDefault="000F36A1">
            <w:pPr>
              <w:pStyle w:val="afa"/>
            </w:pPr>
            <w:r>
              <w:rPr>
                <w:rFonts w:hAnsi="宋体" w:hint="eastAsia"/>
              </w:rPr>
              <w:t>罗滩村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0.0006</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19052607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0.29</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12</w:t>
            </w:r>
          </w:p>
        </w:tc>
        <w:tc>
          <w:tcPr>
            <w:tcW w:w="642" w:type="pct"/>
            <w:tcBorders>
              <w:right w:val="single" w:sz="4" w:space="0" w:color="auto"/>
            </w:tcBorders>
            <w:vAlign w:val="center"/>
          </w:tcPr>
          <w:p w:rsidR="00EE56C0" w:rsidRDefault="000F36A1">
            <w:pPr>
              <w:pStyle w:val="afa"/>
              <w:rPr>
                <w:rFonts w:hAnsi="宋体"/>
              </w:rPr>
            </w:pPr>
            <w:r>
              <w:rPr>
                <w:rFonts w:hAnsi="宋体" w:hint="eastAsia"/>
              </w:rPr>
              <w:t>杨庄村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0.0005</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19052607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0.24</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13</w:t>
            </w:r>
          </w:p>
        </w:tc>
        <w:tc>
          <w:tcPr>
            <w:tcW w:w="642" w:type="pct"/>
            <w:tcBorders>
              <w:right w:val="single" w:sz="4" w:space="0" w:color="auto"/>
            </w:tcBorders>
            <w:vAlign w:val="center"/>
          </w:tcPr>
          <w:p w:rsidR="00EE56C0" w:rsidRDefault="000F36A1">
            <w:pPr>
              <w:pStyle w:val="afa"/>
              <w:rPr>
                <w:rFonts w:hAnsi="宋体"/>
              </w:rPr>
            </w:pPr>
            <w:r>
              <w:rPr>
                <w:rFonts w:hAnsi="宋体" w:hint="eastAsia"/>
              </w:rPr>
              <w:t>杨堤村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0.0006</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19060707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0.31</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14</w:t>
            </w:r>
          </w:p>
        </w:tc>
        <w:tc>
          <w:tcPr>
            <w:tcW w:w="642" w:type="pct"/>
            <w:tcBorders>
              <w:right w:val="single" w:sz="4" w:space="0" w:color="auto"/>
            </w:tcBorders>
            <w:vAlign w:val="center"/>
          </w:tcPr>
          <w:p w:rsidR="00EE56C0" w:rsidRDefault="000F36A1">
            <w:pPr>
              <w:pStyle w:val="afa"/>
              <w:rPr>
                <w:rFonts w:hAnsi="宋体"/>
              </w:rPr>
            </w:pPr>
            <w:r>
              <w:rPr>
                <w:rFonts w:hAnsi="宋体" w:hint="eastAsia"/>
              </w:rPr>
              <w:t>西曹村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0.0005</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19100208</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0.27</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15</w:t>
            </w:r>
          </w:p>
        </w:tc>
        <w:tc>
          <w:tcPr>
            <w:tcW w:w="642" w:type="pct"/>
            <w:tcBorders>
              <w:right w:val="single" w:sz="4" w:space="0" w:color="auto"/>
            </w:tcBorders>
            <w:vAlign w:val="center"/>
          </w:tcPr>
          <w:p w:rsidR="00EE56C0" w:rsidRDefault="000F36A1">
            <w:pPr>
              <w:pStyle w:val="afa"/>
              <w:rPr>
                <w:rFonts w:hAnsi="宋体"/>
              </w:rPr>
            </w:pPr>
            <w:r>
              <w:rPr>
                <w:rFonts w:hAnsi="宋体" w:hint="eastAsia"/>
              </w:rPr>
              <w:t>中曹村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0.0007</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19110109</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0.33</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16</w:t>
            </w:r>
          </w:p>
        </w:tc>
        <w:tc>
          <w:tcPr>
            <w:tcW w:w="642" w:type="pct"/>
            <w:tcBorders>
              <w:right w:val="single" w:sz="4" w:space="0" w:color="auto"/>
            </w:tcBorders>
            <w:vAlign w:val="center"/>
          </w:tcPr>
          <w:p w:rsidR="00EE56C0" w:rsidRDefault="000F36A1">
            <w:pPr>
              <w:pStyle w:val="afa"/>
              <w:rPr>
                <w:rFonts w:hAnsi="宋体"/>
              </w:rPr>
            </w:pPr>
            <w:r>
              <w:rPr>
                <w:rFonts w:hAnsi="宋体" w:hint="eastAsia"/>
              </w:rPr>
              <w:t>东曹村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0.0007</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19120910</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0.36</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17</w:t>
            </w:r>
          </w:p>
        </w:tc>
        <w:tc>
          <w:tcPr>
            <w:tcW w:w="642" w:type="pct"/>
            <w:tcBorders>
              <w:right w:val="single" w:sz="4" w:space="0" w:color="auto"/>
            </w:tcBorders>
            <w:vAlign w:val="center"/>
          </w:tcPr>
          <w:p w:rsidR="00EE56C0" w:rsidRDefault="000F36A1">
            <w:pPr>
              <w:pStyle w:val="afa"/>
              <w:rPr>
                <w:rFonts w:hAnsi="宋体"/>
              </w:rPr>
            </w:pPr>
            <w:r>
              <w:rPr>
                <w:rFonts w:hAnsi="宋体" w:hint="eastAsia"/>
              </w:rPr>
              <w:t>七里营镇</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0.0009</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19051507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0.47</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18</w:t>
            </w:r>
          </w:p>
        </w:tc>
        <w:tc>
          <w:tcPr>
            <w:tcW w:w="642" w:type="pct"/>
            <w:tcBorders>
              <w:right w:val="single" w:sz="4" w:space="0" w:color="auto"/>
            </w:tcBorders>
            <w:vAlign w:val="center"/>
          </w:tcPr>
          <w:p w:rsidR="00EE56C0" w:rsidRDefault="000F36A1">
            <w:pPr>
              <w:pStyle w:val="afa"/>
              <w:rPr>
                <w:rFonts w:hAnsi="宋体"/>
              </w:rPr>
            </w:pPr>
            <w:r>
              <w:rPr>
                <w:rFonts w:hAnsi="宋体" w:hint="eastAsia"/>
              </w:rPr>
              <w:t>七二村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0.0008</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19051507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0.41</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19</w:t>
            </w:r>
          </w:p>
        </w:tc>
        <w:tc>
          <w:tcPr>
            <w:tcW w:w="642" w:type="pct"/>
            <w:tcBorders>
              <w:right w:val="single" w:sz="4" w:space="0" w:color="auto"/>
            </w:tcBorders>
            <w:vAlign w:val="center"/>
          </w:tcPr>
          <w:p w:rsidR="00EE56C0" w:rsidRDefault="000F36A1">
            <w:pPr>
              <w:pStyle w:val="afa"/>
            </w:pPr>
            <w:r>
              <w:rPr>
                <w:rFonts w:hAnsi="宋体" w:hint="eastAsia"/>
              </w:rPr>
              <w:t>刘庄</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0.0011</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19051208</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0.54</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20</w:t>
            </w:r>
          </w:p>
        </w:tc>
        <w:tc>
          <w:tcPr>
            <w:tcW w:w="642" w:type="pct"/>
            <w:tcBorders>
              <w:right w:val="single" w:sz="4" w:space="0" w:color="auto"/>
            </w:tcBorders>
            <w:vAlign w:val="center"/>
          </w:tcPr>
          <w:p w:rsidR="00EE56C0" w:rsidRDefault="000F36A1">
            <w:pPr>
              <w:pStyle w:val="afa"/>
            </w:pPr>
            <w:r>
              <w:rPr>
                <w:rFonts w:hAnsi="宋体" w:hint="eastAsia"/>
              </w:rPr>
              <w:t>陈庄村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0.0010</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19051208</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0.49</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21</w:t>
            </w:r>
          </w:p>
        </w:tc>
        <w:tc>
          <w:tcPr>
            <w:tcW w:w="642" w:type="pct"/>
            <w:tcBorders>
              <w:right w:val="single" w:sz="4" w:space="0" w:color="auto"/>
            </w:tcBorders>
            <w:vAlign w:val="center"/>
          </w:tcPr>
          <w:p w:rsidR="00EE56C0" w:rsidRDefault="000F36A1">
            <w:pPr>
              <w:pStyle w:val="afa"/>
              <w:rPr>
                <w:rFonts w:hAnsi="宋体"/>
              </w:rPr>
            </w:pPr>
            <w:r>
              <w:rPr>
                <w:rFonts w:hAnsi="宋体" w:hint="eastAsia"/>
                <w:bCs/>
              </w:rPr>
              <w:t>位庄村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0.0003</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19100322</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0.16</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22</w:t>
            </w:r>
          </w:p>
        </w:tc>
        <w:tc>
          <w:tcPr>
            <w:tcW w:w="642" w:type="pct"/>
            <w:tcBorders>
              <w:right w:val="single" w:sz="4" w:space="0" w:color="auto"/>
            </w:tcBorders>
            <w:vAlign w:val="center"/>
          </w:tcPr>
          <w:p w:rsidR="00EE56C0" w:rsidRDefault="000F36A1">
            <w:pPr>
              <w:pStyle w:val="afa"/>
              <w:rPr>
                <w:rFonts w:hAnsi="宋体"/>
              </w:rPr>
            </w:pPr>
            <w:r>
              <w:rPr>
                <w:rFonts w:hAnsi="宋体" w:hint="eastAsia"/>
              </w:rPr>
              <w:t>南魏庄</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0.0004</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19060607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0.22</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23</w:t>
            </w:r>
          </w:p>
        </w:tc>
        <w:tc>
          <w:tcPr>
            <w:tcW w:w="642" w:type="pct"/>
            <w:tcBorders>
              <w:right w:val="single" w:sz="4" w:space="0" w:color="auto"/>
            </w:tcBorders>
            <w:vAlign w:val="center"/>
          </w:tcPr>
          <w:p w:rsidR="00EE56C0" w:rsidRDefault="000F36A1">
            <w:pPr>
              <w:pStyle w:val="afa"/>
              <w:rPr>
                <w:rFonts w:hAnsi="宋体"/>
              </w:rPr>
            </w:pPr>
            <w:r>
              <w:rPr>
                <w:rFonts w:hAnsi="宋体" w:hint="eastAsia"/>
              </w:rPr>
              <w:t>曹庄村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0.0006</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19060607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0.28</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24</w:t>
            </w:r>
          </w:p>
        </w:tc>
        <w:tc>
          <w:tcPr>
            <w:tcW w:w="642" w:type="pct"/>
            <w:tcBorders>
              <w:right w:val="single" w:sz="4" w:space="0" w:color="auto"/>
            </w:tcBorders>
            <w:vAlign w:val="center"/>
          </w:tcPr>
          <w:p w:rsidR="00EE56C0" w:rsidRDefault="000F36A1">
            <w:pPr>
              <w:pStyle w:val="afa"/>
            </w:pPr>
            <w:r>
              <w:rPr>
                <w:rFonts w:hint="eastAsia"/>
              </w:rPr>
              <w:t>新</w:t>
            </w:r>
            <w:r>
              <w:rPr>
                <w:rFonts w:hAnsi="宋体" w:hint="eastAsia"/>
              </w:rPr>
              <w:t>庄</w:t>
            </w:r>
            <w:r>
              <w:rPr>
                <w:rFonts w:hint="eastAsia"/>
              </w:rPr>
              <w:t>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0.0004</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19060607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0.20</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25</w:t>
            </w:r>
          </w:p>
        </w:tc>
        <w:tc>
          <w:tcPr>
            <w:tcW w:w="642" w:type="pct"/>
            <w:tcBorders>
              <w:right w:val="single" w:sz="4" w:space="0" w:color="auto"/>
            </w:tcBorders>
            <w:vAlign w:val="center"/>
          </w:tcPr>
          <w:p w:rsidR="00EE56C0" w:rsidRDefault="000F36A1">
            <w:pPr>
              <w:pStyle w:val="afa"/>
            </w:pPr>
            <w:r>
              <w:rPr>
                <w:rFonts w:hint="eastAsia"/>
              </w:rPr>
              <w:t>刘纪岗</w:t>
            </w:r>
            <w:r>
              <w:rPr>
                <w:rFonts w:hAnsi="宋体" w:hint="eastAsia"/>
              </w:rPr>
              <w:t>庄</w:t>
            </w:r>
            <w:r>
              <w:rPr>
                <w:rFonts w:hint="eastAsia"/>
              </w:rPr>
              <w:t>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0.0003</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19060607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0.17</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26</w:t>
            </w:r>
          </w:p>
        </w:tc>
        <w:tc>
          <w:tcPr>
            <w:tcW w:w="642" w:type="pct"/>
            <w:tcBorders>
              <w:right w:val="single" w:sz="4" w:space="0" w:color="auto"/>
            </w:tcBorders>
            <w:vAlign w:val="center"/>
          </w:tcPr>
          <w:p w:rsidR="00EE56C0" w:rsidRDefault="000F36A1">
            <w:pPr>
              <w:pStyle w:val="afa"/>
            </w:pPr>
            <w:r>
              <w:rPr>
                <w:rFonts w:hint="eastAsia"/>
              </w:rPr>
              <w:t>小张庄村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0.0003</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19051208</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0.13</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27</w:t>
            </w:r>
          </w:p>
        </w:tc>
        <w:tc>
          <w:tcPr>
            <w:tcW w:w="642" w:type="pct"/>
            <w:tcBorders>
              <w:right w:val="single" w:sz="4" w:space="0" w:color="auto"/>
            </w:tcBorders>
            <w:vAlign w:val="center"/>
          </w:tcPr>
          <w:p w:rsidR="00EE56C0" w:rsidRDefault="000F36A1">
            <w:pPr>
              <w:pStyle w:val="afa"/>
            </w:pPr>
            <w:r>
              <w:rPr>
                <w:rFonts w:hint="eastAsia"/>
              </w:rPr>
              <w:t>苗庄村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0.0002</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19062802</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0.10</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28</w:t>
            </w:r>
          </w:p>
        </w:tc>
        <w:tc>
          <w:tcPr>
            <w:tcW w:w="642" w:type="pct"/>
            <w:tcBorders>
              <w:right w:val="single" w:sz="4" w:space="0" w:color="auto"/>
            </w:tcBorders>
            <w:vAlign w:val="center"/>
          </w:tcPr>
          <w:p w:rsidR="00EE56C0" w:rsidRDefault="000F36A1">
            <w:pPr>
              <w:pStyle w:val="afa"/>
            </w:pPr>
            <w:r>
              <w:rPr>
                <w:rFonts w:hint="eastAsia"/>
              </w:rPr>
              <w:t>沟王村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0.0007</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19051208</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0.34</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29</w:t>
            </w:r>
          </w:p>
        </w:tc>
        <w:tc>
          <w:tcPr>
            <w:tcW w:w="642" w:type="pct"/>
            <w:tcBorders>
              <w:right w:val="single" w:sz="4" w:space="0" w:color="auto"/>
            </w:tcBorders>
            <w:vAlign w:val="center"/>
          </w:tcPr>
          <w:p w:rsidR="00EE56C0" w:rsidRDefault="000F36A1">
            <w:pPr>
              <w:pStyle w:val="afa"/>
            </w:pPr>
            <w:r>
              <w:rPr>
                <w:rFonts w:hint="eastAsia"/>
              </w:rPr>
              <w:t>八柳树村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0.0003</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19032708</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0.17</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30</w:t>
            </w:r>
          </w:p>
        </w:tc>
        <w:tc>
          <w:tcPr>
            <w:tcW w:w="642" w:type="pct"/>
            <w:tcBorders>
              <w:right w:val="single" w:sz="4" w:space="0" w:color="auto"/>
            </w:tcBorders>
            <w:vAlign w:val="center"/>
          </w:tcPr>
          <w:p w:rsidR="00EE56C0" w:rsidRDefault="000F36A1">
            <w:pPr>
              <w:pStyle w:val="afa"/>
            </w:pPr>
            <w:r>
              <w:rPr>
                <w:rFonts w:hint="eastAsia"/>
              </w:rPr>
              <w:t>宋庄村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0.0008</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19051207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0.39</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31</w:t>
            </w:r>
          </w:p>
        </w:tc>
        <w:tc>
          <w:tcPr>
            <w:tcW w:w="642" w:type="pct"/>
            <w:tcBorders>
              <w:right w:val="single" w:sz="4" w:space="0" w:color="auto"/>
            </w:tcBorders>
            <w:vAlign w:val="center"/>
          </w:tcPr>
          <w:p w:rsidR="00EE56C0" w:rsidRDefault="000F36A1">
            <w:pPr>
              <w:pStyle w:val="afa"/>
            </w:pPr>
            <w:r>
              <w:rPr>
                <w:rFonts w:hint="eastAsia"/>
              </w:rPr>
              <w:t>东王庄村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0.0005</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19051207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0.23</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lastRenderedPageBreak/>
              <w:t>32</w:t>
            </w:r>
          </w:p>
        </w:tc>
        <w:tc>
          <w:tcPr>
            <w:tcW w:w="642" w:type="pct"/>
            <w:tcBorders>
              <w:right w:val="single" w:sz="4" w:space="0" w:color="auto"/>
            </w:tcBorders>
            <w:vAlign w:val="center"/>
          </w:tcPr>
          <w:p w:rsidR="00EE56C0" w:rsidRDefault="000F36A1">
            <w:pPr>
              <w:pStyle w:val="afa"/>
            </w:pPr>
            <w:r>
              <w:rPr>
                <w:rFonts w:hint="eastAsia"/>
              </w:rPr>
              <w:t>大兴村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0.0004</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19071307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0.22</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33</w:t>
            </w:r>
          </w:p>
        </w:tc>
        <w:tc>
          <w:tcPr>
            <w:tcW w:w="642" w:type="pct"/>
            <w:tcBorders>
              <w:right w:val="single" w:sz="4" w:space="0" w:color="auto"/>
            </w:tcBorders>
            <w:vAlign w:val="center"/>
          </w:tcPr>
          <w:p w:rsidR="00EE56C0" w:rsidRDefault="000F36A1">
            <w:pPr>
              <w:pStyle w:val="afa"/>
            </w:pPr>
            <w:r>
              <w:rPr>
                <w:rFonts w:hint="eastAsia"/>
              </w:rPr>
              <w:t>东贾城村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0.0005</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19031908</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0.26</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34</w:t>
            </w:r>
          </w:p>
        </w:tc>
        <w:tc>
          <w:tcPr>
            <w:tcW w:w="642" w:type="pct"/>
            <w:tcBorders>
              <w:right w:val="single" w:sz="4" w:space="0" w:color="auto"/>
            </w:tcBorders>
            <w:vAlign w:val="center"/>
          </w:tcPr>
          <w:p w:rsidR="00EE56C0" w:rsidRDefault="000F36A1">
            <w:pPr>
              <w:pStyle w:val="afa"/>
            </w:pPr>
            <w:r>
              <w:rPr>
                <w:rFonts w:hint="eastAsia"/>
              </w:rPr>
              <w:t>高村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0.0007</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19051607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0.35</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35</w:t>
            </w:r>
          </w:p>
        </w:tc>
        <w:tc>
          <w:tcPr>
            <w:tcW w:w="642" w:type="pct"/>
            <w:tcBorders>
              <w:right w:val="single" w:sz="4" w:space="0" w:color="auto"/>
            </w:tcBorders>
            <w:vAlign w:val="center"/>
          </w:tcPr>
          <w:p w:rsidR="00EE56C0" w:rsidRDefault="000F36A1">
            <w:pPr>
              <w:pStyle w:val="afa"/>
            </w:pPr>
            <w:r>
              <w:rPr>
                <w:rFonts w:hint="eastAsia"/>
              </w:rPr>
              <w:t>侯庄村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0.0003</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19102409</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0.14</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36</w:t>
            </w:r>
          </w:p>
        </w:tc>
        <w:tc>
          <w:tcPr>
            <w:tcW w:w="642" w:type="pct"/>
            <w:tcBorders>
              <w:right w:val="single" w:sz="4" w:space="0" w:color="auto"/>
            </w:tcBorders>
            <w:vAlign w:val="center"/>
          </w:tcPr>
          <w:p w:rsidR="00EE56C0" w:rsidRDefault="000F36A1">
            <w:pPr>
              <w:pStyle w:val="afa"/>
            </w:pPr>
            <w:r>
              <w:rPr>
                <w:rFonts w:hint="eastAsia"/>
              </w:rPr>
              <w:t>东石碑村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0.0006</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19120910</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0.28</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37</w:t>
            </w:r>
          </w:p>
        </w:tc>
        <w:tc>
          <w:tcPr>
            <w:tcW w:w="642" w:type="pct"/>
            <w:tcBorders>
              <w:right w:val="single" w:sz="4" w:space="0" w:color="auto"/>
            </w:tcBorders>
            <w:vAlign w:val="center"/>
          </w:tcPr>
          <w:p w:rsidR="00EE56C0" w:rsidRDefault="000F36A1">
            <w:pPr>
              <w:pStyle w:val="afa"/>
            </w:pPr>
            <w:r>
              <w:rPr>
                <w:rFonts w:hint="eastAsia"/>
              </w:rPr>
              <w:t>杏庄村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0.0005</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19120910</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0.24</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38</w:t>
            </w:r>
          </w:p>
        </w:tc>
        <w:tc>
          <w:tcPr>
            <w:tcW w:w="642" w:type="pct"/>
            <w:tcBorders>
              <w:right w:val="single" w:sz="4" w:space="0" w:color="auto"/>
            </w:tcBorders>
            <w:vAlign w:val="center"/>
          </w:tcPr>
          <w:p w:rsidR="00EE56C0" w:rsidRDefault="000F36A1">
            <w:pPr>
              <w:pStyle w:val="afa"/>
            </w:pPr>
            <w:r>
              <w:rPr>
                <w:rFonts w:hint="eastAsia"/>
              </w:rPr>
              <w:t>敦留店村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0.0004</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19110109</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0.20</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39</w:t>
            </w:r>
          </w:p>
        </w:tc>
        <w:tc>
          <w:tcPr>
            <w:tcW w:w="642" w:type="pct"/>
            <w:tcBorders>
              <w:right w:val="single" w:sz="4" w:space="0" w:color="auto"/>
            </w:tcBorders>
            <w:vAlign w:val="center"/>
          </w:tcPr>
          <w:p w:rsidR="00EE56C0" w:rsidRDefault="000F36A1">
            <w:pPr>
              <w:pStyle w:val="afa"/>
            </w:pPr>
            <w:r>
              <w:rPr>
                <w:rFonts w:hint="eastAsia"/>
              </w:rPr>
              <w:t>李道堤村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0.0004</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19110109</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0.18</w:t>
            </w:r>
          </w:p>
        </w:tc>
        <w:tc>
          <w:tcPr>
            <w:tcW w:w="698" w:type="pct"/>
            <w:vAlign w:val="center"/>
          </w:tcPr>
          <w:p w:rsidR="00EE56C0" w:rsidRDefault="000F36A1">
            <w:pPr>
              <w:pStyle w:val="afa"/>
            </w:pPr>
            <w:r>
              <w:rPr>
                <w:rFonts w:hint="eastAsia"/>
              </w:rPr>
              <w:t>达标</w:t>
            </w:r>
          </w:p>
        </w:tc>
      </w:tr>
    </w:tbl>
    <w:p w:rsidR="00EE56C0" w:rsidRDefault="000F36A1">
      <w:pPr>
        <w:pStyle w:val="afd"/>
        <w:spacing w:before="120" w:after="120"/>
        <w:ind w:firstLine="482"/>
      </w:pPr>
      <w:r>
        <w:t>表</w:t>
      </w:r>
      <w:r>
        <w:t>5-</w:t>
      </w:r>
      <w:r>
        <w:rPr>
          <w:rFonts w:hint="eastAsia"/>
        </w:rPr>
        <w:t xml:space="preserve">28              </w:t>
      </w:r>
      <w:r>
        <w:rPr>
          <w:rFonts w:hint="eastAsia"/>
        </w:rPr>
        <w:t>苯浓度最大贡献值</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573"/>
        <w:gridCol w:w="1095"/>
        <w:gridCol w:w="1274"/>
        <w:gridCol w:w="1986"/>
        <w:gridCol w:w="1276"/>
        <w:gridCol w:w="1134"/>
        <w:gridCol w:w="1191"/>
      </w:tblGrid>
      <w:tr w:rsidR="00EE56C0">
        <w:trPr>
          <w:trHeight w:val="425"/>
          <w:tblHeader/>
          <w:jc w:val="center"/>
        </w:trPr>
        <w:tc>
          <w:tcPr>
            <w:tcW w:w="336" w:type="pct"/>
            <w:vMerge w:val="restart"/>
            <w:vAlign w:val="center"/>
          </w:tcPr>
          <w:p w:rsidR="00EE56C0" w:rsidRDefault="00340837">
            <w:pPr>
              <w:pStyle w:val="aff1"/>
              <w:rPr>
                <w:color w:val="auto"/>
              </w:rPr>
            </w:pPr>
            <w:r>
              <w:rPr>
                <w:color w:val="auto"/>
              </w:rPr>
              <w:pict>
                <v:shape id="_x0000_s2212" type="#_x0000_t202" style="position:absolute;left:0;text-align:left;margin-left:39.35pt;margin-top:-192.15pt;width:21.65pt;height:19.65pt;z-index:251713024" o:gfxdata="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" filled="f" stroked="f" strokeweight="1pt">
                  <v:textbox>
                    <w:txbxContent>
                      <w:p w:rsidR="009C6BD9" w:rsidRDefault="009C6BD9">
                        <w:pPr>
                          <w:ind w:firstLine="482"/>
                          <w:rPr>
                            <w:b/>
                            <w:color w:val="FF0000"/>
                            <w:szCs w:val="21"/>
                          </w:rPr>
                        </w:pPr>
                        <w:r>
                          <w:rPr>
                            <w:rFonts w:hint="eastAsia"/>
                            <w:b/>
                            <w:color w:val="FF0000"/>
                            <w:szCs w:val="21"/>
                          </w:rPr>
                          <w:t>3</w:t>
                        </w:r>
                      </w:p>
                    </w:txbxContent>
                  </v:textbox>
                </v:shape>
              </w:pict>
            </w:r>
            <w:r w:rsidR="000F36A1">
              <w:rPr>
                <w:rFonts w:hAnsi="宋体"/>
                <w:color w:val="auto"/>
              </w:rPr>
              <w:t>序列</w:t>
            </w:r>
          </w:p>
        </w:tc>
        <w:tc>
          <w:tcPr>
            <w:tcW w:w="642" w:type="pct"/>
            <w:vMerge w:val="restart"/>
            <w:tcBorders>
              <w:right w:val="single" w:sz="4" w:space="0" w:color="auto"/>
            </w:tcBorders>
            <w:vAlign w:val="center"/>
          </w:tcPr>
          <w:p w:rsidR="00EE56C0" w:rsidRDefault="000F36A1">
            <w:pPr>
              <w:pStyle w:val="aff1"/>
              <w:rPr>
                <w:color w:val="auto"/>
              </w:rPr>
            </w:pPr>
            <w:r>
              <w:rPr>
                <w:rFonts w:hAnsi="宋体" w:hint="eastAsia"/>
                <w:color w:val="auto"/>
              </w:rPr>
              <w:t>预测点</w:t>
            </w:r>
          </w:p>
        </w:tc>
        <w:tc>
          <w:tcPr>
            <w:tcW w:w="747" w:type="pct"/>
            <w:vMerge w:val="restart"/>
            <w:tcBorders>
              <w:right w:val="single" w:sz="4" w:space="0" w:color="auto"/>
            </w:tcBorders>
            <w:vAlign w:val="center"/>
          </w:tcPr>
          <w:p w:rsidR="00EE56C0" w:rsidRDefault="000F36A1">
            <w:pPr>
              <w:pStyle w:val="aff1"/>
              <w:rPr>
                <w:rFonts w:hAnsi="宋体"/>
                <w:color w:val="auto"/>
              </w:rPr>
            </w:pPr>
            <w:r>
              <w:rPr>
                <w:rFonts w:hAnsi="宋体" w:hint="eastAsia"/>
                <w:color w:val="auto"/>
              </w:rPr>
              <w:t>平均时段</w:t>
            </w:r>
          </w:p>
        </w:tc>
        <w:tc>
          <w:tcPr>
            <w:tcW w:w="1164" w:type="pct"/>
            <w:vMerge w:val="restart"/>
            <w:tcBorders>
              <w:right w:val="single" w:sz="4" w:space="0" w:color="auto"/>
            </w:tcBorders>
            <w:vAlign w:val="center"/>
          </w:tcPr>
          <w:p w:rsidR="00EE56C0" w:rsidRPr="005767FB" w:rsidRDefault="000F36A1">
            <w:pPr>
              <w:pStyle w:val="afa"/>
              <w:rPr>
                <w:b/>
                <w:u w:val="single"/>
              </w:rPr>
            </w:pPr>
            <w:r w:rsidRPr="005767FB">
              <w:rPr>
                <w:rFonts w:hint="eastAsia"/>
                <w:b/>
                <w:u w:val="single"/>
              </w:rPr>
              <w:t>最大贡献值（</w:t>
            </w:r>
            <w:r w:rsidRPr="005767FB">
              <w:rPr>
                <w:rFonts w:hint="eastAsia"/>
                <w:b/>
                <w:u w:val="single"/>
              </w:rPr>
              <w:t>mg/m</w:t>
            </w:r>
            <w:r w:rsidRPr="005767FB">
              <w:rPr>
                <w:rFonts w:hint="eastAsia"/>
                <w:b/>
                <w:u w:val="single"/>
                <w:vertAlign w:val="superscript"/>
              </w:rPr>
              <w:t>3</w:t>
            </w:r>
            <w:r w:rsidRPr="005767FB">
              <w:rPr>
                <w:rFonts w:hint="eastAsia"/>
                <w:b/>
                <w:u w:val="single"/>
              </w:rPr>
              <w:t>）</w:t>
            </w:r>
          </w:p>
        </w:tc>
        <w:tc>
          <w:tcPr>
            <w:tcW w:w="748" w:type="pct"/>
            <w:vMerge w:val="restart"/>
            <w:tcBorders>
              <w:left w:val="single" w:sz="4" w:space="0" w:color="auto"/>
              <w:right w:val="single" w:sz="4" w:space="0" w:color="auto"/>
            </w:tcBorders>
            <w:vAlign w:val="center"/>
          </w:tcPr>
          <w:p w:rsidR="00EE56C0" w:rsidRPr="005767FB" w:rsidRDefault="000F36A1">
            <w:pPr>
              <w:pStyle w:val="afa"/>
              <w:rPr>
                <w:b/>
                <w:u w:val="single"/>
              </w:rPr>
            </w:pPr>
            <w:r w:rsidRPr="005767FB">
              <w:rPr>
                <w:rFonts w:hint="eastAsia"/>
                <w:b/>
                <w:u w:val="single"/>
              </w:rPr>
              <w:t>出现时间</w:t>
            </w:r>
          </w:p>
        </w:tc>
        <w:tc>
          <w:tcPr>
            <w:tcW w:w="665" w:type="pct"/>
            <w:vMerge w:val="restart"/>
            <w:tcBorders>
              <w:left w:val="single" w:sz="4" w:space="0" w:color="auto"/>
            </w:tcBorders>
            <w:vAlign w:val="center"/>
          </w:tcPr>
          <w:p w:rsidR="00EE56C0" w:rsidRPr="005767FB" w:rsidRDefault="000F36A1">
            <w:pPr>
              <w:pStyle w:val="afa"/>
              <w:rPr>
                <w:b/>
                <w:u w:val="single"/>
              </w:rPr>
            </w:pPr>
            <w:r w:rsidRPr="005767FB">
              <w:rPr>
                <w:rFonts w:hint="eastAsia"/>
                <w:b/>
                <w:u w:val="single"/>
              </w:rPr>
              <w:t>占标率（</w:t>
            </w:r>
            <w:r w:rsidRPr="005767FB">
              <w:rPr>
                <w:rFonts w:hint="eastAsia"/>
                <w:b/>
                <w:u w:val="single"/>
              </w:rPr>
              <w:t>%</w:t>
            </w:r>
            <w:r w:rsidRPr="005767FB">
              <w:rPr>
                <w:rFonts w:hint="eastAsia"/>
                <w:b/>
                <w:u w:val="single"/>
              </w:rPr>
              <w:t>）</w:t>
            </w:r>
          </w:p>
        </w:tc>
        <w:tc>
          <w:tcPr>
            <w:tcW w:w="698" w:type="pct"/>
            <w:vMerge w:val="restart"/>
            <w:vAlign w:val="center"/>
          </w:tcPr>
          <w:p w:rsidR="00EE56C0" w:rsidRDefault="000F36A1">
            <w:pPr>
              <w:pStyle w:val="aff1"/>
              <w:rPr>
                <w:color w:val="auto"/>
              </w:rPr>
            </w:pPr>
            <w:r>
              <w:rPr>
                <w:rFonts w:hint="eastAsia"/>
                <w:color w:val="auto"/>
              </w:rPr>
              <w:t>达标情况</w:t>
            </w:r>
          </w:p>
        </w:tc>
      </w:tr>
      <w:tr w:rsidR="00EE56C0">
        <w:trPr>
          <w:trHeight w:val="425"/>
          <w:tblHeader/>
          <w:jc w:val="center"/>
        </w:trPr>
        <w:tc>
          <w:tcPr>
            <w:tcW w:w="336" w:type="pct"/>
            <w:vMerge/>
            <w:vAlign w:val="center"/>
          </w:tcPr>
          <w:p w:rsidR="00EE56C0" w:rsidRDefault="00EE56C0">
            <w:pPr>
              <w:pStyle w:val="afa"/>
            </w:pPr>
          </w:p>
        </w:tc>
        <w:tc>
          <w:tcPr>
            <w:tcW w:w="642" w:type="pct"/>
            <w:vMerge/>
            <w:tcBorders>
              <w:right w:val="single" w:sz="4" w:space="0" w:color="auto"/>
            </w:tcBorders>
            <w:vAlign w:val="center"/>
          </w:tcPr>
          <w:p w:rsidR="00EE56C0" w:rsidRDefault="00EE56C0">
            <w:pPr>
              <w:pStyle w:val="afa"/>
            </w:pPr>
          </w:p>
        </w:tc>
        <w:tc>
          <w:tcPr>
            <w:tcW w:w="747" w:type="pct"/>
            <w:vMerge/>
            <w:tcBorders>
              <w:right w:val="single" w:sz="4" w:space="0" w:color="auto"/>
            </w:tcBorders>
            <w:vAlign w:val="center"/>
          </w:tcPr>
          <w:p w:rsidR="00EE56C0" w:rsidRDefault="00EE56C0">
            <w:pPr>
              <w:pStyle w:val="aff1"/>
              <w:rPr>
                <w:color w:val="auto"/>
              </w:rPr>
            </w:pPr>
          </w:p>
        </w:tc>
        <w:tc>
          <w:tcPr>
            <w:tcW w:w="1164" w:type="pct"/>
            <w:vMerge/>
            <w:tcBorders>
              <w:right w:val="single" w:sz="4" w:space="0" w:color="auto"/>
            </w:tcBorders>
            <w:vAlign w:val="center"/>
          </w:tcPr>
          <w:p w:rsidR="00EE56C0" w:rsidRPr="005767FB" w:rsidRDefault="00EE56C0">
            <w:pPr>
              <w:pStyle w:val="afa"/>
              <w:rPr>
                <w:u w:val="single"/>
              </w:rPr>
            </w:pPr>
          </w:p>
        </w:tc>
        <w:tc>
          <w:tcPr>
            <w:tcW w:w="748" w:type="pct"/>
            <w:vMerge/>
            <w:tcBorders>
              <w:left w:val="single" w:sz="4" w:space="0" w:color="auto"/>
              <w:right w:val="single" w:sz="4" w:space="0" w:color="auto"/>
            </w:tcBorders>
            <w:vAlign w:val="center"/>
          </w:tcPr>
          <w:p w:rsidR="00EE56C0" w:rsidRPr="005767FB" w:rsidRDefault="00EE56C0">
            <w:pPr>
              <w:pStyle w:val="afa"/>
              <w:rPr>
                <w:u w:val="single"/>
              </w:rPr>
            </w:pPr>
          </w:p>
        </w:tc>
        <w:tc>
          <w:tcPr>
            <w:tcW w:w="665" w:type="pct"/>
            <w:vMerge/>
            <w:tcBorders>
              <w:left w:val="single" w:sz="4" w:space="0" w:color="auto"/>
            </w:tcBorders>
            <w:vAlign w:val="center"/>
          </w:tcPr>
          <w:p w:rsidR="00EE56C0" w:rsidRPr="005767FB" w:rsidRDefault="00EE56C0">
            <w:pPr>
              <w:pStyle w:val="afa"/>
              <w:rPr>
                <w:u w:val="single"/>
              </w:rPr>
            </w:pPr>
          </w:p>
        </w:tc>
        <w:tc>
          <w:tcPr>
            <w:tcW w:w="698" w:type="pct"/>
            <w:vMerge/>
            <w:vAlign w:val="center"/>
          </w:tcPr>
          <w:p w:rsidR="00EE56C0" w:rsidRDefault="00EE56C0">
            <w:pPr>
              <w:pStyle w:val="afa"/>
            </w:pPr>
          </w:p>
        </w:tc>
      </w:tr>
      <w:tr w:rsidR="00EE56C0">
        <w:trPr>
          <w:trHeight w:val="425"/>
          <w:jc w:val="center"/>
        </w:trPr>
        <w:tc>
          <w:tcPr>
            <w:tcW w:w="336" w:type="pct"/>
            <w:vAlign w:val="center"/>
          </w:tcPr>
          <w:p w:rsidR="00EE56C0" w:rsidRDefault="000F36A1">
            <w:pPr>
              <w:pStyle w:val="afa"/>
            </w:pPr>
            <w:r>
              <w:t>1</w:t>
            </w:r>
          </w:p>
        </w:tc>
        <w:tc>
          <w:tcPr>
            <w:tcW w:w="642" w:type="pct"/>
            <w:tcBorders>
              <w:right w:val="single" w:sz="4" w:space="0" w:color="auto"/>
            </w:tcBorders>
            <w:vAlign w:val="center"/>
          </w:tcPr>
          <w:p w:rsidR="00EE56C0" w:rsidRDefault="000F36A1">
            <w:pPr>
              <w:pStyle w:val="afa"/>
              <w:rPr>
                <w:b/>
              </w:rPr>
            </w:pPr>
            <w:r>
              <w:rPr>
                <w:rFonts w:hAnsi="宋体" w:hint="eastAsia"/>
              </w:rPr>
              <w:t>南王庄村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0.0003</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19071707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0.27</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t>2</w:t>
            </w:r>
          </w:p>
        </w:tc>
        <w:tc>
          <w:tcPr>
            <w:tcW w:w="642" w:type="pct"/>
            <w:tcBorders>
              <w:right w:val="single" w:sz="4" w:space="0" w:color="auto"/>
            </w:tcBorders>
            <w:vAlign w:val="center"/>
          </w:tcPr>
          <w:p w:rsidR="00EE56C0" w:rsidRDefault="000F36A1">
            <w:pPr>
              <w:pStyle w:val="afa"/>
            </w:pPr>
            <w:r>
              <w:rPr>
                <w:rFonts w:hAnsi="宋体" w:hint="eastAsia"/>
              </w:rPr>
              <w:t>刘店村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19042008</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0.08</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3</w:t>
            </w:r>
          </w:p>
        </w:tc>
        <w:tc>
          <w:tcPr>
            <w:tcW w:w="642" w:type="pct"/>
            <w:tcBorders>
              <w:right w:val="single" w:sz="4" w:space="0" w:color="auto"/>
            </w:tcBorders>
            <w:vAlign w:val="center"/>
          </w:tcPr>
          <w:p w:rsidR="00EE56C0" w:rsidRDefault="000F36A1">
            <w:pPr>
              <w:pStyle w:val="afa"/>
              <w:rPr>
                <w:rFonts w:hAnsi="宋体"/>
              </w:rPr>
            </w:pPr>
            <w:r>
              <w:rPr>
                <w:rFonts w:hAnsi="宋体" w:hint="eastAsia"/>
              </w:rPr>
              <w:t>马庄村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19072107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0.11</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4</w:t>
            </w:r>
          </w:p>
        </w:tc>
        <w:tc>
          <w:tcPr>
            <w:tcW w:w="642" w:type="pct"/>
            <w:tcBorders>
              <w:right w:val="single" w:sz="4" w:space="0" w:color="auto"/>
            </w:tcBorders>
            <w:vAlign w:val="center"/>
          </w:tcPr>
          <w:p w:rsidR="00EE56C0" w:rsidRDefault="000F36A1">
            <w:pPr>
              <w:pStyle w:val="afa"/>
              <w:rPr>
                <w:rFonts w:hAnsi="宋体"/>
              </w:rPr>
            </w:pPr>
            <w:r>
              <w:rPr>
                <w:rFonts w:hAnsi="宋体" w:hint="eastAsia"/>
              </w:rPr>
              <w:t>康庄村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19050307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0.10</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5</w:t>
            </w:r>
          </w:p>
        </w:tc>
        <w:tc>
          <w:tcPr>
            <w:tcW w:w="642" w:type="pct"/>
            <w:tcBorders>
              <w:right w:val="single" w:sz="4" w:space="0" w:color="auto"/>
            </w:tcBorders>
            <w:vAlign w:val="center"/>
          </w:tcPr>
          <w:p w:rsidR="00EE56C0" w:rsidRDefault="000F36A1">
            <w:pPr>
              <w:pStyle w:val="afa"/>
              <w:rPr>
                <w:rFonts w:hAnsi="宋体"/>
              </w:rPr>
            </w:pPr>
            <w:r>
              <w:rPr>
                <w:rFonts w:hAnsi="宋体" w:hint="eastAsia"/>
              </w:rPr>
              <w:t>府庄村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19050107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0.12</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6</w:t>
            </w:r>
          </w:p>
        </w:tc>
        <w:tc>
          <w:tcPr>
            <w:tcW w:w="642" w:type="pct"/>
            <w:tcBorders>
              <w:right w:val="single" w:sz="4" w:space="0" w:color="auto"/>
            </w:tcBorders>
            <w:vAlign w:val="center"/>
          </w:tcPr>
          <w:p w:rsidR="00EE56C0" w:rsidRDefault="000F36A1">
            <w:pPr>
              <w:pStyle w:val="afa"/>
              <w:rPr>
                <w:rFonts w:hAnsi="宋体"/>
              </w:rPr>
            </w:pPr>
            <w:r>
              <w:rPr>
                <w:rFonts w:hAnsi="宋体" w:hint="eastAsia"/>
              </w:rPr>
              <w:t>大张庄村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0.0000</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19072107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0.04</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7</w:t>
            </w:r>
          </w:p>
        </w:tc>
        <w:tc>
          <w:tcPr>
            <w:tcW w:w="642" w:type="pct"/>
            <w:tcBorders>
              <w:right w:val="single" w:sz="4" w:space="0" w:color="auto"/>
            </w:tcBorders>
            <w:vAlign w:val="center"/>
          </w:tcPr>
          <w:p w:rsidR="00EE56C0" w:rsidRDefault="000F36A1">
            <w:pPr>
              <w:pStyle w:val="afa"/>
              <w:rPr>
                <w:rFonts w:hAnsi="宋体"/>
              </w:rPr>
            </w:pPr>
            <w:r>
              <w:rPr>
                <w:rFonts w:hAnsi="宋体" w:hint="eastAsia"/>
              </w:rPr>
              <w:t>大赵庄村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19070207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0.07</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8</w:t>
            </w:r>
          </w:p>
        </w:tc>
        <w:tc>
          <w:tcPr>
            <w:tcW w:w="642" w:type="pct"/>
            <w:tcBorders>
              <w:right w:val="single" w:sz="4" w:space="0" w:color="auto"/>
            </w:tcBorders>
            <w:vAlign w:val="center"/>
          </w:tcPr>
          <w:p w:rsidR="00EE56C0" w:rsidRDefault="000F36A1">
            <w:pPr>
              <w:pStyle w:val="afa"/>
              <w:rPr>
                <w:rFonts w:hAnsi="宋体"/>
              </w:rPr>
            </w:pPr>
            <w:r>
              <w:rPr>
                <w:rFonts w:hAnsi="宋体" w:hint="eastAsia"/>
              </w:rPr>
              <w:t>丁庄村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19050308</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0.06</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9</w:t>
            </w:r>
          </w:p>
        </w:tc>
        <w:tc>
          <w:tcPr>
            <w:tcW w:w="642" w:type="pct"/>
            <w:tcBorders>
              <w:right w:val="single" w:sz="4" w:space="0" w:color="auto"/>
            </w:tcBorders>
            <w:vAlign w:val="center"/>
          </w:tcPr>
          <w:p w:rsidR="00EE56C0" w:rsidRDefault="000F36A1">
            <w:pPr>
              <w:pStyle w:val="afa"/>
              <w:rPr>
                <w:rFonts w:hAnsi="宋体"/>
              </w:rPr>
            </w:pPr>
            <w:r>
              <w:rPr>
                <w:rFonts w:hAnsi="宋体" w:hint="eastAsia"/>
              </w:rPr>
              <w:t>刘八庄村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19050307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0.09</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10</w:t>
            </w:r>
          </w:p>
        </w:tc>
        <w:tc>
          <w:tcPr>
            <w:tcW w:w="642" w:type="pct"/>
            <w:tcBorders>
              <w:right w:val="single" w:sz="4" w:space="0" w:color="auto"/>
            </w:tcBorders>
            <w:vAlign w:val="center"/>
          </w:tcPr>
          <w:p w:rsidR="00EE56C0" w:rsidRDefault="000F36A1">
            <w:pPr>
              <w:pStyle w:val="afa"/>
              <w:rPr>
                <w:rFonts w:hAnsi="宋体"/>
              </w:rPr>
            </w:pPr>
            <w:r>
              <w:rPr>
                <w:rFonts w:hAnsi="宋体" w:hint="eastAsia"/>
              </w:rPr>
              <w:t>王贵楼村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19050307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0.07</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11</w:t>
            </w:r>
          </w:p>
        </w:tc>
        <w:tc>
          <w:tcPr>
            <w:tcW w:w="642" w:type="pct"/>
            <w:tcBorders>
              <w:right w:val="single" w:sz="4" w:space="0" w:color="auto"/>
            </w:tcBorders>
            <w:vAlign w:val="center"/>
          </w:tcPr>
          <w:p w:rsidR="00EE56C0" w:rsidRDefault="000F36A1">
            <w:pPr>
              <w:pStyle w:val="afa"/>
            </w:pPr>
            <w:r>
              <w:rPr>
                <w:rFonts w:hAnsi="宋体" w:hint="eastAsia"/>
              </w:rPr>
              <w:t>罗滩村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19052607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0.07</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12</w:t>
            </w:r>
          </w:p>
        </w:tc>
        <w:tc>
          <w:tcPr>
            <w:tcW w:w="642" w:type="pct"/>
            <w:tcBorders>
              <w:right w:val="single" w:sz="4" w:space="0" w:color="auto"/>
            </w:tcBorders>
            <w:vAlign w:val="center"/>
          </w:tcPr>
          <w:p w:rsidR="00EE56C0" w:rsidRDefault="000F36A1">
            <w:pPr>
              <w:pStyle w:val="afa"/>
              <w:rPr>
                <w:rFonts w:hAnsi="宋体"/>
              </w:rPr>
            </w:pPr>
            <w:r>
              <w:rPr>
                <w:rFonts w:hAnsi="宋体" w:hint="eastAsia"/>
              </w:rPr>
              <w:t>杨庄村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19111709</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0.06</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13</w:t>
            </w:r>
          </w:p>
        </w:tc>
        <w:tc>
          <w:tcPr>
            <w:tcW w:w="642" w:type="pct"/>
            <w:tcBorders>
              <w:right w:val="single" w:sz="4" w:space="0" w:color="auto"/>
            </w:tcBorders>
            <w:vAlign w:val="center"/>
          </w:tcPr>
          <w:p w:rsidR="00EE56C0" w:rsidRDefault="000F36A1">
            <w:pPr>
              <w:pStyle w:val="afa"/>
              <w:rPr>
                <w:rFonts w:hAnsi="宋体"/>
              </w:rPr>
            </w:pPr>
            <w:r>
              <w:rPr>
                <w:rFonts w:hAnsi="宋体" w:hint="eastAsia"/>
              </w:rPr>
              <w:t>杨堤村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19060707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0.07</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14</w:t>
            </w:r>
          </w:p>
        </w:tc>
        <w:tc>
          <w:tcPr>
            <w:tcW w:w="642" w:type="pct"/>
            <w:tcBorders>
              <w:right w:val="single" w:sz="4" w:space="0" w:color="auto"/>
            </w:tcBorders>
            <w:vAlign w:val="center"/>
          </w:tcPr>
          <w:p w:rsidR="00EE56C0" w:rsidRDefault="000F36A1">
            <w:pPr>
              <w:pStyle w:val="afa"/>
              <w:rPr>
                <w:rFonts w:hAnsi="宋体"/>
              </w:rPr>
            </w:pPr>
            <w:r>
              <w:rPr>
                <w:rFonts w:hAnsi="宋体" w:hint="eastAsia"/>
              </w:rPr>
              <w:t>西曹村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19070907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0.10</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15</w:t>
            </w:r>
          </w:p>
        </w:tc>
        <w:tc>
          <w:tcPr>
            <w:tcW w:w="642" w:type="pct"/>
            <w:tcBorders>
              <w:right w:val="single" w:sz="4" w:space="0" w:color="auto"/>
            </w:tcBorders>
            <w:vAlign w:val="center"/>
          </w:tcPr>
          <w:p w:rsidR="00EE56C0" w:rsidRDefault="000F36A1">
            <w:pPr>
              <w:pStyle w:val="afa"/>
              <w:rPr>
                <w:rFonts w:hAnsi="宋体"/>
              </w:rPr>
            </w:pPr>
            <w:r>
              <w:rPr>
                <w:rFonts w:hAnsi="宋体" w:hint="eastAsia"/>
              </w:rPr>
              <w:t>中曹村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19110109</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0.09</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16</w:t>
            </w:r>
          </w:p>
        </w:tc>
        <w:tc>
          <w:tcPr>
            <w:tcW w:w="642" w:type="pct"/>
            <w:tcBorders>
              <w:right w:val="single" w:sz="4" w:space="0" w:color="auto"/>
            </w:tcBorders>
            <w:vAlign w:val="center"/>
          </w:tcPr>
          <w:p w:rsidR="00EE56C0" w:rsidRDefault="000F36A1">
            <w:pPr>
              <w:pStyle w:val="afa"/>
              <w:rPr>
                <w:rFonts w:hAnsi="宋体"/>
              </w:rPr>
            </w:pPr>
            <w:r>
              <w:rPr>
                <w:rFonts w:hAnsi="宋体" w:hint="eastAsia"/>
              </w:rPr>
              <w:t>东曹村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19120910</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0.10</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lastRenderedPageBreak/>
              <w:t>17</w:t>
            </w:r>
          </w:p>
        </w:tc>
        <w:tc>
          <w:tcPr>
            <w:tcW w:w="642" w:type="pct"/>
            <w:tcBorders>
              <w:right w:val="single" w:sz="4" w:space="0" w:color="auto"/>
            </w:tcBorders>
            <w:vAlign w:val="center"/>
          </w:tcPr>
          <w:p w:rsidR="00EE56C0" w:rsidRDefault="000F36A1">
            <w:pPr>
              <w:pStyle w:val="afa"/>
              <w:rPr>
                <w:rFonts w:hAnsi="宋体"/>
              </w:rPr>
            </w:pPr>
            <w:r>
              <w:rPr>
                <w:rFonts w:hAnsi="宋体" w:hint="eastAsia"/>
              </w:rPr>
              <w:t>七里营镇</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19051507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0.11</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18</w:t>
            </w:r>
          </w:p>
        </w:tc>
        <w:tc>
          <w:tcPr>
            <w:tcW w:w="642" w:type="pct"/>
            <w:tcBorders>
              <w:right w:val="single" w:sz="4" w:space="0" w:color="auto"/>
            </w:tcBorders>
            <w:vAlign w:val="center"/>
          </w:tcPr>
          <w:p w:rsidR="00EE56C0" w:rsidRDefault="000F36A1">
            <w:pPr>
              <w:pStyle w:val="afa"/>
              <w:rPr>
                <w:rFonts w:hAnsi="宋体"/>
              </w:rPr>
            </w:pPr>
            <w:r>
              <w:rPr>
                <w:rFonts w:hAnsi="宋体" w:hint="eastAsia"/>
              </w:rPr>
              <w:t>七二村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19050408</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0.10</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19</w:t>
            </w:r>
          </w:p>
        </w:tc>
        <w:tc>
          <w:tcPr>
            <w:tcW w:w="642" w:type="pct"/>
            <w:tcBorders>
              <w:right w:val="single" w:sz="4" w:space="0" w:color="auto"/>
            </w:tcBorders>
            <w:vAlign w:val="center"/>
          </w:tcPr>
          <w:p w:rsidR="00EE56C0" w:rsidRDefault="000F36A1">
            <w:pPr>
              <w:pStyle w:val="afa"/>
            </w:pPr>
            <w:r>
              <w:rPr>
                <w:rFonts w:hAnsi="宋体" w:hint="eastAsia"/>
              </w:rPr>
              <w:t>刘庄</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0.0002</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19051208</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0.14</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20</w:t>
            </w:r>
          </w:p>
        </w:tc>
        <w:tc>
          <w:tcPr>
            <w:tcW w:w="642" w:type="pct"/>
            <w:tcBorders>
              <w:right w:val="single" w:sz="4" w:space="0" w:color="auto"/>
            </w:tcBorders>
            <w:vAlign w:val="center"/>
          </w:tcPr>
          <w:p w:rsidR="00EE56C0" w:rsidRDefault="000F36A1">
            <w:pPr>
              <w:pStyle w:val="afa"/>
            </w:pPr>
            <w:r>
              <w:rPr>
                <w:rFonts w:hAnsi="宋体" w:hint="eastAsia"/>
              </w:rPr>
              <w:t>陈庄村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19051208</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0.13</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21</w:t>
            </w:r>
          </w:p>
        </w:tc>
        <w:tc>
          <w:tcPr>
            <w:tcW w:w="642" w:type="pct"/>
            <w:tcBorders>
              <w:right w:val="single" w:sz="4" w:space="0" w:color="auto"/>
            </w:tcBorders>
            <w:vAlign w:val="center"/>
          </w:tcPr>
          <w:p w:rsidR="00EE56C0" w:rsidRDefault="000F36A1">
            <w:pPr>
              <w:pStyle w:val="afa"/>
              <w:rPr>
                <w:rFonts w:hAnsi="宋体"/>
              </w:rPr>
            </w:pPr>
            <w:r>
              <w:rPr>
                <w:rFonts w:hAnsi="宋体" w:hint="eastAsia"/>
                <w:bCs/>
              </w:rPr>
              <w:t>位庄村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0.0000</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19100322</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0.04</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22</w:t>
            </w:r>
          </w:p>
        </w:tc>
        <w:tc>
          <w:tcPr>
            <w:tcW w:w="642" w:type="pct"/>
            <w:tcBorders>
              <w:right w:val="single" w:sz="4" w:space="0" w:color="auto"/>
            </w:tcBorders>
            <w:vAlign w:val="center"/>
          </w:tcPr>
          <w:p w:rsidR="00EE56C0" w:rsidRDefault="000F36A1">
            <w:pPr>
              <w:pStyle w:val="afa"/>
              <w:rPr>
                <w:rFonts w:hAnsi="宋体"/>
              </w:rPr>
            </w:pPr>
            <w:r>
              <w:rPr>
                <w:rFonts w:hAnsi="宋体" w:hint="eastAsia"/>
              </w:rPr>
              <w:t>南魏庄</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19060607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0.05</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23</w:t>
            </w:r>
          </w:p>
        </w:tc>
        <w:tc>
          <w:tcPr>
            <w:tcW w:w="642" w:type="pct"/>
            <w:tcBorders>
              <w:right w:val="single" w:sz="4" w:space="0" w:color="auto"/>
            </w:tcBorders>
            <w:vAlign w:val="center"/>
          </w:tcPr>
          <w:p w:rsidR="00EE56C0" w:rsidRDefault="000F36A1">
            <w:pPr>
              <w:pStyle w:val="afa"/>
              <w:rPr>
                <w:rFonts w:hAnsi="宋体"/>
              </w:rPr>
            </w:pPr>
            <w:r>
              <w:rPr>
                <w:rFonts w:hAnsi="宋体" w:hint="eastAsia"/>
              </w:rPr>
              <w:t>曹庄村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19060607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0.07</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24</w:t>
            </w:r>
          </w:p>
        </w:tc>
        <w:tc>
          <w:tcPr>
            <w:tcW w:w="642" w:type="pct"/>
            <w:tcBorders>
              <w:right w:val="single" w:sz="4" w:space="0" w:color="auto"/>
            </w:tcBorders>
            <w:vAlign w:val="center"/>
          </w:tcPr>
          <w:p w:rsidR="00EE56C0" w:rsidRDefault="000F36A1">
            <w:pPr>
              <w:pStyle w:val="afa"/>
            </w:pPr>
            <w:r>
              <w:rPr>
                <w:rFonts w:hint="eastAsia"/>
              </w:rPr>
              <w:t>新</w:t>
            </w:r>
            <w:r>
              <w:rPr>
                <w:rFonts w:hAnsi="宋体" w:hint="eastAsia"/>
              </w:rPr>
              <w:t>庄</w:t>
            </w:r>
            <w:r>
              <w:rPr>
                <w:rFonts w:hint="eastAsia"/>
              </w:rPr>
              <w:t>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19060607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0.05</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25</w:t>
            </w:r>
          </w:p>
        </w:tc>
        <w:tc>
          <w:tcPr>
            <w:tcW w:w="642" w:type="pct"/>
            <w:tcBorders>
              <w:right w:val="single" w:sz="4" w:space="0" w:color="auto"/>
            </w:tcBorders>
            <w:vAlign w:val="center"/>
          </w:tcPr>
          <w:p w:rsidR="00EE56C0" w:rsidRDefault="000F36A1">
            <w:pPr>
              <w:pStyle w:val="afa"/>
            </w:pPr>
            <w:r>
              <w:rPr>
                <w:rFonts w:hint="eastAsia"/>
              </w:rPr>
              <w:t>刘纪岗</w:t>
            </w:r>
            <w:r>
              <w:rPr>
                <w:rFonts w:hAnsi="宋体" w:hint="eastAsia"/>
              </w:rPr>
              <w:t>庄</w:t>
            </w:r>
            <w:r>
              <w:rPr>
                <w:rFonts w:hint="eastAsia"/>
              </w:rPr>
              <w:t>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0.0000</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19060607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0.04</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26</w:t>
            </w:r>
          </w:p>
        </w:tc>
        <w:tc>
          <w:tcPr>
            <w:tcW w:w="642" w:type="pct"/>
            <w:tcBorders>
              <w:right w:val="single" w:sz="4" w:space="0" w:color="auto"/>
            </w:tcBorders>
            <w:vAlign w:val="center"/>
          </w:tcPr>
          <w:p w:rsidR="00EE56C0" w:rsidRDefault="000F36A1">
            <w:pPr>
              <w:pStyle w:val="afa"/>
            </w:pPr>
            <w:r>
              <w:rPr>
                <w:rFonts w:hint="eastAsia"/>
              </w:rPr>
              <w:t>小张庄村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0.0000</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19051208</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0.03</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27</w:t>
            </w:r>
          </w:p>
        </w:tc>
        <w:tc>
          <w:tcPr>
            <w:tcW w:w="642" w:type="pct"/>
            <w:tcBorders>
              <w:right w:val="single" w:sz="4" w:space="0" w:color="auto"/>
            </w:tcBorders>
            <w:vAlign w:val="center"/>
          </w:tcPr>
          <w:p w:rsidR="00EE56C0" w:rsidRDefault="000F36A1">
            <w:pPr>
              <w:pStyle w:val="afa"/>
            </w:pPr>
            <w:r>
              <w:rPr>
                <w:rFonts w:hint="eastAsia"/>
              </w:rPr>
              <w:t>苗庄村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0.0000</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19062802</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0.02</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28</w:t>
            </w:r>
          </w:p>
        </w:tc>
        <w:tc>
          <w:tcPr>
            <w:tcW w:w="642" w:type="pct"/>
            <w:tcBorders>
              <w:right w:val="single" w:sz="4" w:space="0" w:color="auto"/>
            </w:tcBorders>
            <w:vAlign w:val="center"/>
          </w:tcPr>
          <w:p w:rsidR="00EE56C0" w:rsidRDefault="000F36A1">
            <w:pPr>
              <w:pStyle w:val="afa"/>
            </w:pPr>
            <w:r>
              <w:rPr>
                <w:rFonts w:hint="eastAsia"/>
              </w:rPr>
              <w:t>沟王村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19051208</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0.09</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29</w:t>
            </w:r>
          </w:p>
        </w:tc>
        <w:tc>
          <w:tcPr>
            <w:tcW w:w="642" w:type="pct"/>
            <w:tcBorders>
              <w:right w:val="single" w:sz="4" w:space="0" w:color="auto"/>
            </w:tcBorders>
            <w:vAlign w:val="center"/>
          </w:tcPr>
          <w:p w:rsidR="00EE56C0" w:rsidRDefault="000F36A1">
            <w:pPr>
              <w:pStyle w:val="afa"/>
            </w:pPr>
            <w:r>
              <w:rPr>
                <w:rFonts w:hint="eastAsia"/>
              </w:rPr>
              <w:t>八柳树村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0.0000</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19032708</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0.04</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30</w:t>
            </w:r>
          </w:p>
        </w:tc>
        <w:tc>
          <w:tcPr>
            <w:tcW w:w="642" w:type="pct"/>
            <w:tcBorders>
              <w:right w:val="single" w:sz="4" w:space="0" w:color="auto"/>
            </w:tcBorders>
            <w:vAlign w:val="center"/>
          </w:tcPr>
          <w:p w:rsidR="00EE56C0" w:rsidRDefault="000F36A1">
            <w:pPr>
              <w:pStyle w:val="afa"/>
            </w:pPr>
            <w:r>
              <w:rPr>
                <w:rFonts w:hint="eastAsia"/>
              </w:rPr>
              <w:t>宋庄村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19051207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0.09</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31</w:t>
            </w:r>
          </w:p>
        </w:tc>
        <w:tc>
          <w:tcPr>
            <w:tcW w:w="642" w:type="pct"/>
            <w:tcBorders>
              <w:right w:val="single" w:sz="4" w:space="0" w:color="auto"/>
            </w:tcBorders>
            <w:vAlign w:val="center"/>
          </w:tcPr>
          <w:p w:rsidR="00EE56C0" w:rsidRDefault="000F36A1">
            <w:pPr>
              <w:pStyle w:val="afa"/>
            </w:pPr>
            <w:r>
              <w:rPr>
                <w:rFonts w:hint="eastAsia"/>
              </w:rPr>
              <w:t>东王庄村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19031808</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0.05</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32</w:t>
            </w:r>
          </w:p>
        </w:tc>
        <w:tc>
          <w:tcPr>
            <w:tcW w:w="642" w:type="pct"/>
            <w:tcBorders>
              <w:right w:val="single" w:sz="4" w:space="0" w:color="auto"/>
            </w:tcBorders>
            <w:vAlign w:val="center"/>
          </w:tcPr>
          <w:p w:rsidR="00EE56C0" w:rsidRDefault="000F36A1">
            <w:pPr>
              <w:pStyle w:val="afa"/>
            </w:pPr>
            <w:r>
              <w:rPr>
                <w:rFonts w:hint="eastAsia"/>
              </w:rPr>
              <w:t>大兴村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19071307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0.05</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33</w:t>
            </w:r>
          </w:p>
        </w:tc>
        <w:tc>
          <w:tcPr>
            <w:tcW w:w="642" w:type="pct"/>
            <w:tcBorders>
              <w:right w:val="single" w:sz="4" w:space="0" w:color="auto"/>
            </w:tcBorders>
            <w:vAlign w:val="center"/>
          </w:tcPr>
          <w:p w:rsidR="00EE56C0" w:rsidRDefault="000F36A1">
            <w:pPr>
              <w:pStyle w:val="afa"/>
            </w:pPr>
            <w:r>
              <w:rPr>
                <w:rFonts w:hint="eastAsia"/>
              </w:rPr>
              <w:t>东贾城村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19031908</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0.07</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34</w:t>
            </w:r>
          </w:p>
        </w:tc>
        <w:tc>
          <w:tcPr>
            <w:tcW w:w="642" w:type="pct"/>
            <w:tcBorders>
              <w:right w:val="single" w:sz="4" w:space="0" w:color="auto"/>
            </w:tcBorders>
            <w:vAlign w:val="center"/>
          </w:tcPr>
          <w:p w:rsidR="00EE56C0" w:rsidRDefault="000F36A1">
            <w:pPr>
              <w:pStyle w:val="afa"/>
            </w:pPr>
            <w:r>
              <w:rPr>
                <w:rFonts w:hint="eastAsia"/>
              </w:rPr>
              <w:t>高村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19051607</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0.08</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35</w:t>
            </w:r>
          </w:p>
        </w:tc>
        <w:tc>
          <w:tcPr>
            <w:tcW w:w="642" w:type="pct"/>
            <w:tcBorders>
              <w:right w:val="single" w:sz="4" w:space="0" w:color="auto"/>
            </w:tcBorders>
            <w:vAlign w:val="center"/>
          </w:tcPr>
          <w:p w:rsidR="00EE56C0" w:rsidRDefault="000F36A1">
            <w:pPr>
              <w:pStyle w:val="afa"/>
            </w:pPr>
            <w:r>
              <w:rPr>
                <w:rFonts w:hint="eastAsia"/>
              </w:rPr>
              <w:t>侯庄村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0.0000</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19102409</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0.04</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36</w:t>
            </w:r>
          </w:p>
        </w:tc>
        <w:tc>
          <w:tcPr>
            <w:tcW w:w="642" w:type="pct"/>
            <w:tcBorders>
              <w:right w:val="single" w:sz="4" w:space="0" w:color="auto"/>
            </w:tcBorders>
            <w:vAlign w:val="center"/>
          </w:tcPr>
          <w:p w:rsidR="00EE56C0" w:rsidRDefault="000F36A1">
            <w:pPr>
              <w:pStyle w:val="afa"/>
            </w:pPr>
            <w:r>
              <w:rPr>
                <w:rFonts w:hint="eastAsia"/>
              </w:rPr>
              <w:t>东石碑村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19120910</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0.08</w:t>
            </w:r>
          </w:p>
        </w:tc>
        <w:tc>
          <w:tcPr>
            <w:tcW w:w="698" w:type="pct"/>
            <w:vAlign w:val="center"/>
          </w:tcPr>
          <w:p w:rsidR="00EE56C0" w:rsidRDefault="000F36A1">
            <w:pPr>
              <w:pStyle w:val="afa"/>
            </w:pPr>
            <w:r>
              <w:rPr>
                <w:rFonts w:hint="eastAsia"/>
              </w:rPr>
              <w:t>达标</w:t>
            </w:r>
          </w:p>
        </w:tc>
      </w:tr>
      <w:tr w:rsidR="00EE56C0">
        <w:trPr>
          <w:trHeight w:val="425"/>
          <w:jc w:val="center"/>
        </w:trPr>
        <w:tc>
          <w:tcPr>
            <w:tcW w:w="336" w:type="pct"/>
            <w:vAlign w:val="center"/>
          </w:tcPr>
          <w:p w:rsidR="00EE56C0" w:rsidRDefault="000F36A1">
            <w:pPr>
              <w:pStyle w:val="afa"/>
            </w:pPr>
            <w:r>
              <w:rPr>
                <w:rFonts w:hint="eastAsia"/>
              </w:rPr>
              <w:t>37</w:t>
            </w:r>
          </w:p>
        </w:tc>
        <w:tc>
          <w:tcPr>
            <w:tcW w:w="642" w:type="pct"/>
            <w:tcBorders>
              <w:right w:val="single" w:sz="4" w:space="0" w:color="auto"/>
            </w:tcBorders>
            <w:vAlign w:val="center"/>
          </w:tcPr>
          <w:p w:rsidR="00EE56C0" w:rsidRDefault="000F36A1">
            <w:pPr>
              <w:pStyle w:val="afa"/>
            </w:pPr>
            <w:r>
              <w:rPr>
                <w:rFonts w:hint="eastAsia"/>
              </w:rPr>
              <w:t>杏庄村</w:t>
            </w:r>
          </w:p>
        </w:tc>
        <w:tc>
          <w:tcPr>
            <w:tcW w:w="747" w:type="pct"/>
            <w:tcBorders>
              <w:right w:val="single" w:sz="4" w:space="0" w:color="auto"/>
            </w:tcBorders>
            <w:vAlign w:val="center"/>
          </w:tcPr>
          <w:p w:rsidR="00EE56C0" w:rsidRDefault="000F36A1">
            <w:pPr>
              <w:pStyle w:val="afa"/>
            </w:pPr>
            <w:r>
              <w:rPr>
                <w:rFonts w:hint="eastAsia"/>
              </w:rPr>
              <w:t>1</w:t>
            </w:r>
            <w:r>
              <w:rPr>
                <w:rFonts w:hint="eastAsia"/>
              </w:rPr>
              <w:t>小时</w:t>
            </w:r>
          </w:p>
        </w:tc>
        <w:tc>
          <w:tcPr>
            <w:tcW w:w="1164"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748"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19120910</w:t>
            </w:r>
          </w:p>
        </w:tc>
        <w:tc>
          <w:tcPr>
            <w:tcW w:w="665" w:type="pct"/>
            <w:tcBorders>
              <w:left w:val="single" w:sz="4" w:space="0" w:color="auto"/>
            </w:tcBorders>
            <w:vAlign w:val="center"/>
          </w:tcPr>
          <w:p w:rsidR="00EE56C0" w:rsidRPr="005767FB" w:rsidRDefault="000F36A1">
            <w:pPr>
              <w:pStyle w:val="afa"/>
              <w:rPr>
                <w:u w:val="single"/>
              </w:rPr>
            </w:pPr>
            <w:r w:rsidRPr="005767FB">
              <w:rPr>
                <w:u w:val="single"/>
              </w:rPr>
              <w:t>0.07</w:t>
            </w:r>
          </w:p>
        </w:tc>
        <w:tc>
          <w:tcPr>
            <w:tcW w:w="698" w:type="pct"/>
            <w:vAlign w:val="center"/>
          </w:tcPr>
          <w:p w:rsidR="00EE56C0" w:rsidRDefault="000F36A1">
            <w:pPr>
              <w:pStyle w:val="afa"/>
            </w:pPr>
            <w:r>
              <w:rPr>
                <w:rFonts w:hint="eastAsia"/>
              </w:rPr>
              <w:t>达标</w:t>
            </w:r>
          </w:p>
        </w:tc>
      </w:tr>
    </w:tbl>
    <w:p w:rsidR="00EE56C0" w:rsidRDefault="000F36A1">
      <w:pPr>
        <w:pStyle w:val="aff4"/>
      </w:pPr>
      <w:r>
        <w:rPr>
          <w:rFonts w:hint="eastAsia"/>
        </w:rPr>
        <w:t>根据预测结果，对照本项目评价因子相应环境质量标准，本项目营运期废气对区域贡献值情况如下：</w:t>
      </w:r>
    </w:p>
    <w:p w:rsidR="00EE56C0" w:rsidRDefault="000F36A1">
      <w:pPr>
        <w:ind w:firstLine="480"/>
      </w:pPr>
      <w:r>
        <w:t>本项目正常排放的主要污染物</w:t>
      </w:r>
      <w:r>
        <w:rPr>
          <w:rFonts w:hint="eastAsia"/>
        </w:rPr>
        <w:t>苯、甲苯、二甲苯</w:t>
      </w:r>
      <w:r>
        <w:rPr>
          <w:rFonts w:hint="eastAsia"/>
        </w:rPr>
        <w:t>1</w:t>
      </w:r>
      <w:r>
        <w:rPr>
          <w:rFonts w:hint="eastAsia"/>
        </w:rPr>
        <w:t>小时浓度可以达到《环境影响评价技术导则</w:t>
      </w:r>
      <w:r>
        <w:rPr>
          <w:rFonts w:hint="eastAsia"/>
        </w:rPr>
        <w:t xml:space="preserve"> </w:t>
      </w:r>
      <w:r>
        <w:rPr>
          <w:rFonts w:hint="eastAsia"/>
        </w:rPr>
        <w:t>大气环境》（</w:t>
      </w:r>
      <w:r>
        <w:rPr>
          <w:rFonts w:hint="eastAsia"/>
        </w:rPr>
        <w:t>HJ2.2-2018</w:t>
      </w:r>
      <w:r>
        <w:rPr>
          <w:rFonts w:hint="eastAsia"/>
        </w:rPr>
        <w:t>）附录</w:t>
      </w:r>
      <w:r>
        <w:rPr>
          <w:rFonts w:hint="eastAsia"/>
        </w:rPr>
        <w:t>D</w:t>
      </w:r>
      <w:r>
        <w:rPr>
          <w:rFonts w:hAnsi="宋体" w:hint="eastAsia"/>
        </w:rPr>
        <w:t>中</w:t>
      </w:r>
      <w:r>
        <w:t>的标准</w:t>
      </w:r>
      <w:r>
        <w:rPr>
          <w:rFonts w:hint="eastAsia"/>
        </w:rPr>
        <w:t>；酚</w:t>
      </w:r>
      <w:r>
        <w:rPr>
          <w:rFonts w:hint="eastAsia"/>
        </w:rPr>
        <w:t>1</w:t>
      </w:r>
      <w:r>
        <w:rPr>
          <w:rFonts w:hint="eastAsia"/>
        </w:rPr>
        <w:t>小时浓度可以达到</w:t>
      </w:r>
      <w:r>
        <w:rPr>
          <w:rFonts w:hint="eastAsia"/>
          <w:b/>
          <w:u w:val="single"/>
        </w:rPr>
        <w:t>《居住区大气中酚卫生标准》（</w:t>
      </w:r>
      <w:r>
        <w:rPr>
          <w:rFonts w:hint="eastAsia"/>
          <w:b/>
          <w:u w:val="single"/>
        </w:rPr>
        <w:t>GB18067-2000</w:t>
      </w:r>
      <w:r>
        <w:rPr>
          <w:rFonts w:hint="eastAsia"/>
          <w:b/>
          <w:u w:val="single"/>
        </w:rPr>
        <w:t>）</w:t>
      </w:r>
      <w:r>
        <w:rPr>
          <w:rFonts w:hint="eastAsia"/>
        </w:rPr>
        <w:t>小时浓度限值；非甲</w:t>
      </w:r>
      <w:r>
        <w:rPr>
          <w:rFonts w:hint="eastAsia"/>
        </w:rPr>
        <w:lastRenderedPageBreak/>
        <w:t>烷总烃</w:t>
      </w:r>
      <w:r>
        <w:rPr>
          <w:rFonts w:hint="eastAsia"/>
        </w:rPr>
        <w:t>1</w:t>
      </w:r>
      <w:r>
        <w:rPr>
          <w:rFonts w:hint="eastAsia"/>
        </w:rPr>
        <w:t>小时浓度可以达到《大气综合污染物排放标准详解》第四章标准值说明</w:t>
      </w:r>
      <w:r>
        <w:t>-</w:t>
      </w:r>
      <w:r>
        <w:rPr>
          <w:rFonts w:hint="eastAsia"/>
        </w:rPr>
        <w:t>三十一、非甲烷总烃限值。</w:t>
      </w:r>
    </w:p>
    <w:p w:rsidR="00EE56C0" w:rsidRDefault="000F36A1">
      <w:pPr>
        <w:pStyle w:val="5"/>
      </w:pPr>
      <w:r>
        <w:t>3</w:t>
      </w:r>
      <w:r>
        <w:t>）环境影响叠加预测</w:t>
      </w:r>
    </w:p>
    <w:p w:rsidR="00EE56C0" w:rsidRDefault="000F36A1">
      <w:pPr>
        <w:pStyle w:val="aff4"/>
      </w:pPr>
      <w:r>
        <w:rPr>
          <w:rFonts w:hint="eastAsia"/>
        </w:rPr>
        <w:t>对于现状达标的酚、非甲烷总烃、二甲苯、甲苯、苯采用叠加现状浓度、以新带老削减污染源及在建项目污染源的环境影响后，分析对区域环境质量的影响。</w:t>
      </w:r>
    </w:p>
    <w:p w:rsidR="00EE56C0" w:rsidRDefault="000F36A1">
      <w:pPr>
        <w:pStyle w:val="afd"/>
        <w:spacing w:before="120" w:after="120"/>
        <w:ind w:firstLine="482"/>
      </w:pPr>
      <w:r>
        <w:t>表</w:t>
      </w:r>
      <w:r>
        <w:t>5-</w:t>
      </w:r>
      <w:r>
        <w:rPr>
          <w:rFonts w:hint="eastAsia"/>
        </w:rPr>
        <w:t xml:space="preserve">29              </w:t>
      </w:r>
      <w:r>
        <w:rPr>
          <w:rFonts w:hint="eastAsia"/>
        </w:rPr>
        <w:t>酚小时浓度预测结果分析</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tblPr>
      <w:tblGrid>
        <w:gridCol w:w="429"/>
        <w:gridCol w:w="956"/>
        <w:gridCol w:w="993"/>
        <w:gridCol w:w="1133"/>
        <w:gridCol w:w="1134"/>
        <w:gridCol w:w="1129"/>
        <w:gridCol w:w="1175"/>
        <w:gridCol w:w="848"/>
        <w:gridCol w:w="732"/>
      </w:tblGrid>
      <w:tr w:rsidR="00EE56C0" w:rsidRPr="005767FB">
        <w:trPr>
          <w:trHeight w:val="870"/>
          <w:tblHeader/>
          <w:jc w:val="center"/>
        </w:trPr>
        <w:tc>
          <w:tcPr>
            <w:tcW w:w="251" w:type="pct"/>
            <w:vAlign w:val="center"/>
          </w:tcPr>
          <w:p w:rsidR="00EE56C0" w:rsidRPr="005767FB" w:rsidRDefault="00340837">
            <w:pPr>
              <w:pStyle w:val="aff1"/>
              <w:rPr>
                <w:color w:val="auto"/>
                <w:u w:val="single"/>
              </w:rPr>
            </w:pPr>
            <w:r>
              <w:rPr>
                <w:color w:val="auto"/>
                <w:u w:val="single"/>
              </w:rPr>
              <w:pict>
                <v:shape id="_x0000_s2259" type="#_x0000_t202" style="position:absolute;left:0;text-align:left;margin-left:39.35pt;margin-top:-192.15pt;width:21.65pt;height:19.65pt;z-index:251715072" o:gfxdata="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" filled="f" stroked="f" strokeweight="1pt">
                  <v:textbox>
                    <w:txbxContent>
                      <w:p w:rsidR="009C6BD9" w:rsidRDefault="009C6BD9">
                        <w:pPr>
                          <w:ind w:firstLine="482"/>
                          <w:rPr>
                            <w:b/>
                            <w:color w:val="FF0000"/>
                            <w:szCs w:val="21"/>
                          </w:rPr>
                        </w:pPr>
                        <w:r>
                          <w:rPr>
                            <w:rFonts w:hint="eastAsia"/>
                            <w:b/>
                            <w:color w:val="FF0000"/>
                            <w:szCs w:val="21"/>
                          </w:rPr>
                          <w:t>3</w:t>
                        </w:r>
                      </w:p>
                    </w:txbxContent>
                  </v:textbox>
                </v:shape>
              </w:pict>
            </w:r>
            <w:r w:rsidR="000F36A1" w:rsidRPr="005767FB">
              <w:rPr>
                <w:rFonts w:hAnsi="宋体"/>
                <w:color w:val="auto"/>
                <w:u w:val="single"/>
              </w:rPr>
              <w:t>序列</w:t>
            </w:r>
          </w:p>
        </w:tc>
        <w:tc>
          <w:tcPr>
            <w:tcW w:w="560" w:type="pct"/>
            <w:tcBorders>
              <w:right w:val="single" w:sz="4" w:space="0" w:color="auto"/>
            </w:tcBorders>
            <w:vAlign w:val="center"/>
          </w:tcPr>
          <w:p w:rsidR="00EE56C0" w:rsidRPr="005767FB" w:rsidRDefault="000F36A1">
            <w:pPr>
              <w:pStyle w:val="aff1"/>
              <w:rPr>
                <w:color w:val="auto"/>
                <w:u w:val="single"/>
              </w:rPr>
            </w:pPr>
            <w:r w:rsidRPr="005767FB">
              <w:rPr>
                <w:rFonts w:hAnsi="宋体" w:hint="eastAsia"/>
                <w:color w:val="auto"/>
                <w:u w:val="single"/>
              </w:rPr>
              <w:t>预测点</w:t>
            </w:r>
          </w:p>
        </w:tc>
        <w:tc>
          <w:tcPr>
            <w:tcW w:w="582" w:type="pct"/>
            <w:tcBorders>
              <w:right w:val="single" w:sz="4" w:space="0" w:color="auto"/>
            </w:tcBorders>
            <w:vAlign w:val="center"/>
          </w:tcPr>
          <w:p w:rsidR="00EE56C0" w:rsidRPr="005767FB" w:rsidRDefault="000F36A1">
            <w:pPr>
              <w:pStyle w:val="aff1"/>
              <w:rPr>
                <w:rFonts w:hAnsi="宋体"/>
                <w:color w:val="auto"/>
                <w:u w:val="single"/>
              </w:rPr>
            </w:pPr>
            <w:r w:rsidRPr="005767FB">
              <w:rPr>
                <w:rFonts w:hAnsi="宋体" w:hint="eastAsia"/>
                <w:color w:val="auto"/>
                <w:u w:val="single"/>
              </w:rPr>
              <w:t>平均时段</w:t>
            </w:r>
          </w:p>
        </w:tc>
        <w:tc>
          <w:tcPr>
            <w:tcW w:w="664" w:type="pct"/>
            <w:tcBorders>
              <w:right w:val="single" w:sz="4" w:space="0" w:color="auto"/>
            </w:tcBorders>
            <w:vAlign w:val="center"/>
          </w:tcPr>
          <w:p w:rsidR="00EE56C0" w:rsidRPr="005767FB" w:rsidRDefault="000F36A1">
            <w:pPr>
              <w:pStyle w:val="afa"/>
              <w:rPr>
                <w:b/>
                <w:u w:val="single"/>
              </w:rPr>
            </w:pPr>
            <w:r w:rsidRPr="005767FB">
              <w:rPr>
                <w:rFonts w:hint="eastAsia"/>
                <w:b/>
                <w:u w:val="single"/>
              </w:rPr>
              <w:t>最大贡献值（</w:t>
            </w:r>
            <w:r w:rsidRPr="005767FB">
              <w:rPr>
                <w:rFonts w:hint="eastAsia"/>
                <w:b/>
                <w:u w:val="single"/>
              </w:rPr>
              <w:t>mg/m</w:t>
            </w:r>
            <w:r w:rsidRPr="005767FB">
              <w:rPr>
                <w:rFonts w:hint="eastAsia"/>
                <w:b/>
                <w:u w:val="single"/>
                <w:vertAlign w:val="superscript"/>
              </w:rPr>
              <w:t>3</w:t>
            </w:r>
            <w:r w:rsidRPr="005767FB">
              <w:rPr>
                <w:rFonts w:hint="eastAsia"/>
                <w:b/>
                <w:u w:val="single"/>
              </w:rPr>
              <w:t>）</w:t>
            </w:r>
          </w:p>
        </w:tc>
        <w:tc>
          <w:tcPr>
            <w:tcW w:w="665" w:type="pct"/>
            <w:tcBorders>
              <w:right w:val="single" w:sz="4" w:space="0" w:color="auto"/>
            </w:tcBorders>
            <w:vAlign w:val="center"/>
          </w:tcPr>
          <w:p w:rsidR="00EE56C0" w:rsidRPr="005767FB" w:rsidRDefault="000F36A1">
            <w:pPr>
              <w:pStyle w:val="afa"/>
              <w:rPr>
                <w:b/>
                <w:u w:val="single"/>
              </w:rPr>
            </w:pPr>
            <w:r w:rsidRPr="005767FB">
              <w:rPr>
                <w:rFonts w:hint="eastAsia"/>
                <w:b/>
                <w:u w:val="single"/>
              </w:rPr>
              <w:t>现状值（</w:t>
            </w:r>
            <w:r w:rsidRPr="005767FB">
              <w:rPr>
                <w:rFonts w:hint="eastAsia"/>
                <w:b/>
                <w:u w:val="single"/>
              </w:rPr>
              <w:t>mg/m</w:t>
            </w:r>
            <w:r w:rsidRPr="005767FB">
              <w:rPr>
                <w:rFonts w:hint="eastAsia"/>
                <w:b/>
                <w:u w:val="single"/>
                <w:vertAlign w:val="superscript"/>
              </w:rPr>
              <w:t>3</w:t>
            </w:r>
            <w:r w:rsidRPr="005767FB">
              <w:rPr>
                <w:rFonts w:hint="eastAsia"/>
                <w:b/>
                <w:u w:val="single"/>
              </w:rPr>
              <w:t>）</w:t>
            </w:r>
          </w:p>
        </w:tc>
        <w:tc>
          <w:tcPr>
            <w:tcW w:w="662" w:type="pct"/>
            <w:tcBorders>
              <w:right w:val="single" w:sz="4" w:space="0" w:color="auto"/>
            </w:tcBorders>
            <w:vAlign w:val="center"/>
          </w:tcPr>
          <w:p w:rsidR="00EE56C0" w:rsidRPr="005767FB" w:rsidRDefault="000F36A1">
            <w:pPr>
              <w:pStyle w:val="afa"/>
              <w:rPr>
                <w:b/>
                <w:u w:val="single"/>
              </w:rPr>
            </w:pPr>
            <w:r w:rsidRPr="005767FB">
              <w:rPr>
                <w:rFonts w:hint="eastAsia"/>
                <w:b/>
                <w:u w:val="single"/>
              </w:rPr>
              <w:t>叠加值（</w:t>
            </w:r>
            <w:r w:rsidRPr="005767FB">
              <w:rPr>
                <w:rFonts w:hint="eastAsia"/>
                <w:b/>
                <w:u w:val="single"/>
              </w:rPr>
              <w:t>mg/m</w:t>
            </w:r>
            <w:r w:rsidRPr="005767FB">
              <w:rPr>
                <w:rFonts w:hint="eastAsia"/>
                <w:b/>
                <w:u w:val="single"/>
                <w:vertAlign w:val="superscript"/>
              </w:rPr>
              <w:t>3</w:t>
            </w:r>
            <w:r w:rsidRPr="005767FB">
              <w:rPr>
                <w:rFonts w:hint="eastAsia"/>
                <w:b/>
                <w:u w:val="single"/>
              </w:rPr>
              <w:t>）</w:t>
            </w:r>
          </w:p>
        </w:tc>
        <w:tc>
          <w:tcPr>
            <w:tcW w:w="689" w:type="pct"/>
            <w:tcBorders>
              <w:left w:val="single" w:sz="4" w:space="0" w:color="auto"/>
              <w:right w:val="single" w:sz="4" w:space="0" w:color="auto"/>
            </w:tcBorders>
            <w:vAlign w:val="center"/>
          </w:tcPr>
          <w:p w:rsidR="00EE56C0" w:rsidRPr="005767FB" w:rsidRDefault="000F36A1">
            <w:pPr>
              <w:pStyle w:val="afa"/>
              <w:rPr>
                <w:b/>
                <w:u w:val="single"/>
              </w:rPr>
            </w:pPr>
            <w:r w:rsidRPr="005767FB">
              <w:rPr>
                <w:rFonts w:hint="eastAsia"/>
                <w:b/>
                <w:u w:val="single"/>
              </w:rPr>
              <w:t>出现时间</w:t>
            </w:r>
          </w:p>
        </w:tc>
        <w:tc>
          <w:tcPr>
            <w:tcW w:w="497" w:type="pct"/>
            <w:tcBorders>
              <w:left w:val="single" w:sz="4" w:space="0" w:color="auto"/>
            </w:tcBorders>
            <w:vAlign w:val="center"/>
          </w:tcPr>
          <w:p w:rsidR="00EE56C0" w:rsidRPr="005767FB" w:rsidRDefault="000F36A1">
            <w:pPr>
              <w:pStyle w:val="afa"/>
              <w:rPr>
                <w:b/>
                <w:u w:val="single"/>
              </w:rPr>
            </w:pPr>
            <w:r w:rsidRPr="005767FB">
              <w:rPr>
                <w:rFonts w:hint="eastAsia"/>
                <w:b/>
                <w:u w:val="single"/>
              </w:rPr>
              <w:t>占标率（</w:t>
            </w:r>
            <w:r w:rsidRPr="005767FB">
              <w:rPr>
                <w:rFonts w:hint="eastAsia"/>
                <w:b/>
                <w:u w:val="single"/>
              </w:rPr>
              <w:t>%</w:t>
            </w:r>
            <w:r w:rsidRPr="005767FB">
              <w:rPr>
                <w:rFonts w:hint="eastAsia"/>
                <w:b/>
                <w:u w:val="single"/>
              </w:rPr>
              <w:t>）</w:t>
            </w:r>
          </w:p>
        </w:tc>
        <w:tc>
          <w:tcPr>
            <w:tcW w:w="429" w:type="pct"/>
            <w:vAlign w:val="center"/>
          </w:tcPr>
          <w:p w:rsidR="00EE56C0" w:rsidRPr="005767FB" w:rsidRDefault="000F36A1">
            <w:pPr>
              <w:pStyle w:val="aff1"/>
              <w:rPr>
                <w:color w:val="auto"/>
                <w:u w:val="single"/>
              </w:rPr>
            </w:pPr>
            <w:r w:rsidRPr="005767FB">
              <w:rPr>
                <w:rFonts w:hint="eastAsia"/>
                <w:color w:val="auto"/>
                <w:u w:val="single"/>
              </w:rPr>
              <w:t>达标情况</w:t>
            </w:r>
          </w:p>
        </w:tc>
      </w:tr>
      <w:tr w:rsidR="00EE56C0" w:rsidRPr="005767FB">
        <w:trPr>
          <w:trHeight w:val="425"/>
          <w:jc w:val="center"/>
        </w:trPr>
        <w:tc>
          <w:tcPr>
            <w:tcW w:w="251" w:type="pct"/>
            <w:vAlign w:val="center"/>
          </w:tcPr>
          <w:p w:rsidR="00EE56C0" w:rsidRPr="005767FB" w:rsidRDefault="000F36A1">
            <w:pPr>
              <w:pStyle w:val="afa"/>
              <w:rPr>
                <w:u w:val="single"/>
              </w:rPr>
            </w:pPr>
            <w:r w:rsidRPr="005767FB">
              <w:rPr>
                <w:u w:val="single"/>
              </w:rPr>
              <w:t>1</w:t>
            </w:r>
          </w:p>
        </w:tc>
        <w:tc>
          <w:tcPr>
            <w:tcW w:w="560" w:type="pct"/>
            <w:tcBorders>
              <w:right w:val="single" w:sz="4" w:space="0" w:color="auto"/>
            </w:tcBorders>
            <w:vAlign w:val="center"/>
          </w:tcPr>
          <w:p w:rsidR="00EE56C0" w:rsidRPr="005767FB" w:rsidRDefault="000F36A1">
            <w:pPr>
              <w:pStyle w:val="afa"/>
              <w:rPr>
                <w:b/>
                <w:u w:val="single"/>
              </w:rPr>
            </w:pPr>
            <w:r w:rsidRPr="005767FB">
              <w:rPr>
                <w:rFonts w:hAnsi="宋体" w:hint="eastAsia"/>
                <w:u w:val="single"/>
              </w:rPr>
              <w:t>南王庄村</w:t>
            </w:r>
          </w:p>
        </w:tc>
        <w:tc>
          <w:tcPr>
            <w:tcW w:w="582"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664" w:type="pct"/>
            <w:tcBorders>
              <w:right w:val="single" w:sz="4" w:space="0" w:color="auto"/>
            </w:tcBorders>
            <w:vAlign w:val="center"/>
          </w:tcPr>
          <w:p w:rsidR="00EE56C0" w:rsidRPr="005767FB" w:rsidRDefault="000F36A1">
            <w:pPr>
              <w:pStyle w:val="afa"/>
              <w:rPr>
                <w:u w:val="single"/>
              </w:rPr>
            </w:pPr>
            <w:r w:rsidRPr="005767FB">
              <w:rPr>
                <w:u w:val="single"/>
              </w:rPr>
              <w:t>0.0117</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0.0030</w:t>
            </w:r>
          </w:p>
        </w:tc>
        <w:tc>
          <w:tcPr>
            <w:tcW w:w="662" w:type="pct"/>
            <w:tcBorders>
              <w:right w:val="single" w:sz="4" w:space="0" w:color="auto"/>
            </w:tcBorders>
            <w:vAlign w:val="center"/>
          </w:tcPr>
          <w:p w:rsidR="00EE56C0" w:rsidRPr="005767FB" w:rsidRDefault="000F36A1">
            <w:pPr>
              <w:pStyle w:val="afa"/>
              <w:rPr>
                <w:u w:val="single"/>
              </w:rPr>
            </w:pPr>
            <w:r w:rsidRPr="005767FB">
              <w:rPr>
                <w:u w:val="single"/>
              </w:rPr>
              <w:t>0.0147</w:t>
            </w:r>
          </w:p>
        </w:tc>
        <w:tc>
          <w:tcPr>
            <w:tcW w:w="689"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19071707</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73.67</w:t>
            </w:r>
          </w:p>
        </w:tc>
        <w:tc>
          <w:tcPr>
            <w:tcW w:w="429"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1" w:type="pct"/>
            <w:vAlign w:val="center"/>
          </w:tcPr>
          <w:p w:rsidR="00EE56C0" w:rsidRPr="005767FB" w:rsidRDefault="000F36A1">
            <w:pPr>
              <w:pStyle w:val="afa"/>
              <w:rPr>
                <w:u w:val="single"/>
              </w:rPr>
            </w:pPr>
            <w:r w:rsidRPr="005767FB">
              <w:rPr>
                <w:u w:val="single"/>
              </w:rPr>
              <w:t>2</w:t>
            </w:r>
          </w:p>
        </w:tc>
        <w:tc>
          <w:tcPr>
            <w:tcW w:w="560" w:type="pct"/>
            <w:tcBorders>
              <w:right w:val="single" w:sz="4" w:space="0" w:color="auto"/>
            </w:tcBorders>
            <w:vAlign w:val="center"/>
          </w:tcPr>
          <w:p w:rsidR="00EE56C0" w:rsidRPr="005767FB" w:rsidRDefault="000F36A1">
            <w:pPr>
              <w:pStyle w:val="afa"/>
              <w:rPr>
                <w:u w:val="single"/>
              </w:rPr>
            </w:pPr>
            <w:r w:rsidRPr="005767FB">
              <w:rPr>
                <w:rFonts w:hAnsi="宋体" w:hint="eastAsia"/>
                <w:u w:val="single"/>
              </w:rPr>
              <w:t>刘店村</w:t>
            </w:r>
          </w:p>
        </w:tc>
        <w:tc>
          <w:tcPr>
            <w:tcW w:w="582"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664" w:type="pct"/>
            <w:tcBorders>
              <w:right w:val="single" w:sz="4" w:space="0" w:color="auto"/>
            </w:tcBorders>
            <w:vAlign w:val="center"/>
          </w:tcPr>
          <w:p w:rsidR="00EE56C0" w:rsidRPr="005767FB" w:rsidRDefault="000F36A1">
            <w:pPr>
              <w:pStyle w:val="afa"/>
              <w:rPr>
                <w:u w:val="single"/>
              </w:rPr>
            </w:pPr>
            <w:r w:rsidRPr="005767FB">
              <w:rPr>
                <w:u w:val="single"/>
              </w:rPr>
              <w:t>0.0011</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0.0030</w:t>
            </w:r>
          </w:p>
        </w:tc>
        <w:tc>
          <w:tcPr>
            <w:tcW w:w="662" w:type="pct"/>
            <w:tcBorders>
              <w:right w:val="single" w:sz="4" w:space="0" w:color="auto"/>
            </w:tcBorders>
            <w:vAlign w:val="center"/>
          </w:tcPr>
          <w:p w:rsidR="00EE56C0" w:rsidRPr="005767FB" w:rsidRDefault="000F36A1">
            <w:pPr>
              <w:pStyle w:val="afa"/>
              <w:rPr>
                <w:u w:val="single"/>
              </w:rPr>
            </w:pPr>
            <w:r w:rsidRPr="005767FB">
              <w:rPr>
                <w:u w:val="single"/>
              </w:rPr>
              <w:t>0.0041</w:t>
            </w:r>
          </w:p>
        </w:tc>
        <w:tc>
          <w:tcPr>
            <w:tcW w:w="689"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19111224</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20.35</w:t>
            </w:r>
          </w:p>
        </w:tc>
        <w:tc>
          <w:tcPr>
            <w:tcW w:w="429"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1" w:type="pct"/>
            <w:vAlign w:val="center"/>
          </w:tcPr>
          <w:p w:rsidR="00EE56C0" w:rsidRPr="005767FB" w:rsidRDefault="000F36A1">
            <w:pPr>
              <w:pStyle w:val="afa"/>
              <w:rPr>
                <w:u w:val="single"/>
              </w:rPr>
            </w:pPr>
            <w:r w:rsidRPr="005767FB">
              <w:rPr>
                <w:rFonts w:hint="eastAsia"/>
                <w:u w:val="single"/>
              </w:rPr>
              <w:t>3</w:t>
            </w:r>
          </w:p>
        </w:tc>
        <w:tc>
          <w:tcPr>
            <w:tcW w:w="560"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马庄村</w:t>
            </w:r>
          </w:p>
        </w:tc>
        <w:tc>
          <w:tcPr>
            <w:tcW w:w="582"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664" w:type="pct"/>
            <w:tcBorders>
              <w:right w:val="single" w:sz="4" w:space="0" w:color="auto"/>
            </w:tcBorders>
            <w:vAlign w:val="center"/>
          </w:tcPr>
          <w:p w:rsidR="00EE56C0" w:rsidRPr="005767FB" w:rsidRDefault="000F36A1">
            <w:pPr>
              <w:pStyle w:val="afa"/>
              <w:rPr>
                <w:u w:val="single"/>
              </w:rPr>
            </w:pPr>
            <w:r w:rsidRPr="005767FB">
              <w:rPr>
                <w:u w:val="single"/>
              </w:rPr>
              <w:t>0.0019</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0.0030</w:t>
            </w:r>
          </w:p>
        </w:tc>
        <w:tc>
          <w:tcPr>
            <w:tcW w:w="662" w:type="pct"/>
            <w:tcBorders>
              <w:right w:val="single" w:sz="4" w:space="0" w:color="auto"/>
            </w:tcBorders>
            <w:vAlign w:val="center"/>
          </w:tcPr>
          <w:p w:rsidR="00EE56C0" w:rsidRPr="005767FB" w:rsidRDefault="000F36A1">
            <w:pPr>
              <w:pStyle w:val="afa"/>
              <w:rPr>
                <w:u w:val="single"/>
              </w:rPr>
            </w:pPr>
            <w:r w:rsidRPr="005767FB">
              <w:rPr>
                <w:u w:val="single"/>
              </w:rPr>
              <w:t>0.0049</w:t>
            </w:r>
          </w:p>
        </w:tc>
        <w:tc>
          <w:tcPr>
            <w:tcW w:w="689"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19050407</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24.28</w:t>
            </w:r>
          </w:p>
        </w:tc>
        <w:tc>
          <w:tcPr>
            <w:tcW w:w="429"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1" w:type="pct"/>
            <w:vAlign w:val="center"/>
          </w:tcPr>
          <w:p w:rsidR="00EE56C0" w:rsidRPr="005767FB" w:rsidRDefault="000F36A1">
            <w:pPr>
              <w:pStyle w:val="afa"/>
              <w:rPr>
                <w:u w:val="single"/>
              </w:rPr>
            </w:pPr>
            <w:r w:rsidRPr="005767FB">
              <w:rPr>
                <w:rFonts w:hint="eastAsia"/>
                <w:u w:val="single"/>
              </w:rPr>
              <w:t>4</w:t>
            </w:r>
          </w:p>
        </w:tc>
        <w:tc>
          <w:tcPr>
            <w:tcW w:w="560"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康庄村</w:t>
            </w:r>
          </w:p>
        </w:tc>
        <w:tc>
          <w:tcPr>
            <w:tcW w:w="582"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664" w:type="pct"/>
            <w:tcBorders>
              <w:right w:val="single" w:sz="4" w:space="0" w:color="auto"/>
            </w:tcBorders>
            <w:vAlign w:val="center"/>
          </w:tcPr>
          <w:p w:rsidR="00EE56C0" w:rsidRPr="005767FB" w:rsidRDefault="000F36A1">
            <w:pPr>
              <w:pStyle w:val="afa"/>
              <w:rPr>
                <w:u w:val="single"/>
              </w:rPr>
            </w:pPr>
            <w:r w:rsidRPr="005767FB">
              <w:rPr>
                <w:u w:val="single"/>
              </w:rPr>
              <w:t>0.0016</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0.0030</w:t>
            </w:r>
          </w:p>
        </w:tc>
        <w:tc>
          <w:tcPr>
            <w:tcW w:w="662" w:type="pct"/>
            <w:tcBorders>
              <w:right w:val="single" w:sz="4" w:space="0" w:color="auto"/>
            </w:tcBorders>
            <w:vAlign w:val="center"/>
          </w:tcPr>
          <w:p w:rsidR="00EE56C0" w:rsidRPr="005767FB" w:rsidRDefault="000F36A1">
            <w:pPr>
              <w:pStyle w:val="afa"/>
              <w:rPr>
                <w:u w:val="single"/>
              </w:rPr>
            </w:pPr>
            <w:r w:rsidRPr="005767FB">
              <w:rPr>
                <w:u w:val="single"/>
              </w:rPr>
              <w:t>0.0046</w:t>
            </w:r>
          </w:p>
        </w:tc>
        <w:tc>
          <w:tcPr>
            <w:tcW w:w="689"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19050307</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23.19</w:t>
            </w:r>
          </w:p>
        </w:tc>
        <w:tc>
          <w:tcPr>
            <w:tcW w:w="429"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1" w:type="pct"/>
            <w:vAlign w:val="center"/>
          </w:tcPr>
          <w:p w:rsidR="00EE56C0" w:rsidRPr="005767FB" w:rsidRDefault="000F36A1">
            <w:pPr>
              <w:pStyle w:val="afa"/>
              <w:rPr>
                <w:u w:val="single"/>
              </w:rPr>
            </w:pPr>
            <w:r w:rsidRPr="005767FB">
              <w:rPr>
                <w:rFonts w:hint="eastAsia"/>
                <w:u w:val="single"/>
              </w:rPr>
              <w:t>5</w:t>
            </w:r>
          </w:p>
        </w:tc>
        <w:tc>
          <w:tcPr>
            <w:tcW w:w="560"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府庄村</w:t>
            </w:r>
          </w:p>
        </w:tc>
        <w:tc>
          <w:tcPr>
            <w:tcW w:w="582"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664" w:type="pct"/>
            <w:tcBorders>
              <w:right w:val="single" w:sz="4" w:space="0" w:color="auto"/>
            </w:tcBorders>
            <w:vAlign w:val="center"/>
          </w:tcPr>
          <w:p w:rsidR="00EE56C0" w:rsidRPr="005767FB" w:rsidRDefault="000F36A1">
            <w:pPr>
              <w:pStyle w:val="afa"/>
              <w:rPr>
                <w:u w:val="single"/>
              </w:rPr>
            </w:pPr>
            <w:r w:rsidRPr="005767FB">
              <w:rPr>
                <w:u w:val="single"/>
              </w:rPr>
              <w:t>0.0023</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0.0030</w:t>
            </w:r>
          </w:p>
        </w:tc>
        <w:tc>
          <w:tcPr>
            <w:tcW w:w="662" w:type="pct"/>
            <w:tcBorders>
              <w:right w:val="single" w:sz="4" w:space="0" w:color="auto"/>
            </w:tcBorders>
            <w:vAlign w:val="center"/>
          </w:tcPr>
          <w:p w:rsidR="00EE56C0" w:rsidRPr="005767FB" w:rsidRDefault="000F36A1">
            <w:pPr>
              <w:pStyle w:val="afa"/>
              <w:rPr>
                <w:u w:val="single"/>
              </w:rPr>
            </w:pPr>
            <w:r w:rsidRPr="005767FB">
              <w:rPr>
                <w:u w:val="single"/>
              </w:rPr>
              <w:t>0.0053</w:t>
            </w:r>
          </w:p>
        </w:tc>
        <w:tc>
          <w:tcPr>
            <w:tcW w:w="689"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19050107</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26.69</w:t>
            </w:r>
          </w:p>
        </w:tc>
        <w:tc>
          <w:tcPr>
            <w:tcW w:w="429"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1" w:type="pct"/>
            <w:vAlign w:val="center"/>
          </w:tcPr>
          <w:p w:rsidR="00EE56C0" w:rsidRPr="005767FB" w:rsidRDefault="000F36A1">
            <w:pPr>
              <w:pStyle w:val="afa"/>
              <w:rPr>
                <w:u w:val="single"/>
              </w:rPr>
            </w:pPr>
            <w:r w:rsidRPr="005767FB">
              <w:rPr>
                <w:rFonts w:hint="eastAsia"/>
                <w:u w:val="single"/>
              </w:rPr>
              <w:t>6</w:t>
            </w:r>
          </w:p>
        </w:tc>
        <w:tc>
          <w:tcPr>
            <w:tcW w:w="560"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大张庄村</w:t>
            </w:r>
          </w:p>
        </w:tc>
        <w:tc>
          <w:tcPr>
            <w:tcW w:w="582"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664" w:type="pct"/>
            <w:tcBorders>
              <w:right w:val="single" w:sz="4" w:space="0" w:color="auto"/>
            </w:tcBorders>
            <w:vAlign w:val="center"/>
          </w:tcPr>
          <w:p w:rsidR="00EE56C0" w:rsidRPr="005767FB" w:rsidRDefault="000F36A1">
            <w:pPr>
              <w:pStyle w:val="afa"/>
              <w:rPr>
                <w:u w:val="single"/>
              </w:rPr>
            </w:pPr>
            <w:r w:rsidRPr="005767FB">
              <w:rPr>
                <w:u w:val="single"/>
              </w:rPr>
              <w:t>0.0010</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0.0030</w:t>
            </w:r>
          </w:p>
        </w:tc>
        <w:tc>
          <w:tcPr>
            <w:tcW w:w="662" w:type="pct"/>
            <w:tcBorders>
              <w:right w:val="single" w:sz="4" w:space="0" w:color="auto"/>
            </w:tcBorders>
            <w:vAlign w:val="center"/>
          </w:tcPr>
          <w:p w:rsidR="00EE56C0" w:rsidRPr="005767FB" w:rsidRDefault="000F36A1">
            <w:pPr>
              <w:pStyle w:val="afa"/>
              <w:rPr>
                <w:u w:val="single"/>
              </w:rPr>
            </w:pPr>
            <w:r w:rsidRPr="005767FB">
              <w:rPr>
                <w:u w:val="single"/>
              </w:rPr>
              <w:t>0.0040</w:t>
            </w:r>
          </w:p>
        </w:tc>
        <w:tc>
          <w:tcPr>
            <w:tcW w:w="689"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19070904</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20.14</w:t>
            </w:r>
          </w:p>
        </w:tc>
        <w:tc>
          <w:tcPr>
            <w:tcW w:w="429"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1" w:type="pct"/>
            <w:vAlign w:val="center"/>
          </w:tcPr>
          <w:p w:rsidR="00EE56C0" w:rsidRPr="005767FB" w:rsidRDefault="000F36A1">
            <w:pPr>
              <w:pStyle w:val="afa"/>
              <w:rPr>
                <w:u w:val="single"/>
              </w:rPr>
            </w:pPr>
            <w:r w:rsidRPr="005767FB">
              <w:rPr>
                <w:rFonts w:hint="eastAsia"/>
                <w:u w:val="single"/>
              </w:rPr>
              <w:t>7</w:t>
            </w:r>
          </w:p>
        </w:tc>
        <w:tc>
          <w:tcPr>
            <w:tcW w:w="560"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大赵庄村</w:t>
            </w:r>
          </w:p>
        </w:tc>
        <w:tc>
          <w:tcPr>
            <w:tcW w:w="582"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664" w:type="pct"/>
            <w:tcBorders>
              <w:right w:val="single" w:sz="4" w:space="0" w:color="auto"/>
            </w:tcBorders>
            <w:vAlign w:val="center"/>
          </w:tcPr>
          <w:p w:rsidR="00EE56C0" w:rsidRPr="005767FB" w:rsidRDefault="000F36A1">
            <w:pPr>
              <w:pStyle w:val="afa"/>
              <w:rPr>
                <w:u w:val="single"/>
              </w:rPr>
            </w:pPr>
            <w:r w:rsidRPr="005767FB">
              <w:rPr>
                <w:u w:val="single"/>
              </w:rPr>
              <w:t>0.0018</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0.0030</w:t>
            </w:r>
          </w:p>
        </w:tc>
        <w:tc>
          <w:tcPr>
            <w:tcW w:w="662" w:type="pct"/>
            <w:tcBorders>
              <w:right w:val="single" w:sz="4" w:space="0" w:color="auto"/>
            </w:tcBorders>
            <w:vAlign w:val="center"/>
          </w:tcPr>
          <w:p w:rsidR="00EE56C0" w:rsidRPr="005767FB" w:rsidRDefault="000F36A1">
            <w:pPr>
              <w:pStyle w:val="afa"/>
              <w:rPr>
                <w:u w:val="single"/>
              </w:rPr>
            </w:pPr>
            <w:r w:rsidRPr="005767FB">
              <w:rPr>
                <w:u w:val="single"/>
              </w:rPr>
              <w:t>0.0048</w:t>
            </w:r>
          </w:p>
        </w:tc>
        <w:tc>
          <w:tcPr>
            <w:tcW w:w="689"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19070207</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23.76</w:t>
            </w:r>
          </w:p>
        </w:tc>
        <w:tc>
          <w:tcPr>
            <w:tcW w:w="429"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1" w:type="pct"/>
            <w:vAlign w:val="center"/>
          </w:tcPr>
          <w:p w:rsidR="00EE56C0" w:rsidRPr="005767FB" w:rsidRDefault="000F36A1">
            <w:pPr>
              <w:pStyle w:val="afa"/>
              <w:rPr>
                <w:u w:val="single"/>
              </w:rPr>
            </w:pPr>
            <w:r w:rsidRPr="005767FB">
              <w:rPr>
                <w:rFonts w:hint="eastAsia"/>
                <w:u w:val="single"/>
              </w:rPr>
              <w:t>8</w:t>
            </w:r>
          </w:p>
        </w:tc>
        <w:tc>
          <w:tcPr>
            <w:tcW w:w="560"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丁庄村</w:t>
            </w:r>
          </w:p>
        </w:tc>
        <w:tc>
          <w:tcPr>
            <w:tcW w:w="582"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664" w:type="pct"/>
            <w:tcBorders>
              <w:right w:val="single" w:sz="4" w:space="0" w:color="auto"/>
            </w:tcBorders>
            <w:vAlign w:val="center"/>
          </w:tcPr>
          <w:p w:rsidR="00EE56C0" w:rsidRPr="005767FB" w:rsidRDefault="000F36A1">
            <w:pPr>
              <w:pStyle w:val="afa"/>
              <w:rPr>
                <w:u w:val="single"/>
              </w:rPr>
            </w:pPr>
            <w:r w:rsidRPr="005767FB">
              <w:rPr>
                <w:u w:val="single"/>
              </w:rPr>
              <w:t>0.0009</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0.0030</w:t>
            </w:r>
          </w:p>
        </w:tc>
        <w:tc>
          <w:tcPr>
            <w:tcW w:w="662" w:type="pct"/>
            <w:tcBorders>
              <w:right w:val="single" w:sz="4" w:space="0" w:color="auto"/>
            </w:tcBorders>
            <w:vAlign w:val="center"/>
          </w:tcPr>
          <w:p w:rsidR="00EE56C0" w:rsidRPr="005767FB" w:rsidRDefault="000F36A1">
            <w:pPr>
              <w:pStyle w:val="afa"/>
              <w:rPr>
                <w:u w:val="single"/>
              </w:rPr>
            </w:pPr>
            <w:r w:rsidRPr="005767FB">
              <w:rPr>
                <w:u w:val="single"/>
              </w:rPr>
              <w:t>0.0039</w:t>
            </w:r>
          </w:p>
        </w:tc>
        <w:tc>
          <w:tcPr>
            <w:tcW w:w="689"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19070224</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19.35</w:t>
            </w:r>
          </w:p>
        </w:tc>
        <w:tc>
          <w:tcPr>
            <w:tcW w:w="429"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1" w:type="pct"/>
            <w:vAlign w:val="center"/>
          </w:tcPr>
          <w:p w:rsidR="00EE56C0" w:rsidRPr="005767FB" w:rsidRDefault="000F36A1">
            <w:pPr>
              <w:pStyle w:val="afa"/>
              <w:rPr>
                <w:u w:val="single"/>
              </w:rPr>
            </w:pPr>
            <w:r w:rsidRPr="005767FB">
              <w:rPr>
                <w:rFonts w:hint="eastAsia"/>
                <w:u w:val="single"/>
              </w:rPr>
              <w:t>9</w:t>
            </w:r>
          </w:p>
        </w:tc>
        <w:tc>
          <w:tcPr>
            <w:tcW w:w="560"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刘八庄村</w:t>
            </w:r>
          </w:p>
        </w:tc>
        <w:tc>
          <w:tcPr>
            <w:tcW w:w="582"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664" w:type="pct"/>
            <w:tcBorders>
              <w:right w:val="single" w:sz="4" w:space="0" w:color="auto"/>
            </w:tcBorders>
            <w:vAlign w:val="center"/>
          </w:tcPr>
          <w:p w:rsidR="00EE56C0" w:rsidRPr="005767FB" w:rsidRDefault="000F36A1">
            <w:pPr>
              <w:pStyle w:val="afa"/>
              <w:rPr>
                <w:u w:val="single"/>
              </w:rPr>
            </w:pPr>
            <w:r w:rsidRPr="005767FB">
              <w:rPr>
                <w:u w:val="single"/>
              </w:rPr>
              <w:t>0.0016</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0.0030</w:t>
            </w:r>
          </w:p>
        </w:tc>
        <w:tc>
          <w:tcPr>
            <w:tcW w:w="662" w:type="pct"/>
            <w:tcBorders>
              <w:right w:val="single" w:sz="4" w:space="0" w:color="auto"/>
            </w:tcBorders>
            <w:vAlign w:val="center"/>
          </w:tcPr>
          <w:p w:rsidR="00EE56C0" w:rsidRPr="005767FB" w:rsidRDefault="000F36A1">
            <w:pPr>
              <w:pStyle w:val="afa"/>
              <w:rPr>
                <w:u w:val="single"/>
              </w:rPr>
            </w:pPr>
            <w:r w:rsidRPr="005767FB">
              <w:rPr>
                <w:u w:val="single"/>
              </w:rPr>
              <w:t>0.0046</w:t>
            </w:r>
          </w:p>
        </w:tc>
        <w:tc>
          <w:tcPr>
            <w:tcW w:w="689"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19050307</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22.96</w:t>
            </w:r>
          </w:p>
        </w:tc>
        <w:tc>
          <w:tcPr>
            <w:tcW w:w="429"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1" w:type="pct"/>
            <w:vAlign w:val="center"/>
          </w:tcPr>
          <w:p w:rsidR="00EE56C0" w:rsidRPr="005767FB" w:rsidRDefault="000F36A1">
            <w:pPr>
              <w:pStyle w:val="afa"/>
              <w:rPr>
                <w:u w:val="single"/>
              </w:rPr>
            </w:pPr>
            <w:r w:rsidRPr="005767FB">
              <w:rPr>
                <w:rFonts w:hint="eastAsia"/>
                <w:u w:val="single"/>
              </w:rPr>
              <w:t>10</w:t>
            </w:r>
          </w:p>
        </w:tc>
        <w:tc>
          <w:tcPr>
            <w:tcW w:w="560"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王贵楼村</w:t>
            </w:r>
          </w:p>
        </w:tc>
        <w:tc>
          <w:tcPr>
            <w:tcW w:w="582"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664" w:type="pct"/>
            <w:tcBorders>
              <w:right w:val="single" w:sz="4" w:space="0" w:color="auto"/>
            </w:tcBorders>
            <w:vAlign w:val="center"/>
          </w:tcPr>
          <w:p w:rsidR="00EE56C0" w:rsidRPr="005767FB" w:rsidRDefault="000F36A1">
            <w:pPr>
              <w:pStyle w:val="afa"/>
              <w:rPr>
                <w:u w:val="single"/>
              </w:rPr>
            </w:pPr>
            <w:r w:rsidRPr="005767FB">
              <w:rPr>
                <w:u w:val="single"/>
              </w:rPr>
              <w:t>0.0012</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0.0030</w:t>
            </w:r>
          </w:p>
        </w:tc>
        <w:tc>
          <w:tcPr>
            <w:tcW w:w="662" w:type="pct"/>
            <w:tcBorders>
              <w:right w:val="single" w:sz="4" w:space="0" w:color="auto"/>
            </w:tcBorders>
            <w:vAlign w:val="center"/>
          </w:tcPr>
          <w:p w:rsidR="00EE56C0" w:rsidRPr="005767FB" w:rsidRDefault="000F36A1">
            <w:pPr>
              <w:pStyle w:val="afa"/>
              <w:rPr>
                <w:u w:val="single"/>
              </w:rPr>
            </w:pPr>
            <w:r w:rsidRPr="005767FB">
              <w:rPr>
                <w:u w:val="single"/>
              </w:rPr>
              <w:t>0.0042</w:t>
            </w:r>
          </w:p>
        </w:tc>
        <w:tc>
          <w:tcPr>
            <w:tcW w:w="689"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19050307</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21.11</w:t>
            </w:r>
          </w:p>
        </w:tc>
        <w:tc>
          <w:tcPr>
            <w:tcW w:w="429"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1" w:type="pct"/>
            <w:vAlign w:val="center"/>
          </w:tcPr>
          <w:p w:rsidR="00EE56C0" w:rsidRPr="005767FB" w:rsidRDefault="000F36A1">
            <w:pPr>
              <w:pStyle w:val="afa"/>
              <w:rPr>
                <w:u w:val="single"/>
              </w:rPr>
            </w:pPr>
            <w:r w:rsidRPr="005767FB">
              <w:rPr>
                <w:rFonts w:hint="eastAsia"/>
                <w:u w:val="single"/>
              </w:rPr>
              <w:t>11</w:t>
            </w:r>
          </w:p>
        </w:tc>
        <w:tc>
          <w:tcPr>
            <w:tcW w:w="560" w:type="pct"/>
            <w:tcBorders>
              <w:right w:val="single" w:sz="4" w:space="0" w:color="auto"/>
            </w:tcBorders>
            <w:vAlign w:val="center"/>
          </w:tcPr>
          <w:p w:rsidR="00EE56C0" w:rsidRPr="005767FB" w:rsidRDefault="000F36A1">
            <w:pPr>
              <w:pStyle w:val="afa"/>
              <w:rPr>
                <w:u w:val="single"/>
              </w:rPr>
            </w:pPr>
            <w:r w:rsidRPr="005767FB">
              <w:rPr>
                <w:rFonts w:hAnsi="宋体" w:hint="eastAsia"/>
                <w:u w:val="single"/>
              </w:rPr>
              <w:t>罗滩村</w:t>
            </w:r>
          </w:p>
        </w:tc>
        <w:tc>
          <w:tcPr>
            <w:tcW w:w="582"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664" w:type="pct"/>
            <w:tcBorders>
              <w:right w:val="single" w:sz="4" w:space="0" w:color="auto"/>
            </w:tcBorders>
            <w:vAlign w:val="center"/>
          </w:tcPr>
          <w:p w:rsidR="00EE56C0" w:rsidRPr="005767FB" w:rsidRDefault="000F36A1">
            <w:pPr>
              <w:pStyle w:val="afa"/>
              <w:rPr>
                <w:u w:val="single"/>
              </w:rPr>
            </w:pPr>
            <w:r w:rsidRPr="005767FB">
              <w:rPr>
                <w:u w:val="single"/>
              </w:rPr>
              <w:t>0.0012</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0.0030</w:t>
            </w:r>
          </w:p>
        </w:tc>
        <w:tc>
          <w:tcPr>
            <w:tcW w:w="662" w:type="pct"/>
            <w:tcBorders>
              <w:right w:val="single" w:sz="4" w:space="0" w:color="auto"/>
            </w:tcBorders>
            <w:vAlign w:val="center"/>
          </w:tcPr>
          <w:p w:rsidR="00EE56C0" w:rsidRPr="005767FB" w:rsidRDefault="000F36A1">
            <w:pPr>
              <w:pStyle w:val="afa"/>
              <w:rPr>
                <w:u w:val="single"/>
              </w:rPr>
            </w:pPr>
            <w:r w:rsidRPr="005767FB">
              <w:rPr>
                <w:u w:val="single"/>
              </w:rPr>
              <w:t>0.0042</w:t>
            </w:r>
          </w:p>
        </w:tc>
        <w:tc>
          <w:tcPr>
            <w:tcW w:w="689"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19063020</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20.86</w:t>
            </w:r>
          </w:p>
        </w:tc>
        <w:tc>
          <w:tcPr>
            <w:tcW w:w="429"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1" w:type="pct"/>
            <w:vAlign w:val="center"/>
          </w:tcPr>
          <w:p w:rsidR="00EE56C0" w:rsidRPr="005767FB" w:rsidRDefault="000F36A1">
            <w:pPr>
              <w:pStyle w:val="afa"/>
              <w:rPr>
                <w:u w:val="single"/>
              </w:rPr>
            </w:pPr>
            <w:r w:rsidRPr="005767FB">
              <w:rPr>
                <w:rFonts w:hint="eastAsia"/>
                <w:u w:val="single"/>
              </w:rPr>
              <w:t>12</w:t>
            </w:r>
          </w:p>
        </w:tc>
        <w:tc>
          <w:tcPr>
            <w:tcW w:w="560"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杨庄村</w:t>
            </w:r>
          </w:p>
        </w:tc>
        <w:tc>
          <w:tcPr>
            <w:tcW w:w="582"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664" w:type="pct"/>
            <w:tcBorders>
              <w:right w:val="single" w:sz="4" w:space="0" w:color="auto"/>
            </w:tcBorders>
            <w:vAlign w:val="center"/>
          </w:tcPr>
          <w:p w:rsidR="00EE56C0" w:rsidRPr="005767FB" w:rsidRDefault="000F36A1">
            <w:pPr>
              <w:pStyle w:val="afa"/>
              <w:rPr>
                <w:u w:val="single"/>
              </w:rPr>
            </w:pPr>
            <w:r w:rsidRPr="005767FB">
              <w:rPr>
                <w:u w:val="single"/>
              </w:rPr>
              <w:t>0.0012</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0.0030</w:t>
            </w:r>
          </w:p>
        </w:tc>
        <w:tc>
          <w:tcPr>
            <w:tcW w:w="662" w:type="pct"/>
            <w:tcBorders>
              <w:right w:val="single" w:sz="4" w:space="0" w:color="auto"/>
            </w:tcBorders>
            <w:vAlign w:val="center"/>
          </w:tcPr>
          <w:p w:rsidR="00EE56C0" w:rsidRPr="005767FB" w:rsidRDefault="000F36A1">
            <w:pPr>
              <w:pStyle w:val="afa"/>
              <w:rPr>
                <w:u w:val="single"/>
              </w:rPr>
            </w:pPr>
            <w:r w:rsidRPr="005767FB">
              <w:rPr>
                <w:u w:val="single"/>
              </w:rPr>
              <w:t>0.0042</w:t>
            </w:r>
          </w:p>
        </w:tc>
        <w:tc>
          <w:tcPr>
            <w:tcW w:w="689"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19111709</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21.01</w:t>
            </w:r>
          </w:p>
        </w:tc>
        <w:tc>
          <w:tcPr>
            <w:tcW w:w="429"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1" w:type="pct"/>
            <w:vAlign w:val="center"/>
          </w:tcPr>
          <w:p w:rsidR="00EE56C0" w:rsidRPr="005767FB" w:rsidRDefault="000F36A1">
            <w:pPr>
              <w:pStyle w:val="afa"/>
              <w:rPr>
                <w:u w:val="single"/>
              </w:rPr>
            </w:pPr>
            <w:r w:rsidRPr="005767FB">
              <w:rPr>
                <w:rFonts w:hint="eastAsia"/>
                <w:u w:val="single"/>
              </w:rPr>
              <w:t>13</w:t>
            </w:r>
          </w:p>
        </w:tc>
        <w:tc>
          <w:tcPr>
            <w:tcW w:w="560"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杨堤村</w:t>
            </w:r>
          </w:p>
        </w:tc>
        <w:tc>
          <w:tcPr>
            <w:tcW w:w="582"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664" w:type="pct"/>
            <w:tcBorders>
              <w:right w:val="single" w:sz="4" w:space="0" w:color="auto"/>
            </w:tcBorders>
            <w:vAlign w:val="center"/>
          </w:tcPr>
          <w:p w:rsidR="00EE56C0" w:rsidRPr="005767FB" w:rsidRDefault="000F36A1">
            <w:pPr>
              <w:pStyle w:val="afa"/>
              <w:rPr>
                <w:u w:val="single"/>
              </w:rPr>
            </w:pPr>
            <w:r w:rsidRPr="005767FB">
              <w:rPr>
                <w:u w:val="single"/>
              </w:rPr>
              <w:t>0.0011</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0.0030</w:t>
            </w:r>
          </w:p>
        </w:tc>
        <w:tc>
          <w:tcPr>
            <w:tcW w:w="662" w:type="pct"/>
            <w:tcBorders>
              <w:right w:val="single" w:sz="4" w:space="0" w:color="auto"/>
            </w:tcBorders>
            <w:vAlign w:val="center"/>
          </w:tcPr>
          <w:p w:rsidR="00EE56C0" w:rsidRPr="005767FB" w:rsidRDefault="000F36A1">
            <w:pPr>
              <w:pStyle w:val="afa"/>
              <w:rPr>
                <w:u w:val="single"/>
              </w:rPr>
            </w:pPr>
            <w:r w:rsidRPr="005767FB">
              <w:rPr>
                <w:u w:val="single"/>
              </w:rPr>
              <w:t>0.0041</w:t>
            </w:r>
          </w:p>
        </w:tc>
        <w:tc>
          <w:tcPr>
            <w:tcW w:w="689"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19081220</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20.56</w:t>
            </w:r>
          </w:p>
        </w:tc>
        <w:tc>
          <w:tcPr>
            <w:tcW w:w="429"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1" w:type="pct"/>
            <w:vAlign w:val="center"/>
          </w:tcPr>
          <w:p w:rsidR="00EE56C0" w:rsidRPr="005767FB" w:rsidRDefault="000F36A1">
            <w:pPr>
              <w:pStyle w:val="afa"/>
              <w:rPr>
                <w:u w:val="single"/>
              </w:rPr>
            </w:pPr>
            <w:r w:rsidRPr="005767FB">
              <w:rPr>
                <w:rFonts w:hint="eastAsia"/>
                <w:u w:val="single"/>
              </w:rPr>
              <w:t>14</w:t>
            </w:r>
          </w:p>
        </w:tc>
        <w:tc>
          <w:tcPr>
            <w:tcW w:w="560"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西曹村</w:t>
            </w:r>
          </w:p>
        </w:tc>
        <w:tc>
          <w:tcPr>
            <w:tcW w:w="582"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664" w:type="pct"/>
            <w:tcBorders>
              <w:right w:val="single" w:sz="4" w:space="0" w:color="auto"/>
            </w:tcBorders>
            <w:vAlign w:val="center"/>
          </w:tcPr>
          <w:p w:rsidR="00EE56C0" w:rsidRPr="005767FB" w:rsidRDefault="000F36A1">
            <w:pPr>
              <w:pStyle w:val="afa"/>
              <w:rPr>
                <w:u w:val="single"/>
              </w:rPr>
            </w:pPr>
            <w:r w:rsidRPr="005767FB">
              <w:rPr>
                <w:u w:val="single"/>
              </w:rPr>
              <w:t>0.0032</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0.0030</w:t>
            </w:r>
          </w:p>
        </w:tc>
        <w:tc>
          <w:tcPr>
            <w:tcW w:w="662" w:type="pct"/>
            <w:tcBorders>
              <w:right w:val="single" w:sz="4" w:space="0" w:color="auto"/>
            </w:tcBorders>
            <w:vAlign w:val="center"/>
          </w:tcPr>
          <w:p w:rsidR="00EE56C0" w:rsidRPr="005767FB" w:rsidRDefault="000F36A1">
            <w:pPr>
              <w:pStyle w:val="afa"/>
              <w:rPr>
                <w:u w:val="single"/>
              </w:rPr>
            </w:pPr>
            <w:r w:rsidRPr="005767FB">
              <w:rPr>
                <w:u w:val="single"/>
              </w:rPr>
              <w:t>0.0062</w:t>
            </w:r>
          </w:p>
        </w:tc>
        <w:tc>
          <w:tcPr>
            <w:tcW w:w="689"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19070907</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30.83</w:t>
            </w:r>
          </w:p>
        </w:tc>
        <w:tc>
          <w:tcPr>
            <w:tcW w:w="429"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1" w:type="pct"/>
            <w:vAlign w:val="center"/>
          </w:tcPr>
          <w:p w:rsidR="00EE56C0" w:rsidRPr="005767FB" w:rsidRDefault="000F36A1">
            <w:pPr>
              <w:pStyle w:val="afa"/>
              <w:rPr>
                <w:u w:val="single"/>
              </w:rPr>
            </w:pPr>
            <w:r w:rsidRPr="005767FB">
              <w:rPr>
                <w:rFonts w:hint="eastAsia"/>
                <w:u w:val="single"/>
              </w:rPr>
              <w:t>15</w:t>
            </w:r>
          </w:p>
        </w:tc>
        <w:tc>
          <w:tcPr>
            <w:tcW w:w="560"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中曹村</w:t>
            </w:r>
          </w:p>
        </w:tc>
        <w:tc>
          <w:tcPr>
            <w:tcW w:w="582"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664" w:type="pct"/>
            <w:tcBorders>
              <w:right w:val="single" w:sz="4" w:space="0" w:color="auto"/>
            </w:tcBorders>
            <w:vAlign w:val="center"/>
          </w:tcPr>
          <w:p w:rsidR="00EE56C0" w:rsidRPr="005767FB" w:rsidRDefault="000F36A1">
            <w:pPr>
              <w:pStyle w:val="afa"/>
              <w:rPr>
                <w:u w:val="single"/>
              </w:rPr>
            </w:pPr>
            <w:r w:rsidRPr="005767FB">
              <w:rPr>
                <w:u w:val="single"/>
              </w:rPr>
              <w:t>0.0025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0.0030</w:t>
            </w:r>
          </w:p>
        </w:tc>
        <w:tc>
          <w:tcPr>
            <w:tcW w:w="662" w:type="pct"/>
            <w:tcBorders>
              <w:right w:val="single" w:sz="4" w:space="0" w:color="auto"/>
            </w:tcBorders>
            <w:vAlign w:val="center"/>
          </w:tcPr>
          <w:p w:rsidR="00EE56C0" w:rsidRPr="005767FB" w:rsidRDefault="000F36A1">
            <w:pPr>
              <w:pStyle w:val="afa"/>
              <w:rPr>
                <w:u w:val="single"/>
              </w:rPr>
            </w:pPr>
            <w:r w:rsidRPr="005767FB">
              <w:rPr>
                <w:u w:val="single"/>
              </w:rPr>
              <w:t>0.0055</w:t>
            </w:r>
          </w:p>
        </w:tc>
        <w:tc>
          <w:tcPr>
            <w:tcW w:w="689"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19070907</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27.71</w:t>
            </w:r>
          </w:p>
        </w:tc>
        <w:tc>
          <w:tcPr>
            <w:tcW w:w="429"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1" w:type="pct"/>
            <w:vAlign w:val="center"/>
          </w:tcPr>
          <w:p w:rsidR="00EE56C0" w:rsidRPr="005767FB" w:rsidRDefault="000F36A1">
            <w:pPr>
              <w:pStyle w:val="afa"/>
              <w:rPr>
                <w:u w:val="single"/>
              </w:rPr>
            </w:pPr>
            <w:r w:rsidRPr="005767FB">
              <w:rPr>
                <w:rFonts w:hint="eastAsia"/>
                <w:u w:val="single"/>
              </w:rPr>
              <w:t>16</w:t>
            </w:r>
          </w:p>
        </w:tc>
        <w:tc>
          <w:tcPr>
            <w:tcW w:w="560"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东曹村</w:t>
            </w:r>
          </w:p>
        </w:tc>
        <w:tc>
          <w:tcPr>
            <w:tcW w:w="582"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664" w:type="pct"/>
            <w:tcBorders>
              <w:right w:val="single" w:sz="4" w:space="0" w:color="auto"/>
            </w:tcBorders>
            <w:vAlign w:val="center"/>
          </w:tcPr>
          <w:p w:rsidR="00EE56C0" w:rsidRPr="005767FB" w:rsidRDefault="000F36A1">
            <w:pPr>
              <w:pStyle w:val="afa"/>
              <w:rPr>
                <w:u w:val="single"/>
              </w:rPr>
            </w:pPr>
            <w:r w:rsidRPr="005767FB">
              <w:rPr>
                <w:u w:val="single"/>
              </w:rPr>
              <w:t>0.0023</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0.0030</w:t>
            </w:r>
          </w:p>
        </w:tc>
        <w:tc>
          <w:tcPr>
            <w:tcW w:w="662" w:type="pct"/>
            <w:tcBorders>
              <w:right w:val="single" w:sz="4" w:space="0" w:color="auto"/>
            </w:tcBorders>
            <w:vAlign w:val="center"/>
          </w:tcPr>
          <w:p w:rsidR="00EE56C0" w:rsidRPr="005767FB" w:rsidRDefault="000F36A1">
            <w:pPr>
              <w:pStyle w:val="afa"/>
              <w:rPr>
                <w:u w:val="single"/>
              </w:rPr>
            </w:pPr>
            <w:r w:rsidRPr="005767FB">
              <w:rPr>
                <w:u w:val="single"/>
              </w:rPr>
              <w:t>0.0053</w:t>
            </w:r>
          </w:p>
        </w:tc>
        <w:tc>
          <w:tcPr>
            <w:tcW w:w="689"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19022110</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26.72</w:t>
            </w:r>
          </w:p>
        </w:tc>
        <w:tc>
          <w:tcPr>
            <w:tcW w:w="429"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1" w:type="pct"/>
            <w:vAlign w:val="center"/>
          </w:tcPr>
          <w:p w:rsidR="00EE56C0" w:rsidRPr="005767FB" w:rsidRDefault="000F36A1">
            <w:pPr>
              <w:pStyle w:val="afa"/>
              <w:rPr>
                <w:u w:val="single"/>
              </w:rPr>
            </w:pPr>
            <w:r w:rsidRPr="005767FB">
              <w:rPr>
                <w:rFonts w:hint="eastAsia"/>
                <w:u w:val="single"/>
              </w:rPr>
              <w:t>17</w:t>
            </w:r>
          </w:p>
        </w:tc>
        <w:tc>
          <w:tcPr>
            <w:tcW w:w="560"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七里营镇</w:t>
            </w:r>
          </w:p>
        </w:tc>
        <w:tc>
          <w:tcPr>
            <w:tcW w:w="582"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664" w:type="pct"/>
            <w:tcBorders>
              <w:right w:val="single" w:sz="4" w:space="0" w:color="auto"/>
            </w:tcBorders>
            <w:vAlign w:val="center"/>
          </w:tcPr>
          <w:p w:rsidR="00EE56C0" w:rsidRPr="005767FB" w:rsidRDefault="000F36A1">
            <w:pPr>
              <w:pStyle w:val="afa"/>
              <w:rPr>
                <w:u w:val="single"/>
              </w:rPr>
            </w:pPr>
            <w:r w:rsidRPr="005767FB">
              <w:rPr>
                <w:u w:val="single"/>
              </w:rPr>
              <w:t>0.0025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0.0030</w:t>
            </w:r>
          </w:p>
        </w:tc>
        <w:tc>
          <w:tcPr>
            <w:tcW w:w="662" w:type="pct"/>
            <w:tcBorders>
              <w:right w:val="single" w:sz="4" w:space="0" w:color="auto"/>
            </w:tcBorders>
            <w:vAlign w:val="center"/>
          </w:tcPr>
          <w:p w:rsidR="00EE56C0" w:rsidRPr="005767FB" w:rsidRDefault="000F36A1">
            <w:pPr>
              <w:pStyle w:val="afa"/>
              <w:rPr>
                <w:u w:val="single"/>
              </w:rPr>
            </w:pPr>
            <w:r w:rsidRPr="005767FB">
              <w:rPr>
                <w:u w:val="single"/>
              </w:rPr>
              <w:t>0.0055</w:t>
            </w:r>
          </w:p>
        </w:tc>
        <w:tc>
          <w:tcPr>
            <w:tcW w:w="689"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19121910</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27.61</w:t>
            </w:r>
          </w:p>
        </w:tc>
        <w:tc>
          <w:tcPr>
            <w:tcW w:w="429"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1" w:type="pct"/>
            <w:vAlign w:val="center"/>
          </w:tcPr>
          <w:p w:rsidR="00EE56C0" w:rsidRPr="005767FB" w:rsidRDefault="000F36A1">
            <w:pPr>
              <w:pStyle w:val="afa"/>
              <w:rPr>
                <w:u w:val="single"/>
              </w:rPr>
            </w:pPr>
            <w:r w:rsidRPr="005767FB">
              <w:rPr>
                <w:rFonts w:hint="eastAsia"/>
                <w:u w:val="single"/>
              </w:rPr>
              <w:t>18</w:t>
            </w:r>
          </w:p>
        </w:tc>
        <w:tc>
          <w:tcPr>
            <w:tcW w:w="560"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七二村</w:t>
            </w:r>
          </w:p>
        </w:tc>
        <w:tc>
          <w:tcPr>
            <w:tcW w:w="582"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664" w:type="pct"/>
            <w:tcBorders>
              <w:right w:val="single" w:sz="4" w:space="0" w:color="auto"/>
            </w:tcBorders>
            <w:vAlign w:val="center"/>
          </w:tcPr>
          <w:p w:rsidR="00EE56C0" w:rsidRPr="005767FB" w:rsidRDefault="000F36A1">
            <w:pPr>
              <w:pStyle w:val="afa"/>
              <w:rPr>
                <w:u w:val="single"/>
              </w:rPr>
            </w:pPr>
            <w:r w:rsidRPr="005767FB">
              <w:rPr>
                <w:u w:val="single"/>
              </w:rPr>
              <w:t>0.0022</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0.0030</w:t>
            </w:r>
          </w:p>
        </w:tc>
        <w:tc>
          <w:tcPr>
            <w:tcW w:w="662" w:type="pct"/>
            <w:tcBorders>
              <w:right w:val="single" w:sz="4" w:space="0" w:color="auto"/>
            </w:tcBorders>
            <w:vAlign w:val="center"/>
          </w:tcPr>
          <w:p w:rsidR="00EE56C0" w:rsidRPr="005767FB" w:rsidRDefault="000F36A1">
            <w:pPr>
              <w:pStyle w:val="afa"/>
              <w:rPr>
                <w:u w:val="single"/>
              </w:rPr>
            </w:pPr>
            <w:r w:rsidRPr="005767FB">
              <w:rPr>
                <w:u w:val="single"/>
              </w:rPr>
              <w:t>0.0052</w:t>
            </w:r>
          </w:p>
        </w:tc>
        <w:tc>
          <w:tcPr>
            <w:tcW w:w="689"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19050408</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25.81</w:t>
            </w:r>
          </w:p>
        </w:tc>
        <w:tc>
          <w:tcPr>
            <w:tcW w:w="429"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1" w:type="pct"/>
            <w:vAlign w:val="center"/>
          </w:tcPr>
          <w:p w:rsidR="00EE56C0" w:rsidRPr="005767FB" w:rsidRDefault="000F36A1">
            <w:pPr>
              <w:pStyle w:val="afa"/>
              <w:rPr>
                <w:u w:val="single"/>
              </w:rPr>
            </w:pPr>
            <w:r w:rsidRPr="005767FB">
              <w:rPr>
                <w:rFonts w:hint="eastAsia"/>
                <w:u w:val="single"/>
              </w:rPr>
              <w:lastRenderedPageBreak/>
              <w:t>19</w:t>
            </w:r>
          </w:p>
        </w:tc>
        <w:tc>
          <w:tcPr>
            <w:tcW w:w="560" w:type="pct"/>
            <w:tcBorders>
              <w:right w:val="single" w:sz="4" w:space="0" w:color="auto"/>
            </w:tcBorders>
            <w:vAlign w:val="center"/>
          </w:tcPr>
          <w:p w:rsidR="00EE56C0" w:rsidRPr="005767FB" w:rsidRDefault="000F36A1">
            <w:pPr>
              <w:pStyle w:val="afa"/>
              <w:rPr>
                <w:u w:val="single"/>
              </w:rPr>
            </w:pPr>
            <w:r w:rsidRPr="005767FB">
              <w:rPr>
                <w:rFonts w:hAnsi="宋体" w:hint="eastAsia"/>
                <w:u w:val="single"/>
              </w:rPr>
              <w:t>刘庄</w:t>
            </w:r>
          </w:p>
        </w:tc>
        <w:tc>
          <w:tcPr>
            <w:tcW w:w="582"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664" w:type="pct"/>
            <w:tcBorders>
              <w:right w:val="single" w:sz="4" w:space="0" w:color="auto"/>
            </w:tcBorders>
            <w:vAlign w:val="center"/>
          </w:tcPr>
          <w:p w:rsidR="00EE56C0" w:rsidRPr="005767FB" w:rsidRDefault="000F36A1">
            <w:pPr>
              <w:pStyle w:val="afa"/>
              <w:rPr>
                <w:u w:val="single"/>
              </w:rPr>
            </w:pPr>
            <w:r w:rsidRPr="005767FB">
              <w:rPr>
                <w:u w:val="single"/>
              </w:rPr>
              <w:t>0.0023</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0.0030</w:t>
            </w:r>
          </w:p>
        </w:tc>
        <w:tc>
          <w:tcPr>
            <w:tcW w:w="662" w:type="pct"/>
            <w:tcBorders>
              <w:right w:val="single" w:sz="4" w:space="0" w:color="auto"/>
            </w:tcBorders>
            <w:vAlign w:val="center"/>
          </w:tcPr>
          <w:p w:rsidR="00EE56C0" w:rsidRPr="005767FB" w:rsidRDefault="000F36A1">
            <w:pPr>
              <w:pStyle w:val="afa"/>
              <w:rPr>
                <w:u w:val="single"/>
              </w:rPr>
            </w:pPr>
            <w:r w:rsidRPr="005767FB">
              <w:rPr>
                <w:u w:val="single"/>
              </w:rPr>
              <w:t>0.0053</w:t>
            </w:r>
          </w:p>
        </w:tc>
        <w:tc>
          <w:tcPr>
            <w:tcW w:w="689"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19051208</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26.60</w:t>
            </w:r>
          </w:p>
        </w:tc>
        <w:tc>
          <w:tcPr>
            <w:tcW w:w="429"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1" w:type="pct"/>
            <w:vAlign w:val="center"/>
          </w:tcPr>
          <w:p w:rsidR="00EE56C0" w:rsidRPr="005767FB" w:rsidRDefault="000F36A1">
            <w:pPr>
              <w:pStyle w:val="afa"/>
              <w:rPr>
                <w:u w:val="single"/>
              </w:rPr>
            </w:pPr>
            <w:r w:rsidRPr="005767FB">
              <w:rPr>
                <w:rFonts w:hint="eastAsia"/>
                <w:u w:val="single"/>
              </w:rPr>
              <w:t>20</w:t>
            </w:r>
          </w:p>
        </w:tc>
        <w:tc>
          <w:tcPr>
            <w:tcW w:w="560" w:type="pct"/>
            <w:tcBorders>
              <w:right w:val="single" w:sz="4" w:space="0" w:color="auto"/>
            </w:tcBorders>
            <w:vAlign w:val="center"/>
          </w:tcPr>
          <w:p w:rsidR="00EE56C0" w:rsidRPr="005767FB" w:rsidRDefault="000F36A1">
            <w:pPr>
              <w:pStyle w:val="afa"/>
              <w:rPr>
                <w:u w:val="single"/>
              </w:rPr>
            </w:pPr>
            <w:r w:rsidRPr="005767FB">
              <w:rPr>
                <w:rFonts w:hAnsi="宋体" w:hint="eastAsia"/>
                <w:u w:val="single"/>
              </w:rPr>
              <w:t>陈庄村</w:t>
            </w:r>
          </w:p>
        </w:tc>
        <w:tc>
          <w:tcPr>
            <w:tcW w:w="582"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664" w:type="pct"/>
            <w:tcBorders>
              <w:right w:val="single" w:sz="4" w:space="0" w:color="auto"/>
            </w:tcBorders>
            <w:vAlign w:val="center"/>
          </w:tcPr>
          <w:p w:rsidR="00EE56C0" w:rsidRPr="005767FB" w:rsidRDefault="000F36A1">
            <w:pPr>
              <w:pStyle w:val="afa"/>
              <w:rPr>
                <w:u w:val="single"/>
              </w:rPr>
            </w:pPr>
            <w:r w:rsidRPr="005767FB">
              <w:rPr>
                <w:u w:val="single"/>
              </w:rPr>
              <w:t>0.0024</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0.0030</w:t>
            </w:r>
          </w:p>
        </w:tc>
        <w:tc>
          <w:tcPr>
            <w:tcW w:w="662" w:type="pct"/>
            <w:tcBorders>
              <w:right w:val="single" w:sz="4" w:space="0" w:color="auto"/>
            </w:tcBorders>
            <w:vAlign w:val="center"/>
          </w:tcPr>
          <w:p w:rsidR="00EE56C0" w:rsidRPr="005767FB" w:rsidRDefault="000F36A1">
            <w:pPr>
              <w:pStyle w:val="afa"/>
              <w:rPr>
                <w:u w:val="single"/>
              </w:rPr>
            </w:pPr>
            <w:r w:rsidRPr="005767FB">
              <w:rPr>
                <w:u w:val="single"/>
              </w:rPr>
              <w:t>0.0054</w:t>
            </w:r>
          </w:p>
        </w:tc>
        <w:tc>
          <w:tcPr>
            <w:tcW w:w="689"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19051208</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27.14</w:t>
            </w:r>
          </w:p>
        </w:tc>
        <w:tc>
          <w:tcPr>
            <w:tcW w:w="429"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1" w:type="pct"/>
            <w:vAlign w:val="center"/>
          </w:tcPr>
          <w:p w:rsidR="00EE56C0" w:rsidRPr="005767FB" w:rsidRDefault="000F36A1">
            <w:pPr>
              <w:pStyle w:val="afa"/>
              <w:rPr>
                <w:u w:val="single"/>
              </w:rPr>
            </w:pPr>
            <w:r w:rsidRPr="005767FB">
              <w:rPr>
                <w:rFonts w:hint="eastAsia"/>
                <w:u w:val="single"/>
              </w:rPr>
              <w:t>21</w:t>
            </w:r>
          </w:p>
        </w:tc>
        <w:tc>
          <w:tcPr>
            <w:tcW w:w="560"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bCs/>
                <w:u w:val="single"/>
              </w:rPr>
              <w:t>位庄村</w:t>
            </w:r>
          </w:p>
        </w:tc>
        <w:tc>
          <w:tcPr>
            <w:tcW w:w="582"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664" w:type="pct"/>
            <w:tcBorders>
              <w:right w:val="single" w:sz="4" w:space="0" w:color="auto"/>
            </w:tcBorders>
            <w:vAlign w:val="center"/>
          </w:tcPr>
          <w:p w:rsidR="00EE56C0" w:rsidRPr="005767FB" w:rsidRDefault="000F36A1">
            <w:pPr>
              <w:pStyle w:val="afa"/>
              <w:rPr>
                <w:u w:val="single"/>
              </w:rPr>
            </w:pPr>
            <w:r w:rsidRPr="005767FB">
              <w:rPr>
                <w:u w:val="single"/>
              </w:rPr>
              <w:t>0.0009</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0.0030</w:t>
            </w:r>
          </w:p>
        </w:tc>
        <w:tc>
          <w:tcPr>
            <w:tcW w:w="662" w:type="pct"/>
            <w:tcBorders>
              <w:right w:val="single" w:sz="4" w:space="0" w:color="auto"/>
            </w:tcBorders>
            <w:vAlign w:val="center"/>
          </w:tcPr>
          <w:p w:rsidR="00EE56C0" w:rsidRPr="005767FB" w:rsidRDefault="000F36A1">
            <w:pPr>
              <w:pStyle w:val="afa"/>
              <w:rPr>
                <w:u w:val="single"/>
              </w:rPr>
            </w:pPr>
            <w:r w:rsidRPr="005767FB">
              <w:rPr>
                <w:u w:val="single"/>
              </w:rPr>
              <w:t>0.0039</w:t>
            </w:r>
          </w:p>
        </w:tc>
        <w:tc>
          <w:tcPr>
            <w:tcW w:w="689"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19062004</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19.71</w:t>
            </w:r>
          </w:p>
        </w:tc>
        <w:tc>
          <w:tcPr>
            <w:tcW w:w="429"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1" w:type="pct"/>
            <w:vAlign w:val="center"/>
          </w:tcPr>
          <w:p w:rsidR="00EE56C0" w:rsidRPr="005767FB" w:rsidRDefault="000F36A1">
            <w:pPr>
              <w:pStyle w:val="afa"/>
              <w:rPr>
                <w:u w:val="single"/>
              </w:rPr>
            </w:pPr>
            <w:r w:rsidRPr="005767FB">
              <w:rPr>
                <w:rFonts w:hint="eastAsia"/>
                <w:u w:val="single"/>
              </w:rPr>
              <w:t>22</w:t>
            </w:r>
          </w:p>
        </w:tc>
        <w:tc>
          <w:tcPr>
            <w:tcW w:w="560"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南魏庄</w:t>
            </w:r>
          </w:p>
        </w:tc>
        <w:tc>
          <w:tcPr>
            <w:tcW w:w="582"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664" w:type="pct"/>
            <w:tcBorders>
              <w:right w:val="single" w:sz="4" w:space="0" w:color="auto"/>
            </w:tcBorders>
            <w:vAlign w:val="center"/>
          </w:tcPr>
          <w:p w:rsidR="00EE56C0" w:rsidRPr="005767FB" w:rsidRDefault="000F36A1">
            <w:pPr>
              <w:pStyle w:val="afa"/>
              <w:rPr>
                <w:u w:val="single"/>
              </w:rPr>
            </w:pPr>
            <w:r w:rsidRPr="005767FB">
              <w:rPr>
                <w:u w:val="single"/>
              </w:rPr>
              <w:t>0.0012</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0.0030</w:t>
            </w:r>
          </w:p>
        </w:tc>
        <w:tc>
          <w:tcPr>
            <w:tcW w:w="662" w:type="pct"/>
            <w:tcBorders>
              <w:right w:val="single" w:sz="4" w:space="0" w:color="auto"/>
            </w:tcBorders>
            <w:vAlign w:val="center"/>
          </w:tcPr>
          <w:p w:rsidR="00EE56C0" w:rsidRPr="005767FB" w:rsidRDefault="000F36A1">
            <w:pPr>
              <w:pStyle w:val="afa"/>
              <w:rPr>
                <w:u w:val="single"/>
              </w:rPr>
            </w:pPr>
            <w:r w:rsidRPr="005767FB">
              <w:rPr>
                <w:u w:val="single"/>
              </w:rPr>
              <w:t>0.0042</w:t>
            </w:r>
          </w:p>
        </w:tc>
        <w:tc>
          <w:tcPr>
            <w:tcW w:w="689"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19060323</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20.81</w:t>
            </w:r>
          </w:p>
        </w:tc>
        <w:tc>
          <w:tcPr>
            <w:tcW w:w="429"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1" w:type="pct"/>
            <w:vAlign w:val="center"/>
          </w:tcPr>
          <w:p w:rsidR="00EE56C0" w:rsidRPr="005767FB" w:rsidRDefault="000F36A1">
            <w:pPr>
              <w:pStyle w:val="afa"/>
              <w:rPr>
                <w:u w:val="single"/>
              </w:rPr>
            </w:pPr>
            <w:r w:rsidRPr="005767FB">
              <w:rPr>
                <w:rFonts w:hint="eastAsia"/>
                <w:u w:val="single"/>
              </w:rPr>
              <w:t>23</w:t>
            </w:r>
          </w:p>
        </w:tc>
        <w:tc>
          <w:tcPr>
            <w:tcW w:w="560"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曹庄村</w:t>
            </w:r>
          </w:p>
        </w:tc>
        <w:tc>
          <w:tcPr>
            <w:tcW w:w="582"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664" w:type="pct"/>
            <w:tcBorders>
              <w:right w:val="single" w:sz="4" w:space="0" w:color="auto"/>
            </w:tcBorders>
            <w:vAlign w:val="center"/>
          </w:tcPr>
          <w:p w:rsidR="00EE56C0" w:rsidRPr="005767FB" w:rsidRDefault="000F36A1">
            <w:pPr>
              <w:pStyle w:val="afa"/>
              <w:rPr>
                <w:u w:val="single"/>
              </w:rPr>
            </w:pPr>
            <w:r w:rsidRPr="005767FB">
              <w:rPr>
                <w:u w:val="single"/>
              </w:rPr>
              <w:t>0.0010</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0.0030</w:t>
            </w:r>
          </w:p>
        </w:tc>
        <w:tc>
          <w:tcPr>
            <w:tcW w:w="662" w:type="pct"/>
            <w:tcBorders>
              <w:right w:val="single" w:sz="4" w:space="0" w:color="auto"/>
            </w:tcBorders>
            <w:vAlign w:val="center"/>
          </w:tcPr>
          <w:p w:rsidR="00EE56C0" w:rsidRPr="005767FB" w:rsidRDefault="000F36A1">
            <w:pPr>
              <w:pStyle w:val="afa"/>
              <w:rPr>
                <w:u w:val="single"/>
              </w:rPr>
            </w:pPr>
            <w:r w:rsidRPr="005767FB">
              <w:rPr>
                <w:u w:val="single"/>
              </w:rPr>
              <w:t>0.0040</w:t>
            </w:r>
          </w:p>
        </w:tc>
        <w:tc>
          <w:tcPr>
            <w:tcW w:w="689"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19080922</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19.87</w:t>
            </w:r>
          </w:p>
        </w:tc>
        <w:tc>
          <w:tcPr>
            <w:tcW w:w="429"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1" w:type="pct"/>
            <w:vAlign w:val="center"/>
          </w:tcPr>
          <w:p w:rsidR="00EE56C0" w:rsidRPr="005767FB" w:rsidRDefault="000F36A1">
            <w:pPr>
              <w:pStyle w:val="afa"/>
              <w:rPr>
                <w:u w:val="single"/>
              </w:rPr>
            </w:pPr>
            <w:r w:rsidRPr="005767FB">
              <w:rPr>
                <w:rFonts w:hint="eastAsia"/>
                <w:u w:val="single"/>
              </w:rPr>
              <w:t>24</w:t>
            </w:r>
          </w:p>
        </w:tc>
        <w:tc>
          <w:tcPr>
            <w:tcW w:w="560" w:type="pct"/>
            <w:tcBorders>
              <w:right w:val="single" w:sz="4" w:space="0" w:color="auto"/>
            </w:tcBorders>
            <w:vAlign w:val="center"/>
          </w:tcPr>
          <w:p w:rsidR="00EE56C0" w:rsidRPr="005767FB" w:rsidRDefault="000F36A1">
            <w:pPr>
              <w:pStyle w:val="afa"/>
              <w:rPr>
                <w:u w:val="single"/>
              </w:rPr>
            </w:pPr>
            <w:r w:rsidRPr="005767FB">
              <w:rPr>
                <w:rFonts w:hint="eastAsia"/>
                <w:u w:val="single"/>
              </w:rPr>
              <w:t>新</w:t>
            </w:r>
            <w:r w:rsidRPr="005767FB">
              <w:rPr>
                <w:rFonts w:hAnsi="宋体" w:hint="eastAsia"/>
                <w:u w:val="single"/>
              </w:rPr>
              <w:t>庄</w:t>
            </w:r>
            <w:r w:rsidRPr="005767FB">
              <w:rPr>
                <w:rFonts w:hint="eastAsia"/>
                <w:u w:val="single"/>
              </w:rPr>
              <w:t>村</w:t>
            </w:r>
          </w:p>
        </w:tc>
        <w:tc>
          <w:tcPr>
            <w:tcW w:w="582"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664" w:type="pct"/>
            <w:tcBorders>
              <w:right w:val="single" w:sz="4" w:space="0" w:color="auto"/>
            </w:tcBorders>
            <w:vAlign w:val="center"/>
          </w:tcPr>
          <w:p w:rsidR="00EE56C0" w:rsidRPr="005767FB" w:rsidRDefault="000F36A1">
            <w:pPr>
              <w:pStyle w:val="afa"/>
              <w:rPr>
                <w:u w:val="single"/>
              </w:rPr>
            </w:pPr>
            <w:r w:rsidRPr="005767FB">
              <w:rPr>
                <w:u w:val="single"/>
              </w:rPr>
              <w:t>0.0010</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0.0030</w:t>
            </w:r>
          </w:p>
        </w:tc>
        <w:tc>
          <w:tcPr>
            <w:tcW w:w="662" w:type="pct"/>
            <w:tcBorders>
              <w:right w:val="single" w:sz="4" w:space="0" w:color="auto"/>
            </w:tcBorders>
            <w:vAlign w:val="center"/>
          </w:tcPr>
          <w:p w:rsidR="00EE56C0" w:rsidRPr="005767FB" w:rsidRDefault="000F36A1">
            <w:pPr>
              <w:pStyle w:val="afa"/>
              <w:rPr>
                <w:u w:val="single"/>
              </w:rPr>
            </w:pPr>
            <w:r w:rsidRPr="005767FB">
              <w:rPr>
                <w:u w:val="single"/>
              </w:rPr>
              <w:t>0.0040</w:t>
            </w:r>
          </w:p>
        </w:tc>
        <w:tc>
          <w:tcPr>
            <w:tcW w:w="689"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19080922</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20.11</w:t>
            </w:r>
          </w:p>
        </w:tc>
        <w:tc>
          <w:tcPr>
            <w:tcW w:w="429"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1" w:type="pct"/>
            <w:vAlign w:val="center"/>
          </w:tcPr>
          <w:p w:rsidR="00EE56C0" w:rsidRPr="005767FB" w:rsidRDefault="000F36A1">
            <w:pPr>
              <w:pStyle w:val="afa"/>
              <w:rPr>
                <w:u w:val="single"/>
              </w:rPr>
            </w:pPr>
            <w:r w:rsidRPr="005767FB">
              <w:rPr>
                <w:rFonts w:hint="eastAsia"/>
                <w:u w:val="single"/>
              </w:rPr>
              <w:t>25</w:t>
            </w:r>
          </w:p>
        </w:tc>
        <w:tc>
          <w:tcPr>
            <w:tcW w:w="560" w:type="pct"/>
            <w:tcBorders>
              <w:right w:val="single" w:sz="4" w:space="0" w:color="auto"/>
            </w:tcBorders>
            <w:vAlign w:val="center"/>
          </w:tcPr>
          <w:p w:rsidR="00EE56C0" w:rsidRPr="005767FB" w:rsidRDefault="000F36A1">
            <w:pPr>
              <w:pStyle w:val="afa"/>
              <w:rPr>
                <w:u w:val="single"/>
              </w:rPr>
            </w:pPr>
            <w:r w:rsidRPr="005767FB">
              <w:rPr>
                <w:rFonts w:hint="eastAsia"/>
                <w:u w:val="single"/>
              </w:rPr>
              <w:t>刘纪岗</w:t>
            </w:r>
            <w:r w:rsidRPr="005767FB">
              <w:rPr>
                <w:rFonts w:hAnsi="宋体" w:hint="eastAsia"/>
                <w:u w:val="single"/>
              </w:rPr>
              <w:t>庄</w:t>
            </w:r>
            <w:r w:rsidRPr="005767FB">
              <w:rPr>
                <w:rFonts w:hint="eastAsia"/>
                <w:u w:val="single"/>
              </w:rPr>
              <w:t>村</w:t>
            </w:r>
          </w:p>
        </w:tc>
        <w:tc>
          <w:tcPr>
            <w:tcW w:w="582"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664" w:type="pct"/>
            <w:tcBorders>
              <w:right w:val="single" w:sz="4" w:space="0" w:color="auto"/>
            </w:tcBorders>
            <w:vAlign w:val="center"/>
          </w:tcPr>
          <w:p w:rsidR="00EE56C0" w:rsidRPr="005767FB" w:rsidRDefault="000F36A1">
            <w:pPr>
              <w:pStyle w:val="afa"/>
              <w:rPr>
                <w:u w:val="single"/>
              </w:rPr>
            </w:pPr>
            <w:r w:rsidRPr="005767FB">
              <w:rPr>
                <w:u w:val="single"/>
              </w:rPr>
              <w:t>0.0009</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0.0030</w:t>
            </w:r>
          </w:p>
        </w:tc>
        <w:tc>
          <w:tcPr>
            <w:tcW w:w="662" w:type="pct"/>
            <w:tcBorders>
              <w:right w:val="single" w:sz="4" w:space="0" w:color="auto"/>
            </w:tcBorders>
            <w:vAlign w:val="center"/>
          </w:tcPr>
          <w:p w:rsidR="00EE56C0" w:rsidRPr="005767FB" w:rsidRDefault="000F36A1">
            <w:pPr>
              <w:pStyle w:val="afa"/>
              <w:rPr>
                <w:u w:val="single"/>
              </w:rPr>
            </w:pPr>
            <w:r w:rsidRPr="005767FB">
              <w:rPr>
                <w:u w:val="single"/>
              </w:rPr>
              <w:t>0.0039</w:t>
            </w:r>
          </w:p>
        </w:tc>
        <w:tc>
          <w:tcPr>
            <w:tcW w:w="689"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19073005</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19.59</w:t>
            </w:r>
          </w:p>
        </w:tc>
        <w:tc>
          <w:tcPr>
            <w:tcW w:w="429"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1" w:type="pct"/>
            <w:vAlign w:val="center"/>
          </w:tcPr>
          <w:p w:rsidR="00EE56C0" w:rsidRPr="005767FB" w:rsidRDefault="000F36A1">
            <w:pPr>
              <w:pStyle w:val="afa"/>
              <w:rPr>
                <w:u w:val="single"/>
              </w:rPr>
            </w:pPr>
            <w:r w:rsidRPr="005767FB">
              <w:rPr>
                <w:rFonts w:hint="eastAsia"/>
                <w:u w:val="single"/>
              </w:rPr>
              <w:t>26</w:t>
            </w:r>
          </w:p>
        </w:tc>
        <w:tc>
          <w:tcPr>
            <w:tcW w:w="560" w:type="pct"/>
            <w:tcBorders>
              <w:right w:val="single" w:sz="4" w:space="0" w:color="auto"/>
            </w:tcBorders>
            <w:vAlign w:val="center"/>
          </w:tcPr>
          <w:p w:rsidR="00EE56C0" w:rsidRPr="005767FB" w:rsidRDefault="000F36A1">
            <w:pPr>
              <w:pStyle w:val="afa"/>
              <w:rPr>
                <w:u w:val="single"/>
              </w:rPr>
            </w:pPr>
            <w:r w:rsidRPr="005767FB">
              <w:rPr>
                <w:rFonts w:hint="eastAsia"/>
                <w:u w:val="single"/>
              </w:rPr>
              <w:t>小张庄村</w:t>
            </w:r>
          </w:p>
        </w:tc>
        <w:tc>
          <w:tcPr>
            <w:tcW w:w="582"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664" w:type="pct"/>
            <w:tcBorders>
              <w:right w:val="single" w:sz="4" w:space="0" w:color="auto"/>
            </w:tcBorders>
            <w:vAlign w:val="center"/>
          </w:tcPr>
          <w:p w:rsidR="00EE56C0" w:rsidRPr="005767FB" w:rsidRDefault="000F36A1">
            <w:pPr>
              <w:pStyle w:val="afa"/>
              <w:rPr>
                <w:u w:val="single"/>
              </w:rPr>
            </w:pPr>
            <w:r w:rsidRPr="005767FB">
              <w:rPr>
                <w:u w:val="single"/>
              </w:rPr>
              <w:t>0.0010</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0.0030</w:t>
            </w:r>
          </w:p>
        </w:tc>
        <w:tc>
          <w:tcPr>
            <w:tcW w:w="662" w:type="pct"/>
            <w:tcBorders>
              <w:right w:val="single" w:sz="4" w:space="0" w:color="auto"/>
            </w:tcBorders>
            <w:vAlign w:val="center"/>
          </w:tcPr>
          <w:p w:rsidR="00EE56C0" w:rsidRPr="005767FB" w:rsidRDefault="000F36A1">
            <w:pPr>
              <w:pStyle w:val="afa"/>
              <w:rPr>
                <w:u w:val="single"/>
              </w:rPr>
            </w:pPr>
            <w:r w:rsidRPr="005767FB">
              <w:rPr>
                <w:u w:val="single"/>
              </w:rPr>
              <w:t>0.0040</w:t>
            </w:r>
          </w:p>
        </w:tc>
        <w:tc>
          <w:tcPr>
            <w:tcW w:w="689"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19071802</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19.97</w:t>
            </w:r>
          </w:p>
        </w:tc>
        <w:tc>
          <w:tcPr>
            <w:tcW w:w="429"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1" w:type="pct"/>
            <w:vAlign w:val="center"/>
          </w:tcPr>
          <w:p w:rsidR="00EE56C0" w:rsidRPr="005767FB" w:rsidRDefault="000F36A1">
            <w:pPr>
              <w:pStyle w:val="afa"/>
              <w:rPr>
                <w:u w:val="single"/>
              </w:rPr>
            </w:pPr>
            <w:r w:rsidRPr="005767FB">
              <w:rPr>
                <w:rFonts w:hint="eastAsia"/>
                <w:u w:val="single"/>
              </w:rPr>
              <w:t>27</w:t>
            </w:r>
          </w:p>
        </w:tc>
        <w:tc>
          <w:tcPr>
            <w:tcW w:w="560" w:type="pct"/>
            <w:tcBorders>
              <w:right w:val="single" w:sz="4" w:space="0" w:color="auto"/>
            </w:tcBorders>
            <w:vAlign w:val="center"/>
          </w:tcPr>
          <w:p w:rsidR="00EE56C0" w:rsidRPr="005767FB" w:rsidRDefault="000F36A1">
            <w:pPr>
              <w:pStyle w:val="afa"/>
              <w:rPr>
                <w:u w:val="single"/>
              </w:rPr>
            </w:pPr>
            <w:r w:rsidRPr="005767FB">
              <w:rPr>
                <w:rFonts w:hint="eastAsia"/>
                <w:u w:val="single"/>
              </w:rPr>
              <w:t>苗庄村</w:t>
            </w:r>
          </w:p>
        </w:tc>
        <w:tc>
          <w:tcPr>
            <w:tcW w:w="582"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664" w:type="pct"/>
            <w:tcBorders>
              <w:right w:val="single" w:sz="4" w:space="0" w:color="auto"/>
            </w:tcBorders>
            <w:vAlign w:val="center"/>
          </w:tcPr>
          <w:p w:rsidR="00EE56C0" w:rsidRPr="005767FB" w:rsidRDefault="000F36A1">
            <w:pPr>
              <w:pStyle w:val="afa"/>
              <w:rPr>
                <w:u w:val="single"/>
              </w:rPr>
            </w:pPr>
            <w:r w:rsidRPr="005767FB">
              <w:rPr>
                <w:u w:val="single"/>
              </w:rPr>
              <w:t>0.0008</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0.0030</w:t>
            </w:r>
          </w:p>
        </w:tc>
        <w:tc>
          <w:tcPr>
            <w:tcW w:w="662" w:type="pct"/>
            <w:tcBorders>
              <w:right w:val="single" w:sz="4" w:space="0" w:color="auto"/>
            </w:tcBorders>
            <w:vAlign w:val="center"/>
          </w:tcPr>
          <w:p w:rsidR="00EE56C0" w:rsidRPr="005767FB" w:rsidRDefault="000F36A1">
            <w:pPr>
              <w:pStyle w:val="afa"/>
              <w:rPr>
                <w:u w:val="single"/>
              </w:rPr>
            </w:pPr>
            <w:r w:rsidRPr="005767FB">
              <w:rPr>
                <w:u w:val="single"/>
              </w:rPr>
              <w:t>0.0038</w:t>
            </w:r>
          </w:p>
        </w:tc>
        <w:tc>
          <w:tcPr>
            <w:tcW w:w="689"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19071802</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18.98</w:t>
            </w:r>
          </w:p>
        </w:tc>
        <w:tc>
          <w:tcPr>
            <w:tcW w:w="429"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1" w:type="pct"/>
            <w:vAlign w:val="center"/>
          </w:tcPr>
          <w:p w:rsidR="00EE56C0" w:rsidRPr="005767FB" w:rsidRDefault="000F36A1">
            <w:pPr>
              <w:pStyle w:val="afa"/>
              <w:rPr>
                <w:u w:val="single"/>
              </w:rPr>
            </w:pPr>
            <w:r w:rsidRPr="005767FB">
              <w:rPr>
                <w:rFonts w:hint="eastAsia"/>
                <w:u w:val="single"/>
              </w:rPr>
              <w:t>28</w:t>
            </w:r>
          </w:p>
        </w:tc>
        <w:tc>
          <w:tcPr>
            <w:tcW w:w="560" w:type="pct"/>
            <w:tcBorders>
              <w:right w:val="single" w:sz="4" w:space="0" w:color="auto"/>
            </w:tcBorders>
            <w:vAlign w:val="center"/>
          </w:tcPr>
          <w:p w:rsidR="00EE56C0" w:rsidRPr="005767FB" w:rsidRDefault="000F36A1">
            <w:pPr>
              <w:pStyle w:val="afa"/>
              <w:rPr>
                <w:u w:val="single"/>
              </w:rPr>
            </w:pPr>
            <w:r w:rsidRPr="005767FB">
              <w:rPr>
                <w:rFonts w:hint="eastAsia"/>
                <w:u w:val="single"/>
              </w:rPr>
              <w:t>沟王村</w:t>
            </w:r>
          </w:p>
        </w:tc>
        <w:tc>
          <w:tcPr>
            <w:tcW w:w="582"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664" w:type="pct"/>
            <w:tcBorders>
              <w:right w:val="single" w:sz="4" w:space="0" w:color="auto"/>
            </w:tcBorders>
            <w:vAlign w:val="center"/>
          </w:tcPr>
          <w:p w:rsidR="00EE56C0" w:rsidRPr="005767FB" w:rsidRDefault="000F36A1">
            <w:pPr>
              <w:pStyle w:val="afa"/>
              <w:rPr>
                <w:u w:val="single"/>
              </w:rPr>
            </w:pPr>
            <w:r w:rsidRPr="005767FB">
              <w:rPr>
                <w:u w:val="single"/>
              </w:rPr>
              <w:t>0.0016</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0.0030</w:t>
            </w:r>
          </w:p>
        </w:tc>
        <w:tc>
          <w:tcPr>
            <w:tcW w:w="662" w:type="pct"/>
            <w:tcBorders>
              <w:right w:val="single" w:sz="4" w:space="0" w:color="auto"/>
            </w:tcBorders>
            <w:vAlign w:val="center"/>
          </w:tcPr>
          <w:p w:rsidR="00EE56C0" w:rsidRPr="005767FB" w:rsidRDefault="000F36A1">
            <w:pPr>
              <w:pStyle w:val="afa"/>
              <w:rPr>
                <w:u w:val="single"/>
              </w:rPr>
            </w:pPr>
            <w:r w:rsidRPr="005767FB">
              <w:rPr>
                <w:u w:val="single"/>
              </w:rPr>
              <w:t>0.0046</w:t>
            </w:r>
          </w:p>
        </w:tc>
        <w:tc>
          <w:tcPr>
            <w:tcW w:w="689"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19051208</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23.01</w:t>
            </w:r>
          </w:p>
        </w:tc>
        <w:tc>
          <w:tcPr>
            <w:tcW w:w="429"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1" w:type="pct"/>
            <w:vAlign w:val="center"/>
          </w:tcPr>
          <w:p w:rsidR="00EE56C0" w:rsidRPr="005767FB" w:rsidRDefault="000F36A1">
            <w:pPr>
              <w:pStyle w:val="afa"/>
              <w:rPr>
                <w:u w:val="single"/>
              </w:rPr>
            </w:pPr>
            <w:r w:rsidRPr="005767FB">
              <w:rPr>
                <w:rFonts w:hint="eastAsia"/>
                <w:u w:val="single"/>
              </w:rPr>
              <w:t>29</w:t>
            </w:r>
          </w:p>
        </w:tc>
        <w:tc>
          <w:tcPr>
            <w:tcW w:w="560" w:type="pct"/>
            <w:tcBorders>
              <w:right w:val="single" w:sz="4" w:space="0" w:color="auto"/>
            </w:tcBorders>
            <w:vAlign w:val="center"/>
          </w:tcPr>
          <w:p w:rsidR="00EE56C0" w:rsidRPr="005767FB" w:rsidRDefault="000F36A1">
            <w:pPr>
              <w:pStyle w:val="afa"/>
              <w:rPr>
                <w:u w:val="single"/>
              </w:rPr>
            </w:pPr>
            <w:r w:rsidRPr="005767FB">
              <w:rPr>
                <w:rFonts w:hint="eastAsia"/>
                <w:u w:val="single"/>
              </w:rPr>
              <w:t>八柳树村</w:t>
            </w:r>
          </w:p>
        </w:tc>
        <w:tc>
          <w:tcPr>
            <w:tcW w:w="582"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664" w:type="pct"/>
            <w:tcBorders>
              <w:right w:val="single" w:sz="4" w:space="0" w:color="auto"/>
            </w:tcBorders>
            <w:vAlign w:val="center"/>
          </w:tcPr>
          <w:p w:rsidR="00EE56C0" w:rsidRPr="005767FB" w:rsidRDefault="000F36A1">
            <w:pPr>
              <w:pStyle w:val="afa"/>
              <w:rPr>
                <w:u w:val="single"/>
              </w:rPr>
            </w:pPr>
            <w:r w:rsidRPr="005767FB">
              <w:rPr>
                <w:u w:val="single"/>
              </w:rPr>
              <w:t>0.0010</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0.0030</w:t>
            </w:r>
          </w:p>
        </w:tc>
        <w:tc>
          <w:tcPr>
            <w:tcW w:w="662" w:type="pct"/>
            <w:tcBorders>
              <w:right w:val="single" w:sz="4" w:space="0" w:color="auto"/>
            </w:tcBorders>
            <w:vAlign w:val="center"/>
          </w:tcPr>
          <w:p w:rsidR="00EE56C0" w:rsidRPr="005767FB" w:rsidRDefault="000F36A1">
            <w:pPr>
              <w:pStyle w:val="afa"/>
              <w:rPr>
                <w:u w:val="single"/>
              </w:rPr>
            </w:pPr>
            <w:r w:rsidRPr="005767FB">
              <w:rPr>
                <w:u w:val="single"/>
              </w:rPr>
              <w:t>0.0040</w:t>
            </w:r>
          </w:p>
        </w:tc>
        <w:tc>
          <w:tcPr>
            <w:tcW w:w="689"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19060401</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20.05</w:t>
            </w:r>
          </w:p>
        </w:tc>
        <w:tc>
          <w:tcPr>
            <w:tcW w:w="429"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1" w:type="pct"/>
            <w:vAlign w:val="center"/>
          </w:tcPr>
          <w:p w:rsidR="00EE56C0" w:rsidRPr="005767FB" w:rsidRDefault="000F36A1">
            <w:pPr>
              <w:pStyle w:val="afa"/>
              <w:rPr>
                <w:u w:val="single"/>
              </w:rPr>
            </w:pPr>
            <w:r w:rsidRPr="005767FB">
              <w:rPr>
                <w:rFonts w:hint="eastAsia"/>
                <w:u w:val="single"/>
              </w:rPr>
              <w:t>30</w:t>
            </w:r>
          </w:p>
        </w:tc>
        <w:tc>
          <w:tcPr>
            <w:tcW w:w="560" w:type="pct"/>
            <w:tcBorders>
              <w:right w:val="single" w:sz="4" w:space="0" w:color="auto"/>
            </w:tcBorders>
            <w:vAlign w:val="center"/>
          </w:tcPr>
          <w:p w:rsidR="00EE56C0" w:rsidRPr="005767FB" w:rsidRDefault="000F36A1">
            <w:pPr>
              <w:pStyle w:val="afa"/>
              <w:rPr>
                <w:u w:val="single"/>
              </w:rPr>
            </w:pPr>
            <w:r w:rsidRPr="005767FB">
              <w:rPr>
                <w:rFonts w:hint="eastAsia"/>
                <w:u w:val="single"/>
              </w:rPr>
              <w:t>宋庄村</w:t>
            </w:r>
          </w:p>
        </w:tc>
        <w:tc>
          <w:tcPr>
            <w:tcW w:w="582"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664" w:type="pct"/>
            <w:tcBorders>
              <w:right w:val="single" w:sz="4" w:space="0" w:color="auto"/>
            </w:tcBorders>
            <w:vAlign w:val="center"/>
          </w:tcPr>
          <w:p w:rsidR="00EE56C0" w:rsidRPr="005767FB" w:rsidRDefault="000F36A1">
            <w:pPr>
              <w:pStyle w:val="afa"/>
              <w:rPr>
                <w:u w:val="single"/>
              </w:rPr>
            </w:pPr>
            <w:r w:rsidRPr="005767FB">
              <w:rPr>
                <w:u w:val="single"/>
              </w:rPr>
              <w:t>0.0011</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0.0030</w:t>
            </w:r>
          </w:p>
        </w:tc>
        <w:tc>
          <w:tcPr>
            <w:tcW w:w="662" w:type="pct"/>
            <w:tcBorders>
              <w:right w:val="single" w:sz="4" w:space="0" w:color="auto"/>
            </w:tcBorders>
            <w:vAlign w:val="center"/>
          </w:tcPr>
          <w:p w:rsidR="00EE56C0" w:rsidRPr="005767FB" w:rsidRDefault="000F36A1">
            <w:pPr>
              <w:pStyle w:val="afa"/>
              <w:rPr>
                <w:u w:val="single"/>
              </w:rPr>
            </w:pPr>
            <w:r w:rsidRPr="005767FB">
              <w:rPr>
                <w:u w:val="single"/>
              </w:rPr>
              <w:t>0.0041</w:t>
            </w:r>
          </w:p>
        </w:tc>
        <w:tc>
          <w:tcPr>
            <w:tcW w:w="689"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19061204</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20.63</w:t>
            </w:r>
          </w:p>
        </w:tc>
        <w:tc>
          <w:tcPr>
            <w:tcW w:w="429"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1" w:type="pct"/>
            <w:vAlign w:val="center"/>
          </w:tcPr>
          <w:p w:rsidR="00EE56C0" w:rsidRPr="005767FB" w:rsidRDefault="000F36A1">
            <w:pPr>
              <w:pStyle w:val="afa"/>
              <w:rPr>
                <w:u w:val="single"/>
              </w:rPr>
            </w:pPr>
            <w:r w:rsidRPr="005767FB">
              <w:rPr>
                <w:rFonts w:hint="eastAsia"/>
                <w:u w:val="single"/>
              </w:rPr>
              <w:t>31</w:t>
            </w:r>
          </w:p>
        </w:tc>
        <w:tc>
          <w:tcPr>
            <w:tcW w:w="560" w:type="pct"/>
            <w:tcBorders>
              <w:right w:val="single" w:sz="4" w:space="0" w:color="auto"/>
            </w:tcBorders>
            <w:vAlign w:val="center"/>
          </w:tcPr>
          <w:p w:rsidR="00EE56C0" w:rsidRPr="005767FB" w:rsidRDefault="000F36A1">
            <w:pPr>
              <w:pStyle w:val="afa"/>
              <w:rPr>
                <w:u w:val="single"/>
              </w:rPr>
            </w:pPr>
            <w:r w:rsidRPr="005767FB">
              <w:rPr>
                <w:rFonts w:hint="eastAsia"/>
                <w:u w:val="single"/>
              </w:rPr>
              <w:t>东王庄村</w:t>
            </w:r>
          </w:p>
        </w:tc>
        <w:tc>
          <w:tcPr>
            <w:tcW w:w="582"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664" w:type="pct"/>
            <w:tcBorders>
              <w:right w:val="single" w:sz="4" w:space="0" w:color="auto"/>
            </w:tcBorders>
            <w:vAlign w:val="center"/>
          </w:tcPr>
          <w:p w:rsidR="00EE56C0" w:rsidRPr="005767FB" w:rsidRDefault="000F36A1">
            <w:pPr>
              <w:pStyle w:val="afa"/>
              <w:rPr>
                <w:u w:val="single"/>
              </w:rPr>
            </w:pPr>
            <w:r w:rsidRPr="005767FB">
              <w:rPr>
                <w:u w:val="single"/>
              </w:rPr>
              <w:t>0.0008</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0.0030</w:t>
            </w:r>
          </w:p>
        </w:tc>
        <w:tc>
          <w:tcPr>
            <w:tcW w:w="662" w:type="pct"/>
            <w:tcBorders>
              <w:right w:val="single" w:sz="4" w:space="0" w:color="auto"/>
            </w:tcBorders>
            <w:vAlign w:val="center"/>
          </w:tcPr>
          <w:p w:rsidR="00EE56C0" w:rsidRPr="005767FB" w:rsidRDefault="000F36A1">
            <w:pPr>
              <w:pStyle w:val="afa"/>
              <w:rPr>
                <w:u w:val="single"/>
              </w:rPr>
            </w:pPr>
            <w:r w:rsidRPr="005767FB">
              <w:rPr>
                <w:u w:val="single"/>
              </w:rPr>
              <w:t>0.0038</w:t>
            </w:r>
          </w:p>
        </w:tc>
        <w:tc>
          <w:tcPr>
            <w:tcW w:w="689"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19062823</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19.21</w:t>
            </w:r>
          </w:p>
        </w:tc>
        <w:tc>
          <w:tcPr>
            <w:tcW w:w="429"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1" w:type="pct"/>
            <w:vAlign w:val="center"/>
          </w:tcPr>
          <w:p w:rsidR="00EE56C0" w:rsidRPr="005767FB" w:rsidRDefault="000F36A1">
            <w:pPr>
              <w:pStyle w:val="afa"/>
              <w:rPr>
                <w:u w:val="single"/>
              </w:rPr>
            </w:pPr>
            <w:r w:rsidRPr="005767FB">
              <w:rPr>
                <w:rFonts w:hint="eastAsia"/>
                <w:u w:val="single"/>
              </w:rPr>
              <w:t>32</w:t>
            </w:r>
          </w:p>
        </w:tc>
        <w:tc>
          <w:tcPr>
            <w:tcW w:w="560" w:type="pct"/>
            <w:tcBorders>
              <w:right w:val="single" w:sz="4" w:space="0" w:color="auto"/>
            </w:tcBorders>
            <w:vAlign w:val="center"/>
          </w:tcPr>
          <w:p w:rsidR="00EE56C0" w:rsidRPr="005767FB" w:rsidRDefault="000F36A1">
            <w:pPr>
              <w:pStyle w:val="afa"/>
              <w:rPr>
                <w:u w:val="single"/>
              </w:rPr>
            </w:pPr>
            <w:r w:rsidRPr="005767FB">
              <w:rPr>
                <w:rFonts w:hint="eastAsia"/>
                <w:u w:val="single"/>
              </w:rPr>
              <w:t>大兴村</w:t>
            </w:r>
          </w:p>
        </w:tc>
        <w:tc>
          <w:tcPr>
            <w:tcW w:w="582"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664" w:type="pct"/>
            <w:tcBorders>
              <w:right w:val="single" w:sz="4" w:space="0" w:color="auto"/>
            </w:tcBorders>
            <w:vAlign w:val="center"/>
          </w:tcPr>
          <w:p w:rsidR="00EE56C0" w:rsidRPr="005767FB" w:rsidRDefault="000F36A1">
            <w:pPr>
              <w:pStyle w:val="afa"/>
              <w:rPr>
                <w:u w:val="single"/>
              </w:rPr>
            </w:pPr>
            <w:r w:rsidRPr="005767FB">
              <w:rPr>
                <w:u w:val="single"/>
              </w:rPr>
              <w:t>0.0010</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0.0030</w:t>
            </w:r>
          </w:p>
        </w:tc>
        <w:tc>
          <w:tcPr>
            <w:tcW w:w="662" w:type="pct"/>
            <w:tcBorders>
              <w:right w:val="single" w:sz="4" w:space="0" w:color="auto"/>
            </w:tcBorders>
            <w:vAlign w:val="center"/>
          </w:tcPr>
          <w:p w:rsidR="00EE56C0" w:rsidRPr="005767FB" w:rsidRDefault="000F36A1">
            <w:pPr>
              <w:pStyle w:val="afa"/>
              <w:rPr>
                <w:u w:val="single"/>
              </w:rPr>
            </w:pPr>
            <w:r w:rsidRPr="005767FB">
              <w:rPr>
                <w:u w:val="single"/>
              </w:rPr>
              <w:t>0.0040</w:t>
            </w:r>
          </w:p>
        </w:tc>
        <w:tc>
          <w:tcPr>
            <w:tcW w:w="689"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19041208</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20.13</w:t>
            </w:r>
          </w:p>
        </w:tc>
        <w:tc>
          <w:tcPr>
            <w:tcW w:w="429"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1" w:type="pct"/>
            <w:vAlign w:val="center"/>
          </w:tcPr>
          <w:p w:rsidR="00EE56C0" w:rsidRPr="005767FB" w:rsidRDefault="000F36A1">
            <w:pPr>
              <w:pStyle w:val="afa"/>
              <w:rPr>
                <w:u w:val="single"/>
              </w:rPr>
            </w:pPr>
            <w:r w:rsidRPr="005767FB">
              <w:rPr>
                <w:rFonts w:hint="eastAsia"/>
                <w:u w:val="single"/>
              </w:rPr>
              <w:t>33</w:t>
            </w:r>
          </w:p>
        </w:tc>
        <w:tc>
          <w:tcPr>
            <w:tcW w:w="560" w:type="pct"/>
            <w:tcBorders>
              <w:right w:val="single" w:sz="4" w:space="0" w:color="auto"/>
            </w:tcBorders>
            <w:vAlign w:val="center"/>
          </w:tcPr>
          <w:p w:rsidR="00EE56C0" w:rsidRPr="005767FB" w:rsidRDefault="000F36A1">
            <w:pPr>
              <w:pStyle w:val="afa"/>
              <w:rPr>
                <w:u w:val="single"/>
              </w:rPr>
            </w:pPr>
            <w:r w:rsidRPr="005767FB">
              <w:rPr>
                <w:rFonts w:hint="eastAsia"/>
                <w:u w:val="single"/>
              </w:rPr>
              <w:t>东贾城村</w:t>
            </w:r>
          </w:p>
        </w:tc>
        <w:tc>
          <w:tcPr>
            <w:tcW w:w="582"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664" w:type="pct"/>
            <w:tcBorders>
              <w:right w:val="single" w:sz="4" w:space="0" w:color="auto"/>
            </w:tcBorders>
            <w:vAlign w:val="center"/>
          </w:tcPr>
          <w:p w:rsidR="00EE56C0" w:rsidRPr="005767FB" w:rsidRDefault="000F36A1">
            <w:pPr>
              <w:pStyle w:val="afa"/>
              <w:rPr>
                <w:u w:val="single"/>
              </w:rPr>
            </w:pPr>
            <w:r w:rsidRPr="005767FB">
              <w:rPr>
                <w:u w:val="single"/>
              </w:rPr>
              <w:t>0.0016</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0.0030</w:t>
            </w:r>
          </w:p>
        </w:tc>
        <w:tc>
          <w:tcPr>
            <w:tcW w:w="662" w:type="pct"/>
            <w:tcBorders>
              <w:right w:val="single" w:sz="4" w:space="0" w:color="auto"/>
            </w:tcBorders>
            <w:vAlign w:val="center"/>
          </w:tcPr>
          <w:p w:rsidR="00EE56C0" w:rsidRPr="005767FB" w:rsidRDefault="000F36A1">
            <w:pPr>
              <w:pStyle w:val="afa"/>
              <w:rPr>
                <w:u w:val="single"/>
              </w:rPr>
            </w:pPr>
            <w:r w:rsidRPr="005767FB">
              <w:rPr>
                <w:u w:val="single"/>
              </w:rPr>
              <w:t>0.0046</w:t>
            </w:r>
          </w:p>
        </w:tc>
        <w:tc>
          <w:tcPr>
            <w:tcW w:w="689"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19031908</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23.08</w:t>
            </w:r>
          </w:p>
        </w:tc>
        <w:tc>
          <w:tcPr>
            <w:tcW w:w="429"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1" w:type="pct"/>
            <w:vAlign w:val="center"/>
          </w:tcPr>
          <w:p w:rsidR="00EE56C0" w:rsidRPr="005767FB" w:rsidRDefault="000F36A1">
            <w:pPr>
              <w:pStyle w:val="afa"/>
              <w:rPr>
                <w:u w:val="single"/>
              </w:rPr>
            </w:pPr>
            <w:r w:rsidRPr="005767FB">
              <w:rPr>
                <w:rFonts w:hint="eastAsia"/>
                <w:u w:val="single"/>
              </w:rPr>
              <w:t>34</w:t>
            </w:r>
          </w:p>
        </w:tc>
        <w:tc>
          <w:tcPr>
            <w:tcW w:w="560" w:type="pct"/>
            <w:tcBorders>
              <w:right w:val="single" w:sz="4" w:space="0" w:color="auto"/>
            </w:tcBorders>
            <w:vAlign w:val="center"/>
          </w:tcPr>
          <w:p w:rsidR="00EE56C0" w:rsidRPr="005767FB" w:rsidRDefault="000F36A1">
            <w:pPr>
              <w:pStyle w:val="afa"/>
              <w:rPr>
                <w:u w:val="single"/>
              </w:rPr>
            </w:pPr>
            <w:r w:rsidRPr="005767FB">
              <w:rPr>
                <w:rFonts w:hint="eastAsia"/>
                <w:u w:val="single"/>
              </w:rPr>
              <w:t>高村</w:t>
            </w:r>
          </w:p>
        </w:tc>
        <w:tc>
          <w:tcPr>
            <w:tcW w:w="582"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664" w:type="pct"/>
            <w:tcBorders>
              <w:right w:val="single" w:sz="4" w:space="0" w:color="auto"/>
            </w:tcBorders>
            <w:vAlign w:val="center"/>
          </w:tcPr>
          <w:p w:rsidR="00EE56C0" w:rsidRPr="005767FB" w:rsidRDefault="000F36A1">
            <w:pPr>
              <w:pStyle w:val="afa"/>
              <w:rPr>
                <w:u w:val="single"/>
              </w:rPr>
            </w:pPr>
            <w:r w:rsidRPr="005767FB">
              <w:rPr>
                <w:u w:val="single"/>
              </w:rPr>
              <w:t>0.0010</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0.0030</w:t>
            </w:r>
          </w:p>
        </w:tc>
        <w:tc>
          <w:tcPr>
            <w:tcW w:w="662" w:type="pct"/>
            <w:tcBorders>
              <w:right w:val="single" w:sz="4" w:space="0" w:color="auto"/>
            </w:tcBorders>
            <w:vAlign w:val="center"/>
          </w:tcPr>
          <w:p w:rsidR="00EE56C0" w:rsidRPr="005767FB" w:rsidRDefault="000F36A1">
            <w:pPr>
              <w:pStyle w:val="afa"/>
              <w:rPr>
                <w:u w:val="single"/>
              </w:rPr>
            </w:pPr>
            <w:r w:rsidRPr="005767FB">
              <w:rPr>
                <w:u w:val="single"/>
              </w:rPr>
              <w:t>0.0040</w:t>
            </w:r>
          </w:p>
        </w:tc>
        <w:tc>
          <w:tcPr>
            <w:tcW w:w="689"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19061906</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20.19</w:t>
            </w:r>
          </w:p>
        </w:tc>
        <w:tc>
          <w:tcPr>
            <w:tcW w:w="429"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1" w:type="pct"/>
            <w:vAlign w:val="center"/>
          </w:tcPr>
          <w:p w:rsidR="00EE56C0" w:rsidRPr="005767FB" w:rsidRDefault="000F36A1">
            <w:pPr>
              <w:pStyle w:val="afa"/>
              <w:rPr>
                <w:u w:val="single"/>
              </w:rPr>
            </w:pPr>
            <w:r w:rsidRPr="005767FB">
              <w:rPr>
                <w:rFonts w:hint="eastAsia"/>
                <w:u w:val="single"/>
              </w:rPr>
              <w:t>35</w:t>
            </w:r>
          </w:p>
        </w:tc>
        <w:tc>
          <w:tcPr>
            <w:tcW w:w="560" w:type="pct"/>
            <w:tcBorders>
              <w:right w:val="single" w:sz="4" w:space="0" w:color="auto"/>
            </w:tcBorders>
            <w:vAlign w:val="center"/>
          </w:tcPr>
          <w:p w:rsidR="00EE56C0" w:rsidRPr="005767FB" w:rsidRDefault="000F36A1">
            <w:pPr>
              <w:pStyle w:val="afa"/>
              <w:rPr>
                <w:u w:val="single"/>
              </w:rPr>
            </w:pPr>
            <w:r w:rsidRPr="005767FB">
              <w:rPr>
                <w:rFonts w:hint="eastAsia"/>
                <w:u w:val="single"/>
              </w:rPr>
              <w:t>侯庄村</w:t>
            </w:r>
          </w:p>
        </w:tc>
        <w:tc>
          <w:tcPr>
            <w:tcW w:w="582"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664" w:type="pct"/>
            <w:tcBorders>
              <w:right w:val="single" w:sz="4" w:space="0" w:color="auto"/>
            </w:tcBorders>
            <w:vAlign w:val="center"/>
          </w:tcPr>
          <w:p w:rsidR="00EE56C0" w:rsidRPr="005767FB" w:rsidRDefault="000F36A1">
            <w:pPr>
              <w:pStyle w:val="afa"/>
              <w:rPr>
                <w:u w:val="single"/>
              </w:rPr>
            </w:pPr>
            <w:r w:rsidRPr="005767FB">
              <w:rPr>
                <w:u w:val="single"/>
              </w:rPr>
              <w:t>0.0009</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0.0030</w:t>
            </w:r>
          </w:p>
        </w:tc>
        <w:tc>
          <w:tcPr>
            <w:tcW w:w="662" w:type="pct"/>
            <w:tcBorders>
              <w:right w:val="single" w:sz="4" w:space="0" w:color="auto"/>
            </w:tcBorders>
            <w:vAlign w:val="center"/>
          </w:tcPr>
          <w:p w:rsidR="00EE56C0" w:rsidRPr="005767FB" w:rsidRDefault="000F36A1">
            <w:pPr>
              <w:pStyle w:val="afa"/>
              <w:rPr>
                <w:u w:val="single"/>
              </w:rPr>
            </w:pPr>
            <w:r w:rsidRPr="005767FB">
              <w:rPr>
                <w:u w:val="single"/>
              </w:rPr>
              <w:t>0.0039</w:t>
            </w:r>
          </w:p>
        </w:tc>
        <w:tc>
          <w:tcPr>
            <w:tcW w:w="689"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19081824</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19.69</w:t>
            </w:r>
          </w:p>
        </w:tc>
        <w:tc>
          <w:tcPr>
            <w:tcW w:w="429"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1" w:type="pct"/>
            <w:vAlign w:val="center"/>
          </w:tcPr>
          <w:p w:rsidR="00EE56C0" w:rsidRPr="005767FB" w:rsidRDefault="000F36A1">
            <w:pPr>
              <w:pStyle w:val="afa"/>
              <w:rPr>
                <w:u w:val="single"/>
              </w:rPr>
            </w:pPr>
            <w:r w:rsidRPr="005767FB">
              <w:rPr>
                <w:rFonts w:hint="eastAsia"/>
                <w:u w:val="single"/>
              </w:rPr>
              <w:t>36</w:t>
            </w:r>
          </w:p>
        </w:tc>
        <w:tc>
          <w:tcPr>
            <w:tcW w:w="560" w:type="pct"/>
            <w:tcBorders>
              <w:right w:val="single" w:sz="4" w:space="0" w:color="auto"/>
            </w:tcBorders>
            <w:vAlign w:val="center"/>
          </w:tcPr>
          <w:p w:rsidR="00EE56C0" w:rsidRPr="005767FB" w:rsidRDefault="000F36A1">
            <w:pPr>
              <w:pStyle w:val="afa"/>
              <w:rPr>
                <w:u w:val="single"/>
              </w:rPr>
            </w:pPr>
            <w:r w:rsidRPr="005767FB">
              <w:rPr>
                <w:rFonts w:hint="eastAsia"/>
                <w:u w:val="single"/>
              </w:rPr>
              <w:t>东石碑村</w:t>
            </w:r>
          </w:p>
        </w:tc>
        <w:tc>
          <w:tcPr>
            <w:tcW w:w="582"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664" w:type="pct"/>
            <w:tcBorders>
              <w:right w:val="single" w:sz="4" w:space="0" w:color="auto"/>
            </w:tcBorders>
            <w:vAlign w:val="center"/>
          </w:tcPr>
          <w:p w:rsidR="00EE56C0" w:rsidRPr="005767FB" w:rsidRDefault="000F36A1">
            <w:pPr>
              <w:pStyle w:val="afa"/>
              <w:rPr>
                <w:u w:val="single"/>
              </w:rPr>
            </w:pPr>
            <w:r w:rsidRPr="005767FB">
              <w:rPr>
                <w:u w:val="single"/>
              </w:rPr>
              <w:t>0.0016</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0.0030</w:t>
            </w:r>
          </w:p>
        </w:tc>
        <w:tc>
          <w:tcPr>
            <w:tcW w:w="662" w:type="pct"/>
            <w:tcBorders>
              <w:right w:val="single" w:sz="4" w:space="0" w:color="auto"/>
            </w:tcBorders>
            <w:vAlign w:val="center"/>
          </w:tcPr>
          <w:p w:rsidR="00EE56C0" w:rsidRPr="005767FB" w:rsidRDefault="000F36A1">
            <w:pPr>
              <w:pStyle w:val="afa"/>
              <w:rPr>
                <w:u w:val="single"/>
              </w:rPr>
            </w:pPr>
            <w:r w:rsidRPr="005767FB">
              <w:rPr>
                <w:u w:val="single"/>
              </w:rPr>
              <w:t>0.0046</w:t>
            </w:r>
          </w:p>
        </w:tc>
        <w:tc>
          <w:tcPr>
            <w:tcW w:w="689"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19120910</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23.12</w:t>
            </w:r>
          </w:p>
        </w:tc>
        <w:tc>
          <w:tcPr>
            <w:tcW w:w="429"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1" w:type="pct"/>
            <w:vAlign w:val="center"/>
          </w:tcPr>
          <w:p w:rsidR="00EE56C0" w:rsidRPr="005767FB" w:rsidRDefault="000F36A1">
            <w:pPr>
              <w:pStyle w:val="afa"/>
              <w:rPr>
                <w:u w:val="single"/>
              </w:rPr>
            </w:pPr>
            <w:r w:rsidRPr="005767FB">
              <w:rPr>
                <w:rFonts w:hint="eastAsia"/>
                <w:u w:val="single"/>
              </w:rPr>
              <w:t>37</w:t>
            </w:r>
          </w:p>
        </w:tc>
        <w:tc>
          <w:tcPr>
            <w:tcW w:w="560" w:type="pct"/>
            <w:tcBorders>
              <w:right w:val="single" w:sz="4" w:space="0" w:color="auto"/>
            </w:tcBorders>
            <w:vAlign w:val="center"/>
          </w:tcPr>
          <w:p w:rsidR="00EE56C0" w:rsidRPr="005767FB" w:rsidRDefault="000F36A1">
            <w:pPr>
              <w:pStyle w:val="afa"/>
              <w:rPr>
                <w:u w:val="single"/>
              </w:rPr>
            </w:pPr>
            <w:r w:rsidRPr="005767FB">
              <w:rPr>
                <w:rFonts w:hint="eastAsia"/>
                <w:u w:val="single"/>
              </w:rPr>
              <w:t>杏庄村</w:t>
            </w:r>
          </w:p>
        </w:tc>
        <w:tc>
          <w:tcPr>
            <w:tcW w:w="582"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664" w:type="pct"/>
            <w:tcBorders>
              <w:right w:val="single" w:sz="4" w:space="0" w:color="auto"/>
            </w:tcBorders>
            <w:vAlign w:val="center"/>
          </w:tcPr>
          <w:p w:rsidR="00EE56C0" w:rsidRPr="005767FB" w:rsidRDefault="000F36A1">
            <w:pPr>
              <w:pStyle w:val="afa"/>
              <w:rPr>
                <w:u w:val="single"/>
              </w:rPr>
            </w:pPr>
            <w:r w:rsidRPr="005767FB">
              <w:rPr>
                <w:u w:val="single"/>
              </w:rPr>
              <w:t>0.0014</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0.0030</w:t>
            </w:r>
          </w:p>
        </w:tc>
        <w:tc>
          <w:tcPr>
            <w:tcW w:w="662" w:type="pct"/>
            <w:tcBorders>
              <w:right w:val="single" w:sz="4" w:space="0" w:color="auto"/>
            </w:tcBorders>
            <w:vAlign w:val="center"/>
          </w:tcPr>
          <w:p w:rsidR="00EE56C0" w:rsidRPr="005767FB" w:rsidRDefault="000F36A1">
            <w:pPr>
              <w:pStyle w:val="afa"/>
              <w:rPr>
                <w:u w:val="single"/>
              </w:rPr>
            </w:pPr>
            <w:r w:rsidRPr="005767FB">
              <w:rPr>
                <w:u w:val="single"/>
              </w:rPr>
              <w:t>0.0044</w:t>
            </w:r>
          </w:p>
        </w:tc>
        <w:tc>
          <w:tcPr>
            <w:tcW w:w="689"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19120910</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22.14</w:t>
            </w:r>
          </w:p>
        </w:tc>
        <w:tc>
          <w:tcPr>
            <w:tcW w:w="429"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1" w:type="pct"/>
            <w:vAlign w:val="center"/>
          </w:tcPr>
          <w:p w:rsidR="00EE56C0" w:rsidRPr="005767FB" w:rsidRDefault="000F36A1">
            <w:pPr>
              <w:pStyle w:val="afa"/>
              <w:rPr>
                <w:u w:val="single"/>
              </w:rPr>
            </w:pPr>
            <w:r w:rsidRPr="005767FB">
              <w:rPr>
                <w:rFonts w:hint="eastAsia"/>
                <w:u w:val="single"/>
              </w:rPr>
              <w:t>38</w:t>
            </w:r>
          </w:p>
        </w:tc>
        <w:tc>
          <w:tcPr>
            <w:tcW w:w="560" w:type="pct"/>
            <w:tcBorders>
              <w:right w:val="single" w:sz="4" w:space="0" w:color="auto"/>
            </w:tcBorders>
            <w:vAlign w:val="center"/>
          </w:tcPr>
          <w:p w:rsidR="00EE56C0" w:rsidRPr="005767FB" w:rsidRDefault="000F36A1">
            <w:pPr>
              <w:pStyle w:val="afa"/>
              <w:rPr>
                <w:u w:val="single"/>
              </w:rPr>
            </w:pPr>
            <w:r w:rsidRPr="005767FB">
              <w:rPr>
                <w:rFonts w:hint="eastAsia"/>
                <w:u w:val="single"/>
              </w:rPr>
              <w:t>敦留店村</w:t>
            </w:r>
          </w:p>
        </w:tc>
        <w:tc>
          <w:tcPr>
            <w:tcW w:w="582"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664" w:type="pct"/>
            <w:tcBorders>
              <w:right w:val="single" w:sz="4" w:space="0" w:color="auto"/>
            </w:tcBorders>
            <w:vAlign w:val="center"/>
          </w:tcPr>
          <w:p w:rsidR="00EE56C0" w:rsidRPr="005767FB" w:rsidRDefault="000F36A1">
            <w:pPr>
              <w:pStyle w:val="afa"/>
              <w:rPr>
                <w:u w:val="single"/>
              </w:rPr>
            </w:pPr>
            <w:r w:rsidRPr="005767FB">
              <w:rPr>
                <w:u w:val="single"/>
              </w:rPr>
              <w:t>0.0017</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0.0030</w:t>
            </w:r>
          </w:p>
        </w:tc>
        <w:tc>
          <w:tcPr>
            <w:tcW w:w="662" w:type="pct"/>
            <w:tcBorders>
              <w:right w:val="single" w:sz="4" w:space="0" w:color="auto"/>
            </w:tcBorders>
            <w:vAlign w:val="center"/>
          </w:tcPr>
          <w:p w:rsidR="00EE56C0" w:rsidRPr="005767FB" w:rsidRDefault="000F36A1">
            <w:pPr>
              <w:pStyle w:val="afa"/>
              <w:rPr>
                <w:u w:val="single"/>
              </w:rPr>
            </w:pPr>
            <w:r w:rsidRPr="005767FB">
              <w:rPr>
                <w:u w:val="single"/>
              </w:rPr>
              <w:t>0.0047</w:t>
            </w:r>
          </w:p>
        </w:tc>
        <w:tc>
          <w:tcPr>
            <w:tcW w:w="689"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19070907</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23.27</w:t>
            </w:r>
          </w:p>
        </w:tc>
        <w:tc>
          <w:tcPr>
            <w:tcW w:w="429"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1" w:type="pct"/>
            <w:vAlign w:val="center"/>
          </w:tcPr>
          <w:p w:rsidR="00EE56C0" w:rsidRPr="005767FB" w:rsidRDefault="000F36A1">
            <w:pPr>
              <w:pStyle w:val="afa"/>
              <w:rPr>
                <w:u w:val="single"/>
              </w:rPr>
            </w:pPr>
            <w:r w:rsidRPr="005767FB">
              <w:rPr>
                <w:rFonts w:hint="eastAsia"/>
                <w:u w:val="single"/>
              </w:rPr>
              <w:t>39</w:t>
            </w:r>
          </w:p>
        </w:tc>
        <w:tc>
          <w:tcPr>
            <w:tcW w:w="560" w:type="pct"/>
            <w:tcBorders>
              <w:right w:val="single" w:sz="4" w:space="0" w:color="auto"/>
            </w:tcBorders>
            <w:vAlign w:val="center"/>
          </w:tcPr>
          <w:p w:rsidR="00EE56C0" w:rsidRPr="005767FB" w:rsidRDefault="000F36A1">
            <w:pPr>
              <w:pStyle w:val="afa"/>
              <w:rPr>
                <w:u w:val="single"/>
              </w:rPr>
            </w:pPr>
            <w:r w:rsidRPr="005767FB">
              <w:rPr>
                <w:rFonts w:hint="eastAsia"/>
                <w:u w:val="single"/>
              </w:rPr>
              <w:t>李道堤村</w:t>
            </w:r>
          </w:p>
        </w:tc>
        <w:tc>
          <w:tcPr>
            <w:tcW w:w="582"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664"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0.0030</w:t>
            </w:r>
          </w:p>
        </w:tc>
        <w:tc>
          <w:tcPr>
            <w:tcW w:w="662" w:type="pct"/>
            <w:tcBorders>
              <w:right w:val="single" w:sz="4" w:space="0" w:color="auto"/>
            </w:tcBorders>
            <w:vAlign w:val="center"/>
          </w:tcPr>
          <w:p w:rsidR="00EE56C0" w:rsidRPr="005767FB" w:rsidRDefault="000F36A1">
            <w:pPr>
              <w:pStyle w:val="afa"/>
              <w:rPr>
                <w:u w:val="single"/>
              </w:rPr>
            </w:pPr>
            <w:r w:rsidRPr="005767FB">
              <w:rPr>
                <w:u w:val="single"/>
              </w:rPr>
              <w:t>0.0147</w:t>
            </w:r>
          </w:p>
        </w:tc>
        <w:tc>
          <w:tcPr>
            <w:tcW w:w="689"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19070907</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22.32</w:t>
            </w:r>
          </w:p>
        </w:tc>
        <w:tc>
          <w:tcPr>
            <w:tcW w:w="429" w:type="pct"/>
            <w:vAlign w:val="center"/>
          </w:tcPr>
          <w:p w:rsidR="00EE56C0" w:rsidRPr="005767FB" w:rsidRDefault="000F36A1">
            <w:pPr>
              <w:pStyle w:val="afa"/>
              <w:rPr>
                <w:u w:val="single"/>
              </w:rPr>
            </w:pPr>
            <w:r w:rsidRPr="005767FB">
              <w:rPr>
                <w:rFonts w:hint="eastAsia"/>
                <w:u w:val="single"/>
              </w:rPr>
              <w:t>达标</w:t>
            </w:r>
          </w:p>
        </w:tc>
      </w:tr>
    </w:tbl>
    <w:p w:rsidR="00EE56C0" w:rsidRDefault="000F36A1">
      <w:pPr>
        <w:pStyle w:val="afd"/>
        <w:spacing w:before="120" w:after="120"/>
        <w:ind w:firstLine="482"/>
      </w:pPr>
      <w:r>
        <w:t>表</w:t>
      </w:r>
      <w:r>
        <w:t>5-</w:t>
      </w:r>
      <w:r>
        <w:rPr>
          <w:rFonts w:hint="eastAsia"/>
        </w:rPr>
        <w:t xml:space="preserve">30              </w:t>
      </w:r>
      <w:r>
        <w:rPr>
          <w:rFonts w:hint="eastAsia"/>
        </w:rPr>
        <w:t>非甲烷总烃小时浓度预测结果分析</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tblPr>
      <w:tblGrid>
        <w:gridCol w:w="426"/>
        <w:gridCol w:w="957"/>
        <w:gridCol w:w="855"/>
        <w:gridCol w:w="1274"/>
        <w:gridCol w:w="1133"/>
        <w:gridCol w:w="1134"/>
        <w:gridCol w:w="1146"/>
        <w:gridCol w:w="848"/>
        <w:gridCol w:w="756"/>
      </w:tblGrid>
      <w:tr w:rsidR="00EE56C0" w:rsidRPr="005767FB">
        <w:trPr>
          <w:trHeight w:val="870"/>
          <w:tblHeader/>
          <w:jc w:val="center"/>
        </w:trPr>
        <w:tc>
          <w:tcPr>
            <w:tcW w:w="250" w:type="pct"/>
            <w:vAlign w:val="center"/>
          </w:tcPr>
          <w:p w:rsidR="00EE56C0" w:rsidRPr="005767FB" w:rsidRDefault="00340837">
            <w:pPr>
              <w:pStyle w:val="aff1"/>
              <w:rPr>
                <w:color w:val="auto"/>
                <w:u w:val="single"/>
              </w:rPr>
            </w:pPr>
            <w:r>
              <w:rPr>
                <w:color w:val="auto"/>
                <w:u w:val="single"/>
              </w:rPr>
              <w:pict>
                <v:shape id="_x0000_s2260" type="#_x0000_t202" style="position:absolute;left:0;text-align:left;margin-left:39.35pt;margin-top:-192.15pt;width:21.65pt;height:19.65pt;z-index:251716096" o:gfxdata="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" filled="f" stroked="f" strokeweight="1pt">
                  <v:textbox>
                    <w:txbxContent>
                      <w:p w:rsidR="009C6BD9" w:rsidRDefault="009C6BD9">
                        <w:pPr>
                          <w:ind w:firstLine="482"/>
                          <w:rPr>
                            <w:b/>
                            <w:color w:val="FF0000"/>
                            <w:szCs w:val="21"/>
                          </w:rPr>
                        </w:pPr>
                        <w:r>
                          <w:rPr>
                            <w:rFonts w:hint="eastAsia"/>
                            <w:b/>
                            <w:color w:val="FF0000"/>
                            <w:szCs w:val="21"/>
                          </w:rPr>
                          <w:t>3</w:t>
                        </w:r>
                      </w:p>
                    </w:txbxContent>
                  </v:textbox>
                </v:shape>
              </w:pict>
            </w:r>
            <w:r w:rsidR="000F36A1" w:rsidRPr="005767FB">
              <w:rPr>
                <w:rFonts w:hAnsi="宋体"/>
                <w:color w:val="auto"/>
                <w:u w:val="single"/>
              </w:rPr>
              <w:t>序列</w:t>
            </w:r>
          </w:p>
        </w:tc>
        <w:tc>
          <w:tcPr>
            <w:tcW w:w="561" w:type="pct"/>
            <w:tcBorders>
              <w:right w:val="single" w:sz="4" w:space="0" w:color="auto"/>
            </w:tcBorders>
            <w:vAlign w:val="center"/>
          </w:tcPr>
          <w:p w:rsidR="00EE56C0" w:rsidRPr="005767FB" w:rsidRDefault="000F36A1">
            <w:pPr>
              <w:pStyle w:val="aff1"/>
              <w:rPr>
                <w:color w:val="auto"/>
                <w:u w:val="single"/>
              </w:rPr>
            </w:pPr>
            <w:r w:rsidRPr="005767FB">
              <w:rPr>
                <w:rFonts w:hAnsi="宋体" w:hint="eastAsia"/>
                <w:color w:val="auto"/>
                <w:u w:val="single"/>
              </w:rPr>
              <w:t>预测点</w:t>
            </w:r>
          </w:p>
        </w:tc>
        <w:tc>
          <w:tcPr>
            <w:tcW w:w="501" w:type="pct"/>
            <w:tcBorders>
              <w:right w:val="single" w:sz="4" w:space="0" w:color="auto"/>
            </w:tcBorders>
            <w:vAlign w:val="center"/>
          </w:tcPr>
          <w:p w:rsidR="00EE56C0" w:rsidRPr="005767FB" w:rsidRDefault="000F36A1">
            <w:pPr>
              <w:pStyle w:val="aff1"/>
              <w:rPr>
                <w:rFonts w:hAnsi="宋体"/>
                <w:color w:val="auto"/>
                <w:u w:val="single"/>
              </w:rPr>
            </w:pPr>
            <w:r w:rsidRPr="005767FB">
              <w:rPr>
                <w:rFonts w:hAnsi="宋体" w:hint="eastAsia"/>
                <w:color w:val="auto"/>
                <w:u w:val="single"/>
              </w:rPr>
              <w:t>平均时段</w:t>
            </w:r>
          </w:p>
        </w:tc>
        <w:tc>
          <w:tcPr>
            <w:tcW w:w="747" w:type="pct"/>
            <w:tcBorders>
              <w:right w:val="single" w:sz="4" w:space="0" w:color="auto"/>
            </w:tcBorders>
            <w:vAlign w:val="center"/>
          </w:tcPr>
          <w:p w:rsidR="00EE56C0" w:rsidRPr="005767FB" w:rsidRDefault="000F36A1">
            <w:pPr>
              <w:pStyle w:val="afa"/>
              <w:rPr>
                <w:b/>
                <w:u w:val="single"/>
              </w:rPr>
            </w:pPr>
            <w:r w:rsidRPr="005767FB">
              <w:rPr>
                <w:rFonts w:hint="eastAsia"/>
                <w:b/>
                <w:u w:val="single"/>
              </w:rPr>
              <w:t>最大贡献值（</w:t>
            </w:r>
            <w:r w:rsidRPr="005767FB">
              <w:rPr>
                <w:rFonts w:hint="eastAsia"/>
                <w:b/>
                <w:u w:val="single"/>
              </w:rPr>
              <w:t>mg/m</w:t>
            </w:r>
            <w:r w:rsidRPr="005767FB">
              <w:rPr>
                <w:rFonts w:hint="eastAsia"/>
                <w:b/>
                <w:u w:val="single"/>
                <w:vertAlign w:val="superscript"/>
              </w:rPr>
              <w:t>3</w:t>
            </w:r>
            <w:r w:rsidRPr="005767FB">
              <w:rPr>
                <w:rFonts w:hint="eastAsia"/>
                <w:b/>
                <w:u w:val="single"/>
              </w:rPr>
              <w:t>）</w:t>
            </w:r>
          </w:p>
        </w:tc>
        <w:tc>
          <w:tcPr>
            <w:tcW w:w="664" w:type="pct"/>
            <w:tcBorders>
              <w:right w:val="single" w:sz="4" w:space="0" w:color="auto"/>
            </w:tcBorders>
            <w:vAlign w:val="center"/>
          </w:tcPr>
          <w:p w:rsidR="00EE56C0" w:rsidRPr="005767FB" w:rsidRDefault="000F36A1">
            <w:pPr>
              <w:pStyle w:val="afa"/>
              <w:rPr>
                <w:b/>
                <w:u w:val="single"/>
              </w:rPr>
            </w:pPr>
            <w:r w:rsidRPr="005767FB">
              <w:rPr>
                <w:rFonts w:hint="eastAsia"/>
                <w:b/>
                <w:u w:val="single"/>
              </w:rPr>
              <w:t>现状值（</w:t>
            </w:r>
            <w:r w:rsidRPr="005767FB">
              <w:rPr>
                <w:rFonts w:hint="eastAsia"/>
                <w:b/>
                <w:u w:val="single"/>
              </w:rPr>
              <w:t>mg/m</w:t>
            </w:r>
            <w:r w:rsidRPr="005767FB">
              <w:rPr>
                <w:rFonts w:hint="eastAsia"/>
                <w:b/>
                <w:u w:val="single"/>
                <w:vertAlign w:val="superscript"/>
              </w:rPr>
              <w:t>3</w:t>
            </w:r>
            <w:r w:rsidRPr="005767FB">
              <w:rPr>
                <w:rFonts w:hint="eastAsia"/>
                <w:b/>
                <w:u w:val="single"/>
              </w:rPr>
              <w:t>）</w:t>
            </w:r>
          </w:p>
        </w:tc>
        <w:tc>
          <w:tcPr>
            <w:tcW w:w="665" w:type="pct"/>
            <w:tcBorders>
              <w:right w:val="single" w:sz="4" w:space="0" w:color="auto"/>
            </w:tcBorders>
            <w:vAlign w:val="center"/>
          </w:tcPr>
          <w:p w:rsidR="00EE56C0" w:rsidRPr="005767FB" w:rsidRDefault="000F36A1">
            <w:pPr>
              <w:pStyle w:val="afa"/>
              <w:rPr>
                <w:b/>
                <w:u w:val="single"/>
              </w:rPr>
            </w:pPr>
            <w:r w:rsidRPr="005767FB">
              <w:rPr>
                <w:rFonts w:hint="eastAsia"/>
                <w:b/>
                <w:u w:val="single"/>
              </w:rPr>
              <w:t>叠加值（</w:t>
            </w:r>
            <w:r w:rsidRPr="005767FB">
              <w:rPr>
                <w:rFonts w:hint="eastAsia"/>
                <w:b/>
                <w:u w:val="single"/>
              </w:rPr>
              <w:t>mg/m</w:t>
            </w:r>
            <w:r w:rsidRPr="005767FB">
              <w:rPr>
                <w:rFonts w:hint="eastAsia"/>
                <w:b/>
                <w:u w:val="single"/>
                <w:vertAlign w:val="superscript"/>
              </w:rPr>
              <w:t>3</w:t>
            </w:r>
            <w:r w:rsidRPr="005767FB">
              <w:rPr>
                <w:rFonts w:hint="eastAsia"/>
                <w:b/>
                <w:u w:val="single"/>
              </w:rPr>
              <w:t>）</w:t>
            </w:r>
          </w:p>
        </w:tc>
        <w:tc>
          <w:tcPr>
            <w:tcW w:w="672" w:type="pct"/>
            <w:tcBorders>
              <w:left w:val="single" w:sz="4" w:space="0" w:color="auto"/>
              <w:right w:val="single" w:sz="4" w:space="0" w:color="auto"/>
            </w:tcBorders>
            <w:vAlign w:val="center"/>
          </w:tcPr>
          <w:p w:rsidR="00EE56C0" w:rsidRPr="005767FB" w:rsidRDefault="000F36A1">
            <w:pPr>
              <w:pStyle w:val="afa"/>
              <w:rPr>
                <w:b/>
                <w:u w:val="single"/>
              </w:rPr>
            </w:pPr>
            <w:r w:rsidRPr="005767FB">
              <w:rPr>
                <w:rFonts w:hint="eastAsia"/>
                <w:b/>
                <w:u w:val="single"/>
              </w:rPr>
              <w:t>出现时间</w:t>
            </w:r>
          </w:p>
        </w:tc>
        <w:tc>
          <w:tcPr>
            <w:tcW w:w="497" w:type="pct"/>
            <w:tcBorders>
              <w:left w:val="single" w:sz="4" w:space="0" w:color="auto"/>
            </w:tcBorders>
            <w:vAlign w:val="center"/>
          </w:tcPr>
          <w:p w:rsidR="00EE56C0" w:rsidRPr="005767FB" w:rsidRDefault="000F36A1">
            <w:pPr>
              <w:pStyle w:val="afa"/>
              <w:rPr>
                <w:b/>
                <w:u w:val="single"/>
              </w:rPr>
            </w:pPr>
            <w:r w:rsidRPr="005767FB">
              <w:rPr>
                <w:rFonts w:hint="eastAsia"/>
                <w:b/>
                <w:u w:val="single"/>
              </w:rPr>
              <w:t>占标率（</w:t>
            </w:r>
            <w:r w:rsidRPr="005767FB">
              <w:rPr>
                <w:rFonts w:hint="eastAsia"/>
                <w:b/>
                <w:u w:val="single"/>
              </w:rPr>
              <w:t>%</w:t>
            </w:r>
            <w:r w:rsidRPr="005767FB">
              <w:rPr>
                <w:rFonts w:hint="eastAsia"/>
                <w:b/>
                <w:u w:val="single"/>
              </w:rPr>
              <w:t>）</w:t>
            </w:r>
          </w:p>
        </w:tc>
        <w:tc>
          <w:tcPr>
            <w:tcW w:w="443" w:type="pct"/>
            <w:vAlign w:val="center"/>
          </w:tcPr>
          <w:p w:rsidR="00EE56C0" w:rsidRPr="005767FB" w:rsidRDefault="000F36A1">
            <w:pPr>
              <w:pStyle w:val="aff1"/>
              <w:rPr>
                <w:color w:val="auto"/>
                <w:u w:val="single"/>
              </w:rPr>
            </w:pPr>
            <w:r w:rsidRPr="005767FB">
              <w:rPr>
                <w:rFonts w:hint="eastAsia"/>
                <w:color w:val="auto"/>
                <w:u w:val="single"/>
              </w:rPr>
              <w:t>达标情况</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u w:val="single"/>
              </w:rPr>
              <w:t>1</w:t>
            </w:r>
          </w:p>
        </w:tc>
        <w:tc>
          <w:tcPr>
            <w:tcW w:w="561" w:type="pct"/>
            <w:tcBorders>
              <w:right w:val="single" w:sz="4" w:space="0" w:color="auto"/>
            </w:tcBorders>
            <w:vAlign w:val="center"/>
          </w:tcPr>
          <w:p w:rsidR="00EE56C0" w:rsidRPr="005767FB" w:rsidRDefault="000F36A1">
            <w:pPr>
              <w:pStyle w:val="afa"/>
              <w:rPr>
                <w:b/>
                <w:u w:val="single"/>
              </w:rPr>
            </w:pPr>
            <w:r w:rsidRPr="005767FB">
              <w:rPr>
                <w:rFonts w:hAnsi="宋体" w:hint="eastAsia"/>
                <w:u w:val="single"/>
              </w:rPr>
              <w:t>南王庄村</w:t>
            </w:r>
          </w:p>
        </w:tc>
        <w:tc>
          <w:tcPr>
            <w:tcW w:w="501"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0.0032</w:t>
            </w:r>
          </w:p>
        </w:tc>
        <w:tc>
          <w:tcPr>
            <w:tcW w:w="664" w:type="pct"/>
            <w:tcBorders>
              <w:right w:val="single" w:sz="4" w:space="0" w:color="auto"/>
            </w:tcBorders>
            <w:vAlign w:val="center"/>
          </w:tcPr>
          <w:p w:rsidR="00EE56C0" w:rsidRPr="005767FB" w:rsidRDefault="000F36A1">
            <w:pPr>
              <w:pStyle w:val="afa"/>
              <w:rPr>
                <w:u w:val="single"/>
              </w:rPr>
            </w:pPr>
            <w:r w:rsidRPr="005767FB">
              <w:rPr>
                <w:rFonts w:hint="eastAsia"/>
                <w:u w:val="single"/>
              </w:rPr>
              <w:t>0.07</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0.0732</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19071707</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3.66</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u w:val="single"/>
              </w:rPr>
              <w:lastRenderedPageBreak/>
              <w:t>2</w:t>
            </w:r>
          </w:p>
        </w:tc>
        <w:tc>
          <w:tcPr>
            <w:tcW w:w="561" w:type="pct"/>
            <w:tcBorders>
              <w:right w:val="single" w:sz="4" w:space="0" w:color="auto"/>
            </w:tcBorders>
            <w:vAlign w:val="center"/>
          </w:tcPr>
          <w:p w:rsidR="00EE56C0" w:rsidRPr="005767FB" w:rsidRDefault="000F36A1">
            <w:pPr>
              <w:pStyle w:val="afa"/>
              <w:rPr>
                <w:u w:val="single"/>
              </w:rPr>
            </w:pPr>
            <w:r w:rsidRPr="005767FB">
              <w:rPr>
                <w:rFonts w:hAnsi="宋体" w:hint="eastAsia"/>
                <w:u w:val="single"/>
              </w:rPr>
              <w:t>刘店村</w:t>
            </w:r>
          </w:p>
        </w:tc>
        <w:tc>
          <w:tcPr>
            <w:tcW w:w="501"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0.0003</w:t>
            </w:r>
          </w:p>
        </w:tc>
        <w:tc>
          <w:tcPr>
            <w:tcW w:w="664" w:type="pct"/>
            <w:tcBorders>
              <w:right w:val="single" w:sz="4" w:space="0" w:color="auto"/>
            </w:tcBorders>
            <w:vAlign w:val="center"/>
          </w:tcPr>
          <w:p w:rsidR="00EE56C0" w:rsidRPr="005767FB" w:rsidRDefault="000F36A1">
            <w:pPr>
              <w:pStyle w:val="afa"/>
              <w:rPr>
                <w:u w:val="single"/>
              </w:rPr>
            </w:pPr>
            <w:r w:rsidRPr="005767FB">
              <w:rPr>
                <w:rFonts w:hint="eastAsia"/>
                <w:u w:val="single"/>
              </w:rPr>
              <w:t>0.07</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0.0703</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19111224</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3.52</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3</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马庄村</w:t>
            </w:r>
          </w:p>
        </w:tc>
        <w:tc>
          <w:tcPr>
            <w:tcW w:w="501"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0.0005</w:t>
            </w:r>
          </w:p>
        </w:tc>
        <w:tc>
          <w:tcPr>
            <w:tcW w:w="664" w:type="pct"/>
            <w:tcBorders>
              <w:right w:val="single" w:sz="4" w:space="0" w:color="auto"/>
            </w:tcBorders>
            <w:vAlign w:val="center"/>
          </w:tcPr>
          <w:p w:rsidR="00EE56C0" w:rsidRPr="005767FB" w:rsidRDefault="000F36A1">
            <w:pPr>
              <w:pStyle w:val="afa"/>
              <w:rPr>
                <w:u w:val="single"/>
              </w:rPr>
            </w:pPr>
            <w:r w:rsidRPr="005767FB">
              <w:rPr>
                <w:rFonts w:hint="eastAsia"/>
                <w:u w:val="single"/>
              </w:rPr>
              <w:t>0.07</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0.0705</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19050407</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3.53</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4</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康庄村</w:t>
            </w:r>
          </w:p>
        </w:tc>
        <w:tc>
          <w:tcPr>
            <w:tcW w:w="501"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0.0004</w:t>
            </w:r>
          </w:p>
        </w:tc>
        <w:tc>
          <w:tcPr>
            <w:tcW w:w="664" w:type="pct"/>
            <w:tcBorders>
              <w:right w:val="single" w:sz="4" w:space="0" w:color="auto"/>
            </w:tcBorders>
            <w:vAlign w:val="center"/>
          </w:tcPr>
          <w:p w:rsidR="00EE56C0" w:rsidRPr="005767FB" w:rsidRDefault="000F36A1">
            <w:pPr>
              <w:pStyle w:val="afa"/>
              <w:rPr>
                <w:u w:val="single"/>
              </w:rPr>
            </w:pPr>
            <w:r w:rsidRPr="005767FB">
              <w:rPr>
                <w:rFonts w:hint="eastAsia"/>
                <w:u w:val="single"/>
              </w:rPr>
              <w:t>0.07</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0.0704</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19050307</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3.52</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5</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府庄村</w:t>
            </w:r>
          </w:p>
        </w:tc>
        <w:tc>
          <w:tcPr>
            <w:tcW w:w="501"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0.0006</w:t>
            </w:r>
          </w:p>
        </w:tc>
        <w:tc>
          <w:tcPr>
            <w:tcW w:w="664" w:type="pct"/>
            <w:tcBorders>
              <w:right w:val="single" w:sz="4" w:space="0" w:color="auto"/>
            </w:tcBorders>
            <w:vAlign w:val="center"/>
          </w:tcPr>
          <w:p w:rsidR="00EE56C0" w:rsidRPr="005767FB" w:rsidRDefault="000F36A1">
            <w:pPr>
              <w:pStyle w:val="afa"/>
              <w:rPr>
                <w:u w:val="single"/>
              </w:rPr>
            </w:pPr>
            <w:r w:rsidRPr="005767FB">
              <w:rPr>
                <w:rFonts w:hint="eastAsia"/>
                <w:u w:val="single"/>
              </w:rPr>
              <w:t>0.07</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0.0706</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19050107</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3.53</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6</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大张庄村</w:t>
            </w:r>
          </w:p>
        </w:tc>
        <w:tc>
          <w:tcPr>
            <w:tcW w:w="501"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0.0003</w:t>
            </w:r>
          </w:p>
        </w:tc>
        <w:tc>
          <w:tcPr>
            <w:tcW w:w="664" w:type="pct"/>
            <w:tcBorders>
              <w:right w:val="single" w:sz="4" w:space="0" w:color="auto"/>
            </w:tcBorders>
            <w:vAlign w:val="center"/>
          </w:tcPr>
          <w:p w:rsidR="00EE56C0" w:rsidRPr="005767FB" w:rsidRDefault="000F36A1">
            <w:pPr>
              <w:pStyle w:val="afa"/>
              <w:rPr>
                <w:u w:val="single"/>
              </w:rPr>
            </w:pPr>
            <w:r w:rsidRPr="005767FB">
              <w:rPr>
                <w:rFonts w:hint="eastAsia"/>
                <w:u w:val="single"/>
              </w:rPr>
              <w:t>0.07</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0.0703</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19070904</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3.52</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7</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大赵庄村</w:t>
            </w:r>
          </w:p>
        </w:tc>
        <w:tc>
          <w:tcPr>
            <w:tcW w:w="501"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0.0005</w:t>
            </w:r>
          </w:p>
        </w:tc>
        <w:tc>
          <w:tcPr>
            <w:tcW w:w="664" w:type="pct"/>
            <w:tcBorders>
              <w:right w:val="single" w:sz="4" w:space="0" w:color="auto"/>
            </w:tcBorders>
            <w:vAlign w:val="center"/>
          </w:tcPr>
          <w:p w:rsidR="00EE56C0" w:rsidRPr="005767FB" w:rsidRDefault="000F36A1">
            <w:pPr>
              <w:pStyle w:val="afa"/>
              <w:rPr>
                <w:u w:val="single"/>
              </w:rPr>
            </w:pPr>
            <w:r w:rsidRPr="005767FB">
              <w:rPr>
                <w:rFonts w:hint="eastAsia"/>
                <w:u w:val="single"/>
              </w:rPr>
              <w:t>0.07</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0.0705</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19070207</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3.53</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8</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丁庄村</w:t>
            </w:r>
          </w:p>
        </w:tc>
        <w:tc>
          <w:tcPr>
            <w:tcW w:w="501"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0.0002</w:t>
            </w:r>
          </w:p>
        </w:tc>
        <w:tc>
          <w:tcPr>
            <w:tcW w:w="664" w:type="pct"/>
            <w:tcBorders>
              <w:right w:val="single" w:sz="4" w:space="0" w:color="auto"/>
            </w:tcBorders>
            <w:vAlign w:val="center"/>
          </w:tcPr>
          <w:p w:rsidR="00EE56C0" w:rsidRPr="005767FB" w:rsidRDefault="000F36A1">
            <w:pPr>
              <w:pStyle w:val="afa"/>
              <w:rPr>
                <w:u w:val="single"/>
              </w:rPr>
            </w:pPr>
            <w:r w:rsidRPr="005767FB">
              <w:rPr>
                <w:rFonts w:hint="eastAsia"/>
                <w:u w:val="single"/>
              </w:rPr>
              <w:t>0.07</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0.0702</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19070224</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3.51</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9</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刘八庄村</w:t>
            </w:r>
          </w:p>
        </w:tc>
        <w:tc>
          <w:tcPr>
            <w:tcW w:w="501"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0.0004</w:t>
            </w:r>
          </w:p>
        </w:tc>
        <w:tc>
          <w:tcPr>
            <w:tcW w:w="664" w:type="pct"/>
            <w:tcBorders>
              <w:right w:val="single" w:sz="4" w:space="0" w:color="auto"/>
            </w:tcBorders>
            <w:vAlign w:val="center"/>
          </w:tcPr>
          <w:p w:rsidR="00EE56C0" w:rsidRPr="005767FB" w:rsidRDefault="000F36A1">
            <w:pPr>
              <w:pStyle w:val="afa"/>
              <w:rPr>
                <w:u w:val="single"/>
              </w:rPr>
            </w:pPr>
            <w:r w:rsidRPr="005767FB">
              <w:rPr>
                <w:rFonts w:hint="eastAsia"/>
                <w:u w:val="single"/>
              </w:rPr>
              <w:t>0.07</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0.0704</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19050307</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3.52</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10</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王贵楼村</w:t>
            </w:r>
          </w:p>
        </w:tc>
        <w:tc>
          <w:tcPr>
            <w:tcW w:w="501"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0.0003</w:t>
            </w:r>
          </w:p>
        </w:tc>
        <w:tc>
          <w:tcPr>
            <w:tcW w:w="664" w:type="pct"/>
            <w:tcBorders>
              <w:right w:val="single" w:sz="4" w:space="0" w:color="auto"/>
            </w:tcBorders>
            <w:vAlign w:val="center"/>
          </w:tcPr>
          <w:p w:rsidR="00EE56C0" w:rsidRPr="005767FB" w:rsidRDefault="000F36A1">
            <w:pPr>
              <w:pStyle w:val="afa"/>
              <w:rPr>
                <w:u w:val="single"/>
              </w:rPr>
            </w:pPr>
            <w:r w:rsidRPr="005767FB">
              <w:rPr>
                <w:rFonts w:hint="eastAsia"/>
                <w:u w:val="single"/>
              </w:rPr>
              <w:t>0.07</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0.0703</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19050307</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3.52</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11</w:t>
            </w:r>
          </w:p>
        </w:tc>
        <w:tc>
          <w:tcPr>
            <w:tcW w:w="561" w:type="pct"/>
            <w:tcBorders>
              <w:right w:val="single" w:sz="4" w:space="0" w:color="auto"/>
            </w:tcBorders>
            <w:vAlign w:val="center"/>
          </w:tcPr>
          <w:p w:rsidR="00EE56C0" w:rsidRPr="005767FB" w:rsidRDefault="000F36A1">
            <w:pPr>
              <w:pStyle w:val="afa"/>
              <w:rPr>
                <w:u w:val="single"/>
              </w:rPr>
            </w:pPr>
            <w:r w:rsidRPr="005767FB">
              <w:rPr>
                <w:rFonts w:hAnsi="宋体" w:hint="eastAsia"/>
                <w:u w:val="single"/>
              </w:rPr>
              <w:t>罗滩村</w:t>
            </w:r>
          </w:p>
        </w:tc>
        <w:tc>
          <w:tcPr>
            <w:tcW w:w="501"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0.0003</w:t>
            </w:r>
          </w:p>
        </w:tc>
        <w:tc>
          <w:tcPr>
            <w:tcW w:w="664" w:type="pct"/>
            <w:tcBorders>
              <w:right w:val="single" w:sz="4" w:space="0" w:color="auto"/>
            </w:tcBorders>
            <w:vAlign w:val="center"/>
          </w:tcPr>
          <w:p w:rsidR="00EE56C0" w:rsidRPr="005767FB" w:rsidRDefault="000F36A1">
            <w:pPr>
              <w:pStyle w:val="afa"/>
              <w:rPr>
                <w:u w:val="single"/>
              </w:rPr>
            </w:pPr>
            <w:r w:rsidRPr="005767FB">
              <w:rPr>
                <w:rFonts w:hint="eastAsia"/>
                <w:u w:val="single"/>
              </w:rPr>
              <w:t>0.07</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0.0703</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19063020</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3.52</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12</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杨庄村</w:t>
            </w:r>
          </w:p>
        </w:tc>
        <w:tc>
          <w:tcPr>
            <w:tcW w:w="501"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0.0003</w:t>
            </w:r>
          </w:p>
        </w:tc>
        <w:tc>
          <w:tcPr>
            <w:tcW w:w="664" w:type="pct"/>
            <w:tcBorders>
              <w:right w:val="single" w:sz="4" w:space="0" w:color="auto"/>
            </w:tcBorders>
            <w:vAlign w:val="center"/>
          </w:tcPr>
          <w:p w:rsidR="00EE56C0" w:rsidRPr="005767FB" w:rsidRDefault="000F36A1">
            <w:pPr>
              <w:pStyle w:val="afa"/>
              <w:rPr>
                <w:u w:val="single"/>
              </w:rPr>
            </w:pPr>
            <w:r w:rsidRPr="005767FB">
              <w:rPr>
                <w:rFonts w:hint="eastAsia"/>
                <w:u w:val="single"/>
              </w:rPr>
              <w:t>0.07</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0.0703</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19111709</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3.52</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13</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杨堤村</w:t>
            </w:r>
          </w:p>
        </w:tc>
        <w:tc>
          <w:tcPr>
            <w:tcW w:w="501"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0.0003</w:t>
            </w:r>
          </w:p>
        </w:tc>
        <w:tc>
          <w:tcPr>
            <w:tcW w:w="664" w:type="pct"/>
            <w:tcBorders>
              <w:right w:val="single" w:sz="4" w:space="0" w:color="auto"/>
            </w:tcBorders>
            <w:vAlign w:val="center"/>
          </w:tcPr>
          <w:p w:rsidR="00EE56C0" w:rsidRPr="005767FB" w:rsidRDefault="000F36A1">
            <w:pPr>
              <w:pStyle w:val="afa"/>
              <w:rPr>
                <w:u w:val="single"/>
              </w:rPr>
            </w:pPr>
            <w:r w:rsidRPr="005767FB">
              <w:rPr>
                <w:rFonts w:hint="eastAsia"/>
                <w:u w:val="single"/>
              </w:rPr>
              <w:t>0.07</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0.0703</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19081220</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3.52</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14</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西曹村</w:t>
            </w:r>
          </w:p>
        </w:tc>
        <w:tc>
          <w:tcPr>
            <w:tcW w:w="501"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0.0009</w:t>
            </w:r>
          </w:p>
        </w:tc>
        <w:tc>
          <w:tcPr>
            <w:tcW w:w="664" w:type="pct"/>
            <w:tcBorders>
              <w:right w:val="single" w:sz="4" w:space="0" w:color="auto"/>
            </w:tcBorders>
            <w:vAlign w:val="center"/>
          </w:tcPr>
          <w:p w:rsidR="00EE56C0" w:rsidRPr="005767FB" w:rsidRDefault="000F36A1">
            <w:pPr>
              <w:pStyle w:val="afa"/>
              <w:rPr>
                <w:u w:val="single"/>
              </w:rPr>
            </w:pPr>
            <w:r w:rsidRPr="005767FB">
              <w:rPr>
                <w:rFonts w:hint="eastAsia"/>
                <w:u w:val="single"/>
              </w:rPr>
              <w:t>0.07</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0.0709</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19070907</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3.55</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15</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中曹村</w:t>
            </w:r>
          </w:p>
        </w:tc>
        <w:tc>
          <w:tcPr>
            <w:tcW w:w="501"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0.0007</w:t>
            </w:r>
          </w:p>
        </w:tc>
        <w:tc>
          <w:tcPr>
            <w:tcW w:w="664" w:type="pct"/>
            <w:tcBorders>
              <w:right w:val="single" w:sz="4" w:space="0" w:color="auto"/>
            </w:tcBorders>
            <w:vAlign w:val="center"/>
          </w:tcPr>
          <w:p w:rsidR="00EE56C0" w:rsidRPr="005767FB" w:rsidRDefault="000F36A1">
            <w:pPr>
              <w:pStyle w:val="afa"/>
              <w:rPr>
                <w:u w:val="single"/>
              </w:rPr>
            </w:pPr>
            <w:r w:rsidRPr="005767FB">
              <w:rPr>
                <w:rFonts w:hint="eastAsia"/>
                <w:u w:val="single"/>
              </w:rPr>
              <w:t>0.07</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0.0707</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19070907</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3.54</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16</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东曹村</w:t>
            </w:r>
          </w:p>
        </w:tc>
        <w:tc>
          <w:tcPr>
            <w:tcW w:w="501"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0.0006</w:t>
            </w:r>
          </w:p>
        </w:tc>
        <w:tc>
          <w:tcPr>
            <w:tcW w:w="664" w:type="pct"/>
            <w:tcBorders>
              <w:right w:val="single" w:sz="4" w:space="0" w:color="auto"/>
            </w:tcBorders>
            <w:vAlign w:val="center"/>
          </w:tcPr>
          <w:p w:rsidR="00EE56C0" w:rsidRPr="005767FB" w:rsidRDefault="000F36A1">
            <w:pPr>
              <w:pStyle w:val="afa"/>
              <w:rPr>
                <w:u w:val="single"/>
              </w:rPr>
            </w:pPr>
            <w:r w:rsidRPr="005767FB">
              <w:rPr>
                <w:rFonts w:hint="eastAsia"/>
                <w:u w:val="single"/>
              </w:rPr>
              <w:t>0.07</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0.0706</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19022110</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3.53</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17</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七里营镇</w:t>
            </w:r>
          </w:p>
        </w:tc>
        <w:tc>
          <w:tcPr>
            <w:tcW w:w="501"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0.0007</w:t>
            </w:r>
          </w:p>
        </w:tc>
        <w:tc>
          <w:tcPr>
            <w:tcW w:w="664" w:type="pct"/>
            <w:tcBorders>
              <w:right w:val="single" w:sz="4" w:space="0" w:color="auto"/>
            </w:tcBorders>
            <w:vAlign w:val="center"/>
          </w:tcPr>
          <w:p w:rsidR="00EE56C0" w:rsidRPr="005767FB" w:rsidRDefault="000F36A1">
            <w:pPr>
              <w:pStyle w:val="afa"/>
              <w:rPr>
                <w:u w:val="single"/>
              </w:rPr>
            </w:pPr>
            <w:r w:rsidRPr="005767FB">
              <w:rPr>
                <w:rFonts w:hint="eastAsia"/>
                <w:u w:val="single"/>
              </w:rPr>
              <w:t>0.07</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0.0707</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19121910</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3.54</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18</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七二村</w:t>
            </w:r>
          </w:p>
        </w:tc>
        <w:tc>
          <w:tcPr>
            <w:tcW w:w="501"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0.0006</w:t>
            </w:r>
          </w:p>
        </w:tc>
        <w:tc>
          <w:tcPr>
            <w:tcW w:w="664" w:type="pct"/>
            <w:tcBorders>
              <w:right w:val="single" w:sz="4" w:space="0" w:color="auto"/>
            </w:tcBorders>
            <w:vAlign w:val="center"/>
          </w:tcPr>
          <w:p w:rsidR="00EE56C0" w:rsidRPr="005767FB" w:rsidRDefault="000F36A1">
            <w:pPr>
              <w:pStyle w:val="afa"/>
              <w:rPr>
                <w:u w:val="single"/>
              </w:rPr>
            </w:pPr>
            <w:r w:rsidRPr="005767FB">
              <w:rPr>
                <w:rFonts w:hint="eastAsia"/>
                <w:u w:val="single"/>
              </w:rPr>
              <w:t>0.07</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0.0706</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19050408</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3.53</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19</w:t>
            </w:r>
          </w:p>
        </w:tc>
        <w:tc>
          <w:tcPr>
            <w:tcW w:w="561" w:type="pct"/>
            <w:tcBorders>
              <w:right w:val="single" w:sz="4" w:space="0" w:color="auto"/>
            </w:tcBorders>
            <w:vAlign w:val="center"/>
          </w:tcPr>
          <w:p w:rsidR="00EE56C0" w:rsidRPr="005767FB" w:rsidRDefault="000F36A1">
            <w:pPr>
              <w:pStyle w:val="afa"/>
              <w:rPr>
                <w:u w:val="single"/>
              </w:rPr>
            </w:pPr>
            <w:r w:rsidRPr="005767FB">
              <w:rPr>
                <w:rFonts w:hAnsi="宋体" w:hint="eastAsia"/>
                <w:u w:val="single"/>
              </w:rPr>
              <w:t>刘庄</w:t>
            </w:r>
          </w:p>
        </w:tc>
        <w:tc>
          <w:tcPr>
            <w:tcW w:w="501"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0.0006</w:t>
            </w:r>
          </w:p>
        </w:tc>
        <w:tc>
          <w:tcPr>
            <w:tcW w:w="664" w:type="pct"/>
            <w:tcBorders>
              <w:right w:val="single" w:sz="4" w:space="0" w:color="auto"/>
            </w:tcBorders>
            <w:vAlign w:val="center"/>
          </w:tcPr>
          <w:p w:rsidR="00EE56C0" w:rsidRPr="005767FB" w:rsidRDefault="000F36A1">
            <w:pPr>
              <w:pStyle w:val="afa"/>
              <w:rPr>
                <w:u w:val="single"/>
              </w:rPr>
            </w:pPr>
            <w:r w:rsidRPr="005767FB">
              <w:rPr>
                <w:rFonts w:hint="eastAsia"/>
                <w:u w:val="single"/>
              </w:rPr>
              <w:t>0.07</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0.0706</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19051208</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3.53</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20</w:t>
            </w:r>
          </w:p>
        </w:tc>
        <w:tc>
          <w:tcPr>
            <w:tcW w:w="561" w:type="pct"/>
            <w:tcBorders>
              <w:right w:val="single" w:sz="4" w:space="0" w:color="auto"/>
            </w:tcBorders>
            <w:vAlign w:val="center"/>
          </w:tcPr>
          <w:p w:rsidR="00EE56C0" w:rsidRPr="005767FB" w:rsidRDefault="000F36A1">
            <w:pPr>
              <w:pStyle w:val="afa"/>
              <w:rPr>
                <w:u w:val="single"/>
              </w:rPr>
            </w:pPr>
            <w:r w:rsidRPr="005767FB">
              <w:rPr>
                <w:rFonts w:hAnsi="宋体" w:hint="eastAsia"/>
                <w:u w:val="single"/>
              </w:rPr>
              <w:t>陈庄村</w:t>
            </w:r>
          </w:p>
        </w:tc>
        <w:tc>
          <w:tcPr>
            <w:tcW w:w="501"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0.0007</w:t>
            </w:r>
          </w:p>
        </w:tc>
        <w:tc>
          <w:tcPr>
            <w:tcW w:w="664" w:type="pct"/>
            <w:tcBorders>
              <w:right w:val="single" w:sz="4" w:space="0" w:color="auto"/>
            </w:tcBorders>
            <w:vAlign w:val="center"/>
          </w:tcPr>
          <w:p w:rsidR="00EE56C0" w:rsidRPr="005767FB" w:rsidRDefault="000F36A1">
            <w:pPr>
              <w:pStyle w:val="afa"/>
              <w:rPr>
                <w:u w:val="single"/>
              </w:rPr>
            </w:pPr>
            <w:r w:rsidRPr="005767FB">
              <w:rPr>
                <w:rFonts w:hint="eastAsia"/>
                <w:u w:val="single"/>
              </w:rPr>
              <w:t>0.07</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0.0707</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19051208</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3.54</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21</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bCs/>
                <w:u w:val="single"/>
              </w:rPr>
              <w:t>位庄村</w:t>
            </w:r>
          </w:p>
        </w:tc>
        <w:tc>
          <w:tcPr>
            <w:tcW w:w="501"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0.0003</w:t>
            </w:r>
          </w:p>
        </w:tc>
        <w:tc>
          <w:tcPr>
            <w:tcW w:w="664" w:type="pct"/>
            <w:tcBorders>
              <w:right w:val="single" w:sz="4" w:space="0" w:color="auto"/>
            </w:tcBorders>
            <w:vAlign w:val="center"/>
          </w:tcPr>
          <w:p w:rsidR="00EE56C0" w:rsidRPr="005767FB" w:rsidRDefault="000F36A1">
            <w:pPr>
              <w:pStyle w:val="afa"/>
              <w:rPr>
                <w:u w:val="single"/>
              </w:rPr>
            </w:pPr>
            <w:r w:rsidRPr="005767FB">
              <w:rPr>
                <w:rFonts w:hint="eastAsia"/>
                <w:u w:val="single"/>
              </w:rPr>
              <w:t>0.07</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0.0703</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19062004</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3.52</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22</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南魏庄</w:t>
            </w:r>
          </w:p>
        </w:tc>
        <w:tc>
          <w:tcPr>
            <w:tcW w:w="501"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0.0003</w:t>
            </w:r>
          </w:p>
        </w:tc>
        <w:tc>
          <w:tcPr>
            <w:tcW w:w="664" w:type="pct"/>
            <w:tcBorders>
              <w:right w:val="single" w:sz="4" w:space="0" w:color="auto"/>
            </w:tcBorders>
            <w:vAlign w:val="center"/>
          </w:tcPr>
          <w:p w:rsidR="00EE56C0" w:rsidRPr="005767FB" w:rsidRDefault="000F36A1">
            <w:pPr>
              <w:pStyle w:val="afa"/>
              <w:rPr>
                <w:u w:val="single"/>
              </w:rPr>
            </w:pPr>
            <w:r w:rsidRPr="005767FB">
              <w:rPr>
                <w:rFonts w:hint="eastAsia"/>
                <w:u w:val="single"/>
              </w:rPr>
              <w:t>0.07</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0.0703</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19060323</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3.52</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23</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曹庄村</w:t>
            </w:r>
          </w:p>
        </w:tc>
        <w:tc>
          <w:tcPr>
            <w:tcW w:w="501"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0.0003</w:t>
            </w:r>
          </w:p>
        </w:tc>
        <w:tc>
          <w:tcPr>
            <w:tcW w:w="664" w:type="pct"/>
            <w:tcBorders>
              <w:right w:val="single" w:sz="4" w:space="0" w:color="auto"/>
            </w:tcBorders>
            <w:vAlign w:val="center"/>
          </w:tcPr>
          <w:p w:rsidR="00EE56C0" w:rsidRPr="005767FB" w:rsidRDefault="000F36A1">
            <w:pPr>
              <w:pStyle w:val="afa"/>
              <w:rPr>
                <w:u w:val="single"/>
              </w:rPr>
            </w:pPr>
            <w:r w:rsidRPr="005767FB">
              <w:rPr>
                <w:rFonts w:hint="eastAsia"/>
                <w:u w:val="single"/>
              </w:rPr>
              <w:t>0.07</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0.0703</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19080922</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3.52</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24</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新</w:t>
            </w:r>
            <w:r w:rsidRPr="005767FB">
              <w:rPr>
                <w:rFonts w:hAnsi="宋体" w:hint="eastAsia"/>
                <w:u w:val="single"/>
              </w:rPr>
              <w:t>庄</w:t>
            </w:r>
            <w:r w:rsidRPr="005767FB">
              <w:rPr>
                <w:rFonts w:hint="eastAsia"/>
                <w:u w:val="single"/>
              </w:rPr>
              <w:t>村</w:t>
            </w:r>
          </w:p>
        </w:tc>
        <w:tc>
          <w:tcPr>
            <w:tcW w:w="501"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0.0003</w:t>
            </w:r>
          </w:p>
        </w:tc>
        <w:tc>
          <w:tcPr>
            <w:tcW w:w="664" w:type="pct"/>
            <w:tcBorders>
              <w:right w:val="single" w:sz="4" w:space="0" w:color="auto"/>
            </w:tcBorders>
            <w:vAlign w:val="center"/>
          </w:tcPr>
          <w:p w:rsidR="00EE56C0" w:rsidRPr="005767FB" w:rsidRDefault="000F36A1">
            <w:pPr>
              <w:pStyle w:val="afa"/>
              <w:rPr>
                <w:u w:val="single"/>
              </w:rPr>
            </w:pPr>
            <w:r w:rsidRPr="005767FB">
              <w:rPr>
                <w:rFonts w:hint="eastAsia"/>
                <w:u w:val="single"/>
              </w:rPr>
              <w:t>0.07</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0.0703</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19080922</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3.52</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25</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刘纪岗</w:t>
            </w:r>
            <w:r w:rsidRPr="005767FB">
              <w:rPr>
                <w:rFonts w:hAnsi="宋体" w:hint="eastAsia"/>
                <w:u w:val="single"/>
              </w:rPr>
              <w:t>庄</w:t>
            </w:r>
            <w:r w:rsidRPr="005767FB">
              <w:rPr>
                <w:rFonts w:hint="eastAsia"/>
                <w:u w:val="single"/>
              </w:rPr>
              <w:t>村</w:t>
            </w:r>
          </w:p>
        </w:tc>
        <w:tc>
          <w:tcPr>
            <w:tcW w:w="501"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0.0002</w:t>
            </w:r>
          </w:p>
        </w:tc>
        <w:tc>
          <w:tcPr>
            <w:tcW w:w="664" w:type="pct"/>
            <w:tcBorders>
              <w:right w:val="single" w:sz="4" w:space="0" w:color="auto"/>
            </w:tcBorders>
            <w:vAlign w:val="center"/>
          </w:tcPr>
          <w:p w:rsidR="00EE56C0" w:rsidRPr="005767FB" w:rsidRDefault="000F36A1">
            <w:pPr>
              <w:pStyle w:val="afa"/>
              <w:rPr>
                <w:u w:val="single"/>
              </w:rPr>
            </w:pPr>
            <w:r w:rsidRPr="005767FB">
              <w:rPr>
                <w:rFonts w:hint="eastAsia"/>
                <w:u w:val="single"/>
              </w:rPr>
              <w:t>0.07</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0.0702</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19073005</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3.51</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26</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小张庄村</w:t>
            </w:r>
          </w:p>
        </w:tc>
        <w:tc>
          <w:tcPr>
            <w:tcW w:w="501"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0.0003</w:t>
            </w:r>
          </w:p>
        </w:tc>
        <w:tc>
          <w:tcPr>
            <w:tcW w:w="664" w:type="pct"/>
            <w:tcBorders>
              <w:right w:val="single" w:sz="4" w:space="0" w:color="auto"/>
            </w:tcBorders>
            <w:vAlign w:val="center"/>
          </w:tcPr>
          <w:p w:rsidR="00EE56C0" w:rsidRPr="005767FB" w:rsidRDefault="000F36A1">
            <w:pPr>
              <w:pStyle w:val="afa"/>
              <w:rPr>
                <w:u w:val="single"/>
              </w:rPr>
            </w:pPr>
            <w:r w:rsidRPr="005767FB">
              <w:rPr>
                <w:rFonts w:hint="eastAsia"/>
                <w:u w:val="single"/>
              </w:rPr>
              <w:t>0.07</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0.0703</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19071802</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3.52</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lastRenderedPageBreak/>
              <w:t>27</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苗庄村</w:t>
            </w:r>
          </w:p>
        </w:tc>
        <w:tc>
          <w:tcPr>
            <w:tcW w:w="501"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0.0002</w:t>
            </w:r>
          </w:p>
        </w:tc>
        <w:tc>
          <w:tcPr>
            <w:tcW w:w="664" w:type="pct"/>
            <w:tcBorders>
              <w:right w:val="single" w:sz="4" w:space="0" w:color="auto"/>
            </w:tcBorders>
            <w:vAlign w:val="center"/>
          </w:tcPr>
          <w:p w:rsidR="00EE56C0" w:rsidRPr="005767FB" w:rsidRDefault="000F36A1">
            <w:pPr>
              <w:pStyle w:val="afa"/>
              <w:rPr>
                <w:u w:val="single"/>
              </w:rPr>
            </w:pPr>
            <w:r w:rsidRPr="005767FB">
              <w:rPr>
                <w:rFonts w:hint="eastAsia"/>
                <w:u w:val="single"/>
              </w:rPr>
              <w:t>0.07</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0.0702</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19071802</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3.51</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28</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沟王村</w:t>
            </w:r>
          </w:p>
        </w:tc>
        <w:tc>
          <w:tcPr>
            <w:tcW w:w="501"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0.0004</w:t>
            </w:r>
          </w:p>
        </w:tc>
        <w:tc>
          <w:tcPr>
            <w:tcW w:w="664" w:type="pct"/>
            <w:tcBorders>
              <w:right w:val="single" w:sz="4" w:space="0" w:color="auto"/>
            </w:tcBorders>
            <w:vAlign w:val="center"/>
          </w:tcPr>
          <w:p w:rsidR="00EE56C0" w:rsidRPr="005767FB" w:rsidRDefault="000F36A1">
            <w:pPr>
              <w:pStyle w:val="afa"/>
              <w:rPr>
                <w:u w:val="single"/>
              </w:rPr>
            </w:pPr>
            <w:r w:rsidRPr="005767FB">
              <w:rPr>
                <w:rFonts w:hint="eastAsia"/>
                <w:u w:val="single"/>
              </w:rPr>
              <w:t>0.07</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0.0704</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19051208</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3.52</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29</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八柳树村</w:t>
            </w:r>
          </w:p>
        </w:tc>
        <w:tc>
          <w:tcPr>
            <w:tcW w:w="501"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0.0003</w:t>
            </w:r>
          </w:p>
        </w:tc>
        <w:tc>
          <w:tcPr>
            <w:tcW w:w="664" w:type="pct"/>
            <w:tcBorders>
              <w:right w:val="single" w:sz="4" w:space="0" w:color="auto"/>
            </w:tcBorders>
            <w:vAlign w:val="center"/>
          </w:tcPr>
          <w:p w:rsidR="00EE56C0" w:rsidRPr="005767FB" w:rsidRDefault="000F36A1">
            <w:pPr>
              <w:pStyle w:val="afa"/>
              <w:rPr>
                <w:u w:val="single"/>
              </w:rPr>
            </w:pPr>
            <w:r w:rsidRPr="005767FB">
              <w:rPr>
                <w:rFonts w:hint="eastAsia"/>
                <w:u w:val="single"/>
              </w:rPr>
              <w:t>0.07</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0.0703</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19060401</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3.52</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30</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宋庄村</w:t>
            </w:r>
          </w:p>
        </w:tc>
        <w:tc>
          <w:tcPr>
            <w:tcW w:w="501"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0.0003</w:t>
            </w:r>
          </w:p>
        </w:tc>
        <w:tc>
          <w:tcPr>
            <w:tcW w:w="664" w:type="pct"/>
            <w:tcBorders>
              <w:right w:val="single" w:sz="4" w:space="0" w:color="auto"/>
            </w:tcBorders>
            <w:vAlign w:val="center"/>
          </w:tcPr>
          <w:p w:rsidR="00EE56C0" w:rsidRPr="005767FB" w:rsidRDefault="000F36A1">
            <w:pPr>
              <w:pStyle w:val="afa"/>
              <w:rPr>
                <w:u w:val="single"/>
              </w:rPr>
            </w:pPr>
            <w:r w:rsidRPr="005767FB">
              <w:rPr>
                <w:rFonts w:hint="eastAsia"/>
                <w:u w:val="single"/>
              </w:rPr>
              <w:t>0.07</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0.0703</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19061204</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3.52</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31</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东王庄村</w:t>
            </w:r>
          </w:p>
        </w:tc>
        <w:tc>
          <w:tcPr>
            <w:tcW w:w="501"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0.0002</w:t>
            </w:r>
          </w:p>
        </w:tc>
        <w:tc>
          <w:tcPr>
            <w:tcW w:w="664" w:type="pct"/>
            <w:tcBorders>
              <w:right w:val="single" w:sz="4" w:space="0" w:color="auto"/>
            </w:tcBorders>
            <w:vAlign w:val="center"/>
          </w:tcPr>
          <w:p w:rsidR="00EE56C0" w:rsidRPr="005767FB" w:rsidRDefault="000F36A1">
            <w:pPr>
              <w:pStyle w:val="afa"/>
              <w:rPr>
                <w:u w:val="single"/>
              </w:rPr>
            </w:pPr>
            <w:r w:rsidRPr="005767FB">
              <w:rPr>
                <w:rFonts w:hint="eastAsia"/>
                <w:u w:val="single"/>
              </w:rPr>
              <w:t>0.07</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0.0702</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19062823</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3.51</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32</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大兴村</w:t>
            </w:r>
          </w:p>
        </w:tc>
        <w:tc>
          <w:tcPr>
            <w:tcW w:w="501"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0.0003</w:t>
            </w:r>
          </w:p>
        </w:tc>
        <w:tc>
          <w:tcPr>
            <w:tcW w:w="664" w:type="pct"/>
            <w:tcBorders>
              <w:right w:val="single" w:sz="4" w:space="0" w:color="auto"/>
            </w:tcBorders>
            <w:vAlign w:val="center"/>
          </w:tcPr>
          <w:p w:rsidR="00EE56C0" w:rsidRPr="005767FB" w:rsidRDefault="000F36A1">
            <w:pPr>
              <w:pStyle w:val="afa"/>
              <w:rPr>
                <w:u w:val="single"/>
              </w:rPr>
            </w:pPr>
            <w:r w:rsidRPr="005767FB">
              <w:rPr>
                <w:rFonts w:hint="eastAsia"/>
                <w:u w:val="single"/>
              </w:rPr>
              <w:t>0.07</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0.0703</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19041208</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3.52</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33</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东贾城村</w:t>
            </w:r>
          </w:p>
        </w:tc>
        <w:tc>
          <w:tcPr>
            <w:tcW w:w="501"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0.0004</w:t>
            </w:r>
          </w:p>
        </w:tc>
        <w:tc>
          <w:tcPr>
            <w:tcW w:w="664" w:type="pct"/>
            <w:tcBorders>
              <w:right w:val="single" w:sz="4" w:space="0" w:color="auto"/>
            </w:tcBorders>
            <w:vAlign w:val="center"/>
          </w:tcPr>
          <w:p w:rsidR="00EE56C0" w:rsidRPr="005767FB" w:rsidRDefault="000F36A1">
            <w:pPr>
              <w:pStyle w:val="afa"/>
              <w:rPr>
                <w:u w:val="single"/>
              </w:rPr>
            </w:pPr>
            <w:r w:rsidRPr="005767FB">
              <w:rPr>
                <w:rFonts w:hint="eastAsia"/>
                <w:u w:val="single"/>
              </w:rPr>
              <w:t>0.07</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0.0704</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19031908</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3.52</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34</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高村</w:t>
            </w:r>
          </w:p>
        </w:tc>
        <w:tc>
          <w:tcPr>
            <w:tcW w:w="501"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0.0003</w:t>
            </w:r>
          </w:p>
        </w:tc>
        <w:tc>
          <w:tcPr>
            <w:tcW w:w="664" w:type="pct"/>
            <w:tcBorders>
              <w:right w:val="single" w:sz="4" w:space="0" w:color="auto"/>
            </w:tcBorders>
            <w:vAlign w:val="center"/>
          </w:tcPr>
          <w:p w:rsidR="00EE56C0" w:rsidRPr="005767FB" w:rsidRDefault="000F36A1">
            <w:pPr>
              <w:pStyle w:val="afa"/>
              <w:rPr>
                <w:u w:val="single"/>
              </w:rPr>
            </w:pPr>
            <w:r w:rsidRPr="005767FB">
              <w:rPr>
                <w:rFonts w:hint="eastAsia"/>
                <w:u w:val="single"/>
              </w:rPr>
              <w:t>0.07</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0.0703</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19061906</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3.52</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35</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侯庄村</w:t>
            </w:r>
          </w:p>
        </w:tc>
        <w:tc>
          <w:tcPr>
            <w:tcW w:w="501"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0.0003</w:t>
            </w:r>
          </w:p>
        </w:tc>
        <w:tc>
          <w:tcPr>
            <w:tcW w:w="664" w:type="pct"/>
            <w:tcBorders>
              <w:right w:val="single" w:sz="4" w:space="0" w:color="auto"/>
            </w:tcBorders>
            <w:vAlign w:val="center"/>
          </w:tcPr>
          <w:p w:rsidR="00EE56C0" w:rsidRPr="005767FB" w:rsidRDefault="000F36A1">
            <w:pPr>
              <w:pStyle w:val="afa"/>
              <w:rPr>
                <w:u w:val="single"/>
              </w:rPr>
            </w:pPr>
            <w:r w:rsidRPr="005767FB">
              <w:rPr>
                <w:rFonts w:hint="eastAsia"/>
                <w:u w:val="single"/>
              </w:rPr>
              <w:t>0.07</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0.0703</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19081824</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3.52</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36</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东石碑村</w:t>
            </w:r>
          </w:p>
        </w:tc>
        <w:tc>
          <w:tcPr>
            <w:tcW w:w="501"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0.0004</w:t>
            </w:r>
          </w:p>
        </w:tc>
        <w:tc>
          <w:tcPr>
            <w:tcW w:w="664" w:type="pct"/>
            <w:tcBorders>
              <w:right w:val="single" w:sz="4" w:space="0" w:color="auto"/>
            </w:tcBorders>
            <w:vAlign w:val="center"/>
          </w:tcPr>
          <w:p w:rsidR="00EE56C0" w:rsidRPr="005767FB" w:rsidRDefault="000F36A1">
            <w:pPr>
              <w:pStyle w:val="afa"/>
              <w:rPr>
                <w:u w:val="single"/>
              </w:rPr>
            </w:pPr>
            <w:r w:rsidRPr="005767FB">
              <w:rPr>
                <w:rFonts w:hint="eastAsia"/>
                <w:u w:val="single"/>
              </w:rPr>
              <w:t>0.07</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0.0704</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19120910</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3.52</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37</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杏庄村</w:t>
            </w:r>
          </w:p>
        </w:tc>
        <w:tc>
          <w:tcPr>
            <w:tcW w:w="501"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0.0004</w:t>
            </w:r>
          </w:p>
        </w:tc>
        <w:tc>
          <w:tcPr>
            <w:tcW w:w="664" w:type="pct"/>
            <w:tcBorders>
              <w:right w:val="single" w:sz="4" w:space="0" w:color="auto"/>
            </w:tcBorders>
            <w:vAlign w:val="center"/>
          </w:tcPr>
          <w:p w:rsidR="00EE56C0" w:rsidRPr="005767FB" w:rsidRDefault="000F36A1">
            <w:pPr>
              <w:pStyle w:val="afa"/>
              <w:rPr>
                <w:u w:val="single"/>
              </w:rPr>
            </w:pPr>
            <w:r w:rsidRPr="005767FB">
              <w:rPr>
                <w:rFonts w:hint="eastAsia"/>
                <w:u w:val="single"/>
              </w:rPr>
              <w:t>0.07</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0.0704</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19120910</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3.52</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38</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敦留店村</w:t>
            </w:r>
          </w:p>
        </w:tc>
        <w:tc>
          <w:tcPr>
            <w:tcW w:w="501"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0.0004</w:t>
            </w:r>
          </w:p>
        </w:tc>
        <w:tc>
          <w:tcPr>
            <w:tcW w:w="664" w:type="pct"/>
            <w:tcBorders>
              <w:right w:val="single" w:sz="4" w:space="0" w:color="auto"/>
            </w:tcBorders>
            <w:vAlign w:val="center"/>
          </w:tcPr>
          <w:p w:rsidR="00EE56C0" w:rsidRPr="005767FB" w:rsidRDefault="000F36A1">
            <w:pPr>
              <w:pStyle w:val="afa"/>
              <w:rPr>
                <w:u w:val="single"/>
              </w:rPr>
            </w:pPr>
            <w:r w:rsidRPr="005767FB">
              <w:rPr>
                <w:rFonts w:hint="eastAsia"/>
                <w:u w:val="single"/>
              </w:rPr>
              <w:t>0.07</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0.0704</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19070907</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3.52</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39</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李道堤村</w:t>
            </w:r>
          </w:p>
        </w:tc>
        <w:tc>
          <w:tcPr>
            <w:tcW w:w="501"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0.0004</w:t>
            </w:r>
          </w:p>
        </w:tc>
        <w:tc>
          <w:tcPr>
            <w:tcW w:w="664" w:type="pct"/>
            <w:tcBorders>
              <w:right w:val="single" w:sz="4" w:space="0" w:color="auto"/>
            </w:tcBorders>
            <w:vAlign w:val="center"/>
          </w:tcPr>
          <w:p w:rsidR="00EE56C0" w:rsidRPr="005767FB" w:rsidRDefault="000F36A1">
            <w:pPr>
              <w:pStyle w:val="afa"/>
              <w:rPr>
                <w:u w:val="single"/>
              </w:rPr>
            </w:pPr>
            <w:r w:rsidRPr="005767FB">
              <w:rPr>
                <w:rFonts w:hint="eastAsia"/>
                <w:u w:val="single"/>
              </w:rPr>
              <w:t>0.07</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0.0704</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19070907</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3.52</w:t>
            </w:r>
          </w:p>
        </w:tc>
        <w:tc>
          <w:tcPr>
            <w:tcW w:w="443" w:type="pct"/>
            <w:vAlign w:val="center"/>
          </w:tcPr>
          <w:p w:rsidR="00EE56C0" w:rsidRPr="005767FB" w:rsidRDefault="000F36A1">
            <w:pPr>
              <w:pStyle w:val="afa"/>
              <w:rPr>
                <w:u w:val="single"/>
              </w:rPr>
            </w:pPr>
            <w:r w:rsidRPr="005767FB">
              <w:rPr>
                <w:rFonts w:hint="eastAsia"/>
                <w:u w:val="single"/>
              </w:rPr>
              <w:t>达标</w:t>
            </w:r>
          </w:p>
        </w:tc>
      </w:tr>
    </w:tbl>
    <w:p w:rsidR="00EE56C0" w:rsidRDefault="000F36A1">
      <w:pPr>
        <w:pStyle w:val="afd"/>
        <w:spacing w:before="120" w:after="120"/>
        <w:ind w:firstLine="482"/>
      </w:pPr>
      <w:r>
        <w:t>表</w:t>
      </w:r>
      <w:r>
        <w:t>5-</w:t>
      </w:r>
      <w:r>
        <w:rPr>
          <w:rFonts w:hint="eastAsia"/>
        </w:rPr>
        <w:t xml:space="preserve">31             </w:t>
      </w:r>
      <w:r>
        <w:rPr>
          <w:rFonts w:hint="eastAsia"/>
        </w:rPr>
        <w:t>二甲苯小时浓度预测结果分析</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tblPr>
      <w:tblGrid>
        <w:gridCol w:w="427"/>
        <w:gridCol w:w="957"/>
        <w:gridCol w:w="853"/>
        <w:gridCol w:w="1274"/>
        <w:gridCol w:w="1134"/>
        <w:gridCol w:w="1134"/>
        <w:gridCol w:w="1146"/>
        <w:gridCol w:w="848"/>
        <w:gridCol w:w="756"/>
      </w:tblGrid>
      <w:tr w:rsidR="00EE56C0" w:rsidRPr="005767FB">
        <w:trPr>
          <w:trHeight w:val="870"/>
          <w:tblHeader/>
          <w:jc w:val="center"/>
        </w:trPr>
        <w:tc>
          <w:tcPr>
            <w:tcW w:w="250" w:type="pct"/>
            <w:vAlign w:val="center"/>
          </w:tcPr>
          <w:p w:rsidR="00EE56C0" w:rsidRPr="005767FB" w:rsidRDefault="00340837">
            <w:pPr>
              <w:pStyle w:val="aff1"/>
              <w:rPr>
                <w:color w:val="auto"/>
                <w:u w:val="single"/>
              </w:rPr>
            </w:pPr>
            <w:r>
              <w:rPr>
                <w:color w:val="auto"/>
                <w:u w:val="single"/>
              </w:rPr>
              <w:pict>
                <v:shape id="_x0000_s2262" type="#_x0000_t202" style="position:absolute;left:0;text-align:left;margin-left:39.35pt;margin-top:-192.15pt;width:21.65pt;height:19.65pt;z-index:251717120" o:gfxdata="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" filled="f" stroked="f" strokeweight="1pt">
                  <v:textbox>
                    <w:txbxContent>
                      <w:p w:rsidR="009C6BD9" w:rsidRDefault="009C6BD9">
                        <w:pPr>
                          <w:ind w:firstLine="482"/>
                          <w:rPr>
                            <w:b/>
                            <w:color w:val="FF0000"/>
                            <w:szCs w:val="21"/>
                          </w:rPr>
                        </w:pPr>
                        <w:r>
                          <w:rPr>
                            <w:rFonts w:hint="eastAsia"/>
                            <w:b/>
                            <w:color w:val="FF0000"/>
                            <w:szCs w:val="21"/>
                          </w:rPr>
                          <w:t>3</w:t>
                        </w:r>
                      </w:p>
                    </w:txbxContent>
                  </v:textbox>
                </v:shape>
              </w:pict>
            </w:r>
            <w:r w:rsidR="000F36A1" w:rsidRPr="005767FB">
              <w:rPr>
                <w:rFonts w:hAnsi="宋体"/>
                <w:color w:val="auto"/>
                <w:u w:val="single"/>
              </w:rPr>
              <w:t>序列</w:t>
            </w:r>
          </w:p>
        </w:tc>
        <w:tc>
          <w:tcPr>
            <w:tcW w:w="561" w:type="pct"/>
            <w:tcBorders>
              <w:right w:val="single" w:sz="4" w:space="0" w:color="auto"/>
            </w:tcBorders>
            <w:vAlign w:val="center"/>
          </w:tcPr>
          <w:p w:rsidR="00EE56C0" w:rsidRPr="005767FB" w:rsidRDefault="000F36A1">
            <w:pPr>
              <w:pStyle w:val="aff1"/>
              <w:rPr>
                <w:color w:val="auto"/>
                <w:u w:val="single"/>
              </w:rPr>
            </w:pPr>
            <w:r w:rsidRPr="005767FB">
              <w:rPr>
                <w:rFonts w:hAnsi="宋体" w:hint="eastAsia"/>
                <w:color w:val="auto"/>
                <w:u w:val="single"/>
              </w:rPr>
              <w:t>预测点</w:t>
            </w:r>
          </w:p>
        </w:tc>
        <w:tc>
          <w:tcPr>
            <w:tcW w:w="500" w:type="pct"/>
            <w:tcBorders>
              <w:right w:val="single" w:sz="4" w:space="0" w:color="auto"/>
            </w:tcBorders>
            <w:vAlign w:val="center"/>
          </w:tcPr>
          <w:p w:rsidR="00EE56C0" w:rsidRPr="005767FB" w:rsidRDefault="000F36A1">
            <w:pPr>
              <w:pStyle w:val="aff1"/>
              <w:rPr>
                <w:rFonts w:hAnsi="宋体"/>
                <w:color w:val="auto"/>
                <w:u w:val="single"/>
              </w:rPr>
            </w:pPr>
            <w:r w:rsidRPr="005767FB">
              <w:rPr>
                <w:rFonts w:hAnsi="宋体" w:hint="eastAsia"/>
                <w:color w:val="auto"/>
                <w:u w:val="single"/>
              </w:rPr>
              <w:t>平均时段</w:t>
            </w:r>
          </w:p>
        </w:tc>
        <w:tc>
          <w:tcPr>
            <w:tcW w:w="747" w:type="pct"/>
            <w:tcBorders>
              <w:right w:val="single" w:sz="4" w:space="0" w:color="auto"/>
            </w:tcBorders>
            <w:vAlign w:val="center"/>
          </w:tcPr>
          <w:p w:rsidR="00EE56C0" w:rsidRPr="005767FB" w:rsidRDefault="000F36A1">
            <w:pPr>
              <w:pStyle w:val="afa"/>
              <w:rPr>
                <w:b/>
                <w:u w:val="single"/>
              </w:rPr>
            </w:pPr>
            <w:r w:rsidRPr="005767FB">
              <w:rPr>
                <w:rFonts w:hint="eastAsia"/>
                <w:b/>
                <w:u w:val="single"/>
              </w:rPr>
              <w:t>最大贡献值（</w:t>
            </w:r>
            <w:r w:rsidRPr="005767FB">
              <w:rPr>
                <w:rFonts w:hint="eastAsia"/>
                <w:b/>
                <w:u w:val="single"/>
              </w:rPr>
              <w:t>mg/m</w:t>
            </w:r>
            <w:r w:rsidRPr="005767FB">
              <w:rPr>
                <w:rFonts w:hint="eastAsia"/>
                <w:b/>
                <w:u w:val="single"/>
                <w:vertAlign w:val="superscript"/>
              </w:rPr>
              <w:t>3</w:t>
            </w:r>
            <w:r w:rsidRPr="005767FB">
              <w:rPr>
                <w:rFonts w:hint="eastAsia"/>
                <w:b/>
                <w:u w:val="single"/>
              </w:rPr>
              <w:t>）</w:t>
            </w:r>
          </w:p>
        </w:tc>
        <w:tc>
          <w:tcPr>
            <w:tcW w:w="665" w:type="pct"/>
            <w:tcBorders>
              <w:right w:val="single" w:sz="4" w:space="0" w:color="auto"/>
            </w:tcBorders>
            <w:vAlign w:val="center"/>
          </w:tcPr>
          <w:p w:rsidR="00EE56C0" w:rsidRPr="005767FB" w:rsidRDefault="000F36A1">
            <w:pPr>
              <w:pStyle w:val="afa"/>
              <w:rPr>
                <w:b/>
                <w:u w:val="single"/>
              </w:rPr>
            </w:pPr>
            <w:r w:rsidRPr="005767FB">
              <w:rPr>
                <w:rFonts w:hint="eastAsia"/>
                <w:b/>
                <w:u w:val="single"/>
              </w:rPr>
              <w:t>现状值（</w:t>
            </w:r>
            <w:r w:rsidRPr="005767FB">
              <w:rPr>
                <w:rFonts w:hint="eastAsia"/>
                <w:b/>
                <w:u w:val="single"/>
              </w:rPr>
              <w:t>mg/m</w:t>
            </w:r>
            <w:r w:rsidRPr="005767FB">
              <w:rPr>
                <w:rFonts w:hint="eastAsia"/>
                <w:b/>
                <w:u w:val="single"/>
                <w:vertAlign w:val="superscript"/>
              </w:rPr>
              <w:t>3</w:t>
            </w:r>
            <w:r w:rsidRPr="005767FB">
              <w:rPr>
                <w:rFonts w:hint="eastAsia"/>
                <w:b/>
                <w:u w:val="single"/>
              </w:rPr>
              <w:t>）</w:t>
            </w:r>
          </w:p>
        </w:tc>
        <w:tc>
          <w:tcPr>
            <w:tcW w:w="665" w:type="pct"/>
            <w:tcBorders>
              <w:right w:val="single" w:sz="4" w:space="0" w:color="auto"/>
            </w:tcBorders>
            <w:vAlign w:val="center"/>
          </w:tcPr>
          <w:p w:rsidR="00EE56C0" w:rsidRPr="005767FB" w:rsidRDefault="000F36A1">
            <w:pPr>
              <w:pStyle w:val="afa"/>
              <w:rPr>
                <w:b/>
                <w:u w:val="single"/>
              </w:rPr>
            </w:pPr>
            <w:r w:rsidRPr="005767FB">
              <w:rPr>
                <w:rFonts w:hint="eastAsia"/>
                <w:b/>
                <w:u w:val="single"/>
              </w:rPr>
              <w:t>叠加值（</w:t>
            </w:r>
            <w:r w:rsidRPr="005767FB">
              <w:rPr>
                <w:rFonts w:hint="eastAsia"/>
                <w:b/>
                <w:u w:val="single"/>
              </w:rPr>
              <w:t>mg/m</w:t>
            </w:r>
            <w:r w:rsidRPr="005767FB">
              <w:rPr>
                <w:rFonts w:hint="eastAsia"/>
                <w:b/>
                <w:u w:val="single"/>
                <w:vertAlign w:val="superscript"/>
              </w:rPr>
              <w:t>3</w:t>
            </w:r>
            <w:r w:rsidRPr="005767FB">
              <w:rPr>
                <w:rFonts w:hint="eastAsia"/>
                <w:b/>
                <w:u w:val="single"/>
              </w:rPr>
              <w:t>）</w:t>
            </w:r>
          </w:p>
        </w:tc>
        <w:tc>
          <w:tcPr>
            <w:tcW w:w="672" w:type="pct"/>
            <w:tcBorders>
              <w:left w:val="single" w:sz="4" w:space="0" w:color="auto"/>
              <w:right w:val="single" w:sz="4" w:space="0" w:color="auto"/>
            </w:tcBorders>
            <w:vAlign w:val="center"/>
          </w:tcPr>
          <w:p w:rsidR="00EE56C0" w:rsidRPr="005767FB" w:rsidRDefault="000F36A1">
            <w:pPr>
              <w:pStyle w:val="afa"/>
              <w:rPr>
                <w:b/>
                <w:u w:val="single"/>
              </w:rPr>
            </w:pPr>
            <w:r w:rsidRPr="005767FB">
              <w:rPr>
                <w:rFonts w:hint="eastAsia"/>
                <w:b/>
                <w:u w:val="single"/>
              </w:rPr>
              <w:t>出现时间</w:t>
            </w:r>
          </w:p>
        </w:tc>
        <w:tc>
          <w:tcPr>
            <w:tcW w:w="497" w:type="pct"/>
            <w:tcBorders>
              <w:left w:val="single" w:sz="4" w:space="0" w:color="auto"/>
            </w:tcBorders>
            <w:vAlign w:val="center"/>
          </w:tcPr>
          <w:p w:rsidR="00EE56C0" w:rsidRPr="005767FB" w:rsidRDefault="000F36A1">
            <w:pPr>
              <w:pStyle w:val="afa"/>
              <w:rPr>
                <w:b/>
                <w:u w:val="single"/>
              </w:rPr>
            </w:pPr>
            <w:r w:rsidRPr="005767FB">
              <w:rPr>
                <w:rFonts w:hint="eastAsia"/>
                <w:b/>
                <w:u w:val="single"/>
              </w:rPr>
              <w:t>占标率（</w:t>
            </w:r>
            <w:r w:rsidRPr="005767FB">
              <w:rPr>
                <w:rFonts w:hint="eastAsia"/>
                <w:b/>
                <w:u w:val="single"/>
              </w:rPr>
              <w:t>%</w:t>
            </w:r>
            <w:r w:rsidRPr="005767FB">
              <w:rPr>
                <w:rFonts w:hint="eastAsia"/>
                <w:b/>
                <w:u w:val="single"/>
              </w:rPr>
              <w:t>）</w:t>
            </w:r>
          </w:p>
        </w:tc>
        <w:tc>
          <w:tcPr>
            <w:tcW w:w="443" w:type="pct"/>
            <w:vAlign w:val="center"/>
          </w:tcPr>
          <w:p w:rsidR="00EE56C0" w:rsidRPr="005767FB" w:rsidRDefault="000F36A1">
            <w:pPr>
              <w:pStyle w:val="aff1"/>
              <w:rPr>
                <w:color w:val="auto"/>
                <w:u w:val="single"/>
              </w:rPr>
            </w:pPr>
            <w:r w:rsidRPr="005767FB">
              <w:rPr>
                <w:rFonts w:hint="eastAsia"/>
                <w:color w:val="auto"/>
                <w:u w:val="single"/>
              </w:rPr>
              <w:t>达标情况</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u w:val="single"/>
              </w:rPr>
              <w:t>1</w:t>
            </w:r>
          </w:p>
        </w:tc>
        <w:tc>
          <w:tcPr>
            <w:tcW w:w="561" w:type="pct"/>
            <w:tcBorders>
              <w:right w:val="single" w:sz="4" w:space="0" w:color="auto"/>
            </w:tcBorders>
            <w:vAlign w:val="center"/>
          </w:tcPr>
          <w:p w:rsidR="00EE56C0" w:rsidRPr="005767FB" w:rsidRDefault="000F36A1">
            <w:pPr>
              <w:pStyle w:val="afa"/>
              <w:rPr>
                <w:b/>
                <w:u w:val="single"/>
              </w:rPr>
            </w:pPr>
            <w:r w:rsidRPr="005767FB">
              <w:rPr>
                <w:rFonts w:hAnsi="宋体" w:hint="eastAsia"/>
                <w:u w:val="single"/>
              </w:rPr>
              <w:t>南王庄村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0.0030</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19071707</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1.49</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u w:val="single"/>
              </w:rPr>
              <w:t>2</w:t>
            </w:r>
          </w:p>
        </w:tc>
        <w:tc>
          <w:tcPr>
            <w:tcW w:w="561" w:type="pct"/>
            <w:tcBorders>
              <w:right w:val="single" w:sz="4" w:space="0" w:color="auto"/>
            </w:tcBorders>
            <w:vAlign w:val="center"/>
          </w:tcPr>
          <w:p w:rsidR="00EE56C0" w:rsidRPr="005767FB" w:rsidRDefault="000F36A1">
            <w:pPr>
              <w:pStyle w:val="afa"/>
              <w:rPr>
                <w:u w:val="single"/>
              </w:rPr>
            </w:pPr>
            <w:r w:rsidRPr="005767FB">
              <w:rPr>
                <w:rFonts w:hAnsi="宋体" w:hint="eastAsia"/>
                <w:u w:val="single"/>
              </w:rPr>
              <w:t>刘店村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0.0003</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0.0018</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19042008</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0.88</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3</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马庄村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0.0004</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0.0019</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19072107</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0.94</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4</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康庄村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0.0004</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0.0019</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19050307</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0.93</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5</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府庄村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0.0004</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0.0019</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19050107</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0.97</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6</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大张庄村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0.0016</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19112409</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0.82</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7</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大赵庄村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0.0003</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0.0018</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19070207</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0.90</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8</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丁庄村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0.0002</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0.0017</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19050308</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0.84</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9</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刘八庄</w:t>
            </w:r>
            <w:r w:rsidRPr="005767FB">
              <w:rPr>
                <w:rFonts w:hAnsi="宋体" w:hint="eastAsia"/>
                <w:u w:val="single"/>
              </w:rPr>
              <w:lastRenderedPageBreak/>
              <w:t>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lastRenderedPageBreak/>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0.0003</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0.0018</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19050307</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0.91</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lastRenderedPageBreak/>
              <w:t>10</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王贵楼村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0.0003</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0.0018</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19050307</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0.88</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11</w:t>
            </w:r>
          </w:p>
        </w:tc>
        <w:tc>
          <w:tcPr>
            <w:tcW w:w="561" w:type="pct"/>
            <w:tcBorders>
              <w:right w:val="single" w:sz="4" w:space="0" w:color="auto"/>
            </w:tcBorders>
            <w:vAlign w:val="center"/>
          </w:tcPr>
          <w:p w:rsidR="00EE56C0" w:rsidRPr="005767FB" w:rsidRDefault="000F36A1">
            <w:pPr>
              <w:pStyle w:val="afa"/>
              <w:rPr>
                <w:u w:val="single"/>
              </w:rPr>
            </w:pPr>
            <w:r w:rsidRPr="005767FB">
              <w:rPr>
                <w:rFonts w:hAnsi="宋体" w:hint="eastAsia"/>
                <w:u w:val="single"/>
              </w:rPr>
              <w:t>罗滩村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0.0002</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0.0017</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19011911</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0.85</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12</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杨庄村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0.0002</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0.0017</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19111709</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0.86</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13</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杨堤村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0.0002</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0.0017</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19060707</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0.86</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14</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西曹村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0.0020</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19070907</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0.98</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15</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中曹村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0.0004</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0.0019</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19070907</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0.94</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16</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东曹村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0.0004</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0.0019</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19120910</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0.94</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17</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七里营镇</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0.0004</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0.0019</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19041208</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0.95</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18</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七二村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0.0004</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0.0019</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19050408</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0.95</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19</w:t>
            </w:r>
          </w:p>
        </w:tc>
        <w:tc>
          <w:tcPr>
            <w:tcW w:w="561" w:type="pct"/>
            <w:tcBorders>
              <w:right w:val="single" w:sz="4" w:space="0" w:color="auto"/>
            </w:tcBorders>
            <w:vAlign w:val="center"/>
          </w:tcPr>
          <w:p w:rsidR="00EE56C0" w:rsidRPr="005767FB" w:rsidRDefault="000F36A1">
            <w:pPr>
              <w:pStyle w:val="afa"/>
              <w:rPr>
                <w:u w:val="single"/>
              </w:rPr>
            </w:pPr>
            <w:r w:rsidRPr="005767FB">
              <w:rPr>
                <w:rFonts w:hAnsi="宋体" w:hint="eastAsia"/>
                <w:u w:val="single"/>
              </w:rPr>
              <w:t>刘庄</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0.0020</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19051208</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0.99</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20</w:t>
            </w:r>
          </w:p>
        </w:tc>
        <w:tc>
          <w:tcPr>
            <w:tcW w:w="561" w:type="pct"/>
            <w:tcBorders>
              <w:right w:val="single" w:sz="4" w:space="0" w:color="auto"/>
            </w:tcBorders>
            <w:vAlign w:val="center"/>
          </w:tcPr>
          <w:p w:rsidR="00EE56C0" w:rsidRPr="005767FB" w:rsidRDefault="000F36A1">
            <w:pPr>
              <w:pStyle w:val="afa"/>
              <w:rPr>
                <w:u w:val="single"/>
              </w:rPr>
            </w:pPr>
            <w:r w:rsidRPr="005767FB">
              <w:rPr>
                <w:rFonts w:hAnsi="宋体" w:hint="eastAsia"/>
                <w:u w:val="single"/>
              </w:rPr>
              <w:t>陈庄村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0.0020</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19051208</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0.99</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21</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bCs/>
                <w:u w:val="single"/>
              </w:rPr>
              <w:t>位庄村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0.0016</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19062004</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0.81</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22</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南魏庄</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0.0002</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0.0017</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19112309</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0.83</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23</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曹庄村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0.0002</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0.0017</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19060607</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0.86</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24</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新</w:t>
            </w:r>
            <w:r w:rsidRPr="005767FB">
              <w:rPr>
                <w:rFonts w:hAnsi="宋体" w:hint="eastAsia"/>
                <w:u w:val="single"/>
              </w:rPr>
              <w:t>庄</w:t>
            </w:r>
            <w:r w:rsidRPr="005767FB">
              <w:rPr>
                <w:rFonts w:hint="eastAsia"/>
                <w:u w:val="single"/>
              </w:rPr>
              <w:t>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0.0002</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0.0017</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19060607</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0.83</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25</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刘纪岗</w:t>
            </w:r>
            <w:r w:rsidRPr="005767FB">
              <w:rPr>
                <w:rFonts w:hAnsi="宋体" w:hint="eastAsia"/>
                <w:u w:val="single"/>
              </w:rPr>
              <w:t>庄</w:t>
            </w:r>
            <w:r w:rsidRPr="005767FB">
              <w:rPr>
                <w:rFonts w:hint="eastAsia"/>
                <w:u w:val="single"/>
              </w:rPr>
              <w:t>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0.0016</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19060607</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0.81</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26</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小张庄村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0.0016</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19071802</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0.81</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27</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苗庄村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0.0016</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19071802</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0.80</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28</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沟王村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0.0003</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0.0018</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19051208</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0.91</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29</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八柳树村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0.0016</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19032708</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0.82</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30</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宋庄村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0.0003</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0.0018</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19051207</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0.89</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31</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东王庄村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0.0002</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0.0017</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19031808</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0.84</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32</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大兴村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0.0002</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0.0017</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19041208</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0.85</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33</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东贾城村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0.0003</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0.0018</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19031908</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0.89</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lastRenderedPageBreak/>
              <w:t>34</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高村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0.0002</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0.0017</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19051607</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0.87</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35</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侯庄村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0.0002</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0.0017</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19102409</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0.83</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36</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东石碑村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0.0003</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0.0018</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19120910</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0.90</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37</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杏庄村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0.0003</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0.0018</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19120910</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0.88</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38</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敦留店村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0.0002</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0.0017</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19070907</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0.87</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39</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李道堤村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0.0002</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0.0017</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19070907</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0.86</w:t>
            </w:r>
          </w:p>
        </w:tc>
        <w:tc>
          <w:tcPr>
            <w:tcW w:w="443" w:type="pct"/>
            <w:vAlign w:val="center"/>
          </w:tcPr>
          <w:p w:rsidR="00EE56C0" w:rsidRPr="005767FB" w:rsidRDefault="000F36A1">
            <w:pPr>
              <w:pStyle w:val="afa"/>
              <w:rPr>
                <w:u w:val="single"/>
              </w:rPr>
            </w:pPr>
            <w:r w:rsidRPr="005767FB">
              <w:rPr>
                <w:rFonts w:hint="eastAsia"/>
                <w:u w:val="single"/>
              </w:rPr>
              <w:t>达标</w:t>
            </w:r>
          </w:p>
        </w:tc>
      </w:tr>
    </w:tbl>
    <w:p w:rsidR="00EE56C0" w:rsidRDefault="000F36A1">
      <w:pPr>
        <w:pStyle w:val="afd"/>
        <w:spacing w:before="120" w:after="120"/>
        <w:ind w:firstLine="482"/>
      </w:pPr>
      <w:r>
        <w:t>表</w:t>
      </w:r>
      <w:r>
        <w:t>5-</w:t>
      </w:r>
      <w:r>
        <w:rPr>
          <w:rFonts w:hint="eastAsia"/>
        </w:rPr>
        <w:t xml:space="preserve">32             </w:t>
      </w:r>
      <w:r>
        <w:rPr>
          <w:rFonts w:hint="eastAsia"/>
        </w:rPr>
        <w:t>甲苯小时浓度预测结果分析</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tblPr>
      <w:tblGrid>
        <w:gridCol w:w="427"/>
        <w:gridCol w:w="957"/>
        <w:gridCol w:w="853"/>
        <w:gridCol w:w="1274"/>
        <w:gridCol w:w="1134"/>
        <w:gridCol w:w="1134"/>
        <w:gridCol w:w="1146"/>
        <w:gridCol w:w="848"/>
        <w:gridCol w:w="756"/>
      </w:tblGrid>
      <w:tr w:rsidR="00EE56C0" w:rsidRPr="005767FB">
        <w:trPr>
          <w:trHeight w:val="870"/>
          <w:tblHeader/>
          <w:jc w:val="center"/>
        </w:trPr>
        <w:tc>
          <w:tcPr>
            <w:tcW w:w="250" w:type="pct"/>
            <w:vAlign w:val="center"/>
          </w:tcPr>
          <w:p w:rsidR="00EE56C0" w:rsidRPr="005767FB" w:rsidRDefault="00340837">
            <w:pPr>
              <w:pStyle w:val="aff1"/>
              <w:rPr>
                <w:color w:val="auto"/>
                <w:u w:val="single"/>
              </w:rPr>
            </w:pPr>
            <w:r>
              <w:rPr>
                <w:color w:val="auto"/>
                <w:u w:val="single"/>
              </w:rPr>
              <w:pict>
                <v:shape id="_x0000_s2263" type="#_x0000_t202" style="position:absolute;left:0;text-align:left;margin-left:39.35pt;margin-top:-192.15pt;width:21.65pt;height:19.65pt;z-index:251718144" o:gfxdata="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" filled="f" stroked="f" strokeweight="1pt">
                  <v:textbox>
                    <w:txbxContent>
                      <w:p w:rsidR="009C6BD9" w:rsidRDefault="009C6BD9">
                        <w:pPr>
                          <w:ind w:firstLine="482"/>
                          <w:rPr>
                            <w:b/>
                            <w:color w:val="FF0000"/>
                            <w:szCs w:val="21"/>
                          </w:rPr>
                        </w:pPr>
                        <w:r>
                          <w:rPr>
                            <w:rFonts w:hint="eastAsia"/>
                            <w:b/>
                            <w:color w:val="FF0000"/>
                            <w:szCs w:val="21"/>
                          </w:rPr>
                          <w:t>3</w:t>
                        </w:r>
                      </w:p>
                    </w:txbxContent>
                  </v:textbox>
                </v:shape>
              </w:pict>
            </w:r>
            <w:r w:rsidR="000F36A1" w:rsidRPr="005767FB">
              <w:rPr>
                <w:rFonts w:hAnsi="宋体"/>
                <w:color w:val="auto"/>
                <w:u w:val="single"/>
              </w:rPr>
              <w:t>序列</w:t>
            </w:r>
          </w:p>
        </w:tc>
        <w:tc>
          <w:tcPr>
            <w:tcW w:w="561" w:type="pct"/>
            <w:tcBorders>
              <w:right w:val="single" w:sz="4" w:space="0" w:color="auto"/>
            </w:tcBorders>
            <w:vAlign w:val="center"/>
          </w:tcPr>
          <w:p w:rsidR="00EE56C0" w:rsidRPr="005767FB" w:rsidRDefault="000F36A1">
            <w:pPr>
              <w:pStyle w:val="aff1"/>
              <w:rPr>
                <w:color w:val="auto"/>
                <w:u w:val="single"/>
              </w:rPr>
            </w:pPr>
            <w:r w:rsidRPr="005767FB">
              <w:rPr>
                <w:rFonts w:hAnsi="宋体" w:hint="eastAsia"/>
                <w:color w:val="auto"/>
                <w:u w:val="single"/>
              </w:rPr>
              <w:t>预测点</w:t>
            </w:r>
          </w:p>
        </w:tc>
        <w:tc>
          <w:tcPr>
            <w:tcW w:w="500" w:type="pct"/>
            <w:tcBorders>
              <w:right w:val="single" w:sz="4" w:space="0" w:color="auto"/>
            </w:tcBorders>
            <w:vAlign w:val="center"/>
          </w:tcPr>
          <w:p w:rsidR="00EE56C0" w:rsidRPr="005767FB" w:rsidRDefault="000F36A1">
            <w:pPr>
              <w:pStyle w:val="aff1"/>
              <w:rPr>
                <w:rFonts w:hAnsi="宋体"/>
                <w:color w:val="auto"/>
                <w:u w:val="single"/>
              </w:rPr>
            </w:pPr>
            <w:r w:rsidRPr="005767FB">
              <w:rPr>
                <w:rFonts w:hAnsi="宋体" w:hint="eastAsia"/>
                <w:color w:val="auto"/>
                <w:u w:val="single"/>
              </w:rPr>
              <w:t>平均时段</w:t>
            </w:r>
          </w:p>
        </w:tc>
        <w:tc>
          <w:tcPr>
            <w:tcW w:w="747" w:type="pct"/>
            <w:tcBorders>
              <w:right w:val="single" w:sz="4" w:space="0" w:color="auto"/>
            </w:tcBorders>
            <w:vAlign w:val="center"/>
          </w:tcPr>
          <w:p w:rsidR="00EE56C0" w:rsidRPr="005767FB" w:rsidRDefault="000F36A1">
            <w:pPr>
              <w:pStyle w:val="afa"/>
              <w:rPr>
                <w:b/>
                <w:u w:val="single"/>
              </w:rPr>
            </w:pPr>
            <w:r w:rsidRPr="005767FB">
              <w:rPr>
                <w:rFonts w:hint="eastAsia"/>
                <w:b/>
                <w:u w:val="single"/>
              </w:rPr>
              <w:t>最大贡献值（</w:t>
            </w:r>
            <w:r w:rsidRPr="005767FB">
              <w:rPr>
                <w:rFonts w:hint="eastAsia"/>
                <w:b/>
                <w:u w:val="single"/>
              </w:rPr>
              <w:t>mg/m</w:t>
            </w:r>
            <w:r w:rsidRPr="005767FB">
              <w:rPr>
                <w:rFonts w:hint="eastAsia"/>
                <w:b/>
                <w:u w:val="single"/>
                <w:vertAlign w:val="superscript"/>
              </w:rPr>
              <w:t>3</w:t>
            </w:r>
            <w:r w:rsidRPr="005767FB">
              <w:rPr>
                <w:rFonts w:hint="eastAsia"/>
                <w:b/>
                <w:u w:val="single"/>
              </w:rPr>
              <w:t>）</w:t>
            </w:r>
          </w:p>
        </w:tc>
        <w:tc>
          <w:tcPr>
            <w:tcW w:w="665" w:type="pct"/>
            <w:tcBorders>
              <w:right w:val="single" w:sz="4" w:space="0" w:color="auto"/>
            </w:tcBorders>
            <w:vAlign w:val="center"/>
          </w:tcPr>
          <w:p w:rsidR="00EE56C0" w:rsidRPr="005767FB" w:rsidRDefault="000F36A1">
            <w:pPr>
              <w:pStyle w:val="afa"/>
              <w:rPr>
                <w:b/>
                <w:u w:val="single"/>
              </w:rPr>
            </w:pPr>
            <w:r w:rsidRPr="005767FB">
              <w:rPr>
                <w:rFonts w:hint="eastAsia"/>
                <w:b/>
                <w:u w:val="single"/>
              </w:rPr>
              <w:t>现状值（</w:t>
            </w:r>
            <w:r w:rsidRPr="005767FB">
              <w:rPr>
                <w:rFonts w:hint="eastAsia"/>
                <w:b/>
                <w:u w:val="single"/>
              </w:rPr>
              <w:t>mg/m</w:t>
            </w:r>
            <w:r w:rsidRPr="005767FB">
              <w:rPr>
                <w:rFonts w:hint="eastAsia"/>
                <w:b/>
                <w:u w:val="single"/>
                <w:vertAlign w:val="superscript"/>
              </w:rPr>
              <w:t>3</w:t>
            </w:r>
            <w:r w:rsidRPr="005767FB">
              <w:rPr>
                <w:rFonts w:hint="eastAsia"/>
                <w:b/>
                <w:u w:val="single"/>
              </w:rPr>
              <w:t>）</w:t>
            </w:r>
          </w:p>
        </w:tc>
        <w:tc>
          <w:tcPr>
            <w:tcW w:w="665" w:type="pct"/>
            <w:tcBorders>
              <w:right w:val="single" w:sz="4" w:space="0" w:color="auto"/>
            </w:tcBorders>
            <w:vAlign w:val="center"/>
          </w:tcPr>
          <w:p w:rsidR="00EE56C0" w:rsidRPr="005767FB" w:rsidRDefault="000F36A1">
            <w:pPr>
              <w:pStyle w:val="afa"/>
              <w:rPr>
                <w:b/>
                <w:u w:val="single"/>
              </w:rPr>
            </w:pPr>
            <w:r w:rsidRPr="005767FB">
              <w:rPr>
                <w:rFonts w:hint="eastAsia"/>
                <w:b/>
                <w:u w:val="single"/>
              </w:rPr>
              <w:t>叠加值（</w:t>
            </w:r>
            <w:r w:rsidRPr="005767FB">
              <w:rPr>
                <w:rFonts w:hint="eastAsia"/>
                <w:b/>
                <w:u w:val="single"/>
              </w:rPr>
              <w:t>mg/m</w:t>
            </w:r>
            <w:r w:rsidRPr="005767FB">
              <w:rPr>
                <w:rFonts w:hint="eastAsia"/>
                <w:b/>
                <w:u w:val="single"/>
                <w:vertAlign w:val="superscript"/>
              </w:rPr>
              <w:t>3</w:t>
            </w:r>
            <w:r w:rsidRPr="005767FB">
              <w:rPr>
                <w:rFonts w:hint="eastAsia"/>
                <w:b/>
                <w:u w:val="single"/>
              </w:rPr>
              <w:t>）</w:t>
            </w:r>
          </w:p>
        </w:tc>
        <w:tc>
          <w:tcPr>
            <w:tcW w:w="672" w:type="pct"/>
            <w:tcBorders>
              <w:left w:val="single" w:sz="4" w:space="0" w:color="auto"/>
              <w:right w:val="single" w:sz="4" w:space="0" w:color="auto"/>
            </w:tcBorders>
            <w:vAlign w:val="center"/>
          </w:tcPr>
          <w:p w:rsidR="00EE56C0" w:rsidRPr="005767FB" w:rsidRDefault="000F36A1">
            <w:pPr>
              <w:pStyle w:val="afa"/>
              <w:rPr>
                <w:b/>
                <w:u w:val="single"/>
              </w:rPr>
            </w:pPr>
            <w:r w:rsidRPr="005767FB">
              <w:rPr>
                <w:rFonts w:hint="eastAsia"/>
                <w:b/>
                <w:u w:val="single"/>
              </w:rPr>
              <w:t>出现时间</w:t>
            </w:r>
          </w:p>
        </w:tc>
        <w:tc>
          <w:tcPr>
            <w:tcW w:w="497" w:type="pct"/>
            <w:tcBorders>
              <w:left w:val="single" w:sz="4" w:space="0" w:color="auto"/>
            </w:tcBorders>
            <w:vAlign w:val="center"/>
          </w:tcPr>
          <w:p w:rsidR="00EE56C0" w:rsidRPr="005767FB" w:rsidRDefault="000F36A1">
            <w:pPr>
              <w:pStyle w:val="afa"/>
              <w:rPr>
                <w:b/>
                <w:u w:val="single"/>
              </w:rPr>
            </w:pPr>
            <w:r w:rsidRPr="005767FB">
              <w:rPr>
                <w:rFonts w:hint="eastAsia"/>
                <w:b/>
                <w:u w:val="single"/>
              </w:rPr>
              <w:t>占标率（</w:t>
            </w:r>
            <w:r w:rsidRPr="005767FB">
              <w:rPr>
                <w:rFonts w:hint="eastAsia"/>
                <w:b/>
                <w:u w:val="single"/>
              </w:rPr>
              <w:t>%</w:t>
            </w:r>
            <w:r w:rsidRPr="005767FB">
              <w:rPr>
                <w:rFonts w:hint="eastAsia"/>
                <w:b/>
                <w:u w:val="single"/>
              </w:rPr>
              <w:t>）</w:t>
            </w:r>
          </w:p>
        </w:tc>
        <w:tc>
          <w:tcPr>
            <w:tcW w:w="443" w:type="pct"/>
            <w:vAlign w:val="center"/>
          </w:tcPr>
          <w:p w:rsidR="00EE56C0" w:rsidRPr="005767FB" w:rsidRDefault="000F36A1">
            <w:pPr>
              <w:pStyle w:val="aff1"/>
              <w:rPr>
                <w:color w:val="auto"/>
                <w:u w:val="single"/>
              </w:rPr>
            </w:pPr>
            <w:r w:rsidRPr="005767FB">
              <w:rPr>
                <w:rFonts w:hint="eastAsia"/>
                <w:color w:val="auto"/>
                <w:u w:val="single"/>
              </w:rPr>
              <w:t>达标情况</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u w:val="single"/>
              </w:rPr>
              <w:t>1</w:t>
            </w:r>
          </w:p>
        </w:tc>
        <w:tc>
          <w:tcPr>
            <w:tcW w:w="561" w:type="pct"/>
            <w:tcBorders>
              <w:right w:val="single" w:sz="4" w:space="0" w:color="auto"/>
            </w:tcBorders>
            <w:vAlign w:val="center"/>
          </w:tcPr>
          <w:p w:rsidR="00EE56C0" w:rsidRPr="005767FB" w:rsidRDefault="000F36A1">
            <w:pPr>
              <w:pStyle w:val="afa"/>
              <w:rPr>
                <w:b/>
                <w:u w:val="single"/>
              </w:rPr>
            </w:pPr>
            <w:r w:rsidRPr="005767FB">
              <w:rPr>
                <w:rFonts w:hAnsi="宋体" w:hint="eastAsia"/>
                <w:u w:val="single"/>
              </w:rPr>
              <w:t>南王庄村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0.0010</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0.0025</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19071707</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1.27</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u w:val="single"/>
              </w:rPr>
              <w:t>2</w:t>
            </w:r>
          </w:p>
        </w:tc>
        <w:tc>
          <w:tcPr>
            <w:tcW w:w="561" w:type="pct"/>
            <w:tcBorders>
              <w:right w:val="single" w:sz="4" w:space="0" w:color="auto"/>
            </w:tcBorders>
            <w:vAlign w:val="center"/>
          </w:tcPr>
          <w:p w:rsidR="00EE56C0" w:rsidRPr="005767FB" w:rsidRDefault="000F36A1">
            <w:pPr>
              <w:pStyle w:val="afa"/>
              <w:rPr>
                <w:u w:val="single"/>
              </w:rPr>
            </w:pPr>
            <w:r w:rsidRPr="005767FB">
              <w:rPr>
                <w:rFonts w:hAnsi="宋体" w:hint="eastAsia"/>
                <w:u w:val="single"/>
              </w:rPr>
              <w:t>刘店村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0.0002</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0.0017</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19042008</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0.85</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3</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马庄村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0.0003</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0.0018</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19072107</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0.89</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4</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康庄村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0.0003</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0.0018</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19050307</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0.88</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5</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府庄村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0.0003</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0.0018</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19050107</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0.92</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6</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大张庄村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0.0016</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19112409</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0.80</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7</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大赵庄村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0.0002</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0.0017</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19070207</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0.86</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8</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丁庄村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0.0016</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19050308</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0.82</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9</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刘八庄村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0.0002</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0.0017</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19050307</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0.87</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10</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王贵楼村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0.0002</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0.0017</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19050307</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0.84</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11</w:t>
            </w:r>
          </w:p>
        </w:tc>
        <w:tc>
          <w:tcPr>
            <w:tcW w:w="561" w:type="pct"/>
            <w:tcBorders>
              <w:right w:val="single" w:sz="4" w:space="0" w:color="auto"/>
            </w:tcBorders>
            <w:vAlign w:val="center"/>
          </w:tcPr>
          <w:p w:rsidR="00EE56C0" w:rsidRPr="005767FB" w:rsidRDefault="000F36A1">
            <w:pPr>
              <w:pStyle w:val="afa"/>
              <w:rPr>
                <w:u w:val="single"/>
              </w:rPr>
            </w:pPr>
            <w:r w:rsidRPr="005767FB">
              <w:rPr>
                <w:rFonts w:hAnsi="宋体" w:hint="eastAsia"/>
                <w:u w:val="single"/>
              </w:rPr>
              <w:t>罗滩村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0.0002</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0.0017</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19011911</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0.83</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12</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杨庄村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0.0002</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0.0017</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19111709</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0.83</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13</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杨堤村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0.0002</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0.0017</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19060707</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0.84</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14</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西曹村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0.0003</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0.0018</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19070907</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0.91</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15</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中曹村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0.0003</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0.0018</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19070907</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0.89</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16</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东曹村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0.0003</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0.0018</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19120910</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0.89</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lastRenderedPageBreak/>
              <w:t>17</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七里营镇</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0.0003</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0.0018</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19041208</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0.90</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18</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七二村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0.0003</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0.0018</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19050408</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0.90</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19</w:t>
            </w:r>
          </w:p>
        </w:tc>
        <w:tc>
          <w:tcPr>
            <w:tcW w:w="561" w:type="pct"/>
            <w:tcBorders>
              <w:right w:val="single" w:sz="4" w:space="0" w:color="auto"/>
            </w:tcBorders>
            <w:vAlign w:val="center"/>
          </w:tcPr>
          <w:p w:rsidR="00EE56C0" w:rsidRPr="005767FB" w:rsidRDefault="000F36A1">
            <w:pPr>
              <w:pStyle w:val="afa"/>
              <w:rPr>
                <w:u w:val="single"/>
              </w:rPr>
            </w:pPr>
            <w:r w:rsidRPr="005767FB">
              <w:rPr>
                <w:rFonts w:hAnsi="宋体" w:hint="eastAsia"/>
                <w:u w:val="single"/>
              </w:rPr>
              <w:t>刘庄</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0.0004</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0.0019</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19051208</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0.93</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20</w:t>
            </w:r>
          </w:p>
        </w:tc>
        <w:tc>
          <w:tcPr>
            <w:tcW w:w="561" w:type="pct"/>
            <w:tcBorders>
              <w:right w:val="single" w:sz="4" w:space="0" w:color="auto"/>
            </w:tcBorders>
            <w:vAlign w:val="center"/>
          </w:tcPr>
          <w:p w:rsidR="00EE56C0" w:rsidRPr="005767FB" w:rsidRDefault="000F36A1">
            <w:pPr>
              <w:pStyle w:val="afa"/>
              <w:rPr>
                <w:u w:val="single"/>
              </w:rPr>
            </w:pPr>
            <w:r w:rsidRPr="005767FB">
              <w:rPr>
                <w:rFonts w:hAnsi="宋体" w:hint="eastAsia"/>
                <w:u w:val="single"/>
              </w:rPr>
              <w:t>陈庄村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0.0004</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0.0019</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19051208</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0.93</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21</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bCs/>
                <w:u w:val="single"/>
              </w:rPr>
              <w:t>位庄村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0.0016</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19062004</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0.79</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22</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南魏庄</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0.0016</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19112309</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0.81</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23</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曹庄村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0.0002</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0.0017</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19060607</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0.84</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24</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新</w:t>
            </w:r>
            <w:r w:rsidRPr="005767FB">
              <w:rPr>
                <w:rFonts w:hAnsi="宋体" w:hint="eastAsia"/>
                <w:u w:val="single"/>
              </w:rPr>
              <w:t>庄</w:t>
            </w:r>
            <w:r w:rsidRPr="005767FB">
              <w:rPr>
                <w:rFonts w:hint="eastAsia"/>
                <w:u w:val="single"/>
              </w:rPr>
              <w:t>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0.0016</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19060607</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0.81</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25</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刘纪岗</w:t>
            </w:r>
            <w:r w:rsidRPr="005767FB">
              <w:rPr>
                <w:rFonts w:hAnsi="宋体" w:hint="eastAsia"/>
                <w:u w:val="single"/>
              </w:rPr>
              <w:t>庄</w:t>
            </w:r>
            <w:r w:rsidRPr="005767FB">
              <w:rPr>
                <w:rFonts w:hint="eastAsia"/>
                <w:u w:val="single"/>
              </w:rPr>
              <w:t>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0.0016</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19060607</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0.80</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26</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小张庄村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0.0016</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19071802</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0.79</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27</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苗庄村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0.0016</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19071802</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0.79</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28</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沟王村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0.0002</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0.0017</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19051208</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0.87</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29</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八柳树村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0.0016</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19032708</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0.80</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30</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宋庄村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0.0002</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0.0017</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19051207</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0.86</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31</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东王庄村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0.0016</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19031808</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0.82</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32</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大兴村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0.0016</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19041208</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0.82</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33</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东贾城村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0.0002</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0.0017</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19031908</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0.86</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34</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高村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0.0002</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0.0017</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19051607</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0.84</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35</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侯庄村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0.0016</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19102409</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0.81</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36</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东石碑村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0.0002</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0.0017</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19120910</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0.86</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37</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杏庄村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0.0002</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0.0017</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19120910</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0.85</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38</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敦留店村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0.0002</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0.0017</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19070907</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0.84</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39</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李道堤村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0.0002</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0.0017</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19070907</w:t>
            </w:r>
          </w:p>
        </w:tc>
        <w:tc>
          <w:tcPr>
            <w:tcW w:w="497" w:type="pct"/>
            <w:tcBorders>
              <w:left w:val="single" w:sz="4" w:space="0" w:color="auto"/>
            </w:tcBorders>
            <w:vAlign w:val="center"/>
          </w:tcPr>
          <w:p w:rsidR="00EE56C0" w:rsidRPr="005767FB" w:rsidRDefault="000F36A1">
            <w:pPr>
              <w:pStyle w:val="afa"/>
              <w:rPr>
                <w:u w:val="single"/>
              </w:rPr>
            </w:pPr>
            <w:r w:rsidRPr="005767FB">
              <w:rPr>
                <w:u w:val="single"/>
              </w:rPr>
              <w:t>0.83</w:t>
            </w:r>
          </w:p>
        </w:tc>
        <w:tc>
          <w:tcPr>
            <w:tcW w:w="443" w:type="pct"/>
            <w:vAlign w:val="center"/>
          </w:tcPr>
          <w:p w:rsidR="00EE56C0" w:rsidRPr="005767FB" w:rsidRDefault="000F36A1">
            <w:pPr>
              <w:pStyle w:val="afa"/>
              <w:rPr>
                <w:u w:val="single"/>
              </w:rPr>
            </w:pPr>
            <w:r w:rsidRPr="005767FB">
              <w:rPr>
                <w:rFonts w:hint="eastAsia"/>
                <w:u w:val="single"/>
              </w:rPr>
              <w:t>达标</w:t>
            </w:r>
          </w:p>
        </w:tc>
      </w:tr>
    </w:tbl>
    <w:p w:rsidR="00EE56C0" w:rsidRDefault="00EE56C0">
      <w:pPr>
        <w:pStyle w:val="afd"/>
        <w:spacing w:before="120" w:after="120"/>
        <w:ind w:firstLine="482"/>
      </w:pPr>
    </w:p>
    <w:p w:rsidR="00EE56C0" w:rsidRDefault="00EE56C0">
      <w:pPr>
        <w:pStyle w:val="afd"/>
        <w:spacing w:before="120" w:after="120"/>
        <w:ind w:firstLine="482"/>
      </w:pPr>
    </w:p>
    <w:p w:rsidR="00EE56C0" w:rsidRDefault="000F36A1">
      <w:pPr>
        <w:pStyle w:val="afd"/>
        <w:spacing w:before="120" w:after="120"/>
        <w:ind w:firstLine="482"/>
      </w:pPr>
      <w:r>
        <w:lastRenderedPageBreak/>
        <w:t>表</w:t>
      </w:r>
      <w:r>
        <w:t>5-</w:t>
      </w:r>
      <w:r>
        <w:rPr>
          <w:rFonts w:hint="eastAsia"/>
        </w:rPr>
        <w:t xml:space="preserve">33              </w:t>
      </w:r>
      <w:r>
        <w:rPr>
          <w:rFonts w:hint="eastAsia"/>
        </w:rPr>
        <w:t>苯小时浓度预测结果分析</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tblPr>
      <w:tblGrid>
        <w:gridCol w:w="427"/>
        <w:gridCol w:w="957"/>
        <w:gridCol w:w="853"/>
        <w:gridCol w:w="1274"/>
        <w:gridCol w:w="1134"/>
        <w:gridCol w:w="1134"/>
        <w:gridCol w:w="1146"/>
        <w:gridCol w:w="848"/>
        <w:gridCol w:w="756"/>
      </w:tblGrid>
      <w:tr w:rsidR="00EE56C0" w:rsidRPr="005767FB">
        <w:trPr>
          <w:trHeight w:val="870"/>
          <w:tblHeader/>
          <w:jc w:val="center"/>
        </w:trPr>
        <w:tc>
          <w:tcPr>
            <w:tcW w:w="250" w:type="pct"/>
            <w:vAlign w:val="center"/>
          </w:tcPr>
          <w:p w:rsidR="00EE56C0" w:rsidRPr="005767FB" w:rsidRDefault="00340837">
            <w:pPr>
              <w:pStyle w:val="aff1"/>
              <w:rPr>
                <w:color w:val="auto"/>
                <w:u w:val="single"/>
              </w:rPr>
            </w:pPr>
            <w:r>
              <w:rPr>
                <w:color w:val="auto"/>
                <w:u w:val="single"/>
              </w:rPr>
              <w:pict>
                <v:shape id="_x0000_s2264" type="#_x0000_t202" style="position:absolute;left:0;text-align:left;margin-left:39.35pt;margin-top:-192.15pt;width:21.65pt;height:19.65pt;z-index:251719168" o:gfxdata="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" filled="f" stroked="f" strokeweight="1pt">
                  <v:textbox>
                    <w:txbxContent>
                      <w:p w:rsidR="009C6BD9" w:rsidRDefault="009C6BD9">
                        <w:pPr>
                          <w:ind w:firstLine="482"/>
                          <w:rPr>
                            <w:b/>
                            <w:color w:val="FF0000"/>
                            <w:szCs w:val="21"/>
                          </w:rPr>
                        </w:pPr>
                        <w:r>
                          <w:rPr>
                            <w:rFonts w:hint="eastAsia"/>
                            <w:b/>
                            <w:color w:val="FF0000"/>
                            <w:szCs w:val="21"/>
                          </w:rPr>
                          <w:t>3</w:t>
                        </w:r>
                      </w:p>
                    </w:txbxContent>
                  </v:textbox>
                </v:shape>
              </w:pict>
            </w:r>
            <w:r w:rsidR="000F36A1" w:rsidRPr="005767FB">
              <w:rPr>
                <w:rFonts w:hAnsi="宋体"/>
                <w:color w:val="auto"/>
                <w:u w:val="single"/>
              </w:rPr>
              <w:t>序列</w:t>
            </w:r>
          </w:p>
        </w:tc>
        <w:tc>
          <w:tcPr>
            <w:tcW w:w="561" w:type="pct"/>
            <w:tcBorders>
              <w:right w:val="single" w:sz="4" w:space="0" w:color="auto"/>
            </w:tcBorders>
            <w:vAlign w:val="center"/>
          </w:tcPr>
          <w:p w:rsidR="00EE56C0" w:rsidRPr="005767FB" w:rsidRDefault="000F36A1">
            <w:pPr>
              <w:pStyle w:val="aff1"/>
              <w:rPr>
                <w:color w:val="auto"/>
                <w:u w:val="single"/>
              </w:rPr>
            </w:pPr>
            <w:r w:rsidRPr="005767FB">
              <w:rPr>
                <w:rFonts w:hAnsi="宋体" w:hint="eastAsia"/>
                <w:color w:val="auto"/>
                <w:u w:val="single"/>
              </w:rPr>
              <w:t>预测点</w:t>
            </w:r>
          </w:p>
        </w:tc>
        <w:tc>
          <w:tcPr>
            <w:tcW w:w="500" w:type="pct"/>
            <w:tcBorders>
              <w:right w:val="single" w:sz="4" w:space="0" w:color="auto"/>
            </w:tcBorders>
            <w:vAlign w:val="center"/>
          </w:tcPr>
          <w:p w:rsidR="00EE56C0" w:rsidRPr="005767FB" w:rsidRDefault="000F36A1">
            <w:pPr>
              <w:pStyle w:val="aff1"/>
              <w:rPr>
                <w:rFonts w:hAnsi="宋体"/>
                <w:color w:val="auto"/>
                <w:u w:val="single"/>
              </w:rPr>
            </w:pPr>
            <w:r w:rsidRPr="005767FB">
              <w:rPr>
                <w:rFonts w:hAnsi="宋体" w:hint="eastAsia"/>
                <w:color w:val="auto"/>
                <w:u w:val="single"/>
              </w:rPr>
              <w:t>平均时段</w:t>
            </w:r>
          </w:p>
        </w:tc>
        <w:tc>
          <w:tcPr>
            <w:tcW w:w="747" w:type="pct"/>
            <w:tcBorders>
              <w:right w:val="single" w:sz="4" w:space="0" w:color="auto"/>
            </w:tcBorders>
            <w:vAlign w:val="center"/>
          </w:tcPr>
          <w:p w:rsidR="00EE56C0" w:rsidRPr="005767FB" w:rsidRDefault="000F36A1">
            <w:pPr>
              <w:pStyle w:val="afa"/>
              <w:rPr>
                <w:b/>
                <w:u w:val="single"/>
              </w:rPr>
            </w:pPr>
            <w:r w:rsidRPr="005767FB">
              <w:rPr>
                <w:rFonts w:hint="eastAsia"/>
                <w:b/>
                <w:u w:val="single"/>
              </w:rPr>
              <w:t>最大贡献值（</w:t>
            </w:r>
            <w:r w:rsidRPr="005767FB">
              <w:rPr>
                <w:rFonts w:hint="eastAsia"/>
                <w:b/>
                <w:u w:val="single"/>
              </w:rPr>
              <w:t>mg/m</w:t>
            </w:r>
            <w:r w:rsidRPr="005767FB">
              <w:rPr>
                <w:rFonts w:hint="eastAsia"/>
                <w:b/>
                <w:u w:val="single"/>
                <w:vertAlign w:val="superscript"/>
              </w:rPr>
              <w:t>3</w:t>
            </w:r>
            <w:r w:rsidRPr="005767FB">
              <w:rPr>
                <w:rFonts w:hint="eastAsia"/>
                <w:b/>
                <w:u w:val="single"/>
              </w:rPr>
              <w:t>）</w:t>
            </w:r>
          </w:p>
        </w:tc>
        <w:tc>
          <w:tcPr>
            <w:tcW w:w="665" w:type="pct"/>
            <w:tcBorders>
              <w:right w:val="single" w:sz="4" w:space="0" w:color="auto"/>
            </w:tcBorders>
            <w:vAlign w:val="center"/>
          </w:tcPr>
          <w:p w:rsidR="00EE56C0" w:rsidRPr="005767FB" w:rsidRDefault="000F36A1">
            <w:pPr>
              <w:pStyle w:val="afa"/>
              <w:rPr>
                <w:b/>
                <w:u w:val="single"/>
              </w:rPr>
            </w:pPr>
            <w:r w:rsidRPr="005767FB">
              <w:rPr>
                <w:rFonts w:hint="eastAsia"/>
                <w:b/>
                <w:u w:val="single"/>
              </w:rPr>
              <w:t>现状值（</w:t>
            </w:r>
            <w:r w:rsidRPr="005767FB">
              <w:rPr>
                <w:rFonts w:hint="eastAsia"/>
                <w:b/>
                <w:u w:val="single"/>
              </w:rPr>
              <w:t>mg/m</w:t>
            </w:r>
            <w:r w:rsidRPr="005767FB">
              <w:rPr>
                <w:rFonts w:hint="eastAsia"/>
                <w:b/>
                <w:u w:val="single"/>
                <w:vertAlign w:val="superscript"/>
              </w:rPr>
              <w:t>3</w:t>
            </w:r>
            <w:r w:rsidRPr="005767FB">
              <w:rPr>
                <w:rFonts w:hint="eastAsia"/>
                <w:b/>
                <w:u w:val="single"/>
              </w:rPr>
              <w:t>）</w:t>
            </w:r>
          </w:p>
        </w:tc>
        <w:tc>
          <w:tcPr>
            <w:tcW w:w="665" w:type="pct"/>
            <w:tcBorders>
              <w:right w:val="single" w:sz="4" w:space="0" w:color="auto"/>
            </w:tcBorders>
            <w:vAlign w:val="center"/>
          </w:tcPr>
          <w:p w:rsidR="00EE56C0" w:rsidRPr="005767FB" w:rsidRDefault="000F36A1">
            <w:pPr>
              <w:pStyle w:val="afa"/>
              <w:rPr>
                <w:b/>
                <w:u w:val="single"/>
              </w:rPr>
            </w:pPr>
            <w:r w:rsidRPr="005767FB">
              <w:rPr>
                <w:rFonts w:hint="eastAsia"/>
                <w:b/>
                <w:u w:val="single"/>
              </w:rPr>
              <w:t>叠加值（</w:t>
            </w:r>
            <w:r w:rsidRPr="005767FB">
              <w:rPr>
                <w:rFonts w:hint="eastAsia"/>
                <w:b/>
                <w:u w:val="single"/>
              </w:rPr>
              <w:t>mg/m</w:t>
            </w:r>
            <w:r w:rsidRPr="005767FB">
              <w:rPr>
                <w:rFonts w:hint="eastAsia"/>
                <w:b/>
                <w:u w:val="single"/>
                <w:vertAlign w:val="superscript"/>
              </w:rPr>
              <w:t>3</w:t>
            </w:r>
            <w:r w:rsidRPr="005767FB">
              <w:rPr>
                <w:rFonts w:hint="eastAsia"/>
                <w:b/>
                <w:u w:val="single"/>
              </w:rPr>
              <w:t>）</w:t>
            </w:r>
          </w:p>
        </w:tc>
        <w:tc>
          <w:tcPr>
            <w:tcW w:w="672" w:type="pct"/>
            <w:tcBorders>
              <w:left w:val="single" w:sz="4" w:space="0" w:color="auto"/>
              <w:right w:val="single" w:sz="4" w:space="0" w:color="auto"/>
            </w:tcBorders>
            <w:vAlign w:val="center"/>
          </w:tcPr>
          <w:p w:rsidR="00EE56C0" w:rsidRPr="005767FB" w:rsidRDefault="000F36A1">
            <w:pPr>
              <w:pStyle w:val="afa"/>
              <w:rPr>
                <w:b/>
                <w:u w:val="single"/>
              </w:rPr>
            </w:pPr>
            <w:r w:rsidRPr="005767FB">
              <w:rPr>
                <w:rFonts w:hint="eastAsia"/>
                <w:b/>
                <w:u w:val="single"/>
              </w:rPr>
              <w:t>出现时间</w:t>
            </w:r>
          </w:p>
        </w:tc>
        <w:tc>
          <w:tcPr>
            <w:tcW w:w="497" w:type="pct"/>
            <w:tcBorders>
              <w:left w:val="single" w:sz="4" w:space="0" w:color="auto"/>
            </w:tcBorders>
            <w:vAlign w:val="center"/>
          </w:tcPr>
          <w:p w:rsidR="00EE56C0" w:rsidRPr="005767FB" w:rsidRDefault="000F36A1">
            <w:pPr>
              <w:pStyle w:val="afa"/>
              <w:rPr>
                <w:b/>
                <w:u w:val="single"/>
              </w:rPr>
            </w:pPr>
            <w:r w:rsidRPr="005767FB">
              <w:rPr>
                <w:rFonts w:hint="eastAsia"/>
                <w:b/>
                <w:u w:val="single"/>
              </w:rPr>
              <w:t>占标率（</w:t>
            </w:r>
            <w:r w:rsidRPr="005767FB">
              <w:rPr>
                <w:rFonts w:hint="eastAsia"/>
                <w:b/>
                <w:u w:val="single"/>
              </w:rPr>
              <w:t>%</w:t>
            </w:r>
            <w:r w:rsidRPr="005767FB">
              <w:rPr>
                <w:rFonts w:hint="eastAsia"/>
                <w:b/>
                <w:u w:val="single"/>
              </w:rPr>
              <w:t>）</w:t>
            </w:r>
          </w:p>
        </w:tc>
        <w:tc>
          <w:tcPr>
            <w:tcW w:w="443" w:type="pct"/>
            <w:vAlign w:val="center"/>
          </w:tcPr>
          <w:p w:rsidR="00EE56C0" w:rsidRPr="005767FB" w:rsidRDefault="000F36A1">
            <w:pPr>
              <w:pStyle w:val="aff1"/>
              <w:rPr>
                <w:color w:val="auto"/>
                <w:u w:val="single"/>
              </w:rPr>
            </w:pPr>
            <w:r w:rsidRPr="005767FB">
              <w:rPr>
                <w:rFonts w:hint="eastAsia"/>
                <w:color w:val="auto"/>
                <w:u w:val="single"/>
              </w:rPr>
              <w:t>达标情况</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u w:val="single"/>
              </w:rPr>
              <w:t>1</w:t>
            </w:r>
          </w:p>
        </w:tc>
        <w:tc>
          <w:tcPr>
            <w:tcW w:w="561" w:type="pct"/>
            <w:tcBorders>
              <w:right w:val="single" w:sz="4" w:space="0" w:color="auto"/>
            </w:tcBorders>
            <w:vAlign w:val="center"/>
          </w:tcPr>
          <w:p w:rsidR="00EE56C0" w:rsidRPr="005767FB" w:rsidRDefault="000F36A1">
            <w:pPr>
              <w:pStyle w:val="afa"/>
              <w:rPr>
                <w:b/>
                <w:u w:val="single"/>
              </w:rPr>
            </w:pPr>
            <w:r w:rsidRPr="005767FB">
              <w:rPr>
                <w:rFonts w:hAnsi="宋体" w:hint="eastAsia"/>
                <w:u w:val="single"/>
              </w:rPr>
              <w:t>南王庄村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0.0003</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0.0018</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19071707</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1.63</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u w:val="single"/>
              </w:rPr>
              <w:t>2</w:t>
            </w:r>
          </w:p>
        </w:tc>
        <w:tc>
          <w:tcPr>
            <w:tcW w:w="561" w:type="pct"/>
            <w:tcBorders>
              <w:right w:val="single" w:sz="4" w:space="0" w:color="auto"/>
            </w:tcBorders>
            <w:vAlign w:val="center"/>
          </w:tcPr>
          <w:p w:rsidR="00EE56C0" w:rsidRPr="005767FB" w:rsidRDefault="000F36A1">
            <w:pPr>
              <w:pStyle w:val="afa"/>
              <w:rPr>
                <w:u w:val="single"/>
              </w:rPr>
            </w:pPr>
            <w:r w:rsidRPr="005767FB">
              <w:rPr>
                <w:rFonts w:hAnsi="宋体" w:hint="eastAsia"/>
                <w:u w:val="single"/>
              </w:rPr>
              <w:t>刘店村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0.0016</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19042008</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1.42</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3</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马庄村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0.0016</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19072107</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1.44</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4</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康庄村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0.0016</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19050307</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1.44</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5</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府庄村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0.0016</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19050107</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1.46</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6</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大张庄村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0.0000</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0.0015</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19112409</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1.39</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7</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大赵庄村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0.0016</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19070207</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1.42</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8</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丁庄村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0.0000</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0.0015</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19050308</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1.4</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9</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刘八庄村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0.0016</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19050307</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1.43</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10</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王贵楼村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0.0016</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19050307</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1.42</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11</w:t>
            </w:r>
          </w:p>
        </w:tc>
        <w:tc>
          <w:tcPr>
            <w:tcW w:w="561" w:type="pct"/>
            <w:tcBorders>
              <w:right w:val="single" w:sz="4" w:space="0" w:color="auto"/>
            </w:tcBorders>
            <w:vAlign w:val="center"/>
          </w:tcPr>
          <w:p w:rsidR="00EE56C0" w:rsidRPr="005767FB" w:rsidRDefault="000F36A1">
            <w:pPr>
              <w:pStyle w:val="afa"/>
              <w:rPr>
                <w:u w:val="single"/>
              </w:rPr>
            </w:pPr>
            <w:r w:rsidRPr="005767FB">
              <w:rPr>
                <w:rFonts w:hAnsi="宋体" w:hint="eastAsia"/>
                <w:u w:val="single"/>
              </w:rPr>
              <w:t>罗滩村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0.0000</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0.0015</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19052607</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1.41</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12</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杨庄村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0.0000</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0.0015</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19111709</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1.41</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13</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杨堤村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0.0016</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19060707</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1.41</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14</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西曹村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0.0016</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19070907</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1.45</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15</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中曹村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0.0016</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19070907</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1.44</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16</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东曹村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0.0016</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19120910</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1.44</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17</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七里营镇</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0.0016</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19041208</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1.44</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18</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七二村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0.0016</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19050408</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1.44</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19</w:t>
            </w:r>
          </w:p>
        </w:tc>
        <w:tc>
          <w:tcPr>
            <w:tcW w:w="561" w:type="pct"/>
            <w:tcBorders>
              <w:right w:val="single" w:sz="4" w:space="0" w:color="auto"/>
            </w:tcBorders>
            <w:vAlign w:val="center"/>
          </w:tcPr>
          <w:p w:rsidR="00EE56C0" w:rsidRPr="005767FB" w:rsidRDefault="000F36A1">
            <w:pPr>
              <w:pStyle w:val="afa"/>
              <w:rPr>
                <w:u w:val="single"/>
              </w:rPr>
            </w:pPr>
            <w:r w:rsidRPr="005767FB">
              <w:rPr>
                <w:rFonts w:hAnsi="宋体" w:hint="eastAsia"/>
                <w:u w:val="single"/>
              </w:rPr>
              <w:t>刘庄</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0.0016</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19051208</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1.47</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20</w:t>
            </w:r>
          </w:p>
        </w:tc>
        <w:tc>
          <w:tcPr>
            <w:tcW w:w="561" w:type="pct"/>
            <w:tcBorders>
              <w:right w:val="single" w:sz="4" w:space="0" w:color="auto"/>
            </w:tcBorders>
            <w:vAlign w:val="center"/>
          </w:tcPr>
          <w:p w:rsidR="00EE56C0" w:rsidRPr="005767FB" w:rsidRDefault="000F36A1">
            <w:pPr>
              <w:pStyle w:val="afa"/>
              <w:rPr>
                <w:u w:val="single"/>
              </w:rPr>
            </w:pPr>
            <w:r w:rsidRPr="005767FB">
              <w:rPr>
                <w:rFonts w:hAnsi="宋体" w:hint="eastAsia"/>
                <w:u w:val="single"/>
              </w:rPr>
              <w:t>陈庄村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0.0016</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19051208</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1.46</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21</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bCs/>
                <w:u w:val="single"/>
              </w:rPr>
              <w:t>位庄村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0.0000</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0.0015</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19100322</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1.39</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22</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南魏庄</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0.0000</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0.0015</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19112309</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1.4</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23</w:t>
            </w:r>
          </w:p>
        </w:tc>
        <w:tc>
          <w:tcPr>
            <w:tcW w:w="561" w:type="pct"/>
            <w:tcBorders>
              <w:right w:val="single" w:sz="4" w:space="0" w:color="auto"/>
            </w:tcBorders>
            <w:vAlign w:val="center"/>
          </w:tcPr>
          <w:p w:rsidR="00EE56C0" w:rsidRPr="005767FB" w:rsidRDefault="000F36A1">
            <w:pPr>
              <w:pStyle w:val="afa"/>
              <w:rPr>
                <w:rFonts w:hAnsi="宋体"/>
                <w:u w:val="single"/>
              </w:rPr>
            </w:pPr>
            <w:r w:rsidRPr="005767FB">
              <w:rPr>
                <w:rFonts w:hAnsi="宋体" w:hint="eastAsia"/>
                <w:u w:val="single"/>
              </w:rPr>
              <w:t>曹庄村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0.0016</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19060607</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1.41</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24</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新</w:t>
            </w:r>
            <w:r w:rsidRPr="005767FB">
              <w:rPr>
                <w:rFonts w:hAnsi="宋体" w:hint="eastAsia"/>
                <w:u w:val="single"/>
              </w:rPr>
              <w:t>庄</w:t>
            </w:r>
            <w:r w:rsidRPr="005767FB">
              <w:rPr>
                <w:rFonts w:hint="eastAsia"/>
                <w:u w:val="single"/>
              </w:rPr>
              <w:t>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0.0000</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0.0015</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19060607</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1.4</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25</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刘纪岗</w:t>
            </w:r>
            <w:r w:rsidRPr="005767FB">
              <w:rPr>
                <w:rFonts w:hAnsi="宋体" w:hint="eastAsia"/>
                <w:u w:val="single"/>
              </w:rPr>
              <w:lastRenderedPageBreak/>
              <w:t>庄</w:t>
            </w:r>
            <w:r w:rsidRPr="005767FB">
              <w:rPr>
                <w:rFonts w:hint="eastAsia"/>
                <w:u w:val="single"/>
              </w:rPr>
              <w:t>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lastRenderedPageBreak/>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0.0000</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0.0015</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19060607</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1.39</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lastRenderedPageBreak/>
              <w:t>26</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小张庄村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0.0000</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0.0015</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19071802</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1.39</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27</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苗庄村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0.0000</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0.0015</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19071802</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1.38</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28</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沟王村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0.0016</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19051208</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1.43</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29</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八柳树村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0.0000</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0.0015</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19032708</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1.39</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30</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宋庄村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0.0016</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19051207</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1.43</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31</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东王庄村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0.0000</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0.0015</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19031808</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1.4</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32</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大兴村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0.0000</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0.0015</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19041208</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1.4</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33</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东贾城村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0.0016</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19031908</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1.42</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34</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高村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0.0016</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19051607</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1.42</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35</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侯庄村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0.0000</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0.0015</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19102409</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1.4</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36</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东石碑村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0.0016</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19120910</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1.42</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37</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杏庄村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0.0016</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19120910</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1.42</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38</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敦留店村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0.0001</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0.0016</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19070907</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1.41</w:t>
            </w:r>
          </w:p>
        </w:tc>
        <w:tc>
          <w:tcPr>
            <w:tcW w:w="443" w:type="pct"/>
            <w:vAlign w:val="center"/>
          </w:tcPr>
          <w:p w:rsidR="00EE56C0" w:rsidRPr="005767FB" w:rsidRDefault="000F36A1">
            <w:pPr>
              <w:pStyle w:val="afa"/>
              <w:rPr>
                <w:u w:val="single"/>
              </w:rPr>
            </w:pPr>
            <w:r w:rsidRPr="005767FB">
              <w:rPr>
                <w:rFonts w:hint="eastAsia"/>
                <w:u w:val="single"/>
              </w:rPr>
              <w:t>达标</w:t>
            </w:r>
          </w:p>
        </w:tc>
      </w:tr>
      <w:tr w:rsidR="00EE56C0" w:rsidRPr="005767FB">
        <w:trPr>
          <w:trHeight w:val="425"/>
          <w:jc w:val="center"/>
        </w:trPr>
        <w:tc>
          <w:tcPr>
            <w:tcW w:w="250" w:type="pct"/>
            <w:vAlign w:val="center"/>
          </w:tcPr>
          <w:p w:rsidR="00EE56C0" w:rsidRPr="005767FB" w:rsidRDefault="000F36A1">
            <w:pPr>
              <w:pStyle w:val="afa"/>
              <w:rPr>
                <w:u w:val="single"/>
              </w:rPr>
            </w:pPr>
            <w:r w:rsidRPr="005767FB">
              <w:rPr>
                <w:rFonts w:hint="eastAsia"/>
                <w:u w:val="single"/>
              </w:rPr>
              <w:t>39</w:t>
            </w:r>
          </w:p>
        </w:tc>
        <w:tc>
          <w:tcPr>
            <w:tcW w:w="561" w:type="pct"/>
            <w:tcBorders>
              <w:right w:val="single" w:sz="4" w:space="0" w:color="auto"/>
            </w:tcBorders>
            <w:vAlign w:val="center"/>
          </w:tcPr>
          <w:p w:rsidR="00EE56C0" w:rsidRPr="005767FB" w:rsidRDefault="000F36A1">
            <w:pPr>
              <w:pStyle w:val="afa"/>
              <w:rPr>
                <w:u w:val="single"/>
              </w:rPr>
            </w:pPr>
            <w:r w:rsidRPr="005767FB">
              <w:rPr>
                <w:rFonts w:hint="eastAsia"/>
                <w:u w:val="single"/>
              </w:rPr>
              <w:t>李道堤村</w:t>
            </w:r>
          </w:p>
        </w:tc>
        <w:tc>
          <w:tcPr>
            <w:tcW w:w="500" w:type="pct"/>
            <w:tcBorders>
              <w:right w:val="single" w:sz="4" w:space="0" w:color="auto"/>
            </w:tcBorders>
            <w:vAlign w:val="center"/>
          </w:tcPr>
          <w:p w:rsidR="00EE56C0" w:rsidRPr="005767FB" w:rsidRDefault="000F36A1">
            <w:pPr>
              <w:pStyle w:val="afa"/>
              <w:rPr>
                <w:u w:val="single"/>
              </w:rPr>
            </w:pPr>
            <w:r w:rsidRPr="005767FB">
              <w:rPr>
                <w:rFonts w:hint="eastAsia"/>
                <w:u w:val="single"/>
              </w:rPr>
              <w:t>1</w:t>
            </w:r>
            <w:r w:rsidRPr="005767FB">
              <w:rPr>
                <w:rFonts w:hint="eastAsia"/>
                <w:u w:val="single"/>
              </w:rPr>
              <w:t>小时</w:t>
            </w:r>
          </w:p>
        </w:tc>
        <w:tc>
          <w:tcPr>
            <w:tcW w:w="747" w:type="pct"/>
            <w:tcBorders>
              <w:right w:val="single" w:sz="4" w:space="0" w:color="auto"/>
            </w:tcBorders>
            <w:vAlign w:val="center"/>
          </w:tcPr>
          <w:p w:rsidR="00EE56C0" w:rsidRPr="005767FB" w:rsidRDefault="000F36A1">
            <w:pPr>
              <w:pStyle w:val="afa"/>
              <w:rPr>
                <w:u w:val="single"/>
              </w:rPr>
            </w:pPr>
            <w:r w:rsidRPr="005767FB">
              <w:rPr>
                <w:u w:val="single"/>
              </w:rPr>
              <w:t>0.0000</w:t>
            </w:r>
          </w:p>
        </w:tc>
        <w:tc>
          <w:tcPr>
            <w:tcW w:w="665" w:type="pct"/>
            <w:tcBorders>
              <w:right w:val="single" w:sz="4" w:space="0" w:color="auto"/>
            </w:tcBorders>
            <w:vAlign w:val="center"/>
          </w:tcPr>
          <w:p w:rsidR="00EE56C0" w:rsidRPr="005767FB" w:rsidRDefault="000F36A1">
            <w:pPr>
              <w:pStyle w:val="afa"/>
              <w:rPr>
                <w:u w:val="single"/>
              </w:rPr>
            </w:pPr>
            <w:r w:rsidRPr="005767FB">
              <w:rPr>
                <w:u w:val="single"/>
              </w:rPr>
              <w:t>0.0015</w:t>
            </w:r>
          </w:p>
        </w:tc>
        <w:tc>
          <w:tcPr>
            <w:tcW w:w="665" w:type="pct"/>
            <w:tcBorders>
              <w:righ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0.0015</w:t>
            </w:r>
          </w:p>
        </w:tc>
        <w:tc>
          <w:tcPr>
            <w:tcW w:w="672" w:type="pct"/>
            <w:tcBorders>
              <w:left w:val="single" w:sz="4" w:space="0" w:color="auto"/>
              <w:right w:val="single" w:sz="4" w:space="0" w:color="auto"/>
            </w:tcBorders>
            <w:vAlign w:val="center"/>
          </w:tcPr>
          <w:p w:rsidR="00EE56C0" w:rsidRPr="005767FB" w:rsidRDefault="000F36A1">
            <w:pPr>
              <w:pStyle w:val="afa"/>
              <w:rPr>
                <w:u w:val="single"/>
              </w:rPr>
            </w:pPr>
            <w:r w:rsidRPr="005767FB">
              <w:rPr>
                <w:u w:val="single"/>
              </w:rPr>
              <w:t>19070907</w:t>
            </w:r>
          </w:p>
        </w:tc>
        <w:tc>
          <w:tcPr>
            <w:tcW w:w="497" w:type="pct"/>
            <w:tcBorders>
              <w:left w:val="single" w:sz="4" w:space="0" w:color="auto"/>
            </w:tcBorders>
            <w:vAlign w:val="center"/>
          </w:tcPr>
          <w:p w:rsidR="00EE56C0" w:rsidRPr="005767FB" w:rsidRDefault="000F36A1">
            <w:pPr>
              <w:pStyle w:val="afa"/>
              <w:rPr>
                <w:rFonts w:ascii="宋体" w:eastAsia="宋体" w:hAnsi="宋体" w:cs="宋体"/>
                <w:color w:val="000000"/>
                <w:sz w:val="22"/>
                <w:szCs w:val="22"/>
                <w:u w:val="single"/>
              </w:rPr>
            </w:pPr>
            <w:r w:rsidRPr="005767FB">
              <w:rPr>
                <w:rFonts w:hint="eastAsia"/>
                <w:color w:val="000000"/>
                <w:sz w:val="22"/>
                <w:szCs w:val="22"/>
                <w:u w:val="single"/>
              </w:rPr>
              <w:t>1.63</w:t>
            </w:r>
          </w:p>
        </w:tc>
        <w:tc>
          <w:tcPr>
            <w:tcW w:w="443" w:type="pct"/>
            <w:vAlign w:val="center"/>
          </w:tcPr>
          <w:p w:rsidR="00EE56C0" w:rsidRPr="005767FB" w:rsidRDefault="000F36A1">
            <w:pPr>
              <w:pStyle w:val="afa"/>
              <w:rPr>
                <w:u w:val="single"/>
              </w:rPr>
            </w:pPr>
            <w:r w:rsidRPr="005767FB">
              <w:rPr>
                <w:rFonts w:hint="eastAsia"/>
                <w:u w:val="single"/>
              </w:rPr>
              <w:t>达标</w:t>
            </w:r>
          </w:p>
        </w:tc>
      </w:tr>
    </w:tbl>
    <w:p w:rsidR="00EE56C0" w:rsidRDefault="000F36A1">
      <w:pPr>
        <w:pStyle w:val="aff4"/>
      </w:pPr>
      <w:r>
        <w:rPr>
          <w:rFonts w:hint="eastAsia"/>
        </w:rPr>
        <w:t>各污染因子叠加现状后区域污染物浓度等值线图如下：</w:t>
      </w:r>
    </w:p>
    <w:p w:rsidR="00EE56C0" w:rsidRDefault="000F36A1">
      <w:pPr>
        <w:pStyle w:val="aff4"/>
        <w:spacing w:line="240" w:lineRule="auto"/>
      </w:pPr>
      <w:r>
        <w:rPr>
          <w:noProof/>
        </w:rPr>
        <w:lastRenderedPageBreak/>
        <w:drawing>
          <wp:inline distT="0" distB="0" distL="0" distR="0">
            <wp:extent cx="4237355" cy="3985895"/>
            <wp:effectExtent l="19050" t="0" r="0" b="0"/>
            <wp:docPr id="135"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56"/>
                    <pic:cNvPicPr>
                      <a:picLocks noChangeAspect="1" noChangeArrowheads="1"/>
                    </pic:cNvPicPr>
                  </pic:nvPicPr>
                  <pic:blipFill>
                    <a:blip r:embed="rId87"/>
                    <a:srcRect/>
                    <a:stretch>
                      <a:fillRect/>
                    </a:stretch>
                  </pic:blipFill>
                  <pic:spPr>
                    <a:xfrm>
                      <a:off x="0" y="0"/>
                      <a:ext cx="4238943" cy="3987626"/>
                    </a:xfrm>
                    <a:prstGeom prst="rect">
                      <a:avLst/>
                    </a:prstGeom>
                    <a:noFill/>
                    <a:ln w="9525">
                      <a:noFill/>
                      <a:miter lim="800000"/>
                      <a:headEnd/>
                      <a:tailEnd/>
                    </a:ln>
                  </pic:spPr>
                </pic:pic>
              </a:graphicData>
            </a:graphic>
          </wp:inline>
        </w:drawing>
      </w:r>
    </w:p>
    <w:p w:rsidR="00EE56C0" w:rsidRDefault="000F36A1">
      <w:pPr>
        <w:pStyle w:val="aff8"/>
      </w:pPr>
      <w:r>
        <w:rPr>
          <w:rFonts w:hint="eastAsia"/>
        </w:rPr>
        <w:t>图</w:t>
      </w:r>
      <w:r>
        <w:rPr>
          <w:rFonts w:hint="eastAsia"/>
        </w:rPr>
        <w:t xml:space="preserve">5-16    </w:t>
      </w:r>
      <w:r>
        <w:rPr>
          <w:rFonts w:hint="eastAsia"/>
        </w:rPr>
        <w:t>叠加后的酚小时浓度等值线</w:t>
      </w:r>
    </w:p>
    <w:p w:rsidR="00EE56C0" w:rsidRDefault="000F36A1">
      <w:pPr>
        <w:pStyle w:val="aff4"/>
        <w:spacing w:line="240" w:lineRule="auto"/>
      </w:pPr>
      <w:r>
        <w:rPr>
          <w:noProof/>
        </w:rPr>
        <w:drawing>
          <wp:inline distT="0" distB="0" distL="0" distR="0">
            <wp:extent cx="4162425" cy="3866515"/>
            <wp:effectExtent l="19050" t="0" r="9339" b="0"/>
            <wp:docPr id="136"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59"/>
                    <pic:cNvPicPr>
                      <a:picLocks noChangeAspect="1" noChangeArrowheads="1"/>
                    </pic:cNvPicPr>
                  </pic:nvPicPr>
                  <pic:blipFill>
                    <a:blip r:embed="rId88"/>
                    <a:srcRect/>
                    <a:stretch>
                      <a:fillRect/>
                    </a:stretch>
                  </pic:blipFill>
                  <pic:spPr>
                    <a:xfrm>
                      <a:off x="0" y="0"/>
                      <a:ext cx="4158063" cy="3862382"/>
                    </a:xfrm>
                    <a:prstGeom prst="rect">
                      <a:avLst/>
                    </a:prstGeom>
                    <a:noFill/>
                    <a:ln w="9525">
                      <a:noFill/>
                      <a:miter lim="800000"/>
                      <a:headEnd/>
                      <a:tailEnd/>
                    </a:ln>
                  </pic:spPr>
                </pic:pic>
              </a:graphicData>
            </a:graphic>
          </wp:inline>
        </w:drawing>
      </w:r>
    </w:p>
    <w:p w:rsidR="00EE56C0" w:rsidRDefault="000F36A1">
      <w:pPr>
        <w:pStyle w:val="aff8"/>
      </w:pPr>
      <w:r>
        <w:rPr>
          <w:rFonts w:hint="eastAsia"/>
        </w:rPr>
        <w:t>图</w:t>
      </w:r>
      <w:r>
        <w:rPr>
          <w:rFonts w:hint="eastAsia"/>
        </w:rPr>
        <w:t xml:space="preserve">5-17    </w:t>
      </w:r>
      <w:r>
        <w:rPr>
          <w:rFonts w:hint="eastAsia"/>
        </w:rPr>
        <w:t>叠加后的非甲烷总烃小时浓度等值线</w:t>
      </w:r>
    </w:p>
    <w:p w:rsidR="00EE56C0" w:rsidRDefault="000F36A1">
      <w:pPr>
        <w:pStyle w:val="aff8"/>
      </w:pPr>
      <w:r>
        <w:rPr>
          <w:b w:val="0"/>
          <w:noProof/>
        </w:rPr>
        <w:lastRenderedPageBreak/>
        <w:drawing>
          <wp:inline distT="0" distB="0" distL="0" distR="0">
            <wp:extent cx="4265930" cy="3978910"/>
            <wp:effectExtent l="19050" t="0" r="798" b="0"/>
            <wp:docPr id="137"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62"/>
                    <pic:cNvPicPr>
                      <a:picLocks noChangeAspect="1" noChangeArrowheads="1"/>
                    </pic:cNvPicPr>
                  </pic:nvPicPr>
                  <pic:blipFill>
                    <a:blip r:embed="rId89"/>
                    <a:srcRect/>
                    <a:stretch>
                      <a:fillRect/>
                    </a:stretch>
                  </pic:blipFill>
                  <pic:spPr>
                    <a:xfrm>
                      <a:off x="0" y="0"/>
                      <a:ext cx="4274313" cy="3986713"/>
                    </a:xfrm>
                    <a:prstGeom prst="rect">
                      <a:avLst/>
                    </a:prstGeom>
                    <a:noFill/>
                    <a:ln w="9525">
                      <a:noFill/>
                      <a:miter lim="800000"/>
                      <a:headEnd/>
                      <a:tailEnd/>
                    </a:ln>
                  </pic:spPr>
                </pic:pic>
              </a:graphicData>
            </a:graphic>
          </wp:inline>
        </w:drawing>
      </w:r>
    </w:p>
    <w:p w:rsidR="00EE56C0" w:rsidRDefault="000F36A1">
      <w:pPr>
        <w:pStyle w:val="aff8"/>
      </w:pPr>
      <w:r>
        <w:rPr>
          <w:rFonts w:hint="eastAsia"/>
        </w:rPr>
        <w:t>图</w:t>
      </w:r>
      <w:r>
        <w:rPr>
          <w:rFonts w:hint="eastAsia"/>
        </w:rPr>
        <w:t xml:space="preserve">5-18    </w:t>
      </w:r>
      <w:r>
        <w:rPr>
          <w:rFonts w:hint="eastAsia"/>
        </w:rPr>
        <w:t>叠加后的二甲苯小时浓度等值线</w:t>
      </w:r>
    </w:p>
    <w:p w:rsidR="00EE56C0" w:rsidRDefault="000F36A1">
      <w:pPr>
        <w:pStyle w:val="aff8"/>
      </w:pPr>
      <w:r>
        <w:rPr>
          <w:b w:val="0"/>
          <w:noProof/>
        </w:rPr>
        <w:drawing>
          <wp:inline distT="0" distB="0" distL="0" distR="0">
            <wp:extent cx="4246245" cy="3961765"/>
            <wp:effectExtent l="19050" t="0" r="1905" b="0"/>
            <wp:docPr id="138"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65"/>
                    <pic:cNvPicPr>
                      <a:picLocks noChangeAspect="1" noChangeArrowheads="1"/>
                    </pic:cNvPicPr>
                  </pic:nvPicPr>
                  <pic:blipFill>
                    <a:blip r:embed="rId90"/>
                    <a:srcRect/>
                    <a:stretch>
                      <a:fillRect/>
                    </a:stretch>
                  </pic:blipFill>
                  <pic:spPr>
                    <a:xfrm>
                      <a:off x="0" y="0"/>
                      <a:ext cx="4248437" cy="3964315"/>
                    </a:xfrm>
                    <a:prstGeom prst="rect">
                      <a:avLst/>
                    </a:prstGeom>
                    <a:noFill/>
                    <a:ln w="9525">
                      <a:noFill/>
                      <a:miter lim="800000"/>
                      <a:headEnd/>
                      <a:tailEnd/>
                    </a:ln>
                  </pic:spPr>
                </pic:pic>
              </a:graphicData>
            </a:graphic>
          </wp:inline>
        </w:drawing>
      </w:r>
    </w:p>
    <w:p w:rsidR="00EE56C0" w:rsidRDefault="000F36A1">
      <w:pPr>
        <w:pStyle w:val="aff8"/>
      </w:pPr>
      <w:r>
        <w:rPr>
          <w:rFonts w:hint="eastAsia"/>
        </w:rPr>
        <w:t>图</w:t>
      </w:r>
      <w:r>
        <w:rPr>
          <w:rFonts w:hint="eastAsia"/>
        </w:rPr>
        <w:t xml:space="preserve">5-19    </w:t>
      </w:r>
      <w:r>
        <w:rPr>
          <w:rFonts w:hint="eastAsia"/>
        </w:rPr>
        <w:t>叠加后的甲苯小时浓度等值线</w:t>
      </w:r>
    </w:p>
    <w:p w:rsidR="00EE56C0" w:rsidRDefault="000F36A1">
      <w:pPr>
        <w:pStyle w:val="aff8"/>
      </w:pPr>
      <w:r>
        <w:rPr>
          <w:rFonts w:hint="eastAsia"/>
          <w:b w:val="0"/>
          <w:noProof/>
        </w:rPr>
        <w:lastRenderedPageBreak/>
        <w:drawing>
          <wp:inline distT="0" distB="0" distL="0" distR="0">
            <wp:extent cx="5278755" cy="4923790"/>
            <wp:effectExtent l="19050" t="0" r="0" b="0"/>
            <wp:docPr id="139"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68"/>
                    <pic:cNvPicPr>
                      <a:picLocks noChangeAspect="1" noChangeArrowheads="1"/>
                    </pic:cNvPicPr>
                  </pic:nvPicPr>
                  <pic:blipFill>
                    <a:blip r:embed="rId91"/>
                    <a:srcRect/>
                    <a:stretch>
                      <a:fillRect/>
                    </a:stretch>
                  </pic:blipFill>
                  <pic:spPr>
                    <a:xfrm>
                      <a:off x="0" y="0"/>
                      <a:ext cx="5278755" cy="4924406"/>
                    </a:xfrm>
                    <a:prstGeom prst="rect">
                      <a:avLst/>
                    </a:prstGeom>
                    <a:noFill/>
                    <a:ln w="9525">
                      <a:noFill/>
                      <a:miter lim="800000"/>
                      <a:headEnd/>
                      <a:tailEnd/>
                    </a:ln>
                  </pic:spPr>
                </pic:pic>
              </a:graphicData>
            </a:graphic>
          </wp:inline>
        </w:drawing>
      </w:r>
      <w:r>
        <w:rPr>
          <w:rFonts w:hint="eastAsia"/>
        </w:rPr>
        <w:t>图</w:t>
      </w:r>
      <w:r>
        <w:rPr>
          <w:rFonts w:hint="eastAsia"/>
        </w:rPr>
        <w:t xml:space="preserve">5-20    </w:t>
      </w:r>
      <w:r>
        <w:rPr>
          <w:rFonts w:hint="eastAsia"/>
        </w:rPr>
        <w:t>叠加后的苯小时浓度等值线</w:t>
      </w:r>
    </w:p>
    <w:p w:rsidR="00EE56C0" w:rsidRDefault="000F36A1">
      <w:pPr>
        <w:pStyle w:val="5"/>
      </w:pPr>
      <w:r>
        <w:rPr>
          <w:rFonts w:hint="eastAsia"/>
        </w:rPr>
        <w:t>4</w:t>
      </w:r>
      <w:r>
        <w:rPr>
          <w:rFonts w:hint="eastAsia"/>
        </w:rPr>
        <w:t>）厂界污染物浓度预测</w:t>
      </w:r>
    </w:p>
    <w:p w:rsidR="00EE56C0" w:rsidRDefault="000F36A1">
      <w:pPr>
        <w:pStyle w:val="aff4"/>
      </w:pPr>
      <w:r>
        <w:rPr>
          <w:rFonts w:hint="eastAsia"/>
        </w:rPr>
        <w:t>本项目完成后全厂酚、非甲烷总烃、二甲苯、甲苯、苯废气排放污染物在厂界处最大落地浓度预测结果见表</w:t>
      </w:r>
      <w:r>
        <w:t>5-</w:t>
      </w:r>
      <w:r>
        <w:rPr>
          <w:rFonts w:hint="eastAsia"/>
        </w:rPr>
        <w:t>30</w:t>
      </w:r>
      <w:r>
        <w:rPr>
          <w:rFonts w:hint="eastAsia"/>
        </w:rPr>
        <w:t>。</w:t>
      </w:r>
    </w:p>
    <w:p w:rsidR="00EE56C0" w:rsidRDefault="000F36A1">
      <w:pPr>
        <w:pStyle w:val="afd"/>
        <w:spacing w:before="120" w:after="120"/>
        <w:ind w:firstLine="482"/>
      </w:pPr>
      <w:r>
        <w:t>表</w:t>
      </w:r>
      <w:r>
        <w:t>5-</w:t>
      </w:r>
      <w:r>
        <w:rPr>
          <w:rFonts w:hint="eastAsia"/>
        </w:rPr>
        <w:t xml:space="preserve">34   </w:t>
      </w:r>
      <w:r>
        <w:rPr>
          <w:rFonts w:hint="eastAsia"/>
        </w:rPr>
        <w:t>项目建成后项目厂区四周污染物浓度</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2006"/>
        <w:gridCol w:w="2922"/>
        <w:gridCol w:w="3601"/>
      </w:tblGrid>
      <w:tr w:rsidR="00EE56C0" w:rsidRPr="005767FB">
        <w:trPr>
          <w:trHeight w:val="425"/>
          <w:tblHeader/>
          <w:jc w:val="center"/>
        </w:trPr>
        <w:tc>
          <w:tcPr>
            <w:tcW w:w="1176" w:type="pct"/>
            <w:vAlign w:val="center"/>
          </w:tcPr>
          <w:p w:rsidR="00EE56C0" w:rsidRPr="005767FB" w:rsidRDefault="000F36A1">
            <w:pPr>
              <w:pStyle w:val="afa"/>
              <w:rPr>
                <w:b/>
                <w:u w:val="single"/>
              </w:rPr>
            </w:pPr>
            <w:r w:rsidRPr="005767FB">
              <w:rPr>
                <w:b/>
                <w:u w:val="single"/>
              </w:rPr>
              <w:t>污染源</w:t>
            </w:r>
          </w:p>
        </w:tc>
        <w:tc>
          <w:tcPr>
            <w:tcW w:w="1713" w:type="pct"/>
            <w:vAlign w:val="center"/>
          </w:tcPr>
          <w:p w:rsidR="00EE56C0" w:rsidRPr="005767FB" w:rsidRDefault="000F36A1">
            <w:pPr>
              <w:pStyle w:val="afa"/>
              <w:rPr>
                <w:b/>
                <w:u w:val="single"/>
              </w:rPr>
            </w:pPr>
            <w:r w:rsidRPr="005767FB">
              <w:rPr>
                <w:b/>
                <w:u w:val="single"/>
              </w:rPr>
              <w:t>厂界点</w:t>
            </w:r>
          </w:p>
        </w:tc>
        <w:tc>
          <w:tcPr>
            <w:tcW w:w="2111" w:type="pct"/>
            <w:vAlign w:val="center"/>
          </w:tcPr>
          <w:p w:rsidR="00EE56C0" w:rsidRPr="005767FB" w:rsidRDefault="000F36A1">
            <w:pPr>
              <w:pStyle w:val="afa"/>
              <w:rPr>
                <w:b/>
                <w:u w:val="single"/>
              </w:rPr>
            </w:pPr>
            <w:r w:rsidRPr="005767FB">
              <w:rPr>
                <w:rFonts w:hint="eastAsia"/>
                <w:b/>
                <w:u w:val="single"/>
              </w:rPr>
              <w:t>厂界预测浓度</w:t>
            </w:r>
          </w:p>
        </w:tc>
      </w:tr>
      <w:tr w:rsidR="00EE56C0" w:rsidRPr="005767FB">
        <w:trPr>
          <w:trHeight w:val="425"/>
          <w:jc w:val="center"/>
        </w:trPr>
        <w:tc>
          <w:tcPr>
            <w:tcW w:w="1176" w:type="pct"/>
            <w:vMerge w:val="restart"/>
            <w:vAlign w:val="center"/>
          </w:tcPr>
          <w:p w:rsidR="00EE56C0" w:rsidRPr="005767FB" w:rsidRDefault="000F36A1">
            <w:pPr>
              <w:pStyle w:val="afa"/>
              <w:rPr>
                <w:u w:val="single"/>
              </w:rPr>
            </w:pPr>
            <w:r w:rsidRPr="005767FB">
              <w:rPr>
                <w:rFonts w:hint="eastAsia"/>
                <w:u w:val="single"/>
              </w:rPr>
              <w:t>酚</w:t>
            </w:r>
          </w:p>
        </w:tc>
        <w:tc>
          <w:tcPr>
            <w:tcW w:w="1713" w:type="pct"/>
            <w:vAlign w:val="center"/>
          </w:tcPr>
          <w:p w:rsidR="00EE56C0" w:rsidRPr="005767FB" w:rsidRDefault="000F36A1">
            <w:pPr>
              <w:pStyle w:val="afa"/>
              <w:rPr>
                <w:u w:val="single"/>
              </w:rPr>
            </w:pPr>
            <w:r w:rsidRPr="005767FB">
              <w:rPr>
                <w:u w:val="single"/>
              </w:rPr>
              <w:t>东厂界</w:t>
            </w:r>
          </w:p>
        </w:tc>
        <w:tc>
          <w:tcPr>
            <w:tcW w:w="2111" w:type="pct"/>
            <w:vAlign w:val="center"/>
          </w:tcPr>
          <w:p w:rsidR="00EE56C0" w:rsidRPr="005767FB" w:rsidRDefault="000F36A1">
            <w:pPr>
              <w:pStyle w:val="afa"/>
              <w:rPr>
                <w:u w:val="single"/>
              </w:rPr>
            </w:pPr>
            <w:r w:rsidRPr="005767FB">
              <w:rPr>
                <w:rFonts w:hint="eastAsia"/>
                <w:u w:val="single"/>
              </w:rPr>
              <w:t>0.0094</w:t>
            </w:r>
          </w:p>
        </w:tc>
      </w:tr>
      <w:tr w:rsidR="00EE56C0" w:rsidRPr="005767FB">
        <w:trPr>
          <w:trHeight w:val="425"/>
          <w:jc w:val="center"/>
        </w:trPr>
        <w:tc>
          <w:tcPr>
            <w:tcW w:w="1176" w:type="pct"/>
            <w:vMerge/>
            <w:vAlign w:val="center"/>
          </w:tcPr>
          <w:p w:rsidR="00EE56C0" w:rsidRPr="005767FB" w:rsidRDefault="00EE56C0">
            <w:pPr>
              <w:pStyle w:val="afa"/>
              <w:rPr>
                <w:u w:val="single"/>
              </w:rPr>
            </w:pPr>
          </w:p>
        </w:tc>
        <w:tc>
          <w:tcPr>
            <w:tcW w:w="1713" w:type="pct"/>
            <w:vAlign w:val="center"/>
          </w:tcPr>
          <w:p w:rsidR="00EE56C0" w:rsidRPr="005767FB" w:rsidRDefault="000F36A1">
            <w:pPr>
              <w:pStyle w:val="afa"/>
              <w:rPr>
                <w:u w:val="single"/>
              </w:rPr>
            </w:pPr>
            <w:r w:rsidRPr="005767FB">
              <w:rPr>
                <w:u w:val="single"/>
              </w:rPr>
              <w:t>南厂界</w:t>
            </w:r>
          </w:p>
        </w:tc>
        <w:tc>
          <w:tcPr>
            <w:tcW w:w="2111" w:type="pct"/>
            <w:vAlign w:val="center"/>
          </w:tcPr>
          <w:p w:rsidR="00EE56C0" w:rsidRPr="005767FB" w:rsidRDefault="000F36A1">
            <w:pPr>
              <w:pStyle w:val="afa"/>
              <w:rPr>
                <w:u w:val="single"/>
              </w:rPr>
            </w:pPr>
            <w:r w:rsidRPr="005767FB">
              <w:rPr>
                <w:rFonts w:hint="eastAsia"/>
                <w:u w:val="single"/>
              </w:rPr>
              <w:t>0.0195</w:t>
            </w:r>
          </w:p>
        </w:tc>
      </w:tr>
      <w:tr w:rsidR="00EE56C0" w:rsidRPr="005767FB">
        <w:trPr>
          <w:trHeight w:val="425"/>
          <w:jc w:val="center"/>
        </w:trPr>
        <w:tc>
          <w:tcPr>
            <w:tcW w:w="1176" w:type="pct"/>
            <w:vMerge/>
            <w:vAlign w:val="center"/>
          </w:tcPr>
          <w:p w:rsidR="00EE56C0" w:rsidRPr="005767FB" w:rsidRDefault="00EE56C0">
            <w:pPr>
              <w:pStyle w:val="afa"/>
              <w:rPr>
                <w:u w:val="single"/>
              </w:rPr>
            </w:pPr>
          </w:p>
        </w:tc>
        <w:tc>
          <w:tcPr>
            <w:tcW w:w="1713" w:type="pct"/>
            <w:vAlign w:val="center"/>
          </w:tcPr>
          <w:p w:rsidR="00EE56C0" w:rsidRPr="005767FB" w:rsidRDefault="000F36A1">
            <w:pPr>
              <w:pStyle w:val="afa"/>
              <w:rPr>
                <w:u w:val="single"/>
              </w:rPr>
            </w:pPr>
            <w:r w:rsidRPr="005767FB">
              <w:rPr>
                <w:rFonts w:hint="eastAsia"/>
                <w:u w:val="single"/>
              </w:rPr>
              <w:t>西</w:t>
            </w:r>
            <w:r w:rsidRPr="005767FB">
              <w:rPr>
                <w:u w:val="single"/>
              </w:rPr>
              <w:t>厂界</w:t>
            </w:r>
          </w:p>
        </w:tc>
        <w:tc>
          <w:tcPr>
            <w:tcW w:w="2111" w:type="pct"/>
            <w:vAlign w:val="center"/>
          </w:tcPr>
          <w:p w:rsidR="00EE56C0" w:rsidRPr="005767FB" w:rsidRDefault="000F36A1">
            <w:pPr>
              <w:pStyle w:val="afa"/>
              <w:rPr>
                <w:u w:val="single"/>
              </w:rPr>
            </w:pPr>
            <w:r w:rsidRPr="005767FB">
              <w:rPr>
                <w:rFonts w:hint="eastAsia"/>
                <w:u w:val="single"/>
              </w:rPr>
              <w:t>0.0196</w:t>
            </w:r>
          </w:p>
        </w:tc>
      </w:tr>
      <w:tr w:rsidR="00EE56C0" w:rsidRPr="005767FB">
        <w:trPr>
          <w:trHeight w:val="425"/>
          <w:jc w:val="center"/>
        </w:trPr>
        <w:tc>
          <w:tcPr>
            <w:tcW w:w="1176" w:type="pct"/>
            <w:vMerge/>
            <w:vAlign w:val="center"/>
          </w:tcPr>
          <w:p w:rsidR="00EE56C0" w:rsidRPr="005767FB" w:rsidRDefault="00EE56C0">
            <w:pPr>
              <w:pStyle w:val="afa"/>
              <w:rPr>
                <w:u w:val="single"/>
              </w:rPr>
            </w:pPr>
          </w:p>
        </w:tc>
        <w:tc>
          <w:tcPr>
            <w:tcW w:w="1713" w:type="pct"/>
            <w:vAlign w:val="center"/>
          </w:tcPr>
          <w:p w:rsidR="00EE56C0" w:rsidRPr="005767FB" w:rsidRDefault="000F36A1">
            <w:pPr>
              <w:pStyle w:val="afa"/>
              <w:rPr>
                <w:u w:val="single"/>
              </w:rPr>
            </w:pPr>
            <w:r w:rsidRPr="005767FB">
              <w:rPr>
                <w:u w:val="single"/>
              </w:rPr>
              <w:t>北厂界</w:t>
            </w:r>
          </w:p>
        </w:tc>
        <w:tc>
          <w:tcPr>
            <w:tcW w:w="2111" w:type="pct"/>
            <w:vAlign w:val="center"/>
          </w:tcPr>
          <w:p w:rsidR="00EE56C0" w:rsidRPr="005767FB" w:rsidRDefault="000F36A1">
            <w:pPr>
              <w:pStyle w:val="afa"/>
              <w:rPr>
                <w:u w:val="single"/>
              </w:rPr>
            </w:pPr>
            <w:r w:rsidRPr="005767FB">
              <w:rPr>
                <w:rFonts w:hint="eastAsia"/>
                <w:u w:val="single"/>
              </w:rPr>
              <w:t>0.0157</w:t>
            </w:r>
          </w:p>
        </w:tc>
      </w:tr>
      <w:tr w:rsidR="00EE56C0" w:rsidRPr="005767FB">
        <w:trPr>
          <w:trHeight w:val="425"/>
          <w:jc w:val="center"/>
        </w:trPr>
        <w:tc>
          <w:tcPr>
            <w:tcW w:w="1176" w:type="pct"/>
            <w:vMerge w:val="restart"/>
            <w:vAlign w:val="center"/>
          </w:tcPr>
          <w:p w:rsidR="00EE56C0" w:rsidRPr="005767FB" w:rsidRDefault="000F36A1">
            <w:pPr>
              <w:pStyle w:val="afa"/>
              <w:rPr>
                <w:u w:val="single"/>
              </w:rPr>
            </w:pPr>
            <w:r w:rsidRPr="005767FB">
              <w:rPr>
                <w:rFonts w:hint="eastAsia"/>
                <w:u w:val="single"/>
              </w:rPr>
              <w:t>非甲烷总烃</w:t>
            </w:r>
          </w:p>
        </w:tc>
        <w:tc>
          <w:tcPr>
            <w:tcW w:w="1713" w:type="pct"/>
            <w:vAlign w:val="center"/>
          </w:tcPr>
          <w:p w:rsidR="00EE56C0" w:rsidRPr="005767FB" w:rsidRDefault="000F36A1">
            <w:pPr>
              <w:pStyle w:val="afa"/>
              <w:rPr>
                <w:u w:val="single"/>
              </w:rPr>
            </w:pPr>
            <w:r w:rsidRPr="005767FB">
              <w:rPr>
                <w:u w:val="single"/>
              </w:rPr>
              <w:t>东厂界</w:t>
            </w:r>
          </w:p>
        </w:tc>
        <w:tc>
          <w:tcPr>
            <w:tcW w:w="2111" w:type="pct"/>
            <w:vAlign w:val="center"/>
          </w:tcPr>
          <w:p w:rsidR="00EE56C0" w:rsidRPr="005767FB" w:rsidRDefault="000F36A1">
            <w:pPr>
              <w:pStyle w:val="afa"/>
              <w:rPr>
                <w:u w:val="single"/>
              </w:rPr>
            </w:pPr>
            <w:r w:rsidRPr="005767FB">
              <w:rPr>
                <w:rFonts w:hint="eastAsia"/>
                <w:u w:val="single"/>
              </w:rPr>
              <w:t>0.0034</w:t>
            </w:r>
          </w:p>
        </w:tc>
      </w:tr>
      <w:tr w:rsidR="00EE56C0" w:rsidRPr="005767FB">
        <w:trPr>
          <w:trHeight w:val="425"/>
          <w:jc w:val="center"/>
        </w:trPr>
        <w:tc>
          <w:tcPr>
            <w:tcW w:w="1176" w:type="pct"/>
            <w:vMerge/>
            <w:vAlign w:val="center"/>
          </w:tcPr>
          <w:p w:rsidR="00EE56C0" w:rsidRPr="005767FB" w:rsidRDefault="00EE56C0">
            <w:pPr>
              <w:pStyle w:val="afa"/>
              <w:rPr>
                <w:u w:val="single"/>
              </w:rPr>
            </w:pPr>
          </w:p>
        </w:tc>
        <w:tc>
          <w:tcPr>
            <w:tcW w:w="1713" w:type="pct"/>
            <w:vAlign w:val="center"/>
          </w:tcPr>
          <w:p w:rsidR="00EE56C0" w:rsidRPr="005767FB" w:rsidRDefault="000F36A1">
            <w:pPr>
              <w:pStyle w:val="afa"/>
              <w:rPr>
                <w:u w:val="single"/>
              </w:rPr>
            </w:pPr>
            <w:r w:rsidRPr="005767FB">
              <w:rPr>
                <w:u w:val="single"/>
              </w:rPr>
              <w:t>南厂界</w:t>
            </w:r>
          </w:p>
        </w:tc>
        <w:tc>
          <w:tcPr>
            <w:tcW w:w="2111" w:type="pct"/>
            <w:vAlign w:val="center"/>
          </w:tcPr>
          <w:p w:rsidR="00EE56C0" w:rsidRPr="005767FB" w:rsidRDefault="000F36A1">
            <w:pPr>
              <w:pStyle w:val="afa"/>
              <w:rPr>
                <w:u w:val="single"/>
              </w:rPr>
            </w:pPr>
            <w:r w:rsidRPr="005767FB">
              <w:rPr>
                <w:rFonts w:hint="eastAsia"/>
                <w:u w:val="single"/>
              </w:rPr>
              <w:t>0.0071</w:t>
            </w:r>
          </w:p>
        </w:tc>
      </w:tr>
      <w:tr w:rsidR="00EE56C0" w:rsidRPr="005767FB">
        <w:trPr>
          <w:trHeight w:val="425"/>
          <w:jc w:val="center"/>
        </w:trPr>
        <w:tc>
          <w:tcPr>
            <w:tcW w:w="1176" w:type="pct"/>
            <w:vMerge/>
            <w:vAlign w:val="center"/>
          </w:tcPr>
          <w:p w:rsidR="00EE56C0" w:rsidRPr="005767FB" w:rsidRDefault="00EE56C0">
            <w:pPr>
              <w:pStyle w:val="afa"/>
              <w:rPr>
                <w:u w:val="single"/>
              </w:rPr>
            </w:pPr>
          </w:p>
        </w:tc>
        <w:tc>
          <w:tcPr>
            <w:tcW w:w="1713" w:type="pct"/>
            <w:vAlign w:val="center"/>
          </w:tcPr>
          <w:p w:rsidR="00EE56C0" w:rsidRPr="005767FB" w:rsidRDefault="000F36A1">
            <w:pPr>
              <w:pStyle w:val="afa"/>
              <w:rPr>
                <w:u w:val="single"/>
              </w:rPr>
            </w:pPr>
            <w:r w:rsidRPr="005767FB">
              <w:rPr>
                <w:rFonts w:hint="eastAsia"/>
                <w:u w:val="single"/>
              </w:rPr>
              <w:t>西</w:t>
            </w:r>
            <w:r w:rsidRPr="005767FB">
              <w:rPr>
                <w:u w:val="single"/>
              </w:rPr>
              <w:t>厂界</w:t>
            </w:r>
          </w:p>
        </w:tc>
        <w:tc>
          <w:tcPr>
            <w:tcW w:w="2111" w:type="pct"/>
            <w:vAlign w:val="center"/>
          </w:tcPr>
          <w:p w:rsidR="00EE56C0" w:rsidRPr="005767FB" w:rsidRDefault="000F36A1">
            <w:pPr>
              <w:pStyle w:val="afa"/>
              <w:rPr>
                <w:u w:val="single"/>
              </w:rPr>
            </w:pPr>
            <w:r w:rsidRPr="005767FB">
              <w:rPr>
                <w:rFonts w:hint="eastAsia"/>
                <w:u w:val="single"/>
              </w:rPr>
              <w:t>0.0081</w:t>
            </w:r>
          </w:p>
        </w:tc>
      </w:tr>
      <w:tr w:rsidR="00EE56C0" w:rsidRPr="005767FB">
        <w:trPr>
          <w:trHeight w:val="425"/>
          <w:jc w:val="center"/>
        </w:trPr>
        <w:tc>
          <w:tcPr>
            <w:tcW w:w="1176" w:type="pct"/>
            <w:vMerge/>
            <w:vAlign w:val="center"/>
          </w:tcPr>
          <w:p w:rsidR="00EE56C0" w:rsidRPr="005767FB" w:rsidRDefault="00EE56C0">
            <w:pPr>
              <w:pStyle w:val="afa"/>
              <w:rPr>
                <w:u w:val="single"/>
              </w:rPr>
            </w:pPr>
          </w:p>
        </w:tc>
        <w:tc>
          <w:tcPr>
            <w:tcW w:w="1713" w:type="pct"/>
            <w:vAlign w:val="center"/>
          </w:tcPr>
          <w:p w:rsidR="00EE56C0" w:rsidRPr="005767FB" w:rsidRDefault="000F36A1">
            <w:pPr>
              <w:pStyle w:val="afa"/>
              <w:rPr>
                <w:u w:val="single"/>
              </w:rPr>
            </w:pPr>
            <w:r w:rsidRPr="005767FB">
              <w:rPr>
                <w:u w:val="single"/>
              </w:rPr>
              <w:t>北厂界</w:t>
            </w:r>
          </w:p>
        </w:tc>
        <w:tc>
          <w:tcPr>
            <w:tcW w:w="2111" w:type="pct"/>
            <w:vAlign w:val="center"/>
          </w:tcPr>
          <w:p w:rsidR="00EE56C0" w:rsidRPr="005767FB" w:rsidRDefault="000F36A1">
            <w:pPr>
              <w:pStyle w:val="afa"/>
              <w:rPr>
                <w:u w:val="single"/>
              </w:rPr>
            </w:pPr>
            <w:r w:rsidRPr="005767FB">
              <w:rPr>
                <w:u w:val="single"/>
              </w:rPr>
              <w:t>0.0057</w:t>
            </w:r>
          </w:p>
        </w:tc>
      </w:tr>
      <w:tr w:rsidR="00EE56C0" w:rsidRPr="005767FB">
        <w:trPr>
          <w:trHeight w:val="425"/>
          <w:jc w:val="center"/>
        </w:trPr>
        <w:tc>
          <w:tcPr>
            <w:tcW w:w="1176" w:type="pct"/>
            <w:vMerge w:val="restart"/>
            <w:vAlign w:val="center"/>
          </w:tcPr>
          <w:p w:rsidR="00EE56C0" w:rsidRPr="005767FB" w:rsidRDefault="000F36A1">
            <w:pPr>
              <w:pStyle w:val="afa"/>
              <w:rPr>
                <w:u w:val="single"/>
              </w:rPr>
            </w:pPr>
            <w:r w:rsidRPr="005767FB">
              <w:rPr>
                <w:rFonts w:hint="eastAsia"/>
                <w:u w:val="single"/>
              </w:rPr>
              <w:t>二甲苯</w:t>
            </w:r>
          </w:p>
        </w:tc>
        <w:tc>
          <w:tcPr>
            <w:tcW w:w="1713" w:type="pct"/>
            <w:vAlign w:val="center"/>
          </w:tcPr>
          <w:p w:rsidR="00EE56C0" w:rsidRPr="005767FB" w:rsidRDefault="000F36A1">
            <w:pPr>
              <w:pStyle w:val="afa"/>
              <w:rPr>
                <w:u w:val="single"/>
              </w:rPr>
            </w:pPr>
            <w:r w:rsidRPr="005767FB">
              <w:rPr>
                <w:u w:val="single"/>
              </w:rPr>
              <w:t>东厂界</w:t>
            </w:r>
          </w:p>
        </w:tc>
        <w:tc>
          <w:tcPr>
            <w:tcW w:w="2111" w:type="pct"/>
            <w:vAlign w:val="center"/>
          </w:tcPr>
          <w:p w:rsidR="00EE56C0" w:rsidRPr="005767FB" w:rsidRDefault="000F36A1">
            <w:pPr>
              <w:pStyle w:val="afa"/>
              <w:rPr>
                <w:u w:val="single"/>
              </w:rPr>
            </w:pPr>
            <w:r w:rsidRPr="005767FB">
              <w:rPr>
                <w:u w:val="single"/>
              </w:rPr>
              <w:t>0.0010</w:t>
            </w:r>
          </w:p>
        </w:tc>
      </w:tr>
      <w:tr w:rsidR="00EE56C0" w:rsidRPr="005767FB">
        <w:trPr>
          <w:trHeight w:val="425"/>
          <w:jc w:val="center"/>
        </w:trPr>
        <w:tc>
          <w:tcPr>
            <w:tcW w:w="1176" w:type="pct"/>
            <w:vMerge/>
            <w:vAlign w:val="center"/>
          </w:tcPr>
          <w:p w:rsidR="00EE56C0" w:rsidRPr="005767FB" w:rsidRDefault="00EE56C0">
            <w:pPr>
              <w:pStyle w:val="afa"/>
              <w:rPr>
                <w:u w:val="single"/>
              </w:rPr>
            </w:pPr>
          </w:p>
        </w:tc>
        <w:tc>
          <w:tcPr>
            <w:tcW w:w="1713" w:type="pct"/>
            <w:vAlign w:val="center"/>
          </w:tcPr>
          <w:p w:rsidR="00EE56C0" w:rsidRPr="005767FB" w:rsidRDefault="000F36A1">
            <w:pPr>
              <w:pStyle w:val="afa"/>
              <w:rPr>
                <w:u w:val="single"/>
              </w:rPr>
            </w:pPr>
            <w:r w:rsidRPr="005767FB">
              <w:rPr>
                <w:u w:val="single"/>
              </w:rPr>
              <w:t>南厂界</w:t>
            </w:r>
          </w:p>
        </w:tc>
        <w:tc>
          <w:tcPr>
            <w:tcW w:w="2111" w:type="pct"/>
            <w:vAlign w:val="center"/>
          </w:tcPr>
          <w:p w:rsidR="00EE56C0" w:rsidRPr="005767FB" w:rsidRDefault="000F36A1">
            <w:pPr>
              <w:pStyle w:val="afa"/>
              <w:rPr>
                <w:u w:val="single"/>
              </w:rPr>
            </w:pPr>
            <w:r w:rsidRPr="005767FB">
              <w:rPr>
                <w:u w:val="single"/>
              </w:rPr>
              <w:t>0.0021</w:t>
            </w:r>
          </w:p>
        </w:tc>
      </w:tr>
      <w:tr w:rsidR="00EE56C0" w:rsidRPr="005767FB">
        <w:trPr>
          <w:trHeight w:val="425"/>
          <w:jc w:val="center"/>
        </w:trPr>
        <w:tc>
          <w:tcPr>
            <w:tcW w:w="1176" w:type="pct"/>
            <w:vMerge/>
            <w:vAlign w:val="center"/>
          </w:tcPr>
          <w:p w:rsidR="00EE56C0" w:rsidRPr="005767FB" w:rsidRDefault="00EE56C0">
            <w:pPr>
              <w:pStyle w:val="afa"/>
              <w:rPr>
                <w:u w:val="single"/>
              </w:rPr>
            </w:pPr>
          </w:p>
        </w:tc>
        <w:tc>
          <w:tcPr>
            <w:tcW w:w="1713" w:type="pct"/>
            <w:vAlign w:val="center"/>
          </w:tcPr>
          <w:p w:rsidR="00EE56C0" w:rsidRPr="005767FB" w:rsidRDefault="000F36A1">
            <w:pPr>
              <w:pStyle w:val="afa"/>
              <w:rPr>
                <w:u w:val="single"/>
              </w:rPr>
            </w:pPr>
            <w:r w:rsidRPr="005767FB">
              <w:rPr>
                <w:rFonts w:hint="eastAsia"/>
                <w:u w:val="single"/>
              </w:rPr>
              <w:t>西</w:t>
            </w:r>
            <w:r w:rsidRPr="005767FB">
              <w:rPr>
                <w:u w:val="single"/>
              </w:rPr>
              <w:t>厂界</w:t>
            </w:r>
          </w:p>
        </w:tc>
        <w:tc>
          <w:tcPr>
            <w:tcW w:w="2111" w:type="pct"/>
            <w:vAlign w:val="center"/>
          </w:tcPr>
          <w:p w:rsidR="00EE56C0" w:rsidRPr="005767FB" w:rsidRDefault="000F36A1">
            <w:pPr>
              <w:pStyle w:val="afa"/>
              <w:rPr>
                <w:u w:val="single"/>
              </w:rPr>
            </w:pPr>
            <w:r w:rsidRPr="005767FB">
              <w:rPr>
                <w:u w:val="single"/>
              </w:rPr>
              <w:t>0.0024</w:t>
            </w:r>
          </w:p>
        </w:tc>
      </w:tr>
      <w:tr w:rsidR="00EE56C0" w:rsidRPr="005767FB">
        <w:trPr>
          <w:trHeight w:val="425"/>
          <w:jc w:val="center"/>
        </w:trPr>
        <w:tc>
          <w:tcPr>
            <w:tcW w:w="1176" w:type="pct"/>
            <w:vMerge/>
            <w:vAlign w:val="center"/>
          </w:tcPr>
          <w:p w:rsidR="00EE56C0" w:rsidRPr="005767FB" w:rsidRDefault="00EE56C0">
            <w:pPr>
              <w:pStyle w:val="afa"/>
              <w:rPr>
                <w:u w:val="single"/>
              </w:rPr>
            </w:pPr>
          </w:p>
        </w:tc>
        <w:tc>
          <w:tcPr>
            <w:tcW w:w="1713" w:type="pct"/>
            <w:vAlign w:val="center"/>
          </w:tcPr>
          <w:p w:rsidR="00EE56C0" w:rsidRPr="005767FB" w:rsidRDefault="000F36A1">
            <w:pPr>
              <w:pStyle w:val="afa"/>
              <w:rPr>
                <w:u w:val="single"/>
              </w:rPr>
            </w:pPr>
            <w:r w:rsidRPr="005767FB">
              <w:rPr>
                <w:u w:val="single"/>
              </w:rPr>
              <w:t>北厂界</w:t>
            </w:r>
          </w:p>
        </w:tc>
        <w:tc>
          <w:tcPr>
            <w:tcW w:w="2111" w:type="pct"/>
            <w:vAlign w:val="center"/>
          </w:tcPr>
          <w:p w:rsidR="00EE56C0" w:rsidRPr="005767FB" w:rsidRDefault="000F36A1">
            <w:pPr>
              <w:pStyle w:val="afa"/>
              <w:rPr>
                <w:u w:val="single"/>
              </w:rPr>
            </w:pPr>
            <w:r w:rsidRPr="005767FB">
              <w:rPr>
                <w:u w:val="single"/>
              </w:rPr>
              <w:t>0.0017</w:t>
            </w:r>
          </w:p>
        </w:tc>
      </w:tr>
      <w:tr w:rsidR="00EE56C0" w:rsidRPr="005767FB">
        <w:trPr>
          <w:trHeight w:val="425"/>
          <w:jc w:val="center"/>
        </w:trPr>
        <w:tc>
          <w:tcPr>
            <w:tcW w:w="1176" w:type="pct"/>
            <w:vMerge w:val="restart"/>
            <w:vAlign w:val="center"/>
          </w:tcPr>
          <w:p w:rsidR="00EE56C0" w:rsidRPr="005767FB" w:rsidRDefault="000F36A1">
            <w:pPr>
              <w:pStyle w:val="afa"/>
              <w:rPr>
                <w:u w:val="single"/>
              </w:rPr>
            </w:pPr>
            <w:r w:rsidRPr="005767FB">
              <w:rPr>
                <w:rFonts w:hint="eastAsia"/>
                <w:u w:val="single"/>
              </w:rPr>
              <w:t>甲苯</w:t>
            </w:r>
          </w:p>
        </w:tc>
        <w:tc>
          <w:tcPr>
            <w:tcW w:w="1713" w:type="pct"/>
            <w:vAlign w:val="center"/>
          </w:tcPr>
          <w:p w:rsidR="00EE56C0" w:rsidRPr="005767FB" w:rsidRDefault="000F36A1">
            <w:pPr>
              <w:pStyle w:val="afa"/>
              <w:rPr>
                <w:u w:val="single"/>
              </w:rPr>
            </w:pPr>
            <w:r w:rsidRPr="005767FB">
              <w:rPr>
                <w:u w:val="single"/>
              </w:rPr>
              <w:t>东厂界</w:t>
            </w:r>
          </w:p>
        </w:tc>
        <w:tc>
          <w:tcPr>
            <w:tcW w:w="2111" w:type="pct"/>
            <w:vAlign w:val="center"/>
          </w:tcPr>
          <w:p w:rsidR="00EE56C0" w:rsidRPr="005767FB" w:rsidRDefault="000F36A1">
            <w:pPr>
              <w:pStyle w:val="afa"/>
              <w:rPr>
                <w:u w:val="single"/>
              </w:rPr>
            </w:pPr>
            <w:r w:rsidRPr="005767FB">
              <w:rPr>
                <w:u w:val="single"/>
              </w:rPr>
              <w:t>0.0007</w:t>
            </w:r>
          </w:p>
        </w:tc>
      </w:tr>
      <w:tr w:rsidR="00EE56C0" w:rsidRPr="005767FB">
        <w:trPr>
          <w:trHeight w:val="425"/>
          <w:jc w:val="center"/>
        </w:trPr>
        <w:tc>
          <w:tcPr>
            <w:tcW w:w="1176" w:type="pct"/>
            <w:vMerge/>
            <w:vAlign w:val="center"/>
          </w:tcPr>
          <w:p w:rsidR="00EE56C0" w:rsidRPr="005767FB" w:rsidRDefault="00EE56C0">
            <w:pPr>
              <w:pStyle w:val="afa"/>
              <w:rPr>
                <w:u w:val="single"/>
              </w:rPr>
            </w:pPr>
          </w:p>
        </w:tc>
        <w:tc>
          <w:tcPr>
            <w:tcW w:w="1713" w:type="pct"/>
            <w:vAlign w:val="center"/>
          </w:tcPr>
          <w:p w:rsidR="00EE56C0" w:rsidRPr="005767FB" w:rsidRDefault="000F36A1">
            <w:pPr>
              <w:pStyle w:val="afa"/>
              <w:rPr>
                <w:u w:val="single"/>
              </w:rPr>
            </w:pPr>
            <w:r w:rsidRPr="005767FB">
              <w:rPr>
                <w:u w:val="single"/>
              </w:rPr>
              <w:t>南厂界</w:t>
            </w:r>
          </w:p>
        </w:tc>
        <w:tc>
          <w:tcPr>
            <w:tcW w:w="2111" w:type="pct"/>
            <w:vAlign w:val="center"/>
          </w:tcPr>
          <w:p w:rsidR="00EE56C0" w:rsidRPr="005767FB" w:rsidRDefault="000F36A1">
            <w:pPr>
              <w:pStyle w:val="afa"/>
              <w:rPr>
                <w:u w:val="single"/>
              </w:rPr>
            </w:pPr>
            <w:r w:rsidRPr="005767FB">
              <w:rPr>
                <w:u w:val="single"/>
              </w:rPr>
              <w:t>0.0015</w:t>
            </w:r>
          </w:p>
        </w:tc>
      </w:tr>
      <w:tr w:rsidR="00EE56C0" w:rsidRPr="005767FB">
        <w:trPr>
          <w:trHeight w:val="425"/>
          <w:jc w:val="center"/>
        </w:trPr>
        <w:tc>
          <w:tcPr>
            <w:tcW w:w="1176" w:type="pct"/>
            <w:vMerge/>
            <w:vAlign w:val="center"/>
          </w:tcPr>
          <w:p w:rsidR="00EE56C0" w:rsidRPr="005767FB" w:rsidRDefault="00EE56C0">
            <w:pPr>
              <w:pStyle w:val="afa"/>
              <w:rPr>
                <w:u w:val="single"/>
              </w:rPr>
            </w:pPr>
          </w:p>
        </w:tc>
        <w:tc>
          <w:tcPr>
            <w:tcW w:w="1713" w:type="pct"/>
            <w:vAlign w:val="center"/>
          </w:tcPr>
          <w:p w:rsidR="00EE56C0" w:rsidRPr="005767FB" w:rsidRDefault="000F36A1">
            <w:pPr>
              <w:pStyle w:val="afa"/>
              <w:rPr>
                <w:u w:val="single"/>
              </w:rPr>
            </w:pPr>
            <w:r w:rsidRPr="005767FB">
              <w:rPr>
                <w:rFonts w:hint="eastAsia"/>
                <w:u w:val="single"/>
              </w:rPr>
              <w:t>西</w:t>
            </w:r>
            <w:r w:rsidRPr="005767FB">
              <w:rPr>
                <w:u w:val="single"/>
              </w:rPr>
              <w:t>厂界</w:t>
            </w:r>
          </w:p>
        </w:tc>
        <w:tc>
          <w:tcPr>
            <w:tcW w:w="2111" w:type="pct"/>
            <w:vAlign w:val="center"/>
          </w:tcPr>
          <w:p w:rsidR="00EE56C0" w:rsidRPr="005767FB" w:rsidRDefault="000F36A1">
            <w:pPr>
              <w:pStyle w:val="afa"/>
              <w:rPr>
                <w:u w:val="single"/>
              </w:rPr>
            </w:pPr>
            <w:r w:rsidRPr="005767FB">
              <w:rPr>
                <w:u w:val="single"/>
              </w:rPr>
              <w:t>0.0017</w:t>
            </w:r>
          </w:p>
        </w:tc>
      </w:tr>
      <w:tr w:rsidR="00EE56C0" w:rsidRPr="005767FB">
        <w:trPr>
          <w:trHeight w:val="425"/>
          <w:jc w:val="center"/>
        </w:trPr>
        <w:tc>
          <w:tcPr>
            <w:tcW w:w="1176" w:type="pct"/>
            <w:vMerge/>
            <w:vAlign w:val="center"/>
          </w:tcPr>
          <w:p w:rsidR="00EE56C0" w:rsidRPr="005767FB" w:rsidRDefault="00EE56C0">
            <w:pPr>
              <w:pStyle w:val="afa"/>
              <w:rPr>
                <w:u w:val="single"/>
              </w:rPr>
            </w:pPr>
          </w:p>
        </w:tc>
        <w:tc>
          <w:tcPr>
            <w:tcW w:w="1713" w:type="pct"/>
            <w:vAlign w:val="center"/>
          </w:tcPr>
          <w:p w:rsidR="00EE56C0" w:rsidRPr="005767FB" w:rsidRDefault="000F36A1">
            <w:pPr>
              <w:pStyle w:val="afa"/>
              <w:rPr>
                <w:u w:val="single"/>
              </w:rPr>
            </w:pPr>
            <w:r w:rsidRPr="005767FB">
              <w:rPr>
                <w:u w:val="single"/>
              </w:rPr>
              <w:t>北厂界</w:t>
            </w:r>
          </w:p>
        </w:tc>
        <w:tc>
          <w:tcPr>
            <w:tcW w:w="2111" w:type="pct"/>
            <w:vAlign w:val="center"/>
          </w:tcPr>
          <w:p w:rsidR="00EE56C0" w:rsidRPr="005767FB" w:rsidRDefault="000F36A1">
            <w:pPr>
              <w:pStyle w:val="afa"/>
              <w:rPr>
                <w:u w:val="single"/>
              </w:rPr>
            </w:pPr>
            <w:r w:rsidRPr="005767FB">
              <w:rPr>
                <w:u w:val="single"/>
              </w:rPr>
              <w:t>0.0012</w:t>
            </w:r>
          </w:p>
        </w:tc>
      </w:tr>
      <w:tr w:rsidR="00EE56C0" w:rsidRPr="005767FB">
        <w:trPr>
          <w:trHeight w:val="425"/>
          <w:jc w:val="center"/>
        </w:trPr>
        <w:tc>
          <w:tcPr>
            <w:tcW w:w="1176" w:type="pct"/>
            <w:vMerge w:val="restart"/>
            <w:vAlign w:val="center"/>
          </w:tcPr>
          <w:p w:rsidR="00EE56C0" w:rsidRPr="005767FB" w:rsidRDefault="000F36A1">
            <w:pPr>
              <w:pStyle w:val="afa"/>
              <w:rPr>
                <w:u w:val="single"/>
              </w:rPr>
            </w:pPr>
            <w:r w:rsidRPr="005767FB">
              <w:rPr>
                <w:rFonts w:hint="eastAsia"/>
                <w:u w:val="single"/>
              </w:rPr>
              <w:t>苯</w:t>
            </w:r>
          </w:p>
        </w:tc>
        <w:tc>
          <w:tcPr>
            <w:tcW w:w="1713" w:type="pct"/>
            <w:vAlign w:val="center"/>
          </w:tcPr>
          <w:p w:rsidR="00EE56C0" w:rsidRPr="005767FB" w:rsidRDefault="000F36A1">
            <w:pPr>
              <w:pStyle w:val="afa"/>
              <w:rPr>
                <w:u w:val="single"/>
              </w:rPr>
            </w:pPr>
            <w:r w:rsidRPr="005767FB">
              <w:rPr>
                <w:u w:val="single"/>
              </w:rPr>
              <w:t>东厂界</w:t>
            </w:r>
          </w:p>
        </w:tc>
        <w:tc>
          <w:tcPr>
            <w:tcW w:w="2111" w:type="pct"/>
            <w:vAlign w:val="center"/>
          </w:tcPr>
          <w:p w:rsidR="00EE56C0" w:rsidRPr="005767FB" w:rsidRDefault="000F36A1">
            <w:pPr>
              <w:pStyle w:val="afa"/>
              <w:rPr>
                <w:u w:val="single"/>
              </w:rPr>
            </w:pPr>
            <w:r w:rsidRPr="005767FB">
              <w:rPr>
                <w:u w:val="single"/>
              </w:rPr>
              <w:t>0.0002</w:t>
            </w:r>
          </w:p>
        </w:tc>
      </w:tr>
      <w:tr w:rsidR="00EE56C0" w:rsidRPr="005767FB">
        <w:trPr>
          <w:trHeight w:val="425"/>
          <w:jc w:val="center"/>
        </w:trPr>
        <w:tc>
          <w:tcPr>
            <w:tcW w:w="1176" w:type="pct"/>
            <w:vMerge/>
            <w:vAlign w:val="center"/>
          </w:tcPr>
          <w:p w:rsidR="00EE56C0" w:rsidRPr="005767FB" w:rsidRDefault="00EE56C0">
            <w:pPr>
              <w:pStyle w:val="afa"/>
              <w:rPr>
                <w:u w:val="single"/>
              </w:rPr>
            </w:pPr>
          </w:p>
        </w:tc>
        <w:tc>
          <w:tcPr>
            <w:tcW w:w="1713" w:type="pct"/>
            <w:vAlign w:val="center"/>
          </w:tcPr>
          <w:p w:rsidR="00EE56C0" w:rsidRPr="005767FB" w:rsidRDefault="000F36A1">
            <w:pPr>
              <w:pStyle w:val="afa"/>
              <w:rPr>
                <w:u w:val="single"/>
              </w:rPr>
            </w:pPr>
            <w:r w:rsidRPr="005767FB">
              <w:rPr>
                <w:u w:val="single"/>
              </w:rPr>
              <w:t>南厂界</w:t>
            </w:r>
          </w:p>
        </w:tc>
        <w:tc>
          <w:tcPr>
            <w:tcW w:w="2111" w:type="pct"/>
            <w:vAlign w:val="center"/>
          </w:tcPr>
          <w:p w:rsidR="00EE56C0" w:rsidRPr="005767FB" w:rsidRDefault="000F36A1">
            <w:pPr>
              <w:pStyle w:val="afa"/>
              <w:rPr>
                <w:u w:val="single"/>
              </w:rPr>
            </w:pPr>
            <w:r w:rsidRPr="005767FB">
              <w:rPr>
                <w:u w:val="single"/>
              </w:rPr>
              <w:t>0.0004</w:t>
            </w:r>
          </w:p>
        </w:tc>
      </w:tr>
      <w:tr w:rsidR="00EE56C0" w:rsidRPr="005767FB">
        <w:trPr>
          <w:trHeight w:val="425"/>
          <w:jc w:val="center"/>
        </w:trPr>
        <w:tc>
          <w:tcPr>
            <w:tcW w:w="1176" w:type="pct"/>
            <w:vMerge/>
            <w:vAlign w:val="center"/>
          </w:tcPr>
          <w:p w:rsidR="00EE56C0" w:rsidRPr="005767FB" w:rsidRDefault="00EE56C0">
            <w:pPr>
              <w:pStyle w:val="afa"/>
              <w:rPr>
                <w:u w:val="single"/>
              </w:rPr>
            </w:pPr>
          </w:p>
        </w:tc>
        <w:tc>
          <w:tcPr>
            <w:tcW w:w="1713" w:type="pct"/>
            <w:vAlign w:val="center"/>
          </w:tcPr>
          <w:p w:rsidR="00EE56C0" w:rsidRPr="005767FB" w:rsidRDefault="000F36A1">
            <w:pPr>
              <w:pStyle w:val="afa"/>
              <w:rPr>
                <w:u w:val="single"/>
              </w:rPr>
            </w:pPr>
            <w:r w:rsidRPr="005767FB">
              <w:rPr>
                <w:rFonts w:hint="eastAsia"/>
                <w:u w:val="single"/>
              </w:rPr>
              <w:t>西</w:t>
            </w:r>
            <w:r w:rsidRPr="005767FB">
              <w:rPr>
                <w:u w:val="single"/>
              </w:rPr>
              <w:t>厂界</w:t>
            </w:r>
          </w:p>
        </w:tc>
        <w:tc>
          <w:tcPr>
            <w:tcW w:w="2111" w:type="pct"/>
            <w:vAlign w:val="center"/>
          </w:tcPr>
          <w:p w:rsidR="00EE56C0" w:rsidRPr="005767FB" w:rsidRDefault="000F36A1">
            <w:pPr>
              <w:pStyle w:val="afa"/>
              <w:rPr>
                <w:u w:val="single"/>
              </w:rPr>
            </w:pPr>
            <w:r w:rsidRPr="005767FB">
              <w:rPr>
                <w:u w:val="single"/>
              </w:rPr>
              <w:t>0.0005</w:t>
            </w:r>
          </w:p>
        </w:tc>
      </w:tr>
      <w:tr w:rsidR="00EE56C0" w:rsidRPr="005767FB">
        <w:trPr>
          <w:trHeight w:val="425"/>
          <w:jc w:val="center"/>
        </w:trPr>
        <w:tc>
          <w:tcPr>
            <w:tcW w:w="1176" w:type="pct"/>
            <w:vMerge/>
            <w:vAlign w:val="center"/>
          </w:tcPr>
          <w:p w:rsidR="00EE56C0" w:rsidRPr="005767FB" w:rsidRDefault="00EE56C0">
            <w:pPr>
              <w:pStyle w:val="afa"/>
              <w:rPr>
                <w:u w:val="single"/>
              </w:rPr>
            </w:pPr>
          </w:p>
        </w:tc>
        <w:tc>
          <w:tcPr>
            <w:tcW w:w="1713" w:type="pct"/>
            <w:vAlign w:val="center"/>
          </w:tcPr>
          <w:p w:rsidR="00EE56C0" w:rsidRPr="005767FB" w:rsidRDefault="000F36A1">
            <w:pPr>
              <w:pStyle w:val="afa"/>
              <w:rPr>
                <w:u w:val="single"/>
              </w:rPr>
            </w:pPr>
            <w:r w:rsidRPr="005767FB">
              <w:rPr>
                <w:u w:val="single"/>
              </w:rPr>
              <w:t>北厂界</w:t>
            </w:r>
          </w:p>
        </w:tc>
        <w:tc>
          <w:tcPr>
            <w:tcW w:w="2111" w:type="pct"/>
            <w:vAlign w:val="center"/>
          </w:tcPr>
          <w:p w:rsidR="00EE56C0" w:rsidRPr="005767FB" w:rsidRDefault="000F36A1">
            <w:pPr>
              <w:pStyle w:val="afa"/>
              <w:rPr>
                <w:u w:val="single"/>
              </w:rPr>
            </w:pPr>
            <w:r w:rsidRPr="005767FB">
              <w:rPr>
                <w:u w:val="single"/>
              </w:rPr>
              <w:t>0.0003</w:t>
            </w:r>
          </w:p>
        </w:tc>
      </w:tr>
    </w:tbl>
    <w:p w:rsidR="00EE56C0" w:rsidRDefault="000F36A1">
      <w:pPr>
        <w:pStyle w:val="aff4"/>
      </w:pPr>
      <w:r>
        <w:rPr>
          <w:rFonts w:hint="eastAsia"/>
        </w:rPr>
        <w:t>由上表可知，本项目排放的酚对四周厂界的贡献值能够满足</w:t>
      </w:r>
      <w:r>
        <w:t>《大气污染物综合排放标准》（</w:t>
      </w:r>
      <w:r>
        <w:t>GB16297-1996</w:t>
      </w:r>
      <w:r>
        <w:t>）</w:t>
      </w:r>
      <w:r>
        <w:rPr>
          <w:rFonts w:hint="eastAsia"/>
        </w:rPr>
        <w:t>表</w:t>
      </w:r>
      <w:r>
        <w:rPr>
          <w:rFonts w:hint="eastAsia"/>
        </w:rPr>
        <w:t>2</w:t>
      </w:r>
      <w:r>
        <w:rPr>
          <w:rFonts w:hint="eastAsia"/>
        </w:rPr>
        <w:t>酚</w:t>
      </w:r>
      <w:r>
        <w:rPr>
          <w:rFonts w:hint="eastAsia"/>
        </w:rPr>
        <w:t>0.08mg/m</w:t>
      </w:r>
      <w:r>
        <w:rPr>
          <w:rFonts w:hint="eastAsia"/>
          <w:vertAlign w:val="superscript"/>
        </w:rPr>
        <w:t>3</w:t>
      </w:r>
      <w:r>
        <w:rPr>
          <w:rFonts w:hint="eastAsia"/>
        </w:rPr>
        <w:t>的标准要求，非甲烷总烃、二甲苯、甲苯、苯对四周厂界的贡献值能够满足《关于全省开展工业企业挥发性有机物专项治理工作中排放建议值的通知》（豫环攻坚办（</w:t>
      </w:r>
      <w:r>
        <w:rPr>
          <w:rFonts w:hint="eastAsia"/>
        </w:rPr>
        <w:t>2017</w:t>
      </w:r>
      <w:r>
        <w:rPr>
          <w:rFonts w:hint="eastAsia"/>
        </w:rPr>
        <w:t>）</w:t>
      </w:r>
      <w:r>
        <w:rPr>
          <w:rFonts w:hint="eastAsia"/>
        </w:rPr>
        <w:t>162</w:t>
      </w:r>
      <w:r>
        <w:rPr>
          <w:rFonts w:hint="eastAsia"/>
        </w:rPr>
        <w:t>号）附件</w:t>
      </w:r>
      <w:r>
        <w:rPr>
          <w:rFonts w:hint="eastAsia"/>
        </w:rPr>
        <w:t>2</w:t>
      </w:r>
      <w:r>
        <w:rPr>
          <w:rFonts w:hint="eastAsia"/>
        </w:rPr>
        <w:t>非甲烷总烃</w:t>
      </w:r>
      <w:r>
        <w:rPr>
          <w:rFonts w:hint="eastAsia"/>
        </w:rPr>
        <w:t>2.0</w:t>
      </w:r>
      <w:r>
        <w:t>mg/m</w:t>
      </w:r>
      <w:r>
        <w:rPr>
          <w:vertAlign w:val="superscript"/>
        </w:rPr>
        <w:t>3</w:t>
      </w:r>
      <w:r>
        <w:rPr>
          <w:rFonts w:hint="eastAsia"/>
        </w:rPr>
        <w:t>、二甲苯</w:t>
      </w:r>
      <w:r>
        <w:rPr>
          <w:rFonts w:hint="eastAsia"/>
        </w:rPr>
        <w:t>0.2mg/m</w:t>
      </w:r>
      <w:r>
        <w:rPr>
          <w:rFonts w:hint="eastAsia"/>
          <w:vertAlign w:val="superscript"/>
        </w:rPr>
        <w:t>3</w:t>
      </w:r>
      <w:r>
        <w:rPr>
          <w:rFonts w:hint="eastAsia"/>
        </w:rPr>
        <w:t>、甲苯</w:t>
      </w:r>
      <w:r>
        <w:rPr>
          <w:rFonts w:hint="eastAsia"/>
        </w:rPr>
        <w:t>0.6</w:t>
      </w:r>
      <w:r>
        <w:t>mg/m</w:t>
      </w:r>
      <w:r>
        <w:rPr>
          <w:vertAlign w:val="superscript"/>
        </w:rPr>
        <w:t>3</w:t>
      </w:r>
      <w:r>
        <w:rPr>
          <w:rFonts w:hint="eastAsia"/>
        </w:rPr>
        <w:t>、苯</w:t>
      </w:r>
      <w:r>
        <w:rPr>
          <w:rFonts w:hint="eastAsia"/>
        </w:rPr>
        <w:t>0.1</w:t>
      </w:r>
      <w:r>
        <w:t>mg/m</w:t>
      </w:r>
      <w:r>
        <w:rPr>
          <w:vertAlign w:val="superscript"/>
        </w:rPr>
        <w:t>3</w:t>
      </w:r>
      <w:r>
        <w:rPr>
          <w:rFonts w:hint="eastAsia"/>
        </w:rPr>
        <w:t>的标准要求。</w:t>
      </w:r>
    </w:p>
    <w:p w:rsidR="00EE56C0" w:rsidRDefault="000F36A1">
      <w:pPr>
        <w:pStyle w:val="4"/>
        <w:ind w:left="120" w:firstLine="241"/>
      </w:pPr>
      <w:r>
        <w:rPr>
          <w:rFonts w:hint="eastAsia"/>
        </w:rPr>
        <w:t>5.1.2.8</w:t>
      </w:r>
      <w:r>
        <w:rPr>
          <w:rFonts w:hint="eastAsia"/>
        </w:rPr>
        <w:t>大气环境防护距离</w:t>
      </w:r>
      <w:bookmarkEnd w:id="332"/>
      <w:bookmarkEnd w:id="333"/>
    </w:p>
    <w:p w:rsidR="00EE56C0" w:rsidRDefault="000F36A1">
      <w:pPr>
        <w:pStyle w:val="aff4"/>
      </w:pPr>
      <w:r>
        <w:t>依据《环境影响评价技术导则</w:t>
      </w:r>
      <w:r>
        <w:t>-</w:t>
      </w:r>
      <w:r>
        <w:t>大气环境》（</w:t>
      </w:r>
      <w:r>
        <w:t>HJ2.2-20</w:t>
      </w:r>
      <w:r>
        <w:rPr>
          <w:rFonts w:hint="eastAsia"/>
        </w:rPr>
        <w:t>1</w:t>
      </w:r>
      <w:r>
        <w:t>8</w:t>
      </w:r>
      <w:r>
        <w:t>）的规定，</w:t>
      </w:r>
      <w:r>
        <w:rPr>
          <w:rFonts w:hint="eastAsia"/>
        </w:rPr>
        <w:t>对于项目厂界浓度满足大气污染物厂界浓度限值，但厂界外大气污染物短期贡献浓度超过环境质量浓度限值的，可以自厂界向外设置一定范围的大气环境防护区域，以确保大气环境防护区域外的污染物贡献浓度满足环境质量标准。</w:t>
      </w:r>
    </w:p>
    <w:p w:rsidR="00EE56C0" w:rsidRDefault="000F36A1">
      <w:pPr>
        <w:pStyle w:val="aff4"/>
      </w:pPr>
      <w:r>
        <w:rPr>
          <w:rFonts w:hint="eastAsia"/>
        </w:rPr>
        <w:lastRenderedPageBreak/>
        <w:t>根据本项目一级评价预测结果：各</w:t>
      </w:r>
      <w:r>
        <w:t>厂界</w:t>
      </w:r>
      <w:r>
        <w:rPr>
          <w:rFonts w:hint="eastAsia"/>
        </w:rPr>
        <w:t>处废气污染物均未超过环境质量浓度限值，不存在大气环境防护距离。</w:t>
      </w:r>
    </w:p>
    <w:p w:rsidR="00EE56C0" w:rsidRDefault="000F36A1">
      <w:pPr>
        <w:pStyle w:val="4"/>
        <w:ind w:left="120" w:firstLine="241"/>
      </w:pPr>
      <w:r>
        <w:rPr>
          <w:rFonts w:hint="eastAsia"/>
        </w:rPr>
        <w:t>5.1.2.9</w:t>
      </w:r>
      <w:r>
        <w:rPr>
          <w:rFonts w:hint="eastAsia"/>
        </w:rPr>
        <w:t>卫生防护距离</w:t>
      </w:r>
    </w:p>
    <w:p w:rsidR="00EE56C0" w:rsidRDefault="000F36A1">
      <w:pPr>
        <w:ind w:firstLine="498"/>
        <w:rPr>
          <w:b/>
          <w:u w:val="single"/>
        </w:rPr>
      </w:pPr>
      <w:r>
        <w:rPr>
          <w:rFonts w:hint="eastAsia"/>
          <w:b/>
          <w:spacing w:val="4"/>
          <w:u w:val="single"/>
        </w:rPr>
        <w:t>本</w:t>
      </w:r>
      <w:r>
        <w:rPr>
          <w:b/>
          <w:spacing w:val="4"/>
          <w:u w:val="single"/>
        </w:rPr>
        <w:t>项目</w:t>
      </w:r>
      <w:r>
        <w:rPr>
          <w:rFonts w:hint="eastAsia"/>
          <w:b/>
          <w:spacing w:val="4"/>
          <w:u w:val="single"/>
        </w:rPr>
        <w:t>不设置</w:t>
      </w:r>
      <w:r>
        <w:rPr>
          <w:b/>
          <w:spacing w:val="4"/>
          <w:u w:val="single"/>
        </w:rPr>
        <w:t>卫生防护距离，</w:t>
      </w:r>
      <w:r>
        <w:rPr>
          <w:rFonts w:hint="eastAsia"/>
          <w:b/>
          <w:spacing w:val="4"/>
          <w:u w:val="single"/>
        </w:rPr>
        <w:t>现有卫生防护距离</w:t>
      </w:r>
      <w:r>
        <w:rPr>
          <w:rFonts w:hint="eastAsia"/>
          <w:b/>
          <w:spacing w:val="4"/>
          <w:u w:val="single"/>
        </w:rPr>
        <w:t>200m</w:t>
      </w:r>
      <w:r>
        <w:rPr>
          <w:rFonts w:hint="eastAsia"/>
          <w:b/>
          <w:spacing w:val="4"/>
          <w:u w:val="single"/>
        </w:rPr>
        <w:t>维持不变。</w:t>
      </w:r>
      <w:r>
        <w:rPr>
          <w:rFonts w:hint="eastAsia"/>
          <w:b/>
          <w:u w:val="single"/>
        </w:rPr>
        <w:t>厂区</w:t>
      </w:r>
      <w:r>
        <w:rPr>
          <w:b/>
          <w:u w:val="single"/>
        </w:rPr>
        <w:t>卫生防护距离内没有敏感点，满足设防要求。评价提出，防护距离内不宜再规划新建医院、学校、居住区等环境敏感点。</w:t>
      </w:r>
    </w:p>
    <w:p w:rsidR="00EE56C0" w:rsidRDefault="000F36A1">
      <w:pPr>
        <w:ind w:firstLine="480"/>
      </w:pPr>
      <w:r>
        <w:rPr>
          <w:rFonts w:hint="eastAsia"/>
        </w:rPr>
        <w:t>现有卫生防护距离图见图</w:t>
      </w:r>
      <w:r>
        <w:rPr>
          <w:rFonts w:hint="eastAsia"/>
        </w:rPr>
        <w:t>5-5</w:t>
      </w:r>
      <w:r>
        <w:rPr>
          <w:rFonts w:hint="eastAsia"/>
        </w:rPr>
        <w:t>。</w:t>
      </w:r>
    </w:p>
    <w:p w:rsidR="00EE56C0" w:rsidRDefault="00EE56C0">
      <w:pPr>
        <w:pStyle w:val="aff8"/>
      </w:pPr>
      <w:r>
        <w:object w:dxaOrig="21675" w:dyaOrig="13259">
          <v:shape id="_x0000_i1037" type="#_x0000_t75" style="width:413.3pt;height:252pt" o:ole="">
            <v:imagedata r:id="rId92" o:title=""/>
          </v:shape>
          <o:OLEObject Type="Embed" ProgID="Visio.Drawing.11" ShapeID="_x0000_i1037" DrawAspect="Content" ObjectID="_1705848365" r:id="rId93"/>
        </w:object>
      </w:r>
      <w:r w:rsidR="000F36A1">
        <w:rPr>
          <w:rFonts w:hint="eastAsia"/>
        </w:rPr>
        <w:t>图</w:t>
      </w:r>
      <w:r w:rsidR="000F36A1">
        <w:rPr>
          <w:rFonts w:hint="eastAsia"/>
        </w:rPr>
        <w:t xml:space="preserve">5-5    </w:t>
      </w:r>
      <w:r w:rsidR="000F36A1">
        <w:rPr>
          <w:rFonts w:hint="eastAsia"/>
        </w:rPr>
        <w:t>全厂卫生防护距离图</w:t>
      </w:r>
    </w:p>
    <w:p w:rsidR="00EE56C0" w:rsidRDefault="000F36A1">
      <w:pPr>
        <w:ind w:firstLine="480"/>
      </w:pPr>
      <w:r>
        <w:t>根据现场调查，卫生防护距离内东</w:t>
      </w:r>
      <w:r>
        <w:rPr>
          <w:rFonts w:hint="eastAsia"/>
        </w:rPr>
        <w:t>侧为恒森纸制品、农田，南侧隔路为敦留店水泥、顺祥养殖，</w:t>
      </w:r>
      <w:r>
        <w:t>西</w:t>
      </w:r>
      <w:r>
        <w:rPr>
          <w:rFonts w:hint="eastAsia"/>
        </w:rPr>
        <w:t>侧</w:t>
      </w:r>
      <w:r>
        <w:t>为</w:t>
      </w:r>
      <w:r>
        <w:rPr>
          <w:rFonts w:hint="eastAsia"/>
        </w:rPr>
        <w:t>公司预留用地，北侧为农田（规划为工业用地）和新飞家电产业园，本厂区</w:t>
      </w:r>
      <w:r>
        <w:t>卫生防护距离内没有敏感点，满足设防要求。评价提出，防护距离内不宜再规划新建医院、学校、居住区等环境敏感点。</w:t>
      </w:r>
    </w:p>
    <w:p w:rsidR="00EE56C0" w:rsidRDefault="000F36A1">
      <w:pPr>
        <w:pStyle w:val="3"/>
        <w:spacing w:before="240" w:after="120"/>
        <w:rPr>
          <w:szCs w:val="30"/>
        </w:rPr>
      </w:pPr>
      <w:r>
        <w:rPr>
          <w:rFonts w:hint="eastAsia"/>
        </w:rPr>
        <w:t>5.1.3</w:t>
      </w:r>
      <w:r>
        <w:rPr>
          <w:rFonts w:hint="eastAsia"/>
        </w:rPr>
        <w:t>非正常工况下预测结果分析</w:t>
      </w:r>
    </w:p>
    <w:p w:rsidR="00EE56C0" w:rsidRDefault="000F36A1">
      <w:pPr>
        <w:ind w:firstLine="480"/>
      </w:pPr>
      <w:r>
        <w:rPr>
          <w:rFonts w:hint="eastAsia"/>
        </w:rPr>
        <w:t>根据工程分析，项目非正常工况情况为废气处理设施达不到设计处理效率时的非正常排放，本次评价按最不利，按废气治理设施（静电除油</w:t>
      </w:r>
      <w:r>
        <w:rPr>
          <w:rFonts w:hint="eastAsia"/>
        </w:rPr>
        <w:t>+</w:t>
      </w:r>
      <w:r>
        <w:rPr>
          <w:rFonts w:hint="eastAsia"/>
        </w:rPr>
        <w:t>活性炭吸附</w:t>
      </w:r>
      <w:r>
        <w:rPr>
          <w:rFonts w:hint="eastAsia"/>
        </w:rPr>
        <w:t>-</w:t>
      </w:r>
      <w:r>
        <w:rPr>
          <w:rFonts w:hint="eastAsia"/>
        </w:rPr>
        <w:lastRenderedPageBreak/>
        <w:t>脱附</w:t>
      </w:r>
      <w:r>
        <w:rPr>
          <w:rFonts w:hint="eastAsia"/>
        </w:rPr>
        <w:t>-</w:t>
      </w:r>
      <w:r>
        <w:rPr>
          <w:rFonts w:hint="eastAsia"/>
        </w:rPr>
        <w:t>催化燃烧</w:t>
      </w:r>
      <w:r>
        <w:rPr>
          <w:rFonts w:hint="eastAsia"/>
        </w:rPr>
        <w:t>T</w:t>
      </w:r>
      <w:r>
        <w:rPr>
          <w:rFonts w:hint="eastAsia"/>
        </w:rPr>
        <w:t>和沸石吸附</w:t>
      </w:r>
      <w:r>
        <w:rPr>
          <w:rFonts w:hint="eastAsia"/>
        </w:rPr>
        <w:t>-</w:t>
      </w:r>
      <w:r>
        <w:rPr>
          <w:rFonts w:hint="eastAsia"/>
        </w:rPr>
        <w:t>脱附</w:t>
      </w:r>
      <w:r>
        <w:rPr>
          <w:rFonts w:hint="eastAsia"/>
        </w:rPr>
        <w:t>-</w:t>
      </w:r>
      <w:r>
        <w:rPr>
          <w:rFonts w:hint="eastAsia"/>
        </w:rPr>
        <w:t>催化燃烧</w:t>
      </w:r>
      <w:r>
        <w:rPr>
          <w:rFonts w:hint="eastAsia"/>
        </w:rPr>
        <w:t>F</w:t>
      </w:r>
      <w:r>
        <w:rPr>
          <w:rFonts w:hint="eastAsia"/>
        </w:rPr>
        <w:t>）完全失效的情况进行预测，经预测，非正常工况下网格点处各污染因子最大浓度贡献值及叠加环境现状值详见下表。</w:t>
      </w:r>
    </w:p>
    <w:p w:rsidR="00EE56C0" w:rsidRDefault="000F36A1">
      <w:pPr>
        <w:pStyle w:val="afd"/>
        <w:spacing w:before="120" w:after="120"/>
        <w:ind w:firstLine="482"/>
      </w:pPr>
      <w:r>
        <w:rPr>
          <w:rFonts w:hint="eastAsia"/>
        </w:rPr>
        <w:t>表</w:t>
      </w:r>
      <w:r>
        <w:t>5-3</w:t>
      </w:r>
      <w:r w:rsidR="005767FB">
        <w:rPr>
          <w:rFonts w:hint="eastAsia"/>
        </w:rPr>
        <w:t>5</w:t>
      </w:r>
      <w:r>
        <w:rPr>
          <w:rFonts w:hint="eastAsia"/>
        </w:rPr>
        <w:t xml:space="preserve">      </w:t>
      </w:r>
      <w:r>
        <w:rPr>
          <w:rFonts w:hint="eastAsia"/>
        </w:rPr>
        <w:t>非正常工况网格点处最大浓度贡献值</w:t>
      </w:r>
    </w:p>
    <w:tbl>
      <w:tblPr>
        <w:tblW w:w="501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CellMar>
          <w:left w:w="28" w:type="dxa"/>
          <w:right w:w="28" w:type="dxa"/>
        </w:tblCellMar>
        <w:tblLook w:val="04A0"/>
      </w:tblPr>
      <w:tblGrid>
        <w:gridCol w:w="1193"/>
        <w:gridCol w:w="1114"/>
        <w:gridCol w:w="1417"/>
        <w:gridCol w:w="1276"/>
        <w:gridCol w:w="1994"/>
        <w:gridCol w:w="1392"/>
      </w:tblGrid>
      <w:tr w:rsidR="00EE56C0">
        <w:trPr>
          <w:trHeight w:val="397"/>
          <w:tblHeader/>
          <w:jc w:val="center"/>
        </w:trPr>
        <w:tc>
          <w:tcPr>
            <w:tcW w:w="711" w:type="pct"/>
            <w:vAlign w:val="center"/>
          </w:tcPr>
          <w:p w:rsidR="00EE56C0" w:rsidRDefault="000F36A1">
            <w:pPr>
              <w:pStyle w:val="aff1"/>
            </w:pPr>
            <w:r>
              <w:rPr>
                <w:rFonts w:hint="eastAsia"/>
              </w:rPr>
              <w:t>工况</w:t>
            </w:r>
          </w:p>
        </w:tc>
        <w:tc>
          <w:tcPr>
            <w:tcW w:w="664" w:type="pct"/>
            <w:tcBorders>
              <w:left w:val="single" w:sz="4" w:space="0" w:color="auto"/>
            </w:tcBorders>
            <w:vAlign w:val="center"/>
          </w:tcPr>
          <w:p w:rsidR="00EE56C0" w:rsidRDefault="000F36A1">
            <w:pPr>
              <w:pStyle w:val="aff1"/>
            </w:pPr>
            <w:r>
              <w:rPr>
                <w:rFonts w:hint="eastAsia"/>
              </w:rPr>
              <w:t>污染源</w:t>
            </w:r>
          </w:p>
        </w:tc>
        <w:tc>
          <w:tcPr>
            <w:tcW w:w="845" w:type="pct"/>
            <w:vAlign w:val="center"/>
          </w:tcPr>
          <w:p w:rsidR="00EE56C0" w:rsidRDefault="000F36A1">
            <w:pPr>
              <w:pStyle w:val="aff1"/>
            </w:pPr>
            <w:r>
              <w:rPr>
                <w:rFonts w:hint="eastAsia"/>
              </w:rPr>
              <w:t>污染物</w:t>
            </w:r>
          </w:p>
        </w:tc>
        <w:tc>
          <w:tcPr>
            <w:tcW w:w="761" w:type="pct"/>
            <w:vAlign w:val="center"/>
          </w:tcPr>
          <w:p w:rsidR="00EE56C0" w:rsidRDefault="000F36A1">
            <w:pPr>
              <w:pStyle w:val="aff1"/>
            </w:pPr>
            <w:r>
              <w:rPr>
                <w:rFonts w:hint="eastAsia"/>
              </w:rPr>
              <w:t>平均时段</w:t>
            </w:r>
          </w:p>
        </w:tc>
        <w:tc>
          <w:tcPr>
            <w:tcW w:w="1189" w:type="pct"/>
            <w:vAlign w:val="center"/>
          </w:tcPr>
          <w:p w:rsidR="00EE56C0" w:rsidRDefault="000F36A1">
            <w:pPr>
              <w:pStyle w:val="aff1"/>
            </w:pPr>
            <w:r>
              <w:rPr>
                <w:rFonts w:hint="eastAsia"/>
              </w:rPr>
              <w:t>浓度贡献值</w:t>
            </w:r>
            <w:r>
              <w:t>/mg/m</w:t>
            </w:r>
            <w:r>
              <w:rPr>
                <w:vertAlign w:val="superscript"/>
              </w:rPr>
              <w:t>3</w:t>
            </w:r>
          </w:p>
        </w:tc>
        <w:tc>
          <w:tcPr>
            <w:tcW w:w="830" w:type="pct"/>
            <w:vAlign w:val="center"/>
          </w:tcPr>
          <w:p w:rsidR="00EE56C0" w:rsidRDefault="000F36A1">
            <w:pPr>
              <w:pStyle w:val="aff1"/>
            </w:pPr>
            <w:r>
              <w:rPr>
                <w:rFonts w:hint="eastAsia"/>
              </w:rPr>
              <w:t>占标率</w:t>
            </w:r>
            <w:r>
              <w:rPr>
                <w:rFonts w:hint="eastAsia"/>
              </w:rPr>
              <w:t>/</w:t>
            </w:r>
            <w:r>
              <w:t>%</w:t>
            </w:r>
          </w:p>
        </w:tc>
      </w:tr>
      <w:tr w:rsidR="00EE56C0">
        <w:trPr>
          <w:trHeight w:val="397"/>
          <w:jc w:val="center"/>
        </w:trPr>
        <w:tc>
          <w:tcPr>
            <w:tcW w:w="711" w:type="pct"/>
            <w:vMerge w:val="restart"/>
            <w:vAlign w:val="center"/>
          </w:tcPr>
          <w:p w:rsidR="00EE56C0" w:rsidRDefault="000F36A1">
            <w:pPr>
              <w:pStyle w:val="afa"/>
            </w:pPr>
            <w:r>
              <w:rPr>
                <w:rFonts w:hint="eastAsia"/>
              </w:rPr>
              <w:t>环保设施去除效率达不到设计要求</w:t>
            </w:r>
          </w:p>
        </w:tc>
        <w:tc>
          <w:tcPr>
            <w:tcW w:w="664" w:type="pct"/>
            <w:vMerge w:val="restart"/>
            <w:tcBorders>
              <w:left w:val="single" w:sz="4" w:space="0" w:color="auto"/>
            </w:tcBorders>
            <w:vAlign w:val="center"/>
          </w:tcPr>
          <w:p w:rsidR="00EE56C0" w:rsidRDefault="000F36A1">
            <w:pPr>
              <w:pStyle w:val="afa"/>
            </w:pPr>
            <w:r>
              <w:rPr>
                <w:rFonts w:hint="eastAsia"/>
              </w:rPr>
              <w:t>排气筒</w:t>
            </w:r>
            <w:r>
              <w:rPr>
                <w:rFonts w:hint="eastAsia"/>
              </w:rPr>
              <w:t>P</w:t>
            </w:r>
          </w:p>
        </w:tc>
        <w:tc>
          <w:tcPr>
            <w:tcW w:w="845" w:type="pct"/>
            <w:vAlign w:val="center"/>
          </w:tcPr>
          <w:p w:rsidR="00EE56C0" w:rsidRDefault="000F36A1">
            <w:pPr>
              <w:pStyle w:val="afa"/>
            </w:pPr>
            <w:r>
              <w:rPr>
                <w:rFonts w:hint="eastAsia"/>
              </w:rPr>
              <w:t>酚</w:t>
            </w:r>
          </w:p>
        </w:tc>
        <w:tc>
          <w:tcPr>
            <w:tcW w:w="761" w:type="pct"/>
            <w:vAlign w:val="center"/>
          </w:tcPr>
          <w:p w:rsidR="00EE56C0" w:rsidRDefault="000F36A1">
            <w:pPr>
              <w:pStyle w:val="afa"/>
            </w:pPr>
            <w:r>
              <w:rPr>
                <w:rFonts w:hint="eastAsia"/>
              </w:rPr>
              <w:t>1</w:t>
            </w:r>
            <w:r>
              <w:rPr>
                <w:rFonts w:hint="eastAsia"/>
              </w:rPr>
              <w:t>小时</w:t>
            </w:r>
          </w:p>
        </w:tc>
        <w:tc>
          <w:tcPr>
            <w:tcW w:w="1189" w:type="pct"/>
            <w:vAlign w:val="center"/>
          </w:tcPr>
          <w:p w:rsidR="00EE56C0" w:rsidRDefault="000F36A1">
            <w:pPr>
              <w:pStyle w:val="afa"/>
            </w:pPr>
            <w:r>
              <w:rPr>
                <w:rFonts w:hint="eastAsia"/>
              </w:rPr>
              <w:t>0.004</w:t>
            </w:r>
          </w:p>
        </w:tc>
        <w:tc>
          <w:tcPr>
            <w:tcW w:w="830" w:type="pct"/>
            <w:vAlign w:val="center"/>
          </w:tcPr>
          <w:p w:rsidR="00EE56C0" w:rsidRDefault="000F36A1">
            <w:pPr>
              <w:pStyle w:val="afa"/>
            </w:pPr>
            <w:r>
              <w:rPr>
                <w:rFonts w:hint="eastAsia"/>
              </w:rPr>
              <w:t>20</w:t>
            </w:r>
          </w:p>
        </w:tc>
      </w:tr>
      <w:tr w:rsidR="00EE56C0">
        <w:trPr>
          <w:trHeight w:val="397"/>
          <w:jc w:val="center"/>
        </w:trPr>
        <w:tc>
          <w:tcPr>
            <w:tcW w:w="711" w:type="pct"/>
            <w:vMerge/>
            <w:vAlign w:val="center"/>
          </w:tcPr>
          <w:p w:rsidR="00EE56C0" w:rsidRDefault="00EE56C0">
            <w:pPr>
              <w:pStyle w:val="afa"/>
            </w:pPr>
          </w:p>
        </w:tc>
        <w:tc>
          <w:tcPr>
            <w:tcW w:w="664" w:type="pct"/>
            <w:vMerge/>
            <w:tcBorders>
              <w:left w:val="single" w:sz="4" w:space="0" w:color="auto"/>
            </w:tcBorders>
            <w:vAlign w:val="center"/>
          </w:tcPr>
          <w:p w:rsidR="00EE56C0" w:rsidRDefault="00EE56C0">
            <w:pPr>
              <w:pStyle w:val="afa"/>
            </w:pPr>
          </w:p>
        </w:tc>
        <w:tc>
          <w:tcPr>
            <w:tcW w:w="845" w:type="pct"/>
            <w:vAlign w:val="center"/>
          </w:tcPr>
          <w:p w:rsidR="00EE56C0" w:rsidRDefault="000F36A1">
            <w:pPr>
              <w:pStyle w:val="afa"/>
            </w:pPr>
            <w:r>
              <w:rPr>
                <w:rFonts w:hint="eastAsia"/>
              </w:rPr>
              <w:t>非甲烷总烃</w:t>
            </w:r>
          </w:p>
        </w:tc>
        <w:tc>
          <w:tcPr>
            <w:tcW w:w="761" w:type="pct"/>
            <w:vAlign w:val="center"/>
          </w:tcPr>
          <w:p w:rsidR="00EE56C0" w:rsidRDefault="000F36A1">
            <w:pPr>
              <w:pStyle w:val="afa"/>
            </w:pPr>
            <w:r>
              <w:rPr>
                <w:rFonts w:hint="eastAsia"/>
              </w:rPr>
              <w:t>1</w:t>
            </w:r>
            <w:r>
              <w:rPr>
                <w:rFonts w:hint="eastAsia"/>
              </w:rPr>
              <w:t>小时</w:t>
            </w:r>
          </w:p>
        </w:tc>
        <w:tc>
          <w:tcPr>
            <w:tcW w:w="1189" w:type="pct"/>
            <w:vAlign w:val="center"/>
          </w:tcPr>
          <w:p w:rsidR="00EE56C0" w:rsidRDefault="000F36A1">
            <w:pPr>
              <w:pStyle w:val="afa"/>
            </w:pPr>
            <w:r>
              <w:rPr>
                <w:rFonts w:hint="eastAsia"/>
              </w:rPr>
              <w:t>0.0081</w:t>
            </w:r>
          </w:p>
        </w:tc>
        <w:tc>
          <w:tcPr>
            <w:tcW w:w="830" w:type="pct"/>
            <w:vAlign w:val="center"/>
          </w:tcPr>
          <w:p w:rsidR="00EE56C0" w:rsidRDefault="000F36A1">
            <w:pPr>
              <w:pStyle w:val="afa"/>
            </w:pPr>
            <w:r>
              <w:rPr>
                <w:rFonts w:hint="eastAsia"/>
              </w:rPr>
              <w:t>0.4</w:t>
            </w:r>
          </w:p>
        </w:tc>
      </w:tr>
      <w:tr w:rsidR="00EE56C0">
        <w:trPr>
          <w:trHeight w:val="397"/>
          <w:jc w:val="center"/>
        </w:trPr>
        <w:tc>
          <w:tcPr>
            <w:tcW w:w="711" w:type="pct"/>
            <w:vMerge/>
            <w:vAlign w:val="center"/>
          </w:tcPr>
          <w:p w:rsidR="00EE56C0" w:rsidRDefault="00EE56C0">
            <w:pPr>
              <w:pStyle w:val="afa"/>
            </w:pPr>
          </w:p>
        </w:tc>
        <w:tc>
          <w:tcPr>
            <w:tcW w:w="664" w:type="pct"/>
            <w:vMerge/>
            <w:tcBorders>
              <w:left w:val="single" w:sz="4" w:space="0" w:color="auto"/>
            </w:tcBorders>
            <w:vAlign w:val="center"/>
          </w:tcPr>
          <w:p w:rsidR="00EE56C0" w:rsidRDefault="00EE56C0">
            <w:pPr>
              <w:pStyle w:val="afa"/>
            </w:pPr>
          </w:p>
        </w:tc>
        <w:tc>
          <w:tcPr>
            <w:tcW w:w="845" w:type="pct"/>
            <w:vAlign w:val="center"/>
          </w:tcPr>
          <w:p w:rsidR="00EE56C0" w:rsidRDefault="000F36A1">
            <w:pPr>
              <w:pStyle w:val="afa"/>
            </w:pPr>
            <w:r>
              <w:rPr>
                <w:rFonts w:hint="eastAsia"/>
              </w:rPr>
              <w:t>二甲苯</w:t>
            </w:r>
          </w:p>
        </w:tc>
        <w:tc>
          <w:tcPr>
            <w:tcW w:w="761" w:type="pct"/>
            <w:vAlign w:val="center"/>
          </w:tcPr>
          <w:p w:rsidR="00EE56C0" w:rsidRDefault="000F36A1">
            <w:pPr>
              <w:pStyle w:val="afa"/>
            </w:pPr>
            <w:r>
              <w:rPr>
                <w:rFonts w:hint="eastAsia"/>
              </w:rPr>
              <w:t>1</w:t>
            </w:r>
            <w:r>
              <w:rPr>
                <w:rFonts w:hint="eastAsia"/>
              </w:rPr>
              <w:t>小时</w:t>
            </w:r>
          </w:p>
        </w:tc>
        <w:tc>
          <w:tcPr>
            <w:tcW w:w="1189" w:type="pct"/>
            <w:vAlign w:val="center"/>
          </w:tcPr>
          <w:p w:rsidR="00EE56C0" w:rsidRDefault="000F36A1">
            <w:pPr>
              <w:pStyle w:val="afa"/>
            </w:pPr>
            <w:r>
              <w:rPr>
                <w:rFonts w:hint="eastAsia"/>
              </w:rPr>
              <w:t>0.0074</w:t>
            </w:r>
          </w:p>
        </w:tc>
        <w:tc>
          <w:tcPr>
            <w:tcW w:w="830" w:type="pct"/>
            <w:vAlign w:val="center"/>
          </w:tcPr>
          <w:p w:rsidR="00EE56C0" w:rsidRDefault="000F36A1">
            <w:pPr>
              <w:pStyle w:val="afa"/>
            </w:pPr>
            <w:r>
              <w:rPr>
                <w:rFonts w:hint="eastAsia"/>
              </w:rPr>
              <w:t>3.7</w:t>
            </w:r>
          </w:p>
        </w:tc>
      </w:tr>
      <w:tr w:rsidR="00EE56C0">
        <w:trPr>
          <w:trHeight w:val="397"/>
          <w:jc w:val="center"/>
        </w:trPr>
        <w:tc>
          <w:tcPr>
            <w:tcW w:w="711" w:type="pct"/>
            <w:vMerge/>
            <w:vAlign w:val="center"/>
          </w:tcPr>
          <w:p w:rsidR="00EE56C0" w:rsidRDefault="00EE56C0">
            <w:pPr>
              <w:pStyle w:val="afa"/>
            </w:pPr>
          </w:p>
        </w:tc>
        <w:tc>
          <w:tcPr>
            <w:tcW w:w="664" w:type="pct"/>
            <w:vMerge/>
            <w:tcBorders>
              <w:left w:val="single" w:sz="4" w:space="0" w:color="auto"/>
            </w:tcBorders>
            <w:vAlign w:val="center"/>
          </w:tcPr>
          <w:p w:rsidR="00EE56C0" w:rsidRDefault="00EE56C0">
            <w:pPr>
              <w:pStyle w:val="afa"/>
            </w:pPr>
          </w:p>
        </w:tc>
        <w:tc>
          <w:tcPr>
            <w:tcW w:w="845" w:type="pct"/>
            <w:vAlign w:val="center"/>
          </w:tcPr>
          <w:p w:rsidR="00EE56C0" w:rsidRDefault="000F36A1">
            <w:pPr>
              <w:pStyle w:val="afa"/>
            </w:pPr>
            <w:r>
              <w:rPr>
                <w:rFonts w:hint="eastAsia"/>
              </w:rPr>
              <w:t>甲苯</w:t>
            </w:r>
          </w:p>
        </w:tc>
        <w:tc>
          <w:tcPr>
            <w:tcW w:w="761" w:type="pct"/>
            <w:vAlign w:val="center"/>
          </w:tcPr>
          <w:p w:rsidR="00EE56C0" w:rsidRDefault="000F36A1">
            <w:pPr>
              <w:pStyle w:val="afa"/>
            </w:pPr>
            <w:r>
              <w:rPr>
                <w:rFonts w:hint="eastAsia"/>
              </w:rPr>
              <w:t>1</w:t>
            </w:r>
            <w:r>
              <w:rPr>
                <w:rFonts w:hint="eastAsia"/>
              </w:rPr>
              <w:t>小时</w:t>
            </w:r>
          </w:p>
        </w:tc>
        <w:tc>
          <w:tcPr>
            <w:tcW w:w="1189" w:type="pct"/>
            <w:vAlign w:val="center"/>
          </w:tcPr>
          <w:p w:rsidR="00EE56C0" w:rsidRDefault="000F36A1">
            <w:pPr>
              <w:pStyle w:val="afa"/>
            </w:pPr>
            <w:r>
              <w:rPr>
                <w:rFonts w:hint="eastAsia"/>
              </w:rPr>
              <w:t>0.0071</w:t>
            </w:r>
          </w:p>
        </w:tc>
        <w:tc>
          <w:tcPr>
            <w:tcW w:w="830" w:type="pct"/>
            <w:vAlign w:val="center"/>
          </w:tcPr>
          <w:p w:rsidR="00EE56C0" w:rsidRDefault="000F36A1">
            <w:pPr>
              <w:pStyle w:val="afa"/>
            </w:pPr>
            <w:r>
              <w:rPr>
                <w:rFonts w:hint="eastAsia"/>
              </w:rPr>
              <w:t>3.6</w:t>
            </w:r>
          </w:p>
        </w:tc>
      </w:tr>
      <w:tr w:rsidR="00EE56C0">
        <w:trPr>
          <w:trHeight w:val="397"/>
          <w:jc w:val="center"/>
        </w:trPr>
        <w:tc>
          <w:tcPr>
            <w:tcW w:w="711" w:type="pct"/>
            <w:vMerge/>
            <w:vAlign w:val="center"/>
          </w:tcPr>
          <w:p w:rsidR="00EE56C0" w:rsidRDefault="00EE56C0">
            <w:pPr>
              <w:pStyle w:val="afa"/>
            </w:pPr>
          </w:p>
        </w:tc>
        <w:tc>
          <w:tcPr>
            <w:tcW w:w="664" w:type="pct"/>
            <w:vMerge/>
            <w:tcBorders>
              <w:left w:val="single" w:sz="4" w:space="0" w:color="auto"/>
            </w:tcBorders>
            <w:vAlign w:val="center"/>
          </w:tcPr>
          <w:p w:rsidR="00EE56C0" w:rsidRDefault="00EE56C0">
            <w:pPr>
              <w:pStyle w:val="afa"/>
            </w:pPr>
          </w:p>
        </w:tc>
        <w:tc>
          <w:tcPr>
            <w:tcW w:w="845" w:type="pct"/>
            <w:vAlign w:val="center"/>
          </w:tcPr>
          <w:p w:rsidR="00EE56C0" w:rsidRDefault="000F36A1">
            <w:pPr>
              <w:pStyle w:val="afa"/>
            </w:pPr>
            <w:r>
              <w:rPr>
                <w:rFonts w:hint="eastAsia"/>
              </w:rPr>
              <w:t>苯</w:t>
            </w:r>
          </w:p>
        </w:tc>
        <w:tc>
          <w:tcPr>
            <w:tcW w:w="761" w:type="pct"/>
            <w:vAlign w:val="center"/>
          </w:tcPr>
          <w:p w:rsidR="00EE56C0" w:rsidRDefault="000F36A1">
            <w:pPr>
              <w:pStyle w:val="afa"/>
            </w:pPr>
            <w:r>
              <w:rPr>
                <w:rFonts w:hint="eastAsia"/>
              </w:rPr>
              <w:t>1</w:t>
            </w:r>
            <w:r>
              <w:rPr>
                <w:rFonts w:hint="eastAsia"/>
              </w:rPr>
              <w:t>小时</w:t>
            </w:r>
          </w:p>
        </w:tc>
        <w:tc>
          <w:tcPr>
            <w:tcW w:w="1189" w:type="pct"/>
            <w:vAlign w:val="center"/>
          </w:tcPr>
          <w:p w:rsidR="00EE56C0" w:rsidRDefault="000F36A1">
            <w:pPr>
              <w:pStyle w:val="afa"/>
            </w:pPr>
            <w:r>
              <w:rPr>
                <w:rFonts w:hint="eastAsia"/>
              </w:rPr>
              <w:t>0.002</w:t>
            </w:r>
          </w:p>
        </w:tc>
        <w:tc>
          <w:tcPr>
            <w:tcW w:w="830" w:type="pct"/>
            <w:vAlign w:val="center"/>
          </w:tcPr>
          <w:p w:rsidR="00EE56C0" w:rsidRDefault="000F36A1">
            <w:pPr>
              <w:pStyle w:val="afa"/>
            </w:pPr>
            <w:r>
              <w:rPr>
                <w:rFonts w:hint="eastAsia"/>
              </w:rPr>
              <w:t>1.8</w:t>
            </w:r>
          </w:p>
        </w:tc>
      </w:tr>
    </w:tbl>
    <w:p w:rsidR="00EE56C0" w:rsidRDefault="000F36A1">
      <w:pPr>
        <w:ind w:firstLine="480"/>
        <w:textAlignment w:val="auto"/>
      </w:pPr>
      <w:r>
        <w:rPr>
          <w:rFonts w:hint="eastAsia"/>
        </w:rPr>
        <w:t>由上表可知，非正常工况</w:t>
      </w:r>
      <w:r>
        <w:rPr>
          <w:rFonts w:hint="eastAsia"/>
          <w:kern w:val="2"/>
        </w:rPr>
        <w:t>环保设施去除效率达不到设计要求时</w:t>
      </w:r>
      <w:r>
        <w:rPr>
          <w:rFonts w:hint="eastAsia"/>
        </w:rPr>
        <w:t>，各污染物均未超标，且发生该非正常状态时企业可在短时间内发现，不超过</w:t>
      </w:r>
      <w:r>
        <w:t>30</w:t>
      </w:r>
      <w:r>
        <w:rPr>
          <w:rFonts w:hint="eastAsia"/>
        </w:rPr>
        <w:t>分钟，因此不会造成周边敏感点大气环境长时间处于超标状态。企业将制定相应的环境应急预案，同时废气治理措施配备有备用电源等，可极大的减少非正常情况的发生。</w:t>
      </w:r>
    </w:p>
    <w:p w:rsidR="00EE56C0" w:rsidRDefault="000F36A1">
      <w:pPr>
        <w:pStyle w:val="3"/>
        <w:spacing w:before="240" w:after="120"/>
      </w:pPr>
      <w:r>
        <w:rPr>
          <w:rFonts w:hint="eastAsia"/>
        </w:rPr>
        <w:t>5.1.4</w:t>
      </w:r>
      <w:r>
        <w:rPr>
          <w:rFonts w:hint="eastAsia"/>
        </w:rPr>
        <w:t>大气预测结论</w:t>
      </w:r>
    </w:p>
    <w:p w:rsidR="00EE56C0" w:rsidRDefault="000F36A1">
      <w:pPr>
        <w:ind w:firstLine="480"/>
        <w:textAlignment w:val="auto"/>
      </w:pPr>
      <w:r>
        <w:rPr>
          <w:rFonts w:hint="eastAsia"/>
        </w:rPr>
        <w:t>（</w:t>
      </w:r>
      <w:r>
        <w:rPr>
          <w:rFonts w:hint="eastAsia"/>
        </w:rPr>
        <w:t>1</w:t>
      </w:r>
      <w:r>
        <w:rPr>
          <w:rFonts w:hint="eastAsia"/>
        </w:rPr>
        <w:t>）正常排放和非正常排放</w:t>
      </w:r>
    </w:p>
    <w:p w:rsidR="00EE56C0" w:rsidRDefault="000F36A1">
      <w:pPr>
        <w:ind w:firstLine="480"/>
      </w:pPr>
      <w:r>
        <w:rPr>
          <w:rFonts w:hint="eastAsia"/>
        </w:rPr>
        <w:t>项目污染源排放的酚、非甲烷总烃、二甲苯、甲苯、苯</w:t>
      </w:r>
      <w:r>
        <w:rPr>
          <w:rFonts w:hint="eastAsia"/>
        </w:rPr>
        <w:t>1</w:t>
      </w:r>
      <w:r>
        <w:rPr>
          <w:rFonts w:hint="eastAsia"/>
        </w:rPr>
        <w:t>小时浓度和日均值贡献值的最大浓度占标率全部小于</w:t>
      </w:r>
      <w:r>
        <w:rPr>
          <w:rFonts w:hint="eastAsia"/>
        </w:rPr>
        <w:t>1</w:t>
      </w:r>
      <w:r>
        <w:t>00</w:t>
      </w:r>
      <w:r>
        <w:rPr>
          <w:rFonts w:hint="eastAsia"/>
        </w:rPr>
        <w:t>%</w:t>
      </w:r>
      <w:r>
        <w:rPr>
          <w:rFonts w:hint="eastAsia"/>
        </w:rPr>
        <w:t>；</w:t>
      </w:r>
    </w:p>
    <w:p w:rsidR="00EE56C0" w:rsidRDefault="000F36A1">
      <w:pPr>
        <w:ind w:firstLine="480"/>
      </w:pPr>
      <w:r>
        <w:rPr>
          <w:rFonts w:hint="eastAsia"/>
        </w:rPr>
        <w:t>在出现非正常工况时，酚最大占标率为</w:t>
      </w:r>
      <w:r>
        <w:rPr>
          <w:rFonts w:hint="eastAsia"/>
        </w:rPr>
        <w:t>20%</w:t>
      </w:r>
      <w:r>
        <w:rPr>
          <w:rFonts w:hint="eastAsia"/>
        </w:rPr>
        <w:t>，非甲烷总烃最大占标率为</w:t>
      </w:r>
      <w:r>
        <w:rPr>
          <w:rFonts w:hint="eastAsia"/>
        </w:rPr>
        <w:t>0.4%</w:t>
      </w:r>
      <w:r>
        <w:rPr>
          <w:rFonts w:hint="eastAsia"/>
        </w:rPr>
        <w:t>，二甲苯最大占标率为</w:t>
      </w:r>
      <w:r>
        <w:rPr>
          <w:rFonts w:hint="eastAsia"/>
        </w:rPr>
        <w:t>3.7%</w:t>
      </w:r>
      <w:r>
        <w:rPr>
          <w:rFonts w:hint="eastAsia"/>
        </w:rPr>
        <w:t>，甲苯最大占标率为</w:t>
      </w:r>
      <w:r>
        <w:rPr>
          <w:rFonts w:hint="eastAsia"/>
        </w:rPr>
        <w:t>3.6%</w:t>
      </w:r>
      <w:r>
        <w:rPr>
          <w:rFonts w:hint="eastAsia"/>
        </w:rPr>
        <w:t>，苯最大占标率为</w:t>
      </w:r>
      <w:r>
        <w:rPr>
          <w:rFonts w:hint="eastAsia"/>
        </w:rPr>
        <w:t>1.8%</w:t>
      </w:r>
      <w:r>
        <w:rPr>
          <w:rFonts w:hint="eastAsia"/>
        </w:rPr>
        <w:t>，各污染物均未超标。</w:t>
      </w:r>
    </w:p>
    <w:p w:rsidR="00EE56C0" w:rsidRDefault="000F36A1">
      <w:pPr>
        <w:ind w:firstLine="480"/>
      </w:pPr>
      <w:r>
        <w:rPr>
          <w:rFonts w:hint="eastAsia"/>
        </w:rPr>
        <w:t>（</w:t>
      </w:r>
      <w:r>
        <w:rPr>
          <w:rFonts w:hint="eastAsia"/>
        </w:rPr>
        <w:t>2</w:t>
      </w:r>
      <w:r>
        <w:rPr>
          <w:rFonts w:hint="eastAsia"/>
        </w:rPr>
        <w:t>）厂界浓度预测结果</w:t>
      </w:r>
    </w:p>
    <w:p w:rsidR="00EE56C0" w:rsidRDefault="000F36A1">
      <w:pPr>
        <w:ind w:firstLine="480"/>
      </w:pPr>
      <w:r>
        <w:rPr>
          <w:rFonts w:hint="eastAsia"/>
        </w:rPr>
        <w:t>本项目排放的酚对四周厂界的贡献值能够满足</w:t>
      </w:r>
      <w:r>
        <w:t>《大气污染物综合排放标准》（</w:t>
      </w:r>
      <w:r>
        <w:t>GB16297-1996</w:t>
      </w:r>
      <w:r>
        <w:t>）</w:t>
      </w:r>
      <w:r>
        <w:rPr>
          <w:rFonts w:hint="eastAsia"/>
        </w:rPr>
        <w:t>表</w:t>
      </w:r>
      <w:r>
        <w:rPr>
          <w:rFonts w:hint="eastAsia"/>
        </w:rPr>
        <w:t>2</w:t>
      </w:r>
      <w:r>
        <w:rPr>
          <w:rFonts w:hint="eastAsia"/>
        </w:rPr>
        <w:t>酚</w:t>
      </w:r>
      <w:r>
        <w:rPr>
          <w:rFonts w:hint="eastAsia"/>
        </w:rPr>
        <w:t>0.08mg/m</w:t>
      </w:r>
      <w:r>
        <w:rPr>
          <w:rFonts w:hint="eastAsia"/>
          <w:vertAlign w:val="superscript"/>
        </w:rPr>
        <w:t>3</w:t>
      </w:r>
      <w:r>
        <w:rPr>
          <w:rFonts w:hint="eastAsia"/>
        </w:rPr>
        <w:t>的标准要求，非甲烷总烃、二甲苯、甲苯、苯对四周厂界的贡献值能够满足《关于全省开展工业企业挥发性有机物专项治理工作中排放建议值的通知》（豫环攻坚办（</w:t>
      </w:r>
      <w:r>
        <w:rPr>
          <w:rFonts w:hint="eastAsia"/>
        </w:rPr>
        <w:t>2017</w:t>
      </w:r>
      <w:r>
        <w:rPr>
          <w:rFonts w:hint="eastAsia"/>
        </w:rPr>
        <w:t>）</w:t>
      </w:r>
      <w:r>
        <w:rPr>
          <w:rFonts w:hint="eastAsia"/>
        </w:rPr>
        <w:t>162</w:t>
      </w:r>
      <w:r>
        <w:rPr>
          <w:rFonts w:hint="eastAsia"/>
        </w:rPr>
        <w:t>号）附件</w:t>
      </w:r>
      <w:r>
        <w:rPr>
          <w:rFonts w:hint="eastAsia"/>
        </w:rPr>
        <w:t>2</w:t>
      </w:r>
      <w:r>
        <w:rPr>
          <w:rFonts w:hint="eastAsia"/>
        </w:rPr>
        <w:t>非甲烷总烃</w:t>
      </w:r>
      <w:r>
        <w:rPr>
          <w:rFonts w:hint="eastAsia"/>
        </w:rPr>
        <w:lastRenderedPageBreak/>
        <w:t>2.0</w:t>
      </w:r>
      <w:r>
        <w:t>mg/m</w:t>
      </w:r>
      <w:r>
        <w:rPr>
          <w:vertAlign w:val="superscript"/>
        </w:rPr>
        <w:t>3</w:t>
      </w:r>
      <w:r>
        <w:rPr>
          <w:rFonts w:hint="eastAsia"/>
        </w:rPr>
        <w:t>、二甲苯</w:t>
      </w:r>
      <w:r>
        <w:rPr>
          <w:rFonts w:hint="eastAsia"/>
        </w:rPr>
        <w:t>0.2mg/m</w:t>
      </w:r>
      <w:r>
        <w:rPr>
          <w:rFonts w:hint="eastAsia"/>
          <w:vertAlign w:val="superscript"/>
        </w:rPr>
        <w:t>3</w:t>
      </w:r>
      <w:r>
        <w:rPr>
          <w:rFonts w:hint="eastAsia"/>
        </w:rPr>
        <w:t>、甲苯</w:t>
      </w:r>
      <w:r>
        <w:rPr>
          <w:rFonts w:hint="eastAsia"/>
        </w:rPr>
        <w:t>0.6</w:t>
      </w:r>
      <w:r>
        <w:t>mg/m</w:t>
      </w:r>
      <w:r>
        <w:rPr>
          <w:vertAlign w:val="superscript"/>
        </w:rPr>
        <w:t>3</w:t>
      </w:r>
      <w:r>
        <w:rPr>
          <w:rFonts w:hint="eastAsia"/>
        </w:rPr>
        <w:t>、苯</w:t>
      </w:r>
      <w:r>
        <w:rPr>
          <w:rFonts w:hint="eastAsia"/>
        </w:rPr>
        <w:t>0.1</w:t>
      </w:r>
      <w:r>
        <w:t>mg/m</w:t>
      </w:r>
      <w:r>
        <w:rPr>
          <w:vertAlign w:val="superscript"/>
        </w:rPr>
        <w:t>3</w:t>
      </w:r>
      <w:r>
        <w:rPr>
          <w:rFonts w:hint="eastAsia"/>
        </w:rPr>
        <w:t>的标准要求。</w:t>
      </w:r>
    </w:p>
    <w:p w:rsidR="00EE56C0" w:rsidRDefault="000F36A1">
      <w:pPr>
        <w:ind w:firstLine="480"/>
      </w:pPr>
      <w:r>
        <w:rPr>
          <w:rFonts w:hint="eastAsia"/>
        </w:rPr>
        <w:t>（</w:t>
      </w:r>
      <w:r>
        <w:rPr>
          <w:rFonts w:hint="eastAsia"/>
        </w:rPr>
        <w:t>3</w:t>
      </w:r>
      <w:r>
        <w:rPr>
          <w:rFonts w:hint="eastAsia"/>
        </w:rPr>
        <w:t>）根据导则要求，本项目无需设置大气环境防护距离。</w:t>
      </w:r>
    </w:p>
    <w:p w:rsidR="00EE56C0" w:rsidRPr="005767FB" w:rsidRDefault="000F36A1" w:rsidP="005767FB">
      <w:pPr>
        <w:ind w:firstLine="482"/>
        <w:rPr>
          <w:b/>
          <w:u w:val="single"/>
        </w:rPr>
      </w:pPr>
      <w:r w:rsidRPr="005767FB">
        <w:rPr>
          <w:rFonts w:hint="eastAsia"/>
          <w:b/>
          <w:u w:val="single"/>
        </w:rPr>
        <w:t>（</w:t>
      </w:r>
      <w:r w:rsidRPr="005767FB">
        <w:rPr>
          <w:rFonts w:hint="eastAsia"/>
          <w:b/>
          <w:u w:val="single"/>
        </w:rPr>
        <w:t>4</w:t>
      </w:r>
      <w:r w:rsidRPr="005767FB">
        <w:rPr>
          <w:rFonts w:hint="eastAsia"/>
          <w:b/>
          <w:u w:val="single"/>
        </w:rPr>
        <w:t>）经计算</w:t>
      </w:r>
      <w:r w:rsidRPr="005767FB">
        <w:rPr>
          <w:b/>
          <w:spacing w:val="4"/>
          <w:u w:val="single"/>
        </w:rPr>
        <w:t>，</w:t>
      </w:r>
      <w:r w:rsidRPr="005767FB">
        <w:rPr>
          <w:rFonts w:hint="eastAsia"/>
          <w:b/>
          <w:spacing w:val="4"/>
          <w:u w:val="single"/>
        </w:rPr>
        <w:t>本</w:t>
      </w:r>
      <w:r w:rsidRPr="005767FB">
        <w:rPr>
          <w:b/>
          <w:spacing w:val="4"/>
          <w:u w:val="single"/>
        </w:rPr>
        <w:t>项目</w:t>
      </w:r>
      <w:r w:rsidRPr="005767FB">
        <w:rPr>
          <w:rFonts w:hint="eastAsia"/>
          <w:b/>
          <w:spacing w:val="4"/>
          <w:u w:val="single"/>
        </w:rPr>
        <w:t>不</w:t>
      </w:r>
      <w:r w:rsidRPr="005767FB">
        <w:rPr>
          <w:b/>
          <w:spacing w:val="4"/>
          <w:u w:val="single"/>
        </w:rPr>
        <w:t>设置卫生防护距离，</w:t>
      </w:r>
      <w:r w:rsidRPr="005767FB">
        <w:rPr>
          <w:rFonts w:hint="eastAsia"/>
          <w:b/>
          <w:spacing w:val="4"/>
          <w:u w:val="single"/>
        </w:rPr>
        <w:t>现有卫生防护距离</w:t>
      </w:r>
      <w:r w:rsidRPr="005767FB">
        <w:rPr>
          <w:rFonts w:hint="eastAsia"/>
          <w:b/>
          <w:spacing w:val="4"/>
          <w:u w:val="single"/>
        </w:rPr>
        <w:t>200m</w:t>
      </w:r>
      <w:r w:rsidRPr="005767FB">
        <w:rPr>
          <w:rFonts w:hint="eastAsia"/>
          <w:b/>
          <w:spacing w:val="4"/>
          <w:u w:val="single"/>
        </w:rPr>
        <w:t>维持不变。</w:t>
      </w:r>
      <w:r w:rsidRPr="005767FB">
        <w:rPr>
          <w:rFonts w:hint="eastAsia"/>
          <w:b/>
          <w:u w:val="single"/>
        </w:rPr>
        <w:t>厂区</w:t>
      </w:r>
      <w:r w:rsidRPr="005767FB">
        <w:rPr>
          <w:b/>
          <w:u w:val="single"/>
        </w:rPr>
        <w:t>卫生防护距离内没有敏感点，满足设防要求。评价提出，防护距离内不宜再规划新建医院、学校、居住区等环境敏感点。</w:t>
      </w:r>
    </w:p>
    <w:p w:rsidR="00EE56C0" w:rsidRDefault="000F36A1">
      <w:pPr>
        <w:ind w:firstLine="480"/>
      </w:pPr>
      <w:r>
        <w:rPr>
          <w:rFonts w:hint="eastAsia"/>
        </w:rPr>
        <w:t>综上所述，</w:t>
      </w:r>
      <w:r>
        <w:t>在保证评价要求和工程设计的防治措施正常运行的条件下，本工程建设对周围大气环境影响可接受。</w:t>
      </w:r>
    </w:p>
    <w:p w:rsidR="00EE56C0" w:rsidRDefault="000F36A1">
      <w:pPr>
        <w:pStyle w:val="2"/>
        <w:ind w:firstLine="301"/>
      </w:pPr>
      <w:bookmarkStart w:id="334" w:name="_Toc25400916"/>
      <w:r>
        <w:rPr>
          <w:rFonts w:hint="eastAsia"/>
        </w:rPr>
        <w:t>5.2</w:t>
      </w:r>
      <w:r>
        <w:rPr>
          <w:rFonts w:hint="eastAsia"/>
        </w:rPr>
        <w:t>地表水环境影响分析</w:t>
      </w:r>
      <w:bookmarkEnd w:id="308"/>
      <w:bookmarkEnd w:id="309"/>
      <w:bookmarkEnd w:id="310"/>
      <w:bookmarkEnd w:id="311"/>
      <w:bookmarkEnd w:id="312"/>
      <w:bookmarkEnd w:id="334"/>
    </w:p>
    <w:p w:rsidR="00EE56C0" w:rsidRDefault="000F36A1">
      <w:pPr>
        <w:pStyle w:val="3"/>
        <w:spacing w:before="240" w:after="120"/>
      </w:pPr>
      <w:r>
        <w:rPr>
          <w:rFonts w:hint="eastAsia"/>
        </w:rPr>
        <w:t>5.2.1</w:t>
      </w:r>
      <w:r>
        <w:rPr>
          <w:rFonts w:hint="eastAsia"/>
        </w:rPr>
        <w:t>项目废水排放情况</w:t>
      </w:r>
    </w:p>
    <w:p w:rsidR="00EE56C0" w:rsidRDefault="000F36A1">
      <w:pPr>
        <w:ind w:firstLine="480"/>
      </w:pPr>
      <w:r>
        <w:rPr>
          <w:rFonts w:hint="eastAsia"/>
        </w:rPr>
        <w:t>本工程废水主要有：生活污水、反渗透浓水。本项目废水量为一期</w:t>
      </w:r>
      <w:r>
        <w:rPr>
          <w:rFonts w:hint="eastAsia"/>
        </w:rPr>
        <w:t>1.48m</w:t>
      </w:r>
      <w:r>
        <w:rPr>
          <w:vertAlign w:val="superscript"/>
        </w:rPr>
        <w:t>3</w:t>
      </w:r>
      <w:r>
        <w:t>/d</w:t>
      </w:r>
      <w:r>
        <w:rPr>
          <w:rFonts w:hint="eastAsia"/>
        </w:rPr>
        <w:t>、二期</w:t>
      </w:r>
      <w:r>
        <w:rPr>
          <w:rFonts w:hint="eastAsia"/>
        </w:rPr>
        <w:t>5.41</w:t>
      </w:r>
      <w:r>
        <w:t>m</w:t>
      </w:r>
      <w:r>
        <w:rPr>
          <w:vertAlign w:val="superscript"/>
        </w:rPr>
        <w:t>3</w:t>
      </w:r>
      <w:r>
        <w:t>/d</w:t>
      </w:r>
      <w:r>
        <w:rPr>
          <w:rFonts w:hint="eastAsia"/>
        </w:rPr>
        <w:t>。</w:t>
      </w:r>
    </w:p>
    <w:p w:rsidR="00EE56C0" w:rsidRDefault="000F36A1">
      <w:pPr>
        <w:ind w:firstLine="482"/>
      </w:pPr>
      <w:r>
        <w:rPr>
          <w:rFonts w:hint="eastAsia"/>
          <w:b/>
          <w:u w:val="single"/>
        </w:rPr>
        <w:t>厂区西边界沿胡韦线铺设有污水管网，生活污水经化粪池处理后与</w:t>
      </w:r>
      <w:r>
        <w:rPr>
          <w:b/>
          <w:u w:val="single"/>
        </w:rPr>
        <w:t>反渗透浓水</w:t>
      </w:r>
      <w:r>
        <w:rPr>
          <w:rFonts w:hint="eastAsia"/>
          <w:b/>
          <w:u w:val="single"/>
        </w:rPr>
        <w:t>在厂区总排口外排，经污水管网排入新乡县综合污水处理站处理，污水处理厂出水进入东孟姜女河。</w:t>
      </w:r>
    </w:p>
    <w:p w:rsidR="00EE56C0" w:rsidRDefault="000F36A1">
      <w:pPr>
        <w:ind w:firstLine="480"/>
      </w:pPr>
      <w:r>
        <w:rPr>
          <w:rFonts w:hint="eastAsia"/>
          <w:szCs w:val="24"/>
        </w:rPr>
        <w:t>厂区总排口出水各污染因子排放浓度为一期：</w:t>
      </w:r>
      <w:r>
        <w:rPr>
          <w:szCs w:val="24"/>
        </w:rPr>
        <w:t>COD</w:t>
      </w:r>
      <w:r>
        <w:rPr>
          <w:rFonts w:hint="eastAsia"/>
          <w:szCs w:val="24"/>
        </w:rPr>
        <w:t>189</w:t>
      </w:r>
      <w:r>
        <w:rPr>
          <w:szCs w:val="24"/>
        </w:rPr>
        <w:t>mg/L</w:t>
      </w:r>
      <w:r>
        <w:rPr>
          <w:rFonts w:hint="eastAsia"/>
          <w:szCs w:val="24"/>
        </w:rPr>
        <w:t>、</w:t>
      </w:r>
      <w:r>
        <w:rPr>
          <w:szCs w:val="24"/>
        </w:rPr>
        <w:t>SS</w:t>
      </w:r>
      <w:r>
        <w:rPr>
          <w:rFonts w:hint="eastAsia"/>
          <w:szCs w:val="24"/>
        </w:rPr>
        <w:t>139</w:t>
      </w:r>
      <w:r>
        <w:rPr>
          <w:szCs w:val="24"/>
        </w:rPr>
        <w:t>mg/L</w:t>
      </w:r>
      <w:r>
        <w:rPr>
          <w:rFonts w:hint="eastAsia"/>
          <w:szCs w:val="24"/>
        </w:rPr>
        <w:t>、</w:t>
      </w:r>
      <w:r>
        <w:rPr>
          <w:rFonts w:hint="eastAsia"/>
          <w:szCs w:val="24"/>
        </w:rPr>
        <w:t>NH</w:t>
      </w:r>
      <w:r>
        <w:rPr>
          <w:rFonts w:hint="eastAsia"/>
          <w:szCs w:val="24"/>
          <w:vertAlign w:val="subscript"/>
        </w:rPr>
        <w:t>3</w:t>
      </w:r>
      <w:r>
        <w:rPr>
          <w:rFonts w:hint="eastAsia"/>
          <w:szCs w:val="24"/>
        </w:rPr>
        <w:t>-N18</w:t>
      </w:r>
      <w:r>
        <w:rPr>
          <w:szCs w:val="24"/>
        </w:rPr>
        <w:t>mg/L</w:t>
      </w:r>
      <w:r>
        <w:rPr>
          <w:rFonts w:hint="eastAsia"/>
          <w:szCs w:val="24"/>
        </w:rPr>
        <w:t>、</w:t>
      </w:r>
      <w:r>
        <w:rPr>
          <w:rFonts w:hint="eastAsia"/>
          <w:szCs w:val="24"/>
        </w:rPr>
        <w:t>TP3m</w:t>
      </w:r>
      <w:r>
        <w:rPr>
          <w:szCs w:val="24"/>
        </w:rPr>
        <w:t>g/L</w:t>
      </w:r>
      <w:r>
        <w:rPr>
          <w:rFonts w:hint="eastAsia"/>
          <w:szCs w:val="24"/>
        </w:rPr>
        <w:t>、</w:t>
      </w:r>
      <w:r>
        <w:rPr>
          <w:rFonts w:hint="eastAsia"/>
          <w:szCs w:val="24"/>
        </w:rPr>
        <w:t>TN22</w:t>
      </w:r>
      <w:r>
        <w:rPr>
          <w:szCs w:val="24"/>
        </w:rPr>
        <w:t>mg/L</w:t>
      </w:r>
      <w:r>
        <w:rPr>
          <w:rFonts w:hint="eastAsia"/>
          <w:szCs w:val="24"/>
        </w:rPr>
        <w:t>、动植物油</w:t>
      </w:r>
      <w:r>
        <w:rPr>
          <w:rFonts w:hint="eastAsia"/>
          <w:szCs w:val="24"/>
        </w:rPr>
        <w:t>22</w:t>
      </w:r>
      <w:r>
        <w:rPr>
          <w:szCs w:val="24"/>
        </w:rPr>
        <w:t>mg/L</w:t>
      </w:r>
      <w:r>
        <w:rPr>
          <w:rFonts w:hint="eastAsia"/>
          <w:szCs w:val="24"/>
        </w:rPr>
        <w:t>，二期：</w:t>
      </w:r>
      <w:r>
        <w:rPr>
          <w:szCs w:val="24"/>
        </w:rPr>
        <w:t>COD</w:t>
      </w:r>
      <w:r>
        <w:rPr>
          <w:rFonts w:hint="eastAsia"/>
          <w:szCs w:val="24"/>
        </w:rPr>
        <w:t>178</w:t>
      </w:r>
      <w:r>
        <w:rPr>
          <w:szCs w:val="24"/>
        </w:rPr>
        <w:t>mg/L</w:t>
      </w:r>
      <w:r>
        <w:rPr>
          <w:rFonts w:hint="eastAsia"/>
          <w:szCs w:val="24"/>
        </w:rPr>
        <w:t>、</w:t>
      </w:r>
      <w:r>
        <w:rPr>
          <w:szCs w:val="24"/>
        </w:rPr>
        <w:t>SS</w:t>
      </w:r>
      <w:r>
        <w:rPr>
          <w:rFonts w:hint="eastAsia"/>
          <w:szCs w:val="24"/>
        </w:rPr>
        <w:t>127</w:t>
      </w:r>
      <w:r>
        <w:rPr>
          <w:szCs w:val="24"/>
        </w:rPr>
        <w:t>mg/L</w:t>
      </w:r>
      <w:r>
        <w:rPr>
          <w:rFonts w:hint="eastAsia"/>
          <w:szCs w:val="24"/>
        </w:rPr>
        <w:t>、</w:t>
      </w:r>
      <w:r>
        <w:rPr>
          <w:rFonts w:hint="eastAsia"/>
          <w:szCs w:val="24"/>
        </w:rPr>
        <w:t>NH</w:t>
      </w:r>
      <w:r>
        <w:rPr>
          <w:rFonts w:hint="eastAsia"/>
          <w:szCs w:val="24"/>
          <w:vertAlign w:val="subscript"/>
        </w:rPr>
        <w:t>3</w:t>
      </w:r>
      <w:r>
        <w:rPr>
          <w:rFonts w:hint="eastAsia"/>
          <w:szCs w:val="24"/>
        </w:rPr>
        <w:t>-N07</w:t>
      </w:r>
      <w:r>
        <w:rPr>
          <w:szCs w:val="24"/>
        </w:rPr>
        <w:t>mg/L</w:t>
      </w:r>
      <w:r>
        <w:rPr>
          <w:rFonts w:hint="eastAsia"/>
          <w:szCs w:val="24"/>
        </w:rPr>
        <w:t>、</w:t>
      </w:r>
      <w:r>
        <w:rPr>
          <w:rFonts w:hint="eastAsia"/>
          <w:szCs w:val="24"/>
        </w:rPr>
        <w:t>TP3m</w:t>
      </w:r>
      <w:r>
        <w:rPr>
          <w:szCs w:val="24"/>
        </w:rPr>
        <w:t>g/L</w:t>
      </w:r>
      <w:r>
        <w:rPr>
          <w:rFonts w:hint="eastAsia"/>
          <w:szCs w:val="24"/>
        </w:rPr>
        <w:t>、</w:t>
      </w:r>
      <w:r>
        <w:rPr>
          <w:rFonts w:hint="eastAsia"/>
          <w:szCs w:val="24"/>
        </w:rPr>
        <w:t>TN21</w:t>
      </w:r>
      <w:r>
        <w:rPr>
          <w:szCs w:val="24"/>
        </w:rPr>
        <w:t>mg/L</w:t>
      </w:r>
      <w:r>
        <w:rPr>
          <w:rFonts w:hint="eastAsia"/>
          <w:szCs w:val="24"/>
        </w:rPr>
        <w:t>、动植物油</w:t>
      </w:r>
      <w:r>
        <w:rPr>
          <w:rFonts w:hint="eastAsia"/>
          <w:szCs w:val="24"/>
        </w:rPr>
        <w:t>3.86</w:t>
      </w:r>
      <w:r>
        <w:rPr>
          <w:szCs w:val="24"/>
        </w:rPr>
        <w:t>mg/L</w:t>
      </w:r>
      <w:r>
        <w:rPr>
          <w:rFonts w:hint="eastAsia"/>
          <w:szCs w:val="24"/>
        </w:rPr>
        <w:t>。</w:t>
      </w:r>
      <w:r>
        <w:rPr>
          <w:rFonts w:hint="eastAsia"/>
        </w:rPr>
        <w:t>总排口各项水质均能满足</w:t>
      </w:r>
      <w:r>
        <w:rPr>
          <w:bCs/>
        </w:rPr>
        <w:t>《污水排污城镇下水道水质标准》（</w:t>
      </w:r>
      <w:r>
        <w:rPr>
          <w:bCs/>
        </w:rPr>
        <w:t>GB/T31962-2015</w:t>
      </w:r>
      <w:r>
        <w:rPr>
          <w:bCs/>
        </w:rPr>
        <w:t>）</w:t>
      </w:r>
      <w:r>
        <w:rPr>
          <w:bCs/>
        </w:rPr>
        <w:t>C</w:t>
      </w:r>
      <w:r>
        <w:rPr>
          <w:bCs/>
        </w:rPr>
        <w:t>级标准</w:t>
      </w:r>
      <w:r>
        <w:rPr>
          <w:szCs w:val="24"/>
        </w:rPr>
        <w:t>（</w:t>
      </w:r>
      <w:r>
        <w:rPr>
          <w:bCs/>
        </w:rPr>
        <w:t>COD300mg/L</w:t>
      </w:r>
      <w:r>
        <w:rPr>
          <w:bCs/>
        </w:rPr>
        <w:t>、</w:t>
      </w:r>
      <w:r>
        <w:rPr>
          <w:bCs/>
        </w:rPr>
        <w:t>SS250mg/L</w:t>
      </w:r>
      <w:r>
        <w:rPr>
          <w:bCs/>
        </w:rPr>
        <w:t>、</w:t>
      </w:r>
      <w:r>
        <w:rPr>
          <w:bCs/>
        </w:rPr>
        <w:t>NH</w:t>
      </w:r>
      <w:r>
        <w:rPr>
          <w:bCs/>
          <w:vertAlign w:val="subscript"/>
        </w:rPr>
        <w:t>3</w:t>
      </w:r>
      <w:r>
        <w:rPr>
          <w:bCs/>
        </w:rPr>
        <w:t>-N25mg/L</w:t>
      </w:r>
      <w:r>
        <w:rPr>
          <w:bCs/>
        </w:rPr>
        <w:t>、</w:t>
      </w:r>
      <w:r>
        <w:rPr>
          <w:bCs/>
        </w:rPr>
        <w:t>TN45mg/L</w:t>
      </w:r>
      <w:r>
        <w:rPr>
          <w:bCs/>
        </w:rPr>
        <w:t>、</w:t>
      </w:r>
      <w:r>
        <w:rPr>
          <w:bCs/>
        </w:rPr>
        <w:t>TP5.0mg/L</w:t>
      </w:r>
      <w:r>
        <w:rPr>
          <w:bCs/>
        </w:rPr>
        <w:t>、动植物油</w:t>
      </w:r>
      <w:r>
        <w:rPr>
          <w:bCs/>
        </w:rPr>
        <w:t>100mg/L</w:t>
      </w:r>
      <w:r>
        <w:rPr>
          <w:szCs w:val="24"/>
        </w:rPr>
        <w:t>）</w:t>
      </w:r>
      <w:r>
        <w:rPr>
          <w:rFonts w:hint="eastAsia"/>
          <w:szCs w:val="24"/>
        </w:rPr>
        <w:t>及</w:t>
      </w:r>
      <w:r>
        <w:rPr>
          <w:rFonts w:hint="eastAsia"/>
        </w:rPr>
        <w:t>新乡县综合污水处理厂收水标准要求，进入新乡县综合污水处理厂进一步处理</w:t>
      </w:r>
      <w:r>
        <w:t>后排入</w:t>
      </w:r>
      <w:r>
        <w:rPr>
          <w:rFonts w:hint="eastAsia"/>
        </w:rPr>
        <w:t>东孟姜女河</w:t>
      </w:r>
      <w:r>
        <w:t>。</w:t>
      </w:r>
    </w:p>
    <w:p w:rsidR="00EE56C0" w:rsidRDefault="000F36A1">
      <w:pPr>
        <w:pStyle w:val="3"/>
        <w:spacing w:before="240" w:after="120"/>
      </w:pPr>
      <w:r>
        <w:rPr>
          <w:rFonts w:hint="eastAsia"/>
        </w:rPr>
        <w:t>5.2.2</w:t>
      </w:r>
      <w:r>
        <w:rPr>
          <w:rFonts w:hint="eastAsia"/>
        </w:rPr>
        <w:t>评价等级</w:t>
      </w:r>
    </w:p>
    <w:p w:rsidR="00EE56C0" w:rsidRDefault="000F36A1">
      <w:pPr>
        <w:ind w:firstLine="480"/>
      </w:pPr>
      <w:r>
        <w:t>根据《环境影响评价技术导则</w:t>
      </w:r>
      <w:r>
        <w:t>-</w:t>
      </w:r>
      <w:r>
        <w:t>地面水环境》（</w:t>
      </w:r>
      <w:r>
        <w:t>HJ/T2.3-</w:t>
      </w:r>
      <w:r>
        <w:rPr>
          <w:rFonts w:hint="eastAsia"/>
        </w:rPr>
        <w:t>2018</w:t>
      </w:r>
      <w:r>
        <w:t>），直接排放</w:t>
      </w:r>
      <w:r>
        <w:rPr>
          <w:rFonts w:hint="eastAsia"/>
        </w:rPr>
        <w:t>的</w:t>
      </w:r>
      <w:r>
        <w:t>建设项目评价等级分为一级、二级和三级</w:t>
      </w:r>
      <w:r>
        <w:rPr>
          <w:rFonts w:eastAsia="Times New Roman"/>
        </w:rPr>
        <w:t>A</w:t>
      </w:r>
      <w:r>
        <w:t>，间接排放</w:t>
      </w:r>
      <w:r>
        <w:rPr>
          <w:rFonts w:hint="eastAsia"/>
        </w:rPr>
        <w:t>的</w:t>
      </w:r>
      <w:r>
        <w:t>建设项目评价等级为三</w:t>
      </w:r>
      <w:r>
        <w:lastRenderedPageBreak/>
        <w:t>级</w:t>
      </w:r>
      <w:r>
        <w:rPr>
          <w:rFonts w:eastAsia="Times New Roman"/>
        </w:rPr>
        <w:t>B</w:t>
      </w:r>
      <w:r>
        <w:rPr>
          <w:rFonts w:hint="eastAsia"/>
        </w:rPr>
        <w:t>。本项目废水经处理达标后进入新乡县综合污水处理厂，因此属于间接排放，评价等级为三级</w:t>
      </w:r>
      <w:r>
        <w:rPr>
          <w:rFonts w:hint="eastAsia"/>
        </w:rPr>
        <w:t>B</w:t>
      </w:r>
      <w:r>
        <w:t>。</w:t>
      </w:r>
      <w:r>
        <w:rPr>
          <w:rFonts w:hint="eastAsia"/>
        </w:rPr>
        <w:t>主要评价内容包括：水污染控制和水环境影响减缓措施有效性评价，依托污水处理设施的环境可行性评价。评价将重点对项目外排废水排入新乡县综合污水处理厂的可行性进行简要分析。</w:t>
      </w:r>
    </w:p>
    <w:p w:rsidR="00EE56C0" w:rsidRDefault="000F36A1">
      <w:pPr>
        <w:pStyle w:val="3"/>
        <w:spacing w:before="240" w:after="120"/>
      </w:pPr>
      <w:r>
        <w:rPr>
          <w:rFonts w:hint="eastAsia"/>
        </w:rPr>
        <w:t>5.2.3</w:t>
      </w:r>
      <w:r>
        <w:rPr>
          <w:rFonts w:hint="eastAsia"/>
        </w:rPr>
        <w:t>新乡县综合污水处理厂</w:t>
      </w:r>
      <w:r>
        <w:t>概况</w:t>
      </w:r>
    </w:p>
    <w:p w:rsidR="00EE56C0" w:rsidRDefault="000F36A1">
      <w:pPr>
        <w:ind w:firstLine="480"/>
      </w:pPr>
      <w:r>
        <w:t>新乡县综合污水处理厂位于</w:t>
      </w:r>
      <w:r>
        <w:rPr>
          <w:rFonts w:ascii="宋体" w:hAnsi="宋体" w:cs="宋体" w:hint="eastAsia"/>
          <w:szCs w:val="24"/>
        </w:rPr>
        <w:t>集聚区北区（胜利路以东、青龙路以北、文化路以西、东孟姜女河以南的区域）</w:t>
      </w:r>
      <w:r>
        <w:t>，设计处理规模为</w:t>
      </w:r>
      <w:r>
        <w:rPr>
          <w:rFonts w:hint="eastAsia"/>
        </w:rPr>
        <w:t>15</w:t>
      </w:r>
      <w:r>
        <w:t>万</w:t>
      </w:r>
      <w:r>
        <w:t>m³/d</w:t>
      </w:r>
      <w:r>
        <w:t>，总服务面积</w:t>
      </w:r>
      <w:r>
        <w:rPr>
          <w:rFonts w:hint="eastAsia"/>
        </w:rPr>
        <w:t>48.42</w:t>
      </w:r>
      <w:r>
        <w:t>km</w:t>
      </w:r>
      <w:r>
        <w:rPr>
          <w:vertAlign w:val="superscript"/>
        </w:rPr>
        <w:t>2</w:t>
      </w:r>
      <w:r>
        <w:t>。</w:t>
      </w:r>
      <w:r>
        <w:rPr>
          <w:rFonts w:hint="eastAsia"/>
        </w:rPr>
        <w:t>目前主体工程已完工，</w:t>
      </w:r>
      <w:r>
        <w:rPr>
          <w:rFonts w:hint="eastAsia"/>
        </w:rPr>
        <w:t>2021</w:t>
      </w:r>
      <w:r>
        <w:rPr>
          <w:rFonts w:hint="eastAsia"/>
        </w:rPr>
        <w:t>年</w:t>
      </w:r>
      <w:r>
        <w:rPr>
          <w:rFonts w:hint="eastAsia"/>
        </w:rPr>
        <w:t>10</w:t>
      </w:r>
      <w:r>
        <w:rPr>
          <w:rFonts w:hint="eastAsia"/>
        </w:rPr>
        <w:t>月进行收水调试</w:t>
      </w:r>
      <w:r>
        <w:t>。收水范围为</w:t>
      </w:r>
      <w:r>
        <w:rPr>
          <w:rFonts w:hAnsi="宋体"/>
          <w:bCs/>
          <w:szCs w:val="28"/>
        </w:rPr>
        <w:t>新乡县中心城区（</w:t>
      </w:r>
      <w:r>
        <w:rPr>
          <w:bCs/>
          <w:szCs w:val="28"/>
        </w:rPr>
        <w:t>40km</w:t>
      </w:r>
      <w:r>
        <w:rPr>
          <w:bCs/>
          <w:szCs w:val="28"/>
          <w:vertAlign w:val="superscript"/>
        </w:rPr>
        <w:t>2</w:t>
      </w:r>
      <w:r>
        <w:rPr>
          <w:rFonts w:hAnsi="宋体"/>
          <w:bCs/>
          <w:szCs w:val="28"/>
        </w:rPr>
        <w:t>，包含部分新乡经济技术产业集聚区）、新乡经济技术产业集聚区（</w:t>
      </w:r>
      <w:r>
        <w:rPr>
          <w:bCs/>
          <w:szCs w:val="28"/>
        </w:rPr>
        <w:t>3.16km</w:t>
      </w:r>
      <w:r>
        <w:rPr>
          <w:bCs/>
          <w:szCs w:val="28"/>
          <w:vertAlign w:val="superscript"/>
        </w:rPr>
        <w:t>2</w:t>
      </w:r>
      <w:r>
        <w:rPr>
          <w:rFonts w:hAnsi="宋体"/>
          <w:bCs/>
          <w:szCs w:val="28"/>
        </w:rPr>
        <w:t>，纸制品印刷包装产业园和装备制造产业园）、朗公庙镇中心镇区（</w:t>
      </w:r>
      <w:r>
        <w:rPr>
          <w:bCs/>
          <w:szCs w:val="28"/>
        </w:rPr>
        <w:t>5.26km</w:t>
      </w:r>
      <w:r>
        <w:rPr>
          <w:bCs/>
          <w:szCs w:val="28"/>
          <w:vertAlign w:val="superscript"/>
        </w:rPr>
        <w:t>2</w:t>
      </w:r>
      <w:r>
        <w:rPr>
          <w:rFonts w:hAnsi="宋体"/>
          <w:bCs/>
          <w:szCs w:val="28"/>
        </w:rPr>
        <w:t>）</w:t>
      </w:r>
      <w:r>
        <w:t>。采用的工艺为</w:t>
      </w:r>
      <w:r>
        <w:rPr>
          <w:szCs w:val="21"/>
        </w:rPr>
        <w:t>“</w:t>
      </w:r>
      <w:r>
        <w:rPr>
          <w:rFonts w:hAnsi="宋体"/>
          <w:szCs w:val="21"/>
        </w:rPr>
        <w:t>格栅</w:t>
      </w:r>
      <w:r>
        <w:rPr>
          <w:szCs w:val="21"/>
        </w:rPr>
        <w:t>+</w:t>
      </w:r>
      <w:r>
        <w:rPr>
          <w:rFonts w:hAnsi="宋体"/>
          <w:szCs w:val="21"/>
        </w:rPr>
        <w:t>水解酸化</w:t>
      </w:r>
      <w:r>
        <w:rPr>
          <w:szCs w:val="21"/>
        </w:rPr>
        <w:t>+AAOAO+</w:t>
      </w:r>
      <w:r>
        <w:rPr>
          <w:rFonts w:hAnsi="宋体"/>
          <w:szCs w:val="21"/>
        </w:rPr>
        <w:t>沉淀</w:t>
      </w:r>
      <w:r>
        <w:rPr>
          <w:szCs w:val="21"/>
        </w:rPr>
        <w:t>+V</w:t>
      </w:r>
      <w:r>
        <w:rPr>
          <w:rFonts w:hAnsi="宋体"/>
          <w:szCs w:val="21"/>
        </w:rPr>
        <w:t>型过滤</w:t>
      </w:r>
      <w:r>
        <w:rPr>
          <w:szCs w:val="21"/>
        </w:rPr>
        <w:t>+</w:t>
      </w:r>
      <w:r>
        <w:rPr>
          <w:rFonts w:hAnsi="宋体"/>
          <w:szCs w:val="21"/>
        </w:rPr>
        <w:t>臭氧接触</w:t>
      </w:r>
      <w:r>
        <w:rPr>
          <w:szCs w:val="21"/>
        </w:rPr>
        <w:t>+</w:t>
      </w:r>
      <w:r>
        <w:rPr>
          <w:rFonts w:hAnsi="宋体"/>
          <w:szCs w:val="21"/>
        </w:rPr>
        <w:t>活性炭过滤</w:t>
      </w:r>
      <w:r>
        <w:rPr>
          <w:szCs w:val="21"/>
        </w:rPr>
        <w:t>”</w:t>
      </w:r>
      <w:r>
        <w:t>。设计进水水质为</w:t>
      </w:r>
      <w:r>
        <w:t>COD400mg/L</w:t>
      </w:r>
      <w:r>
        <w:t>、</w:t>
      </w:r>
      <w:r>
        <w:t>BOD</w:t>
      </w:r>
      <w:r>
        <w:rPr>
          <w:vertAlign w:val="subscript"/>
        </w:rPr>
        <w:t>5</w:t>
      </w:r>
      <w:r>
        <w:t>100mg/L</w:t>
      </w:r>
      <w:r>
        <w:t>、</w:t>
      </w:r>
      <w:r>
        <w:t>SS180mg/L</w:t>
      </w:r>
      <w:r>
        <w:t>、</w:t>
      </w:r>
      <w:r>
        <w:t>NH</w:t>
      </w:r>
      <w:r>
        <w:rPr>
          <w:vertAlign w:val="subscript"/>
        </w:rPr>
        <w:t>3</w:t>
      </w:r>
      <w:r>
        <w:t>-N59mg/L</w:t>
      </w:r>
      <w:r>
        <w:t>、</w:t>
      </w:r>
      <w:r>
        <w:t>TP4mg/L</w:t>
      </w:r>
      <w:r>
        <w:t>、</w:t>
      </w:r>
      <w:r>
        <w:t>TN70mg/L</w:t>
      </w:r>
      <w:r>
        <w:t>，出水水质达到</w:t>
      </w:r>
      <w:r>
        <w:rPr>
          <w:rFonts w:hAnsi="宋体"/>
          <w:szCs w:val="21"/>
        </w:rPr>
        <w:t>《地表水环境质量标准》（</w:t>
      </w:r>
      <w:r>
        <w:rPr>
          <w:szCs w:val="21"/>
        </w:rPr>
        <w:t>GB3838-2002</w:t>
      </w:r>
      <w:r>
        <w:rPr>
          <w:rFonts w:hAnsi="宋体"/>
          <w:szCs w:val="21"/>
        </w:rPr>
        <w:t>）</w:t>
      </w:r>
      <w:r w:rsidR="00340837">
        <w:rPr>
          <w:szCs w:val="21"/>
        </w:rPr>
        <w:fldChar w:fldCharType="begin"/>
      </w:r>
      <w:r>
        <w:rPr>
          <w:szCs w:val="21"/>
        </w:rPr>
        <w:instrText xml:space="preserve"> = 4 \* ROMAN </w:instrText>
      </w:r>
      <w:r w:rsidR="00340837">
        <w:rPr>
          <w:szCs w:val="21"/>
        </w:rPr>
        <w:fldChar w:fldCharType="separate"/>
      </w:r>
      <w:r>
        <w:rPr>
          <w:szCs w:val="21"/>
        </w:rPr>
        <w:t>V</w:t>
      </w:r>
      <w:r w:rsidR="00340837">
        <w:rPr>
          <w:szCs w:val="21"/>
        </w:rPr>
        <w:fldChar w:fldCharType="end"/>
      </w:r>
      <w:r>
        <w:rPr>
          <w:rFonts w:hAnsi="宋体"/>
          <w:szCs w:val="21"/>
        </w:rPr>
        <w:t>类标准（总氮除外），总氮执行《城镇污水处理厂污染物排放标准》（</w:t>
      </w:r>
      <w:r>
        <w:rPr>
          <w:szCs w:val="21"/>
        </w:rPr>
        <w:t>GB18918-2002</w:t>
      </w:r>
      <w:r>
        <w:rPr>
          <w:rFonts w:hAnsi="宋体"/>
          <w:szCs w:val="21"/>
        </w:rPr>
        <w:t>）表</w:t>
      </w:r>
      <w:r>
        <w:rPr>
          <w:szCs w:val="21"/>
        </w:rPr>
        <w:t>1</w:t>
      </w:r>
      <w:r>
        <w:rPr>
          <w:rFonts w:hAnsi="宋体"/>
          <w:szCs w:val="21"/>
        </w:rPr>
        <w:t>一级</w:t>
      </w:r>
      <w:r>
        <w:rPr>
          <w:szCs w:val="21"/>
        </w:rPr>
        <w:t>A</w:t>
      </w:r>
      <w:r>
        <w:rPr>
          <w:rFonts w:hAnsi="宋体"/>
          <w:szCs w:val="21"/>
        </w:rPr>
        <w:t>标准，即</w:t>
      </w:r>
      <w:r>
        <w:t>COD40mg/L</w:t>
      </w:r>
      <w:r>
        <w:t>、</w:t>
      </w:r>
      <w:r>
        <w:t>SS10mg/L</w:t>
      </w:r>
      <w:r>
        <w:t>、</w:t>
      </w:r>
      <w:r>
        <w:t>NH</w:t>
      </w:r>
      <w:r>
        <w:rPr>
          <w:vertAlign w:val="subscript"/>
        </w:rPr>
        <w:t>3</w:t>
      </w:r>
      <w:r>
        <w:t>-N 2mg/L</w:t>
      </w:r>
      <w:r>
        <w:t>、</w:t>
      </w:r>
      <w:r>
        <w:t>TP 0.4mg/L</w:t>
      </w:r>
      <w:r>
        <w:t>、</w:t>
      </w:r>
      <w:r>
        <w:t>TN 15mg/L</w:t>
      </w:r>
      <w:r>
        <w:t>，废水排入东孟姜女河，最终汇入卫河。</w:t>
      </w:r>
    </w:p>
    <w:p w:rsidR="00EE56C0" w:rsidRDefault="000F36A1">
      <w:pPr>
        <w:pStyle w:val="3"/>
        <w:spacing w:before="240" w:after="120"/>
      </w:pPr>
      <w:r>
        <w:rPr>
          <w:rFonts w:hint="eastAsia"/>
        </w:rPr>
        <w:t>5.2.4</w:t>
      </w:r>
      <w:r>
        <w:t>项目废水进入</w:t>
      </w:r>
      <w:r>
        <w:rPr>
          <w:rFonts w:hint="eastAsia"/>
        </w:rPr>
        <w:t>新乡县综合污水处理厂</w:t>
      </w:r>
      <w:r>
        <w:t>的可行性分析</w:t>
      </w:r>
    </w:p>
    <w:p w:rsidR="00EE56C0" w:rsidRDefault="000F36A1">
      <w:pPr>
        <w:ind w:firstLine="480"/>
      </w:pPr>
      <w:r>
        <w:t>（</w:t>
      </w:r>
      <w:r>
        <w:t>1</w:t>
      </w:r>
      <w:r>
        <w:t>）水量及收水管网</w:t>
      </w:r>
    </w:p>
    <w:p w:rsidR="00EE56C0" w:rsidRDefault="000F36A1">
      <w:pPr>
        <w:ind w:firstLine="480"/>
      </w:pPr>
      <w:r>
        <w:t>a</w:t>
      </w:r>
      <w:r>
        <w:t>．新乡县综合污水处理厂位于</w:t>
      </w:r>
      <w:r>
        <w:rPr>
          <w:rFonts w:ascii="宋体" w:hAnsi="宋体" w:cs="宋体" w:hint="eastAsia"/>
          <w:szCs w:val="24"/>
        </w:rPr>
        <w:t>集聚区北区（胜利路以东、青龙路以北、文化路以西、东孟姜女河以南的区域）</w:t>
      </w:r>
      <w:r>
        <w:t>，设计处理规模为</w:t>
      </w:r>
      <w:r>
        <w:rPr>
          <w:rFonts w:hint="eastAsia"/>
        </w:rPr>
        <w:t>15</w:t>
      </w:r>
      <w:r>
        <w:t>万</w:t>
      </w:r>
      <w:r>
        <w:t>m³/d</w:t>
      </w:r>
      <w:r>
        <w:t>，总服务面积</w:t>
      </w:r>
      <w:r>
        <w:rPr>
          <w:rFonts w:hint="eastAsia"/>
        </w:rPr>
        <w:t>48.42</w:t>
      </w:r>
      <w:r>
        <w:t>km</w:t>
      </w:r>
      <w:r>
        <w:rPr>
          <w:vertAlign w:val="superscript"/>
        </w:rPr>
        <w:t>2</w:t>
      </w:r>
      <w:r>
        <w:t>。</w:t>
      </w:r>
      <w:r>
        <w:rPr>
          <w:rFonts w:hint="eastAsia"/>
        </w:rPr>
        <w:t>目前主体工程已完工，正在进行收水调试。本项目外排废水量为一期</w:t>
      </w:r>
      <w:r>
        <w:rPr>
          <w:rFonts w:hint="eastAsia"/>
        </w:rPr>
        <w:t>1.48m</w:t>
      </w:r>
      <w:r>
        <w:rPr>
          <w:vertAlign w:val="superscript"/>
        </w:rPr>
        <w:t>3</w:t>
      </w:r>
      <w:r>
        <w:t>/d</w:t>
      </w:r>
      <w:r>
        <w:rPr>
          <w:rFonts w:hint="eastAsia"/>
        </w:rPr>
        <w:t>、二期</w:t>
      </w:r>
      <w:r>
        <w:rPr>
          <w:rFonts w:hint="eastAsia"/>
        </w:rPr>
        <w:t>5.41</w:t>
      </w:r>
      <w:r>
        <w:t>m</w:t>
      </w:r>
      <w:r>
        <w:rPr>
          <w:vertAlign w:val="superscript"/>
        </w:rPr>
        <w:t>3</w:t>
      </w:r>
      <w:r>
        <w:t>/d</w:t>
      </w:r>
      <w:r>
        <w:rPr>
          <w:rFonts w:hint="eastAsia"/>
        </w:rPr>
        <w:t>，水量较小，不会对新乡县综合污水处理厂产生冲击。</w:t>
      </w:r>
    </w:p>
    <w:p w:rsidR="00EE56C0" w:rsidRDefault="000F36A1">
      <w:pPr>
        <w:ind w:firstLine="480"/>
      </w:pPr>
      <w:r>
        <w:t>b</w:t>
      </w:r>
      <w:r>
        <w:t>．</w:t>
      </w:r>
      <w:r>
        <w:rPr>
          <w:rFonts w:hint="eastAsia"/>
        </w:rPr>
        <w:t>目前，厂区附近管网未铺设完成，待管网铺设完成后，项目废水进入新乡县综合污水处理厂进行处理。</w:t>
      </w:r>
    </w:p>
    <w:p w:rsidR="00EE56C0" w:rsidRDefault="000F36A1">
      <w:pPr>
        <w:ind w:firstLine="480"/>
      </w:pPr>
      <w:r>
        <w:lastRenderedPageBreak/>
        <w:t>（</w:t>
      </w:r>
      <w:r>
        <w:t>2</w:t>
      </w:r>
      <w:r>
        <w:t>）水质</w:t>
      </w:r>
    </w:p>
    <w:p w:rsidR="00EE56C0" w:rsidRDefault="000F36A1">
      <w:pPr>
        <w:ind w:firstLine="480"/>
      </w:pPr>
      <w:r>
        <w:rPr>
          <w:rFonts w:hint="eastAsia"/>
        </w:rPr>
        <w:t>管网接通后，</w:t>
      </w:r>
      <w:r>
        <w:t>本工程废水经处理后经管网入</w:t>
      </w:r>
      <w:r>
        <w:rPr>
          <w:rFonts w:hint="eastAsia"/>
        </w:rPr>
        <w:t>新乡县综合污水处理厂</w:t>
      </w:r>
      <w:r>
        <w:t>进行处理，厂区总排口水质见表</w:t>
      </w:r>
      <w:r>
        <w:rPr>
          <w:rFonts w:hint="eastAsia"/>
        </w:rPr>
        <w:t>5-3</w:t>
      </w:r>
      <w:r w:rsidR="005767FB">
        <w:rPr>
          <w:rFonts w:hint="eastAsia"/>
        </w:rPr>
        <w:t>6</w:t>
      </w:r>
      <w:r>
        <w:rPr>
          <w:rFonts w:hint="eastAsia"/>
        </w:rPr>
        <w:t>：</w:t>
      </w:r>
    </w:p>
    <w:p w:rsidR="00EE56C0" w:rsidRDefault="000F36A1">
      <w:pPr>
        <w:pStyle w:val="afd"/>
        <w:spacing w:before="120" w:after="120"/>
        <w:ind w:firstLine="482"/>
      </w:pPr>
      <w:r>
        <w:t>表</w:t>
      </w:r>
      <w:r>
        <w:rPr>
          <w:rFonts w:hint="eastAsia"/>
        </w:rPr>
        <w:t>5-3</w:t>
      </w:r>
      <w:r w:rsidR="005767FB">
        <w:rPr>
          <w:rFonts w:hint="eastAsia"/>
        </w:rPr>
        <w:t>6</w:t>
      </w:r>
      <w:r>
        <w:rPr>
          <w:rFonts w:hint="eastAsia"/>
        </w:rPr>
        <w:t xml:space="preserve">     </w:t>
      </w:r>
      <w:r>
        <w:t>项目排水与新乡县综合污水处理厂</w:t>
      </w:r>
      <w:r>
        <w:rPr>
          <w:rFonts w:hint="eastAsia"/>
        </w:rPr>
        <w:t>收</w:t>
      </w:r>
      <w:r>
        <w:t>水水质对比单位：</w:t>
      </w:r>
      <w:r>
        <w:t>mg/L</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809"/>
        <w:gridCol w:w="691"/>
        <w:gridCol w:w="1694"/>
        <w:gridCol w:w="846"/>
        <w:gridCol w:w="849"/>
        <w:gridCol w:w="1015"/>
        <w:gridCol w:w="849"/>
        <w:gridCol w:w="846"/>
        <w:gridCol w:w="930"/>
      </w:tblGrid>
      <w:tr w:rsidR="00EE56C0">
        <w:trPr>
          <w:trHeight w:val="425"/>
          <w:jc w:val="center"/>
        </w:trPr>
        <w:tc>
          <w:tcPr>
            <w:tcW w:w="474" w:type="pct"/>
            <w:vAlign w:val="center"/>
          </w:tcPr>
          <w:p w:rsidR="00EE56C0" w:rsidRDefault="000F36A1">
            <w:pPr>
              <w:pStyle w:val="aff1"/>
              <w:rPr>
                <w:color w:val="auto"/>
                <w:kern w:val="0"/>
              </w:rPr>
            </w:pPr>
            <w:r>
              <w:rPr>
                <w:color w:val="auto"/>
                <w:kern w:val="0"/>
              </w:rPr>
              <w:t>序号</w:t>
            </w:r>
          </w:p>
        </w:tc>
        <w:tc>
          <w:tcPr>
            <w:tcW w:w="1398" w:type="pct"/>
            <w:gridSpan w:val="2"/>
            <w:vAlign w:val="center"/>
          </w:tcPr>
          <w:p w:rsidR="00EE56C0" w:rsidRDefault="000F36A1">
            <w:pPr>
              <w:pStyle w:val="aff1"/>
              <w:rPr>
                <w:color w:val="auto"/>
                <w:kern w:val="0"/>
              </w:rPr>
            </w:pPr>
            <w:r>
              <w:rPr>
                <w:color w:val="auto"/>
                <w:kern w:val="0"/>
              </w:rPr>
              <w:t>项目</w:t>
            </w:r>
          </w:p>
        </w:tc>
        <w:tc>
          <w:tcPr>
            <w:tcW w:w="496" w:type="pct"/>
            <w:vAlign w:val="center"/>
          </w:tcPr>
          <w:p w:rsidR="00EE56C0" w:rsidRDefault="000F36A1">
            <w:pPr>
              <w:pStyle w:val="aff1"/>
              <w:rPr>
                <w:color w:val="auto"/>
              </w:rPr>
            </w:pPr>
            <w:r>
              <w:rPr>
                <w:color w:val="auto"/>
              </w:rPr>
              <w:t>COD</w:t>
            </w:r>
          </w:p>
        </w:tc>
        <w:tc>
          <w:tcPr>
            <w:tcW w:w="498" w:type="pct"/>
            <w:vAlign w:val="center"/>
          </w:tcPr>
          <w:p w:rsidR="00EE56C0" w:rsidRDefault="000F36A1">
            <w:pPr>
              <w:pStyle w:val="aff1"/>
              <w:rPr>
                <w:color w:val="auto"/>
              </w:rPr>
            </w:pPr>
            <w:r>
              <w:rPr>
                <w:color w:val="auto"/>
              </w:rPr>
              <w:t>SS</w:t>
            </w:r>
          </w:p>
        </w:tc>
        <w:tc>
          <w:tcPr>
            <w:tcW w:w="595" w:type="pct"/>
            <w:vAlign w:val="center"/>
          </w:tcPr>
          <w:p w:rsidR="00EE56C0" w:rsidRDefault="000F36A1">
            <w:pPr>
              <w:pStyle w:val="aff1"/>
              <w:rPr>
                <w:color w:val="auto"/>
              </w:rPr>
            </w:pPr>
            <w:r>
              <w:rPr>
                <w:color w:val="auto"/>
              </w:rPr>
              <w:t>NH</w:t>
            </w:r>
            <w:r>
              <w:rPr>
                <w:color w:val="auto"/>
                <w:vertAlign w:val="subscript"/>
              </w:rPr>
              <w:t>3</w:t>
            </w:r>
            <w:r>
              <w:rPr>
                <w:color w:val="auto"/>
              </w:rPr>
              <w:t>-N</w:t>
            </w:r>
          </w:p>
        </w:tc>
        <w:tc>
          <w:tcPr>
            <w:tcW w:w="498" w:type="pct"/>
            <w:vAlign w:val="center"/>
          </w:tcPr>
          <w:p w:rsidR="00EE56C0" w:rsidRDefault="000F36A1">
            <w:pPr>
              <w:pStyle w:val="aff1"/>
              <w:rPr>
                <w:color w:val="auto"/>
              </w:rPr>
            </w:pPr>
            <w:r>
              <w:rPr>
                <w:rFonts w:hint="eastAsia"/>
                <w:color w:val="auto"/>
              </w:rPr>
              <w:t>TP</w:t>
            </w:r>
          </w:p>
        </w:tc>
        <w:tc>
          <w:tcPr>
            <w:tcW w:w="496" w:type="pct"/>
            <w:tcBorders>
              <w:right w:val="single" w:sz="4" w:space="0" w:color="auto"/>
            </w:tcBorders>
            <w:vAlign w:val="center"/>
          </w:tcPr>
          <w:p w:rsidR="00EE56C0" w:rsidRDefault="000F36A1">
            <w:pPr>
              <w:pStyle w:val="aff1"/>
              <w:rPr>
                <w:color w:val="auto"/>
              </w:rPr>
            </w:pPr>
            <w:r>
              <w:rPr>
                <w:rFonts w:hint="eastAsia"/>
                <w:color w:val="auto"/>
              </w:rPr>
              <w:t>TN</w:t>
            </w:r>
          </w:p>
        </w:tc>
        <w:tc>
          <w:tcPr>
            <w:tcW w:w="545" w:type="pct"/>
            <w:tcBorders>
              <w:left w:val="single" w:sz="4" w:space="0" w:color="auto"/>
            </w:tcBorders>
            <w:vAlign w:val="center"/>
          </w:tcPr>
          <w:p w:rsidR="00EE56C0" w:rsidRDefault="00971E69">
            <w:pPr>
              <w:pStyle w:val="aff1"/>
              <w:rPr>
                <w:color w:val="auto"/>
              </w:rPr>
            </w:pPr>
            <w:r>
              <w:rPr>
                <w:rFonts w:hint="eastAsia"/>
                <w:color w:val="auto"/>
              </w:rPr>
              <w:t>动植物油</w:t>
            </w:r>
          </w:p>
        </w:tc>
      </w:tr>
      <w:tr w:rsidR="00EE56C0">
        <w:trPr>
          <w:trHeight w:val="425"/>
          <w:jc w:val="center"/>
        </w:trPr>
        <w:tc>
          <w:tcPr>
            <w:tcW w:w="474" w:type="pct"/>
            <w:vMerge w:val="restart"/>
            <w:vAlign w:val="center"/>
          </w:tcPr>
          <w:p w:rsidR="00EE56C0" w:rsidRDefault="000F36A1">
            <w:pPr>
              <w:pStyle w:val="afa"/>
            </w:pPr>
            <w:r>
              <w:t>1</w:t>
            </w:r>
          </w:p>
        </w:tc>
        <w:tc>
          <w:tcPr>
            <w:tcW w:w="405" w:type="pct"/>
            <w:vMerge w:val="restart"/>
            <w:tcBorders>
              <w:right w:val="single" w:sz="4" w:space="0" w:color="auto"/>
            </w:tcBorders>
            <w:vAlign w:val="center"/>
          </w:tcPr>
          <w:p w:rsidR="00EE56C0" w:rsidRDefault="000F36A1">
            <w:pPr>
              <w:pStyle w:val="afa"/>
            </w:pPr>
            <w:r>
              <w:t>总排口</w:t>
            </w:r>
          </w:p>
        </w:tc>
        <w:tc>
          <w:tcPr>
            <w:tcW w:w="993" w:type="pct"/>
            <w:tcBorders>
              <w:left w:val="single" w:sz="4" w:space="0" w:color="auto"/>
            </w:tcBorders>
            <w:vAlign w:val="center"/>
          </w:tcPr>
          <w:p w:rsidR="00EE56C0" w:rsidRDefault="000F36A1">
            <w:pPr>
              <w:pStyle w:val="afa"/>
            </w:pPr>
            <w:r>
              <w:rPr>
                <w:rFonts w:hint="eastAsia"/>
              </w:rPr>
              <w:t>一期</w:t>
            </w:r>
          </w:p>
        </w:tc>
        <w:tc>
          <w:tcPr>
            <w:tcW w:w="496" w:type="pct"/>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 xml:space="preserve">189 </w:t>
            </w:r>
          </w:p>
        </w:tc>
        <w:tc>
          <w:tcPr>
            <w:tcW w:w="498" w:type="pct"/>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139</w:t>
            </w:r>
          </w:p>
        </w:tc>
        <w:tc>
          <w:tcPr>
            <w:tcW w:w="595" w:type="pct"/>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18</w:t>
            </w:r>
          </w:p>
        </w:tc>
        <w:tc>
          <w:tcPr>
            <w:tcW w:w="498" w:type="pct"/>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3</w:t>
            </w:r>
          </w:p>
        </w:tc>
        <w:tc>
          <w:tcPr>
            <w:tcW w:w="496" w:type="pct"/>
            <w:tcBorders>
              <w:right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 xml:space="preserve">22 </w:t>
            </w:r>
          </w:p>
        </w:tc>
        <w:tc>
          <w:tcPr>
            <w:tcW w:w="545" w:type="pct"/>
            <w:tcBorders>
              <w:left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 xml:space="preserve">22 </w:t>
            </w:r>
          </w:p>
        </w:tc>
      </w:tr>
      <w:tr w:rsidR="00EE56C0">
        <w:trPr>
          <w:trHeight w:val="425"/>
          <w:jc w:val="center"/>
        </w:trPr>
        <w:tc>
          <w:tcPr>
            <w:tcW w:w="474" w:type="pct"/>
            <w:vMerge/>
            <w:tcBorders>
              <w:bottom w:val="single" w:sz="4" w:space="0" w:color="auto"/>
            </w:tcBorders>
            <w:vAlign w:val="center"/>
          </w:tcPr>
          <w:p w:rsidR="00EE56C0" w:rsidRDefault="00EE56C0">
            <w:pPr>
              <w:pStyle w:val="afa"/>
            </w:pPr>
          </w:p>
        </w:tc>
        <w:tc>
          <w:tcPr>
            <w:tcW w:w="405" w:type="pct"/>
            <w:vMerge/>
            <w:tcBorders>
              <w:right w:val="single" w:sz="4" w:space="0" w:color="auto"/>
            </w:tcBorders>
            <w:vAlign w:val="center"/>
          </w:tcPr>
          <w:p w:rsidR="00EE56C0" w:rsidRDefault="00EE56C0">
            <w:pPr>
              <w:pStyle w:val="afa"/>
            </w:pPr>
          </w:p>
        </w:tc>
        <w:tc>
          <w:tcPr>
            <w:tcW w:w="993" w:type="pct"/>
            <w:tcBorders>
              <w:left w:val="single" w:sz="4" w:space="0" w:color="auto"/>
            </w:tcBorders>
            <w:vAlign w:val="center"/>
          </w:tcPr>
          <w:p w:rsidR="00EE56C0" w:rsidRDefault="000F36A1">
            <w:pPr>
              <w:pStyle w:val="afa"/>
            </w:pPr>
            <w:r>
              <w:rPr>
                <w:rFonts w:hint="eastAsia"/>
              </w:rPr>
              <w:t>二期</w:t>
            </w:r>
          </w:p>
        </w:tc>
        <w:tc>
          <w:tcPr>
            <w:tcW w:w="496" w:type="pct"/>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 xml:space="preserve">178 </w:t>
            </w:r>
          </w:p>
        </w:tc>
        <w:tc>
          <w:tcPr>
            <w:tcW w:w="498" w:type="pct"/>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 xml:space="preserve">127 </w:t>
            </w:r>
          </w:p>
        </w:tc>
        <w:tc>
          <w:tcPr>
            <w:tcW w:w="595" w:type="pct"/>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 xml:space="preserve">17 </w:t>
            </w:r>
          </w:p>
        </w:tc>
        <w:tc>
          <w:tcPr>
            <w:tcW w:w="498" w:type="pct"/>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 xml:space="preserve">3 </w:t>
            </w:r>
          </w:p>
        </w:tc>
        <w:tc>
          <w:tcPr>
            <w:tcW w:w="496" w:type="pct"/>
            <w:tcBorders>
              <w:right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21</w:t>
            </w:r>
          </w:p>
        </w:tc>
        <w:tc>
          <w:tcPr>
            <w:tcW w:w="545" w:type="pct"/>
            <w:tcBorders>
              <w:left w:val="single" w:sz="4" w:space="0" w:color="auto"/>
            </w:tcBorders>
            <w:vAlign w:val="center"/>
          </w:tcPr>
          <w:p w:rsidR="00EE56C0" w:rsidRDefault="000F36A1">
            <w:pPr>
              <w:spacing w:line="240" w:lineRule="auto"/>
              <w:ind w:firstLineChars="0" w:firstLine="0"/>
              <w:jc w:val="center"/>
              <w:rPr>
                <w:color w:val="000000"/>
                <w:sz w:val="21"/>
                <w:szCs w:val="21"/>
                <w:u w:val="single"/>
              </w:rPr>
            </w:pPr>
            <w:r>
              <w:rPr>
                <w:color w:val="000000"/>
                <w:sz w:val="21"/>
                <w:szCs w:val="21"/>
                <w:u w:val="single"/>
              </w:rPr>
              <w:t xml:space="preserve">21 </w:t>
            </w:r>
          </w:p>
        </w:tc>
      </w:tr>
      <w:tr w:rsidR="00EE56C0">
        <w:trPr>
          <w:trHeight w:val="425"/>
          <w:jc w:val="center"/>
        </w:trPr>
        <w:tc>
          <w:tcPr>
            <w:tcW w:w="474" w:type="pct"/>
            <w:tcBorders>
              <w:top w:val="single" w:sz="4" w:space="0" w:color="auto"/>
            </w:tcBorders>
            <w:vAlign w:val="center"/>
          </w:tcPr>
          <w:p w:rsidR="00EE56C0" w:rsidRDefault="000F36A1">
            <w:pPr>
              <w:pStyle w:val="afa"/>
            </w:pPr>
            <w:r>
              <w:rPr>
                <w:rFonts w:hint="eastAsia"/>
              </w:rPr>
              <w:t>2</w:t>
            </w:r>
          </w:p>
        </w:tc>
        <w:tc>
          <w:tcPr>
            <w:tcW w:w="1398" w:type="pct"/>
            <w:gridSpan w:val="2"/>
            <w:vAlign w:val="center"/>
          </w:tcPr>
          <w:p w:rsidR="00EE56C0" w:rsidRDefault="000F36A1">
            <w:pPr>
              <w:pStyle w:val="afa"/>
            </w:pPr>
            <w:r>
              <w:rPr>
                <w:rFonts w:hint="eastAsia"/>
              </w:rPr>
              <w:t>新乡县综合污水处理厂收水水质要求</w:t>
            </w:r>
          </w:p>
        </w:tc>
        <w:tc>
          <w:tcPr>
            <w:tcW w:w="496" w:type="pct"/>
            <w:vAlign w:val="center"/>
          </w:tcPr>
          <w:p w:rsidR="00EE56C0" w:rsidRDefault="000F36A1">
            <w:pPr>
              <w:pStyle w:val="afa"/>
              <w:rPr>
                <w:u w:val="single"/>
              </w:rPr>
            </w:pPr>
            <w:r>
              <w:rPr>
                <w:rFonts w:hint="eastAsia"/>
                <w:u w:val="single"/>
              </w:rPr>
              <w:t>400</w:t>
            </w:r>
          </w:p>
        </w:tc>
        <w:tc>
          <w:tcPr>
            <w:tcW w:w="498" w:type="pct"/>
            <w:vAlign w:val="center"/>
          </w:tcPr>
          <w:p w:rsidR="00EE56C0" w:rsidRDefault="000F36A1">
            <w:pPr>
              <w:pStyle w:val="afa"/>
              <w:rPr>
                <w:u w:val="single"/>
              </w:rPr>
            </w:pPr>
            <w:r>
              <w:rPr>
                <w:rFonts w:hint="eastAsia"/>
                <w:u w:val="single"/>
              </w:rPr>
              <w:t>180</w:t>
            </w:r>
          </w:p>
        </w:tc>
        <w:tc>
          <w:tcPr>
            <w:tcW w:w="595" w:type="pct"/>
            <w:vAlign w:val="center"/>
          </w:tcPr>
          <w:p w:rsidR="00EE56C0" w:rsidRDefault="000F36A1">
            <w:pPr>
              <w:pStyle w:val="afa"/>
              <w:rPr>
                <w:u w:val="single"/>
              </w:rPr>
            </w:pPr>
            <w:r>
              <w:rPr>
                <w:rFonts w:hint="eastAsia"/>
                <w:u w:val="single"/>
              </w:rPr>
              <w:t>59</w:t>
            </w:r>
          </w:p>
        </w:tc>
        <w:tc>
          <w:tcPr>
            <w:tcW w:w="498" w:type="pct"/>
            <w:vAlign w:val="center"/>
          </w:tcPr>
          <w:p w:rsidR="00EE56C0" w:rsidRDefault="000F36A1">
            <w:pPr>
              <w:pStyle w:val="afa"/>
              <w:rPr>
                <w:u w:val="single"/>
              </w:rPr>
            </w:pPr>
            <w:r>
              <w:rPr>
                <w:rFonts w:hint="eastAsia"/>
                <w:u w:val="single"/>
              </w:rPr>
              <w:t>4</w:t>
            </w:r>
          </w:p>
        </w:tc>
        <w:tc>
          <w:tcPr>
            <w:tcW w:w="496" w:type="pct"/>
            <w:tcBorders>
              <w:right w:val="single" w:sz="4" w:space="0" w:color="auto"/>
            </w:tcBorders>
            <w:vAlign w:val="center"/>
          </w:tcPr>
          <w:p w:rsidR="00EE56C0" w:rsidRDefault="000F36A1">
            <w:pPr>
              <w:pStyle w:val="afa"/>
              <w:rPr>
                <w:u w:val="single"/>
              </w:rPr>
            </w:pPr>
            <w:r>
              <w:rPr>
                <w:rFonts w:hint="eastAsia"/>
                <w:u w:val="single"/>
              </w:rPr>
              <w:t>70</w:t>
            </w:r>
          </w:p>
        </w:tc>
        <w:tc>
          <w:tcPr>
            <w:tcW w:w="545" w:type="pct"/>
            <w:tcBorders>
              <w:left w:val="single" w:sz="4" w:space="0" w:color="auto"/>
            </w:tcBorders>
            <w:vAlign w:val="center"/>
          </w:tcPr>
          <w:p w:rsidR="00EE56C0" w:rsidRDefault="000F36A1">
            <w:pPr>
              <w:pStyle w:val="afa"/>
              <w:rPr>
                <w:u w:val="single"/>
              </w:rPr>
            </w:pPr>
            <w:r>
              <w:rPr>
                <w:rFonts w:hint="eastAsia"/>
                <w:u w:val="single"/>
              </w:rPr>
              <w:t>/</w:t>
            </w:r>
          </w:p>
        </w:tc>
      </w:tr>
      <w:tr w:rsidR="00EE56C0">
        <w:trPr>
          <w:trHeight w:val="425"/>
          <w:jc w:val="center"/>
        </w:trPr>
        <w:tc>
          <w:tcPr>
            <w:tcW w:w="1872" w:type="pct"/>
            <w:gridSpan w:val="3"/>
            <w:vAlign w:val="center"/>
          </w:tcPr>
          <w:p w:rsidR="00EE56C0" w:rsidRDefault="000F36A1">
            <w:pPr>
              <w:pStyle w:val="afa"/>
            </w:pPr>
            <w:r>
              <w:rPr>
                <w:rFonts w:hint="eastAsia"/>
              </w:rPr>
              <w:t>相符性</w:t>
            </w:r>
          </w:p>
        </w:tc>
        <w:tc>
          <w:tcPr>
            <w:tcW w:w="496" w:type="pct"/>
            <w:vAlign w:val="center"/>
          </w:tcPr>
          <w:p w:rsidR="00EE56C0" w:rsidRDefault="000F36A1">
            <w:pPr>
              <w:pStyle w:val="afa"/>
              <w:rPr>
                <w:bCs/>
              </w:rPr>
            </w:pPr>
            <w:r>
              <w:rPr>
                <w:bCs/>
              </w:rPr>
              <w:t>相符</w:t>
            </w:r>
          </w:p>
        </w:tc>
        <w:tc>
          <w:tcPr>
            <w:tcW w:w="498" w:type="pct"/>
            <w:vAlign w:val="center"/>
          </w:tcPr>
          <w:p w:rsidR="00EE56C0" w:rsidRDefault="000F36A1">
            <w:pPr>
              <w:pStyle w:val="afa"/>
            </w:pPr>
            <w:r>
              <w:t>相符</w:t>
            </w:r>
          </w:p>
        </w:tc>
        <w:tc>
          <w:tcPr>
            <w:tcW w:w="595" w:type="pct"/>
            <w:vAlign w:val="center"/>
          </w:tcPr>
          <w:p w:rsidR="00EE56C0" w:rsidRDefault="000F36A1">
            <w:pPr>
              <w:pStyle w:val="afa"/>
            </w:pPr>
            <w:r>
              <w:t>相符</w:t>
            </w:r>
          </w:p>
        </w:tc>
        <w:tc>
          <w:tcPr>
            <w:tcW w:w="498" w:type="pct"/>
            <w:vAlign w:val="center"/>
          </w:tcPr>
          <w:p w:rsidR="00EE56C0" w:rsidRDefault="000F36A1">
            <w:pPr>
              <w:pStyle w:val="afa"/>
            </w:pPr>
            <w:r>
              <w:t>相符</w:t>
            </w:r>
          </w:p>
        </w:tc>
        <w:tc>
          <w:tcPr>
            <w:tcW w:w="496" w:type="pct"/>
            <w:tcBorders>
              <w:right w:val="single" w:sz="4" w:space="0" w:color="auto"/>
            </w:tcBorders>
            <w:vAlign w:val="center"/>
          </w:tcPr>
          <w:p w:rsidR="00EE56C0" w:rsidRDefault="000F36A1">
            <w:pPr>
              <w:pStyle w:val="afa"/>
            </w:pPr>
            <w:r>
              <w:t>相符</w:t>
            </w:r>
          </w:p>
        </w:tc>
        <w:tc>
          <w:tcPr>
            <w:tcW w:w="545" w:type="pct"/>
            <w:tcBorders>
              <w:left w:val="single" w:sz="4" w:space="0" w:color="auto"/>
            </w:tcBorders>
            <w:vAlign w:val="center"/>
          </w:tcPr>
          <w:p w:rsidR="00EE56C0" w:rsidRDefault="000F36A1">
            <w:pPr>
              <w:pStyle w:val="afa"/>
            </w:pPr>
            <w:r>
              <w:t>相符</w:t>
            </w:r>
          </w:p>
        </w:tc>
      </w:tr>
    </w:tbl>
    <w:p w:rsidR="00EE56C0" w:rsidRDefault="000F36A1">
      <w:pPr>
        <w:ind w:firstLine="480"/>
      </w:pPr>
      <w:r>
        <w:t>由</w:t>
      </w:r>
      <w:r>
        <w:rPr>
          <w:rFonts w:hint="eastAsia"/>
        </w:rPr>
        <w:t>上</w:t>
      </w:r>
      <w:r>
        <w:t>表可</w:t>
      </w:r>
      <w:r>
        <w:rPr>
          <w:rFonts w:hint="eastAsia"/>
        </w:rPr>
        <w:t>知</w:t>
      </w:r>
      <w:r>
        <w:t>，总排口水质能够达</w:t>
      </w:r>
      <w:r>
        <w:rPr>
          <w:rFonts w:hint="eastAsia"/>
        </w:rPr>
        <w:t>满足新乡县综合污水处理厂</w:t>
      </w:r>
      <w:r>
        <w:t>进水水质要求。评价认为本项目废水排放不会</w:t>
      </w:r>
      <w:r>
        <w:rPr>
          <w:rFonts w:hint="eastAsia"/>
        </w:rPr>
        <w:t>对新乡县综合</w:t>
      </w:r>
      <w:r>
        <w:t>污水处理系统造成冲击或其他不利影响。</w:t>
      </w:r>
    </w:p>
    <w:p w:rsidR="00EE56C0" w:rsidRDefault="000F36A1">
      <w:pPr>
        <w:ind w:firstLine="480"/>
      </w:pPr>
      <w:r>
        <w:t>综上所述，本工程废水进入</w:t>
      </w:r>
      <w:r>
        <w:rPr>
          <w:rFonts w:hint="eastAsia"/>
        </w:rPr>
        <w:t>新乡县综合污水处理厂</w:t>
      </w:r>
      <w:r>
        <w:t>处理的方案可行。</w:t>
      </w:r>
      <w:r>
        <w:rPr>
          <w:rFonts w:hint="eastAsia"/>
        </w:rPr>
        <w:t>。</w:t>
      </w:r>
    </w:p>
    <w:p w:rsidR="00EE56C0" w:rsidRDefault="000F36A1">
      <w:pPr>
        <w:pStyle w:val="3"/>
        <w:spacing w:before="240" w:after="120"/>
      </w:pPr>
      <w:r>
        <w:rPr>
          <w:rFonts w:hint="eastAsia"/>
        </w:rPr>
        <w:t>5.2.5</w:t>
      </w:r>
      <w:r>
        <w:t>地表水环境</w:t>
      </w:r>
      <w:r>
        <w:rPr>
          <w:rFonts w:hint="eastAsia"/>
        </w:rPr>
        <w:t>现状</w:t>
      </w:r>
      <w:r>
        <w:t>分析</w:t>
      </w:r>
    </w:p>
    <w:p w:rsidR="00EE56C0" w:rsidRDefault="000F36A1">
      <w:pPr>
        <w:ind w:firstLine="480"/>
      </w:pPr>
      <w:r>
        <w:rPr>
          <w:rFonts w:hint="eastAsia"/>
        </w:rPr>
        <w:t>东孟姜女河水环境质量较差，根据</w:t>
      </w:r>
      <w:r>
        <w:t>东孟姜女河青龙路化肥厂东断面</w:t>
      </w:r>
      <w:r>
        <w:rPr>
          <w:rFonts w:hint="eastAsia"/>
        </w:rPr>
        <w:t>的监测资料可以看出，</w:t>
      </w:r>
      <w:r>
        <w:t>东孟姜女河</w:t>
      </w:r>
      <w:r>
        <w:rPr>
          <w:rFonts w:hint="eastAsia"/>
        </w:rPr>
        <w:t>地表水体</w:t>
      </w:r>
      <w:r>
        <w:rPr>
          <w:rFonts w:hint="eastAsia"/>
        </w:rPr>
        <w:t>COD</w:t>
      </w:r>
      <w:r>
        <w:rPr>
          <w:rFonts w:hint="eastAsia"/>
        </w:rPr>
        <w:t>、氨氮、总磷污染因子均不能满足《地表水环境质量标准》（</w:t>
      </w:r>
      <w:r>
        <w:t>GB3838-2002</w:t>
      </w:r>
      <w:r>
        <w:rPr>
          <w:rFonts w:hint="eastAsia"/>
        </w:rPr>
        <w:t>）</w:t>
      </w:r>
      <w:r>
        <w:rPr>
          <w:rFonts w:asciiTheme="minorEastAsia" w:eastAsiaTheme="minorEastAsia" w:hAnsiTheme="minorEastAsia" w:hint="eastAsia"/>
        </w:rPr>
        <w:t>Ⅳ</w:t>
      </w:r>
      <w:r>
        <w:rPr>
          <w:rFonts w:hint="eastAsia"/>
        </w:rPr>
        <w:t>类标准。</w:t>
      </w:r>
    </w:p>
    <w:p w:rsidR="00EE56C0" w:rsidRDefault="000F36A1">
      <w:pPr>
        <w:pStyle w:val="3"/>
        <w:spacing w:before="240" w:after="120"/>
      </w:pPr>
      <w:r>
        <w:rPr>
          <w:rFonts w:hint="eastAsia"/>
        </w:rPr>
        <w:t>5.2.6</w:t>
      </w:r>
      <w:r>
        <w:t>地表水环境影响分析</w:t>
      </w:r>
    </w:p>
    <w:p w:rsidR="00EE56C0" w:rsidRDefault="000F36A1">
      <w:pPr>
        <w:ind w:firstLine="480"/>
      </w:pPr>
      <w:r>
        <w:t>本项目</w:t>
      </w:r>
      <w:r>
        <w:rPr>
          <w:rFonts w:hint="eastAsia"/>
        </w:rPr>
        <w:t>建成后全厂</w:t>
      </w:r>
      <w:r>
        <w:t>废水</w:t>
      </w:r>
      <w:r>
        <w:rPr>
          <w:rFonts w:hint="eastAsia"/>
        </w:rPr>
        <w:t>排放</w:t>
      </w:r>
      <w:r>
        <w:t>量为</w:t>
      </w:r>
      <w:r>
        <w:rPr>
          <w:rFonts w:hint="eastAsia"/>
        </w:rPr>
        <w:t>一期</w:t>
      </w:r>
      <w:r>
        <w:rPr>
          <w:rFonts w:hint="eastAsia"/>
        </w:rPr>
        <w:t>15.408m</w:t>
      </w:r>
      <w:r>
        <w:rPr>
          <w:vertAlign w:val="superscript"/>
        </w:rPr>
        <w:t>3</w:t>
      </w:r>
      <w:r>
        <w:t>/d</w:t>
      </w:r>
      <w:r>
        <w:rPr>
          <w:rFonts w:hint="eastAsia"/>
        </w:rPr>
        <w:t>、二期</w:t>
      </w:r>
      <w:r>
        <w:rPr>
          <w:rFonts w:hint="eastAsia"/>
        </w:rPr>
        <w:t>20.818m</w:t>
      </w:r>
      <w:r>
        <w:rPr>
          <w:vertAlign w:val="superscript"/>
        </w:rPr>
        <w:t>3</w:t>
      </w:r>
      <w:r>
        <w:t>/d</w:t>
      </w:r>
      <w:r>
        <w:rPr>
          <w:rFonts w:hint="eastAsia"/>
        </w:rPr>
        <w:t>。</w:t>
      </w:r>
    </w:p>
    <w:p w:rsidR="00EE56C0" w:rsidRDefault="000F36A1">
      <w:pPr>
        <w:ind w:firstLine="480"/>
      </w:pPr>
      <w:r>
        <w:rPr>
          <w:rFonts w:hint="eastAsia"/>
          <w:szCs w:val="24"/>
        </w:rPr>
        <w:t>厂区总排口出水各污染因子排放浓度</w:t>
      </w:r>
      <w:r>
        <w:rPr>
          <w:rFonts w:hint="eastAsia"/>
          <w:b/>
          <w:szCs w:val="24"/>
          <w:u w:val="single"/>
        </w:rPr>
        <w:t>为一期：</w:t>
      </w:r>
      <w:r>
        <w:rPr>
          <w:b/>
          <w:szCs w:val="24"/>
          <w:u w:val="single"/>
        </w:rPr>
        <w:t>COD</w:t>
      </w:r>
      <w:r>
        <w:rPr>
          <w:rFonts w:hint="eastAsia"/>
          <w:b/>
          <w:szCs w:val="24"/>
          <w:u w:val="single"/>
        </w:rPr>
        <w:t>189</w:t>
      </w:r>
      <w:r>
        <w:rPr>
          <w:b/>
          <w:szCs w:val="24"/>
          <w:u w:val="single"/>
        </w:rPr>
        <w:t>mg/L</w:t>
      </w:r>
      <w:r>
        <w:rPr>
          <w:rFonts w:hint="eastAsia"/>
          <w:b/>
          <w:szCs w:val="24"/>
          <w:u w:val="single"/>
        </w:rPr>
        <w:t>、</w:t>
      </w:r>
      <w:r>
        <w:rPr>
          <w:b/>
          <w:szCs w:val="24"/>
          <w:u w:val="single"/>
        </w:rPr>
        <w:t>SS</w:t>
      </w:r>
      <w:r>
        <w:rPr>
          <w:rFonts w:hint="eastAsia"/>
          <w:b/>
          <w:szCs w:val="24"/>
          <w:u w:val="single"/>
        </w:rPr>
        <w:t>139</w:t>
      </w:r>
      <w:r>
        <w:rPr>
          <w:b/>
          <w:szCs w:val="24"/>
          <w:u w:val="single"/>
        </w:rPr>
        <w:t>mg/L</w:t>
      </w:r>
      <w:r>
        <w:rPr>
          <w:rFonts w:hint="eastAsia"/>
          <w:b/>
          <w:szCs w:val="24"/>
          <w:u w:val="single"/>
        </w:rPr>
        <w:t>、</w:t>
      </w:r>
      <w:r>
        <w:rPr>
          <w:rFonts w:hint="eastAsia"/>
          <w:b/>
          <w:szCs w:val="24"/>
          <w:u w:val="single"/>
        </w:rPr>
        <w:t>NH</w:t>
      </w:r>
      <w:r>
        <w:rPr>
          <w:rFonts w:hint="eastAsia"/>
          <w:b/>
          <w:szCs w:val="24"/>
          <w:u w:val="single"/>
          <w:vertAlign w:val="subscript"/>
        </w:rPr>
        <w:t>3</w:t>
      </w:r>
      <w:r>
        <w:rPr>
          <w:rFonts w:hint="eastAsia"/>
          <w:b/>
          <w:szCs w:val="24"/>
          <w:u w:val="single"/>
        </w:rPr>
        <w:t>-N18</w:t>
      </w:r>
      <w:r>
        <w:rPr>
          <w:b/>
          <w:szCs w:val="24"/>
          <w:u w:val="single"/>
        </w:rPr>
        <w:t>mg/L</w:t>
      </w:r>
      <w:r>
        <w:rPr>
          <w:rFonts w:hint="eastAsia"/>
          <w:b/>
          <w:szCs w:val="24"/>
          <w:u w:val="single"/>
        </w:rPr>
        <w:t>、</w:t>
      </w:r>
      <w:r>
        <w:rPr>
          <w:rFonts w:hint="eastAsia"/>
          <w:b/>
          <w:szCs w:val="24"/>
          <w:u w:val="single"/>
        </w:rPr>
        <w:t>TP3m</w:t>
      </w:r>
      <w:r>
        <w:rPr>
          <w:b/>
          <w:szCs w:val="24"/>
          <w:u w:val="single"/>
        </w:rPr>
        <w:t>g/L</w:t>
      </w:r>
      <w:r>
        <w:rPr>
          <w:rFonts w:hint="eastAsia"/>
          <w:b/>
          <w:szCs w:val="24"/>
          <w:u w:val="single"/>
        </w:rPr>
        <w:t>、</w:t>
      </w:r>
      <w:r>
        <w:rPr>
          <w:rFonts w:hint="eastAsia"/>
          <w:b/>
          <w:szCs w:val="24"/>
          <w:u w:val="single"/>
        </w:rPr>
        <w:t>TN22</w:t>
      </w:r>
      <w:r>
        <w:rPr>
          <w:b/>
          <w:szCs w:val="24"/>
          <w:u w:val="single"/>
        </w:rPr>
        <w:t>mg/L</w:t>
      </w:r>
      <w:r>
        <w:rPr>
          <w:rFonts w:hint="eastAsia"/>
          <w:b/>
          <w:szCs w:val="24"/>
          <w:u w:val="single"/>
        </w:rPr>
        <w:t>、动植物油</w:t>
      </w:r>
      <w:r>
        <w:rPr>
          <w:rFonts w:hint="eastAsia"/>
          <w:b/>
          <w:szCs w:val="24"/>
          <w:u w:val="single"/>
        </w:rPr>
        <w:t>22</w:t>
      </w:r>
      <w:r>
        <w:rPr>
          <w:b/>
          <w:szCs w:val="24"/>
          <w:u w:val="single"/>
        </w:rPr>
        <w:t>mg/L</w:t>
      </w:r>
      <w:r>
        <w:rPr>
          <w:rFonts w:hint="eastAsia"/>
          <w:b/>
          <w:szCs w:val="24"/>
          <w:u w:val="single"/>
        </w:rPr>
        <w:t>，二期：</w:t>
      </w:r>
      <w:r>
        <w:rPr>
          <w:b/>
          <w:szCs w:val="24"/>
          <w:u w:val="single"/>
        </w:rPr>
        <w:t>COD</w:t>
      </w:r>
      <w:r>
        <w:rPr>
          <w:rFonts w:hint="eastAsia"/>
          <w:b/>
          <w:szCs w:val="24"/>
          <w:u w:val="single"/>
        </w:rPr>
        <w:t>178</w:t>
      </w:r>
      <w:r>
        <w:rPr>
          <w:b/>
          <w:szCs w:val="24"/>
          <w:u w:val="single"/>
        </w:rPr>
        <w:t>mg/L</w:t>
      </w:r>
      <w:r>
        <w:rPr>
          <w:rFonts w:hint="eastAsia"/>
          <w:b/>
          <w:szCs w:val="24"/>
          <w:u w:val="single"/>
        </w:rPr>
        <w:t>、</w:t>
      </w:r>
      <w:r>
        <w:rPr>
          <w:b/>
          <w:szCs w:val="24"/>
          <w:u w:val="single"/>
        </w:rPr>
        <w:t>SS</w:t>
      </w:r>
      <w:r>
        <w:rPr>
          <w:rFonts w:hint="eastAsia"/>
          <w:b/>
          <w:szCs w:val="24"/>
          <w:u w:val="single"/>
        </w:rPr>
        <w:t>127</w:t>
      </w:r>
      <w:r>
        <w:rPr>
          <w:b/>
          <w:szCs w:val="24"/>
          <w:u w:val="single"/>
        </w:rPr>
        <w:t>mg/L</w:t>
      </w:r>
      <w:r>
        <w:rPr>
          <w:rFonts w:hint="eastAsia"/>
          <w:b/>
          <w:szCs w:val="24"/>
          <w:u w:val="single"/>
        </w:rPr>
        <w:t>、</w:t>
      </w:r>
      <w:r>
        <w:rPr>
          <w:rFonts w:hint="eastAsia"/>
          <w:b/>
          <w:szCs w:val="24"/>
          <w:u w:val="single"/>
        </w:rPr>
        <w:t>NH</w:t>
      </w:r>
      <w:r>
        <w:rPr>
          <w:rFonts w:hint="eastAsia"/>
          <w:b/>
          <w:szCs w:val="24"/>
          <w:u w:val="single"/>
          <w:vertAlign w:val="subscript"/>
        </w:rPr>
        <w:t>3</w:t>
      </w:r>
      <w:r>
        <w:rPr>
          <w:rFonts w:hint="eastAsia"/>
          <w:b/>
          <w:szCs w:val="24"/>
          <w:u w:val="single"/>
        </w:rPr>
        <w:t>-N07</w:t>
      </w:r>
      <w:r>
        <w:rPr>
          <w:b/>
          <w:szCs w:val="24"/>
          <w:u w:val="single"/>
        </w:rPr>
        <w:t>mg/L</w:t>
      </w:r>
      <w:r>
        <w:rPr>
          <w:rFonts w:hint="eastAsia"/>
          <w:b/>
          <w:szCs w:val="24"/>
          <w:u w:val="single"/>
        </w:rPr>
        <w:t>、</w:t>
      </w:r>
      <w:r>
        <w:rPr>
          <w:rFonts w:hint="eastAsia"/>
          <w:b/>
          <w:szCs w:val="24"/>
          <w:u w:val="single"/>
        </w:rPr>
        <w:t>TP3m</w:t>
      </w:r>
      <w:r>
        <w:rPr>
          <w:b/>
          <w:szCs w:val="24"/>
          <w:u w:val="single"/>
        </w:rPr>
        <w:t>g/L</w:t>
      </w:r>
      <w:r>
        <w:rPr>
          <w:rFonts w:hint="eastAsia"/>
          <w:b/>
          <w:szCs w:val="24"/>
          <w:u w:val="single"/>
        </w:rPr>
        <w:t>、</w:t>
      </w:r>
      <w:r>
        <w:rPr>
          <w:rFonts w:hint="eastAsia"/>
          <w:b/>
          <w:szCs w:val="24"/>
          <w:u w:val="single"/>
        </w:rPr>
        <w:t>TN21</w:t>
      </w:r>
      <w:r>
        <w:rPr>
          <w:b/>
          <w:szCs w:val="24"/>
          <w:u w:val="single"/>
        </w:rPr>
        <w:t>mg/L</w:t>
      </w:r>
      <w:r>
        <w:rPr>
          <w:rFonts w:hint="eastAsia"/>
          <w:b/>
          <w:szCs w:val="24"/>
          <w:u w:val="single"/>
        </w:rPr>
        <w:t>、动植物油</w:t>
      </w:r>
      <w:r>
        <w:rPr>
          <w:rFonts w:hint="eastAsia"/>
          <w:b/>
          <w:szCs w:val="24"/>
          <w:u w:val="single"/>
        </w:rPr>
        <w:t>3.86</w:t>
      </w:r>
      <w:r>
        <w:rPr>
          <w:b/>
          <w:szCs w:val="24"/>
          <w:u w:val="single"/>
        </w:rPr>
        <w:t>mg/L</w:t>
      </w:r>
      <w:r>
        <w:rPr>
          <w:rFonts w:hint="eastAsia"/>
          <w:b/>
          <w:szCs w:val="24"/>
          <w:u w:val="single"/>
        </w:rPr>
        <w:t>。</w:t>
      </w:r>
      <w:r>
        <w:rPr>
          <w:rFonts w:hint="eastAsia"/>
        </w:rPr>
        <w:t>总排口各项水质均能满足</w:t>
      </w:r>
      <w:r>
        <w:rPr>
          <w:bCs/>
        </w:rPr>
        <w:t>《污水排污城镇下水道水质标准》（</w:t>
      </w:r>
      <w:r>
        <w:rPr>
          <w:bCs/>
        </w:rPr>
        <w:t>GB/T31962-2015</w:t>
      </w:r>
      <w:r>
        <w:rPr>
          <w:bCs/>
        </w:rPr>
        <w:t>）</w:t>
      </w:r>
      <w:r>
        <w:rPr>
          <w:bCs/>
        </w:rPr>
        <w:t>C</w:t>
      </w:r>
      <w:r>
        <w:rPr>
          <w:bCs/>
        </w:rPr>
        <w:t>级标准</w:t>
      </w:r>
      <w:r>
        <w:rPr>
          <w:szCs w:val="24"/>
        </w:rPr>
        <w:t>（</w:t>
      </w:r>
      <w:r>
        <w:rPr>
          <w:bCs/>
        </w:rPr>
        <w:t>COD300mg/L</w:t>
      </w:r>
      <w:r>
        <w:rPr>
          <w:bCs/>
        </w:rPr>
        <w:t>、</w:t>
      </w:r>
      <w:r>
        <w:rPr>
          <w:bCs/>
        </w:rPr>
        <w:t>SS250mg/L</w:t>
      </w:r>
      <w:r>
        <w:rPr>
          <w:bCs/>
        </w:rPr>
        <w:t>、</w:t>
      </w:r>
      <w:r>
        <w:rPr>
          <w:bCs/>
        </w:rPr>
        <w:t>NH</w:t>
      </w:r>
      <w:r>
        <w:rPr>
          <w:bCs/>
          <w:vertAlign w:val="subscript"/>
        </w:rPr>
        <w:t>3</w:t>
      </w:r>
      <w:r>
        <w:rPr>
          <w:bCs/>
        </w:rPr>
        <w:t>-N25mg/L</w:t>
      </w:r>
      <w:r>
        <w:rPr>
          <w:bCs/>
        </w:rPr>
        <w:t>、</w:t>
      </w:r>
      <w:r>
        <w:rPr>
          <w:bCs/>
        </w:rPr>
        <w:t>TN45mg/L</w:t>
      </w:r>
      <w:r>
        <w:rPr>
          <w:bCs/>
        </w:rPr>
        <w:t>、</w:t>
      </w:r>
      <w:r>
        <w:rPr>
          <w:bCs/>
        </w:rPr>
        <w:t>TP5.0mg/L</w:t>
      </w:r>
      <w:r>
        <w:rPr>
          <w:bCs/>
        </w:rPr>
        <w:t>、动</w:t>
      </w:r>
      <w:r>
        <w:rPr>
          <w:bCs/>
        </w:rPr>
        <w:lastRenderedPageBreak/>
        <w:t>植物油</w:t>
      </w:r>
      <w:r>
        <w:rPr>
          <w:bCs/>
        </w:rPr>
        <w:t>100mg/L</w:t>
      </w:r>
      <w:r>
        <w:rPr>
          <w:szCs w:val="24"/>
        </w:rPr>
        <w:t>）</w:t>
      </w:r>
      <w:r>
        <w:rPr>
          <w:rFonts w:hint="eastAsia"/>
        </w:rPr>
        <w:t>及新乡县综合污水处理厂的收水水质要求，且项目排放废水量占其处理负荷量比例较小、总处理量未超出设计处理负荷量，不会对新乡县综合污水处理厂的出水水质产生影响。新乡县综合污水处理厂设计出水可满足《地表水环境质量标准》（</w:t>
      </w:r>
      <w:r>
        <w:rPr>
          <w:rFonts w:hint="eastAsia"/>
        </w:rPr>
        <w:t>GB3838-2002</w:t>
      </w:r>
      <w:r>
        <w:rPr>
          <w:rFonts w:hint="eastAsia"/>
        </w:rPr>
        <w:t>）</w:t>
      </w:r>
      <w:r>
        <w:rPr>
          <w:rFonts w:hint="eastAsia"/>
        </w:rPr>
        <w:t>V</w:t>
      </w:r>
      <w:r>
        <w:rPr>
          <w:rFonts w:hint="eastAsia"/>
        </w:rPr>
        <w:t>类标准。因此评价认为：项目废水经处理后，对地表水环境的影响可接受。</w:t>
      </w:r>
    </w:p>
    <w:p w:rsidR="00EE56C0" w:rsidRDefault="000F36A1">
      <w:pPr>
        <w:pStyle w:val="2"/>
        <w:ind w:firstLine="301"/>
      </w:pPr>
      <w:bookmarkStart w:id="335" w:name="_Toc25400917"/>
      <w:r>
        <w:rPr>
          <w:rFonts w:hint="eastAsia"/>
        </w:rPr>
        <w:t>5.3</w:t>
      </w:r>
      <w:r>
        <w:rPr>
          <w:rFonts w:hint="eastAsia"/>
        </w:rPr>
        <w:t>地下水环境影响分析</w:t>
      </w:r>
      <w:bookmarkEnd w:id="335"/>
    </w:p>
    <w:p w:rsidR="00EE56C0" w:rsidRDefault="000F36A1">
      <w:pPr>
        <w:pStyle w:val="3"/>
        <w:spacing w:before="240" w:after="120"/>
      </w:pPr>
      <w:r>
        <w:rPr>
          <w:rFonts w:hint="eastAsia"/>
        </w:rPr>
        <w:t>5.3.1</w:t>
      </w:r>
      <w:r>
        <w:rPr>
          <w:rFonts w:hint="eastAsia"/>
        </w:rPr>
        <w:t>地下水水文地质情况</w:t>
      </w:r>
    </w:p>
    <w:p w:rsidR="00EE56C0" w:rsidRDefault="000F36A1">
      <w:pPr>
        <w:pStyle w:val="4"/>
        <w:ind w:left="120" w:firstLine="241"/>
      </w:pPr>
      <w:r>
        <w:rPr>
          <w:rFonts w:hint="eastAsia"/>
        </w:rPr>
        <w:t>5.3.1.1</w:t>
      </w:r>
      <w:r>
        <w:rPr>
          <w:rFonts w:hint="eastAsia"/>
        </w:rPr>
        <w:t>评价区水文地质情况</w:t>
      </w:r>
    </w:p>
    <w:p w:rsidR="00EE56C0" w:rsidRDefault="000F36A1">
      <w:pPr>
        <w:ind w:firstLine="480"/>
        <w:rPr>
          <w:highlight w:val="yellow"/>
        </w:rPr>
      </w:pPr>
      <w:r>
        <w:t>根据区域水文地质情况及勘查资料，</w:t>
      </w:r>
      <w:r>
        <w:rPr>
          <w:rFonts w:hint="eastAsia"/>
        </w:rPr>
        <w:t>新乡县</w:t>
      </w:r>
      <w:r>
        <w:t>属于黄河冲积平原，主要由黄河冲积泛滥的沉积物形成，地层均属第四系地层，岩性主要为粉土、粉质粘土、粘土、粉细砂、细砂和中细砂，场地内无不良地形地貌及不良地质作用。该区域上浅层地下水为松散岩类孔隙水、碎屑岩裂隙水，主要接受大气降水入渗和侧向径流补给，排泄以侧向径流与人工开采为主要方式。地下水流向的总趋势是由西</w:t>
      </w:r>
      <w:r>
        <w:rPr>
          <w:rFonts w:hint="eastAsia"/>
        </w:rPr>
        <w:t>南</w:t>
      </w:r>
      <w:r>
        <w:t>向东</w:t>
      </w:r>
      <w:r>
        <w:rPr>
          <w:rFonts w:hint="eastAsia"/>
        </w:rPr>
        <w:t>北</w:t>
      </w:r>
      <w:r>
        <w:t>流</w:t>
      </w:r>
      <w:r>
        <w:rPr>
          <w:rFonts w:hint="eastAsia"/>
        </w:rPr>
        <w:t>。</w:t>
      </w:r>
    </w:p>
    <w:p w:rsidR="00EE56C0" w:rsidRDefault="000F36A1">
      <w:pPr>
        <w:pStyle w:val="a3"/>
        <w:spacing w:line="520" w:lineRule="exact"/>
        <w:ind w:firstLine="480"/>
        <w:rPr>
          <w:sz w:val="24"/>
        </w:rPr>
      </w:pPr>
      <w:r>
        <w:rPr>
          <w:sz w:val="24"/>
        </w:rPr>
        <w:t>新乡县地下水资源丰富，经探测表明：该地区浅层水顶板埋深</w:t>
      </w:r>
      <w:r>
        <w:rPr>
          <w:sz w:val="24"/>
        </w:rPr>
        <w:t>4~8m</w:t>
      </w:r>
      <w:r>
        <w:rPr>
          <w:sz w:val="24"/>
        </w:rPr>
        <w:t>。底板埋深</w:t>
      </w:r>
      <w:r>
        <w:rPr>
          <w:sz w:val="24"/>
        </w:rPr>
        <w:t>71~87m</w:t>
      </w:r>
      <w:r>
        <w:rPr>
          <w:sz w:val="24"/>
        </w:rPr>
        <w:t>，以中砂为主；中层水顶板埋深</w:t>
      </w:r>
      <w:r>
        <w:rPr>
          <w:sz w:val="24"/>
        </w:rPr>
        <w:t>73~97m</w:t>
      </w:r>
      <w:r>
        <w:rPr>
          <w:sz w:val="24"/>
        </w:rPr>
        <w:t>，底板埋深</w:t>
      </w:r>
      <w:r>
        <w:rPr>
          <w:sz w:val="24"/>
        </w:rPr>
        <w:t>124~137m</w:t>
      </w:r>
      <w:r>
        <w:rPr>
          <w:sz w:val="24"/>
        </w:rPr>
        <w:t>，以中细</w:t>
      </w:r>
      <w:r>
        <w:rPr>
          <w:rFonts w:hint="eastAsia"/>
          <w:sz w:val="24"/>
        </w:rPr>
        <w:t>砂</w:t>
      </w:r>
      <w:r>
        <w:rPr>
          <w:sz w:val="24"/>
        </w:rPr>
        <w:t>为主；水位年变幅</w:t>
      </w:r>
      <w:r>
        <w:rPr>
          <w:sz w:val="24"/>
        </w:rPr>
        <w:t>3</w:t>
      </w:r>
      <w:r>
        <w:rPr>
          <w:sz w:val="24"/>
        </w:rPr>
        <w:t>～</w:t>
      </w:r>
      <w:r>
        <w:rPr>
          <w:sz w:val="24"/>
        </w:rPr>
        <w:t>6m</w:t>
      </w:r>
      <w:r>
        <w:rPr>
          <w:sz w:val="24"/>
        </w:rPr>
        <w:t>。地下水化学类型以</w:t>
      </w:r>
      <w:r>
        <w:rPr>
          <w:sz w:val="24"/>
        </w:rPr>
        <w:t>HCO</w:t>
      </w:r>
      <w:r>
        <w:rPr>
          <w:sz w:val="24"/>
          <w:vertAlign w:val="subscript"/>
        </w:rPr>
        <w:t>3</w:t>
      </w:r>
      <w:r>
        <w:rPr>
          <w:sz w:val="24"/>
        </w:rPr>
        <w:t>-Ca·Mg</w:t>
      </w:r>
      <w:r>
        <w:rPr>
          <w:sz w:val="24"/>
        </w:rPr>
        <w:t>或</w:t>
      </w:r>
      <w:r>
        <w:rPr>
          <w:sz w:val="24"/>
        </w:rPr>
        <w:t>HCO</w:t>
      </w:r>
      <w:r>
        <w:rPr>
          <w:sz w:val="24"/>
          <w:vertAlign w:val="subscript"/>
        </w:rPr>
        <w:t>3</w:t>
      </w:r>
      <w:r>
        <w:rPr>
          <w:sz w:val="24"/>
        </w:rPr>
        <w:t>·CL-Ca·Mg</w:t>
      </w:r>
      <w:r>
        <w:rPr>
          <w:sz w:val="24"/>
        </w:rPr>
        <w:t>型为主，矿化度小于</w:t>
      </w:r>
      <w:r>
        <w:rPr>
          <w:sz w:val="24"/>
        </w:rPr>
        <w:t>1g/L</w:t>
      </w:r>
      <w:r>
        <w:rPr>
          <w:sz w:val="24"/>
        </w:rPr>
        <w:t>。</w:t>
      </w:r>
    </w:p>
    <w:p w:rsidR="00EE56C0" w:rsidRDefault="000F36A1">
      <w:pPr>
        <w:ind w:firstLine="480"/>
      </w:pPr>
      <w:r>
        <w:rPr>
          <w:rFonts w:hint="eastAsia"/>
        </w:rPr>
        <w:t>根据本次评价委托河南永飞检测科技有限公司</w:t>
      </w:r>
      <w:r>
        <w:rPr>
          <w:rFonts w:hint="eastAsia"/>
        </w:rPr>
        <w:t>2021</w:t>
      </w:r>
      <w:r>
        <w:rPr>
          <w:rFonts w:hint="eastAsia"/>
        </w:rPr>
        <w:t>年</w:t>
      </w:r>
      <w:r>
        <w:rPr>
          <w:rFonts w:hint="eastAsia"/>
        </w:rPr>
        <w:t>4</w:t>
      </w:r>
      <w:r>
        <w:rPr>
          <w:rFonts w:hint="eastAsia"/>
        </w:rPr>
        <w:t>月</w:t>
      </w:r>
      <w:r>
        <w:rPr>
          <w:rFonts w:hint="eastAsia"/>
        </w:rPr>
        <w:t>5</w:t>
      </w:r>
      <w:r>
        <w:rPr>
          <w:rFonts w:hint="eastAsia"/>
        </w:rPr>
        <w:t>日</w:t>
      </w:r>
      <w:r>
        <w:rPr>
          <w:rFonts w:hint="eastAsia"/>
        </w:rPr>
        <w:t>~7</w:t>
      </w:r>
      <w:r>
        <w:rPr>
          <w:rFonts w:hint="eastAsia"/>
        </w:rPr>
        <w:t>日对评价区域进行的监测统计结果，评价区域内三个监测点位的地下水水质因子</w:t>
      </w:r>
      <w:r>
        <w:rPr>
          <w:kern w:val="2"/>
          <w:szCs w:val="28"/>
        </w:rPr>
        <w:t>pH</w:t>
      </w:r>
      <w:r>
        <w:rPr>
          <w:kern w:val="2"/>
          <w:szCs w:val="28"/>
        </w:rPr>
        <w:t>、</w:t>
      </w:r>
      <w:r>
        <w:rPr>
          <w:kern w:val="2"/>
          <w:szCs w:val="28"/>
        </w:rPr>
        <w:t>K</w:t>
      </w:r>
      <w:r>
        <w:rPr>
          <w:kern w:val="2"/>
          <w:szCs w:val="28"/>
          <w:vertAlign w:val="superscript"/>
        </w:rPr>
        <w:t>+</w:t>
      </w:r>
      <w:r>
        <w:rPr>
          <w:kern w:val="2"/>
          <w:szCs w:val="28"/>
        </w:rPr>
        <w:t>、</w:t>
      </w:r>
      <w:r>
        <w:rPr>
          <w:kern w:val="2"/>
          <w:szCs w:val="28"/>
        </w:rPr>
        <w:t>Na</w:t>
      </w:r>
      <w:r>
        <w:rPr>
          <w:kern w:val="2"/>
          <w:szCs w:val="28"/>
          <w:vertAlign w:val="superscript"/>
        </w:rPr>
        <w:t>+</w:t>
      </w:r>
      <w:r>
        <w:rPr>
          <w:kern w:val="2"/>
          <w:szCs w:val="28"/>
        </w:rPr>
        <w:t>、</w:t>
      </w:r>
      <w:r>
        <w:rPr>
          <w:kern w:val="2"/>
          <w:szCs w:val="28"/>
        </w:rPr>
        <w:t>Ca</w:t>
      </w:r>
      <w:r>
        <w:rPr>
          <w:kern w:val="2"/>
          <w:szCs w:val="28"/>
          <w:vertAlign w:val="superscript"/>
        </w:rPr>
        <w:t>2+</w:t>
      </w:r>
      <w:r>
        <w:rPr>
          <w:kern w:val="2"/>
          <w:szCs w:val="28"/>
        </w:rPr>
        <w:t>、</w:t>
      </w:r>
      <w:r>
        <w:rPr>
          <w:kern w:val="2"/>
          <w:szCs w:val="28"/>
        </w:rPr>
        <w:t>Mg</w:t>
      </w:r>
      <w:r>
        <w:rPr>
          <w:kern w:val="2"/>
          <w:szCs w:val="28"/>
          <w:vertAlign w:val="superscript"/>
        </w:rPr>
        <w:t>2+</w:t>
      </w:r>
      <w:r>
        <w:rPr>
          <w:kern w:val="2"/>
          <w:szCs w:val="28"/>
        </w:rPr>
        <w:t>、</w:t>
      </w:r>
      <w:r>
        <w:rPr>
          <w:kern w:val="2"/>
          <w:szCs w:val="28"/>
        </w:rPr>
        <w:t>CO</w:t>
      </w:r>
      <w:r>
        <w:rPr>
          <w:kern w:val="2"/>
          <w:szCs w:val="28"/>
          <w:vertAlign w:val="subscript"/>
        </w:rPr>
        <w:t>3</w:t>
      </w:r>
      <w:r>
        <w:rPr>
          <w:kern w:val="2"/>
          <w:szCs w:val="28"/>
          <w:vertAlign w:val="superscript"/>
        </w:rPr>
        <w:t>2-</w:t>
      </w:r>
      <w:r>
        <w:rPr>
          <w:kern w:val="2"/>
          <w:szCs w:val="28"/>
        </w:rPr>
        <w:t>、</w:t>
      </w:r>
      <w:r>
        <w:rPr>
          <w:kern w:val="2"/>
          <w:szCs w:val="28"/>
        </w:rPr>
        <w:t>HCO</w:t>
      </w:r>
      <w:r>
        <w:rPr>
          <w:kern w:val="2"/>
          <w:szCs w:val="28"/>
          <w:vertAlign w:val="superscript"/>
        </w:rPr>
        <w:t>3-</w:t>
      </w:r>
      <w:bookmarkStart w:id="336" w:name="_GoBack"/>
      <w:r>
        <w:rPr>
          <w:rFonts w:hint="eastAsia"/>
          <w:kern w:val="2"/>
          <w:szCs w:val="28"/>
        </w:rPr>
        <w:t>、</w:t>
      </w:r>
      <w:bookmarkEnd w:id="336"/>
      <w:r>
        <w:rPr>
          <w:rFonts w:hint="eastAsia"/>
          <w:kern w:val="2"/>
          <w:szCs w:val="28"/>
        </w:rPr>
        <w:t>Cl</w:t>
      </w:r>
      <w:r>
        <w:rPr>
          <w:rFonts w:hint="eastAsia"/>
          <w:kern w:val="2"/>
          <w:szCs w:val="28"/>
          <w:vertAlign w:val="superscript"/>
        </w:rPr>
        <w:t>-</w:t>
      </w:r>
      <w:r>
        <w:rPr>
          <w:rFonts w:hint="eastAsia"/>
          <w:kern w:val="2"/>
          <w:szCs w:val="28"/>
        </w:rPr>
        <w:t>、</w:t>
      </w:r>
      <w:r>
        <w:rPr>
          <w:rFonts w:hint="eastAsia"/>
          <w:kern w:val="2"/>
          <w:szCs w:val="28"/>
        </w:rPr>
        <w:t>S</w:t>
      </w:r>
      <w:r>
        <w:rPr>
          <w:kern w:val="2"/>
          <w:szCs w:val="28"/>
        </w:rPr>
        <w:t>O</w:t>
      </w:r>
      <w:r>
        <w:rPr>
          <w:rFonts w:hint="eastAsia"/>
          <w:kern w:val="2"/>
          <w:szCs w:val="28"/>
          <w:vertAlign w:val="subscript"/>
        </w:rPr>
        <w:t>4</w:t>
      </w:r>
      <w:r>
        <w:rPr>
          <w:kern w:val="2"/>
          <w:szCs w:val="28"/>
          <w:vertAlign w:val="superscript"/>
        </w:rPr>
        <w:t>2-</w:t>
      </w:r>
      <w:r>
        <w:rPr>
          <w:rFonts w:hint="eastAsia"/>
          <w:kern w:val="2"/>
          <w:szCs w:val="28"/>
        </w:rPr>
        <w:t>、</w:t>
      </w:r>
      <w:r>
        <w:rPr>
          <w:kern w:val="2"/>
          <w:szCs w:val="28"/>
        </w:rPr>
        <w:t>氨氮</w:t>
      </w:r>
      <w:r>
        <w:rPr>
          <w:rFonts w:hint="eastAsia"/>
          <w:kern w:val="2"/>
          <w:szCs w:val="28"/>
        </w:rPr>
        <w:t>、亚硝酸盐、硝酸盐、挥发性酚类、总硬度、汞、铬</w:t>
      </w:r>
      <w:r>
        <w:rPr>
          <w:kern w:val="2"/>
          <w:szCs w:val="28"/>
        </w:rPr>
        <w:t>(</w:t>
      </w:r>
      <w:r>
        <w:rPr>
          <w:rFonts w:hint="eastAsia"/>
          <w:kern w:val="2"/>
          <w:szCs w:val="28"/>
        </w:rPr>
        <w:t>六价</w:t>
      </w:r>
      <w:r>
        <w:rPr>
          <w:kern w:val="2"/>
          <w:szCs w:val="28"/>
        </w:rPr>
        <w:t>)</w:t>
      </w:r>
      <w:r>
        <w:rPr>
          <w:rFonts w:hint="eastAsia"/>
          <w:kern w:val="2"/>
          <w:szCs w:val="28"/>
        </w:rPr>
        <w:t>、铅、氟、镉、铁、锰、溶解性总固体、高锰酸盐指数、氰化物、砷、动植物油</w:t>
      </w:r>
      <w:r>
        <w:rPr>
          <w:rFonts w:hint="eastAsia"/>
        </w:rPr>
        <w:t>均能满足</w:t>
      </w:r>
      <w:r>
        <w:t>《地下水质量标准》（</w:t>
      </w:r>
      <w:r>
        <w:t>GB/T14843-</w:t>
      </w:r>
      <w:r>
        <w:rPr>
          <w:rFonts w:hint="eastAsia"/>
        </w:rPr>
        <w:t>2017</w:t>
      </w:r>
      <w:r>
        <w:t>）</w:t>
      </w:r>
      <w:r>
        <w:rPr>
          <w:rFonts w:cs="宋体" w:hint="eastAsia"/>
        </w:rPr>
        <w:t>Ⅲ</w:t>
      </w:r>
      <w:r>
        <w:t>类标准</w:t>
      </w:r>
      <w:r>
        <w:rPr>
          <w:rFonts w:hint="eastAsia"/>
        </w:rPr>
        <w:t>的要求。</w:t>
      </w:r>
    </w:p>
    <w:p w:rsidR="00EE56C0" w:rsidRDefault="000F36A1">
      <w:pPr>
        <w:pStyle w:val="4"/>
        <w:ind w:left="120" w:firstLine="241"/>
      </w:pPr>
      <w:r>
        <w:rPr>
          <w:rFonts w:hint="eastAsia"/>
        </w:rPr>
        <w:lastRenderedPageBreak/>
        <w:t>5.3.1.2</w:t>
      </w:r>
      <w:r>
        <w:t>项目场地水文地质</w:t>
      </w:r>
    </w:p>
    <w:p w:rsidR="00EE56C0" w:rsidRDefault="000F36A1">
      <w:pPr>
        <w:pStyle w:val="aff4"/>
      </w:pPr>
      <w:r>
        <w:t>本项目位</w:t>
      </w:r>
      <w:r>
        <w:rPr>
          <w:rFonts w:hint="eastAsia"/>
        </w:rPr>
        <w:t>于</w:t>
      </w:r>
      <w:r>
        <w:t>新乡经济技术产业集聚区，该区域属于黄河冲积平原，地势平坦，东略高北略低，自然地面高程在</w:t>
      </w:r>
      <w:r>
        <w:t>72.0</w:t>
      </w:r>
      <w:r>
        <w:t>～</w:t>
      </w:r>
      <w:r>
        <w:t>78.0m</w:t>
      </w:r>
      <w:r>
        <w:t>之间，自然坡度小于</w:t>
      </w:r>
      <w:r>
        <w:t>1/1000</w:t>
      </w:r>
      <w:r>
        <w:rPr>
          <w:rFonts w:hint="eastAsia"/>
        </w:rPr>
        <w:t>根据本公司岩土工程勘察报告，该场地在揭落深度范内均为第四系沉积层。根据物理力学特征共划分</w:t>
      </w:r>
      <w:r>
        <w:rPr>
          <w:rFonts w:hint="eastAsia"/>
        </w:rPr>
        <w:t>4</w:t>
      </w:r>
      <w:r>
        <w:rPr>
          <w:rFonts w:hint="eastAsia"/>
        </w:rPr>
        <w:t>个地质单元层，其各地质单元层的岩土特征如下：</w:t>
      </w:r>
    </w:p>
    <w:p w:rsidR="00EE56C0" w:rsidRDefault="000F36A1">
      <w:pPr>
        <w:pStyle w:val="aff4"/>
      </w:pPr>
      <w:r>
        <w:rPr>
          <w:rFonts w:hint="eastAsia"/>
        </w:rPr>
        <w:t>第</w:t>
      </w:r>
      <w:r>
        <w:rPr>
          <w:rFonts w:hint="eastAsia"/>
        </w:rPr>
        <w:t>1</w:t>
      </w:r>
      <w:r>
        <w:rPr>
          <w:rFonts w:hint="eastAsia"/>
        </w:rPr>
        <w:t>单元层：素填土</w:t>
      </w:r>
    </w:p>
    <w:p w:rsidR="00EE56C0" w:rsidRDefault="000F36A1">
      <w:pPr>
        <w:pStyle w:val="aff4"/>
      </w:pPr>
      <w:r>
        <w:rPr>
          <w:rFonts w:hint="eastAsia"/>
        </w:rPr>
        <w:t>褐黄色，粉土为主，含少量植物根系，局部夹土。拟建区中部含较多建筑垃圾。场区普遍分布，厚度</w:t>
      </w:r>
      <w:r>
        <w:rPr>
          <w:rFonts w:hint="eastAsia"/>
        </w:rPr>
        <w:t>0.30-2.70m</w:t>
      </w:r>
      <w:r>
        <w:rPr>
          <w:rFonts w:hint="eastAsia"/>
        </w:rPr>
        <w:t>，平均</w:t>
      </w:r>
      <w:r>
        <w:rPr>
          <w:rFonts w:hint="eastAsia"/>
        </w:rPr>
        <w:t>1.35m</w:t>
      </w:r>
      <w:r>
        <w:rPr>
          <w:rFonts w:hint="eastAsia"/>
        </w:rPr>
        <w:t>；层底标高：</w:t>
      </w:r>
      <w:r>
        <w:rPr>
          <w:rFonts w:hint="eastAsia"/>
        </w:rPr>
        <w:t>76.1578.86m</w:t>
      </w:r>
      <w:r>
        <w:rPr>
          <w:rFonts w:hint="eastAsia"/>
        </w:rPr>
        <w:t>，平均</w:t>
      </w:r>
      <w:r>
        <w:rPr>
          <w:rFonts w:hint="eastAsia"/>
        </w:rPr>
        <w:t>7797m</w:t>
      </w:r>
      <w:r>
        <w:rPr>
          <w:rFonts w:hint="eastAsia"/>
        </w:rPr>
        <w:t>；层底埋深</w:t>
      </w:r>
      <w:r>
        <w:rPr>
          <w:rFonts w:hint="eastAsia"/>
        </w:rPr>
        <w:t>0.30-2.70m</w:t>
      </w:r>
      <w:r>
        <w:rPr>
          <w:rFonts w:hint="eastAsia"/>
        </w:rPr>
        <w:t>，平均</w:t>
      </w:r>
      <w:r>
        <w:rPr>
          <w:rFonts w:hint="eastAsia"/>
        </w:rPr>
        <w:t>1.35m</w:t>
      </w:r>
      <w:r>
        <w:rPr>
          <w:rFonts w:hint="eastAsia"/>
        </w:rPr>
        <w:t>。</w:t>
      </w:r>
    </w:p>
    <w:p w:rsidR="00EE56C0" w:rsidRDefault="000F36A1">
      <w:pPr>
        <w:pStyle w:val="aff4"/>
      </w:pPr>
      <w:r>
        <w:rPr>
          <w:rFonts w:hint="eastAsia"/>
        </w:rPr>
        <w:t>第</w:t>
      </w:r>
      <w:r>
        <w:rPr>
          <w:rFonts w:hint="eastAsia"/>
        </w:rPr>
        <w:t>2</w:t>
      </w:r>
      <w:r>
        <w:rPr>
          <w:rFonts w:hint="eastAsia"/>
        </w:rPr>
        <w:t>单元层：粉土</w:t>
      </w:r>
    </w:p>
    <w:p w:rsidR="00EE56C0" w:rsidRDefault="000F36A1">
      <w:pPr>
        <w:pStyle w:val="aff4"/>
      </w:pPr>
      <w:r>
        <w:rPr>
          <w:rFonts w:hint="eastAsia"/>
        </w:rPr>
        <w:t>褐黄色，稍湿，稍密，摇振反应中等，干强度低。局部偶夹薄层粉质粘土，厚度小于</w:t>
      </w:r>
      <w:r>
        <w:rPr>
          <w:rFonts w:hint="eastAsia"/>
        </w:rPr>
        <w:t>0.2m</w:t>
      </w:r>
      <w:r>
        <w:rPr>
          <w:rFonts w:hint="eastAsia"/>
        </w:rPr>
        <w:t>，可塑，光滑，干强度、性高。下部变为粉砂。场区普遍分布，厚度</w:t>
      </w:r>
      <w:r>
        <w:rPr>
          <w:rFonts w:hint="eastAsia"/>
        </w:rPr>
        <w:t>0.70-3.50m</w:t>
      </w:r>
      <w:r>
        <w:rPr>
          <w:rFonts w:hint="eastAsia"/>
        </w:rPr>
        <w:t>，平均</w:t>
      </w:r>
      <w:r>
        <w:rPr>
          <w:rFonts w:hint="eastAsia"/>
        </w:rPr>
        <w:t>2.06m</w:t>
      </w:r>
      <w:r>
        <w:rPr>
          <w:rFonts w:hint="eastAsia"/>
        </w:rPr>
        <w:t>；层底标高</w:t>
      </w:r>
      <w:r>
        <w:rPr>
          <w:rFonts w:hint="eastAsia"/>
        </w:rPr>
        <w:t>74.81-714m</w:t>
      </w:r>
      <w:r>
        <w:rPr>
          <w:rFonts w:hint="eastAsia"/>
        </w:rPr>
        <w:t>，平均</w:t>
      </w:r>
      <w:r>
        <w:rPr>
          <w:rFonts w:hint="eastAsia"/>
        </w:rPr>
        <w:t>75.91m</w:t>
      </w:r>
      <w:r>
        <w:rPr>
          <w:rFonts w:hint="eastAsia"/>
        </w:rPr>
        <w:t>；层底埋深</w:t>
      </w:r>
      <w:r>
        <w:rPr>
          <w:rFonts w:hint="eastAsia"/>
        </w:rPr>
        <w:t>2.204.40m</w:t>
      </w:r>
      <w:r>
        <w:rPr>
          <w:rFonts w:hint="eastAsia"/>
        </w:rPr>
        <w:t>，平均</w:t>
      </w:r>
      <w:r>
        <w:rPr>
          <w:rFonts w:hint="eastAsia"/>
        </w:rPr>
        <w:t>3.4lm</w:t>
      </w:r>
      <w:r>
        <w:rPr>
          <w:rFonts w:hint="eastAsia"/>
        </w:rPr>
        <w:t>。</w:t>
      </w:r>
    </w:p>
    <w:p w:rsidR="00EE56C0" w:rsidRDefault="000F36A1">
      <w:pPr>
        <w:pStyle w:val="aff4"/>
      </w:pPr>
      <w:r>
        <w:rPr>
          <w:rFonts w:hint="eastAsia"/>
        </w:rPr>
        <w:t>第</w:t>
      </w:r>
      <w:r>
        <w:rPr>
          <w:rFonts w:hint="eastAsia"/>
        </w:rPr>
        <w:t>3</w:t>
      </w:r>
      <w:r>
        <w:rPr>
          <w:rFonts w:hint="eastAsia"/>
        </w:rPr>
        <w:t>单元层：粉砂</w:t>
      </w:r>
    </w:p>
    <w:p w:rsidR="00EE56C0" w:rsidRDefault="000F36A1">
      <w:pPr>
        <w:pStyle w:val="aff4"/>
      </w:pPr>
      <w:r>
        <w:rPr>
          <w:rFonts w:hint="eastAsia"/>
        </w:rPr>
        <w:t>褐黄色，稍湿，中密，主要成分为石英、长石、云母等，暗色矿物次之。场区普分布，厚度</w:t>
      </w:r>
      <w:r>
        <w:rPr>
          <w:rFonts w:hint="eastAsia"/>
        </w:rPr>
        <w:t>1.10-6.60m</w:t>
      </w:r>
      <w:r>
        <w:rPr>
          <w:rFonts w:hint="eastAsia"/>
        </w:rPr>
        <w:t>，平均</w:t>
      </w:r>
      <w:r>
        <w:rPr>
          <w:rFonts w:hint="eastAsia"/>
        </w:rPr>
        <w:t>3.67m</w:t>
      </w:r>
      <w:r>
        <w:rPr>
          <w:rFonts w:hint="eastAsia"/>
        </w:rPr>
        <w:t>；层底标高</w:t>
      </w:r>
      <w:r>
        <w:rPr>
          <w:rFonts w:hint="eastAsia"/>
        </w:rPr>
        <w:t>70.83-74.50m</w:t>
      </w:r>
      <w:r>
        <w:rPr>
          <w:rFonts w:hint="eastAsia"/>
        </w:rPr>
        <w:t>，平均</w:t>
      </w:r>
      <w:r>
        <w:rPr>
          <w:rFonts w:hint="eastAsia"/>
        </w:rPr>
        <w:t>72.24m</w:t>
      </w:r>
      <w:r>
        <w:rPr>
          <w:rFonts w:hint="eastAsia"/>
        </w:rPr>
        <w:t>；层底埋深</w:t>
      </w:r>
      <w:r>
        <w:rPr>
          <w:rFonts w:hint="eastAsia"/>
        </w:rPr>
        <w:t>4.80-8.60m</w:t>
      </w:r>
      <w:r>
        <w:rPr>
          <w:rFonts w:hint="eastAsia"/>
        </w:rPr>
        <w:t>，平均</w:t>
      </w:r>
      <w:r>
        <w:rPr>
          <w:rFonts w:hint="eastAsia"/>
        </w:rPr>
        <w:t>7.08m</w:t>
      </w:r>
      <w:r>
        <w:rPr>
          <w:rFonts w:hint="eastAsia"/>
        </w:rPr>
        <w:t>。</w:t>
      </w:r>
    </w:p>
    <w:p w:rsidR="00EE56C0" w:rsidRDefault="000F36A1">
      <w:pPr>
        <w:pStyle w:val="aff4"/>
      </w:pPr>
      <w:r>
        <w:rPr>
          <w:rFonts w:hint="eastAsia"/>
        </w:rPr>
        <w:t>第</w:t>
      </w:r>
      <w:r>
        <w:rPr>
          <w:rFonts w:hint="eastAsia"/>
        </w:rPr>
        <w:t>4</w:t>
      </w:r>
      <w:r>
        <w:rPr>
          <w:rFonts w:hint="eastAsia"/>
        </w:rPr>
        <w:t>单元层：粉砂</w:t>
      </w:r>
    </w:p>
    <w:p w:rsidR="00EE56C0" w:rsidRDefault="000F36A1">
      <w:pPr>
        <w:pStyle w:val="aff4"/>
      </w:pPr>
      <w:r>
        <w:rPr>
          <w:rFonts w:hint="eastAsia"/>
        </w:rPr>
        <w:t>褐黄色，饱和，密实，主要成分为石英、长石、云母等，暗色矿物次之。该层未穿透，最大揭露深度为</w:t>
      </w:r>
      <w:r>
        <w:rPr>
          <w:rFonts w:hint="eastAsia"/>
        </w:rPr>
        <w:t>14.00m</w:t>
      </w:r>
    </w:p>
    <w:p w:rsidR="00EE56C0" w:rsidRDefault="000F36A1">
      <w:pPr>
        <w:ind w:firstLine="480"/>
      </w:pPr>
      <w:r>
        <w:rPr>
          <w:rFonts w:hint="eastAsia"/>
        </w:rPr>
        <w:t>场区内地下水属孔隙潜水类型，其补给来源为大气降水和侧向迳流，以蒸发、开采和侧向迳流为主要排泄途径，水位年变化幅度</w:t>
      </w:r>
      <w:r>
        <w:rPr>
          <w:rFonts w:hint="eastAsia"/>
        </w:rPr>
        <w:t>1.5m</w:t>
      </w:r>
      <w:r>
        <w:rPr>
          <w:rFonts w:hint="eastAsia"/>
        </w:rPr>
        <w:t>左右。观察期间，场区内地下水稳定水位埋深</w:t>
      </w:r>
      <w:r>
        <w:rPr>
          <w:rFonts w:hint="eastAsia"/>
        </w:rPr>
        <w:t>10.6m</w:t>
      </w:r>
      <w:r>
        <w:rPr>
          <w:rFonts w:hint="eastAsia"/>
        </w:rPr>
        <w:t>左右。</w:t>
      </w:r>
      <w:r>
        <w:t>场地</w:t>
      </w:r>
      <w:r>
        <w:rPr>
          <w:rFonts w:hint="eastAsia"/>
        </w:rPr>
        <w:t>工程</w:t>
      </w:r>
      <w:r>
        <w:t>地质剖面图见图</w:t>
      </w:r>
      <w:r>
        <w:rPr>
          <w:rFonts w:hint="eastAsia"/>
        </w:rPr>
        <w:t>5-5</w:t>
      </w:r>
      <w:r>
        <w:rPr>
          <w:rFonts w:hint="eastAsia"/>
        </w:rPr>
        <w:t>。</w:t>
      </w:r>
    </w:p>
    <w:p w:rsidR="00EE56C0" w:rsidRDefault="00EE56C0">
      <w:pPr>
        <w:ind w:firstLine="480"/>
        <w:sectPr w:rsidR="00EE56C0">
          <w:footerReference w:type="default" r:id="rId94"/>
          <w:type w:val="continuous"/>
          <w:pgSz w:w="11907" w:h="16840"/>
          <w:pgMar w:top="1440" w:right="1797" w:bottom="1440" w:left="1797" w:header="907" w:footer="907" w:gutter="0"/>
          <w:cols w:space="720"/>
          <w:docGrid w:linePitch="380"/>
        </w:sectPr>
      </w:pPr>
    </w:p>
    <w:p w:rsidR="00EE56C0" w:rsidRDefault="000F36A1">
      <w:pPr>
        <w:ind w:firstLine="480"/>
      </w:pPr>
      <w:r>
        <w:rPr>
          <w:rFonts w:hint="eastAsia"/>
          <w:noProof/>
        </w:rPr>
        <w:lastRenderedPageBreak/>
        <w:drawing>
          <wp:anchor distT="0" distB="0" distL="114300" distR="114300" simplePos="0" relativeHeight="251675136" behindDoc="0" locked="0" layoutInCell="1" allowOverlap="1">
            <wp:simplePos x="0" y="0"/>
            <wp:positionH relativeFrom="column">
              <wp:posOffset>987425</wp:posOffset>
            </wp:positionH>
            <wp:positionV relativeFrom="paragraph">
              <wp:posOffset>-144780</wp:posOffset>
            </wp:positionV>
            <wp:extent cx="6913880" cy="4980940"/>
            <wp:effectExtent l="19050" t="0" r="1137" b="0"/>
            <wp:wrapNone/>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noChangeArrowheads="1"/>
                    </pic:cNvPicPr>
                  </pic:nvPicPr>
                  <pic:blipFill>
                    <a:blip r:embed="rId95"/>
                    <a:srcRect/>
                    <a:stretch>
                      <a:fillRect/>
                    </a:stretch>
                  </pic:blipFill>
                  <pic:spPr>
                    <a:xfrm>
                      <a:off x="0" y="0"/>
                      <a:ext cx="6914013" cy="4980990"/>
                    </a:xfrm>
                    <a:prstGeom prst="rect">
                      <a:avLst/>
                    </a:prstGeom>
                    <a:noFill/>
                    <a:ln w="9525">
                      <a:noFill/>
                      <a:miter lim="800000"/>
                      <a:headEnd/>
                      <a:tailEnd/>
                    </a:ln>
                  </pic:spPr>
                </pic:pic>
              </a:graphicData>
            </a:graphic>
          </wp:anchor>
        </w:drawing>
      </w:r>
    </w:p>
    <w:p w:rsidR="00EE56C0" w:rsidRDefault="00EE56C0">
      <w:pPr>
        <w:ind w:firstLine="480"/>
      </w:pPr>
    </w:p>
    <w:p w:rsidR="00EE56C0" w:rsidRDefault="00EE56C0">
      <w:pPr>
        <w:ind w:firstLine="480"/>
      </w:pPr>
    </w:p>
    <w:p w:rsidR="00EE56C0" w:rsidRDefault="00EE56C0">
      <w:pPr>
        <w:ind w:firstLine="480"/>
      </w:pPr>
    </w:p>
    <w:p w:rsidR="00EE56C0" w:rsidRDefault="00EE56C0">
      <w:pPr>
        <w:ind w:firstLine="480"/>
      </w:pPr>
    </w:p>
    <w:p w:rsidR="00EE56C0" w:rsidRDefault="00EE56C0">
      <w:pPr>
        <w:ind w:firstLine="480"/>
      </w:pPr>
    </w:p>
    <w:p w:rsidR="00EE56C0" w:rsidRDefault="00EE56C0">
      <w:pPr>
        <w:ind w:firstLine="480"/>
      </w:pPr>
    </w:p>
    <w:p w:rsidR="00EE56C0" w:rsidRDefault="00EE56C0">
      <w:pPr>
        <w:ind w:firstLine="480"/>
      </w:pPr>
    </w:p>
    <w:p w:rsidR="00EE56C0" w:rsidRDefault="00EE56C0">
      <w:pPr>
        <w:ind w:firstLine="480"/>
      </w:pPr>
    </w:p>
    <w:p w:rsidR="00EE56C0" w:rsidRDefault="00EE56C0">
      <w:pPr>
        <w:ind w:firstLine="480"/>
      </w:pPr>
    </w:p>
    <w:p w:rsidR="00EE56C0" w:rsidRDefault="00EE56C0">
      <w:pPr>
        <w:ind w:firstLine="480"/>
      </w:pPr>
    </w:p>
    <w:p w:rsidR="00EE56C0" w:rsidRDefault="00EE56C0">
      <w:pPr>
        <w:ind w:firstLine="480"/>
      </w:pPr>
    </w:p>
    <w:p w:rsidR="00EE56C0" w:rsidRDefault="00EE56C0">
      <w:pPr>
        <w:pStyle w:val="aff8"/>
      </w:pPr>
    </w:p>
    <w:p w:rsidR="00EE56C0" w:rsidRDefault="00EE56C0">
      <w:pPr>
        <w:pStyle w:val="aff8"/>
      </w:pPr>
    </w:p>
    <w:p w:rsidR="00EE56C0" w:rsidRDefault="00EE56C0">
      <w:pPr>
        <w:pStyle w:val="aff8"/>
      </w:pPr>
    </w:p>
    <w:p w:rsidR="00EE56C0" w:rsidRDefault="00EE56C0">
      <w:pPr>
        <w:pStyle w:val="aff8"/>
      </w:pPr>
    </w:p>
    <w:p w:rsidR="00EE56C0" w:rsidRDefault="00EE56C0">
      <w:pPr>
        <w:pStyle w:val="aff8"/>
      </w:pPr>
    </w:p>
    <w:p w:rsidR="00EE56C0" w:rsidRDefault="000F36A1">
      <w:pPr>
        <w:pStyle w:val="aff8"/>
        <w:sectPr w:rsidR="00EE56C0">
          <w:pgSz w:w="16840" w:h="11907" w:orient="landscape"/>
          <w:pgMar w:top="1797" w:right="1440" w:bottom="1797" w:left="1440" w:header="907" w:footer="907" w:gutter="0"/>
          <w:cols w:space="720"/>
          <w:docGrid w:linePitch="380"/>
        </w:sectPr>
      </w:pPr>
      <w:r>
        <w:t>图</w:t>
      </w:r>
      <w:r>
        <w:rPr>
          <w:rFonts w:hint="eastAsia"/>
        </w:rPr>
        <w:t xml:space="preserve">5-5   </w:t>
      </w:r>
      <w:r>
        <w:rPr>
          <w:rFonts w:hint="eastAsia"/>
        </w:rPr>
        <w:t>工程地质剖面</w:t>
      </w:r>
      <w:r>
        <w:t>图</w:t>
      </w:r>
    </w:p>
    <w:p w:rsidR="00EE56C0" w:rsidRDefault="000F36A1">
      <w:pPr>
        <w:pStyle w:val="3"/>
        <w:spacing w:before="240" w:after="120"/>
      </w:pPr>
      <w:r>
        <w:rPr>
          <w:rFonts w:hint="eastAsia"/>
        </w:rPr>
        <w:lastRenderedPageBreak/>
        <w:t>5.3.2</w:t>
      </w:r>
      <w:r>
        <w:t>地下水水质</w:t>
      </w:r>
    </w:p>
    <w:p w:rsidR="00EE56C0" w:rsidRDefault="000F36A1">
      <w:pPr>
        <w:ind w:firstLine="480"/>
      </w:pPr>
      <w:r>
        <w:t>根据地下水监测数据可知，地下水监测点中</w:t>
      </w:r>
      <w:r>
        <w:rPr>
          <w:rFonts w:hint="eastAsia"/>
        </w:rPr>
        <w:t>各监测点位均未出现超标情况，可以</w:t>
      </w:r>
      <w:r>
        <w:t>能够满足《地下水质量标准》（</w:t>
      </w:r>
      <w:r>
        <w:t>GB/T14848-2017</w:t>
      </w:r>
      <w:r>
        <w:t>）</w:t>
      </w:r>
      <w:r w:rsidR="00340837">
        <w:fldChar w:fldCharType="begin"/>
      </w:r>
      <w:r>
        <w:instrText xml:space="preserve"> = 3 \* ROMAN </w:instrText>
      </w:r>
      <w:r w:rsidR="00340837">
        <w:fldChar w:fldCharType="separate"/>
      </w:r>
      <w:r>
        <w:t>III</w:t>
      </w:r>
      <w:r w:rsidR="00340837">
        <w:fldChar w:fldCharType="end"/>
      </w:r>
      <w:r>
        <w:t>类水质标准要求。监测数据表明，区域地下水环境状况良好</w:t>
      </w:r>
      <w:r>
        <w:rPr>
          <w:rFonts w:hint="eastAsia"/>
        </w:rPr>
        <w:t>，</w:t>
      </w:r>
      <w:r>
        <w:t>项目运行生产不会</w:t>
      </w:r>
      <w:r>
        <w:rPr>
          <w:rFonts w:hint="eastAsia"/>
        </w:rPr>
        <w:t>致使地下水超标因子现状恶化</w:t>
      </w:r>
      <w:r>
        <w:t>。</w:t>
      </w:r>
    </w:p>
    <w:p w:rsidR="00EE56C0" w:rsidRDefault="000F36A1">
      <w:pPr>
        <w:pStyle w:val="3"/>
        <w:spacing w:before="240" w:after="120"/>
      </w:pPr>
      <w:r>
        <w:rPr>
          <w:rFonts w:hint="eastAsia"/>
        </w:rPr>
        <w:t>5.3.3</w:t>
      </w:r>
      <w:r>
        <w:t>评价等级</w:t>
      </w:r>
    </w:p>
    <w:p w:rsidR="00EE56C0" w:rsidRDefault="000F36A1">
      <w:pPr>
        <w:ind w:firstLine="480"/>
      </w:pPr>
      <w:r>
        <w:t>根据《环境影响评价技术导则（地下水环境）》（</w:t>
      </w:r>
      <w:r>
        <w:t>HJ610-2016</w:t>
      </w:r>
      <w:r>
        <w:t>）规定，地下水评价工作等级的划分依据建设项目行业分类和地下水环境敏感程度分级进行判定。评价工作等级分级表如下：</w:t>
      </w:r>
    </w:p>
    <w:p w:rsidR="00EE56C0" w:rsidRDefault="000F36A1">
      <w:pPr>
        <w:pStyle w:val="afd"/>
        <w:spacing w:before="120" w:after="120"/>
        <w:ind w:firstLine="482"/>
      </w:pPr>
      <w:r>
        <w:t>表</w:t>
      </w:r>
      <w:r>
        <w:rPr>
          <w:rFonts w:hint="eastAsia"/>
        </w:rPr>
        <w:t>5-3</w:t>
      </w:r>
      <w:r w:rsidR="005767FB">
        <w:rPr>
          <w:rFonts w:hint="eastAsia"/>
        </w:rPr>
        <w:t>7</w:t>
      </w:r>
      <w:r>
        <w:rPr>
          <w:rFonts w:hint="eastAsia"/>
        </w:rPr>
        <w:t xml:space="preserve"> </w:t>
      </w:r>
      <w:r>
        <w:t xml:space="preserve">     </w:t>
      </w:r>
      <w:r>
        <w:t>地下水环境评价工作等级分级表</w:t>
      </w:r>
    </w:p>
    <w:tbl>
      <w:tblPr>
        <w:tblW w:w="0" w:type="auto"/>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tblPr>
      <w:tblGrid>
        <w:gridCol w:w="2943"/>
        <w:gridCol w:w="1998"/>
        <w:gridCol w:w="1697"/>
        <w:gridCol w:w="1890"/>
      </w:tblGrid>
      <w:tr w:rsidR="00EE56C0">
        <w:trPr>
          <w:trHeight w:val="397"/>
        </w:trPr>
        <w:tc>
          <w:tcPr>
            <w:tcW w:w="2943" w:type="dxa"/>
            <w:tcBorders>
              <w:tl2br w:val="single" w:sz="4" w:space="0" w:color="auto"/>
            </w:tcBorders>
            <w:vAlign w:val="center"/>
          </w:tcPr>
          <w:p w:rsidR="00EE56C0" w:rsidRDefault="000F36A1">
            <w:pPr>
              <w:pStyle w:val="aff1"/>
              <w:rPr>
                <w:color w:val="auto"/>
              </w:rPr>
            </w:pPr>
            <w:r>
              <w:rPr>
                <w:color w:val="auto"/>
              </w:rPr>
              <w:t xml:space="preserve">                </w:t>
            </w:r>
            <w:r>
              <w:rPr>
                <w:color w:val="auto"/>
              </w:rPr>
              <w:t>项目类别</w:t>
            </w:r>
          </w:p>
          <w:p w:rsidR="00EE56C0" w:rsidRDefault="000F36A1">
            <w:pPr>
              <w:pStyle w:val="aff1"/>
              <w:jc w:val="both"/>
              <w:rPr>
                <w:color w:val="auto"/>
              </w:rPr>
            </w:pPr>
            <w:r>
              <w:rPr>
                <w:color w:val="auto"/>
              </w:rPr>
              <w:t>环境敏感程度</w:t>
            </w:r>
          </w:p>
        </w:tc>
        <w:tc>
          <w:tcPr>
            <w:tcW w:w="1998" w:type="dxa"/>
            <w:vAlign w:val="center"/>
          </w:tcPr>
          <w:p w:rsidR="00EE56C0" w:rsidRDefault="00340837">
            <w:pPr>
              <w:pStyle w:val="aff1"/>
              <w:rPr>
                <w:color w:val="auto"/>
              </w:rPr>
            </w:pPr>
            <w:r>
              <w:rPr>
                <w:color w:val="auto"/>
              </w:rPr>
              <w:fldChar w:fldCharType="begin"/>
            </w:r>
            <w:r w:rsidR="000F36A1">
              <w:rPr>
                <w:color w:val="auto"/>
              </w:rPr>
              <w:instrText xml:space="preserve"> = 1 \* ROMAN \* MERGEFORMAT </w:instrText>
            </w:r>
            <w:r>
              <w:rPr>
                <w:color w:val="auto"/>
              </w:rPr>
              <w:fldChar w:fldCharType="separate"/>
            </w:r>
            <w:r w:rsidR="000F36A1">
              <w:rPr>
                <w:color w:val="auto"/>
              </w:rPr>
              <w:t>I</w:t>
            </w:r>
            <w:r>
              <w:rPr>
                <w:color w:val="auto"/>
              </w:rPr>
              <w:fldChar w:fldCharType="end"/>
            </w:r>
            <w:r w:rsidR="000F36A1">
              <w:rPr>
                <w:color w:val="auto"/>
              </w:rPr>
              <w:t>类项目</w:t>
            </w:r>
          </w:p>
        </w:tc>
        <w:tc>
          <w:tcPr>
            <w:tcW w:w="1697" w:type="dxa"/>
            <w:vAlign w:val="center"/>
          </w:tcPr>
          <w:p w:rsidR="00EE56C0" w:rsidRDefault="00340837">
            <w:pPr>
              <w:pStyle w:val="aff1"/>
              <w:rPr>
                <w:color w:val="auto"/>
              </w:rPr>
            </w:pPr>
            <w:r>
              <w:rPr>
                <w:color w:val="auto"/>
              </w:rPr>
              <w:fldChar w:fldCharType="begin"/>
            </w:r>
            <w:r w:rsidR="000F36A1">
              <w:rPr>
                <w:color w:val="auto"/>
              </w:rPr>
              <w:instrText xml:space="preserve"> = 2 \* ROMAN \* MERGEFORMAT </w:instrText>
            </w:r>
            <w:r>
              <w:rPr>
                <w:color w:val="auto"/>
              </w:rPr>
              <w:fldChar w:fldCharType="separate"/>
            </w:r>
            <w:r w:rsidR="000F36A1">
              <w:rPr>
                <w:color w:val="auto"/>
              </w:rPr>
              <w:t>II</w:t>
            </w:r>
            <w:r>
              <w:rPr>
                <w:color w:val="auto"/>
              </w:rPr>
              <w:fldChar w:fldCharType="end"/>
            </w:r>
            <w:r w:rsidR="000F36A1">
              <w:rPr>
                <w:color w:val="auto"/>
              </w:rPr>
              <w:t>类项目</w:t>
            </w:r>
          </w:p>
        </w:tc>
        <w:tc>
          <w:tcPr>
            <w:tcW w:w="1890" w:type="dxa"/>
            <w:vAlign w:val="center"/>
          </w:tcPr>
          <w:p w:rsidR="00EE56C0" w:rsidRDefault="00340837">
            <w:pPr>
              <w:pStyle w:val="aff1"/>
              <w:rPr>
                <w:color w:val="auto"/>
              </w:rPr>
            </w:pPr>
            <w:r>
              <w:rPr>
                <w:color w:val="auto"/>
              </w:rPr>
              <w:fldChar w:fldCharType="begin"/>
            </w:r>
            <w:r w:rsidR="000F36A1">
              <w:rPr>
                <w:color w:val="auto"/>
              </w:rPr>
              <w:instrText xml:space="preserve"> = 3 \* ROMAN \* MERGEFORMAT </w:instrText>
            </w:r>
            <w:r>
              <w:rPr>
                <w:color w:val="auto"/>
              </w:rPr>
              <w:fldChar w:fldCharType="separate"/>
            </w:r>
            <w:r w:rsidR="000F36A1">
              <w:rPr>
                <w:color w:val="auto"/>
              </w:rPr>
              <w:t>III</w:t>
            </w:r>
            <w:r>
              <w:rPr>
                <w:color w:val="auto"/>
              </w:rPr>
              <w:fldChar w:fldCharType="end"/>
            </w:r>
            <w:r w:rsidR="000F36A1">
              <w:rPr>
                <w:color w:val="auto"/>
              </w:rPr>
              <w:t>类项目</w:t>
            </w:r>
          </w:p>
        </w:tc>
      </w:tr>
      <w:tr w:rsidR="00EE56C0">
        <w:trPr>
          <w:trHeight w:val="397"/>
        </w:trPr>
        <w:tc>
          <w:tcPr>
            <w:tcW w:w="2943" w:type="dxa"/>
            <w:vAlign w:val="center"/>
          </w:tcPr>
          <w:p w:rsidR="00EE56C0" w:rsidRDefault="000F36A1">
            <w:pPr>
              <w:pStyle w:val="afa"/>
            </w:pPr>
            <w:r>
              <w:t>敏感</w:t>
            </w:r>
          </w:p>
        </w:tc>
        <w:tc>
          <w:tcPr>
            <w:tcW w:w="1998" w:type="dxa"/>
            <w:vAlign w:val="center"/>
          </w:tcPr>
          <w:p w:rsidR="00EE56C0" w:rsidRDefault="000F36A1">
            <w:pPr>
              <w:pStyle w:val="afa"/>
            </w:pPr>
            <w:r>
              <w:t>一</w:t>
            </w:r>
          </w:p>
        </w:tc>
        <w:tc>
          <w:tcPr>
            <w:tcW w:w="1697" w:type="dxa"/>
            <w:vAlign w:val="center"/>
          </w:tcPr>
          <w:p w:rsidR="00EE56C0" w:rsidRDefault="000F36A1">
            <w:pPr>
              <w:pStyle w:val="afa"/>
            </w:pPr>
            <w:r>
              <w:t>一</w:t>
            </w:r>
          </w:p>
        </w:tc>
        <w:tc>
          <w:tcPr>
            <w:tcW w:w="1890" w:type="dxa"/>
            <w:vAlign w:val="center"/>
          </w:tcPr>
          <w:p w:rsidR="00EE56C0" w:rsidRDefault="000F36A1">
            <w:pPr>
              <w:pStyle w:val="afa"/>
            </w:pPr>
            <w:r>
              <w:t>二</w:t>
            </w:r>
          </w:p>
        </w:tc>
      </w:tr>
      <w:tr w:rsidR="00EE56C0">
        <w:trPr>
          <w:trHeight w:val="397"/>
        </w:trPr>
        <w:tc>
          <w:tcPr>
            <w:tcW w:w="2943" w:type="dxa"/>
            <w:vAlign w:val="center"/>
          </w:tcPr>
          <w:p w:rsidR="00EE56C0" w:rsidRDefault="000F36A1">
            <w:pPr>
              <w:pStyle w:val="afa"/>
            </w:pPr>
            <w:r>
              <w:t>较敏感</w:t>
            </w:r>
          </w:p>
        </w:tc>
        <w:tc>
          <w:tcPr>
            <w:tcW w:w="1998" w:type="dxa"/>
            <w:vAlign w:val="center"/>
          </w:tcPr>
          <w:p w:rsidR="00EE56C0" w:rsidRDefault="000F36A1">
            <w:pPr>
              <w:pStyle w:val="afa"/>
            </w:pPr>
            <w:r>
              <w:t>一</w:t>
            </w:r>
          </w:p>
        </w:tc>
        <w:tc>
          <w:tcPr>
            <w:tcW w:w="1697" w:type="dxa"/>
            <w:vAlign w:val="center"/>
          </w:tcPr>
          <w:p w:rsidR="00EE56C0" w:rsidRDefault="000F36A1">
            <w:pPr>
              <w:pStyle w:val="afa"/>
            </w:pPr>
            <w:r>
              <w:t>二</w:t>
            </w:r>
          </w:p>
        </w:tc>
        <w:tc>
          <w:tcPr>
            <w:tcW w:w="1890" w:type="dxa"/>
            <w:vAlign w:val="center"/>
          </w:tcPr>
          <w:p w:rsidR="00EE56C0" w:rsidRDefault="000F36A1">
            <w:pPr>
              <w:pStyle w:val="afa"/>
            </w:pPr>
            <w:r>
              <w:t>三</w:t>
            </w:r>
          </w:p>
        </w:tc>
      </w:tr>
      <w:tr w:rsidR="00EE56C0">
        <w:trPr>
          <w:trHeight w:val="397"/>
        </w:trPr>
        <w:tc>
          <w:tcPr>
            <w:tcW w:w="2943" w:type="dxa"/>
            <w:vAlign w:val="center"/>
          </w:tcPr>
          <w:p w:rsidR="00EE56C0" w:rsidRDefault="000F36A1">
            <w:pPr>
              <w:pStyle w:val="afa"/>
            </w:pPr>
            <w:r>
              <w:t>不敏感</w:t>
            </w:r>
          </w:p>
        </w:tc>
        <w:tc>
          <w:tcPr>
            <w:tcW w:w="1998" w:type="dxa"/>
            <w:vAlign w:val="center"/>
          </w:tcPr>
          <w:p w:rsidR="00EE56C0" w:rsidRDefault="000F36A1">
            <w:pPr>
              <w:pStyle w:val="afa"/>
            </w:pPr>
            <w:r>
              <w:t>二</w:t>
            </w:r>
          </w:p>
        </w:tc>
        <w:tc>
          <w:tcPr>
            <w:tcW w:w="1697" w:type="dxa"/>
            <w:vAlign w:val="center"/>
          </w:tcPr>
          <w:p w:rsidR="00EE56C0" w:rsidRDefault="000F36A1">
            <w:pPr>
              <w:pStyle w:val="afa"/>
            </w:pPr>
            <w:r>
              <w:t>三</w:t>
            </w:r>
          </w:p>
        </w:tc>
        <w:tc>
          <w:tcPr>
            <w:tcW w:w="1890" w:type="dxa"/>
            <w:vAlign w:val="center"/>
          </w:tcPr>
          <w:p w:rsidR="00EE56C0" w:rsidRDefault="000F36A1">
            <w:pPr>
              <w:pStyle w:val="afa"/>
            </w:pPr>
            <w:r>
              <w:t>三</w:t>
            </w:r>
          </w:p>
        </w:tc>
      </w:tr>
    </w:tbl>
    <w:p w:rsidR="00EE56C0" w:rsidRDefault="000F36A1">
      <w:pPr>
        <w:ind w:firstLine="480"/>
      </w:pPr>
      <w:r>
        <w:t>（</w:t>
      </w:r>
      <w:r>
        <w:t>1</w:t>
      </w:r>
      <w:r>
        <w:t>）地下水环境影响评价项目类别：根据《环境影响评价技术导则地下水环境》（</w:t>
      </w:r>
      <w:r>
        <w:t>HJ610-2016</w:t>
      </w:r>
      <w:r>
        <w:t>）附录</w:t>
      </w:r>
      <w:r>
        <w:t>A“</w:t>
      </w:r>
      <w:r>
        <w:t>地下水环境影响评价行业分类表</w:t>
      </w:r>
      <w:r>
        <w:t>”</w:t>
      </w:r>
      <w:r>
        <w:t>，本项目行业类别属于</w:t>
      </w:r>
      <w:r>
        <w:rPr>
          <w:rFonts w:hint="eastAsia"/>
        </w:rPr>
        <w:t>K</w:t>
      </w:r>
      <w:r>
        <w:rPr>
          <w:rFonts w:hint="eastAsia"/>
        </w:rPr>
        <w:t>机械、电子</w:t>
      </w:r>
      <w:r>
        <w:t>中的</w:t>
      </w:r>
      <w:r>
        <w:rPr>
          <w:rFonts w:hint="eastAsia"/>
        </w:rPr>
        <w:t>“</w:t>
      </w:r>
      <w:r>
        <w:rPr>
          <w:rFonts w:hint="eastAsia"/>
        </w:rPr>
        <w:t>78</w:t>
      </w:r>
      <w:r>
        <w:rPr>
          <w:rFonts w:hint="eastAsia"/>
        </w:rPr>
        <w:t>、电气机械及器材制造”</w:t>
      </w:r>
      <w:r>
        <w:t>，环境影响评价文件类型为报告书，因此本项目地下水环境影响评价项目类别为</w:t>
      </w:r>
      <w:r>
        <w:t>III</w:t>
      </w:r>
      <w:r>
        <w:t>类。</w:t>
      </w:r>
    </w:p>
    <w:p w:rsidR="00EE56C0" w:rsidRDefault="000F36A1">
      <w:pPr>
        <w:ind w:firstLine="480"/>
      </w:pPr>
      <w:r>
        <w:t>（</w:t>
      </w:r>
      <w:r>
        <w:t>2</w:t>
      </w:r>
      <w:r>
        <w:t>）建设项目场地的地下水环境敏感程度：经查阅《河南省人民政府办公厅关于印发河南省城市集中式饮用水源保护区划的通知》（豫政办（</w:t>
      </w:r>
      <w:r>
        <w:t>2007</w:t>
      </w:r>
      <w:r>
        <w:t>）</w:t>
      </w:r>
      <w:r>
        <w:t>125</w:t>
      </w:r>
      <w:r>
        <w:t>号文）、《河南省人民政府办公厅关于印发河南省县级集中式饮用水水源保护区划的通知》（豫政办（</w:t>
      </w:r>
      <w:r>
        <w:t>2013</w:t>
      </w:r>
      <w:r>
        <w:t>）</w:t>
      </w:r>
      <w:r>
        <w:t>107</w:t>
      </w:r>
      <w:r>
        <w:t>号文）及《河南省人民政府办公厅关于印发河南省乡镇集中式饮用水水源保护区划的通知》（豫政办（</w:t>
      </w:r>
      <w:r>
        <w:t>2016</w:t>
      </w:r>
      <w:r>
        <w:t>）</w:t>
      </w:r>
      <w:r>
        <w:t>23</w:t>
      </w:r>
      <w:r>
        <w:t>号文），项目所在区域不存在集中式饮用水源地及保护区</w:t>
      </w:r>
      <w:r>
        <w:rPr>
          <w:rFonts w:hint="eastAsia"/>
        </w:rPr>
        <w:t>。距离本项目最近的</w:t>
      </w:r>
      <w:r>
        <w:t>城市饮用水水</w:t>
      </w:r>
      <w:r>
        <w:lastRenderedPageBreak/>
        <w:t>源地保护区为</w:t>
      </w:r>
      <w:r>
        <w:rPr>
          <w:rFonts w:hint="eastAsia"/>
        </w:rPr>
        <w:t>厂址西北</w:t>
      </w:r>
      <w:r>
        <w:rPr>
          <w:rFonts w:hint="eastAsia"/>
        </w:rPr>
        <w:t>31.25k</w:t>
      </w:r>
      <w:r>
        <w:t>m</w:t>
      </w:r>
      <w:r>
        <w:rPr>
          <w:rFonts w:hint="eastAsia"/>
        </w:rPr>
        <w:t>处的新乡市凤泉水厂</w:t>
      </w:r>
      <w:r>
        <w:t>地下水饮用水源保护区，</w:t>
      </w:r>
      <w:r>
        <w:rPr>
          <w:rFonts w:hint="eastAsia"/>
        </w:rPr>
        <w:t>本项目不在其保护区内。但本项目厂址周边南王庄村等存在分散式地下取水井水源，因此项目厂址属于较敏感区。</w:t>
      </w:r>
    </w:p>
    <w:p w:rsidR="00EE56C0" w:rsidRDefault="000F36A1">
      <w:pPr>
        <w:ind w:firstLine="480"/>
      </w:pPr>
      <w:r>
        <w:t>综上所述，本项目属于地下水环境</w:t>
      </w:r>
      <w:r>
        <w:rPr>
          <w:rFonts w:hint="eastAsia"/>
        </w:rPr>
        <w:t>较</w:t>
      </w:r>
      <w:r>
        <w:t>敏感地区。对照《环境影响评价技术导则地下水环境》（</w:t>
      </w:r>
      <w:r>
        <w:t>HJ610-2016</w:t>
      </w:r>
      <w:r>
        <w:t>）建设项目评价工作等级分级表可知，本项目地下水评价工作等级为</w:t>
      </w:r>
      <w:r>
        <w:rPr>
          <w:rFonts w:hint="eastAsia"/>
        </w:rPr>
        <w:t>三</w:t>
      </w:r>
      <w:r>
        <w:t>级</w:t>
      </w:r>
      <w:r>
        <w:rPr>
          <w:rFonts w:hint="eastAsia"/>
        </w:rPr>
        <w:t>。</w:t>
      </w:r>
    </w:p>
    <w:p w:rsidR="00EE56C0" w:rsidRDefault="000F36A1">
      <w:pPr>
        <w:pStyle w:val="3"/>
        <w:spacing w:before="240" w:after="120"/>
      </w:pPr>
      <w:r>
        <w:rPr>
          <w:rFonts w:hint="eastAsia"/>
        </w:rPr>
        <w:t>5.3.4</w:t>
      </w:r>
      <w:r>
        <w:t>评价范围</w:t>
      </w:r>
    </w:p>
    <w:p w:rsidR="00EE56C0" w:rsidRDefault="000F36A1">
      <w:pPr>
        <w:ind w:firstLine="480"/>
      </w:pPr>
      <w:r>
        <w:t>本项目厂址位于黄河冲积平原，水文地质条件相对简单。本次评价范围确定先根据导则推荐公式计算出理论范围值，然后根据厂址区域地下水环境保护目标分布情况以及导则地下水环境现状调查评价范围参照表进行调整。</w:t>
      </w:r>
    </w:p>
    <w:p w:rsidR="00EE56C0" w:rsidRDefault="000F36A1">
      <w:pPr>
        <w:pStyle w:val="aff9"/>
        <w:spacing w:before="240" w:after="120"/>
      </w:pPr>
      <w:r>
        <w:t>L=а×κ×I×T/n</w:t>
      </w:r>
      <w:r>
        <w:rPr>
          <w:vertAlign w:val="subscript"/>
        </w:rPr>
        <w:t>e</w:t>
      </w:r>
    </w:p>
    <w:p w:rsidR="00EE56C0" w:rsidRDefault="000F36A1">
      <w:pPr>
        <w:ind w:firstLine="480"/>
      </w:pPr>
      <w:r>
        <w:t>式中：</w:t>
      </w:r>
      <w:r>
        <w:t>L-</w:t>
      </w:r>
      <w:r>
        <w:t>下游迁移距离，</w:t>
      </w:r>
      <w:r>
        <w:t>m</w:t>
      </w:r>
      <w:r>
        <w:t>；</w:t>
      </w:r>
    </w:p>
    <w:p w:rsidR="00EE56C0" w:rsidRDefault="000F36A1">
      <w:pPr>
        <w:ind w:firstLine="480"/>
      </w:pPr>
      <w:r>
        <w:t xml:space="preserve">      а-</w:t>
      </w:r>
      <w:r>
        <w:t>变化系数，</w:t>
      </w:r>
      <w:r>
        <w:t>а≥1</w:t>
      </w:r>
      <w:r>
        <w:t>，一般取</w:t>
      </w:r>
      <w:r>
        <w:t>2</w:t>
      </w:r>
      <w:r>
        <w:t>；</w:t>
      </w:r>
    </w:p>
    <w:p w:rsidR="00EE56C0" w:rsidRDefault="000F36A1">
      <w:pPr>
        <w:ind w:firstLine="480"/>
      </w:pPr>
      <w:r>
        <w:t xml:space="preserve">      κ-</w:t>
      </w:r>
      <w:r>
        <w:t>渗透系数，</w:t>
      </w:r>
      <w:r>
        <w:t>m/d</w:t>
      </w:r>
      <w:r>
        <w:t>，常见渗透系数表见《环境影响评价技术导则地下水环境》（</w:t>
      </w:r>
      <w:r>
        <w:t>HJ610-2016</w:t>
      </w:r>
      <w:r>
        <w:t>）附录</w:t>
      </w:r>
      <w:r>
        <w:t>B</w:t>
      </w:r>
      <w:r>
        <w:t>表</w:t>
      </w:r>
      <w:r>
        <w:t>B</w:t>
      </w:r>
      <w:r>
        <w:rPr>
          <w:rFonts w:hint="eastAsia"/>
        </w:rPr>
        <w:t>.</w:t>
      </w:r>
      <w:r>
        <w:t>1</w:t>
      </w:r>
      <w:r>
        <w:t>；评价区含水层主要为</w:t>
      </w:r>
      <w:r>
        <w:rPr>
          <w:rFonts w:hint="eastAsia"/>
        </w:rPr>
        <w:t>粉砂和细砂</w:t>
      </w:r>
      <w:r>
        <w:t>，</w:t>
      </w:r>
      <w:r>
        <w:rPr>
          <w:rFonts w:hint="eastAsia"/>
        </w:rPr>
        <w:t>本项目按最不利原则取细砂的渗透系数进行计算，</w:t>
      </w:r>
      <w:r>
        <w:t>根据附录</w:t>
      </w:r>
      <w:r>
        <w:t>B</w:t>
      </w:r>
      <w:r>
        <w:t>取值为</w:t>
      </w:r>
      <w:r>
        <w:rPr>
          <w:rFonts w:hint="eastAsia"/>
        </w:rPr>
        <w:t>10</w:t>
      </w:r>
      <w:r>
        <w:t>m/d</w:t>
      </w:r>
      <w:r>
        <w:t>；</w:t>
      </w:r>
    </w:p>
    <w:p w:rsidR="00EE56C0" w:rsidRDefault="000F36A1">
      <w:pPr>
        <w:ind w:firstLineChars="500" w:firstLine="1200"/>
      </w:pPr>
      <w:r>
        <w:t>I-</w:t>
      </w:r>
      <w:r>
        <w:t>水力坡度，无量纲；</w:t>
      </w:r>
    </w:p>
    <w:p w:rsidR="00EE56C0" w:rsidRDefault="000F36A1">
      <w:pPr>
        <w:ind w:firstLineChars="500" w:firstLine="1200"/>
      </w:pPr>
      <w:r>
        <w:t>T-</w:t>
      </w:r>
      <w:r>
        <w:t>质点迁移天数，取值不小于</w:t>
      </w:r>
      <w:r>
        <w:t>5000d</w:t>
      </w:r>
      <w:r>
        <w:t>；</w:t>
      </w:r>
    </w:p>
    <w:p w:rsidR="00EE56C0" w:rsidRDefault="000F36A1">
      <w:pPr>
        <w:ind w:firstLineChars="500" w:firstLine="1200"/>
      </w:pPr>
      <w:r>
        <w:t>n</w:t>
      </w:r>
      <w:r>
        <w:rPr>
          <w:vertAlign w:val="subscript"/>
        </w:rPr>
        <w:t>e</w:t>
      </w:r>
      <w:r>
        <w:t>-</w:t>
      </w:r>
      <w:r>
        <w:t>有效孔隙度，无量纲。</w:t>
      </w:r>
    </w:p>
    <w:p w:rsidR="00EE56C0" w:rsidRDefault="000F36A1">
      <w:pPr>
        <w:ind w:firstLine="480"/>
      </w:pPr>
      <w:r>
        <w:t>水力坡度根据区域村庄水平距离和地下水水面高程差计算确定，计算情况见表</w:t>
      </w:r>
      <w:r>
        <w:rPr>
          <w:rFonts w:hint="eastAsia"/>
        </w:rPr>
        <w:t>5-</w:t>
      </w:r>
      <w:r w:rsidR="005767FB">
        <w:rPr>
          <w:rFonts w:hint="eastAsia"/>
        </w:rPr>
        <w:t>38</w:t>
      </w:r>
      <w:r>
        <w:t>。</w:t>
      </w:r>
    </w:p>
    <w:p w:rsidR="00EE56C0" w:rsidRDefault="000F36A1">
      <w:pPr>
        <w:pStyle w:val="afd"/>
        <w:spacing w:before="120" w:after="120"/>
        <w:ind w:firstLine="482"/>
      </w:pPr>
      <w:r>
        <w:t>表</w:t>
      </w:r>
      <w:r>
        <w:rPr>
          <w:rFonts w:hint="eastAsia"/>
        </w:rPr>
        <w:t>5-</w:t>
      </w:r>
      <w:r w:rsidR="005767FB">
        <w:rPr>
          <w:rFonts w:hint="eastAsia"/>
        </w:rPr>
        <w:t>38</w:t>
      </w:r>
      <w:r>
        <w:t xml:space="preserve">           </w:t>
      </w:r>
      <w:r>
        <w:t>地下水水力坡度计算情况一览表</w:t>
      </w:r>
    </w:p>
    <w:tbl>
      <w:tblPr>
        <w:tblW w:w="5000" w:type="pct"/>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2236"/>
        <w:gridCol w:w="1416"/>
        <w:gridCol w:w="1276"/>
        <w:gridCol w:w="1276"/>
        <w:gridCol w:w="1230"/>
        <w:gridCol w:w="1095"/>
      </w:tblGrid>
      <w:tr w:rsidR="00EE56C0">
        <w:trPr>
          <w:trHeight w:val="397"/>
        </w:trPr>
        <w:tc>
          <w:tcPr>
            <w:tcW w:w="1311" w:type="pct"/>
            <w:vAlign w:val="center"/>
          </w:tcPr>
          <w:p w:rsidR="00EE56C0" w:rsidRDefault="000F36A1">
            <w:pPr>
              <w:pStyle w:val="aff1"/>
              <w:rPr>
                <w:color w:val="auto"/>
              </w:rPr>
            </w:pPr>
            <w:r>
              <w:rPr>
                <w:color w:val="auto"/>
              </w:rPr>
              <w:t>水井</w:t>
            </w:r>
          </w:p>
        </w:tc>
        <w:tc>
          <w:tcPr>
            <w:tcW w:w="830" w:type="pct"/>
            <w:vAlign w:val="center"/>
          </w:tcPr>
          <w:p w:rsidR="00EE56C0" w:rsidRDefault="000F36A1">
            <w:pPr>
              <w:pStyle w:val="aff1"/>
              <w:rPr>
                <w:color w:val="auto"/>
              </w:rPr>
            </w:pPr>
            <w:r>
              <w:rPr>
                <w:color w:val="auto"/>
              </w:rPr>
              <w:t>方向</w:t>
            </w:r>
          </w:p>
        </w:tc>
        <w:tc>
          <w:tcPr>
            <w:tcW w:w="748" w:type="pct"/>
            <w:vAlign w:val="center"/>
          </w:tcPr>
          <w:p w:rsidR="00EE56C0" w:rsidRDefault="000F36A1">
            <w:pPr>
              <w:pStyle w:val="aff1"/>
              <w:rPr>
                <w:color w:val="auto"/>
              </w:rPr>
            </w:pPr>
            <w:r>
              <w:rPr>
                <w:color w:val="auto"/>
              </w:rPr>
              <w:t>水平距离</w:t>
            </w:r>
          </w:p>
        </w:tc>
        <w:tc>
          <w:tcPr>
            <w:tcW w:w="748" w:type="pct"/>
            <w:vAlign w:val="center"/>
          </w:tcPr>
          <w:p w:rsidR="00EE56C0" w:rsidRDefault="000F36A1">
            <w:pPr>
              <w:pStyle w:val="aff1"/>
              <w:rPr>
                <w:color w:val="auto"/>
              </w:rPr>
            </w:pPr>
            <w:r>
              <w:rPr>
                <w:color w:val="auto"/>
              </w:rPr>
              <w:t>地下水水面高程差</w:t>
            </w:r>
          </w:p>
        </w:tc>
        <w:tc>
          <w:tcPr>
            <w:tcW w:w="721" w:type="pct"/>
            <w:vAlign w:val="center"/>
          </w:tcPr>
          <w:p w:rsidR="00EE56C0" w:rsidRDefault="000F36A1">
            <w:pPr>
              <w:pStyle w:val="aff1"/>
              <w:rPr>
                <w:color w:val="auto"/>
              </w:rPr>
            </w:pPr>
            <w:r>
              <w:rPr>
                <w:color w:val="auto"/>
              </w:rPr>
              <w:t>水力坡度</w:t>
            </w:r>
          </w:p>
        </w:tc>
        <w:tc>
          <w:tcPr>
            <w:tcW w:w="642" w:type="pct"/>
            <w:vAlign w:val="center"/>
          </w:tcPr>
          <w:p w:rsidR="00EE56C0" w:rsidRDefault="000F36A1">
            <w:pPr>
              <w:pStyle w:val="aff1"/>
              <w:rPr>
                <w:color w:val="auto"/>
              </w:rPr>
            </w:pPr>
            <w:r>
              <w:rPr>
                <w:color w:val="auto"/>
              </w:rPr>
              <w:t>平均值</w:t>
            </w:r>
          </w:p>
        </w:tc>
      </w:tr>
      <w:tr w:rsidR="00EE56C0">
        <w:trPr>
          <w:trHeight w:val="397"/>
        </w:trPr>
        <w:tc>
          <w:tcPr>
            <w:tcW w:w="1311" w:type="pct"/>
            <w:vAlign w:val="center"/>
          </w:tcPr>
          <w:p w:rsidR="00EE56C0" w:rsidRDefault="000F36A1">
            <w:pPr>
              <w:pStyle w:val="afa"/>
            </w:pPr>
            <w:r>
              <w:rPr>
                <w:rFonts w:hint="eastAsia"/>
              </w:rPr>
              <w:t>康庄村</w:t>
            </w:r>
            <w:r>
              <w:t>-</w:t>
            </w:r>
            <w:r>
              <w:rPr>
                <w:rFonts w:hint="eastAsia"/>
              </w:rPr>
              <w:t>厂址</w:t>
            </w:r>
          </w:p>
        </w:tc>
        <w:tc>
          <w:tcPr>
            <w:tcW w:w="830" w:type="pct"/>
            <w:vAlign w:val="center"/>
          </w:tcPr>
          <w:p w:rsidR="00EE56C0" w:rsidRDefault="000F36A1">
            <w:pPr>
              <w:pStyle w:val="afa"/>
            </w:pPr>
            <w:r>
              <w:t>西南</w:t>
            </w:r>
            <w:r>
              <w:t>-</w:t>
            </w:r>
            <w:r>
              <w:t>东北</w:t>
            </w:r>
          </w:p>
        </w:tc>
        <w:tc>
          <w:tcPr>
            <w:tcW w:w="748" w:type="pct"/>
            <w:vAlign w:val="center"/>
          </w:tcPr>
          <w:p w:rsidR="00EE56C0" w:rsidRDefault="000F36A1">
            <w:pPr>
              <w:pStyle w:val="afa"/>
            </w:pPr>
            <w:r>
              <w:rPr>
                <w:rFonts w:hint="eastAsia"/>
              </w:rPr>
              <w:t>1570</w:t>
            </w:r>
            <w:r>
              <w:t>m</w:t>
            </w:r>
          </w:p>
        </w:tc>
        <w:tc>
          <w:tcPr>
            <w:tcW w:w="748" w:type="pct"/>
            <w:vAlign w:val="center"/>
          </w:tcPr>
          <w:p w:rsidR="00EE56C0" w:rsidRDefault="000F36A1">
            <w:pPr>
              <w:pStyle w:val="afa"/>
            </w:pPr>
            <w:r>
              <w:rPr>
                <w:rFonts w:hint="eastAsia"/>
              </w:rPr>
              <w:t>0.4</w:t>
            </w:r>
          </w:p>
        </w:tc>
        <w:tc>
          <w:tcPr>
            <w:tcW w:w="721" w:type="pct"/>
            <w:vAlign w:val="center"/>
          </w:tcPr>
          <w:p w:rsidR="00EE56C0" w:rsidRDefault="000F36A1">
            <w:pPr>
              <w:pStyle w:val="afa"/>
            </w:pPr>
            <w:r>
              <w:rPr>
                <w:rFonts w:hint="eastAsia"/>
              </w:rPr>
              <w:t>2.55</w:t>
            </w:r>
            <w:r>
              <w:t>×10</w:t>
            </w:r>
            <w:r>
              <w:rPr>
                <w:vertAlign w:val="superscript"/>
              </w:rPr>
              <w:t>-</w:t>
            </w:r>
            <w:r>
              <w:rPr>
                <w:rFonts w:hint="eastAsia"/>
                <w:vertAlign w:val="superscript"/>
              </w:rPr>
              <w:t>4</w:t>
            </w:r>
          </w:p>
        </w:tc>
        <w:tc>
          <w:tcPr>
            <w:tcW w:w="642" w:type="pct"/>
            <w:vMerge w:val="restart"/>
            <w:vAlign w:val="center"/>
          </w:tcPr>
          <w:p w:rsidR="00EE56C0" w:rsidRDefault="000F36A1">
            <w:pPr>
              <w:pStyle w:val="afa"/>
            </w:pPr>
            <w:r>
              <w:rPr>
                <w:rFonts w:hint="eastAsia"/>
              </w:rPr>
              <w:t>1.43</w:t>
            </w:r>
            <w:r>
              <w:t>×10</w:t>
            </w:r>
            <w:r>
              <w:rPr>
                <w:vertAlign w:val="superscript"/>
              </w:rPr>
              <w:t>-4</w:t>
            </w:r>
          </w:p>
        </w:tc>
      </w:tr>
      <w:tr w:rsidR="00EE56C0">
        <w:trPr>
          <w:trHeight w:val="397"/>
        </w:trPr>
        <w:tc>
          <w:tcPr>
            <w:tcW w:w="1311" w:type="pct"/>
            <w:vAlign w:val="center"/>
          </w:tcPr>
          <w:p w:rsidR="00EE56C0" w:rsidRDefault="000F36A1">
            <w:pPr>
              <w:pStyle w:val="afa"/>
            </w:pPr>
            <w:r>
              <w:rPr>
                <w:rFonts w:hint="eastAsia"/>
              </w:rPr>
              <w:lastRenderedPageBreak/>
              <w:t>厂址</w:t>
            </w:r>
            <w:r>
              <w:t>-</w:t>
            </w:r>
            <w:r>
              <w:rPr>
                <w:rFonts w:hint="eastAsia"/>
              </w:rPr>
              <w:t>七里营镇</w:t>
            </w:r>
          </w:p>
        </w:tc>
        <w:tc>
          <w:tcPr>
            <w:tcW w:w="830" w:type="pct"/>
            <w:vAlign w:val="center"/>
          </w:tcPr>
          <w:p w:rsidR="00EE56C0" w:rsidRDefault="000F36A1">
            <w:pPr>
              <w:pStyle w:val="afa"/>
            </w:pPr>
            <w:r>
              <w:t>西南</w:t>
            </w:r>
            <w:r>
              <w:t>-</w:t>
            </w:r>
            <w:r>
              <w:t>东北</w:t>
            </w:r>
          </w:p>
        </w:tc>
        <w:tc>
          <w:tcPr>
            <w:tcW w:w="748" w:type="pct"/>
            <w:vAlign w:val="center"/>
          </w:tcPr>
          <w:p w:rsidR="00EE56C0" w:rsidRDefault="000F36A1">
            <w:pPr>
              <w:pStyle w:val="afa"/>
            </w:pPr>
            <w:r>
              <w:rPr>
                <w:rFonts w:hint="eastAsia"/>
              </w:rPr>
              <w:t>3300</w:t>
            </w:r>
            <w:r>
              <w:t>m</w:t>
            </w:r>
          </w:p>
        </w:tc>
        <w:tc>
          <w:tcPr>
            <w:tcW w:w="748" w:type="pct"/>
            <w:vAlign w:val="center"/>
          </w:tcPr>
          <w:p w:rsidR="00EE56C0" w:rsidRDefault="000F36A1">
            <w:pPr>
              <w:pStyle w:val="afa"/>
            </w:pPr>
            <w:r>
              <w:rPr>
                <w:rFonts w:hint="eastAsia"/>
              </w:rPr>
              <w:t>0.1</w:t>
            </w:r>
          </w:p>
        </w:tc>
        <w:tc>
          <w:tcPr>
            <w:tcW w:w="721" w:type="pct"/>
            <w:vAlign w:val="center"/>
          </w:tcPr>
          <w:p w:rsidR="00EE56C0" w:rsidRDefault="000F36A1">
            <w:pPr>
              <w:pStyle w:val="afa"/>
            </w:pPr>
            <w:r>
              <w:rPr>
                <w:rFonts w:hint="eastAsia"/>
              </w:rPr>
              <w:t>3.03</w:t>
            </w:r>
            <w:r>
              <w:t>×10</w:t>
            </w:r>
            <w:r>
              <w:rPr>
                <w:vertAlign w:val="superscript"/>
              </w:rPr>
              <w:t>-</w:t>
            </w:r>
            <w:r>
              <w:rPr>
                <w:rFonts w:hint="eastAsia"/>
                <w:vertAlign w:val="superscript"/>
              </w:rPr>
              <w:t>5</w:t>
            </w:r>
          </w:p>
        </w:tc>
        <w:tc>
          <w:tcPr>
            <w:tcW w:w="642" w:type="pct"/>
            <w:vMerge/>
            <w:vAlign w:val="center"/>
          </w:tcPr>
          <w:p w:rsidR="00EE56C0" w:rsidRDefault="00EE56C0">
            <w:pPr>
              <w:pStyle w:val="afa"/>
            </w:pPr>
          </w:p>
        </w:tc>
      </w:tr>
    </w:tbl>
    <w:p w:rsidR="00EE56C0" w:rsidRDefault="000F36A1">
      <w:pPr>
        <w:ind w:firstLine="480"/>
      </w:pPr>
      <w:r>
        <w:rPr>
          <w:rFonts w:hint="eastAsia"/>
        </w:rPr>
        <w:t>不同地质孔隙度经验值一览表见表</w:t>
      </w:r>
      <w:r>
        <w:rPr>
          <w:rFonts w:hint="eastAsia"/>
        </w:rPr>
        <w:t>5-27</w:t>
      </w:r>
      <w:r>
        <w:rPr>
          <w:rFonts w:hint="eastAsia"/>
        </w:rPr>
        <w:t>，评价区含水介质主要为粉砂和细砂，有效孔隙度取</w:t>
      </w:r>
      <w:r>
        <w:rPr>
          <w:rFonts w:hint="eastAsia"/>
        </w:rPr>
        <w:t>0.4</w:t>
      </w:r>
      <w:r>
        <w:rPr>
          <w:rFonts w:hint="eastAsia"/>
        </w:rPr>
        <w:t>。</w:t>
      </w:r>
    </w:p>
    <w:p w:rsidR="00EE56C0" w:rsidRDefault="000F36A1">
      <w:pPr>
        <w:pStyle w:val="afd"/>
        <w:spacing w:before="120" w:after="120"/>
        <w:ind w:firstLine="482"/>
      </w:pPr>
      <w:r>
        <w:t>表</w:t>
      </w:r>
      <w:r>
        <w:rPr>
          <w:rFonts w:hint="eastAsia"/>
        </w:rPr>
        <w:t>5-</w:t>
      </w:r>
      <w:r w:rsidR="005767FB">
        <w:rPr>
          <w:rFonts w:hint="eastAsia"/>
        </w:rPr>
        <w:t>39</w:t>
      </w:r>
      <w:r>
        <w:rPr>
          <w:rFonts w:hint="eastAsia"/>
        </w:rPr>
        <w:t xml:space="preserve">     </w:t>
      </w:r>
      <w:r>
        <w:t xml:space="preserve">  </w:t>
      </w:r>
      <w:r>
        <w:t>孔隙度经验值一览表</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tblPr>
      <w:tblGrid>
        <w:gridCol w:w="1698"/>
        <w:gridCol w:w="1526"/>
        <w:gridCol w:w="1418"/>
        <w:gridCol w:w="1419"/>
        <w:gridCol w:w="1277"/>
        <w:gridCol w:w="1191"/>
      </w:tblGrid>
      <w:tr w:rsidR="00EE56C0">
        <w:trPr>
          <w:trHeight w:val="499"/>
          <w:jc w:val="center"/>
        </w:trPr>
        <w:tc>
          <w:tcPr>
            <w:tcW w:w="1700" w:type="dxa"/>
            <w:vAlign w:val="center"/>
          </w:tcPr>
          <w:p w:rsidR="00EE56C0" w:rsidRDefault="000F36A1">
            <w:pPr>
              <w:pStyle w:val="aff1"/>
              <w:rPr>
                <w:color w:val="auto"/>
              </w:rPr>
            </w:pPr>
            <w:r>
              <w:rPr>
                <w:color w:val="auto"/>
              </w:rPr>
              <w:t>岩石名称</w:t>
            </w:r>
          </w:p>
        </w:tc>
        <w:tc>
          <w:tcPr>
            <w:tcW w:w="1527" w:type="dxa"/>
            <w:vAlign w:val="center"/>
          </w:tcPr>
          <w:p w:rsidR="00EE56C0" w:rsidRDefault="000F36A1">
            <w:pPr>
              <w:pStyle w:val="aff1"/>
              <w:rPr>
                <w:color w:val="auto"/>
              </w:rPr>
            </w:pPr>
            <w:r>
              <w:rPr>
                <w:color w:val="auto"/>
              </w:rPr>
              <w:t>砾石（粗）</w:t>
            </w:r>
          </w:p>
        </w:tc>
        <w:tc>
          <w:tcPr>
            <w:tcW w:w="1418" w:type="dxa"/>
            <w:vAlign w:val="center"/>
          </w:tcPr>
          <w:p w:rsidR="00EE56C0" w:rsidRDefault="000F36A1">
            <w:pPr>
              <w:pStyle w:val="aff1"/>
              <w:rPr>
                <w:color w:val="auto"/>
              </w:rPr>
            </w:pPr>
            <w:r>
              <w:rPr>
                <w:color w:val="auto"/>
              </w:rPr>
              <w:t>砾石（细）</w:t>
            </w:r>
          </w:p>
        </w:tc>
        <w:tc>
          <w:tcPr>
            <w:tcW w:w="1419" w:type="dxa"/>
            <w:vAlign w:val="center"/>
          </w:tcPr>
          <w:p w:rsidR="00EE56C0" w:rsidRDefault="000F36A1">
            <w:pPr>
              <w:pStyle w:val="aff1"/>
              <w:rPr>
                <w:color w:val="auto"/>
              </w:rPr>
            </w:pPr>
            <w:r>
              <w:rPr>
                <w:color w:val="auto"/>
              </w:rPr>
              <w:t>砂（粗）</w:t>
            </w:r>
          </w:p>
        </w:tc>
        <w:tc>
          <w:tcPr>
            <w:tcW w:w="1277" w:type="dxa"/>
            <w:vAlign w:val="center"/>
          </w:tcPr>
          <w:p w:rsidR="00EE56C0" w:rsidRDefault="000F36A1">
            <w:pPr>
              <w:pStyle w:val="aff1"/>
              <w:rPr>
                <w:color w:val="auto"/>
              </w:rPr>
            </w:pPr>
            <w:r>
              <w:rPr>
                <w:color w:val="auto"/>
              </w:rPr>
              <w:t>砂（细）</w:t>
            </w:r>
          </w:p>
        </w:tc>
        <w:tc>
          <w:tcPr>
            <w:tcW w:w="1191" w:type="dxa"/>
            <w:vAlign w:val="center"/>
          </w:tcPr>
          <w:p w:rsidR="00EE56C0" w:rsidRDefault="000F36A1">
            <w:pPr>
              <w:pStyle w:val="aff1"/>
              <w:rPr>
                <w:color w:val="auto"/>
              </w:rPr>
            </w:pPr>
            <w:r>
              <w:rPr>
                <w:color w:val="auto"/>
              </w:rPr>
              <w:t>黏土</w:t>
            </w:r>
          </w:p>
        </w:tc>
      </w:tr>
      <w:tr w:rsidR="00EE56C0">
        <w:trPr>
          <w:trHeight w:val="469"/>
          <w:jc w:val="center"/>
        </w:trPr>
        <w:tc>
          <w:tcPr>
            <w:tcW w:w="1700" w:type="dxa"/>
            <w:vAlign w:val="center"/>
          </w:tcPr>
          <w:p w:rsidR="00EE56C0" w:rsidRDefault="000F36A1">
            <w:pPr>
              <w:pStyle w:val="afa"/>
            </w:pPr>
            <w:r>
              <w:t>孔隙度变化区间</w:t>
            </w:r>
          </w:p>
        </w:tc>
        <w:tc>
          <w:tcPr>
            <w:tcW w:w="1527" w:type="dxa"/>
            <w:vAlign w:val="center"/>
          </w:tcPr>
          <w:p w:rsidR="00EE56C0" w:rsidRDefault="000F36A1">
            <w:pPr>
              <w:pStyle w:val="afa"/>
            </w:pPr>
            <w:r>
              <w:t>24%-36%</w:t>
            </w:r>
          </w:p>
        </w:tc>
        <w:tc>
          <w:tcPr>
            <w:tcW w:w="1418" w:type="dxa"/>
            <w:vAlign w:val="center"/>
          </w:tcPr>
          <w:p w:rsidR="00EE56C0" w:rsidRDefault="000F36A1">
            <w:pPr>
              <w:pStyle w:val="afa"/>
            </w:pPr>
            <w:r>
              <w:t>25%-38%</w:t>
            </w:r>
          </w:p>
        </w:tc>
        <w:tc>
          <w:tcPr>
            <w:tcW w:w="1419" w:type="dxa"/>
            <w:vAlign w:val="center"/>
          </w:tcPr>
          <w:p w:rsidR="00EE56C0" w:rsidRDefault="000F36A1">
            <w:pPr>
              <w:pStyle w:val="afa"/>
            </w:pPr>
            <w:r>
              <w:t>31%-46%</w:t>
            </w:r>
          </w:p>
        </w:tc>
        <w:tc>
          <w:tcPr>
            <w:tcW w:w="1277" w:type="dxa"/>
            <w:vAlign w:val="center"/>
          </w:tcPr>
          <w:p w:rsidR="00EE56C0" w:rsidRDefault="000F36A1">
            <w:pPr>
              <w:pStyle w:val="afa"/>
            </w:pPr>
            <w:r>
              <w:t>26%-53%</w:t>
            </w:r>
          </w:p>
        </w:tc>
        <w:tc>
          <w:tcPr>
            <w:tcW w:w="1191" w:type="dxa"/>
            <w:vAlign w:val="center"/>
          </w:tcPr>
          <w:p w:rsidR="00EE56C0" w:rsidRDefault="000F36A1">
            <w:pPr>
              <w:pStyle w:val="afa"/>
            </w:pPr>
            <w:r>
              <w:t>34%-60%</w:t>
            </w:r>
          </w:p>
        </w:tc>
      </w:tr>
    </w:tbl>
    <w:p w:rsidR="00EE56C0" w:rsidRDefault="000F36A1">
      <w:pPr>
        <w:ind w:firstLine="480"/>
      </w:pPr>
      <w:r>
        <w:t>根据上述公式及参数计算，</w:t>
      </w:r>
      <w:r>
        <w:t>L=</w:t>
      </w:r>
      <w:r>
        <w:rPr>
          <w:rFonts w:hint="eastAsia"/>
        </w:rPr>
        <w:t>35.75</w:t>
      </w:r>
      <w:r>
        <w:t>m</w:t>
      </w:r>
      <w:r>
        <w:rPr>
          <w:rFonts w:hint="eastAsia"/>
        </w:rPr>
        <w:t>，评价范围面积为</w:t>
      </w:r>
      <w:r>
        <w:t>0.00</w:t>
      </w:r>
      <w:r>
        <w:rPr>
          <w:rFonts w:hint="eastAsia"/>
        </w:rPr>
        <w:t>2</w:t>
      </w:r>
      <w:r>
        <w:t>km</w:t>
      </w:r>
      <w:r>
        <w:rPr>
          <w:vertAlign w:val="superscript"/>
        </w:rPr>
        <w:t>2</w:t>
      </w:r>
      <w:r>
        <w:t>。考虑评价范围应包含主要地下水环境保护目标，结合地下水环境现状调查评价范围参照表中的相关要求（评价等级为</w:t>
      </w:r>
      <w:r>
        <w:rPr>
          <w:rFonts w:hint="eastAsia"/>
        </w:rPr>
        <w:t>三</w:t>
      </w:r>
      <w:r>
        <w:t>级，调查评价面积</w:t>
      </w:r>
      <w:r>
        <w:rPr>
          <w:rFonts w:hint="eastAsia"/>
        </w:rPr>
        <w:t>≤</w:t>
      </w:r>
      <w:r>
        <w:t>6km</w:t>
      </w:r>
      <w:r>
        <w:rPr>
          <w:vertAlign w:val="superscript"/>
        </w:rPr>
        <w:t>2</w:t>
      </w:r>
      <w:r>
        <w:t>），本项目综合考虑确定评价范围为</w:t>
      </w:r>
      <w:r>
        <w:rPr>
          <w:rFonts w:hint="eastAsia"/>
        </w:rPr>
        <w:t>6</w:t>
      </w:r>
      <w:r>
        <w:t>km</w:t>
      </w:r>
      <w:r>
        <w:rPr>
          <w:vertAlign w:val="superscript"/>
        </w:rPr>
        <w:t>2</w:t>
      </w:r>
      <w:r>
        <w:rPr>
          <w:rFonts w:hint="eastAsia"/>
        </w:rPr>
        <w:t>。</w:t>
      </w:r>
      <w:r>
        <w:t>由于地表水和中深层含水层间无明显的水力联系，中深层含水层和深层含水层无明显的水力联系，因此本次预测层位定为预测评价区域的潜水层。项目地下水评价范围如下</w:t>
      </w:r>
      <w:r>
        <w:rPr>
          <w:rFonts w:hint="eastAsia"/>
        </w:rPr>
        <w:t>：</w:t>
      </w:r>
    </w:p>
    <w:p w:rsidR="00EE56C0" w:rsidRDefault="000F36A1">
      <w:pPr>
        <w:ind w:firstLine="480"/>
      </w:pPr>
      <w:r>
        <w:rPr>
          <w:noProof/>
        </w:rPr>
        <w:drawing>
          <wp:anchor distT="0" distB="0" distL="114300" distR="114300" simplePos="0" relativeHeight="251676160" behindDoc="0" locked="0" layoutInCell="1" allowOverlap="1">
            <wp:simplePos x="0" y="0"/>
            <wp:positionH relativeFrom="column">
              <wp:posOffset>376555</wp:posOffset>
            </wp:positionH>
            <wp:positionV relativeFrom="paragraph">
              <wp:posOffset>48895</wp:posOffset>
            </wp:positionV>
            <wp:extent cx="4664710" cy="4121785"/>
            <wp:effectExtent l="19050" t="19050" r="21634" b="12242"/>
            <wp:wrapNone/>
            <wp:docPr id="112"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70"/>
                    <pic:cNvPicPr>
                      <a:picLocks noChangeAspect="1" noChangeArrowheads="1"/>
                    </pic:cNvPicPr>
                  </pic:nvPicPr>
                  <pic:blipFill>
                    <a:blip r:embed="rId96"/>
                    <a:srcRect/>
                    <a:stretch>
                      <a:fillRect/>
                    </a:stretch>
                  </pic:blipFill>
                  <pic:spPr>
                    <a:xfrm>
                      <a:off x="0" y="0"/>
                      <a:ext cx="4664666" cy="4121608"/>
                    </a:xfrm>
                    <a:prstGeom prst="rect">
                      <a:avLst/>
                    </a:prstGeom>
                    <a:noFill/>
                    <a:ln w="9525">
                      <a:solidFill>
                        <a:schemeClr val="tx1"/>
                      </a:solidFill>
                      <a:miter lim="800000"/>
                      <a:headEnd/>
                      <a:tailEnd/>
                    </a:ln>
                  </pic:spPr>
                </pic:pic>
              </a:graphicData>
            </a:graphic>
          </wp:anchor>
        </w:drawing>
      </w:r>
    </w:p>
    <w:p w:rsidR="00EE56C0" w:rsidRDefault="00340837">
      <w:pPr>
        <w:pStyle w:val="aff8"/>
        <w:rPr>
          <w:szCs w:val="24"/>
        </w:rPr>
      </w:pPr>
      <w:r w:rsidRPr="00340837">
        <w:pict>
          <v:group id="组合 2898" o:spid="_x0000_s2120" style="position:absolute;left:0;text-align:left;margin-left:372pt;margin-top:21.25pt;width:35.05pt;height:55.4pt;z-index:251677184" coordorigin="9237,6454" coordsize="701,1108203203">
            <v:shape id="文本框 1040" o:spid="_x0000_s2121" type="#_x0000_t202" style="position:absolute;left:9237;top:6454;width:701;height:750" filled="f" stroked="f">
              <v:textbox>
                <w:txbxContent>
                  <w:p w:rsidR="009C6BD9" w:rsidRDefault="009C6BD9">
                    <w:pPr>
                      <w:ind w:firstLineChars="0" w:firstLine="0"/>
                      <w:jc w:val="left"/>
                      <w:rPr>
                        <w:b/>
                        <w:color w:val="FFFF00"/>
                      </w:rPr>
                    </w:pPr>
                    <w:r>
                      <w:rPr>
                        <w:rFonts w:hint="eastAsia"/>
                        <w:b/>
                        <w:color w:val="FFFF00"/>
                      </w:rPr>
                      <w:t>北</w:t>
                    </w:r>
                  </w:p>
                </w:txbxContent>
              </v:textbox>
            </v:shape>
            <v:line id="直线 1052" o:spid="_x0000_s2122" style="position:absolute;flip:y" from="9555,7070" to="9555,7562" strokecolor="yellow" strokeweight="1.75pt">
              <v:stroke endarrow="block"/>
              <o:lock v:ext="edit" aspectratio="t"/>
            </v:line>
          </v:group>
        </w:pict>
      </w:r>
    </w:p>
    <w:p w:rsidR="00EE56C0" w:rsidRDefault="00EE56C0">
      <w:pPr>
        <w:pStyle w:val="aff8"/>
        <w:rPr>
          <w:szCs w:val="24"/>
        </w:rPr>
      </w:pPr>
    </w:p>
    <w:p w:rsidR="00EE56C0" w:rsidRDefault="00EE56C0">
      <w:pPr>
        <w:pStyle w:val="aff8"/>
        <w:rPr>
          <w:szCs w:val="24"/>
        </w:rPr>
      </w:pPr>
    </w:p>
    <w:p w:rsidR="00EE56C0" w:rsidRDefault="00EE56C0">
      <w:pPr>
        <w:pStyle w:val="aff8"/>
        <w:rPr>
          <w:szCs w:val="24"/>
        </w:rPr>
      </w:pPr>
    </w:p>
    <w:p w:rsidR="00EE56C0" w:rsidRDefault="00EE56C0">
      <w:pPr>
        <w:pStyle w:val="aff8"/>
        <w:rPr>
          <w:szCs w:val="24"/>
        </w:rPr>
      </w:pPr>
    </w:p>
    <w:p w:rsidR="00EE56C0" w:rsidRDefault="00EE56C0">
      <w:pPr>
        <w:pStyle w:val="aff8"/>
        <w:rPr>
          <w:szCs w:val="24"/>
        </w:rPr>
      </w:pPr>
    </w:p>
    <w:p w:rsidR="00EE56C0" w:rsidRDefault="00EE56C0">
      <w:pPr>
        <w:pStyle w:val="aff8"/>
        <w:rPr>
          <w:szCs w:val="24"/>
        </w:rPr>
      </w:pPr>
    </w:p>
    <w:p w:rsidR="00EE56C0" w:rsidRDefault="00EE56C0">
      <w:pPr>
        <w:pStyle w:val="aff8"/>
        <w:rPr>
          <w:szCs w:val="24"/>
        </w:rPr>
      </w:pPr>
    </w:p>
    <w:p w:rsidR="00EE56C0" w:rsidRDefault="00EE56C0">
      <w:pPr>
        <w:pStyle w:val="aff8"/>
        <w:rPr>
          <w:szCs w:val="24"/>
        </w:rPr>
      </w:pPr>
    </w:p>
    <w:p w:rsidR="00EE56C0" w:rsidRDefault="00EE56C0">
      <w:pPr>
        <w:pStyle w:val="aff8"/>
        <w:rPr>
          <w:szCs w:val="24"/>
        </w:rPr>
      </w:pPr>
    </w:p>
    <w:p w:rsidR="00EE56C0" w:rsidRDefault="00EE56C0">
      <w:pPr>
        <w:pStyle w:val="aff8"/>
        <w:rPr>
          <w:szCs w:val="24"/>
        </w:rPr>
      </w:pPr>
    </w:p>
    <w:p w:rsidR="00EE56C0" w:rsidRDefault="00EE56C0">
      <w:pPr>
        <w:pStyle w:val="aff8"/>
        <w:rPr>
          <w:szCs w:val="24"/>
        </w:rPr>
      </w:pPr>
    </w:p>
    <w:p w:rsidR="00EE56C0" w:rsidRDefault="00EE56C0">
      <w:pPr>
        <w:pStyle w:val="aff8"/>
        <w:rPr>
          <w:szCs w:val="24"/>
        </w:rPr>
      </w:pPr>
    </w:p>
    <w:p w:rsidR="00EE56C0" w:rsidRDefault="00EE56C0">
      <w:pPr>
        <w:pStyle w:val="aff8"/>
        <w:rPr>
          <w:szCs w:val="24"/>
        </w:rPr>
      </w:pPr>
    </w:p>
    <w:p w:rsidR="00EE56C0" w:rsidRDefault="00EE56C0">
      <w:pPr>
        <w:pStyle w:val="aff8"/>
        <w:rPr>
          <w:szCs w:val="24"/>
        </w:rPr>
      </w:pPr>
    </w:p>
    <w:p w:rsidR="00EE56C0" w:rsidRDefault="00EE56C0">
      <w:pPr>
        <w:pStyle w:val="aff8"/>
        <w:rPr>
          <w:szCs w:val="24"/>
        </w:rPr>
      </w:pPr>
    </w:p>
    <w:p w:rsidR="00EE56C0" w:rsidRDefault="00EE56C0">
      <w:pPr>
        <w:pStyle w:val="aff8"/>
        <w:rPr>
          <w:szCs w:val="24"/>
        </w:rPr>
      </w:pPr>
    </w:p>
    <w:p w:rsidR="00EE56C0" w:rsidRDefault="00EE56C0">
      <w:pPr>
        <w:pStyle w:val="aff8"/>
        <w:rPr>
          <w:szCs w:val="24"/>
        </w:rPr>
      </w:pPr>
    </w:p>
    <w:p w:rsidR="00EE56C0" w:rsidRDefault="00EE56C0">
      <w:pPr>
        <w:pStyle w:val="aff8"/>
        <w:rPr>
          <w:szCs w:val="24"/>
        </w:rPr>
      </w:pPr>
    </w:p>
    <w:p w:rsidR="00EE56C0" w:rsidRDefault="00EE56C0">
      <w:pPr>
        <w:pStyle w:val="aff8"/>
        <w:rPr>
          <w:szCs w:val="24"/>
        </w:rPr>
      </w:pPr>
    </w:p>
    <w:p w:rsidR="00EE56C0" w:rsidRDefault="00EE56C0">
      <w:pPr>
        <w:pStyle w:val="aff8"/>
        <w:rPr>
          <w:szCs w:val="24"/>
        </w:rPr>
      </w:pPr>
    </w:p>
    <w:p w:rsidR="00EE56C0" w:rsidRDefault="00EE56C0">
      <w:pPr>
        <w:pStyle w:val="aff8"/>
        <w:rPr>
          <w:szCs w:val="24"/>
        </w:rPr>
      </w:pPr>
    </w:p>
    <w:p w:rsidR="00EE56C0" w:rsidRDefault="000F36A1">
      <w:pPr>
        <w:pStyle w:val="aff8"/>
      </w:pPr>
      <w:r>
        <w:rPr>
          <w:rFonts w:hint="eastAsia"/>
        </w:rPr>
        <w:t>图</w:t>
      </w:r>
      <w:r>
        <w:rPr>
          <w:rFonts w:hint="eastAsia"/>
        </w:rPr>
        <w:t xml:space="preserve">5-7  </w:t>
      </w:r>
      <w:r>
        <w:rPr>
          <w:rFonts w:hint="eastAsia"/>
        </w:rPr>
        <w:t>本项目地下水调查评价范围示意图</w:t>
      </w:r>
    </w:p>
    <w:p w:rsidR="00EE56C0" w:rsidRDefault="000F36A1">
      <w:pPr>
        <w:pStyle w:val="3"/>
        <w:spacing w:before="240" w:after="120"/>
      </w:pPr>
      <w:r>
        <w:rPr>
          <w:rFonts w:hint="eastAsia"/>
        </w:rPr>
        <w:lastRenderedPageBreak/>
        <w:t>5.3.5</w:t>
      </w:r>
      <w:r>
        <w:t>预测因子及预测内容</w:t>
      </w:r>
    </w:p>
    <w:p w:rsidR="00EE56C0" w:rsidRDefault="000F36A1">
      <w:pPr>
        <w:pStyle w:val="4"/>
        <w:ind w:left="120" w:firstLine="241"/>
      </w:pPr>
      <w:r>
        <w:rPr>
          <w:rFonts w:hint="eastAsia"/>
        </w:rPr>
        <w:t>5.3.5.1</w:t>
      </w:r>
      <w:r>
        <w:rPr>
          <w:rFonts w:hint="eastAsia"/>
        </w:rPr>
        <w:t>运营期地下水环境影响分析</w:t>
      </w:r>
    </w:p>
    <w:p w:rsidR="00EE56C0" w:rsidRDefault="000F36A1">
      <w:pPr>
        <w:ind w:firstLine="480"/>
      </w:pPr>
      <w:r>
        <w:rPr>
          <w:rFonts w:hint="eastAsia"/>
        </w:rPr>
        <w:t>项目正常运营条件下，产生的主要废水包括生活污水、反渗透浓水，主要污染物为</w:t>
      </w:r>
      <w:r>
        <w:rPr>
          <w:rFonts w:hint="eastAsia"/>
        </w:rPr>
        <w:t>COD</w:t>
      </w:r>
      <w:r>
        <w:rPr>
          <w:rFonts w:hint="eastAsia"/>
        </w:rPr>
        <w:t>、</w:t>
      </w:r>
      <w:r>
        <w:rPr>
          <w:rFonts w:hint="eastAsia"/>
        </w:rPr>
        <w:t>SS</w:t>
      </w:r>
      <w:r>
        <w:rPr>
          <w:rFonts w:hint="eastAsia"/>
        </w:rPr>
        <w:t>、</w:t>
      </w:r>
      <w:r>
        <w:rPr>
          <w:rFonts w:hint="eastAsia"/>
        </w:rPr>
        <w:t>NH</w:t>
      </w:r>
      <w:r>
        <w:rPr>
          <w:rFonts w:hint="eastAsia"/>
          <w:vertAlign w:val="subscript"/>
        </w:rPr>
        <w:t>3</w:t>
      </w:r>
      <w:r>
        <w:rPr>
          <w:rFonts w:hint="eastAsia"/>
        </w:rPr>
        <w:t>-N</w:t>
      </w:r>
      <w:r>
        <w:rPr>
          <w:rFonts w:hint="eastAsia"/>
        </w:rPr>
        <w:t>、</w:t>
      </w:r>
      <w:r>
        <w:rPr>
          <w:rFonts w:hint="eastAsia"/>
        </w:rPr>
        <w:t>TP</w:t>
      </w:r>
      <w:r>
        <w:rPr>
          <w:rFonts w:hint="eastAsia"/>
        </w:rPr>
        <w:t>、</w:t>
      </w:r>
      <w:r>
        <w:rPr>
          <w:rFonts w:hint="eastAsia"/>
        </w:rPr>
        <w:t>TN</w:t>
      </w:r>
      <w:r>
        <w:rPr>
          <w:rFonts w:hint="eastAsia"/>
        </w:rPr>
        <w:t>、动植物油；生活污水主要是厂区工作人员日常生产生活及食堂、厕所等产生的废水。</w:t>
      </w:r>
    </w:p>
    <w:p w:rsidR="00EE56C0" w:rsidRDefault="000F36A1">
      <w:pPr>
        <w:ind w:firstLine="480"/>
      </w:pPr>
      <w:r>
        <w:t>地下水污染途经可分为间歇入渗型、连续入渗型、越流型、径流型，本次项目对地下水的影响途经主要为连续入渗型，即生活污水化粪池渗漏污染地下水。选取耗氧量为评价因子，本次评价拟从正常工况和非正常工况两种情况下进行地下水污染影响分析。</w:t>
      </w:r>
    </w:p>
    <w:p w:rsidR="00EE56C0" w:rsidRDefault="000F36A1">
      <w:pPr>
        <w:ind w:firstLine="480"/>
      </w:pPr>
      <w:r>
        <w:t>（</w:t>
      </w:r>
      <w:r>
        <w:t>1</w:t>
      </w:r>
      <w:r>
        <w:t>）正常工况</w:t>
      </w:r>
    </w:p>
    <w:p w:rsidR="00EE56C0" w:rsidRDefault="000F36A1">
      <w:pPr>
        <w:ind w:firstLine="480"/>
      </w:pPr>
      <w:r>
        <w:rPr>
          <w:rFonts w:hint="eastAsia"/>
        </w:rPr>
        <w:t>正常工况下，生活污水经</w:t>
      </w:r>
      <w:r>
        <w:rPr>
          <w:szCs w:val="24"/>
        </w:rPr>
        <w:t>“</w:t>
      </w:r>
      <w:r>
        <w:rPr>
          <w:szCs w:val="24"/>
        </w:rPr>
        <w:t>隔油池</w:t>
      </w:r>
      <w:r>
        <w:rPr>
          <w:szCs w:val="24"/>
        </w:rPr>
        <w:t>+</w:t>
      </w:r>
      <w:r>
        <w:rPr>
          <w:szCs w:val="24"/>
        </w:rPr>
        <w:t>化粪池</w:t>
      </w:r>
      <w:r>
        <w:rPr>
          <w:szCs w:val="24"/>
        </w:rPr>
        <w:t>”</w:t>
      </w:r>
      <w:r>
        <w:rPr>
          <w:rFonts w:hint="eastAsia"/>
          <w:szCs w:val="24"/>
        </w:rPr>
        <w:t>进行初步</w:t>
      </w:r>
      <w:r>
        <w:rPr>
          <w:szCs w:val="24"/>
        </w:rPr>
        <w:t>处理</w:t>
      </w:r>
      <w:r>
        <w:rPr>
          <w:rFonts w:hint="eastAsia"/>
          <w:szCs w:val="24"/>
        </w:rPr>
        <w:t>。处理后的废水与</w:t>
      </w:r>
      <w:r>
        <w:rPr>
          <w:rFonts w:hint="eastAsia"/>
        </w:rPr>
        <w:t>反渗透浓水在厂区总排口汇合后排往新乡县综合污水处理厂。厂区各场地均设置了防渗措施及事故应急措施，正常工况条件下不会对地下水环境造成明显不利影响，不再对正常工况下进行预测。</w:t>
      </w:r>
    </w:p>
    <w:p w:rsidR="00EE56C0" w:rsidRDefault="000F36A1">
      <w:pPr>
        <w:ind w:firstLine="480"/>
      </w:pPr>
      <w:r>
        <w:rPr>
          <w:szCs w:val="24"/>
        </w:rPr>
        <w:t>本项目</w:t>
      </w:r>
      <w:r>
        <w:t>污水处理设施</w:t>
      </w:r>
      <w:r>
        <w:rPr>
          <w:szCs w:val="24"/>
        </w:rPr>
        <w:t>及排水管网均进行防渗处理。固废堆放间设于室内，同时地面做好防渗防腐处理，避免渗漏进入地下水。</w:t>
      </w:r>
      <w:r>
        <w:t>危险废物存放于危险废物贮存库，一般固废存放于一般固废堆存场。评价对项目厂区提出了分区防渗要求，对于仓储区、污水处理设施、危险废物堆存场等重点防渗区提出了明确的防渗措施，要求防渗层渗透系数</w:t>
      </w:r>
      <w:r>
        <w:t>≤10</w:t>
      </w:r>
      <w:r>
        <w:rPr>
          <w:vertAlign w:val="superscript"/>
        </w:rPr>
        <w:t>-7</w:t>
      </w:r>
      <w:r>
        <w:t>cm/s</w:t>
      </w:r>
      <w:r>
        <w:t>。</w:t>
      </w:r>
    </w:p>
    <w:p w:rsidR="00EE56C0" w:rsidRDefault="000F36A1">
      <w:pPr>
        <w:ind w:firstLine="480"/>
        <w:rPr>
          <w:szCs w:val="24"/>
        </w:rPr>
      </w:pPr>
      <w:r>
        <w:rPr>
          <w:szCs w:val="24"/>
        </w:rPr>
        <w:t>因此，评价认为，在正常情况下，不会对地下水造成污染。</w:t>
      </w:r>
    </w:p>
    <w:p w:rsidR="00EE56C0" w:rsidRDefault="000F36A1">
      <w:pPr>
        <w:ind w:firstLine="480"/>
      </w:pPr>
      <w:r>
        <w:t>（</w:t>
      </w:r>
      <w:r>
        <w:t>2</w:t>
      </w:r>
      <w:r>
        <w:t>）非正常工况</w:t>
      </w:r>
    </w:p>
    <w:p w:rsidR="00EE56C0" w:rsidRDefault="000F36A1">
      <w:pPr>
        <w:ind w:firstLine="480"/>
      </w:pPr>
      <w:r>
        <w:rPr>
          <w:szCs w:val="24"/>
        </w:rPr>
        <w:t>本次评价仅考虑项目非正常工况下，</w:t>
      </w:r>
      <w:r>
        <w:t>污水处理设施（化粪池）因基础不均匀沉降导致混凝土出现裂缝，导致污水发生渗漏。</w:t>
      </w:r>
      <w:r>
        <w:rPr>
          <w:szCs w:val="24"/>
        </w:rPr>
        <w:t>采用地下水溶质运移解析法预测</w:t>
      </w:r>
      <w:r>
        <w:rPr>
          <w:rFonts w:hint="eastAsia"/>
          <w:szCs w:val="24"/>
        </w:rPr>
        <w:t>。</w:t>
      </w:r>
    </w:p>
    <w:p w:rsidR="00EE56C0" w:rsidRDefault="000F36A1">
      <w:pPr>
        <w:pStyle w:val="3"/>
        <w:spacing w:before="240" w:after="120"/>
        <w:rPr>
          <w:szCs w:val="22"/>
        </w:rPr>
      </w:pPr>
      <w:r>
        <w:rPr>
          <w:rFonts w:hint="eastAsia"/>
          <w:szCs w:val="22"/>
        </w:rPr>
        <w:lastRenderedPageBreak/>
        <w:t>5.3.6</w:t>
      </w:r>
      <w:r>
        <w:rPr>
          <w:rFonts w:hint="eastAsia"/>
          <w:szCs w:val="22"/>
        </w:rPr>
        <w:t>地下水污染途径识别环境影响分析</w:t>
      </w:r>
    </w:p>
    <w:p w:rsidR="00EE56C0" w:rsidRDefault="000F36A1">
      <w:pPr>
        <w:ind w:firstLine="480"/>
      </w:pPr>
      <w:r>
        <w:t>本项目涉及的主要危险废物</w:t>
      </w:r>
      <w:r>
        <w:rPr>
          <w:rFonts w:hint="eastAsia"/>
        </w:rPr>
        <w:t>为</w:t>
      </w:r>
      <w:r>
        <w:t>含铜油泥</w:t>
      </w:r>
      <w:r>
        <w:rPr>
          <w:rFonts w:hint="eastAsia"/>
        </w:rPr>
        <w:t>、废拉丝油</w:t>
      </w:r>
      <w:r>
        <w:t>，使用密闭容器收集，暂存于危废暂存间；废活性炭、废过滤棉等为固态，危废暂存间暂存。危废暂存间地面按要求做好防渗措施，可避免泄漏风险。</w:t>
      </w:r>
    </w:p>
    <w:p w:rsidR="00EE56C0" w:rsidRDefault="000F36A1">
      <w:pPr>
        <w:ind w:firstLine="480"/>
      </w:pPr>
      <w:r>
        <w:t>本项目生活污水中含有</w:t>
      </w:r>
      <w:r>
        <w:t>COD</w:t>
      </w:r>
      <w:r>
        <w:t>等污染物，这些污染物一旦进入地下水，会对地下水环境造成污染，为提前预知污染可能的运行途径及污染程度，必须对可能的污染进行预测分析，并提出污染防治措施。</w:t>
      </w:r>
    </w:p>
    <w:p w:rsidR="00EE56C0" w:rsidRDefault="000F36A1">
      <w:pPr>
        <w:ind w:firstLine="480"/>
      </w:pPr>
      <w:r>
        <w:t>项目地下水污染途径主要为：</w:t>
      </w:r>
      <w:r w:rsidR="004E7F9C">
        <w:t>化粪池</w:t>
      </w:r>
      <w:r>
        <w:t>因基础不均匀沉降导致混凝土出现裂缝，导致污水发生渗漏。因此，本次预测主要考虑化粪池生活污水渗漏对地下水的影响。</w:t>
      </w:r>
    </w:p>
    <w:p w:rsidR="00EE56C0" w:rsidRDefault="000F36A1">
      <w:pPr>
        <w:ind w:firstLine="480"/>
      </w:pPr>
      <w:r>
        <w:t>根据项目工程分析，本次地下水预测选取</w:t>
      </w:r>
      <w:r>
        <w:rPr>
          <w:rFonts w:hint="eastAsia"/>
        </w:rPr>
        <w:t>耗氧量、</w:t>
      </w:r>
      <w:r>
        <w:rPr>
          <w:rFonts w:hint="eastAsia"/>
        </w:rPr>
        <w:t>NH</w:t>
      </w:r>
      <w:r>
        <w:rPr>
          <w:rFonts w:hint="eastAsia"/>
          <w:vertAlign w:val="subscript"/>
        </w:rPr>
        <w:t>3</w:t>
      </w:r>
      <w:r>
        <w:rPr>
          <w:rFonts w:hint="eastAsia"/>
        </w:rPr>
        <w:t>-N</w:t>
      </w:r>
      <w:r>
        <w:t>作为预测因子</w:t>
      </w:r>
      <w:r>
        <w:rPr>
          <w:rFonts w:hint="eastAsia"/>
        </w:rPr>
        <w:t>。</w:t>
      </w:r>
    </w:p>
    <w:p w:rsidR="00EE56C0" w:rsidRDefault="000F36A1">
      <w:pPr>
        <w:pStyle w:val="3"/>
        <w:spacing w:before="240" w:after="120"/>
      </w:pPr>
      <w:r>
        <w:rPr>
          <w:rFonts w:hint="eastAsia"/>
        </w:rPr>
        <w:t>5.3.7</w:t>
      </w:r>
      <w:r>
        <w:t>预测模型</w:t>
      </w:r>
    </w:p>
    <w:p w:rsidR="00EE56C0" w:rsidRDefault="000F36A1">
      <w:pPr>
        <w:ind w:firstLine="480"/>
      </w:pPr>
      <w:r>
        <w:t>本项目采用地下水溶质运移解析法中的一维稳定流动一维水动力弥散模式进行预测及评价，预测模型如下：</w:t>
      </w:r>
    </w:p>
    <w:p w:rsidR="00EE56C0" w:rsidRDefault="000F36A1">
      <w:pPr>
        <w:pStyle w:val="aff9"/>
        <w:spacing w:before="240" w:after="120"/>
        <w:rPr>
          <w:szCs w:val="24"/>
        </w:rPr>
      </w:pPr>
      <w:r>
        <w:rPr>
          <w:noProof/>
        </w:rPr>
        <w:drawing>
          <wp:inline distT="0" distB="0" distL="0" distR="0">
            <wp:extent cx="2585720" cy="551815"/>
            <wp:effectExtent l="19050" t="0" r="5080" b="0"/>
            <wp:docPr id="19"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94"/>
                    <pic:cNvPicPr>
                      <a:picLocks noChangeAspect="1" noChangeArrowheads="1"/>
                    </pic:cNvPicPr>
                  </pic:nvPicPr>
                  <pic:blipFill>
                    <a:blip r:embed="rId97"/>
                    <a:srcRect t="15218"/>
                    <a:stretch>
                      <a:fillRect/>
                    </a:stretch>
                  </pic:blipFill>
                  <pic:spPr>
                    <a:xfrm>
                      <a:off x="0" y="0"/>
                      <a:ext cx="2585720" cy="551815"/>
                    </a:xfrm>
                    <a:prstGeom prst="rect">
                      <a:avLst/>
                    </a:prstGeom>
                    <a:noFill/>
                    <a:ln w="9525">
                      <a:noFill/>
                      <a:miter lim="800000"/>
                      <a:headEnd/>
                      <a:tailEnd/>
                    </a:ln>
                  </pic:spPr>
                </pic:pic>
              </a:graphicData>
            </a:graphic>
          </wp:inline>
        </w:drawing>
      </w:r>
    </w:p>
    <w:p w:rsidR="00EE56C0" w:rsidRDefault="000F36A1">
      <w:pPr>
        <w:ind w:firstLine="480"/>
      </w:pPr>
      <w:r>
        <w:t>式中：</w:t>
      </w:r>
    </w:p>
    <w:p w:rsidR="00EE56C0" w:rsidRDefault="000F36A1">
      <w:pPr>
        <w:ind w:firstLine="480"/>
      </w:pPr>
      <w:r>
        <w:t>x—</w:t>
      </w:r>
      <w:r>
        <w:t>距注入点的距离，</w:t>
      </w:r>
      <w:r>
        <w:t>m</w:t>
      </w:r>
      <w:r>
        <w:t>；</w:t>
      </w:r>
    </w:p>
    <w:p w:rsidR="00EE56C0" w:rsidRDefault="000F36A1">
      <w:pPr>
        <w:ind w:firstLine="480"/>
      </w:pPr>
      <w:r>
        <w:t>t—</w:t>
      </w:r>
      <w:r>
        <w:t>时间，</w:t>
      </w:r>
      <w:r>
        <w:t>d</w:t>
      </w:r>
      <w:r>
        <w:t>；</w:t>
      </w:r>
    </w:p>
    <w:p w:rsidR="00EE56C0" w:rsidRDefault="000F36A1">
      <w:pPr>
        <w:ind w:firstLine="480"/>
      </w:pPr>
      <w:r>
        <w:t>C</w:t>
      </w:r>
      <w:r>
        <w:t>（</w:t>
      </w:r>
      <w:r>
        <w:t>x,t</w:t>
      </w:r>
      <w:r>
        <w:t>）</w:t>
      </w:r>
      <w:r>
        <w:t>—t</w:t>
      </w:r>
      <w:r>
        <w:t>时刻</w:t>
      </w:r>
      <w:r>
        <w:t>x</w:t>
      </w:r>
      <w:r>
        <w:t>处的示踪剂浓度，</w:t>
      </w:r>
      <w:r>
        <w:t>g/L</w:t>
      </w:r>
      <w:r>
        <w:t>；</w:t>
      </w:r>
    </w:p>
    <w:p w:rsidR="00EE56C0" w:rsidRDefault="000F36A1">
      <w:pPr>
        <w:ind w:firstLine="480"/>
      </w:pPr>
      <w:r>
        <w:t>C</w:t>
      </w:r>
      <w:r>
        <w:rPr>
          <w:vertAlign w:val="subscript"/>
        </w:rPr>
        <w:t>0</w:t>
      </w:r>
      <w:r>
        <w:t>—</w:t>
      </w:r>
      <w:r>
        <w:t>注入的示踪剂浓度，</w:t>
      </w:r>
      <w:r>
        <w:t>g/L</w:t>
      </w:r>
      <w:r>
        <w:t>；</w:t>
      </w:r>
    </w:p>
    <w:p w:rsidR="00EE56C0" w:rsidRDefault="000F36A1">
      <w:pPr>
        <w:ind w:firstLine="480"/>
      </w:pPr>
      <w:r>
        <w:t>u—</w:t>
      </w:r>
      <w:r>
        <w:t>水流速度，</w:t>
      </w:r>
      <w:r>
        <w:t>m/d</w:t>
      </w:r>
      <w:r>
        <w:t>；</w:t>
      </w:r>
    </w:p>
    <w:p w:rsidR="00EE56C0" w:rsidRDefault="000F36A1">
      <w:pPr>
        <w:ind w:firstLine="480"/>
      </w:pPr>
      <w:r>
        <w:t>DL—</w:t>
      </w:r>
      <w:r>
        <w:t>纵向弥散系数，</w:t>
      </w:r>
      <w:r>
        <w:t>m</w:t>
      </w:r>
      <w:r>
        <w:rPr>
          <w:vertAlign w:val="superscript"/>
        </w:rPr>
        <w:t>2</w:t>
      </w:r>
      <w:r>
        <w:t>/d</w:t>
      </w:r>
      <w:r>
        <w:t>；</w:t>
      </w:r>
    </w:p>
    <w:p w:rsidR="00EE56C0" w:rsidRDefault="000F36A1">
      <w:pPr>
        <w:ind w:firstLine="480"/>
      </w:pPr>
      <w:r>
        <w:t>erfc( )—</w:t>
      </w:r>
      <w:r>
        <w:t>余误差函数。</w:t>
      </w:r>
    </w:p>
    <w:p w:rsidR="00EE56C0" w:rsidRDefault="000F36A1">
      <w:pPr>
        <w:pStyle w:val="3"/>
        <w:spacing w:before="240" w:after="120"/>
      </w:pPr>
      <w:r>
        <w:rPr>
          <w:rFonts w:hint="eastAsia"/>
        </w:rPr>
        <w:lastRenderedPageBreak/>
        <w:t>5.3.8</w:t>
      </w:r>
      <w:r>
        <w:t>参数确定</w:t>
      </w:r>
    </w:p>
    <w:p w:rsidR="00EE56C0" w:rsidRDefault="000F36A1">
      <w:pPr>
        <w:ind w:firstLine="480"/>
      </w:pPr>
      <w:r>
        <w:rPr>
          <w:rFonts w:hint="eastAsia"/>
        </w:rPr>
        <w:t>（</w:t>
      </w:r>
      <w:r>
        <w:rPr>
          <w:rFonts w:hint="eastAsia"/>
        </w:rPr>
        <w:t>1</w:t>
      </w:r>
      <w:r>
        <w:rPr>
          <w:rFonts w:hint="eastAsia"/>
        </w:rPr>
        <w:t>）</w:t>
      </w:r>
      <w:r>
        <w:t>地下水流速：地下水实际流速的确定按下列方法取得</w:t>
      </w:r>
      <w:r>
        <w:rPr>
          <w:rFonts w:hint="eastAsia"/>
        </w:rPr>
        <w:t>：</w:t>
      </w:r>
    </w:p>
    <w:p w:rsidR="00EE56C0" w:rsidRDefault="000F36A1">
      <w:pPr>
        <w:pStyle w:val="aff9"/>
        <w:spacing w:before="240" w:after="120"/>
      </w:pPr>
      <w:r>
        <w:rPr>
          <w:rFonts w:hint="eastAsia"/>
        </w:rPr>
        <w:t>U=K</w:t>
      </w:r>
      <w:r>
        <w:rPr>
          <w:rFonts w:hint="eastAsia"/>
        </w:rPr>
        <w:t>×</w:t>
      </w:r>
      <w:r>
        <w:rPr>
          <w:rFonts w:hint="eastAsia"/>
        </w:rPr>
        <w:t>I</w:t>
      </w:r>
      <w:r>
        <w:t>/</w:t>
      </w:r>
      <w:r>
        <w:rPr>
          <w:rFonts w:hint="eastAsia"/>
        </w:rPr>
        <w:t>n</w:t>
      </w:r>
    </w:p>
    <w:p w:rsidR="00EE56C0" w:rsidRDefault="000F36A1">
      <w:pPr>
        <w:ind w:firstLine="480"/>
      </w:pPr>
      <w:r>
        <w:t>其中：</w:t>
      </w:r>
      <w:r>
        <w:t>U—</w:t>
      </w:r>
      <w:r>
        <w:t>地下水实际流速，</w:t>
      </w:r>
      <w:r>
        <w:t>m/d</w:t>
      </w:r>
      <w:r>
        <w:t>；</w:t>
      </w:r>
    </w:p>
    <w:p w:rsidR="00EE56C0" w:rsidRDefault="000F36A1">
      <w:pPr>
        <w:ind w:firstLine="480"/>
      </w:pPr>
      <w:r>
        <w:t xml:space="preserve">    K—</w:t>
      </w:r>
      <w:r>
        <w:t>渗透系数，</w:t>
      </w:r>
      <w:r>
        <w:t>m/d</w:t>
      </w:r>
      <w:r>
        <w:t>；</w:t>
      </w:r>
    </w:p>
    <w:p w:rsidR="00EE56C0" w:rsidRDefault="000F36A1">
      <w:pPr>
        <w:ind w:firstLine="480"/>
      </w:pPr>
      <w:r>
        <w:t xml:space="preserve">      I—</w:t>
      </w:r>
      <w:r>
        <w:t>水力坡度；</w:t>
      </w:r>
    </w:p>
    <w:p w:rsidR="00EE56C0" w:rsidRDefault="000F36A1">
      <w:pPr>
        <w:ind w:firstLine="480"/>
      </w:pPr>
      <w:r>
        <w:t xml:space="preserve">      n—</w:t>
      </w:r>
      <w:r>
        <w:t>孔隙度；</w:t>
      </w:r>
    </w:p>
    <w:p w:rsidR="00EE56C0" w:rsidRDefault="000F36A1">
      <w:pPr>
        <w:ind w:firstLine="480"/>
      </w:pPr>
      <w:r>
        <w:t>项目</w:t>
      </w:r>
      <w:r w:rsidR="00C12ABE">
        <w:rPr>
          <w:rFonts w:hint="eastAsia"/>
        </w:rPr>
        <w:t>区域</w:t>
      </w:r>
      <w:r>
        <w:t>地下水含水层岩性主要为</w:t>
      </w:r>
      <w:r>
        <w:rPr>
          <w:rFonts w:hint="eastAsia"/>
        </w:rPr>
        <w:t>粉砂和细砂</w:t>
      </w:r>
      <w:r>
        <w:t>，常见渗透系数表见附录</w:t>
      </w:r>
      <w:r>
        <w:t>B</w:t>
      </w:r>
      <w:r>
        <w:t>表</w:t>
      </w:r>
      <w:r>
        <w:t>B1</w:t>
      </w:r>
      <w:r>
        <w:rPr>
          <w:rFonts w:hint="eastAsia"/>
        </w:rPr>
        <w:t>，查出细砂渗透系数为</w:t>
      </w:r>
      <w:r>
        <w:rPr>
          <w:rFonts w:hint="eastAsia"/>
        </w:rPr>
        <w:t>5.0~10</w:t>
      </w:r>
      <w:r>
        <w:t>m/d</w:t>
      </w:r>
      <w:r>
        <w:t>；</w:t>
      </w:r>
      <w:r>
        <w:rPr>
          <w:rFonts w:hint="eastAsia"/>
        </w:rPr>
        <w:t>按照最不利原则，本项目</w:t>
      </w:r>
      <w:r>
        <w:t>取值为</w:t>
      </w:r>
      <w:r>
        <w:rPr>
          <w:rFonts w:hint="eastAsia"/>
        </w:rPr>
        <w:t>10</w:t>
      </w:r>
      <w:r>
        <w:t>m/d</w:t>
      </w:r>
      <w:r>
        <w:t>；</w:t>
      </w:r>
    </w:p>
    <w:p w:rsidR="00EE56C0" w:rsidRDefault="000F36A1">
      <w:pPr>
        <w:ind w:firstLine="480"/>
      </w:pPr>
      <w:r>
        <w:t>根据区域村庄水平距离和地下水水面高程差进行计算</w:t>
      </w:r>
      <w:r>
        <w:rPr>
          <w:rFonts w:hint="eastAsia"/>
        </w:rPr>
        <w:t>得出</w:t>
      </w:r>
      <w:r>
        <w:t>水力坡度</w:t>
      </w:r>
      <w:r>
        <w:rPr>
          <w:rFonts w:hint="eastAsia"/>
        </w:rPr>
        <w:t>为</w:t>
      </w:r>
      <w:r>
        <w:rPr>
          <w:rFonts w:hint="eastAsia"/>
          <w:kern w:val="2"/>
        </w:rPr>
        <w:t>1.43</w:t>
      </w:r>
      <w:r>
        <w:rPr>
          <w:kern w:val="2"/>
        </w:rPr>
        <w:t>×10</w:t>
      </w:r>
      <w:r>
        <w:rPr>
          <w:kern w:val="2"/>
          <w:vertAlign w:val="superscript"/>
        </w:rPr>
        <w:t>-</w:t>
      </w:r>
      <w:r>
        <w:rPr>
          <w:rFonts w:hint="eastAsia"/>
          <w:kern w:val="2"/>
          <w:vertAlign w:val="superscript"/>
        </w:rPr>
        <w:t>4</w:t>
      </w:r>
      <w:r>
        <w:t>；</w:t>
      </w:r>
      <w:r w:rsidRPr="00C12ABE">
        <w:rPr>
          <w:b/>
          <w:u w:val="single"/>
        </w:rPr>
        <w:t>项目区</w:t>
      </w:r>
      <w:r w:rsidR="00C12ABE" w:rsidRPr="00C12ABE">
        <w:rPr>
          <w:rFonts w:hint="eastAsia"/>
          <w:b/>
          <w:u w:val="single"/>
        </w:rPr>
        <w:t>域</w:t>
      </w:r>
      <w:r w:rsidRPr="00C12ABE">
        <w:rPr>
          <w:b/>
          <w:u w:val="single"/>
        </w:rPr>
        <w:t>含水层岩性主要为</w:t>
      </w:r>
      <w:r w:rsidRPr="00C12ABE">
        <w:rPr>
          <w:rFonts w:hint="eastAsia"/>
          <w:b/>
          <w:u w:val="single"/>
        </w:rPr>
        <w:t>细砂</w:t>
      </w:r>
      <w:r w:rsidRPr="00C12ABE">
        <w:rPr>
          <w:b/>
          <w:u w:val="single"/>
        </w:rPr>
        <w:t>，孔隙度取经验值</w:t>
      </w:r>
      <w:r w:rsidRPr="00C12ABE">
        <w:rPr>
          <w:b/>
          <w:u w:val="single"/>
        </w:rPr>
        <w:t>0.4</w:t>
      </w:r>
      <w:r w:rsidRPr="00C12ABE">
        <w:rPr>
          <w:rFonts w:hint="eastAsia"/>
          <w:b/>
          <w:u w:val="single"/>
        </w:rPr>
        <w:t>，</w:t>
      </w:r>
      <w:r>
        <w:t>不同地质孔隙度经验值一览表见表</w:t>
      </w:r>
      <w:r>
        <w:rPr>
          <w:rFonts w:hint="eastAsia"/>
        </w:rPr>
        <w:t>5-4</w:t>
      </w:r>
      <w:r w:rsidR="005767FB">
        <w:rPr>
          <w:rFonts w:hint="eastAsia"/>
        </w:rPr>
        <w:t>0</w:t>
      </w:r>
      <w:r>
        <w:t>。</w:t>
      </w:r>
    </w:p>
    <w:p w:rsidR="00EE56C0" w:rsidRDefault="000F36A1">
      <w:pPr>
        <w:pStyle w:val="afd"/>
        <w:spacing w:before="120" w:after="120"/>
        <w:ind w:firstLine="482"/>
        <w:rPr>
          <w:snapToGrid w:val="0"/>
        </w:rPr>
      </w:pPr>
      <w:r>
        <w:rPr>
          <w:snapToGrid w:val="0"/>
        </w:rPr>
        <w:t>表</w:t>
      </w:r>
      <w:r w:rsidR="005767FB">
        <w:rPr>
          <w:rFonts w:hint="eastAsia"/>
        </w:rPr>
        <w:t>5-40</w:t>
      </w:r>
      <w:r>
        <w:rPr>
          <w:snapToGrid w:val="0"/>
        </w:rPr>
        <w:t xml:space="preserve"> </w:t>
      </w:r>
      <w:r w:rsidR="004E7F9C">
        <w:rPr>
          <w:rFonts w:hint="eastAsia"/>
          <w:snapToGrid w:val="0"/>
        </w:rPr>
        <w:t xml:space="preserve">           </w:t>
      </w:r>
      <w:r>
        <w:rPr>
          <w:snapToGrid w:val="0"/>
        </w:rPr>
        <w:t>孔隙度经验值一览表</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tblPr>
      <w:tblGrid>
        <w:gridCol w:w="1698"/>
        <w:gridCol w:w="1526"/>
        <w:gridCol w:w="1418"/>
        <w:gridCol w:w="1419"/>
        <w:gridCol w:w="1277"/>
        <w:gridCol w:w="1191"/>
      </w:tblGrid>
      <w:tr w:rsidR="00EE56C0">
        <w:trPr>
          <w:trHeight w:val="454"/>
          <w:jc w:val="center"/>
        </w:trPr>
        <w:tc>
          <w:tcPr>
            <w:tcW w:w="1700" w:type="dxa"/>
            <w:vAlign w:val="center"/>
          </w:tcPr>
          <w:p w:rsidR="00EE56C0" w:rsidRDefault="000F36A1">
            <w:pPr>
              <w:pStyle w:val="aff1"/>
              <w:rPr>
                <w:color w:val="auto"/>
              </w:rPr>
            </w:pPr>
            <w:r>
              <w:rPr>
                <w:color w:val="auto"/>
              </w:rPr>
              <w:t>岩石名称</w:t>
            </w:r>
          </w:p>
        </w:tc>
        <w:tc>
          <w:tcPr>
            <w:tcW w:w="1527" w:type="dxa"/>
            <w:vAlign w:val="center"/>
          </w:tcPr>
          <w:p w:rsidR="00EE56C0" w:rsidRDefault="000F36A1">
            <w:pPr>
              <w:pStyle w:val="aff1"/>
              <w:rPr>
                <w:color w:val="auto"/>
              </w:rPr>
            </w:pPr>
            <w:r>
              <w:rPr>
                <w:color w:val="auto"/>
              </w:rPr>
              <w:t>砾石（粗）</w:t>
            </w:r>
          </w:p>
        </w:tc>
        <w:tc>
          <w:tcPr>
            <w:tcW w:w="1418" w:type="dxa"/>
            <w:vAlign w:val="center"/>
          </w:tcPr>
          <w:p w:rsidR="00EE56C0" w:rsidRDefault="000F36A1">
            <w:pPr>
              <w:pStyle w:val="aff1"/>
              <w:rPr>
                <w:color w:val="auto"/>
              </w:rPr>
            </w:pPr>
            <w:r>
              <w:rPr>
                <w:color w:val="auto"/>
              </w:rPr>
              <w:t>砾石（细）</w:t>
            </w:r>
          </w:p>
        </w:tc>
        <w:tc>
          <w:tcPr>
            <w:tcW w:w="1419" w:type="dxa"/>
            <w:vAlign w:val="center"/>
          </w:tcPr>
          <w:p w:rsidR="00EE56C0" w:rsidRDefault="000F36A1">
            <w:pPr>
              <w:pStyle w:val="aff1"/>
              <w:rPr>
                <w:color w:val="auto"/>
              </w:rPr>
            </w:pPr>
            <w:r>
              <w:rPr>
                <w:color w:val="auto"/>
              </w:rPr>
              <w:t>砂（粗）</w:t>
            </w:r>
          </w:p>
        </w:tc>
        <w:tc>
          <w:tcPr>
            <w:tcW w:w="1277" w:type="dxa"/>
            <w:vAlign w:val="center"/>
          </w:tcPr>
          <w:p w:rsidR="00EE56C0" w:rsidRDefault="000F36A1">
            <w:pPr>
              <w:pStyle w:val="aff1"/>
              <w:rPr>
                <w:color w:val="auto"/>
              </w:rPr>
            </w:pPr>
            <w:r>
              <w:rPr>
                <w:color w:val="auto"/>
              </w:rPr>
              <w:t>砂（细）</w:t>
            </w:r>
          </w:p>
        </w:tc>
        <w:tc>
          <w:tcPr>
            <w:tcW w:w="1191" w:type="dxa"/>
            <w:vAlign w:val="center"/>
          </w:tcPr>
          <w:p w:rsidR="00EE56C0" w:rsidRDefault="000F36A1">
            <w:pPr>
              <w:pStyle w:val="aff1"/>
              <w:rPr>
                <w:color w:val="auto"/>
              </w:rPr>
            </w:pPr>
            <w:r>
              <w:rPr>
                <w:color w:val="auto"/>
              </w:rPr>
              <w:t>黏土</w:t>
            </w:r>
          </w:p>
        </w:tc>
      </w:tr>
      <w:tr w:rsidR="00EE56C0">
        <w:trPr>
          <w:trHeight w:val="454"/>
          <w:jc w:val="center"/>
        </w:trPr>
        <w:tc>
          <w:tcPr>
            <w:tcW w:w="1700" w:type="dxa"/>
            <w:vAlign w:val="center"/>
          </w:tcPr>
          <w:p w:rsidR="00EE56C0" w:rsidRDefault="000F36A1">
            <w:pPr>
              <w:pStyle w:val="afa"/>
            </w:pPr>
            <w:r>
              <w:t>孔隙度变化区间</w:t>
            </w:r>
          </w:p>
        </w:tc>
        <w:tc>
          <w:tcPr>
            <w:tcW w:w="1527" w:type="dxa"/>
            <w:vAlign w:val="center"/>
          </w:tcPr>
          <w:p w:rsidR="00EE56C0" w:rsidRDefault="000F36A1">
            <w:pPr>
              <w:pStyle w:val="afa"/>
            </w:pPr>
            <w:r>
              <w:t>24%-36%</w:t>
            </w:r>
          </w:p>
        </w:tc>
        <w:tc>
          <w:tcPr>
            <w:tcW w:w="1418" w:type="dxa"/>
            <w:vAlign w:val="center"/>
          </w:tcPr>
          <w:p w:rsidR="00EE56C0" w:rsidRDefault="000F36A1">
            <w:pPr>
              <w:pStyle w:val="afa"/>
            </w:pPr>
            <w:r>
              <w:t>25%-38%</w:t>
            </w:r>
          </w:p>
        </w:tc>
        <w:tc>
          <w:tcPr>
            <w:tcW w:w="1419" w:type="dxa"/>
            <w:vAlign w:val="center"/>
          </w:tcPr>
          <w:p w:rsidR="00EE56C0" w:rsidRDefault="000F36A1">
            <w:pPr>
              <w:pStyle w:val="afa"/>
            </w:pPr>
            <w:r>
              <w:t>31%-46%</w:t>
            </w:r>
          </w:p>
        </w:tc>
        <w:tc>
          <w:tcPr>
            <w:tcW w:w="1277" w:type="dxa"/>
            <w:vAlign w:val="center"/>
          </w:tcPr>
          <w:p w:rsidR="00EE56C0" w:rsidRDefault="000F36A1">
            <w:pPr>
              <w:pStyle w:val="afa"/>
            </w:pPr>
            <w:r>
              <w:t>26%-53%</w:t>
            </w:r>
          </w:p>
        </w:tc>
        <w:tc>
          <w:tcPr>
            <w:tcW w:w="1191" w:type="dxa"/>
            <w:vAlign w:val="center"/>
          </w:tcPr>
          <w:p w:rsidR="00EE56C0" w:rsidRDefault="000F36A1">
            <w:pPr>
              <w:pStyle w:val="afa"/>
            </w:pPr>
            <w:r>
              <w:t>34%-60%</w:t>
            </w:r>
          </w:p>
        </w:tc>
      </w:tr>
    </w:tbl>
    <w:p w:rsidR="00EE56C0" w:rsidRDefault="000F36A1">
      <w:pPr>
        <w:ind w:firstLine="480"/>
      </w:pPr>
      <w:r>
        <w:rPr>
          <w:rFonts w:hint="eastAsia"/>
        </w:rPr>
        <w:t>综上，</w:t>
      </w:r>
      <w:r>
        <w:t>可计算得出地下水流速为</w:t>
      </w:r>
      <w:r>
        <w:t>0.0</w:t>
      </w:r>
      <w:r>
        <w:rPr>
          <w:rFonts w:hint="eastAsia"/>
        </w:rPr>
        <w:t>04</w:t>
      </w:r>
      <w:r>
        <w:t>m/d</w:t>
      </w:r>
      <w:r>
        <w:t>。</w:t>
      </w:r>
    </w:p>
    <w:p w:rsidR="00EE56C0" w:rsidRDefault="000F36A1">
      <w:pPr>
        <w:ind w:firstLine="480"/>
        <w:rPr>
          <w:snapToGrid w:val="0"/>
        </w:rPr>
      </w:pPr>
      <w:r>
        <w:rPr>
          <w:rFonts w:hint="eastAsia"/>
        </w:rPr>
        <w:t>（</w:t>
      </w:r>
      <w:r>
        <w:rPr>
          <w:rFonts w:hint="eastAsia"/>
        </w:rPr>
        <w:t>2</w:t>
      </w:r>
      <w:r>
        <w:rPr>
          <w:rFonts w:hint="eastAsia"/>
        </w:rPr>
        <w:t>）</w:t>
      </w:r>
      <w:r>
        <w:rPr>
          <w:snapToGrid w:val="0"/>
        </w:rPr>
        <w:t>弥散系数</w:t>
      </w:r>
    </w:p>
    <w:p w:rsidR="00EE56C0" w:rsidRDefault="00340837">
      <w:pPr>
        <w:ind w:firstLine="480"/>
        <w:rPr>
          <w:snapToGrid w:val="0"/>
        </w:rPr>
      </w:pPr>
      <w:r w:rsidRPr="00340837">
        <w:rPr>
          <w:snapToGrid w:val="0"/>
          <w:position w:val="-6"/>
        </w:rPr>
        <w:pict>
          <v:shape id="图片 101" o:spid="_x0000_s2135" type="#_x0000_t75" style="position:absolute;left:0;text-align:left;margin-left:157.65pt;margin-top:28.25pt;width:62pt;height:16pt;z-index:251678208">
            <v:imagedata r:id="rId98" o:title=""/>
            <w10:wrap type="topAndBottom"/>
          </v:shape>
          <o:OLEObject Type="Embed" ProgID="Equation.3" ShapeID="图片 101" DrawAspect="Content" ObjectID="_1705848372" r:id="rId99"/>
        </w:pict>
      </w:r>
      <w:r w:rsidR="000F36A1">
        <w:rPr>
          <w:snapToGrid w:val="0"/>
        </w:rPr>
        <w:t>地下水弥散系数的确定按下列方法取得：</w:t>
      </w:r>
    </w:p>
    <w:p w:rsidR="00EE56C0" w:rsidRDefault="000F36A1">
      <w:pPr>
        <w:ind w:firstLine="480"/>
        <w:rPr>
          <w:snapToGrid w:val="0"/>
        </w:rPr>
      </w:pPr>
      <w:r>
        <w:rPr>
          <w:snapToGrid w:val="0"/>
        </w:rPr>
        <w:t>其中：</w:t>
      </w:r>
      <w:r>
        <w:rPr>
          <w:snapToGrid w:val="0"/>
        </w:rPr>
        <w:t>D—</w:t>
      </w:r>
      <w:r>
        <w:rPr>
          <w:snapToGrid w:val="0"/>
        </w:rPr>
        <w:t>弥散系数，</w:t>
      </w:r>
      <w:r>
        <w:rPr>
          <w:snapToGrid w:val="0"/>
        </w:rPr>
        <w:t>m</w:t>
      </w:r>
      <w:r>
        <w:rPr>
          <w:snapToGrid w:val="0"/>
          <w:vertAlign w:val="superscript"/>
        </w:rPr>
        <w:t>2</w:t>
      </w:r>
      <w:r>
        <w:rPr>
          <w:snapToGrid w:val="0"/>
        </w:rPr>
        <w:t>/d</w:t>
      </w:r>
      <w:r>
        <w:rPr>
          <w:snapToGrid w:val="0"/>
        </w:rPr>
        <w:t>；</w:t>
      </w:r>
    </w:p>
    <w:p w:rsidR="00EE56C0" w:rsidRDefault="000F36A1">
      <w:pPr>
        <w:ind w:firstLine="480"/>
        <w:rPr>
          <w:snapToGrid w:val="0"/>
        </w:rPr>
      </w:pPr>
      <w:r>
        <w:rPr>
          <w:snapToGrid w:val="0"/>
        </w:rPr>
        <w:t xml:space="preserve">      U—</w:t>
      </w:r>
      <w:r>
        <w:rPr>
          <w:snapToGrid w:val="0"/>
        </w:rPr>
        <w:t>地下水实际流速，</w:t>
      </w:r>
      <w:r>
        <w:rPr>
          <w:snapToGrid w:val="0"/>
        </w:rPr>
        <w:t>m/d</w:t>
      </w:r>
      <w:r>
        <w:rPr>
          <w:snapToGrid w:val="0"/>
        </w:rPr>
        <w:t>；</w:t>
      </w:r>
    </w:p>
    <w:p w:rsidR="00EE56C0" w:rsidRDefault="000F36A1">
      <w:pPr>
        <w:ind w:firstLine="480"/>
        <w:rPr>
          <w:snapToGrid w:val="0"/>
        </w:rPr>
      </w:pPr>
      <w:r>
        <w:rPr>
          <w:snapToGrid w:val="0"/>
        </w:rPr>
        <w:t xml:space="preserve">      aL—</w:t>
      </w:r>
      <w:r>
        <w:rPr>
          <w:snapToGrid w:val="0"/>
        </w:rPr>
        <w:t>弥散度；</w:t>
      </w:r>
    </w:p>
    <w:p w:rsidR="00EE56C0" w:rsidRDefault="000F36A1">
      <w:pPr>
        <w:ind w:firstLine="480"/>
        <w:rPr>
          <w:snapToGrid w:val="0"/>
        </w:rPr>
      </w:pPr>
      <w:r>
        <w:rPr>
          <w:snapToGrid w:val="0"/>
        </w:rPr>
        <w:t xml:space="preserve">      m—</w:t>
      </w:r>
      <w:r>
        <w:rPr>
          <w:snapToGrid w:val="0"/>
        </w:rPr>
        <w:t>指数。</w:t>
      </w:r>
    </w:p>
    <w:p w:rsidR="00EE56C0" w:rsidRDefault="000F36A1">
      <w:pPr>
        <w:ind w:firstLine="480"/>
      </w:pPr>
      <w:r>
        <w:rPr>
          <w:rFonts w:hint="eastAsia"/>
        </w:rPr>
        <w:t>纵向弥散系数是表征流动水体中污染物在沿水流方向（或纵向）弥散的速率系数，本项目含水层地质沉积类型为细砂和中砂。根据岩土工程勘察报告</w:t>
      </w:r>
      <w:r>
        <w:t>，本项</w:t>
      </w:r>
      <w:r>
        <w:lastRenderedPageBreak/>
        <w:t>目区域含水层的粒径范围约为</w:t>
      </w:r>
      <w:r>
        <w:t>0.</w:t>
      </w:r>
      <w:r>
        <w:rPr>
          <w:rFonts w:hint="eastAsia"/>
        </w:rPr>
        <w:t>00</w:t>
      </w:r>
      <w:r>
        <w:t>5-</w:t>
      </w:r>
      <w:r>
        <w:rPr>
          <w:rFonts w:hint="eastAsia"/>
        </w:rPr>
        <w:t>0.5</w:t>
      </w:r>
      <w:r>
        <w:t>mm</w:t>
      </w:r>
      <w:r>
        <w:t>，各含水层弥散度的具体数值详见表</w:t>
      </w:r>
      <w:r>
        <w:rPr>
          <w:rFonts w:hint="eastAsia"/>
        </w:rPr>
        <w:t>5-</w:t>
      </w:r>
      <w:r w:rsidR="005767FB">
        <w:rPr>
          <w:rFonts w:hint="eastAsia"/>
        </w:rPr>
        <w:t>41</w:t>
      </w:r>
      <w:r>
        <w:t>。</w:t>
      </w:r>
    </w:p>
    <w:p w:rsidR="00EE56C0" w:rsidRDefault="000F36A1">
      <w:pPr>
        <w:pStyle w:val="afd"/>
        <w:spacing w:before="120" w:after="120"/>
        <w:ind w:firstLine="482"/>
        <w:rPr>
          <w:snapToGrid w:val="0"/>
        </w:rPr>
      </w:pPr>
      <w:r>
        <w:rPr>
          <w:snapToGrid w:val="0"/>
        </w:rPr>
        <w:t>表</w:t>
      </w:r>
      <w:r>
        <w:rPr>
          <w:rFonts w:hint="eastAsia"/>
        </w:rPr>
        <w:t>5-4</w:t>
      </w:r>
      <w:r w:rsidR="005767FB">
        <w:rPr>
          <w:rFonts w:hint="eastAsia"/>
        </w:rPr>
        <w:t>1</w:t>
      </w:r>
      <w:r>
        <w:rPr>
          <w:snapToGrid w:val="0"/>
        </w:rPr>
        <w:t xml:space="preserve">             </w:t>
      </w:r>
      <w:r>
        <w:rPr>
          <w:snapToGrid w:val="0"/>
        </w:rPr>
        <w:t>含水层弥散度类比取值表</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2377"/>
        <w:gridCol w:w="1987"/>
        <w:gridCol w:w="2125"/>
        <w:gridCol w:w="2040"/>
      </w:tblGrid>
      <w:tr w:rsidR="00EE56C0">
        <w:trPr>
          <w:trHeight w:val="425"/>
          <w:jc w:val="center"/>
        </w:trPr>
        <w:tc>
          <w:tcPr>
            <w:tcW w:w="1393" w:type="pct"/>
            <w:vAlign w:val="center"/>
          </w:tcPr>
          <w:p w:rsidR="00EE56C0" w:rsidRDefault="000F36A1">
            <w:pPr>
              <w:pStyle w:val="aff1"/>
              <w:rPr>
                <w:color w:val="auto"/>
              </w:rPr>
            </w:pPr>
            <w:r>
              <w:rPr>
                <w:color w:val="auto"/>
              </w:rPr>
              <w:t>粒径变化范围（</w:t>
            </w:r>
            <w:r>
              <w:rPr>
                <w:color w:val="auto"/>
              </w:rPr>
              <w:t>mm</w:t>
            </w:r>
            <w:r>
              <w:rPr>
                <w:color w:val="auto"/>
              </w:rPr>
              <w:t>）</w:t>
            </w:r>
          </w:p>
        </w:tc>
        <w:tc>
          <w:tcPr>
            <w:tcW w:w="1164" w:type="pct"/>
            <w:vAlign w:val="center"/>
          </w:tcPr>
          <w:p w:rsidR="00EE56C0" w:rsidRDefault="000F36A1">
            <w:pPr>
              <w:pStyle w:val="aff1"/>
              <w:rPr>
                <w:color w:val="auto"/>
              </w:rPr>
            </w:pPr>
            <w:r>
              <w:rPr>
                <w:color w:val="auto"/>
              </w:rPr>
              <w:t>均匀度系数</w:t>
            </w:r>
          </w:p>
        </w:tc>
        <w:tc>
          <w:tcPr>
            <w:tcW w:w="1246" w:type="pct"/>
            <w:vAlign w:val="center"/>
          </w:tcPr>
          <w:p w:rsidR="00EE56C0" w:rsidRDefault="000F36A1">
            <w:pPr>
              <w:pStyle w:val="aff1"/>
              <w:rPr>
                <w:color w:val="auto"/>
              </w:rPr>
            </w:pPr>
            <w:r>
              <w:rPr>
                <w:color w:val="auto"/>
              </w:rPr>
              <w:t>m</w:t>
            </w:r>
            <w:r>
              <w:rPr>
                <w:color w:val="auto"/>
              </w:rPr>
              <w:t>指数</w:t>
            </w:r>
          </w:p>
        </w:tc>
        <w:tc>
          <w:tcPr>
            <w:tcW w:w="1196" w:type="pct"/>
            <w:vAlign w:val="center"/>
          </w:tcPr>
          <w:p w:rsidR="00EE56C0" w:rsidRDefault="000F36A1">
            <w:pPr>
              <w:pStyle w:val="aff1"/>
              <w:rPr>
                <w:color w:val="auto"/>
              </w:rPr>
            </w:pPr>
            <w:r>
              <w:rPr>
                <w:color w:val="auto"/>
              </w:rPr>
              <w:t>弥散度</w:t>
            </w:r>
          </w:p>
        </w:tc>
      </w:tr>
      <w:tr w:rsidR="00EE56C0">
        <w:trPr>
          <w:trHeight w:val="425"/>
          <w:jc w:val="center"/>
        </w:trPr>
        <w:tc>
          <w:tcPr>
            <w:tcW w:w="1393" w:type="pct"/>
            <w:vAlign w:val="center"/>
          </w:tcPr>
          <w:p w:rsidR="00EE56C0" w:rsidRDefault="000F36A1">
            <w:pPr>
              <w:pStyle w:val="afa"/>
            </w:pPr>
            <w:r>
              <w:t>0.4-0.7</w:t>
            </w:r>
          </w:p>
        </w:tc>
        <w:tc>
          <w:tcPr>
            <w:tcW w:w="1164" w:type="pct"/>
            <w:vAlign w:val="center"/>
          </w:tcPr>
          <w:p w:rsidR="00EE56C0" w:rsidRDefault="000F36A1">
            <w:pPr>
              <w:pStyle w:val="afa"/>
            </w:pPr>
            <w:r>
              <w:t>1.55</w:t>
            </w:r>
          </w:p>
        </w:tc>
        <w:tc>
          <w:tcPr>
            <w:tcW w:w="1246" w:type="pct"/>
            <w:vAlign w:val="center"/>
          </w:tcPr>
          <w:p w:rsidR="00EE56C0" w:rsidRDefault="000F36A1">
            <w:pPr>
              <w:pStyle w:val="afa"/>
            </w:pPr>
            <w:r>
              <w:t>1.09</w:t>
            </w:r>
          </w:p>
        </w:tc>
        <w:tc>
          <w:tcPr>
            <w:tcW w:w="1196" w:type="pct"/>
            <w:vAlign w:val="center"/>
          </w:tcPr>
          <w:p w:rsidR="00EE56C0" w:rsidRDefault="000F36A1">
            <w:pPr>
              <w:pStyle w:val="afa"/>
            </w:pPr>
            <w:r>
              <w:t>3.96e</w:t>
            </w:r>
            <w:r>
              <w:rPr>
                <w:vertAlign w:val="superscript"/>
              </w:rPr>
              <w:t>-3</w:t>
            </w:r>
          </w:p>
        </w:tc>
      </w:tr>
      <w:tr w:rsidR="00EE56C0">
        <w:trPr>
          <w:trHeight w:val="425"/>
          <w:jc w:val="center"/>
        </w:trPr>
        <w:tc>
          <w:tcPr>
            <w:tcW w:w="1393" w:type="pct"/>
            <w:vAlign w:val="center"/>
          </w:tcPr>
          <w:p w:rsidR="00EE56C0" w:rsidRDefault="000F36A1">
            <w:pPr>
              <w:pStyle w:val="afa"/>
            </w:pPr>
            <w:r>
              <w:t>0.5-1.5</w:t>
            </w:r>
          </w:p>
        </w:tc>
        <w:tc>
          <w:tcPr>
            <w:tcW w:w="1164" w:type="pct"/>
            <w:vAlign w:val="center"/>
          </w:tcPr>
          <w:p w:rsidR="00EE56C0" w:rsidRDefault="000F36A1">
            <w:pPr>
              <w:pStyle w:val="afa"/>
            </w:pPr>
            <w:r>
              <w:t>1.85</w:t>
            </w:r>
          </w:p>
        </w:tc>
        <w:tc>
          <w:tcPr>
            <w:tcW w:w="1246" w:type="pct"/>
            <w:vAlign w:val="center"/>
          </w:tcPr>
          <w:p w:rsidR="00EE56C0" w:rsidRDefault="000F36A1">
            <w:pPr>
              <w:pStyle w:val="afa"/>
            </w:pPr>
            <w:r>
              <w:t>1.1</w:t>
            </w:r>
          </w:p>
        </w:tc>
        <w:tc>
          <w:tcPr>
            <w:tcW w:w="1196" w:type="pct"/>
            <w:vAlign w:val="center"/>
          </w:tcPr>
          <w:p w:rsidR="00EE56C0" w:rsidRDefault="000F36A1">
            <w:pPr>
              <w:pStyle w:val="afa"/>
            </w:pPr>
            <w:r>
              <w:t>5.78e</w:t>
            </w:r>
            <w:r>
              <w:rPr>
                <w:vertAlign w:val="superscript"/>
              </w:rPr>
              <w:t>-3</w:t>
            </w:r>
          </w:p>
        </w:tc>
      </w:tr>
      <w:tr w:rsidR="00EE56C0">
        <w:trPr>
          <w:trHeight w:val="425"/>
          <w:jc w:val="center"/>
        </w:trPr>
        <w:tc>
          <w:tcPr>
            <w:tcW w:w="1393" w:type="pct"/>
            <w:vAlign w:val="center"/>
          </w:tcPr>
          <w:p w:rsidR="00EE56C0" w:rsidRDefault="000F36A1">
            <w:pPr>
              <w:pStyle w:val="afa"/>
            </w:pPr>
            <w:r>
              <w:t>1-2</w:t>
            </w:r>
          </w:p>
        </w:tc>
        <w:tc>
          <w:tcPr>
            <w:tcW w:w="1164" w:type="pct"/>
            <w:vAlign w:val="center"/>
          </w:tcPr>
          <w:p w:rsidR="00EE56C0" w:rsidRDefault="000F36A1">
            <w:pPr>
              <w:pStyle w:val="afa"/>
            </w:pPr>
            <w:r>
              <w:t>1.6</w:t>
            </w:r>
          </w:p>
        </w:tc>
        <w:tc>
          <w:tcPr>
            <w:tcW w:w="1246" w:type="pct"/>
            <w:vAlign w:val="center"/>
          </w:tcPr>
          <w:p w:rsidR="00EE56C0" w:rsidRDefault="000F36A1">
            <w:pPr>
              <w:pStyle w:val="afa"/>
            </w:pPr>
            <w:r>
              <w:t>1.1</w:t>
            </w:r>
          </w:p>
        </w:tc>
        <w:tc>
          <w:tcPr>
            <w:tcW w:w="1196" w:type="pct"/>
            <w:vAlign w:val="center"/>
          </w:tcPr>
          <w:p w:rsidR="00EE56C0" w:rsidRDefault="000F36A1">
            <w:pPr>
              <w:pStyle w:val="afa"/>
            </w:pPr>
            <w:r>
              <w:t>8.8e</w:t>
            </w:r>
            <w:r>
              <w:rPr>
                <w:vertAlign w:val="superscript"/>
              </w:rPr>
              <w:t>-3</w:t>
            </w:r>
          </w:p>
        </w:tc>
      </w:tr>
      <w:tr w:rsidR="00EE56C0">
        <w:trPr>
          <w:trHeight w:val="425"/>
          <w:jc w:val="center"/>
        </w:trPr>
        <w:tc>
          <w:tcPr>
            <w:tcW w:w="1393" w:type="pct"/>
            <w:vAlign w:val="center"/>
          </w:tcPr>
          <w:p w:rsidR="00EE56C0" w:rsidRDefault="000F36A1">
            <w:pPr>
              <w:pStyle w:val="afa"/>
            </w:pPr>
            <w:r>
              <w:t>2-3</w:t>
            </w:r>
          </w:p>
        </w:tc>
        <w:tc>
          <w:tcPr>
            <w:tcW w:w="1164" w:type="pct"/>
            <w:vAlign w:val="center"/>
          </w:tcPr>
          <w:p w:rsidR="00EE56C0" w:rsidRDefault="000F36A1">
            <w:pPr>
              <w:pStyle w:val="afa"/>
            </w:pPr>
            <w:r>
              <w:t>1.3</w:t>
            </w:r>
          </w:p>
        </w:tc>
        <w:tc>
          <w:tcPr>
            <w:tcW w:w="1246" w:type="pct"/>
            <w:vAlign w:val="center"/>
          </w:tcPr>
          <w:p w:rsidR="00EE56C0" w:rsidRDefault="000F36A1">
            <w:pPr>
              <w:pStyle w:val="afa"/>
            </w:pPr>
            <w:r>
              <w:t>1.09</w:t>
            </w:r>
          </w:p>
        </w:tc>
        <w:tc>
          <w:tcPr>
            <w:tcW w:w="1196" w:type="pct"/>
            <w:vAlign w:val="center"/>
          </w:tcPr>
          <w:p w:rsidR="00EE56C0" w:rsidRDefault="000F36A1">
            <w:pPr>
              <w:pStyle w:val="afa"/>
            </w:pPr>
            <w:r>
              <w:t>1.3e</w:t>
            </w:r>
            <w:r>
              <w:rPr>
                <w:vertAlign w:val="superscript"/>
              </w:rPr>
              <w:t>-2</w:t>
            </w:r>
          </w:p>
        </w:tc>
      </w:tr>
      <w:tr w:rsidR="00EE56C0">
        <w:trPr>
          <w:trHeight w:val="425"/>
          <w:jc w:val="center"/>
        </w:trPr>
        <w:tc>
          <w:tcPr>
            <w:tcW w:w="1393" w:type="pct"/>
            <w:vAlign w:val="center"/>
          </w:tcPr>
          <w:p w:rsidR="00EE56C0" w:rsidRDefault="000F36A1">
            <w:pPr>
              <w:pStyle w:val="afa"/>
            </w:pPr>
            <w:r>
              <w:t>5-7</w:t>
            </w:r>
          </w:p>
        </w:tc>
        <w:tc>
          <w:tcPr>
            <w:tcW w:w="1164" w:type="pct"/>
            <w:vAlign w:val="center"/>
          </w:tcPr>
          <w:p w:rsidR="00EE56C0" w:rsidRDefault="000F36A1">
            <w:pPr>
              <w:pStyle w:val="afa"/>
            </w:pPr>
            <w:r>
              <w:t>1.3</w:t>
            </w:r>
          </w:p>
        </w:tc>
        <w:tc>
          <w:tcPr>
            <w:tcW w:w="1246" w:type="pct"/>
            <w:vAlign w:val="center"/>
          </w:tcPr>
          <w:p w:rsidR="00EE56C0" w:rsidRDefault="000F36A1">
            <w:pPr>
              <w:pStyle w:val="afa"/>
            </w:pPr>
            <w:r>
              <w:t>1.09</w:t>
            </w:r>
          </w:p>
        </w:tc>
        <w:tc>
          <w:tcPr>
            <w:tcW w:w="1196" w:type="pct"/>
            <w:vAlign w:val="center"/>
          </w:tcPr>
          <w:p w:rsidR="00EE56C0" w:rsidRDefault="000F36A1">
            <w:pPr>
              <w:pStyle w:val="afa"/>
            </w:pPr>
            <w:r>
              <w:t>1.67e</w:t>
            </w:r>
            <w:r>
              <w:rPr>
                <w:vertAlign w:val="superscript"/>
              </w:rPr>
              <w:t>-2</w:t>
            </w:r>
          </w:p>
        </w:tc>
      </w:tr>
      <w:tr w:rsidR="00EE56C0">
        <w:trPr>
          <w:trHeight w:val="425"/>
          <w:jc w:val="center"/>
        </w:trPr>
        <w:tc>
          <w:tcPr>
            <w:tcW w:w="1393" w:type="pct"/>
            <w:vAlign w:val="center"/>
          </w:tcPr>
          <w:p w:rsidR="00EE56C0" w:rsidRDefault="000F36A1">
            <w:pPr>
              <w:pStyle w:val="afa"/>
            </w:pPr>
            <w:r>
              <w:t>0.5-2</w:t>
            </w:r>
          </w:p>
        </w:tc>
        <w:tc>
          <w:tcPr>
            <w:tcW w:w="1164" w:type="pct"/>
            <w:vAlign w:val="center"/>
          </w:tcPr>
          <w:p w:rsidR="00EE56C0" w:rsidRDefault="000F36A1">
            <w:pPr>
              <w:pStyle w:val="afa"/>
            </w:pPr>
            <w:r>
              <w:t>2</w:t>
            </w:r>
          </w:p>
        </w:tc>
        <w:tc>
          <w:tcPr>
            <w:tcW w:w="1246" w:type="pct"/>
            <w:vAlign w:val="center"/>
          </w:tcPr>
          <w:p w:rsidR="00EE56C0" w:rsidRDefault="000F36A1">
            <w:pPr>
              <w:pStyle w:val="afa"/>
            </w:pPr>
            <w:r>
              <w:t>1.08</w:t>
            </w:r>
          </w:p>
        </w:tc>
        <w:tc>
          <w:tcPr>
            <w:tcW w:w="1196" w:type="pct"/>
            <w:vAlign w:val="center"/>
          </w:tcPr>
          <w:p w:rsidR="00EE56C0" w:rsidRDefault="000F36A1">
            <w:pPr>
              <w:pStyle w:val="afa"/>
            </w:pPr>
            <w:r>
              <w:t>3.11e</w:t>
            </w:r>
            <w:r>
              <w:rPr>
                <w:vertAlign w:val="superscript"/>
              </w:rPr>
              <w:t>-3</w:t>
            </w:r>
          </w:p>
        </w:tc>
      </w:tr>
      <w:tr w:rsidR="00EE56C0">
        <w:trPr>
          <w:trHeight w:val="425"/>
          <w:jc w:val="center"/>
        </w:trPr>
        <w:tc>
          <w:tcPr>
            <w:tcW w:w="1393" w:type="pct"/>
            <w:vAlign w:val="center"/>
          </w:tcPr>
          <w:p w:rsidR="00EE56C0" w:rsidRDefault="000F36A1">
            <w:pPr>
              <w:pStyle w:val="afa"/>
            </w:pPr>
            <w:r>
              <w:t>0.2-5</w:t>
            </w:r>
          </w:p>
        </w:tc>
        <w:tc>
          <w:tcPr>
            <w:tcW w:w="1164" w:type="pct"/>
            <w:vAlign w:val="center"/>
          </w:tcPr>
          <w:p w:rsidR="00EE56C0" w:rsidRDefault="000F36A1">
            <w:pPr>
              <w:pStyle w:val="afa"/>
            </w:pPr>
            <w:r>
              <w:t>5</w:t>
            </w:r>
          </w:p>
        </w:tc>
        <w:tc>
          <w:tcPr>
            <w:tcW w:w="1246" w:type="pct"/>
            <w:vAlign w:val="center"/>
          </w:tcPr>
          <w:p w:rsidR="00EE56C0" w:rsidRDefault="000F36A1">
            <w:pPr>
              <w:pStyle w:val="afa"/>
            </w:pPr>
            <w:r>
              <w:t>1.08</w:t>
            </w:r>
          </w:p>
        </w:tc>
        <w:tc>
          <w:tcPr>
            <w:tcW w:w="1196" w:type="pct"/>
            <w:vAlign w:val="center"/>
          </w:tcPr>
          <w:p w:rsidR="00EE56C0" w:rsidRDefault="000F36A1">
            <w:pPr>
              <w:pStyle w:val="afa"/>
            </w:pPr>
            <w:r>
              <w:t>8.3e</w:t>
            </w:r>
            <w:r>
              <w:rPr>
                <w:vertAlign w:val="superscript"/>
              </w:rPr>
              <w:t>-3</w:t>
            </w:r>
          </w:p>
        </w:tc>
      </w:tr>
      <w:tr w:rsidR="00EE56C0">
        <w:trPr>
          <w:trHeight w:val="425"/>
          <w:jc w:val="center"/>
        </w:trPr>
        <w:tc>
          <w:tcPr>
            <w:tcW w:w="1393" w:type="pct"/>
            <w:vAlign w:val="center"/>
          </w:tcPr>
          <w:p w:rsidR="00EE56C0" w:rsidRDefault="000F36A1">
            <w:pPr>
              <w:pStyle w:val="afa"/>
            </w:pPr>
            <w:r>
              <w:t>0.1-10</w:t>
            </w:r>
          </w:p>
        </w:tc>
        <w:tc>
          <w:tcPr>
            <w:tcW w:w="1164" w:type="pct"/>
            <w:vAlign w:val="center"/>
          </w:tcPr>
          <w:p w:rsidR="00EE56C0" w:rsidRDefault="000F36A1">
            <w:pPr>
              <w:pStyle w:val="afa"/>
            </w:pPr>
            <w:r>
              <w:t>10</w:t>
            </w:r>
          </w:p>
        </w:tc>
        <w:tc>
          <w:tcPr>
            <w:tcW w:w="1246" w:type="pct"/>
            <w:vAlign w:val="center"/>
          </w:tcPr>
          <w:p w:rsidR="00EE56C0" w:rsidRDefault="000F36A1">
            <w:pPr>
              <w:pStyle w:val="afa"/>
            </w:pPr>
            <w:r>
              <w:t>1.07</w:t>
            </w:r>
          </w:p>
        </w:tc>
        <w:tc>
          <w:tcPr>
            <w:tcW w:w="1196" w:type="pct"/>
            <w:vAlign w:val="center"/>
          </w:tcPr>
          <w:p w:rsidR="00EE56C0" w:rsidRDefault="000F36A1">
            <w:pPr>
              <w:pStyle w:val="afa"/>
            </w:pPr>
            <w:r>
              <w:t>1.63e</w:t>
            </w:r>
            <w:r>
              <w:rPr>
                <w:vertAlign w:val="superscript"/>
              </w:rPr>
              <w:t>-2</w:t>
            </w:r>
          </w:p>
        </w:tc>
      </w:tr>
      <w:tr w:rsidR="00EE56C0">
        <w:trPr>
          <w:trHeight w:val="425"/>
          <w:jc w:val="center"/>
        </w:trPr>
        <w:tc>
          <w:tcPr>
            <w:tcW w:w="1393" w:type="pct"/>
            <w:vAlign w:val="center"/>
          </w:tcPr>
          <w:p w:rsidR="00EE56C0" w:rsidRDefault="000F36A1">
            <w:pPr>
              <w:pStyle w:val="afa"/>
            </w:pPr>
            <w:r>
              <w:t>0.05-20</w:t>
            </w:r>
          </w:p>
        </w:tc>
        <w:tc>
          <w:tcPr>
            <w:tcW w:w="1164" w:type="pct"/>
            <w:vAlign w:val="center"/>
          </w:tcPr>
          <w:p w:rsidR="00EE56C0" w:rsidRDefault="000F36A1">
            <w:pPr>
              <w:pStyle w:val="afa"/>
            </w:pPr>
            <w:r>
              <w:t>20</w:t>
            </w:r>
          </w:p>
        </w:tc>
        <w:tc>
          <w:tcPr>
            <w:tcW w:w="1246" w:type="pct"/>
            <w:vAlign w:val="center"/>
          </w:tcPr>
          <w:p w:rsidR="00EE56C0" w:rsidRDefault="000F36A1">
            <w:pPr>
              <w:pStyle w:val="afa"/>
            </w:pPr>
            <w:r>
              <w:t>1.07</w:t>
            </w:r>
          </w:p>
        </w:tc>
        <w:tc>
          <w:tcPr>
            <w:tcW w:w="1196" w:type="pct"/>
            <w:vAlign w:val="center"/>
          </w:tcPr>
          <w:p w:rsidR="00EE56C0" w:rsidRDefault="000F36A1">
            <w:pPr>
              <w:pStyle w:val="afa"/>
            </w:pPr>
            <w:r>
              <w:t>7.07e</w:t>
            </w:r>
            <w:r>
              <w:rPr>
                <w:vertAlign w:val="superscript"/>
              </w:rPr>
              <w:t>-2</w:t>
            </w:r>
          </w:p>
        </w:tc>
      </w:tr>
    </w:tbl>
    <w:p w:rsidR="00EE56C0" w:rsidRDefault="000F36A1">
      <w:pPr>
        <w:ind w:firstLine="480"/>
      </w:pPr>
      <w:r>
        <w:t>按上表计算，项目所在区域含水层弥散系数为</w:t>
      </w:r>
      <w:r>
        <w:t>0.00</w:t>
      </w:r>
      <w:r>
        <w:rPr>
          <w:rFonts w:hint="eastAsia"/>
        </w:rPr>
        <w:t>26</w:t>
      </w:r>
      <w:r>
        <w:t>m</w:t>
      </w:r>
      <w:r>
        <w:rPr>
          <w:vertAlign w:val="superscript"/>
        </w:rPr>
        <w:t>2</w:t>
      </w:r>
      <w:r>
        <w:t>/d</w:t>
      </w:r>
      <w:r>
        <w:t>。</w:t>
      </w:r>
    </w:p>
    <w:p w:rsidR="00EE56C0" w:rsidRDefault="000F36A1">
      <w:pPr>
        <w:ind w:firstLine="480"/>
      </w:pPr>
      <w:r>
        <w:rPr>
          <w:rFonts w:hint="eastAsia"/>
        </w:rPr>
        <w:t>本次评价按最不利原则，取厂区化粪池污染物浓度最大处的浓度进行预测。由于</w:t>
      </w:r>
      <w:r>
        <w:t>COD</w:t>
      </w:r>
      <w:r>
        <w:rPr>
          <w:rFonts w:hint="eastAsia"/>
        </w:rPr>
        <w:t>值比耗氧量大，因此本次评价耗氧量源强取</w:t>
      </w:r>
      <w:r>
        <w:t>COD</w:t>
      </w:r>
      <w:r>
        <w:rPr>
          <w:rFonts w:hint="eastAsia"/>
        </w:rPr>
        <w:t>最大值进行预测。因此，</w:t>
      </w:r>
      <w:r>
        <w:t>本次评价模型计算参数取值详见表</w:t>
      </w:r>
      <w:r>
        <w:t>5</w:t>
      </w:r>
      <w:r w:rsidR="005767FB">
        <w:rPr>
          <w:rFonts w:hint="eastAsia"/>
        </w:rPr>
        <w:t>-42</w:t>
      </w:r>
      <w:r>
        <w:t>。</w:t>
      </w:r>
    </w:p>
    <w:p w:rsidR="00EE56C0" w:rsidRDefault="000F36A1">
      <w:pPr>
        <w:pStyle w:val="afd"/>
        <w:spacing w:before="120" w:after="120"/>
        <w:ind w:firstLine="482"/>
      </w:pPr>
      <w:r>
        <w:t>表</w:t>
      </w:r>
      <w:r>
        <w:t>5-</w:t>
      </w:r>
      <w:r>
        <w:rPr>
          <w:rFonts w:hint="eastAsia"/>
        </w:rPr>
        <w:t>4</w:t>
      </w:r>
      <w:r w:rsidR="005767FB">
        <w:rPr>
          <w:rFonts w:hint="eastAsia"/>
        </w:rPr>
        <w:t>2</w:t>
      </w:r>
      <w:r w:rsidR="00C12ABE">
        <w:rPr>
          <w:rFonts w:hint="eastAsia"/>
        </w:rPr>
        <w:t xml:space="preserve">           </w:t>
      </w:r>
      <w:r>
        <w:t>地下水预测参数选取一览表</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1923"/>
        <w:gridCol w:w="1709"/>
        <w:gridCol w:w="1700"/>
        <w:gridCol w:w="1948"/>
        <w:gridCol w:w="1249"/>
      </w:tblGrid>
      <w:tr w:rsidR="00EE56C0">
        <w:trPr>
          <w:trHeight w:val="425"/>
          <w:jc w:val="center"/>
        </w:trPr>
        <w:tc>
          <w:tcPr>
            <w:tcW w:w="1127" w:type="pct"/>
            <w:vMerge w:val="restart"/>
            <w:vAlign w:val="center"/>
          </w:tcPr>
          <w:p w:rsidR="00EE56C0" w:rsidRDefault="000F36A1">
            <w:pPr>
              <w:pStyle w:val="aff1"/>
              <w:rPr>
                <w:color w:val="auto"/>
              </w:rPr>
            </w:pPr>
            <w:r>
              <w:rPr>
                <w:color w:val="auto"/>
              </w:rPr>
              <w:t>参数</w:t>
            </w:r>
          </w:p>
        </w:tc>
        <w:tc>
          <w:tcPr>
            <w:tcW w:w="1997" w:type="pct"/>
            <w:gridSpan w:val="2"/>
            <w:vAlign w:val="center"/>
          </w:tcPr>
          <w:p w:rsidR="00EE56C0" w:rsidRDefault="000F36A1">
            <w:pPr>
              <w:pStyle w:val="aff1"/>
              <w:rPr>
                <w:color w:val="auto"/>
              </w:rPr>
            </w:pPr>
            <w:r>
              <w:rPr>
                <w:color w:val="auto"/>
              </w:rPr>
              <w:t>C</w:t>
            </w:r>
            <w:r>
              <w:rPr>
                <w:color w:val="auto"/>
                <w:vertAlign w:val="subscript"/>
              </w:rPr>
              <w:t>0</w:t>
            </w:r>
            <w:r>
              <w:rPr>
                <w:color w:val="auto"/>
              </w:rPr>
              <w:t>（</w:t>
            </w:r>
            <w:r>
              <w:rPr>
                <w:color w:val="auto"/>
              </w:rPr>
              <w:t>mg/L</w:t>
            </w:r>
            <w:r>
              <w:rPr>
                <w:color w:val="auto"/>
              </w:rPr>
              <w:t>）</w:t>
            </w:r>
          </w:p>
        </w:tc>
        <w:tc>
          <w:tcPr>
            <w:tcW w:w="1142" w:type="pct"/>
            <w:vMerge w:val="restart"/>
            <w:vAlign w:val="center"/>
          </w:tcPr>
          <w:p w:rsidR="00EE56C0" w:rsidRDefault="000F36A1">
            <w:pPr>
              <w:pStyle w:val="aff1"/>
              <w:rPr>
                <w:color w:val="auto"/>
              </w:rPr>
            </w:pPr>
            <w:r>
              <w:rPr>
                <w:color w:val="auto"/>
              </w:rPr>
              <w:t>D(m</w:t>
            </w:r>
            <w:r>
              <w:rPr>
                <w:color w:val="auto"/>
                <w:vertAlign w:val="superscript"/>
              </w:rPr>
              <w:t>2</w:t>
            </w:r>
            <w:r>
              <w:rPr>
                <w:color w:val="auto"/>
              </w:rPr>
              <w:t>/d)</w:t>
            </w:r>
          </w:p>
        </w:tc>
        <w:tc>
          <w:tcPr>
            <w:tcW w:w="732" w:type="pct"/>
            <w:vMerge w:val="restart"/>
            <w:vAlign w:val="center"/>
          </w:tcPr>
          <w:p w:rsidR="00EE56C0" w:rsidRDefault="000F36A1">
            <w:pPr>
              <w:pStyle w:val="aff1"/>
              <w:rPr>
                <w:color w:val="auto"/>
              </w:rPr>
            </w:pPr>
            <w:r>
              <w:rPr>
                <w:color w:val="auto"/>
              </w:rPr>
              <w:t>u(m/d)</w:t>
            </w:r>
          </w:p>
        </w:tc>
      </w:tr>
      <w:tr w:rsidR="00EE56C0">
        <w:trPr>
          <w:trHeight w:val="394"/>
          <w:jc w:val="center"/>
        </w:trPr>
        <w:tc>
          <w:tcPr>
            <w:tcW w:w="1127" w:type="pct"/>
            <w:vMerge/>
            <w:vAlign w:val="center"/>
          </w:tcPr>
          <w:p w:rsidR="00EE56C0" w:rsidRDefault="00EE56C0">
            <w:pPr>
              <w:pStyle w:val="aff1"/>
              <w:rPr>
                <w:color w:val="auto"/>
              </w:rPr>
            </w:pPr>
          </w:p>
        </w:tc>
        <w:tc>
          <w:tcPr>
            <w:tcW w:w="1001" w:type="pct"/>
            <w:tcBorders>
              <w:right w:val="single" w:sz="4" w:space="0" w:color="auto"/>
            </w:tcBorders>
            <w:vAlign w:val="center"/>
          </w:tcPr>
          <w:p w:rsidR="00EE56C0" w:rsidRDefault="000F36A1">
            <w:pPr>
              <w:pStyle w:val="aff1"/>
              <w:rPr>
                <w:color w:val="auto"/>
              </w:rPr>
            </w:pPr>
            <w:r>
              <w:rPr>
                <w:rFonts w:hint="eastAsia"/>
                <w:color w:val="auto"/>
              </w:rPr>
              <w:t>耗氧量</w:t>
            </w:r>
          </w:p>
        </w:tc>
        <w:tc>
          <w:tcPr>
            <w:tcW w:w="996" w:type="pct"/>
            <w:tcBorders>
              <w:left w:val="single" w:sz="4" w:space="0" w:color="auto"/>
            </w:tcBorders>
            <w:vAlign w:val="center"/>
          </w:tcPr>
          <w:p w:rsidR="00EE56C0" w:rsidRDefault="000F36A1">
            <w:pPr>
              <w:pStyle w:val="aff1"/>
              <w:rPr>
                <w:color w:val="auto"/>
              </w:rPr>
            </w:pPr>
            <w:r>
              <w:rPr>
                <w:rFonts w:hint="eastAsia"/>
                <w:color w:val="auto"/>
              </w:rPr>
              <w:t>NH</w:t>
            </w:r>
            <w:r>
              <w:rPr>
                <w:rFonts w:hint="eastAsia"/>
                <w:color w:val="auto"/>
                <w:vertAlign w:val="subscript"/>
              </w:rPr>
              <w:t>3</w:t>
            </w:r>
            <w:r>
              <w:rPr>
                <w:rFonts w:hint="eastAsia"/>
                <w:color w:val="auto"/>
              </w:rPr>
              <w:t>-N</w:t>
            </w:r>
          </w:p>
        </w:tc>
        <w:tc>
          <w:tcPr>
            <w:tcW w:w="1142" w:type="pct"/>
            <w:vMerge/>
            <w:vAlign w:val="center"/>
          </w:tcPr>
          <w:p w:rsidR="00EE56C0" w:rsidRDefault="00EE56C0">
            <w:pPr>
              <w:pStyle w:val="aff1"/>
              <w:rPr>
                <w:color w:val="auto"/>
              </w:rPr>
            </w:pPr>
          </w:p>
        </w:tc>
        <w:tc>
          <w:tcPr>
            <w:tcW w:w="732" w:type="pct"/>
            <w:vMerge/>
            <w:vAlign w:val="center"/>
          </w:tcPr>
          <w:p w:rsidR="00EE56C0" w:rsidRDefault="00EE56C0">
            <w:pPr>
              <w:pStyle w:val="aff1"/>
              <w:rPr>
                <w:color w:val="auto"/>
              </w:rPr>
            </w:pPr>
          </w:p>
        </w:tc>
      </w:tr>
      <w:tr w:rsidR="00EE56C0">
        <w:trPr>
          <w:trHeight w:val="425"/>
          <w:jc w:val="center"/>
        </w:trPr>
        <w:tc>
          <w:tcPr>
            <w:tcW w:w="1127" w:type="pct"/>
            <w:vAlign w:val="center"/>
          </w:tcPr>
          <w:p w:rsidR="00EE56C0" w:rsidRDefault="000F36A1">
            <w:pPr>
              <w:pStyle w:val="afa"/>
            </w:pPr>
            <w:r>
              <w:rPr>
                <w:rFonts w:hint="eastAsia"/>
              </w:rPr>
              <w:t>化粪池</w:t>
            </w:r>
          </w:p>
        </w:tc>
        <w:tc>
          <w:tcPr>
            <w:tcW w:w="1001" w:type="pct"/>
            <w:tcBorders>
              <w:right w:val="single" w:sz="4" w:space="0" w:color="auto"/>
            </w:tcBorders>
            <w:vAlign w:val="center"/>
          </w:tcPr>
          <w:p w:rsidR="00EE56C0" w:rsidRPr="00C12ABE" w:rsidRDefault="000F36A1">
            <w:pPr>
              <w:pStyle w:val="afa"/>
              <w:rPr>
                <w:b/>
                <w:u w:val="single"/>
              </w:rPr>
            </w:pPr>
            <w:r w:rsidRPr="00C12ABE">
              <w:rPr>
                <w:rFonts w:hint="eastAsia"/>
                <w:b/>
                <w:u w:val="single"/>
              </w:rPr>
              <w:t>340</w:t>
            </w:r>
          </w:p>
        </w:tc>
        <w:tc>
          <w:tcPr>
            <w:tcW w:w="996" w:type="pct"/>
            <w:tcBorders>
              <w:left w:val="single" w:sz="4" w:space="0" w:color="auto"/>
            </w:tcBorders>
            <w:vAlign w:val="center"/>
          </w:tcPr>
          <w:p w:rsidR="00EE56C0" w:rsidRPr="00C12ABE" w:rsidRDefault="000F36A1" w:rsidP="00C12ABE">
            <w:pPr>
              <w:pStyle w:val="afa"/>
              <w:rPr>
                <w:b/>
                <w:u w:val="single"/>
              </w:rPr>
            </w:pPr>
            <w:r w:rsidRPr="00C12ABE">
              <w:rPr>
                <w:rFonts w:hint="eastAsia"/>
                <w:b/>
                <w:u w:val="single"/>
              </w:rPr>
              <w:t>2</w:t>
            </w:r>
            <w:r w:rsidR="00C12ABE" w:rsidRPr="00C12ABE">
              <w:rPr>
                <w:rFonts w:hint="eastAsia"/>
                <w:b/>
                <w:u w:val="single"/>
              </w:rPr>
              <w:t>3</w:t>
            </w:r>
          </w:p>
        </w:tc>
        <w:tc>
          <w:tcPr>
            <w:tcW w:w="1142" w:type="pct"/>
            <w:vAlign w:val="center"/>
          </w:tcPr>
          <w:p w:rsidR="00EE56C0" w:rsidRPr="00C12ABE" w:rsidRDefault="000F36A1">
            <w:pPr>
              <w:pStyle w:val="afa"/>
              <w:rPr>
                <w:b/>
                <w:u w:val="single"/>
              </w:rPr>
            </w:pPr>
            <w:r w:rsidRPr="00C12ABE">
              <w:rPr>
                <w:rFonts w:hint="eastAsia"/>
                <w:b/>
                <w:u w:val="single"/>
              </w:rPr>
              <w:t>0.0026</w:t>
            </w:r>
          </w:p>
        </w:tc>
        <w:tc>
          <w:tcPr>
            <w:tcW w:w="732" w:type="pct"/>
            <w:vAlign w:val="center"/>
          </w:tcPr>
          <w:p w:rsidR="00EE56C0" w:rsidRPr="00C12ABE" w:rsidRDefault="000F36A1">
            <w:pPr>
              <w:pStyle w:val="afa"/>
              <w:rPr>
                <w:b/>
                <w:u w:val="single"/>
              </w:rPr>
            </w:pPr>
            <w:r w:rsidRPr="00C12ABE">
              <w:rPr>
                <w:b/>
                <w:u w:val="single"/>
              </w:rPr>
              <w:t>0.0</w:t>
            </w:r>
            <w:r w:rsidRPr="00C12ABE">
              <w:rPr>
                <w:rFonts w:hint="eastAsia"/>
                <w:b/>
                <w:u w:val="single"/>
              </w:rPr>
              <w:t>04</w:t>
            </w:r>
          </w:p>
        </w:tc>
      </w:tr>
    </w:tbl>
    <w:p w:rsidR="00EE56C0" w:rsidRDefault="000F36A1">
      <w:pPr>
        <w:pStyle w:val="3"/>
        <w:spacing w:before="240" w:after="120"/>
      </w:pPr>
      <w:r>
        <w:rPr>
          <w:rFonts w:hint="eastAsia"/>
        </w:rPr>
        <w:t>5.3.9</w:t>
      </w:r>
      <w:r>
        <w:t>预测结果</w:t>
      </w:r>
    </w:p>
    <w:p w:rsidR="00EE56C0" w:rsidRDefault="000F36A1">
      <w:pPr>
        <w:ind w:firstLine="482"/>
        <w:rPr>
          <w:b/>
        </w:rPr>
      </w:pPr>
      <w:bookmarkStart w:id="337" w:name="OLE_LINK72"/>
      <w:r>
        <w:rPr>
          <w:rFonts w:hint="eastAsia"/>
          <w:b/>
        </w:rPr>
        <w:t>（</w:t>
      </w:r>
      <w:r>
        <w:rPr>
          <w:rFonts w:hint="eastAsia"/>
          <w:b/>
        </w:rPr>
        <w:t>1</w:t>
      </w:r>
      <w:r>
        <w:rPr>
          <w:rFonts w:hint="eastAsia"/>
          <w:b/>
        </w:rPr>
        <w:t>）特征因子迁移预测</w:t>
      </w:r>
    </w:p>
    <w:p w:rsidR="00EE56C0" w:rsidRDefault="000F36A1">
      <w:pPr>
        <w:ind w:firstLine="480"/>
      </w:pPr>
      <w:r>
        <w:t>根据预测模型，预测不同时段地下水环境影响，预测结果见</w:t>
      </w:r>
      <w:r>
        <w:rPr>
          <w:rFonts w:hint="eastAsia"/>
        </w:rPr>
        <w:t>下表</w:t>
      </w:r>
      <w:r>
        <w:t>。</w:t>
      </w:r>
    </w:p>
    <w:p w:rsidR="00EE56C0" w:rsidRDefault="00EE56C0">
      <w:pPr>
        <w:pStyle w:val="afd"/>
        <w:spacing w:before="120" w:after="120"/>
        <w:ind w:firstLine="482"/>
      </w:pPr>
    </w:p>
    <w:p w:rsidR="00EE56C0" w:rsidRDefault="00EE56C0">
      <w:pPr>
        <w:pStyle w:val="afd"/>
        <w:spacing w:before="120" w:after="120"/>
        <w:ind w:firstLine="482"/>
      </w:pPr>
    </w:p>
    <w:p w:rsidR="00EE56C0" w:rsidRDefault="00EE56C0">
      <w:pPr>
        <w:pStyle w:val="afd"/>
        <w:spacing w:before="120" w:after="120"/>
        <w:ind w:firstLine="482"/>
      </w:pPr>
    </w:p>
    <w:p w:rsidR="00EE56C0" w:rsidRDefault="000F36A1">
      <w:pPr>
        <w:pStyle w:val="afd"/>
        <w:spacing w:before="120" w:after="120"/>
        <w:ind w:firstLine="482"/>
      </w:pPr>
      <w:r>
        <w:lastRenderedPageBreak/>
        <w:t>表</w:t>
      </w:r>
      <w:r>
        <w:rPr>
          <w:rFonts w:hint="eastAsia"/>
        </w:rPr>
        <w:t>5-4</w:t>
      </w:r>
      <w:r w:rsidR="005767FB">
        <w:rPr>
          <w:rFonts w:hint="eastAsia"/>
        </w:rPr>
        <w:t>3</w:t>
      </w:r>
      <w:r>
        <w:rPr>
          <w:rFonts w:hint="eastAsia"/>
        </w:rPr>
        <w:t xml:space="preserve">              </w:t>
      </w:r>
      <w:r>
        <w:t>地下水预测结果一览表</w:t>
      </w:r>
    </w:p>
    <w:tbl>
      <w:tblPr>
        <w:tblW w:w="8673"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tblPr>
      <w:tblGrid>
        <w:gridCol w:w="1444"/>
        <w:gridCol w:w="1559"/>
        <w:gridCol w:w="1363"/>
        <w:gridCol w:w="2404"/>
        <w:gridCol w:w="1903"/>
      </w:tblGrid>
      <w:tr w:rsidR="00EE56C0" w:rsidRPr="00C12ABE">
        <w:trPr>
          <w:trHeight w:val="425"/>
          <w:jc w:val="center"/>
        </w:trPr>
        <w:tc>
          <w:tcPr>
            <w:tcW w:w="1444" w:type="dxa"/>
            <w:vMerge w:val="restart"/>
            <w:tcBorders>
              <w:top w:val="single" w:sz="8" w:space="0" w:color="auto"/>
            </w:tcBorders>
            <w:vAlign w:val="center"/>
          </w:tcPr>
          <w:p w:rsidR="00EE56C0" w:rsidRPr="00C12ABE" w:rsidRDefault="000F36A1">
            <w:pPr>
              <w:pStyle w:val="aff1"/>
              <w:rPr>
                <w:color w:val="auto"/>
                <w:u w:val="single"/>
              </w:rPr>
            </w:pPr>
            <w:r w:rsidRPr="00C12ABE">
              <w:rPr>
                <w:color w:val="auto"/>
                <w:u w:val="single"/>
              </w:rPr>
              <w:t>时间</w:t>
            </w:r>
          </w:p>
        </w:tc>
        <w:tc>
          <w:tcPr>
            <w:tcW w:w="7229" w:type="dxa"/>
            <w:gridSpan w:val="4"/>
            <w:tcBorders>
              <w:top w:val="single" w:sz="8" w:space="0" w:color="auto"/>
            </w:tcBorders>
            <w:vAlign w:val="center"/>
          </w:tcPr>
          <w:p w:rsidR="00EE56C0" w:rsidRPr="00C12ABE" w:rsidRDefault="000F36A1">
            <w:pPr>
              <w:pStyle w:val="aff1"/>
              <w:rPr>
                <w:color w:val="auto"/>
                <w:u w:val="single"/>
              </w:rPr>
            </w:pPr>
            <w:r w:rsidRPr="00C12ABE">
              <w:rPr>
                <w:color w:val="auto"/>
                <w:u w:val="single"/>
              </w:rPr>
              <w:t>预测因子</w:t>
            </w:r>
            <w:r w:rsidRPr="00C12ABE">
              <w:rPr>
                <w:rFonts w:hint="eastAsia"/>
                <w:color w:val="auto"/>
                <w:u w:val="single"/>
              </w:rPr>
              <w:t>耗氧量</w:t>
            </w:r>
          </w:p>
        </w:tc>
      </w:tr>
      <w:tr w:rsidR="00EE56C0" w:rsidRPr="00C12ABE">
        <w:trPr>
          <w:trHeight w:val="425"/>
          <w:jc w:val="center"/>
        </w:trPr>
        <w:tc>
          <w:tcPr>
            <w:tcW w:w="1444" w:type="dxa"/>
            <w:vMerge/>
            <w:vAlign w:val="center"/>
          </w:tcPr>
          <w:p w:rsidR="00EE56C0" w:rsidRPr="00C12ABE" w:rsidRDefault="00EE56C0">
            <w:pPr>
              <w:pStyle w:val="aff1"/>
              <w:rPr>
                <w:color w:val="auto"/>
                <w:u w:val="single"/>
              </w:rPr>
            </w:pPr>
          </w:p>
        </w:tc>
        <w:tc>
          <w:tcPr>
            <w:tcW w:w="1559" w:type="dxa"/>
            <w:vAlign w:val="center"/>
          </w:tcPr>
          <w:p w:rsidR="00EE56C0" w:rsidRPr="00C12ABE" w:rsidRDefault="000F36A1">
            <w:pPr>
              <w:pStyle w:val="aff1"/>
              <w:rPr>
                <w:color w:val="auto"/>
                <w:u w:val="single"/>
              </w:rPr>
            </w:pPr>
            <w:r w:rsidRPr="00C12ABE">
              <w:rPr>
                <w:rFonts w:hint="eastAsia"/>
                <w:color w:val="auto"/>
                <w:u w:val="single"/>
              </w:rPr>
              <w:t>最大浓度出现距离（</w:t>
            </w:r>
            <w:r w:rsidRPr="00C12ABE">
              <w:rPr>
                <w:rFonts w:hint="eastAsia"/>
                <w:color w:val="auto"/>
                <w:u w:val="single"/>
              </w:rPr>
              <w:t>m</w:t>
            </w:r>
            <w:r w:rsidRPr="00C12ABE">
              <w:rPr>
                <w:rFonts w:hint="eastAsia"/>
                <w:color w:val="auto"/>
                <w:u w:val="single"/>
              </w:rPr>
              <w:t>）</w:t>
            </w:r>
          </w:p>
        </w:tc>
        <w:tc>
          <w:tcPr>
            <w:tcW w:w="1363" w:type="dxa"/>
            <w:vAlign w:val="center"/>
          </w:tcPr>
          <w:p w:rsidR="00EE56C0" w:rsidRPr="00C12ABE" w:rsidRDefault="000F36A1">
            <w:pPr>
              <w:pStyle w:val="aff1"/>
              <w:rPr>
                <w:color w:val="auto"/>
                <w:u w:val="single"/>
              </w:rPr>
            </w:pPr>
            <w:r w:rsidRPr="00C12ABE">
              <w:rPr>
                <w:rFonts w:hint="eastAsia"/>
                <w:color w:val="auto"/>
                <w:u w:val="single"/>
              </w:rPr>
              <w:t>最大</w:t>
            </w:r>
            <w:r w:rsidRPr="00C12ABE">
              <w:rPr>
                <w:color w:val="auto"/>
                <w:u w:val="single"/>
              </w:rPr>
              <w:t>浓度</w:t>
            </w:r>
          </w:p>
          <w:p w:rsidR="00EE56C0" w:rsidRPr="00C12ABE" w:rsidRDefault="000F36A1">
            <w:pPr>
              <w:pStyle w:val="aff1"/>
              <w:rPr>
                <w:color w:val="auto"/>
                <w:u w:val="single"/>
              </w:rPr>
            </w:pPr>
            <w:r w:rsidRPr="00C12ABE">
              <w:rPr>
                <w:color w:val="auto"/>
                <w:u w:val="single"/>
              </w:rPr>
              <w:t>mg/L</w:t>
            </w:r>
          </w:p>
        </w:tc>
        <w:tc>
          <w:tcPr>
            <w:tcW w:w="2404" w:type="dxa"/>
            <w:vAlign w:val="center"/>
          </w:tcPr>
          <w:p w:rsidR="00EE56C0" w:rsidRPr="00C12ABE" w:rsidRDefault="000F36A1">
            <w:pPr>
              <w:pStyle w:val="aff1"/>
              <w:rPr>
                <w:color w:val="auto"/>
                <w:u w:val="single"/>
              </w:rPr>
            </w:pPr>
            <w:r w:rsidRPr="00C12ABE">
              <w:rPr>
                <w:color w:val="auto"/>
                <w:u w:val="single"/>
              </w:rPr>
              <w:t>最远迁移距离</w:t>
            </w:r>
            <w:r w:rsidRPr="00C12ABE">
              <w:rPr>
                <w:rFonts w:hint="eastAsia"/>
                <w:color w:val="auto"/>
                <w:u w:val="single"/>
              </w:rPr>
              <w:t>（以检出限</w:t>
            </w:r>
            <w:r w:rsidRPr="00C12ABE">
              <w:rPr>
                <w:rFonts w:hint="eastAsia"/>
                <w:color w:val="auto"/>
                <w:u w:val="single"/>
              </w:rPr>
              <w:t>0.5mg/L</w:t>
            </w:r>
            <w:r w:rsidRPr="00C12ABE">
              <w:rPr>
                <w:rFonts w:hint="eastAsia"/>
                <w:color w:val="auto"/>
                <w:u w:val="single"/>
              </w:rPr>
              <w:t>为界）（</w:t>
            </w:r>
            <w:r w:rsidRPr="00C12ABE">
              <w:rPr>
                <w:rFonts w:hint="eastAsia"/>
                <w:color w:val="auto"/>
                <w:u w:val="single"/>
              </w:rPr>
              <w:t>m</w:t>
            </w:r>
            <w:r w:rsidRPr="00C12ABE">
              <w:rPr>
                <w:rFonts w:hint="eastAsia"/>
                <w:color w:val="auto"/>
                <w:u w:val="single"/>
              </w:rPr>
              <w:t>）</w:t>
            </w:r>
          </w:p>
        </w:tc>
        <w:tc>
          <w:tcPr>
            <w:tcW w:w="1903" w:type="dxa"/>
            <w:vAlign w:val="center"/>
          </w:tcPr>
          <w:p w:rsidR="00EE56C0" w:rsidRPr="00C12ABE" w:rsidRDefault="000F36A1">
            <w:pPr>
              <w:pStyle w:val="aff1"/>
              <w:rPr>
                <w:color w:val="auto"/>
                <w:u w:val="single"/>
              </w:rPr>
            </w:pPr>
            <w:r w:rsidRPr="00C12ABE">
              <w:rPr>
                <w:color w:val="auto"/>
                <w:u w:val="single"/>
              </w:rPr>
              <w:t>最远迁移距离浓度</w:t>
            </w:r>
          </w:p>
          <w:p w:rsidR="00EE56C0" w:rsidRPr="00C12ABE" w:rsidRDefault="000F36A1">
            <w:pPr>
              <w:pStyle w:val="aff1"/>
              <w:rPr>
                <w:color w:val="auto"/>
                <w:u w:val="single"/>
              </w:rPr>
            </w:pPr>
            <w:r w:rsidRPr="00C12ABE">
              <w:rPr>
                <w:color w:val="auto"/>
                <w:u w:val="single"/>
              </w:rPr>
              <w:t>mg/L</w:t>
            </w:r>
          </w:p>
        </w:tc>
      </w:tr>
      <w:tr w:rsidR="00EE56C0" w:rsidRPr="00C12ABE">
        <w:trPr>
          <w:trHeight w:val="425"/>
          <w:jc w:val="center"/>
        </w:trPr>
        <w:tc>
          <w:tcPr>
            <w:tcW w:w="1444" w:type="dxa"/>
            <w:vAlign w:val="center"/>
          </w:tcPr>
          <w:p w:rsidR="00EE56C0" w:rsidRPr="00C12ABE" w:rsidRDefault="000F36A1">
            <w:pPr>
              <w:pStyle w:val="afa"/>
              <w:rPr>
                <w:u w:val="single"/>
              </w:rPr>
            </w:pPr>
            <w:r w:rsidRPr="00C12ABE">
              <w:rPr>
                <w:rFonts w:hint="eastAsia"/>
                <w:u w:val="single"/>
              </w:rPr>
              <w:t>1d</w:t>
            </w:r>
          </w:p>
        </w:tc>
        <w:tc>
          <w:tcPr>
            <w:tcW w:w="1559" w:type="dxa"/>
            <w:vAlign w:val="center"/>
          </w:tcPr>
          <w:p w:rsidR="00EE56C0" w:rsidRPr="00C12ABE" w:rsidRDefault="000F36A1">
            <w:pPr>
              <w:pStyle w:val="afa"/>
              <w:rPr>
                <w:u w:val="single"/>
              </w:rPr>
            </w:pPr>
            <w:r w:rsidRPr="00C12ABE">
              <w:rPr>
                <w:rFonts w:hint="eastAsia"/>
                <w:u w:val="single"/>
              </w:rPr>
              <w:t>0.1</w:t>
            </w:r>
          </w:p>
        </w:tc>
        <w:tc>
          <w:tcPr>
            <w:tcW w:w="1363" w:type="dxa"/>
            <w:vAlign w:val="center"/>
          </w:tcPr>
          <w:p w:rsidR="00EE56C0" w:rsidRPr="00C12ABE" w:rsidRDefault="00C12ABE">
            <w:pPr>
              <w:pStyle w:val="afa"/>
              <w:rPr>
                <w:u w:val="single"/>
              </w:rPr>
            </w:pPr>
            <w:r>
              <w:rPr>
                <w:rFonts w:hint="eastAsia"/>
                <w:u w:val="single"/>
              </w:rPr>
              <w:t>60.72</w:t>
            </w:r>
          </w:p>
        </w:tc>
        <w:tc>
          <w:tcPr>
            <w:tcW w:w="2404" w:type="dxa"/>
            <w:vAlign w:val="center"/>
          </w:tcPr>
          <w:p w:rsidR="00EE56C0" w:rsidRPr="00C12ABE" w:rsidRDefault="000F36A1" w:rsidP="00C12ABE">
            <w:pPr>
              <w:pStyle w:val="afa"/>
              <w:rPr>
                <w:u w:val="single"/>
              </w:rPr>
            </w:pPr>
            <w:r w:rsidRPr="00C12ABE">
              <w:rPr>
                <w:rFonts w:hint="eastAsia"/>
                <w:u w:val="single"/>
              </w:rPr>
              <w:t>0.</w:t>
            </w:r>
            <w:r w:rsidR="00C12ABE">
              <w:rPr>
                <w:rFonts w:hint="eastAsia"/>
                <w:u w:val="single"/>
              </w:rPr>
              <w:t>2</w:t>
            </w:r>
          </w:p>
        </w:tc>
        <w:tc>
          <w:tcPr>
            <w:tcW w:w="1903" w:type="dxa"/>
            <w:vAlign w:val="center"/>
          </w:tcPr>
          <w:p w:rsidR="00EE56C0" w:rsidRPr="00C12ABE" w:rsidRDefault="00C12ABE">
            <w:pPr>
              <w:pStyle w:val="afa"/>
              <w:rPr>
                <w:u w:val="single"/>
              </w:rPr>
            </w:pPr>
            <w:r>
              <w:rPr>
                <w:rFonts w:hint="eastAsia"/>
                <w:u w:val="single"/>
              </w:rPr>
              <w:t>2.2</w:t>
            </w:r>
          </w:p>
        </w:tc>
      </w:tr>
      <w:tr w:rsidR="00EE56C0" w:rsidRPr="00C12ABE">
        <w:trPr>
          <w:trHeight w:val="425"/>
          <w:jc w:val="center"/>
        </w:trPr>
        <w:tc>
          <w:tcPr>
            <w:tcW w:w="1444" w:type="dxa"/>
            <w:vAlign w:val="center"/>
          </w:tcPr>
          <w:p w:rsidR="00EE56C0" w:rsidRPr="00C12ABE" w:rsidRDefault="000F36A1">
            <w:pPr>
              <w:pStyle w:val="afa"/>
              <w:rPr>
                <w:u w:val="single"/>
              </w:rPr>
            </w:pPr>
            <w:r w:rsidRPr="00C12ABE">
              <w:rPr>
                <w:rFonts w:hint="eastAsia"/>
                <w:u w:val="single"/>
              </w:rPr>
              <w:t>50d</w:t>
            </w:r>
          </w:p>
        </w:tc>
        <w:tc>
          <w:tcPr>
            <w:tcW w:w="1559" w:type="dxa"/>
            <w:vAlign w:val="center"/>
          </w:tcPr>
          <w:p w:rsidR="00EE56C0" w:rsidRPr="00C12ABE" w:rsidRDefault="00C12ABE">
            <w:pPr>
              <w:pStyle w:val="afa"/>
              <w:rPr>
                <w:u w:val="single"/>
              </w:rPr>
            </w:pPr>
            <w:r>
              <w:rPr>
                <w:rFonts w:hint="eastAsia"/>
                <w:u w:val="single"/>
              </w:rPr>
              <w:t>0.5</w:t>
            </w:r>
          </w:p>
        </w:tc>
        <w:tc>
          <w:tcPr>
            <w:tcW w:w="1363" w:type="dxa"/>
            <w:vAlign w:val="center"/>
          </w:tcPr>
          <w:p w:rsidR="00EE56C0" w:rsidRPr="00C12ABE" w:rsidRDefault="00C12ABE">
            <w:pPr>
              <w:pStyle w:val="afa"/>
              <w:rPr>
                <w:u w:val="single"/>
              </w:rPr>
            </w:pPr>
            <w:r>
              <w:rPr>
                <w:rFonts w:hint="eastAsia"/>
                <w:u w:val="single"/>
              </w:rPr>
              <w:t>1.58</w:t>
            </w:r>
          </w:p>
        </w:tc>
        <w:tc>
          <w:tcPr>
            <w:tcW w:w="2404" w:type="dxa"/>
            <w:vAlign w:val="center"/>
          </w:tcPr>
          <w:p w:rsidR="00EE56C0" w:rsidRPr="00C12ABE" w:rsidRDefault="00C12ABE">
            <w:pPr>
              <w:pStyle w:val="afa"/>
              <w:rPr>
                <w:u w:val="single"/>
              </w:rPr>
            </w:pPr>
            <w:r>
              <w:rPr>
                <w:rFonts w:hint="eastAsia"/>
                <w:u w:val="single"/>
              </w:rPr>
              <w:t>1.2</w:t>
            </w:r>
          </w:p>
        </w:tc>
        <w:tc>
          <w:tcPr>
            <w:tcW w:w="1903" w:type="dxa"/>
            <w:vAlign w:val="center"/>
          </w:tcPr>
          <w:p w:rsidR="00EE56C0" w:rsidRPr="00C12ABE" w:rsidRDefault="00C12ABE">
            <w:pPr>
              <w:pStyle w:val="afa"/>
              <w:rPr>
                <w:u w:val="single"/>
              </w:rPr>
            </w:pPr>
            <w:r>
              <w:rPr>
                <w:rFonts w:hint="eastAsia"/>
                <w:u w:val="single"/>
              </w:rPr>
              <w:t>0.54</w:t>
            </w:r>
          </w:p>
        </w:tc>
      </w:tr>
      <w:tr w:rsidR="00EE56C0" w:rsidRPr="00C12ABE">
        <w:trPr>
          <w:trHeight w:val="425"/>
          <w:jc w:val="center"/>
        </w:trPr>
        <w:tc>
          <w:tcPr>
            <w:tcW w:w="1444" w:type="dxa"/>
            <w:vAlign w:val="center"/>
          </w:tcPr>
          <w:p w:rsidR="00EE56C0" w:rsidRPr="00C12ABE" w:rsidRDefault="000F36A1">
            <w:pPr>
              <w:pStyle w:val="afa"/>
              <w:rPr>
                <w:u w:val="single"/>
              </w:rPr>
            </w:pPr>
            <w:r w:rsidRPr="00C12ABE">
              <w:rPr>
                <w:rFonts w:hint="eastAsia"/>
                <w:u w:val="single"/>
              </w:rPr>
              <w:t>100d</w:t>
            </w:r>
          </w:p>
        </w:tc>
        <w:tc>
          <w:tcPr>
            <w:tcW w:w="1559" w:type="dxa"/>
            <w:vAlign w:val="center"/>
          </w:tcPr>
          <w:p w:rsidR="00EE56C0" w:rsidRPr="00C12ABE" w:rsidRDefault="00C12ABE">
            <w:pPr>
              <w:pStyle w:val="afa"/>
              <w:rPr>
                <w:u w:val="single"/>
              </w:rPr>
            </w:pPr>
            <w:r>
              <w:rPr>
                <w:rFonts w:hint="eastAsia"/>
                <w:u w:val="single"/>
              </w:rPr>
              <w:t>0.8</w:t>
            </w:r>
          </w:p>
        </w:tc>
        <w:tc>
          <w:tcPr>
            <w:tcW w:w="1363" w:type="dxa"/>
            <w:vAlign w:val="center"/>
          </w:tcPr>
          <w:p w:rsidR="00EE56C0" w:rsidRPr="00C12ABE" w:rsidRDefault="00C12ABE">
            <w:pPr>
              <w:pStyle w:val="afa"/>
              <w:rPr>
                <w:u w:val="single"/>
              </w:rPr>
            </w:pPr>
            <w:r>
              <w:rPr>
                <w:rFonts w:hint="eastAsia"/>
                <w:u w:val="single"/>
              </w:rPr>
              <w:t>0.97</w:t>
            </w:r>
          </w:p>
        </w:tc>
        <w:tc>
          <w:tcPr>
            <w:tcW w:w="2404" w:type="dxa"/>
            <w:vAlign w:val="center"/>
          </w:tcPr>
          <w:p w:rsidR="00EE56C0" w:rsidRPr="00C12ABE" w:rsidRDefault="00C12ABE">
            <w:pPr>
              <w:pStyle w:val="afa"/>
              <w:rPr>
                <w:u w:val="single"/>
              </w:rPr>
            </w:pPr>
            <w:r>
              <w:rPr>
                <w:rFonts w:hint="eastAsia"/>
                <w:u w:val="single"/>
              </w:rPr>
              <w:t>1.5</w:t>
            </w:r>
          </w:p>
        </w:tc>
        <w:tc>
          <w:tcPr>
            <w:tcW w:w="1903" w:type="dxa"/>
            <w:vAlign w:val="center"/>
          </w:tcPr>
          <w:p w:rsidR="00EE56C0" w:rsidRPr="00C12ABE" w:rsidRDefault="00C12ABE">
            <w:pPr>
              <w:pStyle w:val="afa"/>
              <w:rPr>
                <w:u w:val="single"/>
              </w:rPr>
            </w:pPr>
            <w:r>
              <w:rPr>
                <w:rFonts w:hint="eastAsia"/>
                <w:u w:val="single"/>
              </w:rPr>
              <w:t>0.56</w:t>
            </w:r>
          </w:p>
        </w:tc>
      </w:tr>
      <w:tr w:rsidR="00C12ABE" w:rsidRPr="00C12ABE">
        <w:trPr>
          <w:trHeight w:val="425"/>
          <w:jc w:val="center"/>
        </w:trPr>
        <w:tc>
          <w:tcPr>
            <w:tcW w:w="1444" w:type="dxa"/>
            <w:vAlign w:val="center"/>
          </w:tcPr>
          <w:p w:rsidR="00C12ABE" w:rsidRPr="00C12ABE" w:rsidRDefault="00C12ABE">
            <w:pPr>
              <w:pStyle w:val="afa"/>
              <w:rPr>
                <w:u w:val="single"/>
              </w:rPr>
            </w:pPr>
            <w:r w:rsidRPr="00C12ABE">
              <w:rPr>
                <w:rFonts w:hint="eastAsia"/>
                <w:u w:val="single"/>
              </w:rPr>
              <w:t>365d</w:t>
            </w:r>
          </w:p>
        </w:tc>
        <w:tc>
          <w:tcPr>
            <w:tcW w:w="1559" w:type="dxa"/>
            <w:vAlign w:val="center"/>
          </w:tcPr>
          <w:p w:rsidR="00C12ABE" w:rsidRPr="00C12ABE" w:rsidRDefault="00C12ABE" w:rsidP="00212B58">
            <w:pPr>
              <w:pStyle w:val="afa"/>
              <w:rPr>
                <w:u w:val="single"/>
              </w:rPr>
            </w:pPr>
            <w:r w:rsidRPr="00C12ABE">
              <w:rPr>
                <w:rFonts w:hint="eastAsia"/>
                <w:u w:val="single"/>
              </w:rPr>
              <w:t>/</w:t>
            </w:r>
          </w:p>
        </w:tc>
        <w:tc>
          <w:tcPr>
            <w:tcW w:w="1363" w:type="dxa"/>
            <w:vAlign w:val="center"/>
          </w:tcPr>
          <w:p w:rsidR="00C12ABE" w:rsidRPr="00C12ABE" w:rsidRDefault="00C12ABE" w:rsidP="00212B58">
            <w:pPr>
              <w:pStyle w:val="afa"/>
              <w:rPr>
                <w:u w:val="single"/>
              </w:rPr>
            </w:pPr>
            <w:r w:rsidRPr="00C12ABE">
              <w:rPr>
                <w:rFonts w:hint="eastAsia"/>
                <w:u w:val="single"/>
              </w:rPr>
              <w:t>/</w:t>
            </w:r>
          </w:p>
        </w:tc>
        <w:tc>
          <w:tcPr>
            <w:tcW w:w="2404" w:type="dxa"/>
            <w:vAlign w:val="center"/>
          </w:tcPr>
          <w:p w:rsidR="00C12ABE" w:rsidRPr="00C12ABE" w:rsidRDefault="00C12ABE" w:rsidP="00212B58">
            <w:pPr>
              <w:pStyle w:val="afa"/>
              <w:rPr>
                <w:u w:val="single"/>
              </w:rPr>
            </w:pPr>
            <w:r w:rsidRPr="00C12ABE">
              <w:rPr>
                <w:rFonts w:hint="eastAsia"/>
                <w:u w:val="single"/>
              </w:rPr>
              <w:t>/</w:t>
            </w:r>
          </w:p>
        </w:tc>
        <w:tc>
          <w:tcPr>
            <w:tcW w:w="1903" w:type="dxa"/>
            <w:vAlign w:val="center"/>
          </w:tcPr>
          <w:p w:rsidR="00C12ABE" w:rsidRPr="00C12ABE" w:rsidRDefault="00C12ABE" w:rsidP="00212B58">
            <w:pPr>
              <w:pStyle w:val="afa"/>
              <w:rPr>
                <w:u w:val="single"/>
              </w:rPr>
            </w:pPr>
            <w:r w:rsidRPr="00C12ABE">
              <w:rPr>
                <w:rFonts w:hint="eastAsia"/>
                <w:u w:val="single"/>
              </w:rPr>
              <w:t>/</w:t>
            </w:r>
          </w:p>
        </w:tc>
      </w:tr>
      <w:tr w:rsidR="00C12ABE" w:rsidRPr="00C12ABE">
        <w:trPr>
          <w:trHeight w:val="425"/>
          <w:jc w:val="center"/>
        </w:trPr>
        <w:tc>
          <w:tcPr>
            <w:tcW w:w="1444" w:type="dxa"/>
            <w:vAlign w:val="center"/>
          </w:tcPr>
          <w:p w:rsidR="00C12ABE" w:rsidRPr="00C12ABE" w:rsidRDefault="00C12ABE">
            <w:pPr>
              <w:pStyle w:val="afa"/>
              <w:rPr>
                <w:u w:val="single"/>
              </w:rPr>
            </w:pPr>
            <w:r w:rsidRPr="00C12ABE">
              <w:rPr>
                <w:rFonts w:hint="eastAsia"/>
                <w:u w:val="single"/>
              </w:rPr>
              <w:t>500d</w:t>
            </w:r>
          </w:p>
        </w:tc>
        <w:tc>
          <w:tcPr>
            <w:tcW w:w="1559" w:type="dxa"/>
            <w:vAlign w:val="center"/>
          </w:tcPr>
          <w:p w:rsidR="00C12ABE" w:rsidRPr="00C12ABE" w:rsidRDefault="00C12ABE" w:rsidP="00212B58">
            <w:pPr>
              <w:pStyle w:val="afa"/>
              <w:rPr>
                <w:u w:val="single"/>
              </w:rPr>
            </w:pPr>
            <w:r w:rsidRPr="00C12ABE">
              <w:rPr>
                <w:rFonts w:hint="eastAsia"/>
                <w:u w:val="single"/>
              </w:rPr>
              <w:t>/</w:t>
            </w:r>
          </w:p>
        </w:tc>
        <w:tc>
          <w:tcPr>
            <w:tcW w:w="1363" w:type="dxa"/>
            <w:vAlign w:val="center"/>
          </w:tcPr>
          <w:p w:rsidR="00C12ABE" w:rsidRPr="00C12ABE" w:rsidRDefault="00C12ABE" w:rsidP="00212B58">
            <w:pPr>
              <w:pStyle w:val="afa"/>
              <w:rPr>
                <w:u w:val="single"/>
              </w:rPr>
            </w:pPr>
            <w:r w:rsidRPr="00C12ABE">
              <w:rPr>
                <w:rFonts w:hint="eastAsia"/>
                <w:u w:val="single"/>
              </w:rPr>
              <w:t>/</w:t>
            </w:r>
          </w:p>
        </w:tc>
        <w:tc>
          <w:tcPr>
            <w:tcW w:w="2404" w:type="dxa"/>
            <w:vAlign w:val="center"/>
          </w:tcPr>
          <w:p w:rsidR="00C12ABE" w:rsidRPr="00C12ABE" w:rsidRDefault="00C12ABE" w:rsidP="00212B58">
            <w:pPr>
              <w:pStyle w:val="afa"/>
              <w:rPr>
                <w:u w:val="single"/>
              </w:rPr>
            </w:pPr>
            <w:r w:rsidRPr="00C12ABE">
              <w:rPr>
                <w:rFonts w:hint="eastAsia"/>
                <w:u w:val="single"/>
              </w:rPr>
              <w:t>/</w:t>
            </w:r>
          </w:p>
        </w:tc>
        <w:tc>
          <w:tcPr>
            <w:tcW w:w="1903" w:type="dxa"/>
            <w:vAlign w:val="center"/>
          </w:tcPr>
          <w:p w:rsidR="00C12ABE" w:rsidRPr="00C12ABE" w:rsidRDefault="00C12ABE" w:rsidP="00212B58">
            <w:pPr>
              <w:pStyle w:val="afa"/>
              <w:rPr>
                <w:u w:val="single"/>
              </w:rPr>
            </w:pPr>
            <w:r w:rsidRPr="00C12ABE">
              <w:rPr>
                <w:rFonts w:hint="eastAsia"/>
                <w:u w:val="single"/>
              </w:rPr>
              <w:t>/</w:t>
            </w:r>
          </w:p>
        </w:tc>
      </w:tr>
      <w:tr w:rsidR="00EE56C0" w:rsidRPr="00C12ABE">
        <w:trPr>
          <w:trHeight w:val="425"/>
          <w:jc w:val="center"/>
        </w:trPr>
        <w:tc>
          <w:tcPr>
            <w:tcW w:w="1444" w:type="dxa"/>
            <w:vAlign w:val="center"/>
          </w:tcPr>
          <w:p w:rsidR="00EE56C0" w:rsidRPr="00C12ABE" w:rsidRDefault="000F36A1">
            <w:pPr>
              <w:pStyle w:val="afa"/>
              <w:rPr>
                <w:u w:val="single"/>
              </w:rPr>
            </w:pPr>
            <w:r w:rsidRPr="00C12ABE">
              <w:rPr>
                <w:rFonts w:hint="eastAsia"/>
                <w:u w:val="single"/>
              </w:rPr>
              <w:t>1000d</w:t>
            </w:r>
          </w:p>
        </w:tc>
        <w:tc>
          <w:tcPr>
            <w:tcW w:w="1559" w:type="dxa"/>
            <w:vAlign w:val="center"/>
          </w:tcPr>
          <w:p w:rsidR="00EE56C0" w:rsidRPr="00C12ABE" w:rsidRDefault="000F36A1">
            <w:pPr>
              <w:pStyle w:val="afa"/>
              <w:rPr>
                <w:u w:val="single"/>
              </w:rPr>
            </w:pPr>
            <w:r w:rsidRPr="00C12ABE">
              <w:rPr>
                <w:rFonts w:hint="eastAsia"/>
                <w:u w:val="single"/>
              </w:rPr>
              <w:t>/</w:t>
            </w:r>
          </w:p>
        </w:tc>
        <w:tc>
          <w:tcPr>
            <w:tcW w:w="1363" w:type="dxa"/>
            <w:vAlign w:val="center"/>
          </w:tcPr>
          <w:p w:rsidR="00EE56C0" w:rsidRPr="00C12ABE" w:rsidRDefault="000F36A1">
            <w:pPr>
              <w:pStyle w:val="afa"/>
              <w:rPr>
                <w:u w:val="single"/>
              </w:rPr>
            </w:pPr>
            <w:r w:rsidRPr="00C12ABE">
              <w:rPr>
                <w:rFonts w:hint="eastAsia"/>
                <w:u w:val="single"/>
              </w:rPr>
              <w:t>/</w:t>
            </w:r>
          </w:p>
        </w:tc>
        <w:tc>
          <w:tcPr>
            <w:tcW w:w="2404" w:type="dxa"/>
            <w:vAlign w:val="center"/>
          </w:tcPr>
          <w:p w:rsidR="00EE56C0" w:rsidRPr="00C12ABE" w:rsidRDefault="000F36A1">
            <w:pPr>
              <w:pStyle w:val="afa"/>
              <w:rPr>
                <w:u w:val="single"/>
              </w:rPr>
            </w:pPr>
            <w:r w:rsidRPr="00C12ABE">
              <w:rPr>
                <w:rFonts w:hint="eastAsia"/>
                <w:u w:val="single"/>
              </w:rPr>
              <w:t>/</w:t>
            </w:r>
          </w:p>
        </w:tc>
        <w:tc>
          <w:tcPr>
            <w:tcW w:w="1903" w:type="dxa"/>
            <w:vAlign w:val="center"/>
          </w:tcPr>
          <w:p w:rsidR="00EE56C0" w:rsidRPr="00C12ABE" w:rsidRDefault="000F36A1">
            <w:pPr>
              <w:pStyle w:val="afa"/>
              <w:rPr>
                <w:u w:val="single"/>
              </w:rPr>
            </w:pPr>
            <w:r w:rsidRPr="00C12ABE">
              <w:rPr>
                <w:rFonts w:hint="eastAsia"/>
                <w:u w:val="single"/>
              </w:rPr>
              <w:t>/</w:t>
            </w:r>
          </w:p>
        </w:tc>
      </w:tr>
      <w:tr w:rsidR="00EE56C0" w:rsidRPr="00C12ABE">
        <w:trPr>
          <w:trHeight w:val="425"/>
          <w:jc w:val="center"/>
        </w:trPr>
        <w:tc>
          <w:tcPr>
            <w:tcW w:w="1444" w:type="dxa"/>
            <w:vMerge w:val="restart"/>
            <w:vAlign w:val="center"/>
          </w:tcPr>
          <w:p w:rsidR="00EE56C0" w:rsidRPr="00C12ABE" w:rsidRDefault="000F36A1">
            <w:pPr>
              <w:pStyle w:val="aff1"/>
              <w:rPr>
                <w:color w:val="auto"/>
                <w:u w:val="single"/>
              </w:rPr>
            </w:pPr>
            <w:r w:rsidRPr="00C12ABE">
              <w:rPr>
                <w:color w:val="auto"/>
                <w:u w:val="single"/>
              </w:rPr>
              <w:t>时间</w:t>
            </w:r>
          </w:p>
        </w:tc>
        <w:tc>
          <w:tcPr>
            <w:tcW w:w="7229" w:type="dxa"/>
            <w:gridSpan w:val="4"/>
            <w:vAlign w:val="center"/>
          </w:tcPr>
          <w:p w:rsidR="00EE56C0" w:rsidRPr="00C12ABE" w:rsidRDefault="000F36A1">
            <w:pPr>
              <w:pStyle w:val="aff1"/>
              <w:rPr>
                <w:color w:val="auto"/>
                <w:u w:val="single"/>
              </w:rPr>
            </w:pPr>
            <w:r w:rsidRPr="00C12ABE">
              <w:rPr>
                <w:color w:val="auto"/>
                <w:u w:val="single"/>
              </w:rPr>
              <w:t>预测因子</w:t>
            </w:r>
            <w:r w:rsidRPr="00C12ABE">
              <w:rPr>
                <w:rFonts w:hint="eastAsia"/>
                <w:color w:val="auto"/>
                <w:u w:val="single"/>
              </w:rPr>
              <w:t>NH</w:t>
            </w:r>
            <w:r w:rsidRPr="00C12ABE">
              <w:rPr>
                <w:rFonts w:hint="eastAsia"/>
                <w:color w:val="auto"/>
                <w:u w:val="single"/>
                <w:vertAlign w:val="subscript"/>
              </w:rPr>
              <w:t>3</w:t>
            </w:r>
            <w:r w:rsidRPr="00C12ABE">
              <w:rPr>
                <w:rFonts w:hint="eastAsia"/>
                <w:color w:val="auto"/>
                <w:u w:val="single"/>
              </w:rPr>
              <w:t>-N</w:t>
            </w:r>
          </w:p>
        </w:tc>
      </w:tr>
      <w:tr w:rsidR="00EE56C0" w:rsidRPr="00C12ABE">
        <w:trPr>
          <w:trHeight w:val="425"/>
          <w:jc w:val="center"/>
        </w:trPr>
        <w:tc>
          <w:tcPr>
            <w:tcW w:w="1444" w:type="dxa"/>
            <w:vMerge/>
            <w:vAlign w:val="center"/>
          </w:tcPr>
          <w:p w:rsidR="00EE56C0" w:rsidRPr="00C12ABE" w:rsidRDefault="00EE56C0">
            <w:pPr>
              <w:pStyle w:val="aff1"/>
              <w:rPr>
                <w:color w:val="auto"/>
                <w:u w:val="single"/>
              </w:rPr>
            </w:pPr>
          </w:p>
        </w:tc>
        <w:tc>
          <w:tcPr>
            <w:tcW w:w="1559" w:type="dxa"/>
            <w:vAlign w:val="center"/>
          </w:tcPr>
          <w:p w:rsidR="00EE56C0" w:rsidRPr="00C12ABE" w:rsidRDefault="000F36A1">
            <w:pPr>
              <w:pStyle w:val="aff1"/>
              <w:rPr>
                <w:color w:val="auto"/>
                <w:u w:val="single"/>
              </w:rPr>
            </w:pPr>
            <w:r w:rsidRPr="00C12ABE">
              <w:rPr>
                <w:rFonts w:hint="eastAsia"/>
                <w:color w:val="auto"/>
                <w:u w:val="single"/>
              </w:rPr>
              <w:t>最大浓度出现距离（</w:t>
            </w:r>
            <w:r w:rsidRPr="00C12ABE">
              <w:rPr>
                <w:rFonts w:hint="eastAsia"/>
                <w:color w:val="auto"/>
                <w:u w:val="single"/>
              </w:rPr>
              <w:t>m</w:t>
            </w:r>
            <w:r w:rsidRPr="00C12ABE">
              <w:rPr>
                <w:rFonts w:hint="eastAsia"/>
                <w:color w:val="auto"/>
                <w:u w:val="single"/>
              </w:rPr>
              <w:t>）</w:t>
            </w:r>
          </w:p>
        </w:tc>
        <w:tc>
          <w:tcPr>
            <w:tcW w:w="1363" w:type="dxa"/>
            <w:vAlign w:val="center"/>
          </w:tcPr>
          <w:p w:rsidR="00EE56C0" w:rsidRPr="00C12ABE" w:rsidRDefault="000F36A1">
            <w:pPr>
              <w:pStyle w:val="aff1"/>
              <w:rPr>
                <w:color w:val="auto"/>
                <w:u w:val="single"/>
              </w:rPr>
            </w:pPr>
            <w:r w:rsidRPr="00C12ABE">
              <w:rPr>
                <w:rFonts w:hint="eastAsia"/>
                <w:color w:val="auto"/>
                <w:u w:val="single"/>
              </w:rPr>
              <w:t>最大</w:t>
            </w:r>
            <w:r w:rsidRPr="00C12ABE">
              <w:rPr>
                <w:color w:val="auto"/>
                <w:u w:val="single"/>
              </w:rPr>
              <w:t>浓度</w:t>
            </w:r>
          </w:p>
          <w:p w:rsidR="00EE56C0" w:rsidRPr="00C12ABE" w:rsidRDefault="000F36A1">
            <w:pPr>
              <w:pStyle w:val="aff1"/>
              <w:rPr>
                <w:color w:val="auto"/>
                <w:u w:val="single"/>
              </w:rPr>
            </w:pPr>
            <w:r w:rsidRPr="00C12ABE">
              <w:rPr>
                <w:color w:val="auto"/>
                <w:u w:val="single"/>
              </w:rPr>
              <w:t>mg/L</w:t>
            </w:r>
          </w:p>
        </w:tc>
        <w:tc>
          <w:tcPr>
            <w:tcW w:w="2404" w:type="dxa"/>
            <w:vAlign w:val="center"/>
          </w:tcPr>
          <w:p w:rsidR="00EE56C0" w:rsidRPr="00C12ABE" w:rsidRDefault="000F36A1">
            <w:pPr>
              <w:pStyle w:val="aff1"/>
              <w:rPr>
                <w:color w:val="auto"/>
                <w:u w:val="single"/>
              </w:rPr>
            </w:pPr>
            <w:r w:rsidRPr="00C12ABE">
              <w:rPr>
                <w:color w:val="auto"/>
                <w:u w:val="single"/>
              </w:rPr>
              <w:t>最远迁移距离</w:t>
            </w:r>
            <w:r w:rsidRPr="00C12ABE">
              <w:rPr>
                <w:rFonts w:hint="eastAsia"/>
                <w:color w:val="auto"/>
                <w:u w:val="single"/>
              </w:rPr>
              <w:t>（以检出限</w:t>
            </w:r>
            <w:r w:rsidRPr="00C12ABE">
              <w:rPr>
                <w:rFonts w:hint="eastAsia"/>
                <w:color w:val="auto"/>
                <w:u w:val="single"/>
              </w:rPr>
              <w:t>0.025mg/L</w:t>
            </w:r>
            <w:r w:rsidRPr="00C12ABE">
              <w:rPr>
                <w:rFonts w:hint="eastAsia"/>
                <w:color w:val="auto"/>
                <w:u w:val="single"/>
              </w:rPr>
              <w:t>为界）（</w:t>
            </w:r>
            <w:r w:rsidRPr="00C12ABE">
              <w:rPr>
                <w:rFonts w:hint="eastAsia"/>
                <w:color w:val="auto"/>
                <w:u w:val="single"/>
              </w:rPr>
              <w:t>m</w:t>
            </w:r>
            <w:r w:rsidRPr="00C12ABE">
              <w:rPr>
                <w:rFonts w:hint="eastAsia"/>
                <w:color w:val="auto"/>
                <w:u w:val="single"/>
              </w:rPr>
              <w:t>）</w:t>
            </w:r>
          </w:p>
        </w:tc>
        <w:tc>
          <w:tcPr>
            <w:tcW w:w="1903" w:type="dxa"/>
            <w:vAlign w:val="center"/>
          </w:tcPr>
          <w:p w:rsidR="00EE56C0" w:rsidRPr="00C12ABE" w:rsidRDefault="000F36A1">
            <w:pPr>
              <w:pStyle w:val="aff1"/>
              <w:rPr>
                <w:color w:val="auto"/>
                <w:u w:val="single"/>
              </w:rPr>
            </w:pPr>
            <w:r w:rsidRPr="00C12ABE">
              <w:rPr>
                <w:color w:val="auto"/>
                <w:u w:val="single"/>
              </w:rPr>
              <w:t>最远迁移距离浓度</w:t>
            </w:r>
          </w:p>
          <w:p w:rsidR="00EE56C0" w:rsidRPr="00C12ABE" w:rsidRDefault="000F36A1">
            <w:pPr>
              <w:pStyle w:val="aff1"/>
              <w:rPr>
                <w:color w:val="auto"/>
                <w:u w:val="single"/>
              </w:rPr>
            </w:pPr>
            <w:r w:rsidRPr="00C12ABE">
              <w:rPr>
                <w:color w:val="auto"/>
                <w:u w:val="single"/>
              </w:rPr>
              <w:t>mg/L</w:t>
            </w:r>
          </w:p>
        </w:tc>
      </w:tr>
      <w:tr w:rsidR="00EE56C0" w:rsidRPr="00C12ABE">
        <w:trPr>
          <w:trHeight w:val="425"/>
          <w:jc w:val="center"/>
        </w:trPr>
        <w:tc>
          <w:tcPr>
            <w:tcW w:w="1444" w:type="dxa"/>
            <w:vAlign w:val="center"/>
          </w:tcPr>
          <w:p w:rsidR="00EE56C0" w:rsidRPr="00C12ABE" w:rsidRDefault="000F36A1">
            <w:pPr>
              <w:pStyle w:val="afa"/>
              <w:rPr>
                <w:u w:val="single"/>
              </w:rPr>
            </w:pPr>
            <w:r w:rsidRPr="00C12ABE">
              <w:rPr>
                <w:rFonts w:hint="eastAsia"/>
                <w:u w:val="single"/>
              </w:rPr>
              <w:t>1d</w:t>
            </w:r>
          </w:p>
        </w:tc>
        <w:tc>
          <w:tcPr>
            <w:tcW w:w="1559" w:type="dxa"/>
            <w:vAlign w:val="center"/>
          </w:tcPr>
          <w:p w:rsidR="00EE56C0" w:rsidRPr="00C12ABE" w:rsidRDefault="00C12ABE">
            <w:pPr>
              <w:pStyle w:val="afa"/>
              <w:rPr>
                <w:u w:val="single"/>
              </w:rPr>
            </w:pPr>
            <w:r>
              <w:rPr>
                <w:rFonts w:hint="eastAsia"/>
                <w:u w:val="single"/>
              </w:rPr>
              <w:t>0.1</w:t>
            </w:r>
          </w:p>
        </w:tc>
        <w:tc>
          <w:tcPr>
            <w:tcW w:w="1363" w:type="dxa"/>
            <w:vAlign w:val="center"/>
          </w:tcPr>
          <w:p w:rsidR="00EE56C0" w:rsidRPr="00C12ABE" w:rsidRDefault="00C12ABE">
            <w:pPr>
              <w:pStyle w:val="afa"/>
              <w:rPr>
                <w:u w:val="single"/>
              </w:rPr>
            </w:pPr>
            <w:r>
              <w:rPr>
                <w:rFonts w:hint="eastAsia"/>
                <w:u w:val="single"/>
              </w:rPr>
              <w:t>4.11</w:t>
            </w:r>
          </w:p>
        </w:tc>
        <w:tc>
          <w:tcPr>
            <w:tcW w:w="2404" w:type="dxa"/>
            <w:vAlign w:val="center"/>
          </w:tcPr>
          <w:p w:rsidR="00EE56C0" w:rsidRPr="00C12ABE" w:rsidRDefault="00C12ABE">
            <w:pPr>
              <w:pStyle w:val="afa"/>
              <w:rPr>
                <w:u w:val="single"/>
              </w:rPr>
            </w:pPr>
            <w:r>
              <w:rPr>
                <w:rFonts w:hint="eastAsia"/>
                <w:u w:val="single"/>
              </w:rPr>
              <w:t>0.2</w:t>
            </w:r>
          </w:p>
        </w:tc>
        <w:tc>
          <w:tcPr>
            <w:tcW w:w="1903" w:type="dxa"/>
            <w:vAlign w:val="center"/>
          </w:tcPr>
          <w:p w:rsidR="00EE56C0" w:rsidRPr="00C12ABE" w:rsidRDefault="00C12ABE">
            <w:pPr>
              <w:pStyle w:val="afa"/>
              <w:rPr>
                <w:u w:val="single"/>
              </w:rPr>
            </w:pPr>
            <w:r>
              <w:rPr>
                <w:rFonts w:hint="eastAsia"/>
                <w:u w:val="single"/>
              </w:rPr>
              <w:t>0.15</w:t>
            </w:r>
          </w:p>
        </w:tc>
      </w:tr>
      <w:tr w:rsidR="00EE56C0" w:rsidRPr="00C12ABE">
        <w:trPr>
          <w:trHeight w:val="425"/>
          <w:jc w:val="center"/>
        </w:trPr>
        <w:tc>
          <w:tcPr>
            <w:tcW w:w="1444" w:type="dxa"/>
            <w:vAlign w:val="center"/>
          </w:tcPr>
          <w:p w:rsidR="00EE56C0" w:rsidRPr="00C12ABE" w:rsidRDefault="000F36A1">
            <w:pPr>
              <w:pStyle w:val="afa"/>
              <w:rPr>
                <w:u w:val="single"/>
              </w:rPr>
            </w:pPr>
            <w:r w:rsidRPr="00C12ABE">
              <w:rPr>
                <w:rFonts w:hint="eastAsia"/>
                <w:u w:val="single"/>
              </w:rPr>
              <w:t>50d</w:t>
            </w:r>
          </w:p>
        </w:tc>
        <w:tc>
          <w:tcPr>
            <w:tcW w:w="1559" w:type="dxa"/>
            <w:vAlign w:val="center"/>
          </w:tcPr>
          <w:p w:rsidR="00EE56C0" w:rsidRPr="00C12ABE" w:rsidRDefault="00C12ABE">
            <w:pPr>
              <w:pStyle w:val="afa"/>
              <w:rPr>
                <w:u w:val="single"/>
              </w:rPr>
            </w:pPr>
            <w:r>
              <w:rPr>
                <w:rFonts w:hint="eastAsia"/>
                <w:u w:val="single"/>
              </w:rPr>
              <w:t>0.5</w:t>
            </w:r>
          </w:p>
        </w:tc>
        <w:tc>
          <w:tcPr>
            <w:tcW w:w="1363" w:type="dxa"/>
            <w:vAlign w:val="center"/>
          </w:tcPr>
          <w:p w:rsidR="00EE56C0" w:rsidRPr="00C12ABE" w:rsidRDefault="00C12ABE">
            <w:pPr>
              <w:pStyle w:val="afa"/>
              <w:rPr>
                <w:u w:val="single"/>
              </w:rPr>
            </w:pPr>
            <w:r>
              <w:rPr>
                <w:rFonts w:hint="eastAsia"/>
                <w:u w:val="single"/>
              </w:rPr>
              <w:t>0.11</w:t>
            </w:r>
          </w:p>
        </w:tc>
        <w:tc>
          <w:tcPr>
            <w:tcW w:w="2404" w:type="dxa"/>
            <w:vAlign w:val="center"/>
          </w:tcPr>
          <w:p w:rsidR="00EE56C0" w:rsidRPr="00C12ABE" w:rsidRDefault="00C12ABE">
            <w:pPr>
              <w:pStyle w:val="afa"/>
              <w:rPr>
                <w:u w:val="single"/>
              </w:rPr>
            </w:pPr>
            <w:r>
              <w:rPr>
                <w:rFonts w:hint="eastAsia"/>
                <w:u w:val="single"/>
              </w:rPr>
              <w:t>1.3</w:t>
            </w:r>
          </w:p>
        </w:tc>
        <w:tc>
          <w:tcPr>
            <w:tcW w:w="1903" w:type="dxa"/>
            <w:vAlign w:val="center"/>
          </w:tcPr>
          <w:p w:rsidR="00EE56C0" w:rsidRPr="00C12ABE" w:rsidRDefault="00C12ABE">
            <w:pPr>
              <w:pStyle w:val="afa"/>
              <w:rPr>
                <w:u w:val="single"/>
              </w:rPr>
            </w:pPr>
            <w:r>
              <w:rPr>
                <w:rFonts w:hint="eastAsia"/>
                <w:u w:val="single"/>
              </w:rPr>
              <w:t>0.026</w:t>
            </w:r>
          </w:p>
        </w:tc>
      </w:tr>
      <w:tr w:rsidR="00EE56C0" w:rsidRPr="00C12ABE">
        <w:trPr>
          <w:trHeight w:val="425"/>
          <w:jc w:val="center"/>
        </w:trPr>
        <w:tc>
          <w:tcPr>
            <w:tcW w:w="1444" w:type="dxa"/>
            <w:vAlign w:val="center"/>
          </w:tcPr>
          <w:p w:rsidR="00EE56C0" w:rsidRPr="00C12ABE" w:rsidRDefault="000F36A1">
            <w:pPr>
              <w:pStyle w:val="afa"/>
              <w:rPr>
                <w:u w:val="single"/>
              </w:rPr>
            </w:pPr>
            <w:r w:rsidRPr="00C12ABE">
              <w:rPr>
                <w:rFonts w:hint="eastAsia"/>
                <w:u w:val="single"/>
              </w:rPr>
              <w:t>100d</w:t>
            </w:r>
          </w:p>
        </w:tc>
        <w:tc>
          <w:tcPr>
            <w:tcW w:w="1559" w:type="dxa"/>
            <w:vAlign w:val="center"/>
          </w:tcPr>
          <w:p w:rsidR="00EE56C0" w:rsidRPr="00C12ABE" w:rsidRDefault="00C12ABE">
            <w:pPr>
              <w:pStyle w:val="afa"/>
              <w:rPr>
                <w:u w:val="single"/>
              </w:rPr>
            </w:pPr>
            <w:r>
              <w:rPr>
                <w:rFonts w:hint="eastAsia"/>
                <w:u w:val="single"/>
              </w:rPr>
              <w:t>0.8</w:t>
            </w:r>
          </w:p>
        </w:tc>
        <w:tc>
          <w:tcPr>
            <w:tcW w:w="1363" w:type="dxa"/>
            <w:vAlign w:val="center"/>
          </w:tcPr>
          <w:p w:rsidR="00EE56C0" w:rsidRPr="00C12ABE" w:rsidRDefault="00C12ABE" w:rsidP="00C12ABE">
            <w:pPr>
              <w:pStyle w:val="afa"/>
              <w:rPr>
                <w:u w:val="single"/>
              </w:rPr>
            </w:pPr>
            <w:r>
              <w:rPr>
                <w:rFonts w:hint="eastAsia"/>
                <w:u w:val="single"/>
              </w:rPr>
              <w:t>0.07</w:t>
            </w:r>
          </w:p>
        </w:tc>
        <w:tc>
          <w:tcPr>
            <w:tcW w:w="2404" w:type="dxa"/>
            <w:vAlign w:val="center"/>
          </w:tcPr>
          <w:p w:rsidR="00EE56C0" w:rsidRPr="00C12ABE" w:rsidRDefault="00C12ABE">
            <w:pPr>
              <w:pStyle w:val="afa"/>
              <w:rPr>
                <w:u w:val="single"/>
              </w:rPr>
            </w:pPr>
            <w:r>
              <w:rPr>
                <w:rFonts w:hint="eastAsia"/>
                <w:u w:val="single"/>
              </w:rPr>
              <w:t>1.7</w:t>
            </w:r>
          </w:p>
        </w:tc>
        <w:tc>
          <w:tcPr>
            <w:tcW w:w="1903" w:type="dxa"/>
            <w:vAlign w:val="center"/>
          </w:tcPr>
          <w:p w:rsidR="00EE56C0" w:rsidRPr="00C12ABE" w:rsidRDefault="00C12ABE">
            <w:pPr>
              <w:pStyle w:val="afa"/>
              <w:rPr>
                <w:u w:val="single"/>
              </w:rPr>
            </w:pPr>
            <w:r>
              <w:rPr>
                <w:rFonts w:hint="eastAsia"/>
                <w:u w:val="single"/>
              </w:rPr>
              <w:t>0.026</w:t>
            </w:r>
          </w:p>
        </w:tc>
      </w:tr>
      <w:tr w:rsidR="00EE56C0" w:rsidRPr="00C12ABE">
        <w:trPr>
          <w:trHeight w:val="425"/>
          <w:jc w:val="center"/>
        </w:trPr>
        <w:tc>
          <w:tcPr>
            <w:tcW w:w="1444" w:type="dxa"/>
            <w:vAlign w:val="center"/>
          </w:tcPr>
          <w:p w:rsidR="00EE56C0" w:rsidRPr="00C12ABE" w:rsidRDefault="000F36A1">
            <w:pPr>
              <w:pStyle w:val="afa"/>
              <w:rPr>
                <w:u w:val="single"/>
              </w:rPr>
            </w:pPr>
            <w:r w:rsidRPr="00C12ABE">
              <w:rPr>
                <w:rFonts w:hint="eastAsia"/>
                <w:u w:val="single"/>
              </w:rPr>
              <w:t>365d</w:t>
            </w:r>
          </w:p>
        </w:tc>
        <w:tc>
          <w:tcPr>
            <w:tcW w:w="1559" w:type="dxa"/>
            <w:vAlign w:val="center"/>
          </w:tcPr>
          <w:p w:rsidR="00EE56C0" w:rsidRPr="00C12ABE" w:rsidRDefault="00C12ABE">
            <w:pPr>
              <w:pStyle w:val="afa"/>
              <w:rPr>
                <w:u w:val="single"/>
              </w:rPr>
            </w:pPr>
            <w:r>
              <w:rPr>
                <w:rFonts w:hint="eastAsia"/>
                <w:u w:val="single"/>
              </w:rPr>
              <w:t>2</w:t>
            </w:r>
          </w:p>
        </w:tc>
        <w:tc>
          <w:tcPr>
            <w:tcW w:w="1363" w:type="dxa"/>
            <w:vAlign w:val="center"/>
          </w:tcPr>
          <w:p w:rsidR="00EE56C0" w:rsidRPr="00C12ABE" w:rsidRDefault="00C12ABE">
            <w:pPr>
              <w:pStyle w:val="afa"/>
              <w:rPr>
                <w:u w:val="single"/>
              </w:rPr>
            </w:pPr>
            <w:r>
              <w:rPr>
                <w:rFonts w:hint="eastAsia"/>
                <w:u w:val="single"/>
              </w:rPr>
              <w:t>0.03</w:t>
            </w:r>
          </w:p>
        </w:tc>
        <w:tc>
          <w:tcPr>
            <w:tcW w:w="2404" w:type="dxa"/>
            <w:vAlign w:val="center"/>
          </w:tcPr>
          <w:p w:rsidR="00EE56C0" w:rsidRPr="00C12ABE" w:rsidRDefault="00A74F56">
            <w:pPr>
              <w:pStyle w:val="afa"/>
              <w:rPr>
                <w:u w:val="single"/>
              </w:rPr>
            </w:pPr>
            <w:r>
              <w:rPr>
                <w:rFonts w:hint="eastAsia"/>
                <w:u w:val="single"/>
              </w:rPr>
              <w:t>2.7</w:t>
            </w:r>
          </w:p>
        </w:tc>
        <w:tc>
          <w:tcPr>
            <w:tcW w:w="1903" w:type="dxa"/>
            <w:vAlign w:val="center"/>
          </w:tcPr>
          <w:p w:rsidR="00EE56C0" w:rsidRPr="00C12ABE" w:rsidRDefault="00A74F56">
            <w:pPr>
              <w:pStyle w:val="afa"/>
              <w:rPr>
                <w:u w:val="single"/>
              </w:rPr>
            </w:pPr>
            <w:r>
              <w:rPr>
                <w:rFonts w:hint="eastAsia"/>
                <w:u w:val="single"/>
              </w:rPr>
              <w:t>0.025</w:t>
            </w:r>
          </w:p>
        </w:tc>
      </w:tr>
      <w:tr w:rsidR="00A74F56" w:rsidRPr="00C12ABE">
        <w:trPr>
          <w:trHeight w:val="425"/>
          <w:jc w:val="center"/>
        </w:trPr>
        <w:tc>
          <w:tcPr>
            <w:tcW w:w="1444" w:type="dxa"/>
            <w:vAlign w:val="center"/>
          </w:tcPr>
          <w:p w:rsidR="00A74F56" w:rsidRPr="00C12ABE" w:rsidRDefault="00A74F56">
            <w:pPr>
              <w:pStyle w:val="afa"/>
              <w:rPr>
                <w:u w:val="single"/>
              </w:rPr>
            </w:pPr>
            <w:r w:rsidRPr="00C12ABE">
              <w:rPr>
                <w:rFonts w:hint="eastAsia"/>
                <w:u w:val="single"/>
              </w:rPr>
              <w:t>500d</w:t>
            </w:r>
          </w:p>
        </w:tc>
        <w:tc>
          <w:tcPr>
            <w:tcW w:w="1559" w:type="dxa"/>
            <w:vAlign w:val="center"/>
          </w:tcPr>
          <w:p w:rsidR="00A74F56" w:rsidRPr="00C12ABE" w:rsidRDefault="00A74F56" w:rsidP="00212B58">
            <w:pPr>
              <w:pStyle w:val="afa"/>
              <w:rPr>
                <w:u w:val="single"/>
              </w:rPr>
            </w:pPr>
            <w:r w:rsidRPr="00C12ABE">
              <w:rPr>
                <w:rFonts w:hint="eastAsia"/>
                <w:u w:val="single"/>
              </w:rPr>
              <w:t>/</w:t>
            </w:r>
          </w:p>
        </w:tc>
        <w:tc>
          <w:tcPr>
            <w:tcW w:w="1363" w:type="dxa"/>
            <w:vAlign w:val="center"/>
          </w:tcPr>
          <w:p w:rsidR="00A74F56" w:rsidRPr="00C12ABE" w:rsidRDefault="00A74F56" w:rsidP="00212B58">
            <w:pPr>
              <w:pStyle w:val="afa"/>
              <w:rPr>
                <w:u w:val="single"/>
              </w:rPr>
            </w:pPr>
            <w:r w:rsidRPr="00C12ABE">
              <w:rPr>
                <w:rFonts w:hint="eastAsia"/>
                <w:u w:val="single"/>
              </w:rPr>
              <w:t>/</w:t>
            </w:r>
          </w:p>
        </w:tc>
        <w:tc>
          <w:tcPr>
            <w:tcW w:w="2404" w:type="dxa"/>
            <w:vAlign w:val="center"/>
          </w:tcPr>
          <w:p w:rsidR="00A74F56" w:rsidRPr="00C12ABE" w:rsidRDefault="00A74F56" w:rsidP="00212B58">
            <w:pPr>
              <w:pStyle w:val="afa"/>
              <w:rPr>
                <w:u w:val="single"/>
              </w:rPr>
            </w:pPr>
            <w:r w:rsidRPr="00C12ABE">
              <w:rPr>
                <w:rFonts w:hint="eastAsia"/>
                <w:u w:val="single"/>
              </w:rPr>
              <w:t>/</w:t>
            </w:r>
          </w:p>
        </w:tc>
        <w:tc>
          <w:tcPr>
            <w:tcW w:w="1903" w:type="dxa"/>
            <w:vAlign w:val="center"/>
          </w:tcPr>
          <w:p w:rsidR="00A74F56" w:rsidRPr="00C12ABE" w:rsidRDefault="00A74F56" w:rsidP="00212B58">
            <w:pPr>
              <w:pStyle w:val="afa"/>
              <w:rPr>
                <w:u w:val="single"/>
              </w:rPr>
            </w:pPr>
            <w:r w:rsidRPr="00C12ABE">
              <w:rPr>
                <w:rFonts w:hint="eastAsia"/>
                <w:u w:val="single"/>
              </w:rPr>
              <w:t>/</w:t>
            </w:r>
          </w:p>
        </w:tc>
      </w:tr>
      <w:tr w:rsidR="00A74F56" w:rsidRPr="00C12ABE">
        <w:trPr>
          <w:trHeight w:val="425"/>
          <w:jc w:val="center"/>
        </w:trPr>
        <w:tc>
          <w:tcPr>
            <w:tcW w:w="1444" w:type="dxa"/>
            <w:vAlign w:val="center"/>
          </w:tcPr>
          <w:p w:rsidR="00A74F56" w:rsidRPr="00C12ABE" w:rsidRDefault="00A74F56">
            <w:pPr>
              <w:pStyle w:val="afa"/>
              <w:rPr>
                <w:u w:val="single"/>
              </w:rPr>
            </w:pPr>
            <w:r w:rsidRPr="00C12ABE">
              <w:rPr>
                <w:rFonts w:hint="eastAsia"/>
                <w:u w:val="single"/>
              </w:rPr>
              <w:t>1000d</w:t>
            </w:r>
          </w:p>
        </w:tc>
        <w:tc>
          <w:tcPr>
            <w:tcW w:w="1559" w:type="dxa"/>
            <w:vAlign w:val="center"/>
          </w:tcPr>
          <w:p w:rsidR="00A74F56" w:rsidRPr="00C12ABE" w:rsidRDefault="00A74F56" w:rsidP="00212B58">
            <w:pPr>
              <w:pStyle w:val="afa"/>
              <w:rPr>
                <w:u w:val="single"/>
              </w:rPr>
            </w:pPr>
            <w:r w:rsidRPr="00C12ABE">
              <w:rPr>
                <w:rFonts w:hint="eastAsia"/>
                <w:u w:val="single"/>
              </w:rPr>
              <w:t>/</w:t>
            </w:r>
          </w:p>
        </w:tc>
        <w:tc>
          <w:tcPr>
            <w:tcW w:w="1363" w:type="dxa"/>
            <w:vAlign w:val="center"/>
          </w:tcPr>
          <w:p w:rsidR="00A74F56" w:rsidRPr="00C12ABE" w:rsidRDefault="00A74F56" w:rsidP="00212B58">
            <w:pPr>
              <w:pStyle w:val="afa"/>
              <w:rPr>
                <w:u w:val="single"/>
              </w:rPr>
            </w:pPr>
            <w:r w:rsidRPr="00C12ABE">
              <w:rPr>
                <w:rFonts w:hint="eastAsia"/>
                <w:u w:val="single"/>
              </w:rPr>
              <w:t>/</w:t>
            </w:r>
          </w:p>
        </w:tc>
        <w:tc>
          <w:tcPr>
            <w:tcW w:w="2404" w:type="dxa"/>
            <w:vAlign w:val="center"/>
          </w:tcPr>
          <w:p w:rsidR="00A74F56" w:rsidRPr="00C12ABE" w:rsidRDefault="00A74F56" w:rsidP="00212B58">
            <w:pPr>
              <w:pStyle w:val="afa"/>
              <w:rPr>
                <w:u w:val="single"/>
              </w:rPr>
            </w:pPr>
            <w:r w:rsidRPr="00C12ABE">
              <w:rPr>
                <w:rFonts w:hint="eastAsia"/>
                <w:u w:val="single"/>
              </w:rPr>
              <w:t>/</w:t>
            </w:r>
          </w:p>
        </w:tc>
        <w:tc>
          <w:tcPr>
            <w:tcW w:w="1903" w:type="dxa"/>
            <w:vAlign w:val="center"/>
          </w:tcPr>
          <w:p w:rsidR="00A74F56" w:rsidRPr="00C12ABE" w:rsidRDefault="00A74F56" w:rsidP="00212B58">
            <w:pPr>
              <w:pStyle w:val="afa"/>
              <w:rPr>
                <w:u w:val="single"/>
              </w:rPr>
            </w:pPr>
            <w:r w:rsidRPr="00C12ABE">
              <w:rPr>
                <w:rFonts w:hint="eastAsia"/>
                <w:u w:val="single"/>
              </w:rPr>
              <w:t>/</w:t>
            </w:r>
          </w:p>
        </w:tc>
      </w:tr>
    </w:tbl>
    <w:p w:rsidR="00EE56C0" w:rsidRPr="00A74F56" w:rsidRDefault="000F36A1" w:rsidP="00A74F56">
      <w:pPr>
        <w:ind w:firstLine="482"/>
        <w:rPr>
          <w:b/>
          <w:u w:val="single"/>
        </w:rPr>
      </w:pPr>
      <w:r w:rsidRPr="00A74F56">
        <w:rPr>
          <w:rFonts w:hint="eastAsia"/>
          <w:b/>
          <w:u w:val="single"/>
        </w:rPr>
        <w:t>从上表可以看出，非正常工况下，污水连续泄露</w:t>
      </w:r>
      <w:r w:rsidRPr="00A74F56">
        <w:rPr>
          <w:rFonts w:hint="eastAsia"/>
          <w:b/>
          <w:u w:val="single"/>
        </w:rPr>
        <w:t>24</w:t>
      </w:r>
      <w:r w:rsidRPr="00A74F56">
        <w:rPr>
          <w:rFonts w:hint="eastAsia"/>
          <w:b/>
          <w:u w:val="single"/>
        </w:rPr>
        <w:t>小时的情况下，</w:t>
      </w:r>
      <w:r w:rsidRPr="00A74F56">
        <w:rPr>
          <w:rFonts w:hint="eastAsia"/>
          <w:b/>
          <w:u w:val="single"/>
        </w:rPr>
        <w:t>100d</w:t>
      </w:r>
      <w:r w:rsidRPr="00A74F56">
        <w:rPr>
          <w:rFonts w:hint="eastAsia"/>
          <w:b/>
          <w:u w:val="single"/>
        </w:rPr>
        <w:t>时，耗氧量最远迁移距离分别为</w:t>
      </w:r>
      <w:r w:rsidR="00A74F56" w:rsidRPr="00A74F56">
        <w:rPr>
          <w:rFonts w:hint="eastAsia"/>
          <w:b/>
          <w:u w:val="single"/>
        </w:rPr>
        <w:t>1.5</w:t>
      </w:r>
      <w:r w:rsidRPr="00A74F56">
        <w:rPr>
          <w:rFonts w:hint="eastAsia"/>
          <w:b/>
          <w:u w:val="single"/>
        </w:rPr>
        <w:t>m</w:t>
      </w:r>
      <w:r w:rsidRPr="00A74F56">
        <w:rPr>
          <w:rFonts w:hint="eastAsia"/>
          <w:b/>
          <w:u w:val="single"/>
        </w:rPr>
        <w:t>，相对应的浓度分别为</w:t>
      </w:r>
      <w:r w:rsidR="00A74F56" w:rsidRPr="00A74F56">
        <w:rPr>
          <w:rFonts w:hint="eastAsia"/>
          <w:b/>
          <w:u w:val="single"/>
        </w:rPr>
        <w:t>0.56</w:t>
      </w:r>
      <w:r w:rsidRPr="00A74F56">
        <w:rPr>
          <w:rFonts w:hint="eastAsia"/>
          <w:b/>
          <w:u w:val="single"/>
        </w:rPr>
        <w:t>mg/L</w:t>
      </w:r>
      <w:r w:rsidRPr="00A74F56">
        <w:rPr>
          <w:rFonts w:hint="eastAsia"/>
          <w:b/>
          <w:u w:val="single"/>
        </w:rPr>
        <w:t>；</w:t>
      </w:r>
      <w:r w:rsidRPr="00A74F56">
        <w:rPr>
          <w:b/>
          <w:u w:val="single"/>
        </w:rPr>
        <w:t>最大浓度</w:t>
      </w:r>
      <w:r w:rsidRPr="00A74F56">
        <w:rPr>
          <w:rFonts w:hint="eastAsia"/>
          <w:b/>
          <w:u w:val="single"/>
        </w:rPr>
        <w:t>出现距离分别为</w:t>
      </w:r>
      <w:r w:rsidR="00A74F56" w:rsidRPr="00A74F56">
        <w:rPr>
          <w:rFonts w:hint="eastAsia"/>
          <w:b/>
          <w:u w:val="single"/>
        </w:rPr>
        <w:t>0.8</w:t>
      </w:r>
      <w:r w:rsidRPr="00A74F56">
        <w:rPr>
          <w:rFonts w:hint="eastAsia"/>
          <w:b/>
          <w:u w:val="single"/>
        </w:rPr>
        <w:t>m</w:t>
      </w:r>
      <w:r w:rsidRPr="00A74F56">
        <w:rPr>
          <w:rFonts w:hint="eastAsia"/>
          <w:b/>
          <w:u w:val="single"/>
        </w:rPr>
        <w:t>，最大浓度分别为</w:t>
      </w:r>
      <w:r w:rsidR="00A74F56" w:rsidRPr="00A74F56">
        <w:rPr>
          <w:rFonts w:hint="eastAsia"/>
          <w:b/>
          <w:u w:val="single"/>
        </w:rPr>
        <w:t>0.97</w:t>
      </w:r>
      <w:r w:rsidRPr="00A74F56">
        <w:rPr>
          <w:rFonts w:hint="eastAsia"/>
          <w:b/>
          <w:u w:val="single"/>
        </w:rPr>
        <w:t>mg/L</w:t>
      </w:r>
      <w:r w:rsidRPr="00A74F56">
        <w:rPr>
          <w:rFonts w:hint="eastAsia"/>
          <w:b/>
          <w:u w:val="single"/>
        </w:rPr>
        <w:t>。</w:t>
      </w:r>
      <w:r w:rsidR="00A74F56" w:rsidRPr="00A74F56">
        <w:rPr>
          <w:rFonts w:hint="eastAsia"/>
          <w:b/>
          <w:u w:val="single"/>
        </w:rPr>
        <w:t>365d</w:t>
      </w:r>
      <w:r w:rsidR="00A74F56" w:rsidRPr="00A74F56">
        <w:rPr>
          <w:rFonts w:hint="eastAsia"/>
          <w:b/>
          <w:u w:val="single"/>
        </w:rPr>
        <w:t>、</w:t>
      </w:r>
      <w:r w:rsidR="00A74F56" w:rsidRPr="00A74F56">
        <w:rPr>
          <w:rFonts w:hint="eastAsia"/>
          <w:b/>
          <w:u w:val="single"/>
        </w:rPr>
        <w:t xml:space="preserve">500d </w:t>
      </w:r>
      <w:r w:rsidR="00A74F56" w:rsidRPr="00A74F56">
        <w:rPr>
          <w:rFonts w:hint="eastAsia"/>
          <w:b/>
          <w:u w:val="single"/>
        </w:rPr>
        <w:t>、</w:t>
      </w:r>
      <w:r w:rsidRPr="00A74F56">
        <w:rPr>
          <w:rFonts w:hint="eastAsia"/>
          <w:b/>
          <w:u w:val="single"/>
        </w:rPr>
        <w:t>1000d</w:t>
      </w:r>
      <w:r w:rsidRPr="00A74F56">
        <w:rPr>
          <w:rFonts w:hint="eastAsia"/>
          <w:b/>
          <w:u w:val="single"/>
        </w:rPr>
        <w:t>时</w:t>
      </w:r>
      <w:r w:rsidR="00A74F56" w:rsidRPr="00A74F56">
        <w:rPr>
          <w:rFonts w:hint="eastAsia"/>
          <w:b/>
          <w:u w:val="single"/>
        </w:rPr>
        <w:t>耗氧量</w:t>
      </w:r>
      <w:r w:rsidRPr="00A74F56">
        <w:rPr>
          <w:rFonts w:hint="eastAsia"/>
          <w:b/>
          <w:u w:val="single"/>
        </w:rPr>
        <w:t>最大浓度小于其检出限。</w:t>
      </w:r>
    </w:p>
    <w:p w:rsidR="00A74F56" w:rsidRPr="00A74F56" w:rsidRDefault="000F36A1" w:rsidP="00A74F56">
      <w:pPr>
        <w:ind w:firstLine="482"/>
        <w:rPr>
          <w:b/>
          <w:u w:val="single"/>
        </w:rPr>
      </w:pPr>
      <w:r w:rsidRPr="00A74F56">
        <w:rPr>
          <w:rFonts w:hint="eastAsia"/>
          <w:b/>
          <w:u w:val="single"/>
        </w:rPr>
        <w:t>非正常工况下，污水连续泄露</w:t>
      </w:r>
      <w:r w:rsidRPr="00A74F56">
        <w:rPr>
          <w:rFonts w:hint="eastAsia"/>
          <w:b/>
          <w:u w:val="single"/>
        </w:rPr>
        <w:t>24</w:t>
      </w:r>
      <w:r w:rsidRPr="00A74F56">
        <w:rPr>
          <w:rFonts w:hint="eastAsia"/>
          <w:b/>
          <w:u w:val="single"/>
        </w:rPr>
        <w:t>小时的情况下，</w:t>
      </w:r>
      <w:r w:rsidRPr="00A74F56">
        <w:rPr>
          <w:rFonts w:hint="eastAsia"/>
          <w:b/>
          <w:u w:val="single"/>
        </w:rPr>
        <w:t>100d</w:t>
      </w:r>
      <w:r w:rsidRPr="00A74F56">
        <w:rPr>
          <w:rFonts w:hint="eastAsia"/>
          <w:b/>
          <w:u w:val="single"/>
        </w:rPr>
        <w:t>、</w:t>
      </w:r>
      <w:r w:rsidRPr="00A74F56">
        <w:rPr>
          <w:rFonts w:hint="eastAsia"/>
          <w:b/>
          <w:u w:val="single"/>
        </w:rPr>
        <w:t>365d</w:t>
      </w:r>
      <w:r w:rsidRPr="00A74F56">
        <w:rPr>
          <w:rFonts w:hint="eastAsia"/>
          <w:b/>
          <w:u w:val="single"/>
        </w:rPr>
        <w:t>时，</w:t>
      </w:r>
      <w:r w:rsidRPr="00A74F56">
        <w:rPr>
          <w:rFonts w:hint="eastAsia"/>
          <w:b/>
          <w:u w:val="single"/>
        </w:rPr>
        <w:t>NH</w:t>
      </w:r>
      <w:r w:rsidRPr="00A74F56">
        <w:rPr>
          <w:rFonts w:hint="eastAsia"/>
          <w:b/>
          <w:u w:val="single"/>
          <w:vertAlign w:val="subscript"/>
        </w:rPr>
        <w:t>3</w:t>
      </w:r>
      <w:r w:rsidRPr="00A74F56">
        <w:rPr>
          <w:rFonts w:hint="eastAsia"/>
          <w:b/>
          <w:u w:val="single"/>
        </w:rPr>
        <w:t>-N</w:t>
      </w:r>
      <w:r w:rsidRPr="00A74F56">
        <w:rPr>
          <w:rFonts w:hint="eastAsia"/>
          <w:b/>
          <w:u w:val="single"/>
        </w:rPr>
        <w:t>最远迁移距离分别为</w:t>
      </w:r>
      <w:r w:rsidR="00A74F56" w:rsidRPr="00A74F56">
        <w:rPr>
          <w:rFonts w:hint="eastAsia"/>
          <w:b/>
          <w:u w:val="single"/>
        </w:rPr>
        <w:t>1.7</w:t>
      </w:r>
      <w:r w:rsidRPr="00A74F56">
        <w:rPr>
          <w:rFonts w:hint="eastAsia"/>
          <w:b/>
          <w:u w:val="single"/>
        </w:rPr>
        <w:t>m</w:t>
      </w:r>
      <w:r w:rsidRPr="00A74F56">
        <w:rPr>
          <w:rFonts w:hint="eastAsia"/>
          <w:b/>
          <w:u w:val="single"/>
        </w:rPr>
        <w:t>、</w:t>
      </w:r>
      <w:r w:rsidR="00A74F56" w:rsidRPr="00A74F56">
        <w:rPr>
          <w:rFonts w:hint="eastAsia"/>
          <w:b/>
          <w:u w:val="single"/>
        </w:rPr>
        <w:t>2.7</w:t>
      </w:r>
      <w:r w:rsidRPr="00A74F56">
        <w:rPr>
          <w:rFonts w:hint="eastAsia"/>
          <w:b/>
          <w:u w:val="single"/>
        </w:rPr>
        <w:t>m</w:t>
      </w:r>
      <w:r w:rsidRPr="00A74F56">
        <w:rPr>
          <w:rFonts w:hint="eastAsia"/>
          <w:b/>
          <w:u w:val="single"/>
        </w:rPr>
        <w:t>，相对应的浓度分别为</w:t>
      </w:r>
      <w:r w:rsidR="00A74F56" w:rsidRPr="00A74F56">
        <w:rPr>
          <w:rFonts w:hint="eastAsia"/>
          <w:b/>
          <w:u w:val="single"/>
        </w:rPr>
        <w:t>0.026</w:t>
      </w:r>
      <w:r w:rsidRPr="00A74F56">
        <w:rPr>
          <w:rFonts w:hint="eastAsia"/>
          <w:b/>
          <w:u w:val="single"/>
        </w:rPr>
        <w:t>mg/L</w:t>
      </w:r>
      <w:r w:rsidRPr="00A74F56">
        <w:rPr>
          <w:rFonts w:hint="eastAsia"/>
          <w:b/>
          <w:u w:val="single"/>
        </w:rPr>
        <w:t>、</w:t>
      </w:r>
      <w:r w:rsidRPr="00A74F56">
        <w:rPr>
          <w:rFonts w:hint="eastAsia"/>
          <w:b/>
          <w:u w:val="single"/>
        </w:rPr>
        <w:t>0.02</w:t>
      </w:r>
      <w:r w:rsidR="00A74F56" w:rsidRPr="00A74F56">
        <w:rPr>
          <w:rFonts w:hint="eastAsia"/>
          <w:b/>
          <w:u w:val="single"/>
        </w:rPr>
        <w:t>5</w:t>
      </w:r>
      <w:r w:rsidRPr="00A74F56">
        <w:rPr>
          <w:rFonts w:hint="eastAsia"/>
          <w:b/>
          <w:u w:val="single"/>
        </w:rPr>
        <w:t>mg/L</w:t>
      </w:r>
      <w:r w:rsidRPr="00A74F56">
        <w:rPr>
          <w:rFonts w:hint="eastAsia"/>
          <w:b/>
          <w:u w:val="single"/>
        </w:rPr>
        <w:t>；</w:t>
      </w:r>
      <w:r w:rsidRPr="00A74F56">
        <w:rPr>
          <w:b/>
          <w:u w:val="single"/>
        </w:rPr>
        <w:t>最大浓度</w:t>
      </w:r>
      <w:r w:rsidRPr="00A74F56">
        <w:rPr>
          <w:rFonts w:hint="eastAsia"/>
          <w:b/>
          <w:u w:val="single"/>
        </w:rPr>
        <w:t>出现距离分别为</w:t>
      </w:r>
      <w:r w:rsidR="00A74F56" w:rsidRPr="00A74F56">
        <w:rPr>
          <w:rFonts w:hint="eastAsia"/>
          <w:b/>
          <w:u w:val="single"/>
        </w:rPr>
        <w:t>0.8</w:t>
      </w:r>
      <w:r w:rsidRPr="00A74F56">
        <w:rPr>
          <w:rFonts w:hint="eastAsia"/>
          <w:b/>
          <w:u w:val="single"/>
        </w:rPr>
        <w:t>m</w:t>
      </w:r>
      <w:r w:rsidRPr="00A74F56">
        <w:rPr>
          <w:rFonts w:hint="eastAsia"/>
          <w:b/>
          <w:u w:val="single"/>
        </w:rPr>
        <w:t>、</w:t>
      </w:r>
      <w:r w:rsidR="00A74F56" w:rsidRPr="00A74F56">
        <w:rPr>
          <w:rFonts w:hint="eastAsia"/>
          <w:b/>
          <w:u w:val="single"/>
        </w:rPr>
        <w:t>2</w:t>
      </w:r>
      <w:r w:rsidRPr="00A74F56">
        <w:rPr>
          <w:rFonts w:hint="eastAsia"/>
          <w:b/>
          <w:u w:val="single"/>
        </w:rPr>
        <w:t>m</w:t>
      </w:r>
      <w:r w:rsidRPr="00A74F56">
        <w:rPr>
          <w:rFonts w:hint="eastAsia"/>
          <w:b/>
          <w:u w:val="single"/>
        </w:rPr>
        <w:t>，最大浓度分别为</w:t>
      </w:r>
      <w:r w:rsidR="00A74F56" w:rsidRPr="00A74F56">
        <w:rPr>
          <w:rFonts w:hint="eastAsia"/>
          <w:b/>
          <w:u w:val="single"/>
        </w:rPr>
        <w:t>0.07</w:t>
      </w:r>
      <w:r w:rsidRPr="00A74F56">
        <w:rPr>
          <w:rFonts w:hint="eastAsia"/>
          <w:b/>
          <w:u w:val="single"/>
        </w:rPr>
        <w:t>mg/L</w:t>
      </w:r>
      <w:r w:rsidRPr="00A74F56">
        <w:rPr>
          <w:rFonts w:hint="eastAsia"/>
          <w:b/>
          <w:u w:val="single"/>
        </w:rPr>
        <w:t>、</w:t>
      </w:r>
      <w:r w:rsidR="00A74F56" w:rsidRPr="00A74F56">
        <w:rPr>
          <w:rFonts w:hint="eastAsia"/>
          <w:b/>
          <w:u w:val="single"/>
        </w:rPr>
        <w:t>0.03</w:t>
      </w:r>
      <w:r w:rsidRPr="00A74F56">
        <w:rPr>
          <w:rFonts w:hint="eastAsia"/>
          <w:b/>
          <w:u w:val="single"/>
        </w:rPr>
        <w:t>mg/L</w:t>
      </w:r>
      <w:r w:rsidRPr="00A74F56">
        <w:rPr>
          <w:rFonts w:hint="eastAsia"/>
          <w:b/>
          <w:u w:val="single"/>
        </w:rPr>
        <w:t>。</w:t>
      </w:r>
      <w:r w:rsidR="00A74F56" w:rsidRPr="00A74F56">
        <w:rPr>
          <w:rFonts w:hint="eastAsia"/>
          <w:b/>
          <w:u w:val="single"/>
        </w:rPr>
        <w:t xml:space="preserve">500d </w:t>
      </w:r>
      <w:r w:rsidR="00A74F56" w:rsidRPr="00A74F56">
        <w:rPr>
          <w:rFonts w:hint="eastAsia"/>
          <w:b/>
          <w:u w:val="single"/>
        </w:rPr>
        <w:t>、</w:t>
      </w:r>
      <w:r w:rsidR="00A74F56" w:rsidRPr="00A74F56">
        <w:rPr>
          <w:rFonts w:hint="eastAsia"/>
          <w:b/>
          <w:u w:val="single"/>
        </w:rPr>
        <w:t>1000d</w:t>
      </w:r>
      <w:r w:rsidR="00A74F56" w:rsidRPr="00A74F56">
        <w:rPr>
          <w:rFonts w:hint="eastAsia"/>
          <w:b/>
          <w:u w:val="single"/>
        </w:rPr>
        <w:t>时</w:t>
      </w:r>
      <w:r w:rsidR="00A74F56" w:rsidRPr="00A74F56">
        <w:rPr>
          <w:rFonts w:hint="eastAsia"/>
          <w:b/>
          <w:u w:val="single"/>
        </w:rPr>
        <w:t>NH</w:t>
      </w:r>
      <w:r w:rsidR="00A74F56" w:rsidRPr="00A74F56">
        <w:rPr>
          <w:rFonts w:hint="eastAsia"/>
          <w:b/>
          <w:u w:val="single"/>
          <w:vertAlign w:val="subscript"/>
        </w:rPr>
        <w:t>3</w:t>
      </w:r>
      <w:r w:rsidR="00A74F56" w:rsidRPr="00A74F56">
        <w:rPr>
          <w:rFonts w:hint="eastAsia"/>
          <w:b/>
          <w:u w:val="single"/>
        </w:rPr>
        <w:t>-N</w:t>
      </w:r>
      <w:r w:rsidR="00A74F56" w:rsidRPr="00A74F56">
        <w:rPr>
          <w:rFonts w:hint="eastAsia"/>
          <w:b/>
          <w:u w:val="single"/>
        </w:rPr>
        <w:t>最大浓度小于其检出限。</w:t>
      </w:r>
    </w:p>
    <w:p w:rsidR="00EE56C0" w:rsidRDefault="000F36A1">
      <w:pPr>
        <w:ind w:firstLine="480"/>
      </w:pPr>
      <w:r>
        <w:rPr>
          <w:rFonts w:hint="eastAsia"/>
        </w:rPr>
        <w:t>100d</w:t>
      </w:r>
      <w:r>
        <w:rPr>
          <w:rFonts w:hint="eastAsia"/>
        </w:rPr>
        <w:t>、</w:t>
      </w:r>
      <w:r>
        <w:rPr>
          <w:rFonts w:hint="eastAsia"/>
        </w:rPr>
        <w:t>365d</w:t>
      </w:r>
      <w:r>
        <w:rPr>
          <w:rFonts w:hint="eastAsia"/>
        </w:rPr>
        <w:t>、</w:t>
      </w:r>
      <w:r>
        <w:rPr>
          <w:rFonts w:hint="eastAsia"/>
        </w:rPr>
        <w:t>500d</w:t>
      </w:r>
      <w:r>
        <w:rPr>
          <w:rFonts w:hint="eastAsia"/>
        </w:rPr>
        <w:t>、</w:t>
      </w:r>
      <w:r>
        <w:rPr>
          <w:rFonts w:hint="eastAsia"/>
        </w:rPr>
        <w:t>1000d</w:t>
      </w:r>
      <w:r>
        <w:rPr>
          <w:rFonts w:hint="eastAsia"/>
        </w:rPr>
        <w:t>时各因子最大浓度与厂区最大监测值叠加后的值见下表：</w:t>
      </w:r>
    </w:p>
    <w:p w:rsidR="00EE56C0" w:rsidRPr="00A74F56" w:rsidRDefault="000F36A1">
      <w:pPr>
        <w:pStyle w:val="afd"/>
        <w:spacing w:before="120" w:after="120"/>
        <w:ind w:firstLine="482"/>
        <w:rPr>
          <w:u w:val="single"/>
        </w:rPr>
      </w:pPr>
      <w:r w:rsidRPr="00A74F56">
        <w:rPr>
          <w:u w:val="single"/>
        </w:rPr>
        <w:lastRenderedPageBreak/>
        <w:t>表</w:t>
      </w:r>
      <w:r w:rsidRPr="00A74F56">
        <w:rPr>
          <w:rFonts w:hint="eastAsia"/>
          <w:spacing w:val="20"/>
          <w:u w:val="single"/>
        </w:rPr>
        <w:t>5</w:t>
      </w:r>
      <w:r w:rsidRPr="00A74F56">
        <w:rPr>
          <w:spacing w:val="20"/>
          <w:u w:val="single"/>
        </w:rPr>
        <w:t>-</w:t>
      </w:r>
      <w:r w:rsidRPr="00A74F56">
        <w:rPr>
          <w:rFonts w:hint="eastAsia"/>
          <w:spacing w:val="20"/>
          <w:u w:val="single"/>
        </w:rPr>
        <w:t>4</w:t>
      </w:r>
      <w:r w:rsidR="005767FB">
        <w:rPr>
          <w:rFonts w:hint="eastAsia"/>
          <w:spacing w:val="20"/>
          <w:u w:val="single"/>
        </w:rPr>
        <w:t>4</w:t>
      </w:r>
      <w:r w:rsidRPr="00A74F56">
        <w:rPr>
          <w:rFonts w:hint="eastAsia"/>
          <w:spacing w:val="20"/>
          <w:u w:val="single"/>
        </w:rPr>
        <w:t xml:space="preserve">            </w:t>
      </w:r>
      <w:r w:rsidRPr="00A74F56">
        <w:rPr>
          <w:rFonts w:hint="eastAsia"/>
          <w:u w:val="single"/>
        </w:rPr>
        <w:t>各污染物预测结果</w:t>
      </w:r>
      <w:r w:rsidRPr="00A74F56">
        <w:rPr>
          <w:rFonts w:hint="eastAsia"/>
          <w:u w:val="single"/>
        </w:rPr>
        <w:t xml:space="preserve">             </w:t>
      </w:r>
      <w:r w:rsidRPr="00A74F56">
        <w:rPr>
          <w:rFonts w:hint="eastAsia"/>
          <w:u w:val="single"/>
        </w:rPr>
        <w:t>单位：</w:t>
      </w:r>
      <w:r w:rsidRPr="00A74F56">
        <w:rPr>
          <w:rFonts w:hint="eastAsia"/>
          <w:u w:val="single"/>
        </w:rPr>
        <w:t>m</w:t>
      </w:r>
      <w:r w:rsidRPr="00A74F56">
        <w:rPr>
          <w:u w:val="single"/>
        </w:rPr>
        <w:t>g</w:t>
      </w:r>
      <w:r w:rsidRPr="00A74F56">
        <w:rPr>
          <w:rFonts w:hint="eastAsia"/>
          <w:u w:val="single"/>
        </w:rPr>
        <w:t>/</w:t>
      </w:r>
      <w:r w:rsidR="00A74F56">
        <w:rPr>
          <w:rFonts w:hint="eastAsia"/>
          <w:u w:val="single"/>
        </w:rPr>
        <w:t>L</w:t>
      </w:r>
    </w:p>
    <w:tbl>
      <w:tblPr>
        <w:tblW w:w="5000" w:type="pct"/>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1052"/>
        <w:gridCol w:w="901"/>
        <w:gridCol w:w="1557"/>
        <w:gridCol w:w="1701"/>
        <w:gridCol w:w="1757"/>
        <w:gridCol w:w="1561"/>
      </w:tblGrid>
      <w:tr w:rsidR="00EE56C0" w:rsidRPr="00A74F56" w:rsidTr="00A74F56">
        <w:trPr>
          <w:trHeight w:val="425"/>
          <w:tblHeader/>
        </w:trPr>
        <w:tc>
          <w:tcPr>
            <w:tcW w:w="1145" w:type="pct"/>
            <w:gridSpan w:val="2"/>
            <w:vAlign w:val="center"/>
          </w:tcPr>
          <w:p w:rsidR="00EE56C0" w:rsidRPr="00A74F56" w:rsidRDefault="000F36A1">
            <w:pPr>
              <w:pStyle w:val="aff1"/>
              <w:rPr>
                <w:color w:val="auto"/>
                <w:u w:val="single"/>
              </w:rPr>
            </w:pPr>
            <w:r w:rsidRPr="00A74F56">
              <w:rPr>
                <w:rFonts w:hint="eastAsia"/>
                <w:color w:val="auto"/>
                <w:u w:val="single"/>
              </w:rPr>
              <w:t>因子</w:t>
            </w:r>
          </w:p>
        </w:tc>
        <w:tc>
          <w:tcPr>
            <w:tcW w:w="913" w:type="pct"/>
            <w:vAlign w:val="center"/>
          </w:tcPr>
          <w:p w:rsidR="00EE56C0" w:rsidRPr="00A74F56" w:rsidRDefault="000F36A1">
            <w:pPr>
              <w:pStyle w:val="aff1"/>
              <w:rPr>
                <w:color w:val="auto"/>
                <w:u w:val="single"/>
              </w:rPr>
            </w:pPr>
            <w:r w:rsidRPr="00A74F56">
              <w:rPr>
                <w:rFonts w:hint="eastAsia"/>
                <w:color w:val="auto"/>
                <w:u w:val="single"/>
              </w:rPr>
              <w:t>最大</w:t>
            </w:r>
            <w:r w:rsidRPr="00A74F56">
              <w:rPr>
                <w:color w:val="auto"/>
                <w:u w:val="single"/>
              </w:rPr>
              <w:t>浓度</w:t>
            </w:r>
          </w:p>
        </w:tc>
        <w:tc>
          <w:tcPr>
            <w:tcW w:w="997" w:type="pct"/>
            <w:vAlign w:val="center"/>
          </w:tcPr>
          <w:p w:rsidR="00EE56C0" w:rsidRPr="00A74F56" w:rsidRDefault="000F36A1">
            <w:pPr>
              <w:pStyle w:val="aff1"/>
              <w:rPr>
                <w:color w:val="auto"/>
                <w:u w:val="single"/>
              </w:rPr>
            </w:pPr>
            <w:r w:rsidRPr="00A74F56">
              <w:rPr>
                <w:rFonts w:hint="eastAsia"/>
                <w:color w:val="auto"/>
                <w:u w:val="single"/>
              </w:rPr>
              <w:t>现状值</w:t>
            </w:r>
          </w:p>
        </w:tc>
        <w:tc>
          <w:tcPr>
            <w:tcW w:w="1030" w:type="pct"/>
            <w:vAlign w:val="center"/>
          </w:tcPr>
          <w:p w:rsidR="00EE56C0" w:rsidRPr="00A74F56" w:rsidRDefault="000F36A1">
            <w:pPr>
              <w:pStyle w:val="aff1"/>
              <w:rPr>
                <w:color w:val="auto"/>
                <w:u w:val="single"/>
              </w:rPr>
            </w:pPr>
            <w:r w:rsidRPr="00A74F56">
              <w:rPr>
                <w:rFonts w:hint="eastAsia"/>
                <w:color w:val="auto"/>
                <w:u w:val="single"/>
              </w:rPr>
              <w:t>叠加值</w:t>
            </w:r>
          </w:p>
        </w:tc>
        <w:tc>
          <w:tcPr>
            <w:tcW w:w="915" w:type="pct"/>
            <w:vAlign w:val="center"/>
          </w:tcPr>
          <w:p w:rsidR="00EE56C0" w:rsidRPr="00A74F56" w:rsidRDefault="000F36A1">
            <w:pPr>
              <w:pStyle w:val="aff1"/>
              <w:rPr>
                <w:color w:val="auto"/>
                <w:u w:val="single"/>
              </w:rPr>
            </w:pPr>
            <w:r w:rsidRPr="00A74F56">
              <w:rPr>
                <w:rFonts w:hint="eastAsia"/>
                <w:color w:val="auto"/>
                <w:u w:val="single"/>
              </w:rPr>
              <w:t>环境质量标准</w:t>
            </w:r>
          </w:p>
        </w:tc>
      </w:tr>
      <w:tr w:rsidR="00EE56C0" w:rsidRPr="00A74F56" w:rsidTr="00A74F56">
        <w:trPr>
          <w:trHeight w:val="425"/>
        </w:trPr>
        <w:tc>
          <w:tcPr>
            <w:tcW w:w="617" w:type="pct"/>
            <w:vMerge w:val="restart"/>
            <w:vAlign w:val="center"/>
          </w:tcPr>
          <w:p w:rsidR="00EE56C0" w:rsidRPr="00A74F56" w:rsidRDefault="000F36A1">
            <w:pPr>
              <w:pStyle w:val="afa"/>
              <w:rPr>
                <w:u w:val="single"/>
              </w:rPr>
            </w:pPr>
            <w:r w:rsidRPr="00A74F56">
              <w:rPr>
                <w:rFonts w:hint="eastAsia"/>
                <w:u w:val="single"/>
              </w:rPr>
              <w:t>耗氧量</w:t>
            </w:r>
          </w:p>
        </w:tc>
        <w:tc>
          <w:tcPr>
            <w:tcW w:w="528" w:type="pct"/>
            <w:vAlign w:val="center"/>
          </w:tcPr>
          <w:p w:rsidR="00EE56C0" w:rsidRPr="00A74F56" w:rsidRDefault="000F36A1">
            <w:pPr>
              <w:pStyle w:val="afa"/>
              <w:rPr>
                <w:u w:val="single"/>
              </w:rPr>
            </w:pPr>
            <w:r w:rsidRPr="00A74F56">
              <w:rPr>
                <w:rFonts w:hint="eastAsia"/>
                <w:u w:val="single"/>
              </w:rPr>
              <w:t>100d</w:t>
            </w:r>
          </w:p>
        </w:tc>
        <w:tc>
          <w:tcPr>
            <w:tcW w:w="913" w:type="pct"/>
            <w:vAlign w:val="center"/>
          </w:tcPr>
          <w:p w:rsidR="00EE56C0" w:rsidRPr="00A74F56" w:rsidRDefault="00A74F56">
            <w:pPr>
              <w:pStyle w:val="afa"/>
              <w:rPr>
                <w:u w:val="single"/>
              </w:rPr>
            </w:pPr>
            <w:r w:rsidRPr="00A74F56">
              <w:rPr>
                <w:rFonts w:hint="eastAsia"/>
                <w:u w:val="single"/>
              </w:rPr>
              <w:t>0.97</w:t>
            </w:r>
          </w:p>
        </w:tc>
        <w:tc>
          <w:tcPr>
            <w:tcW w:w="997" w:type="pct"/>
            <w:vMerge w:val="restart"/>
            <w:vAlign w:val="center"/>
          </w:tcPr>
          <w:p w:rsidR="00EE56C0" w:rsidRPr="00A74F56" w:rsidRDefault="000F36A1">
            <w:pPr>
              <w:pStyle w:val="afa"/>
              <w:rPr>
                <w:u w:val="single"/>
              </w:rPr>
            </w:pPr>
            <w:r w:rsidRPr="00A74F56">
              <w:rPr>
                <w:rFonts w:hint="eastAsia"/>
                <w:u w:val="single"/>
              </w:rPr>
              <w:t>1.4</w:t>
            </w:r>
          </w:p>
        </w:tc>
        <w:tc>
          <w:tcPr>
            <w:tcW w:w="1030" w:type="pct"/>
            <w:vAlign w:val="center"/>
          </w:tcPr>
          <w:p w:rsidR="00EE56C0" w:rsidRPr="00A74F56" w:rsidRDefault="00A74F56" w:rsidP="00A74F56">
            <w:pPr>
              <w:pStyle w:val="afa"/>
              <w:rPr>
                <w:u w:val="single"/>
              </w:rPr>
            </w:pPr>
            <w:r w:rsidRPr="00A74F56">
              <w:rPr>
                <w:rFonts w:hint="eastAsia"/>
                <w:u w:val="single"/>
              </w:rPr>
              <w:t>2.37</w:t>
            </w:r>
          </w:p>
        </w:tc>
        <w:tc>
          <w:tcPr>
            <w:tcW w:w="915" w:type="pct"/>
            <w:vMerge w:val="restart"/>
            <w:vAlign w:val="center"/>
          </w:tcPr>
          <w:p w:rsidR="00EE56C0" w:rsidRPr="00A74F56" w:rsidRDefault="000F36A1">
            <w:pPr>
              <w:pStyle w:val="afa"/>
              <w:rPr>
                <w:u w:val="single"/>
              </w:rPr>
            </w:pPr>
            <w:r w:rsidRPr="00A74F56">
              <w:rPr>
                <w:rFonts w:hint="eastAsia"/>
                <w:u w:val="single"/>
              </w:rPr>
              <w:t>3.0</w:t>
            </w:r>
          </w:p>
        </w:tc>
      </w:tr>
      <w:tr w:rsidR="00A74F56" w:rsidRPr="00A74F56" w:rsidTr="00A74F56">
        <w:trPr>
          <w:trHeight w:val="425"/>
        </w:trPr>
        <w:tc>
          <w:tcPr>
            <w:tcW w:w="617" w:type="pct"/>
            <w:vMerge/>
            <w:vAlign w:val="center"/>
          </w:tcPr>
          <w:p w:rsidR="00A74F56" w:rsidRPr="00A74F56" w:rsidRDefault="00A74F56">
            <w:pPr>
              <w:pStyle w:val="afa"/>
              <w:rPr>
                <w:u w:val="single"/>
              </w:rPr>
            </w:pPr>
          </w:p>
        </w:tc>
        <w:tc>
          <w:tcPr>
            <w:tcW w:w="528" w:type="pct"/>
            <w:vAlign w:val="center"/>
          </w:tcPr>
          <w:p w:rsidR="00A74F56" w:rsidRPr="00A74F56" w:rsidRDefault="00A74F56">
            <w:pPr>
              <w:pStyle w:val="afa"/>
              <w:rPr>
                <w:u w:val="single"/>
              </w:rPr>
            </w:pPr>
            <w:r w:rsidRPr="00A74F56">
              <w:rPr>
                <w:rFonts w:hint="eastAsia"/>
                <w:u w:val="single"/>
              </w:rPr>
              <w:t>365d</w:t>
            </w:r>
          </w:p>
        </w:tc>
        <w:tc>
          <w:tcPr>
            <w:tcW w:w="913" w:type="pct"/>
            <w:vAlign w:val="center"/>
          </w:tcPr>
          <w:p w:rsidR="00A74F56" w:rsidRPr="00A74F56" w:rsidRDefault="00A74F56">
            <w:pPr>
              <w:pStyle w:val="afa"/>
              <w:rPr>
                <w:u w:val="single"/>
              </w:rPr>
            </w:pPr>
            <w:r w:rsidRPr="00A74F56">
              <w:rPr>
                <w:rFonts w:hint="eastAsia"/>
                <w:u w:val="single"/>
              </w:rPr>
              <w:t>/</w:t>
            </w:r>
          </w:p>
        </w:tc>
        <w:tc>
          <w:tcPr>
            <w:tcW w:w="997" w:type="pct"/>
            <w:vMerge/>
            <w:vAlign w:val="center"/>
          </w:tcPr>
          <w:p w:rsidR="00A74F56" w:rsidRPr="00A74F56" w:rsidRDefault="00A74F56">
            <w:pPr>
              <w:pStyle w:val="afa"/>
              <w:rPr>
                <w:u w:val="single"/>
              </w:rPr>
            </w:pPr>
          </w:p>
        </w:tc>
        <w:tc>
          <w:tcPr>
            <w:tcW w:w="1030" w:type="pct"/>
            <w:vAlign w:val="center"/>
          </w:tcPr>
          <w:p w:rsidR="00A74F56" w:rsidRPr="00A74F56" w:rsidRDefault="00A74F56" w:rsidP="00A74F56">
            <w:pPr>
              <w:spacing w:line="240" w:lineRule="auto"/>
              <w:ind w:firstLineChars="0" w:firstLine="0"/>
              <w:jc w:val="center"/>
              <w:rPr>
                <w:sz w:val="21"/>
                <w:szCs w:val="21"/>
                <w:u w:val="single"/>
              </w:rPr>
            </w:pPr>
            <w:r w:rsidRPr="00A74F56">
              <w:rPr>
                <w:rFonts w:hint="eastAsia"/>
                <w:sz w:val="21"/>
                <w:szCs w:val="21"/>
                <w:u w:val="single"/>
              </w:rPr>
              <w:t>1.4</w:t>
            </w:r>
          </w:p>
        </w:tc>
        <w:tc>
          <w:tcPr>
            <w:tcW w:w="915" w:type="pct"/>
            <w:vMerge/>
            <w:vAlign w:val="center"/>
          </w:tcPr>
          <w:p w:rsidR="00A74F56" w:rsidRPr="00A74F56" w:rsidRDefault="00A74F56">
            <w:pPr>
              <w:pStyle w:val="afa"/>
              <w:rPr>
                <w:u w:val="single"/>
              </w:rPr>
            </w:pPr>
          </w:p>
        </w:tc>
      </w:tr>
      <w:tr w:rsidR="00A74F56" w:rsidRPr="00A74F56" w:rsidTr="00A74F56">
        <w:trPr>
          <w:trHeight w:val="426"/>
        </w:trPr>
        <w:tc>
          <w:tcPr>
            <w:tcW w:w="617" w:type="pct"/>
            <w:vMerge/>
            <w:vAlign w:val="center"/>
          </w:tcPr>
          <w:p w:rsidR="00A74F56" w:rsidRPr="00A74F56" w:rsidRDefault="00A74F56">
            <w:pPr>
              <w:pStyle w:val="afa"/>
              <w:rPr>
                <w:u w:val="single"/>
              </w:rPr>
            </w:pPr>
          </w:p>
        </w:tc>
        <w:tc>
          <w:tcPr>
            <w:tcW w:w="528" w:type="pct"/>
            <w:vAlign w:val="center"/>
          </w:tcPr>
          <w:p w:rsidR="00A74F56" w:rsidRPr="00A74F56" w:rsidRDefault="00A74F56">
            <w:pPr>
              <w:pStyle w:val="afa"/>
              <w:rPr>
                <w:u w:val="single"/>
              </w:rPr>
            </w:pPr>
            <w:r w:rsidRPr="00A74F56">
              <w:rPr>
                <w:rFonts w:hint="eastAsia"/>
                <w:u w:val="single"/>
              </w:rPr>
              <w:t>500d</w:t>
            </w:r>
          </w:p>
        </w:tc>
        <w:tc>
          <w:tcPr>
            <w:tcW w:w="913" w:type="pct"/>
            <w:vAlign w:val="center"/>
          </w:tcPr>
          <w:p w:rsidR="00A74F56" w:rsidRPr="00A74F56" w:rsidRDefault="00A74F56">
            <w:pPr>
              <w:pStyle w:val="afa"/>
              <w:rPr>
                <w:u w:val="single"/>
              </w:rPr>
            </w:pPr>
            <w:r w:rsidRPr="00A74F56">
              <w:rPr>
                <w:rFonts w:hint="eastAsia"/>
                <w:u w:val="single"/>
              </w:rPr>
              <w:t>/</w:t>
            </w:r>
          </w:p>
        </w:tc>
        <w:tc>
          <w:tcPr>
            <w:tcW w:w="997" w:type="pct"/>
            <w:vMerge/>
            <w:vAlign w:val="center"/>
          </w:tcPr>
          <w:p w:rsidR="00A74F56" w:rsidRPr="00A74F56" w:rsidRDefault="00A74F56">
            <w:pPr>
              <w:pStyle w:val="afa"/>
              <w:rPr>
                <w:u w:val="single"/>
              </w:rPr>
            </w:pPr>
          </w:p>
        </w:tc>
        <w:tc>
          <w:tcPr>
            <w:tcW w:w="1030" w:type="pct"/>
            <w:vAlign w:val="center"/>
          </w:tcPr>
          <w:p w:rsidR="00A74F56" w:rsidRPr="00A74F56" w:rsidRDefault="00A74F56" w:rsidP="00A74F56">
            <w:pPr>
              <w:spacing w:line="240" w:lineRule="auto"/>
              <w:ind w:firstLineChars="0" w:firstLine="0"/>
              <w:jc w:val="center"/>
              <w:rPr>
                <w:sz w:val="21"/>
                <w:szCs w:val="21"/>
                <w:u w:val="single"/>
              </w:rPr>
            </w:pPr>
            <w:r w:rsidRPr="00A74F56">
              <w:rPr>
                <w:rFonts w:hint="eastAsia"/>
                <w:sz w:val="21"/>
                <w:szCs w:val="21"/>
                <w:u w:val="single"/>
              </w:rPr>
              <w:t>1.4</w:t>
            </w:r>
          </w:p>
        </w:tc>
        <w:tc>
          <w:tcPr>
            <w:tcW w:w="915" w:type="pct"/>
            <w:vMerge/>
            <w:vAlign w:val="center"/>
          </w:tcPr>
          <w:p w:rsidR="00A74F56" w:rsidRPr="00A74F56" w:rsidRDefault="00A74F56">
            <w:pPr>
              <w:pStyle w:val="afa"/>
              <w:rPr>
                <w:u w:val="single"/>
              </w:rPr>
            </w:pPr>
          </w:p>
        </w:tc>
      </w:tr>
      <w:tr w:rsidR="00EE56C0" w:rsidRPr="00A74F56" w:rsidTr="00A74F56">
        <w:trPr>
          <w:trHeight w:val="425"/>
        </w:trPr>
        <w:tc>
          <w:tcPr>
            <w:tcW w:w="617" w:type="pct"/>
            <w:vMerge/>
            <w:vAlign w:val="center"/>
          </w:tcPr>
          <w:p w:rsidR="00EE56C0" w:rsidRPr="00A74F56" w:rsidRDefault="00EE56C0">
            <w:pPr>
              <w:pStyle w:val="afa"/>
              <w:rPr>
                <w:u w:val="single"/>
              </w:rPr>
            </w:pPr>
          </w:p>
        </w:tc>
        <w:tc>
          <w:tcPr>
            <w:tcW w:w="528" w:type="pct"/>
            <w:vAlign w:val="center"/>
          </w:tcPr>
          <w:p w:rsidR="00EE56C0" w:rsidRPr="00A74F56" w:rsidRDefault="000F36A1">
            <w:pPr>
              <w:pStyle w:val="afa"/>
              <w:rPr>
                <w:u w:val="single"/>
              </w:rPr>
            </w:pPr>
            <w:r w:rsidRPr="00A74F56">
              <w:rPr>
                <w:rFonts w:hint="eastAsia"/>
                <w:u w:val="single"/>
              </w:rPr>
              <w:t>1000d</w:t>
            </w:r>
          </w:p>
        </w:tc>
        <w:tc>
          <w:tcPr>
            <w:tcW w:w="913" w:type="pct"/>
            <w:vAlign w:val="center"/>
          </w:tcPr>
          <w:p w:rsidR="00EE56C0" w:rsidRPr="00A74F56" w:rsidRDefault="000F36A1">
            <w:pPr>
              <w:pStyle w:val="afa"/>
              <w:rPr>
                <w:u w:val="single"/>
              </w:rPr>
            </w:pPr>
            <w:r w:rsidRPr="00A74F56">
              <w:rPr>
                <w:rFonts w:hint="eastAsia"/>
                <w:u w:val="single"/>
              </w:rPr>
              <w:t>/</w:t>
            </w:r>
          </w:p>
        </w:tc>
        <w:tc>
          <w:tcPr>
            <w:tcW w:w="997" w:type="pct"/>
            <w:vMerge/>
            <w:vAlign w:val="center"/>
          </w:tcPr>
          <w:p w:rsidR="00EE56C0" w:rsidRPr="00A74F56" w:rsidRDefault="00EE56C0">
            <w:pPr>
              <w:pStyle w:val="afa"/>
              <w:rPr>
                <w:u w:val="single"/>
              </w:rPr>
            </w:pPr>
          </w:p>
        </w:tc>
        <w:tc>
          <w:tcPr>
            <w:tcW w:w="1030" w:type="pct"/>
            <w:vAlign w:val="center"/>
          </w:tcPr>
          <w:p w:rsidR="00EE56C0" w:rsidRPr="00A74F56" w:rsidRDefault="000F36A1" w:rsidP="00A74F56">
            <w:pPr>
              <w:pStyle w:val="afa"/>
              <w:rPr>
                <w:u w:val="single"/>
              </w:rPr>
            </w:pPr>
            <w:r w:rsidRPr="00A74F56">
              <w:rPr>
                <w:u w:val="single"/>
              </w:rPr>
              <w:t>1.4</w:t>
            </w:r>
          </w:p>
        </w:tc>
        <w:tc>
          <w:tcPr>
            <w:tcW w:w="915" w:type="pct"/>
            <w:vMerge/>
            <w:vAlign w:val="center"/>
          </w:tcPr>
          <w:p w:rsidR="00EE56C0" w:rsidRPr="00A74F56" w:rsidRDefault="00EE56C0">
            <w:pPr>
              <w:pStyle w:val="afa"/>
              <w:rPr>
                <w:u w:val="single"/>
              </w:rPr>
            </w:pPr>
          </w:p>
        </w:tc>
      </w:tr>
      <w:tr w:rsidR="00EE56C0" w:rsidRPr="00A74F56" w:rsidTr="00A74F56">
        <w:trPr>
          <w:trHeight w:val="425"/>
        </w:trPr>
        <w:tc>
          <w:tcPr>
            <w:tcW w:w="617" w:type="pct"/>
            <w:vMerge w:val="restart"/>
            <w:vAlign w:val="center"/>
          </w:tcPr>
          <w:p w:rsidR="00EE56C0" w:rsidRPr="00A74F56" w:rsidRDefault="000F36A1">
            <w:pPr>
              <w:pStyle w:val="afa"/>
              <w:rPr>
                <w:u w:val="single"/>
              </w:rPr>
            </w:pPr>
            <w:r w:rsidRPr="00A74F56">
              <w:rPr>
                <w:rFonts w:hint="eastAsia"/>
                <w:u w:val="single"/>
              </w:rPr>
              <w:t>NH</w:t>
            </w:r>
            <w:r w:rsidRPr="00A74F56">
              <w:rPr>
                <w:rFonts w:hint="eastAsia"/>
                <w:u w:val="single"/>
                <w:vertAlign w:val="subscript"/>
              </w:rPr>
              <w:t>3</w:t>
            </w:r>
            <w:r w:rsidRPr="00A74F56">
              <w:rPr>
                <w:rFonts w:hint="eastAsia"/>
                <w:u w:val="single"/>
              </w:rPr>
              <w:t>-N</w:t>
            </w:r>
          </w:p>
        </w:tc>
        <w:tc>
          <w:tcPr>
            <w:tcW w:w="528" w:type="pct"/>
            <w:vAlign w:val="center"/>
          </w:tcPr>
          <w:p w:rsidR="00EE56C0" w:rsidRPr="00A74F56" w:rsidRDefault="000F36A1">
            <w:pPr>
              <w:pStyle w:val="afa"/>
              <w:rPr>
                <w:u w:val="single"/>
              </w:rPr>
            </w:pPr>
            <w:r w:rsidRPr="00A74F56">
              <w:rPr>
                <w:rFonts w:hint="eastAsia"/>
                <w:u w:val="single"/>
              </w:rPr>
              <w:t>100d</w:t>
            </w:r>
          </w:p>
        </w:tc>
        <w:tc>
          <w:tcPr>
            <w:tcW w:w="913" w:type="pct"/>
            <w:vAlign w:val="center"/>
          </w:tcPr>
          <w:p w:rsidR="00EE56C0" w:rsidRPr="00A74F56" w:rsidRDefault="00A74F56">
            <w:pPr>
              <w:pStyle w:val="afa"/>
              <w:rPr>
                <w:u w:val="single"/>
              </w:rPr>
            </w:pPr>
            <w:r w:rsidRPr="00A74F56">
              <w:rPr>
                <w:rFonts w:hint="eastAsia"/>
                <w:u w:val="single"/>
              </w:rPr>
              <w:t>0.07</w:t>
            </w:r>
          </w:p>
        </w:tc>
        <w:tc>
          <w:tcPr>
            <w:tcW w:w="997" w:type="pct"/>
            <w:vMerge w:val="restart"/>
            <w:vAlign w:val="center"/>
          </w:tcPr>
          <w:p w:rsidR="00EE56C0" w:rsidRPr="00A74F56" w:rsidRDefault="000F36A1">
            <w:pPr>
              <w:pStyle w:val="afa"/>
              <w:rPr>
                <w:u w:val="single"/>
              </w:rPr>
            </w:pPr>
            <w:r w:rsidRPr="00A74F56">
              <w:rPr>
                <w:rFonts w:hint="eastAsia"/>
                <w:u w:val="single"/>
              </w:rPr>
              <w:t>0.188</w:t>
            </w:r>
          </w:p>
        </w:tc>
        <w:tc>
          <w:tcPr>
            <w:tcW w:w="1030" w:type="pct"/>
            <w:vAlign w:val="center"/>
          </w:tcPr>
          <w:p w:rsidR="00EE56C0" w:rsidRPr="00A74F56" w:rsidRDefault="00A74F56">
            <w:pPr>
              <w:pStyle w:val="afa"/>
              <w:rPr>
                <w:u w:val="single"/>
              </w:rPr>
            </w:pPr>
            <w:r w:rsidRPr="00A74F56">
              <w:rPr>
                <w:rFonts w:hint="eastAsia"/>
                <w:u w:val="single"/>
              </w:rPr>
              <w:t>0.258</w:t>
            </w:r>
          </w:p>
        </w:tc>
        <w:tc>
          <w:tcPr>
            <w:tcW w:w="915" w:type="pct"/>
            <w:vMerge w:val="restart"/>
            <w:vAlign w:val="center"/>
          </w:tcPr>
          <w:p w:rsidR="00EE56C0" w:rsidRPr="00A74F56" w:rsidRDefault="000F36A1">
            <w:pPr>
              <w:pStyle w:val="afa"/>
              <w:rPr>
                <w:u w:val="single"/>
              </w:rPr>
            </w:pPr>
            <w:r w:rsidRPr="00A74F56">
              <w:rPr>
                <w:rFonts w:hint="eastAsia"/>
                <w:u w:val="single"/>
              </w:rPr>
              <w:t>0.5</w:t>
            </w:r>
          </w:p>
        </w:tc>
      </w:tr>
      <w:tr w:rsidR="00EE56C0" w:rsidRPr="00A74F56" w:rsidTr="00A74F56">
        <w:trPr>
          <w:trHeight w:val="425"/>
        </w:trPr>
        <w:tc>
          <w:tcPr>
            <w:tcW w:w="617" w:type="pct"/>
            <w:vMerge/>
            <w:vAlign w:val="center"/>
          </w:tcPr>
          <w:p w:rsidR="00EE56C0" w:rsidRPr="00A74F56" w:rsidRDefault="00EE56C0">
            <w:pPr>
              <w:pStyle w:val="afa"/>
              <w:rPr>
                <w:u w:val="single"/>
              </w:rPr>
            </w:pPr>
          </w:p>
        </w:tc>
        <w:tc>
          <w:tcPr>
            <w:tcW w:w="528" w:type="pct"/>
            <w:vAlign w:val="center"/>
          </w:tcPr>
          <w:p w:rsidR="00EE56C0" w:rsidRPr="00A74F56" w:rsidRDefault="000F36A1">
            <w:pPr>
              <w:pStyle w:val="afa"/>
              <w:rPr>
                <w:u w:val="single"/>
              </w:rPr>
            </w:pPr>
            <w:r w:rsidRPr="00A74F56">
              <w:rPr>
                <w:rFonts w:hint="eastAsia"/>
                <w:u w:val="single"/>
              </w:rPr>
              <w:t>365d</w:t>
            </w:r>
          </w:p>
        </w:tc>
        <w:tc>
          <w:tcPr>
            <w:tcW w:w="913" w:type="pct"/>
            <w:vAlign w:val="center"/>
          </w:tcPr>
          <w:p w:rsidR="00EE56C0" w:rsidRPr="00A74F56" w:rsidRDefault="00A74F56">
            <w:pPr>
              <w:pStyle w:val="afa"/>
              <w:rPr>
                <w:u w:val="single"/>
              </w:rPr>
            </w:pPr>
            <w:r w:rsidRPr="00A74F56">
              <w:rPr>
                <w:rFonts w:hint="eastAsia"/>
                <w:u w:val="single"/>
              </w:rPr>
              <w:t>0.03</w:t>
            </w:r>
          </w:p>
        </w:tc>
        <w:tc>
          <w:tcPr>
            <w:tcW w:w="997" w:type="pct"/>
            <w:vMerge/>
            <w:vAlign w:val="center"/>
          </w:tcPr>
          <w:p w:rsidR="00EE56C0" w:rsidRPr="00A74F56" w:rsidRDefault="00EE56C0">
            <w:pPr>
              <w:pStyle w:val="afa"/>
              <w:rPr>
                <w:u w:val="single"/>
              </w:rPr>
            </w:pPr>
          </w:p>
        </w:tc>
        <w:tc>
          <w:tcPr>
            <w:tcW w:w="1030" w:type="pct"/>
            <w:vAlign w:val="center"/>
          </w:tcPr>
          <w:p w:rsidR="00EE56C0" w:rsidRPr="00A74F56" w:rsidRDefault="00A74F56">
            <w:pPr>
              <w:pStyle w:val="afa"/>
              <w:rPr>
                <w:u w:val="single"/>
              </w:rPr>
            </w:pPr>
            <w:r w:rsidRPr="00A74F56">
              <w:rPr>
                <w:rFonts w:hint="eastAsia"/>
                <w:u w:val="single"/>
              </w:rPr>
              <w:t>0.218</w:t>
            </w:r>
          </w:p>
        </w:tc>
        <w:tc>
          <w:tcPr>
            <w:tcW w:w="915" w:type="pct"/>
            <w:vMerge/>
            <w:vAlign w:val="center"/>
          </w:tcPr>
          <w:p w:rsidR="00EE56C0" w:rsidRPr="00A74F56" w:rsidRDefault="00EE56C0">
            <w:pPr>
              <w:pStyle w:val="afa"/>
              <w:rPr>
                <w:u w:val="single"/>
              </w:rPr>
            </w:pPr>
          </w:p>
        </w:tc>
      </w:tr>
      <w:tr w:rsidR="00A74F56" w:rsidRPr="00A74F56" w:rsidTr="00A74F56">
        <w:trPr>
          <w:trHeight w:val="425"/>
        </w:trPr>
        <w:tc>
          <w:tcPr>
            <w:tcW w:w="617" w:type="pct"/>
            <w:vMerge/>
            <w:vAlign w:val="center"/>
          </w:tcPr>
          <w:p w:rsidR="00A74F56" w:rsidRPr="00A74F56" w:rsidRDefault="00A74F56">
            <w:pPr>
              <w:pStyle w:val="afa"/>
              <w:rPr>
                <w:u w:val="single"/>
              </w:rPr>
            </w:pPr>
          </w:p>
        </w:tc>
        <w:tc>
          <w:tcPr>
            <w:tcW w:w="528" w:type="pct"/>
            <w:vAlign w:val="center"/>
          </w:tcPr>
          <w:p w:rsidR="00A74F56" w:rsidRPr="00A74F56" w:rsidRDefault="00A74F56">
            <w:pPr>
              <w:pStyle w:val="afa"/>
              <w:rPr>
                <w:u w:val="single"/>
              </w:rPr>
            </w:pPr>
            <w:r w:rsidRPr="00A74F56">
              <w:rPr>
                <w:rFonts w:hint="eastAsia"/>
                <w:u w:val="single"/>
              </w:rPr>
              <w:t>500d</w:t>
            </w:r>
          </w:p>
        </w:tc>
        <w:tc>
          <w:tcPr>
            <w:tcW w:w="913" w:type="pct"/>
            <w:vAlign w:val="center"/>
          </w:tcPr>
          <w:p w:rsidR="00A74F56" w:rsidRPr="00A74F56" w:rsidRDefault="00A74F56" w:rsidP="00212B58">
            <w:pPr>
              <w:pStyle w:val="afa"/>
              <w:rPr>
                <w:u w:val="single"/>
              </w:rPr>
            </w:pPr>
            <w:r w:rsidRPr="00A74F56">
              <w:rPr>
                <w:rFonts w:hint="eastAsia"/>
                <w:u w:val="single"/>
              </w:rPr>
              <w:t>/</w:t>
            </w:r>
          </w:p>
        </w:tc>
        <w:tc>
          <w:tcPr>
            <w:tcW w:w="997" w:type="pct"/>
            <w:vMerge/>
            <w:vAlign w:val="center"/>
          </w:tcPr>
          <w:p w:rsidR="00A74F56" w:rsidRPr="00A74F56" w:rsidRDefault="00A74F56">
            <w:pPr>
              <w:pStyle w:val="afa"/>
              <w:rPr>
                <w:u w:val="single"/>
              </w:rPr>
            </w:pPr>
          </w:p>
        </w:tc>
        <w:tc>
          <w:tcPr>
            <w:tcW w:w="1030" w:type="pct"/>
            <w:vAlign w:val="center"/>
          </w:tcPr>
          <w:p w:rsidR="00A74F56" w:rsidRPr="00A74F56" w:rsidRDefault="00A74F56">
            <w:pPr>
              <w:pStyle w:val="afa"/>
              <w:rPr>
                <w:u w:val="single"/>
              </w:rPr>
            </w:pPr>
            <w:r w:rsidRPr="00A74F56">
              <w:rPr>
                <w:rFonts w:hint="eastAsia"/>
                <w:u w:val="single"/>
              </w:rPr>
              <w:t>0.188</w:t>
            </w:r>
          </w:p>
        </w:tc>
        <w:tc>
          <w:tcPr>
            <w:tcW w:w="915" w:type="pct"/>
            <w:vMerge/>
            <w:vAlign w:val="center"/>
          </w:tcPr>
          <w:p w:rsidR="00A74F56" w:rsidRPr="00A74F56" w:rsidRDefault="00A74F56">
            <w:pPr>
              <w:pStyle w:val="afa"/>
              <w:rPr>
                <w:u w:val="single"/>
              </w:rPr>
            </w:pPr>
          </w:p>
        </w:tc>
      </w:tr>
      <w:tr w:rsidR="00A74F56" w:rsidRPr="00A74F56" w:rsidTr="00A74F56">
        <w:trPr>
          <w:trHeight w:val="425"/>
        </w:trPr>
        <w:tc>
          <w:tcPr>
            <w:tcW w:w="617" w:type="pct"/>
            <w:vMerge/>
            <w:vAlign w:val="center"/>
          </w:tcPr>
          <w:p w:rsidR="00A74F56" w:rsidRPr="00A74F56" w:rsidRDefault="00A74F56">
            <w:pPr>
              <w:pStyle w:val="afa"/>
              <w:rPr>
                <w:u w:val="single"/>
              </w:rPr>
            </w:pPr>
          </w:p>
        </w:tc>
        <w:tc>
          <w:tcPr>
            <w:tcW w:w="528" w:type="pct"/>
            <w:vAlign w:val="center"/>
          </w:tcPr>
          <w:p w:rsidR="00A74F56" w:rsidRPr="00A74F56" w:rsidRDefault="00A74F56">
            <w:pPr>
              <w:pStyle w:val="afa"/>
              <w:rPr>
                <w:u w:val="single"/>
              </w:rPr>
            </w:pPr>
            <w:r w:rsidRPr="00A74F56">
              <w:rPr>
                <w:rFonts w:hint="eastAsia"/>
                <w:u w:val="single"/>
              </w:rPr>
              <w:t>1000d</w:t>
            </w:r>
          </w:p>
        </w:tc>
        <w:tc>
          <w:tcPr>
            <w:tcW w:w="913" w:type="pct"/>
            <w:vAlign w:val="center"/>
          </w:tcPr>
          <w:p w:rsidR="00A74F56" w:rsidRPr="00A74F56" w:rsidRDefault="00A74F56" w:rsidP="00212B58">
            <w:pPr>
              <w:pStyle w:val="afa"/>
              <w:rPr>
                <w:u w:val="single"/>
              </w:rPr>
            </w:pPr>
            <w:r w:rsidRPr="00A74F56">
              <w:rPr>
                <w:rFonts w:hint="eastAsia"/>
                <w:u w:val="single"/>
              </w:rPr>
              <w:t>/</w:t>
            </w:r>
          </w:p>
        </w:tc>
        <w:tc>
          <w:tcPr>
            <w:tcW w:w="997" w:type="pct"/>
            <w:vMerge/>
            <w:vAlign w:val="center"/>
          </w:tcPr>
          <w:p w:rsidR="00A74F56" w:rsidRPr="00A74F56" w:rsidRDefault="00A74F56">
            <w:pPr>
              <w:pStyle w:val="afa"/>
              <w:rPr>
                <w:u w:val="single"/>
              </w:rPr>
            </w:pPr>
          </w:p>
        </w:tc>
        <w:tc>
          <w:tcPr>
            <w:tcW w:w="1030" w:type="pct"/>
            <w:vAlign w:val="center"/>
          </w:tcPr>
          <w:p w:rsidR="00A74F56" w:rsidRPr="00A74F56" w:rsidRDefault="00A74F56">
            <w:pPr>
              <w:pStyle w:val="afa"/>
              <w:rPr>
                <w:u w:val="single"/>
              </w:rPr>
            </w:pPr>
            <w:r w:rsidRPr="00A74F56">
              <w:rPr>
                <w:rFonts w:hint="eastAsia"/>
                <w:u w:val="single"/>
              </w:rPr>
              <w:t>0.188</w:t>
            </w:r>
          </w:p>
        </w:tc>
        <w:tc>
          <w:tcPr>
            <w:tcW w:w="915" w:type="pct"/>
            <w:vMerge/>
            <w:vAlign w:val="center"/>
          </w:tcPr>
          <w:p w:rsidR="00A74F56" w:rsidRPr="00A74F56" w:rsidRDefault="00A74F56">
            <w:pPr>
              <w:pStyle w:val="afa"/>
              <w:rPr>
                <w:u w:val="single"/>
              </w:rPr>
            </w:pPr>
          </w:p>
        </w:tc>
      </w:tr>
    </w:tbl>
    <w:p w:rsidR="00EE56C0" w:rsidRDefault="000F36A1">
      <w:pPr>
        <w:ind w:firstLine="480"/>
      </w:pPr>
      <w:r>
        <w:rPr>
          <w:rFonts w:hint="eastAsia"/>
        </w:rPr>
        <w:t>由上表可知，叠加现状值后，耗氧量、氨氮均不存在超标现象。</w:t>
      </w:r>
    </w:p>
    <w:p w:rsidR="00EE56C0" w:rsidRDefault="000F36A1">
      <w:pPr>
        <w:ind w:firstLine="482"/>
        <w:rPr>
          <w:b/>
        </w:rPr>
      </w:pPr>
      <w:r>
        <w:rPr>
          <w:rFonts w:hint="eastAsia"/>
          <w:b/>
        </w:rPr>
        <w:t>（</w:t>
      </w:r>
      <w:r>
        <w:rPr>
          <w:rFonts w:hint="eastAsia"/>
          <w:b/>
        </w:rPr>
        <w:t>2</w:t>
      </w:r>
      <w:r>
        <w:rPr>
          <w:rFonts w:hint="eastAsia"/>
          <w:b/>
        </w:rPr>
        <w:t>）厂界浓度预测</w:t>
      </w:r>
    </w:p>
    <w:p w:rsidR="00EE56C0" w:rsidRDefault="000F36A1">
      <w:pPr>
        <w:ind w:firstLine="480"/>
      </w:pPr>
      <w:r>
        <w:rPr>
          <w:rFonts w:hint="eastAsia"/>
        </w:rPr>
        <w:t>项目废水调节池下游</w:t>
      </w:r>
      <w:r>
        <w:rPr>
          <w:rFonts w:hint="eastAsia"/>
        </w:rPr>
        <w:t>12.6m</w:t>
      </w:r>
      <w:r>
        <w:rPr>
          <w:rFonts w:hint="eastAsia"/>
        </w:rPr>
        <w:t>处为项目北厂界，其他厂界均不属于其下游区域，因此评价仅对项目北厂界外地下水水质进行预测评价，根据计算结果，北厂界处的浓度叠加值如下：</w:t>
      </w:r>
    </w:p>
    <w:p w:rsidR="00EE56C0" w:rsidRDefault="000F36A1">
      <w:pPr>
        <w:pStyle w:val="afd"/>
        <w:spacing w:before="120" w:after="120"/>
        <w:ind w:firstLine="482"/>
        <w:rPr>
          <w:kern w:val="0"/>
        </w:rPr>
      </w:pPr>
      <w:r>
        <w:rPr>
          <w:kern w:val="0"/>
        </w:rPr>
        <w:t>表</w:t>
      </w:r>
      <w:r>
        <w:rPr>
          <w:rFonts w:hint="eastAsia"/>
          <w:kern w:val="0"/>
        </w:rPr>
        <w:t>5-4</w:t>
      </w:r>
      <w:r w:rsidR="005767FB">
        <w:rPr>
          <w:rFonts w:hint="eastAsia"/>
          <w:kern w:val="0"/>
        </w:rPr>
        <w:t xml:space="preserve">5      </w:t>
      </w:r>
      <w:r>
        <w:rPr>
          <w:kern w:val="0"/>
        </w:rPr>
        <w:t>地下水预测</w:t>
      </w:r>
      <w:r>
        <w:rPr>
          <w:rFonts w:hint="eastAsia"/>
        </w:rPr>
        <w:t>南</w:t>
      </w:r>
      <w:r>
        <w:rPr>
          <w:rFonts w:hint="eastAsia"/>
          <w:kern w:val="0"/>
        </w:rPr>
        <w:t>厂界叠加值</w:t>
      </w:r>
      <w:r>
        <w:rPr>
          <w:kern w:val="0"/>
        </w:rPr>
        <w:t>一览表</w:t>
      </w:r>
    </w:p>
    <w:tbl>
      <w:tblPr>
        <w:tblW w:w="4763"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tblPr>
      <w:tblGrid>
        <w:gridCol w:w="1217"/>
        <w:gridCol w:w="1181"/>
        <w:gridCol w:w="1511"/>
        <w:gridCol w:w="1155"/>
        <w:gridCol w:w="1618"/>
        <w:gridCol w:w="1443"/>
      </w:tblGrid>
      <w:tr w:rsidR="00EE56C0" w:rsidTr="00A74F56">
        <w:trPr>
          <w:trHeight w:val="369"/>
          <w:jc w:val="center"/>
        </w:trPr>
        <w:tc>
          <w:tcPr>
            <w:tcW w:w="1217" w:type="dxa"/>
            <w:vMerge w:val="restart"/>
            <w:vAlign w:val="center"/>
          </w:tcPr>
          <w:p w:rsidR="00EE56C0" w:rsidRDefault="000F36A1">
            <w:pPr>
              <w:pStyle w:val="aff1"/>
              <w:rPr>
                <w:color w:val="auto"/>
                <w:kern w:val="0"/>
              </w:rPr>
            </w:pPr>
            <w:r>
              <w:rPr>
                <w:rFonts w:hint="eastAsia"/>
                <w:color w:val="auto"/>
                <w:kern w:val="0"/>
              </w:rPr>
              <w:t>厂界名称</w:t>
            </w:r>
          </w:p>
        </w:tc>
        <w:tc>
          <w:tcPr>
            <w:tcW w:w="1181" w:type="dxa"/>
            <w:vMerge w:val="restart"/>
            <w:vAlign w:val="center"/>
          </w:tcPr>
          <w:p w:rsidR="00EE56C0" w:rsidRDefault="000F36A1">
            <w:pPr>
              <w:pStyle w:val="aff1"/>
              <w:rPr>
                <w:color w:val="auto"/>
                <w:kern w:val="0"/>
              </w:rPr>
            </w:pPr>
            <w:r>
              <w:rPr>
                <w:rFonts w:hint="eastAsia"/>
                <w:color w:val="auto"/>
                <w:kern w:val="0"/>
              </w:rPr>
              <w:t>时间</w:t>
            </w:r>
          </w:p>
        </w:tc>
        <w:tc>
          <w:tcPr>
            <w:tcW w:w="5727" w:type="dxa"/>
            <w:gridSpan w:val="4"/>
            <w:vAlign w:val="center"/>
          </w:tcPr>
          <w:p w:rsidR="00EE56C0" w:rsidRDefault="000F36A1">
            <w:pPr>
              <w:pStyle w:val="aff1"/>
              <w:rPr>
                <w:color w:val="auto"/>
                <w:kern w:val="0"/>
              </w:rPr>
            </w:pPr>
            <w:r>
              <w:rPr>
                <w:rFonts w:hint="eastAsia"/>
                <w:color w:val="auto"/>
                <w:kern w:val="0"/>
              </w:rPr>
              <w:t>北</w:t>
            </w:r>
            <w:r>
              <w:rPr>
                <w:color w:val="auto"/>
                <w:kern w:val="0"/>
              </w:rPr>
              <w:t>厂界</w:t>
            </w:r>
          </w:p>
        </w:tc>
      </w:tr>
      <w:tr w:rsidR="00EE56C0" w:rsidTr="00A74F56">
        <w:trPr>
          <w:trHeight w:val="369"/>
          <w:jc w:val="center"/>
        </w:trPr>
        <w:tc>
          <w:tcPr>
            <w:tcW w:w="1217" w:type="dxa"/>
            <w:vMerge/>
            <w:vAlign w:val="center"/>
          </w:tcPr>
          <w:p w:rsidR="00EE56C0" w:rsidRDefault="00EE56C0">
            <w:pPr>
              <w:pStyle w:val="aff1"/>
              <w:rPr>
                <w:color w:val="auto"/>
                <w:kern w:val="0"/>
              </w:rPr>
            </w:pPr>
          </w:p>
        </w:tc>
        <w:tc>
          <w:tcPr>
            <w:tcW w:w="1181" w:type="dxa"/>
            <w:vMerge/>
            <w:vAlign w:val="center"/>
          </w:tcPr>
          <w:p w:rsidR="00EE56C0" w:rsidRDefault="00EE56C0">
            <w:pPr>
              <w:pStyle w:val="aff1"/>
              <w:rPr>
                <w:color w:val="auto"/>
                <w:kern w:val="0"/>
              </w:rPr>
            </w:pPr>
          </w:p>
        </w:tc>
        <w:tc>
          <w:tcPr>
            <w:tcW w:w="1511" w:type="dxa"/>
            <w:vAlign w:val="center"/>
          </w:tcPr>
          <w:p w:rsidR="00EE56C0" w:rsidRDefault="000F36A1">
            <w:pPr>
              <w:pStyle w:val="aff1"/>
              <w:rPr>
                <w:color w:val="auto"/>
                <w:kern w:val="0"/>
              </w:rPr>
            </w:pPr>
            <w:r>
              <w:rPr>
                <w:rFonts w:hint="eastAsia"/>
                <w:color w:val="auto"/>
                <w:kern w:val="0"/>
              </w:rPr>
              <w:t>排放源至厂界的距离</w:t>
            </w:r>
          </w:p>
        </w:tc>
        <w:tc>
          <w:tcPr>
            <w:tcW w:w="1155" w:type="dxa"/>
            <w:vAlign w:val="center"/>
          </w:tcPr>
          <w:p w:rsidR="00EE56C0" w:rsidRDefault="000F36A1">
            <w:pPr>
              <w:pStyle w:val="aff1"/>
              <w:rPr>
                <w:color w:val="auto"/>
                <w:kern w:val="0"/>
              </w:rPr>
            </w:pPr>
            <w:r>
              <w:rPr>
                <w:rFonts w:hint="eastAsia"/>
                <w:color w:val="auto"/>
                <w:kern w:val="0"/>
              </w:rPr>
              <w:t>预测值</w:t>
            </w:r>
            <w:r>
              <w:rPr>
                <w:color w:val="auto"/>
                <w:kern w:val="0"/>
              </w:rPr>
              <w:t>浓度</w:t>
            </w:r>
            <w:r>
              <w:rPr>
                <w:color w:val="auto"/>
                <w:kern w:val="0"/>
              </w:rPr>
              <w:t>mg/L</w:t>
            </w:r>
          </w:p>
        </w:tc>
        <w:tc>
          <w:tcPr>
            <w:tcW w:w="1618" w:type="dxa"/>
            <w:vAlign w:val="center"/>
          </w:tcPr>
          <w:p w:rsidR="00EE56C0" w:rsidRDefault="000F36A1">
            <w:pPr>
              <w:pStyle w:val="aff1"/>
              <w:rPr>
                <w:color w:val="auto"/>
                <w:kern w:val="0"/>
              </w:rPr>
            </w:pPr>
            <w:r>
              <w:rPr>
                <w:rFonts w:hint="eastAsia"/>
                <w:color w:val="auto"/>
                <w:kern w:val="0"/>
              </w:rPr>
              <w:t>现状背景值</w:t>
            </w:r>
            <w:r>
              <w:rPr>
                <w:color w:val="auto"/>
                <w:kern w:val="0"/>
              </w:rPr>
              <w:t>浓度</w:t>
            </w:r>
            <w:r>
              <w:rPr>
                <w:color w:val="auto"/>
                <w:kern w:val="0"/>
              </w:rPr>
              <w:t>mg/L</w:t>
            </w:r>
          </w:p>
        </w:tc>
        <w:tc>
          <w:tcPr>
            <w:tcW w:w="1443" w:type="dxa"/>
            <w:vAlign w:val="center"/>
          </w:tcPr>
          <w:p w:rsidR="00EE56C0" w:rsidRDefault="000F36A1">
            <w:pPr>
              <w:pStyle w:val="aff1"/>
              <w:rPr>
                <w:color w:val="auto"/>
                <w:kern w:val="0"/>
              </w:rPr>
            </w:pPr>
            <w:r>
              <w:rPr>
                <w:rFonts w:hint="eastAsia"/>
                <w:color w:val="auto"/>
                <w:kern w:val="0"/>
              </w:rPr>
              <w:t>叠加值</w:t>
            </w:r>
            <w:r>
              <w:rPr>
                <w:color w:val="auto"/>
                <w:kern w:val="0"/>
              </w:rPr>
              <w:t>浓度</w:t>
            </w:r>
            <w:r>
              <w:rPr>
                <w:color w:val="auto"/>
                <w:kern w:val="0"/>
              </w:rPr>
              <w:t>mg/L</w:t>
            </w:r>
          </w:p>
        </w:tc>
      </w:tr>
      <w:tr w:rsidR="00A74F56" w:rsidTr="00A74F56">
        <w:trPr>
          <w:trHeight w:val="369"/>
          <w:jc w:val="center"/>
        </w:trPr>
        <w:tc>
          <w:tcPr>
            <w:tcW w:w="1217" w:type="dxa"/>
            <w:vMerge w:val="restart"/>
            <w:vAlign w:val="center"/>
          </w:tcPr>
          <w:p w:rsidR="00A74F56" w:rsidRDefault="00A74F56">
            <w:pPr>
              <w:pStyle w:val="afa"/>
            </w:pPr>
            <w:r>
              <w:rPr>
                <w:rFonts w:hint="eastAsia"/>
              </w:rPr>
              <w:t>耗氧量</w:t>
            </w:r>
          </w:p>
        </w:tc>
        <w:tc>
          <w:tcPr>
            <w:tcW w:w="1181" w:type="dxa"/>
            <w:vAlign w:val="center"/>
          </w:tcPr>
          <w:p w:rsidR="00A74F56" w:rsidRDefault="00A74F56">
            <w:pPr>
              <w:pStyle w:val="afa"/>
            </w:pPr>
            <w:r>
              <w:rPr>
                <w:rFonts w:hint="eastAsia"/>
              </w:rPr>
              <w:t>100d</w:t>
            </w:r>
          </w:p>
        </w:tc>
        <w:tc>
          <w:tcPr>
            <w:tcW w:w="1511" w:type="dxa"/>
            <w:vMerge w:val="restart"/>
            <w:vAlign w:val="center"/>
          </w:tcPr>
          <w:p w:rsidR="00A74F56" w:rsidRDefault="00A74F56">
            <w:pPr>
              <w:pStyle w:val="afa"/>
            </w:pPr>
            <w:r>
              <w:rPr>
                <w:rFonts w:hint="eastAsia"/>
              </w:rPr>
              <w:t>360m</w:t>
            </w:r>
          </w:p>
        </w:tc>
        <w:tc>
          <w:tcPr>
            <w:tcW w:w="1155" w:type="dxa"/>
            <w:vAlign w:val="center"/>
          </w:tcPr>
          <w:p w:rsidR="00A74F56" w:rsidRDefault="00A74F56">
            <w:pPr>
              <w:pStyle w:val="afa"/>
            </w:pPr>
            <w:r>
              <w:rPr>
                <w:rFonts w:hint="eastAsia"/>
              </w:rPr>
              <w:t>0</w:t>
            </w:r>
          </w:p>
        </w:tc>
        <w:tc>
          <w:tcPr>
            <w:tcW w:w="1618" w:type="dxa"/>
            <w:vMerge w:val="restart"/>
            <w:vAlign w:val="center"/>
          </w:tcPr>
          <w:p w:rsidR="00A74F56" w:rsidRDefault="00A74F56">
            <w:pPr>
              <w:pStyle w:val="afa"/>
            </w:pPr>
            <w:r>
              <w:rPr>
                <w:rFonts w:hint="eastAsia"/>
              </w:rPr>
              <w:t>1.4</w:t>
            </w:r>
          </w:p>
        </w:tc>
        <w:tc>
          <w:tcPr>
            <w:tcW w:w="1443" w:type="dxa"/>
            <w:vAlign w:val="center"/>
          </w:tcPr>
          <w:p w:rsidR="00A74F56" w:rsidRPr="00A74F56" w:rsidRDefault="00A74F56" w:rsidP="00212B58">
            <w:pPr>
              <w:spacing w:line="240" w:lineRule="auto"/>
              <w:ind w:firstLineChars="0" w:firstLine="0"/>
              <w:jc w:val="center"/>
              <w:rPr>
                <w:sz w:val="21"/>
                <w:szCs w:val="21"/>
                <w:u w:val="single"/>
              </w:rPr>
            </w:pPr>
            <w:r w:rsidRPr="00A74F56">
              <w:rPr>
                <w:rFonts w:hint="eastAsia"/>
                <w:sz w:val="21"/>
                <w:szCs w:val="21"/>
                <w:u w:val="single"/>
              </w:rPr>
              <w:t>1.4</w:t>
            </w:r>
          </w:p>
        </w:tc>
      </w:tr>
      <w:tr w:rsidR="00A74F56" w:rsidTr="00A74F56">
        <w:trPr>
          <w:trHeight w:val="369"/>
          <w:jc w:val="center"/>
        </w:trPr>
        <w:tc>
          <w:tcPr>
            <w:tcW w:w="1217" w:type="dxa"/>
            <w:vMerge/>
            <w:vAlign w:val="center"/>
          </w:tcPr>
          <w:p w:rsidR="00A74F56" w:rsidRDefault="00A74F56">
            <w:pPr>
              <w:pStyle w:val="afa"/>
            </w:pPr>
          </w:p>
        </w:tc>
        <w:tc>
          <w:tcPr>
            <w:tcW w:w="1181" w:type="dxa"/>
            <w:vAlign w:val="center"/>
          </w:tcPr>
          <w:p w:rsidR="00A74F56" w:rsidRDefault="00A74F56">
            <w:pPr>
              <w:pStyle w:val="afa"/>
            </w:pPr>
            <w:r>
              <w:rPr>
                <w:rFonts w:hint="eastAsia"/>
              </w:rPr>
              <w:t>500d</w:t>
            </w:r>
          </w:p>
        </w:tc>
        <w:tc>
          <w:tcPr>
            <w:tcW w:w="1511" w:type="dxa"/>
            <w:vMerge/>
            <w:vAlign w:val="center"/>
          </w:tcPr>
          <w:p w:rsidR="00A74F56" w:rsidRDefault="00A74F56">
            <w:pPr>
              <w:pStyle w:val="afa"/>
            </w:pPr>
          </w:p>
        </w:tc>
        <w:tc>
          <w:tcPr>
            <w:tcW w:w="1155" w:type="dxa"/>
            <w:vAlign w:val="center"/>
          </w:tcPr>
          <w:p w:rsidR="00A74F56" w:rsidRDefault="00A74F56">
            <w:pPr>
              <w:pStyle w:val="afa"/>
            </w:pPr>
            <w:r>
              <w:rPr>
                <w:rFonts w:hint="eastAsia"/>
              </w:rPr>
              <w:t>0</w:t>
            </w:r>
          </w:p>
        </w:tc>
        <w:tc>
          <w:tcPr>
            <w:tcW w:w="1618" w:type="dxa"/>
            <w:vMerge/>
            <w:vAlign w:val="center"/>
          </w:tcPr>
          <w:p w:rsidR="00A74F56" w:rsidRDefault="00A74F56">
            <w:pPr>
              <w:pStyle w:val="afa"/>
            </w:pPr>
          </w:p>
        </w:tc>
        <w:tc>
          <w:tcPr>
            <w:tcW w:w="1443" w:type="dxa"/>
            <w:vAlign w:val="center"/>
          </w:tcPr>
          <w:p w:rsidR="00A74F56" w:rsidRPr="00A74F56" w:rsidRDefault="00A74F56" w:rsidP="00212B58">
            <w:pPr>
              <w:spacing w:line="240" w:lineRule="auto"/>
              <w:ind w:firstLineChars="0" w:firstLine="0"/>
              <w:jc w:val="center"/>
              <w:rPr>
                <w:sz w:val="21"/>
                <w:szCs w:val="21"/>
                <w:u w:val="single"/>
              </w:rPr>
            </w:pPr>
            <w:r w:rsidRPr="00A74F56">
              <w:rPr>
                <w:rFonts w:hint="eastAsia"/>
                <w:sz w:val="21"/>
                <w:szCs w:val="21"/>
                <w:u w:val="single"/>
              </w:rPr>
              <w:t>1.4</w:t>
            </w:r>
          </w:p>
        </w:tc>
      </w:tr>
      <w:tr w:rsidR="00A74F56" w:rsidTr="00A74F56">
        <w:trPr>
          <w:trHeight w:val="369"/>
          <w:jc w:val="center"/>
        </w:trPr>
        <w:tc>
          <w:tcPr>
            <w:tcW w:w="1217" w:type="dxa"/>
            <w:vMerge/>
            <w:vAlign w:val="center"/>
          </w:tcPr>
          <w:p w:rsidR="00A74F56" w:rsidRDefault="00A74F56">
            <w:pPr>
              <w:pStyle w:val="afa"/>
            </w:pPr>
          </w:p>
        </w:tc>
        <w:tc>
          <w:tcPr>
            <w:tcW w:w="1181" w:type="dxa"/>
            <w:vAlign w:val="center"/>
          </w:tcPr>
          <w:p w:rsidR="00A74F56" w:rsidRDefault="00A74F56">
            <w:pPr>
              <w:pStyle w:val="afa"/>
            </w:pPr>
            <w:r>
              <w:rPr>
                <w:rFonts w:hint="eastAsia"/>
              </w:rPr>
              <w:t>1000d</w:t>
            </w:r>
          </w:p>
        </w:tc>
        <w:tc>
          <w:tcPr>
            <w:tcW w:w="1511" w:type="dxa"/>
            <w:vMerge/>
            <w:vAlign w:val="center"/>
          </w:tcPr>
          <w:p w:rsidR="00A74F56" w:rsidRDefault="00A74F56">
            <w:pPr>
              <w:pStyle w:val="afa"/>
            </w:pPr>
          </w:p>
        </w:tc>
        <w:tc>
          <w:tcPr>
            <w:tcW w:w="1155" w:type="dxa"/>
            <w:vAlign w:val="center"/>
          </w:tcPr>
          <w:p w:rsidR="00A74F56" w:rsidRDefault="00A74F56">
            <w:pPr>
              <w:pStyle w:val="afa"/>
            </w:pPr>
            <w:r>
              <w:rPr>
                <w:rFonts w:hint="eastAsia"/>
              </w:rPr>
              <w:t>0</w:t>
            </w:r>
          </w:p>
        </w:tc>
        <w:tc>
          <w:tcPr>
            <w:tcW w:w="1618" w:type="dxa"/>
            <w:vMerge/>
            <w:vAlign w:val="center"/>
          </w:tcPr>
          <w:p w:rsidR="00A74F56" w:rsidRDefault="00A74F56">
            <w:pPr>
              <w:pStyle w:val="afa"/>
            </w:pPr>
          </w:p>
        </w:tc>
        <w:tc>
          <w:tcPr>
            <w:tcW w:w="1443" w:type="dxa"/>
            <w:vAlign w:val="center"/>
          </w:tcPr>
          <w:p w:rsidR="00A74F56" w:rsidRPr="00A74F56" w:rsidRDefault="00A74F56" w:rsidP="00212B58">
            <w:pPr>
              <w:pStyle w:val="afa"/>
              <w:rPr>
                <w:u w:val="single"/>
              </w:rPr>
            </w:pPr>
            <w:r w:rsidRPr="00A74F56">
              <w:rPr>
                <w:u w:val="single"/>
              </w:rPr>
              <w:t>1.4</w:t>
            </w:r>
          </w:p>
        </w:tc>
      </w:tr>
      <w:tr w:rsidR="00EE56C0" w:rsidTr="00A74F56">
        <w:trPr>
          <w:trHeight w:val="369"/>
          <w:jc w:val="center"/>
        </w:trPr>
        <w:tc>
          <w:tcPr>
            <w:tcW w:w="1217" w:type="dxa"/>
            <w:vMerge w:val="restart"/>
            <w:vAlign w:val="center"/>
          </w:tcPr>
          <w:p w:rsidR="00EE56C0" w:rsidRDefault="000F36A1">
            <w:pPr>
              <w:pStyle w:val="afa"/>
            </w:pPr>
            <w:r>
              <w:rPr>
                <w:rFonts w:hint="eastAsia"/>
              </w:rPr>
              <w:t>NH</w:t>
            </w:r>
            <w:r>
              <w:rPr>
                <w:rFonts w:hint="eastAsia"/>
                <w:vertAlign w:val="subscript"/>
              </w:rPr>
              <w:t>3</w:t>
            </w:r>
            <w:r>
              <w:rPr>
                <w:rFonts w:hint="eastAsia"/>
              </w:rPr>
              <w:t>-N</w:t>
            </w:r>
          </w:p>
        </w:tc>
        <w:tc>
          <w:tcPr>
            <w:tcW w:w="1181" w:type="dxa"/>
            <w:vAlign w:val="center"/>
          </w:tcPr>
          <w:p w:rsidR="00EE56C0" w:rsidRDefault="000F36A1">
            <w:pPr>
              <w:pStyle w:val="afa"/>
            </w:pPr>
            <w:r>
              <w:rPr>
                <w:rFonts w:hint="eastAsia"/>
              </w:rPr>
              <w:t>100d</w:t>
            </w:r>
          </w:p>
        </w:tc>
        <w:tc>
          <w:tcPr>
            <w:tcW w:w="1511" w:type="dxa"/>
            <w:vMerge w:val="restart"/>
            <w:vAlign w:val="center"/>
          </w:tcPr>
          <w:p w:rsidR="00EE56C0" w:rsidRDefault="000F36A1">
            <w:pPr>
              <w:pStyle w:val="afa"/>
            </w:pPr>
            <w:r>
              <w:rPr>
                <w:rFonts w:hint="eastAsia"/>
              </w:rPr>
              <w:t>360m</w:t>
            </w:r>
          </w:p>
        </w:tc>
        <w:tc>
          <w:tcPr>
            <w:tcW w:w="1155" w:type="dxa"/>
            <w:vAlign w:val="center"/>
          </w:tcPr>
          <w:p w:rsidR="00EE56C0" w:rsidRDefault="000F36A1">
            <w:pPr>
              <w:pStyle w:val="afa"/>
            </w:pPr>
            <w:r>
              <w:rPr>
                <w:rFonts w:hint="eastAsia"/>
              </w:rPr>
              <w:t>0</w:t>
            </w:r>
          </w:p>
        </w:tc>
        <w:tc>
          <w:tcPr>
            <w:tcW w:w="1618" w:type="dxa"/>
            <w:vMerge w:val="restart"/>
            <w:vAlign w:val="center"/>
          </w:tcPr>
          <w:p w:rsidR="00EE56C0" w:rsidRDefault="000F36A1">
            <w:pPr>
              <w:pStyle w:val="afa"/>
            </w:pPr>
            <w:r>
              <w:rPr>
                <w:rFonts w:hint="eastAsia"/>
              </w:rPr>
              <w:t>0.188</w:t>
            </w:r>
          </w:p>
        </w:tc>
        <w:tc>
          <w:tcPr>
            <w:tcW w:w="1443" w:type="dxa"/>
            <w:vAlign w:val="center"/>
          </w:tcPr>
          <w:p w:rsidR="00EE56C0" w:rsidRPr="00A74F56" w:rsidRDefault="00A74F56">
            <w:pPr>
              <w:pStyle w:val="afa"/>
              <w:rPr>
                <w:u w:val="single"/>
              </w:rPr>
            </w:pPr>
            <w:r w:rsidRPr="00A74F56">
              <w:rPr>
                <w:rFonts w:hint="eastAsia"/>
                <w:u w:val="single"/>
              </w:rPr>
              <w:t>0.188</w:t>
            </w:r>
          </w:p>
        </w:tc>
      </w:tr>
      <w:tr w:rsidR="00EE56C0" w:rsidTr="00A74F56">
        <w:trPr>
          <w:trHeight w:val="369"/>
          <w:jc w:val="center"/>
        </w:trPr>
        <w:tc>
          <w:tcPr>
            <w:tcW w:w="1217" w:type="dxa"/>
            <w:vMerge/>
            <w:vAlign w:val="center"/>
          </w:tcPr>
          <w:p w:rsidR="00EE56C0" w:rsidRDefault="00EE56C0">
            <w:pPr>
              <w:pStyle w:val="afa"/>
            </w:pPr>
          </w:p>
        </w:tc>
        <w:tc>
          <w:tcPr>
            <w:tcW w:w="1181" w:type="dxa"/>
            <w:vAlign w:val="center"/>
          </w:tcPr>
          <w:p w:rsidR="00EE56C0" w:rsidRDefault="000F36A1">
            <w:pPr>
              <w:pStyle w:val="afa"/>
            </w:pPr>
            <w:r>
              <w:rPr>
                <w:rFonts w:hint="eastAsia"/>
              </w:rPr>
              <w:t>500d</w:t>
            </w:r>
          </w:p>
        </w:tc>
        <w:tc>
          <w:tcPr>
            <w:tcW w:w="1511" w:type="dxa"/>
            <w:vMerge/>
            <w:vAlign w:val="center"/>
          </w:tcPr>
          <w:p w:rsidR="00EE56C0" w:rsidRDefault="00EE56C0">
            <w:pPr>
              <w:pStyle w:val="afa"/>
            </w:pPr>
          </w:p>
        </w:tc>
        <w:tc>
          <w:tcPr>
            <w:tcW w:w="1155" w:type="dxa"/>
            <w:vAlign w:val="center"/>
          </w:tcPr>
          <w:p w:rsidR="00EE56C0" w:rsidRDefault="000F36A1">
            <w:pPr>
              <w:pStyle w:val="afa"/>
            </w:pPr>
            <w:r>
              <w:rPr>
                <w:rFonts w:hint="eastAsia"/>
              </w:rPr>
              <w:t>0</w:t>
            </w:r>
          </w:p>
        </w:tc>
        <w:tc>
          <w:tcPr>
            <w:tcW w:w="1618" w:type="dxa"/>
            <w:vMerge/>
            <w:vAlign w:val="center"/>
          </w:tcPr>
          <w:p w:rsidR="00EE56C0" w:rsidRDefault="00EE56C0">
            <w:pPr>
              <w:pStyle w:val="afa"/>
            </w:pPr>
          </w:p>
        </w:tc>
        <w:tc>
          <w:tcPr>
            <w:tcW w:w="1443" w:type="dxa"/>
            <w:vAlign w:val="center"/>
          </w:tcPr>
          <w:p w:rsidR="00EE56C0" w:rsidRPr="00A74F56" w:rsidRDefault="00A74F56">
            <w:pPr>
              <w:pStyle w:val="afa"/>
              <w:rPr>
                <w:u w:val="single"/>
              </w:rPr>
            </w:pPr>
            <w:r w:rsidRPr="00A74F56">
              <w:rPr>
                <w:rFonts w:hint="eastAsia"/>
                <w:u w:val="single"/>
              </w:rPr>
              <w:t>0.188</w:t>
            </w:r>
          </w:p>
        </w:tc>
      </w:tr>
      <w:tr w:rsidR="00EE56C0" w:rsidTr="00A74F56">
        <w:trPr>
          <w:trHeight w:val="369"/>
          <w:jc w:val="center"/>
        </w:trPr>
        <w:tc>
          <w:tcPr>
            <w:tcW w:w="1217" w:type="dxa"/>
            <w:vMerge/>
            <w:vAlign w:val="center"/>
          </w:tcPr>
          <w:p w:rsidR="00EE56C0" w:rsidRDefault="00EE56C0">
            <w:pPr>
              <w:pStyle w:val="afa"/>
            </w:pPr>
          </w:p>
        </w:tc>
        <w:tc>
          <w:tcPr>
            <w:tcW w:w="1181" w:type="dxa"/>
            <w:vAlign w:val="center"/>
          </w:tcPr>
          <w:p w:rsidR="00EE56C0" w:rsidRDefault="000F36A1">
            <w:pPr>
              <w:pStyle w:val="afa"/>
            </w:pPr>
            <w:r>
              <w:rPr>
                <w:rFonts w:hint="eastAsia"/>
              </w:rPr>
              <w:t>1000d</w:t>
            </w:r>
          </w:p>
        </w:tc>
        <w:tc>
          <w:tcPr>
            <w:tcW w:w="1511" w:type="dxa"/>
            <w:vMerge/>
            <w:vAlign w:val="center"/>
          </w:tcPr>
          <w:p w:rsidR="00EE56C0" w:rsidRDefault="00EE56C0">
            <w:pPr>
              <w:pStyle w:val="afa"/>
            </w:pPr>
          </w:p>
        </w:tc>
        <w:tc>
          <w:tcPr>
            <w:tcW w:w="1155" w:type="dxa"/>
            <w:vAlign w:val="center"/>
          </w:tcPr>
          <w:p w:rsidR="00EE56C0" w:rsidRDefault="000F36A1">
            <w:pPr>
              <w:pStyle w:val="afa"/>
            </w:pPr>
            <w:r>
              <w:rPr>
                <w:rFonts w:hint="eastAsia"/>
              </w:rPr>
              <w:t>0</w:t>
            </w:r>
          </w:p>
        </w:tc>
        <w:tc>
          <w:tcPr>
            <w:tcW w:w="1618" w:type="dxa"/>
            <w:vMerge/>
            <w:vAlign w:val="center"/>
          </w:tcPr>
          <w:p w:rsidR="00EE56C0" w:rsidRDefault="00EE56C0">
            <w:pPr>
              <w:pStyle w:val="afa"/>
            </w:pPr>
          </w:p>
        </w:tc>
        <w:tc>
          <w:tcPr>
            <w:tcW w:w="1443" w:type="dxa"/>
            <w:vAlign w:val="center"/>
          </w:tcPr>
          <w:p w:rsidR="00EE56C0" w:rsidRPr="00A74F56" w:rsidRDefault="00A74F56">
            <w:pPr>
              <w:pStyle w:val="afa"/>
              <w:rPr>
                <w:u w:val="single"/>
              </w:rPr>
            </w:pPr>
            <w:r w:rsidRPr="00A74F56">
              <w:rPr>
                <w:rFonts w:hint="eastAsia"/>
                <w:u w:val="single"/>
              </w:rPr>
              <w:t>0.188</w:t>
            </w:r>
          </w:p>
        </w:tc>
      </w:tr>
    </w:tbl>
    <w:p w:rsidR="00EE56C0" w:rsidRDefault="000F36A1">
      <w:pPr>
        <w:pStyle w:val="a4"/>
        <w:ind w:firstLine="422"/>
      </w:pPr>
      <w:r>
        <w:rPr>
          <w:rFonts w:hint="eastAsia"/>
        </w:rPr>
        <w:t>注：预测值以检出限为界，低于检出限的预测值以</w:t>
      </w:r>
      <w:r>
        <w:rPr>
          <w:rFonts w:hint="eastAsia"/>
        </w:rPr>
        <w:t>0</w:t>
      </w:r>
      <w:r>
        <w:rPr>
          <w:rFonts w:hint="eastAsia"/>
        </w:rPr>
        <w:t>计。耗氧量的检出限</w:t>
      </w:r>
      <w:r>
        <w:rPr>
          <w:rFonts w:hint="eastAsia"/>
        </w:rPr>
        <w:t>0.5mg/L</w:t>
      </w:r>
      <w:r>
        <w:rPr>
          <w:rFonts w:hint="eastAsia"/>
        </w:rPr>
        <w:t>、</w:t>
      </w:r>
      <w:r>
        <w:rPr>
          <w:rFonts w:hint="eastAsia"/>
        </w:rPr>
        <w:t>NH</w:t>
      </w:r>
      <w:r w:rsidRPr="00A74F56">
        <w:rPr>
          <w:rFonts w:hint="eastAsia"/>
          <w:vertAlign w:val="subscript"/>
        </w:rPr>
        <w:t>3</w:t>
      </w:r>
      <w:r>
        <w:rPr>
          <w:rFonts w:hint="eastAsia"/>
        </w:rPr>
        <w:t>-N</w:t>
      </w:r>
      <w:r>
        <w:rPr>
          <w:rFonts w:hint="eastAsia"/>
        </w:rPr>
        <w:t>的检出限</w:t>
      </w:r>
      <w:r>
        <w:rPr>
          <w:rFonts w:hint="eastAsia"/>
        </w:rPr>
        <w:t>0.025mg/L</w:t>
      </w:r>
      <w:r>
        <w:rPr>
          <w:rFonts w:hint="eastAsia"/>
        </w:rPr>
        <w:t>。</w:t>
      </w:r>
    </w:p>
    <w:p w:rsidR="00EE56C0" w:rsidRDefault="000F36A1">
      <w:pPr>
        <w:ind w:firstLine="480"/>
      </w:pPr>
      <w:r>
        <w:rPr>
          <w:rFonts w:hint="eastAsia"/>
        </w:rPr>
        <w:t>由上表可知，项目废水发生泄漏后</w:t>
      </w:r>
      <w:r>
        <w:rPr>
          <w:rFonts w:hint="eastAsia"/>
        </w:rPr>
        <w:t>100d</w:t>
      </w:r>
      <w:r>
        <w:rPr>
          <w:rFonts w:hint="eastAsia"/>
        </w:rPr>
        <w:t>、</w:t>
      </w:r>
      <w:r>
        <w:rPr>
          <w:rFonts w:hint="eastAsia"/>
        </w:rPr>
        <w:t>500d</w:t>
      </w:r>
      <w:r>
        <w:rPr>
          <w:rFonts w:hint="eastAsia"/>
        </w:rPr>
        <w:t>、</w:t>
      </w:r>
      <w:r>
        <w:rPr>
          <w:rFonts w:hint="eastAsia"/>
        </w:rPr>
        <w:t>1000d</w:t>
      </w:r>
      <w:r>
        <w:rPr>
          <w:rFonts w:hint="eastAsia"/>
        </w:rPr>
        <w:t>时各污染因子在</w:t>
      </w:r>
      <w:r w:rsidR="00A74F56">
        <w:rPr>
          <w:rFonts w:hint="eastAsia"/>
        </w:rPr>
        <w:t>北</w:t>
      </w:r>
      <w:r>
        <w:rPr>
          <w:rFonts w:hint="eastAsia"/>
        </w:rPr>
        <w:t>厂界均未出现超标，不会对地下水现状产生影响。</w:t>
      </w:r>
    </w:p>
    <w:p w:rsidR="00EE56C0" w:rsidRDefault="000F36A1">
      <w:pPr>
        <w:ind w:firstLine="482"/>
        <w:rPr>
          <w:b/>
        </w:rPr>
      </w:pPr>
      <w:r>
        <w:rPr>
          <w:rFonts w:hint="eastAsia"/>
          <w:b/>
        </w:rPr>
        <w:t>（</w:t>
      </w:r>
      <w:r>
        <w:rPr>
          <w:rFonts w:hint="eastAsia"/>
          <w:b/>
        </w:rPr>
        <w:t>3</w:t>
      </w:r>
      <w:r>
        <w:rPr>
          <w:rFonts w:hint="eastAsia"/>
          <w:b/>
        </w:rPr>
        <w:t>）对敏感点的预测</w:t>
      </w:r>
    </w:p>
    <w:p w:rsidR="00EE56C0" w:rsidRDefault="000F36A1">
      <w:pPr>
        <w:ind w:firstLine="480"/>
      </w:pPr>
      <w:r>
        <w:rPr>
          <w:rFonts w:hint="eastAsia"/>
        </w:rPr>
        <w:lastRenderedPageBreak/>
        <w:t>项目评价范围下游最近的地下水环境敏感点为东北</w:t>
      </w:r>
      <w:r>
        <w:rPr>
          <w:rFonts w:hint="eastAsia"/>
        </w:rPr>
        <w:t>1450m</w:t>
      </w:r>
      <w:r>
        <w:rPr>
          <w:rFonts w:hint="eastAsia"/>
        </w:rPr>
        <w:t>处的</w:t>
      </w:r>
      <w:r>
        <w:rPr>
          <w:rFonts w:hint="eastAsia"/>
          <w:bCs/>
        </w:rPr>
        <w:t>七里营镇</w:t>
      </w:r>
      <w:r>
        <w:rPr>
          <w:rFonts w:hint="eastAsia"/>
        </w:rPr>
        <w:t>，项目对其地下水影响的预测结果见下表：</w:t>
      </w:r>
    </w:p>
    <w:p w:rsidR="00EE56C0" w:rsidRDefault="000F36A1">
      <w:pPr>
        <w:pStyle w:val="afd"/>
        <w:spacing w:before="120" w:after="120"/>
        <w:ind w:firstLine="482"/>
        <w:rPr>
          <w:kern w:val="0"/>
        </w:rPr>
      </w:pPr>
      <w:r>
        <w:rPr>
          <w:kern w:val="0"/>
        </w:rPr>
        <w:t>表</w:t>
      </w:r>
      <w:r>
        <w:t>5-</w:t>
      </w:r>
      <w:r>
        <w:rPr>
          <w:rFonts w:hint="eastAsia"/>
        </w:rPr>
        <w:t>4</w:t>
      </w:r>
      <w:r w:rsidR="005767FB">
        <w:rPr>
          <w:rFonts w:hint="eastAsia"/>
        </w:rPr>
        <w:t>6</w:t>
      </w:r>
      <w:r>
        <w:rPr>
          <w:rFonts w:hint="eastAsia"/>
        </w:rPr>
        <w:t xml:space="preserve">     </w:t>
      </w:r>
      <w:r>
        <w:rPr>
          <w:kern w:val="0"/>
        </w:rPr>
        <w:t xml:space="preserve"> </w:t>
      </w:r>
      <w:r>
        <w:rPr>
          <w:kern w:val="0"/>
        </w:rPr>
        <w:t>地下水预测</w:t>
      </w:r>
      <w:r>
        <w:rPr>
          <w:rFonts w:hint="eastAsia"/>
          <w:kern w:val="0"/>
        </w:rPr>
        <w:t>敏感点叠加值</w:t>
      </w:r>
      <w:r>
        <w:rPr>
          <w:kern w:val="0"/>
        </w:rPr>
        <w:t>一览表</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2055"/>
        <w:gridCol w:w="1992"/>
        <w:gridCol w:w="2543"/>
        <w:gridCol w:w="1939"/>
      </w:tblGrid>
      <w:tr w:rsidR="00EE56C0">
        <w:trPr>
          <w:trHeight w:val="397"/>
          <w:tblHeader/>
          <w:jc w:val="center"/>
        </w:trPr>
        <w:tc>
          <w:tcPr>
            <w:tcW w:w="1204" w:type="pct"/>
            <w:vMerge w:val="restart"/>
            <w:vAlign w:val="center"/>
          </w:tcPr>
          <w:p w:rsidR="00EE56C0" w:rsidRDefault="000F36A1">
            <w:pPr>
              <w:pStyle w:val="aff1"/>
              <w:rPr>
                <w:color w:val="auto"/>
                <w:kern w:val="0"/>
              </w:rPr>
            </w:pPr>
            <w:r>
              <w:rPr>
                <w:rFonts w:hint="eastAsia"/>
                <w:color w:val="auto"/>
                <w:kern w:val="0"/>
              </w:rPr>
              <w:t>厂界名称</w:t>
            </w:r>
          </w:p>
        </w:tc>
        <w:tc>
          <w:tcPr>
            <w:tcW w:w="1167" w:type="pct"/>
            <w:vMerge w:val="restart"/>
            <w:vAlign w:val="center"/>
          </w:tcPr>
          <w:p w:rsidR="00EE56C0" w:rsidRDefault="000F36A1">
            <w:pPr>
              <w:pStyle w:val="aff1"/>
              <w:rPr>
                <w:color w:val="auto"/>
                <w:kern w:val="0"/>
              </w:rPr>
            </w:pPr>
            <w:r>
              <w:rPr>
                <w:rFonts w:hint="eastAsia"/>
                <w:color w:val="auto"/>
                <w:kern w:val="0"/>
              </w:rPr>
              <w:t>时间</w:t>
            </w:r>
          </w:p>
        </w:tc>
        <w:tc>
          <w:tcPr>
            <w:tcW w:w="2628" w:type="pct"/>
            <w:gridSpan w:val="2"/>
            <w:vAlign w:val="center"/>
          </w:tcPr>
          <w:p w:rsidR="00EE56C0" w:rsidRDefault="000F36A1">
            <w:pPr>
              <w:pStyle w:val="aff1"/>
              <w:rPr>
                <w:color w:val="auto"/>
                <w:kern w:val="0"/>
              </w:rPr>
            </w:pPr>
            <w:r>
              <w:rPr>
                <w:rFonts w:hint="eastAsia"/>
                <w:bCs/>
                <w:color w:val="auto"/>
              </w:rPr>
              <w:t>水花堡村</w:t>
            </w:r>
          </w:p>
        </w:tc>
      </w:tr>
      <w:tr w:rsidR="00EE56C0">
        <w:trPr>
          <w:trHeight w:val="397"/>
          <w:tblHeader/>
          <w:jc w:val="center"/>
        </w:trPr>
        <w:tc>
          <w:tcPr>
            <w:tcW w:w="1204" w:type="pct"/>
            <w:vMerge/>
            <w:vAlign w:val="center"/>
          </w:tcPr>
          <w:p w:rsidR="00EE56C0" w:rsidRDefault="00EE56C0">
            <w:pPr>
              <w:pStyle w:val="aff1"/>
              <w:rPr>
                <w:color w:val="auto"/>
                <w:kern w:val="0"/>
              </w:rPr>
            </w:pPr>
          </w:p>
        </w:tc>
        <w:tc>
          <w:tcPr>
            <w:tcW w:w="1167" w:type="pct"/>
            <w:vMerge/>
            <w:vAlign w:val="center"/>
          </w:tcPr>
          <w:p w:rsidR="00EE56C0" w:rsidRDefault="00EE56C0">
            <w:pPr>
              <w:pStyle w:val="aff1"/>
              <w:rPr>
                <w:color w:val="auto"/>
                <w:kern w:val="0"/>
              </w:rPr>
            </w:pPr>
          </w:p>
        </w:tc>
        <w:tc>
          <w:tcPr>
            <w:tcW w:w="1491" w:type="pct"/>
            <w:vAlign w:val="center"/>
          </w:tcPr>
          <w:p w:rsidR="00EE56C0" w:rsidRDefault="000F36A1">
            <w:pPr>
              <w:pStyle w:val="aff1"/>
              <w:rPr>
                <w:color w:val="auto"/>
                <w:kern w:val="0"/>
              </w:rPr>
            </w:pPr>
            <w:r>
              <w:rPr>
                <w:rFonts w:hint="eastAsia"/>
                <w:color w:val="auto"/>
                <w:kern w:val="0"/>
              </w:rPr>
              <w:t>排放源至敏感点的距离</w:t>
            </w:r>
          </w:p>
        </w:tc>
        <w:tc>
          <w:tcPr>
            <w:tcW w:w="1136" w:type="pct"/>
            <w:vAlign w:val="center"/>
          </w:tcPr>
          <w:p w:rsidR="00EE56C0" w:rsidRDefault="000F36A1">
            <w:pPr>
              <w:pStyle w:val="aff1"/>
              <w:rPr>
                <w:color w:val="auto"/>
                <w:kern w:val="0"/>
              </w:rPr>
            </w:pPr>
            <w:r>
              <w:rPr>
                <w:rFonts w:hint="eastAsia"/>
                <w:color w:val="auto"/>
                <w:kern w:val="0"/>
              </w:rPr>
              <w:t>预测值</w:t>
            </w:r>
            <w:r>
              <w:rPr>
                <w:color w:val="auto"/>
                <w:kern w:val="0"/>
              </w:rPr>
              <w:t>浓度</w:t>
            </w:r>
            <w:r>
              <w:rPr>
                <w:color w:val="auto"/>
                <w:kern w:val="0"/>
              </w:rPr>
              <w:t>mg/L</w:t>
            </w:r>
          </w:p>
        </w:tc>
      </w:tr>
      <w:tr w:rsidR="00EE56C0">
        <w:trPr>
          <w:trHeight w:val="397"/>
          <w:jc w:val="center"/>
        </w:trPr>
        <w:tc>
          <w:tcPr>
            <w:tcW w:w="1204" w:type="pct"/>
            <w:vMerge w:val="restart"/>
            <w:vAlign w:val="center"/>
          </w:tcPr>
          <w:p w:rsidR="00EE56C0" w:rsidRDefault="000F36A1">
            <w:pPr>
              <w:pStyle w:val="afa"/>
            </w:pPr>
            <w:r>
              <w:rPr>
                <w:rFonts w:hint="eastAsia"/>
              </w:rPr>
              <w:t>耗氧量</w:t>
            </w:r>
          </w:p>
        </w:tc>
        <w:tc>
          <w:tcPr>
            <w:tcW w:w="1167" w:type="pct"/>
            <w:vAlign w:val="center"/>
          </w:tcPr>
          <w:p w:rsidR="00EE56C0" w:rsidRDefault="000F36A1">
            <w:pPr>
              <w:pStyle w:val="afa"/>
            </w:pPr>
            <w:r>
              <w:rPr>
                <w:rFonts w:hint="eastAsia"/>
              </w:rPr>
              <w:t>100d</w:t>
            </w:r>
          </w:p>
        </w:tc>
        <w:tc>
          <w:tcPr>
            <w:tcW w:w="1491" w:type="pct"/>
            <w:vMerge w:val="restart"/>
            <w:vAlign w:val="center"/>
          </w:tcPr>
          <w:p w:rsidR="00EE56C0" w:rsidRDefault="000F36A1">
            <w:pPr>
              <w:pStyle w:val="afa"/>
            </w:pPr>
            <w:r>
              <w:rPr>
                <w:rFonts w:hint="eastAsia"/>
              </w:rPr>
              <w:t>1450m</w:t>
            </w:r>
          </w:p>
        </w:tc>
        <w:tc>
          <w:tcPr>
            <w:tcW w:w="1136" w:type="pct"/>
            <w:vAlign w:val="center"/>
          </w:tcPr>
          <w:p w:rsidR="00EE56C0" w:rsidRDefault="000F36A1">
            <w:pPr>
              <w:pStyle w:val="afa"/>
            </w:pPr>
            <w:r>
              <w:rPr>
                <w:rFonts w:hint="eastAsia"/>
              </w:rPr>
              <w:t>0</w:t>
            </w:r>
          </w:p>
        </w:tc>
      </w:tr>
      <w:tr w:rsidR="00EE56C0">
        <w:trPr>
          <w:trHeight w:val="397"/>
          <w:jc w:val="center"/>
        </w:trPr>
        <w:tc>
          <w:tcPr>
            <w:tcW w:w="1204" w:type="pct"/>
            <w:vMerge/>
            <w:vAlign w:val="center"/>
          </w:tcPr>
          <w:p w:rsidR="00EE56C0" w:rsidRDefault="00EE56C0">
            <w:pPr>
              <w:pStyle w:val="afa"/>
            </w:pPr>
          </w:p>
        </w:tc>
        <w:tc>
          <w:tcPr>
            <w:tcW w:w="1167" w:type="pct"/>
            <w:vAlign w:val="center"/>
          </w:tcPr>
          <w:p w:rsidR="00EE56C0" w:rsidRDefault="000F36A1">
            <w:pPr>
              <w:pStyle w:val="afa"/>
            </w:pPr>
            <w:r>
              <w:rPr>
                <w:rFonts w:hint="eastAsia"/>
              </w:rPr>
              <w:t>500d</w:t>
            </w:r>
          </w:p>
        </w:tc>
        <w:tc>
          <w:tcPr>
            <w:tcW w:w="1491" w:type="pct"/>
            <w:vMerge/>
            <w:vAlign w:val="center"/>
          </w:tcPr>
          <w:p w:rsidR="00EE56C0" w:rsidRDefault="00EE56C0">
            <w:pPr>
              <w:pStyle w:val="afa"/>
            </w:pPr>
          </w:p>
        </w:tc>
        <w:tc>
          <w:tcPr>
            <w:tcW w:w="1136" w:type="pct"/>
            <w:vAlign w:val="center"/>
          </w:tcPr>
          <w:p w:rsidR="00EE56C0" w:rsidRDefault="000F36A1">
            <w:pPr>
              <w:pStyle w:val="afa"/>
            </w:pPr>
            <w:r>
              <w:rPr>
                <w:rFonts w:hint="eastAsia"/>
              </w:rPr>
              <w:t>0</w:t>
            </w:r>
          </w:p>
        </w:tc>
      </w:tr>
      <w:tr w:rsidR="00EE56C0">
        <w:trPr>
          <w:trHeight w:val="397"/>
          <w:jc w:val="center"/>
        </w:trPr>
        <w:tc>
          <w:tcPr>
            <w:tcW w:w="1204" w:type="pct"/>
            <w:vMerge/>
            <w:vAlign w:val="center"/>
          </w:tcPr>
          <w:p w:rsidR="00EE56C0" w:rsidRDefault="00EE56C0">
            <w:pPr>
              <w:pStyle w:val="afa"/>
            </w:pPr>
          </w:p>
        </w:tc>
        <w:tc>
          <w:tcPr>
            <w:tcW w:w="1167" w:type="pct"/>
            <w:vAlign w:val="center"/>
          </w:tcPr>
          <w:p w:rsidR="00EE56C0" w:rsidRDefault="000F36A1">
            <w:pPr>
              <w:pStyle w:val="afa"/>
            </w:pPr>
            <w:r>
              <w:rPr>
                <w:rFonts w:hint="eastAsia"/>
              </w:rPr>
              <w:t>1000d</w:t>
            </w:r>
          </w:p>
        </w:tc>
        <w:tc>
          <w:tcPr>
            <w:tcW w:w="1491" w:type="pct"/>
            <w:vMerge/>
            <w:vAlign w:val="center"/>
          </w:tcPr>
          <w:p w:rsidR="00EE56C0" w:rsidRDefault="00EE56C0">
            <w:pPr>
              <w:pStyle w:val="afa"/>
            </w:pPr>
          </w:p>
        </w:tc>
        <w:tc>
          <w:tcPr>
            <w:tcW w:w="1136" w:type="pct"/>
            <w:vAlign w:val="center"/>
          </w:tcPr>
          <w:p w:rsidR="00EE56C0" w:rsidRDefault="000F36A1">
            <w:pPr>
              <w:pStyle w:val="afa"/>
            </w:pPr>
            <w:r>
              <w:rPr>
                <w:rFonts w:hint="eastAsia"/>
              </w:rPr>
              <w:t>0</w:t>
            </w:r>
          </w:p>
        </w:tc>
      </w:tr>
      <w:tr w:rsidR="00EE56C0">
        <w:trPr>
          <w:trHeight w:val="397"/>
          <w:jc w:val="center"/>
        </w:trPr>
        <w:tc>
          <w:tcPr>
            <w:tcW w:w="1204" w:type="pct"/>
            <w:vMerge w:val="restart"/>
            <w:vAlign w:val="center"/>
          </w:tcPr>
          <w:p w:rsidR="00EE56C0" w:rsidRDefault="000F36A1">
            <w:pPr>
              <w:pStyle w:val="afa"/>
            </w:pPr>
            <w:r>
              <w:rPr>
                <w:rFonts w:hint="eastAsia"/>
              </w:rPr>
              <w:t>NH</w:t>
            </w:r>
            <w:r>
              <w:rPr>
                <w:rFonts w:hint="eastAsia"/>
                <w:vertAlign w:val="subscript"/>
              </w:rPr>
              <w:t>3</w:t>
            </w:r>
            <w:r>
              <w:rPr>
                <w:rFonts w:hint="eastAsia"/>
              </w:rPr>
              <w:t>-N</w:t>
            </w:r>
          </w:p>
        </w:tc>
        <w:tc>
          <w:tcPr>
            <w:tcW w:w="1167" w:type="pct"/>
            <w:vAlign w:val="center"/>
          </w:tcPr>
          <w:p w:rsidR="00EE56C0" w:rsidRDefault="000F36A1">
            <w:pPr>
              <w:pStyle w:val="afa"/>
            </w:pPr>
            <w:r>
              <w:rPr>
                <w:rFonts w:hint="eastAsia"/>
              </w:rPr>
              <w:t>100d</w:t>
            </w:r>
          </w:p>
        </w:tc>
        <w:tc>
          <w:tcPr>
            <w:tcW w:w="1491" w:type="pct"/>
            <w:vMerge w:val="restart"/>
            <w:vAlign w:val="center"/>
          </w:tcPr>
          <w:p w:rsidR="00EE56C0" w:rsidRDefault="000F36A1">
            <w:pPr>
              <w:pStyle w:val="afa"/>
            </w:pPr>
            <w:r>
              <w:rPr>
                <w:rFonts w:hint="eastAsia"/>
              </w:rPr>
              <w:t>1450m</w:t>
            </w:r>
          </w:p>
        </w:tc>
        <w:tc>
          <w:tcPr>
            <w:tcW w:w="1136" w:type="pct"/>
            <w:vAlign w:val="center"/>
          </w:tcPr>
          <w:p w:rsidR="00EE56C0" w:rsidRDefault="000F36A1">
            <w:pPr>
              <w:pStyle w:val="afa"/>
            </w:pPr>
            <w:r>
              <w:rPr>
                <w:rFonts w:hint="eastAsia"/>
              </w:rPr>
              <w:t>0</w:t>
            </w:r>
          </w:p>
        </w:tc>
      </w:tr>
      <w:tr w:rsidR="00EE56C0">
        <w:trPr>
          <w:trHeight w:val="397"/>
          <w:jc w:val="center"/>
        </w:trPr>
        <w:tc>
          <w:tcPr>
            <w:tcW w:w="1204" w:type="pct"/>
            <w:vMerge/>
            <w:vAlign w:val="center"/>
          </w:tcPr>
          <w:p w:rsidR="00EE56C0" w:rsidRDefault="00EE56C0">
            <w:pPr>
              <w:pStyle w:val="afa"/>
            </w:pPr>
          </w:p>
        </w:tc>
        <w:tc>
          <w:tcPr>
            <w:tcW w:w="1167" w:type="pct"/>
            <w:vAlign w:val="center"/>
          </w:tcPr>
          <w:p w:rsidR="00EE56C0" w:rsidRDefault="000F36A1">
            <w:pPr>
              <w:pStyle w:val="afa"/>
            </w:pPr>
            <w:r>
              <w:rPr>
                <w:rFonts w:hint="eastAsia"/>
              </w:rPr>
              <w:t>500d</w:t>
            </w:r>
          </w:p>
        </w:tc>
        <w:tc>
          <w:tcPr>
            <w:tcW w:w="1491" w:type="pct"/>
            <w:vMerge/>
            <w:vAlign w:val="center"/>
          </w:tcPr>
          <w:p w:rsidR="00EE56C0" w:rsidRDefault="00EE56C0">
            <w:pPr>
              <w:pStyle w:val="afa"/>
            </w:pPr>
          </w:p>
        </w:tc>
        <w:tc>
          <w:tcPr>
            <w:tcW w:w="1136" w:type="pct"/>
            <w:vAlign w:val="center"/>
          </w:tcPr>
          <w:p w:rsidR="00EE56C0" w:rsidRDefault="000F36A1">
            <w:pPr>
              <w:pStyle w:val="afa"/>
            </w:pPr>
            <w:r>
              <w:rPr>
                <w:rFonts w:hint="eastAsia"/>
              </w:rPr>
              <w:t>0</w:t>
            </w:r>
          </w:p>
        </w:tc>
      </w:tr>
      <w:tr w:rsidR="00EE56C0">
        <w:trPr>
          <w:trHeight w:val="397"/>
          <w:jc w:val="center"/>
        </w:trPr>
        <w:tc>
          <w:tcPr>
            <w:tcW w:w="1204" w:type="pct"/>
            <w:vMerge/>
            <w:vAlign w:val="center"/>
          </w:tcPr>
          <w:p w:rsidR="00EE56C0" w:rsidRDefault="00EE56C0">
            <w:pPr>
              <w:pStyle w:val="afa"/>
            </w:pPr>
          </w:p>
        </w:tc>
        <w:tc>
          <w:tcPr>
            <w:tcW w:w="1167" w:type="pct"/>
            <w:vAlign w:val="center"/>
          </w:tcPr>
          <w:p w:rsidR="00EE56C0" w:rsidRDefault="000F36A1">
            <w:pPr>
              <w:pStyle w:val="afa"/>
            </w:pPr>
            <w:r>
              <w:rPr>
                <w:rFonts w:hint="eastAsia"/>
              </w:rPr>
              <w:t>1000d</w:t>
            </w:r>
          </w:p>
        </w:tc>
        <w:tc>
          <w:tcPr>
            <w:tcW w:w="1491" w:type="pct"/>
            <w:vMerge/>
            <w:vAlign w:val="center"/>
          </w:tcPr>
          <w:p w:rsidR="00EE56C0" w:rsidRDefault="00EE56C0">
            <w:pPr>
              <w:pStyle w:val="afa"/>
            </w:pPr>
          </w:p>
        </w:tc>
        <w:tc>
          <w:tcPr>
            <w:tcW w:w="1136" w:type="pct"/>
            <w:vAlign w:val="center"/>
          </w:tcPr>
          <w:p w:rsidR="00EE56C0" w:rsidRDefault="000F36A1">
            <w:pPr>
              <w:pStyle w:val="afa"/>
            </w:pPr>
            <w:r>
              <w:rPr>
                <w:rFonts w:hint="eastAsia"/>
              </w:rPr>
              <w:t>0</w:t>
            </w:r>
          </w:p>
        </w:tc>
      </w:tr>
    </w:tbl>
    <w:p w:rsidR="00EE56C0" w:rsidRDefault="000F36A1">
      <w:pPr>
        <w:ind w:firstLine="480"/>
      </w:pPr>
      <w:r>
        <w:rPr>
          <w:rFonts w:hint="eastAsia"/>
        </w:rPr>
        <w:t>由上表可知，项目废水发生泄漏后</w:t>
      </w:r>
      <w:r>
        <w:rPr>
          <w:rFonts w:hint="eastAsia"/>
        </w:rPr>
        <w:t>100d</w:t>
      </w:r>
      <w:r>
        <w:rPr>
          <w:rFonts w:hint="eastAsia"/>
        </w:rPr>
        <w:t>、</w:t>
      </w:r>
      <w:r>
        <w:rPr>
          <w:rFonts w:hint="eastAsia"/>
        </w:rPr>
        <w:t>500d</w:t>
      </w:r>
      <w:r>
        <w:rPr>
          <w:rFonts w:hint="eastAsia"/>
        </w:rPr>
        <w:t>、</w:t>
      </w:r>
      <w:r>
        <w:rPr>
          <w:rFonts w:hint="eastAsia"/>
        </w:rPr>
        <w:t>1000d</w:t>
      </w:r>
      <w:r>
        <w:rPr>
          <w:rFonts w:hint="eastAsia"/>
        </w:rPr>
        <w:t>时均不会对</w:t>
      </w:r>
      <w:r>
        <w:rPr>
          <w:rFonts w:hint="eastAsia"/>
          <w:bCs/>
        </w:rPr>
        <w:t>水花堡村</w:t>
      </w:r>
      <w:r>
        <w:rPr>
          <w:rFonts w:hint="eastAsia"/>
        </w:rPr>
        <w:t>地下水质产生影响，项目生产对地下水的影响可以接受。</w:t>
      </w:r>
    </w:p>
    <w:p w:rsidR="00EE56C0" w:rsidRDefault="000F36A1" w:rsidP="00A74F56">
      <w:pPr>
        <w:ind w:firstLine="482"/>
      </w:pPr>
      <w:r w:rsidRPr="00A74F56">
        <w:rPr>
          <w:b/>
          <w:u w:val="single"/>
        </w:rPr>
        <w:t>根据</w:t>
      </w:r>
      <w:r w:rsidRPr="00A74F56">
        <w:rPr>
          <w:rFonts w:hint="eastAsia"/>
          <w:b/>
          <w:u w:val="single"/>
        </w:rPr>
        <w:t>现场调查</w:t>
      </w:r>
      <w:r w:rsidRPr="00A74F56">
        <w:rPr>
          <w:b/>
          <w:u w:val="single"/>
        </w:rPr>
        <w:t>，</w:t>
      </w:r>
      <w:r w:rsidRPr="00A74F56">
        <w:rPr>
          <w:rFonts w:hint="eastAsia"/>
          <w:b/>
          <w:u w:val="single"/>
        </w:rPr>
        <w:t>距离本项目最近的</w:t>
      </w:r>
      <w:r w:rsidR="00A74F56">
        <w:rPr>
          <w:rFonts w:hint="eastAsia"/>
          <w:b/>
          <w:u w:val="single"/>
        </w:rPr>
        <w:t>乡镇</w:t>
      </w:r>
      <w:r w:rsidRPr="00A74F56">
        <w:rPr>
          <w:b/>
          <w:u w:val="single"/>
        </w:rPr>
        <w:t>饮用水水源地保护区为</w:t>
      </w:r>
      <w:r w:rsidRPr="00A74F56">
        <w:rPr>
          <w:rFonts w:hint="eastAsia"/>
          <w:b/>
          <w:u w:val="single"/>
        </w:rPr>
        <w:t>的</w:t>
      </w:r>
      <w:r w:rsidR="00A74F56" w:rsidRPr="00A74F56">
        <w:rPr>
          <w:rFonts w:hint="eastAsia"/>
          <w:b/>
          <w:u w:val="single"/>
        </w:rPr>
        <w:t>厂址北</w:t>
      </w:r>
      <w:r w:rsidR="00A74F56" w:rsidRPr="00A74F56">
        <w:rPr>
          <w:rFonts w:hint="eastAsia"/>
          <w:b/>
          <w:u w:val="single"/>
        </w:rPr>
        <w:t>12.35km</w:t>
      </w:r>
      <w:r w:rsidR="00A74F56" w:rsidRPr="00A74F56">
        <w:rPr>
          <w:rFonts w:hint="eastAsia"/>
          <w:b/>
          <w:u w:val="single"/>
        </w:rPr>
        <w:t>处的</w:t>
      </w:r>
      <w:r w:rsidR="00A74F56" w:rsidRPr="00A74F56">
        <w:rPr>
          <w:rFonts w:ascii="宋体" w:hAnsi="宋体" w:cs="宋体" w:hint="eastAsia"/>
          <w:b/>
          <w:u w:val="single"/>
        </w:rPr>
        <w:t>新乡县翟坡镇水厂地下水井群</w:t>
      </w:r>
      <w:r w:rsidRPr="00A74F56">
        <w:rPr>
          <w:rFonts w:hint="eastAsia"/>
          <w:b/>
          <w:u w:val="single"/>
        </w:rPr>
        <w:t>。根据泄露预测结果，泄露后</w:t>
      </w:r>
      <w:r w:rsidRPr="00A74F56">
        <w:rPr>
          <w:rFonts w:hint="eastAsia"/>
          <w:b/>
          <w:u w:val="single"/>
        </w:rPr>
        <w:t>100d</w:t>
      </w:r>
      <w:r w:rsidR="00A74F56" w:rsidRPr="00A74F56">
        <w:rPr>
          <w:rFonts w:hint="eastAsia"/>
          <w:b/>
          <w:u w:val="single"/>
        </w:rPr>
        <w:t>、</w:t>
      </w:r>
      <w:r w:rsidR="00A74F56" w:rsidRPr="00A74F56">
        <w:rPr>
          <w:rFonts w:hint="eastAsia"/>
          <w:b/>
          <w:u w:val="single"/>
        </w:rPr>
        <w:t>365d</w:t>
      </w:r>
      <w:r w:rsidR="00A74F56" w:rsidRPr="00A74F56">
        <w:rPr>
          <w:rFonts w:hint="eastAsia"/>
          <w:b/>
          <w:u w:val="single"/>
        </w:rPr>
        <w:t>、</w:t>
      </w:r>
      <w:r w:rsidRPr="00A74F56">
        <w:rPr>
          <w:rFonts w:hint="eastAsia"/>
          <w:b/>
          <w:u w:val="single"/>
        </w:rPr>
        <w:t>500d</w:t>
      </w:r>
      <w:r w:rsidRPr="00A74F56">
        <w:rPr>
          <w:rFonts w:hint="eastAsia"/>
          <w:b/>
          <w:u w:val="single"/>
        </w:rPr>
        <w:t>、</w:t>
      </w:r>
      <w:r w:rsidRPr="00A74F56">
        <w:rPr>
          <w:rFonts w:hint="eastAsia"/>
          <w:b/>
          <w:u w:val="single"/>
        </w:rPr>
        <w:t>1000d</w:t>
      </w:r>
      <w:r w:rsidRPr="00A74F56">
        <w:rPr>
          <w:rFonts w:hint="eastAsia"/>
          <w:b/>
          <w:u w:val="single"/>
        </w:rPr>
        <w:t>，耗氧量、氨氮最远迁移距离在</w:t>
      </w:r>
      <w:r w:rsidR="00A74F56" w:rsidRPr="00A74F56">
        <w:rPr>
          <w:rFonts w:hint="eastAsia"/>
          <w:b/>
          <w:u w:val="single"/>
        </w:rPr>
        <w:t>2.7</w:t>
      </w:r>
      <w:r w:rsidRPr="00A74F56">
        <w:rPr>
          <w:rFonts w:hint="eastAsia"/>
          <w:b/>
          <w:u w:val="single"/>
        </w:rPr>
        <w:t>m</w:t>
      </w:r>
      <w:r w:rsidRPr="00A74F56">
        <w:rPr>
          <w:rFonts w:hint="eastAsia"/>
          <w:b/>
          <w:u w:val="single"/>
        </w:rPr>
        <w:t>内，</w:t>
      </w:r>
      <w:r>
        <w:rPr>
          <w:rFonts w:hint="eastAsia"/>
        </w:rPr>
        <w:t>故预测不会对集中式饮用水水源地和周边环境敏感点地下水水质造成不利影响。</w:t>
      </w:r>
    </w:p>
    <w:p w:rsidR="00EE56C0" w:rsidRDefault="000F36A1">
      <w:pPr>
        <w:pStyle w:val="3"/>
        <w:spacing w:before="240" w:after="120"/>
      </w:pPr>
      <w:r>
        <w:rPr>
          <w:rFonts w:hint="eastAsia"/>
        </w:rPr>
        <w:t>5.3.10</w:t>
      </w:r>
      <w:r>
        <w:t>地下水评价结论</w:t>
      </w:r>
    </w:p>
    <w:bookmarkEnd w:id="337"/>
    <w:p w:rsidR="00EE56C0" w:rsidRDefault="000F36A1">
      <w:pPr>
        <w:ind w:firstLine="480"/>
      </w:pPr>
      <w:r>
        <w:rPr>
          <w:rFonts w:hint="eastAsia"/>
        </w:rPr>
        <w:t>（</w:t>
      </w:r>
      <w:r>
        <w:rPr>
          <w:rFonts w:hint="eastAsia"/>
        </w:rPr>
        <w:t>1</w:t>
      </w:r>
      <w:r>
        <w:rPr>
          <w:rFonts w:hint="eastAsia"/>
        </w:rPr>
        <w:t>）正常工况</w:t>
      </w:r>
    </w:p>
    <w:p w:rsidR="00EE56C0" w:rsidRDefault="000F36A1">
      <w:pPr>
        <w:ind w:firstLine="480"/>
      </w:pPr>
      <w:r>
        <w:rPr>
          <w:rFonts w:hint="eastAsia"/>
        </w:rPr>
        <w:t>正常情况下，项目建设均按照</w:t>
      </w:r>
      <w:r>
        <w:rPr>
          <w:rFonts w:hint="eastAsia"/>
        </w:rPr>
        <w:t>GB16889</w:t>
      </w:r>
      <w:r>
        <w:rPr>
          <w:rFonts w:hint="eastAsia"/>
        </w:rPr>
        <w:t>、</w:t>
      </w:r>
      <w:r>
        <w:rPr>
          <w:rFonts w:hint="eastAsia"/>
        </w:rPr>
        <w:t>GB18597</w:t>
      </w:r>
      <w:r>
        <w:rPr>
          <w:rFonts w:hint="eastAsia"/>
        </w:rPr>
        <w:t>、</w:t>
      </w:r>
      <w:r>
        <w:rPr>
          <w:rFonts w:hint="eastAsia"/>
        </w:rPr>
        <w:t>GB18598</w:t>
      </w:r>
      <w:r>
        <w:rPr>
          <w:rFonts w:hint="eastAsia"/>
        </w:rPr>
        <w:t>、</w:t>
      </w:r>
      <w:r>
        <w:rPr>
          <w:rFonts w:hint="eastAsia"/>
        </w:rPr>
        <w:t>GB18599</w:t>
      </w:r>
      <w:r>
        <w:rPr>
          <w:rFonts w:hint="eastAsia"/>
        </w:rPr>
        <w:t>、</w:t>
      </w:r>
      <w:r>
        <w:rPr>
          <w:rFonts w:hint="eastAsia"/>
        </w:rPr>
        <w:t>GB/T50934</w:t>
      </w:r>
      <w:r>
        <w:rPr>
          <w:rFonts w:hint="eastAsia"/>
        </w:rPr>
        <w:t>的要求进行了地下水分区防渗，</w:t>
      </w:r>
      <w:r>
        <w:t>正常工况下污水不会渗漏进入地下造成污染。</w:t>
      </w:r>
    </w:p>
    <w:p w:rsidR="00EE56C0" w:rsidRDefault="000F36A1">
      <w:pPr>
        <w:ind w:firstLine="480"/>
      </w:pPr>
      <w:r>
        <w:rPr>
          <w:rFonts w:hint="eastAsia"/>
        </w:rPr>
        <w:t>（</w:t>
      </w:r>
      <w:r>
        <w:rPr>
          <w:rFonts w:hint="eastAsia"/>
        </w:rPr>
        <w:t>2</w:t>
      </w:r>
      <w:r>
        <w:rPr>
          <w:rFonts w:hint="eastAsia"/>
        </w:rPr>
        <w:t>）非正常工况</w:t>
      </w:r>
    </w:p>
    <w:p w:rsidR="00EE56C0" w:rsidRDefault="000F36A1">
      <w:pPr>
        <w:ind w:firstLine="480"/>
      </w:pPr>
      <w:r>
        <w:t>综合分析，在非正常工况下，该工程对厂址周围的地下水环境有一定的影响。但从泄漏概率、地面破损概率综合考虑</w:t>
      </w:r>
      <w:r>
        <w:rPr>
          <w:rFonts w:hint="eastAsia"/>
        </w:rPr>
        <w:t>，</w:t>
      </w:r>
      <w:r>
        <w:t>生活污水化粪池渗入地下是概率很小的事件，</w:t>
      </w:r>
      <w:r>
        <w:rPr>
          <w:rFonts w:hint="eastAsia"/>
        </w:rPr>
        <w:t>企业按照本次评价要求的</w:t>
      </w:r>
      <w:r>
        <w:t>预防措施和应急处理措施</w:t>
      </w:r>
      <w:r>
        <w:rPr>
          <w:rFonts w:hint="eastAsia"/>
        </w:rPr>
        <w:t>后</w:t>
      </w:r>
      <w:r>
        <w:t>，对地下水环境的影</w:t>
      </w:r>
      <w:r>
        <w:lastRenderedPageBreak/>
        <w:t>响可接受</w:t>
      </w:r>
      <w:r>
        <w:rPr>
          <w:rFonts w:hint="eastAsia"/>
        </w:rPr>
        <w:t>。</w:t>
      </w:r>
    </w:p>
    <w:p w:rsidR="00EE56C0" w:rsidRDefault="000F36A1">
      <w:pPr>
        <w:pStyle w:val="3"/>
        <w:spacing w:before="240" w:after="120"/>
      </w:pPr>
      <w:r>
        <w:rPr>
          <w:rFonts w:hint="eastAsia"/>
        </w:rPr>
        <w:t>5.3.11</w:t>
      </w:r>
      <w:r>
        <w:t>地下水环境保护措施与</w:t>
      </w:r>
      <w:r>
        <w:rPr>
          <w:rFonts w:hint="eastAsia"/>
        </w:rPr>
        <w:t>跟踪监测</w:t>
      </w:r>
    </w:p>
    <w:p w:rsidR="00EE56C0" w:rsidRDefault="000F36A1">
      <w:pPr>
        <w:ind w:firstLine="480"/>
      </w:pPr>
      <w:bookmarkStart w:id="338" w:name="_Toc324839326"/>
      <w:bookmarkStart w:id="339" w:name="_Toc311812650"/>
      <w:bookmarkStart w:id="340" w:name="_Toc198193463"/>
      <w:bookmarkStart w:id="341" w:name="_Toc227946421"/>
      <w:bookmarkStart w:id="342" w:name="_Toc324839623"/>
      <w:bookmarkStart w:id="343" w:name="_Toc311812666"/>
      <w:bookmarkStart w:id="344" w:name="_Toc324839328"/>
      <w:bookmarkStart w:id="345" w:name="_Toc118981623"/>
      <w:bookmarkStart w:id="346" w:name="_Toc324839625"/>
      <w:bookmarkStart w:id="347" w:name="_Toc33416097"/>
      <w:bookmarkStart w:id="348" w:name="_Toc456001776"/>
      <w:bookmarkStart w:id="349" w:name="_Toc453042555"/>
      <w:bookmarkStart w:id="350" w:name="_Toc457301422"/>
      <w:r>
        <w:t>为减少和防止本项目生产过程中产生的废水污染物对地下水造成污染影响，项目在建设过程中应对生产车间、道路全部采用水泥硬化，对污水处理设施、输水沟渠及固废暂存间采取防渗处理，以防止各种构筑物渗漏对区域地下水造成污染。</w:t>
      </w:r>
    </w:p>
    <w:p w:rsidR="00EE56C0" w:rsidRDefault="000F36A1">
      <w:pPr>
        <w:ind w:firstLine="482"/>
        <w:rPr>
          <w:b/>
        </w:rPr>
      </w:pPr>
      <w:r>
        <w:rPr>
          <w:rFonts w:hint="eastAsia"/>
          <w:b/>
        </w:rPr>
        <w:t>一、防渗原则</w:t>
      </w:r>
    </w:p>
    <w:p w:rsidR="00EE56C0" w:rsidRDefault="000F36A1">
      <w:pPr>
        <w:ind w:firstLine="480"/>
      </w:pPr>
      <w:r>
        <w:rPr>
          <w:rFonts w:hint="eastAsia"/>
        </w:rPr>
        <w:t>采取源头控制、末端防治、污染监控相结合的原则，具体如下：</w:t>
      </w:r>
    </w:p>
    <w:p w:rsidR="00EE56C0" w:rsidRDefault="000F36A1">
      <w:pPr>
        <w:ind w:firstLine="480"/>
      </w:pPr>
      <w:r>
        <w:rPr>
          <w:rFonts w:hint="eastAsia"/>
        </w:rPr>
        <w:t>（</w:t>
      </w:r>
      <w:r>
        <w:rPr>
          <w:rFonts w:hint="eastAsia"/>
        </w:rPr>
        <w:t>1</w:t>
      </w:r>
      <w:r>
        <w:rPr>
          <w:rFonts w:hint="eastAsia"/>
        </w:rPr>
        <w:t>）源头控制措施主要为在工艺、管道、设备、污水存储及处理构筑物处采取防泄漏和防渗措施，将污染物泄露污染地下水的环境风险降低到最低程度；</w:t>
      </w:r>
    </w:p>
    <w:p w:rsidR="00EE56C0" w:rsidRDefault="000F36A1">
      <w:pPr>
        <w:ind w:firstLine="480"/>
      </w:pPr>
      <w:r>
        <w:rPr>
          <w:rFonts w:hint="eastAsia"/>
        </w:rPr>
        <w:t>（</w:t>
      </w:r>
      <w:r>
        <w:rPr>
          <w:rFonts w:hint="eastAsia"/>
        </w:rPr>
        <w:t>2</w:t>
      </w:r>
      <w:r>
        <w:rPr>
          <w:rFonts w:hint="eastAsia"/>
        </w:rPr>
        <w:t>）末端防治措施主要包括厂区防渗措施、污水收集措施，防治洒落地面的污染物渗入地下，同时对渗入地下的污染物及时收集，防止污染地下水；</w:t>
      </w:r>
    </w:p>
    <w:p w:rsidR="00EE56C0" w:rsidRDefault="000F36A1">
      <w:pPr>
        <w:ind w:firstLine="480"/>
      </w:pPr>
      <w:r>
        <w:rPr>
          <w:rFonts w:hint="eastAsia"/>
        </w:rPr>
        <w:t>（</w:t>
      </w:r>
      <w:r>
        <w:rPr>
          <w:rFonts w:hint="eastAsia"/>
        </w:rPr>
        <w:t>3</w:t>
      </w:r>
      <w:r>
        <w:rPr>
          <w:rFonts w:hint="eastAsia"/>
        </w:rPr>
        <w:t>）污染监控措施主要包括建立完善的监测制度、配备先进的监测仪器和设备，科学合理的设置地下水监控井，同时加强车间和各用排水单元的管理，避免跑冒滴漏现象的发生，增强员工的环境保护意识，及时对员工进行宣传教育。</w:t>
      </w:r>
    </w:p>
    <w:p w:rsidR="00EE56C0" w:rsidRDefault="000F36A1">
      <w:pPr>
        <w:ind w:firstLine="480"/>
      </w:pPr>
      <w:r>
        <w:rPr>
          <w:rFonts w:hint="eastAsia"/>
        </w:rPr>
        <w:t>（</w:t>
      </w:r>
      <w:r>
        <w:rPr>
          <w:rFonts w:hint="eastAsia"/>
        </w:rPr>
        <w:t>4</w:t>
      </w:r>
      <w:r>
        <w:rPr>
          <w:rFonts w:hint="eastAsia"/>
        </w:rPr>
        <w:t>）项目设置的固废暂存间应严格按照一般固废和危险固废</w:t>
      </w:r>
      <w:r>
        <w:t>暂存间</w:t>
      </w:r>
      <w:r>
        <w:rPr>
          <w:rFonts w:hint="eastAsia"/>
        </w:rPr>
        <w:t>建设要求，设置相应的围堰、排水设施等，并对厂区地面进行硬化。</w:t>
      </w:r>
    </w:p>
    <w:p w:rsidR="00EE56C0" w:rsidRDefault="000F36A1">
      <w:pPr>
        <w:ind w:firstLine="482"/>
        <w:rPr>
          <w:b/>
        </w:rPr>
      </w:pPr>
      <w:r>
        <w:rPr>
          <w:rFonts w:hint="eastAsia"/>
          <w:b/>
        </w:rPr>
        <w:t>二、厂区防渗要求</w:t>
      </w:r>
    </w:p>
    <w:p w:rsidR="00EE56C0" w:rsidRDefault="000F36A1">
      <w:pPr>
        <w:ind w:firstLine="480"/>
      </w:pPr>
      <w:r>
        <w:rPr>
          <w:rFonts w:hint="eastAsia"/>
        </w:rPr>
        <w:t>整个厂区划分为重点污染防渗区、一般污染防渗区、非污染防渗区：</w:t>
      </w:r>
    </w:p>
    <w:p w:rsidR="00EE56C0" w:rsidRDefault="000F36A1">
      <w:pPr>
        <w:ind w:firstLine="480"/>
      </w:pPr>
      <w:r>
        <w:rPr>
          <w:rFonts w:hint="eastAsia"/>
        </w:rPr>
        <w:t>重点污染防渗区：位于地下或半地下的生产功能单元，污染地下水环境的物料或污染物泄漏后，不易及时发现和处理的区域或部位。本项目的重点污染防治区为：废污水处理设施及管道、废水事故池和危险废物暂存间。</w:t>
      </w:r>
    </w:p>
    <w:p w:rsidR="00EE56C0" w:rsidRDefault="000F36A1">
      <w:pPr>
        <w:ind w:firstLine="480"/>
      </w:pPr>
      <w:r>
        <w:rPr>
          <w:rFonts w:hint="eastAsia"/>
        </w:rPr>
        <w:t>一般污染防渗区：裸漏于地面的生产功能单元，污染地下水环境的物料或污染物泄漏后，可及时发现和处理的区域或部位。本项目的一般污染防治区为：一</w:t>
      </w:r>
      <w:r>
        <w:rPr>
          <w:rFonts w:hint="eastAsia"/>
        </w:rPr>
        <w:lastRenderedPageBreak/>
        <w:t>般固废</w:t>
      </w:r>
      <w:r>
        <w:t>暂存间</w:t>
      </w:r>
      <w:r>
        <w:rPr>
          <w:rFonts w:hint="eastAsia"/>
        </w:rPr>
        <w:t>、生产车间。</w:t>
      </w:r>
    </w:p>
    <w:p w:rsidR="00EE56C0" w:rsidRDefault="000F36A1">
      <w:pPr>
        <w:ind w:firstLine="480"/>
      </w:pPr>
      <w:r>
        <w:t>非污染防渗区：没有物料或污染物泄露，不会对地下水环境造成污染的区域或部位。非污染防渗区为厂区其他区域。</w:t>
      </w:r>
    </w:p>
    <w:p w:rsidR="00EE56C0" w:rsidRDefault="000F36A1">
      <w:pPr>
        <w:ind w:firstLine="480"/>
      </w:pPr>
      <w:r>
        <w:rPr>
          <w:rFonts w:hint="eastAsia"/>
        </w:rPr>
        <w:t>针对不同的防渗区域，采取不同的污染防渗措施，具体如下：</w:t>
      </w:r>
    </w:p>
    <w:p w:rsidR="00EE56C0" w:rsidRDefault="000F36A1">
      <w:pPr>
        <w:ind w:firstLine="480"/>
      </w:pPr>
      <w:r>
        <w:rPr>
          <w:rFonts w:hint="eastAsia"/>
        </w:rPr>
        <w:t>（</w:t>
      </w:r>
      <w:r>
        <w:rPr>
          <w:rFonts w:hint="eastAsia"/>
        </w:rPr>
        <w:t>1</w:t>
      </w:r>
      <w:r>
        <w:rPr>
          <w:rFonts w:hint="eastAsia"/>
        </w:rPr>
        <w:t>）重点污染防渗区：防渗性能应与</w:t>
      </w:r>
      <w:r>
        <w:rPr>
          <w:rFonts w:hint="eastAsia"/>
        </w:rPr>
        <w:t>6.0m</w:t>
      </w:r>
      <w:r>
        <w:rPr>
          <w:rFonts w:hint="eastAsia"/>
        </w:rPr>
        <w:t>厚粘土层（渗透系数</w:t>
      </w:r>
      <w:r>
        <w:rPr>
          <w:rFonts w:hint="eastAsia"/>
        </w:rPr>
        <w:t>1.0</w:t>
      </w:r>
      <w:r>
        <w:rPr>
          <w:rFonts w:hint="eastAsia"/>
        </w:rPr>
        <w:t>×</w:t>
      </w:r>
      <w:r>
        <w:rPr>
          <w:rFonts w:hint="eastAsia"/>
        </w:rPr>
        <w:t>10</w:t>
      </w:r>
      <w:r>
        <w:rPr>
          <w:rFonts w:hint="eastAsia"/>
          <w:vertAlign w:val="superscript"/>
        </w:rPr>
        <w:t>-7</w:t>
      </w:r>
      <w:r>
        <w:rPr>
          <w:rFonts w:hint="eastAsia"/>
        </w:rPr>
        <w:t>cm/s</w:t>
      </w:r>
      <w:r>
        <w:rPr>
          <w:rFonts w:hint="eastAsia"/>
        </w:rPr>
        <w:t>）等效。底层宜采用</w:t>
      </w:r>
      <w:r>
        <w:rPr>
          <w:rFonts w:hint="eastAsia"/>
        </w:rPr>
        <w:t>0.3m</w:t>
      </w:r>
      <w:r>
        <w:rPr>
          <w:rFonts w:hint="eastAsia"/>
        </w:rPr>
        <w:t>压实粘土层；上层采用合成高密度人工防渗膜，厚度不宜小于</w:t>
      </w:r>
      <w:r>
        <w:rPr>
          <w:rFonts w:hint="eastAsia"/>
        </w:rPr>
        <w:t>1.50mm</w:t>
      </w:r>
      <w:r>
        <w:rPr>
          <w:rFonts w:hint="eastAsia"/>
        </w:rPr>
        <w:t>膜铺设应由中心坡向四周，坡度不宜小于</w:t>
      </w:r>
      <w:r>
        <w:rPr>
          <w:rFonts w:hint="eastAsia"/>
        </w:rPr>
        <w:t>1.5</w:t>
      </w:r>
      <w:r>
        <w:rPr>
          <w:rFonts w:hint="eastAsia"/>
        </w:rPr>
        <w:t>％；膜上、膜下应设置保护层，保护层可采用长丝无纺土工布，膜下保护层也可采用不含尖锐颗粒的砂层，厚度不宜小于</w:t>
      </w:r>
      <w:r>
        <w:rPr>
          <w:rFonts w:hint="eastAsia"/>
        </w:rPr>
        <w:t>100mm</w:t>
      </w:r>
      <w:r>
        <w:rPr>
          <w:rFonts w:hint="eastAsia"/>
        </w:rPr>
        <w:t>；膜上保护层以上应设置砂石层，厚度不宜小于</w:t>
      </w:r>
      <w:r>
        <w:rPr>
          <w:rFonts w:hint="eastAsia"/>
        </w:rPr>
        <w:t>200mm</w:t>
      </w:r>
      <w:r>
        <w:rPr>
          <w:rFonts w:hint="eastAsia"/>
        </w:rPr>
        <w:t>。</w:t>
      </w:r>
    </w:p>
    <w:p w:rsidR="00EE56C0" w:rsidRDefault="000F36A1">
      <w:pPr>
        <w:ind w:firstLine="480"/>
        <w:rPr>
          <w:iCs/>
          <w:szCs w:val="24"/>
        </w:rPr>
      </w:pPr>
      <w:r>
        <w:rPr>
          <w:rFonts w:hint="eastAsia"/>
          <w:iCs/>
          <w:szCs w:val="24"/>
        </w:rPr>
        <w:t>（</w:t>
      </w:r>
      <w:r>
        <w:rPr>
          <w:rFonts w:hint="eastAsia"/>
          <w:iCs/>
          <w:szCs w:val="24"/>
        </w:rPr>
        <w:t>2</w:t>
      </w:r>
      <w:r>
        <w:rPr>
          <w:rFonts w:hint="eastAsia"/>
          <w:iCs/>
          <w:szCs w:val="24"/>
        </w:rPr>
        <w:t>）一般污染防渗区：对一般污染防治区，防渗性能应与</w:t>
      </w:r>
      <w:r>
        <w:rPr>
          <w:rFonts w:hint="eastAsia"/>
          <w:iCs/>
          <w:szCs w:val="24"/>
        </w:rPr>
        <w:t>1.5m</w:t>
      </w:r>
      <w:r>
        <w:rPr>
          <w:rFonts w:hint="eastAsia"/>
          <w:iCs/>
          <w:szCs w:val="24"/>
        </w:rPr>
        <w:t>厚粘土层（渗透系数</w:t>
      </w:r>
      <w:r>
        <w:rPr>
          <w:rFonts w:hint="eastAsia"/>
          <w:iCs/>
          <w:szCs w:val="24"/>
        </w:rPr>
        <w:t>1.0</w:t>
      </w:r>
      <w:r>
        <w:rPr>
          <w:rFonts w:hint="eastAsia"/>
          <w:iCs/>
          <w:szCs w:val="24"/>
        </w:rPr>
        <w:t>×</w:t>
      </w:r>
      <w:r>
        <w:rPr>
          <w:rFonts w:hint="eastAsia"/>
          <w:iCs/>
          <w:szCs w:val="24"/>
        </w:rPr>
        <w:t>10</w:t>
      </w:r>
      <w:r>
        <w:rPr>
          <w:rFonts w:hint="eastAsia"/>
          <w:iCs/>
          <w:szCs w:val="24"/>
          <w:vertAlign w:val="superscript"/>
        </w:rPr>
        <w:t>-7</w:t>
      </w:r>
      <w:r>
        <w:rPr>
          <w:rFonts w:hint="eastAsia"/>
          <w:iCs/>
          <w:szCs w:val="24"/>
        </w:rPr>
        <w:t>cm/s</w:t>
      </w:r>
      <w:r>
        <w:rPr>
          <w:rFonts w:hint="eastAsia"/>
          <w:iCs/>
          <w:szCs w:val="24"/>
        </w:rPr>
        <w:t>）等效。建议使用</w:t>
      </w:r>
      <w:r>
        <w:rPr>
          <w:rFonts w:hint="eastAsia"/>
        </w:rPr>
        <w:t>1m</w:t>
      </w:r>
      <w:r>
        <w:rPr>
          <w:rFonts w:hint="eastAsia"/>
        </w:rPr>
        <w:t>厚黏土层（</w:t>
      </w:r>
      <w:r>
        <w:t>渗透系数</w:t>
      </w:r>
      <w:r>
        <w:rPr>
          <w:rFonts w:hint="eastAsia"/>
        </w:rPr>
        <w:t>不大于</w:t>
      </w:r>
      <w:r>
        <w:t>1×10</w:t>
      </w:r>
      <w:r>
        <w:rPr>
          <w:vertAlign w:val="superscript"/>
        </w:rPr>
        <w:t>-</w:t>
      </w:r>
      <w:r>
        <w:rPr>
          <w:rFonts w:hint="eastAsia"/>
          <w:vertAlign w:val="superscript"/>
        </w:rPr>
        <w:t>7</w:t>
      </w:r>
      <w:r>
        <w:t>m/s</w:t>
      </w:r>
      <w:r>
        <w:rPr>
          <w:rFonts w:hint="eastAsia"/>
        </w:rPr>
        <w:t>），或</w:t>
      </w:r>
      <w:r>
        <w:rPr>
          <w:rFonts w:hint="eastAsia"/>
        </w:rPr>
        <w:t>2mm</w:t>
      </w:r>
      <w:r>
        <w:rPr>
          <w:rFonts w:hint="eastAsia"/>
        </w:rPr>
        <w:t>厚高密度聚乙烯，或至少</w:t>
      </w:r>
      <w:r>
        <w:rPr>
          <w:rFonts w:hint="eastAsia"/>
        </w:rPr>
        <w:t>2mm</w:t>
      </w:r>
      <w:r>
        <w:rPr>
          <w:rFonts w:hint="eastAsia"/>
        </w:rPr>
        <w:t>厚的其它人工材料（渗透系数不大于</w:t>
      </w:r>
      <w:r>
        <w:t>1×10</w:t>
      </w:r>
      <w:r>
        <w:rPr>
          <w:vertAlign w:val="superscript"/>
        </w:rPr>
        <w:t>-</w:t>
      </w:r>
      <w:r>
        <w:rPr>
          <w:rFonts w:hint="eastAsia"/>
          <w:vertAlign w:val="superscript"/>
        </w:rPr>
        <w:t>10</w:t>
      </w:r>
      <w:r>
        <w:t>m/s</w:t>
      </w:r>
      <w:r>
        <w:rPr>
          <w:rFonts w:hint="eastAsia"/>
        </w:rPr>
        <w:t>）。做</w:t>
      </w:r>
      <w:r>
        <w:t>好防风、防雨及防渗的</w:t>
      </w:r>
      <w:r>
        <w:t>“</w:t>
      </w:r>
      <w:r>
        <w:t>三防</w:t>
      </w:r>
      <w:r>
        <w:t>”</w:t>
      </w:r>
      <w:r>
        <w:t>措施，并保证其贮存过程中不易老化、破损和变形。</w:t>
      </w:r>
    </w:p>
    <w:p w:rsidR="00EE56C0" w:rsidRDefault="000F36A1">
      <w:pPr>
        <w:ind w:firstLine="480"/>
      </w:pPr>
      <w:r>
        <w:rPr>
          <w:rFonts w:hint="eastAsia"/>
        </w:rPr>
        <w:t>各污染防治区在满足上述防渗要求的前提下，工程产生的固废必须堆放在固废贮存场内，贮存场必须有防雨、防渗、防流失的“三防”措施。</w:t>
      </w:r>
      <w:r>
        <w:t>综上所述，在落实环评所提的相关建议后，本项目产生的废水不会对区域地下水质量有较大影响，地下水质量仍维持现有水平。</w:t>
      </w:r>
      <w:bookmarkStart w:id="351" w:name="_Toc6602"/>
    </w:p>
    <w:bookmarkEnd w:id="351"/>
    <w:p w:rsidR="00EE56C0" w:rsidRDefault="000F36A1">
      <w:pPr>
        <w:ind w:firstLine="482"/>
        <w:rPr>
          <w:b/>
        </w:rPr>
      </w:pPr>
      <w:r>
        <w:rPr>
          <w:rFonts w:hint="eastAsia"/>
          <w:b/>
        </w:rPr>
        <w:t>三、地下水跟踪监测计划</w:t>
      </w:r>
      <w:r>
        <w:rPr>
          <w:rFonts w:hint="eastAsia"/>
          <w:b/>
        </w:rPr>
        <w:t xml:space="preserve"> </w:t>
      </w:r>
    </w:p>
    <w:p w:rsidR="00EE56C0" w:rsidRDefault="000F36A1">
      <w:pPr>
        <w:ind w:firstLine="480"/>
      </w:pPr>
      <w:r>
        <w:rPr>
          <w:rFonts w:hint="eastAsia"/>
        </w:rPr>
        <w:t>本工程位于</w:t>
      </w:r>
      <w:r>
        <w:t>新乡经济技术产业集聚区</w:t>
      </w:r>
      <w:r>
        <w:rPr>
          <w:rFonts w:hint="eastAsia"/>
        </w:rPr>
        <w:t>，根据工程分析内容，正常状况下，本项目无地下水污染源存在，对区域地下水环境影响较小，评价建议建立地下水污染监控制度和环境管理体系，制定监测计划，以便及时发现问题，采取措施。制定地下水风险事故应急预案，明确地下水风险事故状态下应采取封闭、截流等措施。</w:t>
      </w:r>
    </w:p>
    <w:p w:rsidR="00EE56C0" w:rsidRDefault="000F36A1">
      <w:pPr>
        <w:ind w:firstLine="480"/>
      </w:pPr>
      <w:r>
        <w:rPr>
          <w:rFonts w:hint="eastAsia"/>
        </w:rPr>
        <w:lastRenderedPageBreak/>
        <w:t>为了在发生污染物泄漏后及时发现地下水的污染程度，应在厂区地下水流向下游布设监测井，拟布设</w:t>
      </w:r>
      <w:r>
        <w:rPr>
          <w:rFonts w:hint="eastAsia"/>
        </w:rPr>
        <w:t>1</w:t>
      </w:r>
      <w:r>
        <w:rPr>
          <w:rFonts w:hint="eastAsia"/>
        </w:rPr>
        <w:t>个监测井监测污染物迁移程度。监测井每半年取样一次，若发生污染物地下渗漏事故或发现地下水中污染物超标，应加强监测频次。监测因子为耗氧量、</w:t>
      </w:r>
      <w:r>
        <w:rPr>
          <w:rFonts w:hint="eastAsia"/>
        </w:rPr>
        <w:t>NH</w:t>
      </w:r>
      <w:r>
        <w:rPr>
          <w:rFonts w:hint="eastAsia"/>
          <w:vertAlign w:val="subscript"/>
        </w:rPr>
        <w:t>3</w:t>
      </w:r>
      <w:r>
        <w:rPr>
          <w:rFonts w:hint="eastAsia"/>
        </w:rPr>
        <w:t>-N</w:t>
      </w:r>
      <w:r>
        <w:rPr>
          <w:rFonts w:hint="eastAsia"/>
        </w:rPr>
        <w:t>，地下水跟踪监测点位及监测要求见下表：</w:t>
      </w:r>
    </w:p>
    <w:p w:rsidR="00EE56C0" w:rsidRDefault="000F36A1">
      <w:pPr>
        <w:pStyle w:val="afd"/>
        <w:spacing w:before="120" w:after="120"/>
        <w:ind w:firstLine="482"/>
      </w:pPr>
      <w:r>
        <w:t>表</w:t>
      </w:r>
      <w:r>
        <w:t>5-</w:t>
      </w:r>
      <w:r>
        <w:rPr>
          <w:rFonts w:hint="eastAsia"/>
        </w:rPr>
        <w:t>4</w:t>
      </w:r>
      <w:r w:rsidR="005767FB">
        <w:rPr>
          <w:rFonts w:hint="eastAsia"/>
        </w:rPr>
        <w:t>7</w:t>
      </w:r>
      <w:r>
        <w:rPr>
          <w:rFonts w:hint="eastAsia"/>
        </w:rPr>
        <w:t xml:space="preserve">          </w:t>
      </w:r>
      <w:r>
        <w:rPr>
          <w:rFonts w:hint="eastAsia"/>
        </w:rPr>
        <w:t>地下水</w:t>
      </w:r>
      <w:r>
        <w:t>环境监测点位及跟踪监测要求</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1556"/>
        <w:gridCol w:w="1813"/>
        <w:gridCol w:w="5160"/>
      </w:tblGrid>
      <w:tr w:rsidR="00EE56C0">
        <w:trPr>
          <w:trHeight w:val="425"/>
          <w:jc w:val="center"/>
        </w:trPr>
        <w:tc>
          <w:tcPr>
            <w:tcW w:w="912" w:type="pct"/>
            <w:vAlign w:val="center"/>
          </w:tcPr>
          <w:p w:rsidR="00EE56C0" w:rsidRDefault="000F36A1">
            <w:pPr>
              <w:pStyle w:val="aff1"/>
              <w:rPr>
                <w:color w:val="auto"/>
              </w:rPr>
            </w:pPr>
            <w:r>
              <w:rPr>
                <w:color w:val="auto"/>
              </w:rPr>
              <w:t>序号</w:t>
            </w:r>
          </w:p>
        </w:tc>
        <w:tc>
          <w:tcPr>
            <w:tcW w:w="1063" w:type="pct"/>
            <w:vAlign w:val="center"/>
          </w:tcPr>
          <w:p w:rsidR="00EE56C0" w:rsidRDefault="000F36A1">
            <w:pPr>
              <w:pStyle w:val="aff1"/>
              <w:rPr>
                <w:color w:val="auto"/>
              </w:rPr>
            </w:pPr>
            <w:r>
              <w:rPr>
                <w:color w:val="auto"/>
              </w:rPr>
              <w:t>类别</w:t>
            </w:r>
          </w:p>
        </w:tc>
        <w:tc>
          <w:tcPr>
            <w:tcW w:w="3025" w:type="pct"/>
            <w:vAlign w:val="center"/>
          </w:tcPr>
          <w:p w:rsidR="00EE56C0" w:rsidRDefault="000F36A1">
            <w:pPr>
              <w:pStyle w:val="aff1"/>
              <w:rPr>
                <w:color w:val="auto"/>
              </w:rPr>
            </w:pPr>
            <w:r>
              <w:rPr>
                <w:color w:val="auto"/>
              </w:rPr>
              <w:t>内容</w:t>
            </w:r>
          </w:p>
        </w:tc>
      </w:tr>
      <w:tr w:rsidR="00EE56C0">
        <w:trPr>
          <w:trHeight w:val="425"/>
          <w:jc w:val="center"/>
        </w:trPr>
        <w:tc>
          <w:tcPr>
            <w:tcW w:w="912" w:type="pct"/>
            <w:vAlign w:val="center"/>
          </w:tcPr>
          <w:p w:rsidR="00EE56C0" w:rsidRDefault="000F36A1">
            <w:pPr>
              <w:pStyle w:val="afa"/>
            </w:pPr>
            <w:r>
              <w:rPr>
                <w:rFonts w:hint="eastAsia"/>
              </w:rPr>
              <w:t>1</w:t>
            </w:r>
          </w:p>
        </w:tc>
        <w:tc>
          <w:tcPr>
            <w:tcW w:w="1063" w:type="pct"/>
            <w:vAlign w:val="center"/>
          </w:tcPr>
          <w:p w:rsidR="00EE56C0" w:rsidRDefault="000F36A1">
            <w:pPr>
              <w:pStyle w:val="afa"/>
            </w:pPr>
            <w:r>
              <w:t>监测点位</w:t>
            </w:r>
          </w:p>
        </w:tc>
        <w:tc>
          <w:tcPr>
            <w:tcW w:w="3025" w:type="pct"/>
            <w:vAlign w:val="center"/>
          </w:tcPr>
          <w:p w:rsidR="00EE56C0" w:rsidRDefault="000F36A1">
            <w:pPr>
              <w:pStyle w:val="afa"/>
            </w:pPr>
            <w:r>
              <w:rPr>
                <w:rFonts w:hint="eastAsia"/>
              </w:rPr>
              <w:t>七里营镇地下水井</w:t>
            </w:r>
          </w:p>
        </w:tc>
      </w:tr>
      <w:tr w:rsidR="00EE56C0">
        <w:trPr>
          <w:trHeight w:val="425"/>
          <w:jc w:val="center"/>
        </w:trPr>
        <w:tc>
          <w:tcPr>
            <w:tcW w:w="912" w:type="pct"/>
            <w:vAlign w:val="center"/>
          </w:tcPr>
          <w:p w:rsidR="00EE56C0" w:rsidRDefault="000F36A1">
            <w:pPr>
              <w:pStyle w:val="afa"/>
            </w:pPr>
            <w:r>
              <w:rPr>
                <w:rFonts w:hint="eastAsia"/>
              </w:rPr>
              <w:t>2</w:t>
            </w:r>
          </w:p>
        </w:tc>
        <w:tc>
          <w:tcPr>
            <w:tcW w:w="1063" w:type="pct"/>
            <w:vAlign w:val="center"/>
          </w:tcPr>
          <w:p w:rsidR="00EE56C0" w:rsidRDefault="000F36A1">
            <w:pPr>
              <w:pStyle w:val="afa"/>
            </w:pPr>
            <w:r>
              <w:t>功能</w:t>
            </w:r>
          </w:p>
        </w:tc>
        <w:tc>
          <w:tcPr>
            <w:tcW w:w="3025" w:type="pct"/>
            <w:vAlign w:val="center"/>
          </w:tcPr>
          <w:p w:rsidR="00EE56C0" w:rsidRDefault="000F36A1">
            <w:pPr>
              <w:pStyle w:val="afa"/>
            </w:pPr>
            <w:r>
              <w:rPr>
                <w:rFonts w:hint="eastAsia"/>
              </w:rPr>
              <w:t>地下水跟踪监测点</w:t>
            </w:r>
          </w:p>
        </w:tc>
      </w:tr>
      <w:tr w:rsidR="00EE56C0">
        <w:trPr>
          <w:trHeight w:val="425"/>
          <w:jc w:val="center"/>
        </w:trPr>
        <w:tc>
          <w:tcPr>
            <w:tcW w:w="912" w:type="pct"/>
            <w:vAlign w:val="center"/>
          </w:tcPr>
          <w:p w:rsidR="00EE56C0" w:rsidRDefault="000F36A1">
            <w:pPr>
              <w:pStyle w:val="afa"/>
            </w:pPr>
            <w:r>
              <w:rPr>
                <w:rFonts w:hint="eastAsia"/>
              </w:rPr>
              <w:t>3</w:t>
            </w:r>
          </w:p>
        </w:tc>
        <w:tc>
          <w:tcPr>
            <w:tcW w:w="1063" w:type="pct"/>
            <w:vAlign w:val="center"/>
          </w:tcPr>
          <w:p w:rsidR="00EE56C0" w:rsidRDefault="000F36A1">
            <w:pPr>
              <w:pStyle w:val="afa"/>
            </w:pPr>
            <w:r>
              <w:t>井结构</w:t>
            </w:r>
          </w:p>
        </w:tc>
        <w:tc>
          <w:tcPr>
            <w:tcW w:w="3025" w:type="pct"/>
            <w:vAlign w:val="center"/>
          </w:tcPr>
          <w:p w:rsidR="00EE56C0" w:rsidRDefault="000F36A1">
            <w:pPr>
              <w:pStyle w:val="afa"/>
            </w:pPr>
            <w:r>
              <w:t>竖向圆形</w:t>
            </w:r>
          </w:p>
        </w:tc>
      </w:tr>
      <w:tr w:rsidR="00EE56C0">
        <w:trPr>
          <w:trHeight w:val="425"/>
          <w:jc w:val="center"/>
        </w:trPr>
        <w:tc>
          <w:tcPr>
            <w:tcW w:w="912" w:type="pct"/>
            <w:vAlign w:val="center"/>
          </w:tcPr>
          <w:p w:rsidR="00EE56C0" w:rsidRDefault="000F36A1">
            <w:pPr>
              <w:pStyle w:val="afa"/>
            </w:pPr>
            <w:r>
              <w:rPr>
                <w:rFonts w:hint="eastAsia"/>
              </w:rPr>
              <w:t>4</w:t>
            </w:r>
          </w:p>
        </w:tc>
        <w:tc>
          <w:tcPr>
            <w:tcW w:w="1063" w:type="pct"/>
            <w:vAlign w:val="center"/>
          </w:tcPr>
          <w:p w:rsidR="00EE56C0" w:rsidRDefault="000F36A1">
            <w:pPr>
              <w:pStyle w:val="afa"/>
            </w:pPr>
            <w:r>
              <w:t>监测层位</w:t>
            </w:r>
          </w:p>
        </w:tc>
        <w:tc>
          <w:tcPr>
            <w:tcW w:w="3025" w:type="pct"/>
            <w:vAlign w:val="center"/>
          </w:tcPr>
          <w:p w:rsidR="00EE56C0" w:rsidRDefault="000F36A1">
            <w:pPr>
              <w:pStyle w:val="afa"/>
            </w:pPr>
            <w:r>
              <w:t>潜水层</w:t>
            </w:r>
            <w:r>
              <w:rPr>
                <w:rFonts w:hint="eastAsia"/>
              </w:rPr>
              <w:t>，</w:t>
            </w:r>
            <w:r>
              <w:t>水位线下</w:t>
            </w:r>
            <w:r>
              <w:rPr>
                <w:rFonts w:hint="eastAsia"/>
              </w:rPr>
              <w:t>1</w:t>
            </w:r>
            <w:r>
              <w:rPr>
                <w:rFonts w:hint="eastAsia"/>
              </w:rPr>
              <w:t>米</w:t>
            </w:r>
          </w:p>
        </w:tc>
      </w:tr>
      <w:tr w:rsidR="00EE56C0">
        <w:trPr>
          <w:trHeight w:val="425"/>
          <w:jc w:val="center"/>
        </w:trPr>
        <w:tc>
          <w:tcPr>
            <w:tcW w:w="912" w:type="pct"/>
            <w:vAlign w:val="center"/>
          </w:tcPr>
          <w:p w:rsidR="00EE56C0" w:rsidRDefault="000F36A1">
            <w:pPr>
              <w:pStyle w:val="afa"/>
            </w:pPr>
            <w:r>
              <w:rPr>
                <w:rFonts w:hint="eastAsia"/>
              </w:rPr>
              <w:t>5</w:t>
            </w:r>
          </w:p>
        </w:tc>
        <w:tc>
          <w:tcPr>
            <w:tcW w:w="1063" w:type="pct"/>
            <w:vAlign w:val="center"/>
          </w:tcPr>
          <w:p w:rsidR="00EE56C0" w:rsidRDefault="000F36A1">
            <w:pPr>
              <w:pStyle w:val="afa"/>
            </w:pPr>
            <w:r>
              <w:t>监测频次</w:t>
            </w:r>
          </w:p>
        </w:tc>
        <w:tc>
          <w:tcPr>
            <w:tcW w:w="3025" w:type="pct"/>
            <w:vAlign w:val="center"/>
          </w:tcPr>
          <w:p w:rsidR="00EE56C0" w:rsidRDefault="000F36A1">
            <w:pPr>
              <w:pStyle w:val="afa"/>
            </w:pPr>
            <w:r>
              <w:t>每</w:t>
            </w:r>
            <w:r>
              <w:rPr>
                <w:rFonts w:hint="eastAsia"/>
              </w:rPr>
              <w:t>半年</w:t>
            </w:r>
            <w:r>
              <w:rPr>
                <w:rFonts w:hint="eastAsia"/>
              </w:rPr>
              <w:t>1</w:t>
            </w:r>
            <w:r>
              <w:rPr>
                <w:rFonts w:hint="eastAsia"/>
              </w:rPr>
              <w:t>次</w:t>
            </w:r>
          </w:p>
        </w:tc>
      </w:tr>
      <w:tr w:rsidR="00EE56C0">
        <w:trPr>
          <w:trHeight w:val="425"/>
          <w:jc w:val="center"/>
        </w:trPr>
        <w:tc>
          <w:tcPr>
            <w:tcW w:w="912" w:type="pct"/>
            <w:vAlign w:val="center"/>
          </w:tcPr>
          <w:p w:rsidR="00EE56C0" w:rsidRDefault="000F36A1">
            <w:pPr>
              <w:pStyle w:val="afa"/>
            </w:pPr>
            <w:r>
              <w:rPr>
                <w:rFonts w:hint="eastAsia"/>
              </w:rPr>
              <w:t>6</w:t>
            </w:r>
          </w:p>
        </w:tc>
        <w:tc>
          <w:tcPr>
            <w:tcW w:w="1063" w:type="pct"/>
            <w:vAlign w:val="center"/>
          </w:tcPr>
          <w:p w:rsidR="00EE56C0" w:rsidRDefault="000F36A1">
            <w:pPr>
              <w:pStyle w:val="afa"/>
            </w:pPr>
            <w:r>
              <w:t>监测因子</w:t>
            </w:r>
          </w:p>
        </w:tc>
        <w:tc>
          <w:tcPr>
            <w:tcW w:w="3025" w:type="pct"/>
            <w:vAlign w:val="center"/>
          </w:tcPr>
          <w:p w:rsidR="00EE56C0" w:rsidRDefault="000F36A1">
            <w:pPr>
              <w:pStyle w:val="afa"/>
            </w:pPr>
            <w:r>
              <w:rPr>
                <w:rFonts w:hint="eastAsia"/>
              </w:rPr>
              <w:t>耗氧量、</w:t>
            </w:r>
            <w:r>
              <w:rPr>
                <w:rFonts w:hint="eastAsia"/>
              </w:rPr>
              <w:t>NH</w:t>
            </w:r>
            <w:r>
              <w:rPr>
                <w:rFonts w:hint="eastAsia"/>
                <w:vertAlign w:val="subscript"/>
              </w:rPr>
              <w:t>3</w:t>
            </w:r>
            <w:r>
              <w:rPr>
                <w:rFonts w:hint="eastAsia"/>
              </w:rPr>
              <w:t>-N</w:t>
            </w:r>
          </w:p>
        </w:tc>
      </w:tr>
    </w:tbl>
    <w:p w:rsidR="00EE56C0" w:rsidRDefault="000F36A1">
      <w:pPr>
        <w:pStyle w:val="2"/>
        <w:ind w:firstLine="301"/>
      </w:pPr>
      <w:bookmarkStart w:id="352" w:name="_Toc25400918"/>
      <w:r>
        <w:rPr>
          <w:rFonts w:hint="eastAsia"/>
        </w:rPr>
        <w:t>5.4</w:t>
      </w:r>
      <w:r>
        <w:rPr>
          <w:rFonts w:hint="eastAsia"/>
        </w:rPr>
        <w:t>声环境影响分析</w:t>
      </w:r>
      <w:bookmarkEnd w:id="338"/>
      <w:bookmarkEnd w:id="339"/>
      <w:bookmarkEnd w:id="340"/>
      <w:bookmarkEnd w:id="341"/>
      <w:bookmarkEnd w:id="342"/>
      <w:bookmarkEnd w:id="352"/>
    </w:p>
    <w:p w:rsidR="00EE56C0" w:rsidRDefault="000F36A1">
      <w:pPr>
        <w:pStyle w:val="4"/>
        <w:ind w:left="120" w:firstLine="241"/>
      </w:pPr>
      <w:bookmarkStart w:id="353" w:name="_Toc324839624"/>
      <w:bookmarkStart w:id="354" w:name="_Toc324839327"/>
      <w:bookmarkStart w:id="355" w:name="_Toc311812651"/>
      <w:r>
        <w:rPr>
          <w:rFonts w:hint="eastAsia"/>
        </w:rPr>
        <w:t>5.4.1.1</w:t>
      </w:r>
      <w:r>
        <w:t>预测</w:t>
      </w:r>
      <w:r>
        <w:rPr>
          <w:rFonts w:hint="eastAsia"/>
        </w:rPr>
        <w:t>等级</w:t>
      </w:r>
      <w:r>
        <w:t>及预测</w:t>
      </w:r>
      <w:r>
        <w:rPr>
          <w:rFonts w:hint="eastAsia"/>
        </w:rPr>
        <w:t>范围</w:t>
      </w:r>
    </w:p>
    <w:p w:rsidR="00EE56C0" w:rsidRDefault="000F36A1">
      <w:pPr>
        <w:ind w:firstLine="480"/>
      </w:pPr>
      <w:r>
        <w:t>根据《环境影响评价技术导则（声环境）》（</w:t>
      </w:r>
      <w:r>
        <w:t>HJ2.4-2009</w:t>
      </w:r>
      <w:r>
        <w:t>）中有关声环境影响评价工作等级划分原则，本次声环境评价工作等级为</w:t>
      </w:r>
      <w:r>
        <w:rPr>
          <w:rFonts w:hint="eastAsia"/>
        </w:rPr>
        <w:t>三</w:t>
      </w:r>
      <w:r>
        <w:t>级。</w:t>
      </w:r>
    </w:p>
    <w:p w:rsidR="00EE56C0" w:rsidRDefault="000F36A1">
      <w:pPr>
        <w:pStyle w:val="afd"/>
        <w:spacing w:before="120" w:after="120"/>
        <w:ind w:firstLine="482"/>
      </w:pPr>
      <w:r>
        <w:t>表</w:t>
      </w:r>
      <w:r>
        <w:rPr>
          <w:rFonts w:hint="eastAsia"/>
        </w:rPr>
        <w:t>5</w:t>
      </w:r>
      <w:r w:rsidR="005767FB">
        <w:rPr>
          <w:rFonts w:hint="eastAsia"/>
        </w:rPr>
        <w:t>-48</w:t>
      </w:r>
      <w:r>
        <w:rPr>
          <w:rFonts w:hint="eastAsia"/>
        </w:rPr>
        <w:t xml:space="preserve">        </w:t>
      </w:r>
      <w:r>
        <w:t>声环境评价等级</w:t>
      </w:r>
      <w:r>
        <w:rPr>
          <w:rFonts w:hint="eastAsia"/>
        </w:rPr>
        <w:t>确定</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4508"/>
        <w:gridCol w:w="4021"/>
      </w:tblGrid>
      <w:tr w:rsidR="00EE56C0">
        <w:trPr>
          <w:trHeight w:val="425"/>
          <w:jc w:val="center"/>
        </w:trPr>
        <w:tc>
          <w:tcPr>
            <w:tcW w:w="2643" w:type="pct"/>
            <w:vAlign w:val="center"/>
          </w:tcPr>
          <w:p w:rsidR="00EE56C0" w:rsidRDefault="000F36A1">
            <w:pPr>
              <w:pStyle w:val="aff1"/>
              <w:rPr>
                <w:color w:val="auto"/>
              </w:rPr>
            </w:pPr>
            <w:r>
              <w:rPr>
                <w:color w:val="auto"/>
              </w:rPr>
              <w:t>项</w:t>
            </w:r>
            <w:r>
              <w:rPr>
                <w:color w:val="auto"/>
              </w:rPr>
              <w:t xml:space="preserve">    </w:t>
            </w:r>
            <w:r>
              <w:rPr>
                <w:color w:val="auto"/>
              </w:rPr>
              <w:t>目</w:t>
            </w:r>
          </w:p>
        </w:tc>
        <w:tc>
          <w:tcPr>
            <w:tcW w:w="2568" w:type="pct"/>
            <w:vAlign w:val="center"/>
          </w:tcPr>
          <w:p w:rsidR="00EE56C0" w:rsidRDefault="000F36A1">
            <w:pPr>
              <w:pStyle w:val="aff1"/>
              <w:rPr>
                <w:color w:val="auto"/>
              </w:rPr>
            </w:pPr>
            <w:r>
              <w:rPr>
                <w:color w:val="auto"/>
              </w:rPr>
              <w:t>指</w:t>
            </w:r>
            <w:r>
              <w:rPr>
                <w:color w:val="auto"/>
              </w:rPr>
              <w:t xml:space="preserve">   </w:t>
            </w:r>
            <w:r>
              <w:rPr>
                <w:color w:val="auto"/>
              </w:rPr>
              <w:t>标</w:t>
            </w:r>
          </w:p>
        </w:tc>
      </w:tr>
      <w:tr w:rsidR="00EE56C0">
        <w:trPr>
          <w:trHeight w:val="425"/>
          <w:jc w:val="center"/>
        </w:trPr>
        <w:tc>
          <w:tcPr>
            <w:tcW w:w="2643" w:type="pct"/>
            <w:vAlign w:val="center"/>
          </w:tcPr>
          <w:p w:rsidR="00EE56C0" w:rsidRDefault="000F36A1">
            <w:pPr>
              <w:pStyle w:val="afa"/>
            </w:pPr>
            <w:r>
              <w:t>建设项目所在区功能</w:t>
            </w:r>
          </w:p>
        </w:tc>
        <w:tc>
          <w:tcPr>
            <w:tcW w:w="2568" w:type="pct"/>
            <w:vAlign w:val="center"/>
          </w:tcPr>
          <w:p w:rsidR="00EE56C0" w:rsidRDefault="000F36A1">
            <w:pPr>
              <w:pStyle w:val="afa"/>
            </w:pPr>
            <w:r>
              <w:rPr>
                <w:rFonts w:hint="eastAsia"/>
              </w:rPr>
              <w:t>3</w:t>
            </w:r>
            <w:r>
              <w:rPr>
                <w:rFonts w:hint="eastAsia"/>
              </w:rPr>
              <w:t>类</w:t>
            </w:r>
          </w:p>
        </w:tc>
      </w:tr>
      <w:tr w:rsidR="00EE56C0">
        <w:trPr>
          <w:trHeight w:val="425"/>
          <w:jc w:val="center"/>
        </w:trPr>
        <w:tc>
          <w:tcPr>
            <w:tcW w:w="2643" w:type="pct"/>
            <w:vAlign w:val="center"/>
          </w:tcPr>
          <w:p w:rsidR="00EE56C0" w:rsidRDefault="000F36A1">
            <w:pPr>
              <w:pStyle w:val="afa"/>
            </w:pPr>
            <w:r>
              <w:t>建设前后噪声级增加量</w:t>
            </w:r>
          </w:p>
        </w:tc>
        <w:tc>
          <w:tcPr>
            <w:tcW w:w="2568" w:type="pct"/>
            <w:vAlign w:val="center"/>
          </w:tcPr>
          <w:p w:rsidR="00EE56C0" w:rsidRDefault="000F36A1">
            <w:pPr>
              <w:pStyle w:val="afa"/>
            </w:pPr>
            <w:r>
              <w:t>预计</w:t>
            </w:r>
            <w:r>
              <w:rPr>
                <w:rFonts w:hint="eastAsia"/>
              </w:rPr>
              <w:t>最大增加小于</w:t>
            </w:r>
            <w:r>
              <w:t>3dB</w:t>
            </w:r>
            <w:r>
              <w:t>（</w:t>
            </w:r>
            <w:r>
              <w:t>A</w:t>
            </w:r>
            <w:r>
              <w:t>）</w:t>
            </w:r>
          </w:p>
        </w:tc>
      </w:tr>
      <w:tr w:rsidR="00EE56C0">
        <w:trPr>
          <w:trHeight w:val="425"/>
          <w:jc w:val="center"/>
        </w:trPr>
        <w:tc>
          <w:tcPr>
            <w:tcW w:w="2643" w:type="pct"/>
            <w:vAlign w:val="center"/>
          </w:tcPr>
          <w:p w:rsidR="00EE56C0" w:rsidRDefault="000F36A1">
            <w:pPr>
              <w:pStyle w:val="afa"/>
            </w:pPr>
            <w:r>
              <w:t>建设前后受影响人口变化情况</w:t>
            </w:r>
          </w:p>
        </w:tc>
        <w:tc>
          <w:tcPr>
            <w:tcW w:w="2568" w:type="pct"/>
            <w:vAlign w:val="center"/>
          </w:tcPr>
          <w:p w:rsidR="00EE56C0" w:rsidRDefault="000F36A1">
            <w:pPr>
              <w:pStyle w:val="afa"/>
            </w:pPr>
            <w:r>
              <w:t>变化不大</w:t>
            </w:r>
          </w:p>
        </w:tc>
      </w:tr>
      <w:tr w:rsidR="00EE56C0">
        <w:trPr>
          <w:trHeight w:val="425"/>
          <w:jc w:val="center"/>
        </w:trPr>
        <w:tc>
          <w:tcPr>
            <w:tcW w:w="2643" w:type="pct"/>
            <w:vAlign w:val="center"/>
          </w:tcPr>
          <w:p w:rsidR="00EE56C0" w:rsidRDefault="000F36A1">
            <w:pPr>
              <w:pStyle w:val="afa"/>
            </w:pPr>
            <w:r>
              <w:t>评价等级</w:t>
            </w:r>
          </w:p>
        </w:tc>
        <w:tc>
          <w:tcPr>
            <w:tcW w:w="2568" w:type="pct"/>
            <w:vAlign w:val="center"/>
          </w:tcPr>
          <w:p w:rsidR="00EE56C0" w:rsidRDefault="000F36A1">
            <w:pPr>
              <w:pStyle w:val="afa"/>
            </w:pPr>
            <w:r>
              <w:rPr>
                <w:rFonts w:hint="eastAsia"/>
              </w:rPr>
              <w:t>三级</w:t>
            </w:r>
          </w:p>
        </w:tc>
      </w:tr>
    </w:tbl>
    <w:p w:rsidR="00EE56C0" w:rsidRDefault="000F36A1">
      <w:pPr>
        <w:ind w:firstLine="480"/>
      </w:pPr>
      <w:r>
        <w:t>按照《环境影响评价技术导则声环境》（</w:t>
      </w:r>
      <w:r>
        <w:t>HJ2.4-2009</w:t>
      </w:r>
      <w:r>
        <w:t>）要求，确定声环境预测范围为项目边界外</w:t>
      </w:r>
      <w:r>
        <w:t>200</w:t>
      </w:r>
      <w:r>
        <w:t>米。根据声源的特征及所在位置，应用</w:t>
      </w:r>
      <w:r>
        <w:t>NoiseSystem</w:t>
      </w:r>
      <w:r>
        <w:t>模式计算各噪声源对预测点产生的影响值。</w:t>
      </w:r>
    </w:p>
    <w:p w:rsidR="00EE56C0" w:rsidRDefault="000F36A1">
      <w:pPr>
        <w:pStyle w:val="4"/>
        <w:ind w:left="120" w:firstLine="241"/>
      </w:pPr>
      <w:r>
        <w:rPr>
          <w:rFonts w:hint="eastAsia"/>
        </w:rPr>
        <w:lastRenderedPageBreak/>
        <w:t>5.4.1.2</w:t>
      </w:r>
      <w:r>
        <w:t>预测模式</w:t>
      </w:r>
    </w:p>
    <w:p w:rsidR="00EE56C0" w:rsidRDefault="000F36A1">
      <w:pPr>
        <w:ind w:firstLine="480"/>
      </w:pPr>
      <w:r>
        <w:t>预测模式采用《环境影响评价技术导则（声环境）》（</w:t>
      </w:r>
      <w:r>
        <w:t>HJ2.4-2009</w:t>
      </w:r>
      <w:r>
        <w:t>）中推荐的工业噪声预测计算模式。</w:t>
      </w:r>
    </w:p>
    <w:p w:rsidR="00EE56C0" w:rsidRDefault="000F36A1">
      <w:pPr>
        <w:pStyle w:val="4"/>
        <w:ind w:left="120" w:firstLine="241"/>
      </w:pPr>
      <w:r>
        <w:rPr>
          <w:rFonts w:hint="eastAsia"/>
        </w:rPr>
        <w:t>5.4.1.3</w:t>
      </w:r>
      <w:r>
        <w:t>评价标准</w:t>
      </w:r>
    </w:p>
    <w:p w:rsidR="00EE56C0" w:rsidRDefault="000F36A1">
      <w:pPr>
        <w:ind w:firstLine="480"/>
      </w:pPr>
      <w:r>
        <w:t>根据</w:t>
      </w:r>
      <w:r>
        <w:rPr>
          <w:rFonts w:hint="eastAsia"/>
        </w:rPr>
        <w:t>新乡县环境保护局关于该项目执行标准的意见，</w:t>
      </w:r>
      <w:r>
        <w:t>厂址区域声环境质量标准执行《声环境质量标准》（</w:t>
      </w:r>
      <w:r>
        <w:t>GB3096-2008</w:t>
      </w:r>
      <w:r>
        <w:t>）</w:t>
      </w:r>
      <w:r>
        <w:rPr>
          <w:rFonts w:hint="eastAsia"/>
        </w:rPr>
        <w:t>3</w:t>
      </w:r>
      <w:r>
        <w:t>类标准，昼间</w:t>
      </w:r>
      <w:r>
        <w:t>6</w:t>
      </w:r>
      <w:r>
        <w:rPr>
          <w:rFonts w:hint="eastAsia"/>
        </w:rPr>
        <w:t>5</w:t>
      </w:r>
      <w:r>
        <w:t>dB(A)</w:t>
      </w:r>
      <w:r>
        <w:t>，夜间</w:t>
      </w:r>
      <w:r>
        <w:t>5</w:t>
      </w:r>
      <w:r>
        <w:rPr>
          <w:rFonts w:hint="eastAsia"/>
        </w:rPr>
        <w:t>5</w:t>
      </w:r>
      <w:r>
        <w:t>dB(A)</w:t>
      </w:r>
      <w:r>
        <w:rPr>
          <w:rFonts w:hint="eastAsia"/>
        </w:rPr>
        <w:t>。</w:t>
      </w:r>
    </w:p>
    <w:p w:rsidR="00EE56C0" w:rsidRDefault="000F36A1">
      <w:pPr>
        <w:pStyle w:val="4"/>
        <w:ind w:left="120" w:firstLine="241"/>
      </w:pPr>
      <w:r>
        <w:rPr>
          <w:rFonts w:hint="eastAsia"/>
        </w:rPr>
        <w:t>5.4.1.4</w:t>
      </w:r>
      <w:r>
        <w:t>噪声源分布及源强</w:t>
      </w:r>
    </w:p>
    <w:p w:rsidR="00EE56C0" w:rsidRDefault="000F36A1">
      <w:pPr>
        <w:ind w:firstLine="480"/>
      </w:pPr>
      <w:r>
        <w:t>工程各主要噪声源分布及源强情况见表</w:t>
      </w:r>
      <w:r>
        <w:rPr>
          <w:rFonts w:hint="eastAsia"/>
        </w:rPr>
        <w:t>5</w:t>
      </w:r>
      <w:r>
        <w:t>-</w:t>
      </w:r>
      <w:r>
        <w:rPr>
          <w:rFonts w:hint="eastAsia"/>
        </w:rPr>
        <w:t>4</w:t>
      </w:r>
      <w:r w:rsidR="005767FB">
        <w:rPr>
          <w:rFonts w:hint="eastAsia"/>
        </w:rPr>
        <w:t>9</w:t>
      </w:r>
      <w:r>
        <w:rPr>
          <w:rFonts w:hint="eastAsia"/>
        </w:rPr>
        <w:t>。</w:t>
      </w:r>
    </w:p>
    <w:p w:rsidR="00EE56C0" w:rsidRDefault="000F36A1">
      <w:pPr>
        <w:pStyle w:val="afd"/>
        <w:spacing w:before="120" w:after="120"/>
        <w:ind w:firstLine="482"/>
      </w:pPr>
      <w:r>
        <w:t>表</w:t>
      </w:r>
      <w:r>
        <w:rPr>
          <w:rFonts w:hint="eastAsia"/>
        </w:rPr>
        <w:t>5-</w:t>
      </w:r>
      <w:r w:rsidR="005767FB">
        <w:rPr>
          <w:rFonts w:hint="eastAsia"/>
        </w:rPr>
        <w:t>49</w:t>
      </w:r>
      <w:r>
        <w:rPr>
          <w:rFonts w:hint="eastAsia"/>
        </w:rPr>
        <w:t xml:space="preserve">            </w:t>
      </w:r>
      <w:r>
        <w:rPr>
          <w:rFonts w:hint="eastAsia"/>
        </w:rPr>
        <w:t>一期</w:t>
      </w:r>
      <w:r>
        <w:t>主要噪声源及排放情况</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550"/>
        <w:gridCol w:w="977"/>
        <w:gridCol w:w="849"/>
        <w:gridCol w:w="993"/>
        <w:gridCol w:w="1134"/>
        <w:gridCol w:w="1276"/>
        <w:gridCol w:w="1276"/>
        <w:gridCol w:w="1474"/>
      </w:tblGrid>
      <w:tr w:rsidR="00EE56C0">
        <w:trPr>
          <w:trHeight w:val="425"/>
          <w:jc w:val="center"/>
        </w:trPr>
        <w:tc>
          <w:tcPr>
            <w:tcW w:w="322" w:type="pct"/>
            <w:vAlign w:val="center"/>
          </w:tcPr>
          <w:p w:rsidR="00EE56C0" w:rsidRDefault="000F36A1">
            <w:pPr>
              <w:pStyle w:val="aff1"/>
              <w:rPr>
                <w:color w:val="auto"/>
              </w:rPr>
            </w:pPr>
            <w:r>
              <w:rPr>
                <w:color w:val="auto"/>
              </w:rPr>
              <w:t>序号</w:t>
            </w:r>
          </w:p>
        </w:tc>
        <w:tc>
          <w:tcPr>
            <w:tcW w:w="573" w:type="pct"/>
            <w:vAlign w:val="center"/>
          </w:tcPr>
          <w:p w:rsidR="00EE56C0" w:rsidRDefault="000F36A1">
            <w:pPr>
              <w:pStyle w:val="aff1"/>
              <w:rPr>
                <w:color w:val="auto"/>
              </w:rPr>
            </w:pPr>
            <w:r>
              <w:rPr>
                <w:color w:val="auto"/>
              </w:rPr>
              <w:t>设备</w:t>
            </w:r>
          </w:p>
          <w:p w:rsidR="00EE56C0" w:rsidRDefault="000F36A1">
            <w:pPr>
              <w:pStyle w:val="aff1"/>
              <w:rPr>
                <w:color w:val="auto"/>
              </w:rPr>
            </w:pPr>
            <w:r>
              <w:rPr>
                <w:color w:val="auto"/>
              </w:rPr>
              <w:t>名称</w:t>
            </w:r>
          </w:p>
        </w:tc>
        <w:tc>
          <w:tcPr>
            <w:tcW w:w="498" w:type="pct"/>
            <w:vAlign w:val="center"/>
          </w:tcPr>
          <w:p w:rsidR="00EE56C0" w:rsidRDefault="000F36A1">
            <w:pPr>
              <w:pStyle w:val="aff1"/>
              <w:rPr>
                <w:color w:val="auto"/>
              </w:rPr>
            </w:pPr>
            <w:r>
              <w:rPr>
                <w:color w:val="auto"/>
              </w:rPr>
              <w:t>数量</w:t>
            </w:r>
          </w:p>
          <w:p w:rsidR="00EE56C0" w:rsidRDefault="000F36A1">
            <w:pPr>
              <w:pStyle w:val="aff1"/>
              <w:rPr>
                <w:color w:val="auto"/>
              </w:rPr>
            </w:pPr>
            <w:r>
              <w:rPr>
                <w:color w:val="auto"/>
              </w:rPr>
              <w:t>（台）</w:t>
            </w:r>
          </w:p>
        </w:tc>
        <w:tc>
          <w:tcPr>
            <w:tcW w:w="582" w:type="pct"/>
            <w:vAlign w:val="center"/>
          </w:tcPr>
          <w:p w:rsidR="00EE56C0" w:rsidRDefault="000F36A1">
            <w:pPr>
              <w:pStyle w:val="aff1"/>
              <w:rPr>
                <w:color w:val="auto"/>
              </w:rPr>
            </w:pPr>
            <w:r>
              <w:rPr>
                <w:color w:val="auto"/>
              </w:rPr>
              <w:t>位置</w:t>
            </w:r>
          </w:p>
        </w:tc>
        <w:tc>
          <w:tcPr>
            <w:tcW w:w="665" w:type="pct"/>
            <w:vAlign w:val="center"/>
          </w:tcPr>
          <w:p w:rsidR="00EE56C0" w:rsidRDefault="000F36A1">
            <w:pPr>
              <w:pStyle w:val="aff1"/>
              <w:rPr>
                <w:color w:val="auto"/>
              </w:rPr>
            </w:pPr>
            <w:r>
              <w:rPr>
                <w:color w:val="auto"/>
              </w:rPr>
              <w:t>噪声</w:t>
            </w:r>
            <w:r>
              <w:rPr>
                <w:rFonts w:hint="eastAsia"/>
                <w:color w:val="auto"/>
              </w:rPr>
              <w:t>源强</w:t>
            </w:r>
            <w:r>
              <w:rPr>
                <w:color w:val="auto"/>
              </w:rPr>
              <w:t>[dB(A)]</w:t>
            </w:r>
          </w:p>
        </w:tc>
        <w:tc>
          <w:tcPr>
            <w:tcW w:w="748" w:type="pct"/>
            <w:vAlign w:val="center"/>
          </w:tcPr>
          <w:p w:rsidR="00EE56C0" w:rsidRDefault="000F36A1">
            <w:pPr>
              <w:pStyle w:val="aff1"/>
              <w:rPr>
                <w:color w:val="auto"/>
              </w:rPr>
            </w:pPr>
            <w:r>
              <w:rPr>
                <w:rFonts w:hint="eastAsia"/>
                <w:color w:val="auto"/>
              </w:rPr>
              <w:t>噪声叠加值</w:t>
            </w:r>
            <w:r>
              <w:rPr>
                <w:color w:val="auto"/>
              </w:rPr>
              <w:t>[dB(A)]</w:t>
            </w:r>
          </w:p>
        </w:tc>
        <w:tc>
          <w:tcPr>
            <w:tcW w:w="748" w:type="pct"/>
            <w:vAlign w:val="center"/>
          </w:tcPr>
          <w:p w:rsidR="00EE56C0" w:rsidRDefault="000F36A1">
            <w:pPr>
              <w:pStyle w:val="aff1"/>
              <w:rPr>
                <w:color w:val="auto"/>
              </w:rPr>
            </w:pPr>
            <w:r>
              <w:rPr>
                <w:color w:val="auto"/>
              </w:rPr>
              <w:t>降噪措施</w:t>
            </w:r>
          </w:p>
        </w:tc>
        <w:tc>
          <w:tcPr>
            <w:tcW w:w="864" w:type="pct"/>
            <w:vAlign w:val="center"/>
          </w:tcPr>
          <w:p w:rsidR="00EE56C0" w:rsidRDefault="000F36A1">
            <w:pPr>
              <w:pStyle w:val="aff1"/>
              <w:rPr>
                <w:color w:val="auto"/>
              </w:rPr>
            </w:pPr>
            <w:r>
              <w:rPr>
                <w:color w:val="auto"/>
              </w:rPr>
              <w:t>治理后噪声值</w:t>
            </w:r>
            <w:r>
              <w:rPr>
                <w:color w:val="auto"/>
              </w:rPr>
              <w:t>[dB(A)]</w:t>
            </w:r>
          </w:p>
        </w:tc>
      </w:tr>
      <w:tr w:rsidR="00EE56C0">
        <w:trPr>
          <w:trHeight w:val="425"/>
          <w:jc w:val="center"/>
        </w:trPr>
        <w:tc>
          <w:tcPr>
            <w:tcW w:w="322" w:type="pct"/>
            <w:vAlign w:val="center"/>
          </w:tcPr>
          <w:p w:rsidR="00EE56C0" w:rsidRDefault="000F36A1">
            <w:pPr>
              <w:pStyle w:val="afa"/>
            </w:pPr>
            <w:r>
              <w:rPr>
                <w:rFonts w:hint="eastAsia"/>
              </w:rPr>
              <w:t>1</w:t>
            </w:r>
          </w:p>
        </w:tc>
        <w:tc>
          <w:tcPr>
            <w:tcW w:w="573" w:type="pct"/>
            <w:vAlign w:val="center"/>
          </w:tcPr>
          <w:p w:rsidR="00EE56C0" w:rsidRDefault="000F36A1">
            <w:pPr>
              <w:pStyle w:val="afa"/>
              <w:rPr>
                <w:rFonts w:ascii="Calibri" w:hAnsi="Calibri"/>
              </w:rPr>
            </w:pPr>
            <w:r>
              <w:rPr>
                <w:rFonts w:hint="eastAsia"/>
              </w:rPr>
              <w:t>拉拔机</w:t>
            </w:r>
          </w:p>
        </w:tc>
        <w:tc>
          <w:tcPr>
            <w:tcW w:w="498" w:type="pct"/>
            <w:vAlign w:val="center"/>
          </w:tcPr>
          <w:p w:rsidR="00EE56C0" w:rsidRDefault="000F36A1">
            <w:pPr>
              <w:pStyle w:val="afa"/>
            </w:pPr>
            <w:r>
              <w:rPr>
                <w:rFonts w:hint="eastAsia"/>
              </w:rPr>
              <w:t>2</w:t>
            </w:r>
          </w:p>
        </w:tc>
        <w:tc>
          <w:tcPr>
            <w:tcW w:w="582" w:type="pct"/>
            <w:vAlign w:val="center"/>
          </w:tcPr>
          <w:p w:rsidR="00EE56C0" w:rsidRDefault="000F36A1">
            <w:pPr>
              <w:pStyle w:val="afa"/>
            </w:pPr>
            <w:r>
              <w:rPr>
                <w:rFonts w:hint="eastAsia"/>
              </w:rPr>
              <w:t>车间内</w:t>
            </w:r>
          </w:p>
        </w:tc>
        <w:tc>
          <w:tcPr>
            <w:tcW w:w="665" w:type="pct"/>
            <w:vAlign w:val="center"/>
          </w:tcPr>
          <w:p w:rsidR="00EE56C0" w:rsidRDefault="000F36A1">
            <w:pPr>
              <w:pStyle w:val="afa"/>
            </w:pPr>
            <w:r>
              <w:rPr>
                <w:rFonts w:hint="eastAsia"/>
              </w:rPr>
              <w:t>75</w:t>
            </w:r>
          </w:p>
        </w:tc>
        <w:tc>
          <w:tcPr>
            <w:tcW w:w="748" w:type="pct"/>
            <w:vAlign w:val="center"/>
          </w:tcPr>
          <w:p w:rsidR="00EE56C0" w:rsidRDefault="000F36A1">
            <w:pPr>
              <w:pStyle w:val="afa"/>
            </w:pPr>
            <w:r>
              <w:rPr>
                <w:rFonts w:hint="eastAsia"/>
              </w:rPr>
              <w:t>78</w:t>
            </w:r>
          </w:p>
        </w:tc>
        <w:tc>
          <w:tcPr>
            <w:tcW w:w="748" w:type="pct"/>
            <w:vAlign w:val="center"/>
          </w:tcPr>
          <w:p w:rsidR="00EE56C0" w:rsidRDefault="000F36A1">
            <w:pPr>
              <w:pStyle w:val="afa"/>
            </w:pPr>
            <w:r>
              <w:t>减振</w:t>
            </w:r>
            <w:r>
              <w:rPr>
                <w:rFonts w:hint="eastAsia"/>
              </w:rPr>
              <w:t>、厂房</w:t>
            </w:r>
            <w:r>
              <w:t>隔声</w:t>
            </w:r>
          </w:p>
        </w:tc>
        <w:tc>
          <w:tcPr>
            <w:tcW w:w="864" w:type="pct"/>
            <w:vAlign w:val="center"/>
          </w:tcPr>
          <w:p w:rsidR="00EE56C0" w:rsidRDefault="000F36A1">
            <w:pPr>
              <w:pStyle w:val="afa"/>
            </w:pPr>
            <w:r>
              <w:t>53</w:t>
            </w:r>
          </w:p>
        </w:tc>
      </w:tr>
      <w:tr w:rsidR="00EE56C0">
        <w:trPr>
          <w:trHeight w:val="688"/>
          <w:jc w:val="center"/>
        </w:trPr>
        <w:tc>
          <w:tcPr>
            <w:tcW w:w="322" w:type="pct"/>
            <w:vAlign w:val="center"/>
          </w:tcPr>
          <w:p w:rsidR="00EE56C0" w:rsidRDefault="000F36A1">
            <w:pPr>
              <w:pStyle w:val="afa"/>
            </w:pPr>
            <w:r>
              <w:rPr>
                <w:rFonts w:hint="eastAsia"/>
              </w:rPr>
              <w:t>2</w:t>
            </w:r>
          </w:p>
        </w:tc>
        <w:tc>
          <w:tcPr>
            <w:tcW w:w="573" w:type="pct"/>
            <w:vAlign w:val="center"/>
          </w:tcPr>
          <w:p w:rsidR="00EE56C0" w:rsidRDefault="000F36A1">
            <w:pPr>
              <w:pStyle w:val="afa"/>
              <w:rPr>
                <w:rFonts w:ascii="Calibri" w:hAnsi="Calibri"/>
              </w:rPr>
            </w:pPr>
            <w:r>
              <w:rPr>
                <w:rFonts w:hint="eastAsia"/>
              </w:rPr>
              <w:t>全自动拉丝机</w:t>
            </w:r>
          </w:p>
        </w:tc>
        <w:tc>
          <w:tcPr>
            <w:tcW w:w="498" w:type="pct"/>
            <w:vAlign w:val="center"/>
          </w:tcPr>
          <w:p w:rsidR="00EE56C0" w:rsidRDefault="000F36A1">
            <w:pPr>
              <w:pStyle w:val="afa"/>
            </w:pPr>
            <w:r>
              <w:rPr>
                <w:rFonts w:hint="eastAsia"/>
              </w:rPr>
              <w:t>5</w:t>
            </w:r>
          </w:p>
        </w:tc>
        <w:tc>
          <w:tcPr>
            <w:tcW w:w="582" w:type="pct"/>
            <w:vAlign w:val="center"/>
          </w:tcPr>
          <w:p w:rsidR="00EE56C0" w:rsidRDefault="000F36A1">
            <w:pPr>
              <w:pStyle w:val="afa"/>
            </w:pPr>
            <w:r>
              <w:rPr>
                <w:rFonts w:hint="eastAsia"/>
              </w:rPr>
              <w:t>车间内</w:t>
            </w:r>
          </w:p>
        </w:tc>
        <w:tc>
          <w:tcPr>
            <w:tcW w:w="665" w:type="pct"/>
            <w:vAlign w:val="center"/>
          </w:tcPr>
          <w:p w:rsidR="00EE56C0" w:rsidRDefault="000F36A1">
            <w:pPr>
              <w:pStyle w:val="afa"/>
            </w:pPr>
            <w:r>
              <w:rPr>
                <w:rFonts w:hint="eastAsia"/>
              </w:rPr>
              <w:t>75</w:t>
            </w:r>
          </w:p>
        </w:tc>
        <w:tc>
          <w:tcPr>
            <w:tcW w:w="748" w:type="pct"/>
            <w:vAlign w:val="center"/>
          </w:tcPr>
          <w:p w:rsidR="00EE56C0" w:rsidRDefault="000F36A1">
            <w:pPr>
              <w:pStyle w:val="afa"/>
            </w:pPr>
            <w:r>
              <w:rPr>
                <w:rFonts w:hint="eastAsia"/>
              </w:rPr>
              <w:t>82</w:t>
            </w:r>
          </w:p>
        </w:tc>
        <w:tc>
          <w:tcPr>
            <w:tcW w:w="748" w:type="pct"/>
            <w:vAlign w:val="center"/>
          </w:tcPr>
          <w:p w:rsidR="00EE56C0" w:rsidRDefault="000F36A1">
            <w:pPr>
              <w:pStyle w:val="afa"/>
            </w:pPr>
            <w:r>
              <w:t>减振</w:t>
            </w:r>
            <w:r>
              <w:rPr>
                <w:rFonts w:hint="eastAsia"/>
              </w:rPr>
              <w:t>、厂房</w:t>
            </w:r>
            <w:r>
              <w:t>隔声</w:t>
            </w:r>
          </w:p>
        </w:tc>
        <w:tc>
          <w:tcPr>
            <w:tcW w:w="864" w:type="pct"/>
            <w:vAlign w:val="center"/>
          </w:tcPr>
          <w:p w:rsidR="00EE56C0" w:rsidRDefault="000F36A1">
            <w:pPr>
              <w:pStyle w:val="afa"/>
            </w:pPr>
            <w:r>
              <w:t>57</w:t>
            </w:r>
          </w:p>
        </w:tc>
      </w:tr>
      <w:tr w:rsidR="00EE56C0">
        <w:trPr>
          <w:trHeight w:val="425"/>
          <w:jc w:val="center"/>
        </w:trPr>
        <w:tc>
          <w:tcPr>
            <w:tcW w:w="322" w:type="pct"/>
            <w:vAlign w:val="center"/>
          </w:tcPr>
          <w:p w:rsidR="00EE56C0" w:rsidRDefault="000F36A1">
            <w:pPr>
              <w:pStyle w:val="afa"/>
            </w:pPr>
            <w:r>
              <w:rPr>
                <w:rFonts w:hint="eastAsia"/>
              </w:rPr>
              <w:t>3</w:t>
            </w:r>
          </w:p>
        </w:tc>
        <w:tc>
          <w:tcPr>
            <w:tcW w:w="573" w:type="pct"/>
            <w:vAlign w:val="center"/>
          </w:tcPr>
          <w:p w:rsidR="00EE56C0" w:rsidRDefault="000F36A1">
            <w:pPr>
              <w:pStyle w:val="afa"/>
            </w:pPr>
            <w:r>
              <w:rPr>
                <w:rFonts w:hint="eastAsia"/>
              </w:rPr>
              <w:t>漆包机</w:t>
            </w:r>
          </w:p>
        </w:tc>
        <w:tc>
          <w:tcPr>
            <w:tcW w:w="498" w:type="pct"/>
            <w:vAlign w:val="center"/>
          </w:tcPr>
          <w:p w:rsidR="00EE56C0" w:rsidRDefault="000F36A1">
            <w:pPr>
              <w:pStyle w:val="afa"/>
            </w:pPr>
            <w:r>
              <w:rPr>
                <w:rFonts w:hint="eastAsia"/>
              </w:rPr>
              <w:t>1</w:t>
            </w:r>
          </w:p>
        </w:tc>
        <w:tc>
          <w:tcPr>
            <w:tcW w:w="582" w:type="pct"/>
            <w:vAlign w:val="center"/>
          </w:tcPr>
          <w:p w:rsidR="00EE56C0" w:rsidRDefault="000F36A1">
            <w:pPr>
              <w:pStyle w:val="afa"/>
            </w:pPr>
            <w:r>
              <w:rPr>
                <w:rFonts w:hint="eastAsia"/>
              </w:rPr>
              <w:t>车间内</w:t>
            </w:r>
          </w:p>
        </w:tc>
        <w:tc>
          <w:tcPr>
            <w:tcW w:w="665" w:type="pct"/>
            <w:vAlign w:val="center"/>
          </w:tcPr>
          <w:p w:rsidR="00EE56C0" w:rsidRDefault="000F36A1">
            <w:pPr>
              <w:pStyle w:val="afa"/>
            </w:pPr>
            <w:r>
              <w:rPr>
                <w:rFonts w:hint="eastAsia"/>
              </w:rPr>
              <w:t>70</w:t>
            </w:r>
          </w:p>
        </w:tc>
        <w:tc>
          <w:tcPr>
            <w:tcW w:w="748" w:type="pct"/>
            <w:vAlign w:val="center"/>
          </w:tcPr>
          <w:p w:rsidR="00EE56C0" w:rsidRDefault="000F36A1">
            <w:pPr>
              <w:pStyle w:val="afa"/>
            </w:pPr>
            <w:r>
              <w:rPr>
                <w:rFonts w:hint="eastAsia"/>
              </w:rPr>
              <w:t>70</w:t>
            </w:r>
          </w:p>
        </w:tc>
        <w:tc>
          <w:tcPr>
            <w:tcW w:w="748" w:type="pct"/>
            <w:vAlign w:val="center"/>
          </w:tcPr>
          <w:p w:rsidR="00EE56C0" w:rsidRDefault="000F36A1">
            <w:pPr>
              <w:pStyle w:val="afa"/>
            </w:pPr>
            <w:r>
              <w:t>减振</w:t>
            </w:r>
            <w:r>
              <w:rPr>
                <w:rFonts w:hint="eastAsia"/>
              </w:rPr>
              <w:t>、厂房</w:t>
            </w:r>
            <w:r>
              <w:t>隔声</w:t>
            </w:r>
          </w:p>
        </w:tc>
        <w:tc>
          <w:tcPr>
            <w:tcW w:w="864" w:type="pct"/>
            <w:vAlign w:val="center"/>
          </w:tcPr>
          <w:p w:rsidR="00EE56C0" w:rsidRDefault="000F36A1">
            <w:pPr>
              <w:pStyle w:val="afa"/>
            </w:pPr>
            <w:r>
              <w:t>45</w:t>
            </w:r>
          </w:p>
        </w:tc>
      </w:tr>
      <w:tr w:rsidR="00EE56C0">
        <w:trPr>
          <w:trHeight w:val="425"/>
          <w:jc w:val="center"/>
        </w:trPr>
        <w:tc>
          <w:tcPr>
            <w:tcW w:w="322" w:type="pct"/>
            <w:vAlign w:val="center"/>
          </w:tcPr>
          <w:p w:rsidR="00EE56C0" w:rsidRDefault="000F36A1">
            <w:pPr>
              <w:pStyle w:val="afa"/>
            </w:pPr>
            <w:r>
              <w:rPr>
                <w:rFonts w:hint="eastAsia"/>
              </w:rPr>
              <w:t>4</w:t>
            </w:r>
          </w:p>
        </w:tc>
        <w:tc>
          <w:tcPr>
            <w:tcW w:w="573" w:type="pct"/>
            <w:vAlign w:val="center"/>
          </w:tcPr>
          <w:p w:rsidR="00EE56C0" w:rsidRDefault="000F36A1">
            <w:pPr>
              <w:pStyle w:val="afa"/>
            </w:pPr>
            <w:r>
              <w:rPr>
                <w:rFonts w:hint="eastAsia"/>
              </w:rPr>
              <w:t>拉包机</w:t>
            </w:r>
          </w:p>
        </w:tc>
        <w:tc>
          <w:tcPr>
            <w:tcW w:w="498" w:type="pct"/>
            <w:vAlign w:val="center"/>
          </w:tcPr>
          <w:p w:rsidR="00EE56C0" w:rsidRDefault="000F36A1">
            <w:pPr>
              <w:pStyle w:val="afa"/>
            </w:pPr>
            <w:r>
              <w:rPr>
                <w:rFonts w:hint="eastAsia"/>
              </w:rPr>
              <w:t>5</w:t>
            </w:r>
          </w:p>
        </w:tc>
        <w:tc>
          <w:tcPr>
            <w:tcW w:w="582" w:type="pct"/>
            <w:vAlign w:val="center"/>
          </w:tcPr>
          <w:p w:rsidR="00EE56C0" w:rsidRDefault="000F36A1">
            <w:pPr>
              <w:pStyle w:val="afa"/>
            </w:pPr>
            <w:r>
              <w:rPr>
                <w:rFonts w:hint="eastAsia"/>
              </w:rPr>
              <w:t>车间内</w:t>
            </w:r>
          </w:p>
        </w:tc>
        <w:tc>
          <w:tcPr>
            <w:tcW w:w="665" w:type="pct"/>
            <w:vAlign w:val="center"/>
          </w:tcPr>
          <w:p w:rsidR="00EE56C0" w:rsidRDefault="000F36A1">
            <w:pPr>
              <w:pStyle w:val="afa"/>
            </w:pPr>
            <w:r>
              <w:rPr>
                <w:rFonts w:hint="eastAsia"/>
              </w:rPr>
              <w:t>75</w:t>
            </w:r>
          </w:p>
        </w:tc>
        <w:tc>
          <w:tcPr>
            <w:tcW w:w="748" w:type="pct"/>
            <w:vAlign w:val="center"/>
          </w:tcPr>
          <w:p w:rsidR="00EE56C0" w:rsidRDefault="000F36A1">
            <w:pPr>
              <w:pStyle w:val="afa"/>
            </w:pPr>
            <w:r>
              <w:rPr>
                <w:rFonts w:hint="eastAsia"/>
              </w:rPr>
              <w:t>82</w:t>
            </w:r>
          </w:p>
        </w:tc>
        <w:tc>
          <w:tcPr>
            <w:tcW w:w="748" w:type="pct"/>
            <w:vAlign w:val="center"/>
          </w:tcPr>
          <w:p w:rsidR="00EE56C0" w:rsidRDefault="000F36A1">
            <w:pPr>
              <w:pStyle w:val="afa"/>
            </w:pPr>
            <w:r>
              <w:t>减振</w:t>
            </w:r>
            <w:r>
              <w:rPr>
                <w:rFonts w:hint="eastAsia"/>
              </w:rPr>
              <w:t>、厂房</w:t>
            </w:r>
            <w:r>
              <w:t>隔声</w:t>
            </w:r>
          </w:p>
        </w:tc>
        <w:tc>
          <w:tcPr>
            <w:tcW w:w="864" w:type="pct"/>
            <w:vAlign w:val="center"/>
          </w:tcPr>
          <w:p w:rsidR="00EE56C0" w:rsidRDefault="000F36A1">
            <w:pPr>
              <w:pStyle w:val="afa"/>
            </w:pPr>
            <w:r>
              <w:t>57</w:t>
            </w:r>
          </w:p>
        </w:tc>
      </w:tr>
      <w:tr w:rsidR="00EE56C0">
        <w:trPr>
          <w:trHeight w:val="425"/>
          <w:jc w:val="center"/>
        </w:trPr>
        <w:tc>
          <w:tcPr>
            <w:tcW w:w="322" w:type="pct"/>
            <w:vAlign w:val="center"/>
          </w:tcPr>
          <w:p w:rsidR="00EE56C0" w:rsidRDefault="000F36A1">
            <w:pPr>
              <w:pStyle w:val="afa"/>
            </w:pPr>
            <w:r>
              <w:rPr>
                <w:rFonts w:hint="eastAsia"/>
              </w:rPr>
              <w:t>5</w:t>
            </w:r>
          </w:p>
        </w:tc>
        <w:tc>
          <w:tcPr>
            <w:tcW w:w="573" w:type="pct"/>
            <w:vAlign w:val="center"/>
          </w:tcPr>
          <w:p w:rsidR="00EE56C0" w:rsidRDefault="000F36A1">
            <w:pPr>
              <w:pStyle w:val="afa"/>
              <w:rPr>
                <w:rFonts w:ascii="Calibri" w:hAnsi="Calibri"/>
              </w:rPr>
            </w:pPr>
            <w:r>
              <w:rPr>
                <w:rFonts w:hint="eastAsia"/>
              </w:rPr>
              <w:t>挤压机</w:t>
            </w:r>
          </w:p>
        </w:tc>
        <w:tc>
          <w:tcPr>
            <w:tcW w:w="498" w:type="pct"/>
            <w:vAlign w:val="center"/>
          </w:tcPr>
          <w:p w:rsidR="00EE56C0" w:rsidRDefault="000F36A1">
            <w:pPr>
              <w:pStyle w:val="afa"/>
            </w:pPr>
            <w:r>
              <w:rPr>
                <w:rFonts w:hint="eastAsia"/>
              </w:rPr>
              <w:t>9</w:t>
            </w:r>
          </w:p>
        </w:tc>
        <w:tc>
          <w:tcPr>
            <w:tcW w:w="582" w:type="pct"/>
            <w:vAlign w:val="center"/>
          </w:tcPr>
          <w:p w:rsidR="00EE56C0" w:rsidRDefault="000F36A1">
            <w:pPr>
              <w:pStyle w:val="afa"/>
            </w:pPr>
            <w:r>
              <w:rPr>
                <w:rFonts w:hint="eastAsia"/>
              </w:rPr>
              <w:t>车间内</w:t>
            </w:r>
          </w:p>
        </w:tc>
        <w:tc>
          <w:tcPr>
            <w:tcW w:w="665" w:type="pct"/>
            <w:vAlign w:val="center"/>
          </w:tcPr>
          <w:p w:rsidR="00EE56C0" w:rsidRDefault="000F36A1">
            <w:pPr>
              <w:pStyle w:val="afa"/>
            </w:pPr>
            <w:r>
              <w:rPr>
                <w:rFonts w:hint="eastAsia"/>
              </w:rPr>
              <w:t>80</w:t>
            </w:r>
          </w:p>
        </w:tc>
        <w:tc>
          <w:tcPr>
            <w:tcW w:w="748" w:type="pct"/>
            <w:vAlign w:val="center"/>
          </w:tcPr>
          <w:p w:rsidR="00EE56C0" w:rsidRDefault="000F36A1">
            <w:pPr>
              <w:pStyle w:val="afa"/>
            </w:pPr>
            <w:r>
              <w:rPr>
                <w:rFonts w:hint="eastAsia"/>
              </w:rPr>
              <w:t>89.5</w:t>
            </w:r>
          </w:p>
        </w:tc>
        <w:tc>
          <w:tcPr>
            <w:tcW w:w="748" w:type="pct"/>
            <w:vAlign w:val="center"/>
          </w:tcPr>
          <w:p w:rsidR="00EE56C0" w:rsidRDefault="000F36A1">
            <w:pPr>
              <w:pStyle w:val="afa"/>
            </w:pPr>
            <w:r>
              <w:t>减振</w:t>
            </w:r>
            <w:r>
              <w:rPr>
                <w:rFonts w:hint="eastAsia"/>
              </w:rPr>
              <w:t>、厂房</w:t>
            </w:r>
            <w:r>
              <w:t>隔声</w:t>
            </w:r>
          </w:p>
        </w:tc>
        <w:tc>
          <w:tcPr>
            <w:tcW w:w="864" w:type="pct"/>
            <w:vAlign w:val="center"/>
          </w:tcPr>
          <w:p w:rsidR="00EE56C0" w:rsidRDefault="000F36A1">
            <w:pPr>
              <w:pStyle w:val="afa"/>
            </w:pPr>
            <w:r>
              <w:t>64.5</w:t>
            </w:r>
          </w:p>
        </w:tc>
      </w:tr>
      <w:tr w:rsidR="00EE56C0">
        <w:trPr>
          <w:trHeight w:val="425"/>
          <w:jc w:val="center"/>
        </w:trPr>
        <w:tc>
          <w:tcPr>
            <w:tcW w:w="322" w:type="pct"/>
            <w:vAlign w:val="center"/>
          </w:tcPr>
          <w:p w:rsidR="00EE56C0" w:rsidRDefault="000F36A1">
            <w:pPr>
              <w:pStyle w:val="afa"/>
            </w:pPr>
            <w:r>
              <w:rPr>
                <w:rFonts w:hint="eastAsia"/>
              </w:rPr>
              <w:t>6</w:t>
            </w:r>
          </w:p>
        </w:tc>
        <w:tc>
          <w:tcPr>
            <w:tcW w:w="573" w:type="pct"/>
            <w:vAlign w:val="center"/>
          </w:tcPr>
          <w:p w:rsidR="00EE56C0" w:rsidRDefault="000F36A1">
            <w:pPr>
              <w:spacing w:line="240" w:lineRule="auto"/>
              <w:ind w:firstLineChars="0" w:firstLine="0"/>
              <w:jc w:val="center"/>
              <w:rPr>
                <w:sz w:val="21"/>
                <w:szCs w:val="21"/>
              </w:rPr>
            </w:pPr>
            <w:r>
              <w:rPr>
                <w:rFonts w:hint="eastAsia"/>
                <w:sz w:val="21"/>
                <w:szCs w:val="21"/>
              </w:rPr>
              <w:t>丝包机</w:t>
            </w:r>
          </w:p>
        </w:tc>
        <w:tc>
          <w:tcPr>
            <w:tcW w:w="498" w:type="pct"/>
            <w:vAlign w:val="center"/>
          </w:tcPr>
          <w:p w:rsidR="00EE56C0" w:rsidRDefault="000F36A1">
            <w:pPr>
              <w:spacing w:line="240" w:lineRule="auto"/>
              <w:ind w:firstLineChars="0" w:firstLine="0"/>
              <w:jc w:val="center"/>
              <w:rPr>
                <w:sz w:val="21"/>
                <w:szCs w:val="21"/>
              </w:rPr>
            </w:pPr>
            <w:r>
              <w:rPr>
                <w:rFonts w:hint="eastAsia"/>
                <w:sz w:val="21"/>
                <w:szCs w:val="21"/>
              </w:rPr>
              <w:t>4</w:t>
            </w:r>
          </w:p>
        </w:tc>
        <w:tc>
          <w:tcPr>
            <w:tcW w:w="582" w:type="pct"/>
            <w:vAlign w:val="center"/>
          </w:tcPr>
          <w:p w:rsidR="00EE56C0" w:rsidRDefault="000F36A1">
            <w:pPr>
              <w:pStyle w:val="afa"/>
            </w:pPr>
            <w:r>
              <w:rPr>
                <w:rFonts w:hint="eastAsia"/>
              </w:rPr>
              <w:t>车间内</w:t>
            </w:r>
          </w:p>
        </w:tc>
        <w:tc>
          <w:tcPr>
            <w:tcW w:w="665" w:type="pct"/>
            <w:vAlign w:val="center"/>
          </w:tcPr>
          <w:p w:rsidR="00EE56C0" w:rsidRDefault="000F36A1">
            <w:pPr>
              <w:pStyle w:val="afa"/>
            </w:pPr>
            <w:r>
              <w:rPr>
                <w:rFonts w:hint="eastAsia"/>
              </w:rPr>
              <w:t>70</w:t>
            </w:r>
          </w:p>
        </w:tc>
        <w:tc>
          <w:tcPr>
            <w:tcW w:w="748" w:type="pct"/>
            <w:vAlign w:val="center"/>
          </w:tcPr>
          <w:p w:rsidR="00EE56C0" w:rsidRDefault="000F36A1">
            <w:pPr>
              <w:pStyle w:val="afa"/>
            </w:pPr>
            <w:r>
              <w:rPr>
                <w:rFonts w:hint="eastAsia"/>
              </w:rPr>
              <w:t>76</w:t>
            </w:r>
          </w:p>
        </w:tc>
        <w:tc>
          <w:tcPr>
            <w:tcW w:w="748" w:type="pct"/>
            <w:vAlign w:val="center"/>
          </w:tcPr>
          <w:p w:rsidR="00EE56C0" w:rsidRDefault="000F36A1">
            <w:pPr>
              <w:pStyle w:val="afa"/>
            </w:pPr>
            <w:r>
              <w:t>减振</w:t>
            </w:r>
            <w:r>
              <w:rPr>
                <w:rFonts w:hint="eastAsia"/>
              </w:rPr>
              <w:t>、厂房</w:t>
            </w:r>
            <w:r>
              <w:t>隔声</w:t>
            </w:r>
          </w:p>
        </w:tc>
        <w:tc>
          <w:tcPr>
            <w:tcW w:w="864" w:type="pct"/>
            <w:vAlign w:val="center"/>
          </w:tcPr>
          <w:p w:rsidR="00EE56C0" w:rsidRDefault="000F36A1">
            <w:pPr>
              <w:pStyle w:val="afa"/>
            </w:pPr>
            <w:r>
              <w:t>51</w:t>
            </w:r>
          </w:p>
        </w:tc>
      </w:tr>
      <w:tr w:rsidR="00EE56C0">
        <w:trPr>
          <w:trHeight w:val="425"/>
          <w:jc w:val="center"/>
        </w:trPr>
        <w:tc>
          <w:tcPr>
            <w:tcW w:w="322" w:type="pct"/>
            <w:vAlign w:val="center"/>
          </w:tcPr>
          <w:p w:rsidR="00EE56C0" w:rsidRDefault="000F36A1">
            <w:pPr>
              <w:pStyle w:val="afa"/>
            </w:pPr>
            <w:r>
              <w:rPr>
                <w:rFonts w:hint="eastAsia"/>
              </w:rPr>
              <w:t>7</w:t>
            </w:r>
          </w:p>
        </w:tc>
        <w:tc>
          <w:tcPr>
            <w:tcW w:w="573" w:type="pct"/>
            <w:vAlign w:val="center"/>
          </w:tcPr>
          <w:p w:rsidR="00EE56C0" w:rsidRDefault="000F36A1">
            <w:pPr>
              <w:spacing w:line="240" w:lineRule="auto"/>
              <w:ind w:firstLineChars="0" w:firstLine="0"/>
              <w:jc w:val="center"/>
              <w:rPr>
                <w:rFonts w:ascii="Calibri" w:hAnsi="Calibri"/>
                <w:sz w:val="21"/>
                <w:szCs w:val="21"/>
              </w:rPr>
            </w:pPr>
            <w:r>
              <w:rPr>
                <w:rFonts w:hint="eastAsia"/>
                <w:sz w:val="21"/>
                <w:szCs w:val="21"/>
              </w:rPr>
              <w:t>纸包机</w:t>
            </w:r>
          </w:p>
        </w:tc>
        <w:tc>
          <w:tcPr>
            <w:tcW w:w="498" w:type="pct"/>
            <w:vAlign w:val="center"/>
          </w:tcPr>
          <w:p w:rsidR="00EE56C0" w:rsidRDefault="000F36A1">
            <w:pPr>
              <w:spacing w:line="240" w:lineRule="auto"/>
              <w:ind w:firstLineChars="0" w:firstLine="0"/>
              <w:jc w:val="center"/>
              <w:rPr>
                <w:rFonts w:ascii="Calibri" w:hAnsi="Calibri"/>
                <w:sz w:val="21"/>
                <w:szCs w:val="21"/>
              </w:rPr>
            </w:pPr>
            <w:r>
              <w:rPr>
                <w:sz w:val="21"/>
                <w:szCs w:val="21"/>
              </w:rPr>
              <w:t>4</w:t>
            </w:r>
          </w:p>
        </w:tc>
        <w:tc>
          <w:tcPr>
            <w:tcW w:w="582" w:type="pct"/>
            <w:vAlign w:val="center"/>
          </w:tcPr>
          <w:p w:rsidR="00EE56C0" w:rsidRDefault="000F36A1">
            <w:pPr>
              <w:pStyle w:val="afa"/>
            </w:pPr>
            <w:r>
              <w:rPr>
                <w:rFonts w:hint="eastAsia"/>
              </w:rPr>
              <w:t>车间内</w:t>
            </w:r>
          </w:p>
        </w:tc>
        <w:tc>
          <w:tcPr>
            <w:tcW w:w="665" w:type="pct"/>
            <w:vAlign w:val="center"/>
          </w:tcPr>
          <w:p w:rsidR="00EE56C0" w:rsidRDefault="000F36A1">
            <w:pPr>
              <w:pStyle w:val="afa"/>
            </w:pPr>
            <w:r>
              <w:rPr>
                <w:rFonts w:hint="eastAsia"/>
              </w:rPr>
              <w:t>75</w:t>
            </w:r>
          </w:p>
        </w:tc>
        <w:tc>
          <w:tcPr>
            <w:tcW w:w="748" w:type="pct"/>
            <w:vAlign w:val="center"/>
          </w:tcPr>
          <w:p w:rsidR="00EE56C0" w:rsidRDefault="000F36A1">
            <w:pPr>
              <w:pStyle w:val="afa"/>
            </w:pPr>
            <w:r>
              <w:rPr>
                <w:rFonts w:hint="eastAsia"/>
              </w:rPr>
              <w:t>81</w:t>
            </w:r>
          </w:p>
        </w:tc>
        <w:tc>
          <w:tcPr>
            <w:tcW w:w="748" w:type="pct"/>
            <w:vAlign w:val="center"/>
          </w:tcPr>
          <w:p w:rsidR="00EE56C0" w:rsidRDefault="000F36A1">
            <w:pPr>
              <w:pStyle w:val="afa"/>
            </w:pPr>
            <w:r>
              <w:t>减振</w:t>
            </w:r>
            <w:r>
              <w:rPr>
                <w:rFonts w:hint="eastAsia"/>
              </w:rPr>
              <w:t>、厂房</w:t>
            </w:r>
            <w:r>
              <w:t>隔声</w:t>
            </w:r>
          </w:p>
        </w:tc>
        <w:tc>
          <w:tcPr>
            <w:tcW w:w="864" w:type="pct"/>
            <w:vAlign w:val="center"/>
          </w:tcPr>
          <w:p w:rsidR="00EE56C0" w:rsidRDefault="000F36A1">
            <w:pPr>
              <w:pStyle w:val="afa"/>
            </w:pPr>
            <w:r>
              <w:t>56</w:t>
            </w:r>
          </w:p>
        </w:tc>
      </w:tr>
      <w:tr w:rsidR="00EE56C0">
        <w:trPr>
          <w:trHeight w:val="425"/>
          <w:jc w:val="center"/>
        </w:trPr>
        <w:tc>
          <w:tcPr>
            <w:tcW w:w="322" w:type="pct"/>
            <w:vAlign w:val="center"/>
          </w:tcPr>
          <w:p w:rsidR="00EE56C0" w:rsidRDefault="000F36A1">
            <w:pPr>
              <w:pStyle w:val="afa"/>
            </w:pPr>
            <w:r>
              <w:rPr>
                <w:rFonts w:hint="eastAsia"/>
              </w:rPr>
              <w:t>8</w:t>
            </w:r>
          </w:p>
        </w:tc>
        <w:tc>
          <w:tcPr>
            <w:tcW w:w="573" w:type="pct"/>
            <w:vAlign w:val="center"/>
          </w:tcPr>
          <w:p w:rsidR="00EE56C0" w:rsidRDefault="000F36A1">
            <w:pPr>
              <w:spacing w:line="240" w:lineRule="auto"/>
              <w:ind w:firstLineChars="0" w:firstLine="0"/>
              <w:jc w:val="center"/>
              <w:rPr>
                <w:sz w:val="21"/>
                <w:szCs w:val="21"/>
              </w:rPr>
            </w:pPr>
            <w:r>
              <w:rPr>
                <w:rFonts w:hint="eastAsia"/>
                <w:sz w:val="21"/>
                <w:szCs w:val="21"/>
              </w:rPr>
              <w:t>烧结机</w:t>
            </w:r>
          </w:p>
        </w:tc>
        <w:tc>
          <w:tcPr>
            <w:tcW w:w="498" w:type="pct"/>
            <w:vAlign w:val="center"/>
          </w:tcPr>
          <w:p w:rsidR="00EE56C0" w:rsidRDefault="000F36A1">
            <w:pPr>
              <w:spacing w:line="240" w:lineRule="auto"/>
              <w:ind w:firstLineChars="0" w:firstLine="0"/>
              <w:jc w:val="center"/>
              <w:rPr>
                <w:sz w:val="21"/>
                <w:szCs w:val="21"/>
              </w:rPr>
            </w:pPr>
            <w:r>
              <w:rPr>
                <w:rFonts w:hint="eastAsia"/>
                <w:sz w:val="21"/>
                <w:szCs w:val="21"/>
              </w:rPr>
              <w:t>2</w:t>
            </w:r>
          </w:p>
        </w:tc>
        <w:tc>
          <w:tcPr>
            <w:tcW w:w="582" w:type="pct"/>
            <w:vAlign w:val="center"/>
          </w:tcPr>
          <w:p w:rsidR="00EE56C0" w:rsidRDefault="000F36A1">
            <w:pPr>
              <w:pStyle w:val="afa"/>
            </w:pPr>
            <w:r>
              <w:rPr>
                <w:rFonts w:hint="eastAsia"/>
              </w:rPr>
              <w:t>车间内</w:t>
            </w:r>
          </w:p>
        </w:tc>
        <w:tc>
          <w:tcPr>
            <w:tcW w:w="665" w:type="pct"/>
            <w:vAlign w:val="center"/>
          </w:tcPr>
          <w:p w:rsidR="00EE56C0" w:rsidRDefault="000F36A1">
            <w:pPr>
              <w:pStyle w:val="afa"/>
            </w:pPr>
            <w:r>
              <w:rPr>
                <w:rFonts w:hint="eastAsia"/>
              </w:rPr>
              <w:t>70</w:t>
            </w:r>
          </w:p>
        </w:tc>
        <w:tc>
          <w:tcPr>
            <w:tcW w:w="748" w:type="pct"/>
            <w:vAlign w:val="center"/>
          </w:tcPr>
          <w:p w:rsidR="00EE56C0" w:rsidRDefault="000F36A1">
            <w:pPr>
              <w:pStyle w:val="afa"/>
            </w:pPr>
            <w:r>
              <w:rPr>
                <w:rFonts w:hint="eastAsia"/>
              </w:rPr>
              <w:t>73</w:t>
            </w:r>
          </w:p>
        </w:tc>
        <w:tc>
          <w:tcPr>
            <w:tcW w:w="748" w:type="pct"/>
            <w:vAlign w:val="center"/>
          </w:tcPr>
          <w:p w:rsidR="00EE56C0" w:rsidRDefault="000F36A1">
            <w:pPr>
              <w:pStyle w:val="afa"/>
            </w:pPr>
            <w:r>
              <w:t>减振</w:t>
            </w:r>
            <w:r>
              <w:rPr>
                <w:rFonts w:hint="eastAsia"/>
              </w:rPr>
              <w:t>、厂房</w:t>
            </w:r>
            <w:r>
              <w:t>隔声</w:t>
            </w:r>
          </w:p>
        </w:tc>
        <w:tc>
          <w:tcPr>
            <w:tcW w:w="864" w:type="pct"/>
            <w:vAlign w:val="center"/>
          </w:tcPr>
          <w:p w:rsidR="00EE56C0" w:rsidRDefault="000F36A1">
            <w:pPr>
              <w:pStyle w:val="afa"/>
            </w:pPr>
            <w:r>
              <w:t>48</w:t>
            </w:r>
          </w:p>
        </w:tc>
      </w:tr>
      <w:tr w:rsidR="00EE56C0">
        <w:trPr>
          <w:trHeight w:val="425"/>
          <w:jc w:val="center"/>
        </w:trPr>
        <w:tc>
          <w:tcPr>
            <w:tcW w:w="322" w:type="pct"/>
            <w:vAlign w:val="center"/>
          </w:tcPr>
          <w:p w:rsidR="00EE56C0" w:rsidRDefault="000F36A1">
            <w:pPr>
              <w:pStyle w:val="afa"/>
            </w:pPr>
            <w:r>
              <w:rPr>
                <w:rFonts w:hint="eastAsia"/>
              </w:rPr>
              <w:t>9</w:t>
            </w:r>
          </w:p>
        </w:tc>
        <w:tc>
          <w:tcPr>
            <w:tcW w:w="573" w:type="pct"/>
            <w:vAlign w:val="center"/>
          </w:tcPr>
          <w:p w:rsidR="00EE56C0" w:rsidRDefault="000F36A1">
            <w:pPr>
              <w:spacing w:line="240" w:lineRule="auto"/>
              <w:ind w:firstLineChars="0" w:firstLine="0"/>
              <w:jc w:val="center"/>
              <w:rPr>
                <w:sz w:val="21"/>
                <w:szCs w:val="21"/>
              </w:rPr>
            </w:pPr>
            <w:r>
              <w:rPr>
                <w:rFonts w:hint="eastAsia"/>
                <w:sz w:val="21"/>
                <w:szCs w:val="21"/>
              </w:rPr>
              <w:t>膜包机</w:t>
            </w:r>
          </w:p>
        </w:tc>
        <w:tc>
          <w:tcPr>
            <w:tcW w:w="498" w:type="pct"/>
            <w:vAlign w:val="center"/>
          </w:tcPr>
          <w:p w:rsidR="00EE56C0" w:rsidRDefault="000F36A1">
            <w:pPr>
              <w:spacing w:line="240" w:lineRule="auto"/>
              <w:ind w:firstLineChars="0" w:firstLine="0"/>
              <w:jc w:val="center"/>
              <w:rPr>
                <w:sz w:val="21"/>
                <w:szCs w:val="21"/>
              </w:rPr>
            </w:pPr>
            <w:r>
              <w:rPr>
                <w:rFonts w:hint="eastAsia"/>
                <w:sz w:val="21"/>
                <w:szCs w:val="21"/>
              </w:rPr>
              <w:t>1</w:t>
            </w:r>
          </w:p>
        </w:tc>
        <w:tc>
          <w:tcPr>
            <w:tcW w:w="582" w:type="pct"/>
            <w:vAlign w:val="center"/>
          </w:tcPr>
          <w:p w:rsidR="00EE56C0" w:rsidRDefault="000F36A1">
            <w:pPr>
              <w:pStyle w:val="afa"/>
            </w:pPr>
            <w:r>
              <w:rPr>
                <w:rFonts w:hint="eastAsia"/>
              </w:rPr>
              <w:t>车间内</w:t>
            </w:r>
          </w:p>
        </w:tc>
        <w:tc>
          <w:tcPr>
            <w:tcW w:w="665" w:type="pct"/>
            <w:vAlign w:val="center"/>
          </w:tcPr>
          <w:p w:rsidR="00EE56C0" w:rsidRDefault="000F36A1">
            <w:pPr>
              <w:pStyle w:val="afa"/>
            </w:pPr>
            <w:r>
              <w:rPr>
                <w:rFonts w:hint="eastAsia"/>
              </w:rPr>
              <w:t>70</w:t>
            </w:r>
          </w:p>
        </w:tc>
        <w:tc>
          <w:tcPr>
            <w:tcW w:w="748" w:type="pct"/>
            <w:vAlign w:val="center"/>
          </w:tcPr>
          <w:p w:rsidR="00EE56C0" w:rsidRDefault="000F36A1">
            <w:pPr>
              <w:pStyle w:val="afa"/>
            </w:pPr>
            <w:r>
              <w:rPr>
                <w:rFonts w:hint="eastAsia"/>
              </w:rPr>
              <w:t>70</w:t>
            </w:r>
          </w:p>
        </w:tc>
        <w:tc>
          <w:tcPr>
            <w:tcW w:w="748" w:type="pct"/>
            <w:vAlign w:val="center"/>
          </w:tcPr>
          <w:p w:rsidR="00EE56C0" w:rsidRDefault="000F36A1">
            <w:pPr>
              <w:pStyle w:val="afa"/>
            </w:pPr>
            <w:r>
              <w:t>减振</w:t>
            </w:r>
            <w:r>
              <w:rPr>
                <w:rFonts w:hint="eastAsia"/>
              </w:rPr>
              <w:t>、厂房</w:t>
            </w:r>
            <w:r>
              <w:t>隔声</w:t>
            </w:r>
          </w:p>
        </w:tc>
        <w:tc>
          <w:tcPr>
            <w:tcW w:w="864" w:type="pct"/>
            <w:vAlign w:val="center"/>
          </w:tcPr>
          <w:p w:rsidR="00EE56C0" w:rsidRDefault="000F36A1">
            <w:pPr>
              <w:pStyle w:val="afa"/>
            </w:pPr>
            <w:r>
              <w:t>45</w:t>
            </w:r>
          </w:p>
        </w:tc>
      </w:tr>
      <w:tr w:rsidR="00EE56C0">
        <w:trPr>
          <w:trHeight w:val="425"/>
          <w:jc w:val="center"/>
        </w:trPr>
        <w:tc>
          <w:tcPr>
            <w:tcW w:w="322" w:type="pct"/>
            <w:vAlign w:val="center"/>
          </w:tcPr>
          <w:p w:rsidR="00EE56C0" w:rsidRDefault="000F36A1">
            <w:pPr>
              <w:pStyle w:val="afa"/>
            </w:pPr>
            <w:r>
              <w:rPr>
                <w:rFonts w:hint="eastAsia"/>
              </w:rPr>
              <w:t>10</w:t>
            </w:r>
          </w:p>
        </w:tc>
        <w:tc>
          <w:tcPr>
            <w:tcW w:w="573" w:type="pct"/>
            <w:vAlign w:val="center"/>
          </w:tcPr>
          <w:p w:rsidR="00EE56C0" w:rsidRDefault="000F36A1">
            <w:pPr>
              <w:spacing w:line="240" w:lineRule="auto"/>
              <w:ind w:firstLineChars="0" w:firstLine="0"/>
              <w:jc w:val="center"/>
              <w:rPr>
                <w:sz w:val="21"/>
                <w:szCs w:val="21"/>
              </w:rPr>
            </w:pPr>
            <w:r>
              <w:rPr>
                <w:rFonts w:hint="eastAsia"/>
                <w:sz w:val="21"/>
                <w:szCs w:val="21"/>
              </w:rPr>
              <w:t>自动包装机器人</w:t>
            </w:r>
          </w:p>
        </w:tc>
        <w:tc>
          <w:tcPr>
            <w:tcW w:w="498" w:type="pct"/>
            <w:vAlign w:val="center"/>
          </w:tcPr>
          <w:p w:rsidR="00EE56C0" w:rsidRDefault="000F36A1">
            <w:pPr>
              <w:spacing w:line="240" w:lineRule="auto"/>
              <w:ind w:firstLineChars="0" w:firstLine="0"/>
              <w:jc w:val="center"/>
              <w:rPr>
                <w:sz w:val="21"/>
                <w:szCs w:val="21"/>
              </w:rPr>
            </w:pPr>
            <w:r>
              <w:rPr>
                <w:rFonts w:hint="eastAsia"/>
                <w:sz w:val="21"/>
                <w:szCs w:val="21"/>
              </w:rPr>
              <w:t>1</w:t>
            </w:r>
          </w:p>
        </w:tc>
        <w:tc>
          <w:tcPr>
            <w:tcW w:w="582" w:type="pct"/>
            <w:vAlign w:val="center"/>
          </w:tcPr>
          <w:p w:rsidR="00EE56C0" w:rsidRDefault="000F36A1">
            <w:pPr>
              <w:pStyle w:val="afa"/>
            </w:pPr>
            <w:r>
              <w:rPr>
                <w:rFonts w:hint="eastAsia"/>
              </w:rPr>
              <w:t>车间内</w:t>
            </w:r>
          </w:p>
        </w:tc>
        <w:tc>
          <w:tcPr>
            <w:tcW w:w="665" w:type="pct"/>
            <w:vAlign w:val="center"/>
          </w:tcPr>
          <w:p w:rsidR="00EE56C0" w:rsidRDefault="000F36A1">
            <w:pPr>
              <w:pStyle w:val="afa"/>
            </w:pPr>
            <w:r>
              <w:rPr>
                <w:rFonts w:hint="eastAsia"/>
              </w:rPr>
              <w:t>70</w:t>
            </w:r>
          </w:p>
        </w:tc>
        <w:tc>
          <w:tcPr>
            <w:tcW w:w="748" w:type="pct"/>
            <w:vAlign w:val="center"/>
          </w:tcPr>
          <w:p w:rsidR="00EE56C0" w:rsidRDefault="000F36A1">
            <w:pPr>
              <w:pStyle w:val="afa"/>
            </w:pPr>
            <w:r>
              <w:rPr>
                <w:rFonts w:hint="eastAsia"/>
              </w:rPr>
              <w:t>70</w:t>
            </w:r>
          </w:p>
        </w:tc>
        <w:tc>
          <w:tcPr>
            <w:tcW w:w="748" w:type="pct"/>
            <w:vAlign w:val="center"/>
          </w:tcPr>
          <w:p w:rsidR="00EE56C0" w:rsidRDefault="000F36A1">
            <w:pPr>
              <w:pStyle w:val="afa"/>
            </w:pPr>
            <w:r>
              <w:t>减振</w:t>
            </w:r>
            <w:r>
              <w:rPr>
                <w:rFonts w:hint="eastAsia"/>
              </w:rPr>
              <w:t>、厂房</w:t>
            </w:r>
            <w:r>
              <w:t>隔声</w:t>
            </w:r>
          </w:p>
        </w:tc>
        <w:tc>
          <w:tcPr>
            <w:tcW w:w="864" w:type="pct"/>
            <w:vAlign w:val="center"/>
          </w:tcPr>
          <w:p w:rsidR="00EE56C0" w:rsidRDefault="000F36A1">
            <w:pPr>
              <w:pStyle w:val="afa"/>
            </w:pPr>
            <w:r>
              <w:t>45</w:t>
            </w:r>
          </w:p>
        </w:tc>
      </w:tr>
    </w:tbl>
    <w:p w:rsidR="00EE56C0" w:rsidRDefault="00EE56C0">
      <w:pPr>
        <w:pStyle w:val="afd"/>
        <w:spacing w:before="120" w:after="120"/>
        <w:ind w:firstLine="482"/>
      </w:pPr>
    </w:p>
    <w:p w:rsidR="005767FB" w:rsidRDefault="005767FB">
      <w:pPr>
        <w:pStyle w:val="afd"/>
        <w:spacing w:before="120" w:after="120"/>
        <w:ind w:firstLine="482"/>
      </w:pPr>
    </w:p>
    <w:p w:rsidR="005767FB" w:rsidRDefault="005767FB">
      <w:pPr>
        <w:pStyle w:val="afd"/>
        <w:spacing w:before="120" w:after="120"/>
        <w:ind w:firstLine="482"/>
      </w:pPr>
    </w:p>
    <w:p w:rsidR="005767FB" w:rsidRDefault="005767FB">
      <w:pPr>
        <w:pStyle w:val="afd"/>
        <w:spacing w:before="120" w:after="120"/>
        <w:ind w:firstLine="482"/>
      </w:pPr>
    </w:p>
    <w:p w:rsidR="00EE56C0" w:rsidRDefault="000F36A1">
      <w:pPr>
        <w:pStyle w:val="afd"/>
        <w:spacing w:before="120" w:after="120"/>
        <w:ind w:firstLine="482"/>
      </w:pPr>
      <w:r>
        <w:lastRenderedPageBreak/>
        <w:t>表</w:t>
      </w:r>
      <w:r>
        <w:rPr>
          <w:rFonts w:hint="eastAsia"/>
        </w:rPr>
        <w:t>5-5</w:t>
      </w:r>
      <w:r w:rsidR="005767FB">
        <w:rPr>
          <w:rFonts w:hint="eastAsia"/>
        </w:rPr>
        <w:t>0</w:t>
      </w:r>
      <w:r>
        <w:rPr>
          <w:rFonts w:hint="eastAsia"/>
        </w:rPr>
        <w:t xml:space="preserve">             </w:t>
      </w:r>
      <w:r>
        <w:rPr>
          <w:rFonts w:hint="eastAsia"/>
        </w:rPr>
        <w:t>二期</w:t>
      </w:r>
      <w:r>
        <w:t>主要噪声源及排放情况</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550"/>
        <w:gridCol w:w="977"/>
        <w:gridCol w:w="849"/>
        <w:gridCol w:w="993"/>
        <w:gridCol w:w="1134"/>
        <w:gridCol w:w="1276"/>
        <w:gridCol w:w="1276"/>
        <w:gridCol w:w="1474"/>
      </w:tblGrid>
      <w:tr w:rsidR="00EE56C0">
        <w:trPr>
          <w:trHeight w:val="425"/>
          <w:jc w:val="center"/>
        </w:trPr>
        <w:tc>
          <w:tcPr>
            <w:tcW w:w="322" w:type="pct"/>
            <w:vAlign w:val="center"/>
          </w:tcPr>
          <w:p w:rsidR="00EE56C0" w:rsidRDefault="000F36A1">
            <w:pPr>
              <w:pStyle w:val="aff1"/>
              <w:rPr>
                <w:color w:val="auto"/>
              </w:rPr>
            </w:pPr>
            <w:r>
              <w:rPr>
                <w:color w:val="auto"/>
              </w:rPr>
              <w:t>序号</w:t>
            </w:r>
          </w:p>
        </w:tc>
        <w:tc>
          <w:tcPr>
            <w:tcW w:w="573" w:type="pct"/>
            <w:vAlign w:val="center"/>
          </w:tcPr>
          <w:p w:rsidR="00EE56C0" w:rsidRDefault="000F36A1">
            <w:pPr>
              <w:pStyle w:val="aff1"/>
              <w:rPr>
                <w:color w:val="auto"/>
              </w:rPr>
            </w:pPr>
            <w:r>
              <w:rPr>
                <w:color w:val="auto"/>
              </w:rPr>
              <w:t>设备</w:t>
            </w:r>
          </w:p>
          <w:p w:rsidR="00EE56C0" w:rsidRDefault="000F36A1">
            <w:pPr>
              <w:pStyle w:val="aff1"/>
              <w:rPr>
                <w:color w:val="auto"/>
              </w:rPr>
            </w:pPr>
            <w:r>
              <w:rPr>
                <w:color w:val="auto"/>
              </w:rPr>
              <w:t>名称</w:t>
            </w:r>
          </w:p>
        </w:tc>
        <w:tc>
          <w:tcPr>
            <w:tcW w:w="498" w:type="pct"/>
            <w:vAlign w:val="center"/>
          </w:tcPr>
          <w:p w:rsidR="00EE56C0" w:rsidRDefault="000F36A1">
            <w:pPr>
              <w:pStyle w:val="aff1"/>
              <w:rPr>
                <w:color w:val="auto"/>
              </w:rPr>
            </w:pPr>
            <w:r>
              <w:rPr>
                <w:color w:val="auto"/>
              </w:rPr>
              <w:t>数量</w:t>
            </w:r>
          </w:p>
          <w:p w:rsidR="00EE56C0" w:rsidRDefault="000F36A1">
            <w:pPr>
              <w:pStyle w:val="aff1"/>
              <w:rPr>
                <w:color w:val="auto"/>
              </w:rPr>
            </w:pPr>
            <w:r>
              <w:rPr>
                <w:color w:val="auto"/>
              </w:rPr>
              <w:t>（台）</w:t>
            </w:r>
          </w:p>
        </w:tc>
        <w:tc>
          <w:tcPr>
            <w:tcW w:w="582" w:type="pct"/>
            <w:vAlign w:val="center"/>
          </w:tcPr>
          <w:p w:rsidR="00EE56C0" w:rsidRDefault="000F36A1">
            <w:pPr>
              <w:pStyle w:val="aff1"/>
              <w:rPr>
                <w:color w:val="auto"/>
              </w:rPr>
            </w:pPr>
            <w:r>
              <w:rPr>
                <w:color w:val="auto"/>
              </w:rPr>
              <w:t>位置</w:t>
            </w:r>
          </w:p>
        </w:tc>
        <w:tc>
          <w:tcPr>
            <w:tcW w:w="665" w:type="pct"/>
            <w:vAlign w:val="center"/>
          </w:tcPr>
          <w:p w:rsidR="00EE56C0" w:rsidRDefault="000F36A1">
            <w:pPr>
              <w:pStyle w:val="aff1"/>
              <w:rPr>
                <w:color w:val="auto"/>
              </w:rPr>
            </w:pPr>
            <w:r>
              <w:rPr>
                <w:color w:val="auto"/>
              </w:rPr>
              <w:t>噪声</w:t>
            </w:r>
            <w:r>
              <w:rPr>
                <w:rFonts w:hint="eastAsia"/>
                <w:color w:val="auto"/>
              </w:rPr>
              <w:t>源强</w:t>
            </w:r>
            <w:r>
              <w:rPr>
                <w:color w:val="auto"/>
              </w:rPr>
              <w:t>[dB(A)]</w:t>
            </w:r>
          </w:p>
        </w:tc>
        <w:tc>
          <w:tcPr>
            <w:tcW w:w="748" w:type="pct"/>
            <w:vAlign w:val="center"/>
          </w:tcPr>
          <w:p w:rsidR="00EE56C0" w:rsidRDefault="000F36A1">
            <w:pPr>
              <w:pStyle w:val="aff1"/>
              <w:rPr>
                <w:color w:val="auto"/>
              </w:rPr>
            </w:pPr>
            <w:r>
              <w:rPr>
                <w:rFonts w:hint="eastAsia"/>
                <w:color w:val="auto"/>
              </w:rPr>
              <w:t>噪声叠加值</w:t>
            </w:r>
            <w:r>
              <w:rPr>
                <w:color w:val="auto"/>
              </w:rPr>
              <w:t>[dB(A)]</w:t>
            </w:r>
          </w:p>
        </w:tc>
        <w:tc>
          <w:tcPr>
            <w:tcW w:w="748" w:type="pct"/>
            <w:vAlign w:val="center"/>
          </w:tcPr>
          <w:p w:rsidR="00EE56C0" w:rsidRDefault="000F36A1">
            <w:pPr>
              <w:pStyle w:val="aff1"/>
              <w:rPr>
                <w:color w:val="auto"/>
              </w:rPr>
            </w:pPr>
            <w:r>
              <w:rPr>
                <w:color w:val="auto"/>
              </w:rPr>
              <w:t>降噪措施</w:t>
            </w:r>
          </w:p>
        </w:tc>
        <w:tc>
          <w:tcPr>
            <w:tcW w:w="864" w:type="pct"/>
            <w:vAlign w:val="center"/>
          </w:tcPr>
          <w:p w:rsidR="00EE56C0" w:rsidRDefault="000F36A1">
            <w:pPr>
              <w:pStyle w:val="aff1"/>
              <w:rPr>
                <w:color w:val="auto"/>
              </w:rPr>
            </w:pPr>
            <w:r>
              <w:rPr>
                <w:color w:val="auto"/>
              </w:rPr>
              <w:t>治理后噪声值</w:t>
            </w:r>
            <w:r>
              <w:rPr>
                <w:color w:val="auto"/>
              </w:rPr>
              <w:t>[dB(A)]</w:t>
            </w:r>
          </w:p>
        </w:tc>
      </w:tr>
      <w:tr w:rsidR="00EE56C0">
        <w:trPr>
          <w:trHeight w:val="685"/>
          <w:jc w:val="center"/>
        </w:trPr>
        <w:tc>
          <w:tcPr>
            <w:tcW w:w="322" w:type="pct"/>
            <w:vAlign w:val="center"/>
          </w:tcPr>
          <w:p w:rsidR="00EE56C0" w:rsidRDefault="000F36A1">
            <w:pPr>
              <w:pStyle w:val="afa"/>
            </w:pPr>
            <w:r>
              <w:rPr>
                <w:rFonts w:hint="eastAsia"/>
              </w:rPr>
              <w:t>1</w:t>
            </w:r>
          </w:p>
        </w:tc>
        <w:tc>
          <w:tcPr>
            <w:tcW w:w="573" w:type="pct"/>
            <w:vAlign w:val="center"/>
          </w:tcPr>
          <w:p w:rsidR="00EE56C0" w:rsidRDefault="000F36A1">
            <w:pPr>
              <w:pStyle w:val="afa"/>
              <w:rPr>
                <w:rFonts w:ascii="Calibri" w:hAnsi="Calibri"/>
              </w:rPr>
            </w:pPr>
            <w:r>
              <w:rPr>
                <w:rFonts w:hint="eastAsia"/>
              </w:rPr>
              <w:t>拉拔机</w:t>
            </w:r>
          </w:p>
        </w:tc>
        <w:tc>
          <w:tcPr>
            <w:tcW w:w="498" w:type="pct"/>
            <w:vAlign w:val="center"/>
          </w:tcPr>
          <w:p w:rsidR="00EE56C0" w:rsidRDefault="000F36A1">
            <w:pPr>
              <w:pStyle w:val="afa"/>
            </w:pPr>
            <w:r>
              <w:rPr>
                <w:rFonts w:hint="eastAsia"/>
              </w:rPr>
              <w:t>4</w:t>
            </w:r>
          </w:p>
        </w:tc>
        <w:tc>
          <w:tcPr>
            <w:tcW w:w="582" w:type="pct"/>
            <w:vAlign w:val="center"/>
          </w:tcPr>
          <w:p w:rsidR="00EE56C0" w:rsidRDefault="000F36A1">
            <w:pPr>
              <w:pStyle w:val="afa"/>
            </w:pPr>
            <w:r>
              <w:rPr>
                <w:rFonts w:hint="eastAsia"/>
              </w:rPr>
              <w:t>车间内</w:t>
            </w:r>
          </w:p>
        </w:tc>
        <w:tc>
          <w:tcPr>
            <w:tcW w:w="665" w:type="pct"/>
            <w:vAlign w:val="center"/>
          </w:tcPr>
          <w:p w:rsidR="00EE56C0" w:rsidRDefault="000F36A1">
            <w:pPr>
              <w:pStyle w:val="afa"/>
            </w:pPr>
            <w:r>
              <w:rPr>
                <w:rFonts w:hint="eastAsia"/>
              </w:rPr>
              <w:t>75</w:t>
            </w:r>
          </w:p>
        </w:tc>
        <w:tc>
          <w:tcPr>
            <w:tcW w:w="748" w:type="pct"/>
            <w:vAlign w:val="center"/>
          </w:tcPr>
          <w:p w:rsidR="00EE56C0" w:rsidRDefault="000F36A1">
            <w:pPr>
              <w:pStyle w:val="afa"/>
            </w:pPr>
            <w:r>
              <w:rPr>
                <w:rFonts w:hint="eastAsia"/>
              </w:rPr>
              <w:t>81</w:t>
            </w:r>
          </w:p>
        </w:tc>
        <w:tc>
          <w:tcPr>
            <w:tcW w:w="748" w:type="pct"/>
            <w:vAlign w:val="center"/>
          </w:tcPr>
          <w:p w:rsidR="00EE56C0" w:rsidRDefault="000F36A1">
            <w:pPr>
              <w:pStyle w:val="afa"/>
            </w:pPr>
            <w:r>
              <w:t>减振</w:t>
            </w:r>
            <w:r>
              <w:rPr>
                <w:rFonts w:hint="eastAsia"/>
              </w:rPr>
              <w:t>、厂房</w:t>
            </w:r>
            <w:r>
              <w:t>隔声</w:t>
            </w:r>
          </w:p>
        </w:tc>
        <w:tc>
          <w:tcPr>
            <w:tcW w:w="864" w:type="pct"/>
            <w:vAlign w:val="center"/>
          </w:tcPr>
          <w:p w:rsidR="00EE56C0" w:rsidRDefault="000F36A1">
            <w:pPr>
              <w:pStyle w:val="afa"/>
            </w:pPr>
            <w:r>
              <w:t>56</w:t>
            </w:r>
          </w:p>
        </w:tc>
      </w:tr>
      <w:tr w:rsidR="00EE56C0">
        <w:trPr>
          <w:trHeight w:val="425"/>
          <w:jc w:val="center"/>
        </w:trPr>
        <w:tc>
          <w:tcPr>
            <w:tcW w:w="322" w:type="pct"/>
            <w:vAlign w:val="center"/>
          </w:tcPr>
          <w:p w:rsidR="00EE56C0" w:rsidRDefault="000F36A1">
            <w:pPr>
              <w:pStyle w:val="afa"/>
            </w:pPr>
            <w:r>
              <w:rPr>
                <w:rFonts w:hint="eastAsia"/>
              </w:rPr>
              <w:t>2</w:t>
            </w:r>
          </w:p>
        </w:tc>
        <w:tc>
          <w:tcPr>
            <w:tcW w:w="573" w:type="pct"/>
            <w:vAlign w:val="center"/>
          </w:tcPr>
          <w:p w:rsidR="00EE56C0" w:rsidRDefault="000F36A1">
            <w:pPr>
              <w:pStyle w:val="afa"/>
              <w:rPr>
                <w:rFonts w:ascii="Calibri" w:hAnsi="Calibri"/>
              </w:rPr>
            </w:pPr>
            <w:r>
              <w:rPr>
                <w:rFonts w:hint="eastAsia"/>
              </w:rPr>
              <w:t>全自动小拉机</w:t>
            </w:r>
          </w:p>
        </w:tc>
        <w:tc>
          <w:tcPr>
            <w:tcW w:w="498" w:type="pct"/>
            <w:vAlign w:val="center"/>
          </w:tcPr>
          <w:p w:rsidR="00EE56C0" w:rsidRDefault="000F36A1">
            <w:pPr>
              <w:pStyle w:val="afa"/>
            </w:pPr>
            <w:r>
              <w:rPr>
                <w:rFonts w:hint="eastAsia"/>
              </w:rPr>
              <w:t>50</w:t>
            </w:r>
          </w:p>
        </w:tc>
        <w:tc>
          <w:tcPr>
            <w:tcW w:w="582" w:type="pct"/>
            <w:vAlign w:val="center"/>
          </w:tcPr>
          <w:p w:rsidR="00EE56C0" w:rsidRDefault="000F36A1">
            <w:pPr>
              <w:pStyle w:val="afa"/>
            </w:pPr>
            <w:r>
              <w:rPr>
                <w:rFonts w:hint="eastAsia"/>
              </w:rPr>
              <w:t>车间内</w:t>
            </w:r>
          </w:p>
        </w:tc>
        <w:tc>
          <w:tcPr>
            <w:tcW w:w="665" w:type="pct"/>
            <w:vAlign w:val="center"/>
          </w:tcPr>
          <w:p w:rsidR="00EE56C0" w:rsidRDefault="000F36A1">
            <w:pPr>
              <w:pStyle w:val="afa"/>
            </w:pPr>
            <w:r>
              <w:rPr>
                <w:rFonts w:hint="eastAsia"/>
              </w:rPr>
              <w:t>75</w:t>
            </w:r>
          </w:p>
        </w:tc>
        <w:tc>
          <w:tcPr>
            <w:tcW w:w="748" w:type="pct"/>
            <w:vAlign w:val="center"/>
          </w:tcPr>
          <w:p w:rsidR="00EE56C0" w:rsidRDefault="000F36A1">
            <w:pPr>
              <w:pStyle w:val="afa"/>
            </w:pPr>
            <w:r>
              <w:rPr>
                <w:rFonts w:hint="eastAsia"/>
              </w:rPr>
              <w:t>92</w:t>
            </w:r>
          </w:p>
        </w:tc>
        <w:tc>
          <w:tcPr>
            <w:tcW w:w="748" w:type="pct"/>
            <w:vAlign w:val="center"/>
          </w:tcPr>
          <w:p w:rsidR="00EE56C0" w:rsidRDefault="000F36A1">
            <w:pPr>
              <w:pStyle w:val="afa"/>
            </w:pPr>
            <w:r>
              <w:t>减振</w:t>
            </w:r>
            <w:r>
              <w:rPr>
                <w:rFonts w:hint="eastAsia"/>
              </w:rPr>
              <w:t>、厂房</w:t>
            </w:r>
            <w:r>
              <w:t>隔声</w:t>
            </w:r>
          </w:p>
        </w:tc>
        <w:tc>
          <w:tcPr>
            <w:tcW w:w="864" w:type="pct"/>
            <w:vAlign w:val="center"/>
          </w:tcPr>
          <w:p w:rsidR="00EE56C0" w:rsidRDefault="000F36A1">
            <w:pPr>
              <w:pStyle w:val="afa"/>
            </w:pPr>
            <w:r>
              <w:t>67</w:t>
            </w:r>
          </w:p>
        </w:tc>
      </w:tr>
      <w:tr w:rsidR="00EE56C0">
        <w:trPr>
          <w:trHeight w:val="425"/>
          <w:jc w:val="center"/>
        </w:trPr>
        <w:tc>
          <w:tcPr>
            <w:tcW w:w="322" w:type="pct"/>
            <w:vAlign w:val="center"/>
          </w:tcPr>
          <w:p w:rsidR="00EE56C0" w:rsidRDefault="000F36A1">
            <w:pPr>
              <w:pStyle w:val="afa"/>
            </w:pPr>
            <w:r>
              <w:rPr>
                <w:rFonts w:hint="eastAsia"/>
              </w:rPr>
              <w:t>3</w:t>
            </w:r>
          </w:p>
        </w:tc>
        <w:tc>
          <w:tcPr>
            <w:tcW w:w="573" w:type="pct"/>
            <w:vAlign w:val="center"/>
          </w:tcPr>
          <w:p w:rsidR="00EE56C0" w:rsidRDefault="000F36A1">
            <w:pPr>
              <w:pStyle w:val="afa"/>
            </w:pPr>
            <w:r>
              <w:rPr>
                <w:rFonts w:hint="eastAsia"/>
              </w:rPr>
              <w:t>漆包机</w:t>
            </w:r>
          </w:p>
        </w:tc>
        <w:tc>
          <w:tcPr>
            <w:tcW w:w="498" w:type="pct"/>
            <w:vAlign w:val="center"/>
          </w:tcPr>
          <w:p w:rsidR="00EE56C0" w:rsidRDefault="000F36A1">
            <w:pPr>
              <w:pStyle w:val="afa"/>
            </w:pPr>
            <w:r>
              <w:rPr>
                <w:rFonts w:hint="eastAsia"/>
              </w:rPr>
              <w:t>3</w:t>
            </w:r>
          </w:p>
        </w:tc>
        <w:tc>
          <w:tcPr>
            <w:tcW w:w="582" w:type="pct"/>
            <w:vAlign w:val="center"/>
          </w:tcPr>
          <w:p w:rsidR="00EE56C0" w:rsidRDefault="000F36A1">
            <w:pPr>
              <w:pStyle w:val="afa"/>
            </w:pPr>
            <w:r>
              <w:rPr>
                <w:rFonts w:hint="eastAsia"/>
              </w:rPr>
              <w:t>车间内</w:t>
            </w:r>
          </w:p>
        </w:tc>
        <w:tc>
          <w:tcPr>
            <w:tcW w:w="665" w:type="pct"/>
            <w:vAlign w:val="center"/>
          </w:tcPr>
          <w:p w:rsidR="00EE56C0" w:rsidRDefault="000F36A1">
            <w:pPr>
              <w:pStyle w:val="afa"/>
            </w:pPr>
            <w:r>
              <w:rPr>
                <w:rFonts w:hint="eastAsia"/>
              </w:rPr>
              <w:t>70</w:t>
            </w:r>
          </w:p>
        </w:tc>
        <w:tc>
          <w:tcPr>
            <w:tcW w:w="748" w:type="pct"/>
            <w:vAlign w:val="center"/>
          </w:tcPr>
          <w:p w:rsidR="00EE56C0" w:rsidRDefault="000F36A1">
            <w:pPr>
              <w:pStyle w:val="afa"/>
            </w:pPr>
            <w:r>
              <w:rPr>
                <w:rFonts w:hint="eastAsia"/>
              </w:rPr>
              <w:t>74.8</w:t>
            </w:r>
          </w:p>
        </w:tc>
        <w:tc>
          <w:tcPr>
            <w:tcW w:w="748" w:type="pct"/>
            <w:vAlign w:val="center"/>
          </w:tcPr>
          <w:p w:rsidR="00EE56C0" w:rsidRDefault="000F36A1">
            <w:pPr>
              <w:pStyle w:val="afa"/>
            </w:pPr>
            <w:r>
              <w:t>减振</w:t>
            </w:r>
            <w:r>
              <w:rPr>
                <w:rFonts w:hint="eastAsia"/>
              </w:rPr>
              <w:t>、厂房</w:t>
            </w:r>
            <w:r>
              <w:t>隔声</w:t>
            </w:r>
          </w:p>
        </w:tc>
        <w:tc>
          <w:tcPr>
            <w:tcW w:w="864" w:type="pct"/>
            <w:vAlign w:val="center"/>
          </w:tcPr>
          <w:p w:rsidR="00EE56C0" w:rsidRDefault="000F36A1">
            <w:pPr>
              <w:pStyle w:val="afa"/>
            </w:pPr>
            <w:r>
              <w:t>49.8</w:t>
            </w:r>
          </w:p>
        </w:tc>
      </w:tr>
      <w:tr w:rsidR="00EE56C0">
        <w:trPr>
          <w:trHeight w:val="425"/>
          <w:jc w:val="center"/>
        </w:trPr>
        <w:tc>
          <w:tcPr>
            <w:tcW w:w="322" w:type="pct"/>
            <w:vAlign w:val="center"/>
          </w:tcPr>
          <w:p w:rsidR="00EE56C0" w:rsidRDefault="000F36A1">
            <w:pPr>
              <w:pStyle w:val="afa"/>
            </w:pPr>
            <w:r>
              <w:rPr>
                <w:rFonts w:hint="eastAsia"/>
              </w:rPr>
              <w:t>4</w:t>
            </w:r>
          </w:p>
        </w:tc>
        <w:tc>
          <w:tcPr>
            <w:tcW w:w="573" w:type="pct"/>
            <w:vAlign w:val="center"/>
          </w:tcPr>
          <w:p w:rsidR="00EE56C0" w:rsidRDefault="000F36A1">
            <w:pPr>
              <w:pStyle w:val="afa"/>
            </w:pPr>
            <w:r>
              <w:rPr>
                <w:rFonts w:hint="eastAsia"/>
              </w:rPr>
              <w:t>拉包机</w:t>
            </w:r>
          </w:p>
        </w:tc>
        <w:tc>
          <w:tcPr>
            <w:tcW w:w="498" w:type="pct"/>
            <w:vAlign w:val="center"/>
          </w:tcPr>
          <w:p w:rsidR="00EE56C0" w:rsidRDefault="000F36A1">
            <w:pPr>
              <w:pStyle w:val="afa"/>
            </w:pPr>
            <w:r>
              <w:rPr>
                <w:rFonts w:hint="eastAsia"/>
              </w:rPr>
              <w:t>14</w:t>
            </w:r>
          </w:p>
        </w:tc>
        <w:tc>
          <w:tcPr>
            <w:tcW w:w="582" w:type="pct"/>
            <w:vAlign w:val="center"/>
          </w:tcPr>
          <w:p w:rsidR="00EE56C0" w:rsidRDefault="000F36A1">
            <w:pPr>
              <w:pStyle w:val="afa"/>
            </w:pPr>
            <w:r>
              <w:rPr>
                <w:rFonts w:hint="eastAsia"/>
              </w:rPr>
              <w:t>车间内</w:t>
            </w:r>
          </w:p>
        </w:tc>
        <w:tc>
          <w:tcPr>
            <w:tcW w:w="665" w:type="pct"/>
            <w:vAlign w:val="center"/>
          </w:tcPr>
          <w:p w:rsidR="00EE56C0" w:rsidRDefault="000F36A1">
            <w:pPr>
              <w:pStyle w:val="afa"/>
            </w:pPr>
            <w:r>
              <w:rPr>
                <w:rFonts w:hint="eastAsia"/>
              </w:rPr>
              <w:t>75</w:t>
            </w:r>
          </w:p>
        </w:tc>
        <w:tc>
          <w:tcPr>
            <w:tcW w:w="748" w:type="pct"/>
            <w:vAlign w:val="center"/>
          </w:tcPr>
          <w:p w:rsidR="00EE56C0" w:rsidRDefault="000F36A1">
            <w:pPr>
              <w:pStyle w:val="afa"/>
            </w:pPr>
            <w:r>
              <w:rPr>
                <w:rFonts w:hint="eastAsia"/>
              </w:rPr>
              <w:t>86.5</w:t>
            </w:r>
          </w:p>
        </w:tc>
        <w:tc>
          <w:tcPr>
            <w:tcW w:w="748" w:type="pct"/>
            <w:vAlign w:val="center"/>
          </w:tcPr>
          <w:p w:rsidR="00EE56C0" w:rsidRDefault="000F36A1">
            <w:pPr>
              <w:pStyle w:val="afa"/>
            </w:pPr>
            <w:r>
              <w:t>减振</w:t>
            </w:r>
            <w:r>
              <w:rPr>
                <w:rFonts w:hint="eastAsia"/>
              </w:rPr>
              <w:t>、厂房</w:t>
            </w:r>
            <w:r>
              <w:t>隔声</w:t>
            </w:r>
          </w:p>
        </w:tc>
        <w:tc>
          <w:tcPr>
            <w:tcW w:w="864" w:type="pct"/>
            <w:vAlign w:val="center"/>
          </w:tcPr>
          <w:p w:rsidR="00EE56C0" w:rsidRDefault="000F36A1">
            <w:pPr>
              <w:pStyle w:val="afa"/>
            </w:pPr>
            <w:r>
              <w:t>61.5</w:t>
            </w:r>
          </w:p>
        </w:tc>
      </w:tr>
      <w:tr w:rsidR="00EE56C0">
        <w:trPr>
          <w:trHeight w:val="425"/>
          <w:jc w:val="center"/>
        </w:trPr>
        <w:tc>
          <w:tcPr>
            <w:tcW w:w="322" w:type="pct"/>
            <w:vAlign w:val="center"/>
          </w:tcPr>
          <w:p w:rsidR="00EE56C0" w:rsidRDefault="000F36A1">
            <w:pPr>
              <w:pStyle w:val="afa"/>
            </w:pPr>
            <w:r>
              <w:rPr>
                <w:rFonts w:hint="eastAsia"/>
              </w:rPr>
              <w:t>5</w:t>
            </w:r>
          </w:p>
        </w:tc>
        <w:tc>
          <w:tcPr>
            <w:tcW w:w="573" w:type="pct"/>
            <w:vAlign w:val="center"/>
          </w:tcPr>
          <w:p w:rsidR="00EE56C0" w:rsidRDefault="000F36A1">
            <w:pPr>
              <w:pStyle w:val="afa"/>
              <w:rPr>
                <w:rFonts w:ascii="Calibri" w:hAnsi="Calibri"/>
              </w:rPr>
            </w:pPr>
            <w:r>
              <w:rPr>
                <w:rFonts w:hint="eastAsia"/>
              </w:rPr>
              <w:t>丝包机</w:t>
            </w:r>
          </w:p>
        </w:tc>
        <w:tc>
          <w:tcPr>
            <w:tcW w:w="498" w:type="pct"/>
            <w:vAlign w:val="center"/>
          </w:tcPr>
          <w:p w:rsidR="00EE56C0" w:rsidRDefault="000F36A1">
            <w:pPr>
              <w:pStyle w:val="afa"/>
            </w:pPr>
            <w:r>
              <w:rPr>
                <w:rFonts w:hint="eastAsia"/>
              </w:rPr>
              <w:t>30</w:t>
            </w:r>
          </w:p>
        </w:tc>
        <w:tc>
          <w:tcPr>
            <w:tcW w:w="582" w:type="pct"/>
            <w:vAlign w:val="center"/>
          </w:tcPr>
          <w:p w:rsidR="00EE56C0" w:rsidRDefault="000F36A1">
            <w:pPr>
              <w:pStyle w:val="afa"/>
            </w:pPr>
            <w:r>
              <w:rPr>
                <w:rFonts w:hint="eastAsia"/>
              </w:rPr>
              <w:t>车间内</w:t>
            </w:r>
          </w:p>
        </w:tc>
        <w:tc>
          <w:tcPr>
            <w:tcW w:w="665" w:type="pct"/>
            <w:vAlign w:val="center"/>
          </w:tcPr>
          <w:p w:rsidR="00EE56C0" w:rsidRDefault="000F36A1">
            <w:pPr>
              <w:pStyle w:val="afa"/>
            </w:pPr>
            <w:r>
              <w:rPr>
                <w:rFonts w:hint="eastAsia"/>
              </w:rPr>
              <w:t>70</w:t>
            </w:r>
          </w:p>
        </w:tc>
        <w:tc>
          <w:tcPr>
            <w:tcW w:w="748" w:type="pct"/>
            <w:vAlign w:val="center"/>
          </w:tcPr>
          <w:p w:rsidR="00EE56C0" w:rsidRDefault="000F36A1">
            <w:pPr>
              <w:pStyle w:val="afa"/>
            </w:pPr>
            <w:r>
              <w:rPr>
                <w:rFonts w:hint="eastAsia"/>
              </w:rPr>
              <w:t>84.8</w:t>
            </w:r>
          </w:p>
        </w:tc>
        <w:tc>
          <w:tcPr>
            <w:tcW w:w="748" w:type="pct"/>
            <w:vAlign w:val="center"/>
          </w:tcPr>
          <w:p w:rsidR="00EE56C0" w:rsidRDefault="000F36A1">
            <w:pPr>
              <w:pStyle w:val="afa"/>
            </w:pPr>
            <w:r>
              <w:t>减振</w:t>
            </w:r>
            <w:r>
              <w:rPr>
                <w:rFonts w:hint="eastAsia"/>
              </w:rPr>
              <w:t>、厂房</w:t>
            </w:r>
            <w:r>
              <w:t>隔声</w:t>
            </w:r>
          </w:p>
        </w:tc>
        <w:tc>
          <w:tcPr>
            <w:tcW w:w="864" w:type="pct"/>
            <w:vAlign w:val="center"/>
          </w:tcPr>
          <w:p w:rsidR="00EE56C0" w:rsidRDefault="000F36A1">
            <w:pPr>
              <w:pStyle w:val="afa"/>
            </w:pPr>
            <w:r>
              <w:t>59.8</w:t>
            </w:r>
          </w:p>
        </w:tc>
      </w:tr>
      <w:tr w:rsidR="00EE56C0">
        <w:trPr>
          <w:trHeight w:val="425"/>
          <w:jc w:val="center"/>
        </w:trPr>
        <w:tc>
          <w:tcPr>
            <w:tcW w:w="322" w:type="pct"/>
            <w:vAlign w:val="center"/>
          </w:tcPr>
          <w:p w:rsidR="00EE56C0" w:rsidRDefault="000F36A1">
            <w:pPr>
              <w:pStyle w:val="afa"/>
            </w:pPr>
            <w:r>
              <w:rPr>
                <w:rFonts w:hint="eastAsia"/>
              </w:rPr>
              <w:t>6</w:t>
            </w:r>
          </w:p>
        </w:tc>
        <w:tc>
          <w:tcPr>
            <w:tcW w:w="573" w:type="pct"/>
            <w:vAlign w:val="center"/>
          </w:tcPr>
          <w:p w:rsidR="00EE56C0" w:rsidRDefault="000F36A1">
            <w:pPr>
              <w:pStyle w:val="afa"/>
            </w:pPr>
            <w:r>
              <w:rPr>
                <w:rFonts w:hint="eastAsia"/>
              </w:rPr>
              <w:t>烧结机</w:t>
            </w:r>
          </w:p>
        </w:tc>
        <w:tc>
          <w:tcPr>
            <w:tcW w:w="498" w:type="pct"/>
            <w:vAlign w:val="center"/>
          </w:tcPr>
          <w:p w:rsidR="00EE56C0" w:rsidRDefault="000F36A1">
            <w:pPr>
              <w:pStyle w:val="afa"/>
            </w:pPr>
            <w:r>
              <w:rPr>
                <w:rFonts w:hint="eastAsia"/>
              </w:rPr>
              <w:t>4</w:t>
            </w:r>
          </w:p>
        </w:tc>
        <w:tc>
          <w:tcPr>
            <w:tcW w:w="582" w:type="pct"/>
            <w:vAlign w:val="center"/>
          </w:tcPr>
          <w:p w:rsidR="00EE56C0" w:rsidRDefault="000F36A1">
            <w:pPr>
              <w:pStyle w:val="afa"/>
            </w:pPr>
            <w:r>
              <w:rPr>
                <w:rFonts w:hint="eastAsia"/>
              </w:rPr>
              <w:t>车间内</w:t>
            </w:r>
          </w:p>
        </w:tc>
        <w:tc>
          <w:tcPr>
            <w:tcW w:w="665" w:type="pct"/>
            <w:vAlign w:val="center"/>
          </w:tcPr>
          <w:p w:rsidR="00EE56C0" w:rsidRDefault="000F36A1">
            <w:pPr>
              <w:pStyle w:val="afa"/>
            </w:pPr>
            <w:r>
              <w:rPr>
                <w:rFonts w:hint="eastAsia"/>
              </w:rPr>
              <w:t>70</w:t>
            </w:r>
          </w:p>
        </w:tc>
        <w:tc>
          <w:tcPr>
            <w:tcW w:w="748" w:type="pct"/>
            <w:vAlign w:val="center"/>
          </w:tcPr>
          <w:p w:rsidR="00EE56C0" w:rsidRDefault="000F36A1">
            <w:pPr>
              <w:pStyle w:val="afa"/>
            </w:pPr>
            <w:r>
              <w:rPr>
                <w:rFonts w:hint="eastAsia"/>
              </w:rPr>
              <w:t>76</w:t>
            </w:r>
          </w:p>
        </w:tc>
        <w:tc>
          <w:tcPr>
            <w:tcW w:w="748" w:type="pct"/>
            <w:vAlign w:val="center"/>
          </w:tcPr>
          <w:p w:rsidR="00EE56C0" w:rsidRDefault="000F36A1">
            <w:pPr>
              <w:pStyle w:val="afa"/>
            </w:pPr>
            <w:r>
              <w:t>减振</w:t>
            </w:r>
            <w:r>
              <w:rPr>
                <w:rFonts w:hint="eastAsia"/>
              </w:rPr>
              <w:t>、厂房</w:t>
            </w:r>
            <w:r>
              <w:t>隔声</w:t>
            </w:r>
          </w:p>
        </w:tc>
        <w:tc>
          <w:tcPr>
            <w:tcW w:w="864" w:type="pct"/>
            <w:vAlign w:val="center"/>
          </w:tcPr>
          <w:p w:rsidR="00EE56C0" w:rsidRDefault="000F36A1">
            <w:pPr>
              <w:pStyle w:val="afa"/>
            </w:pPr>
            <w:r>
              <w:t>51</w:t>
            </w:r>
          </w:p>
        </w:tc>
      </w:tr>
    </w:tbl>
    <w:p w:rsidR="00EE56C0" w:rsidRDefault="000F36A1">
      <w:pPr>
        <w:pStyle w:val="4"/>
        <w:ind w:left="120" w:firstLine="241"/>
      </w:pPr>
      <w:r>
        <w:rPr>
          <w:rFonts w:hint="eastAsia"/>
        </w:rPr>
        <w:t>5.4.1.5</w:t>
      </w:r>
      <w:r>
        <w:rPr>
          <w:rFonts w:hint="eastAsia"/>
        </w:rPr>
        <w:t>预测计算</w:t>
      </w:r>
    </w:p>
    <w:p w:rsidR="00EE56C0" w:rsidRDefault="000F36A1">
      <w:pPr>
        <w:pStyle w:val="aff4"/>
      </w:pPr>
      <w:r>
        <w:rPr>
          <w:rFonts w:hint="eastAsia"/>
        </w:rPr>
        <w:t>①高噪声源衰减分析方法</w:t>
      </w:r>
    </w:p>
    <w:p w:rsidR="00EE56C0" w:rsidRDefault="000F36A1">
      <w:pPr>
        <w:pStyle w:val="aff4"/>
      </w:pPr>
      <w:r>
        <w:rPr>
          <w:rFonts w:hint="eastAsia"/>
        </w:rPr>
        <w:t>设备声源传播到受声点的距离为</w:t>
      </w:r>
      <w:r>
        <w:rPr>
          <w:noProof/>
          <w:position w:val="-4"/>
        </w:rPr>
        <w:drawing>
          <wp:inline distT="0" distB="0" distL="0" distR="0">
            <wp:extent cx="110490" cy="141605"/>
            <wp:effectExtent l="19050" t="0" r="3810" b="0"/>
            <wp:docPr id="2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0"/>
                    <pic:cNvPicPr>
                      <a:picLocks noChangeAspect="1" noChangeArrowheads="1"/>
                    </pic:cNvPicPr>
                  </pic:nvPicPr>
                  <pic:blipFill>
                    <a:blip r:embed="rId100"/>
                    <a:srcRect/>
                    <a:stretch>
                      <a:fillRect/>
                    </a:stretch>
                  </pic:blipFill>
                  <pic:spPr>
                    <a:xfrm>
                      <a:off x="0" y="0"/>
                      <a:ext cx="110490" cy="141605"/>
                    </a:xfrm>
                    <a:prstGeom prst="rect">
                      <a:avLst/>
                    </a:prstGeom>
                    <a:noFill/>
                    <a:ln w="9525">
                      <a:noFill/>
                      <a:miter lim="800000"/>
                      <a:headEnd/>
                      <a:tailEnd/>
                    </a:ln>
                  </pic:spPr>
                </pic:pic>
              </a:graphicData>
            </a:graphic>
          </wp:inline>
        </w:drawing>
      </w:r>
      <w:r>
        <w:rPr>
          <w:rFonts w:hint="eastAsia"/>
        </w:rPr>
        <w:t>，厂房高度为</w:t>
      </w:r>
      <w:r>
        <w:rPr>
          <w:noProof/>
          <w:position w:val="-6"/>
        </w:rPr>
        <w:drawing>
          <wp:inline distT="0" distB="0" distL="0" distR="0">
            <wp:extent cx="141605" cy="141605"/>
            <wp:effectExtent l="19050" t="0" r="0" b="0"/>
            <wp:docPr id="2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1"/>
                    <pic:cNvPicPr>
                      <a:picLocks noChangeAspect="1" noChangeArrowheads="1"/>
                    </pic:cNvPicPr>
                  </pic:nvPicPr>
                  <pic:blipFill>
                    <a:blip r:embed="rId101"/>
                    <a:srcRect/>
                    <a:stretch>
                      <a:fillRect/>
                    </a:stretch>
                  </pic:blipFill>
                  <pic:spPr>
                    <a:xfrm>
                      <a:off x="0" y="0"/>
                      <a:ext cx="141605" cy="141605"/>
                    </a:xfrm>
                    <a:prstGeom prst="rect">
                      <a:avLst/>
                    </a:prstGeom>
                    <a:noFill/>
                    <a:ln w="9525">
                      <a:noFill/>
                      <a:miter lim="800000"/>
                      <a:headEnd/>
                      <a:tailEnd/>
                    </a:ln>
                  </pic:spPr>
                </pic:pic>
              </a:graphicData>
            </a:graphic>
          </wp:inline>
        </w:drawing>
      </w:r>
      <w:r>
        <w:rPr>
          <w:rFonts w:hint="eastAsia"/>
        </w:rPr>
        <w:t>，厂房的长度为</w:t>
      </w:r>
      <w:r>
        <w:rPr>
          <w:noProof/>
          <w:position w:val="-6"/>
        </w:rPr>
        <w:drawing>
          <wp:inline distT="0" distB="0" distL="0" distR="0">
            <wp:extent cx="141605" cy="173355"/>
            <wp:effectExtent l="19050" t="0" r="0" b="0"/>
            <wp:docPr id="2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2"/>
                    <pic:cNvPicPr>
                      <a:picLocks noChangeAspect="1" noChangeArrowheads="1"/>
                    </pic:cNvPicPr>
                  </pic:nvPicPr>
                  <pic:blipFill>
                    <a:blip r:embed="rId102"/>
                    <a:srcRect/>
                    <a:stretch>
                      <a:fillRect/>
                    </a:stretch>
                  </pic:blipFill>
                  <pic:spPr>
                    <a:xfrm>
                      <a:off x="0" y="0"/>
                      <a:ext cx="141605" cy="173355"/>
                    </a:xfrm>
                    <a:prstGeom prst="rect">
                      <a:avLst/>
                    </a:prstGeom>
                    <a:noFill/>
                    <a:ln w="9525">
                      <a:noFill/>
                      <a:miter lim="800000"/>
                      <a:headEnd/>
                      <a:tailEnd/>
                    </a:ln>
                  </pic:spPr>
                </pic:pic>
              </a:graphicData>
            </a:graphic>
          </wp:inline>
        </w:drawing>
      </w:r>
      <w:r>
        <w:rPr>
          <w:rFonts w:hint="eastAsia"/>
        </w:rPr>
        <w:t>，对于靠近墙面中心为</w:t>
      </w:r>
      <w:r>
        <w:rPr>
          <w:noProof/>
          <w:position w:val="-4"/>
        </w:rPr>
        <w:drawing>
          <wp:inline distT="0" distB="0" distL="0" distR="0">
            <wp:extent cx="110490" cy="141605"/>
            <wp:effectExtent l="19050" t="0" r="3810" b="0"/>
            <wp:docPr id="2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3"/>
                    <pic:cNvPicPr>
                      <a:picLocks noChangeAspect="1" noChangeArrowheads="1"/>
                    </pic:cNvPicPr>
                  </pic:nvPicPr>
                  <pic:blipFill>
                    <a:blip r:embed="rId100"/>
                    <a:srcRect/>
                    <a:stretch>
                      <a:fillRect/>
                    </a:stretch>
                  </pic:blipFill>
                  <pic:spPr>
                    <a:xfrm>
                      <a:off x="0" y="0"/>
                      <a:ext cx="110490" cy="141605"/>
                    </a:xfrm>
                    <a:prstGeom prst="rect">
                      <a:avLst/>
                    </a:prstGeom>
                    <a:noFill/>
                    <a:ln w="9525">
                      <a:noFill/>
                      <a:miter lim="800000"/>
                      <a:headEnd/>
                      <a:tailEnd/>
                    </a:ln>
                  </pic:spPr>
                </pic:pic>
              </a:graphicData>
            </a:graphic>
          </wp:inline>
        </w:drawing>
      </w:r>
      <w:r>
        <w:rPr>
          <w:rFonts w:hint="eastAsia"/>
        </w:rPr>
        <w:t>距离的受声点声压级的计算（仅考虑距离衰减）：</w:t>
      </w:r>
    </w:p>
    <w:p w:rsidR="00EE56C0" w:rsidRDefault="000F36A1">
      <w:pPr>
        <w:pStyle w:val="aff4"/>
        <w:ind w:firstLine="464"/>
        <w:rPr>
          <w:spacing w:val="-4"/>
        </w:rPr>
      </w:pPr>
      <w:r>
        <w:rPr>
          <w:rFonts w:hint="eastAsia"/>
          <w:spacing w:val="-4"/>
        </w:rPr>
        <w:t>当</w:t>
      </w:r>
      <w:r>
        <w:rPr>
          <w:noProof/>
          <w:spacing w:val="-4"/>
          <w:position w:val="-4"/>
        </w:rPr>
        <w:drawing>
          <wp:inline distT="0" distB="0" distL="0" distR="0">
            <wp:extent cx="110490" cy="141605"/>
            <wp:effectExtent l="19050" t="0" r="3810" b="0"/>
            <wp:docPr id="2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4"/>
                    <pic:cNvPicPr>
                      <a:picLocks noChangeAspect="1" noChangeArrowheads="1"/>
                    </pic:cNvPicPr>
                  </pic:nvPicPr>
                  <pic:blipFill>
                    <a:blip r:embed="rId103"/>
                    <a:srcRect/>
                    <a:stretch>
                      <a:fillRect/>
                    </a:stretch>
                  </pic:blipFill>
                  <pic:spPr>
                    <a:xfrm>
                      <a:off x="0" y="0"/>
                      <a:ext cx="110490" cy="141605"/>
                    </a:xfrm>
                    <a:prstGeom prst="rect">
                      <a:avLst/>
                    </a:prstGeom>
                    <a:noFill/>
                    <a:ln w="9525">
                      <a:noFill/>
                      <a:miter lim="800000"/>
                      <a:headEnd/>
                      <a:tailEnd/>
                    </a:ln>
                  </pic:spPr>
                </pic:pic>
              </a:graphicData>
            </a:graphic>
          </wp:inline>
        </w:drawing>
      </w:r>
      <w:r>
        <w:rPr>
          <w:spacing w:val="-4"/>
        </w:rPr>
        <w:t>≤</w:t>
      </w:r>
      <w:r>
        <w:rPr>
          <w:noProof/>
          <w:spacing w:val="-4"/>
          <w:position w:val="-6"/>
        </w:rPr>
        <w:drawing>
          <wp:anchor distT="0" distB="0" distL="114300" distR="114300" simplePos="0" relativeHeight="251674112" behindDoc="0" locked="0" layoutInCell="1" allowOverlap="1">
            <wp:simplePos x="0" y="0"/>
            <wp:positionH relativeFrom="column">
              <wp:posOffset>738505</wp:posOffset>
            </wp:positionH>
            <wp:positionV relativeFrom="paragraph">
              <wp:posOffset>116205</wp:posOffset>
            </wp:positionV>
            <wp:extent cx="321310" cy="180975"/>
            <wp:effectExtent l="19050" t="0" r="2540" b="0"/>
            <wp:wrapNone/>
            <wp:docPr id="127"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5"/>
                    <pic:cNvPicPr>
                      <a:picLocks noChangeAspect="1" noChangeArrowheads="1"/>
                    </pic:cNvPicPr>
                  </pic:nvPicPr>
                  <pic:blipFill>
                    <a:blip r:embed="rId104"/>
                    <a:srcRect/>
                    <a:stretch>
                      <a:fillRect/>
                    </a:stretch>
                  </pic:blipFill>
                  <pic:spPr>
                    <a:xfrm>
                      <a:off x="0" y="0"/>
                      <a:ext cx="321310" cy="180975"/>
                    </a:xfrm>
                    <a:prstGeom prst="rect">
                      <a:avLst/>
                    </a:prstGeom>
                    <a:noFill/>
                    <a:ln w="9525">
                      <a:noFill/>
                      <a:miter lim="800000"/>
                      <a:headEnd/>
                      <a:tailEnd/>
                    </a:ln>
                  </pic:spPr>
                </pic:pic>
              </a:graphicData>
            </a:graphic>
          </wp:anchor>
        </w:drawing>
      </w:r>
      <w:r>
        <w:rPr>
          <w:rFonts w:hint="eastAsia"/>
          <w:spacing w:val="-4"/>
        </w:rPr>
        <w:t xml:space="preserve">    </w:t>
      </w:r>
      <w:r>
        <w:rPr>
          <w:rFonts w:hint="eastAsia"/>
          <w:spacing w:val="-4"/>
        </w:rPr>
        <w:t>，噪声传播途径中的声级值与距离无关，基本上没有明显衰减；</w:t>
      </w:r>
    </w:p>
    <w:p w:rsidR="00EE56C0" w:rsidRDefault="000F36A1">
      <w:pPr>
        <w:pStyle w:val="aff4"/>
      </w:pPr>
      <w:r>
        <w:rPr>
          <w:rFonts w:hint="eastAsia"/>
        </w:rPr>
        <w:t>当</w:t>
      </w:r>
      <w:r>
        <w:rPr>
          <w:noProof/>
          <w:position w:val="-6"/>
        </w:rPr>
        <w:drawing>
          <wp:inline distT="0" distB="0" distL="0" distR="0">
            <wp:extent cx="315595" cy="173355"/>
            <wp:effectExtent l="19050" t="0" r="0" b="0"/>
            <wp:docPr id="2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6"/>
                    <pic:cNvPicPr>
                      <a:picLocks noChangeAspect="1" noChangeArrowheads="1"/>
                    </pic:cNvPicPr>
                  </pic:nvPicPr>
                  <pic:blipFill>
                    <a:blip r:embed="rId104"/>
                    <a:srcRect/>
                    <a:stretch>
                      <a:fillRect/>
                    </a:stretch>
                  </pic:blipFill>
                  <pic:spPr>
                    <a:xfrm>
                      <a:off x="0" y="0"/>
                      <a:ext cx="315595" cy="173355"/>
                    </a:xfrm>
                    <a:prstGeom prst="rect">
                      <a:avLst/>
                    </a:prstGeom>
                    <a:noFill/>
                    <a:ln w="9525">
                      <a:noFill/>
                      <a:miter lim="800000"/>
                      <a:headEnd/>
                      <a:tailEnd/>
                    </a:ln>
                  </pic:spPr>
                </pic:pic>
              </a:graphicData>
            </a:graphic>
          </wp:inline>
        </w:drawing>
      </w:r>
      <w:r>
        <w:t>≤</w:t>
      </w:r>
      <w:r>
        <w:rPr>
          <w:noProof/>
          <w:position w:val="-4"/>
        </w:rPr>
        <w:drawing>
          <wp:inline distT="0" distB="0" distL="0" distR="0">
            <wp:extent cx="110490" cy="141605"/>
            <wp:effectExtent l="19050" t="0" r="3810" b="0"/>
            <wp:docPr id="2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7"/>
                    <pic:cNvPicPr>
                      <a:picLocks noChangeAspect="1" noChangeArrowheads="1"/>
                    </pic:cNvPicPr>
                  </pic:nvPicPr>
                  <pic:blipFill>
                    <a:blip r:embed="rId103"/>
                    <a:srcRect/>
                    <a:stretch>
                      <a:fillRect/>
                    </a:stretch>
                  </pic:blipFill>
                  <pic:spPr>
                    <a:xfrm>
                      <a:off x="0" y="0"/>
                      <a:ext cx="110490" cy="141605"/>
                    </a:xfrm>
                    <a:prstGeom prst="rect">
                      <a:avLst/>
                    </a:prstGeom>
                    <a:noFill/>
                    <a:ln w="9525">
                      <a:noFill/>
                      <a:miter lim="800000"/>
                      <a:headEnd/>
                      <a:tailEnd/>
                    </a:ln>
                  </pic:spPr>
                </pic:pic>
              </a:graphicData>
            </a:graphic>
          </wp:inline>
        </w:drawing>
      </w:r>
      <w:r>
        <w:t>≤</w:t>
      </w:r>
      <w:r>
        <w:rPr>
          <w:noProof/>
          <w:position w:val="-6"/>
        </w:rPr>
        <w:drawing>
          <wp:inline distT="0" distB="0" distL="0" distR="0">
            <wp:extent cx="315595" cy="173355"/>
            <wp:effectExtent l="19050" t="0" r="0" b="0"/>
            <wp:docPr id="2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8"/>
                    <pic:cNvPicPr>
                      <a:picLocks noChangeAspect="1" noChangeArrowheads="1"/>
                    </pic:cNvPicPr>
                  </pic:nvPicPr>
                  <pic:blipFill>
                    <a:blip r:embed="rId105"/>
                    <a:srcRect/>
                    <a:stretch>
                      <a:fillRect/>
                    </a:stretch>
                  </pic:blipFill>
                  <pic:spPr>
                    <a:xfrm>
                      <a:off x="0" y="0"/>
                      <a:ext cx="315595" cy="173355"/>
                    </a:xfrm>
                    <a:prstGeom prst="rect">
                      <a:avLst/>
                    </a:prstGeom>
                    <a:noFill/>
                    <a:ln w="9525">
                      <a:noFill/>
                      <a:miter lim="800000"/>
                      <a:headEnd/>
                      <a:tailEnd/>
                    </a:ln>
                  </pic:spPr>
                </pic:pic>
              </a:graphicData>
            </a:graphic>
          </wp:inline>
        </w:drawing>
      </w:r>
      <w:r>
        <w:rPr>
          <w:rFonts w:hint="eastAsia"/>
        </w:rPr>
        <w:t>时，声源面可近似退化为线源，声压级计算公式为：</w:t>
      </w:r>
    </w:p>
    <w:p w:rsidR="00EE56C0" w:rsidRDefault="000F36A1">
      <w:pPr>
        <w:pStyle w:val="aff4"/>
      </w:pPr>
      <w:r>
        <w:rPr>
          <w:noProof/>
        </w:rPr>
        <w:drawing>
          <wp:anchor distT="0" distB="0" distL="114300" distR="114300" simplePos="0" relativeHeight="251672064" behindDoc="0" locked="0" layoutInCell="1" allowOverlap="1">
            <wp:simplePos x="0" y="0"/>
            <wp:positionH relativeFrom="column">
              <wp:posOffset>1621155</wp:posOffset>
            </wp:positionH>
            <wp:positionV relativeFrom="paragraph">
              <wp:posOffset>79375</wp:posOffset>
            </wp:positionV>
            <wp:extent cx="1219200" cy="228600"/>
            <wp:effectExtent l="19050" t="0" r="0" b="0"/>
            <wp:wrapNone/>
            <wp:docPr id="12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9"/>
                    <pic:cNvPicPr>
                      <a:picLocks noChangeAspect="1" noChangeArrowheads="1"/>
                    </pic:cNvPicPr>
                  </pic:nvPicPr>
                  <pic:blipFill>
                    <a:blip r:embed="rId106"/>
                    <a:srcRect/>
                    <a:stretch>
                      <a:fillRect/>
                    </a:stretch>
                  </pic:blipFill>
                  <pic:spPr>
                    <a:xfrm>
                      <a:off x="0" y="0"/>
                      <a:ext cx="1219200" cy="228600"/>
                    </a:xfrm>
                    <a:prstGeom prst="rect">
                      <a:avLst/>
                    </a:prstGeom>
                    <a:noFill/>
                    <a:ln w="9525">
                      <a:noFill/>
                      <a:miter lim="800000"/>
                      <a:headEnd/>
                      <a:tailEnd/>
                    </a:ln>
                  </pic:spPr>
                </pic:pic>
              </a:graphicData>
            </a:graphic>
          </wp:anchor>
        </w:drawing>
      </w:r>
    </w:p>
    <w:p w:rsidR="00EE56C0" w:rsidRDefault="000F36A1">
      <w:pPr>
        <w:pStyle w:val="aff4"/>
      </w:pPr>
      <w:r>
        <w:rPr>
          <w:rFonts w:hint="eastAsia"/>
        </w:rPr>
        <w:t>当</w:t>
      </w:r>
      <w:r>
        <w:rPr>
          <w:noProof/>
          <w:position w:val="-4"/>
        </w:rPr>
        <w:drawing>
          <wp:inline distT="0" distB="0" distL="0" distR="0">
            <wp:extent cx="110490" cy="141605"/>
            <wp:effectExtent l="19050" t="0" r="3810" b="0"/>
            <wp:docPr id="28"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0"/>
                    <pic:cNvPicPr>
                      <a:picLocks noChangeAspect="1" noChangeArrowheads="1"/>
                    </pic:cNvPicPr>
                  </pic:nvPicPr>
                  <pic:blipFill>
                    <a:blip r:embed="rId103"/>
                    <a:srcRect/>
                    <a:stretch>
                      <a:fillRect/>
                    </a:stretch>
                  </pic:blipFill>
                  <pic:spPr>
                    <a:xfrm>
                      <a:off x="0" y="0"/>
                      <a:ext cx="110490" cy="141605"/>
                    </a:xfrm>
                    <a:prstGeom prst="rect">
                      <a:avLst/>
                    </a:prstGeom>
                    <a:noFill/>
                    <a:ln w="9525">
                      <a:noFill/>
                      <a:miter lim="800000"/>
                      <a:headEnd/>
                      <a:tailEnd/>
                    </a:ln>
                  </pic:spPr>
                </pic:pic>
              </a:graphicData>
            </a:graphic>
          </wp:inline>
        </w:drawing>
      </w:r>
      <w:r>
        <w:rPr>
          <w:rFonts w:hint="eastAsia"/>
        </w:rPr>
        <w:t>＞</w:t>
      </w:r>
      <w:r>
        <w:rPr>
          <w:noProof/>
          <w:position w:val="-6"/>
        </w:rPr>
        <w:drawing>
          <wp:inline distT="0" distB="0" distL="0" distR="0">
            <wp:extent cx="315595" cy="173355"/>
            <wp:effectExtent l="19050" t="0" r="0" b="0"/>
            <wp:docPr id="2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1"/>
                    <pic:cNvPicPr>
                      <a:picLocks noChangeAspect="1" noChangeArrowheads="1"/>
                    </pic:cNvPicPr>
                  </pic:nvPicPr>
                  <pic:blipFill>
                    <a:blip r:embed="rId105"/>
                    <a:srcRect/>
                    <a:stretch>
                      <a:fillRect/>
                    </a:stretch>
                  </pic:blipFill>
                  <pic:spPr>
                    <a:xfrm>
                      <a:off x="0" y="0"/>
                      <a:ext cx="315595" cy="173355"/>
                    </a:xfrm>
                    <a:prstGeom prst="rect">
                      <a:avLst/>
                    </a:prstGeom>
                    <a:noFill/>
                    <a:ln w="9525">
                      <a:noFill/>
                      <a:miter lim="800000"/>
                      <a:headEnd/>
                      <a:tailEnd/>
                    </a:ln>
                  </pic:spPr>
                </pic:pic>
              </a:graphicData>
            </a:graphic>
          </wp:inline>
        </w:drawing>
      </w:r>
      <w:r>
        <w:rPr>
          <w:rFonts w:hint="eastAsia"/>
        </w:rPr>
        <w:t>时，可近似认为声源退化为一个点源，计算公式为：</w:t>
      </w:r>
    </w:p>
    <w:p w:rsidR="00EE56C0" w:rsidRDefault="000F36A1">
      <w:pPr>
        <w:pStyle w:val="aff4"/>
      </w:pPr>
      <w:r>
        <w:rPr>
          <w:noProof/>
        </w:rPr>
        <w:drawing>
          <wp:anchor distT="0" distB="0" distL="114300" distR="114300" simplePos="0" relativeHeight="251673088" behindDoc="0" locked="0" layoutInCell="1" allowOverlap="1">
            <wp:simplePos x="0" y="0"/>
            <wp:positionH relativeFrom="column">
              <wp:posOffset>1497330</wp:posOffset>
            </wp:positionH>
            <wp:positionV relativeFrom="paragraph">
              <wp:posOffset>95250</wp:posOffset>
            </wp:positionV>
            <wp:extent cx="1390650" cy="219075"/>
            <wp:effectExtent l="0" t="0" r="0" b="0"/>
            <wp:wrapNone/>
            <wp:docPr id="126"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22"/>
                    <pic:cNvPicPr>
                      <a:picLocks noChangeAspect="1" noChangeArrowheads="1"/>
                    </pic:cNvPicPr>
                  </pic:nvPicPr>
                  <pic:blipFill>
                    <a:blip r:embed="rId107"/>
                    <a:srcRect/>
                    <a:stretch>
                      <a:fillRect/>
                    </a:stretch>
                  </pic:blipFill>
                  <pic:spPr>
                    <a:xfrm>
                      <a:off x="0" y="0"/>
                      <a:ext cx="1390650" cy="219075"/>
                    </a:xfrm>
                    <a:prstGeom prst="rect">
                      <a:avLst/>
                    </a:prstGeom>
                    <a:noFill/>
                    <a:ln w="9525">
                      <a:noFill/>
                      <a:miter lim="800000"/>
                      <a:headEnd/>
                      <a:tailEnd/>
                    </a:ln>
                  </pic:spPr>
                </pic:pic>
              </a:graphicData>
            </a:graphic>
          </wp:anchor>
        </w:drawing>
      </w:r>
    </w:p>
    <w:p w:rsidR="00EE56C0" w:rsidRDefault="000F36A1">
      <w:pPr>
        <w:pStyle w:val="aff4"/>
      </w:pPr>
      <w:r>
        <w:rPr>
          <w:rFonts w:hint="eastAsia"/>
        </w:rPr>
        <w:t>式中：</w:t>
      </w:r>
      <w:r>
        <w:rPr>
          <w:noProof/>
          <w:position w:val="-10"/>
        </w:rPr>
        <w:drawing>
          <wp:inline distT="0" distB="0" distL="0" distR="0">
            <wp:extent cx="173355" cy="220980"/>
            <wp:effectExtent l="0" t="0" r="0" b="0"/>
            <wp:docPr id="3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3"/>
                    <pic:cNvPicPr>
                      <a:picLocks noChangeAspect="1" noChangeArrowheads="1"/>
                    </pic:cNvPicPr>
                  </pic:nvPicPr>
                  <pic:blipFill>
                    <a:blip r:embed="rId108"/>
                    <a:srcRect/>
                    <a:stretch>
                      <a:fillRect/>
                    </a:stretch>
                  </pic:blipFill>
                  <pic:spPr>
                    <a:xfrm>
                      <a:off x="0" y="0"/>
                      <a:ext cx="173355" cy="220980"/>
                    </a:xfrm>
                    <a:prstGeom prst="rect">
                      <a:avLst/>
                    </a:prstGeom>
                    <a:noFill/>
                    <a:ln w="9525">
                      <a:noFill/>
                      <a:miter lim="800000"/>
                      <a:headEnd/>
                      <a:tailEnd/>
                    </a:ln>
                  </pic:spPr>
                </pic:pic>
              </a:graphicData>
            </a:graphic>
          </wp:inline>
        </w:drawing>
      </w:r>
      <w:r>
        <w:t>—</w:t>
      </w:r>
      <w:r>
        <w:rPr>
          <w:rFonts w:hint="eastAsia"/>
        </w:rPr>
        <w:t>距噪声源距离为</w:t>
      </w:r>
      <w:r>
        <w:rPr>
          <w:noProof/>
          <w:position w:val="-4"/>
        </w:rPr>
        <w:drawing>
          <wp:inline distT="0" distB="0" distL="0" distR="0">
            <wp:extent cx="110490" cy="141605"/>
            <wp:effectExtent l="19050" t="0" r="3810" b="0"/>
            <wp:docPr id="31"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4"/>
                    <pic:cNvPicPr>
                      <a:picLocks noChangeAspect="1" noChangeArrowheads="1"/>
                    </pic:cNvPicPr>
                  </pic:nvPicPr>
                  <pic:blipFill>
                    <a:blip r:embed="rId103"/>
                    <a:srcRect/>
                    <a:stretch>
                      <a:fillRect/>
                    </a:stretch>
                  </pic:blipFill>
                  <pic:spPr>
                    <a:xfrm>
                      <a:off x="0" y="0"/>
                      <a:ext cx="110490" cy="141605"/>
                    </a:xfrm>
                    <a:prstGeom prst="rect">
                      <a:avLst/>
                    </a:prstGeom>
                    <a:noFill/>
                    <a:ln w="9525">
                      <a:noFill/>
                      <a:miter lim="800000"/>
                      <a:headEnd/>
                      <a:tailEnd/>
                    </a:ln>
                  </pic:spPr>
                </pic:pic>
              </a:graphicData>
            </a:graphic>
          </wp:inline>
        </w:drawing>
      </w:r>
      <w:r>
        <w:rPr>
          <w:rFonts w:hint="eastAsia"/>
        </w:rPr>
        <w:t>处声级值，</w:t>
      </w:r>
      <w:r>
        <w:t>[dB(A)]</w:t>
      </w:r>
      <w:r>
        <w:rPr>
          <w:rFonts w:hint="eastAsia"/>
        </w:rPr>
        <w:t>；</w:t>
      </w:r>
    </w:p>
    <w:p w:rsidR="00EE56C0" w:rsidRDefault="000F36A1">
      <w:pPr>
        <w:pStyle w:val="aff4"/>
      </w:pPr>
      <w:r>
        <w:rPr>
          <w:noProof/>
          <w:position w:val="-12"/>
        </w:rPr>
        <w:drawing>
          <wp:inline distT="0" distB="0" distL="0" distR="0">
            <wp:extent cx="173355" cy="236220"/>
            <wp:effectExtent l="0" t="0" r="0" b="0"/>
            <wp:docPr id="32"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5"/>
                    <pic:cNvPicPr>
                      <a:picLocks noChangeAspect="1" noChangeArrowheads="1"/>
                    </pic:cNvPicPr>
                  </pic:nvPicPr>
                  <pic:blipFill>
                    <a:blip r:embed="rId109"/>
                    <a:srcRect/>
                    <a:stretch>
                      <a:fillRect/>
                    </a:stretch>
                  </pic:blipFill>
                  <pic:spPr>
                    <a:xfrm>
                      <a:off x="0" y="0"/>
                      <a:ext cx="173355" cy="236220"/>
                    </a:xfrm>
                    <a:prstGeom prst="rect">
                      <a:avLst/>
                    </a:prstGeom>
                    <a:noFill/>
                    <a:ln w="9525">
                      <a:noFill/>
                      <a:miter lim="800000"/>
                      <a:headEnd/>
                      <a:tailEnd/>
                    </a:ln>
                  </pic:spPr>
                </pic:pic>
              </a:graphicData>
            </a:graphic>
          </wp:inline>
        </w:drawing>
      </w:r>
      <w:r>
        <w:t>—</w:t>
      </w:r>
      <w:r>
        <w:rPr>
          <w:rFonts w:hint="eastAsia"/>
        </w:rPr>
        <w:t>距噪声源距离为</w:t>
      </w:r>
      <w:r>
        <w:rPr>
          <w:noProof/>
          <w:position w:val="-12"/>
        </w:rPr>
        <w:drawing>
          <wp:inline distT="0" distB="0" distL="0" distR="0">
            <wp:extent cx="141605" cy="236220"/>
            <wp:effectExtent l="0" t="0" r="0" b="0"/>
            <wp:docPr id="3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26"/>
                    <pic:cNvPicPr>
                      <a:picLocks noChangeAspect="1" noChangeArrowheads="1"/>
                    </pic:cNvPicPr>
                  </pic:nvPicPr>
                  <pic:blipFill>
                    <a:blip r:embed="rId110"/>
                    <a:srcRect/>
                    <a:stretch>
                      <a:fillRect/>
                    </a:stretch>
                  </pic:blipFill>
                  <pic:spPr>
                    <a:xfrm>
                      <a:off x="0" y="0"/>
                      <a:ext cx="141605" cy="236220"/>
                    </a:xfrm>
                    <a:prstGeom prst="rect">
                      <a:avLst/>
                    </a:prstGeom>
                    <a:noFill/>
                    <a:ln w="9525">
                      <a:noFill/>
                      <a:miter lim="800000"/>
                      <a:headEnd/>
                      <a:tailEnd/>
                    </a:ln>
                  </pic:spPr>
                </pic:pic>
              </a:graphicData>
            </a:graphic>
          </wp:inline>
        </w:drawing>
      </w:r>
      <w:r>
        <w:rPr>
          <w:rFonts w:hint="eastAsia"/>
        </w:rPr>
        <w:t>处声级值，</w:t>
      </w:r>
      <w:r>
        <w:t>[dB(A)]</w:t>
      </w:r>
      <w:r>
        <w:rPr>
          <w:rFonts w:hint="eastAsia"/>
        </w:rPr>
        <w:t>；</w:t>
      </w:r>
    </w:p>
    <w:p w:rsidR="00EE56C0" w:rsidRDefault="000F36A1">
      <w:pPr>
        <w:pStyle w:val="aff4"/>
      </w:pPr>
      <w:r>
        <w:rPr>
          <w:noProof/>
          <w:position w:val="-4"/>
        </w:rPr>
        <w:drawing>
          <wp:inline distT="0" distB="0" distL="0" distR="0">
            <wp:extent cx="110490" cy="141605"/>
            <wp:effectExtent l="19050" t="0" r="3810" b="0"/>
            <wp:docPr id="3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7"/>
                    <pic:cNvPicPr>
                      <a:picLocks noChangeAspect="1" noChangeArrowheads="1"/>
                    </pic:cNvPicPr>
                  </pic:nvPicPr>
                  <pic:blipFill>
                    <a:blip r:embed="rId111"/>
                    <a:srcRect/>
                    <a:stretch>
                      <a:fillRect/>
                    </a:stretch>
                  </pic:blipFill>
                  <pic:spPr>
                    <a:xfrm>
                      <a:off x="0" y="0"/>
                      <a:ext cx="110490" cy="141605"/>
                    </a:xfrm>
                    <a:prstGeom prst="rect">
                      <a:avLst/>
                    </a:prstGeom>
                    <a:noFill/>
                    <a:ln w="9525">
                      <a:noFill/>
                      <a:miter lim="800000"/>
                      <a:headEnd/>
                      <a:tailEnd/>
                    </a:ln>
                  </pic:spPr>
                </pic:pic>
              </a:graphicData>
            </a:graphic>
          </wp:inline>
        </w:drawing>
      </w:r>
      <w:r>
        <w:t>—</w:t>
      </w:r>
      <w:r>
        <w:rPr>
          <w:rFonts w:hint="eastAsia"/>
        </w:rPr>
        <w:t>关心点距噪声源距离，</w:t>
      </w:r>
      <w:r>
        <w:t>m</w:t>
      </w:r>
      <w:r>
        <w:rPr>
          <w:rFonts w:hint="eastAsia"/>
        </w:rPr>
        <w:t>；</w:t>
      </w:r>
    </w:p>
    <w:p w:rsidR="00EE56C0" w:rsidRDefault="000F36A1">
      <w:pPr>
        <w:pStyle w:val="aff4"/>
      </w:pPr>
      <w:r>
        <w:rPr>
          <w:noProof/>
          <w:position w:val="-12"/>
        </w:rPr>
        <w:drawing>
          <wp:inline distT="0" distB="0" distL="0" distR="0">
            <wp:extent cx="141605" cy="236220"/>
            <wp:effectExtent l="0" t="0" r="0" b="0"/>
            <wp:docPr id="3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8"/>
                    <pic:cNvPicPr>
                      <a:picLocks noChangeAspect="1" noChangeArrowheads="1"/>
                    </pic:cNvPicPr>
                  </pic:nvPicPr>
                  <pic:blipFill>
                    <a:blip r:embed="rId112"/>
                    <a:srcRect/>
                    <a:stretch>
                      <a:fillRect/>
                    </a:stretch>
                  </pic:blipFill>
                  <pic:spPr>
                    <a:xfrm>
                      <a:off x="0" y="0"/>
                      <a:ext cx="141605" cy="236220"/>
                    </a:xfrm>
                    <a:prstGeom prst="rect">
                      <a:avLst/>
                    </a:prstGeom>
                    <a:noFill/>
                    <a:ln w="9525">
                      <a:noFill/>
                      <a:miter lim="800000"/>
                      <a:headEnd/>
                      <a:tailEnd/>
                    </a:ln>
                  </pic:spPr>
                </pic:pic>
              </a:graphicData>
            </a:graphic>
          </wp:inline>
        </w:drawing>
      </w:r>
      <w:r>
        <w:t>—</w:t>
      </w:r>
      <w:r>
        <w:rPr>
          <w:rFonts w:hint="eastAsia"/>
        </w:rPr>
        <w:t>距噪声源距离，</w:t>
      </w:r>
      <w:r>
        <w:rPr>
          <w:noProof/>
          <w:position w:val="-12"/>
        </w:rPr>
        <w:drawing>
          <wp:inline distT="0" distB="0" distL="0" distR="0">
            <wp:extent cx="141605" cy="236220"/>
            <wp:effectExtent l="0" t="0" r="0" b="0"/>
            <wp:docPr id="3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9"/>
                    <pic:cNvPicPr>
                      <a:picLocks noChangeAspect="1" noChangeArrowheads="1"/>
                    </pic:cNvPicPr>
                  </pic:nvPicPr>
                  <pic:blipFill>
                    <a:blip r:embed="rId113"/>
                    <a:srcRect/>
                    <a:stretch>
                      <a:fillRect/>
                    </a:stretch>
                  </pic:blipFill>
                  <pic:spPr>
                    <a:xfrm>
                      <a:off x="0" y="0"/>
                      <a:ext cx="141605" cy="236220"/>
                    </a:xfrm>
                    <a:prstGeom prst="rect">
                      <a:avLst/>
                    </a:prstGeom>
                    <a:noFill/>
                    <a:ln w="9525">
                      <a:noFill/>
                      <a:miter lim="800000"/>
                      <a:headEnd/>
                      <a:tailEnd/>
                    </a:ln>
                  </pic:spPr>
                </pic:pic>
              </a:graphicData>
            </a:graphic>
          </wp:inline>
        </w:drawing>
      </w:r>
      <w:r>
        <w:rPr>
          <w:rFonts w:hint="eastAsia"/>
        </w:rPr>
        <w:t>取</w:t>
      </w:r>
      <w:r>
        <w:t>1m</w:t>
      </w:r>
      <w:r>
        <w:rPr>
          <w:rFonts w:hint="eastAsia"/>
        </w:rPr>
        <w:t>。</w:t>
      </w:r>
    </w:p>
    <w:p w:rsidR="00EE56C0" w:rsidRDefault="000F36A1">
      <w:pPr>
        <w:pStyle w:val="aff4"/>
      </w:pPr>
      <w:r>
        <w:rPr>
          <w:rFonts w:hint="eastAsia"/>
        </w:rPr>
        <w:t>预测时，根据判定结果，取合适公式进行预测。</w:t>
      </w:r>
    </w:p>
    <w:p w:rsidR="00EE56C0" w:rsidRDefault="000F36A1">
      <w:pPr>
        <w:pStyle w:val="aff4"/>
      </w:pPr>
      <w:r>
        <w:rPr>
          <w:rFonts w:hint="eastAsia"/>
        </w:rPr>
        <w:t>②室内声源等效室外声源声功率计算</w:t>
      </w:r>
    </w:p>
    <w:p w:rsidR="00EE56C0" w:rsidRDefault="000F36A1">
      <w:pPr>
        <w:pStyle w:val="aff4"/>
      </w:pPr>
      <w:r>
        <w:rPr>
          <w:rFonts w:hint="eastAsia"/>
        </w:rPr>
        <w:t>噪声声源位于室内，室内声源可采用等效室外声源声功率级法进行计算。设</w:t>
      </w:r>
      <w:r>
        <w:rPr>
          <w:rFonts w:hint="eastAsia"/>
        </w:rPr>
        <w:lastRenderedPageBreak/>
        <w:t>靠近开口处</w:t>
      </w:r>
      <w:r>
        <w:t>(</w:t>
      </w:r>
      <w:r>
        <w:rPr>
          <w:rFonts w:hint="eastAsia"/>
        </w:rPr>
        <w:t>或窗户</w:t>
      </w:r>
      <w:r>
        <w:t>)</w:t>
      </w:r>
      <w:r>
        <w:rPr>
          <w:rFonts w:hint="eastAsia"/>
        </w:rPr>
        <w:t>室内、室外某倍频带的声压级分别为</w:t>
      </w:r>
      <w:r>
        <w:rPr>
          <w:i/>
          <w:iCs/>
        </w:rPr>
        <w:t>L</w:t>
      </w:r>
      <w:r>
        <w:rPr>
          <w:i/>
          <w:iCs/>
          <w:vertAlign w:val="subscript"/>
        </w:rPr>
        <w:t>p1</w:t>
      </w:r>
      <w:r>
        <w:rPr>
          <w:rFonts w:hint="eastAsia"/>
        </w:rPr>
        <w:t>和</w:t>
      </w:r>
      <w:r>
        <w:rPr>
          <w:i/>
          <w:iCs/>
        </w:rPr>
        <w:t>L</w:t>
      </w:r>
      <w:r>
        <w:rPr>
          <w:i/>
          <w:iCs/>
          <w:vertAlign w:val="subscript"/>
        </w:rPr>
        <w:t>p2</w:t>
      </w:r>
      <w:r>
        <w:rPr>
          <w:rFonts w:hint="eastAsia"/>
        </w:rPr>
        <w:t>。若声源所在室内声场</w:t>
      </w:r>
      <w:r>
        <w:t>为近似扩散声场，则室外的倍频带声压级可按公式近似求出</w:t>
      </w:r>
      <w:r>
        <w:t>:</w:t>
      </w:r>
    </w:p>
    <w:p w:rsidR="00EE56C0" w:rsidRDefault="000F36A1">
      <w:pPr>
        <w:pStyle w:val="aff4"/>
      </w:pPr>
      <w:r>
        <w:t>Lp2=Lp1-(TL+6)</w:t>
      </w:r>
    </w:p>
    <w:p w:rsidR="00EE56C0" w:rsidRDefault="000F36A1">
      <w:pPr>
        <w:pStyle w:val="aff4"/>
      </w:pPr>
      <w:r>
        <w:t>式中：</w:t>
      </w:r>
      <w:r>
        <w:rPr>
          <w:i/>
          <w:iCs/>
        </w:rPr>
        <w:t>TL</w:t>
      </w:r>
      <w:r>
        <w:t>一隔墙</w:t>
      </w:r>
      <w:r>
        <w:t>(</w:t>
      </w:r>
      <w:r>
        <w:rPr>
          <w:rFonts w:hint="eastAsia"/>
        </w:rPr>
        <w:t>或窗户</w:t>
      </w:r>
      <w:r>
        <w:t>)</w:t>
      </w:r>
      <w:r>
        <w:rPr>
          <w:rFonts w:hint="eastAsia"/>
        </w:rPr>
        <w:t>倍频带的隔声量，</w:t>
      </w:r>
      <w:r>
        <w:t>dB</w:t>
      </w:r>
      <w:r>
        <w:rPr>
          <w:rFonts w:hint="eastAsia"/>
        </w:rPr>
        <w:t>。</w:t>
      </w:r>
    </w:p>
    <w:p w:rsidR="00EE56C0" w:rsidRDefault="000F36A1">
      <w:pPr>
        <w:pStyle w:val="aff4"/>
      </w:pPr>
      <w:r>
        <w:rPr>
          <w:rFonts w:hint="eastAsia"/>
        </w:rPr>
        <w:t>③噪声源叠加影响分析方法</w:t>
      </w:r>
    </w:p>
    <w:p w:rsidR="00EE56C0" w:rsidRDefault="00EE56C0">
      <w:pPr>
        <w:pStyle w:val="aff4"/>
      </w:pPr>
    </w:p>
    <w:p w:rsidR="00EE56C0" w:rsidRDefault="000F36A1">
      <w:pPr>
        <w:pStyle w:val="aff4"/>
      </w:pPr>
      <w:r>
        <w:rPr>
          <w:noProof/>
        </w:rPr>
        <w:drawing>
          <wp:anchor distT="0" distB="0" distL="114300" distR="114300" simplePos="0" relativeHeight="251671040" behindDoc="0" locked="0" layoutInCell="1" allowOverlap="1">
            <wp:simplePos x="0" y="0"/>
            <wp:positionH relativeFrom="column">
              <wp:posOffset>325755</wp:posOffset>
            </wp:positionH>
            <wp:positionV relativeFrom="paragraph">
              <wp:posOffset>-161290</wp:posOffset>
            </wp:positionV>
            <wp:extent cx="1181100" cy="428625"/>
            <wp:effectExtent l="19050" t="0" r="0" b="0"/>
            <wp:wrapSquare wrapText="bothSides"/>
            <wp:docPr id="12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31"/>
                    <pic:cNvPicPr>
                      <a:picLocks noChangeAspect="1" noChangeArrowheads="1"/>
                    </pic:cNvPicPr>
                  </pic:nvPicPr>
                  <pic:blipFill>
                    <a:blip r:embed="rId114"/>
                    <a:srcRect/>
                    <a:stretch>
                      <a:fillRect/>
                    </a:stretch>
                  </pic:blipFill>
                  <pic:spPr>
                    <a:xfrm>
                      <a:off x="0" y="0"/>
                      <a:ext cx="1181100" cy="428625"/>
                    </a:xfrm>
                    <a:prstGeom prst="rect">
                      <a:avLst/>
                    </a:prstGeom>
                    <a:noFill/>
                    <a:ln w="9525">
                      <a:noFill/>
                      <a:miter lim="800000"/>
                      <a:headEnd/>
                      <a:tailEnd/>
                    </a:ln>
                  </pic:spPr>
                </pic:pic>
              </a:graphicData>
            </a:graphic>
          </wp:anchor>
        </w:drawing>
      </w:r>
    </w:p>
    <w:p w:rsidR="00EE56C0" w:rsidRDefault="000F36A1">
      <w:pPr>
        <w:pStyle w:val="aff4"/>
      </w:pPr>
      <w:r>
        <w:rPr>
          <w:rFonts w:hint="eastAsia"/>
        </w:rPr>
        <w:t>式中：</w:t>
      </w:r>
      <w:r>
        <w:rPr>
          <w:noProof/>
          <w:position w:val="-4"/>
        </w:rPr>
        <w:drawing>
          <wp:inline distT="0" distB="0" distL="0" distR="0">
            <wp:extent cx="141605" cy="173355"/>
            <wp:effectExtent l="19050" t="0" r="0" b="0"/>
            <wp:docPr id="37"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2"/>
                    <pic:cNvPicPr>
                      <a:picLocks noChangeAspect="1" noChangeArrowheads="1"/>
                    </pic:cNvPicPr>
                  </pic:nvPicPr>
                  <pic:blipFill>
                    <a:blip r:embed="rId115"/>
                    <a:srcRect/>
                    <a:stretch>
                      <a:fillRect/>
                    </a:stretch>
                  </pic:blipFill>
                  <pic:spPr>
                    <a:xfrm>
                      <a:off x="0" y="0"/>
                      <a:ext cx="141605" cy="173355"/>
                    </a:xfrm>
                    <a:prstGeom prst="rect">
                      <a:avLst/>
                    </a:prstGeom>
                    <a:noFill/>
                    <a:ln w="9525">
                      <a:noFill/>
                      <a:miter lim="800000"/>
                      <a:headEnd/>
                      <a:tailEnd/>
                    </a:ln>
                  </pic:spPr>
                </pic:pic>
              </a:graphicData>
            </a:graphic>
          </wp:inline>
        </w:drawing>
      </w:r>
      <w:r>
        <w:t>—</w:t>
      </w:r>
      <w:r>
        <w:rPr>
          <w:rFonts w:hint="eastAsia"/>
        </w:rPr>
        <w:t>总声压级，</w:t>
      </w:r>
      <w:r>
        <w:t>[dB(A)]</w:t>
      </w:r>
      <w:r>
        <w:rPr>
          <w:rFonts w:hint="eastAsia"/>
        </w:rPr>
        <w:t>；</w:t>
      </w:r>
    </w:p>
    <w:p w:rsidR="00EE56C0" w:rsidRDefault="000F36A1">
      <w:pPr>
        <w:pStyle w:val="aff4"/>
      </w:pPr>
      <w:r>
        <w:rPr>
          <w:noProof/>
          <w:position w:val="-12"/>
        </w:rPr>
        <w:drawing>
          <wp:inline distT="0" distB="0" distL="0" distR="0">
            <wp:extent cx="173355" cy="236220"/>
            <wp:effectExtent l="0" t="0" r="0" b="0"/>
            <wp:docPr id="3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3"/>
                    <pic:cNvPicPr>
                      <a:picLocks noChangeAspect="1" noChangeArrowheads="1"/>
                    </pic:cNvPicPr>
                  </pic:nvPicPr>
                  <pic:blipFill>
                    <a:blip r:embed="rId116"/>
                    <a:srcRect/>
                    <a:stretch>
                      <a:fillRect/>
                    </a:stretch>
                  </pic:blipFill>
                  <pic:spPr>
                    <a:xfrm>
                      <a:off x="0" y="0"/>
                      <a:ext cx="173355" cy="236220"/>
                    </a:xfrm>
                    <a:prstGeom prst="rect">
                      <a:avLst/>
                    </a:prstGeom>
                    <a:noFill/>
                    <a:ln w="9525">
                      <a:noFill/>
                      <a:miter lim="800000"/>
                      <a:headEnd/>
                      <a:tailEnd/>
                    </a:ln>
                  </pic:spPr>
                </pic:pic>
              </a:graphicData>
            </a:graphic>
          </wp:inline>
        </w:drawing>
      </w:r>
      <w:r>
        <w:t>—</w:t>
      </w:r>
      <w:r>
        <w:rPr>
          <w:rFonts w:hint="eastAsia"/>
        </w:rPr>
        <w:t>第</w:t>
      </w:r>
      <w:r>
        <w:rPr>
          <w:noProof/>
          <w:position w:val="-6"/>
        </w:rPr>
        <w:drawing>
          <wp:inline distT="0" distB="0" distL="0" distR="0">
            <wp:extent cx="94615" cy="173355"/>
            <wp:effectExtent l="19050" t="0" r="635" b="0"/>
            <wp:docPr id="3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4"/>
                    <pic:cNvPicPr>
                      <a:picLocks noChangeAspect="1" noChangeArrowheads="1"/>
                    </pic:cNvPicPr>
                  </pic:nvPicPr>
                  <pic:blipFill>
                    <a:blip r:embed="rId117"/>
                    <a:srcRect/>
                    <a:stretch>
                      <a:fillRect/>
                    </a:stretch>
                  </pic:blipFill>
                  <pic:spPr>
                    <a:xfrm>
                      <a:off x="0" y="0"/>
                      <a:ext cx="94615" cy="173355"/>
                    </a:xfrm>
                    <a:prstGeom prst="rect">
                      <a:avLst/>
                    </a:prstGeom>
                    <a:noFill/>
                    <a:ln w="9525">
                      <a:noFill/>
                      <a:miter lim="800000"/>
                      <a:headEnd/>
                      <a:tailEnd/>
                    </a:ln>
                  </pic:spPr>
                </pic:pic>
              </a:graphicData>
            </a:graphic>
          </wp:inline>
        </w:drawing>
      </w:r>
      <w:r>
        <w:rPr>
          <w:rFonts w:hint="eastAsia"/>
        </w:rPr>
        <w:t>个声源的声压级，</w:t>
      </w:r>
      <w:r>
        <w:t>[dB(A)]</w:t>
      </w:r>
      <w:r>
        <w:rPr>
          <w:rFonts w:hint="eastAsia"/>
        </w:rPr>
        <w:t>；</w:t>
      </w:r>
    </w:p>
    <w:p w:rsidR="00EE56C0" w:rsidRDefault="000F36A1">
      <w:pPr>
        <w:pStyle w:val="aff4"/>
      </w:pPr>
      <w:r>
        <w:rPr>
          <w:noProof/>
          <w:position w:val="-6"/>
        </w:rPr>
        <w:drawing>
          <wp:inline distT="0" distB="0" distL="0" distR="0">
            <wp:extent cx="141605" cy="141605"/>
            <wp:effectExtent l="19050" t="0" r="0" b="0"/>
            <wp:docPr id="4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5"/>
                    <pic:cNvPicPr>
                      <a:picLocks noChangeAspect="1" noChangeArrowheads="1"/>
                    </pic:cNvPicPr>
                  </pic:nvPicPr>
                  <pic:blipFill>
                    <a:blip r:embed="rId118"/>
                    <a:srcRect/>
                    <a:stretch>
                      <a:fillRect/>
                    </a:stretch>
                  </pic:blipFill>
                  <pic:spPr>
                    <a:xfrm>
                      <a:off x="0" y="0"/>
                      <a:ext cx="141605" cy="141605"/>
                    </a:xfrm>
                    <a:prstGeom prst="rect">
                      <a:avLst/>
                    </a:prstGeom>
                    <a:noFill/>
                    <a:ln w="9525">
                      <a:noFill/>
                      <a:miter lim="800000"/>
                      <a:headEnd/>
                      <a:tailEnd/>
                    </a:ln>
                  </pic:spPr>
                </pic:pic>
              </a:graphicData>
            </a:graphic>
          </wp:inline>
        </w:drawing>
      </w:r>
      <w:r>
        <w:t>—</w:t>
      </w:r>
      <w:r>
        <w:rPr>
          <w:rFonts w:hint="eastAsia"/>
        </w:rPr>
        <w:t>声源数量。</w:t>
      </w:r>
    </w:p>
    <w:p w:rsidR="00EE56C0" w:rsidRDefault="000F36A1">
      <w:pPr>
        <w:pStyle w:val="aff4"/>
      </w:pPr>
      <w:r>
        <w:rPr>
          <w:rFonts w:hint="eastAsia"/>
        </w:rPr>
        <w:t>④户外声传播衰减计算公式</w:t>
      </w:r>
    </w:p>
    <w:p w:rsidR="00EE56C0" w:rsidRDefault="000F36A1">
      <w:pPr>
        <w:ind w:firstLine="480"/>
      </w:pPr>
      <w:r>
        <w:t>L( r )=Lref (r0)-(Adiv+Abar+Aatm+A exe)</w:t>
      </w:r>
    </w:p>
    <w:p w:rsidR="00EE56C0" w:rsidRDefault="000F36A1">
      <w:pPr>
        <w:ind w:firstLine="480"/>
      </w:pPr>
      <w:r>
        <w:rPr>
          <w:rFonts w:hint="eastAsia"/>
        </w:rPr>
        <w:t>式中：</w:t>
      </w:r>
      <w:r>
        <w:t>A div</w:t>
      </w:r>
      <w:r>
        <w:rPr>
          <w:rFonts w:hint="eastAsia"/>
        </w:rPr>
        <w:t>—几何发散；</w:t>
      </w:r>
    </w:p>
    <w:p w:rsidR="00EE56C0" w:rsidRDefault="000F36A1">
      <w:pPr>
        <w:ind w:firstLine="480"/>
      </w:pPr>
      <w:r>
        <w:t xml:space="preserve">      Abar</w:t>
      </w:r>
      <w:r>
        <w:rPr>
          <w:rFonts w:hint="eastAsia"/>
        </w:rPr>
        <w:t>—遮挡物衰减；</w:t>
      </w:r>
    </w:p>
    <w:p w:rsidR="00EE56C0" w:rsidRDefault="000F36A1">
      <w:pPr>
        <w:pStyle w:val="aff4"/>
      </w:pPr>
      <w:r>
        <w:t xml:space="preserve">      Aatm</w:t>
      </w:r>
      <w:r>
        <w:rPr>
          <w:rFonts w:hint="eastAsia"/>
        </w:rPr>
        <w:t>—大气吸收；</w:t>
      </w:r>
    </w:p>
    <w:p w:rsidR="00EE56C0" w:rsidRDefault="000F36A1">
      <w:pPr>
        <w:pStyle w:val="4"/>
        <w:ind w:left="120" w:firstLine="241"/>
      </w:pPr>
      <w:r>
        <w:rPr>
          <w:rFonts w:hint="eastAsia"/>
        </w:rPr>
        <w:t>5.4.1.6</w:t>
      </w:r>
      <w:r>
        <w:t>厂界预测结果及评价</w:t>
      </w:r>
    </w:p>
    <w:p w:rsidR="00EE56C0" w:rsidRDefault="000F36A1">
      <w:pPr>
        <w:pStyle w:val="aff4"/>
      </w:pPr>
      <w:r>
        <w:t>根据工程噪声源在厂区的分布和源强，以及其与四周厂界的距离及建筑物的衰减状况，计算出各声源对四周厂界的噪声贡献值，</w:t>
      </w:r>
      <w:r>
        <w:rPr>
          <w:rFonts w:hint="eastAsia"/>
        </w:rPr>
        <w:t>预测结果见表</w:t>
      </w:r>
      <w:r>
        <w:t>5-</w:t>
      </w:r>
      <w:r>
        <w:rPr>
          <w:rFonts w:hint="eastAsia"/>
        </w:rPr>
        <w:t>5</w:t>
      </w:r>
      <w:r w:rsidR="005767FB">
        <w:rPr>
          <w:rFonts w:hint="eastAsia"/>
        </w:rPr>
        <w:t>1</w:t>
      </w:r>
      <w:r>
        <w:rPr>
          <w:rFonts w:hint="eastAsia"/>
        </w:rPr>
        <w:t>。</w:t>
      </w:r>
    </w:p>
    <w:p w:rsidR="00EE56C0" w:rsidRDefault="000F36A1">
      <w:pPr>
        <w:pStyle w:val="afd"/>
        <w:spacing w:before="120" w:after="120"/>
        <w:ind w:firstLine="482"/>
      </w:pPr>
      <w:r>
        <w:t>表</w:t>
      </w:r>
      <w:r>
        <w:t>5-</w:t>
      </w:r>
      <w:r>
        <w:rPr>
          <w:rFonts w:hint="eastAsia"/>
        </w:rPr>
        <w:t>5</w:t>
      </w:r>
      <w:r w:rsidR="005767FB">
        <w:rPr>
          <w:rFonts w:hint="eastAsia"/>
        </w:rPr>
        <w:t xml:space="preserve">1             </w:t>
      </w:r>
      <w:r>
        <w:t xml:space="preserve"> </w:t>
      </w:r>
      <w:r>
        <w:t>厂界噪声预测结果</w:t>
      </w:r>
    </w:p>
    <w:tbl>
      <w:tblPr>
        <w:tblW w:w="5000" w:type="pct"/>
        <w:tblBorders>
          <w:top w:val="single" w:sz="8" w:space="0" w:color="000000"/>
          <w:left w:val="single" w:sz="8" w:space="0" w:color="000000"/>
          <w:bottom w:val="single" w:sz="8" w:space="0" w:color="000000"/>
          <w:right w:val="single" w:sz="8" w:space="0" w:color="000000"/>
          <w:insideH w:val="single" w:sz="4" w:space="0" w:color="000000"/>
          <w:insideV w:val="single" w:sz="4" w:space="0" w:color="000000"/>
        </w:tblBorders>
        <w:tblLayout w:type="fixed"/>
        <w:tblLook w:val="04A0"/>
      </w:tblPr>
      <w:tblGrid>
        <w:gridCol w:w="883"/>
        <w:gridCol w:w="785"/>
        <w:gridCol w:w="850"/>
        <w:gridCol w:w="992"/>
        <w:gridCol w:w="851"/>
        <w:gridCol w:w="1134"/>
        <w:gridCol w:w="2079"/>
        <w:gridCol w:w="955"/>
      </w:tblGrid>
      <w:tr w:rsidR="00EE56C0">
        <w:trPr>
          <w:trHeight w:val="397"/>
        </w:trPr>
        <w:tc>
          <w:tcPr>
            <w:tcW w:w="883" w:type="dxa"/>
            <w:vAlign w:val="center"/>
          </w:tcPr>
          <w:p w:rsidR="00EE56C0" w:rsidRDefault="000F36A1">
            <w:pPr>
              <w:pStyle w:val="aff1"/>
              <w:rPr>
                <w:rFonts w:cs="Times New Roman"/>
                <w:color w:val="auto"/>
                <w:szCs w:val="21"/>
              </w:rPr>
            </w:pPr>
            <w:r>
              <w:rPr>
                <w:rFonts w:cs="Times New Roman"/>
                <w:color w:val="auto"/>
                <w:szCs w:val="21"/>
              </w:rPr>
              <w:t>点位</w:t>
            </w:r>
          </w:p>
        </w:tc>
        <w:tc>
          <w:tcPr>
            <w:tcW w:w="1635" w:type="dxa"/>
            <w:gridSpan w:val="2"/>
            <w:vAlign w:val="center"/>
          </w:tcPr>
          <w:p w:rsidR="00EE56C0" w:rsidRDefault="000F36A1">
            <w:pPr>
              <w:pStyle w:val="aff1"/>
              <w:rPr>
                <w:rFonts w:cs="Times New Roman"/>
                <w:color w:val="auto"/>
                <w:szCs w:val="21"/>
              </w:rPr>
            </w:pPr>
            <w:r>
              <w:rPr>
                <w:rFonts w:cs="Times New Roman"/>
                <w:color w:val="auto"/>
                <w:szCs w:val="21"/>
              </w:rPr>
              <w:t>现状背景值</w:t>
            </w:r>
            <w:r>
              <w:rPr>
                <w:rFonts w:cs="Times New Roman"/>
                <w:color w:val="auto"/>
                <w:szCs w:val="21"/>
              </w:rPr>
              <w:t>dB(A)</w:t>
            </w:r>
          </w:p>
        </w:tc>
        <w:tc>
          <w:tcPr>
            <w:tcW w:w="992" w:type="dxa"/>
            <w:vAlign w:val="center"/>
          </w:tcPr>
          <w:p w:rsidR="00EE56C0" w:rsidRDefault="000F36A1">
            <w:pPr>
              <w:pStyle w:val="aff1"/>
              <w:rPr>
                <w:rFonts w:cs="Times New Roman"/>
                <w:color w:val="auto"/>
                <w:szCs w:val="21"/>
              </w:rPr>
            </w:pPr>
            <w:r>
              <w:rPr>
                <w:rFonts w:cs="Times New Roman"/>
                <w:color w:val="auto"/>
                <w:szCs w:val="21"/>
              </w:rPr>
              <w:t>贡献值</w:t>
            </w:r>
            <w:r>
              <w:rPr>
                <w:rFonts w:cs="Times New Roman"/>
                <w:color w:val="auto"/>
                <w:szCs w:val="21"/>
              </w:rPr>
              <w:t>dB(A)</w:t>
            </w:r>
          </w:p>
        </w:tc>
        <w:tc>
          <w:tcPr>
            <w:tcW w:w="1985" w:type="dxa"/>
            <w:gridSpan w:val="2"/>
            <w:vAlign w:val="center"/>
          </w:tcPr>
          <w:p w:rsidR="00EE56C0" w:rsidRDefault="000F36A1">
            <w:pPr>
              <w:pStyle w:val="aff1"/>
              <w:rPr>
                <w:rFonts w:cs="Times New Roman"/>
                <w:color w:val="auto"/>
                <w:szCs w:val="21"/>
              </w:rPr>
            </w:pPr>
            <w:r>
              <w:rPr>
                <w:rFonts w:cs="Times New Roman"/>
                <w:color w:val="auto"/>
                <w:szCs w:val="21"/>
              </w:rPr>
              <w:t>预测结果</w:t>
            </w:r>
            <w:r>
              <w:rPr>
                <w:rFonts w:cs="Times New Roman"/>
                <w:color w:val="auto"/>
                <w:szCs w:val="21"/>
              </w:rPr>
              <w:t>dB(A)</w:t>
            </w:r>
          </w:p>
        </w:tc>
        <w:tc>
          <w:tcPr>
            <w:tcW w:w="2079" w:type="dxa"/>
            <w:vAlign w:val="center"/>
          </w:tcPr>
          <w:p w:rsidR="00EE56C0" w:rsidRDefault="000F36A1">
            <w:pPr>
              <w:pStyle w:val="aff1"/>
              <w:rPr>
                <w:rFonts w:cs="Times New Roman"/>
                <w:color w:val="auto"/>
                <w:szCs w:val="21"/>
              </w:rPr>
            </w:pPr>
            <w:r>
              <w:rPr>
                <w:rFonts w:cs="Times New Roman"/>
                <w:color w:val="auto"/>
                <w:szCs w:val="21"/>
              </w:rPr>
              <w:t>评价标准</w:t>
            </w:r>
          </w:p>
        </w:tc>
        <w:tc>
          <w:tcPr>
            <w:tcW w:w="955" w:type="dxa"/>
            <w:vAlign w:val="center"/>
          </w:tcPr>
          <w:p w:rsidR="00EE56C0" w:rsidRDefault="000F36A1">
            <w:pPr>
              <w:pStyle w:val="aff1"/>
              <w:rPr>
                <w:rFonts w:cs="Times New Roman"/>
                <w:color w:val="auto"/>
                <w:szCs w:val="21"/>
              </w:rPr>
            </w:pPr>
            <w:r>
              <w:rPr>
                <w:rFonts w:cs="Times New Roman"/>
                <w:color w:val="auto"/>
                <w:szCs w:val="21"/>
              </w:rPr>
              <w:t>预测达标情况</w:t>
            </w:r>
          </w:p>
        </w:tc>
      </w:tr>
      <w:tr w:rsidR="00EE56C0">
        <w:trPr>
          <w:trHeight w:val="397"/>
        </w:trPr>
        <w:tc>
          <w:tcPr>
            <w:tcW w:w="883" w:type="dxa"/>
            <w:vMerge w:val="restart"/>
            <w:vAlign w:val="center"/>
          </w:tcPr>
          <w:p w:rsidR="00EE56C0" w:rsidRDefault="000F36A1">
            <w:pPr>
              <w:pStyle w:val="afa"/>
            </w:pPr>
            <w:r>
              <w:t>东厂界</w:t>
            </w:r>
          </w:p>
        </w:tc>
        <w:tc>
          <w:tcPr>
            <w:tcW w:w="785" w:type="dxa"/>
            <w:vAlign w:val="center"/>
          </w:tcPr>
          <w:p w:rsidR="00EE56C0" w:rsidRDefault="000F36A1">
            <w:pPr>
              <w:pStyle w:val="afa"/>
            </w:pPr>
            <w:r>
              <w:t>昼</w:t>
            </w:r>
          </w:p>
        </w:tc>
        <w:tc>
          <w:tcPr>
            <w:tcW w:w="850" w:type="dxa"/>
            <w:vAlign w:val="center"/>
          </w:tcPr>
          <w:p w:rsidR="00EE56C0" w:rsidRDefault="000F36A1">
            <w:pPr>
              <w:pStyle w:val="afa"/>
            </w:pPr>
            <w:r>
              <w:rPr>
                <w:rFonts w:hint="eastAsia"/>
              </w:rPr>
              <w:t>53</w:t>
            </w:r>
          </w:p>
        </w:tc>
        <w:tc>
          <w:tcPr>
            <w:tcW w:w="992" w:type="dxa"/>
            <w:vMerge w:val="restart"/>
            <w:vAlign w:val="center"/>
          </w:tcPr>
          <w:p w:rsidR="00EE56C0" w:rsidRDefault="000F36A1">
            <w:pPr>
              <w:pStyle w:val="afa"/>
            </w:pPr>
            <w:r>
              <w:rPr>
                <w:rFonts w:hint="eastAsia"/>
              </w:rPr>
              <w:t>34.42</w:t>
            </w:r>
          </w:p>
        </w:tc>
        <w:tc>
          <w:tcPr>
            <w:tcW w:w="851" w:type="dxa"/>
            <w:vAlign w:val="center"/>
          </w:tcPr>
          <w:p w:rsidR="00EE56C0" w:rsidRDefault="000F36A1">
            <w:pPr>
              <w:pStyle w:val="afa"/>
            </w:pPr>
            <w:r>
              <w:t>昼</w:t>
            </w:r>
          </w:p>
        </w:tc>
        <w:tc>
          <w:tcPr>
            <w:tcW w:w="1134" w:type="dxa"/>
            <w:vAlign w:val="center"/>
          </w:tcPr>
          <w:p w:rsidR="00EE56C0" w:rsidRDefault="000F36A1">
            <w:pPr>
              <w:pStyle w:val="afa"/>
            </w:pPr>
            <w:r>
              <w:rPr>
                <w:rFonts w:hint="eastAsia"/>
              </w:rPr>
              <w:t>53.06</w:t>
            </w:r>
          </w:p>
        </w:tc>
        <w:tc>
          <w:tcPr>
            <w:tcW w:w="2079" w:type="dxa"/>
            <w:vMerge w:val="restart"/>
            <w:vAlign w:val="center"/>
          </w:tcPr>
          <w:p w:rsidR="00EE56C0" w:rsidRDefault="000F36A1">
            <w:pPr>
              <w:pStyle w:val="afa"/>
            </w:pPr>
            <w:r>
              <w:t>《工业企业厂界环境噪声排放标准》（</w:t>
            </w:r>
            <w:r>
              <w:t>GB12348-2008</w:t>
            </w:r>
            <w:r>
              <w:t>）</w:t>
            </w:r>
            <w:r>
              <w:t>3</w:t>
            </w:r>
            <w:r>
              <w:t>类标准：昼间</w:t>
            </w:r>
            <w:r>
              <w:t>65dB(A)</w:t>
            </w:r>
            <w:r>
              <w:t>，夜间</w:t>
            </w:r>
            <w:r>
              <w:t>55dB(A)</w:t>
            </w:r>
          </w:p>
        </w:tc>
        <w:tc>
          <w:tcPr>
            <w:tcW w:w="955" w:type="dxa"/>
            <w:vMerge w:val="restart"/>
            <w:vAlign w:val="center"/>
          </w:tcPr>
          <w:p w:rsidR="00EE56C0" w:rsidRDefault="000F36A1">
            <w:pPr>
              <w:pStyle w:val="afa"/>
            </w:pPr>
            <w:r>
              <w:t>达标</w:t>
            </w:r>
          </w:p>
        </w:tc>
      </w:tr>
      <w:tr w:rsidR="00EE56C0">
        <w:trPr>
          <w:trHeight w:val="397"/>
        </w:trPr>
        <w:tc>
          <w:tcPr>
            <w:tcW w:w="883" w:type="dxa"/>
            <w:vMerge/>
            <w:vAlign w:val="center"/>
          </w:tcPr>
          <w:p w:rsidR="00EE56C0" w:rsidRDefault="00EE56C0">
            <w:pPr>
              <w:pStyle w:val="afa"/>
            </w:pPr>
          </w:p>
        </w:tc>
        <w:tc>
          <w:tcPr>
            <w:tcW w:w="785" w:type="dxa"/>
            <w:vAlign w:val="center"/>
          </w:tcPr>
          <w:p w:rsidR="00EE56C0" w:rsidRDefault="000F36A1">
            <w:pPr>
              <w:pStyle w:val="afa"/>
            </w:pPr>
            <w:r>
              <w:t>夜</w:t>
            </w:r>
          </w:p>
        </w:tc>
        <w:tc>
          <w:tcPr>
            <w:tcW w:w="850" w:type="dxa"/>
            <w:vAlign w:val="center"/>
          </w:tcPr>
          <w:p w:rsidR="00EE56C0" w:rsidRDefault="000F36A1">
            <w:pPr>
              <w:pStyle w:val="afa"/>
            </w:pPr>
            <w:r>
              <w:rPr>
                <w:rFonts w:hint="eastAsia"/>
              </w:rPr>
              <w:t>44</w:t>
            </w:r>
          </w:p>
        </w:tc>
        <w:tc>
          <w:tcPr>
            <w:tcW w:w="992" w:type="dxa"/>
            <w:vMerge/>
            <w:vAlign w:val="center"/>
          </w:tcPr>
          <w:p w:rsidR="00EE56C0" w:rsidRDefault="00EE56C0">
            <w:pPr>
              <w:pStyle w:val="afa"/>
            </w:pPr>
          </w:p>
        </w:tc>
        <w:tc>
          <w:tcPr>
            <w:tcW w:w="851" w:type="dxa"/>
            <w:vAlign w:val="center"/>
          </w:tcPr>
          <w:p w:rsidR="00EE56C0" w:rsidRDefault="000F36A1">
            <w:pPr>
              <w:pStyle w:val="afa"/>
            </w:pPr>
            <w:r>
              <w:t>夜</w:t>
            </w:r>
          </w:p>
        </w:tc>
        <w:tc>
          <w:tcPr>
            <w:tcW w:w="1134" w:type="dxa"/>
            <w:vAlign w:val="center"/>
          </w:tcPr>
          <w:p w:rsidR="00EE56C0" w:rsidRDefault="000F36A1">
            <w:pPr>
              <w:pStyle w:val="afa"/>
            </w:pPr>
            <w:r>
              <w:rPr>
                <w:rFonts w:hint="eastAsia"/>
              </w:rPr>
              <w:t>44.45</w:t>
            </w:r>
          </w:p>
        </w:tc>
        <w:tc>
          <w:tcPr>
            <w:tcW w:w="2079" w:type="dxa"/>
            <w:vMerge/>
            <w:vAlign w:val="center"/>
          </w:tcPr>
          <w:p w:rsidR="00EE56C0" w:rsidRDefault="00EE56C0">
            <w:pPr>
              <w:pStyle w:val="afa"/>
            </w:pPr>
          </w:p>
        </w:tc>
        <w:tc>
          <w:tcPr>
            <w:tcW w:w="955" w:type="dxa"/>
            <w:vMerge/>
            <w:vAlign w:val="center"/>
          </w:tcPr>
          <w:p w:rsidR="00EE56C0" w:rsidRDefault="00EE56C0">
            <w:pPr>
              <w:pStyle w:val="afa"/>
            </w:pPr>
          </w:p>
        </w:tc>
      </w:tr>
      <w:tr w:rsidR="00EE56C0">
        <w:trPr>
          <w:trHeight w:val="397"/>
        </w:trPr>
        <w:tc>
          <w:tcPr>
            <w:tcW w:w="883" w:type="dxa"/>
            <w:vMerge w:val="restart"/>
            <w:vAlign w:val="center"/>
          </w:tcPr>
          <w:p w:rsidR="00EE56C0" w:rsidRDefault="000F36A1">
            <w:pPr>
              <w:pStyle w:val="afa"/>
            </w:pPr>
            <w:r>
              <w:t>南厂界</w:t>
            </w:r>
          </w:p>
        </w:tc>
        <w:tc>
          <w:tcPr>
            <w:tcW w:w="785" w:type="dxa"/>
            <w:vAlign w:val="center"/>
          </w:tcPr>
          <w:p w:rsidR="00EE56C0" w:rsidRDefault="000F36A1">
            <w:pPr>
              <w:pStyle w:val="afa"/>
            </w:pPr>
            <w:r>
              <w:t>昼</w:t>
            </w:r>
          </w:p>
        </w:tc>
        <w:tc>
          <w:tcPr>
            <w:tcW w:w="850" w:type="dxa"/>
            <w:vAlign w:val="center"/>
          </w:tcPr>
          <w:p w:rsidR="00EE56C0" w:rsidRDefault="000F36A1">
            <w:pPr>
              <w:pStyle w:val="afa"/>
            </w:pPr>
            <w:r>
              <w:rPr>
                <w:rFonts w:hint="eastAsia"/>
              </w:rPr>
              <w:t>54</w:t>
            </w:r>
          </w:p>
        </w:tc>
        <w:tc>
          <w:tcPr>
            <w:tcW w:w="992" w:type="dxa"/>
            <w:vMerge w:val="restart"/>
            <w:vAlign w:val="center"/>
          </w:tcPr>
          <w:p w:rsidR="00EE56C0" w:rsidRDefault="000F36A1">
            <w:pPr>
              <w:pStyle w:val="afa"/>
            </w:pPr>
            <w:r>
              <w:rPr>
                <w:rFonts w:hint="eastAsia"/>
              </w:rPr>
              <w:t>22.57</w:t>
            </w:r>
          </w:p>
        </w:tc>
        <w:tc>
          <w:tcPr>
            <w:tcW w:w="851" w:type="dxa"/>
            <w:vAlign w:val="center"/>
          </w:tcPr>
          <w:p w:rsidR="00EE56C0" w:rsidRDefault="000F36A1">
            <w:pPr>
              <w:pStyle w:val="afa"/>
            </w:pPr>
            <w:r>
              <w:t>昼</w:t>
            </w:r>
          </w:p>
        </w:tc>
        <w:tc>
          <w:tcPr>
            <w:tcW w:w="1134" w:type="dxa"/>
            <w:vAlign w:val="center"/>
          </w:tcPr>
          <w:p w:rsidR="00EE56C0" w:rsidRDefault="000F36A1">
            <w:pPr>
              <w:pStyle w:val="afa"/>
            </w:pPr>
            <w:r>
              <w:rPr>
                <w:rFonts w:hint="eastAsia"/>
              </w:rPr>
              <w:t>54</w:t>
            </w:r>
          </w:p>
        </w:tc>
        <w:tc>
          <w:tcPr>
            <w:tcW w:w="2079" w:type="dxa"/>
            <w:vMerge/>
            <w:vAlign w:val="center"/>
          </w:tcPr>
          <w:p w:rsidR="00EE56C0" w:rsidRDefault="00EE56C0">
            <w:pPr>
              <w:pStyle w:val="afa"/>
            </w:pPr>
          </w:p>
        </w:tc>
        <w:tc>
          <w:tcPr>
            <w:tcW w:w="955" w:type="dxa"/>
            <w:vMerge w:val="restart"/>
            <w:vAlign w:val="center"/>
          </w:tcPr>
          <w:p w:rsidR="00EE56C0" w:rsidRDefault="000F36A1">
            <w:pPr>
              <w:pStyle w:val="afa"/>
            </w:pPr>
            <w:r>
              <w:t>达标</w:t>
            </w:r>
          </w:p>
        </w:tc>
      </w:tr>
      <w:tr w:rsidR="00EE56C0">
        <w:trPr>
          <w:trHeight w:val="397"/>
        </w:trPr>
        <w:tc>
          <w:tcPr>
            <w:tcW w:w="883" w:type="dxa"/>
            <w:vMerge/>
            <w:vAlign w:val="center"/>
          </w:tcPr>
          <w:p w:rsidR="00EE56C0" w:rsidRDefault="00EE56C0">
            <w:pPr>
              <w:pStyle w:val="afa"/>
            </w:pPr>
          </w:p>
        </w:tc>
        <w:tc>
          <w:tcPr>
            <w:tcW w:w="785" w:type="dxa"/>
            <w:vAlign w:val="center"/>
          </w:tcPr>
          <w:p w:rsidR="00EE56C0" w:rsidRDefault="000F36A1">
            <w:pPr>
              <w:pStyle w:val="afa"/>
            </w:pPr>
            <w:r>
              <w:t>夜</w:t>
            </w:r>
          </w:p>
        </w:tc>
        <w:tc>
          <w:tcPr>
            <w:tcW w:w="850" w:type="dxa"/>
            <w:vAlign w:val="center"/>
          </w:tcPr>
          <w:p w:rsidR="00EE56C0" w:rsidRDefault="000F36A1">
            <w:pPr>
              <w:pStyle w:val="afa"/>
            </w:pPr>
            <w:r>
              <w:rPr>
                <w:rFonts w:hint="eastAsia"/>
              </w:rPr>
              <w:t>43</w:t>
            </w:r>
          </w:p>
        </w:tc>
        <w:tc>
          <w:tcPr>
            <w:tcW w:w="992" w:type="dxa"/>
            <w:vMerge/>
            <w:vAlign w:val="center"/>
          </w:tcPr>
          <w:p w:rsidR="00EE56C0" w:rsidRDefault="00EE56C0">
            <w:pPr>
              <w:pStyle w:val="afa"/>
            </w:pPr>
          </w:p>
        </w:tc>
        <w:tc>
          <w:tcPr>
            <w:tcW w:w="851" w:type="dxa"/>
            <w:vAlign w:val="center"/>
          </w:tcPr>
          <w:p w:rsidR="00EE56C0" w:rsidRDefault="000F36A1">
            <w:pPr>
              <w:pStyle w:val="afa"/>
            </w:pPr>
            <w:r>
              <w:t>夜</w:t>
            </w:r>
          </w:p>
        </w:tc>
        <w:tc>
          <w:tcPr>
            <w:tcW w:w="1134" w:type="dxa"/>
            <w:vAlign w:val="center"/>
          </w:tcPr>
          <w:p w:rsidR="00EE56C0" w:rsidRDefault="000F36A1">
            <w:pPr>
              <w:pStyle w:val="afa"/>
            </w:pPr>
            <w:r>
              <w:rPr>
                <w:rFonts w:hint="eastAsia"/>
              </w:rPr>
              <w:t>43.04</w:t>
            </w:r>
          </w:p>
        </w:tc>
        <w:tc>
          <w:tcPr>
            <w:tcW w:w="2079" w:type="dxa"/>
            <w:vMerge/>
            <w:vAlign w:val="center"/>
          </w:tcPr>
          <w:p w:rsidR="00EE56C0" w:rsidRDefault="00EE56C0">
            <w:pPr>
              <w:pStyle w:val="afa"/>
            </w:pPr>
          </w:p>
        </w:tc>
        <w:tc>
          <w:tcPr>
            <w:tcW w:w="955" w:type="dxa"/>
            <w:vMerge/>
            <w:vAlign w:val="center"/>
          </w:tcPr>
          <w:p w:rsidR="00EE56C0" w:rsidRDefault="00EE56C0">
            <w:pPr>
              <w:pStyle w:val="afa"/>
            </w:pPr>
          </w:p>
        </w:tc>
      </w:tr>
      <w:tr w:rsidR="00EE56C0">
        <w:trPr>
          <w:trHeight w:val="397"/>
        </w:trPr>
        <w:tc>
          <w:tcPr>
            <w:tcW w:w="883" w:type="dxa"/>
            <w:vMerge w:val="restart"/>
            <w:vAlign w:val="center"/>
          </w:tcPr>
          <w:p w:rsidR="00EE56C0" w:rsidRDefault="000F36A1">
            <w:pPr>
              <w:pStyle w:val="afa"/>
            </w:pPr>
            <w:r>
              <w:t>西厂界</w:t>
            </w:r>
          </w:p>
        </w:tc>
        <w:tc>
          <w:tcPr>
            <w:tcW w:w="785" w:type="dxa"/>
            <w:vAlign w:val="center"/>
          </w:tcPr>
          <w:p w:rsidR="00EE56C0" w:rsidRDefault="000F36A1">
            <w:pPr>
              <w:pStyle w:val="afa"/>
            </w:pPr>
            <w:r>
              <w:t>昼</w:t>
            </w:r>
          </w:p>
        </w:tc>
        <w:tc>
          <w:tcPr>
            <w:tcW w:w="850" w:type="dxa"/>
            <w:vAlign w:val="center"/>
          </w:tcPr>
          <w:p w:rsidR="00EE56C0" w:rsidRDefault="000F36A1">
            <w:pPr>
              <w:pStyle w:val="afa"/>
            </w:pPr>
            <w:r>
              <w:rPr>
                <w:rFonts w:hint="eastAsia"/>
              </w:rPr>
              <w:t>54</w:t>
            </w:r>
          </w:p>
        </w:tc>
        <w:tc>
          <w:tcPr>
            <w:tcW w:w="992" w:type="dxa"/>
            <w:vMerge w:val="restart"/>
            <w:vAlign w:val="center"/>
          </w:tcPr>
          <w:p w:rsidR="00EE56C0" w:rsidRDefault="000F36A1">
            <w:pPr>
              <w:pStyle w:val="afa"/>
            </w:pPr>
            <w:r>
              <w:t>35.4</w:t>
            </w:r>
          </w:p>
        </w:tc>
        <w:tc>
          <w:tcPr>
            <w:tcW w:w="851" w:type="dxa"/>
            <w:vAlign w:val="center"/>
          </w:tcPr>
          <w:p w:rsidR="00EE56C0" w:rsidRDefault="000F36A1">
            <w:pPr>
              <w:pStyle w:val="afa"/>
            </w:pPr>
            <w:r>
              <w:t>昼</w:t>
            </w:r>
          </w:p>
        </w:tc>
        <w:tc>
          <w:tcPr>
            <w:tcW w:w="1134" w:type="dxa"/>
            <w:vAlign w:val="center"/>
          </w:tcPr>
          <w:p w:rsidR="00EE56C0" w:rsidRDefault="000F36A1">
            <w:pPr>
              <w:pStyle w:val="afa"/>
            </w:pPr>
            <w:r>
              <w:rPr>
                <w:rFonts w:hint="eastAsia"/>
              </w:rPr>
              <w:t>54.06</w:t>
            </w:r>
          </w:p>
        </w:tc>
        <w:tc>
          <w:tcPr>
            <w:tcW w:w="2079" w:type="dxa"/>
            <w:vMerge/>
            <w:vAlign w:val="center"/>
          </w:tcPr>
          <w:p w:rsidR="00EE56C0" w:rsidRDefault="00EE56C0">
            <w:pPr>
              <w:pStyle w:val="afa"/>
            </w:pPr>
          </w:p>
        </w:tc>
        <w:tc>
          <w:tcPr>
            <w:tcW w:w="955" w:type="dxa"/>
            <w:vMerge w:val="restart"/>
            <w:vAlign w:val="center"/>
          </w:tcPr>
          <w:p w:rsidR="00EE56C0" w:rsidRDefault="000F36A1">
            <w:pPr>
              <w:pStyle w:val="afa"/>
            </w:pPr>
            <w:r>
              <w:t>达标</w:t>
            </w:r>
          </w:p>
        </w:tc>
      </w:tr>
      <w:tr w:rsidR="00EE56C0">
        <w:trPr>
          <w:trHeight w:val="397"/>
        </w:trPr>
        <w:tc>
          <w:tcPr>
            <w:tcW w:w="883" w:type="dxa"/>
            <w:vMerge/>
            <w:vAlign w:val="center"/>
          </w:tcPr>
          <w:p w:rsidR="00EE56C0" w:rsidRDefault="00EE56C0">
            <w:pPr>
              <w:pStyle w:val="afa"/>
            </w:pPr>
          </w:p>
        </w:tc>
        <w:tc>
          <w:tcPr>
            <w:tcW w:w="785" w:type="dxa"/>
            <w:vAlign w:val="center"/>
          </w:tcPr>
          <w:p w:rsidR="00EE56C0" w:rsidRDefault="000F36A1">
            <w:pPr>
              <w:pStyle w:val="afa"/>
            </w:pPr>
            <w:r>
              <w:t>夜</w:t>
            </w:r>
          </w:p>
        </w:tc>
        <w:tc>
          <w:tcPr>
            <w:tcW w:w="850" w:type="dxa"/>
            <w:vAlign w:val="center"/>
          </w:tcPr>
          <w:p w:rsidR="00EE56C0" w:rsidRDefault="000F36A1">
            <w:pPr>
              <w:pStyle w:val="afa"/>
            </w:pPr>
            <w:r>
              <w:rPr>
                <w:rFonts w:hint="eastAsia"/>
              </w:rPr>
              <w:t>43</w:t>
            </w:r>
          </w:p>
        </w:tc>
        <w:tc>
          <w:tcPr>
            <w:tcW w:w="992" w:type="dxa"/>
            <w:vMerge/>
            <w:vAlign w:val="center"/>
          </w:tcPr>
          <w:p w:rsidR="00EE56C0" w:rsidRDefault="00EE56C0">
            <w:pPr>
              <w:pStyle w:val="afa"/>
            </w:pPr>
          </w:p>
        </w:tc>
        <w:tc>
          <w:tcPr>
            <w:tcW w:w="851" w:type="dxa"/>
            <w:vAlign w:val="center"/>
          </w:tcPr>
          <w:p w:rsidR="00EE56C0" w:rsidRDefault="000F36A1">
            <w:pPr>
              <w:pStyle w:val="afa"/>
            </w:pPr>
            <w:r>
              <w:t>夜</w:t>
            </w:r>
          </w:p>
        </w:tc>
        <w:tc>
          <w:tcPr>
            <w:tcW w:w="1134" w:type="dxa"/>
            <w:vAlign w:val="center"/>
          </w:tcPr>
          <w:p w:rsidR="00EE56C0" w:rsidRDefault="000F36A1">
            <w:pPr>
              <w:pStyle w:val="afa"/>
            </w:pPr>
            <w:r>
              <w:rPr>
                <w:rFonts w:hint="eastAsia"/>
              </w:rPr>
              <w:t>43.7</w:t>
            </w:r>
          </w:p>
        </w:tc>
        <w:tc>
          <w:tcPr>
            <w:tcW w:w="2079" w:type="dxa"/>
            <w:vMerge/>
            <w:vAlign w:val="center"/>
          </w:tcPr>
          <w:p w:rsidR="00EE56C0" w:rsidRDefault="00EE56C0">
            <w:pPr>
              <w:pStyle w:val="afa"/>
            </w:pPr>
          </w:p>
        </w:tc>
        <w:tc>
          <w:tcPr>
            <w:tcW w:w="955" w:type="dxa"/>
            <w:vMerge/>
            <w:vAlign w:val="center"/>
          </w:tcPr>
          <w:p w:rsidR="00EE56C0" w:rsidRDefault="00EE56C0">
            <w:pPr>
              <w:pStyle w:val="afa"/>
            </w:pPr>
          </w:p>
        </w:tc>
      </w:tr>
      <w:tr w:rsidR="00EE56C0">
        <w:trPr>
          <w:trHeight w:val="397"/>
        </w:trPr>
        <w:tc>
          <w:tcPr>
            <w:tcW w:w="883" w:type="dxa"/>
            <w:vMerge w:val="restart"/>
            <w:vAlign w:val="center"/>
          </w:tcPr>
          <w:p w:rsidR="00EE56C0" w:rsidRDefault="000F36A1">
            <w:pPr>
              <w:pStyle w:val="afa"/>
            </w:pPr>
            <w:r>
              <w:lastRenderedPageBreak/>
              <w:t>北厂界</w:t>
            </w:r>
          </w:p>
        </w:tc>
        <w:tc>
          <w:tcPr>
            <w:tcW w:w="785" w:type="dxa"/>
            <w:vAlign w:val="center"/>
          </w:tcPr>
          <w:p w:rsidR="00EE56C0" w:rsidRDefault="000F36A1">
            <w:pPr>
              <w:pStyle w:val="afa"/>
            </w:pPr>
            <w:r>
              <w:t>昼</w:t>
            </w:r>
          </w:p>
        </w:tc>
        <w:tc>
          <w:tcPr>
            <w:tcW w:w="850" w:type="dxa"/>
            <w:vAlign w:val="center"/>
          </w:tcPr>
          <w:p w:rsidR="00EE56C0" w:rsidRDefault="000F36A1">
            <w:pPr>
              <w:pStyle w:val="afa"/>
            </w:pPr>
            <w:r>
              <w:rPr>
                <w:rFonts w:hint="eastAsia"/>
              </w:rPr>
              <w:t>53</w:t>
            </w:r>
          </w:p>
        </w:tc>
        <w:tc>
          <w:tcPr>
            <w:tcW w:w="992" w:type="dxa"/>
            <w:vMerge w:val="restart"/>
            <w:vAlign w:val="center"/>
          </w:tcPr>
          <w:p w:rsidR="00EE56C0" w:rsidRDefault="000F36A1">
            <w:pPr>
              <w:pStyle w:val="afa"/>
            </w:pPr>
            <w:r>
              <w:rPr>
                <w:rFonts w:hint="eastAsia"/>
              </w:rPr>
              <w:t>42.35</w:t>
            </w:r>
          </w:p>
        </w:tc>
        <w:tc>
          <w:tcPr>
            <w:tcW w:w="851" w:type="dxa"/>
            <w:vAlign w:val="center"/>
          </w:tcPr>
          <w:p w:rsidR="00EE56C0" w:rsidRDefault="000F36A1">
            <w:pPr>
              <w:pStyle w:val="afa"/>
            </w:pPr>
            <w:r>
              <w:t>昼</w:t>
            </w:r>
          </w:p>
        </w:tc>
        <w:tc>
          <w:tcPr>
            <w:tcW w:w="1134" w:type="dxa"/>
            <w:vAlign w:val="center"/>
          </w:tcPr>
          <w:p w:rsidR="00EE56C0" w:rsidRDefault="000F36A1">
            <w:pPr>
              <w:pStyle w:val="afa"/>
            </w:pPr>
            <w:r>
              <w:rPr>
                <w:rFonts w:hint="eastAsia"/>
              </w:rPr>
              <w:t>54.05</w:t>
            </w:r>
          </w:p>
        </w:tc>
        <w:tc>
          <w:tcPr>
            <w:tcW w:w="2079" w:type="dxa"/>
            <w:vMerge/>
            <w:vAlign w:val="center"/>
          </w:tcPr>
          <w:p w:rsidR="00EE56C0" w:rsidRDefault="00EE56C0">
            <w:pPr>
              <w:pStyle w:val="afa"/>
            </w:pPr>
          </w:p>
        </w:tc>
        <w:tc>
          <w:tcPr>
            <w:tcW w:w="955" w:type="dxa"/>
            <w:vMerge w:val="restart"/>
            <w:vAlign w:val="center"/>
          </w:tcPr>
          <w:p w:rsidR="00EE56C0" w:rsidRDefault="000F36A1">
            <w:pPr>
              <w:pStyle w:val="afa"/>
            </w:pPr>
            <w:r>
              <w:t>达标</w:t>
            </w:r>
          </w:p>
        </w:tc>
      </w:tr>
      <w:tr w:rsidR="00EE56C0">
        <w:trPr>
          <w:trHeight w:val="397"/>
        </w:trPr>
        <w:tc>
          <w:tcPr>
            <w:tcW w:w="883" w:type="dxa"/>
            <w:vMerge/>
            <w:vAlign w:val="center"/>
          </w:tcPr>
          <w:p w:rsidR="00EE56C0" w:rsidRDefault="00EE56C0">
            <w:pPr>
              <w:pStyle w:val="afa"/>
            </w:pPr>
          </w:p>
        </w:tc>
        <w:tc>
          <w:tcPr>
            <w:tcW w:w="785" w:type="dxa"/>
            <w:vAlign w:val="center"/>
          </w:tcPr>
          <w:p w:rsidR="00EE56C0" w:rsidRDefault="000F36A1">
            <w:pPr>
              <w:pStyle w:val="afa"/>
            </w:pPr>
            <w:r>
              <w:t>夜</w:t>
            </w:r>
          </w:p>
        </w:tc>
        <w:tc>
          <w:tcPr>
            <w:tcW w:w="850" w:type="dxa"/>
            <w:vAlign w:val="center"/>
          </w:tcPr>
          <w:p w:rsidR="00EE56C0" w:rsidRDefault="000F36A1">
            <w:pPr>
              <w:pStyle w:val="afa"/>
            </w:pPr>
            <w:r>
              <w:rPr>
                <w:rFonts w:hint="eastAsia"/>
              </w:rPr>
              <w:t>44</w:t>
            </w:r>
          </w:p>
        </w:tc>
        <w:tc>
          <w:tcPr>
            <w:tcW w:w="992" w:type="dxa"/>
            <w:vMerge/>
            <w:vAlign w:val="center"/>
          </w:tcPr>
          <w:p w:rsidR="00EE56C0" w:rsidRDefault="00EE56C0">
            <w:pPr>
              <w:pStyle w:val="afa"/>
            </w:pPr>
          </w:p>
        </w:tc>
        <w:tc>
          <w:tcPr>
            <w:tcW w:w="851" w:type="dxa"/>
            <w:vAlign w:val="center"/>
          </w:tcPr>
          <w:p w:rsidR="00EE56C0" w:rsidRDefault="000F36A1">
            <w:pPr>
              <w:pStyle w:val="afa"/>
            </w:pPr>
            <w:r>
              <w:t>夜</w:t>
            </w:r>
          </w:p>
        </w:tc>
        <w:tc>
          <w:tcPr>
            <w:tcW w:w="1134" w:type="dxa"/>
            <w:vAlign w:val="center"/>
          </w:tcPr>
          <w:p w:rsidR="00EE56C0" w:rsidRDefault="000F36A1">
            <w:pPr>
              <w:pStyle w:val="afa"/>
            </w:pPr>
            <w:r>
              <w:rPr>
                <w:rFonts w:hint="eastAsia"/>
              </w:rPr>
              <w:t>46.26</w:t>
            </w:r>
          </w:p>
        </w:tc>
        <w:tc>
          <w:tcPr>
            <w:tcW w:w="2079" w:type="dxa"/>
            <w:vMerge/>
            <w:vAlign w:val="center"/>
          </w:tcPr>
          <w:p w:rsidR="00EE56C0" w:rsidRDefault="00EE56C0">
            <w:pPr>
              <w:widowControl/>
              <w:spacing w:line="240" w:lineRule="auto"/>
              <w:ind w:firstLineChars="0" w:firstLine="0"/>
              <w:jc w:val="center"/>
              <w:rPr>
                <w:kern w:val="2"/>
                <w:sz w:val="21"/>
                <w:szCs w:val="21"/>
              </w:rPr>
            </w:pPr>
          </w:p>
        </w:tc>
        <w:tc>
          <w:tcPr>
            <w:tcW w:w="955" w:type="dxa"/>
            <w:vMerge/>
            <w:vAlign w:val="center"/>
          </w:tcPr>
          <w:p w:rsidR="00EE56C0" w:rsidRDefault="00EE56C0">
            <w:pPr>
              <w:widowControl/>
              <w:spacing w:line="240" w:lineRule="auto"/>
              <w:ind w:firstLineChars="0" w:firstLine="0"/>
              <w:jc w:val="center"/>
              <w:rPr>
                <w:kern w:val="2"/>
                <w:sz w:val="21"/>
                <w:szCs w:val="21"/>
              </w:rPr>
            </w:pPr>
          </w:p>
        </w:tc>
      </w:tr>
    </w:tbl>
    <w:p w:rsidR="00EE56C0" w:rsidRDefault="000F36A1">
      <w:pPr>
        <w:pStyle w:val="aff4"/>
      </w:pPr>
      <w:r>
        <w:rPr>
          <w:rFonts w:hint="eastAsia"/>
        </w:rPr>
        <w:t>由上表可以看出，项目完成后对各厂界的贡献值较小，各厂界预测值均能满足《工业企业厂界环境噪声排放标准》（</w:t>
      </w:r>
      <w:r>
        <w:t>GB12348-2008</w:t>
      </w:r>
      <w:r>
        <w:rPr>
          <w:rFonts w:hint="eastAsia"/>
        </w:rPr>
        <w:t>）</w:t>
      </w:r>
      <w:r>
        <w:rPr>
          <w:rFonts w:hint="eastAsia"/>
        </w:rPr>
        <w:t>3</w:t>
      </w:r>
      <w:r>
        <w:rPr>
          <w:rFonts w:hint="eastAsia"/>
        </w:rPr>
        <w:t>类昼间</w:t>
      </w:r>
      <w:r>
        <w:rPr>
          <w:rFonts w:hint="eastAsia"/>
        </w:rPr>
        <w:t>65dB(A)</w:t>
      </w:r>
      <w:r>
        <w:rPr>
          <w:rFonts w:hint="eastAsia"/>
        </w:rPr>
        <w:t>、夜间</w:t>
      </w:r>
      <w:r>
        <w:rPr>
          <w:rFonts w:hint="eastAsia"/>
        </w:rPr>
        <w:t>55dB(A)</w:t>
      </w:r>
      <w:r>
        <w:rPr>
          <w:rFonts w:hint="eastAsia"/>
        </w:rPr>
        <w:t>标准的要求，项目周边</w:t>
      </w:r>
      <w:r>
        <w:t>200m</w:t>
      </w:r>
      <w:r>
        <w:rPr>
          <w:rFonts w:hint="eastAsia"/>
        </w:rPr>
        <w:t>范围内无敏感点，不会出现噪声扰民现象，该项目建设对区域声环境影响可接受。</w:t>
      </w:r>
    </w:p>
    <w:p w:rsidR="00EE56C0" w:rsidRDefault="000F36A1">
      <w:pPr>
        <w:pStyle w:val="2"/>
        <w:ind w:firstLine="301"/>
      </w:pPr>
      <w:bookmarkStart w:id="356" w:name="_Toc25400919"/>
      <w:r>
        <w:rPr>
          <w:rFonts w:hint="eastAsia"/>
        </w:rPr>
        <w:t>5.5</w:t>
      </w:r>
      <w:r>
        <w:rPr>
          <w:rFonts w:hint="eastAsia"/>
        </w:rPr>
        <w:t>固体废物环境影响分析</w:t>
      </w:r>
      <w:bookmarkEnd w:id="353"/>
      <w:bookmarkEnd w:id="354"/>
      <w:bookmarkEnd w:id="355"/>
      <w:bookmarkEnd w:id="356"/>
    </w:p>
    <w:p w:rsidR="00EE56C0" w:rsidRDefault="000F36A1">
      <w:pPr>
        <w:ind w:firstLine="480"/>
      </w:pPr>
      <w:r>
        <w:rPr>
          <w:rFonts w:hint="eastAsia"/>
        </w:rPr>
        <w:t>本项目</w:t>
      </w:r>
      <w:r>
        <w:t>运营期固废包括一般固废和危险废物。一般固废包括原料使用产生的废包材</w:t>
      </w:r>
      <w:r>
        <w:rPr>
          <w:rFonts w:hint="eastAsia"/>
        </w:rPr>
        <w:t>、挤压工序产生的废铜线</w:t>
      </w:r>
      <w:r>
        <w:t>、检验产生的残次品</w:t>
      </w:r>
      <w:r>
        <w:rPr>
          <w:rFonts w:hint="eastAsia"/>
        </w:rPr>
        <w:t>。</w:t>
      </w:r>
      <w:r>
        <w:t>危险废物包括</w:t>
      </w:r>
      <w:r>
        <w:rPr>
          <w:rFonts w:hint="eastAsia"/>
        </w:rPr>
        <w:t>拉丝工序产生的</w:t>
      </w:r>
      <w:r>
        <w:t>含铜油泥</w:t>
      </w:r>
      <w:r>
        <w:rPr>
          <w:rFonts w:hint="eastAsia"/>
        </w:rPr>
        <w:t>、废拉丝油，丝包线涂料</w:t>
      </w:r>
      <w:r>
        <w:t>使用</w:t>
      </w:r>
      <w:r>
        <w:rPr>
          <w:rFonts w:hint="eastAsia"/>
        </w:rPr>
        <w:t>后产生的漆料桶，生产过程产生的含涂料的废毛毡，废气处理</w:t>
      </w:r>
      <w:r>
        <w:t>系统产生的</w:t>
      </w:r>
      <w:r>
        <w:rPr>
          <w:rFonts w:hint="eastAsia"/>
        </w:rPr>
        <w:t>废活性炭、</w:t>
      </w:r>
      <w:r>
        <w:t>废催化剂</w:t>
      </w:r>
      <w:r>
        <w:rPr>
          <w:rFonts w:hint="eastAsia"/>
        </w:rPr>
        <w:t>、</w:t>
      </w:r>
      <w:r>
        <w:t>废</w:t>
      </w:r>
      <w:r>
        <w:rPr>
          <w:rFonts w:hint="eastAsia"/>
        </w:rPr>
        <w:t>沸石分子筛。</w:t>
      </w:r>
    </w:p>
    <w:p w:rsidR="00EE56C0" w:rsidRDefault="000F36A1">
      <w:pPr>
        <w:ind w:firstLine="480"/>
        <w:rPr>
          <w:snapToGrid w:val="0"/>
        </w:rPr>
      </w:pPr>
      <w:r>
        <w:rPr>
          <w:rFonts w:hint="eastAsia"/>
          <w:snapToGrid w:val="0"/>
        </w:rPr>
        <w:t>各类固废产生及处置措施见下表。</w:t>
      </w:r>
    </w:p>
    <w:p w:rsidR="00EE56C0" w:rsidRDefault="000F36A1">
      <w:pPr>
        <w:pStyle w:val="afd"/>
        <w:spacing w:before="120" w:after="120"/>
        <w:ind w:firstLine="482"/>
      </w:pPr>
      <w:r>
        <w:rPr>
          <w:rFonts w:hint="eastAsia"/>
        </w:rPr>
        <w:t>表</w:t>
      </w:r>
      <w:r>
        <w:rPr>
          <w:rFonts w:hint="eastAsia"/>
        </w:rPr>
        <w:t>5</w:t>
      </w:r>
      <w:r>
        <w:t>-</w:t>
      </w:r>
      <w:r>
        <w:rPr>
          <w:rFonts w:hint="eastAsia"/>
        </w:rPr>
        <w:t>5</w:t>
      </w:r>
      <w:r w:rsidR="005767FB">
        <w:rPr>
          <w:rFonts w:hint="eastAsia"/>
        </w:rPr>
        <w:t>2</w:t>
      </w:r>
      <w:r>
        <w:rPr>
          <w:rFonts w:hint="eastAsia"/>
        </w:rPr>
        <w:t xml:space="preserve">         </w:t>
      </w:r>
      <w:r>
        <w:rPr>
          <w:rFonts w:hint="eastAsia"/>
        </w:rPr>
        <w:t>工程固体废弃物产生及处置情况</w:t>
      </w:r>
    </w:p>
    <w:tbl>
      <w:tblPr>
        <w:tblW w:w="5000" w:type="pct"/>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Look w:val="04A0"/>
      </w:tblPr>
      <w:tblGrid>
        <w:gridCol w:w="674"/>
        <w:gridCol w:w="710"/>
        <w:gridCol w:w="1846"/>
        <w:gridCol w:w="1556"/>
        <w:gridCol w:w="993"/>
        <w:gridCol w:w="1138"/>
        <w:gridCol w:w="1612"/>
      </w:tblGrid>
      <w:tr w:rsidR="00EE56C0">
        <w:trPr>
          <w:trHeight w:val="454"/>
        </w:trPr>
        <w:tc>
          <w:tcPr>
            <w:tcW w:w="395" w:type="pct"/>
            <w:vMerge w:val="restart"/>
            <w:tcBorders>
              <w:top w:val="single" w:sz="8" w:space="0" w:color="000000"/>
              <w:left w:val="single" w:sz="8" w:space="0" w:color="000000"/>
              <w:bottom w:val="single" w:sz="6" w:space="0" w:color="000000"/>
              <w:right w:val="single" w:sz="6" w:space="0" w:color="000000"/>
            </w:tcBorders>
            <w:tcMar>
              <w:top w:w="28" w:type="dxa"/>
              <w:bottom w:w="28" w:type="dxa"/>
            </w:tcMar>
            <w:vAlign w:val="center"/>
          </w:tcPr>
          <w:p w:rsidR="00EE56C0" w:rsidRDefault="000F36A1">
            <w:pPr>
              <w:pStyle w:val="aff1"/>
              <w:rPr>
                <w:color w:val="auto"/>
              </w:rPr>
            </w:pPr>
            <w:r>
              <w:rPr>
                <w:color w:val="auto"/>
              </w:rPr>
              <w:t>项目</w:t>
            </w:r>
          </w:p>
        </w:tc>
        <w:tc>
          <w:tcPr>
            <w:tcW w:w="416" w:type="pct"/>
            <w:vMerge w:val="restart"/>
            <w:tcBorders>
              <w:top w:val="single" w:sz="8" w:space="0" w:color="000000"/>
              <w:left w:val="single" w:sz="6" w:space="0" w:color="000000"/>
              <w:bottom w:val="single" w:sz="6" w:space="0" w:color="000000"/>
              <w:right w:val="single" w:sz="6" w:space="0" w:color="000000"/>
            </w:tcBorders>
            <w:tcMar>
              <w:top w:w="28" w:type="dxa"/>
              <w:bottom w:w="28" w:type="dxa"/>
            </w:tcMar>
            <w:vAlign w:val="center"/>
          </w:tcPr>
          <w:p w:rsidR="00EE56C0" w:rsidRDefault="000F36A1">
            <w:pPr>
              <w:pStyle w:val="aff1"/>
              <w:rPr>
                <w:color w:val="auto"/>
              </w:rPr>
            </w:pPr>
            <w:r>
              <w:rPr>
                <w:color w:val="auto"/>
              </w:rPr>
              <w:t>序号</w:t>
            </w:r>
          </w:p>
        </w:tc>
        <w:tc>
          <w:tcPr>
            <w:tcW w:w="1082" w:type="pct"/>
            <w:vMerge w:val="restart"/>
            <w:tcBorders>
              <w:top w:val="single" w:sz="8" w:space="0" w:color="000000"/>
              <w:left w:val="single" w:sz="6" w:space="0" w:color="000000"/>
              <w:bottom w:val="single" w:sz="6" w:space="0" w:color="000000"/>
              <w:right w:val="single" w:sz="6" w:space="0" w:color="000000"/>
            </w:tcBorders>
            <w:tcMar>
              <w:top w:w="28" w:type="dxa"/>
              <w:bottom w:w="28" w:type="dxa"/>
            </w:tcMar>
            <w:vAlign w:val="center"/>
          </w:tcPr>
          <w:p w:rsidR="00EE56C0" w:rsidRDefault="000F36A1">
            <w:pPr>
              <w:pStyle w:val="aff1"/>
              <w:rPr>
                <w:color w:val="auto"/>
              </w:rPr>
            </w:pPr>
            <w:r>
              <w:rPr>
                <w:color w:val="auto"/>
              </w:rPr>
              <w:t>产污环节</w:t>
            </w:r>
          </w:p>
        </w:tc>
        <w:tc>
          <w:tcPr>
            <w:tcW w:w="912" w:type="pct"/>
            <w:vMerge w:val="restart"/>
            <w:tcBorders>
              <w:top w:val="single" w:sz="8" w:space="0" w:color="000000"/>
              <w:left w:val="single" w:sz="6" w:space="0" w:color="000000"/>
              <w:bottom w:val="single" w:sz="6" w:space="0" w:color="000000"/>
              <w:right w:val="single" w:sz="6" w:space="0" w:color="000000"/>
            </w:tcBorders>
            <w:tcMar>
              <w:top w:w="28" w:type="dxa"/>
              <w:bottom w:w="28" w:type="dxa"/>
            </w:tcMar>
            <w:vAlign w:val="center"/>
          </w:tcPr>
          <w:p w:rsidR="00EE56C0" w:rsidRDefault="000F36A1">
            <w:pPr>
              <w:pStyle w:val="aff1"/>
              <w:rPr>
                <w:color w:val="auto"/>
              </w:rPr>
            </w:pPr>
            <w:r>
              <w:rPr>
                <w:rFonts w:hint="eastAsia"/>
                <w:color w:val="auto"/>
              </w:rPr>
              <w:t>废物特性</w:t>
            </w:r>
          </w:p>
        </w:tc>
        <w:tc>
          <w:tcPr>
            <w:tcW w:w="1249" w:type="pct"/>
            <w:gridSpan w:val="2"/>
            <w:tcBorders>
              <w:top w:val="single" w:sz="8" w:space="0" w:color="000000"/>
              <w:left w:val="single" w:sz="6" w:space="0" w:color="000000"/>
              <w:bottom w:val="single" w:sz="4" w:space="0" w:color="auto"/>
              <w:right w:val="single" w:sz="6" w:space="0" w:color="000000"/>
            </w:tcBorders>
            <w:vAlign w:val="center"/>
          </w:tcPr>
          <w:p w:rsidR="00EE56C0" w:rsidRDefault="000F36A1">
            <w:pPr>
              <w:pStyle w:val="aff1"/>
              <w:rPr>
                <w:color w:val="auto"/>
              </w:rPr>
            </w:pPr>
            <w:r>
              <w:rPr>
                <w:rFonts w:hint="eastAsia"/>
                <w:color w:val="auto"/>
              </w:rPr>
              <w:t>产生量（</w:t>
            </w:r>
            <w:r>
              <w:rPr>
                <w:rFonts w:hint="eastAsia"/>
                <w:color w:val="auto"/>
              </w:rPr>
              <w:t>t/a</w:t>
            </w:r>
            <w:r>
              <w:rPr>
                <w:rFonts w:hint="eastAsia"/>
                <w:color w:val="auto"/>
              </w:rPr>
              <w:t>）</w:t>
            </w:r>
          </w:p>
        </w:tc>
        <w:tc>
          <w:tcPr>
            <w:tcW w:w="945" w:type="pct"/>
            <w:vMerge w:val="restart"/>
            <w:tcBorders>
              <w:top w:val="single" w:sz="8" w:space="0" w:color="000000"/>
              <w:left w:val="single" w:sz="6" w:space="0" w:color="000000"/>
              <w:bottom w:val="single" w:sz="6" w:space="0" w:color="000000"/>
              <w:right w:val="single" w:sz="8" w:space="0" w:color="000000"/>
            </w:tcBorders>
            <w:vAlign w:val="center"/>
          </w:tcPr>
          <w:p w:rsidR="00EE56C0" w:rsidRDefault="000F36A1">
            <w:pPr>
              <w:pStyle w:val="aff1"/>
              <w:rPr>
                <w:color w:val="auto"/>
              </w:rPr>
            </w:pPr>
            <w:r>
              <w:rPr>
                <w:rFonts w:hint="eastAsia"/>
                <w:color w:val="auto"/>
              </w:rPr>
              <w:t>治理措施</w:t>
            </w:r>
          </w:p>
        </w:tc>
      </w:tr>
      <w:tr w:rsidR="00EE56C0">
        <w:trPr>
          <w:trHeight w:val="454"/>
        </w:trPr>
        <w:tc>
          <w:tcPr>
            <w:tcW w:w="395" w:type="pct"/>
            <w:vMerge/>
            <w:tcMar>
              <w:top w:w="28" w:type="dxa"/>
              <w:bottom w:w="28" w:type="dxa"/>
            </w:tcMar>
            <w:vAlign w:val="center"/>
          </w:tcPr>
          <w:p w:rsidR="00EE56C0" w:rsidRDefault="00EE56C0">
            <w:pPr>
              <w:pStyle w:val="aff1"/>
              <w:rPr>
                <w:color w:val="auto"/>
              </w:rPr>
            </w:pPr>
          </w:p>
        </w:tc>
        <w:tc>
          <w:tcPr>
            <w:tcW w:w="416" w:type="pct"/>
            <w:vMerge/>
            <w:tcMar>
              <w:top w:w="28" w:type="dxa"/>
              <w:bottom w:w="28" w:type="dxa"/>
            </w:tcMar>
            <w:vAlign w:val="center"/>
          </w:tcPr>
          <w:p w:rsidR="00EE56C0" w:rsidRDefault="00EE56C0">
            <w:pPr>
              <w:pStyle w:val="aff1"/>
              <w:rPr>
                <w:color w:val="auto"/>
              </w:rPr>
            </w:pPr>
          </w:p>
        </w:tc>
        <w:tc>
          <w:tcPr>
            <w:tcW w:w="1082" w:type="pct"/>
            <w:vMerge/>
            <w:tcMar>
              <w:top w:w="28" w:type="dxa"/>
              <w:bottom w:w="28" w:type="dxa"/>
            </w:tcMar>
            <w:vAlign w:val="center"/>
          </w:tcPr>
          <w:p w:rsidR="00EE56C0" w:rsidRDefault="00EE56C0">
            <w:pPr>
              <w:pStyle w:val="aff1"/>
              <w:rPr>
                <w:color w:val="auto"/>
              </w:rPr>
            </w:pPr>
          </w:p>
        </w:tc>
        <w:tc>
          <w:tcPr>
            <w:tcW w:w="912" w:type="pct"/>
            <w:vMerge/>
            <w:tcMar>
              <w:top w:w="28" w:type="dxa"/>
              <w:bottom w:w="28" w:type="dxa"/>
            </w:tcMar>
            <w:vAlign w:val="center"/>
          </w:tcPr>
          <w:p w:rsidR="00EE56C0" w:rsidRDefault="00EE56C0">
            <w:pPr>
              <w:pStyle w:val="aff1"/>
              <w:rPr>
                <w:color w:val="auto"/>
              </w:rPr>
            </w:pPr>
          </w:p>
        </w:tc>
        <w:tc>
          <w:tcPr>
            <w:tcW w:w="582" w:type="pct"/>
            <w:tcBorders>
              <w:top w:val="single" w:sz="4" w:space="0" w:color="auto"/>
              <w:right w:val="single" w:sz="4" w:space="0" w:color="auto"/>
            </w:tcBorders>
            <w:vAlign w:val="center"/>
          </w:tcPr>
          <w:p w:rsidR="00EE56C0" w:rsidRDefault="000F36A1">
            <w:pPr>
              <w:pStyle w:val="aff1"/>
              <w:rPr>
                <w:color w:val="auto"/>
              </w:rPr>
            </w:pPr>
            <w:r>
              <w:rPr>
                <w:rFonts w:hint="eastAsia"/>
                <w:color w:val="auto"/>
              </w:rPr>
              <w:t>一期</w:t>
            </w:r>
          </w:p>
        </w:tc>
        <w:tc>
          <w:tcPr>
            <w:tcW w:w="667" w:type="pct"/>
            <w:tcBorders>
              <w:top w:val="single" w:sz="4" w:space="0" w:color="auto"/>
              <w:left w:val="single" w:sz="4" w:space="0" w:color="auto"/>
            </w:tcBorders>
            <w:vAlign w:val="center"/>
          </w:tcPr>
          <w:p w:rsidR="00EE56C0" w:rsidRDefault="000F36A1">
            <w:pPr>
              <w:pStyle w:val="aff1"/>
              <w:rPr>
                <w:color w:val="auto"/>
              </w:rPr>
            </w:pPr>
            <w:r>
              <w:rPr>
                <w:rFonts w:hint="eastAsia"/>
                <w:color w:val="auto"/>
              </w:rPr>
              <w:t>二期</w:t>
            </w:r>
          </w:p>
        </w:tc>
        <w:tc>
          <w:tcPr>
            <w:tcW w:w="945" w:type="pct"/>
            <w:vMerge/>
            <w:vAlign w:val="center"/>
          </w:tcPr>
          <w:p w:rsidR="00EE56C0" w:rsidRDefault="00EE56C0">
            <w:pPr>
              <w:pStyle w:val="aff1"/>
              <w:rPr>
                <w:color w:val="auto"/>
              </w:rPr>
            </w:pPr>
          </w:p>
        </w:tc>
      </w:tr>
      <w:tr w:rsidR="00EE56C0">
        <w:trPr>
          <w:trHeight w:val="454"/>
        </w:trPr>
        <w:tc>
          <w:tcPr>
            <w:tcW w:w="395" w:type="pct"/>
            <w:vMerge w:val="restart"/>
            <w:tcMar>
              <w:top w:w="28" w:type="dxa"/>
              <w:bottom w:w="28" w:type="dxa"/>
            </w:tcMar>
            <w:vAlign w:val="center"/>
          </w:tcPr>
          <w:p w:rsidR="00EE56C0" w:rsidRDefault="000F36A1">
            <w:pPr>
              <w:pStyle w:val="afa"/>
            </w:pPr>
            <w:r>
              <w:t>固体</w:t>
            </w:r>
          </w:p>
          <w:p w:rsidR="00EE56C0" w:rsidRDefault="000F36A1">
            <w:pPr>
              <w:pStyle w:val="afa"/>
            </w:pPr>
            <w:r>
              <w:t>废物</w:t>
            </w:r>
          </w:p>
        </w:tc>
        <w:tc>
          <w:tcPr>
            <w:tcW w:w="416" w:type="pct"/>
            <w:tcMar>
              <w:top w:w="28" w:type="dxa"/>
              <w:bottom w:w="28" w:type="dxa"/>
            </w:tcMar>
            <w:vAlign w:val="center"/>
          </w:tcPr>
          <w:p w:rsidR="00EE56C0" w:rsidRDefault="000F36A1">
            <w:pPr>
              <w:pStyle w:val="afa"/>
            </w:pPr>
            <w:r>
              <w:t>S1</w:t>
            </w:r>
          </w:p>
        </w:tc>
        <w:tc>
          <w:tcPr>
            <w:tcW w:w="1082" w:type="pct"/>
            <w:tcMar>
              <w:top w:w="28" w:type="dxa"/>
              <w:bottom w:w="28" w:type="dxa"/>
            </w:tcMar>
            <w:vAlign w:val="center"/>
          </w:tcPr>
          <w:p w:rsidR="00EE56C0" w:rsidRDefault="000F36A1">
            <w:pPr>
              <w:pStyle w:val="afa"/>
            </w:pPr>
            <w:r>
              <w:t>原料使用</w:t>
            </w:r>
            <w:r>
              <w:rPr>
                <w:rFonts w:hint="eastAsia"/>
              </w:rPr>
              <w:t>后的</w:t>
            </w:r>
            <w:r>
              <w:t>废包材</w:t>
            </w:r>
          </w:p>
        </w:tc>
        <w:tc>
          <w:tcPr>
            <w:tcW w:w="912" w:type="pct"/>
            <w:tcMar>
              <w:top w:w="28" w:type="dxa"/>
              <w:bottom w:w="28" w:type="dxa"/>
            </w:tcMar>
            <w:vAlign w:val="center"/>
          </w:tcPr>
          <w:p w:rsidR="00EE56C0" w:rsidRDefault="000F36A1">
            <w:pPr>
              <w:pStyle w:val="afa"/>
            </w:pPr>
            <w:r>
              <w:rPr>
                <w:rFonts w:hint="eastAsia"/>
              </w:rPr>
              <w:t>一般固废</w:t>
            </w:r>
          </w:p>
        </w:tc>
        <w:tc>
          <w:tcPr>
            <w:tcW w:w="582" w:type="pct"/>
            <w:tcBorders>
              <w:right w:val="single" w:sz="4" w:space="0" w:color="auto"/>
            </w:tcBorders>
            <w:vAlign w:val="center"/>
          </w:tcPr>
          <w:p w:rsidR="00EE56C0" w:rsidRDefault="000F36A1">
            <w:pPr>
              <w:pStyle w:val="afa"/>
            </w:pPr>
            <w:r>
              <w:t>0.3</w:t>
            </w:r>
          </w:p>
        </w:tc>
        <w:tc>
          <w:tcPr>
            <w:tcW w:w="667" w:type="pct"/>
            <w:tcBorders>
              <w:left w:val="single" w:sz="4" w:space="0" w:color="auto"/>
            </w:tcBorders>
            <w:vAlign w:val="center"/>
          </w:tcPr>
          <w:p w:rsidR="00EE56C0" w:rsidRDefault="000F36A1">
            <w:pPr>
              <w:pStyle w:val="afa"/>
            </w:pPr>
            <w:r>
              <w:t>0.5</w:t>
            </w:r>
          </w:p>
        </w:tc>
        <w:tc>
          <w:tcPr>
            <w:tcW w:w="945" w:type="pct"/>
            <w:vMerge w:val="restart"/>
            <w:vAlign w:val="center"/>
          </w:tcPr>
          <w:p w:rsidR="00EE56C0" w:rsidRDefault="000F36A1">
            <w:pPr>
              <w:pStyle w:val="afa"/>
            </w:pPr>
            <w:r>
              <w:rPr>
                <w:rFonts w:hint="eastAsia"/>
              </w:rPr>
              <w:t>一般固废间暂存，定期外售综合利用</w:t>
            </w:r>
          </w:p>
        </w:tc>
      </w:tr>
      <w:tr w:rsidR="00EE56C0">
        <w:trPr>
          <w:trHeight w:val="454"/>
        </w:trPr>
        <w:tc>
          <w:tcPr>
            <w:tcW w:w="395" w:type="pct"/>
            <w:vMerge/>
            <w:tcMar>
              <w:top w:w="28" w:type="dxa"/>
              <w:bottom w:w="28" w:type="dxa"/>
            </w:tcMar>
            <w:vAlign w:val="center"/>
          </w:tcPr>
          <w:p w:rsidR="00EE56C0" w:rsidRDefault="00EE56C0">
            <w:pPr>
              <w:pStyle w:val="afa"/>
            </w:pPr>
          </w:p>
        </w:tc>
        <w:tc>
          <w:tcPr>
            <w:tcW w:w="416" w:type="pct"/>
            <w:tcMar>
              <w:top w:w="28" w:type="dxa"/>
              <w:bottom w:w="28" w:type="dxa"/>
            </w:tcMar>
            <w:vAlign w:val="center"/>
          </w:tcPr>
          <w:p w:rsidR="00EE56C0" w:rsidRDefault="000F36A1">
            <w:pPr>
              <w:pStyle w:val="afa"/>
            </w:pPr>
            <w:r>
              <w:t>S2</w:t>
            </w:r>
          </w:p>
        </w:tc>
        <w:tc>
          <w:tcPr>
            <w:tcW w:w="1082" w:type="pct"/>
            <w:tcMar>
              <w:top w:w="28" w:type="dxa"/>
              <w:bottom w:w="28" w:type="dxa"/>
            </w:tcMar>
            <w:vAlign w:val="center"/>
          </w:tcPr>
          <w:p w:rsidR="00EE56C0" w:rsidRDefault="000F36A1">
            <w:pPr>
              <w:pStyle w:val="afa"/>
            </w:pPr>
            <w:r>
              <w:rPr>
                <w:rFonts w:hint="eastAsia"/>
              </w:rPr>
              <w:t>挤压工序废铜线</w:t>
            </w:r>
          </w:p>
        </w:tc>
        <w:tc>
          <w:tcPr>
            <w:tcW w:w="912" w:type="pct"/>
            <w:tcMar>
              <w:top w:w="28" w:type="dxa"/>
              <w:bottom w:w="28" w:type="dxa"/>
            </w:tcMar>
            <w:vAlign w:val="center"/>
          </w:tcPr>
          <w:p w:rsidR="00EE56C0" w:rsidRDefault="000F36A1">
            <w:pPr>
              <w:pStyle w:val="afa"/>
            </w:pPr>
            <w:r>
              <w:rPr>
                <w:rFonts w:hint="eastAsia"/>
              </w:rPr>
              <w:t>一般固废</w:t>
            </w:r>
          </w:p>
        </w:tc>
        <w:tc>
          <w:tcPr>
            <w:tcW w:w="582" w:type="pct"/>
            <w:tcBorders>
              <w:right w:val="single" w:sz="4" w:space="0" w:color="auto"/>
            </w:tcBorders>
            <w:vAlign w:val="center"/>
          </w:tcPr>
          <w:p w:rsidR="00EE56C0" w:rsidRDefault="000F36A1">
            <w:pPr>
              <w:pStyle w:val="afa"/>
            </w:pPr>
            <w:r>
              <w:t>10.18</w:t>
            </w:r>
          </w:p>
        </w:tc>
        <w:tc>
          <w:tcPr>
            <w:tcW w:w="667" w:type="pct"/>
            <w:tcBorders>
              <w:left w:val="single" w:sz="4" w:space="0" w:color="auto"/>
            </w:tcBorders>
            <w:vAlign w:val="center"/>
          </w:tcPr>
          <w:p w:rsidR="00EE56C0" w:rsidRDefault="000F36A1">
            <w:pPr>
              <w:pStyle w:val="afa"/>
            </w:pPr>
            <w:r>
              <w:t>29.05</w:t>
            </w:r>
          </w:p>
        </w:tc>
        <w:tc>
          <w:tcPr>
            <w:tcW w:w="945" w:type="pct"/>
            <w:vMerge/>
            <w:vAlign w:val="center"/>
          </w:tcPr>
          <w:p w:rsidR="00EE56C0" w:rsidRDefault="00EE56C0">
            <w:pPr>
              <w:pStyle w:val="afa"/>
            </w:pPr>
          </w:p>
        </w:tc>
      </w:tr>
      <w:tr w:rsidR="00EE56C0">
        <w:trPr>
          <w:trHeight w:val="454"/>
        </w:trPr>
        <w:tc>
          <w:tcPr>
            <w:tcW w:w="395" w:type="pct"/>
            <w:vMerge/>
            <w:tcMar>
              <w:top w:w="28" w:type="dxa"/>
              <w:bottom w:w="28" w:type="dxa"/>
            </w:tcMar>
            <w:vAlign w:val="center"/>
          </w:tcPr>
          <w:p w:rsidR="00EE56C0" w:rsidRDefault="00EE56C0">
            <w:pPr>
              <w:pStyle w:val="afa"/>
            </w:pPr>
          </w:p>
        </w:tc>
        <w:tc>
          <w:tcPr>
            <w:tcW w:w="416" w:type="pct"/>
            <w:tcMar>
              <w:top w:w="28" w:type="dxa"/>
              <w:bottom w:w="28" w:type="dxa"/>
            </w:tcMar>
            <w:vAlign w:val="center"/>
          </w:tcPr>
          <w:p w:rsidR="00EE56C0" w:rsidRDefault="000F36A1">
            <w:pPr>
              <w:pStyle w:val="afa"/>
            </w:pPr>
            <w:r>
              <w:t>S3</w:t>
            </w:r>
          </w:p>
        </w:tc>
        <w:tc>
          <w:tcPr>
            <w:tcW w:w="1082" w:type="pct"/>
            <w:tcMar>
              <w:top w:w="28" w:type="dxa"/>
              <w:bottom w:w="28" w:type="dxa"/>
            </w:tcMar>
            <w:vAlign w:val="center"/>
          </w:tcPr>
          <w:p w:rsidR="00EE56C0" w:rsidRDefault="000F36A1">
            <w:pPr>
              <w:pStyle w:val="afa"/>
            </w:pPr>
            <w:r>
              <w:t>检验残次品</w:t>
            </w:r>
          </w:p>
        </w:tc>
        <w:tc>
          <w:tcPr>
            <w:tcW w:w="912" w:type="pct"/>
            <w:tcMar>
              <w:top w:w="28" w:type="dxa"/>
              <w:bottom w:w="28" w:type="dxa"/>
            </w:tcMar>
            <w:vAlign w:val="center"/>
          </w:tcPr>
          <w:p w:rsidR="00EE56C0" w:rsidRDefault="000F36A1">
            <w:pPr>
              <w:pStyle w:val="afa"/>
            </w:pPr>
            <w:r>
              <w:rPr>
                <w:rFonts w:hint="eastAsia"/>
              </w:rPr>
              <w:t>一般固废</w:t>
            </w:r>
          </w:p>
        </w:tc>
        <w:tc>
          <w:tcPr>
            <w:tcW w:w="582" w:type="pct"/>
            <w:tcBorders>
              <w:right w:val="single" w:sz="4" w:space="0" w:color="auto"/>
            </w:tcBorders>
            <w:vAlign w:val="center"/>
          </w:tcPr>
          <w:p w:rsidR="00EE56C0" w:rsidRDefault="000F36A1">
            <w:pPr>
              <w:pStyle w:val="afa"/>
            </w:pPr>
            <w:r>
              <w:t>2.9</w:t>
            </w:r>
          </w:p>
        </w:tc>
        <w:tc>
          <w:tcPr>
            <w:tcW w:w="667" w:type="pct"/>
            <w:tcBorders>
              <w:left w:val="single" w:sz="4" w:space="0" w:color="auto"/>
            </w:tcBorders>
            <w:vAlign w:val="center"/>
          </w:tcPr>
          <w:p w:rsidR="00EE56C0" w:rsidRDefault="000F36A1">
            <w:pPr>
              <w:pStyle w:val="afa"/>
            </w:pPr>
            <w:r>
              <w:t>5.1</w:t>
            </w:r>
          </w:p>
        </w:tc>
        <w:tc>
          <w:tcPr>
            <w:tcW w:w="945" w:type="pct"/>
            <w:vMerge/>
            <w:vAlign w:val="center"/>
          </w:tcPr>
          <w:p w:rsidR="00EE56C0" w:rsidRDefault="00EE56C0">
            <w:pPr>
              <w:pStyle w:val="afa"/>
            </w:pPr>
          </w:p>
        </w:tc>
      </w:tr>
      <w:tr w:rsidR="00EE56C0">
        <w:trPr>
          <w:trHeight w:val="454"/>
        </w:trPr>
        <w:tc>
          <w:tcPr>
            <w:tcW w:w="395" w:type="pct"/>
            <w:vMerge/>
            <w:tcMar>
              <w:top w:w="28" w:type="dxa"/>
              <w:bottom w:w="28" w:type="dxa"/>
            </w:tcMar>
            <w:vAlign w:val="center"/>
          </w:tcPr>
          <w:p w:rsidR="00EE56C0" w:rsidRDefault="00EE56C0">
            <w:pPr>
              <w:pStyle w:val="afa"/>
            </w:pPr>
          </w:p>
        </w:tc>
        <w:tc>
          <w:tcPr>
            <w:tcW w:w="416" w:type="pct"/>
            <w:tcMar>
              <w:top w:w="28" w:type="dxa"/>
              <w:bottom w:w="28" w:type="dxa"/>
            </w:tcMar>
            <w:vAlign w:val="center"/>
          </w:tcPr>
          <w:p w:rsidR="00EE56C0" w:rsidRDefault="000F36A1">
            <w:pPr>
              <w:pStyle w:val="afa"/>
            </w:pPr>
            <w:r>
              <w:t>S4</w:t>
            </w:r>
          </w:p>
        </w:tc>
        <w:tc>
          <w:tcPr>
            <w:tcW w:w="1082" w:type="pct"/>
            <w:tcMar>
              <w:top w:w="28" w:type="dxa"/>
              <w:bottom w:w="28" w:type="dxa"/>
            </w:tcMar>
            <w:vAlign w:val="center"/>
          </w:tcPr>
          <w:p w:rsidR="00EE56C0" w:rsidRDefault="000F36A1">
            <w:pPr>
              <w:pStyle w:val="afa"/>
            </w:pPr>
            <w:r>
              <w:t>含铜油泥</w:t>
            </w:r>
          </w:p>
        </w:tc>
        <w:tc>
          <w:tcPr>
            <w:tcW w:w="912" w:type="pct"/>
            <w:tcMar>
              <w:top w:w="28" w:type="dxa"/>
              <w:bottom w:w="28" w:type="dxa"/>
            </w:tcMar>
            <w:vAlign w:val="center"/>
          </w:tcPr>
          <w:p w:rsidR="00EE56C0" w:rsidRDefault="000F36A1">
            <w:pPr>
              <w:pStyle w:val="afa"/>
            </w:pPr>
            <w:r>
              <w:rPr>
                <w:rFonts w:hint="eastAsia"/>
              </w:rPr>
              <w:t>危险废物</w:t>
            </w:r>
          </w:p>
        </w:tc>
        <w:tc>
          <w:tcPr>
            <w:tcW w:w="582" w:type="pct"/>
            <w:tcBorders>
              <w:right w:val="single" w:sz="4" w:space="0" w:color="auto"/>
            </w:tcBorders>
            <w:vAlign w:val="center"/>
          </w:tcPr>
          <w:p w:rsidR="00EE56C0" w:rsidRDefault="000F36A1">
            <w:pPr>
              <w:pStyle w:val="afa"/>
            </w:pPr>
            <w:r>
              <w:t>1.2</w:t>
            </w:r>
          </w:p>
        </w:tc>
        <w:tc>
          <w:tcPr>
            <w:tcW w:w="667" w:type="pct"/>
            <w:tcBorders>
              <w:left w:val="single" w:sz="4" w:space="0" w:color="auto"/>
            </w:tcBorders>
            <w:vAlign w:val="center"/>
          </w:tcPr>
          <w:p w:rsidR="00EE56C0" w:rsidRDefault="000F36A1">
            <w:pPr>
              <w:pStyle w:val="afa"/>
            </w:pPr>
            <w:r>
              <w:t>2.75</w:t>
            </w:r>
          </w:p>
        </w:tc>
        <w:tc>
          <w:tcPr>
            <w:tcW w:w="945" w:type="pct"/>
            <w:vMerge w:val="restart"/>
            <w:tcBorders>
              <w:top w:val="single" w:sz="4" w:space="0" w:color="auto"/>
            </w:tcBorders>
            <w:vAlign w:val="center"/>
          </w:tcPr>
          <w:p w:rsidR="00EE56C0" w:rsidRDefault="000F36A1">
            <w:pPr>
              <w:pStyle w:val="afa"/>
            </w:pPr>
            <w:r>
              <w:t>专用容器收集，在危废储存间分类暂存</w:t>
            </w:r>
            <w:r>
              <w:rPr>
                <w:rFonts w:hint="eastAsia"/>
              </w:rPr>
              <w:t>，</w:t>
            </w:r>
            <w:r>
              <w:t>定期送有</w:t>
            </w:r>
            <w:r>
              <w:rPr>
                <w:rFonts w:hint="eastAsia"/>
              </w:rPr>
              <w:t>相应</w:t>
            </w:r>
            <w:r>
              <w:t>危废</w:t>
            </w:r>
            <w:r>
              <w:rPr>
                <w:rFonts w:hint="eastAsia"/>
              </w:rPr>
              <w:t>处置</w:t>
            </w:r>
            <w:r>
              <w:t>资质的单位</w:t>
            </w:r>
            <w:r>
              <w:rPr>
                <w:rFonts w:hint="eastAsia"/>
              </w:rPr>
              <w:t>处置</w:t>
            </w:r>
          </w:p>
        </w:tc>
      </w:tr>
      <w:tr w:rsidR="00EE56C0">
        <w:trPr>
          <w:trHeight w:val="454"/>
        </w:trPr>
        <w:tc>
          <w:tcPr>
            <w:tcW w:w="395" w:type="pct"/>
            <w:vMerge/>
            <w:tcMar>
              <w:top w:w="28" w:type="dxa"/>
              <w:bottom w:w="28" w:type="dxa"/>
            </w:tcMar>
            <w:vAlign w:val="center"/>
          </w:tcPr>
          <w:p w:rsidR="00EE56C0" w:rsidRDefault="00EE56C0">
            <w:pPr>
              <w:pStyle w:val="afa"/>
            </w:pPr>
          </w:p>
        </w:tc>
        <w:tc>
          <w:tcPr>
            <w:tcW w:w="416" w:type="pct"/>
            <w:tcMar>
              <w:top w:w="28" w:type="dxa"/>
              <w:bottom w:w="28" w:type="dxa"/>
            </w:tcMar>
            <w:vAlign w:val="center"/>
          </w:tcPr>
          <w:p w:rsidR="00EE56C0" w:rsidRDefault="000F36A1">
            <w:pPr>
              <w:pStyle w:val="afa"/>
            </w:pPr>
            <w:r>
              <w:rPr>
                <w:rFonts w:hint="eastAsia"/>
              </w:rPr>
              <w:t>S5</w:t>
            </w:r>
          </w:p>
        </w:tc>
        <w:tc>
          <w:tcPr>
            <w:tcW w:w="1082" w:type="pct"/>
            <w:tcMar>
              <w:top w:w="28" w:type="dxa"/>
              <w:bottom w:w="28" w:type="dxa"/>
            </w:tcMar>
            <w:vAlign w:val="center"/>
          </w:tcPr>
          <w:p w:rsidR="00EE56C0" w:rsidRDefault="000F36A1">
            <w:pPr>
              <w:pStyle w:val="afa"/>
            </w:pPr>
            <w:r>
              <w:rPr>
                <w:rFonts w:hint="eastAsia"/>
              </w:rPr>
              <w:t>废拉丝油</w:t>
            </w:r>
          </w:p>
        </w:tc>
        <w:tc>
          <w:tcPr>
            <w:tcW w:w="912" w:type="pct"/>
            <w:tcMar>
              <w:top w:w="28" w:type="dxa"/>
              <w:bottom w:w="28" w:type="dxa"/>
            </w:tcMar>
            <w:vAlign w:val="center"/>
          </w:tcPr>
          <w:p w:rsidR="00EE56C0" w:rsidRDefault="000F36A1">
            <w:pPr>
              <w:pStyle w:val="afa"/>
            </w:pPr>
            <w:r>
              <w:rPr>
                <w:rFonts w:hint="eastAsia"/>
              </w:rPr>
              <w:t>危险废物</w:t>
            </w:r>
          </w:p>
        </w:tc>
        <w:tc>
          <w:tcPr>
            <w:tcW w:w="582" w:type="pct"/>
            <w:tcBorders>
              <w:right w:val="single" w:sz="4" w:space="0" w:color="auto"/>
            </w:tcBorders>
            <w:vAlign w:val="center"/>
          </w:tcPr>
          <w:p w:rsidR="00EE56C0" w:rsidRPr="00E852EB" w:rsidRDefault="000F36A1">
            <w:pPr>
              <w:pStyle w:val="afa"/>
              <w:rPr>
                <w:b/>
                <w:u w:val="single"/>
              </w:rPr>
            </w:pPr>
            <w:r w:rsidRPr="00E852EB">
              <w:rPr>
                <w:b/>
                <w:u w:val="single"/>
              </w:rPr>
              <w:t>2.</w:t>
            </w:r>
            <w:r w:rsidRPr="00E852EB">
              <w:rPr>
                <w:rFonts w:hint="eastAsia"/>
                <w:b/>
                <w:u w:val="single"/>
              </w:rPr>
              <w:t>39</w:t>
            </w:r>
          </w:p>
        </w:tc>
        <w:tc>
          <w:tcPr>
            <w:tcW w:w="667" w:type="pct"/>
            <w:tcBorders>
              <w:left w:val="single" w:sz="4" w:space="0" w:color="auto"/>
            </w:tcBorders>
            <w:vAlign w:val="center"/>
          </w:tcPr>
          <w:p w:rsidR="00EE56C0" w:rsidRPr="00E852EB" w:rsidRDefault="000F36A1">
            <w:pPr>
              <w:pStyle w:val="afa"/>
              <w:rPr>
                <w:b/>
                <w:u w:val="single"/>
              </w:rPr>
            </w:pPr>
            <w:r w:rsidRPr="00E852EB">
              <w:rPr>
                <w:b/>
                <w:u w:val="single"/>
              </w:rPr>
              <w:t>6.</w:t>
            </w:r>
            <w:r w:rsidRPr="00E852EB">
              <w:rPr>
                <w:rFonts w:hint="eastAsia"/>
                <w:b/>
                <w:u w:val="single"/>
              </w:rPr>
              <w:t>27</w:t>
            </w:r>
          </w:p>
        </w:tc>
        <w:tc>
          <w:tcPr>
            <w:tcW w:w="945" w:type="pct"/>
            <w:vMerge/>
            <w:tcBorders>
              <w:top w:val="single" w:sz="4" w:space="0" w:color="auto"/>
              <w:bottom w:val="single" w:sz="4" w:space="0" w:color="auto"/>
            </w:tcBorders>
            <w:vAlign w:val="center"/>
          </w:tcPr>
          <w:p w:rsidR="00EE56C0" w:rsidRDefault="00EE56C0">
            <w:pPr>
              <w:pStyle w:val="afa"/>
            </w:pPr>
          </w:p>
        </w:tc>
      </w:tr>
      <w:tr w:rsidR="00EE56C0">
        <w:trPr>
          <w:trHeight w:val="454"/>
        </w:trPr>
        <w:tc>
          <w:tcPr>
            <w:tcW w:w="395" w:type="pct"/>
            <w:vMerge/>
            <w:tcMar>
              <w:top w:w="28" w:type="dxa"/>
              <w:bottom w:w="28" w:type="dxa"/>
            </w:tcMar>
            <w:vAlign w:val="center"/>
          </w:tcPr>
          <w:p w:rsidR="00EE56C0" w:rsidRDefault="00EE56C0">
            <w:pPr>
              <w:pStyle w:val="afa"/>
            </w:pPr>
          </w:p>
        </w:tc>
        <w:tc>
          <w:tcPr>
            <w:tcW w:w="416" w:type="pct"/>
            <w:tcMar>
              <w:top w:w="28" w:type="dxa"/>
              <w:bottom w:w="28" w:type="dxa"/>
            </w:tcMar>
            <w:vAlign w:val="center"/>
          </w:tcPr>
          <w:p w:rsidR="00EE56C0" w:rsidRDefault="000F36A1">
            <w:pPr>
              <w:pStyle w:val="afa"/>
            </w:pPr>
            <w:r>
              <w:rPr>
                <w:rFonts w:hint="eastAsia"/>
              </w:rPr>
              <w:t>S6</w:t>
            </w:r>
          </w:p>
        </w:tc>
        <w:tc>
          <w:tcPr>
            <w:tcW w:w="1082" w:type="pct"/>
            <w:tcMar>
              <w:top w:w="28" w:type="dxa"/>
              <w:bottom w:w="28" w:type="dxa"/>
            </w:tcMar>
            <w:vAlign w:val="center"/>
          </w:tcPr>
          <w:p w:rsidR="00EE56C0" w:rsidRDefault="000F36A1">
            <w:pPr>
              <w:pStyle w:val="afa"/>
            </w:pPr>
            <w:r>
              <w:rPr>
                <w:rFonts w:hint="eastAsia"/>
              </w:rPr>
              <w:t>废丝包漆料桶</w:t>
            </w:r>
          </w:p>
        </w:tc>
        <w:tc>
          <w:tcPr>
            <w:tcW w:w="912" w:type="pct"/>
            <w:tcMar>
              <w:top w:w="28" w:type="dxa"/>
              <w:bottom w:w="28" w:type="dxa"/>
            </w:tcMar>
            <w:vAlign w:val="center"/>
          </w:tcPr>
          <w:p w:rsidR="00EE56C0" w:rsidRDefault="000F36A1">
            <w:pPr>
              <w:pStyle w:val="afa"/>
            </w:pPr>
            <w:r>
              <w:rPr>
                <w:rFonts w:hint="eastAsia"/>
              </w:rPr>
              <w:t>危险废物</w:t>
            </w:r>
          </w:p>
        </w:tc>
        <w:tc>
          <w:tcPr>
            <w:tcW w:w="582" w:type="pct"/>
            <w:tcBorders>
              <w:right w:val="single" w:sz="4" w:space="0" w:color="auto"/>
            </w:tcBorders>
            <w:vAlign w:val="center"/>
          </w:tcPr>
          <w:p w:rsidR="00EE56C0" w:rsidRPr="00E852EB" w:rsidRDefault="000F36A1">
            <w:pPr>
              <w:pStyle w:val="afa"/>
              <w:rPr>
                <w:b/>
                <w:u w:val="single"/>
              </w:rPr>
            </w:pPr>
            <w:r w:rsidRPr="00E852EB">
              <w:rPr>
                <w:b/>
                <w:u w:val="single"/>
              </w:rPr>
              <w:t>0.6</w:t>
            </w:r>
          </w:p>
        </w:tc>
        <w:tc>
          <w:tcPr>
            <w:tcW w:w="667" w:type="pct"/>
            <w:tcBorders>
              <w:left w:val="single" w:sz="4" w:space="0" w:color="auto"/>
            </w:tcBorders>
            <w:vAlign w:val="center"/>
          </w:tcPr>
          <w:p w:rsidR="00EE56C0" w:rsidRPr="00E852EB" w:rsidRDefault="000F36A1">
            <w:pPr>
              <w:pStyle w:val="afa"/>
              <w:rPr>
                <w:b/>
                <w:u w:val="single"/>
              </w:rPr>
            </w:pPr>
            <w:r w:rsidRPr="00E852EB">
              <w:rPr>
                <w:b/>
                <w:u w:val="single"/>
              </w:rPr>
              <w:t>0.5</w:t>
            </w:r>
          </w:p>
        </w:tc>
        <w:tc>
          <w:tcPr>
            <w:tcW w:w="945" w:type="pct"/>
            <w:vMerge/>
            <w:tcBorders>
              <w:top w:val="single" w:sz="4" w:space="0" w:color="auto"/>
              <w:bottom w:val="single" w:sz="4" w:space="0" w:color="auto"/>
            </w:tcBorders>
            <w:vAlign w:val="center"/>
          </w:tcPr>
          <w:p w:rsidR="00EE56C0" w:rsidRDefault="00EE56C0">
            <w:pPr>
              <w:pStyle w:val="afa"/>
            </w:pPr>
          </w:p>
        </w:tc>
      </w:tr>
      <w:tr w:rsidR="00EE56C0">
        <w:trPr>
          <w:trHeight w:val="454"/>
        </w:trPr>
        <w:tc>
          <w:tcPr>
            <w:tcW w:w="395" w:type="pct"/>
            <w:vMerge/>
            <w:tcMar>
              <w:top w:w="28" w:type="dxa"/>
              <w:bottom w:w="28" w:type="dxa"/>
            </w:tcMar>
            <w:vAlign w:val="center"/>
          </w:tcPr>
          <w:p w:rsidR="00EE56C0" w:rsidRDefault="00EE56C0">
            <w:pPr>
              <w:pStyle w:val="afa"/>
            </w:pPr>
          </w:p>
        </w:tc>
        <w:tc>
          <w:tcPr>
            <w:tcW w:w="416" w:type="pct"/>
            <w:tcMar>
              <w:top w:w="28" w:type="dxa"/>
              <w:bottom w:w="28" w:type="dxa"/>
            </w:tcMar>
            <w:vAlign w:val="center"/>
          </w:tcPr>
          <w:p w:rsidR="00EE56C0" w:rsidRDefault="000F36A1">
            <w:pPr>
              <w:pStyle w:val="afa"/>
            </w:pPr>
            <w:r>
              <w:rPr>
                <w:rFonts w:hint="eastAsia"/>
              </w:rPr>
              <w:t>S7</w:t>
            </w:r>
          </w:p>
        </w:tc>
        <w:tc>
          <w:tcPr>
            <w:tcW w:w="1082" w:type="pct"/>
            <w:tcMar>
              <w:top w:w="28" w:type="dxa"/>
              <w:bottom w:w="28" w:type="dxa"/>
            </w:tcMar>
            <w:vAlign w:val="center"/>
          </w:tcPr>
          <w:p w:rsidR="00EE56C0" w:rsidRDefault="000F36A1">
            <w:pPr>
              <w:pStyle w:val="afa"/>
            </w:pPr>
            <w:r>
              <w:rPr>
                <w:rFonts w:hint="eastAsia"/>
              </w:rPr>
              <w:t>含漆料</w:t>
            </w:r>
            <w:r>
              <w:rPr>
                <w:rFonts w:hint="eastAsia"/>
              </w:rPr>
              <w:t>/</w:t>
            </w:r>
            <w:r>
              <w:rPr>
                <w:rFonts w:hint="eastAsia"/>
              </w:rPr>
              <w:t>油的废毛毡</w:t>
            </w:r>
          </w:p>
        </w:tc>
        <w:tc>
          <w:tcPr>
            <w:tcW w:w="912" w:type="pct"/>
            <w:tcMar>
              <w:top w:w="28" w:type="dxa"/>
              <w:bottom w:w="28" w:type="dxa"/>
            </w:tcMar>
            <w:vAlign w:val="center"/>
          </w:tcPr>
          <w:p w:rsidR="00EE56C0" w:rsidRDefault="000F36A1">
            <w:pPr>
              <w:pStyle w:val="afa"/>
            </w:pPr>
            <w:r>
              <w:rPr>
                <w:rFonts w:hint="eastAsia"/>
              </w:rPr>
              <w:t>危险废物</w:t>
            </w:r>
          </w:p>
        </w:tc>
        <w:tc>
          <w:tcPr>
            <w:tcW w:w="582" w:type="pct"/>
            <w:tcBorders>
              <w:right w:val="single" w:sz="4" w:space="0" w:color="auto"/>
            </w:tcBorders>
            <w:vAlign w:val="center"/>
          </w:tcPr>
          <w:p w:rsidR="00EE56C0" w:rsidRDefault="000F36A1">
            <w:pPr>
              <w:pStyle w:val="afa"/>
            </w:pPr>
            <w:r>
              <w:t>0.3</w:t>
            </w:r>
          </w:p>
        </w:tc>
        <w:tc>
          <w:tcPr>
            <w:tcW w:w="667" w:type="pct"/>
            <w:tcBorders>
              <w:left w:val="single" w:sz="4" w:space="0" w:color="auto"/>
            </w:tcBorders>
            <w:vAlign w:val="center"/>
          </w:tcPr>
          <w:p w:rsidR="00EE56C0" w:rsidRDefault="000F36A1">
            <w:pPr>
              <w:pStyle w:val="afa"/>
            </w:pPr>
            <w:r>
              <w:t>0.7</w:t>
            </w:r>
          </w:p>
        </w:tc>
        <w:tc>
          <w:tcPr>
            <w:tcW w:w="945" w:type="pct"/>
            <w:vMerge/>
            <w:tcBorders>
              <w:top w:val="single" w:sz="4" w:space="0" w:color="auto"/>
              <w:bottom w:val="single" w:sz="4" w:space="0" w:color="auto"/>
            </w:tcBorders>
            <w:vAlign w:val="center"/>
          </w:tcPr>
          <w:p w:rsidR="00EE56C0" w:rsidRDefault="00EE56C0">
            <w:pPr>
              <w:pStyle w:val="afa"/>
            </w:pPr>
          </w:p>
        </w:tc>
      </w:tr>
      <w:tr w:rsidR="00EE56C0">
        <w:trPr>
          <w:trHeight w:val="454"/>
        </w:trPr>
        <w:tc>
          <w:tcPr>
            <w:tcW w:w="395" w:type="pct"/>
            <w:vMerge/>
            <w:tcMar>
              <w:top w:w="28" w:type="dxa"/>
              <w:bottom w:w="28" w:type="dxa"/>
            </w:tcMar>
            <w:vAlign w:val="center"/>
          </w:tcPr>
          <w:p w:rsidR="00EE56C0" w:rsidRDefault="00EE56C0">
            <w:pPr>
              <w:pStyle w:val="afa"/>
            </w:pPr>
          </w:p>
        </w:tc>
        <w:tc>
          <w:tcPr>
            <w:tcW w:w="416" w:type="pct"/>
            <w:tcMar>
              <w:top w:w="28" w:type="dxa"/>
              <w:bottom w:w="28" w:type="dxa"/>
            </w:tcMar>
            <w:vAlign w:val="center"/>
          </w:tcPr>
          <w:p w:rsidR="00EE56C0" w:rsidRDefault="000F36A1">
            <w:pPr>
              <w:pStyle w:val="afa"/>
            </w:pPr>
            <w:r>
              <w:rPr>
                <w:rFonts w:hint="eastAsia"/>
              </w:rPr>
              <w:t>S8</w:t>
            </w:r>
          </w:p>
        </w:tc>
        <w:tc>
          <w:tcPr>
            <w:tcW w:w="1082" w:type="pct"/>
            <w:tcMar>
              <w:top w:w="28" w:type="dxa"/>
              <w:bottom w:w="28" w:type="dxa"/>
            </w:tcMar>
            <w:vAlign w:val="center"/>
          </w:tcPr>
          <w:p w:rsidR="00EE56C0" w:rsidRDefault="000F36A1">
            <w:pPr>
              <w:pStyle w:val="afa"/>
            </w:pPr>
            <w:r>
              <w:rPr>
                <w:rFonts w:hint="eastAsia"/>
              </w:rPr>
              <w:t>废油</w:t>
            </w:r>
          </w:p>
        </w:tc>
        <w:tc>
          <w:tcPr>
            <w:tcW w:w="912" w:type="pct"/>
            <w:tcMar>
              <w:top w:w="28" w:type="dxa"/>
              <w:bottom w:w="28" w:type="dxa"/>
            </w:tcMar>
            <w:vAlign w:val="center"/>
          </w:tcPr>
          <w:p w:rsidR="00EE56C0" w:rsidRDefault="000F36A1">
            <w:pPr>
              <w:pStyle w:val="afa"/>
            </w:pPr>
            <w:r>
              <w:rPr>
                <w:rFonts w:hint="eastAsia"/>
              </w:rPr>
              <w:t>危险废物</w:t>
            </w:r>
          </w:p>
        </w:tc>
        <w:tc>
          <w:tcPr>
            <w:tcW w:w="582" w:type="pct"/>
            <w:tcBorders>
              <w:right w:val="single" w:sz="4" w:space="0" w:color="auto"/>
            </w:tcBorders>
            <w:vAlign w:val="center"/>
          </w:tcPr>
          <w:p w:rsidR="00EE56C0" w:rsidRDefault="000F36A1">
            <w:pPr>
              <w:pStyle w:val="afa"/>
            </w:pPr>
            <w:r>
              <w:t>0.3</w:t>
            </w:r>
          </w:p>
        </w:tc>
        <w:tc>
          <w:tcPr>
            <w:tcW w:w="667" w:type="pct"/>
            <w:tcBorders>
              <w:left w:val="single" w:sz="4" w:space="0" w:color="auto"/>
            </w:tcBorders>
            <w:vAlign w:val="center"/>
          </w:tcPr>
          <w:p w:rsidR="00EE56C0" w:rsidRDefault="000F36A1">
            <w:pPr>
              <w:pStyle w:val="afa"/>
            </w:pPr>
            <w:r>
              <w:t>0.7</w:t>
            </w:r>
          </w:p>
        </w:tc>
        <w:tc>
          <w:tcPr>
            <w:tcW w:w="945" w:type="pct"/>
            <w:vMerge/>
            <w:tcBorders>
              <w:top w:val="single" w:sz="4" w:space="0" w:color="auto"/>
              <w:bottom w:val="single" w:sz="4" w:space="0" w:color="auto"/>
            </w:tcBorders>
            <w:vAlign w:val="center"/>
          </w:tcPr>
          <w:p w:rsidR="00EE56C0" w:rsidRDefault="00EE56C0">
            <w:pPr>
              <w:pStyle w:val="afa"/>
            </w:pPr>
          </w:p>
        </w:tc>
      </w:tr>
      <w:tr w:rsidR="00EE56C0">
        <w:trPr>
          <w:trHeight w:val="454"/>
        </w:trPr>
        <w:tc>
          <w:tcPr>
            <w:tcW w:w="395" w:type="pct"/>
            <w:vMerge/>
            <w:tcMar>
              <w:top w:w="28" w:type="dxa"/>
              <w:bottom w:w="28" w:type="dxa"/>
            </w:tcMar>
            <w:vAlign w:val="center"/>
          </w:tcPr>
          <w:p w:rsidR="00EE56C0" w:rsidRDefault="00EE56C0">
            <w:pPr>
              <w:pStyle w:val="afa"/>
            </w:pPr>
          </w:p>
        </w:tc>
        <w:tc>
          <w:tcPr>
            <w:tcW w:w="416" w:type="pct"/>
            <w:tcMar>
              <w:top w:w="28" w:type="dxa"/>
              <w:bottom w:w="28" w:type="dxa"/>
            </w:tcMar>
            <w:vAlign w:val="center"/>
          </w:tcPr>
          <w:p w:rsidR="00EE56C0" w:rsidRDefault="000F36A1">
            <w:pPr>
              <w:pStyle w:val="afa"/>
            </w:pPr>
            <w:r>
              <w:rPr>
                <w:rFonts w:hint="eastAsia"/>
              </w:rPr>
              <w:t>S9</w:t>
            </w:r>
          </w:p>
        </w:tc>
        <w:tc>
          <w:tcPr>
            <w:tcW w:w="1082" w:type="pct"/>
            <w:tcMar>
              <w:top w:w="28" w:type="dxa"/>
              <w:bottom w:w="28" w:type="dxa"/>
            </w:tcMar>
            <w:vAlign w:val="center"/>
          </w:tcPr>
          <w:p w:rsidR="00EE56C0" w:rsidRDefault="000F36A1">
            <w:pPr>
              <w:pStyle w:val="afa"/>
            </w:pPr>
            <w:r>
              <w:rPr>
                <w:rFonts w:hint="eastAsia"/>
              </w:rPr>
              <w:t>废活性炭</w:t>
            </w:r>
          </w:p>
        </w:tc>
        <w:tc>
          <w:tcPr>
            <w:tcW w:w="912" w:type="pct"/>
            <w:tcMar>
              <w:top w:w="28" w:type="dxa"/>
              <w:bottom w:w="28" w:type="dxa"/>
            </w:tcMar>
            <w:vAlign w:val="center"/>
          </w:tcPr>
          <w:p w:rsidR="00EE56C0" w:rsidRDefault="000F36A1">
            <w:pPr>
              <w:pStyle w:val="afa"/>
            </w:pPr>
            <w:r>
              <w:rPr>
                <w:rFonts w:hint="eastAsia"/>
              </w:rPr>
              <w:t>危险废物</w:t>
            </w:r>
          </w:p>
        </w:tc>
        <w:tc>
          <w:tcPr>
            <w:tcW w:w="582" w:type="pct"/>
            <w:tcBorders>
              <w:right w:val="single" w:sz="4" w:space="0" w:color="auto"/>
            </w:tcBorders>
            <w:vAlign w:val="center"/>
          </w:tcPr>
          <w:p w:rsidR="00EE56C0" w:rsidRDefault="000F36A1">
            <w:pPr>
              <w:pStyle w:val="afa"/>
            </w:pPr>
            <w:r>
              <w:t>2.75</w:t>
            </w:r>
          </w:p>
        </w:tc>
        <w:tc>
          <w:tcPr>
            <w:tcW w:w="667" w:type="pct"/>
            <w:tcBorders>
              <w:left w:val="single" w:sz="4" w:space="0" w:color="auto"/>
            </w:tcBorders>
            <w:vAlign w:val="center"/>
          </w:tcPr>
          <w:p w:rsidR="00EE56C0" w:rsidRDefault="000F36A1">
            <w:pPr>
              <w:pStyle w:val="afa"/>
            </w:pPr>
            <w:r>
              <w:t>/</w:t>
            </w:r>
          </w:p>
        </w:tc>
        <w:tc>
          <w:tcPr>
            <w:tcW w:w="945" w:type="pct"/>
            <w:vMerge/>
            <w:tcBorders>
              <w:top w:val="single" w:sz="4" w:space="0" w:color="auto"/>
              <w:bottom w:val="single" w:sz="4" w:space="0" w:color="auto"/>
            </w:tcBorders>
            <w:vAlign w:val="center"/>
          </w:tcPr>
          <w:p w:rsidR="00EE56C0" w:rsidRDefault="00EE56C0">
            <w:pPr>
              <w:pStyle w:val="afa"/>
            </w:pPr>
          </w:p>
        </w:tc>
      </w:tr>
      <w:tr w:rsidR="00EE56C0">
        <w:trPr>
          <w:trHeight w:val="454"/>
        </w:trPr>
        <w:tc>
          <w:tcPr>
            <w:tcW w:w="395" w:type="pct"/>
            <w:vMerge/>
            <w:tcMar>
              <w:top w:w="28" w:type="dxa"/>
              <w:bottom w:w="28" w:type="dxa"/>
            </w:tcMar>
            <w:vAlign w:val="center"/>
          </w:tcPr>
          <w:p w:rsidR="00EE56C0" w:rsidRDefault="00EE56C0">
            <w:pPr>
              <w:pStyle w:val="afa"/>
            </w:pPr>
          </w:p>
        </w:tc>
        <w:tc>
          <w:tcPr>
            <w:tcW w:w="416" w:type="pct"/>
            <w:tcMar>
              <w:top w:w="28" w:type="dxa"/>
              <w:bottom w:w="28" w:type="dxa"/>
            </w:tcMar>
            <w:vAlign w:val="center"/>
          </w:tcPr>
          <w:p w:rsidR="00EE56C0" w:rsidRDefault="000F36A1">
            <w:pPr>
              <w:pStyle w:val="afa"/>
            </w:pPr>
            <w:r>
              <w:rPr>
                <w:rFonts w:hint="eastAsia"/>
              </w:rPr>
              <w:t>S10</w:t>
            </w:r>
          </w:p>
        </w:tc>
        <w:tc>
          <w:tcPr>
            <w:tcW w:w="1082" w:type="pct"/>
            <w:tcMar>
              <w:top w:w="28" w:type="dxa"/>
              <w:bottom w:w="28" w:type="dxa"/>
            </w:tcMar>
            <w:vAlign w:val="center"/>
          </w:tcPr>
          <w:p w:rsidR="00EE56C0" w:rsidRDefault="000F36A1">
            <w:pPr>
              <w:pStyle w:val="afa"/>
            </w:pPr>
            <w:r>
              <w:t>废催化剂</w:t>
            </w:r>
          </w:p>
        </w:tc>
        <w:tc>
          <w:tcPr>
            <w:tcW w:w="912" w:type="pct"/>
            <w:tcMar>
              <w:top w:w="28" w:type="dxa"/>
              <w:bottom w:w="28" w:type="dxa"/>
            </w:tcMar>
            <w:vAlign w:val="center"/>
          </w:tcPr>
          <w:p w:rsidR="00EE56C0" w:rsidRDefault="000F36A1">
            <w:pPr>
              <w:pStyle w:val="afa"/>
            </w:pPr>
            <w:r>
              <w:rPr>
                <w:rFonts w:hint="eastAsia"/>
              </w:rPr>
              <w:t>危险废物</w:t>
            </w:r>
          </w:p>
        </w:tc>
        <w:tc>
          <w:tcPr>
            <w:tcW w:w="582" w:type="pct"/>
            <w:tcBorders>
              <w:right w:val="single" w:sz="4" w:space="0" w:color="auto"/>
            </w:tcBorders>
            <w:vAlign w:val="center"/>
          </w:tcPr>
          <w:p w:rsidR="00EE56C0" w:rsidRDefault="000F36A1">
            <w:pPr>
              <w:pStyle w:val="afa"/>
            </w:pPr>
            <w:r>
              <w:t>0.2</w:t>
            </w:r>
          </w:p>
        </w:tc>
        <w:tc>
          <w:tcPr>
            <w:tcW w:w="667" w:type="pct"/>
            <w:tcBorders>
              <w:left w:val="single" w:sz="4" w:space="0" w:color="auto"/>
            </w:tcBorders>
            <w:vAlign w:val="center"/>
          </w:tcPr>
          <w:p w:rsidR="00EE56C0" w:rsidRDefault="000F36A1">
            <w:pPr>
              <w:pStyle w:val="afa"/>
            </w:pPr>
            <w:r>
              <w:t>0.4</w:t>
            </w:r>
          </w:p>
        </w:tc>
        <w:tc>
          <w:tcPr>
            <w:tcW w:w="945" w:type="pct"/>
            <w:vMerge/>
            <w:tcBorders>
              <w:top w:val="single" w:sz="4" w:space="0" w:color="auto"/>
              <w:bottom w:val="single" w:sz="4" w:space="0" w:color="auto"/>
            </w:tcBorders>
            <w:vAlign w:val="center"/>
          </w:tcPr>
          <w:p w:rsidR="00EE56C0" w:rsidRDefault="00EE56C0">
            <w:pPr>
              <w:pStyle w:val="afa"/>
            </w:pPr>
          </w:p>
        </w:tc>
      </w:tr>
      <w:tr w:rsidR="00EE56C0">
        <w:trPr>
          <w:trHeight w:val="454"/>
        </w:trPr>
        <w:tc>
          <w:tcPr>
            <w:tcW w:w="395" w:type="pct"/>
            <w:vMerge/>
            <w:tcMar>
              <w:top w:w="28" w:type="dxa"/>
              <w:bottom w:w="28" w:type="dxa"/>
            </w:tcMar>
            <w:vAlign w:val="center"/>
          </w:tcPr>
          <w:p w:rsidR="00EE56C0" w:rsidRDefault="00EE56C0">
            <w:pPr>
              <w:pStyle w:val="afa"/>
            </w:pPr>
          </w:p>
        </w:tc>
        <w:tc>
          <w:tcPr>
            <w:tcW w:w="416" w:type="pct"/>
            <w:tcMar>
              <w:top w:w="28" w:type="dxa"/>
              <w:bottom w:w="28" w:type="dxa"/>
            </w:tcMar>
            <w:vAlign w:val="center"/>
          </w:tcPr>
          <w:p w:rsidR="00EE56C0" w:rsidRDefault="000F36A1">
            <w:pPr>
              <w:pStyle w:val="afa"/>
            </w:pPr>
            <w:r>
              <w:rPr>
                <w:rFonts w:hint="eastAsia"/>
              </w:rPr>
              <w:t>S11</w:t>
            </w:r>
          </w:p>
        </w:tc>
        <w:tc>
          <w:tcPr>
            <w:tcW w:w="1082" w:type="pct"/>
            <w:tcMar>
              <w:top w:w="28" w:type="dxa"/>
              <w:bottom w:w="28" w:type="dxa"/>
            </w:tcMar>
            <w:vAlign w:val="center"/>
          </w:tcPr>
          <w:p w:rsidR="00EE56C0" w:rsidRDefault="000F36A1">
            <w:pPr>
              <w:pStyle w:val="afa"/>
            </w:pPr>
            <w:r>
              <w:rPr>
                <w:rFonts w:hint="eastAsia"/>
              </w:rPr>
              <w:t>废沸石分子筛</w:t>
            </w:r>
          </w:p>
        </w:tc>
        <w:tc>
          <w:tcPr>
            <w:tcW w:w="912" w:type="pct"/>
            <w:tcMar>
              <w:top w:w="28" w:type="dxa"/>
              <w:bottom w:w="28" w:type="dxa"/>
            </w:tcMar>
            <w:vAlign w:val="center"/>
          </w:tcPr>
          <w:p w:rsidR="00EE56C0" w:rsidRDefault="000F36A1">
            <w:pPr>
              <w:pStyle w:val="afa"/>
            </w:pPr>
            <w:r>
              <w:rPr>
                <w:rFonts w:hint="eastAsia"/>
              </w:rPr>
              <w:t>危险废物</w:t>
            </w:r>
          </w:p>
        </w:tc>
        <w:tc>
          <w:tcPr>
            <w:tcW w:w="582" w:type="pct"/>
            <w:tcBorders>
              <w:right w:val="single" w:sz="4" w:space="0" w:color="auto"/>
            </w:tcBorders>
            <w:vAlign w:val="center"/>
          </w:tcPr>
          <w:p w:rsidR="00EE56C0" w:rsidRDefault="000F36A1">
            <w:pPr>
              <w:pStyle w:val="afa"/>
            </w:pPr>
            <w:r>
              <w:t>3</w:t>
            </w:r>
          </w:p>
        </w:tc>
        <w:tc>
          <w:tcPr>
            <w:tcW w:w="667" w:type="pct"/>
            <w:tcBorders>
              <w:left w:val="single" w:sz="4" w:space="0" w:color="auto"/>
            </w:tcBorders>
            <w:vAlign w:val="center"/>
          </w:tcPr>
          <w:p w:rsidR="00EE56C0" w:rsidRDefault="000F36A1">
            <w:pPr>
              <w:pStyle w:val="afa"/>
            </w:pPr>
            <w:r>
              <w:t>/</w:t>
            </w:r>
          </w:p>
        </w:tc>
        <w:tc>
          <w:tcPr>
            <w:tcW w:w="945" w:type="pct"/>
            <w:vMerge/>
            <w:tcBorders>
              <w:top w:val="single" w:sz="4" w:space="0" w:color="auto"/>
              <w:bottom w:val="single" w:sz="4" w:space="0" w:color="auto"/>
            </w:tcBorders>
            <w:vAlign w:val="center"/>
          </w:tcPr>
          <w:p w:rsidR="00EE56C0" w:rsidRDefault="00EE56C0">
            <w:pPr>
              <w:pStyle w:val="afa"/>
            </w:pPr>
          </w:p>
        </w:tc>
      </w:tr>
    </w:tbl>
    <w:p w:rsidR="00EE56C0" w:rsidRDefault="000F36A1">
      <w:pPr>
        <w:ind w:firstLine="480"/>
      </w:pPr>
      <w:r>
        <w:rPr>
          <w:rFonts w:hint="eastAsia"/>
        </w:rPr>
        <w:t>建设单位已分别设置</w:t>
      </w:r>
      <w:r>
        <w:rPr>
          <w:rFonts w:hint="eastAsia"/>
        </w:rPr>
        <w:t>1</w:t>
      </w:r>
      <w:r>
        <w:rPr>
          <w:rFonts w:hint="eastAsia"/>
        </w:rPr>
        <w:t>个一般工业固废暂存间（</w:t>
      </w:r>
      <w:r>
        <w:rPr>
          <w:rFonts w:hint="eastAsia"/>
        </w:rPr>
        <w:t>60m</w:t>
      </w:r>
      <w:r>
        <w:rPr>
          <w:rFonts w:hint="eastAsia"/>
          <w:vertAlign w:val="superscript"/>
        </w:rPr>
        <w:t>2</w:t>
      </w:r>
      <w:r>
        <w:rPr>
          <w:rFonts w:hint="eastAsia"/>
        </w:rPr>
        <w:t>）和</w:t>
      </w:r>
      <w:r>
        <w:rPr>
          <w:rFonts w:hint="eastAsia"/>
        </w:rPr>
        <w:t>2</w:t>
      </w:r>
      <w:r>
        <w:rPr>
          <w:rFonts w:hint="eastAsia"/>
        </w:rPr>
        <w:t>座危险固废暂存间（</w:t>
      </w:r>
      <w:r>
        <w:rPr>
          <w:rFonts w:hint="eastAsia"/>
        </w:rPr>
        <w:t>1#</w:t>
      </w:r>
      <w:r>
        <w:rPr>
          <w:rFonts w:hint="eastAsia"/>
        </w:rPr>
        <w:t>：</w:t>
      </w:r>
      <w:r>
        <w:rPr>
          <w:rFonts w:hint="eastAsia"/>
        </w:rPr>
        <w:t>27</w:t>
      </w:r>
      <w:r>
        <w:t>m</w:t>
      </w:r>
      <w:r>
        <w:rPr>
          <w:vertAlign w:val="superscript"/>
        </w:rPr>
        <w:t>2</w:t>
      </w:r>
      <w:r>
        <w:rPr>
          <w:rFonts w:hint="eastAsia"/>
        </w:rPr>
        <w:t>、</w:t>
      </w:r>
      <w:r>
        <w:rPr>
          <w:rFonts w:hint="eastAsia"/>
        </w:rPr>
        <w:t>2#</w:t>
      </w:r>
      <w:r>
        <w:rPr>
          <w:rFonts w:hint="eastAsia"/>
        </w:rPr>
        <w:t>：</w:t>
      </w:r>
      <w:r>
        <w:rPr>
          <w:rFonts w:hint="eastAsia"/>
        </w:rPr>
        <w:t>33</w:t>
      </w:r>
      <w:r>
        <w:t>m</w:t>
      </w:r>
      <w:r>
        <w:rPr>
          <w:vertAlign w:val="superscript"/>
        </w:rPr>
        <w:t>2</w:t>
      </w:r>
      <w:r>
        <w:rPr>
          <w:rFonts w:hint="eastAsia"/>
        </w:rPr>
        <w:t>），对项目固废分类分区存放。</w:t>
      </w:r>
    </w:p>
    <w:p w:rsidR="00EE56C0" w:rsidRPr="00E852EB" w:rsidRDefault="000F36A1" w:rsidP="00E852EB">
      <w:pPr>
        <w:ind w:firstLine="482"/>
        <w:rPr>
          <w:b/>
          <w:u w:val="single"/>
        </w:rPr>
      </w:pPr>
      <w:r w:rsidRPr="00E852EB">
        <w:rPr>
          <w:b/>
          <w:u w:val="single"/>
        </w:rPr>
        <w:t>厂区</w:t>
      </w:r>
      <w:r w:rsidRPr="00E852EB">
        <w:rPr>
          <w:rFonts w:hint="eastAsia"/>
          <w:b/>
          <w:u w:val="single"/>
        </w:rPr>
        <w:t>已建设一座</w:t>
      </w:r>
      <w:r w:rsidRPr="00E852EB">
        <w:rPr>
          <w:b/>
          <w:u w:val="single"/>
        </w:rPr>
        <w:t>固废储存间（</w:t>
      </w:r>
      <w:r w:rsidRPr="00E852EB">
        <w:rPr>
          <w:b/>
          <w:u w:val="single"/>
        </w:rPr>
        <w:t>60m</w:t>
      </w:r>
      <w:r w:rsidRPr="00E852EB">
        <w:rPr>
          <w:b/>
          <w:u w:val="single"/>
          <w:vertAlign w:val="superscript"/>
        </w:rPr>
        <w:t>2</w:t>
      </w:r>
      <w:r w:rsidRPr="00E852EB">
        <w:rPr>
          <w:b/>
          <w:u w:val="single"/>
        </w:rPr>
        <w:t>），</w:t>
      </w:r>
      <w:r w:rsidRPr="00E852EB">
        <w:rPr>
          <w:rFonts w:hint="eastAsia"/>
          <w:b/>
          <w:u w:val="single"/>
        </w:rPr>
        <w:t>目前</w:t>
      </w:r>
      <w:r w:rsidRPr="00E852EB">
        <w:rPr>
          <w:b/>
          <w:u w:val="single"/>
        </w:rPr>
        <w:t>固废储存间</w:t>
      </w:r>
      <w:r w:rsidRPr="00E852EB">
        <w:rPr>
          <w:rFonts w:hint="eastAsia"/>
          <w:b/>
          <w:u w:val="single"/>
        </w:rPr>
        <w:t>剩余</w:t>
      </w:r>
      <w:r w:rsidRPr="00E852EB">
        <w:rPr>
          <w:rFonts w:hint="eastAsia"/>
          <w:b/>
          <w:u w:val="single"/>
        </w:rPr>
        <w:t>20m</w:t>
      </w:r>
      <w:r w:rsidRPr="00E852EB">
        <w:rPr>
          <w:rFonts w:hint="eastAsia"/>
          <w:b/>
          <w:u w:val="single"/>
          <w:vertAlign w:val="superscript"/>
        </w:rPr>
        <w:t>2</w:t>
      </w:r>
      <w:r w:rsidRPr="00E852EB">
        <w:rPr>
          <w:rFonts w:hint="eastAsia"/>
          <w:b/>
          <w:u w:val="single"/>
        </w:rPr>
        <w:t>，能满足本项目暂存要求，现有</w:t>
      </w:r>
      <w:r w:rsidRPr="00E852EB">
        <w:rPr>
          <w:b/>
          <w:u w:val="single"/>
        </w:rPr>
        <w:t>固废储存间</w:t>
      </w:r>
      <w:r w:rsidRPr="00E852EB">
        <w:rPr>
          <w:rFonts w:hint="eastAsia"/>
          <w:b/>
          <w:u w:val="single"/>
        </w:rPr>
        <w:t>已做水泥防渗处理，且为封闭</w:t>
      </w:r>
      <w:r w:rsidRPr="00E852EB">
        <w:rPr>
          <w:b/>
          <w:u w:val="single"/>
        </w:rPr>
        <w:t>储存间</w:t>
      </w:r>
      <w:r w:rsidRPr="00E852EB">
        <w:rPr>
          <w:rFonts w:hint="eastAsia"/>
          <w:b/>
          <w:u w:val="single"/>
        </w:rPr>
        <w:t>，满足《一般工业固体废物贮存和填埋污染控制标准》（</w:t>
      </w:r>
      <w:r w:rsidRPr="00E852EB">
        <w:rPr>
          <w:rFonts w:hint="eastAsia"/>
          <w:b/>
          <w:u w:val="single"/>
        </w:rPr>
        <w:t>GB18599-2020</w:t>
      </w:r>
      <w:r w:rsidRPr="00E852EB">
        <w:rPr>
          <w:rFonts w:hint="eastAsia"/>
          <w:b/>
          <w:u w:val="single"/>
        </w:rPr>
        <w:t>）中“防渗漏、防雨淋、防扬尘”相关要求。</w:t>
      </w:r>
    </w:p>
    <w:p w:rsidR="00EE56C0" w:rsidRDefault="000F36A1" w:rsidP="00E852EB">
      <w:pPr>
        <w:ind w:firstLine="482"/>
      </w:pPr>
      <w:r w:rsidRPr="00E852EB">
        <w:rPr>
          <w:b/>
          <w:u w:val="single"/>
        </w:rPr>
        <w:t>厂区</w:t>
      </w:r>
      <w:r w:rsidRPr="00E852EB">
        <w:rPr>
          <w:rFonts w:hint="eastAsia"/>
          <w:b/>
          <w:u w:val="single"/>
        </w:rPr>
        <w:t>已建设两座</w:t>
      </w:r>
      <w:r w:rsidRPr="00E852EB">
        <w:rPr>
          <w:b/>
          <w:u w:val="single"/>
        </w:rPr>
        <w:t>危废暂存间</w:t>
      </w:r>
      <w:r w:rsidRPr="00E852EB">
        <w:rPr>
          <w:rFonts w:hint="eastAsia"/>
          <w:b/>
          <w:u w:val="single"/>
        </w:rPr>
        <w:t>，分别为</w:t>
      </w:r>
      <w:r w:rsidRPr="00E852EB">
        <w:rPr>
          <w:rFonts w:hint="eastAsia"/>
          <w:b/>
          <w:u w:val="single"/>
        </w:rPr>
        <w:t>1#</w:t>
      </w:r>
      <w:r w:rsidRPr="00E852EB">
        <w:rPr>
          <w:b/>
          <w:u w:val="single"/>
        </w:rPr>
        <w:t>危废间</w:t>
      </w:r>
      <w:r w:rsidRPr="00E852EB">
        <w:rPr>
          <w:rFonts w:hint="eastAsia"/>
          <w:b/>
          <w:u w:val="single"/>
        </w:rPr>
        <w:t>（</w:t>
      </w:r>
      <w:r w:rsidRPr="00E852EB">
        <w:rPr>
          <w:rFonts w:hint="eastAsia"/>
          <w:b/>
          <w:u w:val="single"/>
        </w:rPr>
        <w:t>27</w:t>
      </w:r>
      <w:r w:rsidRPr="00E852EB">
        <w:rPr>
          <w:b/>
          <w:u w:val="single"/>
        </w:rPr>
        <w:t>m</w:t>
      </w:r>
      <w:r w:rsidRPr="00E852EB">
        <w:rPr>
          <w:b/>
          <w:u w:val="single"/>
          <w:vertAlign w:val="superscript"/>
        </w:rPr>
        <w:t>2</w:t>
      </w:r>
      <w:r w:rsidRPr="00E852EB">
        <w:rPr>
          <w:rFonts w:hint="eastAsia"/>
          <w:b/>
          <w:u w:val="single"/>
        </w:rPr>
        <w:t>）、</w:t>
      </w:r>
      <w:r w:rsidRPr="00E852EB">
        <w:rPr>
          <w:rFonts w:hint="eastAsia"/>
          <w:b/>
          <w:u w:val="single"/>
        </w:rPr>
        <w:t>2#</w:t>
      </w:r>
      <w:r w:rsidRPr="00E852EB">
        <w:rPr>
          <w:b/>
          <w:u w:val="single"/>
        </w:rPr>
        <w:t>危废间</w:t>
      </w:r>
      <w:r w:rsidRPr="00E852EB">
        <w:rPr>
          <w:rFonts w:hint="eastAsia"/>
          <w:b/>
          <w:u w:val="single"/>
        </w:rPr>
        <w:t>（</w:t>
      </w:r>
      <w:r w:rsidRPr="00E852EB">
        <w:rPr>
          <w:rFonts w:hint="eastAsia"/>
          <w:b/>
          <w:u w:val="single"/>
        </w:rPr>
        <w:t>33</w:t>
      </w:r>
      <w:r w:rsidRPr="00E852EB">
        <w:rPr>
          <w:b/>
          <w:u w:val="single"/>
        </w:rPr>
        <w:t>m</w:t>
      </w:r>
      <w:r w:rsidRPr="00E852EB">
        <w:rPr>
          <w:b/>
          <w:u w:val="single"/>
          <w:vertAlign w:val="superscript"/>
        </w:rPr>
        <w:t>2</w:t>
      </w:r>
      <w:r w:rsidRPr="00E852EB">
        <w:rPr>
          <w:rFonts w:hint="eastAsia"/>
          <w:b/>
          <w:u w:val="single"/>
        </w:rPr>
        <w:t>）</w:t>
      </w:r>
      <w:r w:rsidRPr="00E852EB">
        <w:rPr>
          <w:b/>
          <w:u w:val="single"/>
        </w:rPr>
        <w:t>，</w:t>
      </w:r>
      <w:r w:rsidR="00E852EB" w:rsidRPr="00E852EB">
        <w:rPr>
          <w:rFonts w:hint="eastAsia"/>
          <w:b/>
          <w:u w:val="single"/>
        </w:rPr>
        <w:t>目前</w:t>
      </w:r>
      <w:r w:rsidR="00E852EB" w:rsidRPr="00E852EB">
        <w:rPr>
          <w:b/>
          <w:u w:val="single"/>
        </w:rPr>
        <w:t>固废储存间</w:t>
      </w:r>
      <w:r w:rsidR="00E852EB" w:rsidRPr="00E852EB">
        <w:rPr>
          <w:rFonts w:hint="eastAsia"/>
          <w:b/>
          <w:u w:val="single"/>
        </w:rPr>
        <w:t>剩余面积为</w:t>
      </w:r>
      <w:r w:rsidR="00E852EB" w:rsidRPr="00E852EB">
        <w:rPr>
          <w:rFonts w:hint="eastAsia"/>
          <w:b/>
          <w:u w:val="single"/>
        </w:rPr>
        <w:t>1#</w:t>
      </w:r>
      <w:r w:rsidR="00E852EB" w:rsidRPr="00E852EB">
        <w:rPr>
          <w:b/>
          <w:u w:val="single"/>
        </w:rPr>
        <w:t>危废间</w:t>
      </w:r>
      <w:r w:rsidR="00E852EB" w:rsidRPr="00E852EB">
        <w:rPr>
          <w:rFonts w:hint="eastAsia"/>
          <w:b/>
          <w:u w:val="single"/>
        </w:rPr>
        <w:t>（</w:t>
      </w:r>
      <w:r w:rsidR="00E852EB" w:rsidRPr="00E852EB">
        <w:rPr>
          <w:rFonts w:hint="eastAsia"/>
          <w:b/>
          <w:u w:val="single"/>
        </w:rPr>
        <w:t>19</w:t>
      </w:r>
      <w:r w:rsidR="00E852EB" w:rsidRPr="00E852EB">
        <w:rPr>
          <w:b/>
          <w:u w:val="single"/>
        </w:rPr>
        <w:t>m</w:t>
      </w:r>
      <w:r w:rsidR="00E852EB" w:rsidRPr="00E852EB">
        <w:rPr>
          <w:b/>
          <w:u w:val="single"/>
          <w:vertAlign w:val="superscript"/>
        </w:rPr>
        <w:t>2</w:t>
      </w:r>
      <w:r w:rsidR="00E852EB" w:rsidRPr="00E852EB">
        <w:rPr>
          <w:rFonts w:hint="eastAsia"/>
          <w:b/>
          <w:u w:val="single"/>
        </w:rPr>
        <w:t>）、</w:t>
      </w:r>
      <w:r w:rsidR="00E852EB" w:rsidRPr="00E852EB">
        <w:rPr>
          <w:rFonts w:hint="eastAsia"/>
          <w:b/>
          <w:u w:val="single"/>
        </w:rPr>
        <w:t>2#</w:t>
      </w:r>
      <w:r w:rsidR="00E852EB" w:rsidRPr="00E852EB">
        <w:rPr>
          <w:b/>
          <w:u w:val="single"/>
        </w:rPr>
        <w:t>危废间</w:t>
      </w:r>
      <w:r w:rsidR="00E852EB" w:rsidRPr="00E852EB">
        <w:rPr>
          <w:rFonts w:hint="eastAsia"/>
          <w:b/>
          <w:u w:val="single"/>
        </w:rPr>
        <w:t>（</w:t>
      </w:r>
      <w:r w:rsidR="00E852EB" w:rsidRPr="00E852EB">
        <w:rPr>
          <w:rFonts w:hint="eastAsia"/>
          <w:b/>
          <w:u w:val="single"/>
        </w:rPr>
        <w:t>23</w:t>
      </w:r>
      <w:r w:rsidR="00E852EB" w:rsidRPr="00E852EB">
        <w:rPr>
          <w:b/>
          <w:u w:val="single"/>
        </w:rPr>
        <w:t>m</w:t>
      </w:r>
      <w:r w:rsidR="00E852EB" w:rsidRPr="00E852EB">
        <w:rPr>
          <w:b/>
          <w:u w:val="single"/>
          <w:vertAlign w:val="superscript"/>
        </w:rPr>
        <w:t>2</w:t>
      </w:r>
      <w:r w:rsidR="00E852EB" w:rsidRPr="00E852EB">
        <w:rPr>
          <w:rFonts w:hint="eastAsia"/>
          <w:b/>
          <w:u w:val="single"/>
        </w:rPr>
        <w:t>）</w:t>
      </w:r>
      <w:r w:rsidR="00E852EB" w:rsidRPr="00E852EB">
        <w:rPr>
          <w:b/>
          <w:u w:val="single"/>
        </w:rPr>
        <w:t>，</w:t>
      </w:r>
      <w:r w:rsidRPr="00E852EB">
        <w:rPr>
          <w:rFonts w:hint="eastAsia"/>
          <w:b/>
          <w:u w:val="single"/>
        </w:rPr>
        <w:t>两座</w:t>
      </w:r>
      <w:r w:rsidRPr="00E852EB">
        <w:rPr>
          <w:b/>
          <w:u w:val="single"/>
        </w:rPr>
        <w:t>危废暂存间</w:t>
      </w:r>
      <w:r w:rsidRPr="00E852EB">
        <w:rPr>
          <w:rFonts w:hint="eastAsia"/>
          <w:b/>
          <w:u w:val="single"/>
        </w:rPr>
        <w:t>已根据危废种类及产生量划分独立区域，地面已铺环氧地坪漆进行防渗处理，</w:t>
      </w:r>
      <w:r w:rsidRPr="00E852EB">
        <w:rPr>
          <w:b/>
          <w:u w:val="single"/>
        </w:rPr>
        <w:t>防渗系数</w:t>
      </w:r>
      <w:r w:rsidRPr="00E852EB">
        <w:rPr>
          <w:rFonts w:hint="eastAsia"/>
          <w:b/>
          <w:u w:val="single"/>
        </w:rPr>
        <w:t>不大于</w:t>
      </w:r>
      <w:r w:rsidRPr="00E852EB">
        <w:rPr>
          <w:b/>
          <w:u w:val="single"/>
        </w:rPr>
        <w:t>1.0×10-10cm/s</w:t>
      </w:r>
      <w:r w:rsidRPr="00E852EB">
        <w:rPr>
          <w:rFonts w:hint="eastAsia"/>
          <w:b/>
          <w:u w:val="single"/>
        </w:rPr>
        <w:t>，并设置围堰、导流槽和收集池，危废间</w:t>
      </w:r>
      <w:r w:rsidRPr="00E852EB">
        <w:rPr>
          <w:rFonts w:hint="eastAsia"/>
          <w:b/>
          <w:szCs w:val="24"/>
          <w:u w:val="single"/>
        </w:rPr>
        <w:t>无阳光直射，且</w:t>
      </w:r>
      <w:r w:rsidRPr="00E852EB">
        <w:rPr>
          <w:rFonts w:hint="eastAsia"/>
          <w:b/>
          <w:u w:val="single"/>
        </w:rPr>
        <w:t>满足“防风、防雨、防渗、防晒”等《危险废物贮存污染控制标准》（</w:t>
      </w:r>
      <w:r w:rsidRPr="00E852EB">
        <w:rPr>
          <w:rFonts w:hint="eastAsia"/>
          <w:b/>
          <w:u w:val="single"/>
        </w:rPr>
        <w:t>GB18597-2001</w:t>
      </w:r>
      <w:r w:rsidRPr="00E852EB">
        <w:rPr>
          <w:rFonts w:hint="eastAsia"/>
          <w:b/>
          <w:u w:val="single"/>
        </w:rPr>
        <w:t>）及</w:t>
      </w:r>
      <w:r w:rsidRPr="00E852EB">
        <w:rPr>
          <w:rFonts w:hint="eastAsia"/>
          <w:b/>
          <w:u w:val="single"/>
        </w:rPr>
        <w:t>2013</w:t>
      </w:r>
      <w:r w:rsidRPr="00E852EB">
        <w:rPr>
          <w:rFonts w:hint="eastAsia"/>
          <w:b/>
          <w:u w:val="single"/>
        </w:rPr>
        <w:t>修改单对危险废物的暂存要求</w:t>
      </w:r>
      <w:r w:rsidRPr="00E852EB">
        <w:rPr>
          <w:rFonts w:hint="eastAsia"/>
          <w:b/>
          <w:snapToGrid w:val="0"/>
          <w:u w:val="single"/>
        </w:rPr>
        <w:t>。</w:t>
      </w:r>
      <w:r>
        <w:rPr>
          <w:rFonts w:hint="eastAsia"/>
        </w:rPr>
        <w:t>为了避免危险固废在厂区贮存过程中对环境的影响，评价要求工程应将其全部装入密闭容器中后临时存放于危废暂存间内，</w:t>
      </w:r>
      <w:r>
        <w:t>定期送有</w:t>
      </w:r>
      <w:r>
        <w:rPr>
          <w:rFonts w:hint="eastAsia"/>
        </w:rPr>
        <w:t>相应</w:t>
      </w:r>
      <w:r>
        <w:t>危废</w:t>
      </w:r>
      <w:r>
        <w:rPr>
          <w:rFonts w:hint="eastAsia"/>
        </w:rPr>
        <w:t>处置</w:t>
      </w:r>
      <w:r>
        <w:t>资质的单位</w:t>
      </w:r>
      <w:r>
        <w:rPr>
          <w:rFonts w:hint="eastAsia"/>
        </w:rPr>
        <w:t>处置</w:t>
      </w:r>
      <w:r>
        <w:rPr>
          <w:spacing w:val="-2"/>
        </w:rPr>
        <w:t>；</w:t>
      </w:r>
      <w:r>
        <w:t>在危废的转移处置过程中，应严格按照《中华人民共和国固体废物污染环境防治法》和《危险废物转移联单管理办法》有关规定执行。</w:t>
      </w:r>
    </w:p>
    <w:p w:rsidR="00EE56C0" w:rsidRDefault="000F36A1">
      <w:pPr>
        <w:ind w:firstLine="480"/>
      </w:pPr>
      <w:r>
        <w:rPr>
          <w:rFonts w:hint="eastAsia"/>
        </w:rPr>
        <w:t>由以上分析可以看出，通过采取以上措施，固废均有相应的处置措施，评价认为工程在认真落实以上措施的前提下，不会对区域环境造成不利影响。</w:t>
      </w:r>
    </w:p>
    <w:p w:rsidR="00EE56C0" w:rsidRDefault="000F36A1">
      <w:pPr>
        <w:pStyle w:val="2"/>
        <w:ind w:firstLine="301"/>
      </w:pPr>
      <w:bookmarkStart w:id="357" w:name="_Toc25400920"/>
      <w:bookmarkStart w:id="358" w:name="_Toc21784896"/>
      <w:r>
        <w:rPr>
          <w:rFonts w:hint="eastAsia"/>
        </w:rPr>
        <w:t>5.6</w:t>
      </w:r>
      <w:r>
        <w:rPr>
          <w:rFonts w:hint="eastAsia"/>
        </w:rPr>
        <w:t>土壤环境影响预测</w:t>
      </w:r>
      <w:bookmarkEnd w:id="357"/>
      <w:bookmarkEnd w:id="358"/>
    </w:p>
    <w:p w:rsidR="00EE56C0" w:rsidRDefault="000F36A1">
      <w:pPr>
        <w:pStyle w:val="3"/>
        <w:spacing w:before="240" w:after="120"/>
      </w:pPr>
      <w:r>
        <w:rPr>
          <w:rFonts w:hint="eastAsia"/>
        </w:rPr>
        <w:t>5.6.1</w:t>
      </w:r>
      <w:r>
        <w:rPr>
          <w:rFonts w:hint="eastAsia"/>
        </w:rPr>
        <w:t>评价等级</w:t>
      </w:r>
    </w:p>
    <w:p w:rsidR="00EE56C0" w:rsidRDefault="000F36A1">
      <w:pPr>
        <w:ind w:firstLine="480"/>
      </w:pPr>
      <w:r>
        <w:rPr>
          <w:rFonts w:hint="eastAsia"/>
        </w:rPr>
        <w:t>本项目为污染影响型项目利用现有厂房建设，本项目的占地面积约</w:t>
      </w:r>
      <w:r>
        <w:rPr>
          <w:rFonts w:hint="eastAsia"/>
        </w:rPr>
        <w:t>85740m</w:t>
      </w:r>
      <w:r>
        <w:rPr>
          <w:rFonts w:hint="eastAsia"/>
          <w:vertAlign w:val="superscript"/>
        </w:rPr>
        <w:t>2</w:t>
      </w:r>
      <w:r>
        <w:rPr>
          <w:rFonts w:hint="eastAsia"/>
        </w:rPr>
        <w:t>，在</w:t>
      </w:r>
      <w:r>
        <w:rPr>
          <w:rFonts w:hint="eastAsia"/>
        </w:rPr>
        <w:t>5~50hm</w:t>
      </w:r>
      <w:r>
        <w:rPr>
          <w:rFonts w:hint="eastAsia"/>
          <w:vertAlign w:val="superscript"/>
        </w:rPr>
        <w:t>2</w:t>
      </w:r>
      <w:r>
        <w:rPr>
          <w:rFonts w:hint="eastAsia"/>
        </w:rPr>
        <w:t>，属于中型建设项目。</w:t>
      </w:r>
    </w:p>
    <w:p w:rsidR="00EE56C0" w:rsidRDefault="000F36A1">
      <w:pPr>
        <w:ind w:firstLine="480"/>
      </w:pPr>
      <w:r>
        <w:rPr>
          <w:rFonts w:hint="eastAsia"/>
        </w:rPr>
        <w:lastRenderedPageBreak/>
        <w:t>本项目位于新乡经济技术产业集聚区</w:t>
      </w:r>
      <w:r>
        <w:rPr>
          <w:rFonts w:hint="eastAsia"/>
          <w:b/>
          <w:u w:val="single"/>
        </w:rPr>
        <w:t>，土壤环境敏感程度为不敏感。</w:t>
      </w:r>
    </w:p>
    <w:p w:rsidR="00EE56C0" w:rsidRDefault="000F36A1">
      <w:pPr>
        <w:ind w:firstLine="480"/>
      </w:pPr>
      <w:r>
        <w:rPr>
          <w:rFonts w:hint="eastAsia"/>
        </w:rPr>
        <w:t>根据《环境影响评价技术导则</w:t>
      </w:r>
      <w:r>
        <w:rPr>
          <w:rFonts w:hint="eastAsia"/>
        </w:rPr>
        <w:t xml:space="preserve"> </w:t>
      </w:r>
      <w:r>
        <w:rPr>
          <w:rFonts w:hint="eastAsia"/>
        </w:rPr>
        <w:t>土壤环境（试行）》（</w:t>
      </w:r>
      <w:r>
        <w:rPr>
          <w:rFonts w:hint="eastAsia"/>
        </w:rPr>
        <w:t>HJ 964-2018</w:t>
      </w:r>
      <w:r>
        <w:rPr>
          <w:rFonts w:hint="eastAsia"/>
        </w:rPr>
        <w:t>）附录</w:t>
      </w:r>
      <w:r>
        <w:rPr>
          <w:rFonts w:hint="eastAsia"/>
        </w:rPr>
        <w:t>A</w:t>
      </w:r>
      <w:r>
        <w:rPr>
          <w:rFonts w:hint="eastAsia"/>
        </w:rPr>
        <w:t>，本项目为</w:t>
      </w:r>
      <w:r>
        <w:t>C3831</w:t>
      </w:r>
      <w:r>
        <w:t>电线、电缆制造</w:t>
      </w:r>
      <w:r>
        <w:rPr>
          <w:rFonts w:hint="eastAsia"/>
        </w:rPr>
        <w:t>，属于</w:t>
      </w:r>
      <w:r>
        <w:t>电气机械和器材制造业</w:t>
      </w:r>
      <w:r>
        <w:rPr>
          <w:rFonts w:hint="eastAsia"/>
        </w:rPr>
        <w:t>，为Ⅰ类项目。</w:t>
      </w:r>
    </w:p>
    <w:p w:rsidR="00EE56C0" w:rsidRDefault="000F36A1">
      <w:pPr>
        <w:ind w:firstLine="480"/>
      </w:pPr>
      <w:r>
        <w:rPr>
          <w:rFonts w:hint="eastAsia"/>
        </w:rPr>
        <w:t>污染影响型评价工作等级划分依据见下表：</w:t>
      </w:r>
    </w:p>
    <w:p w:rsidR="00EE56C0" w:rsidRDefault="000F36A1">
      <w:pPr>
        <w:pStyle w:val="afd"/>
        <w:spacing w:before="120" w:after="120"/>
        <w:ind w:firstLine="482"/>
      </w:pPr>
      <w:r>
        <w:t>表</w:t>
      </w:r>
      <w:r>
        <w:rPr>
          <w:rFonts w:hint="eastAsia"/>
        </w:rPr>
        <w:t>5</w:t>
      </w:r>
      <w:r>
        <w:t>-</w:t>
      </w:r>
      <w:r>
        <w:rPr>
          <w:rFonts w:hint="eastAsia"/>
        </w:rPr>
        <w:t>5</w:t>
      </w:r>
      <w:r w:rsidR="005767FB">
        <w:rPr>
          <w:rFonts w:hint="eastAsia"/>
        </w:rPr>
        <w:t>3</w:t>
      </w:r>
      <w:r>
        <w:rPr>
          <w:rFonts w:hint="eastAsia"/>
        </w:rPr>
        <w:t xml:space="preserve">        </w:t>
      </w:r>
      <w:r>
        <w:rPr>
          <w:rFonts w:hint="eastAsia"/>
        </w:rPr>
        <w:t>污染影响型评价工作等级划分表</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tblPr>
      <w:tblGrid>
        <w:gridCol w:w="1951"/>
        <w:gridCol w:w="851"/>
        <w:gridCol w:w="704"/>
        <w:gridCol w:w="708"/>
        <w:gridCol w:w="710"/>
        <w:gridCol w:w="710"/>
        <w:gridCol w:w="711"/>
        <w:gridCol w:w="710"/>
        <w:gridCol w:w="706"/>
        <w:gridCol w:w="768"/>
      </w:tblGrid>
      <w:tr w:rsidR="00EE56C0">
        <w:trPr>
          <w:trHeight w:val="510"/>
          <w:jc w:val="center"/>
        </w:trPr>
        <w:tc>
          <w:tcPr>
            <w:tcW w:w="1144" w:type="pct"/>
            <w:vMerge w:val="restart"/>
            <w:vAlign w:val="center"/>
          </w:tcPr>
          <w:p w:rsidR="00EE56C0" w:rsidRDefault="00340837">
            <w:pPr>
              <w:pStyle w:val="afa"/>
            </w:pPr>
            <w:r>
              <w:pict>
                <v:shape id="自选图形 3480" o:spid="_x0000_s2137" type="#_x0000_t32" style="position:absolute;left:0;text-align:left;margin-left:-5.1pt;margin-top:25.4pt;width:97.2pt;height:24.65pt;flip:x y;z-index:251680256" o:connectortype="straight" strokeweight=".5pt"/>
              </w:pict>
            </w:r>
            <w:r>
              <w:pict>
                <v:shape id="自选图形 3479" o:spid="_x0000_s2136" type="#_x0000_t32" style="position:absolute;left:0;text-align:left;margin-left:29.45pt;margin-top:-.9pt;width:62.4pt;height:51pt;z-index:251679232" o:connectortype="straight" strokeweight=".5pt"/>
              </w:pict>
            </w:r>
            <w:r>
              <w:pict>
                <v:shape id="文本框 3483" o:spid="_x0000_s2140" type="#_x0000_t202" style="position:absolute;left:0;text-align:left;margin-left:-9.95pt;margin-top:29.5pt;width:61.1pt;height:20.7pt;z-index:251683328" filled="f" stroked="f">
                  <v:textbox>
                    <w:txbxContent>
                      <w:p w:rsidR="009C6BD9" w:rsidRDefault="009C6BD9">
                        <w:pPr>
                          <w:pStyle w:val="afa"/>
                          <w:rPr>
                            <w:b/>
                          </w:rPr>
                        </w:pPr>
                        <w:r>
                          <w:rPr>
                            <w:rFonts w:hint="eastAsia"/>
                            <w:b/>
                          </w:rPr>
                          <w:t>敏感程度</w:t>
                        </w:r>
                      </w:p>
                    </w:txbxContent>
                  </v:textbox>
                </v:shape>
              </w:pict>
            </w:r>
            <w:r>
              <w:pict>
                <v:shape id="文本框 3482" o:spid="_x0000_s2139" type="#_x0000_t202" style="position:absolute;left:0;text-align:left;margin-left:-13.4pt;margin-top:11.45pt;width:81.65pt;height:20.7pt;z-index:251682304" filled="f" stroked="f">
                  <v:textbox>
                    <w:txbxContent>
                      <w:p w:rsidR="009C6BD9" w:rsidRDefault="009C6BD9">
                        <w:pPr>
                          <w:pStyle w:val="afa"/>
                          <w:jc w:val="both"/>
                          <w:rPr>
                            <w:b/>
                          </w:rPr>
                        </w:pPr>
                        <w:r>
                          <w:rPr>
                            <w:rFonts w:hint="eastAsia"/>
                            <w:b/>
                          </w:rPr>
                          <w:t>评价工作等级</w:t>
                        </w:r>
                      </w:p>
                    </w:txbxContent>
                  </v:textbox>
                </v:shape>
              </w:pict>
            </w:r>
            <w:r>
              <w:pict>
                <v:shape id="文本框 3481" o:spid="_x0000_s2138" type="#_x0000_t202" style="position:absolute;left:0;text-align:left;margin-left:35.2pt;margin-top:-.05pt;width:61.1pt;height:20.7pt;z-index:251681280" filled="f" stroked="f">
                  <v:textbox>
                    <w:txbxContent>
                      <w:p w:rsidR="009C6BD9" w:rsidRDefault="009C6BD9">
                        <w:pPr>
                          <w:pStyle w:val="afa"/>
                          <w:rPr>
                            <w:b/>
                          </w:rPr>
                        </w:pPr>
                        <w:r>
                          <w:rPr>
                            <w:rFonts w:hint="eastAsia"/>
                            <w:b/>
                          </w:rPr>
                          <w:t>占地规模</w:t>
                        </w:r>
                      </w:p>
                    </w:txbxContent>
                  </v:textbox>
                </v:shape>
              </w:pict>
            </w:r>
          </w:p>
        </w:tc>
        <w:tc>
          <w:tcPr>
            <w:tcW w:w="1327" w:type="pct"/>
            <w:gridSpan w:val="3"/>
            <w:vAlign w:val="center"/>
          </w:tcPr>
          <w:p w:rsidR="00EE56C0" w:rsidRDefault="000F36A1">
            <w:pPr>
              <w:pStyle w:val="afa"/>
              <w:rPr>
                <w:b/>
              </w:rPr>
            </w:pPr>
            <w:r>
              <w:rPr>
                <w:rFonts w:hint="eastAsia"/>
                <w:b/>
              </w:rPr>
              <w:t>Ⅰ类</w:t>
            </w:r>
          </w:p>
        </w:tc>
        <w:tc>
          <w:tcPr>
            <w:tcW w:w="1249" w:type="pct"/>
            <w:gridSpan w:val="3"/>
            <w:vAlign w:val="center"/>
          </w:tcPr>
          <w:p w:rsidR="00EE56C0" w:rsidRDefault="000F36A1">
            <w:pPr>
              <w:pStyle w:val="afa"/>
              <w:rPr>
                <w:b/>
              </w:rPr>
            </w:pPr>
            <w:r>
              <w:rPr>
                <w:rFonts w:hint="eastAsia"/>
                <w:b/>
              </w:rPr>
              <w:t>Ⅱ类</w:t>
            </w:r>
          </w:p>
        </w:tc>
        <w:tc>
          <w:tcPr>
            <w:tcW w:w="1280" w:type="pct"/>
            <w:gridSpan w:val="3"/>
            <w:vAlign w:val="center"/>
          </w:tcPr>
          <w:p w:rsidR="00EE56C0" w:rsidRDefault="000F36A1">
            <w:pPr>
              <w:pStyle w:val="afa"/>
              <w:rPr>
                <w:b/>
              </w:rPr>
            </w:pPr>
            <w:r>
              <w:rPr>
                <w:rFonts w:hint="eastAsia"/>
                <w:b/>
              </w:rPr>
              <w:t>Ⅲ类</w:t>
            </w:r>
          </w:p>
        </w:tc>
      </w:tr>
      <w:tr w:rsidR="00EE56C0">
        <w:trPr>
          <w:trHeight w:val="510"/>
          <w:jc w:val="center"/>
        </w:trPr>
        <w:tc>
          <w:tcPr>
            <w:tcW w:w="1144" w:type="pct"/>
            <w:vMerge/>
            <w:vAlign w:val="center"/>
          </w:tcPr>
          <w:p w:rsidR="00EE56C0" w:rsidRDefault="00EE56C0">
            <w:pPr>
              <w:pStyle w:val="afa"/>
            </w:pPr>
          </w:p>
        </w:tc>
        <w:tc>
          <w:tcPr>
            <w:tcW w:w="499" w:type="pct"/>
            <w:vAlign w:val="center"/>
          </w:tcPr>
          <w:p w:rsidR="00EE56C0" w:rsidRDefault="000F36A1">
            <w:pPr>
              <w:pStyle w:val="afa"/>
              <w:rPr>
                <w:b/>
              </w:rPr>
            </w:pPr>
            <w:r>
              <w:rPr>
                <w:rFonts w:hint="eastAsia"/>
                <w:b/>
              </w:rPr>
              <w:t>大</w:t>
            </w:r>
          </w:p>
        </w:tc>
        <w:tc>
          <w:tcPr>
            <w:tcW w:w="413" w:type="pct"/>
            <w:vAlign w:val="center"/>
          </w:tcPr>
          <w:p w:rsidR="00EE56C0" w:rsidRDefault="000F36A1">
            <w:pPr>
              <w:pStyle w:val="afa"/>
              <w:rPr>
                <w:b/>
              </w:rPr>
            </w:pPr>
            <w:r>
              <w:rPr>
                <w:rFonts w:hint="eastAsia"/>
                <w:b/>
              </w:rPr>
              <w:t>中</w:t>
            </w:r>
          </w:p>
        </w:tc>
        <w:tc>
          <w:tcPr>
            <w:tcW w:w="415" w:type="pct"/>
            <w:vAlign w:val="center"/>
          </w:tcPr>
          <w:p w:rsidR="00EE56C0" w:rsidRDefault="000F36A1">
            <w:pPr>
              <w:pStyle w:val="afa"/>
              <w:rPr>
                <w:b/>
              </w:rPr>
            </w:pPr>
            <w:r>
              <w:rPr>
                <w:rFonts w:hint="eastAsia"/>
                <w:b/>
              </w:rPr>
              <w:t>小</w:t>
            </w:r>
          </w:p>
        </w:tc>
        <w:tc>
          <w:tcPr>
            <w:tcW w:w="416" w:type="pct"/>
            <w:vAlign w:val="center"/>
          </w:tcPr>
          <w:p w:rsidR="00EE56C0" w:rsidRDefault="000F36A1">
            <w:pPr>
              <w:pStyle w:val="afa"/>
              <w:rPr>
                <w:b/>
              </w:rPr>
            </w:pPr>
            <w:r>
              <w:rPr>
                <w:rFonts w:hint="eastAsia"/>
                <w:b/>
              </w:rPr>
              <w:t>大</w:t>
            </w:r>
          </w:p>
        </w:tc>
        <w:tc>
          <w:tcPr>
            <w:tcW w:w="416" w:type="pct"/>
            <w:vAlign w:val="center"/>
          </w:tcPr>
          <w:p w:rsidR="00EE56C0" w:rsidRDefault="000F36A1">
            <w:pPr>
              <w:pStyle w:val="afa"/>
              <w:rPr>
                <w:b/>
              </w:rPr>
            </w:pPr>
            <w:r>
              <w:rPr>
                <w:rFonts w:hint="eastAsia"/>
                <w:b/>
              </w:rPr>
              <w:t>中</w:t>
            </w:r>
          </w:p>
        </w:tc>
        <w:tc>
          <w:tcPr>
            <w:tcW w:w="417" w:type="pct"/>
            <w:vAlign w:val="center"/>
          </w:tcPr>
          <w:p w:rsidR="00EE56C0" w:rsidRDefault="000F36A1">
            <w:pPr>
              <w:pStyle w:val="afa"/>
              <w:rPr>
                <w:b/>
              </w:rPr>
            </w:pPr>
            <w:r>
              <w:rPr>
                <w:rFonts w:hint="eastAsia"/>
                <w:b/>
              </w:rPr>
              <w:t>小</w:t>
            </w:r>
          </w:p>
        </w:tc>
        <w:tc>
          <w:tcPr>
            <w:tcW w:w="416" w:type="pct"/>
            <w:tcBorders>
              <w:right w:val="single" w:sz="4" w:space="0" w:color="auto"/>
            </w:tcBorders>
            <w:vAlign w:val="center"/>
          </w:tcPr>
          <w:p w:rsidR="00EE56C0" w:rsidRDefault="000F36A1">
            <w:pPr>
              <w:pStyle w:val="afa"/>
              <w:rPr>
                <w:b/>
              </w:rPr>
            </w:pPr>
            <w:r>
              <w:rPr>
                <w:rFonts w:hint="eastAsia"/>
                <w:b/>
              </w:rPr>
              <w:t>大</w:t>
            </w:r>
          </w:p>
        </w:tc>
        <w:tc>
          <w:tcPr>
            <w:tcW w:w="414" w:type="pct"/>
            <w:tcBorders>
              <w:left w:val="single" w:sz="4" w:space="0" w:color="auto"/>
              <w:right w:val="single" w:sz="4" w:space="0" w:color="auto"/>
            </w:tcBorders>
            <w:vAlign w:val="center"/>
          </w:tcPr>
          <w:p w:rsidR="00EE56C0" w:rsidRDefault="000F36A1">
            <w:pPr>
              <w:pStyle w:val="afa"/>
              <w:rPr>
                <w:b/>
              </w:rPr>
            </w:pPr>
            <w:r>
              <w:rPr>
                <w:rFonts w:hint="eastAsia"/>
                <w:b/>
              </w:rPr>
              <w:t>中</w:t>
            </w:r>
          </w:p>
        </w:tc>
        <w:tc>
          <w:tcPr>
            <w:tcW w:w="450" w:type="pct"/>
            <w:tcBorders>
              <w:left w:val="single" w:sz="4" w:space="0" w:color="auto"/>
            </w:tcBorders>
            <w:vAlign w:val="center"/>
          </w:tcPr>
          <w:p w:rsidR="00EE56C0" w:rsidRDefault="000F36A1">
            <w:pPr>
              <w:pStyle w:val="afa"/>
              <w:rPr>
                <w:b/>
              </w:rPr>
            </w:pPr>
            <w:r>
              <w:rPr>
                <w:rFonts w:hint="eastAsia"/>
                <w:b/>
              </w:rPr>
              <w:t>小</w:t>
            </w:r>
          </w:p>
        </w:tc>
      </w:tr>
      <w:tr w:rsidR="00EE56C0">
        <w:trPr>
          <w:trHeight w:val="510"/>
          <w:jc w:val="center"/>
        </w:trPr>
        <w:tc>
          <w:tcPr>
            <w:tcW w:w="1144" w:type="pct"/>
            <w:vAlign w:val="center"/>
          </w:tcPr>
          <w:p w:rsidR="00EE56C0" w:rsidRDefault="000F36A1">
            <w:pPr>
              <w:pStyle w:val="afa"/>
            </w:pPr>
            <w:r>
              <w:rPr>
                <w:rFonts w:hint="eastAsia"/>
              </w:rPr>
              <w:t>敏感</w:t>
            </w:r>
          </w:p>
        </w:tc>
        <w:tc>
          <w:tcPr>
            <w:tcW w:w="499" w:type="pct"/>
            <w:vAlign w:val="center"/>
          </w:tcPr>
          <w:p w:rsidR="00EE56C0" w:rsidRDefault="000F36A1">
            <w:pPr>
              <w:pStyle w:val="afa"/>
            </w:pPr>
            <w:r>
              <w:rPr>
                <w:rFonts w:hint="eastAsia"/>
              </w:rPr>
              <w:t>一级</w:t>
            </w:r>
          </w:p>
        </w:tc>
        <w:tc>
          <w:tcPr>
            <w:tcW w:w="413" w:type="pct"/>
            <w:vAlign w:val="center"/>
          </w:tcPr>
          <w:p w:rsidR="00EE56C0" w:rsidRDefault="000F36A1">
            <w:pPr>
              <w:pStyle w:val="afa"/>
            </w:pPr>
            <w:r>
              <w:rPr>
                <w:rFonts w:hint="eastAsia"/>
              </w:rPr>
              <w:t>一级</w:t>
            </w:r>
          </w:p>
        </w:tc>
        <w:tc>
          <w:tcPr>
            <w:tcW w:w="415" w:type="pct"/>
            <w:vAlign w:val="center"/>
          </w:tcPr>
          <w:p w:rsidR="00EE56C0" w:rsidRDefault="000F36A1">
            <w:pPr>
              <w:pStyle w:val="afa"/>
            </w:pPr>
            <w:r>
              <w:rPr>
                <w:rFonts w:hint="eastAsia"/>
              </w:rPr>
              <w:t>一级</w:t>
            </w:r>
          </w:p>
        </w:tc>
        <w:tc>
          <w:tcPr>
            <w:tcW w:w="416" w:type="pct"/>
            <w:vAlign w:val="center"/>
          </w:tcPr>
          <w:p w:rsidR="00EE56C0" w:rsidRDefault="000F36A1">
            <w:pPr>
              <w:pStyle w:val="afa"/>
            </w:pPr>
            <w:r>
              <w:rPr>
                <w:rFonts w:hint="eastAsia"/>
              </w:rPr>
              <w:t>二级</w:t>
            </w:r>
          </w:p>
        </w:tc>
        <w:tc>
          <w:tcPr>
            <w:tcW w:w="416" w:type="pct"/>
            <w:vAlign w:val="center"/>
          </w:tcPr>
          <w:p w:rsidR="00EE56C0" w:rsidRDefault="000F36A1">
            <w:pPr>
              <w:pStyle w:val="afa"/>
            </w:pPr>
            <w:r>
              <w:rPr>
                <w:rFonts w:hint="eastAsia"/>
              </w:rPr>
              <w:t>二级</w:t>
            </w:r>
          </w:p>
        </w:tc>
        <w:tc>
          <w:tcPr>
            <w:tcW w:w="417" w:type="pct"/>
            <w:vAlign w:val="center"/>
          </w:tcPr>
          <w:p w:rsidR="00EE56C0" w:rsidRDefault="000F36A1">
            <w:pPr>
              <w:pStyle w:val="afa"/>
            </w:pPr>
            <w:r>
              <w:rPr>
                <w:rFonts w:hint="eastAsia"/>
              </w:rPr>
              <w:t>二级</w:t>
            </w:r>
          </w:p>
        </w:tc>
        <w:tc>
          <w:tcPr>
            <w:tcW w:w="416" w:type="pct"/>
            <w:tcBorders>
              <w:right w:val="single" w:sz="4" w:space="0" w:color="auto"/>
            </w:tcBorders>
            <w:vAlign w:val="center"/>
          </w:tcPr>
          <w:p w:rsidR="00EE56C0" w:rsidRDefault="000F36A1">
            <w:pPr>
              <w:pStyle w:val="afa"/>
            </w:pPr>
            <w:r>
              <w:rPr>
                <w:rFonts w:hint="eastAsia"/>
              </w:rPr>
              <w:t>三级</w:t>
            </w:r>
          </w:p>
        </w:tc>
        <w:tc>
          <w:tcPr>
            <w:tcW w:w="414" w:type="pct"/>
            <w:tcBorders>
              <w:left w:val="single" w:sz="4" w:space="0" w:color="auto"/>
              <w:right w:val="single" w:sz="4" w:space="0" w:color="auto"/>
            </w:tcBorders>
            <w:vAlign w:val="center"/>
          </w:tcPr>
          <w:p w:rsidR="00EE56C0" w:rsidRDefault="000F36A1">
            <w:pPr>
              <w:pStyle w:val="afa"/>
            </w:pPr>
            <w:r>
              <w:rPr>
                <w:rFonts w:hint="eastAsia"/>
              </w:rPr>
              <w:t>三级</w:t>
            </w:r>
          </w:p>
        </w:tc>
        <w:tc>
          <w:tcPr>
            <w:tcW w:w="450" w:type="pct"/>
            <w:tcBorders>
              <w:left w:val="single" w:sz="4" w:space="0" w:color="auto"/>
            </w:tcBorders>
            <w:vAlign w:val="center"/>
          </w:tcPr>
          <w:p w:rsidR="00EE56C0" w:rsidRDefault="000F36A1">
            <w:pPr>
              <w:pStyle w:val="afa"/>
            </w:pPr>
            <w:r>
              <w:rPr>
                <w:rFonts w:hint="eastAsia"/>
              </w:rPr>
              <w:t>三级</w:t>
            </w:r>
          </w:p>
        </w:tc>
      </w:tr>
      <w:tr w:rsidR="00EE56C0">
        <w:trPr>
          <w:trHeight w:val="510"/>
          <w:jc w:val="center"/>
        </w:trPr>
        <w:tc>
          <w:tcPr>
            <w:tcW w:w="1144" w:type="pct"/>
            <w:vAlign w:val="center"/>
          </w:tcPr>
          <w:p w:rsidR="00EE56C0" w:rsidRDefault="000F36A1">
            <w:pPr>
              <w:pStyle w:val="afa"/>
            </w:pPr>
            <w:r>
              <w:rPr>
                <w:rFonts w:hint="eastAsia"/>
              </w:rPr>
              <w:t>较敏感</w:t>
            </w:r>
          </w:p>
        </w:tc>
        <w:tc>
          <w:tcPr>
            <w:tcW w:w="499" w:type="pct"/>
            <w:vAlign w:val="center"/>
          </w:tcPr>
          <w:p w:rsidR="00EE56C0" w:rsidRDefault="000F36A1">
            <w:pPr>
              <w:pStyle w:val="afa"/>
            </w:pPr>
            <w:r>
              <w:rPr>
                <w:rFonts w:hint="eastAsia"/>
              </w:rPr>
              <w:t>一级</w:t>
            </w:r>
          </w:p>
        </w:tc>
        <w:tc>
          <w:tcPr>
            <w:tcW w:w="413" w:type="pct"/>
            <w:vAlign w:val="center"/>
          </w:tcPr>
          <w:p w:rsidR="00EE56C0" w:rsidRDefault="000F36A1">
            <w:pPr>
              <w:pStyle w:val="afa"/>
            </w:pPr>
            <w:r>
              <w:rPr>
                <w:rFonts w:hint="eastAsia"/>
              </w:rPr>
              <w:t>一级</w:t>
            </w:r>
          </w:p>
        </w:tc>
        <w:tc>
          <w:tcPr>
            <w:tcW w:w="415" w:type="pct"/>
            <w:vAlign w:val="center"/>
          </w:tcPr>
          <w:p w:rsidR="00EE56C0" w:rsidRDefault="000F36A1">
            <w:pPr>
              <w:pStyle w:val="afa"/>
            </w:pPr>
            <w:r>
              <w:rPr>
                <w:rFonts w:hint="eastAsia"/>
              </w:rPr>
              <w:t>二级</w:t>
            </w:r>
          </w:p>
        </w:tc>
        <w:tc>
          <w:tcPr>
            <w:tcW w:w="416" w:type="pct"/>
            <w:vAlign w:val="center"/>
          </w:tcPr>
          <w:p w:rsidR="00EE56C0" w:rsidRDefault="000F36A1">
            <w:pPr>
              <w:pStyle w:val="afa"/>
            </w:pPr>
            <w:r>
              <w:rPr>
                <w:rFonts w:hint="eastAsia"/>
              </w:rPr>
              <w:t>二级</w:t>
            </w:r>
          </w:p>
        </w:tc>
        <w:tc>
          <w:tcPr>
            <w:tcW w:w="416" w:type="pct"/>
            <w:vAlign w:val="center"/>
          </w:tcPr>
          <w:p w:rsidR="00EE56C0" w:rsidRDefault="000F36A1">
            <w:pPr>
              <w:pStyle w:val="afa"/>
            </w:pPr>
            <w:r>
              <w:rPr>
                <w:rFonts w:hint="eastAsia"/>
              </w:rPr>
              <w:t>二级</w:t>
            </w:r>
          </w:p>
        </w:tc>
        <w:tc>
          <w:tcPr>
            <w:tcW w:w="417" w:type="pct"/>
            <w:vAlign w:val="center"/>
          </w:tcPr>
          <w:p w:rsidR="00EE56C0" w:rsidRDefault="000F36A1">
            <w:pPr>
              <w:pStyle w:val="afa"/>
            </w:pPr>
            <w:r>
              <w:rPr>
                <w:rFonts w:hint="eastAsia"/>
              </w:rPr>
              <w:t>三级</w:t>
            </w:r>
          </w:p>
        </w:tc>
        <w:tc>
          <w:tcPr>
            <w:tcW w:w="416" w:type="pct"/>
            <w:tcBorders>
              <w:right w:val="single" w:sz="4" w:space="0" w:color="auto"/>
            </w:tcBorders>
            <w:vAlign w:val="center"/>
          </w:tcPr>
          <w:p w:rsidR="00EE56C0" w:rsidRDefault="000F36A1">
            <w:pPr>
              <w:pStyle w:val="afa"/>
            </w:pPr>
            <w:r>
              <w:rPr>
                <w:rFonts w:hint="eastAsia"/>
              </w:rPr>
              <w:t>三级</w:t>
            </w:r>
          </w:p>
        </w:tc>
        <w:tc>
          <w:tcPr>
            <w:tcW w:w="414" w:type="pct"/>
            <w:tcBorders>
              <w:left w:val="single" w:sz="4" w:space="0" w:color="auto"/>
              <w:right w:val="single" w:sz="4" w:space="0" w:color="auto"/>
            </w:tcBorders>
            <w:vAlign w:val="center"/>
          </w:tcPr>
          <w:p w:rsidR="00EE56C0" w:rsidRDefault="000F36A1">
            <w:pPr>
              <w:pStyle w:val="afa"/>
            </w:pPr>
            <w:r>
              <w:rPr>
                <w:rFonts w:hint="eastAsia"/>
              </w:rPr>
              <w:t>三级</w:t>
            </w:r>
          </w:p>
        </w:tc>
        <w:tc>
          <w:tcPr>
            <w:tcW w:w="450" w:type="pct"/>
            <w:tcBorders>
              <w:left w:val="single" w:sz="4" w:space="0" w:color="auto"/>
            </w:tcBorders>
            <w:vAlign w:val="center"/>
          </w:tcPr>
          <w:p w:rsidR="00EE56C0" w:rsidRDefault="000F36A1">
            <w:pPr>
              <w:pStyle w:val="afa"/>
            </w:pPr>
            <w:r>
              <w:rPr>
                <w:rFonts w:hint="eastAsia"/>
              </w:rPr>
              <w:t>-</w:t>
            </w:r>
          </w:p>
        </w:tc>
      </w:tr>
      <w:tr w:rsidR="00EE56C0">
        <w:trPr>
          <w:trHeight w:val="510"/>
          <w:jc w:val="center"/>
        </w:trPr>
        <w:tc>
          <w:tcPr>
            <w:tcW w:w="1144" w:type="pct"/>
            <w:vAlign w:val="center"/>
          </w:tcPr>
          <w:p w:rsidR="00EE56C0" w:rsidRDefault="000F36A1">
            <w:pPr>
              <w:pStyle w:val="afa"/>
            </w:pPr>
            <w:r>
              <w:rPr>
                <w:rFonts w:hint="eastAsia"/>
              </w:rPr>
              <w:t>不敏感</w:t>
            </w:r>
          </w:p>
        </w:tc>
        <w:tc>
          <w:tcPr>
            <w:tcW w:w="499" w:type="pct"/>
            <w:vAlign w:val="center"/>
          </w:tcPr>
          <w:p w:rsidR="00EE56C0" w:rsidRDefault="000F36A1">
            <w:pPr>
              <w:pStyle w:val="afa"/>
            </w:pPr>
            <w:r>
              <w:rPr>
                <w:rFonts w:hint="eastAsia"/>
              </w:rPr>
              <w:t>一级</w:t>
            </w:r>
          </w:p>
        </w:tc>
        <w:tc>
          <w:tcPr>
            <w:tcW w:w="413" w:type="pct"/>
            <w:vAlign w:val="center"/>
          </w:tcPr>
          <w:p w:rsidR="00EE56C0" w:rsidRDefault="000F36A1">
            <w:pPr>
              <w:pStyle w:val="afa"/>
            </w:pPr>
            <w:r>
              <w:rPr>
                <w:rFonts w:hint="eastAsia"/>
              </w:rPr>
              <w:t>二级</w:t>
            </w:r>
          </w:p>
        </w:tc>
        <w:tc>
          <w:tcPr>
            <w:tcW w:w="415" w:type="pct"/>
            <w:vAlign w:val="center"/>
          </w:tcPr>
          <w:p w:rsidR="00EE56C0" w:rsidRDefault="000F36A1">
            <w:pPr>
              <w:pStyle w:val="afa"/>
            </w:pPr>
            <w:r>
              <w:rPr>
                <w:rFonts w:hint="eastAsia"/>
              </w:rPr>
              <w:t>二级</w:t>
            </w:r>
          </w:p>
        </w:tc>
        <w:tc>
          <w:tcPr>
            <w:tcW w:w="416" w:type="pct"/>
            <w:vAlign w:val="center"/>
          </w:tcPr>
          <w:p w:rsidR="00EE56C0" w:rsidRDefault="000F36A1">
            <w:pPr>
              <w:pStyle w:val="afa"/>
            </w:pPr>
            <w:r>
              <w:rPr>
                <w:rFonts w:hint="eastAsia"/>
              </w:rPr>
              <w:t>二级</w:t>
            </w:r>
          </w:p>
        </w:tc>
        <w:tc>
          <w:tcPr>
            <w:tcW w:w="416" w:type="pct"/>
            <w:vAlign w:val="center"/>
          </w:tcPr>
          <w:p w:rsidR="00EE56C0" w:rsidRDefault="000F36A1">
            <w:pPr>
              <w:pStyle w:val="afa"/>
            </w:pPr>
            <w:r>
              <w:rPr>
                <w:rFonts w:hint="eastAsia"/>
              </w:rPr>
              <w:t>三级</w:t>
            </w:r>
          </w:p>
        </w:tc>
        <w:tc>
          <w:tcPr>
            <w:tcW w:w="417" w:type="pct"/>
            <w:vAlign w:val="center"/>
          </w:tcPr>
          <w:p w:rsidR="00EE56C0" w:rsidRDefault="000F36A1">
            <w:pPr>
              <w:pStyle w:val="afa"/>
            </w:pPr>
            <w:r>
              <w:rPr>
                <w:rFonts w:hint="eastAsia"/>
              </w:rPr>
              <w:t>三级</w:t>
            </w:r>
          </w:p>
        </w:tc>
        <w:tc>
          <w:tcPr>
            <w:tcW w:w="416" w:type="pct"/>
            <w:tcBorders>
              <w:right w:val="single" w:sz="4" w:space="0" w:color="auto"/>
            </w:tcBorders>
            <w:vAlign w:val="center"/>
          </w:tcPr>
          <w:p w:rsidR="00EE56C0" w:rsidRDefault="000F36A1">
            <w:pPr>
              <w:pStyle w:val="afa"/>
            </w:pPr>
            <w:r>
              <w:rPr>
                <w:rFonts w:hint="eastAsia"/>
              </w:rPr>
              <w:t>三级</w:t>
            </w:r>
          </w:p>
        </w:tc>
        <w:tc>
          <w:tcPr>
            <w:tcW w:w="414" w:type="pct"/>
            <w:tcBorders>
              <w:left w:val="single" w:sz="4" w:space="0" w:color="auto"/>
              <w:right w:val="single" w:sz="4" w:space="0" w:color="auto"/>
            </w:tcBorders>
            <w:vAlign w:val="center"/>
          </w:tcPr>
          <w:p w:rsidR="00EE56C0" w:rsidRDefault="000F36A1">
            <w:pPr>
              <w:pStyle w:val="afa"/>
            </w:pPr>
            <w:r>
              <w:rPr>
                <w:rFonts w:hint="eastAsia"/>
              </w:rPr>
              <w:t>-</w:t>
            </w:r>
          </w:p>
        </w:tc>
        <w:tc>
          <w:tcPr>
            <w:tcW w:w="450" w:type="pct"/>
            <w:tcBorders>
              <w:left w:val="single" w:sz="4" w:space="0" w:color="auto"/>
            </w:tcBorders>
            <w:vAlign w:val="center"/>
          </w:tcPr>
          <w:p w:rsidR="00EE56C0" w:rsidRDefault="000F36A1">
            <w:pPr>
              <w:pStyle w:val="afa"/>
            </w:pPr>
            <w:r>
              <w:rPr>
                <w:rFonts w:hint="eastAsia"/>
              </w:rPr>
              <w:t>-</w:t>
            </w:r>
          </w:p>
        </w:tc>
      </w:tr>
      <w:tr w:rsidR="00EE56C0">
        <w:trPr>
          <w:trHeight w:val="510"/>
          <w:jc w:val="center"/>
        </w:trPr>
        <w:tc>
          <w:tcPr>
            <w:tcW w:w="5000" w:type="pct"/>
            <w:gridSpan w:val="10"/>
            <w:vAlign w:val="center"/>
          </w:tcPr>
          <w:p w:rsidR="00EE56C0" w:rsidRDefault="000F36A1">
            <w:pPr>
              <w:pStyle w:val="afa"/>
            </w:pPr>
            <w:r>
              <w:rPr>
                <w:rFonts w:hint="eastAsia"/>
              </w:rPr>
              <w:t>注：“</w:t>
            </w:r>
            <w:r>
              <w:rPr>
                <w:rFonts w:hint="eastAsia"/>
              </w:rPr>
              <w:t>-</w:t>
            </w:r>
            <w:r>
              <w:rPr>
                <w:rFonts w:hint="eastAsia"/>
              </w:rPr>
              <w:t>”表示可不开展土壤环境影响评价工作。</w:t>
            </w:r>
          </w:p>
        </w:tc>
      </w:tr>
    </w:tbl>
    <w:p w:rsidR="00EE56C0" w:rsidRDefault="000F36A1">
      <w:pPr>
        <w:ind w:firstLine="482"/>
        <w:rPr>
          <w:b/>
          <w:u w:val="single"/>
        </w:rPr>
      </w:pPr>
      <w:r>
        <w:rPr>
          <w:rFonts w:hint="eastAsia"/>
          <w:b/>
          <w:u w:val="single"/>
        </w:rPr>
        <w:t>综上所述，本项目的评价等级为二级。</w:t>
      </w:r>
    </w:p>
    <w:p w:rsidR="00EE56C0" w:rsidRDefault="000F36A1">
      <w:pPr>
        <w:pStyle w:val="3"/>
        <w:spacing w:before="240" w:after="120"/>
      </w:pPr>
      <w:r>
        <w:rPr>
          <w:rFonts w:hint="eastAsia"/>
        </w:rPr>
        <w:t>5.6.2</w:t>
      </w:r>
      <w:r>
        <w:rPr>
          <w:rFonts w:hint="eastAsia"/>
        </w:rPr>
        <w:t>预测与评价范围</w:t>
      </w:r>
    </w:p>
    <w:p w:rsidR="00EE56C0" w:rsidRDefault="000F36A1">
      <w:pPr>
        <w:ind w:firstLine="480"/>
      </w:pPr>
      <w:r>
        <w:t>根据《环境影响评价技术导则</w:t>
      </w:r>
      <w:r>
        <w:t xml:space="preserve"> </w:t>
      </w:r>
      <w:r>
        <w:t>土壤环境（试行）》（</w:t>
      </w:r>
      <w:r>
        <w:t>HJ964-2018</w:t>
      </w:r>
      <w:r>
        <w:t>），本项目为污染影响型，评价工作等级为二级，评价确定调查范围为占地范围内全部，以及占地范围外</w:t>
      </w:r>
      <w:r>
        <w:t>0.2km</w:t>
      </w:r>
      <w:r>
        <w:t>范围内。</w:t>
      </w:r>
    </w:p>
    <w:p w:rsidR="00EE56C0" w:rsidRDefault="000F36A1">
      <w:pPr>
        <w:pStyle w:val="3"/>
        <w:spacing w:before="240" w:after="120"/>
      </w:pPr>
      <w:r>
        <w:rPr>
          <w:rFonts w:hint="eastAsia"/>
        </w:rPr>
        <w:t>5.6.3</w:t>
      </w:r>
      <w:r>
        <w:rPr>
          <w:rFonts w:hint="eastAsia"/>
        </w:rPr>
        <w:t>预测与评价标准</w:t>
      </w:r>
    </w:p>
    <w:p w:rsidR="00EE56C0" w:rsidRDefault="000F36A1">
      <w:pPr>
        <w:ind w:firstLine="480"/>
      </w:pPr>
      <w:r>
        <w:t>项目厂区土壤执行《土壤环境质量</w:t>
      </w:r>
      <w:r>
        <w:t>-</w:t>
      </w:r>
      <w:r>
        <w:t>建设用地土壤污染风险管控标准（试行）》（</w:t>
      </w:r>
      <w:r>
        <w:t>GB36600-2018</w:t>
      </w:r>
      <w:r>
        <w:t>）表</w:t>
      </w:r>
      <w:r>
        <w:t>1</w:t>
      </w:r>
      <w:r>
        <w:t>基本项目第二类用地筛选值；厂区外农田土壤执行《土壤环境质量</w:t>
      </w:r>
      <w:r>
        <w:t>-</w:t>
      </w:r>
      <w:r>
        <w:t>农用地土壤污染风险管控标准（试行）》（</w:t>
      </w:r>
      <w:r>
        <w:t>GB15618-2018</w:t>
      </w:r>
      <w:r>
        <w:t>）的筛选值（</w:t>
      </w:r>
      <w:r>
        <w:t>pH≥7.5</w:t>
      </w:r>
      <w:r>
        <w:t>其他）</w:t>
      </w:r>
      <w:r>
        <w:rPr>
          <w:rFonts w:hint="eastAsia"/>
        </w:rPr>
        <w:t>。</w:t>
      </w:r>
    </w:p>
    <w:p w:rsidR="00EE56C0" w:rsidRDefault="000F36A1">
      <w:pPr>
        <w:pStyle w:val="3"/>
        <w:spacing w:before="240" w:after="120"/>
      </w:pPr>
      <w:r>
        <w:rPr>
          <w:rFonts w:hint="eastAsia"/>
        </w:rPr>
        <w:t>5.6.4</w:t>
      </w:r>
      <w:r>
        <w:rPr>
          <w:rFonts w:hint="eastAsia"/>
        </w:rPr>
        <w:t>土壤预测分析</w:t>
      </w:r>
    </w:p>
    <w:p w:rsidR="00EE56C0" w:rsidRPr="00844ABC" w:rsidRDefault="000F36A1" w:rsidP="00844ABC">
      <w:pPr>
        <w:ind w:firstLine="482"/>
        <w:rPr>
          <w:b/>
          <w:color w:val="FF0000"/>
          <w:u w:val="single"/>
        </w:rPr>
      </w:pPr>
      <w:r w:rsidRPr="00844ABC">
        <w:rPr>
          <w:b/>
          <w:u w:val="single"/>
        </w:rPr>
        <w:t>根据《环境影响评价技术导则</w:t>
      </w:r>
      <w:r w:rsidRPr="00844ABC">
        <w:rPr>
          <w:b/>
          <w:u w:val="single"/>
        </w:rPr>
        <w:t xml:space="preserve"> </w:t>
      </w:r>
      <w:r w:rsidRPr="00844ABC">
        <w:rPr>
          <w:b/>
          <w:u w:val="single"/>
        </w:rPr>
        <w:t>土壤环境（试行）》（</w:t>
      </w:r>
      <w:r w:rsidRPr="00844ABC">
        <w:rPr>
          <w:b/>
          <w:u w:val="single"/>
        </w:rPr>
        <w:t>HJ 964-2018</w:t>
      </w:r>
      <w:r w:rsidRPr="00844ABC">
        <w:rPr>
          <w:b/>
          <w:u w:val="single"/>
        </w:rPr>
        <w:t>）中的要</w:t>
      </w:r>
      <w:r w:rsidRPr="00844ABC">
        <w:rPr>
          <w:b/>
          <w:u w:val="single"/>
        </w:rPr>
        <w:lastRenderedPageBreak/>
        <w:t>求，</w:t>
      </w:r>
      <w:r w:rsidRPr="00844ABC">
        <w:rPr>
          <w:b/>
          <w:u w:val="single"/>
        </w:rPr>
        <w:t>“</w:t>
      </w:r>
      <w:r w:rsidRPr="00844ABC">
        <w:rPr>
          <w:b/>
          <w:u w:val="single"/>
        </w:rPr>
        <w:t>污染影响型建设项目，其评价工作等级为一级、二级的，预测方法可参见附录</w:t>
      </w:r>
      <w:r w:rsidRPr="00844ABC">
        <w:rPr>
          <w:b/>
          <w:u w:val="single"/>
        </w:rPr>
        <w:t>E</w:t>
      </w:r>
      <w:r w:rsidRPr="00844ABC">
        <w:rPr>
          <w:b/>
          <w:u w:val="single"/>
        </w:rPr>
        <w:t>或进行类比分析</w:t>
      </w:r>
      <w:r w:rsidRPr="00844ABC">
        <w:rPr>
          <w:b/>
          <w:u w:val="single"/>
        </w:rPr>
        <w:t>”</w:t>
      </w:r>
      <w:r w:rsidRPr="00844ABC">
        <w:rPr>
          <w:b/>
          <w:u w:val="single"/>
        </w:rPr>
        <w:t>。本次改建项目废气污染因子、废水种类和水质等均与现有工程一致，因此本次评价拟类比现有工程对土壤的影响程度确定改建项目生产对土壤环境的影响。</w:t>
      </w:r>
    </w:p>
    <w:p w:rsidR="00EE56C0" w:rsidRPr="00844ABC" w:rsidRDefault="000F36A1" w:rsidP="00844ABC">
      <w:pPr>
        <w:ind w:firstLine="482"/>
        <w:rPr>
          <w:b/>
          <w:u w:val="single"/>
        </w:rPr>
      </w:pPr>
      <w:r w:rsidRPr="00844ABC">
        <w:rPr>
          <w:b/>
          <w:u w:val="single"/>
        </w:rPr>
        <w:t>根据工程分析，本项目废气对周围土壤环境的影响较小，不会加剧土壤酸化或碱化程度的恶化；本项目土壤环境的影响类型为垂直入渗型，主要影响途径为废水处理系统发生泄漏导致污染物下渗进入土壤；影响源为</w:t>
      </w:r>
      <w:r w:rsidRPr="00844ABC">
        <w:rPr>
          <w:rFonts w:hint="eastAsia"/>
          <w:b/>
          <w:u w:val="single"/>
        </w:rPr>
        <w:t>化粪池</w:t>
      </w:r>
      <w:r w:rsidRPr="00844ABC">
        <w:rPr>
          <w:b/>
          <w:u w:val="single"/>
        </w:rPr>
        <w:t>。由于项目生产期间不涉及有毒有害物质的使用，因此本次评价不单独针对特定污染因子进行预测，仅定性分析影响程度。</w:t>
      </w:r>
    </w:p>
    <w:p w:rsidR="00EE56C0" w:rsidRPr="00844ABC" w:rsidRDefault="000F36A1" w:rsidP="00844ABC">
      <w:pPr>
        <w:ind w:firstLine="482"/>
        <w:rPr>
          <w:b/>
          <w:u w:val="single"/>
        </w:rPr>
      </w:pPr>
      <w:r w:rsidRPr="00844ABC">
        <w:rPr>
          <w:b/>
          <w:u w:val="single"/>
        </w:rPr>
        <w:t>本次改建工程废水</w:t>
      </w:r>
      <w:r w:rsidRPr="00844ABC">
        <w:rPr>
          <w:rFonts w:hint="eastAsia"/>
          <w:b/>
          <w:u w:val="single"/>
        </w:rPr>
        <w:t>生活污水、反渗透浓水</w:t>
      </w:r>
      <w:r w:rsidRPr="00844ABC">
        <w:rPr>
          <w:b/>
          <w:u w:val="single"/>
        </w:rPr>
        <w:t>，</w:t>
      </w:r>
      <w:r w:rsidRPr="00844ABC">
        <w:rPr>
          <w:rFonts w:hint="eastAsia"/>
          <w:b/>
          <w:u w:val="single"/>
        </w:rPr>
        <w:t>废水水质较为简单，同时</w:t>
      </w:r>
      <w:r w:rsidRPr="00844ABC">
        <w:rPr>
          <w:b/>
          <w:u w:val="single"/>
        </w:rPr>
        <w:t>与现有工程</w:t>
      </w:r>
      <w:r w:rsidRPr="00844ABC">
        <w:rPr>
          <w:rFonts w:hint="eastAsia"/>
          <w:b/>
          <w:u w:val="single"/>
        </w:rPr>
        <w:t>废水</w:t>
      </w:r>
      <w:r w:rsidRPr="00844ABC">
        <w:rPr>
          <w:b/>
          <w:u w:val="single"/>
        </w:rPr>
        <w:t>水质</w:t>
      </w:r>
      <w:r w:rsidRPr="00844ABC">
        <w:rPr>
          <w:rFonts w:hint="eastAsia"/>
          <w:b/>
          <w:u w:val="single"/>
        </w:rPr>
        <w:t>类似</w:t>
      </w:r>
      <w:r w:rsidRPr="00844ABC">
        <w:rPr>
          <w:b/>
          <w:u w:val="single"/>
        </w:rPr>
        <w:t>，且泄露影响土壤的途径完全一致，均为</w:t>
      </w:r>
      <w:r w:rsidRPr="00844ABC">
        <w:rPr>
          <w:rFonts w:hint="eastAsia"/>
          <w:b/>
          <w:u w:val="single"/>
        </w:rPr>
        <w:t>化粪池防渗层破损</w:t>
      </w:r>
      <w:r w:rsidRPr="00844ABC">
        <w:rPr>
          <w:b/>
          <w:u w:val="single"/>
        </w:rPr>
        <w:t>发生泄漏导致。因此改建后项目对土壤的影响与现有工程基本一致，因此具有可类比性型。</w:t>
      </w:r>
    </w:p>
    <w:p w:rsidR="00EE56C0" w:rsidRPr="00844ABC" w:rsidRDefault="000F36A1" w:rsidP="00844ABC">
      <w:pPr>
        <w:ind w:firstLine="482"/>
        <w:rPr>
          <w:b/>
          <w:color w:val="FF0000"/>
          <w:u w:val="single"/>
        </w:rPr>
      </w:pPr>
      <w:r w:rsidRPr="00844ABC">
        <w:rPr>
          <w:b/>
          <w:u w:val="single"/>
        </w:rPr>
        <w:t>根据评价期间河南永飞检测科技有限公司对厂区内及附近农田土壤取样点的监测数据，项目厂区各个监测因子均能够满足《土壤环境质量</w:t>
      </w:r>
      <w:r w:rsidRPr="00844ABC">
        <w:rPr>
          <w:b/>
          <w:u w:val="single"/>
        </w:rPr>
        <w:t>-</w:t>
      </w:r>
      <w:r w:rsidRPr="00844ABC">
        <w:rPr>
          <w:b/>
          <w:u w:val="single"/>
        </w:rPr>
        <w:t>建设用地土壤污染风险管控标准（试行）》（</w:t>
      </w:r>
      <w:r w:rsidRPr="00844ABC">
        <w:rPr>
          <w:b/>
          <w:u w:val="single"/>
        </w:rPr>
        <w:t>GB36600-2018</w:t>
      </w:r>
      <w:r w:rsidRPr="00844ABC">
        <w:rPr>
          <w:b/>
          <w:u w:val="single"/>
        </w:rPr>
        <w:t>）标准；厂区外农田监测因子均能够满足《土壤环境质量</w:t>
      </w:r>
      <w:r w:rsidRPr="00844ABC">
        <w:rPr>
          <w:b/>
          <w:u w:val="single"/>
        </w:rPr>
        <w:t>-</w:t>
      </w:r>
      <w:r w:rsidRPr="00844ABC">
        <w:rPr>
          <w:b/>
          <w:u w:val="single"/>
        </w:rPr>
        <w:t>农用地土壤污染风险管控标准（试行）》（</w:t>
      </w:r>
      <w:r w:rsidRPr="00844ABC">
        <w:rPr>
          <w:b/>
          <w:u w:val="single"/>
        </w:rPr>
        <w:t>GB15618-2018</w:t>
      </w:r>
      <w:r w:rsidRPr="00844ABC">
        <w:rPr>
          <w:b/>
          <w:u w:val="single"/>
        </w:rPr>
        <w:t>）中标准要求。项目区域土壤环境质量良好。</w:t>
      </w:r>
      <w:r w:rsidRPr="00844ABC">
        <w:rPr>
          <w:rFonts w:hint="eastAsia"/>
          <w:b/>
          <w:u w:val="single"/>
        </w:rPr>
        <w:t>河南华洋电工科技集团有限公司</w:t>
      </w:r>
      <w:r w:rsidRPr="00844ABC">
        <w:rPr>
          <w:b/>
          <w:u w:val="single"/>
        </w:rPr>
        <w:t>成立于</w:t>
      </w:r>
      <w:r w:rsidRPr="00844ABC">
        <w:rPr>
          <w:rFonts w:hint="eastAsia"/>
          <w:b/>
          <w:u w:val="single"/>
        </w:rPr>
        <w:t>1994</w:t>
      </w:r>
      <w:r w:rsidRPr="00844ABC">
        <w:rPr>
          <w:b/>
          <w:u w:val="single"/>
        </w:rPr>
        <w:t>年，近几年已经对厂区各项治理措施进行了升级改造，符合现有的环保要求。厂区内涉及可能污水渗漏的位置如污水处理站、危废暂存间等均按要求进行了硬化防渗处理，正常情况下不存在废水进入土壤中的可能。</w:t>
      </w:r>
    </w:p>
    <w:p w:rsidR="00EE56C0" w:rsidRPr="00844ABC" w:rsidRDefault="000F36A1" w:rsidP="00844ABC">
      <w:pPr>
        <w:ind w:firstLine="482"/>
        <w:rPr>
          <w:b/>
          <w:u w:val="single"/>
        </w:rPr>
      </w:pPr>
      <w:r w:rsidRPr="00844ABC">
        <w:rPr>
          <w:b/>
          <w:u w:val="single"/>
        </w:rPr>
        <w:t>目前</w:t>
      </w:r>
      <w:r w:rsidRPr="00844ABC">
        <w:rPr>
          <w:rFonts w:hint="eastAsia"/>
          <w:b/>
          <w:u w:val="single"/>
        </w:rPr>
        <w:t>河南华洋电工科技集团有限公司</w:t>
      </w:r>
      <w:r w:rsidRPr="00844ABC">
        <w:rPr>
          <w:b/>
          <w:u w:val="single"/>
        </w:rPr>
        <w:t>已经运行</w:t>
      </w:r>
      <w:r w:rsidRPr="00844ABC">
        <w:rPr>
          <w:rFonts w:hint="eastAsia"/>
          <w:b/>
          <w:u w:val="single"/>
        </w:rPr>
        <w:t>27</w:t>
      </w:r>
      <w:r w:rsidRPr="00844ABC">
        <w:rPr>
          <w:b/>
          <w:u w:val="single"/>
        </w:rPr>
        <w:t>年，厂区土壤和周边农田土壤均能够满足相应的土壤环境要求，厂区土壤与厂界外农田土壤对比，各项因子差别不大，均在合理范围内，说明厂区土壤未受污染。因此评价认为，改建项目完成后，项目生产对项目厂区土壤和厂界外土壤影响很小，基本不会改变土壤</w:t>
      </w:r>
      <w:r w:rsidRPr="00844ABC">
        <w:rPr>
          <w:b/>
          <w:u w:val="single"/>
        </w:rPr>
        <w:lastRenderedPageBreak/>
        <w:t>的背景值。</w:t>
      </w:r>
    </w:p>
    <w:p w:rsidR="00EE56C0" w:rsidRPr="00844ABC" w:rsidRDefault="000F36A1" w:rsidP="00844ABC">
      <w:pPr>
        <w:ind w:firstLine="482"/>
        <w:rPr>
          <w:b/>
          <w:snapToGrid w:val="0"/>
          <w:u w:val="single"/>
        </w:rPr>
      </w:pPr>
      <w:r w:rsidRPr="00844ABC">
        <w:rPr>
          <w:b/>
          <w:snapToGrid w:val="0"/>
          <w:u w:val="single"/>
        </w:rPr>
        <w:t>综上所述，本项目建成后对土壤环境影响较小，本项目建设可行</w:t>
      </w:r>
      <w:r w:rsidRPr="00844ABC">
        <w:rPr>
          <w:rFonts w:hint="eastAsia"/>
          <w:b/>
          <w:snapToGrid w:val="0"/>
          <w:u w:val="single"/>
        </w:rPr>
        <w:t>。</w:t>
      </w:r>
    </w:p>
    <w:p w:rsidR="00EE56C0" w:rsidRDefault="000F36A1">
      <w:pPr>
        <w:pStyle w:val="3"/>
        <w:spacing w:before="240" w:after="120"/>
      </w:pPr>
      <w:r>
        <w:rPr>
          <w:rFonts w:hint="eastAsia"/>
          <w:snapToGrid w:val="0"/>
        </w:rPr>
        <w:t>5.6.5</w:t>
      </w:r>
      <w:r>
        <w:t>土壤环境影响评价结论</w:t>
      </w:r>
    </w:p>
    <w:p w:rsidR="00EE56C0" w:rsidRDefault="000F36A1">
      <w:pPr>
        <w:ind w:firstLine="480"/>
      </w:pPr>
      <w:r>
        <w:t>本项目厂内现状监测点各监测因子监测结果值均低于《土壤环境质量建设用地土壤污染风险管控标准》（</w:t>
      </w:r>
      <w:r>
        <w:t>GB36600-2018</w:t>
      </w:r>
      <w:r>
        <w:t>）（试行）表</w:t>
      </w:r>
      <w:r>
        <w:t>1</w:t>
      </w:r>
      <w:r>
        <w:t>第二类用地风险筛选值，周边土壤环境敏感点各监测因子监测结果值均低于《土壤环境质量农用地土壤污染风险管控标准》（</w:t>
      </w:r>
      <w:r>
        <w:t>GB15618-2018</w:t>
      </w:r>
      <w:r>
        <w:t>）（试行）表</w:t>
      </w:r>
      <w:r>
        <w:t>1</w:t>
      </w:r>
      <w:r>
        <w:t>规定的风险筛选值，土壤环境质量现状总体较好。经采取绿化及防渗、清洁生产、风险防控、跟踪监测等措施后，项目建设对占地范围内、周边敏感点的影响较小，不会造成评价因子的超标，因此，本项目对土壤环境影响可接受。</w:t>
      </w:r>
    </w:p>
    <w:p w:rsidR="00EE56C0" w:rsidRDefault="000F36A1">
      <w:pPr>
        <w:pStyle w:val="2"/>
        <w:ind w:firstLine="301"/>
      </w:pPr>
      <w:bookmarkStart w:id="359" w:name="_Toc25400921"/>
      <w:r>
        <w:rPr>
          <w:rFonts w:hint="eastAsia"/>
        </w:rPr>
        <w:t>5.7</w:t>
      </w:r>
      <w:r>
        <w:rPr>
          <w:rFonts w:hint="eastAsia"/>
        </w:rPr>
        <w:t>环境风险分析</w:t>
      </w:r>
      <w:bookmarkEnd w:id="343"/>
      <w:bookmarkEnd w:id="344"/>
      <w:bookmarkEnd w:id="345"/>
      <w:bookmarkEnd w:id="346"/>
      <w:bookmarkEnd w:id="359"/>
    </w:p>
    <w:p w:rsidR="00EE56C0" w:rsidRDefault="000F36A1">
      <w:pPr>
        <w:ind w:firstLine="480"/>
      </w:pPr>
      <w:bookmarkStart w:id="360" w:name="_Toc497299841"/>
      <w:bookmarkStart w:id="361" w:name="_Toc465270344"/>
      <w:bookmarkStart w:id="362" w:name="_Toc422317665"/>
      <w:bookmarkStart w:id="363" w:name="_Toc429318430"/>
      <w:bookmarkStart w:id="364" w:name="_Toc428287269"/>
      <w:bookmarkStart w:id="365" w:name="_Toc428286908"/>
      <w:r>
        <w:t>根据《建设项目环境风险评价技术导则》（</w:t>
      </w:r>
      <w:r>
        <w:t>HJ/T169-20</w:t>
      </w:r>
      <w:r>
        <w:rPr>
          <w:rFonts w:hint="eastAsia"/>
        </w:rPr>
        <w:t>18</w:t>
      </w:r>
      <w:r>
        <w:t>），</w:t>
      </w:r>
      <w:r>
        <w:rPr>
          <w:rFonts w:hint="eastAsia"/>
        </w:rPr>
        <w:t>环境风险评价应以突发性事故导致的危险物质环境急性损害防控为目标，对建设项目的环境风险进行分析、预测和评估，提出环境风险预防、控制、减缓措施，明确环境风险监控及应急建议要求，为建设项目环境风险防控提供科学依据。</w:t>
      </w:r>
    </w:p>
    <w:p w:rsidR="00EE56C0" w:rsidRDefault="000F36A1">
      <w:pPr>
        <w:ind w:firstLine="480"/>
      </w:pPr>
      <w:r>
        <w:t>环境风险评价应把事故引起厂（场）界外人群的伤害、环境质量的恶化及对生态系统影响的预测和防护作为评价工作重点。</w:t>
      </w:r>
    </w:p>
    <w:p w:rsidR="00EE56C0" w:rsidRDefault="000F36A1">
      <w:pPr>
        <w:ind w:firstLine="480"/>
      </w:pPr>
      <w:r>
        <w:rPr>
          <w:rFonts w:hint="eastAsia"/>
        </w:rPr>
        <w:t>本项目主要风险源为漆料库</w:t>
      </w:r>
      <w:r>
        <w:rPr>
          <w:rFonts w:hAnsi="宋体" w:hint="eastAsia"/>
        </w:rPr>
        <w:t>。因此，本次风险评价</w:t>
      </w:r>
      <w:r>
        <w:rPr>
          <w:rFonts w:hint="eastAsia"/>
        </w:rPr>
        <w:t>通过认识本项目的风险程度、危险环节和事故后果影响大小，从中提高风险管理的意识，采取必要的防范措施以减少环境危害，并提出事故应急措施和预案，达到安全生产、发展经济的目的。</w:t>
      </w:r>
    </w:p>
    <w:p w:rsidR="00EE56C0" w:rsidRDefault="000F36A1">
      <w:pPr>
        <w:pStyle w:val="3"/>
        <w:spacing w:before="240" w:after="120"/>
      </w:pPr>
      <w:r>
        <w:rPr>
          <w:rFonts w:hint="eastAsia"/>
        </w:rPr>
        <w:t>5.7.1</w:t>
      </w:r>
      <w:r>
        <w:t>评价工作程序</w:t>
      </w:r>
    </w:p>
    <w:p w:rsidR="00EE56C0" w:rsidRDefault="000F36A1">
      <w:pPr>
        <w:ind w:firstLine="480"/>
      </w:pPr>
      <w:r>
        <w:rPr>
          <w:rFonts w:hint="eastAsia"/>
        </w:rPr>
        <w:t>环境风险评价的工作程序见下图：</w:t>
      </w:r>
    </w:p>
    <w:p w:rsidR="00EE56C0" w:rsidRDefault="000F36A1">
      <w:pPr>
        <w:pStyle w:val="aff8"/>
      </w:pPr>
      <w:r>
        <w:rPr>
          <w:noProof/>
        </w:rPr>
        <w:lastRenderedPageBreak/>
        <w:drawing>
          <wp:inline distT="0" distB="0" distL="0" distR="0">
            <wp:extent cx="4587875" cy="4792980"/>
            <wp:effectExtent l="19050" t="0" r="3175" b="0"/>
            <wp:docPr id="54"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9"/>
                    <pic:cNvPicPr>
                      <a:picLocks noChangeAspect="1" noChangeArrowheads="1"/>
                    </pic:cNvPicPr>
                  </pic:nvPicPr>
                  <pic:blipFill>
                    <a:blip r:embed="rId119"/>
                    <a:srcRect t="1355"/>
                    <a:stretch>
                      <a:fillRect/>
                    </a:stretch>
                  </pic:blipFill>
                  <pic:spPr>
                    <a:xfrm>
                      <a:off x="0" y="0"/>
                      <a:ext cx="4587875" cy="4792980"/>
                    </a:xfrm>
                    <a:prstGeom prst="rect">
                      <a:avLst/>
                    </a:prstGeom>
                    <a:noFill/>
                    <a:ln w="9525">
                      <a:noFill/>
                      <a:miter lim="800000"/>
                      <a:headEnd/>
                      <a:tailEnd/>
                    </a:ln>
                  </pic:spPr>
                </pic:pic>
              </a:graphicData>
            </a:graphic>
          </wp:inline>
        </w:drawing>
      </w:r>
    </w:p>
    <w:p w:rsidR="00EE56C0" w:rsidRDefault="000F36A1">
      <w:pPr>
        <w:pStyle w:val="aff8"/>
      </w:pPr>
      <w:r>
        <w:rPr>
          <w:rFonts w:hint="eastAsia"/>
        </w:rPr>
        <w:t>图</w:t>
      </w:r>
      <w:r>
        <w:rPr>
          <w:rFonts w:hint="eastAsia"/>
        </w:rPr>
        <w:t xml:space="preserve">5-11 </w:t>
      </w:r>
      <w:r>
        <w:rPr>
          <w:rFonts w:hint="eastAsia"/>
        </w:rPr>
        <w:t>环境风险评价工作顺序图</w:t>
      </w:r>
    </w:p>
    <w:p w:rsidR="00EE56C0" w:rsidRDefault="000F36A1">
      <w:pPr>
        <w:pStyle w:val="3"/>
        <w:spacing w:before="240" w:after="120"/>
      </w:pPr>
      <w:r>
        <w:rPr>
          <w:rFonts w:hint="eastAsia"/>
        </w:rPr>
        <w:t>5.7.2</w:t>
      </w:r>
      <w:r>
        <w:t>风险</w:t>
      </w:r>
      <w:r>
        <w:rPr>
          <w:rFonts w:hint="eastAsia"/>
        </w:rPr>
        <w:t>调查</w:t>
      </w:r>
    </w:p>
    <w:p w:rsidR="00EE56C0" w:rsidRDefault="000F36A1">
      <w:pPr>
        <w:ind w:firstLine="480"/>
      </w:pPr>
      <w:r>
        <w:rPr>
          <w:rFonts w:hint="eastAsia"/>
        </w:rPr>
        <w:t>（</w:t>
      </w:r>
      <w:r>
        <w:rPr>
          <w:rFonts w:hint="eastAsia"/>
        </w:rPr>
        <w:t>1</w:t>
      </w:r>
      <w:r>
        <w:rPr>
          <w:rFonts w:hint="eastAsia"/>
        </w:rPr>
        <w:t>）风险源</w:t>
      </w:r>
    </w:p>
    <w:p w:rsidR="00EE56C0" w:rsidRDefault="000F36A1">
      <w:pPr>
        <w:ind w:firstLine="480"/>
      </w:pPr>
      <w:r>
        <w:rPr>
          <w:rFonts w:hint="eastAsia"/>
        </w:rPr>
        <w:t>本项目建成后的危险物质主要为</w:t>
      </w:r>
      <w:r>
        <w:rPr>
          <w:rFonts w:hint="eastAsia"/>
          <w:szCs w:val="21"/>
        </w:rPr>
        <w:t>聚酯底漆、</w:t>
      </w:r>
      <w:r>
        <w:rPr>
          <w:szCs w:val="21"/>
        </w:rPr>
        <w:t>聚酰胺酰亚胺漆</w:t>
      </w:r>
      <w:r>
        <w:rPr>
          <w:rFonts w:hint="eastAsia"/>
          <w:szCs w:val="21"/>
        </w:rPr>
        <w:t>面漆、丝包专用漆</w:t>
      </w:r>
      <w:r>
        <w:rPr>
          <w:rFonts w:hint="eastAsia"/>
        </w:rPr>
        <w:t>，其储存情况见下表：</w:t>
      </w:r>
    </w:p>
    <w:p w:rsidR="00EE56C0" w:rsidRDefault="00EE56C0">
      <w:pPr>
        <w:pStyle w:val="afd"/>
        <w:spacing w:before="120" w:after="120"/>
        <w:ind w:firstLine="482"/>
      </w:pPr>
    </w:p>
    <w:p w:rsidR="00EE56C0" w:rsidRDefault="00EE56C0">
      <w:pPr>
        <w:pStyle w:val="afd"/>
        <w:spacing w:before="120" w:after="120"/>
        <w:ind w:firstLine="482"/>
      </w:pPr>
    </w:p>
    <w:p w:rsidR="00EE56C0" w:rsidRDefault="00EE56C0">
      <w:pPr>
        <w:pStyle w:val="afd"/>
        <w:spacing w:before="120" w:after="120"/>
        <w:ind w:firstLine="482"/>
      </w:pPr>
    </w:p>
    <w:p w:rsidR="00EE56C0" w:rsidRDefault="00EE56C0">
      <w:pPr>
        <w:pStyle w:val="afd"/>
        <w:spacing w:before="120" w:after="120"/>
        <w:ind w:firstLine="482"/>
      </w:pPr>
    </w:p>
    <w:p w:rsidR="00EE56C0" w:rsidRDefault="00EE56C0">
      <w:pPr>
        <w:pStyle w:val="afd"/>
        <w:spacing w:before="120" w:after="120"/>
        <w:ind w:firstLine="482"/>
      </w:pPr>
    </w:p>
    <w:p w:rsidR="00EE56C0" w:rsidRDefault="00EE56C0">
      <w:pPr>
        <w:pStyle w:val="afd"/>
        <w:spacing w:before="120" w:after="120"/>
        <w:ind w:firstLine="482"/>
      </w:pPr>
    </w:p>
    <w:p w:rsidR="00EE56C0" w:rsidRDefault="00EE56C0">
      <w:pPr>
        <w:pStyle w:val="afd"/>
        <w:spacing w:before="120" w:after="120"/>
        <w:ind w:firstLine="482"/>
      </w:pPr>
    </w:p>
    <w:p w:rsidR="00EE56C0" w:rsidRDefault="000F36A1">
      <w:pPr>
        <w:pStyle w:val="afd"/>
        <w:spacing w:before="120" w:after="120"/>
        <w:ind w:firstLine="482"/>
      </w:pPr>
      <w:r>
        <w:rPr>
          <w:rFonts w:hint="eastAsia"/>
        </w:rPr>
        <w:lastRenderedPageBreak/>
        <w:t>表</w:t>
      </w:r>
      <w:r>
        <w:t>5-</w:t>
      </w:r>
      <w:r w:rsidR="005767FB">
        <w:rPr>
          <w:rFonts w:hint="eastAsia"/>
        </w:rPr>
        <w:t>54</w:t>
      </w:r>
      <w:r>
        <w:rPr>
          <w:rFonts w:hint="eastAsia"/>
        </w:rPr>
        <w:t xml:space="preserve">              </w:t>
      </w:r>
      <w:r>
        <w:rPr>
          <w:rFonts w:hint="eastAsia"/>
        </w:rPr>
        <w:t>风险物质最大存在量</w:t>
      </w:r>
      <w:r>
        <w:rPr>
          <w:rFonts w:hint="eastAsia"/>
        </w:rPr>
        <w:t xml:space="preserve">            </w:t>
      </w:r>
      <w:r>
        <w:rPr>
          <w:rFonts w:hint="eastAsia"/>
        </w:rPr>
        <w:t>单位：</w:t>
      </w:r>
      <w:r>
        <w:rPr>
          <w:rFonts w:hint="eastAsia"/>
        </w:rPr>
        <w:t>t</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CellMar>
          <w:top w:w="57" w:type="dxa"/>
          <w:bottom w:w="57" w:type="dxa"/>
        </w:tblCellMar>
        <w:tblLook w:val="04A0"/>
      </w:tblPr>
      <w:tblGrid>
        <w:gridCol w:w="886"/>
        <w:gridCol w:w="553"/>
        <w:gridCol w:w="636"/>
        <w:gridCol w:w="621"/>
        <w:gridCol w:w="1006"/>
        <w:gridCol w:w="967"/>
        <w:gridCol w:w="967"/>
        <w:gridCol w:w="967"/>
        <w:gridCol w:w="964"/>
        <w:gridCol w:w="962"/>
      </w:tblGrid>
      <w:tr w:rsidR="00EE56C0">
        <w:trPr>
          <w:trHeight w:val="340"/>
          <w:jc w:val="center"/>
        </w:trPr>
        <w:tc>
          <w:tcPr>
            <w:tcW w:w="519" w:type="pct"/>
            <w:vAlign w:val="center"/>
          </w:tcPr>
          <w:p w:rsidR="00EE56C0" w:rsidRDefault="000F36A1">
            <w:pPr>
              <w:pStyle w:val="aff1"/>
              <w:rPr>
                <w:color w:val="auto"/>
              </w:rPr>
            </w:pPr>
            <w:r>
              <w:rPr>
                <w:rFonts w:hint="eastAsia"/>
                <w:color w:val="auto"/>
              </w:rPr>
              <w:t>物质</w:t>
            </w:r>
          </w:p>
        </w:tc>
        <w:tc>
          <w:tcPr>
            <w:tcW w:w="324" w:type="pct"/>
            <w:tcBorders>
              <w:right w:val="single" w:sz="4" w:space="0" w:color="auto"/>
            </w:tcBorders>
            <w:vAlign w:val="center"/>
          </w:tcPr>
          <w:p w:rsidR="00EE56C0" w:rsidRDefault="000F36A1">
            <w:pPr>
              <w:pStyle w:val="aff1"/>
              <w:rPr>
                <w:color w:val="auto"/>
              </w:rPr>
            </w:pPr>
            <w:r>
              <w:rPr>
                <w:rFonts w:hint="eastAsia"/>
                <w:color w:val="auto"/>
              </w:rPr>
              <w:t>聚酯底漆</w:t>
            </w:r>
          </w:p>
        </w:tc>
        <w:tc>
          <w:tcPr>
            <w:tcW w:w="373" w:type="pct"/>
            <w:vAlign w:val="center"/>
          </w:tcPr>
          <w:p w:rsidR="00EE56C0" w:rsidRDefault="000F36A1">
            <w:pPr>
              <w:pStyle w:val="aff1"/>
              <w:rPr>
                <w:color w:val="auto"/>
                <w:u w:val="single"/>
              </w:rPr>
            </w:pPr>
            <w:r>
              <w:rPr>
                <w:rFonts w:hint="eastAsia"/>
                <w:color w:val="auto"/>
                <w:u w:val="single"/>
              </w:rPr>
              <w:t>芳烃溶剂油</w:t>
            </w:r>
            <w:r>
              <w:rPr>
                <w:rFonts w:hint="eastAsia"/>
                <w:u w:val="single"/>
              </w:rPr>
              <w:t>*</w:t>
            </w:r>
          </w:p>
        </w:tc>
        <w:tc>
          <w:tcPr>
            <w:tcW w:w="364" w:type="pct"/>
            <w:vAlign w:val="center"/>
          </w:tcPr>
          <w:p w:rsidR="00EE56C0" w:rsidRDefault="000F36A1">
            <w:pPr>
              <w:pStyle w:val="aff1"/>
              <w:rPr>
                <w:color w:val="auto"/>
              </w:rPr>
            </w:pPr>
            <w:r>
              <w:rPr>
                <w:rFonts w:hint="eastAsia"/>
                <w:color w:val="auto"/>
              </w:rPr>
              <w:t>丝包专用漆</w:t>
            </w:r>
          </w:p>
        </w:tc>
        <w:tc>
          <w:tcPr>
            <w:tcW w:w="590" w:type="pct"/>
            <w:vAlign w:val="center"/>
          </w:tcPr>
          <w:p w:rsidR="00EE56C0" w:rsidRDefault="000F36A1">
            <w:pPr>
              <w:pStyle w:val="aff1"/>
              <w:rPr>
                <w:color w:val="auto"/>
              </w:rPr>
            </w:pPr>
            <w:r>
              <w:rPr>
                <w:rFonts w:hint="eastAsia"/>
                <w:color w:val="auto"/>
              </w:rPr>
              <w:t>聚酰胺酰亚胺漆面漆</w:t>
            </w:r>
          </w:p>
        </w:tc>
        <w:tc>
          <w:tcPr>
            <w:tcW w:w="567" w:type="pct"/>
            <w:tcBorders>
              <w:right w:val="single" w:sz="4" w:space="0" w:color="auto"/>
            </w:tcBorders>
            <w:vAlign w:val="center"/>
          </w:tcPr>
          <w:p w:rsidR="00EE56C0" w:rsidRDefault="000F36A1">
            <w:pPr>
              <w:pStyle w:val="aff1"/>
              <w:rPr>
                <w:color w:val="auto"/>
              </w:rPr>
            </w:pPr>
            <w:r>
              <w:rPr>
                <w:rFonts w:hint="eastAsia"/>
                <w:u w:val="single"/>
              </w:rPr>
              <w:t>N,N-</w:t>
            </w:r>
            <w:r>
              <w:rPr>
                <w:rFonts w:hint="eastAsia"/>
                <w:u w:val="single"/>
              </w:rPr>
              <w:t>二甲基甲酰胺</w:t>
            </w:r>
            <w:r>
              <w:rPr>
                <w:rFonts w:hint="eastAsia"/>
                <w:u w:val="single"/>
              </w:rPr>
              <w:t>*</w:t>
            </w:r>
          </w:p>
        </w:tc>
        <w:tc>
          <w:tcPr>
            <w:tcW w:w="567" w:type="pct"/>
            <w:vAlign w:val="center"/>
          </w:tcPr>
          <w:p w:rsidR="00EE56C0" w:rsidRDefault="000F36A1">
            <w:pPr>
              <w:pStyle w:val="aff1"/>
              <w:rPr>
                <w:u w:val="single"/>
              </w:rPr>
            </w:pPr>
            <w:r>
              <w:rPr>
                <w:rFonts w:hint="eastAsia"/>
                <w:u w:val="single"/>
              </w:rPr>
              <w:t>苯</w:t>
            </w:r>
            <w:r>
              <w:rPr>
                <w:rFonts w:hint="eastAsia"/>
                <w:u w:val="single"/>
              </w:rPr>
              <w:t>*</w:t>
            </w:r>
          </w:p>
        </w:tc>
        <w:tc>
          <w:tcPr>
            <w:tcW w:w="567" w:type="pct"/>
            <w:tcBorders>
              <w:right w:val="single" w:sz="4" w:space="0" w:color="auto"/>
            </w:tcBorders>
            <w:vAlign w:val="center"/>
          </w:tcPr>
          <w:p w:rsidR="00EE56C0" w:rsidRDefault="000F36A1">
            <w:pPr>
              <w:pStyle w:val="aff1"/>
              <w:rPr>
                <w:u w:val="single"/>
              </w:rPr>
            </w:pPr>
            <w:r>
              <w:rPr>
                <w:rFonts w:hint="eastAsia"/>
                <w:u w:val="single"/>
              </w:rPr>
              <w:t>甲苯</w:t>
            </w:r>
            <w:r>
              <w:rPr>
                <w:rFonts w:hint="eastAsia"/>
                <w:u w:val="single"/>
              </w:rPr>
              <w:t>*</w:t>
            </w:r>
          </w:p>
        </w:tc>
        <w:tc>
          <w:tcPr>
            <w:tcW w:w="565" w:type="pct"/>
            <w:tcBorders>
              <w:right w:val="single" w:sz="4" w:space="0" w:color="auto"/>
            </w:tcBorders>
            <w:vAlign w:val="center"/>
          </w:tcPr>
          <w:p w:rsidR="00EE56C0" w:rsidRDefault="000F36A1">
            <w:pPr>
              <w:pStyle w:val="aff1"/>
              <w:rPr>
                <w:u w:val="single"/>
              </w:rPr>
            </w:pPr>
            <w:r>
              <w:rPr>
                <w:rFonts w:hint="eastAsia"/>
                <w:u w:val="single"/>
              </w:rPr>
              <w:t>二甲苯</w:t>
            </w:r>
            <w:r>
              <w:rPr>
                <w:rFonts w:hint="eastAsia"/>
                <w:u w:val="single"/>
              </w:rPr>
              <w:t>*</w:t>
            </w:r>
          </w:p>
        </w:tc>
        <w:tc>
          <w:tcPr>
            <w:tcW w:w="565" w:type="pct"/>
            <w:tcBorders>
              <w:right w:val="single" w:sz="4" w:space="0" w:color="auto"/>
            </w:tcBorders>
            <w:vAlign w:val="center"/>
          </w:tcPr>
          <w:p w:rsidR="00EE56C0" w:rsidRDefault="000F36A1">
            <w:pPr>
              <w:pStyle w:val="aff1"/>
              <w:rPr>
                <w:u w:val="single"/>
              </w:rPr>
            </w:pPr>
            <w:r>
              <w:rPr>
                <w:rFonts w:hint="eastAsia"/>
                <w:u w:val="single"/>
              </w:rPr>
              <w:t>丁醇</w:t>
            </w:r>
            <w:r>
              <w:rPr>
                <w:rFonts w:hint="eastAsia"/>
                <w:u w:val="single"/>
              </w:rPr>
              <w:t>*</w:t>
            </w:r>
          </w:p>
        </w:tc>
      </w:tr>
      <w:tr w:rsidR="00EE56C0">
        <w:trPr>
          <w:trHeight w:val="340"/>
          <w:jc w:val="center"/>
        </w:trPr>
        <w:tc>
          <w:tcPr>
            <w:tcW w:w="519" w:type="pct"/>
            <w:vAlign w:val="center"/>
          </w:tcPr>
          <w:p w:rsidR="00EE56C0" w:rsidRDefault="000F36A1">
            <w:pPr>
              <w:pStyle w:val="afa"/>
            </w:pPr>
            <w:r>
              <w:rPr>
                <w:rFonts w:hint="eastAsia"/>
              </w:rPr>
              <w:t>最大储存量</w:t>
            </w:r>
          </w:p>
        </w:tc>
        <w:tc>
          <w:tcPr>
            <w:tcW w:w="324" w:type="pct"/>
            <w:tcBorders>
              <w:right w:val="single" w:sz="4" w:space="0" w:color="auto"/>
            </w:tcBorders>
            <w:vAlign w:val="center"/>
          </w:tcPr>
          <w:p w:rsidR="00EE56C0" w:rsidRDefault="000F36A1">
            <w:pPr>
              <w:pStyle w:val="afa"/>
            </w:pPr>
            <w:r>
              <w:rPr>
                <w:rFonts w:hint="eastAsia"/>
              </w:rPr>
              <w:t>10</w:t>
            </w:r>
          </w:p>
        </w:tc>
        <w:tc>
          <w:tcPr>
            <w:tcW w:w="373" w:type="pct"/>
            <w:vAlign w:val="center"/>
          </w:tcPr>
          <w:p w:rsidR="00EE56C0" w:rsidRDefault="000F36A1">
            <w:pPr>
              <w:pStyle w:val="afa"/>
              <w:rPr>
                <w:b/>
                <w:u w:val="single"/>
              </w:rPr>
            </w:pPr>
            <w:r>
              <w:rPr>
                <w:rFonts w:hint="eastAsia"/>
                <w:b/>
                <w:u w:val="single"/>
              </w:rPr>
              <w:t>1</w:t>
            </w:r>
          </w:p>
        </w:tc>
        <w:tc>
          <w:tcPr>
            <w:tcW w:w="364" w:type="pct"/>
            <w:vAlign w:val="center"/>
          </w:tcPr>
          <w:p w:rsidR="00EE56C0" w:rsidRDefault="000F36A1">
            <w:pPr>
              <w:pStyle w:val="afa"/>
            </w:pPr>
            <w:r>
              <w:rPr>
                <w:rFonts w:hint="eastAsia"/>
              </w:rPr>
              <w:t>1</w:t>
            </w:r>
          </w:p>
        </w:tc>
        <w:tc>
          <w:tcPr>
            <w:tcW w:w="590" w:type="pct"/>
            <w:vAlign w:val="center"/>
          </w:tcPr>
          <w:p w:rsidR="00EE56C0" w:rsidRDefault="000F36A1">
            <w:pPr>
              <w:pStyle w:val="afa"/>
            </w:pPr>
            <w:r>
              <w:rPr>
                <w:rFonts w:hint="eastAsia"/>
              </w:rPr>
              <w:t>3</w:t>
            </w:r>
          </w:p>
        </w:tc>
        <w:tc>
          <w:tcPr>
            <w:tcW w:w="567" w:type="pct"/>
            <w:tcBorders>
              <w:right w:val="single" w:sz="4" w:space="0" w:color="auto"/>
            </w:tcBorders>
            <w:vAlign w:val="center"/>
          </w:tcPr>
          <w:p w:rsidR="00EE56C0" w:rsidRDefault="000F36A1">
            <w:pPr>
              <w:pStyle w:val="afa"/>
              <w:rPr>
                <w:b/>
                <w:u w:val="single"/>
              </w:rPr>
            </w:pPr>
            <w:r>
              <w:rPr>
                <w:rFonts w:hint="eastAsia"/>
                <w:b/>
                <w:u w:val="single"/>
              </w:rPr>
              <w:t>1.65</w:t>
            </w:r>
          </w:p>
        </w:tc>
        <w:tc>
          <w:tcPr>
            <w:tcW w:w="567" w:type="pct"/>
            <w:vAlign w:val="center"/>
          </w:tcPr>
          <w:p w:rsidR="00EE56C0" w:rsidRDefault="000F36A1">
            <w:pPr>
              <w:pStyle w:val="afa"/>
              <w:rPr>
                <w:b/>
                <w:u w:val="single"/>
              </w:rPr>
            </w:pPr>
            <w:r>
              <w:rPr>
                <w:rFonts w:hint="eastAsia"/>
                <w:b/>
                <w:u w:val="single"/>
              </w:rPr>
              <w:t>0.05</w:t>
            </w:r>
          </w:p>
        </w:tc>
        <w:tc>
          <w:tcPr>
            <w:tcW w:w="567" w:type="pct"/>
            <w:tcBorders>
              <w:right w:val="single" w:sz="4" w:space="0" w:color="auto"/>
            </w:tcBorders>
            <w:vAlign w:val="center"/>
          </w:tcPr>
          <w:p w:rsidR="00EE56C0" w:rsidRDefault="000F36A1">
            <w:pPr>
              <w:pStyle w:val="afa"/>
              <w:rPr>
                <w:b/>
                <w:u w:val="single"/>
              </w:rPr>
            </w:pPr>
            <w:r>
              <w:rPr>
                <w:rFonts w:hint="eastAsia"/>
                <w:b/>
                <w:u w:val="single"/>
              </w:rPr>
              <w:t>0.15</w:t>
            </w:r>
          </w:p>
        </w:tc>
        <w:tc>
          <w:tcPr>
            <w:tcW w:w="565" w:type="pct"/>
            <w:tcBorders>
              <w:right w:val="single" w:sz="4" w:space="0" w:color="auto"/>
            </w:tcBorders>
            <w:vAlign w:val="center"/>
          </w:tcPr>
          <w:p w:rsidR="00EE56C0" w:rsidRDefault="000F36A1">
            <w:pPr>
              <w:pStyle w:val="afa"/>
              <w:rPr>
                <w:b/>
                <w:u w:val="single"/>
              </w:rPr>
            </w:pPr>
            <w:r>
              <w:rPr>
                <w:rFonts w:hint="eastAsia"/>
                <w:b/>
                <w:u w:val="single"/>
              </w:rPr>
              <w:t>0.6</w:t>
            </w:r>
          </w:p>
        </w:tc>
        <w:tc>
          <w:tcPr>
            <w:tcW w:w="565" w:type="pct"/>
            <w:tcBorders>
              <w:right w:val="single" w:sz="4" w:space="0" w:color="auto"/>
            </w:tcBorders>
            <w:vAlign w:val="center"/>
          </w:tcPr>
          <w:p w:rsidR="00EE56C0" w:rsidRDefault="000F36A1">
            <w:pPr>
              <w:pStyle w:val="afa"/>
              <w:rPr>
                <w:b/>
                <w:u w:val="single"/>
              </w:rPr>
            </w:pPr>
            <w:r>
              <w:rPr>
                <w:rFonts w:hint="eastAsia"/>
                <w:b/>
                <w:u w:val="single"/>
              </w:rPr>
              <w:t>0.05</w:t>
            </w:r>
          </w:p>
        </w:tc>
      </w:tr>
      <w:tr w:rsidR="00EE56C0">
        <w:trPr>
          <w:trHeight w:val="340"/>
          <w:jc w:val="center"/>
        </w:trPr>
        <w:tc>
          <w:tcPr>
            <w:tcW w:w="519" w:type="pct"/>
            <w:vAlign w:val="center"/>
          </w:tcPr>
          <w:p w:rsidR="00EE56C0" w:rsidRDefault="000F36A1">
            <w:pPr>
              <w:pStyle w:val="afa"/>
            </w:pPr>
            <w:r>
              <w:rPr>
                <w:rFonts w:hint="eastAsia"/>
              </w:rPr>
              <w:t>生产最大在线量</w:t>
            </w:r>
          </w:p>
        </w:tc>
        <w:tc>
          <w:tcPr>
            <w:tcW w:w="324" w:type="pct"/>
            <w:tcBorders>
              <w:right w:val="single" w:sz="4" w:space="0" w:color="auto"/>
            </w:tcBorders>
            <w:vAlign w:val="center"/>
          </w:tcPr>
          <w:p w:rsidR="00EE56C0" w:rsidRDefault="000F36A1">
            <w:pPr>
              <w:pStyle w:val="afa"/>
            </w:pPr>
            <w:r>
              <w:rPr>
                <w:rFonts w:hint="eastAsia"/>
              </w:rPr>
              <w:t>3</w:t>
            </w:r>
          </w:p>
        </w:tc>
        <w:tc>
          <w:tcPr>
            <w:tcW w:w="373" w:type="pct"/>
            <w:vAlign w:val="center"/>
          </w:tcPr>
          <w:p w:rsidR="00EE56C0" w:rsidRDefault="000F36A1">
            <w:pPr>
              <w:pStyle w:val="afa"/>
              <w:rPr>
                <w:b/>
                <w:u w:val="single"/>
              </w:rPr>
            </w:pPr>
            <w:r>
              <w:rPr>
                <w:rFonts w:hint="eastAsia"/>
                <w:b/>
                <w:u w:val="single"/>
              </w:rPr>
              <w:t>0.3</w:t>
            </w:r>
          </w:p>
        </w:tc>
        <w:tc>
          <w:tcPr>
            <w:tcW w:w="364" w:type="pct"/>
            <w:vAlign w:val="center"/>
          </w:tcPr>
          <w:p w:rsidR="00EE56C0" w:rsidRDefault="000F36A1">
            <w:pPr>
              <w:pStyle w:val="afa"/>
            </w:pPr>
            <w:r>
              <w:rPr>
                <w:rFonts w:hint="eastAsia"/>
              </w:rPr>
              <w:t>0.4</w:t>
            </w:r>
          </w:p>
        </w:tc>
        <w:tc>
          <w:tcPr>
            <w:tcW w:w="590" w:type="pct"/>
            <w:vAlign w:val="center"/>
          </w:tcPr>
          <w:p w:rsidR="00EE56C0" w:rsidRDefault="000F36A1">
            <w:pPr>
              <w:pStyle w:val="afa"/>
            </w:pPr>
            <w:r>
              <w:rPr>
                <w:rFonts w:hint="eastAsia"/>
              </w:rPr>
              <w:t>1</w:t>
            </w:r>
          </w:p>
        </w:tc>
        <w:tc>
          <w:tcPr>
            <w:tcW w:w="567" w:type="pct"/>
            <w:tcBorders>
              <w:right w:val="single" w:sz="4" w:space="0" w:color="auto"/>
            </w:tcBorders>
            <w:vAlign w:val="center"/>
          </w:tcPr>
          <w:p w:rsidR="00EE56C0" w:rsidRDefault="000F36A1">
            <w:pPr>
              <w:pStyle w:val="afa"/>
              <w:rPr>
                <w:b/>
                <w:u w:val="single"/>
              </w:rPr>
            </w:pPr>
            <w:r>
              <w:rPr>
                <w:rFonts w:hint="eastAsia"/>
                <w:b/>
                <w:u w:val="single"/>
              </w:rPr>
              <w:t>0.55</w:t>
            </w:r>
          </w:p>
        </w:tc>
        <w:tc>
          <w:tcPr>
            <w:tcW w:w="567" w:type="pct"/>
            <w:vAlign w:val="center"/>
          </w:tcPr>
          <w:p w:rsidR="00EE56C0" w:rsidRDefault="000F36A1">
            <w:pPr>
              <w:pStyle w:val="afa"/>
              <w:rPr>
                <w:b/>
                <w:u w:val="single"/>
              </w:rPr>
            </w:pPr>
            <w:r>
              <w:rPr>
                <w:rFonts w:hint="eastAsia"/>
                <w:b/>
                <w:u w:val="single"/>
              </w:rPr>
              <w:t>0.06</w:t>
            </w:r>
          </w:p>
        </w:tc>
        <w:tc>
          <w:tcPr>
            <w:tcW w:w="567" w:type="pct"/>
            <w:tcBorders>
              <w:right w:val="single" w:sz="4" w:space="0" w:color="auto"/>
            </w:tcBorders>
            <w:vAlign w:val="center"/>
          </w:tcPr>
          <w:p w:rsidR="00EE56C0" w:rsidRDefault="000F36A1">
            <w:pPr>
              <w:pStyle w:val="afa"/>
              <w:rPr>
                <w:b/>
                <w:u w:val="single"/>
              </w:rPr>
            </w:pPr>
            <w:r>
              <w:rPr>
                <w:rFonts w:hint="eastAsia"/>
                <w:b/>
                <w:u w:val="single"/>
              </w:rPr>
              <w:t>0.06</w:t>
            </w:r>
          </w:p>
        </w:tc>
        <w:tc>
          <w:tcPr>
            <w:tcW w:w="565" w:type="pct"/>
            <w:tcBorders>
              <w:right w:val="single" w:sz="4" w:space="0" w:color="auto"/>
            </w:tcBorders>
            <w:vAlign w:val="center"/>
          </w:tcPr>
          <w:p w:rsidR="00EE56C0" w:rsidRDefault="000F36A1">
            <w:pPr>
              <w:pStyle w:val="afa"/>
              <w:rPr>
                <w:b/>
                <w:u w:val="single"/>
              </w:rPr>
            </w:pPr>
            <w:r>
              <w:rPr>
                <w:rFonts w:hint="eastAsia"/>
                <w:b/>
                <w:u w:val="single"/>
              </w:rPr>
              <w:t>0.21</w:t>
            </w:r>
          </w:p>
        </w:tc>
        <w:tc>
          <w:tcPr>
            <w:tcW w:w="565" w:type="pct"/>
            <w:tcBorders>
              <w:right w:val="single" w:sz="4" w:space="0" w:color="auto"/>
            </w:tcBorders>
            <w:vAlign w:val="center"/>
          </w:tcPr>
          <w:p w:rsidR="00EE56C0" w:rsidRDefault="000F36A1">
            <w:pPr>
              <w:pStyle w:val="afa"/>
              <w:rPr>
                <w:b/>
                <w:u w:val="single"/>
              </w:rPr>
            </w:pPr>
            <w:r>
              <w:rPr>
                <w:rFonts w:hint="eastAsia"/>
                <w:b/>
                <w:u w:val="single"/>
              </w:rPr>
              <w:t>0.06</w:t>
            </w:r>
          </w:p>
        </w:tc>
      </w:tr>
      <w:tr w:rsidR="00EE56C0">
        <w:trPr>
          <w:trHeight w:val="340"/>
          <w:jc w:val="center"/>
        </w:trPr>
        <w:tc>
          <w:tcPr>
            <w:tcW w:w="519" w:type="pct"/>
            <w:vAlign w:val="center"/>
          </w:tcPr>
          <w:p w:rsidR="00EE56C0" w:rsidRDefault="000F36A1">
            <w:pPr>
              <w:pStyle w:val="afa"/>
            </w:pPr>
            <w:r>
              <w:rPr>
                <w:rFonts w:hint="eastAsia"/>
              </w:rPr>
              <w:t>最大存在量</w:t>
            </w:r>
          </w:p>
        </w:tc>
        <w:tc>
          <w:tcPr>
            <w:tcW w:w="324" w:type="pct"/>
            <w:tcBorders>
              <w:right w:val="single" w:sz="4" w:space="0" w:color="auto"/>
            </w:tcBorders>
            <w:vAlign w:val="center"/>
          </w:tcPr>
          <w:p w:rsidR="00EE56C0" w:rsidRDefault="000F36A1">
            <w:pPr>
              <w:pStyle w:val="afa"/>
            </w:pPr>
            <w:r>
              <w:rPr>
                <w:rFonts w:hint="eastAsia"/>
              </w:rPr>
              <w:t>13</w:t>
            </w:r>
          </w:p>
        </w:tc>
        <w:tc>
          <w:tcPr>
            <w:tcW w:w="373" w:type="pct"/>
            <w:vAlign w:val="center"/>
          </w:tcPr>
          <w:p w:rsidR="00EE56C0" w:rsidRDefault="000F36A1">
            <w:pPr>
              <w:pStyle w:val="afa"/>
              <w:rPr>
                <w:b/>
                <w:u w:val="single"/>
              </w:rPr>
            </w:pPr>
            <w:r>
              <w:rPr>
                <w:rFonts w:hint="eastAsia"/>
                <w:b/>
                <w:u w:val="single"/>
              </w:rPr>
              <w:t>1.3</w:t>
            </w:r>
          </w:p>
        </w:tc>
        <w:tc>
          <w:tcPr>
            <w:tcW w:w="364" w:type="pct"/>
            <w:vAlign w:val="center"/>
          </w:tcPr>
          <w:p w:rsidR="00EE56C0" w:rsidRDefault="000F36A1">
            <w:pPr>
              <w:pStyle w:val="afa"/>
            </w:pPr>
            <w:r>
              <w:rPr>
                <w:rFonts w:hint="eastAsia"/>
              </w:rPr>
              <w:t>1.4</w:t>
            </w:r>
          </w:p>
        </w:tc>
        <w:tc>
          <w:tcPr>
            <w:tcW w:w="590" w:type="pct"/>
            <w:vAlign w:val="center"/>
          </w:tcPr>
          <w:p w:rsidR="00EE56C0" w:rsidRDefault="000F36A1">
            <w:pPr>
              <w:pStyle w:val="afa"/>
            </w:pPr>
            <w:r>
              <w:rPr>
                <w:rFonts w:hint="eastAsia"/>
              </w:rPr>
              <w:t>4</w:t>
            </w:r>
          </w:p>
        </w:tc>
        <w:tc>
          <w:tcPr>
            <w:tcW w:w="567" w:type="pct"/>
            <w:tcBorders>
              <w:right w:val="single" w:sz="4" w:space="0" w:color="auto"/>
            </w:tcBorders>
            <w:vAlign w:val="center"/>
          </w:tcPr>
          <w:p w:rsidR="00EE56C0" w:rsidRDefault="000F36A1">
            <w:pPr>
              <w:pStyle w:val="afa"/>
              <w:rPr>
                <w:b/>
                <w:u w:val="single"/>
              </w:rPr>
            </w:pPr>
            <w:r>
              <w:rPr>
                <w:rFonts w:hint="eastAsia"/>
                <w:b/>
                <w:u w:val="single"/>
              </w:rPr>
              <w:t>2.2</w:t>
            </w:r>
          </w:p>
        </w:tc>
        <w:tc>
          <w:tcPr>
            <w:tcW w:w="567" w:type="pct"/>
            <w:vAlign w:val="center"/>
          </w:tcPr>
          <w:p w:rsidR="00EE56C0" w:rsidRDefault="000F36A1">
            <w:pPr>
              <w:pStyle w:val="afa"/>
              <w:rPr>
                <w:b/>
                <w:u w:val="single"/>
              </w:rPr>
            </w:pPr>
            <w:r>
              <w:rPr>
                <w:rFonts w:hint="eastAsia"/>
                <w:b/>
                <w:u w:val="single"/>
              </w:rPr>
              <w:t>0.11</w:t>
            </w:r>
          </w:p>
        </w:tc>
        <w:tc>
          <w:tcPr>
            <w:tcW w:w="567" w:type="pct"/>
            <w:tcBorders>
              <w:right w:val="single" w:sz="4" w:space="0" w:color="auto"/>
            </w:tcBorders>
            <w:vAlign w:val="center"/>
          </w:tcPr>
          <w:p w:rsidR="00EE56C0" w:rsidRDefault="000F36A1">
            <w:pPr>
              <w:pStyle w:val="afa"/>
              <w:rPr>
                <w:b/>
                <w:u w:val="single"/>
              </w:rPr>
            </w:pPr>
            <w:r>
              <w:rPr>
                <w:rFonts w:hint="eastAsia"/>
                <w:b/>
                <w:u w:val="single"/>
              </w:rPr>
              <w:t>0.21</w:t>
            </w:r>
          </w:p>
        </w:tc>
        <w:tc>
          <w:tcPr>
            <w:tcW w:w="565" w:type="pct"/>
            <w:tcBorders>
              <w:right w:val="single" w:sz="4" w:space="0" w:color="auto"/>
            </w:tcBorders>
            <w:vAlign w:val="center"/>
          </w:tcPr>
          <w:p w:rsidR="00EE56C0" w:rsidRDefault="000F36A1">
            <w:pPr>
              <w:pStyle w:val="afa"/>
              <w:rPr>
                <w:b/>
                <w:u w:val="single"/>
              </w:rPr>
            </w:pPr>
            <w:r>
              <w:rPr>
                <w:rFonts w:hint="eastAsia"/>
                <w:b/>
                <w:u w:val="single"/>
              </w:rPr>
              <w:t>0.27</w:t>
            </w:r>
          </w:p>
        </w:tc>
        <w:tc>
          <w:tcPr>
            <w:tcW w:w="565" w:type="pct"/>
            <w:tcBorders>
              <w:right w:val="single" w:sz="4" w:space="0" w:color="auto"/>
            </w:tcBorders>
            <w:vAlign w:val="center"/>
          </w:tcPr>
          <w:p w:rsidR="00EE56C0" w:rsidRDefault="000F36A1">
            <w:pPr>
              <w:pStyle w:val="afa"/>
              <w:rPr>
                <w:b/>
                <w:u w:val="single"/>
              </w:rPr>
            </w:pPr>
            <w:r>
              <w:rPr>
                <w:rFonts w:hint="eastAsia"/>
                <w:b/>
                <w:u w:val="single"/>
              </w:rPr>
              <w:t>0.11</w:t>
            </w:r>
          </w:p>
        </w:tc>
      </w:tr>
      <w:tr w:rsidR="00EE56C0">
        <w:trPr>
          <w:trHeight w:val="340"/>
          <w:jc w:val="center"/>
        </w:trPr>
        <w:tc>
          <w:tcPr>
            <w:tcW w:w="519" w:type="pct"/>
            <w:vAlign w:val="center"/>
          </w:tcPr>
          <w:p w:rsidR="00EE56C0" w:rsidRDefault="000F36A1">
            <w:pPr>
              <w:pStyle w:val="afa"/>
            </w:pPr>
            <w:r>
              <w:rPr>
                <w:rFonts w:hint="eastAsia"/>
              </w:rPr>
              <w:t>临界量</w:t>
            </w:r>
          </w:p>
        </w:tc>
        <w:tc>
          <w:tcPr>
            <w:tcW w:w="324" w:type="pct"/>
            <w:tcBorders>
              <w:right w:val="single" w:sz="4" w:space="0" w:color="auto"/>
            </w:tcBorders>
            <w:vAlign w:val="center"/>
          </w:tcPr>
          <w:p w:rsidR="00EE56C0" w:rsidRDefault="000F36A1">
            <w:pPr>
              <w:pStyle w:val="afa"/>
            </w:pPr>
            <w:r>
              <w:rPr>
                <w:rFonts w:hint="eastAsia"/>
              </w:rPr>
              <w:t>/</w:t>
            </w:r>
          </w:p>
        </w:tc>
        <w:tc>
          <w:tcPr>
            <w:tcW w:w="373" w:type="pct"/>
            <w:vAlign w:val="center"/>
          </w:tcPr>
          <w:p w:rsidR="00EE56C0" w:rsidRDefault="000F36A1">
            <w:pPr>
              <w:pStyle w:val="afa"/>
              <w:rPr>
                <w:b/>
                <w:u w:val="single"/>
              </w:rPr>
            </w:pPr>
            <w:r>
              <w:rPr>
                <w:rFonts w:hint="eastAsia"/>
                <w:b/>
                <w:u w:val="single"/>
              </w:rPr>
              <w:t>2500</w:t>
            </w:r>
          </w:p>
        </w:tc>
        <w:tc>
          <w:tcPr>
            <w:tcW w:w="364" w:type="pct"/>
            <w:vAlign w:val="center"/>
          </w:tcPr>
          <w:p w:rsidR="00EE56C0" w:rsidRDefault="000F36A1">
            <w:pPr>
              <w:pStyle w:val="afa"/>
            </w:pPr>
            <w:r>
              <w:rPr>
                <w:rFonts w:hint="eastAsia"/>
              </w:rPr>
              <w:t>/</w:t>
            </w:r>
          </w:p>
        </w:tc>
        <w:tc>
          <w:tcPr>
            <w:tcW w:w="590" w:type="pct"/>
            <w:vAlign w:val="center"/>
          </w:tcPr>
          <w:p w:rsidR="00EE56C0" w:rsidRDefault="000F36A1">
            <w:pPr>
              <w:pStyle w:val="afa"/>
            </w:pPr>
            <w:r>
              <w:rPr>
                <w:rFonts w:hint="eastAsia"/>
              </w:rPr>
              <w:t>/</w:t>
            </w:r>
          </w:p>
        </w:tc>
        <w:tc>
          <w:tcPr>
            <w:tcW w:w="567" w:type="pct"/>
            <w:tcBorders>
              <w:right w:val="single" w:sz="4" w:space="0" w:color="auto"/>
            </w:tcBorders>
            <w:vAlign w:val="center"/>
          </w:tcPr>
          <w:p w:rsidR="00EE56C0" w:rsidRDefault="000F36A1">
            <w:pPr>
              <w:pStyle w:val="afa"/>
              <w:rPr>
                <w:b/>
                <w:u w:val="single"/>
              </w:rPr>
            </w:pPr>
            <w:r>
              <w:rPr>
                <w:rFonts w:hint="eastAsia"/>
                <w:b/>
                <w:u w:val="single"/>
              </w:rPr>
              <w:t>5</w:t>
            </w:r>
          </w:p>
        </w:tc>
        <w:tc>
          <w:tcPr>
            <w:tcW w:w="567" w:type="pct"/>
            <w:vAlign w:val="center"/>
          </w:tcPr>
          <w:p w:rsidR="00EE56C0" w:rsidRDefault="000F36A1">
            <w:pPr>
              <w:pStyle w:val="afa"/>
              <w:rPr>
                <w:b/>
                <w:u w:val="single"/>
              </w:rPr>
            </w:pPr>
            <w:r>
              <w:rPr>
                <w:rFonts w:hint="eastAsia"/>
                <w:b/>
                <w:u w:val="single"/>
              </w:rPr>
              <w:t>10</w:t>
            </w:r>
          </w:p>
        </w:tc>
        <w:tc>
          <w:tcPr>
            <w:tcW w:w="567" w:type="pct"/>
            <w:tcBorders>
              <w:right w:val="single" w:sz="4" w:space="0" w:color="auto"/>
            </w:tcBorders>
            <w:vAlign w:val="center"/>
          </w:tcPr>
          <w:p w:rsidR="00EE56C0" w:rsidRDefault="000F36A1">
            <w:pPr>
              <w:pStyle w:val="afa"/>
              <w:rPr>
                <w:b/>
                <w:u w:val="single"/>
              </w:rPr>
            </w:pPr>
            <w:r>
              <w:rPr>
                <w:rFonts w:hint="eastAsia"/>
                <w:b/>
                <w:u w:val="single"/>
              </w:rPr>
              <w:t>10</w:t>
            </w:r>
          </w:p>
        </w:tc>
        <w:tc>
          <w:tcPr>
            <w:tcW w:w="565" w:type="pct"/>
            <w:tcBorders>
              <w:right w:val="single" w:sz="4" w:space="0" w:color="auto"/>
            </w:tcBorders>
            <w:vAlign w:val="center"/>
          </w:tcPr>
          <w:p w:rsidR="00EE56C0" w:rsidRDefault="000F36A1">
            <w:pPr>
              <w:pStyle w:val="afa"/>
              <w:rPr>
                <w:b/>
                <w:u w:val="single"/>
              </w:rPr>
            </w:pPr>
            <w:r>
              <w:rPr>
                <w:rFonts w:hint="eastAsia"/>
                <w:b/>
                <w:u w:val="single"/>
              </w:rPr>
              <w:t>10</w:t>
            </w:r>
          </w:p>
        </w:tc>
        <w:tc>
          <w:tcPr>
            <w:tcW w:w="565" w:type="pct"/>
            <w:tcBorders>
              <w:right w:val="single" w:sz="4" w:space="0" w:color="auto"/>
            </w:tcBorders>
            <w:vAlign w:val="center"/>
          </w:tcPr>
          <w:p w:rsidR="00EE56C0" w:rsidRDefault="000F36A1">
            <w:pPr>
              <w:pStyle w:val="afa"/>
              <w:rPr>
                <w:b/>
                <w:u w:val="single"/>
              </w:rPr>
            </w:pPr>
            <w:r>
              <w:rPr>
                <w:rFonts w:hint="eastAsia"/>
                <w:b/>
                <w:u w:val="single"/>
              </w:rPr>
              <w:t>10</w:t>
            </w:r>
          </w:p>
        </w:tc>
      </w:tr>
    </w:tbl>
    <w:p w:rsidR="00EE56C0" w:rsidRDefault="000F36A1">
      <w:pPr>
        <w:ind w:firstLine="482"/>
        <w:rPr>
          <w:b/>
          <w:u w:val="single"/>
        </w:rPr>
      </w:pPr>
      <w:r>
        <w:rPr>
          <w:rFonts w:hint="eastAsia"/>
          <w:b/>
          <w:u w:val="single"/>
        </w:rPr>
        <w:t>*</w:t>
      </w:r>
      <w:r>
        <w:rPr>
          <w:rFonts w:hint="eastAsia"/>
          <w:b/>
          <w:u w:val="single"/>
        </w:rPr>
        <w:t>：聚酯底漆中</w:t>
      </w:r>
      <w:r w:rsidR="007B2328" w:rsidRPr="007B2328">
        <w:rPr>
          <w:rFonts w:hint="eastAsia"/>
          <w:b/>
          <w:u w:val="single"/>
        </w:rPr>
        <w:t>芳烃</w:t>
      </w:r>
      <w:r>
        <w:rPr>
          <w:rFonts w:hint="eastAsia"/>
          <w:b/>
          <w:u w:val="single"/>
        </w:rPr>
        <w:t>溶剂油含量为</w:t>
      </w:r>
      <w:r>
        <w:rPr>
          <w:rFonts w:hint="eastAsia"/>
          <w:b/>
          <w:u w:val="single"/>
        </w:rPr>
        <w:t>10%</w:t>
      </w:r>
      <w:r>
        <w:rPr>
          <w:rFonts w:hint="eastAsia"/>
          <w:b/>
          <w:u w:val="single"/>
        </w:rPr>
        <w:t>，将溶剂油含量折合后进行对比分析。</w:t>
      </w:r>
    </w:p>
    <w:p w:rsidR="00EE56C0" w:rsidRDefault="000F36A1">
      <w:pPr>
        <w:ind w:firstLine="482"/>
        <w:rPr>
          <w:b/>
          <w:u w:val="single"/>
        </w:rPr>
      </w:pPr>
      <w:r>
        <w:rPr>
          <w:rFonts w:hint="eastAsia"/>
          <w:b/>
          <w:u w:val="single"/>
        </w:rPr>
        <w:t>聚酰胺酰亚胺漆面漆中</w:t>
      </w:r>
      <w:r>
        <w:rPr>
          <w:rFonts w:hint="eastAsia"/>
          <w:b/>
          <w:u w:val="single"/>
        </w:rPr>
        <w:t>NMP</w:t>
      </w:r>
      <w:r>
        <w:rPr>
          <w:rFonts w:hint="eastAsia"/>
          <w:b/>
          <w:u w:val="single"/>
        </w:rPr>
        <w:t>、</w:t>
      </w:r>
      <w:r>
        <w:rPr>
          <w:rFonts w:hint="eastAsia"/>
          <w:b/>
          <w:u w:val="single"/>
        </w:rPr>
        <w:t>N,N-</w:t>
      </w:r>
      <w:r>
        <w:rPr>
          <w:rFonts w:hint="eastAsia"/>
          <w:b/>
          <w:u w:val="single"/>
        </w:rPr>
        <w:t>二甲基乙酰胺、</w:t>
      </w:r>
      <w:r>
        <w:rPr>
          <w:rFonts w:hint="eastAsia"/>
          <w:b/>
          <w:u w:val="single"/>
        </w:rPr>
        <w:t>N,N-</w:t>
      </w:r>
      <w:r>
        <w:rPr>
          <w:rFonts w:hint="eastAsia"/>
          <w:b/>
          <w:u w:val="single"/>
        </w:rPr>
        <w:t>二甲基甲酰胺含量为</w:t>
      </w:r>
      <w:r>
        <w:rPr>
          <w:rFonts w:hint="eastAsia"/>
          <w:b/>
          <w:u w:val="single"/>
        </w:rPr>
        <w:t>55%</w:t>
      </w:r>
      <w:r>
        <w:rPr>
          <w:rFonts w:hint="eastAsia"/>
          <w:b/>
          <w:u w:val="single"/>
        </w:rPr>
        <w:t>，按最不利因素考虑，</w:t>
      </w:r>
      <w:r>
        <w:rPr>
          <w:rFonts w:hint="eastAsia"/>
          <w:b/>
          <w:u w:val="single"/>
        </w:rPr>
        <w:t>N,N-</w:t>
      </w:r>
      <w:r>
        <w:rPr>
          <w:rFonts w:hint="eastAsia"/>
          <w:b/>
          <w:u w:val="single"/>
        </w:rPr>
        <w:t>二甲基甲酰胺含量按</w:t>
      </w:r>
      <w:r>
        <w:rPr>
          <w:rFonts w:hint="eastAsia"/>
          <w:b/>
          <w:u w:val="single"/>
        </w:rPr>
        <w:t>55%</w:t>
      </w:r>
      <w:r>
        <w:rPr>
          <w:rFonts w:hint="eastAsia"/>
          <w:b/>
          <w:u w:val="single"/>
        </w:rPr>
        <w:t>折合后进行对比分析。二甲苯含量为</w:t>
      </w:r>
      <w:r>
        <w:rPr>
          <w:rFonts w:hint="eastAsia"/>
          <w:b/>
          <w:u w:val="single"/>
        </w:rPr>
        <w:t>15%</w:t>
      </w:r>
      <w:r>
        <w:rPr>
          <w:rFonts w:hint="eastAsia"/>
          <w:b/>
          <w:u w:val="single"/>
        </w:rPr>
        <w:t>。</w:t>
      </w:r>
    </w:p>
    <w:p w:rsidR="00EE56C0" w:rsidRDefault="000F36A1">
      <w:pPr>
        <w:ind w:firstLine="482"/>
        <w:rPr>
          <w:b/>
          <w:u w:val="single"/>
        </w:rPr>
      </w:pPr>
      <w:r>
        <w:rPr>
          <w:rFonts w:hint="eastAsia"/>
          <w:b/>
          <w:u w:val="single"/>
        </w:rPr>
        <w:t>丝包专用漆中各组分含量为甲苯</w:t>
      </w:r>
      <w:r>
        <w:rPr>
          <w:rFonts w:hint="eastAsia"/>
          <w:b/>
          <w:u w:val="single"/>
        </w:rPr>
        <w:t>15%</w:t>
      </w:r>
      <w:r>
        <w:rPr>
          <w:rFonts w:hint="eastAsia"/>
          <w:b/>
          <w:u w:val="single"/>
        </w:rPr>
        <w:t>、二甲苯为</w:t>
      </w:r>
      <w:r>
        <w:rPr>
          <w:rFonts w:hint="eastAsia"/>
          <w:b/>
          <w:u w:val="single"/>
        </w:rPr>
        <w:t>15%</w:t>
      </w:r>
      <w:r>
        <w:rPr>
          <w:rFonts w:hint="eastAsia"/>
          <w:b/>
          <w:u w:val="single"/>
        </w:rPr>
        <w:t>、丁醇为</w:t>
      </w:r>
      <w:r>
        <w:rPr>
          <w:rFonts w:hint="eastAsia"/>
          <w:b/>
          <w:u w:val="single"/>
        </w:rPr>
        <w:t>5%</w:t>
      </w:r>
      <w:r>
        <w:rPr>
          <w:rFonts w:hint="eastAsia"/>
          <w:b/>
          <w:u w:val="single"/>
        </w:rPr>
        <w:t>、苯为</w:t>
      </w:r>
      <w:r>
        <w:rPr>
          <w:rFonts w:hint="eastAsia"/>
          <w:b/>
          <w:u w:val="single"/>
        </w:rPr>
        <w:t>5%</w:t>
      </w:r>
      <w:r>
        <w:rPr>
          <w:rFonts w:hint="eastAsia"/>
          <w:b/>
          <w:u w:val="single"/>
        </w:rPr>
        <w:t>。将各组分含量折合后进行对比分析。</w:t>
      </w:r>
    </w:p>
    <w:p w:rsidR="00EE56C0" w:rsidRDefault="000F36A1">
      <w:pPr>
        <w:ind w:firstLine="480"/>
      </w:pPr>
      <w:r>
        <w:rPr>
          <w:rFonts w:hint="eastAsia"/>
        </w:rPr>
        <w:t>（</w:t>
      </w:r>
      <w:r>
        <w:rPr>
          <w:rFonts w:hint="eastAsia"/>
        </w:rPr>
        <w:t>2</w:t>
      </w:r>
      <w:r>
        <w:rPr>
          <w:rFonts w:hint="eastAsia"/>
        </w:rPr>
        <w:t>）环境敏感目标调查</w:t>
      </w:r>
    </w:p>
    <w:p w:rsidR="00EE56C0" w:rsidRDefault="000F36A1">
      <w:pPr>
        <w:ind w:firstLine="480"/>
      </w:pPr>
      <w:r>
        <w:rPr>
          <w:rFonts w:hint="eastAsia"/>
        </w:rPr>
        <w:t>本项目周边环境敏感目标的相关信息如下：</w:t>
      </w:r>
    </w:p>
    <w:p w:rsidR="00EE56C0" w:rsidRDefault="000F36A1">
      <w:pPr>
        <w:pStyle w:val="aff8"/>
        <w:ind w:leftChars="-118" w:left="-283"/>
      </w:pPr>
      <w:r>
        <w:rPr>
          <w:b w:val="0"/>
          <w:noProof/>
        </w:rPr>
        <w:lastRenderedPageBreak/>
        <w:drawing>
          <wp:inline distT="0" distB="0" distL="0" distR="0">
            <wp:extent cx="5278120" cy="4122420"/>
            <wp:effectExtent l="19050" t="0" r="0" b="0"/>
            <wp:docPr id="16" name="图片 42" descr="H:\我的资料\0正在编制\1环评及验收\0已完成\1华洋电工报告书\华洋预测\2敏感点图5k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2" descr="H:\我的资料\0正在编制\1环评及验收\0已完成\1华洋电工报告书\华洋预测\2敏感点图5km.jpg"/>
                    <pic:cNvPicPr>
                      <a:picLocks noChangeAspect="1" noChangeArrowheads="1"/>
                    </pic:cNvPicPr>
                  </pic:nvPicPr>
                  <pic:blipFill>
                    <a:blip r:embed="rId23"/>
                    <a:srcRect/>
                    <a:stretch>
                      <a:fillRect/>
                    </a:stretch>
                  </pic:blipFill>
                  <pic:spPr>
                    <a:xfrm>
                      <a:off x="0" y="0"/>
                      <a:ext cx="5278120" cy="4122584"/>
                    </a:xfrm>
                    <a:prstGeom prst="rect">
                      <a:avLst/>
                    </a:prstGeom>
                    <a:noFill/>
                    <a:ln w="9525">
                      <a:noFill/>
                      <a:miter lim="800000"/>
                      <a:headEnd/>
                      <a:tailEnd/>
                    </a:ln>
                  </pic:spPr>
                </pic:pic>
              </a:graphicData>
            </a:graphic>
          </wp:inline>
        </w:drawing>
      </w:r>
    </w:p>
    <w:p w:rsidR="00EE56C0" w:rsidRDefault="000F36A1">
      <w:pPr>
        <w:pStyle w:val="aff8"/>
        <w:ind w:leftChars="-118" w:left="-283"/>
        <w:rPr>
          <w:rFonts w:eastAsia="黑体"/>
        </w:rPr>
      </w:pPr>
      <w:r>
        <w:rPr>
          <w:rFonts w:eastAsia="黑体" w:hint="eastAsia"/>
        </w:rPr>
        <w:t>图</w:t>
      </w:r>
      <w:r>
        <w:rPr>
          <w:rFonts w:eastAsia="黑体" w:hint="eastAsia"/>
        </w:rPr>
        <w:t>5-2</w:t>
      </w:r>
      <w:r>
        <w:rPr>
          <w:rFonts w:eastAsia="黑体"/>
        </w:rPr>
        <w:t xml:space="preserve">  </w:t>
      </w:r>
      <w:r>
        <w:rPr>
          <w:rFonts w:eastAsia="黑体"/>
        </w:rPr>
        <w:t>本项目</w:t>
      </w:r>
      <w:r>
        <w:rPr>
          <w:rFonts w:eastAsia="黑体" w:hint="eastAsia"/>
        </w:rPr>
        <w:t>四周</w:t>
      </w:r>
      <w:r>
        <w:rPr>
          <w:rFonts w:eastAsia="黑体"/>
        </w:rPr>
        <w:t>环境敏感点示意图</w:t>
      </w:r>
    </w:p>
    <w:p w:rsidR="00EE56C0" w:rsidRDefault="000F36A1">
      <w:pPr>
        <w:pStyle w:val="afd"/>
        <w:spacing w:before="120" w:after="120"/>
        <w:ind w:firstLine="482"/>
      </w:pPr>
      <w:r>
        <w:t>表</w:t>
      </w:r>
      <w:r>
        <w:rPr>
          <w:rFonts w:hint="eastAsia"/>
        </w:rPr>
        <w:t>5-</w:t>
      </w:r>
      <w:r w:rsidR="005767FB">
        <w:rPr>
          <w:rFonts w:hint="eastAsia"/>
        </w:rPr>
        <w:t xml:space="preserve">55           </w:t>
      </w:r>
      <w:r>
        <w:t>评价区域敏感点情况</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tblPr>
      <w:tblGrid>
        <w:gridCol w:w="538"/>
        <w:gridCol w:w="1984"/>
        <w:gridCol w:w="711"/>
        <w:gridCol w:w="849"/>
        <w:gridCol w:w="1134"/>
        <w:gridCol w:w="1561"/>
        <w:gridCol w:w="943"/>
        <w:gridCol w:w="809"/>
      </w:tblGrid>
      <w:tr w:rsidR="00EE56C0">
        <w:trPr>
          <w:trHeight w:val="425"/>
          <w:tblHeader/>
          <w:jc w:val="center"/>
        </w:trPr>
        <w:tc>
          <w:tcPr>
            <w:tcW w:w="315" w:type="pct"/>
            <w:vMerge w:val="restart"/>
            <w:vAlign w:val="center"/>
          </w:tcPr>
          <w:p w:rsidR="00EE56C0" w:rsidRDefault="00340837">
            <w:pPr>
              <w:pStyle w:val="aff1"/>
              <w:rPr>
                <w:color w:val="auto"/>
              </w:rPr>
            </w:pPr>
            <w:r>
              <w:rPr>
                <w:color w:val="auto"/>
              </w:rPr>
              <w:pict>
                <v:shape id="_x0000_s2251" type="#_x0000_t202" style="position:absolute;left:0;text-align:left;margin-left:39.35pt;margin-top:-192.15pt;width:21.65pt;height:19.65pt;z-index:251714048" o:gfxdata="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" filled="f" stroked="f" strokeweight="1pt">
                  <v:textbox>
                    <w:txbxContent>
                      <w:p w:rsidR="009C6BD9" w:rsidRDefault="009C6BD9">
                        <w:pPr>
                          <w:ind w:firstLine="482"/>
                          <w:rPr>
                            <w:b/>
                            <w:color w:val="FF0000"/>
                            <w:szCs w:val="21"/>
                          </w:rPr>
                        </w:pPr>
                        <w:r>
                          <w:rPr>
                            <w:rFonts w:hint="eastAsia"/>
                            <w:b/>
                            <w:color w:val="FF0000"/>
                            <w:szCs w:val="21"/>
                          </w:rPr>
                          <w:t>3</w:t>
                        </w:r>
                      </w:p>
                    </w:txbxContent>
                  </v:textbox>
                </v:shape>
              </w:pict>
            </w:r>
            <w:r w:rsidR="000F36A1">
              <w:rPr>
                <w:rFonts w:hAnsi="宋体"/>
                <w:color w:val="auto"/>
              </w:rPr>
              <w:t>序列</w:t>
            </w:r>
          </w:p>
        </w:tc>
        <w:tc>
          <w:tcPr>
            <w:tcW w:w="1163" w:type="pct"/>
            <w:vMerge w:val="restart"/>
            <w:tcBorders>
              <w:right w:val="single" w:sz="4" w:space="0" w:color="auto"/>
            </w:tcBorders>
            <w:vAlign w:val="center"/>
          </w:tcPr>
          <w:p w:rsidR="00EE56C0" w:rsidRDefault="000F36A1">
            <w:pPr>
              <w:pStyle w:val="aff1"/>
              <w:rPr>
                <w:color w:val="auto"/>
              </w:rPr>
            </w:pPr>
            <w:r>
              <w:rPr>
                <w:rFonts w:hAnsi="宋体"/>
                <w:color w:val="auto"/>
              </w:rPr>
              <w:t>保护目标</w:t>
            </w:r>
          </w:p>
        </w:tc>
        <w:tc>
          <w:tcPr>
            <w:tcW w:w="915" w:type="pct"/>
            <w:gridSpan w:val="2"/>
            <w:tcBorders>
              <w:left w:val="single" w:sz="4" w:space="0" w:color="auto"/>
            </w:tcBorders>
            <w:vAlign w:val="center"/>
          </w:tcPr>
          <w:p w:rsidR="00EE56C0" w:rsidRDefault="000F36A1">
            <w:pPr>
              <w:pStyle w:val="aff1"/>
              <w:rPr>
                <w:color w:val="auto"/>
              </w:rPr>
            </w:pPr>
            <w:r>
              <w:rPr>
                <w:rFonts w:hAnsi="宋体"/>
                <w:color w:val="auto"/>
              </w:rPr>
              <w:t>坐标（</w:t>
            </w:r>
            <w:r>
              <w:rPr>
                <w:color w:val="auto"/>
              </w:rPr>
              <w:t>m</w:t>
            </w:r>
            <w:r>
              <w:rPr>
                <w:rFonts w:hAnsi="宋体"/>
                <w:color w:val="auto"/>
              </w:rPr>
              <w:t>）</w:t>
            </w:r>
          </w:p>
        </w:tc>
        <w:tc>
          <w:tcPr>
            <w:tcW w:w="665" w:type="pct"/>
            <w:vMerge w:val="restart"/>
            <w:tcBorders>
              <w:right w:val="single" w:sz="4" w:space="0" w:color="auto"/>
            </w:tcBorders>
            <w:vAlign w:val="center"/>
          </w:tcPr>
          <w:p w:rsidR="00EE56C0" w:rsidRDefault="000F36A1">
            <w:pPr>
              <w:pStyle w:val="aff1"/>
              <w:rPr>
                <w:color w:val="auto"/>
              </w:rPr>
            </w:pPr>
            <w:r>
              <w:rPr>
                <w:rFonts w:hAnsi="宋体"/>
                <w:color w:val="auto"/>
              </w:rPr>
              <w:t>保护对象</w:t>
            </w:r>
          </w:p>
        </w:tc>
        <w:tc>
          <w:tcPr>
            <w:tcW w:w="915" w:type="pct"/>
            <w:vMerge w:val="restart"/>
            <w:tcBorders>
              <w:left w:val="single" w:sz="4" w:space="0" w:color="auto"/>
              <w:right w:val="single" w:sz="4" w:space="0" w:color="auto"/>
            </w:tcBorders>
            <w:vAlign w:val="center"/>
          </w:tcPr>
          <w:p w:rsidR="00EE56C0" w:rsidRDefault="000F36A1">
            <w:pPr>
              <w:pStyle w:val="aff1"/>
              <w:rPr>
                <w:color w:val="auto"/>
              </w:rPr>
            </w:pPr>
            <w:r>
              <w:rPr>
                <w:rFonts w:hAnsi="宋体"/>
                <w:color w:val="auto"/>
              </w:rPr>
              <w:t>保护内容</w:t>
            </w:r>
          </w:p>
        </w:tc>
        <w:tc>
          <w:tcPr>
            <w:tcW w:w="553" w:type="pct"/>
            <w:vMerge w:val="restart"/>
            <w:tcBorders>
              <w:left w:val="single" w:sz="4" w:space="0" w:color="auto"/>
            </w:tcBorders>
            <w:vAlign w:val="center"/>
          </w:tcPr>
          <w:p w:rsidR="00EE56C0" w:rsidRDefault="000F36A1">
            <w:pPr>
              <w:pStyle w:val="aff1"/>
              <w:rPr>
                <w:color w:val="auto"/>
              </w:rPr>
            </w:pPr>
            <w:r>
              <w:rPr>
                <w:rFonts w:hAnsi="宋体"/>
                <w:color w:val="auto"/>
              </w:rPr>
              <w:t>相对</w:t>
            </w:r>
          </w:p>
          <w:p w:rsidR="00EE56C0" w:rsidRDefault="000F36A1">
            <w:pPr>
              <w:pStyle w:val="aff1"/>
              <w:rPr>
                <w:color w:val="auto"/>
              </w:rPr>
            </w:pPr>
            <w:r>
              <w:rPr>
                <w:rFonts w:hAnsi="宋体"/>
                <w:color w:val="auto"/>
              </w:rPr>
              <w:t>方位</w:t>
            </w:r>
          </w:p>
        </w:tc>
        <w:tc>
          <w:tcPr>
            <w:tcW w:w="475" w:type="pct"/>
            <w:vMerge w:val="restart"/>
            <w:vAlign w:val="center"/>
          </w:tcPr>
          <w:p w:rsidR="00EE56C0" w:rsidRDefault="000F36A1">
            <w:pPr>
              <w:pStyle w:val="aff1"/>
              <w:rPr>
                <w:color w:val="auto"/>
              </w:rPr>
            </w:pPr>
            <w:r>
              <w:rPr>
                <w:rFonts w:hAnsi="宋体"/>
                <w:color w:val="auto"/>
              </w:rPr>
              <w:t>距离（</w:t>
            </w:r>
            <w:r>
              <w:rPr>
                <w:color w:val="auto"/>
              </w:rPr>
              <w:t>m</w:t>
            </w:r>
            <w:r>
              <w:rPr>
                <w:rFonts w:hAnsi="宋体"/>
                <w:color w:val="auto"/>
              </w:rPr>
              <w:t>）</w:t>
            </w:r>
          </w:p>
        </w:tc>
      </w:tr>
      <w:tr w:rsidR="00EE56C0">
        <w:trPr>
          <w:trHeight w:val="425"/>
          <w:tblHeader/>
          <w:jc w:val="center"/>
        </w:trPr>
        <w:tc>
          <w:tcPr>
            <w:tcW w:w="315" w:type="pct"/>
            <w:vMerge/>
            <w:vAlign w:val="center"/>
          </w:tcPr>
          <w:p w:rsidR="00EE56C0" w:rsidRDefault="00EE56C0">
            <w:pPr>
              <w:pStyle w:val="afa"/>
            </w:pPr>
          </w:p>
        </w:tc>
        <w:tc>
          <w:tcPr>
            <w:tcW w:w="1163" w:type="pct"/>
            <w:vMerge/>
            <w:tcBorders>
              <w:right w:val="single" w:sz="4" w:space="0" w:color="auto"/>
            </w:tcBorders>
            <w:vAlign w:val="center"/>
          </w:tcPr>
          <w:p w:rsidR="00EE56C0" w:rsidRDefault="00EE56C0">
            <w:pPr>
              <w:pStyle w:val="afa"/>
            </w:pPr>
          </w:p>
        </w:tc>
        <w:tc>
          <w:tcPr>
            <w:tcW w:w="417" w:type="pct"/>
            <w:tcBorders>
              <w:left w:val="single" w:sz="4" w:space="0" w:color="auto"/>
              <w:right w:val="single" w:sz="4" w:space="0" w:color="auto"/>
            </w:tcBorders>
            <w:vAlign w:val="center"/>
          </w:tcPr>
          <w:p w:rsidR="00EE56C0" w:rsidRDefault="000F36A1">
            <w:pPr>
              <w:pStyle w:val="aff1"/>
              <w:rPr>
                <w:color w:val="auto"/>
              </w:rPr>
            </w:pPr>
            <w:r>
              <w:rPr>
                <w:color w:val="auto"/>
              </w:rPr>
              <w:t>X</w:t>
            </w:r>
          </w:p>
        </w:tc>
        <w:tc>
          <w:tcPr>
            <w:tcW w:w="498" w:type="pct"/>
            <w:tcBorders>
              <w:left w:val="single" w:sz="4" w:space="0" w:color="auto"/>
            </w:tcBorders>
            <w:vAlign w:val="center"/>
          </w:tcPr>
          <w:p w:rsidR="00EE56C0" w:rsidRDefault="000F36A1">
            <w:pPr>
              <w:pStyle w:val="aff1"/>
              <w:rPr>
                <w:color w:val="auto"/>
              </w:rPr>
            </w:pPr>
            <w:r>
              <w:rPr>
                <w:color w:val="auto"/>
              </w:rPr>
              <w:t>Y</w:t>
            </w:r>
          </w:p>
        </w:tc>
        <w:tc>
          <w:tcPr>
            <w:tcW w:w="665" w:type="pct"/>
            <w:vMerge/>
            <w:tcBorders>
              <w:right w:val="single" w:sz="4" w:space="0" w:color="auto"/>
            </w:tcBorders>
            <w:vAlign w:val="center"/>
          </w:tcPr>
          <w:p w:rsidR="00EE56C0" w:rsidRDefault="00EE56C0">
            <w:pPr>
              <w:pStyle w:val="afa"/>
            </w:pPr>
          </w:p>
        </w:tc>
        <w:tc>
          <w:tcPr>
            <w:tcW w:w="915" w:type="pct"/>
            <w:vMerge/>
            <w:tcBorders>
              <w:left w:val="single" w:sz="4" w:space="0" w:color="auto"/>
              <w:right w:val="single" w:sz="4" w:space="0" w:color="auto"/>
            </w:tcBorders>
            <w:vAlign w:val="center"/>
          </w:tcPr>
          <w:p w:rsidR="00EE56C0" w:rsidRDefault="00EE56C0">
            <w:pPr>
              <w:pStyle w:val="afa"/>
            </w:pPr>
          </w:p>
        </w:tc>
        <w:tc>
          <w:tcPr>
            <w:tcW w:w="553" w:type="pct"/>
            <w:vMerge/>
            <w:tcBorders>
              <w:left w:val="single" w:sz="4" w:space="0" w:color="auto"/>
            </w:tcBorders>
            <w:vAlign w:val="center"/>
          </w:tcPr>
          <w:p w:rsidR="00EE56C0" w:rsidRDefault="00EE56C0">
            <w:pPr>
              <w:pStyle w:val="afa"/>
            </w:pPr>
          </w:p>
        </w:tc>
        <w:tc>
          <w:tcPr>
            <w:tcW w:w="475" w:type="pct"/>
            <w:vMerge/>
            <w:vAlign w:val="center"/>
          </w:tcPr>
          <w:p w:rsidR="00EE56C0" w:rsidRDefault="00EE56C0">
            <w:pPr>
              <w:pStyle w:val="afa"/>
            </w:pPr>
          </w:p>
        </w:tc>
      </w:tr>
      <w:tr w:rsidR="00EE56C0">
        <w:trPr>
          <w:trHeight w:val="425"/>
          <w:jc w:val="center"/>
        </w:trPr>
        <w:tc>
          <w:tcPr>
            <w:tcW w:w="315" w:type="pct"/>
            <w:vAlign w:val="center"/>
          </w:tcPr>
          <w:p w:rsidR="00EE56C0" w:rsidRDefault="000F36A1">
            <w:pPr>
              <w:pStyle w:val="afa"/>
            </w:pPr>
            <w:r>
              <w:t>1</w:t>
            </w:r>
          </w:p>
        </w:tc>
        <w:tc>
          <w:tcPr>
            <w:tcW w:w="1163" w:type="pct"/>
            <w:tcBorders>
              <w:right w:val="single" w:sz="4" w:space="0" w:color="auto"/>
            </w:tcBorders>
            <w:vAlign w:val="center"/>
          </w:tcPr>
          <w:p w:rsidR="00EE56C0" w:rsidRDefault="000F36A1">
            <w:pPr>
              <w:pStyle w:val="afa"/>
              <w:rPr>
                <w:b/>
              </w:rPr>
            </w:pPr>
            <w:r>
              <w:rPr>
                <w:rFonts w:hAnsi="宋体" w:hint="eastAsia"/>
              </w:rPr>
              <w:t>南王庄村</w:t>
            </w:r>
          </w:p>
        </w:tc>
        <w:tc>
          <w:tcPr>
            <w:tcW w:w="417" w:type="pct"/>
            <w:tcBorders>
              <w:left w:val="single" w:sz="4" w:space="0" w:color="auto"/>
              <w:right w:val="single" w:sz="4" w:space="0" w:color="auto"/>
            </w:tcBorders>
            <w:vAlign w:val="center"/>
          </w:tcPr>
          <w:p w:rsidR="00EE56C0" w:rsidRDefault="000F36A1">
            <w:pPr>
              <w:pStyle w:val="afa"/>
            </w:pPr>
            <w:r>
              <w:t>365</w:t>
            </w:r>
          </w:p>
        </w:tc>
        <w:tc>
          <w:tcPr>
            <w:tcW w:w="498" w:type="pct"/>
            <w:tcBorders>
              <w:left w:val="single" w:sz="4" w:space="0" w:color="auto"/>
            </w:tcBorders>
            <w:vAlign w:val="center"/>
          </w:tcPr>
          <w:p w:rsidR="00EE56C0" w:rsidRDefault="000F36A1">
            <w:pPr>
              <w:pStyle w:val="afa"/>
            </w:pPr>
            <w:r>
              <w:t>-1006</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pPr>
            <w:r>
              <w:rPr>
                <w:rFonts w:hint="eastAsia"/>
              </w:rPr>
              <w:t>东南</w:t>
            </w:r>
          </w:p>
        </w:tc>
        <w:tc>
          <w:tcPr>
            <w:tcW w:w="475" w:type="pct"/>
            <w:vAlign w:val="center"/>
          </w:tcPr>
          <w:p w:rsidR="00EE56C0" w:rsidRDefault="000F36A1">
            <w:pPr>
              <w:pStyle w:val="afa"/>
            </w:pPr>
            <w:r>
              <w:rPr>
                <w:rFonts w:hint="eastAsia"/>
              </w:rPr>
              <w:t>850</w:t>
            </w:r>
          </w:p>
        </w:tc>
      </w:tr>
      <w:tr w:rsidR="00EE56C0">
        <w:trPr>
          <w:trHeight w:val="425"/>
          <w:jc w:val="center"/>
        </w:trPr>
        <w:tc>
          <w:tcPr>
            <w:tcW w:w="315" w:type="pct"/>
            <w:vAlign w:val="center"/>
          </w:tcPr>
          <w:p w:rsidR="00EE56C0" w:rsidRDefault="000F36A1">
            <w:pPr>
              <w:pStyle w:val="afa"/>
            </w:pPr>
            <w:r>
              <w:t>2</w:t>
            </w:r>
          </w:p>
        </w:tc>
        <w:tc>
          <w:tcPr>
            <w:tcW w:w="1163" w:type="pct"/>
            <w:tcBorders>
              <w:right w:val="single" w:sz="4" w:space="0" w:color="auto"/>
            </w:tcBorders>
            <w:vAlign w:val="center"/>
          </w:tcPr>
          <w:p w:rsidR="00EE56C0" w:rsidRDefault="000F36A1">
            <w:pPr>
              <w:pStyle w:val="afa"/>
            </w:pPr>
            <w:r>
              <w:rPr>
                <w:rFonts w:hAnsi="宋体" w:hint="eastAsia"/>
              </w:rPr>
              <w:t>刘店村</w:t>
            </w:r>
          </w:p>
        </w:tc>
        <w:tc>
          <w:tcPr>
            <w:tcW w:w="417" w:type="pct"/>
            <w:tcBorders>
              <w:left w:val="single" w:sz="4" w:space="0" w:color="auto"/>
              <w:right w:val="single" w:sz="4" w:space="0" w:color="auto"/>
            </w:tcBorders>
            <w:vAlign w:val="center"/>
          </w:tcPr>
          <w:p w:rsidR="00EE56C0" w:rsidRDefault="000F36A1">
            <w:pPr>
              <w:pStyle w:val="afa"/>
            </w:pPr>
            <w:r>
              <w:t>1260</w:t>
            </w:r>
          </w:p>
        </w:tc>
        <w:tc>
          <w:tcPr>
            <w:tcW w:w="498" w:type="pct"/>
            <w:tcBorders>
              <w:left w:val="single" w:sz="4" w:space="0" w:color="auto"/>
            </w:tcBorders>
            <w:vAlign w:val="center"/>
          </w:tcPr>
          <w:p w:rsidR="00EE56C0" w:rsidRDefault="000F36A1">
            <w:pPr>
              <w:pStyle w:val="afa"/>
            </w:pPr>
            <w:r>
              <w:t>-1131</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pPr>
            <w:r>
              <w:rPr>
                <w:rFonts w:hint="eastAsia"/>
              </w:rPr>
              <w:t>东南</w:t>
            </w:r>
          </w:p>
        </w:tc>
        <w:tc>
          <w:tcPr>
            <w:tcW w:w="475" w:type="pct"/>
            <w:vAlign w:val="center"/>
          </w:tcPr>
          <w:p w:rsidR="00EE56C0" w:rsidRDefault="000F36A1">
            <w:pPr>
              <w:pStyle w:val="afa"/>
            </w:pPr>
            <w:r>
              <w:rPr>
                <w:rFonts w:hint="eastAsia"/>
              </w:rPr>
              <w:t>790</w:t>
            </w:r>
          </w:p>
        </w:tc>
      </w:tr>
      <w:tr w:rsidR="00EE56C0">
        <w:trPr>
          <w:trHeight w:val="425"/>
          <w:jc w:val="center"/>
        </w:trPr>
        <w:tc>
          <w:tcPr>
            <w:tcW w:w="315" w:type="pct"/>
            <w:vAlign w:val="center"/>
          </w:tcPr>
          <w:p w:rsidR="00EE56C0" w:rsidRDefault="000F36A1">
            <w:pPr>
              <w:pStyle w:val="afa"/>
            </w:pPr>
            <w:r>
              <w:rPr>
                <w:rFonts w:hint="eastAsia"/>
              </w:rPr>
              <w:t>3</w:t>
            </w:r>
          </w:p>
        </w:tc>
        <w:tc>
          <w:tcPr>
            <w:tcW w:w="1163" w:type="pct"/>
            <w:tcBorders>
              <w:right w:val="single" w:sz="4" w:space="0" w:color="auto"/>
            </w:tcBorders>
            <w:vAlign w:val="center"/>
          </w:tcPr>
          <w:p w:rsidR="00EE56C0" w:rsidRDefault="000F36A1">
            <w:pPr>
              <w:pStyle w:val="afa"/>
              <w:rPr>
                <w:rFonts w:hAnsi="宋体"/>
              </w:rPr>
            </w:pPr>
            <w:r>
              <w:rPr>
                <w:rFonts w:hAnsi="宋体" w:hint="eastAsia"/>
              </w:rPr>
              <w:t>马庄村</w:t>
            </w:r>
          </w:p>
        </w:tc>
        <w:tc>
          <w:tcPr>
            <w:tcW w:w="417" w:type="pct"/>
            <w:tcBorders>
              <w:left w:val="single" w:sz="4" w:space="0" w:color="auto"/>
              <w:right w:val="single" w:sz="4" w:space="0" w:color="auto"/>
            </w:tcBorders>
            <w:vAlign w:val="center"/>
          </w:tcPr>
          <w:p w:rsidR="00EE56C0" w:rsidRDefault="000F36A1">
            <w:pPr>
              <w:pStyle w:val="afa"/>
            </w:pPr>
            <w:r>
              <w:t>1035</w:t>
            </w:r>
          </w:p>
        </w:tc>
        <w:tc>
          <w:tcPr>
            <w:tcW w:w="498" w:type="pct"/>
            <w:tcBorders>
              <w:left w:val="single" w:sz="4" w:space="0" w:color="auto"/>
            </w:tcBorders>
            <w:vAlign w:val="center"/>
          </w:tcPr>
          <w:p w:rsidR="00EE56C0" w:rsidRDefault="000F36A1">
            <w:pPr>
              <w:pStyle w:val="afa"/>
            </w:pPr>
            <w:r>
              <w:t>-2352</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int="eastAsia"/>
              </w:rPr>
              <w:t>东南</w:t>
            </w:r>
          </w:p>
        </w:tc>
        <w:tc>
          <w:tcPr>
            <w:tcW w:w="475" w:type="pct"/>
            <w:vAlign w:val="center"/>
          </w:tcPr>
          <w:p w:rsidR="00EE56C0" w:rsidRDefault="000F36A1">
            <w:pPr>
              <w:pStyle w:val="afa"/>
            </w:pPr>
            <w:r>
              <w:rPr>
                <w:rFonts w:hint="eastAsia"/>
              </w:rPr>
              <w:t>2000</w:t>
            </w:r>
          </w:p>
        </w:tc>
      </w:tr>
      <w:tr w:rsidR="00EE56C0">
        <w:trPr>
          <w:trHeight w:val="425"/>
          <w:jc w:val="center"/>
        </w:trPr>
        <w:tc>
          <w:tcPr>
            <w:tcW w:w="315" w:type="pct"/>
            <w:vAlign w:val="center"/>
          </w:tcPr>
          <w:p w:rsidR="00EE56C0" w:rsidRDefault="000F36A1">
            <w:pPr>
              <w:pStyle w:val="afa"/>
            </w:pPr>
            <w:r>
              <w:rPr>
                <w:rFonts w:hint="eastAsia"/>
              </w:rPr>
              <w:t>4</w:t>
            </w:r>
          </w:p>
        </w:tc>
        <w:tc>
          <w:tcPr>
            <w:tcW w:w="1163" w:type="pct"/>
            <w:tcBorders>
              <w:right w:val="single" w:sz="4" w:space="0" w:color="auto"/>
            </w:tcBorders>
            <w:vAlign w:val="center"/>
          </w:tcPr>
          <w:p w:rsidR="00EE56C0" w:rsidRDefault="000F36A1">
            <w:pPr>
              <w:pStyle w:val="afa"/>
              <w:rPr>
                <w:rFonts w:hAnsi="宋体"/>
              </w:rPr>
            </w:pPr>
            <w:r>
              <w:rPr>
                <w:rFonts w:hAnsi="宋体" w:hint="eastAsia"/>
              </w:rPr>
              <w:t>康庄村</w:t>
            </w:r>
          </w:p>
        </w:tc>
        <w:tc>
          <w:tcPr>
            <w:tcW w:w="417" w:type="pct"/>
            <w:tcBorders>
              <w:left w:val="single" w:sz="4" w:space="0" w:color="auto"/>
              <w:right w:val="single" w:sz="4" w:space="0" w:color="auto"/>
            </w:tcBorders>
            <w:vAlign w:val="center"/>
          </w:tcPr>
          <w:p w:rsidR="00EE56C0" w:rsidRDefault="000F36A1">
            <w:pPr>
              <w:pStyle w:val="afa"/>
            </w:pPr>
            <w:r>
              <w:t>-1894</w:t>
            </w:r>
          </w:p>
        </w:tc>
        <w:tc>
          <w:tcPr>
            <w:tcW w:w="498" w:type="pct"/>
            <w:tcBorders>
              <w:left w:val="single" w:sz="4" w:space="0" w:color="auto"/>
            </w:tcBorders>
            <w:vAlign w:val="center"/>
          </w:tcPr>
          <w:p w:rsidR="00EE56C0" w:rsidRDefault="000F36A1">
            <w:pPr>
              <w:pStyle w:val="afa"/>
            </w:pPr>
            <w:r>
              <w:t>-1678</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Ansi="宋体" w:hint="eastAsia"/>
              </w:rPr>
              <w:t>西南</w:t>
            </w:r>
          </w:p>
        </w:tc>
        <w:tc>
          <w:tcPr>
            <w:tcW w:w="475" w:type="pct"/>
            <w:vAlign w:val="center"/>
          </w:tcPr>
          <w:p w:rsidR="00EE56C0" w:rsidRDefault="000F36A1">
            <w:pPr>
              <w:pStyle w:val="afa"/>
            </w:pPr>
            <w:r>
              <w:rPr>
                <w:rFonts w:hint="eastAsia"/>
              </w:rPr>
              <w:t>1765</w:t>
            </w:r>
          </w:p>
        </w:tc>
      </w:tr>
      <w:tr w:rsidR="00EE56C0">
        <w:trPr>
          <w:trHeight w:val="425"/>
          <w:jc w:val="center"/>
        </w:trPr>
        <w:tc>
          <w:tcPr>
            <w:tcW w:w="315" w:type="pct"/>
            <w:vAlign w:val="center"/>
          </w:tcPr>
          <w:p w:rsidR="00EE56C0" w:rsidRDefault="000F36A1">
            <w:pPr>
              <w:pStyle w:val="afa"/>
            </w:pPr>
            <w:r>
              <w:rPr>
                <w:rFonts w:hint="eastAsia"/>
              </w:rPr>
              <w:t>5</w:t>
            </w:r>
          </w:p>
        </w:tc>
        <w:tc>
          <w:tcPr>
            <w:tcW w:w="1163" w:type="pct"/>
            <w:tcBorders>
              <w:right w:val="single" w:sz="4" w:space="0" w:color="auto"/>
            </w:tcBorders>
            <w:vAlign w:val="center"/>
          </w:tcPr>
          <w:p w:rsidR="00EE56C0" w:rsidRDefault="000F36A1">
            <w:pPr>
              <w:pStyle w:val="afa"/>
              <w:rPr>
                <w:rFonts w:hAnsi="宋体"/>
              </w:rPr>
            </w:pPr>
            <w:r>
              <w:rPr>
                <w:rFonts w:hAnsi="宋体" w:hint="eastAsia"/>
              </w:rPr>
              <w:t>府庄村</w:t>
            </w:r>
          </w:p>
        </w:tc>
        <w:tc>
          <w:tcPr>
            <w:tcW w:w="417" w:type="pct"/>
            <w:tcBorders>
              <w:left w:val="single" w:sz="4" w:space="0" w:color="auto"/>
              <w:right w:val="single" w:sz="4" w:space="0" w:color="auto"/>
            </w:tcBorders>
            <w:vAlign w:val="center"/>
          </w:tcPr>
          <w:p w:rsidR="00EE56C0" w:rsidRDefault="000F36A1">
            <w:pPr>
              <w:pStyle w:val="afa"/>
            </w:pPr>
            <w:r>
              <w:t>841</w:t>
            </w:r>
          </w:p>
        </w:tc>
        <w:tc>
          <w:tcPr>
            <w:tcW w:w="498" w:type="pct"/>
            <w:tcBorders>
              <w:left w:val="single" w:sz="4" w:space="0" w:color="auto"/>
            </w:tcBorders>
            <w:vAlign w:val="center"/>
          </w:tcPr>
          <w:p w:rsidR="00EE56C0" w:rsidRDefault="000F36A1">
            <w:pPr>
              <w:pStyle w:val="afa"/>
            </w:pPr>
            <w:r>
              <w:t>-3331</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Ansi="宋体" w:hint="eastAsia"/>
              </w:rPr>
              <w:t>南</w:t>
            </w:r>
          </w:p>
        </w:tc>
        <w:tc>
          <w:tcPr>
            <w:tcW w:w="475" w:type="pct"/>
            <w:vAlign w:val="center"/>
          </w:tcPr>
          <w:p w:rsidR="00EE56C0" w:rsidRDefault="000F36A1">
            <w:pPr>
              <w:pStyle w:val="afa"/>
            </w:pPr>
            <w:r>
              <w:rPr>
                <w:rFonts w:hint="eastAsia"/>
              </w:rPr>
              <w:t>2900</w:t>
            </w:r>
          </w:p>
        </w:tc>
      </w:tr>
      <w:tr w:rsidR="00EE56C0">
        <w:trPr>
          <w:trHeight w:val="425"/>
          <w:jc w:val="center"/>
        </w:trPr>
        <w:tc>
          <w:tcPr>
            <w:tcW w:w="315" w:type="pct"/>
            <w:vAlign w:val="center"/>
          </w:tcPr>
          <w:p w:rsidR="00EE56C0" w:rsidRDefault="000F36A1">
            <w:pPr>
              <w:pStyle w:val="afa"/>
            </w:pPr>
            <w:r>
              <w:rPr>
                <w:rFonts w:hint="eastAsia"/>
              </w:rPr>
              <w:t>6</w:t>
            </w:r>
          </w:p>
        </w:tc>
        <w:tc>
          <w:tcPr>
            <w:tcW w:w="1163" w:type="pct"/>
            <w:tcBorders>
              <w:right w:val="single" w:sz="4" w:space="0" w:color="auto"/>
            </w:tcBorders>
            <w:vAlign w:val="center"/>
          </w:tcPr>
          <w:p w:rsidR="00EE56C0" w:rsidRDefault="000F36A1">
            <w:pPr>
              <w:pStyle w:val="afa"/>
              <w:rPr>
                <w:rFonts w:hAnsi="宋体"/>
              </w:rPr>
            </w:pPr>
            <w:r>
              <w:rPr>
                <w:rFonts w:hAnsi="宋体" w:hint="eastAsia"/>
              </w:rPr>
              <w:t>大张庄村</w:t>
            </w:r>
          </w:p>
        </w:tc>
        <w:tc>
          <w:tcPr>
            <w:tcW w:w="417" w:type="pct"/>
            <w:tcBorders>
              <w:left w:val="single" w:sz="4" w:space="0" w:color="auto"/>
              <w:right w:val="single" w:sz="4" w:space="0" w:color="auto"/>
            </w:tcBorders>
            <w:vAlign w:val="center"/>
          </w:tcPr>
          <w:p w:rsidR="00EE56C0" w:rsidRDefault="000F36A1">
            <w:pPr>
              <w:pStyle w:val="afa"/>
            </w:pPr>
            <w:r>
              <w:t>1970</w:t>
            </w:r>
          </w:p>
        </w:tc>
        <w:tc>
          <w:tcPr>
            <w:tcW w:w="498" w:type="pct"/>
            <w:tcBorders>
              <w:left w:val="single" w:sz="4" w:space="0" w:color="auto"/>
            </w:tcBorders>
            <w:vAlign w:val="center"/>
          </w:tcPr>
          <w:p w:rsidR="00EE56C0" w:rsidRDefault="000F36A1">
            <w:pPr>
              <w:pStyle w:val="afa"/>
            </w:pPr>
            <w:r>
              <w:t>-3738</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int="eastAsia"/>
              </w:rPr>
              <w:t>东南</w:t>
            </w:r>
          </w:p>
        </w:tc>
        <w:tc>
          <w:tcPr>
            <w:tcW w:w="475" w:type="pct"/>
            <w:vAlign w:val="center"/>
          </w:tcPr>
          <w:p w:rsidR="00EE56C0" w:rsidRDefault="000F36A1">
            <w:pPr>
              <w:pStyle w:val="afa"/>
            </w:pPr>
            <w:r>
              <w:rPr>
                <w:rFonts w:hint="eastAsia"/>
              </w:rPr>
              <w:t>3400</w:t>
            </w:r>
          </w:p>
        </w:tc>
      </w:tr>
      <w:tr w:rsidR="00EE56C0">
        <w:trPr>
          <w:trHeight w:val="425"/>
          <w:jc w:val="center"/>
        </w:trPr>
        <w:tc>
          <w:tcPr>
            <w:tcW w:w="315" w:type="pct"/>
            <w:vAlign w:val="center"/>
          </w:tcPr>
          <w:p w:rsidR="00EE56C0" w:rsidRDefault="000F36A1">
            <w:pPr>
              <w:pStyle w:val="afa"/>
            </w:pPr>
            <w:r>
              <w:rPr>
                <w:rFonts w:hint="eastAsia"/>
              </w:rPr>
              <w:t>7</w:t>
            </w:r>
          </w:p>
        </w:tc>
        <w:tc>
          <w:tcPr>
            <w:tcW w:w="1163" w:type="pct"/>
            <w:tcBorders>
              <w:right w:val="single" w:sz="4" w:space="0" w:color="auto"/>
            </w:tcBorders>
            <w:vAlign w:val="center"/>
          </w:tcPr>
          <w:p w:rsidR="00EE56C0" w:rsidRDefault="000F36A1">
            <w:pPr>
              <w:pStyle w:val="afa"/>
              <w:rPr>
                <w:rFonts w:hAnsi="宋体"/>
              </w:rPr>
            </w:pPr>
            <w:r>
              <w:rPr>
                <w:rFonts w:hAnsi="宋体" w:hint="eastAsia"/>
              </w:rPr>
              <w:t>大赵庄村</w:t>
            </w:r>
          </w:p>
        </w:tc>
        <w:tc>
          <w:tcPr>
            <w:tcW w:w="417" w:type="pct"/>
            <w:tcBorders>
              <w:left w:val="single" w:sz="4" w:space="0" w:color="auto"/>
              <w:right w:val="single" w:sz="4" w:space="0" w:color="auto"/>
            </w:tcBorders>
            <w:vAlign w:val="center"/>
          </w:tcPr>
          <w:p w:rsidR="00EE56C0" w:rsidRDefault="000F36A1">
            <w:pPr>
              <w:pStyle w:val="afa"/>
            </w:pPr>
            <w:r>
              <w:t>-544</w:t>
            </w:r>
          </w:p>
        </w:tc>
        <w:tc>
          <w:tcPr>
            <w:tcW w:w="498" w:type="pct"/>
            <w:tcBorders>
              <w:left w:val="single" w:sz="4" w:space="0" w:color="auto"/>
            </w:tcBorders>
            <w:vAlign w:val="center"/>
          </w:tcPr>
          <w:p w:rsidR="00EE56C0" w:rsidRDefault="000F36A1">
            <w:pPr>
              <w:pStyle w:val="afa"/>
            </w:pPr>
            <w:r>
              <w:t>-3301</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Ansi="宋体" w:hint="eastAsia"/>
              </w:rPr>
              <w:t>南</w:t>
            </w:r>
          </w:p>
        </w:tc>
        <w:tc>
          <w:tcPr>
            <w:tcW w:w="475" w:type="pct"/>
            <w:vAlign w:val="center"/>
          </w:tcPr>
          <w:p w:rsidR="00EE56C0" w:rsidRDefault="000F36A1">
            <w:pPr>
              <w:pStyle w:val="afa"/>
            </w:pPr>
            <w:r>
              <w:rPr>
                <w:rFonts w:hint="eastAsia"/>
              </w:rPr>
              <w:t>2800</w:t>
            </w:r>
          </w:p>
        </w:tc>
      </w:tr>
      <w:tr w:rsidR="00EE56C0">
        <w:trPr>
          <w:trHeight w:val="425"/>
          <w:jc w:val="center"/>
        </w:trPr>
        <w:tc>
          <w:tcPr>
            <w:tcW w:w="315" w:type="pct"/>
            <w:vAlign w:val="center"/>
          </w:tcPr>
          <w:p w:rsidR="00EE56C0" w:rsidRDefault="000F36A1">
            <w:pPr>
              <w:pStyle w:val="afa"/>
            </w:pPr>
            <w:r>
              <w:rPr>
                <w:rFonts w:hint="eastAsia"/>
              </w:rPr>
              <w:t>8</w:t>
            </w:r>
          </w:p>
        </w:tc>
        <w:tc>
          <w:tcPr>
            <w:tcW w:w="1163" w:type="pct"/>
            <w:tcBorders>
              <w:right w:val="single" w:sz="4" w:space="0" w:color="auto"/>
            </w:tcBorders>
            <w:vAlign w:val="center"/>
          </w:tcPr>
          <w:p w:rsidR="00EE56C0" w:rsidRDefault="000F36A1">
            <w:pPr>
              <w:pStyle w:val="afa"/>
              <w:rPr>
                <w:rFonts w:hAnsi="宋体"/>
              </w:rPr>
            </w:pPr>
            <w:r>
              <w:rPr>
                <w:rFonts w:hAnsi="宋体" w:hint="eastAsia"/>
              </w:rPr>
              <w:t>丁庄村</w:t>
            </w:r>
          </w:p>
        </w:tc>
        <w:tc>
          <w:tcPr>
            <w:tcW w:w="417" w:type="pct"/>
            <w:tcBorders>
              <w:left w:val="single" w:sz="4" w:space="0" w:color="auto"/>
              <w:right w:val="single" w:sz="4" w:space="0" w:color="auto"/>
            </w:tcBorders>
            <w:vAlign w:val="center"/>
          </w:tcPr>
          <w:p w:rsidR="00EE56C0" w:rsidRDefault="000F36A1">
            <w:pPr>
              <w:pStyle w:val="afa"/>
            </w:pPr>
            <w:r>
              <w:t>-2712</w:t>
            </w:r>
          </w:p>
        </w:tc>
        <w:tc>
          <w:tcPr>
            <w:tcW w:w="498" w:type="pct"/>
            <w:tcBorders>
              <w:left w:val="single" w:sz="4" w:space="0" w:color="auto"/>
            </w:tcBorders>
            <w:vAlign w:val="center"/>
          </w:tcPr>
          <w:p w:rsidR="00EE56C0" w:rsidRDefault="000F36A1">
            <w:pPr>
              <w:pStyle w:val="afa"/>
            </w:pPr>
            <w:r>
              <w:t>-3180</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Ansi="宋体" w:hint="eastAsia"/>
              </w:rPr>
              <w:t>西南</w:t>
            </w:r>
          </w:p>
        </w:tc>
        <w:tc>
          <w:tcPr>
            <w:tcW w:w="475" w:type="pct"/>
            <w:vAlign w:val="center"/>
          </w:tcPr>
          <w:p w:rsidR="00EE56C0" w:rsidRDefault="000F36A1">
            <w:pPr>
              <w:pStyle w:val="afa"/>
            </w:pPr>
            <w:r>
              <w:rPr>
                <w:rFonts w:hint="eastAsia"/>
              </w:rPr>
              <w:t>3190</w:t>
            </w:r>
          </w:p>
        </w:tc>
      </w:tr>
      <w:tr w:rsidR="00EE56C0">
        <w:trPr>
          <w:trHeight w:val="425"/>
          <w:jc w:val="center"/>
        </w:trPr>
        <w:tc>
          <w:tcPr>
            <w:tcW w:w="315" w:type="pct"/>
            <w:vAlign w:val="center"/>
          </w:tcPr>
          <w:p w:rsidR="00EE56C0" w:rsidRDefault="000F36A1">
            <w:pPr>
              <w:pStyle w:val="afa"/>
            </w:pPr>
            <w:r>
              <w:rPr>
                <w:rFonts w:hint="eastAsia"/>
              </w:rPr>
              <w:t>9</w:t>
            </w:r>
          </w:p>
        </w:tc>
        <w:tc>
          <w:tcPr>
            <w:tcW w:w="1163" w:type="pct"/>
            <w:tcBorders>
              <w:right w:val="single" w:sz="4" w:space="0" w:color="auto"/>
            </w:tcBorders>
            <w:vAlign w:val="center"/>
          </w:tcPr>
          <w:p w:rsidR="00EE56C0" w:rsidRDefault="000F36A1">
            <w:pPr>
              <w:pStyle w:val="afa"/>
              <w:rPr>
                <w:rFonts w:hAnsi="宋体"/>
              </w:rPr>
            </w:pPr>
            <w:r>
              <w:rPr>
                <w:rFonts w:hAnsi="宋体" w:hint="eastAsia"/>
              </w:rPr>
              <w:t>刘八庄村</w:t>
            </w:r>
          </w:p>
        </w:tc>
        <w:tc>
          <w:tcPr>
            <w:tcW w:w="417" w:type="pct"/>
            <w:tcBorders>
              <w:left w:val="single" w:sz="4" w:space="0" w:color="auto"/>
              <w:right w:val="single" w:sz="4" w:space="0" w:color="auto"/>
            </w:tcBorders>
            <w:vAlign w:val="center"/>
          </w:tcPr>
          <w:p w:rsidR="00EE56C0" w:rsidRDefault="000F36A1">
            <w:pPr>
              <w:pStyle w:val="afa"/>
            </w:pPr>
            <w:r>
              <w:t>-4549</w:t>
            </w:r>
          </w:p>
        </w:tc>
        <w:tc>
          <w:tcPr>
            <w:tcW w:w="498" w:type="pct"/>
            <w:tcBorders>
              <w:left w:val="single" w:sz="4" w:space="0" w:color="auto"/>
            </w:tcBorders>
            <w:vAlign w:val="center"/>
          </w:tcPr>
          <w:p w:rsidR="00EE56C0" w:rsidRDefault="000F36A1">
            <w:pPr>
              <w:pStyle w:val="afa"/>
            </w:pPr>
            <w:r>
              <w:t>-3195</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Ansi="宋体" w:hint="eastAsia"/>
              </w:rPr>
              <w:t>西南</w:t>
            </w:r>
          </w:p>
        </w:tc>
        <w:tc>
          <w:tcPr>
            <w:tcW w:w="475" w:type="pct"/>
            <w:vAlign w:val="center"/>
          </w:tcPr>
          <w:p w:rsidR="00EE56C0" w:rsidRDefault="000F36A1">
            <w:pPr>
              <w:pStyle w:val="afa"/>
            </w:pPr>
            <w:r>
              <w:rPr>
                <w:rFonts w:hint="eastAsia"/>
              </w:rPr>
              <w:t>4100</w:t>
            </w:r>
          </w:p>
        </w:tc>
      </w:tr>
      <w:tr w:rsidR="00EE56C0">
        <w:trPr>
          <w:trHeight w:val="425"/>
          <w:jc w:val="center"/>
        </w:trPr>
        <w:tc>
          <w:tcPr>
            <w:tcW w:w="315" w:type="pct"/>
            <w:vAlign w:val="center"/>
          </w:tcPr>
          <w:p w:rsidR="00EE56C0" w:rsidRDefault="000F36A1">
            <w:pPr>
              <w:pStyle w:val="afa"/>
            </w:pPr>
            <w:r>
              <w:rPr>
                <w:rFonts w:hint="eastAsia"/>
              </w:rPr>
              <w:t>10</w:t>
            </w:r>
          </w:p>
        </w:tc>
        <w:tc>
          <w:tcPr>
            <w:tcW w:w="1163" w:type="pct"/>
            <w:tcBorders>
              <w:right w:val="single" w:sz="4" w:space="0" w:color="auto"/>
            </w:tcBorders>
            <w:vAlign w:val="center"/>
          </w:tcPr>
          <w:p w:rsidR="00EE56C0" w:rsidRDefault="000F36A1">
            <w:pPr>
              <w:pStyle w:val="afa"/>
              <w:rPr>
                <w:rFonts w:hAnsi="宋体"/>
              </w:rPr>
            </w:pPr>
            <w:r>
              <w:rPr>
                <w:rFonts w:hAnsi="宋体" w:hint="eastAsia"/>
              </w:rPr>
              <w:t>王贵楼村</w:t>
            </w:r>
          </w:p>
        </w:tc>
        <w:tc>
          <w:tcPr>
            <w:tcW w:w="417" w:type="pct"/>
            <w:tcBorders>
              <w:left w:val="single" w:sz="4" w:space="0" w:color="auto"/>
              <w:right w:val="single" w:sz="4" w:space="0" w:color="auto"/>
            </w:tcBorders>
            <w:vAlign w:val="center"/>
          </w:tcPr>
          <w:p w:rsidR="00EE56C0" w:rsidRDefault="000F36A1">
            <w:pPr>
              <w:pStyle w:val="afa"/>
            </w:pPr>
            <w:r>
              <w:t>-5001</w:t>
            </w:r>
          </w:p>
        </w:tc>
        <w:tc>
          <w:tcPr>
            <w:tcW w:w="498" w:type="pct"/>
            <w:tcBorders>
              <w:left w:val="single" w:sz="4" w:space="0" w:color="auto"/>
            </w:tcBorders>
            <w:vAlign w:val="center"/>
          </w:tcPr>
          <w:p w:rsidR="00EE56C0" w:rsidRDefault="000F36A1">
            <w:pPr>
              <w:pStyle w:val="afa"/>
            </w:pPr>
            <w:r>
              <w:t>-3768</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Ansi="宋体" w:hint="eastAsia"/>
              </w:rPr>
              <w:t>西南</w:t>
            </w:r>
          </w:p>
        </w:tc>
        <w:tc>
          <w:tcPr>
            <w:tcW w:w="475" w:type="pct"/>
            <w:vAlign w:val="center"/>
          </w:tcPr>
          <w:p w:rsidR="00EE56C0" w:rsidRDefault="000F36A1">
            <w:pPr>
              <w:pStyle w:val="afa"/>
            </w:pPr>
            <w:r>
              <w:rPr>
                <w:rFonts w:hint="eastAsia"/>
              </w:rPr>
              <w:t>4750</w:t>
            </w:r>
          </w:p>
        </w:tc>
      </w:tr>
      <w:tr w:rsidR="00EE56C0">
        <w:trPr>
          <w:trHeight w:val="425"/>
          <w:jc w:val="center"/>
        </w:trPr>
        <w:tc>
          <w:tcPr>
            <w:tcW w:w="315" w:type="pct"/>
            <w:vAlign w:val="center"/>
          </w:tcPr>
          <w:p w:rsidR="00EE56C0" w:rsidRDefault="000F36A1">
            <w:pPr>
              <w:pStyle w:val="afa"/>
            </w:pPr>
            <w:r>
              <w:rPr>
                <w:rFonts w:hint="eastAsia"/>
              </w:rPr>
              <w:t>11</w:t>
            </w:r>
          </w:p>
        </w:tc>
        <w:tc>
          <w:tcPr>
            <w:tcW w:w="1163" w:type="pct"/>
            <w:tcBorders>
              <w:right w:val="single" w:sz="4" w:space="0" w:color="auto"/>
            </w:tcBorders>
            <w:vAlign w:val="center"/>
          </w:tcPr>
          <w:p w:rsidR="00EE56C0" w:rsidRDefault="000F36A1">
            <w:pPr>
              <w:pStyle w:val="afa"/>
            </w:pPr>
            <w:r>
              <w:rPr>
                <w:rFonts w:hAnsi="宋体" w:hint="eastAsia"/>
              </w:rPr>
              <w:t>罗滩村</w:t>
            </w:r>
          </w:p>
        </w:tc>
        <w:tc>
          <w:tcPr>
            <w:tcW w:w="417" w:type="pct"/>
            <w:tcBorders>
              <w:left w:val="single" w:sz="4" w:space="0" w:color="auto"/>
              <w:right w:val="single" w:sz="4" w:space="0" w:color="auto"/>
            </w:tcBorders>
            <w:vAlign w:val="center"/>
          </w:tcPr>
          <w:p w:rsidR="00EE56C0" w:rsidRDefault="000F36A1">
            <w:pPr>
              <w:pStyle w:val="afa"/>
            </w:pPr>
            <w:r>
              <w:t>-3209</w:t>
            </w:r>
          </w:p>
        </w:tc>
        <w:tc>
          <w:tcPr>
            <w:tcW w:w="498" w:type="pct"/>
            <w:tcBorders>
              <w:left w:val="single" w:sz="4" w:space="0" w:color="auto"/>
            </w:tcBorders>
            <w:vAlign w:val="center"/>
          </w:tcPr>
          <w:p w:rsidR="00EE56C0" w:rsidRDefault="000F36A1">
            <w:pPr>
              <w:pStyle w:val="afa"/>
            </w:pPr>
            <w:r>
              <w:t>-304</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pPr>
            <w:r>
              <w:rPr>
                <w:rFonts w:hint="eastAsia"/>
              </w:rPr>
              <w:t>西</w:t>
            </w:r>
          </w:p>
        </w:tc>
        <w:tc>
          <w:tcPr>
            <w:tcW w:w="475" w:type="pct"/>
            <w:vAlign w:val="center"/>
          </w:tcPr>
          <w:p w:rsidR="00EE56C0" w:rsidRDefault="000F36A1">
            <w:pPr>
              <w:pStyle w:val="afa"/>
            </w:pPr>
            <w:r>
              <w:rPr>
                <w:rFonts w:hint="eastAsia"/>
              </w:rPr>
              <w:t>1920</w:t>
            </w:r>
          </w:p>
        </w:tc>
      </w:tr>
      <w:tr w:rsidR="00EE56C0">
        <w:trPr>
          <w:trHeight w:val="425"/>
          <w:jc w:val="center"/>
        </w:trPr>
        <w:tc>
          <w:tcPr>
            <w:tcW w:w="315" w:type="pct"/>
            <w:vAlign w:val="center"/>
          </w:tcPr>
          <w:p w:rsidR="00EE56C0" w:rsidRDefault="000F36A1">
            <w:pPr>
              <w:pStyle w:val="afa"/>
            </w:pPr>
            <w:r>
              <w:rPr>
                <w:rFonts w:hint="eastAsia"/>
              </w:rPr>
              <w:lastRenderedPageBreak/>
              <w:t>12</w:t>
            </w:r>
          </w:p>
        </w:tc>
        <w:tc>
          <w:tcPr>
            <w:tcW w:w="1163" w:type="pct"/>
            <w:tcBorders>
              <w:right w:val="single" w:sz="4" w:space="0" w:color="auto"/>
            </w:tcBorders>
            <w:vAlign w:val="center"/>
          </w:tcPr>
          <w:p w:rsidR="00EE56C0" w:rsidRDefault="000F36A1">
            <w:pPr>
              <w:pStyle w:val="afa"/>
              <w:rPr>
                <w:rFonts w:hAnsi="宋体"/>
              </w:rPr>
            </w:pPr>
            <w:r>
              <w:rPr>
                <w:rFonts w:hAnsi="宋体" w:hint="eastAsia"/>
              </w:rPr>
              <w:t>杨庄村</w:t>
            </w:r>
          </w:p>
        </w:tc>
        <w:tc>
          <w:tcPr>
            <w:tcW w:w="417" w:type="pct"/>
            <w:tcBorders>
              <w:left w:val="single" w:sz="4" w:space="0" w:color="auto"/>
              <w:right w:val="single" w:sz="4" w:space="0" w:color="auto"/>
            </w:tcBorders>
            <w:vAlign w:val="center"/>
          </w:tcPr>
          <w:p w:rsidR="00EE56C0" w:rsidRDefault="000F36A1">
            <w:pPr>
              <w:pStyle w:val="afa"/>
            </w:pPr>
            <w:r>
              <w:t>-4082</w:t>
            </w:r>
          </w:p>
        </w:tc>
        <w:tc>
          <w:tcPr>
            <w:tcW w:w="498" w:type="pct"/>
            <w:tcBorders>
              <w:left w:val="single" w:sz="4" w:space="0" w:color="auto"/>
            </w:tcBorders>
            <w:vAlign w:val="center"/>
          </w:tcPr>
          <w:p w:rsidR="00EE56C0" w:rsidRDefault="000F36A1">
            <w:pPr>
              <w:pStyle w:val="afa"/>
            </w:pPr>
            <w:r>
              <w:t>-771</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int="eastAsia"/>
              </w:rPr>
              <w:t>西</w:t>
            </w:r>
          </w:p>
        </w:tc>
        <w:tc>
          <w:tcPr>
            <w:tcW w:w="475" w:type="pct"/>
            <w:vAlign w:val="center"/>
          </w:tcPr>
          <w:p w:rsidR="00EE56C0" w:rsidRDefault="000F36A1">
            <w:pPr>
              <w:pStyle w:val="afa"/>
            </w:pPr>
            <w:r>
              <w:rPr>
                <w:rFonts w:hint="eastAsia"/>
              </w:rPr>
              <w:t>2750</w:t>
            </w:r>
          </w:p>
        </w:tc>
      </w:tr>
      <w:tr w:rsidR="00EE56C0">
        <w:trPr>
          <w:trHeight w:val="425"/>
          <w:jc w:val="center"/>
        </w:trPr>
        <w:tc>
          <w:tcPr>
            <w:tcW w:w="315" w:type="pct"/>
            <w:vAlign w:val="center"/>
          </w:tcPr>
          <w:p w:rsidR="00EE56C0" w:rsidRDefault="000F36A1">
            <w:pPr>
              <w:pStyle w:val="afa"/>
            </w:pPr>
            <w:r>
              <w:rPr>
                <w:rFonts w:hint="eastAsia"/>
              </w:rPr>
              <w:t>13</w:t>
            </w:r>
          </w:p>
        </w:tc>
        <w:tc>
          <w:tcPr>
            <w:tcW w:w="1163" w:type="pct"/>
            <w:tcBorders>
              <w:right w:val="single" w:sz="4" w:space="0" w:color="auto"/>
            </w:tcBorders>
            <w:vAlign w:val="center"/>
          </w:tcPr>
          <w:p w:rsidR="00EE56C0" w:rsidRDefault="000F36A1">
            <w:pPr>
              <w:pStyle w:val="afa"/>
              <w:rPr>
                <w:rFonts w:hAnsi="宋体"/>
              </w:rPr>
            </w:pPr>
            <w:r>
              <w:rPr>
                <w:rFonts w:hAnsi="宋体" w:hint="eastAsia"/>
              </w:rPr>
              <w:t>杨堤村</w:t>
            </w:r>
          </w:p>
        </w:tc>
        <w:tc>
          <w:tcPr>
            <w:tcW w:w="417" w:type="pct"/>
            <w:tcBorders>
              <w:left w:val="single" w:sz="4" w:space="0" w:color="auto"/>
              <w:right w:val="single" w:sz="4" w:space="0" w:color="auto"/>
            </w:tcBorders>
            <w:vAlign w:val="center"/>
          </w:tcPr>
          <w:p w:rsidR="00EE56C0" w:rsidRDefault="000F36A1">
            <w:pPr>
              <w:pStyle w:val="afa"/>
            </w:pPr>
            <w:r>
              <w:t>-4022</w:t>
            </w:r>
          </w:p>
        </w:tc>
        <w:tc>
          <w:tcPr>
            <w:tcW w:w="498" w:type="pct"/>
            <w:tcBorders>
              <w:left w:val="single" w:sz="4" w:space="0" w:color="auto"/>
            </w:tcBorders>
            <w:vAlign w:val="center"/>
          </w:tcPr>
          <w:p w:rsidR="00EE56C0" w:rsidRDefault="000F36A1">
            <w:pPr>
              <w:pStyle w:val="afa"/>
            </w:pPr>
            <w:r>
              <w:t>102</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int="eastAsia"/>
              </w:rPr>
              <w:t>西</w:t>
            </w:r>
          </w:p>
        </w:tc>
        <w:tc>
          <w:tcPr>
            <w:tcW w:w="475" w:type="pct"/>
            <w:vAlign w:val="center"/>
          </w:tcPr>
          <w:p w:rsidR="00EE56C0" w:rsidRDefault="000F36A1">
            <w:pPr>
              <w:pStyle w:val="afa"/>
            </w:pPr>
            <w:r>
              <w:rPr>
                <w:rFonts w:hint="eastAsia"/>
              </w:rPr>
              <w:t>2600</w:t>
            </w:r>
          </w:p>
        </w:tc>
      </w:tr>
      <w:tr w:rsidR="00EE56C0">
        <w:trPr>
          <w:trHeight w:val="425"/>
          <w:jc w:val="center"/>
        </w:trPr>
        <w:tc>
          <w:tcPr>
            <w:tcW w:w="315" w:type="pct"/>
            <w:vAlign w:val="center"/>
          </w:tcPr>
          <w:p w:rsidR="00EE56C0" w:rsidRDefault="000F36A1">
            <w:pPr>
              <w:pStyle w:val="afa"/>
            </w:pPr>
            <w:r>
              <w:rPr>
                <w:rFonts w:hint="eastAsia"/>
              </w:rPr>
              <w:t>14</w:t>
            </w:r>
          </w:p>
        </w:tc>
        <w:tc>
          <w:tcPr>
            <w:tcW w:w="1163" w:type="pct"/>
            <w:tcBorders>
              <w:right w:val="single" w:sz="4" w:space="0" w:color="auto"/>
            </w:tcBorders>
            <w:vAlign w:val="center"/>
          </w:tcPr>
          <w:p w:rsidR="00EE56C0" w:rsidRDefault="000F36A1">
            <w:pPr>
              <w:pStyle w:val="afa"/>
              <w:rPr>
                <w:rFonts w:hAnsi="宋体"/>
              </w:rPr>
            </w:pPr>
            <w:r>
              <w:rPr>
                <w:rFonts w:hAnsi="宋体" w:hint="eastAsia"/>
              </w:rPr>
              <w:t>西曹村</w:t>
            </w:r>
          </w:p>
        </w:tc>
        <w:tc>
          <w:tcPr>
            <w:tcW w:w="417" w:type="pct"/>
            <w:tcBorders>
              <w:left w:val="single" w:sz="4" w:space="0" w:color="auto"/>
              <w:right w:val="single" w:sz="4" w:space="0" w:color="auto"/>
            </w:tcBorders>
            <w:vAlign w:val="center"/>
          </w:tcPr>
          <w:p w:rsidR="00EE56C0" w:rsidRDefault="000F36A1">
            <w:pPr>
              <w:pStyle w:val="afa"/>
            </w:pPr>
            <w:r>
              <w:t>-3134</w:t>
            </w:r>
          </w:p>
        </w:tc>
        <w:tc>
          <w:tcPr>
            <w:tcW w:w="498" w:type="pct"/>
            <w:tcBorders>
              <w:left w:val="single" w:sz="4" w:space="0" w:color="auto"/>
            </w:tcBorders>
            <w:vAlign w:val="center"/>
          </w:tcPr>
          <w:p w:rsidR="00EE56C0" w:rsidRDefault="000F36A1">
            <w:pPr>
              <w:pStyle w:val="afa"/>
            </w:pPr>
            <w:r>
              <w:t>975</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Ansi="宋体" w:hint="eastAsia"/>
              </w:rPr>
              <w:t>西北</w:t>
            </w:r>
          </w:p>
        </w:tc>
        <w:tc>
          <w:tcPr>
            <w:tcW w:w="475" w:type="pct"/>
            <w:vAlign w:val="center"/>
          </w:tcPr>
          <w:p w:rsidR="00EE56C0" w:rsidRDefault="000F36A1">
            <w:pPr>
              <w:pStyle w:val="afa"/>
            </w:pPr>
            <w:r>
              <w:rPr>
                <w:rFonts w:hint="eastAsia"/>
              </w:rPr>
              <w:t>2150</w:t>
            </w:r>
          </w:p>
        </w:tc>
      </w:tr>
      <w:tr w:rsidR="00EE56C0">
        <w:trPr>
          <w:trHeight w:val="425"/>
          <w:jc w:val="center"/>
        </w:trPr>
        <w:tc>
          <w:tcPr>
            <w:tcW w:w="315" w:type="pct"/>
            <w:vAlign w:val="center"/>
          </w:tcPr>
          <w:p w:rsidR="00EE56C0" w:rsidRDefault="000F36A1">
            <w:pPr>
              <w:pStyle w:val="afa"/>
            </w:pPr>
            <w:r>
              <w:rPr>
                <w:rFonts w:hint="eastAsia"/>
              </w:rPr>
              <w:t>15</w:t>
            </w:r>
          </w:p>
        </w:tc>
        <w:tc>
          <w:tcPr>
            <w:tcW w:w="1163" w:type="pct"/>
            <w:tcBorders>
              <w:right w:val="single" w:sz="4" w:space="0" w:color="auto"/>
            </w:tcBorders>
            <w:vAlign w:val="center"/>
          </w:tcPr>
          <w:p w:rsidR="00EE56C0" w:rsidRDefault="000F36A1">
            <w:pPr>
              <w:pStyle w:val="afa"/>
              <w:rPr>
                <w:rFonts w:hAnsi="宋体"/>
              </w:rPr>
            </w:pPr>
            <w:r>
              <w:rPr>
                <w:rFonts w:hAnsi="宋体" w:hint="eastAsia"/>
              </w:rPr>
              <w:t>中曹村</w:t>
            </w:r>
          </w:p>
        </w:tc>
        <w:tc>
          <w:tcPr>
            <w:tcW w:w="417" w:type="pct"/>
            <w:tcBorders>
              <w:left w:val="single" w:sz="4" w:space="0" w:color="auto"/>
              <w:right w:val="single" w:sz="4" w:space="0" w:color="auto"/>
            </w:tcBorders>
            <w:vAlign w:val="center"/>
          </w:tcPr>
          <w:p w:rsidR="00EE56C0" w:rsidRDefault="000F36A1">
            <w:pPr>
              <w:pStyle w:val="afa"/>
            </w:pPr>
            <w:r>
              <w:t>-2471</w:t>
            </w:r>
          </w:p>
        </w:tc>
        <w:tc>
          <w:tcPr>
            <w:tcW w:w="498" w:type="pct"/>
            <w:tcBorders>
              <w:left w:val="single" w:sz="4" w:space="0" w:color="auto"/>
            </w:tcBorders>
            <w:vAlign w:val="center"/>
          </w:tcPr>
          <w:p w:rsidR="00EE56C0" w:rsidRDefault="000F36A1">
            <w:pPr>
              <w:pStyle w:val="afa"/>
            </w:pPr>
            <w:r>
              <w:t>1216</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Ansi="宋体" w:hint="eastAsia"/>
              </w:rPr>
              <w:t>西北</w:t>
            </w:r>
          </w:p>
        </w:tc>
        <w:tc>
          <w:tcPr>
            <w:tcW w:w="475" w:type="pct"/>
            <w:vAlign w:val="center"/>
          </w:tcPr>
          <w:p w:rsidR="00EE56C0" w:rsidRDefault="000F36A1">
            <w:pPr>
              <w:pStyle w:val="afa"/>
            </w:pPr>
            <w:r>
              <w:rPr>
                <w:rFonts w:hint="eastAsia"/>
              </w:rPr>
              <w:t>1140</w:t>
            </w:r>
          </w:p>
        </w:tc>
      </w:tr>
      <w:tr w:rsidR="00EE56C0">
        <w:trPr>
          <w:trHeight w:val="425"/>
          <w:jc w:val="center"/>
        </w:trPr>
        <w:tc>
          <w:tcPr>
            <w:tcW w:w="315" w:type="pct"/>
            <w:vAlign w:val="center"/>
          </w:tcPr>
          <w:p w:rsidR="00EE56C0" w:rsidRDefault="000F36A1">
            <w:pPr>
              <w:pStyle w:val="afa"/>
            </w:pPr>
            <w:r>
              <w:rPr>
                <w:rFonts w:hint="eastAsia"/>
              </w:rPr>
              <w:t>16</w:t>
            </w:r>
          </w:p>
        </w:tc>
        <w:tc>
          <w:tcPr>
            <w:tcW w:w="1163" w:type="pct"/>
            <w:tcBorders>
              <w:right w:val="single" w:sz="4" w:space="0" w:color="auto"/>
            </w:tcBorders>
            <w:vAlign w:val="center"/>
          </w:tcPr>
          <w:p w:rsidR="00EE56C0" w:rsidRDefault="000F36A1">
            <w:pPr>
              <w:pStyle w:val="afa"/>
              <w:rPr>
                <w:rFonts w:hAnsi="宋体"/>
              </w:rPr>
            </w:pPr>
            <w:r>
              <w:rPr>
                <w:rFonts w:hAnsi="宋体" w:hint="eastAsia"/>
              </w:rPr>
              <w:t>东曹村</w:t>
            </w:r>
          </w:p>
        </w:tc>
        <w:tc>
          <w:tcPr>
            <w:tcW w:w="417" w:type="pct"/>
            <w:tcBorders>
              <w:left w:val="single" w:sz="4" w:space="0" w:color="auto"/>
              <w:right w:val="single" w:sz="4" w:space="0" w:color="auto"/>
            </w:tcBorders>
            <w:vAlign w:val="center"/>
          </w:tcPr>
          <w:p w:rsidR="00EE56C0" w:rsidRDefault="000F36A1">
            <w:pPr>
              <w:pStyle w:val="afa"/>
            </w:pPr>
            <w:r>
              <w:t>-2140</w:t>
            </w:r>
          </w:p>
        </w:tc>
        <w:tc>
          <w:tcPr>
            <w:tcW w:w="498" w:type="pct"/>
            <w:tcBorders>
              <w:left w:val="single" w:sz="4" w:space="0" w:color="auto"/>
            </w:tcBorders>
            <w:vAlign w:val="center"/>
          </w:tcPr>
          <w:p w:rsidR="00EE56C0" w:rsidRDefault="000F36A1">
            <w:pPr>
              <w:pStyle w:val="afa"/>
            </w:pPr>
            <w:r>
              <w:t>1593</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Ansi="宋体" w:hint="eastAsia"/>
              </w:rPr>
              <w:t>西北</w:t>
            </w:r>
          </w:p>
        </w:tc>
        <w:tc>
          <w:tcPr>
            <w:tcW w:w="475" w:type="pct"/>
            <w:vAlign w:val="center"/>
          </w:tcPr>
          <w:p w:rsidR="00EE56C0" w:rsidRDefault="000F36A1">
            <w:pPr>
              <w:pStyle w:val="afa"/>
            </w:pPr>
            <w:r>
              <w:rPr>
                <w:rFonts w:hint="eastAsia"/>
              </w:rPr>
              <w:t>1820</w:t>
            </w:r>
          </w:p>
        </w:tc>
      </w:tr>
      <w:tr w:rsidR="00EE56C0">
        <w:trPr>
          <w:trHeight w:val="425"/>
          <w:jc w:val="center"/>
        </w:trPr>
        <w:tc>
          <w:tcPr>
            <w:tcW w:w="315" w:type="pct"/>
            <w:vAlign w:val="center"/>
          </w:tcPr>
          <w:p w:rsidR="00EE56C0" w:rsidRDefault="000F36A1">
            <w:pPr>
              <w:pStyle w:val="afa"/>
            </w:pPr>
            <w:r>
              <w:rPr>
                <w:rFonts w:hint="eastAsia"/>
              </w:rPr>
              <w:t>17</w:t>
            </w:r>
          </w:p>
        </w:tc>
        <w:tc>
          <w:tcPr>
            <w:tcW w:w="1163" w:type="pct"/>
            <w:tcBorders>
              <w:right w:val="single" w:sz="4" w:space="0" w:color="auto"/>
            </w:tcBorders>
            <w:vAlign w:val="center"/>
          </w:tcPr>
          <w:p w:rsidR="00EE56C0" w:rsidRDefault="000F36A1">
            <w:pPr>
              <w:pStyle w:val="afa"/>
              <w:rPr>
                <w:rFonts w:hAnsi="宋体"/>
              </w:rPr>
            </w:pPr>
            <w:r>
              <w:rPr>
                <w:rFonts w:hAnsi="宋体" w:hint="eastAsia"/>
              </w:rPr>
              <w:t>七里营镇</w:t>
            </w:r>
          </w:p>
        </w:tc>
        <w:tc>
          <w:tcPr>
            <w:tcW w:w="417" w:type="pct"/>
            <w:tcBorders>
              <w:left w:val="single" w:sz="4" w:space="0" w:color="auto"/>
              <w:right w:val="single" w:sz="4" w:space="0" w:color="auto"/>
            </w:tcBorders>
            <w:vAlign w:val="center"/>
          </w:tcPr>
          <w:p w:rsidR="00EE56C0" w:rsidRDefault="000F36A1">
            <w:pPr>
              <w:pStyle w:val="afa"/>
            </w:pPr>
            <w:r>
              <w:t>555</w:t>
            </w:r>
          </w:p>
        </w:tc>
        <w:tc>
          <w:tcPr>
            <w:tcW w:w="498" w:type="pct"/>
            <w:tcBorders>
              <w:left w:val="single" w:sz="4" w:space="0" w:color="auto"/>
            </w:tcBorders>
            <w:vAlign w:val="center"/>
          </w:tcPr>
          <w:p w:rsidR="00EE56C0" w:rsidRDefault="000F36A1">
            <w:pPr>
              <w:pStyle w:val="afa"/>
            </w:pPr>
            <w:r>
              <w:t>1834</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Ansi="宋体" w:hint="eastAsia"/>
              </w:rPr>
              <w:t>北</w:t>
            </w:r>
          </w:p>
        </w:tc>
        <w:tc>
          <w:tcPr>
            <w:tcW w:w="475" w:type="pct"/>
            <w:vAlign w:val="center"/>
          </w:tcPr>
          <w:p w:rsidR="00EE56C0" w:rsidRDefault="000F36A1">
            <w:pPr>
              <w:pStyle w:val="afa"/>
            </w:pPr>
            <w:r>
              <w:rPr>
                <w:rFonts w:hint="eastAsia"/>
              </w:rPr>
              <w:t>1500</w:t>
            </w:r>
          </w:p>
        </w:tc>
      </w:tr>
      <w:tr w:rsidR="00EE56C0">
        <w:trPr>
          <w:trHeight w:val="425"/>
          <w:jc w:val="center"/>
        </w:trPr>
        <w:tc>
          <w:tcPr>
            <w:tcW w:w="315" w:type="pct"/>
            <w:vAlign w:val="center"/>
          </w:tcPr>
          <w:p w:rsidR="00EE56C0" w:rsidRDefault="000F36A1">
            <w:pPr>
              <w:pStyle w:val="afa"/>
            </w:pPr>
            <w:r>
              <w:rPr>
                <w:rFonts w:hint="eastAsia"/>
              </w:rPr>
              <w:t>18</w:t>
            </w:r>
          </w:p>
        </w:tc>
        <w:tc>
          <w:tcPr>
            <w:tcW w:w="1163" w:type="pct"/>
            <w:tcBorders>
              <w:right w:val="single" w:sz="4" w:space="0" w:color="auto"/>
            </w:tcBorders>
            <w:vAlign w:val="center"/>
          </w:tcPr>
          <w:p w:rsidR="00EE56C0" w:rsidRDefault="000F36A1">
            <w:pPr>
              <w:pStyle w:val="afa"/>
              <w:rPr>
                <w:rFonts w:hAnsi="宋体"/>
              </w:rPr>
            </w:pPr>
            <w:r>
              <w:rPr>
                <w:rFonts w:hAnsi="宋体" w:hint="eastAsia"/>
              </w:rPr>
              <w:t>七二村</w:t>
            </w:r>
          </w:p>
        </w:tc>
        <w:tc>
          <w:tcPr>
            <w:tcW w:w="417" w:type="pct"/>
            <w:tcBorders>
              <w:left w:val="single" w:sz="4" w:space="0" w:color="auto"/>
              <w:right w:val="single" w:sz="4" w:space="0" w:color="auto"/>
            </w:tcBorders>
            <w:vAlign w:val="center"/>
          </w:tcPr>
          <w:p w:rsidR="00EE56C0" w:rsidRDefault="000F36A1">
            <w:pPr>
              <w:pStyle w:val="afa"/>
            </w:pPr>
            <w:r>
              <w:t>329</w:t>
            </w:r>
          </w:p>
        </w:tc>
        <w:tc>
          <w:tcPr>
            <w:tcW w:w="498" w:type="pct"/>
            <w:tcBorders>
              <w:left w:val="single" w:sz="4" w:space="0" w:color="auto"/>
            </w:tcBorders>
            <w:vAlign w:val="center"/>
          </w:tcPr>
          <w:p w:rsidR="00EE56C0" w:rsidRDefault="000F36A1">
            <w:pPr>
              <w:pStyle w:val="afa"/>
            </w:pPr>
            <w:r>
              <w:t>2737</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Ansi="宋体" w:hint="eastAsia"/>
              </w:rPr>
              <w:t>北</w:t>
            </w:r>
          </w:p>
        </w:tc>
        <w:tc>
          <w:tcPr>
            <w:tcW w:w="475" w:type="pct"/>
            <w:vAlign w:val="center"/>
          </w:tcPr>
          <w:p w:rsidR="00EE56C0" w:rsidRDefault="000F36A1">
            <w:pPr>
              <w:pStyle w:val="afa"/>
            </w:pPr>
            <w:r>
              <w:rPr>
                <w:rFonts w:hint="eastAsia"/>
              </w:rPr>
              <w:t>2500</w:t>
            </w:r>
          </w:p>
        </w:tc>
      </w:tr>
      <w:tr w:rsidR="00EE56C0">
        <w:trPr>
          <w:trHeight w:val="425"/>
          <w:jc w:val="center"/>
        </w:trPr>
        <w:tc>
          <w:tcPr>
            <w:tcW w:w="315" w:type="pct"/>
            <w:vAlign w:val="center"/>
          </w:tcPr>
          <w:p w:rsidR="00EE56C0" w:rsidRDefault="000F36A1">
            <w:pPr>
              <w:pStyle w:val="afa"/>
            </w:pPr>
            <w:r>
              <w:rPr>
                <w:rFonts w:hint="eastAsia"/>
              </w:rPr>
              <w:t>19</w:t>
            </w:r>
          </w:p>
        </w:tc>
        <w:tc>
          <w:tcPr>
            <w:tcW w:w="1163" w:type="pct"/>
            <w:tcBorders>
              <w:right w:val="single" w:sz="4" w:space="0" w:color="auto"/>
            </w:tcBorders>
            <w:vAlign w:val="center"/>
          </w:tcPr>
          <w:p w:rsidR="00EE56C0" w:rsidRDefault="000F36A1">
            <w:pPr>
              <w:pStyle w:val="afa"/>
            </w:pPr>
            <w:r>
              <w:rPr>
                <w:rFonts w:hAnsi="宋体" w:hint="eastAsia"/>
              </w:rPr>
              <w:t>刘庄</w:t>
            </w:r>
          </w:p>
        </w:tc>
        <w:tc>
          <w:tcPr>
            <w:tcW w:w="417" w:type="pct"/>
            <w:tcBorders>
              <w:left w:val="single" w:sz="4" w:space="0" w:color="auto"/>
              <w:right w:val="single" w:sz="4" w:space="0" w:color="auto"/>
            </w:tcBorders>
            <w:vAlign w:val="center"/>
          </w:tcPr>
          <w:p w:rsidR="00EE56C0" w:rsidRDefault="000F36A1">
            <w:pPr>
              <w:pStyle w:val="afa"/>
            </w:pPr>
            <w:r>
              <w:t>3085</w:t>
            </w:r>
          </w:p>
        </w:tc>
        <w:tc>
          <w:tcPr>
            <w:tcW w:w="498" w:type="pct"/>
            <w:tcBorders>
              <w:left w:val="single" w:sz="4" w:space="0" w:color="auto"/>
            </w:tcBorders>
            <w:vAlign w:val="center"/>
          </w:tcPr>
          <w:p w:rsidR="00EE56C0" w:rsidRDefault="000F36A1">
            <w:pPr>
              <w:pStyle w:val="afa"/>
            </w:pPr>
            <w:r>
              <w:t>102</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Ansi="宋体" w:hint="eastAsia"/>
              </w:rPr>
              <w:t>东</w:t>
            </w:r>
          </w:p>
        </w:tc>
        <w:tc>
          <w:tcPr>
            <w:tcW w:w="475" w:type="pct"/>
            <w:vAlign w:val="center"/>
          </w:tcPr>
          <w:p w:rsidR="00EE56C0" w:rsidRDefault="000F36A1">
            <w:pPr>
              <w:pStyle w:val="afa"/>
            </w:pPr>
            <w:r>
              <w:rPr>
                <w:rFonts w:hint="eastAsia"/>
              </w:rPr>
              <w:t>1780</w:t>
            </w:r>
          </w:p>
        </w:tc>
      </w:tr>
      <w:tr w:rsidR="00EE56C0">
        <w:trPr>
          <w:trHeight w:val="425"/>
          <w:jc w:val="center"/>
        </w:trPr>
        <w:tc>
          <w:tcPr>
            <w:tcW w:w="315" w:type="pct"/>
            <w:vAlign w:val="center"/>
          </w:tcPr>
          <w:p w:rsidR="00EE56C0" w:rsidRDefault="000F36A1">
            <w:pPr>
              <w:pStyle w:val="afa"/>
            </w:pPr>
            <w:r>
              <w:rPr>
                <w:rFonts w:hint="eastAsia"/>
              </w:rPr>
              <w:t>20</w:t>
            </w:r>
          </w:p>
        </w:tc>
        <w:tc>
          <w:tcPr>
            <w:tcW w:w="1163" w:type="pct"/>
            <w:tcBorders>
              <w:right w:val="single" w:sz="4" w:space="0" w:color="auto"/>
            </w:tcBorders>
            <w:vAlign w:val="center"/>
          </w:tcPr>
          <w:p w:rsidR="00EE56C0" w:rsidRDefault="000F36A1">
            <w:pPr>
              <w:pStyle w:val="afa"/>
            </w:pPr>
            <w:r>
              <w:rPr>
                <w:rFonts w:hAnsi="宋体" w:hint="eastAsia"/>
              </w:rPr>
              <w:t>陈庄村</w:t>
            </w:r>
          </w:p>
        </w:tc>
        <w:tc>
          <w:tcPr>
            <w:tcW w:w="417" w:type="pct"/>
            <w:tcBorders>
              <w:left w:val="single" w:sz="4" w:space="0" w:color="auto"/>
              <w:right w:val="single" w:sz="4" w:space="0" w:color="auto"/>
            </w:tcBorders>
            <w:vAlign w:val="center"/>
          </w:tcPr>
          <w:p w:rsidR="00EE56C0" w:rsidRDefault="000F36A1">
            <w:pPr>
              <w:pStyle w:val="afa"/>
            </w:pPr>
            <w:r>
              <w:t>3566</w:t>
            </w:r>
          </w:p>
        </w:tc>
        <w:tc>
          <w:tcPr>
            <w:tcW w:w="498" w:type="pct"/>
            <w:tcBorders>
              <w:left w:val="single" w:sz="4" w:space="0" w:color="auto"/>
            </w:tcBorders>
            <w:vAlign w:val="center"/>
          </w:tcPr>
          <w:p w:rsidR="00EE56C0" w:rsidRDefault="000F36A1">
            <w:pPr>
              <w:pStyle w:val="afa"/>
            </w:pPr>
            <w:r>
              <w:t>-410</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Ansi="宋体" w:hint="eastAsia"/>
              </w:rPr>
              <w:t>东南</w:t>
            </w:r>
          </w:p>
        </w:tc>
        <w:tc>
          <w:tcPr>
            <w:tcW w:w="475" w:type="pct"/>
            <w:vAlign w:val="center"/>
          </w:tcPr>
          <w:p w:rsidR="00EE56C0" w:rsidRDefault="000F36A1">
            <w:pPr>
              <w:pStyle w:val="afa"/>
            </w:pPr>
            <w:r>
              <w:rPr>
                <w:rFonts w:hint="eastAsia"/>
              </w:rPr>
              <w:t>2450</w:t>
            </w:r>
          </w:p>
        </w:tc>
      </w:tr>
      <w:tr w:rsidR="00EE56C0">
        <w:trPr>
          <w:trHeight w:val="425"/>
          <w:jc w:val="center"/>
        </w:trPr>
        <w:tc>
          <w:tcPr>
            <w:tcW w:w="315" w:type="pct"/>
            <w:vAlign w:val="center"/>
          </w:tcPr>
          <w:p w:rsidR="00EE56C0" w:rsidRDefault="000F36A1">
            <w:pPr>
              <w:pStyle w:val="afa"/>
            </w:pPr>
            <w:r>
              <w:rPr>
                <w:rFonts w:hint="eastAsia"/>
              </w:rPr>
              <w:t>21</w:t>
            </w:r>
          </w:p>
        </w:tc>
        <w:tc>
          <w:tcPr>
            <w:tcW w:w="1163" w:type="pct"/>
            <w:tcBorders>
              <w:right w:val="single" w:sz="4" w:space="0" w:color="auto"/>
            </w:tcBorders>
            <w:vAlign w:val="center"/>
          </w:tcPr>
          <w:p w:rsidR="00EE56C0" w:rsidRDefault="000F36A1">
            <w:pPr>
              <w:pStyle w:val="afa"/>
              <w:rPr>
                <w:rFonts w:hAnsi="宋体"/>
              </w:rPr>
            </w:pPr>
            <w:r>
              <w:rPr>
                <w:rFonts w:hAnsi="宋体" w:hint="eastAsia"/>
                <w:bCs/>
              </w:rPr>
              <w:t>位庄村</w:t>
            </w:r>
          </w:p>
        </w:tc>
        <w:tc>
          <w:tcPr>
            <w:tcW w:w="417" w:type="pct"/>
            <w:tcBorders>
              <w:left w:val="single" w:sz="4" w:space="0" w:color="auto"/>
              <w:right w:val="single" w:sz="4" w:space="0" w:color="auto"/>
            </w:tcBorders>
            <w:vAlign w:val="center"/>
          </w:tcPr>
          <w:p w:rsidR="00EE56C0" w:rsidRDefault="000F36A1">
            <w:pPr>
              <w:pStyle w:val="afa"/>
            </w:pPr>
            <w:r>
              <w:t>3386</w:t>
            </w:r>
          </w:p>
        </w:tc>
        <w:tc>
          <w:tcPr>
            <w:tcW w:w="498" w:type="pct"/>
            <w:tcBorders>
              <w:left w:val="single" w:sz="4" w:space="0" w:color="auto"/>
            </w:tcBorders>
            <w:vAlign w:val="center"/>
          </w:tcPr>
          <w:p w:rsidR="00EE56C0" w:rsidRDefault="000F36A1">
            <w:pPr>
              <w:pStyle w:val="afa"/>
            </w:pPr>
            <w:r>
              <w:t>-1599</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pPr>
            <w:r>
              <w:rPr>
                <w:rFonts w:hint="eastAsia"/>
              </w:rPr>
              <w:t>东南</w:t>
            </w:r>
          </w:p>
        </w:tc>
        <w:tc>
          <w:tcPr>
            <w:tcW w:w="475" w:type="pct"/>
            <w:vAlign w:val="center"/>
          </w:tcPr>
          <w:p w:rsidR="00EE56C0" w:rsidRDefault="000F36A1">
            <w:pPr>
              <w:pStyle w:val="afa"/>
            </w:pPr>
            <w:r>
              <w:rPr>
                <w:rFonts w:hint="eastAsia"/>
              </w:rPr>
              <w:t>2650</w:t>
            </w:r>
          </w:p>
        </w:tc>
      </w:tr>
      <w:tr w:rsidR="00EE56C0">
        <w:trPr>
          <w:trHeight w:val="425"/>
          <w:jc w:val="center"/>
        </w:trPr>
        <w:tc>
          <w:tcPr>
            <w:tcW w:w="315" w:type="pct"/>
            <w:vAlign w:val="center"/>
          </w:tcPr>
          <w:p w:rsidR="00EE56C0" w:rsidRDefault="000F36A1">
            <w:pPr>
              <w:pStyle w:val="afa"/>
            </w:pPr>
            <w:r>
              <w:rPr>
                <w:rFonts w:hint="eastAsia"/>
              </w:rPr>
              <w:t>22</w:t>
            </w:r>
          </w:p>
        </w:tc>
        <w:tc>
          <w:tcPr>
            <w:tcW w:w="1163" w:type="pct"/>
            <w:tcBorders>
              <w:right w:val="single" w:sz="4" w:space="0" w:color="auto"/>
            </w:tcBorders>
            <w:vAlign w:val="center"/>
          </w:tcPr>
          <w:p w:rsidR="00EE56C0" w:rsidRDefault="000F36A1">
            <w:pPr>
              <w:pStyle w:val="afa"/>
              <w:rPr>
                <w:rFonts w:hAnsi="宋体"/>
              </w:rPr>
            </w:pPr>
            <w:r>
              <w:rPr>
                <w:rFonts w:hAnsi="宋体" w:hint="eastAsia"/>
              </w:rPr>
              <w:t>南魏庄</w:t>
            </w:r>
          </w:p>
        </w:tc>
        <w:tc>
          <w:tcPr>
            <w:tcW w:w="417" w:type="pct"/>
            <w:tcBorders>
              <w:left w:val="single" w:sz="4" w:space="0" w:color="auto"/>
              <w:right w:val="single" w:sz="4" w:space="0" w:color="auto"/>
            </w:tcBorders>
            <w:vAlign w:val="center"/>
          </w:tcPr>
          <w:p w:rsidR="00EE56C0" w:rsidRDefault="000F36A1">
            <w:pPr>
              <w:pStyle w:val="afa"/>
            </w:pPr>
            <w:r>
              <w:t>3085</w:t>
            </w:r>
          </w:p>
        </w:tc>
        <w:tc>
          <w:tcPr>
            <w:tcW w:w="498" w:type="pct"/>
            <w:tcBorders>
              <w:left w:val="single" w:sz="4" w:space="0" w:color="auto"/>
            </w:tcBorders>
            <w:vAlign w:val="center"/>
          </w:tcPr>
          <w:p w:rsidR="00EE56C0" w:rsidRDefault="000F36A1">
            <w:pPr>
              <w:pStyle w:val="afa"/>
            </w:pPr>
            <w:r>
              <w:t>-1825</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pPr>
            <w:r>
              <w:rPr>
                <w:rFonts w:hint="eastAsia"/>
              </w:rPr>
              <w:t>东南</w:t>
            </w:r>
          </w:p>
        </w:tc>
        <w:tc>
          <w:tcPr>
            <w:tcW w:w="475" w:type="pct"/>
            <w:vAlign w:val="center"/>
          </w:tcPr>
          <w:p w:rsidR="00EE56C0" w:rsidRDefault="000F36A1">
            <w:pPr>
              <w:pStyle w:val="afa"/>
            </w:pPr>
            <w:r>
              <w:rPr>
                <w:rFonts w:hint="eastAsia"/>
              </w:rPr>
              <w:t>2570</w:t>
            </w:r>
          </w:p>
        </w:tc>
      </w:tr>
      <w:tr w:rsidR="00EE56C0">
        <w:trPr>
          <w:trHeight w:val="425"/>
          <w:jc w:val="center"/>
        </w:trPr>
        <w:tc>
          <w:tcPr>
            <w:tcW w:w="315" w:type="pct"/>
            <w:vAlign w:val="center"/>
          </w:tcPr>
          <w:p w:rsidR="00EE56C0" w:rsidRDefault="000F36A1">
            <w:pPr>
              <w:pStyle w:val="afa"/>
            </w:pPr>
            <w:r>
              <w:rPr>
                <w:rFonts w:hint="eastAsia"/>
              </w:rPr>
              <w:t>23</w:t>
            </w:r>
          </w:p>
        </w:tc>
        <w:tc>
          <w:tcPr>
            <w:tcW w:w="1163" w:type="pct"/>
            <w:tcBorders>
              <w:right w:val="single" w:sz="4" w:space="0" w:color="auto"/>
            </w:tcBorders>
            <w:vAlign w:val="center"/>
          </w:tcPr>
          <w:p w:rsidR="00EE56C0" w:rsidRDefault="000F36A1">
            <w:pPr>
              <w:pStyle w:val="afa"/>
              <w:rPr>
                <w:rFonts w:hAnsi="宋体"/>
              </w:rPr>
            </w:pPr>
            <w:r>
              <w:rPr>
                <w:rFonts w:hAnsi="宋体" w:hint="eastAsia"/>
              </w:rPr>
              <w:t>曹庄村</w:t>
            </w:r>
          </w:p>
        </w:tc>
        <w:tc>
          <w:tcPr>
            <w:tcW w:w="417" w:type="pct"/>
            <w:tcBorders>
              <w:left w:val="single" w:sz="4" w:space="0" w:color="auto"/>
              <w:right w:val="single" w:sz="4" w:space="0" w:color="auto"/>
            </w:tcBorders>
            <w:vAlign w:val="center"/>
          </w:tcPr>
          <w:p w:rsidR="00EE56C0" w:rsidRDefault="000F36A1">
            <w:pPr>
              <w:pStyle w:val="afa"/>
            </w:pPr>
            <w:r>
              <w:t>2964</w:t>
            </w:r>
          </w:p>
        </w:tc>
        <w:tc>
          <w:tcPr>
            <w:tcW w:w="498" w:type="pct"/>
            <w:tcBorders>
              <w:left w:val="single" w:sz="4" w:space="0" w:color="auto"/>
            </w:tcBorders>
            <w:vAlign w:val="center"/>
          </w:tcPr>
          <w:p w:rsidR="00EE56C0" w:rsidRDefault="000F36A1">
            <w:pPr>
              <w:pStyle w:val="afa"/>
            </w:pPr>
            <w:r>
              <w:t>-2533</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int="eastAsia"/>
              </w:rPr>
              <w:t>东南</w:t>
            </w:r>
          </w:p>
        </w:tc>
        <w:tc>
          <w:tcPr>
            <w:tcW w:w="475" w:type="pct"/>
            <w:vAlign w:val="center"/>
          </w:tcPr>
          <w:p w:rsidR="00EE56C0" w:rsidRDefault="000F36A1">
            <w:pPr>
              <w:pStyle w:val="afa"/>
            </w:pPr>
            <w:r>
              <w:rPr>
                <w:rFonts w:hint="eastAsia"/>
              </w:rPr>
              <w:t>2950</w:t>
            </w:r>
          </w:p>
        </w:tc>
      </w:tr>
      <w:tr w:rsidR="00EE56C0">
        <w:trPr>
          <w:trHeight w:val="425"/>
          <w:jc w:val="center"/>
        </w:trPr>
        <w:tc>
          <w:tcPr>
            <w:tcW w:w="315" w:type="pct"/>
            <w:vAlign w:val="center"/>
          </w:tcPr>
          <w:p w:rsidR="00EE56C0" w:rsidRDefault="000F36A1">
            <w:pPr>
              <w:pStyle w:val="afa"/>
            </w:pPr>
            <w:r>
              <w:rPr>
                <w:rFonts w:hint="eastAsia"/>
              </w:rPr>
              <w:t>24</w:t>
            </w:r>
          </w:p>
        </w:tc>
        <w:tc>
          <w:tcPr>
            <w:tcW w:w="1163" w:type="pct"/>
            <w:tcBorders>
              <w:right w:val="single" w:sz="4" w:space="0" w:color="auto"/>
            </w:tcBorders>
            <w:vAlign w:val="center"/>
          </w:tcPr>
          <w:p w:rsidR="00EE56C0" w:rsidRDefault="000F36A1">
            <w:pPr>
              <w:pStyle w:val="afa"/>
            </w:pPr>
            <w:r>
              <w:rPr>
                <w:rFonts w:hint="eastAsia"/>
              </w:rPr>
              <w:t>新</w:t>
            </w:r>
            <w:r>
              <w:rPr>
                <w:rFonts w:hAnsi="宋体" w:hint="eastAsia"/>
              </w:rPr>
              <w:t>庄</w:t>
            </w:r>
            <w:r>
              <w:rPr>
                <w:rFonts w:hint="eastAsia"/>
              </w:rPr>
              <w:t>村</w:t>
            </w:r>
          </w:p>
        </w:tc>
        <w:tc>
          <w:tcPr>
            <w:tcW w:w="417" w:type="pct"/>
            <w:tcBorders>
              <w:left w:val="single" w:sz="4" w:space="0" w:color="auto"/>
              <w:right w:val="single" w:sz="4" w:space="0" w:color="auto"/>
            </w:tcBorders>
            <w:vAlign w:val="center"/>
          </w:tcPr>
          <w:p w:rsidR="00EE56C0" w:rsidRDefault="000F36A1">
            <w:pPr>
              <w:pStyle w:val="afa"/>
            </w:pPr>
            <w:r>
              <w:t>4018</w:t>
            </w:r>
          </w:p>
        </w:tc>
        <w:tc>
          <w:tcPr>
            <w:tcW w:w="498" w:type="pct"/>
            <w:tcBorders>
              <w:left w:val="single" w:sz="4" w:space="0" w:color="auto"/>
            </w:tcBorders>
            <w:vAlign w:val="center"/>
          </w:tcPr>
          <w:p w:rsidR="00EE56C0" w:rsidRDefault="000F36A1">
            <w:pPr>
              <w:pStyle w:val="afa"/>
            </w:pPr>
            <w:r>
              <w:t>-3903</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pPr>
            <w:r>
              <w:rPr>
                <w:rFonts w:hint="eastAsia"/>
              </w:rPr>
              <w:t>东南</w:t>
            </w:r>
          </w:p>
        </w:tc>
        <w:tc>
          <w:tcPr>
            <w:tcW w:w="475" w:type="pct"/>
            <w:vAlign w:val="center"/>
          </w:tcPr>
          <w:p w:rsidR="00EE56C0" w:rsidRDefault="000F36A1">
            <w:pPr>
              <w:pStyle w:val="afa"/>
            </w:pPr>
            <w:r>
              <w:rPr>
                <w:rFonts w:hint="eastAsia"/>
              </w:rPr>
              <w:t>4450</w:t>
            </w:r>
          </w:p>
        </w:tc>
      </w:tr>
      <w:tr w:rsidR="00EE56C0">
        <w:trPr>
          <w:trHeight w:val="425"/>
          <w:jc w:val="center"/>
        </w:trPr>
        <w:tc>
          <w:tcPr>
            <w:tcW w:w="315" w:type="pct"/>
            <w:vAlign w:val="center"/>
          </w:tcPr>
          <w:p w:rsidR="00EE56C0" w:rsidRDefault="000F36A1">
            <w:pPr>
              <w:pStyle w:val="afa"/>
            </w:pPr>
            <w:r>
              <w:rPr>
                <w:rFonts w:hint="eastAsia"/>
              </w:rPr>
              <w:t>25</w:t>
            </w:r>
          </w:p>
        </w:tc>
        <w:tc>
          <w:tcPr>
            <w:tcW w:w="1163" w:type="pct"/>
            <w:tcBorders>
              <w:right w:val="single" w:sz="4" w:space="0" w:color="auto"/>
            </w:tcBorders>
            <w:vAlign w:val="center"/>
          </w:tcPr>
          <w:p w:rsidR="00EE56C0" w:rsidRDefault="000F36A1">
            <w:pPr>
              <w:pStyle w:val="afa"/>
            </w:pPr>
            <w:r>
              <w:rPr>
                <w:rFonts w:hint="eastAsia"/>
              </w:rPr>
              <w:t>刘纪岗</w:t>
            </w:r>
            <w:r>
              <w:rPr>
                <w:rFonts w:hAnsi="宋体" w:hint="eastAsia"/>
              </w:rPr>
              <w:t>庄</w:t>
            </w:r>
            <w:r>
              <w:rPr>
                <w:rFonts w:hint="eastAsia"/>
              </w:rPr>
              <w:t>村</w:t>
            </w:r>
          </w:p>
        </w:tc>
        <w:tc>
          <w:tcPr>
            <w:tcW w:w="417" w:type="pct"/>
            <w:tcBorders>
              <w:left w:val="single" w:sz="4" w:space="0" w:color="auto"/>
              <w:right w:val="single" w:sz="4" w:space="0" w:color="auto"/>
            </w:tcBorders>
            <w:vAlign w:val="center"/>
          </w:tcPr>
          <w:p w:rsidR="00EE56C0" w:rsidRDefault="000F36A1">
            <w:pPr>
              <w:pStyle w:val="afa"/>
            </w:pPr>
            <w:r>
              <w:t>5433</w:t>
            </w:r>
          </w:p>
        </w:tc>
        <w:tc>
          <w:tcPr>
            <w:tcW w:w="498" w:type="pct"/>
            <w:tcBorders>
              <w:left w:val="single" w:sz="4" w:space="0" w:color="auto"/>
            </w:tcBorders>
            <w:vAlign w:val="center"/>
          </w:tcPr>
          <w:p w:rsidR="00EE56C0" w:rsidRDefault="000F36A1">
            <w:pPr>
              <w:pStyle w:val="afa"/>
            </w:pPr>
            <w:r>
              <w:t>-4234</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pPr>
            <w:r>
              <w:rPr>
                <w:rFonts w:hint="eastAsia"/>
              </w:rPr>
              <w:t>东南</w:t>
            </w:r>
          </w:p>
        </w:tc>
        <w:tc>
          <w:tcPr>
            <w:tcW w:w="475" w:type="pct"/>
            <w:vAlign w:val="center"/>
          </w:tcPr>
          <w:p w:rsidR="00EE56C0" w:rsidRDefault="000F36A1">
            <w:pPr>
              <w:pStyle w:val="afa"/>
            </w:pPr>
            <w:r>
              <w:rPr>
                <w:rFonts w:hint="eastAsia"/>
              </w:rPr>
              <w:t>5330</w:t>
            </w:r>
          </w:p>
        </w:tc>
      </w:tr>
      <w:tr w:rsidR="00EE56C0">
        <w:trPr>
          <w:trHeight w:val="425"/>
          <w:jc w:val="center"/>
        </w:trPr>
        <w:tc>
          <w:tcPr>
            <w:tcW w:w="315" w:type="pct"/>
            <w:vAlign w:val="center"/>
          </w:tcPr>
          <w:p w:rsidR="00EE56C0" w:rsidRDefault="000F36A1">
            <w:pPr>
              <w:pStyle w:val="afa"/>
            </w:pPr>
            <w:r>
              <w:rPr>
                <w:rFonts w:hint="eastAsia"/>
              </w:rPr>
              <w:t>26</w:t>
            </w:r>
          </w:p>
        </w:tc>
        <w:tc>
          <w:tcPr>
            <w:tcW w:w="1163" w:type="pct"/>
            <w:tcBorders>
              <w:right w:val="single" w:sz="4" w:space="0" w:color="auto"/>
            </w:tcBorders>
            <w:vAlign w:val="center"/>
          </w:tcPr>
          <w:p w:rsidR="00EE56C0" w:rsidRDefault="000F36A1">
            <w:pPr>
              <w:pStyle w:val="afa"/>
            </w:pPr>
            <w:r>
              <w:rPr>
                <w:rFonts w:hint="eastAsia"/>
              </w:rPr>
              <w:t>小张庄村</w:t>
            </w:r>
          </w:p>
        </w:tc>
        <w:tc>
          <w:tcPr>
            <w:tcW w:w="417" w:type="pct"/>
            <w:tcBorders>
              <w:left w:val="single" w:sz="4" w:space="0" w:color="auto"/>
              <w:right w:val="single" w:sz="4" w:space="0" w:color="auto"/>
            </w:tcBorders>
            <w:vAlign w:val="center"/>
          </w:tcPr>
          <w:p w:rsidR="00EE56C0" w:rsidRDefault="000F36A1">
            <w:pPr>
              <w:pStyle w:val="afa"/>
            </w:pPr>
            <w:r>
              <w:t>4605</w:t>
            </w:r>
          </w:p>
        </w:tc>
        <w:tc>
          <w:tcPr>
            <w:tcW w:w="498" w:type="pct"/>
            <w:tcBorders>
              <w:left w:val="single" w:sz="4" w:space="0" w:color="auto"/>
            </w:tcBorders>
            <w:vAlign w:val="center"/>
          </w:tcPr>
          <w:p w:rsidR="00EE56C0" w:rsidRDefault="000F36A1">
            <w:pPr>
              <w:pStyle w:val="afa"/>
            </w:pPr>
            <w:r>
              <w:t>-1599</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pPr>
            <w:r>
              <w:rPr>
                <w:rFonts w:hint="eastAsia"/>
              </w:rPr>
              <w:t>东南</w:t>
            </w:r>
          </w:p>
        </w:tc>
        <w:tc>
          <w:tcPr>
            <w:tcW w:w="475" w:type="pct"/>
            <w:vAlign w:val="center"/>
          </w:tcPr>
          <w:p w:rsidR="00EE56C0" w:rsidRDefault="000F36A1">
            <w:pPr>
              <w:pStyle w:val="afa"/>
            </w:pPr>
            <w:r>
              <w:rPr>
                <w:rFonts w:hint="eastAsia"/>
              </w:rPr>
              <w:t>3445</w:t>
            </w:r>
          </w:p>
        </w:tc>
      </w:tr>
      <w:tr w:rsidR="00EE56C0">
        <w:trPr>
          <w:trHeight w:val="425"/>
          <w:jc w:val="center"/>
        </w:trPr>
        <w:tc>
          <w:tcPr>
            <w:tcW w:w="315" w:type="pct"/>
            <w:vAlign w:val="center"/>
          </w:tcPr>
          <w:p w:rsidR="00EE56C0" w:rsidRDefault="000F36A1">
            <w:pPr>
              <w:pStyle w:val="afa"/>
            </w:pPr>
            <w:r>
              <w:rPr>
                <w:rFonts w:hint="eastAsia"/>
              </w:rPr>
              <w:t>27</w:t>
            </w:r>
          </w:p>
        </w:tc>
        <w:tc>
          <w:tcPr>
            <w:tcW w:w="1163" w:type="pct"/>
            <w:tcBorders>
              <w:right w:val="single" w:sz="4" w:space="0" w:color="auto"/>
            </w:tcBorders>
            <w:vAlign w:val="center"/>
          </w:tcPr>
          <w:p w:rsidR="00EE56C0" w:rsidRDefault="000F36A1">
            <w:pPr>
              <w:pStyle w:val="afa"/>
            </w:pPr>
            <w:r>
              <w:rPr>
                <w:rFonts w:hint="eastAsia"/>
              </w:rPr>
              <w:t>苗庄村</w:t>
            </w:r>
          </w:p>
        </w:tc>
        <w:tc>
          <w:tcPr>
            <w:tcW w:w="417" w:type="pct"/>
            <w:tcBorders>
              <w:left w:val="single" w:sz="4" w:space="0" w:color="auto"/>
              <w:right w:val="single" w:sz="4" w:space="0" w:color="auto"/>
            </w:tcBorders>
            <w:vAlign w:val="center"/>
          </w:tcPr>
          <w:p w:rsidR="00EE56C0" w:rsidRDefault="000F36A1">
            <w:pPr>
              <w:pStyle w:val="afa"/>
            </w:pPr>
            <w:r>
              <w:t>5840</w:t>
            </w:r>
          </w:p>
        </w:tc>
        <w:tc>
          <w:tcPr>
            <w:tcW w:w="498" w:type="pct"/>
            <w:tcBorders>
              <w:left w:val="single" w:sz="4" w:space="0" w:color="auto"/>
            </w:tcBorders>
            <w:vAlign w:val="center"/>
          </w:tcPr>
          <w:p w:rsidR="00EE56C0" w:rsidRDefault="000F36A1">
            <w:pPr>
              <w:pStyle w:val="afa"/>
            </w:pPr>
            <w:r>
              <w:t>-2202</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pPr>
            <w:r>
              <w:rPr>
                <w:rFonts w:hint="eastAsia"/>
              </w:rPr>
              <w:t>东南</w:t>
            </w:r>
          </w:p>
        </w:tc>
        <w:tc>
          <w:tcPr>
            <w:tcW w:w="475" w:type="pct"/>
            <w:vAlign w:val="center"/>
          </w:tcPr>
          <w:p w:rsidR="00EE56C0" w:rsidRDefault="000F36A1">
            <w:pPr>
              <w:pStyle w:val="afa"/>
            </w:pPr>
            <w:r>
              <w:rPr>
                <w:rFonts w:hint="eastAsia"/>
              </w:rPr>
              <w:t>4520</w:t>
            </w:r>
          </w:p>
        </w:tc>
      </w:tr>
      <w:tr w:rsidR="00EE56C0">
        <w:trPr>
          <w:trHeight w:val="425"/>
          <w:jc w:val="center"/>
        </w:trPr>
        <w:tc>
          <w:tcPr>
            <w:tcW w:w="315" w:type="pct"/>
            <w:vAlign w:val="center"/>
          </w:tcPr>
          <w:p w:rsidR="00EE56C0" w:rsidRDefault="000F36A1">
            <w:pPr>
              <w:pStyle w:val="afa"/>
            </w:pPr>
            <w:r>
              <w:rPr>
                <w:rFonts w:hint="eastAsia"/>
              </w:rPr>
              <w:t>28</w:t>
            </w:r>
          </w:p>
        </w:tc>
        <w:tc>
          <w:tcPr>
            <w:tcW w:w="1163" w:type="pct"/>
            <w:tcBorders>
              <w:right w:val="single" w:sz="4" w:space="0" w:color="auto"/>
            </w:tcBorders>
            <w:vAlign w:val="center"/>
          </w:tcPr>
          <w:p w:rsidR="00EE56C0" w:rsidRDefault="000F36A1">
            <w:pPr>
              <w:pStyle w:val="afa"/>
            </w:pPr>
            <w:r>
              <w:rPr>
                <w:rFonts w:hint="eastAsia"/>
              </w:rPr>
              <w:t>沟王村</w:t>
            </w:r>
          </w:p>
        </w:tc>
        <w:tc>
          <w:tcPr>
            <w:tcW w:w="417" w:type="pct"/>
            <w:tcBorders>
              <w:left w:val="single" w:sz="4" w:space="0" w:color="auto"/>
              <w:right w:val="single" w:sz="4" w:space="0" w:color="auto"/>
            </w:tcBorders>
            <w:vAlign w:val="center"/>
          </w:tcPr>
          <w:p w:rsidR="00EE56C0" w:rsidRDefault="000F36A1">
            <w:pPr>
              <w:pStyle w:val="afa"/>
            </w:pPr>
            <w:r>
              <w:t>5117</w:t>
            </w:r>
          </w:p>
        </w:tc>
        <w:tc>
          <w:tcPr>
            <w:tcW w:w="498" w:type="pct"/>
            <w:tcBorders>
              <w:left w:val="single" w:sz="4" w:space="0" w:color="auto"/>
            </w:tcBorders>
            <w:vAlign w:val="center"/>
          </w:tcPr>
          <w:p w:rsidR="00EE56C0" w:rsidRDefault="000F36A1">
            <w:pPr>
              <w:pStyle w:val="afa"/>
            </w:pPr>
            <w:r>
              <w:t>-801</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pPr>
            <w:r>
              <w:rPr>
                <w:rFonts w:hint="eastAsia"/>
              </w:rPr>
              <w:t>东南</w:t>
            </w:r>
          </w:p>
        </w:tc>
        <w:tc>
          <w:tcPr>
            <w:tcW w:w="475" w:type="pct"/>
            <w:vAlign w:val="center"/>
          </w:tcPr>
          <w:p w:rsidR="00EE56C0" w:rsidRDefault="000F36A1">
            <w:pPr>
              <w:pStyle w:val="afa"/>
            </w:pPr>
            <w:r>
              <w:rPr>
                <w:rFonts w:hint="eastAsia"/>
              </w:rPr>
              <w:t>3640</w:t>
            </w:r>
          </w:p>
        </w:tc>
      </w:tr>
      <w:tr w:rsidR="00EE56C0">
        <w:trPr>
          <w:trHeight w:val="425"/>
          <w:jc w:val="center"/>
        </w:trPr>
        <w:tc>
          <w:tcPr>
            <w:tcW w:w="315" w:type="pct"/>
            <w:vAlign w:val="center"/>
          </w:tcPr>
          <w:p w:rsidR="00EE56C0" w:rsidRDefault="000F36A1">
            <w:pPr>
              <w:pStyle w:val="afa"/>
            </w:pPr>
            <w:r>
              <w:rPr>
                <w:rFonts w:hint="eastAsia"/>
              </w:rPr>
              <w:t>29</w:t>
            </w:r>
          </w:p>
        </w:tc>
        <w:tc>
          <w:tcPr>
            <w:tcW w:w="1163" w:type="pct"/>
            <w:tcBorders>
              <w:right w:val="single" w:sz="4" w:space="0" w:color="auto"/>
            </w:tcBorders>
            <w:vAlign w:val="center"/>
          </w:tcPr>
          <w:p w:rsidR="00EE56C0" w:rsidRDefault="000F36A1">
            <w:pPr>
              <w:pStyle w:val="afa"/>
            </w:pPr>
            <w:r>
              <w:rPr>
                <w:rFonts w:hint="eastAsia"/>
              </w:rPr>
              <w:t>八柳树村</w:t>
            </w:r>
          </w:p>
        </w:tc>
        <w:tc>
          <w:tcPr>
            <w:tcW w:w="417" w:type="pct"/>
            <w:tcBorders>
              <w:left w:val="single" w:sz="4" w:space="0" w:color="auto"/>
              <w:right w:val="single" w:sz="4" w:space="0" w:color="auto"/>
            </w:tcBorders>
            <w:vAlign w:val="center"/>
          </w:tcPr>
          <w:p w:rsidR="00EE56C0" w:rsidRDefault="000F36A1">
            <w:pPr>
              <w:pStyle w:val="afa"/>
            </w:pPr>
            <w:r>
              <w:t>4726</w:t>
            </w:r>
          </w:p>
        </w:tc>
        <w:tc>
          <w:tcPr>
            <w:tcW w:w="498" w:type="pct"/>
            <w:tcBorders>
              <w:left w:val="single" w:sz="4" w:space="0" w:color="auto"/>
            </w:tcBorders>
            <w:vAlign w:val="center"/>
          </w:tcPr>
          <w:p w:rsidR="00EE56C0" w:rsidRDefault="000F36A1">
            <w:pPr>
              <w:pStyle w:val="afa"/>
            </w:pPr>
            <w:r>
              <w:t>1036</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pPr>
            <w:r>
              <w:rPr>
                <w:rFonts w:hint="eastAsia"/>
              </w:rPr>
              <w:t>东北</w:t>
            </w:r>
          </w:p>
        </w:tc>
        <w:tc>
          <w:tcPr>
            <w:tcW w:w="475" w:type="pct"/>
            <w:vAlign w:val="center"/>
          </w:tcPr>
          <w:p w:rsidR="00EE56C0" w:rsidRDefault="000F36A1">
            <w:pPr>
              <w:pStyle w:val="afa"/>
            </w:pPr>
            <w:r>
              <w:rPr>
                <w:rFonts w:hint="eastAsia"/>
              </w:rPr>
              <w:t>3580</w:t>
            </w:r>
          </w:p>
        </w:tc>
      </w:tr>
      <w:tr w:rsidR="00EE56C0">
        <w:trPr>
          <w:trHeight w:val="425"/>
          <w:jc w:val="center"/>
        </w:trPr>
        <w:tc>
          <w:tcPr>
            <w:tcW w:w="315" w:type="pct"/>
            <w:vAlign w:val="center"/>
          </w:tcPr>
          <w:p w:rsidR="00EE56C0" w:rsidRDefault="000F36A1">
            <w:pPr>
              <w:pStyle w:val="afa"/>
            </w:pPr>
            <w:r>
              <w:rPr>
                <w:rFonts w:hint="eastAsia"/>
              </w:rPr>
              <w:t>30</w:t>
            </w:r>
          </w:p>
        </w:tc>
        <w:tc>
          <w:tcPr>
            <w:tcW w:w="1163" w:type="pct"/>
            <w:tcBorders>
              <w:right w:val="single" w:sz="4" w:space="0" w:color="auto"/>
            </w:tcBorders>
            <w:vAlign w:val="center"/>
          </w:tcPr>
          <w:p w:rsidR="00EE56C0" w:rsidRDefault="000F36A1">
            <w:pPr>
              <w:pStyle w:val="afa"/>
            </w:pPr>
            <w:r>
              <w:rPr>
                <w:rFonts w:hint="eastAsia"/>
              </w:rPr>
              <w:t>宋庄村</w:t>
            </w:r>
          </w:p>
        </w:tc>
        <w:tc>
          <w:tcPr>
            <w:tcW w:w="417" w:type="pct"/>
            <w:tcBorders>
              <w:left w:val="single" w:sz="4" w:space="0" w:color="auto"/>
              <w:right w:val="single" w:sz="4" w:space="0" w:color="auto"/>
            </w:tcBorders>
            <w:vAlign w:val="center"/>
          </w:tcPr>
          <w:p w:rsidR="00EE56C0" w:rsidRDefault="000F36A1">
            <w:pPr>
              <w:pStyle w:val="afa"/>
            </w:pPr>
            <w:r>
              <w:t>3220</w:t>
            </w:r>
          </w:p>
        </w:tc>
        <w:tc>
          <w:tcPr>
            <w:tcW w:w="498" w:type="pct"/>
            <w:tcBorders>
              <w:left w:val="single" w:sz="4" w:space="0" w:color="auto"/>
            </w:tcBorders>
            <w:vAlign w:val="center"/>
          </w:tcPr>
          <w:p w:rsidR="00EE56C0" w:rsidRDefault="000F36A1">
            <w:pPr>
              <w:pStyle w:val="afa"/>
            </w:pPr>
            <w:r>
              <w:t>2918</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pPr>
            <w:r>
              <w:rPr>
                <w:rFonts w:hint="eastAsia"/>
              </w:rPr>
              <w:t>东北</w:t>
            </w:r>
          </w:p>
        </w:tc>
        <w:tc>
          <w:tcPr>
            <w:tcW w:w="475" w:type="pct"/>
            <w:vAlign w:val="center"/>
          </w:tcPr>
          <w:p w:rsidR="00EE56C0" w:rsidRDefault="000F36A1">
            <w:pPr>
              <w:pStyle w:val="afa"/>
            </w:pPr>
            <w:r>
              <w:rPr>
                <w:rFonts w:hint="eastAsia"/>
              </w:rPr>
              <w:t>3420</w:t>
            </w:r>
          </w:p>
        </w:tc>
      </w:tr>
      <w:tr w:rsidR="00EE56C0">
        <w:trPr>
          <w:trHeight w:val="425"/>
          <w:jc w:val="center"/>
        </w:trPr>
        <w:tc>
          <w:tcPr>
            <w:tcW w:w="315" w:type="pct"/>
            <w:vAlign w:val="center"/>
          </w:tcPr>
          <w:p w:rsidR="00EE56C0" w:rsidRDefault="000F36A1">
            <w:pPr>
              <w:pStyle w:val="afa"/>
            </w:pPr>
            <w:r>
              <w:rPr>
                <w:rFonts w:hint="eastAsia"/>
              </w:rPr>
              <w:t>31</w:t>
            </w:r>
          </w:p>
        </w:tc>
        <w:tc>
          <w:tcPr>
            <w:tcW w:w="1163" w:type="pct"/>
            <w:tcBorders>
              <w:right w:val="single" w:sz="4" w:space="0" w:color="auto"/>
            </w:tcBorders>
            <w:vAlign w:val="center"/>
          </w:tcPr>
          <w:p w:rsidR="00EE56C0" w:rsidRDefault="000F36A1">
            <w:pPr>
              <w:pStyle w:val="afa"/>
            </w:pPr>
            <w:r>
              <w:rPr>
                <w:rFonts w:hint="eastAsia"/>
              </w:rPr>
              <w:t>东王庄村</w:t>
            </w:r>
          </w:p>
        </w:tc>
        <w:tc>
          <w:tcPr>
            <w:tcW w:w="417" w:type="pct"/>
            <w:tcBorders>
              <w:left w:val="single" w:sz="4" w:space="0" w:color="auto"/>
              <w:right w:val="single" w:sz="4" w:space="0" w:color="auto"/>
            </w:tcBorders>
            <w:vAlign w:val="center"/>
          </w:tcPr>
          <w:p w:rsidR="00EE56C0" w:rsidRDefault="000F36A1">
            <w:pPr>
              <w:pStyle w:val="afa"/>
            </w:pPr>
            <w:r>
              <w:t>3898</w:t>
            </w:r>
          </w:p>
        </w:tc>
        <w:tc>
          <w:tcPr>
            <w:tcW w:w="498" w:type="pct"/>
            <w:tcBorders>
              <w:left w:val="single" w:sz="4" w:space="0" w:color="auto"/>
            </w:tcBorders>
            <w:vAlign w:val="center"/>
          </w:tcPr>
          <w:p w:rsidR="00EE56C0" w:rsidRDefault="000F36A1">
            <w:pPr>
              <w:pStyle w:val="afa"/>
            </w:pPr>
            <w:r>
              <w:t>3881</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int="eastAsia"/>
              </w:rPr>
              <w:t>东北</w:t>
            </w:r>
          </w:p>
        </w:tc>
        <w:tc>
          <w:tcPr>
            <w:tcW w:w="475" w:type="pct"/>
            <w:vAlign w:val="center"/>
          </w:tcPr>
          <w:p w:rsidR="00EE56C0" w:rsidRDefault="000F36A1">
            <w:pPr>
              <w:pStyle w:val="afa"/>
            </w:pPr>
            <w:r>
              <w:rPr>
                <w:rFonts w:hint="eastAsia"/>
              </w:rPr>
              <w:t>4480</w:t>
            </w:r>
          </w:p>
        </w:tc>
      </w:tr>
      <w:tr w:rsidR="00EE56C0">
        <w:trPr>
          <w:trHeight w:val="425"/>
          <w:jc w:val="center"/>
        </w:trPr>
        <w:tc>
          <w:tcPr>
            <w:tcW w:w="315" w:type="pct"/>
            <w:vAlign w:val="center"/>
          </w:tcPr>
          <w:p w:rsidR="00EE56C0" w:rsidRDefault="000F36A1">
            <w:pPr>
              <w:pStyle w:val="afa"/>
            </w:pPr>
            <w:r>
              <w:rPr>
                <w:rFonts w:hint="eastAsia"/>
              </w:rPr>
              <w:t>32</w:t>
            </w:r>
          </w:p>
        </w:tc>
        <w:tc>
          <w:tcPr>
            <w:tcW w:w="1163" w:type="pct"/>
            <w:tcBorders>
              <w:right w:val="single" w:sz="4" w:space="0" w:color="auto"/>
            </w:tcBorders>
            <w:vAlign w:val="center"/>
          </w:tcPr>
          <w:p w:rsidR="00EE56C0" w:rsidRDefault="000F36A1">
            <w:pPr>
              <w:pStyle w:val="afa"/>
            </w:pPr>
            <w:r>
              <w:rPr>
                <w:rFonts w:hint="eastAsia"/>
              </w:rPr>
              <w:t>大兴村</w:t>
            </w:r>
          </w:p>
        </w:tc>
        <w:tc>
          <w:tcPr>
            <w:tcW w:w="417" w:type="pct"/>
            <w:tcBorders>
              <w:left w:val="single" w:sz="4" w:space="0" w:color="auto"/>
              <w:right w:val="single" w:sz="4" w:space="0" w:color="auto"/>
            </w:tcBorders>
            <w:vAlign w:val="center"/>
          </w:tcPr>
          <w:p w:rsidR="00EE56C0" w:rsidRDefault="000F36A1">
            <w:pPr>
              <w:pStyle w:val="afa"/>
            </w:pPr>
            <w:r>
              <w:t>1790</w:t>
            </w:r>
          </w:p>
        </w:tc>
        <w:tc>
          <w:tcPr>
            <w:tcW w:w="498" w:type="pct"/>
            <w:tcBorders>
              <w:left w:val="single" w:sz="4" w:space="0" w:color="auto"/>
            </w:tcBorders>
            <w:vAlign w:val="center"/>
          </w:tcPr>
          <w:p w:rsidR="00EE56C0" w:rsidRDefault="000F36A1">
            <w:pPr>
              <w:pStyle w:val="afa"/>
            </w:pPr>
            <w:r>
              <w:t>4785</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int="eastAsia"/>
              </w:rPr>
              <w:t>东北</w:t>
            </w:r>
          </w:p>
        </w:tc>
        <w:tc>
          <w:tcPr>
            <w:tcW w:w="475" w:type="pct"/>
            <w:vAlign w:val="center"/>
          </w:tcPr>
          <w:p w:rsidR="00EE56C0" w:rsidRDefault="000F36A1">
            <w:pPr>
              <w:pStyle w:val="afa"/>
            </w:pPr>
            <w:r>
              <w:rPr>
                <w:rFonts w:hint="eastAsia"/>
              </w:rPr>
              <w:t>4340</w:t>
            </w:r>
          </w:p>
        </w:tc>
      </w:tr>
      <w:tr w:rsidR="00EE56C0">
        <w:trPr>
          <w:trHeight w:val="425"/>
          <w:jc w:val="center"/>
        </w:trPr>
        <w:tc>
          <w:tcPr>
            <w:tcW w:w="315" w:type="pct"/>
            <w:vAlign w:val="center"/>
          </w:tcPr>
          <w:p w:rsidR="00EE56C0" w:rsidRDefault="000F36A1">
            <w:pPr>
              <w:pStyle w:val="afa"/>
            </w:pPr>
            <w:r>
              <w:rPr>
                <w:rFonts w:hint="eastAsia"/>
              </w:rPr>
              <w:t>33</w:t>
            </w:r>
          </w:p>
        </w:tc>
        <w:tc>
          <w:tcPr>
            <w:tcW w:w="1163" w:type="pct"/>
            <w:tcBorders>
              <w:right w:val="single" w:sz="4" w:space="0" w:color="auto"/>
            </w:tcBorders>
            <w:vAlign w:val="center"/>
          </w:tcPr>
          <w:p w:rsidR="00EE56C0" w:rsidRDefault="000F36A1">
            <w:pPr>
              <w:pStyle w:val="afa"/>
            </w:pPr>
            <w:r>
              <w:rPr>
                <w:rFonts w:hint="eastAsia"/>
              </w:rPr>
              <w:t>东贾城村</w:t>
            </w:r>
          </w:p>
        </w:tc>
        <w:tc>
          <w:tcPr>
            <w:tcW w:w="417" w:type="pct"/>
            <w:tcBorders>
              <w:left w:val="single" w:sz="4" w:space="0" w:color="auto"/>
              <w:right w:val="single" w:sz="4" w:space="0" w:color="auto"/>
            </w:tcBorders>
            <w:vAlign w:val="center"/>
          </w:tcPr>
          <w:p w:rsidR="00EE56C0" w:rsidRDefault="000F36A1">
            <w:pPr>
              <w:pStyle w:val="afa"/>
            </w:pPr>
            <w:r>
              <w:t>-1041</w:t>
            </w:r>
          </w:p>
        </w:tc>
        <w:tc>
          <w:tcPr>
            <w:tcW w:w="498" w:type="pct"/>
            <w:tcBorders>
              <w:left w:val="single" w:sz="4" w:space="0" w:color="auto"/>
            </w:tcBorders>
            <w:vAlign w:val="center"/>
          </w:tcPr>
          <w:p w:rsidR="00EE56C0" w:rsidRDefault="000F36A1">
            <w:pPr>
              <w:pStyle w:val="afa"/>
            </w:pPr>
            <w:r>
              <w:t>4800</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Ansi="宋体" w:hint="eastAsia"/>
              </w:rPr>
              <w:t>北</w:t>
            </w:r>
          </w:p>
        </w:tc>
        <w:tc>
          <w:tcPr>
            <w:tcW w:w="475" w:type="pct"/>
            <w:vAlign w:val="center"/>
          </w:tcPr>
          <w:p w:rsidR="00EE56C0" w:rsidRDefault="000F36A1">
            <w:pPr>
              <w:pStyle w:val="afa"/>
            </w:pPr>
            <w:r>
              <w:rPr>
                <w:rFonts w:hint="eastAsia"/>
              </w:rPr>
              <w:t>4250</w:t>
            </w:r>
          </w:p>
        </w:tc>
      </w:tr>
      <w:tr w:rsidR="00EE56C0">
        <w:trPr>
          <w:trHeight w:val="425"/>
          <w:jc w:val="center"/>
        </w:trPr>
        <w:tc>
          <w:tcPr>
            <w:tcW w:w="315" w:type="pct"/>
            <w:vAlign w:val="center"/>
          </w:tcPr>
          <w:p w:rsidR="00EE56C0" w:rsidRDefault="000F36A1">
            <w:pPr>
              <w:pStyle w:val="afa"/>
            </w:pPr>
            <w:r>
              <w:rPr>
                <w:rFonts w:hint="eastAsia"/>
              </w:rPr>
              <w:t>34</w:t>
            </w:r>
          </w:p>
        </w:tc>
        <w:tc>
          <w:tcPr>
            <w:tcW w:w="1163" w:type="pct"/>
            <w:tcBorders>
              <w:right w:val="single" w:sz="4" w:space="0" w:color="auto"/>
            </w:tcBorders>
            <w:vAlign w:val="center"/>
          </w:tcPr>
          <w:p w:rsidR="00EE56C0" w:rsidRDefault="000F36A1">
            <w:pPr>
              <w:pStyle w:val="afa"/>
            </w:pPr>
            <w:r>
              <w:rPr>
                <w:rFonts w:hint="eastAsia"/>
              </w:rPr>
              <w:t>高村</w:t>
            </w:r>
          </w:p>
        </w:tc>
        <w:tc>
          <w:tcPr>
            <w:tcW w:w="417" w:type="pct"/>
            <w:tcBorders>
              <w:left w:val="single" w:sz="4" w:space="0" w:color="auto"/>
              <w:right w:val="single" w:sz="4" w:space="0" w:color="auto"/>
            </w:tcBorders>
            <w:vAlign w:val="center"/>
          </w:tcPr>
          <w:p w:rsidR="00EE56C0" w:rsidRDefault="000F36A1">
            <w:pPr>
              <w:pStyle w:val="afa"/>
            </w:pPr>
            <w:r>
              <w:t>-2155</w:t>
            </w:r>
          </w:p>
        </w:tc>
        <w:tc>
          <w:tcPr>
            <w:tcW w:w="498" w:type="pct"/>
            <w:tcBorders>
              <w:left w:val="single" w:sz="4" w:space="0" w:color="auto"/>
            </w:tcBorders>
            <w:vAlign w:val="center"/>
          </w:tcPr>
          <w:p w:rsidR="00EE56C0" w:rsidRDefault="000F36A1">
            <w:pPr>
              <w:pStyle w:val="afa"/>
            </w:pPr>
            <w:r>
              <w:t>4122</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Ansi="宋体" w:hint="eastAsia"/>
              </w:rPr>
              <w:t>西北</w:t>
            </w:r>
          </w:p>
        </w:tc>
        <w:tc>
          <w:tcPr>
            <w:tcW w:w="475" w:type="pct"/>
            <w:vAlign w:val="center"/>
          </w:tcPr>
          <w:p w:rsidR="00EE56C0" w:rsidRDefault="000F36A1">
            <w:pPr>
              <w:pStyle w:val="afa"/>
            </w:pPr>
            <w:r>
              <w:rPr>
                <w:rFonts w:hint="eastAsia"/>
              </w:rPr>
              <w:t>3940</w:t>
            </w:r>
          </w:p>
        </w:tc>
      </w:tr>
      <w:tr w:rsidR="00EE56C0">
        <w:trPr>
          <w:trHeight w:val="425"/>
          <w:jc w:val="center"/>
        </w:trPr>
        <w:tc>
          <w:tcPr>
            <w:tcW w:w="315" w:type="pct"/>
            <w:vAlign w:val="center"/>
          </w:tcPr>
          <w:p w:rsidR="00EE56C0" w:rsidRDefault="000F36A1">
            <w:pPr>
              <w:pStyle w:val="afa"/>
            </w:pPr>
            <w:r>
              <w:rPr>
                <w:rFonts w:hint="eastAsia"/>
              </w:rPr>
              <w:t>35</w:t>
            </w:r>
          </w:p>
        </w:tc>
        <w:tc>
          <w:tcPr>
            <w:tcW w:w="1163" w:type="pct"/>
            <w:tcBorders>
              <w:right w:val="single" w:sz="4" w:space="0" w:color="auto"/>
            </w:tcBorders>
            <w:vAlign w:val="center"/>
          </w:tcPr>
          <w:p w:rsidR="00EE56C0" w:rsidRDefault="000F36A1">
            <w:pPr>
              <w:pStyle w:val="afa"/>
            </w:pPr>
            <w:r>
              <w:rPr>
                <w:rFonts w:hint="eastAsia"/>
              </w:rPr>
              <w:t>侯庄村</w:t>
            </w:r>
          </w:p>
        </w:tc>
        <w:tc>
          <w:tcPr>
            <w:tcW w:w="417" w:type="pct"/>
            <w:tcBorders>
              <w:left w:val="single" w:sz="4" w:space="0" w:color="auto"/>
              <w:right w:val="single" w:sz="4" w:space="0" w:color="auto"/>
            </w:tcBorders>
            <w:vAlign w:val="center"/>
          </w:tcPr>
          <w:p w:rsidR="00EE56C0" w:rsidRDefault="000F36A1">
            <w:pPr>
              <w:pStyle w:val="afa"/>
            </w:pPr>
            <w:r>
              <w:t>-3676</w:t>
            </w:r>
          </w:p>
        </w:tc>
        <w:tc>
          <w:tcPr>
            <w:tcW w:w="498" w:type="pct"/>
            <w:tcBorders>
              <w:left w:val="single" w:sz="4" w:space="0" w:color="auto"/>
            </w:tcBorders>
            <w:vAlign w:val="center"/>
          </w:tcPr>
          <w:p w:rsidR="00EE56C0" w:rsidRDefault="000F36A1">
            <w:pPr>
              <w:pStyle w:val="afa"/>
            </w:pPr>
            <w:r>
              <w:t>4168</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Ansi="宋体" w:hint="eastAsia"/>
              </w:rPr>
              <w:t>西北</w:t>
            </w:r>
          </w:p>
        </w:tc>
        <w:tc>
          <w:tcPr>
            <w:tcW w:w="475" w:type="pct"/>
            <w:vAlign w:val="center"/>
          </w:tcPr>
          <w:p w:rsidR="00EE56C0" w:rsidRDefault="000F36A1">
            <w:pPr>
              <w:pStyle w:val="afa"/>
            </w:pPr>
            <w:r>
              <w:rPr>
                <w:rFonts w:hint="eastAsia"/>
              </w:rPr>
              <w:t>4500</w:t>
            </w:r>
          </w:p>
        </w:tc>
      </w:tr>
      <w:tr w:rsidR="00EE56C0">
        <w:trPr>
          <w:trHeight w:val="425"/>
          <w:jc w:val="center"/>
        </w:trPr>
        <w:tc>
          <w:tcPr>
            <w:tcW w:w="315" w:type="pct"/>
            <w:vAlign w:val="center"/>
          </w:tcPr>
          <w:p w:rsidR="00EE56C0" w:rsidRDefault="000F36A1">
            <w:pPr>
              <w:pStyle w:val="afa"/>
            </w:pPr>
            <w:r>
              <w:rPr>
                <w:rFonts w:hint="eastAsia"/>
              </w:rPr>
              <w:t>36</w:t>
            </w:r>
          </w:p>
        </w:tc>
        <w:tc>
          <w:tcPr>
            <w:tcW w:w="1163" w:type="pct"/>
            <w:tcBorders>
              <w:right w:val="single" w:sz="4" w:space="0" w:color="auto"/>
            </w:tcBorders>
            <w:vAlign w:val="center"/>
          </w:tcPr>
          <w:p w:rsidR="00EE56C0" w:rsidRDefault="000F36A1">
            <w:pPr>
              <w:pStyle w:val="afa"/>
            </w:pPr>
            <w:r>
              <w:rPr>
                <w:rFonts w:hint="eastAsia"/>
              </w:rPr>
              <w:t>东石碑村</w:t>
            </w:r>
          </w:p>
        </w:tc>
        <w:tc>
          <w:tcPr>
            <w:tcW w:w="417" w:type="pct"/>
            <w:tcBorders>
              <w:left w:val="single" w:sz="4" w:space="0" w:color="auto"/>
              <w:right w:val="single" w:sz="4" w:space="0" w:color="auto"/>
            </w:tcBorders>
            <w:vAlign w:val="center"/>
          </w:tcPr>
          <w:p w:rsidR="00EE56C0" w:rsidRDefault="000F36A1">
            <w:pPr>
              <w:pStyle w:val="afa"/>
            </w:pPr>
            <w:r>
              <w:t>-4323</w:t>
            </w:r>
          </w:p>
        </w:tc>
        <w:tc>
          <w:tcPr>
            <w:tcW w:w="498" w:type="pct"/>
            <w:tcBorders>
              <w:left w:val="single" w:sz="4" w:space="0" w:color="auto"/>
            </w:tcBorders>
            <w:vAlign w:val="center"/>
          </w:tcPr>
          <w:p w:rsidR="00EE56C0" w:rsidRDefault="000F36A1">
            <w:pPr>
              <w:pStyle w:val="afa"/>
            </w:pPr>
            <w:r>
              <w:t>3264</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Ansi="宋体" w:hint="eastAsia"/>
              </w:rPr>
              <w:t>西北</w:t>
            </w:r>
          </w:p>
        </w:tc>
        <w:tc>
          <w:tcPr>
            <w:tcW w:w="475" w:type="pct"/>
            <w:vAlign w:val="center"/>
          </w:tcPr>
          <w:p w:rsidR="00EE56C0" w:rsidRDefault="000F36A1">
            <w:pPr>
              <w:pStyle w:val="afa"/>
            </w:pPr>
            <w:r>
              <w:rPr>
                <w:rFonts w:hint="eastAsia"/>
              </w:rPr>
              <w:t>4100</w:t>
            </w:r>
          </w:p>
        </w:tc>
      </w:tr>
      <w:tr w:rsidR="00EE56C0">
        <w:trPr>
          <w:trHeight w:val="425"/>
          <w:jc w:val="center"/>
        </w:trPr>
        <w:tc>
          <w:tcPr>
            <w:tcW w:w="315" w:type="pct"/>
            <w:vAlign w:val="center"/>
          </w:tcPr>
          <w:p w:rsidR="00EE56C0" w:rsidRDefault="000F36A1">
            <w:pPr>
              <w:pStyle w:val="afa"/>
            </w:pPr>
            <w:r>
              <w:rPr>
                <w:rFonts w:hint="eastAsia"/>
              </w:rPr>
              <w:t>37</w:t>
            </w:r>
          </w:p>
        </w:tc>
        <w:tc>
          <w:tcPr>
            <w:tcW w:w="1163" w:type="pct"/>
            <w:tcBorders>
              <w:right w:val="single" w:sz="4" w:space="0" w:color="auto"/>
            </w:tcBorders>
            <w:vAlign w:val="center"/>
          </w:tcPr>
          <w:p w:rsidR="00EE56C0" w:rsidRDefault="000F36A1">
            <w:pPr>
              <w:pStyle w:val="afa"/>
            </w:pPr>
            <w:r>
              <w:rPr>
                <w:rFonts w:hint="eastAsia"/>
              </w:rPr>
              <w:t>杏庄村</w:t>
            </w:r>
          </w:p>
        </w:tc>
        <w:tc>
          <w:tcPr>
            <w:tcW w:w="417" w:type="pct"/>
            <w:tcBorders>
              <w:left w:val="single" w:sz="4" w:space="0" w:color="auto"/>
              <w:right w:val="single" w:sz="4" w:space="0" w:color="auto"/>
            </w:tcBorders>
            <w:vAlign w:val="center"/>
          </w:tcPr>
          <w:p w:rsidR="00EE56C0" w:rsidRDefault="000F36A1">
            <w:pPr>
              <w:pStyle w:val="afa"/>
            </w:pPr>
            <w:r>
              <w:t>-5302</w:t>
            </w:r>
          </w:p>
        </w:tc>
        <w:tc>
          <w:tcPr>
            <w:tcW w:w="498" w:type="pct"/>
            <w:tcBorders>
              <w:left w:val="single" w:sz="4" w:space="0" w:color="auto"/>
            </w:tcBorders>
            <w:vAlign w:val="center"/>
          </w:tcPr>
          <w:p w:rsidR="00EE56C0" w:rsidRDefault="000F36A1">
            <w:pPr>
              <w:pStyle w:val="afa"/>
            </w:pPr>
            <w:r>
              <w:t>3686</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Ansi="宋体" w:hint="eastAsia"/>
              </w:rPr>
              <w:t>西北</w:t>
            </w:r>
          </w:p>
        </w:tc>
        <w:tc>
          <w:tcPr>
            <w:tcW w:w="475" w:type="pct"/>
            <w:vAlign w:val="center"/>
          </w:tcPr>
          <w:p w:rsidR="00EE56C0" w:rsidRDefault="000F36A1">
            <w:pPr>
              <w:pStyle w:val="afa"/>
            </w:pPr>
            <w:r>
              <w:rPr>
                <w:rFonts w:hint="eastAsia"/>
              </w:rPr>
              <w:t>4850</w:t>
            </w:r>
          </w:p>
        </w:tc>
      </w:tr>
      <w:tr w:rsidR="00EE56C0">
        <w:trPr>
          <w:trHeight w:val="425"/>
          <w:jc w:val="center"/>
        </w:trPr>
        <w:tc>
          <w:tcPr>
            <w:tcW w:w="315" w:type="pct"/>
            <w:vAlign w:val="center"/>
          </w:tcPr>
          <w:p w:rsidR="00EE56C0" w:rsidRDefault="000F36A1">
            <w:pPr>
              <w:pStyle w:val="afa"/>
            </w:pPr>
            <w:r>
              <w:rPr>
                <w:rFonts w:hint="eastAsia"/>
              </w:rPr>
              <w:t>38</w:t>
            </w:r>
          </w:p>
        </w:tc>
        <w:tc>
          <w:tcPr>
            <w:tcW w:w="1163" w:type="pct"/>
            <w:tcBorders>
              <w:right w:val="single" w:sz="4" w:space="0" w:color="auto"/>
            </w:tcBorders>
            <w:vAlign w:val="center"/>
          </w:tcPr>
          <w:p w:rsidR="00EE56C0" w:rsidRDefault="000F36A1">
            <w:pPr>
              <w:pStyle w:val="afa"/>
            </w:pPr>
            <w:r>
              <w:rPr>
                <w:rFonts w:hint="eastAsia"/>
              </w:rPr>
              <w:t>敦留店村</w:t>
            </w:r>
          </w:p>
        </w:tc>
        <w:tc>
          <w:tcPr>
            <w:tcW w:w="417" w:type="pct"/>
            <w:tcBorders>
              <w:left w:val="single" w:sz="4" w:space="0" w:color="auto"/>
              <w:right w:val="single" w:sz="4" w:space="0" w:color="auto"/>
            </w:tcBorders>
            <w:vAlign w:val="center"/>
          </w:tcPr>
          <w:p w:rsidR="00EE56C0" w:rsidRDefault="000F36A1">
            <w:pPr>
              <w:pStyle w:val="afa"/>
            </w:pPr>
            <w:r>
              <w:t>-5196</w:t>
            </w:r>
          </w:p>
        </w:tc>
        <w:tc>
          <w:tcPr>
            <w:tcW w:w="498" w:type="pct"/>
            <w:tcBorders>
              <w:left w:val="single" w:sz="4" w:space="0" w:color="auto"/>
            </w:tcBorders>
            <w:vAlign w:val="center"/>
          </w:tcPr>
          <w:p w:rsidR="00EE56C0" w:rsidRDefault="000F36A1">
            <w:pPr>
              <w:pStyle w:val="afa"/>
            </w:pPr>
            <w:r>
              <w:t>1969</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rPr>
                <w:rFonts w:hAnsi="宋体"/>
              </w:rPr>
            </w:pPr>
            <w:r>
              <w:rPr>
                <w:rFonts w:hAnsi="宋体" w:hint="eastAsia"/>
              </w:rPr>
              <w:t>西北</w:t>
            </w:r>
          </w:p>
        </w:tc>
        <w:tc>
          <w:tcPr>
            <w:tcW w:w="475" w:type="pct"/>
            <w:vAlign w:val="center"/>
          </w:tcPr>
          <w:p w:rsidR="00EE56C0" w:rsidRDefault="000F36A1">
            <w:pPr>
              <w:pStyle w:val="afa"/>
            </w:pPr>
            <w:r>
              <w:rPr>
                <w:rFonts w:hint="eastAsia"/>
              </w:rPr>
              <w:t>3760</w:t>
            </w:r>
          </w:p>
        </w:tc>
      </w:tr>
      <w:tr w:rsidR="00EE56C0">
        <w:trPr>
          <w:trHeight w:val="425"/>
          <w:jc w:val="center"/>
        </w:trPr>
        <w:tc>
          <w:tcPr>
            <w:tcW w:w="315" w:type="pct"/>
            <w:vAlign w:val="center"/>
          </w:tcPr>
          <w:p w:rsidR="00EE56C0" w:rsidRDefault="000F36A1">
            <w:pPr>
              <w:pStyle w:val="afa"/>
            </w:pPr>
            <w:r>
              <w:rPr>
                <w:rFonts w:hint="eastAsia"/>
              </w:rPr>
              <w:lastRenderedPageBreak/>
              <w:t>39</w:t>
            </w:r>
          </w:p>
        </w:tc>
        <w:tc>
          <w:tcPr>
            <w:tcW w:w="1163" w:type="pct"/>
            <w:tcBorders>
              <w:right w:val="single" w:sz="4" w:space="0" w:color="auto"/>
            </w:tcBorders>
            <w:vAlign w:val="center"/>
          </w:tcPr>
          <w:p w:rsidR="00EE56C0" w:rsidRDefault="000F36A1">
            <w:pPr>
              <w:pStyle w:val="afa"/>
            </w:pPr>
            <w:r>
              <w:rPr>
                <w:rFonts w:hint="eastAsia"/>
              </w:rPr>
              <w:t>李道堤村</w:t>
            </w:r>
          </w:p>
        </w:tc>
        <w:tc>
          <w:tcPr>
            <w:tcW w:w="417" w:type="pct"/>
            <w:tcBorders>
              <w:left w:val="single" w:sz="4" w:space="0" w:color="auto"/>
              <w:right w:val="single" w:sz="4" w:space="0" w:color="auto"/>
            </w:tcBorders>
            <w:vAlign w:val="center"/>
          </w:tcPr>
          <w:p w:rsidR="00EE56C0" w:rsidRDefault="000F36A1">
            <w:pPr>
              <w:pStyle w:val="afa"/>
            </w:pPr>
            <w:r>
              <w:t>-6025</w:t>
            </w:r>
          </w:p>
        </w:tc>
        <w:tc>
          <w:tcPr>
            <w:tcW w:w="498" w:type="pct"/>
            <w:tcBorders>
              <w:left w:val="single" w:sz="4" w:space="0" w:color="auto"/>
            </w:tcBorders>
            <w:vAlign w:val="center"/>
          </w:tcPr>
          <w:p w:rsidR="00EE56C0" w:rsidRDefault="000F36A1">
            <w:pPr>
              <w:pStyle w:val="afa"/>
            </w:pPr>
            <w:r>
              <w:t>2225</w:t>
            </w:r>
          </w:p>
        </w:tc>
        <w:tc>
          <w:tcPr>
            <w:tcW w:w="665" w:type="pct"/>
            <w:tcBorders>
              <w:right w:val="single" w:sz="4" w:space="0" w:color="auto"/>
            </w:tcBorders>
            <w:vAlign w:val="center"/>
          </w:tcPr>
          <w:p w:rsidR="00EE56C0" w:rsidRDefault="000F36A1">
            <w:pPr>
              <w:pStyle w:val="afa"/>
            </w:pPr>
            <w:r>
              <w:rPr>
                <w:rFonts w:hAnsi="宋体"/>
              </w:rPr>
              <w:t>村庄</w:t>
            </w:r>
          </w:p>
        </w:tc>
        <w:tc>
          <w:tcPr>
            <w:tcW w:w="915" w:type="pct"/>
            <w:tcBorders>
              <w:left w:val="single" w:sz="4" w:space="0" w:color="auto"/>
              <w:right w:val="single" w:sz="4" w:space="0" w:color="auto"/>
            </w:tcBorders>
            <w:vAlign w:val="center"/>
          </w:tcPr>
          <w:p w:rsidR="00EE56C0" w:rsidRDefault="000F36A1">
            <w:pPr>
              <w:pStyle w:val="afa"/>
            </w:pPr>
            <w:r>
              <w:rPr>
                <w:rFonts w:hAnsi="宋体"/>
              </w:rPr>
              <w:t>居民</w:t>
            </w:r>
          </w:p>
        </w:tc>
        <w:tc>
          <w:tcPr>
            <w:tcW w:w="553" w:type="pct"/>
            <w:tcBorders>
              <w:left w:val="single" w:sz="4" w:space="0" w:color="auto"/>
            </w:tcBorders>
            <w:vAlign w:val="center"/>
          </w:tcPr>
          <w:p w:rsidR="00EE56C0" w:rsidRDefault="000F36A1">
            <w:pPr>
              <w:pStyle w:val="afa"/>
            </w:pPr>
            <w:r>
              <w:rPr>
                <w:rFonts w:hAnsi="宋体" w:hint="eastAsia"/>
              </w:rPr>
              <w:t>西北</w:t>
            </w:r>
          </w:p>
        </w:tc>
        <w:tc>
          <w:tcPr>
            <w:tcW w:w="475" w:type="pct"/>
            <w:vAlign w:val="center"/>
          </w:tcPr>
          <w:p w:rsidR="00EE56C0" w:rsidRDefault="000F36A1">
            <w:pPr>
              <w:pStyle w:val="afa"/>
            </w:pPr>
            <w:r>
              <w:rPr>
                <w:rFonts w:hint="eastAsia"/>
              </w:rPr>
              <w:t>4520</w:t>
            </w:r>
          </w:p>
        </w:tc>
      </w:tr>
    </w:tbl>
    <w:p w:rsidR="00EE56C0" w:rsidRDefault="000F36A1">
      <w:pPr>
        <w:pStyle w:val="3"/>
        <w:spacing w:before="240" w:after="120"/>
      </w:pPr>
      <w:r>
        <w:rPr>
          <w:rFonts w:hint="eastAsia"/>
        </w:rPr>
        <w:t>5.7.3</w:t>
      </w:r>
      <w:r>
        <w:rPr>
          <w:rFonts w:hint="eastAsia"/>
        </w:rPr>
        <w:t>环境风险潜势初判</w:t>
      </w:r>
    </w:p>
    <w:p w:rsidR="00EE56C0" w:rsidRDefault="000F36A1">
      <w:pPr>
        <w:ind w:firstLine="480"/>
      </w:pPr>
      <w:r>
        <w:rPr>
          <w:rFonts w:hint="eastAsia"/>
        </w:rPr>
        <w:t>根据《建设项目环境风险评价技术导则》（</w:t>
      </w:r>
      <w:r>
        <w:rPr>
          <w:rFonts w:hint="eastAsia"/>
        </w:rPr>
        <w:t>HJ/T169-20</w:t>
      </w:r>
      <w:r>
        <w:t>18</w:t>
      </w:r>
      <w:r>
        <w:rPr>
          <w:rFonts w:hint="eastAsia"/>
        </w:rPr>
        <w:t>）附录</w:t>
      </w:r>
      <w:r>
        <w:rPr>
          <w:rFonts w:hint="eastAsia"/>
        </w:rPr>
        <w:t>B</w:t>
      </w:r>
      <w:r>
        <w:rPr>
          <w:rFonts w:hint="eastAsia"/>
        </w:rPr>
        <w:t>的突发环境事件风险物质及临界量表，本项目不涉及有临界量的物质，且不含有急性毒性物质。因此，根据《建设项目环境风险评价技术导则》（</w:t>
      </w:r>
      <w:r>
        <w:t>HJ/T169-2018</w:t>
      </w:r>
      <w:r>
        <w:rPr>
          <w:rFonts w:hint="eastAsia"/>
        </w:rPr>
        <w:t>）附录</w:t>
      </w:r>
      <w:r>
        <w:t>C</w:t>
      </w:r>
      <w:r>
        <w:rPr>
          <w:rFonts w:hint="eastAsia"/>
        </w:rPr>
        <w:t>可以得出，可以认为本项目物质总量与临界量比值：</w:t>
      </w:r>
      <w:r>
        <w:t>Q&lt;1</w:t>
      </w:r>
      <w:r>
        <w:rPr>
          <w:rFonts w:hint="eastAsia"/>
        </w:rPr>
        <w:t>，因此本项目环境风险潜势为</w:t>
      </w:r>
      <w:r>
        <w:rPr>
          <w:rFonts w:ascii="宋体" w:hAnsi="宋体" w:cs="宋体" w:hint="eastAsia"/>
        </w:rPr>
        <w:t>Ⅰ</w:t>
      </w:r>
      <w:r>
        <w:rPr>
          <w:rFonts w:hint="eastAsia"/>
        </w:rPr>
        <w:t>。</w:t>
      </w:r>
    </w:p>
    <w:p w:rsidR="00EE56C0" w:rsidRDefault="000F36A1">
      <w:pPr>
        <w:pStyle w:val="3"/>
        <w:spacing w:before="240" w:after="120"/>
      </w:pPr>
      <w:r>
        <w:rPr>
          <w:rFonts w:hint="eastAsia"/>
        </w:rPr>
        <w:t>5.7.4</w:t>
      </w:r>
      <w:r>
        <w:rPr>
          <w:rFonts w:hint="eastAsia"/>
        </w:rPr>
        <w:t>评价工作等级</w:t>
      </w:r>
    </w:p>
    <w:p w:rsidR="00EE56C0" w:rsidRDefault="000F36A1">
      <w:pPr>
        <w:ind w:firstLine="480"/>
      </w:pPr>
      <w:r>
        <w:rPr>
          <w:rFonts w:hint="eastAsia"/>
        </w:rPr>
        <w:t>根据《建设项目环境风险评价技术导则》（</w:t>
      </w:r>
      <w:r>
        <w:rPr>
          <w:rFonts w:hint="eastAsia"/>
        </w:rPr>
        <w:t>HJ/T169-2018</w:t>
      </w:r>
      <w:r>
        <w:rPr>
          <w:rFonts w:hint="eastAsia"/>
        </w:rPr>
        <w:t>），风险评价工作级别划分见表</w:t>
      </w:r>
      <w:r>
        <w:t>5-</w:t>
      </w:r>
      <w:r w:rsidR="005767FB">
        <w:rPr>
          <w:rFonts w:hint="eastAsia"/>
        </w:rPr>
        <w:t>56</w:t>
      </w:r>
      <w:r>
        <w:rPr>
          <w:rFonts w:hint="eastAsia"/>
        </w:rPr>
        <w:t>。</w:t>
      </w:r>
    </w:p>
    <w:p w:rsidR="00EE56C0" w:rsidRDefault="000F36A1">
      <w:pPr>
        <w:pStyle w:val="afd"/>
        <w:spacing w:before="120" w:after="120"/>
        <w:ind w:firstLine="482"/>
      </w:pPr>
      <w:r>
        <w:rPr>
          <w:rFonts w:hint="eastAsia"/>
        </w:rPr>
        <w:t>表</w:t>
      </w:r>
      <w:r>
        <w:t>5-</w:t>
      </w:r>
      <w:r w:rsidR="005767FB">
        <w:rPr>
          <w:rFonts w:hint="eastAsia"/>
        </w:rPr>
        <w:t>56</w:t>
      </w:r>
      <w:r>
        <w:rPr>
          <w:rFonts w:hint="eastAsia"/>
        </w:rPr>
        <w:t xml:space="preserve">                </w:t>
      </w:r>
      <w:r>
        <w:rPr>
          <w:rFonts w:hint="eastAsia"/>
        </w:rPr>
        <w:t>评价等级划分一览表</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1702"/>
        <w:gridCol w:w="1709"/>
        <w:gridCol w:w="1706"/>
        <w:gridCol w:w="1706"/>
        <w:gridCol w:w="1706"/>
      </w:tblGrid>
      <w:tr w:rsidR="00EE56C0">
        <w:trPr>
          <w:trHeight w:val="425"/>
          <w:jc w:val="center"/>
        </w:trPr>
        <w:tc>
          <w:tcPr>
            <w:tcW w:w="998" w:type="pct"/>
            <w:vAlign w:val="center"/>
          </w:tcPr>
          <w:p w:rsidR="00EE56C0" w:rsidRDefault="000F36A1">
            <w:pPr>
              <w:pStyle w:val="aff1"/>
              <w:rPr>
                <w:color w:val="auto"/>
              </w:rPr>
            </w:pPr>
            <w:r>
              <w:rPr>
                <w:rFonts w:hint="eastAsia"/>
                <w:color w:val="auto"/>
              </w:rPr>
              <w:t>环境风险潜势</w:t>
            </w:r>
          </w:p>
        </w:tc>
        <w:tc>
          <w:tcPr>
            <w:tcW w:w="1002" w:type="pct"/>
            <w:vAlign w:val="center"/>
          </w:tcPr>
          <w:p w:rsidR="00EE56C0" w:rsidRDefault="000F36A1">
            <w:pPr>
              <w:pStyle w:val="aff1"/>
              <w:rPr>
                <w:rFonts w:cs="Times New Roman"/>
                <w:color w:val="auto"/>
              </w:rPr>
            </w:pPr>
            <w:r>
              <w:rPr>
                <w:rFonts w:cs="Times New Roman"/>
                <w:color w:val="auto"/>
              </w:rPr>
              <w:t>Ⅳ</w:t>
            </w:r>
            <w:r>
              <w:rPr>
                <w:rFonts w:cs="Times New Roman"/>
                <w:color w:val="auto"/>
              </w:rPr>
              <w:t>、</w:t>
            </w:r>
            <w:r>
              <w:rPr>
                <w:rFonts w:cs="Times New Roman"/>
                <w:color w:val="auto"/>
              </w:rPr>
              <w:t>Ⅳ</w:t>
            </w:r>
            <w:r>
              <w:rPr>
                <w:rFonts w:cs="Times New Roman"/>
                <w:color w:val="auto"/>
                <w:vertAlign w:val="superscript"/>
              </w:rPr>
              <w:t>+</w:t>
            </w:r>
          </w:p>
        </w:tc>
        <w:tc>
          <w:tcPr>
            <w:tcW w:w="1000" w:type="pct"/>
            <w:vAlign w:val="center"/>
          </w:tcPr>
          <w:p w:rsidR="00EE56C0" w:rsidRDefault="000F36A1">
            <w:pPr>
              <w:pStyle w:val="aff1"/>
              <w:rPr>
                <w:rFonts w:cs="Times New Roman"/>
                <w:color w:val="auto"/>
              </w:rPr>
            </w:pPr>
            <w:r>
              <w:rPr>
                <w:rFonts w:cs="Times New Roman"/>
                <w:color w:val="auto"/>
              </w:rPr>
              <w:t>Ⅲ</w:t>
            </w:r>
          </w:p>
        </w:tc>
        <w:tc>
          <w:tcPr>
            <w:tcW w:w="1000" w:type="pct"/>
            <w:vAlign w:val="center"/>
          </w:tcPr>
          <w:p w:rsidR="00EE56C0" w:rsidRDefault="000F36A1">
            <w:pPr>
              <w:pStyle w:val="aff1"/>
              <w:rPr>
                <w:rFonts w:cs="Times New Roman"/>
                <w:color w:val="auto"/>
              </w:rPr>
            </w:pPr>
            <w:r>
              <w:rPr>
                <w:rFonts w:cs="Times New Roman"/>
                <w:color w:val="auto"/>
              </w:rPr>
              <w:t>Ⅱ</w:t>
            </w:r>
          </w:p>
        </w:tc>
        <w:tc>
          <w:tcPr>
            <w:tcW w:w="1000" w:type="pct"/>
            <w:vAlign w:val="center"/>
          </w:tcPr>
          <w:p w:rsidR="00EE56C0" w:rsidRDefault="000F36A1">
            <w:pPr>
              <w:pStyle w:val="aff1"/>
              <w:rPr>
                <w:rFonts w:cs="Times New Roman"/>
                <w:color w:val="auto"/>
              </w:rPr>
            </w:pPr>
            <w:r>
              <w:rPr>
                <w:rFonts w:cs="Times New Roman"/>
                <w:color w:val="auto"/>
              </w:rPr>
              <w:t>Ⅰ</w:t>
            </w:r>
          </w:p>
        </w:tc>
      </w:tr>
      <w:tr w:rsidR="00EE56C0">
        <w:trPr>
          <w:trHeight w:val="425"/>
          <w:jc w:val="center"/>
        </w:trPr>
        <w:tc>
          <w:tcPr>
            <w:tcW w:w="998" w:type="pct"/>
            <w:vAlign w:val="center"/>
          </w:tcPr>
          <w:p w:rsidR="00EE56C0" w:rsidRDefault="000F36A1">
            <w:pPr>
              <w:pStyle w:val="afa"/>
            </w:pPr>
            <w:r>
              <w:rPr>
                <w:rFonts w:hint="eastAsia"/>
              </w:rPr>
              <w:t>评价工作等级</w:t>
            </w:r>
          </w:p>
        </w:tc>
        <w:tc>
          <w:tcPr>
            <w:tcW w:w="1002" w:type="pct"/>
            <w:vAlign w:val="center"/>
          </w:tcPr>
          <w:p w:rsidR="00EE56C0" w:rsidRDefault="000F36A1">
            <w:pPr>
              <w:pStyle w:val="afa"/>
            </w:pPr>
            <w:r>
              <w:rPr>
                <w:rFonts w:hint="eastAsia"/>
              </w:rPr>
              <w:t>一</w:t>
            </w:r>
          </w:p>
        </w:tc>
        <w:tc>
          <w:tcPr>
            <w:tcW w:w="1000" w:type="pct"/>
            <w:vAlign w:val="center"/>
          </w:tcPr>
          <w:p w:rsidR="00EE56C0" w:rsidRDefault="000F36A1">
            <w:pPr>
              <w:pStyle w:val="afa"/>
            </w:pPr>
            <w:r>
              <w:rPr>
                <w:rFonts w:hint="eastAsia"/>
              </w:rPr>
              <w:t>二</w:t>
            </w:r>
          </w:p>
        </w:tc>
        <w:tc>
          <w:tcPr>
            <w:tcW w:w="1000" w:type="pct"/>
            <w:vAlign w:val="center"/>
          </w:tcPr>
          <w:p w:rsidR="00EE56C0" w:rsidRDefault="000F36A1">
            <w:pPr>
              <w:pStyle w:val="afa"/>
            </w:pPr>
            <w:r>
              <w:rPr>
                <w:rFonts w:hint="eastAsia"/>
              </w:rPr>
              <w:t>三</w:t>
            </w:r>
          </w:p>
        </w:tc>
        <w:tc>
          <w:tcPr>
            <w:tcW w:w="1000" w:type="pct"/>
            <w:vAlign w:val="center"/>
          </w:tcPr>
          <w:p w:rsidR="00EE56C0" w:rsidRDefault="000F36A1">
            <w:pPr>
              <w:pStyle w:val="afa"/>
            </w:pPr>
            <w:r>
              <w:rPr>
                <w:rFonts w:hint="eastAsia"/>
              </w:rPr>
              <w:t>简单分析</w:t>
            </w:r>
          </w:p>
        </w:tc>
      </w:tr>
    </w:tbl>
    <w:p w:rsidR="00EE56C0" w:rsidRDefault="000F36A1">
      <w:pPr>
        <w:ind w:firstLine="480"/>
      </w:pPr>
      <w:r>
        <w:rPr>
          <w:rFonts w:hint="eastAsia"/>
          <w:szCs w:val="24"/>
        </w:rPr>
        <w:t>本项目风险潜势为</w:t>
      </w:r>
      <w:r>
        <w:rPr>
          <w:rFonts w:ascii="宋体" w:hAnsi="宋体" w:cs="宋体" w:hint="eastAsia"/>
        </w:rPr>
        <w:t>Ⅰ</w:t>
      </w:r>
      <w:r>
        <w:rPr>
          <w:szCs w:val="24"/>
        </w:rPr>
        <w:t>级</w:t>
      </w:r>
      <w:r>
        <w:rPr>
          <w:rFonts w:hint="eastAsia"/>
          <w:szCs w:val="24"/>
        </w:rPr>
        <w:t>，</w:t>
      </w:r>
      <w:r>
        <w:rPr>
          <w:rFonts w:hint="eastAsia"/>
        </w:rPr>
        <w:t>因此本项目开展简单分析即可。因此本项目按照《建设项目环境风险评价技术导则》（</w:t>
      </w:r>
      <w:r>
        <w:t>HJ169-2018</w:t>
      </w:r>
      <w:r>
        <w:rPr>
          <w:rFonts w:hint="eastAsia"/>
        </w:rPr>
        <w:t>）附录</w:t>
      </w:r>
      <w:r>
        <w:t>A</w:t>
      </w:r>
      <w:r>
        <w:rPr>
          <w:rFonts w:hint="eastAsia"/>
        </w:rPr>
        <w:t>简单分析基本内容的要求进行后续分析</w:t>
      </w:r>
      <w:r>
        <w:rPr>
          <w:rFonts w:hint="eastAsia"/>
          <w:szCs w:val="24"/>
        </w:rPr>
        <w:t>。</w:t>
      </w:r>
    </w:p>
    <w:p w:rsidR="00EE56C0" w:rsidRDefault="000F36A1">
      <w:pPr>
        <w:pStyle w:val="3"/>
        <w:spacing w:before="240" w:after="120"/>
      </w:pPr>
      <w:r>
        <w:rPr>
          <w:rFonts w:hint="eastAsia"/>
        </w:rPr>
        <w:t>5.7.5</w:t>
      </w:r>
      <w:r>
        <w:rPr>
          <w:rFonts w:hint="eastAsia"/>
        </w:rPr>
        <w:t>环境风险识别</w:t>
      </w:r>
    </w:p>
    <w:p w:rsidR="00EE56C0" w:rsidRDefault="000F36A1">
      <w:pPr>
        <w:pStyle w:val="4"/>
        <w:ind w:left="120" w:firstLine="241"/>
      </w:pPr>
      <w:r>
        <w:rPr>
          <w:rFonts w:hint="eastAsia"/>
        </w:rPr>
        <w:t>5.7.5.1</w:t>
      </w:r>
      <w:r>
        <w:rPr>
          <w:rFonts w:hint="eastAsia"/>
        </w:rPr>
        <w:t>物质危险性识别</w:t>
      </w:r>
    </w:p>
    <w:p w:rsidR="00EE56C0" w:rsidRDefault="000F36A1">
      <w:pPr>
        <w:ind w:firstLine="480"/>
      </w:pPr>
      <w:r>
        <w:rPr>
          <w:rFonts w:hint="eastAsia"/>
        </w:rPr>
        <w:t>企业生产过程中涉及的风险物质为</w:t>
      </w:r>
      <w:r>
        <w:rPr>
          <w:rFonts w:hint="eastAsia"/>
          <w:szCs w:val="21"/>
        </w:rPr>
        <w:t>聚酯底漆、</w:t>
      </w:r>
      <w:r>
        <w:rPr>
          <w:szCs w:val="21"/>
        </w:rPr>
        <w:t>聚酰胺酰亚胺漆</w:t>
      </w:r>
      <w:r>
        <w:rPr>
          <w:rFonts w:hint="eastAsia"/>
          <w:szCs w:val="21"/>
        </w:rPr>
        <w:t>面漆、丝包漆、</w:t>
      </w:r>
      <w:r>
        <w:rPr>
          <w:rFonts w:hint="eastAsia"/>
        </w:rPr>
        <w:t>芳烃溶剂油</w:t>
      </w:r>
      <w:r>
        <w:rPr>
          <w:rFonts w:hint="eastAsia"/>
          <w:szCs w:val="21"/>
        </w:rPr>
        <w:t>、</w:t>
      </w:r>
      <w:r>
        <w:rPr>
          <w:rFonts w:hint="eastAsia"/>
        </w:rPr>
        <w:t>N,N-</w:t>
      </w:r>
      <w:r>
        <w:rPr>
          <w:rFonts w:hint="eastAsia"/>
        </w:rPr>
        <w:t>二甲基甲酰胺、苯、甲苯、二甲苯、丁醇，其物理性质和毒理性质见表</w:t>
      </w:r>
      <w:r>
        <w:t>5-</w:t>
      </w:r>
      <w:r>
        <w:rPr>
          <w:rFonts w:hint="eastAsia"/>
        </w:rPr>
        <w:t>63</w:t>
      </w:r>
      <w:r>
        <w:rPr>
          <w:rFonts w:hint="eastAsia"/>
        </w:rPr>
        <w:t>。</w:t>
      </w:r>
    </w:p>
    <w:p w:rsidR="00EE56C0" w:rsidRDefault="00EE56C0">
      <w:pPr>
        <w:pStyle w:val="afd"/>
        <w:spacing w:before="120" w:after="120"/>
        <w:ind w:firstLine="482"/>
      </w:pPr>
    </w:p>
    <w:p w:rsidR="00EE56C0" w:rsidRDefault="00EE56C0">
      <w:pPr>
        <w:pStyle w:val="afd"/>
        <w:spacing w:before="120" w:after="120"/>
        <w:ind w:firstLine="482"/>
      </w:pPr>
    </w:p>
    <w:p w:rsidR="00EE56C0" w:rsidRDefault="000F36A1">
      <w:pPr>
        <w:pStyle w:val="afd"/>
        <w:spacing w:before="120" w:after="120"/>
        <w:ind w:firstLine="482"/>
      </w:pPr>
      <w:r>
        <w:rPr>
          <w:rFonts w:hint="eastAsia"/>
        </w:rPr>
        <w:lastRenderedPageBreak/>
        <w:t>表</w:t>
      </w:r>
      <w:r>
        <w:t>5-</w:t>
      </w:r>
      <w:r w:rsidR="005767FB">
        <w:rPr>
          <w:rFonts w:hint="eastAsia"/>
        </w:rPr>
        <w:t>57</w:t>
      </w:r>
      <w:r>
        <w:rPr>
          <w:rFonts w:hint="eastAsia"/>
        </w:rPr>
        <w:t xml:space="preserve">            </w:t>
      </w:r>
      <w:r>
        <w:rPr>
          <w:rFonts w:hint="eastAsia"/>
        </w:rPr>
        <w:t>主要漆料的理化性质及危险特性表</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tblPr>
      <w:tblGrid>
        <w:gridCol w:w="701"/>
        <w:gridCol w:w="1162"/>
        <w:gridCol w:w="3632"/>
        <w:gridCol w:w="3034"/>
      </w:tblGrid>
      <w:tr w:rsidR="00EE56C0">
        <w:trPr>
          <w:trHeight w:val="454"/>
          <w:tblHeader/>
          <w:jc w:val="center"/>
        </w:trPr>
        <w:tc>
          <w:tcPr>
            <w:tcW w:w="701" w:type="dxa"/>
            <w:tcBorders>
              <w:bottom w:val="single" w:sz="4" w:space="0" w:color="auto"/>
              <w:right w:val="single" w:sz="6" w:space="0" w:color="auto"/>
            </w:tcBorders>
            <w:vAlign w:val="center"/>
          </w:tcPr>
          <w:p w:rsidR="00EE56C0" w:rsidRDefault="000F36A1">
            <w:pPr>
              <w:spacing w:line="240" w:lineRule="auto"/>
              <w:ind w:firstLineChars="0" w:firstLine="0"/>
              <w:jc w:val="center"/>
              <w:rPr>
                <w:b/>
                <w:sz w:val="21"/>
                <w:szCs w:val="21"/>
              </w:rPr>
            </w:pPr>
            <w:r>
              <w:rPr>
                <w:rFonts w:hint="eastAsia"/>
                <w:b/>
                <w:sz w:val="21"/>
                <w:szCs w:val="21"/>
              </w:rPr>
              <w:t>序号</w:t>
            </w:r>
          </w:p>
        </w:tc>
        <w:tc>
          <w:tcPr>
            <w:tcW w:w="1162" w:type="dxa"/>
            <w:tcBorders>
              <w:left w:val="single" w:sz="6" w:space="0" w:color="auto"/>
              <w:bottom w:val="single" w:sz="4" w:space="0" w:color="auto"/>
              <w:right w:val="single" w:sz="6" w:space="0" w:color="auto"/>
            </w:tcBorders>
            <w:vAlign w:val="center"/>
          </w:tcPr>
          <w:p w:rsidR="00EE56C0" w:rsidRDefault="000F36A1">
            <w:pPr>
              <w:spacing w:line="240" w:lineRule="auto"/>
              <w:ind w:firstLineChars="0" w:firstLine="0"/>
              <w:jc w:val="center"/>
              <w:rPr>
                <w:b/>
                <w:sz w:val="21"/>
                <w:szCs w:val="21"/>
              </w:rPr>
            </w:pPr>
            <w:r>
              <w:rPr>
                <w:rFonts w:hint="eastAsia"/>
                <w:b/>
                <w:sz w:val="21"/>
                <w:szCs w:val="21"/>
              </w:rPr>
              <w:t>名称</w:t>
            </w:r>
          </w:p>
        </w:tc>
        <w:tc>
          <w:tcPr>
            <w:tcW w:w="3632" w:type="dxa"/>
            <w:tcBorders>
              <w:left w:val="single" w:sz="6" w:space="0" w:color="auto"/>
              <w:bottom w:val="single" w:sz="4" w:space="0" w:color="auto"/>
              <w:right w:val="single" w:sz="6" w:space="0" w:color="auto"/>
            </w:tcBorders>
            <w:vAlign w:val="center"/>
          </w:tcPr>
          <w:p w:rsidR="00EE56C0" w:rsidRDefault="000F36A1">
            <w:pPr>
              <w:spacing w:line="240" w:lineRule="auto"/>
              <w:ind w:firstLineChars="0" w:firstLine="0"/>
              <w:jc w:val="center"/>
              <w:rPr>
                <w:b/>
                <w:sz w:val="21"/>
                <w:szCs w:val="21"/>
              </w:rPr>
            </w:pPr>
            <w:r>
              <w:rPr>
                <w:rFonts w:hint="eastAsia"/>
                <w:b/>
                <w:sz w:val="21"/>
                <w:szCs w:val="21"/>
              </w:rPr>
              <w:t>理化性质（主要成份）</w:t>
            </w:r>
          </w:p>
        </w:tc>
        <w:tc>
          <w:tcPr>
            <w:tcW w:w="3034" w:type="dxa"/>
            <w:tcBorders>
              <w:left w:val="single" w:sz="6" w:space="0" w:color="auto"/>
              <w:bottom w:val="single" w:sz="4" w:space="0" w:color="auto"/>
            </w:tcBorders>
            <w:vAlign w:val="center"/>
          </w:tcPr>
          <w:p w:rsidR="00EE56C0" w:rsidRDefault="000F36A1">
            <w:pPr>
              <w:spacing w:line="240" w:lineRule="auto"/>
              <w:ind w:firstLineChars="0" w:firstLine="0"/>
              <w:jc w:val="center"/>
              <w:rPr>
                <w:b/>
                <w:sz w:val="21"/>
                <w:szCs w:val="21"/>
              </w:rPr>
            </w:pPr>
            <w:r>
              <w:rPr>
                <w:rFonts w:hint="eastAsia"/>
                <w:b/>
                <w:sz w:val="21"/>
                <w:szCs w:val="21"/>
              </w:rPr>
              <w:t>危害级别及毒性毒理</w:t>
            </w:r>
          </w:p>
        </w:tc>
      </w:tr>
      <w:tr w:rsidR="00EE56C0">
        <w:trPr>
          <w:trHeight w:val="454"/>
          <w:tblHeader/>
          <w:jc w:val="center"/>
        </w:trPr>
        <w:tc>
          <w:tcPr>
            <w:tcW w:w="701" w:type="dxa"/>
            <w:tcBorders>
              <w:top w:val="single" w:sz="4" w:space="0" w:color="auto"/>
              <w:bottom w:val="single" w:sz="4" w:space="0" w:color="auto"/>
              <w:right w:val="single" w:sz="6" w:space="0" w:color="auto"/>
            </w:tcBorders>
            <w:vAlign w:val="center"/>
          </w:tcPr>
          <w:p w:rsidR="00EE56C0" w:rsidRDefault="000F36A1">
            <w:pPr>
              <w:spacing w:line="240" w:lineRule="auto"/>
              <w:ind w:firstLineChars="0" w:firstLine="0"/>
              <w:jc w:val="center"/>
              <w:rPr>
                <w:sz w:val="21"/>
                <w:szCs w:val="21"/>
              </w:rPr>
            </w:pPr>
            <w:r>
              <w:rPr>
                <w:sz w:val="21"/>
                <w:szCs w:val="21"/>
              </w:rPr>
              <w:t>1</w:t>
            </w:r>
          </w:p>
        </w:tc>
        <w:tc>
          <w:tcPr>
            <w:tcW w:w="1162" w:type="dxa"/>
            <w:tcBorders>
              <w:top w:val="single" w:sz="4" w:space="0" w:color="auto"/>
              <w:left w:val="single" w:sz="6" w:space="0" w:color="auto"/>
              <w:bottom w:val="single" w:sz="4" w:space="0" w:color="auto"/>
              <w:right w:val="single" w:sz="6" w:space="0" w:color="auto"/>
            </w:tcBorders>
            <w:vAlign w:val="center"/>
          </w:tcPr>
          <w:p w:rsidR="00EE56C0" w:rsidRDefault="000F36A1">
            <w:pPr>
              <w:spacing w:line="240" w:lineRule="auto"/>
              <w:ind w:firstLineChars="0" w:firstLine="0"/>
              <w:jc w:val="center"/>
              <w:rPr>
                <w:sz w:val="21"/>
                <w:szCs w:val="21"/>
              </w:rPr>
            </w:pPr>
            <w:r>
              <w:rPr>
                <w:rFonts w:hint="eastAsia"/>
                <w:sz w:val="21"/>
                <w:szCs w:val="21"/>
              </w:rPr>
              <w:t>聚酯底漆</w:t>
            </w:r>
          </w:p>
        </w:tc>
        <w:tc>
          <w:tcPr>
            <w:tcW w:w="3632" w:type="dxa"/>
            <w:tcBorders>
              <w:top w:val="single" w:sz="4" w:space="0" w:color="auto"/>
              <w:left w:val="single" w:sz="6" w:space="0" w:color="auto"/>
              <w:bottom w:val="single" w:sz="4" w:space="0" w:color="auto"/>
              <w:right w:val="single" w:sz="6" w:space="0" w:color="auto"/>
            </w:tcBorders>
            <w:vAlign w:val="center"/>
          </w:tcPr>
          <w:p w:rsidR="00EE56C0" w:rsidRDefault="000F36A1">
            <w:pPr>
              <w:pStyle w:val="afa"/>
            </w:pPr>
            <w:r>
              <w:t>聚酯树脂</w:t>
            </w:r>
            <w:r>
              <w:rPr>
                <w:rFonts w:hint="eastAsia"/>
              </w:rPr>
              <w:t>44%</w:t>
            </w:r>
            <w:r>
              <w:rPr>
                <w:rFonts w:hint="eastAsia"/>
              </w:rPr>
              <w:t>、甲酚</w:t>
            </w:r>
            <w:r>
              <w:rPr>
                <w:rFonts w:hint="eastAsia"/>
              </w:rPr>
              <w:t>20~50%</w:t>
            </w:r>
            <w:r>
              <w:rPr>
                <w:rFonts w:hint="eastAsia"/>
              </w:rPr>
              <w:t>、芳烃溶剂油</w:t>
            </w:r>
            <w:r>
              <w:rPr>
                <w:rFonts w:hint="eastAsia"/>
              </w:rPr>
              <w:t>10~20%</w:t>
            </w:r>
          </w:p>
        </w:tc>
        <w:tc>
          <w:tcPr>
            <w:tcW w:w="3034" w:type="dxa"/>
            <w:tcBorders>
              <w:top w:val="single" w:sz="4" w:space="0" w:color="auto"/>
              <w:left w:val="single" w:sz="6" w:space="0" w:color="auto"/>
              <w:bottom w:val="single" w:sz="4" w:space="0" w:color="auto"/>
            </w:tcBorders>
            <w:vAlign w:val="center"/>
          </w:tcPr>
          <w:p w:rsidR="00EE56C0" w:rsidRDefault="000F36A1">
            <w:pPr>
              <w:spacing w:line="240" w:lineRule="auto"/>
              <w:ind w:firstLineChars="0" w:firstLine="0"/>
              <w:jc w:val="center"/>
              <w:rPr>
                <w:sz w:val="21"/>
                <w:szCs w:val="21"/>
              </w:rPr>
            </w:pPr>
            <w:r>
              <w:rPr>
                <w:rFonts w:hint="eastAsia"/>
                <w:sz w:val="21"/>
                <w:szCs w:val="21"/>
              </w:rPr>
              <w:t>成份中</w:t>
            </w:r>
            <w:r>
              <w:rPr>
                <w:sz w:val="21"/>
                <w:szCs w:val="21"/>
              </w:rPr>
              <w:t>甲酚</w:t>
            </w:r>
            <w:r>
              <w:rPr>
                <w:rFonts w:hint="eastAsia"/>
                <w:sz w:val="21"/>
                <w:szCs w:val="21"/>
              </w:rPr>
              <w:t>为毒性物质，遇明火、高热可燃，芳烃溶剂油为易燃物质</w:t>
            </w:r>
          </w:p>
        </w:tc>
      </w:tr>
      <w:tr w:rsidR="00EE56C0">
        <w:trPr>
          <w:trHeight w:val="454"/>
          <w:tblHeader/>
          <w:jc w:val="center"/>
        </w:trPr>
        <w:tc>
          <w:tcPr>
            <w:tcW w:w="701" w:type="dxa"/>
            <w:tcBorders>
              <w:top w:val="single" w:sz="4" w:space="0" w:color="auto"/>
              <w:bottom w:val="single" w:sz="4" w:space="0" w:color="auto"/>
              <w:right w:val="single" w:sz="6" w:space="0" w:color="auto"/>
            </w:tcBorders>
            <w:vAlign w:val="center"/>
          </w:tcPr>
          <w:p w:rsidR="00EE56C0" w:rsidRDefault="000F36A1">
            <w:pPr>
              <w:spacing w:line="240" w:lineRule="auto"/>
              <w:ind w:firstLineChars="0" w:firstLine="0"/>
              <w:jc w:val="center"/>
              <w:rPr>
                <w:sz w:val="21"/>
                <w:szCs w:val="21"/>
              </w:rPr>
            </w:pPr>
            <w:r>
              <w:rPr>
                <w:sz w:val="21"/>
                <w:szCs w:val="21"/>
              </w:rPr>
              <w:t>2</w:t>
            </w:r>
          </w:p>
        </w:tc>
        <w:tc>
          <w:tcPr>
            <w:tcW w:w="1162" w:type="dxa"/>
            <w:tcBorders>
              <w:top w:val="single" w:sz="4" w:space="0" w:color="auto"/>
              <w:left w:val="single" w:sz="6" w:space="0" w:color="auto"/>
              <w:bottom w:val="single" w:sz="4" w:space="0" w:color="auto"/>
              <w:right w:val="single" w:sz="6" w:space="0" w:color="auto"/>
            </w:tcBorders>
            <w:vAlign w:val="center"/>
          </w:tcPr>
          <w:p w:rsidR="00EE56C0" w:rsidRDefault="000F36A1">
            <w:pPr>
              <w:spacing w:line="240" w:lineRule="auto"/>
              <w:ind w:firstLineChars="0" w:firstLine="0"/>
              <w:jc w:val="center"/>
              <w:rPr>
                <w:sz w:val="21"/>
                <w:szCs w:val="21"/>
              </w:rPr>
            </w:pPr>
            <w:r>
              <w:rPr>
                <w:sz w:val="21"/>
                <w:szCs w:val="21"/>
              </w:rPr>
              <w:t>聚酰胺酰亚胺漆</w:t>
            </w:r>
            <w:r>
              <w:rPr>
                <w:rFonts w:hint="eastAsia"/>
                <w:sz w:val="21"/>
                <w:szCs w:val="21"/>
              </w:rPr>
              <w:t>面漆</w:t>
            </w:r>
          </w:p>
        </w:tc>
        <w:tc>
          <w:tcPr>
            <w:tcW w:w="3632" w:type="dxa"/>
            <w:tcBorders>
              <w:top w:val="single" w:sz="4" w:space="0" w:color="auto"/>
              <w:left w:val="single" w:sz="6" w:space="0" w:color="auto"/>
              <w:bottom w:val="single" w:sz="4" w:space="0" w:color="auto"/>
              <w:right w:val="single" w:sz="6" w:space="0" w:color="auto"/>
            </w:tcBorders>
            <w:vAlign w:val="center"/>
          </w:tcPr>
          <w:p w:rsidR="00EE56C0" w:rsidRDefault="000F36A1">
            <w:pPr>
              <w:pStyle w:val="afa"/>
            </w:pPr>
            <w:r>
              <w:rPr>
                <w:rFonts w:hint="eastAsia"/>
              </w:rPr>
              <w:t>聚酰胺酰亚胺树脂</w:t>
            </w:r>
            <w:r>
              <w:rPr>
                <w:rFonts w:hint="eastAsia"/>
              </w:rPr>
              <w:t>30%</w:t>
            </w:r>
            <w:r>
              <w:rPr>
                <w:rFonts w:hint="eastAsia"/>
              </w:rPr>
              <w:t>，</w:t>
            </w:r>
            <w:r w:rsidRPr="00DB3D71">
              <w:rPr>
                <w:rFonts w:hint="eastAsia"/>
                <w:b/>
                <w:u w:val="single"/>
              </w:rPr>
              <w:t>NMP</w:t>
            </w:r>
            <w:r w:rsidRPr="00DB3D71">
              <w:rPr>
                <w:rFonts w:hint="eastAsia"/>
                <w:b/>
                <w:u w:val="single"/>
              </w:rPr>
              <w:t>、</w:t>
            </w:r>
            <w:r w:rsidRPr="00DB3D71">
              <w:rPr>
                <w:rFonts w:hint="eastAsia"/>
                <w:b/>
                <w:u w:val="single"/>
              </w:rPr>
              <w:t>N,N-</w:t>
            </w:r>
            <w:r w:rsidRPr="00DB3D71">
              <w:rPr>
                <w:rFonts w:hint="eastAsia"/>
                <w:b/>
                <w:u w:val="single"/>
              </w:rPr>
              <w:t>二甲基乙酰胺、</w:t>
            </w:r>
            <w:r w:rsidRPr="00DB3D71">
              <w:rPr>
                <w:rFonts w:hint="eastAsia"/>
                <w:b/>
                <w:u w:val="single"/>
              </w:rPr>
              <w:t>N,N-</w:t>
            </w:r>
            <w:r w:rsidRPr="00DB3D71">
              <w:rPr>
                <w:rFonts w:hint="eastAsia"/>
                <w:b/>
                <w:u w:val="single"/>
              </w:rPr>
              <w:t>二甲基甲酰胺</w:t>
            </w:r>
            <w:r w:rsidRPr="00DB3D71">
              <w:rPr>
                <w:rFonts w:hint="eastAsia"/>
                <w:b/>
                <w:u w:val="single"/>
              </w:rPr>
              <w:t>20~70%</w:t>
            </w:r>
            <w:r w:rsidRPr="00DB3D71">
              <w:rPr>
                <w:rFonts w:hint="eastAsia"/>
                <w:b/>
                <w:u w:val="single"/>
              </w:rPr>
              <w:t>，</w:t>
            </w:r>
            <w:r>
              <w:rPr>
                <w:rFonts w:hint="eastAsia"/>
              </w:rPr>
              <w:t>二甲苯</w:t>
            </w:r>
            <w:r>
              <w:rPr>
                <w:rFonts w:hint="eastAsia"/>
              </w:rPr>
              <w:t>0~15%</w:t>
            </w:r>
          </w:p>
        </w:tc>
        <w:tc>
          <w:tcPr>
            <w:tcW w:w="3034" w:type="dxa"/>
            <w:tcBorders>
              <w:top w:val="single" w:sz="4" w:space="0" w:color="auto"/>
              <w:left w:val="single" w:sz="6" w:space="0" w:color="auto"/>
              <w:bottom w:val="single" w:sz="4" w:space="0" w:color="auto"/>
            </w:tcBorders>
            <w:vAlign w:val="center"/>
          </w:tcPr>
          <w:p w:rsidR="00EE56C0" w:rsidRDefault="000F36A1">
            <w:pPr>
              <w:spacing w:line="240" w:lineRule="auto"/>
              <w:ind w:firstLineChars="0" w:firstLine="0"/>
              <w:jc w:val="center"/>
              <w:rPr>
                <w:sz w:val="21"/>
                <w:szCs w:val="21"/>
              </w:rPr>
            </w:pPr>
            <w:r>
              <w:rPr>
                <w:rFonts w:hint="eastAsia"/>
                <w:sz w:val="21"/>
                <w:szCs w:val="21"/>
              </w:rPr>
              <w:t>成份中</w:t>
            </w:r>
            <w:r>
              <w:rPr>
                <w:sz w:val="21"/>
                <w:szCs w:val="21"/>
              </w:rPr>
              <w:t>甲酚</w:t>
            </w:r>
            <w:r>
              <w:rPr>
                <w:rFonts w:hint="eastAsia"/>
                <w:sz w:val="21"/>
                <w:szCs w:val="21"/>
              </w:rPr>
              <w:t>为毒性物质，遇明火、高热可燃，</w:t>
            </w:r>
            <w:r w:rsidRPr="00DB3D71">
              <w:rPr>
                <w:rFonts w:hint="eastAsia"/>
                <w:b/>
                <w:sz w:val="21"/>
                <w:szCs w:val="21"/>
                <w:u w:val="single"/>
              </w:rPr>
              <w:t>N,N-</w:t>
            </w:r>
            <w:r w:rsidRPr="00DB3D71">
              <w:rPr>
                <w:rFonts w:hint="eastAsia"/>
                <w:b/>
                <w:sz w:val="21"/>
                <w:szCs w:val="21"/>
                <w:u w:val="single"/>
              </w:rPr>
              <w:t>二甲基甲酰胺为易燃液态物质</w:t>
            </w:r>
            <w:r>
              <w:rPr>
                <w:rFonts w:hint="eastAsia"/>
                <w:sz w:val="21"/>
                <w:szCs w:val="21"/>
              </w:rPr>
              <w:t>，二甲苯为有毒物质</w:t>
            </w:r>
          </w:p>
        </w:tc>
      </w:tr>
      <w:tr w:rsidR="00EE56C0">
        <w:trPr>
          <w:trHeight w:val="454"/>
          <w:tblHeader/>
          <w:jc w:val="center"/>
        </w:trPr>
        <w:tc>
          <w:tcPr>
            <w:tcW w:w="701" w:type="dxa"/>
            <w:tcBorders>
              <w:top w:val="single" w:sz="4" w:space="0" w:color="auto"/>
              <w:right w:val="single" w:sz="6" w:space="0" w:color="auto"/>
            </w:tcBorders>
            <w:vAlign w:val="center"/>
          </w:tcPr>
          <w:p w:rsidR="00EE56C0" w:rsidRDefault="000F36A1">
            <w:pPr>
              <w:spacing w:line="240" w:lineRule="auto"/>
              <w:ind w:firstLineChars="0" w:firstLine="0"/>
              <w:jc w:val="center"/>
              <w:rPr>
                <w:sz w:val="21"/>
                <w:szCs w:val="21"/>
              </w:rPr>
            </w:pPr>
            <w:r>
              <w:rPr>
                <w:rFonts w:hint="eastAsia"/>
                <w:sz w:val="21"/>
                <w:szCs w:val="21"/>
              </w:rPr>
              <w:t>3</w:t>
            </w:r>
          </w:p>
        </w:tc>
        <w:tc>
          <w:tcPr>
            <w:tcW w:w="1162" w:type="dxa"/>
            <w:tcBorders>
              <w:top w:val="single" w:sz="4" w:space="0" w:color="auto"/>
              <w:left w:val="single" w:sz="6" w:space="0" w:color="auto"/>
              <w:right w:val="single" w:sz="6" w:space="0" w:color="auto"/>
            </w:tcBorders>
            <w:vAlign w:val="center"/>
          </w:tcPr>
          <w:p w:rsidR="00EE56C0" w:rsidRDefault="000F36A1">
            <w:pPr>
              <w:spacing w:line="240" w:lineRule="auto"/>
              <w:ind w:firstLineChars="0" w:firstLine="0"/>
              <w:jc w:val="center"/>
              <w:rPr>
                <w:sz w:val="21"/>
                <w:szCs w:val="21"/>
              </w:rPr>
            </w:pPr>
            <w:r>
              <w:rPr>
                <w:rFonts w:hint="eastAsia"/>
                <w:sz w:val="21"/>
                <w:szCs w:val="21"/>
              </w:rPr>
              <w:t>丝包漆</w:t>
            </w:r>
          </w:p>
        </w:tc>
        <w:tc>
          <w:tcPr>
            <w:tcW w:w="3632" w:type="dxa"/>
            <w:tcBorders>
              <w:top w:val="single" w:sz="4" w:space="0" w:color="auto"/>
              <w:left w:val="single" w:sz="6" w:space="0" w:color="auto"/>
              <w:right w:val="single" w:sz="6" w:space="0" w:color="auto"/>
            </w:tcBorders>
            <w:vAlign w:val="center"/>
          </w:tcPr>
          <w:p w:rsidR="00EE56C0" w:rsidRDefault="000F36A1">
            <w:pPr>
              <w:pStyle w:val="afa"/>
            </w:pPr>
            <w:r>
              <w:rPr>
                <w:rFonts w:hint="eastAsia"/>
              </w:rPr>
              <w:t>环氧改性聚酯树脂</w:t>
            </w:r>
            <w:r>
              <w:rPr>
                <w:rFonts w:hint="eastAsia"/>
              </w:rPr>
              <w:t>60~65</w:t>
            </w:r>
            <w:r>
              <w:t>%</w:t>
            </w:r>
            <w:r>
              <w:rPr>
                <w:rFonts w:hint="eastAsia"/>
              </w:rPr>
              <w:t>，甲苯</w:t>
            </w:r>
            <w:r>
              <w:rPr>
                <w:rFonts w:hint="eastAsia"/>
              </w:rPr>
              <w:t>10~</w:t>
            </w:r>
            <w:r>
              <w:t>15%</w:t>
            </w:r>
            <w:r>
              <w:rPr>
                <w:rFonts w:hint="eastAsia"/>
              </w:rPr>
              <w:t>，二甲苯</w:t>
            </w:r>
            <w:r>
              <w:rPr>
                <w:rFonts w:hint="eastAsia"/>
              </w:rPr>
              <w:t>10~</w:t>
            </w:r>
            <w:r>
              <w:t>15%</w:t>
            </w:r>
            <w:r>
              <w:rPr>
                <w:rFonts w:hint="eastAsia"/>
              </w:rPr>
              <w:t>，丁醇＜</w:t>
            </w:r>
            <w:r>
              <w:rPr>
                <w:rFonts w:hint="eastAsia"/>
              </w:rPr>
              <w:t>5%</w:t>
            </w:r>
            <w:r>
              <w:rPr>
                <w:rFonts w:hint="eastAsia"/>
              </w:rPr>
              <w:t>，助剂（含苯）＜</w:t>
            </w:r>
            <w:r>
              <w:rPr>
                <w:rFonts w:hint="eastAsia"/>
              </w:rPr>
              <w:t>5%</w:t>
            </w:r>
          </w:p>
        </w:tc>
        <w:tc>
          <w:tcPr>
            <w:tcW w:w="3034" w:type="dxa"/>
            <w:tcBorders>
              <w:top w:val="single" w:sz="4" w:space="0" w:color="auto"/>
              <w:left w:val="single" w:sz="6" w:space="0" w:color="auto"/>
            </w:tcBorders>
            <w:vAlign w:val="center"/>
          </w:tcPr>
          <w:p w:rsidR="00EE56C0" w:rsidRDefault="000F36A1">
            <w:pPr>
              <w:spacing w:line="240" w:lineRule="auto"/>
              <w:ind w:firstLineChars="0" w:firstLine="0"/>
              <w:jc w:val="center"/>
              <w:rPr>
                <w:sz w:val="21"/>
                <w:szCs w:val="21"/>
              </w:rPr>
            </w:pPr>
            <w:r>
              <w:rPr>
                <w:rFonts w:hint="eastAsia"/>
                <w:sz w:val="21"/>
                <w:szCs w:val="21"/>
              </w:rPr>
              <w:t>成份中，甲苯、二甲苯为有毒物质，丁醇为易燃液态物质</w:t>
            </w:r>
          </w:p>
        </w:tc>
      </w:tr>
    </w:tbl>
    <w:p w:rsidR="00EE56C0" w:rsidRDefault="000F36A1">
      <w:pPr>
        <w:ind w:firstLine="480"/>
      </w:pPr>
      <w:r>
        <w:t>本项目环境风险类型为原料在使用、储存、运输过程中，</w:t>
      </w:r>
      <w:r>
        <w:rPr>
          <w:rFonts w:hint="eastAsia"/>
        </w:rPr>
        <w:t>漆料</w:t>
      </w:r>
      <w:r>
        <w:t>发生泄漏遇明火意外燃烧从而引发的火灾事故；向环境转移的途径为发生泄漏时</w:t>
      </w:r>
      <w:r>
        <w:rPr>
          <w:rFonts w:hint="eastAsia"/>
        </w:rPr>
        <w:t>漆料</w:t>
      </w:r>
      <w:r>
        <w:t>的挥发，以及火灾时引发的伴生</w:t>
      </w:r>
      <w:r>
        <w:t>/</w:t>
      </w:r>
      <w:r>
        <w:t>次生大气污染物排放</w:t>
      </w:r>
      <w:r>
        <w:rPr>
          <w:rFonts w:hint="eastAsia"/>
        </w:rPr>
        <w:t>。</w:t>
      </w:r>
    </w:p>
    <w:p w:rsidR="00EE56C0" w:rsidRDefault="000F36A1">
      <w:pPr>
        <w:pStyle w:val="4"/>
        <w:ind w:left="120" w:firstLine="241"/>
      </w:pPr>
      <w:r>
        <w:rPr>
          <w:rFonts w:hint="eastAsia"/>
        </w:rPr>
        <w:t>5.7.5.2</w:t>
      </w:r>
      <w:r>
        <w:rPr>
          <w:rFonts w:hint="eastAsia"/>
        </w:rPr>
        <w:t>向环境转移的途径</w:t>
      </w:r>
    </w:p>
    <w:p w:rsidR="00EE56C0" w:rsidRDefault="000F36A1">
      <w:pPr>
        <w:ind w:firstLine="480"/>
      </w:pPr>
      <w:r>
        <w:rPr>
          <w:rFonts w:hint="eastAsia"/>
        </w:rPr>
        <w:t>漆料</w:t>
      </w:r>
      <w:r>
        <w:t>在运输过程中，从装卸、运输到贮存，工序长，参与人员多，这些复杂、众多的外界因素是运输过程造成风险的诱发条件。本项目主要环境风险为原料的泄漏遇明火意外燃烧从而引发火灾事故，或者原料发生泄漏后将通过废气形式向大气扩散，可能引起短时超过大气环境质量超标的状况，造成区域大气环境污染，向周边传播，影响周边居民，影响周围人群健康</w:t>
      </w:r>
      <w:r>
        <w:rPr>
          <w:rFonts w:hint="eastAsia"/>
        </w:rPr>
        <w:t>。在采取了防治措施后，项目生产不存在危险物质进入地下水和地表水的情况。因此，本厂的风险类型为泄漏，向环境转移的途径为蒸发和大气扩散。</w:t>
      </w:r>
    </w:p>
    <w:p w:rsidR="00EE56C0" w:rsidRDefault="000F36A1">
      <w:pPr>
        <w:pStyle w:val="3"/>
        <w:spacing w:before="240" w:after="120"/>
        <w:rPr>
          <w:kern w:val="2"/>
        </w:rPr>
      </w:pPr>
      <w:bookmarkStart w:id="366" w:name="_Toc170108259"/>
      <w:r>
        <w:rPr>
          <w:rFonts w:hint="eastAsia"/>
          <w:kern w:val="2"/>
        </w:rPr>
        <w:t>5.7.6</w:t>
      </w:r>
      <w:r>
        <w:rPr>
          <w:rFonts w:hint="eastAsia"/>
          <w:kern w:val="2"/>
        </w:rPr>
        <w:t>环境风险分析</w:t>
      </w:r>
    </w:p>
    <w:p w:rsidR="00EE56C0" w:rsidRDefault="000F36A1">
      <w:pPr>
        <w:spacing w:line="460" w:lineRule="exact"/>
        <w:ind w:firstLine="480"/>
        <w:jc w:val="left"/>
      </w:pPr>
      <w:r>
        <w:rPr>
          <w:rFonts w:hint="eastAsia"/>
        </w:rPr>
        <w:t>本项目主要事故类型为漆的泄漏遇明火意外燃烧从而引发火灾事故。发生泄漏后将通过废气形式向大气扩散，可能引起短时超过环境质量标准的状况，造成区域大气环境污染，向周边传播，影响周边居民，影响周围人群健康。</w:t>
      </w:r>
    </w:p>
    <w:p w:rsidR="00EE56C0" w:rsidRDefault="000F36A1">
      <w:pPr>
        <w:spacing w:line="460" w:lineRule="exact"/>
        <w:ind w:firstLine="480"/>
        <w:jc w:val="left"/>
      </w:pPr>
      <w:r>
        <w:rPr>
          <w:rFonts w:hint="eastAsia"/>
        </w:rPr>
        <w:t>如果泄漏量较大，处理不及时，将下渗污染地下水，对区域内浅层地下水水质产生影响，引起地下水耗氧量等指标的上升。</w:t>
      </w:r>
    </w:p>
    <w:p w:rsidR="00EE56C0" w:rsidRDefault="000F36A1">
      <w:pPr>
        <w:spacing w:line="460" w:lineRule="exact"/>
        <w:ind w:firstLine="480"/>
        <w:jc w:val="left"/>
      </w:pPr>
      <w:r>
        <w:rPr>
          <w:rFonts w:hint="eastAsia"/>
        </w:rPr>
        <w:t>漆含易燃物质，如果发生火灾，将对周边居民的人身安全和财产安全产生威</w:t>
      </w:r>
      <w:r>
        <w:rPr>
          <w:rFonts w:hint="eastAsia"/>
        </w:rPr>
        <w:lastRenderedPageBreak/>
        <w:t>胁，造成恐慌。发生火灾后产生的消防废水需要处理后再排放，可能增加污水处理的处理压力。</w:t>
      </w:r>
    </w:p>
    <w:p w:rsidR="00EE56C0" w:rsidRDefault="000F36A1">
      <w:pPr>
        <w:pStyle w:val="3"/>
        <w:spacing w:before="240" w:after="120"/>
      </w:pPr>
      <w:r>
        <w:rPr>
          <w:rFonts w:hint="eastAsia"/>
        </w:rPr>
        <w:t>5.7.7</w:t>
      </w:r>
      <w:r>
        <w:rPr>
          <w:rFonts w:hint="eastAsia"/>
        </w:rPr>
        <w:t>环境风险防范措施及应急要求</w:t>
      </w:r>
    </w:p>
    <w:p w:rsidR="00EE56C0" w:rsidRDefault="000F36A1">
      <w:pPr>
        <w:ind w:firstLine="480"/>
      </w:pPr>
      <w:r>
        <w:rPr>
          <w:rFonts w:hint="eastAsia"/>
        </w:rPr>
        <w:t>根据有关要求，本项目应建立重大事故管理和应急预案，设立厂内急救指挥小组，并和当地有关化学事故应急救援部门建立正常的定期联系。</w:t>
      </w:r>
    </w:p>
    <w:p w:rsidR="00EE56C0" w:rsidRDefault="000F36A1">
      <w:pPr>
        <w:pStyle w:val="4"/>
        <w:ind w:left="120" w:firstLine="241"/>
      </w:pPr>
      <w:r>
        <w:rPr>
          <w:rFonts w:hint="eastAsia"/>
        </w:rPr>
        <w:t>5.7.7.1</w:t>
      </w:r>
      <w:r>
        <w:rPr>
          <w:rFonts w:hint="eastAsia"/>
        </w:rPr>
        <w:t>风险源的防范措施</w:t>
      </w:r>
    </w:p>
    <w:p w:rsidR="00EE56C0" w:rsidRDefault="000F36A1">
      <w:pPr>
        <w:ind w:firstLine="480"/>
      </w:pPr>
      <w:r>
        <w:t>（</w:t>
      </w:r>
      <w:r>
        <w:t>1</w:t>
      </w:r>
      <w:r>
        <w:t>）严格遵照国家有关的法令、法规、设计规范、操作规程进行设计、施工、安装。项目建设完成后，须经劳动安全、消防、环保等有关部门全面验收合格后方可开工。</w:t>
      </w:r>
    </w:p>
    <w:p w:rsidR="00EE56C0" w:rsidRDefault="000F36A1">
      <w:pPr>
        <w:ind w:firstLine="480"/>
      </w:pPr>
      <w:r>
        <w:t>（</w:t>
      </w:r>
      <w:r>
        <w:t>2</w:t>
      </w:r>
      <w:r>
        <w:t>）装备配置方面，车间、库房配置的消防器材应满足消防规范的要求；供电系统应设置双电源，并配备</w:t>
      </w:r>
      <w:r>
        <w:t>UPS</w:t>
      </w:r>
      <w:r>
        <w:t>系统，使关键性电器设备可通过瞬间电源的切换来维持正常的工作；防爆危险区应采用防爆电器。废水、废气处理装置的提升、引风等动力设施应配置必要的应急备用系统。</w:t>
      </w:r>
    </w:p>
    <w:p w:rsidR="00EE56C0" w:rsidRDefault="000F36A1">
      <w:pPr>
        <w:ind w:firstLine="480"/>
      </w:pPr>
      <w:r>
        <w:t>（</w:t>
      </w:r>
      <w:r>
        <w:t>3</w:t>
      </w:r>
      <w:r>
        <w:t>）原料贮存仓库应设专人管理，在醒目的地方设置</w:t>
      </w:r>
      <w:r>
        <w:t>“</w:t>
      </w:r>
      <w:r>
        <w:t>严禁烟火</w:t>
      </w:r>
      <w:r>
        <w:t>”</w:t>
      </w:r>
      <w:r>
        <w:t>等警告标志；原料入库时应检查包装是否有泄漏现象，在贮存期，定期检查，发现泄漏，及时处理；原料放置地点不得靠近热源和电器设备；贮存仓库应有良好的通风、降温等设施，要避免阳光直射，温度不宜超过</w:t>
      </w:r>
      <w:r>
        <w:t>30</w:t>
      </w:r>
      <w:r>
        <w:t>度，附近应配备足量的灭火器材，如干粉或二氧化碳灭火器；原料应按照类别分开存放，严禁与氧化剂、食用化学品等物质混合存放。加强设备、管道、阀门等密封检查与维护，发现问题及时解决，防止跑、冒、滴、漏。</w:t>
      </w:r>
    </w:p>
    <w:p w:rsidR="00EE56C0" w:rsidRDefault="000F36A1">
      <w:pPr>
        <w:ind w:firstLine="480"/>
      </w:pPr>
      <w:r>
        <w:t>（</w:t>
      </w:r>
      <w:r>
        <w:t>4</w:t>
      </w:r>
      <w:r>
        <w:t>）原材料区措施：油漆、稀释剂和固化剂为密闭桶装，丙烷、乙炔为密闭的罐装，不需要现场充填物料，直接搬运储存即可。搬运过程中可能出现破损等情况，因为搬运过程有专人负责，所以发生破损能及时发现并及时处理。因为物料均为密闭桶装和密闭瓶装，包装较小，因此不会发生大量泄漏。厂区设消防事故池，火灾发生时，消防废水排入事故池中，容积不小于</w:t>
      </w:r>
      <w:r>
        <w:t>36m</w:t>
      </w:r>
      <w:r>
        <w:rPr>
          <w:vertAlign w:val="superscript"/>
        </w:rPr>
        <w:t>3</w:t>
      </w:r>
      <w:r>
        <w:t>。</w:t>
      </w:r>
    </w:p>
    <w:p w:rsidR="00EE56C0" w:rsidRDefault="000F36A1">
      <w:pPr>
        <w:ind w:firstLine="480"/>
      </w:pPr>
      <w:r>
        <w:lastRenderedPageBreak/>
        <w:t>（</w:t>
      </w:r>
      <w:r>
        <w:t>4</w:t>
      </w:r>
      <w:r>
        <w:t>）各建构筑物之间、建构筑物与道路之间要按火灾危险类别和环境情况保持足够的安全距离。</w:t>
      </w:r>
    </w:p>
    <w:p w:rsidR="00EE56C0" w:rsidRDefault="000F36A1">
      <w:pPr>
        <w:ind w:firstLine="480"/>
      </w:pPr>
      <w:r>
        <w:t>（</w:t>
      </w:r>
      <w:r>
        <w:t>5</w:t>
      </w:r>
      <w:r>
        <w:t>）公司应建立科学、严格的生产操作规程和安全管理体系，做到各车间、工段生产、安全都有专业人员专职负责。</w:t>
      </w:r>
    </w:p>
    <w:p w:rsidR="00EE56C0" w:rsidRDefault="000F36A1">
      <w:pPr>
        <w:ind w:firstLine="480"/>
      </w:pPr>
      <w:r>
        <w:t>（</w:t>
      </w:r>
      <w:r>
        <w:t>6</w:t>
      </w:r>
      <w:r>
        <w:t>）加强设备、管道、阀门等密封检查与维护，发现问题及时解决，防止跑、冒、滴、漏。</w:t>
      </w:r>
    </w:p>
    <w:p w:rsidR="00EE56C0" w:rsidRDefault="000F36A1">
      <w:pPr>
        <w:ind w:firstLine="480"/>
      </w:pPr>
      <w:r>
        <w:t>（</w:t>
      </w:r>
      <w:r>
        <w:t>7</w:t>
      </w:r>
      <w:r>
        <w:t>）建立健全的组织管理网络。管理人员和操作人员在事故预防中应通力合作，每个生产岗位配备必要的安全管理和责任人员</w:t>
      </w:r>
      <w:r>
        <w:rPr>
          <w:rFonts w:hint="eastAsia"/>
        </w:rPr>
        <w:t>。</w:t>
      </w:r>
    </w:p>
    <w:p w:rsidR="00EE56C0" w:rsidRDefault="000F36A1">
      <w:pPr>
        <w:pStyle w:val="4"/>
        <w:ind w:left="120" w:firstLine="241"/>
      </w:pPr>
      <w:r>
        <w:rPr>
          <w:rFonts w:hint="eastAsia"/>
        </w:rPr>
        <w:t>5.7.7.2</w:t>
      </w:r>
      <w:r>
        <w:rPr>
          <w:rFonts w:hint="eastAsia"/>
        </w:rPr>
        <w:t>环境影响途径的防范措施</w:t>
      </w:r>
    </w:p>
    <w:p w:rsidR="00EE56C0" w:rsidRDefault="000F36A1">
      <w:pPr>
        <w:ind w:firstLine="480"/>
      </w:pPr>
      <w:r>
        <w:t>（</w:t>
      </w:r>
      <w:r>
        <w:t>1</w:t>
      </w:r>
      <w:r>
        <w:t>）操作人员必须经过专门培训，严格遵守操作规程，搬运时要轻装轻卸，防止包装及容器损坏，调配油漆、喷涂和焊接的工作现场禁止吸烟、进食和饮水。工作前避免饮用酒精性饮料。</w:t>
      </w:r>
    </w:p>
    <w:p w:rsidR="00EE56C0" w:rsidRDefault="000F36A1">
      <w:pPr>
        <w:pStyle w:val="afe"/>
        <w:ind w:firstLine="560"/>
        <w:rPr>
          <w:sz w:val="24"/>
        </w:rPr>
      </w:pPr>
      <w:r>
        <w:t>（</w:t>
      </w:r>
      <w:r>
        <w:t>2</w:t>
      </w:r>
      <w:r>
        <w:t>）</w:t>
      </w:r>
      <w:r>
        <w:rPr>
          <w:sz w:val="24"/>
        </w:rPr>
        <w:t>应根据《危险化学品管理条例》的要求，委托有危险化学品运输资质的单位运输。运输车要有明显的危险物品运输标志，应轻装轻卸，装卸时，严禁抛、滑、滚、碰。</w:t>
      </w:r>
    </w:p>
    <w:p w:rsidR="00EE56C0" w:rsidRDefault="000F36A1">
      <w:pPr>
        <w:pStyle w:val="afe"/>
        <w:ind w:firstLine="480"/>
        <w:rPr>
          <w:sz w:val="24"/>
        </w:rPr>
      </w:pPr>
      <w:r>
        <w:rPr>
          <w:sz w:val="24"/>
        </w:rPr>
        <w:t>（</w:t>
      </w:r>
      <w:r>
        <w:rPr>
          <w:sz w:val="24"/>
        </w:rPr>
        <w:t>3</w:t>
      </w:r>
      <w:r>
        <w:rPr>
          <w:sz w:val="24"/>
        </w:rPr>
        <w:t>）运输车辆应保持安全的车速，保持车距，避免因交通事故引起物料泄漏，从而造成公路沿线的污染事故。</w:t>
      </w:r>
    </w:p>
    <w:p w:rsidR="00EE56C0" w:rsidRDefault="000F36A1">
      <w:pPr>
        <w:pStyle w:val="afe"/>
        <w:ind w:firstLine="480"/>
        <w:rPr>
          <w:sz w:val="24"/>
        </w:rPr>
      </w:pPr>
      <w:r>
        <w:rPr>
          <w:sz w:val="24"/>
        </w:rPr>
        <w:t>（</w:t>
      </w:r>
      <w:r>
        <w:rPr>
          <w:sz w:val="24"/>
        </w:rPr>
        <w:t>4</w:t>
      </w:r>
      <w:r>
        <w:rPr>
          <w:sz w:val="24"/>
        </w:rPr>
        <w:t>）在运输时应严格遵守有关危险品运输管理规定，配备相应的应急处理器材和防护用品。装卸现场严禁烟火，必须配备灭火器。运输途中发现泄漏应积极主动采取措施处理，及时向当地环保部门、公安部、消防部门及其它有应急事故处理能力的当地部门报告。</w:t>
      </w:r>
    </w:p>
    <w:p w:rsidR="00EE56C0" w:rsidRDefault="000F36A1">
      <w:pPr>
        <w:ind w:firstLine="480"/>
      </w:pPr>
      <w:r>
        <w:t>（</w:t>
      </w:r>
      <w:r>
        <w:t>5</w:t>
      </w:r>
      <w:r>
        <w:t>）原材料区的地面设置防渗层，设置托盘，避免入渗进入地下水。当危险源发生泄漏时，由生产操作现场人员及时堵漏，切断与其他单元的联系。将泄漏物用沙土或吸附棉吸附或吸收，并铲入专用收集器内，委托有资质的单位处理</w:t>
      </w:r>
      <w:r>
        <w:rPr>
          <w:rFonts w:hint="eastAsia"/>
        </w:rPr>
        <w:t>。</w:t>
      </w:r>
    </w:p>
    <w:p w:rsidR="00EE56C0" w:rsidRDefault="000F36A1">
      <w:pPr>
        <w:pStyle w:val="4"/>
        <w:ind w:left="120" w:firstLine="241"/>
      </w:pPr>
      <w:r>
        <w:rPr>
          <w:rFonts w:hint="eastAsia"/>
        </w:rPr>
        <w:lastRenderedPageBreak/>
        <w:t>5.7.7.3</w:t>
      </w:r>
      <w:r>
        <w:rPr>
          <w:rFonts w:hint="eastAsia"/>
        </w:rPr>
        <w:t>环境敏感目标的防范措施</w:t>
      </w:r>
    </w:p>
    <w:p w:rsidR="00EE56C0" w:rsidRDefault="000F36A1">
      <w:pPr>
        <w:ind w:firstLine="480"/>
      </w:pPr>
      <w:r>
        <w:t>（</w:t>
      </w:r>
      <w:r>
        <w:t>1</w:t>
      </w:r>
      <w:r>
        <w:t>）对在岗工人及邻近有关人员进行普及性自我救护教育，一旦发生事故迅速进行自我救护，如佩戴防毒面具、敞开门窗等。</w:t>
      </w:r>
    </w:p>
    <w:p w:rsidR="00EE56C0" w:rsidRDefault="000F36A1">
      <w:pPr>
        <w:ind w:firstLine="480"/>
      </w:pPr>
      <w:r>
        <w:t>（</w:t>
      </w:r>
      <w:r>
        <w:t>2</w:t>
      </w:r>
      <w:r>
        <w:t>）要加强设备的密封性和车间的通风，应配备便携式检测仪进行定期检测。对需经常打开的设备必须装备固定式或携带式排气系统，减少工作场所可能受到的污染和对操作人员的危害。操作人员要定期进行体检。</w:t>
      </w:r>
    </w:p>
    <w:p w:rsidR="00EE56C0" w:rsidRDefault="000F36A1">
      <w:pPr>
        <w:ind w:firstLine="480"/>
      </w:pPr>
      <w:r>
        <w:t>（</w:t>
      </w:r>
      <w:r>
        <w:t>3</w:t>
      </w:r>
      <w:r>
        <w:t>）如果操作人员必须靠近敞开的设备和接触物料，操作人员应按规定佩带防护用具，眼部／脸部为全面覆盖的护目镜防护服：穿工作服（防腐材料制作），手套为橡皮手套。</w:t>
      </w:r>
    </w:p>
    <w:p w:rsidR="00EE56C0" w:rsidRDefault="000F36A1">
      <w:pPr>
        <w:ind w:firstLine="480"/>
      </w:pPr>
      <w:r>
        <w:t>（</w:t>
      </w:r>
      <w:r>
        <w:t>4</w:t>
      </w:r>
      <w:r>
        <w:t>）将泄漏区周围</w:t>
      </w:r>
      <w:r>
        <w:t>50m</w:t>
      </w:r>
      <w:r>
        <w:t>范围划为隔离区，隔离区内人员撤离，严格限制出入。</w:t>
      </w:r>
    </w:p>
    <w:p w:rsidR="00EE56C0" w:rsidRDefault="000F36A1">
      <w:pPr>
        <w:ind w:firstLine="480"/>
      </w:pPr>
      <w:r>
        <w:t>（</w:t>
      </w:r>
      <w:r>
        <w:t>5</w:t>
      </w:r>
      <w:r>
        <w:t>）发生危害性事故，应立即通知有关部门，组织附近居民疏散、抢险和应急监测等善后处理事宜</w:t>
      </w:r>
      <w:r>
        <w:rPr>
          <w:rFonts w:hint="eastAsia"/>
        </w:rPr>
        <w:t>。</w:t>
      </w:r>
    </w:p>
    <w:p w:rsidR="00EE56C0" w:rsidRDefault="000F36A1">
      <w:pPr>
        <w:pStyle w:val="4"/>
        <w:ind w:left="120" w:firstLine="241"/>
      </w:pPr>
      <w:r>
        <w:rPr>
          <w:rFonts w:hint="eastAsia"/>
        </w:rPr>
        <w:t>5.7.7.4</w:t>
      </w:r>
      <w:r>
        <w:rPr>
          <w:rFonts w:hint="eastAsia"/>
        </w:rPr>
        <w:t>应急措施</w:t>
      </w:r>
    </w:p>
    <w:p w:rsidR="00EE56C0" w:rsidRDefault="000F36A1">
      <w:pPr>
        <w:ind w:firstLine="480"/>
      </w:pPr>
      <w:r>
        <w:t>项目最大可信事故是：在使用、储存、运输过程中</w:t>
      </w:r>
      <w:r>
        <w:rPr>
          <w:szCs w:val="24"/>
        </w:rPr>
        <w:t>稀释剂、油漆、丙烷、乙炔遇明火</w:t>
      </w:r>
      <w:r>
        <w:t>意外燃烧从而引发火灾、爆炸事故。评价提出以下事故应急措施。</w:t>
      </w:r>
    </w:p>
    <w:p w:rsidR="00EE56C0" w:rsidRDefault="000F36A1">
      <w:pPr>
        <w:pStyle w:val="afe"/>
        <w:ind w:firstLine="480"/>
        <w:rPr>
          <w:sz w:val="24"/>
        </w:rPr>
      </w:pPr>
      <w:r>
        <w:rPr>
          <w:sz w:val="24"/>
        </w:rPr>
        <w:t>（</w:t>
      </w:r>
      <w:r>
        <w:rPr>
          <w:sz w:val="24"/>
        </w:rPr>
        <w:t>1</w:t>
      </w:r>
      <w:r>
        <w:rPr>
          <w:sz w:val="24"/>
        </w:rPr>
        <w:t>）在稀释剂和油漆贮存区域四周建设防泄漏围堰，高度不低于</w:t>
      </w:r>
      <w:r>
        <w:rPr>
          <w:sz w:val="24"/>
        </w:rPr>
        <w:t>0.2m</w:t>
      </w:r>
      <w:r>
        <w:rPr>
          <w:sz w:val="24"/>
        </w:rPr>
        <w:t>。及时将泄漏出的液体截留收集，避免大量挥发或引发火灾等；</w:t>
      </w:r>
    </w:p>
    <w:p w:rsidR="00EE56C0" w:rsidRDefault="000F36A1">
      <w:pPr>
        <w:pStyle w:val="afe"/>
        <w:ind w:firstLine="480"/>
        <w:rPr>
          <w:sz w:val="24"/>
        </w:rPr>
      </w:pPr>
      <w:r>
        <w:rPr>
          <w:sz w:val="24"/>
        </w:rPr>
        <w:t>（</w:t>
      </w:r>
      <w:r>
        <w:rPr>
          <w:sz w:val="24"/>
        </w:rPr>
        <w:t>2</w:t>
      </w:r>
      <w:r>
        <w:rPr>
          <w:sz w:val="24"/>
        </w:rPr>
        <w:t>）泄漏后采取防火措施，禁止一切明火靠近；</w:t>
      </w:r>
    </w:p>
    <w:p w:rsidR="00EE56C0" w:rsidRDefault="000F36A1">
      <w:pPr>
        <w:pStyle w:val="afe"/>
        <w:ind w:firstLine="480"/>
        <w:rPr>
          <w:sz w:val="24"/>
        </w:rPr>
      </w:pPr>
      <w:r>
        <w:rPr>
          <w:sz w:val="24"/>
        </w:rPr>
        <w:t>（</w:t>
      </w:r>
      <w:r>
        <w:rPr>
          <w:sz w:val="24"/>
        </w:rPr>
        <w:t>3</w:t>
      </w:r>
      <w:r>
        <w:rPr>
          <w:sz w:val="24"/>
        </w:rPr>
        <w:t>）发生火灾、爆炸事故后立即采取紧急工程措施，防止火灾扩大，并对受伤人员救护和疏散人员撤离，并报告上级管理部门，同时向消防系统报警。在火灾尚未扩大至不可控制之前应使用移动式灭火器扑灭初期火灾或控制火源；</w:t>
      </w:r>
    </w:p>
    <w:p w:rsidR="00EE56C0" w:rsidRDefault="000F36A1">
      <w:pPr>
        <w:pStyle w:val="afe"/>
        <w:ind w:firstLine="480"/>
        <w:rPr>
          <w:spacing w:val="3"/>
          <w:sz w:val="24"/>
        </w:rPr>
      </w:pPr>
      <w:r>
        <w:rPr>
          <w:sz w:val="24"/>
        </w:rPr>
        <w:t>（</w:t>
      </w:r>
      <w:r>
        <w:rPr>
          <w:sz w:val="24"/>
        </w:rPr>
        <w:t>4</w:t>
      </w:r>
      <w:r>
        <w:rPr>
          <w:sz w:val="24"/>
        </w:rPr>
        <w:t>）在厂区建设事故废水收集池，四周建有围堰。一旦发生火灾，可将消防废水收集、治理后排放，避免由此造成的环境污染。经参照《建筑设计防火规范》（</w:t>
      </w:r>
      <w:r>
        <w:rPr>
          <w:sz w:val="24"/>
        </w:rPr>
        <w:t>GB50016-2006</w:t>
      </w:r>
      <w:r>
        <w:rPr>
          <w:sz w:val="24"/>
        </w:rPr>
        <w:t>），本项目的消防用水量以</w:t>
      </w:r>
      <w:r>
        <w:rPr>
          <w:sz w:val="24"/>
        </w:rPr>
        <w:t>20L/s</w:t>
      </w:r>
      <w:r>
        <w:rPr>
          <w:sz w:val="24"/>
        </w:rPr>
        <w:t>计，灭火时间以</w:t>
      </w:r>
      <w:r>
        <w:rPr>
          <w:sz w:val="24"/>
        </w:rPr>
        <w:t>30min</w:t>
      </w:r>
      <w:r>
        <w:rPr>
          <w:sz w:val="24"/>
        </w:rPr>
        <w:t>计，</w:t>
      </w:r>
      <w:r>
        <w:rPr>
          <w:sz w:val="24"/>
        </w:rPr>
        <w:lastRenderedPageBreak/>
        <w:t>则项目的消防水量为</w:t>
      </w:r>
      <w:r>
        <w:rPr>
          <w:sz w:val="24"/>
        </w:rPr>
        <w:t>36m</w:t>
      </w:r>
      <w:r>
        <w:rPr>
          <w:sz w:val="24"/>
          <w:vertAlign w:val="superscript"/>
        </w:rPr>
        <w:t>3</w:t>
      </w:r>
      <w:r>
        <w:rPr>
          <w:sz w:val="24"/>
        </w:rPr>
        <w:t>。企业按产生量的</w:t>
      </w:r>
      <w:r>
        <w:rPr>
          <w:sz w:val="24"/>
        </w:rPr>
        <w:t>150%</w:t>
      </w:r>
      <w:r>
        <w:rPr>
          <w:sz w:val="24"/>
        </w:rPr>
        <w:t>进行设计，</w:t>
      </w:r>
      <w:r>
        <w:rPr>
          <w:rFonts w:hint="eastAsia"/>
          <w:sz w:val="24"/>
        </w:rPr>
        <w:t>所需事故池</w:t>
      </w:r>
      <w:r>
        <w:rPr>
          <w:sz w:val="24"/>
        </w:rPr>
        <w:t>容积</w:t>
      </w:r>
      <w:r>
        <w:rPr>
          <w:rFonts w:hint="eastAsia"/>
          <w:sz w:val="24"/>
        </w:rPr>
        <w:t>为</w:t>
      </w:r>
      <w:r>
        <w:rPr>
          <w:rFonts w:hint="eastAsia"/>
          <w:sz w:val="24"/>
        </w:rPr>
        <w:t>54</w:t>
      </w:r>
      <w:r>
        <w:rPr>
          <w:sz w:val="24"/>
        </w:rPr>
        <w:t xml:space="preserve"> m</w:t>
      </w:r>
      <w:r>
        <w:rPr>
          <w:sz w:val="24"/>
          <w:vertAlign w:val="superscript"/>
        </w:rPr>
        <w:t>3</w:t>
      </w:r>
      <w:r>
        <w:rPr>
          <w:rFonts w:hint="eastAsia"/>
          <w:sz w:val="24"/>
        </w:rPr>
        <w:t>，现有项目事故水池为</w:t>
      </w:r>
      <w:r>
        <w:rPr>
          <w:rFonts w:hint="eastAsia"/>
          <w:sz w:val="24"/>
        </w:rPr>
        <w:t>80</w:t>
      </w:r>
      <w:r>
        <w:rPr>
          <w:sz w:val="24"/>
        </w:rPr>
        <w:t>m</w:t>
      </w:r>
      <w:r>
        <w:rPr>
          <w:sz w:val="24"/>
          <w:vertAlign w:val="superscript"/>
        </w:rPr>
        <w:t>3</w:t>
      </w:r>
      <w:r>
        <w:rPr>
          <w:rFonts w:hint="eastAsia"/>
          <w:sz w:val="24"/>
        </w:rPr>
        <w:t>，可以满足本项目要求</w:t>
      </w:r>
      <w:r>
        <w:rPr>
          <w:sz w:val="24"/>
        </w:rPr>
        <w:t>。</w:t>
      </w:r>
      <w:r>
        <w:rPr>
          <w:spacing w:val="3"/>
          <w:sz w:val="24"/>
        </w:rPr>
        <w:t>发生火灾事故后，消防废水暂存于事故水储存池内。根据消防废水的实际情况，在咨询相关环保、消防专家意见的前提下，制定可靠的消防废水处理方案，对废水进行有效处理，确保达标排放。</w:t>
      </w:r>
    </w:p>
    <w:p w:rsidR="00EE56C0" w:rsidRDefault="000F36A1">
      <w:pPr>
        <w:ind w:firstLine="492"/>
      </w:pPr>
      <w:r>
        <w:rPr>
          <w:spacing w:val="3"/>
          <w:szCs w:val="24"/>
        </w:rPr>
        <w:t>（</w:t>
      </w:r>
      <w:r>
        <w:rPr>
          <w:spacing w:val="3"/>
          <w:szCs w:val="24"/>
        </w:rPr>
        <w:t>5</w:t>
      </w:r>
      <w:r>
        <w:rPr>
          <w:spacing w:val="3"/>
          <w:szCs w:val="24"/>
        </w:rPr>
        <w:t>）健全雨水管网系统，建议在雨水管网的总出口设置闸板，发生物料泄漏和火灾事故后，及时关闭闸板，防止物料和消防废水通过雨水管网排入外环境，保证事故后能及时将废水导入事故池</w:t>
      </w:r>
      <w:r>
        <w:rPr>
          <w:rFonts w:hint="eastAsia"/>
          <w:spacing w:val="3"/>
          <w:szCs w:val="24"/>
        </w:rPr>
        <w:t>。</w:t>
      </w:r>
    </w:p>
    <w:p w:rsidR="00EE56C0" w:rsidRDefault="000F36A1">
      <w:pPr>
        <w:pStyle w:val="3"/>
        <w:spacing w:before="240" w:after="120"/>
      </w:pPr>
      <w:r>
        <w:rPr>
          <w:rFonts w:hint="eastAsia"/>
        </w:rPr>
        <w:t>5.7.8</w:t>
      </w:r>
      <w:r>
        <w:rPr>
          <w:rFonts w:hint="eastAsia"/>
        </w:rPr>
        <w:t>风险措施</w:t>
      </w:r>
    </w:p>
    <w:p w:rsidR="00EE56C0" w:rsidRDefault="000F36A1">
      <w:pPr>
        <w:ind w:firstLine="480"/>
      </w:pPr>
      <w:r>
        <w:t>本项目事故风险防范措施详细情况见表</w:t>
      </w:r>
      <w:r>
        <w:t>5-</w:t>
      </w:r>
      <w:r w:rsidR="005767FB">
        <w:rPr>
          <w:rFonts w:hint="eastAsia"/>
        </w:rPr>
        <w:t>58</w:t>
      </w:r>
      <w:r>
        <w:t>。</w:t>
      </w:r>
    </w:p>
    <w:p w:rsidR="00EE56C0" w:rsidRDefault="000F36A1">
      <w:pPr>
        <w:pStyle w:val="16"/>
        <w:rPr>
          <w:rFonts w:cs="Times New Roman"/>
        </w:rPr>
      </w:pPr>
      <w:r>
        <w:rPr>
          <w:rFonts w:cs="Times New Roman"/>
        </w:rPr>
        <w:t>表</w:t>
      </w:r>
      <w:r>
        <w:rPr>
          <w:rFonts w:cs="Times New Roman"/>
        </w:rPr>
        <w:t>5-</w:t>
      </w:r>
      <w:r w:rsidR="005767FB">
        <w:rPr>
          <w:rFonts w:cs="Times New Roman" w:hint="eastAsia"/>
        </w:rPr>
        <w:t>58</w:t>
      </w:r>
      <w:r>
        <w:rPr>
          <w:rFonts w:cs="Times New Roman"/>
        </w:rPr>
        <w:t xml:space="preserve">                </w:t>
      </w:r>
      <w:r>
        <w:rPr>
          <w:rFonts w:cs="Times New Roman"/>
        </w:rPr>
        <w:t>事故防范应急措施表</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2091"/>
        <w:gridCol w:w="6438"/>
      </w:tblGrid>
      <w:tr w:rsidR="00EE56C0">
        <w:trPr>
          <w:trHeight w:val="397"/>
          <w:tblHeader/>
          <w:jc w:val="center"/>
        </w:trPr>
        <w:tc>
          <w:tcPr>
            <w:tcW w:w="1226" w:type="pct"/>
            <w:vAlign w:val="center"/>
          </w:tcPr>
          <w:p w:rsidR="00EE56C0" w:rsidRDefault="000F36A1">
            <w:pPr>
              <w:pStyle w:val="aff1"/>
              <w:rPr>
                <w:rFonts w:cs="Times New Roman"/>
                <w:color w:val="auto"/>
              </w:rPr>
            </w:pPr>
            <w:r>
              <w:rPr>
                <w:rFonts w:cs="Times New Roman"/>
                <w:color w:val="auto"/>
              </w:rPr>
              <w:t>项目</w:t>
            </w:r>
          </w:p>
        </w:tc>
        <w:tc>
          <w:tcPr>
            <w:tcW w:w="3774" w:type="pct"/>
            <w:vAlign w:val="center"/>
          </w:tcPr>
          <w:p w:rsidR="00EE56C0" w:rsidRDefault="000F36A1">
            <w:pPr>
              <w:pStyle w:val="aff1"/>
              <w:rPr>
                <w:rFonts w:cs="Times New Roman"/>
                <w:color w:val="auto"/>
              </w:rPr>
            </w:pPr>
            <w:r>
              <w:rPr>
                <w:rFonts w:cs="Times New Roman"/>
                <w:color w:val="auto"/>
              </w:rPr>
              <w:t>防范及应急措施</w:t>
            </w:r>
          </w:p>
        </w:tc>
      </w:tr>
      <w:tr w:rsidR="00EE56C0">
        <w:trPr>
          <w:trHeight w:val="397"/>
          <w:jc w:val="center"/>
        </w:trPr>
        <w:tc>
          <w:tcPr>
            <w:tcW w:w="1226" w:type="pct"/>
            <w:vAlign w:val="center"/>
          </w:tcPr>
          <w:p w:rsidR="00EE56C0" w:rsidRDefault="000F36A1">
            <w:pPr>
              <w:pStyle w:val="afa"/>
            </w:pPr>
            <w:r>
              <w:t>平面布置</w:t>
            </w:r>
          </w:p>
        </w:tc>
        <w:tc>
          <w:tcPr>
            <w:tcW w:w="3774" w:type="pct"/>
            <w:vAlign w:val="center"/>
          </w:tcPr>
          <w:p w:rsidR="00EE56C0" w:rsidRDefault="000F36A1">
            <w:pPr>
              <w:pStyle w:val="afa"/>
            </w:pPr>
            <w:r>
              <w:t>厂区平面布置严格按照防火、防爆的规定，原料储存区等厂区地面按照分区防渗要求做好防渗；根据事故风险防范要求，设置应急救援设施及救援通道。</w:t>
            </w:r>
          </w:p>
        </w:tc>
      </w:tr>
      <w:tr w:rsidR="00EE56C0">
        <w:trPr>
          <w:trHeight w:val="397"/>
          <w:jc w:val="center"/>
        </w:trPr>
        <w:tc>
          <w:tcPr>
            <w:tcW w:w="1226" w:type="pct"/>
            <w:vAlign w:val="center"/>
          </w:tcPr>
          <w:p w:rsidR="00EE56C0" w:rsidRDefault="000F36A1">
            <w:pPr>
              <w:pStyle w:val="afa"/>
            </w:pPr>
            <w:r>
              <w:t>建筑</w:t>
            </w:r>
          </w:p>
        </w:tc>
        <w:tc>
          <w:tcPr>
            <w:tcW w:w="3774" w:type="pct"/>
            <w:vAlign w:val="center"/>
          </w:tcPr>
          <w:p w:rsidR="00EE56C0" w:rsidRDefault="000F36A1">
            <w:pPr>
              <w:pStyle w:val="afa"/>
            </w:pPr>
            <w:r>
              <w:t>严格执行防震、防雷设计规范。</w:t>
            </w:r>
          </w:p>
        </w:tc>
      </w:tr>
      <w:tr w:rsidR="00EE56C0">
        <w:trPr>
          <w:trHeight w:val="397"/>
          <w:jc w:val="center"/>
        </w:trPr>
        <w:tc>
          <w:tcPr>
            <w:tcW w:w="1226" w:type="pct"/>
            <w:vMerge w:val="restart"/>
            <w:vAlign w:val="center"/>
          </w:tcPr>
          <w:p w:rsidR="00EE56C0" w:rsidRDefault="000F36A1">
            <w:pPr>
              <w:pStyle w:val="afa"/>
            </w:pPr>
            <w:r>
              <w:t>设备、设施</w:t>
            </w:r>
          </w:p>
        </w:tc>
        <w:tc>
          <w:tcPr>
            <w:tcW w:w="3774" w:type="pct"/>
            <w:vAlign w:val="center"/>
          </w:tcPr>
          <w:p w:rsidR="00EE56C0" w:rsidRDefault="000F36A1">
            <w:pPr>
              <w:pStyle w:val="afa"/>
            </w:pPr>
            <w:r>
              <w:t>本项目选用防爆型仪表、电气开关。</w:t>
            </w:r>
          </w:p>
        </w:tc>
      </w:tr>
      <w:tr w:rsidR="00EE56C0">
        <w:trPr>
          <w:trHeight w:val="397"/>
          <w:jc w:val="center"/>
        </w:trPr>
        <w:tc>
          <w:tcPr>
            <w:tcW w:w="0" w:type="auto"/>
            <w:vMerge/>
            <w:vAlign w:val="center"/>
          </w:tcPr>
          <w:p w:rsidR="00EE56C0" w:rsidRDefault="00EE56C0">
            <w:pPr>
              <w:widowControl/>
              <w:adjustRightInd/>
              <w:snapToGrid/>
              <w:spacing w:line="240" w:lineRule="auto"/>
              <w:ind w:firstLineChars="0" w:firstLine="0"/>
              <w:jc w:val="left"/>
              <w:rPr>
                <w:kern w:val="2"/>
                <w:sz w:val="21"/>
                <w:szCs w:val="21"/>
              </w:rPr>
            </w:pPr>
          </w:p>
        </w:tc>
        <w:tc>
          <w:tcPr>
            <w:tcW w:w="3774" w:type="pct"/>
            <w:vAlign w:val="center"/>
          </w:tcPr>
          <w:p w:rsidR="00EE56C0" w:rsidRDefault="000F36A1">
            <w:pPr>
              <w:pStyle w:val="afa"/>
            </w:pPr>
            <w:r>
              <w:t>生产装置、管线等，设置防静电接地装置，采取地面硬化等防渗措施。</w:t>
            </w:r>
          </w:p>
        </w:tc>
      </w:tr>
      <w:tr w:rsidR="00EE56C0">
        <w:trPr>
          <w:trHeight w:val="397"/>
          <w:jc w:val="center"/>
        </w:trPr>
        <w:tc>
          <w:tcPr>
            <w:tcW w:w="0" w:type="auto"/>
            <w:vMerge/>
            <w:vAlign w:val="center"/>
          </w:tcPr>
          <w:p w:rsidR="00EE56C0" w:rsidRDefault="00EE56C0">
            <w:pPr>
              <w:widowControl/>
              <w:adjustRightInd/>
              <w:snapToGrid/>
              <w:spacing w:line="240" w:lineRule="auto"/>
              <w:ind w:firstLineChars="0" w:firstLine="0"/>
              <w:jc w:val="left"/>
              <w:rPr>
                <w:kern w:val="2"/>
                <w:sz w:val="21"/>
                <w:szCs w:val="21"/>
              </w:rPr>
            </w:pPr>
          </w:p>
        </w:tc>
        <w:tc>
          <w:tcPr>
            <w:tcW w:w="3774" w:type="pct"/>
            <w:vAlign w:val="center"/>
          </w:tcPr>
          <w:p w:rsidR="00EE56C0" w:rsidRDefault="000F36A1">
            <w:pPr>
              <w:pStyle w:val="afa"/>
            </w:pPr>
            <w:r>
              <w:t>生产区应建设避雷防雷击等设备。</w:t>
            </w:r>
          </w:p>
        </w:tc>
      </w:tr>
      <w:tr w:rsidR="00EE56C0">
        <w:trPr>
          <w:trHeight w:val="397"/>
          <w:jc w:val="center"/>
        </w:trPr>
        <w:tc>
          <w:tcPr>
            <w:tcW w:w="1226" w:type="pct"/>
            <w:vAlign w:val="center"/>
          </w:tcPr>
          <w:p w:rsidR="00EE56C0" w:rsidRDefault="000F36A1">
            <w:pPr>
              <w:pStyle w:val="afa"/>
            </w:pPr>
            <w:r>
              <w:t>物料储运及使用</w:t>
            </w:r>
          </w:p>
        </w:tc>
        <w:tc>
          <w:tcPr>
            <w:tcW w:w="3774" w:type="pct"/>
            <w:vAlign w:val="center"/>
          </w:tcPr>
          <w:p w:rsidR="00EE56C0" w:rsidRDefault="000F36A1">
            <w:pPr>
              <w:pStyle w:val="afa"/>
            </w:pPr>
            <w:r>
              <w:t>储存区采用防爆电器及照明灯具，并配置泄漏回收装备。</w:t>
            </w:r>
          </w:p>
        </w:tc>
      </w:tr>
      <w:tr w:rsidR="00EE56C0">
        <w:trPr>
          <w:trHeight w:val="397"/>
          <w:jc w:val="center"/>
        </w:trPr>
        <w:tc>
          <w:tcPr>
            <w:tcW w:w="1226" w:type="pct"/>
            <w:vMerge w:val="restart"/>
            <w:vAlign w:val="center"/>
          </w:tcPr>
          <w:p w:rsidR="00EE56C0" w:rsidRDefault="000F36A1">
            <w:pPr>
              <w:pStyle w:val="afa"/>
            </w:pPr>
            <w:r>
              <w:t>消防废水</w:t>
            </w:r>
          </w:p>
        </w:tc>
        <w:tc>
          <w:tcPr>
            <w:tcW w:w="3774" w:type="pct"/>
            <w:vAlign w:val="center"/>
          </w:tcPr>
          <w:p w:rsidR="00EE56C0" w:rsidRDefault="000F36A1">
            <w:pPr>
              <w:pStyle w:val="afa"/>
            </w:pPr>
            <w:r>
              <w:t>修建截污沟和事故废水储存池，制定可靠的消防废水治理方案。</w:t>
            </w:r>
          </w:p>
        </w:tc>
      </w:tr>
      <w:tr w:rsidR="00EE56C0">
        <w:trPr>
          <w:trHeight w:val="397"/>
          <w:jc w:val="center"/>
        </w:trPr>
        <w:tc>
          <w:tcPr>
            <w:tcW w:w="0" w:type="auto"/>
            <w:vMerge/>
            <w:vAlign w:val="center"/>
          </w:tcPr>
          <w:p w:rsidR="00EE56C0" w:rsidRDefault="00EE56C0">
            <w:pPr>
              <w:widowControl/>
              <w:adjustRightInd/>
              <w:snapToGrid/>
              <w:spacing w:line="240" w:lineRule="auto"/>
              <w:ind w:firstLineChars="0" w:firstLine="0"/>
              <w:jc w:val="left"/>
              <w:rPr>
                <w:kern w:val="2"/>
                <w:sz w:val="21"/>
                <w:szCs w:val="21"/>
              </w:rPr>
            </w:pPr>
          </w:p>
        </w:tc>
        <w:tc>
          <w:tcPr>
            <w:tcW w:w="3774" w:type="pct"/>
            <w:vAlign w:val="center"/>
          </w:tcPr>
          <w:p w:rsidR="00EE56C0" w:rsidRDefault="000F36A1">
            <w:pPr>
              <w:pStyle w:val="afa"/>
            </w:pPr>
            <w:r>
              <w:t>对于雨水管网系统进行完善，在雨水管网内设置闸板。</w:t>
            </w:r>
          </w:p>
        </w:tc>
      </w:tr>
      <w:tr w:rsidR="00EE56C0">
        <w:trPr>
          <w:trHeight w:val="397"/>
          <w:jc w:val="center"/>
        </w:trPr>
        <w:tc>
          <w:tcPr>
            <w:tcW w:w="1226" w:type="pct"/>
            <w:vMerge w:val="restart"/>
            <w:vAlign w:val="center"/>
          </w:tcPr>
          <w:p w:rsidR="00EE56C0" w:rsidRDefault="000F36A1">
            <w:pPr>
              <w:pStyle w:val="afa"/>
            </w:pPr>
            <w:r>
              <w:t>应急组织</w:t>
            </w:r>
          </w:p>
        </w:tc>
        <w:tc>
          <w:tcPr>
            <w:tcW w:w="3774" w:type="pct"/>
            <w:vAlign w:val="center"/>
          </w:tcPr>
          <w:p w:rsidR="00EE56C0" w:rsidRDefault="000F36A1">
            <w:pPr>
              <w:pStyle w:val="afa"/>
            </w:pPr>
            <w:r>
              <w:t>厂区内建立应急救援计划，并时常培训试演，制定应急监测计划。</w:t>
            </w:r>
          </w:p>
        </w:tc>
      </w:tr>
      <w:tr w:rsidR="00EE56C0">
        <w:trPr>
          <w:trHeight w:val="397"/>
          <w:jc w:val="center"/>
        </w:trPr>
        <w:tc>
          <w:tcPr>
            <w:tcW w:w="0" w:type="auto"/>
            <w:vMerge/>
            <w:vAlign w:val="center"/>
          </w:tcPr>
          <w:p w:rsidR="00EE56C0" w:rsidRDefault="00EE56C0">
            <w:pPr>
              <w:widowControl/>
              <w:adjustRightInd/>
              <w:snapToGrid/>
              <w:spacing w:line="240" w:lineRule="auto"/>
              <w:ind w:firstLineChars="0" w:firstLine="0"/>
              <w:jc w:val="left"/>
              <w:rPr>
                <w:kern w:val="2"/>
                <w:sz w:val="21"/>
                <w:szCs w:val="21"/>
              </w:rPr>
            </w:pPr>
          </w:p>
        </w:tc>
        <w:tc>
          <w:tcPr>
            <w:tcW w:w="3774" w:type="pct"/>
            <w:vAlign w:val="center"/>
          </w:tcPr>
          <w:p w:rsidR="00EE56C0" w:rsidRDefault="000F36A1">
            <w:pPr>
              <w:pStyle w:val="afa"/>
            </w:pPr>
            <w:r>
              <w:t>配备相应的个人防护装备、应急通讯器材及车辆。</w:t>
            </w:r>
          </w:p>
        </w:tc>
      </w:tr>
      <w:tr w:rsidR="00EE56C0">
        <w:trPr>
          <w:trHeight w:val="397"/>
          <w:jc w:val="center"/>
        </w:trPr>
        <w:tc>
          <w:tcPr>
            <w:tcW w:w="1226" w:type="pct"/>
            <w:vMerge w:val="restart"/>
            <w:vAlign w:val="center"/>
          </w:tcPr>
          <w:p w:rsidR="00EE56C0" w:rsidRDefault="000F36A1">
            <w:pPr>
              <w:pStyle w:val="afa"/>
            </w:pPr>
            <w:r>
              <w:t>管理</w:t>
            </w:r>
          </w:p>
        </w:tc>
        <w:tc>
          <w:tcPr>
            <w:tcW w:w="3774" w:type="pct"/>
            <w:vAlign w:val="center"/>
          </w:tcPr>
          <w:p w:rsidR="00EE56C0" w:rsidRDefault="000F36A1">
            <w:pPr>
              <w:pStyle w:val="afa"/>
            </w:pPr>
            <w:r>
              <w:t>加强工人安全防范教育和宣传，生产装置和库区设施防范警示标记。</w:t>
            </w:r>
          </w:p>
        </w:tc>
      </w:tr>
      <w:tr w:rsidR="00EE56C0">
        <w:trPr>
          <w:trHeight w:val="397"/>
          <w:jc w:val="center"/>
        </w:trPr>
        <w:tc>
          <w:tcPr>
            <w:tcW w:w="0" w:type="auto"/>
            <w:vMerge/>
            <w:vAlign w:val="center"/>
          </w:tcPr>
          <w:p w:rsidR="00EE56C0" w:rsidRDefault="00EE56C0">
            <w:pPr>
              <w:widowControl/>
              <w:adjustRightInd/>
              <w:snapToGrid/>
              <w:spacing w:line="240" w:lineRule="auto"/>
              <w:ind w:firstLineChars="0" w:firstLine="0"/>
              <w:jc w:val="left"/>
              <w:rPr>
                <w:kern w:val="2"/>
                <w:sz w:val="21"/>
                <w:szCs w:val="21"/>
              </w:rPr>
            </w:pPr>
          </w:p>
        </w:tc>
        <w:tc>
          <w:tcPr>
            <w:tcW w:w="3774" w:type="pct"/>
            <w:vAlign w:val="center"/>
          </w:tcPr>
          <w:p w:rsidR="00EE56C0" w:rsidRDefault="000F36A1">
            <w:pPr>
              <w:pStyle w:val="afa"/>
            </w:pPr>
            <w:r>
              <w:t>工人经安全培训合格后方可上岗，并加强厂区安全检查</w:t>
            </w:r>
          </w:p>
        </w:tc>
      </w:tr>
    </w:tbl>
    <w:p w:rsidR="00EE56C0" w:rsidRDefault="000F36A1">
      <w:pPr>
        <w:pStyle w:val="3"/>
        <w:tabs>
          <w:tab w:val="left" w:pos="240"/>
        </w:tabs>
        <w:spacing w:before="240" w:after="120"/>
        <w:ind w:left="120" w:firstLine="281"/>
      </w:pPr>
      <w:r>
        <w:rPr>
          <w:rFonts w:hint="eastAsia"/>
        </w:rPr>
        <w:t>5.7.9</w:t>
      </w:r>
      <w:r>
        <w:t>环境风险评价结论</w:t>
      </w:r>
    </w:p>
    <w:p w:rsidR="00EE56C0" w:rsidRDefault="000F36A1">
      <w:pPr>
        <w:ind w:firstLine="480"/>
      </w:pPr>
      <w:r>
        <w:rPr>
          <w:rFonts w:hint="eastAsia"/>
        </w:rPr>
        <w:t>本项目的原料具有一定的毒性，其生产、贮存过程中存在一定泄漏污染风险，</w:t>
      </w:r>
      <w:r>
        <w:rPr>
          <w:rFonts w:hint="eastAsia"/>
        </w:rPr>
        <w:lastRenderedPageBreak/>
        <w:t>火灾</w:t>
      </w:r>
      <w:r>
        <w:t>/</w:t>
      </w:r>
      <w:r>
        <w:rPr>
          <w:rFonts w:hint="eastAsia"/>
        </w:rPr>
        <w:t>爆炸伴生</w:t>
      </w:r>
      <w:r>
        <w:t>/</w:t>
      </w:r>
      <w:r>
        <w:rPr>
          <w:rFonts w:hint="eastAsia"/>
        </w:rPr>
        <w:t>次生污染物污染风险。在采取相应的风险防范措施后，项目发生泄漏时对周围敏感目标的危害后果较小。</w:t>
      </w:r>
    </w:p>
    <w:p w:rsidR="00EE56C0" w:rsidRDefault="000F36A1">
      <w:pPr>
        <w:ind w:firstLine="480"/>
      </w:pPr>
      <w:r>
        <w:rPr>
          <w:rFonts w:ascii="宋体" w:hAnsi="宋体" w:hint="eastAsia"/>
        </w:rPr>
        <w:t>综上，建设单位在认真落实环境风险评价提出的各项风险防范措施及应急预案的基础上，本项目的环境风险可防控。</w:t>
      </w:r>
    </w:p>
    <w:p w:rsidR="00EE56C0" w:rsidRDefault="00EE56C0">
      <w:pPr>
        <w:pStyle w:val="afe"/>
        <w:ind w:firstLine="480"/>
        <w:rPr>
          <w:sz w:val="24"/>
        </w:rPr>
      </w:pPr>
    </w:p>
    <w:p w:rsidR="00EE56C0" w:rsidRDefault="00EE56C0">
      <w:pPr>
        <w:pStyle w:val="afe"/>
        <w:ind w:firstLine="480"/>
        <w:rPr>
          <w:sz w:val="24"/>
        </w:rPr>
      </w:pPr>
    </w:p>
    <w:p w:rsidR="00EE56C0" w:rsidRDefault="00EE56C0">
      <w:pPr>
        <w:pStyle w:val="afd"/>
        <w:spacing w:beforeLines="0" w:afterLines="0" w:line="520" w:lineRule="exact"/>
        <w:ind w:firstLine="482"/>
      </w:pPr>
    </w:p>
    <w:p w:rsidR="00EE56C0" w:rsidRDefault="00EE56C0">
      <w:pPr>
        <w:pStyle w:val="afd"/>
        <w:spacing w:beforeLines="0" w:afterLines="0" w:line="520" w:lineRule="exact"/>
        <w:ind w:firstLine="482"/>
      </w:pPr>
    </w:p>
    <w:p w:rsidR="00EE56C0" w:rsidRDefault="00EE56C0">
      <w:pPr>
        <w:pStyle w:val="afd"/>
        <w:spacing w:beforeLines="0" w:afterLines="0" w:line="520" w:lineRule="exact"/>
        <w:ind w:firstLine="482"/>
      </w:pPr>
    </w:p>
    <w:p w:rsidR="00EE56C0" w:rsidRDefault="000F36A1">
      <w:pPr>
        <w:pStyle w:val="1"/>
        <w:numPr>
          <w:ilvl w:val="0"/>
          <w:numId w:val="3"/>
        </w:numPr>
        <w:spacing w:before="360" w:after="480"/>
      </w:pPr>
      <w:bookmarkStart w:id="367" w:name="_Toc324839578"/>
      <w:bookmarkStart w:id="368" w:name="_Toc324839281"/>
      <w:bookmarkStart w:id="369" w:name="_Toc25400923"/>
      <w:bookmarkStart w:id="370" w:name="_Toc311812653"/>
      <w:bookmarkStart w:id="371" w:name="_Toc304300483"/>
      <w:bookmarkEnd w:id="347"/>
      <w:bookmarkEnd w:id="360"/>
      <w:bookmarkEnd w:id="361"/>
      <w:bookmarkEnd w:id="362"/>
      <w:bookmarkEnd w:id="363"/>
      <w:bookmarkEnd w:id="364"/>
      <w:bookmarkEnd w:id="365"/>
      <w:bookmarkEnd w:id="366"/>
      <w:r>
        <w:rPr>
          <w:rFonts w:hint="eastAsia"/>
        </w:rPr>
        <w:lastRenderedPageBreak/>
        <w:t>环境保护措施及其可行性</w:t>
      </w:r>
      <w:bookmarkEnd w:id="367"/>
      <w:bookmarkEnd w:id="368"/>
      <w:bookmarkEnd w:id="369"/>
      <w:bookmarkEnd w:id="370"/>
      <w:r>
        <w:rPr>
          <w:rFonts w:hint="eastAsia"/>
        </w:rPr>
        <w:t>论证</w:t>
      </w:r>
    </w:p>
    <w:p w:rsidR="00EE56C0" w:rsidRDefault="000F36A1">
      <w:pPr>
        <w:pStyle w:val="2"/>
        <w:ind w:firstLine="301"/>
      </w:pPr>
      <w:bookmarkStart w:id="372" w:name="_Toc311812655"/>
      <w:bookmarkStart w:id="373" w:name="_Toc324839283"/>
      <w:bookmarkStart w:id="374" w:name="_Toc25400924"/>
      <w:bookmarkStart w:id="375" w:name="_Toc324839580"/>
      <w:r>
        <w:rPr>
          <w:rFonts w:hint="eastAsia"/>
        </w:rPr>
        <w:t>6.1</w:t>
      </w:r>
      <w:r>
        <w:rPr>
          <w:rFonts w:hint="eastAsia"/>
        </w:rPr>
        <w:t>废水污染防治措施</w:t>
      </w:r>
      <w:bookmarkEnd w:id="372"/>
      <w:r>
        <w:rPr>
          <w:rFonts w:hint="eastAsia"/>
        </w:rPr>
        <w:t>分析</w:t>
      </w:r>
      <w:bookmarkEnd w:id="373"/>
      <w:bookmarkEnd w:id="374"/>
      <w:bookmarkEnd w:id="375"/>
    </w:p>
    <w:p w:rsidR="00EE56C0" w:rsidRDefault="000F36A1">
      <w:pPr>
        <w:ind w:firstLine="480"/>
      </w:pPr>
      <w:r>
        <w:t>本项目废水主要为</w:t>
      </w:r>
      <w:r>
        <w:rPr>
          <w:rFonts w:hint="eastAsia"/>
        </w:rPr>
        <w:t>生活污水、反渗透浓水</w:t>
      </w:r>
      <w:r>
        <w:t>。</w:t>
      </w:r>
    </w:p>
    <w:p w:rsidR="00EE56C0" w:rsidRDefault="000F36A1" w:rsidP="0084643A">
      <w:pPr>
        <w:ind w:firstLine="482"/>
      </w:pPr>
      <w:r w:rsidRPr="0084643A">
        <w:rPr>
          <w:rFonts w:hint="eastAsia"/>
          <w:b/>
          <w:u w:val="single"/>
        </w:rPr>
        <w:t>生活污水经“隔油池</w:t>
      </w:r>
      <w:r w:rsidRPr="0084643A">
        <w:rPr>
          <w:rFonts w:hint="eastAsia"/>
          <w:b/>
          <w:u w:val="single"/>
        </w:rPr>
        <w:t>+</w:t>
      </w:r>
      <w:r w:rsidRPr="0084643A">
        <w:rPr>
          <w:rFonts w:hint="eastAsia"/>
          <w:b/>
          <w:u w:val="single"/>
        </w:rPr>
        <w:t>化粪池”处理后经管网排入新乡县综合污水处理站处理，污水处理厂出水进入东孟姜女河</w:t>
      </w:r>
      <w:r>
        <w:rPr>
          <w:rFonts w:hint="eastAsia"/>
        </w:rPr>
        <w:t>。</w:t>
      </w:r>
      <w:r>
        <w:rPr>
          <w:rFonts w:hint="eastAsia"/>
          <w:szCs w:val="24"/>
        </w:rPr>
        <w:t>厂区总排口出水各污染因子排放浓度为一期：</w:t>
      </w:r>
      <w:r>
        <w:rPr>
          <w:szCs w:val="24"/>
        </w:rPr>
        <w:t>COD</w:t>
      </w:r>
      <w:r>
        <w:rPr>
          <w:rFonts w:hint="eastAsia"/>
          <w:szCs w:val="24"/>
        </w:rPr>
        <w:t>189</w:t>
      </w:r>
      <w:r>
        <w:rPr>
          <w:szCs w:val="24"/>
        </w:rPr>
        <w:t>mg/L</w:t>
      </w:r>
      <w:r>
        <w:rPr>
          <w:rFonts w:hint="eastAsia"/>
          <w:szCs w:val="24"/>
        </w:rPr>
        <w:t>、</w:t>
      </w:r>
      <w:r>
        <w:rPr>
          <w:szCs w:val="24"/>
        </w:rPr>
        <w:t>SS</w:t>
      </w:r>
      <w:r>
        <w:rPr>
          <w:rFonts w:hint="eastAsia"/>
          <w:szCs w:val="24"/>
        </w:rPr>
        <w:t>139</w:t>
      </w:r>
      <w:r>
        <w:rPr>
          <w:szCs w:val="24"/>
        </w:rPr>
        <w:t>mg/L</w:t>
      </w:r>
      <w:r>
        <w:rPr>
          <w:rFonts w:hint="eastAsia"/>
          <w:szCs w:val="24"/>
        </w:rPr>
        <w:t>、</w:t>
      </w:r>
      <w:r>
        <w:rPr>
          <w:rFonts w:hint="eastAsia"/>
          <w:szCs w:val="24"/>
        </w:rPr>
        <w:t>NH</w:t>
      </w:r>
      <w:r>
        <w:rPr>
          <w:rFonts w:hint="eastAsia"/>
          <w:szCs w:val="24"/>
          <w:vertAlign w:val="subscript"/>
        </w:rPr>
        <w:t>3</w:t>
      </w:r>
      <w:r>
        <w:rPr>
          <w:rFonts w:hint="eastAsia"/>
          <w:szCs w:val="24"/>
        </w:rPr>
        <w:t>-N18</w:t>
      </w:r>
      <w:r>
        <w:rPr>
          <w:szCs w:val="24"/>
        </w:rPr>
        <w:t>mg/L</w:t>
      </w:r>
      <w:r>
        <w:rPr>
          <w:rFonts w:hint="eastAsia"/>
          <w:szCs w:val="24"/>
        </w:rPr>
        <w:t>、</w:t>
      </w:r>
      <w:r>
        <w:rPr>
          <w:rFonts w:hint="eastAsia"/>
          <w:szCs w:val="24"/>
        </w:rPr>
        <w:t>TP3m</w:t>
      </w:r>
      <w:r>
        <w:rPr>
          <w:szCs w:val="24"/>
        </w:rPr>
        <w:t>g/L</w:t>
      </w:r>
      <w:r>
        <w:rPr>
          <w:rFonts w:hint="eastAsia"/>
          <w:szCs w:val="24"/>
        </w:rPr>
        <w:t>、</w:t>
      </w:r>
      <w:r>
        <w:rPr>
          <w:rFonts w:hint="eastAsia"/>
          <w:szCs w:val="24"/>
        </w:rPr>
        <w:t>TN22</w:t>
      </w:r>
      <w:r>
        <w:rPr>
          <w:szCs w:val="24"/>
        </w:rPr>
        <w:t>mg/L</w:t>
      </w:r>
      <w:r>
        <w:rPr>
          <w:rFonts w:hint="eastAsia"/>
          <w:szCs w:val="24"/>
        </w:rPr>
        <w:t>、动植物油</w:t>
      </w:r>
      <w:r>
        <w:rPr>
          <w:rFonts w:hint="eastAsia"/>
          <w:szCs w:val="24"/>
        </w:rPr>
        <w:t>22</w:t>
      </w:r>
      <w:r>
        <w:rPr>
          <w:szCs w:val="24"/>
        </w:rPr>
        <w:t>mg/L</w:t>
      </w:r>
      <w:r>
        <w:rPr>
          <w:rFonts w:hint="eastAsia"/>
          <w:szCs w:val="24"/>
        </w:rPr>
        <w:t>，二期：</w:t>
      </w:r>
      <w:r>
        <w:rPr>
          <w:szCs w:val="24"/>
        </w:rPr>
        <w:t>COD</w:t>
      </w:r>
      <w:r>
        <w:rPr>
          <w:rFonts w:hint="eastAsia"/>
          <w:szCs w:val="24"/>
        </w:rPr>
        <w:t>178</w:t>
      </w:r>
      <w:r>
        <w:rPr>
          <w:szCs w:val="24"/>
        </w:rPr>
        <w:t>mg/L</w:t>
      </w:r>
      <w:r>
        <w:rPr>
          <w:rFonts w:hint="eastAsia"/>
          <w:szCs w:val="24"/>
        </w:rPr>
        <w:t>、</w:t>
      </w:r>
      <w:r>
        <w:rPr>
          <w:szCs w:val="24"/>
        </w:rPr>
        <w:t>SS</w:t>
      </w:r>
      <w:r>
        <w:rPr>
          <w:rFonts w:hint="eastAsia"/>
          <w:szCs w:val="24"/>
        </w:rPr>
        <w:t>127</w:t>
      </w:r>
      <w:r>
        <w:rPr>
          <w:szCs w:val="24"/>
        </w:rPr>
        <w:t>mg/L</w:t>
      </w:r>
      <w:r>
        <w:rPr>
          <w:rFonts w:hint="eastAsia"/>
          <w:szCs w:val="24"/>
        </w:rPr>
        <w:t>、</w:t>
      </w:r>
      <w:r>
        <w:rPr>
          <w:rFonts w:hint="eastAsia"/>
          <w:szCs w:val="24"/>
        </w:rPr>
        <w:t>NH</w:t>
      </w:r>
      <w:r>
        <w:rPr>
          <w:rFonts w:hint="eastAsia"/>
          <w:szCs w:val="24"/>
          <w:vertAlign w:val="subscript"/>
        </w:rPr>
        <w:t>3</w:t>
      </w:r>
      <w:r>
        <w:rPr>
          <w:rFonts w:hint="eastAsia"/>
          <w:szCs w:val="24"/>
        </w:rPr>
        <w:t>-N07</w:t>
      </w:r>
      <w:r>
        <w:rPr>
          <w:szCs w:val="24"/>
        </w:rPr>
        <w:t>mg/L</w:t>
      </w:r>
      <w:r>
        <w:rPr>
          <w:rFonts w:hint="eastAsia"/>
          <w:szCs w:val="24"/>
        </w:rPr>
        <w:t>、</w:t>
      </w:r>
      <w:r>
        <w:rPr>
          <w:rFonts w:hint="eastAsia"/>
          <w:szCs w:val="24"/>
        </w:rPr>
        <w:t>TP3m</w:t>
      </w:r>
      <w:r>
        <w:rPr>
          <w:szCs w:val="24"/>
        </w:rPr>
        <w:t>g/L</w:t>
      </w:r>
      <w:r>
        <w:rPr>
          <w:rFonts w:hint="eastAsia"/>
          <w:szCs w:val="24"/>
        </w:rPr>
        <w:t>、</w:t>
      </w:r>
      <w:r>
        <w:rPr>
          <w:rFonts w:hint="eastAsia"/>
          <w:szCs w:val="24"/>
        </w:rPr>
        <w:t>TN21</w:t>
      </w:r>
      <w:r>
        <w:rPr>
          <w:szCs w:val="24"/>
        </w:rPr>
        <w:t>mg/L</w:t>
      </w:r>
      <w:r>
        <w:rPr>
          <w:rFonts w:hint="eastAsia"/>
          <w:szCs w:val="24"/>
        </w:rPr>
        <w:t>、动植物油</w:t>
      </w:r>
      <w:r>
        <w:rPr>
          <w:rFonts w:hint="eastAsia"/>
          <w:szCs w:val="24"/>
        </w:rPr>
        <w:t>21</w:t>
      </w:r>
      <w:r>
        <w:rPr>
          <w:szCs w:val="24"/>
        </w:rPr>
        <w:t>mg/L</w:t>
      </w:r>
      <w:r>
        <w:rPr>
          <w:rFonts w:hint="eastAsia"/>
          <w:szCs w:val="24"/>
        </w:rPr>
        <w:t>。</w:t>
      </w:r>
      <w:r>
        <w:rPr>
          <w:rFonts w:hint="eastAsia"/>
        </w:rPr>
        <w:t>总排口各项水质均能满足</w:t>
      </w:r>
      <w:r>
        <w:rPr>
          <w:bCs/>
        </w:rPr>
        <w:t>《污水排污城镇下水道水质标准》（</w:t>
      </w:r>
      <w:r>
        <w:rPr>
          <w:bCs/>
        </w:rPr>
        <w:t>GB/T31962-2015</w:t>
      </w:r>
      <w:r>
        <w:rPr>
          <w:bCs/>
        </w:rPr>
        <w:t>）</w:t>
      </w:r>
      <w:r>
        <w:rPr>
          <w:bCs/>
        </w:rPr>
        <w:t>C</w:t>
      </w:r>
      <w:r>
        <w:rPr>
          <w:bCs/>
        </w:rPr>
        <w:t>级标准</w:t>
      </w:r>
      <w:r>
        <w:rPr>
          <w:szCs w:val="24"/>
        </w:rPr>
        <w:t>（</w:t>
      </w:r>
      <w:r>
        <w:rPr>
          <w:bCs/>
        </w:rPr>
        <w:t>COD300mg/L</w:t>
      </w:r>
      <w:r>
        <w:rPr>
          <w:bCs/>
        </w:rPr>
        <w:t>、</w:t>
      </w:r>
      <w:r>
        <w:rPr>
          <w:bCs/>
        </w:rPr>
        <w:t>SS250mg/L</w:t>
      </w:r>
      <w:r>
        <w:rPr>
          <w:bCs/>
        </w:rPr>
        <w:t>、</w:t>
      </w:r>
      <w:r>
        <w:rPr>
          <w:bCs/>
        </w:rPr>
        <w:t>NH</w:t>
      </w:r>
      <w:r>
        <w:rPr>
          <w:bCs/>
          <w:vertAlign w:val="subscript"/>
        </w:rPr>
        <w:t>3</w:t>
      </w:r>
      <w:r>
        <w:rPr>
          <w:bCs/>
        </w:rPr>
        <w:t>-N25mg/L</w:t>
      </w:r>
      <w:r>
        <w:rPr>
          <w:bCs/>
        </w:rPr>
        <w:t>、</w:t>
      </w:r>
      <w:r>
        <w:rPr>
          <w:bCs/>
        </w:rPr>
        <w:t>TN45mg/L</w:t>
      </w:r>
      <w:r>
        <w:rPr>
          <w:bCs/>
        </w:rPr>
        <w:t>、</w:t>
      </w:r>
      <w:r>
        <w:rPr>
          <w:bCs/>
        </w:rPr>
        <w:t>TP5.0mg/L</w:t>
      </w:r>
      <w:r>
        <w:rPr>
          <w:bCs/>
        </w:rPr>
        <w:t>、动植物油</w:t>
      </w:r>
      <w:r>
        <w:rPr>
          <w:bCs/>
        </w:rPr>
        <w:t>100mg/L</w:t>
      </w:r>
      <w:r>
        <w:rPr>
          <w:szCs w:val="24"/>
        </w:rPr>
        <w:t>）</w:t>
      </w:r>
      <w:r>
        <w:rPr>
          <w:rFonts w:hint="eastAsia"/>
          <w:szCs w:val="24"/>
        </w:rPr>
        <w:t>及</w:t>
      </w:r>
      <w:r>
        <w:rPr>
          <w:rFonts w:hint="eastAsia"/>
        </w:rPr>
        <w:t>新乡县综合污水处理厂收水标准要求，进入新乡县综合污水处理厂进一步处理</w:t>
      </w:r>
      <w:r>
        <w:t>后排入</w:t>
      </w:r>
      <w:r>
        <w:rPr>
          <w:rFonts w:hint="eastAsia"/>
        </w:rPr>
        <w:t>东孟姜女河</w:t>
      </w:r>
      <w:r>
        <w:t>。</w:t>
      </w:r>
    </w:p>
    <w:p w:rsidR="00EE56C0" w:rsidRDefault="000F36A1">
      <w:pPr>
        <w:ind w:firstLine="480"/>
      </w:pPr>
      <w:r>
        <w:t>新乡县综合污水处理厂位于</w:t>
      </w:r>
      <w:r>
        <w:rPr>
          <w:rFonts w:ascii="宋体" w:hAnsi="宋体" w:cs="宋体" w:hint="eastAsia"/>
          <w:szCs w:val="24"/>
        </w:rPr>
        <w:t>集聚区北区（胜利路以东、青龙路以北、文化路以西、东孟姜女河以南的区域）</w:t>
      </w:r>
      <w:r>
        <w:t>，设计处理规模为</w:t>
      </w:r>
      <w:r>
        <w:rPr>
          <w:rFonts w:hint="eastAsia"/>
        </w:rPr>
        <w:t>15</w:t>
      </w:r>
      <w:r>
        <w:t>万</w:t>
      </w:r>
      <w:r>
        <w:t>m³/d</w:t>
      </w:r>
      <w:r>
        <w:t>，总服务面积</w:t>
      </w:r>
      <w:r>
        <w:rPr>
          <w:rFonts w:hint="eastAsia"/>
        </w:rPr>
        <w:t>48.42</w:t>
      </w:r>
      <w:r>
        <w:t>km</w:t>
      </w:r>
      <w:r>
        <w:rPr>
          <w:vertAlign w:val="superscript"/>
        </w:rPr>
        <w:t>2</w:t>
      </w:r>
      <w:r>
        <w:t>。</w:t>
      </w:r>
      <w:r>
        <w:rPr>
          <w:rFonts w:hint="eastAsia"/>
        </w:rPr>
        <w:t>目前主体工程已完工，正在进行收水调试</w:t>
      </w:r>
      <w:r>
        <w:t>。收水范围为</w:t>
      </w:r>
      <w:r>
        <w:rPr>
          <w:rFonts w:hAnsi="宋体"/>
          <w:bCs/>
          <w:szCs w:val="28"/>
        </w:rPr>
        <w:t>新乡县中心城区（</w:t>
      </w:r>
      <w:r>
        <w:rPr>
          <w:bCs/>
          <w:szCs w:val="28"/>
        </w:rPr>
        <w:t>40km</w:t>
      </w:r>
      <w:r>
        <w:rPr>
          <w:bCs/>
          <w:szCs w:val="28"/>
          <w:vertAlign w:val="superscript"/>
        </w:rPr>
        <w:t>2</w:t>
      </w:r>
      <w:r>
        <w:rPr>
          <w:rFonts w:hAnsi="宋体"/>
          <w:bCs/>
          <w:szCs w:val="28"/>
        </w:rPr>
        <w:t>，包含部分新乡经济技术产业集聚区）、新乡经济技术产业集聚区（</w:t>
      </w:r>
      <w:r>
        <w:rPr>
          <w:bCs/>
          <w:szCs w:val="28"/>
        </w:rPr>
        <w:t>3.16km</w:t>
      </w:r>
      <w:r>
        <w:rPr>
          <w:bCs/>
          <w:szCs w:val="28"/>
          <w:vertAlign w:val="superscript"/>
        </w:rPr>
        <w:t>2</w:t>
      </w:r>
      <w:r>
        <w:rPr>
          <w:rFonts w:hAnsi="宋体"/>
          <w:bCs/>
          <w:szCs w:val="28"/>
        </w:rPr>
        <w:t>，纸制品印刷包装产业园和装备制造产业园）、朗公庙镇中心镇区（</w:t>
      </w:r>
      <w:r>
        <w:rPr>
          <w:bCs/>
          <w:szCs w:val="28"/>
        </w:rPr>
        <w:t>5.26km</w:t>
      </w:r>
      <w:r>
        <w:rPr>
          <w:bCs/>
          <w:szCs w:val="28"/>
          <w:vertAlign w:val="superscript"/>
        </w:rPr>
        <w:t>2</w:t>
      </w:r>
      <w:r>
        <w:rPr>
          <w:rFonts w:hAnsi="宋体"/>
          <w:bCs/>
          <w:szCs w:val="28"/>
        </w:rPr>
        <w:t>）</w:t>
      </w:r>
      <w:r>
        <w:t>。本项目属于</w:t>
      </w:r>
      <w:r>
        <w:rPr>
          <w:rFonts w:hint="eastAsia"/>
        </w:rPr>
        <w:t>新乡县综合污水处理厂</w:t>
      </w:r>
      <w:r>
        <w:t>的收水范围。</w:t>
      </w:r>
    </w:p>
    <w:p w:rsidR="00EE56C0" w:rsidRDefault="000F36A1">
      <w:pPr>
        <w:ind w:firstLine="480"/>
      </w:pPr>
      <w:r>
        <w:t>本项目生活污水经</w:t>
      </w:r>
      <w:r>
        <w:t>“</w:t>
      </w:r>
      <w:r>
        <w:t>隔油池</w:t>
      </w:r>
      <w:r>
        <w:t>+</w:t>
      </w:r>
      <w:r>
        <w:t>化粪池</w:t>
      </w:r>
      <w:r>
        <w:t>”</w:t>
      </w:r>
      <w:r>
        <w:t>处理后排入</w:t>
      </w:r>
      <w:r>
        <w:rPr>
          <w:rFonts w:hint="eastAsia"/>
        </w:rPr>
        <w:t>新乡县综合污水处理厂</w:t>
      </w:r>
      <w:r>
        <w:t>进一步处理。</w:t>
      </w:r>
      <w:r>
        <w:rPr>
          <w:rFonts w:hint="eastAsia"/>
        </w:rPr>
        <w:t>新乡县综合污水处理厂</w:t>
      </w:r>
      <w:r>
        <w:t>设计处理规模为</w:t>
      </w:r>
      <w:r>
        <w:rPr>
          <w:rFonts w:hint="eastAsia"/>
        </w:rPr>
        <w:t>15</w:t>
      </w:r>
      <w:r>
        <w:t>万</w:t>
      </w:r>
      <w:r>
        <w:t>m³/d</w:t>
      </w:r>
      <w:r>
        <w:t>，总服务面积</w:t>
      </w:r>
      <w:r>
        <w:rPr>
          <w:rFonts w:hint="eastAsia"/>
        </w:rPr>
        <w:t>48.42</w:t>
      </w:r>
      <w:r>
        <w:t>km</w:t>
      </w:r>
      <w:r>
        <w:rPr>
          <w:vertAlign w:val="superscript"/>
        </w:rPr>
        <w:t>2</w:t>
      </w:r>
      <w:r>
        <w:t>。</w:t>
      </w:r>
      <w:r>
        <w:rPr>
          <w:rFonts w:hint="eastAsia"/>
        </w:rPr>
        <w:t>目前主体工程已完工，正在进行收水调试。本项目外排废水量为一期</w:t>
      </w:r>
      <w:r>
        <w:rPr>
          <w:rFonts w:hint="eastAsia"/>
        </w:rPr>
        <w:t>1.48m</w:t>
      </w:r>
      <w:r>
        <w:rPr>
          <w:vertAlign w:val="superscript"/>
        </w:rPr>
        <w:t>3</w:t>
      </w:r>
      <w:r>
        <w:t>/d</w:t>
      </w:r>
      <w:r>
        <w:rPr>
          <w:rFonts w:hint="eastAsia"/>
        </w:rPr>
        <w:t>、二期</w:t>
      </w:r>
      <w:r>
        <w:rPr>
          <w:rFonts w:hint="eastAsia"/>
        </w:rPr>
        <w:t>5.41</w:t>
      </w:r>
      <w:r>
        <w:t>m</w:t>
      </w:r>
      <w:r>
        <w:rPr>
          <w:vertAlign w:val="superscript"/>
        </w:rPr>
        <w:t>3</w:t>
      </w:r>
      <w:r>
        <w:t>/d</w:t>
      </w:r>
      <w:r>
        <w:rPr>
          <w:rFonts w:hint="eastAsia"/>
        </w:rPr>
        <w:t>，水量较小，不会对新乡县综合污水处理厂产生冲击。</w:t>
      </w:r>
      <w:r>
        <w:t>评价认为本项目废水经厂内经</w:t>
      </w:r>
      <w:r>
        <w:rPr>
          <w:rFonts w:hint="eastAsia"/>
        </w:rPr>
        <w:t>“</w:t>
      </w:r>
      <w:r>
        <w:t>隔油池</w:t>
      </w:r>
      <w:r>
        <w:t>+</w:t>
      </w:r>
      <w:r>
        <w:t>化粪池</w:t>
      </w:r>
      <w:r>
        <w:rPr>
          <w:rFonts w:hint="eastAsia"/>
        </w:rPr>
        <w:t>”</w:t>
      </w:r>
      <w:r>
        <w:t>处理后处理后经市政管网排入</w:t>
      </w:r>
      <w:r>
        <w:rPr>
          <w:rFonts w:hint="eastAsia"/>
        </w:rPr>
        <w:t>新乡县综合</w:t>
      </w:r>
      <w:r>
        <w:t>污水处理厂处理是可行的</w:t>
      </w:r>
      <w:r>
        <w:rPr>
          <w:szCs w:val="24"/>
        </w:rPr>
        <w:t>。</w:t>
      </w:r>
    </w:p>
    <w:p w:rsidR="00EE56C0" w:rsidRDefault="000F36A1">
      <w:pPr>
        <w:ind w:firstLine="480"/>
        <w:rPr>
          <w:szCs w:val="24"/>
        </w:rPr>
      </w:pPr>
      <w:r>
        <w:rPr>
          <w:szCs w:val="24"/>
        </w:rPr>
        <w:lastRenderedPageBreak/>
        <w:t>综上，</w:t>
      </w:r>
      <w:r>
        <w:t>项目废水不会对周围水环境造成不利影响</w:t>
      </w:r>
      <w:r>
        <w:rPr>
          <w:rFonts w:hint="eastAsia"/>
        </w:rPr>
        <w:t>。</w:t>
      </w:r>
      <w:bookmarkStart w:id="376" w:name="_Toc311812656"/>
      <w:bookmarkStart w:id="377" w:name="_Toc324839286"/>
      <w:bookmarkStart w:id="378" w:name="_Toc324839583"/>
    </w:p>
    <w:p w:rsidR="00EE56C0" w:rsidRDefault="000F36A1">
      <w:pPr>
        <w:pStyle w:val="2"/>
        <w:ind w:firstLine="301"/>
      </w:pPr>
      <w:bookmarkStart w:id="379" w:name="_Toc25400925"/>
      <w:r>
        <w:rPr>
          <w:rFonts w:hint="eastAsia"/>
        </w:rPr>
        <w:t>6.2</w:t>
      </w:r>
      <w:r>
        <w:rPr>
          <w:rFonts w:hint="eastAsia"/>
        </w:rPr>
        <w:t>废气污染防治措施</w:t>
      </w:r>
      <w:bookmarkEnd w:id="376"/>
      <w:bookmarkEnd w:id="377"/>
      <w:bookmarkEnd w:id="378"/>
      <w:r>
        <w:rPr>
          <w:rFonts w:hint="eastAsia"/>
        </w:rPr>
        <w:t>可行性分析</w:t>
      </w:r>
      <w:bookmarkEnd w:id="379"/>
    </w:p>
    <w:p w:rsidR="00EE56C0" w:rsidRDefault="000F36A1">
      <w:pPr>
        <w:pStyle w:val="3"/>
        <w:spacing w:before="240" w:after="120"/>
      </w:pPr>
      <w:r>
        <w:rPr>
          <w:rFonts w:hint="eastAsia"/>
        </w:rPr>
        <w:t>6.2.1</w:t>
      </w:r>
      <w:r>
        <w:rPr>
          <w:rFonts w:hint="eastAsia"/>
        </w:rPr>
        <w:t>有组织废气</w:t>
      </w:r>
    </w:p>
    <w:p w:rsidR="00EE56C0" w:rsidRDefault="000F36A1">
      <w:pPr>
        <w:ind w:firstLine="480"/>
      </w:pPr>
      <w:bookmarkStart w:id="380" w:name="_Toc257900141"/>
      <w:bookmarkStart w:id="381" w:name="_Toc254159699"/>
      <w:bookmarkStart w:id="382" w:name="_Toc267150068"/>
      <w:bookmarkStart w:id="383" w:name="_Toc312998137"/>
      <w:r>
        <w:rPr>
          <w:rFonts w:hint="eastAsia"/>
        </w:rPr>
        <w:t>本项目有组织废气包括油水分离器冷凝过程产生的不凝气，漆包线及丝包线涂漆、烘干工序产生的有机废气。</w:t>
      </w:r>
    </w:p>
    <w:p w:rsidR="00EE56C0" w:rsidRDefault="000F36A1">
      <w:pPr>
        <w:ind w:firstLine="480"/>
      </w:pPr>
      <w:r>
        <w:rPr>
          <w:rFonts w:hint="eastAsia"/>
        </w:rPr>
        <w:t>本项目</w:t>
      </w:r>
      <w:r>
        <w:t>的废气产生</w:t>
      </w:r>
      <w:r>
        <w:rPr>
          <w:rFonts w:hint="eastAsia"/>
        </w:rPr>
        <w:t>环节、污染因子情况及拟建措施情况见下表：</w:t>
      </w:r>
    </w:p>
    <w:p w:rsidR="00EE56C0" w:rsidRDefault="000F36A1">
      <w:pPr>
        <w:pStyle w:val="afd"/>
        <w:spacing w:before="120" w:after="120"/>
        <w:ind w:firstLine="482"/>
      </w:pPr>
      <w:r>
        <w:rPr>
          <w:rFonts w:hint="eastAsia"/>
        </w:rPr>
        <w:t>表</w:t>
      </w:r>
      <w:r>
        <w:rPr>
          <w:rFonts w:hint="eastAsia"/>
        </w:rPr>
        <w:t>6</w:t>
      </w:r>
      <w:r>
        <w:t>-</w:t>
      </w:r>
      <w:r>
        <w:rPr>
          <w:rFonts w:hint="eastAsia"/>
        </w:rPr>
        <w:t xml:space="preserve">1       </w:t>
      </w:r>
      <w:r>
        <w:rPr>
          <w:rFonts w:hint="eastAsia"/>
        </w:rPr>
        <w:t>废气产生情况及治理措施情况一览表</w:t>
      </w:r>
    </w:p>
    <w:tbl>
      <w:tblPr>
        <w:tblW w:w="5000" w:type="pct"/>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898"/>
        <w:gridCol w:w="2472"/>
        <w:gridCol w:w="2270"/>
        <w:gridCol w:w="2125"/>
        <w:gridCol w:w="764"/>
      </w:tblGrid>
      <w:tr w:rsidR="00EE56C0">
        <w:trPr>
          <w:trHeight w:val="928"/>
          <w:tblHeader/>
        </w:trPr>
        <w:tc>
          <w:tcPr>
            <w:tcW w:w="526" w:type="pct"/>
            <w:vAlign w:val="center"/>
          </w:tcPr>
          <w:p w:rsidR="00EE56C0" w:rsidRDefault="000F36A1">
            <w:pPr>
              <w:pStyle w:val="aff1"/>
              <w:rPr>
                <w:color w:val="auto"/>
              </w:rPr>
            </w:pPr>
            <w:r>
              <w:rPr>
                <w:rFonts w:hint="eastAsia"/>
                <w:color w:val="auto"/>
              </w:rPr>
              <w:t>项目</w:t>
            </w:r>
          </w:p>
        </w:tc>
        <w:tc>
          <w:tcPr>
            <w:tcW w:w="1449" w:type="pct"/>
            <w:vAlign w:val="center"/>
          </w:tcPr>
          <w:p w:rsidR="00EE56C0" w:rsidRDefault="000F36A1">
            <w:pPr>
              <w:pStyle w:val="aff1"/>
              <w:rPr>
                <w:color w:val="auto"/>
              </w:rPr>
            </w:pPr>
            <w:r>
              <w:rPr>
                <w:rFonts w:hint="eastAsia"/>
                <w:color w:val="auto"/>
              </w:rPr>
              <w:t>产污环节</w:t>
            </w:r>
          </w:p>
        </w:tc>
        <w:tc>
          <w:tcPr>
            <w:tcW w:w="1331" w:type="pct"/>
            <w:vAlign w:val="center"/>
          </w:tcPr>
          <w:p w:rsidR="00EE56C0" w:rsidRDefault="000F36A1">
            <w:pPr>
              <w:pStyle w:val="aff1"/>
              <w:rPr>
                <w:color w:val="auto"/>
              </w:rPr>
            </w:pPr>
            <w:r>
              <w:rPr>
                <w:rFonts w:hint="eastAsia"/>
                <w:color w:val="auto"/>
              </w:rPr>
              <w:t>污染因子</w:t>
            </w:r>
          </w:p>
        </w:tc>
        <w:tc>
          <w:tcPr>
            <w:tcW w:w="1694" w:type="pct"/>
            <w:gridSpan w:val="2"/>
            <w:tcBorders>
              <w:right w:val="single" w:sz="4" w:space="0" w:color="auto"/>
            </w:tcBorders>
            <w:vAlign w:val="center"/>
          </w:tcPr>
          <w:p w:rsidR="00EE56C0" w:rsidRDefault="000F36A1">
            <w:pPr>
              <w:pStyle w:val="aff1"/>
              <w:rPr>
                <w:color w:val="auto"/>
              </w:rPr>
            </w:pPr>
            <w:r>
              <w:rPr>
                <w:rFonts w:hint="eastAsia"/>
                <w:color w:val="auto"/>
              </w:rPr>
              <w:t>治理措施</w:t>
            </w:r>
          </w:p>
        </w:tc>
      </w:tr>
      <w:tr w:rsidR="00EE56C0">
        <w:trPr>
          <w:trHeight w:val="454"/>
        </w:trPr>
        <w:tc>
          <w:tcPr>
            <w:tcW w:w="526" w:type="pct"/>
            <w:vMerge w:val="restart"/>
            <w:tcBorders>
              <w:top w:val="single" w:sz="4" w:space="0" w:color="auto"/>
            </w:tcBorders>
            <w:vAlign w:val="center"/>
          </w:tcPr>
          <w:p w:rsidR="00EE56C0" w:rsidRDefault="000F36A1">
            <w:pPr>
              <w:pStyle w:val="afa"/>
            </w:pPr>
            <w:r>
              <w:rPr>
                <w:rFonts w:hint="eastAsia"/>
              </w:rPr>
              <w:t>废气</w:t>
            </w:r>
          </w:p>
        </w:tc>
        <w:tc>
          <w:tcPr>
            <w:tcW w:w="1449" w:type="pct"/>
            <w:tcBorders>
              <w:top w:val="single" w:sz="4" w:space="0" w:color="auto"/>
            </w:tcBorders>
            <w:vAlign w:val="center"/>
          </w:tcPr>
          <w:p w:rsidR="00EE56C0" w:rsidRDefault="000F36A1">
            <w:pPr>
              <w:pStyle w:val="afa"/>
            </w:pPr>
            <w:r>
              <w:rPr>
                <w:rFonts w:hint="eastAsia"/>
              </w:rPr>
              <w:t>油水蒸发过程的不凝气</w:t>
            </w:r>
          </w:p>
        </w:tc>
        <w:tc>
          <w:tcPr>
            <w:tcW w:w="1331" w:type="pct"/>
            <w:vAlign w:val="center"/>
          </w:tcPr>
          <w:p w:rsidR="00EE56C0" w:rsidRDefault="000F36A1">
            <w:pPr>
              <w:pStyle w:val="afa"/>
            </w:pPr>
            <w:r>
              <w:rPr>
                <w:rFonts w:hint="eastAsia"/>
              </w:rPr>
              <w:t>非甲烷总烃</w:t>
            </w:r>
          </w:p>
        </w:tc>
        <w:tc>
          <w:tcPr>
            <w:tcW w:w="1246" w:type="pct"/>
            <w:vMerge w:val="restart"/>
            <w:tcBorders>
              <w:top w:val="single" w:sz="4" w:space="0" w:color="auto"/>
              <w:right w:val="single" w:sz="4" w:space="0" w:color="auto"/>
            </w:tcBorders>
            <w:vAlign w:val="center"/>
          </w:tcPr>
          <w:p w:rsidR="00EE56C0" w:rsidRDefault="000F36A1">
            <w:pPr>
              <w:pStyle w:val="afa"/>
            </w:pPr>
            <w:r>
              <w:rPr>
                <w:rFonts w:hint="eastAsia"/>
              </w:rPr>
              <w:t>静电除油</w:t>
            </w:r>
            <w:r>
              <w:rPr>
                <w:rFonts w:hint="eastAsia"/>
              </w:rPr>
              <w:t>+</w:t>
            </w:r>
            <w:r>
              <w:rPr>
                <w:rFonts w:hint="eastAsia"/>
              </w:rPr>
              <w:t>活性炭吸附</w:t>
            </w:r>
            <w:r>
              <w:rPr>
                <w:rFonts w:hint="eastAsia"/>
              </w:rPr>
              <w:t>-</w:t>
            </w:r>
            <w:r>
              <w:rPr>
                <w:rFonts w:hint="eastAsia"/>
              </w:rPr>
              <w:t>脱附</w:t>
            </w:r>
            <w:r>
              <w:rPr>
                <w:rFonts w:hint="eastAsia"/>
              </w:rPr>
              <w:t>-</w:t>
            </w:r>
            <w:r>
              <w:rPr>
                <w:rFonts w:hint="eastAsia"/>
              </w:rPr>
              <w:t>催化燃烧装置</w:t>
            </w:r>
            <w:r>
              <w:rPr>
                <w:rFonts w:hint="eastAsia"/>
              </w:rPr>
              <w:t>T</w:t>
            </w:r>
            <w:r>
              <w:rPr>
                <w:rFonts w:hint="eastAsia"/>
              </w:rPr>
              <w:t>（</w:t>
            </w:r>
            <w:r>
              <w:t>依托现有</w:t>
            </w:r>
            <w:r>
              <w:rPr>
                <w:rFonts w:hint="eastAsia"/>
              </w:rPr>
              <w:t>）</w:t>
            </w:r>
          </w:p>
        </w:tc>
        <w:tc>
          <w:tcPr>
            <w:tcW w:w="448" w:type="pct"/>
            <w:vMerge w:val="restart"/>
            <w:tcBorders>
              <w:top w:val="single" w:sz="4" w:space="0" w:color="auto"/>
              <w:left w:val="single" w:sz="4" w:space="0" w:color="auto"/>
              <w:right w:val="single" w:sz="4" w:space="0" w:color="auto"/>
            </w:tcBorders>
            <w:vAlign w:val="center"/>
          </w:tcPr>
          <w:p w:rsidR="00EE56C0" w:rsidRDefault="000F36A1">
            <w:pPr>
              <w:pStyle w:val="afa"/>
            </w:pPr>
            <w:r>
              <w:rPr>
                <w:rFonts w:hint="eastAsia"/>
              </w:rPr>
              <w:t>26.5m</w:t>
            </w:r>
            <w:r>
              <w:rPr>
                <w:rFonts w:hint="eastAsia"/>
              </w:rPr>
              <w:t>排气筒</w:t>
            </w:r>
            <w:r w:rsidR="008660AC">
              <w:rPr>
                <w:rFonts w:hint="eastAsia"/>
              </w:rPr>
              <w:t>P</w:t>
            </w:r>
            <w:r>
              <w:rPr>
                <w:rFonts w:hint="eastAsia"/>
              </w:rPr>
              <w:t>（</w:t>
            </w:r>
            <w:r>
              <w:t>依托现有</w:t>
            </w:r>
            <w:r>
              <w:rPr>
                <w:rFonts w:hint="eastAsia"/>
              </w:rPr>
              <w:t>）</w:t>
            </w:r>
          </w:p>
        </w:tc>
      </w:tr>
      <w:tr w:rsidR="00EE56C0">
        <w:trPr>
          <w:trHeight w:val="454"/>
        </w:trPr>
        <w:tc>
          <w:tcPr>
            <w:tcW w:w="526" w:type="pct"/>
            <w:vMerge/>
            <w:vAlign w:val="center"/>
          </w:tcPr>
          <w:p w:rsidR="00EE56C0" w:rsidRDefault="00EE56C0">
            <w:pPr>
              <w:pStyle w:val="afa"/>
            </w:pPr>
          </w:p>
        </w:tc>
        <w:tc>
          <w:tcPr>
            <w:tcW w:w="1449" w:type="pct"/>
            <w:tcBorders>
              <w:bottom w:val="single" w:sz="4" w:space="0" w:color="auto"/>
            </w:tcBorders>
            <w:vAlign w:val="center"/>
          </w:tcPr>
          <w:p w:rsidR="00EE56C0" w:rsidRDefault="000F36A1">
            <w:pPr>
              <w:pStyle w:val="afa"/>
            </w:pPr>
            <w:r>
              <w:rPr>
                <w:rFonts w:hint="eastAsia"/>
              </w:rPr>
              <w:t>漆包机及丝包废气</w:t>
            </w:r>
          </w:p>
        </w:tc>
        <w:tc>
          <w:tcPr>
            <w:tcW w:w="1331" w:type="pct"/>
            <w:tcBorders>
              <w:bottom w:val="single" w:sz="4" w:space="0" w:color="auto"/>
            </w:tcBorders>
            <w:vAlign w:val="center"/>
          </w:tcPr>
          <w:p w:rsidR="00EE56C0" w:rsidRDefault="000F36A1">
            <w:pPr>
              <w:pStyle w:val="afa"/>
            </w:pPr>
            <w:r>
              <w:rPr>
                <w:rFonts w:hint="eastAsia"/>
              </w:rPr>
              <w:t>酚、非甲烷总烃、二甲苯、甲苯、苯</w:t>
            </w:r>
          </w:p>
        </w:tc>
        <w:tc>
          <w:tcPr>
            <w:tcW w:w="1246" w:type="pct"/>
            <w:vMerge/>
            <w:tcBorders>
              <w:bottom w:val="single" w:sz="4" w:space="0" w:color="auto"/>
              <w:right w:val="single" w:sz="4" w:space="0" w:color="auto"/>
            </w:tcBorders>
            <w:vAlign w:val="center"/>
          </w:tcPr>
          <w:p w:rsidR="00EE56C0" w:rsidRDefault="00EE56C0">
            <w:pPr>
              <w:pStyle w:val="afa"/>
            </w:pPr>
          </w:p>
        </w:tc>
        <w:tc>
          <w:tcPr>
            <w:tcW w:w="448" w:type="pct"/>
            <w:vMerge/>
            <w:tcBorders>
              <w:left w:val="single" w:sz="4" w:space="0" w:color="auto"/>
              <w:right w:val="single" w:sz="4" w:space="0" w:color="auto"/>
            </w:tcBorders>
            <w:vAlign w:val="center"/>
          </w:tcPr>
          <w:p w:rsidR="00EE56C0" w:rsidRDefault="00EE56C0">
            <w:pPr>
              <w:pStyle w:val="afa"/>
            </w:pPr>
          </w:p>
        </w:tc>
      </w:tr>
      <w:tr w:rsidR="00EE56C0">
        <w:trPr>
          <w:trHeight w:val="454"/>
        </w:trPr>
        <w:tc>
          <w:tcPr>
            <w:tcW w:w="526" w:type="pct"/>
            <w:vMerge/>
            <w:vAlign w:val="center"/>
          </w:tcPr>
          <w:p w:rsidR="00EE56C0" w:rsidRDefault="00EE56C0">
            <w:pPr>
              <w:pStyle w:val="afa"/>
            </w:pPr>
          </w:p>
        </w:tc>
        <w:tc>
          <w:tcPr>
            <w:tcW w:w="1449" w:type="pct"/>
            <w:tcBorders>
              <w:top w:val="single" w:sz="4" w:space="0" w:color="auto"/>
            </w:tcBorders>
            <w:vAlign w:val="center"/>
          </w:tcPr>
          <w:p w:rsidR="00EE56C0" w:rsidRDefault="000F36A1">
            <w:pPr>
              <w:pStyle w:val="afa"/>
            </w:pPr>
            <w:r>
              <w:rPr>
                <w:rFonts w:hint="eastAsia"/>
              </w:rPr>
              <w:t>拉包机和立机的二次封闭通道废气</w:t>
            </w:r>
          </w:p>
        </w:tc>
        <w:tc>
          <w:tcPr>
            <w:tcW w:w="1331" w:type="pct"/>
            <w:tcBorders>
              <w:top w:val="single" w:sz="4" w:space="0" w:color="auto"/>
            </w:tcBorders>
            <w:vAlign w:val="center"/>
          </w:tcPr>
          <w:p w:rsidR="00EE56C0" w:rsidRDefault="000F36A1">
            <w:pPr>
              <w:pStyle w:val="afa"/>
            </w:pPr>
            <w:r>
              <w:rPr>
                <w:rFonts w:hint="eastAsia"/>
              </w:rPr>
              <w:t>酚、非甲烷总烃、二甲苯</w:t>
            </w:r>
          </w:p>
        </w:tc>
        <w:tc>
          <w:tcPr>
            <w:tcW w:w="1246" w:type="pct"/>
            <w:tcBorders>
              <w:top w:val="single" w:sz="4" w:space="0" w:color="auto"/>
              <w:right w:val="single" w:sz="4" w:space="0" w:color="auto"/>
            </w:tcBorders>
            <w:vAlign w:val="center"/>
          </w:tcPr>
          <w:p w:rsidR="00EE56C0" w:rsidRDefault="000F36A1">
            <w:pPr>
              <w:pStyle w:val="afa"/>
            </w:pPr>
            <w:r>
              <w:rPr>
                <w:rFonts w:hint="eastAsia"/>
              </w:rPr>
              <w:t>沸石吸附</w:t>
            </w:r>
            <w:r>
              <w:rPr>
                <w:rFonts w:hint="eastAsia"/>
              </w:rPr>
              <w:t>-</w:t>
            </w:r>
            <w:r>
              <w:rPr>
                <w:rFonts w:hint="eastAsia"/>
              </w:rPr>
              <w:t>脱附</w:t>
            </w:r>
            <w:r>
              <w:rPr>
                <w:rFonts w:hint="eastAsia"/>
              </w:rPr>
              <w:t>-</w:t>
            </w:r>
            <w:r>
              <w:rPr>
                <w:rFonts w:hint="eastAsia"/>
              </w:rPr>
              <w:t>催化燃烧</w:t>
            </w:r>
            <w:r>
              <w:rPr>
                <w:rFonts w:hint="eastAsia"/>
              </w:rPr>
              <w:t>F</w:t>
            </w:r>
            <w:r>
              <w:rPr>
                <w:rFonts w:hint="eastAsia"/>
              </w:rPr>
              <w:t>（</w:t>
            </w:r>
            <w:r>
              <w:t>依托现有</w:t>
            </w:r>
            <w:r>
              <w:rPr>
                <w:rFonts w:hint="eastAsia"/>
              </w:rPr>
              <w:t>）</w:t>
            </w:r>
          </w:p>
        </w:tc>
        <w:tc>
          <w:tcPr>
            <w:tcW w:w="448" w:type="pct"/>
            <w:vMerge/>
            <w:tcBorders>
              <w:left w:val="single" w:sz="4" w:space="0" w:color="auto"/>
              <w:right w:val="single" w:sz="4" w:space="0" w:color="auto"/>
            </w:tcBorders>
            <w:vAlign w:val="center"/>
          </w:tcPr>
          <w:p w:rsidR="00EE56C0" w:rsidRDefault="00EE56C0">
            <w:pPr>
              <w:pStyle w:val="afa"/>
            </w:pPr>
          </w:p>
        </w:tc>
      </w:tr>
    </w:tbl>
    <w:p w:rsidR="00EE56C0" w:rsidRDefault="000F36A1">
      <w:pPr>
        <w:pStyle w:val="4"/>
        <w:ind w:left="120" w:firstLine="241"/>
        <w:rPr>
          <w:b w:val="0"/>
        </w:rPr>
      </w:pPr>
      <w:r>
        <w:rPr>
          <w:rFonts w:hint="eastAsia"/>
        </w:rPr>
        <w:t>6.2.1.1VOCs</w:t>
      </w:r>
      <w:r>
        <w:rPr>
          <w:rFonts w:hint="eastAsia"/>
        </w:rPr>
        <w:t>废气污染防治措施分析</w:t>
      </w:r>
    </w:p>
    <w:p w:rsidR="00EE56C0" w:rsidRDefault="000F36A1">
      <w:pPr>
        <w:ind w:firstLine="480"/>
      </w:pPr>
      <w:r>
        <w:rPr>
          <w:rFonts w:hint="eastAsia"/>
        </w:rPr>
        <w:t>现有漆包线及丝包线的涂漆、烘干废气末端治理措施为“静电除油</w:t>
      </w:r>
      <w:r>
        <w:rPr>
          <w:rFonts w:hint="eastAsia"/>
        </w:rPr>
        <w:t>+</w:t>
      </w:r>
      <w:r>
        <w:rPr>
          <w:rFonts w:hint="eastAsia"/>
        </w:rPr>
        <w:t>活性炭吸附</w:t>
      </w:r>
      <w:r>
        <w:rPr>
          <w:rFonts w:hint="eastAsia"/>
        </w:rPr>
        <w:t>-</w:t>
      </w:r>
      <w:r>
        <w:rPr>
          <w:rFonts w:hint="eastAsia"/>
        </w:rPr>
        <w:t>脱附</w:t>
      </w:r>
      <w:r>
        <w:rPr>
          <w:rFonts w:hint="eastAsia"/>
        </w:rPr>
        <w:t>-</w:t>
      </w:r>
      <w:r>
        <w:rPr>
          <w:rFonts w:hint="eastAsia"/>
        </w:rPr>
        <w:t>催化燃烧装置</w:t>
      </w:r>
      <w:r>
        <w:rPr>
          <w:rFonts w:hint="eastAsia"/>
        </w:rPr>
        <w:t>T</w:t>
      </w:r>
      <w:r>
        <w:rPr>
          <w:rFonts w:hint="eastAsia"/>
        </w:rPr>
        <w:t>”和“沸石吸附</w:t>
      </w:r>
      <w:r>
        <w:rPr>
          <w:rFonts w:hint="eastAsia"/>
        </w:rPr>
        <w:t>-</w:t>
      </w:r>
      <w:r>
        <w:rPr>
          <w:rFonts w:hint="eastAsia"/>
        </w:rPr>
        <w:t>脱附</w:t>
      </w:r>
      <w:r>
        <w:rPr>
          <w:rFonts w:hint="eastAsia"/>
        </w:rPr>
        <w:t>-</w:t>
      </w:r>
      <w:r>
        <w:rPr>
          <w:rFonts w:hint="eastAsia"/>
        </w:rPr>
        <w:t>催化燃烧</w:t>
      </w:r>
      <w:r>
        <w:rPr>
          <w:rFonts w:hint="eastAsia"/>
        </w:rPr>
        <w:t>F</w:t>
      </w:r>
      <w:r>
        <w:rPr>
          <w:rFonts w:hint="eastAsia"/>
        </w:rPr>
        <w:t>”处理后经</w:t>
      </w:r>
      <w:r>
        <w:rPr>
          <w:rFonts w:hint="eastAsia"/>
        </w:rPr>
        <w:t>26.5m</w:t>
      </w:r>
      <w:r>
        <w:rPr>
          <w:rFonts w:hint="eastAsia"/>
        </w:rPr>
        <w:t>高排气筒排放。根据在线监测数据及监测报告，现有废气处理效率和排放浓度均能达标。</w:t>
      </w:r>
    </w:p>
    <w:p w:rsidR="00EE56C0" w:rsidRDefault="000F36A1">
      <w:pPr>
        <w:ind w:firstLine="480"/>
      </w:pPr>
      <w:r>
        <w:rPr>
          <w:rFonts w:hint="eastAsia"/>
        </w:rPr>
        <w:t>结合本项目废气排放特点，企业拟将一期、二期油水蒸发过程的不凝气废气和一期、二期的漆包机及丝包机的涂漆、烘干废气均进入现有“静电除油</w:t>
      </w:r>
      <w:r>
        <w:rPr>
          <w:rFonts w:hint="eastAsia"/>
        </w:rPr>
        <w:t>+</w:t>
      </w:r>
      <w:r>
        <w:rPr>
          <w:rFonts w:hint="eastAsia"/>
        </w:rPr>
        <w:t>活性炭吸附</w:t>
      </w:r>
      <w:r>
        <w:rPr>
          <w:rFonts w:hint="eastAsia"/>
        </w:rPr>
        <w:t>-</w:t>
      </w:r>
      <w:r>
        <w:rPr>
          <w:rFonts w:hint="eastAsia"/>
        </w:rPr>
        <w:t>脱附</w:t>
      </w:r>
      <w:r>
        <w:rPr>
          <w:rFonts w:hint="eastAsia"/>
        </w:rPr>
        <w:t>-</w:t>
      </w:r>
      <w:r>
        <w:rPr>
          <w:rFonts w:hint="eastAsia"/>
        </w:rPr>
        <w:t>催化燃烧装置</w:t>
      </w:r>
      <w:r>
        <w:rPr>
          <w:rFonts w:hint="eastAsia"/>
        </w:rPr>
        <w:t>T</w:t>
      </w:r>
      <w:r>
        <w:rPr>
          <w:rFonts w:hint="eastAsia"/>
        </w:rPr>
        <w:t>”进行处理，一期、二级拉包机和立机二次封闭通道废气均进入现有“沸石吸附</w:t>
      </w:r>
      <w:r>
        <w:rPr>
          <w:rFonts w:hint="eastAsia"/>
        </w:rPr>
        <w:t>-</w:t>
      </w:r>
      <w:r>
        <w:rPr>
          <w:rFonts w:hint="eastAsia"/>
        </w:rPr>
        <w:t>脱附</w:t>
      </w:r>
      <w:r>
        <w:rPr>
          <w:rFonts w:hint="eastAsia"/>
        </w:rPr>
        <w:t>-</w:t>
      </w:r>
      <w:r>
        <w:rPr>
          <w:rFonts w:hint="eastAsia"/>
        </w:rPr>
        <w:t>催化燃烧</w:t>
      </w:r>
      <w:r>
        <w:rPr>
          <w:rFonts w:hint="eastAsia"/>
        </w:rPr>
        <w:t>F</w:t>
      </w:r>
      <w:r>
        <w:rPr>
          <w:rFonts w:hint="eastAsia"/>
        </w:rPr>
        <w:t>”进行处理。</w:t>
      </w:r>
    </w:p>
    <w:p w:rsidR="00EE56C0" w:rsidRDefault="000F36A1">
      <w:pPr>
        <w:ind w:firstLine="482"/>
        <w:rPr>
          <w:b/>
        </w:rPr>
      </w:pPr>
      <w:r>
        <w:rPr>
          <w:rFonts w:hint="eastAsia"/>
          <w:b/>
        </w:rPr>
        <w:t>1</w:t>
      </w:r>
      <w:r>
        <w:rPr>
          <w:rFonts w:hint="eastAsia"/>
          <w:b/>
        </w:rPr>
        <w:t>、</w:t>
      </w:r>
      <w:r>
        <w:rPr>
          <w:b/>
          <w:szCs w:val="24"/>
        </w:rPr>
        <w:t>VOCs</w:t>
      </w:r>
      <w:r>
        <w:rPr>
          <w:b/>
          <w:szCs w:val="24"/>
        </w:rPr>
        <w:t>废气常用处理措施介绍</w:t>
      </w:r>
    </w:p>
    <w:p w:rsidR="00EE56C0" w:rsidRDefault="000F36A1">
      <w:pPr>
        <w:ind w:firstLine="480"/>
      </w:pPr>
      <w:r>
        <w:t>对于有机废气的去除则包括催化燃烧法、直接燃烧法、活性炭吸附法、低温等离子净化法等。各类</w:t>
      </w:r>
      <w:r>
        <w:rPr>
          <w:rFonts w:hint="eastAsia"/>
        </w:rPr>
        <w:t>有机</w:t>
      </w:r>
      <w:r>
        <w:t>废气处理工艺对比情况详见表</w:t>
      </w:r>
      <w:r>
        <w:t>6-2</w:t>
      </w:r>
      <w:r>
        <w:t>。</w:t>
      </w:r>
    </w:p>
    <w:p w:rsidR="00EE56C0" w:rsidRDefault="000F36A1">
      <w:pPr>
        <w:pStyle w:val="16"/>
        <w:rPr>
          <w:rFonts w:cs="Times New Roman"/>
        </w:rPr>
      </w:pPr>
      <w:r>
        <w:rPr>
          <w:rFonts w:cs="Times New Roman"/>
        </w:rPr>
        <w:lastRenderedPageBreak/>
        <w:t>表</w:t>
      </w:r>
      <w:r>
        <w:rPr>
          <w:rFonts w:cs="Times New Roman"/>
        </w:rPr>
        <w:t xml:space="preserve">6-2      </w:t>
      </w:r>
      <w:r>
        <w:rPr>
          <w:rFonts w:cs="Times New Roman"/>
        </w:rPr>
        <w:t>常用</w:t>
      </w:r>
      <w:r>
        <w:rPr>
          <w:rFonts w:cs="Times New Roman" w:hint="eastAsia"/>
        </w:rPr>
        <w:t>有机</w:t>
      </w:r>
      <w:r>
        <w:rPr>
          <w:rFonts w:cs="Times New Roman"/>
        </w:rPr>
        <w:t>废气方法对比情况一览表</w:t>
      </w:r>
    </w:p>
    <w:tbl>
      <w:tblPr>
        <w:tblW w:w="5000" w:type="pct"/>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tblPr>
      <w:tblGrid>
        <w:gridCol w:w="817"/>
        <w:gridCol w:w="709"/>
        <w:gridCol w:w="2126"/>
        <w:gridCol w:w="1843"/>
        <w:gridCol w:w="1701"/>
        <w:gridCol w:w="1333"/>
      </w:tblGrid>
      <w:tr w:rsidR="00EE56C0">
        <w:trPr>
          <w:trHeight w:val="397"/>
          <w:jc w:val="center"/>
        </w:trPr>
        <w:tc>
          <w:tcPr>
            <w:tcW w:w="817" w:type="dxa"/>
            <w:vAlign w:val="center"/>
          </w:tcPr>
          <w:p w:rsidR="00EE56C0" w:rsidRDefault="000F36A1">
            <w:pPr>
              <w:spacing w:line="240" w:lineRule="auto"/>
              <w:ind w:firstLineChars="0" w:firstLine="0"/>
              <w:jc w:val="center"/>
              <w:rPr>
                <w:b/>
                <w:sz w:val="21"/>
                <w:szCs w:val="21"/>
              </w:rPr>
            </w:pPr>
            <w:r>
              <w:rPr>
                <w:b/>
                <w:sz w:val="21"/>
                <w:szCs w:val="21"/>
              </w:rPr>
              <w:t>治理</w:t>
            </w:r>
          </w:p>
          <w:p w:rsidR="00EE56C0" w:rsidRDefault="000F36A1">
            <w:pPr>
              <w:spacing w:line="240" w:lineRule="auto"/>
              <w:ind w:firstLineChars="0" w:firstLine="0"/>
              <w:jc w:val="center"/>
              <w:rPr>
                <w:b/>
                <w:sz w:val="21"/>
                <w:szCs w:val="21"/>
              </w:rPr>
            </w:pPr>
            <w:r>
              <w:rPr>
                <w:b/>
                <w:sz w:val="21"/>
                <w:szCs w:val="21"/>
              </w:rPr>
              <w:t>内容</w:t>
            </w:r>
          </w:p>
        </w:tc>
        <w:tc>
          <w:tcPr>
            <w:tcW w:w="709" w:type="dxa"/>
            <w:vAlign w:val="center"/>
          </w:tcPr>
          <w:p w:rsidR="00EE56C0" w:rsidRDefault="000F36A1">
            <w:pPr>
              <w:spacing w:line="240" w:lineRule="auto"/>
              <w:ind w:firstLineChars="0" w:firstLine="0"/>
              <w:jc w:val="center"/>
              <w:rPr>
                <w:b/>
                <w:sz w:val="21"/>
                <w:szCs w:val="21"/>
              </w:rPr>
            </w:pPr>
            <w:r>
              <w:rPr>
                <w:b/>
                <w:sz w:val="21"/>
                <w:szCs w:val="21"/>
              </w:rPr>
              <w:t>治理方法</w:t>
            </w:r>
          </w:p>
        </w:tc>
        <w:tc>
          <w:tcPr>
            <w:tcW w:w="2126" w:type="dxa"/>
            <w:vAlign w:val="center"/>
          </w:tcPr>
          <w:p w:rsidR="00EE56C0" w:rsidRDefault="000F36A1">
            <w:pPr>
              <w:spacing w:line="240" w:lineRule="auto"/>
              <w:ind w:firstLineChars="0" w:firstLine="0"/>
              <w:jc w:val="center"/>
              <w:rPr>
                <w:b/>
                <w:sz w:val="21"/>
                <w:szCs w:val="21"/>
              </w:rPr>
            </w:pPr>
            <w:r>
              <w:rPr>
                <w:b/>
                <w:sz w:val="21"/>
                <w:szCs w:val="21"/>
              </w:rPr>
              <w:t>工作原理</w:t>
            </w:r>
          </w:p>
        </w:tc>
        <w:tc>
          <w:tcPr>
            <w:tcW w:w="1843" w:type="dxa"/>
            <w:vAlign w:val="center"/>
          </w:tcPr>
          <w:p w:rsidR="00EE56C0" w:rsidRDefault="000F36A1">
            <w:pPr>
              <w:spacing w:line="240" w:lineRule="auto"/>
              <w:ind w:firstLineChars="0" w:firstLine="0"/>
              <w:jc w:val="center"/>
              <w:rPr>
                <w:b/>
                <w:sz w:val="21"/>
                <w:szCs w:val="21"/>
              </w:rPr>
            </w:pPr>
            <w:r>
              <w:rPr>
                <w:b/>
                <w:sz w:val="21"/>
                <w:szCs w:val="21"/>
              </w:rPr>
              <w:t>主要优点</w:t>
            </w:r>
          </w:p>
        </w:tc>
        <w:tc>
          <w:tcPr>
            <w:tcW w:w="1701" w:type="dxa"/>
            <w:vAlign w:val="center"/>
          </w:tcPr>
          <w:p w:rsidR="00EE56C0" w:rsidRDefault="000F36A1">
            <w:pPr>
              <w:spacing w:line="240" w:lineRule="auto"/>
              <w:ind w:firstLineChars="0" w:firstLine="0"/>
              <w:jc w:val="center"/>
              <w:rPr>
                <w:b/>
                <w:sz w:val="21"/>
                <w:szCs w:val="21"/>
              </w:rPr>
            </w:pPr>
            <w:r>
              <w:rPr>
                <w:b/>
                <w:sz w:val="21"/>
                <w:szCs w:val="21"/>
              </w:rPr>
              <w:t>主要缺点</w:t>
            </w:r>
          </w:p>
        </w:tc>
        <w:tc>
          <w:tcPr>
            <w:tcW w:w="1333" w:type="dxa"/>
            <w:vAlign w:val="center"/>
          </w:tcPr>
          <w:p w:rsidR="00EE56C0" w:rsidRDefault="000F36A1">
            <w:pPr>
              <w:spacing w:line="240" w:lineRule="auto"/>
              <w:ind w:firstLineChars="0" w:firstLine="0"/>
              <w:jc w:val="center"/>
              <w:rPr>
                <w:b/>
                <w:sz w:val="21"/>
                <w:szCs w:val="21"/>
              </w:rPr>
            </w:pPr>
            <w:r>
              <w:rPr>
                <w:b/>
                <w:sz w:val="21"/>
                <w:szCs w:val="21"/>
              </w:rPr>
              <w:t>适用范围</w:t>
            </w:r>
          </w:p>
        </w:tc>
      </w:tr>
      <w:tr w:rsidR="00EE56C0">
        <w:trPr>
          <w:trHeight w:val="397"/>
          <w:jc w:val="center"/>
        </w:trPr>
        <w:tc>
          <w:tcPr>
            <w:tcW w:w="817" w:type="dxa"/>
            <w:vMerge w:val="restart"/>
            <w:vAlign w:val="center"/>
          </w:tcPr>
          <w:p w:rsidR="00EE56C0" w:rsidRDefault="000F36A1">
            <w:pPr>
              <w:spacing w:line="240" w:lineRule="auto"/>
              <w:ind w:firstLineChars="0" w:firstLine="0"/>
              <w:jc w:val="center"/>
              <w:rPr>
                <w:sz w:val="21"/>
                <w:szCs w:val="21"/>
              </w:rPr>
            </w:pPr>
            <w:r>
              <w:rPr>
                <w:sz w:val="21"/>
                <w:szCs w:val="21"/>
              </w:rPr>
              <w:t>有机废气</w:t>
            </w:r>
          </w:p>
        </w:tc>
        <w:tc>
          <w:tcPr>
            <w:tcW w:w="709" w:type="dxa"/>
            <w:vAlign w:val="center"/>
          </w:tcPr>
          <w:p w:rsidR="00EE56C0" w:rsidRDefault="000F36A1">
            <w:pPr>
              <w:spacing w:line="240" w:lineRule="auto"/>
              <w:ind w:firstLineChars="0" w:firstLine="0"/>
              <w:jc w:val="center"/>
              <w:rPr>
                <w:sz w:val="21"/>
                <w:szCs w:val="21"/>
              </w:rPr>
            </w:pPr>
            <w:r>
              <w:rPr>
                <w:sz w:val="21"/>
                <w:szCs w:val="21"/>
              </w:rPr>
              <w:t>催化燃烧法</w:t>
            </w:r>
          </w:p>
        </w:tc>
        <w:tc>
          <w:tcPr>
            <w:tcW w:w="2126" w:type="dxa"/>
            <w:vAlign w:val="center"/>
          </w:tcPr>
          <w:p w:rsidR="00EE56C0" w:rsidRDefault="000F36A1">
            <w:pPr>
              <w:spacing w:line="240" w:lineRule="auto"/>
              <w:ind w:firstLineChars="0" w:firstLine="0"/>
              <w:jc w:val="center"/>
              <w:rPr>
                <w:sz w:val="21"/>
                <w:szCs w:val="21"/>
              </w:rPr>
            </w:pPr>
            <w:r>
              <w:rPr>
                <w:sz w:val="21"/>
                <w:szCs w:val="21"/>
              </w:rPr>
              <w:t>在催化剂的作用下，降低了反应的活化能使有机废气和空气中的氧气在温度较低（</w:t>
            </w:r>
            <w:r>
              <w:rPr>
                <w:sz w:val="21"/>
                <w:szCs w:val="21"/>
              </w:rPr>
              <w:t>200</w:t>
            </w:r>
            <w:r>
              <w:rPr>
                <w:sz w:val="21"/>
                <w:szCs w:val="21"/>
              </w:rPr>
              <w:t>～</w:t>
            </w:r>
            <w:r>
              <w:rPr>
                <w:sz w:val="21"/>
                <w:szCs w:val="21"/>
              </w:rPr>
              <w:t>400</w:t>
            </w:r>
            <w:r>
              <w:rPr>
                <w:rFonts w:ascii="宋体" w:hAnsi="宋体" w:cs="宋体" w:hint="eastAsia"/>
                <w:sz w:val="21"/>
                <w:szCs w:val="21"/>
              </w:rPr>
              <w:t>℃</w:t>
            </w:r>
            <w:r>
              <w:rPr>
                <w:sz w:val="21"/>
                <w:szCs w:val="21"/>
              </w:rPr>
              <w:t>）的条件下迅速氧化，转化成水和二氧化碳，达到治理的目的。</w:t>
            </w:r>
          </w:p>
        </w:tc>
        <w:tc>
          <w:tcPr>
            <w:tcW w:w="1843" w:type="dxa"/>
            <w:vAlign w:val="center"/>
          </w:tcPr>
          <w:p w:rsidR="00EE56C0" w:rsidRDefault="000F36A1">
            <w:pPr>
              <w:spacing w:line="240" w:lineRule="auto"/>
              <w:ind w:firstLineChars="0" w:firstLine="0"/>
              <w:jc w:val="center"/>
              <w:rPr>
                <w:sz w:val="21"/>
                <w:szCs w:val="21"/>
              </w:rPr>
            </w:pPr>
            <w:r>
              <w:rPr>
                <w:sz w:val="21"/>
                <w:szCs w:val="21"/>
              </w:rPr>
              <w:t>无二次污染；低能耗；工艺简单，处理效率高，对可燃组份浓度和热值限制少；无火焰燃烧</w:t>
            </w:r>
          </w:p>
        </w:tc>
        <w:tc>
          <w:tcPr>
            <w:tcW w:w="1701" w:type="dxa"/>
            <w:vAlign w:val="center"/>
          </w:tcPr>
          <w:p w:rsidR="00EE56C0" w:rsidRDefault="000F36A1">
            <w:pPr>
              <w:spacing w:line="240" w:lineRule="auto"/>
              <w:ind w:firstLineChars="0" w:firstLine="0"/>
              <w:jc w:val="center"/>
              <w:rPr>
                <w:sz w:val="21"/>
                <w:szCs w:val="21"/>
              </w:rPr>
            </w:pPr>
            <w:r>
              <w:rPr>
                <w:sz w:val="21"/>
                <w:szCs w:val="21"/>
              </w:rPr>
              <w:t>应先去除废气中杂质，防止催化剂中毒，催化剂使用时间长时，效率降低，一次性投资较高</w:t>
            </w:r>
          </w:p>
        </w:tc>
        <w:tc>
          <w:tcPr>
            <w:tcW w:w="1333" w:type="dxa"/>
            <w:vAlign w:val="center"/>
          </w:tcPr>
          <w:p w:rsidR="00EE56C0" w:rsidRDefault="000F36A1">
            <w:pPr>
              <w:spacing w:line="240" w:lineRule="auto"/>
              <w:ind w:firstLineChars="0" w:firstLine="0"/>
              <w:jc w:val="center"/>
              <w:rPr>
                <w:sz w:val="21"/>
                <w:szCs w:val="21"/>
              </w:rPr>
            </w:pPr>
            <w:r>
              <w:rPr>
                <w:sz w:val="21"/>
                <w:szCs w:val="21"/>
              </w:rPr>
              <w:t>适用于中高浓度、含杂质较少的废气治理</w:t>
            </w:r>
          </w:p>
        </w:tc>
      </w:tr>
      <w:tr w:rsidR="00EE56C0">
        <w:trPr>
          <w:trHeight w:val="397"/>
          <w:jc w:val="center"/>
        </w:trPr>
        <w:tc>
          <w:tcPr>
            <w:tcW w:w="817" w:type="dxa"/>
            <w:vMerge/>
            <w:vAlign w:val="center"/>
          </w:tcPr>
          <w:p w:rsidR="00EE56C0" w:rsidRDefault="00EE56C0">
            <w:pPr>
              <w:spacing w:line="240" w:lineRule="auto"/>
              <w:ind w:firstLineChars="0" w:firstLine="0"/>
              <w:jc w:val="center"/>
              <w:rPr>
                <w:sz w:val="21"/>
                <w:szCs w:val="21"/>
              </w:rPr>
            </w:pPr>
          </w:p>
        </w:tc>
        <w:tc>
          <w:tcPr>
            <w:tcW w:w="709" w:type="dxa"/>
            <w:vAlign w:val="center"/>
          </w:tcPr>
          <w:p w:rsidR="00EE56C0" w:rsidRDefault="000F36A1">
            <w:pPr>
              <w:spacing w:line="240" w:lineRule="auto"/>
              <w:ind w:firstLineChars="0" w:firstLine="0"/>
              <w:jc w:val="center"/>
              <w:rPr>
                <w:sz w:val="21"/>
                <w:szCs w:val="21"/>
              </w:rPr>
            </w:pPr>
            <w:r>
              <w:rPr>
                <w:sz w:val="21"/>
                <w:szCs w:val="21"/>
              </w:rPr>
              <w:t>直接燃烧法</w:t>
            </w:r>
          </w:p>
        </w:tc>
        <w:tc>
          <w:tcPr>
            <w:tcW w:w="2126" w:type="dxa"/>
            <w:vAlign w:val="center"/>
          </w:tcPr>
          <w:p w:rsidR="00EE56C0" w:rsidRDefault="000F36A1">
            <w:pPr>
              <w:pStyle w:val="afa"/>
            </w:pPr>
            <w:r>
              <w:t>废气引入燃烧室与火焰直接接触，使有害气体燃烧生成</w:t>
            </w:r>
            <w:r>
              <w:t>CO</w:t>
            </w:r>
            <w:r>
              <w:rPr>
                <w:vertAlign w:val="subscript"/>
              </w:rPr>
              <w:t>2</w:t>
            </w:r>
            <w:r>
              <w:t>和</w:t>
            </w:r>
            <w:r>
              <w:t>H</w:t>
            </w:r>
            <w:r>
              <w:rPr>
                <w:vertAlign w:val="subscript"/>
              </w:rPr>
              <w:t>2</w:t>
            </w:r>
            <w:r>
              <w:t>O</w:t>
            </w:r>
            <w:r>
              <w:t>，使废气净化。</w:t>
            </w:r>
          </w:p>
        </w:tc>
        <w:tc>
          <w:tcPr>
            <w:tcW w:w="1843" w:type="dxa"/>
            <w:vAlign w:val="center"/>
          </w:tcPr>
          <w:p w:rsidR="00EE56C0" w:rsidRDefault="000F36A1">
            <w:pPr>
              <w:pStyle w:val="afa"/>
            </w:pPr>
            <w:r>
              <w:t>燃烧效率高，管理容易；仅烧嘴需经常维护，维护简单；装置占地面积小；可靠性高。装置简单，工艺流程短。</w:t>
            </w:r>
          </w:p>
        </w:tc>
        <w:tc>
          <w:tcPr>
            <w:tcW w:w="1701" w:type="dxa"/>
            <w:vAlign w:val="center"/>
          </w:tcPr>
          <w:p w:rsidR="00EE56C0" w:rsidRDefault="000F36A1">
            <w:pPr>
              <w:pStyle w:val="afa"/>
            </w:pPr>
            <w:r>
              <w:t>处理温度高，燃料费高；燃烧装置、燃烧室、热回收装置等设备造价高；处理像喷漆室浓度低、风量大的废气不经济。而且在燃烧过程中会产生副产物</w:t>
            </w:r>
            <w:r>
              <w:t>NO</w:t>
            </w:r>
            <w:r>
              <w:rPr>
                <w:vertAlign w:val="subscript"/>
              </w:rPr>
              <w:t>x</w:t>
            </w:r>
            <w:r>
              <w:t>，造成新的污染</w:t>
            </w:r>
          </w:p>
        </w:tc>
        <w:tc>
          <w:tcPr>
            <w:tcW w:w="1333" w:type="dxa"/>
            <w:vAlign w:val="center"/>
          </w:tcPr>
          <w:p w:rsidR="00EE56C0" w:rsidRDefault="000F36A1">
            <w:pPr>
              <w:pStyle w:val="afa"/>
            </w:pPr>
            <w:r>
              <w:t>适用于有机溶剂含量高、湿度高的废气治理。</w:t>
            </w:r>
          </w:p>
        </w:tc>
      </w:tr>
      <w:tr w:rsidR="00EE56C0">
        <w:trPr>
          <w:trHeight w:val="397"/>
          <w:jc w:val="center"/>
        </w:trPr>
        <w:tc>
          <w:tcPr>
            <w:tcW w:w="817" w:type="dxa"/>
            <w:vMerge/>
            <w:vAlign w:val="center"/>
          </w:tcPr>
          <w:p w:rsidR="00EE56C0" w:rsidRDefault="00EE56C0">
            <w:pPr>
              <w:spacing w:line="240" w:lineRule="auto"/>
              <w:ind w:firstLineChars="0" w:firstLine="0"/>
              <w:jc w:val="center"/>
              <w:rPr>
                <w:sz w:val="21"/>
                <w:szCs w:val="21"/>
              </w:rPr>
            </w:pPr>
          </w:p>
        </w:tc>
        <w:tc>
          <w:tcPr>
            <w:tcW w:w="709" w:type="dxa"/>
            <w:vAlign w:val="center"/>
          </w:tcPr>
          <w:p w:rsidR="00EE56C0" w:rsidRDefault="000F36A1">
            <w:pPr>
              <w:spacing w:line="240" w:lineRule="auto"/>
              <w:ind w:firstLineChars="0" w:firstLine="0"/>
              <w:jc w:val="center"/>
              <w:rPr>
                <w:sz w:val="21"/>
                <w:szCs w:val="21"/>
              </w:rPr>
            </w:pPr>
            <w:r>
              <w:rPr>
                <w:sz w:val="21"/>
                <w:szCs w:val="21"/>
              </w:rPr>
              <w:t>活性炭吸附法</w:t>
            </w:r>
          </w:p>
        </w:tc>
        <w:tc>
          <w:tcPr>
            <w:tcW w:w="2126" w:type="dxa"/>
            <w:vAlign w:val="center"/>
          </w:tcPr>
          <w:p w:rsidR="00EE56C0" w:rsidRDefault="000F36A1">
            <w:pPr>
              <w:spacing w:line="240" w:lineRule="auto"/>
              <w:ind w:firstLineChars="0" w:firstLine="0"/>
              <w:jc w:val="center"/>
              <w:rPr>
                <w:sz w:val="21"/>
                <w:szCs w:val="21"/>
              </w:rPr>
            </w:pPr>
            <w:r>
              <w:rPr>
                <w:sz w:val="21"/>
                <w:szCs w:val="21"/>
              </w:rPr>
              <w:t>利用活性炭内部孔隙结构发达，有巨大比表面积，来吸附废气分子。</w:t>
            </w:r>
          </w:p>
        </w:tc>
        <w:tc>
          <w:tcPr>
            <w:tcW w:w="1843" w:type="dxa"/>
            <w:vAlign w:val="center"/>
          </w:tcPr>
          <w:p w:rsidR="00EE56C0" w:rsidRDefault="000F36A1">
            <w:pPr>
              <w:spacing w:line="240" w:lineRule="auto"/>
              <w:ind w:firstLineChars="0" w:firstLine="0"/>
              <w:jc w:val="center"/>
              <w:rPr>
                <w:sz w:val="21"/>
                <w:szCs w:val="21"/>
              </w:rPr>
            </w:pPr>
            <w:r>
              <w:rPr>
                <w:sz w:val="21"/>
                <w:szCs w:val="21"/>
              </w:rPr>
              <w:t>运转及维护费用较低；废气中所含废气能够回收、利用</w:t>
            </w:r>
          </w:p>
        </w:tc>
        <w:tc>
          <w:tcPr>
            <w:tcW w:w="1701" w:type="dxa"/>
            <w:vAlign w:val="center"/>
          </w:tcPr>
          <w:p w:rsidR="00EE56C0" w:rsidRDefault="000F36A1">
            <w:pPr>
              <w:spacing w:line="240" w:lineRule="auto"/>
              <w:ind w:firstLineChars="0" w:firstLine="0"/>
              <w:jc w:val="center"/>
              <w:rPr>
                <w:sz w:val="21"/>
                <w:szCs w:val="21"/>
              </w:rPr>
            </w:pPr>
            <w:r>
              <w:rPr>
                <w:sz w:val="21"/>
                <w:szCs w:val="21"/>
              </w:rPr>
              <w:t>废气温度较高时需先冷却；会产生废活性炭</w:t>
            </w:r>
          </w:p>
        </w:tc>
        <w:tc>
          <w:tcPr>
            <w:tcW w:w="1333" w:type="dxa"/>
            <w:vAlign w:val="center"/>
          </w:tcPr>
          <w:p w:rsidR="00EE56C0" w:rsidRDefault="000F36A1">
            <w:pPr>
              <w:spacing w:line="240" w:lineRule="auto"/>
              <w:ind w:firstLineChars="0" w:firstLine="0"/>
              <w:jc w:val="center"/>
              <w:rPr>
                <w:sz w:val="21"/>
                <w:szCs w:val="21"/>
              </w:rPr>
            </w:pPr>
            <w:r>
              <w:rPr>
                <w:sz w:val="21"/>
                <w:szCs w:val="21"/>
              </w:rPr>
              <w:t>适用于常温、低浓度废气治理</w:t>
            </w:r>
          </w:p>
        </w:tc>
      </w:tr>
      <w:tr w:rsidR="00EE56C0">
        <w:trPr>
          <w:trHeight w:val="397"/>
          <w:jc w:val="center"/>
        </w:trPr>
        <w:tc>
          <w:tcPr>
            <w:tcW w:w="817" w:type="dxa"/>
            <w:vMerge/>
            <w:vAlign w:val="center"/>
          </w:tcPr>
          <w:p w:rsidR="00EE56C0" w:rsidRDefault="00EE56C0">
            <w:pPr>
              <w:spacing w:line="240" w:lineRule="auto"/>
              <w:ind w:firstLineChars="0" w:firstLine="0"/>
              <w:jc w:val="center"/>
              <w:rPr>
                <w:sz w:val="21"/>
                <w:szCs w:val="21"/>
              </w:rPr>
            </w:pPr>
          </w:p>
        </w:tc>
        <w:tc>
          <w:tcPr>
            <w:tcW w:w="709" w:type="dxa"/>
            <w:vAlign w:val="center"/>
          </w:tcPr>
          <w:p w:rsidR="00EE56C0" w:rsidRDefault="000F36A1">
            <w:pPr>
              <w:spacing w:line="240" w:lineRule="auto"/>
              <w:ind w:firstLineChars="0" w:firstLine="0"/>
              <w:jc w:val="center"/>
              <w:rPr>
                <w:sz w:val="21"/>
                <w:szCs w:val="21"/>
              </w:rPr>
            </w:pPr>
            <w:r>
              <w:rPr>
                <w:sz w:val="21"/>
                <w:szCs w:val="21"/>
              </w:rPr>
              <w:t>低温等离子净化法</w:t>
            </w:r>
          </w:p>
        </w:tc>
        <w:tc>
          <w:tcPr>
            <w:tcW w:w="2126" w:type="dxa"/>
            <w:vAlign w:val="center"/>
          </w:tcPr>
          <w:p w:rsidR="00EE56C0" w:rsidRDefault="000F36A1">
            <w:pPr>
              <w:spacing w:line="240" w:lineRule="auto"/>
              <w:ind w:firstLineChars="0" w:firstLine="0"/>
              <w:jc w:val="center"/>
              <w:rPr>
                <w:sz w:val="21"/>
                <w:szCs w:val="21"/>
              </w:rPr>
            </w:pPr>
            <w:r>
              <w:rPr>
                <w:sz w:val="21"/>
                <w:szCs w:val="21"/>
              </w:rPr>
              <w:t>利用高压直流等离子发生器产生离子基团对废气进行净化。</w:t>
            </w:r>
          </w:p>
        </w:tc>
        <w:tc>
          <w:tcPr>
            <w:tcW w:w="1843" w:type="dxa"/>
            <w:vAlign w:val="center"/>
          </w:tcPr>
          <w:p w:rsidR="00EE56C0" w:rsidRDefault="000F36A1">
            <w:pPr>
              <w:spacing w:line="240" w:lineRule="auto"/>
              <w:ind w:firstLineChars="0" w:firstLine="0"/>
              <w:jc w:val="center"/>
              <w:rPr>
                <w:sz w:val="21"/>
                <w:szCs w:val="21"/>
              </w:rPr>
            </w:pPr>
            <w:r>
              <w:rPr>
                <w:sz w:val="21"/>
                <w:szCs w:val="21"/>
              </w:rPr>
              <w:t>运行费用低；耐高温、净化效率比较高，反应快，设备启动、停止十分迅速，随用随开</w:t>
            </w:r>
          </w:p>
        </w:tc>
        <w:tc>
          <w:tcPr>
            <w:tcW w:w="1701" w:type="dxa"/>
            <w:vAlign w:val="center"/>
          </w:tcPr>
          <w:p w:rsidR="00EE56C0" w:rsidRDefault="000F36A1">
            <w:pPr>
              <w:spacing w:line="240" w:lineRule="auto"/>
              <w:ind w:firstLineChars="0" w:firstLine="0"/>
              <w:jc w:val="center"/>
              <w:rPr>
                <w:sz w:val="21"/>
                <w:szCs w:val="21"/>
              </w:rPr>
            </w:pPr>
            <w:r>
              <w:rPr>
                <w:sz w:val="21"/>
                <w:szCs w:val="21"/>
              </w:rPr>
              <w:t>能耗高，不能完全矿化，投资费用较高</w:t>
            </w:r>
          </w:p>
        </w:tc>
        <w:tc>
          <w:tcPr>
            <w:tcW w:w="1333" w:type="dxa"/>
            <w:vAlign w:val="center"/>
          </w:tcPr>
          <w:p w:rsidR="00EE56C0" w:rsidRDefault="000F36A1">
            <w:pPr>
              <w:spacing w:line="240" w:lineRule="auto"/>
              <w:ind w:firstLineChars="0" w:firstLine="0"/>
              <w:jc w:val="center"/>
              <w:rPr>
                <w:sz w:val="21"/>
                <w:szCs w:val="21"/>
              </w:rPr>
            </w:pPr>
            <w:r>
              <w:rPr>
                <w:sz w:val="21"/>
                <w:szCs w:val="21"/>
              </w:rPr>
              <w:t>适用于高浓度、大气量、不同气态物质的净化处理</w:t>
            </w:r>
          </w:p>
        </w:tc>
      </w:tr>
    </w:tbl>
    <w:p w:rsidR="00EE56C0" w:rsidRDefault="000F36A1">
      <w:pPr>
        <w:spacing w:line="460" w:lineRule="exact"/>
        <w:ind w:firstLine="480"/>
      </w:pPr>
      <w:r>
        <w:rPr>
          <w:rFonts w:hint="eastAsia"/>
        </w:rPr>
        <w:t>根据生态环境部大气环境司编制的《重点行业</w:t>
      </w:r>
      <w:r>
        <w:rPr>
          <w:rFonts w:hint="eastAsia"/>
        </w:rPr>
        <w:t>VOCs</w:t>
      </w:r>
      <w:r>
        <w:rPr>
          <w:rFonts w:hint="eastAsia"/>
        </w:rPr>
        <w:t>排放控制技术指南》，文件要求其他涂装行业喷涂、烘干宜采用吸附浓缩</w:t>
      </w:r>
      <w:r>
        <w:rPr>
          <w:rFonts w:hint="eastAsia"/>
        </w:rPr>
        <w:t>+</w:t>
      </w:r>
      <w:r>
        <w:rPr>
          <w:rFonts w:hint="eastAsia"/>
        </w:rPr>
        <w:t>燃烧</w:t>
      </w:r>
      <w:r>
        <w:rPr>
          <w:rFonts w:hint="eastAsia"/>
        </w:rPr>
        <w:t>/</w:t>
      </w:r>
      <w:r>
        <w:rPr>
          <w:rFonts w:hint="eastAsia"/>
        </w:rPr>
        <w:t>热力焚烧</w:t>
      </w:r>
      <w:r>
        <w:rPr>
          <w:rFonts w:hint="eastAsia"/>
        </w:rPr>
        <w:t>/</w:t>
      </w:r>
      <w:r>
        <w:rPr>
          <w:rFonts w:hint="eastAsia"/>
        </w:rPr>
        <w:t>催化燃烧或其他等效方式处理。结合本项目废气</w:t>
      </w:r>
      <w:r>
        <w:t>风量大、浓度低</w:t>
      </w:r>
      <w:r>
        <w:rPr>
          <w:rFonts w:hint="eastAsia"/>
        </w:rPr>
        <w:t>等特点，</w:t>
      </w:r>
    </w:p>
    <w:p w:rsidR="00EE56C0" w:rsidRDefault="000F36A1">
      <w:pPr>
        <w:ind w:firstLine="480"/>
      </w:pPr>
      <w:r>
        <w:t>选择</w:t>
      </w:r>
      <w:r>
        <w:t>“</w:t>
      </w:r>
      <w:r>
        <w:t>活性炭吸附（脱附）</w:t>
      </w:r>
      <w:r>
        <w:rPr>
          <w:rFonts w:hint="eastAsia"/>
        </w:rPr>
        <w:t>/</w:t>
      </w:r>
      <w:r>
        <w:rPr>
          <w:rFonts w:hint="eastAsia"/>
        </w:rPr>
        <w:t>沸石</w:t>
      </w:r>
      <w:r>
        <w:t>吸附（脱附）</w:t>
      </w:r>
      <w:r>
        <w:t>+</w:t>
      </w:r>
      <w:r>
        <w:t>催化燃烧</w:t>
      </w:r>
      <w:r>
        <w:t>”</w:t>
      </w:r>
      <w:r>
        <w:t>的组合工艺。该工艺是通过吸附、脱附、燃烧过程，进而把大风量、低浓度的有机废气浓缩成小流量、高浓度有机废气净化技术。浓缩后的高浓度气体连接到燃烧设备进行氧化处理，这样可以大大节约设备的投资及系统的运行费用。</w:t>
      </w:r>
    </w:p>
    <w:p w:rsidR="00EE56C0" w:rsidRDefault="000F36A1">
      <w:pPr>
        <w:ind w:firstLine="480"/>
        <w:rPr>
          <w:szCs w:val="24"/>
        </w:rPr>
      </w:pPr>
      <w:r>
        <w:rPr>
          <w:rFonts w:hint="eastAsia"/>
          <w:szCs w:val="24"/>
        </w:rPr>
        <w:t>为使废气稳定达标排放，在活性炭吸附前加装静电除油装置，去除废气中的</w:t>
      </w:r>
      <w:r>
        <w:rPr>
          <w:rFonts w:hint="eastAsia"/>
          <w:szCs w:val="24"/>
        </w:rPr>
        <w:lastRenderedPageBreak/>
        <w:t>油雾杂质，否则会直接堵塞活性炭的</w:t>
      </w:r>
      <w:r>
        <w:rPr>
          <w:rFonts w:ascii="宋体" w:hAnsi="宋体" w:cs="宋体" w:hint="eastAsia"/>
          <w:szCs w:val="32"/>
        </w:rPr>
        <w:t>微缩孔，从而影响吸附效果甚至失效</w:t>
      </w:r>
      <w:r>
        <w:rPr>
          <w:rFonts w:hint="eastAsia"/>
          <w:szCs w:val="24"/>
        </w:rPr>
        <w:t>。</w:t>
      </w:r>
    </w:p>
    <w:p w:rsidR="00EE56C0" w:rsidRDefault="000F36A1">
      <w:pPr>
        <w:ind w:firstLine="480"/>
        <w:rPr>
          <w:szCs w:val="24"/>
        </w:rPr>
      </w:pPr>
      <w:r>
        <w:rPr>
          <w:rFonts w:hint="eastAsia"/>
          <w:szCs w:val="24"/>
        </w:rPr>
        <w:t>企业根据自身生产要求，</w:t>
      </w:r>
      <w:r>
        <w:rPr>
          <w:szCs w:val="24"/>
        </w:rPr>
        <w:t>本项目废气处理采用</w:t>
      </w:r>
      <w:r>
        <w:rPr>
          <w:szCs w:val="24"/>
        </w:rPr>
        <w:t>“</w:t>
      </w:r>
      <w:r>
        <w:rPr>
          <w:rFonts w:hint="eastAsia"/>
          <w:szCs w:val="24"/>
        </w:rPr>
        <w:t>静电除油</w:t>
      </w:r>
      <w:r>
        <w:rPr>
          <w:szCs w:val="24"/>
        </w:rPr>
        <w:t>+</w:t>
      </w:r>
      <w:r>
        <w:rPr>
          <w:szCs w:val="24"/>
        </w:rPr>
        <w:t>活性炭吸附浓缩</w:t>
      </w:r>
      <w:r>
        <w:rPr>
          <w:szCs w:val="24"/>
        </w:rPr>
        <w:t>+</w:t>
      </w:r>
      <w:r>
        <w:rPr>
          <w:szCs w:val="24"/>
        </w:rPr>
        <w:t>催化燃烧</w:t>
      </w:r>
      <w:r>
        <w:rPr>
          <w:szCs w:val="24"/>
        </w:rPr>
        <w:t>”</w:t>
      </w:r>
      <w:r>
        <w:rPr>
          <w:rFonts w:hint="eastAsia"/>
          <w:szCs w:val="24"/>
        </w:rPr>
        <w:t>与“沸石</w:t>
      </w:r>
      <w:r>
        <w:rPr>
          <w:szCs w:val="24"/>
        </w:rPr>
        <w:t>吸附浓缩</w:t>
      </w:r>
      <w:r>
        <w:rPr>
          <w:szCs w:val="24"/>
        </w:rPr>
        <w:t>+</w:t>
      </w:r>
      <w:r>
        <w:rPr>
          <w:szCs w:val="24"/>
        </w:rPr>
        <w:t>催化燃烧</w:t>
      </w:r>
      <w:r>
        <w:rPr>
          <w:rFonts w:hint="eastAsia"/>
          <w:szCs w:val="24"/>
        </w:rPr>
        <w:t>”相结合的</w:t>
      </w:r>
      <w:r>
        <w:rPr>
          <w:szCs w:val="24"/>
        </w:rPr>
        <w:t>处理</w:t>
      </w:r>
      <w:r>
        <w:rPr>
          <w:rFonts w:hint="eastAsia"/>
          <w:szCs w:val="24"/>
        </w:rPr>
        <w:t>方式</w:t>
      </w:r>
      <w:r>
        <w:rPr>
          <w:szCs w:val="24"/>
        </w:rPr>
        <w:t>进行废气</w:t>
      </w:r>
      <w:r>
        <w:rPr>
          <w:rFonts w:hint="eastAsia"/>
          <w:szCs w:val="24"/>
        </w:rPr>
        <w:t>治理</w:t>
      </w:r>
      <w:r>
        <w:rPr>
          <w:szCs w:val="24"/>
        </w:rPr>
        <w:t>。</w:t>
      </w:r>
    </w:p>
    <w:p w:rsidR="00EE56C0" w:rsidRDefault="000F36A1">
      <w:pPr>
        <w:ind w:firstLine="482"/>
        <w:rPr>
          <w:b/>
        </w:rPr>
      </w:pPr>
      <w:r>
        <w:rPr>
          <w:rFonts w:hint="eastAsia"/>
          <w:b/>
        </w:rPr>
        <w:t>2</w:t>
      </w:r>
      <w:r>
        <w:rPr>
          <w:rFonts w:hint="eastAsia"/>
          <w:b/>
        </w:rPr>
        <w:t>、活性炭</w:t>
      </w:r>
      <w:r>
        <w:rPr>
          <w:rFonts w:hint="eastAsia"/>
          <w:b/>
        </w:rPr>
        <w:t>-</w:t>
      </w:r>
      <w:r>
        <w:rPr>
          <w:b/>
        </w:rPr>
        <w:t>吸附</w:t>
      </w:r>
      <w:r>
        <w:rPr>
          <w:rFonts w:hint="eastAsia"/>
          <w:b/>
        </w:rPr>
        <w:t>-</w:t>
      </w:r>
      <w:r>
        <w:rPr>
          <w:rFonts w:hint="eastAsia"/>
          <w:b/>
        </w:rPr>
        <w:t>脱附</w:t>
      </w:r>
      <w:r>
        <w:rPr>
          <w:b/>
        </w:rPr>
        <w:t>-</w:t>
      </w:r>
      <w:r>
        <w:rPr>
          <w:b/>
        </w:rPr>
        <w:t>催化燃烧装置</w:t>
      </w:r>
      <w:r>
        <w:rPr>
          <w:rFonts w:hint="eastAsia"/>
          <w:b/>
        </w:rPr>
        <w:t>基本</w:t>
      </w:r>
      <w:r>
        <w:rPr>
          <w:b/>
        </w:rPr>
        <w:t>原理</w:t>
      </w:r>
    </w:p>
    <w:p w:rsidR="00EE56C0" w:rsidRDefault="000F36A1">
      <w:pPr>
        <w:ind w:firstLine="480"/>
      </w:pPr>
      <w:r>
        <w:rPr>
          <w:rFonts w:hint="eastAsia"/>
        </w:rPr>
        <w:t>（</w:t>
      </w:r>
      <w:r>
        <w:rPr>
          <w:rFonts w:hint="eastAsia"/>
        </w:rPr>
        <w:t>1</w:t>
      </w:r>
      <w:r>
        <w:rPr>
          <w:rFonts w:hint="eastAsia"/>
        </w:rPr>
        <w:t>）</w:t>
      </w:r>
      <w:r>
        <w:t>VOCs</w:t>
      </w:r>
      <w:r>
        <w:t>废气通过</w:t>
      </w:r>
      <w:r>
        <w:rPr>
          <w:rFonts w:hint="eastAsia"/>
        </w:rPr>
        <w:t>活性炭</w:t>
      </w:r>
      <w:r>
        <w:t>转轮</w:t>
      </w:r>
      <w:r>
        <w:rPr>
          <w:rFonts w:hint="eastAsia"/>
        </w:rPr>
        <w:t>时</w:t>
      </w:r>
      <w:r>
        <w:t>，</w:t>
      </w:r>
      <w:r>
        <w:rPr>
          <w:rFonts w:hint="eastAsia"/>
        </w:rPr>
        <w:t>能有效被吸附于活性炭中，达到去除的目的。活性炭转轮分为吸附区、再生区、冷却区，经过吸附的挥发性有机物的洁净气体，直接通过排气筒排放。</w:t>
      </w:r>
    </w:p>
    <w:p w:rsidR="00EE56C0" w:rsidRDefault="000F36A1">
      <w:pPr>
        <w:ind w:firstLine="480"/>
      </w:pPr>
      <w:r>
        <w:rPr>
          <w:rFonts w:hint="eastAsia"/>
        </w:rPr>
        <w:t>（</w:t>
      </w:r>
      <w:r>
        <w:rPr>
          <w:rFonts w:hint="eastAsia"/>
        </w:rPr>
        <w:t>2</w:t>
      </w:r>
      <w:r>
        <w:rPr>
          <w:rFonts w:hint="eastAsia"/>
        </w:rPr>
        <w:t>）随吸附时间推移，活性炭逐渐趋向饱和，而后开启脱附热空气进出阀门，将活性炭床加热到废气加热到废气沸点温度进行脱附浓缩，脱附浓缩高浓度小风量废气进入热交换器一次升温，再进入加热室二次升温到催化反应温度（</w:t>
      </w:r>
      <w:r>
        <w:rPr>
          <w:rFonts w:hint="eastAsia"/>
        </w:rPr>
        <w:t>250~350</w:t>
      </w:r>
      <w:r>
        <w:rPr>
          <w:rFonts w:hint="eastAsia"/>
        </w:rPr>
        <w:t>℃），在铂钯贵金属催化剂作用下氧化分解为二氧化碳和水，反应同时通过新风阀吸入新风补充反应所需氧气，促使完全氧化反应。经排气筒排放至大气中。</w:t>
      </w:r>
    </w:p>
    <w:p w:rsidR="00EE56C0" w:rsidRDefault="000F36A1">
      <w:pPr>
        <w:ind w:firstLine="480"/>
      </w:pPr>
      <w:r>
        <w:rPr>
          <w:rFonts w:hint="eastAsia"/>
        </w:rPr>
        <w:t>（</w:t>
      </w:r>
      <w:r>
        <w:rPr>
          <w:rFonts w:hint="eastAsia"/>
        </w:rPr>
        <w:t>3</w:t>
      </w:r>
      <w:r>
        <w:rPr>
          <w:rFonts w:hint="eastAsia"/>
        </w:rPr>
        <w:t>）反应后生成的高温气流经热交换器预热脱附浓缩废气，降温到</w:t>
      </w:r>
      <w:r>
        <w:rPr>
          <w:rFonts w:hint="eastAsia"/>
        </w:rPr>
        <w:t>100</w:t>
      </w:r>
      <w:r>
        <w:rPr>
          <w:rFonts w:hint="eastAsia"/>
        </w:rPr>
        <w:t>℃以下进入活性炭床层循环脱附。</w:t>
      </w:r>
    </w:p>
    <w:p w:rsidR="00EE56C0" w:rsidRDefault="000F36A1">
      <w:pPr>
        <w:ind w:firstLine="480"/>
      </w:pPr>
      <w:r>
        <w:rPr>
          <w:rFonts w:hint="eastAsia"/>
        </w:rPr>
        <w:t>（</w:t>
      </w:r>
      <w:r>
        <w:rPr>
          <w:rFonts w:hint="eastAsia"/>
        </w:rPr>
        <w:t>4</w:t>
      </w:r>
      <w:r>
        <w:rPr>
          <w:rFonts w:hint="eastAsia"/>
        </w:rPr>
        <w:t>）吸附段脱附结束后降温，启动吸附箱新风阀与冷却排放阀，降温到</w:t>
      </w:r>
      <w:r>
        <w:rPr>
          <w:rFonts w:hint="eastAsia"/>
        </w:rPr>
        <w:t>40</w:t>
      </w:r>
      <w:r>
        <w:rPr>
          <w:rFonts w:hint="eastAsia"/>
        </w:rPr>
        <w:t>℃以下。</w:t>
      </w:r>
    </w:p>
    <w:p w:rsidR="00EE56C0" w:rsidRDefault="000F36A1">
      <w:pPr>
        <w:ind w:firstLine="482"/>
        <w:rPr>
          <w:b/>
        </w:rPr>
      </w:pPr>
      <w:r>
        <w:rPr>
          <w:rFonts w:hint="eastAsia"/>
          <w:b/>
        </w:rPr>
        <w:t>3</w:t>
      </w:r>
      <w:r>
        <w:rPr>
          <w:rFonts w:hint="eastAsia"/>
          <w:b/>
        </w:rPr>
        <w:t>、沸石固定床吸附</w:t>
      </w:r>
      <w:r>
        <w:rPr>
          <w:rFonts w:hint="eastAsia"/>
          <w:b/>
        </w:rPr>
        <w:t>-</w:t>
      </w:r>
      <w:r>
        <w:rPr>
          <w:rFonts w:hint="eastAsia"/>
          <w:b/>
        </w:rPr>
        <w:t>脱附</w:t>
      </w:r>
      <w:r>
        <w:rPr>
          <w:rFonts w:hint="eastAsia"/>
          <w:b/>
        </w:rPr>
        <w:t>-</w:t>
      </w:r>
      <w:r>
        <w:rPr>
          <w:rFonts w:hint="eastAsia"/>
          <w:b/>
        </w:rPr>
        <w:t>催化燃烧基本原理</w:t>
      </w:r>
    </w:p>
    <w:p w:rsidR="00EE56C0" w:rsidRDefault="000F36A1">
      <w:pPr>
        <w:ind w:firstLine="480"/>
        <w:rPr>
          <w:rFonts w:ascii="宋体" w:hAnsi="宋体" w:cs="宋体"/>
          <w:szCs w:val="32"/>
        </w:rPr>
      </w:pPr>
      <w:r>
        <w:rPr>
          <w:rFonts w:ascii="宋体" w:hAnsi="宋体" w:cs="宋体" w:hint="eastAsia"/>
          <w:szCs w:val="32"/>
        </w:rPr>
        <w:t>待处理的有机混合废气经引风机作用,先进入分子筛吸附装置进行吸附净化处理,有机物质被沸石分子筛特有的作用力截留在其内部,洁净气体通过烟囱排放到大气中，经过一段时间吸附后，达到饱和状态，按照PLC自动控制程序将饱和的气体脱附后待用的脱附床进行交替切换。催化燃烧自动升温将热空气通过风机送入沸石床使分子筛升温将有机物“蒸”出，脱附出来的废气属于高浓度、小风量、高温度的有机废气。经管道引入催化燃烧设备,和催化反应后的高温气体进行能量间接交换，此时废气源的温度得到第一次提升；具有一定温度的气体进</w:t>
      </w:r>
      <w:r>
        <w:rPr>
          <w:rFonts w:ascii="宋体" w:hAnsi="宋体" w:cs="宋体" w:hint="eastAsia"/>
          <w:szCs w:val="32"/>
        </w:rPr>
        <w:lastRenderedPageBreak/>
        <w:t>入预热器，进行第二次的温度提升：之后进入第一级催化反应，此时有机废气在低温下部份分解，并释放出能量,对废气源进行直接加热，将气体温度提高到催化反应的最佳温度；经温度检测系统检测，温度符合催化反应的温度要求，进入催化燃烧室，有机气体提到彻底分解，同时释放出大量的热量；净化后的气体大部分由引风机排出。</w:t>
      </w:r>
    </w:p>
    <w:p w:rsidR="00EE56C0" w:rsidRDefault="000F36A1">
      <w:pPr>
        <w:pStyle w:val="4"/>
        <w:ind w:left="120" w:firstLine="241"/>
      </w:pPr>
      <w:r>
        <w:rPr>
          <w:rFonts w:hint="eastAsia"/>
        </w:rPr>
        <w:t>6.2.1.2</w:t>
      </w:r>
      <w:r>
        <w:rPr>
          <w:rFonts w:hint="eastAsia"/>
        </w:rPr>
        <w:t>废气措施治理措施依托可行性</w:t>
      </w:r>
    </w:p>
    <w:p w:rsidR="00EE56C0" w:rsidRDefault="000F36A1">
      <w:pPr>
        <w:pStyle w:val="aff4"/>
        <w:ind w:firstLine="482"/>
        <w:rPr>
          <w:b/>
          <w:u w:val="single"/>
        </w:rPr>
      </w:pPr>
      <w:r>
        <w:rPr>
          <w:rFonts w:hint="eastAsia"/>
          <w:b/>
          <w:u w:val="single"/>
        </w:rPr>
        <w:t>1</w:t>
      </w:r>
      <w:r>
        <w:rPr>
          <w:rFonts w:hint="eastAsia"/>
          <w:b/>
          <w:u w:val="single"/>
        </w:rPr>
        <w:t>、设计参数</w:t>
      </w:r>
    </w:p>
    <w:p w:rsidR="00EE56C0" w:rsidRDefault="000F36A1">
      <w:pPr>
        <w:pStyle w:val="aff4"/>
        <w:ind w:firstLine="482"/>
        <w:rPr>
          <w:b/>
          <w:u w:val="single"/>
        </w:rPr>
      </w:pPr>
      <w:r>
        <w:rPr>
          <w:rFonts w:hint="eastAsia"/>
          <w:b/>
          <w:u w:val="single"/>
        </w:rPr>
        <w:t>根据《吸附法工业有机废气治理工程技术规范》（</w:t>
      </w:r>
      <w:r>
        <w:rPr>
          <w:rFonts w:hint="eastAsia"/>
          <w:b/>
          <w:u w:val="single"/>
        </w:rPr>
        <w:t>HJ2026-2013</w:t>
      </w:r>
      <w:r>
        <w:rPr>
          <w:rFonts w:hint="eastAsia"/>
          <w:b/>
          <w:u w:val="single"/>
        </w:rPr>
        <w:t>）中的</w:t>
      </w:r>
      <w:r>
        <w:rPr>
          <w:rFonts w:hint="eastAsia"/>
          <w:b/>
          <w:u w:val="single"/>
        </w:rPr>
        <w:t>6.3.3.3</w:t>
      </w:r>
      <w:r>
        <w:rPr>
          <w:rFonts w:hint="eastAsia"/>
          <w:b/>
          <w:u w:val="single"/>
        </w:rPr>
        <w:t>规定，采用颗粒状吸附剂时，气体流速宜低于</w:t>
      </w:r>
      <w:r>
        <w:rPr>
          <w:rFonts w:hint="eastAsia"/>
          <w:b/>
          <w:u w:val="single"/>
        </w:rPr>
        <w:t>0.6m/s</w:t>
      </w:r>
      <w:r>
        <w:rPr>
          <w:rFonts w:hint="eastAsia"/>
          <w:b/>
          <w:u w:val="single"/>
        </w:rPr>
        <w:t>，采用蜂窝状吸附剂时，气体流速宜低于</w:t>
      </w:r>
      <w:r>
        <w:rPr>
          <w:rFonts w:hint="eastAsia"/>
          <w:b/>
          <w:u w:val="single"/>
        </w:rPr>
        <w:t>1.2m/s</w:t>
      </w:r>
      <w:r>
        <w:rPr>
          <w:rFonts w:hint="eastAsia"/>
          <w:b/>
          <w:u w:val="single"/>
        </w:rPr>
        <w:t>。</w:t>
      </w:r>
    </w:p>
    <w:p w:rsidR="00EE56C0" w:rsidRDefault="000F36A1">
      <w:pPr>
        <w:pStyle w:val="aff4"/>
        <w:ind w:firstLine="482"/>
        <w:rPr>
          <w:b/>
          <w:u w:val="single"/>
        </w:rPr>
      </w:pPr>
      <w:r>
        <w:rPr>
          <w:rFonts w:hint="eastAsia"/>
          <w:b/>
          <w:u w:val="single"/>
        </w:rPr>
        <w:t>活性炭为颗粒状吸附剂，沸石为蜂窝状吸附剂。现有活性炭</w:t>
      </w:r>
      <w:r>
        <w:rPr>
          <w:rFonts w:hint="eastAsia"/>
          <w:b/>
          <w:u w:val="single"/>
        </w:rPr>
        <w:t>-</w:t>
      </w:r>
      <w:r>
        <w:rPr>
          <w:b/>
          <w:u w:val="single"/>
        </w:rPr>
        <w:t>吸附</w:t>
      </w:r>
      <w:r>
        <w:rPr>
          <w:rFonts w:hint="eastAsia"/>
          <w:b/>
          <w:u w:val="single"/>
        </w:rPr>
        <w:t>-</w:t>
      </w:r>
      <w:r>
        <w:rPr>
          <w:rFonts w:hint="eastAsia"/>
          <w:b/>
          <w:u w:val="single"/>
        </w:rPr>
        <w:t>脱附</w:t>
      </w:r>
      <w:r>
        <w:rPr>
          <w:b/>
          <w:u w:val="single"/>
        </w:rPr>
        <w:t>-</w:t>
      </w:r>
      <w:r>
        <w:rPr>
          <w:b/>
          <w:u w:val="single"/>
        </w:rPr>
        <w:t>催化燃烧装置</w:t>
      </w:r>
      <w:r>
        <w:rPr>
          <w:rFonts w:hint="eastAsia"/>
          <w:b/>
          <w:u w:val="single"/>
        </w:rPr>
        <w:t>风量为</w:t>
      </w:r>
      <w:r>
        <w:rPr>
          <w:rFonts w:hint="eastAsia"/>
          <w:b/>
          <w:u w:val="single"/>
        </w:rPr>
        <w:t>2</w:t>
      </w:r>
      <w:r>
        <w:rPr>
          <w:rFonts w:hint="eastAsia"/>
          <w:b/>
          <w:u w:val="single"/>
        </w:rPr>
        <w:t>万</w:t>
      </w:r>
      <w:r>
        <w:rPr>
          <w:rFonts w:hint="eastAsia"/>
          <w:b/>
          <w:u w:val="single"/>
        </w:rPr>
        <w:t>m</w:t>
      </w:r>
      <w:r>
        <w:rPr>
          <w:rFonts w:hint="eastAsia"/>
          <w:b/>
          <w:u w:val="single"/>
          <w:vertAlign w:val="superscript"/>
        </w:rPr>
        <w:t>3</w:t>
      </w:r>
      <w:r>
        <w:rPr>
          <w:rFonts w:hint="eastAsia"/>
          <w:b/>
          <w:u w:val="single"/>
        </w:rPr>
        <w:t>/h</w:t>
      </w:r>
      <w:r>
        <w:rPr>
          <w:rFonts w:hint="eastAsia"/>
          <w:b/>
          <w:u w:val="single"/>
        </w:rPr>
        <w:t>，结合吸附剂截面积，计算得出风速为</w:t>
      </w:r>
      <w:r>
        <w:rPr>
          <w:rFonts w:hint="eastAsia"/>
          <w:b/>
          <w:u w:val="single"/>
        </w:rPr>
        <w:t>0.2m/s</w:t>
      </w:r>
      <w:r>
        <w:rPr>
          <w:rFonts w:hint="eastAsia"/>
          <w:b/>
          <w:u w:val="single"/>
        </w:rPr>
        <w:t>，满足“气体流速宜低于</w:t>
      </w:r>
      <w:r>
        <w:rPr>
          <w:rFonts w:hint="eastAsia"/>
          <w:b/>
          <w:u w:val="single"/>
        </w:rPr>
        <w:t>0.6m/s</w:t>
      </w:r>
      <w:r>
        <w:rPr>
          <w:rFonts w:hint="eastAsia"/>
          <w:b/>
          <w:u w:val="single"/>
        </w:rPr>
        <w:t>”的要求。现有沸石固定床吸附</w:t>
      </w:r>
      <w:r>
        <w:rPr>
          <w:rFonts w:hint="eastAsia"/>
          <w:b/>
          <w:u w:val="single"/>
        </w:rPr>
        <w:t>-</w:t>
      </w:r>
      <w:r>
        <w:rPr>
          <w:rFonts w:hint="eastAsia"/>
          <w:b/>
          <w:u w:val="single"/>
        </w:rPr>
        <w:t>脱附</w:t>
      </w:r>
      <w:r>
        <w:rPr>
          <w:rFonts w:hint="eastAsia"/>
          <w:b/>
          <w:u w:val="single"/>
        </w:rPr>
        <w:t>-</w:t>
      </w:r>
      <w:r>
        <w:rPr>
          <w:rFonts w:hint="eastAsia"/>
          <w:b/>
          <w:u w:val="single"/>
        </w:rPr>
        <w:t>催化燃烧</w:t>
      </w:r>
      <w:r>
        <w:rPr>
          <w:b/>
          <w:u w:val="single"/>
        </w:rPr>
        <w:t>装置</w:t>
      </w:r>
      <w:r>
        <w:rPr>
          <w:rFonts w:hint="eastAsia"/>
          <w:b/>
          <w:u w:val="single"/>
        </w:rPr>
        <w:t>风量为</w:t>
      </w:r>
      <w:r>
        <w:rPr>
          <w:rFonts w:hint="eastAsia"/>
          <w:b/>
          <w:u w:val="single"/>
        </w:rPr>
        <w:t>3</w:t>
      </w:r>
      <w:r>
        <w:rPr>
          <w:rFonts w:hint="eastAsia"/>
          <w:b/>
          <w:u w:val="single"/>
        </w:rPr>
        <w:t>万</w:t>
      </w:r>
      <w:r>
        <w:rPr>
          <w:rFonts w:hint="eastAsia"/>
          <w:b/>
          <w:u w:val="single"/>
        </w:rPr>
        <w:t>m</w:t>
      </w:r>
      <w:r>
        <w:rPr>
          <w:rFonts w:hint="eastAsia"/>
          <w:b/>
          <w:u w:val="single"/>
          <w:vertAlign w:val="superscript"/>
        </w:rPr>
        <w:t>3</w:t>
      </w:r>
      <w:r>
        <w:rPr>
          <w:rFonts w:hint="eastAsia"/>
          <w:b/>
          <w:u w:val="single"/>
        </w:rPr>
        <w:t>/h</w:t>
      </w:r>
      <w:r>
        <w:rPr>
          <w:rFonts w:hint="eastAsia"/>
          <w:b/>
          <w:u w:val="single"/>
        </w:rPr>
        <w:t>，结合吸附剂截面积，计算得出风速为</w:t>
      </w:r>
      <w:r>
        <w:rPr>
          <w:rFonts w:hint="eastAsia"/>
          <w:b/>
          <w:u w:val="single"/>
        </w:rPr>
        <w:t>0.53m/s</w:t>
      </w:r>
      <w:r>
        <w:rPr>
          <w:rFonts w:hint="eastAsia"/>
          <w:b/>
          <w:u w:val="single"/>
        </w:rPr>
        <w:t>，满足“气体流速宜低于</w:t>
      </w:r>
      <w:r>
        <w:rPr>
          <w:rFonts w:hint="eastAsia"/>
          <w:b/>
          <w:u w:val="single"/>
        </w:rPr>
        <w:t>1.2m/s</w:t>
      </w:r>
      <w:r>
        <w:rPr>
          <w:rFonts w:hint="eastAsia"/>
          <w:b/>
          <w:u w:val="single"/>
        </w:rPr>
        <w:t>”的要求。</w:t>
      </w:r>
    </w:p>
    <w:p w:rsidR="00EE56C0" w:rsidRDefault="000F36A1">
      <w:pPr>
        <w:pStyle w:val="aff4"/>
        <w:ind w:firstLine="482"/>
        <w:rPr>
          <w:b/>
          <w:u w:val="single"/>
        </w:rPr>
      </w:pPr>
      <w:r>
        <w:rPr>
          <w:rFonts w:hint="eastAsia"/>
          <w:b/>
          <w:u w:val="single"/>
        </w:rPr>
        <w:t>本项目依托现有废气治理措施，即活性炭</w:t>
      </w:r>
      <w:r>
        <w:rPr>
          <w:rFonts w:hint="eastAsia"/>
          <w:b/>
          <w:u w:val="single"/>
        </w:rPr>
        <w:t>-</w:t>
      </w:r>
      <w:r>
        <w:rPr>
          <w:b/>
          <w:u w:val="single"/>
        </w:rPr>
        <w:t>吸附</w:t>
      </w:r>
      <w:r>
        <w:rPr>
          <w:rFonts w:hint="eastAsia"/>
          <w:b/>
          <w:u w:val="single"/>
        </w:rPr>
        <w:t>-</w:t>
      </w:r>
      <w:r>
        <w:rPr>
          <w:rFonts w:hint="eastAsia"/>
          <w:b/>
          <w:u w:val="single"/>
        </w:rPr>
        <w:t>脱附</w:t>
      </w:r>
      <w:r>
        <w:rPr>
          <w:b/>
          <w:u w:val="single"/>
        </w:rPr>
        <w:t>-</w:t>
      </w:r>
      <w:r>
        <w:rPr>
          <w:b/>
          <w:u w:val="single"/>
        </w:rPr>
        <w:t>催化燃烧装置</w:t>
      </w:r>
      <w:r>
        <w:rPr>
          <w:rFonts w:hint="eastAsia"/>
          <w:b/>
          <w:u w:val="single"/>
        </w:rPr>
        <w:t>和沸石固定床吸附</w:t>
      </w:r>
      <w:r>
        <w:rPr>
          <w:rFonts w:hint="eastAsia"/>
          <w:b/>
          <w:u w:val="single"/>
        </w:rPr>
        <w:t>-</w:t>
      </w:r>
      <w:r>
        <w:rPr>
          <w:rFonts w:hint="eastAsia"/>
          <w:b/>
          <w:u w:val="single"/>
        </w:rPr>
        <w:t>脱附</w:t>
      </w:r>
      <w:r>
        <w:rPr>
          <w:rFonts w:hint="eastAsia"/>
          <w:b/>
          <w:u w:val="single"/>
        </w:rPr>
        <w:t>-</w:t>
      </w:r>
      <w:r>
        <w:rPr>
          <w:rFonts w:hint="eastAsia"/>
          <w:b/>
          <w:u w:val="single"/>
        </w:rPr>
        <w:t>催化燃烧</w:t>
      </w:r>
      <w:r>
        <w:rPr>
          <w:b/>
          <w:u w:val="single"/>
        </w:rPr>
        <w:t>装置</w:t>
      </w:r>
      <w:r>
        <w:rPr>
          <w:rFonts w:hint="eastAsia"/>
          <w:b/>
          <w:u w:val="single"/>
        </w:rPr>
        <w:t>。本项目进活性炭</w:t>
      </w:r>
      <w:r>
        <w:rPr>
          <w:rFonts w:hint="eastAsia"/>
          <w:b/>
          <w:u w:val="single"/>
        </w:rPr>
        <w:t>-</w:t>
      </w:r>
      <w:r>
        <w:rPr>
          <w:b/>
          <w:u w:val="single"/>
        </w:rPr>
        <w:t>吸附</w:t>
      </w:r>
      <w:r>
        <w:rPr>
          <w:rFonts w:hint="eastAsia"/>
          <w:b/>
          <w:u w:val="single"/>
        </w:rPr>
        <w:t>-</w:t>
      </w:r>
      <w:r>
        <w:rPr>
          <w:rFonts w:hint="eastAsia"/>
          <w:b/>
          <w:u w:val="single"/>
        </w:rPr>
        <w:t>脱附</w:t>
      </w:r>
      <w:r>
        <w:rPr>
          <w:b/>
          <w:u w:val="single"/>
        </w:rPr>
        <w:t>-</w:t>
      </w:r>
      <w:r>
        <w:rPr>
          <w:b/>
          <w:u w:val="single"/>
        </w:rPr>
        <w:t>催化燃烧装置</w:t>
      </w:r>
      <w:r>
        <w:rPr>
          <w:rFonts w:hint="eastAsia"/>
          <w:b/>
          <w:u w:val="single"/>
        </w:rPr>
        <w:t>的废气量为</w:t>
      </w:r>
      <w:r>
        <w:rPr>
          <w:rFonts w:hint="eastAsia"/>
          <w:b/>
          <w:u w:val="single"/>
        </w:rPr>
        <w:t>34250m</w:t>
      </w:r>
      <w:r>
        <w:rPr>
          <w:rFonts w:hint="eastAsia"/>
          <w:b/>
          <w:u w:val="single"/>
          <w:vertAlign w:val="superscript"/>
        </w:rPr>
        <w:t>3</w:t>
      </w:r>
      <w:r>
        <w:rPr>
          <w:rFonts w:hint="eastAsia"/>
          <w:b/>
          <w:u w:val="single"/>
        </w:rPr>
        <w:t>/h</w:t>
      </w:r>
      <w:r>
        <w:rPr>
          <w:rFonts w:hint="eastAsia"/>
          <w:b/>
          <w:u w:val="single"/>
        </w:rPr>
        <w:t>，则活性炭</w:t>
      </w:r>
      <w:r>
        <w:rPr>
          <w:rFonts w:hint="eastAsia"/>
          <w:b/>
          <w:u w:val="single"/>
        </w:rPr>
        <w:t>-</w:t>
      </w:r>
      <w:r>
        <w:rPr>
          <w:b/>
          <w:u w:val="single"/>
        </w:rPr>
        <w:t>吸附</w:t>
      </w:r>
      <w:r>
        <w:rPr>
          <w:rFonts w:hint="eastAsia"/>
          <w:b/>
          <w:u w:val="single"/>
        </w:rPr>
        <w:t>-</w:t>
      </w:r>
      <w:r>
        <w:rPr>
          <w:rFonts w:hint="eastAsia"/>
          <w:b/>
          <w:u w:val="single"/>
        </w:rPr>
        <w:t>脱附</w:t>
      </w:r>
      <w:r>
        <w:rPr>
          <w:b/>
          <w:u w:val="single"/>
        </w:rPr>
        <w:t>-</w:t>
      </w:r>
      <w:r>
        <w:rPr>
          <w:b/>
          <w:u w:val="single"/>
        </w:rPr>
        <w:t>催化燃烧装置</w:t>
      </w:r>
      <w:r>
        <w:rPr>
          <w:rFonts w:hint="eastAsia"/>
          <w:b/>
          <w:u w:val="single"/>
        </w:rPr>
        <w:t>总废气量为</w:t>
      </w:r>
      <w:r>
        <w:rPr>
          <w:rFonts w:hint="eastAsia"/>
          <w:b/>
          <w:u w:val="single"/>
        </w:rPr>
        <w:t>54250m</w:t>
      </w:r>
      <w:r>
        <w:rPr>
          <w:rFonts w:hint="eastAsia"/>
          <w:b/>
          <w:u w:val="single"/>
          <w:vertAlign w:val="superscript"/>
        </w:rPr>
        <w:t>3</w:t>
      </w:r>
      <w:r>
        <w:rPr>
          <w:rFonts w:hint="eastAsia"/>
          <w:b/>
          <w:u w:val="single"/>
        </w:rPr>
        <w:t>/h</w:t>
      </w:r>
      <w:r>
        <w:rPr>
          <w:rFonts w:hint="eastAsia"/>
          <w:b/>
          <w:u w:val="single"/>
        </w:rPr>
        <w:t>，结合吸附剂截面积，计算得出风速为</w:t>
      </w:r>
      <w:r>
        <w:rPr>
          <w:rFonts w:hint="eastAsia"/>
          <w:b/>
          <w:u w:val="single"/>
        </w:rPr>
        <w:t>0.53m/s</w:t>
      </w:r>
      <w:r>
        <w:rPr>
          <w:rFonts w:hint="eastAsia"/>
          <w:b/>
          <w:u w:val="single"/>
        </w:rPr>
        <w:t>，满足“气体流速宜低于</w:t>
      </w:r>
      <w:r>
        <w:rPr>
          <w:rFonts w:hint="eastAsia"/>
          <w:b/>
          <w:u w:val="single"/>
        </w:rPr>
        <w:t>0.6m/s</w:t>
      </w:r>
      <w:r>
        <w:rPr>
          <w:rFonts w:hint="eastAsia"/>
          <w:b/>
          <w:u w:val="single"/>
        </w:rPr>
        <w:t>”的要求。本项目进沸石固定床吸附</w:t>
      </w:r>
      <w:r>
        <w:rPr>
          <w:rFonts w:hint="eastAsia"/>
          <w:b/>
          <w:u w:val="single"/>
        </w:rPr>
        <w:t>-</w:t>
      </w:r>
      <w:r>
        <w:rPr>
          <w:rFonts w:hint="eastAsia"/>
          <w:b/>
          <w:u w:val="single"/>
        </w:rPr>
        <w:t>脱附</w:t>
      </w:r>
      <w:r>
        <w:rPr>
          <w:rFonts w:hint="eastAsia"/>
          <w:b/>
          <w:u w:val="single"/>
        </w:rPr>
        <w:t>-</w:t>
      </w:r>
      <w:r>
        <w:rPr>
          <w:rFonts w:hint="eastAsia"/>
          <w:b/>
          <w:u w:val="single"/>
        </w:rPr>
        <w:t>催化燃烧</w:t>
      </w:r>
      <w:r>
        <w:rPr>
          <w:b/>
          <w:u w:val="single"/>
        </w:rPr>
        <w:t>装置</w:t>
      </w:r>
      <w:r>
        <w:rPr>
          <w:rFonts w:hint="eastAsia"/>
          <w:b/>
          <w:u w:val="single"/>
        </w:rPr>
        <w:t>的废气量为</w:t>
      </w:r>
      <w:r>
        <w:rPr>
          <w:rFonts w:hint="eastAsia"/>
          <w:b/>
          <w:u w:val="single"/>
        </w:rPr>
        <w:t>17850m</w:t>
      </w:r>
      <w:r>
        <w:rPr>
          <w:rFonts w:hint="eastAsia"/>
          <w:b/>
          <w:u w:val="single"/>
          <w:vertAlign w:val="superscript"/>
        </w:rPr>
        <w:t>3</w:t>
      </w:r>
      <w:r>
        <w:rPr>
          <w:rFonts w:hint="eastAsia"/>
          <w:b/>
          <w:u w:val="single"/>
        </w:rPr>
        <w:t>/h</w:t>
      </w:r>
      <w:r>
        <w:rPr>
          <w:rFonts w:hint="eastAsia"/>
          <w:b/>
          <w:u w:val="single"/>
        </w:rPr>
        <w:t>，则沸石固定床吸附</w:t>
      </w:r>
      <w:r>
        <w:rPr>
          <w:rFonts w:hint="eastAsia"/>
          <w:b/>
          <w:u w:val="single"/>
        </w:rPr>
        <w:t>-</w:t>
      </w:r>
      <w:r>
        <w:rPr>
          <w:rFonts w:hint="eastAsia"/>
          <w:b/>
          <w:u w:val="single"/>
        </w:rPr>
        <w:t>脱附</w:t>
      </w:r>
      <w:r>
        <w:rPr>
          <w:rFonts w:hint="eastAsia"/>
          <w:b/>
          <w:u w:val="single"/>
        </w:rPr>
        <w:t>-</w:t>
      </w:r>
      <w:r>
        <w:rPr>
          <w:rFonts w:hint="eastAsia"/>
          <w:b/>
          <w:u w:val="single"/>
        </w:rPr>
        <w:t>催化燃烧</w:t>
      </w:r>
      <w:r>
        <w:rPr>
          <w:b/>
          <w:u w:val="single"/>
        </w:rPr>
        <w:t>装置</w:t>
      </w:r>
      <w:r>
        <w:rPr>
          <w:rFonts w:hint="eastAsia"/>
          <w:b/>
          <w:u w:val="single"/>
        </w:rPr>
        <w:t>总废气量为</w:t>
      </w:r>
      <w:r>
        <w:rPr>
          <w:rFonts w:hint="eastAsia"/>
          <w:b/>
          <w:u w:val="single"/>
        </w:rPr>
        <w:t>47850m</w:t>
      </w:r>
      <w:r>
        <w:rPr>
          <w:rFonts w:hint="eastAsia"/>
          <w:b/>
          <w:u w:val="single"/>
          <w:vertAlign w:val="superscript"/>
        </w:rPr>
        <w:t>3</w:t>
      </w:r>
      <w:r>
        <w:rPr>
          <w:rFonts w:hint="eastAsia"/>
          <w:b/>
          <w:u w:val="single"/>
        </w:rPr>
        <w:t>/h</w:t>
      </w:r>
      <w:r>
        <w:rPr>
          <w:rFonts w:hint="eastAsia"/>
          <w:b/>
          <w:u w:val="single"/>
        </w:rPr>
        <w:t>，结合吸附剂截面积，计算得出风速为</w:t>
      </w:r>
      <w:r>
        <w:rPr>
          <w:rFonts w:hint="eastAsia"/>
          <w:b/>
          <w:u w:val="single"/>
        </w:rPr>
        <w:t>0.83m/s</w:t>
      </w:r>
      <w:r>
        <w:rPr>
          <w:rFonts w:hint="eastAsia"/>
          <w:b/>
          <w:u w:val="single"/>
        </w:rPr>
        <w:t>，满足“气体流速宜低于</w:t>
      </w:r>
      <w:r>
        <w:rPr>
          <w:rFonts w:hint="eastAsia"/>
          <w:b/>
          <w:u w:val="single"/>
        </w:rPr>
        <w:t>1.2m/s</w:t>
      </w:r>
      <w:r>
        <w:rPr>
          <w:rFonts w:hint="eastAsia"/>
          <w:b/>
          <w:u w:val="single"/>
        </w:rPr>
        <w:t>”的要求。</w:t>
      </w:r>
    </w:p>
    <w:p w:rsidR="00EE56C0" w:rsidRDefault="000F36A1">
      <w:pPr>
        <w:pStyle w:val="aff4"/>
        <w:ind w:firstLine="482"/>
        <w:rPr>
          <w:b/>
          <w:u w:val="single"/>
        </w:rPr>
      </w:pPr>
      <w:r>
        <w:rPr>
          <w:rFonts w:hint="eastAsia"/>
          <w:b/>
          <w:u w:val="single"/>
        </w:rPr>
        <w:t>经调查，企业设定的脱附浓度值为</w:t>
      </w:r>
      <w:r>
        <w:rPr>
          <w:rFonts w:hint="eastAsia"/>
          <w:b/>
          <w:u w:val="single"/>
        </w:rPr>
        <w:t>20~30mg/m</w:t>
      </w:r>
      <w:r>
        <w:rPr>
          <w:rFonts w:hint="eastAsia"/>
          <w:b/>
          <w:u w:val="single"/>
          <w:vertAlign w:val="superscript"/>
        </w:rPr>
        <w:t>3</w:t>
      </w:r>
      <w:r>
        <w:rPr>
          <w:rFonts w:hint="eastAsia"/>
          <w:b/>
          <w:u w:val="single"/>
        </w:rPr>
        <w:t>，现有活性炭</w:t>
      </w:r>
      <w:r>
        <w:rPr>
          <w:rFonts w:hint="eastAsia"/>
          <w:b/>
          <w:u w:val="single"/>
        </w:rPr>
        <w:t>-</w:t>
      </w:r>
      <w:r>
        <w:rPr>
          <w:b/>
          <w:u w:val="single"/>
        </w:rPr>
        <w:t>吸附</w:t>
      </w:r>
      <w:r>
        <w:rPr>
          <w:rFonts w:hint="eastAsia"/>
          <w:b/>
          <w:u w:val="single"/>
        </w:rPr>
        <w:t>-</w:t>
      </w:r>
      <w:r>
        <w:rPr>
          <w:rFonts w:hint="eastAsia"/>
          <w:b/>
          <w:u w:val="single"/>
        </w:rPr>
        <w:t>脱附</w:t>
      </w:r>
      <w:r>
        <w:rPr>
          <w:b/>
          <w:u w:val="single"/>
        </w:rPr>
        <w:t>-</w:t>
      </w:r>
      <w:r>
        <w:rPr>
          <w:b/>
          <w:u w:val="single"/>
        </w:rPr>
        <w:t>催化燃烧装置</w:t>
      </w:r>
      <w:r>
        <w:rPr>
          <w:rFonts w:hint="eastAsia"/>
          <w:b/>
          <w:u w:val="single"/>
        </w:rPr>
        <w:t>和沸石固定床吸附</w:t>
      </w:r>
      <w:r>
        <w:rPr>
          <w:rFonts w:hint="eastAsia"/>
          <w:b/>
          <w:u w:val="single"/>
        </w:rPr>
        <w:t>-</w:t>
      </w:r>
      <w:r>
        <w:rPr>
          <w:rFonts w:hint="eastAsia"/>
          <w:b/>
          <w:u w:val="single"/>
        </w:rPr>
        <w:t>脱附</w:t>
      </w:r>
      <w:r>
        <w:rPr>
          <w:rFonts w:hint="eastAsia"/>
          <w:b/>
          <w:u w:val="single"/>
        </w:rPr>
        <w:t>-</w:t>
      </w:r>
      <w:r>
        <w:rPr>
          <w:rFonts w:hint="eastAsia"/>
          <w:b/>
          <w:u w:val="single"/>
        </w:rPr>
        <w:t>催化燃烧</w:t>
      </w:r>
      <w:r>
        <w:rPr>
          <w:b/>
          <w:u w:val="single"/>
        </w:rPr>
        <w:t>装置</w:t>
      </w:r>
      <w:r>
        <w:rPr>
          <w:rFonts w:hint="eastAsia"/>
          <w:b/>
          <w:u w:val="single"/>
        </w:rPr>
        <w:t>脱附周期为</w:t>
      </w:r>
      <w:r>
        <w:rPr>
          <w:rFonts w:hint="eastAsia"/>
          <w:b/>
          <w:u w:val="single"/>
        </w:rPr>
        <w:t>7</w:t>
      </w:r>
      <w:r>
        <w:rPr>
          <w:rFonts w:hint="eastAsia"/>
          <w:b/>
          <w:u w:val="single"/>
        </w:rPr>
        <w:t>天。本项目废气引入现有废气措施后，根据设定的脱附浓度值进行脱附，脱附周期会适当缩短。</w:t>
      </w:r>
    </w:p>
    <w:p w:rsidR="00EE56C0" w:rsidRDefault="000F36A1">
      <w:pPr>
        <w:pStyle w:val="aff4"/>
        <w:ind w:firstLine="482"/>
        <w:rPr>
          <w:b/>
        </w:rPr>
      </w:pPr>
      <w:r>
        <w:rPr>
          <w:rFonts w:hint="eastAsia"/>
          <w:b/>
        </w:rPr>
        <w:lastRenderedPageBreak/>
        <w:t>2</w:t>
      </w:r>
      <w:r>
        <w:rPr>
          <w:rFonts w:hint="eastAsia"/>
          <w:b/>
        </w:rPr>
        <w:t>、废气处理规模</w:t>
      </w:r>
    </w:p>
    <w:p w:rsidR="00EE56C0" w:rsidRDefault="000F36A1">
      <w:pPr>
        <w:ind w:firstLine="480"/>
      </w:pPr>
      <w:r>
        <w:rPr>
          <w:rFonts w:hint="eastAsia"/>
        </w:rPr>
        <w:t>根据日常在线监测数据，废气治理设施现有工程的风量在</w:t>
      </w:r>
      <w:r>
        <w:rPr>
          <w:rFonts w:hint="eastAsia"/>
        </w:rPr>
        <w:t>50000m</w:t>
      </w:r>
      <w:r>
        <w:rPr>
          <w:rFonts w:hint="eastAsia"/>
          <w:vertAlign w:val="superscript"/>
        </w:rPr>
        <w:t>3</w:t>
      </w:r>
      <w:r>
        <w:rPr>
          <w:rFonts w:hint="eastAsia"/>
        </w:rPr>
        <w:t>/h</w:t>
      </w:r>
      <w:r>
        <w:rPr>
          <w:rFonts w:hint="eastAsia"/>
        </w:rPr>
        <w:t>左右。废气措施处理规模见下表。</w:t>
      </w:r>
    </w:p>
    <w:p w:rsidR="00EE56C0" w:rsidRDefault="000F36A1">
      <w:pPr>
        <w:pStyle w:val="afd"/>
        <w:spacing w:before="120" w:after="120"/>
        <w:ind w:firstLine="482"/>
      </w:pPr>
      <w:r>
        <w:rPr>
          <w:rFonts w:hint="eastAsia"/>
        </w:rPr>
        <w:t>表</w:t>
      </w:r>
      <w:r w:rsidR="005767FB">
        <w:rPr>
          <w:rFonts w:hint="eastAsia"/>
        </w:rPr>
        <w:t>6-3</w:t>
      </w:r>
      <w:r>
        <w:rPr>
          <w:rFonts w:hint="eastAsia"/>
        </w:rPr>
        <w:t xml:space="preserve">          </w:t>
      </w:r>
      <w:r>
        <w:rPr>
          <w:rFonts w:hint="eastAsia"/>
        </w:rPr>
        <w:t>废气装置处理规模一览表</w:t>
      </w:r>
      <w:r>
        <w:rPr>
          <w:rFonts w:hint="eastAsia"/>
        </w:rPr>
        <w:t xml:space="preserve">        </w:t>
      </w:r>
      <w:r>
        <w:rPr>
          <w:rFonts w:hint="eastAsia"/>
        </w:rPr>
        <w:t>单位：</w:t>
      </w:r>
      <w:r>
        <w:rPr>
          <w:rFonts w:hint="eastAsia"/>
        </w:rPr>
        <w:t>m</w:t>
      </w:r>
      <w:r>
        <w:rPr>
          <w:rFonts w:hint="eastAsia"/>
          <w:vertAlign w:val="superscript"/>
        </w:rPr>
        <w:t>3</w:t>
      </w:r>
      <w:r>
        <w:rPr>
          <w:rFonts w:hint="eastAsia"/>
        </w:rPr>
        <w:t>/h</w:t>
      </w:r>
    </w:p>
    <w:tbl>
      <w:tblPr>
        <w:tblStyle w:val="af4"/>
        <w:tblW w:w="5000" w:type="pct"/>
        <w:tblLook w:val="04A0"/>
      </w:tblPr>
      <w:tblGrid>
        <w:gridCol w:w="2843"/>
        <w:gridCol w:w="2842"/>
        <w:gridCol w:w="2844"/>
      </w:tblGrid>
      <w:tr w:rsidR="00EE56C0">
        <w:trPr>
          <w:trHeight w:val="454"/>
        </w:trPr>
        <w:tc>
          <w:tcPr>
            <w:tcW w:w="1667" w:type="pct"/>
            <w:vAlign w:val="center"/>
          </w:tcPr>
          <w:p w:rsidR="00EE56C0" w:rsidRDefault="000F36A1">
            <w:pPr>
              <w:pStyle w:val="afa"/>
              <w:rPr>
                <w:b/>
              </w:rPr>
            </w:pPr>
            <w:r>
              <w:rPr>
                <w:rFonts w:hint="eastAsia"/>
                <w:b/>
              </w:rPr>
              <w:t>名称</w:t>
            </w:r>
          </w:p>
        </w:tc>
        <w:tc>
          <w:tcPr>
            <w:tcW w:w="1666" w:type="pct"/>
            <w:vAlign w:val="center"/>
          </w:tcPr>
          <w:p w:rsidR="00EE56C0" w:rsidRDefault="000F36A1">
            <w:pPr>
              <w:pStyle w:val="afa"/>
              <w:rPr>
                <w:b/>
              </w:rPr>
            </w:pPr>
            <w:r>
              <w:rPr>
                <w:rFonts w:hint="eastAsia"/>
                <w:b/>
              </w:rPr>
              <w:t>活性炭装置</w:t>
            </w:r>
            <w:r>
              <w:rPr>
                <w:rFonts w:hint="eastAsia"/>
                <w:b/>
              </w:rPr>
              <w:t>T</w:t>
            </w:r>
          </w:p>
        </w:tc>
        <w:tc>
          <w:tcPr>
            <w:tcW w:w="1667" w:type="pct"/>
            <w:vAlign w:val="center"/>
          </w:tcPr>
          <w:p w:rsidR="00EE56C0" w:rsidRDefault="000F36A1">
            <w:pPr>
              <w:pStyle w:val="afa"/>
              <w:rPr>
                <w:b/>
              </w:rPr>
            </w:pPr>
            <w:r>
              <w:rPr>
                <w:rFonts w:hint="eastAsia"/>
                <w:b/>
              </w:rPr>
              <w:t>沸石装置</w:t>
            </w:r>
            <w:r>
              <w:rPr>
                <w:rFonts w:hint="eastAsia"/>
                <w:b/>
              </w:rPr>
              <w:t>F</w:t>
            </w:r>
          </w:p>
        </w:tc>
      </w:tr>
      <w:tr w:rsidR="00EE56C0">
        <w:trPr>
          <w:trHeight w:val="454"/>
        </w:trPr>
        <w:tc>
          <w:tcPr>
            <w:tcW w:w="1667" w:type="pct"/>
            <w:vAlign w:val="center"/>
          </w:tcPr>
          <w:p w:rsidR="00EE56C0" w:rsidRDefault="000F36A1">
            <w:pPr>
              <w:pStyle w:val="afa"/>
            </w:pPr>
            <w:r>
              <w:rPr>
                <w:rFonts w:hint="eastAsia"/>
              </w:rPr>
              <w:t>设计风量</w:t>
            </w:r>
          </w:p>
        </w:tc>
        <w:tc>
          <w:tcPr>
            <w:tcW w:w="1666" w:type="pct"/>
            <w:vAlign w:val="center"/>
          </w:tcPr>
          <w:p w:rsidR="00EE56C0" w:rsidRDefault="000F36A1">
            <w:pPr>
              <w:pStyle w:val="afa"/>
            </w:pPr>
            <w:r>
              <w:rPr>
                <w:rFonts w:hint="eastAsia"/>
              </w:rPr>
              <w:t>6</w:t>
            </w:r>
            <w:r>
              <w:rPr>
                <w:rFonts w:hint="eastAsia"/>
              </w:rPr>
              <w:t>万</w:t>
            </w:r>
          </w:p>
        </w:tc>
        <w:tc>
          <w:tcPr>
            <w:tcW w:w="1667" w:type="pct"/>
            <w:vAlign w:val="center"/>
          </w:tcPr>
          <w:p w:rsidR="00EE56C0" w:rsidRDefault="000F36A1">
            <w:pPr>
              <w:pStyle w:val="afa"/>
            </w:pPr>
            <w:r>
              <w:rPr>
                <w:rFonts w:hint="eastAsia"/>
              </w:rPr>
              <w:t>10</w:t>
            </w:r>
            <w:r>
              <w:rPr>
                <w:rFonts w:hint="eastAsia"/>
              </w:rPr>
              <w:t>万</w:t>
            </w:r>
          </w:p>
        </w:tc>
      </w:tr>
      <w:tr w:rsidR="00EE56C0">
        <w:trPr>
          <w:trHeight w:val="454"/>
        </w:trPr>
        <w:tc>
          <w:tcPr>
            <w:tcW w:w="1667" w:type="pct"/>
            <w:vAlign w:val="center"/>
          </w:tcPr>
          <w:p w:rsidR="00EE56C0" w:rsidRDefault="000F36A1">
            <w:pPr>
              <w:pStyle w:val="afa"/>
            </w:pPr>
            <w:r>
              <w:rPr>
                <w:rFonts w:hint="eastAsia"/>
              </w:rPr>
              <w:t>现有风量</w:t>
            </w:r>
          </w:p>
        </w:tc>
        <w:tc>
          <w:tcPr>
            <w:tcW w:w="1666" w:type="pct"/>
            <w:vAlign w:val="center"/>
          </w:tcPr>
          <w:p w:rsidR="00EE56C0" w:rsidRDefault="000F36A1">
            <w:pPr>
              <w:pStyle w:val="afa"/>
            </w:pPr>
            <w:r>
              <w:rPr>
                <w:rFonts w:hint="eastAsia"/>
              </w:rPr>
              <w:t>2</w:t>
            </w:r>
            <w:r>
              <w:rPr>
                <w:rFonts w:hint="eastAsia"/>
              </w:rPr>
              <w:t>万</w:t>
            </w:r>
          </w:p>
        </w:tc>
        <w:tc>
          <w:tcPr>
            <w:tcW w:w="1667" w:type="pct"/>
            <w:vAlign w:val="center"/>
          </w:tcPr>
          <w:p w:rsidR="00EE56C0" w:rsidRDefault="000F36A1">
            <w:pPr>
              <w:pStyle w:val="afa"/>
            </w:pPr>
            <w:r>
              <w:rPr>
                <w:rFonts w:hint="eastAsia"/>
              </w:rPr>
              <w:t>3</w:t>
            </w:r>
            <w:r>
              <w:rPr>
                <w:rFonts w:hint="eastAsia"/>
              </w:rPr>
              <w:t>万</w:t>
            </w:r>
          </w:p>
        </w:tc>
      </w:tr>
      <w:tr w:rsidR="00EE56C0">
        <w:trPr>
          <w:trHeight w:val="454"/>
        </w:trPr>
        <w:tc>
          <w:tcPr>
            <w:tcW w:w="1667" w:type="pct"/>
            <w:vAlign w:val="center"/>
          </w:tcPr>
          <w:p w:rsidR="00EE56C0" w:rsidRDefault="000F36A1">
            <w:pPr>
              <w:pStyle w:val="afa"/>
            </w:pPr>
            <w:r>
              <w:rPr>
                <w:rFonts w:hint="eastAsia"/>
              </w:rPr>
              <w:t>余量</w:t>
            </w:r>
          </w:p>
        </w:tc>
        <w:tc>
          <w:tcPr>
            <w:tcW w:w="1666" w:type="pct"/>
            <w:vAlign w:val="center"/>
          </w:tcPr>
          <w:p w:rsidR="00EE56C0" w:rsidRDefault="000F36A1">
            <w:pPr>
              <w:pStyle w:val="afa"/>
            </w:pPr>
            <w:r>
              <w:rPr>
                <w:rFonts w:hint="eastAsia"/>
              </w:rPr>
              <w:t>4</w:t>
            </w:r>
            <w:r>
              <w:rPr>
                <w:rFonts w:hint="eastAsia"/>
              </w:rPr>
              <w:t>万</w:t>
            </w:r>
          </w:p>
        </w:tc>
        <w:tc>
          <w:tcPr>
            <w:tcW w:w="1667" w:type="pct"/>
            <w:vAlign w:val="center"/>
          </w:tcPr>
          <w:p w:rsidR="00EE56C0" w:rsidRDefault="000F36A1">
            <w:pPr>
              <w:pStyle w:val="afa"/>
            </w:pPr>
            <w:r>
              <w:rPr>
                <w:rFonts w:hint="eastAsia"/>
              </w:rPr>
              <w:t>7</w:t>
            </w:r>
            <w:r>
              <w:rPr>
                <w:rFonts w:hint="eastAsia"/>
              </w:rPr>
              <w:t>万</w:t>
            </w:r>
          </w:p>
        </w:tc>
      </w:tr>
    </w:tbl>
    <w:p w:rsidR="00EE56C0" w:rsidRDefault="000F36A1">
      <w:pPr>
        <w:ind w:firstLine="480"/>
      </w:pPr>
      <w:r>
        <w:rPr>
          <w:rFonts w:hint="eastAsia"/>
        </w:rPr>
        <w:t>一期、二期废气处理所需风量见下表。</w:t>
      </w:r>
    </w:p>
    <w:p w:rsidR="00EE56C0" w:rsidRDefault="000F36A1">
      <w:pPr>
        <w:pStyle w:val="afd"/>
        <w:spacing w:before="120" w:after="120"/>
        <w:ind w:firstLine="482"/>
      </w:pPr>
      <w:r>
        <w:rPr>
          <w:rFonts w:hint="eastAsia"/>
        </w:rPr>
        <w:t>表</w:t>
      </w:r>
      <w:r w:rsidR="005767FB">
        <w:rPr>
          <w:rFonts w:hint="eastAsia"/>
        </w:rPr>
        <w:t>6-4</w:t>
      </w:r>
      <w:r>
        <w:rPr>
          <w:rFonts w:hint="eastAsia"/>
        </w:rPr>
        <w:t xml:space="preserve">      </w:t>
      </w:r>
      <w:r>
        <w:rPr>
          <w:rFonts w:hint="eastAsia"/>
        </w:rPr>
        <w:t>一期、二期废气处理所需风量一览表</w:t>
      </w:r>
      <w:r>
        <w:rPr>
          <w:rFonts w:hint="eastAsia"/>
        </w:rPr>
        <w:t xml:space="preserve">      </w:t>
      </w:r>
      <w:r>
        <w:rPr>
          <w:rFonts w:hint="eastAsia"/>
        </w:rPr>
        <w:t>单位：</w:t>
      </w:r>
      <w:r>
        <w:rPr>
          <w:rFonts w:hint="eastAsia"/>
        </w:rPr>
        <w:t>m</w:t>
      </w:r>
      <w:r>
        <w:rPr>
          <w:rFonts w:hint="eastAsia"/>
          <w:vertAlign w:val="superscript"/>
        </w:rPr>
        <w:t>3</w:t>
      </w:r>
      <w:r>
        <w:rPr>
          <w:rFonts w:hint="eastAsia"/>
        </w:rPr>
        <w:t>/h</w:t>
      </w:r>
    </w:p>
    <w:tbl>
      <w:tblPr>
        <w:tblStyle w:val="af4"/>
        <w:tblW w:w="5000" w:type="pct"/>
        <w:tblLook w:val="04A0"/>
      </w:tblPr>
      <w:tblGrid>
        <w:gridCol w:w="2843"/>
        <w:gridCol w:w="2842"/>
        <w:gridCol w:w="2844"/>
      </w:tblGrid>
      <w:tr w:rsidR="00EE56C0">
        <w:trPr>
          <w:trHeight w:val="454"/>
        </w:trPr>
        <w:tc>
          <w:tcPr>
            <w:tcW w:w="1667" w:type="pct"/>
            <w:vAlign w:val="center"/>
          </w:tcPr>
          <w:p w:rsidR="00EE56C0" w:rsidRDefault="000F36A1">
            <w:pPr>
              <w:pStyle w:val="afa"/>
              <w:rPr>
                <w:b/>
              </w:rPr>
            </w:pPr>
            <w:r>
              <w:rPr>
                <w:rFonts w:hint="eastAsia"/>
                <w:b/>
              </w:rPr>
              <w:t>名称</w:t>
            </w:r>
          </w:p>
        </w:tc>
        <w:tc>
          <w:tcPr>
            <w:tcW w:w="1666" w:type="pct"/>
            <w:vAlign w:val="center"/>
          </w:tcPr>
          <w:p w:rsidR="00EE56C0" w:rsidRDefault="000F36A1">
            <w:pPr>
              <w:pStyle w:val="afa"/>
              <w:rPr>
                <w:b/>
              </w:rPr>
            </w:pPr>
            <w:r>
              <w:rPr>
                <w:rFonts w:hint="eastAsia"/>
                <w:b/>
              </w:rPr>
              <w:t>活性炭装置</w:t>
            </w:r>
            <w:r>
              <w:rPr>
                <w:rFonts w:hint="eastAsia"/>
                <w:b/>
              </w:rPr>
              <w:t>T</w:t>
            </w:r>
          </w:p>
        </w:tc>
        <w:tc>
          <w:tcPr>
            <w:tcW w:w="1667" w:type="pct"/>
            <w:vAlign w:val="center"/>
          </w:tcPr>
          <w:p w:rsidR="00EE56C0" w:rsidRDefault="000F36A1">
            <w:pPr>
              <w:pStyle w:val="afa"/>
              <w:rPr>
                <w:b/>
              </w:rPr>
            </w:pPr>
            <w:r>
              <w:rPr>
                <w:rFonts w:hint="eastAsia"/>
                <w:b/>
              </w:rPr>
              <w:t>沸石装置</w:t>
            </w:r>
            <w:r>
              <w:rPr>
                <w:rFonts w:hint="eastAsia"/>
                <w:b/>
              </w:rPr>
              <w:t>F</w:t>
            </w:r>
          </w:p>
        </w:tc>
      </w:tr>
      <w:tr w:rsidR="00EE56C0">
        <w:trPr>
          <w:trHeight w:val="454"/>
        </w:trPr>
        <w:tc>
          <w:tcPr>
            <w:tcW w:w="1667" w:type="pct"/>
            <w:vAlign w:val="center"/>
          </w:tcPr>
          <w:p w:rsidR="00EE56C0" w:rsidRDefault="000F36A1">
            <w:pPr>
              <w:pStyle w:val="afa"/>
            </w:pPr>
            <w:r>
              <w:rPr>
                <w:rFonts w:hint="eastAsia"/>
              </w:rPr>
              <w:t>一期</w:t>
            </w:r>
          </w:p>
        </w:tc>
        <w:tc>
          <w:tcPr>
            <w:tcW w:w="1666" w:type="pct"/>
            <w:vAlign w:val="center"/>
          </w:tcPr>
          <w:p w:rsidR="00EE56C0" w:rsidRDefault="000F36A1">
            <w:pPr>
              <w:pStyle w:val="afa"/>
            </w:pPr>
            <w:r>
              <w:rPr>
                <w:rFonts w:hint="eastAsia"/>
              </w:rPr>
              <w:t>18900</w:t>
            </w:r>
          </w:p>
        </w:tc>
        <w:tc>
          <w:tcPr>
            <w:tcW w:w="1667" w:type="pct"/>
            <w:vAlign w:val="center"/>
          </w:tcPr>
          <w:p w:rsidR="00EE56C0" w:rsidRDefault="000F36A1">
            <w:pPr>
              <w:pStyle w:val="afa"/>
            </w:pPr>
            <w:r>
              <w:rPr>
                <w:rFonts w:hint="eastAsia"/>
              </w:rPr>
              <w:t>1950</w:t>
            </w:r>
          </w:p>
        </w:tc>
      </w:tr>
      <w:tr w:rsidR="00EE56C0">
        <w:trPr>
          <w:trHeight w:val="454"/>
        </w:trPr>
        <w:tc>
          <w:tcPr>
            <w:tcW w:w="1667" w:type="pct"/>
            <w:vAlign w:val="center"/>
          </w:tcPr>
          <w:p w:rsidR="00EE56C0" w:rsidRDefault="000F36A1">
            <w:pPr>
              <w:pStyle w:val="afa"/>
            </w:pPr>
            <w:r>
              <w:rPr>
                <w:rFonts w:hint="eastAsia"/>
              </w:rPr>
              <w:t>二期</w:t>
            </w:r>
          </w:p>
        </w:tc>
        <w:tc>
          <w:tcPr>
            <w:tcW w:w="1666" w:type="pct"/>
            <w:vAlign w:val="center"/>
          </w:tcPr>
          <w:p w:rsidR="00EE56C0" w:rsidRDefault="000F36A1">
            <w:pPr>
              <w:pStyle w:val="afa"/>
            </w:pPr>
            <w:r>
              <w:rPr>
                <w:rFonts w:hint="eastAsia"/>
              </w:rPr>
              <w:t>15350</w:t>
            </w:r>
          </w:p>
        </w:tc>
        <w:tc>
          <w:tcPr>
            <w:tcW w:w="1667" w:type="pct"/>
            <w:vAlign w:val="center"/>
          </w:tcPr>
          <w:p w:rsidR="00EE56C0" w:rsidRDefault="000F36A1">
            <w:pPr>
              <w:pStyle w:val="afa"/>
            </w:pPr>
            <w:r>
              <w:rPr>
                <w:rFonts w:hint="eastAsia"/>
              </w:rPr>
              <w:t>15900</w:t>
            </w:r>
          </w:p>
        </w:tc>
      </w:tr>
      <w:tr w:rsidR="00EE56C0">
        <w:trPr>
          <w:trHeight w:val="454"/>
        </w:trPr>
        <w:tc>
          <w:tcPr>
            <w:tcW w:w="1667" w:type="pct"/>
            <w:vAlign w:val="center"/>
          </w:tcPr>
          <w:p w:rsidR="00EE56C0" w:rsidRDefault="000F36A1">
            <w:pPr>
              <w:pStyle w:val="afa"/>
            </w:pPr>
            <w:r>
              <w:rPr>
                <w:rFonts w:hint="eastAsia"/>
              </w:rPr>
              <w:t>合计</w:t>
            </w:r>
          </w:p>
        </w:tc>
        <w:tc>
          <w:tcPr>
            <w:tcW w:w="1666" w:type="pct"/>
            <w:vAlign w:val="center"/>
          </w:tcPr>
          <w:p w:rsidR="00EE56C0" w:rsidRDefault="000F36A1">
            <w:pPr>
              <w:pStyle w:val="afa"/>
              <w:rPr>
                <w:rFonts w:eastAsia="宋体"/>
              </w:rPr>
            </w:pPr>
            <w:r>
              <w:t>34250</w:t>
            </w:r>
          </w:p>
        </w:tc>
        <w:tc>
          <w:tcPr>
            <w:tcW w:w="1667" w:type="pct"/>
            <w:vAlign w:val="center"/>
          </w:tcPr>
          <w:p w:rsidR="00EE56C0" w:rsidRDefault="000F36A1">
            <w:pPr>
              <w:pStyle w:val="afa"/>
              <w:rPr>
                <w:rFonts w:eastAsia="宋体"/>
              </w:rPr>
            </w:pPr>
            <w:r>
              <w:t>17850</w:t>
            </w:r>
          </w:p>
        </w:tc>
      </w:tr>
    </w:tbl>
    <w:p w:rsidR="00EE56C0" w:rsidRDefault="000F36A1">
      <w:pPr>
        <w:pStyle w:val="aff4"/>
      </w:pPr>
      <w:r>
        <w:rPr>
          <w:rFonts w:hint="eastAsia"/>
        </w:rPr>
        <w:t>由上表可知，现有废气措施的余量可以满足一期、二期废气处理需求。</w:t>
      </w:r>
    </w:p>
    <w:p w:rsidR="00971E69" w:rsidRPr="00971E69" w:rsidRDefault="00971E69" w:rsidP="00971E69">
      <w:pPr>
        <w:ind w:firstLine="482"/>
        <w:rPr>
          <w:b/>
          <w:u w:val="single"/>
        </w:rPr>
      </w:pPr>
      <w:r w:rsidRPr="00971E69">
        <w:rPr>
          <w:rFonts w:hint="eastAsia"/>
          <w:b/>
          <w:u w:val="single"/>
        </w:rPr>
        <w:t>3</w:t>
      </w:r>
      <w:r w:rsidRPr="00971E69">
        <w:rPr>
          <w:rFonts w:hint="eastAsia"/>
          <w:b/>
          <w:u w:val="single"/>
        </w:rPr>
        <w:t>、现有废气设施运行情况</w:t>
      </w:r>
    </w:p>
    <w:p w:rsidR="00971E69" w:rsidRDefault="00971E69" w:rsidP="00971E69">
      <w:pPr>
        <w:pStyle w:val="aff4"/>
        <w:ind w:firstLine="482"/>
        <w:rPr>
          <w:b/>
        </w:rPr>
      </w:pPr>
      <w:r w:rsidRPr="0062719D">
        <w:rPr>
          <w:rFonts w:hint="eastAsia"/>
          <w:b/>
          <w:u w:val="single"/>
        </w:rPr>
        <w:t>根据日常在线监测数据</w:t>
      </w:r>
      <w:r>
        <w:rPr>
          <w:rFonts w:hint="eastAsia"/>
          <w:b/>
          <w:u w:val="single"/>
        </w:rPr>
        <w:t>显示</w:t>
      </w:r>
      <w:r w:rsidRPr="0080213D">
        <w:rPr>
          <w:rFonts w:hint="eastAsia"/>
          <w:b/>
          <w:u w:val="single"/>
        </w:rPr>
        <w:t>，现有废气设施运行稳定，</w:t>
      </w:r>
      <w:r w:rsidRPr="0062719D">
        <w:rPr>
          <w:rFonts w:hint="eastAsia"/>
          <w:b/>
          <w:u w:val="single"/>
        </w:rPr>
        <w:t>废气排放浓度保持在</w:t>
      </w:r>
      <w:r>
        <w:rPr>
          <w:rFonts w:hint="eastAsia"/>
          <w:b/>
          <w:u w:val="single"/>
        </w:rPr>
        <w:t>20~30mg/m</w:t>
      </w:r>
      <w:r>
        <w:rPr>
          <w:rFonts w:hint="eastAsia"/>
          <w:b/>
          <w:u w:val="single"/>
          <w:vertAlign w:val="superscript"/>
        </w:rPr>
        <w:t>3</w:t>
      </w:r>
      <w:r>
        <w:rPr>
          <w:rFonts w:hint="eastAsia"/>
          <w:b/>
          <w:u w:val="single"/>
        </w:rPr>
        <w:t>，满足</w:t>
      </w:r>
      <w:r w:rsidRPr="0062719D">
        <w:rPr>
          <w:rFonts w:hint="eastAsia"/>
          <w:b/>
          <w:u w:val="single"/>
        </w:rPr>
        <w:t>《重污染天气重点行业应急减排措施制定技术指南（</w:t>
      </w:r>
      <w:r w:rsidRPr="0062719D">
        <w:rPr>
          <w:rFonts w:hint="eastAsia"/>
          <w:b/>
          <w:u w:val="single"/>
        </w:rPr>
        <w:t>2020</w:t>
      </w:r>
      <w:r w:rsidRPr="0062719D">
        <w:rPr>
          <w:rFonts w:hint="eastAsia"/>
          <w:b/>
          <w:u w:val="single"/>
        </w:rPr>
        <w:t>年修订版）》中工业涂装行业</w:t>
      </w:r>
      <w:r w:rsidRPr="0062719D">
        <w:rPr>
          <w:rStyle w:val="Charf4"/>
          <w:rFonts w:hint="eastAsia"/>
          <w:b/>
          <w:u w:val="single"/>
        </w:rPr>
        <w:t>A</w:t>
      </w:r>
      <w:r w:rsidRPr="0062719D">
        <w:rPr>
          <w:rStyle w:val="Charf4"/>
          <w:rFonts w:hint="eastAsia"/>
          <w:b/>
          <w:u w:val="single"/>
        </w:rPr>
        <w:t>级指标要求。本项目废气引入现有废气设施后，根据其设定的</w:t>
      </w:r>
      <w:r w:rsidRPr="0062719D">
        <w:rPr>
          <w:rFonts w:hint="eastAsia"/>
          <w:b/>
          <w:u w:val="single"/>
        </w:rPr>
        <w:t>浓度值进行脱附，</w:t>
      </w:r>
      <w:r>
        <w:rPr>
          <w:rFonts w:hint="eastAsia"/>
          <w:b/>
          <w:u w:val="single"/>
        </w:rPr>
        <w:t>在脱附周期明显缩短及脱附后排放浓度接近设定浓度时，应及时更换吸附剂。</w:t>
      </w:r>
    </w:p>
    <w:p w:rsidR="00EE56C0" w:rsidRDefault="00971E69">
      <w:pPr>
        <w:pStyle w:val="aff4"/>
        <w:ind w:firstLine="482"/>
        <w:rPr>
          <w:b/>
        </w:rPr>
      </w:pPr>
      <w:r>
        <w:rPr>
          <w:rFonts w:hint="eastAsia"/>
          <w:b/>
        </w:rPr>
        <w:t>4</w:t>
      </w:r>
      <w:r w:rsidR="000F36A1">
        <w:rPr>
          <w:rFonts w:hint="eastAsia"/>
          <w:b/>
        </w:rPr>
        <w:t>、达标分析</w:t>
      </w:r>
    </w:p>
    <w:p w:rsidR="00EE56C0" w:rsidRDefault="000F36A1">
      <w:pPr>
        <w:ind w:firstLine="480"/>
      </w:pPr>
      <w:r>
        <w:rPr>
          <w:rFonts w:hint="eastAsia"/>
        </w:rPr>
        <w:t>一期、二期项目废气引入现有措施进行治理，二期项目建成后全厂废气产排情况见表</w:t>
      </w:r>
      <w:r>
        <w:rPr>
          <w:rFonts w:hint="eastAsia"/>
        </w:rPr>
        <w:t>6-</w:t>
      </w:r>
      <w:r w:rsidR="005767FB">
        <w:rPr>
          <w:rFonts w:hint="eastAsia"/>
        </w:rPr>
        <w:t>5</w:t>
      </w:r>
      <w:r>
        <w:rPr>
          <w:rFonts w:hint="eastAsia"/>
        </w:rPr>
        <w:t>。</w:t>
      </w:r>
    </w:p>
    <w:p w:rsidR="00971E69" w:rsidRDefault="00971E69">
      <w:pPr>
        <w:ind w:firstLine="480"/>
      </w:pPr>
    </w:p>
    <w:p w:rsidR="005767FB" w:rsidRDefault="005767FB">
      <w:pPr>
        <w:pStyle w:val="afd"/>
        <w:spacing w:before="120" w:after="120"/>
        <w:ind w:firstLine="482"/>
      </w:pPr>
    </w:p>
    <w:p w:rsidR="00EE56C0" w:rsidRDefault="000F36A1">
      <w:pPr>
        <w:pStyle w:val="afd"/>
        <w:spacing w:before="120" w:after="120"/>
        <w:ind w:firstLine="482"/>
      </w:pPr>
      <w:r>
        <w:rPr>
          <w:rFonts w:hint="eastAsia"/>
        </w:rPr>
        <w:lastRenderedPageBreak/>
        <w:t>表</w:t>
      </w:r>
      <w:r>
        <w:rPr>
          <w:rFonts w:hint="eastAsia"/>
        </w:rPr>
        <w:t>6-</w:t>
      </w:r>
      <w:r w:rsidR="005767FB">
        <w:rPr>
          <w:rFonts w:hint="eastAsia"/>
        </w:rPr>
        <w:t>5</w:t>
      </w:r>
      <w:r>
        <w:rPr>
          <w:rFonts w:hint="eastAsia"/>
        </w:rPr>
        <w:t xml:space="preserve">          </w:t>
      </w:r>
      <w:r>
        <w:rPr>
          <w:rFonts w:hint="eastAsia"/>
        </w:rPr>
        <w:t>二期建成后全厂废气排放情况一览表</w:t>
      </w:r>
    </w:p>
    <w:tbl>
      <w:tblPr>
        <w:tblW w:w="5000" w:type="pct"/>
        <w:jc w:val="center"/>
        <w:tblBorders>
          <w:top w:val="single" w:sz="8" w:space="0" w:color="000000"/>
          <w:bottom w:val="single" w:sz="8" w:space="0" w:color="000000"/>
          <w:insideH w:val="single" w:sz="4" w:space="0" w:color="000000"/>
          <w:insideV w:val="single" w:sz="4" w:space="0" w:color="000000"/>
        </w:tblBorders>
        <w:tblLook w:val="04A0"/>
      </w:tblPr>
      <w:tblGrid>
        <w:gridCol w:w="936"/>
        <w:gridCol w:w="1128"/>
        <w:gridCol w:w="1112"/>
        <w:gridCol w:w="1192"/>
        <w:gridCol w:w="1131"/>
        <w:gridCol w:w="1302"/>
        <w:gridCol w:w="867"/>
        <w:gridCol w:w="861"/>
      </w:tblGrid>
      <w:tr w:rsidR="00EE56C0">
        <w:trPr>
          <w:trHeight w:val="454"/>
          <w:jc w:val="center"/>
        </w:trPr>
        <w:tc>
          <w:tcPr>
            <w:tcW w:w="549" w:type="pct"/>
            <w:vMerge w:val="restart"/>
            <w:tcBorders>
              <w:top w:val="single" w:sz="4" w:space="0" w:color="auto"/>
              <w:left w:val="single" w:sz="4" w:space="0" w:color="auto"/>
              <w:bottom w:val="single" w:sz="4" w:space="0" w:color="auto"/>
              <w:right w:val="single" w:sz="4" w:space="0" w:color="000000"/>
            </w:tcBorders>
            <w:vAlign w:val="center"/>
          </w:tcPr>
          <w:p w:rsidR="00EE56C0" w:rsidRDefault="000F36A1">
            <w:pPr>
              <w:pStyle w:val="aff1"/>
              <w:rPr>
                <w:color w:val="auto"/>
                <w:szCs w:val="21"/>
                <w:u w:val="single"/>
              </w:rPr>
            </w:pPr>
            <w:r>
              <w:rPr>
                <w:color w:val="auto"/>
                <w:szCs w:val="21"/>
                <w:u w:val="single"/>
              </w:rPr>
              <w:t>污染物</w:t>
            </w:r>
          </w:p>
        </w:tc>
        <w:tc>
          <w:tcPr>
            <w:tcW w:w="661" w:type="pct"/>
            <w:vMerge w:val="restart"/>
            <w:tcBorders>
              <w:top w:val="single" w:sz="4" w:space="0" w:color="auto"/>
              <w:left w:val="single" w:sz="4" w:space="0" w:color="000000"/>
              <w:right w:val="single" w:sz="4" w:space="0" w:color="auto"/>
            </w:tcBorders>
            <w:vAlign w:val="center"/>
          </w:tcPr>
          <w:p w:rsidR="00EE56C0" w:rsidRDefault="000F36A1">
            <w:pPr>
              <w:pStyle w:val="aff1"/>
              <w:rPr>
                <w:color w:val="auto"/>
                <w:szCs w:val="21"/>
                <w:u w:val="single"/>
              </w:rPr>
            </w:pPr>
            <w:r>
              <w:rPr>
                <w:rFonts w:hint="eastAsia"/>
                <w:color w:val="auto"/>
                <w:szCs w:val="21"/>
                <w:u w:val="single"/>
              </w:rPr>
              <w:t>现有废气</w:t>
            </w:r>
            <w:r>
              <w:rPr>
                <w:color w:val="auto"/>
                <w:szCs w:val="21"/>
                <w:u w:val="single"/>
              </w:rPr>
              <w:t>排放</w:t>
            </w:r>
            <w:r>
              <w:rPr>
                <w:rFonts w:hint="eastAsia"/>
                <w:color w:val="auto"/>
                <w:szCs w:val="21"/>
                <w:u w:val="single"/>
              </w:rPr>
              <w:t>量</w:t>
            </w:r>
            <w:r>
              <w:rPr>
                <w:color w:val="auto"/>
                <w:szCs w:val="21"/>
                <w:u w:val="single"/>
              </w:rPr>
              <w:t>（</w:t>
            </w:r>
            <w:r>
              <w:rPr>
                <w:color w:val="auto"/>
                <w:szCs w:val="21"/>
                <w:u w:val="single"/>
              </w:rPr>
              <w:t>t/a</w:t>
            </w:r>
            <w:r>
              <w:rPr>
                <w:color w:val="auto"/>
                <w:szCs w:val="21"/>
                <w:u w:val="single"/>
              </w:rPr>
              <w:t>）</w:t>
            </w:r>
          </w:p>
        </w:tc>
        <w:tc>
          <w:tcPr>
            <w:tcW w:w="652" w:type="pct"/>
            <w:vMerge w:val="restart"/>
            <w:tcBorders>
              <w:top w:val="single" w:sz="4" w:space="0" w:color="auto"/>
              <w:left w:val="single" w:sz="4" w:space="0" w:color="auto"/>
              <w:right w:val="single" w:sz="4" w:space="0" w:color="auto"/>
            </w:tcBorders>
            <w:vAlign w:val="center"/>
          </w:tcPr>
          <w:p w:rsidR="00EE56C0" w:rsidRDefault="000F36A1">
            <w:pPr>
              <w:pStyle w:val="aff1"/>
              <w:rPr>
                <w:color w:val="auto"/>
                <w:szCs w:val="21"/>
                <w:u w:val="single"/>
              </w:rPr>
            </w:pPr>
            <w:r>
              <w:rPr>
                <w:rFonts w:hint="eastAsia"/>
                <w:color w:val="auto"/>
                <w:szCs w:val="21"/>
                <w:u w:val="single"/>
              </w:rPr>
              <w:t>一期</w:t>
            </w:r>
          </w:p>
        </w:tc>
        <w:tc>
          <w:tcPr>
            <w:tcW w:w="699" w:type="pct"/>
            <w:vMerge w:val="restart"/>
            <w:tcBorders>
              <w:top w:val="single" w:sz="4" w:space="0" w:color="auto"/>
              <w:left w:val="single" w:sz="4" w:space="0" w:color="auto"/>
              <w:right w:val="single" w:sz="4" w:space="0" w:color="auto"/>
            </w:tcBorders>
            <w:vAlign w:val="center"/>
          </w:tcPr>
          <w:p w:rsidR="00EE56C0" w:rsidRDefault="000F36A1">
            <w:pPr>
              <w:pStyle w:val="aff1"/>
              <w:rPr>
                <w:color w:val="auto"/>
                <w:szCs w:val="21"/>
                <w:u w:val="single"/>
              </w:rPr>
            </w:pPr>
            <w:r>
              <w:rPr>
                <w:rFonts w:hint="eastAsia"/>
                <w:color w:val="auto"/>
                <w:szCs w:val="21"/>
                <w:u w:val="single"/>
              </w:rPr>
              <w:t>二期</w:t>
            </w:r>
          </w:p>
        </w:tc>
        <w:tc>
          <w:tcPr>
            <w:tcW w:w="2438" w:type="pct"/>
            <w:gridSpan w:val="4"/>
            <w:tcBorders>
              <w:top w:val="single" w:sz="4" w:space="0" w:color="auto"/>
              <w:left w:val="single" w:sz="4" w:space="0" w:color="auto"/>
              <w:bottom w:val="single" w:sz="4" w:space="0" w:color="auto"/>
              <w:right w:val="single" w:sz="4" w:space="0" w:color="auto"/>
            </w:tcBorders>
            <w:vAlign w:val="center"/>
          </w:tcPr>
          <w:p w:rsidR="00EE56C0" w:rsidRDefault="000F36A1">
            <w:pPr>
              <w:pStyle w:val="aff1"/>
              <w:rPr>
                <w:color w:val="auto"/>
                <w:szCs w:val="21"/>
                <w:u w:val="single"/>
              </w:rPr>
            </w:pPr>
            <w:r>
              <w:rPr>
                <w:rFonts w:hint="eastAsia"/>
                <w:color w:val="auto"/>
                <w:szCs w:val="21"/>
                <w:u w:val="single"/>
              </w:rPr>
              <w:t>合计</w:t>
            </w:r>
          </w:p>
        </w:tc>
      </w:tr>
      <w:tr w:rsidR="00EE56C0">
        <w:trPr>
          <w:trHeight w:val="454"/>
          <w:jc w:val="center"/>
        </w:trPr>
        <w:tc>
          <w:tcPr>
            <w:tcW w:w="549" w:type="pct"/>
            <w:vMerge/>
            <w:tcBorders>
              <w:top w:val="single" w:sz="8" w:space="0" w:color="000000"/>
              <w:left w:val="single" w:sz="4" w:space="0" w:color="auto"/>
              <w:bottom w:val="single" w:sz="4" w:space="0" w:color="auto"/>
              <w:right w:val="single" w:sz="4" w:space="0" w:color="000000"/>
            </w:tcBorders>
            <w:vAlign w:val="center"/>
          </w:tcPr>
          <w:p w:rsidR="00EE56C0" w:rsidRDefault="00EE56C0">
            <w:pPr>
              <w:pStyle w:val="aff1"/>
              <w:rPr>
                <w:color w:val="auto"/>
                <w:szCs w:val="21"/>
                <w:u w:val="single"/>
              </w:rPr>
            </w:pPr>
          </w:p>
        </w:tc>
        <w:tc>
          <w:tcPr>
            <w:tcW w:w="661" w:type="pct"/>
            <w:vMerge/>
            <w:tcBorders>
              <w:left w:val="single" w:sz="4" w:space="0" w:color="000000"/>
              <w:bottom w:val="single" w:sz="4" w:space="0" w:color="auto"/>
              <w:right w:val="single" w:sz="4" w:space="0" w:color="auto"/>
            </w:tcBorders>
            <w:vAlign w:val="center"/>
          </w:tcPr>
          <w:p w:rsidR="00EE56C0" w:rsidRDefault="00EE56C0">
            <w:pPr>
              <w:pStyle w:val="aff1"/>
              <w:rPr>
                <w:color w:val="auto"/>
                <w:szCs w:val="21"/>
                <w:u w:val="single"/>
              </w:rPr>
            </w:pPr>
          </w:p>
        </w:tc>
        <w:tc>
          <w:tcPr>
            <w:tcW w:w="652" w:type="pct"/>
            <w:vMerge/>
            <w:tcBorders>
              <w:left w:val="single" w:sz="4" w:space="0" w:color="auto"/>
              <w:bottom w:val="single" w:sz="4" w:space="0" w:color="auto"/>
              <w:right w:val="single" w:sz="4" w:space="0" w:color="auto"/>
            </w:tcBorders>
            <w:vAlign w:val="center"/>
          </w:tcPr>
          <w:p w:rsidR="00EE56C0" w:rsidRDefault="00EE56C0">
            <w:pPr>
              <w:pStyle w:val="aff1"/>
              <w:rPr>
                <w:color w:val="auto"/>
                <w:szCs w:val="21"/>
                <w:u w:val="single"/>
              </w:rPr>
            </w:pPr>
          </w:p>
        </w:tc>
        <w:tc>
          <w:tcPr>
            <w:tcW w:w="699" w:type="pct"/>
            <w:vMerge/>
            <w:tcBorders>
              <w:left w:val="single" w:sz="4" w:space="0" w:color="auto"/>
              <w:bottom w:val="single" w:sz="4" w:space="0" w:color="auto"/>
              <w:right w:val="single" w:sz="4" w:space="0" w:color="auto"/>
            </w:tcBorders>
            <w:vAlign w:val="center"/>
          </w:tcPr>
          <w:p w:rsidR="00EE56C0" w:rsidRDefault="00EE56C0">
            <w:pPr>
              <w:pStyle w:val="aff1"/>
              <w:rPr>
                <w:color w:val="auto"/>
                <w:szCs w:val="21"/>
                <w:u w:val="single"/>
              </w:rPr>
            </w:pPr>
          </w:p>
        </w:tc>
        <w:tc>
          <w:tcPr>
            <w:tcW w:w="663" w:type="pct"/>
            <w:tcBorders>
              <w:top w:val="single" w:sz="4" w:space="0" w:color="auto"/>
              <w:left w:val="single" w:sz="4" w:space="0" w:color="auto"/>
              <w:bottom w:val="single" w:sz="4" w:space="0" w:color="auto"/>
              <w:right w:val="nil"/>
            </w:tcBorders>
            <w:vAlign w:val="center"/>
          </w:tcPr>
          <w:p w:rsidR="00EE56C0" w:rsidRDefault="000F36A1">
            <w:pPr>
              <w:pStyle w:val="aff1"/>
              <w:rPr>
                <w:color w:val="auto"/>
                <w:szCs w:val="21"/>
                <w:u w:val="single"/>
              </w:rPr>
            </w:pPr>
            <w:r>
              <w:rPr>
                <w:color w:val="auto"/>
                <w:szCs w:val="21"/>
                <w:u w:val="single"/>
              </w:rPr>
              <w:t>排放</w:t>
            </w:r>
            <w:r>
              <w:rPr>
                <w:rFonts w:hint="eastAsia"/>
                <w:color w:val="auto"/>
                <w:szCs w:val="21"/>
                <w:u w:val="single"/>
              </w:rPr>
              <w:t>量</w:t>
            </w:r>
            <w:r>
              <w:rPr>
                <w:color w:val="auto"/>
                <w:szCs w:val="21"/>
                <w:u w:val="single"/>
              </w:rPr>
              <w:t>（</w:t>
            </w:r>
            <w:r>
              <w:rPr>
                <w:color w:val="auto"/>
                <w:szCs w:val="21"/>
                <w:u w:val="single"/>
              </w:rPr>
              <w:t>t/a</w:t>
            </w:r>
            <w:r>
              <w:rPr>
                <w:color w:val="auto"/>
                <w:szCs w:val="21"/>
                <w:u w:val="single"/>
              </w:rPr>
              <w:t>）</w:t>
            </w:r>
          </w:p>
        </w:tc>
        <w:tc>
          <w:tcPr>
            <w:tcW w:w="763" w:type="pct"/>
            <w:tcBorders>
              <w:top w:val="single" w:sz="4" w:space="0" w:color="auto"/>
              <w:left w:val="single" w:sz="4" w:space="0" w:color="auto"/>
              <w:bottom w:val="single" w:sz="4" w:space="0" w:color="auto"/>
              <w:right w:val="nil"/>
            </w:tcBorders>
            <w:vAlign w:val="center"/>
          </w:tcPr>
          <w:p w:rsidR="00EE56C0" w:rsidRDefault="000F36A1">
            <w:pPr>
              <w:pStyle w:val="aff1"/>
              <w:rPr>
                <w:color w:val="auto"/>
                <w:szCs w:val="21"/>
                <w:u w:val="single"/>
              </w:rPr>
            </w:pPr>
            <w:r>
              <w:rPr>
                <w:color w:val="auto"/>
                <w:szCs w:val="21"/>
                <w:u w:val="single"/>
              </w:rPr>
              <w:t>排放速率</w:t>
            </w:r>
            <w:r>
              <w:rPr>
                <w:rFonts w:hint="eastAsia"/>
                <w:color w:val="auto"/>
                <w:szCs w:val="21"/>
                <w:u w:val="single"/>
              </w:rPr>
              <w:t>（</w:t>
            </w:r>
            <w:r>
              <w:rPr>
                <w:rFonts w:hint="eastAsia"/>
                <w:color w:val="auto"/>
                <w:szCs w:val="21"/>
                <w:u w:val="single"/>
              </w:rPr>
              <w:t>kg/h</w:t>
            </w:r>
            <w:r>
              <w:rPr>
                <w:rFonts w:hint="eastAsia"/>
                <w:color w:val="auto"/>
                <w:szCs w:val="21"/>
                <w:u w:val="single"/>
              </w:rPr>
              <w:t>）</w:t>
            </w:r>
          </w:p>
        </w:tc>
        <w:tc>
          <w:tcPr>
            <w:tcW w:w="1013" w:type="pct"/>
            <w:gridSpan w:val="2"/>
            <w:tcBorders>
              <w:top w:val="single" w:sz="4" w:space="0" w:color="auto"/>
              <w:left w:val="single" w:sz="4" w:space="0" w:color="auto"/>
              <w:bottom w:val="single" w:sz="4" w:space="0" w:color="auto"/>
              <w:right w:val="single" w:sz="4" w:space="0" w:color="auto"/>
            </w:tcBorders>
            <w:vAlign w:val="center"/>
          </w:tcPr>
          <w:p w:rsidR="00EE56C0" w:rsidRDefault="000F36A1">
            <w:pPr>
              <w:pStyle w:val="aff1"/>
              <w:rPr>
                <w:color w:val="auto"/>
                <w:szCs w:val="21"/>
                <w:u w:val="single"/>
              </w:rPr>
            </w:pPr>
            <w:r>
              <w:rPr>
                <w:rFonts w:hint="eastAsia"/>
                <w:color w:val="auto"/>
                <w:szCs w:val="21"/>
                <w:u w:val="single"/>
              </w:rPr>
              <w:t>排放浓度（</w:t>
            </w:r>
            <w:r>
              <w:rPr>
                <w:rFonts w:hint="eastAsia"/>
                <w:color w:val="auto"/>
                <w:szCs w:val="21"/>
                <w:u w:val="single"/>
              </w:rPr>
              <w:t>mg/m</w:t>
            </w:r>
            <w:r>
              <w:rPr>
                <w:rFonts w:hint="eastAsia"/>
                <w:color w:val="auto"/>
                <w:szCs w:val="21"/>
                <w:u w:val="single"/>
                <w:vertAlign w:val="superscript"/>
              </w:rPr>
              <w:t>3</w:t>
            </w:r>
            <w:r>
              <w:rPr>
                <w:rFonts w:hint="eastAsia"/>
                <w:color w:val="auto"/>
                <w:szCs w:val="21"/>
                <w:u w:val="single"/>
              </w:rPr>
              <w:t>）</w:t>
            </w:r>
          </w:p>
        </w:tc>
      </w:tr>
      <w:tr w:rsidR="00EE56C0">
        <w:trPr>
          <w:trHeight w:val="454"/>
          <w:jc w:val="center"/>
        </w:trPr>
        <w:tc>
          <w:tcPr>
            <w:tcW w:w="549" w:type="pct"/>
            <w:tcBorders>
              <w:top w:val="single" w:sz="4" w:space="0" w:color="auto"/>
              <w:left w:val="single" w:sz="4" w:space="0" w:color="auto"/>
              <w:right w:val="single" w:sz="4" w:space="0" w:color="000000"/>
            </w:tcBorders>
            <w:vAlign w:val="center"/>
          </w:tcPr>
          <w:p w:rsidR="00EE56C0" w:rsidRDefault="000F36A1">
            <w:pPr>
              <w:pStyle w:val="afa"/>
              <w:rPr>
                <w:u w:val="single"/>
              </w:rPr>
            </w:pPr>
            <w:r>
              <w:rPr>
                <w:rFonts w:hint="eastAsia"/>
                <w:u w:val="single"/>
              </w:rPr>
              <w:t>酚</w:t>
            </w:r>
          </w:p>
        </w:tc>
        <w:tc>
          <w:tcPr>
            <w:tcW w:w="661" w:type="pct"/>
            <w:tcBorders>
              <w:top w:val="single" w:sz="4" w:space="0" w:color="auto"/>
              <w:left w:val="single" w:sz="4" w:space="0" w:color="000000"/>
              <w:right w:val="single" w:sz="4" w:space="0" w:color="auto"/>
            </w:tcBorders>
            <w:vAlign w:val="center"/>
          </w:tcPr>
          <w:p w:rsidR="00EE56C0" w:rsidRDefault="000F36A1">
            <w:pPr>
              <w:pStyle w:val="afa"/>
              <w:rPr>
                <w:rFonts w:ascii="宋体" w:eastAsia="宋体" w:hAnsi="宋体" w:cs="宋体"/>
                <w:u w:val="single"/>
              </w:rPr>
            </w:pPr>
            <w:r>
              <w:rPr>
                <w:rFonts w:hint="eastAsia"/>
                <w:u w:val="single"/>
              </w:rPr>
              <w:t>0.5616</w:t>
            </w:r>
          </w:p>
        </w:tc>
        <w:tc>
          <w:tcPr>
            <w:tcW w:w="652" w:type="pct"/>
            <w:tcBorders>
              <w:top w:val="single" w:sz="4" w:space="0" w:color="auto"/>
              <w:left w:val="single" w:sz="4" w:space="0" w:color="auto"/>
              <w:right w:val="single" w:sz="4" w:space="0" w:color="auto"/>
            </w:tcBorders>
            <w:vAlign w:val="center"/>
          </w:tcPr>
          <w:p w:rsidR="00EE56C0" w:rsidRDefault="000F36A1">
            <w:pPr>
              <w:pStyle w:val="afa"/>
              <w:rPr>
                <w:rFonts w:eastAsia="宋体"/>
                <w:u w:val="single"/>
              </w:rPr>
            </w:pPr>
            <w:r>
              <w:rPr>
                <w:u w:val="single"/>
              </w:rPr>
              <w:t xml:space="preserve">0.0301 </w:t>
            </w:r>
          </w:p>
        </w:tc>
        <w:tc>
          <w:tcPr>
            <w:tcW w:w="699" w:type="pct"/>
            <w:tcBorders>
              <w:top w:val="single" w:sz="4" w:space="0" w:color="auto"/>
              <w:left w:val="single" w:sz="4" w:space="0" w:color="auto"/>
              <w:right w:val="single" w:sz="4" w:space="0" w:color="auto"/>
            </w:tcBorders>
            <w:vAlign w:val="center"/>
          </w:tcPr>
          <w:p w:rsidR="00EE56C0" w:rsidRDefault="000F36A1">
            <w:pPr>
              <w:pStyle w:val="afa"/>
              <w:rPr>
                <w:rFonts w:eastAsia="宋体"/>
                <w:u w:val="single"/>
              </w:rPr>
            </w:pPr>
            <w:r>
              <w:rPr>
                <w:u w:val="single"/>
              </w:rPr>
              <w:t xml:space="preserve">0.0814 </w:t>
            </w:r>
          </w:p>
        </w:tc>
        <w:tc>
          <w:tcPr>
            <w:tcW w:w="663" w:type="pct"/>
            <w:tcBorders>
              <w:top w:val="single" w:sz="4" w:space="0" w:color="auto"/>
              <w:left w:val="single" w:sz="4" w:space="0" w:color="auto"/>
              <w:right w:val="nil"/>
            </w:tcBorders>
            <w:vAlign w:val="center"/>
          </w:tcPr>
          <w:p w:rsidR="00EE56C0" w:rsidRDefault="000F36A1">
            <w:pPr>
              <w:pStyle w:val="afa"/>
              <w:rPr>
                <w:rFonts w:eastAsia="宋体"/>
                <w:u w:val="single"/>
              </w:rPr>
            </w:pPr>
            <w:r>
              <w:rPr>
                <w:u w:val="single"/>
              </w:rPr>
              <w:t xml:space="preserve">0.6730 </w:t>
            </w:r>
          </w:p>
        </w:tc>
        <w:tc>
          <w:tcPr>
            <w:tcW w:w="763" w:type="pct"/>
            <w:tcBorders>
              <w:top w:val="single" w:sz="4" w:space="0" w:color="auto"/>
              <w:left w:val="single" w:sz="4" w:space="0" w:color="auto"/>
              <w:right w:val="nil"/>
            </w:tcBorders>
            <w:vAlign w:val="center"/>
          </w:tcPr>
          <w:p w:rsidR="00EE56C0" w:rsidRDefault="000F36A1">
            <w:pPr>
              <w:pStyle w:val="afa"/>
              <w:rPr>
                <w:rFonts w:eastAsia="宋体"/>
                <w:u w:val="single"/>
              </w:rPr>
            </w:pPr>
            <w:r>
              <w:rPr>
                <w:u w:val="single"/>
              </w:rPr>
              <w:t xml:space="preserve">0.0935 </w:t>
            </w:r>
          </w:p>
        </w:tc>
        <w:tc>
          <w:tcPr>
            <w:tcW w:w="1013" w:type="pct"/>
            <w:gridSpan w:val="2"/>
            <w:tcBorders>
              <w:top w:val="single" w:sz="4" w:space="0" w:color="auto"/>
              <w:left w:val="single" w:sz="4" w:space="0" w:color="auto"/>
              <w:right w:val="single" w:sz="4" w:space="0" w:color="auto"/>
            </w:tcBorders>
            <w:vAlign w:val="center"/>
          </w:tcPr>
          <w:p w:rsidR="00EE56C0" w:rsidRDefault="000F36A1">
            <w:pPr>
              <w:pStyle w:val="afa"/>
              <w:rPr>
                <w:rFonts w:eastAsia="宋体"/>
                <w:u w:val="single"/>
              </w:rPr>
            </w:pPr>
            <w:r>
              <w:rPr>
                <w:u w:val="single"/>
              </w:rPr>
              <w:t xml:space="preserve">0.92 </w:t>
            </w:r>
          </w:p>
        </w:tc>
      </w:tr>
      <w:tr w:rsidR="00EE56C0">
        <w:trPr>
          <w:trHeight w:val="454"/>
          <w:jc w:val="center"/>
        </w:trPr>
        <w:tc>
          <w:tcPr>
            <w:tcW w:w="549" w:type="pct"/>
            <w:tcBorders>
              <w:top w:val="single" w:sz="4" w:space="0" w:color="auto"/>
              <w:left w:val="single" w:sz="4" w:space="0" w:color="auto"/>
              <w:right w:val="single" w:sz="4" w:space="0" w:color="000000"/>
            </w:tcBorders>
            <w:vAlign w:val="center"/>
          </w:tcPr>
          <w:p w:rsidR="00EE56C0" w:rsidRDefault="000F36A1">
            <w:pPr>
              <w:pStyle w:val="afa"/>
              <w:rPr>
                <w:u w:val="single"/>
              </w:rPr>
            </w:pPr>
            <w:r>
              <w:rPr>
                <w:u w:val="single"/>
              </w:rPr>
              <w:t>非甲烷</w:t>
            </w:r>
          </w:p>
          <w:p w:rsidR="00EE56C0" w:rsidRDefault="000F36A1">
            <w:pPr>
              <w:pStyle w:val="afa"/>
              <w:rPr>
                <w:u w:val="single"/>
              </w:rPr>
            </w:pPr>
            <w:r>
              <w:rPr>
                <w:u w:val="single"/>
              </w:rPr>
              <w:t>总烃</w:t>
            </w:r>
          </w:p>
        </w:tc>
        <w:tc>
          <w:tcPr>
            <w:tcW w:w="661" w:type="pct"/>
            <w:tcBorders>
              <w:top w:val="single" w:sz="4" w:space="0" w:color="auto"/>
              <w:left w:val="single" w:sz="4" w:space="0" w:color="000000"/>
              <w:right w:val="single" w:sz="4" w:space="0" w:color="auto"/>
            </w:tcBorders>
            <w:vAlign w:val="center"/>
          </w:tcPr>
          <w:p w:rsidR="00EE56C0" w:rsidRDefault="000F36A1">
            <w:pPr>
              <w:pStyle w:val="afa"/>
              <w:rPr>
                <w:rFonts w:ascii="宋体" w:eastAsia="宋体" w:hAnsi="宋体" w:cs="宋体"/>
                <w:u w:val="single"/>
              </w:rPr>
            </w:pPr>
            <w:r>
              <w:rPr>
                <w:rFonts w:hint="eastAsia"/>
                <w:u w:val="single"/>
              </w:rPr>
              <w:t>4.3344</w:t>
            </w:r>
          </w:p>
        </w:tc>
        <w:tc>
          <w:tcPr>
            <w:tcW w:w="652" w:type="pct"/>
            <w:tcBorders>
              <w:top w:val="single" w:sz="4" w:space="0" w:color="auto"/>
              <w:left w:val="single" w:sz="4" w:space="0" w:color="auto"/>
              <w:right w:val="single" w:sz="4" w:space="0" w:color="auto"/>
            </w:tcBorders>
            <w:vAlign w:val="center"/>
          </w:tcPr>
          <w:p w:rsidR="00EE56C0" w:rsidRDefault="000F36A1">
            <w:pPr>
              <w:pStyle w:val="afa"/>
              <w:rPr>
                <w:rFonts w:eastAsia="宋体"/>
                <w:u w:val="single"/>
              </w:rPr>
            </w:pPr>
            <w:r>
              <w:rPr>
                <w:u w:val="single"/>
              </w:rPr>
              <w:t xml:space="preserve">0.1016 </w:t>
            </w:r>
          </w:p>
        </w:tc>
        <w:tc>
          <w:tcPr>
            <w:tcW w:w="699" w:type="pct"/>
            <w:tcBorders>
              <w:top w:val="single" w:sz="4" w:space="0" w:color="auto"/>
              <w:left w:val="single" w:sz="4" w:space="0" w:color="auto"/>
              <w:right w:val="single" w:sz="4" w:space="0" w:color="auto"/>
            </w:tcBorders>
            <w:vAlign w:val="center"/>
          </w:tcPr>
          <w:p w:rsidR="00EE56C0" w:rsidRDefault="000F36A1">
            <w:pPr>
              <w:pStyle w:val="afa"/>
              <w:rPr>
                <w:rFonts w:eastAsia="宋体"/>
                <w:u w:val="single"/>
              </w:rPr>
            </w:pPr>
            <w:r>
              <w:rPr>
                <w:u w:val="single"/>
              </w:rPr>
              <w:t xml:space="preserve">0.1065 </w:t>
            </w:r>
          </w:p>
        </w:tc>
        <w:tc>
          <w:tcPr>
            <w:tcW w:w="663" w:type="pct"/>
            <w:tcBorders>
              <w:top w:val="single" w:sz="4" w:space="0" w:color="auto"/>
              <w:left w:val="single" w:sz="4" w:space="0" w:color="auto"/>
              <w:right w:val="nil"/>
            </w:tcBorders>
            <w:vAlign w:val="center"/>
          </w:tcPr>
          <w:p w:rsidR="00EE56C0" w:rsidRDefault="000F36A1">
            <w:pPr>
              <w:pStyle w:val="afa"/>
              <w:rPr>
                <w:rFonts w:eastAsia="宋体"/>
                <w:u w:val="single"/>
              </w:rPr>
            </w:pPr>
            <w:r>
              <w:rPr>
                <w:u w:val="single"/>
              </w:rPr>
              <w:t xml:space="preserve">4.5425 </w:t>
            </w:r>
          </w:p>
        </w:tc>
        <w:tc>
          <w:tcPr>
            <w:tcW w:w="763" w:type="pct"/>
            <w:tcBorders>
              <w:top w:val="single" w:sz="4" w:space="0" w:color="auto"/>
              <w:left w:val="single" w:sz="4" w:space="0" w:color="auto"/>
              <w:right w:val="nil"/>
            </w:tcBorders>
            <w:vAlign w:val="center"/>
          </w:tcPr>
          <w:p w:rsidR="00EE56C0" w:rsidRDefault="000F36A1">
            <w:pPr>
              <w:pStyle w:val="afa"/>
              <w:rPr>
                <w:rFonts w:eastAsia="宋体"/>
                <w:u w:val="single"/>
              </w:rPr>
            </w:pPr>
            <w:r>
              <w:rPr>
                <w:u w:val="single"/>
              </w:rPr>
              <w:t xml:space="preserve">0.6309 </w:t>
            </w:r>
          </w:p>
        </w:tc>
        <w:tc>
          <w:tcPr>
            <w:tcW w:w="1013" w:type="pct"/>
            <w:gridSpan w:val="2"/>
            <w:tcBorders>
              <w:top w:val="single" w:sz="4" w:space="0" w:color="auto"/>
              <w:left w:val="single" w:sz="4" w:space="0" w:color="auto"/>
              <w:right w:val="single" w:sz="4" w:space="0" w:color="auto"/>
            </w:tcBorders>
            <w:vAlign w:val="center"/>
          </w:tcPr>
          <w:p w:rsidR="00EE56C0" w:rsidRDefault="000F36A1">
            <w:pPr>
              <w:pStyle w:val="afa"/>
              <w:rPr>
                <w:rFonts w:eastAsia="宋体"/>
                <w:u w:val="single"/>
              </w:rPr>
            </w:pPr>
            <w:r>
              <w:rPr>
                <w:u w:val="single"/>
              </w:rPr>
              <w:t xml:space="preserve">6.18 </w:t>
            </w:r>
          </w:p>
        </w:tc>
      </w:tr>
      <w:tr w:rsidR="00EE56C0">
        <w:trPr>
          <w:trHeight w:val="454"/>
          <w:jc w:val="center"/>
        </w:trPr>
        <w:tc>
          <w:tcPr>
            <w:tcW w:w="549" w:type="pct"/>
            <w:tcBorders>
              <w:top w:val="single" w:sz="4" w:space="0" w:color="auto"/>
              <w:left w:val="single" w:sz="4" w:space="0" w:color="auto"/>
              <w:right w:val="single" w:sz="4" w:space="0" w:color="000000"/>
            </w:tcBorders>
            <w:vAlign w:val="center"/>
          </w:tcPr>
          <w:p w:rsidR="00EE56C0" w:rsidRDefault="000F36A1">
            <w:pPr>
              <w:pStyle w:val="afa"/>
              <w:rPr>
                <w:u w:val="single"/>
              </w:rPr>
            </w:pPr>
            <w:r>
              <w:rPr>
                <w:rFonts w:hint="eastAsia"/>
                <w:u w:val="single"/>
              </w:rPr>
              <w:t>二甲苯</w:t>
            </w:r>
          </w:p>
        </w:tc>
        <w:tc>
          <w:tcPr>
            <w:tcW w:w="661" w:type="pct"/>
            <w:tcBorders>
              <w:top w:val="single" w:sz="4" w:space="0" w:color="auto"/>
              <w:left w:val="single" w:sz="4" w:space="0" w:color="000000"/>
              <w:right w:val="single" w:sz="4" w:space="0" w:color="auto"/>
            </w:tcBorders>
            <w:vAlign w:val="center"/>
          </w:tcPr>
          <w:p w:rsidR="00EE56C0" w:rsidRDefault="000F36A1">
            <w:pPr>
              <w:pStyle w:val="afa"/>
              <w:rPr>
                <w:rFonts w:ascii="宋体" w:eastAsia="宋体" w:hAnsi="宋体" w:cs="宋体"/>
                <w:u w:val="single"/>
              </w:rPr>
            </w:pPr>
            <w:r>
              <w:rPr>
                <w:rFonts w:hint="eastAsia"/>
                <w:u w:val="single"/>
              </w:rPr>
              <w:t>5.4216</w:t>
            </w:r>
          </w:p>
        </w:tc>
        <w:tc>
          <w:tcPr>
            <w:tcW w:w="652" w:type="pct"/>
            <w:tcBorders>
              <w:top w:val="single" w:sz="4" w:space="0" w:color="auto"/>
              <w:left w:val="single" w:sz="4" w:space="0" w:color="auto"/>
              <w:right w:val="single" w:sz="4" w:space="0" w:color="auto"/>
            </w:tcBorders>
            <w:vAlign w:val="center"/>
          </w:tcPr>
          <w:p w:rsidR="00EE56C0" w:rsidRDefault="000F36A1">
            <w:pPr>
              <w:pStyle w:val="afa"/>
              <w:rPr>
                <w:rFonts w:eastAsia="宋体"/>
                <w:u w:val="single"/>
              </w:rPr>
            </w:pPr>
            <w:r>
              <w:rPr>
                <w:u w:val="single"/>
              </w:rPr>
              <w:t xml:space="preserve">0.2244 </w:t>
            </w:r>
          </w:p>
        </w:tc>
        <w:tc>
          <w:tcPr>
            <w:tcW w:w="699" w:type="pct"/>
            <w:tcBorders>
              <w:top w:val="single" w:sz="4" w:space="0" w:color="auto"/>
              <w:left w:val="single" w:sz="4" w:space="0" w:color="auto"/>
              <w:right w:val="single" w:sz="4" w:space="0" w:color="auto"/>
            </w:tcBorders>
            <w:vAlign w:val="center"/>
          </w:tcPr>
          <w:p w:rsidR="00EE56C0" w:rsidRDefault="000F36A1">
            <w:pPr>
              <w:pStyle w:val="afa"/>
              <w:rPr>
                <w:rFonts w:eastAsia="宋体"/>
                <w:u w:val="single"/>
              </w:rPr>
            </w:pPr>
            <w:r>
              <w:rPr>
                <w:u w:val="single"/>
              </w:rPr>
              <w:t xml:space="preserve">0.1836 </w:t>
            </w:r>
          </w:p>
        </w:tc>
        <w:tc>
          <w:tcPr>
            <w:tcW w:w="663" w:type="pct"/>
            <w:tcBorders>
              <w:top w:val="single" w:sz="4" w:space="0" w:color="auto"/>
              <w:left w:val="single" w:sz="4" w:space="0" w:color="auto"/>
              <w:right w:val="nil"/>
            </w:tcBorders>
            <w:vAlign w:val="center"/>
          </w:tcPr>
          <w:p w:rsidR="00EE56C0" w:rsidRDefault="000F36A1">
            <w:pPr>
              <w:pStyle w:val="afa"/>
              <w:rPr>
                <w:rFonts w:eastAsia="宋体"/>
                <w:u w:val="single"/>
              </w:rPr>
            </w:pPr>
            <w:r>
              <w:rPr>
                <w:u w:val="single"/>
              </w:rPr>
              <w:t xml:space="preserve">5.8296 </w:t>
            </w:r>
          </w:p>
        </w:tc>
        <w:tc>
          <w:tcPr>
            <w:tcW w:w="763" w:type="pct"/>
            <w:tcBorders>
              <w:top w:val="single" w:sz="4" w:space="0" w:color="auto"/>
              <w:left w:val="single" w:sz="4" w:space="0" w:color="auto"/>
              <w:right w:val="nil"/>
            </w:tcBorders>
            <w:vAlign w:val="center"/>
          </w:tcPr>
          <w:p w:rsidR="00EE56C0" w:rsidRDefault="000F36A1">
            <w:pPr>
              <w:pStyle w:val="afa"/>
              <w:rPr>
                <w:rFonts w:eastAsia="宋体"/>
                <w:u w:val="single"/>
              </w:rPr>
            </w:pPr>
            <w:r>
              <w:rPr>
                <w:u w:val="single"/>
              </w:rPr>
              <w:t xml:space="preserve">0.8097 </w:t>
            </w:r>
          </w:p>
        </w:tc>
        <w:tc>
          <w:tcPr>
            <w:tcW w:w="508" w:type="pct"/>
            <w:tcBorders>
              <w:top w:val="single" w:sz="4" w:space="0" w:color="auto"/>
              <w:left w:val="single" w:sz="4" w:space="0" w:color="auto"/>
              <w:right w:val="single" w:sz="4" w:space="0" w:color="auto"/>
            </w:tcBorders>
            <w:vAlign w:val="center"/>
          </w:tcPr>
          <w:p w:rsidR="00EE56C0" w:rsidRDefault="000F36A1">
            <w:pPr>
              <w:pStyle w:val="afa"/>
              <w:rPr>
                <w:rFonts w:eastAsia="宋体"/>
                <w:u w:val="single"/>
              </w:rPr>
            </w:pPr>
            <w:r>
              <w:rPr>
                <w:u w:val="single"/>
              </w:rPr>
              <w:t xml:space="preserve">7.93 </w:t>
            </w:r>
          </w:p>
        </w:tc>
        <w:tc>
          <w:tcPr>
            <w:tcW w:w="505" w:type="pct"/>
            <w:vMerge w:val="restart"/>
            <w:tcBorders>
              <w:top w:val="single" w:sz="4" w:space="0" w:color="auto"/>
              <w:left w:val="single" w:sz="4" w:space="0" w:color="auto"/>
              <w:right w:val="single" w:sz="4" w:space="0" w:color="auto"/>
            </w:tcBorders>
            <w:vAlign w:val="center"/>
          </w:tcPr>
          <w:p w:rsidR="00EE56C0" w:rsidRDefault="000F36A1">
            <w:pPr>
              <w:pStyle w:val="afa"/>
              <w:rPr>
                <w:rFonts w:eastAsia="宋体"/>
                <w:u w:val="single"/>
              </w:rPr>
            </w:pPr>
            <w:r>
              <w:rPr>
                <w:rFonts w:eastAsia="宋体" w:hint="eastAsia"/>
                <w:u w:val="single"/>
              </w:rPr>
              <w:t>11.66</w:t>
            </w:r>
          </w:p>
        </w:tc>
      </w:tr>
      <w:tr w:rsidR="00EE56C0">
        <w:trPr>
          <w:trHeight w:val="454"/>
          <w:jc w:val="center"/>
        </w:trPr>
        <w:tc>
          <w:tcPr>
            <w:tcW w:w="549" w:type="pct"/>
            <w:tcBorders>
              <w:top w:val="single" w:sz="4" w:space="0" w:color="auto"/>
              <w:left w:val="single" w:sz="4" w:space="0" w:color="auto"/>
              <w:bottom w:val="single" w:sz="4" w:space="0" w:color="auto"/>
              <w:right w:val="single" w:sz="4" w:space="0" w:color="000000"/>
            </w:tcBorders>
            <w:vAlign w:val="center"/>
          </w:tcPr>
          <w:p w:rsidR="00EE56C0" w:rsidRDefault="000F36A1">
            <w:pPr>
              <w:pStyle w:val="afa"/>
              <w:rPr>
                <w:u w:val="single"/>
              </w:rPr>
            </w:pPr>
            <w:r>
              <w:rPr>
                <w:rFonts w:hint="eastAsia"/>
                <w:u w:val="single"/>
              </w:rPr>
              <w:t>甲苯</w:t>
            </w:r>
          </w:p>
        </w:tc>
        <w:tc>
          <w:tcPr>
            <w:tcW w:w="661" w:type="pct"/>
            <w:tcBorders>
              <w:top w:val="single" w:sz="4" w:space="0" w:color="auto"/>
              <w:left w:val="single" w:sz="4" w:space="0" w:color="000000"/>
              <w:bottom w:val="single" w:sz="4" w:space="0" w:color="auto"/>
              <w:right w:val="single" w:sz="4" w:space="0" w:color="auto"/>
            </w:tcBorders>
            <w:vAlign w:val="center"/>
          </w:tcPr>
          <w:p w:rsidR="00EE56C0" w:rsidRDefault="000F36A1">
            <w:pPr>
              <w:pStyle w:val="afa"/>
              <w:rPr>
                <w:rFonts w:ascii="宋体" w:eastAsia="宋体" w:hAnsi="宋体" w:cs="宋体"/>
                <w:u w:val="single"/>
              </w:rPr>
            </w:pPr>
            <w:r>
              <w:rPr>
                <w:rFonts w:hint="eastAsia"/>
                <w:u w:val="single"/>
              </w:rPr>
              <w:t>2.3472</w:t>
            </w:r>
          </w:p>
        </w:tc>
        <w:tc>
          <w:tcPr>
            <w:tcW w:w="652"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eastAsia="宋体"/>
                <w:u w:val="single"/>
              </w:rPr>
            </w:pPr>
            <w:r>
              <w:rPr>
                <w:u w:val="single"/>
              </w:rPr>
              <w:t xml:space="preserve">0.2212 </w:t>
            </w:r>
          </w:p>
        </w:tc>
        <w:tc>
          <w:tcPr>
            <w:tcW w:w="699"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eastAsia="宋体"/>
                <w:u w:val="single"/>
              </w:rPr>
            </w:pPr>
            <w:r>
              <w:rPr>
                <w:u w:val="single"/>
              </w:rPr>
              <w:t xml:space="preserve">0.1746 </w:t>
            </w:r>
          </w:p>
        </w:tc>
        <w:tc>
          <w:tcPr>
            <w:tcW w:w="663" w:type="pct"/>
            <w:tcBorders>
              <w:top w:val="single" w:sz="4" w:space="0" w:color="auto"/>
              <w:left w:val="single" w:sz="4" w:space="0" w:color="auto"/>
              <w:bottom w:val="single" w:sz="4" w:space="0" w:color="auto"/>
              <w:right w:val="nil"/>
            </w:tcBorders>
            <w:vAlign w:val="center"/>
          </w:tcPr>
          <w:p w:rsidR="00EE56C0" w:rsidRDefault="000F36A1">
            <w:pPr>
              <w:pStyle w:val="afa"/>
              <w:rPr>
                <w:rFonts w:eastAsia="宋体"/>
                <w:u w:val="single"/>
              </w:rPr>
            </w:pPr>
            <w:r>
              <w:rPr>
                <w:u w:val="single"/>
              </w:rPr>
              <w:t xml:space="preserve">2.7430 </w:t>
            </w:r>
          </w:p>
        </w:tc>
        <w:tc>
          <w:tcPr>
            <w:tcW w:w="763" w:type="pct"/>
            <w:tcBorders>
              <w:top w:val="single" w:sz="4" w:space="0" w:color="auto"/>
              <w:left w:val="single" w:sz="4" w:space="0" w:color="auto"/>
              <w:bottom w:val="single" w:sz="4" w:space="0" w:color="auto"/>
              <w:right w:val="nil"/>
            </w:tcBorders>
            <w:vAlign w:val="center"/>
          </w:tcPr>
          <w:p w:rsidR="00EE56C0" w:rsidRDefault="000F36A1">
            <w:pPr>
              <w:pStyle w:val="afa"/>
              <w:rPr>
                <w:rFonts w:eastAsia="宋体"/>
                <w:u w:val="single"/>
              </w:rPr>
            </w:pPr>
            <w:r>
              <w:rPr>
                <w:u w:val="single"/>
              </w:rPr>
              <w:t xml:space="preserve">0.3810 </w:t>
            </w:r>
          </w:p>
        </w:tc>
        <w:tc>
          <w:tcPr>
            <w:tcW w:w="508"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eastAsia="宋体"/>
                <w:u w:val="single"/>
              </w:rPr>
            </w:pPr>
            <w:r>
              <w:rPr>
                <w:u w:val="single"/>
              </w:rPr>
              <w:t xml:space="preserve">3.73 </w:t>
            </w:r>
          </w:p>
        </w:tc>
        <w:tc>
          <w:tcPr>
            <w:tcW w:w="505" w:type="pct"/>
            <w:vMerge/>
            <w:tcBorders>
              <w:left w:val="single" w:sz="4" w:space="0" w:color="auto"/>
              <w:bottom w:val="single" w:sz="4" w:space="0" w:color="auto"/>
              <w:right w:val="single" w:sz="4" w:space="0" w:color="auto"/>
            </w:tcBorders>
            <w:vAlign w:val="center"/>
          </w:tcPr>
          <w:p w:rsidR="00EE56C0" w:rsidRDefault="00EE56C0">
            <w:pPr>
              <w:pStyle w:val="afa"/>
              <w:rPr>
                <w:rFonts w:eastAsia="宋体"/>
                <w:u w:val="single"/>
              </w:rPr>
            </w:pPr>
          </w:p>
        </w:tc>
      </w:tr>
      <w:tr w:rsidR="00EE56C0">
        <w:trPr>
          <w:trHeight w:val="454"/>
          <w:jc w:val="center"/>
        </w:trPr>
        <w:tc>
          <w:tcPr>
            <w:tcW w:w="549" w:type="pct"/>
            <w:tcBorders>
              <w:top w:val="single" w:sz="4" w:space="0" w:color="auto"/>
              <w:left w:val="single" w:sz="4" w:space="0" w:color="auto"/>
              <w:bottom w:val="single" w:sz="4" w:space="0" w:color="auto"/>
              <w:right w:val="single" w:sz="4" w:space="0" w:color="000000"/>
            </w:tcBorders>
            <w:vAlign w:val="center"/>
          </w:tcPr>
          <w:p w:rsidR="00EE56C0" w:rsidRDefault="000F36A1">
            <w:pPr>
              <w:pStyle w:val="afa"/>
              <w:rPr>
                <w:highlight w:val="yellow"/>
                <w:u w:val="single"/>
              </w:rPr>
            </w:pPr>
            <w:r>
              <w:rPr>
                <w:rFonts w:hint="eastAsia"/>
                <w:u w:val="single"/>
              </w:rPr>
              <w:t>苯</w:t>
            </w:r>
          </w:p>
        </w:tc>
        <w:tc>
          <w:tcPr>
            <w:tcW w:w="661" w:type="pct"/>
            <w:tcBorders>
              <w:top w:val="single" w:sz="4" w:space="0" w:color="auto"/>
              <w:left w:val="single" w:sz="4" w:space="0" w:color="000000"/>
              <w:bottom w:val="single" w:sz="4" w:space="0" w:color="auto"/>
              <w:right w:val="single" w:sz="4" w:space="0" w:color="auto"/>
            </w:tcBorders>
            <w:vAlign w:val="center"/>
          </w:tcPr>
          <w:p w:rsidR="00EE56C0" w:rsidRDefault="000F36A1">
            <w:pPr>
              <w:pStyle w:val="afa"/>
              <w:rPr>
                <w:rFonts w:ascii="宋体" w:eastAsia="宋体" w:hAnsi="宋体" w:cs="宋体"/>
                <w:u w:val="single"/>
              </w:rPr>
            </w:pPr>
            <w:r>
              <w:rPr>
                <w:rFonts w:hint="eastAsia"/>
                <w:u w:val="single"/>
              </w:rPr>
              <w:t>0.1369</w:t>
            </w:r>
          </w:p>
        </w:tc>
        <w:tc>
          <w:tcPr>
            <w:tcW w:w="652"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eastAsia="宋体"/>
                <w:u w:val="single"/>
              </w:rPr>
            </w:pPr>
            <w:r>
              <w:rPr>
                <w:u w:val="single"/>
              </w:rPr>
              <w:t xml:space="preserve">0.0737 </w:t>
            </w:r>
          </w:p>
        </w:tc>
        <w:tc>
          <w:tcPr>
            <w:tcW w:w="699"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eastAsia="宋体"/>
                <w:u w:val="single"/>
              </w:rPr>
            </w:pPr>
            <w:r>
              <w:rPr>
                <w:u w:val="single"/>
              </w:rPr>
              <w:t xml:space="preserve">0.0582 </w:t>
            </w:r>
          </w:p>
        </w:tc>
        <w:tc>
          <w:tcPr>
            <w:tcW w:w="663" w:type="pct"/>
            <w:tcBorders>
              <w:top w:val="single" w:sz="4" w:space="0" w:color="auto"/>
              <w:left w:val="single" w:sz="4" w:space="0" w:color="auto"/>
              <w:bottom w:val="single" w:sz="4" w:space="0" w:color="auto"/>
              <w:right w:val="nil"/>
            </w:tcBorders>
            <w:vAlign w:val="center"/>
          </w:tcPr>
          <w:p w:rsidR="00EE56C0" w:rsidRDefault="000F36A1">
            <w:pPr>
              <w:pStyle w:val="afa"/>
              <w:rPr>
                <w:rFonts w:eastAsia="宋体"/>
                <w:u w:val="single"/>
              </w:rPr>
            </w:pPr>
            <w:r>
              <w:rPr>
                <w:u w:val="single"/>
              </w:rPr>
              <w:t xml:space="preserve">0.2688 </w:t>
            </w:r>
          </w:p>
        </w:tc>
        <w:tc>
          <w:tcPr>
            <w:tcW w:w="763" w:type="pct"/>
            <w:tcBorders>
              <w:top w:val="single" w:sz="4" w:space="0" w:color="auto"/>
              <w:left w:val="single" w:sz="4" w:space="0" w:color="auto"/>
              <w:bottom w:val="single" w:sz="4" w:space="0" w:color="auto"/>
              <w:right w:val="nil"/>
            </w:tcBorders>
            <w:vAlign w:val="center"/>
          </w:tcPr>
          <w:p w:rsidR="00EE56C0" w:rsidRDefault="000F36A1">
            <w:pPr>
              <w:pStyle w:val="afa"/>
              <w:rPr>
                <w:rFonts w:eastAsia="宋体"/>
                <w:u w:val="single"/>
              </w:rPr>
            </w:pPr>
            <w:r>
              <w:rPr>
                <w:u w:val="single"/>
              </w:rPr>
              <w:t xml:space="preserve">0.0373 </w:t>
            </w:r>
          </w:p>
        </w:tc>
        <w:tc>
          <w:tcPr>
            <w:tcW w:w="1013" w:type="pct"/>
            <w:gridSpan w:val="2"/>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eastAsia="宋体"/>
                <w:u w:val="single"/>
              </w:rPr>
            </w:pPr>
            <w:r>
              <w:rPr>
                <w:u w:val="single"/>
              </w:rPr>
              <w:t xml:space="preserve">0.37 </w:t>
            </w:r>
          </w:p>
        </w:tc>
      </w:tr>
      <w:tr w:rsidR="00EE56C0">
        <w:trPr>
          <w:trHeight w:val="454"/>
          <w:jc w:val="center"/>
        </w:trPr>
        <w:tc>
          <w:tcPr>
            <w:tcW w:w="549" w:type="pct"/>
            <w:tcBorders>
              <w:top w:val="single" w:sz="4" w:space="0" w:color="auto"/>
              <w:left w:val="single" w:sz="4" w:space="0" w:color="auto"/>
              <w:bottom w:val="single" w:sz="4" w:space="0" w:color="auto"/>
              <w:right w:val="single" w:sz="4" w:space="0" w:color="000000"/>
            </w:tcBorders>
            <w:vAlign w:val="center"/>
          </w:tcPr>
          <w:p w:rsidR="00EE56C0" w:rsidRDefault="000F36A1">
            <w:pPr>
              <w:pStyle w:val="afa"/>
              <w:rPr>
                <w:u w:val="single"/>
              </w:rPr>
            </w:pPr>
            <w:r>
              <w:rPr>
                <w:rFonts w:hint="eastAsia"/>
                <w:u w:val="single"/>
              </w:rPr>
              <w:t>VOCs</w:t>
            </w:r>
          </w:p>
        </w:tc>
        <w:tc>
          <w:tcPr>
            <w:tcW w:w="661" w:type="pct"/>
            <w:tcBorders>
              <w:top w:val="single" w:sz="4" w:space="0" w:color="auto"/>
              <w:left w:val="single" w:sz="4" w:space="0" w:color="000000"/>
              <w:bottom w:val="single" w:sz="4" w:space="0" w:color="auto"/>
              <w:right w:val="single" w:sz="4" w:space="0" w:color="auto"/>
            </w:tcBorders>
            <w:vAlign w:val="center"/>
          </w:tcPr>
          <w:p w:rsidR="00EE56C0" w:rsidRDefault="000F36A1">
            <w:pPr>
              <w:pStyle w:val="afa"/>
              <w:rPr>
                <w:rFonts w:ascii="宋体" w:eastAsia="宋体" w:hAnsi="宋体" w:cs="宋体"/>
                <w:u w:val="single"/>
              </w:rPr>
            </w:pPr>
            <w:r>
              <w:rPr>
                <w:rFonts w:hint="eastAsia"/>
                <w:u w:val="single"/>
              </w:rPr>
              <w:t>12.8017</w:t>
            </w:r>
          </w:p>
        </w:tc>
        <w:tc>
          <w:tcPr>
            <w:tcW w:w="652"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eastAsia="宋体"/>
                <w:u w:val="single"/>
              </w:rPr>
            </w:pPr>
            <w:r>
              <w:rPr>
                <w:rFonts w:eastAsia="宋体" w:hint="eastAsia"/>
                <w:u w:val="single"/>
              </w:rPr>
              <w:t>0.651</w:t>
            </w:r>
          </w:p>
        </w:tc>
        <w:tc>
          <w:tcPr>
            <w:tcW w:w="699"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eastAsia="宋体"/>
                <w:u w:val="single"/>
              </w:rPr>
            </w:pPr>
            <w:r>
              <w:rPr>
                <w:u w:val="single"/>
              </w:rPr>
              <w:t xml:space="preserve">0.6042 </w:t>
            </w:r>
          </w:p>
        </w:tc>
        <w:tc>
          <w:tcPr>
            <w:tcW w:w="663" w:type="pct"/>
            <w:tcBorders>
              <w:top w:val="single" w:sz="4" w:space="0" w:color="auto"/>
              <w:left w:val="single" w:sz="4" w:space="0" w:color="auto"/>
              <w:bottom w:val="single" w:sz="4" w:space="0" w:color="auto"/>
              <w:right w:val="nil"/>
            </w:tcBorders>
            <w:vAlign w:val="center"/>
          </w:tcPr>
          <w:p w:rsidR="00EE56C0" w:rsidRDefault="000F36A1">
            <w:pPr>
              <w:pStyle w:val="afa"/>
              <w:rPr>
                <w:rFonts w:eastAsia="宋体"/>
                <w:u w:val="single"/>
              </w:rPr>
            </w:pPr>
            <w:r>
              <w:rPr>
                <w:u w:val="single"/>
              </w:rPr>
              <w:t xml:space="preserve">14.0570 </w:t>
            </w:r>
          </w:p>
        </w:tc>
        <w:tc>
          <w:tcPr>
            <w:tcW w:w="763" w:type="pct"/>
            <w:tcBorders>
              <w:top w:val="single" w:sz="4" w:space="0" w:color="auto"/>
              <w:left w:val="single" w:sz="4" w:space="0" w:color="auto"/>
              <w:bottom w:val="single" w:sz="4" w:space="0" w:color="auto"/>
              <w:right w:val="nil"/>
            </w:tcBorders>
            <w:vAlign w:val="center"/>
          </w:tcPr>
          <w:p w:rsidR="00EE56C0" w:rsidRDefault="000F36A1">
            <w:pPr>
              <w:pStyle w:val="afa"/>
              <w:rPr>
                <w:rFonts w:eastAsia="宋体"/>
                <w:u w:val="single"/>
              </w:rPr>
            </w:pPr>
            <w:r>
              <w:rPr>
                <w:u w:val="single"/>
              </w:rPr>
              <w:t xml:space="preserve">1.9524 </w:t>
            </w:r>
          </w:p>
        </w:tc>
        <w:tc>
          <w:tcPr>
            <w:tcW w:w="1013" w:type="pct"/>
            <w:gridSpan w:val="2"/>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eastAsia="宋体"/>
                <w:u w:val="single"/>
              </w:rPr>
            </w:pPr>
            <w:r>
              <w:rPr>
                <w:u w:val="single"/>
              </w:rPr>
              <w:t>/</w:t>
            </w:r>
          </w:p>
        </w:tc>
      </w:tr>
    </w:tbl>
    <w:p w:rsidR="00EE56C0" w:rsidRDefault="000F36A1">
      <w:pPr>
        <w:pStyle w:val="aff4"/>
      </w:pPr>
      <w:r>
        <w:rPr>
          <w:rFonts w:hint="eastAsia"/>
        </w:rPr>
        <w:t>由上表可知，二期建成后，全厂废气酚</w:t>
      </w:r>
      <w:r>
        <w:t>排放浓度、排放速率</w:t>
      </w:r>
      <w:r>
        <w:rPr>
          <w:rFonts w:hint="eastAsia"/>
        </w:rPr>
        <w:t>满足</w:t>
      </w:r>
      <w:r>
        <w:t>《大气污染物综合排放标准》（</w:t>
      </w:r>
      <w:r>
        <w:t>GB16297-1996</w:t>
      </w:r>
      <w:r>
        <w:t>）表</w:t>
      </w:r>
      <w:r>
        <w:t>2</w:t>
      </w:r>
      <w:r>
        <w:t>二级：酚类排放浓度</w:t>
      </w:r>
      <w:r>
        <w:t>100mg/m</w:t>
      </w:r>
      <w:r>
        <w:rPr>
          <w:vertAlign w:val="superscript"/>
        </w:rPr>
        <w:t>3</w:t>
      </w:r>
      <w:r>
        <w:t>、排放速率</w:t>
      </w:r>
      <w:r>
        <w:t>0.1kg/h</w:t>
      </w:r>
      <w:r>
        <w:t>要求</w:t>
      </w:r>
      <w:r>
        <w:rPr>
          <w:rFonts w:hint="eastAsia"/>
        </w:rPr>
        <w:t>，非甲烷总烃、二甲苯、甲苯、苯排放浓度《工业涂装工序挥发性有机物排放标准</w:t>
      </w:r>
      <w:r>
        <w:t>》（</w:t>
      </w:r>
      <w:r>
        <w:t>DB41/1951-2020</w:t>
      </w:r>
      <w:r>
        <w:t>）表</w:t>
      </w:r>
      <w:r>
        <w:t>1</w:t>
      </w:r>
      <w:r>
        <w:t>：非甲烷总烃</w:t>
      </w:r>
      <w:r>
        <w:t>50mg/m</w:t>
      </w:r>
      <w:r>
        <w:rPr>
          <w:vertAlign w:val="superscript"/>
        </w:rPr>
        <w:t>3</w:t>
      </w:r>
      <w:r>
        <w:rPr>
          <w:rFonts w:hint="eastAsia"/>
        </w:rPr>
        <w:t>、</w:t>
      </w:r>
      <w:r>
        <w:t>甲苯与二甲苯合计</w:t>
      </w:r>
      <w:r>
        <w:t>20mg/m</w:t>
      </w:r>
      <w:r>
        <w:rPr>
          <w:vertAlign w:val="superscript"/>
        </w:rPr>
        <w:t>3</w:t>
      </w:r>
      <w:r>
        <w:t>、</w:t>
      </w:r>
      <w:r>
        <w:rPr>
          <w:rFonts w:hint="eastAsia"/>
        </w:rPr>
        <w:t>苯</w:t>
      </w:r>
      <w:r>
        <w:rPr>
          <w:rFonts w:hint="eastAsia"/>
        </w:rPr>
        <w:t>1</w:t>
      </w:r>
      <w:r>
        <w:t>mg/m</w:t>
      </w:r>
      <w:r>
        <w:rPr>
          <w:vertAlign w:val="superscript"/>
        </w:rPr>
        <w:t>3</w:t>
      </w:r>
      <w:r>
        <w:t>要求</w:t>
      </w:r>
      <w:r>
        <w:rPr>
          <w:rFonts w:hint="eastAsia"/>
        </w:rPr>
        <w:t>。</w:t>
      </w:r>
    </w:p>
    <w:p w:rsidR="00EE56C0" w:rsidRDefault="000F36A1">
      <w:pPr>
        <w:pStyle w:val="3"/>
        <w:spacing w:before="240" w:after="120"/>
        <w:rPr>
          <w:highlight w:val="yellow"/>
        </w:rPr>
      </w:pPr>
      <w:r>
        <w:rPr>
          <w:rFonts w:hint="eastAsia"/>
        </w:rPr>
        <w:t>6.2.2</w:t>
      </w:r>
      <w:r>
        <w:rPr>
          <w:rFonts w:hint="eastAsia"/>
        </w:rPr>
        <w:t>无组织废气</w:t>
      </w:r>
    </w:p>
    <w:p w:rsidR="00EE56C0" w:rsidRDefault="000F36A1">
      <w:pPr>
        <w:ind w:firstLine="480"/>
      </w:pPr>
      <w:r>
        <w:rPr>
          <w:rFonts w:hint="eastAsia"/>
        </w:rPr>
        <w:t>无组织废气主要为漆包线及丝包线的浸漆、烘干工序逸散的无组织废气。</w:t>
      </w:r>
    </w:p>
    <w:p w:rsidR="00EE56C0" w:rsidRDefault="000F36A1">
      <w:pPr>
        <w:ind w:firstLine="480"/>
      </w:pPr>
      <w:r>
        <w:rPr>
          <w:rFonts w:hint="eastAsia"/>
        </w:rPr>
        <w:t>漆包线生产过程中</w:t>
      </w:r>
      <w:r>
        <w:t>，</w:t>
      </w:r>
      <w:r>
        <w:rPr>
          <w:rFonts w:hint="eastAsia"/>
        </w:rPr>
        <w:t>卧机约</w:t>
      </w:r>
      <w:r>
        <w:rPr>
          <w:rFonts w:hint="eastAsia"/>
        </w:rPr>
        <w:t>0.3%</w:t>
      </w:r>
      <w:r>
        <w:rPr>
          <w:rFonts w:hint="eastAsia"/>
        </w:rPr>
        <w:t>的废气和立机约</w:t>
      </w:r>
      <w:r>
        <w:rPr>
          <w:rFonts w:hint="eastAsia"/>
        </w:rPr>
        <w:t>0.1%</w:t>
      </w:r>
      <w:r>
        <w:rPr>
          <w:rFonts w:hint="eastAsia"/>
        </w:rPr>
        <w:t>的废气在涂漆、烘炉进出口</w:t>
      </w:r>
      <w:r>
        <w:t>逸出</w:t>
      </w:r>
      <w:r>
        <w:rPr>
          <w:rFonts w:hint="eastAsia"/>
        </w:rPr>
        <w:t>，</w:t>
      </w:r>
      <w:r>
        <w:t>产生</w:t>
      </w:r>
      <w:r>
        <w:rPr>
          <w:rFonts w:hint="eastAsia"/>
        </w:rPr>
        <w:t>无组织</w:t>
      </w:r>
      <w:r>
        <w:t>废气。</w:t>
      </w:r>
      <w:r>
        <w:rPr>
          <w:rFonts w:hint="eastAsia"/>
        </w:rPr>
        <w:t>丝包线生产过程中，约</w:t>
      </w:r>
      <w:r>
        <w:rPr>
          <w:rFonts w:hint="eastAsia"/>
        </w:rPr>
        <w:t>0.5%</w:t>
      </w:r>
      <w:r>
        <w:rPr>
          <w:rFonts w:hint="eastAsia"/>
        </w:rPr>
        <w:t>的废气在涂漆、烘炉进出口</w:t>
      </w:r>
      <w:r>
        <w:t>逸出</w:t>
      </w:r>
      <w:r>
        <w:rPr>
          <w:rFonts w:hint="eastAsia"/>
        </w:rPr>
        <w:t>，</w:t>
      </w:r>
      <w:r>
        <w:t>产生</w:t>
      </w:r>
      <w:r>
        <w:rPr>
          <w:rFonts w:hint="eastAsia"/>
        </w:rPr>
        <w:t>无组织</w:t>
      </w:r>
      <w:r>
        <w:t>废气。</w:t>
      </w:r>
    </w:p>
    <w:p w:rsidR="00EE56C0" w:rsidRDefault="000F36A1">
      <w:pPr>
        <w:ind w:firstLine="480"/>
      </w:pPr>
      <w:r>
        <w:rPr>
          <w:rFonts w:hint="eastAsia"/>
        </w:rPr>
        <w:t>一期、二期、全厂无组织废气排放情况分别见下表。</w:t>
      </w:r>
    </w:p>
    <w:p w:rsidR="00EE56C0" w:rsidRDefault="000F36A1">
      <w:pPr>
        <w:pStyle w:val="afd"/>
        <w:spacing w:before="120" w:after="120"/>
        <w:ind w:firstLine="482"/>
      </w:pPr>
      <w:r>
        <w:rPr>
          <w:rFonts w:hint="eastAsia"/>
        </w:rPr>
        <w:t>表</w:t>
      </w:r>
      <w:r w:rsidR="005767FB">
        <w:rPr>
          <w:rFonts w:hint="eastAsia"/>
        </w:rPr>
        <w:t>6-6</w:t>
      </w:r>
      <w:r>
        <w:rPr>
          <w:rFonts w:hint="eastAsia"/>
        </w:rPr>
        <w:t xml:space="preserve">              </w:t>
      </w:r>
      <w:r>
        <w:rPr>
          <w:rFonts w:hint="eastAsia"/>
        </w:rPr>
        <w:t>一期无组织废气排放情况</w:t>
      </w:r>
      <w:r>
        <w:rPr>
          <w:rFonts w:hint="eastAsia"/>
        </w:rPr>
        <w:t xml:space="preserve">        </w:t>
      </w:r>
      <w:r>
        <w:rPr>
          <w:rFonts w:hint="eastAsia"/>
        </w:rPr>
        <w:t>单位：</w:t>
      </w:r>
      <w:r>
        <w:rPr>
          <w:rFonts w:hint="eastAsia"/>
        </w:rPr>
        <w:t>t/a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26"/>
        <w:gridCol w:w="1416"/>
        <w:gridCol w:w="1986"/>
        <w:gridCol w:w="1559"/>
        <w:gridCol w:w="2042"/>
      </w:tblGrid>
      <w:tr w:rsidR="00EE56C0">
        <w:trPr>
          <w:trHeight w:val="397"/>
        </w:trPr>
        <w:tc>
          <w:tcPr>
            <w:tcW w:w="895" w:type="pct"/>
            <w:vMerge w:val="restart"/>
            <w:vAlign w:val="center"/>
          </w:tcPr>
          <w:p w:rsidR="00EE56C0" w:rsidRDefault="000F36A1">
            <w:pPr>
              <w:pStyle w:val="aff1"/>
              <w:rPr>
                <w:color w:val="auto"/>
              </w:rPr>
            </w:pPr>
            <w:r>
              <w:rPr>
                <w:color w:val="auto"/>
                <w:szCs w:val="21"/>
              </w:rPr>
              <w:t>污染物</w:t>
            </w:r>
          </w:p>
        </w:tc>
        <w:tc>
          <w:tcPr>
            <w:tcW w:w="4105" w:type="pct"/>
            <w:gridSpan w:val="4"/>
            <w:vAlign w:val="center"/>
          </w:tcPr>
          <w:p w:rsidR="00EE56C0" w:rsidRDefault="000F36A1">
            <w:pPr>
              <w:pStyle w:val="aff1"/>
              <w:rPr>
                <w:color w:val="auto"/>
              </w:rPr>
            </w:pPr>
            <w:r>
              <w:rPr>
                <w:rFonts w:hint="eastAsia"/>
                <w:color w:val="auto"/>
              </w:rPr>
              <w:t>一期</w:t>
            </w:r>
          </w:p>
        </w:tc>
      </w:tr>
      <w:tr w:rsidR="00EE56C0">
        <w:trPr>
          <w:trHeight w:val="397"/>
        </w:trPr>
        <w:tc>
          <w:tcPr>
            <w:tcW w:w="895" w:type="pct"/>
            <w:vMerge/>
            <w:vAlign w:val="center"/>
          </w:tcPr>
          <w:p w:rsidR="00EE56C0" w:rsidRDefault="00EE56C0">
            <w:pPr>
              <w:pStyle w:val="aff1"/>
              <w:rPr>
                <w:color w:val="auto"/>
                <w:szCs w:val="21"/>
              </w:rPr>
            </w:pPr>
          </w:p>
        </w:tc>
        <w:tc>
          <w:tcPr>
            <w:tcW w:w="830" w:type="pct"/>
            <w:vMerge w:val="restart"/>
            <w:vAlign w:val="center"/>
          </w:tcPr>
          <w:p w:rsidR="00EE56C0" w:rsidRDefault="000F36A1">
            <w:pPr>
              <w:pStyle w:val="aff1"/>
              <w:rPr>
                <w:color w:val="auto"/>
              </w:rPr>
            </w:pPr>
            <w:r>
              <w:rPr>
                <w:rFonts w:hint="eastAsia"/>
                <w:color w:val="auto"/>
              </w:rPr>
              <w:t>漆包线</w:t>
            </w:r>
          </w:p>
        </w:tc>
        <w:tc>
          <w:tcPr>
            <w:tcW w:w="1164" w:type="pct"/>
            <w:vMerge w:val="restart"/>
            <w:vAlign w:val="center"/>
          </w:tcPr>
          <w:p w:rsidR="00EE56C0" w:rsidRDefault="000F36A1">
            <w:pPr>
              <w:pStyle w:val="aff1"/>
              <w:rPr>
                <w:color w:val="auto"/>
              </w:rPr>
            </w:pPr>
            <w:r>
              <w:rPr>
                <w:rFonts w:hint="eastAsia"/>
                <w:color w:val="auto"/>
              </w:rPr>
              <w:t>丝包线</w:t>
            </w:r>
          </w:p>
        </w:tc>
        <w:tc>
          <w:tcPr>
            <w:tcW w:w="2111" w:type="pct"/>
            <w:gridSpan w:val="2"/>
            <w:vAlign w:val="center"/>
          </w:tcPr>
          <w:p w:rsidR="00EE56C0" w:rsidRDefault="000F36A1">
            <w:pPr>
              <w:pStyle w:val="aff1"/>
              <w:rPr>
                <w:color w:val="auto"/>
              </w:rPr>
            </w:pPr>
            <w:r>
              <w:rPr>
                <w:rFonts w:hint="eastAsia"/>
                <w:color w:val="auto"/>
              </w:rPr>
              <w:t>总计</w:t>
            </w:r>
          </w:p>
        </w:tc>
      </w:tr>
      <w:tr w:rsidR="00EE56C0">
        <w:trPr>
          <w:trHeight w:val="397"/>
        </w:trPr>
        <w:tc>
          <w:tcPr>
            <w:tcW w:w="895" w:type="pct"/>
            <w:vMerge/>
            <w:vAlign w:val="center"/>
          </w:tcPr>
          <w:p w:rsidR="00EE56C0" w:rsidRDefault="00EE56C0">
            <w:pPr>
              <w:pStyle w:val="aff1"/>
              <w:rPr>
                <w:color w:val="auto"/>
                <w:szCs w:val="21"/>
              </w:rPr>
            </w:pPr>
          </w:p>
        </w:tc>
        <w:tc>
          <w:tcPr>
            <w:tcW w:w="830" w:type="pct"/>
            <w:vMerge/>
            <w:vAlign w:val="center"/>
          </w:tcPr>
          <w:p w:rsidR="00EE56C0" w:rsidRDefault="00EE56C0">
            <w:pPr>
              <w:pStyle w:val="aff1"/>
              <w:rPr>
                <w:color w:val="auto"/>
              </w:rPr>
            </w:pPr>
          </w:p>
        </w:tc>
        <w:tc>
          <w:tcPr>
            <w:tcW w:w="1164" w:type="pct"/>
            <w:vMerge/>
            <w:vAlign w:val="center"/>
          </w:tcPr>
          <w:p w:rsidR="00EE56C0" w:rsidRDefault="00EE56C0">
            <w:pPr>
              <w:pStyle w:val="aff1"/>
              <w:rPr>
                <w:color w:val="auto"/>
              </w:rPr>
            </w:pPr>
          </w:p>
        </w:tc>
        <w:tc>
          <w:tcPr>
            <w:tcW w:w="914" w:type="pct"/>
            <w:vAlign w:val="center"/>
          </w:tcPr>
          <w:p w:rsidR="00EE56C0" w:rsidRDefault="000F36A1">
            <w:pPr>
              <w:pStyle w:val="aff1"/>
              <w:rPr>
                <w:color w:val="auto"/>
              </w:rPr>
            </w:pPr>
            <w:r>
              <w:rPr>
                <w:rFonts w:hint="eastAsia"/>
                <w:color w:val="auto"/>
              </w:rPr>
              <w:t>排放量</w:t>
            </w:r>
          </w:p>
        </w:tc>
        <w:tc>
          <w:tcPr>
            <w:tcW w:w="1197" w:type="pct"/>
            <w:vAlign w:val="center"/>
          </w:tcPr>
          <w:p w:rsidR="00EE56C0" w:rsidRDefault="000F36A1">
            <w:pPr>
              <w:pStyle w:val="aff1"/>
              <w:rPr>
                <w:color w:val="auto"/>
              </w:rPr>
            </w:pPr>
            <w:r>
              <w:rPr>
                <w:rFonts w:hint="eastAsia"/>
                <w:color w:val="auto"/>
              </w:rPr>
              <w:t>排放速率（</w:t>
            </w:r>
            <w:r>
              <w:rPr>
                <w:rFonts w:hint="eastAsia"/>
                <w:color w:val="auto"/>
              </w:rPr>
              <w:t>kg/h</w:t>
            </w:r>
            <w:r>
              <w:rPr>
                <w:rFonts w:hint="eastAsia"/>
                <w:color w:val="auto"/>
              </w:rPr>
              <w:t>）</w:t>
            </w:r>
          </w:p>
        </w:tc>
      </w:tr>
      <w:tr w:rsidR="00EE56C0">
        <w:trPr>
          <w:trHeight w:val="397"/>
        </w:trPr>
        <w:tc>
          <w:tcPr>
            <w:tcW w:w="895" w:type="pct"/>
            <w:vAlign w:val="center"/>
          </w:tcPr>
          <w:p w:rsidR="00EE56C0" w:rsidRDefault="000F36A1">
            <w:pPr>
              <w:pStyle w:val="afa"/>
            </w:pPr>
            <w:r>
              <w:rPr>
                <w:rFonts w:hint="eastAsia"/>
              </w:rPr>
              <w:t>酚</w:t>
            </w:r>
          </w:p>
        </w:tc>
        <w:tc>
          <w:tcPr>
            <w:tcW w:w="830" w:type="pct"/>
            <w:vAlign w:val="center"/>
          </w:tcPr>
          <w:p w:rsidR="00EE56C0" w:rsidRDefault="000F36A1">
            <w:pPr>
              <w:pStyle w:val="afa"/>
              <w:rPr>
                <w:rFonts w:eastAsia="宋体"/>
              </w:rPr>
            </w:pPr>
            <w:r>
              <w:t xml:space="preserve">0.2216 </w:t>
            </w:r>
          </w:p>
        </w:tc>
        <w:tc>
          <w:tcPr>
            <w:tcW w:w="1164" w:type="pct"/>
            <w:vAlign w:val="center"/>
          </w:tcPr>
          <w:p w:rsidR="00EE56C0" w:rsidRDefault="000F36A1">
            <w:pPr>
              <w:pStyle w:val="afa"/>
              <w:rPr>
                <w:rFonts w:ascii="宋体" w:eastAsia="宋体" w:hAnsi="宋体" w:cs="宋体"/>
              </w:rPr>
            </w:pPr>
            <w:r>
              <w:rPr>
                <w:rFonts w:hint="eastAsia"/>
              </w:rPr>
              <w:t>0</w:t>
            </w:r>
          </w:p>
        </w:tc>
        <w:tc>
          <w:tcPr>
            <w:tcW w:w="914" w:type="pct"/>
            <w:vAlign w:val="center"/>
          </w:tcPr>
          <w:p w:rsidR="00EE56C0" w:rsidRDefault="000F36A1">
            <w:pPr>
              <w:pStyle w:val="afa"/>
              <w:rPr>
                <w:rFonts w:eastAsia="宋体"/>
              </w:rPr>
            </w:pPr>
            <w:r>
              <w:t xml:space="preserve">0.2216 </w:t>
            </w:r>
          </w:p>
        </w:tc>
        <w:tc>
          <w:tcPr>
            <w:tcW w:w="1197" w:type="pct"/>
            <w:vAlign w:val="center"/>
          </w:tcPr>
          <w:p w:rsidR="00EE56C0" w:rsidRDefault="000F36A1">
            <w:pPr>
              <w:pStyle w:val="afa"/>
              <w:rPr>
                <w:rFonts w:ascii="宋体" w:eastAsia="宋体" w:hAnsi="宋体" w:cs="宋体"/>
              </w:rPr>
            </w:pPr>
            <w:r>
              <w:rPr>
                <w:rFonts w:hint="eastAsia"/>
              </w:rPr>
              <w:t xml:space="preserve">0.0308 </w:t>
            </w:r>
          </w:p>
        </w:tc>
      </w:tr>
      <w:tr w:rsidR="00EE56C0">
        <w:trPr>
          <w:trHeight w:val="397"/>
        </w:trPr>
        <w:tc>
          <w:tcPr>
            <w:tcW w:w="895" w:type="pct"/>
            <w:vAlign w:val="center"/>
          </w:tcPr>
          <w:p w:rsidR="00EE56C0" w:rsidRDefault="000F36A1">
            <w:pPr>
              <w:pStyle w:val="afa"/>
            </w:pPr>
            <w:r>
              <w:t>非甲烷总烃</w:t>
            </w:r>
          </w:p>
        </w:tc>
        <w:tc>
          <w:tcPr>
            <w:tcW w:w="830" w:type="pct"/>
            <w:vAlign w:val="center"/>
          </w:tcPr>
          <w:p w:rsidR="00EE56C0" w:rsidRDefault="000F36A1">
            <w:pPr>
              <w:pStyle w:val="afa"/>
              <w:rPr>
                <w:rFonts w:eastAsia="宋体"/>
              </w:rPr>
            </w:pPr>
            <w:r>
              <w:t xml:space="preserve">0.1362 </w:t>
            </w:r>
          </w:p>
        </w:tc>
        <w:tc>
          <w:tcPr>
            <w:tcW w:w="1164" w:type="pct"/>
            <w:vAlign w:val="center"/>
          </w:tcPr>
          <w:p w:rsidR="00EE56C0" w:rsidRDefault="000F36A1">
            <w:pPr>
              <w:pStyle w:val="afa"/>
              <w:rPr>
                <w:rFonts w:ascii="宋体" w:eastAsia="宋体" w:hAnsi="宋体" w:cs="宋体"/>
              </w:rPr>
            </w:pPr>
            <w:r>
              <w:rPr>
                <w:rFonts w:ascii="宋体" w:eastAsia="宋体" w:hAnsi="宋体" w:cs="宋体" w:hint="eastAsia"/>
              </w:rPr>
              <w:t>0.0185</w:t>
            </w:r>
          </w:p>
        </w:tc>
        <w:tc>
          <w:tcPr>
            <w:tcW w:w="914" w:type="pct"/>
            <w:vAlign w:val="center"/>
          </w:tcPr>
          <w:p w:rsidR="00EE56C0" w:rsidRDefault="000F36A1">
            <w:pPr>
              <w:pStyle w:val="afa"/>
              <w:rPr>
                <w:rFonts w:eastAsia="宋体"/>
              </w:rPr>
            </w:pPr>
            <w:r>
              <w:t xml:space="preserve">0.1547 </w:t>
            </w:r>
          </w:p>
        </w:tc>
        <w:tc>
          <w:tcPr>
            <w:tcW w:w="1197" w:type="pct"/>
            <w:vAlign w:val="center"/>
          </w:tcPr>
          <w:p w:rsidR="00EE56C0" w:rsidRDefault="000F36A1">
            <w:pPr>
              <w:pStyle w:val="afa"/>
              <w:rPr>
                <w:rFonts w:ascii="宋体" w:eastAsia="宋体" w:hAnsi="宋体" w:cs="宋体"/>
              </w:rPr>
            </w:pPr>
            <w:r>
              <w:rPr>
                <w:rFonts w:hint="eastAsia"/>
              </w:rPr>
              <w:t xml:space="preserve">0.0215 </w:t>
            </w:r>
          </w:p>
        </w:tc>
      </w:tr>
      <w:tr w:rsidR="00EE56C0">
        <w:trPr>
          <w:trHeight w:val="397"/>
        </w:trPr>
        <w:tc>
          <w:tcPr>
            <w:tcW w:w="895" w:type="pct"/>
            <w:vAlign w:val="center"/>
          </w:tcPr>
          <w:p w:rsidR="00EE56C0" w:rsidRDefault="000F36A1">
            <w:pPr>
              <w:pStyle w:val="afa"/>
            </w:pPr>
            <w:r>
              <w:rPr>
                <w:rFonts w:hint="eastAsia"/>
              </w:rPr>
              <w:lastRenderedPageBreak/>
              <w:t>二甲苯</w:t>
            </w:r>
          </w:p>
        </w:tc>
        <w:tc>
          <w:tcPr>
            <w:tcW w:w="830" w:type="pct"/>
            <w:vAlign w:val="center"/>
          </w:tcPr>
          <w:p w:rsidR="00EE56C0" w:rsidRDefault="000F36A1">
            <w:pPr>
              <w:pStyle w:val="afa"/>
              <w:rPr>
                <w:rFonts w:eastAsia="宋体"/>
              </w:rPr>
            </w:pPr>
            <w:r>
              <w:t xml:space="preserve">0.0240 </w:t>
            </w:r>
          </w:p>
        </w:tc>
        <w:tc>
          <w:tcPr>
            <w:tcW w:w="1164" w:type="pct"/>
            <w:vAlign w:val="center"/>
          </w:tcPr>
          <w:p w:rsidR="00EE56C0" w:rsidRDefault="000F36A1">
            <w:pPr>
              <w:pStyle w:val="afa"/>
              <w:rPr>
                <w:rFonts w:ascii="宋体" w:eastAsia="宋体" w:hAnsi="宋体" w:cs="宋体"/>
              </w:rPr>
            </w:pPr>
            <w:r>
              <w:rPr>
                <w:rFonts w:ascii="宋体" w:eastAsia="宋体" w:hAnsi="宋体" w:cs="宋体" w:hint="eastAsia"/>
              </w:rPr>
              <w:t>0.0556</w:t>
            </w:r>
          </w:p>
        </w:tc>
        <w:tc>
          <w:tcPr>
            <w:tcW w:w="914" w:type="pct"/>
            <w:vAlign w:val="center"/>
          </w:tcPr>
          <w:p w:rsidR="00EE56C0" w:rsidRDefault="000F36A1">
            <w:pPr>
              <w:pStyle w:val="afa"/>
              <w:rPr>
                <w:rFonts w:eastAsia="宋体"/>
              </w:rPr>
            </w:pPr>
            <w:r>
              <w:t xml:space="preserve">0.0796 </w:t>
            </w:r>
          </w:p>
        </w:tc>
        <w:tc>
          <w:tcPr>
            <w:tcW w:w="1197" w:type="pct"/>
            <w:vAlign w:val="center"/>
          </w:tcPr>
          <w:p w:rsidR="00EE56C0" w:rsidRDefault="000F36A1">
            <w:pPr>
              <w:pStyle w:val="afa"/>
              <w:rPr>
                <w:rFonts w:ascii="宋体" w:eastAsia="宋体" w:hAnsi="宋体" w:cs="宋体"/>
              </w:rPr>
            </w:pPr>
            <w:r>
              <w:rPr>
                <w:rFonts w:hint="eastAsia"/>
              </w:rPr>
              <w:t xml:space="preserve">0.0111 </w:t>
            </w:r>
          </w:p>
        </w:tc>
      </w:tr>
      <w:tr w:rsidR="00EE56C0">
        <w:trPr>
          <w:trHeight w:val="397"/>
        </w:trPr>
        <w:tc>
          <w:tcPr>
            <w:tcW w:w="895" w:type="pct"/>
            <w:vAlign w:val="center"/>
          </w:tcPr>
          <w:p w:rsidR="00EE56C0" w:rsidRDefault="000F36A1">
            <w:pPr>
              <w:pStyle w:val="afa"/>
            </w:pPr>
            <w:r>
              <w:rPr>
                <w:rFonts w:hint="eastAsia"/>
              </w:rPr>
              <w:t>甲苯</w:t>
            </w:r>
          </w:p>
        </w:tc>
        <w:tc>
          <w:tcPr>
            <w:tcW w:w="830" w:type="pct"/>
            <w:vAlign w:val="center"/>
          </w:tcPr>
          <w:p w:rsidR="00EE56C0" w:rsidRDefault="000F36A1">
            <w:pPr>
              <w:pStyle w:val="afa"/>
              <w:rPr>
                <w:rFonts w:ascii="宋体" w:eastAsia="宋体" w:hAnsi="宋体" w:cs="宋体"/>
              </w:rPr>
            </w:pPr>
            <w:r>
              <w:rPr>
                <w:rFonts w:hint="eastAsia"/>
              </w:rPr>
              <w:t>0</w:t>
            </w:r>
          </w:p>
        </w:tc>
        <w:tc>
          <w:tcPr>
            <w:tcW w:w="1164" w:type="pct"/>
            <w:vAlign w:val="center"/>
          </w:tcPr>
          <w:p w:rsidR="00EE56C0" w:rsidRDefault="000F36A1">
            <w:pPr>
              <w:pStyle w:val="afa"/>
              <w:rPr>
                <w:rFonts w:ascii="宋体" w:eastAsia="宋体" w:hAnsi="宋体" w:cs="宋体"/>
              </w:rPr>
            </w:pPr>
            <w:r>
              <w:rPr>
                <w:rFonts w:ascii="宋体" w:eastAsia="宋体" w:hAnsi="宋体" w:cs="宋体" w:hint="eastAsia"/>
              </w:rPr>
              <w:t>0.0556</w:t>
            </w:r>
          </w:p>
        </w:tc>
        <w:tc>
          <w:tcPr>
            <w:tcW w:w="914" w:type="pct"/>
            <w:vAlign w:val="center"/>
          </w:tcPr>
          <w:p w:rsidR="00EE56C0" w:rsidRDefault="000F36A1">
            <w:pPr>
              <w:pStyle w:val="afa"/>
              <w:rPr>
                <w:rFonts w:eastAsia="宋体"/>
              </w:rPr>
            </w:pPr>
            <w:r>
              <w:t xml:space="preserve">0.0556 </w:t>
            </w:r>
          </w:p>
        </w:tc>
        <w:tc>
          <w:tcPr>
            <w:tcW w:w="1197" w:type="pct"/>
            <w:vAlign w:val="center"/>
          </w:tcPr>
          <w:p w:rsidR="00EE56C0" w:rsidRDefault="000F36A1">
            <w:pPr>
              <w:pStyle w:val="afa"/>
              <w:rPr>
                <w:rFonts w:ascii="宋体" w:eastAsia="宋体" w:hAnsi="宋体" w:cs="宋体"/>
              </w:rPr>
            </w:pPr>
            <w:r>
              <w:rPr>
                <w:rFonts w:hint="eastAsia"/>
              </w:rPr>
              <w:t xml:space="preserve">0.0077 </w:t>
            </w:r>
          </w:p>
        </w:tc>
      </w:tr>
      <w:tr w:rsidR="00EE56C0">
        <w:trPr>
          <w:trHeight w:val="397"/>
        </w:trPr>
        <w:tc>
          <w:tcPr>
            <w:tcW w:w="895" w:type="pct"/>
            <w:vAlign w:val="center"/>
          </w:tcPr>
          <w:p w:rsidR="00EE56C0" w:rsidRDefault="000F36A1">
            <w:pPr>
              <w:pStyle w:val="afa"/>
              <w:rPr>
                <w:highlight w:val="yellow"/>
              </w:rPr>
            </w:pPr>
            <w:r>
              <w:rPr>
                <w:rFonts w:hint="eastAsia"/>
              </w:rPr>
              <w:t>苯</w:t>
            </w:r>
          </w:p>
        </w:tc>
        <w:tc>
          <w:tcPr>
            <w:tcW w:w="830" w:type="pct"/>
            <w:vAlign w:val="center"/>
          </w:tcPr>
          <w:p w:rsidR="00EE56C0" w:rsidRDefault="000F36A1">
            <w:pPr>
              <w:pStyle w:val="afa"/>
              <w:rPr>
                <w:rFonts w:ascii="宋体" w:eastAsia="宋体" w:hAnsi="宋体" w:cs="宋体"/>
              </w:rPr>
            </w:pPr>
            <w:r>
              <w:rPr>
                <w:rFonts w:hint="eastAsia"/>
              </w:rPr>
              <w:t>0</w:t>
            </w:r>
          </w:p>
        </w:tc>
        <w:tc>
          <w:tcPr>
            <w:tcW w:w="1164" w:type="pct"/>
            <w:vAlign w:val="center"/>
          </w:tcPr>
          <w:p w:rsidR="00EE56C0" w:rsidRDefault="000F36A1">
            <w:pPr>
              <w:pStyle w:val="afa"/>
              <w:rPr>
                <w:rFonts w:ascii="宋体" w:eastAsia="宋体" w:hAnsi="宋体" w:cs="宋体"/>
              </w:rPr>
            </w:pPr>
            <w:r>
              <w:rPr>
                <w:rFonts w:ascii="宋体" w:eastAsia="宋体" w:hAnsi="宋体" w:cs="宋体" w:hint="eastAsia"/>
              </w:rPr>
              <w:t>0.0185</w:t>
            </w:r>
          </w:p>
        </w:tc>
        <w:tc>
          <w:tcPr>
            <w:tcW w:w="914" w:type="pct"/>
            <w:vAlign w:val="center"/>
          </w:tcPr>
          <w:p w:rsidR="00EE56C0" w:rsidRDefault="000F36A1">
            <w:pPr>
              <w:pStyle w:val="afa"/>
              <w:rPr>
                <w:rFonts w:eastAsia="宋体"/>
              </w:rPr>
            </w:pPr>
            <w:r>
              <w:t xml:space="preserve">0.0185 </w:t>
            </w:r>
          </w:p>
        </w:tc>
        <w:tc>
          <w:tcPr>
            <w:tcW w:w="1197" w:type="pct"/>
            <w:vAlign w:val="center"/>
          </w:tcPr>
          <w:p w:rsidR="00EE56C0" w:rsidRDefault="000F36A1">
            <w:pPr>
              <w:pStyle w:val="afa"/>
              <w:rPr>
                <w:rFonts w:ascii="宋体" w:eastAsia="宋体" w:hAnsi="宋体" w:cs="宋体"/>
              </w:rPr>
            </w:pPr>
            <w:r>
              <w:rPr>
                <w:rFonts w:hint="eastAsia"/>
              </w:rPr>
              <w:t xml:space="preserve">0.0026 </w:t>
            </w:r>
          </w:p>
        </w:tc>
      </w:tr>
      <w:tr w:rsidR="00EE56C0">
        <w:trPr>
          <w:trHeight w:val="397"/>
        </w:trPr>
        <w:tc>
          <w:tcPr>
            <w:tcW w:w="895" w:type="pct"/>
            <w:vAlign w:val="center"/>
          </w:tcPr>
          <w:p w:rsidR="00EE56C0" w:rsidRDefault="000F36A1">
            <w:pPr>
              <w:pStyle w:val="afa"/>
            </w:pPr>
            <w:r>
              <w:rPr>
                <w:rFonts w:hint="eastAsia"/>
              </w:rPr>
              <w:t>VOCs</w:t>
            </w:r>
            <w:r>
              <w:rPr>
                <w:rFonts w:hint="eastAsia"/>
              </w:rPr>
              <w:t>总计</w:t>
            </w:r>
          </w:p>
        </w:tc>
        <w:tc>
          <w:tcPr>
            <w:tcW w:w="830" w:type="pct"/>
            <w:vAlign w:val="center"/>
          </w:tcPr>
          <w:p w:rsidR="00EE56C0" w:rsidRDefault="000F36A1">
            <w:pPr>
              <w:pStyle w:val="afa"/>
              <w:rPr>
                <w:rFonts w:ascii="宋体" w:eastAsia="宋体" w:hAnsi="宋体" w:cs="宋体"/>
              </w:rPr>
            </w:pPr>
            <w:r>
              <w:rPr>
                <w:rFonts w:hint="eastAsia"/>
              </w:rPr>
              <w:t>0.3818</w:t>
            </w:r>
          </w:p>
        </w:tc>
        <w:tc>
          <w:tcPr>
            <w:tcW w:w="1164" w:type="pct"/>
            <w:vAlign w:val="center"/>
          </w:tcPr>
          <w:p w:rsidR="00EE56C0" w:rsidRDefault="000F36A1">
            <w:pPr>
              <w:pStyle w:val="afa"/>
              <w:rPr>
                <w:rFonts w:ascii="宋体" w:eastAsia="宋体" w:hAnsi="宋体" w:cs="宋体"/>
              </w:rPr>
            </w:pPr>
            <w:r>
              <w:rPr>
                <w:rFonts w:hint="eastAsia"/>
              </w:rPr>
              <w:t>0.1334</w:t>
            </w:r>
          </w:p>
        </w:tc>
        <w:tc>
          <w:tcPr>
            <w:tcW w:w="914" w:type="pct"/>
            <w:vAlign w:val="center"/>
          </w:tcPr>
          <w:p w:rsidR="00EE56C0" w:rsidRDefault="000F36A1">
            <w:pPr>
              <w:pStyle w:val="afa"/>
              <w:rPr>
                <w:rFonts w:eastAsia="宋体"/>
              </w:rPr>
            </w:pPr>
            <w:r>
              <w:t xml:space="preserve">0.5299 </w:t>
            </w:r>
          </w:p>
        </w:tc>
        <w:tc>
          <w:tcPr>
            <w:tcW w:w="1197" w:type="pct"/>
            <w:vAlign w:val="center"/>
          </w:tcPr>
          <w:p w:rsidR="00EE56C0" w:rsidRDefault="000F36A1">
            <w:pPr>
              <w:pStyle w:val="afa"/>
              <w:rPr>
                <w:rFonts w:ascii="宋体" w:eastAsia="宋体" w:hAnsi="宋体" w:cs="宋体"/>
              </w:rPr>
            </w:pPr>
            <w:r>
              <w:rPr>
                <w:rFonts w:hint="eastAsia"/>
              </w:rPr>
              <w:t xml:space="preserve">0.0736 </w:t>
            </w:r>
          </w:p>
        </w:tc>
      </w:tr>
    </w:tbl>
    <w:p w:rsidR="00EE56C0" w:rsidRDefault="000F36A1">
      <w:pPr>
        <w:pStyle w:val="afd"/>
        <w:spacing w:before="120" w:after="120"/>
        <w:ind w:firstLine="482"/>
      </w:pPr>
      <w:r>
        <w:rPr>
          <w:rFonts w:hint="eastAsia"/>
        </w:rPr>
        <w:t>表</w:t>
      </w:r>
      <w:r w:rsidR="005767FB">
        <w:rPr>
          <w:rFonts w:hint="eastAsia"/>
        </w:rPr>
        <w:t>6-7</w:t>
      </w:r>
      <w:r>
        <w:rPr>
          <w:rFonts w:hint="eastAsia"/>
        </w:rPr>
        <w:t xml:space="preserve">             </w:t>
      </w:r>
      <w:r>
        <w:rPr>
          <w:rFonts w:hint="eastAsia"/>
        </w:rPr>
        <w:t>二期无组织废气产生情况</w:t>
      </w:r>
      <w:r>
        <w:rPr>
          <w:rFonts w:hint="eastAsia"/>
        </w:rPr>
        <w:t xml:space="preserve">        </w:t>
      </w:r>
      <w:r>
        <w:rPr>
          <w:rFonts w:hint="eastAsia"/>
        </w:rPr>
        <w:t>单位：</w:t>
      </w:r>
      <w:r>
        <w:rPr>
          <w:rFonts w:hint="eastAsia"/>
        </w:rPr>
        <w:t>t/a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10"/>
        <w:gridCol w:w="1561"/>
        <w:gridCol w:w="1841"/>
        <w:gridCol w:w="1702"/>
        <w:gridCol w:w="1615"/>
      </w:tblGrid>
      <w:tr w:rsidR="00EE56C0">
        <w:trPr>
          <w:trHeight w:val="397"/>
        </w:trPr>
        <w:tc>
          <w:tcPr>
            <w:tcW w:w="1061" w:type="pct"/>
            <w:vMerge w:val="restart"/>
            <w:vAlign w:val="center"/>
          </w:tcPr>
          <w:p w:rsidR="00EE56C0" w:rsidRDefault="000F36A1">
            <w:pPr>
              <w:pStyle w:val="aff1"/>
              <w:rPr>
                <w:color w:val="auto"/>
                <w:u w:val="single"/>
              </w:rPr>
            </w:pPr>
            <w:r>
              <w:rPr>
                <w:color w:val="auto"/>
                <w:szCs w:val="21"/>
                <w:u w:val="single"/>
              </w:rPr>
              <w:t>污染物</w:t>
            </w:r>
          </w:p>
        </w:tc>
        <w:tc>
          <w:tcPr>
            <w:tcW w:w="3939" w:type="pct"/>
            <w:gridSpan w:val="4"/>
            <w:vAlign w:val="center"/>
          </w:tcPr>
          <w:p w:rsidR="00EE56C0" w:rsidRDefault="000F36A1">
            <w:pPr>
              <w:pStyle w:val="aff1"/>
              <w:rPr>
                <w:color w:val="auto"/>
                <w:u w:val="single"/>
              </w:rPr>
            </w:pPr>
            <w:r>
              <w:rPr>
                <w:rFonts w:hint="eastAsia"/>
                <w:color w:val="auto"/>
                <w:u w:val="single"/>
              </w:rPr>
              <w:t>二期</w:t>
            </w:r>
          </w:p>
        </w:tc>
      </w:tr>
      <w:tr w:rsidR="00EE56C0">
        <w:trPr>
          <w:trHeight w:val="397"/>
        </w:trPr>
        <w:tc>
          <w:tcPr>
            <w:tcW w:w="1061" w:type="pct"/>
            <w:vMerge/>
            <w:vAlign w:val="center"/>
          </w:tcPr>
          <w:p w:rsidR="00EE56C0" w:rsidRDefault="00EE56C0">
            <w:pPr>
              <w:pStyle w:val="aff1"/>
              <w:rPr>
                <w:color w:val="auto"/>
                <w:szCs w:val="21"/>
                <w:u w:val="single"/>
              </w:rPr>
            </w:pPr>
          </w:p>
        </w:tc>
        <w:tc>
          <w:tcPr>
            <w:tcW w:w="915" w:type="pct"/>
            <w:vMerge w:val="restart"/>
            <w:vAlign w:val="center"/>
          </w:tcPr>
          <w:p w:rsidR="00EE56C0" w:rsidRDefault="000F36A1">
            <w:pPr>
              <w:pStyle w:val="aff1"/>
              <w:rPr>
                <w:color w:val="auto"/>
                <w:u w:val="single"/>
              </w:rPr>
            </w:pPr>
            <w:r>
              <w:rPr>
                <w:rFonts w:hint="eastAsia"/>
                <w:color w:val="auto"/>
                <w:u w:val="single"/>
              </w:rPr>
              <w:t>漆包线</w:t>
            </w:r>
          </w:p>
        </w:tc>
        <w:tc>
          <w:tcPr>
            <w:tcW w:w="1079" w:type="pct"/>
            <w:vMerge w:val="restart"/>
            <w:vAlign w:val="center"/>
          </w:tcPr>
          <w:p w:rsidR="00EE56C0" w:rsidRDefault="000F36A1">
            <w:pPr>
              <w:pStyle w:val="aff1"/>
              <w:rPr>
                <w:color w:val="auto"/>
                <w:u w:val="single"/>
              </w:rPr>
            </w:pPr>
            <w:r>
              <w:rPr>
                <w:rFonts w:hint="eastAsia"/>
                <w:color w:val="auto"/>
                <w:u w:val="single"/>
              </w:rPr>
              <w:t>丝包线</w:t>
            </w:r>
          </w:p>
        </w:tc>
        <w:tc>
          <w:tcPr>
            <w:tcW w:w="1945" w:type="pct"/>
            <w:gridSpan w:val="2"/>
            <w:vAlign w:val="center"/>
          </w:tcPr>
          <w:p w:rsidR="00EE56C0" w:rsidRDefault="000F36A1">
            <w:pPr>
              <w:pStyle w:val="aff1"/>
              <w:rPr>
                <w:color w:val="auto"/>
                <w:u w:val="single"/>
              </w:rPr>
            </w:pPr>
            <w:r>
              <w:rPr>
                <w:rFonts w:hint="eastAsia"/>
                <w:color w:val="auto"/>
                <w:u w:val="single"/>
              </w:rPr>
              <w:t>总计</w:t>
            </w:r>
          </w:p>
        </w:tc>
      </w:tr>
      <w:tr w:rsidR="00EE56C0">
        <w:trPr>
          <w:trHeight w:val="397"/>
        </w:trPr>
        <w:tc>
          <w:tcPr>
            <w:tcW w:w="1061" w:type="pct"/>
            <w:vMerge/>
            <w:vAlign w:val="center"/>
          </w:tcPr>
          <w:p w:rsidR="00EE56C0" w:rsidRDefault="00EE56C0">
            <w:pPr>
              <w:pStyle w:val="aff1"/>
              <w:rPr>
                <w:color w:val="auto"/>
                <w:szCs w:val="21"/>
                <w:u w:val="single"/>
              </w:rPr>
            </w:pPr>
          </w:p>
        </w:tc>
        <w:tc>
          <w:tcPr>
            <w:tcW w:w="915" w:type="pct"/>
            <w:vMerge/>
            <w:vAlign w:val="center"/>
          </w:tcPr>
          <w:p w:rsidR="00EE56C0" w:rsidRDefault="00EE56C0">
            <w:pPr>
              <w:pStyle w:val="aff1"/>
              <w:rPr>
                <w:color w:val="auto"/>
                <w:u w:val="single"/>
              </w:rPr>
            </w:pPr>
          </w:p>
        </w:tc>
        <w:tc>
          <w:tcPr>
            <w:tcW w:w="1079" w:type="pct"/>
            <w:vMerge/>
            <w:vAlign w:val="center"/>
          </w:tcPr>
          <w:p w:rsidR="00EE56C0" w:rsidRDefault="00EE56C0">
            <w:pPr>
              <w:pStyle w:val="aff1"/>
              <w:rPr>
                <w:color w:val="auto"/>
                <w:u w:val="single"/>
              </w:rPr>
            </w:pPr>
          </w:p>
        </w:tc>
        <w:tc>
          <w:tcPr>
            <w:tcW w:w="998" w:type="pct"/>
            <w:vAlign w:val="center"/>
          </w:tcPr>
          <w:p w:rsidR="00EE56C0" w:rsidRDefault="000F36A1">
            <w:pPr>
              <w:pStyle w:val="aff1"/>
              <w:rPr>
                <w:color w:val="auto"/>
                <w:u w:val="single"/>
              </w:rPr>
            </w:pPr>
            <w:r>
              <w:rPr>
                <w:rFonts w:hint="eastAsia"/>
                <w:color w:val="auto"/>
                <w:u w:val="single"/>
              </w:rPr>
              <w:t>排放量</w:t>
            </w:r>
          </w:p>
        </w:tc>
        <w:tc>
          <w:tcPr>
            <w:tcW w:w="947" w:type="pct"/>
            <w:vAlign w:val="center"/>
          </w:tcPr>
          <w:p w:rsidR="00EE56C0" w:rsidRDefault="000F36A1">
            <w:pPr>
              <w:pStyle w:val="aff1"/>
              <w:rPr>
                <w:color w:val="auto"/>
                <w:u w:val="single"/>
              </w:rPr>
            </w:pPr>
            <w:r>
              <w:rPr>
                <w:rFonts w:hint="eastAsia"/>
                <w:color w:val="auto"/>
                <w:u w:val="single"/>
              </w:rPr>
              <w:t>排放速率（</w:t>
            </w:r>
            <w:r>
              <w:rPr>
                <w:rFonts w:hint="eastAsia"/>
                <w:color w:val="auto"/>
                <w:u w:val="single"/>
              </w:rPr>
              <w:t>kg/h</w:t>
            </w:r>
            <w:r>
              <w:rPr>
                <w:rFonts w:hint="eastAsia"/>
                <w:color w:val="auto"/>
                <w:u w:val="single"/>
              </w:rPr>
              <w:t>）</w:t>
            </w:r>
          </w:p>
        </w:tc>
      </w:tr>
      <w:tr w:rsidR="00EE56C0">
        <w:trPr>
          <w:trHeight w:val="397"/>
        </w:trPr>
        <w:tc>
          <w:tcPr>
            <w:tcW w:w="1061" w:type="pct"/>
            <w:vAlign w:val="center"/>
          </w:tcPr>
          <w:p w:rsidR="00EE56C0" w:rsidRDefault="000F36A1">
            <w:pPr>
              <w:pStyle w:val="afa"/>
              <w:rPr>
                <w:u w:val="single"/>
              </w:rPr>
            </w:pPr>
            <w:r>
              <w:rPr>
                <w:rFonts w:hint="eastAsia"/>
                <w:u w:val="single"/>
              </w:rPr>
              <w:t>酚</w:t>
            </w:r>
          </w:p>
        </w:tc>
        <w:tc>
          <w:tcPr>
            <w:tcW w:w="915" w:type="pct"/>
            <w:vAlign w:val="center"/>
          </w:tcPr>
          <w:p w:rsidR="00EE56C0" w:rsidRDefault="000F36A1">
            <w:pPr>
              <w:pStyle w:val="afa"/>
              <w:rPr>
                <w:rFonts w:ascii="宋体" w:eastAsia="宋体" w:hAnsi="宋体" w:cs="宋体"/>
                <w:u w:val="single"/>
              </w:rPr>
            </w:pPr>
            <w:r>
              <w:rPr>
                <w:rFonts w:hint="eastAsia"/>
                <w:u w:val="single"/>
              </w:rPr>
              <w:t xml:space="preserve">0.7051 </w:t>
            </w:r>
          </w:p>
        </w:tc>
        <w:tc>
          <w:tcPr>
            <w:tcW w:w="1079" w:type="pct"/>
            <w:vAlign w:val="center"/>
          </w:tcPr>
          <w:p w:rsidR="00EE56C0" w:rsidRDefault="000F36A1">
            <w:pPr>
              <w:pStyle w:val="afa"/>
              <w:rPr>
                <w:rFonts w:eastAsia="宋体"/>
                <w:u w:val="single"/>
              </w:rPr>
            </w:pPr>
            <w:r>
              <w:rPr>
                <w:u w:val="single"/>
              </w:rPr>
              <w:t>0</w:t>
            </w:r>
          </w:p>
        </w:tc>
        <w:tc>
          <w:tcPr>
            <w:tcW w:w="998" w:type="pct"/>
            <w:vAlign w:val="center"/>
          </w:tcPr>
          <w:p w:rsidR="00EE56C0" w:rsidRDefault="000F36A1">
            <w:pPr>
              <w:pStyle w:val="afa"/>
              <w:rPr>
                <w:rFonts w:eastAsia="宋体"/>
                <w:u w:val="single"/>
              </w:rPr>
            </w:pPr>
            <w:r>
              <w:rPr>
                <w:u w:val="single"/>
              </w:rPr>
              <w:t>0.7051</w:t>
            </w:r>
          </w:p>
        </w:tc>
        <w:tc>
          <w:tcPr>
            <w:tcW w:w="947" w:type="pct"/>
            <w:vAlign w:val="center"/>
          </w:tcPr>
          <w:p w:rsidR="00EE56C0" w:rsidRDefault="000F36A1">
            <w:pPr>
              <w:pStyle w:val="afa"/>
              <w:rPr>
                <w:rFonts w:ascii="宋体" w:eastAsia="宋体" w:hAnsi="宋体" w:cs="宋体"/>
                <w:u w:val="single"/>
              </w:rPr>
            </w:pPr>
            <w:r>
              <w:rPr>
                <w:rFonts w:hint="eastAsia"/>
                <w:u w:val="single"/>
              </w:rPr>
              <w:t xml:space="preserve">0.0979 </w:t>
            </w:r>
          </w:p>
        </w:tc>
      </w:tr>
      <w:tr w:rsidR="00EE56C0">
        <w:trPr>
          <w:trHeight w:val="397"/>
        </w:trPr>
        <w:tc>
          <w:tcPr>
            <w:tcW w:w="1061" w:type="pct"/>
            <w:vAlign w:val="center"/>
          </w:tcPr>
          <w:p w:rsidR="00EE56C0" w:rsidRDefault="000F36A1">
            <w:pPr>
              <w:pStyle w:val="afa"/>
              <w:rPr>
                <w:u w:val="single"/>
              </w:rPr>
            </w:pPr>
            <w:r>
              <w:rPr>
                <w:u w:val="single"/>
              </w:rPr>
              <w:t>非甲烷总烃</w:t>
            </w:r>
          </w:p>
        </w:tc>
        <w:tc>
          <w:tcPr>
            <w:tcW w:w="915" w:type="pct"/>
            <w:vAlign w:val="center"/>
          </w:tcPr>
          <w:p w:rsidR="00EE56C0" w:rsidRDefault="000F36A1">
            <w:pPr>
              <w:pStyle w:val="afa"/>
              <w:rPr>
                <w:rFonts w:ascii="宋体" w:eastAsia="宋体" w:hAnsi="宋体" w:cs="宋体"/>
                <w:u w:val="single"/>
              </w:rPr>
            </w:pPr>
            <w:r>
              <w:rPr>
                <w:rFonts w:hint="eastAsia"/>
                <w:u w:val="single"/>
              </w:rPr>
              <w:t xml:space="preserve">0.5143 </w:t>
            </w:r>
          </w:p>
        </w:tc>
        <w:tc>
          <w:tcPr>
            <w:tcW w:w="1079" w:type="pct"/>
            <w:vAlign w:val="center"/>
          </w:tcPr>
          <w:p w:rsidR="00EE56C0" w:rsidRDefault="000F36A1">
            <w:pPr>
              <w:pStyle w:val="afa"/>
              <w:rPr>
                <w:rFonts w:eastAsia="宋体"/>
                <w:u w:val="single"/>
              </w:rPr>
            </w:pPr>
            <w:r>
              <w:rPr>
                <w:rFonts w:eastAsia="宋体" w:hint="eastAsia"/>
                <w:u w:val="single"/>
              </w:rPr>
              <w:t>0.0146</w:t>
            </w:r>
          </w:p>
        </w:tc>
        <w:tc>
          <w:tcPr>
            <w:tcW w:w="998" w:type="pct"/>
            <w:vAlign w:val="center"/>
          </w:tcPr>
          <w:p w:rsidR="00EE56C0" w:rsidRDefault="000F36A1">
            <w:pPr>
              <w:pStyle w:val="afa"/>
              <w:rPr>
                <w:rFonts w:eastAsia="宋体"/>
                <w:u w:val="single"/>
              </w:rPr>
            </w:pPr>
            <w:r>
              <w:rPr>
                <w:u w:val="single"/>
              </w:rPr>
              <w:t>0.52</w:t>
            </w:r>
            <w:r>
              <w:rPr>
                <w:rFonts w:hint="eastAsia"/>
                <w:u w:val="single"/>
              </w:rPr>
              <w:t>89</w:t>
            </w:r>
          </w:p>
        </w:tc>
        <w:tc>
          <w:tcPr>
            <w:tcW w:w="947" w:type="pct"/>
            <w:vAlign w:val="center"/>
          </w:tcPr>
          <w:p w:rsidR="00EE56C0" w:rsidRDefault="000F36A1">
            <w:pPr>
              <w:pStyle w:val="afa"/>
              <w:rPr>
                <w:rFonts w:ascii="宋体" w:eastAsia="宋体" w:hAnsi="宋体" w:cs="宋体"/>
                <w:u w:val="single"/>
              </w:rPr>
            </w:pPr>
            <w:r>
              <w:rPr>
                <w:rFonts w:hint="eastAsia"/>
                <w:u w:val="single"/>
              </w:rPr>
              <w:t xml:space="preserve">0.0735 </w:t>
            </w:r>
          </w:p>
        </w:tc>
      </w:tr>
      <w:tr w:rsidR="00EE56C0">
        <w:trPr>
          <w:trHeight w:val="397"/>
        </w:trPr>
        <w:tc>
          <w:tcPr>
            <w:tcW w:w="1061" w:type="pct"/>
            <w:vAlign w:val="center"/>
          </w:tcPr>
          <w:p w:rsidR="00EE56C0" w:rsidRDefault="000F36A1">
            <w:pPr>
              <w:pStyle w:val="afa"/>
              <w:rPr>
                <w:u w:val="single"/>
              </w:rPr>
            </w:pPr>
            <w:r>
              <w:rPr>
                <w:rFonts w:hint="eastAsia"/>
                <w:u w:val="single"/>
              </w:rPr>
              <w:t>二甲苯</w:t>
            </w:r>
          </w:p>
        </w:tc>
        <w:tc>
          <w:tcPr>
            <w:tcW w:w="915" w:type="pct"/>
            <w:vAlign w:val="center"/>
          </w:tcPr>
          <w:p w:rsidR="00EE56C0" w:rsidRDefault="000F36A1">
            <w:pPr>
              <w:pStyle w:val="afa"/>
              <w:rPr>
                <w:rFonts w:ascii="宋体" w:eastAsia="宋体" w:hAnsi="宋体" w:cs="宋体"/>
                <w:u w:val="single"/>
              </w:rPr>
            </w:pPr>
            <w:r>
              <w:rPr>
                <w:rFonts w:hint="eastAsia"/>
                <w:u w:val="single"/>
              </w:rPr>
              <w:t xml:space="preserve">0.0764 </w:t>
            </w:r>
          </w:p>
        </w:tc>
        <w:tc>
          <w:tcPr>
            <w:tcW w:w="1079" w:type="pct"/>
            <w:vAlign w:val="center"/>
          </w:tcPr>
          <w:p w:rsidR="00EE56C0" w:rsidRDefault="000F36A1">
            <w:pPr>
              <w:pStyle w:val="afa"/>
              <w:rPr>
                <w:rFonts w:eastAsia="宋体"/>
                <w:u w:val="single"/>
              </w:rPr>
            </w:pPr>
            <w:r>
              <w:rPr>
                <w:rFonts w:eastAsia="宋体" w:hint="eastAsia"/>
                <w:u w:val="single"/>
              </w:rPr>
              <w:t>0.0439</w:t>
            </w:r>
          </w:p>
        </w:tc>
        <w:tc>
          <w:tcPr>
            <w:tcW w:w="998" w:type="pct"/>
            <w:vAlign w:val="center"/>
          </w:tcPr>
          <w:p w:rsidR="00EE56C0" w:rsidRDefault="000F36A1">
            <w:pPr>
              <w:pStyle w:val="afa"/>
              <w:rPr>
                <w:rFonts w:eastAsia="宋体"/>
                <w:u w:val="single"/>
              </w:rPr>
            </w:pPr>
            <w:r>
              <w:rPr>
                <w:u w:val="single"/>
              </w:rPr>
              <w:t>0.120</w:t>
            </w:r>
            <w:r>
              <w:rPr>
                <w:rFonts w:hint="eastAsia"/>
                <w:u w:val="single"/>
              </w:rPr>
              <w:t>3</w:t>
            </w:r>
          </w:p>
        </w:tc>
        <w:tc>
          <w:tcPr>
            <w:tcW w:w="947" w:type="pct"/>
            <w:vAlign w:val="center"/>
          </w:tcPr>
          <w:p w:rsidR="00EE56C0" w:rsidRDefault="000F36A1">
            <w:pPr>
              <w:pStyle w:val="afa"/>
              <w:rPr>
                <w:rFonts w:ascii="宋体" w:eastAsia="宋体" w:hAnsi="宋体" w:cs="宋体"/>
                <w:u w:val="single"/>
              </w:rPr>
            </w:pPr>
            <w:r>
              <w:rPr>
                <w:rFonts w:hint="eastAsia"/>
                <w:u w:val="single"/>
              </w:rPr>
              <w:t xml:space="preserve">0.0167 </w:t>
            </w:r>
          </w:p>
        </w:tc>
      </w:tr>
      <w:tr w:rsidR="00EE56C0">
        <w:trPr>
          <w:trHeight w:val="397"/>
        </w:trPr>
        <w:tc>
          <w:tcPr>
            <w:tcW w:w="1061" w:type="pct"/>
            <w:vAlign w:val="center"/>
          </w:tcPr>
          <w:p w:rsidR="00EE56C0" w:rsidRDefault="000F36A1">
            <w:pPr>
              <w:pStyle w:val="afa"/>
              <w:rPr>
                <w:u w:val="single"/>
              </w:rPr>
            </w:pPr>
            <w:r>
              <w:rPr>
                <w:rFonts w:hint="eastAsia"/>
                <w:u w:val="single"/>
              </w:rPr>
              <w:t>甲苯</w:t>
            </w:r>
          </w:p>
        </w:tc>
        <w:tc>
          <w:tcPr>
            <w:tcW w:w="915" w:type="pct"/>
            <w:vAlign w:val="center"/>
          </w:tcPr>
          <w:p w:rsidR="00EE56C0" w:rsidRDefault="000F36A1">
            <w:pPr>
              <w:pStyle w:val="afa"/>
              <w:rPr>
                <w:rFonts w:eastAsia="宋体"/>
                <w:u w:val="single"/>
              </w:rPr>
            </w:pPr>
            <w:r>
              <w:rPr>
                <w:u w:val="single"/>
              </w:rPr>
              <w:t>0</w:t>
            </w:r>
          </w:p>
        </w:tc>
        <w:tc>
          <w:tcPr>
            <w:tcW w:w="1079" w:type="pct"/>
            <w:vAlign w:val="center"/>
          </w:tcPr>
          <w:p w:rsidR="00EE56C0" w:rsidRDefault="000F36A1">
            <w:pPr>
              <w:pStyle w:val="afa"/>
              <w:rPr>
                <w:rFonts w:eastAsia="宋体"/>
                <w:u w:val="single"/>
              </w:rPr>
            </w:pPr>
            <w:r>
              <w:rPr>
                <w:rFonts w:eastAsia="宋体" w:hint="eastAsia"/>
                <w:u w:val="single"/>
              </w:rPr>
              <w:t>0.0439</w:t>
            </w:r>
          </w:p>
        </w:tc>
        <w:tc>
          <w:tcPr>
            <w:tcW w:w="998" w:type="pct"/>
            <w:vAlign w:val="center"/>
          </w:tcPr>
          <w:p w:rsidR="00EE56C0" w:rsidRDefault="000F36A1">
            <w:pPr>
              <w:pStyle w:val="afa"/>
              <w:rPr>
                <w:rFonts w:eastAsia="宋体"/>
                <w:u w:val="single"/>
              </w:rPr>
            </w:pPr>
            <w:r>
              <w:rPr>
                <w:u w:val="single"/>
              </w:rPr>
              <w:t>0.0439</w:t>
            </w:r>
          </w:p>
        </w:tc>
        <w:tc>
          <w:tcPr>
            <w:tcW w:w="947" w:type="pct"/>
            <w:vAlign w:val="center"/>
          </w:tcPr>
          <w:p w:rsidR="00EE56C0" w:rsidRDefault="000F36A1">
            <w:pPr>
              <w:pStyle w:val="afa"/>
              <w:rPr>
                <w:rFonts w:ascii="宋体" w:eastAsia="宋体" w:hAnsi="宋体" w:cs="宋体"/>
                <w:u w:val="single"/>
              </w:rPr>
            </w:pPr>
            <w:r>
              <w:rPr>
                <w:rFonts w:hint="eastAsia"/>
                <w:u w:val="single"/>
              </w:rPr>
              <w:t xml:space="preserve">0.0061 </w:t>
            </w:r>
          </w:p>
        </w:tc>
      </w:tr>
      <w:tr w:rsidR="00EE56C0">
        <w:trPr>
          <w:trHeight w:val="397"/>
        </w:trPr>
        <w:tc>
          <w:tcPr>
            <w:tcW w:w="1061" w:type="pct"/>
            <w:vAlign w:val="center"/>
          </w:tcPr>
          <w:p w:rsidR="00EE56C0" w:rsidRDefault="000F36A1">
            <w:pPr>
              <w:pStyle w:val="afa"/>
              <w:rPr>
                <w:highlight w:val="yellow"/>
                <w:u w:val="single"/>
              </w:rPr>
            </w:pPr>
            <w:r>
              <w:rPr>
                <w:rFonts w:hint="eastAsia"/>
                <w:u w:val="single"/>
              </w:rPr>
              <w:t>苯</w:t>
            </w:r>
          </w:p>
        </w:tc>
        <w:tc>
          <w:tcPr>
            <w:tcW w:w="915" w:type="pct"/>
            <w:vAlign w:val="center"/>
          </w:tcPr>
          <w:p w:rsidR="00EE56C0" w:rsidRDefault="000F36A1">
            <w:pPr>
              <w:pStyle w:val="afa"/>
              <w:rPr>
                <w:rFonts w:eastAsia="宋体"/>
                <w:u w:val="single"/>
              </w:rPr>
            </w:pPr>
            <w:r>
              <w:rPr>
                <w:u w:val="single"/>
              </w:rPr>
              <w:t>0</w:t>
            </w:r>
          </w:p>
        </w:tc>
        <w:tc>
          <w:tcPr>
            <w:tcW w:w="1079" w:type="pct"/>
            <w:vAlign w:val="center"/>
          </w:tcPr>
          <w:p w:rsidR="00EE56C0" w:rsidRDefault="000F36A1">
            <w:pPr>
              <w:pStyle w:val="afa"/>
              <w:rPr>
                <w:rFonts w:eastAsia="宋体"/>
                <w:u w:val="single"/>
              </w:rPr>
            </w:pPr>
            <w:r>
              <w:rPr>
                <w:rFonts w:eastAsia="宋体" w:hint="eastAsia"/>
                <w:u w:val="single"/>
              </w:rPr>
              <w:t>0.0146</w:t>
            </w:r>
          </w:p>
        </w:tc>
        <w:tc>
          <w:tcPr>
            <w:tcW w:w="998" w:type="pct"/>
            <w:vAlign w:val="center"/>
          </w:tcPr>
          <w:p w:rsidR="00EE56C0" w:rsidRDefault="000F36A1">
            <w:pPr>
              <w:pStyle w:val="afa"/>
              <w:rPr>
                <w:rFonts w:eastAsia="宋体"/>
                <w:u w:val="single"/>
              </w:rPr>
            </w:pPr>
            <w:r>
              <w:rPr>
                <w:u w:val="single"/>
              </w:rPr>
              <w:t>0.0146</w:t>
            </w:r>
          </w:p>
        </w:tc>
        <w:tc>
          <w:tcPr>
            <w:tcW w:w="947" w:type="pct"/>
            <w:vAlign w:val="center"/>
          </w:tcPr>
          <w:p w:rsidR="00EE56C0" w:rsidRDefault="000F36A1">
            <w:pPr>
              <w:pStyle w:val="afa"/>
              <w:rPr>
                <w:rFonts w:ascii="宋体" w:eastAsia="宋体" w:hAnsi="宋体" w:cs="宋体"/>
                <w:u w:val="single"/>
              </w:rPr>
            </w:pPr>
            <w:r>
              <w:rPr>
                <w:rFonts w:hint="eastAsia"/>
                <w:u w:val="single"/>
              </w:rPr>
              <w:t xml:space="preserve">0.0020 </w:t>
            </w:r>
          </w:p>
        </w:tc>
      </w:tr>
      <w:tr w:rsidR="00EE56C0">
        <w:trPr>
          <w:trHeight w:val="397"/>
        </w:trPr>
        <w:tc>
          <w:tcPr>
            <w:tcW w:w="1061" w:type="pct"/>
            <w:vAlign w:val="center"/>
          </w:tcPr>
          <w:p w:rsidR="00EE56C0" w:rsidRDefault="000F36A1">
            <w:pPr>
              <w:pStyle w:val="afa"/>
              <w:rPr>
                <w:u w:val="single"/>
              </w:rPr>
            </w:pPr>
            <w:r>
              <w:rPr>
                <w:rFonts w:hint="eastAsia"/>
                <w:u w:val="single"/>
              </w:rPr>
              <w:t>VOCs</w:t>
            </w:r>
            <w:r>
              <w:rPr>
                <w:rFonts w:hint="eastAsia"/>
                <w:u w:val="single"/>
              </w:rPr>
              <w:t>总计</w:t>
            </w:r>
          </w:p>
        </w:tc>
        <w:tc>
          <w:tcPr>
            <w:tcW w:w="915" w:type="pct"/>
            <w:vAlign w:val="center"/>
          </w:tcPr>
          <w:p w:rsidR="00EE56C0" w:rsidRDefault="000F36A1">
            <w:pPr>
              <w:pStyle w:val="afa"/>
              <w:rPr>
                <w:rFonts w:eastAsia="宋体"/>
                <w:u w:val="single"/>
              </w:rPr>
            </w:pPr>
            <w:r>
              <w:rPr>
                <w:rFonts w:hint="eastAsia"/>
                <w:u w:val="single"/>
              </w:rPr>
              <w:t>1.2958</w:t>
            </w:r>
          </w:p>
        </w:tc>
        <w:tc>
          <w:tcPr>
            <w:tcW w:w="1079" w:type="pct"/>
            <w:vAlign w:val="center"/>
          </w:tcPr>
          <w:p w:rsidR="00EE56C0" w:rsidRDefault="000F36A1">
            <w:pPr>
              <w:pStyle w:val="afa"/>
              <w:rPr>
                <w:rFonts w:eastAsia="宋体"/>
                <w:u w:val="single"/>
              </w:rPr>
            </w:pPr>
            <w:r>
              <w:rPr>
                <w:rFonts w:eastAsia="宋体" w:hint="eastAsia"/>
                <w:u w:val="single"/>
              </w:rPr>
              <w:t>0.117</w:t>
            </w:r>
          </w:p>
        </w:tc>
        <w:tc>
          <w:tcPr>
            <w:tcW w:w="998" w:type="pct"/>
            <w:vAlign w:val="center"/>
          </w:tcPr>
          <w:p w:rsidR="00EE56C0" w:rsidRDefault="000F36A1">
            <w:pPr>
              <w:pStyle w:val="afa"/>
              <w:rPr>
                <w:rFonts w:eastAsia="宋体"/>
                <w:u w:val="single"/>
              </w:rPr>
            </w:pPr>
            <w:r>
              <w:rPr>
                <w:u w:val="single"/>
              </w:rPr>
              <w:t>1.4128</w:t>
            </w:r>
          </w:p>
        </w:tc>
        <w:tc>
          <w:tcPr>
            <w:tcW w:w="947" w:type="pct"/>
            <w:vAlign w:val="center"/>
          </w:tcPr>
          <w:p w:rsidR="00EE56C0" w:rsidRDefault="000F36A1">
            <w:pPr>
              <w:pStyle w:val="afa"/>
              <w:rPr>
                <w:rFonts w:ascii="宋体" w:eastAsia="宋体" w:hAnsi="宋体" w:cs="宋体"/>
                <w:u w:val="single"/>
              </w:rPr>
            </w:pPr>
            <w:r>
              <w:rPr>
                <w:rFonts w:hint="eastAsia"/>
                <w:u w:val="single"/>
              </w:rPr>
              <w:t xml:space="preserve">0.1962 </w:t>
            </w:r>
          </w:p>
        </w:tc>
      </w:tr>
    </w:tbl>
    <w:p w:rsidR="00EE56C0" w:rsidRDefault="000F36A1">
      <w:pPr>
        <w:ind w:firstLine="480"/>
      </w:pPr>
      <w:r>
        <w:rPr>
          <w:rFonts w:hint="eastAsia"/>
        </w:rPr>
        <w:t>根据本项目对大气环境的影响预测（详见第</w:t>
      </w:r>
      <w:r>
        <w:rPr>
          <w:rFonts w:hint="eastAsia"/>
        </w:rPr>
        <w:t>5</w:t>
      </w:r>
      <w:r>
        <w:rPr>
          <w:rFonts w:hint="eastAsia"/>
        </w:rPr>
        <w:t>章），本项目建成后对周围大气环境的影响可接受。</w:t>
      </w:r>
    </w:p>
    <w:p w:rsidR="00EE56C0" w:rsidRDefault="000F36A1">
      <w:pPr>
        <w:pStyle w:val="2"/>
        <w:ind w:firstLine="301"/>
      </w:pPr>
      <w:bookmarkStart w:id="384" w:name="_Toc25400926"/>
      <w:r>
        <w:rPr>
          <w:rFonts w:hint="eastAsia"/>
        </w:rPr>
        <w:t>6.3</w:t>
      </w:r>
      <w:r>
        <w:rPr>
          <w:rFonts w:hint="eastAsia"/>
        </w:rPr>
        <w:t>噪声污染防治措施可行性分析</w:t>
      </w:r>
      <w:bookmarkEnd w:id="380"/>
      <w:bookmarkEnd w:id="381"/>
      <w:bookmarkEnd w:id="382"/>
      <w:bookmarkEnd w:id="383"/>
      <w:bookmarkEnd w:id="384"/>
    </w:p>
    <w:p w:rsidR="00EE56C0" w:rsidRDefault="000F36A1">
      <w:pPr>
        <w:ind w:firstLine="480"/>
      </w:pPr>
      <w:bookmarkStart w:id="385" w:name="_Toc257900142"/>
      <w:bookmarkStart w:id="386" w:name="_Toc312998138"/>
      <w:bookmarkStart w:id="387" w:name="_Toc267150069"/>
      <w:bookmarkStart w:id="388" w:name="_Toc254159700"/>
      <w:r>
        <w:rPr>
          <w:rFonts w:hint="eastAsia"/>
        </w:rPr>
        <w:t>工程高噪声源主要为拉拔机、全自动拉丝机</w:t>
      </w:r>
      <w:r>
        <w:t>、</w:t>
      </w:r>
      <w:r>
        <w:rPr>
          <w:rFonts w:hint="eastAsia"/>
        </w:rPr>
        <w:t>漆包机、拉包机、挤压机、纸包机、烧结机、膜包机、丝包机、全自动小拉机等，噪声源声级值在</w:t>
      </w:r>
      <w:r>
        <w:rPr>
          <w:rFonts w:hint="eastAsia"/>
        </w:rPr>
        <w:t>70~90</w:t>
      </w:r>
      <w:r>
        <w:t>dB</w:t>
      </w:r>
      <w:r>
        <w:t>（</w:t>
      </w:r>
      <w:r>
        <w:t>A</w:t>
      </w:r>
      <w:r>
        <w:t>）</w:t>
      </w:r>
      <w:r>
        <w:rPr>
          <w:rFonts w:hint="eastAsia"/>
        </w:rPr>
        <w:t>之间</w:t>
      </w:r>
      <w:r>
        <w:t>，为保证厂界噪声值达到《工业企业厂界环境噪声排放标准》中</w:t>
      </w:r>
      <w:r>
        <w:rPr>
          <w:rFonts w:hint="eastAsia"/>
        </w:rPr>
        <w:t>3</w:t>
      </w:r>
      <w:r>
        <w:t>类标准的要求，必须采取隔声措施处理。针对项目噪声源及周边环境情况，项目设计采用以下防治措施：</w:t>
      </w:r>
    </w:p>
    <w:p w:rsidR="00EE56C0" w:rsidRDefault="000F36A1">
      <w:pPr>
        <w:ind w:firstLine="480"/>
      </w:pPr>
      <w:r>
        <w:rPr>
          <w:rFonts w:hint="eastAsia"/>
        </w:rPr>
        <w:t>（</w:t>
      </w:r>
      <w:r>
        <w:rPr>
          <w:rFonts w:hint="eastAsia"/>
        </w:rPr>
        <w:t>1</w:t>
      </w:r>
      <w:r>
        <w:rPr>
          <w:rFonts w:hint="eastAsia"/>
        </w:rPr>
        <w:t>）本项目高噪声源主要为拉拔机、全自动拉丝机</w:t>
      </w:r>
      <w:r>
        <w:t>、</w:t>
      </w:r>
      <w:r>
        <w:rPr>
          <w:rFonts w:hint="eastAsia"/>
        </w:rPr>
        <w:t>漆包机、拉包机、挤压机、纸包机、烧结机、膜包机、丝包机等，</w:t>
      </w:r>
      <w:r>
        <w:t>为减轻环境噪声，最重要的应从声源上控制，即选用先进的低噪声设备</w:t>
      </w:r>
      <w:r>
        <w:rPr>
          <w:rFonts w:hint="eastAsia"/>
        </w:rPr>
        <w:t>，设置减振基础。</w:t>
      </w:r>
    </w:p>
    <w:p w:rsidR="00EE56C0" w:rsidRDefault="000F36A1">
      <w:pPr>
        <w:ind w:firstLine="480"/>
      </w:pPr>
      <w:r>
        <w:rPr>
          <w:rFonts w:hint="eastAsia"/>
        </w:rPr>
        <w:t>（</w:t>
      </w:r>
      <w:r>
        <w:rPr>
          <w:rFonts w:hint="eastAsia"/>
        </w:rPr>
        <w:t>2</w:t>
      </w:r>
      <w:r>
        <w:rPr>
          <w:rFonts w:hint="eastAsia"/>
        </w:rPr>
        <w:t>）在设计生产厂房时，选用具有消声、隔声效果的建材和门窗。</w:t>
      </w:r>
    </w:p>
    <w:p w:rsidR="00EE56C0" w:rsidRDefault="000F36A1">
      <w:pPr>
        <w:ind w:firstLine="480"/>
      </w:pPr>
      <w:r>
        <w:rPr>
          <w:rFonts w:hint="eastAsia"/>
        </w:rPr>
        <w:t>（</w:t>
      </w:r>
      <w:r>
        <w:rPr>
          <w:rFonts w:hint="eastAsia"/>
        </w:rPr>
        <w:t>3</w:t>
      </w:r>
      <w:r>
        <w:rPr>
          <w:rFonts w:hint="eastAsia"/>
        </w:rPr>
        <w:t>）加强厂区周围及厂内绿化，</w:t>
      </w:r>
      <w:r>
        <w:t>建议在厂区周围和进出厂道路以及厂区运</w:t>
      </w:r>
      <w:r>
        <w:lastRenderedPageBreak/>
        <w:t>输干道两侧，种植树木隔离带，降低噪声对环境的影响。</w:t>
      </w:r>
    </w:p>
    <w:p w:rsidR="00EE56C0" w:rsidRDefault="000F36A1">
      <w:pPr>
        <w:ind w:firstLine="480"/>
      </w:pPr>
      <w:r>
        <w:t>（</w:t>
      </w:r>
      <w:r>
        <w:rPr>
          <w:rFonts w:hint="eastAsia"/>
        </w:rPr>
        <w:t>4</w:t>
      </w:r>
      <w:r>
        <w:t>）厂区辅助区内的办公场所等是厂区内声污染的保护目标，所以应在建筑物设计上，采用隔声设计，如隔声墙、双层窗户等</w:t>
      </w:r>
      <w:r>
        <w:rPr>
          <w:rFonts w:hint="eastAsia"/>
        </w:rPr>
        <w:t>。</w:t>
      </w:r>
    </w:p>
    <w:p w:rsidR="00EE56C0" w:rsidRDefault="000F36A1">
      <w:pPr>
        <w:ind w:firstLine="480"/>
      </w:pPr>
      <w:r>
        <w:t>采取上述防治措施后，预测工程东、西、南</w:t>
      </w:r>
      <w:r>
        <w:rPr>
          <w:rFonts w:hint="eastAsia"/>
        </w:rPr>
        <w:t>、北</w:t>
      </w:r>
      <w:r>
        <w:t>厂界昼间、夜间噪声预测值均能满足《工业企业厂界环境噪声排放标准》（</w:t>
      </w:r>
      <w:r>
        <w:t>GB12348-2008</w:t>
      </w:r>
      <w:r>
        <w:t>）</w:t>
      </w:r>
      <w:r>
        <w:rPr>
          <w:rFonts w:hint="eastAsia"/>
        </w:rPr>
        <w:t>3</w:t>
      </w:r>
      <w:r>
        <w:t>类标准</w:t>
      </w:r>
      <w:r>
        <w:rPr>
          <w:rFonts w:hint="eastAsia"/>
        </w:rPr>
        <w:t>，</w:t>
      </w:r>
      <w:r>
        <w:t>工程噪声对周围声环境影响不大</w:t>
      </w:r>
      <w:r>
        <w:rPr>
          <w:rFonts w:hint="eastAsia"/>
        </w:rPr>
        <w:t>，可接受</w:t>
      </w:r>
      <w:r>
        <w:t>。</w:t>
      </w:r>
    </w:p>
    <w:p w:rsidR="00EE56C0" w:rsidRDefault="000F36A1">
      <w:pPr>
        <w:pStyle w:val="2"/>
        <w:ind w:firstLine="301"/>
      </w:pPr>
      <w:bookmarkStart w:id="389" w:name="_Toc25400927"/>
      <w:r>
        <w:rPr>
          <w:rFonts w:hint="eastAsia"/>
        </w:rPr>
        <w:t>6.4</w:t>
      </w:r>
      <w:r>
        <w:rPr>
          <w:rFonts w:hint="eastAsia"/>
        </w:rPr>
        <w:t>固体废物防治措施可行性分析</w:t>
      </w:r>
      <w:bookmarkEnd w:id="385"/>
      <w:bookmarkEnd w:id="386"/>
      <w:bookmarkEnd w:id="387"/>
      <w:bookmarkEnd w:id="388"/>
      <w:bookmarkEnd w:id="389"/>
    </w:p>
    <w:p w:rsidR="00EE56C0" w:rsidRDefault="000F36A1">
      <w:pPr>
        <w:ind w:firstLine="480"/>
      </w:pPr>
      <w:bookmarkStart w:id="390" w:name="_Toc324839289"/>
      <w:bookmarkStart w:id="391" w:name="_Toc324839586"/>
      <w:bookmarkStart w:id="392" w:name="_Toc311812661"/>
      <w:r>
        <w:t>本项目运营期固废包括一般固废和危险废物。一般固废包括原料使用产生的废包材</w:t>
      </w:r>
      <w:r>
        <w:rPr>
          <w:rFonts w:hint="eastAsia"/>
        </w:rPr>
        <w:t>、挤压工序产生的废铜线</w:t>
      </w:r>
      <w:r>
        <w:t>、检验产生的残次品</w:t>
      </w:r>
      <w:r>
        <w:rPr>
          <w:rFonts w:hint="eastAsia"/>
        </w:rPr>
        <w:t>。</w:t>
      </w:r>
      <w:r>
        <w:t>危险废物包括</w:t>
      </w:r>
      <w:r>
        <w:rPr>
          <w:rFonts w:hint="eastAsia"/>
        </w:rPr>
        <w:t>拉丝工序产生的</w:t>
      </w:r>
      <w:r>
        <w:t>含铜油泥</w:t>
      </w:r>
      <w:r>
        <w:rPr>
          <w:rFonts w:hint="eastAsia"/>
        </w:rPr>
        <w:t>、废拉丝油，丝包线涂料</w:t>
      </w:r>
      <w:r>
        <w:t>使用</w:t>
      </w:r>
      <w:r>
        <w:rPr>
          <w:rFonts w:hint="eastAsia"/>
        </w:rPr>
        <w:t>后产生的漆料桶，生产过程产生的含涂料的废毛毡，废气处理</w:t>
      </w:r>
      <w:r>
        <w:t>系统产生的</w:t>
      </w:r>
      <w:r>
        <w:rPr>
          <w:rFonts w:hint="eastAsia"/>
        </w:rPr>
        <w:t>废油、废活性炭、</w:t>
      </w:r>
      <w:r>
        <w:t>废催化剂</w:t>
      </w:r>
      <w:r>
        <w:rPr>
          <w:rFonts w:hint="eastAsia"/>
        </w:rPr>
        <w:t>、</w:t>
      </w:r>
      <w:r>
        <w:t>废</w:t>
      </w:r>
      <w:r>
        <w:rPr>
          <w:rFonts w:hint="eastAsia"/>
        </w:rPr>
        <w:t>沸石分子筛。</w:t>
      </w:r>
    </w:p>
    <w:p w:rsidR="00EE56C0" w:rsidRDefault="000F36A1">
      <w:pPr>
        <w:ind w:firstLine="480"/>
        <w:rPr>
          <w:snapToGrid w:val="0"/>
        </w:rPr>
      </w:pPr>
      <w:r>
        <w:rPr>
          <w:rFonts w:hint="eastAsia"/>
          <w:snapToGrid w:val="0"/>
        </w:rPr>
        <w:t>各类固废产生及处置措施见下表。</w:t>
      </w:r>
    </w:p>
    <w:p w:rsidR="00EE56C0" w:rsidRDefault="000F36A1">
      <w:pPr>
        <w:pStyle w:val="afd"/>
        <w:spacing w:before="120" w:after="120"/>
        <w:ind w:firstLine="482"/>
      </w:pPr>
      <w:r>
        <w:rPr>
          <w:rFonts w:hint="eastAsia"/>
        </w:rPr>
        <w:t>表</w:t>
      </w:r>
      <w:r>
        <w:rPr>
          <w:rFonts w:hint="eastAsia"/>
        </w:rPr>
        <w:t>6</w:t>
      </w:r>
      <w:r>
        <w:t>-</w:t>
      </w:r>
      <w:r w:rsidR="005767FB">
        <w:rPr>
          <w:rFonts w:hint="eastAsia"/>
        </w:rPr>
        <w:t>8</w:t>
      </w:r>
      <w:r>
        <w:rPr>
          <w:rFonts w:hint="eastAsia"/>
        </w:rPr>
        <w:t xml:space="preserve">          </w:t>
      </w:r>
      <w:r>
        <w:rPr>
          <w:rFonts w:hint="eastAsia"/>
        </w:rPr>
        <w:t>工程固体废弃物产生及处置情况</w:t>
      </w:r>
    </w:p>
    <w:tbl>
      <w:tblPr>
        <w:tblW w:w="5000" w:type="pct"/>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Look w:val="04A0"/>
      </w:tblPr>
      <w:tblGrid>
        <w:gridCol w:w="676"/>
        <w:gridCol w:w="710"/>
        <w:gridCol w:w="1844"/>
        <w:gridCol w:w="1556"/>
        <w:gridCol w:w="993"/>
        <w:gridCol w:w="1138"/>
        <w:gridCol w:w="1612"/>
      </w:tblGrid>
      <w:tr w:rsidR="00EE56C0">
        <w:trPr>
          <w:trHeight w:val="454"/>
        </w:trPr>
        <w:tc>
          <w:tcPr>
            <w:tcW w:w="396" w:type="pct"/>
            <w:vMerge w:val="restart"/>
            <w:tcMar>
              <w:top w:w="28" w:type="dxa"/>
              <w:bottom w:w="28" w:type="dxa"/>
            </w:tcMar>
            <w:vAlign w:val="center"/>
          </w:tcPr>
          <w:p w:rsidR="00EE56C0" w:rsidRDefault="000F36A1">
            <w:pPr>
              <w:pStyle w:val="aff1"/>
              <w:rPr>
                <w:color w:val="auto"/>
              </w:rPr>
            </w:pPr>
            <w:r>
              <w:rPr>
                <w:color w:val="auto"/>
              </w:rPr>
              <w:t>项目</w:t>
            </w:r>
          </w:p>
        </w:tc>
        <w:tc>
          <w:tcPr>
            <w:tcW w:w="416" w:type="pct"/>
            <w:vMerge w:val="restart"/>
            <w:tcMar>
              <w:top w:w="28" w:type="dxa"/>
              <w:bottom w:w="28" w:type="dxa"/>
            </w:tcMar>
            <w:vAlign w:val="center"/>
          </w:tcPr>
          <w:p w:rsidR="00EE56C0" w:rsidRDefault="000F36A1">
            <w:pPr>
              <w:pStyle w:val="aff1"/>
              <w:rPr>
                <w:color w:val="auto"/>
              </w:rPr>
            </w:pPr>
            <w:r>
              <w:rPr>
                <w:color w:val="auto"/>
              </w:rPr>
              <w:t>序号</w:t>
            </w:r>
          </w:p>
        </w:tc>
        <w:tc>
          <w:tcPr>
            <w:tcW w:w="1081" w:type="pct"/>
            <w:vMerge w:val="restart"/>
            <w:tcMar>
              <w:top w:w="28" w:type="dxa"/>
              <w:bottom w:w="28" w:type="dxa"/>
            </w:tcMar>
            <w:vAlign w:val="center"/>
          </w:tcPr>
          <w:p w:rsidR="00EE56C0" w:rsidRDefault="000F36A1">
            <w:pPr>
              <w:pStyle w:val="aff1"/>
              <w:rPr>
                <w:color w:val="auto"/>
              </w:rPr>
            </w:pPr>
            <w:r>
              <w:rPr>
                <w:color w:val="auto"/>
              </w:rPr>
              <w:t>产污环节</w:t>
            </w:r>
          </w:p>
        </w:tc>
        <w:tc>
          <w:tcPr>
            <w:tcW w:w="912" w:type="pct"/>
            <w:vMerge w:val="restart"/>
            <w:tcMar>
              <w:top w:w="28" w:type="dxa"/>
              <w:bottom w:w="28" w:type="dxa"/>
            </w:tcMar>
            <w:vAlign w:val="center"/>
          </w:tcPr>
          <w:p w:rsidR="00EE56C0" w:rsidRDefault="000F36A1">
            <w:pPr>
              <w:pStyle w:val="aff1"/>
              <w:rPr>
                <w:color w:val="auto"/>
              </w:rPr>
            </w:pPr>
            <w:r>
              <w:rPr>
                <w:rFonts w:hint="eastAsia"/>
                <w:color w:val="auto"/>
              </w:rPr>
              <w:t>废物特性</w:t>
            </w:r>
          </w:p>
        </w:tc>
        <w:tc>
          <w:tcPr>
            <w:tcW w:w="1249" w:type="pct"/>
            <w:gridSpan w:val="2"/>
            <w:tcBorders>
              <w:bottom w:val="single" w:sz="4" w:space="0" w:color="auto"/>
            </w:tcBorders>
            <w:vAlign w:val="center"/>
          </w:tcPr>
          <w:p w:rsidR="00EE56C0" w:rsidRDefault="000F36A1">
            <w:pPr>
              <w:pStyle w:val="aff1"/>
              <w:rPr>
                <w:color w:val="auto"/>
              </w:rPr>
            </w:pPr>
            <w:r>
              <w:rPr>
                <w:rFonts w:hint="eastAsia"/>
                <w:color w:val="auto"/>
              </w:rPr>
              <w:t>产生量（</w:t>
            </w:r>
            <w:r>
              <w:rPr>
                <w:rFonts w:hint="eastAsia"/>
                <w:color w:val="auto"/>
              </w:rPr>
              <w:t>t/a</w:t>
            </w:r>
            <w:r>
              <w:rPr>
                <w:rFonts w:hint="eastAsia"/>
                <w:color w:val="auto"/>
              </w:rPr>
              <w:t>）</w:t>
            </w:r>
          </w:p>
        </w:tc>
        <w:tc>
          <w:tcPr>
            <w:tcW w:w="945" w:type="pct"/>
            <w:vMerge w:val="restart"/>
            <w:vAlign w:val="center"/>
          </w:tcPr>
          <w:p w:rsidR="00EE56C0" w:rsidRDefault="000F36A1">
            <w:pPr>
              <w:pStyle w:val="aff1"/>
              <w:rPr>
                <w:color w:val="auto"/>
              </w:rPr>
            </w:pPr>
            <w:r>
              <w:rPr>
                <w:rFonts w:hint="eastAsia"/>
                <w:color w:val="auto"/>
              </w:rPr>
              <w:t>治理措施</w:t>
            </w:r>
          </w:p>
        </w:tc>
      </w:tr>
      <w:tr w:rsidR="00EE56C0">
        <w:trPr>
          <w:trHeight w:val="454"/>
        </w:trPr>
        <w:tc>
          <w:tcPr>
            <w:tcW w:w="396" w:type="pct"/>
            <w:vMerge/>
            <w:tcMar>
              <w:top w:w="28" w:type="dxa"/>
              <w:bottom w:w="28" w:type="dxa"/>
            </w:tcMar>
            <w:vAlign w:val="center"/>
          </w:tcPr>
          <w:p w:rsidR="00EE56C0" w:rsidRDefault="00EE56C0">
            <w:pPr>
              <w:pStyle w:val="aff1"/>
              <w:rPr>
                <w:color w:val="auto"/>
              </w:rPr>
            </w:pPr>
          </w:p>
        </w:tc>
        <w:tc>
          <w:tcPr>
            <w:tcW w:w="416" w:type="pct"/>
            <w:vMerge/>
            <w:tcMar>
              <w:top w:w="28" w:type="dxa"/>
              <w:bottom w:w="28" w:type="dxa"/>
            </w:tcMar>
            <w:vAlign w:val="center"/>
          </w:tcPr>
          <w:p w:rsidR="00EE56C0" w:rsidRDefault="00EE56C0">
            <w:pPr>
              <w:pStyle w:val="aff1"/>
              <w:rPr>
                <w:color w:val="auto"/>
              </w:rPr>
            </w:pPr>
          </w:p>
        </w:tc>
        <w:tc>
          <w:tcPr>
            <w:tcW w:w="1081" w:type="pct"/>
            <w:vMerge/>
            <w:tcMar>
              <w:top w:w="28" w:type="dxa"/>
              <w:bottom w:w="28" w:type="dxa"/>
            </w:tcMar>
            <w:vAlign w:val="center"/>
          </w:tcPr>
          <w:p w:rsidR="00EE56C0" w:rsidRDefault="00EE56C0">
            <w:pPr>
              <w:pStyle w:val="aff1"/>
              <w:rPr>
                <w:color w:val="auto"/>
              </w:rPr>
            </w:pPr>
          </w:p>
        </w:tc>
        <w:tc>
          <w:tcPr>
            <w:tcW w:w="912" w:type="pct"/>
            <w:vMerge/>
            <w:tcMar>
              <w:top w:w="28" w:type="dxa"/>
              <w:bottom w:w="28" w:type="dxa"/>
            </w:tcMar>
            <w:vAlign w:val="center"/>
          </w:tcPr>
          <w:p w:rsidR="00EE56C0" w:rsidRDefault="00EE56C0">
            <w:pPr>
              <w:pStyle w:val="aff1"/>
              <w:rPr>
                <w:color w:val="auto"/>
              </w:rPr>
            </w:pPr>
          </w:p>
        </w:tc>
        <w:tc>
          <w:tcPr>
            <w:tcW w:w="582" w:type="pct"/>
            <w:tcBorders>
              <w:top w:val="single" w:sz="4" w:space="0" w:color="auto"/>
              <w:right w:val="single" w:sz="4" w:space="0" w:color="auto"/>
            </w:tcBorders>
            <w:vAlign w:val="center"/>
          </w:tcPr>
          <w:p w:rsidR="00EE56C0" w:rsidRDefault="000F36A1">
            <w:pPr>
              <w:pStyle w:val="aff1"/>
              <w:rPr>
                <w:color w:val="auto"/>
              </w:rPr>
            </w:pPr>
            <w:r>
              <w:rPr>
                <w:rFonts w:hint="eastAsia"/>
                <w:color w:val="auto"/>
              </w:rPr>
              <w:t>一期</w:t>
            </w:r>
          </w:p>
        </w:tc>
        <w:tc>
          <w:tcPr>
            <w:tcW w:w="667" w:type="pct"/>
            <w:tcBorders>
              <w:top w:val="single" w:sz="4" w:space="0" w:color="auto"/>
              <w:left w:val="single" w:sz="4" w:space="0" w:color="auto"/>
            </w:tcBorders>
            <w:vAlign w:val="center"/>
          </w:tcPr>
          <w:p w:rsidR="00EE56C0" w:rsidRDefault="000F36A1">
            <w:pPr>
              <w:pStyle w:val="aff1"/>
              <w:rPr>
                <w:color w:val="auto"/>
              </w:rPr>
            </w:pPr>
            <w:r>
              <w:rPr>
                <w:rFonts w:hint="eastAsia"/>
                <w:color w:val="auto"/>
              </w:rPr>
              <w:t>二期</w:t>
            </w:r>
          </w:p>
        </w:tc>
        <w:tc>
          <w:tcPr>
            <w:tcW w:w="945" w:type="pct"/>
            <w:vMerge/>
            <w:vAlign w:val="center"/>
          </w:tcPr>
          <w:p w:rsidR="00EE56C0" w:rsidRDefault="00EE56C0">
            <w:pPr>
              <w:pStyle w:val="aff1"/>
              <w:rPr>
                <w:color w:val="auto"/>
              </w:rPr>
            </w:pPr>
          </w:p>
        </w:tc>
      </w:tr>
      <w:tr w:rsidR="00EE56C0">
        <w:trPr>
          <w:trHeight w:val="454"/>
        </w:trPr>
        <w:tc>
          <w:tcPr>
            <w:tcW w:w="396" w:type="pct"/>
            <w:vMerge w:val="restart"/>
            <w:tcMar>
              <w:top w:w="28" w:type="dxa"/>
              <w:bottom w:w="28" w:type="dxa"/>
            </w:tcMar>
            <w:vAlign w:val="center"/>
          </w:tcPr>
          <w:p w:rsidR="00EE56C0" w:rsidRDefault="000F36A1">
            <w:pPr>
              <w:pStyle w:val="afa"/>
            </w:pPr>
            <w:r>
              <w:t>固体</w:t>
            </w:r>
          </w:p>
          <w:p w:rsidR="00EE56C0" w:rsidRDefault="000F36A1">
            <w:pPr>
              <w:pStyle w:val="afa"/>
            </w:pPr>
            <w:r>
              <w:t>废物</w:t>
            </w:r>
          </w:p>
        </w:tc>
        <w:tc>
          <w:tcPr>
            <w:tcW w:w="416" w:type="pct"/>
            <w:tcMar>
              <w:top w:w="28" w:type="dxa"/>
              <w:bottom w:w="28" w:type="dxa"/>
            </w:tcMar>
            <w:vAlign w:val="center"/>
          </w:tcPr>
          <w:p w:rsidR="00EE56C0" w:rsidRDefault="000F36A1">
            <w:pPr>
              <w:pStyle w:val="afa"/>
            </w:pPr>
            <w:r>
              <w:t>S1</w:t>
            </w:r>
          </w:p>
        </w:tc>
        <w:tc>
          <w:tcPr>
            <w:tcW w:w="1081" w:type="pct"/>
            <w:tcMar>
              <w:top w:w="28" w:type="dxa"/>
              <w:bottom w:w="28" w:type="dxa"/>
            </w:tcMar>
            <w:vAlign w:val="center"/>
          </w:tcPr>
          <w:p w:rsidR="00EE56C0" w:rsidRDefault="000F36A1">
            <w:pPr>
              <w:pStyle w:val="afa"/>
            </w:pPr>
            <w:r>
              <w:t>原料使用</w:t>
            </w:r>
            <w:r>
              <w:rPr>
                <w:rFonts w:hint="eastAsia"/>
              </w:rPr>
              <w:t>后的</w:t>
            </w:r>
            <w:r>
              <w:t>废包材</w:t>
            </w:r>
          </w:p>
        </w:tc>
        <w:tc>
          <w:tcPr>
            <w:tcW w:w="912" w:type="pct"/>
            <w:tcMar>
              <w:top w:w="28" w:type="dxa"/>
              <w:bottom w:w="28" w:type="dxa"/>
            </w:tcMar>
            <w:vAlign w:val="center"/>
          </w:tcPr>
          <w:p w:rsidR="00EE56C0" w:rsidRDefault="000F36A1">
            <w:pPr>
              <w:pStyle w:val="afa"/>
            </w:pPr>
            <w:r>
              <w:rPr>
                <w:rFonts w:hint="eastAsia"/>
              </w:rPr>
              <w:t>一般固废</w:t>
            </w:r>
          </w:p>
        </w:tc>
        <w:tc>
          <w:tcPr>
            <w:tcW w:w="582" w:type="pct"/>
            <w:tcBorders>
              <w:right w:val="single" w:sz="4" w:space="0" w:color="auto"/>
            </w:tcBorders>
            <w:vAlign w:val="center"/>
          </w:tcPr>
          <w:p w:rsidR="00EE56C0" w:rsidRDefault="000F36A1">
            <w:pPr>
              <w:pStyle w:val="afa"/>
            </w:pPr>
            <w:r>
              <w:t>0.3</w:t>
            </w:r>
          </w:p>
        </w:tc>
        <w:tc>
          <w:tcPr>
            <w:tcW w:w="667" w:type="pct"/>
            <w:tcBorders>
              <w:left w:val="single" w:sz="4" w:space="0" w:color="auto"/>
            </w:tcBorders>
            <w:vAlign w:val="center"/>
          </w:tcPr>
          <w:p w:rsidR="00EE56C0" w:rsidRDefault="000F36A1">
            <w:pPr>
              <w:pStyle w:val="afa"/>
            </w:pPr>
            <w:r>
              <w:t>0.5</w:t>
            </w:r>
          </w:p>
        </w:tc>
        <w:tc>
          <w:tcPr>
            <w:tcW w:w="945" w:type="pct"/>
            <w:vMerge w:val="restart"/>
            <w:vAlign w:val="center"/>
          </w:tcPr>
          <w:p w:rsidR="00EE56C0" w:rsidRDefault="000F36A1">
            <w:pPr>
              <w:pStyle w:val="afa"/>
            </w:pPr>
            <w:r>
              <w:rPr>
                <w:rFonts w:hint="eastAsia"/>
              </w:rPr>
              <w:t>一般固废间暂存，定期外售综合利用</w:t>
            </w:r>
          </w:p>
        </w:tc>
      </w:tr>
      <w:tr w:rsidR="00EE56C0">
        <w:trPr>
          <w:trHeight w:val="454"/>
        </w:trPr>
        <w:tc>
          <w:tcPr>
            <w:tcW w:w="396" w:type="pct"/>
            <w:vMerge/>
            <w:tcMar>
              <w:top w:w="28" w:type="dxa"/>
              <w:bottom w:w="28" w:type="dxa"/>
            </w:tcMar>
            <w:vAlign w:val="center"/>
          </w:tcPr>
          <w:p w:rsidR="00EE56C0" w:rsidRDefault="00EE56C0">
            <w:pPr>
              <w:pStyle w:val="afa"/>
            </w:pPr>
          </w:p>
        </w:tc>
        <w:tc>
          <w:tcPr>
            <w:tcW w:w="416" w:type="pct"/>
            <w:tcMar>
              <w:top w:w="28" w:type="dxa"/>
              <w:bottom w:w="28" w:type="dxa"/>
            </w:tcMar>
            <w:vAlign w:val="center"/>
          </w:tcPr>
          <w:p w:rsidR="00EE56C0" w:rsidRDefault="000F36A1">
            <w:pPr>
              <w:pStyle w:val="afa"/>
            </w:pPr>
            <w:r>
              <w:t>S2</w:t>
            </w:r>
          </w:p>
        </w:tc>
        <w:tc>
          <w:tcPr>
            <w:tcW w:w="1081" w:type="pct"/>
            <w:tcMar>
              <w:top w:w="28" w:type="dxa"/>
              <w:bottom w:w="28" w:type="dxa"/>
            </w:tcMar>
            <w:vAlign w:val="center"/>
          </w:tcPr>
          <w:p w:rsidR="00EE56C0" w:rsidRDefault="000F36A1">
            <w:pPr>
              <w:pStyle w:val="afa"/>
            </w:pPr>
            <w:r>
              <w:rPr>
                <w:rFonts w:hint="eastAsia"/>
              </w:rPr>
              <w:t>挤压工序废铜线</w:t>
            </w:r>
          </w:p>
        </w:tc>
        <w:tc>
          <w:tcPr>
            <w:tcW w:w="912" w:type="pct"/>
            <w:tcMar>
              <w:top w:w="28" w:type="dxa"/>
              <w:bottom w:w="28" w:type="dxa"/>
            </w:tcMar>
            <w:vAlign w:val="center"/>
          </w:tcPr>
          <w:p w:rsidR="00EE56C0" w:rsidRDefault="000F36A1">
            <w:pPr>
              <w:pStyle w:val="afa"/>
            </w:pPr>
            <w:r>
              <w:rPr>
                <w:rFonts w:hint="eastAsia"/>
              </w:rPr>
              <w:t>一般固废</w:t>
            </w:r>
          </w:p>
        </w:tc>
        <w:tc>
          <w:tcPr>
            <w:tcW w:w="582" w:type="pct"/>
            <w:tcBorders>
              <w:right w:val="single" w:sz="4" w:space="0" w:color="auto"/>
            </w:tcBorders>
            <w:vAlign w:val="center"/>
          </w:tcPr>
          <w:p w:rsidR="00EE56C0" w:rsidRDefault="000F36A1">
            <w:pPr>
              <w:pStyle w:val="afa"/>
            </w:pPr>
            <w:r>
              <w:t>10.18</w:t>
            </w:r>
          </w:p>
        </w:tc>
        <w:tc>
          <w:tcPr>
            <w:tcW w:w="667" w:type="pct"/>
            <w:tcBorders>
              <w:left w:val="single" w:sz="4" w:space="0" w:color="auto"/>
            </w:tcBorders>
            <w:vAlign w:val="center"/>
          </w:tcPr>
          <w:p w:rsidR="00EE56C0" w:rsidRDefault="000F36A1">
            <w:pPr>
              <w:pStyle w:val="afa"/>
            </w:pPr>
            <w:r>
              <w:t>29.05</w:t>
            </w:r>
          </w:p>
        </w:tc>
        <w:tc>
          <w:tcPr>
            <w:tcW w:w="945" w:type="pct"/>
            <w:vMerge/>
            <w:vAlign w:val="center"/>
          </w:tcPr>
          <w:p w:rsidR="00EE56C0" w:rsidRDefault="00EE56C0">
            <w:pPr>
              <w:pStyle w:val="afa"/>
            </w:pPr>
          </w:p>
        </w:tc>
      </w:tr>
      <w:tr w:rsidR="00EE56C0">
        <w:trPr>
          <w:trHeight w:val="454"/>
        </w:trPr>
        <w:tc>
          <w:tcPr>
            <w:tcW w:w="396" w:type="pct"/>
            <w:vMerge/>
            <w:tcMar>
              <w:top w:w="28" w:type="dxa"/>
              <w:bottom w:w="28" w:type="dxa"/>
            </w:tcMar>
            <w:vAlign w:val="center"/>
          </w:tcPr>
          <w:p w:rsidR="00EE56C0" w:rsidRDefault="00EE56C0">
            <w:pPr>
              <w:pStyle w:val="afa"/>
            </w:pPr>
          </w:p>
        </w:tc>
        <w:tc>
          <w:tcPr>
            <w:tcW w:w="416" w:type="pct"/>
            <w:tcMar>
              <w:top w:w="28" w:type="dxa"/>
              <w:bottom w:w="28" w:type="dxa"/>
            </w:tcMar>
            <w:vAlign w:val="center"/>
          </w:tcPr>
          <w:p w:rsidR="00EE56C0" w:rsidRDefault="000F36A1">
            <w:pPr>
              <w:pStyle w:val="afa"/>
            </w:pPr>
            <w:r>
              <w:t>S3</w:t>
            </w:r>
          </w:p>
        </w:tc>
        <w:tc>
          <w:tcPr>
            <w:tcW w:w="1081" w:type="pct"/>
            <w:tcMar>
              <w:top w:w="28" w:type="dxa"/>
              <w:bottom w:w="28" w:type="dxa"/>
            </w:tcMar>
            <w:vAlign w:val="center"/>
          </w:tcPr>
          <w:p w:rsidR="00EE56C0" w:rsidRDefault="000F36A1">
            <w:pPr>
              <w:pStyle w:val="afa"/>
            </w:pPr>
            <w:r>
              <w:t>检验残次品</w:t>
            </w:r>
          </w:p>
        </w:tc>
        <w:tc>
          <w:tcPr>
            <w:tcW w:w="912" w:type="pct"/>
            <w:tcMar>
              <w:top w:w="28" w:type="dxa"/>
              <w:bottom w:w="28" w:type="dxa"/>
            </w:tcMar>
            <w:vAlign w:val="center"/>
          </w:tcPr>
          <w:p w:rsidR="00EE56C0" w:rsidRDefault="000F36A1">
            <w:pPr>
              <w:pStyle w:val="afa"/>
            </w:pPr>
            <w:r>
              <w:rPr>
                <w:rFonts w:hint="eastAsia"/>
              </w:rPr>
              <w:t>一般固废</w:t>
            </w:r>
          </w:p>
        </w:tc>
        <w:tc>
          <w:tcPr>
            <w:tcW w:w="582" w:type="pct"/>
            <w:tcBorders>
              <w:right w:val="single" w:sz="4" w:space="0" w:color="auto"/>
            </w:tcBorders>
            <w:vAlign w:val="center"/>
          </w:tcPr>
          <w:p w:rsidR="00EE56C0" w:rsidRDefault="000F36A1">
            <w:pPr>
              <w:pStyle w:val="afa"/>
            </w:pPr>
            <w:r>
              <w:t>2.9</w:t>
            </w:r>
          </w:p>
        </w:tc>
        <w:tc>
          <w:tcPr>
            <w:tcW w:w="667" w:type="pct"/>
            <w:tcBorders>
              <w:left w:val="single" w:sz="4" w:space="0" w:color="auto"/>
            </w:tcBorders>
            <w:vAlign w:val="center"/>
          </w:tcPr>
          <w:p w:rsidR="00EE56C0" w:rsidRDefault="000F36A1">
            <w:pPr>
              <w:pStyle w:val="afa"/>
            </w:pPr>
            <w:r>
              <w:t>5.1</w:t>
            </w:r>
          </w:p>
        </w:tc>
        <w:tc>
          <w:tcPr>
            <w:tcW w:w="945" w:type="pct"/>
            <w:vMerge/>
            <w:vAlign w:val="center"/>
          </w:tcPr>
          <w:p w:rsidR="00EE56C0" w:rsidRDefault="00EE56C0">
            <w:pPr>
              <w:pStyle w:val="afa"/>
            </w:pPr>
          </w:p>
        </w:tc>
      </w:tr>
      <w:tr w:rsidR="00EE56C0">
        <w:trPr>
          <w:trHeight w:val="454"/>
        </w:trPr>
        <w:tc>
          <w:tcPr>
            <w:tcW w:w="396" w:type="pct"/>
            <w:vMerge/>
            <w:tcMar>
              <w:top w:w="28" w:type="dxa"/>
              <w:bottom w:w="28" w:type="dxa"/>
            </w:tcMar>
            <w:vAlign w:val="center"/>
          </w:tcPr>
          <w:p w:rsidR="00EE56C0" w:rsidRDefault="00EE56C0">
            <w:pPr>
              <w:pStyle w:val="afa"/>
            </w:pPr>
          </w:p>
        </w:tc>
        <w:tc>
          <w:tcPr>
            <w:tcW w:w="416" w:type="pct"/>
            <w:tcMar>
              <w:top w:w="28" w:type="dxa"/>
              <w:bottom w:w="28" w:type="dxa"/>
            </w:tcMar>
            <w:vAlign w:val="center"/>
          </w:tcPr>
          <w:p w:rsidR="00EE56C0" w:rsidRDefault="000F36A1">
            <w:pPr>
              <w:pStyle w:val="afa"/>
            </w:pPr>
            <w:r>
              <w:t>S4</w:t>
            </w:r>
          </w:p>
        </w:tc>
        <w:tc>
          <w:tcPr>
            <w:tcW w:w="1081" w:type="pct"/>
            <w:tcMar>
              <w:top w:w="28" w:type="dxa"/>
              <w:bottom w:w="28" w:type="dxa"/>
            </w:tcMar>
            <w:vAlign w:val="center"/>
          </w:tcPr>
          <w:p w:rsidR="00EE56C0" w:rsidRDefault="000F36A1">
            <w:pPr>
              <w:pStyle w:val="afa"/>
            </w:pPr>
            <w:r>
              <w:t>含铜油泥</w:t>
            </w:r>
          </w:p>
        </w:tc>
        <w:tc>
          <w:tcPr>
            <w:tcW w:w="912" w:type="pct"/>
            <w:tcMar>
              <w:top w:w="28" w:type="dxa"/>
              <w:bottom w:w="28" w:type="dxa"/>
            </w:tcMar>
            <w:vAlign w:val="center"/>
          </w:tcPr>
          <w:p w:rsidR="00EE56C0" w:rsidRDefault="000F36A1">
            <w:pPr>
              <w:pStyle w:val="afa"/>
            </w:pPr>
            <w:r>
              <w:rPr>
                <w:rFonts w:hint="eastAsia"/>
              </w:rPr>
              <w:t>危险废物</w:t>
            </w:r>
          </w:p>
        </w:tc>
        <w:tc>
          <w:tcPr>
            <w:tcW w:w="582" w:type="pct"/>
            <w:tcBorders>
              <w:right w:val="single" w:sz="4" w:space="0" w:color="auto"/>
            </w:tcBorders>
            <w:vAlign w:val="center"/>
          </w:tcPr>
          <w:p w:rsidR="00EE56C0" w:rsidRDefault="000F36A1">
            <w:pPr>
              <w:pStyle w:val="afa"/>
            </w:pPr>
            <w:r>
              <w:t>1.2</w:t>
            </w:r>
          </w:p>
        </w:tc>
        <w:tc>
          <w:tcPr>
            <w:tcW w:w="667" w:type="pct"/>
            <w:tcBorders>
              <w:left w:val="single" w:sz="4" w:space="0" w:color="auto"/>
            </w:tcBorders>
            <w:vAlign w:val="center"/>
          </w:tcPr>
          <w:p w:rsidR="00EE56C0" w:rsidRDefault="000F36A1">
            <w:pPr>
              <w:pStyle w:val="afa"/>
            </w:pPr>
            <w:r>
              <w:t>2.75</w:t>
            </w:r>
          </w:p>
        </w:tc>
        <w:tc>
          <w:tcPr>
            <w:tcW w:w="945" w:type="pct"/>
            <w:vMerge w:val="restart"/>
            <w:tcBorders>
              <w:top w:val="single" w:sz="4" w:space="0" w:color="auto"/>
            </w:tcBorders>
            <w:vAlign w:val="center"/>
          </w:tcPr>
          <w:p w:rsidR="00EE56C0" w:rsidRDefault="000F36A1">
            <w:pPr>
              <w:pStyle w:val="afa"/>
            </w:pPr>
            <w:r>
              <w:t>专用容器收集，在危废储存间分类暂存</w:t>
            </w:r>
            <w:r>
              <w:rPr>
                <w:rFonts w:hint="eastAsia"/>
              </w:rPr>
              <w:t>，</w:t>
            </w:r>
            <w:r>
              <w:t>定期送有</w:t>
            </w:r>
            <w:r>
              <w:rPr>
                <w:rFonts w:hint="eastAsia"/>
              </w:rPr>
              <w:t>相应</w:t>
            </w:r>
            <w:r>
              <w:t>危废</w:t>
            </w:r>
            <w:r>
              <w:rPr>
                <w:rFonts w:hint="eastAsia"/>
              </w:rPr>
              <w:t>处置</w:t>
            </w:r>
            <w:r>
              <w:t>资质的单位</w:t>
            </w:r>
            <w:r>
              <w:rPr>
                <w:rFonts w:hint="eastAsia"/>
              </w:rPr>
              <w:t>处置</w:t>
            </w:r>
          </w:p>
        </w:tc>
      </w:tr>
      <w:tr w:rsidR="00EE56C0">
        <w:trPr>
          <w:trHeight w:val="454"/>
        </w:trPr>
        <w:tc>
          <w:tcPr>
            <w:tcW w:w="396" w:type="pct"/>
            <w:vMerge/>
            <w:tcMar>
              <w:top w:w="28" w:type="dxa"/>
              <w:bottom w:w="28" w:type="dxa"/>
            </w:tcMar>
            <w:vAlign w:val="center"/>
          </w:tcPr>
          <w:p w:rsidR="00EE56C0" w:rsidRDefault="00EE56C0">
            <w:pPr>
              <w:pStyle w:val="afa"/>
            </w:pPr>
          </w:p>
        </w:tc>
        <w:tc>
          <w:tcPr>
            <w:tcW w:w="416" w:type="pct"/>
            <w:tcMar>
              <w:top w:w="28" w:type="dxa"/>
              <w:bottom w:w="28" w:type="dxa"/>
            </w:tcMar>
            <w:vAlign w:val="center"/>
          </w:tcPr>
          <w:p w:rsidR="00EE56C0" w:rsidRDefault="000F36A1">
            <w:pPr>
              <w:pStyle w:val="afa"/>
            </w:pPr>
            <w:r>
              <w:rPr>
                <w:rFonts w:hint="eastAsia"/>
              </w:rPr>
              <w:t>S5</w:t>
            </w:r>
          </w:p>
        </w:tc>
        <w:tc>
          <w:tcPr>
            <w:tcW w:w="1081" w:type="pct"/>
            <w:tcMar>
              <w:top w:w="28" w:type="dxa"/>
              <w:bottom w:w="28" w:type="dxa"/>
            </w:tcMar>
            <w:vAlign w:val="center"/>
          </w:tcPr>
          <w:p w:rsidR="00EE56C0" w:rsidRDefault="000F36A1">
            <w:pPr>
              <w:pStyle w:val="afa"/>
            </w:pPr>
            <w:r>
              <w:rPr>
                <w:rFonts w:hint="eastAsia"/>
              </w:rPr>
              <w:t>废拉丝油</w:t>
            </w:r>
          </w:p>
        </w:tc>
        <w:tc>
          <w:tcPr>
            <w:tcW w:w="912" w:type="pct"/>
            <w:tcMar>
              <w:top w:w="28" w:type="dxa"/>
              <w:bottom w:w="28" w:type="dxa"/>
            </w:tcMar>
            <w:vAlign w:val="center"/>
          </w:tcPr>
          <w:p w:rsidR="00EE56C0" w:rsidRDefault="000F36A1">
            <w:pPr>
              <w:pStyle w:val="afa"/>
            </w:pPr>
            <w:r>
              <w:rPr>
                <w:rFonts w:hint="eastAsia"/>
              </w:rPr>
              <w:t>危险废物</w:t>
            </w:r>
          </w:p>
        </w:tc>
        <w:tc>
          <w:tcPr>
            <w:tcW w:w="582" w:type="pct"/>
            <w:tcBorders>
              <w:right w:val="single" w:sz="4" w:space="0" w:color="auto"/>
            </w:tcBorders>
            <w:vAlign w:val="center"/>
          </w:tcPr>
          <w:p w:rsidR="00EE56C0" w:rsidRPr="00E852EB" w:rsidRDefault="000F36A1">
            <w:pPr>
              <w:pStyle w:val="afa"/>
              <w:rPr>
                <w:b/>
                <w:u w:val="single"/>
              </w:rPr>
            </w:pPr>
            <w:r w:rsidRPr="00E852EB">
              <w:rPr>
                <w:b/>
                <w:u w:val="single"/>
              </w:rPr>
              <w:t>2.</w:t>
            </w:r>
            <w:r w:rsidRPr="00E852EB">
              <w:rPr>
                <w:rFonts w:hint="eastAsia"/>
                <w:b/>
                <w:u w:val="single"/>
              </w:rPr>
              <w:t>39</w:t>
            </w:r>
          </w:p>
        </w:tc>
        <w:tc>
          <w:tcPr>
            <w:tcW w:w="667" w:type="pct"/>
            <w:tcBorders>
              <w:left w:val="single" w:sz="4" w:space="0" w:color="auto"/>
            </w:tcBorders>
            <w:vAlign w:val="center"/>
          </w:tcPr>
          <w:p w:rsidR="00EE56C0" w:rsidRPr="00E852EB" w:rsidRDefault="000F36A1">
            <w:pPr>
              <w:pStyle w:val="afa"/>
              <w:rPr>
                <w:b/>
                <w:u w:val="single"/>
              </w:rPr>
            </w:pPr>
            <w:r w:rsidRPr="00E852EB">
              <w:rPr>
                <w:b/>
                <w:u w:val="single"/>
              </w:rPr>
              <w:t>6.</w:t>
            </w:r>
            <w:r w:rsidRPr="00E852EB">
              <w:rPr>
                <w:rFonts w:hint="eastAsia"/>
                <w:b/>
                <w:u w:val="single"/>
              </w:rPr>
              <w:t>27</w:t>
            </w:r>
          </w:p>
        </w:tc>
        <w:tc>
          <w:tcPr>
            <w:tcW w:w="945" w:type="pct"/>
            <w:vMerge/>
            <w:tcBorders>
              <w:top w:val="single" w:sz="4" w:space="0" w:color="auto"/>
              <w:bottom w:val="single" w:sz="4" w:space="0" w:color="auto"/>
            </w:tcBorders>
            <w:vAlign w:val="center"/>
          </w:tcPr>
          <w:p w:rsidR="00EE56C0" w:rsidRDefault="00EE56C0">
            <w:pPr>
              <w:pStyle w:val="afa"/>
            </w:pPr>
          </w:p>
        </w:tc>
      </w:tr>
      <w:tr w:rsidR="00EE56C0">
        <w:trPr>
          <w:trHeight w:val="454"/>
        </w:trPr>
        <w:tc>
          <w:tcPr>
            <w:tcW w:w="396" w:type="pct"/>
            <w:vMerge/>
            <w:tcMar>
              <w:top w:w="28" w:type="dxa"/>
              <w:bottom w:w="28" w:type="dxa"/>
            </w:tcMar>
            <w:vAlign w:val="center"/>
          </w:tcPr>
          <w:p w:rsidR="00EE56C0" w:rsidRDefault="00EE56C0">
            <w:pPr>
              <w:pStyle w:val="afa"/>
            </w:pPr>
          </w:p>
        </w:tc>
        <w:tc>
          <w:tcPr>
            <w:tcW w:w="416" w:type="pct"/>
            <w:tcMar>
              <w:top w:w="28" w:type="dxa"/>
              <w:bottom w:w="28" w:type="dxa"/>
            </w:tcMar>
            <w:vAlign w:val="center"/>
          </w:tcPr>
          <w:p w:rsidR="00EE56C0" w:rsidRDefault="000F36A1">
            <w:pPr>
              <w:pStyle w:val="afa"/>
            </w:pPr>
            <w:r>
              <w:rPr>
                <w:rFonts w:hint="eastAsia"/>
              </w:rPr>
              <w:t>S6</w:t>
            </w:r>
          </w:p>
        </w:tc>
        <w:tc>
          <w:tcPr>
            <w:tcW w:w="1081" w:type="pct"/>
            <w:tcMar>
              <w:top w:w="28" w:type="dxa"/>
              <w:bottom w:w="28" w:type="dxa"/>
            </w:tcMar>
            <w:vAlign w:val="center"/>
          </w:tcPr>
          <w:p w:rsidR="00EE56C0" w:rsidRDefault="000F36A1">
            <w:pPr>
              <w:pStyle w:val="afa"/>
            </w:pPr>
            <w:r>
              <w:rPr>
                <w:rFonts w:hint="eastAsia"/>
              </w:rPr>
              <w:t>废丝包漆料桶</w:t>
            </w:r>
          </w:p>
        </w:tc>
        <w:tc>
          <w:tcPr>
            <w:tcW w:w="912" w:type="pct"/>
            <w:tcMar>
              <w:top w:w="28" w:type="dxa"/>
              <w:bottom w:w="28" w:type="dxa"/>
            </w:tcMar>
            <w:vAlign w:val="center"/>
          </w:tcPr>
          <w:p w:rsidR="00EE56C0" w:rsidRDefault="000F36A1">
            <w:pPr>
              <w:pStyle w:val="afa"/>
            </w:pPr>
            <w:r>
              <w:rPr>
                <w:rFonts w:hint="eastAsia"/>
              </w:rPr>
              <w:t>危险废物</w:t>
            </w:r>
          </w:p>
        </w:tc>
        <w:tc>
          <w:tcPr>
            <w:tcW w:w="582" w:type="pct"/>
            <w:tcBorders>
              <w:right w:val="single" w:sz="4" w:space="0" w:color="auto"/>
            </w:tcBorders>
            <w:vAlign w:val="center"/>
          </w:tcPr>
          <w:p w:rsidR="00EE56C0" w:rsidRPr="00E852EB" w:rsidRDefault="000F36A1">
            <w:pPr>
              <w:pStyle w:val="afa"/>
              <w:rPr>
                <w:b/>
                <w:u w:val="single"/>
              </w:rPr>
            </w:pPr>
            <w:r w:rsidRPr="00E852EB">
              <w:rPr>
                <w:b/>
                <w:u w:val="single"/>
              </w:rPr>
              <w:t>0.6</w:t>
            </w:r>
          </w:p>
        </w:tc>
        <w:tc>
          <w:tcPr>
            <w:tcW w:w="667" w:type="pct"/>
            <w:tcBorders>
              <w:left w:val="single" w:sz="4" w:space="0" w:color="auto"/>
            </w:tcBorders>
            <w:vAlign w:val="center"/>
          </w:tcPr>
          <w:p w:rsidR="00EE56C0" w:rsidRPr="00E852EB" w:rsidRDefault="000F36A1">
            <w:pPr>
              <w:pStyle w:val="afa"/>
              <w:rPr>
                <w:b/>
                <w:u w:val="single"/>
              </w:rPr>
            </w:pPr>
            <w:r w:rsidRPr="00E852EB">
              <w:rPr>
                <w:b/>
                <w:u w:val="single"/>
              </w:rPr>
              <w:t>0.5</w:t>
            </w:r>
          </w:p>
        </w:tc>
        <w:tc>
          <w:tcPr>
            <w:tcW w:w="945" w:type="pct"/>
            <w:vMerge/>
            <w:tcBorders>
              <w:top w:val="single" w:sz="4" w:space="0" w:color="auto"/>
              <w:bottom w:val="single" w:sz="4" w:space="0" w:color="auto"/>
            </w:tcBorders>
            <w:vAlign w:val="center"/>
          </w:tcPr>
          <w:p w:rsidR="00EE56C0" w:rsidRDefault="00EE56C0">
            <w:pPr>
              <w:pStyle w:val="afa"/>
            </w:pPr>
          </w:p>
        </w:tc>
      </w:tr>
      <w:tr w:rsidR="00EE56C0">
        <w:trPr>
          <w:trHeight w:val="454"/>
        </w:trPr>
        <w:tc>
          <w:tcPr>
            <w:tcW w:w="396" w:type="pct"/>
            <w:vMerge/>
            <w:tcMar>
              <w:top w:w="28" w:type="dxa"/>
              <w:bottom w:w="28" w:type="dxa"/>
            </w:tcMar>
            <w:vAlign w:val="center"/>
          </w:tcPr>
          <w:p w:rsidR="00EE56C0" w:rsidRDefault="00EE56C0">
            <w:pPr>
              <w:pStyle w:val="afa"/>
            </w:pPr>
          </w:p>
        </w:tc>
        <w:tc>
          <w:tcPr>
            <w:tcW w:w="416" w:type="pct"/>
            <w:tcMar>
              <w:top w:w="28" w:type="dxa"/>
              <w:bottom w:w="28" w:type="dxa"/>
            </w:tcMar>
            <w:vAlign w:val="center"/>
          </w:tcPr>
          <w:p w:rsidR="00EE56C0" w:rsidRDefault="000F36A1">
            <w:pPr>
              <w:pStyle w:val="afa"/>
            </w:pPr>
            <w:r>
              <w:rPr>
                <w:rFonts w:hint="eastAsia"/>
              </w:rPr>
              <w:t>S7</w:t>
            </w:r>
          </w:p>
        </w:tc>
        <w:tc>
          <w:tcPr>
            <w:tcW w:w="1081" w:type="pct"/>
            <w:tcMar>
              <w:top w:w="28" w:type="dxa"/>
              <w:bottom w:w="28" w:type="dxa"/>
            </w:tcMar>
            <w:vAlign w:val="center"/>
          </w:tcPr>
          <w:p w:rsidR="00EE56C0" w:rsidRDefault="000F36A1">
            <w:pPr>
              <w:pStyle w:val="afa"/>
            </w:pPr>
            <w:r>
              <w:rPr>
                <w:rFonts w:hint="eastAsia"/>
              </w:rPr>
              <w:t>含漆料</w:t>
            </w:r>
            <w:r>
              <w:rPr>
                <w:rFonts w:hint="eastAsia"/>
              </w:rPr>
              <w:t>/</w:t>
            </w:r>
            <w:r>
              <w:rPr>
                <w:rFonts w:hint="eastAsia"/>
              </w:rPr>
              <w:t>油的废毛毡</w:t>
            </w:r>
          </w:p>
        </w:tc>
        <w:tc>
          <w:tcPr>
            <w:tcW w:w="912" w:type="pct"/>
            <w:tcMar>
              <w:top w:w="28" w:type="dxa"/>
              <w:bottom w:w="28" w:type="dxa"/>
            </w:tcMar>
            <w:vAlign w:val="center"/>
          </w:tcPr>
          <w:p w:rsidR="00EE56C0" w:rsidRDefault="000F36A1">
            <w:pPr>
              <w:pStyle w:val="afa"/>
            </w:pPr>
            <w:r>
              <w:rPr>
                <w:rFonts w:hint="eastAsia"/>
              </w:rPr>
              <w:t>危险废物</w:t>
            </w:r>
          </w:p>
        </w:tc>
        <w:tc>
          <w:tcPr>
            <w:tcW w:w="582" w:type="pct"/>
            <w:tcBorders>
              <w:right w:val="single" w:sz="4" w:space="0" w:color="auto"/>
            </w:tcBorders>
            <w:vAlign w:val="center"/>
          </w:tcPr>
          <w:p w:rsidR="00EE56C0" w:rsidRDefault="000F36A1">
            <w:pPr>
              <w:pStyle w:val="afa"/>
            </w:pPr>
            <w:r>
              <w:t>0.3</w:t>
            </w:r>
          </w:p>
        </w:tc>
        <w:tc>
          <w:tcPr>
            <w:tcW w:w="667" w:type="pct"/>
            <w:tcBorders>
              <w:left w:val="single" w:sz="4" w:space="0" w:color="auto"/>
            </w:tcBorders>
            <w:vAlign w:val="center"/>
          </w:tcPr>
          <w:p w:rsidR="00EE56C0" w:rsidRDefault="000F36A1">
            <w:pPr>
              <w:pStyle w:val="afa"/>
            </w:pPr>
            <w:r>
              <w:t>0.7</w:t>
            </w:r>
          </w:p>
        </w:tc>
        <w:tc>
          <w:tcPr>
            <w:tcW w:w="945" w:type="pct"/>
            <w:vMerge/>
            <w:tcBorders>
              <w:top w:val="single" w:sz="4" w:space="0" w:color="auto"/>
              <w:bottom w:val="single" w:sz="4" w:space="0" w:color="auto"/>
            </w:tcBorders>
            <w:vAlign w:val="center"/>
          </w:tcPr>
          <w:p w:rsidR="00EE56C0" w:rsidRDefault="00EE56C0">
            <w:pPr>
              <w:pStyle w:val="afa"/>
            </w:pPr>
          </w:p>
        </w:tc>
      </w:tr>
      <w:tr w:rsidR="00EE56C0">
        <w:trPr>
          <w:trHeight w:val="454"/>
        </w:trPr>
        <w:tc>
          <w:tcPr>
            <w:tcW w:w="396" w:type="pct"/>
            <w:vMerge/>
            <w:tcMar>
              <w:top w:w="28" w:type="dxa"/>
              <w:bottom w:w="28" w:type="dxa"/>
            </w:tcMar>
            <w:vAlign w:val="center"/>
          </w:tcPr>
          <w:p w:rsidR="00EE56C0" w:rsidRDefault="00EE56C0">
            <w:pPr>
              <w:pStyle w:val="afa"/>
            </w:pPr>
          </w:p>
        </w:tc>
        <w:tc>
          <w:tcPr>
            <w:tcW w:w="416" w:type="pct"/>
            <w:tcMar>
              <w:top w:w="28" w:type="dxa"/>
              <w:bottom w:w="28" w:type="dxa"/>
            </w:tcMar>
            <w:vAlign w:val="center"/>
          </w:tcPr>
          <w:p w:rsidR="00EE56C0" w:rsidRDefault="000F36A1">
            <w:pPr>
              <w:pStyle w:val="afa"/>
            </w:pPr>
            <w:r>
              <w:rPr>
                <w:rFonts w:hint="eastAsia"/>
              </w:rPr>
              <w:t>S8</w:t>
            </w:r>
          </w:p>
        </w:tc>
        <w:tc>
          <w:tcPr>
            <w:tcW w:w="1081" w:type="pct"/>
            <w:tcMar>
              <w:top w:w="28" w:type="dxa"/>
              <w:bottom w:w="28" w:type="dxa"/>
            </w:tcMar>
            <w:vAlign w:val="center"/>
          </w:tcPr>
          <w:p w:rsidR="00EE56C0" w:rsidRDefault="000F36A1">
            <w:pPr>
              <w:pStyle w:val="afa"/>
            </w:pPr>
            <w:r>
              <w:rPr>
                <w:rFonts w:hint="eastAsia"/>
              </w:rPr>
              <w:t>废油</w:t>
            </w:r>
          </w:p>
        </w:tc>
        <w:tc>
          <w:tcPr>
            <w:tcW w:w="912" w:type="pct"/>
            <w:tcMar>
              <w:top w:w="28" w:type="dxa"/>
              <w:bottom w:w="28" w:type="dxa"/>
            </w:tcMar>
            <w:vAlign w:val="center"/>
          </w:tcPr>
          <w:p w:rsidR="00EE56C0" w:rsidRDefault="000F36A1">
            <w:pPr>
              <w:pStyle w:val="afa"/>
            </w:pPr>
            <w:r>
              <w:rPr>
                <w:rFonts w:hint="eastAsia"/>
              </w:rPr>
              <w:t>危险废物</w:t>
            </w:r>
          </w:p>
        </w:tc>
        <w:tc>
          <w:tcPr>
            <w:tcW w:w="582" w:type="pct"/>
            <w:tcBorders>
              <w:right w:val="single" w:sz="4" w:space="0" w:color="auto"/>
            </w:tcBorders>
            <w:vAlign w:val="center"/>
          </w:tcPr>
          <w:p w:rsidR="00EE56C0" w:rsidRDefault="000F36A1">
            <w:pPr>
              <w:pStyle w:val="afa"/>
            </w:pPr>
            <w:r>
              <w:t>0.3</w:t>
            </w:r>
          </w:p>
        </w:tc>
        <w:tc>
          <w:tcPr>
            <w:tcW w:w="667" w:type="pct"/>
            <w:tcBorders>
              <w:left w:val="single" w:sz="4" w:space="0" w:color="auto"/>
            </w:tcBorders>
            <w:vAlign w:val="center"/>
          </w:tcPr>
          <w:p w:rsidR="00EE56C0" w:rsidRDefault="000F36A1">
            <w:pPr>
              <w:pStyle w:val="afa"/>
            </w:pPr>
            <w:r>
              <w:t>0.7</w:t>
            </w:r>
          </w:p>
        </w:tc>
        <w:tc>
          <w:tcPr>
            <w:tcW w:w="945" w:type="pct"/>
            <w:vMerge/>
            <w:tcBorders>
              <w:top w:val="single" w:sz="4" w:space="0" w:color="auto"/>
              <w:bottom w:val="single" w:sz="4" w:space="0" w:color="auto"/>
            </w:tcBorders>
            <w:vAlign w:val="center"/>
          </w:tcPr>
          <w:p w:rsidR="00EE56C0" w:rsidRDefault="00EE56C0">
            <w:pPr>
              <w:pStyle w:val="afa"/>
            </w:pPr>
          </w:p>
        </w:tc>
      </w:tr>
      <w:tr w:rsidR="00EE56C0">
        <w:trPr>
          <w:trHeight w:val="454"/>
        </w:trPr>
        <w:tc>
          <w:tcPr>
            <w:tcW w:w="396" w:type="pct"/>
            <w:vMerge/>
            <w:tcMar>
              <w:top w:w="28" w:type="dxa"/>
              <w:bottom w:w="28" w:type="dxa"/>
            </w:tcMar>
            <w:vAlign w:val="center"/>
          </w:tcPr>
          <w:p w:rsidR="00EE56C0" w:rsidRDefault="00EE56C0">
            <w:pPr>
              <w:pStyle w:val="afa"/>
            </w:pPr>
          </w:p>
        </w:tc>
        <w:tc>
          <w:tcPr>
            <w:tcW w:w="416" w:type="pct"/>
            <w:tcMar>
              <w:top w:w="28" w:type="dxa"/>
              <w:bottom w:w="28" w:type="dxa"/>
            </w:tcMar>
            <w:vAlign w:val="center"/>
          </w:tcPr>
          <w:p w:rsidR="00EE56C0" w:rsidRDefault="000F36A1">
            <w:pPr>
              <w:pStyle w:val="afa"/>
            </w:pPr>
            <w:r>
              <w:rPr>
                <w:rFonts w:hint="eastAsia"/>
              </w:rPr>
              <w:t>S9</w:t>
            </w:r>
          </w:p>
        </w:tc>
        <w:tc>
          <w:tcPr>
            <w:tcW w:w="1081" w:type="pct"/>
            <w:tcMar>
              <w:top w:w="28" w:type="dxa"/>
              <w:bottom w:w="28" w:type="dxa"/>
            </w:tcMar>
            <w:vAlign w:val="center"/>
          </w:tcPr>
          <w:p w:rsidR="00EE56C0" w:rsidRDefault="000F36A1">
            <w:pPr>
              <w:pStyle w:val="afa"/>
            </w:pPr>
            <w:r>
              <w:rPr>
                <w:rFonts w:hint="eastAsia"/>
              </w:rPr>
              <w:t>废活性炭</w:t>
            </w:r>
          </w:p>
        </w:tc>
        <w:tc>
          <w:tcPr>
            <w:tcW w:w="912" w:type="pct"/>
            <w:tcMar>
              <w:top w:w="28" w:type="dxa"/>
              <w:bottom w:w="28" w:type="dxa"/>
            </w:tcMar>
            <w:vAlign w:val="center"/>
          </w:tcPr>
          <w:p w:rsidR="00EE56C0" w:rsidRDefault="000F36A1">
            <w:pPr>
              <w:pStyle w:val="afa"/>
            </w:pPr>
            <w:r>
              <w:rPr>
                <w:rFonts w:hint="eastAsia"/>
              </w:rPr>
              <w:t>危险废物</w:t>
            </w:r>
          </w:p>
        </w:tc>
        <w:tc>
          <w:tcPr>
            <w:tcW w:w="582" w:type="pct"/>
            <w:tcBorders>
              <w:right w:val="single" w:sz="4" w:space="0" w:color="auto"/>
            </w:tcBorders>
            <w:vAlign w:val="center"/>
          </w:tcPr>
          <w:p w:rsidR="00EE56C0" w:rsidRDefault="000F36A1">
            <w:pPr>
              <w:pStyle w:val="afa"/>
            </w:pPr>
            <w:r>
              <w:t>2.75</w:t>
            </w:r>
          </w:p>
        </w:tc>
        <w:tc>
          <w:tcPr>
            <w:tcW w:w="667" w:type="pct"/>
            <w:tcBorders>
              <w:left w:val="single" w:sz="4" w:space="0" w:color="auto"/>
            </w:tcBorders>
            <w:vAlign w:val="center"/>
          </w:tcPr>
          <w:p w:rsidR="00EE56C0" w:rsidRDefault="000F36A1">
            <w:pPr>
              <w:pStyle w:val="afa"/>
            </w:pPr>
            <w:r>
              <w:t>/</w:t>
            </w:r>
          </w:p>
        </w:tc>
        <w:tc>
          <w:tcPr>
            <w:tcW w:w="945" w:type="pct"/>
            <w:vMerge/>
            <w:tcBorders>
              <w:top w:val="single" w:sz="4" w:space="0" w:color="auto"/>
              <w:bottom w:val="single" w:sz="4" w:space="0" w:color="auto"/>
            </w:tcBorders>
            <w:vAlign w:val="center"/>
          </w:tcPr>
          <w:p w:rsidR="00EE56C0" w:rsidRDefault="00EE56C0">
            <w:pPr>
              <w:pStyle w:val="afa"/>
            </w:pPr>
          </w:p>
        </w:tc>
      </w:tr>
      <w:tr w:rsidR="00EE56C0">
        <w:trPr>
          <w:trHeight w:val="454"/>
        </w:trPr>
        <w:tc>
          <w:tcPr>
            <w:tcW w:w="396" w:type="pct"/>
            <w:vMerge/>
            <w:tcMar>
              <w:top w:w="28" w:type="dxa"/>
              <w:bottom w:w="28" w:type="dxa"/>
            </w:tcMar>
            <w:vAlign w:val="center"/>
          </w:tcPr>
          <w:p w:rsidR="00EE56C0" w:rsidRDefault="00EE56C0">
            <w:pPr>
              <w:pStyle w:val="afa"/>
            </w:pPr>
          </w:p>
        </w:tc>
        <w:tc>
          <w:tcPr>
            <w:tcW w:w="416" w:type="pct"/>
            <w:tcMar>
              <w:top w:w="28" w:type="dxa"/>
              <w:bottom w:w="28" w:type="dxa"/>
            </w:tcMar>
            <w:vAlign w:val="center"/>
          </w:tcPr>
          <w:p w:rsidR="00EE56C0" w:rsidRDefault="000F36A1">
            <w:pPr>
              <w:pStyle w:val="afa"/>
            </w:pPr>
            <w:r>
              <w:rPr>
                <w:rFonts w:hint="eastAsia"/>
              </w:rPr>
              <w:t>S10</w:t>
            </w:r>
          </w:p>
        </w:tc>
        <w:tc>
          <w:tcPr>
            <w:tcW w:w="1081" w:type="pct"/>
            <w:tcMar>
              <w:top w:w="28" w:type="dxa"/>
              <w:bottom w:w="28" w:type="dxa"/>
            </w:tcMar>
            <w:vAlign w:val="center"/>
          </w:tcPr>
          <w:p w:rsidR="00EE56C0" w:rsidRDefault="000F36A1">
            <w:pPr>
              <w:pStyle w:val="afa"/>
            </w:pPr>
            <w:r>
              <w:t>废催化剂</w:t>
            </w:r>
          </w:p>
        </w:tc>
        <w:tc>
          <w:tcPr>
            <w:tcW w:w="912" w:type="pct"/>
            <w:tcMar>
              <w:top w:w="28" w:type="dxa"/>
              <w:bottom w:w="28" w:type="dxa"/>
            </w:tcMar>
            <w:vAlign w:val="center"/>
          </w:tcPr>
          <w:p w:rsidR="00EE56C0" w:rsidRDefault="000F36A1">
            <w:pPr>
              <w:pStyle w:val="afa"/>
            </w:pPr>
            <w:r>
              <w:rPr>
                <w:rFonts w:hint="eastAsia"/>
              </w:rPr>
              <w:t>危险废物</w:t>
            </w:r>
          </w:p>
        </w:tc>
        <w:tc>
          <w:tcPr>
            <w:tcW w:w="582" w:type="pct"/>
            <w:tcBorders>
              <w:right w:val="single" w:sz="4" w:space="0" w:color="auto"/>
            </w:tcBorders>
            <w:vAlign w:val="center"/>
          </w:tcPr>
          <w:p w:rsidR="00EE56C0" w:rsidRDefault="000F36A1">
            <w:pPr>
              <w:pStyle w:val="afa"/>
            </w:pPr>
            <w:r>
              <w:t>0.2</w:t>
            </w:r>
          </w:p>
        </w:tc>
        <w:tc>
          <w:tcPr>
            <w:tcW w:w="667" w:type="pct"/>
            <w:tcBorders>
              <w:left w:val="single" w:sz="4" w:space="0" w:color="auto"/>
            </w:tcBorders>
            <w:vAlign w:val="center"/>
          </w:tcPr>
          <w:p w:rsidR="00EE56C0" w:rsidRDefault="000F36A1">
            <w:pPr>
              <w:pStyle w:val="afa"/>
            </w:pPr>
            <w:r>
              <w:t>0.4</w:t>
            </w:r>
          </w:p>
        </w:tc>
        <w:tc>
          <w:tcPr>
            <w:tcW w:w="945" w:type="pct"/>
            <w:vMerge/>
            <w:tcBorders>
              <w:top w:val="single" w:sz="4" w:space="0" w:color="auto"/>
              <w:bottom w:val="single" w:sz="4" w:space="0" w:color="auto"/>
            </w:tcBorders>
            <w:vAlign w:val="center"/>
          </w:tcPr>
          <w:p w:rsidR="00EE56C0" w:rsidRDefault="00EE56C0">
            <w:pPr>
              <w:pStyle w:val="afa"/>
            </w:pPr>
          </w:p>
        </w:tc>
      </w:tr>
      <w:tr w:rsidR="00EE56C0">
        <w:trPr>
          <w:trHeight w:val="454"/>
        </w:trPr>
        <w:tc>
          <w:tcPr>
            <w:tcW w:w="396" w:type="pct"/>
            <w:vMerge/>
            <w:tcMar>
              <w:top w:w="28" w:type="dxa"/>
              <w:bottom w:w="28" w:type="dxa"/>
            </w:tcMar>
            <w:vAlign w:val="center"/>
          </w:tcPr>
          <w:p w:rsidR="00EE56C0" w:rsidRDefault="00EE56C0">
            <w:pPr>
              <w:pStyle w:val="afa"/>
            </w:pPr>
          </w:p>
        </w:tc>
        <w:tc>
          <w:tcPr>
            <w:tcW w:w="416" w:type="pct"/>
            <w:tcMar>
              <w:top w:w="28" w:type="dxa"/>
              <w:bottom w:w="28" w:type="dxa"/>
            </w:tcMar>
            <w:vAlign w:val="center"/>
          </w:tcPr>
          <w:p w:rsidR="00EE56C0" w:rsidRDefault="000F36A1">
            <w:pPr>
              <w:pStyle w:val="afa"/>
            </w:pPr>
            <w:r>
              <w:rPr>
                <w:rFonts w:hint="eastAsia"/>
              </w:rPr>
              <w:t>S11</w:t>
            </w:r>
          </w:p>
        </w:tc>
        <w:tc>
          <w:tcPr>
            <w:tcW w:w="1081" w:type="pct"/>
            <w:tcMar>
              <w:top w:w="28" w:type="dxa"/>
              <w:bottom w:w="28" w:type="dxa"/>
            </w:tcMar>
            <w:vAlign w:val="center"/>
          </w:tcPr>
          <w:p w:rsidR="00EE56C0" w:rsidRDefault="000F36A1">
            <w:pPr>
              <w:pStyle w:val="afa"/>
            </w:pPr>
            <w:r>
              <w:rPr>
                <w:rFonts w:hint="eastAsia"/>
              </w:rPr>
              <w:t>废沸石分子筛</w:t>
            </w:r>
          </w:p>
        </w:tc>
        <w:tc>
          <w:tcPr>
            <w:tcW w:w="912" w:type="pct"/>
            <w:tcMar>
              <w:top w:w="28" w:type="dxa"/>
              <w:bottom w:w="28" w:type="dxa"/>
            </w:tcMar>
            <w:vAlign w:val="center"/>
          </w:tcPr>
          <w:p w:rsidR="00EE56C0" w:rsidRDefault="000F36A1">
            <w:pPr>
              <w:pStyle w:val="afa"/>
            </w:pPr>
            <w:r>
              <w:rPr>
                <w:rFonts w:hint="eastAsia"/>
              </w:rPr>
              <w:t>危险废物</w:t>
            </w:r>
          </w:p>
        </w:tc>
        <w:tc>
          <w:tcPr>
            <w:tcW w:w="582" w:type="pct"/>
            <w:tcBorders>
              <w:right w:val="single" w:sz="4" w:space="0" w:color="auto"/>
            </w:tcBorders>
            <w:vAlign w:val="center"/>
          </w:tcPr>
          <w:p w:rsidR="00EE56C0" w:rsidRDefault="000F36A1">
            <w:pPr>
              <w:pStyle w:val="afa"/>
            </w:pPr>
            <w:r>
              <w:t>3</w:t>
            </w:r>
          </w:p>
        </w:tc>
        <w:tc>
          <w:tcPr>
            <w:tcW w:w="667" w:type="pct"/>
            <w:tcBorders>
              <w:left w:val="single" w:sz="4" w:space="0" w:color="auto"/>
            </w:tcBorders>
            <w:vAlign w:val="center"/>
          </w:tcPr>
          <w:p w:rsidR="00EE56C0" w:rsidRDefault="000F36A1">
            <w:pPr>
              <w:pStyle w:val="afa"/>
            </w:pPr>
            <w:r>
              <w:t>/</w:t>
            </w:r>
          </w:p>
        </w:tc>
        <w:tc>
          <w:tcPr>
            <w:tcW w:w="945" w:type="pct"/>
            <w:vMerge/>
            <w:tcBorders>
              <w:top w:val="single" w:sz="4" w:space="0" w:color="auto"/>
              <w:bottom w:val="single" w:sz="4" w:space="0" w:color="auto"/>
            </w:tcBorders>
            <w:vAlign w:val="center"/>
          </w:tcPr>
          <w:p w:rsidR="00EE56C0" w:rsidRDefault="00EE56C0">
            <w:pPr>
              <w:pStyle w:val="afa"/>
            </w:pPr>
          </w:p>
        </w:tc>
      </w:tr>
    </w:tbl>
    <w:p w:rsidR="00EE56C0" w:rsidRDefault="000F36A1">
      <w:pPr>
        <w:ind w:firstLine="480"/>
      </w:pPr>
      <w:r>
        <w:rPr>
          <w:rFonts w:hint="eastAsia"/>
        </w:rPr>
        <w:t>建设单位已分别设置</w:t>
      </w:r>
      <w:r>
        <w:rPr>
          <w:rFonts w:hint="eastAsia"/>
        </w:rPr>
        <w:t>1</w:t>
      </w:r>
      <w:r>
        <w:rPr>
          <w:rFonts w:hint="eastAsia"/>
        </w:rPr>
        <w:t>个一般工业固废暂存间（</w:t>
      </w:r>
      <w:r>
        <w:rPr>
          <w:rFonts w:hint="eastAsia"/>
        </w:rPr>
        <w:t>60m</w:t>
      </w:r>
      <w:r>
        <w:rPr>
          <w:rFonts w:hint="eastAsia"/>
          <w:vertAlign w:val="superscript"/>
        </w:rPr>
        <w:t>2</w:t>
      </w:r>
      <w:r>
        <w:rPr>
          <w:rFonts w:hint="eastAsia"/>
        </w:rPr>
        <w:t>）和</w:t>
      </w:r>
      <w:r>
        <w:rPr>
          <w:rFonts w:hint="eastAsia"/>
        </w:rPr>
        <w:t>2</w:t>
      </w:r>
      <w:r>
        <w:rPr>
          <w:rFonts w:hint="eastAsia"/>
        </w:rPr>
        <w:t>座危险固废暂存间（</w:t>
      </w:r>
      <w:r>
        <w:rPr>
          <w:rFonts w:hint="eastAsia"/>
        </w:rPr>
        <w:t>1#</w:t>
      </w:r>
      <w:r>
        <w:rPr>
          <w:rFonts w:hint="eastAsia"/>
        </w:rPr>
        <w:t>：</w:t>
      </w:r>
      <w:r>
        <w:rPr>
          <w:rFonts w:hint="eastAsia"/>
        </w:rPr>
        <w:t>27</w:t>
      </w:r>
      <w:r>
        <w:t>m</w:t>
      </w:r>
      <w:r>
        <w:rPr>
          <w:vertAlign w:val="superscript"/>
        </w:rPr>
        <w:t>2</w:t>
      </w:r>
      <w:r>
        <w:rPr>
          <w:rFonts w:hint="eastAsia"/>
        </w:rPr>
        <w:t>、</w:t>
      </w:r>
      <w:r>
        <w:rPr>
          <w:rFonts w:hint="eastAsia"/>
        </w:rPr>
        <w:t>2#</w:t>
      </w:r>
      <w:r>
        <w:rPr>
          <w:rFonts w:hint="eastAsia"/>
        </w:rPr>
        <w:t>：</w:t>
      </w:r>
      <w:r>
        <w:rPr>
          <w:rFonts w:hint="eastAsia"/>
        </w:rPr>
        <w:t>33</w:t>
      </w:r>
      <w:r>
        <w:t>m</w:t>
      </w:r>
      <w:r>
        <w:rPr>
          <w:vertAlign w:val="superscript"/>
        </w:rPr>
        <w:t>2</w:t>
      </w:r>
      <w:r>
        <w:rPr>
          <w:rFonts w:hint="eastAsia"/>
        </w:rPr>
        <w:t>），对项目固废分类分区存放。</w:t>
      </w:r>
    </w:p>
    <w:p w:rsidR="00EE56C0" w:rsidRPr="00E852EB" w:rsidRDefault="000F36A1" w:rsidP="00E852EB">
      <w:pPr>
        <w:ind w:firstLine="482"/>
        <w:rPr>
          <w:b/>
          <w:u w:val="single"/>
        </w:rPr>
      </w:pPr>
      <w:r w:rsidRPr="00E852EB">
        <w:rPr>
          <w:b/>
          <w:u w:val="single"/>
        </w:rPr>
        <w:t>厂区</w:t>
      </w:r>
      <w:r w:rsidRPr="00E852EB">
        <w:rPr>
          <w:rFonts w:hint="eastAsia"/>
          <w:b/>
          <w:u w:val="single"/>
        </w:rPr>
        <w:t>已建设一座</w:t>
      </w:r>
      <w:r w:rsidRPr="00E852EB">
        <w:rPr>
          <w:b/>
          <w:u w:val="single"/>
        </w:rPr>
        <w:t>固废储存间（</w:t>
      </w:r>
      <w:r w:rsidRPr="00E852EB">
        <w:rPr>
          <w:b/>
          <w:u w:val="single"/>
        </w:rPr>
        <w:t>60m</w:t>
      </w:r>
      <w:r w:rsidRPr="00E852EB">
        <w:rPr>
          <w:b/>
          <w:u w:val="single"/>
          <w:vertAlign w:val="superscript"/>
        </w:rPr>
        <w:t>2</w:t>
      </w:r>
      <w:r w:rsidRPr="00E852EB">
        <w:rPr>
          <w:b/>
          <w:u w:val="single"/>
        </w:rPr>
        <w:t>），</w:t>
      </w:r>
      <w:r w:rsidRPr="00E852EB">
        <w:rPr>
          <w:rFonts w:hint="eastAsia"/>
          <w:b/>
          <w:u w:val="single"/>
        </w:rPr>
        <w:t>目前</w:t>
      </w:r>
      <w:r w:rsidRPr="00E852EB">
        <w:rPr>
          <w:b/>
          <w:u w:val="single"/>
        </w:rPr>
        <w:t>固废储存间</w:t>
      </w:r>
      <w:r w:rsidRPr="00E852EB">
        <w:rPr>
          <w:rFonts w:hint="eastAsia"/>
          <w:b/>
          <w:u w:val="single"/>
        </w:rPr>
        <w:t>剩余</w:t>
      </w:r>
      <w:r w:rsidRPr="00E852EB">
        <w:rPr>
          <w:rFonts w:hint="eastAsia"/>
          <w:b/>
          <w:u w:val="single"/>
        </w:rPr>
        <w:t>20m</w:t>
      </w:r>
      <w:r w:rsidRPr="00E852EB">
        <w:rPr>
          <w:rFonts w:hint="eastAsia"/>
          <w:b/>
          <w:u w:val="single"/>
          <w:vertAlign w:val="superscript"/>
        </w:rPr>
        <w:t>2</w:t>
      </w:r>
      <w:r w:rsidRPr="00E852EB">
        <w:rPr>
          <w:rFonts w:hint="eastAsia"/>
          <w:b/>
          <w:u w:val="single"/>
        </w:rPr>
        <w:t>，能满足本项目暂存要求，现有</w:t>
      </w:r>
      <w:r w:rsidRPr="00E852EB">
        <w:rPr>
          <w:b/>
          <w:u w:val="single"/>
        </w:rPr>
        <w:t>固废储存间</w:t>
      </w:r>
      <w:r w:rsidRPr="00E852EB">
        <w:rPr>
          <w:rFonts w:hint="eastAsia"/>
          <w:b/>
          <w:u w:val="single"/>
        </w:rPr>
        <w:t>已做水泥防渗处理，且为封闭</w:t>
      </w:r>
      <w:r w:rsidRPr="00E852EB">
        <w:rPr>
          <w:b/>
          <w:u w:val="single"/>
        </w:rPr>
        <w:t>储存间</w:t>
      </w:r>
      <w:r w:rsidRPr="00E852EB">
        <w:rPr>
          <w:rFonts w:hint="eastAsia"/>
          <w:b/>
          <w:u w:val="single"/>
        </w:rPr>
        <w:t>，满足《一般工业固体废物贮存和填埋污染控制标准》（</w:t>
      </w:r>
      <w:r w:rsidRPr="00E852EB">
        <w:rPr>
          <w:rFonts w:hint="eastAsia"/>
          <w:b/>
          <w:u w:val="single"/>
        </w:rPr>
        <w:t>GB18599-2020</w:t>
      </w:r>
      <w:r w:rsidRPr="00E852EB">
        <w:rPr>
          <w:rFonts w:hint="eastAsia"/>
          <w:b/>
          <w:u w:val="single"/>
        </w:rPr>
        <w:t>）中“防渗漏、防雨淋、防扬尘”相关要求。</w:t>
      </w:r>
    </w:p>
    <w:p w:rsidR="00EE56C0" w:rsidRDefault="000F36A1" w:rsidP="00E852EB">
      <w:pPr>
        <w:ind w:firstLine="482"/>
      </w:pPr>
      <w:r w:rsidRPr="00E852EB">
        <w:rPr>
          <w:b/>
          <w:u w:val="single"/>
        </w:rPr>
        <w:t>厂区</w:t>
      </w:r>
      <w:r w:rsidRPr="00E852EB">
        <w:rPr>
          <w:rFonts w:hint="eastAsia"/>
          <w:b/>
          <w:u w:val="single"/>
        </w:rPr>
        <w:t>已建设两座</w:t>
      </w:r>
      <w:r w:rsidRPr="00E852EB">
        <w:rPr>
          <w:b/>
          <w:u w:val="single"/>
        </w:rPr>
        <w:t>危废暂存间</w:t>
      </w:r>
      <w:r w:rsidRPr="00E852EB">
        <w:rPr>
          <w:rFonts w:hint="eastAsia"/>
          <w:b/>
          <w:u w:val="single"/>
        </w:rPr>
        <w:t>，分别为</w:t>
      </w:r>
      <w:r w:rsidRPr="00E852EB">
        <w:rPr>
          <w:rFonts w:hint="eastAsia"/>
          <w:b/>
          <w:u w:val="single"/>
        </w:rPr>
        <w:t>1#</w:t>
      </w:r>
      <w:r w:rsidRPr="00E852EB">
        <w:rPr>
          <w:b/>
          <w:u w:val="single"/>
        </w:rPr>
        <w:t>危废间</w:t>
      </w:r>
      <w:r w:rsidRPr="00E852EB">
        <w:rPr>
          <w:rFonts w:hint="eastAsia"/>
          <w:b/>
          <w:u w:val="single"/>
        </w:rPr>
        <w:t>（</w:t>
      </w:r>
      <w:r w:rsidRPr="00E852EB">
        <w:rPr>
          <w:rFonts w:hint="eastAsia"/>
          <w:b/>
          <w:u w:val="single"/>
        </w:rPr>
        <w:t>27</w:t>
      </w:r>
      <w:r w:rsidRPr="00E852EB">
        <w:rPr>
          <w:b/>
          <w:u w:val="single"/>
        </w:rPr>
        <w:t>m</w:t>
      </w:r>
      <w:r w:rsidRPr="00E852EB">
        <w:rPr>
          <w:b/>
          <w:u w:val="single"/>
          <w:vertAlign w:val="superscript"/>
        </w:rPr>
        <w:t>2</w:t>
      </w:r>
      <w:r w:rsidRPr="00E852EB">
        <w:rPr>
          <w:rFonts w:hint="eastAsia"/>
          <w:b/>
          <w:u w:val="single"/>
        </w:rPr>
        <w:t>）、</w:t>
      </w:r>
      <w:r w:rsidRPr="00E852EB">
        <w:rPr>
          <w:rFonts w:hint="eastAsia"/>
          <w:b/>
          <w:u w:val="single"/>
        </w:rPr>
        <w:t>2#</w:t>
      </w:r>
      <w:r w:rsidRPr="00E852EB">
        <w:rPr>
          <w:b/>
          <w:u w:val="single"/>
        </w:rPr>
        <w:t>危废间</w:t>
      </w:r>
      <w:r w:rsidRPr="00E852EB">
        <w:rPr>
          <w:rFonts w:hint="eastAsia"/>
          <w:b/>
          <w:u w:val="single"/>
        </w:rPr>
        <w:t>（</w:t>
      </w:r>
      <w:r w:rsidRPr="00E852EB">
        <w:rPr>
          <w:rFonts w:hint="eastAsia"/>
          <w:b/>
          <w:u w:val="single"/>
        </w:rPr>
        <w:t>33</w:t>
      </w:r>
      <w:r w:rsidRPr="00E852EB">
        <w:rPr>
          <w:b/>
          <w:u w:val="single"/>
        </w:rPr>
        <w:t>m</w:t>
      </w:r>
      <w:r w:rsidRPr="00E852EB">
        <w:rPr>
          <w:b/>
          <w:u w:val="single"/>
          <w:vertAlign w:val="superscript"/>
        </w:rPr>
        <w:t>2</w:t>
      </w:r>
      <w:r w:rsidRPr="00E852EB">
        <w:rPr>
          <w:rFonts w:hint="eastAsia"/>
          <w:b/>
          <w:u w:val="single"/>
        </w:rPr>
        <w:t>）</w:t>
      </w:r>
      <w:r w:rsidRPr="00E852EB">
        <w:rPr>
          <w:b/>
          <w:u w:val="single"/>
        </w:rPr>
        <w:t>，</w:t>
      </w:r>
      <w:r w:rsidR="00E852EB" w:rsidRPr="00E852EB">
        <w:rPr>
          <w:rFonts w:hint="eastAsia"/>
          <w:b/>
          <w:u w:val="single"/>
        </w:rPr>
        <w:t>目前</w:t>
      </w:r>
      <w:r w:rsidR="00E852EB" w:rsidRPr="00E852EB">
        <w:rPr>
          <w:b/>
          <w:u w:val="single"/>
        </w:rPr>
        <w:t>固废储存间</w:t>
      </w:r>
      <w:r w:rsidR="00E852EB" w:rsidRPr="00E852EB">
        <w:rPr>
          <w:rFonts w:hint="eastAsia"/>
          <w:b/>
          <w:u w:val="single"/>
        </w:rPr>
        <w:t>剩余面积为</w:t>
      </w:r>
      <w:r w:rsidR="00E852EB" w:rsidRPr="00E852EB">
        <w:rPr>
          <w:rFonts w:hint="eastAsia"/>
          <w:b/>
          <w:u w:val="single"/>
        </w:rPr>
        <w:t>1#</w:t>
      </w:r>
      <w:r w:rsidR="00E852EB" w:rsidRPr="00E852EB">
        <w:rPr>
          <w:b/>
          <w:u w:val="single"/>
        </w:rPr>
        <w:t>危废间</w:t>
      </w:r>
      <w:r w:rsidR="00E852EB" w:rsidRPr="00E852EB">
        <w:rPr>
          <w:rFonts w:hint="eastAsia"/>
          <w:b/>
          <w:u w:val="single"/>
        </w:rPr>
        <w:t>（</w:t>
      </w:r>
      <w:r w:rsidR="00E852EB" w:rsidRPr="00E852EB">
        <w:rPr>
          <w:rFonts w:hint="eastAsia"/>
          <w:b/>
          <w:u w:val="single"/>
        </w:rPr>
        <w:t>19</w:t>
      </w:r>
      <w:r w:rsidR="00E852EB" w:rsidRPr="00E852EB">
        <w:rPr>
          <w:b/>
          <w:u w:val="single"/>
        </w:rPr>
        <w:t>m</w:t>
      </w:r>
      <w:r w:rsidR="00E852EB" w:rsidRPr="00E852EB">
        <w:rPr>
          <w:b/>
          <w:u w:val="single"/>
          <w:vertAlign w:val="superscript"/>
        </w:rPr>
        <w:t>2</w:t>
      </w:r>
      <w:r w:rsidR="00E852EB" w:rsidRPr="00E852EB">
        <w:rPr>
          <w:rFonts w:hint="eastAsia"/>
          <w:b/>
          <w:u w:val="single"/>
        </w:rPr>
        <w:t>）、</w:t>
      </w:r>
      <w:r w:rsidR="00E852EB" w:rsidRPr="00E852EB">
        <w:rPr>
          <w:rFonts w:hint="eastAsia"/>
          <w:b/>
          <w:u w:val="single"/>
        </w:rPr>
        <w:t>2#</w:t>
      </w:r>
      <w:r w:rsidR="00E852EB" w:rsidRPr="00E852EB">
        <w:rPr>
          <w:b/>
          <w:u w:val="single"/>
        </w:rPr>
        <w:t>危废间</w:t>
      </w:r>
      <w:r w:rsidR="00E852EB" w:rsidRPr="00E852EB">
        <w:rPr>
          <w:rFonts w:hint="eastAsia"/>
          <w:b/>
          <w:u w:val="single"/>
        </w:rPr>
        <w:t>（</w:t>
      </w:r>
      <w:r w:rsidR="00E852EB" w:rsidRPr="00E852EB">
        <w:rPr>
          <w:rFonts w:hint="eastAsia"/>
          <w:b/>
          <w:u w:val="single"/>
        </w:rPr>
        <w:t>23</w:t>
      </w:r>
      <w:r w:rsidR="00E852EB" w:rsidRPr="00E852EB">
        <w:rPr>
          <w:b/>
          <w:u w:val="single"/>
        </w:rPr>
        <w:t>m</w:t>
      </w:r>
      <w:r w:rsidR="00E852EB" w:rsidRPr="00E852EB">
        <w:rPr>
          <w:b/>
          <w:u w:val="single"/>
          <w:vertAlign w:val="superscript"/>
        </w:rPr>
        <w:t>2</w:t>
      </w:r>
      <w:r w:rsidR="00E852EB" w:rsidRPr="00E852EB">
        <w:rPr>
          <w:rFonts w:hint="eastAsia"/>
          <w:b/>
          <w:u w:val="single"/>
        </w:rPr>
        <w:t>）</w:t>
      </w:r>
      <w:r w:rsidR="00E852EB" w:rsidRPr="00E852EB">
        <w:rPr>
          <w:b/>
          <w:u w:val="single"/>
        </w:rPr>
        <w:t>，</w:t>
      </w:r>
      <w:r w:rsidRPr="00E852EB">
        <w:rPr>
          <w:rFonts w:hint="eastAsia"/>
          <w:b/>
          <w:u w:val="single"/>
        </w:rPr>
        <w:t>两座</w:t>
      </w:r>
      <w:r w:rsidRPr="00E852EB">
        <w:rPr>
          <w:b/>
          <w:u w:val="single"/>
        </w:rPr>
        <w:t>危废暂存间</w:t>
      </w:r>
      <w:r w:rsidRPr="00E852EB">
        <w:rPr>
          <w:rFonts w:hint="eastAsia"/>
          <w:b/>
          <w:u w:val="single"/>
        </w:rPr>
        <w:t>已根据危废种类及产生量划分独立区域，地面已铺环氧地坪漆进行防渗处理，</w:t>
      </w:r>
      <w:r w:rsidRPr="00E852EB">
        <w:rPr>
          <w:b/>
          <w:u w:val="single"/>
        </w:rPr>
        <w:t>防渗系数</w:t>
      </w:r>
      <w:r w:rsidRPr="00E852EB">
        <w:rPr>
          <w:rFonts w:hint="eastAsia"/>
          <w:b/>
          <w:u w:val="single"/>
        </w:rPr>
        <w:t>不大于</w:t>
      </w:r>
      <w:r w:rsidRPr="00E852EB">
        <w:rPr>
          <w:b/>
          <w:u w:val="single"/>
        </w:rPr>
        <w:t>1.0×10-10cm/s</w:t>
      </w:r>
      <w:r w:rsidRPr="00E852EB">
        <w:rPr>
          <w:rFonts w:hint="eastAsia"/>
          <w:b/>
          <w:u w:val="single"/>
        </w:rPr>
        <w:t>，并设置围堰、导流槽和收集池，危废间</w:t>
      </w:r>
      <w:r w:rsidRPr="00E852EB">
        <w:rPr>
          <w:rFonts w:hint="eastAsia"/>
          <w:b/>
          <w:szCs w:val="24"/>
          <w:u w:val="single"/>
        </w:rPr>
        <w:t>无阳光直射，且</w:t>
      </w:r>
      <w:r w:rsidRPr="00E852EB">
        <w:rPr>
          <w:rFonts w:hint="eastAsia"/>
          <w:b/>
          <w:u w:val="single"/>
        </w:rPr>
        <w:t>满足“防风、防雨、防渗、防晒”等《危险废物贮存污染控制标准》（</w:t>
      </w:r>
      <w:r w:rsidRPr="00E852EB">
        <w:rPr>
          <w:rFonts w:hint="eastAsia"/>
          <w:b/>
          <w:u w:val="single"/>
        </w:rPr>
        <w:t>GB18597-2001</w:t>
      </w:r>
      <w:r w:rsidRPr="00E852EB">
        <w:rPr>
          <w:rFonts w:hint="eastAsia"/>
          <w:b/>
          <w:u w:val="single"/>
        </w:rPr>
        <w:t>）及</w:t>
      </w:r>
      <w:r w:rsidRPr="00E852EB">
        <w:rPr>
          <w:rFonts w:hint="eastAsia"/>
          <w:b/>
          <w:u w:val="single"/>
        </w:rPr>
        <w:t>2013</w:t>
      </w:r>
      <w:r w:rsidRPr="00E852EB">
        <w:rPr>
          <w:rFonts w:hint="eastAsia"/>
          <w:b/>
          <w:u w:val="single"/>
        </w:rPr>
        <w:t>修改单对危险废物的暂存要求</w:t>
      </w:r>
      <w:r>
        <w:rPr>
          <w:rFonts w:hint="eastAsia"/>
          <w:snapToGrid w:val="0"/>
        </w:rPr>
        <w:t>。</w:t>
      </w:r>
      <w:r>
        <w:rPr>
          <w:rFonts w:hint="eastAsia"/>
        </w:rPr>
        <w:t>为了避免危险固废在厂区贮存过程中对环境的影响，评价要求工程应将其全部装入密闭容器中后临时存放于危废暂存间内，</w:t>
      </w:r>
      <w:r>
        <w:t>定期送有</w:t>
      </w:r>
      <w:r>
        <w:rPr>
          <w:rFonts w:hint="eastAsia"/>
        </w:rPr>
        <w:t>相应</w:t>
      </w:r>
      <w:r>
        <w:t>危废</w:t>
      </w:r>
      <w:r>
        <w:rPr>
          <w:rFonts w:hint="eastAsia"/>
        </w:rPr>
        <w:t>处置</w:t>
      </w:r>
      <w:r>
        <w:t>资质的单位</w:t>
      </w:r>
      <w:r>
        <w:rPr>
          <w:rFonts w:hint="eastAsia"/>
        </w:rPr>
        <w:t>处置</w:t>
      </w:r>
      <w:r>
        <w:rPr>
          <w:spacing w:val="-2"/>
        </w:rPr>
        <w:t>；</w:t>
      </w:r>
      <w:r>
        <w:t>在危废的转移处置过程中，应严格按照《中华人民共和国固体废物污染环境防治法》和《危险废物转移联单管理办法》有关规定执行</w:t>
      </w:r>
    </w:p>
    <w:p w:rsidR="00EE56C0" w:rsidRDefault="000F36A1">
      <w:pPr>
        <w:ind w:firstLine="480"/>
      </w:pPr>
      <w:r>
        <w:rPr>
          <w:rFonts w:hint="eastAsia"/>
        </w:rPr>
        <w:t>由以上分析可以看出，通过采取以上措施，固废均有相应的处置措施，评价认为工程在认真落实以上措施的前提下，不会对区域环境造成不利影响。</w:t>
      </w:r>
    </w:p>
    <w:p w:rsidR="00EE56C0" w:rsidRDefault="000F36A1">
      <w:pPr>
        <w:pStyle w:val="2"/>
        <w:ind w:firstLine="301"/>
      </w:pPr>
      <w:bookmarkStart w:id="393" w:name="_Toc25400928"/>
      <w:r>
        <w:rPr>
          <w:rFonts w:hint="eastAsia"/>
        </w:rPr>
        <w:t>6.5</w:t>
      </w:r>
      <w:r>
        <w:rPr>
          <w:rFonts w:hint="eastAsia"/>
        </w:rPr>
        <w:t>地下水污染防治措施</w:t>
      </w:r>
      <w:bookmarkEnd w:id="393"/>
    </w:p>
    <w:p w:rsidR="00EE56C0" w:rsidRDefault="000F36A1">
      <w:pPr>
        <w:ind w:firstLine="480"/>
      </w:pPr>
      <w:r>
        <w:t>项目有生活污水</w:t>
      </w:r>
      <w:r>
        <w:rPr>
          <w:rFonts w:hint="eastAsia"/>
        </w:rPr>
        <w:t>、反渗透浓水</w:t>
      </w:r>
      <w:r>
        <w:t>及少量危险废物产生，在污水处理设施、危险废物产生、贮存、运输等环节应采取严格的污染防治措施，防止对区域地下水造成污染。本项目地下水污染防治按照</w:t>
      </w:r>
      <w:r>
        <w:t>“</w:t>
      </w:r>
      <w:r>
        <w:t>源头控制、分区防渗、污染监控、应急响</w:t>
      </w:r>
      <w:r>
        <w:lastRenderedPageBreak/>
        <w:t>应</w:t>
      </w:r>
      <w:r>
        <w:t>”</w:t>
      </w:r>
      <w:r>
        <w:t>的原则，防止本工程建设及运营中对地下水环境造成污染</w:t>
      </w:r>
      <w:r>
        <w:rPr>
          <w:rFonts w:hint="eastAsia"/>
        </w:rPr>
        <w:t>。</w:t>
      </w:r>
    </w:p>
    <w:p w:rsidR="00EE56C0" w:rsidRDefault="000F36A1">
      <w:pPr>
        <w:pStyle w:val="3"/>
        <w:spacing w:before="240" w:after="120"/>
      </w:pPr>
      <w:r>
        <w:rPr>
          <w:rFonts w:hint="eastAsia"/>
        </w:rPr>
        <w:t>6.5.1</w:t>
      </w:r>
      <w:r>
        <w:rPr>
          <w:rFonts w:hint="eastAsia"/>
        </w:rPr>
        <w:t>源头控制措施</w:t>
      </w:r>
    </w:p>
    <w:p w:rsidR="00EE56C0" w:rsidRDefault="000F36A1">
      <w:pPr>
        <w:ind w:firstLine="480"/>
      </w:pPr>
      <w:r>
        <w:rPr>
          <w:rFonts w:hint="eastAsia"/>
        </w:rPr>
        <w:t>工程设计管道、阀门、设备均采用国内质量可靠的管道、阀门、设备；安排专人负责设备、阀门、管道日常巡视工作，发现跑、冒、滴、漏，立即采取措施补救，尽量杜绝物料及废水跑、冒、滴、漏而下渗污染地下水；废水均采用管道输送；生产车间、一般固废临时存放处、危险废物暂存间、污水处理站及事故废水收集池均应严格按照要求做好防渗处理，避免出现裂纹而导致废水下渗污染地下水。</w:t>
      </w:r>
    </w:p>
    <w:p w:rsidR="00EE56C0" w:rsidRDefault="000F36A1">
      <w:pPr>
        <w:ind w:firstLine="480"/>
      </w:pPr>
      <w:r>
        <w:rPr>
          <w:rFonts w:hint="eastAsia"/>
        </w:rPr>
        <w:t>项目废水先采用调节池调节水质水量，然后进入污水处理站进行处理，达标后通过管道进入新乡县综合污水处理厂，处理达标后排入东孟姜女河。</w:t>
      </w:r>
    </w:p>
    <w:p w:rsidR="00EE56C0" w:rsidRDefault="000F36A1">
      <w:pPr>
        <w:pStyle w:val="3"/>
        <w:spacing w:before="240" w:after="120"/>
      </w:pPr>
      <w:r>
        <w:rPr>
          <w:rFonts w:hint="eastAsia"/>
        </w:rPr>
        <w:t>6.5.2</w:t>
      </w:r>
      <w:r>
        <w:rPr>
          <w:rFonts w:hint="eastAsia"/>
        </w:rPr>
        <w:t>分区防渗措施</w:t>
      </w:r>
    </w:p>
    <w:p w:rsidR="00EE56C0" w:rsidRDefault="000F36A1">
      <w:pPr>
        <w:ind w:firstLine="480"/>
      </w:pPr>
      <w:r>
        <w:rPr>
          <w:rFonts w:hint="eastAsia"/>
        </w:rPr>
        <w:t>整个厂区划分为重点污染防渗区、一般污染防渗区、非污染防渗区：</w:t>
      </w:r>
    </w:p>
    <w:p w:rsidR="00EE56C0" w:rsidRDefault="000F36A1">
      <w:pPr>
        <w:ind w:firstLine="480"/>
      </w:pPr>
      <w:r>
        <w:rPr>
          <w:rFonts w:hint="eastAsia"/>
        </w:rPr>
        <w:t>重点污染防渗区：位于地下或半地下的生产功能单元，污染地下水环境的物料或污染物泄漏后，不易及时发现和处理的区域或部位。本项目的重点污染防治区为：废污水处理设施及管道、废水事故池和危险废物暂存间。</w:t>
      </w:r>
    </w:p>
    <w:p w:rsidR="00EE56C0" w:rsidRDefault="000F36A1">
      <w:pPr>
        <w:ind w:firstLine="480"/>
      </w:pPr>
      <w:r>
        <w:rPr>
          <w:rFonts w:hint="eastAsia"/>
        </w:rPr>
        <w:t>一般污染防渗区：裸漏于地面的生产功能单元，污染地下水环境的物料或污染物泄漏后，可及时发现和处理的区域或部位。本项目的一般污染防治区为：一般固废</w:t>
      </w:r>
      <w:r>
        <w:t>暂存间</w:t>
      </w:r>
      <w:r>
        <w:rPr>
          <w:rFonts w:hint="eastAsia"/>
        </w:rPr>
        <w:t>、生产车间。</w:t>
      </w:r>
    </w:p>
    <w:p w:rsidR="00EE56C0" w:rsidRDefault="000F36A1">
      <w:pPr>
        <w:ind w:firstLine="480"/>
      </w:pPr>
      <w:r>
        <w:t>非污染防渗区：没有物料或污染物泄露，不会对地下水环境造成污染的区域或部位。非污染防渗区为厂区其他区域。</w:t>
      </w:r>
    </w:p>
    <w:p w:rsidR="00EE56C0" w:rsidRDefault="000F36A1">
      <w:pPr>
        <w:ind w:firstLine="480"/>
      </w:pPr>
      <w:r>
        <w:rPr>
          <w:rFonts w:hint="eastAsia"/>
        </w:rPr>
        <w:t>针对不同的防渗区域，采取不同的污染防渗措施，具体如下：</w:t>
      </w:r>
    </w:p>
    <w:p w:rsidR="00EE56C0" w:rsidRDefault="000F36A1">
      <w:pPr>
        <w:ind w:firstLine="480"/>
      </w:pPr>
      <w:r>
        <w:rPr>
          <w:rFonts w:hint="eastAsia"/>
        </w:rPr>
        <w:t>（</w:t>
      </w:r>
      <w:r>
        <w:rPr>
          <w:rFonts w:hint="eastAsia"/>
        </w:rPr>
        <w:t>1</w:t>
      </w:r>
      <w:r>
        <w:rPr>
          <w:rFonts w:hint="eastAsia"/>
        </w:rPr>
        <w:t>）重点污染防渗区：防渗性能应与</w:t>
      </w:r>
      <w:r>
        <w:rPr>
          <w:rFonts w:hint="eastAsia"/>
        </w:rPr>
        <w:t>6.0m</w:t>
      </w:r>
      <w:r>
        <w:rPr>
          <w:rFonts w:hint="eastAsia"/>
        </w:rPr>
        <w:t>厚粘土层（渗透系数</w:t>
      </w:r>
      <w:r>
        <w:rPr>
          <w:rFonts w:hint="eastAsia"/>
        </w:rPr>
        <w:t>1.0</w:t>
      </w:r>
      <w:r>
        <w:rPr>
          <w:rFonts w:hint="eastAsia"/>
        </w:rPr>
        <w:t>×</w:t>
      </w:r>
      <w:r>
        <w:rPr>
          <w:rFonts w:hint="eastAsia"/>
        </w:rPr>
        <w:t>10</w:t>
      </w:r>
      <w:r>
        <w:rPr>
          <w:rFonts w:hint="eastAsia"/>
          <w:vertAlign w:val="superscript"/>
        </w:rPr>
        <w:t>-7</w:t>
      </w:r>
      <w:r>
        <w:rPr>
          <w:rFonts w:hint="eastAsia"/>
        </w:rPr>
        <w:t>cm/s</w:t>
      </w:r>
      <w:r>
        <w:rPr>
          <w:rFonts w:hint="eastAsia"/>
        </w:rPr>
        <w:t>）等效。底层宜采用</w:t>
      </w:r>
      <w:r>
        <w:rPr>
          <w:rFonts w:hint="eastAsia"/>
        </w:rPr>
        <w:t>0.3m</w:t>
      </w:r>
      <w:r>
        <w:rPr>
          <w:rFonts w:hint="eastAsia"/>
        </w:rPr>
        <w:t>压实粘土层；上层采用合成高密度人工防渗膜，厚度不宜小于</w:t>
      </w:r>
      <w:r>
        <w:rPr>
          <w:rFonts w:hint="eastAsia"/>
        </w:rPr>
        <w:t>1.50mm</w:t>
      </w:r>
      <w:r>
        <w:rPr>
          <w:rFonts w:hint="eastAsia"/>
        </w:rPr>
        <w:t>膜铺设应由中心坡向四周，坡度不宜小于</w:t>
      </w:r>
      <w:r>
        <w:rPr>
          <w:rFonts w:hint="eastAsia"/>
        </w:rPr>
        <w:t>1.5</w:t>
      </w:r>
      <w:r>
        <w:rPr>
          <w:rFonts w:hint="eastAsia"/>
        </w:rPr>
        <w:t>％；膜上、膜下应</w:t>
      </w:r>
      <w:r>
        <w:rPr>
          <w:rFonts w:hint="eastAsia"/>
        </w:rPr>
        <w:lastRenderedPageBreak/>
        <w:t>设置保护层，保护层可采用长丝无纺土工布，膜下保护层也可采用不含尖锐颗粒的砂层，厚度不宜小于</w:t>
      </w:r>
      <w:r>
        <w:rPr>
          <w:rFonts w:hint="eastAsia"/>
        </w:rPr>
        <w:t>100mm</w:t>
      </w:r>
      <w:r>
        <w:rPr>
          <w:rFonts w:hint="eastAsia"/>
        </w:rPr>
        <w:t>；膜上保护层以上应设置砂石层，厚度不宜小于</w:t>
      </w:r>
      <w:r>
        <w:rPr>
          <w:rFonts w:hint="eastAsia"/>
        </w:rPr>
        <w:t>200mm</w:t>
      </w:r>
      <w:r>
        <w:rPr>
          <w:rFonts w:hint="eastAsia"/>
        </w:rPr>
        <w:t>。</w:t>
      </w:r>
    </w:p>
    <w:p w:rsidR="00EE56C0" w:rsidRDefault="000F36A1">
      <w:pPr>
        <w:ind w:firstLine="480"/>
        <w:rPr>
          <w:iCs/>
          <w:szCs w:val="24"/>
        </w:rPr>
      </w:pPr>
      <w:r>
        <w:rPr>
          <w:rFonts w:hint="eastAsia"/>
          <w:iCs/>
          <w:szCs w:val="24"/>
        </w:rPr>
        <w:t>（</w:t>
      </w:r>
      <w:r>
        <w:rPr>
          <w:rFonts w:hint="eastAsia"/>
          <w:iCs/>
          <w:szCs w:val="24"/>
        </w:rPr>
        <w:t>2</w:t>
      </w:r>
      <w:r>
        <w:rPr>
          <w:rFonts w:hint="eastAsia"/>
          <w:iCs/>
          <w:szCs w:val="24"/>
        </w:rPr>
        <w:t>）一般污染防渗区：对一般污染防治区，防渗性能应与</w:t>
      </w:r>
      <w:r>
        <w:rPr>
          <w:rFonts w:hint="eastAsia"/>
          <w:iCs/>
          <w:szCs w:val="24"/>
        </w:rPr>
        <w:t>1.5m</w:t>
      </w:r>
      <w:r>
        <w:rPr>
          <w:rFonts w:hint="eastAsia"/>
          <w:iCs/>
          <w:szCs w:val="24"/>
        </w:rPr>
        <w:t>厚粘土层（渗透系数</w:t>
      </w:r>
      <w:r>
        <w:rPr>
          <w:rFonts w:hint="eastAsia"/>
          <w:iCs/>
          <w:szCs w:val="24"/>
        </w:rPr>
        <w:t>1.0</w:t>
      </w:r>
      <w:r>
        <w:rPr>
          <w:rFonts w:hint="eastAsia"/>
          <w:iCs/>
          <w:szCs w:val="24"/>
        </w:rPr>
        <w:t>×</w:t>
      </w:r>
      <w:r>
        <w:rPr>
          <w:rFonts w:hint="eastAsia"/>
          <w:iCs/>
          <w:szCs w:val="24"/>
        </w:rPr>
        <w:t>10</w:t>
      </w:r>
      <w:r>
        <w:rPr>
          <w:rFonts w:hint="eastAsia"/>
          <w:iCs/>
          <w:szCs w:val="24"/>
          <w:vertAlign w:val="superscript"/>
        </w:rPr>
        <w:t>-7</w:t>
      </w:r>
      <w:r>
        <w:rPr>
          <w:rFonts w:hint="eastAsia"/>
          <w:iCs/>
          <w:szCs w:val="24"/>
        </w:rPr>
        <w:t>cm/s</w:t>
      </w:r>
      <w:r>
        <w:rPr>
          <w:rFonts w:hint="eastAsia"/>
          <w:iCs/>
          <w:szCs w:val="24"/>
        </w:rPr>
        <w:t>）等效。建议使用</w:t>
      </w:r>
      <w:r>
        <w:rPr>
          <w:rFonts w:hint="eastAsia"/>
        </w:rPr>
        <w:t>1m</w:t>
      </w:r>
      <w:r>
        <w:rPr>
          <w:rFonts w:hint="eastAsia"/>
        </w:rPr>
        <w:t>厚黏土层（</w:t>
      </w:r>
      <w:r>
        <w:t>渗透系数</w:t>
      </w:r>
      <w:r>
        <w:rPr>
          <w:rFonts w:hint="eastAsia"/>
        </w:rPr>
        <w:t>不大于</w:t>
      </w:r>
      <w:r>
        <w:t>1×10</w:t>
      </w:r>
      <w:r>
        <w:rPr>
          <w:vertAlign w:val="superscript"/>
        </w:rPr>
        <w:t>-</w:t>
      </w:r>
      <w:r>
        <w:rPr>
          <w:rFonts w:hint="eastAsia"/>
          <w:vertAlign w:val="superscript"/>
        </w:rPr>
        <w:t>7</w:t>
      </w:r>
      <w:r>
        <w:t>m/s</w:t>
      </w:r>
      <w:r>
        <w:rPr>
          <w:rFonts w:hint="eastAsia"/>
        </w:rPr>
        <w:t>），或</w:t>
      </w:r>
      <w:r>
        <w:rPr>
          <w:rFonts w:hint="eastAsia"/>
        </w:rPr>
        <w:t>2mm</w:t>
      </w:r>
      <w:r>
        <w:rPr>
          <w:rFonts w:hint="eastAsia"/>
        </w:rPr>
        <w:t>厚高密度聚乙烯，或至少</w:t>
      </w:r>
      <w:r>
        <w:rPr>
          <w:rFonts w:hint="eastAsia"/>
        </w:rPr>
        <w:t>2mm</w:t>
      </w:r>
      <w:r>
        <w:rPr>
          <w:rFonts w:hint="eastAsia"/>
        </w:rPr>
        <w:t>厚的其它人工材料（渗透系数不大于</w:t>
      </w:r>
      <w:r>
        <w:t>1×10</w:t>
      </w:r>
      <w:r>
        <w:rPr>
          <w:vertAlign w:val="superscript"/>
        </w:rPr>
        <w:t>-</w:t>
      </w:r>
      <w:r>
        <w:rPr>
          <w:rFonts w:hint="eastAsia"/>
          <w:vertAlign w:val="superscript"/>
        </w:rPr>
        <w:t>10</w:t>
      </w:r>
      <w:r>
        <w:t>m/s</w:t>
      </w:r>
      <w:r>
        <w:rPr>
          <w:rFonts w:hint="eastAsia"/>
        </w:rPr>
        <w:t>）。做</w:t>
      </w:r>
      <w:r>
        <w:t>好防风、防雨及防渗的</w:t>
      </w:r>
      <w:r>
        <w:t>“</w:t>
      </w:r>
      <w:r>
        <w:t>三防</w:t>
      </w:r>
      <w:r>
        <w:t>”</w:t>
      </w:r>
      <w:r>
        <w:t>措施，并保证其贮存过程中不易老化、破损和变形。</w:t>
      </w:r>
    </w:p>
    <w:p w:rsidR="00EE56C0" w:rsidRDefault="000F36A1">
      <w:pPr>
        <w:ind w:firstLine="480"/>
      </w:pPr>
      <w:r>
        <w:rPr>
          <w:rFonts w:hint="eastAsia"/>
        </w:rPr>
        <w:t>各污染防治区在满足上述防渗要求的前提下，工程产生的固废必须堆放在固废贮存场内，贮存场必须有防雨、防渗、防流失的“三防”措施。</w:t>
      </w:r>
      <w:r>
        <w:t>综上所述，在落实环评所提的相关建议后，本项目产生的废水不会对区域地下水质量有较大影响，地下水质量仍维持现有水平。</w:t>
      </w:r>
    </w:p>
    <w:p w:rsidR="00EE56C0" w:rsidRDefault="000F36A1">
      <w:pPr>
        <w:pStyle w:val="3"/>
        <w:spacing w:before="240" w:after="120"/>
      </w:pPr>
      <w:r>
        <w:rPr>
          <w:rFonts w:hint="eastAsia"/>
        </w:rPr>
        <w:t>6.5.3</w:t>
      </w:r>
      <w:r>
        <w:rPr>
          <w:rFonts w:hint="eastAsia"/>
        </w:rPr>
        <w:t>污染监控</w:t>
      </w:r>
    </w:p>
    <w:p w:rsidR="00EE56C0" w:rsidRDefault="000F36A1">
      <w:pPr>
        <w:ind w:firstLine="480"/>
      </w:pPr>
      <w:r>
        <w:rPr>
          <w:rFonts w:hint="eastAsia"/>
        </w:rPr>
        <w:t>本工程位于新乡经济技术产业集聚区，根据工程分析内容，正常状况下，本项目无地下水污染源存在，对区域地下水环境影响较小，评价建议建立地下水污染监控制度和环境管理体系，制定监测计划，以便及时发现问题，采取措施。制定地下水风险事故应急预案，明确地下水风险事故状态下应采取封闭、截流等措施。</w:t>
      </w:r>
    </w:p>
    <w:p w:rsidR="00EE56C0" w:rsidRDefault="000F36A1">
      <w:pPr>
        <w:ind w:firstLine="480"/>
      </w:pPr>
      <w:r>
        <w:rPr>
          <w:rFonts w:hint="eastAsia"/>
        </w:rPr>
        <w:t>为了在发生污染物泄漏后及时发现地下水的污染程度，应在厂区地下水流向下游布设监测井，拟布设</w:t>
      </w:r>
      <w:r>
        <w:rPr>
          <w:rFonts w:hint="eastAsia"/>
        </w:rPr>
        <w:t>1</w:t>
      </w:r>
      <w:r>
        <w:rPr>
          <w:rFonts w:hint="eastAsia"/>
        </w:rPr>
        <w:t>个监测井监测污染物迁移程度。监测井每半年取样一次，若发生污染物地下渗漏事故或发现地下水中污染物超标，应加强监测频次。监测因子为耗氧量、氨氮，地下水跟踪监测点位及监测要求见下表：</w:t>
      </w:r>
    </w:p>
    <w:p w:rsidR="00E852EB" w:rsidRDefault="00E852EB">
      <w:pPr>
        <w:pStyle w:val="afd"/>
        <w:spacing w:before="120" w:after="120"/>
        <w:ind w:firstLine="482"/>
      </w:pPr>
    </w:p>
    <w:p w:rsidR="00E852EB" w:rsidRDefault="00E852EB">
      <w:pPr>
        <w:pStyle w:val="afd"/>
        <w:spacing w:before="120" w:after="120"/>
        <w:ind w:firstLine="482"/>
      </w:pPr>
    </w:p>
    <w:p w:rsidR="005767FB" w:rsidRDefault="005767FB">
      <w:pPr>
        <w:pStyle w:val="afd"/>
        <w:spacing w:before="120" w:after="120"/>
        <w:ind w:firstLine="482"/>
      </w:pPr>
    </w:p>
    <w:p w:rsidR="00EE56C0" w:rsidRDefault="000F36A1">
      <w:pPr>
        <w:pStyle w:val="afd"/>
        <w:spacing w:before="120" w:after="120"/>
        <w:ind w:firstLine="482"/>
      </w:pPr>
      <w:r>
        <w:lastRenderedPageBreak/>
        <w:t>表</w:t>
      </w:r>
      <w:r>
        <w:rPr>
          <w:rFonts w:hint="eastAsia"/>
        </w:rPr>
        <w:t>6</w:t>
      </w:r>
      <w:r>
        <w:t>-</w:t>
      </w:r>
      <w:r w:rsidR="005767FB">
        <w:rPr>
          <w:rFonts w:hint="eastAsia"/>
        </w:rPr>
        <w:t>9</w:t>
      </w:r>
      <w:r>
        <w:rPr>
          <w:rFonts w:hint="eastAsia"/>
        </w:rPr>
        <w:t xml:space="preserve">      </w:t>
      </w:r>
      <w:r>
        <w:rPr>
          <w:rFonts w:hint="eastAsia"/>
        </w:rPr>
        <w:t>地下水</w:t>
      </w:r>
      <w:r>
        <w:t>环境监测点位及跟踪监测要求</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1556"/>
        <w:gridCol w:w="1813"/>
        <w:gridCol w:w="5160"/>
      </w:tblGrid>
      <w:tr w:rsidR="00EE56C0">
        <w:trPr>
          <w:trHeight w:val="425"/>
          <w:jc w:val="center"/>
        </w:trPr>
        <w:tc>
          <w:tcPr>
            <w:tcW w:w="912" w:type="pct"/>
            <w:vAlign w:val="center"/>
          </w:tcPr>
          <w:p w:rsidR="00EE56C0" w:rsidRDefault="000F36A1">
            <w:pPr>
              <w:pStyle w:val="aff1"/>
              <w:rPr>
                <w:color w:val="auto"/>
              </w:rPr>
            </w:pPr>
            <w:r>
              <w:rPr>
                <w:color w:val="auto"/>
              </w:rPr>
              <w:t>序号</w:t>
            </w:r>
          </w:p>
        </w:tc>
        <w:tc>
          <w:tcPr>
            <w:tcW w:w="1063" w:type="pct"/>
            <w:vAlign w:val="center"/>
          </w:tcPr>
          <w:p w:rsidR="00EE56C0" w:rsidRDefault="000F36A1">
            <w:pPr>
              <w:pStyle w:val="aff1"/>
              <w:rPr>
                <w:color w:val="auto"/>
              </w:rPr>
            </w:pPr>
            <w:r>
              <w:rPr>
                <w:color w:val="auto"/>
              </w:rPr>
              <w:t>类别</w:t>
            </w:r>
          </w:p>
        </w:tc>
        <w:tc>
          <w:tcPr>
            <w:tcW w:w="3025" w:type="pct"/>
            <w:vAlign w:val="center"/>
          </w:tcPr>
          <w:p w:rsidR="00EE56C0" w:rsidRDefault="000F36A1">
            <w:pPr>
              <w:pStyle w:val="aff1"/>
              <w:rPr>
                <w:color w:val="auto"/>
              </w:rPr>
            </w:pPr>
            <w:r>
              <w:rPr>
                <w:color w:val="auto"/>
              </w:rPr>
              <w:t>内容</w:t>
            </w:r>
          </w:p>
        </w:tc>
      </w:tr>
      <w:tr w:rsidR="00EE56C0">
        <w:trPr>
          <w:trHeight w:val="425"/>
          <w:jc w:val="center"/>
        </w:trPr>
        <w:tc>
          <w:tcPr>
            <w:tcW w:w="912" w:type="pct"/>
            <w:vAlign w:val="center"/>
          </w:tcPr>
          <w:p w:rsidR="00EE56C0" w:rsidRDefault="000F36A1">
            <w:pPr>
              <w:pStyle w:val="afa"/>
            </w:pPr>
            <w:r>
              <w:rPr>
                <w:rFonts w:hint="eastAsia"/>
              </w:rPr>
              <w:t>1</w:t>
            </w:r>
          </w:p>
        </w:tc>
        <w:tc>
          <w:tcPr>
            <w:tcW w:w="1063" w:type="pct"/>
            <w:vAlign w:val="center"/>
          </w:tcPr>
          <w:p w:rsidR="00EE56C0" w:rsidRDefault="000F36A1">
            <w:pPr>
              <w:pStyle w:val="afa"/>
            </w:pPr>
            <w:r>
              <w:t>监测点位</w:t>
            </w:r>
          </w:p>
        </w:tc>
        <w:tc>
          <w:tcPr>
            <w:tcW w:w="3025" w:type="pct"/>
            <w:vAlign w:val="center"/>
          </w:tcPr>
          <w:p w:rsidR="00EE56C0" w:rsidRDefault="000F36A1">
            <w:pPr>
              <w:pStyle w:val="afa"/>
            </w:pPr>
            <w:r>
              <w:rPr>
                <w:rFonts w:hint="eastAsia"/>
              </w:rPr>
              <w:t>七里营镇地下水井</w:t>
            </w:r>
          </w:p>
        </w:tc>
      </w:tr>
      <w:tr w:rsidR="00EE56C0">
        <w:trPr>
          <w:trHeight w:val="425"/>
          <w:jc w:val="center"/>
        </w:trPr>
        <w:tc>
          <w:tcPr>
            <w:tcW w:w="912" w:type="pct"/>
            <w:vAlign w:val="center"/>
          </w:tcPr>
          <w:p w:rsidR="00EE56C0" w:rsidRDefault="000F36A1">
            <w:pPr>
              <w:pStyle w:val="afa"/>
            </w:pPr>
            <w:r>
              <w:rPr>
                <w:rFonts w:hint="eastAsia"/>
              </w:rPr>
              <w:t>2</w:t>
            </w:r>
          </w:p>
        </w:tc>
        <w:tc>
          <w:tcPr>
            <w:tcW w:w="1063" w:type="pct"/>
            <w:vAlign w:val="center"/>
          </w:tcPr>
          <w:p w:rsidR="00EE56C0" w:rsidRDefault="000F36A1">
            <w:pPr>
              <w:pStyle w:val="afa"/>
            </w:pPr>
            <w:r>
              <w:t>功能</w:t>
            </w:r>
          </w:p>
        </w:tc>
        <w:tc>
          <w:tcPr>
            <w:tcW w:w="3025" w:type="pct"/>
            <w:vAlign w:val="center"/>
          </w:tcPr>
          <w:p w:rsidR="00EE56C0" w:rsidRDefault="000F36A1">
            <w:pPr>
              <w:pStyle w:val="afa"/>
            </w:pPr>
            <w:r>
              <w:rPr>
                <w:rFonts w:hint="eastAsia"/>
              </w:rPr>
              <w:t>地下水跟踪监测点</w:t>
            </w:r>
          </w:p>
        </w:tc>
      </w:tr>
      <w:tr w:rsidR="00EE56C0">
        <w:trPr>
          <w:trHeight w:val="425"/>
          <w:jc w:val="center"/>
        </w:trPr>
        <w:tc>
          <w:tcPr>
            <w:tcW w:w="912" w:type="pct"/>
            <w:vAlign w:val="center"/>
          </w:tcPr>
          <w:p w:rsidR="00EE56C0" w:rsidRDefault="000F36A1">
            <w:pPr>
              <w:pStyle w:val="afa"/>
            </w:pPr>
            <w:r>
              <w:rPr>
                <w:rFonts w:hint="eastAsia"/>
              </w:rPr>
              <w:t>3</w:t>
            </w:r>
          </w:p>
        </w:tc>
        <w:tc>
          <w:tcPr>
            <w:tcW w:w="1063" w:type="pct"/>
            <w:vAlign w:val="center"/>
          </w:tcPr>
          <w:p w:rsidR="00EE56C0" w:rsidRDefault="000F36A1">
            <w:pPr>
              <w:pStyle w:val="afa"/>
            </w:pPr>
            <w:r>
              <w:t>井结构</w:t>
            </w:r>
          </w:p>
        </w:tc>
        <w:tc>
          <w:tcPr>
            <w:tcW w:w="3025" w:type="pct"/>
            <w:vAlign w:val="center"/>
          </w:tcPr>
          <w:p w:rsidR="00EE56C0" w:rsidRDefault="000F36A1">
            <w:pPr>
              <w:pStyle w:val="afa"/>
            </w:pPr>
            <w:r>
              <w:t>竖向圆形</w:t>
            </w:r>
          </w:p>
        </w:tc>
      </w:tr>
      <w:tr w:rsidR="00EE56C0">
        <w:trPr>
          <w:trHeight w:val="425"/>
          <w:jc w:val="center"/>
        </w:trPr>
        <w:tc>
          <w:tcPr>
            <w:tcW w:w="912" w:type="pct"/>
            <w:vAlign w:val="center"/>
          </w:tcPr>
          <w:p w:rsidR="00EE56C0" w:rsidRDefault="000F36A1">
            <w:pPr>
              <w:pStyle w:val="afa"/>
            </w:pPr>
            <w:r>
              <w:rPr>
                <w:rFonts w:hint="eastAsia"/>
              </w:rPr>
              <w:t>4</w:t>
            </w:r>
          </w:p>
        </w:tc>
        <w:tc>
          <w:tcPr>
            <w:tcW w:w="1063" w:type="pct"/>
            <w:vAlign w:val="center"/>
          </w:tcPr>
          <w:p w:rsidR="00EE56C0" w:rsidRDefault="000F36A1">
            <w:pPr>
              <w:pStyle w:val="afa"/>
            </w:pPr>
            <w:r>
              <w:t>监测层位</w:t>
            </w:r>
          </w:p>
        </w:tc>
        <w:tc>
          <w:tcPr>
            <w:tcW w:w="3025" w:type="pct"/>
            <w:vAlign w:val="center"/>
          </w:tcPr>
          <w:p w:rsidR="00EE56C0" w:rsidRDefault="000F36A1">
            <w:pPr>
              <w:pStyle w:val="afa"/>
            </w:pPr>
            <w:r>
              <w:t>潜水层</w:t>
            </w:r>
            <w:r>
              <w:rPr>
                <w:rFonts w:hint="eastAsia"/>
              </w:rPr>
              <w:t>，</w:t>
            </w:r>
            <w:r>
              <w:t>水位线下</w:t>
            </w:r>
            <w:r>
              <w:rPr>
                <w:rFonts w:hint="eastAsia"/>
              </w:rPr>
              <w:t>1</w:t>
            </w:r>
            <w:r>
              <w:rPr>
                <w:rFonts w:hint="eastAsia"/>
              </w:rPr>
              <w:t>米</w:t>
            </w:r>
          </w:p>
        </w:tc>
      </w:tr>
      <w:tr w:rsidR="00EE56C0">
        <w:trPr>
          <w:trHeight w:val="425"/>
          <w:jc w:val="center"/>
        </w:trPr>
        <w:tc>
          <w:tcPr>
            <w:tcW w:w="912" w:type="pct"/>
            <w:vAlign w:val="center"/>
          </w:tcPr>
          <w:p w:rsidR="00EE56C0" w:rsidRDefault="000F36A1">
            <w:pPr>
              <w:pStyle w:val="afa"/>
            </w:pPr>
            <w:r>
              <w:rPr>
                <w:rFonts w:hint="eastAsia"/>
              </w:rPr>
              <w:t>5</w:t>
            </w:r>
          </w:p>
        </w:tc>
        <w:tc>
          <w:tcPr>
            <w:tcW w:w="1063" w:type="pct"/>
            <w:vAlign w:val="center"/>
          </w:tcPr>
          <w:p w:rsidR="00EE56C0" w:rsidRDefault="000F36A1">
            <w:pPr>
              <w:pStyle w:val="afa"/>
            </w:pPr>
            <w:r>
              <w:t>监测频次</w:t>
            </w:r>
          </w:p>
        </w:tc>
        <w:tc>
          <w:tcPr>
            <w:tcW w:w="3025" w:type="pct"/>
            <w:vAlign w:val="center"/>
          </w:tcPr>
          <w:p w:rsidR="00EE56C0" w:rsidRDefault="000F36A1">
            <w:pPr>
              <w:pStyle w:val="afa"/>
            </w:pPr>
            <w:r>
              <w:t>每</w:t>
            </w:r>
            <w:r>
              <w:rPr>
                <w:rFonts w:hint="eastAsia"/>
              </w:rPr>
              <w:t>半年</w:t>
            </w:r>
            <w:r>
              <w:rPr>
                <w:rFonts w:hint="eastAsia"/>
              </w:rPr>
              <w:t>1</w:t>
            </w:r>
            <w:r>
              <w:rPr>
                <w:rFonts w:hint="eastAsia"/>
              </w:rPr>
              <w:t>次</w:t>
            </w:r>
          </w:p>
        </w:tc>
      </w:tr>
      <w:tr w:rsidR="00EE56C0">
        <w:trPr>
          <w:trHeight w:val="425"/>
          <w:jc w:val="center"/>
        </w:trPr>
        <w:tc>
          <w:tcPr>
            <w:tcW w:w="912" w:type="pct"/>
            <w:vAlign w:val="center"/>
          </w:tcPr>
          <w:p w:rsidR="00EE56C0" w:rsidRDefault="000F36A1">
            <w:pPr>
              <w:pStyle w:val="afa"/>
            </w:pPr>
            <w:r>
              <w:rPr>
                <w:rFonts w:hint="eastAsia"/>
              </w:rPr>
              <w:t>6</w:t>
            </w:r>
          </w:p>
        </w:tc>
        <w:tc>
          <w:tcPr>
            <w:tcW w:w="1063" w:type="pct"/>
            <w:vAlign w:val="center"/>
          </w:tcPr>
          <w:p w:rsidR="00EE56C0" w:rsidRDefault="000F36A1">
            <w:pPr>
              <w:pStyle w:val="afa"/>
            </w:pPr>
            <w:r>
              <w:t>监测因子</w:t>
            </w:r>
          </w:p>
        </w:tc>
        <w:tc>
          <w:tcPr>
            <w:tcW w:w="3025" w:type="pct"/>
            <w:vAlign w:val="center"/>
          </w:tcPr>
          <w:p w:rsidR="00EE56C0" w:rsidRDefault="000F36A1">
            <w:pPr>
              <w:pStyle w:val="afa"/>
            </w:pPr>
            <w:r>
              <w:rPr>
                <w:rFonts w:hint="eastAsia"/>
              </w:rPr>
              <w:t>耗氧量、氨氮</w:t>
            </w:r>
          </w:p>
        </w:tc>
      </w:tr>
    </w:tbl>
    <w:p w:rsidR="00EE56C0" w:rsidRDefault="000F36A1">
      <w:pPr>
        <w:pStyle w:val="3"/>
        <w:spacing w:before="240" w:after="120"/>
      </w:pPr>
      <w:r>
        <w:rPr>
          <w:rFonts w:hint="eastAsia"/>
        </w:rPr>
        <w:t>6.5.4</w:t>
      </w:r>
      <w:r>
        <w:rPr>
          <w:rFonts w:hint="eastAsia"/>
        </w:rPr>
        <w:t>风险事故应急响应</w:t>
      </w:r>
    </w:p>
    <w:p w:rsidR="00EE56C0" w:rsidRDefault="000F36A1">
      <w:pPr>
        <w:ind w:firstLine="480"/>
      </w:pPr>
      <w:r>
        <w:rPr>
          <w:rFonts w:hint="eastAsia"/>
        </w:rPr>
        <w:t>建设单位应严格按照相关要求制定地下水风险事故应急响应预案，在事故状态下，应紧急启动应急预案，查明污染源所在位置，并及时采取措施进行污染源处理，并制定行之有效的地下水污染防治措施和实施方案。</w:t>
      </w:r>
    </w:p>
    <w:p w:rsidR="00EE56C0" w:rsidRDefault="000F36A1">
      <w:pPr>
        <w:ind w:firstLine="480"/>
      </w:pPr>
      <w:r>
        <w:rPr>
          <w:rFonts w:hint="eastAsia"/>
        </w:rPr>
        <w:t>评价认为在严格落实上述措施的基础上，本工程投产后不会对区域地下水环境造成大的不利影响，措施可行。</w:t>
      </w:r>
    </w:p>
    <w:p w:rsidR="00EE56C0" w:rsidRDefault="000F36A1">
      <w:pPr>
        <w:pStyle w:val="2"/>
        <w:ind w:firstLine="301"/>
      </w:pPr>
      <w:bookmarkStart w:id="394" w:name="_Toc25400929"/>
      <w:r>
        <w:rPr>
          <w:rFonts w:hint="eastAsia"/>
        </w:rPr>
        <w:t>6.6</w:t>
      </w:r>
      <w:r>
        <w:rPr>
          <w:rFonts w:hint="eastAsia"/>
        </w:rPr>
        <w:t>工程污染防治措施汇总</w:t>
      </w:r>
      <w:bookmarkEnd w:id="390"/>
      <w:bookmarkEnd w:id="391"/>
      <w:bookmarkEnd w:id="392"/>
      <w:bookmarkEnd w:id="394"/>
    </w:p>
    <w:p w:rsidR="00EE56C0" w:rsidRDefault="000F36A1">
      <w:pPr>
        <w:ind w:firstLine="480"/>
      </w:pPr>
      <w:r>
        <w:t>工程针对废气、废水、噪声、固废的产生情况和工艺要求，采取了技术成熟、运行稳定可靠、净化效率高、满足达标排放和废物综合利用、安全处置要求的污染防治措施</w:t>
      </w:r>
      <w:r>
        <w:rPr>
          <w:rFonts w:hint="eastAsia"/>
        </w:rPr>
        <w:t>。本次工程总投资为</w:t>
      </w:r>
      <w:r>
        <w:rPr>
          <w:rFonts w:hint="eastAsia"/>
        </w:rPr>
        <w:t>13750</w:t>
      </w:r>
      <w:r>
        <w:rPr>
          <w:rFonts w:hint="eastAsia"/>
        </w:rPr>
        <w:t>万元（一期</w:t>
      </w:r>
      <w:r>
        <w:rPr>
          <w:rFonts w:hint="eastAsia"/>
        </w:rPr>
        <w:t>3000</w:t>
      </w:r>
      <w:r>
        <w:rPr>
          <w:rFonts w:hint="eastAsia"/>
        </w:rPr>
        <w:t>万元、二期</w:t>
      </w:r>
      <w:r>
        <w:rPr>
          <w:rFonts w:hint="eastAsia"/>
        </w:rPr>
        <w:t>10750</w:t>
      </w:r>
      <w:r>
        <w:rPr>
          <w:rFonts w:hint="eastAsia"/>
        </w:rPr>
        <w:t>万元），环保投资分别为：一期</w:t>
      </w:r>
      <w:r>
        <w:rPr>
          <w:rFonts w:hint="eastAsia"/>
        </w:rPr>
        <w:t>63</w:t>
      </w:r>
      <w:r>
        <w:rPr>
          <w:rFonts w:hint="eastAsia"/>
        </w:rPr>
        <w:t>万元、二期</w:t>
      </w:r>
      <w:r>
        <w:rPr>
          <w:rFonts w:hint="eastAsia"/>
        </w:rPr>
        <w:t>58</w:t>
      </w:r>
      <w:r>
        <w:rPr>
          <w:rFonts w:hint="eastAsia"/>
        </w:rPr>
        <w:t>万元，分别占总投资的一期</w:t>
      </w:r>
      <w:r>
        <w:rPr>
          <w:rFonts w:hint="eastAsia"/>
        </w:rPr>
        <w:t>2.1%</w:t>
      </w:r>
      <w:r>
        <w:rPr>
          <w:rFonts w:hint="eastAsia"/>
        </w:rPr>
        <w:t>、二期</w:t>
      </w:r>
      <w:r>
        <w:rPr>
          <w:rFonts w:hint="eastAsia"/>
        </w:rPr>
        <w:t>0.5%</w:t>
      </w:r>
      <w:r>
        <w:rPr>
          <w:rFonts w:hint="eastAsia"/>
        </w:rPr>
        <w:t>。工程污染防治措施及投资概算见表</w:t>
      </w:r>
      <w:r>
        <w:rPr>
          <w:rFonts w:hint="eastAsia"/>
        </w:rPr>
        <w:t>6-10</w:t>
      </w:r>
      <w:r w:rsidR="005767FB">
        <w:rPr>
          <w:rFonts w:hint="eastAsia"/>
        </w:rPr>
        <w:t>~6-12</w:t>
      </w:r>
      <w:r>
        <w:rPr>
          <w:rFonts w:hint="eastAsia"/>
        </w:rPr>
        <w:t>。</w:t>
      </w:r>
    </w:p>
    <w:p w:rsidR="00EE56C0" w:rsidRDefault="000F36A1">
      <w:pPr>
        <w:pStyle w:val="afd"/>
        <w:spacing w:before="120" w:after="120"/>
        <w:ind w:firstLine="482"/>
      </w:pPr>
      <w:r>
        <w:rPr>
          <w:rFonts w:hint="eastAsia"/>
        </w:rPr>
        <w:t>表</w:t>
      </w:r>
      <w:r>
        <w:rPr>
          <w:rFonts w:hint="eastAsia"/>
        </w:rPr>
        <w:t>6-</w:t>
      </w:r>
      <w:r w:rsidR="005767FB">
        <w:rPr>
          <w:rFonts w:hint="eastAsia"/>
        </w:rPr>
        <w:t>10</w:t>
      </w:r>
      <w:r>
        <w:rPr>
          <w:rFonts w:hint="eastAsia"/>
        </w:rPr>
        <w:t xml:space="preserve">           </w:t>
      </w:r>
      <w:r>
        <w:rPr>
          <w:rFonts w:hint="eastAsia"/>
        </w:rPr>
        <w:t>一期污染防治措施及投资概算</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8"/>
        <w:gridCol w:w="426"/>
        <w:gridCol w:w="152"/>
        <w:gridCol w:w="426"/>
        <w:gridCol w:w="636"/>
        <w:gridCol w:w="1022"/>
        <w:gridCol w:w="703"/>
        <w:gridCol w:w="710"/>
        <w:gridCol w:w="1984"/>
        <w:gridCol w:w="996"/>
        <w:gridCol w:w="1046"/>
      </w:tblGrid>
      <w:tr w:rsidR="00EE56C0" w:rsidTr="00971E69">
        <w:trPr>
          <w:trHeight w:val="1242"/>
          <w:jc w:val="center"/>
        </w:trPr>
        <w:tc>
          <w:tcPr>
            <w:tcW w:w="251" w:type="pct"/>
            <w:vAlign w:val="center"/>
          </w:tcPr>
          <w:p w:rsidR="00EE56C0" w:rsidRDefault="000F36A1">
            <w:pPr>
              <w:pStyle w:val="aff1"/>
              <w:rPr>
                <w:color w:val="auto"/>
              </w:rPr>
            </w:pPr>
            <w:r>
              <w:rPr>
                <w:color w:val="auto"/>
              </w:rPr>
              <w:t>污染</w:t>
            </w:r>
          </w:p>
          <w:p w:rsidR="00EE56C0" w:rsidRDefault="000F36A1">
            <w:pPr>
              <w:pStyle w:val="aff1"/>
              <w:rPr>
                <w:color w:val="auto"/>
              </w:rPr>
            </w:pPr>
            <w:r>
              <w:rPr>
                <w:color w:val="auto"/>
              </w:rPr>
              <w:t>因素</w:t>
            </w:r>
          </w:p>
        </w:tc>
        <w:tc>
          <w:tcPr>
            <w:tcW w:w="961" w:type="pct"/>
            <w:gridSpan w:val="4"/>
            <w:vAlign w:val="center"/>
          </w:tcPr>
          <w:p w:rsidR="00EE56C0" w:rsidRDefault="000F36A1">
            <w:pPr>
              <w:pStyle w:val="aff1"/>
              <w:rPr>
                <w:color w:val="auto"/>
              </w:rPr>
            </w:pPr>
            <w:r>
              <w:rPr>
                <w:color w:val="auto"/>
              </w:rPr>
              <w:t>产污环节</w:t>
            </w:r>
          </w:p>
        </w:tc>
        <w:tc>
          <w:tcPr>
            <w:tcW w:w="599" w:type="pct"/>
            <w:vAlign w:val="center"/>
          </w:tcPr>
          <w:p w:rsidR="00EE56C0" w:rsidRDefault="000F36A1">
            <w:pPr>
              <w:pStyle w:val="aff1"/>
              <w:rPr>
                <w:color w:val="auto"/>
              </w:rPr>
            </w:pPr>
            <w:r>
              <w:rPr>
                <w:color w:val="auto"/>
              </w:rPr>
              <w:t>污染物</w:t>
            </w:r>
          </w:p>
        </w:tc>
        <w:tc>
          <w:tcPr>
            <w:tcW w:w="828" w:type="pct"/>
            <w:gridSpan w:val="2"/>
            <w:vAlign w:val="center"/>
          </w:tcPr>
          <w:p w:rsidR="00EE56C0" w:rsidRDefault="000F36A1">
            <w:pPr>
              <w:pStyle w:val="aff1"/>
              <w:rPr>
                <w:color w:val="auto"/>
              </w:rPr>
            </w:pPr>
            <w:r>
              <w:rPr>
                <w:rFonts w:hint="eastAsia"/>
                <w:color w:val="auto"/>
              </w:rPr>
              <w:t>收集及预处理</w:t>
            </w:r>
          </w:p>
        </w:tc>
        <w:tc>
          <w:tcPr>
            <w:tcW w:w="1747" w:type="pct"/>
            <w:gridSpan w:val="2"/>
            <w:vAlign w:val="center"/>
          </w:tcPr>
          <w:p w:rsidR="00EE56C0" w:rsidRDefault="000F36A1">
            <w:pPr>
              <w:pStyle w:val="aff1"/>
              <w:rPr>
                <w:color w:val="auto"/>
              </w:rPr>
            </w:pPr>
            <w:r>
              <w:rPr>
                <w:color w:val="auto"/>
              </w:rPr>
              <w:t>防治措施</w:t>
            </w:r>
          </w:p>
        </w:tc>
        <w:tc>
          <w:tcPr>
            <w:tcW w:w="613" w:type="pct"/>
            <w:vAlign w:val="center"/>
          </w:tcPr>
          <w:p w:rsidR="00EE56C0" w:rsidRDefault="000F36A1">
            <w:pPr>
              <w:pStyle w:val="aff1"/>
              <w:rPr>
                <w:color w:val="auto"/>
              </w:rPr>
            </w:pPr>
            <w:r>
              <w:rPr>
                <w:rFonts w:hint="eastAsia"/>
                <w:color w:val="auto"/>
              </w:rPr>
              <w:t>投资</w:t>
            </w:r>
            <w:r>
              <w:rPr>
                <w:rFonts w:hint="eastAsia"/>
                <w:color w:val="auto"/>
              </w:rPr>
              <w:t>/</w:t>
            </w:r>
            <w:r>
              <w:rPr>
                <w:rFonts w:hint="eastAsia"/>
                <w:color w:val="auto"/>
              </w:rPr>
              <w:t>万元</w:t>
            </w:r>
          </w:p>
        </w:tc>
      </w:tr>
      <w:tr w:rsidR="00EE56C0" w:rsidTr="00971E69">
        <w:trPr>
          <w:trHeight w:val="434"/>
          <w:jc w:val="center"/>
        </w:trPr>
        <w:tc>
          <w:tcPr>
            <w:tcW w:w="251" w:type="pct"/>
            <w:vMerge w:val="restart"/>
            <w:vAlign w:val="center"/>
          </w:tcPr>
          <w:p w:rsidR="00EE56C0" w:rsidRDefault="000F36A1">
            <w:pPr>
              <w:pStyle w:val="afa"/>
            </w:pPr>
            <w:r>
              <w:t>废气</w:t>
            </w:r>
          </w:p>
        </w:tc>
        <w:tc>
          <w:tcPr>
            <w:tcW w:w="961" w:type="pct"/>
            <w:gridSpan w:val="4"/>
            <w:vAlign w:val="center"/>
          </w:tcPr>
          <w:p w:rsidR="00EE56C0" w:rsidRDefault="000F36A1">
            <w:pPr>
              <w:pStyle w:val="afa"/>
            </w:pPr>
            <w:r>
              <w:rPr>
                <w:rFonts w:hint="eastAsia"/>
              </w:rPr>
              <w:t>油水分离器：</w:t>
            </w:r>
          </w:p>
          <w:p w:rsidR="00EE56C0" w:rsidRDefault="000F36A1">
            <w:pPr>
              <w:pStyle w:val="afa"/>
            </w:pPr>
            <w:r>
              <w:rPr>
                <w:rFonts w:hint="eastAsia"/>
              </w:rPr>
              <w:t>不凝气</w:t>
            </w:r>
          </w:p>
        </w:tc>
        <w:tc>
          <w:tcPr>
            <w:tcW w:w="599" w:type="pct"/>
            <w:vAlign w:val="center"/>
          </w:tcPr>
          <w:p w:rsidR="00EE56C0" w:rsidRDefault="000F36A1">
            <w:pPr>
              <w:pStyle w:val="afa"/>
            </w:pPr>
            <w:r>
              <w:rPr>
                <w:rFonts w:hint="eastAsia"/>
              </w:rPr>
              <w:t>非甲烷总烃</w:t>
            </w:r>
          </w:p>
        </w:tc>
        <w:tc>
          <w:tcPr>
            <w:tcW w:w="828" w:type="pct"/>
            <w:gridSpan w:val="2"/>
            <w:vAlign w:val="center"/>
          </w:tcPr>
          <w:p w:rsidR="00EE56C0" w:rsidRDefault="000F36A1">
            <w:pPr>
              <w:pStyle w:val="afa"/>
            </w:pPr>
            <w:r>
              <w:rPr>
                <w:rFonts w:hint="eastAsia"/>
              </w:rPr>
              <w:t>集气管道</w:t>
            </w:r>
          </w:p>
        </w:tc>
        <w:tc>
          <w:tcPr>
            <w:tcW w:w="1747" w:type="pct"/>
            <w:gridSpan w:val="2"/>
            <w:vAlign w:val="center"/>
          </w:tcPr>
          <w:p w:rsidR="00EE56C0" w:rsidRDefault="000F36A1">
            <w:pPr>
              <w:pStyle w:val="afa"/>
            </w:pPr>
            <w:r>
              <w:rPr>
                <w:rFonts w:hint="eastAsia"/>
              </w:rPr>
              <w:t>静电除油</w:t>
            </w:r>
            <w:r>
              <w:rPr>
                <w:rFonts w:hint="eastAsia"/>
              </w:rPr>
              <w:t>+</w:t>
            </w:r>
            <w:r>
              <w:rPr>
                <w:rFonts w:hint="eastAsia"/>
              </w:rPr>
              <w:t>活性炭吸附</w:t>
            </w:r>
            <w:r>
              <w:rPr>
                <w:rFonts w:hint="eastAsia"/>
              </w:rPr>
              <w:t>-</w:t>
            </w:r>
            <w:r>
              <w:rPr>
                <w:rFonts w:hint="eastAsia"/>
              </w:rPr>
              <w:t>脱附</w:t>
            </w:r>
            <w:r>
              <w:rPr>
                <w:rFonts w:hint="eastAsia"/>
              </w:rPr>
              <w:t>-</w:t>
            </w:r>
            <w:r>
              <w:rPr>
                <w:rFonts w:hint="eastAsia"/>
              </w:rPr>
              <w:t>催化燃烧装置</w:t>
            </w:r>
            <w:r>
              <w:rPr>
                <w:rFonts w:hint="eastAsia"/>
              </w:rPr>
              <w:t>T</w:t>
            </w:r>
            <w:r>
              <w:rPr>
                <w:rFonts w:hint="eastAsia"/>
              </w:rPr>
              <w:t>（</w:t>
            </w:r>
            <w:r>
              <w:t>依托现有</w:t>
            </w:r>
            <w:r>
              <w:rPr>
                <w:rFonts w:hint="eastAsia"/>
              </w:rPr>
              <w:t>）</w:t>
            </w:r>
          </w:p>
        </w:tc>
        <w:tc>
          <w:tcPr>
            <w:tcW w:w="613" w:type="pct"/>
            <w:vAlign w:val="center"/>
          </w:tcPr>
          <w:p w:rsidR="00EE56C0" w:rsidRDefault="000F36A1">
            <w:pPr>
              <w:pStyle w:val="afa"/>
            </w:pPr>
            <w:r>
              <w:rPr>
                <w:rFonts w:hint="eastAsia"/>
              </w:rPr>
              <w:t>3</w:t>
            </w:r>
          </w:p>
        </w:tc>
      </w:tr>
      <w:tr w:rsidR="00EE56C0" w:rsidTr="00971E69">
        <w:trPr>
          <w:trHeight w:val="802"/>
          <w:jc w:val="center"/>
        </w:trPr>
        <w:tc>
          <w:tcPr>
            <w:tcW w:w="251" w:type="pct"/>
            <w:vMerge/>
            <w:vAlign w:val="center"/>
          </w:tcPr>
          <w:p w:rsidR="00EE56C0" w:rsidRDefault="00EE56C0">
            <w:pPr>
              <w:pStyle w:val="afa"/>
            </w:pPr>
          </w:p>
        </w:tc>
        <w:tc>
          <w:tcPr>
            <w:tcW w:w="339" w:type="pct"/>
            <w:gridSpan w:val="2"/>
            <w:vMerge w:val="restart"/>
            <w:vAlign w:val="center"/>
          </w:tcPr>
          <w:p w:rsidR="00EE56C0" w:rsidRDefault="000F36A1">
            <w:pPr>
              <w:pStyle w:val="afa"/>
            </w:pPr>
            <w:r>
              <w:rPr>
                <w:rFonts w:hint="eastAsia"/>
              </w:rPr>
              <w:t>漆包线</w:t>
            </w:r>
          </w:p>
        </w:tc>
        <w:tc>
          <w:tcPr>
            <w:tcW w:w="250" w:type="pct"/>
            <w:vMerge w:val="restart"/>
            <w:vAlign w:val="center"/>
          </w:tcPr>
          <w:p w:rsidR="00EE56C0" w:rsidRDefault="000F36A1">
            <w:pPr>
              <w:pStyle w:val="afa"/>
            </w:pPr>
            <w:r>
              <w:rPr>
                <w:rFonts w:hint="eastAsia"/>
              </w:rPr>
              <w:t>卧机</w:t>
            </w:r>
          </w:p>
        </w:tc>
        <w:tc>
          <w:tcPr>
            <w:tcW w:w="373" w:type="pct"/>
            <w:vAlign w:val="center"/>
          </w:tcPr>
          <w:p w:rsidR="00EE56C0" w:rsidRDefault="000F36A1">
            <w:pPr>
              <w:pStyle w:val="afa"/>
            </w:pPr>
            <w:r>
              <w:rPr>
                <w:rFonts w:hint="eastAsia"/>
              </w:rPr>
              <w:t>涂漆</w:t>
            </w:r>
          </w:p>
        </w:tc>
        <w:tc>
          <w:tcPr>
            <w:tcW w:w="599" w:type="pct"/>
            <w:vMerge w:val="restart"/>
            <w:vAlign w:val="center"/>
          </w:tcPr>
          <w:p w:rsidR="00EE56C0" w:rsidRDefault="000F36A1">
            <w:pPr>
              <w:pStyle w:val="afa"/>
            </w:pPr>
            <w:r>
              <w:rPr>
                <w:rFonts w:hint="eastAsia"/>
              </w:rPr>
              <w:t>酚、非甲烷总烃、二甲苯</w:t>
            </w:r>
          </w:p>
        </w:tc>
        <w:tc>
          <w:tcPr>
            <w:tcW w:w="412" w:type="pct"/>
            <w:vAlign w:val="center"/>
          </w:tcPr>
          <w:p w:rsidR="00EE56C0" w:rsidRDefault="000F36A1">
            <w:pPr>
              <w:pStyle w:val="afa"/>
            </w:pPr>
            <w:r>
              <w:rPr>
                <w:rFonts w:hint="eastAsia"/>
              </w:rPr>
              <w:t>集气罩</w:t>
            </w:r>
          </w:p>
        </w:tc>
        <w:tc>
          <w:tcPr>
            <w:tcW w:w="416" w:type="pct"/>
            <w:vMerge w:val="restart"/>
            <w:vAlign w:val="center"/>
          </w:tcPr>
          <w:p w:rsidR="00EE56C0" w:rsidRDefault="000F36A1">
            <w:pPr>
              <w:pStyle w:val="afa"/>
            </w:pPr>
            <w:r>
              <w:rPr>
                <w:rFonts w:hint="eastAsia"/>
              </w:rPr>
              <w:t>炉内</w:t>
            </w:r>
            <w:r>
              <w:rPr>
                <w:rFonts w:hint="eastAsia"/>
              </w:rPr>
              <w:t>2</w:t>
            </w:r>
            <w:r>
              <w:rPr>
                <w:rFonts w:hint="eastAsia"/>
              </w:rPr>
              <w:t>次催化燃烧</w:t>
            </w:r>
          </w:p>
        </w:tc>
        <w:tc>
          <w:tcPr>
            <w:tcW w:w="1163" w:type="pct"/>
            <w:vMerge w:val="restart"/>
            <w:vAlign w:val="center"/>
          </w:tcPr>
          <w:p w:rsidR="00EE56C0" w:rsidRDefault="000F36A1">
            <w:pPr>
              <w:pStyle w:val="afa"/>
            </w:pPr>
            <w:r>
              <w:rPr>
                <w:rFonts w:hint="eastAsia"/>
              </w:rPr>
              <w:t>3</w:t>
            </w:r>
            <w:r>
              <w:rPr>
                <w:rFonts w:hint="eastAsia"/>
              </w:rPr>
              <w:t>台拉包机：沸石吸附</w:t>
            </w:r>
            <w:r>
              <w:rPr>
                <w:rFonts w:hint="eastAsia"/>
              </w:rPr>
              <w:t>-</w:t>
            </w:r>
            <w:r>
              <w:rPr>
                <w:rFonts w:hint="eastAsia"/>
              </w:rPr>
              <w:t>脱附</w:t>
            </w:r>
            <w:r>
              <w:rPr>
                <w:rFonts w:hint="eastAsia"/>
              </w:rPr>
              <w:t>-</w:t>
            </w:r>
            <w:r>
              <w:rPr>
                <w:rFonts w:hint="eastAsia"/>
              </w:rPr>
              <w:t>催化燃烧</w:t>
            </w:r>
            <w:r>
              <w:rPr>
                <w:rFonts w:hint="eastAsia"/>
              </w:rPr>
              <w:t>F</w:t>
            </w:r>
            <w:r>
              <w:rPr>
                <w:rFonts w:hint="eastAsia"/>
              </w:rPr>
              <w:t>（</w:t>
            </w:r>
            <w:r>
              <w:t>依托现有</w:t>
            </w:r>
            <w:r>
              <w:rPr>
                <w:rFonts w:hint="eastAsia"/>
              </w:rPr>
              <w:t>）</w:t>
            </w:r>
          </w:p>
        </w:tc>
        <w:tc>
          <w:tcPr>
            <w:tcW w:w="584" w:type="pct"/>
            <w:vMerge w:val="restart"/>
            <w:vAlign w:val="center"/>
          </w:tcPr>
          <w:p w:rsidR="00EE56C0" w:rsidRDefault="000F36A1" w:rsidP="008660AC">
            <w:pPr>
              <w:pStyle w:val="afa"/>
            </w:pPr>
            <w:r>
              <w:rPr>
                <w:rFonts w:hint="eastAsia"/>
              </w:rPr>
              <w:t>26.</w:t>
            </w:r>
            <w:r>
              <w:t>5m</w:t>
            </w:r>
            <w:r>
              <w:t>排气筒</w:t>
            </w:r>
            <w:r>
              <w:rPr>
                <w:rFonts w:hint="eastAsia"/>
              </w:rPr>
              <w:t>P</w:t>
            </w:r>
            <w:r>
              <w:rPr>
                <w:rFonts w:hint="eastAsia"/>
              </w:rPr>
              <w:t>（</w:t>
            </w:r>
            <w:r>
              <w:t>依托现有</w:t>
            </w:r>
            <w:r>
              <w:rPr>
                <w:rFonts w:hint="eastAsia"/>
              </w:rPr>
              <w:t>）</w:t>
            </w:r>
          </w:p>
        </w:tc>
        <w:tc>
          <w:tcPr>
            <w:tcW w:w="613" w:type="pct"/>
            <w:vMerge w:val="restart"/>
            <w:vAlign w:val="center"/>
          </w:tcPr>
          <w:p w:rsidR="00EE56C0" w:rsidRDefault="000F36A1">
            <w:pPr>
              <w:pStyle w:val="afa"/>
            </w:pPr>
            <w:r>
              <w:rPr>
                <w:rFonts w:hint="eastAsia"/>
              </w:rPr>
              <w:t>30</w:t>
            </w:r>
          </w:p>
        </w:tc>
      </w:tr>
      <w:tr w:rsidR="00EE56C0" w:rsidTr="00971E69">
        <w:trPr>
          <w:trHeight w:val="815"/>
          <w:jc w:val="center"/>
        </w:trPr>
        <w:tc>
          <w:tcPr>
            <w:tcW w:w="251" w:type="pct"/>
            <w:vMerge/>
            <w:vAlign w:val="center"/>
          </w:tcPr>
          <w:p w:rsidR="00EE56C0" w:rsidRDefault="00EE56C0">
            <w:pPr>
              <w:pStyle w:val="afa"/>
            </w:pPr>
          </w:p>
        </w:tc>
        <w:tc>
          <w:tcPr>
            <w:tcW w:w="339" w:type="pct"/>
            <w:gridSpan w:val="2"/>
            <w:vMerge/>
            <w:vAlign w:val="center"/>
          </w:tcPr>
          <w:p w:rsidR="00EE56C0" w:rsidRDefault="00EE56C0">
            <w:pPr>
              <w:pStyle w:val="afa"/>
            </w:pPr>
          </w:p>
        </w:tc>
        <w:tc>
          <w:tcPr>
            <w:tcW w:w="250" w:type="pct"/>
            <w:vMerge/>
            <w:vAlign w:val="center"/>
          </w:tcPr>
          <w:p w:rsidR="00EE56C0" w:rsidRDefault="00EE56C0">
            <w:pPr>
              <w:pStyle w:val="afa"/>
            </w:pPr>
          </w:p>
        </w:tc>
        <w:tc>
          <w:tcPr>
            <w:tcW w:w="373" w:type="pct"/>
            <w:vAlign w:val="center"/>
          </w:tcPr>
          <w:p w:rsidR="00EE56C0" w:rsidRDefault="000F36A1">
            <w:pPr>
              <w:pStyle w:val="afa"/>
            </w:pPr>
            <w:r>
              <w:rPr>
                <w:rFonts w:hint="eastAsia"/>
              </w:rPr>
              <w:t>烘干</w:t>
            </w:r>
          </w:p>
        </w:tc>
        <w:tc>
          <w:tcPr>
            <w:tcW w:w="599" w:type="pct"/>
            <w:vMerge/>
            <w:vAlign w:val="center"/>
          </w:tcPr>
          <w:p w:rsidR="00EE56C0" w:rsidRDefault="00EE56C0">
            <w:pPr>
              <w:pStyle w:val="afa"/>
            </w:pPr>
          </w:p>
        </w:tc>
        <w:tc>
          <w:tcPr>
            <w:tcW w:w="412" w:type="pct"/>
            <w:vAlign w:val="center"/>
          </w:tcPr>
          <w:p w:rsidR="00EE56C0" w:rsidRDefault="000F36A1">
            <w:pPr>
              <w:pStyle w:val="afa"/>
            </w:pPr>
            <w:r>
              <w:rPr>
                <w:rFonts w:hint="eastAsia"/>
              </w:rPr>
              <w:t>集气管道</w:t>
            </w:r>
          </w:p>
        </w:tc>
        <w:tc>
          <w:tcPr>
            <w:tcW w:w="416" w:type="pct"/>
            <w:vMerge/>
            <w:vAlign w:val="center"/>
          </w:tcPr>
          <w:p w:rsidR="00EE56C0" w:rsidRDefault="00EE56C0">
            <w:pPr>
              <w:pStyle w:val="afa"/>
            </w:pPr>
          </w:p>
        </w:tc>
        <w:tc>
          <w:tcPr>
            <w:tcW w:w="1163" w:type="pct"/>
            <w:vMerge/>
            <w:vAlign w:val="center"/>
          </w:tcPr>
          <w:p w:rsidR="00EE56C0" w:rsidRDefault="00EE56C0">
            <w:pPr>
              <w:pStyle w:val="afa"/>
            </w:pPr>
          </w:p>
        </w:tc>
        <w:tc>
          <w:tcPr>
            <w:tcW w:w="584" w:type="pct"/>
            <w:vMerge/>
            <w:vAlign w:val="center"/>
          </w:tcPr>
          <w:p w:rsidR="00EE56C0" w:rsidRDefault="00EE56C0">
            <w:pPr>
              <w:pStyle w:val="afa"/>
            </w:pPr>
          </w:p>
        </w:tc>
        <w:tc>
          <w:tcPr>
            <w:tcW w:w="613" w:type="pct"/>
            <w:vMerge/>
            <w:vAlign w:val="center"/>
          </w:tcPr>
          <w:p w:rsidR="00EE56C0" w:rsidRDefault="00EE56C0">
            <w:pPr>
              <w:pStyle w:val="afa"/>
            </w:pPr>
          </w:p>
        </w:tc>
      </w:tr>
      <w:tr w:rsidR="00EE56C0" w:rsidTr="00971E69">
        <w:trPr>
          <w:trHeight w:val="686"/>
          <w:jc w:val="center"/>
        </w:trPr>
        <w:tc>
          <w:tcPr>
            <w:tcW w:w="251" w:type="pct"/>
            <w:vMerge/>
            <w:vAlign w:val="center"/>
          </w:tcPr>
          <w:p w:rsidR="00EE56C0" w:rsidRDefault="00EE56C0">
            <w:pPr>
              <w:pStyle w:val="afa"/>
            </w:pPr>
          </w:p>
        </w:tc>
        <w:tc>
          <w:tcPr>
            <w:tcW w:w="339" w:type="pct"/>
            <w:gridSpan w:val="2"/>
            <w:vMerge/>
            <w:vAlign w:val="center"/>
          </w:tcPr>
          <w:p w:rsidR="00EE56C0" w:rsidRDefault="00EE56C0">
            <w:pPr>
              <w:pStyle w:val="afa"/>
            </w:pPr>
          </w:p>
        </w:tc>
        <w:tc>
          <w:tcPr>
            <w:tcW w:w="250" w:type="pct"/>
            <w:vMerge w:val="restart"/>
            <w:vAlign w:val="center"/>
          </w:tcPr>
          <w:p w:rsidR="00EE56C0" w:rsidRDefault="000F36A1">
            <w:pPr>
              <w:pStyle w:val="afa"/>
            </w:pPr>
            <w:r>
              <w:rPr>
                <w:rFonts w:hint="eastAsia"/>
              </w:rPr>
              <w:t>立机</w:t>
            </w:r>
          </w:p>
        </w:tc>
        <w:tc>
          <w:tcPr>
            <w:tcW w:w="373" w:type="pct"/>
            <w:vAlign w:val="center"/>
          </w:tcPr>
          <w:p w:rsidR="00EE56C0" w:rsidRDefault="000F36A1">
            <w:pPr>
              <w:pStyle w:val="afa"/>
            </w:pPr>
            <w:r>
              <w:rPr>
                <w:rFonts w:hint="eastAsia"/>
              </w:rPr>
              <w:t>涂漆</w:t>
            </w:r>
          </w:p>
        </w:tc>
        <w:tc>
          <w:tcPr>
            <w:tcW w:w="599" w:type="pct"/>
            <w:vMerge/>
            <w:vAlign w:val="center"/>
          </w:tcPr>
          <w:p w:rsidR="00EE56C0" w:rsidRDefault="00EE56C0">
            <w:pPr>
              <w:pStyle w:val="afa"/>
            </w:pPr>
          </w:p>
        </w:tc>
        <w:tc>
          <w:tcPr>
            <w:tcW w:w="412" w:type="pct"/>
            <w:vAlign w:val="center"/>
          </w:tcPr>
          <w:p w:rsidR="00EE56C0" w:rsidRDefault="000F36A1">
            <w:pPr>
              <w:pStyle w:val="afa"/>
            </w:pPr>
            <w:r>
              <w:rPr>
                <w:rFonts w:hint="eastAsia"/>
              </w:rPr>
              <w:t>涂漆间</w:t>
            </w:r>
          </w:p>
        </w:tc>
        <w:tc>
          <w:tcPr>
            <w:tcW w:w="416" w:type="pct"/>
            <w:vMerge w:val="restart"/>
            <w:vAlign w:val="center"/>
          </w:tcPr>
          <w:p w:rsidR="00EE56C0" w:rsidRDefault="000F36A1">
            <w:pPr>
              <w:pStyle w:val="afa"/>
            </w:pPr>
            <w:r>
              <w:rPr>
                <w:rFonts w:hint="eastAsia"/>
              </w:rPr>
              <w:t>炉内</w:t>
            </w:r>
            <w:r>
              <w:rPr>
                <w:rFonts w:hint="eastAsia"/>
              </w:rPr>
              <w:t>2</w:t>
            </w:r>
            <w:r>
              <w:rPr>
                <w:rFonts w:hint="eastAsia"/>
              </w:rPr>
              <w:t>次催化燃烧</w:t>
            </w:r>
          </w:p>
        </w:tc>
        <w:tc>
          <w:tcPr>
            <w:tcW w:w="1163" w:type="pct"/>
            <w:vMerge w:val="restart"/>
            <w:vAlign w:val="center"/>
          </w:tcPr>
          <w:p w:rsidR="00EE56C0" w:rsidRDefault="000F36A1">
            <w:pPr>
              <w:pStyle w:val="afa"/>
            </w:pPr>
            <w:r>
              <w:rPr>
                <w:rFonts w:hint="eastAsia"/>
              </w:rPr>
              <w:t>1</w:t>
            </w:r>
            <w:r>
              <w:rPr>
                <w:rFonts w:hint="eastAsia"/>
              </w:rPr>
              <w:t>台漆包机：静电除油</w:t>
            </w:r>
            <w:r>
              <w:rPr>
                <w:rFonts w:hint="eastAsia"/>
              </w:rPr>
              <w:t>+</w:t>
            </w:r>
            <w:r>
              <w:rPr>
                <w:rFonts w:hint="eastAsia"/>
              </w:rPr>
              <w:t>活性炭吸附</w:t>
            </w:r>
            <w:r>
              <w:rPr>
                <w:rFonts w:hint="eastAsia"/>
              </w:rPr>
              <w:t>-</w:t>
            </w:r>
            <w:r>
              <w:rPr>
                <w:rFonts w:hint="eastAsia"/>
              </w:rPr>
              <w:t>脱附</w:t>
            </w:r>
            <w:r>
              <w:rPr>
                <w:rFonts w:hint="eastAsia"/>
              </w:rPr>
              <w:t>-</w:t>
            </w:r>
            <w:r>
              <w:rPr>
                <w:rFonts w:hint="eastAsia"/>
              </w:rPr>
              <w:t>催化燃烧装置</w:t>
            </w:r>
            <w:r>
              <w:rPr>
                <w:rFonts w:hint="eastAsia"/>
              </w:rPr>
              <w:t>T</w:t>
            </w:r>
            <w:r>
              <w:rPr>
                <w:rFonts w:hint="eastAsia"/>
              </w:rPr>
              <w:t>（</w:t>
            </w:r>
            <w:r>
              <w:t>依托现有</w:t>
            </w:r>
            <w:r>
              <w:rPr>
                <w:rFonts w:hint="eastAsia"/>
              </w:rPr>
              <w:t>）</w:t>
            </w:r>
          </w:p>
        </w:tc>
        <w:tc>
          <w:tcPr>
            <w:tcW w:w="584" w:type="pct"/>
            <w:vMerge/>
            <w:vAlign w:val="center"/>
          </w:tcPr>
          <w:p w:rsidR="00EE56C0" w:rsidRDefault="00EE56C0">
            <w:pPr>
              <w:pStyle w:val="afa"/>
            </w:pPr>
          </w:p>
        </w:tc>
        <w:tc>
          <w:tcPr>
            <w:tcW w:w="613" w:type="pct"/>
            <w:vMerge/>
            <w:vAlign w:val="center"/>
          </w:tcPr>
          <w:p w:rsidR="00EE56C0" w:rsidRDefault="00EE56C0">
            <w:pPr>
              <w:pStyle w:val="afa"/>
            </w:pPr>
          </w:p>
        </w:tc>
      </w:tr>
      <w:tr w:rsidR="00EE56C0" w:rsidTr="00971E69">
        <w:trPr>
          <w:trHeight w:val="434"/>
          <w:jc w:val="center"/>
        </w:trPr>
        <w:tc>
          <w:tcPr>
            <w:tcW w:w="251" w:type="pct"/>
            <w:vMerge/>
            <w:vAlign w:val="center"/>
          </w:tcPr>
          <w:p w:rsidR="00EE56C0" w:rsidRDefault="00EE56C0">
            <w:pPr>
              <w:pStyle w:val="afa"/>
            </w:pPr>
          </w:p>
        </w:tc>
        <w:tc>
          <w:tcPr>
            <w:tcW w:w="339" w:type="pct"/>
            <w:gridSpan w:val="2"/>
            <w:vMerge/>
            <w:vAlign w:val="center"/>
          </w:tcPr>
          <w:p w:rsidR="00EE56C0" w:rsidRDefault="00EE56C0">
            <w:pPr>
              <w:pStyle w:val="afa"/>
            </w:pPr>
          </w:p>
        </w:tc>
        <w:tc>
          <w:tcPr>
            <w:tcW w:w="250" w:type="pct"/>
            <w:vMerge/>
            <w:vAlign w:val="center"/>
          </w:tcPr>
          <w:p w:rsidR="00EE56C0" w:rsidRDefault="00EE56C0">
            <w:pPr>
              <w:pStyle w:val="afa"/>
            </w:pPr>
          </w:p>
        </w:tc>
        <w:tc>
          <w:tcPr>
            <w:tcW w:w="373" w:type="pct"/>
            <w:vMerge w:val="restart"/>
            <w:vAlign w:val="center"/>
          </w:tcPr>
          <w:p w:rsidR="00EE56C0" w:rsidRDefault="000F36A1">
            <w:pPr>
              <w:pStyle w:val="afa"/>
            </w:pPr>
            <w:r>
              <w:rPr>
                <w:rFonts w:hint="eastAsia"/>
              </w:rPr>
              <w:t>烘干</w:t>
            </w:r>
          </w:p>
        </w:tc>
        <w:tc>
          <w:tcPr>
            <w:tcW w:w="599" w:type="pct"/>
            <w:vMerge/>
            <w:vAlign w:val="center"/>
          </w:tcPr>
          <w:p w:rsidR="00EE56C0" w:rsidRDefault="00EE56C0">
            <w:pPr>
              <w:pStyle w:val="afa"/>
            </w:pPr>
          </w:p>
        </w:tc>
        <w:tc>
          <w:tcPr>
            <w:tcW w:w="412" w:type="pct"/>
            <w:vMerge w:val="restart"/>
            <w:vAlign w:val="center"/>
          </w:tcPr>
          <w:p w:rsidR="00EE56C0" w:rsidRDefault="000F36A1">
            <w:pPr>
              <w:pStyle w:val="afa"/>
            </w:pPr>
            <w:r>
              <w:rPr>
                <w:rFonts w:hint="eastAsia"/>
              </w:rPr>
              <w:t>集气</w:t>
            </w:r>
          </w:p>
          <w:p w:rsidR="00EE56C0" w:rsidRDefault="000F36A1">
            <w:pPr>
              <w:pStyle w:val="afa"/>
            </w:pPr>
            <w:r>
              <w:rPr>
                <w:rFonts w:hint="eastAsia"/>
              </w:rPr>
              <w:t>管道</w:t>
            </w:r>
          </w:p>
        </w:tc>
        <w:tc>
          <w:tcPr>
            <w:tcW w:w="416" w:type="pct"/>
            <w:vMerge/>
            <w:vAlign w:val="center"/>
          </w:tcPr>
          <w:p w:rsidR="00EE56C0" w:rsidRDefault="00EE56C0">
            <w:pPr>
              <w:pStyle w:val="afa"/>
            </w:pPr>
          </w:p>
        </w:tc>
        <w:tc>
          <w:tcPr>
            <w:tcW w:w="1163" w:type="pct"/>
            <w:vMerge/>
            <w:vAlign w:val="center"/>
          </w:tcPr>
          <w:p w:rsidR="00EE56C0" w:rsidRDefault="00EE56C0">
            <w:pPr>
              <w:pStyle w:val="afa"/>
            </w:pPr>
          </w:p>
        </w:tc>
        <w:tc>
          <w:tcPr>
            <w:tcW w:w="584" w:type="pct"/>
            <w:vMerge/>
            <w:vAlign w:val="center"/>
          </w:tcPr>
          <w:p w:rsidR="00EE56C0" w:rsidRDefault="00EE56C0">
            <w:pPr>
              <w:pStyle w:val="afa"/>
            </w:pPr>
          </w:p>
        </w:tc>
        <w:tc>
          <w:tcPr>
            <w:tcW w:w="613" w:type="pct"/>
            <w:vMerge/>
            <w:vAlign w:val="center"/>
          </w:tcPr>
          <w:p w:rsidR="00EE56C0" w:rsidRDefault="00EE56C0">
            <w:pPr>
              <w:pStyle w:val="afa"/>
            </w:pPr>
          </w:p>
        </w:tc>
      </w:tr>
      <w:tr w:rsidR="00EE56C0" w:rsidTr="00971E69">
        <w:trPr>
          <w:trHeight w:val="241"/>
          <w:jc w:val="center"/>
        </w:trPr>
        <w:tc>
          <w:tcPr>
            <w:tcW w:w="251" w:type="pct"/>
            <w:vMerge/>
            <w:vAlign w:val="center"/>
          </w:tcPr>
          <w:p w:rsidR="00EE56C0" w:rsidRDefault="00EE56C0">
            <w:pPr>
              <w:pStyle w:val="afa"/>
            </w:pPr>
          </w:p>
        </w:tc>
        <w:tc>
          <w:tcPr>
            <w:tcW w:w="339" w:type="pct"/>
            <w:gridSpan w:val="2"/>
            <w:vMerge/>
            <w:vAlign w:val="center"/>
          </w:tcPr>
          <w:p w:rsidR="00EE56C0" w:rsidRDefault="00EE56C0">
            <w:pPr>
              <w:pStyle w:val="afa"/>
            </w:pPr>
          </w:p>
        </w:tc>
        <w:tc>
          <w:tcPr>
            <w:tcW w:w="250" w:type="pct"/>
            <w:vMerge/>
            <w:vAlign w:val="center"/>
          </w:tcPr>
          <w:p w:rsidR="00EE56C0" w:rsidRDefault="00EE56C0">
            <w:pPr>
              <w:pStyle w:val="afa"/>
            </w:pPr>
          </w:p>
        </w:tc>
        <w:tc>
          <w:tcPr>
            <w:tcW w:w="373" w:type="pct"/>
            <w:vMerge/>
            <w:vAlign w:val="center"/>
          </w:tcPr>
          <w:p w:rsidR="00EE56C0" w:rsidRDefault="00EE56C0">
            <w:pPr>
              <w:pStyle w:val="afa"/>
            </w:pPr>
          </w:p>
        </w:tc>
        <w:tc>
          <w:tcPr>
            <w:tcW w:w="599" w:type="pct"/>
            <w:vMerge/>
            <w:vAlign w:val="center"/>
          </w:tcPr>
          <w:p w:rsidR="00EE56C0" w:rsidRDefault="00EE56C0">
            <w:pPr>
              <w:pStyle w:val="afa"/>
            </w:pPr>
          </w:p>
        </w:tc>
        <w:tc>
          <w:tcPr>
            <w:tcW w:w="412" w:type="pct"/>
            <w:vMerge/>
            <w:vAlign w:val="center"/>
          </w:tcPr>
          <w:p w:rsidR="00EE56C0" w:rsidRDefault="00EE56C0">
            <w:pPr>
              <w:pStyle w:val="afa"/>
            </w:pPr>
          </w:p>
        </w:tc>
        <w:tc>
          <w:tcPr>
            <w:tcW w:w="416" w:type="pct"/>
            <w:vMerge/>
            <w:vAlign w:val="center"/>
          </w:tcPr>
          <w:p w:rsidR="00EE56C0" w:rsidRDefault="00EE56C0">
            <w:pPr>
              <w:pStyle w:val="afa"/>
            </w:pPr>
          </w:p>
        </w:tc>
        <w:tc>
          <w:tcPr>
            <w:tcW w:w="1163" w:type="pct"/>
            <w:vAlign w:val="center"/>
          </w:tcPr>
          <w:p w:rsidR="00EE56C0" w:rsidRDefault="000F36A1">
            <w:pPr>
              <w:pStyle w:val="afa"/>
            </w:pPr>
            <w:r>
              <w:rPr>
                <w:rFonts w:hint="eastAsia"/>
              </w:rPr>
              <w:t>2</w:t>
            </w:r>
            <w:r>
              <w:rPr>
                <w:rFonts w:hint="eastAsia"/>
              </w:rPr>
              <w:t>台拉包机：沸石吸附</w:t>
            </w:r>
            <w:r>
              <w:rPr>
                <w:rFonts w:hint="eastAsia"/>
              </w:rPr>
              <w:t>-</w:t>
            </w:r>
            <w:r>
              <w:rPr>
                <w:rFonts w:hint="eastAsia"/>
              </w:rPr>
              <w:t>脱附</w:t>
            </w:r>
            <w:r>
              <w:rPr>
                <w:rFonts w:hint="eastAsia"/>
              </w:rPr>
              <w:t>-</w:t>
            </w:r>
            <w:r>
              <w:rPr>
                <w:rFonts w:hint="eastAsia"/>
              </w:rPr>
              <w:t>催化燃烧</w:t>
            </w:r>
            <w:r>
              <w:rPr>
                <w:rFonts w:hint="eastAsia"/>
              </w:rPr>
              <w:t>F</w:t>
            </w:r>
            <w:r>
              <w:rPr>
                <w:rFonts w:hint="eastAsia"/>
              </w:rPr>
              <w:t>（</w:t>
            </w:r>
            <w:r>
              <w:t>依托现有</w:t>
            </w:r>
            <w:r>
              <w:rPr>
                <w:rFonts w:hint="eastAsia"/>
              </w:rPr>
              <w:t>）</w:t>
            </w:r>
          </w:p>
        </w:tc>
        <w:tc>
          <w:tcPr>
            <w:tcW w:w="584" w:type="pct"/>
            <w:vMerge/>
            <w:vAlign w:val="center"/>
          </w:tcPr>
          <w:p w:rsidR="00EE56C0" w:rsidRDefault="00EE56C0">
            <w:pPr>
              <w:pStyle w:val="afa"/>
            </w:pPr>
          </w:p>
        </w:tc>
        <w:tc>
          <w:tcPr>
            <w:tcW w:w="613" w:type="pct"/>
            <w:vMerge/>
            <w:vAlign w:val="center"/>
          </w:tcPr>
          <w:p w:rsidR="00EE56C0" w:rsidRDefault="00EE56C0">
            <w:pPr>
              <w:pStyle w:val="afa"/>
            </w:pPr>
          </w:p>
        </w:tc>
      </w:tr>
      <w:tr w:rsidR="00EE56C0" w:rsidTr="00971E69">
        <w:trPr>
          <w:trHeight w:val="434"/>
          <w:jc w:val="center"/>
        </w:trPr>
        <w:tc>
          <w:tcPr>
            <w:tcW w:w="251" w:type="pct"/>
            <w:vMerge/>
            <w:vAlign w:val="center"/>
          </w:tcPr>
          <w:p w:rsidR="00EE56C0" w:rsidRDefault="00EE56C0">
            <w:pPr>
              <w:pStyle w:val="afa"/>
            </w:pPr>
          </w:p>
        </w:tc>
        <w:tc>
          <w:tcPr>
            <w:tcW w:w="339" w:type="pct"/>
            <w:gridSpan w:val="2"/>
            <w:vMerge/>
            <w:vAlign w:val="center"/>
          </w:tcPr>
          <w:p w:rsidR="00EE56C0" w:rsidRDefault="00EE56C0">
            <w:pPr>
              <w:pStyle w:val="afa"/>
            </w:pPr>
          </w:p>
        </w:tc>
        <w:tc>
          <w:tcPr>
            <w:tcW w:w="250" w:type="pct"/>
            <w:vMerge/>
            <w:vAlign w:val="center"/>
          </w:tcPr>
          <w:p w:rsidR="00EE56C0" w:rsidRDefault="00EE56C0">
            <w:pPr>
              <w:pStyle w:val="afa"/>
            </w:pPr>
          </w:p>
        </w:tc>
        <w:tc>
          <w:tcPr>
            <w:tcW w:w="373" w:type="pct"/>
            <w:vAlign w:val="center"/>
          </w:tcPr>
          <w:p w:rsidR="00EE56C0" w:rsidRDefault="000F36A1">
            <w:pPr>
              <w:pStyle w:val="afa"/>
            </w:pPr>
            <w:r>
              <w:rPr>
                <w:rFonts w:hint="eastAsia"/>
              </w:rPr>
              <w:t>二次封闭通道</w:t>
            </w:r>
          </w:p>
        </w:tc>
        <w:tc>
          <w:tcPr>
            <w:tcW w:w="599" w:type="pct"/>
            <w:vMerge/>
            <w:vAlign w:val="center"/>
          </w:tcPr>
          <w:p w:rsidR="00EE56C0" w:rsidRDefault="00EE56C0">
            <w:pPr>
              <w:pStyle w:val="afa"/>
            </w:pPr>
          </w:p>
        </w:tc>
        <w:tc>
          <w:tcPr>
            <w:tcW w:w="412" w:type="pct"/>
            <w:vAlign w:val="center"/>
          </w:tcPr>
          <w:p w:rsidR="00EE56C0" w:rsidRDefault="000F36A1">
            <w:pPr>
              <w:pStyle w:val="afa"/>
            </w:pPr>
            <w:r>
              <w:rPr>
                <w:rFonts w:hint="eastAsia"/>
              </w:rPr>
              <w:t>集气管道</w:t>
            </w:r>
          </w:p>
        </w:tc>
        <w:tc>
          <w:tcPr>
            <w:tcW w:w="416" w:type="pct"/>
            <w:vAlign w:val="center"/>
          </w:tcPr>
          <w:p w:rsidR="00EE56C0" w:rsidRDefault="000F36A1">
            <w:pPr>
              <w:pStyle w:val="afa"/>
            </w:pPr>
            <w:r>
              <w:rPr>
                <w:rFonts w:hint="eastAsia"/>
              </w:rPr>
              <w:t>/</w:t>
            </w:r>
          </w:p>
        </w:tc>
        <w:tc>
          <w:tcPr>
            <w:tcW w:w="1163" w:type="pct"/>
            <w:vAlign w:val="center"/>
          </w:tcPr>
          <w:p w:rsidR="00EE56C0" w:rsidRDefault="000F36A1">
            <w:pPr>
              <w:pStyle w:val="afa"/>
            </w:pPr>
            <w:r>
              <w:rPr>
                <w:rFonts w:hint="eastAsia"/>
              </w:rPr>
              <w:t>沸石吸附</w:t>
            </w:r>
            <w:r>
              <w:rPr>
                <w:rFonts w:hint="eastAsia"/>
              </w:rPr>
              <w:t>-</w:t>
            </w:r>
            <w:r>
              <w:rPr>
                <w:rFonts w:hint="eastAsia"/>
              </w:rPr>
              <w:t>脱附</w:t>
            </w:r>
            <w:r>
              <w:rPr>
                <w:rFonts w:hint="eastAsia"/>
              </w:rPr>
              <w:t>-</w:t>
            </w:r>
            <w:r>
              <w:rPr>
                <w:rFonts w:hint="eastAsia"/>
              </w:rPr>
              <w:t>催化燃烧</w:t>
            </w:r>
            <w:r>
              <w:rPr>
                <w:rFonts w:hint="eastAsia"/>
              </w:rPr>
              <w:t>F</w:t>
            </w:r>
            <w:r>
              <w:rPr>
                <w:rFonts w:hint="eastAsia"/>
              </w:rPr>
              <w:t>（</w:t>
            </w:r>
            <w:r>
              <w:t>依托现有</w:t>
            </w:r>
            <w:r>
              <w:rPr>
                <w:rFonts w:hint="eastAsia"/>
              </w:rPr>
              <w:t>）</w:t>
            </w:r>
          </w:p>
        </w:tc>
        <w:tc>
          <w:tcPr>
            <w:tcW w:w="584" w:type="pct"/>
            <w:vMerge/>
            <w:vAlign w:val="center"/>
          </w:tcPr>
          <w:p w:rsidR="00EE56C0" w:rsidRDefault="00EE56C0">
            <w:pPr>
              <w:pStyle w:val="afa"/>
            </w:pPr>
          </w:p>
        </w:tc>
        <w:tc>
          <w:tcPr>
            <w:tcW w:w="613" w:type="pct"/>
            <w:vMerge/>
            <w:vAlign w:val="center"/>
          </w:tcPr>
          <w:p w:rsidR="00EE56C0" w:rsidRDefault="00EE56C0">
            <w:pPr>
              <w:pStyle w:val="afa"/>
            </w:pPr>
          </w:p>
        </w:tc>
      </w:tr>
      <w:tr w:rsidR="00EE56C0" w:rsidTr="00971E69">
        <w:trPr>
          <w:trHeight w:val="704"/>
          <w:jc w:val="center"/>
        </w:trPr>
        <w:tc>
          <w:tcPr>
            <w:tcW w:w="251" w:type="pct"/>
            <w:vMerge/>
            <w:vAlign w:val="center"/>
          </w:tcPr>
          <w:p w:rsidR="00EE56C0" w:rsidRDefault="00EE56C0">
            <w:pPr>
              <w:pStyle w:val="afa"/>
            </w:pPr>
          </w:p>
        </w:tc>
        <w:tc>
          <w:tcPr>
            <w:tcW w:w="589" w:type="pct"/>
            <w:gridSpan w:val="3"/>
            <w:vMerge w:val="restart"/>
            <w:vAlign w:val="center"/>
          </w:tcPr>
          <w:p w:rsidR="00EE56C0" w:rsidRDefault="000F36A1">
            <w:pPr>
              <w:pStyle w:val="afa"/>
            </w:pPr>
            <w:r>
              <w:rPr>
                <w:rFonts w:hint="eastAsia"/>
              </w:rPr>
              <w:t>丝包线</w:t>
            </w:r>
          </w:p>
        </w:tc>
        <w:tc>
          <w:tcPr>
            <w:tcW w:w="373" w:type="pct"/>
            <w:vAlign w:val="center"/>
          </w:tcPr>
          <w:p w:rsidR="00EE56C0" w:rsidRDefault="000F36A1">
            <w:pPr>
              <w:pStyle w:val="afa"/>
            </w:pPr>
            <w:r>
              <w:rPr>
                <w:rFonts w:hint="eastAsia"/>
              </w:rPr>
              <w:t>涂漆、烘干</w:t>
            </w:r>
          </w:p>
        </w:tc>
        <w:tc>
          <w:tcPr>
            <w:tcW w:w="599" w:type="pct"/>
            <w:vMerge w:val="restart"/>
            <w:vAlign w:val="center"/>
          </w:tcPr>
          <w:p w:rsidR="00EE56C0" w:rsidRDefault="000F36A1">
            <w:pPr>
              <w:pStyle w:val="afa"/>
            </w:pPr>
            <w:r>
              <w:rPr>
                <w:rFonts w:hint="eastAsia"/>
              </w:rPr>
              <w:t>苯、甲苯、二甲苯、非甲烷总烃</w:t>
            </w:r>
          </w:p>
        </w:tc>
        <w:tc>
          <w:tcPr>
            <w:tcW w:w="828" w:type="pct"/>
            <w:gridSpan w:val="2"/>
            <w:vAlign w:val="center"/>
          </w:tcPr>
          <w:p w:rsidR="00EE56C0" w:rsidRDefault="000F36A1">
            <w:pPr>
              <w:pStyle w:val="afa"/>
            </w:pPr>
            <w:r>
              <w:rPr>
                <w:rFonts w:hint="eastAsia"/>
              </w:rPr>
              <w:t>集气罩</w:t>
            </w:r>
          </w:p>
        </w:tc>
        <w:tc>
          <w:tcPr>
            <w:tcW w:w="1163" w:type="pct"/>
            <w:vMerge w:val="restart"/>
            <w:vAlign w:val="center"/>
          </w:tcPr>
          <w:p w:rsidR="00EE56C0" w:rsidRDefault="000F36A1">
            <w:pPr>
              <w:pStyle w:val="afa"/>
            </w:pPr>
            <w:r>
              <w:rPr>
                <w:rFonts w:hint="eastAsia"/>
              </w:rPr>
              <w:t>静电除油</w:t>
            </w:r>
            <w:r>
              <w:rPr>
                <w:rFonts w:hint="eastAsia"/>
              </w:rPr>
              <w:t>+</w:t>
            </w:r>
            <w:r>
              <w:rPr>
                <w:rFonts w:hint="eastAsia"/>
              </w:rPr>
              <w:t>活性炭吸附</w:t>
            </w:r>
            <w:r>
              <w:rPr>
                <w:rFonts w:hint="eastAsia"/>
              </w:rPr>
              <w:t>-</w:t>
            </w:r>
            <w:r>
              <w:rPr>
                <w:rFonts w:hint="eastAsia"/>
              </w:rPr>
              <w:t>脱附</w:t>
            </w:r>
            <w:r>
              <w:rPr>
                <w:rFonts w:hint="eastAsia"/>
              </w:rPr>
              <w:t>-</w:t>
            </w:r>
            <w:r>
              <w:rPr>
                <w:rFonts w:hint="eastAsia"/>
              </w:rPr>
              <w:t>催化燃烧装置</w:t>
            </w:r>
            <w:r>
              <w:rPr>
                <w:rFonts w:hint="eastAsia"/>
              </w:rPr>
              <w:t>T</w:t>
            </w:r>
            <w:r>
              <w:rPr>
                <w:rFonts w:hint="eastAsia"/>
              </w:rPr>
              <w:t>（</w:t>
            </w:r>
            <w:r>
              <w:t>依托现有</w:t>
            </w:r>
            <w:r>
              <w:rPr>
                <w:rFonts w:hint="eastAsia"/>
              </w:rPr>
              <w:t>）</w:t>
            </w:r>
          </w:p>
        </w:tc>
        <w:tc>
          <w:tcPr>
            <w:tcW w:w="584" w:type="pct"/>
            <w:vMerge/>
            <w:vAlign w:val="center"/>
          </w:tcPr>
          <w:p w:rsidR="00EE56C0" w:rsidRDefault="00EE56C0">
            <w:pPr>
              <w:pStyle w:val="afa"/>
            </w:pPr>
          </w:p>
        </w:tc>
        <w:tc>
          <w:tcPr>
            <w:tcW w:w="613" w:type="pct"/>
            <w:vMerge/>
            <w:vAlign w:val="center"/>
          </w:tcPr>
          <w:p w:rsidR="00EE56C0" w:rsidRDefault="00EE56C0">
            <w:pPr>
              <w:pStyle w:val="afa"/>
            </w:pPr>
          </w:p>
        </w:tc>
      </w:tr>
      <w:tr w:rsidR="00EE56C0" w:rsidTr="00971E69">
        <w:trPr>
          <w:trHeight w:val="558"/>
          <w:jc w:val="center"/>
        </w:trPr>
        <w:tc>
          <w:tcPr>
            <w:tcW w:w="251" w:type="pct"/>
            <w:vMerge/>
            <w:vAlign w:val="center"/>
          </w:tcPr>
          <w:p w:rsidR="00EE56C0" w:rsidRDefault="00EE56C0">
            <w:pPr>
              <w:pStyle w:val="afa"/>
            </w:pPr>
          </w:p>
        </w:tc>
        <w:tc>
          <w:tcPr>
            <w:tcW w:w="589" w:type="pct"/>
            <w:gridSpan w:val="3"/>
            <w:vMerge/>
            <w:vAlign w:val="center"/>
          </w:tcPr>
          <w:p w:rsidR="00EE56C0" w:rsidRDefault="00EE56C0">
            <w:pPr>
              <w:pStyle w:val="afa"/>
            </w:pPr>
          </w:p>
        </w:tc>
        <w:tc>
          <w:tcPr>
            <w:tcW w:w="373" w:type="pct"/>
            <w:vAlign w:val="center"/>
          </w:tcPr>
          <w:p w:rsidR="00EE56C0" w:rsidRDefault="000F36A1">
            <w:pPr>
              <w:pStyle w:val="afa"/>
            </w:pPr>
            <w:r>
              <w:rPr>
                <w:rFonts w:hint="eastAsia"/>
              </w:rPr>
              <w:t>操作间</w:t>
            </w:r>
          </w:p>
        </w:tc>
        <w:tc>
          <w:tcPr>
            <w:tcW w:w="599" w:type="pct"/>
            <w:vMerge/>
            <w:vAlign w:val="center"/>
          </w:tcPr>
          <w:p w:rsidR="00EE56C0" w:rsidRDefault="00EE56C0">
            <w:pPr>
              <w:pStyle w:val="afa"/>
            </w:pPr>
          </w:p>
        </w:tc>
        <w:tc>
          <w:tcPr>
            <w:tcW w:w="828" w:type="pct"/>
            <w:gridSpan w:val="2"/>
            <w:vAlign w:val="center"/>
          </w:tcPr>
          <w:p w:rsidR="00EE56C0" w:rsidRDefault="000F36A1">
            <w:pPr>
              <w:pStyle w:val="afa"/>
            </w:pPr>
            <w:r>
              <w:rPr>
                <w:rFonts w:hint="eastAsia"/>
              </w:rPr>
              <w:t>顶部抽吸装置</w:t>
            </w:r>
          </w:p>
        </w:tc>
        <w:tc>
          <w:tcPr>
            <w:tcW w:w="1163" w:type="pct"/>
            <w:vMerge/>
            <w:vAlign w:val="center"/>
          </w:tcPr>
          <w:p w:rsidR="00EE56C0" w:rsidRDefault="00EE56C0">
            <w:pPr>
              <w:pStyle w:val="afa"/>
            </w:pPr>
          </w:p>
        </w:tc>
        <w:tc>
          <w:tcPr>
            <w:tcW w:w="584" w:type="pct"/>
            <w:vMerge/>
            <w:vAlign w:val="center"/>
          </w:tcPr>
          <w:p w:rsidR="00EE56C0" w:rsidRDefault="00EE56C0">
            <w:pPr>
              <w:pStyle w:val="afa"/>
            </w:pPr>
          </w:p>
        </w:tc>
        <w:tc>
          <w:tcPr>
            <w:tcW w:w="613" w:type="pct"/>
            <w:vMerge/>
            <w:vAlign w:val="center"/>
          </w:tcPr>
          <w:p w:rsidR="00EE56C0" w:rsidRDefault="00EE56C0">
            <w:pPr>
              <w:pStyle w:val="afa"/>
            </w:pPr>
          </w:p>
        </w:tc>
      </w:tr>
      <w:tr w:rsidR="00971E69" w:rsidTr="00971E69">
        <w:trPr>
          <w:trHeight w:val="1362"/>
          <w:jc w:val="center"/>
        </w:trPr>
        <w:tc>
          <w:tcPr>
            <w:tcW w:w="251" w:type="pct"/>
            <w:vMerge w:val="restart"/>
            <w:tcBorders>
              <w:bottom w:val="single" w:sz="4" w:space="0" w:color="auto"/>
            </w:tcBorders>
            <w:vAlign w:val="center"/>
          </w:tcPr>
          <w:p w:rsidR="00971E69" w:rsidRDefault="00971E69">
            <w:pPr>
              <w:pStyle w:val="afa"/>
            </w:pPr>
            <w:r>
              <w:t>废水</w:t>
            </w:r>
          </w:p>
        </w:tc>
        <w:tc>
          <w:tcPr>
            <w:tcW w:w="961" w:type="pct"/>
            <w:gridSpan w:val="4"/>
            <w:tcBorders>
              <w:bottom w:val="single" w:sz="4" w:space="0" w:color="auto"/>
            </w:tcBorders>
            <w:vAlign w:val="center"/>
          </w:tcPr>
          <w:p w:rsidR="00971E69" w:rsidRDefault="00971E69">
            <w:pPr>
              <w:pStyle w:val="afa"/>
            </w:pPr>
            <w:r>
              <w:rPr>
                <w:rFonts w:hint="eastAsia"/>
              </w:rPr>
              <w:t>生活污水</w:t>
            </w:r>
          </w:p>
        </w:tc>
        <w:tc>
          <w:tcPr>
            <w:tcW w:w="599" w:type="pct"/>
            <w:tcBorders>
              <w:bottom w:val="single" w:sz="4" w:space="0" w:color="auto"/>
            </w:tcBorders>
            <w:vAlign w:val="center"/>
          </w:tcPr>
          <w:p w:rsidR="00971E69" w:rsidRDefault="00971E69" w:rsidP="00971E69">
            <w:pPr>
              <w:pStyle w:val="afa"/>
            </w:pPr>
            <w:r>
              <w:t>COD</w:t>
            </w:r>
            <w:r>
              <w:t>、</w:t>
            </w:r>
            <w:r>
              <w:t>SS</w:t>
            </w:r>
            <w:r>
              <w:rPr>
                <w:rFonts w:hint="eastAsia"/>
              </w:rPr>
              <w:t>、</w:t>
            </w:r>
            <w:r>
              <w:rPr>
                <w:rFonts w:hint="eastAsia"/>
              </w:rPr>
              <w:t>NH</w:t>
            </w:r>
            <w:r>
              <w:rPr>
                <w:rFonts w:hint="eastAsia"/>
                <w:vertAlign w:val="subscript"/>
              </w:rPr>
              <w:t>3</w:t>
            </w:r>
            <w:r>
              <w:rPr>
                <w:rFonts w:hint="eastAsia"/>
              </w:rPr>
              <w:t>-N</w:t>
            </w:r>
            <w:r>
              <w:rPr>
                <w:rFonts w:hint="eastAsia"/>
              </w:rPr>
              <w:t>、</w:t>
            </w:r>
            <w:r>
              <w:rPr>
                <w:rFonts w:hint="eastAsia"/>
              </w:rPr>
              <w:t>TN</w:t>
            </w:r>
            <w:r>
              <w:rPr>
                <w:rFonts w:hint="eastAsia"/>
              </w:rPr>
              <w:t>、</w:t>
            </w:r>
            <w:r>
              <w:rPr>
                <w:rFonts w:hint="eastAsia"/>
              </w:rPr>
              <w:t>TP</w:t>
            </w:r>
            <w:r>
              <w:rPr>
                <w:rFonts w:hint="eastAsia"/>
              </w:rPr>
              <w:t>、动植物油类</w:t>
            </w:r>
          </w:p>
        </w:tc>
        <w:tc>
          <w:tcPr>
            <w:tcW w:w="828" w:type="pct"/>
            <w:gridSpan w:val="2"/>
            <w:tcBorders>
              <w:bottom w:val="single" w:sz="4" w:space="0" w:color="auto"/>
            </w:tcBorders>
            <w:vAlign w:val="center"/>
          </w:tcPr>
          <w:p w:rsidR="00971E69" w:rsidRPr="00971E69" w:rsidRDefault="00971E69" w:rsidP="00971E69">
            <w:pPr>
              <w:pStyle w:val="afa"/>
              <w:rPr>
                <w:b/>
                <w:u w:val="single"/>
              </w:rPr>
            </w:pPr>
            <w:r w:rsidRPr="00971E69">
              <w:rPr>
                <w:rFonts w:hint="eastAsia"/>
                <w:b/>
                <w:u w:val="single"/>
              </w:rPr>
              <w:t xml:space="preserve"> </w:t>
            </w:r>
            <w:r w:rsidRPr="00971E69">
              <w:rPr>
                <w:rFonts w:hint="eastAsia"/>
                <w:b/>
                <w:u w:val="single"/>
              </w:rPr>
              <w:t>“隔油池</w:t>
            </w:r>
            <w:r w:rsidRPr="00971E69">
              <w:rPr>
                <w:rFonts w:hint="eastAsia"/>
                <w:b/>
                <w:u w:val="single"/>
              </w:rPr>
              <w:t>+</w:t>
            </w:r>
            <w:r w:rsidRPr="00971E69">
              <w:rPr>
                <w:rFonts w:hint="eastAsia"/>
                <w:b/>
                <w:u w:val="single"/>
              </w:rPr>
              <w:t>化粪池”预处理</w:t>
            </w:r>
          </w:p>
        </w:tc>
        <w:tc>
          <w:tcPr>
            <w:tcW w:w="1747" w:type="pct"/>
            <w:gridSpan w:val="2"/>
            <w:vMerge w:val="restart"/>
            <w:vAlign w:val="center"/>
          </w:tcPr>
          <w:p w:rsidR="00971E69" w:rsidRPr="00971E69" w:rsidRDefault="00971E69" w:rsidP="00971E69">
            <w:pPr>
              <w:pStyle w:val="afa"/>
              <w:rPr>
                <w:b/>
                <w:u w:val="single"/>
              </w:rPr>
            </w:pPr>
            <w:r w:rsidRPr="00971E69">
              <w:rPr>
                <w:rFonts w:hint="eastAsia"/>
                <w:b/>
                <w:u w:val="single"/>
              </w:rPr>
              <w:t>在厂区总排口混合后，</w:t>
            </w:r>
            <w:r w:rsidRPr="00971E69">
              <w:rPr>
                <w:b/>
                <w:u w:val="single"/>
              </w:rPr>
              <w:t>经污水管网</w:t>
            </w:r>
            <w:r w:rsidRPr="00971E69">
              <w:rPr>
                <w:rFonts w:hint="eastAsia"/>
                <w:b/>
                <w:u w:val="single"/>
              </w:rPr>
              <w:t>进</w:t>
            </w:r>
            <w:r w:rsidRPr="00971E69">
              <w:rPr>
                <w:b/>
                <w:u w:val="single"/>
              </w:rPr>
              <w:t>新乡县综合污水处理厂</w:t>
            </w:r>
            <w:r w:rsidRPr="00971E69">
              <w:rPr>
                <w:rFonts w:hint="eastAsia"/>
                <w:b/>
                <w:u w:val="single"/>
              </w:rPr>
              <w:t>，最终排入东孟姜女河</w:t>
            </w:r>
          </w:p>
        </w:tc>
        <w:tc>
          <w:tcPr>
            <w:tcW w:w="613" w:type="pct"/>
            <w:vMerge w:val="restart"/>
            <w:tcBorders>
              <w:bottom w:val="single" w:sz="4" w:space="0" w:color="auto"/>
            </w:tcBorders>
            <w:vAlign w:val="center"/>
          </w:tcPr>
          <w:p w:rsidR="00971E69" w:rsidRDefault="00971E69">
            <w:pPr>
              <w:pStyle w:val="afa"/>
            </w:pPr>
            <w:r>
              <w:rPr>
                <w:rFonts w:hint="eastAsia"/>
              </w:rPr>
              <w:t>15</w:t>
            </w:r>
          </w:p>
        </w:tc>
      </w:tr>
      <w:tr w:rsidR="00971E69" w:rsidTr="00971E69">
        <w:trPr>
          <w:trHeight w:val="397"/>
          <w:jc w:val="center"/>
        </w:trPr>
        <w:tc>
          <w:tcPr>
            <w:tcW w:w="251" w:type="pct"/>
            <w:vMerge/>
            <w:vAlign w:val="center"/>
          </w:tcPr>
          <w:p w:rsidR="00971E69" w:rsidRDefault="00971E69">
            <w:pPr>
              <w:pStyle w:val="afa"/>
            </w:pPr>
          </w:p>
        </w:tc>
        <w:tc>
          <w:tcPr>
            <w:tcW w:w="961" w:type="pct"/>
            <w:gridSpan w:val="4"/>
            <w:vAlign w:val="center"/>
          </w:tcPr>
          <w:p w:rsidR="00971E69" w:rsidRDefault="00971E69">
            <w:pPr>
              <w:pStyle w:val="afa"/>
            </w:pPr>
            <w:r>
              <w:rPr>
                <w:rFonts w:hint="eastAsia"/>
              </w:rPr>
              <w:t>反渗透浓水</w:t>
            </w:r>
          </w:p>
        </w:tc>
        <w:tc>
          <w:tcPr>
            <w:tcW w:w="599" w:type="pct"/>
            <w:vAlign w:val="center"/>
          </w:tcPr>
          <w:p w:rsidR="00971E69" w:rsidRDefault="00971E69">
            <w:pPr>
              <w:pStyle w:val="afa"/>
            </w:pPr>
            <w:r>
              <w:t>COD</w:t>
            </w:r>
            <w:r>
              <w:t>、</w:t>
            </w:r>
            <w:r>
              <w:t>SS</w:t>
            </w:r>
            <w:r>
              <w:rPr>
                <w:rFonts w:hint="eastAsia"/>
              </w:rPr>
              <w:t>、</w:t>
            </w:r>
            <w:r>
              <w:rPr>
                <w:rFonts w:hint="eastAsia"/>
              </w:rPr>
              <w:t>NH</w:t>
            </w:r>
            <w:r>
              <w:rPr>
                <w:rFonts w:hint="eastAsia"/>
                <w:vertAlign w:val="subscript"/>
              </w:rPr>
              <w:t>3</w:t>
            </w:r>
            <w:r>
              <w:rPr>
                <w:rFonts w:hint="eastAsia"/>
              </w:rPr>
              <w:t>-N</w:t>
            </w:r>
            <w:r>
              <w:rPr>
                <w:rFonts w:hint="eastAsia"/>
              </w:rPr>
              <w:t>、</w:t>
            </w:r>
            <w:r>
              <w:rPr>
                <w:rFonts w:hint="eastAsia"/>
              </w:rPr>
              <w:t>TN</w:t>
            </w:r>
            <w:r>
              <w:rPr>
                <w:rFonts w:hint="eastAsia"/>
              </w:rPr>
              <w:t>、</w:t>
            </w:r>
            <w:r>
              <w:rPr>
                <w:rFonts w:hint="eastAsia"/>
              </w:rPr>
              <w:t>TP</w:t>
            </w:r>
          </w:p>
        </w:tc>
        <w:tc>
          <w:tcPr>
            <w:tcW w:w="828" w:type="pct"/>
            <w:gridSpan w:val="2"/>
            <w:vAlign w:val="center"/>
          </w:tcPr>
          <w:p w:rsidR="00971E69" w:rsidRPr="00971E69" w:rsidRDefault="00971E69" w:rsidP="00971E69">
            <w:pPr>
              <w:pStyle w:val="afa"/>
              <w:rPr>
                <w:b/>
                <w:u w:val="single"/>
              </w:rPr>
            </w:pPr>
            <w:r w:rsidRPr="00971E69">
              <w:rPr>
                <w:rFonts w:hint="eastAsia"/>
                <w:b/>
                <w:u w:val="single"/>
              </w:rPr>
              <w:t>/</w:t>
            </w:r>
          </w:p>
        </w:tc>
        <w:tc>
          <w:tcPr>
            <w:tcW w:w="1747" w:type="pct"/>
            <w:gridSpan w:val="2"/>
            <w:vMerge/>
            <w:vAlign w:val="center"/>
          </w:tcPr>
          <w:p w:rsidR="00971E69" w:rsidRDefault="00971E69" w:rsidP="00971E69">
            <w:pPr>
              <w:pStyle w:val="afa"/>
            </w:pPr>
          </w:p>
        </w:tc>
        <w:tc>
          <w:tcPr>
            <w:tcW w:w="613" w:type="pct"/>
            <w:vMerge/>
            <w:vAlign w:val="center"/>
          </w:tcPr>
          <w:p w:rsidR="00971E69" w:rsidRDefault="00971E69">
            <w:pPr>
              <w:pStyle w:val="afa"/>
            </w:pPr>
          </w:p>
        </w:tc>
      </w:tr>
      <w:tr w:rsidR="00EE56C0" w:rsidTr="00971E69">
        <w:trPr>
          <w:trHeight w:val="397"/>
          <w:jc w:val="center"/>
        </w:trPr>
        <w:tc>
          <w:tcPr>
            <w:tcW w:w="251" w:type="pct"/>
            <w:vMerge w:val="restart"/>
            <w:vAlign w:val="center"/>
          </w:tcPr>
          <w:p w:rsidR="00EE56C0" w:rsidRDefault="000F36A1">
            <w:pPr>
              <w:pStyle w:val="afa"/>
            </w:pPr>
            <w:r>
              <w:t>固废</w:t>
            </w:r>
          </w:p>
        </w:tc>
        <w:tc>
          <w:tcPr>
            <w:tcW w:w="250" w:type="pct"/>
            <w:vMerge w:val="restart"/>
            <w:vAlign w:val="center"/>
          </w:tcPr>
          <w:p w:rsidR="00EE56C0" w:rsidRDefault="000F36A1">
            <w:pPr>
              <w:pStyle w:val="afa"/>
            </w:pPr>
            <w:r>
              <w:t>一般固废</w:t>
            </w:r>
          </w:p>
        </w:tc>
        <w:tc>
          <w:tcPr>
            <w:tcW w:w="712" w:type="pct"/>
            <w:gridSpan w:val="3"/>
            <w:vAlign w:val="center"/>
          </w:tcPr>
          <w:p w:rsidR="00EE56C0" w:rsidRDefault="000F36A1">
            <w:pPr>
              <w:pStyle w:val="afa"/>
            </w:pPr>
            <w:r>
              <w:t>原料使用</w:t>
            </w:r>
          </w:p>
        </w:tc>
        <w:tc>
          <w:tcPr>
            <w:tcW w:w="599" w:type="pct"/>
            <w:vAlign w:val="center"/>
          </w:tcPr>
          <w:p w:rsidR="00EE56C0" w:rsidRDefault="000F36A1">
            <w:pPr>
              <w:pStyle w:val="afa"/>
            </w:pPr>
            <w:r>
              <w:t>废包材</w:t>
            </w:r>
          </w:p>
        </w:tc>
        <w:tc>
          <w:tcPr>
            <w:tcW w:w="2575" w:type="pct"/>
            <w:gridSpan w:val="4"/>
            <w:vMerge w:val="restart"/>
            <w:vAlign w:val="center"/>
          </w:tcPr>
          <w:p w:rsidR="00EE56C0" w:rsidRDefault="000F36A1">
            <w:pPr>
              <w:pStyle w:val="afa"/>
              <w:rPr>
                <w:kern w:val="36"/>
              </w:rPr>
            </w:pPr>
            <w:r>
              <w:rPr>
                <w:kern w:val="36"/>
              </w:rPr>
              <w:t>一般固废暂存间</w:t>
            </w:r>
            <w:r>
              <w:rPr>
                <w:rFonts w:hint="eastAsia"/>
              </w:rPr>
              <w:t>（</w:t>
            </w:r>
            <w:r>
              <w:rPr>
                <w:rFonts w:hint="eastAsia"/>
              </w:rPr>
              <w:t>60m</w:t>
            </w:r>
            <w:r>
              <w:rPr>
                <w:rFonts w:hint="eastAsia"/>
                <w:vertAlign w:val="superscript"/>
              </w:rPr>
              <w:t>2</w:t>
            </w:r>
            <w:r>
              <w:rPr>
                <w:rFonts w:hint="eastAsia"/>
              </w:rPr>
              <w:t>、依托现有）</w:t>
            </w:r>
            <w:r>
              <w:rPr>
                <w:kern w:val="36"/>
              </w:rPr>
              <w:t>存放，定期集中出售</w:t>
            </w:r>
          </w:p>
        </w:tc>
        <w:tc>
          <w:tcPr>
            <w:tcW w:w="613" w:type="pct"/>
            <w:vMerge w:val="restart"/>
            <w:vAlign w:val="center"/>
          </w:tcPr>
          <w:p w:rsidR="00EE56C0" w:rsidRDefault="000F36A1">
            <w:pPr>
              <w:pStyle w:val="afa"/>
              <w:rPr>
                <w:kern w:val="36"/>
              </w:rPr>
            </w:pPr>
            <w:r>
              <w:rPr>
                <w:rFonts w:hint="eastAsia"/>
                <w:kern w:val="36"/>
              </w:rPr>
              <w:t>/</w:t>
            </w:r>
          </w:p>
        </w:tc>
      </w:tr>
      <w:tr w:rsidR="00EE56C0" w:rsidTr="00971E69">
        <w:trPr>
          <w:trHeight w:val="502"/>
          <w:jc w:val="center"/>
        </w:trPr>
        <w:tc>
          <w:tcPr>
            <w:tcW w:w="251" w:type="pct"/>
            <w:vMerge/>
            <w:vAlign w:val="center"/>
          </w:tcPr>
          <w:p w:rsidR="00EE56C0" w:rsidRDefault="00EE56C0">
            <w:pPr>
              <w:pStyle w:val="afa"/>
            </w:pPr>
          </w:p>
        </w:tc>
        <w:tc>
          <w:tcPr>
            <w:tcW w:w="250" w:type="pct"/>
            <w:vMerge/>
            <w:vAlign w:val="center"/>
          </w:tcPr>
          <w:p w:rsidR="00EE56C0" w:rsidRDefault="00EE56C0">
            <w:pPr>
              <w:pStyle w:val="afa"/>
            </w:pPr>
          </w:p>
        </w:tc>
        <w:tc>
          <w:tcPr>
            <w:tcW w:w="712" w:type="pct"/>
            <w:gridSpan w:val="3"/>
            <w:vAlign w:val="center"/>
          </w:tcPr>
          <w:p w:rsidR="00EE56C0" w:rsidRDefault="000F36A1">
            <w:pPr>
              <w:pStyle w:val="afa"/>
            </w:pPr>
            <w:r>
              <w:rPr>
                <w:rFonts w:hint="eastAsia"/>
              </w:rPr>
              <w:t>挤压</w:t>
            </w:r>
          </w:p>
        </w:tc>
        <w:tc>
          <w:tcPr>
            <w:tcW w:w="599" w:type="pct"/>
            <w:vAlign w:val="center"/>
          </w:tcPr>
          <w:p w:rsidR="00EE56C0" w:rsidRDefault="000F36A1">
            <w:pPr>
              <w:pStyle w:val="afa"/>
            </w:pPr>
            <w:r>
              <w:rPr>
                <w:rFonts w:hint="eastAsia"/>
              </w:rPr>
              <w:t>废铜线</w:t>
            </w:r>
          </w:p>
        </w:tc>
        <w:tc>
          <w:tcPr>
            <w:tcW w:w="2575" w:type="pct"/>
            <w:gridSpan w:val="4"/>
            <w:vMerge/>
            <w:vAlign w:val="center"/>
          </w:tcPr>
          <w:p w:rsidR="00EE56C0" w:rsidRDefault="00EE56C0">
            <w:pPr>
              <w:pStyle w:val="afa"/>
              <w:rPr>
                <w:kern w:val="36"/>
              </w:rPr>
            </w:pPr>
          </w:p>
        </w:tc>
        <w:tc>
          <w:tcPr>
            <w:tcW w:w="613" w:type="pct"/>
            <w:vMerge/>
            <w:vAlign w:val="center"/>
          </w:tcPr>
          <w:p w:rsidR="00EE56C0" w:rsidRDefault="00EE56C0">
            <w:pPr>
              <w:pStyle w:val="afa"/>
              <w:rPr>
                <w:kern w:val="36"/>
              </w:rPr>
            </w:pPr>
          </w:p>
        </w:tc>
      </w:tr>
      <w:tr w:rsidR="00EE56C0" w:rsidTr="00971E69">
        <w:trPr>
          <w:trHeight w:val="397"/>
          <w:jc w:val="center"/>
        </w:trPr>
        <w:tc>
          <w:tcPr>
            <w:tcW w:w="251" w:type="pct"/>
            <w:vMerge/>
            <w:vAlign w:val="center"/>
          </w:tcPr>
          <w:p w:rsidR="00EE56C0" w:rsidRDefault="00EE56C0">
            <w:pPr>
              <w:pStyle w:val="afa"/>
            </w:pPr>
          </w:p>
        </w:tc>
        <w:tc>
          <w:tcPr>
            <w:tcW w:w="250" w:type="pct"/>
            <w:vMerge/>
            <w:vAlign w:val="center"/>
          </w:tcPr>
          <w:p w:rsidR="00EE56C0" w:rsidRDefault="00EE56C0">
            <w:pPr>
              <w:pStyle w:val="afa"/>
            </w:pPr>
          </w:p>
        </w:tc>
        <w:tc>
          <w:tcPr>
            <w:tcW w:w="712" w:type="pct"/>
            <w:gridSpan w:val="3"/>
            <w:vAlign w:val="center"/>
          </w:tcPr>
          <w:p w:rsidR="00EE56C0" w:rsidRDefault="000F36A1">
            <w:pPr>
              <w:pStyle w:val="afa"/>
            </w:pPr>
            <w:r>
              <w:t>检验</w:t>
            </w:r>
          </w:p>
        </w:tc>
        <w:tc>
          <w:tcPr>
            <w:tcW w:w="599" w:type="pct"/>
            <w:vAlign w:val="center"/>
          </w:tcPr>
          <w:p w:rsidR="00EE56C0" w:rsidRDefault="000F36A1">
            <w:pPr>
              <w:pStyle w:val="afa"/>
            </w:pPr>
            <w:r>
              <w:t>残次品</w:t>
            </w:r>
          </w:p>
        </w:tc>
        <w:tc>
          <w:tcPr>
            <w:tcW w:w="2575" w:type="pct"/>
            <w:gridSpan w:val="4"/>
            <w:vMerge/>
            <w:vAlign w:val="center"/>
          </w:tcPr>
          <w:p w:rsidR="00EE56C0" w:rsidRDefault="00EE56C0">
            <w:pPr>
              <w:pStyle w:val="afa"/>
            </w:pPr>
          </w:p>
        </w:tc>
        <w:tc>
          <w:tcPr>
            <w:tcW w:w="613" w:type="pct"/>
            <w:vMerge/>
            <w:vAlign w:val="center"/>
          </w:tcPr>
          <w:p w:rsidR="00EE56C0" w:rsidRDefault="00EE56C0">
            <w:pPr>
              <w:pStyle w:val="afa"/>
            </w:pPr>
          </w:p>
        </w:tc>
      </w:tr>
      <w:tr w:rsidR="00EE56C0" w:rsidTr="00971E69">
        <w:trPr>
          <w:trHeight w:val="397"/>
          <w:jc w:val="center"/>
        </w:trPr>
        <w:tc>
          <w:tcPr>
            <w:tcW w:w="251" w:type="pct"/>
            <w:vMerge/>
            <w:vAlign w:val="center"/>
          </w:tcPr>
          <w:p w:rsidR="00EE56C0" w:rsidRDefault="00EE56C0">
            <w:pPr>
              <w:pStyle w:val="afa"/>
            </w:pPr>
          </w:p>
        </w:tc>
        <w:tc>
          <w:tcPr>
            <w:tcW w:w="250" w:type="pct"/>
            <w:vMerge w:val="restart"/>
            <w:vAlign w:val="center"/>
          </w:tcPr>
          <w:p w:rsidR="00EE56C0" w:rsidRDefault="000F36A1">
            <w:pPr>
              <w:pStyle w:val="afa"/>
            </w:pPr>
            <w:r>
              <w:t>危险废物</w:t>
            </w:r>
          </w:p>
        </w:tc>
        <w:tc>
          <w:tcPr>
            <w:tcW w:w="712" w:type="pct"/>
            <w:gridSpan w:val="3"/>
            <w:vMerge w:val="restart"/>
            <w:vAlign w:val="center"/>
          </w:tcPr>
          <w:p w:rsidR="00EE56C0" w:rsidRDefault="000F36A1">
            <w:pPr>
              <w:pStyle w:val="afa"/>
            </w:pPr>
            <w:r>
              <w:t>拉丝</w:t>
            </w:r>
          </w:p>
        </w:tc>
        <w:tc>
          <w:tcPr>
            <w:tcW w:w="599" w:type="pct"/>
            <w:vAlign w:val="center"/>
          </w:tcPr>
          <w:p w:rsidR="00EE56C0" w:rsidRDefault="000F36A1">
            <w:pPr>
              <w:pStyle w:val="afa"/>
            </w:pPr>
            <w:r>
              <w:t>含铜废油泥</w:t>
            </w:r>
          </w:p>
        </w:tc>
        <w:tc>
          <w:tcPr>
            <w:tcW w:w="2575" w:type="pct"/>
            <w:gridSpan w:val="4"/>
            <w:vMerge w:val="restart"/>
            <w:vAlign w:val="center"/>
          </w:tcPr>
          <w:p w:rsidR="00EE56C0" w:rsidRDefault="000F36A1">
            <w:pPr>
              <w:pStyle w:val="afa"/>
            </w:pPr>
            <w:r>
              <w:t>密闭容器</w:t>
            </w:r>
            <w:r>
              <w:rPr>
                <w:rFonts w:hint="eastAsia"/>
              </w:rPr>
              <w:t>/</w:t>
            </w:r>
            <w:r>
              <w:rPr>
                <w:rFonts w:hint="eastAsia"/>
              </w:rPr>
              <w:t>托盘</w:t>
            </w:r>
            <w:r>
              <w:t>收集、危废暂存间暂存后交由有资质单位处置</w:t>
            </w:r>
            <w:r>
              <w:rPr>
                <w:rFonts w:hint="eastAsia"/>
              </w:rPr>
              <w:t>（</w:t>
            </w:r>
            <w:r>
              <w:rPr>
                <w:rFonts w:hint="eastAsia"/>
              </w:rPr>
              <w:t>1#</w:t>
            </w:r>
            <w:r>
              <w:rPr>
                <w:rFonts w:hint="eastAsia"/>
              </w:rPr>
              <w:t>危废间</w:t>
            </w:r>
            <w:r>
              <w:rPr>
                <w:rFonts w:hint="eastAsia"/>
              </w:rPr>
              <w:t>27m</w:t>
            </w:r>
            <w:r>
              <w:rPr>
                <w:rFonts w:hint="eastAsia"/>
                <w:vertAlign w:val="superscript"/>
              </w:rPr>
              <w:t>2</w:t>
            </w:r>
            <w:r>
              <w:rPr>
                <w:rFonts w:hint="eastAsia"/>
              </w:rPr>
              <w:t>、</w:t>
            </w:r>
            <w:r>
              <w:rPr>
                <w:rFonts w:hint="eastAsia"/>
              </w:rPr>
              <w:t>2#</w:t>
            </w:r>
            <w:r>
              <w:rPr>
                <w:rFonts w:hint="eastAsia"/>
              </w:rPr>
              <w:t>危废间</w:t>
            </w:r>
            <w:r>
              <w:rPr>
                <w:rFonts w:hint="eastAsia"/>
              </w:rPr>
              <w:t>33m</w:t>
            </w:r>
            <w:r>
              <w:rPr>
                <w:rFonts w:hint="eastAsia"/>
                <w:vertAlign w:val="superscript"/>
              </w:rPr>
              <w:t>2</w:t>
            </w:r>
            <w:r>
              <w:rPr>
                <w:rFonts w:hint="eastAsia"/>
              </w:rPr>
              <w:t>、依托现有）；危废间废气经收集后引入废气治理措施（活性炭吸附</w:t>
            </w:r>
            <w:r>
              <w:rPr>
                <w:rFonts w:hint="eastAsia"/>
              </w:rPr>
              <w:t>-</w:t>
            </w:r>
            <w:r>
              <w:rPr>
                <w:rFonts w:hint="eastAsia"/>
              </w:rPr>
              <w:t>脱附</w:t>
            </w:r>
            <w:r>
              <w:rPr>
                <w:rFonts w:hint="eastAsia"/>
              </w:rPr>
              <w:t>-</w:t>
            </w:r>
            <w:r>
              <w:rPr>
                <w:rFonts w:hint="eastAsia"/>
              </w:rPr>
              <w:t>催化燃烧装置</w:t>
            </w:r>
            <w:r>
              <w:rPr>
                <w:rFonts w:hint="eastAsia"/>
              </w:rPr>
              <w:t>T</w:t>
            </w:r>
            <w:r>
              <w:rPr>
                <w:rFonts w:hint="eastAsia"/>
              </w:rPr>
              <w:t>）处理后排放</w:t>
            </w:r>
          </w:p>
        </w:tc>
        <w:tc>
          <w:tcPr>
            <w:tcW w:w="613" w:type="pct"/>
            <w:vMerge w:val="restart"/>
            <w:vAlign w:val="center"/>
          </w:tcPr>
          <w:p w:rsidR="00EE56C0" w:rsidRDefault="000F36A1">
            <w:pPr>
              <w:pStyle w:val="afa"/>
            </w:pPr>
            <w:r>
              <w:rPr>
                <w:rFonts w:hint="eastAsia"/>
              </w:rPr>
              <w:t>/</w:t>
            </w:r>
          </w:p>
        </w:tc>
      </w:tr>
      <w:tr w:rsidR="00EE56C0" w:rsidTr="00971E69">
        <w:trPr>
          <w:trHeight w:val="397"/>
          <w:jc w:val="center"/>
        </w:trPr>
        <w:tc>
          <w:tcPr>
            <w:tcW w:w="251" w:type="pct"/>
            <w:vMerge/>
            <w:vAlign w:val="center"/>
          </w:tcPr>
          <w:p w:rsidR="00EE56C0" w:rsidRDefault="00EE56C0">
            <w:pPr>
              <w:pStyle w:val="afa"/>
            </w:pPr>
          </w:p>
        </w:tc>
        <w:tc>
          <w:tcPr>
            <w:tcW w:w="250" w:type="pct"/>
            <w:vMerge/>
            <w:vAlign w:val="center"/>
          </w:tcPr>
          <w:p w:rsidR="00EE56C0" w:rsidRDefault="00EE56C0">
            <w:pPr>
              <w:pStyle w:val="afa"/>
            </w:pPr>
          </w:p>
        </w:tc>
        <w:tc>
          <w:tcPr>
            <w:tcW w:w="712" w:type="pct"/>
            <w:gridSpan w:val="3"/>
            <w:vMerge/>
            <w:vAlign w:val="center"/>
          </w:tcPr>
          <w:p w:rsidR="00EE56C0" w:rsidRDefault="00EE56C0">
            <w:pPr>
              <w:pStyle w:val="afa"/>
            </w:pPr>
          </w:p>
        </w:tc>
        <w:tc>
          <w:tcPr>
            <w:tcW w:w="599" w:type="pct"/>
            <w:vAlign w:val="center"/>
          </w:tcPr>
          <w:p w:rsidR="00EE56C0" w:rsidRDefault="000F36A1">
            <w:pPr>
              <w:pStyle w:val="afa"/>
            </w:pPr>
            <w:r>
              <w:rPr>
                <w:rFonts w:hint="eastAsia"/>
              </w:rPr>
              <w:t>废拉丝液</w:t>
            </w:r>
          </w:p>
        </w:tc>
        <w:tc>
          <w:tcPr>
            <w:tcW w:w="2575" w:type="pct"/>
            <w:gridSpan w:val="4"/>
            <w:vMerge/>
            <w:vAlign w:val="center"/>
          </w:tcPr>
          <w:p w:rsidR="00EE56C0" w:rsidRDefault="00EE56C0">
            <w:pPr>
              <w:pStyle w:val="afa"/>
            </w:pPr>
          </w:p>
        </w:tc>
        <w:tc>
          <w:tcPr>
            <w:tcW w:w="613" w:type="pct"/>
            <w:vMerge/>
            <w:vAlign w:val="center"/>
          </w:tcPr>
          <w:p w:rsidR="00EE56C0" w:rsidRDefault="00EE56C0">
            <w:pPr>
              <w:pStyle w:val="afa"/>
            </w:pPr>
          </w:p>
        </w:tc>
      </w:tr>
      <w:tr w:rsidR="00EE56C0" w:rsidTr="00971E69">
        <w:trPr>
          <w:trHeight w:val="397"/>
          <w:jc w:val="center"/>
        </w:trPr>
        <w:tc>
          <w:tcPr>
            <w:tcW w:w="251" w:type="pct"/>
            <w:vMerge/>
            <w:vAlign w:val="center"/>
          </w:tcPr>
          <w:p w:rsidR="00EE56C0" w:rsidRDefault="00EE56C0">
            <w:pPr>
              <w:pStyle w:val="afa"/>
            </w:pPr>
          </w:p>
        </w:tc>
        <w:tc>
          <w:tcPr>
            <w:tcW w:w="250" w:type="pct"/>
            <w:vMerge/>
            <w:vAlign w:val="center"/>
          </w:tcPr>
          <w:p w:rsidR="00EE56C0" w:rsidRDefault="00EE56C0">
            <w:pPr>
              <w:pStyle w:val="afa"/>
            </w:pPr>
          </w:p>
        </w:tc>
        <w:tc>
          <w:tcPr>
            <w:tcW w:w="712" w:type="pct"/>
            <w:gridSpan w:val="3"/>
            <w:vAlign w:val="center"/>
          </w:tcPr>
          <w:p w:rsidR="00EE56C0" w:rsidRDefault="000F36A1">
            <w:pPr>
              <w:pStyle w:val="afa"/>
            </w:pPr>
            <w:r>
              <w:rPr>
                <w:rFonts w:hint="eastAsia"/>
              </w:rPr>
              <w:t>丝包线涂料</w:t>
            </w:r>
            <w:r>
              <w:t>使用</w:t>
            </w:r>
          </w:p>
        </w:tc>
        <w:tc>
          <w:tcPr>
            <w:tcW w:w="599" w:type="pct"/>
            <w:vAlign w:val="center"/>
          </w:tcPr>
          <w:p w:rsidR="00EE56C0" w:rsidRDefault="000F36A1">
            <w:pPr>
              <w:pStyle w:val="afa"/>
            </w:pPr>
            <w:r>
              <w:rPr>
                <w:rFonts w:hint="eastAsia"/>
              </w:rPr>
              <w:t>丝包线涂料废漆桶</w:t>
            </w:r>
          </w:p>
        </w:tc>
        <w:tc>
          <w:tcPr>
            <w:tcW w:w="2575" w:type="pct"/>
            <w:gridSpan w:val="4"/>
            <w:vMerge/>
            <w:vAlign w:val="center"/>
          </w:tcPr>
          <w:p w:rsidR="00EE56C0" w:rsidRDefault="00EE56C0">
            <w:pPr>
              <w:pStyle w:val="afa"/>
            </w:pPr>
          </w:p>
        </w:tc>
        <w:tc>
          <w:tcPr>
            <w:tcW w:w="613" w:type="pct"/>
            <w:vMerge/>
            <w:vAlign w:val="center"/>
          </w:tcPr>
          <w:p w:rsidR="00EE56C0" w:rsidRDefault="00EE56C0">
            <w:pPr>
              <w:pStyle w:val="afa"/>
            </w:pPr>
          </w:p>
        </w:tc>
      </w:tr>
      <w:tr w:rsidR="00EE56C0" w:rsidTr="00971E69">
        <w:trPr>
          <w:trHeight w:val="686"/>
          <w:jc w:val="center"/>
        </w:trPr>
        <w:tc>
          <w:tcPr>
            <w:tcW w:w="251" w:type="pct"/>
            <w:vMerge/>
            <w:vAlign w:val="center"/>
          </w:tcPr>
          <w:p w:rsidR="00EE56C0" w:rsidRDefault="00EE56C0">
            <w:pPr>
              <w:pStyle w:val="afa"/>
            </w:pPr>
          </w:p>
        </w:tc>
        <w:tc>
          <w:tcPr>
            <w:tcW w:w="250" w:type="pct"/>
            <w:vMerge/>
            <w:vAlign w:val="center"/>
          </w:tcPr>
          <w:p w:rsidR="00EE56C0" w:rsidRDefault="00EE56C0">
            <w:pPr>
              <w:pStyle w:val="afa"/>
            </w:pPr>
          </w:p>
        </w:tc>
        <w:tc>
          <w:tcPr>
            <w:tcW w:w="712" w:type="pct"/>
            <w:gridSpan w:val="3"/>
            <w:vAlign w:val="center"/>
          </w:tcPr>
          <w:p w:rsidR="00EE56C0" w:rsidRDefault="000F36A1">
            <w:pPr>
              <w:pStyle w:val="afa"/>
            </w:pPr>
            <w:r>
              <w:rPr>
                <w:rFonts w:hint="eastAsia"/>
              </w:rPr>
              <w:t>生产过程</w:t>
            </w:r>
          </w:p>
        </w:tc>
        <w:tc>
          <w:tcPr>
            <w:tcW w:w="599" w:type="pct"/>
            <w:vAlign w:val="center"/>
          </w:tcPr>
          <w:p w:rsidR="00EE56C0" w:rsidRDefault="000F36A1">
            <w:pPr>
              <w:pStyle w:val="afa"/>
            </w:pPr>
            <w:r>
              <w:rPr>
                <w:rFonts w:hint="eastAsia"/>
              </w:rPr>
              <w:t>含涂料、含油的废毛毡、废布</w:t>
            </w:r>
            <w:r>
              <w:rPr>
                <w:rFonts w:hint="eastAsia"/>
              </w:rPr>
              <w:t xml:space="preserve"> </w:t>
            </w:r>
          </w:p>
        </w:tc>
        <w:tc>
          <w:tcPr>
            <w:tcW w:w="2575" w:type="pct"/>
            <w:gridSpan w:val="4"/>
            <w:vMerge/>
            <w:vAlign w:val="center"/>
          </w:tcPr>
          <w:p w:rsidR="00EE56C0" w:rsidRDefault="00EE56C0">
            <w:pPr>
              <w:pStyle w:val="afa"/>
            </w:pPr>
          </w:p>
        </w:tc>
        <w:tc>
          <w:tcPr>
            <w:tcW w:w="613" w:type="pct"/>
            <w:vMerge/>
            <w:vAlign w:val="center"/>
          </w:tcPr>
          <w:p w:rsidR="00EE56C0" w:rsidRDefault="00EE56C0">
            <w:pPr>
              <w:pStyle w:val="afa"/>
            </w:pPr>
          </w:p>
        </w:tc>
      </w:tr>
      <w:tr w:rsidR="00EE56C0" w:rsidTr="00971E69">
        <w:trPr>
          <w:trHeight w:val="397"/>
          <w:jc w:val="center"/>
        </w:trPr>
        <w:tc>
          <w:tcPr>
            <w:tcW w:w="251" w:type="pct"/>
            <w:vMerge/>
            <w:vAlign w:val="center"/>
          </w:tcPr>
          <w:p w:rsidR="00EE56C0" w:rsidRDefault="00EE56C0">
            <w:pPr>
              <w:pStyle w:val="afa"/>
            </w:pPr>
          </w:p>
        </w:tc>
        <w:tc>
          <w:tcPr>
            <w:tcW w:w="250" w:type="pct"/>
            <w:vMerge/>
            <w:vAlign w:val="center"/>
          </w:tcPr>
          <w:p w:rsidR="00EE56C0" w:rsidRDefault="00EE56C0">
            <w:pPr>
              <w:pStyle w:val="afa"/>
            </w:pPr>
          </w:p>
        </w:tc>
        <w:tc>
          <w:tcPr>
            <w:tcW w:w="712" w:type="pct"/>
            <w:gridSpan w:val="3"/>
            <w:vMerge w:val="restart"/>
            <w:vAlign w:val="center"/>
          </w:tcPr>
          <w:p w:rsidR="00EE56C0" w:rsidRDefault="000F36A1">
            <w:pPr>
              <w:pStyle w:val="afa"/>
            </w:pPr>
            <w:r>
              <w:rPr>
                <w:rFonts w:hint="eastAsia"/>
              </w:rPr>
              <w:t>废气治理</w:t>
            </w:r>
          </w:p>
        </w:tc>
        <w:tc>
          <w:tcPr>
            <w:tcW w:w="599" w:type="pct"/>
            <w:vAlign w:val="center"/>
          </w:tcPr>
          <w:p w:rsidR="00EE56C0" w:rsidRDefault="000F36A1">
            <w:pPr>
              <w:pStyle w:val="afa"/>
            </w:pPr>
            <w:r>
              <w:rPr>
                <w:rFonts w:hint="eastAsia"/>
              </w:rPr>
              <w:t>废油</w:t>
            </w:r>
          </w:p>
        </w:tc>
        <w:tc>
          <w:tcPr>
            <w:tcW w:w="2575" w:type="pct"/>
            <w:gridSpan w:val="4"/>
            <w:vMerge/>
            <w:vAlign w:val="center"/>
          </w:tcPr>
          <w:p w:rsidR="00EE56C0" w:rsidRDefault="00EE56C0">
            <w:pPr>
              <w:pStyle w:val="afa"/>
            </w:pPr>
          </w:p>
        </w:tc>
        <w:tc>
          <w:tcPr>
            <w:tcW w:w="613" w:type="pct"/>
            <w:vMerge/>
            <w:vAlign w:val="center"/>
          </w:tcPr>
          <w:p w:rsidR="00EE56C0" w:rsidRDefault="00EE56C0">
            <w:pPr>
              <w:pStyle w:val="afa"/>
            </w:pPr>
          </w:p>
        </w:tc>
      </w:tr>
      <w:tr w:rsidR="00EE56C0" w:rsidTr="00971E69">
        <w:trPr>
          <w:trHeight w:val="397"/>
          <w:jc w:val="center"/>
        </w:trPr>
        <w:tc>
          <w:tcPr>
            <w:tcW w:w="251" w:type="pct"/>
            <w:vMerge/>
            <w:vAlign w:val="center"/>
          </w:tcPr>
          <w:p w:rsidR="00EE56C0" w:rsidRDefault="00EE56C0">
            <w:pPr>
              <w:pStyle w:val="afa"/>
            </w:pPr>
          </w:p>
        </w:tc>
        <w:tc>
          <w:tcPr>
            <w:tcW w:w="250" w:type="pct"/>
            <w:vMerge/>
            <w:vAlign w:val="center"/>
          </w:tcPr>
          <w:p w:rsidR="00EE56C0" w:rsidRDefault="00EE56C0">
            <w:pPr>
              <w:pStyle w:val="afa"/>
            </w:pPr>
          </w:p>
        </w:tc>
        <w:tc>
          <w:tcPr>
            <w:tcW w:w="712" w:type="pct"/>
            <w:gridSpan w:val="3"/>
            <w:vMerge/>
            <w:vAlign w:val="center"/>
          </w:tcPr>
          <w:p w:rsidR="00EE56C0" w:rsidRDefault="00EE56C0">
            <w:pPr>
              <w:pStyle w:val="afa"/>
            </w:pPr>
          </w:p>
        </w:tc>
        <w:tc>
          <w:tcPr>
            <w:tcW w:w="599" w:type="pct"/>
            <w:vAlign w:val="center"/>
          </w:tcPr>
          <w:p w:rsidR="00EE56C0" w:rsidRDefault="000F36A1">
            <w:pPr>
              <w:pStyle w:val="afa"/>
            </w:pPr>
            <w:r>
              <w:rPr>
                <w:rFonts w:hint="eastAsia"/>
              </w:rPr>
              <w:t>废活性炭</w:t>
            </w:r>
          </w:p>
        </w:tc>
        <w:tc>
          <w:tcPr>
            <w:tcW w:w="2575" w:type="pct"/>
            <w:gridSpan w:val="4"/>
            <w:vMerge/>
            <w:vAlign w:val="center"/>
          </w:tcPr>
          <w:p w:rsidR="00EE56C0" w:rsidRDefault="00EE56C0">
            <w:pPr>
              <w:pStyle w:val="afa"/>
            </w:pPr>
          </w:p>
        </w:tc>
        <w:tc>
          <w:tcPr>
            <w:tcW w:w="613" w:type="pct"/>
            <w:vMerge/>
            <w:vAlign w:val="center"/>
          </w:tcPr>
          <w:p w:rsidR="00EE56C0" w:rsidRDefault="00EE56C0">
            <w:pPr>
              <w:pStyle w:val="afa"/>
            </w:pPr>
          </w:p>
        </w:tc>
      </w:tr>
      <w:tr w:rsidR="00EE56C0" w:rsidTr="00971E69">
        <w:trPr>
          <w:trHeight w:val="397"/>
          <w:jc w:val="center"/>
        </w:trPr>
        <w:tc>
          <w:tcPr>
            <w:tcW w:w="251" w:type="pct"/>
            <w:vMerge/>
            <w:vAlign w:val="center"/>
          </w:tcPr>
          <w:p w:rsidR="00EE56C0" w:rsidRDefault="00EE56C0">
            <w:pPr>
              <w:pStyle w:val="afa"/>
            </w:pPr>
          </w:p>
        </w:tc>
        <w:tc>
          <w:tcPr>
            <w:tcW w:w="250" w:type="pct"/>
            <w:vMerge/>
            <w:vAlign w:val="center"/>
          </w:tcPr>
          <w:p w:rsidR="00EE56C0" w:rsidRDefault="00EE56C0">
            <w:pPr>
              <w:pStyle w:val="afa"/>
            </w:pPr>
          </w:p>
        </w:tc>
        <w:tc>
          <w:tcPr>
            <w:tcW w:w="712" w:type="pct"/>
            <w:gridSpan w:val="3"/>
            <w:vMerge/>
            <w:vAlign w:val="center"/>
          </w:tcPr>
          <w:p w:rsidR="00EE56C0" w:rsidRDefault="00EE56C0">
            <w:pPr>
              <w:pStyle w:val="afa"/>
            </w:pPr>
          </w:p>
        </w:tc>
        <w:tc>
          <w:tcPr>
            <w:tcW w:w="599" w:type="pct"/>
            <w:vAlign w:val="center"/>
          </w:tcPr>
          <w:p w:rsidR="00EE56C0" w:rsidRDefault="000F36A1">
            <w:pPr>
              <w:pStyle w:val="afa"/>
            </w:pPr>
            <w:r>
              <w:t>废催化剂</w:t>
            </w:r>
          </w:p>
        </w:tc>
        <w:tc>
          <w:tcPr>
            <w:tcW w:w="2575" w:type="pct"/>
            <w:gridSpan w:val="4"/>
            <w:vMerge/>
            <w:vAlign w:val="center"/>
          </w:tcPr>
          <w:p w:rsidR="00EE56C0" w:rsidRDefault="00EE56C0">
            <w:pPr>
              <w:pStyle w:val="afa"/>
            </w:pPr>
          </w:p>
        </w:tc>
        <w:tc>
          <w:tcPr>
            <w:tcW w:w="613" w:type="pct"/>
            <w:vMerge/>
            <w:vAlign w:val="center"/>
          </w:tcPr>
          <w:p w:rsidR="00EE56C0" w:rsidRDefault="00EE56C0">
            <w:pPr>
              <w:pStyle w:val="afa"/>
            </w:pPr>
          </w:p>
        </w:tc>
      </w:tr>
      <w:tr w:rsidR="00EE56C0" w:rsidTr="00971E69">
        <w:trPr>
          <w:trHeight w:val="397"/>
          <w:jc w:val="center"/>
        </w:trPr>
        <w:tc>
          <w:tcPr>
            <w:tcW w:w="251" w:type="pct"/>
            <w:vMerge/>
            <w:vAlign w:val="center"/>
          </w:tcPr>
          <w:p w:rsidR="00EE56C0" w:rsidRDefault="00EE56C0">
            <w:pPr>
              <w:pStyle w:val="afa"/>
            </w:pPr>
          </w:p>
        </w:tc>
        <w:tc>
          <w:tcPr>
            <w:tcW w:w="250" w:type="pct"/>
            <w:vMerge/>
            <w:vAlign w:val="center"/>
          </w:tcPr>
          <w:p w:rsidR="00EE56C0" w:rsidRDefault="00EE56C0">
            <w:pPr>
              <w:pStyle w:val="afa"/>
            </w:pPr>
          </w:p>
        </w:tc>
        <w:tc>
          <w:tcPr>
            <w:tcW w:w="712" w:type="pct"/>
            <w:gridSpan w:val="3"/>
            <w:vMerge/>
            <w:vAlign w:val="center"/>
          </w:tcPr>
          <w:p w:rsidR="00EE56C0" w:rsidRDefault="00EE56C0">
            <w:pPr>
              <w:pStyle w:val="afa"/>
            </w:pPr>
          </w:p>
        </w:tc>
        <w:tc>
          <w:tcPr>
            <w:tcW w:w="599" w:type="pct"/>
            <w:vAlign w:val="center"/>
          </w:tcPr>
          <w:p w:rsidR="00EE56C0" w:rsidRDefault="000F36A1">
            <w:pPr>
              <w:pStyle w:val="afa"/>
            </w:pPr>
            <w:r>
              <w:rPr>
                <w:rFonts w:hint="eastAsia"/>
              </w:rPr>
              <w:t>废沸石分子筛</w:t>
            </w:r>
          </w:p>
        </w:tc>
        <w:tc>
          <w:tcPr>
            <w:tcW w:w="2575" w:type="pct"/>
            <w:gridSpan w:val="4"/>
            <w:vMerge/>
            <w:vAlign w:val="center"/>
          </w:tcPr>
          <w:p w:rsidR="00EE56C0" w:rsidRDefault="00EE56C0">
            <w:pPr>
              <w:pStyle w:val="afa"/>
            </w:pPr>
          </w:p>
        </w:tc>
        <w:tc>
          <w:tcPr>
            <w:tcW w:w="613" w:type="pct"/>
            <w:vMerge/>
            <w:vAlign w:val="center"/>
          </w:tcPr>
          <w:p w:rsidR="00EE56C0" w:rsidRDefault="00EE56C0">
            <w:pPr>
              <w:pStyle w:val="afa"/>
            </w:pPr>
          </w:p>
        </w:tc>
      </w:tr>
      <w:tr w:rsidR="00EE56C0" w:rsidTr="00971E69">
        <w:trPr>
          <w:trHeight w:val="397"/>
          <w:jc w:val="center"/>
        </w:trPr>
        <w:tc>
          <w:tcPr>
            <w:tcW w:w="251" w:type="pct"/>
            <w:vAlign w:val="center"/>
          </w:tcPr>
          <w:p w:rsidR="00EE56C0" w:rsidRDefault="000F36A1">
            <w:pPr>
              <w:pStyle w:val="afa"/>
            </w:pPr>
            <w:r>
              <w:t>噪声</w:t>
            </w:r>
          </w:p>
        </w:tc>
        <w:tc>
          <w:tcPr>
            <w:tcW w:w="961" w:type="pct"/>
            <w:gridSpan w:val="4"/>
            <w:vAlign w:val="center"/>
          </w:tcPr>
          <w:p w:rsidR="00EE56C0" w:rsidRDefault="000F36A1">
            <w:pPr>
              <w:pStyle w:val="afa"/>
            </w:pPr>
            <w:r>
              <w:rPr>
                <w:rFonts w:hint="eastAsia"/>
              </w:rPr>
              <w:t>漆包机、全自动拉丝机</w:t>
            </w:r>
            <w:r>
              <w:t>、</w:t>
            </w:r>
            <w:r>
              <w:rPr>
                <w:rFonts w:hint="eastAsia"/>
              </w:rPr>
              <w:t>拉拔机、挤压机、纸包机、膜包机、丝包机、全自动小拉机</w:t>
            </w:r>
            <w:r>
              <w:t>等</w:t>
            </w:r>
          </w:p>
        </w:tc>
        <w:tc>
          <w:tcPr>
            <w:tcW w:w="599" w:type="pct"/>
            <w:vAlign w:val="center"/>
          </w:tcPr>
          <w:p w:rsidR="00EE56C0" w:rsidRDefault="000F36A1">
            <w:pPr>
              <w:pStyle w:val="afa"/>
            </w:pPr>
            <w:r>
              <w:t>设备噪声</w:t>
            </w:r>
          </w:p>
        </w:tc>
        <w:tc>
          <w:tcPr>
            <w:tcW w:w="2575" w:type="pct"/>
            <w:gridSpan w:val="4"/>
            <w:vAlign w:val="center"/>
          </w:tcPr>
          <w:p w:rsidR="00EE56C0" w:rsidRDefault="000F36A1">
            <w:pPr>
              <w:pStyle w:val="afa"/>
            </w:pPr>
            <w:r>
              <w:t>减振、密闭隔音等</w:t>
            </w:r>
          </w:p>
        </w:tc>
        <w:tc>
          <w:tcPr>
            <w:tcW w:w="613" w:type="pct"/>
            <w:vAlign w:val="center"/>
          </w:tcPr>
          <w:p w:rsidR="00EE56C0" w:rsidRDefault="000F36A1">
            <w:pPr>
              <w:pStyle w:val="afa"/>
            </w:pPr>
            <w:r>
              <w:rPr>
                <w:rFonts w:hint="eastAsia"/>
              </w:rPr>
              <w:t>5</w:t>
            </w:r>
          </w:p>
        </w:tc>
      </w:tr>
      <w:tr w:rsidR="00EE56C0" w:rsidTr="00971E69">
        <w:trPr>
          <w:trHeight w:val="397"/>
          <w:jc w:val="center"/>
        </w:trPr>
        <w:tc>
          <w:tcPr>
            <w:tcW w:w="251" w:type="pct"/>
            <w:vAlign w:val="center"/>
          </w:tcPr>
          <w:p w:rsidR="00EE56C0" w:rsidRDefault="000F36A1">
            <w:pPr>
              <w:pStyle w:val="afa"/>
            </w:pPr>
            <w:r>
              <w:rPr>
                <w:rFonts w:hint="eastAsia"/>
              </w:rPr>
              <w:t>风险</w:t>
            </w:r>
          </w:p>
        </w:tc>
        <w:tc>
          <w:tcPr>
            <w:tcW w:w="4136" w:type="pct"/>
            <w:gridSpan w:val="9"/>
            <w:vAlign w:val="center"/>
          </w:tcPr>
          <w:p w:rsidR="00EE56C0" w:rsidRDefault="000F36A1">
            <w:pPr>
              <w:pStyle w:val="afa"/>
              <w:ind w:firstLine="480"/>
            </w:pPr>
            <w:r>
              <w:rPr>
                <w:rFonts w:hint="eastAsia"/>
              </w:rPr>
              <w:t>事故废水收集管网；</w:t>
            </w:r>
            <w:r>
              <w:t>采取地面硬化等防渗措施</w:t>
            </w:r>
            <w:r>
              <w:rPr>
                <w:rFonts w:hint="eastAsia"/>
              </w:rPr>
              <w:t>；新增应急器材、消防器材等；依托现有事故水池</w:t>
            </w:r>
          </w:p>
        </w:tc>
        <w:tc>
          <w:tcPr>
            <w:tcW w:w="613" w:type="pct"/>
            <w:vAlign w:val="center"/>
          </w:tcPr>
          <w:p w:rsidR="00EE56C0" w:rsidRDefault="000F36A1">
            <w:pPr>
              <w:pStyle w:val="afa"/>
            </w:pPr>
            <w:r>
              <w:rPr>
                <w:rFonts w:hint="eastAsia"/>
              </w:rPr>
              <w:t>5</w:t>
            </w:r>
          </w:p>
        </w:tc>
      </w:tr>
      <w:tr w:rsidR="00EE56C0" w:rsidTr="00971E69">
        <w:trPr>
          <w:trHeight w:val="397"/>
          <w:jc w:val="center"/>
        </w:trPr>
        <w:tc>
          <w:tcPr>
            <w:tcW w:w="251" w:type="pct"/>
            <w:vAlign w:val="center"/>
          </w:tcPr>
          <w:p w:rsidR="00EE56C0" w:rsidRDefault="000F36A1">
            <w:pPr>
              <w:pStyle w:val="afa"/>
            </w:pPr>
            <w:r>
              <w:rPr>
                <w:rFonts w:hint="eastAsia"/>
              </w:rPr>
              <w:t>管理</w:t>
            </w:r>
          </w:p>
        </w:tc>
        <w:tc>
          <w:tcPr>
            <w:tcW w:w="4136" w:type="pct"/>
            <w:gridSpan w:val="9"/>
            <w:vAlign w:val="center"/>
          </w:tcPr>
          <w:p w:rsidR="00EE56C0" w:rsidRDefault="000F36A1">
            <w:pPr>
              <w:pStyle w:val="afa"/>
              <w:ind w:firstLine="480"/>
            </w:pPr>
            <w:r>
              <w:rPr>
                <w:rFonts w:hint="eastAsia"/>
              </w:rPr>
              <w:t>废气排气筒排放口、监测取样处</w:t>
            </w:r>
            <w:r>
              <w:t>安装视频监控</w:t>
            </w:r>
            <w:r>
              <w:rPr>
                <w:rFonts w:hint="eastAsia"/>
              </w:rPr>
              <w:t>（已安装）；总用电处、生产设施、废气及废水处理设施处安装用电监控设施，并与环保部门联网</w:t>
            </w:r>
          </w:p>
        </w:tc>
        <w:tc>
          <w:tcPr>
            <w:tcW w:w="613" w:type="pct"/>
            <w:vAlign w:val="center"/>
          </w:tcPr>
          <w:p w:rsidR="00EE56C0" w:rsidRDefault="000F36A1">
            <w:pPr>
              <w:pStyle w:val="afa"/>
            </w:pPr>
            <w:r>
              <w:rPr>
                <w:rFonts w:hint="eastAsia"/>
              </w:rPr>
              <w:t>5</w:t>
            </w:r>
          </w:p>
        </w:tc>
      </w:tr>
      <w:tr w:rsidR="00EE56C0" w:rsidTr="00971E69">
        <w:trPr>
          <w:trHeight w:val="397"/>
          <w:jc w:val="center"/>
        </w:trPr>
        <w:tc>
          <w:tcPr>
            <w:tcW w:w="4387" w:type="pct"/>
            <w:gridSpan w:val="10"/>
            <w:vAlign w:val="center"/>
          </w:tcPr>
          <w:p w:rsidR="00EE56C0" w:rsidRDefault="000F36A1">
            <w:pPr>
              <w:pStyle w:val="afa"/>
              <w:ind w:firstLine="480"/>
            </w:pPr>
            <w:r>
              <w:rPr>
                <w:rFonts w:hint="eastAsia"/>
              </w:rPr>
              <w:t>合计</w:t>
            </w:r>
          </w:p>
        </w:tc>
        <w:tc>
          <w:tcPr>
            <w:tcW w:w="613" w:type="pct"/>
            <w:vAlign w:val="center"/>
          </w:tcPr>
          <w:p w:rsidR="00EE56C0" w:rsidRDefault="000F36A1">
            <w:pPr>
              <w:pStyle w:val="afa"/>
            </w:pPr>
            <w:r>
              <w:rPr>
                <w:rFonts w:hint="eastAsia"/>
              </w:rPr>
              <w:t>63</w:t>
            </w:r>
          </w:p>
        </w:tc>
      </w:tr>
    </w:tbl>
    <w:p w:rsidR="00EE56C0" w:rsidRDefault="000F36A1">
      <w:pPr>
        <w:pStyle w:val="afd"/>
        <w:spacing w:before="120" w:after="120"/>
        <w:ind w:firstLine="482"/>
      </w:pPr>
      <w:r>
        <w:rPr>
          <w:rFonts w:hint="eastAsia"/>
        </w:rPr>
        <w:t>表</w:t>
      </w:r>
      <w:r>
        <w:rPr>
          <w:rFonts w:hint="eastAsia"/>
        </w:rPr>
        <w:t>6-</w:t>
      </w:r>
      <w:r w:rsidR="005767FB">
        <w:rPr>
          <w:rFonts w:hint="eastAsia"/>
        </w:rPr>
        <w:t>11</w:t>
      </w:r>
      <w:r>
        <w:rPr>
          <w:rFonts w:hint="eastAsia"/>
        </w:rPr>
        <w:t xml:space="preserve">         </w:t>
      </w:r>
      <w:r>
        <w:rPr>
          <w:rFonts w:hint="eastAsia"/>
        </w:rPr>
        <w:t>二期污染防治措施及投资概算</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9"/>
        <w:gridCol w:w="426"/>
        <w:gridCol w:w="191"/>
        <w:gridCol w:w="426"/>
        <w:gridCol w:w="636"/>
        <w:gridCol w:w="1022"/>
        <w:gridCol w:w="520"/>
        <w:gridCol w:w="1278"/>
        <w:gridCol w:w="1663"/>
        <w:gridCol w:w="747"/>
        <w:gridCol w:w="1191"/>
      </w:tblGrid>
      <w:tr w:rsidR="00EE56C0">
        <w:trPr>
          <w:trHeight w:val="1242"/>
          <w:jc w:val="center"/>
        </w:trPr>
        <w:tc>
          <w:tcPr>
            <w:tcW w:w="251" w:type="pct"/>
            <w:vAlign w:val="center"/>
          </w:tcPr>
          <w:p w:rsidR="00EE56C0" w:rsidRDefault="000F36A1">
            <w:pPr>
              <w:pStyle w:val="aff1"/>
              <w:rPr>
                <w:color w:val="auto"/>
              </w:rPr>
            </w:pPr>
            <w:r>
              <w:rPr>
                <w:color w:val="auto"/>
              </w:rPr>
              <w:t>污染</w:t>
            </w:r>
          </w:p>
          <w:p w:rsidR="00EE56C0" w:rsidRDefault="000F36A1">
            <w:pPr>
              <w:pStyle w:val="aff1"/>
              <w:rPr>
                <w:color w:val="auto"/>
              </w:rPr>
            </w:pPr>
            <w:r>
              <w:rPr>
                <w:color w:val="auto"/>
              </w:rPr>
              <w:t>因素</w:t>
            </w:r>
          </w:p>
        </w:tc>
        <w:tc>
          <w:tcPr>
            <w:tcW w:w="984" w:type="pct"/>
            <w:gridSpan w:val="4"/>
            <w:vAlign w:val="center"/>
          </w:tcPr>
          <w:p w:rsidR="00EE56C0" w:rsidRDefault="000F36A1">
            <w:pPr>
              <w:pStyle w:val="aff1"/>
              <w:rPr>
                <w:color w:val="auto"/>
              </w:rPr>
            </w:pPr>
            <w:r>
              <w:rPr>
                <w:color w:val="auto"/>
              </w:rPr>
              <w:t>产污环节</w:t>
            </w:r>
          </w:p>
        </w:tc>
        <w:tc>
          <w:tcPr>
            <w:tcW w:w="599" w:type="pct"/>
            <w:vAlign w:val="center"/>
          </w:tcPr>
          <w:p w:rsidR="00EE56C0" w:rsidRDefault="000F36A1">
            <w:pPr>
              <w:pStyle w:val="aff1"/>
              <w:rPr>
                <w:color w:val="auto"/>
              </w:rPr>
            </w:pPr>
            <w:r>
              <w:rPr>
                <w:color w:val="auto"/>
              </w:rPr>
              <w:t>污染物</w:t>
            </w:r>
          </w:p>
        </w:tc>
        <w:tc>
          <w:tcPr>
            <w:tcW w:w="1054" w:type="pct"/>
            <w:gridSpan w:val="2"/>
            <w:vAlign w:val="center"/>
          </w:tcPr>
          <w:p w:rsidR="00EE56C0" w:rsidRDefault="000F36A1">
            <w:pPr>
              <w:pStyle w:val="aff1"/>
              <w:rPr>
                <w:color w:val="auto"/>
              </w:rPr>
            </w:pPr>
            <w:r>
              <w:rPr>
                <w:rFonts w:hint="eastAsia"/>
                <w:color w:val="auto"/>
              </w:rPr>
              <w:t>收集及预处理</w:t>
            </w:r>
          </w:p>
        </w:tc>
        <w:tc>
          <w:tcPr>
            <w:tcW w:w="1413" w:type="pct"/>
            <w:gridSpan w:val="2"/>
            <w:vAlign w:val="center"/>
          </w:tcPr>
          <w:p w:rsidR="00EE56C0" w:rsidRDefault="000F36A1">
            <w:pPr>
              <w:pStyle w:val="aff1"/>
              <w:rPr>
                <w:color w:val="auto"/>
              </w:rPr>
            </w:pPr>
            <w:r>
              <w:rPr>
                <w:color w:val="auto"/>
              </w:rPr>
              <w:t>防治措施</w:t>
            </w:r>
          </w:p>
        </w:tc>
        <w:tc>
          <w:tcPr>
            <w:tcW w:w="698" w:type="pct"/>
            <w:vAlign w:val="center"/>
          </w:tcPr>
          <w:p w:rsidR="00EE56C0" w:rsidRDefault="000F36A1">
            <w:pPr>
              <w:pStyle w:val="aff1"/>
              <w:rPr>
                <w:color w:val="auto"/>
              </w:rPr>
            </w:pPr>
            <w:r>
              <w:rPr>
                <w:rFonts w:hint="eastAsia"/>
                <w:color w:val="auto"/>
              </w:rPr>
              <w:t>投资</w:t>
            </w:r>
            <w:r>
              <w:rPr>
                <w:rFonts w:hint="eastAsia"/>
                <w:color w:val="auto"/>
              </w:rPr>
              <w:t>/</w:t>
            </w:r>
            <w:r>
              <w:rPr>
                <w:rFonts w:hint="eastAsia"/>
                <w:color w:val="auto"/>
              </w:rPr>
              <w:t>万元</w:t>
            </w:r>
          </w:p>
        </w:tc>
      </w:tr>
      <w:tr w:rsidR="00EE56C0">
        <w:trPr>
          <w:trHeight w:val="434"/>
          <w:jc w:val="center"/>
        </w:trPr>
        <w:tc>
          <w:tcPr>
            <w:tcW w:w="251" w:type="pct"/>
            <w:vMerge w:val="restart"/>
            <w:vAlign w:val="center"/>
          </w:tcPr>
          <w:p w:rsidR="00EE56C0" w:rsidRDefault="000F36A1">
            <w:pPr>
              <w:pStyle w:val="afa"/>
            </w:pPr>
            <w:r>
              <w:t>废气</w:t>
            </w:r>
          </w:p>
        </w:tc>
        <w:tc>
          <w:tcPr>
            <w:tcW w:w="984" w:type="pct"/>
            <w:gridSpan w:val="4"/>
            <w:vAlign w:val="center"/>
          </w:tcPr>
          <w:p w:rsidR="00EE56C0" w:rsidRDefault="000F36A1">
            <w:pPr>
              <w:pStyle w:val="afa"/>
            </w:pPr>
            <w:r>
              <w:rPr>
                <w:rFonts w:hint="eastAsia"/>
              </w:rPr>
              <w:t>油水分离器：</w:t>
            </w:r>
          </w:p>
          <w:p w:rsidR="00EE56C0" w:rsidRDefault="000F36A1">
            <w:pPr>
              <w:pStyle w:val="afa"/>
            </w:pPr>
            <w:r>
              <w:rPr>
                <w:rFonts w:hint="eastAsia"/>
              </w:rPr>
              <w:t>不凝气</w:t>
            </w:r>
          </w:p>
        </w:tc>
        <w:tc>
          <w:tcPr>
            <w:tcW w:w="599" w:type="pct"/>
            <w:vAlign w:val="center"/>
          </w:tcPr>
          <w:p w:rsidR="00EE56C0" w:rsidRDefault="000F36A1">
            <w:pPr>
              <w:pStyle w:val="afa"/>
            </w:pPr>
            <w:r>
              <w:rPr>
                <w:rFonts w:hint="eastAsia"/>
              </w:rPr>
              <w:t>非甲烷总烃</w:t>
            </w:r>
          </w:p>
        </w:tc>
        <w:tc>
          <w:tcPr>
            <w:tcW w:w="1054" w:type="pct"/>
            <w:gridSpan w:val="2"/>
            <w:vAlign w:val="center"/>
          </w:tcPr>
          <w:p w:rsidR="00EE56C0" w:rsidRDefault="000F36A1">
            <w:pPr>
              <w:pStyle w:val="afa"/>
            </w:pPr>
            <w:r>
              <w:rPr>
                <w:rFonts w:hint="eastAsia"/>
              </w:rPr>
              <w:t>集气管道</w:t>
            </w:r>
          </w:p>
        </w:tc>
        <w:tc>
          <w:tcPr>
            <w:tcW w:w="1413" w:type="pct"/>
            <w:gridSpan w:val="2"/>
            <w:vAlign w:val="center"/>
          </w:tcPr>
          <w:p w:rsidR="00EE56C0" w:rsidRDefault="000F36A1">
            <w:pPr>
              <w:pStyle w:val="afa"/>
            </w:pPr>
            <w:r>
              <w:rPr>
                <w:rFonts w:hint="eastAsia"/>
              </w:rPr>
              <w:t>纳入一期治理</w:t>
            </w:r>
          </w:p>
        </w:tc>
        <w:tc>
          <w:tcPr>
            <w:tcW w:w="698" w:type="pct"/>
            <w:vAlign w:val="center"/>
          </w:tcPr>
          <w:p w:rsidR="00EE56C0" w:rsidRDefault="000F36A1">
            <w:pPr>
              <w:pStyle w:val="afa"/>
            </w:pPr>
            <w:r>
              <w:rPr>
                <w:rFonts w:hint="eastAsia"/>
              </w:rPr>
              <w:t>/</w:t>
            </w:r>
          </w:p>
        </w:tc>
      </w:tr>
      <w:tr w:rsidR="00EE56C0">
        <w:trPr>
          <w:trHeight w:val="802"/>
          <w:jc w:val="center"/>
        </w:trPr>
        <w:tc>
          <w:tcPr>
            <w:tcW w:w="251" w:type="pct"/>
            <w:vMerge/>
            <w:vAlign w:val="center"/>
          </w:tcPr>
          <w:p w:rsidR="00EE56C0" w:rsidRDefault="00EE56C0">
            <w:pPr>
              <w:pStyle w:val="afa"/>
            </w:pPr>
          </w:p>
        </w:tc>
        <w:tc>
          <w:tcPr>
            <w:tcW w:w="362" w:type="pct"/>
            <w:gridSpan w:val="2"/>
            <w:vMerge w:val="restart"/>
            <w:vAlign w:val="center"/>
          </w:tcPr>
          <w:p w:rsidR="00EE56C0" w:rsidRDefault="000F36A1">
            <w:pPr>
              <w:pStyle w:val="afa"/>
            </w:pPr>
            <w:r>
              <w:rPr>
                <w:rFonts w:hint="eastAsia"/>
              </w:rPr>
              <w:t>漆包线</w:t>
            </w:r>
          </w:p>
        </w:tc>
        <w:tc>
          <w:tcPr>
            <w:tcW w:w="250" w:type="pct"/>
            <w:vMerge w:val="restart"/>
            <w:vAlign w:val="center"/>
          </w:tcPr>
          <w:p w:rsidR="00EE56C0" w:rsidRDefault="000F36A1">
            <w:pPr>
              <w:pStyle w:val="afa"/>
            </w:pPr>
            <w:r>
              <w:rPr>
                <w:rFonts w:hint="eastAsia"/>
              </w:rPr>
              <w:t>卧机</w:t>
            </w:r>
          </w:p>
        </w:tc>
        <w:tc>
          <w:tcPr>
            <w:tcW w:w="373" w:type="pct"/>
            <w:vAlign w:val="center"/>
          </w:tcPr>
          <w:p w:rsidR="00EE56C0" w:rsidRDefault="000F36A1">
            <w:pPr>
              <w:pStyle w:val="afa"/>
            </w:pPr>
            <w:r>
              <w:rPr>
                <w:rFonts w:hint="eastAsia"/>
              </w:rPr>
              <w:t>涂漆</w:t>
            </w:r>
          </w:p>
        </w:tc>
        <w:tc>
          <w:tcPr>
            <w:tcW w:w="599" w:type="pct"/>
            <w:vMerge w:val="restart"/>
            <w:vAlign w:val="center"/>
          </w:tcPr>
          <w:p w:rsidR="00EE56C0" w:rsidRDefault="000F36A1">
            <w:pPr>
              <w:pStyle w:val="afa"/>
            </w:pPr>
            <w:r>
              <w:rPr>
                <w:rFonts w:hint="eastAsia"/>
              </w:rPr>
              <w:t>酚、非甲烷总烃、二甲苯</w:t>
            </w:r>
          </w:p>
        </w:tc>
        <w:tc>
          <w:tcPr>
            <w:tcW w:w="305" w:type="pct"/>
            <w:vAlign w:val="center"/>
          </w:tcPr>
          <w:p w:rsidR="00EE56C0" w:rsidRDefault="000F36A1">
            <w:pPr>
              <w:pStyle w:val="afa"/>
            </w:pPr>
            <w:r>
              <w:rPr>
                <w:rFonts w:hint="eastAsia"/>
              </w:rPr>
              <w:t>集气罩</w:t>
            </w:r>
          </w:p>
        </w:tc>
        <w:tc>
          <w:tcPr>
            <w:tcW w:w="749" w:type="pct"/>
            <w:vMerge w:val="restart"/>
            <w:vAlign w:val="center"/>
          </w:tcPr>
          <w:p w:rsidR="00EE56C0" w:rsidRDefault="000F36A1">
            <w:pPr>
              <w:pStyle w:val="afa"/>
            </w:pPr>
            <w:r>
              <w:rPr>
                <w:rFonts w:hint="eastAsia"/>
              </w:rPr>
              <w:t>炉内</w:t>
            </w:r>
            <w:r>
              <w:rPr>
                <w:rFonts w:hint="eastAsia"/>
              </w:rPr>
              <w:t>2</w:t>
            </w:r>
            <w:r>
              <w:rPr>
                <w:rFonts w:hint="eastAsia"/>
              </w:rPr>
              <w:t>次催化燃烧</w:t>
            </w:r>
          </w:p>
        </w:tc>
        <w:tc>
          <w:tcPr>
            <w:tcW w:w="975" w:type="pct"/>
            <w:vMerge w:val="restart"/>
            <w:vAlign w:val="center"/>
          </w:tcPr>
          <w:p w:rsidR="00EE56C0" w:rsidRDefault="000F36A1">
            <w:pPr>
              <w:pStyle w:val="afa"/>
            </w:pPr>
            <w:r>
              <w:rPr>
                <w:rFonts w:hint="eastAsia"/>
              </w:rPr>
              <w:t>4</w:t>
            </w:r>
            <w:r>
              <w:rPr>
                <w:rFonts w:hint="eastAsia"/>
              </w:rPr>
              <w:t>台拉包机：沸石吸附</w:t>
            </w:r>
            <w:r>
              <w:rPr>
                <w:rFonts w:hint="eastAsia"/>
              </w:rPr>
              <w:t>-</w:t>
            </w:r>
            <w:r>
              <w:rPr>
                <w:rFonts w:hint="eastAsia"/>
              </w:rPr>
              <w:t>脱附</w:t>
            </w:r>
            <w:r>
              <w:rPr>
                <w:rFonts w:hint="eastAsia"/>
              </w:rPr>
              <w:t>-</w:t>
            </w:r>
            <w:r>
              <w:rPr>
                <w:rFonts w:hint="eastAsia"/>
              </w:rPr>
              <w:t>催化燃烧</w:t>
            </w:r>
            <w:r>
              <w:rPr>
                <w:rFonts w:hint="eastAsia"/>
              </w:rPr>
              <w:t>F</w:t>
            </w:r>
            <w:r>
              <w:rPr>
                <w:rFonts w:hint="eastAsia"/>
              </w:rPr>
              <w:t>（</w:t>
            </w:r>
            <w:r>
              <w:t>依托现有</w:t>
            </w:r>
            <w:r>
              <w:rPr>
                <w:rFonts w:hint="eastAsia"/>
              </w:rPr>
              <w:t>）</w:t>
            </w:r>
          </w:p>
        </w:tc>
        <w:tc>
          <w:tcPr>
            <w:tcW w:w="438" w:type="pct"/>
            <w:vMerge w:val="restart"/>
            <w:vAlign w:val="center"/>
          </w:tcPr>
          <w:p w:rsidR="00EE56C0" w:rsidRDefault="000F36A1" w:rsidP="008660AC">
            <w:pPr>
              <w:pStyle w:val="afa"/>
            </w:pPr>
            <w:r>
              <w:rPr>
                <w:rFonts w:hint="eastAsia"/>
              </w:rPr>
              <w:t>26.</w:t>
            </w:r>
            <w:r>
              <w:t>5m</w:t>
            </w:r>
            <w:r>
              <w:t>排气筒</w:t>
            </w:r>
            <w:r>
              <w:rPr>
                <w:rFonts w:hint="eastAsia"/>
              </w:rPr>
              <w:t>P</w:t>
            </w:r>
            <w:r>
              <w:rPr>
                <w:rFonts w:hint="eastAsia"/>
              </w:rPr>
              <w:t>（</w:t>
            </w:r>
            <w:r>
              <w:t>依托现有</w:t>
            </w:r>
            <w:r>
              <w:rPr>
                <w:rFonts w:hint="eastAsia"/>
              </w:rPr>
              <w:t>）</w:t>
            </w:r>
          </w:p>
        </w:tc>
        <w:tc>
          <w:tcPr>
            <w:tcW w:w="698" w:type="pct"/>
            <w:vMerge w:val="restart"/>
            <w:vAlign w:val="center"/>
          </w:tcPr>
          <w:p w:rsidR="00EE56C0" w:rsidRDefault="000F36A1">
            <w:pPr>
              <w:pStyle w:val="afa"/>
            </w:pPr>
            <w:r>
              <w:rPr>
                <w:rFonts w:hint="eastAsia"/>
              </w:rPr>
              <w:t>40</w:t>
            </w:r>
          </w:p>
        </w:tc>
      </w:tr>
      <w:tr w:rsidR="00EE56C0">
        <w:trPr>
          <w:trHeight w:val="815"/>
          <w:jc w:val="center"/>
        </w:trPr>
        <w:tc>
          <w:tcPr>
            <w:tcW w:w="251" w:type="pct"/>
            <w:vMerge/>
            <w:vAlign w:val="center"/>
          </w:tcPr>
          <w:p w:rsidR="00EE56C0" w:rsidRDefault="00EE56C0">
            <w:pPr>
              <w:pStyle w:val="afa"/>
            </w:pPr>
          </w:p>
        </w:tc>
        <w:tc>
          <w:tcPr>
            <w:tcW w:w="362" w:type="pct"/>
            <w:gridSpan w:val="2"/>
            <w:vMerge/>
            <w:vAlign w:val="center"/>
          </w:tcPr>
          <w:p w:rsidR="00EE56C0" w:rsidRDefault="00EE56C0">
            <w:pPr>
              <w:pStyle w:val="afa"/>
            </w:pPr>
          </w:p>
        </w:tc>
        <w:tc>
          <w:tcPr>
            <w:tcW w:w="250" w:type="pct"/>
            <w:vMerge/>
            <w:vAlign w:val="center"/>
          </w:tcPr>
          <w:p w:rsidR="00EE56C0" w:rsidRDefault="00EE56C0">
            <w:pPr>
              <w:pStyle w:val="afa"/>
            </w:pPr>
          </w:p>
        </w:tc>
        <w:tc>
          <w:tcPr>
            <w:tcW w:w="373" w:type="pct"/>
            <w:vAlign w:val="center"/>
          </w:tcPr>
          <w:p w:rsidR="00EE56C0" w:rsidRDefault="000F36A1">
            <w:pPr>
              <w:pStyle w:val="afa"/>
            </w:pPr>
            <w:r>
              <w:rPr>
                <w:rFonts w:hint="eastAsia"/>
              </w:rPr>
              <w:t>烘干</w:t>
            </w:r>
          </w:p>
        </w:tc>
        <w:tc>
          <w:tcPr>
            <w:tcW w:w="599" w:type="pct"/>
            <w:vMerge/>
            <w:vAlign w:val="center"/>
          </w:tcPr>
          <w:p w:rsidR="00EE56C0" w:rsidRDefault="00EE56C0">
            <w:pPr>
              <w:pStyle w:val="afa"/>
            </w:pPr>
          </w:p>
        </w:tc>
        <w:tc>
          <w:tcPr>
            <w:tcW w:w="305" w:type="pct"/>
            <w:vAlign w:val="center"/>
          </w:tcPr>
          <w:p w:rsidR="00EE56C0" w:rsidRDefault="000F36A1">
            <w:pPr>
              <w:pStyle w:val="afa"/>
            </w:pPr>
            <w:r>
              <w:rPr>
                <w:rFonts w:hint="eastAsia"/>
              </w:rPr>
              <w:t>集气管道</w:t>
            </w:r>
          </w:p>
        </w:tc>
        <w:tc>
          <w:tcPr>
            <w:tcW w:w="749" w:type="pct"/>
            <w:vMerge/>
            <w:vAlign w:val="center"/>
          </w:tcPr>
          <w:p w:rsidR="00EE56C0" w:rsidRDefault="00EE56C0">
            <w:pPr>
              <w:pStyle w:val="afa"/>
            </w:pPr>
          </w:p>
        </w:tc>
        <w:tc>
          <w:tcPr>
            <w:tcW w:w="975" w:type="pct"/>
            <w:vMerge/>
            <w:vAlign w:val="center"/>
          </w:tcPr>
          <w:p w:rsidR="00EE56C0" w:rsidRDefault="00EE56C0">
            <w:pPr>
              <w:pStyle w:val="afa"/>
            </w:pPr>
          </w:p>
        </w:tc>
        <w:tc>
          <w:tcPr>
            <w:tcW w:w="438" w:type="pct"/>
            <w:vMerge/>
            <w:vAlign w:val="center"/>
          </w:tcPr>
          <w:p w:rsidR="00EE56C0" w:rsidRDefault="00EE56C0">
            <w:pPr>
              <w:pStyle w:val="afa"/>
            </w:pPr>
          </w:p>
        </w:tc>
        <w:tc>
          <w:tcPr>
            <w:tcW w:w="698" w:type="pct"/>
            <w:vMerge/>
            <w:vAlign w:val="center"/>
          </w:tcPr>
          <w:p w:rsidR="00EE56C0" w:rsidRDefault="00EE56C0">
            <w:pPr>
              <w:pStyle w:val="afa"/>
            </w:pPr>
          </w:p>
        </w:tc>
      </w:tr>
      <w:tr w:rsidR="00EE56C0">
        <w:trPr>
          <w:trHeight w:val="434"/>
          <w:jc w:val="center"/>
        </w:trPr>
        <w:tc>
          <w:tcPr>
            <w:tcW w:w="251" w:type="pct"/>
            <w:vMerge/>
            <w:vAlign w:val="center"/>
          </w:tcPr>
          <w:p w:rsidR="00EE56C0" w:rsidRDefault="00EE56C0">
            <w:pPr>
              <w:pStyle w:val="afa"/>
            </w:pPr>
          </w:p>
        </w:tc>
        <w:tc>
          <w:tcPr>
            <w:tcW w:w="362" w:type="pct"/>
            <w:gridSpan w:val="2"/>
            <w:vMerge/>
            <w:vAlign w:val="center"/>
          </w:tcPr>
          <w:p w:rsidR="00EE56C0" w:rsidRDefault="00EE56C0">
            <w:pPr>
              <w:pStyle w:val="afa"/>
            </w:pPr>
          </w:p>
        </w:tc>
        <w:tc>
          <w:tcPr>
            <w:tcW w:w="250" w:type="pct"/>
            <w:vMerge w:val="restart"/>
            <w:vAlign w:val="center"/>
          </w:tcPr>
          <w:p w:rsidR="00EE56C0" w:rsidRDefault="000F36A1">
            <w:pPr>
              <w:pStyle w:val="afa"/>
            </w:pPr>
            <w:r>
              <w:rPr>
                <w:rFonts w:hint="eastAsia"/>
              </w:rPr>
              <w:t>立机</w:t>
            </w:r>
          </w:p>
        </w:tc>
        <w:tc>
          <w:tcPr>
            <w:tcW w:w="373" w:type="pct"/>
            <w:vAlign w:val="center"/>
          </w:tcPr>
          <w:p w:rsidR="00EE56C0" w:rsidRDefault="000F36A1">
            <w:pPr>
              <w:pStyle w:val="afa"/>
            </w:pPr>
            <w:r>
              <w:rPr>
                <w:rFonts w:hint="eastAsia"/>
              </w:rPr>
              <w:t>涂漆</w:t>
            </w:r>
          </w:p>
        </w:tc>
        <w:tc>
          <w:tcPr>
            <w:tcW w:w="599" w:type="pct"/>
            <w:vMerge/>
            <w:vAlign w:val="center"/>
          </w:tcPr>
          <w:p w:rsidR="00EE56C0" w:rsidRDefault="00EE56C0">
            <w:pPr>
              <w:pStyle w:val="afa"/>
            </w:pPr>
          </w:p>
        </w:tc>
        <w:tc>
          <w:tcPr>
            <w:tcW w:w="305" w:type="pct"/>
            <w:vAlign w:val="center"/>
          </w:tcPr>
          <w:p w:rsidR="00EE56C0" w:rsidRDefault="000F36A1">
            <w:pPr>
              <w:pStyle w:val="afa"/>
            </w:pPr>
            <w:r>
              <w:rPr>
                <w:rFonts w:hint="eastAsia"/>
              </w:rPr>
              <w:t>涂漆间</w:t>
            </w:r>
          </w:p>
        </w:tc>
        <w:tc>
          <w:tcPr>
            <w:tcW w:w="749" w:type="pct"/>
            <w:vMerge w:val="restart"/>
            <w:vAlign w:val="center"/>
          </w:tcPr>
          <w:p w:rsidR="00EE56C0" w:rsidRDefault="000F36A1">
            <w:pPr>
              <w:pStyle w:val="afa"/>
            </w:pPr>
            <w:r>
              <w:rPr>
                <w:rFonts w:hint="eastAsia"/>
              </w:rPr>
              <w:t>炉内</w:t>
            </w:r>
            <w:r>
              <w:rPr>
                <w:rFonts w:hint="eastAsia"/>
              </w:rPr>
              <w:t>2</w:t>
            </w:r>
            <w:r>
              <w:rPr>
                <w:rFonts w:hint="eastAsia"/>
              </w:rPr>
              <w:t>次催化燃烧</w:t>
            </w:r>
          </w:p>
        </w:tc>
        <w:tc>
          <w:tcPr>
            <w:tcW w:w="975" w:type="pct"/>
            <w:vMerge w:val="restart"/>
            <w:vAlign w:val="center"/>
          </w:tcPr>
          <w:p w:rsidR="00EE56C0" w:rsidRDefault="000F36A1">
            <w:pPr>
              <w:pStyle w:val="afa"/>
            </w:pPr>
            <w:r>
              <w:rPr>
                <w:rFonts w:hint="eastAsia"/>
              </w:rPr>
              <w:t>3</w:t>
            </w:r>
            <w:r>
              <w:rPr>
                <w:rFonts w:hint="eastAsia"/>
              </w:rPr>
              <w:t>台漆包机：静电除油</w:t>
            </w:r>
            <w:r>
              <w:rPr>
                <w:rFonts w:hint="eastAsia"/>
              </w:rPr>
              <w:t>+</w:t>
            </w:r>
            <w:r>
              <w:rPr>
                <w:rFonts w:hint="eastAsia"/>
              </w:rPr>
              <w:t>活性炭吸附</w:t>
            </w:r>
            <w:r>
              <w:rPr>
                <w:rFonts w:hint="eastAsia"/>
              </w:rPr>
              <w:t>-</w:t>
            </w:r>
            <w:r>
              <w:rPr>
                <w:rFonts w:hint="eastAsia"/>
              </w:rPr>
              <w:t>脱附</w:t>
            </w:r>
            <w:r>
              <w:rPr>
                <w:rFonts w:hint="eastAsia"/>
              </w:rPr>
              <w:t>-</w:t>
            </w:r>
            <w:r>
              <w:rPr>
                <w:rFonts w:hint="eastAsia"/>
              </w:rPr>
              <w:t>催化燃烧装置</w:t>
            </w:r>
            <w:r>
              <w:rPr>
                <w:rFonts w:hint="eastAsia"/>
              </w:rPr>
              <w:t>T</w:t>
            </w:r>
            <w:r>
              <w:rPr>
                <w:rFonts w:hint="eastAsia"/>
              </w:rPr>
              <w:t>（</w:t>
            </w:r>
            <w:r>
              <w:t>依托现有</w:t>
            </w:r>
            <w:r>
              <w:rPr>
                <w:rFonts w:hint="eastAsia"/>
              </w:rPr>
              <w:t>）</w:t>
            </w:r>
          </w:p>
        </w:tc>
        <w:tc>
          <w:tcPr>
            <w:tcW w:w="438" w:type="pct"/>
            <w:vMerge/>
            <w:vAlign w:val="center"/>
          </w:tcPr>
          <w:p w:rsidR="00EE56C0" w:rsidRDefault="00EE56C0">
            <w:pPr>
              <w:pStyle w:val="afa"/>
            </w:pPr>
          </w:p>
        </w:tc>
        <w:tc>
          <w:tcPr>
            <w:tcW w:w="698" w:type="pct"/>
            <w:vMerge/>
            <w:vAlign w:val="center"/>
          </w:tcPr>
          <w:p w:rsidR="00EE56C0" w:rsidRDefault="00EE56C0">
            <w:pPr>
              <w:pStyle w:val="afa"/>
            </w:pPr>
          </w:p>
        </w:tc>
      </w:tr>
      <w:tr w:rsidR="00EE56C0">
        <w:trPr>
          <w:trHeight w:val="434"/>
          <w:jc w:val="center"/>
        </w:trPr>
        <w:tc>
          <w:tcPr>
            <w:tcW w:w="251" w:type="pct"/>
            <w:vMerge/>
            <w:vAlign w:val="center"/>
          </w:tcPr>
          <w:p w:rsidR="00EE56C0" w:rsidRDefault="00EE56C0">
            <w:pPr>
              <w:pStyle w:val="afa"/>
            </w:pPr>
          </w:p>
        </w:tc>
        <w:tc>
          <w:tcPr>
            <w:tcW w:w="362" w:type="pct"/>
            <w:gridSpan w:val="2"/>
            <w:vMerge/>
            <w:vAlign w:val="center"/>
          </w:tcPr>
          <w:p w:rsidR="00EE56C0" w:rsidRDefault="00EE56C0">
            <w:pPr>
              <w:pStyle w:val="afa"/>
            </w:pPr>
          </w:p>
        </w:tc>
        <w:tc>
          <w:tcPr>
            <w:tcW w:w="250" w:type="pct"/>
            <w:vMerge/>
            <w:vAlign w:val="center"/>
          </w:tcPr>
          <w:p w:rsidR="00EE56C0" w:rsidRDefault="00EE56C0">
            <w:pPr>
              <w:pStyle w:val="afa"/>
            </w:pPr>
          </w:p>
        </w:tc>
        <w:tc>
          <w:tcPr>
            <w:tcW w:w="373" w:type="pct"/>
            <w:vMerge w:val="restart"/>
            <w:vAlign w:val="center"/>
          </w:tcPr>
          <w:p w:rsidR="00EE56C0" w:rsidRDefault="000F36A1">
            <w:pPr>
              <w:pStyle w:val="afa"/>
            </w:pPr>
            <w:r>
              <w:rPr>
                <w:rFonts w:hint="eastAsia"/>
              </w:rPr>
              <w:t>烘干</w:t>
            </w:r>
          </w:p>
        </w:tc>
        <w:tc>
          <w:tcPr>
            <w:tcW w:w="599" w:type="pct"/>
            <w:vMerge/>
            <w:vAlign w:val="center"/>
          </w:tcPr>
          <w:p w:rsidR="00EE56C0" w:rsidRDefault="00EE56C0">
            <w:pPr>
              <w:pStyle w:val="afa"/>
            </w:pPr>
          </w:p>
        </w:tc>
        <w:tc>
          <w:tcPr>
            <w:tcW w:w="305" w:type="pct"/>
            <w:vMerge w:val="restart"/>
            <w:vAlign w:val="center"/>
          </w:tcPr>
          <w:p w:rsidR="00EE56C0" w:rsidRDefault="000F36A1">
            <w:pPr>
              <w:pStyle w:val="afa"/>
            </w:pPr>
            <w:r>
              <w:rPr>
                <w:rFonts w:hint="eastAsia"/>
              </w:rPr>
              <w:t>集气</w:t>
            </w:r>
          </w:p>
          <w:p w:rsidR="00EE56C0" w:rsidRDefault="000F36A1">
            <w:pPr>
              <w:pStyle w:val="afa"/>
            </w:pPr>
            <w:r>
              <w:rPr>
                <w:rFonts w:hint="eastAsia"/>
              </w:rPr>
              <w:t>管道</w:t>
            </w:r>
          </w:p>
        </w:tc>
        <w:tc>
          <w:tcPr>
            <w:tcW w:w="749" w:type="pct"/>
            <w:vMerge/>
            <w:vAlign w:val="center"/>
          </w:tcPr>
          <w:p w:rsidR="00EE56C0" w:rsidRDefault="00EE56C0">
            <w:pPr>
              <w:pStyle w:val="afa"/>
            </w:pPr>
          </w:p>
        </w:tc>
        <w:tc>
          <w:tcPr>
            <w:tcW w:w="975" w:type="pct"/>
            <w:vMerge/>
            <w:vAlign w:val="center"/>
          </w:tcPr>
          <w:p w:rsidR="00EE56C0" w:rsidRDefault="00EE56C0">
            <w:pPr>
              <w:pStyle w:val="afa"/>
            </w:pPr>
          </w:p>
        </w:tc>
        <w:tc>
          <w:tcPr>
            <w:tcW w:w="438" w:type="pct"/>
            <w:vMerge/>
            <w:vAlign w:val="center"/>
          </w:tcPr>
          <w:p w:rsidR="00EE56C0" w:rsidRDefault="00EE56C0">
            <w:pPr>
              <w:pStyle w:val="afa"/>
            </w:pPr>
          </w:p>
        </w:tc>
        <w:tc>
          <w:tcPr>
            <w:tcW w:w="698" w:type="pct"/>
            <w:vMerge/>
            <w:vAlign w:val="center"/>
          </w:tcPr>
          <w:p w:rsidR="00EE56C0" w:rsidRDefault="00EE56C0">
            <w:pPr>
              <w:pStyle w:val="afa"/>
            </w:pPr>
          </w:p>
        </w:tc>
      </w:tr>
      <w:tr w:rsidR="00EE56C0">
        <w:trPr>
          <w:trHeight w:val="241"/>
          <w:jc w:val="center"/>
        </w:trPr>
        <w:tc>
          <w:tcPr>
            <w:tcW w:w="251" w:type="pct"/>
            <w:vMerge/>
            <w:vAlign w:val="center"/>
          </w:tcPr>
          <w:p w:rsidR="00EE56C0" w:rsidRDefault="00EE56C0">
            <w:pPr>
              <w:pStyle w:val="afa"/>
            </w:pPr>
          </w:p>
        </w:tc>
        <w:tc>
          <w:tcPr>
            <w:tcW w:w="362" w:type="pct"/>
            <w:gridSpan w:val="2"/>
            <w:vMerge/>
            <w:vAlign w:val="center"/>
          </w:tcPr>
          <w:p w:rsidR="00EE56C0" w:rsidRDefault="00EE56C0">
            <w:pPr>
              <w:pStyle w:val="afa"/>
            </w:pPr>
          </w:p>
        </w:tc>
        <w:tc>
          <w:tcPr>
            <w:tcW w:w="250" w:type="pct"/>
            <w:vMerge/>
            <w:vAlign w:val="center"/>
          </w:tcPr>
          <w:p w:rsidR="00EE56C0" w:rsidRDefault="00EE56C0">
            <w:pPr>
              <w:pStyle w:val="afa"/>
            </w:pPr>
          </w:p>
        </w:tc>
        <w:tc>
          <w:tcPr>
            <w:tcW w:w="373" w:type="pct"/>
            <w:vMerge/>
            <w:vAlign w:val="center"/>
          </w:tcPr>
          <w:p w:rsidR="00EE56C0" w:rsidRDefault="00EE56C0">
            <w:pPr>
              <w:pStyle w:val="afa"/>
            </w:pPr>
          </w:p>
        </w:tc>
        <w:tc>
          <w:tcPr>
            <w:tcW w:w="599" w:type="pct"/>
            <w:vMerge/>
            <w:vAlign w:val="center"/>
          </w:tcPr>
          <w:p w:rsidR="00EE56C0" w:rsidRDefault="00EE56C0">
            <w:pPr>
              <w:pStyle w:val="afa"/>
            </w:pPr>
          </w:p>
        </w:tc>
        <w:tc>
          <w:tcPr>
            <w:tcW w:w="305" w:type="pct"/>
            <w:vMerge/>
            <w:vAlign w:val="center"/>
          </w:tcPr>
          <w:p w:rsidR="00EE56C0" w:rsidRDefault="00EE56C0">
            <w:pPr>
              <w:pStyle w:val="afa"/>
            </w:pPr>
          </w:p>
        </w:tc>
        <w:tc>
          <w:tcPr>
            <w:tcW w:w="749" w:type="pct"/>
            <w:vMerge/>
            <w:vAlign w:val="center"/>
          </w:tcPr>
          <w:p w:rsidR="00EE56C0" w:rsidRDefault="00EE56C0">
            <w:pPr>
              <w:pStyle w:val="afa"/>
            </w:pPr>
          </w:p>
        </w:tc>
        <w:tc>
          <w:tcPr>
            <w:tcW w:w="975" w:type="pct"/>
            <w:vAlign w:val="center"/>
          </w:tcPr>
          <w:p w:rsidR="00EE56C0" w:rsidRDefault="000F36A1">
            <w:pPr>
              <w:pStyle w:val="afa"/>
            </w:pPr>
            <w:r>
              <w:rPr>
                <w:rFonts w:hint="eastAsia"/>
              </w:rPr>
              <w:t>10</w:t>
            </w:r>
            <w:r>
              <w:rPr>
                <w:rFonts w:hint="eastAsia"/>
              </w:rPr>
              <w:t>台拉包机：沸石吸附</w:t>
            </w:r>
            <w:r>
              <w:rPr>
                <w:rFonts w:hint="eastAsia"/>
              </w:rPr>
              <w:t>-</w:t>
            </w:r>
            <w:r>
              <w:rPr>
                <w:rFonts w:hint="eastAsia"/>
              </w:rPr>
              <w:t>脱附</w:t>
            </w:r>
            <w:r>
              <w:rPr>
                <w:rFonts w:hint="eastAsia"/>
              </w:rPr>
              <w:t>-</w:t>
            </w:r>
            <w:r>
              <w:rPr>
                <w:rFonts w:hint="eastAsia"/>
              </w:rPr>
              <w:t>（</w:t>
            </w:r>
            <w:r>
              <w:t>依托现有</w:t>
            </w:r>
            <w:r>
              <w:rPr>
                <w:rFonts w:hint="eastAsia"/>
              </w:rPr>
              <w:t>）催化燃烧</w:t>
            </w:r>
            <w:r>
              <w:rPr>
                <w:rFonts w:hint="eastAsia"/>
              </w:rPr>
              <w:t>F</w:t>
            </w:r>
          </w:p>
        </w:tc>
        <w:tc>
          <w:tcPr>
            <w:tcW w:w="438" w:type="pct"/>
            <w:vMerge/>
            <w:vAlign w:val="center"/>
          </w:tcPr>
          <w:p w:rsidR="00EE56C0" w:rsidRDefault="00EE56C0">
            <w:pPr>
              <w:pStyle w:val="afa"/>
            </w:pPr>
          </w:p>
        </w:tc>
        <w:tc>
          <w:tcPr>
            <w:tcW w:w="698" w:type="pct"/>
            <w:vMerge/>
            <w:vAlign w:val="center"/>
          </w:tcPr>
          <w:p w:rsidR="00EE56C0" w:rsidRDefault="00EE56C0">
            <w:pPr>
              <w:pStyle w:val="afa"/>
            </w:pPr>
          </w:p>
        </w:tc>
      </w:tr>
      <w:tr w:rsidR="00EE56C0">
        <w:trPr>
          <w:trHeight w:val="434"/>
          <w:jc w:val="center"/>
        </w:trPr>
        <w:tc>
          <w:tcPr>
            <w:tcW w:w="251" w:type="pct"/>
            <w:vMerge/>
            <w:vAlign w:val="center"/>
          </w:tcPr>
          <w:p w:rsidR="00EE56C0" w:rsidRDefault="00EE56C0">
            <w:pPr>
              <w:pStyle w:val="afa"/>
            </w:pPr>
          </w:p>
        </w:tc>
        <w:tc>
          <w:tcPr>
            <w:tcW w:w="362" w:type="pct"/>
            <w:gridSpan w:val="2"/>
            <w:vMerge/>
            <w:vAlign w:val="center"/>
          </w:tcPr>
          <w:p w:rsidR="00EE56C0" w:rsidRDefault="00EE56C0">
            <w:pPr>
              <w:pStyle w:val="afa"/>
            </w:pPr>
          </w:p>
        </w:tc>
        <w:tc>
          <w:tcPr>
            <w:tcW w:w="250" w:type="pct"/>
            <w:vMerge/>
            <w:vAlign w:val="center"/>
          </w:tcPr>
          <w:p w:rsidR="00EE56C0" w:rsidRDefault="00EE56C0">
            <w:pPr>
              <w:pStyle w:val="afa"/>
            </w:pPr>
          </w:p>
        </w:tc>
        <w:tc>
          <w:tcPr>
            <w:tcW w:w="373" w:type="pct"/>
            <w:vAlign w:val="center"/>
          </w:tcPr>
          <w:p w:rsidR="00EE56C0" w:rsidRDefault="000F36A1">
            <w:pPr>
              <w:pStyle w:val="afa"/>
            </w:pPr>
            <w:r>
              <w:rPr>
                <w:rFonts w:hint="eastAsia"/>
              </w:rPr>
              <w:t>二次封闭通道</w:t>
            </w:r>
          </w:p>
        </w:tc>
        <w:tc>
          <w:tcPr>
            <w:tcW w:w="599" w:type="pct"/>
            <w:vMerge/>
            <w:vAlign w:val="center"/>
          </w:tcPr>
          <w:p w:rsidR="00EE56C0" w:rsidRDefault="00EE56C0">
            <w:pPr>
              <w:pStyle w:val="afa"/>
            </w:pPr>
          </w:p>
        </w:tc>
        <w:tc>
          <w:tcPr>
            <w:tcW w:w="305" w:type="pct"/>
            <w:vAlign w:val="center"/>
          </w:tcPr>
          <w:p w:rsidR="00EE56C0" w:rsidRDefault="000F36A1">
            <w:pPr>
              <w:pStyle w:val="afa"/>
            </w:pPr>
            <w:r>
              <w:rPr>
                <w:rFonts w:hint="eastAsia"/>
              </w:rPr>
              <w:t>集气管道</w:t>
            </w:r>
          </w:p>
        </w:tc>
        <w:tc>
          <w:tcPr>
            <w:tcW w:w="749" w:type="pct"/>
            <w:vAlign w:val="center"/>
          </w:tcPr>
          <w:p w:rsidR="00EE56C0" w:rsidRDefault="000F36A1">
            <w:pPr>
              <w:pStyle w:val="afa"/>
            </w:pPr>
            <w:r>
              <w:rPr>
                <w:rFonts w:hint="eastAsia"/>
              </w:rPr>
              <w:t>/</w:t>
            </w:r>
          </w:p>
        </w:tc>
        <w:tc>
          <w:tcPr>
            <w:tcW w:w="975" w:type="pct"/>
            <w:vAlign w:val="center"/>
          </w:tcPr>
          <w:p w:rsidR="00EE56C0" w:rsidRDefault="000F36A1">
            <w:pPr>
              <w:pStyle w:val="afa"/>
            </w:pPr>
            <w:r>
              <w:rPr>
                <w:rFonts w:hint="eastAsia"/>
              </w:rPr>
              <w:t>沸石吸附</w:t>
            </w:r>
            <w:r>
              <w:rPr>
                <w:rFonts w:hint="eastAsia"/>
              </w:rPr>
              <w:t>-</w:t>
            </w:r>
            <w:r>
              <w:rPr>
                <w:rFonts w:hint="eastAsia"/>
              </w:rPr>
              <w:t>脱附</w:t>
            </w:r>
            <w:r>
              <w:rPr>
                <w:rFonts w:hint="eastAsia"/>
              </w:rPr>
              <w:t>-</w:t>
            </w:r>
            <w:r>
              <w:rPr>
                <w:rFonts w:hint="eastAsia"/>
              </w:rPr>
              <w:t>催化燃烧</w:t>
            </w:r>
            <w:r>
              <w:rPr>
                <w:rFonts w:hint="eastAsia"/>
              </w:rPr>
              <w:t>F</w:t>
            </w:r>
            <w:r>
              <w:rPr>
                <w:rFonts w:hint="eastAsia"/>
              </w:rPr>
              <w:t>（</w:t>
            </w:r>
            <w:r>
              <w:t>依托现有</w:t>
            </w:r>
            <w:r>
              <w:rPr>
                <w:rFonts w:hint="eastAsia"/>
              </w:rPr>
              <w:t>）</w:t>
            </w:r>
          </w:p>
        </w:tc>
        <w:tc>
          <w:tcPr>
            <w:tcW w:w="438" w:type="pct"/>
            <w:vMerge/>
            <w:vAlign w:val="center"/>
          </w:tcPr>
          <w:p w:rsidR="00EE56C0" w:rsidRDefault="00EE56C0">
            <w:pPr>
              <w:pStyle w:val="afa"/>
            </w:pPr>
          </w:p>
        </w:tc>
        <w:tc>
          <w:tcPr>
            <w:tcW w:w="698" w:type="pct"/>
            <w:vMerge/>
            <w:vAlign w:val="center"/>
          </w:tcPr>
          <w:p w:rsidR="00EE56C0" w:rsidRDefault="00EE56C0">
            <w:pPr>
              <w:pStyle w:val="afa"/>
            </w:pPr>
          </w:p>
        </w:tc>
      </w:tr>
      <w:tr w:rsidR="00EE56C0">
        <w:trPr>
          <w:trHeight w:val="704"/>
          <w:jc w:val="center"/>
        </w:trPr>
        <w:tc>
          <w:tcPr>
            <w:tcW w:w="251" w:type="pct"/>
            <w:vMerge/>
            <w:vAlign w:val="center"/>
          </w:tcPr>
          <w:p w:rsidR="00EE56C0" w:rsidRDefault="00EE56C0">
            <w:pPr>
              <w:pStyle w:val="afa"/>
            </w:pPr>
          </w:p>
        </w:tc>
        <w:tc>
          <w:tcPr>
            <w:tcW w:w="611" w:type="pct"/>
            <w:gridSpan w:val="3"/>
            <w:vMerge w:val="restart"/>
            <w:vAlign w:val="center"/>
          </w:tcPr>
          <w:p w:rsidR="00EE56C0" w:rsidRDefault="000F36A1">
            <w:pPr>
              <w:pStyle w:val="afa"/>
            </w:pPr>
            <w:r>
              <w:rPr>
                <w:rFonts w:hint="eastAsia"/>
              </w:rPr>
              <w:t>丝包线</w:t>
            </w:r>
          </w:p>
        </w:tc>
        <w:tc>
          <w:tcPr>
            <w:tcW w:w="373" w:type="pct"/>
            <w:vAlign w:val="center"/>
          </w:tcPr>
          <w:p w:rsidR="00EE56C0" w:rsidRDefault="000F36A1">
            <w:pPr>
              <w:pStyle w:val="afa"/>
            </w:pPr>
            <w:r>
              <w:rPr>
                <w:rFonts w:hint="eastAsia"/>
              </w:rPr>
              <w:t>涂漆、烘干</w:t>
            </w:r>
          </w:p>
        </w:tc>
        <w:tc>
          <w:tcPr>
            <w:tcW w:w="599" w:type="pct"/>
            <w:vMerge w:val="restart"/>
            <w:vAlign w:val="center"/>
          </w:tcPr>
          <w:p w:rsidR="00EE56C0" w:rsidRDefault="000F36A1">
            <w:pPr>
              <w:pStyle w:val="afa"/>
            </w:pPr>
            <w:r>
              <w:rPr>
                <w:rFonts w:hint="eastAsia"/>
              </w:rPr>
              <w:t>苯、甲苯、二甲苯、非甲烷总烃</w:t>
            </w:r>
          </w:p>
        </w:tc>
        <w:tc>
          <w:tcPr>
            <w:tcW w:w="1054" w:type="pct"/>
            <w:gridSpan w:val="2"/>
            <w:vAlign w:val="center"/>
          </w:tcPr>
          <w:p w:rsidR="00EE56C0" w:rsidRDefault="000F36A1">
            <w:pPr>
              <w:pStyle w:val="afa"/>
            </w:pPr>
            <w:r>
              <w:rPr>
                <w:rFonts w:hint="eastAsia"/>
              </w:rPr>
              <w:t>集气罩</w:t>
            </w:r>
          </w:p>
        </w:tc>
        <w:tc>
          <w:tcPr>
            <w:tcW w:w="975" w:type="pct"/>
            <w:vMerge w:val="restart"/>
            <w:vAlign w:val="center"/>
          </w:tcPr>
          <w:p w:rsidR="00EE56C0" w:rsidRDefault="000F36A1">
            <w:pPr>
              <w:pStyle w:val="afa"/>
            </w:pPr>
            <w:r>
              <w:rPr>
                <w:rFonts w:hint="eastAsia"/>
              </w:rPr>
              <w:t>静电除油</w:t>
            </w:r>
            <w:r>
              <w:rPr>
                <w:rFonts w:hint="eastAsia"/>
              </w:rPr>
              <w:t>+</w:t>
            </w:r>
            <w:r>
              <w:rPr>
                <w:rFonts w:hint="eastAsia"/>
              </w:rPr>
              <w:t>活性炭吸附</w:t>
            </w:r>
            <w:r>
              <w:rPr>
                <w:rFonts w:hint="eastAsia"/>
              </w:rPr>
              <w:t>-</w:t>
            </w:r>
            <w:r>
              <w:rPr>
                <w:rFonts w:hint="eastAsia"/>
              </w:rPr>
              <w:t>脱附</w:t>
            </w:r>
            <w:r>
              <w:rPr>
                <w:rFonts w:hint="eastAsia"/>
              </w:rPr>
              <w:t>-</w:t>
            </w:r>
            <w:r>
              <w:rPr>
                <w:rFonts w:hint="eastAsia"/>
              </w:rPr>
              <w:t>催化燃烧装置</w:t>
            </w:r>
            <w:r>
              <w:rPr>
                <w:rFonts w:hint="eastAsia"/>
              </w:rPr>
              <w:t>T</w:t>
            </w:r>
            <w:r>
              <w:rPr>
                <w:rFonts w:hint="eastAsia"/>
              </w:rPr>
              <w:t>（</w:t>
            </w:r>
            <w:r>
              <w:t>依托现有</w:t>
            </w:r>
            <w:r>
              <w:rPr>
                <w:rFonts w:hint="eastAsia"/>
              </w:rPr>
              <w:t>）</w:t>
            </w:r>
          </w:p>
        </w:tc>
        <w:tc>
          <w:tcPr>
            <w:tcW w:w="438" w:type="pct"/>
            <w:vMerge/>
            <w:vAlign w:val="center"/>
          </w:tcPr>
          <w:p w:rsidR="00EE56C0" w:rsidRDefault="00EE56C0">
            <w:pPr>
              <w:pStyle w:val="afa"/>
            </w:pPr>
          </w:p>
        </w:tc>
        <w:tc>
          <w:tcPr>
            <w:tcW w:w="698" w:type="pct"/>
            <w:vMerge/>
            <w:vAlign w:val="center"/>
          </w:tcPr>
          <w:p w:rsidR="00EE56C0" w:rsidRDefault="00EE56C0">
            <w:pPr>
              <w:pStyle w:val="afa"/>
            </w:pPr>
          </w:p>
        </w:tc>
      </w:tr>
      <w:tr w:rsidR="00EE56C0">
        <w:trPr>
          <w:trHeight w:val="558"/>
          <w:jc w:val="center"/>
        </w:trPr>
        <w:tc>
          <w:tcPr>
            <w:tcW w:w="251" w:type="pct"/>
            <w:vMerge/>
            <w:vAlign w:val="center"/>
          </w:tcPr>
          <w:p w:rsidR="00EE56C0" w:rsidRDefault="00EE56C0">
            <w:pPr>
              <w:pStyle w:val="afa"/>
            </w:pPr>
          </w:p>
        </w:tc>
        <w:tc>
          <w:tcPr>
            <w:tcW w:w="611" w:type="pct"/>
            <w:gridSpan w:val="3"/>
            <w:vMerge/>
            <w:vAlign w:val="center"/>
          </w:tcPr>
          <w:p w:rsidR="00EE56C0" w:rsidRDefault="00EE56C0">
            <w:pPr>
              <w:pStyle w:val="afa"/>
            </w:pPr>
          </w:p>
        </w:tc>
        <w:tc>
          <w:tcPr>
            <w:tcW w:w="373" w:type="pct"/>
            <w:vAlign w:val="center"/>
          </w:tcPr>
          <w:p w:rsidR="00EE56C0" w:rsidRDefault="000F36A1">
            <w:pPr>
              <w:pStyle w:val="afa"/>
            </w:pPr>
            <w:r>
              <w:rPr>
                <w:rFonts w:hint="eastAsia"/>
              </w:rPr>
              <w:t>操作间</w:t>
            </w:r>
          </w:p>
        </w:tc>
        <w:tc>
          <w:tcPr>
            <w:tcW w:w="599" w:type="pct"/>
            <w:vMerge/>
            <w:vAlign w:val="center"/>
          </w:tcPr>
          <w:p w:rsidR="00EE56C0" w:rsidRDefault="00EE56C0">
            <w:pPr>
              <w:pStyle w:val="afa"/>
            </w:pPr>
          </w:p>
        </w:tc>
        <w:tc>
          <w:tcPr>
            <w:tcW w:w="1054" w:type="pct"/>
            <w:gridSpan w:val="2"/>
            <w:vAlign w:val="center"/>
          </w:tcPr>
          <w:p w:rsidR="00EE56C0" w:rsidRDefault="000F36A1">
            <w:pPr>
              <w:pStyle w:val="afa"/>
            </w:pPr>
            <w:r>
              <w:rPr>
                <w:rFonts w:hint="eastAsia"/>
              </w:rPr>
              <w:t>顶部抽吸装置</w:t>
            </w:r>
          </w:p>
        </w:tc>
        <w:tc>
          <w:tcPr>
            <w:tcW w:w="975" w:type="pct"/>
            <w:vMerge/>
            <w:vAlign w:val="center"/>
          </w:tcPr>
          <w:p w:rsidR="00EE56C0" w:rsidRDefault="00EE56C0">
            <w:pPr>
              <w:pStyle w:val="afa"/>
            </w:pPr>
          </w:p>
        </w:tc>
        <w:tc>
          <w:tcPr>
            <w:tcW w:w="438" w:type="pct"/>
            <w:vMerge/>
            <w:vAlign w:val="center"/>
          </w:tcPr>
          <w:p w:rsidR="00EE56C0" w:rsidRDefault="00EE56C0">
            <w:pPr>
              <w:pStyle w:val="afa"/>
            </w:pPr>
          </w:p>
        </w:tc>
        <w:tc>
          <w:tcPr>
            <w:tcW w:w="698" w:type="pct"/>
            <w:vMerge/>
            <w:vAlign w:val="center"/>
          </w:tcPr>
          <w:p w:rsidR="00EE56C0" w:rsidRDefault="00EE56C0">
            <w:pPr>
              <w:pStyle w:val="afa"/>
            </w:pPr>
          </w:p>
        </w:tc>
      </w:tr>
      <w:tr w:rsidR="00971E69" w:rsidTr="00971E69">
        <w:trPr>
          <w:trHeight w:val="377"/>
          <w:jc w:val="center"/>
        </w:trPr>
        <w:tc>
          <w:tcPr>
            <w:tcW w:w="251" w:type="pct"/>
            <w:vMerge w:val="restart"/>
            <w:vAlign w:val="center"/>
          </w:tcPr>
          <w:p w:rsidR="00971E69" w:rsidRDefault="00971E69">
            <w:pPr>
              <w:pStyle w:val="afa"/>
            </w:pPr>
            <w:r>
              <w:t>废水</w:t>
            </w:r>
          </w:p>
        </w:tc>
        <w:tc>
          <w:tcPr>
            <w:tcW w:w="984" w:type="pct"/>
            <w:gridSpan w:val="4"/>
            <w:vAlign w:val="center"/>
          </w:tcPr>
          <w:p w:rsidR="00971E69" w:rsidRDefault="00971E69">
            <w:pPr>
              <w:pStyle w:val="afa"/>
            </w:pPr>
            <w:r>
              <w:rPr>
                <w:rFonts w:hint="eastAsia"/>
              </w:rPr>
              <w:t>生活污水</w:t>
            </w:r>
          </w:p>
        </w:tc>
        <w:tc>
          <w:tcPr>
            <w:tcW w:w="599" w:type="pct"/>
            <w:vAlign w:val="center"/>
          </w:tcPr>
          <w:p w:rsidR="00971E69" w:rsidRDefault="00971E69">
            <w:pPr>
              <w:pStyle w:val="afa"/>
            </w:pPr>
            <w:r>
              <w:t>COD</w:t>
            </w:r>
            <w:r>
              <w:t>、</w:t>
            </w:r>
            <w:r>
              <w:t>SS</w:t>
            </w:r>
            <w:r>
              <w:rPr>
                <w:rFonts w:hint="eastAsia"/>
              </w:rPr>
              <w:t>、</w:t>
            </w:r>
            <w:r>
              <w:rPr>
                <w:rFonts w:hint="eastAsia"/>
              </w:rPr>
              <w:t>NH</w:t>
            </w:r>
            <w:r>
              <w:rPr>
                <w:rFonts w:hint="eastAsia"/>
                <w:vertAlign w:val="subscript"/>
              </w:rPr>
              <w:t>3</w:t>
            </w:r>
            <w:r>
              <w:rPr>
                <w:rFonts w:hint="eastAsia"/>
              </w:rPr>
              <w:t>-N</w:t>
            </w:r>
            <w:r>
              <w:rPr>
                <w:rFonts w:hint="eastAsia"/>
              </w:rPr>
              <w:t>、</w:t>
            </w:r>
            <w:r>
              <w:rPr>
                <w:rFonts w:hint="eastAsia"/>
              </w:rPr>
              <w:t>TN</w:t>
            </w:r>
            <w:r>
              <w:rPr>
                <w:rFonts w:hint="eastAsia"/>
              </w:rPr>
              <w:t>、</w:t>
            </w:r>
            <w:r>
              <w:rPr>
                <w:rFonts w:hint="eastAsia"/>
              </w:rPr>
              <w:t>TP</w:t>
            </w:r>
            <w:r>
              <w:rPr>
                <w:rFonts w:hint="eastAsia"/>
              </w:rPr>
              <w:t>、动植物油</w:t>
            </w:r>
          </w:p>
        </w:tc>
        <w:tc>
          <w:tcPr>
            <w:tcW w:w="1054" w:type="pct"/>
            <w:gridSpan w:val="2"/>
            <w:vAlign w:val="center"/>
          </w:tcPr>
          <w:p w:rsidR="00971E69" w:rsidRPr="00971E69" w:rsidRDefault="00971E69" w:rsidP="00971E69">
            <w:pPr>
              <w:pStyle w:val="afa"/>
              <w:rPr>
                <w:b/>
                <w:u w:val="single"/>
              </w:rPr>
            </w:pPr>
            <w:r w:rsidRPr="00971E69">
              <w:rPr>
                <w:rFonts w:hint="eastAsia"/>
                <w:b/>
                <w:u w:val="single"/>
              </w:rPr>
              <w:t>“隔油池</w:t>
            </w:r>
            <w:r w:rsidRPr="00971E69">
              <w:rPr>
                <w:rFonts w:hint="eastAsia"/>
                <w:b/>
                <w:u w:val="single"/>
              </w:rPr>
              <w:t>+</w:t>
            </w:r>
            <w:r w:rsidRPr="00971E69">
              <w:rPr>
                <w:rFonts w:hint="eastAsia"/>
                <w:b/>
                <w:u w:val="single"/>
              </w:rPr>
              <w:t>化粪池”预处理</w:t>
            </w:r>
          </w:p>
        </w:tc>
        <w:tc>
          <w:tcPr>
            <w:tcW w:w="1413" w:type="pct"/>
            <w:gridSpan w:val="2"/>
            <w:vMerge w:val="restart"/>
            <w:vAlign w:val="center"/>
          </w:tcPr>
          <w:p w:rsidR="00971E69" w:rsidRPr="00971E69" w:rsidRDefault="00971E69" w:rsidP="00971E69">
            <w:pPr>
              <w:pStyle w:val="afa"/>
              <w:rPr>
                <w:b/>
                <w:u w:val="single"/>
              </w:rPr>
            </w:pPr>
            <w:r w:rsidRPr="00971E69">
              <w:rPr>
                <w:rFonts w:hint="eastAsia"/>
                <w:b/>
                <w:u w:val="single"/>
              </w:rPr>
              <w:t>在厂区总排口混合后，</w:t>
            </w:r>
            <w:r w:rsidRPr="00971E69">
              <w:rPr>
                <w:b/>
                <w:u w:val="single"/>
              </w:rPr>
              <w:t>经污水管网</w:t>
            </w:r>
            <w:r w:rsidRPr="00971E69">
              <w:rPr>
                <w:rFonts w:hint="eastAsia"/>
                <w:b/>
                <w:u w:val="single"/>
              </w:rPr>
              <w:t>进</w:t>
            </w:r>
            <w:r w:rsidRPr="00971E69">
              <w:rPr>
                <w:b/>
                <w:u w:val="single"/>
              </w:rPr>
              <w:t>新乡县综合污水处理厂</w:t>
            </w:r>
            <w:r w:rsidRPr="00971E69">
              <w:rPr>
                <w:rFonts w:hint="eastAsia"/>
                <w:b/>
                <w:u w:val="single"/>
              </w:rPr>
              <w:t>，最终排入东孟姜女河</w:t>
            </w:r>
          </w:p>
        </w:tc>
        <w:tc>
          <w:tcPr>
            <w:tcW w:w="698" w:type="pct"/>
            <w:vMerge w:val="restart"/>
            <w:vAlign w:val="center"/>
          </w:tcPr>
          <w:p w:rsidR="00971E69" w:rsidRDefault="00971E69">
            <w:pPr>
              <w:pStyle w:val="afa"/>
            </w:pPr>
            <w:r>
              <w:rPr>
                <w:rFonts w:hint="eastAsia"/>
              </w:rPr>
              <w:t>/</w:t>
            </w:r>
          </w:p>
        </w:tc>
      </w:tr>
      <w:tr w:rsidR="00971E69" w:rsidTr="00971E69">
        <w:trPr>
          <w:trHeight w:val="397"/>
          <w:jc w:val="center"/>
        </w:trPr>
        <w:tc>
          <w:tcPr>
            <w:tcW w:w="251" w:type="pct"/>
            <w:vMerge/>
            <w:vAlign w:val="center"/>
          </w:tcPr>
          <w:p w:rsidR="00971E69" w:rsidRDefault="00971E69">
            <w:pPr>
              <w:pStyle w:val="afa"/>
            </w:pPr>
          </w:p>
        </w:tc>
        <w:tc>
          <w:tcPr>
            <w:tcW w:w="984" w:type="pct"/>
            <w:gridSpan w:val="4"/>
            <w:vAlign w:val="center"/>
          </w:tcPr>
          <w:p w:rsidR="00971E69" w:rsidRDefault="00971E69">
            <w:pPr>
              <w:pStyle w:val="afa"/>
            </w:pPr>
            <w:r>
              <w:rPr>
                <w:rFonts w:hint="eastAsia"/>
              </w:rPr>
              <w:t>反渗透浓水</w:t>
            </w:r>
          </w:p>
        </w:tc>
        <w:tc>
          <w:tcPr>
            <w:tcW w:w="599" w:type="pct"/>
            <w:vAlign w:val="center"/>
          </w:tcPr>
          <w:p w:rsidR="00971E69" w:rsidRDefault="00971E69">
            <w:pPr>
              <w:pStyle w:val="afa"/>
            </w:pPr>
            <w:r>
              <w:t>COD</w:t>
            </w:r>
            <w:r>
              <w:t>、</w:t>
            </w:r>
            <w:r>
              <w:t>SS</w:t>
            </w:r>
            <w:r>
              <w:rPr>
                <w:rFonts w:hint="eastAsia"/>
              </w:rPr>
              <w:t>、</w:t>
            </w:r>
            <w:r>
              <w:rPr>
                <w:rFonts w:hint="eastAsia"/>
              </w:rPr>
              <w:t>NH</w:t>
            </w:r>
            <w:r>
              <w:rPr>
                <w:rFonts w:hint="eastAsia"/>
                <w:vertAlign w:val="subscript"/>
              </w:rPr>
              <w:t>3</w:t>
            </w:r>
            <w:r>
              <w:rPr>
                <w:rFonts w:hint="eastAsia"/>
              </w:rPr>
              <w:t>-N</w:t>
            </w:r>
            <w:r>
              <w:rPr>
                <w:rFonts w:hint="eastAsia"/>
              </w:rPr>
              <w:t>、</w:t>
            </w:r>
            <w:r>
              <w:rPr>
                <w:rFonts w:hint="eastAsia"/>
              </w:rPr>
              <w:t>TN</w:t>
            </w:r>
            <w:r>
              <w:rPr>
                <w:rFonts w:hint="eastAsia"/>
              </w:rPr>
              <w:t>、</w:t>
            </w:r>
            <w:r>
              <w:rPr>
                <w:rFonts w:hint="eastAsia"/>
              </w:rPr>
              <w:t>TP</w:t>
            </w:r>
          </w:p>
        </w:tc>
        <w:tc>
          <w:tcPr>
            <w:tcW w:w="1054" w:type="pct"/>
            <w:gridSpan w:val="2"/>
            <w:vAlign w:val="center"/>
          </w:tcPr>
          <w:p w:rsidR="00971E69" w:rsidRPr="00971E69" w:rsidRDefault="00971E69">
            <w:pPr>
              <w:pStyle w:val="afa"/>
              <w:rPr>
                <w:b/>
                <w:u w:val="single"/>
              </w:rPr>
            </w:pPr>
            <w:r w:rsidRPr="00971E69">
              <w:rPr>
                <w:rFonts w:hint="eastAsia"/>
                <w:b/>
                <w:u w:val="single"/>
              </w:rPr>
              <w:t>/</w:t>
            </w:r>
          </w:p>
        </w:tc>
        <w:tc>
          <w:tcPr>
            <w:tcW w:w="1413" w:type="pct"/>
            <w:gridSpan w:val="2"/>
            <w:vMerge/>
            <w:vAlign w:val="center"/>
          </w:tcPr>
          <w:p w:rsidR="00971E69" w:rsidRDefault="00971E69">
            <w:pPr>
              <w:pStyle w:val="afa"/>
            </w:pPr>
          </w:p>
        </w:tc>
        <w:tc>
          <w:tcPr>
            <w:tcW w:w="698" w:type="pct"/>
            <w:vMerge/>
            <w:vAlign w:val="center"/>
          </w:tcPr>
          <w:p w:rsidR="00971E69" w:rsidRDefault="00971E69">
            <w:pPr>
              <w:pStyle w:val="afa"/>
            </w:pPr>
          </w:p>
        </w:tc>
      </w:tr>
      <w:tr w:rsidR="00EE56C0">
        <w:trPr>
          <w:trHeight w:val="397"/>
          <w:jc w:val="center"/>
        </w:trPr>
        <w:tc>
          <w:tcPr>
            <w:tcW w:w="251" w:type="pct"/>
            <w:vMerge w:val="restart"/>
            <w:vAlign w:val="center"/>
          </w:tcPr>
          <w:p w:rsidR="00EE56C0" w:rsidRDefault="000F36A1">
            <w:pPr>
              <w:pStyle w:val="afa"/>
            </w:pPr>
            <w:r>
              <w:t>固废</w:t>
            </w:r>
          </w:p>
        </w:tc>
        <w:tc>
          <w:tcPr>
            <w:tcW w:w="250" w:type="pct"/>
            <w:vMerge w:val="restart"/>
            <w:vAlign w:val="center"/>
          </w:tcPr>
          <w:p w:rsidR="00EE56C0" w:rsidRDefault="000F36A1">
            <w:pPr>
              <w:pStyle w:val="afa"/>
            </w:pPr>
            <w:r>
              <w:t>一般固废</w:t>
            </w:r>
          </w:p>
        </w:tc>
        <w:tc>
          <w:tcPr>
            <w:tcW w:w="735" w:type="pct"/>
            <w:gridSpan w:val="3"/>
            <w:vAlign w:val="center"/>
          </w:tcPr>
          <w:p w:rsidR="00EE56C0" w:rsidRDefault="000F36A1">
            <w:pPr>
              <w:pStyle w:val="afa"/>
            </w:pPr>
            <w:r>
              <w:t>原料使用</w:t>
            </w:r>
          </w:p>
        </w:tc>
        <w:tc>
          <w:tcPr>
            <w:tcW w:w="599" w:type="pct"/>
            <w:vAlign w:val="center"/>
          </w:tcPr>
          <w:p w:rsidR="00EE56C0" w:rsidRDefault="000F36A1">
            <w:pPr>
              <w:pStyle w:val="afa"/>
            </w:pPr>
            <w:r>
              <w:t>废包材</w:t>
            </w:r>
          </w:p>
        </w:tc>
        <w:tc>
          <w:tcPr>
            <w:tcW w:w="2467" w:type="pct"/>
            <w:gridSpan w:val="4"/>
            <w:vMerge w:val="restart"/>
            <w:vAlign w:val="center"/>
          </w:tcPr>
          <w:p w:rsidR="00EE56C0" w:rsidRDefault="000F36A1">
            <w:pPr>
              <w:pStyle w:val="afa"/>
              <w:rPr>
                <w:kern w:val="36"/>
              </w:rPr>
            </w:pPr>
            <w:r>
              <w:rPr>
                <w:kern w:val="36"/>
              </w:rPr>
              <w:t>一般固废暂存间存放，定期集中出售</w:t>
            </w:r>
          </w:p>
        </w:tc>
        <w:tc>
          <w:tcPr>
            <w:tcW w:w="698" w:type="pct"/>
            <w:vMerge w:val="restart"/>
            <w:vAlign w:val="center"/>
          </w:tcPr>
          <w:p w:rsidR="00EE56C0" w:rsidRDefault="000F36A1">
            <w:pPr>
              <w:pStyle w:val="afa"/>
              <w:rPr>
                <w:kern w:val="36"/>
              </w:rPr>
            </w:pPr>
            <w:r>
              <w:rPr>
                <w:rFonts w:hint="eastAsia"/>
                <w:kern w:val="36"/>
              </w:rPr>
              <w:t>/</w:t>
            </w:r>
          </w:p>
        </w:tc>
      </w:tr>
      <w:tr w:rsidR="00EE56C0">
        <w:trPr>
          <w:trHeight w:val="502"/>
          <w:jc w:val="center"/>
        </w:trPr>
        <w:tc>
          <w:tcPr>
            <w:tcW w:w="251" w:type="pct"/>
            <w:vMerge/>
            <w:vAlign w:val="center"/>
          </w:tcPr>
          <w:p w:rsidR="00EE56C0" w:rsidRDefault="00EE56C0">
            <w:pPr>
              <w:pStyle w:val="afa"/>
            </w:pPr>
          </w:p>
        </w:tc>
        <w:tc>
          <w:tcPr>
            <w:tcW w:w="250" w:type="pct"/>
            <w:vMerge/>
            <w:vAlign w:val="center"/>
          </w:tcPr>
          <w:p w:rsidR="00EE56C0" w:rsidRDefault="00EE56C0">
            <w:pPr>
              <w:pStyle w:val="afa"/>
            </w:pPr>
          </w:p>
        </w:tc>
        <w:tc>
          <w:tcPr>
            <w:tcW w:w="735" w:type="pct"/>
            <w:gridSpan w:val="3"/>
            <w:vAlign w:val="center"/>
          </w:tcPr>
          <w:p w:rsidR="00EE56C0" w:rsidRDefault="000F36A1">
            <w:pPr>
              <w:pStyle w:val="afa"/>
            </w:pPr>
            <w:r>
              <w:rPr>
                <w:rFonts w:hint="eastAsia"/>
              </w:rPr>
              <w:t>挤压</w:t>
            </w:r>
          </w:p>
        </w:tc>
        <w:tc>
          <w:tcPr>
            <w:tcW w:w="599" w:type="pct"/>
            <w:vAlign w:val="center"/>
          </w:tcPr>
          <w:p w:rsidR="00EE56C0" w:rsidRDefault="000F36A1">
            <w:pPr>
              <w:pStyle w:val="afa"/>
            </w:pPr>
            <w:r>
              <w:rPr>
                <w:rFonts w:hint="eastAsia"/>
              </w:rPr>
              <w:t>废铜线</w:t>
            </w:r>
          </w:p>
        </w:tc>
        <w:tc>
          <w:tcPr>
            <w:tcW w:w="2467" w:type="pct"/>
            <w:gridSpan w:val="4"/>
            <w:vMerge/>
            <w:vAlign w:val="center"/>
          </w:tcPr>
          <w:p w:rsidR="00EE56C0" w:rsidRDefault="00EE56C0">
            <w:pPr>
              <w:pStyle w:val="afa"/>
              <w:rPr>
                <w:kern w:val="36"/>
              </w:rPr>
            </w:pPr>
          </w:p>
        </w:tc>
        <w:tc>
          <w:tcPr>
            <w:tcW w:w="698" w:type="pct"/>
            <w:vMerge/>
            <w:vAlign w:val="center"/>
          </w:tcPr>
          <w:p w:rsidR="00EE56C0" w:rsidRDefault="00EE56C0">
            <w:pPr>
              <w:pStyle w:val="afa"/>
              <w:rPr>
                <w:kern w:val="36"/>
              </w:rPr>
            </w:pPr>
          </w:p>
        </w:tc>
      </w:tr>
      <w:tr w:rsidR="00EE56C0">
        <w:trPr>
          <w:trHeight w:val="804"/>
          <w:jc w:val="center"/>
        </w:trPr>
        <w:tc>
          <w:tcPr>
            <w:tcW w:w="251" w:type="pct"/>
            <w:vMerge/>
            <w:vAlign w:val="center"/>
          </w:tcPr>
          <w:p w:rsidR="00EE56C0" w:rsidRDefault="00EE56C0">
            <w:pPr>
              <w:pStyle w:val="afa"/>
            </w:pPr>
          </w:p>
        </w:tc>
        <w:tc>
          <w:tcPr>
            <w:tcW w:w="250" w:type="pct"/>
            <w:vMerge/>
            <w:vAlign w:val="center"/>
          </w:tcPr>
          <w:p w:rsidR="00EE56C0" w:rsidRDefault="00EE56C0">
            <w:pPr>
              <w:pStyle w:val="afa"/>
            </w:pPr>
          </w:p>
        </w:tc>
        <w:tc>
          <w:tcPr>
            <w:tcW w:w="735" w:type="pct"/>
            <w:gridSpan w:val="3"/>
            <w:vAlign w:val="center"/>
          </w:tcPr>
          <w:p w:rsidR="00EE56C0" w:rsidRDefault="000F36A1">
            <w:pPr>
              <w:pStyle w:val="afa"/>
            </w:pPr>
            <w:r>
              <w:t>检验</w:t>
            </w:r>
          </w:p>
        </w:tc>
        <w:tc>
          <w:tcPr>
            <w:tcW w:w="599" w:type="pct"/>
            <w:vAlign w:val="center"/>
          </w:tcPr>
          <w:p w:rsidR="00EE56C0" w:rsidRDefault="000F36A1">
            <w:pPr>
              <w:pStyle w:val="afa"/>
            </w:pPr>
            <w:r>
              <w:t>残次品</w:t>
            </w:r>
          </w:p>
        </w:tc>
        <w:tc>
          <w:tcPr>
            <w:tcW w:w="2467" w:type="pct"/>
            <w:gridSpan w:val="4"/>
            <w:vMerge/>
            <w:vAlign w:val="center"/>
          </w:tcPr>
          <w:p w:rsidR="00EE56C0" w:rsidRDefault="00EE56C0">
            <w:pPr>
              <w:pStyle w:val="afa"/>
            </w:pPr>
          </w:p>
        </w:tc>
        <w:tc>
          <w:tcPr>
            <w:tcW w:w="698" w:type="pct"/>
            <w:vMerge/>
            <w:vAlign w:val="center"/>
          </w:tcPr>
          <w:p w:rsidR="00EE56C0" w:rsidRDefault="00EE56C0">
            <w:pPr>
              <w:pStyle w:val="afa"/>
            </w:pPr>
          </w:p>
        </w:tc>
      </w:tr>
      <w:tr w:rsidR="00EE56C0">
        <w:trPr>
          <w:trHeight w:val="397"/>
          <w:jc w:val="center"/>
        </w:trPr>
        <w:tc>
          <w:tcPr>
            <w:tcW w:w="251" w:type="pct"/>
            <w:vMerge/>
            <w:vAlign w:val="center"/>
          </w:tcPr>
          <w:p w:rsidR="00EE56C0" w:rsidRDefault="00EE56C0">
            <w:pPr>
              <w:pStyle w:val="afa"/>
            </w:pPr>
          </w:p>
        </w:tc>
        <w:tc>
          <w:tcPr>
            <w:tcW w:w="250" w:type="pct"/>
            <w:vMerge w:val="restart"/>
            <w:vAlign w:val="center"/>
          </w:tcPr>
          <w:p w:rsidR="00EE56C0" w:rsidRDefault="000F36A1">
            <w:pPr>
              <w:pStyle w:val="afa"/>
            </w:pPr>
            <w:r>
              <w:t>危险废物</w:t>
            </w:r>
          </w:p>
        </w:tc>
        <w:tc>
          <w:tcPr>
            <w:tcW w:w="735" w:type="pct"/>
            <w:gridSpan w:val="3"/>
            <w:vMerge w:val="restart"/>
            <w:vAlign w:val="center"/>
          </w:tcPr>
          <w:p w:rsidR="00EE56C0" w:rsidRDefault="000F36A1">
            <w:pPr>
              <w:pStyle w:val="afa"/>
            </w:pPr>
            <w:r>
              <w:t>拉丝</w:t>
            </w:r>
          </w:p>
        </w:tc>
        <w:tc>
          <w:tcPr>
            <w:tcW w:w="599" w:type="pct"/>
            <w:vAlign w:val="center"/>
          </w:tcPr>
          <w:p w:rsidR="00EE56C0" w:rsidRDefault="000F36A1">
            <w:pPr>
              <w:pStyle w:val="afa"/>
            </w:pPr>
            <w:r>
              <w:t>含铜废油泥</w:t>
            </w:r>
          </w:p>
        </w:tc>
        <w:tc>
          <w:tcPr>
            <w:tcW w:w="2467" w:type="pct"/>
            <w:gridSpan w:val="4"/>
            <w:vMerge w:val="restart"/>
            <w:vAlign w:val="center"/>
          </w:tcPr>
          <w:p w:rsidR="00EE56C0" w:rsidRDefault="000F36A1">
            <w:pPr>
              <w:pStyle w:val="afa"/>
            </w:pPr>
            <w:r>
              <w:t>密闭容器</w:t>
            </w:r>
            <w:r>
              <w:rPr>
                <w:rFonts w:hint="eastAsia"/>
              </w:rPr>
              <w:t>/</w:t>
            </w:r>
            <w:r>
              <w:rPr>
                <w:rFonts w:hint="eastAsia"/>
              </w:rPr>
              <w:t>托盘</w:t>
            </w:r>
            <w:r>
              <w:t>收集、危废暂存间暂存后交由有资质单位处置</w:t>
            </w:r>
            <w:r>
              <w:rPr>
                <w:rFonts w:hint="eastAsia"/>
              </w:rPr>
              <w:t>；危废间废气经收集后引入废气治理措施处理后排放</w:t>
            </w:r>
          </w:p>
        </w:tc>
        <w:tc>
          <w:tcPr>
            <w:tcW w:w="698" w:type="pct"/>
            <w:vMerge w:val="restart"/>
            <w:vAlign w:val="center"/>
          </w:tcPr>
          <w:p w:rsidR="00EE56C0" w:rsidRDefault="000F36A1">
            <w:pPr>
              <w:pStyle w:val="afa"/>
            </w:pPr>
            <w:r>
              <w:rPr>
                <w:rFonts w:hint="eastAsia"/>
              </w:rPr>
              <w:t>/</w:t>
            </w:r>
          </w:p>
        </w:tc>
      </w:tr>
      <w:tr w:rsidR="00EE56C0">
        <w:trPr>
          <w:trHeight w:val="397"/>
          <w:jc w:val="center"/>
        </w:trPr>
        <w:tc>
          <w:tcPr>
            <w:tcW w:w="251" w:type="pct"/>
            <w:vMerge/>
            <w:vAlign w:val="center"/>
          </w:tcPr>
          <w:p w:rsidR="00EE56C0" w:rsidRDefault="00EE56C0">
            <w:pPr>
              <w:pStyle w:val="afa"/>
            </w:pPr>
          </w:p>
        </w:tc>
        <w:tc>
          <w:tcPr>
            <w:tcW w:w="250" w:type="pct"/>
            <w:vMerge/>
            <w:vAlign w:val="center"/>
          </w:tcPr>
          <w:p w:rsidR="00EE56C0" w:rsidRDefault="00EE56C0">
            <w:pPr>
              <w:pStyle w:val="afa"/>
            </w:pPr>
          </w:p>
        </w:tc>
        <w:tc>
          <w:tcPr>
            <w:tcW w:w="735" w:type="pct"/>
            <w:gridSpan w:val="3"/>
            <w:vMerge/>
            <w:vAlign w:val="center"/>
          </w:tcPr>
          <w:p w:rsidR="00EE56C0" w:rsidRDefault="00EE56C0">
            <w:pPr>
              <w:pStyle w:val="afa"/>
            </w:pPr>
          </w:p>
        </w:tc>
        <w:tc>
          <w:tcPr>
            <w:tcW w:w="599" w:type="pct"/>
            <w:vAlign w:val="center"/>
          </w:tcPr>
          <w:p w:rsidR="00EE56C0" w:rsidRDefault="000F36A1">
            <w:pPr>
              <w:pStyle w:val="afa"/>
            </w:pPr>
            <w:r>
              <w:rPr>
                <w:rFonts w:hint="eastAsia"/>
              </w:rPr>
              <w:t>废拉丝液</w:t>
            </w:r>
          </w:p>
        </w:tc>
        <w:tc>
          <w:tcPr>
            <w:tcW w:w="2467" w:type="pct"/>
            <w:gridSpan w:val="4"/>
            <w:vMerge/>
            <w:vAlign w:val="center"/>
          </w:tcPr>
          <w:p w:rsidR="00EE56C0" w:rsidRDefault="00EE56C0">
            <w:pPr>
              <w:pStyle w:val="afa"/>
            </w:pPr>
          </w:p>
        </w:tc>
        <w:tc>
          <w:tcPr>
            <w:tcW w:w="698" w:type="pct"/>
            <w:vMerge/>
            <w:vAlign w:val="center"/>
          </w:tcPr>
          <w:p w:rsidR="00EE56C0" w:rsidRDefault="00EE56C0">
            <w:pPr>
              <w:pStyle w:val="afa"/>
            </w:pPr>
          </w:p>
        </w:tc>
      </w:tr>
      <w:tr w:rsidR="00EE56C0">
        <w:trPr>
          <w:trHeight w:val="397"/>
          <w:jc w:val="center"/>
        </w:trPr>
        <w:tc>
          <w:tcPr>
            <w:tcW w:w="251" w:type="pct"/>
            <w:vMerge/>
            <w:vAlign w:val="center"/>
          </w:tcPr>
          <w:p w:rsidR="00EE56C0" w:rsidRDefault="00EE56C0">
            <w:pPr>
              <w:pStyle w:val="afa"/>
            </w:pPr>
          </w:p>
        </w:tc>
        <w:tc>
          <w:tcPr>
            <w:tcW w:w="250" w:type="pct"/>
            <w:vMerge/>
            <w:vAlign w:val="center"/>
          </w:tcPr>
          <w:p w:rsidR="00EE56C0" w:rsidRDefault="00EE56C0">
            <w:pPr>
              <w:pStyle w:val="afa"/>
            </w:pPr>
          </w:p>
        </w:tc>
        <w:tc>
          <w:tcPr>
            <w:tcW w:w="735" w:type="pct"/>
            <w:gridSpan w:val="3"/>
            <w:vAlign w:val="center"/>
          </w:tcPr>
          <w:p w:rsidR="00EE56C0" w:rsidRDefault="000F36A1">
            <w:pPr>
              <w:pStyle w:val="afa"/>
            </w:pPr>
            <w:r>
              <w:rPr>
                <w:rFonts w:hint="eastAsia"/>
              </w:rPr>
              <w:t>丝包线涂料</w:t>
            </w:r>
            <w:r>
              <w:t>使用</w:t>
            </w:r>
          </w:p>
        </w:tc>
        <w:tc>
          <w:tcPr>
            <w:tcW w:w="599" w:type="pct"/>
            <w:vAlign w:val="center"/>
          </w:tcPr>
          <w:p w:rsidR="00EE56C0" w:rsidRDefault="000F36A1">
            <w:pPr>
              <w:pStyle w:val="afa"/>
            </w:pPr>
            <w:r>
              <w:rPr>
                <w:rFonts w:hint="eastAsia"/>
              </w:rPr>
              <w:t>丝包线涂料废漆桶</w:t>
            </w:r>
          </w:p>
        </w:tc>
        <w:tc>
          <w:tcPr>
            <w:tcW w:w="2467" w:type="pct"/>
            <w:gridSpan w:val="4"/>
            <w:vMerge/>
            <w:vAlign w:val="center"/>
          </w:tcPr>
          <w:p w:rsidR="00EE56C0" w:rsidRDefault="00EE56C0">
            <w:pPr>
              <w:pStyle w:val="afa"/>
            </w:pPr>
          </w:p>
        </w:tc>
        <w:tc>
          <w:tcPr>
            <w:tcW w:w="698" w:type="pct"/>
            <w:vMerge/>
            <w:vAlign w:val="center"/>
          </w:tcPr>
          <w:p w:rsidR="00EE56C0" w:rsidRDefault="00EE56C0">
            <w:pPr>
              <w:pStyle w:val="afa"/>
            </w:pPr>
          </w:p>
        </w:tc>
      </w:tr>
      <w:tr w:rsidR="00EE56C0">
        <w:trPr>
          <w:trHeight w:val="686"/>
          <w:jc w:val="center"/>
        </w:trPr>
        <w:tc>
          <w:tcPr>
            <w:tcW w:w="251" w:type="pct"/>
            <w:vMerge/>
            <w:vAlign w:val="center"/>
          </w:tcPr>
          <w:p w:rsidR="00EE56C0" w:rsidRDefault="00EE56C0">
            <w:pPr>
              <w:pStyle w:val="afa"/>
            </w:pPr>
          </w:p>
        </w:tc>
        <w:tc>
          <w:tcPr>
            <w:tcW w:w="250" w:type="pct"/>
            <w:vMerge/>
            <w:vAlign w:val="center"/>
          </w:tcPr>
          <w:p w:rsidR="00EE56C0" w:rsidRDefault="00EE56C0">
            <w:pPr>
              <w:pStyle w:val="afa"/>
            </w:pPr>
          </w:p>
        </w:tc>
        <w:tc>
          <w:tcPr>
            <w:tcW w:w="735" w:type="pct"/>
            <w:gridSpan w:val="3"/>
            <w:vAlign w:val="center"/>
          </w:tcPr>
          <w:p w:rsidR="00EE56C0" w:rsidRDefault="000F36A1">
            <w:pPr>
              <w:pStyle w:val="afa"/>
            </w:pPr>
            <w:r>
              <w:rPr>
                <w:rFonts w:hint="eastAsia"/>
              </w:rPr>
              <w:t>生产过程</w:t>
            </w:r>
          </w:p>
        </w:tc>
        <w:tc>
          <w:tcPr>
            <w:tcW w:w="599" w:type="pct"/>
            <w:vAlign w:val="center"/>
          </w:tcPr>
          <w:p w:rsidR="00EE56C0" w:rsidRDefault="000F36A1">
            <w:pPr>
              <w:pStyle w:val="afa"/>
            </w:pPr>
            <w:r>
              <w:rPr>
                <w:rFonts w:hint="eastAsia"/>
              </w:rPr>
              <w:t>含涂料、含油的废毛毡、废布</w:t>
            </w:r>
            <w:r>
              <w:rPr>
                <w:rFonts w:hint="eastAsia"/>
              </w:rPr>
              <w:t xml:space="preserve"> </w:t>
            </w:r>
          </w:p>
        </w:tc>
        <w:tc>
          <w:tcPr>
            <w:tcW w:w="2467" w:type="pct"/>
            <w:gridSpan w:val="4"/>
            <w:vMerge/>
            <w:vAlign w:val="center"/>
          </w:tcPr>
          <w:p w:rsidR="00EE56C0" w:rsidRDefault="00EE56C0">
            <w:pPr>
              <w:pStyle w:val="afa"/>
            </w:pPr>
          </w:p>
        </w:tc>
        <w:tc>
          <w:tcPr>
            <w:tcW w:w="698" w:type="pct"/>
            <w:vMerge/>
            <w:vAlign w:val="center"/>
          </w:tcPr>
          <w:p w:rsidR="00EE56C0" w:rsidRDefault="00EE56C0">
            <w:pPr>
              <w:pStyle w:val="afa"/>
            </w:pPr>
          </w:p>
        </w:tc>
      </w:tr>
      <w:tr w:rsidR="00EE56C0">
        <w:trPr>
          <w:trHeight w:val="397"/>
          <w:jc w:val="center"/>
        </w:trPr>
        <w:tc>
          <w:tcPr>
            <w:tcW w:w="251" w:type="pct"/>
            <w:vMerge/>
            <w:vAlign w:val="center"/>
          </w:tcPr>
          <w:p w:rsidR="00EE56C0" w:rsidRDefault="00EE56C0">
            <w:pPr>
              <w:pStyle w:val="afa"/>
            </w:pPr>
          </w:p>
        </w:tc>
        <w:tc>
          <w:tcPr>
            <w:tcW w:w="250" w:type="pct"/>
            <w:vMerge/>
            <w:vAlign w:val="center"/>
          </w:tcPr>
          <w:p w:rsidR="00EE56C0" w:rsidRDefault="00EE56C0">
            <w:pPr>
              <w:pStyle w:val="afa"/>
            </w:pPr>
          </w:p>
        </w:tc>
        <w:tc>
          <w:tcPr>
            <w:tcW w:w="735" w:type="pct"/>
            <w:gridSpan w:val="3"/>
            <w:vMerge w:val="restart"/>
            <w:vAlign w:val="center"/>
          </w:tcPr>
          <w:p w:rsidR="00EE56C0" w:rsidRDefault="000F36A1">
            <w:pPr>
              <w:pStyle w:val="afa"/>
            </w:pPr>
            <w:r>
              <w:rPr>
                <w:rFonts w:hint="eastAsia"/>
              </w:rPr>
              <w:t>废气治理</w:t>
            </w:r>
          </w:p>
        </w:tc>
        <w:tc>
          <w:tcPr>
            <w:tcW w:w="599" w:type="pct"/>
            <w:vAlign w:val="center"/>
          </w:tcPr>
          <w:p w:rsidR="00EE56C0" w:rsidRDefault="000F36A1">
            <w:pPr>
              <w:pStyle w:val="afa"/>
            </w:pPr>
            <w:r>
              <w:rPr>
                <w:rFonts w:hint="eastAsia"/>
              </w:rPr>
              <w:t>废油</w:t>
            </w:r>
          </w:p>
        </w:tc>
        <w:tc>
          <w:tcPr>
            <w:tcW w:w="2467" w:type="pct"/>
            <w:gridSpan w:val="4"/>
            <w:vMerge/>
            <w:vAlign w:val="center"/>
          </w:tcPr>
          <w:p w:rsidR="00EE56C0" w:rsidRDefault="00EE56C0">
            <w:pPr>
              <w:pStyle w:val="afa"/>
            </w:pPr>
          </w:p>
        </w:tc>
        <w:tc>
          <w:tcPr>
            <w:tcW w:w="698" w:type="pct"/>
            <w:vMerge/>
            <w:vAlign w:val="center"/>
          </w:tcPr>
          <w:p w:rsidR="00EE56C0" w:rsidRDefault="00EE56C0">
            <w:pPr>
              <w:pStyle w:val="afa"/>
            </w:pPr>
          </w:p>
        </w:tc>
      </w:tr>
      <w:tr w:rsidR="00EE56C0">
        <w:trPr>
          <w:trHeight w:val="397"/>
          <w:jc w:val="center"/>
        </w:trPr>
        <w:tc>
          <w:tcPr>
            <w:tcW w:w="251" w:type="pct"/>
            <w:vMerge/>
            <w:vAlign w:val="center"/>
          </w:tcPr>
          <w:p w:rsidR="00EE56C0" w:rsidRDefault="00EE56C0">
            <w:pPr>
              <w:pStyle w:val="afa"/>
            </w:pPr>
          </w:p>
        </w:tc>
        <w:tc>
          <w:tcPr>
            <w:tcW w:w="250" w:type="pct"/>
            <w:vMerge/>
            <w:vAlign w:val="center"/>
          </w:tcPr>
          <w:p w:rsidR="00EE56C0" w:rsidRDefault="00EE56C0">
            <w:pPr>
              <w:pStyle w:val="afa"/>
            </w:pPr>
          </w:p>
        </w:tc>
        <w:tc>
          <w:tcPr>
            <w:tcW w:w="735" w:type="pct"/>
            <w:gridSpan w:val="3"/>
            <w:vMerge/>
            <w:vAlign w:val="center"/>
          </w:tcPr>
          <w:p w:rsidR="00EE56C0" w:rsidRDefault="00EE56C0">
            <w:pPr>
              <w:pStyle w:val="afa"/>
            </w:pPr>
          </w:p>
        </w:tc>
        <w:tc>
          <w:tcPr>
            <w:tcW w:w="599" w:type="pct"/>
            <w:vAlign w:val="center"/>
          </w:tcPr>
          <w:p w:rsidR="00EE56C0" w:rsidRDefault="000F36A1">
            <w:pPr>
              <w:pStyle w:val="afa"/>
            </w:pPr>
            <w:r>
              <w:rPr>
                <w:rFonts w:hint="eastAsia"/>
              </w:rPr>
              <w:t>废活性炭</w:t>
            </w:r>
          </w:p>
        </w:tc>
        <w:tc>
          <w:tcPr>
            <w:tcW w:w="2467" w:type="pct"/>
            <w:gridSpan w:val="4"/>
            <w:vMerge/>
            <w:vAlign w:val="center"/>
          </w:tcPr>
          <w:p w:rsidR="00EE56C0" w:rsidRDefault="00EE56C0">
            <w:pPr>
              <w:pStyle w:val="afa"/>
            </w:pPr>
          </w:p>
        </w:tc>
        <w:tc>
          <w:tcPr>
            <w:tcW w:w="698" w:type="pct"/>
            <w:vMerge/>
            <w:vAlign w:val="center"/>
          </w:tcPr>
          <w:p w:rsidR="00EE56C0" w:rsidRDefault="00EE56C0">
            <w:pPr>
              <w:pStyle w:val="afa"/>
            </w:pPr>
          </w:p>
        </w:tc>
      </w:tr>
      <w:tr w:rsidR="00EE56C0">
        <w:trPr>
          <w:trHeight w:val="397"/>
          <w:jc w:val="center"/>
        </w:trPr>
        <w:tc>
          <w:tcPr>
            <w:tcW w:w="251" w:type="pct"/>
            <w:vMerge/>
            <w:vAlign w:val="center"/>
          </w:tcPr>
          <w:p w:rsidR="00EE56C0" w:rsidRDefault="00EE56C0">
            <w:pPr>
              <w:pStyle w:val="afa"/>
            </w:pPr>
          </w:p>
        </w:tc>
        <w:tc>
          <w:tcPr>
            <w:tcW w:w="250" w:type="pct"/>
            <w:vMerge/>
            <w:vAlign w:val="center"/>
          </w:tcPr>
          <w:p w:rsidR="00EE56C0" w:rsidRDefault="00EE56C0">
            <w:pPr>
              <w:pStyle w:val="afa"/>
            </w:pPr>
          </w:p>
        </w:tc>
        <w:tc>
          <w:tcPr>
            <w:tcW w:w="735" w:type="pct"/>
            <w:gridSpan w:val="3"/>
            <w:vMerge/>
            <w:vAlign w:val="center"/>
          </w:tcPr>
          <w:p w:rsidR="00EE56C0" w:rsidRDefault="00EE56C0">
            <w:pPr>
              <w:pStyle w:val="afa"/>
            </w:pPr>
          </w:p>
        </w:tc>
        <w:tc>
          <w:tcPr>
            <w:tcW w:w="599" w:type="pct"/>
            <w:vAlign w:val="center"/>
          </w:tcPr>
          <w:p w:rsidR="00EE56C0" w:rsidRDefault="000F36A1">
            <w:pPr>
              <w:pStyle w:val="afa"/>
            </w:pPr>
            <w:r>
              <w:t>废催化剂</w:t>
            </w:r>
          </w:p>
        </w:tc>
        <w:tc>
          <w:tcPr>
            <w:tcW w:w="2467" w:type="pct"/>
            <w:gridSpan w:val="4"/>
            <w:vMerge/>
            <w:vAlign w:val="center"/>
          </w:tcPr>
          <w:p w:rsidR="00EE56C0" w:rsidRDefault="00EE56C0">
            <w:pPr>
              <w:pStyle w:val="afa"/>
            </w:pPr>
          </w:p>
        </w:tc>
        <w:tc>
          <w:tcPr>
            <w:tcW w:w="698" w:type="pct"/>
            <w:vMerge/>
            <w:vAlign w:val="center"/>
          </w:tcPr>
          <w:p w:rsidR="00EE56C0" w:rsidRDefault="00EE56C0">
            <w:pPr>
              <w:pStyle w:val="afa"/>
            </w:pPr>
          </w:p>
        </w:tc>
      </w:tr>
      <w:tr w:rsidR="00EE56C0">
        <w:trPr>
          <w:trHeight w:val="397"/>
          <w:jc w:val="center"/>
        </w:trPr>
        <w:tc>
          <w:tcPr>
            <w:tcW w:w="251" w:type="pct"/>
            <w:vMerge/>
            <w:vAlign w:val="center"/>
          </w:tcPr>
          <w:p w:rsidR="00EE56C0" w:rsidRDefault="00EE56C0">
            <w:pPr>
              <w:pStyle w:val="afa"/>
            </w:pPr>
          </w:p>
        </w:tc>
        <w:tc>
          <w:tcPr>
            <w:tcW w:w="250" w:type="pct"/>
            <w:vMerge/>
            <w:vAlign w:val="center"/>
          </w:tcPr>
          <w:p w:rsidR="00EE56C0" w:rsidRDefault="00EE56C0">
            <w:pPr>
              <w:pStyle w:val="afa"/>
            </w:pPr>
          </w:p>
        </w:tc>
        <w:tc>
          <w:tcPr>
            <w:tcW w:w="735" w:type="pct"/>
            <w:gridSpan w:val="3"/>
            <w:vMerge/>
            <w:vAlign w:val="center"/>
          </w:tcPr>
          <w:p w:rsidR="00EE56C0" w:rsidRDefault="00EE56C0">
            <w:pPr>
              <w:pStyle w:val="afa"/>
            </w:pPr>
          </w:p>
        </w:tc>
        <w:tc>
          <w:tcPr>
            <w:tcW w:w="599" w:type="pct"/>
            <w:vAlign w:val="center"/>
          </w:tcPr>
          <w:p w:rsidR="00EE56C0" w:rsidRDefault="000F36A1">
            <w:pPr>
              <w:pStyle w:val="afa"/>
            </w:pPr>
            <w:r>
              <w:rPr>
                <w:rFonts w:hint="eastAsia"/>
              </w:rPr>
              <w:t>废沸石分子筛</w:t>
            </w:r>
          </w:p>
        </w:tc>
        <w:tc>
          <w:tcPr>
            <w:tcW w:w="2467" w:type="pct"/>
            <w:gridSpan w:val="4"/>
            <w:vMerge/>
            <w:vAlign w:val="center"/>
          </w:tcPr>
          <w:p w:rsidR="00EE56C0" w:rsidRDefault="00EE56C0">
            <w:pPr>
              <w:pStyle w:val="afa"/>
            </w:pPr>
          </w:p>
        </w:tc>
        <w:tc>
          <w:tcPr>
            <w:tcW w:w="698" w:type="pct"/>
            <w:vMerge/>
            <w:vAlign w:val="center"/>
          </w:tcPr>
          <w:p w:rsidR="00EE56C0" w:rsidRDefault="00EE56C0">
            <w:pPr>
              <w:pStyle w:val="afa"/>
            </w:pPr>
          </w:p>
        </w:tc>
      </w:tr>
      <w:tr w:rsidR="00EE56C0">
        <w:trPr>
          <w:trHeight w:val="397"/>
          <w:jc w:val="center"/>
        </w:trPr>
        <w:tc>
          <w:tcPr>
            <w:tcW w:w="251" w:type="pct"/>
            <w:vAlign w:val="center"/>
          </w:tcPr>
          <w:p w:rsidR="00EE56C0" w:rsidRDefault="000F36A1">
            <w:pPr>
              <w:pStyle w:val="afa"/>
            </w:pPr>
            <w:r>
              <w:t>噪声</w:t>
            </w:r>
          </w:p>
        </w:tc>
        <w:tc>
          <w:tcPr>
            <w:tcW w:w="984" w:type="pct"/>
            <w:gridSpan w:val="4"/>
            <w:vAlign w:val="center"/>
          </w:tcPr>
          <w:p w:rsidR="00EE56C0" w:rsidRDefault="000F36A1">
            <w:pPr>
              <w:pStyle w:val="afa"/>
            </w:pPr>
            <w:r>
              <w:rPr>
                <w:rFonts w:hint="eastAsia"/>
              </w:rPr>
              <w:t>漆包机、全自动拉丝机</w:t>
            </w:r>
            <w:r>
              <w:t>、</w:t>
            </w:r>
            <w:r>
              <w:rPr>
                <w:rFonts w:hint="eastAsia"/>
              </w:rPr>
              <w:t>拉拔机、挤压机、纸包机、膜包机、丝包机、全自动小拉机</w:t>
            </w:r>
            <w:r>
              <w:t>等</w:t>
            </w:r>
          </w:p>
        </w:tc>
        <w:tc>
          <w:tcPr>
            <w:tcW w:w="599" w:type="pct"/>
            <w:vAlign w:val="center"/>
          </w:tcPr>
          <w:p w:rsidR="00EE56C0" w:rsidRDefault="000F36A1">
            <w:pPr>
              <w:pStyle w:val="afa"/>
            </w:pPr>
            <w:r>
              <w:t>设备噪声</w:t>
            </w:r>
          </w:p>
        </w:tc>
        <w:tc>
          <w:tcPr>
            <w:tcW w:w="2467" w:type="pct"/>
            <w:gridSpan w:val="4"/>
            <w:vAlign w:val="center"/>
          </w:tcPr>
          <w:p w:rsidR="00EE56C0" w:rsidRDefault="000F36A1">
            <w:pPr>
              <w:pStyle w:val="afa"/>
            </w:pPr>
            <w:r>
              <w:t>减振、密闭隔音等</w:t>
            </w:r>
          </w:p>
        </w:tc>
        <w:tc>
          <w:tcPr>
            <w:tcW w:w="698" w:type="pct"/>
            <w:vAlign w:val="center"/>
          </w:tcPr>
          <w:p w:rsidR="00EE56C0" w:rsidRDefault="000F36A1">
            <w:pPr>
              <w:pStyle w:val="afa"/>
            </w:pPr>
            <w:r>
              <w:rPr>
                <w:rFonts w:hint="eastAsia"/>
              </w:rPr>
              <w:t>8</w:t>
            </w:r>
          </w:p>
        </w:tc>
      </w:tr>
      <w:tr w:rsidR="00EE56C0">
        <w:trPr>
          <w:trHeight w:val="397"/>
          <w:jc w:val="center"/>
        </w:trPr>
        <w:tc>
          <w:tcPr>
            <w:tcW w:w="251" w:type="pct"/>
            <w:vAlign w:val="center"/>
          </w:tcPr>
          <w:p w:rsidR="00EE56C0" w:rsidRDefault="000F36A1">
            <w:pPr>
              <w:pStyle w:val="afa"/>
            </w:pPr>
            <w:r>
              <w:rPr>
                <w:rFonts w:hint="eastAsia"/>
              </w:rPr>
              <w:t>风</w:t>
            </w:r>
            <w:r>
              <w:rPr>
                <w:rFonts w:hint="eastAsia"/>
              </w:rPr>
              <w:lastRenderedPageBreak/>
              <w:t>险</w:t>
            </w:r>
          </w:p>
        </w:tc>
        <w:tc>
          <w:tcPr>
            <w:tcW w:w="4050" w:type="pct"/>
            <w:gridSpan w:val="9"/>
            <w:vAlign w:val="center"/>
          </w:tcPr>
          <w:p w:rsidR="00EE56C0" w:rsidRDefault="000F36A1">
            <w:pPr>
              <w:pStyle w:val="afa"/>
              <w:ind w:firstLine="480"/>
            </w:pPr>
            <w:r>
              <w:rPr>
                <w:rFonts w:hint="eastAsia"/>
              </w:rPr>
              <w:lastRenderedPageBreak/>
              <w:t>事故废水收集管网；</w:t>
            </w:r>
            <w:r>
              <w:t>采取地面硬化等防渗措施</w:t>
            </w:r>
            <w:r>
              <w:rPr>
                <w:rFonts w:hint="eastAsia"/>
              </w:rPr>
              <w:t>；新增应急器材、消防</w:t>
            </w:r>
            <w:r>
              <w:rPr>
                <w:rFonts w:hint="eastAsia"/>
              </w:rPr>
              <w:lastRenderedPageBreak/>
              <w:t>器材等；依托现有事故水池</w:t>
            </w:r>
          </w:p>
        </w:tc>
        <w:tc>
          <w:tcPr>
            <w:tcW w:w="698" w:type="pct"/>
            <w:vAlign w:val="center"/>
          </w:tcPr>
          <w:p w:rsidR="00EE56C0" w:rsidRDefault="000F36A1">
            <w:pPr>
              <w:pStyle w:val="afa"/>
            </w:pPr>
            <w:r>
              <w:rPr>
                <w:rFonts w:hint="eastAsia"/>
              </w:rPr>
              <w:lastRenderedPageBreak/>
              <w:t>5</w:t>
            </w:r>
          </w:p>
        </w:tc>
      </w:tr>
      <w:tr w:rsidR="00EE56C0">
        <w:trPr>
          <w:trHeight w:val="397"/>
          <w:jc w:val="center"/>
        </w:trPr>
        <w:tc>
          <w:tcPr>
            <w:tcW w:w="251" w:type="pct"/>
            <w:vAlign w:val="center"/>
          </w:tcPr>
          <w:p w:rsidR="00EE56C0" w:rsidRDefault="000F36A1">
            <w:pPr>
              <w:pStyle w:val="afa"/>
            </w:pPr>
            <w:r>
              <w:rPr>
                <w:rFonts w:hint="eastAsia"/>
              </w:rPr>
              <w:lastRenderedPageBreak/>
              <w:t>管理</w:t>
            </w:r>
          </w:p>
        </w:tc>
        <w:tc>
          <w:tcPr>
            <w:tcW w:w="4050" w:type="pct"/>
            <w:gridSpan w:val="9"/>
            <w:vAlign w:val="center"/>
          </w:tcPr>
          <w:p w:rsidR="00EE56C0" w:rsidRDefault="000F36A1">
            <w:pPr>
              <w:pStyle w:val="afa"/>
              <w:ind w:firstLine="480"/>
            </w:pPr>
            <w:r>
              <w:rPr>
                <w:rFonts w:hint="eastAsia"/>
              </w:rPr>
              <w:t>废气排气筒排放口、监测取样处</w:t>
            </w:r>
            <w:r>
              <w:t>安装视频监控</w:t>
            </w:r>
            <w:r>
              <w:rPr>
                <w:rFonts w:hint="eastAsia"/>
              </w:rPr>
              <w:t>（已安装）；总用电处、生产设施、废气及废水处理设施处安装用电监控设施，并与环保部门联网</w:t>
            </w:r>
          </w:p>
        </w:tc>
        <w:tc>
          <w:tcPr>
            <w:tcW w:w="698" w:type="pct"/>
            <w:vAlign w:val="center"/>
          </w:tcPr>
          <w:p w:rsidR="00EE56C0" w:rsidRDefault="000F36A1">
            <w:pPr>
              <w:pStyle w:val="afa"/>
            </w:pPr>
            <w:r>
              <w:rPr>
                <w:rFonts w:hint="eastAsia"/>
              </w:rPr>
              <w:t>5</w:t>
            </w:r>
          </w:p>
        </w:tc>
      </w:tr>
      <w:tr w:rsidR="00EE56C0">
        <w:trPr>
          <w:trHeight w:val="397"/>
          <w:jc w:val="center"/>
        </w:trPr>
        <w:tc>
          <w:tcPr>
            <w:tcW w:w="4302" w:type="pct"/>
            <w:gridSpan w:val="10"/>
            <w:vAlign w:val="center"/>
          </w:tcPr>
          <w:p w:rsidR="00EE56C0" w:rsidRDefault="000F36A1">
            <w:pPr>
              <w:pStyle w:val="afa"/>
              <w:ind w:firstLine="480"/>
            </w:pPr>
            <w:r>
              <w:rPr>
                <w:rFonts w:hint="eastAsia"/>
              </w:rPr>
              <w:t>合计</w:t>
            </w:r>
          </w:p>
        </w:tc>
        <w:tc>
          <w:tcPr>
            <w:tcW w:w="698" w:type="pct"/>
            <w:vAlign w:val="center"/>
          </w:tcPr>
          <w:p w:rsidR="00EE56C0" w:rsidRDefault="000F36A1">
            <w:pPr>
              <w:pStyle w:val="afa"/>
            </w:pPr>
            <w:r>
              <w:rPr>
                <w:rFonts w:hint="eastAsia"/>
              </w:rPr>
              <w:t>58</w:t>
            </w:r>
          </w:p>
        </w:tc>
      </w:tr>
    </w:tbl>
    <w:p w:rsidR="00EE56C0" w:rsidRDefault="000F36A1">
      <w:pPr>
        <w:ind w:firstLine="480"/>
      </w:pPr>
      <w:r>
        <w:rPr>
          <w:rFonts w:hint="eastAsia"/>
        </w:rPr>
        <w:t>本项目环境保护“三同时”验收设施见表</w:t>
      </w:r>
      <w:r>
        <w:rPr>
          <w:rFonts w:hint="eastAsia"/>
        </w:rPr>
        <w:t>6-</w:t>
      </w:r>
      <w:r w:rsidR="005767FB">
        <w:rPr>
          <w:rFonts w:hint="eastAsia"/>
        </w:rPr>
        <w:t>12</w:t>
      </w:r>
      <w:r>
        <w:rPr>
          <w:rFonts w:hint="eastAsia"/>
        </w:rPr>
        <w:t>。</w:t>
      </w:r>
      <w:bookmarkStart w:id="395" w:name="_Toc324839290"/>
      <w:bookmarkStart w:id="396" w:name="_Toc324839587"/>
      <w:bookmarkStart w:id="397" w:name="_Toc311812662"/>
    </w:p>
    <w:p w:rsidR="00EE56C0" w:rsidRDefault="000F36A1">
      <w:pPr>
        <w:pStyle w:val="afd"/>
        <w:spacing w:before="120" w:after="120"/>
        <w:ind w:firstLine="482"/>
      </w:pPr>
      <w:r>
        <w:rPr>
          <w:rFonts w:hint="eastAsia"/>
        </w:rPr>
        <w:t>表</w:t>
      </w:r>
      <w:r>
        <w:rPr>
          <w:rFonts w:hint="eastAsia"/>
        </w:rPr>
        <w:t>6-</w:t>
      </w:r>
      <w:r w:rsidR="005767FB">
        <w:rPr>
          <w:rFonts w:hint="eastAsia"/>
        </w:rPr>
        <w:t>12</w:t>
      </w:r>
      <w:r>
        <w:rPr>
          <w:rFonts w:hint="eastAsia"/>
        </w:rPr>
        <w:t xml:space="preserve">         </w:t>
      </w:r>
      <w:r>
        <w:rPr>
          <w:rFonts w:hint="eastAsia"/>
        </w:rPr>
        <w:t>一期、二期拟建工程环保“三同时”验收一览表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24"/>
        <w:gridCol w:w="432"/>
        <w:gridCol w:w="101"/>
        <w:gridCol w:w="711"/>
        <w:gridCol w:w="853"/>
        <w:gridCol w:w="1131"/>
        <w:gridCol w:w="855"/>
        <w:gridCol w:w="217"/>
        <w:gridCol w:w="1342"/>
        <w:gridCol w:w="861"/>
        <w:gridCol w:w="1602"/>
      </w:tblGrid>
      <w:tr w:rsidR="00EE56C0" w:rsidTr="00971E69">
        <w:trPr>
          <w:trHeight w:val="1242"/>
          <w:jc w:val="center"/>
        </w:trPr>
        <w:tc>
          <w:tcPr>
            <w:tcW w:w="249" w:type="pct"/>
            <w:vAlign w:val="center"/>
          </w:tcPr>
          <w:p w:rsidR="00EE56C0" w:rsidRDefault="000F36A1">
            <w:pPr>
              <w:pStyle w:val="aff1"/>
              <w:rPr>
                <w:color w:val="auto"/>
              </w:rPr>
            </w:pPr>
            <w:r>
              <w:rPr>
                <w:color w:val="auto"/>
              </w:rPr>
              <w:t>污染</w:t>
            </w:r>
          </w:p>
          <w:p w:rsidR="00EE56C0" w:rsidRDefault="000F36A1">
            <w:pPr>
              <w:pStyle w:val="aff1"/>
              <w:rPr>
                <w:color w:val="auto"/>
              </w:rPr>
            </w:pPr>
            <w:r>
              <w:rPr>
                <w:color w:val="auto"/>
              </w:rPr>
              <w:t>因素</w:t>
            </w:r>
          </w:p>
        </w:tc>
        <w:tc>
          <w:tcPr>
            <w:tcW w:w="1229" w:type="pct"/>
            <w:gridSpan w:val="4"/>
            <w:vAlign w:val="center"/>
          </w:tcPr>
          <w:p w:rsidR="00EE56C0" w:rsidRDefault="000F36A1">
            <w:pPr>
              <w:pStyle w:val="aff1"/>
              <w:rPr>
                <w:color w:val="auto"/>
              </w:rPr>
            </w:pPr>
            <w:r>
              <w:rPr>
                <w:color w:val="auto"/>
              </w:rPr>
              <w:t>产污环节</w:t>
            </w:r>
          </w:p>
        </w:tc>
        <w:tc>
          <w:tcPr>
            <w:tcW w:w="1164" w:type="pct"/>
            <w:gridSpan w:val="2"/>
            <w:vAlign w:val="center"/>
          </w:tcPr>
          <w:p w:rsidR="00EE56C0" w:rsidRDefault="000F36A1">
            <w:pPr>
              <w:pStyle w:val="aff1"/>
              <w:rPr>
                <w:color w:val="auto"/>
              </w:rPr>
            </w:pPr>
            <w:r>
              <w:rPr>
                <w:rFonts w:hint="eastAsia"/>
                <w:color w:val="auto"/>
              </w:rPr>
              <w:t>收集及预处理</w:t>
            </w:r>
          </w:p>
        </w:tc>
        <w:tc>
          <w:tcPr>
            <w:tcW w:w="1419" w:type="pct"/>
            <w:gridSpan w:val="3"/>
            <w:vAlign w:val="center"/>
          </w:tcPr>
          <w:p w:rsidR="00EE56C0" w:rsidRDefault="000F36A1">
            <w:pPr>
              <w:pStyle w:val="aff1"/>
              <w:rPr>
                <w:color w:val="auto"/>
              </w:rPr>
            </w:pPr>
            <w:r>
              <w:rPr>
                <w:color w:val="auto"/>
              </w:rPr>
              <w:t>防治措施</w:t>
            </w:r>
          </w:p>
        </w:tc>
        <w:tc>
          <w:tcPr>
            <w:tcW w:w="939" w:type="pct"/>
            <w:vAlign w:val="center"/>
          </w:tcPr>
          <w:p w:rsidR="00EE56C0" w:rsidRDefault="000F36A1">
            <w:pPr>
              <w:pStyle w:val="aff1"/>
              <w:rPr>
                <w:color w:val="auto"/>
              </w:rPr>
            </w:pPr>
            <w:r>
              <w:rPr>
                <w:rFonts w:hint="eastAsia"/>
                <w:color w:val="auto"/>
              </w:rPr>
              <w:t>执行标准</w:t>
            </w:r>
          </w:p>
        </w:tc>
      </w:tr>
      <w:tr w:rsidR="00EE56C0" w:rsidTr="00971E69">
        <w:trPr>
          <w:trHeight w:val="434"/>
          <w:jc w:val="center"/>
        </w:trPr>
        <w:tc>
          <w:tcPr>
            <w:tcW w:w="249" w:type="pct"/>
            <w:vMerge w:val="restart"/>
            <w:vAlign w:val="center"/>
          </w:tcPr>
          <w:p w:rsidR="00EE56C0" w:rsidRDefault="000F36A1">
            <w:pPr>
              <w:pStyle w:val="afa"/>
            </w:pPr>
            <w:r>
              <w:t>废气</w:t>
            </w:r>
          </w:p>
        </w:tc>
        <w:tc>
          <w:tcPr>
            <w:tcW w:w="1229" w:type="pct"/>
            <w:gridSpan w:val="4"/>
            <w:vAlign w:val="center"/>
          </w:tcPr>
          <w:p w:rsidR="00EE56C0" w:rsidRDefault="000F36A1">
            <w:pPr>
              <w:pStyle w:val="afa"/>
            </w:pPr>
            <w:r>
              <w:rPr>
                <w:rFonts w:hint="eastAsia"/>
              </w:rPr>
              <w:t>油水分离器：</w:t>
            </w:r>
          </w:p>
          <w:p w:rsidR="00EE56C0" w:rsidRDefault="000F36A1">
            <w:pPr>
              <w:pStyle w:val="afa"/>
            </w:pPr>
            <w:r>
              <w:rPr>
                <w:rFonts w:hint="eastAsia"/>
              </w:rPr>
              <w:t>不凝气</w:t>
            </w:r>
          </w:p>
        </w:tc>
        <w:tc>
          <w:tcPr>
            <w:tcW w:w="1164" w:type="pct"/>
            <w:gridSpan w:val="2"/>
            <w:vAlign w:val="center"/>
          </w:tcPr>
          <w:p w:rsidR="00EE56C0" w:rsidRDefault="000F36A1">
            <w:pPr>
              <w:pStyle w:val="afa"/>
            </w:pPr>
            <w:r>
              <w:rPr>
                <w:rFonts w:hint="eastAsia"/>
              </w:rPr>
              <w:t>集气管道</w:t>
            </w:r>
          </w:p>
        </w:tc>
        <w:tc>
          <w:tcPr>
            <w:tcW w:w="1419" w:type="pct"/>
            <w:gridSpan w:val="3"/>
            <w:vAlign w:val="center"/>
          </w:tcPr>
          <w:p w:rsidR="00EE56C0" w:rsidRDefault="000F36A1">
            <w:pPr>
              <w:pStyle w:val="afa"/>
            </w:pPr>
            <w:r>
              <w:rPr>
                <w:rFonts w:hint="eastAsia"/>
              </w:rPr>
              <w:t>静电除油</w:t>
            </w:r>
            <w:r>
              <w:rPr>
                <w:rFonts w:hint="eastAsia"/>
              </w:rPr>
              <w:t>+</w:t>
            </w:r>
            <w:r>
              <w:rPr>
                <w:rFonts w:hint="eastAsia"/>
              </w:rPr>
              <w:t>活性炭吸附</w:t>
            </w:r>
            <w:r>
              <w:rPr>
                <w:rFonts w:hint="eastAsia"/>
              </w:rPr>
              <w:t>-</w:t>
            </w:r>
            <w:r>
              <w:rPr>
                <w:rFonts w:hint="eastAsia"/>
              </w:rPr>
              <w:t>脱附</w:t>
            </w:r>
            <w:r>
              <w:rPr>
                <w:rFonts w:hint="eastAsia"/>
              </w:rPr>
              <w:t>-</w:t>
            </w:r>
            <w:r>
              <w:rPr>
                <w:rFonts w:hint="eastAsia"/>
              </w:rPr>
              <w:t>催化燃烧装置</w:t>
            </w:r>
            <w:r>
              <w:rPr>
                <w:rFonts w:hint="eastAsia"/>
              </w:rPr>
              <w:t>T</w:t>
            </w:r>
            <w:r>
              <w:rPr>
                <w:rFonts w:hint="eastAsia"/>
              </w:rPr>
              <w:t>（</w:t>
            </w:r>
            <w:r>
              <w:t>依托现有</w:t>
            </w:r>
            <w:r>
              <w:rPr>
                <w:rFonts w:hint="eastAsia"/>
              </w:rPr>
              <w:t>）</w:t>
            </w:r>
          </w:p>
        </w:tc>
        <w:tc>
          <w:tcPr>
            <w:tcW w:w="939" w:type="pct"/>
            <w:vMerge w:val="restart"/>
            <w:vAlign w:val="center"/>
          </w:tcPr>
          <w:p w:rsidR="00EE56C0" w:rsidRDefault="000F36A1">
            <w:pPr>
              <w:pStyle w:val="afa"/>
            </w:pPr>
            <w:r>
              <w:t>《工业涂装工序挥发性有机物排放标准》（</w:t>
            </w:r>
            <w:r>
              <w:t>DB41/1951-2020</w:t>
            </w:r>
            <w:r>
              <w:t>）、《大气污染物综合排放标准》（</w:t>
            </w:r>
            <w:r>
              <w:t>GB16297-1996</w:t>
            </w:r>
            <w:r>
              <w:t>）</w:t>
            </w:r>
            <w:r>
              <w:rPr>
                <w:rFonts w:hint="eastAsia"/>
              </w:rPr>
              <w:t>表</w:t>
            </w:r>
            <w:r>
              <w:rPr>
                <w:rFonts w:hint="eastAsia"/>
              </w:rPr>
              <w:t>2</w:t>
            </w:r>
            <w:r>
              <w:rPr>
                <w:rFonts w:hint="eastAsia"/>
              </w:rPr>
              <w:t>二级</w:t>
            </w:r>
          </w:p>
        </w:tc>
      </w:tr>
      <w:tr w:rsidR="00EE56C0" w:rsidTr="00971E69">
        <w:trPr>
          <w:trHeight w:val="802"/>
          <w:jc w:val="center"/>
        </w:trPr>
        <w:tc>
          <w:tcPr>
            <w:tcW w:w="249" w:type="pct"/>
            <w:vMerge/>
            <w:vAlign w:val="center"/>
          </w:tcPr>
          <w:p w:rsidR="00EE56C0" w:rsidRDefault="00EE56C0">
            <w:pPr>
              <w:pStyle w:val="afa"/>
            </w:pPr>
          </w:p>
        </w:tc>
        <w:tc>
          <w:tcPr>
            <w:tcW w:w="312" w:type="pct"/>
            <w:gridSpan w:val="2"/>
            <w:vMerge w:val="restart"/>
            <w:vAlign w:val="center"/>
          </w:tcPr>
          <w:p w:rsidR="00EE56C0" w:rsidRDefault="000F36A1">
            <w:pPr>
              <w:pStyle w:val="afa"/>
            </w:pPr>
            <w:r>
              <w:rPr>
                <w:rFonts w:hint="eastAsia"/>
              </w:rPr>
              <w:t>漆包线</w:t>
            </w:r>
          </w:p>
        </w:tc>
        <w:tc>
          <w:tcPr>
            <w:tcW w:w="417" w:type="pct"/>
            <w:vMerge w:val="restart"/>
            <w:vAlign w:val="center"/>
          </w:tcPr>
          <w:p w:rsidR="00EE56C0" w:rsidRDefault="000F36A1">
            <w:pPr>
              <w:pStyle w:val="afa"/>
            </w:pPr>
            <w:r>
              <w:rPr>
                <w:rFonts w:hint="eastAsia"/>
              </w:rPr>
              <w:t>卧机</w:t>
            </w:r>
          </w:p>
        </w:tc>
        <w:tc>
          <w:tcPr>
            <w:tcW w:w="500" w:type="pct"/>
            <w:vAlign w:val="center"/>
          </w:tcPr>
          <w:p w:rsidR="00EE56C0" w:rsidRDefault="000F36A1">
            <w:pPr>
              <w:pStyle w:val="afa"/>
            </w:pPr>
            <w:r>
              <w:rPr>
                <w:rFonts w:hint="eastAsia"/>
              </w:rPr>
              <w:t>涂漆</w:t>
            </w:r>
          </w:p>
        </w:tc>
        <w:tc>
          <w:tcPr>
            <w:tcW w:w="663" w:type="pct"/>
            <w:vAlign w:val="center"/>
          </w:tcPr>
          <w:p w:rsidR="00EE56C0" w:rsidRDefault="000F36A1">
            <w:pPr>
              <w:pStyle w:val="afa"/>
            </w:pPr>
            <w:r>
              <w:rPr>
                <w:rFonts w:hint="eastAsia"/>
              </w:rPr>
              <w:t>集气罩</w:t>
            </w:r>
          </w:p>
        </w:tc>
        <w:tc>
          <w:tcPr>
            <w:tcW w:w="501" w:type="pct"/>
            <w:vMerge w:val="restart"/>
            <w:vAlign w:val="center"/>
          </w:tcPr>
          <w:p w:rsidR="00EE56C0" w:rsidRDefault="000F36A1">
            <w:pPr>
              <w:pStyle w:val="afa"/>
            </w:pPr>
            <w:r>
              <w:rPr>
                <w:rFonts w:hint="eastAsia"/>
              </w:rPr>
              <w:t>炉内</w:t>
            </w:r>
            <w:r>
              <w:rPr>
                <w:rFonts w:hint="eastAsia"/>
              </w:rPr>
              <w:t>2</w:t>
            </w:r>
            <w:r>
              <w:rPr>
                <w:rFonts w:hint="eastAsia"/>
              </w:rPr>
              <w:t>次催化燃烧</w:t>
            </w:r>
          </w:p>
        </w:tc>
        <w:tc>
          <w:tcPr>
            <w:tcW w:w="914" w:type="pct"/>
            <w:gridSpan w:val="2"/>
            <w:vMerge w:val="restart"/>
            <w:vAlign w:val="center"/>
          </w:tcPr>
          <w:p w:rsidR="00EE56C0" w:rsidRDefault="000F36A1">
            <w:pPr>
              <w:pStyle w:val="afa"/>
            </w:pPr>
            <w:r>
              <w:rPr>
                <w:rFonts w:hint="eastAsia"/>
              </w:rPr>
              <w:t>拉包机：沸石吸附</w:t>
            </w:r>
            <w:r>
              <w:rPr>
                <w:rFonts w:hint="eastAsia"/>
              </w:rPr>
              <w:t>-</w:t>
            </w:r>
            <w:r>
              <w:rPr>
                <w:rFonts w:hint="eastAsia"/>
              </w:rPr>
              <w:t>脱附</w:t>
            </w:r>
            <w:r>
              <w:rPr>
                <w:rFonts w:hint="eastAsia"/>
              </w:rPr>
              <w:t>-</w:t>
            </w:r>
            <w:r>
              <w:rPr>
                <w:rFonts w:hint="eastAsia"/>
              </w:rPr>
              <w:t>催化燃烧</w:t>
            </w:r>
            <w:r>
              <w:rPr>
                <w:rFonts w:hint="eastAsia"/>
              </w:rPr>
              <w:t>F1</w:t>
            </w:r>
            <w:r>
              <w:rPr>
                <w:rFonts w:hint="eastAsia"/>
              </w:rPr>
              <w:t>（</w:t>
            </w:r>
            <w:r>
              <w:t>依托现有</w:t>
            </w:r>
            <w:r>
              <w:rPr>
                <w:rFonts w:hint="eastAsia"/>
              </w:rPr>
              <w:t>）</w:t>
            </w:r>
          </w:p>
        </w:tc>
        <w:tc>
          <w:tcPr>
            <w:tcW w:w="505" w:type="pct"/>
            <w:vMerge w:val="restart"/>
            <w:vAlign w:val="center"/>
          </w:tcPr>
          <w:p w:rsidR="00EE56C0" w:rsidRDefault="000F36A1">
            <w:pPr>
              <w:pStyle w:val="afa"/>
            </w:pPr>
            <w:r>
              <w:rPr>
                <w:rFonts w:hint="eastAsia"/>
              </w:rPr>
              <w:t>26.</w:t>
            </w:r>
            <w:r>
              <w:t>5m</w:t>
            </w:r>
            <w:r>
              <w:t>排气筒</w:t>
            </w:r>
            <w:r w:rsidR="008660AC">
              <w:rPr>
                <w:rFonts w:hint="eastAsia"/>
              </w:rPr>
              <w:t>P</w:t>
            </w:r>
            <w:r>
              <w:rPr>
                <w:rFonts w:hint="eastAsia"/>
              </w:rPr>
              <w:t>（</w:t>
            </w:r>
            <w:r>
              <w:t>依托现有</w:t>
            </w:r>
            <w:r>
              <w:rPr>
                <w:rFonts w:hint="eastAsia"/>
              </w:rPr>
              <w:t>）</w:t>
            </w:r>
          </w:p>
        </w:tc>
        <w:tc>
          <w:tcPr>
            <w:tcW w:w="939" w:type="pct"/>
            <w:vMerge/>
            <w:vAlign w:val="center"/>
          </w:tcPr>
          <w:p w:rsidR="00EE56C0" w:rsidRDefault="00EE56C0">
            <w:pPr>
              <w:pStyle w:val="afa"/>
            </w:pPr>
          </w:p>
        </w:tc>
      </w:tr>
      <w:tr w:rsidR="00EE56C0" w:rsidTr="00971E69">
        <w:trPr>
          <w:trHeight w:val="815"/>
          <w:jc w:val="center"/>
        </w:trPr>
        <w:tc>
          <w:tcPr>
            <w:tcW w:w="249" w:type="pct"/>
            <w:vMerge/>
            <w:vAlign w:val="center"/>
          </w:tcPr>
          <w:p w:rsidR="00EE56C0" w:rsidRDefault="00EE56C0">
            <w:pPr>
              <w:pStyle w:val="afa"/>
            </w:pPr>
          </w:p>
        </w:tc>
        <w:tc>
          <w:tcPr>
            <w:tcW w:w="312" w:type="pct"/>
            <w:gridSpan w:val="2"/>
            <w:vMerge/>
            <w:vAlign w:val="center"/>
          </w:tcPr>
          <w:p w:rsidR="00EE56C0" w:rsidRDefault="00EE56C0">
            <w:pPr>
              <w:pStyle w:val="afa"/>
            </w:pPr>
          </w:p>
        </w:tc>
        <w:tc>
          <w:tcPr>
            <w:tcW w:w="417" w:type="pct"/>
            <w:vMerge/>
            <w:vAlign w:val="center"/>
          </w:tcPr>
          <w:p w:rsidR="00EE56C0" w:rsidRDefault="00EE56C0">
            <w:pPr>
              <w:pStyle w:val="afa"/>
            </w:pPr>
          </w:p>
        </w:tc>
        <w:tc>
          <w:tcPr>
            <w:tcW w:w="500" w:type="pct"/>
            <w:vAlign w:val="center"/>
          </w:tcPr>
          <w:p w:rsidR="00EE56C0" w:rsidRDefault="000F36A1">
            <w:pPr>
              <w:pStyle w:val="afa"/>
            </w:pPr>
            <w:r>
              <w:rPr>
                <w:rFonts w:hint="eastAsia"/>
              </w:rPr>
              <w:t>烘干</w:t>
            </w:r>
          </w:p>
        </w:tc>
        <w:tc>
          <w:tcPr>
            <w:tcW w:w="663" w:type="pct"/>
            <w:vAlign w:val="center"/>
          </w:tcPr>
          <w:p w:rsidR="00EE56C0" w:rsidRDefault="000F36A1">
            <w:pPr>
              <w:pStyle w:val="afa"/>
            </w:pPr>
            <w:r>
              <w:rPr>
                <w:rFonts w:hint="eastAsia"/>
              </w:rPr>
              <w:t>集气管道</w:t>
            </w:r>
          </w:p>
        </w:tc>
        <w:tc>
          <w:tcPr>
            <w:tcW w:w="501" w:type="pct"/>
            <w:vMerge/>
            <w:vAlign w:val="center"/>
          </w:tcPr>
          <w:p w:rsidR="00EE56C0" w:rsidRDefault="00EE56C0">
            <w:pPr>
              <w:pStyle w:val="afa"/>
            </w:pPr>
          </w:p>
        </w:tc>
        <w:tc>
          <w:tcPr>
            <w:tcW w:w="914" w:type="pct"/>
            <w:gridSpan w:val="2"/>
            <w:vMerge/>
            <w:vAlign w:val="center"/>
          </w:tcPr>
          <w:p w:rsidR="00EE56C0" w:rsidRDefault="00EE56C0">
            <w:pPr>
              <w:pStyle w:val="afa"/>
            </w:pPr>
          </w:p>
        </w:tc>
        <w:tc>
          <w:tcPr>
            <w:tcW w:w="505" w:type="pct"/>
            <w:vMerge/>
            <w:vAlign w:val="center"/>
          </w:tcPr>
          <w:p w:rsidR="00EE56C0" w:rsidRDefault="00EE56C0">
            <w:pPr>
              <w:pStyle w:val="afa"/>
            </w:pPr>
          </w:p>
        </w:tc>
        <w:tc>
          <w:tcPr>
            <w:tcW w:w="939" w:type="pct"/>
            <w:vMerge/>
            <w:vAlign w:val="center"/>
          </w:tcPr>
          <w:p w:rsidR="00EE56C0" w:rsidRDefault="00EE56C0">
            <w:pPr>
              <w:pStyle w:val="afa"/>
            </w:pPr>
          </w:p>
        </w:tc>
      </w:tr>
      <w:tr w:rsidR="00EE56C0" w:rsidTr="00971E69">
        <w:trPr>
          <w:trHeight w:val="686"/>
          <w:jc w:val="center"/>
        </w:trPr>
        <w:tc>
          <w:tcPr>
            <w:tcW w:w="249" w:type="pct"/>
            <w:vMerge/>
            <w:vAlign w:val="center"/>
          </w:tcPr>
          <w:p w:rsidR="00EE56C0" w:rsidRDefault="00EE56C0">
            <w:pPr>
              <w:pStyle w:val="afa"/>
            </w:pPr>
          </w:p>
        </w:tc>
        <w:tc>
          <w:tcPr>
            <w:tcW w:w="312" w:type="pct"/>
            <w:gridSpan w:val="2"/>
            <w:vMerge/>
            <w:vAlign w:val="center"/>
          </w:tcPr>
          <w:p w:rsidR="00EE56C0" w:rsidRDefault="00EE56C0">
            <w:pPr>
              <w:pStyle w:val="afa"/>
            </w:pPr>
          </w:p>
        </w:tc>
        <w:tc>
          <w:tcPr>
            <w:tcW w:w="417" w:type="pct"/>
            <w:vMerge w:val="restart"/>
            <w:vAlign w:val="center"/>
          </w:tcPr>
          <w:p w:rsidR="00EE56C0" w:rsidRDefault="000F36A1">
            <w:pPr>
              <w:pStyle w:val="afa"/>
            </w:pPr>
            <w:r>
              <w:rPr>
                <w:rFonts w:hint="eastAsia"/>
              </w:rPr>
              <w:t>立机</w:t>
            </w:r>
          </w:p>
        </w:tc>
        <w:tc>
          <w:tcPr>
            <w:tcW w:w="500" w:type="pct"/>
            <w:vAlign w:val="center"/>
          </w:tcPr>
          <w:p w:rsidR="00EE56C0" w:rsidRDefault="000F36A1">
            <w:pPr>
              <w:pStyle w:val="afa"/>
            </w:pPr>
            <w:r>
              <w:rPr>
                <w:rFonts w:hint="eastAsia"/>
              </w:rPr>
              <w:t>涂漆</w:t>
            </w:r>
          </w:p>
        </w:tc>
        <w:tc>
          <w:tcPr>
            <w:tcW w:w="663" w:type="pct"/>
            <w:vAlign w:val="center"/>
          </w:tcPr>
          <w:p w:rsidR="00EE56C0" w:rsidRDefault="000F36A1">
            <w:pPr>
              <w:pStyle w:val="afa"/>
            </w:pPr>
            <w:r>
              <w:rPr>
                <w:rFonts w:hint="eastAsia"/>
              </w:rPr>
              <w:t>涂漆间</w:t>
            </w:r>
          </w:p>
        </w:tc>
        <w:tc>
          <w:tcPr>
            <w:tcW w:w="501" w:type="pct"/>
            <w:vMerge w:val="restart"/>
            <w:vAlign w:val="center"/>
          </w:tcPr>
          <w:p w:rsidR="00EE56C0" w:rsidRDefault="000F36A1">
            <w:pPr>
              <w:pStyle w:val="afa"/>
            </w:pPr>
            <w:r>
              <w:rPr>
                <w:rFonts w:hint="eastAsia"/>
              </w:rPr>
              <w:t>炉内</w:t>
            </w:r>
            <w:r>
              <w:rPr>
                <w:rFonts w:hint="eastAsia"/>
              </w:rPr>
              <w:t>2</w:t>
            </w:r>
            <w:r>
              <w:rPr>
                <w:rFonts w:hint="eastAsia"/>
              </w:rPr>
              <w:t>次催化燃烧</w:t>
            </w:r>
          </w:p>
        </w:tc>
        <w:tc>
          <w:tcPr>
            <w:tcW w:w="914" w:type="pct"/>
            <w:gridSpan w:val="2"/>
            <w:vMerge w:val="restart"/>
            <w:vAlign w:val="center"/>
          </w:tcPr>
          <w:p w:rsidR="00EE56C0" w:rsidRDefault="000F36A1">
            <w:pPr>
              <w:pStyle w:val="afa"/>
            </w:pPr>
            <w:r>
              <w:rPr>
                <w:rFonts w:hint="eastAsia"/>
              </w:rPr>
              <w:t>漆包机：静电除油</w:t>
            </w:r>
            <w:r>
              <w:rPr>
                <w:rFonts w:hint="eastAsia"/>
              </w:rPr>
              <w:t>+</w:t>
            </w:r>
            <w:r>
              <w:rPr>
                <w:rFonts w:hint="eastAsia"/>
              </w:rPr>
              <w:t>活性炭吸附</w:t>
            </w:r>
            <w:r>
              <w:rPr>
                <w:rFonts w:hint="eastAsia"/>
              </w:rPr>
              <w:t>-</w:t>
            </w:r>
            <w:r>
              <w:rPr>
                <w:rFonts w:hint="eastAsia"/>
              </w:rPr>
              <w:t>脱附</w:t>
            </w:r>
            <w:r>
              <w:rPr>
                <w:rFonts w:hint="eastAsia"/>
              </w:rPr>
              <w:t>-</w:t>
            </w:r>
            <w:r>
              <w:rPr>
                <w:rFonts w:hint="eastAsia"/>
              </w:rPr>
              <w:t>催化燃烧装置</w:t>
            </w:r>
            <w:r>
              <w:rPr>
                <w:rFonts w:hint="eastAsia"/>
              </w:rPr>
              <w:t>T</w:t>
            </w:r>
            <w:r>
              <w:rPr>
                <w:rFonts w:hint="eastAsia"/>
              </w:rPr>
              <w:t>（</w:t>
            </w:r>
            <w:r>
              <w:t>依托现有</w:t>
            </w:r>
            <w:r>
              <w:rPr>
                <w:rFonts w:hint="eastAsia"/>
              </w:rPr>
              <w:t>）</w:t>
            </w:r>
          </w:p>
        </w:tc>
        <w:tc>
          <w:tcPr>
            <w:tcW w:w="505" w:type="pct"/>
            <w:vMerge/>
            <w:vAlign w:val="center"/>
          </w:tcPr>
          <w:p w:rsidR="00EE56C0" w:rsidRDefault="00EE56C0">
            <w:pPr>
              <w:pStyle w:val="afa"/>
            </w:pPr>
          </w:p>
        </w:tc>
        <w:tc>
          <w:tcPr>
            <w:tcW w:w="939" w:type="pct"/>
            <w:vMerge/>
            <w:vAlign w:val="center"/>
          </w:tcPr>
          <w:p w:rsidR="00EE56C0" w:rsidRDefault="00EE56C0">
            <w:pPr>
              <w:pStyle w:val="afa"/>
            </w:pPr>
          </w:p>
        </w:tc>
      </w:tr>
      <w:tr w:rsidR="00EE56C0" w:rsidTr="00971E69">
        <w:trPr>
          <w:trHeight w:val="434"/>
          <w:jc w:val="center"/>
        </w:trPr>
        <w:tc>
          <w:tcPr>
            <w:tcW w:w="249" w:type="pct"/>
            <w:vMerge/>
            <w:vAlign w:val="center"/>
          </w:tcPr>
          <w:p w:rsidR="00EE56C0" w:rsidRDefault="00EE56C0">
            <w:pPr>
              <w:pStyle w:val="afa"/>
            </w:pPr>
          </w:p>
        </w:tc>
        <w:tc>
          <w:tcPr>
            <w:tcW w:w="312" w:type="pct"/>
            <w:gridSpan w:val="2"/>
            <w:vMerge/>
            <w:vAlign w:val="center"/>
          </w:tcPr>
          <w:p w:rsidR="00EE56C0" w:rsidRDefault="00EE56C0">
            <w:pPr>
              <w:pStyle w:val="afa"/>
            </w:pPr>
          </w:p>
        </w:tc>
        <w:tc>
          <w:tcPr>
            <w:tcW w:w="417" w:type="pct"/>
            <w:vMerge/>
            <w:vAlign w:val="center"/>
          </w:tcPr>
          <w:p w:rsidR="00EE56C0" w:rsidRDefault="00EE56C0">
            <w:pPr>
              <w:pStyle w:val="afa"/>
            </w:pPr>
          </w:p>
        </w:tc>
        <w:tc>
          <w:tcPr>
            <w:tcW w:w="500" w:type="pct"/>
            <w:vMerge w:val="restart"/>
            <w:vAlign w:val="center"/>
          </w:tcPr>
          <w:p w:rsidR="00EE56C0" w:rsidRDefault="000F36A1">
            <w:pPr>
              <w:pStyle w:val="afa"/>
            </w:pPr>
            <w:r>
              <w:rPr>
                <w:rFonts w:hint="eastAsia"/>
              </w:rPr>
              <w:t>烘干</w:t>
            </w:r>
          </w:p>
        </w:tc>
        <w:tc>
          <w:tcPr>
            <w:tcW w:w="663" w:type="pct"/>
            <w:vMerge w:val="restart"/>
            <w:vAlign w:val="center"/>
          </w:tcPr>
          <w:p w:rsidR="00EE56C0" w:rsidRDefault="000F36A1">
            <w:pPr>
              <w:pStyle w:val="afa"/>
            </w:pPr>
            <w:r>
              <w:rPr>
                <w:rFonts w:hint="eastAsia"/>
              </w:rPr>
              <w:t>集气</w:t>
            </w:r>
          </w:p>
          <w:p w:rsidR="00EE56C0" w:rsidRDefault="000F36A1">
            <w:pPr>
              <w:pStyle w:val="afa"/>
            </w:pPr>
            <w:r>
              <w:rPr>
                <w:rFonts w:hint="eastAsia"/>
              </w:rPr>
              <w:t>管道</w:t>
            </w:r>
          </w:p>
        </w:tc>
        <w:tc>
          <w:tcPr>
            <w:tcW w:w="501" w:type="pct"/>
            <w:vMerge/>
            <w:vAlign w:val="center"/>
          </w:tcPr>
          <w:p w:rsidR="00EE56C0" w:rsidRDefault="00EE56C0">
            <w:pPr>
              <w:pStyle w:val="afa"/>
            </w:pPr>
          </w:p>
        </w:tc>
        <w:tc>
          <w:tcPr>
            <w:tcW w:w="914" w:type="pct"/>
            <w:gridSpan w:val="2"/>
            <w:vMerge/>
            <w:vAlign w:val="center"/>
          </w:tcPr>
          <w:p w:rsidR="00EE56C0" w:rsidRDefault="00EE56C0">
            <w:pPr>
              <w:pStyle w:val="afa"/>
            </w:pPr>
          </w:p>
        </w:tc>
        <w:tc>
          <w:tcPr>
            <w:tcW w:w="505" w:type="pct"/>
            <w:vMerge/>
            <w:vAlign w:val="center"/>
          </w:tcPr>
          <w:p w:rsidR="00EE56C0" w:rsidRDefault="00EE56C0">
            <w:pPr>
              <w:pStyle w:val="afa"/>
            </w:pPr>
          </w:p>
        </w:tc>
        <w:tc>
          <w:tcPr>
            <w:tcW w:w="939" w:type="pct"/>
            <w:vMerge/>
            <w:vAlign w:val="center"/>
          </w:tcPr>
          <w:p w:rsidR="00EE56C0" w:rsidRDefault="00EE56C0">
            <w:pPr>
              <w:pStyle w:val="afa"/>
            </w:pPr>
          </w:p>
        </w:tc>
      </w:tr>
      <w:tr w:rsidR="00EE56C0" w:rsidTr="00971E69">
        <w:trPr>
          <w:trHeight w:val="241"/>
          <w:jc w:val="center"/>
        </w:trPr>
        <w:tc>
          <w:tcPr>
            <w:tcW w:w="249" w:type="pct"/>
            <w:vMerge/>
            <w:vAlign w:val="center"/>
          </w:tcPr>
          <w:p w:rsidR="00EE56C0" w:rsidRDefault="00EE56C0">
            <w:pPr>
              <w:pStyle w:val="afa"/>
            </w:pPr>
          </w:p>
        </w:tc>
        <w:tc>
          <w:tcPr>
            <w:tcW w:w="312" w:type="pct"/>
            <w:gridSpan w:val="2"/>
            <w:vMerge/>
            <w:vAlign w:val="center"/>
          </w:tcPr>
          <w:p w:rsidR="00EE56C0" w:rsidRDefault="00EE56C0">
            <w:pPr>
              <w:pStyle w:val="afa"/>
            </w:pPr>
          </w:p>
        </w:tc>
        <w:tc>
          <w:tcPr>
            <w:tcW w:w="417" w:type="pct"/>
            <w:vMerge/>
            <w:vAlign w:val="center"/>
          </w:tcPr>
          <w:p w:rsidR="00EE56C0" w:rsidRDefault="00EE56C0">
            <w:pPr>
              <w:pStyle w:val="afa"/>
            </w:pPr>
          </w:p>
        </w:tc>
        <w:tc>
          <w:tcPr>
            <w:tcW w:w="500" w:type="pct"/>
            <w:vMerge/>
            <w:vAlign w:val="center"/>
          </w:tcPr>
          <w:p w:rsidR="00EE56C0" w:rsidRDefault="00EE56C0">
            <w:pPr>
              <w:pStyle w:val="afa"/>
            </w:pPr>
          </w:p>
        </w:tc>
        <w:tc>
          <w:tcPr>
            <w:tcW w:w="663" w:type="pct"/>
            <w:vMerge/>
            <w:vAlign w:val="center"/>
          </w:tcPr>
          <w:p w:rsidR="00EE56C0" w:rsidRDefault="00EE56C0">
            <w:pPr>
              <w:pStyle w:val="afa"/>
            </w:pPr>
          </w:p>
        </w:tc>
        <w:tc>
          <w:tcPr>
            <w:tcW w:w="501" w:type="pct"/>
            <w:vMerge/>
            <w:vAlign w:val="center"/>
          </w:tcPr>
          <w:p w:rsidR="00EE56C0" w:rsidRDefault="00EE56C0">
            <w:pPr>
              <w:pStyle w:val="afa"/>
            </w:pPr>
          </w:p>
        </w:tc>
        <w:tc>
          <w:tcPr>
            <w:tcW w:w="914" w:type="pct"/>
            <w:gridSpan w:val="2"/>
            <w:vAlign w:val="center"/>
          </w:tcPr>
          <w:p w:rsidR="00EE56C0" w:rsidRDefault="000F36A1">
            <w:pPr>
              <w:pStyle w:val="afa"/>
            </w:pPr>
            <w:r>
              <w:rPr>
                <w:rFonts w:hint="eastAsia"/>
              </w:rPr>
              <w:t>拉包机：沸石吸附</w:t>
            </w:r>
            <w:r>
              <w:rPr>
                <w:rFonts w:hint="eastAsia"/>
              </w:rPr>
              <w:t>-</w:t>
            </w:r>
            <w:r>
              <w:rPr>
                <w:rFonts w:hint="eastAsia"/>
              </w:rPr>
              <w:t>脱附</w:t>
            </w:r>
            <w:r>
              <w:rPr>
                <w:rFonts w:hint="eastAsia"/>
              </w:rPr>
              <w:t>-</w:t>
            </w:r>
            <w:r>
              <w:rPr>
                <w:rFonts w:hint="eastAsia"/>
              </w:rPr>
              <w:t>催化燃烧</w:t>
            </w:r>
            <w:r>
              <w:rPr>
                <w:rFonts w:hint="eastAsia"/>
              </w:rPr>
              <w:t>F</w:t>
            </w:r>
            <w:r>
              <w:rPr>
                <w:rFonts w:hint="eastAsia"/>
              </w:rPr>
              <w:t>（</w:t>
            </w:r>
            <w:r>
              <w:t>依托现有</w:t>
            </w:r>
            <w:r>
              <w:rPr>
                <w:rFonts w:hint="eastAsia"/>
              </w:rPr>
              <w:t>）</w:t>
            </w:r>
          </w:p>
        </w:tc>
        <w:tc>
          <w:tcPr>
            <w:tcW w:w="505" w:type="pct"/>
            <w:vMerge/>
            <w:vAlign w:val="center"/>
          </w:tcPr>
          <w:p w:rsidR="00EE56C0" w:rsidRDefault="00EE56C0">
            <w:pPr>
              <w:pStyle w:val="afa"/>
            </w:pPr>
          </w:p>
        </w:tc>
        <w:tc>
          <w:tcPr>
            <w:tcW w:w="939" w:type="pct"/>
            <w:vMerge/>
            <w:vAlign w:val="center"/>
          </w:tcPr>
          <w:p w:rsidR="00EE56C0" w:rsidRDefault="00EE56C0">
            <w:pPr>
              <w:pStyle w:val="afa"/>
            </w:pPr>
          </w:p>
        </w:tc>
      </w:tr>
      <w:tr w:rsidR="00EE56C0" w:rsidTr="00971E69">
        <w:trPr>
          <w:trHeight w:val="434"/>
          <w:jc w:val="center"/>
        </w:trPr>
        <w:tc>
          <w:tcPr>
            <w:tcW w:w="249" w:type="pct"/>
            <w:vMerge/>
            <w:vAlign w:val="center"/>
          </w:tcPr>
          <w:p w:rsidR="00EE56C0" w:rsidRDefault="00EE56C0">
            <w:pPr>
              <w:pStyle w:val="afa"/>
            </w:pPr>
          </w:p>
        </w:tc>
        <w:tc>
          <w:tcPr>
            <w:tcW w:w="312" w:type="pct"/>
            <w:gridSpan w:val="2"/>
            <w:vMerge/>
            <w:vAlign w:val="center"/>
          </w:tcPr>
          <w:p w:rsidR="00EE56C0" w:rsidRDefault="00EE56C0">
            <w:pPr>
              <w:pStyle w:val="afa"/>
            </w:pPr>
          </w:p>
        </w:tc>
        <w:tc>
          <w:tcPr>
            <w:tcW w:w="417" w:type="pct"/>
            <w:vMerge/>
            <w:vAlign w:val="center"/>
          </w:tcPr>
          <w:p w:rsidR="00EE56C0" w:rsidRDefault="00EE56C0">
            <w:pPr>
              <w:pStyle w:val="afa"/>
            </w:pPr>
          </w:p>
        </w:tc>
        <w:tc>
          <w:tcPr>
            <w:tcW w:w="500" w:type="pct"/>
            <w:vAlign w:val="center"/>
          </w:tcPr>
          <w:p w:rsidR="00EE56C0" w:rsidRDefault="000F36A1">
            <w:pPr>
              <w:pStyle w:val="afa"/>
            </w:pPr>
            <w:r>
              <w:rPr>
                <w:rFonts w:hint="eastAsia"/>
              </w:rPr>
              <w:t>二次封闭通道</w:t>
            </w:r>
          </w:p>
        </w:tc>
        <w:tc>
          <w:tcPr>
            <w:tcW w:w="663" w:type="pct"/>
            <w:vAlign w:val="center"/>
          </w:tcPr>
          <w:p w:rsidR="00EE56C0" w:rsidRDefault="000F36A1">
            <w:pPr>
              <w:pStyle w:val="afa"/>
            </w:pPr>
            <w:r>
              <w:rPr>
                <w:rFonts w:hint="eastAsia"/>
              </w:rPr>
              <w:t>集气管道</w:t>
            </w:r>
          </w:p>
        </w:tc>
        <w:tc>
          <w:tcPr>
            <w:tcW w:w="501" w:type="pct"/>
            <w:vAlign w:val="center"/>
          </w:tcPr>
          <w:p w:rsidR="00EE56C0" w:rsidRDefault="000F36A1">
            <w:pPr>
              <w:pStyle w:val="afa"/>
            </w:pPr>
            <w:r>
              <w:rPr>
                <w:rFonts w:hint="eastAsia"/>
              </w:rPr>
              <w:t>/</w:t>
            </w:r>
          </w:p>
        </w:tc>
        <w:tc>
          <w:tcPr>
            <w:tcW w:w="914" w:type="pct"/>
            <w:gridSpan w:val="2"/>
            <w:vAlign w:val="center"/>
          </w:tcPr>
          <w:p w:rsidR="00EE56C0" w:rsidRDefault="000F36A1">
            <w:pPr>
              <w:pStyle w:val="afa"/>
            </w:pPr>
            <w:r>
              <w:rPr>
                <w:rFonts w:hint="eastAsia"/>
              </w:rPr>
              <w:t>沸石吸附</w:t>
            </w:r>
            <w:r>
              <w:rPr>
                <w:rFonts w:hint="eastAsia"/>
              </w:rPr>
              <w:t>-</w:t>
            </w:r>
            <w:r>
              <w:rPr>
                <w:rFonts w:hint="eastAsia"/>
              </w:rPr>
              <w:t>脱附</w:t>
            </w:r>
            <w:r>
              <w:rPr>
                <w:rFonts w:hint="eastAsia"/>
              </w:rPr>
              <w:t>-</w:t>
            </w:r>
            <w:r>
              <w:rPr>
                <w:rFonts w:hint="eastAsia"/>
              </w:rPr>
              <w:t>催化燃烧</w:t>
            </w:r>
            <w:r>
              <w:rPr>
                <w:rFonts w:hint="eastAsia"/>
              </w:rPr>
              <w:t>F</w:t>
            </w:r>
            <w:r>
              <w:rPr>
                <w:rFonts w:hint="eastAsia"/>
              </w:rPr>
              <w:t>（</w:t>
            </w:r>
            <w:r>
              <w:t>依托现有</w:t>
            </w:r>
            <w:r>
              <w:rPr>
                <w:rFonts w:hint="eastAsia"/>
              </w:rPr>
              <w:t>）</w:t>
            </w:r>
          </w:p>
        </w:tc>
        <w:tc>
          <w:tcPr>
            <w:tcW w:w="505" w:type="pct"/>
            <w:vMerge/>
            <w:vAlign w:val="center"/>
          </w:tcPr>
          <w:p w:rsidR="00EE56C0" w:rsidRDefault="00EE56C0">
            <w:pPr>
              <w:pStyle w:val="afa"/>
            </w:pPr>
          </w:p>
        </w:tc>
        <w:tc>
          <w:tcPr>
            <w:tcW w:w="939" w:type="pct"/>
            <w:vMerge/>
            <w:vAlign w:val="center"/>
          </w:tcPr>
          <w:p w:rsidR="00EE56C0" w:rsidRDefault="00EE56C0">
            <w:pPr>
              <w:pStyle w:val="afa"/>
            </w:pPr>
          </w:p>
        </w:tc>
      </w:tr>
      <w:tr w:rsidR="00EE56C0" w:rsidTr="00971E69">
        <w:trPr>
          <w:trHeight w:val="704"/>
          <w:jc w:val="center"/>
        </w:trPr>
        <w:tc>
          <w:tcPr>
            <w:tcW w:w="249" w:type="pct"/>
            <w:vMerge/>
            <w:vAlign w:val="center"/>
          </w:tcPr>
          <w:p w:rsidR="00EE56C0" w:rsidRDefault="00EE56C0">
            <w:pPr>
              <w:pStyle w:val="afa"/>
            </w:pPr>
          </w:p>
        </w:tc>
        <w:tc>
          <w:tcPr>
            <w:tcW w:w="729" w:type="pct"/>
            <w:gridSpan w:val="3"/>
            <w:vMerge w:val="restart"/>
            <w:vAlign w:val="center"/>
          </w:tcPr>
          <w:p w:rsidR="00EE56C0" w:rsidRDefault="000F36A1">
            <w:pPr>
              <w:pStyle w:val="afa"/>
            </w:pPr>
            <w:r>
              <w:rPr>
                <w:rFonts w:hint="eastAsia"/>
              </w:rPr>
              <w:t>丝包线</w:t>
            </w:r>
          </w:p>
        </w:tc>
        <w:tc>
          <w:tcPr>
            <w:tcW w:w="500" w:type="pct"/>
            <w:vAlign w:val="center"/>
          </w:tcPr>
          <w:p w:rsidR="00EE56C0" w:rsidRDefault="000F36A1">
            <w:pPr>
              <w:pStyle w:val="afa"/>
            </w:pPr>
            <w:r>
              <w:rPr>
                <w:rFonts w:hint="eastAsia"/>
              </w:rPr>
              <w:t>涂漆、烘干</w:t>
            </w:r>
          </w:p>
        </w:tc>
        <w:tc>
          <w:tcPr>
            <w:tcW w:w="1164" w:type="pct"/>
            <w:gridSpan w:val="2"/>
            <w:vAlign w:val="center"/>
          </w:tcPr>
          <w:p w:rsidR="00EE56C0" w:rsidRDefault="000F36A1">
            <w:pPr>
              <w:pStyle w:val="afa"/>
            </w:pPr>
            <w:r>
              <w:rPr>
                <w:rFonts w:hint="eastAsia"/>
              </w:rPr>
              <w:t>集气罩</w:t>
            </w:r>
          </w:p>
        </w:tc>
        <w:tc>
          <w:tcPr>
            <w:tcW w:w="914" w:type="pct"/>
            <w:gridSpan w:val="2"/>
            <w:vMerge w:val="restart"/>
            <w:vAlign w:val="center"/>
          </w:tcPr>
          <w:p w:rsidR="00EE56C0" w:rsidRDefault="000F36A1">
            <w:pPr>
              <w:pStyle w:val="afa"/>
            </w:pPr>
            <w:r>
              <w:rPr>
                <w:rFonts w:hint="eastAsia"/>
              </w:rPr>
              <w:t>静电除油</w:t>
            </w:r>
            <w:r>
              <w:rPr>
                <w:rFonts w:hint="eastAsia"/>
              </w:rPr>
              <w:t>+</w:t>
            </w:r>
            <w:r>
              <w:rPr>
                <w:rFonts w:hint="eastAsia"/>
              </w:rPr>
              <w:t>活性炭吸附</w:t>
            </w:r>
            <w:r>
              <w:rPr>
                <w:rFonts w:hint="eastAsia"/>
              </w:rPr>
              <w:t>-</w:t>
            </w:r>
            <w:r>
              <w:rPr>
                <w:rFonts w:hint="eastAsia"/>
              </w:rPr>
              <w:t>脱附</w:t>
            </w:r>
            <w:r>
              <w:rPr>
                <w:rFonts w:hint="eastAsia"/>
              </w:rPr>
              <w:t>-</w:t>
            </w:r>
            <w:r>
              <w:rPr>
                <w:rFonts w:hint="eastAsia"/>
              </w:rPr>
              <w:t>催化燃烧装置</w:t>
            </w:r>
            <w:r>
              <w:rPr>
                <w:rFonts w:hint="eastAsia"/>
              </w:rPr>
              <w:t>T</w:t>
            </w:r>
            <w:r>
              <w:rPr>
                <w:rFonts w:hint="eastAsia"/>
              </w:rPr>
              <w:t>（</w:t>
            </w:r>
            <w:r>
              <w:t>依托现有</w:t>
            </w:r>
            <w:r>
              <w:rPr>
                <w:rFonts w:hint="eastAsia"/>
              </w:rPr>
              <w:t>）</w:t>
            </w:r>
          </w:p>
        </w:tc>
        <w:tc>
          <w:tcPr>
            <w:tcW w:w="505" w:type="pct"/>
            <w:vMerge/>
            <w:vAlign w:val="center"/>
          </w:tcPr>
          <w:p w:rsidR="00EE56C0" w:rsidRDefault="00EE56C0">
            <w:pPr>
              <w:pStyle w:val="afa"/>
            </w:pPr>
          </w:p>
        </w:tc>
        <w:tc>
          <w:tcPr>
            <w:tcW w:w="939" w:type="pct"/>
            <w:vMerge/>
            <w:vAlign w:val="center"/>
          </w:tcPr>
          <w:p w:rsidR="00EE56C0" w:rsidRDefault="00EE56C0">
            <w:pPr>
              <w:pStyle w:val="afa"/>
            </w:pPr>
          </w:p>
        </w:tc>
      </w:tr>
      <w:tr w:rsidR="00EE56C0" w:rsidTr="00971E69">
        <w:trPr>
          <w:trHeight w:val="558"/>
          <w:jc w:val="center"/>
        </w:trPr>
        <w:tc>
          <w:tcPr>
            <w:tcW w:w="249" w:type="pct"/>
            <w:vMerge/>
            <w:vAlign w:val="center"/>
          </w:tcPr>
          <w:p w:rsidR="00EE56C0" w:rsidRDefault="00EE56C0">
            <w:pPr>
              <w:pStyle w:val="afa"/>
            </w:pPr>
          </w:p>
        </w:tc>
        <w:tc>
          <w:tcPr>
            <w:tcW w:w="729" w:type="pct"/>
            <w:gridSpan w:val="3"/>
            <w:vMerge/>
            <w:vAlign w:val="center"/>
          </w:tcPr>
          <w:p w:rsidR="00EE56C0" w:rsidRDefault="00EE56C0">
            <w:pPr>
              <w:pStyle w:val="afa"/>
            </w:pPr>
          </w:p>
        </w:tc>
        <w:tc>
          <w:tcPr>
            <w:tcW w:w="500" w:type="pct"/>
            <w:vAlign w:val="center"/>
          </w:tcPr>
          <w:p w:rsidR="00EE56C0" w:rsidRDefault="000F36A1">
            <w:pPr>
              <w:pStyle w:val="afa"/>
            </w:pPr>
            <w:r>
              <w:rPr>
                <w:rFonts w:hint="eastAsia"/>
              </w:rPr>
              <w:t>操作间</w:t>
            </w:r>
          </w:p>
        </w:tc>
        <w:tc>
          <w:tcPr>
            <w:tcW w:w="1164" w:type="pct"/>
            <w:gridSpan w:val="2"/>
            <w:vAlign w:val="center"/>
          </w:tcPr>
          <w:p w:rsidR="00EE56C0" w:rsidRDefault="000F36A1">
            <w:pPr>
              <w:pStyle w:val="afa"/>
            </w:pPr>
            <w:r>
              <w:rPr>
                <w:rFonts w:hint="eastAsia"/>
              </w:rPr>
              <w:t>顶部抽吸装置</w:t>
            </w:r>
          </w:p>
        </w:tc>
        <w:tc>
          <w:tcPr>
            <w:tcW w:w="914" w:type="pct"/>
            <w:gridSpan w:val="2"/>
            <w:vMerge/>
            <w:vAlign w:val="center"/>
          </w:tcPr>
          <w:p w:rsidR="00EE56C0" w:rsidRDefault="00EE56C0">
            <w:pPr>
              <w:pStyle w:val="afa"/>
            </w:pPr>
          </w:p>
        </w:tc>
        <w:tc>
          <w:tcPr>
            <w:tcW w:w="505" w:type="pct"/>
            <w:vMerge/>
            <w:vAlign w:val="center"/>
          </w:tcPr>
          <w:p w:rsidR="00EE56C0" w:rsidRDefault="00EE56C0">
            <w:pPr>
              <w:pStyle w:val="afa"/>
            </w:pPr>
          </w:p>
        </w:tc>
        <w:tc>
          <w:tcPr>
            <w:tcW w:w="939" w:type="pct"/>
            <w:vMerge/>
            <w:vAlign w:val="center"/>
          </w:tcPr>
          <w:p w:rsidR="00EE56C0" w:rsidRDefault="00EE56C0">
            <w:pPr>
              <w:pStyle w:val="afa"/>
            </w:pPr>
          </w:p>
        </w:tc>
      </w:tr>
      <w:tr w:rsidR="00971E69" w:rsidTr="00212B58">
        <w:trPr>
          <w:trHeight w:val="1362"/>
          <w:jc w:val="center"/>
        </w:trPr>
        <w:tc>
          <w:tcPr>
            <w:tcW w:w="249" w:type="pct"/>
            <w:vMerge w:val="restart"/>
            <w:tcBorders>
              <w:bottom w:val="single" w:sz="4" w:space="0" w:color="auto"/>
            </w:tcBorders>
            <w:vAlign w:val="center"/>
          </w:tcPr>
          <w:p w:rsidR="00971E69" w:rsidRDefault="00971E69">
            <w:pPr>
              <w:pStyle w:val="afa"/>
            </w:pPr>
            <w:r>
              <w:t>废水</w:t>
            </w:r>
          </w:p>
        </w:tc>
        <w:tc>
          <w:tcPr>
            <w:tcW w:w="1229" w:type="pct"/>
            <w:gridSpan w:val="4"/>
            <w:tcBorders>
              <w:bottom w:val="single" w:sz="4" w:space="0" w:color="auto"/>
            </w:tcBorders>
            <w:vAlign w:val="center"/>
          </w:tcPr>
          <w:p w:rsidR="00971E69" w:rsidRDefault="00971E69">
            <w:pPr>
              <w:pStyle w:val="afa"/>
            </w:pPr>
            <w:r>
              <w:rPr>
                <w:rFonts w:hint="eastAsia"/>
              </w:rPr>
              <w:t>生活污水</w:t>
            </w:r>
          </w:p>
        </w:tc>
        <w:tc>
          <w:tcPr>
            <w:tcW w:w="1291" w:type="pct"/>
            <w:gridSpan w:val="3"/>
            <w:tcBorders>
              <w:bottom w:val="single" w:sz="4" w:space="0" w:color="auto"/>
            </w:tcBorders>
            <w:vAlign w:val="center"/>
          </w:tcPr>
          <w:p w:rsidR="00971E69" w:rsidRPr="00971E69" w:rsidRDefault="00971E69" w:rsidP="00212B58">
            <w:pPr>
              <w:pStyle w:val="afa"/>
              <w:rPr>
                <w:b/>
                <w:u w:val="single"/>
              </w:rPr>
            </w:pPr>
            <w:r w:rsidRPr="00971E69">
              <w:rPr>
                <w:rFonts w:hint="eastAsia"/>
                <w:b/>
                <w:u w:val="single"/>
              </w:rPr>
              <w:t xml:space="preserve"> </w:t>
            </w:r>
            <w:r w:rsidRPr="00971E69">
              <w:rPr>
                <w:rFonts w:hint="eastAsia"/>
                <w:b/>
                <w:u w:val="single"/>
              </w:rPr>
              <w:t>“隔油池</w:t>
            </w:r>
            <w:r w:rsidRPr="00971E69">
              <w:rPr>
                <w:rFonts w:hint="eastAsia"/>
                <w:b/>
                <w:u w:val="single"/>
              </w:rPr>
              <w:t>+</w:t>
            </w:r>
            <w:r w:rsidRPr="00971E69">
              <w:rPr>
                <w:rFonts w:hint="eastAsia"/>
                <w:b/>
                <w:u w:val="single"/>
              </w:rPr>
              <w:t>化粪池”预处理</w:t>
            </w:r>
          </w:p>
        </w:tc>
        <w:tc>
          <w:tcPr>
            <w:tcW w:w="1291" w:type="pct"/>
            <w:gridSpan w:val="2"/>
            <w:vMerge w:val="restart"/>
            <w:vAlign w:val="center"/>
          </w:tcPr>
          <w:p w:rsidR="00971E69" w:rsidRPr="00971E69" w:rsidRDefault="00971E69" w:rsidP="00971E69">
            <w:pPr>
              <w:pStyle w:val="afa"/>
              <w:rPr>
                <w:b/>
                <w:u w:val="single"/>
              </w:rPr>
            </w:pPr>
            <w:r w:rsidRPr="00971E69">
              <w:rPr>
                <w:rFonts w:hint="eastAsia"/>
                <w:b/>
                <w:u w:val="single"/>
              </w:rPr>
              <w:t>在厂区总排口混合后，</w:t>
            </w:r>
            <w:r w:rsidRPr="00971E69">
              <w:rPr>
                <w:b/>
                <w:u w:val="single"/>
              </w:rPr>
              <w:t>经污水管网</w:t>
            </w:r>
            <w:r w:rsidRPr="00971E69">
              <w:rPr>
                <w:rFonts w:hint="eastAsia"/>
                <w:b/>
                <w:u w:val="single"/>
              </w:rPr>
              <w:t>进</w:t>
            </w:r>
            <w:r w:rsidRPr="00971E69">
              <w:rPr>
                <w:b/>
                <w:u w:val="single"/>
              </w:rPr>
              <w:t>新乡县综合污水处理厂</w:t>
            </w:r>
            <w:r w:rsidRPr="00971E69">
              <w:rPr>
                <w:rFonts w:hint="eastAsia"/>
                <w:b/>
                <w:u w:val="single"/>
              </w:rPr>
              <w:t>，最终排入东孟姜女河</w:t>
            </w:r>
          </w:p>
        </w:tc>
        <w:tc>
          <w:tcPr>
            <w:tcW w:w="939" w:type="pct"/>
            <w:vMerge w:val="restart"/>
            <w:tcBorders>
              <w:bottom w:val="single" w:sz="4" w:space="0" w:color="auto"/>
            </w:tcBorders>
            <w:vAlign w:val="center"/>
          </w:tcPr>
          <w:p w:rsidR="00971E69" w:rsidRDefault="00971E69">
            <w:pPr>
              <w:pStyle w:val="afa"/>
            </w:pPr>
            <w:r>
              <w:rPr>
                <w:rFonts w:hAnsi="Calibri"/>
                <w:bCs/>
              </w:rPr>
              <w:t>《污水排污城镇下水道水质标准》（</w:t>
            </w:r>
            <w:r>
              <w:rPr>
                <w:rFonts w:hAnsi="Calibri"/>
                <w:bCs/>
              </w:rPr>
              <w:t>GB/T31962-2015</w:t>
            </w:r>
            <w:r>
              <w:rPr>
                <w:rFonts w:hAnsi="Calibri"/>
                <w:bCs/>
              </w:rPr>
              <w:t>）</w:t>
            </w:r>
            <w:r>
              <w:rPr>
                <w:rFonts w:hAnsi="Calibri" w:hint="eastAsia"/>
                <w:bCs/>
              </w:rPr>
              <w:t>C</w:t>
            </w:r>
            <w:r>
              <w:rPr>
                <w:rFonts w:hAnsi="Calibri" w:hint="eastAsia"/>
                <w:bCs/>
              </w:rPr>
              <w:t>级、新乡县综合污水处理厂收水标准</w:t>
            </w:r>
          </w:p>
        </w:tc>
      </w:tr>
      <w:tr w:rsidR="00971E69" w:rsidTr="00971E69">
        <w:trPr>
          <w:trHeight w:val="397"/>
          <w:jc w:val="center"/>
        </w:trPr>
        <w:tc>
          <w:tcPr>
            <w:tcW w:w="249" w:type="pct"/>
            <w:vMerge/>
            <w:vAlign w:val="center"/>
          </w:tcPr>
          <w:p w:rsidR="00971E69" w:rsidRDefault="00971E69">
            <w:pPr>
              <w:pStyle w:val="afa"/>
            </w:pPr>
          </w:p>
        </w:tc>
        <w:tc>
          <w:tcPr>
            <w:tcW w:w="1229" w:type="pct"/>
            <w:gridSpan w:val="4"/>
            <w:vAlign w:val="center"/>
          </w:tcPr>
          <w:p w:rsidR="00971E69" w:rsidRDefault="00971E69">
            <w:pPr>
              <w:pStyle w:val="afa"/>
            </w:pPr>
            <w:r>
              <w:rPr>
                <w:rFonts w:hint="eastAsia"/>
              </w:rPr>
              <w:t>反渗透浓水</w:t>
            </w:r>
          </w:p>
        </w:tc>
        <w:tc>
          <w:tcPr>
            <w:tcW w:w="1291" w:type="pct"/>
            <w:gridSpan w:val="3"/>
            <w:vAlign w:val="center"/>
          </w:tcPr>
          <w:p w:rsidR="00971E69" w:rsidRDefault="00971E69" w:rsidP="00212B58">
            <w:pPr>
              <w:pStyle w:val="afa"/>
            </w:pPr>
            <w:r>
              <w:rPr>
                <w:rFonts w:hint="eastAsia"/>
              </w:rPr>
              <w:t>/</w:t>
            </w:r>
          </w:p>
        </w:tc>
        <w:tc>
          <w:tcPr>
            <w:tcW w:w="1291" w:type="pct"/>
            <w:gridSpan w:val="2"/>
            <w:vMerge/>
            <w:vAlign w:val="center"/>
          </w:tcPr>
          <w:p w:rsidR="00971E69" w:rsidRDefault="00971E69">
            <w:pPr>
              <w:pStyle w:val="afa"/>
            </w:pPr>
          </w:p>
        </w:tc>
        <w:tc>
          <w:tcPr>
            <w:tcW w:w="939" w:type="pct"/>
            <w:vMerge/>
            <w:vAlign w:val="center"/>
          </w:tcPr>
          <w:p w:rsidR="00971E69" w:rsidRDefault="00971E69">
            <w:pPr>
              <w:pStyle w:val="afa"/>
            </w:pPr>
          </w:p>
        </w:tc>
      </w:tr>
      <w:tr w:rsidR="00EE56C0" w:rsidTr="00971E69">
        <w:trPr>
          <w:trHeight w:val="397"/>
          <w:jc w:val="center"/>
        </w:trPr>
        <w:tc>
          <w:tcPr>
            <w:tcW w:w="249" w:type="pct"/>
            <w:vMerge w:val="restart"/>
            <w:vAlign w:val="center"/>
          </w:tcPr>
          <w:p w:rsidR="00EE56C0" w:rsidRDefault="000F36A1">
            <w:pPr>
              <w:pStyle w:val="afa"/>
            </w:pPr>
            <w:r>
              <w:lastRenderedPageBreak/>
              <w:t>固废</w:t>
            </w:r>
          </w:p>
        </w:tc>
        <w:tc>
          <w:tcPr>
            <w:tcW w:w="253" w:type="pct"/>
            <w:vMerge w:val="restart"/>
            <w:vAlign w:val="center"/>
          </w:tcPr>
          <w:p w:rsidR="00EE56C0" w:rsidRDefault="000F36A1">
            <w:pPr>
              <w:pStyle w:val="afa"/>
            </w:pPr>
            <w:r>
              <w:t>一般固废</w:t>
            </w:r>
          </w:p>
        </w:tc>
        <w:tc>
          <w:tcPr>
            <w:tcW w:w="976" w:type="pct"/>
            <w:gridSpan w:val="3"/>
            <w:vAlign w:val="center"/>
          </w:tcPr>
          <w:p w:rsidR="00EE56C0" w:rsidRDefault="000F36A1">
            <w:pPr>
              <w:pStyle w:val="afa"/>
            </w:pPr>
            <w:r>
              <w:t>废包材</w:t>
            </w:r>
          </w:p>
        </w:tc>
        <w:tc>
          <w:tcPr>
            <w:tcW w:w="2583" w:type="pct"/>
            <w:gridSpan w:val="5"/>
            <w:vMerge w:val="restart"/>
            <w:vAlign w:val="center"/>
          </w:tcPr>
          <w:p w:rsidR="00EE56C0" w:rsidRDefault="000F36A1">
            <w:pPr>
              <w:pStyle w:val="afa"/>
              <w:rPr>
                <w:kern w:val="36"/>
              </w:rPr>
            </w:pPr>
            <w:r>
              <w:rPr>
                <w:kern w:val="36"/>
              </w:rPr>
              <w:t>一般固废暂存间</w:t>
            </w:r>
            <w:r>
              <w:rPr>
                <w:rFonts w:hint="eastAsia"/>
              </w:rPr>
              <w:t>（</w:t>
            </w:r>
            <w:r>
              <w:rPr>
                <w:rFonts w:hint="eastAsia"/>
              </w:rPr>
              <w:t>60m</w:t>
            </w:r>
            <w:r>
              <w:rPr>
                <w:rFonts w:hint="eastAsia"/>
                <w:vertAlign w:val="superscript"/>
              </w:rPr>
              <w:t>2</w:t>
            </w:r>
            <w:r>
              <w:rPr>
                <w:rFonts w:hint="eastAsia"/>
              </w:rPr>
              <w:t>、依托现有）</w:t>
            </w:r>
            <w:r>
              <w:rPr>
                <w:kern w:val="36"/>
              </w:rPr>
              <w:t>存放，定期集中出售</w:t>
            </w:r>
          </w:p>
        </w:tc>
        <w:tc>
          <w:tcPr>
            <w:tcW w:w="939" w:type="pct"/>
            <w:vMerge w:val="restart"/>
            <w:vAlign w:val="center"/>
          </w:tcPr>
          <w:p w:rsidR="00EE56C0" w:rsidRDefault="000F36A1">
            <w:pPr>
              <w:pStyle w:val="afa"/>
              <w:rPr>
                <w:kern w:val="36"/>
              </w:rPr>
            </w:pPr>
            <w:r>
              <w:t>《一般工业固体废物贮存和填埋污染控制标准》（</w:t>
            </w:r>
            <w:r>
              <w:t>GB18599-2020</w:t>
            </w:r>
            <w:r>
              <w:t>）</w:t>
            </w:r>
            <w:r>
              <w:rPr>
                <w:rFonts w:hint="eastAsia"/>
              </w:rPr>
              <w:t>中的“防渗漏、防雨淋、防扬尘”要求</w:t>
            </w:r>
          </w:p>
        </w:tc>
      </w:tr>
      <w:tr w:rsidR="00EE56C0" w:rsidTr="00971E69">
        <w:trPr>
          <w:trHeight w:val="502"/>
          <w:jc w:val="center"/>
        </w:trPr>
        <w:tc>
          <w:tcPr>
            <w:tcW w:w="249" w:type="pct"/>
            <w:vMerge/>
            <w:vAlign w:val="center"/>
          </w:tcPr>
          <w:p w:rsidR="00EE56C0" w:rsidRDefault="00EE56C0">
            <w:pPr>
              <w:pStyle w:val="afa"/>
            </w:pPr>
          </w:p>
        </w:tc>
        <w:tc>
          <w:tcPr>
            <w:tcW w:w="253" w:type="pct"/>
            <w:vMerge/>
            <w:vAlign w:val="center"/>
          </w:tcPr>
          <w:p w:rsidR="00EE56C0" w:rsidRDefault="00EE56C0">
            <w:pPr>
              <w:pStyle w:val="afa"/>
            </w:pPr>
          </w:p>
        </w:tc>
        <w:tc>
          <w:tcPr>
            <w:tcW w:w="976" w:type="pct"/>
            <w:gridSpan w:val="3"/>
            <w:vAlign w:val="center"/>
          </w:tcPr>
          <w:p w:rsidR="00EE56C0" w:rsidRDefault="000F36A1">
            <w:pPr>
              <w:pStyle w:val="afa"/>
            </w:pPr>
            <w:r>
              <w:rPr>
                <w:rFonts w:hint="eastAsia"/>
              </w:rPr>
              <w:t>废铜线</w:t>
            </w:r>
          </w:p>
        </w:tc>
        <w:tc>
          <w:tcPr>
            <w:tcW w:w="2583" w:type="pct"/>
            <w:gridSpan w:val="5"/>
            <w:vMerge/>
            <w:vAlign w:val="center"/>
          </w:tcPr>
          <w:p w:rsidR="00EE56C0" w:rsidRDefault="00EE56C0">
            <w:pPr>
              <w:pStyle w:val="afa"/>
              <w:rPr>
                <w:kern w:val="36"/>
              </w:rPr>
            </w:pPr>
          </w:p>
        </w:tc>
        <w:tc>
          <w:tcPr>
            <w:tcW w:w="939" w:type="pct"/>
            <w:vMerge/>
            <w:vAlign w:val="center"/>
          </w:tcPr>
          <w:p w:rsidR="00EE56C0" w:rsidRDefault="00EE56C0">
            <w:pPr>
              <w:pStyle w:val="afa"/>
              <w:rPr>
                <w:kern w:val="36"/>
              </w:rPr>
            </w:pPr>
          </w:p>
        </w:tc>
      </w:tr>
      <w:tr w:rsidR="00EE56C0" w:rsidTr="00971E69">
        <w:trPr>
          <w:trHeight w:val="397"/>
          <w:jc w:val="center"/>
        </w:trPr>
        <w:tc>
          <w:tcPr>
            <w:tcW w:w="249" w:type="pct"/>
            <w:vMerge/>
            <w:vAlign w:val="center"/>
          </w:tcPr>
          <w:p w:rsidR="00EE56C0" w:rsidRDefault="00EE56C0">
            <w:pPr>
              <w:pStyle w:val="afa"/>
            </w:pPr>
          </w:p>
        </w:tc>
        <w:tc>
          <w:tcPr>
            <w:tcW w:w="253" w:type="pct"/>
            <w:vMerge/>
            <w:vAlign w:val="center"/>
          </w:tcPr>
          <w:p w:rsidR="00EE56C0" w:rsidRDefault="00EE56C0">
            <w:pPr>
              <w:pStyle w:val="afa"/>
            </w:pPr>
          </w:p>
        </w:tc>
        <w:tc>
          <w:tcPr>
            <w:tcW w:w="976" w:type="pct"/>
            <w:gridSpan w:val="3"/>
            <w:vAlign w:val="center"/>
          </w:tcPr>
          <w:p w:rsidR="00EE56C0" w:rsidRDefault="000F36A1">
            <w:pPr>
              <w:pStyle w:val="afa"/>
            </w:pPr>
            <w:r>
              <w:t>残次品</w:t>
            </w:r>
          </w:p>
        </w:tc>
        <w:tc>
          <w:tcPr>
            <w:tcW w:w="2583" w:type="pct"/>
            <w:gridSpan w:val="5"/>
            <w:vMerge/>
            <w:vAlign w:val="center"/>
          </w:tcPr>
          <w:p w:rsidR="00EE56C0" w:rsidRDefault="00EE56C0">
            <w:pPr>
              <w:pStyle w:val="afa"/>
              <w:rPr>
                <w:kern w:val="36"/>
              </w:rPr>
            </w:pPr>
          </w:p>
        </w:tc>
        <w:tc>
          <w:tcPr>
            <w:tcW w:w="939" w:type="pct"/>
            <w:vMerge/>
            <w:vAlign w:val="center"/>
          </w:tcPr>
          <w:p w:rsidR="00EE56C0" w:rsidRDefault="00EE56C0">
            <w:pPr>
              <w:pStyle w:val="afa"/>
              <w:rPr>
                <w:kern w:val="36"/>
              </w:rPr>
            </w:pPr>
          </w:p>
        </w:tc>
      </w:tr>
      <w:tr w:rsidR="00EE56C0" w:rsidTr="00971E69">
        <w:trPr>
          <w:trHeight w:val="397"/>
          <w:jc w:val="center"/>
        </w:trPr>
        <w:tc>
          <w:tcPr>
            <w:tcW w:w="249" w:type="pct"/>
            <w:vMerge/>
            <w:vAlign w:val="center"/>
          </w:tcPr>
          <w:p w:rsidR="00EE56C0" w:rsidRDefault="00EE56C0">
            <w:pPr>
              <w:pStyle w:val="afa"/>
            </w:pPr>
          </w:p>
        </w:tc>
        <w:tc>
          <w:tcPr>
            <w:tcW w:w="253" w:type="pct"/>
            <w:vMerge w:val="restart"/>
            <w:vAlign w:val="center"/>
          </w:tcPr>
          <w:p w:rsidR="00EE56C0" w:rsidRDefault="000F36A1">
            <w:pPr>
              <w:pStyle w:val="afa"/>
            </w:pPr>
            <w:r>
              <w:t>危险废物</w:t>
            </w:r>
          </w:p>
        </w:tc>
        <w:tc>
          <w:tcPr>
            <w:tcW w:w="976" w:type="pct"/>
            <w:gridSpan w:val="3"/>
            <w:vAlign w:val="center"/>
          </w:tcPr>
          <w:p w:rsidR="00EE56C0" w:rsidRDefault="000F36A1">
            <w:pPr>
              <w:pStyle w:val="afa"/>
            </w:pPr>
            <w:r>
              <w:t>含铜废油泥</w:t>
            </w:r>
          </w:p>
        </w:tc>
        <w:tc>
          <w:tcPr>
            <w:tcW w:w="2583" w:type="pct"/>
            <w:gridSpan w:val="5"/>
            <w:vMerge w:val="restart"/>
            <w:vAlign w:val="center"/>
          </w:tcPr>
          <w:p w:rsidR="00EE56C0" w:rsidRDefault="000F36A1">
            <w:pPr>
              <w:pStyle w:val="afa"/>
            </w:pPr>
            <w:r>
              <w:t>密闭容器</w:t>
            </w:r>
            <w:r>
              <w:rPr>
                <w:rFonts w:hint="eastAsia"/>
              </w:rPr>
              <w:t>/</w:t>
            </w:r>
            <w:r>
              <w:rPr>
                <w:rFonts w:hint="eastAsia"/>
              </w:rPr>
              <w:t>托盘</w:t>
            </w:r>
            <w:r>
              <w:t>收集、危废暂存间暂存后交由有资质单位处置</w:t>
            </w:r>
            <w:r>
              <w:rPr>
                <w:rFonts w:hint="eastAsia"/>
              </w:rPr>
              <w:t>（</w:t>
            </w:r>
            <w:r>
              <w:rPr>
                <w:rFonts w:hint="eastAsia"/>
              </w:rPr>
              <w:t>1#</w:t>
            </w:r>
            <w:r>
              <w:rPr>
                <w:rFonts w:hint="eastAsia"/>
              </w:rPr>
              <w:t>危废间</w:t>
            </w:r>
            <w:r>
              <w:rPr>
                <w:rFonts w:hint="eastAsia"/>
              </w:rPr>
              <w:t>27m</w:t>
            </w:r>
            <w:r>
              <w:rPr>
                <w:rFonts w:hint="eastAsia"/>
                <w:vertAlign w:val="superscript"/>
              </w:rPr>
              <w:t>2</w:t>
            </w:r>
            <w:r>
              <w:rPr>
                <w:rFonts w:hint="eastAsia"/>
              </w:rPr>
              <w:t>、</w:t>
            </w:r>
            <w:r>
              <w:rPr>
                <w:rFonts w:hint="eastAsia"/>
              </w:rPr>
              <w:t>2#</w:t>
            </w:r>
            <w:r>
              <w:rPr>
                <w:rFonts w:hint="eastAsia"/>
              </w:rPr>
              <w:t>危废间</w:t>
            </w:r>
            <w:r>
              <w:rPr>
                <w:rFonts w:hint="eastAsia"/>
              </w:rPr>
              <w:t>33m</w:t>
            </w:r>
            <w:r>
              <w:rPr>
                <w:rFonts w:hint="eastAsia"/>
                <w:vertAlign w:val="superscript"/>
              </w:rPr>
              <w:t>2</w:t>
            </w:r>
            <w:r>
              <w:rPr>
                <w:rFonts w:hint="eastAsia"/>
              </w:rPr>
              <w:t>、依托现有）；危废间废气经收集后引入废气治理措施（活性炭吸附</w:t>
            </w:r>
            <w:r>
              <w:rPr>
                <w:rFonts w:hint="eastAsia"/>
              </w:rPr>
              <w:t>-</w:t>
            </w:r>
            <w:r>
              <w:rPr>
                <w:rFonts w:hint="eastAsia"/>
              </w:rPr>
              <w:t>脱附</w:t>
            </w:r>
            <w:r>
              <w:rPr>
                <w:rFonts w:hint="eastAsia"/>
              </w:rPr>
              <w:t>-</w:t>
            </w:r>
            <w:r>
              <w:rPr>
                <w:rFonts w:hint="eastAsia"/>
              </w:rPr>
              <w:t>催化燃烧装置</w:t>
            </w:r>
            <w:r>
              <w:rPr>
                <w:rFonts w:hint="eastAsia"/>
              </w:rPr>
              <w:t>T</w:t>
            </w:r>
            <w:r>
              <w:rPr>
                <w:rFonts w:hint="eastAsia"/>
              </w:rPr>
              <w:t>）处理后排放</w:t>
            </w:r>
          </w:p>
        </w:tc>
        <w:tc>
          <w:tcPr>
            <w:tcW w:w="939" w:type="pct"/>
            <w:vMerge w:val="restart"/>
            <w:vAlign w:val="center"/>
          </w:tcPr>
          <w:p w:rsidR="00EE56C0" w:rsidRDefault="000F36A1">
            <w:pPr>
              <w:pStyle w:val="afa"/>
            </w:pPr>
            <w:r>
              <w:t>《危险废物贮存污染控制标准》</w:t>
            </w:r>
            <w:r>
              <w:t>GB18597-2001</w:t>
            </w:r>
            <w:r>
              <w:rPr>
                <w:rFonts w:hint="eastAsia"/>
              </w:rPr>
              <w:t>及</w:t>
            </w:r>
            <w:r>
              <w:rPr>
                <w:rFonts w:hint="eastAsia"/>
              </w:rPr>
              <w:t>2013</w:t>
            </w:r>
            <w:r>
              <w:rPr>
                <w:rFonts w:hint="eastAsia"/>
              </w:rPr>
              <w:t>修改单</w:t>
            </w:r>
          </w:p>
        </w:tc>
      </w:tr>
      <w:tr w:rsidR="00EE56C0" w:rsidTr="00971E69">
        <w:trPr>
          <w:trHeight w:val="397"/>
          <w:jc w:val="center"/>
        </w:trPr>
        <w:tc>
          <w:tcPr>
            <w:tcW w:w="249" w:type="pct"/>
            <w:vMerge/>
            <w:vAlign w:val="center"/>
          </w:tcPr>
          <w:p w:rsidR="00EE56C0" w:rsidRDefault="00EE56C0">
            <w:pPr>
              <w:pStyle w:val="afa"/>
            </w:pPr>
          </w:p>
        </w:tc>
        <w:tc>
          <w:tcPr>
            <w:tcW w:w="253" w:type="pct"/>
            <w:vMerge/>
            <w:vAlign w:val="center"/>
          </w:tcPr>
          <w:p w:rsidR="00EE56C0" w:rsidRDefault="00EE56C0">
            <w:pPr>
              <w:pStyle w:val="afa"/>
            </w:pPr>
          </w:p>
        </w:tc>
        <w:tc>
          <w:tcPr>
            <w:tcW w:w="976" w:type="pct"/>
            <w:gridSpan w:val="3"/>
            <w:vAlign w:val="center"/>
          </w:tcPr>
          <w:p w:rsidR="00EE56C0" w:rsidRDefault="000F36A1">
            <w:pPr>
              <w:pStyle w:val="afa"/>
            </w:pPr>
            <w:r>
              <w:rPr>
                <w:rFonts w:hint="eastAsia"/>
              </w:rPr>
              <w:t>废拉丝油</w:t>
            </w:r>
          </w:p>
        </w:tc>
        <w:tc>
          <w:tcPr>
            <w:tcW w:w="2583" w:type="pct"/>
            <w:gridSpan w:val="5"/>
            <w:vMerge/>
            <w:vAlign w:val="center"/>
          </w:tcPr>
          <w:p w:rsidR="00EE56C0" w:rsidRDefault="00EE56C0">
            <w:pPr>
              <w:pStyle w:val="afa"/>
            </w:pPr>
          </w:p>
        </w:tc>
        <w:tc>
          <w:tcPr>
            <w:tcW w:w="939" w:type="pct"/>
            <w:vMerge/>
            <w:vAlign w:val="center"/>
          </w:tcPr>
          <w:p w:rsidR="00EE56C0" w:rsidRDefault="00EE56C0">
            <w:pPr>
              <w:pStyle w:val="afa"/>
            </w:pPr>
          </w:p>
        </w:tc>
      </w:tr>
      <w:tr w:rsidR="00EE56C0" w:rsidTr="00971E69">
        <w:trPr>
          <w:trHeight w:val="397"/>
          <w:jc w:val="center"/>
        </w:trPr>
        <w:tc>
          <w:tcPr>
            <w:tcW w:w="249" w:type="pct"/>
            <w:vMerge/>
            <w:vAlign w:val="center"/>
          </w:tcPr>
          <w:p w:rsidR="00EE56C0" w:rsidRDefault="00EE56C0">
            <w:pPr>
              <w:pStyle w:val="afa"/>
            </w:pPr>
          </w:p>
        </w:tc>
        <w:tc>
          <w:tcPr>
            <w:tcW w:w="253" w:type="pct"/>
            <w:vMerge/>
            <w:vAlign w:val="center"/>
          </w:tcPr>
          <w:p w:rsidR="00EE56C0" w:rsidRDefault="00EE56C0">
            <w:pPr>
              <w:pStyle w:val="afa"/>
            </w:pPr>
          </w:p>
        </w:tc>
        <w:tc>
          <w:tcPr>
            <w:tcW w:w="976" w:type="pct"/>
            <w:gridSpan w:val="3"/>
            <w:vAlign w:val="center"/>
          </w:tcPr>
          <w:p w:rsidR="00EE56C0" w:rsidRDefault="000F36A1">
            <w:pPr>
              <w:pStyle w:val="afa"/>
            </w:pPr>
            <w:r>
              <w:rPr>
                <w:rFonts w:hint="eastAsia"/>
              </w:rPr>
              <w:t>丝包线涂料废漆桶</w:t>
            </w:r>
          </w:p>
        </w:tc>
        <w:tc>
          <w:tcPr>
            <w:tcW w:w="2583" w:type="pct"/>
            <w:gridSpan w:val="5"/>
            <w:vMerge/>
            <w:vAlign w:val="center"/>
          </w:tcPr>
          <w:p w:rsidR="00EE56C0" w:rsidRDefault="00EE56C0">
            <w:pPr>
              <w:pStyle w:val="afa"/>
            </w:pPr>
          </w:p>
        </w:tc>
        <w:tc>
          <w:tcPr>
            <w:tcW w:w="939" w:type="pct"/>
            <w:vMerge/>
            <w:vAlign w:val="center"/>
          </w:tcPr>
          <w:p w:rsidR="00EE56C0" w:rsidRDefault="00EE56C0">
            <w:pPr>
              <w:pStyle w:val="afa"/>
            </w:pPr>
          </w:p>
        </w:tc>
      </w:tr>
      <w:tr w:rsidR="00EE56C0" w:rsidTr="00971E69">
        <w:trPr>
          <w:trHeight w:val="686"/>
          <w:jc w:val="center"/>
        </w:trPr>
        <w:tc>
          <w:tcPr>
            <w:tcW w:w="249" w:type="pct"/>
            <w:vMerge/>
            <w:vAlign w:val="center"/>
          </w:tcPr>
          <w:p w:rsidR="00EE56C0" w:rsidRDefault="00EE56C0">
            <w:pPr>
              <w:pStyle w:val="afa"/>
            </w:pPr>
          </w:p>
        </w:tc>
        <w:tc>
          <w:tcPr>
            <w:tcW w:w="253" w:type="pct"/>
            <w:vMerge/>
            <w:vAlign w:val="center"/>
          </w:tcPr>
          <w:p w:rsidR="00EE56C0" w:rsidRDefault="00EE56C0">
            <w:pPr>
              <w:pStyle w:val="afa"/>
            </w:pPr>
          </w:p>
        </w:tc>
        <w:tc>
          <w:tcPr>
            <w:tcW w:w="976" w:type="pct"/>
            <w:gridSpan w:val="3"/>
            <w:vAlign w:val="center"/>
          </w:tcPr>
          <w:p w:rsidR="00EE56C0" w:rsidRDefault="000F36A1">
            <w:pPr>
              <w:pStyle w:val="afa"/>
            </w:pPr>
            <w:r>
              <w:rPr>
                <w:rFonts w:hint="eastAsia"/>
              </w:rPr>
              <w:t>含涂料、含油的废毛毡、废布</w:t>
            </w:r>
            <w:r>
              <w:rPr>
                <w:rFonts w:hint="eastAsia"/>
              </w:rPr>
              <w:t xml:space="preserve"> </w:t>
            </w:r>
          </w:p>
        </w:tc>
        <w:tc>
          <w:tcPr>
            <w:tcW w:w="2583" w:type="pct"/>
            <w:gridSpan w:val="5"/>
            <w:vMerge/>
            <w:vAlign w:val="center"/>
          </w:tcPr>
          <w:p w:rsidR="00EE56C0" w:rsidRDefault="00EE56C0">
            <w:pPr>
              <w:pStyle w:val="afa"/>
            </w:pPr>
          </w:p>
        </w:tc>
        <w:tc>
          <w:tcPr>
            <w:tcW w:w="939" w:type="pct"/>
            <w:vMerge/>
            <w:vAlign w:val="center"/>
          </w:tcPr>
          <w:p w:rsidR="00EE56C0" w:rsidRDefault="00EE56C0">
            <w:pPr>
              <w:pStyle w:val="afa"/>
            </w:pPr>
          </w:p>
        </w:tc>
      </w:tr>
      <w:tr w:rsidR="00EE56C0" w:rsidTr="00971E69">
        <w:trPr>
          <w:trHeight w:val="397"/>
          <w:jc w:val="center"/>
        </w:trPr>
        <w:tc>
          <w:tcPr>
            <w:tcW w:w="249" w:type="pct"/>
            <w:vMerge/>
            <w:vAlign w:val="center"/>
          </w:tcPr>
          <w:p w:rsidR="00EE56C0" w:rsidRDefault="00EE56C0">
            <w:pPr>
              <w:pStyle w:val="afa"/>
            </w:pPr>
          </w:p>
        </w:tc>
        <w:tc>
          <w:tcPr>
            <w:tcW w:w="253" w:type="pct"/>
            <w:vMerge/>
            <w:vAlign w:val="center"/>
          </w:tcPr>
          <w:p w:rsidR="00EE56C0" w:rsidRDefault="00EE56C0">
            <w:pPr>
              <w:pStyle w:val="afa"/>
            </w:pPr>
          </w:p>
        </w:tc>
        <w:tc>
          <w:tcPr>
            <w:tcW w:w="976" w:type="pct"/>
            <w:gridSpan w:val="3"/>
            <w:vAlign w:val="center"/>
          </w:tcPr>
          <w:p w:rsidR="00EE56C0" w:rsidRDefault="000F36A1">
            <w:pPr>
              <w:pStyle w:val="afa"/>
            </w:pPr>
            <w:r>
              <w:rPr>
                <w:rFonts w:hint="eastAsia"/>
              </w:rPr>
              <w:t>废油</w:t>
            </w:r>
          </w:p>
        </w:tc>
        <w:tc>
          <w:tcPr>
            <w:tcW w:w="2583" w:type="pct"/>
            <w:gridSpan w:val="5"/>
            <w:vMerge/>
            <w:vAlign w:val="center"/>
          </w:tcPr>
          <w:p w:rsidR="00EE56C0" w:rsidRDefault="00EE56C0">
            <w:pPr>
              <w:pStyle w:val="afa"/>
            </w:pPr>
          </w:p>
        </w:tc>
        <w:tc>
          <w:tcPr>
            <w:tcW w:w="939" w:type="pct"/>
            <w:vMerge/>
            <w:vAlign w:val="center"/>
          </w:tcPr>
          <w:p w:rsidR="00EE56C0" w:rsidRDefault="00EE56C0">
            <w:pPr>
              <w:pStyle w:val="afa"/>
            </w:pPr>
          </w:p>
        </w:tc>
      </w:tr>
      <w:tr w:rsidR="00EE56C0" w:rsidTr="00971E69">
        <w:trPr>
          <w:trHeight w:val="397"/>
          <w:jc w:val="center"/>
        </w:trPr>
        <w:tc>
          <w:tcPr>
            <w:tcW w:w="249" w:type="pct"/>
            <w:vMerge/>
            <w:vAlign w:val="center"/>
          </w:tcPr>
          <w:p w:rsidR="00EE56C0" w:rsidRDefault="00EE56C0">
            <w:pPr>
              <w:pStyle w:val="afa"/>
            </w:pPr>
          </w:p>
        </w:tc>
        <w:tc>
          <w:tcPr>
            <w:tcW w:w="253" w:type="pct"/>
            <w:vMerge/>
            <w:vAlign w:val="center"/>
          </w:tcPr>
          <w:p w:rsidR="00EE56C0" w:rsidRDefault="00EE56C0">
            <w:pPr>
              <w:pStyle w:val="afa"/>
            </w:pPr>
          </w:p>
        </w:tc>
        <w:tc>
          <w:tcPr>
            <w:tcW w:w="976" w:type="pct"/>
            <w:gridSpan w:val="3"/>
            <w:vAlign w:val="center"/>
          </w:tcPr>
          <w:p w:rsidR="00EE56C0" w:rsidRDefault="000F36A1">
            <w:pPr>
              <w:pStyle w:val="afa"/>
            </w:pPr>
            <w:r>
              <w:rPr>
                <w:rFonts w:hint="eastAsia"/>
              </w:rPr>
              <w:t>废活性炭</w:t>
            </w:r>
          </w:p>
        </w:tc>
        <w:tc>
          <w:tcPr>
            <w:tcW w:w="2583" w:type="pct"/>
            <w:gridSpan w:val="5"/>
            <w:vMerge/>
            <w:vAlign w:val="center"/>
          </w:tcPr>
          <w:p w:rsidR="00EE56C0" w:rsidRDefault="00EE56C0">
            <w:pPr>
              <w:pStyle w:val="afa"/>
            </w:pPr>
          </w:p>
        </w:tc>
        <w:tc>
          <w:tcPr>
            <w:tcW w:w="939" w:type="pct"/>
            <w:vMerge/>
            <w:vAlign w:val="center"/>
          </w:tcPr>
          <w:p w:rsidR="00EE56C0" w:rsidRDefault="00EE56C0">
            <w:pPr>
              <w:pStyle w:val="afa"/>
            </w:pPr>
          </w:p>
        </w:tc>
      </w:tr>
      <w:tr w:rsidR="00EE56C0" w:rsidTr="00971E69">
        <w:trPr>
          <w:trHeight w:val="397"/>
          <w:jc w:val="center"/>
        </w:trPr>
        <w:tc>
          <w:tcPr>
            <w:tcW w:w="249" w:type="pct"/>
            <w:vMerge/>
            <w:vAlign w:val="center"/>
          </w:tcPr>
          <w:p w:rsidR="00EE56C0" w:rsidRDefault="00EE56C0">
            <w:pPr>
              <w:pStyle w:val="afa"/>
            </w:pPr>
          </w:p>
        </w:tc>
        <w:tc>
          <w:tcPr>
            <w:tcW w:w="253" w:type="pct"/>
            <w:vMerge/>
            <w:vAlign w:val="center"/>
          </w:tcPr>
          <w:p w:rsidR="00EE56C0" w:rsidRDefault="00EE56C0">
            <w:pPr>
              <w:pStyle w:val="afa"/>
            </w:pPr>
          </w:p>
        </w:tc>
        <w:tc>
          <w:tcPr>
            <w:tcW w:w="976" w:type="pct"/>
            <w:gridSpan w:val="3"/>
            <w:vAlign w:val="center"/>
          </w:tcPr>
          <w:p w:rsidR="00EE56C0" w:rsidRDefault="000F36A1">
            <w:pPr>
              <w:pStyle w:val="afa"/>
            </w:pPr>
            <w:r>
              <w:t>废催化剂</w:t>
            </w:r>
          </w:p>
        </w:tc>
        <w:tc>
          <w:tcPr>
            <w:tcW w:w="2583" w:type="pct"/>
            <w:gridSpan w:val="5"/>
            <w:vMerge/>
            <w:vAlign w:val="center"/>
          </w:tcPr>
          <w:p w:rsidR="00EE56C0" w:rsidRDefault="00EE56C0">
            <w:pPr>
              <w:pStyle w:val="afa"/>
            </w:pPr>
          </w:p>
        </w:tc>
        <w:tc>
          <w:tcPr>
            <w:tcW w:w="939" w:type="pct"/>
            <w:vMerge/>
            <w:vAlign w:val="center"/>
          </w:tcPr>
          <w:p w:rsidR="00EE56C0" w:rsidRDefault="00EE56C0">
            <w:pPr>
              <w:pStyle w:val="afa"/>
            </w:pPr>
          </w:p>
        </w:tc>
      </w:tr>
      <w:tr w:rsidR="00EE56C0" w:rsidTr="00971E69">
        <w:trPr>
          <w:trHeight w:val="397"/>
          <w:jc w:val="center"/>
        </w:trPr>
        <w:tc>
          <w:tcPr>
            <w:tcW w:w="249" w:type="pct"/>
            <w:vMerge/>
            <w:vAlign w:val="center"/>
          </w:tcPr>
          <w:p w:rsidR="00EE56C0" w:rsidRDefault="00EE56C0">
            <w:pPr>
              <w:pStyle w:val="afa"/>
            </w:pPr>
          </w:p>
        </w:tc>
        <w:tc>
          <w:tcPr>
            <w:tcW w:w="253" w:type="pct"/>
            <w:vMerge/>
            <w:vAlign w:val="center"/>
          </w:tcPr>
          <w:p w:rsidR="00EE56C0" w:rsidRDefault="00EE56C0">
            <w:pPr>
              <w:pStyle w:val="afa"/>
            </w:pPr>
          </w:p>
        </w:tc>
        <w:tc>
          <w:tcPr>
            <w:tcW w:w="976" w:type="pct"/>
            <w:gridSpan w:val="3"/>
            <w:vAlign w:val="center"/>
          </w:tcPr>
          <w:p w:rsidR="00EE56C0" w:rsidRDefault="000F36A1">
            <w:pPr>
              <w:pStyle w:val="afa"/>
            </w:pPr>
            <w:r>
              <w:rPr>
                <w:rFonts w:hint="eastAsia"/>
              </w:rPr>
              <w:t>废沸石分子筛</w:t>
            </w:r>
          </w:p>
        </w:tc>
        <w:tc>
          <w:tcPr>
            <w:tcW w:w="2583" w:type="pct"/>
            <w:gridSpan w:val="5"/>
            <w:vMerge/>
            <w:vAlign w:val="center"/>
          </w:tcPr>
          <w:p w:rsidR="00EE56C0" w:rsidRDefault="00EE56C0">
            <w:pPr>
              <w:pStyle w:val="afa"/>
            </w:pPr>
          </w:p>
        </w:tc>
        <w:tc>
          <w:tcPr>
            <w:tcW w:w="939" w:type="pct"/>
            <w:vMerge/>
            <w:vAlign w:val="center"/>
          </w:tcPr>
          <w:p w:rsidR="00EE56C0" w:rsidRDefault="00EE56C0">
            <w:pPr>
              <w:pStyle w:val="afa"/>
            </w:pPr>
          </w:p>
        </w:tc>
      </w:tr>
      <w:tr w:rsidR="00EE56C0" w:rsidTr="00971E69">
        <w:trPr>
          <w:trHeight w:val="397"/>
          <w:jc w:val="center"/>
        </w:trPr>
        <w:tc>
          <w:tcPr>
            <w:tcW w:w="249" w:type="pct"/>
            <w:vAlign w:val="center"/>
          </w:tcPr>
          <w:p w:rsidR="00EE56C0" w:rsidRDefault="000F36A1">
            <w:pPr>
              <w:pStyle w:val="afa"/>
            </w:pPr>
            <w:r>
              <w:t>噪声</w:t>
            </w:r>
          </w:p>
        </w:tc>
        <w:tc>
          <w:tcPr>
            <w:tcW w:w="1229" w:type="pct"/>
            <w:gridSpan w:val="4"/>
            <w:vAlign w:val="center"/>
          </w:tcPr>
          <w:p w:rsidR="00EE56C0" w:rsidRDefault="000F36A1">
            <w:pPr>
              <w:pStyle w:val="afa"/>
            </w:pPr>
            <w:r>
              <w:t>设备噪声</w:t>
            </w:r>
          </w:p>
        </w:tc>
        <w:tc>
          <w:tcPr>
            <w:tcW w:w="2583" w:type="pct"/>
            <w:gridSpan w:val="5"/>
            <w:vAlign w:val="center"/>
          </w:tcPr>
          <w:p w:rsidR="00EE56C0" w:rsidRDefault="000F36A1">
            <w:pPr>
              <w:pStyle w:val="afa"/>
            </w:pPr>
            <w:r>
              <w:t>减振、密闭隔音等</w:t>
            </w:r>
          </w:p>
        </w:tc>
        <w:tc>
          <w:tcPr>
            <w:tcW w:w="939" w:type="pct"/>
            <w:vAlign w:val="center"/>
          </w:tcPr>
          <w:p w:rsidR="00EE56C0" w:rsidRDefault="000F36A1">
            <w:pPr>
              <w:pStyle w:val="afa"/>
            </w:pPr>
            <w:r>
              <w:t>《工业企业厂界环境噪声排放标准》</w:t>
            </w:r>
            <w:r>
              <w:rPr>
                <w:rFonts w:hint="eastAsia"/>
              </w:rPr>
              <w:t>（</w:t>
            </w:r>
            <w:r>
              <w:t>GB12348-2008</w:t>
            </w:r>
            <w:r>
              <w:rPr>
                <w:rFonts w:hint="eastAsia"/>
              </w:rPr>
              <w:t>）</w:t>
            </w:r>
            <w:r>
              <w:rPr>
                <w:rFonts w:hint="eastAsia"/>
              </w:rPr>
              <w:t>3</w:t>
            </w:r>
            <w:r>
              <w:rPr>
                <w:rFonts w:hint="eastAsia"/>
              </w:rPr>
              <w:t>类</w:t>
            </w:r>
          </w:p>
        </w:tc>
      </w:tr>
      <w:tr w:rsidR="00EE56C0" w:rsidTr="00971E69">
        <w:trPr>
          <w:trHeight w:val="397"/>
          <w:jc w:val="center"/>
        </w:trPr>
        <w:tc>
          <w:tcPr>
            <w:tcW w:w="249" w:type="pct"/>
            <w:vAlign w:val="center"/>
          </w:tcPr>
          <w:p w:rsidR="00EE56C0" w:rsidRDefault="000F36A1">
            <w:pPr>
              <w:pStyle w:val="afa"/>
            </w:pPr>
            <w:r>
              <w:rPr>
                <w:rFonts w:hint="eastAsia"/>
              </w:rPr>
              <w:t>风险</w:t>
            </w:r>
          </w:p>
        </w:tc>
        <w:tc>
          <w:tcPr>
            <w:tcW w:w="3812" w:type="pct"/>
            <w:gridSpan w:val="9"/>
            <w:vAlign w:val="center"/>
          </w:tcPr>
          <w:p w:rsidR="00EE56C0" w:rsidRDefault="000F36A1">
            <w:pPr>
              <w:pStyle w:val="afa"/>
              <w:ind w:firstLine="480"/>
            </w:pPr>
            <w:r>
              <w:rPr>
                <w:rFonts w:hint="eastAsia"/>
              </w:rPr>
              <w:t>事故废水收集管网；</w:t>
            </w:r>
            <w:r>
              <w:t>采取地面硬化等防渗措施</w:t>
            </w:r>
            <w:r>
              <w:rPr>
                <w:rFonts w:hint="eastAsia"/>
              </w:rPr>
              <w:t>；新增应急器材、消防器材等；依托现有事故水池</w:t>
            </w:r>
          </w:p>
        </w:tc>
        <w:tc>
          <w:tcPr>
            <w:tcW w:w="939" w:type="pct"/>
            <w:vAlign w:val="center"/>
          </w:tcPr>
          <w:p w:rsidR="00EE56C0" w:rsidRDefault="000F36A1">
            <w:pPr>
              <w:pStyle w:val="afa"/>
            </w:pPr>
            <w:r>
              <w:rPr>
                <w:rFonts w:hint="eastAsia"/>
              </w:rPr>
              <w:t>/</w:t>
            </w:r>
          </w:p>
        </w:tc>
      </w:tr>
      <w:tr w:rsidR="00EE56C0" w:rsidTr="00971E69">
        <w:trPr>
          <w:trHeight w:val="397"/>
          <w:jc w:val="center"/>
        </w:trPr>
        <w:tc>
          <w:tcPr>
            <w:tcW w:w="249" w:type="pct"/>
            <w:vAlign w:val="center"/>
          </w:tcPr>
          <w:p w:rsidR="00EE56C0" w:rsidRDefault="000F36A1">
            <w:pPr>
              <w:pStyle w:val="afa"/>
            </w:pPr>
            <w:r>
              <w:rPr>
                <w:rFonts w:hint="eastAsia"/>
              </w:rPr>
              <w:t>管理</w:t>
            </w:r>
          </w:p>
        </w:tc>
        <w:tc>
          <w:tcPr>
            <w:tcW w:w="3812" w:type="pct"/>
            <w:gridSpan w:val="9"/>
            <w:vAlign w:val="center"/>
          </w:tcPr>
          <w:p w:rsidR="00EE56C0" w:rsidRDefault="000F36A1">
            <w:pPr>
              <w:pStyle w:val="afa"/>
              <w:ind w:firstLine="480"/>
            </w:pPr>
            <w:r>
              <w:rPr>
                <w:rFonts w:hint="eastAsia"/>
              </w:rPr>
              <w:t>废气排气筒排放口、监测取样处</w:t>
            </w:r>
            <w:r>
              <w:t>安装视频监控</w:t>
            </w:r>
            <w:r>
              <w:rPr>
                <w:rFonts w:hint="eastAsia"/>
              </w:rPr>
              <w:t>（已安装）；总用电处、生产设施、废气及废水处理设施处安装用电监控设施，并与环保部门联网</w:t>
            </w:r>
          </w:p>
        </w:tc>
        <w:tc>
          <w:tcPr>
            <w:tcW w:w="939" w:type="pct"/>
            <w:vAlign w:val="center"/>
          </w:tcPr>
          <w:p w:rsidR="00EE56C0" w:rsidRDefault="000F36A1">
            <w:pPr>
              <w:pStyle w:val="afa"/>
            </w:pPr>
            <w:r>
              <w:rPr>
                <w:rFonts w:hint="eastAsia"/>
              </w:rPr>
              <w:t>/</w:t>
            </w:r>
          </w:p>
        </w:tc>
      </w:tr>
    </w:tbl>
    <w:p w:rsidR="00EE56C0" w:rsidRDefault="000F36A1">
      <w:pPr>
        <w:ind w:firstLine="480"/>
      </w:pPr>
      <w:r>
        <w:t>综上，评价认为项目在采取工程设计和评价提出的废气、废水、噪声、固废污染防治措施后，废气</w:t>
      </w:r>
      <w:r>
        <w:rPr>
          <w:rFonts w:hint="eastAsia"/>
        </w:rPr>
        <w:t>、废水</w:t>
      </w:r>
      <w:r>
        <w:t>污染物均能做到稳定达标排放，噪声污染做到有效控制，固废全部综合利用和合理处置，措施可行。</w:t>
      </w:r>
    </w:p>
    <w:p w:rsidR="00EE56C0" w:rsidRDefault="000F36A1">
      <w:pPr>
        <w:pStyle w:val="2"/>
        <w:ind w:firstLine="301"/>
      </w:pPr>
      <w:bookmarkStart w:id="398" w:name="_Toc277889930"/>
      <w:bookmarkStart w:id="399" w:name="_Toc428287310"/>
      <w:bookmarkStart w:id="400" w:name="_Toc422317694"/>
      <w:bookmarkStart w:id="401" w:name="_Toc428287662"/>
      <w:bookmarkStart w:id="402" w:name="_Toc429318457"/>
      <w:bookmarkStart w:id="403" w:name="_Toc469647424"/>
      <w:bookmarkStart w:id="404" w:name="_Toc306089680"/>
      <w:bookmarkStart w:id="405" w:name="_Toc311099517"/>
      <w:bookmarkStart w:id="406" w:name="_Toc25400930"/>
      <w:bookmarkStart w:id="407" w:name="_Toc281666808"/>
      <w:bookmarkStart w:id="408" w:name="_Toc278572694"/>
      <w:bookmarkStart w:id="409" w:name="_Toc497299865"/>
      <w:bookmarkStart w:id="410" w:name="_Toc429318428"/>
      <w:bookmarkStart w:id="411" w:name="_Toc428286906"/>
      <w:bookmarkStart w:id="412" w:name="_Toc428287267"/>
      <w:r>
        <w:rPr>
          <w:rFonts w:hint="eastAsia"/>
        </w:rPr>
        <w:t>6.7</w:t>
      </w:r>
      <w:r>
        <w:t>厂址选择可行性</w:t>
      </w:r>
      <w:bookmarkEnd w:id="398"/>
      <w:bookmarkEnd w:id="399"/>
      <w:bookmarkEnd w:id="400"/>
      <w:bookmarkEnd w:id="401"/>
      <w:bookmarkEnd w:id="402"/>
      <w:bookmarkEnd w:id="403"/>
      <w:bookmarkEnd w:id="404"/>
      <w:bookmarkEnd w:id="405"/>
      <w:bookmarkEnd w:id="406"/>
      <w:bookmarkEnd w:id="407"/>
      <w:bookmarkEnd w:id="408"/>
      <w:bookmarkEnd w:id="409"/>
    </w:p>
    <w:p w:rsidR="00EE56C0" w:rsidRDefault="000F36A1">
      <w:pPr>
        <w:pStyle w:val="3"/>
        <w:spacing w:before="240" w:after="120"/>
      </w:pPr>
      <w:bookmarkStart w:id="413" w:name="_Toc428286959"/>
      <w:bookmarkStart w:id="414" w:name="_Toc428287664"/>
      <w:bookmarkStart w:id="415" w:name="_Toc428287312"/>
      <w:r>
        <w:rPr>
          <w:rFonts w:hint="eastAsia"/>
        </w:rPr>
        <w:t>6.7.1</w:t>
      </w:r>
      <w:r>
        <w:t>符合</w:t>
      </w:r>
      <w:r>
        <w:rPr>
          <w:rFonts w:hint="eastAsia"/>
        </w:rPr>
        <w:t>新乡县新乡经济技术集聚区</w:t>
      </w:r>
      <w:r>
        <w:t>发展规划</w:t>
      </w:r>
      <w:bookmarkEnd w:id="413"/>
      <w:bookmarkEnd w:id="414"/>
      <w:bookmarkEnd w:id="415"/>
    </w:p>
    <w:p w:rsidR="00EE56C0" w:rsidRDefault="000F36A1">
      <w:pPr>
        <w:ind w:firstLine="480"/>
      </w:pPr>
      <w:r>
        <w:t>本项目为</w:t>
      </w:r>
      <w:r>
        <w:rPr>
          <w:rFonts w:hint="eastAsia"/>
        </w:rPr>
        <w:t>高可靠性抗高压耐热绕组线项目，选址</w:t>
      </w:r>
      <w:r>
        <w:t>位于</w:t>
      </w:r>
      <w:r>
        <w:rPr>
          <w:rFonts w:hint="eastAsia"/>
        </w:rPr>
        <w:t>新乡市新乡县新乡经济技术集聚区远大路西段，利用现有</w:t>
      </w:r>
      <w:r>
        <w:t>厂房</w:t>
      </w:r>
      <w:r>
        <w:rPr>
          <w:rFonts w:hint="eastAsia"/>
        </w:rPr>
        <w:t>生产。根据</w:t>
      </w:r>
      <w:r>
        <w:t>《新乡经济技术产业集聚区总体发展规划（</w:t>
      </w:r>
      <w:r>
        <w:t>201</w:t>
      </w:r>
      <w:r>
        <w:rPr>
          <w:rFonts w:hint="eastAsia"/>
        </w:rPr>
        <w:t>7</w:t>
      </w:r>
      <w:r>
        <w:t>-2025</w:t>
      </w:r>
      <w:r>
        <w:t>）》</w:t>
      </w:r>
      <w:r>
        <w:rPr>
          <w:rFonts w:hint="eastAsia"/>
        </w:rPr>
        <w:t>用地规划图，本项目用地属于二类工业用地，符合</w:t>
      </w:r>
      <w:r>
        <w:lastRenderedPageBreak/>
        <w:t>新乡经济技术产业集聚区</w:t>
      </w:r>
      <w:r>
        <w:rPr>
          <w:rFonts w:hint="eastAsia"/>
        </w:rPr>
        <w:t>总体发展规划和土地性质规划</w:t>
      </w:r>
      <w:r>
        <w:t>。</w:t>
      </w:r>
    </w:p>
    <w:p w:rsidR="00EE56C0" w:rsidRDefault="000F36A1">
      <w:pPr>
        <w:pStyle w:val="3"/>
        <w:spacing w:before="240" w:after="120"/>
      </w:pPr>
      <w:bookmarkStart w:id="416" w:name="_Toc428286960"/>
      <w:bookmarkStart w:id="417" w:name="_Toc428287665"/>
      <w:bookmarkStart w:id="418" w:name="_Toc428287313"/>
      <w:r>
        <w:rPr>
          <w:rFonts w:hint="eastAsia"/>
        </w:rPr>
        <w:t>6.7.2</w:t>
      </w:r>
      <w:r>
        <w:t>满足新乡市饮用水源地保护要求</w:t>
      </w:r>
      <w:bookmarkEnd w:id="416"/>
      <w:bookmarkEnd w:id="417"/>
      <w:bookmarkEnd w:id="418"/>
    </w:p>
    <w:p w:rsidR="00EE56C0" w:rsidRDefault="000F36A1">
      <w:pPr>
        <w:ind w:firstLine="480"/>
      </w:pPr>
      <w:r>
        <w:t>距本项目最近的城市饮用水水源地保护区为</w:t>
      </w:r>
      <w:r>
        <w:rPr>
          <w:rFonts w:hint="eastAsia"/>
        </w:rPr>
        <w:t>新乡市凤泉水厂</w:t>
      </w:r>
      <w:r>
        <w:t>地下水饮用水源保护区，</w:t>
      </w:r>
      <w:r>
        <w:rPr>
          <w:rFonts w:hint="eastAsia"/>
        </w:rPr>
        <w:t>本项目</w:t>
      </w:r>
      <w:r>
        <w:t>距离</w:t>
      </w:r>
      <w:r>
        <w:rPr>
          <w:rFonts w:hint="eastAsia"/>
        </w:rPr>
        <w:t>其</w:t>
      </w:r>
      <w:r>
        <w:t>约</w:t>
      </w:r>
      <w:r>
        <w:rPr>
          <w:rFonts w:hint="eastAsia"/>
        </w:rPr>
        <w:t>31.25</w:t>
      </w:r>
      <w:r w:rsidR="00E80211">
        <w:rPr>
          <w:rFonts w:hint="eastAsia"/>
        </w:rPr>
        <w:t>k</w:t>
      </w:r>
      <w:r>
        <w:t>m</w:t>
      </w:r>
      <w:r>
        <w:rPr>
          <w:rFonts w:hint="eastAsia"/>
        </w:rPr>
        <w:t>，不在其保护区范围内；距离本项目最近的新乡市乡镇饮用水源为</w:t>
      </w:r>
      <w:r>
        <w:rPr>
          <w:rFonts w:ascii="宋体" w:hAnsi="宋体" w:cs="宋体" w:hint="eastAsia"/>
        </w:rPr>
        <w:t>新乡县翟坡镇水厂地下水井群</w:t>
      </w:r>
      <w:r>
        <w:rPr>
          <w:rFonts w:hint="eastAsia"/>
        </w:rPr>
        <w:t>，本项目</w:t>
      </w:r>
      <w:r>
        <w:t>距离</w:t>
      </w:r>
      <w:r>
        <w:rPr>
          <w:rFonts w:hint="eastAsia"/>
        </w:rPr>
        <w:t>其保护区边界</w:t>
      </w:r>
      <w:r>
        <w:t>约为</w:t>
      </w:r>
      <w:r>
        <w:rPr>
          <w:rFonts w:hint="eastAsia"/>
        </w:rPr>
        <w:t>12.35km</w:t>
      </w:r>
      <w:r>
        <w:rPr>
          <w:rFonts w:hint="eastAsia"/>
        </w:rPr>
        <w:t>，不在其保护区范围内。因此，本工程建设不会对城市水源地产生直接影响。</w:t>
      </w:r>
    </w:p>
    <w:p w:rsidR="00EE56C0" w:rsidRDefault="000F36A1">
      <w:pPr>
        <w:pStyle w:val="3"/>
        <w:spacing w:before="240" w:after="120"/>
      </w:pPr>
      <w:bookmarkStart w:id="419" w:name="_Toc428287667"/>
      <w:bookmarkStart w:id="420" w:name="_Toc428287315"/>
      <w:bookmarkStart w:id="421" w:name="_Toc428286962"/>
      <w:r>
        <w:rPr>
          <w:rFonts w:hint="eastAsia"/>
        </w:rPr>
        <w:t>6.7.3</w:t>
      </w:r>
      <w:r>
        <w:t>项目对周边环境的影响可接受</w:t>
      </w:r>
      <w:bookmarkEnd w:id="419"/>
      <w:bookmarkEnd w:id="420"/>
      <w:bookmarkEnd w:id="421"/>
    </w:p>
    <w:p w:rsidR="00EE56C0" w:rsidRDefault="000F36A1">
      <w:pPr>
        <w:ind w:firstLine="480"/>
      </w:pPr>
      <w:r>
        <w:rPr>
          <w:rFonts w:hint="eastAsia"/>
        </w:rPr>
        <w:t>（</w:t>
      </w:r>
      <w:r>
        <w:t>1</w:t>
      </w:r>
      <w:r>
        <w:rPr>
          <w:rFonts w:hint="eastAsia"/>
        </w:rPr>
        <w:t>）</w:t>
      </w:r>
      <w:r>
        <w:t>环境空气影响</w:t>
      </w:r>
    </w:p>
    <w:p w:rsidR="00EE56C0" w:rsidRDefault="000F36A1">
      <w:pPr>
        <w:ind w:firstLine="480"/>
      </w:pPr>
      <w:r>
        <w:t>项目废气排放满足标准要求，经预测，废气污染物对敏感点的影响均可达满足标准要求，项目废气对周边环境的影响可接受。</w:t>
      </w:r>
    </w:p>
    <w:p w:rsidR="00EE56C0" w:rsidRDefault="000F36A1">
      <w:pPr>
        <w:ind w:firstLine="480"/>
      </w:pPr>
      <w:r>
        <w:rPr>
          <w:rFonts w:hint="eastAsia"/>
        </w:rPr>
        <w:t>（</w:t>
      </w:r>
      <w:r>
        <w:t>2</w:t>
      </w:r>
      <w:r>
        <w:rPr>
          <w:rFonts w:hint="eastAsia"/>
        </w:rPr>
        <w:t>）</w:t>
      </w:r>
      <w:r>
        <w:t>地表水环境影响</w:t>
      </w:r>
    </w:p>
    <w:p w:rsidR="00EE56C0" w:rsidRDefault="000F36A1">
      <w:pPr>
        <w:ind w:firstLine="480"/>
      </w:pPr>
      <w:r>
        <w:rPr>
          <w:rFonts w:hint="eastAsia"/>
        </w:rPr>
        <w:t>公司拟将本工程产生的废水经污水处理站处理后经管网排入新乡县综合污水处理厂进一步处理，新乡县综合污水处理厂的出水</w:t>
      </w:r>
      <w:r>
        <w:rPr>
          <w:rFonts w:hint="eastAsia"/>
        </w:rPr>
        <w:t>TN</w:t>
      </w:r>
      <w:r>
        <w:rPr>
          <w:rFonts w:hint="eastAsia"/>
        </w:rPr>
        <w:t>满足</w:t>
      </w:r>
      <w:r>
        <w:t>《城镇污水处理厂污染物排放标准》（</w:t>
      </w:r>
      <w:r>
        <w:t>GB18918-2002</w:t>
      </w:r>
      <w:r>
        <w:t>）表</w:t>
      </w:r>
      <w:r>
        <w:t>1</w:t>
      </w:r>
      <w:r>
        <w:t>一级</w:t>
      </w:r>
      <w:r>
        <w:t>A</w:t>
      </w:r>
      <w:r>
        <w:rPr>
          <w:rFonts w:hint="eastAsia"/>
        </w:rPr>
        <w:t>标准，</w:t>
      </w:r>
      <w:r>
        <w:rPr>
          <w:rFonts w:hint="eastAsia"/>
        </w:rPr>
        <w:t>COD</w:t>
      </w:r>
      <w:r>
        <w:rPr>
          <w:rFonts w:hint="eastAsia"/>
        </w:rPr>
        <w:t>、</w:t>
      </w:r>
      <w:r>
        <w:rPr>
          <w:rFonts w:hint="eastAsia"/>
        </w:rPr>
        <w:t>NH</w:t>
      </w:r>
      <w:r>
        <w:rPr>
          <w:rFonts w:hint="eastAsia"/>
          <w:vertAlign w:val="subscript"/>
        </w:rPr>
        <w:t>3</w:t>
      </w:r>
      <w:r>
        <w:rPr>
          <w:rFonts w:hint="eastAsia"/>
        </w:rPr>
        <w:t>-N</w:t>
      </w:r>
      <w:r>
        <w:rPr>
          <w:rFonts w:hint="eastAsia"/>
        </w:rPr>
        <w:t>、</w:t>
      </w:r>
      <w:r>
        <w:rPr>
          <w:rFonts w:hint="eastAsia"/>
        </w:rPr>
        <w:t>TP</w:t>
      </w:r>
      <w:r>
        <w:rPr>
          <w:rFonts w:hint="eastAsia"/>
        </w:rPr>
        <w:t>满足《地表水环境质量标准》（</w:t>
      </w:r>
      <w:r>
        <w:rPr>
          <w:rFonts w:hint="eastAsia"/>
        </w:rPr>
        <w:t>GB3838-2002</w:t>
      </w:r>
      <w:r>
        <w:rPr>
          <w:rFonts w:hint="eastAsia"/>
        </w:rPr>
        <w:t>）</w:t>
      </w:r>
      <w:r>
        <w:rPr>
          <w:rFonts w:hint="eastAsia"/>
        </w:rPr>
        <w:t>V</w:t>
      </w:r>
      <w:r>
        <w:rPr>
          <w:rFonts w:hint="eastAsia"/>
        </w:rPr>
        <w:t>类标准，经新乡县综合污水处理厂排至东孟姜女河</w:t>
      </w:r>
      <w:r>
        <w:t>，不会对地表水体造成影响。</w:t>
      </w:r>
    </w:p>
    <w:p w:rsidR="00EE56C0" w:rsidRDefault="000F36A1">
      <w:pPr>
        <w:ind w:firstLine="480"/>
      </w:pPr>
      <w:r>
        <w:rPr>
          <w:rFonts w:hint="eastAsia"/>
        </w:rPr>
        <w:t>（</w:t>
      </w:r>
      <w:r>
        <w:t>3</w:t>
      </w:r>
      <w:r>
        <w:rPr>
          <w:rFonts w:hint="eastAsia"/>
        </w:rPr>
        <w:t>）</w:t>
      </w:r>
      <w:r>
        <w:t>声环境影响</w:t>
      </w:r>
    </w:p>
    <w:p w:rsidR="00EE56C0" w:rsidRDefault="000F36A1">
      <w:pPr>
        <w:ind w:firstLine="480"/>
      </w:pPr>
      <w:r>
        <w:t>由预测结果可知，项目完成后，厂界噪声均能够达到标准的要求。</w:t>
      </w:r>
    </w:p>
    <w:p w:rsidR="00EE56C0" w:rsidRDefault="000F36A1">
      <w:pPr>
        <w:ind w:firstLine="480"/>
      </w:pPr>
      <w:r>
        <w:rPr>
          <w:rFonts w:hint="eastAsia"/>
        </w:rPr>
        <w:t>（</w:t>
      </w:r>
      <w:r>
        <w:rPr>
          <w:rFonts w:hint="eastAsia"/>
        </w:rPr>
        <w:t>4</w:t>
      </w:r>
      <w:r>
        <w:rPr>
          <w:rFonts w:hint="eastAsia"/>
        </w:rPr>
        <w:t>）地下水环境影响分析</w:t>
      </w:r>
    </w:p>
    <w:p w:rsidR="00EE56C0" w:rsidRDefault="000F36A1">
      <w:pPr>
        <w:ind w:firstLine="480"/>
      </w:pPr>
      <w:r>
        <w:t>如果发生</w:t>
      </w:r>
      <w:r w:rsidR="00E80211">
        <w:rPr>
          <w:rFonts w:hint="eastAsia"/>
        </w:rPr>
        <w:t>化粪</w:t>
      </w:r>
      <w:r>
        <w:t>池连续渗漏非正常状况下，污水连续泄露</w:t>
      </w:r>
      <w:r>
        <w:rPr>
          <w:rFonts w:hint="eastAsia"/>
        </w:rPr>
        <w:t>24h</w:t>
      </w:r>
      <w:r>
        <w:t>后，</w:t>
      </w:r>
      <w:r>
        <w:rPr>
          <w:rFonts w:hint="eastAsia"/>
        </w:rPr>
        <w:t>叠加现状值后，耗氧量、氨氮均不存在超标现象，故预测不会对集中式饮用水水源地和周边环境敏感点地下水水质造成不利影响。</w:t>
      </w:r>
      <w:r>
        <w:t>在落实环评所提的相关建议后，本项目产生的废水不会对区域地下水质量有较大影响，地下水质量仍维持现有水平。</w:t>
      </w:r>
    </w:p>
    <w:p w:rsidR="00EE56C0" w:rsidRDefault="000F36A1">
      <w:pPr>
        <w:pStyle w:val="3"/>
        <w:spacing w:before="240" w:after="120"/>
      </w:pPr>
      <w:bookmarkStart w:id="422" w:name="_Toc428287668"/>
      <w:bookmarkStart w:id="423" w:name="_Toc428287316"/>
      <w:bookmarkStart w:id="424" w:name="_Toc428286963"/>
      <w:r>
        <w:rPr>
          <w:rFonts w:hint="eastAsia"/>
        </w:rPr>
        <w:lastRenderedPageBreak/>
        <w:t>6.7.4</w:t>
      </w:r>
      <w:r>
        <w:t>环境风险可接受</w:t>
      </w:r>
      <w:bookmarkEnd w:id="422"/>
      <w:bookmarkEnd w:id="423"/>
      <w:bookmarkEnd w:id="424"/>
    </w:p>
    <w:p w:rsidR="00EE56C0" w:rsidRDefault="000F36A1">
      <w:pPr>
        <w:ind w:firstLine="480"/>
      </w:pPr>
      <w:bookmarkStart w:id="425" w:name="_Toc428286965"/>
      <w:bookmarkStart w:id="426" w:name="_Toc428287318"/>
      <w:bookmarkStart w:id="427" w:name="_Toc428287670"/>
      <w:r>
        <w:rPr>
          <w:rFonts w:hint="eastAsia"/>
        </w:rPr>
        <w:t>本项目的原料具有一定的毒性和易燃性，其生产、贮存过程中存在一定泄漏风险。</w:t>
      </w:r>
      <w:r>
        <w:t>但风险事故发生概率比较低，发生事故对周围敏感目标的危害后果较小，在采取风险防范措施后，项目的风险</w:t>
      </w:r>
      <w:r>
        <w:rPr>
          <w:rFonts w:hint="eastAsia"/>
        </w:rPr>
        <w:t>可防控</w:t>
      </w:r>
      <w:r>
        <w:t>。</w:t>
      </w:r>
    </w:p>
    <w:p w:rsidR="00EE56C0" w:rsidRDefault="000F36A1">
      <w:pPr>
        <w:pStyle w:val="3"/>
        <w:spacing w:before="240" w:after="120"/>
      </w:pPr>
      <w:bookmarkStart w:id="428" w:name="_Toc497299866"/>
      <w:bookmarkStart w:id="429" w:name="_Toc306089681"/>
      <w:bookmarkStart w:id="430" w:name="_Toc429318458"/>
      <w:bookmarkStart w:id="431" w:name="_Toc469647425"/>
      <w:bookmarkStart w:id="432" w:name="_Toc277889931"/>
      <w:bookmarkStart w:id="433" w:name="_Toc428287671"/>
      <w:bookmarkStart w:id="434" w:name="_Toc311099518"/>
      <w:bookmarkStart w:id="435" w:name="_Toc278572695"/>
      <w:bookmarkStart w:id="436" w:name="_Toc428287319"/>
      <w:bookmarkStart w:id="437" w:name="_Toc422317695"/>
      <w:bookmarkStart w:id="438" w:name="_Toc281666809"/>
      <w:r>
        <w:rPr>
          <w:rFonts w:hint="eastAsia"/>
        </w:rPr>
        <w:t>6.7.5</w:t>
      </w:r>
      <w:r>
        <w:t>厂区平面布置合理性</w:t>
      </w:r>
      <w:bookmarkEnd w:id="428"/>
      <w:bookmarkEnd w:id="429"/>
      <w:bookmarkEnd w:id="430"/>
      <w:bookmarkEnd w:id="431"/>
      <w:bookmarkEnd w:id="432"/>
      <w:bookmarkEnd w:id="433"/>
      <w:bookmarkEnd w:id="434"/>
      <w:bookmarkEnd w:id="435"/>
      <w:bookmarkEnd w:id="436"/>
      <w:bookmarkEnd w:id="437"/>
      <w:bookmarkEnd w:id="438"/>
    </w:p>
    <w:p w:rsidR="00EE56C0" w:rsidRDefault="000F36A1">
      <w:pPr>
        <w:ind w:firstLine="480"/>
      </w:pPr>
      <w:r>
        <w:t>根据企业提供的拟建工程厂区总平面布置图，厂区的平面布置较为合理，主要体现在以下几个方面：</w:t>
      </w:r>
    </w:p>
    <w:p w:rsidR="00EE56C0" w:rsidRDefault="000F36A1">
      <w:pPr>
        <w:ind w:firstLine="480"/>
      </w:pPr>
      <w:r>
        <w:t>（</w:t>
      </w:r>
      <w:r>
        <w:t>1</w:t>
      </w:r>
      <w:r>
        <w:t>）项目设计生产区与办公区相分离，有利于物流和人流的管理；</w:t>
      </w:r>
    </w:p>
    <w:p w:rsidR="00EE56C0" w:rsidRDefault="000F36A1">
      <w:pPr>
        <w:ind w:firstLine="480"/>
      </w:pPr>
      <w:r>
        <w:t>（</w:t>
      </w:r>
      <w:r>
        <w:t>2</w:t>
      </w:r>
      <w:r>
        <w:t>）项目根据工艺流程和设备运转的要求，按照工艺运转顺序和安全生产的需要布置生产装置，工艺流程顺畅，厂区布局紧凑；</w:t>
      </w:r>
    </w:p>
    <w:p w:rsidR="00EE56C0" w:rsidRDefault="000F36A1">
      <w:pPr>
        <w:ind w:firstLine="480"/>
      </w:pPr>
      <w:r>
        <w:t>（</w:t>
      </w:r>
      <w:r>
        <w:t>3</w:t>
      </w:r>
      <w:r>
        <w:t>）根据生产单元的需要进行了合理的布局，减少了物料在输送过程中的跑、冒、滴、漏，提高了项目的清洁生产水平</w:t>
      </w:r>
      <w:r>
        <w:rPr>
          <w:rFonts w:hint="eastAsia"/>
        </w:rPr>
        <w:t>。</w:t>
      </w:r>
    </w:p>
    <w:p w:rsidR="00EE56C0" w:rsidRDefault="000F36A1">
      <w:pPr>
        <w:ind w:firstLine="480"/>
      </w:pPr>
      <w:r>
        <w:t>综上所述，评价认为厂区总平面布置基本合理。</w:t>
      </w:r>
    </w:p>
    <w:p w:rsidR="00EE56C0" w:rsidRDefault="000F36A1">
      <w:pPr>
        <w:pStyle w:val="2"/>
        <w:ind w:firstLine="301"/>
      </w:pPr>
      <w:bookmarkStart w:id="439" w:name="_Toc25400931"/>
      <w:bookmarkEnd w:id="425"/>
      <w:bookmarkEnd w:id="426"/>
      <w:bookmarkEnd w:id="427"/>
      <w:r>
        <w:rPr>
          <w:rFonts w:hint="eastAsia"/>
        </w:rPr>
        <w:t>6.8</w:t>
      </w:r>
      <w:r>
        <w:rPr>
          <w:rFonts w:hint="eastAsia"/>
        </w:rPr>
        <w:t>总量控制分析</w:t>
      </w:r>
      <w:bookmarkEnd w:id="410"/>
      <w:bookmarkEnd w:id="411"/>
      <w:bookmarkEnd w:id="412"/>
      <w:bookmarkEnd w:id="439"/>
    </w:p>
    <w:p w:rsidR="00EE56C0" w:rsidRDefault="000F36A1">
      <w:pPr>
        <w:pStyle w:val="3"/>
        <w:spacing w:before="240" w:after="120"/>
      </w:pPr>
      <w:r>
        <w:rPr>
          <w:rFonts w:hint="eastAsia"/>
        </w:rPr>
        <w:t>6.8.1</w:t>
      </w:r>
      <w:r>
        <w:rPr>
          <w:rFonts w:hint="eastAsia"/>
        </w:rPr>
        <w:t>总量控制因子</w:t>
      </w:r>
    </w:p>
    <w:p w:rsidR="00EE56C0" w:rsidRDefault="000F36A1">
      <w:pPr>
        <w:ind w:firstLine="480"/>
      </w:pPr>
      <w:r>
        <w:t>根据项目污染物产排特点及当地环保要求，本项目评价总量控制因子确定为</w:t>
      </w:r>
      <w:r>
        <w:rPr>
          <w:rFonts w:hint="eastAsia"/>
        </w:rPr>
        <w:t>：</w:t>
      </w:r>
    </w:p>
    <w:p w:rsidR="00EE56C0" w:rsidRDefault="000F36A1">
      <w:pPr>
        <w:ind w:firstLine="480"/>
      </w:pPr>
      <w:r>
        <w:rPr>
          <w:rFonts w:hint="eastAsia"/>
        </w:rPr>
        <w:t>水污染物：</w:t>
      </w:r>
      <w:r>
        <w:rPr>
          <w:rFonts w:hint="eastAsia"/>
        </w:rPr>
        <w:t>COD</w:t>
      </w:r>
      <w:r>
        <w:rPr>
          <w:rFonts w:hint="eastAsia"/>
        </w:rPr>
        <w:t>、</w:t>
      </w:r>
      <w:r>
        <w:rPr>
          <w:rFonts w:hint="eastAsia"/>
        </w:rPr>
        <w:t>NH</w:t>
      </w:r>
      <w:r>
        <w:rPr>
          <w:rFonts w:hint="eastAsia"/>
          <w:vertAlign w:val="subscript"/>
        </w:rPr>
        <w:t>3</w:t>
      </w:r>
      <w:r>
        <w:rPr>
          <w:rFonts w:hint="eastAsia"/>
        </w:rPr>
        <w:t>-N</w:t>
      </w:r>
      <w:r>
        <w:rPr>
          <w:rFonts w:hint="eastAsia"/>
        </w:rPr>
        <w:t>、</w:t>
      </w:r>
      <w:r>
        <w:rPr>
          <w:rFonts w:hint="eastAsia"/>
        </w:rPr>
        <w:t>TN</w:t>
      </w:r>
      <w:r>
        <w:rPr>
          <w:rFonts w:hint="eastAsia"/>
        </w:rPr>
        <w:t>、</w:t>
      </w:r>
      <w:r>
        <w:rPr>
          <w:rFonts w:hint="eastAsia"/>
        </w:rPr>
        <w:t>TP</w:t>
      </w:r>
      <w:r>
        <w:rPr>
          <w:rFonts w:hint="eastAsia"/>
        </w:rPr>
        <w:t>；</w:t>
      </w:r>
    </w:p>
    <w:p w:rsidR="00EE56C0" w:rsidRDefault="000F36A1">
      <w:pPr>
        <w:ind w:firstLine="480"/>
      </w:pPr>
      <w:r>
        <w:rPr>
          <w:rFonts w:hint="eastAsia"/>
        </w:rPr>
        <w:t>大气污染物：</w:t>
      </w:r>
      <w:r>
        <w:rPr>
          <w:rFonts w:hint="eastAsia"/>
        </w:rPr>
        <w:t>VOC</w:t>
      </w:r>
      <w:r>
        <w:rPr>
          <w:rFonts w:hint="eastAsia"/>
          <w:vertAlign w:val="subscript"/>
        </w:rPr>
        <w:t>S</w:t>
      </w:r>
      <w:r>
        <w:t>。</w:t>
      </w:r>
    </w:p>
    <w:p w:rsidR="00EE56C0" w:rsidRDefault="000F36A1">
      <w:pPr>
        <w:pStyle w:val="3"/>
        <w:spacing w:before="240" w:after="120"/>
      </w:pPr>
      <w:r>
        <w:rPr>
          <w:rFonts w:hint="eastAsia"/>
        </w:rPr>
        <w:t>6.8.2</w:t>
      </w:r>
      <w:r>
        <w:rPr>
          <w:rFonts w:hint="eastAsia"/>
        </w:rPr>
        <w:t>总量指标核算</w:t>
      </w:r>
    </w:p>
    <w:p w:rsidR="00EE56C0" w:rsidRDefault="000F36A1">
      <w:pPr>
        <w:pStyle w:val="4"/>
        <w:ind w:left="120" w:firstLine="241"/>
      </w:pPr>
      <w:r>
        <w:rPr>
          <w:rFonts w:hint="eastAsia"/>
        </w:rPr>
        <w:t>6.8.2.1</w:t>
      </w:r>
      <w:r>
        <w:rPr>
          <w:rFonts w:hint="eastAsia"/>
        </w:rPr>
        <w:t>废水</w:t>
      </w:r>
    </w:p>
    <w:p w:rsidR="00EE56C0" w:rsidRDefault="000F36A1" w:rsidP="005767FB">
      <w:pPr>
        <w:ind w:firstLine="480"/>
      </w:pPr>
      <w:r>
        <w:rPr>
          <w:rFonts w:hint="eastAsia"/>
        </w:rPr>
        <w:t>本项目</w:t>
      </w:r>
      <w:r>
        <w:t>在生产中严格落实各项环保治理措施及清洁生产工艺技术，加强企业环境管理，在满足达标排放的基础上，尽可能减少污染物</w:t>
      </w:r>
      <w:r>
        <w:rPr>
          <w:rFonts w:hint="eastAsia"/>
        </w:rPr>
        <w:t>的</w:t>
      </w:r>
      <w:r>
        <w:t>排放量</w:t>
      </w:r>
      <w:r>
        <w:rPr>
          <w:rFonts w:hint="eastAsia"/>
        </w:rPr>
        <w:t>。本项目经厂区污水处理站处理后的废水经管网排入新乡县综合污水处理厂进一步处理，处理</w:t>
      </w:r>
      <w:r>
        <w:rPr>
          <w:rFonts w:hint="eastAsia"/>
        </w:rPr>
        <w:lastRenderedPageBreak/>
        <w:t>达标后排入东孟姜女河。新乡县综合污水处理厂出水执行标准为：</w:t>
      </w:r>
      <w:r>
        <w:rPr>
          <w:rFonts w:hint="eastAsia"/>
        </w:rPr>
        <w:t>COD 40mg/L</w:t>
      </w:r>
      <w:r>
        <w:rPr>
          <w:rFonts w:hint="eastAsia"/>
        </w:rPr>
        <w:t>、氨氮</w:t>
      </w:r>
      <w:r>
        <w:rPr>
          <w:rFonts w:hint="eastAsia"/>
        </w:rPr>
        <w:t>2mg/L</w:t>
      </w:r>
      <w:r>
        <w:rPr>
          <w:rFonts w:hint="eastAsia"/>
        </w:rPr>
        <w:t>、总磷</w:t>
      </w:r>
      <w:r>
        <w:rPr>
          <w:rFonts w:hint="eastAsia"/>
        </w:rPr>
        <w:t>0.4mg/L</w:t>
      </w:r>
      <w:r>
        <w:rPr>
          <w:rFonts w:hint="eastAsia"/>
        </w:rPr>
        <w:t>、</w:t>
      </w:r>
      <w:r>
        <w:rPr>
          <w:rFonts w:hint="eastAsia"/>
        </w:rPr>
        <w:t>TN15mg/L</w:t>
      </w:r>
      <w:r>
        <w:rPr>
          <w:rFonts w:hint="eastAsia"/>
        </w:rPr>
        <w:t>。本项目废水排放情况见表</w:t>
      </w:r>
      <w:r>
        <w:rPr>
          <w:rFonts w:hint="eastAsia"/>
        </w:rPr>
        <w:t>6-1</w:t>
      </w:r>
      <w:r w:rsidR="005767FB">
        <w:rPr>
          <w:rFonts w:hint="eastAsia"/>
        </w:rPr>
        <w:t>3</w:t>
      </w:r>
      <w:r>
        <w:rPr>
          <w:rFonts w:hint="eastAsia"/>
        </w:rPr>
        <w:t>。</w:t>
      </w:r>
    </w:p>
    <w:p w:rsidR="00EE56C0" w:rsidRDefault="000F36A1">
      <w:pPr>
        <w:pStyle w:val="afd"/>
        <w:spacing w:before="120" w:after="120"/>
        <w:ind w:firstLine="482"/>
      </w:pPr>
      <w:r>
        <w:rPr>
          <w:rFonts w:hint="eastAsia"/>
        </w:rPr>
        <w:t>表</w:t>
      </w:r>
      <w:r>
        <w:rPr>
          <w:rFonts w:hint="eastAsia"/>
        </w:rPr>
        <w:t>6-1</w:t>
      </w:r>
      <w:r w:rsidR="005767FB">
        <w:rPr>
          <w:rFonts w:hint="eastAsia"/>
        </w:rPr>
        <w:t>3</w:t>
      </w:r>
      <w:r>
        <w:rPr>
          <w:rFonts w:hint="eastAsia"/>
        </w:rPr>
        <w:t xml:space="preserve">        </w:t>
      </w:r>
      <w:r>
        <w:rPr>
          <w:rFonts w:hint="eastAsia"/>
        </w:rPr>
        <w:t>新增废水污染物产排情况</w:t>
      </w:r>
      <w:r>
        <w:rPr>
          <w:rFonts w:hint="eastAsia"/>
        </w:rPr>
        <w:t xml:space="preserve">       </w:t>
      </w:r>
      <w:r>
        <w:rPr>
          <w:rFonts w:hint="eastAsia"/>
        </w:rPr>
        <w:t>单位：</w:t>
      </w:r>
      <w:r>
        <w:rPr>
          <w:rFonts w:hint="eastAsia"/>
        </w:rPr>
        <w:t>t/a</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847"/>
        <w:gridCol w:w="1104"/>
        <w:gridCol w:w="1134"/>
        <w:gridCol w:w="964"/>
        <w:gridCol w:w="1232"/>
        <w:gridCol w:w="2057"/>
        <w:gridCol w:w="1191"/>
      </w:tblGrid>
      <w:tr w:rsidR="00EE56C0">
        <w:trPr>
          <w:trHeight w:val="425"/>
          <w:jc w:val="center"/>
        </w:trPr>
        <w:tc>
          <w:tcPr>
            <w:tcW w:w="1144" w:type="pct"/>
            <w:gridSpan w:val="2"/>
            <w:vAlign w:val="center"/>
          </w:tcPr>
          <w:p w:rsidR="00EE56C0" w:rsidRDefault="000F36A1">
            <w:pPr>
              <w:pStyle w:val="aff1"/>
              <w:rPr>
                <w:color w:val="auto"/>
              </w:rPr>
            </w:pPr>
            <w:r>
              <w:rPr>
                <w:rFonts w:hint="eastAsia"/>
                <w:color w:val="auto"/>
              </w:rPr>
              <w:t>污染物</w:t>
            </w:r>
          </w:p>
        </w:tc>
        <w:tc>
          <w:tcPr>
            <w:tcW w:w="665" w:type="pct"/>
            <w:vAlign w:val="center"/>
          </w:tcPr>
          <w:p w:rsidR="00EE56C0" w:rsidRDefault="000F36A1">
            <w:pPr>
              <w:pStyle w:val="aff1"/>
              <w:rPr>
                <w:color w:val="auto"/>
              </w:rPr>
            </w:pPr>
            <w:r>
              <w:rPr>
                <w:rFonts w:hint="eastAsia"/>
                <w:color w:val="auto"/>
              </w:rPr>
              <w:t>产生量</w:t>
            </w:r>
          </w:p>
        </w:tc>
        <w:tc>
          <w:tcPr>
            <w:tcW w:w="565" w:type="pct"/>
            <w:vAlign w:val="center"/>
          </w:tcPr>
          <w:p w:rsidR="00EE56C0" w:rsidRDefault="000F36A1">
            <w:pPr>
              <w:pStyle w:val="aff1"/>
              <w:rPr>
                <w:color w:val="auto"/>
              </w:rPr>
            </w:pPr>
            <w:r>
              <w:rPr>
                <w:rFonts w:hint="eastAsia"/>
                <w:color w:val="auto"/>
              </w:rPr>
              <w:t>削减量</w:t>
            </w:r>
          </w:p>
        </w:tc>
        <w:tc>
          <w:tcPr>
            <w:tcW w:w="722" w:type="pct"/>
            <w:vAlign w:val="center"/>
          </w:tcPr>
          <w:p w:rsidR="00EE56C0" w:rsidRDefault="000F36A1">
            <w:pPr>
              <w:pStyle w:val="aff1"/>
              <w:rPr>
                <w:color w:val="auto"/>
              </w:rPr>
            </w:pPr>
            <w:r>
              <w:rPr>
                <w:rFonts w:hint="eastAsia"/>
                <w:color w:val="auto"/>
              </w:rPr>
              <w:t>排放量</w:t>
            </w:r>
          </w:p>
          <w:p w:rsidR="00EE56C0" w:rsidRDefault="000F36A1">
            <w:pPr>
              <w:pStyle w:val="aff1"/>
              <w:rPr>
                <w:color w:val="auto"/>
              </w:rPr>
            </w:pPr>
            <w:r>
              <w:rPr>
                <w:rFonts w:hint="eastAsia"/>
                <w:color w:val="auto"/>
              </w:rPr>
              <w:t>（总排口）</w:t>
            </w:r>
          </w:p>
        </w:tc>
        <w:tc>
          <w:tcPr>
            <w:tcW w:w="1206" w:type="pct"/>
            <w:vAlign w:val="center"/>
          </w:tcPr>
          <w:p w:rsidR="00EE56C0" w:rsidRDefault="000F36A1">
            <w:pPr>
              <w:pStyle w:val="aff1"/>
              <w:rPr>
                <w:color w:val="auto"/>
              </w:rPr>
            </w:pPr>
            <w:r>
              <w:rPr>
                <w:rFonts w:hint="eastAsia"/>
                <w:color w:val="auto"/>
              </w:rPr>
              <w:t>排放量（新乡县综合污水处理厂出口）</w:t>
            </w:r>
          </w:p>
        </w:tc>
        <w:tc>
          <w:tcPr>
            <w:tcW w:w="698" w:type="pct"/>
            <w:vAlign w:val="center"/>
          </w:tcPr>
          <w:p w:rsidR="00EE56C0" w:rsidRDefault="000F36A1">
            <w:pPr>
              <w:pStyle w:val="aff1"/>
              <w:rPr>
                <w:color w:val="auto"/>
              </w:rPr>
            </w:pPr>
            <w:r>
              <w:rPr>
                <w:rFonts w:hint="eastAsia"/>
                <w:color w:val="auto"/>
              </w:rPr>
              <w:t>总量指标</w:t>
            </w:r>
          </w:p>
        </w:tc>
      </w:tr>
      <w:tr w:rsidR="00EE56C0">
        <w:trPr>
          <w:trHeight w:val="425"/>
          <w:jc w:val="center"/>
        </w:trPr>
        <w:tc>
          <w:tcPr>
            <w:tcW w:w="497" w:type="pct"/>
            <w:vMerge w:val="restart"/>
            <w:tcBorders>
              <w:right w:val="single" w:sz="4" w:space="0" w:color="auto"/>
            </w:tcBorders>
            <w:vAlign w:val="center"/>
          </w:tcPr>
          <w:p w:rsidR="00EE56C0" w:rsidRDefault="000F36A1">
            <w:pPr>
              <w:pStyle w:val="afa"/>
            </w:pPr>
            <w:r>
              <w:rPr>
                <w:rFonts w:hint="eastAsia"/>
              </w:rPr>
              <w:t>COD</w:t>
            </w:r>
          </w:p>
        </w:tc>
        <w:tc>
          <w:tcPr>
            <w:tcW w:w="647" w:type="pct"/>
            <w:tcBorders>
              <w:left w:val="single" w:sz="4" w:space="0" w:color="auto"/>
            </w:tcBorders>
            <w:vAlign w:val="center"/>
          </w:tcPr>
          <w:p w:rsidR="00EE56C0" w:rsidRDefault="000F36A1">
            <w:pPr>
              <w:pStyle w:val="afa"/>
            </w:pPr>
            <w:r>
              <w:rPr>
                <w:rFonts w:hint="eastAsia"/>
              </w:rPr>
              <w:t>一期</w:t>
            </w:r>
          </w:p>
        </w:tc>
        <w:tc>
          <w:tcPr>
            <w:tcW w:w="665" w:type="pct"/>
            <w:vAlign w:val="center"/>
          </w:tcPr>
          <w:p w:rsidR="00EE56C0" w:rsidRDefault="000F36A1">
            <w:pPr>
              <w:pStyle w:val="afa"/>
              <w:rPr>
                <w:rFonts w:eastAsia="宋体"/>
                <w:u w:val="single"/>
              </w:rPr>
            </w:pPr>
            <w:r>
              <w:rPr>
                <w:u w:val="single"/>
              </w:rPr>
              <w:t xml:space="preserve">0.1211 </w:t>
            </w:r>
          </w:p>
        </w:tc>
        <w:tc>
          <w:tcPr>
            <w:tcW w:w="565" w:type="pct"/>
            <w:vAlign w:val="center"/>
          </w:tcPr>
          <w:p w:rsidR="00EE56C0" w:rsidRDefault="000F36A1">
            <w:pPr>
              <w:pStyle w:val="afa"/>
              <w:rPr>
                <w:rFonts w:eastAsia="宋体"/>
                <w:u w:val="single"/>
              </w:rPr>
            </w:pPr>
            <w:r>
              <w:rPr>
                <w:u w:val="single"/>
              </w:rPr>
              <w:t xml:space="preserve">0.0374 </w:t>
            </w:r>
          </w:p>
        </w:tc>
        <w:tc>
          <w:tcPr>
            <w:tcW w:w="722" w:type="pct"/>
            <w:vAlign w:val="center"/>
          </w:tcPr>
          <w:p w:rsidR="00EE56C0" w:rsidRDefault="000F36A1">
            <w:pPr>
              <w:pStyle w:val="afa"/>
              <w:rPr>
                <w:rFonts w:eastAsia="宋体"/>
                <w:u w:val="single"/>
              </w:rPr>
            </w:pPr>
            <w:r>
              <w:rPr>
                <w:u w:val="single"/>
              </w:rPr>
              <w:t xml:space="preserve">0.0837 </w:t>
            </w:r>
          </w:p>
        </w:tc>
        <w:tc>
          <w:tcPr>
            <w:tcW w:w="1206" w:type="pct"/>
            <w:vAlign w:val="center"/>
          </w:tcPr>
          <w:p w:rsidR="00EE56C0" w:rsidRDefault="000F36A1">
            <w:pPr>
              <w:pStyle w:val="afa"/>
              <w:rPr>
                <w:rFonts w:eastAsia="宋体"/>
                <w:u w:val="single"/>
              </w:rPr>
            </w:pPr>
            <w:r>
              <w:rPr>
                <w:u w:val="single"/>
              </w:rPr>
              <w:t xml:space="preserve">0.0178 </w:t>
            </w:r>
          </w:p>
        </w:tc>
        <w:tc>
          <w:tcPr>
            <w:tcW w:w="698" w:type="pct"/>
            <w:vAlign w:val="center"/>
          </w:tcPr>
          <w:p w:rsidR="00EE56C0" w:rsidRDefault="000F36A1">
            <w:pPr>
              <w:pStyle w:val="afa"/>
              <w:rPr>
                <w:rFonts w:ascii="宋体" w:eastAsia="宋体" w:hAnsi="宋体" w:cs="宋体"/>
                <w:u w:val="single"/>
              </w:rPr>
            </w:pPr>
            <w:r>
              <w:rPr>
                <w:rFonts w:hint="eastAsia"/>
                <w:u w:val="single"/>
              </w:rPr>
              <w:t xml:space="preserve">0.0178 </w:t>
            </w:r>
          </w:p>
        </w:tc>
      </w:tr>
      <w:tr w:rsidR="00EE56C0">
        <w:trPr>
          <w:trHeight w:val="425"/>
          <w:jc w:val="center"/>
        </w:trPr>
        <w:tc>
          <w:tcPr>
            <w:tcW w:w="497" w:type="pct"/>
            <w:vMerge/>
            <w:tcBorders>
              <w:right w:val="single" w:sz="4" w:space="0" w:color="auto"/>
            </w:tcBorders>
            <w:vAlign w:val="center"/>
          </w:tcPr>
          <w:p w:rsidR="00EE56C0" w:rsidRDefault="00EE56C0">
            <w:pPr>
              <w:pStyle w:val="afa"/>
            </w:pPr>
          </w:p>
        </w:tc>
        <w:tc>
          <w:tcPr>
            <w:tcW w:w="647" w:type="pct"/>
            <w:tcBorders>
              <w:left w:val="single" w:sz="4" w:space="0" w:color="auto"/>
            </w:tcBorders>
            <w:vAlign w:val="center"/>
          </w:tcPr>
          <w:p w:rsidR="00EE56C0" w:rsidRDefault="000F36A1">
            <w:pPr>
              <w:pStyle w:val="afa"/>
            </w:pPr>
            <w:r>
              <w:rPr>
                <w:rFonts w:hint="eastAsia"/>
              </w:rPr>
              <w:t>二期</w:t>
            </w:r>
          </w:p>
        </w:tc>
        <w:tc>
          <w:tcPr>
            <w:tcW w:w="665" w:type="pct"/>
            <w:vAlign w:val="center"/>
          </w:tcPr>
          <w:p w:rsidR="00EE56C0" w:rsidRDefault="000F36A1">
            <w:pPr>
              <w:pStyle w:val="afa"/>
              <w:rPr>
                <w:rFonts w:eastAsia="宋体"/>
                <w:u w:val="single"/>
              </w:rPr>
            </w:pPr>
            <w:r>
              <w:rPr>
                <w:u w:val="single"/>
              </w:rPr>
              <w:t xml:space="preserve">0.4428 </w:t>
            </w:r>
          </w:p>
        </w:tc>
        <w:tc>
          <w:tcPr>
            <w:tcW w:w="565" w:type="pct"/>
            <w:vAlign w:val="center"/>
          </w:tcPr>
          <w:p w:rsidR="00EE56C0" w:rsidRDefault="000F36A1">
            <w:pPr>
              <w:pStyle w:val="afa"/>
              <w:rPr>
                <w:rFonts w:eastAsia="宋体"/>
                <w:u w:val="single"/>
              </w:rPr>
            </w:pPr>
            <w:r>
              <w:rPr>
                <w:u w:val="single"/>
              </w:rPr>
              <w:t xml:space="preserve">0.1539 </w:t>
            </w:r>
          </w:p>
        </w:tc>
        <w:tc>
          <w:tcPr>
            <w:tcW w:w="722" w:type="pct"/>
            <w:vAlign w:val="center"/>
          </w:tcPr>
          <w:p w:rsidR="00EE56C0" w:rsidRDefault="000F36A1">
            <w:pPr>
              <w:pStyle w:val="afa"/>
              <w:rPr>
                <w:rFonts w:eastAsia="宋体"/>
                <w:u w:val="single"/>
              </w:rPr>
            </w:pPr>
            <w:r>
              <w:rPr>
                <w:u w:val="single"/>
              </w:rPr>
              <w:t xml:space="preserve">0.2889 </w:t>
            </w:r>
          </w:p>
        </w:tc>
        <w:tc>
          <w:tcPr>
            <w:tcW w:w="1206" w:type="pct"/>
            <w:vAlign w:val="center"/>
          </w:tcPr>
          <w:p w:rsidR="00EE56C0" w:rsidRDefault="000F36A1">
            <w:pPr>
              <w:pStyle w:val="afa"/>
              <w:rPr>
                <w:rFonts w:eastAsia="宋体"/>
                <w:u w:val="single"/>
              </w:rPr>
            </w:pPr>
            <w:r>
              <w:rPr>
                <w:u w:val="single"/>
              </w:rPr>
              <w:t xml:space="preserve">0.0649 </w:t>
            </w:r>
          </w:p>
        </w:tc>
        <w:tc>
          <w:tcPr>
            <w:tcW w:w="698" w:type="pct"/>
            <w:vAlign w:val="center"/>
          </w:tcPr>
          <w:p w:rsidR="00EE56C0" w:rsidRDefault="000F36A1">
            <w:pPr>
              <w:pStyle w:val="afa"/>
              <w:rPr>
                <w:rFonts w:eastAsia="宋体"/>
                <w:u w:val="single"/>
              </w:rPr>
            </w:pPr>
            <w:r>
              <w:rPr>
                <w:u w:val="single"/>
              </w:rPr>
              <w:t xml:space="preserve">0.0649 </w:t>
            </w:r>
          </w:p>
        </w:tc>
      </w:tr>
      <w:tr w:rsidR="00EE56C0">
        <w:trPr>
          <w:trHeight w:val="425"/>
          <w:jc w:val="center"/>
        </w:trPr>
        <w:tc>
          <w:tcPr>
            <w:tcW w:w="497" w:type="pct"/>
            <w:vMerge/>
            <w:tcBorders>
              <w:right w:val="single" w:sz="4" w:space="0" w:color="auto"/>
            </w:tcBorders>
            <w:vAlign w:val="center"/>
          </w:tcPr>
          <w:p w:rsidR="00EE56C0" w:rsidRDefault="00EE56C0">
            <w:pPr>
              <w:pStyle w:val="afa"/>
            </w:pPr>
          </w:p>
        </w:tc>
        <w:tc>
          <w:tcPr>
            <w:tcW w:w="647" w:type="pct"/>
            <w:tcBorders>
              <w:left w:val="single" w:sz="4" w:space="0" w:color="auto"/>
            </w:tcBorders>
            <w:vAlign w:val="center"/>
          </w:tcPr>
          <w:p w:rsidR="00EE56C0" w:rsidRDefault="000F36A1">
            <w:pPr>
              <w:pStyle w:val="afa"/>
            </w:pPr>
            <w:r>
              <w:rPr>
                <w:rFonts w:hint="eastAsia"/>
              </w:rPr>
              <w:t>建成后</w:t>
            </w:r>
          </w:p>
        </w:tc>
        <w:tc>
          <w:tcPr>
            <w:tcW w:w="665" w:type="pct"/>
            <w:vAlign w:val="center"/>
          </w:tcPr>
          <w:p w:rsidR="00EE56C0" w:rsidRDefault="000F36A1">
            <w:pPr>
              <w:pStyle w:val="afa"/>
              <w:rPr>
                <w:rFonts w:eastAsia="宋体"/>
                <w:u w:val="single"/>
              </w:rPr>
            </w:pPr>
            <w:r>
              <w:rPr>
                <w:u w:val="single"/>
              </w:rPr>
              <w:t xml:space="preserve">0.5461 </w:t>
            </w:r>
          </w:p>
        </w:tc>
        <w:tc>
          <w:tcPr>
            <w:tcW w:w="565" w:type="pct"/>
            <w:vAlign w:val="center"/>
          </w:tcPr>
          <w:p w:rsidR="00EE56C0" w:rsidRDefault="000F36A1">
            <w:pPr>
              <w:pStyle w:val="afa"/>
              <w:rPr>
                <w:rFonts w:eastAsia="宋体"/>
                <w:u w:val="single"/>
              </w:rPr>
            </w:pPr>
            <w:r>
              <w:rPr>
                <w:u w:val="single"/>
              </w:rPr>
              <w:t xml:space="preserve">0.1734 </w:t>
            </w:r>
          </w:p>
        </w:tc>
        <w:tc>
          <w:tcPr>
            <w:tcW w:w="722" w:type="pct"/>
            <w:vAlign w:val="center"/>
          </w:tcPr>
          <w:p w:rsidR="00EE56C0" w:rsidRDefault="000F36A1">
            <w:pPr>
              <w:pStyle w:val="afa"/>
              <w:rPr>
                <w:rFonts w:eastAsia="宋体"/>
                <w:u w:val="single"/>
              </w:rPr>
            </w:pPr>
            <w:r>
              <w:rPr>
                <w:u w:val="single"/>
              </w:rPr>
              <w:t xml:space="preserve">0.3726 </w:t>
            </w:r>
          </w:p>
        </w:tc>
        <w:tc>
          <w:tcPr>
            <w:tcW w:w="1206" w:type="pct"/>
            <w:vAlign w:val="center"/>
          </w:tcPr>
          <w:p w:rsidR="00EE56C0" w:rsidRDefault="000F36A1">
            <w:pPr>
              <w:pStyle w:val="afa"/>
              <w:rPr>
                <w:rFonts w:eastAsia="宋体"/>
                <w:u w:val="single"/>
              </w:rPr>
            </w:pPr>
            <w:r>
              <w:rPr>
                <w:u w:val="single"/>
              </w:rPr>
              <w:t xml:space="preserve">0.0827 </w:t>
            </w:r>
          </w:p>
        </w:tc>
        <w:tc>
          <w:tcPr>
            <w:tcW w:w="698" w:type="pct"/>
            <w:vAlign w:val="center"/>
          </w:tcPr>
          <w:p w:rsidR="00EE56C0" w:rsidRDefault="000F36A1">
            <w:pPr>
              <w:pStyle w:val="afa"/>
              <w:rPr>
                <w:rFonts w:eastAsia="宋体"/>
                <w:u w:val="single"/>
              </w:rPr>
            </w:pPr>
            <w:r>
              <w:rPr>
                <w:u w:val="single"/>
              </w:rPr>
              <w:t xml:space="preserve">0.0827 </w:t>
            </w:r>
          </w:p>
        </w:tc>
      </w:tr>
      <w:tr w:rsidR="00EE56C0">
        <w:trPr>
          <w:trHeight w:val="425"/>
          <w:jc w:val="center"/>
        </w:trPr>
        <w:tc>
          <w:tcPr>
            <w:tcW w:w="497" w:type="pct"/>
            <w:vMerge w:val="restart"/>
            <w:tcBorders>
              <w:right w:val="single" w:sz="4" w:space="0" w:color="auto"/>
            </w:tcBorders>
            <w:vAlign w:val="center"/>
          </w:tcPr>
          <w:p w:rsidR="00EE56C0" w:rsidRDefault="000F36A1">
            <w:pPr>
              <w:pStyle w:val="afa"/>
            </w:pPr>
            <w:r>
              <w:rPr>
                <w:rFonts w:hint="eastAsia"/>
              </w:rPr>
              <w:t>NH</w:t>
            </w:r>
            <w:r>
              <w:rPr>
                <w:rFonts w:hint="eastAsia"/>
                <w:vertAlign w:val="subscript"/>
              </w:rPr>
              <w:t>3</w:t>
            </w:r>
            <w:r>
              <w:rPr>
                <w:rFonts w:hint="eastAsia"/>
              </w:rPr>
              <w:t>-N</w:t>
            </w:r>
          </w:p>
        </w:tc>
        <w:tc>
          <w:tcPr>
            <w:tcW w:w="647" w:type="pct"/>
            <w:tcBorders>
              <w:left w:val="single" w:sz="4" w:space="0" w:color="auto"/>
            </w:tcBorders>
            <w:vAlign w:val="center"/>
          </w:tcPr>
          <w:p w:rsidR="00EE56C0" w:rsidRDefault="000F36A1">
            <w:pPr>
              <w:pStyle w:val="afa"/>
            </w:pPr>
            <w:r>
              <w:rPr>
                <w:rFonts w:hint="eastAsia"/>
              </w:rPr>
              <w:t>一期</w:t>
            </w:r>
          </w:p>
        </w:tc>
        <w:tc>
          <w:tcPr>
            <w:tcW w:w="665" w:type="pct"/>
            <w:vAlign w:val="center"/>
          </w:tcPr>
          <w:p w:rsidR="00EE56C0" w:rsidRDefault="000F36A1">
            <w:pPr>
              <w:pStyle w:val="afa"/>
              <w:rPr>
                <w:rFonts w:eastAsia="宋体"/>
                <w:u w:val="single"/>
              </w:rPr>
            </w:pPr>
            <w:r>
              <w:rPr>
                <w:u w:val="single"/>
              </w:rPr>
              <w:t xml:space="preserve">0.0086 </w:t>
            </w:r>
          </w:p>
        </w:tc>
        <w:tc>
          <w:tcPr>
            <w:tcW w:w="565" w:type="pct"/>
            <w:vAlign w:val="center"/>
          </w:tcPr>
          <w:p w:rsidR="00EE56C0" w:rsidRDefault="000F36A1">
            <w:pPr>
              <w:pStyle w:val="afa"/>
              <w:rPr>
                <w:rFonts w:eastAsia="宋体"/>
                <w:u w:val="single"/>
              </w:rPr>
            </w:pPr>
            <w:r>
              <w:rPr>
                <w:u w:val="single"/>
              </w:rPr>
              <w:t xml:space="preserve">0.0006 </w:t>
            </w:r>
          </w:p>
        </w:tc>
        <w:tc>
          <w:tcPr>
            <w:tcW w:w="722" w:type="pct"/>
            <w:vAlign w:val="center"/>
          </w:tcPr>
          <w:p w:rsidR="00EE56C0" w:rsidRDefault="000F36A1">
            <w:pPr>
              <w:pStyle w:val="afa"/>
              <w:rPr>
                <w:rFonts w:eastAsia="宋体"/>
                <w:u w:val="single"/>
              </w:rPr>
            </w:pPr>
            <w:r>
              <w:rPr>
                <w:u w:val="single"/>
              </w:rPr>
              <w:t xml:space="preserve">0.0080 </w:t>
            </w:r>
          </w:p>
        </w:tc>
        <w:tc>
          <w:tcPr>
            <w:tcW w:w="1206" w:type="pct"/>
            <w:vAlign w:val="center"/>
          </w:tcPr>
          <w:p w:rsidR="00EE56C0" w:rsidRDefault="000F36A1">
            <w:pPr>
              <w:pStyle w:val="afa"/>
              <w:rPr>
                <w:rFonts w:eastAsia="宋体"/>
                <w:u w:val="single"/>
              </w:rPr>
            </w:pPr>
            <w:r>
              <w:rPr>
                <w:u w:val="single"/>
              </w:rPr>
              <w:t xml:space="preserve">0.0009 </w:t>
            </w:r>
          </w:p>
        </w:tc>
        <w:tc>
          <w:tcPr>
            <w:tcW w:w="698" w:type="pct"/>
            <w:vAlign w:val="center"/>
          </w:tcPr>
          <w:p w:rsidR="00EE56C0" w:rsidRDefault="000F36A1">
            <w:pPr>
              <w:pStyle w:val="afa"/>
              <w:rPr>
                <w:rFonts w:ascii="宋体" w:eastAsia="宋体" w:hAnsi="宋体" w:cs="宋体"/>
                <w:u w:val="single"/>
              </w:rPr>
            </w:pPr>
            <w:r>
              <w:rPr>
                <w:rFonts w:hint="eastAsia"/>
                <w:u w:val="single"/>
              </w:rPr>
              <w:t xml:space="preserve">0.0009 </w:t>
            </w:r>
          </w:p>
        </w:tc>
      </w:tr>
      <w:tr w:rsidR="00EE56C0">
        <w:trPr>
          <w:trHeight w:val="425"/>
          <w:jc w:val="center"/>
        </w:trPr>
        <w:tc>
          <w:tcPr>
            <w:tcW w:w="497" w:type="pct"/>
            <w:vMerge/>
            <w:tcBorders>
              <w:right w:val="single" w:sz="4" w:space="0" w:color="auto"/>
            </w:tcBorders>
            <w:vAlign w:val="center"/>
          </w:tcPr>
          <w:p w:rsidR="00EE56C0" w:rsidRDefault="00EE56C0">
            <w:pPr>
              <w:pStyle w:val="afa"/>
            </w:pPr>
          </w:p>
        </w:tc>
        <w:tc>
          <w:tcPr>
            <w:tcW w:w="647" w:type="pct"/>
            <w:tcBorders>
              <w:left w:val="single" w:sz="4" w:space="0" w:color="auto"/>
            </w:tcBorders>
            <w:vAlign w:val="center"/>
          </w:tcPr>
          <w:p w:rsidR="00EE56C0" w:rsidRDefault="000F36A1">
            <w:pPr>
              <w:pStyle w:val="afa"/>
            </w:pPr>
            <w:r>
              <w:rPr>
                <w:rFonts w:hint="eastAsia"/>
              </w:rPr>
              <w:t>二期</w:t>
            </w:r>
          </w:p>
        </w:tc>
        <w:tc>
          <w:tcPr>
            <w:tcW w:w="665" w:type="pct"/>
            <w:vAlign w:val="center"/>
          </w:tcPr>
          <w:p w:rsidR="00EE56C0" w:rsidRDefault="000F36A1">
            <w:pPr>
              <w:pStyle w:val="afa"/>
              <w:rPr>
                <w:rFonts w:eastAsia="宋体"/>
                <w:u w:val="single"/>
              </w:rPr>
            </w:pPr>
            <w:r>
              <w:rPr>
                <w:u w:val="single"/>
              </w:rPr>
              <w:t xml:space="preserve">0.0313 </w:t>
            </w:r>
          </w:p>
        </w:tc>
        <w:tc>
          <w:tcPr>
            <w:tcW w:w="565" w:type="pct"/>
            <w:vAlign w:val="center"/>
          </w:tcPr>
          <w:p w:rsidR="00EE56C0" w:rsidRDefault="000F36A1">
            <w:pPr>
              <w:pStyle w:val="afa"/>
              <w:rPr>
                <w:rFonts w:eastAsia="宋体"/>
                <w:u w:val="single"/>
              </w:rPr>
            </w:pPr>
            <w:r>
              <w:rPr>
                <w:u w:val="single"/>
              </w:rPr>
              <w:t xml:space="preserve">0.0035 </w:t>
            </w:r>
          </w:p>
        </w:tc>
        <w:tc>
          <w:tcPr>
            <w:tcW w:w="722" w:type="pct"/>
            <w:vAlign w:val="center"/>
          </w:tcPr>
          <w:p w:rsidR="00EE56C0" w:rsidRDefault="000F36A1">
            <w:pPr>
              <w:pStyle w:val="afa"/>
              <w:rPr>
                <w:rFonts w:eastAsia="宋体"/>
                <w:u w:val="single"/>
              </w:rPr>
            </w:pPr>
            <w:r>
              <w:rPr>
                <w:u w:val="single"/>
              </w:rPr>
              <w:t xml:space="preserve">0.0278 </w:t>
            </w:r>
          </w:p>
        </w:tc>
        <w:tc>
          <w:tcPr>
            <w:tcW w:w="1206" w:type="pct"/>
            <w:vAlign w:val="center"/>
          </w:tcPr>
          <w:p w:rsidR="00EE56C0" w:rsidRDefault="000F36A1">
            <w:pPr>
              <w:pStyle w:val="afa"/>
              <w:rPr>
                <w:rFonts w:eastAsia="宋体"/>
                <w:u w:val="single"/>
              </w:rPr>
            </w:pPr>
            <w:r>
              <w:rPr>
                <w:u w:val="single"/>
              </w:rPr>
              <w:t xml:space="preserve">0.0032 </w:t>
            </w:r>
          </w:p>
        </w:tc>
        <w:tc>
          <w:tcPr>
            <w:tcW w:w="698" w:type="pct"/>
            <w:vAlign w:val="center"/>
          </w:tcPr>
          <w:p w:rsidR="00EE56C0" w:rsidRDefault="000F36A1">
            <w:pPr>
              <w:pStyle w:val="afa"/>
              <w:rPr>
                <w:rFonts w:eastAsia="宋体"/>
                <w:u w:val="single"/>
              </w:rPr>
            </w:pPr>
            <w:r>
              <w:rPr>
                <w:u w:val="single"/>
              </w:rPr>
              <w:t xml:space="preserve">0.0032 </w:t>
            </w:r>
          </w:p>
        </w:tc>
      </w:tr>
      <w:tr w:rsidR="00EE56C0">
        <w:trPr>
          <w:trHeight w:val="425"/>
          <w:jc w:val="center"/>
        </w:trPr>
        <w:tc>
          <w:tcPr>
            <w:tcW w:w="497" w:type="pct"/>
            <w:vMerge/>
            <w:tcBorders>
              <w:right w:val="single" w:sz="4" w:space="0" w:color="auto"/>
            </w:tcBorders>
            <w:vAlign w:val="center"/>
          </w:tcPr>
          <w:p w:rsidR="00EE56C0" w:rsidRDefault="00EE56C0">
            <w:pPr>
              <w:pStyle w:val="afa"/>
            </w:pPr>
          </w:p>
        </w:tc>
        <w:tc>
          <w:tcPr>
            <w:tcW w:w="647" w:type="pct"/>
            <w:tcBorders>
              <w:left w:val="single" w:sz="4" w:space="0" w:color="auto"/>
            </w:tcBorders>
            <w:vAlign w:val="center"/>
          </w:tcPr>
          <w:p w:rsidR="00EE56C0" w:rsidRDefault="000F36A1">
            <w:pPr>
              <w:pStyle w:val="afa"/>
            </w:pPr>
            <w:r>
              <w:rPr>
                <w:rFonts w:hint="eastAsia"/>
              </w:rPr>
              <w:t>建成后</w:t>
            </w:r>
          </w:p>
        </w:tc>
        <w:tc>
          <w:tcPr>
            <w:tcW w:w="665" w:type="pct"/>
            <w:vAlign w:val="center"/>
          </w:tcPr>
          <w:p w:rsidR="00EE56C0" w:rsidRDefault="000F36A1">
            <w:pPr>
              <w:pStyle w:val="afa"/>
              <w:rPr>
                <w:rFonts w:eastAsia="宋体"/>
                <w:u w:val="single"/>
              </w:rPr>
            </w:pPr>
            <w:r>
              <w:rPr>
                <w:u w:val="single"/>
              </w:rPr>
              <w:t xml:space="preserve">0.0399 </w:t>
            </w:r>
          </w:p>
        </w:tc>
        <w:tc>
          <w:tcPr>
            <w:tcW w:w="565" w:type="pct"/>
            <w:vAlign w:val="center"/>
          </w:tcPr>
          <w:p w:rsidR="00EE56C0" w:rsidRDefault="000F36A1">
            <w:pPr>
              <w:pStyle w:val="afa"/>
              <w:rPr>
                <w:rFonts w:eastAsia="宋体"/>
                <w:u w:val="single"/>
              </w:rPr>
            </w:pPr>
            <w:r>
              <w:rPr>
                <w:u w:val="single"/>
              </w:rPr>
              <w:t xml:space="preserve">0.0041 </w:t>
            </w:r>
          </w:p>
        </w:tc>
        <w:tc>
          <w:tcPr>
            <w:tcW w:w="722" w:type="pct"/>
            <w:vAlign w:val="center"/>
          </w:tcPr>
          <w:p w:rsidR="00EE56C0" w:rsidRDefault="000F36A1">
            <w:pPr>
              <w:pStyle w:val="afa"/>
              <w:rPr>
                <w:rFonts w:eastAsia="宋体"/>
                <w:u w:val="single"/>
              </w:rPr>
            </w:pPr>
            <w:r>
              <w:rPr>
                <w:u w:val="single"/>
              </w:rPr>
              <w:t xml:space="preserve">0.0357 </w:t>
            </w:r>
          </w:p>
        </w:tc>
        <w:tc>
          <w:tcPr>
            <w:tcW w:w="1206" w:type="pct"/>
            <w:vAlign w:val="center"/>
          </w:tcPr>
          <w:p w:rsidR="00EE56C0" w:rsidRDefault="000F36A1">
            <w:pPr>
              <w:pStyle w:val="afa"/>
              <w:rPr>
                <w:rFonts w:eastAsia="宋体"/>
                <w:u w:val="single"/>
              </w:rPr>
            </w:pPr>
            <w:r>
              <w:rPr>
                <w:u w:val="single"/>
              </w:rPr>
              <w:t xml:space="preserve">0.0041 </w:t>
            </w:r>
          </w:p>
        </w:tc>
        <w:tc>
          <w:tcPr>
            <w:tcW w:w="698" w:type="pct"/>
            <w:vAlign w:val="center"/>
          </w:tcPr>
          <w:p w:rsidR="00EE56C0" w:rsidRDefault="000F36A1">
            <w:pPr>
              <w:pStyle w:val="afa"/>
              <w:rPr>
                <w:rFonts w:eastAsia="宋体"/>
                <w:u w:val="single"/>
              </w:rPr>
            </w:pPr>
            <w:r>
              <w:rPr>
                <w:u w:val="single"/>
              </w:rPr>
              <w:t xml:space="preserve">0.0041 </w:t>
            </w:r>
          </w:p>
        </w:tc>
      </w:tr>
      <w:tr w:rsidR="00EE56C0">
        <w:trPr>
          <w:trHeight w:val="425"/>
          <w:jc w:val="center"/>
        </w:trPr>
        <w:tc>
          <w:tcPr>
            <w:tcW w:w="497" w:type="pct"/>
            <w:vMerge w:val="restart"/>
            <w:tcBorders>
              <w:right w:val="single" w:sz="4" w:space="0" w:color="auto"/>
            </w:tcBorders>
            <w:vAlign w:val="center"/>
          </w:tcPr>
          <w:p w:rsidR="00EE56C0" w:rsidRDefault="000F36A1">
            <w:pPr>
              <w:pStyle w:val="afa"/>
            </w:pPr>
            <w:r>
              <w:rPr>
                <w:rFonts w:hint="eastAsia"/>
              </w:rPr>
              <w:t>TP</w:t>
            </w:r>
          </w:p>
        </w:tc>
        <w:tc>
          <w:tcPr>
            <w:tcW w:w="647" w:type="pct"/>
            <w:tcBorders>
              <w:left w:val="single" w:sz="4" w:space="0" w:color="auto"/>
            </w:tcBorders>
            <w:vAlign w:val="center"/>
          </w:tcPr>
          <w:p w:rsidR="00EE56C0" w:rsidRDefault="000F36A1">
            <w:pPr>
              <w:pStyle w:val="afa"/>
            </w:pPr>
            <w:r>
              <w:rPr>
                <w:rFonts w:hint="eastAsia"/>
              </w:rPr>
              <w:t>一期</w:t>
            </w:r>
          </w:p>
        </w:tc>
        <w:tc>
          <w:tcPr>
            <w:tcW w:w="665" w:type="pct"/>
            <w:vAlign w:val="center"/>
          </w:tcPr>
          <w:p w:rsidR="00EE56C0" w:rsidRDefault="000F36A1">
            <w:pPr>
              <w:pStyle w:val="afa"/>
              <w:rPr>
                <w:rFonts w:eastAsia="宋体"/>
                <w:u w:val="single"/>
              </w:rPr>
            </w:pPr>
            <w:r>
              <w:rPr>
                <w:u w:val="single"/>
              </w:rPr>
              <w:t xml:space="preserve">0.0014 </w:t>
            </w:r>
          </w:p>
        </w:tc>
        <w:tc>
          <w:tcPr>
            <w:tcW w:w="565" w:type="pct"/>
            <w:vAlign w:val="center"/>
          </w:tcPr>
          <w:p w:rsidR="00EE56C0" w:rsidRDefault="000F36A1">
            <w:pPr>
              <w:pStyle w:val="afa"/>
              <w:rPr>
                <w:rFonts w:eastAsia="宋体"/>
                <w:u w:val="single"/>
              </w:rPr>
            </w:pPr>
            <w:r>
              <w:rPr>
                <w:rFonts w:hint="eastAsia"/>
                <w:u w:val="single"/>
              </w:rPr>
              <w:t>0</w:t>
            </w:r>
          </w:p>
        </w:tc>
        <w:tc>
          <w:tcPr>
            <w:tcW w:w="722" w:type="pct"/>
            <w:vAlign w:val="center"/>
          </w:tcPr>
          <w:p w:rsidR="00EE56C0" w:rsidRDefault="000F36A1">
            <w:pPr>
              <w:pStyle w:val="afa"/>
              <w:rPr>
                <w:rFonts w:eastAsia="宋体"/>
                <w:u w:val="single"/>
              </w:rPr>
            </w:pPr>
            <w:r>
              <w:rPr>
                <w:u w:val="single"/>
              </w:rPr>
              <w:t xml:space="preserve">0.0014 </w:t>
            </w:r>
          </w:p>
        </w:tc>
        <w:tc>
          <w:tcPr>
            <w:tcW w:w="1206" w:type="pct"/>
            <w:vAlign w:val="center"/>
          </w:tcPr>
          <w:p w:rsidR="00EE56C0" w:rsidRDefault="000F36A1">
            <w:pPr>
              <w:pStyle w:val="afa"/>
              <w:rPr>
                <w:rFonts w:eastAsia="宋体"/>
                <w:u w:val="single"/>
              </w:rPr>
            </w:pPr>
            <w:r>
              <w:rPr>
                <w:u w:val="single"/>
              </w:rPr>
              <w:t xml:space="preserve">0.0002 </w:t>
            </w:r>
          </w:p>
        </w:tc>
        <w:tc>
          <w:tcPr>
            <w:tcW w:w="698" w:type="pct"/>
            <w:vAlign w:val="center"/>
          </w:tcPr>
          <w:p w:rsidR="00EE56C0" w:rsidRDefault="000F36A1">
            <w:pPr>
              <w:pStyle w:val="afa"/>
              <w:rPr>
                <w:rFonts w:ascii="宋体" w:eastAsia="宋体" w:hAnsi="宋体" w:cs="宋体"/>
                <w:u w:val="single"/>
              </w:rPr>
            </w:pPr>
            <w:r>
              <w:rPr>
                <w:rFonts w:hint="eastAsia"/>
                <w:u w:val="single"/>
              </w:rPr>
              <w:t xml:space="preserve">0.0002 </w:t>
            </w:r>
          </w:p>
        </w:tc>
      </w:tr>
      <w:tr w:rsidR="00EE56C0">
        <w:trPr>
          <w:trHeight w:val="425"/>
          <w:jc w:val="center"/>
        </w:trPr>
        <w:tc>
          <w:tcPr>
            <w:tcW w:w="497" w:type="pct"/>
            <w:vMerge/>
            <w:tcBorders>
              <w:right w:val="single" w:sz="4" w:space="0" w:color="auto"/>
            </w:tcBorders>
            <w:vAlign w:val="center"/>
          </w:tcPr>
          <w:p w:rsidR="00EE56C0" w:rsidRDefault="00EE56C0">
            <w:pPr>
              <w:pStyle w:val="afa"/>
            </w:pPr>
          </w:p>
        </w:tc>
        <w:tc>
          <w:tcPr>
            <w:tcW w:w="647" w:type="pct"/>
            <w:tcBorders>
              <w:left w:val="single" w:sz="4" w:space="0" w:color="auto"/>
            </w:tcBorders>
            <w:vAlign w:val="center"/>
          </w:tcPr>
          <w:p w:rsidR="00EE56C0" w:rsidRDefault="000F36A1">
            <w:pPr>
              <w:pStyle w:val="afa"/>
            </w:pPr>
            <w:r>
              <w:rPr>
                <w:rFonts w:hint="eastAsia"/>
              </w:rPr>
              <w:t>二期</w:t>
            </w:r>
          </w:p>
        </w:tc>
        <w:tc>
          <w:tcPr>
            <w:tcW w:w="665" w:type="pct"/>
            <w:vAlign w:val="center"/>
          </w:tcPr>
          <w:p w:rsidR="00EE56C0" w:rsidRDefault="000F36A1">
            <w:pPr>
              <w:pStyle w:val="afa"/>
              <w:rPr>
                <w:rFonts w:eastAsia="宋体"/>
                <w:u w:val="single"/>
              </w:rPr>
            </w:pPr>
            <w:r>
              <w:rPr>
                <w:u w:val="single"/>
              </w:rPr>
              <w:t xml:space="preserve">0.0051 </w:t>
            </w:r>
          </w:p>
        </w:tc>
        <w:tc>
          <w:tcPr>
            <w:tcW w:w="565" w:type="pct"/>
            <w:vAlign w:val="center"/>
          </w:tcPr>
          <w:p w:rsidR="00EE56C0" w:rsidRDefault="000F36A1">
            <w:pPr>
              <w:pStyle w:val="afa"/>
              <w:rPr>
                <w:rFonts w:eastAsia="宋体"/>
                <w:u w:val="single"/>
              </w:rPr>
            </w:pPr>
            <w:r>
              <w:rPr>
                <w:u w:val="single"/>
              </w:rPr>
              <w:t xml:space="preserve">0.0000 </w:t>
            </w:r>
          </w:p>
        </w:tc>
        <w:tc>
          <w:tcPr>
            <w:tcW w:w="722" w:type="pct"/>
            <w:vAlign w:val="center"/>
          </w:tcPr>
          <w:p w:rsidR="00EE56C0" w:rsidRDefault="000F36A1">
            <w:pPr>
              <w:pStyle w:val="afa"/>
              <w:rPr>
                <w:rFonts w:eastAsia="宋体"/>
                <w:u w:val="single"/>
              </w:rPr>
            </w:pPr>
            <w:r>
              <w:rPr>
                <w:u w:val="single"/>
              </w:rPr>
              <w:t>0.005</w:t>
            </w:r>
            <w:r>
              <w:rPr>
                <w:rFonts w:hint="eastAsia"/>
                <w:u w:val="single"/>
              </w:rPr>
              <w:t>1</w:t>
            </w:r>
          </w:p>
        </w:tc>
        <w:tc>
          <w:tcPr>
            <w:tcW w:w="1206" w:type="pct"/>
            <w:vAlign w:val="center"/>
          </w:tcPr>
          <w:p w:rsidR="00EE56C0" w:rsidRDefault="000F36A1">
            <w:pPr>
              <w:pStyle w:val="afa"/>
              <w:rPr>
                <w:rFonts w:eastAsia="宋体"/>
                <w:u w:val="single"/>
              </w:rPr>
            </w:pPr>
            <w:r>
              <w:rPr>
                <w:u w:val="single"/>
              </w:rPr>
              <w:t xml:space="preserve">0.0006 </w:t>
            </w:r>
          </w:p>
        </w:tc>
        <w:tc>
          <w:tcPr>
            <w:tcW w:w="698" w:type="pct"/>
            <w:vAlign w:val="center"/>
          </w:tcPr>
          <w:p w:rsidR="00EE56C0" w:rsidRDefault="000F36A1">
            <w:pPr>
              <w:pStyle w:val="afa"/>
              <w:rPr>
                <w:rFonts w:eastAsia="宋体"/>
                <w:u w:val="single"/>
              </w:rPr>
            </w:pPr>
            <w:r>
              <w:rPr>
                <w:u w:val="single"/>
              </w:rPr>
              <w:t xml:space="preserve">0.0006 </w:t>
            </w:r>
          </w:p>
        </w:tc>
      </w:tr>
      <w:tr w:rsidR="00EE56C0">
        <w:trPr>
          <w:trHeight w:val="425"/>
          <w:jc w:val="center"/>
        </w:trPr>
        <w:tc>
          <w:tcPr>
            <w:tcW w:w="497" w:type="pct"/>
            <w:vMerge/>
            <w:tcBorders>
              <w:right w:val="single" w:sz="4" w:space="0" w:color="auto"/>
            </w:tcBorders>
            <w:vAlign w:val="center"/>
          </w:tcPr>
          <w:p w:rsidR="00EE56C0" w:rsidRDefault="00EE56C0">
            <w:pPr>
              <w:pStyle w:val="afa"/>
            </w:pPr>
          </w:p>
        </w:tc>
        <w:tc>
          <w:tcPr>
            <w:tcW w:w="647" w:type="pct"/>
            <w:tcBorders>
              <w:left w:val="single" w:sz="4" w:space="0" w:color="auto"/>
            </w:tcBorders>
            <w:vAlign w:val="center"/>
          </w:tcPr>
          <w:p w:rsidR="00EE56C0" w:rsidRDefault="000F36A1">
            <w:pPr>
              <w:pStyle w:val="afa"/>
            </w:pPr>
            <w:r>
              <w:rPr>
                <w:rFonts w:hint="eastAsia"/>
              </w:rPr>
              <w:t>建成后</w:t>
            </w:r>
          </w:p>
        </w:tc>
        <w:tc>
          <w:tcPr>
            <w:tcW w:w="665" w:type="pct"/>
            <w:vAlign w:val="center"/>
          </w:tcPr>
          <w:p w:rsidR="00EE56C0" w:rsidRDefault="000F36A1">
            <w:pPr>
              <w:pStyle w:val="afa"/>
              <w:rPr>
                <w:rFonts w:eastAsia="宋体"/>
                <w:u w:val="single"/>
              </w:rPr>
            </w:pPr>
            <w:r>
              <w:rPr>
                <w:u w:val="single"/>
              </w:rPr>
              <w:t xml:space="preserve">0.0065 </w:t>
            </w:r>
          </w:p>
        </w:tc>
        <w:tc>
          <w:tcPr>
            <w:tcW w:w="565" w:type="pct"/>
            <w:vAlign w:val="center"/>
          </w:tcPr>
          <w:p w:rsidR="00EE56C0" w:rsidRDefault="000F36A1">
            <w:pPr>
              <w:pStyle w:val="afa"/>
              <w:rPr>
                <w:rFonts w:eastAsia="宋体"/>
                <w:u w:val="single"/>
              </w:rPr>
            </w:pPr>
            <w:r>
              <w:rPr>
                <w:u w:val="single"/>
              </w:rPr>
              <w:t>0.000</w:t>
            </w:r>
            <w:r>
              <w:rPr>
                <w:rFonts w:hint="eastAsia"/>
                <w:u w:val="single"/>
              </w:rPr>
              <w:t>0</w:t>
            </w:r>
          </w:p>
        </w:tc>
        <w:tc>
          <w:tcPr>
            <w:tcW w:w="722" w:type="pct"/>
            <w:vAlign w:val="center"/>
          </w:tcPr>
          <w:p w:rsidR="00EE56C0" w:rsidRDefault="000F36A1">
            <w:pPr>
              <w:pStyle w:val="afa"/>
              <w:rPr>
                <w:rFonts w:eastAsia="宋体"/>
                <w:u w:val="single"/>
              </w:rPr>
            </w:pPr>
            <w:r>
              <w:rPr>
                <w:u w:val="single"/>
              </w:rPr>
              <w:t>0.00</w:t>
            </w:r>
            <w:r>
              <w:rPr>
                <w:rFonts w:hint="eastAsia"/>
                <w:u w:val="single"/>
              </w:rPr>
              <w:t>65</w:t>
            </w:r>
          </w:p>
        </w:tc>
        <w:tc>
          <w:tcPr>
            <w:tcW w:w="1206" w:type="pct"/>
            <w:vAlign w:val="center"/>
          </w:tcPr>
          <w:p w:rsidR="00EE56C0" w:rsidRDefault="000F36A1">
            <w:pPr>
              <w:pStyle w:val="afa"/>
              <w:rPr>
                <w:rFonts w:eastAsia="宋体"/>
                <w:u w:val="single"/>
              </w:rPr>
            </w:pPr>
            <w:r>
              <w:rPr>
                <w:u w:val="single"/>
              </w:rPr>
              <w:t xml:space="preserve">0.0008 </w:t>
            </w:r>
          </w:p>
        </w:tc>
        <w:tc>
          <w:tcPr>
            <w:tcW w:w="698" w:type="pct"/>
            <w:vAlign w:val="center"/>
          </w:tcPr>
          <w:p w:rsidR="00EE56C0" w:rsidRDefault="000F36A1">
            <w:pPr>
              <w:pStyle w:val="afa"/>
              <w:rPr>
                <w:rFonts w:eastAsia="宋体"/>
                <w:u w:val="single"/>
              </w:rPr>
            </w:pPr>
            <w:r>
              <w:rPr>
                <w:u w:val="single"/>
              </w:rPr>
              <w:t xml:space="preserve">0.0008 </w:t>
            </w:r>
          </w:p>
        </w:tc>
      </w:tr>
      <w:tr w:rsidR="00EE56C0">
        <w:trPr>
          <w:trHeight w:val="425"/>
          <w:jc w:val="center"/>
        </w:trPr>
        <w:tc>
          <w:tcPr>
            <w:tcW w:w="497" w:type="pct"/>
            <w:vMerge w:val="restart"/>
            <w:tcBorders>
              <w:right w:val="single" w:sz="4" w:space="0" w:color="auto"/>
            </w:tcBorders>
            <w:vAlign w:val="center"/>
          </w:tcPr>
          <w:p w:rsidR="00EE56C0" w:rsidRDefault="000F36A1">
            <w:pPr>
              <w:pStyle w:val="afa"/>
            </w:pPr>
            <w:r>
              <w:rPr>
                <w:rFonts w:hint="eastAsia"/>
              </w:rPr>
              <w:t>TN</w:t>
            </w:r>
          </w:p>
        </w:tc>
        <w:tc>
          <w:tcPr>
            <w:tcW w:w="647" w:type="pct"/>
            <w:tcBorders>
              <w:left w:val="single" w:sz="4" w:space="0" w:color="auto"/>
            </w:tcBorders>
            <w:vAlign w:val="center"/>
          </w:tcPr>
          <w:p w:rsidR="00EE56C0" w:rsidRDefault="000F36A1">
            <w:pPr>
              <w:pStyle w:val="afa"/>
            </w:pPr>
            <w:r>
              <w:rPr>
                <w:rFonts w:hint="eastAsia"/>
              </w:rPr>
              <w:t>一期</w:t>
            </w:r>
          </w:p>
        </w:tc>
        <w:tc>
          <w:tcPr>
            <w:tcW w:w="665" w:type="pct"/>
            <w:vAlign w:val="center"/>
          </w:tcPr>
          <w:p w:rsidR="00EE56C0" w:rsidRDefault="000F36A1">
            <w:pPr>
              <w:pStyle w:val="afa"/>
              <w:rPr>
                <w:rFonts w:eastAsia="宋体"/>
                <w:u w:val="single"/>
              </w:rPr>
            </w:pPr>
            <w:r>
              <w:rPr>
                <w:u w:val="single"/>
              </w:rPr>
              <w:t xml:space="preserve">0.0103 </w:t>
            </w:r>
          </w:p>
        </w:tc>
        <w:tc>
          <w:tcPr>
            <w:tcW w:w="565" w:type="pct"/>
            <w:vAlign w:val="center"/>
          </w:tcPr>
          <w:p w:rsidR="00EE56C0" w:rsidRDefault="000F36A1">
            <w:pPr>
              <w:pStyle w:val="afa"/>
              <w:rPr>
                <w:rFonts w:eastAsia="宋体"/>
                <w:u w:val="single"/>
              </w:rPr>
            </w:pPr>
            <w:r>
              <w:rPr>
                <w:u w:val="single"/>
              </w:rPr>
              <w:t xml:space="preserve">0.0006 </w:t>
            </w:r>
          </w:p>
        </w:tc>
        <w:tc>
          <w:tcPr>
            <w:tcW w:w="722" w:type="pct"/>
            <w:vAlign w:val="center"/>
          </w:tcPr>
          <w:p w:rsidR="00EE56C0" w:rsidRDefault="000F36A1">
            <w:pPr>
              <w:pStyle w:val="afa"/>
              <w:rPr>
                <w:rFonts w:eastAsia="宋体"/>
                <w:u w:val="single"/>
              </w:rPr>
            </w:pPr>
            <w:r>
              <w:rPr>
                <w:u w:val="single"/>
              </w:rPr>
              <w:t xml:space="preserve">0.0098 </w:t>
            </w:r>
          </w:p>
        </w:tc>
        <w:tc>
          <w:tcPr>
            <w:tcW w:w="1206" w:type="pct"/>
            <w:vAlign w:val="center"/>
          </w:tcPr>
          <w:p w:rsidR="00EE56C0" w:rsidRDefault="000F36A1">
            <w:pPr>
              <w:pStyle w:val="afa"/>
              <w:rPr>
                <w:rFonts w:eastAsia="宋体"/>
                <w:u w:val="single"/>
              </w:rPr>
            </w:pPr>
            <w:r>
              <w:rPr>
                <w:u w:val="single"/>
              </w:rPr>
              <w:t xml:space="preserve">0.0067 </w:t>
            </w:r>
          </w:p>
        </w:tc>
        <w:tc>
          <w:tcPr>
            <w:tcW w:w="698" w:type="pct"/>
            <w:vAlign w:val="center"/>
          </w:tcPr>
          <w:p w:rsidR="00EE56C0" w:rsidRDefault="000F36A1">
            <w:pPr>
              <w:pStyle w:val="afa"/>
              <w:rPr>
                <w:rFonts w:ascii="宋体" w:eastAsia="宋体" w:hAnsi="宋体" w:cs="宋体"/>
                <w:u w:val="single"/>
              </w:rPr>
            </w:pPr>
            <w:r>
              <w:rPr>
                <w:rFonts w:hint="eastAsia"/>
                <w:u w:val="single"/>
              </w:rPr>
              <w:t>0.0067</w:t>
            </w:r>
          </w:p>
        </w:tc>
      </w:tr>
      <w:tr w:rsidR="00EE56C0">
        <w:trPr>
          <w:trHeight w:val="425"/>
          <w:jc w:val="center"/>
        </w:trPr>
        <w:tc>
          <w:tcPr>
            <w:tcW w:w="497" w:type="pct"/>
            <w:vMerge/>
            <w:tcBorders>
              <w:right w:val="single" w:sz="4" w:space="0" w:color="auto"/>
            </w:tcBorders>
            <w:vAlign w:val="center"/>
          </w:tcPr>
          <w:p w:rsidR="00EE56C0" w:rsidRDefault="00EE56C0">
            <w:pPr>
              <w:pStyle w:val="afa"/>
            </w:pPr>
          </w:p>
        </w:tc>
        <w:tc>
          <w:tcPr>
            <w:tcW w:w="647" w:type="pct"/>
            <w:tcBorders>
              <w:left w:val="single" w:sz="4" w:space="0" w:color="auto"/>
            </w:tcBorders>
            <w:vAlign w:val="center"/>
          </w:tcPr>
          <w:p w:rsidR="00EE56C0" w:rsidRDefault="000F36A1">
            <w:pPr>
              <w:pStyle w:val="afa"/>
            </w:pPr>
            <w:r>
              <w:rPr>
                <w:rFonts w:hint="eastAsia"/>
              </w:rPr>
              <w:t>二期</w:t>
            </w:r>
          </w:p>
        </w:tc>
        <w:tc>
          <w:tcPr>
            <w:tcW w:w="665" w:type="pct"/>
            <w:vAlign w:val="center"/>
          </w:tcPr>
          <w:p w:rsidR="00EE56C0" w:rsidRDefault="000F36A1">
            <w:pPr>
              <w:pStyle w:val="afa"/>
              <w:rPr>
                <w:rFonts w:eastAsia="宋体"/>
                <w:u w:val="single"/>
              </w:rPr>
            </w:pPr>
            <w:r>
              <w:rPr>
                <w:u w:val="single"/>
              </w:rPr>
              <w:t xml:space="preserve">0.0399 </w:t>
            </w:r>
          </w:p>
        </w:tc>
        <w:tc>
          <w:tcPr>
            <w:tcW w:w="565" w:type="pct"/>
            <w:vAlign w:val="center"/>
          </w:tcPr>
          <w:p w:rsidR="00EE56C0" w:rsidRDefault="000F36A1">
            <w:pPr>
              <w:pStyle w:val="afa"/>
              <w:rPr>
                <w:rFonts w:eastAsia="宋体"/>
                <w:u w:val="single"/>
              </w:rPr>
            </w:pPr>
            <w:r>
              <w:rPr>
                <w:u w:val="single"/>
              </w:rPr>
              <w:t xml:space="preserve">0.0041 </w:t>
            </w:r>
          </w:p>
        </w:tc>
        <w:tc>
          <w:tcPr>
            <w:tcW w:w="722" w:type="pct"/>
            <w:vAlign w:val="center"/>
          </w:tcPr>
          <w:p w:rsidR="00EE56C0" w:rsidRDefault="000F36A1">
            <w:pPr>
              <w:pStyle w:val="afa"/>
              <w:rPr>
                <w:rFonts w:eastAsia="宋体"/>
                <w:u w:val="single"/>
              </w:rPr>
            </w:pPr>
            <w:r>
              <w:rPr>
                <w:u w:val="single"/>
              </w:rPr>
              <w:t xml:space="preserve">0.0357 </w:t>
            </w:r>
          </w:p>
        </w:tc>
        <w:tc>
          <w:tcPr>
            <w:tcW w:w="1206" w:type="pct"/>
            <w:vAlign w:val="center"/>
          </w:tcPr>
          <w:p w:rsidR="00EE56C0" w:rsidRDefault="000F36A1">
            <w:pPr>
              <w:pStyle w:val="afa"/>
              <w:rPr>
                <w:rFonts w:eastAsia="宋体"/>
                <w:u w:val="single"/>
              </w:rPr>
            </w:pPr>
            <w:r>
              <w:rPr>
                <w:u w:val="single"/>
              </w:rPr>
              <w:t xml:space="preserve">0.0041 </w:t>
            </w:r>
          </w:p>
        </w:tc>
        <w:tc>
          <w:tcPr>
            <w:tcW w:w="698" w:type="pct"/>
            <w:vAlign w:val="center"/>
          </w:tcPr>
          <w:p w:rsidR="00EE56C0" w:rsidRDefault="000F36A1">
            <w:pPr>
              <w:pStyle w:val="afa"/>
              <w:rPr>
                <w:rFonts w:eastAsia="宋体"/>
                <w:u w:val="single"/>
              </w:rPr>
            </w:pPr>
            <w:r>
              <w:rPr>
                <w:u w:val="single"/>
              </w:rPr>
              <w:t xml:space="preserve">0.0041 </w:t>
            </w:r>
          </w:p>
        </w:tc>
      </w:tr>
      <w:tr w:rsidR="00EE56C0">
        <w:trPr>
          <w:trHeight w:val="425"/>
          <w:jc w:val="center"/>
        </w:trPr>
        <w:tc>
          <w:tcPr>
            <w:tcW w:w="497" w:type="pct"/>
            <w:vMerge/>
            <w:tcBorders>
              <w:right w:val="single" w:sz="4" w:space="0" w:color="auto"/>
            </w:tcBorders>
            <w:vAlign w:val="center"/>
          </w:tcPr>
          <w:p w:rsidR="00EE56C0" w:rsidRDefault="00EE56C0">
            <w:pPr>
              <w:pStyle w:val="afa"/>
            </w:pPr>
          </w:p>
        </w:tc>
        <w:tc>
          <w:tcPr>
            <w:tcW w:w="647" w:type="pct"/>
            <w:tcBorders>
              <w:left w:val="single" w:sz="4" w:space="0" w:color="auto"/>
            </w:tcBorders>
            <w:vAlign w:val="center"/>
          </w:tcPr>
          <w:p w:rsidR="00EE56C0" w:rsidRDefault="000F36A1">
            <w:pPr>
              <w:pStyle w:val="afa"/>
            </w:pPr>
            <w:r>
              <w:rPr>
                <w:rFonts w:hint="eastAsia"/>
              </w:rPr>
              <w:t>建成后</w:t>
            </w:r>
          </w:p>
        </w:tc>
        <w:tc>
          <w:tcPr>
            <w:tcW w:w="665" w:type="pct"/>
            <w:vAlign w:val="center"/>
          </w:tcPr>
          <w:p w:rsidR="00EE56C0" w:rsidRDefault="000F36A1">
            <w:pPr>
              <w:pStyle w:val="afa"/>
              <w:rPr>
                <w:rFonts w:eastAsia="宋体"/>
                <w:u w:val="single"/>
              </w:rPr>
            </w:pPr>
            <w:r>
              <w:rPr>
                <w:u w:val="single"/>
              </w:rPr>
              <w:t xml:space="preserve">0.0481 </w:t>
            </w:r>
          </w:p>
        </w:tc>
        <w:tc>
          <w:tcPr>
            <w:tcW w:w="565" w:type="pct"/>
            <w:vAlign w:val="center"/>
          </w:tcPr>
          <w:p w:rsidR="00EE56C0" w:rsidRDefault="000F36A1">
            <w:pPr>
              <w:pStyle w:val="afa"/>
              <w:rPr>
                <w:rFonts w:eastAsia="宋体"/>
                <w:u w:val="single"/>
              </w:rPr>
            </w:pPr>
            <w:r>
              <w:rPr>
                <w:u w:val="single"/>
              </w:rPr>
              <w:t xml:space="preserve">0.0041 </w:t>
            </w:r>
          </w:p>
        </w:tc>
        <w:tc>
          <w:tcPr>
            <w:tcW w:w="722" w:type="pct"/>
            <w:vAlign w:val="center"/>
          </w:tcPr>
          <w:p w:rsidR="00EE56C0" w:rsidRDefault="000F36A1">
            <w:pPr>
              <w:pStyle w:val="afa"/>
              <w:rPr>
                <w:rFonts w:eastAsia="宋体"/>
                <w:u w:val="single"/>
              </w:rPr>
            </w:pPr>
            <w:r>
              <w:rPr>
                <w:u w:val="single"/>
              </w:rPr>
              <w:t xml:space="preserve">0.0441 </w:t>
            </w:r>
          </w:p>
        </w:tc>
        <w:tc>
          <w:tcPr>
            <w:tcW w:w="1206" w:type="pct"/>
            <w:vAlign w:val="center"/>
          </w:tcPr>
          <w:p w:rsidR="00EE56C0" w:rsidRDefault="000F36A1">
            <w:pPr>
              <w:pStyle w:val="afa"/>
              <w:rPr>
                <w:rFonts w:eastAsia="宋体"/>
                <w:u w:val="single"/>
              </w:rPr>
            </w:pPr>
            <w:r>
              <w:rPr>
                <w:u w:val="single"/>
              </w:rPr>
              <w:t xml:space="preserve">0.0310 </w:t>
            </w:r>
          </w:p>
        </w:tc>
        <w:tc>
          <w:tcPr>
            <w:tcW w:w="698" w:type="pct"/>
            <w:vAlign w:val="center"/>
          </w:tcPr>
          <w:p w:rsidR="00EE56C0" w:rsidRDefault="000F36A1">
            <w:pPr>
              <w:pStyle w:val="afa"/>
              <w:rPr>
                <w:rFonts w:eastAsia="宋体"/>
                <w:u w:val="single"/>
              </w:rPr>
            </w:pPr>
            <w:r>
              <w:rPr>
                <w:u w:val="single"/>
              </w:rPr>
              <w:t xml:space="preserve">0.0310 </w:t>
            </w:r>
          </w:p>
        </w:tc>
      </w:tr>
      <w:tr w:rsidR="00EE56C0">
        <w:trPr>
          <w:trHeight w:val="425"/>
          <w:jc w:val="center"/>
        </w:trPr>
        <w:tc>
          <w:tcPr>
            <w:tcW w:w="497" w:type="pct"/>
            <w:vMerge w:val="restart"/>
            <w:tcBorders>
              <w:right w:val="single" w:sz="4" w:space="0" w:color="auto"/>
            </w:tcBorders>
            <w:vAlign w:val="center"/>
          </w:tcPr>
          <w:p w:rsidR="00EE56C0" w:rsidRDefault="000F36A1">
            <w:pPr>
              <w:pStyle w:val="afa"/>
            </w:pPr>
            <w:r>
              <w:rPr>
                <w:rFonts w:hint="eastAsia"/>
              </w:rPr>
              <w:t>水量（</w:t>
            </w:r>
            <w:r>
              <w:rPr>
                <w:rFonts w:hint="eastAsia"/>
              </w:rPr>
              <w:t>t/a</w:t>
            </w:r>
            <w:r>
              <w:rPr>
                <w:rFonts w:hint="eastAsia"/>
              </w:rPr>
              <w:t>）</w:t>
            </w:r>
          </w:p>
        </w:tc>
        <w:tc>
          <w:tcPr>
            <w:tcW w:w="647" w:type="pct"/>
            <w:tcBorders>
              <w:left w:val="single" w:sz="4" w:space="0" w:color="auto"/>
            </w:tcBorders>
            <w:vAlign w:val="center"/>
          </w:tcPr>
          <w:p w:rsidR="00EE56C0" w:rsidRDefault="000F36A1">
            <w:pPr>
              <w:pStyle w:val="afa"/>
            </w:pPr>
            <w:r>
              <w:rPr>
                <w:rFonts w:hint="eastAsia"/>
              </w:rPr>
              <w:t>一期</w:t>
            </w:r>
          </w:p>
        </w:tc>
        <w:tc>
          <w:tcPr>
            <w:tcW w:w="665" w:type="pct"/>
            <w:vAlign w:val="center"/>
          </w:tcPr>
          <w:p w:rsidR="00EE56C0" w:rsidRDefault="000F36A1">
            <w:pPr>
              <w:pStyle w:val="afa"/>
            </w:pPr>
            <w:r>
              <w:rPr>
                <w:rFonts w:hint="eastAsia"/>
              </w:rPr>
              <w:t>444</w:t>
            </w:r>
          </w:p>
        </w:tc>
        <w:tc>
          <w:tcPr>
            <w:tcW w:w="565" w:type="pct"/>
            <w:vAlign w:val="center"/>
          </w:tcPr>
          <w:p w:rsidR="00EE56C0" w:rsidRDefault="000F36A1">
            <w:pPr>
              <w:pStyle w:val="afa"/>
            </w:pPr>
            <w:r>
              <w:t>0</w:t>
            </w:r>
          </w:p>
        </w:tc>
        <w:tc>
          <w:tcPr>
            <w:tcW w:w="722" w:type="pct"/>
            <w:vAlign w:val="center"/>
          </w:tcPr>
          <w:p w:rsidR="00EE56C0" w:rsidRDefault="000F36A1">
            <w:pPr>
              <w:pStyle w:val="afa"/>
            </w:pPr>
            <w:r>
              <w:rPr>
                <w:rFonts w:hint="eastAsia"/>
              </w:rPr>
              <w:t>444</w:t>
            </w:r>
          </w:p>
        </w:tc>
        <w:tc>
          <w:tcPr>
            <w:tcW w:w="1206" w:type="pct"/>
            <w:vAlign w:val="center"/>
          </w:tcPr>
          <w:p w:rsidR="00EE56C0" w:rsidRDefault="000F36A1">
            <w:pPr>
              <w:pStyle w:val="afa"/>
            </w:pPr>
            <w:r>
              <w:rPr>
                <w:rFonts w:hint="eastAsia"/>
              </w:rPr>
              <w:t>444</w:t>
            </w:r>
          </w:p>
        </w:tc>
        <w:tc>
          <w:tcPr>
            <w:tcW w:w="698" w:type="pct"/>
            <w:vAlign w:val="center"/>
          </w:tcPr>
          <w:p w:rsidR="00EE56C0" w:rsidRDefault="000F36A1">
            <w:pPr>
              <w:pStyle w:val="afa"/>
            </w:pPr>
            <w:r>
              <w:rPr>
                <w:rFonts w:hint="eastAsia"/>
              </w:rPr>
              <w:t>/</w:t>
            </w:r>
          </w:p>
        </w:tc>
      </w:tr>
      <w:tr w:rsidR="00EE56C0">
        <w:trPr>
          <w:trHeight w:val="425"/>
          <w:jc w:val="center"/>
        </w:trPr>
        <w:tc>
          <w:tcPr>
            <w:tcW w:w="497" w:type="pct"/>
            <w:vMerge/>
            <w:tcBorders>
              <w:right w:val="single" w:sz="4" w:space="0" w:color="auto"/>
            </w:tcBorders>
            <w:vAlign w:val="center"/>
          </w:tcPr>
          <w:p w:rsidR="00EE56C0" w:rsidRDefault="00EE56C0">
            <w:pPr>
              <w:pStyle w:val="afa"/>
            </w:pPr>
          </w:p>
        </w:tc>
        <w:tc>
          <w:tcPr>
            <w:tcW w:w="647" w:type="pct"/>
            <w:tcBorders>
              <w:left w:val="single" w:sz="4" w:space="0" w:color="auto"/>
            </w:tcBorders>
            <w:vAlign w:val="center"/>
          </w:tcPr>
          <w:p w:rsidR="00EE56C0" w:rsidRDefault="000F36A1">
            <w:pPr>
              <w:pStyle w:val="afa"/>
            </w:pPr>
            <w:r>
              <w:rPr>
                <w:rFonts w:hint="eastAsia"/>
              </w:rPr>
              <w:t>二期</w:t>
            </w:r>
          </w:p>
        </w:tc>
        <w:tc>
          <w:tcPr>
            <w:tcW w:w="665" w:type="pct"/>
            <w:vAlign w:val="center"/>
          </w:tcPr>
          <w:p w:rsidR="00EE56C0" w:rsidRDefault="000F36A1">
            <w:pPr>
              <w:pStyle w:val="afa"/>
            </w:pPr>
            <w:r>
              <w:rPr>
                <w:rFonts w:hint="eastAsia"/>
              </w:rPr>
              <w:t>1623</w:t>
            </w:r>
          </w:p>
        </w:tc>
        <w:tc>
          <w:tcPr>
            <w:tcW w:w="565" w:type="pct"/>
            <w:vAlign w:val="center"/>
          </w:tcPr>
          <w:p w:rsidR="00EE56C0" w:rsidRDefault="000F36A1">
            <w:pPr>
              <w:pStyle w:val="afa"/>
            </w:pPr>
            <w:r>
              <w:t>0</w:t>
            </w:r>
          </w:p>
        </w:tc>
        <w:tc>
          <w:tcPr>
            <w:tcW w:w="722" w:type="pct"/>
            <w:vAlign w:val="center"/>
          </w:tcPr>
          <w:p w:rsidR="00EE56C0" w:rsidRDefault="000F36A1">
            <w:pPr>
              <w:pStyle w:val="afa"/>
            </w:pPr>
            <w:r>
              <w:rPr>
                <w:rFonts w:hint="eastAsia"/>
              </w:rPr>
              <w:t>1623</w:t>
            </w:r>
          </w:p>
        </w:tc>
        <w:tc>
          <w:tcPr>
            <w:tcW w:w="1206" w:type="pct"/>
            <w:vAlign w:val="center"/>
          </w:tcPr>
          <w:p w:rsidR="00EE56C0" w:rsidRDefault="000F36A1">
            <w:pPr>
              <w:pStyle w:val="afa"/>
            </w:pPr>
            <w:r>
              <w:rPr>
                <w:rFonts w:hint="eastAsia"/>
              </w:rPr>
              <w:t>1623</w:t>
            </w:r>
          </w:p>
        </w:tc>
        <w:tc>
          <w:tcPr>
            <w:tcW w:w="698" w:type="pct"/>
            <w:vAlign w:val="center"/>
          </w:tcPr>
          <w:p w:rsidR="00EE56C0" w:rsidRDefault="000F36A1">
            <w:pPr>
              <w:pStyle w:val="afa"/>
            </w:pPr>
            <w:r>
              <w:rPr>
                <w:rFonts w:hint="eastAsia"/>
              </w:rPr>
              <w:t>/</w:t>
            </w:r>
          </w:p>
        </w:tc>
      </w:tr>
      <w:tr w:rsidR="00EE56C0">
        <w:trPr>
          <w:trHeight w:val="425"/>
          <w:jc w:val="center"/>
        </w:trPr>
        <w:tc>
          <w:tcPr>
            <w:tcW w:w="497" w:type="pct"/>
            <w:vMerge/>
            <w:tcBorders>
              <w:right w:val="single" w:sz="4" w:space="0" w:color="auto"/>
            </w:tcBorders>
            <w:vAlign w:val="center"/>
          </w:tcPr>
          <w:p w:rsidR="00EE56C0" w:rsidRDefault="00EE56C0">
            <w:pPr>
              <w:pStyle w:val="afa"/>
            </w:pPr>
          </w:p>
        </w:tc>
        <w:tc>
          <w:tcPr>
            <w:tcW w:w="647" w:type="pct"/>
            <w:tcBorders>
              <w:left w:val="single" w:sz="4" w:space="0" w:color="auto"/>
            </w:tcBorders>
            <w:vAlign w:val="center"/>
          </w:tcPr>
          <w:p w:rsidR="00EE56C0" w:rsidRDefault="000F36A1">
            <w:pPr>
              <w:pStyle w:val="afa"/>
            </w:pPr>
            <w:r>
              <w:rPr>
                <w:rFonts w:hint="eastAsia"/>
              </w:rPr>
              <w:t>建成后</w:t>
            </w:r>
          </w:p>
        </w:tc>
        <w:tc>
          <w:tcPr>
            <w:tcW w:w="665" w:type="pct"/>
            <w:vAlign w:val="center"/>
          </w:tcPr>
          <w:p w:rsidR="00EE56C0" w:rsidRDefault="000F36A1">
            <w:pPr>
              <w:pStyle w:val="afa"/>
              <w:rPr>
                <w:rFonts w:eastAsia="宋体"/>
              </w:rPr>
            </w:pPr>
            <w:r>
              <w:t>2</w:t>
            </w:r>
            <w:r>
              <w:rPr>
                <w:rFonts w:hint="eastAsia"/>
              </w:rPr>
              <w:t>067</w:t>
            </w:r>
          </w:p>
        </w:tc>
        <w:tc>
          <w:tcPr>
            <w:tcW w:w="565" w:type="pct"/>
            <w:vAlign w:val="center"/>
          </w:tcPr>
          <w:p w:rsidR="00EE56C0" w:rsidRDefault="000F36A1">
            <w:pPr>
              <w:pStyle w:val="afa"/>
              <w:rPr>
                <w:rFonts w:eastAsia="宋体"/>
              </w:rPr>
            </w:pPr>
            <w:r>
              <w:t>0</w:t>
            </w:r>
          </w:p>
        </w:tc>
        <w:tc>
          <w:tcPr>
            <w:tcW w:w="722" w:type="pct"/>
            <w:vAlign w:val="center"/>
          </w:tcPr>
          <w:p w:rsidR="00EE56C0" w:rsidRDefault="000F36A1">
            <w:pPr>
              <w:pStyle w:val="afa"/>
              <w:rPr>
                <w:rFonts w:eastAsia="宋体"/>
              </w:rPr>
            </w:pPr>
            <w:r>
              <w:t>2</w:t>
            </w:r>
            <w:r>
              <w:rPr>
                <w:rFonts w:hint="eastAsia"/>
              </w:rPr>
              <w:t>067</w:t>
            </w:r>
          </w:p>
        </w:tc>
        <w:tc>
          <w:tcPr>
            <w:tcW w:w="1206" w:type="pct"/>
            <w:vAlign w:val="center"/>
          </w:tcPr>
          <w:p w:rsidR="00EE56C0" w:rsidRDefault="000F36A1">
            <w:pPr>
              <w:pStyle w:val="afa"/>
              <w:rPr>
                <w:rFonts w:eastAsia="宋体"/>
              </w:rPr>
            </w:pPr>
            <w:r>
              <w:t>2</w:t>
            </w:r>
            <w:r>
              <w:rPr>
                <w:rFonts w:hint="eastAsia"/>
              </w:rPr>
              <w:t>067</w:t>
            </w:r>
          </w:p>
        </w:tc>
        <w:tc>
          <w:tcPr>
            <w:tcW w:w="698" w:type="pct"/>
            <w:vAlign w:val="center"/>
          </w:tcPr>
          <w:p w:rsidR="00EE56C0" w:rsidRDefault="000F36A1">
            <w:pPr>
              <w:pStyle w:val="afa"/>
            </w:pPr>
            <w:r>
              <w:rPr>
                <w:rFonts w:hint="eastAsia"/>
              </w:rPr>
              <w:t>/</w:t>
            </w:r>
          </w:p>
        </w:tc>
      </w:tr>
    </w:tbl>
    <w:p w:rsidR="00EE56C0" w:rsidRDefault="000F36A1">
      <w:pPr>
        <w:pStyle w:val="4"/>
        <w:ind w:left="120" w:firstLine="241"/>
      </w:pPr>
      <w:r>
        <w:rPr>
          <w:rFonts w:hint="eastAsia"/>
        </w:rPr>
        <w:t>6.8.2.2</w:t>
      </w:r>
      <w:r>
        <w:rPr>
          <w:rFonts w:hint="eastAsia"/>
        </w:rPr>
        <w:t>废气</w:t>
      </w:r>
    </w:p>
    <w:p w:rsidR="00EE56C0" w:rsidRDefault="000F36A1">
      <w:pPr>
        <w:ind w:firstLine="480"/>
      </w:pPr>
      <w:r>
        <w:rPr>
          <w:rFonts w:hint="eastAsia"/>
        </w:rPr>
        <w:t>一期、二期及合计新增废气排放总量见下表。</w:t>
      </w:r>
    </w:p>
    <w:p w:rsidR="00EE56C0" w:rsidRDefault="000F36A1">
      <w:pPr>
        <w:pStyle w:val="afd"/>
        <w:spacing w:before="120" w:after="120"/>
        <w:ind w:firstLine="482"/>
      </w:pPr>
      <w:r>
        <w:rPr>
          <w:rFonts w:hint="eastAsia"/>
        </w:rPr>
        <w:t>表</w:t>
      </w:r>
      <w:r>
        <w:rPr>
          <w:rFonts w:hint="eastAsia"/>
        </w:rPr>
        <w:t xml:space="preserve">6-14       </w:t>
      </w:r>
      <w:r>
        <w:rPr>
          <w:rFonts w:hint="eastAsia"/>
        </w:rPr>
        <w:t>一期、二期及合计新增废气排放总量情况</w:t>
      </w:r>
      <w:r>
        <w:rPr>
          <w:rFonts w:hint="eastAsia"/>
        </w:rPr>
        <w:t xml:space="preserve">     </w:t>
      </w:r>
      <w:r>
        <w:rPr>
          <w:rFonts w:hint="eastAsia"/>
        </w:rPr>
        <w:t>单位：</w:t>
      </w:r>
      <w:r>
        <w:rPr>
          <w:rFonts w:hint="eastAsia"/>
        </w:rPr>
        <w:t>t/a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21"/>
        <w:gridCol w:w="993"/>
        <w:gridCol w:w="1279"/>
        <w:gridCol w:w="1419"/>
        <w:gridCol w:w="2009"/>
        <w:gridCol w:w="2008"/>
      </w:tblGrid>
      <w:tr w:rsidR="00EE56C0">
        <w:trPr>
          <w:trHeight w:val="454"/>
        </w:trPr>
        <w:tc>
          <w:tcPr>
            <w:tcW w:w="1813" w:type="pct"/>
            <w:gridSpan w:val="3"/>
            <w:vMerge w:val="restart"/>
            <w:vAlign w:val="center"/>
          </w:tcPr>
          <w:p w:rsidR="00EE56C0" w:rsidRDefault="000F36A1">
            <w:pPr>
              <w:pStyle w:val="aff1"/>
              <w:rPr>
                <w:color w:val="auto"/>
              </w:rPr>
            </w:pPr>
            <w:r>
              <w:rPr>
                <w:color w:val="auto"/>
                <w:szCs w:val="21"/>
              </w:rPr>
              <w:t>污染物</w:t>
            </w:r>
          </w:p>
        </w:tc>
        <w:tc>
          <w:tcPr>
            <w:tcW w:w="2010" w:type="pct"/>
            <w:gridSpan w:val="2"/>
            <w:vAlign w:val="center"/>
          </w:tcPr>
          <w:p w:rsidR="00EE56C0" w:rsidRDefault="000F36A1">
            <w:pPr>
              <w:pStyle w:val="aff1"/>
              <w:rPr>
                <w:color w:val="auto"/>
              </w:rPr>
            </w:pPr>
            <w:r>
              <w:rPr>
                <w:rFonts w:hint="eastAsia"/>
                <w:color w:val="auto"/>
              </w:rPr>
              <w:t>有机废气</w:t>
            </w:r>
          </w:p>
        </w:tc>
        <w:tc>
          <w:tcPr>
            <w:tcW w:w="1177" w:type="pct"/>
            <w:vMerge w:val="restart"/>
            <w:vAlign w:val="center"/>
          </w:tcPr>
          <w:p w:rsidR="00EE56C0" w:rsidRDefault="000F36A1">
            <w:pPr>
              <w:pStyle w:val="aff1"/>
              <w:rPr>
                <w:color w:val="auto"/>
              </w:rPr>
            </w:pPr>
            <w:r>
              <w:rPr>
                <w:rFonts w:hint="eastAsia"/>
                <w:color w:val="auto"/>
              </w:rPr>
              <w:t>合计</w:t>
            </w:r>
          </w:p>
        </w:tc>
      </w:tr>
      <w:tr w:rsidR="00EE56C0">
        <w:trPr>
          <w:trHeight w:val="454"/>
        </w:trPr>
        <w:tc>
          <w:tcPr>
            <w:tcW w:w="1813" w:type="pct"/>
            <w:gridSpan w:val="3"/>
            <w:vMerge/>
            <w:vAlign w:val="center"/>
          </w:tcPr>
          <w:p w:rsidR="00EE56C0" w:rsidRDefault="00EE56C0">
            <w:pPr>
              <w:pStyle w:val="aff1"/>
              <w:rPr>
                <w:color w:val="auto"/>
                <w:szCs w:val="21"/>
              </w:rPr>
            </w:pPr>
          </w:p>
        </w:tc>
        <w:tc>
          <w:tcPr>
            <w:tcW w:w="832" w:type="pct"/>
            <w:vAlign w:val="center"/>
          </w:tcPr>
          <w:p w:rsidR="00EE56C0" w:rsidRDefault="000F36A1">
            <w:pPr>
              <w:pStyle w:val="aff1"/>
              <w:rPr>
                <w:color w:val="auto"/>
              </w:rPr>
            </w:pPr>
            <w:r>
              <w:rPr>
                <w:rFonts w:hint="eastAsia"/>
                <w:color w:val="auto"/>
              </w:rPr>
              <w:t>有组织</w:t>
            </w:r>
          </w:p>
        </w:tc>
        <w:tc>
          <w:tcPr>
            <w:tcW w:w="1178" w:type="pct"/>
            <w:vAlign w:val="center"/>
          </w:tcPr>
          <w:p w:rsidR="00EE56C0" w:rsidRDefault="000F36A1">
            <w:pPr>
              <w:pStyle w:val="aff1"/>
              <w:rPr>
                <w:color w:val="auto"/>
              </w:rPr>
            </w:pPr>
            <w:r>
              <w:rPr>
                <w:rFonts w:hint="eastAsia"/>
                <w:color w:val="auto"/>
              </w:rPr>
              <w:t>无组织</w:t>
            </w:r>
          </w:p>
        </w:tc>
        <w:tc>
          <w:tcPr>
            <w:tcW w:w="1177" w:type="pct"/>
            <w:vMerge/>
            <w:vAlign w:val="center"/>
          </w:tcPr>
          <w:p w:rsidR="00EE56C0" w:rsidRDefault="00EE56C0">
            <w:pPr>
              <w:pStyle w:val="aff1"/>
              <w:rPr>
                <w:color w:val="auto"/>
              </w:rPr>
            </w:pPr>
          </w:p>
        </w:tc>
      </w:tr>
      <w:tr w:rsidR="00EE56C0">
        <w:trPr>
          <w:trHeight w:val="454"/>
        </w:trPr>
        <w:tc>
          <w:tcPr>
            <w:tcW w:w="481" w:type="pct"/>
            <w:vMerge w:val="restart"/>
            <w:vAlign w:val="center"/>
          </w:tcPr>
          <w:p w:rsidR="00EE56C0" w:rsidRDefault="000F36A1">
            <w:pPr>
              <w:pStyle w:val="afa"/>
            </w:pPr>
            <w:r>
              <w:rPr>
                <w:rFonts w:hint="eastAsia"/>
              </w:rPr>
              <w:t>VOCs</w:t>
            </w:r>
          </w:p>
        </w:tc>
        <w:tc>
          <w:tcPr>
            <w:tcW w:w="582" w:type="pct"/>
            <w:vMerge w:val="restart"/>
            <w:vAlign w:val="center"/>
          </w:tcPr>
          <w:p w:rsidR="00EE56C0" w:rsidRDefault="000F36A1">
            <w:pPr>
              <w:pStyle w:val="afa"/>
            </w:pPr>
            <w:r>
              <w:rPr>
                <w:rFonts w:hint="eastAsia"/>
              </w:rPr>
              <w:t>酚</w:t>
            </w:r>
          </w:p>
        </w:tc>
        <w:tc>
          <w:tcPr>
            <w:tcW w:w="750" w:type="pct"/>
            <w:vAlign w:val="center"/>
          </w:tcPr>
          <w:p w:rsidR="00EE56C0" w:rsidRDefault="000F36A1">
            <w:pPr>
              <w:pStyle w:val="afa"/>
            </w:pPr>
            <w:r>
              <w:rPr>
                <w:rFonts w:hint="eastAsia"/>
              </w:rPr>
              <w:t>一期</w:t>
            </w:r>
          </w:p>
        </w:tc>
        <w:tc>
          <w:tcPr>
            <w:tcW w:w="832" w:type="pct"/>
            <w:vAlign w:val="center"/>
          </w:tcPr>
          <w:p w:rsidR="00EE56C0" w:rsidRDefault="000F36A1">
            <w:pPr>
              <w:pStyle w:val="afa"/>
              <w:rPr>
                <w:rFonts w:eastAsia="宋体"/>
              </w:rPr>
            </w:pPr>
            <w:r>
              <w:t xml:space="preserve">0.0301 </w:t>
            </w:r>
          </w:p>
        </w:tc>
        <w:tc>
          <w:tcPr>
            <w:tcW w:w="1178" w:type="pct"/>
            <w:vAlign w:val="center"/>
          </w:tcPr>
          <w:p w:rsidR="00EE56C0" w:rsidRDefault="000F36A1">
            <w:pPr>
              <w:pStyle w:val="afa"/>
              <w:rPr>
                <w:rFonts w:eastAsia="宋体"/>
              </w:rPr>
            </w:pPr>
            <w:r>
              <w:t xml:space="preserve">0.2216 </w:t>
            </w:r>
          </w:p>
        </w:tc>
        <w:tc>
          <w:tcPr>
            <w:tcW w:w="1177" w:type="pct"/>
            <w:vAlign w:val="center"/>
          </w:tcPr>
          <w:p w:rsidR="00EE56C0" w:rsidRDefault="000F36A1">
            <w:pPr>
              <w:pStyle w:val="afa"/>
              <w:rPr>
                <w:rFonts w:ascii="宋体" w:eastAsia="宋体" w:hAnsi="宋体" w:cs="宋体"/>
              </w:rPr>
            </w:pPr>
            <w:r>
              <w:rPr>
                <w:rFonts w:hint="eastAsia"/>
              </w:rPr>
              <w:t xml:space="preserve">0.2516 </w:t>
            </w:r>
          </w:p>
        </w:tc>
      </w:tr>
      <w:tr w:rsidR="00EE56C0">
        <w:trPr>
          <w:trHeight w:val="454"/>
        </w:trPr>
        <w:tc>
          <w:tcPr>
            <w:tcW w:w="481" w:type="pct"/>
            <w:vMerge/>
            <w:vAlign w:val="center"/>
          </w:tcPr>
          <w:p w:rsidR="00EE56C0" w:rsidRDefault="00EE56C0">
            <w:pPr>
              <w:pStyle w:val="afa"/>
            </w:pPr>
          </w:p>
        </w:tc>
        <w:tc>
          <w:tcPr>
            <w:tcW w:w="582" w:type="pct"/>
            <w:vMerge/>
            <w:vAlign w:val="center"/>
          </w:tcPr>
          <w:p w:rsidR="00EE56C0" w:rsidRDefault="00EE56C0">
            <w:pPr>
              <w:pStyle w:val="afa"/>
            </w:pPr>
          </w:p>
        </w:tc>
        <w:tc>
          <w:tcPr>
            <w:tcW w:w="750" w:type="pct"/>
            <w:vAlign w:val="center"/>
          </w:tcPr>
          <w:p w:rsidR="00EE56C0" w:rsidRDefault="000F36A1">
            <w:pPr>
              <w:pStyle w:val="afa"/>
            </w:pPr>
            <w:r>
              <w:rPr>
                <w:rFonts w:hint="eastAsia"/>
              </w:rPr>
              <w:t>二期</w:t>
            </w:r>
          </w:p>
        </w:tc>
        <w:tc>
          <w:tcPr>
            <w:tcW w:w="832" w:type="pct"/>
            <w:vAlign w:val="center"/>
          </w:tcPr>
          <w:p w:rsidR="00EE56C0" w:rsidRDefault="000F36A1">
            <w:pPr>
              <w:pStyle w:val="afa"/>
              <w:rPr>
                <w:rFonts w:eastAsia="宋体"/>
              </w:rPr>
            </w:pPr>
            <w:r>
              <w:t xml:space="preserve">0.0814 </w:t>
            </w:r>
          </w:p>
        </w:tc>
        <w:tc>
          <w:tcPr>
            <w:tcW w:w="1178" w:type="pct"/>
            <w:vAlign w:val="center"/>
          </w:tcPr>
          <w:p w:rsidR="00EE56C0" w:rsidRDefault="000F36A1">
            <w:pPr>
              <w:pStyle w:val="afa"/>
              <w:rPr>
                <w:rFonts w:eastAsia="宋体"/>
              </w:rPr>
            </w:pPr>
            <w:r>
              <w:t xml:space="preserve">0.7051 </w:t>
            </w:r>
          </w:p>
        </w:tc>
        <w:tc>
          <w:tcPr>
            <w:tcW w:w="1177" w:type="pct"/>
            <w:vAlign w:val="center"/>
          </w:tcPr>
          <w:p w:rsidR="00EE56C0" w:rsidRDefault="000F36A1">
            <w:pPr>
              <w:pStyle w:val="afa"/>
              <w:rPr>
                <w:rFonts w:ascii="宋体" w:eastAsia="宋体" w:hAnsi="宋体" w:cs="宋体"/>
              </w:rPr>
            </w:pPr>
            <w:r>
              <w:rPr>
                <w:rFonts w:hint="eastAsia"/>
              </w:rPr>
              <w:t xml:space="preserve">0.7865 </w:t>
            </w:r>
          </w:p>
        </w:tc>
      </w:tr>
      <w:tr w:rsidR="00EE56C0">
        <w:trPr>
          <w:trHeight w:val="454"/>
        </w:trPr>
        <w:tc>
          <w:tcPr>
            <w:tcW w:w="481" w:type="pct"/>
            <w:vMerge/>
            <w:vAlign w:val="center"/>
          </w:tcPr>
          <w:p w:rsidR="00EE56C0" w:rsidRDefault="00EE56C0">
            <w:pPr>
              <w:pStyle w:val="afa"/>
            </w:pPr>
          </w:p>
        </w:tc>
        <w:tc>
          <w:tcPr>
            <w:tcW w:w="582" w:type="pct"/>
            <w:vMerge/>
            <w:vAlign w:val="center"/>
          </w:tcPr>
          <w:p w:rsidR="00EE56C0" w:rsidRDefault="00EE56C0">
            <w:pPr>
              <w:pStyle w:val="afa"/>
            </w:pPr>
          </w:p>
        </w:tc>
        <w:tc>
          <w:tcPr>
            <w:tcW w:w="750" w:type="pct"/>
            <w:vAlign w:val="center"/>
          </w:tcPr>
          <w:p w:rsidR="00EE56C0" w:rsidRDefault="000F36A1">
            <w:pPr>
              <w:pStyle w:val="afa"/>
            </w:pPr>
            <w:r>
              <w:rPr>
                <w:rFonts w:hint="eastAsia"/>
              </w:rPr>
              <w:t>建成后</w:t>
            </w:r>
          </w:p>
        </w:tc>
        <w:tc>
          <w:tcPr>
            <w:tcW w:w="832" w:type="pct"/>
            <w:vAlign w:val="center"/>
          </w:tcPr>
          <w:p w:rsidR="00EE56C0" w:rsidRDefault="000F36A1">
            <w:pPr>
              <w:pStyle w:val="afa"/>
              <w:rPr>
                <w:rFonts w:ascii="宋体" w:eastAsia="宋体" w:hAnsi="宋体" w:cs="宋体"/>
              </w:rPr>
            </w:pPr>
            <w:r>
              <w:rPr>
                <w:rFonts w:hint="eastAsia"/>
              </w:rPr>
              <w:t xml:space="preserve">0.2516 </w:t>
            </w:r>
          </w:p>
        </w:tc>
        <w:tc>
          <w:tcPr>
            <w:tcW w:w="1178" w:type="pct"/>
            <w:vAlign w:val="center"/>
          </w:tcPr>
          <w:p w:rsidR="00EE56C0" w:rsidRDefault="000F36A1">
            <w:pPr>
              <w:pStyle w:val="afa"/>
              <w:rPr>
                <w:rFonts w:ascii="宋体" w:eastAsia="宋体" w:hAnsi="宋体" w:cs="宋体"/>
              </w:rPr>
            </w:pPr>
            <w:r>
              <w:rPr>
                <w:rFonts w:hint="eastAsia"/>
              </w:rPr>
              <w:t xml:space="preserve">0.7865 </w:t>
            </w:r>
          </w:p>
        </w:tc>
        <w:tc>
          <w:tcPr>
            <w:tcW w:w="1177" w:type="pct"/>
            <w:vAlign w:val="center"/>
          </w:tcPr>
          <w:p w:rsidR="00EE56C0" w:rsidRDefault="000F36A1">
            <w:pPr>
              <w:pStyle w:val="afa"/>
              <w:rPr>
                <w:rFonts w:ascii="宋体" w:eastAsia="宋体" w:hAnsi="宋体" w:cs="宋体"/>
              </w:rPr>
            </w:pPr>
            <w:r>
              <w:rPr>
                <w:rFonts w:hint="eastAsia"/>
              </w:rPr>
              <w:t>1.0381</w:t>
            </w:r>
          </w:p>
        </w:tc>
      </w:tr>
      <w:tr w:rsidR="00EE56C0">
        <w:trPr>
          <w:trHeight w:val="454"/>
        </w:trPr>
        <w:tc>
          <w:tcPr>
            <w:tcW w:w="481" w:type="pct"/>
            <w:vMerge/>
            <w:vAlign w:val="center"/>
          </w:tcPr>
          <w:p w:rsidR="00EE56C0" w:rsidRDefault="00EE56C0">
            <w:pPr>
              <w:pStyle w:val="afa"/>
            </w:pPr>
          </w:p>
        </w:tc>
        <w:tc>
          <w:tcPr>
            <w:tcW w:w="582" w:type="pct"/>
            <w:vMerge w:val="restart"/>
            <w:vAlign w:val="center"/>
          </w:tcPr>
          <w:p w:rsidR="00EE56C0" w:rsidRDefault="000F36A1">
            <w:pPr>
              <w:pStyle w:val="afa"/>
            </w:pPr>
            <w:r>
              <w:t>非甲烷总烃</w:t>
            </w:r>
          </w:p>
        </w:tc>
        <w:tc>
          <w:tcPr>
            <w:tcW w:w="750" w:type="pct"/>
            <w:vAlign w:val="center"/>
          </w:tcPr>
          <w:p w:rsidR="00EE56C0" w:rsidRDefault="000F36A1">
            <w:pPr>
              <w:pStyle w:val="afa"/>
            </w:pPr>
            <w:r>
              <w:rPr>
                <w:rFonts w:hint="eastAsia"/>
              </w:rPr>
              <w:t>一期</w:t>
            </w:r>
          </w:p>
        </w:tc>
        <w:tc>
          <w:tcPr>
            <w:tcW w:w="832" w:type="pct"/>
            <w:vAlign w:val="center"/>
          </w:tcPr>
          <w:p w:rsidR="00EE56C0" w:rsidRDefault="000F36A1">
            <w:pPr>
              <w:pStyle w:val="afa"/>
              <w:rPr>
                <w:rFonts w:eastAsia="宋体"/>
              </w:rPr>
            </w:pPr>
            <w:r>
              <w:t xml:space="preserve">0.1016 </w:t>
            </w:r>
          </w:p>
        </w:tc>
        <w:tc>
          <w:tcPr>
            <w:tcW w:w="1178" w:type="pct"/>
            <w:vAlign w:val="center"/>
          </w:tcPr>
          <w:p w:rsidR="00EE56C0" w:rsidRDefault="000F36A1">
            <w:pPr>
              <w:pStyle w:val="afa"/>
              <w:rPr>
                <w:rFonts w:eastAsia="宋体"/>
              </w:rPr>
            </w:pPr>
            <w:r>
              <w:t xml:space="preserve">0.1547 </w:t>
            </w:r>
          </w:p>
        </w:tc>
        <w:tc>
          <w:tcPr>
            <w:tcW w:w="1177" w:type="pct"/>
            <w:vAlign w:val="center"/>
          </w:tcPr>
          <w:p w:rsidR="00EE56C0" w:rsidRDefault="000F36A1">
            <w:pPr>
              <w:pStyle w:val="afa"/>
              <w:rPr>
                <w:rFonts w:ascii="宋体" w:eastAsia="宋体" w:hAnsi="宋体" w:cs="宋体"/>
              </w:rPr>
            </w:pPr>
            <w:r>
              <w:rPr>
                <w:rFonts w:hint="eastAsia"/>
              </w:rPr>
              <w:t xml:space="preserve">0.2563 </w:t>
            </w:r>
          </w:p>
        </w:tc>
      </w:tr>
      <w:tr w:rsidR="00EE56C0">
        <w:trPr>
          <w:trHeight w:val="454"/>
        </w:trPr>
        <w:tc>
          <w:tcPr>
            <w:tcW w:w="481" w:type="pct"/>
            <w:vMerge/>
            <w:vAlign w:val="center"/>
          </w:tcPr>
          <w:p w:rsidR="00EE56C0" w:rsidRDefault="00EE56C0">
            <w:pPr>
              <w:pStyle w:val="afa"/>
            </w:pPr>
          </w:p>
        </w:tc>
        <w:tc>
          <w:tcPr>
            <w:tcW w:w="582" w:type="pct"/>
            <w:vMerge/>
            <w:vAlign w:val="center"/>
          </w:tcPr>
          <w:p w:rsidR="00EE56C0" w:rsidRDefault="00EE56C0">
            <w:pPr>
              <w:pStyle w:val="afa"/>
            </w:pPr>
          </w:p>
        </w:tc>
        <w:tc>
          <w:tcPr>
            <w:tcW w:w="750" w:type="pct"/>
            <w:vAlign w:val="center"/>
          </w:tcPr>
          <w:p w:rsidR="00EE56C0" w:rsidRDefault="000F36A1">
            <w:pPr>
              <w:pStyle w:val="afa"/>
            </w:pPr>
            <w:r>
              <w:rPr>
                <w:rFonts w:hint="eastAsia"/>
              </w:rPr>
              <w:t>二期</w:t>
            </w:r>
          </w:p>
        </w:tc>
        <w:tc>
          <w:tcPr>
            <w:tcW w:w="832" w:type="pct"/>
            <w:vAlign w:val="center"/>
          </w:tcPr>
          <w:p w:rsidR="00EE56C0" w:rsidRDefault="000F36A1">
            <w:pPr>
              <w:pStyle w:val="afa"/>
              <w:rPr>
                <w:rFonts w:eastAsia="宋体"/>
              </w:rPr>
            </w:pPr>
            <w:r>
              <w:t xml:space="preserve">0.1065 </w:t>
            </w:r>
          </w:p>
        </w:tc>
        <w:tc>
          <w:tcPr>
            <w:tcW w:w="1178" w:type="pct"/>
            <w:vAlign w:val="center"/>
          </w:tcPr>
          <w:p w:rsidR="00EE56C0" w:rsidRDefault="000F36A1">
            <w:pPr>
              <w:pStyle w:val="afa"/>
              <w:rPr>
                <w:rFonts w:eastAsia="宋体"/>
              </w:rPr>
            </w:pPr>
            <w:r>
              <w:t xml:space="preserve">0.5289 </w:t>
            </w:r>
          </w:p>
        </w:tc>
        <w:tc>
          <w:tcPr>
            <w:tcW w:w="1177" w:type="pct"/>
            <w:vAlign w:val="center"/>
          </w:tcPr>
          <w:p w:rsidR="00EE56C0" w:rsidRDefault="000F36A1">
            <w:pPr>
              <w:pStyle w:val="afa"/>
              <w:rPr>
                <w:rFonts w:ascii="宋体" w:eastAsia="宋体" w:hAnsi="宋体" w:cs="宋体"/>
              </w:rPr>
            </w:pPr>
            <w:r>
              <w:rPr>
                <w:rFonts w:hint="eastAsia"/>
              </w:rPr>
              <w:t xml:space="preserve">0.6354 </w:t>
            </w:r>
          </w:p>
        </w:tc>
      </w:tr>
      <w:tr w:rsidR="00EE56C0">
        <w:trPr>
          <w:trHeight w:val="454"/>
        </w:trPr>
        <w:tc>
          <w:tcPr>
            <w:tcW w:w="481" w:type="pct"/>
            <w:vMerge/>
            <w:vAlign w:val="center"/>
          </w:tcPr>
          <w:p w:rsidR="00EE56C0" w:rsidRDefault="00EE56C0">
            <w:pPr>
              <w:pStyle w:val="afa"/>
            </w:pPr>
          </w:p>
        </w:tc>
        <w:tc>
          <w:tcPr>
            <w:tcW w:w="582" w:type="pct"/>
            <w:vMerge/>
            <w:vAlign w:val="center"/>
          </w:tcPr>
          <w:p w:rsidR="00EE56C0" w:rsidRDefault="00EE56C0">
            <w:pPr>
              <w:pStyle w:val="afa"/>
            </w:pPr>
          </w:p>
        </w:tc>
        <w:tc>
          <w:tcPr>
            <w:tcW w:w="750" w:type="pct"/>
            <w:vAlign w:val="center"/>
          </w:tcPr>
          <w:p w:rsidR="00EE56C0" w:rsidRDefault="000F36A1">
            <w:pPr>
              <w:pStyle w:val="afa"/>
            </w:pPr>
            <w:r>
              <w:rPr>
                <w:rFonts w:hint="eastAsia"/>
              </w:rPr>
              <w:t>建成后</w:t>
            </w:r>
          </w:p>
        </w:tc>
        <w:tc>
          <w:tcPr>
            <w:tcW w:w="832" w:type="pct"/>
            <w:vAlign w:val="center"/>
          </w:tcPr>
          <w:p w:rsidR="00EE56C0" w:rsidRDefault="000F36A1">
            <w:pPr>
              <w:pStyle w:val="afa"/>
              <w:rPr>
                <w:rFonts w:ascii="宋体" w:eastAsia="宋体" w:hAnsi="宋体" w:cs="宋体"/>
              </w:rPr>
            </w:pPr>
            <w:r>
              <w:rPr>
                <w:rFonts w:hint="eastAsia"/>
              </w:rPr>
              <w:t xml:space="preserve">0.2563 </w:t>
            </w:r>
          </w:p>
        </w:tc>
        <w:tc>
          <w:tcPr>
            <w:tcW w:w="1178" w:type="pct"/>
            <w:vAlign w:val="center"/>
          </w:tcPr>
          <w:p w:rsidR="00EE56C0" w:rsidRDefault="000F36A1">
            <w:pPr>
              <w:pStyle w:val="afa"/>
              <w:rPr>
                <w:rFonts w:ascii="宋体" w:eastAsia="宋体" w:hAnsi="宋体" w:cs="宋体"/>
              </w:rPr>
            </w:pPr>
            <w:r>
              <w:rPr>
                <w:rFonts w:hint="eastAsia"/>
              </w:rPr>
              <w:t xml:space="preserve">0.6354 </w:t>
            </w:r>
          </w:p>
        </w:tc>
        <w:tc>
          <w:tcPr>
            <w:tcW w:w="1177" w:type="pct"/>
            <w:vAlign w:val="center"/>
          </w:tcPr>
          <w:p w:rsidR="00EE56C0" w:rsidRDefault="000F36A1">
            <w:pPr>
              <w:pStyle w:val="afa"/>
              <w:rPr>
                <w:rFonts w:ascii="宋体" w:eastAsia="宋体" w:hAnsi="宋体" w:cs="宋体"/>
              </w:rPr>
            </w:pPr>
            <w:r>
              <w:rPr>
                <w:rFonts w:hint="eastAsia"/>
              </w:rPr>
              <w:t>0.8917</w:t>
            </w:r>
          </w:p>
        </w:tc>
      </w:tr>
      <w:tr w:rsidR="00EE56C0">
        <w:trPr>
          <w:trHeight w:val="454"/>
        </w:trPr>
        <w:tc>
          <w:tcPr>
            <w:tcW w:w="481" w:type="pct"/>
            <w:vMerge/>
            <w:vAlign w:val="center"/>
          </w:tcPr>
          <w:p w:rsidR="00EE56C0" w:rsidRDefault="00EE56C0">
            <w:pPr>
              <w:pStyle w:val="afa"/>
            </w:pPr>
          </w:p>
        </w:tc>
        <w:tc>
          <w:tcPr>
            <w:tcW w:w="582" w:type="pct"/>
            <w:vMerge w:val="restart"/>
            <w:vAlign w:val="center"/>
          </w:tcPr>
          <w:p w:rsidR="00EE56C0" w:rsidRDefault="000F36A1">
            <w:pPr>
              <w:pStyle w:val="afa"/>
            </w:pPr>
            <w:r>
              <w:rPr>
                <w:rFonts w:hint="eastAsia"/>
              </w:rPr>
              <w:t>二甲苯</w:t>
            </w:r>
          </w:p>
        </w:tc>
        <w:tc>
          <w:tcPr>
            <w:tcW w:w="750" w:type="pct"/>
            <w:vAlign w:val="center"/>
          </w:tcPr>
          <w:p w:rsidR="00EE56C0" w:rsidRDefault="000F36A1">
            <w:pPr>
              <w:pStyle w:val="afa"/>
            </w:pPr>
            <w:r>
              <w:rPr>
                <w:rFonts w:hint="eastAsia"/>
              </w:rPr>
              <w:t>一期</w:t>
            </w:r>
          </w:p>
        </w:tc>
        <w:tc>
          <w:tcPr>
            <w:tcW w:w="832" w:type="pct"/>
            <w:vAlign w:val="center"/>
          </w:tcPr>
          <w:p w:rsidR="00EE56C0" w:rsidRDefault="000F36A1">
            <w:pPr>
              <w:pStyle w:val="afa"/>
              <w:rPr>
                <w:rFonts w:eastAsia="宋体"/>
              </w:rPr>
            </w:pPr>
            <w:r>
              <w:t xml:space="preserve">0.2244 </w:t>
            </w:r>
          </w:p>
        </w:tc>
        <w:tc>
          <w:tcPr>
            <w:tcW w:w="1178" w:type="pct"/>
            <w:vAlign w:val="center"/>
          </w:tcPr>
          <w:p w:rsidR="00EE56C0" w:rsidRDefault="000F36A1">
            <w:pPr>
              <w:pStyle w:val="afa"/>
              <w:rPr>
                <w:rFonts w:eastAsia="宋体"/>
              </w:rPr>
            </w:pPr>
            <w:r>
              <w:t xml:space="preserve">0.0796 </w:t>
            </w:r>
          </w:p>
        </w:tc>
        <w:tc>
          <w:tcPr>
            <w:tcW w:w="1177" w:type="pct"/>
            <w:vAlign w:val="center"/>
          </w:tcPr>
          <w:p w:rsidR="00EE56C0" w:rsidRDefault="000F36A1">
            <w:pPr>
              <w:pStyle w:val="afa"/>
              <w:rPr>
                <w:rFonts w:ascii="宋体" w:eastAsia="宋体" w:hAnsi="宋体" w:cs="宋体"/>
              </w:rPr>
            </w:pPr>
            <w:r>
              <w:rPr>
                <w:rFonts w:hint="eastAsia"/>
              </w:rPr>
              <w:t xml:space="preserve">0.3040 </w:t>
            </w:r>
          </w:p>
        </w:tc>
      </w:tr>
      <w:tr w:rsidR="00EE56C0">
        <w:trPr>
          <w:trHeight w:val="454"/>
        </w:trPr>
        <w:tc>
          <w:tcPr>
            <w:tcW w:w="481" w:type="pct"/>
            <w:vMerge/>
            <w:vAlign w:val="center"/>
          </w:tcPr>
          <w:p w:rsidR="00EE56C0" w:rsidRDefault="00EE56C0">
            <w:pPr>
              <w:pStyle w:val="afa"/>
            </w:pPr>
          </w:p>
        </w:tc>
        <w:tc>
          <w:tcPr>
            <w:tcW w:w="582" w:type="pct"/>
            <w:vMerge/>
            <w:vAlign w:val="center"/>
          </w:tcPr>
          <w:p w:rsidR="00EE56C0" w:rsidRDefault="00EE56C0">
            <w:pPr>
              <w:pStyle w:val="afa"/>
            </w:pPr>
          </w:p>
        </w:tc>
        <w:tc>
          <w:tcPr>
            <w:tcW w:w="750" w:type="pct"/>
            <w:vAlign w:val="center"/>
          </w:tcPr>
          <w:p w:rsidR="00EE56C0" w:rsidRDefault="000F36A1">
            <w:pPr>
              <w:pStyle w:val="afa"/>
            </w:pPr>
            <w:r>
              <w:rPr>
                <w:rFonts w:hint="eastAsia"/>
              </w:rPr>
              <w:t>二期</w:t>
            </w:r>
          </w:p>
        </w:tc>
        <w:tc>
          <w:tcPr>
            <w:tcW w:w="832" w:type="pct"/>
            <w:vAlign w:val="center"/>
          </w:tcPr>
          <w:p w:rsidR="00EE56C0" w:rsidRDefault="000F36A1">
            <w:pPr>
              <w:pStyle w:val="afa"/>
              <w:rPr>
                <w:rFonts w:eastAsia="宋体"/>
              </w:rPr>
            </w:pPr>
            <w:r>
              <w:t xml:space="preserve">0.1836 </w:t>
            </w:r>
          </w:p>
        </w:tc>
        <w:tc>
          <w:tcPr>
            <w:tcW w:w="1178" w:type="pct"/>
            <w:vAlign w:val="center"/>
          </w:tcPr>
          <w:p w:rsidR="00EE56C0" w:rsidRDefault="000F36A1">
            <w:pPr>
              <w:pStyle w:val="afa"/>
              <w:rPr>
                <w:rFonts w:eastAsia="宋体"/>
              </w:rPr>
            </w:pPr>
            <w:r>
              <w:t xml:space="preserve">0.1203 </w:t>
            </w:r>
          </w:p>
        </w:tc>
        <w:tc>
          <w:tcPr>
            <w:tcW w:w="1177" w:type="pct"/>
            <w:vAlign w:val="center"/>
          </w:tcPr>
          <w:p w:rsidR="00EE56C0" w:rsidRDefault="000F36A1">
            <w:pPr>
              <w:pStyle w:val="afa"/>
              <w:rPr>
                <w:rFonts w:ascii="宋体" w:eastAsia="宋体" w:hAnsi="宋体" w:cs="宋体"/>
              </w:rPr>
            </w:pPr>
            <w:r>
              <w:rPr>
                <w:rFonts w:hint="eastAsia"/>
              </w:rPr>
              <w:t xml:space="preserve">0.3039 </w:t>
            </w:r>
          </w:p>
        </w:tc>
      </w:tr>
      <w:tr w:rsidR="00EE56C0">
        <w:trPr>
          <w:trHeight w:val="454"/>
        </w:trPr>
        <w:tc>
          <w:tcPr>
            <w:tcW w:w="481" w:type="pct"/>
            <w:vMerge/>
            <w:vAlign w:val="center"/>
          </w:tcPr>
          <w:p w:rsidR="00EE56C0" w:rsidRDefault="00EE56C0">
            <w:pPr>
              <w:pStyle w:val="afa"/>
            </w:pPr>
          </w:p>
        </w:tc>
        <w:tc>
          <w:tcPr>
            <w:tcW w:w="582" w:type="pct"/>
            <w:vMerge/>
            <w:vAlign w:val="center"/>
          </w:tcPr>
          <w:p w:rsidR="00EE56C0" w:rsidRDefault="00EE56C0">
            <w:pPr>
              <w:pStyle w:val="afa"/>
            </w:pPr>
          </w:p>
        </w:tc>
        <w:tc>
          <w:tcPr>
            <w:tcW w:w="750" w:type="pct"/>
            <w:vAlign w:val="center"/>
          </w:tcPr>
          <w:p w:rsidR="00EE56C0" w:rsidRDefault="000F36A1">
            <w:pPr>
              <w:pStyle w:val="afa"/>
            </w:pPr>
            <w:r>
              <w:rPr>
                <w:rFonts w:hint="eastAsia"/>
              </w:rPr>
              <w:t>建成后</w:t>
            </w:r>
          </w:p>
        </w:tc>
        <w:tc>
          <w:tcPr>
            <w:tcW w:w="832" w:type="pct"/>
            <w:vAlign w:val="center"/>
          </w:tcPr>
          <w:p w:rsidR="00EE56C0" w:rsidRDefault="000F36A1">
            <w:pPr>
              <w:pStyle w:val="afa"/>
              <w:rPr>
                <w:rFonts w:ascii="宋体" w:eastAsia="宋体" w:hAnsi="宋体" w:cs="宋体"/>
              </w:rPr>
            </w:pPr>
            <w:r>
              <w:rPr>
                <w:rFonts w:hint="eastAsia"/>
              </w:rPr>
              <w:t xml:space="preserve">0.3040 </w:t>
            </w:r>
          </w:p>
        </w:tc>
        <w:tc>
          <w:tcPr>
            <w:tcW w:w="1178" w:type="pct"/>
            <w:vAlign w:val="center"/>
          </w:tcPr>
          <w:p w:rsidR="00EE56C0" w:rsidRDefault="000F36A1">
            <w:pPr>
              <w:pStyle w:val="afa"/>
              <w:rPr>
                <w:rFonts w:ascii="宋体" w:eastAsia="宋体" w:hAnsi="宋体" w:cs="宋体"/>
              </w:rPr>
            </w:pPr>
            <w:r>
              <w:rPr>
                <w:rFonts w:hint="eastAsia"/>
              </w:rPr>
              <w:t xml:space="preserve">0.3039 </w:t>
            </w:r>
          </w:p>
        </w:tc>
        <w:tc>
          <w:tcPr>
            <w:tcW w:w="1177" w:type="pct"/>
            <w:vAlign w:val="center"/>
          </w:tcPr>
          <w:p w:rsidR="00EE56C0" w:rsidRDefault="000F36A1">
            <w:pPr>
              <w:pStyle w:val="afa"/>
              <w:rPr>
                <w:rFonts w:ascii="宋体" w:eastAsia="宋体" w:hAnsi="宋体" w:cs="宋体"/>
              </w:rPr>
            </w:pPr>
            <w:r>
              <w:rPr>
                <w:rFonts w:hint="eastAsia"/>
              </w:rPr>
              <w:t>0.6079</w:t>
            </w:r>
          </w:p>
        </w:tc>
      </w:tr>
      <w:tr w:rsidR="00EE56C0">
        <w:trPr>
          <w:trHeight w:val="454"/>
        </w:trPr>
        <w:tc>
          <w:tcPr>
            <w:tcW w:w="481" w:type="pct"/>
            <w:vMerge/>
            <w:vAlign w:val="center"/>
          </w:tcPr>
          <w:p w:rsidR="00EE56C0" w:rsidRDefault="00EE56C0">
            <w:pPr>
              <w:pStyle w:val="afa"/>
            </w:pPr>
          </w:p>
        </w:tc>
        <w:tc>
          <w:tcPr>
            <w:tcW w:w="582" w:type="pct"/>
            <w:vMerge w:val="restart"/>
            <w:vAlign w:val="center"/>
          </w:tcPr>
          <w:p w:rsidR="00EE56C0" w:rsidRDefault="000F36A1">
            <w:pPr>
              <w:pStyle w:val="afa"/>
            </w:pPr>
            <w:r>
              <w:rPr>
                <w:rFonts w:hint="eastAsia"/>
              </w:rPr>
              <w:t>甲苯</w:t>
            </w:r>
          </w:p>
        </w:tc>
        <w:tc>
          <w:tcPr>
            <w:tcW w:w="750" w:type="pct"/>
            <w:vAlign w:val="center"/>
          </w:tcPr>
          <w:p w:rsidR="00EE56C0" w:rsidRDefault="000F36A1">
            <w:pPr>
              <w:pStyle w:val="afa"/>
            </w:pPr>
            <w:r>
              <w:rPr>
                <w:rFonts w:hint="eastAsia"/>
              </w:rPr>
              <w:t>一期</w:t>
            </w:r>
          </w:p>
        </w:tc>
        <w:tc>
          <w:tcPr>
            <w:tcW w:w="832" w:type="pct"/>
            <w:vAlign w:val="center"/>
          </w:tcPr>
          <w:p w:rsidR="00EE56C0" w:rsidRDefault="000F36A1">
            <w:pPr>
              <w:pStyle w:val="afa"/>
              <w:rPr>
                <w:rFonts w:eastAsia="宋体"/>
              </w:rPr>
            </w:pPr>
            <w:r>
              <w:t xml:space="preserve">0.2212 </w:t>
            </w:r>
          </w:p>
        </w:tc>
        <w:tc>
          <w:tcPr>
            <w:tcW w:w="1178" w:type="pct"/>
            <w:vAlign w:val="center"/>
          </w:tcPr>
          <w:p w:rsidR="00EE56C0" w:rsidRDefault="000F36A1">
            <w:pPr>
              <w:pStyle w:val="afa"/>
              <w:rPr>
                <w:rFonts w:eastAsia="宋体"/>
              </w:rPr>
            </w:pPr>
            <w:r>
              <w:t xml:space="preserve">0.0556 </w:t>
            </w:r>
          </w:p>
        </w:tc>
        <w:tc>
          <w:tcPr>
            <w:tcW w:w="1177" w:type="pct"/>
            <w:vAlign w:val="center"/>
          </w:tcPr>
          <w:p w:rsidR="00EE56C0" w:rsidRDefault="000F36A1">
            <w:pPr>
              <w:pStyle w:val="afa"/>
              <w:rPr>
                <w:rFonts w:ascii="宋体" w:eastAsia="宋体" w:hAnsi="宋体" w:cs="宋体"/>
              </w:rPr>
            </w:pPr>
            <w:r>
              <w:rPr>
                <w:rFonts w:hint="eastAsia"/>
              </w:rPr>
              <w:t xml:space="preserve">0.2768 </w:t>
            </w:r>
          </w:p>
        </w:tc>
      </w:tr>
      <w:tr w:rsidR="00EE56C0">
        <w:trPr>
          <w:trHeight w:val="454"/>
        </w:trPr>
        <w:tc>
          <w:tcPr>
            <w:tcW w:w="481" w:type="pct"/>
            <w:vMerge/>
            <w:vAlign w:val="center"/>
          </w:tcPr>
          <w:p w:rsidR="00EE56C0" w:rsidRDefault="00EE56C0">
            <w:pPr>
              <w:pStyle w:val="afa"/>
            </w:pPr>
          </w:p>
        </w:tc>
        <w:tc>
          <w:tcPr>
            <w:tcW w:w="582" w:type="pct"/>
            <w:vMerge/>
            <w:vAlign w:val="center"/>
          </w:tcPr>
          <w:p w:rsidR="00EE56C0" w:rsidRDefault="00EE56C0">
            <w:pPr>
              <w:pStyle w:val="afa"/>
            </w:pPr>
          </w:p>
        </w:tc>
        <w:tc>
          <w:tcPr>
            <w:tcW w:w="750" w:type="pct"/>
            <w:vAlign w:val="center"/>
          </w:tcPr>
          <w:p w:rsidR="00EE56C0" w:rsidRDefault="000F36A1">
            <w:pPr>
              <w:pStyle w:val="afa"/>
            </w:pPr>
            <w:r>
              <w:rPr>
                <w:rFonts w:hint="eastAsia"/>
              </w:rPr>
              <w:t>二期</w:t>
            </w:r>
          </w:p>
        </w:tc>
        <w:tc>
          <w:tcPr>
            <w:tcW w:w="832" w:type="pct"/>
            <w:vAlign w:val="center"/>
          </w:tcPr>
          <w:p w:rsidR="00EE56C0" w:rsidRDefault="000F36A1">
            <w:pPr>
              <w:pStyle w:val="afa"/>
              <w:rPr>
                <w:rFonts w:eastAsia="宋体"/>
              </w:rPr>
            </w:pPr>
            <w:r>
              <w:t xml:space="preserve">0.1746 </w:t>
            </w:r>
          </w:p>
        </w:tc>
        <w:tc>
          <w:tcPr>
            <w:tcW w:w="1178" w:type="pct"/>
            <w:vAlign w:val="center"/>
          </w:tcPr>
          <w:p w:rsidR="00EE56C0" w:rsidRDefault="000F36A1">
            <w:pPr>
              <w:pStyle w:val="afa"/>
              <w:rPr>
                <w:rFonts w:eastAsia="宋体"/>
              </w:rPr>
            </w:pPr>
            <w:r>
              <w:t xml:space="preserve">0.0439 </w:t>
            </w:r>
          </w:p>
        </w:tc>
        <w:tc>
          <w:tcPr>
            <w:tcW w:w="1177" w:type="pct"/>
            <w:vAlign w:val="center"/>
          </w:tcPr>
          <w:p w:rsidR="00EE56C0" w:rsidRDefault="000F36A1">
            <w:pPr>
              <w:pStyle w:val="afa"/>
              <w:rPr>
                <w:rFonts w:ascii="宋体" w:eastAsia="宋体" w:hAnsi="宋体" w:cs="宋体"/>
              </w:rPr>
            </w:pPr>
            <w:r>
              <w:rPr>
                <w:rFonts w:hint="eastAsia"/>
              </w:rPr>
              <w:t xml:space="preserve">0.2185 </w:t>
            </w:r>
          </w:p>
        </w:tc>
      </w:tr>
      <w:tr w:rsidR="00EE56C0">
        <w:trPr>
          <w:trHeight w:val="454"/>
        </w:trPr>
        <w:tc>
          <w:tcPr>
            <w:tcW w:w="481" w:type="pct"/>
            <w:vMerge/>
            <w:vAlign w:val="center"/>
          </w:tcPr>
          <w:p w:rsidR="00EE56C0" w:rsidRDefault="00EE56C0">
            <w:pPr>
              <w:pStyle w:val="afa"/>
            </w:pPr>
          </w:p>
        </w:tc>
        <w:tc>
          <w:tcPr>
            <w:tcW w:w="582" w:type="pct"/>
            <w:vMerge/>
            <w:vAlign w:val="center"/>
          </w:tcPr>
          <w:p w:rsidR="00EE56C0" w:rsidRDefault="00EE56C0">
            <w:pPr>
              <w:pStyle w:val="afa"/>
            </w:pPr>
          </w:p>
        </w:tc>
        <w:tc>
          <w:tcPr>
            <w:tcW w:w="750" w:type="pct"/>
            <w:vAlign w:val="center"/>
          </w:tcPr>
          <w:p w:rsidR="00EE56C0" w:rsidRDefault="000F36A1">
            <w:pPr>
              <w:pStyle w:val="afa"/>
            </w:pPr>
            <w:r>
              <w:rPr>
                <w:rFonts w:hint="eastAsia"/>
              </w:rPr>
              <w:t>建成后</w:t>
            </w:r>
          </w:p>
        </w:tc>
        <w:tc>
          <w:tcPr>
            <w:tcW w:w="832" w:type="pct"/>
            <w:vAlign w:val="center"/>
          </w:tcPr>
          <w:p w:rsidR="00EE56C0" w:rsidRDefault="000F36A1">
            <w:pPr>
              <w:pStyle w:val="afa"/>
              <w:rPr>
                <w:rFonts w:ascii="宋体" w:eastAsia="宋体" w:hAnsi="宋体" w:cs="宋体"/>
              </w:rPr>
            </w:pPr>
            <w:r>
              <w:rPr>
                <w:rFonts w:hint="eastAsia"/>
              </w:rPr>
              <w:t xml:space="preserve">0.2768 </w:t>
            </w:r>
          </w:p>
        </w:tc>
        <w:tc>
          <w:tcPr>
            <w:tcW w:w="1178" w:type="pct"/>
            <w:vAlign w:val="center"/>
          </w:tcPr>
          <w:p w:rsidR="00EE56C0" w:rsidRDefault="000F36A1">
            <w:pPr>
              <w:pStyle w:val="afa"/>
              <w:rPr>
                <w:rFonts w:ascii="宋体" w:eastAsia="宋体" w:hAnsi="宋体" w:cs="宋体"/>
              </w:rPr>
            </w:pPr>
            <w:r>
              <w:rPr>
                <w:rFonts w:hint="eastAsia"/>
              </w:rPr>
              <w:t xml:space="preserve">0.2185 </w:t>
            </w:r>
          </w:p>
        </w:tc>
        <w:tc>
          <w:tcPr>
            <w:tcW w:w="1177" w:type="pct"/>
            <w:vAlign w:val="center"/>
          </w:tcPr>
          <w:p w:rsidR="00EE56C0" w:rsidRDefault="000F36A1">
            <w:pPr>
              <w:pStyle w:val="afa"/>
              <w:rPr>
                <w:rFonts w:ascii="宋体" w:eastAsia="宋体" w:hAnsi="宋体" w:cs="宋体"/>
              </w:rPr>
            </w:pPr>
            <w:r>
              <w:rPr>
                <w:rFonts w:hint="eastAsia"/>
              </w:rPr>
              <w:t>0.4953</w:t>
            </w:r>
          </w:p>
        </w:tc>
      </w:tr>
      <w:tr w:rsidR="00EE56C0">
        <w:trPr>
          <w:trHeight w:val="454"/>
        </w:trPr>
        <w:tc>
          <w:tcPr>
            <w:tcW w:w="481" w:type="pct"/>
            <w:vMerge/>
            <w:vAlign w:val="center"/>
          </w:tcPr>
          <w:p w:rsidR="00EE56C0" w:rsidRDefault="00EE56C0">
            <w:pPr>
              <w:pStyle w:val="afa"/>
            </w:pPr>
          </w:p>
        </w:tc>
        <w:tc>
          <w:tcPr>
            <w:tcW w:w="582" w:type="pct"/>
            <w:vMerge w:val="restart"/>
            <w:vAlign w:val="center"/>
          </w:tcPr>
          <w:p w:rsidR="00EE56C0" w:rsidRDefault="000F36A1">
            <w:pPr>
              <w:pStyle w:val="afa"/>
            </w:pPr>
            <w:r>
              <w:rPr>
                <w:rFonts w:hint="eastAsia"/>
              </w:rPr>
              <w:t>苯</w:t>
            </w:r>
          </w:p>
        </w:tc>
        <w:tc>
          <w:tcPr>
            <w:tcW w:w="750" w:type="pct"/>
            <w:vAlign w:val="center"/>
          </w:tcPr>
          <w:p w:rsidR="00EE56C0" w:rsidRDefault="000F36A1">
            <w:pPr>
              <w:pStyle w:val="afa"/>
            </w:pPr>
            <w:r>
              <w:rPr>
                <w:rFonts w:hint="eastAsia"/>
              </w:rPr>
              <w:t>一期</w:t>
            </w:r>
          </w:p>
        </w:tc>
        <w:tc>
          <w:tcPr>
            <w:tcW w:w="832" w:type="pct"/>
            <w:vAlign w:val="center"/>
          </w:tcPr>
          <w:p w:rsidR="00EE56C0" w:rsidRDefault="000F36A1">
            <w:pPr>
              <w:pStyle w:val="afa"/>
              <w:rPr>
                <w:rFonts w:eastAsia="宋体"/>
              </w:rPr>
            </w:pPr>
            <w:r>
              <w:t xml:space="preserve">0.0737 </w:t>
            </w:r>
          </w:p>
        </w:tc>
        <w:tc>
          <w:tcPr>
            <w:tcW w:w="1178" w:type="pct"/>
            <w:vAlign w:val="center"/>
          </w:tcPr>
          <w:p w:rsidR="00EE56C0" w:rsidRDefault="000F36A1">
            <w:pPr>
              <w:pStyle w:val="afa"/>
              <w:rPr>
                <w:rFonts w:eastAsia="宋体"/>
              </w:rPr>
            </w:pPr>
            <w:r>
              <w:t xml:space="preserve">0.0185 </w:t>
            </w:r>
          </w:p>
        </w:tc>
        <w:tc>
          <w:tcPr>
            <w:tcW w:w="1177" w:type="pct"/>
            <w:vAlign w:val="center"/>
          </w:tcPr>
          <w:p w:rsidR="00EE56C0" w:rsidRDefault="000F36A1">
            <w:pPr>
              <w:pStyle w:val="afa"/>
              <w:rPr>
                <w:rFonts w:ascii="宋体" w:eastAsia="宋体" w:hAnsi="宋体" w:cs="宋体"/>
              </w:rPr>
            </w:pPr>
            <w:r>
              <w:rPr>
                <w:rFonts w:hint="eastAsia"/>
              </w:rPr>
              <w:t xml:space="preserve">0.0923 </w:t>
            </w:r>
          </w:p>
        </w:tc>
      </w:tr>
      <w:tr w:rsidR="00EE56C0">
        <w:trPr>
          <w:trHeight w:val="454"/>
        </w:trPr>
        <w:tc>
          <w:tcPr>
            <w:tcW w:w="481" w:type="pct"/>
            <w:vMerge/>
            <w:vAlign w:val="center"/>
          </w:tcPr>
          <w:p w:rsidR="00EE56C0" w:rsidRDefault="00EE56C0">
            <w:pPr>
              <w:pStyle w:val="afa"/>
            </w:pPr>
          </w:p>
        </w:tc>
        <w:tc>
          <w:tcPr>
            <w:tcW w:w="582" w:type="pct"/>
            <w:vMerge/>
            <w:vAlign w:val="center"/>
          </w:tcPr>
          <w:p w:rsidR="00EE56C0" w:rsidRDefault="00EE56C0">
            <w:pPr>
              <w:pStyle w:val="afa"/>
            </w:pPr>
          </w:p>
        </w:tc>
        <w:tc>
          <w:tcPr>
            <w:tcW w:w="750" w:type="pct"/>
            <w:vAlign w:val="center"/>
          </w:tcPr>
          <w:p w:rsidR="00EE56C0" w:rsidRDefault="000F36A1">
            <w:pPr>
              <w:pStyle w:val="afa"/>
            </w:pPr>
            <w:r>
              <w:rPr>
                <w:rFonts w:hint="eastAsia"/>
              </w:rPr>
              <w:t>二期</w:t>
            </w:r>
          </w:p>
        </w:tc>
        <w:tc>
          <w:tcPr>
            <w:tcW w:w="832" w:type="pct"/>
            <w:vAlign w:val="center"/>
          </w:tcPr>
          <w:p w:rsidR="00EE56C0" w:rsidRDefault="000F36A1">
            <w:pPr>
              <w:pStyle w:val="afa"/>
              <w:rPr>
                <w:rFonts w:eastAsia="宋体"/>
              </w:rPr>
            </w:pPr>
            <w:r>
              <w:t xml:space="preserve">0.0582 </w:t>
            </w:r>
          </w:p>
        </w:tc>
        <w:tc>
          <w:tcPr>
            <w:tcW w:w="1178" w:type="pct"/>
            <w:vAlign w:val="center"/>
          </w:tcPr>
          <w:p w:rsidR="00EE56C0" w:rsidRDefault="000F36A1">
            <w:pPr>
              <w:pStyle w:val="afa"/>
              <w:rPr>
                <w:rFonts w:eastAsia="宋体"/>
              </w:rPr>
            </w:pPr>
            <w:r>
              <w:t xml:space="preserve">0.0146 </w:t>
            </w:r>
          </w:p>
        </w:tc>
        <w:tc>
          <w:tcPr>
            <w:tcW w:w="1177" w:type="pct"/>
            <w:vAlign w:val="center"/>
          </w:tcPr>
          <w:p w:rsidR="00EE56C0" w:rsidRDefault="000F36A1">
            <w:pPr>
              <w:pStyle w:val="afa"/>
              <w:rPr>
                <w:rFonts w:ascii="宋体" w:eastAsia="宋体" w:hAnsi="宋体" w:cs="宋体"/>
              </w:rPr>
            </w:pPr>
            <w:r>
              <w:rPr>
                <w:rFonts w:hint="eastAsia"/>
              </w:rPr>
              <w:t xml:space="preserve">0.0728 </w:t>
            </w:r>
          </w:p>
        </w:tc>
      </w:tr>
      <w:tr w:rsidR="00EE56C0">
        <w:trPr>
          <w:trHeight w:val="454"/>
        </w:trPr>
        <w:tc>
          <w:tcPr>
            <w:tcW w:w="481" w:type="pct"/>
            <w:vMerge/>
            <w:vAlign w:val="center"/>
          </w:tcPr>
          <w:p w:rsidR="00EE56C0" w:rsidRDefault="00EE56C0">
            <w:pPr>
              <w:pStyle w:val="afa"/>
              <w:rPr>
                <w:highlight w:val="yellow"/>
              </w:rPr>
            </w:pPr>
          </w:p>
        </w:tc>
        <w:tc>
          <w:tcPr>
            <w:tcW w:w="582" w:type="pct"/>
            <w:vMerge/>
            <w:vAlign w:val="center"/>
          </w:tcPr>
          <w:p w:rsidR="00EE56C0" w:rsidRDefault="00EE56C0">
            <w:pPr>
              <w:pStyle w:val="afa"/>
              <w:rPr>
                <w:highlight w:val="yellow"/>
              </w:rPr>
            </w:pPr>
          </w:p>
        </w:tc>
        <w:tc>
          <w:tcPr>
            <w:tcW w:w="750" w:type="pct"/>
            <w:vAlign w:val="center"/>
          </w:tcPr>
          <w:p w:rsidR="00EE56C0" w:rsidRDefault="000F36A1">
            <w:pPr>
              <w:pStyle w:val="afa"/>
            </w:pPr>
            <w:r>
              <w:rPr>
                <w:rFonts w:hint="eastAsia"/>
              </w:rPr>
              <w:t>建成后</w:t>
            </w:r>
          </w:p>
        </w:tc>
        <w:tc>
          <w:tcPr>
            <w:tcW w:w="832" w:type="pct"/>
            <w:vAlign w:val="center"/>
          </w:tcPr>
          <w:p w:rsidR="00EE56C0" w:rsidRDefault="000F36A1">
            <w:pPr>
              <w:pStyle w:val="afa"/>
              <w:rPr>
                <w:rFonts w:ascii="宋体" w:eastAsia="宋体" w:hAnsi="宋体" w:cs="宋体"/>
              </w:rPr>
            </w:pPr>
            <w:r>
              <w:rPr>
                <w:rFonts w:hint="eastAsia"/>
              </w:rPr>
              <w:t xml:space="preserve">0.0923 </w:t>
            </w:r>
          </w:p>
        </w:tc>
        <w:tc>
          <w:tcPr>
            <w:tcW w:w="1178" w:type="pct"/>
            <w:vAlign w:val="center"/>
          </w:tcPr>
          <w:p w:rsidR="00EE56C0" w:rsidRDefault="000F36A1">
            <w:pPr>
              <w:pStyle w:val="afa"/>
              <w:rPr>
                <w:rFonts w:ascii="宋体" w:eastAsia="宋体" w:hAnsi="宋体" w:cs="宋体"/>
              </w:rPr>
            </w:pPr>
            <w:r>
              <w:rPr>
                <w:rFonts w:hint="eastAsia"/>
              </w:rPr>
              <w:t xml:space="preserve">0.0728 </w:t>
            </w:r>
          </w:p>
        </w:tc>
        <w:tc>
          <w:tcPr>
            <w:tcW w:w="1177" w:type="pct"/>
            <w:vAlign w:val="center"/>
          </w:tcPr>
          <w:p w:rsidR="00EE56C0" w:rsidRDefault="000F36A1">
            <w:pPr>
              <w:pStyle w:val="afa"/>
              <w:rPr>
                <w:rFonts w:ascii="宋体" w:eastAsia="宋体" w:hAnsi="宋体" w:cs="宋体"/>
              </w:rPr>
            </w:pPr>
            <w:r>
              <w:rPr>
                <w:rFonts w:hint="eastAsia"/>
              </w:rPr>
              <w:t>0.1651</w:t>
            </w:r>
          </w:p>
        </w:tc>
      </w:tr>
      <w:tr w:rsidR="00EE56C0">
        <w:trPr>
          <w:trHeight w:val="454"/>
        </w:trPr>
        <w:tc>
          <w:tcPr>
            <w:tcW w:w="481" w:type="pct"/>
            <w:vMerge/>
            <w:vAlign w:val="center"/>
          </w:tcPr>
          <w:p w:rsidR="00EE56C0" w:rsidRDefault="00EE56C0">
            <w:pPr>
              <w:pStyle w:val="afa"/>
            </w:pPr>
          </w:p>
        </w:tc>
        <w:tc>
          <w:tcPr>
            <w:tcW w:w="1332" w:type="pct"/>
            <w:gridSpan w:val="2"/>
            <w:vAlign w:val="center"/>
          </w:tcPr>
          <w:p w:rsidR="00EE56C0" w:rsidRDefault="000F36A1">
            <w:pPr>
              <w:pStyle w:val="afa"/>
            </w:pPr>
            <w:r>
              <w:rPr>
                <w:rFonts w:hint="eastAsia"/>
              </w:rPr>
              <w:t>总计</w:t>
            </w:r>
          </w:p>
        </w:tc>
        <w:tc>
          <w:tcPr>
            <w:tcW w:w="832" w:type="pct"/>
            <w:vAlign w:val="center"/>
          </w:tcPr>
          <w:p w:rsidR="00EE56C0" w:rsidRDefault="000F36A1">
            <w:pPr>
              <w:pStyle w:val="afa"/>
              <w:rPr>
                <w:rFonts w:ascii="宋体" w:eastAsia="宋体" w:hAnsi="宋体" w:cs="宋体"/>
              </w:rPr>
            </w:pPr>
            <w:r>
              <w:rPr>
                <w:rFonts w:hint="eastAsia"/>
              </w:rPr>
              <w:t xml:space="preserve">1.1809 </w:t>
            </w:r>
          </w:p>
        </w:tc>
        <w:tc>
          <w:tcPr>
            <w:tcW w:w="1178" w:type="pct"/>
            <w:vAlign w:val="center"/>
          </w:tcPr>
          <w:p w:rsidR="00EE56C0" w:rsidRDefault="000F36A1">
            <w:pPr>
              <w:pStyle w:val="afa"/>
              <w:rPr>
                <w:rFonts w:ascii="宋体" w:eastAsia="宋体" w:hAnsi="宋体" w:cs="宋体"/>
              </w:rPr>
            </w:pPr>
            <w:r>
              <w:rPr>
                <w:rFonts w:hint="eastAsia"/>
              </w:rPr>
              <w:t xml:space="preserve">2.0171 </w:t>
            </w:r>
          </w:p>
        </w:tc>
        <w:tc>
          <w:tcPr>
            <w:tcW w:w="1177" w:type="pct"/>
            <w:vAlign w:val="center"/>
          </w:tcPr>
          <w:p w:rsidR="00EE56C0" w:rsidRDefault="000F36A1">
            <w:pPr>
              <w:pStyle w:val="afa"/>
              <w:rPr>
                <w:rFonts w:ascii="宋体" w:eastAsia="宋体" w:hAnsi="宋体" w:cs="宋体"/>
              </w:rPr>
            </w:pPr>
            <w:r>
              <w:rPr>
                <w:rFonts w:hint="eastAsia"/>
              </w:rPr>
              <w:t>3.198</w:t>
            </w:r>
          </w:p>
        </w:tc>
      </w:tr>
    </w:tbl>
    <w:p w:rsidR="00EE56C0" w:rsidRDefault="000F36A1">
      <w:pPr>
        <w:pStyle w:val="2"/>
        <w:ind w:firstLine="301"/>
      </w:pPr>
      <w:bookmarkStart w:id="440" w:name="_Toc25400932"/>
      <w:r>
        <w:rPr>
          <w:rFonts w:hint="eastAsia"/>
        </w:rPr>
        <w:t>6.9</w:t>
      </w:r>
      <w:r>
        <w:rPr>
          <w:rFonts w:hint="eastAsia"/>
        </w:rPr>
        <w:t>污染物排放情况汇总</w:t>
      </w:r>
      <w:bookmarkEnd w:id="440"/>
    </w:p>
    <w:p w:rsidR="00EE56C0" w:rsidRDefault="000F36A1">
      <w:pPr>
        <w:ind w:firstLine="480"/>
        <w:sectPr w:rsidR="00EE56C0">
          <w:pgSz w:w="11907" w:h="16840"/>
          <w:pgMar w:top="1440" w:right="1797" w:bottom="1440" w:left="1797" w:header="907" w:footer="907" w:gutter="0"/>
          <w:cols w:space="720"/>
          <w:docGrid w:linePitch="380"/>
        </w:sectPr>
      </w:pPr>
      <w:r>
        <w:rPr>
          <w:rFonts w:hint="eastAsia"/>
        </w:rPr>
        <w:t>本项目建成后全厂污染物产排情况见表</w:t>
      </w:r>
      <w:r>
        <w:rPr>
          <w:rFonts w:hint="eastAsia"/>
        </w:rPr>
        <w:t>6-</w:t>
      </w:r>
      <w:r w:rsidR="005767FB">
        <w:rPr>
          <w:rFonts w:hint="eastAsia"/>
        </w:rPr>
        <w:t>15</w:t>
      </w:r>
      <w:r>
        <w:rPr>
          <w:rFonts w:hint="eastAsia"/>
        </w:rPr>
        <w:t>。</w:t>
      </w:r>
    </w:p>
    <w:p w:rsidR="00EE56C0" w:rsidRPr="00835036" w:rsidRDefault="000F36A1">
      <w:pPr>
        <w:pStyle w:val="afd"/>
        <w:spacing w:before="120" w:after="120"/>
        <w:ind w:firstLine="482"/>
        <w:rPr>
          <w:u w:val="single"/>
        </w:rPr>
      </w:pPr>
      <w:r w:rsidRPr="00835036">
        <w:rPr>
          <w:rFonts w:hint="eastAsia"/>
          <w:kern w:val="0"/>
          <w:u w:val="single"/>
        </w:rPr>
        <w:lastRenderedPageBreak/>
        <w:t>表</w:t>
      </w:r>
      <w:r w:rsidRPr="00835036">
        <w:rPr>
          <w:rFonts w:hint="eastAsia"/>
          <w:kern w:val="0"/>
          <w:u w:val="single"/>
        </w:rPr>
        <w:t>6-</w:t>
      </w:r>
      <w:r w:rsidR="005767FB" w:rsidRPr="00835036">
        <w:rPr>
          <w:rFonts w:hint="eastAsia"/>
          <w:kern w:val="0"/>
          <w:u w:val="single"/>
        </w:rPr>
        <w:t>15</w:t>
      </w:r>
      <w:r w:rsidR="00E80211" w:rsidRPr="00835036">
        <w:rPr>
          <w:rFonts w:hint="eastAsia"/>
          <w:kern w:val="0"/>
          <w:u w:val="single"/>
        </w:rPr>
        <w:t xml:space="preserve">               </w:t>
      </w:r>
      <w:r w:rsidRPr="00835036">
        <w:rPr>
          <w:rFonts w:eastAsia="黑体" w:hAnsi="黑体"/>
          <w:spacing w:val="20"/>
          <w:u w:val="single"/>
        </w:rPr>
        <w:t>本项</w:t>
      </w:r>
      <w:r w:rsidRPr="00835036">
        <w:rPr>
          <w:u w:val="single"/>
        </w:rPr>
        <w:t>目</w:t>
      </w:r>
      <w:r w:rsidRPr="00835036">
        <w:rPr>
          <w:rFonts w:eastAsia="黑体" w:hAnsi="黑体"/>
          <w:spacing w:val="20"/>
          <w:u w:val="single"/>
        </w:rPr>
        <w:t>建成后全厂主要污染物排放三笔账</w:t>
      </w:r>
      <w:r w:rsidR="00E80211" w:rsidRPr="00835036">
        <w:rPr>
          <w:rFonts w:eastAsia="黑体" w:hAnsi="黑体" w:hint="eastAsia"/>
          <w:spacing w:val="20"/>
          <w:u w:val="single"/>
        </w:rPr>
        <w:t xml:space="preserve">                  </w:t>
      </w:r>
      <w:r w:rsidRPr="00835036">
        <w:rPr>
          <w:rFonts w:eastAsia="黑体" w:hAnsi="黑体"/>
          <w:spacing w:val="20"/>
          <w:u w:val="single"/>
        </w:rPr>
        <w:t>单位：</w:t>
      </w:r>
      <w:r w:rsidRPr="00835036">
        <w:rPr>
          <w:rFonts w:eastAsia="黑体"/>
          <w:spacing w:val="20"/>
          <w:u w:val="single"/>
        </w:rPr>
        <w:t>t/a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2"/>
        <w:gridCol w:w="1732"/>
        <w:gridCol w:w="1426"/>
        <w:gridCol w:w="1228"/>
        <w:gridCol w:w="1276"/>
        <w:gridCol w:w="1120"/>
        <w:gridCol w:w="1406"/>
        <w:gridCol w:w="1585"/>
        <w:gridCol w:w="1559"/>
        <w:gridCol w:w="2302"/>
      </w:tblGrid>
      <w:tr w:rsidR="00EE56C0">
        <w:trPr>
          <w:trHeight w:val="397"/>
        </w:trPr>
        <w:tc>
          <w:tcPr>
            <w:tcW w:w="802" w:type="pct"/>
            <w:gridSpan w:val="2"/>
            <w:vMerge w:val="restart"/>
            <w:tcBorders>
              <w:top w:val="single" w:sz="4" w:space="0" w:color="auto"/>
              <w:left w:val="single" w:sz="4" w:space="0" w:color="auto"/>
              <w:right w:val="single" w:sz="4" w:space="0" w:color="auto"/>
            </w:tcBorders>
            <w:vAlign w:val="center"/>
          </w:tcPr>
          <w:p w:rsidR="00EE56C0" w:rsidRDefault="000F36A1">
            <w:pPr>
              <w:pStyle w:val="afa"/>
              <w:rPr>
                <w:b/>
              </w:rPr>
            </w:pPr>
            <w:r>
              <w:rPr>
                <w:rFonts w:hint="eastAsia"/>
                <w:b/>
              </w:rPr>
              <w:t>污染物</w:t>
            </w:r>
          </w:p>
        </w:tc>
        <w:tc>
          <w:tcPr>
            <w:tcW w:w="503" w:type="pct"/>
            <w:vMerge w:val="restart"/>
            <w:tcBorders>
              <w:top w:val="single" w:sz="4" w:space="0" w:color="auto"/>
              <w:left w:val="single" w:sz="4" w:space="0" w:color="auto"/>
              <w:right w:val="single" w:sz="4" w:space="0" w:color="auto"/>
            </w:tcBorders>
            <w:vAlign w:val="center"/>
          </w:tcPr>
          <w:p w:rsidR="00EE56C0" w:rsidRDefault="000F36A1">
            <w:pPr>
              <w:pStyle w:val="afa"/>
              <w:rPr>
                <w:b/>
              </w:rPr>
            </w:pPr>
            <w:r>
              <w:rPr>
                <w:rFonts w:hint="eastAsia"/>
                <w:b/>
              </w:rPr>
              <w:t>现有工程</w:t>
            </w:r>
          </w:p>
        </w:tc>
        <w:tc>
          <w:tcPr>
            <w:tcW w:w="1278" w:type="pct"/>
            <w:gridSpan w:val="3"/>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b/>
              </w:rPr>
            </w:pPr>
            <w:r>
              <w:rPr>
                <w:rFonts w:hint="eastAsia"/>
                <w:b/>
              </w:rPr>
              <w:t>本工程</w:t>
            </w:r>
          </w:p>
        </w:tc>
        <w:tc>
          <w:tcPr>
            <w:tcW w:w="496" w:type="pct"/>
            <w:vMerge w:val="restart"/>
            <w:tcBorders>
              <w:top w:val="single" w:sz="4" w:space="0" w:color="auto"/>
              <w:left w:val="single" w:sz="4" w:space="0" w:color="auto"/>
              <w:right w:val="single" w:sz="4" w:space="0" w:color="auto"/>
            </w:tcBorders>
            <w:vAlign w:val="center"/>
          </w:tcPr>
          <w:p w:rsidR="00EE56C0" w:rsidRDefault="000F36A1">
            <w:pPr>
              <w:pStyle w:val="afa"/>
              <w:rPr>
                <w:b/>
              </w:rPr>
            </w:pPr>
            <w:r>
              <w:rPr>
                <w:rFonts w:hint="eastAsia"/>
                <w:b/>
              </w:rPr>
              <w:t>以新带老削减量</w:t>
            </w:r>
          </w:p>
        </w:tc>
        <w:tc>
          <w:tcPr>
            <w:tcW w:w="1109" w:type="pct"/>
            <w:gridSpan w:val="2"/>
            <w:tcBorders>
              <w:top w:val="single" w:sz="4" w:space="0" w:color="auto"/>
              <w:left w:val="single" w:sz="4" w:space="0" w:color="auto"/>
              <w:right w:val="single" w:sz="4" w:space="0" w:color="auto"/>
            </w:tcBorders>
            <w:vAlign w:val="center"/>
          </w:tcPr>
          <w:p w:rsidR="00EE56C0" w:rsidRDefault="000F36A1">
            <w:pPr>
              <w:pStyle w:val="afa"/>
              <w:rPr>
                <w:b/>
              </w:rPr>
            </w:pPr>
            <w:r>
              <w:rPr>
                <w:rFonts w:hint="eastAsia"/>
                <w:b/>
              </w:rPr>
              <w:t>总体工程</w:t>
            </w:r>
          </w:p>
        </w:tc>
        <w:tc>
          <w:tcPr>
            <w:tcW w:w="812" w:type="pct"/>
            <w:vMerge w:val="restart"/>
            <w:tcBorders>
              <w:top w:val="single" w:sz="4" w:space="0" w:color="auto"/>
              <w:left w:val="single" w:sz="4" w:space="0" w:color="auto"/>
              <w:right w:val="single" w:sz="4" w:space="0" w:color="auto"/>
            </w:tcBorders>
            <w:vAlign w:val="center"/>
          </w:tcPr>
          <w:p w:rsidR="00EE56C0" w:rsidRDefault="000F36A1">
            <w:pPr>
              <w:pStyle w:val="afa"/>
              <w:rPr>
                <w:b/>
              </w:rPr>
            </w:pPr>
            <w:r>
              <w:rPr>
                <w:rFonts w:hint="eastAsia"/>
                <w:b/>
              </w:rPr>
              <w:t>排放增减量</w:t>
            </w:r>
          </w:p>
        </w:tc>
      </w:tr>
      <w:tr w:rsidR="00EE56C0">
        <w:trPr>
          <w:trHeight w:val="397"/>
        </w:trPr>
        <w:tc>
          <w:tcPr>
            <w:tcW w:w="802" w:type="pct"/>
            <w:gridSpan w:val="2"/>
            <w:vMerge/>
            <w:tcBorders>
              <w:left w:val="single" w:sz="4" w:space="0" w:color="auto"/>
              <w:right w:val="single" w:sz="4" w:space="0" w:color="auto"/>
            </w:tcBorders>
            <w:vAlign w:val="center"/>
          </w:tcPr>
          <w:p w:rsidR="00EE56C0" w:rsidRDefault="00EE56C0">
            <w:pPr>
              <w:pStyle w:val="afa"/>
              <w:rPr>
                <w:b/>
              </w:rPr>
            </w:pPr>
          </w:p>
        </w:tc>
        <w:tc>
          <w:tcPr>
            <w:tcW w:w="503" w:type="pct"/>
            <w:vMerge/>
            <w:tcBorders>
              <w:left w:val="single" w:sz="4" w:space="0" w:color="auto"/>
              <w:right w:val="single" w:sz="4" w:space="0" w:color="auto"/>
            </w:tcBorders>
            <w:vAlign w:val="center"/>
          </w:tcPr>
          <w:p w:rsidR="00EE56C0" w:rsidRDefault="00EE56C0">
            <w:pPr>
              <w:pStyle w:val="afa"/>
              <w:rPr>
                <w:b/>
              </w:rPr>
            </w:pPr>
          </w:p>
        </w:tc>
        <w:tc>
          <w:tcPr>
            <w:tcW w:w="433" w:type="pct"/>
            <w:tcBorders>
              <w:top w:val="single" w:sz="4" w:space="0" w:color="auto"/>
              <w:left w:val="single" w:sz="4" w:space="0" w:color="auto"/>
              <w:right w:val="single" w:sz="4" w:space="0" w:color="auto"/>
            </w:tcBorders>
            <w:vAlign w:val="center"/>
          </w:tcPr>
          <w:p w:rsidR="00EE56C0" w:rsidRDefault="000F36A1">
            <w:pPr>
              <w:pStyle w:val="afa"/>
              <w:rPr>
                <w:b/>
              </w:rPr>
            </w:pPr>
            <w:r>
              <w:rPr>
                <w:rFonts w:hint="eastAsia"/>
                <w:b/>
              </w:rPr>
              <w:t>一期</w:t>
            </w:r>
          </w:p>
        </w:tc>
        <w:tc>
          <w:tcPr>
            <w:tcW w:w="450" w:type="pct"/>
            <w:tcBorders>
              <w:left w:val="single" w:sz="4" w:space="0" w:color="auto"/>
              <w:right w:val="single" w:sz="4" w:space="0" w:color="auto"/>
            </w:tcBorders>
            <w:vAlign w:val="center"/>
          </w:tcPr>
          <w:p w:rsidR="00EE56C0" w:rsidRDefault="000F36A1">
            <w:pPr>
              <w:pStyle w:val="afa"/>
              <w:rPr>
                <w:b/>
              </w:rPr>
            </w:pPr>
            <w:r>
              <w:rPr>
                <w:rFonts w:hint="eastAsia"/>
                <w:b/>
              </w:rPr>
              <w:t>二期</w:t>
            </w:r>
          </w:p>
        </w:tc>
        <w:tc>
          <w:tcPr>
            <w:tcW w:w="395" w:type="pct"/>
            <w:tcBorders>
              <w:left w:val="single" w:sz="4" w:space="0" w:color="auto"/>
              <w:right w:val="single" w:sz="4" w:space="0" w:color="auto"/>
            </w:tcBorders>
            <w:vAlign w:val="center"/>
          </w:tcPr>
          <w:p w:rsidR="00EE56C0" w:rsidRDefault="000F36A1">
            <w:pPr>
              <w:pStyle w:val="afa"/>
              <w:rPr>
                <w:b/>
              </w:rPr>
            </w:pPr>
            <w:r>
              <w:rPr>
                <w:rFonts w:hint="eastAsia"/>
                <w:b/>
              </w:rPr>
              <w:t>达产后</w:t>
            </w:r>
          </w:p>
        </w:tc>
        <w:tc>
          <w:tcPr>
            <w:tcW w:w="496" w:type="pct"/>
            <w:vMerge/>
            <w:tcBorders>
              <w:left w:val="single" w:sz="4" w:space="0" w:color="auto"/>
              <w:right w:val="single" w:sz="4" w:space="0" w:color="auto"/>
            </w:tcBorders>
            <w:vAlign w:val="center"/>
          </w:tcPr>
          <w:p w:rsidR="00EE56C0" w:rsidRDefault="00EE56C0">
            <w:pPr>
              <w:pStyle w:val="afa"/>
              <w:rPr>
                <w:b/>
              </w:rPr>
            </w:pPr>
          </w:p>
        </w:tc>
        <w:tc>
          <w:tcPr>
            <w:tcW w:w="559" w:type="pct"/>
            <w:tcBorders>
              <w:left w:val="single" w:sz="4" w:space="0" w:color="auto"/>
              <w:right w:val="single" w:sz="4" w:space="0" w:color="auto"/>
            </w:tcBorders>
            <w:vAlign w:val="center"/>
          </w:tcPr>
          <w:p w:rsidR="00EE56C0" w:rsidRDefault="000F36A1">
            <w:pPr>
              <w:pStyle w:val="afa"/>
              <w:rPr>
                <w:b/>
              </w:rPr>
            </w:pPr>
            <w:r>
              <w:rPr>
                <w:rFonts w:hint="eastAsia"/>
                <w:b/>
              </w:rPr>
              <w:t>达产后全厂排放量</w:t>
            </w:r>
          </w:p>
        </w:tc>
        <w:tc>
          <w:tcPr>
            <w:tcW w:w="550" w:type="pct"/>
            <w:tcBorders>
              <w:left w:val="single" w:sz="4" w:space="0" w:color="auto"/>
              <w:right w:val="single" w:sz="4" w:space="0" w:color="auto"/>
            </w:tcBorders>
            <w:vAlign w:val="center"/>
          </w:tcPr>
          <w:p w:rsidR="00EE56C0" w:rsidRDefault="000F36A1">
            <w:pPr>
              <w:pStyle w:val="afa"/>
              <w:rPr>
                <w:b/>
              </w:rPr>
            </w:pPr>
            <w:r>
              <w:rPr>
                <w:rFonts w:hint="eastAsia"/>
                <w:b/>
              </w:rPr>
              <w:t>排入环境量</w:t>
            </w:r>
          </w:p>
        </w:tc>
        <w:tc>
          <w:tcPr>
            <w:tcW w:w="812" w:type="pct"/>
            <w:vMerge/>
            <w:tcBorders>
              <w:left w:val="single" w:sz="4" w:space="0" w:color="auto"/>
              <w:right w:val="single" w:sz="4" w:space="0" w:color="auto"/>
            </w:tcBorders>
            <w:vAlign w:val="center"/>
          </w:tcPr>
          <w:p w:rsidR="00EE56C0" w:rsidRDefault="00EE56C0">
            <w:pPr>
              <w:pStyle w:val="afa"/>
              <w:rPr>
                <w:b/>
              </w:rPr>
            </w:pPr>
          </w:p>
        </w:tc>
      </w:tr>
      <w:tr w:rsidR="00EE56C0">
        <w:trPr>
          <w:trHeight w:val="397"/>
        </w:trPr>
        <w:tc>
          <w:tcPr>
            <w:tcW w:w="191" w:type="pct"/>
            <w:vMerge w:val="restart"/>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rPr>
                <w:rFonts w:hint="eastAsia"/>
              </w:rPr>
              <w:t>废水</w:t>
            </w:r>
          </w:p>
        </w:tc>
        <w:tc>
          <w:tcPr>
            <w:tcW w:w="611"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t>COD</w:t>
            </w:r>
          </w:p>
        </w:tc>
        <w:tc>
          <w:tcPr>
            <w:tcW w:w="503"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lang w:val="pt-BR"/>
              </w:rPr>
            </w:pPr>
            <w:r>
              <w:rPr>
                <w:rFonts w:hint="eastAsia"/>
              </w:rPr>
              <w:t>0.1648</w:t>
            </w:r>
          </w:p>
        </w:tc>
        <w:tc>
          <w:tcPr>
            <w:tcW w:w="433"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szCs w:val="20"/>
              </w:rPr>
            </w:pPr>
            <w:r>
              <w:rPr>
                <w:rFonts w:hint="eastAsia"/>
                <w:szCs w:val="22"/>
              </w:rPr>
              <w:t>0.0178</w:t>
            </w:r>
          </w:p>
        </w:tc>
        <w:tc>
          <w:tcPr>
            <w:tcW w:w="450"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eastAsia="宋体"/>
              </w:rPr>
            </w:pPr>
            <w:r>
              <w:t xml:space="preserve">0.0649 </w:t>
            </w:r>
          </w:p>
        </w:tc>
        <w:tc>
          <w:tcPr>
            <w:tcW w:w="395"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0.0827</w:t>
            </w:r>
          </w:p>
        </w:tc>
        <w:tc>
          <w:tcPr>
            <w:tcW w:w="496"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rPr>
                <w:rFonts w:hint="eastAsia"/>
              </w:rPr>
              <w:t>/</w:t>
            </w:r>
          </w:p>
        </w:tc>
        <w:tc>
          <w:tcPr>
            <w:tcW w:w="559"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eastAsia="宋体"/>
              </w:rPr>
            </w:pPr>
            <w:r>
              <w:t>0.2</w:t>
            </w:r>
            <w:r>
              <w:rPr>
                <w:rFonts w:hint="eastAsia"/>
              </w:rPr>
              <w:t>645</w:t>
            </w:r>
          </w:p>
        </w:tc>
        <w:tc>
          <w:tcPr>
            <w:tcW w:w="550"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0.2475</w:t>
            </w:r>
          </w:p>
        </w:tc>
        <w:tc>
          <w:tcPr>
            <w:tcW w:w="812"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0.0827</w:t>
            </w:r>
          </w:p>
        </w:tc>
      </w:tr>
      <w:tr w:rsidR="00EE56C0">
        <w:trPr>
          <w:trHeight w:val="397"/>
        </w:trPr>
        <w:tc>
          <w:tcPr>
            <w:tcW w:w="191" w:type="pct"/>
            <w:vMerge/>
            <w:tcBorders>
              <w:top w:val="single" w:sz="4" w:space="0" w:color="auto"/>
              <w:left w:val="single" w:sz="4" w:space="0" w:color="auto"/>
              <w:bottom w:val="single" w:sz="4" w:space="0" w:color="auto"/>
              <w:right w:val="single" w:sz="4" w:space="0" w:color="auto"/>
            </w:tcBorders>
            <w:vAlign w:val="center"/>
          </w:tcPr>
          <w:p w:rsidR="00EE56C0" w:rsidRDefault="00EE56C0">
            <w:pPr>
              <w:pStyle w:val="afa"/>
            </w:pPr>
          </w:p>
        </w:tc>
        <w:tc>
          <w:tcPr>
            <w:tcW w:w="611"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rPr>
                <w:bCs/>
              </w:rPr>
              <w:t>NH</w:t>
            </w:r>
            <w:r>
              <w:rPr>
                <w:bCs/>
                <w:vertAlign w:val="subscript"/>
              </w:rPr>
              <w:t>3</w:t>
            </w:r>
            <w:r>
              <w:rPr>
                <w:bCs/>
              </w:rPr>
              <w:t>-N</w:t>
            </w:r>
          </w:p>
        </w:tc>
        <w:tc>
          <w:tcPr>
            <w:tcW w:w="503"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lang w:val="pt-BR"/>
              </w:rPr>
            </w:pPr>
            <w:r>
              <w:t>0.0</w:t>
            </w:r>
            <w:r>
              <w:rPr>
                <w:rFonts w:hint="eastAsia"/>
              </w:rPr>
              <w:t>1642</w:t>
            </w:r>
          </w:p>
        </w:tc>
        <w:tc>
          <w:tcPr>
            <w:tcW w:w="433"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szCs w:val="20"/>
              </w:rPr>
            </w:pPr>
            <w:r>
              <w:rPr>
                <w:rFonts w:hint="eastAsia"/>
                <w:szCs w:val="22"/>
              </w:rPr>
              <w:t>0.0009</w:t>
            </w:r>
          </w:p>
        </w:tc>
        <w:tc>
          <w:tcPr>
            <w:tcW w:w="450"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eastAsia="宋体"/>
              </w:rPr>
            </w:pPr>
            <w:r>
              <w:t>0.0032</w:t>
            </w:r>
          </w:p>
        </w:tc>
        <w:tc>
          <w:tcPr>
            <w:tcW w:w="395"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0.0041</w:t>
            </w:r>
          </w:p>
        </w:tc>
        <w:tc>
          <w:tcPr>
            <w:tcW w:w="496"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rPr>
                <w:rFonts w:hint="eastAsia"/>
              </w:rPr>
              <w:t>/</w:t>
            </w:r>
          </w:p>
        </w:tc>
        <w:tc>
          <w:tcPr>
            <w:tcW w:w="559"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eastAsia="宋体"/>
              </w:rPr>
            </w:pPr>
            <w:r>
              <w:t>0.0</w:t>
            </w:r>
            <w:r>
              <w:rPr>
                <w:rFonts w:hint="eastAsia"/>
              </w:rPr>
              <w:t>246</w:t>
            </w:r>
          </w:p>
        </w:tc>
        <w:tc>
          <w:tcPr>
            <w:tcW w:w="550"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0.02052</w:t>
            </w:r>
          </w:p>
        </w:tc>
        <w:tc>
          <w:tcPr>
            <w:tcW w:w="812"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0.0041</w:t>
            </w:r>
          </w:p>
        </w:tc>
      </w:tr>
      <w:tr w:rsidR="00EE56C0">
        <w:trPr>
          <w:trHeight w:val="397"/>
        </w:trPr>
        <w:tc>
          <w:tcPr>
            <w:tcW w:w="191" w:type="pct"/>
            <w:vMerge/>
            <w:tcBorders>
              <w:top w:val="single" w:sz="4" w:space="0" w:color="auto"/>
              <w:left w:val="single" w:sz="4" w:space="0" w:color="auto"/>
              <w:bottom w:val="single" w:sz="4" w:space="0" w:color="auto"/>
              <w:right w:val="single" w:sz="4" w:space="0" w:color="auto"/>
            </w:tcBorders>
            <w:vAlign w:val="center"/>
          </w:tcPr>
          <w:p w:rsidR="00EE56C0" w:rsidRDefault="00EE56C0">
            <w:pPr>
              <w:pStyle w:val="afa"/>
            </w:pPr>
          </w:p>
        </w:tc>
        <w:tc>
          <w:tcPr>
            <w:tcW w:w="611"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rPr>
                <w:rFonts w:hint="eastAsia"/>
              </w:rPr>
              <w:t>TP</w:t>
            </w:r>
          </w:p>
        </w:tc>
        <w:tc>
          <w:tcPr>
            <w:tcW w:w="503"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lang w:val="pt-BR"/>
              </w:rPr>
            </w:pPr>
            <w:r>
              <w:t>0.0</w:t>
            </w:r>
            <w:r>
              <w:rPr>
                <w:rFonts w:hint="eastAsia"/>
              </w:rPr>
              <w:t>013</w:t>
            </w:r>
          </w:p>
        </w:tc>
        <w:tc>
          <w:tcPr>
            <w:tcW w:w="433"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szCs w:val="20"/>
              </w:rPr>
            </w:pPr>
            <w:r>
              <w:rPr>
                <w:rFonts w:hint="eastAsia"/>
                <w:szCs w:val="22"/>
              </w:rPr>
              <w:t>0.0002</w:t>
            </w:r>
          </w:p>
        </w:tc>
        <w:tc>
          <w:tcPr>
            <w:tcW w:w="450"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eastAsia="宋体"/>
              </w:rPr>
            </w:pPr>
            <w:r>
              <w:t>0.0006</w:t>
            </w:r>
          </w:p>
        </w:tc>
        <w:tc>
          <w:tcPr>
            <w:tcW w:w="395"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0.0008</w:t>
            </w:r>
          </w:p>
        </w:tc>
        <w:tc>
          <w:tcPr>
            <w:tcW w:w="496"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rPr>
                <w:rFonts w:hint="eastAsia"/>
              </w:rPr>
              <w:t>/</w:t>
            </w:r>
          </w:p>
        </w:tc>
        <w:tc>
          <w:tcPr>
            <w:tcW w:w="559"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eastAsia="宋体"/>
              </w:rPr>
            </w:pPr>
            <w:r>
              <w:t>0.00</w:t>
            </w:r>
            <w:r>
              <w:rPr>
                <w:rFonts w:hint="eastAsia"/>
              </w:rPr>
              <w:t>85</w:t>
            </w:r>
          </w:p>
        </w:tc>
        <w:tc>
          <w:tcPr>
            <w:tcW w:w="550"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0.0021</w:t>
            </w:r>
          </w:p>
        </w:tc>
        <w:tc>
          <w:tcPr>
            <w:tcW w:w="812"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0.0008</w:t>
            </w:r>
          </w:p>
        </w:tc>
      </w:tr>
      <w:tr w:rsidR="00EE56C0">
        <w:trPr>
          <w:trHeight w:val="397"/>
        </w:trPr>
        <w:tc>
          <w:tcPr>
            <w:tcW w:w="191" w:type="pct"/>
            <w:vMerge/>
            <w:tcBorders>
              <w:top w:val="single" w:sz="4" w:space="0" w:color="auto"/>
              <w:left w:val="single" w:sz="4" w:space="0" w:color="auto"/>
              <w:bottom w:val="single" w:sz="4" w:space="0" w:color="auto"/>
              <w:right w:val="single" w:sz="4" w:space="0" w:color="auto"/>
            </w:tcBorders>
            <w:vAlign w:val="center"/>
          </w:tcPr>
          <w:p w:rsidR="00EE56C0" w:rsidRDefault="00EE56C0">
            <w:pPr>
              <w:pStyle w:val="afa"/>
            </w:pPr>
          </w:p>
        </w:tc>
        <w:tc>
          <w:tcPr>
            <w:tcW w:w="611"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rPr>
                <w:rFonts w:hint="eastAsia"/>
              </w:rPr>
              <w:t>TN</w:t>
            </w:r>
          </w:p>
        </w:tc>
        <w:tc>
          <w:tcPr>
            <w:tcW w:w="503"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lang w:val="pt-BR"/>
              </w:rPr>
            </w:pPr>
            <w:r>
              <w:t>0.0</w:t>
            </w:r>
            <w:r>
              <w:rPr>
                <w:rFonts w:hint="eastAsia"/>
              </w:rPr>
              <w:t>309</w:t>
            </w:r>
          </w:p>
        </w:tc>
        <w:tc>
          <w:tcPr>
            <w:tcW w:w="433"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szCs w:val="20"/>
              </w:rPr>
            </w:pPr>
            <w:r>
              <w:rPr>
                <w:rFonts w:hint="eastAsia"/>
                <w:szCs w:val="22"/>
              </w:rPr>
              <w:t>0.0030</w:t>
            </w:r>
          </w:p>
        </w:tc>
        <w:tc>
          <w:tcPr>
            <w:tcW w:w="450"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0.0120</w:t>
            </w:r>
          </w:p>
        </w:tc>
        <w:tc>
          <w:tcPr>
            <w:tcW w:w="395"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0.0310</w:t>
            </w:r>
          </w:p>
        </w:tc>
        <w:tc>
          <w:tcPr>
            <w:tcW w:w="496"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rPr>
                <w:rFonts w:hint="eastAsia"/>
              </w:rPr>
              <w:t>/</w:t>
            </w:r>
          </w:p>
        </w:tc>
        <w:tc>
          <w:tcPr>
            <w:tcW w:w="559"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rPr>
                <w:rFonts w:hint="eastAsia"/>
              </w:rPr>
              <w:t>0.0462</w:t>
            </w:r>
          </w:p>
        </w:tc>
        <w:tc>
          <w:tcPr>
            <w:tcW w:w="550"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0.0619</w:t>
            </w:r>
          </w:p>
        </w:tc>
        <w:tc>
          <w:tcPr>
            <w:tcW w:w="812"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rPr>
                <w:rFonts w:hint="eastAsia"/>
              </w:rPr>
              <w:t>0.0310</w:t>
            </w:r>
          </w:p>
        </w:tc>
      </w:tr>
      <w:tr w:rsidR="00EE56C0">
        <w:trPr>
          <w:trHeight w:val="397"/>
        </w:trPr>
        <w:tc>
          <w:tcPr>
            <w:tcW w:w="191" w:type="pct"/>
            <w:vMerge/>
            <w:tcBorders>
              <w:top w:val="single" w:sz="4" w:space="0" w:color="auto"/>
              <w:left w:val="single" w:sz="4" w:space="0" w:color="auto"/>
              <w:bottom w:val="single" w:sz="4" w:space="0" w:color="auto"/>
              <w:right w:val="single" w:sz="4" w:space="0" w:color="auto"/>
            </w:tcBorders>
            <w:vAlign w:val="center"/>
          </w:tcPr>
          <w:p w:rsidR="00EE56C0" w:rsidRDefault="00EE56C0">
            <w:pPr>
              <w:pStyle w:val="afa"/>
            </w:pPr>
          </w:p>
        </w:tc>
        <w:tc>
          <w:tcPr>
            <w:tcW w:w="611"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rPr>
                <w:rFonts w:hint="eastAsia"/>
              </w:rPr>
              <w:t>水量（万</w:t>
            </w:r>
            <w:r>
              <w:t>t/a</w:t>
            </w:r>
            <w:r>
              <w:rPr>
                <w:rFonts w:hint="eastAsia"/>
              </w:rPr>
              <w:t>）</w:t>
            </w:r>
          </w:p>
        </w:tc>
        <w:tc>
          <w:tcPr>
            <w:tcW w:w="503"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rPr>
                <w:rFonts w:hint="eastAsia"/>
              </w:rPr>
              <w:t>0.41784</w:t>
            </w:r>
          </w:p>
        </w:tc>
        <w:tc>
          <w:tcPr>
            <w:tcW w:w="433"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u w:val="single"/>
              </w:rPr>
            </w:pPr>
            <w:r>
              <w:rPr>
                <w:rFonts w:hint="eastAsia"/>
              </w:rPr>
              <w:t>0.0444</w:t>
            </w:r>
          </w:p>
        </w:tc>
        <w:tc>
          <w:tcPr>
            <w:tcW w:w="450"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t>0.</w:t>
            </w:r>
            <w:r>
              <w:rPr>
                <w:rFonts w:hint="eastAsia"/>
              </w:rPr>
              <w:t>1623</w:t>
            </w:r>
          </w:p>
        </w:tc>
        <w:tc>
          <w:tcPr>
            <w:tcW w:w="395"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rPr>
                <w:rFonts w:hint="eastAsia"/>
              </w:rPr>
              <w:t>0.2067</w:t>
            </w:r>
          </w:p>
        </w:tc>
        <w:tc>
          <w:tcPr>
            <w:tcW w:w="496"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rPr>
                <w:rFonts w:hint="eastAsia"/>
              </w:rPr>
              <w:t>/</w:t>
            </w:r>
          </w:p>
        </w:tc>
        <w:tc>
          <w:tcPr>
            <w:tcW w:w="1109" w:type="pct"/>
            <w:gridSpan w:val="2"/>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rPr>
                <w:rFonts w:hint="eastAsia"/>
              </w:rPr>
              <w:t>0.62454</w:t>
            </w:r>
          </w:p>
        </w:tc>
        <w:tc>
          <w:tcPr>
            <w:tcW w:w="812"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rPr>
                <w:rFonts w:hint="eastAsia"/>
              </w:rPr>
              <w:t>0.2067</w:t>
            </w:r>
          </w:p>
        </w:tc>
      </w:tr>
      <w:tr w:rsidR="00EE56C0">
        <w:trPr>
          <w:trHeight w:val="397"/>
        </w:trPr>
        <w:tc>
          <w:tcPr>
            <w:tcW w:w="191" w:type="pct"/>
            <w:vMerge w:val="restart"/>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rPr>
                <w:rFonts w:hint="eastAsia"/>
              </w:rPr>
              <w:t>废气</w:t>
            </w:r>
          </w:p>
        </w:tc>
        <w:tc>
          <w:tcPr>
            <w:tcW w:w="611" w:type="pct"/>
            <w:tcBorders>
              <w:top w:val="single" w:sz="4" w:space="0" w:color="auto"/>
              <w:left w:val="single" w:sz="4" w:space="0" w:color="auto"/>
              <w:right w:val="single" w:sz="4" w:space="0" w:color="auto"/>
            </w:tcBorders>
            <w:vAlign w:val="center"/>
          </w:tcPr>
          <w:p w:rsidR="00EE56C0" w:rsidRDefault="000F36A1">
            <w:pPr>
              <w:pStyle w:val="afa"/>
            </w:pPr>
            <w:r>
              <w:rPr>
                <w:rFonts w:hint="eastAsia"/>
              </w:rPr>
              <w:t>酚</w:t>
            </w:r>
          </w:p>
        </w:tc>
        <w:tc>
          <w:tcPr>
            <w:tcW w:w="503"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szCs w:val="20"/>
              </w:rPr>
            </w:pPr>
            <w:r>
              <w:rPr>
                <w:rFonts w:hint="eastAsia"/>
                <w:szCs w:val="22"/>
              </w:rPr>
              <w:t xml:space="preserve">4.1492 </w:t>
            </w:r>
          </w:p>
        </w:tc>
        <w:tc>
          <w:tcPr>
            <w:tcW w:w="433"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 xml:space="preserve">0.2516 </w:t>
            </w:r>
          </w:p>
        </w:tc>
        <w:tc>
          <w:tcPr>
            <w:tcW w:w="450"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 xml:space="preserve">0.7865 </w:t>
            </w:r>
          </w:p>
        </w:tc>
        <w:tc>
          <w:tcPr>
            <w:tcW w:w="395"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1.0381</w:t>
            </w:r>
          </w:p>
        </w:tc>
        <w:tc>
          <w:tcPr>
            <w:tcW w:w="496" w:type="pct"/>
            <w:tcBorders>
              <w:top w:val="single" w:sz="4" w:space="0" w:color="auto"/>
              <w:left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0.4046</w:t>
            </w:r>
          </w:p>
        </w:tc>
        <w:tc>
          <w:tcPr>
            <w:tcW w:w="1109" w:type="pct"/>
            <w:gridSpan w:val="2"/>
            <w:tcBorders>
              <w:top w:val="single" w:sz="4" w:space="0" w:color="auto"/>
              <w:left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4.7827</w:t>
            </w:r>
          </w:p>
        </w:tc>
        <w:tc>
          <w:tcPr>
            <w:tcW w:w="812" w:type="pct"/>
            <w:tcBorders>
              <w:top w:val="single" w:sz="4" w:space="0" w:color="auto"/>
              <w:left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0.6335</w:t>
            </w:r>
          </w:p>
        </w:tc>
      </w:tr>
      <w:tr w:rsidR="00EE56C0">
        <w:trPr>
          <w:trHeight w:val="397"/>
        </w:trPr>
        <w:tc>
          <w:tcPr>
            <w:tcW w:w="191" w:type="pct"/>
            <w:vMerge/>
            <w:tcBorders>
              <w:top w:val="single" w:sz="4" w:space="0" w:color="auto"/>
              <w:left w:val="single" w:sz="4" w:space="0" w:color="auto"/>
              <w:bottom w:val="single" w:sz="4" w:space="0" w:color="auto"/>
              <w:right w:val="single" w:sz="4" w:space="0" w:color="auto"/>
            </w:tcBorders>
            <w:vAlign w:val="center"/>
          </w:tcPr>
          <w:p w:rsidR="00EE56C0" w:rsidRDefault="00EE56C0">
            <w:pPr>
              <w:pStyle w:val="afa"/>
            </w:pPr>
          </w:p>
        </w:tc>
        <w:tc>
          <w:tcPr>
            <w:tcW w:w="611" w:type="pct"/>
            <w:tcBorders>
              <w:left w:val="single" w:sz="4" w:space="0" w:color="auto"/>
              <w:right w:val="single" w:sz="4" w:space="0" w:color="auto"/>
            </w:tcBorders>
            <w:vAlign w:val="center"/>
          </w:tcPr>
          <w:p w:rsidR="00EE56C0" w:rsidRDefault="000F36A1">
            <w:pPr>
              <w:pStyle w:val="afa"/>
            </w:pPr>
            <w:r>
              <w:t>非甲烷总烃</w:t>
            </w:r>
          </w:p>
        </w:tc>
        <w:tc>
          <w:tcPr>
            <w:tcW w:w="503"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szCs w:val="20"/>
              </w:rPr>
            </w:pPr>
            <w:r>
              <w:rPr>
                <w:rFonts w:hint="eastAsia"/>
                <w:szCs w:val="22"/>
              </w:rPr>
              <w:t xml:space="preserve">6.8576 </w:t>
            </w:r>
          </w:p>
        </w:tc>
        <w:tc>
          <w:tcPr>
            <w:tcW w:w="433"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 xml:space="preserve">0.2563 </w:t>
            </w:r>
          </w:p>
        </w:tc>
        <w:tc>
          <w:tcPr>
            <w:tcW w:w="450"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 xml:space="preserve">0.6354 </w:t>
            </w:r>
          </w:p>
        </w:tc>
        <w:tc>
          <w:tcPr>
            <w:tcW w:w="395"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0.8917</w:t>
            </w:r>
          </w:p>
        </w:tc>
        <w:tc>
          <w:tcPr>
            <w:tcW w:w="496" w:type="pct"/>
            <w:tcBorders>
              <w:left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1.6422</w:t>
            </w:r>
          </w:p>
        </w:tc>
        <w:tc>
          <w:tcPr>
            <w:tcW w:w="1109" w:type="pct"/>
            <w:gridSpan w:val="2"/>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6.1071</w:t>
            </w:r>
          </w:p>
        </w:tc>
        <w:tc>
          <w:tcPr>
            <w:tcW w:w="812"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-0.7505</w:t>
            </w:r>
          </w:p>
        </w:tc>
      </w:tr>
      <w:tr w:rsidR="00EE56C0">
        <w:trPr>
          <w:trHeight w:val="397"/>
        </w:trPr>
        <w:tc>
          <w:tcPr>
            <w:tcW w:w="191" w:type="pct"/>
            <w:vMerge/>
            <w:tcBorders>
              <w:top w:val="single" w:sz="4" w:space="0" w:color="auto"/>
              <w:left w:val="single" w:sz="4" w:space="0" w:color="auto"/>
              <w:bottom w:val="single" w:sz="4" w:space="0" w:color="auto"/>
              <w:right w:val="single" w:sz="4" w:space="0" w:color="auto"/>
            </w:tcBorders>
            <w:vAlign w:val="center"/>
          </w:tcPr>
          <w:p w:rsidR="00EE56C0" w:rsidRDefault="00EE56C0">
            <w:pPr>
              <w:pStyle w:val="afa"/>
            </w:pPr>
          </w:p>
        </w:tc>
        <w:tc>
          <w:tcPr>
            <w:tcW w:w="611" w:type="pct"/>
            <w:tcBorders>
              <w:left w:val="single" w:sz="4" w:space="0" w:color="auto"/>
              <w:right w:val="single" w:sz="4" w:space="0" w:color="auto"/>
            </w:tcBorders>
            <w:vAlign w:val="center"/>
          </w:tcPr>
          <w:p w:rsidR="00EE56C0" w:rsidRDefault="000F36A1">
            <w:pPr>
              <w:pStyle w:val="afa"/>
            </w:pPr>
            <w:r>
              <w:rPr>
                <w:rFonts w:hint="eastAsia"/>
              </w:rPr>
              <w:t>二甲苯</w:t>
            </w:r>
          </w:p>
        </w:tc>
        <w:tc>
          <w:tcPr>
            <w:tcW w:w="503"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szCs w:val="20"/>
              </w:rPr>
            </w:pPr>
            <w:r>
              <w:rPr>
                <w:rFonts w:hint="eastAsia"/>
                <w:szCs w:val="22"/>
              </w:rPr>
              <w:t xml:space="preserve">5.8277 </w:t>
            </w:r>
          </w:p>
        </w:tc>
        <w:tc>
          <w:tcPr>
            <w:tcW w:w="433"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 xml:space="preserve">0.3040 </w:t>
            </w:r>
          </w:p>
        </w:tc>
        <w:tc>
          <w:tcPr>
            <w:tcW w:w="450"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 xml:space="preserve">0.3039 </w:t>
            </w:r>
          </w:p>
        </w:tc>
        <w:tc>
          <w:tcPr>
            <w:tcW w:w="395"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0.6079</w:t>
            </w:r>
          </w:p>
        </w:tc>
        <w:tc>
          <w:tcPr>
            <w:tcW w:w="496" w:type="pct"/>
            <w:tcBorders>
              <w:left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-0.0166</w:t>
            </w:r>
          </w:p>
        </w:tc>
        <w:tc>
          <w:tcPr>
            <w:tcW w:w="1109" w:type="pct"/>
            <w:gridSpan w:val="2"/>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6.4522</w:t>
            </w:r>
          </w:p>
        </w:tc>
        <w:tc>
          <w:tcPr>
            <w:tcW w:w="812"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0.6245</w:t>
            </w:r>
          </w:p>
        </w:tc>
      </w:tr>
      <w:tr w:rsidR="00EE56C0">
        <w:trPr>
          <w:trHeight w:val="397"/>
        </w:trPr>
        <w:tc>
          <w:tcPr>
            <w:tcW w:w="191" w:type="pct"/>
            <w:vMerge/>
            <w:tcBorders>
              <w:top w:val="single" w:sz="4" w:space="0" w:color="auto"/>
              <w:left w:val="single" w:sz="4" w:space="0" w:color="auto"/>
              <w:bottom w:val="single" w:sz="4" w:space="0" w:color="auto"/>
              <w:right w:val="single" w:sz="4" w:space="0" w:color="auto"/>
            </w:tcBorders>
            <w:vAlign w:val="center"/>
          </w:tcPr>
          <w:p w:rsidR="00EE56C0" w:rsidRDefault="00EE56C0">
            <w:pPr>
              <w:pStyle w:val="afa"/>
            </w:pPr>
          </w:p>
        </w:tc>
        <w:tc>
          <w:tcPr>
            <w:tcW w:w="611" w:type="pct"/>
            <w:tcBorders>
              <w:left w:val="single" w:sz="4" w:space="0" w:color="auto"/>
              <w:right w:val="single" w:sz="4" w:space="0" w:color="auto"/>
            </w:tcBorders>
            <w:vAlign w:val="center"/>
          </w:tcPr>
          <w:p w:rsidR="00EE56C0" w:rsidRDefault="000F36A1">
            <w:pPr>
              <w:pStyle w:val="afa"/>
            </w:pPr>
            <w:r>
              <w:rPr>
                <w:rFonts w:hint="eastAsia"/>
              </w:rPr>
              <w:t>甲苯</w:t>
            </w:r>
          </w:p>
        </w:tc>
        <w:tc>
          <w:tcPr>
            <w:tcW w:w="503"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szCs w:val="20"/>
              </w:rPr>
            </w:pPr>
            <w:r>
              <w:rPr>
                <w:rFonts w:hint="eastAsia"/>
                <w:szCs w:val="22"/>
              </w:rPr>
              <w:t xml:space="preserve">2.3796 </w:t>
            </w:r>
          </w:p>
        </w:tc>
        <w:tc>
          <w:tcPr>
            <w:tcW w:w="433"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 xml:space="preserve">0.2768 </w:t>
            </w:r>
          </w:p>
        </w:tc>
        <w:tc>
          <w:tcPr>
            <w:tcW w:w="450"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 xml:space="preserve">0.2185 </w:t>
            </w:r>
          </w:p>
        </w:tc>
        <w:tc>
          <w:tcPr>
            <w:tcW w:w="395"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0.4953</w:t>
            </w:r>
          </w:p>
        </w:tc>
        <w:tc>
          <w:tcPr>
            <w:tcW w:w="496" w:type="pct"/>
            <w:tcBorders>
              <w:left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0.0612</w:t>
            </w:r>
          </w:p>
        </w:tc>
        <w:tc>
          <w:tcPr>
            <w:tcW w:w="1109" w:type="pct"/>
            <w:gridSpan w:val="2"/>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2.8137</w:t>
            </w:r>
          </w:p>
        </w:tc>
        <w:tc>
          <w:tcPr>
            <w:tcW w:w="812"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0.4341</w:t>
            </w:r>
          </w:p>
        </w:tc>
      </w:tr>
      <w:tr w:rsidR="00EE56C0">
        <w:trPr>
          <w:trHeight w:val="397"/>
        </w:trPr>
        <w:tc>
          <w:tcPr>
            <w:tcW w:w="191" w:type="pct"/>
            <w:vMerge/>
            <w:tcBorders>
              <w:top w:val="single" w:sz="4" w:space="0" w:color="auto"/>
              <w:left w:val="single" w:sz="4" w:space="0" w:color="auto"/>
              <w:bottom w:val="single" w:sz="4" w:space="0" w:color="auto"/>
              <w:right w:val="single" w:sz="4" w:space="0" w:color="auto"/>
            </w:tcBorders>
            <w:vAlign w:val="center"/>
          </w:tcPr>
          <w:p w:rsidR="00EE56C0" w:rsidRDefault="00EE56C0">
            <w:pPr>
              <w:pStyle w:val="afa"/>
            </w:pPr>
          </w:p>
        </w:tc>
        <w:tc>
          <w:tcPr>
            <w:tcW w:w="611" w:type="pct"/>
            <w:tcBorders>
              <w:left w:val="single" w:sz="4" w:space="0" w:color="auto"/>
              <w:right w:val="single" w:sz="4" w:space="0" w:color="auto"/>
            </w:tcBorders>
            <w:vAlign w:val="center"/>
          </w:tcPr>
          <w:p w:rsidR="00EE56C0" w:rsidRDefault="000F36A1">
            <w:pPr>
              <w:pStyle w:val="afa"/>
            </w:pPr>
            <w:r>
              <w:rPr>
                <w:rFonts w:hint="eastAsia"/>
              </w:rPr>
              <w:t>苯</w:t>
            </w:r>
          </w:p>
        </w:tc>
        <w:tc>
          <w:tcPr>
            <w:tcW w:w="503"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szCs w:val="20"/>
              </w:rPr>
            </w:pPr>
            <w:r>
              <w:rPr>
                <w:rFonts w:hint="eastAsia"/>
                <w:szCs w:val="22"/>
              </w:rPr>
              <w:t xml:space="preserve">0.1368 </w:t>
            </w:r>
          </w:p>
        </w:tc>
        <w:tc>
          <w:tcPr>
            <w:tcW w:w="433"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 xml:space="preserve">0.0923 </w:t>
            </w:r>
          </w:p>
        </w:tc>
        <w:tc>
          <w:tcPr>
            <w:tcW w:w="450"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 xml:space="preserve">0.0728 </w:t>
            </w:r>
          </w:p>
        </w:tc>
        <w:tc>
          <w:tcPr>
            <w:tcW w:w="395"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0.1651</w:t>
            </w:r>
          </w:p>
        </w:tc>
        <w:tc>
          <w:tcPr>
            <w:tcW w:w="496" w:type="pct"/>
            <w:tcBorders>
              <w:left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w:t>
            </w:r>
          </w:p>
        </w:tc>
        <w:tc>
          <w:tcPr>
            <w:tcW w:w="1109" w:type="pct"/>
            <w:gridSpan w:val="2"/>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0.3019</w:t>
            </w:r>
          </w:p>
        </w:tc>
        <w:tc>
          <w:tcPr>
            <w:tcW w:w="812"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0.1651</w:t>
            </w:r>
          </w:p>
        </w:tc>
      </w:tr>
      <w:tr w:rsidR="00EE56C0">
        <w:trPr>
          <w:trHeight w:val="397"/>
        </w:trPr>
        <w:tc>
          <w:tcPr>
            <w:tcW w:w="191" w:type="pct"/>
            <w:vMerge/>
            <w:tcBorders>
              <w:top w:val="single" w:sz="4" w:space="0" w:color="auto"/>
              <w:left w:val="single" w:sz="4" w:space="0" w:color="auto"/>
              <w:bottom w:val="single" w:sz="4" w:space="0" w:color="auto"/>
              <w:right w:val="single" w:sz="4" w:space="0" w:color="auto"/>
            </w:tcBorders>
            <w:vAlign w:val="center"/>
          </w:tcPr>
          <w:p w:rsidR="00EE56C0" w:rsidRDefault="00EE56C0">
            <w:pPr>
              <w:pStyle w:val="afa"/>
            </w:pPr>
          </w:p>
        </w:tc>
        <w:tc>
          <w:tcPr>
            <w:tcW w:w="611" w:type="pct"/>
            <w:tcBorders>
              <w:left w:val="single" w:sz="4" w:space="0" w:color="auto"/>
              <w:bottom w:val="single" w:sz="4" w:space="0" w:color="auto"/>
              <w:right w:val="single" w:sz="4" w:space="0" w:color="auto"/>
            </w:tcBorders>
            <w:vAlign w:val="center"/>
          </w:tcPr>
          <w:p w:rsidR="00EE56C0" w:rsidRDefault="000F36A1">
            <w:pPr>
              <w:pStyle w:val="afa"/>
            </w:pPr>
            <w:r>
              <w:rPr>
                <w:rFonts w:hint="eastAsia"/>
              </w:rPr>
              <w:t>VOCs</w:t>
            </w:r>
            <w:r>
              <w:rPr>
                <w:rFonts w:hint="eastAsia"/>
              </w:rPr>
              <w:t>合计</w:t>
            </w:r>
          </w:p>
        </w:tc>
        <w:tc>
          <w:tcPr>
            <w:tcW w:w="503"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rPr>
                <w:rFonts w:hint="eastAsia"/>
              </w:rPr>
              <w:t>19.3509</w:t>
            </w:r>
          </w:p>
        </w:tc>
        <w:tc>
          <w:tcPr>
            <w:tcW w:w="433"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 xml:space="preserve">1.1809 </w:t>
            </w:r>
          </w:p>
        </w:tc>
        <w:tc>
          <w:tcPr>
            <w:tcW w:w="450"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 xml:space="preserve">2.0171 </w:t>
            </w:r>
          </w:p>
        </w:tc>
        <w:tc>
          <w:tcPr>
            <w:tcW w:w="395"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3.198</w:t>
            </w:r>
          </w:p>
        </w:tc>
        <w:tc>
          <w:tcPr>
            <w:tcW w:w="496" w:type="pct"/>
            <w:tcBorders>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2.0914</w:t>
            </w:r>
          </w:p>
        </w:tc>
        <w:tc>
          <w:tcPr>
            <w:tcW w:w="1109" w:type="pct"/>
            <w:gridSpan w:val="2"/>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20.4575</w:t>
            </w:r>
          </w:p>
        </w:tc>
        <w:tc>
          <w:tcPr>
            <w:tcW w:w="812"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ascii="宋体" w:eastAsia="宋体" w:hAnsi="宋体" w:cs="宋体"/>
              </w:rPr>
            </w:pPr>
            <w:r>
              <w:rPr>
                <w:rFonts w:hint="eastAsia"/>
              </w:rPr>
              <w:t>1.1066</w:t>
            </w:r>
          </w:p>
        </w:tc>
      </w:tr>
    </w:tbl>
    <w:p w:rsidR="00EE56C0" w:rsidRDefault="00EE56C0">
      <w:pPr>
        <w:ind w:firstLine="480"/>
      </w:pPr>
    </w:p>
    <w:p w:rsidR="00EE56C0" w:rsidRDefault="00EE56C0">
      <w:pPr>
        <w:ind w:firstLine="480"/>
        <w:sectPr w:rsidR="00EE56C0">
          <w:pgSz w:w="16840" w:h="11907" w:orient="landscape"/>
          <w:pgMar w:top="1797" w:right="1440" w:bottom="1797" w:left="1440" w:header="907" w:footer="907" w:gutter="0"/>
          <w:cols w:space="720"/>
          <w:docGrid w:linePitch="380"/>
        </w:sectPr>
      </w:pPr>
    </w:p>
    <w:p w:rsidR="00EE56C0" w:rsidRDefault="000F36A1">
      <w:pPr>
        <w:ind w:firstLine="482"/>
      </w:pPr>
      <w:r>
        <w:rPr>
          <w:b/>
        </w:rPr>
        <w:lastRenderedPageBreak/>
        <w:t>1</w:t>
      </w:r>
      <w:r>
        <w:rPr>
          <w:rFonts w:hint="eastAsia"/>
          <w:b/>
        </w:rPr>
        <w:t>、废水污染物的排放情况：</w:t>
      </w:r>
    </w:p>
    <w:p w:rsidR="00EE56C0" w:rsidRDefault="000F36A1">
      <w:pPr>
        <w:spacing w:line="480" w:lineRule="exact"/>
        <w:ind w:firstLine="480"/>
        <w:rPr>
          <w:u w:val="single"/>
        </w:rPr>
      </w:pPr>
      <w:r>
        <w:rPr>
          <w:rFonts w:hint="eastAsia"/>
          <w:u w:val="single"/>
        </w:rPr>
        <w:t>（</w:t>
      </w:r>
      <w:r>
        <w:rPr>
          <w:rFonts w:hint="eastAsia"/>
          <w:u w:val="single"/>
        </w:rPr>
        <w:t>1</w:t>
      </w:r>
      <w:r>
        <w:rPr>
          <w:rFonts w:hint="eastAsia"/>
          <w:u w:val="single"/>
        </w:rPr>
        <w:t>）一期工程</w:t>
      </w:r>
    </w:p>
    <w:p w:rsidR="00EE56C0" w:rsidRDefault="000F36A1">
      <w:pPr>
        <w:spacing w:line="480" w:lineRule="exact"/>
        <w:ind w:firstLine="480"/>
        <w:rPr>
          <w:u w:val="single"/>
        </w:rPr>
      </w:pPr>
      <w:r>
        <w:rPr>
          <w:rFonts w:hint="eastAsia"/>
          <w:u w:val="single"/>
        </w:rPr>
        <w:t>废水排放量</w:t>
      </w:r>
      <w:r>
        <w:rPr>
          <w:rFonts w:hint="eastAsia"/>
          <w:u w:val="single"/>
        </w:rPr>
        <w:t>0.0444</w:t>
      </w:r>
      <w:r>
        <w:rPr>
          <w:rFonts w:hint="eastAsia"/>
          <w:u w:val="single"/>
        </w:rPr>
        <w:t>万</w:t>
      </w:r>
      <w:r>
        <w:rPr>
          <w:u w:val="single"/>
        </w:rPr>
        <w:t>t/a</w:t>
      </w:r>
      <w:r>
        <w:rPr>
          <w:rFonts w:hint="eastAsia"/>
          <w:u w:val="single"/>
        </w:rPr>
        <w:t>。</w:t>
      </w:r>
    </w:p>
    <w:p w:rsidR="00EE56C0" w:rsidRDefault="000F36A1">
      <w:pPr>
        <w:spacing w:line="480" w:lineRule="exact"/>
        <w:ind w:firstLine="480"/>
        <w:rPr>
          <w:szCs w:val="22"/>
          <w:u w:val="single"/>
        </w:rPr>
      </w:pPr>
      <w:r>
        <w:rPr>
          <w:rFonts w:hint="eastAsia"/>
          <w:u w:val="single"/>
        </w:rPr>
        <w:t>废水污染物出厂排放量：</w:t>
      </w:r>
    </w:p>
    <w:p w:rsidR="00EE56C0" w:rsidRDefault="000F36A1">
      <w:pPr>
        <w:spacing w:line="480" w:lineRule="exact"/>
        <w:ind w:firstLine="480"/>
        <w:rPr>
          <w:u w:val="single"/>
        </w:rPr>
      </w:pPr>
      <w:r>
        <w:rPr>
          <w:u w:val="single"/>
        </w:rPr>
        <w:t xml:space="preserve">COD0.0837 </w:t>
      </w:r>
      <w:r>
        <w:rPr>
          <w:rFonts w:hint="eastAsia"/>
          <w:u w:val="single"/>
        </w:rPr>
        <w:t>t</w:t>
      </w:r>
      <w:r>
        <w:rPr>
          <w:u w:val="single"/>
        </w:rPr>
        <w:t>/a</w:t>
      </w:r>
      <w:r>
        <w:rPr>
          <w:rFonts w:hint="eastAsia"/>
          <w:u w:val="single"/>
        </w:rPr>
        <w:t>、</w:t>
      </w:r>
      <w:r>
        <w:rPr>
          <w:u w:val="single"/>
        </w:rPr>
        <w:t>NH</w:t>
      </w:r>
      <w:r>
        <w:rPr>
          <w:u w:val="single"/>
          <w:vertAlign w:val="subscript"/>
        </w:rPr>
        <w:t>3</w:t>
      </w:r>
      <w:r>
        <w:rPr>
          <w:u w:val="single"/>
        </w:rPr>
        <w:t>-N0.</w:t>
      </w:r>
      <w:r>
        <w:rPr>
          <w:rFonts w:hint="eastAsia"/>
          <w:u w:val="single"/>
        </w:rPr>
        <w:t>008</w:t>
      </w:r>
      <w:r>
        <w:rPr>
          <w:u w:val="single"/>
        </w:rPr>
        <w:t>t/a</w:t>
      </w:r>
      <w:r>
        <w:rPr>
          <w:rFonts w:hint="eastAsia"/>
          <w:u w:val="single"/>
        </w:rPr>
        <w:t>、</w:t>
      </w:r>
      <w:r>
        <w:rPr>
          <w:u w:val="single"/>
        </w:rPr>
        <w:t>TP0.00</w:t>
      </w:r>
      <w:r>
        <w:rPr>
          <w:rFonts w:hint="eastAsia"/>
          <w:u w:val="single"/>
        </w:rPr>
        <w:t>14</w:t>
      </w:r>
      <w:r>
        <w:rPr>
          <w:u w:val="single"/>
        </w:rPr>
        <w:t>t/a</w:t>
      </w:r>
      <w:r>
        <w:rPr>
          <w:rFonts w:hint="eastAsia"/>
          <w:u w:val="single"/>
        </w:rPr>
        <w:t>、</w:t>
      </w:r>
      <w:r>
        <w:rPr>
          <w:u w:val="single"/>
        </w:rPr>
        <w:t>TN</w:t>
      </w:r>
      <w:r>
        <w:rPr>
          <w:rFonts w:hint="eastAsia"/>
          <w:u w:val="single"/>
        </w:rPr>
        <w:t>0.0098</w:t>
      </w:r>
      <w:r>
        <w:rPr>
          <w:u w:val="single"/>
        </w:rPr>
        <w:t>t/a</w:t>
      </w:r>
      <w:r>
        <w:rPr>
          <w:rFonts w:hint="eastAsia"/>
          <w:u w:val="single"/>
        </w:rPr>
        <w:t>；</w:t>
      </w:r>
    </w:p>
    <w:p w:rsidR="00EE56C0" w:rsidRDefault="000F36A1">
      <w:pPr>
        <w:spacing w:line="480" w:lineRule="exact"/>
        <w:ind w:firstLine="480"/>
        <w:rPr>
          <w:u w:val="single"/>
        </w:rPr>
      </w:pPr>
      <w:r>
        <w:rPr>
          <w:rFonts w:hint="eastAsia"/>
          <w:u w:val="single"/>
        </w:rPr>
        <w:t>经新乡县综合污水处理厂处理后排放量：</w:t>
      </w:r>
    </w:p>
    <w:p w:rsidR="00EE56C0" w:rsidRDefault="000F36A1">
      <w:pPr>
        <w:spacing w:line="480" w:lineRule="exact"/>
        <w:ind w:firstLine="480"/>
        <w:rPr>
          <w:u w:val="single"/>
        </w:rPr>
      </w:pPr>
      <w:r>
        <w:rPr>
          <w:u w:val="single"/>
        </w:rPr>
        <w:t>COD</w:t>
      </w:r>
      <w:r>
        <w:rPr>
          <w:rFonts w:hint="eastAsia"/>
          <w:szCs w:val="22"/>
          <w:u w:val="single"/>
        </w:rPr>
        <w:t>0.0178</w:t>
      </w:r>
      <w:r>
        <w:rPr>
          <w:u w:val="single"/>
        </w:rPr>
        <w:t>t/a</w:t>
      </w:r>
      <w:r>
        <w:rPr>
          <w:rFonts w:hint="eastAsia"/>
          <w:u w:val="single"/>
        </w:rPr>
        <w:t>、</w:t>
      </w:r>
      <w:r>
        <w:rPr>
          <w:u w:val="single"/>
        </w:rPr>
        <w:t>NH</w:t>
      </w:r>
      <w:r>
        <w:rPr>
          <w:u w:val="single"/>
          <w:vertAlign w:val="subscript"/>
        </w:rPr>
        <w:t>3</w:t>
      </w:r>
      <w:r>
        <w:rPr>
          <w:u w:val="single"/>
        </w:rPr>
        <w:t>-N 0.0</w:t>
      </w:r>
      <w:r>
        <w:rPr>
          <w:rFonts w:hint="eastAsia"/>
          <w:u w:val="single"/>
        </w:rPr>
        <w:t>009</w:t>
      </w:r>
      <w:r>
        <w:rPr>
          <w:u w:val="single"/>
        </w:rPr>
        <w:t>t/a</w:t>
      </w:r>
      <w:r>
        <w:rPr>
          <w:rFonts w:hint="eastAsia"/>
          <w:u w:val="single"/>
        </w:rPr>
        <w:t>、</w:t>
      </w:r>
      <w:r>
        <w:rPr>
          <w:u w:val="single"/>
        </w:rPr>
        <w:t>TP0.00</w:t>
      </w:r>
      <w:r>
        <w:rPr>
          <w:rFonts w:hint="eastAsia"/>
          <w:u w:val="single"/>
        </w:rPr>
        <w:t>02</w:t>
      </w:r>
      <w:r>
        <w:rPr>
          <w:u w:val="single"/>
        </w:rPr>
        <w:t>t/a</w:t>
      </w:r>
      <w:r>
        <w:rPr>
          <w:rFonts w:hint="eastAsia"/>
          <w:u w:val="single"/>
        </w:rPr>
        <w:t>、</w:t>
      </w:r>
      <w:r>
        <w:rPr>
          <w:u w:val="single"/>
        </w:rPr>
        <w:t>TN 0.</w:t>
      </w:r>
      <w:r>
        <w:rPr>
          <w:rFonts w:hint="eastAsia"/>
          <w:u w:val="single"/>
        </w:rPr>
        <w:t>0067t</w:t>
      </w:r>
      <w:r>
        <w:rPr>
          <w:u w:val="single"/>
        </w:rPr>
        <w:t>/a</w:t>
      </w:r>
      <w:r>
        <w:rPr>
          <w:rFonts w:hint="eastAsia"/>
          <w:u w:val="single"/>
        </w:rPr>
        <w:t>；</w:t>
      </w:r>
    </w:p>
    <w:p w:rsidR="00EE56C0" w:rsidRDefault="000F36A1">
      <w:pPr>
        <w:spacing w:line="480" w:lineRule="exact"/>
        <w:ind w:firstLine="480"/>
        <w:rPr>
          <w:u w:val="single"/>
        </w:rPr>
      </w:pPr>
      <w:r>
        <w:rPr>
          <w:rFonts w:hint="eastAsia"/>
          <w:u w:val="single"/>
        </w:rPr>
        <w:t>（</w:t>
      </w:r>
      <w:r>
        <w:rPr>
          <w:rFonts w:hint="eastAsia"/>
          <w:u w:val="single"/>
        </w:rPr>
        <w:t>2</w:t>
      </w:r>
      <w:r>
        <w:rPr>
          <w:rFonts w:hint="eastAsia"/>
          <w:u w:val="single"/>
        </w:rPr>
        <w:t>）二期工程</w:t>
      </w:r>
    </w:p>
    <w:p w:rsidR="00EE56C0" w:rsidRDefault="000F36A1">
      <w:pPr>
        <w:spacing w:line="480" w:lineRule="exact"/>
        <w:ind w:firstLine="480"/>
        <w:rPr>
          <w:u w:val="single"/>
        </w:rPr>
      </w:pPr>
      <w:r>
        <w:rPr>
          <w:rFonts w:hint="eastAsia"/>
          <w:u w:val="single"/>
        </w:rPr>
        <w:t>废水排放量</w:t>
      </w:r>
      <w:r>
        <w:rPr>
          <w:rFonts w:hint="eastAsia"/>
          <w:u w:val="single"/>
        </w:rPr>
        <w:t>0.1623</w:t>
      </w:r>
      <w:r>
        <w:rPr>
          <w:rFonts w:hint="eastAsia"/>
          <w:u w:val="single"/>
        </w:rPr>
        <w:t>万</w:t>
      </w:r>
      <w:r>
        <w:rPr>
          <w:u w:val="single"/>
        </w:rPr>
        <w:t>t/a</w:t>
      </w:r>
      <w:r>
        <w:rPr>
          <w:rFonts w:hint="eastAsia"/>
          <w:u w:val="single"/>
        </w:rPr>
        <w:t>。</w:t>
      </w:r>
    </w:p>
    <w:p w:rsidR="00EE56C0" w:rsidRDefault="000F36A1">
      <w:pPr>
        <w:spacing w:line="480" w:lineRule="exact"/>
        <w:ind w:firstLine="480"/>
        <w:rPr>
          <w:szCs w:val="22"/>
          <w:u w:val="single"/>
        </w:rPr>
      </w:pPr>
      <w:r>
        <w:rPr>
          <w:rFonts w:hint="eastAsia"/>
          <w:u w:val="single"/>
        </w:rPr>
        <w:t>废水污染物出厂排放量：</w:t>
      </w:r>
    </w:p>
    <w:p w:rsidR="00EE56C0" w:rsidRDefault="000F36A1">
      <w:pPr>
        <w:spacing w:line="480" w:lineRule="exact"/>
        <w:ind w:firstLine="480"/>
        <w:rPr>
          <w:u w:val="single"/>
        </w:rPr>
      </w:pPr>
      <w:r>
        <w:rPr>
          <w:u w:val="single"/>
        </w:rPr>
        <w:t>COD0.0</w:t>
      </w:r>
      <w:r>
        <w:rPr>
          <w:rFonts w:hint="eastAsia"/>
          <w:u w:val="single"/>
        </w:rPr>
        <w:t>2889</w:t>
      </w:r>
      <w:r>
        <w:rPr>
          <w:u w:val="single"/>
        </w:rPr>
        <w:t>t/a</w:t>
      </w:r>
      <w:r>
        <w:rPr>
          <w:rFonts w:hint="eastAsia"/>
          <w:u w:val="single"/>
        </w:rPr>
        <w:t>、</w:t>
      </w:r>
      <w:r>
        <w:rPr>
          <w:u w:val="single"/>
        </w:rPr>
        <w:t>NH</w:t>
      </w:r>
      <w:r>
        <w:rPr>
          <w:u w:val="single"/>
          <w:vertAlign w:val="subscript"/>
        </w:rPr>
        <w:t>3</w:t>
      </w:r>
      <w:r>
        <w:rPr>
          <w:u w:val="single"/>
        </w:rPr>
        <w:t>-N0.0</w:t>
      </w:r>
      <w:r>
        <w:rPr>
          <w:rFonts w:hint="eastAsia"/>
          <w:u w:val="single"/>
        </w:rPr>
        <w:t>278</w:t>
      </w:r>
      <w:r>
        <w:rPr>
          <w:u w:val="single"/>
        </w:rPr>
        <w:t xml:space="preserve"> t/a</w:t>
      </w:r>
      <w:r>
        <w:rPr>
          <w:rFonts w:hint="eastAsia"/>
          <w:u w:val="single"/>
        </w:rPr>
        <w:t>、</w:t>
      </w:r>
      <w:r>
        <w:rPr>
          <w:u w:val="single"/>
        </w:rPr>
        <w:t>TP0.00</w:t>
      </w:r>
      <w:r>
        <w:rPr>
          <w:rFonts w:hint="eastAsia"/>
          <w:u w:val="single"/>
        </w:rPr>
        <w:t>51</w:t>
      </w:r>
      <w:r>
        <w:rPr>
          <w:u w:val="single"/>
        </w:rPr>
        <w:t>t/a</w:t>
      </w:r>
      <w:r>
        <w:rPr>
          <w:rFonts w:hint="eastAsia"/>
          <w:u w:val="single"/>
        </w:rPr>
        <w:t>、</w:t>
      </w:r>
      <w:r>
        <w:rPr>
          <w:u w:val="single"/>
        </w:rPr>
        <w:t>TN0.0</w:t>
      </w:r>
      <w:r>
        <w:rPr>
          <w:rFonts w:hint="eastAsia"/>
          <w:u w:val="single"/>
        </w:rPr>
        <w:t>343</w:t>
      </w:r>
      <w:r>
        <w:rPr>
          <w:u w:val="single"/>
        </w:rPr>
        <w:t>t/a</w:t>
      </w:r>
      <w:r>
        <w:rPr>
          <w:rFonts w:hint="eastAsia"/>
          <w:u w:val="single"/>
        </w:rPr>
        <w:t>；</w:t>
      </w:r>
    </w:p>
    <w:p w:rsidR="00EE56C0" w:rsidRDefault="000F36A1">
      <w:pPr>
        <w:spacing w:line="480" w:lineRule="exact"/>
        <w:ind w:firstLine="480"/>
        <w:rPr>
          <w:u w:val="single"/>
        </w:rPr>
      </w:pPr>
      <w:r>
        <w:rPr>
          <w:rFonts w:hint="eastAsia"/>
          <w:u w:val="single"/>
        </w:rPr>
        <w:t>经新乡县综合污水处理厂处理后排放量：</w:t>
      </w:r>
    </w:p>
    <w:p w:rsidR="00EE56C0" w:rsidRDefault="000F36A1">
      <w:pPr>
        <w:spacing w:line="480" w:lineRule="exact"/>
        <w:ind w:firstLine="480"/>
        <w:rPr>
          <w:u w:val="single"/>
        </w:rPr>
      </w:pPr>
      <w:r>
        <w:rPr>
          <w:u w:val="single"/>
        </w:rPr>
        <w:t>COD</w:t>
      </w:r>
      <w:r>
        <w:rPr>
          <w:rFonts w:hint="eastAsia"/>
          <w:u w:val="single"/>
        </w:rPr>
        <w:t>0.0649</w:t>
      </w:r>
      <w:r>
        <w:rPr>
          <w:u w:val="single"/>
        </w:rPr>
        <w:t>t/a</w:t>
      </w:r>
      <w:r>
        <w:rPr>
          <w:rFonts w:hint="eastAsia"/>
          <w:u w:val="single"/>
        </w:rPr>
        <w:t>、</w:t>
      </w:r>
      <w:r>
        <w:rPr>
          <w:u w:val="single"/>
        </w:rPr>
        <w:t>NH</w:t>
      </w:r>
      <w:r>
        <w:rPr>
          <w:u w:val="single"/>
          <w:vertAlign w:val="subscript"/>
        </w:rPr>
        <w:t>3</w:t>
      </w:r>
      <w:r>
        <w:rPr>
          <w:u w:val="single"/>
        </w:rPr>
        <w:t>-N 0.0</w:t>
      </w:r>
      <w:r>
        <w:rPr>
          <w:rFonts w:hint="eastAsia"/>
          <w:u w:val="single"/>
        </w:rPr>
        <w:t>032</w:t>
      </w:r>
      <w:r>
        <w:rPr>
          <w:u w:val="single"/>
        </w:rPr>
        <w:t>t/a</w:t>
      </w:r>
      <w:r>
        <w:rPr>
          <w:rFonts w:hint="eastAsia"/>
          <w:u w:val="single"/>
        </w:rPr>
        <w:t>、</w:t>
      </w:r>
      <w:r>
        <w:rPr>
          <w:u w:val="single"/>
        </w:rPr>
        <w:t>TP0.0</w:t>
      </w:r>
      <w:r>
        <w:rPr>
          <w:rFonts w:hint="eastAsia"/>
          <w:u w:val="single"/>
        </w:rPr>
        <w:t>006</w:t>
      </w:r>
      <w:r>
        <w:rPr>
          <w:u w:val="single"/>
        </w:rPr>
        <w:t>t/a</w:t>
      </w:r>
      <w:r>
        <w:rPr>
          <w:rFonts w:hint="eastAsia"/>
          <w:u w:val="single"/>
        </w:rPr>
        <w:t>、</w:t>
      </w:r>
      <w:r>
        <w:rPr>
          <w:u w:val="single"/>
        </w:rPr>
        <w:t>TN0.</w:t>
      </w:r>
      <w:r>
        <w:rPr>
          <w:rFonts w:hint="eastAsia"/>
          <w:u w:val="single"/>
        </w:rPr>
        <w:t>0243</w:t>
      </w:r>
      <w:r>
        <w:rPr>
          <w:u w:val="single"/>
        </w:rPr>
        <w:t>t/a</w:t>
      </w:r>
      <w:r>
        <w:rPr>
          <w:rFonts w:hint="eastAsia"/>
          <w:u w:val="single"/>
        </w:rPr>
        <w:t>；</w:t>
      </w:r>
    </w:p>
    <w:p w:rsidR="00EE56C0" w:rsidRDefault="000F36A1">
      <w:pPr>
        <w:spacing w:line="480" w:lineRule="exact"/>
        <w:ind w:firstLine="480"/>
        <w:rPr>
          <w:u w:val="single"/>
        </w:rPr>
      </w:pPr>
      <w:r>
        <w:rPr>
          <w:rFonts w:hint="eastAsia"/>
          <w:u w:val="single"/>
        </w:rPr>
        <w:t>（</w:t>
      </w:r>
      <w:r>
        <w:rPr>
          <w:rFonts w:hint="eastAsia"/>
          <w:u w:val="single"/>
        </w:rPr>
        <w:t>3</w:t>
      </w:r>
      <w:r>
        <w:rPr>
          <w:rFonts w:hint="eastAsia"/>
          <w:u w:val="single"/>
        </w:rPr>
        <w:t>）项目建成后，废水排放量</w:t>
      </w:r>
      <w:r>
        <w:rPr>
          <w:rFonts w:hint="eastAsia"/>
          <w:u w:val="single"/>
        </w:rPr>
        <w:t>0.2067</w:t>
      </w:r>
      <w:r>
        <w:rPr>
          <w:rFonts w:hint="eastAsia"/>
          <w:u w:val="single"/>
        </w:rPr>
        <w:t>万</w:t>
      </w:r>
      <w:r>
        <w:rPr>
          <w:u w:val="single"/>
        </w:rPr>
        <w:t>t/a</w:t>
      </w:r>
      <w:r>
        <w:rPr>
          <w:rFonts w:hint="eastAsia"/>
          <w:u w:val="single"/>
        </w:rPr>
        <w:t>。</w:t>
      </w:r>
    </w:p>
    <w:p w:rsidR="00EE56C0" w:rsidRDefault="000F36A1">
      <w:pPr>
        <w:spacing w:line="480" w:lineRule="exact"/>
        <w:ind w:firstLine="480"/>
        <w:rPr>
          <w:szCs w:val="22"/>
          <w:u w:val="single"/>
        </w:rPr>
      </w:pPr>
      <w:r>
        <w:rPr>
          <w:rFonts w:hint="eastAsia"/>
          <w:u w:val="single"/>
        </w:rPr>
        <w:t>项目建成后，废水污染物出厂排放量：</w:t>
      </w:r>
    </w:p>
    <w:p w:rsidR="00EE56C0" w:rsidRDefault="000F36A1">
      <w:pPr>
        <w:spacing w:line="480" w:lineRule="exact"/>
        <w:ind w:firstLine="480"/>
        <w:rPr>
          <w:u w:val="single"/>
        </w:rPr>
      </w:pPr>
      <w:r>
        <w:rPr>
          <w:u w:val="single"/>
        </w:rPr>
        <w:t>COD</w:t>
      </w:r>
      <w:r>
        <w:rPr>
          <w:rFonts w:hint="eastAsia"/>
          <w:u w:val="single"/>
        </w:rPr>
        <w:t>0.3726</w:t>
      </w:r>
      <w:r>
        <w:rPr>
          <w:u w:val="single"/>
        </w:rPr>
        <w:t>t/a</w:t>
      </w:r>
      <w:r>
        <w:rPr>
          <w:rFonts w:hint="eastAsia"/>
          <w:u w:val="single"/>
        </w:rPr>
        <w:t>、</w:t>
      </w:r>
      <w:r>
        <w:rPr>
          <w:u w:val="single"/>
        </w:rPr>
        <w:t>NH</w:t>
      </w:r>
      <w:r>
        <w:rPr>
          <w:u w:val="single"/>
          <w:vertAlign w:val="subscript"/>
        </w:rPr>
        <w:t>3</w:t>
      </w:r>
      <w:r>
        <w:rPr>
          <w:u w:val="single"/>
        </w:rPr>
        <w:t>-N0.</w:t>
      </w:r>
      <w:r>
        <w:rPr>
          <w:rFonts w:hint="eastAsia"/>
          <w:u w:val="single"/>
        </w:rPr>
        <w:t>0357</w:t>
      </w:r>
      <w:r>
        <w:rPr>
          <w:u w:val="single"/>
        </w:rPr>
        <w:t>t/a</w:t>
      </w:r>
      <w:r>
        <w:rPr>
          <w:rFonts w:hint="eastAsia"/>
          <w:u w:val="single"/>
        </w:rPr>
        <w:t>、</w:t>
      </w:r>
      <w:r>
        <w:rPr>
          <w:u w:val="single"/>
        </w:rPr>
        <w:t>TP 0.00</w:t>
      </w:r>
      <w:r>
        <w:rPr>
          <w:rFonts w:hint="eastAsia"/>
          <w:u w:val="single"/>
        </w:rPr>
        <w:t>65</w:t>
      </w:r>
      <w:r>
        <w:rPr>
          <w:u w:val="single"/>
        </w:rPr>
        <w:t>t/a</w:t>
      </w:r>
      <w:r>
        <w:rPr>
          <w:rFonts w:hint="eastAsia"/>
          <w:u w:val="single"/>
        </w:rPr>
        <w:t>、</w:t>
      </w:r>
      <w:r>
        <w:rPr>
          <w:u w:val="single"/>
        </w:rPr>
        <w:t>TN</w:t>
      </w:r>
      <w:r>
        <w:rPr>
          <w:rFonts w:hint="eastAsia"/>
          <w:u w:val="single"/>
        </w:rPr>
        <w:t>0.0441</w:t>
      </w:r>
      <w:r>
        <w:rPr>
          <w:u w:val="single"/>
        </w:rPr>
        <w:t>t/a</w:t>
      </w:r>
      <w:r>
        <w:rPr>
          <w:rFonts w:hint="eastAsia"/>
          <w:u w:val="single"/>
        </w:rPr>
        <w:t>；</w:t>
      </w:r>
    </w:p>
    <w:p w:rsidR="00EE56C0" w:rsidRDefault="000F36A1">
      <w:pPr>
        <w:spacing w:line="480" w:lineRule="exact"/>
        <w:ind w:firstLine="480"/>
        <w:rPr>
          <w:u w:val="single"/>
        </w:rPr>
      </w:pPr>
      <w:r>
        <w:rPr>
          <w:rFonts w:hint="eastAsia"/>
          <w:u w:val="single"/>
        </w:rPr>
        <w:t>经新乡县综合污水处理厂处理后排放量：</w:t>
      </w:r>
    </w:p>
    <w:p w:rsidR="00EE56C0" w:rsidRDefault="000F36A1">
      <w:pPr>
        <w:ind w:firstLine="480"/>
        <w:rPr>
          <w:u w:val="single"/>
        </w:rPr>
      </w:pPr>
      <w:r>
        <w:rPr>
          <w:u w:val="single"/>
        </w:rPr>
        <w:t>COD</w:t>
      </w:r>
      <w:r>
        <w:rPr>
          <w:rFonts w:hint="eastAsia"/>
          <w:u w:val="single"/>
        </w:rPr>
        <w:t>0.0827</w:t>
      </w:r>
      <w:r>
        <w:rPr>
          <w:u w:val="single"/>
        </w:rPr>
        <w:t>t/a</w:t>
      </w:r>
      <w:r>
        <w:rPr>
          <w:rFonts w:hint="eastAsia"/>
          <w:u w:val="single"/>
        </w:rPr>
        <w:t>、</w:t>
      </w:r>
      <w:r>
        <w:rPr>
          <w:u w:val="single"/>
        </w:rPr>
        <w:t>NH</w:t>
      </w:r>
      <w:r>
        <w:rPr>
          <w:u w:val="single"/>
          <w:vertAlign w:val="subscript"/>
        </w:rPr>
        <w:t>3</w:t>
      </w:r>
      <w:r>
        <w:rPr>
          <w:u w:val="single"/>
        </w:rPr>
        <w:t>-N0.0</w:t>
      </w:r>
      <w:r>
        <w:rPr>
          <w:rFonts w:hint="eastAsia"/>
          <w:u w:val="single"/>
        </w:rPr>
        <w:t>041</w:t>
      </w:r>
      <w:r>
        <w:rPr>
          <w:u w:val="single"/>
        </w:rPr>
        <w:t>t/a</w:t>
      </w:r>
      <w:r>
        <w:rPr>
          <w:rFonts w:hint="eastAsia"/>
          <w:u w:val="single"/>
        </w:rPr>
        <w:t>、</w:t>
      </w:r>
      <w:r>
        <w:rPr>
          <w:u w:val="single"/>
        </w:rPr>
        <w:t>TP0.00</w:t>
      </w:r>
      <w:r>
        <w:rPr>
          <w:rFonts w:hint="eastAsia"/>
          <w:u w:val="single"/>
        </w:rPr>
        <w:t>08</w:t>
      </w:r>
      <w:r>
        <w:rPr>
          <w:u w:val="single"/>
        </w:rPr>
        <w:t>t/a</w:t>
      </w:r>
      <w:r>
        <w:rPr>
          <w:rFonts w:hint="eastAsia"/>
          <w:u w:val="single"/>
        </w:rPr>
        <w:t>、</w:t>
      </w:r>
      <w:r>
        <w:rPr>
          <w:u w:val="single"/>
        </w:rPr>
        <w:t>TN</w:t>
      </w:r>
      <w:r>
        <w:rPr>
          <w:rFonts w:hint="eastAsia"/>
          <w:u w:val="single"/>
        </w:rPr>
        <w:t>0.031</w:t>
      </w:r>
      <w:r>
        <w:rPr>
          <w:u w:val="single"/>
        </w:rPr>
        <w:t>t/a</w:t>
      </w:r>
      <w:r>
        <w:rPr>
          <w:rFonts w:hint="eastAsia"/>
          <w:u w:val="single"/>
        </w:rPr>
        <w:t>；</w:t>
      </w:r>
    </w:p>
    <w:p w:rsidR="00EE56C0" w:rsidRDefault="000F36A1">
      <w:pPr>
        <w:spacing w:line="480" w:lineRule="exact"/>
        <w:ind w:firstLine="482"/>
        <w:rPr>
          <w:b/>
          <w:u w:val="single"/>
        </w:rPr>
      </w:pPr>
      <w:r>
        <w:rPr>
          <w:rFonts w:hint="eastAsia"/>
          <w:b/>
          <w:u w:val="single"/>
        </w:rPr>
        <w:t>废水污染物替代方案：</w:t>
      </w:r>
    </w:p>
    <w:p w:rsidR="00EE56C0" w:rsidRDefault="000F36A1">
      <w:pPr>
        <w:ind w:firstLine="480"/>
        <w:rPr>
          <w:u w:val="single"/>
        </w:rPr>
      </w:pPr>
      <w:r>
        <w:rPr>
          <w:rFonts w:hint="eastAsia"/>
          <w:bCs/>
          <w:u w:val="single"/>
        </w:rPr>
        <w:t>本项目达产建成后废水排放量为</w:t>
      </w:r>
      <w:r>
        <w:rPr>
          <w:rFonts w:hint="eastAsia"/>
          <w:bCs/>
          <w:u w:val="single"/>
        </w:rPr>
        <w:t>0.2067</w:t>
      </w:r>
      <w:r>
        <w:rPr>
          <w:rFonts w:hint="eastAsia"/>
          <w:bCs/>
          <w:u w:val="single"/>
        </w:rPr>
        <w:t>万</w:t>
      </w:r>
      <w:r>
        <w:rPr>
          <w:bCs/>
          <w:u w:val="single"/>
        </w:rPr>
        <w:t>t/a</w:t>
      </w:r>
      <w:r>
        <w:rPr>
          <w:rFonts w:hint="eastAsia"/>
          <w:bCs/>
          <w:u w:val="single"/>
        </w:rPr>
        <w:t>，</w:t>
      </w:r>
      <w:r>
        <w:rPr>
          <w:rFonts w:hint="eastAsia"/>
          <w:u w:val="single"/>
        </w:rPr>
        <w:t>新增水污染物排放量为</w:t>
      </w:r>
      <w:r>
        <w:rPr>
          <w:u w:val="single"/>
        </w:rPr>
        <w:t>COD</w:t>
      </w:r>
      <w:r>
        <w:rPr>
          <w:rFonts w:hint="eastAsia"/>
          <w:u w:val="single"/>
        </w:rPr>
        <w:t>0.0827</w:t>
      </w:r>
      <w:r>
        <w:rPr>
          <w:u w:val="single"/>
        </w:rPr>
        <w:t>t/a</w:t>
      </w:r>
      <w:r>
        <w:rPr>
          <w:rFonts w:hint="eastAsia"/>
          <w:u w:val="single"/>
        </w:rPr>
        <w:t>、</w:t>
      </w:r>
      <w:r>
        <w:rPr>
          <w:u w:val="single"/>
        </w:rPr>
        <w:t>NH</w:t>
      </w:r>
      <w:r>
        <w:rPr>
          <w:u w:val="single"/>
          <w:vertAlign w:val="subscript"/>
        </w:rPr>
        <w:t>3</w:t>
      </w:r>
      <w:r>
        <w:rPr>
          <w:u w:val="single"/>
        </w:rPr>
        <w:t>-N0.0</w:t>
      </w:r>
      <w:r>
        <w:rPr>
          <w:rFonts w:hint="eastAsia"/>
          <w:u w:val="single"/>
        </w:rPr>
        <w:t>041</w:t>
      </w:r>
      <w:r>
        <w:rPr>
          <w:u w:val="single"/>
        </w:rPr>
        <w:t>t/a</w:t>
      </w:r>
      <w:r>
        <w:rPr>
          <w:rFonts w:hint="eastAsia"/>
          <w:u w:val="single"/>
        </w:rPr>
        <w:t>，经双倍替代后所需替代量为：</w:t>
      </w:r>
      <w:r>
        <w:rPr>
          <w:u w:val="single"/>
        </w:rPr>
        <w:t>COD</w:t>
      </w:r>
      <w:r>
        <w:rPr>
          <w:rFonts w:hint="eastAsia"/>
          <w:u w:val="single"/>
        </w:rPr>
        <w:t>0.1654t/</w:t>
      </w:r>
      <w:r>
        <w:rPr>
          <w:u w:val="single"/>
        </w:rPr>
        <w:t>a</w:t>
      </w:r>
      <w:r>
        <w:rPr>
          <w:rFonts w:hint="eastAsia"/>
          <w:u w:val="single"/>
        </w:rPr>
        <w:t>、</w:t>
      </w:r>
      <w:r>
        <w:rPr>
          <w:u w:val="single"/>
        </w:rPr>
        <w:t>NH3-N</w:t>
      </w:r>
      <w:r>
        <w:rPr>
          <w:rFonts w:hint="eastAsia"/>
          <w:u w:val="single"/>
        </w:rPr>
        <w:t>0.0082</w:t>
      </w:r>
      <w:r>
        <w:rPr>
          <w:u w:val="single"/>
        </w:rPr>
        <w:t>t/a</w:t>
      </w:r>
      <w:r>
        <w:rPr>
          <w:rFonts w:hint="eastAsia"/>
          <w:u w:val="single"/>
        </w:rPr>
        <w:t>，拟</w:t>
      </w:r>
      <w:r w:rsidR="00971E69" w:rsidRPr="00971E69">
        <w:rPr>
          <w:rFonts w:hint="eastAsia"/>
          <w:color w:val="000000"/>
          <w:u w:val="single"/>
        </w:rPr>
        <w:t>从延津县新建农村污水处理站形成的削减量</w:t>
      </w:r>
      <w:r w:rsidR="00971E69" w:rsidRPr="00971E69">
        <w:rPr>
          <w:rFonts w:hint="eastAsia"/>
          <w:color w:val="000000"/>
          <w:u w:val="single"/>
        </w:rPr>
        <w:t>COD145.78t/a</w:t>
      </w:r>
      <w:r w:rsidR="00971E69" w:rsidRPr="00971E69">
        <w:rPr>
          <w:rFonts w:hint="eastAsia"/>
          <w:color w:val="000000"/>
          <w:u w:val="single"/>
        </w:rPr>
        <w:t>、氨氮</w:t>
      </w:r>
      <w:r w:rsidR="00971E69" w:rsidRPr="00971E69">
        <w:rPr>
          <w:rFonts w:hint="eastAsia"/>
          <w:color w:val="000000"/>
          <w:u w:val="single"/>
        </w:rPr>
        <w:t>20.52t/a</w:t>
      </w:r>
      <w:r w:rsidR="00971E69" w:rsidRPr="00971E69">
        <w:rPr>
          <w:rFonts w:hint="eastAsia"/>
          <w:color w:val="000000"/>
          <w:u w:val="single"/>
        </w:rPr>
        <w:t>中</w:t>
      </w:r>
      <w:r w:rsidR="00971E69" w:rsidRPr="00971E69">
        <w:rPr>
          <w:bCs/>
          <w:color w:val="000000"/>
          <w:u w:val="single"/>
        </w:rPr>
        <w:t>调剂给本项目</w:t>
      </w:r>
      <w:r w:rsidR="00971E69" w:rsidRPr="00971E69">
        <w:rPr>
          <w:rFonts w:hint="eastAsia"/>
          <w:bCs/>
          <w:color w:val="000000"/>
          <w:u w:val="single"/>
        </w:rPr>
        <w:t>COD0.1654</w:t>
      </w:r>
      <w:r w:rsidR="00971E69" w:rsidRPr="00971E69">
        <w:rPr>
          <w:bCs/>
          <w:color w:val="000000"/>
          <w:u w:val="single"/>
        </w:rPr>
        <w:t>t/a</w:t>
      </w:r>
      <w:r w:rsidR="00971E69" w:rsidRPr="00971E69">
        <w:rPr>
          <w:bCs/>
          <w:color w:val="000000"/>
          <w:u w:val="single"/>
        </w:rPr>
        <w:t>、氨氮</w:t>
      </w:r>
      <w:r w:rsidR="00971E69" w:rsidRPr="00971E69">
        <w:rPr>
          <w:rFonts w:hint="eastAsia"/>
          <w:bCs/>
          <w:color w:val="000000"/>
          <w:u w:val="single"/>
        </w:rPr>
        <w:t>0.0082t/a</w:t>
      </w:r>
      <w:r w:rsidR="00971E69" w:rsidRPr="00971E69">
        <w:rPr>
          <w:bCs/>
          <w:color w:val="000000"/>
          <w:u w:val="single"/>
        </w:rPr>
        <w:t>作为替代量</w:t>
      </w:r>
      <w:r>
        <w:rPr>
          <w:rFonts w:hint="eastAsia"/>
          <w:u w:val="single"/>
        </w:rPr>
        <w:t>。</w:t>
      </w:r>
    </w:p>
    <w:p w:rsidR="00EE56C0" w:rsidRDefault="000F36A1">
      <w:pPr>
        <w:ind w:firstLine="480"/>
        <w:rPr>
          <w:u w:val="single"/>
        </w:rPr>
      </w:pPr>
      <w:r>
        <w:rPr>
          <w:rFonts w:hint="eastAsia"/>
          <w:u w:val="single"/>
        </w:rPr>
        <w:t>2</w:t>
      </w:r>
      <w:r>
        <w:rPr>
          <w:rFonts w:hint="eastAsia"/>
          <w:u w:val="single"/>
        </w:rPr>
        <w:t>、废气</w:t>
      </w:r>
    </w:p>
    <w:p w:rsidR="00EE56C0" w:rsidRDefault="000F36A1">
      <w:pPr>
        <w:spacing w:line="480" w:lineRule="exact"/>
        <w:ind w:firstLine="480"/>
        <w:rPr>
          <w:u w:val="single"/>
        </w:rPr>
      </w:pPr>
      <w:r>
        <w:rPr>
          <w:rFonts w:hint="eastAsia"/>
          <w:u w:val="single"/>
        </w:rPr>
        <w:t>（</w:t>
      </w:r>
      <w:r>
        <w:rPr>
          <w:rFonts w:hint="eastAsia"/>
          <w:u w:val="single"/>
        </w:rPr>
        <w:t>1</w:t>
      </w:r>
      <w:r>
        <w:rPr>
          <w:rFonts w:hint="eastAsia"/>
          <w:u w:val="single"/>
        </w:rPr>
        <w:t>）一期工程</w:t>
      </w:r>
    </w:p>
    <w:p w:rsidR="00EE56C0" w:rsidRDefault="000F36A1">
      <w:pPr>
        <w:spacing w:line="480" w:lineRule="exact"/>
        <w:ind w:firstLine="480"/>
        <w:rPr>
          <w:u w:val="single"/>
        </w:rPr>
      </w:pPr>
      <w:r>
        <w:rPr>
          <w:rFonts w:hint="eastAsia"/>
          <w:u w:val="single"/>
        </w:rPr>
        <w:t>废气污染物排放量：</w:t>
      </w:r>
      <w:r>
        <w:rPr>
          <w:rFonts w:hint="eastAsia"/>
          <w:u w:val="single"/>
        </w:rPr>
        <w:t>VOCs1.1809</w:t>
      </w:r>
      <w:r>
        <w:rPr>
          <w:u w:val="single"/>
        </w:rPr>
        <w:t>t/a</w:t>
      </w:r>
      <w:r>
        <w:rPr>
          <w:rFonts w:hint="eastAsia"/>
          <w:u w:val="single"/>
        </w:rPr>
        <w:t>（有组织</w:t>
      </w:r>
      <w:r>
        <w:rPr>
          <w:rFonts w:hint="eastAsia"/>
          <w:u w:val="single"/>
        </w:rPr>
        <w:t>0.651t/a</w:t>
      </w:r>
      <w:r>
        <w:rPr>
          <w:rFonts w:hint="eastAsia"/>
          <w:u w:val="single"/>
        </w:rPr>
        <w:t>，无组织</w:t>
      </w:r>
      <w:r>
        <w:rPr>
          <w:rFonts w:hint="eastAsia"/>
          <w:u w:val="single"/>
        </w:rPr>
        <w:t>0.5299t/a</w:t>
      </w:r>
      <w:r>
        <w:rPr>
          <w:rFonts w:hint="eastAsia"/>
          <w:u w:val="single"/>
        </w:rPr>
        <w:t>）</w:t>
      </w:r>
    </w:p>
    <w:p w:rsidR="00EE56C0" w:rsidRDefault="000F36A1">
      <w:pPr>
        <w:spacing w:line="480" w:lineRule="exact"/>
        <w:ind w:firstLine="480"/>
        <w:rPr>
          <w:u w:val="single"/>
        </w:rPr>
      </w:pPr>
      <w:r>
        <w:rPr>
          <w:rFonts w:hint="eastAsia"/>
          <w:u w:val="single"/>
        </w:rPr>
        <w:lastRenderedPageBreak/>
        <w:t>（</w:t>
      </w:r>
      <w:r>
        <w:rPr>
          <w:rFonts w:hint="eastAsia"/>
          <w:u w:val="single"/>
        </w:rPr>
        <w:t>2</w:t>
      </w:r>
      <w:r>
        <w:rPr>
          <w:rFonts w:hint="eastAsia"/>
          <w:u w:val="single"/>
        </w:rPr>
        <w:t>）二期工程</w:t>
      </w:r>
    </w:p>
    <w:p w:rsidR="00EE56C0" w:rsidRDefault="000F36A1">
      <w:pPr>
        <w:spacing w:line="480" w:lineRule="exact"/>
        <w:ind w:firstLine="480"/>
        <w:rPr>
          <w:u w:val="single"/>
        </w:rPr>
      </w:pPr>
      <w:r>
        <w:rPr>
          <w:rFonts w:hint="eastAsia"/>
          <w:u w:val="single"/>
        </w:rPr>
        <w:t>废气污染物排放量：</w:t>
      </w:r>
      <w:r>
        <w:rPr>
          <w:rFonts w:hint="eastAsia"/>
          <w:u w:val="single"/>
        </w:rPr>
        <w:t>VOCs2.0171t/a</w:t>
      </w:r>
      <w:r>
        <w:rPr>
          <w:rFonts w:hint="eastAsia"/>
          <w:u w:val="single"/>
        </w:rPr>
        <w:t>（有组织</w:t>
      </w:r>
      <w:r>
        <w:rPr>
          <w:rFonts w:hint="eastAsia"/>
          <w:u w:val="single"/>
        </w:rPr>
        <w:t>0.6042t/a</w:t>
      </w:r>
      <w:r>
        <w:rPr>
          <w:rFonts w:hint="eastAsia"/>
          <w:u w:val="single"/>
        </w:rPr>
        <w:t>，无组织</w:t>
      </w:r>
      <w:r>
        <w:rPr>
          <w:rFonts w:hint="eastAsia"/>
          <w:u w:val="single"/>
        </w:rPr>
        <w:t>1.4128t/a</w:t>
      </w:r>
      <w:r>
        <w:rPr>
          <w:rFonts w:hint="eastAsia"/>
          <w:u w:val="single"/>
        </w:rPr>
        <w:t>）。</w:t>
      </w:r>
    </w:p>
    <w:p w:rsidR="00EE56C0" w:rsidRDefault="000F36A1">
      <w:pPr>
        <w:spacing w:line="480" w:lineRule="exact"/>
        <w:ind w:firstLine="480"/>
        <w:rPr>
          <w:u w:val="single"/>
        </w:rPr>
      </w:pPr>
      <w:r>
        <w:rPr>
          <w:rFonts w:hint="eastAsia"/>
          <w:u w:val="single"/>
        </w:rPr>
        <w:t>（</w:t>
      </w:r>
      <w:r>
        <w:rPr>
          <w:rFonts w:hint="eastAsia"/>
          <w:u w:val="single"/>
        </w:rPr>
        <w:t>3</w:t>
      </w:r>
      <w:r>
        <w:rPr>
          <w:rFonts w:hint="eastAsia"/>
          <w:u w:val="single"/>
        </w:rPr>
        <w:t>）项目达产后</w:t>
      </w:r>
    </w:p>
    <w:p w:rsidR="00EE56C0" w:rsidRDefault="000F36A1">
      <w:pPr>
        <w:spacing w:line="480" w:lineRule="exact"/>
        <w:ind w:firstLine="480"/>
        <w:rPr>
          <w:highlight w:val="yellow"/>
          <w:u w:val="single"/>
        </w:rPr>
      </w:pPr>
      <w:r>
        <w:rPr>
          <w:rFonts w:hint="eastAsia"/>
          <w:u w:val="single"/>
        </w:rPr>
        <w:t>项目达产后，废气污染物的排放情况：</w:t>
      </w:r>
      <w:r>
        <w:rPr>
          <w:rFonts w:hint="eastAsia"/>
          <w:u w:val="single"/>
        </w:rPr>
        <w:t>VOCs3.198t/a</w:t>
      </w:r>
      <w:r>
        <w:rPr>
          <w:rFonts w:hint="eastAsia"/>
          <w:u w:val="single"/>
        </w:rPr>
        <w:t>（有组织</w:t>
      </w:r>
      <w:r>
        <w:rPr>
          <w:rFonts w:hint="eastAsia"/>
          <w:u w:val="single"/>
        </w:rPr>
        <w:t>1.2552t/a</w:t>
      </w:r>
      <w:r>
        <w:rPr>
          <w:rFonts w:hint="eastAsia"/>
          <w:u w:val="single"/>
        </w:rPr>
        <w:t>，无组织</w:t>
      </w:r>
      <w:r>
        <w:rPr>
          <w:rFonts w:hint="eastAsia"/>
          <w:u w:val="single"/>
        </w:rPr>
        <w:t>1.9428t/a</w:t>
      </w:r>
      <w:r>
        <w:rPr>
          <w:rFonts w:hint="eastAsia"/>
          <w:u w:val="single"/>
        </w:rPr>
        <w:t>）。</w:t>
      </w:r>
    </w:p>
    <w:p w:rsidR="00EE56C0" w:rsidRDefault="000F36A1">
      <w:pPr>
        <w:spacing w:line="480" w:lineRule="exact"/>
        <w:ind w:firstLine="480"/>
        <w:rPr>
          <w:u w:val="single"/>
        </w:rPr>
      </w:pPr>
      <w:r>
        <w:rPr>
          <w:rFonts w:hint="eastAsia"/>
          <w:u w:val="single"/>
        </w:rPr>
        <w:t>通过现有工程以新带老措施，现有工程</w:t>
      </w:r>
      <w:r>
        <w:rPr>
          <w:rFonts w:hint="eastAsia"/>
          <w:u w:val="single"/>
        </w:rPr>
        <w:t>VOCs</w:t>
      </w:r>
      <w:r>
        <w:rPr>
          <w:rFonts w:hint="eastAsia"/>
          <w:u w:val="single"/>
        </w:rPr>
        <w:t>削减量为</w:t>
      </w:r>
      <w:r>
        <w:rPr>
          <w:rFonts w:hint="eastAsia"/>
          <w:u w:val="single"/>
        </w:rPr>
        <w:t>2.0914</w:t>
      </w:r>
      <w:r>
        <w:rPr>
          <w:u w:val="single"/>
        </w:rPr>
        <w:t>t/a</w:t>
      </w:r>
      <w:r>
        <w:rPr>
          <w:rFonts w:hint="eastAsia"/>
          <w:u w:val="single"/>
        </w:rPr>
        <w:t>，本项目新增</w:t>
      </w:r>
      <w:r>
        <w:rPr>
          <w:rFonts w:hint="eastAsia"/>
          <w:u w:val="single"/>
        </w:rPr>
        <w:t>VOCs</w:t>
      </w:r>
      <w:r>
        <w:rPr>
          <w:rFonts w:hint="eastAsia"/>
          <w:u w:val="single"/>
        </w:rPr>
        <w:t>从以新削减量中替代后，新增</w:t>
      </w:r>
      <w:r>
        <w:rPr>
          <w:rFonts w:hint="eastAsia"/>
          <w:u w:val="single"/>
        </w:rPr>
        <w:t>VOCs1.1066</w:t>
      </w:r>
      <w:r>
        <w:rPr>
          <w:u w:val="single"/>
        </w:rPr>
        <w:t>t/a</w:t>
      </w:r>
      <w:r>
        <w:rPr>
          <w:rFonts w:hint="eastAsia"/>
          <w:u w:val="single"/>
        </w:rPr>
        <w:t>。</w:t>
      </w:r>
    </w:p>
    <w:p w:rsidR="00EE56C0" w:rsidRDefault="000F36A1">
      <w:pPr>
        <w:spacing w:line="500" w:lineRule="exact"/>
        <w:ind w:firstLine="482"/>
        <w:rPr>
          <w:b/>
          <w:u w:val="single"/>
        </w:rPr>
      </w:pPr>
      <w:r>
        <w:rPr>
          <w:rFonts w:hint="eastAsia"/>
          <w:b/>
          <w:u w:val="single"/>
        </w:rPr>
        <w:t>废气污染物替代方案：</w:t>
      </w:r>
    </w:p>
    <w:p w:rsidR="00EE56C0" w:rsidRDefault="000F36A1">
      <w:pPr>
        <w:ind w:firstLine="480"/>
        <w:rPr>
          <w:highlight w:val="yellow"/>
        </w:rPr>
      </w:pPr>
      <w:r>
        <w:rPr>
          <w:rFonts w:hint="eastAsia"/>
          <w:u w:val="single"/>
        </w:rPr>
        <w:t>该项目新增大气污染物排放量为：</w:t>
      </w:r>
      <w:r>
        <w:rPr>
          <w:rFonts w:hint="eastAsia"/>
          <w:u w:val="single"/>
        </w:rPr>
        <w:t>VOCs1.1066t/a</w:t>
      </w:r>
      <w:r>
        <w:rPr>
          <w:rFonts w:hint="eastAsia"/>
          <w:u w:val="single"/>
        </w:rPr>
        <w:t>。经双倍替代后所需替代量为：</w:t>
      </w:r>
      <w:r>
        <w:rPr>
          <w:rFonts w:hint="eastAsia"/>
          <w:u w:val="single"/>
        </w:rPr>
        <w:t>VOCs2.2132t/a</w:t>
      </w:r>
      <w:r w:rsidR="00971E69">
        <w:rPr>
          <w:rFonts w:hint="eastAsia"/>
          <w:u w:val="single"/>
        </w:rPr>
        <w:t>，</w:t>
      </w:r>
      <w:r w:rsidR="00971E69" w:rsidRPr="00971E69">
        <w:rPr>
          <w:rFonts w:hint="eastAsia"/>
          <w:color w:val="000000"/>
          <w:u w:val="single"/>
        </w:rPr>
        <w:t>VOC</w:t>
      </w:r>
      <w:r w:rsidR="00971E69" w:rsidRPr="00971E69">
        <w:rPr>
          <w:color w:val="000000"/>
          <w:u w:val="single"/>
        </w:rPr>
        <w:t>排放量</w:t>
      </w:r>
      <w:r w:rsidR="00971E69" w:rsidRPr="00971E69">
        <w:rPr>
          <w:rFonts w:hint="eastAsia"/>
          <w:color w:val="000000"/>
          <w:u w:val="single"/>
        </w:rPr>
        <w:t>从河南粮好仓储设备科技有限公司拆除喷漆房产生的减排量剩余量</w:t>
      </w:r>
      <w:r w:rsidR="00971E69" w:rsidRPr="00971E69">
        <w:rPr>
          <w:rFonts w:hint="eastAsia"/>
          <w:color w:val="000000"/>
          <w:u w:val="single"/>
        </w:rPr>
        <w:t>17.2116t</w:t>
      </w:r>
      <w:r w:rsidR="00971E69" w:rsidRPr="00971E69">
        <w:rPr>
          <w:rFonts w:hint="eastAsia"/>
          <w:color w:val="000000"/>
          <w:u w:val="single"/>
        </w:rPr>
        <w:t>中</w:t>
      </w:r>
      <w:r w:rsidR="00971E69" w:rsidRPr="00971E69">
        <w:rPr>
          <w:bCs/>
          <w:color w:val="000000"/>
          <w:u w:val="single"/>
        </w:rPr>
        <w:t>调剂给本项目</w:t>
      </w:r>
      <w:r w:rsidR="00971E69" w:rsidRPr="00971E69">
        <w:rPr>
          <w:rFonts w:hint="eastAsia"/>
          <w:color w:val="000000"/>
          <w:u w:val="single"/>
        </w:rPr>
        <w:t>VOC2.2132t/a</w:t>
      </w:r>
      <w:r w:rsidR="00971E69" w:rsidRPr="00971E69">
        <w:rPr>
          <w:bCs/>
          <w:color w:val="000000"/>
          <w:u w:val="single"/>
        </w:rPr>
        <w:t>作为替代量</w:t>
      </w:r>
      <w:r>
        <w:rPr>
          <w:rFonts w:hint="eastAsia"/>
        </w:rPr>
        <w:t>。</w:t>
      </w:r>
    </w:p>
    <w:p w:rsidR="00EE56C0" w:rsidRDefault="000F36A1">
      <w:pPr>
        <w:pStyle w:val="1"/>
        <w:numPr>
          <w:ilvl w:val="0"/>
          <w:numId w:val="3"/>
        </w:numPr>
        <w:spacing w:before="360" w:after="480"/>
      </w:pPr>
      <w:bookmarkStart w:id="441" w:name="_Toc25400933"/>
      <w:bookmarkEnd w:id="395"/>
      <w:bookmarkEnd w:id="396"/>
      <w:bookmarkEnd w:id="397"/>
      <w:r>
        <w:lastRenderedPageBreak/>
        <w:t>环境</w:t>
      </w:r>
      <w:r>
        <w:rPr>
          <w:rFonts w:hint="eastAsia"/>
        </w:rPr>
        <w:t>影响</w:t>
      </w:r>
      <w:r>
        <w:t>经济损益分析</w:t>
      </w:r>
      <w:bookmarkEnd w:id="371"/>
      <w:bookmarkEnd w:id="441"/>
    </w:p>
    <w:p w:rsidR="00EE56C0" w:rsidRDefault="000F36A1">
      <w:pPr>
        <w:ind w:firstLine="480"/>
      </w:pPr>
      <w:r>
        <w:rPr>
          <w:rFonts w:hint="eastAsia"/>
        </w:rPr>
        <w:t>环境经济损益分析是建设项目环境影响评价的一个重要组成部分，它是综合评价判断建设项目的投资经济效益和环保措施是否能够补偿或多大程度上补偿由于项目的建设可能造成的环境影响和损失的重要依据。</w:t>
      </w:r>
    </w:p>
    <w:p w:rsidR="00EE56C0" w:rsidRDefault="000F36A1">
      <w:pPr>
        <w:pStyle w:val="2"/>
        <w:ind w:firstLine="301"/>
      </w:pPr>
      <w:bookmarkStart w:id="442" w:name="_Toc428287656"/>
      <w:bookmarkStart w:id="443" w:name="_Toc25400934"/>
      <w:bookmarkStart w:id="444" w:name="_Toc281942361"/>
      <w:bookmarkStart w:id="445" w:name="_Toc428287304"/>
      <w:bookmarkStart w:id="446" w:name="_Toc421256163"/>
      <w:bookmarkStart w:id="447" w:name="_Toc429318452"/>
      <w:bookmarkStart w:id="448" w:name="_Toc281942362"/>
      <w:bookmarkStart w:id="449" w:name="_Toc304300485"/>
      <w:r>
        <w:rPr>
          <w:rFonts w:hint="eastAsia"/>
        </w:rPr>
        <w:t>7.1</w:t>
      </w:r>
      <w:r>
        <w:rPr>
          <w:rFonts w:hint="eastAsia"/>
        </w:rPr>
        <w:t>社会效益分析</w:t>
      </w:r>
      <w:bookmarkEnd w:id="442"/>
      <w:bookmarkEnd w:id="443"/>
      <w:bookmarkEnd w:id="444"/>
      <w:bookmarkEnd w:id="445"/>
      <w:bookmarkEnd w:id="446"/>
      <w:bookmarkEnd w:id="447"/>
    </w:p>
    <w:p w:rsidR="00EE56C0" w:rsidRDefault="000F36A1">
      <w:pPr>
        <w:ind w:firstLine="480"/>
      </w:pPr>
      <w:r>
        <w:rPr>
          <w:rFonts w:hint="eastAsia"/>
        </w:rPr>
        <w:t>河南华洋电工科技集团有限公司高可靠性抗高压耐热绕组线项目具有的社会效益：</w:t>
      </w:r>
    </w:p>
    <w:p w:rsidR="00EE56C0" w:rsidRDefault="000F36A1">
      <w:pPr>
        <w:ind w:firstLine="480"/>
      </w:pPr>
      <w:r>
        <w:rPr>
          <w:rFonts w:hint="eastAsia"/>
        </w:rPr>
        <w:t>（</w:t>
      </w:r>
      <w:r>
        <w:rPr>
          <w:rFonts w:hint="eastAsia"/>
        </w:rPr>
        <w:t>1</w:t>
      </w:r>
      <w:r>
        <w:rPr>
          <w:rFonts w:hint="eastAsia"/>
        </w:rPr>
        <w:t>）河南华洋电工科技集团有限公司拟投资</w:t>
      </w:r>
      <w:r>
        <w:rPr>
          <w:rFonts w:hint="eastAsia"/>
        </w:rPr>
        <w:t>13750</w:t>
      </w:r>
      <w:r>
        <w:rPr>
          <w:rFonts w:hint="eastAsia"/>
        </w:rPr>
        <w:t>万元、在新乡市新乡县新乡经济技术集聚区远大路西段建设高可靠性抗高压耐热绕组线项目。本项目的建设，在为企业创造经济效益的同时，还可增加当地财政收入，带动当地经济发展和产业结构调整。</w:t>
      </w:r>
    </w:p>
    <w:p w:rsidR="00EE56C0" w:rsidRDefault="000F36A1">
      <w:pPr>
        <w:ind w:firstLine="480"/>
      </w:pPr>
      <w:r>
        <w:rPr>
          <w:rFonts w:hint="eastAsia"/>
        </w:rPr>
        <w:t>（</w:t>
      </w:r>
      <w:r>
        <w:rPr>
          <w:rFonts w:hint="eastAsia"/>
        </w:rPr>
        <w:t>2</w:t>
      </w:r>
      <w:r>
        <w:rPr>
          <w:rFonts w:hint="eastAsia"/>
        </w:rPr>
        <w:t>）本项目符合国家的产业政策，选址符合城市规划和土地政策。项目投产后，公司既满足了市场需求，又为当地经济发展作出了贡献；还能拉动了周边相关产业的发展，对当地的社会经济发展起到积极作用；生产需要各种辅助原料，以及产品的流通，可带动和促进当地相应的工业、交通运输业的发展，更能促进区域经济多方面的交流发展。因此，项目的建设社会效益显著。</w:t>
      </w:r>
    </w:p>
    <w:p w:rsidR="00EE56C0" w:rsidRDefault="000F36A1">
      <w:pPr>
        <w:ind w:firstLine="480"/>
      </w:pPr>
      <w:r>
        <w:rPr>
          <w:rFonts w:hint="eastAsia"/>
        </w:rPr>
        <w:t>（</w:t>
      </w:r>
      <w:r>
        <w:rPr>
          <w:rFonts w:hint="eastAsia"/>
        </w:rPr>
        <w:t>3</w:t>
      </w:r>
      <w:r>
        <w:rPr>
          <w:rFonts w:hint="eastAsia"/>
        </w:rPr>
        <w:t>）可新增就业，减轻当地的就业压力，同时促进社会的稳定发展，增加当地居民收入，提高居民的整体生活水平，有利于社会的安定，为企业的发展提供良好的群众基础</w:t>
      </w:r>
      <w:r>
        <w:t>。</w:t>
      </w:r>
    </w:p>
    <w:p w:rsidR="00EE56C0" w:rsidRDefault="000F36A1">
      <w:pPr>
        <w:ind w:firstLine="480"/>
      </w:pPr>
      <w:r>
        <w:t>综上所述，项目的建设可有效地促进</w:t>
      </w:r>
      <w:r>
        <w:rPr>
          <w:rFonts w:hint="eastAsia"/>
        </w:rPr>
        <w:t>当地</w:t>
      </w:r>
      <w:r>
        <w:t>社会和经济的协调发展，</w:t>
      </w:r>
      <w:r>
        <w:rPr>
          <w:rFonts w:hint="eastAsia"/>
        </w:rPr>
        <w:t>评价认为，</w:t>
      </w:r>
      <w:r>
        <w:t>项目的建设</w:t>
      </w:r>
      <w:r>
        <w:rPr>
          <w:rFonts w:hint="eastAsia"/>
        </w:rPr>
        <w:t>具有良好的</w:t>
      </w:r>
      <w:r>
        <w:t>社会效益。</w:t>
      </w:r>
    </w:p>
    <w:p w:rsidR="00EE56C0" w:rsidRDefault="000F36A1">
      <w:pPr>
        <w:pStyle w:val="110"/>
        <w:spacing w:before="120" w:after="120"/>
        <w:ind w:firstLine="301"/>
      </w:pPr>
      <w:bookmarkStart w:id="450" w:name="_Toc25400935"/>
      <w:r>
        <w:rPr>
          <w:rFonts w:hint="eastAsia"/>
        </w:rPr>
        <w:t>7.2</w:t>
      </w:r>
      <w:r>
        <w:t>经济效益分析</w:t>
      </w:r>
      <w:bookmarkEnd w:id="448"/>
      <w:bookmarkEnd w:id="449"/>
      <w:bookmarkEnd w:id="450"/>
    </w:p>
    <w:p w:rsidR="00EE56C0" w:rsidRDefault="000F36A1">
      <w:pPr>
        <w:ind w:firstLine="480"/>
      </w:pPr>
      <w:r>
        <w:rPr>
          <w:rFonts w:hint="eastAsia"/>
        </w:rPr>
        <w:lastRenderedPageBreak/>
        <w:t>根据建设单位提供的本项目的建议书及其他经济数据，本项目的主要经济指标</w:t>
      </w:r>
      <w:r>
        <w:t>见下表：</w:t>
      </w:r>
    </w:p>
    <w:p w:rsidR="00EE56C0" w:rsidRDefault="000F36A1">
      <w:pPr>
        <w:pStyle w:val="afd"/>
        <w:spacing w:before="120" w:after="120"/>
        <w:ind w:firstLine="482"/>
      </w:pPr>
      <w:r>
        <w:rPr>
          <w:rFonts w:hint="eastAsia"/>
        </w:rPr>
        <w:t>表</w:t>
      </w:r>
      <w:r>
        <w:rPr>
          <w:rFonts w:hint="eastAsia"/>
        </w:rPr>
        <w:t>7</w:t>
      </w:r>
      <w:r>
        <w:t xml:space="preserve">-1       </w:t>
      </w:r>
      <w:r>
        <w:rPr>
          <w:rFonts w:hint="eastAsia"/>
        </w:rPr>
        <w:t xml:space="preserve">        </w:t>
      </w:r>
      <w:r>
        <w:rPr>
          <w:rFonts w:hint="eastAsia"/>
        </w:rPr>
        <w:t>工程经济效益分析</w:t>
      </w:r>
    </w:p>
    <w:tbl>
      <w:tblPr>
        <w:tblW w:w="0" w:type="auto"/>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820"/>
        <w:gridCol w:w="2611"/>
        <w:gridCol w:w="1690"/>
        <w:gridCol w:w="1771"/>
        <w:gridCol w:w="1637"/>
      </w:tblGrid>
      <w:tr w:rsidR="00EE56C0">
        <w:trPr>
          <w:trHeight w:val="397"/>
          <w:jc w:val="center"/>
        </w:trPr>
        <w:tc>
          <w:tcPr>
            <w:tcW w:w="820" w:type="dxa"/>
            <w:vMerge w:val="restart"/>
            <w:vAlign w:val="center"/>
          </w:tcPr>
          <w:p w:rsidR="00EE56C0" w:rsidRDefault="000F36A1">
            <w:pPr>
              <w:pStyle w:val="aff1"/>
              <w:rPr>
                <w:color w:val="auto"/>
              </w:rPr>
            </w:pPr>
            <w:r>
              <w:rPr>
                <w:color w:val="auto"/>
              </w:rPr>
              <w:t>序号</w:t>
            </w:r>
          </w:p>
        </w:tc>
        <w:tc>
          <w:tcPr>
            <w:tcW w:w="2611" w:type="dxa"/>
            <w:vMerge w:val="restart"/>
            <w:vAlign w:val="center"/>
          </w:tcPr>
          <w:p w:rsidR="00EE56C0" w:rsidRDefault="000F36A1">
            <w:pPr>
              <w:pStyle w:val="aff1"/>
              <w:rPr>
                <w:color w:val="auto"/>
              </w:rPr>
            </w:pPr>
            <w:r>
              <w:rPr>
                <w:color w:val="auto"/>
              </w:rPr>
              <w:t>项目</w:t>
            </w:r>
          </w:p>
        </w:tc>
        <w:tc>
          <w:tcPr>
            <w:tcW w:w="1690" w:type="dxa"/>
            <w:vMerge w:val="restart"/>
            <w:vAlign w:val="center"/>
          </w:tcPr>
          <w:p w:rsidR="00EE56C0" w:rsidRDefault="000F36A1">
            <w:pPr>
              <w:pStyle w:val="aff1"/>
              <w:rPr>
                <w:color w:val="auto"/>
              </w:rPr>
            </w:pPr>
            <w:r>
              <w:rPr>
                <w:color w:val="auto"/>
              </w:rPr>
              <w:t>单位</w:t>
            </w:r>
          </w:p>
        </w:tc>
        <w:tc>
          <w:tcPr>
            <w:tcW w:w="3408" w:type="dxa"/>
            <w:gridSpan w:val="2"/>
            <w:tcBorders>
              <w:bottom w:val="single" w:sz="4" w:space="0" w:color="auto"/>
            </w:tcBorders>
            <w:vAlign w:val="center"/>
          </w:tcPr>
          <w:p w:rsidR="00EE56C0" w:rsidRDefault="000F36A1">
            <w:pPr>
              <w:pStyle w:val="aff1"/>
              <w:rPr>
                <w:color w:val="auto"/>
              </w:rPr>
            </w:pPr>
            <w:r>
              <w:rPr>
                <w:color w:val="auto"/>
              </w:rPr>
              <w:t>数量</w:t>
            </w:r>
          </w:p>
        </w:tc>
      </w:tr>
      <w:tr w:rsidR="00EE56C0">
        <w:trPr>
          <w:trHeight w:val="397"/>
          <w:jc w:val="center"/>
        </w:trPr>
        <w:tc>
          <w:tcPr>
            <w:tcW w:w="820" w:type="dxa"/>
            <w:vMerge/>
            <w:vAlign w:val="center"/>
          </w:tcPr>
          <w:p w:rsidR="00EE56C0" w:rsidRDefault="00EE56C0">
            <w:pPr>
              <w:pStyle w:val="aff1"/>
              <w:rPr>
                <w:color w:val="auto"/>
              </w:rPr>
            </w:pPr>
          </w:p>
        </w:tc>
        <w:tc>
          <w:tcPr>
            <w:tcW w:w="2611" w:type="dxa"/>
            <w:vMerge/>
            <w:vAlign w:val="center"/>
          </w:tcPr>
          <w:p w:rsidR="00EE56C0" w:rsidRDefault="00EE56C0">
            <w:pPr>
              <w:pStyle w:val="aff1"/>
              <w:rPr>
                <w:color w:val="auto"/>
              </w:rPr>
            </w:pPr>
          </w:p>
        </w:tc>
        <w:tc>
          <w:tcPr>
            <w:tcW w:w="1690" w:type="dxa"/>
            <w:vMerge/>
            <w:vAlign w:val="center"/>
          </w:tcPr>
          <w:p w:rsidR="00EE56C0" w:rsidRDefault="00EE56C0">
            <w:pPr>
              <w:pStyle w:val="aff1"/>
              <w:rPr>
                <w:color w:val="auto"/>
              </w:rPr>
            </w:pPr>
          </w:p>
        </w:tc>
        <w:tc>
          <w:tcPr>
            <w:tcW w:w="1771" w:type="dxa"/>
            <w:tcBorders>
              <w:top w:val="single" w:sz="4" w:space="0" w:color="auto"/>
            </w:tcBorders>
            <w:vAlign w:val="center"/>
          </w:tcPr>
          <w:p w:rsidR="00EE56C0" w:rsidRDefault="000F36A1">
            <w:pPr>
              <w:pStyle w:val="aff1"/>
              <w:rPr>
                <w:color w:val="auto"/>
              </w:rPr>
            </w:pPr>
            <w:r>
              <w:rPr>
                <w:rFonts w:hint="eastAsia"/>
                <w:color w:val="auto"/>
              </w:rPr>
              <w:t>一期</w:t>
            </w:r>
          </w:p>
        </w:tc>
        <w:tc>
          <w:tcPr>
            <w:tcW w:w="1637" w:type="dxa"/>
            <w:tcBorders>
              <w:top w:val="single" w:sz="4" w:space="0" w:color="auto"/>
            </w:tcBorders>
            <w:vAlign w:val="center"/>
          </w:tcPr>
          <w:p w:rsidR="00EE56C0" w:rsidRDefault="000F36A1">
            <w:pPr>
              <w:pStyle w:val="aff1"/>
              <w:rPr>
                <w:color w:val="auto"/>
              </w:rPr>
            </w:pPr>
            <w:r>
              <w:rPr>
                <w:rFonts w:hint="eastAsia"/>
                <w:color w:val="auto"/>
              </w:rPr>
              <w:t>二期</w:t>
            </w:r>
          </w:p>
        </w:tc>
      </w:tr>
      <w:tr w:rsidR="00EE56C0">
        <w:trPr>
          <w:trHeight w:val="397"/>
          <w:jc w:val="center"/>
        </w:trPr>
        <w:tc>
          <w:tcPr>
            <w:tcW w:w="820" w:type="dxa"/>
            <w:vMerge w:val="restart"/>
            <w:vAlign w:val="center"/>
          </w:tcPr>
          <w:p w:rsidR="00EE56C0" w:rsidRDefault="000F36A1">
            <w:pPr>
              <w:pStyle w:val="afa"/>
            </w:pPr>
            <w:r>
              <w:t>1</w:t>
            </w:r>
          </w:p>
        </w:tc>
        <w:tc>
          <w:tcPr>
            <w:tcW w:w="2611" w:type="dxa"/>
            <w:vAlign w:val="center"/>
          </w:tcPr>
          <w:p w:rsidR="00EE56C0" w:rsidRDefault="000F36A1">
            <w:pPr>
              <w:pStyle w:val="afa"/>
            </w:pPr>
            <w:r>
              <w:t>总投资</w:t>
            </w:r>
          </w:p>
        </w:tc>
        <w:tc>
          <w:tcPr>
            <w:tcW w:w="1690" w:type="dxa"/>
            <w:vAlign w:val="center"/>
          </w:tcPr>
          <w:p w:rsidR="00EE56C0" w:rsidRDefault="000F36A1">
            <w:pPr>
              <w:pStyle w:val="afa"/>
            </w:pPr>
            <w:r>
              <w:t>万</w:t>
            </w:r>
            <w:r>
              <w:t xml:space="preserve"> </w:t>
            </w:r>
            <w:r>
              <w:t>元</w:t>
            </w:r>
          </w:p>
        </w:tc>
        <w:tc>
          <w:tcPr>
            <w:tcW w:w="1771" w:type="dxa"/>
            <w:vAlign w:val="center"/>
          </w:tcPr>
          <w:p w:rsidR="00EE56C0" w:rsidRDefault="000F36A1">
            <w:pPr>
              <w:pStyle w:val="afa"/>
              <w:rPr>
                <w:rFonts w:ascii="宋体" w:hAnsi="宋体" w:cs="宋体"/>
              </w:rPr>
            </w:pPr>
            <w:r>
              <w:rPr>
                <w:rFonts w:hint="eastAsia"/>
              </w:rPr>
              <w:t>3000</w:t>
            </w:r>
          </w:p>
        </w:tc>
        <w:tc>
          <w:tcPr>
            <w:tcW w:w="1637" w:type="dxa"/>
            <w:vAlign w:val="center"/>
          </w:tcPr>
          <w:p w:rsidR="00EE56C0" w:rsidRDefault="000F36A1">
            <w:pPr>
              <w:pStyle w:val="afa"/>
              <w:rPr>
                <w:rFonts w:ascii="宋体" w:hAnsi="宋体" w:cs="宋体"/>
              </w:rPr>
            </w:pPr>
            <w:r>
              <w:rPr>
                <w:rFonts w:hint="eastAsia"/>
              </w:rPr>
              <w:t>10750</w:t>
            </w:r>
          </w:p>
        </w:tc>
      </w:tr>
      <w:tr w:rsidR="00EE56C0">
        <w:trPr>
          <w:trHeight w:val="397"/>
          <w:jc w:val="center"/>
        </w:trPr>
        <w:tc>
          <w:tcPr>
            <w:tcW w:w="820" w:type="dxa"/>
            <w:vMerge/>
            <w:vAlign w:val="center"/>
          </w:tcPr>
          <w:p w:rsidR="00EE56C0" w:rsidRDefault="00EE56C0">
            <w:pPr>
              <w:pStyle w:val="afa"/>
            </w:pPr>
          </w:p>
        </w:tc>
        <w:tc>
          <w:tcPr>
            <w:tcW w:w="2611" w:type="dxa"/>
            <w:vAlign w:val="center"/>
          </w:tcPr>
          <w:p w:rsidR="00EE56C0" w:rsidRDefault="000F36A1">
            <w:pPr>
              <w:pStyle w:val="afa"/>
            </w:pPr>
            <w:r>
              <w:t>其中：固定资产投资</w:t>
            </w:r>
          </w:p>
        </w:tc>
        <w:tc>
          <w:tcPr>
            <w:tcW w:w="1690" w:type="dxa"/>
            <w:vAlign w:val="center"/>
          </w:tcPr>
          <w:p w:rsidR="00EE56C0" w:rsidRDefault="000F36A1">
            <w:pPr>
              <w:pStyle w:val="afa"/>
            </w:pPr>
            <w:r>
              <w:t>万</w:t>
            </w:r>
            <w:r>
              <w:t xml:space="preserve"> </w:t>
            </w:r>
            <w:r>
              <w:t>元</w:t>
            </w:r>
          </w:p>
        </w:tc>
        <w:tc>
          <w:tcPr>
            <w:tcW w:w="1771" w:type="dxa"/>
            <w:vAlign w:val="center"/>
          </w:tcPr>
          <w:p w:rsidR="00EE56C0" w:rsidRDefault="000F36A1">
            <w:pPr>
              <w:pStyle w:val="afa"/>
              <w:rPr>
                <w:rFonts w:ascii="宋体" w:hAnsi="宋体" w:cs="宋体"/>
              </w:rPr>
            </w:pPr>
            <w:r>
              <w:rPr>
                <w:rFonts w:hint="eastAsia"/>
              </w:rPr>
              <w:t>4400</w:t>
            </w:r>
          </w:p>
        </w:tc>
        <w:tc>
          <w:tcPr>
            <w:tcW w:w="1637" w:type="dxa"/>
            <w:vAlign w:val="center"/>
          </w:tcPr>
          <w:p w:rsidR="00EE56C0" w:rsidRDefault="000F36A1">
            <w:pPr>
              <w:pStyle w:val="afa"/>
              <w:rPr>
                <w:rFonts w:ascii="宋体" w:hAnsi="宋体" w:cs="宋体"/>
              </w:rPr>
            </w:pPr>
            <w:r>
              <w:rPr>
                <w:rFonts w:hint="eastAsia"/>
              </w:rPr>
              <w:t>6600</w:t>
            </w:r>
          </w:p>
        </w:tc>
      </w:tr>
      <w:tr w:rsidR="00EE56C0">
        <w:trPr>
          <w:trHeight w:val="397"/>
          <w:jc w:val="center"/>
        </w:trPr>
        <w:tc>
          <w:tcPr>
            <w:tcW w:w="820" w:type="dxa"/>
            <w:vMerge/>
            <w:vAlign w:val="center"/>
          </w:tcPr>
          <w:p w:rsidR="00EE56C0" w:rsidRDefault="00EE56C0">
            <w:pPr>
              <w:pStyle w:val="afa"/>
            </w:pPr>
          </w:p>
        </w:tc>
        <w:tc>
          <w:tcPr>
            <w:tcW w:w="2611" w:type="dxa"/>
            <w:vAlign w:val="center"/>
          </w:tcPr>
          <w:p w:rsidR="00EE56C0" w:rsidRDefault="000F36A1">
            <w:pPr>
              <w:pStyle w:val="afa"/>
            </w:pPr>
            <w:r>
              <w:t>流动资金</w:t>
            </w:r>
          </w:p>
        </w:tc>
        <w:tc>
          <w:tcPr>
            <w:tcW w:w="1690" w:type="dxa"/>
            <w:vAlign w:val="center"/>
          </w:tcPr>
          <w:p w:rsidR="00EE56C0" w:rsidRDefault="000F36A1">
            <w:pPr>
              <w:pStyle w:val="afa"/>
            </w:pPr>
            <w:r>
              <w:t>万</w:t>
            </w:r>
            <w:r>
              <w:t xml:space="preserve"> </w:t>
            </w:r>
            <w:r>
              <w:t>元</w:t>
            </w:r>
          </w:p>
        </w:tc>
        <w:tc>
          <w:tcPr>
            <w:tcW w:w="1771" w:type="dxa"/>
            <w:vAlign w:val="center"/>
          </w:tcPr>
          <w:p w:rsidR="00EE56C0" w:rsidRDefault="000F36A1">
            <w:pPr>
              <w:pStyle w:val="afa"/>
              <w:rPr>
                <w:rFonts w:ascii="宋体" w:hAnsi="宋体" w:cs="宋体"/>
              </w:rPr>
            </w:pPr>
            <w:r>
              <w:rPr>
                <w:rFonts w:hint="eastAsia"/>
              </w:rPr>
              <w:t>1100</w:t>
            </w:r>
          </w:p>
        </w:tc>
        <w:tc>
          <w:tcPr>
            <w:tcW w:w="1637" w:type="dxa"/>
            <w:vAlign w:val="center"/>
          </w:tcPr>
          <w:p w:rsidR="00EE56C0" w:rsidRDefault="000F36A1">
            <w:pPr>
              <w:pStyle w:val="afa"/>
              <w:rPr>
                <w:rFonts w:ascii="宋体" w:hAnsi="宋体" w:cs="宋体"/>
              </w:rPr>
            </w:pPr>
            <w:r>
              <w:rPr>
                <w:rFonts w:hint="eastAsia"/>
              </w:rPr>
              <w:t>1650</w:t>
            </w:r>
          </w:p>
        </w:tc>
      </w:tr>
      <w:tr w:rsidR="00EE56C0">
        <w:trPr>
          <w:trHeight w:val="397"/>
          <w:jc w:val="center"/>
        </w:trPr>
        <w:tc>
          <w:tcPr>
            <w:tcW w:w="820" w:type="dxa"/>
            <w:vAlign w:val="center"/>
          </w:tcPr>
          <w:p w:rsidR="00EE56C0" w:rsidRDefault="000F36A1">
            <w:pPr>
              <w:pStyle w:val="afa"/>
            </w:pPr>
            <w:r>
              <w:t>2</w:t>
            </w:r>
          </w:p>
        </w:tc>
        <w:tc>
          <w:tcPr>
            <w:tcW w:w="2611" w:type="dxa"/>
            <w:vAlign w:val="center"/>
          </w:tcPr>
          <w:p w:rsidR="00EE56C0" w:rsidRDefault="000F36A1">
            <w:pPr>
              <w:pStyle w:val="afa"/>
            </w:pPr>
            <w:r>
              <w:t>年销售收入</w:t>
            </w:r>
          </w:p>
        </w:tc>
        <w:tc>
          <w:tcPr>
            <w:tcW w:w="1690" w:type="dxa"/>
            <w:vAlign w:val="center"/>
          </w:tcPr>
          <w:p w:rsidR="00EE56C0" w:rsidRDefault="000F36A1">
            <w:pPr>
              <w:pStyle w:val="afa"/>
            </w:pPr>
            <w:r>
              <w:t>万</w:t>
            </w:r>
            <w:r>
              <w:t xml:space="preserve"> </w:t>
            </w:r>
            <w:r>
              <w:t>元</w:t>
            </w:r>
          </w:p>
        </w:tc>
        <w:tc>
          <w:tcPr>
            <w:tcW w:w="1771" w:type="dxa"/>
            <w:vAlign w:val="center"/>
          </w:tcPr>
          <w:p w:rsidR="00EE56C0" w:rsidRDefault="000F36A1">
            <w:pPr>
              <w:pStyle w:val="afa"/>
              <w:rPr>
                <w:rFonts w:ascii="宋体" w:hAnsi="宋体" w:cs="宋体"/>
              </w:rPr>
            </w:pPr>
            <w:r>
              <w:rPr>
                <w:rFonts w:hint="eastAsia"/>
              </w:rPr>
              <w:t>4300</w:t>
            </w:r>
          </w:p>
        </w:tc>
        <w:tc>
          <w:tcPr>
            <w:tcW w:w="1637" w:type="dxa"/>
            <w:vAlign w:val="center"/>
          </w:tcPr>
          <w:p w:rsidR="00EE56C0" w:rsidRDefault="000F36A1">
            <w:pPr>
              <w:pStyle w:val="afa"/>
              <w:rPr>
                <w:rFonts w:ascii="宋体" w:hAnsi="宋体" w:cs="宋体"/>
              </w:rPr>
            </w:pPr>
            <w:r>
              <w:rPr>
                <w:rFonts w:hint="eastAsia"/>
              </w:rPr>
              <w:t>6900</w:t>
            </w:r>
          </w:p>
        </w:tc>
      </w:tr>
      <w:tr w:rsidR="00EE56C0">
        <w:trPr>
          <w:trHeight w:val="397"/>
          <w:jc w:val="center"/>
        </w:trPr>
        <w:tc>
          <w:tcPr>
            <w:tcW w:w="820" w:type="dxa"/>
            <w:vAlign w:val="center"/>
          </w:tcPr>
          <w:p w:rsidR="00EE56C0" w:rsidRDefault="000F36A1">
            <w:pPr>
              <w:pStyle w:val="afa"/>
            </w:pPr>
            <w:r>
              <w:t>3</w:t>
            </w:r>
          </w:p>
        </w:tc>
        <w:tc>
          <w:tcPr>
            <w:tcW w:w="2611" w:type="dxa"/>
            <w:vAlign w:val="center"/>
          </w:tcPr>
          <w:p w:rsidR="00EE56C0" w:rsidRDefault="000F36A1">
            <w:pPr>
              <w:pStyle w:val="afa"/>
            </w:pPr>
            <w:r>
              <w:t>总成本</w:t>
            </w:r>
          </w:p>
        </w:tc>
        <w:tc>
          <w:tcPr>
            <w:tcW w:w="1690" w:type="dxa"/>
            <w:vAlign w:val="center"/>
          </w:tcPr>
          <w:p w:rsidR="00EE56C0" w:rsidRDefault="000F36A1">
            <w:pPr>
              <w:pStyle w:val="afa"/>
            </w:pPr>
            <w:r>
              <w:t>万</w:t>
            </w:r>
            <w:r>
              <w:t xml:space="preserve"> </w:t>
            </w:r>
            <w:r>
              <w:t>元</w:t>
            </w:r>
          </w:p>
        </w:tc>
        <w:tc>
          <w:tcPr>
            <w:tcW w:w="1771" w:type="dxa"/>
            <w:vAlign w:val="center"/>
          </w:tcPr>
          <w:p w:rsidR="00EE56C0" w:rsidRDefault="000F36A1">
            <w:pPr>
              <w:pStyle w:val="afa"/>
              <w:rPr>
                <w:rFonts w:ascii="宋体" w:hAnsi="宋体" w:cs="宋体"/>
              </w:rPr>
            </w:pPr>
            <w:r>
              <w:rPr>
                <w:rFonts w:hint="eastAsia"/>
              </w:rPr>
              <w:t>2500</w:t>
            </w:r>
          </w:p>
        </w:tc>
        <w:tc>
          <w:tcPr>
            <w:tcW w:w="1637" w:type="dxa"/>
            <w:vAlign w:val="center"/>
          </w:tcPr>
          <w:p w:rsidR="00EE56C0" w:rsidRDefault="000F36A1">
            <w:pPr>
              <w:pStyle w:val="afa"/>
              <w:rPr>
                <w:rFonts w:ascii="宋体" w:hAnsi="宋体" w:cs="宋体"/>
              </w:rPr>
            </w:pPr>
            <w:r>
              <w:rPr>
                <w:rFonts w:hint="eastAsia"/>
              </w:rPr>
              <w:t>3400</w:t>
            </w:r>
          </w:p>
        </w:tc>
      </w:tr>
      <w:tr w:rsidR="00EE56C0">
        <w:trPr>
          <w:trHeight w:val="397"/>
          <w:jc w:val="center"/>
        </w:trPr>
        <w:tc>
          <w:tcPr>
            <w:tcW w:w="820" w:type="dxa"/>
            <w:vAlign w:val="center"/>
          </w:tcPr>
          <w:p w:rsidR="00EE56C0" w:rsidRDefault="000F36A1">
            <w:pPr>
              <w:pStyle w:val="afa"/>
            </w:pPr>
            <w:r>
              <w:t>4</w:t>
            </w:r>
          </w:p>
        </w:tc>
        <w:tc>
          <w:tcPr>
            <w:tcW w:w="2611" w:type="dxa"/>
            <w:vAlign w:val="center"/>
          </w:tcPr>
          <w:p w:rsidR="00EE56C0" w:rsidRDefault="000F36A1">
            <w:pPr>
              <w:pStyle w:val="afa"/>
            </w:pPr>
            <w:r>
              <w:t>上交税金</w:t>
            </w:r>
          </w:p>
        </w:tc>
        <w:tc>
          <w:tcPr>
            <w:tcW w:w="1690" w:type="dxa"/>
            <w:vAlign w:val="center"/>
          </w:tcPr>
          <w:p w:rsidR="00EE56C0" w:rsidRDefault="000F36A1">
            <w:pPr>
              <w:pStyle w:val="afa"/>
            </w:pPr>
            <w:r>
              <w:t>万</w:t>
            </w:r>
            <w:r>
              <w:t xml:space="preserve"> </w:t>
            </w:r>
            <w:r>
              <w:t>元</w:t>
            </w:r>
          </w:p>
        </w:tc>
        <w:tc>
          <w:tcPr>
            <w:tcW w:w="1771" w:type="dxa"/>
            <w:vAlign w:val="center"/>
          </w:tcPr>
          <w:p w:rsidR="00EE56C0" w:rsidRDefault="000F36A1">
            <w:pPr>
              <w:pStyle w:val="afa"/>
              <w:rPr>
                <w:rFonts w:ascii="宋体" w:hAnsi="宋体" w:cs="宋体"/>
              </w:rPr>
            </w:pPr>
            <w:r>
              <w:rPr>
                <w:rFonts w:hint="eastAsia"/>
              </w:rPr>
              <w:t>645</w:t>
            </w:r>
          </w:p>
        </w:tc>
        <w:tc>
          <w:tcPr>
            <w:tcW w:w="1637" w:type="dxa"/>
            <w:vAlign w:val="center"/>
          </w:tcPr>
          <w:p w:rsidR="00EE56C0" w:rsidRDefault="000F36A1">
            <w:pPr>
              <w:pStyle w:val="afa"/>
              <w:rPr>
                <w:rFonts w:ascii="宋体" w:hAnsi="宋体" w:cs="宋体"/>
              </w:rPr>
            </w:pPr>
            <w:r>
              <w:rPr>
                <w:rFonts w:hint="eastAsia"/>
              </w:rPr>
              <w:t>1035</w:t>
            </w:r>
          </w:p>
        </w:tc>
      </w:tr>
      <w:tr w:rsidR="00EE56C0">
        <w:trPr>
          <w:trHeight w:val="397"/>
          <w:jc w:val="center"/>
        </w:trPr>
        <w:tc>
          <w:tcPr>
            <w:tcW w:w="820" w:type="dxa"/>
            <w:vAlign w:val="center"/>
          </w:tcPr>
          <w:p w:rsidR="00EE56C0" w:rsidRDefault="000F36A1">
            <w:pPr>
              <w:pStyle w:val="afa"/>
            </w:pPr>
            <w:r>
              <w:t>5</w:t>
            </w:r>
          </w:p>
        </w:tc>
        <w:tc>
          <w:tcPr>
            <w:tcW w:w="2611" w:type="dxa"/>
            <w:vAlign w:val="center"/>
          </w:tcPr>
          <w:p w:rsidR="00EE56C0" w:rsidRDefault="000F36A1">
            <w:pPr>
              <w:pStyle w:val="afa"/>
            </w:pPr>
            <w:r>
              <w:t>年销售利润（税前）</w:t>
            </w:r>
          </w:p>
        </w:tc>
        <w:tc>
          <w:tcPr>
            <w:tcW w:w="1690" w:type="dxa"/>
            <w:vAlign w:val="center"/>
          </w:tcPr>
          <w:p w:rsidR="00EE56C0" w:rsidRDefault="000F36A1">
            <w:pPr>
              <w:pStyle w:val="afa"/>
            </w:pPr>
            <w:r>
              <w:t>万</w:t>
            </w:r>
            <w:r>
              <w:t xml:space="preserve"> </w:t>
            </w:r>
            <w:r>
              <w:t>元</w:t>
            </w:r>
          </w:p>
        </w:tc>
        <w:tc>
          <w:tcPr>
            <w:tcW w:w="1771" w:type="dxa"/>
            <w:vAlign w:val="center"/>
          </w:tcPr>
          <w:p w:rsidR="00EE56C0" w:rsidRDefault="000F36A1">
            <w:pPr>
              <w:pStyle w:val="afa"/>
              <w:rPr>
                <w:rFonts w:ascii="宋体" w:hAnsi="宋体" w:cs="宋体"/>
              </w:rPr>
            </w:pPr>
            <w:r>
              <w:rPr>
                <w:rFonts w:hint="eastAsia"/>
              </w:rPr>
              <w:t>1800</w:t>
            </w:r>
          </w:p>
        </w:tc>
        <w:tc>
          <w:tcPr>
            <w:tcW w:w="1637" w:type="dxa"/>
            <w:vAlign w:val="center"/>
          </w:tcPr>
          <w:p w:rsidR="00EE56C0" w:rsidRDefault="000F36A1">
            <w:pPr>
              <w:pStyle w:val="afa"/>
              <w:rPr>
                <w:rFonts w:ascii="宋体" w:hAnsi="宋体" w:cs="宋体"/>
              </w:rPr>
            </w:pPr>
            <w:r>
              <w:rPr>
                <w:rFonts w:hint="eastAsia"/>
              </w:rPr>
              <w:t>3500</w:t>
            </w:r>
          </w:p>
        </w:tc>
      </w:tr>
      <w:tr w:rsidR="00EE56C0">
        <w:trPr>
          <w:trHeight w:val="397"/>
          <w:jc w:val="center"/>
        </w:trPr>
        <w:tc>
          <w:tcPr>
            <w:tcW w:w="820" w:type="dxa"/>
            <w:vAlign w:val="center"/>
          </w:tcPr>
          <w:p w:rsidR="00EE56C0" w:rsidRDefault="000F36A1">
            <w:pPr>
              <w:pStyle w:val="afa"/>
            </w:pPr>
            <w:r>
              <w:t>6</w:t>
            </w:r>
          </w:p>
        </w:tc>
        <w:tc>
          <w:tcPr>
            <w:tcW w:w="2611" w:type="dxa"/>
            <w:vAlign w:val="center"/>
          </w:tcPr>
          <w:p w:rsidR="00EE56C0" w:rsidRDefault="000F36A1">
            <w:pPr>
              <w:pStyle w:val="afa"/>
            </w:pPr>
            <w:r>
              <w:t>投资利润率</w:t>
            </w:r>
          </w:p>
        </w:tc>
        <w:tc>
          <w:tcPr>
            <w:tcW w:w="1690" w:type="dxa"/>
            <w:vAlign w:val="center"/>
          </w:tcPr>
          <w:p w:rsidR="00EE56C0" w:rsidRDefault="000F36A1">
            <w:pPr>
              <w:pStyle w:val="afa"/>
            </w:pPr>
            <w:r>
              <w:rPr>
                <w:rFonts w:hint="eastAsia"/>
              </w:rPr>
              <w:t>%</w:t>
            </w:r>
          </w:p>
        </w:tc>
        <w:tc>
          <w:tcPr>
            <w:tcW w:w="1771" w:type="dxa"/>
            <w:vAlign w:val="center"/>
          </w:tcPr>
          <w:p w:rsidR="00EE56C0" w:rsidRDefault="000F36A1">
            <w:pPr>
              <w:pStyle w:val="afa"/>
              <w:rPr>
                <w:rFonts w:ascii="宋体" w:hAnsi="宋体" w:cs="宋体"/>
              </w:rPr>
            </w:pPr>
            <w:r>
              <w:rPr>
                <w:rFonts w:hint="eastAsia"/>
              </w:rPr>
              <w:t>33</w:t>
            </w:r>
          </w:p>
        </w:tc>
        <w:tc>
          <w:tcPr>
            <w:tcW w:w="1637" w:type="dxa"/>
            <w:vAlign w:val="center"/>
          </w:tcPr>
          <w:p w:rsidR="00EE56C0" w:rsidRDefault="000F36A1">
            <w:pPr>
              <w:pStyle w:val="afa"/>
              <w:rPr>
                <w:rFonts w:ascii="宋体" w:hAnsi="宋体" w:cs="宋体"/>
              </w:rPr>
            </w:pPr>
            <w:r>
              <w:rPr>
                <w:rFonts w:hint="eastAsia"/>
              </w:rPr>
              <w:t>42</w:t>
            </w:r>
          </w:p>
        </w:tc>
      </w:tr>
      <w:tr w:rsidR="00EE56C0">
        <w:trPr>
          <w:trHeight w:val="397"/>
          <w:jc w:val="center"/>
        </w:trPr>
        <w:tc>
          <w:tcPr>
            <w:tcW w:w="820" w:type="dxa"/>
            <w:vAlign w:val="center"/>
          </w:tcPr>
          <w:p w:rsidR="00EE56C0" w:rsidRDefault="000F36A1">
            <w:pPr>
              <w:pStyle w:val="afa"/>
            </w:pPr>
            <w:r>
              <w:t>7</w:t>
            </w:r>
          </w:p>
        </w:tc>
        <w:tc>
          <w:tcPr>
            <w:tcW w:w="2611" w:type="dxa"/>
            <w:vAlign w:val="center"/>
          </w:tcPr>
          <w:p w:rsidR="00EE56C0" w:rsidRDefault="000F36A1">
            <w:pPr>
              <w:pStyle w:val="afa"/>
            </w:pPr>
            <w:r>
              <w:t>投资回收期（含建设期）</w:t>
            </w:r>
          </w:p>
        </w:tc>
        <w:tc>
          <w:tcPr>
            <w:tcW w:w="1690" w:type="dxa"/>
            <w:vAlign w:val="center"/>
          </w:tcPr>
          <w:p w:rsidR="00EE56C0" w:rsidRDefault="000F36A1">
            <w:pPr>
              <w:pStyle w:val="afa"/>
            </w:pPr>
            <w:r>
              <w:t>年</w:t>
            </w:r>
          </w:p>
        </w:tc>
        <w:tc>
          <w:tcPr>
            <w:tcW w:w="1771" w:type="dxa"/>
            <w:vAlign w:val="center"/>
          </w:tcPr>
          <w:p w:rsidR="00EE56C0" w:rsidRDefault="000F36A1">
            <w:pPr>
              <w:pStyle w:val="afa"/>
            </w:pPr>
            <w:r>
              <w:rPr>
                <w:rFonts w:hint="eastAsia"/>
              </w:rPr>
              <w:t>4</w:t>
            </w:r>
          </w:p>
        </w:tc>
        <w:tc>
          <w:tcPr>
            <w:tcW w:w="1637" w:type="dxa"/>
            <w:vAlign w:val="center"/>
          </w:tcPr>
          <w:p w:rsidR="00EE56C0" w:rsidRDefault="000F36A1">
            <w:pPr>
              <w:pStyle w:val="afa"/>
            </w:pPr>
            <w:r>
              <w:rPr>
                <w:rFonts w:hint="eastAsia"/>
              </w:rPr>
              <w:t>3</w:t>
            </w:r>
          </w:p>
        </w:tc>
      </w:tr>
    </w:tbl>
    <w:p w:rsidR="00EE56C0" w:rsidRDefault="000F36A1">
      <w:pPr>
        <w:ind w:firstLine="480"/>
      </w:pPr>
      <w:r>
        <w:t>本项目</w:t>
      </w:r>
      <w:r>
        <w:rPr>
          <w:rFonts w:hint="eastAsia"/>
        </w:rPr>
        <w:t>一期</w:t>
      </w:r>
      <w:r>
        <w:t>总投资</w:t>
      </w:r>
      <w:r>
        <w:rPr>
          <w:rFonts w:hint="eastAsia"/>
        </w:rPr>
        <w:t>3000</w:t>
      </w:r>
      <w:r>
        <w:rPr>
          <w:rFonts w:hint="eastAsia"/>
        </w:rPr>
        <w:t>万元、二期</w:t>
      </w:r>
      <w:r>
        <w:t>总投资</w:t>
      </w:r>
      <w:r>
        <w:rPr>
          <w:rFonts w:hint="eastAsia"/>
        </w:rPr>
        <w:t>10750</w:t>
      </w:r>
      <w:r>
        <w:rPr>
          <w:rFonts w:hint="eastAsia"/>
        </w:rPr>
        <w:t>万元</w:t>
      </w:r>
      <w:r>
        <w:t>，年税</w:t>
      </w:r>
      <w:r>
        <w:rPr>
          <w:rFonts w:hint="eastAsia"/>
        </w:rPr>
        <w:t>前</w:t>
      </w:r>
      <w:r>
        <w:t>利润总额</w:t>
      </w:r>
      <w:r>
        <w:rPr>
          <w:rFonts w:hint="eastAsia"/>
        </w:rPr>
        <w:t>一期</w:t>
      </w:r>
      <w:r>
        <w:rPr>
          <w:rFonts w:hint="eastAsia"/>
        </w:rPr>
        <w:t>1800</w:t>
      </w:r>
      <w:r>
        <w:t>万元</w:t>
      </w:r>
      <w:r>
        <w:rPr>
          <w:rFonts w:hint="eastAsia"/>
        </w:rPr>
        <w:t>、二期</w:t>
      </w:r>
      <w:r>
        <w:rPr>
          <w:rFonts w:hint="eastAsia"/>
        </w:rPr>
        <w:t>3500</w:t>
      </w:r>
      <w:r>
        <w:t>万元，投资利润率为</w:t>
      </w:r>
      <w:r>
        <w:rPr>
          <w:rFonts w:hint="eastAsia"/>
        </w:rPr>
        <w:t>一期</w:t>
      </w:r>
      <w:r>
        <w:rPr>
          <w:rFonts w:hint="eastAsia"/>
        </w:rPr>
        <w:t>33%</w:t>
      </w:r>
      <w:r>
        <w:rPr>
          <w:rFonts w:hint="eastAsia"/>
        </w:rPr>
        <w:t>、二期</w:t>
      </w:r>
      <w:r>
        <w:rPr>
          <w:rFonts w:hint="eastAsia"/>
        </w:rPr>
        <w:t>42</w:t>
      </w:r>
      <w:r>
        <w:t>%</w:t>
      </w:r>
      <w:r>
        <w:t>。从上述各项经济指标可以看出，工程投资产生的经济效益显著，企业具有较强的抗风险能力，项目建设投产后可获得较稳定的经济效益。工程投资回收期为</w:t>
      </w:r>
      <w:r>
        <w:rPr>
          <w:rFonts w:hint="eastAsia"/>
        </w:rPr>
        <w:t>一期</w:t>
      </w:r>
      <w:r>
        <w:rPr>
          <w:rFonts w:hint="eastAsia"/>
        </w:rPr>
        <w:t>4</w:t>
      </w:r>
      <w:r>
        <w:t>年</w:t>
      </w:r>
      <w:r>
        <w:rPr>
          <w:rFonts w:hint="eastAsia"/>
        </w:rPr>
        <w:t>、二期</w:t>
      </w:r>
      <w:r>
        <w:rPr>
          <w:rFonts w:hint="eastAsia"/>
        </w:rPr>
        <w:t>3</w:t>
      </w:r>
      <w:r>
        <w:rPr>
          <w:rFonts w:hint="eastAsia"/>
        </w:rPr>
        <w:t>年</w:t>
      </w:r>
      <w:r>
        <w:t>，具有良好的发展潜力。因此，从经济角度考虑本项目的建设是可行的。</w:t>
      </w:r>
    </w:p>
    <w:p w:rsidR="00EE56C0" w:rsidRDefault="000F36A1">
      <w:pPr>
        <w:pStyle w:val="2"/>
        <w:ind w:firstLine="301"/>
      </w:pPr>
      <w:bookmarkStart w:id="451" w:name="_Toc25400936"/>
      <w:bookmarkStart w:id="452" w:name="_Toc3379486"/>
      <w:r>
        <w:rPr>
          <w:rFonts w:hint="eastAsia"/>
        </w:rPr>
        <w:t>7.3</w:t>
      </w:r>
      <w:r>
        <w:rPr>
          <w:rFonts w:hint="eastAsia"/>
        </w:rPr>
        <w:t>环境损益分析</w:t>
      </w:r>
      <w:bookmarkEnd w:id="451"/>
      <w:bookmarkEnd w:id="452"/>
    </w:p>
    <w:p w:rsidR="00EE56C0" w:rsidRDefault="000F36A1">
      <w:pPr>
        <w:pStyle w:val="3"/>
        <w:spacing w:before="240" w:after="120"/>
      </w:pPr>
      <w:r>
        <w:rPr>
          <w:rFonts w:hint="eastAsia"/>
        </w:rPr>
        <w:t>7.3.1</w:t>
      </w:r>
      <w:r>
        <w:rPr>
          <w:rFonts w:hint="eastAsia"/>
        </w:rPr>
        <w:t>环保</w:t>
      </w:r>
      <w:r>
        <w:t>投资概算</w:t>
      </w:r>
    </w:p>
    <w:p w:rsidR="00EE56C0" w:rsidRDefault="000F36A1">
      <w:pPr>
        <w:ind w:firstLine="480"/>
      </w:pPr>
      <w:r>
        <w:rPr>
          <w:rFonts w:hint="eastAsia"/>
        </w:rPr>
        <w:t>根据前述污染防治措施分析结果，本项目需设环保投资一期</w:t>
      </w:r>
      <w:r>
        <w:rPr>
          <w:rFonts w:hint="eastAsia"/>
        </w:rPr>
        <w:t>63</w:t>
      </w:r>
      <w:r>
        <w:rPr>
          <w:rFonts w:hint="eastAsia"/>
        </w:rPr>
        <w:t>万元、二期</w:t>
      </w:r>
      <w:r>
        <w:rPr>
          <w:rFonts w:hint="eastAsia"/>
        </w:rPr>
        <w:t>58</w:t>
      </w:r>
      <w:r>
        <w:rPr>
          <w:rFonts w:hint="eastAsia"/>
        </w:rPr>
        <w:t>万元，对生产过程中产生的废气、废水、噪声及固废等污染源进行防治，以减少污染物排放量，降低排放浓度，其环保投资占项目总投资的一期</w:t>
      </w:r>
      <w:r>
        <w:rPr>
          <w:rFonts w:hint="eastAsia"/>
        </w:rPr>
        <w:t>2.1%</w:t>
      </w:r>
      <w:r>
        <w:rPr>
          <w:rFonts w:hint="eastAsia"/>
        </w:rPr>
        <w:t>、二期</w:t>
      </w:r>
      <w:r>
        <w:rPr>
          <w:rFonts w:hint="eastAsia"/>
        </w:rPr>
        <w:t>0.5%</w:t>
      </w:r>
      <w:r>
        <w:rPr>
          <w:rFonts w:hint="eastAsia"/>
        </w:rPr>
        <w:t>，在企业的可接受范围内。</w:t>
      </w:r>
      <w:r>
        <w:t>环保投资主要投资内容及投资估算详见表</w:t>
      </w:r>
      <w:r>
        <w:rPr>
          <w:rFonts w:hint="eastAsia"/>
        </w:rPr>
        <w:t>7-</w:t>
      </w:r>
      <w:r>
        <w:t>2</w:t>
      </w:r>
      <w:r>
        <w:t>。</w:t>
      </w:r>
    </w:p>
    <w:p w:rsidR="00EE56C0" w:rsidRDefault="00EE56C0">
      <w:pPr>
        <w:ind w:firstLine="480"/>
      </w:pPr>
    </w:p>
    <w:p w:rsidR="00EE56C0" w:rsidRDefault="00EE56C0">
      <w:pPr>
        <w:pStyle w:val="afd"/>
        <w:spacing w:before="120" w:after="120"/>
        <w:ind w:firstLine="482"/>
      </w:pPr>
    </w:p>
    <w:p w:rsidR="00EE56C0" w:rsidRDefault="000F36A1">
      <w:pPr>
        <w:pStyle w:val="afd"/>
        <w:spacing w:before="120" w:after="120"/>
        <w:ind w:firstLine="482"/>
      </w:pPr>
      <w:r>
        <w:rPr>
          <w:rFonts w:hint="eastAsia"/>
        </w:rPr>
        <w:lastRenderedPageBreak/>
        <w:t>表</w:t>
      </w:r>
      <w:r>
        <w:rPr>
          <w:rFonts w:hint="eastAsia"/>
        </w:rPr>
        <w:t>7-</w:t>
      </w:r>
      <w:r>
        <w:t xml:space="preserve">2   </w:t>
      </w:r>
      <w:r>
        <w:rPr>
          <w:rFonts w:hint="eastAsia"/>
        </w:rPr>
        <w:t xml:space="preserve">            </w:t>
      </w:r>
      <w:r>
        <w:rPr>
          <w:rFonts w:hint="eastAsia"/>
        </w:rPr>
        <w:t>一期工程环保投资一览表</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CellMar>
          <w:left w:w="0" w:type="dxa"/>
          <w:right w:w="0" w:type="dxa"/>
        </w:tblCellMar>
        <w:tblLook w:val="04A0"/>
      </w:tblPr>
      <w:tblGrid>
        <w:gridCol w:w="879"/>
        <w:gridCol w:w="1305"/>
        <w:gridCol w:w="1743"/>
        <w:gridCol w:w="4406"/>
      </w:tblGrid>
      <w:tr w:rsidR="00EE56C0">
        <w:trPr>
          <w:trHeight w:val="425"/>
          <w:jc w:val="center"/>
        </w:trPr>
        <w:tc>
          <w:tcPr>
            <w:tcW w:w="527" w:type="pct"/>
            <w:vAlign w:val="center"/>
          </w:tcPr>
          <w:p w:rsidR="00EE56C0" w:rsidRDefault="000F36A1">
            <w:pPr>
              <w:pStyle w:val="aff1"/>
              <w:rPr>
                <w:color w:val="auto"/>
              </w:rPr>
            </w:pPr>
            <w:r>
              <w:rPr>
                <w:color w:val="auto"/>
              </w:rPr>
              <w:t>序号</w:t>
            </w:r>
          </w:p>
        </w:tc>
        <w:tc>
          <w:tcPr>
            <w:tcW w:w="783" w:type="pct"/>
            <w:vAlign w:val="center"/>
          </w:tcPr>
          <w:p w:rsidR="00EE56C0" w:rsidRDefault="000F36A1">
            <w:pPr>
              <w:pStyle w:val="aff1"/>
              <w:rPr>
                <w:color w:val="auto"/>
              </w:rPr>
            </w:pPr>
            <w:r>
              <w:rPr>
                <w:color w:val="auto"/>
              </w:rPr>
              <w:t>项目名称</w:t>
            </w:r>
          </w:p>
        </w:tc>
        <w:tc>
          <w:tcPr>
            <w:tcW w:w="1046" w:type="pct"/>
            <w:vAlign w:val="center"/>
          </w:tcPr>
          <w:p w:rsidR="00EE56C0" w:rsidRDefault="000F36A1">
            <w:pPr>
              <w:pStyle w:val="aff1"/>
              <w:rPr>
                <w:color w:val="auto"/>
              </w:rPr>
            </w:pPr>
            <w:r>
              <w:rPr>
                <w:color w:val="auto"/>
              </w:rPr>
              <w:t>投资费用（万元）</w:t>
            </w:r>
          </w:p>
        </w:tc>
        <w:tc>
          <w:tcPr>
            <w:tcW w:w="2644" w:type="pct"/>
            <w:vAlign w:val="center"/>
          </w:tcPr>
          <w:p w:rsidR="00EE56C0" w:rsidRDefault="000F36A1">
            <w:pPr>
              <w:pStyle w:val="aff1"/>
              <w:rPr>
                <w:color w:val="auto"/>
              </w:rPr>
            </w:pPr>
            <w:r>
              <w:rPr>
                <w:color w:val="auto"/>
              </w:rPr>
              <w:t>环保设施、设备</w:t>
            </w:r>
          </w:p>
        </w:tc>
      </w:tr>
      <w:tr w:rsidR="00EE56C0">
        <w:trPr>
          <w:trHeight w:val="425"/>
          <w:jc w:val="center"/>
        </w:trPr>
        <w:tc>
          <w:tcPr>
            <w:tcW w:w="527" w:type="pct"/>
            <w:vAlign w:val="center"/>
          </w:tcPr>
          <w:p w:rsidR="00EE56C0" w:rsidRDefault="000F36A1">
            <w:pPr>
              <w:pStyle w:val="afa"/>
            </w:pPr>
            <w:r>
              <w:t>1</w:t>
            </w:r>
          </w:p>
        </w:tc>
        <w:tc>
          <w:tcPr>
            <w:tcW w:w="783" w:type="pct"/>
            <w:vAlign w:val="center"/>
          </w:tcPr>
          <w:p w:rsidR="00EE56C0" w:rsidRDefault="000F36A1">
            <w:pPr>
              <w:pStyle w:val="afa"/>
            </w:pPr>
            <w:r>
              <w:t>废气治理</w:t>
            </w:r>
          </w:p>
        </w:tc>
        <w:tc>
          <w:tcPr>
            <w:tcW w:w="1046" w:type="pct"/>
            <w:vAlign w:val="center"/>
          </w:tcPr>
          <w:p w:rsidR="00EE56C0" w:rsidRDefault="000F36A1">
            <w:pPr>
              <w:pStyle w:val="afa"/>
            </w:pPr>
            <w:r>
              <w:rPr>
                <w:rFonts w:hint="eastAsia"/>
              </w:rPr>
              <w:t>43</w:t>
            </w:r>
          </w:p>
        </w:tc>
        <w:tc>
          <w:tcPr>
            <w:tcW w:w="2644" w:type="pct"/>
            <w:vAlign w:val="center"/>
          </w:tcPr>
          <w:p w:rsidR="00EE56C0" w:rsidRDefault="000F36A1">
            <w:pPr>
              <w:pStyle w:val="afa"/>
            </w:pPr>
            <w:r>
              <w:rPr>
                <w:rFonts w:hint="eastAsia"/>
              </w:rPr>
              <w:t>有机废气收集装置若干</w:t>
            </w:r>
          </w:p>
        </w:tc>
      </w:tr>
      <w:tr w:rsidR="00EE56C0">
        <w:trPr>
          <w:trHeight w:val="425"/>
          <w:jc w:val="center"/>
        </w:trPr>
        <w:tc>
          <w:tcPr>
            <w:tcW w:w="527" w:type="pct"/>
            <w:vAlign w:val="center"/>
          </w:tcPr>
          <w:p w:rsidR="00EE56C0" w:rsidRDefault="000F36A1">
            <w:pPr>
              <w:pStyle w:val="afa"/>
            </w:pPr>
            <w:r>
              <w:t>2</w:t>
            </w:r>
          </w:p>
        </w:tc>
        <w:tc>
          <w:tcPr>
            <w:tcW w:w="783" w:type="pct"/>
            <w:vAlign w:val="center"/>
          </w:tcPr>
          <w:p w:rsidR="00EE56C0" w:rsidRDefault="000F36A1">
            <w:pPr>
              <w:pStyle w:val="afa"/>
            </w:pPr>
            <w:r>
              <w:t>噪声治理</w:t>
            </w:r>
          </w:p>
        </w:tc>
        <w:tc>
          <w:tcPr>
            <w:tcW w:w="1046" w:type="pct"/>
            <w:vAlign w:val="center"/>
          </w:tcPr>
          <w:p w:rsidR="00EE56C0" w:rsidRDefault="000F36A1">
            <w:pPr>
              <w:pStyle w:val="afa"/>
            </w:pPr>
            <w:r>
              <w:rPr>
                <w:rFonts w:hint="eastAsia"/>
              </w:rPr>
              <w:t>10</w:t>
            </w:r>
          </w:p>
        </w:tc>
        <w:tc>
          <w:tcPr>
            <w:tcW w:w="2644" w:type="pct"/>
            <w:vAlign w:val="center"/>
          </w:tcPr>
          <w:p w:rsidR="00EE56C0" w:rsidRDefault="000F36A1">
            <w:pPr>
              <w:pStyle w:val="afa"/>
            </w:pPr>
            <w:r>
              <w:t>选用低噪声设备，</w:t>
            </w:r>
            <w:r>
              <w:rPr>
                <w:rFonts w:hint="eastAsia"/>
              </w:rPr>
              <w:t>减振、厂房隔声</w:t>
            </w:r>
          </w:p>
        </w:tc>
      </w:tr>
      <w:tr w:rsidR="00EE56C0">
        <w:trPr>
          <w:trHeight w:val="425"/>
          <w:jc w:val="center"/>
        </w:trPr>
        <w:tc>
          <w:tcPr>
            <w:tcW w:w="527" w:type="pct"/>
            <w:vAlign w:val="center"/>
          </w:tcPr>
          <w:p w:rsidR="00EE56C0" w:rsidRDefault="000F36A1">
            <w:pPr>
              <w:pStyle w:val="afa"/>
            </w:pPr>
            <w:r>
              <w:t>3</w:t>
            </w:r>
          </w:p>
        </w:tc>
        <w:tc>
          <w:tcPr>
            <w:tcW w:w="783" w:type="pct"/>
            <w:vAlign w:val="center"/>
          </w:tcPr>
          <w:p w:rsidR="00EE56C0" w:rsidRDefault="000F36A1">
            <w:pPr>
              <w:pStyle w:val="afa"/>
            </w:pPr>
            <w:r>
              <w:t>废水治理</w:t>
            </w:r>
          </w:p>
        </w:tc>
        <w:tc>
          <w:tcPr>
            <w:tcW w:w="1046" w:type="pct"/>
            <w:vAlign w:val="center"/>
          </w:tcPr>
          <w:p w:rsidR="00EE56C0" w:rsidRDefault="000F36A1">
            <w:pPr>
              <w:pStyle w:val="afa"/>
            </w:pPr>
            <w:r>
              <w:rPr>
                <w:rFonts w:hint="eastAsia"/>
              </w:rPr>
              <w:t>/</w:t>
            </w:r>
          </w:p>
        </w:tc>
        <w:tc>
          <w:tcPr>
            <w:tcW w:w="2644" w:type="pct"/>
            <w:vAlign w:val="center"/>
          </w:tcPr>
          <w:p w:rsidR="00EE56C0" w:rsidRPr="00971E69" w:rsidRDefault="000F36A1">
            <w:pPr>
              <w:pStyle w:val="afa"/>
              <w:rPr>
                <w:b/>
                <w:u w:val="single"/>
              </w:rPr>
            </w:pPr>
            <w:r w:rsidRPr="00971E69">
              <w:rPr>
                <w:rFonts w:hint="eastAsia"/>
                <w:b/>
                <w:u w:val="single"/>
              </w:rPr>
              <w:t>隔油池、化粪池（依托现有）</w:t>
            </w:r>
          </w:p>
        </w:tc>
      </w:tr>
      <w:tr w:rsidR="00EE56C0">
        <w:trPr>
          <w:trHeight w:val="425"/>
          <w:jc w:val="center"/>
        </w:trPr>
        <w:tc>
          <w:tcPr>
            <w:tcW w:w="527" w:type="pct"/>
            <w:vAlign w:val="center"/>
          </w:tcPr>
          <w:p w:rsidR="00EE56C0" w:rsidRDefault="000F36A1">
            <w:pPr>
              <w:pStyle w:val="afa"/>
            </w:pPr>
            <w:r>
              <w:t>4</w:t>
            </w:r>
          </w:p>
        </w:tc>
        <w:tc>
          <w:tcPr>
            <w:tcW w:w="783" w:type="pct"/>
            <w:vAlign w:val="center"/>
          </w:tcPr>
          <w:p w:rsidR="00EE56C0" w:rsidRDefault="000F36A1">
            <w:pPr>
              <w:pStyle w:val="afa"/>
            </w:pPr>
            <w:r>
              <w:t>固废治理</w:t>
            </w:r>
          </w:p>
        </w:tc>
        <w:tc>
          <w:tcPr>
            <w:tcW w:w="1046" w:type="pct"/>
            <w:vAlign w:val="center"/>
          </w:tcPr>
          <w:p w:rsidR="00EE56C0" w:rsidRDefault="000F36A1">
            <w:pPr>
              <w:pStyle w:val="afa"/>
            </w:pPr>
            <w:r>
              <w:rPr>
                <w:rFonts w:hint="eastAsia"/>
              </w:rPr>
              <w:t>依托现有</w:t>
            </w:r>
          </w:p>
        </w:tc>
        <w:tc>
          <w:tcPr>
            <w:tcW w:w="2644" w:type="pct"/>
            <w:vAlign w:val="center"/>
          </w:tcPr>
          <w:p w:rsidR="00EE56C0" w:rsidRDefault="000F36A1">
            <w:pPr>
              <w:pStyle w:val="afa"/>
              <w:rPr>
                <w:vertAlign w:val="superscript"/>
              </w:rPr>
            </w:pPr>
            <w:r>
              <w:t>一般固废暂存间</w:t>
            </w:r>
            <w:r>
              <w:rPr>
                <w:rFonts w:hint="eastAsia"/>
              </w:rPr>
              <w:t>1</w:t>
            </w:r>
            <w:r>
              <w:rPr>
                <w:rFonts w:hint="eastAsia"/>
              </w:rPr>
              <w:t>座，</w:t>
            </w:r>
            <w:r>
              <w:rPr>
                <w:rFonts w:hint="eastAsia"/>
              </w:rPr>
              <w:t>60m</w:t>
            </w:r>
            <w:r>
              <w:rPr>
                <w:rFonts w:hint="eastAsia"/>
                <w:vertAlign w:val="superscript"/>
              </w:rPr>
              <w:t>2</w:t>
            </w:r>
          </w:p>
          <w:p w:rsidR="00EE56C0" w:rsidRDefault="000F36A1">
            <w:pPr>
              <w:pStyle w:val="afa"/>
            </w:pPr>
            <w:r>
              <w:rPr>
                <w:rFonts w:hint="eastAsia"/>
              </w:rPr>
              <w:t>危险废物</w:t>
            </w:r>
            <w:r>
              <w:t>暂存间</w:t>
            </w:r>
            <w:r>
              <w:rPr>
                <w:rFonts w:hint="eastAsia"/>
              </w:rPr>
              <w:t>2</w:t>
            </w:r>
            <w:r>
              <w:rPr>
                <w:rFonts w:hint="eastAsia"/>
              </w:rPr>
              <w:t>座：</w:t>
            </w:r>
            <w:r>
              <w:rPr>
                <w:rFonts w:hint="eastAsia"/>
              </w:rPr>
              <w:t xml:space="preserve"> 1# 27m</w:t>
            </w:r>
            <w:r>
              <w:rPr>
                <w:rFonts w:hint="eastAsia"/>
                <w:vertAlign w:val="superscript"/>
              </w:rPr>
              <w:t>2</w:t>
            </w:r>
            <w:r>
              <w:rPr>
                <w:rFonts w:hint="eastAsia"/>
              </w:rPr>
              <w:t>、</w:t>
            </w:r>
            <w:r>
              <w:rPr>
                <w:rFonts w:hint="eastAsia"/>
              </w:rPr>
              <w:t>2# 33m</w:t>
            </w:r>
            <w:r>
              <w:rPr>
                <w:rFonts w:hint="eastAsia"/>
                <w:vertAlign w:val="superscript"/>
              </w:rPr>
              <w:t>2</w:t>
            </w:r>
            <w:r>
              <w:rPr>
                <w:rFonts w:hint="eastAsia"/>
              </w:rPr>
              <w:t>、</w:t>
            </w:r>
          </w:p>
        </w:tc>
      </w:tr>
      <w:tr w:rsidR="00EE56C0">
        <w:trPr>
          <w:trHeight w:val="425"/>
          <w:jc w:val="center"/>
        </w:trPr>
        <w:tc>
          <w:tcPr>
            <w:tcW w:w="527" w:type="pct"/>
            <w:vAlign w:val="center"/>
          </w:tcPr>
          <w:p w:rsidR="00EE56C0" w:rsidRDefault="000F36A1">
            <w:pPr>
              <w:pStyle w:val="afa"/>
            </w:pPr>
            <w:r>
              <w:rPr>
                <w:rFonts w:hint="eastAsia"/>
              </w:rPr>
              <w:t>5</w:t>
            </w:r>
          </w:p>
        </w:tc>
        <w:tc>
          <w:tcPr>
            <w:tcW w:w="783" w:type="pct"/>
            <w:vAlign w:val="center"/>
          </w:tcPr>
          <w:p w:rsidR="00EE56C0" w:rsidRDefault="000F36A1">
            <w:pPr>
              <w:pStyle w:val="afa"/>
            </w:pPr>
            <w:r>
              <w:rPr>
                <w:rFonts w:hint="eastAsia"/>
              </w:rPr>
              <w:t>风险防范</w:t>
            </w:r>
          </w:p>
        </w:tc>
        <w:tc>
          <w:tcPr>
            <w:tcW w:w="1046" w:type="pct"/>
            <w:vAlign w:val="center"/>
          </w:tcPr>
          <w:p w:rsidR="00EE56C0" w:rsidRDefault="000F36A1">
            <w:pPr>
              <w:pStyle w:val="afa"/>
            </w:pPr>
            <w:r>
              <w:rPr>
                <w:rFonts w:hint="eastAsia"/>
              </w:rPr>
              <w:t>5</w:t>
            </w:r>
          </w:p>
        </w:tc>
        <w:tc>
          <w:tcPr>
            <w:tcW w:w="2644" w:type="pct"/>
            <w:vAlign w:val="center"/>
          </w:tcPr>
          <w:p w:rsidR="00EE56C0" w:rsidRDefault="000F36A1">
            <w:pPr>
              <w:pStyle w:val="afa"/>
            </w:pPr>
            <w:r>
              <w:rPr>
                <w:rFonts w:hint="eastAsia"/>
              </w:rPr>
              <w:t>事故废水收集管网；</w:t>
            </w:r>
            <w:r>
              <w:t>采取地面硬化等防渗措施</w:t>
            </w:r>
            <w:r>
              <w:rPr>
                <w:rFonts w:hint="eastAsia"/>
              </w:rPr>
              <w:t>；新增应急器材、消防器材等；依托现有事故水池</w:t>
            </w:r>
          </w:p>
        </w:tc>
      </w:tr>
      <w:tr w:rsidR="00EE56C0">
        <w:trPr>
          <w:trHeight w:val="425"/>
          <w:jc w:val="center"/>
        </w:trPr>
        <w:tc>
          <w:tcPr>
            <w:tcW w:w="527" w:type="pct"/>
            <w:vAlign w:val="center"/>
          </w:tcPr>
          <w:p w:rsidR="00EE56C0" w:rsidRDefault="000F36A1">
            <w:pPr>
              <w:pStyle w:val="afa"/>
            </w:pPr>
            <w:r>
              <w:rPr>
                <w:rFonts w:hint="eastAsia"/>
              </w:rPr>
              <w:t>6</w:t>
            </w:r>
          </w:p>
        </w:tc>
        <w:tc>
          <w:tcPr>
            <w:tcW w:w="783" w:type="pct"/>
            <w:vAlign w:val="center"/>
          </w:tcPr>
          <w:p w:rsidR="00EE56C0" w:rsidRDefault="000F36A1">
            <w:pPr>
              <w:pStyle w:val="afa"/>
            </w:pPr>
            <w:r>
              <w:rPr>
                <w:rFonts w:hint="eastAsia"/>
              </w:rPr>
              <w:t>管理</w:t>
            </w:r>
          </w:p>
        </w:tc>
        <w:tc>
          <w:tcPr>
            <w:tcW w:w="1046" w:type="pct"/>
            <w:vAlign w:val="center"/>
          </w:tcPr>
          <w:p w:rsidR="00EE56C0" w:rsidRDefault="000F36A1">
            <w:pPr>
              <w:pStyle w:val="afa"/>
            </w:pPr>
            <w:r>
              <w:rPr>
                <w:rFonts w:hint="eastAsia"/>
              </w:rPr>
              <w:t>5</w:t>
            </w:r>
          </w:p>
        </w:tc>
        <w:tc>
          <w:tcPr>
            <w:tcW w:w="2644" w:type="pct"/>
            <w:vAlign w:val="center"/>
          </w:tcPr>
          <w:p w:rsidR="00EE56C0" w:rsidRDefault="000F36A1">
            <w:pPr>
              <w:pStyle w:val="afa"/>
            </w:pPr>
            <w:r>
              <w:rPr>
                <w:rFonts w:hint="eastAsia"/>
              </w:rPr>
              <w:t>视频监控、用电监控</w:t>
            </w:r>
          </w:p>
        </w:tc>
      </w:tr>
      <w:tr w:rsidR="00EE56C0">
        <w:trPr>
          <w:trHeight w:val="425"/>
          <w:jc w:val="center"/>
        </w:trPr>
        <w:tc>
          <w:tcPr>
            <w:tcW w:w="1310" w:type="pct"/>
            <w:gridSpan w:val="2"/>
            <w:vAlign w:val="center"/>
          </w:tcPr>
          <w:p w:rsidR="00EE56C0" w:rsidRDefault="000F36A1">
            <w:pPr>
              <w:pStyle w:val="afa"/>
            </w:pPr>
            <w:r>
              <w:rPr>
                <w:rFonts w:hint="eastAsia"/>
              </w:rPr>
              <w:t>合计</w:t>
            </w:r>
          </w:p>
        </w:tc>
        <w:tc>
          <w:tcPr>
            <w:tcW w:w="1046" w:type="pct"/>
            <w:vAlign w:val="center"/>
          </w:tcPr>
          <w:p w:rsidR="00EE56C0" w:rsidRDefault="000F36A1">
            <w:pPr>
              <w:pStyle w:val="afa"/>
            </w:pPr>
            <w:r>
              <w:rPr>
                <w:rFonts w:hint="eastAsia"/>
              </w:rPr>
              <w:t>63</w:t>
            </w:r>
          </w:p>
        </w:tc>
        <w:tc>
          <w:tcPr>
            <w:tcW w:w="2644" w:type="pct"/>
            <w:vAlign w:val="center"/>
          </w:tcPr>
          <w:p w:rsidR="00EE56C0" w:rsidRDefault="000F36A1">
            <w:pPr>
              <w:pStyle w:val="afa"/>
            </w:pPr>
            <w:r>
              <w:t>占工程总投资的</w:t>
            </w:r>
            <w:r>
              <w:rPr>
                <w:rFonts w:hint="eastAsia"/>
              </w:rPr>
              <w:t>2.1%</w:t>
            </w:r>
          </w:p>
        </w:tc>
      </w:tr>
    </w:tbl>
    <w:p w:rsidR="00EE56C0" w:rsidRDefault="000F36A1">
      <w:pPr>
        <w:pStyle w:val="afd"/>
        <w:spacing w:before="120" w:after="120"/>
        <w:ind w:firstLine="482"/>
      </w:pPr>
      <w:bookmarkStart w:id="453" w:name="_Toc428286954"/>
      <w:bookmarkStart w:id="454" w:name="_Toc428287308"/>
      <w:bookmarkStart w:id="455" w:name="_Toc428287660"/>
      <w:r>
        <w:rPr>
          <w:rFonts w:hint="eastAsia"/>
        </w:rPr>
        <w:t>表</w:t>
      </w:r>
      <w:r>
        <w:rPr>
          <w:rFonts w:hint="eastAsia"/>
        </w:rPr>
        <w:t xml:space="preserve">7-3            </w:t>
      </w:r>
      <w:r>
        <w:rPr>
          <w:rFonts w:hint="eastAsia"/>
        </w:rPr>
        <w:t>二期工程环保投资一览表</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CellMar>
          <w:left w:w="0" w:type="dxa"/>
          <w:right w:w="0" w:type="dxa"/>
        </w:tblCellMar>
        <w:tblLook w:val="04A0"/>
      </w:tblPr>
      <w:tblGrid>
        <w:gridCol w:w="879"/>
        <w:gridCol w:w="1305"/>
        <w:gridCol w:w="1743"/>
        <w:gridCol w:w="4406"/>
      </w:tblGrid>
      <w:tr w:rsidR="00EE56C0">
        <w:trPr>
          <w:trHeight w:val="425"/>
          <w:jc w:val="center"/>
        </w:trPr>
        <w:tc>
          <w:tcPr>
            <w:tcW w:w="527" w:type="pct"/>
            <w:vAlign w:val="center"/>
          </w:tcPr>
          <w:p w:rsidR="00EE56C0" w:rsidRDefault="000F36A1">
            <w:pPr>
              <w:pStyle w:val="aff1"/>
              <w:rPr>
                <w:color w:val="auto"/>
              </w:rPr>
            </w:pPr>
            <w:r>
              <w:rPr>
                <w:color w:val="auto"/>
              </w:rPr>
              <w:t>序号</w:t>
            </w:r>
          </w:p>
        </w:tc>
        <w:tc>
          <w:tcPr>
            <w:tcW w:w="783" w:type="pct"/>
            <w:vAlign w:val="center"/>
          </w:tcPr>
          <w:p w:rsidR="00EE56C0" w:rsidRDefault="000F36A1">
            <w:pPr>
              <w:pStyle w:val="aff1"/>
              <w:rPr>
                <w:color w:val="auto"/>
              </w:rPr>
            </w:pPr>
            <w:r>
              <w:rPr>
                <w:color w:val="auto"/>
              </w:rPr>
              <w:t>项目名称</w:t>
            </w:r>
          </w:p>
        </w:tc>
        <w:tc>
          <w:tcPr>
            <w:tcW w:w="1046" w:type="pct"/>
            <w:vAlign w:val="center"/>
          </w:tcPr>
          <w:p w:rsidR="00EE56C0" w:rsidRDefault="000F36A1">
            <w:pPr>
              <w:pStyle w:val="aff1"/>
              <w:rPr>
                <w:color w:val="auto"/>
              </w:rPr>
            </w:pPr>
            <w:r>
              <w:rPr>
                <w:color w:val="auto"/>
              </w:rPr>
              <w:t>投资费用（万元）</w:t>
            </w:r>
          </w:p>
        </w:tc>
        <w:tc>
          <w:tcPr>
            <w:tcW w:w="2644" w:type="pct"/>
            <w:vAlign w:val="center"/>
          </w:tcPr>
          <w:p w:rsidR="00EE56C0" w:rsidRDefault="000F36A1">
            <w:pPr>
              <w:pStyle w:val="aff1"/>
              <w:rPr>
                <w:color w:val="auto"/>
              </w:rPr>
            </w:pPr>
            <w:r>
              <w:rPr>
                <w:color w:val="auto"/>
              </w:rPr>
              <w:t>环保设施、设备</w:t>
            </w:r>
          </w:p>
        </w:tc>
      </w:tr>
      <w:tr w:rsidR="00EE56C0">
        <w:trPr>
          <w:trHeight w:val="425"/>
          <w:jc w:val="center"/>
        </w:trPr>
        <w:tc>
          <w:tcPr>
            <w:tcW w:w="527" w:type="pct"/>
            <w:vAlign w:val="center"/>
          </w:tcPr>
          <w:p w:rsidR="00EE56C0" w:rsidRDefault="000F36A1">
            <w:pPr>
              <w:pStyle w:val="afa"/>
            </w:pPr>
            <w:r>
              <w:t>1</w:t>
            </w:r>
          </w:p>
        </w:tc>
        <w:tc>
          <w:tcPr>
            <w:tcW w:w="783" w:type="pct"/>
            <w:vAlign w:val="center"/>
          </w:tcPr>
          <w:p w:rsidR="00EE56C0" w:rsidRDefault="000F36A1">
            <w:pPr>
              <w:pStyle w:val="afa"/>
            </w:pPr>
            <w:r>
              <w:t>废气治理</w:t>
            </w:r>
          </w:p>
        </w:tc>
        <w:tc>
          <w:tcPr>
            <w:tcW w:w="1046" w:type="pct"/>
            <w:vAlign w:val="center"/>
          </w:tcPr>
          <w:p w:rsidR="00EE56C0" w:rsidRDefault="000F36A1">
            <w:pPr>
              <w:pStyle w:val="afa"/>
            </w:pPr>
            <w:r>
              <w:rPr>
                <w:rFonts w:hint="eastAsia"/>
              </w:rPr>
              <w:t>40</w:t>
            </w:r>
          </w:p>
        </w:tc>
        <w:tc>
          <w:tcPr>
            <w:tcW w:w="2644" w:type="pct"/>
            <w:vAlign w:val="center"/>
          </w:tcPr>
          <w:p w:rsidR="00EE56C0" w:rsidRDefault="000F36A1">
            <w:pPr>
              <w:pStyle w:val="afa"/>
            </w:pPr>
            <w:r>
              <w:rPr>
                <w:rFonts w:hint="eastAsia"/>
              </w:rPr>
              <w:t>废气收集装置若干</w:t>
            </w:r>
          </w:p>
        </w:tc>
      </w:tr>
      <w:tr w:rsidR="00EE56C0">
        <w:trPr>
          <w:trHeight w:val="425"/>
          <w:jc w:val="center"/>
        </w:trPr>
        <w:tc>
          <w:tcPr>
            <w:tcW w:w="527" w:type="pct"/>
            <w:vAlign w:val="center"/>
          </w:tcPr>
          <w:p w:rsidR="00EE56C0" w:rsidRDefault="000F36A1">
            <w:pPr>
              <w:pStyle w:val="afa"/>
            </w:pPr>
            <w:r>
              <w:t>2</w:t>
            </w:r>
          </w:p>
        </w:tc>
        <w:tc>
          <w:tcPr>
            <w:tcW w:w="783" w:type="pct"/>
            <w:vAlign w:val="center"/>
          </w:tcPr>
          <w:p w:rsidR="00EE56C0" w:rsidRDefault="000F36A1">
            <w:pPr>
              <w:pStyle w:val="afa"/>
            </w:pPr>
            <w:r>
              <w:t>噪声治理</w:t>
            </w:r>
          </w:p>
        </w:tc>
        <w:tc>
          <w:tcPr>
            <w:tcW w:w="1046" w:type="pct"/>
            <w:vAlign w:val="center"/>
          </w:tcPr>
          <w:p w:rsidR="00EE56C0" w:rsidRDefault="00A80377">
            <w:pPr>
              <w:pStyle w:val="afa"/>
            </w:pPr>
            <w:r>
              <w:rPr>
                <w:rFonts w:hint="eastAsia"/>
              </w:rPr>
              <w:t>8</w:t>
            </w:r>
          </w:p>
        </w:tc>
        <w:tc>
          <w:tcPr>
            <w:tcW w:w="2644" w:type="pct"/>
            <w:vAlign w:val="center"/>
          </w:tcPr>
          <w:p w:rsidR="00EE56C0" w:rsidRDefault="000F36A1">
            <w:pPr>
              <w:pStyle w:val="afa"/>
            </w:pPr>
            <w:r>
              <w:t>选用低噪声设备，</w:t>
            </w:r>
            <w:r>
              <w:rPr>
                <w:rFonts w:hint="eastAsia"/>
              </w:rPr>
              <w:t>减振、房间隔声</w:t>
            </w:r>
          </w:p>
        </w:tc>
      </w:tr>
      <w:tr w:rsidR="00EE56C0">
        <w:trPr>
          <w:trHeight w:val="425"/>
          <w:jc w:val="center"/>
        </w:trPr>
        <w:tc>
          <w:tcPr>
            <w:tcW w:w="527" w:type="pct"/>
            <w:vAlign w:val="center"/>
          </w:tcPr>
          <w:p w:rsidR="00EE56C0" w:rsidRDefault="000F36A1">
            <w:pPr>
              <w:pStyle w:val="afa"/>
            </w:pPr>
            <w:r>
              <w:t>3</w:t>
            </w:r>
          </w:p>
        </w:tc>
        <w:tc>
          <w:tcPr>
            <w:tcW w:w="783" w:type="pct"/>
            <w:vAlign w:val="center"/>
          </w:tcPr>
          <w:p w:rsidR="00EE56C0" w:rsidRDefault="000F36A1">
            <w:pPr>
              <w:pStyle w:val="afa"/>
            </w:pPr>
            <w:r>
              <w:t>废水治理</w:t>
            </w:r>
          </w:p>
        </w:tc>
        <w:tc>
          <w:tcPr>
            <w:tcW w:w="1046" w:type="pct"/>
            <w:vAlign w:val="center"/>
          </w:tcPr>
          <w:p w:rsidR="00EE56C0" w:rsidRDefault="000F36A1">
            <w:pPr>
              <w:pStyle w:val="afa"/>
            </w:pPr>
            <w:r>
              <w:rPr>
                <w:rFonts w:hint="eastAsia"/>
              </w:rPr>
              <w:t>纳入一期</w:t>
            </w:r>
          </w:p>
        </w:tc>
        <w:tc>
          <w:tcPr>
            <w:tcW w:w="2644" w:type="pct"/>
            <w:vAlign w:val="center"/>
          </w:tcPr>
          <w:p w:rsidR="00EE56C0" w:rsidRPr="00971E69" w:rsidRDefault="000F36A1">
            <w:pPr>
              <w:pStyle w:val="afa"/>
              <w:rPr>
                <w:b/>
                <w:u w:val="single"/>
              </w:rPr>
            </w:pPr>
            <w:r w:rsidRPr="00971E69">
              <w:rPr>
                <w:rFonts w:hint="eastAsia"/>
                <w:b/>
                <w:u w:val="single"/>
              </w:rPr>
              <w:t>隔油池、化粪池（依托现有）</w:t>
            </w:r>
          </w:p>
        </w:tc>
      </w:tr>
      <w:tr w:rsidR="00EE56C0">
        <w:trPr>
          <w:trHeight w:val="425"/>
          <w:jc w:val="center"/>
        </w:trPr>
        <w:tc>
          <w:tcPr>
            <w:tcW w:w="527" w:type="pct"/>
            <w:vAlign w:val="center"/>
          </w:tcPr>
          <w:p w:rsidR="00EE56C0" w:rsidRDefault="000F36A1">
            <w:pPr>
              <w:pStyle w:val="afa"/>
            </w:pPr>
            <w:r>
              <w:t>4</w:t>
            </w:r>
          </w:p>
        </w:tc>
        <w:tc>
          <w:tcPr>
            <w:tcW w:w="783" w:type="pct"/>
            <w:vAlign w:val="center"/>
          </w:tcPr>
          <w:p w:rsidR="00EE56C0" w:rsidRDefault="000F36A1">
            <w:pPr>
              <w:pStyle w:val="afa"/>
            </w:pPr>
            <w:r>
              <w:t>固废治理</w:t>
            </w:r>
          </w:p>
        </w:tc>
        <w:tc>
          <w:tcPr>
            <w:tcW w:w="1046" w:type="pct"/>
            <w:vAlign w:val="center"/>
          </w:tcPr>
          <w:p w:rsidR="00EE56C0" w:rsidRDefault="000F36A1">
            <w:pPr>
              <w:pStyle w:val="afa"/>
            </w:pPr>
            <w:r>
              <w:rPr>
                <w:rFonts w:hint="eastAsia"/>
              </w:rPr>
              <w:t>依托现有</w:t>
            </w:r>
          </w:p>
        </w:tc>
        <w:tc>
          <w:tcPr>
            <w:tcW w:w="2644" w:type="pct"/>
            <w:vAlign w:val="center"/>
          </w:tcPr>
          <w:p w:rsidR="00EE56C0" w:rsidRDefault="000F36A1">
            <w:pPr>
              <w:pStyle w:val="afa"/>
              <w:rPr>
                <w:vertAlign w:val="superscript"/>
              </w:rPr>
            </w:pPr>
            <w:r>
              <w:t>一般固废暂存间</w:t>
            </w:r>
            <w:r>
              <w:rPr>
                <w:rFonts w:hint="eastAsia"/>
              </w:rPr>
              <w:t>1</w:t>
            </w:r>
            <w:r>
              <w:rPr>
                <w:rFonts w:hint="eastAsia"/>
              </w:rPr>
              <w:t>座，</w:t>
            </w:r>
            <w:r>
              <w:rPr>
                <w:rFonts w:hint="eastAsia"/>
              </w:rPr>
              <w:t>60m</w:t>
            </w:r>
            <w:r>
              <w:rPr>
                <w:rFonts w:hint="eastAsia"/>
                <w:vertAlign w:val="superscript"/>
              </w:rPr>
              <w:t>2</w:t>
            </w:r>
          </w:p>
          <w:p w:rsidR="00EE56C0" w:rsidRDefault="000F36A1">
            <w:pPr>
              <w:pStyle w:val="afa"/>
            </w:pPr>
            <w:r>
              <w:rPr>
                <w:rFonts w:hint="eastAsia"/>
              </w:rPr>
              <w:t>危险废物</w:t>
            </w:r>
            <w:r>
              <w:t>暂存间</w:t>
            </w:r>
            <w:r>
              <w:rPr>
                <w:rFonts w:hint="eastAsia"/>
              </w:rPr>
              <w:t>2</w:t>
            </w:r>
            <w:r>
              <w:rPr>
                <w:rFonts w:hint="eastAsia"/>
              </w:rPr>
              <w:t>座：</w:t>
            </w:r>
            <w:r>
              <w:rPr>
                <w:rFonts w:hint="eastAsia"/>
              </w:rPr>
              <w:t xml:space="preserve"> 1# 27m</w:t>
            </w:r>
            <w:r>
              <w:rPr>
                <w:rFonts w:hint="eastAsia"/>
                <w:vertAlign w:val="superscript"/>
              </w:rPr>
              <w:t>2</w:t>
            </w:r>
            <w:r>
              <w:rPr>
                <w:rFonts w:hint="eastAsia"/>
              </w:rPr>
              <w:t>、</w:t>
            </w:r>
            <w:r>
              <w:rPr>
                <w:rFonts w:hint="eastAsia"/>
              </w:rPr>
              <w:t>2# 33m</w:t>
            </w:r>
            <w:r>
              <w:rPr>
                <w:rFonts w:hint="eastAsia"/>
                <w:vertAlign w:val="superscript"/>
              </w:rPr>
              <w:t>2</w:t>
            </w:r>
            <w:r>
              <w:rPr>
                <w:rFonts w:hint="eastAsia"/>
              </w:rPr>
              <w:t>、</w:t>
            </w:r>
          </w:p>
        </w:tc>
      </w:tr>
      <w:tr w:rsidR="00EE56C0">
        <w:trPr>
          <w:trHeight w:val="425"/>
          <w:jc w:val="center"/>
        </w:trPr>
        <w:tc>
          <w:tcPr>
            <w:tcW w:w="527" w:type="pct"/>
            <w:vAlign w:val="center"/>
          </w:tcPr>
          <w:p w:rsidR="00EE56C0" w:rsidRDefault="000F36A1">
            <w:pPr>
              <w:pStyle w:val="afa"/>
            </w:pPr>
            <w:r>
              <w:rPr>
                <w:rFonts w:hint="eastAsia"/>
              </w:rPr>
              <w:t>5</w:t>
            </w:r>
          </w:p>
        </w:tc>
        <w:tc>
          <w:tcPr>
            <w:tcW w:w="783" w:type="pct"/>
            <w:vAlign w:val="center"/>
          </w:tcPr>
          <w:p w:rsidR="00EE56C0" w:rsidRDefault="000F36A1">
            <w:pPr>
              <w:pStyle w:val="afa"/>
            </w:pPr>
            <w:r>
              <w:rPr>
                <w:rFonts w:hint="eastAsia"/>
              </w:rPr>
              <w:t>风险防范</w:t>
            </w:r>
          </w:p>
        </w:tc>
        <w:tc>
          <w:tcPr>
            <w:tcW w:w="1046" w:type="pct"/>
            <w:vAlign w:val="center"/>
          </w:tcPr>
          <w:p w:rsidR="00EE56C0" w:rsidRDefault="000F36A1">
            <w:pPr>
              <w:pStyle w:val="afa"/>
            </w:pPr>
            <w:r>
              <w:rPr>
                <w:rFonts w:hint="eastAsia"/>
              </w:rPr>
              <w:t>5</w:t>
            </w:r>
          </w:p>
        </w:tc>
        <w:tc>
          <w:tcPr>
            <w:tcW w:w="2644" w:type="pct"/>
            <w:vAlign w:val="center"/>
          </w:tcPr>
          <w:p w:rsidR="00EE56C0" w:rsidRDefault="000F36A1">
            <w:pPr>
              <w:pStyle w:val="afa"/>
            </w:pPr>
            <w:r>
              <w:rPr>
                <w:rFonts w:hint="eastAsia"/>
              </w:rPr>
              <w:t>事故废水收集管网；</w:t>
            </w:r>
            <w:r>
              <w:t>采取地面硬化等防渗措施</w:t>
            </w:r>
            <w:r>
              <w:rPr>
                <w:rFonts w:hint="eastAsia"/>
              </w:rPr>
              <w:t>；新增应急器材、消防器材等；依托现有事故水池</w:t>
            </w:r>
          </w:p>
        </w:tc>
      </w:tr>
      <w:tr w:rsidR="00EE56C0">
        <w:trPr>
          <w:trHeight w:val="425"/>
          <w:jc w:val="center"/>
        </w:trPr>
        <w:tc>
          <w:tcPr>
            <w:tcW w:w="527" w:type="pct"/>
            <w:vAlign w:val="center"/>
          </w:tcPr>
          <w:p w:rsidR="00EE56C0" w:rsidRDefault="000F36A1">
            <w:pPr>
              <w:pStyle w:val="afa"/>
            </w:pPr>
            <w:r>
              <w:rPr>
                <w:rFonts w:hint="eastAsia"/>
              </w:rPr>
              <w:t>6</w:t>
            </w:r>
          </w:p>
        </w:tc>
        <w:tc>
          <w:tcPr>
            <w:tcW w:w="783" w:type="pct"/>
            <w:vAlign w:val="center"/>
          </w:tcPr>
          <w:p w:rsidR="00EE56C0" w:rsidRDefault="000F36A1">
            <w:pPr>
              <w:pStyle w:val="afa"/>
            </w:pPr>
            <w:r>
              <w:rPr>
                <w:rFonts w:hint="eastAsia"/>
              </w:rPr>
              <w:t>管理</w:t>
            </w:r>
          </w:p>
        </w:tc>
        <w:tc>
          <w:tcPr>
            <w:tcW w:w="1046" w:type="pct"/>
            <w:vAlign w:val="center"/>
          </w:tcPr>
          <w:p w:rsidR="00EE56C0" w:rsidRDefault="000F36A1">
            <w:pPr>
              <w:pStyle w:val="afa"/>
            </w:pPr>
            <w:r>
              <w:rPr>
                <w:rFonts w:hint="eastAsia"/>
              </w:rPr>
              <w:t>5</w:t>
            </w:r>
          </w:p>
        </w:tc>
        <w:tc>
          <w:tcPr>
            <w:tcW w:w="2644" w:type="pct"/>
            <w:vAlign w:val="center"/>
          </w:tcPr>
          <w:p w:rsidR="00EE56C0" w:rsidRDefault="000F36A1">
            <w:pPr>
              <w:pStyle w:val="afa"/>
            </w:pPr>
            <w:r>
              <w:rPr>
                <w:rFonts w:hint="eastAsia"/>
              </w:rPr>
              <w:t>视频监控、用电监控</w:t>
            </w:r>
          </w:p>
        </w:tc>
      </w:tr>
      <w:tr w:rsidR="00EE56C0">
        <w:trPr>
          <w:trHeight w:val="425"/>
          <w:jc w:val="center"/>
        </w:trPr>
        <w:tc>
          <w:tcPr>
            <w:tcW w:w="1310" w:type="pct"/>
            <w:gridSpan w:val="2"/>
            <w:vAlign w:val="center"/>
          </w:tcPr>
          <w:p w:rsidR="00EE56C0" w:rsidRDefault="000F36A1">
            <w:pPr>
              <w:pStyle w:val="afa"/>
            </w:pPr>
            <w:r>
              <w:rPr>
                <w:rFonts w:hint="eastAsia"/>
              </w:rPr>
              <w:t>合计</w:t>
            </w:r>
          </w:p>
        </w:tc>
        <w:tc>
          <w:tcPr>
            <w:tcW w:w="1046" w:type="pct"/>
            <w:vAlign w:val="center"/>
          </w:tcPr>
          <w:p w:rsidR="00EE56C0" w:rsidRDefault="000F36A1" w:rsidP="00A80377">
            <w:pPr>
              <w:pStyle w:val="afa"/>
            </w:pPr>
            <w:r>
              <w:rPr>
                <w:rFonts w:hint="eastAsia"/>
              </w:rPr>
              <w:t>5</w:t>
            </w:r>
            <w:r w:rsidR="00A80377">
              <w:rPr>
                <w:rFonts w:hint="eastAsia"/>
              </w:rPr>
              <w:t>8</w:t>
            </w:r>
          </w:p>
        </w:tc>
        <w:tc>
          <w:tcPr>
            <w:tcW w:w="2644" w:type="pct"/>
            <w:vAlign w:val="center"/>
          </w:tcPr>
          <w:p w:rsidR="00EE56C0" w:rsidRDefault="000F36A1">
            <w:pPr>
              <w:pStyle w:val="afa"/>
            </w:pPr>
            <w:r>
              <w:t>占工程总投资的</w:t>
            </w:r>
            <w:r>
              <w:rPr>
                <w:rFonts w:hint="eastAsia"/>
              </w:rPr>
              <w:t>0.5%</w:t>
            </w:r>
          </w:p>
        </w:tc>
      </w:tr>
    </w:tbl>
    <w:p w:rsidR="00EE56C0" w:rsidRDefault="000F36A1">
      <w:pPr>
        <w:pStyle w:val="3"/>
        <w:spacing w:before="240" w:after="120"/>
      </w:pPr>
      <w:r>
        <w:rPr>
          <w:rFonts w:hint="eastAsia"/>
        </w:rPr>
        <w:t>7.3.2</w:t>
      </w:r>
      <w:r>
        <w:t>环境效益分析</w:t>
      </w:r>
      <w:bookmarkEnd w:id="453"/>
      <w:bookmarkEnd w:id="454"/>
      <w:bookmarkEnd w:id="455"/>
    </w:p>
    <w:p w:rsidR="00EE56C0" w:rsidRDefault="000F36A1">
      <w:pPr>
        <w:pStyle w:val="4"/>
        <w:ind w:left="120" w:firstLine="241"/>
      </w:pPr>
      <w:r>
        <w:rPr>
          <w:rFonts w:hint="eastAsia"/>
        </w:rPr>
        <w:t>7.3.2.1</w:t>
      </w:r>
      <w:r>
        <w:rPr>
          <w:rFonts w:hint="eastAsia"/>
        </w:rPr>
        <w:t>环保运行费用</w:t>
      </w:r>
    </w:p>
    <w:p w:rsidR="00EE56C0" w:rsidRDefault="000F36A1">
      <w:pPr>
        <w:ind w:firstLine="480"/>
      </w:pPr>
      <w:r>
        <w:rPr>
          <w:rFonts w:hint="eastAsia"/>
        </w:rPr>
        <w:t>工程完成后项目环保运行费用主要包括环保设备的维修费、折旧费、环保管理及其他费用，成本费用主要包括原辅材料消耗费，动力消耗费及人员工资，福利等。设备的折旧年限为</w:t>
      </w:r>
      <w:r>
        <w:t>15</w:t>
      </w:r>
      <w:r>
        <w:rPr>
          <w:rFonts w:hint="eastAsia"/>
        </w:rPr>
        <w:t>年，设备的修理费率为</w:t>
      </w:r>
      <w:r>
        <w:t>2.5%</w:t>
      </w:r>
      <w:r>
        <w:rPr>
          <w:rFonts w:hint="eastAsia"/>
        </w:rPr>
        <w:t>。为使项目环保治理设施正常运行，并达到预期的治理效果，环保运行费用估算：</w:t>
      </w:r>
    </w:p>
    <w:p w:rsidR="00EE56C0" w:rsidRDefault="000F36A1">
      <w:pPr>
        <w:ind w:firstLine="480"/>
      </w:pPr>
      <w:r>
        <w:rPr>
          <w:rFonts w:hint="eastAsia"/>
        </w:rPr>
        <w:t>（</w:t>
      </w:r>
      <w:r>
        <w:t>1</w:t>
      </w:r>
      <w:r>
        <w:rPr>
          <w:rFonts w:hint="eastAsia"/>
        </w:rPr>
        <w:t>）环保设施运营费及修理费</w:t>
      </w:r>
    </w:p>
    <w:p w:rsidR="00EE56C0" w:rsidRDefault="000F36A1">
      <w:pPr>
        <w:ind w:firstLine="480"/>
      </w:pPr>
      <w:r>
        <w:rPr>
          <w:rFonts w:hint="eastAsia"/>
        </w:rPr>
        <w:t>根据防污减污措施评价，本项目污染防治措施的运行费用主要为污水站运行</w:t>
      </w:r>
      <w:r>
        <w:rPr>
          <w:rFonts w:hint="eastAsia"/>
        </w:rPr>
        <w:lastRenderedPageBreak/>
        <w:t>费、废气治理设施运行费用和危险废物处置费用。运营费用按照环保总投资的</w:t>
      </w:r>
      <w:r>
        <w:t>20%</w:t>
      </w:r>
      <w:r>
        <w:rPr>
          <w:rFonts w:hint="eastAsia"/>
        </w:rPr>
        <w:t>估算，设备的修理费用按照环保总投资的</w:t>
      </w:r>
      <w:r>
        <w:t>2.5%</w:t>
      </w:r>
      <w:r>
        <w:rPr>
          <w:rFonts w:hint="eastAsia"/>
        </w:rPr>
        <w:t>估算，则项目环保设施运营费用约为一期</w:t>
      </w:r>
      <w:r>
        <w:rPr>
          <w:rFonts w:hint="eastAsia"/>
        </w:rPr>
        <w:t>12.6</w:t>
      </w:r>
      <w:r>
        <w:rPr>
          <w:rFonts w:hint="eastAsia"/>
        </w:rPr>
        <w:t>万元、二期</w:t>
      </w:r>
      <w:r>
        <w:rPr>
          <w:rFonts w:hint="eastAsia"/>
        </w:rPr>
        <w:t>11.6</w:t>
      </w:r>
      <w:r>
        <w:rPr>
          <w:rFonts w:hint="eastAsia"/>
        </w:rPr>
        <w:t>万元，环保设备的修理费约为一期</w:t>
      </w:r>
      <w:r>
        <w:rPr>
          <w:rFonts w:hint="eastAsia"/>
        </w:rPr>
        <w:t>1.575</w:t>
      </w:r>
      <w:r>
        <w:rPr>
          <w:rFonts w:hint="eastAsia"/>
        </w:rPr>
        <w:t>万元、二期</w:t>
      </w:r>
      <w:r>
        <w:rPr>
          <w:rFonts w:hint="eastAsia"/>
        </w:rPr>
        <w:t>1.45</w:t>
      </w:r>
      <w:r>
        <w:rPr>
          <w:rFonts w:hint="eastAsia"/>
        </w:rPr>
        <w:t>万元。</w:t>
      </w:r>
    </w:p>
    <w:p w:rsidR="00EE56C0" w:rsidRDefault="000F36A1">
      <w:pPr>
        <w:ind w:firstLine="480"/>
      </w:pPr>
      <w:r>
        <w:rPr>
          <w:rFonts w:hint="eastAsia"/>
        </w:rPr>
        <w:t>（</w:t>
      </w:r>
      <w:r>
        <w:t>2</w:t>
      </w:r>
      <w:r>
        <w:rPr>
          <w:rFonts w:hint="eastAsia"/>
        </w:rPr>
        <w:t>）环保设施折旧费</w:t>
      </w:r>
    </w:p>
    <w:p w:rsidR="00EE56C0" w:rsidRDefault="000F36A1">
      <w:pPr>
        <w:ind w:firstLine="480"/>
      </w:pPr>
      <w:r>
        <w:rPr>
          <w:rFonts w:hint="eastAsia"/>
        </w:rPr>
        <w:t>项目环保设施运营期间会产生环保设施的折旧费，项目按照折旧年限</w:t>
      </w:r>
      <w:r>
        <w:t>15</w:t>
      </w:r>
      <w:r>
        <w:rPr>
          <w:rFonts w:hint="eastAsia"/>
        </w:rPr>
        <w:t>年进行考虑，项目环保设施的折旧费用计算如下：</w:t>
      </w:r>
    </w:p>
    <w:p w:rsidR="00EE56C0" w:rsidRDefault="000F36A1">
      <w:pPr>
        <w:pStyle w:val="aff9"/>
        <w:spacing w:before="240" w:after="120"/>
      </w:pPr>
      <w:r>
        <w:t>C</w:t>
      </w:r>
      <w:r>
        <w:rPr>
          <w:vertAlign w:val="subscript"/>
        </w:rPr>
        <w:t>2</w:t>
      </w:r>
      <w:r>
        <w:t>=a×C</w:t>
      </w:r>
      <w:r>
        <w:rPr>
          <w:vertAlign w:val="subscript"/>
        </w:rPr>
        <w:t>0</w:t>
      </w:r>
      <w:r>
        <w:t xml:space="preserve">/n </w:t>
      </w:r>
    </w:p>
    <w:p w:rsidR="00EE56C0" w:rsidRDefault="000F36A1">
      <w:pPr>
        <w:ind w:firstLine="480"/>
      </w:pPr>
      <w:r>
        <w:rPr>
          <w:rFonts w:hint="eastAsia"/>
        </w:rPr>
        <w:t>式中，</w:t>
      </w:r>
      <w:r>
        <w:t>a—</w:t>
      </w:r>
      <w:r>
        <w:rPr>
          <w:rFonts w:hint="eastAsia"/>
        </w:rPr>
        <w:t>固定资产形成率，取</w:t>
      </w:r>
      <w:r>
        <w:t>90%</w:t>
      </w:r>
      <w:r>
        <w:rPr>
          <w:rFonts w:hint="eastAsia"/>
        </w:rPr>
        <w:t>；</w:t>
      </w:r>
    </w:p>
    <w:p w:rsidR="00EE56C0" w:rsidRDefault="000F36A1">
      <w:pPr>
        <w:ind w:firstLine="480"/>
      </w:pPr>
      <w:r>
        <w:t>n—</w:t>
      </w:r>
      <w:r>
        <w:rPr>
          <w:rFonts w:hint="eastAsia"/>
        </w:rPr>
        <w:t>折旧年限，取</w:t>
      </w:r>
      <w:r>
        <w:t>1</w:t>
      </w:r>
      <w:r>
        <w:rPr>
          <w:rFonts w:hint="eastAsia"/>
        </w:rPr>
        <w:t>5</w:t>
      </w:r>
      <w:r>
        <w:rPr>
          <w:rFonts w:hint="eastAsia"/>
        </w:rPr>
        <w:t>年；</w:t>
      </w:r>
    </w:p>
    <w:p w:rsidR="00EE56C0" w:rsidRDefault="000F36A1">
      <w:pPr>
        <w:ind w:firstLine="480"/>
      </w:pPr>
      <w:r>
        <w:t>C</w:t>
      </w:r>
      <w:r>
        <w:rPr>
          <w:vertAlign w:val="subscript"/>
        </w:rPr>
        <w:t>0</w:t>
      </w:r>
      <w:r>
        <w:t>—</w:t>
      </w:r>
      <w:r>
        <w:rPr>
          <w:rFonts w:hint="eastAsia"/>
        </w:rPr>
        <w:t>环保设施投资。</w:t>
      </w:r>
    </w:p>
    <w:p w:rsidR="00EE56C0" w:rsidRDefault="000F36A1">
      <w:pPr>
        <w:ind w:firstLine="480"/>
      </w:pPr>
      <w:r>
        <w:rPr>
          <w:rFonts w:hint="eastAsia"/>
        </w:rPr>
        <w:t>经计算，项目环保设施折旧费为一期</w:t>
      </w:r>
      <w:r>
        <w:rPr>
          <w:rFonts w:hint="eastAsia"/>
        </w:rPr>
        <w:t>3.78</w:t>
      </w:r>
      <w:r>
        <w:rPr>
          <w:rFonts w:hint="eastAsia"/>
        </w:rPr>
        <w:t>万元、二期</w:t>
      </w:r>
      <w:r>
        <w:rPr>
          <w:rFonts w:hint="eastAsia"/>
        </w:rPr>
        <w:t>3.48</w:t>
      </w:r>
      <w:r>
        <w:rPr>
          <w:rFonts w:hint="eastAsia"/>
        </w:rPr>
        <w:t>万元。</w:t>
      </w:r>
    </w:p>
    <w:p w:rsidR="00EE56C0" w:rsidRDefault="000F36A1">
      <w:pPr>
        <w:ind w:firstLine="480"/>
      </w:pPr>
      <w:r>
        <w:rPr>
          <w:rFonts w:hint="eastAsia"/>
        </w:rPr>
        <w:t>（</w:t>
      </w:r>
      <w:r>
        <w:t>3</w:t>
      </w:r>
      <w:r>
        <w:rPr>
          <w:rFonts w:hint="eastAsia"/>
        </w:rPr>
        <w:t>）环保管理费</w:t>
      </w:r>
    </w:p>
    <w:p w:rsidR="00EE56C0" w:rsidRDefault="000F36A1">
      <w:pPr>
        <w:ind w:firstLine="480"/>
      </w:pPr>
      <w:r>
        <w:rPr>
          <w:rFonts w:hint="eastAsia"/>
        </w:rPr>
        <w:t>环保管理费用包括管理部门的办公费、监测费和技术咨询费等，按环保设施投资折旧费用与运行费用的</w:t>
      </w:r>
      <w:r>
        <w:t>5%</w:t>
      </w:r>
      <w:r>
        <w:rPr>
          <w:rFonts w:hint="eastAsia"/>
        </w:rPr>
        <w:t>计算，则项目运营期环保管理费为一期</w:t>
      </w:r>
      <w:r>
        <w:rPr>
          <w:rFonts w:hint="eastAsia"/>
        </w:rPr>
        <w:t>0.819</w:t>
      </w:r>
      <w:r>
        <w:rPr>
          <w:rFonts w:hint="eastAsia"/>
        </w:rPr>
        <w:t>万元、二期</w:t>
      </w:r>
      <w:r>
        <w:rPr>
          <w:rFonts w:hint="eastAsia"/>
        </w:rPr>
        <w:t>0.754</w:t>
      </w:r>
      <w:r>
        <w:rPr>
          <w:rFonts w:hint="eastAsia"/>
        </w:rPr>
        <w:t>万元。</w:t>
      </w:r>
    </w:p>
    <w:p w:rsidR="00EE56C0" w:rsidRDefault="000F36A1">
      <w:pPr>
        <w:ind w:firstLine="480"/>
      </w:pPr>
      <w:r>
        <w:rPr>
          <w:rFonts w:hint="eastAsia"/>
        </w:rPr>
        <w:t>综上所述，项目环保设施总运行费用为一期</w:t>
      </w:r>
      <w:r>
        <w:rPr>
          <w:rFonts w:hint="eastAsia"/>
        </w:rPr>
        <w:t>18.774</w:t>
      </w:r>
      <w:r>
        <w:rPr>
          <w:rFonts w:hint="eastAsia"/>
        </w:rPr>
        <w:t>万元、二期</w:t>
      </w:r>
      <w:r>
        <w:rPr>
          <w:rFonts w:hint="eastAsia"/>
        </w:rPr>
        <w:t>17.284</w:t>
      </w:r>
      <w:r>
        <w:rPr>
          <w:rFonts w:hint="eastAsia"/>
        </w:rPr>
        <w:t>万元，占全年净利润的一期</w:t>
      </w:r>
      <w:r>
        <w:rPr>
          <w:rFonts w:hint="eastAsia"/>
        </w:rPr>
        <w:t>1.6</w:t>
      </w:r>
      <w:r>
        <w:t>%</w:t>
      </w:r>
      <w:r>
        <w:rPr>
          <w:rFonts w:hint="eastAsia"/>
        </w:rPr>
        <w:t>、二期</w:t>
      </w:r>
      <w:r>
        <w:rPr>
          <w:rFonts w:hint="eastAsia"/>
        </w:rPr>
        <w:t>0.7</w:t>
      </w:r>
      <w:r>
        <w:t>%</w:t>
      </w:r>
      <w:r>
        <w:rPr>
          <w:rFonts w:hint="eastAsia"/>
        </w:rPr>
        <w:t>。</w:t>
      </w:r>
    </w:p>
    <w:p w:rsidR="00EE56C0" w:rsidRDefault="000F36A1">
      <w:pPr>
        <w:pStyle w:val="4"/>
        <w:ind w:left="120" w:firstLine="241"/>
      </w:pPr>
      <w:r>
        <w:rPr>
          <w:rFonts w:hint="eastAsia"/>
        </w:rPr>
        <w:t>7.3.2.2</w:t>
      </w:r>
      <w:r>
        <w:rPr>
          <w:rFonts w:hint="eastAsia"/>
        </w:rPr>
        <w:t>工程环境收益估算</w:t>
      </w:r>
    </w:p>
    <w:p w:rsidR="00EE56C0" w:rsidRDefault="000F36A1">
      <w:pPr>
        <w:ind w:firstLine="480"/>
      </w:pPr>
      <w:r>
        <w:rPr>
          <w:rFonts w:hint="eastAsia"/>
        </w:rPr>
        <w:t>通过设置专项资金进行污染治理，不仅可以最大限度的减少污染物的排放量，而且实现了部分可利用废物的回收，降低了企业的运行成本，产生了良好的环境效益：</w:t>
      </w:r>
    </w:p>
    <w:p w:rsidR="00EE56C0" w:rsidRDefault="000F36A1">
      <w:pPr>
        <w:ind w:firstLine="480"/>
      </w:pPr>
      <w:r>
        <w:t>1</w:t>
      </w:r>
      <w:r>
        <w:rPr>
          <w:rFonts w:hint="eastAsia"/>
        </w:rPr>
        <w:t>、废气治理环境效益</w:t>
      </w:r>
    </w:p>
    <w:p w:rsidR="00EE56C0" w:rsidRDefault="000F36A1">
      <w:pPr>
        <w:ind w:firstLine="480"/>
      </w:pPr>
      <w:r>
        <w:rPr>
          <w:rFonts w:hint="eastAsia"/>
        </w:rPr>
        <w:t>工艺废气经治理后均能够达标排放，对废气污染物的治理有效地保护了环境空气质量。</w:t>
      </w:r>
    </w:p>
    <w:p w:rsidR="00EE56C0" w:rsidRDefault="000F36A1">
      <w:pPr>
        <w:ind w:firstLine="480"/>
      </w:pPr>
      <w:r>
        <w:lastRenderedPageBreak/>
        <w:t>2</w:t>
      </w:r>
      <w:r>
        <w:rPr>
          <w:rFonts w:hint="eastAsia"/>
        </w:rPr>
        <w:t>、废水治理环境效益</w:t>
      </w:r>
    </w:p>
    <w:p w:rsidR="00EE56C0" w:rsidRDefault="000F36A1">
      <w:pPr>
        <w:ind w:firstLine="480"/>
      </w:pPr>
      <w:r>
        <w:rPr>
          <w:rFonts w:hint="eastAsia"/>
        </w:rPr>
        <w:t>项目建成后，废水经厂区污水处理站治理，治理后各污染物指标均能实现达标排放。</w:t>
      </w:r>
    </w:p>
    <w:p w:rsidR="00EE56C0" w:rsidRDefault="000F36A1">
      <w:pPr>
        <w:ind w:firstLine="480"/>
      </w:pPr>
      <w:r>
        <w:t>3</w:t>
      </w:r>
      <w:r>
        <w:rPr>
          <w:rFonts w:hint="eastAsia"/>
        </w:rPr>
        <w:t>、环保投资收益</w:t>
      </w:r>
    </w:p>
    <w:p w:rsidR="00EE56C0" w:rsidRDefault="000F36A1">
      <w:pPr>
        <w:ind w:firstLine="480"/>
      </w:pPr>
      <w:r>
        <w:rPr>
          <w:rFonts w:hint="eastAsia"/>
        </w:rPr>
        <w:t>本项目通过建设各种污染防治措施，实现了污染物的达标排放，可以减少排污费和超标排污费的缴纳额度。</w:t>
      </w:r>
      <w:r>
        <w:t>本项目环保工程主要收益见表</w:t>
      </w:r>
      <w:r>
        <w:t>7-</w:t>
      </w:r>
      <w:r>
        <w:rPr>
          <w:rFonts w:hint="eastAsia"/>
        </w:rPr>
        <w:t>4</w:t>
      </w:r>
      <w:r>
        <w:rPr>
          <w:rFonts w:hint="eastAsia"/>
        </w:rPr>
        <w:t>。</w:t>
      </w:r>
    </w:p>
    <w:p w:rsidR="00EE56C0" w:rsidRDefault="000F36A1">
      <w:pPr>
        <w:pStyle w:val="afd"/>
        <w:spacing w:before="120" w:after="120"/>
        <w:ind w:firstLine="482"/>
      </w:pPr>
      <w:r>
        <w:t>表</w:t>
      </w:r>
      <w:r>
        <w:t>7-</w:t>
      </w:r>
      <w:r>
        <w:rPr>
          <w:rFonts w:hint="eastAsia"/>
        </w:rPr>
        <w:t>4</w:t>
      </w:r>
      <w:r>
        <w:t xml:space="preserve">                 </w:t>
      </w:r>
      <w:r>
        <w:t>主要环保收益一览表</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CellMar>
          <w:left w:w="0" w:type="dxa"/>
          <w:right w:w="0" w:type="dxa"/>
        </w:tblCellMar>
        <w:tblLook w:val="04A0"/>
      </w:tblPr>
      <w:tblGrid>
        <w:gridCol w:w="1143"/>
        <w:gridCol w:w="4668"/>
        <w:gridCol w:w="2522"/>
      </w:tblGrid>
      <w:tr w:rsidR="00EE56C0">
        <w:trPr>
          <w:trHeight w:val="397"/>
          <w:jc w:val="center"/>
        </w:trPr>
        <w:tc>
          <w:tcPr>
            <w:tcW w:w="686" w:type="pct"/>
            <w:tcBorders>
              <w:top w:val="single" w:sz="8" w:space="0" w:color="auto"/>
              <w:left w:val="single" w:sz="8" w:space="0" w:color="auto"/>
              <w:bottom w:val="single" w:sz="6" w:space="0" w:color="auto"/>
              <w:right w:val="single" w:sz="6" w:space="0" w:color="auto"/>
            </w:tcBorders>
            <w:vAlign w:val="center"/>
          </w:tcPr>
          <w:p w:rsidR="00EE56C0" w:rsidRDefault="000F36A1">
            <w:pPr>
              <w:pStyle w:val="afa"/>
              <w:rPr>
                <w:b/>
              </w:rPr>
            </w:pPr>
            <w:r>
              <w:rPr>
                <w:rFonts w:hint="eastAsia"/>
                <w:b/>
              </w:rPr>
              <w:t>序号</w:t>
            </w:r>
          </w:p>
        </w:tc>
        <w:tc>
          <w:tcPr>
            <w:tcW w:w="2800" w:type="pct"/>
            <w:tcBorders>
              <w:top w:val="single" w:sz="8" w:space="0" w:color="auto"/>
              <w:left w:val="single" w:sz="6" w:space="0" w:color="auto"/>
              <w:bottom w:val="single" w:sz="6" w:space="0" w:color="auto"/>
              <w:right w:val="single" w:sz="6" w:space="0" w:color="auto"/>
            </w:tcBorders>
            <w:vAlign w:val="center"/>
          </w:tcPr>
          <w:p w:rsidR="00EE56C0" w:rsidRDefault="000F36A1">
            <w:pPr>
              <w:pStyle w:val="afa"/>
              <w:rPr>
                <w:b/>
              </w:rPr>
            </w:pPr>
            <w:r>
              <w:rPr>
                <w:rFonts w:hint="eastAsia"/>
                <w:b/>
              </w:rPr>
              <w:t>项目</w:t>
            </w:r>
          </w:p>
        </w:tc>
        <w:tc>
          <w:tcPr>
            <w:tcW w:w="1513" w:type="pct"/>
            <w:tcBorders>
              <w:top w:val="single" w:sz="8" w:space="0" w:color="auto"/>
              <w:left w:val="single" w:sz="6" w:space="0" w:color="auto"/>
              <w:bottom w:val="single" w:sz="6" w:space="0" w:color="auto"/>
              <w:right w:val="single" w:sz="8" w:space="0" w:color="auto"/>
            </w:tcBorders>
            <w:vAlign w:val="center"/>
          </w:tcPr>
          <w:p w:rsidR="00EE56C0" w:rsidRDefault="000F36A1">
            <w:pPr>
              <w:pStyle w:val="afa"/>
              <w:rPr>
                <w:b/>
              </w:rPr>
            </w:pPr>
            <w:r>
              <w:rPr>
                <w:rFonts w:hint="eastAsia"/>
                <w:b/>
              </w:rPr>
              <w:t>环保收益（万元</w:t>
            </w:r>
            <w:r>
              <w:rPr>
                <w:b/>
              </w:rPr>
              <w:t>/</w:t>
            </w:r>
            <w:r>
              <w:rPr>
                <w:rFonts w:hint="eastAsia"/>
                <w:b/>
              </w:rPr>
              <w:t>年）</w:t>
            </w:r>
          </w:p>
        </w:tc>
      </w:tr>
      <w:tr w:rsidR="00EE56C0">
        <w:trPr>
          <w:trHeight w:val="397"/>
          <w:jc w:val="center"/>
        </w:trPr>
        <w:tc>
          <w:tcPr>
            <w:tcW w:w="686" w:type="pct"/>
            <w:tcBorders>
              <w:top w:val="single" w:sz="6" w:space="0" w:color="auto"/>
              <w:left w:val="single" w:sz="8" w:space="0" w:color="auto"/>
              <w:bottom w:val="single" w:sz="6" w:space="0" w:color="auto"/>
              <w:right w:val="single" w:sz="6" w:space="0" w:color="auto"/>
            </w:tcBorders>
            <w:vAlign w:val="center"/>
          </w:tcPr>
          <w:p w:rsidR="00EE56C0" w:rsidRDefault="000F36A1">
            <w:pPr>
              <w:pStyle w:val="afa"/>
            </w:pPr>
            <w:r>
              <w:t>1</w:t>
            </w:r>
          </w:p>
        </w:tc>
        <w:tc>
          <w:tcPr>
            <w:tcW w:w="2800" w:type="pct"/>
            <w:tcBorders>
              <w:top w:val="single" w:sz="6" w:space="0" w:color="auto"/>
              <w:left w:val="single" w:sz="6" w:space="0" w:color="auto"/>
              <w:bottom w:val="single" w:sz="6" w:space="0" w:color="auto"/>
              <w:right w:val="single" w:sz="6" w:space="0" w:color="auto"/>
            </w:tcBorders>
            <w:vAlign w:val="center"/>
          </w:tcPr>
          <w:p w:rsidR="00EE56C0" w:rsidRDefault="000F36A1">
            <w:pPr>
              <w:pStyle w:val="afa"/>
            </w:pPr>
            <w:r>
              <w:rPr>
                <w:rFonts w:hint="eastAsia"/>
              </w:rPr>
              <w:t>达标排放，减少排污费和超标排污费的缴纳额度</w:t>
            </w:r>
          </w:p>
        </w:tc>
        <w:tc>
          <w:tcPr>
            <w:tcW w:w="1513" w:type="pct"/>
            <w:tcBorders>
              <w:top w:val="single" w:sz="6" w:space="0" w:color="auto"/>
              <w:left w:val="single" w:sz="6" w:space="0" w:color="auto"/>
              <w:bottom w:val="single" w:sz="6" w:space="0" w:color="auto"/>
              <w:right w:val="single" w:sz="8" w:space="0" w:color="auto"/>
            </w:tcBorders>
            <w:vAlign w:val="center"/>
          </w:tcPr>
          <w:p w:rsidR="00EE56C0" w:rsidRDefault="000F36A1">
            <w:pPr>
              <w:pStyle w:val="afa"/>
            </w:pPr>
            <w:r>
              <w:rPr>
                <w:rFonts w:hint="eastAsia"/>
              </w:rPr>
              <w:t>1</w:t>
            </w:r>
            <w:r>
              <w:t>5</w:t>
            </w:r>
          </w:p>
        </w:tc>
      </w:tr>
      <w:tr w:rsidR="00EE56C0">
        <w:trPr>
          <w:trHeight w:val="397"/>
          <w:jc w:val="center"/>
        </w:trPr>
        <w:tc>
          <w:tcPr>
            <w:tcW w:w="3487" w:type="pct"/>
            <w:gridSpan w:val="2"/>
            <w:tcBorders>
              <w:top w:val="single" w:sz="6" w:space="0" w:color="auto"/>
              <w:left w:val="single" w:sz="8" w:space="0" w:color="auto"/>
              <w:bottom w:val="single" w:sz="8" w:space="0" w:color="auto"/>
              <w:right w:val="single" w:sz="6" w:space="0" w:color="auto"/>
            </w:tcBorders>
            <w:vAlign w:val="center"/>
          </w:tcPr>
          <w:p w:rsidR="00EE56C0" w:rsidRDefault="000F36A1">
            <w:pPr>
              <w:pStyle w:val="afa"/>
            </w:pPr>
            <w:r>
              <w:rPr>
                <w:rFonts w:ascii="宋体" w:hAnsi="宋体" w:hint="eastAsia"/>
              </w:rPr>
              <w:t>合计</w:t>
            </w:r>
          </w:p>
        </w:tc>
        <w:tc>
          <w:tcPr>
            <w:tcW w:w="1513" w:type="pct"/>
            <w:tcBorders>
              <w:top w:val="single" w:sz="6" w:space="0" w:color="auto"/>
              <w:left w:val="single" w:sz="6" w:space="0" w:color="auto"/>
              <w:bottom w:val="single" w:sz="8" w:space="0" w:color="auto"/>
              <w:right w:val="single" w:sz="8" w:space="0" w:color="auto"/>
            </w:tcBorders>
            <w:vAlign w:val="center"/>
          </w:tcPr>
          <w:p w:rsidR="00EE56C0" w:rsidRDefault="000F36A1">
            <w:pPr>
              <w:pStyle w:val="afa"/>
            </w:pPr>
            <w:r>
              <w:rPr>
                <w:rFonts w:hint="eastAsia"/>
              </w:rPr>
              <w:t>15</w:t>
            </w:r>
          </w:p>
        </w:tc>
      </w:tr>
    </w:tbl>
    <w:p w:rsidR="00EE56C0" w:rsidRDefault="000F36A1">
      <w:pPr>
        <w:ind w:firstLine="480"/>
      </w:pPr>
      <w:r>
        <w:rPr>
          <w:rFonts w:hint="eastAsia"/>
        </w:rPr>
        <w:t>4</w:t>
      </w:r>
      <w:r>
        <w:rPr>
          <w:rFonts w:hint="eastAsia"/>
        </w:rPr>
        <w:t>、环境负效益</w:t>
      </w:r>
    </w:p>
    <w:p w:rsidR="00EE56C0" w:rsidRDefault="000F36A1">
      <w:pPr>
        <w:ind w:firstLine="480"/>
      </w:pPr>
      <w:r>
        <w:rPr>
          <w:rFonts w:hint="eastAsia"/>
        </w:rPr>
        <w:t>虽然本项目采用了先进的技术和生产装置，并采取了可靠有效的环保措施，确保了污染物达标排放，最大限度减少了污染物的排放量，但每年仍然向环境中排放一定的污染物。根据评价的预测结果，这些污染物虽然不会对评价区域产生明显的不利影响，但其潜在的负面影响是不可避免的，负面的影响具有累积效应，负面影响对环境造成的累积影响将会或多或少的对周边环境及居民产生一定的危害，因此，该项目对环境的影响还需要长期的监测和关注</w:t>
      </w:r>
    </w:p>
    <w:p w:rsidR="00EE56C0" w:rsidRDefault="000F36A1">
      <w:pPr>
        <w:pStyle w:val="3"/>
        <w:spacing w:before="240" w:after="120"/>
      </w:pPr>
      <w:r>
        <w:rPr>
          <w:rFonts w:hint="eastAsia"/>
        </w:rPr>
        <w:t>7.3.3</w:t>
      </w:r>
      <w:r>
        <w:t>环保投资比例系数</w:t>
      </w:r>
      <w:r>
        <w:t xml:space="preserve"> Hz</w:t>
      </w:r>
    </w:p>
    <w:p w:rsidR="00EE56C0" w:rsidRDefault="000F36A1">
      <w:pPr>
        <w:ind w:firstLine="480"/>
      </w:pPr>
      <w:r>
        <w:t>环保投资比例系数是指环保建设投资与企业建设总投资的比值，它体现了企业对环保工作的重视程度。</w:t>
      </w:r>
    </w:p>
    <w:p w:rsidR="00EE56C0" w:rsidRDefault="000F36A1">
      <w:pPr>
        <w:pStyle w:val="aff9"/>
        <w:spacing w:before="240" w:after="120"/>
      </w:pPr>
      <w:r>
        <w:t>Hz=</w:t>
      </w:r>
      <w:r>
        <w:rPr>
          <w:rFonts w:cs="宋体" w:hint="eastAsia"/>
        </w:rPr>
        <w:t>（</w:t>
      </w:r>
      <w:r>
        <w:t>E</w:t>
      </w:r>
      <w:r>
        <w:rPr>
          <w:vertAlign w:val="subscript"/>
        </w:rPr>
        <w:t>O</w:t>
      </w:r>
      <w:r>
        <w:t>/E</w:t>
      </w:r>
      <w:r>
        <w:rPr>
          <w:vertAlign w:val="subscript"/>
        </w:rPr>
        <w:t>R</w:t>
      </w:r>
      <w:r>
        <w:rPr>
          <w:rFonts w:cs="宋体" w:hint="eastAsia"/>
        </w:rPr>
        <w:t>）</w:t>
      </w:r>
      <w:r>
        <w:t>×100%</w:t>
      </w:r>
    </w:p>
    <w:p w:rsidR="00EE56C0" w:rsidRDefault="000F36A1">
      <w:pPr>
        <w:ind w:firstLine="480"/>
      </w:pPr>
      <w:r>
        <w:t>式中：</w:t>
      </w:r>
      <w:r>
        <w:t>E</w:t>
      </w:r>
      <w:r>
        <w:rPr>
          <w:vertAlign w:val="subscript"/>
        </w:rPr>
        <w:t>O</w:t>
      </w:r>
      <w:r>
        <w:t>——</w:t>
      </w:r>
      <w:r>
        <w:t>环保建设投资，万元</w:t>
      </w:r>
    </w:p>
    <w:p w:rsidR="00EE56C0" w:rsidRDefault="000F36A1">
      <w:pPr>
        <w:ind w:firstLineChars="500" w:firstLine="1200"/>
      </w:pPr>
      <w:r>
        <w:t>E</w:t>
      </w:r>
      <w:r>
        <w:rPr>
          <w:vertAlign w:val="subscript"/>
        </w:rPr>
        <w:t>R</w:t>
      </w:r>
      <w:r>
        <w:t>——</w:t>
      </w:r>
      <w:r>
        <w:t>企业建设总投资，万元</w:t>
      </w:r>
      <w:r>
        <w:t xml:space="preserve">  </w:t>
      </w:r>
    </w:p>
    <w:p w:rsidR="00EE56C0" w:rsidRDefault="000F36A1">
      <w:pPr>
        <w:ind w:firstLine="480"/>
      </w:pPr>
      <w:r>
        <w:t>项目各项环保投资费用为</w:t>
      </w:r>
      <w:r>
        <w:rPr>
          <w:rFonts w:hint="eastAsia"/>
        </w:rPr>
        <w:t>一期</w:t>
      </w:r>
      <w:r>
        <w:rPr>
          <w:rFonts w:hint="eastAsia"/>
        </w:rPr>
        <w:t>63</w:t>
      </w:r>
      <w:r>
        <w:rPr>
          <w:rFonts w:hint="eastAsia"/>
        </w:rPr>
        <w:t>万元、二期</w:t>
      </w:r>
      <w:r>
        <w:rPr>
          <w:rFonts w:hint="eastAsia"/>
        </w:rPr>
        <w:t>55</w:t>
      </w:r>
      <w:r>
        <w:rPr>
          <w:rFonts w:hint="eastAsia"/>
        </w:rPr>
        <w:t>万元</w:t>
      </w:r>
      <w:r>
        <w:t>，项目总投资费用为</w:t>
      </w:r>
      <w:r>
        <w:rPr>
          <w:rFonts w:hint="eastAsia"/>
        </w:rPr>
        <w:t>一期</w:t>
      </w:r>
      <w:r>
        <w:rPr>
          <w:rFonts w:hint="eastAsia"/>
        </w:rPr>
        <w:t>3000</w:t>
      </w:r>
      <w:r>
        <w:rPr>
          <w:rFonts w:hint="eastAsia"/>
        </w:rPr>
        <w:t>万元、二期</w:t>
      </w:r>
      <w:r>
        <w:rPr>
          <w:rFonts w:hint="eastAsia"/>
        </w:rPr>
        <w:t>10750</w:t>
      </w:r>
      <w:r>
        <w:rPr>
          <w:rFonts w:hint="eastAsia"/>
        </w:rPr>
        <w:t>万元</w:t>
      </w:r>
      <w:r>
        <w:t>，环保投资占工程计划总投资的</w:t>
      </w:r>
      <w:r>
        <w:rPr>
          <w:rFonts w:hint="eastAsia"/>
        </w:rPr>
        <w:t>一期</w:t>
      </w:r>
      <w:r>
        <w:rPr>
          <w:rFonts w:hint="eastAsia"/>
        </w:rPr>
        <w:t>2.1%</w:t>
      </w:r>
      <w:r>
        <w:rPr>
          <w:rFonts w:hint="eastAsia"/>
        </w:rPr>
        <w:t>、二期</w:t>
      </w:r>
      <w:r>
        <w:rPr>
          <w:rFonts w:hint="eastAsia"/>
        </w:rPr>
        <w:lastRenderedPageBreak/>
        <w:t>0.5%</w:t>
      </w:r>
      <w:r>
        <w:t>。本工程的环保投资能有效地提高</w:t>
      </w:r>
      <w:r>
        <w:rPr>
          <w:rFonts w:hint="eastAsia"/>
        </w:rPr>
        <w:t>水及</w:t>
      </w:r>
      <w:r>
        <w:t>原料利用率，降低能耗、物耗，减轻了对周围环境的影响。总的来说，该项目的环保投资</w:t>
      </w:r>
      <w:r>
        <w:rPr>
          <w:rFonts w:hint="eastAsia"/>
        </w:rPr>
        <w:t>在企业的可接受范围内</w:t>
      </w:r>
      <w:r>
        <w:t>。</w:t>
      </w:r>
    </w:p>
    <w:p w:rsidR="00EE56C0" w:rsidRDefault="000F36A1">
      <w:pPr>
        <w:pStyle w:val="3"/>
        <w:spacing w:before="240" w:after="120"/>
      </w:pPr>
      <w:r>
        <w:rPr>
          <w:rFonts w:hint="eastAsia"/>
        </w:rPr>
        <w:t>7.3.4</w:t>
      </w:r>
      <w:r>
        <w:t>产值环境系数</w:t>
      </w:r>
      <w:r>
        <w:t xml:space="preserve"> Fg</w:t>
      </w:r>
    </w:p>
    <w:p w:rsidR="00EE56C0" w:rsidRDefault="000F36A1">
      <w:pPr>
        <w:ind w:firstLine="480"/>
      </w:pPr>
      <w:r>
        <w:t>产值环境系数是指年环保运行费用与工业总产值的比值，年环保费用是指环保治理设施及综合利用装置的运行费用、折旧费、日常管理费等。产值环境系数的表达式为：</w:t>
      </w:r>
    </w:p>
    <w:p w:rsidR="00EE56C0" w:rsidRDefault="000F36A1">
      <w:pPr>
        <w:pStyle w:val="aff9"/>
        <w:spacing w:before="240" w:after="120"/>
      </w:pPr>
      <w:r>
        <w:t>Fg=</w:t>
      </w:r>
      <w:r>
        <w:rPr>
          <w:rFonts w:ascii="宋体" w:hAnsi="宋体" w:cs="宋体" w:hint="eastAsia"/>
        </w:rPr>
        <w:t>（</w:t>
      </w:r>
      <w:r>
        <w:t>E</w:t>
      </w:r>
      <w:r>
        <w:rPr>
          <w:vertAlign w:val="subscript"/>
        </w:rPr>
        <w:t>Z</w:t>
      </w:r>
      <w:r>
        <w:t>/E</w:t>
      </w:r>
      <w:r>
        <w:rPr>
          <w:vertAlign w:val="subscript"/>
        </w:rPr>
        <w:t>RS</w:t>
      </w:r>
      <w:r>
        <w:rPr>
          <w:rFonts w:ascii="宋体" w:hAnsi="宋体" w:cs="宋体" w:hint="eastAsia"/>
        </w:rPr>
        <w:t>）</w:t>
      </w:r>
      <w:r>
        <w:t>×100%</w:t>
      </w:r>
    </w:p>
    <w:p w:rsidR="00EE56C0" w:rsidRDefault="000F36A1">
      <w:pPr>
        <w:ind w:firstLine="480"/>
      </w:pPr>
      <w:r>
        <w:t>式中：</w:t>
      </w:r>
      <w:r>
        <w:t>E</w:t>
      </w:r>
      <w:r>
        <w:rPr>
          <w:vertAlign w:val="subscript"/>
        </w:rPr>
        <w:t>Z</w:t>
      </w:r>
      <w:r>
        <w:t>——</w:t>
      </w:r>
      <w:r>
        <w:t>年环保费用，万元</w:t>
      </w:r>
    </w:p>
    <w:p w:rsidR="00EE56C0" w:rsidRDefault="000F36A1">
      <w:pPr>
        <w:ind w:firstLineChars="500" w:firstLine="1200"/>
      </w:pPr>
      <w:r>
        <w:t>E</w:t>
      </w:r>
      <w:r>
        <w:rPr>
          <w:vertAlign w:val="subscript"/>
        </w:rPr>
        <w:t>RS</w:t>
      </w:r>
      <w:r>
        <w:t>——</w:t>
      </w:r>
      <w:r>
        <w:t>年工业总产值，万元</w:t>
      </w:r>
    </w:p>
    <w:p w:rsidR="00EE56C0" w:rsidRDefault="000F36A1">
      <w:pPr>
        <w:ind w:firstLine="480"/>
      </w:pPr>
      <w:r>
        <w:t>项目实施后，每年环保运行费用为</w:t>
      </w:r>
      <w:r>
        <w:rPr>
          <w:rFonts w:hint="eastAsia"/>
        </w:rPr>
        <w:t>一期</w:t>
      </w:r>
      <w:r>
        <w:rPr>
          <w:rFonts w:hint="eastAsia"/>
        </w:rPr>
        <w:t>18.774</w:t>
      </w:r>
      <w:r>
        <w:rPr>
          <w:rFonts w:hint="eastAsia"/>
        </w:rPr>
        <w:t>万元、二期</w:t>
      </w:r>
      <w:r>
        <w:rPr>
          <w:rFonts w:hint="eastAsia"/>
        </w:rPr>
        <w:t>17.284</w:t>
      </w:r>
      <w:r>
        <w:rPr>
          <w:rFonts w:hint="eastAsia"/>
        </w:rPr>
        <w:t>万元</w:t>
      </w:r>
      <w:r>
        <w:t>，本项目年工业总产值</w:t>
      </w:r>
      <w:r>
        <w:rPr>
          <w:rFonts w:hint="eastAsia"/>
        </w:rPr>
        <w:t>一期</w:t>
      </w:r>
      <w:r>
        <w:rPr>
          <w:rFonts w:hint="eastAsia"/>
        </w:rPr>
        <w:t>4300</w:t>
      </w:r>
      <w:r>
        <w:t>万元</w:t>
      </w:r>
      <w:r>
        <w:rPr>
          <w:rFonts w:hint="eastAsia"/>
        </w:rPr>
        <w:t>、二期</w:t>
      </w:r>
      <w:r>
        <w:rPr>
          <w:rFonts w:hint="eastAsia"/>
        </w:rPr>
        <w:t>6900</w:t>
      </w:r>
      <w:r>
        <w:t>万元，则产值环境系数为</w:t>
      </w:r>
      <w:r>
        <w:rPr>
          <w:rFonts w:hint="eastAsia"/>
        </w:rPr>
        <w:t>一期</w:t>
      </w:r>
      <w:r>
        <w:rPr>
          <w:rFonts w:hint="eastAsia"/>
        </w:rPr>
        <w:t>0.44</w:t>
      </w:r>
      <w:r>
        <w:t>%</w:t>
      </w:r>
      <w:r>
        <w:rPr>
          <w:rFonts w:hint="eastAsia"/>
        </w:rPr>
        <w:t>、二期</w:t>
      </w:r>
      <w:r>
        <w:rPr>
          <w:rFonts w:hint="eastAsia"/>
        </w:rPr>
        <w:t>0.25%</w:t>
      </w:r>
      <w:r>
        <w:t>，这意味着每生产万元产值所花费的环保费用为</w:t>
      </w:r>
      <w:r>
        <w:rPr>
          <w:rFonts w:hint="eastAsia"/>
        </w:rPr>
        <w:t>一期</w:t>
      </w:r>
      <w:r>
        <w:rPr>
          <w:rFonts w:hint="eastAsia"/>
        </w:rPr>
        <w:t>44</w:t>
      </w:r>
      <w:r>
        <w:t>元</w:t>
      </w:r>
      <w:r>
        <w:rPr>
          <w:rFonts w:hint="eastAsia"/>
        </w:rPr>
        <w:t>、二期</w:t>
      </w:r>
      <w:r>
        <w:rPr>
          <w:rFonts w:hint="eastAsia"/>
        </w:rPr>
        <w:t>25</w:t>
      </w:r>
      <w:r>
        <w:t>元。</w:t>
      </w:r>
    </w:p>
    <w:p w:rsidR="00EE56C0" w:rsidRDefault="000F36A1">
      <w:pPr>
        <w:pStyle w:val="3"/>
        <w:spacing w:before="240" w:after="120"/>
      </w:pPr>
      <w:r>
        <w:rPr>
          <w:rFonts w:hint="eastAsia"/>
        </w:rPr>
        <w:t>7.3.5</w:t>
      </w:r>
      <w:r>
        <w:t>环境经济效益系数</w:t>
      </w:r>
      <w:r>
        <w:t xml:space="preserve"> J</w:t>
      </w:r>
      <w:r>
        <w:rPr>
          <w:vertAlign w:val="subscript"/>
        </w:rPr>
        <w:t>X</w:t>
      </w:r>
    </w:p>
    <w:p w:rsidR="00EE56C0" w:rsidRDefault="000F36A1">
      <w:pPr>
        <w:ind w:firstLine="480"/>
      </w:pPr>
      <w:r>
        <w:t>环境经济效益系数</w:t>
      </w:r>
      <w:r>
        <w:t>JX</w:t>
      </w:r>
      <w:r>
        <w:t>是指因有效的环境保护措施而挽回的经济价值与环境保护费用之比，其表达式为：</w:t>
      </w:r>
    </w:p>
    <w:p w:rsidR="00EE56C0" w:rsidRDefault="000F36A1">
      <w:pPr>
        <w:pStyle w:val="aff9"/>
        <w:spacing w:before="240" w:after="120"/>
      </w:pPr>
      <w:r>
        <w:t>J</w:t>
      </w:r>
      <w:r>
        <w:rPr>
          <w:vertAlign w:val="subscript"/>
        </w:rPr>
        <w:t>X</w:t>
      </w:r>
      <w:r>
        <w:t>=E</w:t>
      </w:r>
      <w:r>
        <w:rPr>
          <w:vertAlign w:val="subscript"/>
        </w:rPr>
        <w:t>i</w:t>
      </w:r>
      <w:r>
        <w:t>/E</w:t>
      </w:r>
      <w:r>
        <w:rPr>
          <w:vertAlign w:val="subscript"/>
        </w:rPr>
        <w:t>Z</w:t>
      </w:r>
    </w:p>
    <w:p w:rsidR="00EE56C0" w:rsidRDefault="000F36A1">
      <w:pPr>
        <w:ind w:firstLine="480"/>
      </w:pPr>
      <w:r>
        <w:t>式中：</w:t>
      </w:r>
      <w:r>
        <w:t>E</w:t>
      </w:r>
      <w:r>
        <w:rPr>
          <w:vertAlign w:val="subscript"/>
        </w:rPr>
        <w:t>i</w:t>
      </w:r>
      <w:r>
        <w:t>——</w:t>
      </w:r>
      <w:r>
        <w:t>每年环保措施挽回的经济效益，万元</w:t>
      </w:r>
    </w:p>
    <w:p w:rsidR="00EE56C0" w:rsidRDefault="000F36A1">
      <w:pPr>
        <w:ind w:firstLineChars="500" w:firstLine="1200"/>
      </w:pPr>
      <w:r>
        <w:t>E</w:t>
      </w:r>
      <w:r>
        <w:rPr>
          <w:vertAlign w:val="subscript"/>
        </w:rPr>
        <w:t>Z</w:t>
      </w:r>
      <w:r>
        <w:t>——</w:t>
      </w:r>
      <w:r>
        <w:t>年环保费用，万元</w:t>
      </w:r>
    </w:p>
    <w:p w:rsidR="00EE56C0" w:rsidRDefault="000F36A1">
      <w:pPr>
        <w:ind w:firstLine="480"/>
      </w:pPr>
      <w:r>
        <w:t>项目每年环境经济效益为</w:t>
      </w:r>
      <w:r>
        <w:rPr>
          <w:rFonts w:hint="eastAsia"/>
        </w:rPr>
        <w:t>一期</w:t>
      </w:r>
      <w:r>
        <w:rPr>
          <w:rFonts w:hint="eastAsia"/>
        </w:rPr>
        <w:t>15</w:t>
      </w:r>
      <w:r>
        <w:t>万元</w:t>
      </w:r>
      <w:r>
        <w:rPr>
          <w:rFonts w:hint="eastAsia"/>
        </w:rPr>
        <w:t>、二期</w:t>
      </w:r>
      <w:r>
        <w:rPr>
          <w:rFonts w:hint="eastAsia"/>
        </w:rPr>
        <w:t>15</w:t>
      </w:r>
      <w:r>
        <w:t>万元，年环保费用为</w:t>
      </w:r>
      <w:r>
        <w:rPr>
          <w:rFonts w:hint="eastAsia"/>
        </w:rPr>
        <w:t>一期</w:t>
      </w:r>
      <w:r>
        <w:rPr>
          <w:rFonts w:hint="eastAsia"/>
        </w:rPr>
        <w:t>63</w:t>
      </w:r>
      <w:r>
        <w:rPr>
          <w:rFonts w:hint="eastAsia"/>
        </w:rPr>
        <w:t>万元、二期</w:t>
      </w:r>
      <w:r>
        <w:rPr>
          <w:rFonts w:hint="eastAsia"/>
        </w:rPr>
        <w:t>55</w:t>
      </w:r>
      <w:r>
        <w:rPr>
          <w:rFonts w:hint="eastAsia"/>
        </w:rPr>
        <w:t>万元</w:t>
      </w:r>
      <w:r>
        <w:t>，则环境经济效益系数为</w:t>
      </w:r>
      <w:r>
        <w:rPr>
          <w:rFonts w:hint="eastAsia"/>
        </w:rPr>
        <w:t>一期</w:t>
      </w:r>
      <w:r>
        <w:rPr>
          <w:rFonts w:hint="eastAsia"/>
        </w:rPr>
        <w:t>0.24</w:t>
      </w:r>
      <w:r>
        <w:t>：</w:t>
      </w:r>
      <w:r>
        <w:t>1</w:t>
      </w:r>
      <w:r>
        <w:rPr>
          <w:rFonts w:hint="eastAsia"/>
        </w:rPr>
        <w:t>、二期</w:t>
      </w:r>
      <w:r>
        <w:rPr>
          <w:rFonts w:hint="eastAsia"/>
        </w:rPr>
        <w:t>0.27:1</w:t>
      </w:r>
      <w:r>
        <w:t>。</w:t>
      </w:r>
    </w:p>
    <w:p w:rsidR="00EE56C0" w:rsidRDefault="000F36A1">
      <w:pPr>
        <w:pStyle w:val="3"/>
        <w:spacing w:before="240" w:after="120"/>
      </w:pPr>
      <w:r>
        <w:rPr>
          <w:rFonts w:hint="eastAsia"/>
        </w:rPr>
        <w:t>7.3.6</w:t>
      </w:r>
      <w:r>
        <w:t>工程环境效益综述</w:t>
      </w:r>
    </w:p>
    <w:p w:rsidR="00EE56C0" w:rsidRDefault="000F36A1">
      <w:pPr>
        <w:ind w:firstLine="480"/>
      </w:pPr>
      <w:r>
        <w:t>本项目的环境效益主要体现在环保投资减轻项目对环境的影响程度，本项目</w:t>
      </w:r>
      <w:r>
        <w:rPr>
          <w:rFonts w:hint="eastAsia"/>
        </w:rPr>
        <w:lastRenderedPageBreak/>
        <w:t>有机废气</w:t>
      </w:r>
      <w:r>
        <w:t>采用</w:t>
      </w:r>
      <w:r>
        <w:rPr>
          <w:rFonts w:hint="eastAsia"/>
        </w:rPr>
        <w:t>催化燃烧进行</w:t>
      </w:r>
      <w:r>
        <w:t>治理</w:t>
      </w:r>
      <w:r>
        <w:rPr>
          <w:rFonts w:hint="eastAsia"/>
        </w:rPr>
        <w:t>；对废水，工程采用厂区“</w:t>
      </w:r>
      <w:r w:rsidR="00E80211">
        <w:rPr>
          <w:rFonts w:hint="eastAsia"/>
        </w:rPr>
        <w:t>隔油池</w:t>
      </w:r>
      <w:r>
        <w:rPr>
          <w:rFonts w:hint="eastAsia"/>
        </w:rPr>
        <w:t>+</w:t>
      </w:r>
      <w:r w:rsidR="00E80211">
        <w:rPr>
          <w:rFonts w:hint="eastAsia"/>
        </w:rPr>
        <w:t>化粪</w:t>
      </w:r>
      <w:r>
        <w:rPr>
          <w:rFonts w:hint="eastAsia"/>
        </w:rPr>
        <w:t>池”进行处理</w:t>
      </w:r>
      <w:r>
        <w:t>，各类污染物均能实现稳定达标排放。同时，本项目充分考虑了固废的综合利用与处置。经计算：</w:t>
      </w:r>
    </w:p>
    <w:p w:rsidR="00EE56C0" w:rsidRDefault="000F36A1">
      <w:pPr>
        <w:ind w:firstLine="480"/>
      </w:pPr>
      <w:r>
        <w:t>（</w:t>
      </w:r>
      <w:r>
        <w:t>1</w:t>
      </w:r>
      <w:r>
        <w:t>）项目完成后项目环保投资比例系数</w:t>
      </w:r>
      <w:r>
        <w:t>Hz</w:t>
      </w:r>
      <w:r>
        <w:t>为</w:t>
      </w:r>
      <w:r>
        <w:rPr>
          <w:rFonts w:hint="eastAsia"/>
        </w:rPr>
        <w:t>一期</w:t>
      </w:r>
      <w:r>
        <w:rPr>
          <w:rFonts w:hint="eastAsia"/>
        </w:rPr>
        <w:t>2.1%</w:t>
      </w:r>
      <w:r>
        <w:rPr>
          <w:rFonts w:hint="eastAsia"/>
        </w:rPr>
        <w:t>、二期</w:t>
      </w:r>
      <w:r>
        <w:rPr>
          <w:rFonts w:hint="eastAsia"/>
        </w:rPr>
        <w:t>0.5%</w:t>
      </w:r>
      <w:r>
        <w:t>，表示环保投资占工程计划总投资的</w:t>
      </w:r>
      <w:r>
        <w:rPr>
          <w:rFonts w:hint="eastAsia"/>
        </w:rPr>
        <w:t>一期</w:t>
      </w:r>
      <w:r>
        <w:rPr>
          <w:rFonts w:hint="eastAsia"/>
        </w:rPr>
        <w:t>2.1%</w:t>
      </w:r>
      <w:r>
        <w:rPr>
          <w:rFonts w:hint="eastAsia"/>
        </w:rPr>
        <w:t>、二期</w:t>
      </w:r>
      <w:r>
        <w:rPr>
          <w:rFonts w:hint="eastAsia"/>
        </w:rPr>
        <w:t>0.5%</w:t>
      </w:r>
      <w:r>
        <w:t>；</w:t>
      </w:r>
    </w:p>
    <w:p w:rsidR="00EE56C0" w:rsidRDefault="000F36A1">
      <w:pPr>
        <w:ind w:firstLine="480"/>
      </w:pPr>
      <w:r>
        <w:t>（</w:t>
      </w:r>
      <w:r>
        <w:t>2</w:t>
      </w:r>
      <w:r>
        <w:t>）</w:t>
      </w:r>
      <w:r>
        <w:t>Fg</w:t>
      </w:r>
      <w:r>
        <w:t>产值环境系数为</w:t>
      </w:r>
      <w:r>
        <w:rPr>
          <w:rFonts w:hint="eastAsia"/>
        </w:rPr>
        <w:t>一期</w:t>
      </w:r>
      <w:r>
        <w:rPr>
          <w:rFonts w:hint="eastAsia"/>
        </w:rPr>
        <w:t>0.44</w:t>
      </w:r>
      <w:r>
        <w:t>%</w:t>
      </w:r>
      <w:r>
        <w:rPr>
          <w:rFonts w:hint="eastAsia"/>
        </w:rPr>
        <w:t>、二期</w:t>
      </w:r>
      <w:r>
        <w:rPr>
          <w:rFonts w:hint="eastAsia"/>
        </w:rPr>
        <w:t>0.25%</w:t>
      </w:r>
      <w:r>
        <w:t>，表示每生产万元产值所花费的环保费用为</w:t>
      </w:r>
      <w:r>
        <w:rPr>
          <w:rFonts w:hint="eastAsia"/>
        </w:rPr>
        <w:t>一期</w:t>
      </w:r>
      <w:r>
        <w:rPr>
          <w:rFonts w:hint="eastAsia"/>
        </w:rPr>
        <w:t>44</w:t>
      </w:r>
      <w:r>
        <w:t>元</w:t>
      </w:r>
      <w:r>
        <w:rPr>
          <w:rFonts w:hint="eastAsia"/>
        </w:rPr>
        <w:t>、二期</w:t>
      </w:r>
      <w:r>
        <w:rPr>
          <w:rFonts w:hint="eastAsia"/>
        </w:rPr>
        <w:t>25</w:t>
      </w:r>
      <w:r>
        <w:t>元；</w:t>
      </w:r>
    </w:p>
    <w:p w:rsidR="00EE56C0" w:rsidRDefault="000F36A1">
      <w:pPr>
        <w:ind w:firstLine="480"/>
      </w:pPr>
      <w:r>
        <w:t>（</w:t>
      </w:r>
      <w:r>
        <w:t>3</w:t>
      </w:r>
      <w:r>
        <w:t>）环境经济效益系数</w:t>
      </w:r>
      <w:r>
        <w:t>J</w:t>
      </w:r>
      <w:r>
        <w:rPr>
          <w:vertAlign w:val="subscript"/>
        </w:rPr>
        <w:t>X</w:t>
      </w:r>
      <w:r>
        <w:rPr>
          <w:rFonts w:hint="eastAsia"/>
        </w:rPr>
        <w:t>一期</w:t>
      </w:r>
      <w:r>
        <w:t>为</w:t>
      </w:r>
      <w:r>
        <w:rPr>
          <w:rFonts w:hint="eastAsia"/>
        </w:rPr>
        <w:t>0.24</w:t>
      </w:r>
      <w:r>
        <w:t>：</w:t>
      </w:r>
      <w:r>
        <w:t>1</w:t>
      </w:r>
      <w:r>
        <w:rPr>
          <w:rFonts w:hint="eastAsia"/>
        </w:rPr>
        <w:t>、二期</w:t>
      </w:r>
      <w:r>
        <w:rPr>
          <w:rFonts w:hint="eastAsia"/>
        </w:rPr>
        <w:t>0.27:1</w:t>
      </w:r>
      <w:r>
        <w:t>，表示每投入</w:t>
      </w:r>
      <w:r>
        <w:t>1</w:t>
      </w:r>
      <w:r>
        <w:t>元环保投资可挽回</w:t>
      </w:r>
      <w:r>
        <w:rPr>
          <w:rFonts w:hint="eastAsia"/>
        </w:rPr>
        <w:t>一期</w:t>
      </w:r>
      <w:r>
        <w:t>0</w:t>
      </w:r>
      <w:r>
        <w:rPr>
          <w:rFonts w:hint="eastAsia"/>
        </w:rPr>
        <w:t>.24</w:t>
      </w:r>
      <w:r>
        <w:t>元</w:t>
      </w:r>
      <w:r>
        <w:rPr>
          <w:rFonts w:hint="eastAsia"/>
        </w:rPr>
        <w:t>、二期</w:t>
      </w:r>
      <w:r>
        <w:rPr>
          <w:rFonts w:hint="eastAsia"/>
        </w:rPr>
        <w:t>0.27</w:t>
      </w:r>
      <w:r>
        <w:t>经济价值。</w:t>
      </w:r>
    </w:p>
    <w:p w:rsidR="00EE56C0" w:rsidRDefault="000F36A1">
      <w:pPr>
        <w:ind w:firstLine="480"/>
      </w:pPr>
      <w:r>
        <w:rPr>
          <w:rFonts w:hint="eastAsia"/>
        </w:rPr>
        <w:t>建设项目环境效益的核算是一项复杂、系统的工作，本项目通过适当的环保投资实现污染物达标排放，并纳入区域总量控制指标内，在达到经济目标的同时亦实现环境目标和持续发展。</w:t>
      </w:r>
    </w:p>
    <w:p w:rsidR="00EE56C0" w:rsidRDefault="000F36A1">
      <w:pPr>
        <w:ind w:firstLine="480"/>
      </w:pPr>
      <w:r>
        <w:rPr>
          <w:rFonts w:hint="eastAsia"/>
        </w:rPr>
        <w:t>综上所述，虽然项目需要付出一定的经济代价进行污染治理，但在治理污染物的同时也为企业带来了一定程度的收益，综合评定后，评价认为项目设置的环保投资是必要的，设置环保投资带来的环境效益是明显的。</w:t>
      </w:r>
    </w:p>
    <w:p w:rsidR="00EE56C0" w:rsidRDefault="000F36A1">
      <w:pPr>
        <w:pStyle w:val="1"/>
        <w:numPr>
          <w:ilvl w:val="0"/>
          <w:numId w:val="3"/>
        </w:numPr>
        <w:spacing w:before="360" w:after="480"/>
      </w:pPr>
      <w:bookmarkStart w:id="456" w:name="_Toc324839375"/>
      <w:bookmarkStart w:id="457" w:name="_Toc324839658"/>
      <w:bookmarkStart w:id="458" w:name="_Toc25400937"/>
      <w:bookmarkStart w:id="459" w:name="_Toc453042557"/>
      <w:bookmarkStart w:id="460" w:name="_Toc456001777"/>
      <w:bookmarkStart w:id="461" w:name="_Toc457301423"/>
      <w:bookmarkStart w:id="462" w:name="_Toc33416107"/>
      <w:bookmarkStart w:id="463" w:name="_Toc311812690"/>
      <w:bookmarkEnd w:id="348"/>
      <w:bookmarkEnd w:id="349"/>
      <w:bookmarkEnd w:id="350"/>
      <w:r>
        <w:rPr>
          <w:rFonts w:hint="eastAsia"/>
        </w:rPr>
        <w:lastRenderedPageBreak/>
        <w:t>环境管理与监测计划</w:t>
      </w:r>
      <w:bookmarkStart w:id="464" w:name="_Toc37949203"/>
      <w:bookmarkStart w:id="465" w:name="_Toc453042558"/>
      <w:bookmarkStart w:id="466" w:name="_Toc456001778"/>
      <w:bookmarkStart w:id="467" w:name="_Toc457301424"/>
      <w:bookmarkStart w:id="468" w:name="_Toc33416111"/>
      <w:bookmarkEnd w:id="456"/>
      <w:bookmarkEnd w:id="457"/>
      <w:bookmarkEnd w:id="458"/>
      <w:bookmarkEnd w:id="459"/>
      <w:bookmarkEnd w:id="460"/>
      <w:bookmarkEnd w:id="461"/>
      <w:bookmarkEnd w:id="462"/>
      <w:bookmarkEnd w:id="463"/>
    </w:p>
    <w:p w:rsidR="00EE56C0" w:rsidRDefault="000F36A1">
      <w:pPr>
        <w:pStyle w:val="2"/>
        <w:ind w:firstLine="301"/>
      </w:pPr>
      <w:bookmarkStart w:id="469" w:name="_Toc510512230"/>
      <w:bookmarkStart w:id="470" w:name="_Toc4832214"/>
      <w:bookmarkStart w:id="471" w:name="_Toc25400938"/>
      <w:bookmarkStart w:id="472" w:name="_Toc489346016"/>
      <w:bookmarkStart w:id="473" w:name="_Toc104860209"/>
      <w:bookmarkStart w:id="474" w:name="_Toc324839376"/>
      <w:bookmarkStart w:id="475" w:name="_Toc324839659"/>
      <w:bookmarkStart w:id="476" w:name="_Toc311812691"/>
      <w:bookmarkEnd w:id="464"/>
      <w:r>
        <w:rPr>
          <w:rFonts w:hint="eastAsia"/>
        </w:rPr>
        <w:t>8.1</w:t>
      </w:r>
      <w:r>
        <w:rPr>
          <w:rFonts w:hint="eastAsia"/>
        </w:rPr>
        <w:t>环境管理</w:t>
      </w:r>
      <w:bookmarkEnd w:id="469"/>
      <w:bookmarkEnd w:id="470"/>
      <w:bookmarkEnd w:id="471"/>
      <w:bookmarkEnd w:id="472"/>
      <w:bookmarkEnd w:id="473"/>
      <w:bookmarkEnd w:id="474"/>
      <w:bookmarkEnd w:id="475"/>
      <w:bookmarkEnd w:id="476"/>
    </w:p>
    <w:p w:rsidR="00EE56C0" w:rsidRDefault="000F36A1">
      <w:pPr>
        <w:ind w:firstLine="480"/>
      </w:pPr>
      <w:bookmarkStart w:id="477" w:name="_Toc104860210"/>
      <w:bookmarkStart w:id="478" w:name="_Toc311812692"/>
      <w:bookmarkStart w:id="479" w:name="_Toc324839377"/>
      <w:bookmarkStart w:id="480" w:name="_Toc324839660"/>
      <w:r>
        <w:t>环境管理是企业管理中的一项重要内容，加大环境管理力度是实现企业环境效益、社会效益协调发展和走可持续发展道路的重要措施，是企业生存和发展的重要保障之一，环境监测是工业污染防治的依据和环境管理的基础，加强污染监控工作是了解和掌握排污特征、研究污染发展趋势、开展环保技术研究和综合利用能源的有效途径。随着人民生活水平的不断提高和环保意识的不断增强，对于建设项目所引起的环境质量影响日益受到普遍关注，这就要求企业领导者能够及时地掌握本企业的生产和排污状况，因此制定并落实严格的环境管理与监控计划，才能最大限度的减少污染物的产生与排放。</w:t>
      </w:r>
    </w:p>
    <w:p w:rsidR="00EE56C0" w:rsidRDefault="000F36A1">
      <w:pPr>
        <w:pStyle w:val="3"/>
        <w:spacing w:before="240" w:after="120"/>
      </w:pPr>
      <w:bookmarkStart w:id="481" w:name="_Toc835"/>
      <w:bookmarkEnd w:id="477"/>
      <w:bookmarkEnd w:id="478"/>
      <w:bookmarkEnd w:id="479"/>
      <w:bookmarkEnd w:id="480"/>
      <w:r>
        <w:rPr>
          <w:rFonts w:hint="eastAsia"/>
        </w:rPr>
        <w:t>8.1.1</w:t>
      </w:r>
      <w:r>
        <w:rPr>
          <w:rFonts w:hint="eastAsia"/>
        </w:rPr>
        <w:t>环境管理的原则</w:t>
      </w:r>
    </w:p>
    <w:p w:rsidR="00EE56C0" w:rsidRDefault="000F36A1">
      <w:pPr>
        <w:ind w:firstLine="480"/>
      </w:pPr>
      <w:r>
        <w:rPr>
          <w:rFonts w:hint="eastAsia"/>
        </w:rPr>
        <w:t>根据工程特点及国家环境保护发展要求，环境管理应遵循如下原则：</w:t>
      </w:r>
    </w:p>
    <w:p w:rsidR="00EE56C0" w:rsidRDefault="000F36A1">
      <w:pPr>
        <w:ind w:firstLine="480"/>
      </w:pPr>
      <w:r>
        <w:rPr>
          <w:rFonts w:hint="eastAsia"/>
        </w:rPr>
        <w:t>①经济、社会和环境三效益统一，坚持可持续发展的原则。</w:t>
      </w:r>
    </w:p>
    <w:p w:rsidR="00EE56C0" w:rsidRDefault="000F36A1">
      <w:pPr>
        <w:ind w:firstLine="480"/>
      </w:pPr>
      <w:r>
        <w:rPr>
          <w:rFonts w:hint="eastAsia"/>
        </w:rPr>
        <w:t>②预防为主，管治结合的原则。在生产运行过程中，坚持设备“大修大改、小修小改和逢修必改”的环保原则。</w:t>
      </w:r>
    </w:p>
    <w:p w:rsidR="00EE56C0" w:rsidRDefault="000F36A1">
      <w:pPr>
        <w:ind w:firstLine="480"/>
      </w:pPr>
      <w:r>
        <w:rPr>
          <w:rFonts w:hint="eastAsia"/>
        </w:rPr>
        <w:t>③环保优先的原则。主要工艺设施的改进，新工艺、新技术的采用，企业发展规划的制定，坚持统筹规划、合理布局、清洁生产、集中控制和治理污染。</w:t>
      </w:r>
    </w:p>
    <w:p w:rsidR="00EE56C0" w:rsidRDefault="000F36A1">
      <w:pPr>
        <w:ind w:firstLine="480"/>
      </w:pPr>
      <w:r>
        <w:rPr>
          <w:rFonts w:hint="eastAsia"/>
        </w:rPr>
        <w:t>④依靠科技进步，推进清洁生产，节能降耗，降低污染的原则。</w:t>
      </w:r>
    </w:p>
    <w:p w:rsidR="00EE56C0" w:rsidRDefault="000F36A1">
      <w:pPr>
        <w:ind w:firstLine="480"/>
      </w:pPr>
      <w:r>
        <w:rPr>
          <w:rFonts w:hint="eastAsia"/>
        </w:rPr>
        <w:t>⑤专业环保管理与公众参与相结合的原则。加强环保宣传，提高全体员工的环保意识，推动本工程的环境保护工作。</w:t>
      </w:r>
    </w:p>
    <w:p w:rsidR="00EE56C0" w:rsidRDefault="000F36A1">
      <w:pPr>
        <w:pStyle w:val="3"/>
        <w:spacing w:before="240" w:after="120"/>
      </w:pPr>
      <w:r>
        <w:rPr>
          <w:rFonts w:hint="eastAsia"/>
        </w:rPr>
        <w:t>8.1.2</w:t>
      </w:r>
      <w:r>
        <w:t>环境管理机构的设置</w:t>
      </w:r>
      <w:bookmarkEnd w:id="481"/>
    </w:p>
    <w:p w:rsidR="00EE56C0" w:rsidRDefault="000F36A1">
      <w:pPr>
        <w:ind w:firstLine="480"/>
      </w:pPr>
      <w:bookmarkStart w:id="482" w:name="_Toc2084"/>
      <w:bookmarkStart w:id="483" w:name="_Toc489346017"/>
      <w:r>
        <w:rPr>
          <w:rFonts w:hint="eastAsia"/>
        </w:rPr>
        <w:t>根据国家、河南省有关环保法规和建设项目环境管理的要求，为加强该工程</w:t>
      </w:r>
      <w:r>
        <w:rPr>
          <w:rFonts w:hint="eastAsia"/>
        </w:rPr>
        <w:lastRenderedPageBreak/>
        <w:t>施工期及运行期的环境保护工作，公司应设置环境保护管理机构。根据本次工程实际情况，建议厂内废气设施管理人员</w:t>
      </w:r>
      <w:r>
        <w:rPr>
          <w:rFonts w:hint="eastAsia"/>
        </w:rPr>
        <w:t>2</w:t>
      </w:r>
      <w:r>
        <w:rPr>
          <w:rFonts w:hint="eastAsia"/>
        </w:rPr>
        <w:t>人，负责全公司废气设施的管理。污水处理站管理操作人员</w:t>
      </w:r>
      <w:r>
        <w:rPr>
          <w:rFonts w:hint="eastAsia"/>
        </w:rPr>
        <w:t>1</w:t>
      </w:r>
      <w:r>
        <w:rPr>
          <w:rFonts w:hint="eastAsia"/>
        </w:rPr>
        <w:t>人，负责全公司污水的处理。评价建议在各车间培训若干有经验、懂技术的技术人员担任车间兼职环保管理人员，把环境管理落实到生产的每个单元，严格监督管理。</w:t>
      </w:r>
    </w:p>
    <w:p w:rsidR="00EE56C0" w:rsidRDefault="000F36A1">
      <w:pPr>
        <w:ind w:firstLine="480"/>
      </w:pPr>
      <w:r>
        <w:rPr>
          <w:rFonts w:hint="eastAsia"/>
        </w:rPr>
        <w:t>环境管理专员对本项目的基本职能和主要工作职</w:t>
      </w:r>
      <w:r>
        <w:t>责见表</w:t>
      </w:r>
      <w:r>
        <w:rPr>
          <w:rFonts w:hint="eastAsia"/>
        </w:rPr>
        <w:t>8-1</w:t>
      </w:r>
      <w:r>
        <w:t>。</w:t>
      </w:r>
      <w:r>
        <w:rPr>
          <w:rFonts w:hint="eastAsia"/>
        </w:rPr>
        <w:t>环境管理专员应具</w:t>
      </w:r>
      <w:r>
        <w:t>备的素质见表</w:t>
      </w:r>
      <w:r>
        <w:rPr>
          <w:rFonts w:hint="eastAsia"/>
        </w:rPr>
        <w:t>8-2</w:t>
      </w:r>
      <w:r>
        <w:t>。</w:t>
      </w:r>
    </w:p>
    <w:p w:rsidR="00EE56C0" w:rsidRDefault="000F36A1">
      <w:pPr>
        <w:pStyle w:val="afd"/>
        <w:spacing w:before="120" w:after="120"/>
        <w:ind w:firstLine="482"/>
      </w:pPr>
      <w:r>
        <w:rPr>
          <w:rFonts w:hint="eastAsia"/>
        </w:rPr>
        <w:t>表</w:t>
      </w:r>
      <w:r>
        <w:rPr>
          <w:rFonts w:hint="eastAsia"/>
        </w:rPr>
        <w:t xml:space="preserve">8-1                   </w:t>
      </w:r>
      <w:r>
        <w:rPr>
          <w:rFonts w:hint="eastAsia"/>
        </w:rPr>
        <w:t>环境管理机构职能</w:t>
      </w:r>
    </w:p>
    <w:tbl>
      <w:tblPr>
        <w:tblW w:w="5000" w:type="pct"/>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959"/>
        <w:gridCol w:w="7570"/>
      </w:tblGrid>
      <w:tr w:rsidR="00EE56C0">
        <w:trPr>
          <w:trHeight w:val="369"/>
          <w:tblHeader/>
        </w:trPr>
        <w:tc>
          <w:tcPr>
            <w:tcW w:w="562" w:type="pct"/>
            <w:vAlign w:val="center"/>
          </w:tcPr>
          <w:p w:rsidR="00EE56C0" w:rsidRDefault="000F36A1">
            <w:pPr>
              <w:pStyle w:val="aff1"/>
              <w:rPr>
                <w:color w:val="auto"/>
              </w:rPr>
            </w:pPr>
            <w:r>
              <w:rPr>
                <w:rFonts w:hint="eastAsia"/>
                <w:color w:val="auto"/>
              </w:rPr>
              <w:t>项目</w:t>
            </w:r>
          </w:p>
        </w:tc>
        <w:tc>
          <w:tcPr>
            <w:tcW w:w="4438" w:type="pct"/>
            <w:vAlign w:val="center"/>
          </w:tcPr>
          <w:p w:rsidR="00EE56C0" w:rsidRDefault="000F36A1">
            <w:pPr>
              <w:pStyle w:val="aff1"/>
              <w:rPr>
                <w:color w:val="auto"/>
              </w:rPr>
            </w:pPr>
            <w:r>
              <w:rPr>
                <w:rFonts w:hint="eastAsia"/>
                <w:color w:val="auto"/>
              </w:rPr>
              <w:t>管理职能</w:t>
            </w:r>
          </w:p>
        </w:tc>
      </w:tr>
      <w:tr w:rsidR="00EE56C0">
        <w:trPr>
          <w:trHeight w:val="369"/>
        </w:trPr>
        <w:tc>
          <w:tcPr>
            <w:tcW w:w="562" w:type="pct"/>
            <w:vAlign w:val="center"/>
          </w:tcPr>
          <w:p w:rsidR="00EE56C0" w:rsidRDefault="000F36A1">
            <w:pPr>
              <w:pStyle w:val="afa"/>
            </w:pPr>
            <w:r>
              <w:rPr>
                <w:rFonts w:ascii="宋体" w:hAnsi="Calibri" w:cs="宋体" w:hint="eastAsia"/>
              </w:rPr>
              <w:t>施工期</w:t>
            </w:r>
          </w:p>
        </w:tc>
        <w:tc>
          <w:tcPr>
            <w:tcW w:w="4438" w:type="pct"/>
            <w:vAlign w:val="center"/>
          </w:tcPr>
          <w:p w:rsidR="00EE56C0" w:rsidRDefault="000F36A1">
            <w:pPr>
              <w:pStyle w:val="afa"/>
            </w:pPr>
            <w:r>
              <w:rPr>
                <w:rFonts w:ascii="宋体" w:hAnsi="Calibri" w:cs="宋体" w:hint="eastAsia"/>
              </w:rPr>
              <w:t>·监督工程建设过程中环保设施的落实情况</w:t>
            </w:r>
          </w:p>
        </w:tc>
      </w:tr>
      <w:tr w:rsidR="00EE56C0">
        <w:trPr>
          <w:trHeight w:val="369"/>
        </w:trPr>
        <w:tc>
          <w:tcPr>
            <w:tcW w:w="562" w:type="pct"/>
            <w:vAlign w:val="center"/>
          </w:tcPr>
          <w:p w:rsidR="00EE56C0" w:rsidRDefault="000F36A1">
            <w:pPr>
              <w:pStyle w:val="afa"/>
            </w:pPr>
            <w:r>
              <w:rPr>
                <w:rFonts w:hint="eastAsia"/>
              </w:rPr>
              <w:t>竣工验收管理</w:t>
            </w:r>
          </w:p>
        </w:tc>
        <w:tc>
          <w:tcPr>
            <w:tcW w:w="4438" w:type="pct"/>
            <w:vAlign w:val="center"/>
          </w:tcPr>
          <w:p w:rsidR="00EE56C0" w:rsidRDefault="000F36A1">
            <w:pPr>
              <w:pStyle w:val="aff0"/>
              <w:ind w:firstLine="210"/>
            </w:pPr>
            <w:r>
              <w:rPr>
                <w:rFonts w:hint="eastAsia"/>
              </w:rPr>
              <w:t>·根据《建设项目环境保护竣工验收管理规定》，建设项目调试前</w:t>
            </w:r>
            <w:r>
              <w:rPr>
                <w:rFonts w:hint="eastAsia"/>
                <w:b/>
                <w:u w:val="single"/>
              </w:rPr>
              <w:t>，建设单位应同施工单位、设计单位检查其环境保护设施是否符合“三同时”要求，并依法取得办理排污许可证后，建设项目方可投入调试运行</w:t>
            </w:r>
          </w:p>
          <w:p w:rsidR="00EE56C0" w:rsidRDefault="000F36A1">
            <w:pPr>
              <w:pStyle w:val="aff0"/>
              <w:ind w:firstLine="210"/>
            </w:pPr>
            <w:r>
              <w:rPr>
                <w:rFonts w:hint="eastAsia"/>
              </w:rPr>
              <w:t>·确保建设项目的环境保护设施和主体工程同时投入</w:t>
            </w:r>
          </w:p>
          <w:p w:rsidR="00EE56C0" w:rsidRDefault="000F36A1">
            <w:pPr>
              <w:pStyle w:val="aff0"/>
              <w:ind w:firstLine="210"/>
            </w:pPr>
            <w:r>
              <w:rPr>
                <w:rFonts w:hint="eastAsia"/>
              </w:rPr>
              <w:t>·建设单位正式投入运行前，必须向审批的环保部门提交《建设项目环境保护设施竣工验收申请报告》，经环境保护行政主管部门组织验收通过后，工程才能正式运行</w:t>
            </w:r>
          </w:p>
        </w:tc>
      </w:tr>
      <w:tr w:rsidR="00EE56C0">
        <w:trPr>
          <w:trHeight w:val="369"/>
        </w:trPr>
        <w:tc>
          <w:tcPr>
            <w:tcW w:w="562" w:type="pct"/>
            <w:vAlign w:val="center"/>
          </w:tcPr>
          <w:p w:rsidR="00EE56C0" w:rsidRDefault="000F36A1">
            <w:pPr>
              <w:pStyle w:val="afa"/>
            </w:pPr>
            <w:r>
              <w:rPr>
                <w:rFonts w:hint="eastAsia"/>
              </w:rPr>
              <w:t>运行期</w:t>
            </w:r>
          </w:p>
        </w:tc>
        <w:tc>
          <w:tcPr>
            <w:tcW w:w="4438" w:type="pct"/>
            <w:vAlign w:val="center"/>
          </w:tcPr>
          <w:p w:rsidR="00EE56C0" w:rsidRDefault="000F36A1">
            <w:pPr>
              <w:pStyle w:val="aff0"/>
              <w:ind w:firstLine="210"/>
            </w:pPr>
            <w:r>
              <w:rPr>
                <w:rFonts w:hint="eastAsia"/>
              </w:rPr>
              <w:t>·认真贯彻执行国家、省、市及行业部门制定的环保法规和各项规章制度及具体要求</w:t>
            </w:r>
          </w:p>
          <w:p w:rsidR="00EE56C0" w:rsidRDefault="000F36A1">
            <w:pPr>
              <w:pStyle w:val="aff0"/>
              <w:ind w:firstLine="210"/>
            </w:pPr>
            <w:r>
              <w:rPr>
                <w:rFonts w:hint="eastAsia"/>
              </w:rPr>
              <w:t>·制定符合本公司实际生产技术水平的环护管理制度和条例并监督执行，组织制定实施全公司环保规划和计划</w:t>
            </w:r>
          </w:p>
          <w:p w:rsidR="00EE56C0" w:rsidRDefault="000F36A1">
            <w:pPr>
              <w:pStyle w:val="aff0"/>
              <w:ind w:firstLine="210"/>
            </w:pPr>
            <w:r>
              <w:rPr>
                <w:rFonts w:hint="eastAsia"/>
              </w:rPr>
              <w:t>·制定并负责实施环保设备的运行管理计划、操作规程</w:t>
            </w:r>
          </w:p>
          <w:p w:rsidR="00EE56C0" w:rsidRDefault="000F36A1">
            <w:pPr>
              <w:pStyle w:val="aff0"/>
              <w:ind w:firstLine="210"/>
            </w:pPr>
            <w:r>
              <w:rPr>
                <w:rFonts w:hint="eastAsia"/>
              </w:rPr>
              <w:t>·对环保设施的运行情况进行监控，负责环保设施及设备的常规维护，确保其正常、高效运转</w:t>
            </w:r>
          </w:p>
          <w:p w:rsidR="00EE56C0" w:rsidRDefault="000F36A1">
            <w:pPr>
              <w:pStyle w:val="aff0"/>
              <w:ind w:firstLine="210"/>
            </w:pPr>
            <w:r>
              <w:rPr>
                <w:rFonts w:hint="eastAsia"/>
              </w:rPr>
              <w:t>·监督、管理本厂环境监测站的日常监测工作，负责环境监测资料管理</w:t>
            </w:r>
          </w:p>
          <w:p w:rsidR="00EE56C0" w:rsidRDefault="000F36A1">
            <w:pPr>
              <w:pStyle w:val="aff0"/>
              <w:ind w:firstLine="210"/>
            </w:pPr>
            <w:r>
              <w:rPr>
                <w:rFonts w:hint="eastAsia"/>
              </w:rPr>
              <w:t>·负责环保排污管理、审定工作，处理全厂的环境污染事故，随时做好应急准备，对已发生的事故应及时处理并上报有关部门</w:t>
            </w:r>
          </w:p>
          <w:p w:rsidR="00EE56C0" w:rsidRDefault="000F36A1">
            <w:pPr>
              <w:pStyle w:val="aff0"/>
              <w:ind w:firstLine="210"/>
            </w:pPr>
            <w:r>
              <w:rPr>
                <w:rFonts w:hint="eastAsia"/>
              </w:rPr>
              <w:t>·研究开发污染治理和综合利用技术，收集、推广和应用先进的环境保护经验和技术</w:t>
            </w:r>
          </w:p>
          <w:p w:rsidR="00EE56C0" w:rsidRDefault="000F36A1">
            <w:pPr>
              <w:pStyle w:val="aff0"/>
              <w:ind w:firstLine="210"/>
            </w:pPr>
            <w:r>
              <w:rPr>
                <w:rFonts w:hint="eastAsia"/>
              </w:rPr>
              <w:t>·加强企业职工的清洁生产教育和培训，提高企业推行清洁生产的自觉性，对生产实施全过程清洁生产和环境管理</w:t>
            </w:r>
          </w:p>
          <w:p w:rsidR="00EE56C0" w:rsidRDefault="000F36A1">
            <w:pPr>
              <w:pStyle w:val="aff0"/>
              <w:ind w:firstLine="210"/>
            </w:pPr>
            <w:r>
              <w:rPr>
                <w:rFonts w:hint="eastAsia"/>
              </w:rPr>
              <w:t>·对公司环保设施运行情况和环境保护管理情况分别编制月报、季报和年报，并报上级部门</w:t>
            </w:r>
          </w:p>
        </w:tc>
      </w:tr>
    </w:tbl>
    <w:p w:rsidR="00EE56C0" w:rsidRDefault="00EE56C0">
      <w:pPr>
        <w:pStyle w:val="afd"/>
        <w:spacing w:before="120" w:after="120"/>
        <w:ind w:firstLine="482"/>
      </w:pPr>
    </w:p>
    <w:p w:rsidR="00EE56C0" w:rsidRDefault="00EE56C0">
      <w:pPr>
        <w:pStyle w:val="afd"/>
        <w:spacing w:before="120" w:after="120"/>
        <w:ind w:firstLine="482"/>
      </w:pPr>
    </w:p>
    <w:p w:rsidR="00EE56C0" w:rsidRDefault="00EE56C0">
      <w:pPr>
        <w:pStyle w:val="afd"/>
        <w:spacing w:before="120" w:after="120"/>
        <w:ind w:firstLine="482"/>
      </w:pPr>
    </w:p>
    <w:p w:rsidR="00EE56C0" w:rsidRDefault="00EE56C0">
      <w:pPr>
        <w:pStyle w:val="afd"/>
        <w:spacing w:before="120" w:after="120"/>
        <w:ind w:firstLine="482"/>
      </w:pPr>
    </w:p>
    <w:p w:rsidR="00EE56C0" w:rsidRDefault="000F36A1">
      <w:pPr>
        <w:pStyle w:val="afd"/>
        <w:spacing w:before="120" w:after="120"/>
        <w:ind w:firstLine="482"/>
      </w:pPr>
      <w:r>
        <w:rPr>
          <w:rFonts w:hint="eastAsia"/>
        </w:rPr>
        <w:lastRenderedPageBreak/>
        <w:t>表</w:t>
      </w:r>
      <w:r>
        <w:rPr>
          <w:rFonts w:hint="eastAsia"/>
        </w:rPr>
        <w:t xml:space="preserve">8-2                </w:t>
      </w:r>
      <w:r>
        <w:rPr>
          <w:rFonts w:hint="eastAsia"/>
        </w:rPr>
        <w:t>环境管理专员素质要求</w:t>
      </w:r>
    </w:p>
    <w:tbl>
      <w:tblPr>
        <w:tblW w:w="5000" w:type="pct"/>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725"/>
        <w:gridCol w:w="7804"/>
      </w:tblGrid>
      <w:tr w:rsidR="00EE56C0">
        <w:trPr>
          <w:trHeight w:val="369"/>
        </w:trPr>
        <w:tc>
          <w:tcPr>
            <w:tcW w:w="425" w:type="pct"/>
            <w:vAlign w:val="center"/>
          </w:tcPr>
          <w:p w:rsidR="00EE56C0" w:rsidRDefault="000F36A1">
            <w:pPr>
              <w:pStyle w:val="aff1"/>
              <w:rPr>
                <w:color w:val="auto"/>
              </w:rPr>
            </w:pPr>
            <w:r>
              <w:rPr>
                <w:rFonts w:hint="eastAsia"/>
                <w:color w:val="auto"/>
              </w:rPr>
              <w:t>序号</w:t>
            </w:r>
          </w:p>
        </w:tc>
        <w:tc>
          <w:tcPr>
            <w:tcW w:w="4575" w:type="pct"/>
            <w:vAlign w:val="center"/>
          </w:tcPr>
          <w:p w:rsidR="00EE56C0" w:rsidRDefault="000F36A1">
            <w:pPr>
              <w:pStyle w:val="aff1"/>
              <w:rPr>
                <w:color w:val="auto"/>
              </w:rPr>
            </w:pPr>
            <w:r>
              <w:rPr>
                <w:rFonts w:hint="eastAsia"/>
                <w:color w:val="auto"/>
              </w:rPr>
              <w:t>素质要求</w:t>
            </w:r>
          </w:p>
        </w:tc>
      </w:tr>
      <w:tr w:rsidR="00EE56C0">
        <w:trPr>
          <w:trHeight w:val="369"/>
        </w:trPr>
        <w:tc>
          <w:tcPr>
            <w:tcW w:w="425" w:type="pct"/>
            <w:vAlign w:val="center"/>
          </w:tcPr>
          <w:p w:rsidR="00EE56C0" w:rsidRDefault="000F36A1">
            <w:pPr>
              <w:pStyle w:val="afa"/>
            </w:pPr>
            <w:r>
              <w:t>1</w:t>
            </w:r>
          </w:p>
        </w:tc>
        <w:tc>
          <w:tcPr>
            <w:tcW w:w="4575" w:type="pct"/>
            <w:vAlign w:val="center"/>
          </w:tcPr>
          <w:p w:rsidR="00EE56C0" w:rsidRDefault="000F36A1">
            <w:pPr>
              <w:pStyle w:val="afa"/>
            </w:pPr>
            <w:r>
              <w:rPr>
                <w:rFonts w:hint="eastAsia"/>
              </w:rPr>
              <w:t>热爱环保事业，熟悉国家有关环保法规、方针政策、条例和标准等</w:t>
            </w:r>
          </w:p>
        </w:tc>
      </w:tr>
      <w:tr w:rsidR="00EE56C0">
        <w:trPr>
          <w:trHeight w:val="369"/>
        </w:trPr>
        <w:tc>
          <w:tcPr>
            <w:tcW w:w="425" w:type="pct"/>
            <w:vAlign w:val="center"/>
          </w:tcPr>
          <w:p w:rsidR="00EE56C0" w:rsidRDefault="000F36A1">
            <w:pPr>
              <w:pStyle w:val="afa"/>
            </w:pPr>
            <w:r>
              <w:t>2</w:t>
            </w:r>
          </w:p>
        </w:tc>
        <w:tc>
          <w:tcPr>
            <w:tcW w:w="4575" w:type="pct"/>
            <w:vAlign w:val="center"/>
          </w:tcPr>
          <w:p w:rsidR="00EE56C0" w:rsidRDefault="000F36A1">
            <w:pPr>
              <w:pStyle w:val="afa"/>
            </w:pPr>
            <w:r>
              <w:rPr>
                <w:rFonts w:hint="eastAsia"/>
              </w:rPr>
              <w:t>熟悉企业生产工艺，了解企业各项管理内容，能够提出本工程环境管理与综合防治的合理方案和建议</w:t>
            </w:r>
          </w:p>
        </w:tc>
      </w:tr>
      <w:tr w:rsidR="00EE56C0">
        <w:trPr>
          <w:trHeight w:val="369"/>
        </w:trPr>
        <w:tc>
          <w:tcPr>
            <w:tcW w:w="425" w:type="pct"/>
            <w:vAlign w:val="center"/>
          </w:tcPr>
          <w:p w:rsidR="00EE56C0" w:rsidRDefault="000F36A1">
            <w:pPr>
              <w:pStyle w:val="afa"/>
            </w:pPr>
            <w:r>
              <w:t>3</w:t>
            </w:r>
          </w:p>
        </w:tc>
        <w:tc>
          <w:tcPr>
            <w:tcW w:w="4575" w:type="pct"/>
            <w:vAlign w:val="center"/>
          </w:tcPr>
          <w:p w:rsidR="00EE56C0" w:rsidRDefault="000F36A1">
            <w:pPr>
              <w:pStyle w:val="afa"/>
            </w:pPr>
            <w:r>
              <w:rPr>
                <w:rFonts w:hint="eastAsia"/>
              </w:rPr>
              <w:t>具备清洁生产知识，能够提出合理的清洁生产方案，不断改进企业清洁生产水平</w:t>
            </w:r>
          </w:p>
        </w:tc>
      </w:tr>
    </w:tbl>
    <w:p w:rsidR="00EE56C0" w:rsidRDefault="000F36A1">
      <w:pPr>
        <w:ind w:firstLine="480"/>
      </w:pPr>
      <w:r>
        <w:rPr>
          <w:rFonts w:hint="eastAsia"/>
        </w:rPr>
        <w:t>为保证工作的顺利进行，安全环保处应在各车间培训业务熟练、责任心强的技术人员担任车间兼职管理人员，以便于监督管理，防患于未然。</w:t>
      </w:r>
    </w:p>
    <w:p w:rsidR="00EE56C0" w:rsidRDefault="000F36A1">
      <w:pPr>
        <w:pStyle w:val="2"/>
        <w:ind w:firstLine="301"/>
      </w:pPr>
      <w:bookmarkStart w:id="484" w:name="_Toc25400939"/>
      <w:r>
        <w:rPr>
          <w:rFonts w:hint="eastAsia"/>
        </w:rPr>
        <w:t>8.2</w:t>
      </w:r>
      <w:r>
        <w:t>环境监</w:t>
      </w:r>
      <w:r>
        <w:rPr>
          <w:rFonts w:hint="eastAsia"/>
        </w:rPr>
        <w:t>测</w:t>
      </w:r>
      <w:r>
        <w:t>计划</w:t>
      </w:r>
      <w:bookmarkEnd w:id="482"/>
      <w:bookmarkEnd w:id="483"/>
      <w:bookmarkEnd w:id="484"/>
    </w:p>
    <w:p w:rsidR="00EE56C0" w:rsidRDefault="000F36A1">
      <w:pPr>
        <w:pStyle w:val="3"/>
        <w:spacing w:before="240" w:after="120"/>
      </w:pPr>
      <w:r>
        <w:rPr>
          <w:rFonts w:hint="eastAsia"/>
        </w:rPr>
        <w:t>8.2.1</w:t>
      </w:r>
      <w:r>
        <w:rPr>
          <w:rFonts w:hint="eastAsia"/>
        </w:rPr>
        <w:t>环境监测的目的</w:t>
      </w:r>
    </w:p>
    <w:p w:rsidR="00EE56C0" w:rsidRDefault="000F36A1">
      <w:pPr>
        <w:ind w:firstLine="480"/>
      </w:pPr>
      <w:r>
        <w:rPr>
          <w:rFonts w:hint="eastAsia"/>
        </w:rPr>
        <w:t>环境监测的目的是为了准确、及时、全面地反映环境质量现状及发展趋势，对该厂主要污染物排放进行定期监测，为环境管理、污染源控制、环境规划等提供科学依据。因此，环境监测是环境管理工作必不可少的手段，是科学管理企业环保工作的基础。通过监测计划的制定与实施，及时发现环保措施的不足，进行修正和改进，确保环保设施长期高效稳定的进行。</w:t>
      </w:r>
    </w:p>
    <w:p w:rsidR="00EE56C0" w:rsidRDefault="000F36A1">
      <w:pPr>
        <w:pStyle w:val="3"/>
        <w:spacing w:before="240" w:after="120"/>
      </w:pPr>
      <w:r>
        <w:rPr>
          <w:rFonts w:hint="eastAsia"/>
        </w:rPr>
        <w:t>8.2.2</w:t>
      </w:r>
      <w:r>
        <w:rPr>
          <w:rFonts w:hint="eastAsia"/>
        </w:rPr>
        <w:t>监测任务</w:t>
      </w:r>
    </w:p>
    <w:p w:rsidR="00EE56C0" w:rsidRDefault="000F36A1">
      <w:pPr>
        <w:ind w:firstLine="480"/>
      </w:pPr>
      <w:r>
        <w:t>环境监测是环境管理的基础，并为企业制定污染防治对策和规划提供依据。根据工程污染物排放的实际情况和就近方便的原则，该项目具体监测工作建议委托有资质的环境监测机构完成。主要任务如下：</w:t>
      </w:r>
    </w:p>
    <w:p w:rsidR="00EE56C0" w:rsidRDefault="000F36A1">
      <w:pPr>
        <w:ind w:firstLine="480"/>
      </w:pPr>
      <w:r>
        <w:rPr>
          <w:rFonts w:ascii="宋体" w:hAnsi="宋体" w:cs="宋体" w:hint="eastAsia"/>
        </w:rPr>
        <w:t>①</w:t>
      </w:r>
      <w:r>
        <w:t>定期监测建设项目排放的污染物是否符合国家所规定的排放标准；</w:t>
      </w:r>
    </w:p>
    <w:p w:rsidR="00EE56C0" w:rsidRDefault="000F36A1">
      <w:pPr>
        <w:ind w:firstLine="480"/>
      </w:pPr>
      <w:r>
        <w:rPr>
          <w:rFonts w:ascii="宋体" w:hAnsi="宋体" w:cs="宋体" w:hint="eastAsia"/>
        </w:rPr>
        <w:t>②</w:t>
      </w:r>
      <w:r>
        <w:t>分析所排污染物的变化规律，为制定污染控制措施提供依据；</w:t>
      </w:r>
    </w:p>
    <w:p w:rsidR="00EE56C0" w:rsidRDefault="000F36A1">
      <w:pPr>
        <w:ind w:firstLine="480"/>
      </w:pPr>
      <w:r>
        <w:rPr>
          <w:rFonts w:ascii="宋体" w:hAnsi="宋体" w:cs="宋体" w:hint="eastAsia"/>
        </w:rPr>
        <w:t>③</w:t>
      </w:r>
      <w:r>
        <w:t>负责污染事故的监测及报告；</w:t>
      </w:r>
    </w:p>
    <w:p w:rsidR="00EE56C0" w:rsidRDefault="000F36A1">
      <w:pPr>
        <w:ind w:firstLine="480"/>
      </w:pPr>
      <w:r>
        <w:rPr>
          <w:rFonts w:hint="eastAsia"/>
        </w:rPr>
        <w:t>④</w:t>
      </w:r>
      <w:r>
        <w:t>环境监测对象主要有两个方面，即污染源监测和企业环境质量监测。</w:t>
      </w:r>
    </w:p>
    <w:p w:rsidR="00EE56C0" w:rsidRDefault="000F36A1">
      <w:pPr>
        <w:pStyle w:val="3"/>
        <w:spacing w:before="240" w:after="120"/>
      </w:pPr>
      <w:bookmarkStart w:id="485" w:name="_Toc14736"/>
      <w:r>
        <w:rPr>
          <w:rFonts w:hint="eastAsia"/>
        </w:rPr>
        <w:t>8.2.3</w:t>
      </w:r>
      <w:r>
        <w:t>监控要求</w:t>
      </w:r>
      <w:bookmarkEnd w:id="485"/>
    </w:p>
    <w:p w:rsidR="00EE56C0" w:rsidRDefault="000F36A1">
      <w:pPr>
        <w:ind w:firstLine="480"/>
      </w:pPr>
      <w:r>
        <w:t>（</w:t>
      </w:r>
      <w:r>
        <w:t>1</w:t>
      </w:r>
      <w:r>
        <w:t>）根据《大气污染物综合排放标准》（</w:t>
      </w:r>
      <w:r>
        <w:t>GB16297-1996</w:t>
      </w:r>
      <w:r>
        <w:t>）及《固定污染源</w:t>
      </w:r>
      <w:r>
        <w:lastRenderedPageBreak/>
        <w:t>排气中颗粒物测定与气态污染物采样方法》（</w:t>
      </w:r>
      <w:r>
        <w:t>GB/T16157-1996</w:t>
      </w:r>
      <w:r>
        <w:t>）要求，在废气治理设施前、后分别预留监测孔，设置明显标志。</w:t>
      </w:r>
    </w:p>
    <w:p w:rsidR="00EE56C0" w:rsidRDefault="000F36A1">
      <w:pPr>
        <w:ind w:firstLine="480"/>
      </w:pPr>
      <w:r>
        <w:t>（</w:t>
      </w:r>
      <w:r>
        <w:t>2</w:t>
      </w:r>
      <w:r>
        <w:t>）根据《环境保护图形标志</w:t>
      </w:r>
      <w:r>
        <w:t>—</w:t>
      </w:r>
      <w:r>
        <w:t>排放口（源）》（</w:t>
      </w:r>
      <w:r>
        <w:t>GB15562.1-1995</w:t>
      </w:r>
      <w:r>
        <w:t>）标准要求，分别在废气排放口和噪声排放源设置环境保护图形标志，便于污染源的监督管理和常规监测工作的进行。</w:t>
      </w:r>
    </w:p>
    <w:p w:rsidR="00EE56C0" w:rsidRDefault="000F36A1">
      <w:pPr>
        <w:ind w:firstLine="480"/>
      </w:pPr>
      <w:r>
        <w:t>（</w:t>
      </w:r>
      <w:r>
        <w:t>3</w:t>
      </w:r>
      <w:r>
        <w:t>）污染监控应严格按照国家有关标准和技术规范进行。</w:t>
      </w:r>
    </w:p>
    <w:p w:rsidR="00EE56C0" w:rsidRDefault="000F36A1">
      <w:pPr>
        <w:pStyle w:val="3"/>
        <w:spacing w:before="240" w:after="120"/>
      </w:pPr>
      <w:bookmarkStart w:id="486" w:name="_Toc6246"/>
      <w:r>
        <w:rPr>
          <w:rFonts w:hint="eastAsia"/>
        </w:rPr>
        <w:t>8.2.4</w:t>
      </w:r>
      <w:r>
        <w:t>运行期监控计划</w:t>
      </w:r>
      <w:bookmarkEnd w:id="486"/>
    </w:p>
    <w:p w:rsidR="00EE56C0" w:rsidRDefault="000F36A1">
      <w:pPr>
        <w:ind w:firstLine="480"/>
      </w:pPr>
      <w:r>
        <w:rPr>
          <w:rFonts w:hint="eastAsia"/>
        </w:rPr>
        <w:t>根据《排污单位自行监测技术指南</w:t>
      </w:r>
      <w:r>
        <w:rPr>
          <w:rFonts w:hint="eastAsia"/>
        </w:rPr>
        <w:t xml:space="preserve"> </w:t>
      </w:r>
      <w:r>
        <w:rPr>
          <w:rFonts w:hint="eastAsia"/>
        </w:rPr>
        <w:t>总则》（</w:t>
      </w:r>
      <w:r>
        <w:rPr>
          <w:rFonts w:hint="eastAsia"/>
        </w:rPr>
        <w:t>HJ819-2017</w:t>
      </w:r>
      <w:r>
        <w:rPr>
          <w:rFonts w:hint="eastAsia"/>
        </w:rPr>
        <w:t>）》，</w:t>
      </w:r>
      <w:r>
        <w:t>对生产过程中产生的废气、</w:t>
      </w:r>
      <w:r>
        <w:rPr>
          <w:rFonts w:hint="eastAsia"/>
        </w:rPr>
        <w:t>废水（总排口）、</w:t>
      </w:r>
      <w:r>
        <w:t>噪声进行监控，具体监测工作</w:t>
      </w:r>
      <w:r>
        <w:rPr>
          <w:rFonts w:hint="eastAsia"/>
        </w:rPr>
        <w:t>自行完成或</w:t>
      </w:r>
      <w:r>
        <w:t>委托有资质的环境监测机构完成。监控内容及频率见表</w:t>
      </w:r>
      <w:r>
        <w:rPr>
          <w:rFonts w:hint="eastAsia"/>
        </w:rPr>
        <w:t>8-3</w:t>
      </w:r>
      <w:r>
        <w:t>。</w:t>
      </w:r>
    </w:p>
    <w:p w:rsidR="00EE56C0" w:rsidRDefault="000F36A1">
      <w:pPr>
        <w:pStyle w:val="afd"/>
        <w:spacing w:before="120" w:after="120"/>
        <w:ind w:firstLine="482"/>
      </w:pPr>
      <w:r>
        <w:t>表</w:t>
      </w:r>
      <w:r>
        <w:rPr>
          <w:rFonts w:hint="eastAsia"/>
        </w:rPr>
        <w:t>8-3</w:t>
      </w:r>
      <w:r w:rsidR="005767FB">
        <w:rPr>
          <w:rFonts w:hint="eastAsia"/>
        </w:rPr>
        <w:t xml:space="preserve">              </w:t>
      </w:r>
      <w:r>
        <w:t>工程营运期环境监测计划表</w:t>
      </w:r>
    </w:p>
    <w:tbl>
      <w:tblPr>
        <w:tblW w:w="0" w:type="auto"/>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tblPr>
      <w:tblGrid>
        <w:gridCol w:w="878"/>
        <w:gridCol w:w="1976"/>
        <w:gridCol w:w="8"/>
        <w:gridCol w:w="3828"/>
        <w:gridCol w:w="1678"/>
      </w:tblGrid>
      <w:tr w:rsidR="00EE56C0">
        <w:trPr>
          <w:trHeight w:val="454"/>
          <w:jc w:val="center"/>
        </w:trPr>
        <w:tc>
          <w:tcPr>
            <w:tcW w:w="878" w:type="dxa"/>
            <w:tcMar>
              <w:top w:w="0" w:type="dxa"/>
              <w:left w:w="28" w:type="dxa"/>
              <w:bottom w:w="0" w:type="dxa"/>
              <w:right w:w="28" w:type="dxa"/>
            </w:tcMar>
            <w:vAlign w:val="center"/>
          </w:tcPr>
          <w:p w:rsidR="00EE56C0" w:rsidRDefault="000F36A1">
            <w:pPr>
              <w:pStyle w:val="aff1"/>
              <w:rPr>
                <w:color w:val="auto"/>
              </w:rPr>
            </w:pPr>
            <w:r>
              <w:rPr>
                <w:color w:val="auto"/>
              </w:rPr>
              <w:t>污染源</w:t>
            </w:r>
          </w:p>
        </w:tc>
        <w:tc>
          <w:tcPr>
            <w:tcW w:w="1984" w:type="dxa"/>
            <w:gridSpan w:val="2"/>
            <w:tcMar>
              <w:top w:w="0" w:type="dxa"/>
              <w:left w:w="28" w:type="dxa"/>
              <w:bottom w:w="0" w:type="dxa"/>
              <w:right w:w="28" w:type="dxa"/>
            </w:tcMar>
            <w:vAlign w:val="center"/>
          </w:tcPr>
          <w:p w:rsidR="00EE56C0" w:rsidRDefault="000F36A1">
            <w:pPr>
              <w:pStyle w:val="aff1"/>
              <w:rPr>
                <w:color w:val="auto"/>
              </w:rPr>
            </w:pPr>
            <w:r>
              <w:rPr>
                <w:color w:val="auto"/>
              </w:rPr>
              <w:t>监测点</w:t>
            </w:r>
          </w:p>
        </w:tc>
        <w:tc>
          <w:tcPr>
            <w:tcW w:w="3828" w:type="dxa"/>
            <w:tcMar>
              <w:top w:w="0" w:type="dxa"/>
              <w:left w:w="28" w:type="dxa"/>
              <w:bottom w:w="0" w:type="dxa"/>
              <w:right w:w="28" w:type="dxa"/>
            </w:tcMar>
            <w:vAlign w:val="center"/>
          </w:tcPr>
          <w:p w:rsidR="00EE56C0" w:rsidRDefault="000F36A1">
            <w:pPr>
              <w:pStyle w:val="aff1"/>
              <w:rPr>
                <w:color w:val="auto"/>
              </w:rPr>
            </w:pPr>
            <w:r>
              <w:rPr>
                <w:color w:val="auto"/>
              </w:rPr>
              <w:t>监测项目</w:t>
            </w:r>
          </w:p>
        </w:tc>
        <w:tc>
          <w:tcPr>
            <w:tcW w:w="1678" w:type="dxa"/>
            <w:tcMar>
              <w:top w:w="0" w:type="dxa"/>
              <w:left w:w="28" w:type="dxa"/>
              <w:bottom w:w="0" w:type="dxa"/>
              <w:right w:w="28" w:type="dxa"/>
            </w:tcMar>
            <w:vAlign w:val="center"/>
          </w:tcPr>
          <w:p w:rsidR="00EE56C0" w:rsidRDefault="000F36A1">
            <w:pPr>
              <w:pStyle w:val="aff1"/>
              <w:rPr>
                <w:color w:val="auto"/>
              </w:rPr>
            </w:pPr>
            <w:r>
              <w:rPr>
                <w:color w:val="auto"/>
              </w:rPr>
              <w:t>监测计划</w:t>
            </w:r>
          </w:p>
        </w:tc>
      </w:tr>
      <w:tr w:rsidR="00EE56C0">
        <w:trPr>
          <w:trHeight w:val="454"/>
          <w:jc w:val="center"/>
        </w:trPr>
        <w:tc>
          <w:tcPr>
            <w:tcW w:w="878" w:type="dxa"/>
            <w:vMerge w:val="restart"/>
            <w:tcMar>
              <w:top w:w="0" w:type="dxa"/>
              <w:left w:w="28" w:type="dxa"/>
              <w:bottom w:w="0" w:type="dxa"/>
              <w:right w:w="28" w:type="dxa"/>
            </w:tcMar>
            <w:vAlign w:val="center"/>
          </w:tcPr>
          <w:p w:rsidR="00EE56C0" w:rsidRDefault="000F36A1">
            <w:pPr>
              <w:pStyle w:val="afa"/>
            </w:pPr>
            <w:r>
              <w:t>废气</w:t>
            </w:r>
          </w:p>
        </w:tc>
        <w:tc>
          <w:tcPr>
            <w:tcW w:w="1984" w:type="dxa"/>
            <w:gridSpan w:val="2"/>
            <w:vMerge w:val="restart"/>
            <w:tcMar>
              <w:top w:w="0" w:type="dxa"/>
              <w:left w:w="28" w:type="dxa"/>
              <w:bottom w:w="0" w:type="dxa"/>
              <w:right w:w="28" w:type="dxa"/>
            </w:tcMar>
            <w:vAlign w:val="center"/>
          </w:tcPr>
          <w:p w:rsidR="00EE56C0" w:rsidRDefault="000F36A1">
            <w:pPr>
              <w:pStyle w:val="afa"/>
            </w:pPr>
            <w:r>
              <w:rPr>
                <w:rFonts w:hint="eastAsia"/>
              </w:rPr>
              <w:t>废气</w:t>
            </w:r>
            <w:r>
              <w:t>排气筒</w:t>
            </w:r>
            <w:r w:rsidR="008660AC">
              <w:rPr>
                <w:rFonts w:hint="eastAsia"/>
              </w:rPr>
              <w:t>P</w:t>
            </w:r>
            <w:r>
              <w:t>出口</w:t>
            </w:r>
          </w:p>
        </w:tc>
        <w:tc>
          <w:tcPr>
            <w:tcW w:w="3828" w:type="dxa"/>
            <w:tcBorders>
              <w:bottom w:val="single" w:sz="4" w:space="0" w:color="auto"/>
            </w:tcBorders>
            <w:tcMar>
              <w:top w:w="0" w:type="dxa"/>
              <w:left w:w="28" w:type="dxa"/>
              <w:bottom w:w="0" w:type="dxa"/>
              <w:right w:w="28" w:type="dxa"/>
            </w:tcMar>
            <w:vAlign w:val="center"/>
          </w:tcPr>
          <w:p w:rsidR="00EE56C0" w:rsidRDefault="000F36A1">
            <w:pPr>
              <w:pStyle w:val="afa"/>
            </w:pPr>
            <w:r>
              <w:rPr>
                <w:rFonts w:hint="eastAsia"/>
              </w:rPr>
              <w:t>废气量，酚、二甲苯、甲苯、苯浓度</w:t>
            </w:r>
          </w:p>
        </w:tc>
        <w:tc>
          <w:tcPr>
            <w:tcW w:w="1678" w:type="dxa"/>
            <w:tcBorders>
              <w:bottom w:val="single" w:sz="4" w:space="0" w:color="auto"/>
            </w:tcBorders>
            <w:tcMar>
              <w:top w:w="0" w:type="dxa"/>
              <w:left w:w="28" w:type="dxa"/>
              <w:bottom w:w="0" w:type="dxa"/>
              <w:right w:w="28" w:type="dxa"/>
            </w:tcMar>
            <w:vAlign w:val="center"/>
          </w:tcPr>
          <w:p w:rsidR="00EE56C0" w:rsidRDefault="000F36A1">
            <w:pPr>
              <w:pStyle w:val="afa"/>
            </w:pPr>
            <w:r>
              <w:t>1</w:t>
            </w:r>
            <w:r>
              <w:t>次</w:t>
            </w:r>
            <w:r>
              <w:t>/</w:t>
            </w:r>
            <w:r>
              <w:t>年</w:t>
            </w:r>
            <w:r>
              <w:rPr>
                <w:rFonts w:hint="eastAsia"/>
              </w:rPr>
              <w:t>、每次两天</w:t>
            </w:r>
          </w:p>
        </w:tc>
      </w:tr>
      <w:tr w:rsidR="00EE56C0">
        <w:trPr>
          <w:trHeight w:val="454"/>
          <w:jc w:val="center"/>
        </w:trPr>
        <w:tc>
          <w:tcPr>
            <w:tcW w:w="878" w:type="dxa"/>
            <w:vMerge/>
            <w:tcMar>
              <w:top w:w="0" w:type="dxa"/>
              <w:left w:w="28" w:type="dxa"/>
              <w:bottom w:w="0" w:type="dxa"/>
              <w:right w:w="28" w:type="dxa"/>
            </w:tcMar>
            <w:vAlign w:val="center"/>
          </w:tcPr>
          <w:p w:rsidR="00EE56C0" w:rsidRDefault="00EE56C0">
            <w:pPr>
              <w:pStyle w:val="afa"/>
            </w:pPr>
          </w:p>
        </w:tc>
        <w:tc>
          <w:tcPr>
            <w:tcW w:w="1984" w:type="dxa"/>
            <w:gridSpan w:val="2"/>
            <w:vMerge/>
            <w:tcMar>
              <w:top w:w="0" w:type="dxa"/>
              <w:left w:w="28" w:type="dxa"/>
              <w:bottom w:w="0" w:type="dxa"/>
              <w:right w:w="28" w:type="dxa"/>
            </w:tcMar>
            <w:vAlign w:val="center"/>
          </w:tcPr>
          <w:p w:rsidR="00EE56C0" w:rsidRDefault="00EE56C0">
            <w:pPr>
              <w:pStyle w:val="afa"/>
            </w:pPr>
          </w:p>
        </w:tc>
        <w:tc>
          <w:tcPr>
            <w:tcW w:w="3828" w:type="dxa"/>
            <w:tcBorders>
              <w:top w:val="single" w:sz="4" w:space="0" w:color="auto"/>
            </w:tcBorders>
            <w:tcMar>
              <w:top w:w="0" w:type="dxa"/>
              <w:left w:w="28" w:type="dxa"/>
              <w:bottom w:w="0" w:type="dxa"/>
              <w:right w:w="28" w:type="dxa"/>
            </w:tcMar>
            <w:vAlign w:val="center"/>
          </w:tcPr>
          <w:p w:rsidR="00EE56C0" w:rsidRDefault="000F36A1">
            <w:pPr>
              <w:pStyle w:val="afa"/>
            </w:pPr>
            <w:r>
              <w:rPr>
                <w:rFonts w:hint="eastAsia"/>
              </w:rPr>
              <w:t>非甲烷总烃浓度</w:t>
            </w:r>
          </w:p>
        </w:tc>
        <w:tc>
          <w:tcPr>
            <w:tcW w:w="1678" w:type="dxa"/>
            <w:tcBorders>
              <w:top w:val="single" w:sz="4" w:space="0" w:color="auto"/>
            </w:tcBorders>
            <w:tcMar>
              <w:top w:w="0" w:type="dxa"/>
              <w:left w:w="28" w:type="dxa"/>
              <w:bottom w:w="0" w:type="dxa"/>
              <w:right w:w="28" w:type="dxa"/>
            </w:tcMar>
            <w:vAlign w:val="center"/>
          </w:tcPr>
          <w:p w:rsidR="00EE56C0" w:rsidRDefault="000F36A1">
            <w:pPr>
              <w:pStyle w:val="afa"/>
            </w:pPr>
            <w:r>
              <w:rPr>
                <w:rFonts w:hint="eastAsia"/>
              </w:rPr>
              <w:t>在线监测</w:t>
            </w:r>
          </w:p>
        </w:tc>
      </w:tr>
      <w:tr w:rsidR="00EE56C0">
        <w:trPr>
          <w:trHeight w:val="454"/>
          <w:jc w:val="center"/>
        </w:trPr>
        <w:tc>
          <w:tcPr>
            <w:tcW w:w="878" w:type="dxa"/>
            <w:vMerge/>
            <w:tcMar>
              <w:top w:w="0" w:type="dxa"/>
              <w:left w:w="28" w:type="dxa"/>
              <w:bottom w:w="0" w:type="dxa"/>
              <w:right w:w="28" w:type="dxa"/>
            </w:tcMar>
            <w:vAlign w:val="center"/>
          </w:tcPr>
          <w:p w:rsidR="00EE56C0" w:rsidRDefault="00EE56C0">
            <w:pPr>
              <w:pStyle w:val="afa"/>
            </w:pPr>
          </w:p>
        </w:tc>
        <w:tc>
          <w:tcPr>
            <w:tcW w:w="1984" w:type="dxa"/>
            <w:gridSpan w:val="2"/>
            <w:vMerge w:val="restart"/>
            <w:tcMar>
              <w:top w:w="0" w:type="dxa"/>
              <w:left w:w="28" w:type="dxa"/>
              <w:bottom w:w="0" w:type="dxa"/>
              <w:right w:w="28" w:type="dxa"/>
            </w:tcMar>
            <w:vAlign w:val="center"/>
          </w:tcPr>
          <w:p w:rsidR="00EE56C0" w:rsidRDefault="000F36A1">
            <w:pPr>
              <w:pStyle w:val="afa"/>
            </w:pPr>
            <w:r>
              <w:rPr>
                <w:rFonts w:hint="eastAsia"/>
              </w:rPr>
              <w:t>厂界无组织废气</w:t>
            </w:r>
          </w:p>
        </w:tc>
        <w:tc>
          <w:tcPr>
            <w:tcW w:w="3828" w:type="dxa"/>
            <w:tcBorders>
              <w:bottom w:val="single" w:sz="4" w:space="0" w:color="auto"/>
            </w:tcBorders>
            <w:tcMar>
              <w:top w:w="0" w:type="dxa"/>
              <w:left w:w="28" w:type="dxa"/>
              <w:bottom w:w="0" w:type="dxa"/>
              <w:right w:w="28" w:type="dxa"/>
            </w:tcMar>
            <w:vAlign w:val="center"/>
          </w:tcPr>
          <w:p w:rsidR="00EE56C0" w:rsidRDefault="000F36A1">
            <w:pPr>
              <w:pStyle w:val="afa"/>
            </w:pPr>
            <w:r>
              <w:rPr>
                <w:rFonts w:hint="eastAsia"/>
              </w:rPr>
              <w:t>酚、二甲苯、甲苯、苯浓度</w:t>
            </w:r>
          </w:p>
        </w:tc>
        <w:tc>
          <w:tcPr>
            <w:tcW w:w="1678" w:type="dxa"/>
            <w:tcBorders>
              <w:bottom w:val="single" w:sz="4" w:space="0" w:color="auto"/>
            </w:tcBorders>
            <w:tcMar>
              <w:top w:w="0" w:type="dxa"/>
              <w:left w:w="28" w:type="dxa"/>
              <w:bottom w:w="0" w:type="dxa"/>
              <w:right w:w="28" w:type="dxa"/>
            </w:tcMar>
            <w:vAlign w:val="center"/>
          </w:tcPr>
          <w:p w:rsidR="00EE56C0" w:rsidRDefault="000F36A1">
            <w:pPr>
              <w:pStyle w:val="afa"/>
            </w:pPr>
            <w:r>
              <w:t>1</w:t>
            </w:r>
            <w:r>
              <w:t>次</w:t>
            </w:r>
            <w:r>
              <w:t>/</w:t>
            </w:r>
            <w:r>
              <w:t>年</w:t>
            </w:r>
          </w:p>
        </w:tc>
      </w:tr>
      <w:tr w:rsidR="00EE56C0">
        <w:trPr>
          <w:trHeight w:val="454"/>
          <w:jc w:val="center"/>
        </w:trPr>
        <w:tc>
          <w:tcPr>
            <w:tcW w:w="878" w:type="dxa"/>
            <w:vMerge/>
            <w:tcMar>
              <w:top w:w="0" w:type="dxa"/>
              <w:left w:w="28" w:type="dxa"/>
              <w:bottom w:w="0" w:type="dxa"/>
              <w:right w:w="28" w:type="dxa"/>
            </w:tcMar>
            <w:vAlign w:val="center"/>
          </w:tcPr>
          <w:p w:rsidR="00EE56C0" w:rsidRDefault="00EE56C0">
            <w:pPr>
              <w:pStyle w:val="afa"/>
            </w:pPr>
          </w:p>
        </w:tc>
        <w:tc>
          <w:tcPr>
            <w:tcW w:w="1984" w:type="dxa"/>
            <w:gridSpan w:val="2"/>
            <w:vMerge/>
            <w:tcMar>
              <w:top w:w="0" w:type="dxa"/>
              <w:left w:w="28" w:type="dxa"/>
              <w:bottom w:w="0" w:type="dxa"/>
              <w:right w:w="28" w:type="dxa"/>
            </w:tcMar>
            <w:vAlign w:val="center"/>
          </w:tcPr>
          <w:p w:rsidR="00EE56C0" w:rsidRDefault="00EE56C0">
            <w:pPr>
              <w:pStyle w:val="afa"/>
            </w:pPr>
          </w:p>
        </w:tc>
        <w:tc>
          <w:tcPr>
            <w:tcW w:w="3828" w:type="dxa"/>
            <w:tcBorders>
              <w:top w:val="single" w:sz="4" w:space="0" w:color="auto"/>
            </w:tcBorders>
            <w:tcMar>
              <w:top w:w="0" w:type="dxa"/>
              <w:left w:w="28" w:type="dxa"/>
              <w:bottom w:w="0" w:type="dxa"/>
              <w:right w:w="28" w:type="dxa"/>
            </w:tcMar>
            <w:vAlign w:val="center"/>
          </w:tcPr>
          <w:p w:rsidR="00EE56C0" w:rsidRDefault="000F36A1">
            <w:pPr>
              <w:pStyle w:val="afa"/>
            </w:pPr>
            <w:r>
              <w:rPr>
                <w:rFonts w:hint="eastAsia"/>
              </w:rPr>
              <w:t>非甲烷总烃浓度</w:t>
            </w:r>
          </w:p>
        </w:tc>
        <w:tc>
          <w:tcPr>
            <w:tcW w:w="1678" w:type="dxa"/>
            <w:tcBorders>
              <w:top w:val="single" w:sz="4" w:space="0" w:color="auto"/>
            </w:tcBorders>
            <w:tcMar>
              <w:top w:w="0" w:type="dxa"/>
              <w:left w:w="28" w:type="dxa"/>
              <w:bottom w:w="0" w:type="dxa"/>
              <w:right w:w="28" w:type="dxa"/>
            </w:tcMar>
            <w:vAlign w:val="center"/>
          </w:tcPr>
          <w:p w:rsidR="00EE56C0" w:rsidRDefault="000F36A1">
            <w:pPr>
              <w:pStyle w:val="afa"/>
            </w:pPr>
            <w:r>
              <w:rPr>
                <w:rFonts w:hint="eastAsia"/>
              </w:rPr>
              <w:t>在线监测</w:t>
            </w:r>
          </w:p>
        </w:tc>
      </w:tr>
      <w:tr w:rsidR="00EE56C0">
        <w:trPr>
          <w:trHeight w:val="1019"/>
          <w:jc w:val="center"/>
        </w:trPr>
        <w:tc>
          <w:tcPr>
            <w:tcW w:w="878" w:type="dxa"/>
            <w:vAlign w:val="center"/>
          </w:tcPr>
          <w:p w:rsidR="00EE56C0" w:rsidRDefault="000F36A1">
            <w:pPr>
              <w:pStyle w:val="afa"/>
            </w:pPr>
            <w:r>
              <w:rPr>
                <w:rFonts w:hint="eastAsia"/>
              </w:rPr>
              <w:t>废水</w:t>
            </w:r>
          </w:p>
        </w:tc>
        <w:tc>
          <w:tcPr>
            <w:tcW w:w="1984" w:type="dxa"/>
            <w:gridSpan w:val="2"/>
            <w:tcMar>
              <w:top w:w="0" w:type="dxa"/>
              <w:left w:w="28" w:type="dxa"/>
              <w:bottom w:w="0" w:type="dxa"/>
              <w:right w:w="28" w:type="dxa"/>
            </w:tcMar>
            <w:vAlign w:val="center"/>
          </w:tcPr>
          <w:p w:rsidR="00EE56C0" w:rsidRDefault="000F36A1">
            <w:pPr>
              <w:pStyle w:val="afa"/>
            </w:pPr>
            <w:r>
              <w:rPr>
                <w:rFonts w:hint="eastAsia"/>
              </w:rPr>
              <w:t>厂区总排口</w:t>
            </w:r>
          </w:p>
        </w:tc>
        <w:tc>
          <w:tcPr>
            <w:tcW w:w="3828" w:type="dxa"/>
            <w:tcMar>
              <w:top w:w="0" w:type="dxa"/>
              <w:left w:w="28" w:type="dxa"/>
              <w:bottom w:w="0" w:type="dxa"/>
              <w:right w:w="28" w:type="dxa"/>
            </w:tcMar>
            <w:vAlign w:val="center"/>
          </w:tcPr>
          <w:p w:rsidR="00EE56C0" w:rsidRDefault="000F36A1">
            <w:pPr>
              <w:pStyle w:val="afa"/>
            </w:pPr>
            <w:r>
              <w:rPr>
                <w:rFonts w:hint="eastAsia"/>
              </w:rPr>
              <w:t>流量、</w:t>
            </w:r>
            <w:r>
              <w:t>COD</w:t>
            </w:r>
            <w:r>
              <w:rPr>
                <w:rFonts w:hint="eastAsia"/>
              </w:rPr>
              <w:t>、</w:t>
            </w:r>
            <w:r>
              <w:rPr>
                <w:rFonts w:hint="eastAsia"/>
              </w:rPr>
              <w:t>NH</w:t>
            </w:r>
            <w:r>
              <w:rPr>
                <w:rFonts w:hint="eastAsia"/>
                <w:vertAlign w:val="subscript"/>
              </w:rPr>
              <w:t>3</w:t>
            </w:r>
            <w:r>
              <w:rPr>
                <w:rFonts w:hint="eastAsia"/>
              </w:rPr>
              <w:t>-N</w:t>
            </w:r>
            <w:r>
              <w:rPr>
                <w:rFonts w:hint="eastAsia"/>
              </w:rPr>
              <w:t>、</w:t>
            </w:r>
            <w:r>
              <w:rPr>
                <w:rFonts w:hint="eastAsia"/>
              </w:rPr>
              <w:t>TP</w:t>
            </w:r>
            <w:r>
              <w:rPr>
                <w:rFonts w:hint="eastAsia"/>
              </w:rPr>
              <w:t>、</w:t>
            </w:r>
            <w:r>
              <w:rPr>
                <w:rFonts w:hint="eastAsia"/>
              </w:rPr>
              <w:t>TN</w:t>
            </w:r>
            <w:r>
              <w:rPr>
                <w:rFonts w:hint="eastAsia"/>
              </w:rPr>
              <w:t>浓度</w:t>
            </w:r>
          </w:p>
        </w:tc>
        <w:tc>
          <w:tcPr>
            <w:tcW w:w="1678" w:type="dxa"/>
            <w:vAlign w:val="center"/>
          </w:tcPr>
          <w:p w:rsidR="00EE56C0" w:rsidRDefault="000F36A1">
            <w:pPr>
              <w:pStyle w:val="afa"/>
            </w:pPr>
            <w:r>
              <w:t>1</w:t>
            </w:r>
            <w:r>
              <w:t>次</w:t>
            </w:r>
            <w:r>
              <w:t>/</w:t>
            </w:r>
            <w:r>
              <w:t>年</w:t>
            </w:r>
            <w:r>
              <w:rPr>
                <w:rFonts w:hint="eastAsia"/>
              </w:rPr>
              <w:t>、</w:t>
            </w:r>
          </w:p>
          <w:p w:rsidR="00EE56C0" w:rsidRDefault="000F36A1">
            <w:pPr>
              <w:pStyle w:val="afa"/>
            </w:pPr>
            <w:r>
              <w:rPr>
                <w:rFonts w:hint="eastAsia"/>
              </w:rPr>
              <w:t>每次两天</w:t>
            </w:r>
          </w:p>
        </w:tc>
      </w:tr>
      <w:tr w:rsidR="00EE56C0">
        <w:trPr>
          <w:trHeight w:val="454"/>
          <w:jc w:val="center"/>
        </w:trPr>
        <w:tc>
          <w:tcPr>
            <w:tcW w:w="878" w:type="dxa"/>
            <w:tcMar>
              <w:top w:w="0" w:type="dxa"/>
              <w:left w:w="28" w:type="dxa"/>
              <w:bottom w:w="0" w:type="dxa"/>
              <w:right w:w="28" w:type="dxa"/>
            </w:tcMar>
            <w:vAlign w:val="center"/>
          </w:tcPr>
          <w:p w:rsidR="00EE56C0" w:rsidRDefault="000F36A1">
            <w:pPr>
              <w:pStyle w:val="afa"/>
              <w:rPr>
                <w:szCs w:val="18"/>
              </w:rPr>
            </w:pPr>
            <w:r>
              <w:rPr>
                <w:szCs w:val="18"/>
              </w:rPr>
              <w:t>地下水</w:t>
            </w:r>
          </w:p>
        </w:tc>
        <w:tc>
          <w:tcPr>
            <w:tcW w:w="1984" w:type="dxa"/>
            <w:gridSpan w:val="2"/>
            <w:tcMar>
              <w:top w:w="0" w:type="dxa"/>
              <w:left w:w="28" w:type="dxa"/>
              <w:bottom w:w="0" w:type="dxa"/>
              <w:right w:w="28" w:type="dxa"/>
            </w:tcMar>
            <w:vAlign w:val="center"/>
          </w:tcPr>
          <w:p w:rsidR="00EE56C0" w:rsidRDefault="000F36A1">
            <w:pPr>
              <w:pStyle w:val="afa"/>
              <w:rPr>
                <w:szCs w:val="18"/>
              </w:rPr>
            </w:pPr>
            <w:r>
              <w:rPr>
                <w:rFonts w:hint="eastAsia"/>
                <w:szCs w:val="18"/>
              </w:rPr>
              <w:t>厂区水井</w:t>
            </w:r>
          </w:p>
        </w:tc>
        <w:tc>
          <w:tcPr>
            <w:tcW w:w="3828" w:type="dxa"/>
            <w:tcMar>
              <w:top w:w="0" w:type="dxa"/>
              <w:left w:w="28" w:type="dxa"/>
              <w:bottom w:w="0" w:type="dxa"/>
              <w:right w:w="28" w:type="dxa"/>
            </w:tcMar>
            <w:vAlign w:val="center"/>
          </w:tcPr>
          <w:p w:rsidR="00EE56C0" w:rsidRDefault="000F36A1">
            <w:pPr>
              <w:pStyle w:val="afa"/>
              <w:rPr>
                <w:szCs w:val="18"/>
              </w:rPr>
            </w:pPr>
            <w:r>
              <w:t>耗氧量、氨氮</w:t>
            </w:r>
          </w:p>
        </w:tc>
        <w:tc>
          <w:tcPr>
            <w:tcW w:w="1678" w:type="dxa"/>
            <w:tcMar>
              <w:top w:w="0" w:type="dxa"/>
              <w:left w:w="28" w:type="dxa"/>
              <w:bottom w:w="0" w:type="dxa"/>
              <w:right w:w="28" w:type="dxa"/>
            </w:tcMar>
            <w:vAlign w:val="center"/>
          </w:tcPr>
          <w:p w:rsidR="00EE56C0" w:rsidRDefault="000F36A1">
            <w:pPr>
              <w:pStyle w:val="afa"/>
              <w:rPr>
                <w:szCs w:val="18"/>
              </w:rPr>
            </w:pPr>
            <w:r>
              <w:rPr>
                <w:szCs w:val="18"/>
              </w:rPr>
              <w:t>每</w:t>
            </w:r>
            <w:r>
              <w:t>半年</w:t>
            </w:r>
            <w:r>
              <w:rPr>
                <w:szCs w:val="18"/>
              </w:rPr>
              <w:t>1</w:t>
            </w:r>
            <w:r>
              <w:rPr>
                <w:szCs w:val="18"/>
              </w:rPr>
              <w:t>次</w:t>
            </w:r>
          </w:p>
        </w:tc>
      </w:tr>
      <w:tr w:rsidR="00EE56C0">
        <w:trPr>
          <w:trHeight w:val="454"/>
          <w:jc w:val="center"/>
        </w:trPr>
        <w:tc>
          <w:tcPr>
            <w:tcW w:w="878" w:type="dxa"/>
            <w:tcMar>
              <w:top w:w="0" w:type="dxa"/>
              <w:left w:w="28" w:type="dxa"/>
              <w:bottom w:w="0" w:type="dxa"/>
              <w:right w:w="28" w:type="dxa"/>
            </w:tcMar>
            <w:vAlign w:val="center"/>
          </w:tcPr>
          <w:p w:rsidR="00EE56C0" w:rsidRDefault="000F36A1">
            <w:pPr>
              <w:pStyle w:val="afa"/>
            </w:pPr>
            <w:r>
              <w:t>噪声</w:t>
            </w:r>
          </w:p>
        </w:tc>
        <w:tc>
          <w:tcPr>
            <w:tcW w:w="1984" w:type="dxa"/>
            <w:gridSpan w:val="2"/>
            <w:tcMar>
              <w:top w:w="0" w:type="dxa"/>
              <w:left w:w="28" w:type="dxa"/>
              <w:bottom w:w="0" w:type="dxa"/>
              <w:right w:w="28" w:type="dxa"/>
            </w:tcMar>
            <w:vAlign w:val="center"/>
          </w:tcPr>
          <w:p w:rsidR="00EE56C0" w:rsidRDefault="000F36A1">
            <w:pPr>
              <w:pStyle w:val="afa"/>
            </w:pPr>
            <w:r>
              <w:t>四周厂界外</w:t>
            </w:r>
            <w:r>
              <w:t>1m</w:t>
            </w:r>
            <w:r>
              <w:t>处</w:t>
            </w:r>
          </w:p>
        </w:tc>
        <w:tc>
          <w:tcPr>
            <w:tcW w:w="3828" w:type="dxa"/>
            <w:tcMar>
              <w:top w:w="0" w:type="dxa"/>
              <w:left w:w="28" w:type="dxa"/>
              <w:bottom w:w="0" w:type="dxa"/>
              <w:right w:w="28" w:type="dxa"/>
            </w:tcMar>
            <w:vAlign w:val="center"/>
          </w:tcPr>
          <w:p w:rsidR="00EE56C0" w:rsidRDefault="000F36A1">
            <w:pPr>
              <w:pStyle w:val="afa"/>
            </w:pPr>
            <w:r>
              <w:t>等效</w:t>
            </w:r>
            <w:r>
              <w:rPr>
                <w:rFonts w:hint="eastAsia"/>
              </w:rPr>
              <w:t>A</w:t>
            </w:r>
            <w:r>
              <w:t>声级</w:t>
            </w:r>
          </w:p>
        </w:tc>
        <w:tc>
          <w:tcPr>
            <w:tcW w:w="1678" w:type="dxa"/>
            <w:tcMar>
              <w:top w:w="0" w:type="dxa"/>
              <w:left w:w="28" w:type="dxa"/>
              <w:bottom w:w="0" w:type="dxa"/>
              <w:right w:w="28" w:type="dxa"/>
            </w:tcMar>
            <w:vAlign w:val="center"/>
          </w:tcPr>
          <w:p w:rsidR="00EE56C0" w:rsidRDefault="000F36A1">
            <w:pPr>
              <w:pStyle w:val="afa"/>
            </w:pPr>
            <w:r>
              <w:t>每季</w:t>
            </w:r>
            <w:r>
              <w:t>1</w:t>
            </w:r>
            <w:r>
              <w:t>次</w:t>
            </w:r>
            <w:r>
              <w:rPr>
                <w:rFonts w:hint="eastAsia"/>
              </w:rPr>
              <w:t>，</w:t>
            </w:r>
            <w:r>
              <w:t>每次</w:t>
            </w:r>
            <w:r>
              <w:t>2</w:t>
            </w:r>
            <w:r>
              <w:t>天</w:t>
            </w:r>
            <w:r>
              <w:rPr>
                <w:rFonts w:hint="eastAsia"/>
              </w:rPr>
              <w:t>，</w:t>
            </w:r>
            <w:r>
              <w:t>昼、夜各</w:t>
            </w:r>
            <w:r>
              <w:t>1</w:t>
            </w:r>
            <w:r>
              <w:t>次</w:t>
            </w:r>
          </w:p>
        </w:tc>
      </w:tr>
      <w:tr w:rsidR="00EE56C0">
        <w:trPr>
          <w:trHeight w:val="454"/>
          <w:jc w:val="center"/>
        </w:trPr>
        <w:tc>
          <w:tcPr>
            <w:tcW w:w="878" w:type="dxa"/>
            <w:tcMar>
              <w:top w:w="0" w:type="dxa"/>
              <w:left w:w="28" w:type="dxa"/>
              <w:bottom w:w="0" w:type="dxa"/>
              <w:right w:w="28" w:type="dxa"/>
            </w:tcMar>
            <w:vAlign w:val="center"/>
          </w:tcPr>
          <w:p w:rsidR="00EE56C0" w:rsidRDefault="000F36A1">
            <w:pPr>
              <w:pStyle w:val="afa"/>
            </w:pPr>
            <w:r>
              <w:t>固废</w:t>
            </w:r>
          </w:p>
        </w:tc>
        <w:tc>
          <w:tcPr>
            <w:tcW w:w="7490" w:type="dxa"/>
            <w:gridSpan w:val="4"/>
            <w:tcMar>
              <w:top w:w="0" w:type="dxa"/>
              <w:left w:w="28" w:type="dxa"/>
              <w:bottom w:w="0" w:type="dxa"/>
              <w:right w:w="28" w:type="dxa"/>
            </w:tcMar>
            <w:vAlign w:val="center"/>
          </w:tcPr>
          <w:p w:rsidR="00EE56C0" w:rsidRDefault="000F36A1">
            <w:pPr>
              <w:pStyle w:val="afa"/>
            </w:pPr>
            <w:r>
              <w:t>定期核查，及时处理</w:t>
            </w:r>
          </w:p>
        </w:tc>
      </w:tr>
      <w:tr w:rsidR="00EE56C0">
        <w:trPr>
          <w:trHeight w:val="454"/>
          <w:jc w:val="center"/>
        </w:trPr>
        <w:tc>
          <w:tcPr>
            <w:tcW w:w="878" w:type="dxa"/>
            <w:vMerge w:val="restart"/>
            <w:tcMar>
              <w:top w:w="0" w:type="dxa"/>
              <w:left w:w="28" w:type="dxa"/>
              <w:bottom w:w="0" w:type="dxa"/>
              <w:right w:w="28" w:type="dxa"/>
            </w:tcMar>
            <w:vAlign w:val="center"/>
          </w:tcPr>
          <w:p w:rsidR="00EE56C0" w:rsidRDefault="000F36A1">
            <w:pPr>
              <w:pStyle w:val="afa"/>
            </w:pPr>
            <w:r>
              <w:rPr>
                <w:rFonts w:hint="eastAsia"/>
              </w:rPr>
              <w:t>土壤</w:t>
            </w:r>
          </w:p>
        </w:tc>
        <w:tc>
          <w:tcPr>
            <w:tcW w:w="1976" w:type="dxa"/>
            <w:tcBorders>
              <w:right w:val="single" w:sz="4" w:space="0" w:color="auto"/>
            </w:tcBorders>
            <w:tcMar>
              <w:top w:w="0" w:type="dxa"/>
              <w:left w:w="28" w:type="dxa"/>
              <w:bottom w:w="0" w:type="dxa"/>
              <w:right w:w="28" w:type="dxa"/>
            </w:tcMar>
            <w:vAlign w:val="center"/>
          </w:tcPr>
          <w:p w:rsidR="00EE56C0" w:rsidRPr="008660AC" w:rsidRDefault="000F36A1">
            <w:pPr>
              <w:pStyle w:val="afa"/>
              <w:rPr>
                <w:b/>
                <w:u w:val="single"/>
              </w:rPr>
            </w:pPr>
            <w:r w:rsidRPr="008660AC">
              <w:rPr>
                <w:rFonts w:hint="eastAsia"/>
                <w:b/>
                <w:u w:val="single"/>
              </w:rPr>
              <w:t>危废间</w:t>
            </w:r>
            <w:r w:rsidRPr="008660AC">
              <w:rPr>
                <w:b/>
                <w:u w:val="single"/>
              </w:rPr>
              <w:t>附近</w:t>
            </w:r>
          </w:p>
        </w:tc>
        <w:tc>
          <w:tcPr>
            <w:tcW w:w="3836" w:type="dxa"/>
            <w:gridSpan w:val="2"/>
            <w:tcBorders>
              <w:left w:val="single" w:sz="4" w:space="0" w:color="auto"/>
              <w:right w:val="single" w:sz="4" w:space="0" w:color="auto"/>
            </w:tcBorders>
            <w:vAlign w:val="center"/>
          </w:tcPr>
          <w:p w:rsidR="00EE56C0" w:rsidRPr="008660AC" w:rsidRDefault="000F36A1">
            <w:pPr>
              <w:pStyle w:val="afa"/>
              <w:rPr>
                <w:b/>
                <w:u w:val="single"/>
              </w:rPr>
            </w:pPr>
            <w:r w:rsidRPr="008660AC">
              <w:rPr>
                <w:b/>
                <w:u w:val="single"/>
              </w:rPr>
              <w:t>石油烃</w:t>
            </w:r>
          </w:p>
        </w:tc>
        <w:tc>
          <w:tcPr>
            <w:tcW w:w="1678" w:type="dxa"/>
            <w:tcBorders>
              <w:left w:val="single" w:sz="4" w:space="0" w:color="auto"/>
            </w:tcBorders>
            <w:vAlign w:val="center"/>
          </w:tcPr>
          <w:p w:rsidR="00EE56C0" w:rsidRPr="008660AC" w:rsidRDefault="000F36A1" w:rsidP="008660AC">
            <w:pPr>
              <w:pStyle w:val="afa"/>
              <w:rPr>
                <w:b/>
                <w:u w:val="single"/>
              </w:rPr>
            </w:pPr>
            <w:r w:rsidRPr="008660AC">
              <w:rPr>
                <w:b/>
                <w:u w:val="single"/>
              </w:rPr>
              <w:t>1</w:t>
            </w:r>
            <w:r w:rsidRPr="008660AC">
              <w:rPr>
                <w:b/>
                <w:u w:val="single"/>
              </w:rPr>
              <w:t>次</w:t>
            </w:r>
            <w:r w:rsidRPr="008660AC">
              <w:rPr>
                <w:b/>
                <w:u w:val="single"/>
              </w:rPr>
              <w:t>/</w:t>
            </w:r>
            <w:r w:rsidR="008660AC" w:rsidRPr="008660AC">
              <w:rPr>
                <w:rFonts w:hint="eastAsia"/>
                <w:b/>
                <w:u w:val="single"/>
              </w:rPr>
              <w:t>5</w:t>
            </w:r>
            <w:r w:rsidRPr="008660AC">
              <w:rPr>
                <w:b/>
                <w:u w:val="single"/>
              </w:rPr>
              <w:t>年</w:t>
            </w:r>
          </w:p>
        </w:tc>
      </w:tr>
      <w:tr w:rsidR="00EE56C0">
        <w:trPr>
          <w:trHeight w:val="454"/>
          <w:jc w:val="center"/>
        </w:trPr>
        <w:tc>
          <w:tcPr>
            <w:tcW w:w="878" w:type="dxa"/>
            <w:vMerge/>
            <w:tcMar>
              <w:top w:w="0" w:type="dxa"/>
              <w:left w:w="28" w:type="dxa"/>
              <w:bottom w:w="0" w:type="dxa"/>
              <w:right w:w="28" w:type="dxa"/>
            </w:tcMar>
            <w:vAlign w:val="center"/>
          </w:tcPr>
          <w:p w:rsidR="00EE56C0" w:rsidRDefault="00EE56C0">
            <w:pPr>
              <w:pStyle w:val="afa"/>
            </w:pPr>
          </w:p>
        </w:tc>
        <w:tc>
          <w:tcPr>
            <w:tcW w:w="1976" w:type="dxa"/>
            <w:tcBorders>
              <w:right w:val="single" w:sz="4" w:space="0" w:color="auto"/>
            </w:tcBorders>
            <w:tcMar>
              <w:top w:w="0" w:type="dxa"/>
              <w:left w:w="28" w:type="dxa"/>
              <w:bottom w:w="0" w:type="dxa"/>
              <w:right w:w="28" w:type="dxa"/>
            </w:tcMar>
            <w:vAlign w:val="center"/>
          </w:tcPr>
          <w:p w:rsidR="00EE56C0" w:rsidRPr="008660AC" w:rsidRDefault="000F36A1" w:rsidP="008660AC">
            <w:pPr>
              <w:pStyle w:val="afa"/>
              <w:rPr>
                <w:b/>
                <w:u w:val="single"/>
              </w:rPr>
            </w:pPr>
            <w:r w:rsidRPr="008660AC">
              <w:rPr>
                <w:rFonts w:hint="eastAsia"/>
                <w:b/>
                <w:u w:val="single"/>
              </w:rPr>
              <w:t>有机废气排气筒</w:t>
            </w:r>
            <w:r w:rsidRPr="008660AC">
              <w:rPr>
                <w:rFonts w:hint="eastAsia"/>
                <w:b/>
                <w:u w:val="single"/>
              </w:rPr>
              <w:t>P</w:t>
            </w:r>
            <w:r w:rsidRPr="008660AC">
              <w:rPr>
                <w:rFonts w:hint="eastAsia"/>
                <w:b/>
                <w:u w:val="single"/>
              </w:rPr>
              <w:t>下风向</w:t>
            </w:r>
          </w:p>
        </w:tc>
        <w:tc>
          <w:tcPr>
            <w:tcW w:w="3836" w:type="dxa"/>
            <w:gridSpan w:val="2"/>
            <w:tcBorders>
              <w:left w:val="single" w:sz="4" w:space="0" w:color="auto"/>
              <w:right w:val="single" w:sz="4" w:space="0" w:color="auto"/>
            </w:tcBorders>
            <w:vAlign w:val="center"/>
          </w:tcPr>
          <w:p w:rsidR="00EE56C0" w:rsidRPr="008660AC" w:rsidRDefault="000F36A1">
            <w:pPr>
              <w:pStyle w:val="afa"/>
              <w:rPr>
                <w:b/>
                <w:u w:val="single"/>
              </w:rPr>
            </w:pPr>
            <w:r w:rsidRPr="008660AC">
              <w:rPr>
                <w:rFonts w:hint="eastAsia"/>
                <w:b/>
                <w:u w:val="single"/>
              </w:rPr>
              <w:t>苯、</w:t>
            </w:r>
            <w:r w:rsidRPr="008660AC">
              <w:rPr>
                <w:b/>
                <w:u w:val="single"/>
              </w:rPr>
              <w:t>甲苯、间二甲苯</w:t>
            </w:r>
            <w:r w:rsidRPr="008660AC">
              <w:rPr>
                <w:b/>
                <w:u w:val="single"/>
              </w:rPr>
              <w:t>+</w:t>
            </w:r>
            <w:r w:rsidRPr="008660AC">
              <w:rPr>
                <w:b/>
                <w:u w:val="single"/>
              </w:rPr>
              <w:t>对二甲苯、邻二甲苯</w:t>
            </w:r>
          </w:p>
        </w:tc>
        <w:tc>
          <w:tcPr>
            <w:tcW w:w="1678" w:type="dxa"/>
            <w:tcBorders>
              <w:left w:val="single" w:sz="4" w:space="0" w:color="auto"/>
            </w:tcBorders>
            <w:vAlign w:val="center"/>
          </w:tcPr>
          <w:p w:rsidR="00EE56C0" w:rsidRPr="008660AC" w:rsidRDefault="000F36A1" w:rsidP="008660AC">
            <w:pPr>
              <w:pStyle w:val="afa"/>
              <w:rPr>
                <w:b/>
                <w:u w:val="single"/>
              </w:rPr>
            </w:pPr>
            <w:r w:rsidRPr="008660AC">
              <w:rPr>
                <w:b/>
                <w:u w:val="single"/>
              </w:rPr>
              <w:t>1</w:t>
            </w:r>
            <w:r w:rsidRPr="008660AC">
              <w:rPr>
                <w:b/>
                <w:u w:val="single"/>
              </w:rPr>
              <w:t>次</w:t>
            </w:r>
            <w:r w:rsidRPr="008660AC">
              <w:rPr>
                <w:b/>
                <w:u w:val="single"/>
              </w:rPr>
              <w:t>/</w:t>
            </w:r>
            <w:r w:rsidR="008660AC" w:rsidRPr="008660AC">
              <w:rPr>
                <w:rFonts w:hint="eastAsia"/>
                <w:b/>
                <w:u w:val="single"/>
              </w:rPr>
              <w:t>5</w:t>
            </w:r>
            <w:r w:rsidRPr="008660AC">
              <w:rPr>
                <w:b/>
                <w:u w:val="single"/>
              </w:rPr>
              <w:t>年</w:t>
            </w:r>
          </w:p>
        </w:tc>
      </w:tr>
    </w:tbl>
    <w:p w:rsidR="00EE56C0" w:rsidRDefault="000F36A1">
      <w:pPr>
        <w:pStyle w:val="a4"/>
        <w:ind w:firstLine="422"/>
      </w:pPr>
      <w:r>
        <w:t>注：可</w:t>
      </w:r>
      <w:r>
        <w:rPr>
          <w:rFonts w:hint="eastAsia"/>
        </w:rPr>
        <w:t>自行监测或</w:t>
      </w:r>
      <w:r>
        <w:t>委托当地有资质单位监测</w:t>
      </w:r>
      <w:r>
        <w:rPr>
          <w:rFonts w:hint="eastAsia"/>
        </w:rPr>
        <w:t>，监测结果应向社会公开。</w:t>
      </w:r>
    </w:p>
    <w:p w:rsidR="00EE56C0" w:rsidRDefault="000F36A1">
      <w:pPr>
        <w:pStyle w:val="3"/>
        <w:spacing w:before="240" w:after="120"/>
      </w:pPr>
      <w:bookmarkStart w:id="487" w:name="_Toc489346018"/>
      <w:bookmarkStart w:id="488" w:name="_Toc7368"/>
      <w:r>
        <w:rPr>
          <w:rFonts w:hint="eastAsia"/>
        </w:rPr>
        <w:lastRenderedPageBreak/>
        <w:t>8.2.5</w:t>
      </w:r>
      <w:r>
        <w:t>应急监测计划</w:t>
      </w:r>
    </w:p>
    <w:p w:rsidR="00EE56C0" w:rsidRDefault="000F36A1">
      <w:pPr>
        <w:ind w:firstLine="480"/>
      </w:pPr>
      <w:r>
        <w:rPr>
          <w:rFonts w:hint="eastAsia"/>
        </w:rPr>
        <w:t>当企业发生非正常工况或污染防治设施运行不正常时，大量未经处理的污染物排放可</w:t>
      </w:r>
      <w:r>
        <w:t>能对环境产生严重的污染</w:t>
      </w:r>
      <w:r>
        <w:rPr>
          <w:rFonts w:hint="eastAsia"/>
        </w:rPr>
        <w:t>。本公司环境</w:t>
      </w:r>
      <w:r>
        <w:t>监测</w:t>
      </w:r>
      <w:r>
        <w:rPr>
          <w:rFonts w:hint="eastAsia"/>
        </w:rPr>
        <w:t>站</w:t>
      </w:r>
      <w:r>
        <w:t>应对该情况下可能产生的污染源及时分析，</w:t>
      </w:r>
      <w:r>
        <w:rPr>
          <w:rFonts w:hint="eastAsia"/>
        </w:rPr>
        <w:t>并</w:t>
      </w:r>
      <w:r>
        <w:t>立即委托地方环境监测站</w:t>
      </w:r>
      <w:r>
        <w:rPr>
          <w:rFonts w:hint="eastAsia"/>
        </w:rPr>
        <w:t>同时监测</w:t>
      </w:r>
      <w:r>
        <w:t>，以便采取应急措施</w:t>
      </w:r>
      <w:r>
        <w:rPr>
          <w:rFonts w:hint="eastAsia"/>
        </w:rPr>
        <w:t>，</w:t>
      </w:r>
      <w:r>
        <w:t>将产生的环境影响控制在最小程度</w:t>
      </w:r>
      <w:r>
        <w:rPr>
          <w:rFonts w:hint="eastAsia"/>
        </w:rPr>
        <w:t>。</w:t>
      </w:r>
      <w:r>
        <w:rPr>
          <w:rFonts w:ascii="宋体" w:hAnsi="宋体" w:hint="eastAsia"/>
        </w:rPr>
        <w:t>对发生较大的污染影响，应立即报告上级主管部门，果断采取联合措施，制止污染事故的蔓延。</w:t>
      </w:r>
      <w:r>
        <w:t>应急监测计划见表</w:t>
      </w:r>
      <w:r>
        <w:rPr>
          <w:rFonts w:hint="eastAsia"/>
        </w:rPr>
        <w:t>8-4</w:t>
      </w:r>
      <w:r>
        <w:t>。</w:t>
      </w:r>
    </w:p>
    <w:p w:rsidR="00EE56C0" w:rsidRDefault="000F36A1">
      <w:pPr>
        <w:pStyle w:val="afd"/>
        <w:spacing w:before="120" w:after="120"/>
        <w:ind w:firstLine="482"/>
      </w:pPr>
      <w:r>
        <w:rPr>
          <w:rFonts w:hint="eastAsia"/>
        </w:rPr>
        <w:t>表</w:t>
      </w:r>
      <w:r>
        <w:rPr>
          <w:rFonts w:hint="eastAsia"/>
        </w:rPr>
        <w:t xml:space="preserve">8-4                  </w:t>
      </w:r>
      <w:r>
        <w:rPr>
          <w:rFonts w:hint="eastAsia"/>
        </w:rPr>
        <w:t>应急监测计划表</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955"/>
        <w:gridCol w:w="1563"/>
        <w:gridCol w:w="1842"/>
        <w:gridCol w:w="2837"/>
        <w:gridCol w:w="1332"/>
      </w:tblGrid>
      <w:tr w:rsidR="00EE56C0">
        <w:trPr>
          <w:trHeight w:val="397"/>
          <w:jc w:val="center"/>
        </w:trPr>
        <w:tc>
          <w:tcPr>
            <w:tcW w:w="560" w:type="pct"/>
            <w:vAlign w:val="center"/>
          </w:tcPr>
          <w:p w:rsidR="00EE56C0" w:rsidRDefault="000F36A1">
            <w:pPr>
              <w:pStyle w:val="aff1"/>
              <w:rPr>
                <w:color w:val="auto"/>
              </w:rPr>
            </w:pPr>
            <w:r>
              <w:rPr>
                <w:rFonts w:hint="eastAsia"/>
                <w:color w:val="auto"/>
              </w:rPr>
              <w:t>序号</w:t>
            </w:r>
          </w:p>
        </w:tc>
        <w:tc>
          <w:tcPr>
            <w:tcW w:w="916" w:type="pct"/>
            <w:vAlign w:val="center"/>
          </w:tcPr>
          <w:p w:rsidR="00EE56C0" w:rsidRDefault="000F36A1">
            <w:pPr>
              <w:pStyle w:val="aff1"/>
              <w:rPr>
                <w:color w:val="auto"/>
              </w:rPr>
            </w:pPr>
            <w:r>
              <w:rPr>
                <w:rFonts w:hint="eastAsia"/>
                <w:color w:val="auto"/>
              </w:rPr>
              <w:t>事故类型</w:t>
            </w:r>
          </w:p>
        </w:tc>
        <w:tc>
          <w:tcPr>
            <w:tcW w:w="1080" w:type="pct"/>
            <w:vAlign w:val="center"/>
          </w:tcPr>
          <w:p w:rsidR="00EE56C0" w:rsidRDefault="000F36A1">
            <w:pPr>
              <w:pStyle w:val="aff1"/>
              <w:rPr>
                <w:color w:val="auto"/>
              </w:rPr>
            </w:pPr>
            <w:r>
              <w:rPr>
                <w:rFonts w:hint="eastAsia"/>
                <w:color w:val="auto"/>
              </w:rPr>
              <w:t>监测位置</w:t>
            </w:r>
          </w:p>
        </w:tc>
        <w:tc>
          <w:tcPr>
            <w:tcW w:w="1663" w:type="pct"/>
            <w:vAlign w:val="center"/>
          </w:tcPr>
          <w:p w:rsidR="00EE56C0" w:rsidRDefault="000F36A1">
            <w:pPr>
              <w:pStyle w:val="aff1"/>
              <w:rPr>
                <w:color w:val="auto"/>
              </w:rPr>
            </w:pPr>
            <w:r>
              <w:rPr>
                <w:rFonts w:hint="eastAsia"/>
                <w:color w:val="auto"/>
              </w:rPr>
              <w:t>监测项目</w:t>
            </w:r>
          </w:p>
        </w:tc>
        <w:tc>
          <w:tcPr>
            <w:tcW w:w="781" w:type="pct"/>
            <w:vAlign w:val="center"/>
          </w:tcPr>
          <w:p w:rsidR="00EE56C0" w:rsidRDefault="000F36A1">
            <w:pPr>
              <w:pStyle w:val="aff1"/>
              <w:rPr>
                <w:color w:val="auto"/>
              </w:rPr>
            </w:pPr>
            <w:r>
              <w:rPr>
                <w:color w:val="auto"/>
              </w:rPr>
              <w:t>监测频率</w:t>
            </w:r>
          </w:p>
        </w:tc>
      </w:tr>
      <w:tr w:rsidR="00EE56C0">
        <w:trPr>
          <w:trHeight w:val="397"/>
          <w:jc w:val="center"/>
        </w:trPr>
        <w:tc>
          <w:tcPr>
            <w:tcW w:w="560" w:type="pct"/>
            <w:vAlign w:val="center"/>
          </w:tcPr>
          <w:p w:rsidR="00EE56C0" w:rsidRDefault="000F36A1">
            <w:pPr>
              <w:pStyle w:val="afa"/>
            </w:pPr>
            <w:r>
              <w:rPr>
                <w:rFonts w:hint="eastAsia"/>
              </w:rPr>
              <w:t>废气</w:t>
            </w:r>
          </w:p>
        </w:tc>
        <w:tc>
          <w:tcPr>
            <w:tcW w:w="916" w:type="pct"/>
            <w:vAlign w:val="center"/>
          </w:tcPr>
          <w:p w:rsidR="00EE56C0" w:rsidRDefault="000F36A1">
            <w:pPr>
              <w:pStyle w:val="afa"/>
            </w:pPr>
            <w:r>
              <w:rPr>
                <w:rFonts w:hint="eastAsia"/>
              </w:rPr>
              <w:t>废气治理设施不正常运行</w:t>
            </w:r>
          </w:p>
        </w:tc>
        <w:tc>
          <w:tcPr>
            <w:tcW w:w="1080" w:type="pct"/>
            <w:vAlign w:val="center"/>
          </w:tcPr>
          <w:p w:rsidR="00EE56C0" w:rsidRDefault="000F36A1">
            <w:pPr>
              <w:pStyle w:val="afa"/>
            </w:pPr>
            <w:r>
              <w:t>废气治理措施排气</w:t>
            </w:r>
            <w:r>
              <w:rPr>
                <w:rFonts w:hint="eastAsia"/>
              </w:rPr>
              <w:t>筒、</w:t>
            </w:r>
            <w:r>
              <w:t>厂界四周</w:t>
            </w:r>
          </w:p>
        </w:tc>
        <w:tc>
          <w:tcPr>
            <w:tcW w:w="1663" w:type="pct"/>
            <w:vAlign w:val="center"/>
          </w:tcPr>
          <w:p w:rsidR="00EE56C0" w:rsidRDefault="000F36A1">
            <w:pPr>
              <w:pStyle w:val="afa"/>
            </w:pPr>
            <w:r>
              <w:rPr>
                <w:rFonts w:hint="eastAsia"/>
              </w:rPr>
              <w:t>酚、二甲苯、甲苯、苯、非甲烷总烃浓度</w:t>
            </w:r>
          </w:p>
        </w:tc>
        <w:tc>
          <w:tcPr>
            <w:tcW w:w="781" w:type="pct"/>
            <w:vAlign w:val="center"/>
          </w:tcPr>
          <w:p w:rsidR="00EE56C0" w:rsidRDefault="000F36A1">
            <w:pPr>
              <w:pStyle w:val="afa"/>
            </w:pPr>
            <w:r>
              <w:t>每天四次</w:t>
            </w:r>
          </w:p>
        </w:tc>
      </w:tr>
      <w:tr w:rsidR="00EE56C0">
        <w:trPr>
          <w:trHeight w:val="397"/>
          <w:jc w:val="center"/>
        </w:trPr>
        <w:tc>
          <w:tcPr>
            <w:tcW w:w="560" w:type="pct"/>
            <w:vAlign w:val="center"/>
          </w:tcPr>
          <w:p w:rsidR="00EE56C0" w:rsidRDefault="000F36A1">
            <w:pPr>
              <w:pStyle w:val="afa"/>
            </w:pPr>
            <w:r>
              <w:rPr>
                <w:rFonts w:hint="eastAsia"/>
              </w:rPr>
              <w:t>地表水</w:t>
            </w:r>
          </w:p>
        </w:tc>
        <w:tc>
          <w:tcPr>
            <w:tcW w:w="916" w:type="pct"/>
            <w:vAlign w:val="center"/>
          </w:tcPr>
          <w:p w:rsidR="00EE56C0" w:rsidRDefault="000F36A1">
            <w:pPr>
              <w:pStyle w:val="afa"/>
            </w:pPr>
            <w:r>
              <w:rPr>
                <w:rFonts w:hint="eastAsia"/>
              </w:rPr>
              <w:t>污水处理站运行不正常</w:t>
            </w:r>
          </w:p>
        </w:tc>
        <w:tc>
          <w:tcPr>
            <w:tcW w:w="1080" w:type="pct"/>
            <w:vAlign w:val="center"/>
          </w:tcPr>
          <w:p w:rsidR="00EE56C0" w:rsidRDefault="000F36A1">
            <w:pPr>
              <w:pStyle w:val="afa"/>
            </w:pPr>
            <w:r>
              <w:rPr>
                <w:rFonts w:hint="eastAsia"/>
              </w:rPr>
              <w:t>事故废水收集池内及总排口水质</w:t>
            </w:r>
          </w:p>
        </w:tc>
        <w:tc>
          <w:tcPr>
            <w:tcW w:w="1663" w:type="pct"/>
            <w:vAlign w:val="center"/>
          </w:tcPr>
          <w:p w:rsidR="00EE56C0" w:rsidRDefault="000F36A1">
            <w:pPr>
              <w:pStyle w:val="afa"/>
            </w:pPr>
            <w:r>
              <w:rPr>
                <w:rFonts w:hint="eastAsia"/>
              </w:rPr>
              <w:t>pH</w:t>
            </w:r>
            <w:r>
              <w:rPr>
                <w:rFonts w:hint="eastAsia"/>
              </w:rPr>
              <w:t>、</w:t>
            </w:r>
            <w:r>
              <w:t>COD</w:t>
            </w:r>
            <w:r>
              <w:rPr>
                <w:rFonts w:hint="eastAsia"/>
              </w:rPr>
              <w:t>、</w:t>
            </w:r>
            <w:r>
              <w:rPr>
                <w:rFonts w:hint="eastAsia"/>
              </w:rPr>
              <w:t>NH</w:t>
            </w:r>
            <w:r>
              <w:rPr>
                <w:rFonts w:hint="eastAsia"/>
                <w:vertAlign w:val="subscript"/>
              </w:rPr>
              <w:t>3</w:t>
            </w:r>
            <w:r>
              <w:rPr>
                <w:rFonts w:hint="eastAsia"/>
              </w:rPr>
              <w:t>-N</w:t>
            </w:r>
            <w:r>
              <w:rPr>
                <w:rFonts w:hint="eastAsia"/>
              </w:rPr>
              <w:t>、</w:t>
            </w:r>
            <w:r>
              <w:rPr>
                <w:rFonts w:hint="eastAsia"/>
              </w:rPr>
              <w:t>TP</w:t>
            </w:r>
            <w:r>
              <w:rPr>
                <w:rFonts w:hint="eastAsia"/>
              </w:rPr>
              <w:t>、</w:t>
            </w:r>
            <w:r>
              <w:rPr>
                <w:rFonts w:hint="eastAsia"/>
              </w:rPr>
              <w:t>TN</w:t>
            </w:r>
          </w:p>
        </w:tc>
        <w:tc>
          <w:tcPr>
            <w:tcW w:w="781" w:type="pct"/>
            <w:vAlign w:val="center"/>
          </w:tcPr>
          <w:p w:rsidR="00EE56C0" w:rsidRDefault="000F36A1">
            <w:pPr>
              <w:pStyle w:val="afa"/>
            </w:pPr>
            <w:r>
              <w:t>每</w:t>
            </w:r>
            <w:r>
              <w:rPr>
                <w:rFonts w:hint="eastAsia"/>
              </w:rPr>
              <w:t>2h</w:t>
            </w:r>
            <w:r>
              <w:rPr>
                <w:rFonts w:hint="eastAsia"/>
              </w:rPr>
              <w:t>一次</w:t>
            </w:r>
          </w:p>
        </w:tc>
      </w:tr>
    </w:tbl>
    <w:p w:rsidR="00EE56C0" w:rsidRDefault="000F36A1">
      <w:pPr>
        <w:pStyle w:val="3"/>
        <w:spacing w:before="240" w:after="120"/>
      </w:pPr>
      <w:r>
        <w:rPr>
          <w:rFonts w:hint="eastAsia"/>
        </w:rPr>
        <w:t>8.2.6</w:t>
      </w:r>
      <w:r>
        <w:rPr>
          <w:rFonts w:hint="eastAsia"/>
        </w:rPr>
        <w:t>验收监测质量保证与质量控制</w:t>
      </w:r>
    </w:p>
    <w:p w:rsidR="00EE56C0" w:rsidRDefault="000F36A1">
      <w:pPr>
        <w:ind w:firstLine="480"/>
      </w:pPr>
      <w:r>
        <w:t>验收监测采样及样品分析均严格按照《环境水质监测质量保证手册</w:t>
      </w:r>
      <w:r>
        <w:rPr>
          <w:rFonts w:hint="eastAsia"/>
        </w:rPr>
        <w:t>》（</w:t>
      </w:r>
      <w:r>
        <w:t>第二版</w:t>
      </w:r>
      <w:r>
        <w:rPr>
          <w:rFonts w:hint="eastAsia"/>
        </w:rPr>
        <w:t>）</w:t>
      </w:r>
      <w:r>
        <w:t>、《环境空气监测质量保证手册》及《环境监测技术规范》等要求进行，实施全程质量控制。具体质控要求如下：</w:t>
      </w:r>
    </w:p>
    <w:p w:rsidR="00EE56C0" w:rsidRDefault="000F36A1">
      <w:pPr>
        <w:ind w:firstLine="480"/>
      </w:pPr>
      <w:r>
        <w:rPr>
          <w:rFonts w:hint="eastAsia"/>
        </w:rPr>
        <w:t>A</w:t>
      </w:r>
      <w:r>
        <w:t>、</w:t>
      </w:r>
      <w:r>
        <w:rPr>
          <w:rFonts w:hint="eastAsia"/>
        </w:rPr>
        <w:t>验收监测应当在确保主体工程工况稳定、环境保护设施运行正常的情况下进行</w:t>
      </w:r>
      <w:r>
        <w:t>。</w:t>
      </w:r>
    </w:p>
    <w:p w:rsidR="00EE56C0" w:rsidRDefault="000F36A1">
      <w:pPr>
        <w:ind w:firstLine="480"/>
      </w:pPr>
      <w:r>
        <w:t>B</w:t>
      </w:r>
      <w:r>
        <w:t>、合理布设监测点位，保证各监测点位布设的科学性和可比性。</w:t>
      </w:r>
    </w:p>
    <w:p w:rsidR="00EE56C0" w:rsidRDefault="000F36A1">
      <w:pPr>
        <w:pStyle w:val="3"/>
        <w:spacing w:before="240" w:after="120"/>
      </w:pPr>
      <w:r>
        <w:rPr>
          <w:rFonts w:hint="eastAsia"/>
        </w:rPr>
        <w:t>8.2.7</w:t>
      </w:r>
      <w:r>
        <w:rPr>
          <w:rFonts w:hint="eastAsia"/>
        </w:rPr>
        <w:t>监测分析方法</w:t>
      </w:r>
    </w:p>
    <w:p w:rsidR="00EE56C0" w:rsidRDefault="000F36A1">
      <w:pPr>
        <w:ind w:firstLine="480"/>
      </w:pPr>
      <w:r>
        <w:t>样品采集及分析采用国标（或推荐）方法，对目前尚无国标方法的项目，则采用《空气和废气监测分析方法》（第四版）中的分析方法。</w:t>
      </w:r>
    </w:p>
    <w:p w:rsidR="00EE56C0" w:rsidRDefault="000F36A1">
      <w:pPr>
        <w:pStyle w:val="2"/>
        <w:ind w:firstLine="301"/>
      </w:pPr>
      <w:bookmarkStart w:id="489" w:name="_Toc489346019"/>
      <w:bookmarkStart w:id="490" w:name="_Toc25400940"/>
      <w:bookmarkEnd w:id="487"/>
      <w:bookmarkEnd w:id="488"/>
      <w:r>
        <w:rPr>
          <w:rFonts w:hint="eastAsia"/>
        </w:rPr>
        <w:t>8.3</w:t>
      </w:r>
      <w:r>
        <w:rPr>
          <w:rFonts w:hint="eastAsia"/>
        </w:rPr>
        <w:t>工程概况及</w:t>
      </w:r>
      <w:r>
        <w:t>信息公开</w:t>
      </w:r>
      <w:bookmarkEnd w:id="489"/>
      <w:r>
        <w:rPr>
          <w:rFonts w:hint="eastAsia"/>
        </w:rPr>
        <w:t>内容</w:t>
      </w:r>
      <w:bookmarkEnd w:id="490"/>
    </w:p>
    <w:p w:rsidR="00EE56C0" w:rsidRDefault="000F36A1">
      <w:pPr>
        <w:ind w:firstLine="480"/>
      </w:pPr>
      <w:r>
        <w:rPr>
          <w:rFonts w:hint="eastAsia"/>
        </w:rPr>
        <w:t>建设单位应该根据《环境影响评价公众参与办法》等要求，按时公开项目基本情况，如项目主要组成情况、项目产品方案、污染物产排及治理措施等情况。</w:t>
      </w:r>
      <w:r>
        <w:rPr>
          <w:rFonts w:hint="eastAsia"/>
        </w:rPr>
        <w:lastRenderedPageBreak/>
        <w:t>企业在运行期间内，应自行开展污染物排放监测或者委托有资质的监测单位对企业的排污情况进行监测，并通过多种渠道向社会公开相关信息。</w:t>
      </w:r>
    </w:p>
    <w:p w:rsidR="00EE56C0" w:rsidRDefault="000F36A1">
      <w:pPr>
        <w:ind w:firstLine="480"/>
      </w:pPr>
      <w:r>
        <w:rPr>
          <w:rFonts w:hint="eastAsia"/>
        </w:rPr>
        <w:t>（</w:t>
      </w:r>
      <w:r>
        <w:rPr>
          <w:rFonts w:hint="eastAsia"/>
        </w:rPr>
        <w:t>1</w:t>
      </w:r>
      <w:r>
        <w:rPr>
          <w:rFonts w:hint="eastAsia"/>
        </w:rPr>
        <w:t>）项目概况</w:t>
      </w:r>
    </w:p>
    <w:p w:rsidR="00EE56C0" w:rsidRDefault="000F36A1">
      <w:pPr>
        <w:ind w:firstLine="480"/>
      </w:pPr>
      <w:r>
        <w:rPr>
          <w:rFonts w:hint="eastAsia"/>
        </w:rPr>
        <w:t>新乡市新科冰箱配件厂位于新乡市新乡县新乡经济技术集聚区远大路西段，与本项目有关的现有项目及及</w:t>
      </w:r>
      <w:r>
        <w:t>环保手续</w:t>
      </w:r>
      <w:r>
        <w:rPr>
          <w:rFonts w:hint="eastAsia"/>
        </w:rPr>
        <w:t>见下表：</w:t>
      </w:r>
    </w:p>
    <w:p w:rsidR="00EE56C0" w:rsidRDefault="000F36A1">
      <w:pPr>
        <w:pStyle w:val="afd"/>
        <w:spacing w:before="120" w:after="120"/>
        <w:ind w:firstLine="482"/>
      </w:pPr>
      <w:r>
        <w:t>表</w:t>
      </w:r>
      <w:r>
        <w:rPr>
          <w:rFonts w:hint="eastAsia"/>
        </w:rPr>
        <w:t xml:space="preserve">8-5     </w:t>
      </w:r>
      <w:r>
        <w:rPr>
          <w:rFonts w:hint="eastAsia"/>
        </w:rPr>
        <w:t>与本项目有关的</w:t>
      </w:r>
      <w:r>
        <w:t>现有项目环保手续一览表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81"/>
        <w:gridCol w:w="1471"/>
        <w:gridCol w:w="851"/>
        <w:gridCol w:w="1275"/>
        <w:gridCol w:w="1276"/>
        <w:gridCol w:w="1559"/>
        <w:gridCol w:w="1616"/>
      </w:tblGrid>
      <w:tr w:rsidR="00EE56C0">
        <w:trPr>
          <w:trHeight w:val="454"/>
          <w:jc w:val="center"/>
        </w:trPr>
        <w:tc>
          <w:tcPr>
            <w:tcW w:w="480" w:type="dxa"/>
            <w:vAlign w:val="center"/>
          </w:tcPr>
          <w:p w:rsidR="00EE56C0" w:rsidRDefault="000F36A1">
            <w:pPr>
              <w:pStyle w:val="aff1"/>
              <w:rPr>
                <w:color w:val="auto"/>
                <w:lang w:val="pt-BR"/>
              </w:rPr>
            </w:pPr>
            <w:r>
              <w:rPr>
                <w:color w:val="auto"/>
                <w:lang w:val="pt-BR"/>
              </w:rPr>
              <w:t>序号</w:t>
            </w:r>
          </w:p>
        </w:tc>
        <w:tc>
          <w:tcPr>
            <w:tcW w:w="1471" w:type="dxa"/>
            <w:vAlign w:val="center"/>
          </w:tcPr>
          <w:p w:rsidR="00EE56C0" w:rsidRDefault="000F36A1">
            <w:pPr>
              <w:pStyle w:val="aff1"/>
              <w:rPr>
                <w:color w:val="auto"/>
                <w:lang w:val="pt-BR"/>
              </w:rPr>
            </w:pPr>
            <w:r>
              <w:rPr>
                <w:color w:val="auto"/>
                <w:lang w:val="pt-BR"/>
              </w:rPr>
              <w:t>项目名称</w:t>
            </w:r>
          </w:p>
        </w:tc>
        <w:tc>
          <w:tcPr>
            <w:tcW w:w="851" w:type="dxa"/>
            <w:vAlign w:val="center"/>
          </w:tcPr>
          <w:p w:rsidR="00EE56C0" w:rsidRDefault="000F36A1">
            <w:pPr>
              <w:pStyle w:val="aff1"/>
              <w:rPr>
                <w:color w:val="auto"/>
                <w:lang w:val="pt-BR"/>
              </w:rPr>
            </w:pPr>
            <w:r>
              <w:rPr>
                <w:color w:val="auto"/>
                <w:lang w:val="pt-BR"/>
              </w:rPr>
              <w:t>报告类别</w:t>
            </w:r>
          </w:p>
        </w:tc>
        <w:tc>
          <w:tcPr>
            <w:tcW w:w="1275" w:type="dxa"/>
            <w:vAlign w:val="center"/>
          </w:tcPr>
          <w:p w:rsidR="00EE56C0" w:rsidRDefault="000F36A1">
            <w:pPr>
              <w:pStyle w:val="aff1"/>
              <w:rPr>
                <w:color w:val="auto"/>
                <w:lang w:val="pt-BR"/>
              </w:rPr>
            </w:pPr>
            <w:r>
              <w:rPr>
                <w:color w:val="auto"/>
                <w:lang w:val="pt-BR"/>
              </w:rPr>
              <w:t>批复文号</w:t>
            </w:r>
          </w:p>
        </w:tc>
        <w:tc>
          <w:tcPr>
            <w:tcW w:w="1276" w:type="dxa"/>
            <w:vAlign w:val="center"/>
          </w:tcPr>
          <w:p w:rsidR="00EE56C0" w:rsidRDefault="000F36A1">
            <w:pPr>
              <w:pStyle w:val="aff1"/>
              <w:rPr>
                <w:color w:val="auto"/>
                <w:lang w:val="pt-BR"/>
              </w:rPr>
            </w:pPr>
            <w:r>
              <w:rPr>
                <w:color w:val="auto"/>
                <w:lang w:val="pt-BR"/>
              </w:rPr>
              <w:t>验收文号</w:t>
            </w:r>
          </w:p>
        </w:tc>
        <w:tc>
          <w:tcPr>
            <w:tcW w:w="1559" w:type="dxa"/>
            <w:vAlign w:val="center"/>
          </w:tcPr>
          <w:p w:rsidR="00EE56C0" w:rsidRDefault="000F36A1">
            <w:pPr>
              <w:pStyle w:val="aff1"/>
              <w:rPr>
                <w:color w:val="auto"/>
                <w:lang w:val="pt-BR"/>
              </w:rPr>
            </w:pPr>
            <w:r>
              <w:rPr>
                <w:rFonts w:hint="eastAsia"/>
                <w:color w:val="auto"/>
                <w:lang w:val="pt-BR"/>
              </w:rPr>
              <w:t>排污许可证</w:t>
            </w:r>
          </w:p>
        </w:tc>
        <w:tc>
          <w:tcPr>
            <w:tcW w:w="1616" w:type="dxa"/>
            <w:vAlign w:val="center"/>
          </w:tcPr>
          <w:p w:rsidR="00EE56C0" w:rsidRDefault="000F36A1">
            <w:pPr>
              <w:pStyle w:val="aff1"/>
              <w:rPr>
                <w:color w:val="auto"/>
                <w:lang w:val="pt-BR"/>
              </w:rPr>
            </w:pPr>
            <w:r>
              <w:rPr>
                <w:rFonts w:hint="eastAsia"/>
                <w:color w:val="auto"/>
                <w:lang w:val="pt-BR"/>
              </w:rPr>
              <w:t>本项目涉及内容</w:t>
            </w:r>
          </w:p>
        </w:tc>
      </w:tr>
      <w:tr w:rsidR="00EE56C0">
        <w:trPr>
          <w:trHeight w:val="454"/>
          <w:jc w:val="center"/>
        </w:trPr>
        <w:tc>
          <w:tcPr>
            <w:tcW w:w="480" w:type="dxa"/>
            <w:vAlign w:val="center"/>
          </w:tcPr>
          <w:p w:rsidR="00EE56C0" w:rsidRDefault="000F36A1">
            <w:pPr>
              <w:pStyle w:val="afa"/>
              <w:rPr>
                <w:lang w:val="pt-BR"/>
              </w:rPr>
            </w:pPr>
            <w:r>
              <w:rPr>
                <w:lang w:val="pt-BR"/>
              </w:rPr>
              <w:t>1</w:t>
            </w:r>
          </w:p>
        </w:tc>
        <w:tc>
          <w:tcPr>
            <w:tcW w:w="1471" w:type="dxa"/>
            <w:vAlign w:val="center"/>
          </w:tcPr>
          <w:p w:rsidR="00EE56C0" w:rsidRDefault="000F36A1">
            <w:pPr>
              <w:pStyle w:val="afa"/>
              <w:rPr>
                <w:lang w:val="pt-BR"/>
              </w:rPr>
            </w:pPr>
            <w:r>
              <w:t>年产</w:t>
            </w:r>
            <w:r>
              <w:t>4</w:t>
            </w:r>
            <w:r>
              <w:t>万吨高效节能电机、节能变压器专用线项目</w:t>
            </w:r>
          </w:p>
        </w:tc>
        <w:tc>
          <w:tcPr>
            <w:tcW w:w="851" w:type="dxa"/>
            <w:vAlign w:val="center"/>
          </w:tcPr>
          <w:p w:rsidR="00EE56C0" w:rsidRDefault="000F36A1">
            <w:pPr>
              <w:pStyle w:val="afa"/>
              <w:rPr>
                <w:lang w:val="pt-BR"/>
              </w:rPr>
            </w:pPr>
            <w:r>
              <w:rPr>
                <w:lang w:val="pt-BR"/>
              </w:rPr>
              <w:t>环境影响报告表</w:t>
            </w:r>
          </w:p>
        </w:tc>
        <w:tc>
          <w:tcPr>
            <w:tcW w:w="1275" w:type="dxa"/>
            <w:vAlign w:val="center"/>
          </w:tcPr>
          <w:p w:rsidR="00EE56C0" w:rsidRDefault="000F36A1">
            <w:pPr>
              <w:pStyle w:val="afa"/>
              <w:rPr>
                <w:lang w:val="pt-BR"/>
              </w:rPr>
            </w:pPr>
            <w:r>
              <w:t>新环监（</w:t>
            </w:r>
            <w:r>
              <w:t>2013</w:t>
            </w:r>
            <w:r>
              <w:t>）</w:t>
            </w:r>
            <w:r>
              <w:t>303</w:t>
            </w:r>
            <w:r>
              <w:t>号</w:t>
            </w:r>
          </w:p>
        </w:tc>
        <w:tc>
          <w:tcPr>
            <w:tcW w:w="1276" w:type="dxa"/>
            <w:vAlign w:val="center"/>
          </w:tcPr>
          <w:p w:rsidR="00EE56C0" w:rsidRDefault="000F36A1">
            <w:pPr>
              <w:pStyle w:val="afa"/>
              <w:rPr>
                <w:lang w:val="pt-BR"/>
              </w:rPr>
            </w:pPr>
            <w:r>
              <w:t>新环验（</w:t>
            </w:r>
            <w:r>
              <w:t>2015</w:t>
            </w:r>
            <w:r>
              <w:t>）</w:t>
            </w:r>
            <w:r>
              <w:t>172</w:t>
            </w:r>
            <w:r>
              <w:t>号</w:t>
            </w:r>
          </w:p>
        </w:tc>
        <w:tc>
          <w:tcPr>
            <w:tcW w:w="1559" w:type="dxa"/>
            <w:vMerge w:val="restart"/>
            <w:vAlign w:val="center"/>
          </w:tcPr>
          <w:p w:rsidR="00EE56C0" w:rsidRDefault="000F36A1">
            <w:pPr>
              <w:pStyle w:val="afa"/>
              <w:rPr>
                <w:lang w:val="pt-BR"/>
              </w:rPr>
            </w:pPr>
            <w:r>
              <w:rPr>
                <w:lang w:val="pt-BR"/>
              </w:rPr>
              <w:t>914107217066142661001Y</w:t>
            </w:r>
          </w:p>
        </w:tc>
        <w:tc>
          <w:tcPr>
            <w:tcW w:w="1616" w:type="dxa"/>
            <w:vAlign w:val="center"/>
          </w:tcPr>
          <w:p w:rsidR="00EE56C0" w:rsidRDefault="000F36A1">
            <w:pPr>
              <w:pStyle w:val="afa"/>
              <w:rPr>
                <w:lang w:val="pt-BR"/>
              </w:rPr>
            </w:pPr>
            <w:r>
              <w:rPr>
                <w:rFonts w:hint="eastAsia"/>
                <w:lang w:val="pt-BR"/>
              </w:rPr>
              <w:t>涉及部分漆包线改建，同时纸包线、丝包线、烧结产能扩大</w:t>
            </w:r>
          </w:p>
        </w:tc>
      </w:tr>
      <w:tr w:rsidR="00EE56C0">
        <w:trPr>
          <w:trHeight w:val="454"/>
          <w:jc w:val="center"/>
        </w:trPr>
        <w:tc>
          <w:tcPr>
            <w:tcW w:w="480" w:type="dxa"/>
            <w:vAlign w:val="center"/>
          </w:tcPr>
          <w:p w:rsidR="00EE56C0" w:rsidRDefault="000F36A1">
            <w:pPr>
              <w:pStyle w:val="afa"/>
              <w:rPr>
                <w:lang w:val="pt-BR"/>
              </w:rPr>
            </w:pPr>
            <w:r>
              <w:rPr>
                <w:lang w:val="pt-BR"/>
              </w:rPr>
              <w:t>2</w:t>
            </w:r>
          </w:p>
        </w:tc>
        <w:tc>
          <w:tcPr>
            <w:tcW w:w="1471" w:type="dxa"/>
            <w:vAlign w:val="center"/>
          </w:tcPr>
          <w:p w:rsidR="00EE56C0" w:rsidRDefault="000F36A1">
            <w:pPr>
              <w:pStyle w:val="afa"/>
              <w:rPr>
                <w:lang w:val="pt-BR"/>
              </w:rPr>
            </w:pPr>
            <w:r>
              <w:t>年产</w:t>
            </w:r>
            <w:r>
              <w:t>2</w:t>
            </w:r>
            <w:r>
              <w:t>万吨新能源汽车电器专用线项目</w:t>
            </w:r>
          </w:p>
        </w:tc>
        <w:tc>
          <w:tcPr>
            <w:tcW w:w="851" w:type="dxa"/>
            <w:vAlign w:val="center"/>
          </w:tcPr>
          <w:p w:rsidR="00EE56C0" w:rsidRDefault="000F36A1">
            <w:pPr>
              <w:pStyle w:val="afa"/>
              <w:rPr>
                <w:lang w:val="pt-BR"/>
              </w:rPr>
            </w:pPr>
            <w:r>
              <w:rPr>
                <w:lang w:val="pt-BR"/>
              </w:rPr>
              <w:t>环境影响报告表</w:t>
            </w:r>
          </w:p>
        </w:tc>
        <w:tc>
          <w:tcPr>
            <w:tcW w:w="1275" w:type="dxa"/>
            <w:vAlign w:val="center"/>
          </w:tcPr>
          <w:p w:rsidR="00EE56C0" w:rsidRDefault="000F36A1">
            <w:pPr>
              <w:pStyle w:val="afa"/>
              <w:rPr>
                <w:lang w:val="pt-BR"/>
              </w:rPr>
            </w:pPr>
            <w:r>
              <w:t>新环表（</w:t>
            </w:r>
            <w:r>
              <w:t>2018</w:t>
            </w:r>
            <w:r>
              <w:t>）</w:t>
            </w:r>
            <w:r>
              <w:t>052</w:t>
            </w:r>
            <w:r>
              <w:t>号</w:t>
            </w:r>
          </w:p>
        </w:tc>
        <w:tc>
          <w:tcPr>
            <w:tcW w:w="1276" w:type="dxa"/>
            <w:vAlign w:val="center"/>
          </w:tcPr>
          <w:p w:rsidR="00EE56C0" w:rsidRDefault="000F36A1">
            <w:pPr>
              <w:pStyle w:val="afa"/>
              <w:rPr>
                <w:lang w:val="pt-BR"/>
              </w:rPr>
            </w:pPr>
            <w:r>
              <w:rPr>
                <w:lang w:val="pt-BR"/>
              </w:rPr>
              <w:t>/</w:t>
            </w:r>
          </w:p>
        </w:tc>
        <w:tc>
          <w:tcPr>
            <w:tcW w:w="1559" w:type="dxa"/>
            <w:vMerge/>
            <w:vAlign w:val="center"/>
          </w:tcPr>
          <w:p w:rsidR="00EE56C0" w:rsidRDefault="00EE56C0">
            <w:pPr>
              <w:pStyle w:val="afa"/>
              <w:rPr>
                <w:lang w:val="pt-BR"/>
              </w:rPr>
            </w:pPr>
          </w:p>
        </w:tc>
        <w:tc>
          <w:tcPr>
            <w:tcW w:w="1616" w:type="dxa"/>
            <w:vAlign w:val="center"/>
          </w:tcPr>
          <w:p w:rsidR="00EE56C0" w:rsidRDefault="000F36A1">
            <w:pPr>
              <w:pStyle w:val="afa"/>
              <w:rPr>
                <w:lang w:val="pt-BR"/>
              </w:rPr>
            </w:pPr>
            <w:r>
              <w:rPr>
                <w:rFonts w:hint="eastAsia"/>
                <w:lang w:val="pt-BR"/>
              </w:rPr>
              <w:t>涉及</w:t>
            </w:r>
            <w:r>
              <w:rPr>
                <w:rFonts w:hint="eastAsia"/>
                <w:lang w:val="pt-BR"/>
              </w:rPr>
              <w:t>2</w:t>
            </w:r>
            <w:r>
              <w:rPr>
                <w:rFonts w:hint="eastAsia"/>
                <w:lang w:val="pt-BR"/>
              </w:rPr>
              <w:t>台改建</w:t>
            </w:r>
          </w:p>
        </w:tc>
      </w:tr>
      <w:tr w:rsidR="00EE56C0">
        <w:trPr>
          <w:trHeight w:val="454"/>
          <w:jc w:val="center"/>
        </w:trPr>
        <w:tc>
          <w:tcPr>
            <w:tcW w:w="480" w:type="dxa"/>
            <w:vAlign w:val="center"/>
          </w:tcPr>
          <w:p w:rsidR="00EE56C0" w:rsidRDefault="000F36A1">
            <w:pPr>
              <w:pStyle w:val="afa"/>
              <w:rPr>
                <w:lang w:val="pt-BR"/>
              </w:rPr>
            </w:pPr>
            <w:r>
              <w:rPr>
                <w:rFonts w:hint="eastAsia"/>
                <w:lang w:val="pt-BR"/>
              </w:rPr>
              <w:t>3</w:t>
            </w:r>
          </w:p>
        </w:tc>
        <w:tc>
          <w:tcPr>
            <w:tcW w:w="1471" w:type="dxa"/>
            <w:vAlign w:val="center"/>
          </w:tcPr>
          <w:p w:rsidR="00EE56C0" w:rsidRDefault="000F36A1">
            <w:pPr>
              <w:pStyle w:val="afa"/>
            </w:pPr>
            <w:r>
              <w:rPr>
                <w:rFonts w:hint="eastAsia"/>
                <w:lang w:val="pt-BR"/>
              </w:rPr>
              <w:t>年产</w:t>
            </w:r>
            <w:r>
              <w:rPr>
                <w:rFonts w:hint="eastAsia"/>
                <w:lang w:val="pt-BR"/>
              </w:rPr>
              <w:t>200</w:t>
            </w:r>
            <w:r>
              <w:rPr>
                <w:rFonts w:hint="eastAsia"/>
                <w:lang w:val="pt-BR"/>
              </w:rPr>
              <w:t>万只包装线盘项目</w:t>
            </w:r>
            <w:r>
              <w:rPr>
                <w:rFonts w:hint="eastAsia"/>
                <w:lang w:val="pt-BR"/>
              </w:rPr>
              <w:t>*</w:t>
            </w:r>
          </w:p>
        </w:tc>
        <w:tc>
          <w:tcPr>
            <w:tcW w:w="851" w:type="dxa"/>
            <w:vAlign w:val="center"/>
          </w:tcPr>
          <w:p w:rsidR="00EE56C0" w:rsidRDefault="000F36A1">
            <w:pPr>
              <w:pStyle w:val="afa"/>
              <w:rPr>
                <w:lang w:val="pt-BR"/>
              </w:rPr>
            </w:pPr>
            <w:r>
              <w:rPr>
                <w:rFonts w:hint="eastAsia"/>
                <w:lang w:val="pt-BR"/>
              </w:rPr>
              <w:t>环境影响报告表</w:t>
            </w:r>
          </w:p>
        </w:tc>
        <w:tc>
          <w:tcPr>
            <w:tcW w:w="1275" w:type="dxa"/>
            <w:vAlign w:val="center"/>
          </w:tcPr>
          <w:p w:rsidR="00EE56C0" w:rsidRDefault="000F36A1">
            <w:pPr>
              <w:pStyle w:val="afa"/>
              <w:rPr>
                <w:lang w:val="pt-BR"/>
              </w:rPr>
            </w:pPr>
            <w:r>
              <w:rPr>
                <w:rFonts w:hint="eastAsia"/>
                <w:lang w:val="pt-BR"/>
              </w:rPr>
              <w:t>新环表</w:t>
            </w:r>
          </w:p>
          <w:p w:rsidR="00EE56C0" w:rsidRDefault="000F36A1">
            <w:pPr>
              <w:pStyle w:val="afa"/>
              <w:rPr>
                <w:lang w:val="pt-BR"/>
              </w:rPr>
            </w:pPr>
            <w:r>
              <w:rPr>
                <w:lang w:val="pt-BR"/>
              </w:rPr>
              <w:t>[2017]014</w:t>
            </w:r>
            <w:r>
              <w:rPr>
                <w:rFonts w:hint="eastAsia"/>
                <w:lang w:val="pt-BR"/>
              </w:rPr>
              <w:t>号</w:t>
            </w:r>
          </w:p>
        </w:tc>
        <w:tc>
          <w:tcPr>
            <w:tcW w:w="1276" w:type="dxa"/>
            <w:vAlign w:val="center"/>
          </w:tcPr>
          <w:p w:rsidR="00EE56C0" w:rsidRDefault="000F36A1">
            <w:pPr>
              <w:pStyle w:val="afa"/>
              <w:rPr>
                <w:lang w:val="pt-BR"/>
              </w:rPr>
            </w:pPr>
            <w:r>
              <w:rPr>
                <w:rFonts w:hint="eastAsia"/>
                <w:lang w:val="pt-BR"/>
              </w:rPr>
              <w:t>新环评验</w:t>
            </w:r>
            <w:r>
              <w:rPr>
                <w:lang w:val="pt-BR"/>
              </w:rPr>
              <w:t>[2018]011</w:t>
            </w:r>
            <w:r>
              <w:rPr>
                <w:rFonts w:hint="eastAsia"/>
                <w:lang w:val="pt-BR"/>
              </w:rPr>
              <w:t>号</w:t>
            </w:r>
          </w:p>
        </w:tc>
        <w:tc>
          <w:tcPr>
            <w:tcW w:w="1559" w:type="dxa"/>
            <w:vAlign w:val="center"/>
          </w:tcPr>
          <w:p w:rsidR="00EE56C0" w:rsidRDefault="000F36A1">
            <w:pPr>
              <w:pStyle w:val="afa"/>
              <w:rPr>
                <w:lang w:val="pt-BR"/>
              </w:rPr>
            </w:pPr>
            <w:r>
              <w:rPr>
                <w:rFonts w:hint="eastAsia"/>
                <w:lang w:val="pt-BR"/>
              </w:rPr>
              <w:t>91410721554232698Y001P</w:t>
            </w:r>
          </w:p>
        </w:tc>
        <w:tc>
          <w:tcPr>
            <w:tcW w:w="1616" w:type="dxa"/>
            <w:vAlign w:val="center"/>
          </w:tcPr>
          <w:p w:rsidR="00EE56C0" w:rsidRDefault="000F36A1">
            <w:pPr>
              <w:pStyle w:val="afa"/>
              <w:rPr>
                <w:lang w:val="pt-BR"/>
              </w:rPr>
            </w:pPr>
            <w:r>
              <w:rPr>
                <w:rFonts w:hint="eastAsia"/>
                <w:lang w:val="pt-BR"/>
              </w:rPr>
              <w:t>不涉及</w:t>
            </w:r>
          </w:p>
        </w:tc>
      </w:tr>
    </w:tbl>
    <w:p w:rsidR="00EE56C0" w:rsidRDefault="000F36A1">
      <w:pPr>
        <w:spacing w:line="240" w:lineRule="auto"/>
        <w:ind w:firstLine="440"/>
      </w:pPr>
      <w:r>
        <w:rPr>
          <w:rFonts w:ascii="黑体" w:eastAsia="黑体" w:hAnsi="黑体" w:hint="eastAsia"/>
          <w:sz w:val="22"/>
        </w:rPr>
        <w:t>注：*：“年产200万只包装线盘项目归属于新乡市华洋电工材料有限公司，但该项目有机废气依托本公司“活性炭吸附-脱附-催化燃烧装置”措施进行治理，因此该项目废气排放纳入河南华洋电工科技集团有限公司进行管理。</w:t>
      </w:r>
    </w:p>
    <w:p w:rsidR="00EE56C0" w:rsidRDefault="000F36A1">
      <w:pPr>
        <w:ind w:firstLine="480"/>
      </w:pPr>
      <w:r>
        <w:t>河南华洋电工科技集团有限公司拟投资</w:t>
      </w:r>
      <w:r>
        <w:t>1</w:t>
      </w:r>
      <w:r>
        <w:rPr>
          <w:rFonts w:hint="eastAsia"/>
        </w:rPr>
        <w:t>3750</w:t>
      </w:r>
      <w:r>
        <w:t>万元</w:t>
      </w:r>
      <w:r>
        <w:rPr>
          <w:rFonts w:hint="eastAsia"/>
        </w:rPr>
        <w:t>进行改扩建，利用现有厂房建设高可靠性抗高压耐热绕组线项目，改扩建内容分两期进行，如下：</w:t>
      </w:r>
    </w:p>
    <w:p w:rsidR="00EE56C0" w:rsidRDefault="000F36A1">
      <w:pPr>
        <w:ind w:firstLine="480"/>
      </w:pPr>
      <w:r>
        <w:rPr>
          <w:rFonts w:hint="eastAsia"/>
        </w:rPr>
        <w:t>一期内容为：对现有漆包线的</w:t>
      </w:r>
      <w:r>
        <w:rPr>
          <w:rFonts w:hint="eastAsia"/>
        </w:rPr>
        <w:t>10</w:t>
      </w:r>
      <w:r>
        <w:rPr>
          <w:rFonts w:hint="eastAsia"/>
        </w:rPr>
        <w:t>台（</w:t>
      </w:r>
      <w:r>
        <w:rPr>
          <w:rFonts w:hint="eastAsia"/>
        </w:rPr>
        <w:t>6</w:t>
      </w:r>
      <w:r>
        <w:rPr>
          <w:rFonts w:hint="eastAsia"/>
        </w:rPr>
        <w:t>台卧式漆包机、</w:t>
      </w:r>
      <w:r>
        <w:rPr>
          <w:rFonts w:hint="eastAsia"/>
        </w:rPr>
        <w:t>4</w:t>
      </w:r>
      <w:r>
        <w:rPr>
          <w:rFonts w:hint="eastAsia"/>
        </w:rPr>
        <w:t>台立式漆包机）设备进行升级改造，改造内容为</w:t>
      </w:r>
      <w:r>
        <w:rPr>
          <w:rFonts w:hint="eastAsia"/>
        </w:rPr>
        <w:t>6</w:t>
      </w:r>
      <w:r>
        <w:rPr>
          <w:rFonts w:hint="eastAsia"/>
        </w:rPr>
        <w:t>台卧式漆包机更换烘炉或自动换盘、卸盘，设备改造前、后，对应的产品、工艺、生产规模均不发生变化，</w:t>
      </w:r>
      <w:r>
        <w:rPr>
          <w:rFonts w:hint="eastAsia"/>
        </w:rPr>
        <w:t>4</w:t>
      </w:r>
      <w:r>
        <w:rPr>
          <w:rFonts w:hint="eastAsia"/>
        </w:rPr>
        <w:t>台立式漆包机的废气排放有所下降，其余设备仅提高自动化水平，排废不变。同时新增漆包机</w:t>
      </w:r>
      <w:r>
        <w:rPr>
          <w:rFonts w:hint="eastAsia"/>
        </w:rPr>
        <w:t>1</w:t>
      </w:r>
      <w:r>
        <w:rPr>
          <w:rFonts w:hint="eastAsia"/>
        </w:rPr>
        <w:t>台、拉包机</w:t>
      </w:r>
      <w:r>
        <w:rPr>
          <w:rFonts w:hint="eastAsia"/>
        </w:rPr>
        <w:t>5</w:t>
      </w:r>
      <w:r>
        <w:rPr>
          <w:rFonts w:hint="eastAsia"/>
        </w:rPr>
        <w:t>台、丝包机</w:t>
      </w:r>
      <w:r>
        <w:rPr>
          <w:rFonts w:hint="eastAsia"/>
        </w:rPr>
        <w:t>19</w:t>
      </w:r>
      <w:r>
        <w:rPr>
          <w:rFonts w:hint="eastAsia"/>
        </w:rPr>
        <w:t>台、纸包机</w:t>
      </w:r>
      <w:r>
        <w:rPr>
          <w:rFonts w:hint="eastAsia"/>
        </w:rPr>
        <w:t>4</w:t>
      </w:r>
      <w:r>
        <w:rPr>
          <w:rFonts w:hint="eastAsia"/>
        </w:rPr>
        <w:t>台、烧结机</w:t>
      </w:r>
      <w:r>
        <w:rPr>
          <w:rFonts w:hint="eastAsia"/>
        </w:rPr>
        <w:t>2</w:t>
      </w:r>
      <w:r>
        <w:rPr>
          <w:rFonts w:hint="eastAsia"/>
        </w:rPr>
        <w:t>台及相关配套设备。新增设备对应产能分别为：漆包线</w:t>
      </w:r>
      <w:r>
        <w:rPr>
          <w:rFonts w:hint="eastAsia"/>
        </w:rPr>
        <w:t>7700</w:t>
      </w:r>
      <w:r>
        <w:rPr>
          <w:rFonts w:hint="eastAsia"/>
        </w:rPr>
        <w:t>吨</w:t>
      </w:r>
      <w:r>
        <w:rPr>
          <w:rFonts w:hint="eastAsia"/>
        </w:rPr>
        <w:t>/</w:t>
      </w:r>
      <w:r>
        <w:rPr>
          <w:rFonts w:hint="eastAsia"/>
        </w:rPr>
        <w:t>年、纸包线</w:t>
      </w:r>
      <w:r>
        <w:rPr>
          <w:rFonts w:hint="eastAsia"/>
        </w:rPr>
        <w:t>1440</w:t>
      </w:r>
      <w:r>
        <w:rPr>
          <w:rFonts w:hint="eastAsia"/>
        </w:rPr>
        <w:t>吨</w:t>
      </w:r>
      <w:r>
        <w:rPr>
          <w:rFonts w:hint="eastAsia"/>
        </w:rPr>
        <w:t>/</w:t>
      </w:r>
      <w:r>
        <w:rPr>
          <w:rFonts w:hint="eastAsia"/>
        </w:rPr>
        <w:t>年、烧结线</w:t>
      </w:r>
      <w:r>
        <w:rPr>
          <w:rFonts w:hint="eastAsia"/>
        </w:rPr>
        <w:t>240</w:t>
      </w:r>
      <w:r>
        <w:rPr>
          <w:rFonts w:hint="eastAsia"/>
        </w:rPr>
        <w:t>吨</w:t>
      </w:r>
      <w:r>
        <w:rPr>
          <w:rFonts w:hint="eastAsia"/>
        </w:rPr>
        <w:t>/</w:t>
      </w:r>
      <w:r>
        <w:rPr>
          <w:rFonts w:hint="eastAsia"/>
        </w:rPr>
        <w:t>年、丝包线</w:t>
      </w:r>
      <w:r>
        <w:rPr>
          <w:rFonts w:hint="eastAsia"/>
        </w:rPr>
        <w:t>4940</w:t>
      </w:r>
      <w:r>
        <w:rPr>
          <w:rFonts w:hint="eastAsia"/>
        </w:rPr>
        <w:t>吨</w:t>
      </w:r>
      <w:r>
        <w:rPr>
          <w:rFonts w:hint="eastAsia"/>
        </w:rPr>
        <w:t>/</w:t>
      </w:r>
      <w:r>
        <w:rPr>
          <w:rFonts w:hint="eastAsia"/>
        </w:rPr>
        <w:t>年，共计新增产能</w:t>
      </w:r>
      <w:r>
        <w:rPr>
          <w:rFonts w:hint="eastAsia"/>
        </w:rPr>
        <w:t>14320</w:t>
      </w:r>
      <w:r>
        <w:rPr>
          <w:rFonts w:hint="eastAsia"/>
        </w:rPr>
        <w:t>吨</w:t>
      </w:r>
      <w:r>
        <w:rPr>
          <w:rFonts w:hint="eastAsia"/>
        </w:rPr>
        <w:t>/</w:t>
      </w:r>
      <w:r>
        <w:rPr>
          <w:rFonts w:hint="eastAsia"/>
        </w:rPr>
        <w:t>年。</w:t>
      </w:r>
    </w:p>
    <w:p w:rsidR="00EE56C0" w:rsidRDefault="000F36A1">
      <w:pPr>
        <w:ind w:firstLine="480"/>
      </w:pPr>
      <w:r>
        <w:rPr>
          <w:rFonts w:hint="eastAsia"/>
        </w:rPr>
        <w:t>二期内容为：对现有漆包线的</w:t>
      </w:r>
      <w:r>
        <w:rPr>
          <w:rFonts w:hint="eastAsia"/>
        </w:rPr>
        <w:t>6</w:t>
      </w:r>
      <w:r>
        <w:rPr>
          <w:rFonts w:hint="eastAsia"/>
        </w:rPr>
        <w:t>台漆包机烘炉进行改建，设备改造前后，对</w:t>
      </w:r>
      <w:r>
        <w:rPr>
          <w:rFonts w:hint="eastAsia"/>
        </w:rPr>
        <w:lastRenderedPageBreak/>
        <w:t>应的产品、工艺、生产规模均不发生变化，但废气排放有所下降。同时新增漆包机</w:t>
      </w:r>
      <w:r>
        <w:rPr>
          <w:rFonts w:hint="eastAsia"/>
        </w:rPr>
        <w:t>3</w:t>
      </w:r>
      <w:r>
        <w:rPr>
          <w:rFonts w:hint="eastAsia"/>
        </w:rPr>
        <w:t>台、拉包机</w:t>
      </w:r>
      <w:r>
        <w:rPr>
          <w:rFonts w:hint="eastAsia"/>
        </w:rPr>
        <w:t>14</w:t>
      </w:r>
      <w:r>
        <w:rPr>
          <w:rFonts w:hint="eastAsia"/>
        </w:rPr>
        <w:t>台、丝包机</w:t>
      </w:r>
      <w:r>
        <w:rPr>
          <w:rFonts w:hint="eastAsia"/>
        </w:rPr>
        <w:t>15</w:t>
      </w:r>
      <w:r>
        <w:rPr>
          <w:rFonts w:hint="eastAsia"/>
        </w:rPr>
        <w:t>台、烧结机</w:t>
      </w:r>
      <w:r>
        <w:rPr>
          <w:rFonts w:hint="eastAsia"/>
        </w:rPr>
        <w:t>4</w:t>
      </w:r>
      <w:r>
        <w:rPr>
          <w:rFonts w:hint="eastAsia"/>
        </w:rPr>
        <w:t>台及相关配套设备，新增设备对应产能分别为：漆包线</w:t>
      </w:r>
      <w:r>
        <w:rPr>
          <w:rFonts w:hint="eastAsia"/>
        </w:rPr>
        <w:t>21300</w:t>
      </w:r>
      <w:r>
        <w:rPr>
          <w:rFonts w:hint="eastAsia"/>
        </w:rPr>
        <w:t>吨</w:t>
      </w:r>
      <w:r>
        <w:rPr>
          <w:rFonts w:hint="eastAsia"/>
        </w:rPr>
        <w:t>/</w:t>
      </w:r>
      <w:r>
        <w:rPr>
          <w:rFonts w:hint="eastAsia"/>
        </w:rPr>
        <w:t>年、烧结线</w:t>
      </w:r>
      <w:r>
        <w:rPr>
          <w:rFonts w:hint="eastAsia"/>
        </w:rPr>
        <w:t>480</w:t>
      </w:r>
      <w:r>
        <w:rPr>
          <w:rFonts w:hint="eastAsia"/>
        </w:rPr>
        <w:t>吨</w:t>
      </w:r>
      <w:r>
        <w:rPr>
          <w:rFonts w:hint="eastAsia"/>
        </w:rPr>
        <w:t>/</w:t>
      </w:r>
      <w:r>
        <w:rPr>
          <w:rFonts w:hint="eastAsia"/>
        </w:rPr>
        <w:t>年、丝包线</w:t>
      </w:r>
      <w:r>
        <w:rPr>
          <w:rFonts w:hint="eastAsia"/>
        </w:rPr>
        <w:t>3900</w:t>
      </w:r>
      <w:r>
        <w:rPr>
          <w:rFonts w:hint="eastAsia"/>
        </w:rPr>
        <w:t>吨</w:t>
      </w:r>
      <w:r>
        <w:rPr>
          <w:rFonts w:hint="eastAsia"/>
        </w:rPr>
        <w:t>/</w:t>
      </w:r>
      <w:r>
        <w:rPr>
          <w:rFonts w:hint="eastAsia"/>
        </w:rPr>
        <w:t>年，共计新增产能</w:t>
      </w:r>
      <w:r>
        <w:rPr>
          <w:rFonts w:hint="eastAsia"/>
        </w:rPr>
        <w:t>25680</w:t>
      </w:r>
      <w:r>
        <w:rPr>
          <w:rFonts w:hint="eastAsia"/>
        </w:rPr>
        <w:t>吨</w:t>
      </w:r>
      <w:r>
        <w:rPr>
          <w:rFonts w:hint="eastAsia"/>
        </w:rPr>
        <w:t>/</w:t>
      </w:r>
      <w:r>
        <w:rPr>
          <w:rFonts w:hint="eastAsia"/>
        </w:rPr>
        <w:t>年。</w:t>
      </w:r>
    </w:p>
    <w:p w:rsidR="00EE56C0" w:rsidRDefault="000F36A1">
      <w:pPr>
        <w:ind w:firstLine="480"/>
      </w:pPr>
      <w:r>
        <w:rPr>
          <w:rFonts w:hint="eastAsia"/>
        </w:rPr>
        <w:t>一期、二期建成后，全厂生产能力达到</w:t>
      </w:r>
      <w:r>
        <w:rPr>
          <w:rFonts w:hint="eastAsia"/>
        </w:rPr>
        <w:t>10</w:t>
      </w:r>
      <w:r>
        <w:rPr>
          <w:rFonts w:hint="eastAsia"/>
        </w:rPr>
        <w:t>万吨</w:t>
      </w:r>
      <w:r>
        <w:rPr>
          <w:rFonts w:hint="eastAsia"/>
        </w:rPr>
        <w:t>/</w:t>
      </w:r>
      <w:r>
        <w:rPr>
          <w:rFonts w:hint="eastAsia"/>
        </w:rPr>
        <w:t>年。</w:t>
      </w:r>
    </w:p>
    <w:p w:rsidR="00EE56C0" w:rsidRDefault="000F36A1">
      <w:pPr>
        <w:ind w:firstLine="480"/>
      </w:pPr>
      <w:r>
        <w:rPr>
          <w:rFonts w:hint="eastAsia"/>
        </w:rPr>
        <w:t>（</w:t>
      </w:r>
      <w:r>
        <w:rPr>
          <w:rFonts w:hint="eastAsia"/>
        </w:rPr>
        <w:t>2</w:t>
      </w:r>
      <w:r>
        <w:rPr>
          <w:rFonts w:hint="eastAsia"/>
        </w:rPr>
        <w:t>）针对项目运营期产生的环境影响，项目拟采取的防治措施：</w:t>
      </w:r>
    </w:p>
    <w:p w:rsidR="00EE56C0" w:rsidRDefault="000F36A1">
      <w:pPr>
        <w:ind w:firstLine="482"/>
      </w:pPr>
      <w:r>
        <w:rPr>
          <w:rFonts w:hint="eastAsia"/>
          <w:b/>
        </w:rPr>
        <w:t>废气：</w:t>
      </w:r>
      <w:r>
        <w:t>项目产生的废气为</w:t>
      </w:r>
      <w:r>
        <w:rPr>
          <w:rFonts w:hint="eastAsia"/>
        </w:rPr>
        <w:t>：一期、二期油水分离器冷凝过程产生的不凝气引入现有“静电除油</w:t>
      </w:r>
      <w:r>
        <w:rPr>
          <w:rFonts w:hint="eastAsia"/>
        </w:rPr>
        <w:t>+</w:t>
      </w:r>
      <w:r>
        <w:rPr>
          <w:rFonts w:hint="eastAsia"/>
        </w:rPr>
        <w:t>活性炭吸附</w:t>
      </w:r>
      <w:r>
        <w:rPr>
          <w:rFonts w:hint="eastAsia"/>
        </w:rPr>
        <w:t>-</w:t>
      </w:r>
      <w:r>
        <w:rPr>
          <w:rFonts w:hint="eastAsia"/>
        </w:rPr>
        <w:t>脱附</w:t>
      </w:r>
      <w:r>
        <w:rPr>
          <w:rFonts w:hint="eastAsia"/>
        </w:rPr>
        <w:t>-</w:t>
      </w:r>
      <w:r>
        <w:rPr>
          <w:rFonts w:hint="eastAsia"/>
        </w:rPr>
        <w:t>催化燃烧装置</w:t>
      </w:r>
      <w:r>
        <w:rPr>
          <w:rFonts w:hint="eastAsia"/>
        </w:rPr>
        <w:t>T</w:t>
      </w:r>
      <w:r>
        <w:rPr>
          <w:rFonts w:hint="eastAsia"/>
        </w:rPr>
        <w:t>”处理，一期、二期漆包机涂漆、烘干工序产生的有机废气经炉内两次催化燃烧装置预处理后，与丝包线涂漆、烘干工序产生的有机废气一起进入后端的“静电除油</w:t>
      </w:r>
      <w:r>
        <w:rPr>
          <w:rFonts w:hint="eastAsia"/>
        </w:rPr>
        <w:t>+</w:t>
      </w:r>
      <w:r>
        <w:rPr>
          <w:rFonts w:hint="eastAsia"/>
        </w:rPr>
        <w:t>活性炭吸附</w:t>
      </w:r>
      <w:r>
        <w:rPr>
          <w:rFonts w:hint="eastAsia"/>
        </w:rPr>
        <w:t>-</w:t>
      </w:r>
      <w:r>
        <w:rPr>
          <w:rFonts w:hint="eastAsia"/>
        </w:rPr>
        <w:t>脱附</w:t>
      </w:r>
      <w:r>
        <w:rPr>
          <w:rFonts w:hint="eastAsia"/>
        </w:rPr>
        <w:t>-</w:t>
      </w:r>
      <w:r>
        <w:rPr>
          <w:rFonts w:hint="eastAsia"/>
        </w:rPr>
        <w:t>催化燃烧装置</w:t>
      </w:r>
      <w:r>
        <w:rPr>
          <w:rFonts w:hint="eastAsia"/>
        </w:rPr>
        <w:t>T</w:t>
      </w:r>
      <w:r>
        <w:rPr>
          <w:rFonts w:hint="eastAsia"/>
        </w:rPr>
        <w:t>”进一步处理，一期、二期拉包机及立炉涂漆间外部进行了二次封闭，二次封闭通道的废气直接进入“沸石吸附</w:t>
      </w:r>
      <w:r>
        <w:rPr>
          <w:rFonts w:hint="eastAsia"/>
        </w:rPr>
        <w:t>-</w:t>
      </w:r>
      <w:r>
        <w:rPr>
          <w:rFonts w:hint="eastAsia"/>
        </w:rPr>
        <w:t>脱附</w:t>
      </w:r>
      <w:r>
        <w:rPr>
          <w:rFonts w:hint="eastAsia"/>
        </w:rPr>
        <w:t>-</w:t>
      </w:r>
      <w:r>
        <w:rPr>
          <w:rFonts w:hint="eastAsia"/>
        </w:rPr>
        <w:t>催化燃烧</w:t>
      </w:r>
      <w:r>
        <w:rPr>
          <w:rFonts w:hint="eastAsia"/>
        </w:rPr>
        <w:t>F</w:t>
      </w:r>
      <w:r>
        <w:rPr>
          <w:rFonts w:hint="eastAsia"/>
        </w:rPr>
        <w:t>”进行处理，尾气经一根</w:t>
      </w:r>
      <w:r>
        <w:rPr>
          <w:rFonts w:hint="eastAsia"/>
        </w:rPr>
        <w:t>26.5m</w:t>
      </w:r>
      <w:r>
        <w:rPr>
          <w:rFonts w:hint="eastAsia"/>
        </w:rPr>
        <w:t>高排气筒排放。废气经处理后均能达标排放。</w:t>
      </w:r>
    </w:p>
    <w:p w:rsidR="00EE56C0" w:rsidRDefault="000F36A1">
      <w:pPr>
        <w:ind w:firstLine="482"/>
      </w:pPr>
      <w:r>
        <w:rPr>
          <w:rFonts w:hint="eastAsia"/>
          <w:b/>
        </w:rPr>
        <w:t>废水：</w:t>
      </w:r>
      <w:r>
        <w:rPr>
          <w:rFonts w:hint="eastAsia"/>
        </w:rPr>
        <w:t>生活污水经“隔油池</w:t>
      </w:r>
      <w:r>
        <w:rPr>
          <w:rFonts w:hint="eastAsia"/>
        </w:rPr>
        <w:t>+</w:t>
      </w:r>
      <w:r>
        <w:rPr>
          <w:rFonts w:hint="eastAsia"/>
        </w:rPr>
        <w:t>化粪池”处理后与反渗透浓水在厂区总排口混合后，总排口各项水质能满足</w:t>
      </w:r>
      <w:r>
        <w:rPr>
          <w:bCs/>
        </w:rPr>
        <w:t>《污水排污城镇下水道水质标准》（</w:t>
      </w:r>
      <w:r>
        <w:rPr>
          <w:bCs/>
        </w:rPr>
        <w:t>GB/T31962-2015</w:t>
      </w:r>
      <w:r>
        <w:rPr>
          <w:bCs/>
        </w:rPr>
        <w:t>）</w:t>
      </w:r>
      <w:r>
        <w:rPr>
          <w:bCs/>
        </w:rPr>
        <w:t>C</w:t>
      </w:r>
      <w:r>
        <w:rPr>
          <w:bCs/>
        </w:rPr>
        <w:t>级标准</w:t>
      </w:r>
      <w:r>
        <w:rPr>
          <w:rFonts w:hint="eastAsia"/>
        </w:rPr>
        <w:t>要求及新乡县综合污水处理厂收水标准，经污水管网进入新乡县综合污水处理厂进一步处理后排入东孟姜女河。</w:t>
      </w:r>
    </w:p>
    <w:p w:rsidR="00EE56C0" w:rsidRDefault="000F36A1">
      <w:pPr>
        <w:pStyle w:val="aff4"/>
        <w:ind w:firstLine="482"/>
        <w:rPr>
          <w:highlight w:val="yellow"/>
        </w:rPr>
      </w:pPr>
      <w:r>
        <w:rPr>
          <w:rFonts w:hint="eastAsia"/>
          <w:b/>
        </w:rPr>
        <w:t>噪声：</w:t>
      </w:r>
      <w:r>
        <w:rPr>
          <w:rFonts w:hint="eastAsia"/>
        </w:rPr>
        <w:t>工程噪声源主要为拉拔机、全自动拉丝机</w:t>
      </w:r>
      <w:r>
        <w:t>、</w:t>
      </w:r>
      <w:r>
        <w:rPr>
          <w:rFonts w:hint="eastAsia"/>
        </w:rPr>
        <w:t>漆包机、拉包机、挤压机、纸包机、烧结机、膜包机、丝包机、全自动小拉机等，</w:t>
      </w:r>
      <w:r>
        <w:t>经减振、厂房隔</w:t>
      </w:r>
      <w:r>
        <w:rPr>
          <w:rFonts w:hint="eastAsia"/>
        </w:rPr>
        <w:t>声</w:t>
      </w:r>
      <w:r>
        <w:t>等措施治理后，</w:t>
      </w:r>
      <w:r>
        <w:rPr>
          <w:rFonts w:hint="eastAsia"/>
        </w:rPr>
        <w:t>各厂界噪声均能够达到《工业企业厂界环境噪声排放标准》（</w:t>
      </w:r>
      <w:r>
        <w:rPr>
          <w:rFonts w:hint="eastAsia"/>
        </w:rPr>
        <w:t>GB12348-2008</w:t>
      </w:r>
      <w:r>
        <w:rPr>
          <w:rFonts w:hint="eastAsia"/>
        </w:rPr>
        <w:t>）</w:t>
      </w:r>
      <w:r>
        <w:rPr>
          <w:rFonts w:hint="eastAsia"/>
        </w:rPr>
        <w:t>3</w:t>
      </w:r>
      <w:r>
        <w:rPr>
          <w:rFonts w:hint="eastAsia"/>
        </w:rPr>
        <w:t>类昼间</w:t>
      </w:r>
      <w:r>
        <w:rPr>
          <w:rFonts w:hint="eastAsia"/>
        </w:rPr>
        <w:t>65dB(A)</w:t>
      </w:r>
      <w:r>
        <w:rPr>
          <w:rFonts w:hint="eastAsia"/>
        </w:rPr>
        <w:t>、夜间</w:t>
      </w:r>
      <w:r>
        <w:rPr>
          <w:rFonts w:hint="eastAsia"/>
        </w:rPr>
        <w:t>55dB(A)</w:t>
      </w:r>
      <w:r>
        <w:rPr>
          <w:rFonts w:hint="eastAsia"/>
        </w:rPr>
        <w:t>标准的要求。</w:t>
      </w:r>
    </w:p>
    <w:p w:rsidR="00EE56C0" w:rsidRDefault="000F36A1">
      <w:pPr>
        <w:ind w:firstLine="482"/>
      </w:pPr>
      <w:r>
        <w:rPr>
          <w:rFonts w:hint="eastAsia"/>
          <w:b/>
        </w:rPr>
        <w:t>固废：</w:t>
      </w:r>
      <w:r>
        <w:rPr>
          <w:rFonts w:hint="eastAsia"/>
        </w:rPr>
        <w:t>该工程营运期间产生的固废包括一般固废和危险废物两大类，其中</w:t>
      </w:r>
      <w:r>
        <w:t>一般固废包括原料使用产生的废包材</w:t>
      </w:r>
      <w:r>
        <w:rPr>
          <w:rFonts w:hint="eastAsia"/>
        </w:rPr>
        <w:t>、挤压工序产生的废铜线</w:t>
      </w:r>
      <w:r>
        <w:t>、检验产生的残次品</w:t>
      </w:r>
      <w:r>
        <w:rPr>
          <w:rFonts w:hint="eastAsia"/>
        </w:rPr>
        <w:t>。</w:t>
      </w:r>
      <w:r>
        <w:t>危险废物包括</w:t>
      </w:r>
      <w:r>
        <w:rPr>
          <w:rFonts w:hint="eastAsia"/>
        </w:rPr>
        <w:t>拉丝工序产生的</w:t>
      </w:r>
      <w:r>
        <w:t>含铜油泥</w:t>
      </w:r>
      <w:r>
        <w:rPr>
          <w:rFonts w:hint="eastAsia"/>
        </w:rPr>
        <w:t>、废拉丝油，丝包线涂料</w:t>
      </w:r>
      <w:r>
        <w:t>使用</w:t>
      </w:r>
      <w:r>
        <w:rPr>
          <w:rFonts w:hint="eastAsia"/>
        </w:rPr>
        <w:t>后产生的漆料桶，生产过程产生的含涂料的废毛毡，废气处理</w:t>
      </w:r>
      <w:r>
        <w:t>系统产生的</w:t>
      </w:r>
      <w:r>
        <w:rPr>
          <w:rFonts w:hint="eastAsia"/>
        </w:rPr>
        <w:t>废油、废活性炭、</w:t>
      </w:r>
      <w:r>
        <w:lastRenderedPageBreak/>
        <w:t>废催化剂</w:t>
      </w:r>
      <w:r>
        <w:rPr>
          <w:rFonts w:hint="eastAsia"/>
        </w:rPr>
        <w:t>、</w:t>
      </w:r>
      <w:r>
        <w:t>废</w:t>
      </w:r>
      <w:r>
        <w:rPr>
          <w:rFonts w:hint="eastAsia"/>
        </w:rPr>
        <w:t>沸石分子筛。</w:t>
      </w:r>
    </w:p>
    <w:p w:rsidR="00EE56C0" w:rsidRDefault="000F36A1">
      <w:pPr>
        <w:ind w:firstLine="480"/>
      </w:pPr>
      <w:r>
        <w:t>废包材</w:t>
      </w:r>
      <w:r>
        <w:rPr>
          <w:rFonts w:hint="eastAsia"/>
        </w:rPr>
        <w:t>、废铜线</w:t>
      </w:r>
      <w:r>
        <w:t>、残次品</w:t>
      </w:r>
      <w:r>
        <w:rPr>
          <w:rFonts w:hint="eastAsia"/>
        </w:rPr>
        <w:t>集中收集后出售，危险废物</w:t>
      </w:r>
      <w:r>
        <w:t>专用容器收集，在危废储存间分类暂存</w:t>
      </w:r>
      <w:r>
        <w:rPr>
          <w:rFonts w:hint="eastAsia"/>
        </w:rPr>
        <w:t>，</w:t>
      </w:r>
      <w:r>
        <w:t>定期送有</w:t>
      </w:r>
      <w:r>
        <w:rPr>
          <w:rFonts w:hint="eastAsia"/>
        </w:rPr>
        <w:t>相应</w:t>
      </w:r>
      <w:r>
        <w:t>危废</w:t>
      </w:r>
      <w:r>
        <w:rPr>
          <w:rFonts w:hint="eastAsia"/>
        </w:rPr>
        <w:t>处置</w:t>
      </w:r>
      <w:r>
        <w:t>资质的单位</w:t>
      </w:r>
      <w:r>
        <w:rPr>
          <w:rFonts w:hint="eastAsia"/>
        </w:rPr>
        <w:t>处置。</w:t>
      </w:r>
    </w:p>
    <w:p w:rsidR="00EE56C0" w:rsidRDefault="000F36A1">
      <w:pPr>
        <w:pStyle w:val="2"/>
        <w:ind w:firstLine="301"/>
      </w:pPr>
      <w:r>
        <w:rPr>
          <w:rFonts w:hint="eastAsia"/>
        </w:rPr>
        <w:t>8.4</w:t>
      </w:r>
      <w:r>
        <w:rPr>
          <w:rFonts w:hint="eastAsia"/>
        </w:rPr>
        <w:t>污染物产排及治理措施</w:t>
      </w:r>
    </w:p>
    <w:p w:rsidR="00EE56C0" w:rsidRDefault="000F36A1">
      <w:pPr>
        <w:ind w:firstLine="480"/>
      </w:pPr>
      <w:r>
        <w:t>本项目</w:t>
      </w:r>
      <w:r>
        <w:rPr>
          <w:spacing w:val="-3"/>
        </w:rPr>
        <w:t>大</w:t>
      </w:r>
      <w:r>
        <w:t>气污</w:t>
      </w:r>
      <w:r>
        <w:rPr>
          <w:spacing w:val="-3"/>
        </w:rPr>
        <w:t>染物</w:t>
      </w:r>
      <w:r>
        <w:t>排放清</w:t>
      </w:r>
      <w:r>
        <w:rPr>
          <w:spacing w:val="-3"/>
        </w:rPr>
        <w:t>单</w:t>
      </w:r>
      <w:r>
        <w:rPr>
          <w:spacing w:val="1"/>
        </w:rPr>
        <w:t>见</w:t>
      </w:r>
      <w:r>
        <w:t>表</w:t>
      </w:r>
      <w:r>
        <w:rPr>
          <w:rFonts w:hint="eastAsia"/>
          <w:spacing w:val="1"/>
        </w:rPr>
        <w:t>8</w:t>
      </w:r>
      <w:r>
        <w:rPr>
          <w:rFonts w:eastAsia="Times New Roman"/>
        </w:rPr>
        <w:t>-</w:t>
      </w:r>
      <w:r>
        <w:rPr>
          <w:rFonts w:hint="eastAsia"/>
          <w:spacing w:val="-2"/>
        </w:rPr>
        <w:t>6</w:t>
      </w:r>
      <w:r>
        <w:rPr>
          <w:rFonts w:hint="eastAsia"/>
          <w:spacing w:val="-2"/>
        </w:rPr>
        <w:t>、</w:t>
      </w:r>
      <w:r>
        <w:rPr>
          <w:rFonts w:hint="eastAsia"/>
          <w:spacing w:val="-2"/>
        </w:rPr>
        <w:t>8-7</w:t>
      </w:r>
      <w:r>
        <w:t>，</w:t>
      </w:r>
      <w:r>
        <w:rPr>
          <w:rFonts w:hint="eastAsia"/>
          <w:spacing w:val="-3"/>
        </w:rPr>
        <w:t>废水</w:t>
      </w:r>
      <w:r>
        <w:t>污</w:t>
      </w:r>
      <w:r>
        <w:rPr>
          <w:spacing w:val="-3"/>
        </w:rPr>
        <w:t>染物</w:t>
      </w:r>
      <w:r>
        <w:t>排放清</w:t>
      </w:r>
      <w:r>
        <w:rPr>
          <w:spacing w:val="-3"/>
        </w:rPr>
        <w:t>单</w:t>
      </w:r>
      <w:r>
        <w:rPr>
          <w:spacing w:val="1"/>
        </w:rPr>
        <w:t>见</w:t>
      </w:r>
      <w:r>
        <w:t>表</w:t>
      </w:r>
      <w:r>
        <w:rPr>
          <w:rFonts w:hint="eastAsia"/>
          <w:spacing w:val="1"/>
        </w:rPr>
        <w:t>8</w:t>
      </w:r>
      <w:r>
        <w:rPr>
          <w:rFonts w:eastAsia="Times New Roman"/>
        </w:rPr>
        <w:t>-</w:t>
      </w:r>
      <w:r>
        <w:rPr>
          <w:rFonts w:hint="eastAsia"/>
          <w:spacing w:val="-2"/>
        </w:rPr>
        <w:t>10</w:t>
      </w:r>
      <w:r>
        <w:t>，噪声</w:t>
      </w:r>
      <w:r>
        <w:rPr>
          <w:rFonts w:hint="eastAsia"/>
        </w:rPr>
        <w:t>厂界预测结果</w:t>
      </w:r>
      <w:r>
        <w:t>见表</w:t>
      </w:r>
      <w:r>
        <w:rPr>
          <w:rFonts w:hint="eastAsia"/>
          <w:spacing w:val="1"/>
        </w:rPr>
        <w:t>8-</w:t>
      </w:r>
      <w:r>
        <w:rPr>
          <w:rFonts w:hint="eastAsia"/>
          <w:spacing w:val="-2"/>
        </w:rPr>
        <w:t>11</w:t>
      </w:r>
      <w:r>
        <w:t>，固体废物产生及处置清单见表</w:t>
      </w:r>
      <w:r>
        <w:rPr>
          <w:rFonts w:hint="eastAsia"/>
          <w:spacing w:val="1"/>
        </w:rPr>
        <w:t>8-</w:t>
      </w:r>
      <w:r>
        <w:rPr>
          <w:rFonts w:hint="eastAsia"/>
          <w:spacing w:val="-2"/>
        </w:rPr>
        <w:t>12</w:t>
      </w:r>
      <w:r>
        <w:t>。</w:t>
      </w:r>
    </w:p>
    <w:p w:rsidR="00EE56C0" w:rsidRDefault="000F36A1">
      <w:pPr>
        <w:pStyle w:val="afd"/>
        <w:spacing w:before="120" w:after="120"/>
        <w:ind w:firstLine="482"/>
      </w:pPr>
      <w:r>
        <w:t>表</w:t>
      </w:r>
      <w:r>
        <w:rPr>
          <w:rFonts w:hint="eastAsia"/>
        </w:rPr>
        <w:t>8-6</w:t>
      </w:r>
      <w:r>
        <w:tab/>
      </w:r>
      <w:r>
        <w:rPr>
          <w:rFonts w:hint="eastAsia"/>
        </w:rPr>
        <w:t xml:space="preserve">             </w:t>
      </w:r>
      <w:r>
        <w:rPr>
          <w:rFonts w:hint="eastAsia"/>
        </w:rPr>
        <w:t>项目废气排放况</w:t>
      </w:r>
      <w:r>
        <w:t>一览表</w:t>
      </w:r>
    </w:p>
    <w:tbl>
      <w:tblPr>
        <w:tblW w:w="5000" w:type="pct"/>
        <w:jc w:val="center"/>
        <w:tblBorders>
          <w:top w:val="single" w:sz="8" w:space="0" w:color="000000"/>
          <w:bottom w:val="single" w:sz="8" w:space="0" w:color="000000"/>
          <w:insideH w:val="single" w:sz="4" w:space="0" w:color="000000"/>
          <w:insideV w:val="single" w:sz="4" w:space="0" w:color="000000"/>
        </w:tblBorders>
        <w:tblLook w:val="04A0"/>
      </w:tblPr>
      <w:tblGrid>
        <w:gridCol w:w="1083"/>
        <w:gridCol w:w="1165"/>
        <w:gridCol w:w="1965"/>
        <w:gridCol w:w="1965"/>
        <w:gridCol w:w="2351"/>
      </w:tblGrid>
      <w:tr w:rsidR="00EE56C0">
        <w:trPr>
          <w:trHeight w:val="454"/>
          <w:jc w:val="center"/>
        </w:trPr>
        <w:tc>
          <w:tcPr>
            <w:tcW w:w="1318" w:type="pct"/>
            <w:gridSpan w:val="2"/>
            <w:vMerge w:val="restart"/>
            <w:tcBorders>
              <w:top w:val="single" w:sz="4" w:space="0" w:color="auto"/>
              <w:left w:val="single" w:sz="4" w:space="0" w:color="auto"/>
              <w:bottom w:val="single" w:sz="4" w:space="0" w:color="auto"/>
              <w:right w:val="single" w:sz="4" w:space="0" w:color="000000"/>
            </w:tcBorders>
            <w:vAlign w:val="center"/>
          </w:tcPr>
          <w:p w:rsidR="00EE56C0" w:rsidRDefault="000F36A1">
            <w:pPr>
              <w:pStyle w:val="aff1"/>
              <w:rPr>
                <w:color w:val="auto"/>
                <w:szCs w:val="21"/>
              </w:rPr>
            </w:pPr>
            <w:r>
              <w:rPr>
                <w:color w:val="auto"/>
                <w:szCs w:val="21"/>
              </w:rPr>
              <w:t>污染物</w:t>
            </w:r>
          </w:p>
        </w:tc>
        <w:tc>
          <w:tcPr>
            <w:tcW w:w="3682" w:type="pct"/>
            <w:gridSpan w:val="3"/>
            <w:tcBorders>
              <w:top w:val="single" w:sz="4" w:space="0" w:color="auto"/>
              <w:left w:val="single" w:sz="4" w:space="0" w:color="auto"/>
              <w:bottom w:val="single" w:sz="4" w:space="0" w:color="auto"/>
              <w:right w:val="single" w:sz="4" w:space="0" w:color="auto"/>
            </w:tcBorders>
            <w:vAlign w:val="center"/>
          </w:tcPr>
          <w:p w:rsidR="00EE56C0" w:rsidRDefault="000F36A1">
            <w:pPr>
              <w:pStyle w:val="aff1"/>
              <w:rPr>
                <w:color w:val="auto"/>
                <w:szCs w:val="21"/>
              </w:rPr>
            </w:pPr>
            <w:r>
              <w:rPr>
                <w:rFonts w:hint="eastAsia"/>
                <w:color w:val="auto"/>
                <w:szCs w:val="21"/>
              </w:rPr>
              <w:t>合计</w:t>
            </w:r>
          </w:p>
        </w:tc>
      </w:tr>
      <w:tr w:rsidR="00EE56C0">
        <w:trPr>
          <w:trHeight w:val="454"/>
          <w:jc w:val="center"/>
        </w:trPr>
        <w:tc>
          <w:tcPr>
            <w:tcW w:w="1318" w:type="pct"/>
            <w:gridSpan w:val="2"/>
            <w:vMerge/>
            <w:tcBorders>
              <w:top w:val="single" w:sz="8" w:space="0" w:color="000000"/>
              <w:left w:val="single" w:sz="4" w:space="0" w:color="auto"/>
              <w:bottom w:val="single" w:sz="4" w:space="0" w:color="auto"/>
              <w:right w:val="single" w:sz="4" w:space="0" w:color="000000"/>
            </w:tcBorders>
            <w:vAlign w:val="center"/>
          </w:tcPr>
          <w:p w:rsidR="00EE56C0" w:rsidRDefault="00EE56C0">
            <w:pPr>
              <w:pStyle w:val="aff1"/>
              <w:rPr>
                <w:color w:val="auto"/>
                <w:szCs w:val="21"/>
              </w:rPr>
            </w:pPr>
          </w:p>
        </w:tc>
        <w:tc>
          <w:tcPr>
            <w:tcW w:w="1152" w:type="pct"/>
            <w:tcBorders>
              <w:top w:val="single" w:sz="4" w:space="0" w:color="auto"/>
              <w:left w:val="single" w:sz="4" w:space="0" w:color="auto"/>
              <w:bottom w:val="single" w:sz="4" w:space="0" w:color="auto"/>
              <w:right w:val="nil"/>
            </w:tcBorders>
            <w:vAlign w:val="center"/>
          </w:tcPr>
          <w:p w:rsidR="00EE56C0" w:rsidRDefault="000F36A1">
            <w:pPr>
              <w:pStyle w:val="aff1"/>
              <w:rPr>
                <w:color w:val="auto"/>
                <w:szCs w:val="21"/>
              </w:rPr>
            </w:pPr>
            <w:r>
              <w:rPr>
                <w:color w:val="auto"/>
                <w:szCs w:val="21"/>
              </w:rPr>
              <w:t>排放</w:t>
            </w:r>
            <w:r>
              <w:rPr>
                <w:rFonts w:hint="eastAsia"/>
                <w:color w:val="auto"/>
                <w:szCs w:val="21"/>
              </w:rPr>
              <w:t>量</w:t>
            </w:r>
            <w:r>
              <w:rPr>
                <w:color w:val="auto"/>
                <w:szCs w:val="21"/>
              </w:rPr>
              <w:t>（</w:t>
            </w:r>
            <w:r>
              <w:rPr>
                <w:color w:val="auto"/>
                <w:szCs w:val="21"/>
              </w:rPr>
              <w:t>t/a</w:t>
            </w:r>
            <w:r>
              <w:rPr>
                <w:color w:val="auto"/>
                <w:szCs w:val="21"/>
              </w:rPr>
              <w:t>）</w:t>
            </w:r>
          </w:p>
        </w:tc>
        <w:tc>
          <w:tcPr>
            <w:tcW w:w="1152" w:type="pct"/>
            <w:tcBorders>
              <w:top w:val="single" w:sz="4" w:space="0" w:color="auto"/>
              <w:left w:val="single" w:sz="4" w:space="0" w:color="auto"/>
              <w:bottom w:val="single" w:sz="4" w:space="0" w:color="auto"/>
              <w:right w:val="nil"/>
            </w:tcBorders>
            <w:vAlign w:val="center"/>
          </w:tcPr>
          <w:p w:rsidR="00EE56C0" w:rsidRDefault="000F36A1">
            <w:pPr>
              <w:pStyle w:val="aff1"/>
              <w:rPr>
                <w:color w:val="auto"/>
                <w:szCs w:val="21"/>
              </w:rPr>
            </w:pPr>
            <w:r>
              <w:rPr>
                <w:color w:val="auto"/>
                <w:szCs w:val="21"/>
              </w:rPr>
              <w:t>排放速率</w:t>
            </w:r>
            <w:r>
              <w:rPr>
                <w:rFonts w:hint="eastAsia"/>
                <w:color w:val="auto"/>
                <w:szCs w:val="21"/>
              </w:rPr>
              <w:t>（</w:t>
            </w:r>
            <w:r>
              <w:rPr>
                <w:rFonts w:hint="eastAsia"/>
                <w:color w:val="auto"/>
                <w:szCs w:val="21"/>
              </w:rPr>
              <w:t>kg/h</w:t>
            </w:r>
            <w:r>
              <w:rPr>
                <w:rFonts w:hint="eastAsia"/>
                <w:color w:val="auto"/>
                <w:szCs w:val="21"/>
              </w:rPr>
              <w:t>）</w:t>
            </w:r>
          </w:p>
        </w:tc>
        <w:tc>
          <w:tcPr>
            <w:tcW w:w="1378"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f1"/>
              <w:rPr>
                <w:color w:val="auto"/>
                <w:szCs w:val="21"/>
              </w:rPr>
            </w:pPr>
            <w:r>
              <w:rPr>
                <w:rFonts w:hint="eastAsia"/>
                <w:color w:val="auto"/>
                <w:szCs w:val="21"/>
              </w:rPr>
              <w:t>排放浓度（</w:t>
            </w:r>
            <w:r>
              <w:rPr>
                <w:rFonts w:hint="eastAsia"/>
                <w:color w:val="auto"/>
                <w:szCs w:val="21"/>
              </w:rPr>
              <w:t>mg/m</w:t>
            </w:r>
            <w:r>
              <w:rPr>
                <w:rFonts w:hint="eastAsia"/>
                <w:color w:val="auto"/>
                <w:szCs w:val="21"/>
                <w:vertAlign w:val="superscript"/>
              </w:rPr>
              <w:t>3</w:t>
            </w:r>
            <w:r>
              <w:rPr>
                <w:rFonts w:hint="eastAsia"/>
                <w:color w:val="auto"/>
                <w:szCs w:val="21"/>
              </w:rPr>
              <w:t>）</w:t>
            </w:r>
          </w:p>
        </w:tc>
      </w:tr>
      <w:tr w:rsidR="00EE56C0">
        <w:trPr>
          <w:trHeight w:val="451"/>
          <w:jc w:val="center"/>
        </w:trPr>
        <w:tc>
          <w:tcPr>
            <w:tcW w:w="635" w:type="pct"/>
            <w:vMerge w:val="restart"/>
            <w:tcBorders>
              <w:top w:val="single" w:sz="4" w:space="0" w:color="auto"/>
              <w:left w:val="single" w:sz="4" w:space="0" w:color="auto"/>
              <w:right w:val="single" w:sz="4" w:space="0" w:color="auto"/>
            </w:tcBorders>
            <w:vAlign w:val="center"/>
          </w:tcPr>
          <w:p w:rsidR="00EE56C0" w:rsidRDefault="000F36A1">
            <w:pPr>
              <w:pStyle w:val="afa"/>
            </w:pPr>
            <w:r>
              <w:rPr>
                <w:rFonts w:hint="eastAsia"/>
              </w:rPr>
              <w:t>P</w:t>
            </w:r>
          </w:p>
        </w:tc>
        <w:tc>
          <w:tcPr>
            <w:tcW w:w="683" w:type="pct"/>
            <w:tcBorders>
              <w:top w:val="single" w:sz="4" w:space="0" w:color="auto"/>
              <w:left w:val="single" w:sz="4" w:space="0" w:color="auto"/>
              <w:right w:val="single" w:sz="4" w:space="0" w:color="000000"/>
            </w:tcBorders>
            <w:vAlign w:val="center"/>
          </w:tcPr>
          <w:p w:rsidR="00EE56C0" w:rsidRDefault="000F36A1">
            <w:pPr>
              <w:pStyle w:val="afa"/>
            </w:pPr>
            <w:r>
              <w:rPr>
                <w:rFonts w:hint="eastAsia"/>
              </w:rPr>
              <w:t>酚</w:t>
            </w:r>
          </w:p>
        </w:tc>
        <w:tc>
          <w:tcPr>
            <w:tcW w:w="1152" w:type="pct"/>
            <w:tcBorders>
              <w:top w:val="single" w:sz="4" w:space="0" w:color="auto"/>
              <w:left w:val="single" w:sz="4" w:space="0" w:color="auto"/>
              <w:right w:val="nil"/>
            </w:tcBorders>
            <w:vAlign w:val="center"/>
          </w:tcPr>
          <w:p w:rsidR="00EE56C0" w:rsidRDefault="000F36A1">
            <w:pPr>
              <w:pStyle w:val="afa"/>
              <w:rPr>
                <w:rFonts w:eastAsia="宋体"/>
                <w:u w:val="single"/>
              </w:rPr>
            </w:pPr>
            <w:r>
              <w:rPr>
                <w:u w:val="single"/>
              </w:rPr>
              <w:t xml:space="preserve">0.6730 </w:t>
            </w:r>
          </w:p>
        </w:tc>
        <w:tc>
          <w:tcPr>
            <w:tcW w:w="1152" w:type="pct"/>
            <w:tcBorders>
              <w:top w:val="single" w:sz="4" w:space="0" w:color="auto"/>
              <w:left w:val="single" w:sz="4" w:space="0" w:color="auto"/>
              <w:right w:val="nil"/>
            </w:tcBorders>
            <w:vAlign w:val="center"/>
          </w:tcPr>
          <w:p w:rsidR="00EE56C0" w:rsidRDefault="000F36A1">
            <w:pPr>
              <w:pStyle w:val="afa"/>
              <w:rPr>
                <w:rFonts w:eastAsia="宋体"/>
                <w:u w:val="single"/>
              </w:rPr>
            </w:pPr>
            <w:r>
              <w:rPr>
                <w:u w:val="single"/>
              </w:rPr>
              <w:t xml:space="preserve">0.0935 </w:t>
            </w:r>
          </w:p>
        </w:tc>
        <w:tc>
          <w:tcPr>
            <w:tcW w:w="1378" w:type="pct"/>
            <w:tcBorders>
              <w:top w:val="single" w:sz="4" w:space="0" w:color="auto"/>
              <w:left w:val="single" w:sz="4" w:space="0" w:color="auto"/>
              <w:right w:val="single" w:sz="4" w:space="0" w:color="auto"/>
            </w:tcBorders>
            <w:vAlign w:val="center"/>
          </w:tcPr>
          <w:p w:rsidR="00EE56C0" w:rsidRDefault="000F36A1">
            <w:pPr>
              <w:pStyle w:val="afa"/>
              <w:rPr>
                <w:rFonts w:eastAsia="宋体"/>
                <w:u w:val="single"/>
              </w:rPr>
            </w:pPr>
            <w:r>
              <w:rPr>
                <w:u w:val="single"/>
              </w:rPr>
              <w:t xml:space="preserve">0.92 </w:t>
            </w:r>
          </w:p>
        </w:tc>
      </w:tr>
      <w:tr w:rsidR="00EE56C0">
        <w:trPr>
          <w:trHeight w:val="454"/>
          <w:jc w:val="center"/>
        </w:trPr>
        <w:tc>
          <w:tcPr>
            <w:tcW w:w="635" w:type="pct"/>
            <w:vMerge/>
            <w:tcBorders>
              <w:left w:val="single" w:sz="4" w:space="0" w:color="auto"/>
              <w:right w:val="single" w:sz="4" w:space="0" w:color="auto"/>
            </w:tcBorders>
            <w:vAlign w:val="center"/>
          </w:tcPr>
          <w:p w:rsidR="00EE56C0" w:rsidRDefault="00EE56C0">
            <w:pPr>
              <w:pStyle w:val="afa"/>
            </w:pPr>
          </w:p>
        </w:tc>
        <w:tc>
          <w:tcPr>
            <w:tcW w:w="683" w:type="pct"/>
            <w:tcBorders>
              <w:top w:val="single" w:sz="4" w:space="0" w:color="auto"/>
              <w:left w:val="single" w:sz="4" w:space="0" w:color="auto"/>
              <w:right w:val="single" w:sz="4" w:space="0" w:color="000000"/>
            </w:tcBorders>
            <w:vAlign w:val="center"/>
          </w:tcPr>
          <w:p w:rsidR="00EE56C0" w:rsidRDefault="000F36A1">
            <w:pPr>
              <w:pStyle w:val="afa"/>
            </w:pPr>
            <w:r>
              <w:t>非甲烷</w:t>
            </w:r>
          </w:p>
          <w:p w:rsidR="00EE56C0" w:rsidRDefault="000F36A1">
            <w:pPr>
              <w:pStyle w:val="afa"/>
            </w:pPr>
            <w:r>
              <w:t>总烃</w:t>
            </w:r>
          </w:p>
        </w:tc>
        <w:tc>
          <w:tcPr>
            <w:tcW w:w="1152" w:type="pct"/>
            <w:tcBorders>
              <w:top w:val="single" w:sz="4" w:space="0" w:color="auto"/>
              <w:left w:val="single" w:sz="4" w:space="0" w:color="auto"/>
              <w:right w:val="nil"/>
            </w:tcBorders>
            <w:vAlign w:val="center"/>
          </w:tcPr>
          <w:p w:rsidR="00EE56C0" w:rsidRDefault="000F36A1">
            <w:pPr>
              <w:pStyle w:val="afa"/>
              <w:rPr>
                <w:rFonts w:eastAsia="宋体"/>
                <w:u w:val="single"/>
              </w:rPr>
            </w:pPr>
            <w:r>
              <w:rPr>
                <w:rFonts w:hint="eastAsia"/>
                <w:u w:val="single"/>
              </w:rPr>
              <w:t>4.5425</w:t>
            </w:r>
          </w:p>
        </w:tc>
        <w:tc>
          <w:tcPr>
            <w:tcW w:w="1152" w:type="pct"/>
            <w:tcBorders>
              <w:top w:val="single" w:sz="4" w:space="0" w:color="auto"/>
              <w:left w:val="single" w:sz="4" w:space="0" w:color="auto"/>
              <w:right w:val="nil"/>
            </w:tcBorders>
            <w:vAlign w:val="center"/>
          </w:tcPr>
          <w:p w:rsidR="00EE56C0" w:rsidRDefault="000F36A1">
            <w:pPr>
              <w:pStyle w:val="afa"/>
              <w:rPr>
                <w:rFonts w:eastAsia="宋体"/>
                <w:u w:val="single"/>
              </w:rPr>
            </w:pPr>
            <w:r>
              <w:rPr>
                <w:rFonts w:hint="eastAsia"/>
                <w:u w:val="single"/>
              </w:rPr>
              <w:t>0.6309</w:t>
            </w:r>
          </w:p>
        </w:tc>
        <w:tc>
          <w:tcPr>
            <w:tcW w:w="1378" w:type="pct"/>
            <w:tcBorders>
              <w:top w:val="single" w:sz="4" w:space="0" w:color="auto"/>
              <w:left w:val="single" w:sz="4" w:space="0" w:color="auto"/>
              <w:right w:val="single" w:sz="4" w:space="0" w:color="auto"/>
            </w:tcBorders>
            <w:vAlign w:val="center"/>
          </w:tcPr>
          <w:p w:rsidR="00EE56C0" w:rsidRDefault="000F36A1">
            <w:pPr>
              <w:pStyle w:val="afa"/>
              <w:rPr>
                <w:rFonts w:eastAsia="宋体"/>
                <w:u w:val="single"/>
              </w:rPr>
            </w:pPr>
            <w:r>
              <w:rPr>
                <w:rFonts w:hint="eastAsia"/>
                <w:u w:val="single"/>
              </w:rPr>
              <w:t>6.18</w:t>
            </w:r>
          </w:p>
        </w:tc>
      </w:tr>
      <w:tr w:rsidR="00EE56C0">
        <w:trPr>
          <w:trHeight w:val="454"/>
          <w:jc w:val="center"/>
        </w:trPr>
        <w:tc>
          <w:tcPr>
            <w:tcW w:w="635" w:type="pct"/>
            <w:vMerge/>
            <w:tcBorders>
              <w:left w:val="single" w:sz="4" w:space="0" w:color="auto"/>
              <w:right w:val="single" w:sz="4" w:space="0" w:color="auto"/>
            </w:tcBorders>
            <w:vAlign w:val="center"/>
          </w:tcPr>
          <w:p w:rsidR="00EE56C0" w:rsidRDefault="00EE56C0">
            <w:pPr>
              <w:pStyle w:val="afa"/>
            </w:pPr>
          </w:p>
        </w:tc>
        <w:tc>
          <w:tcPr>
            <w:tcW w:w="683" w:type="pct"/>
            <w:tcBorders>
              <w:top w:val="single" w:sz="4" w:space="0" w:color="auto"/>
              <w:left w:val="single" w:sz="4" w:space="0" w:color="auto"/>
              <w:right w:val="single" w:sz="4" w:space="0" w:color="000000"/>
            </w:tcBorders>
            <w:vAlign w:val="center"/>
          </w:tcPr>
          <w:p w:rsidR="00EE56C0" w:rsidRDefault="000F36A1">
            <w:pPr>
              <w:pStyle w:val="afa"/>
            </w:pPr>
            <w:r>
              <w:rPr>
                <w:rFonts w:hint="eastAsia"/>
              </w:rPr>
              <w:t>二甲苯</w:t>
            </w:r>
          </w:p>
        </w:tc>
        <w:tc>
          <w:tcPr>
            <w:tcW w:w="1152" w:type="pct"/>
            <w:tcBorders>
              <w:top w:val="single" w:sz="4" w:space="0" w:color="auto"/>
              <w:left w:val="single" w:sz="4" w:space="0" w:color="auto"/>
              <w:right w:val="nil"/>
            </w:tcBorders>
            <w:vAlign w:val="center"/>
          </w:tcPr>
          <w:p w:rsidR="00EE56C0" w:rsidRDefault="000F36A1">
            <w:pPr>
              <w:pStyle w:val="afa"/>
              <w:rPr>
                <w:rFonts w:eastAsia="宋体"/>
              </w:rPr>
            </w:pPr>
            <w:r>
              <w:t xml:space="preserve">5.8296 </w:t>
            </w:r>
          </w:p>
        </w:tc>
        <w:tc>
          <w:tcPr>
            <w:tcW w:w="1152" w:type="pct"/>
            <w:tcBorders>
              <w:top w:val="single" w:sz="4" w:space="0" w:color="auto"/>
              <w:left w:val="single" w:sz="4" w:space="0" w:color="auto"/>
              <w:right w:val="nil"/>
            </w:tcBorders>
            <w:vAlign w:val="center"/>
          </w:tcPr>
          <w:p w:rsidR="00EE56C0" w:rsidRDefault="000F36A1">
            <w:pPr>
              <w:pStyle w:val="afa"/>
              <w:rPr>
                <w:rFonts w:eastAsia="宋体"/>
              </w:rPr>
            </w:pPr>
            <w:r>
              <w:t xml:space="preserve">0.8097 </w:t>
            </w:r>
          </w:p>
        </w:tc>
        <w:tc>
          <w:tcPr>
            <w:tcW w:w="1378" w:type="pct"/>
            <w:tcBorders>
              <w:top w:val="single" w:sz="4" w:space="0" w:color="auto"/>
              <w:left w:val="single" w:sz="4" w:space="0" w:color="auto"/>
              <w:right w:val="single" w:sz="4" w:space="0" w:color="auto"/>
            </w:tcBorders>
            <w:vAlign w:val="center"/>
          </w:tcPr>
          <w:p w:rsidR="00EE56C0" w:rsidRDefault="000F36A1">
            <w:pPr>
              <w:pStyle w:val="afa"/>
              <w:rPr>
                <w:rFonts w:eastAsia="宋体"/>
              </w:rPr>
            </w:pPr>
            <w:r>
              <w:t xml:space="preserve">7.93 </w:t>
            </w:r>
          </w:p>
        </w:tc>
      </w:tr>
      <w:tr w:rsidR="00EE56C0">
        <w:trPr>
          <w:trHeight w:val="454"/>
          <w:jc w:val="center"/>
        </w:trPr>
        <w:tc>
          <w:tcPr>
            <w:tcW w:w="635" w:type="pct"/>
            <w:vMerge/>
            <w:tcBorders>
              <w:left w:val="single" w:sz="4" w:space="0" w:color="auto"/>
              <w:right w:val="single" w:sz="4" w:space="0" w:color="auto"/>
            </w:tcBorders>
            <w:vAlign w:val="center"/>
          </w:tcPr>
          <w:p w:rsidR="00EE56C0" w:rsidRDefault="00EE56C0">
            <w:pPr>
              <w:pStyle w:val="afa"/>
            </w:pPr>
          </w:p>
        </w:tc>
        <w:tc>
          <w:tcPr>
            <w:tcW w:w="683" w:type="pct"/>
            <w:tcBorders>
              <w:top w:val="single" w:sz="4" w:space="0" w:color="auto"/>
              <w:left w:val="single" w:sz="4" w:space="0" w:color="auto"/>
              <w:bottom w:val="single" w:sz="4" w:space="0" w:color="auto"/>
              <w:right w:val="single" w:sz="4" w:space="0" w:color="000000"/>
            </w:tcBorders>
            <w:vAlign w:val="center"/>
          </w:tcPr>
          <w:p w:rsidR="00EE56C0" w:rsidRDefault="000F36A1">
            <w:pPr>
              <w:pStyle w:val="afa"/>
            </w:pPr>
            <w:r>
              <w:rPr>
                <w:rFonts w:hint="eastAsia"/>
              </w:rPr>
              <w:t>甲苯</w:t>
            </w:r>
          </w:p>
        </w:tc>
        <w:tc>
          <w:tcPr>
            <w:tcW w:w="1152" w:type="pct"/>
            <w:tcBorders>
              <w:top w:val="single" w:sz="4" w:space="0" w:color="auto"/>
              <w:left w:val="single" w:sz="4" w:space="0" w:color="auto"/>
              <w:bottom w:val="single" w:sz="4" w:space="0" w:color="auto"/>
              <w:right w:val="nil"/>
            </w:tcBorders>
            <w:vAlign w:val="center"/>
          </w:tcPr>
          <w:p w:rsidR="00EE56C0" w:rsidRDefault="000F36A1">
            <w:pPr>
              <w:pStyle w:val="afa"/>
              <w:rPr>
                <w:rFonts w:eastAsia="宋体"/>
              </w:rPr>
            </w:pPr>
            <w:r>
              <w:t xml:space="preserve">2.7430 </w:t>
            </w:r>
          </w:p>
        </w:tc>
        <w:tc>
          <w:tcPr>
            <w:tcW w:w="1152" w:type="pct"/>
            <w:tcBorders>
              <w:top w:val="single" w:sz="4" w:space="0" w:color="auto"/>
              <w:left w:val="single" w:sz="4" w:space="0" w:color="auto"/>
              <w:bottom w:val="single" w:sz="4" w:space="0" w:color="auto"/>
              <w:right w:val="nil"/>
            </w:tcBorders>
            <w:vAlign w:val="center"/>
          </w:tcPr>
          <w:p w:rsidR="00EE56C0" w:rsidRDefault="000F36A1">
            <w:pPr>
              <w:pStyle w:val="afa"/>
              <w:rPr>
                <w:rFonts w:eastAsia="宋体"/>
              </w:rPr>
            </w:pPr>
            <w:r>
              <w:t xml:space="preserve">0.3810 </w:t>
            </w:r>
          </w:p>
        </w:tc>
        <w:tc>
          <w:tcPr>
            <w:tcW w:w="1378"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eastAsia="宋体"/>
              </w:rPr>
            </w:pPr>
            <w:r>
              <w:t xml:space="preserve">3.73 </w:t>
            </w:r>
          </w:p>
        </w:tc>
      </w:tr>
      <w:tr w:rsidR="00EE56C0">
        <w:trPr>
          <w:trHeight w:val="454"/>
          <w:jc w:val="center"/>
        </w:trPr>
        <w:tc>
          <w:tcPr>
            <w:tcW w:w="635" w:type="pct"/>
            <w:vMerge/>
            <w:tcBorders>
              <w:left w:val="single" w:sz="4" w:space="0" w:color="auto"/>
              <w:right w:val="single" w:sz="4" w:space="0" w:color="auto"/>
            </w:tcBorders>
            <w:vAlign w:val="center"/>
          </w:tcPr>
          <w:p w:rsidR="00EE56C0" w:rsidRDefault="00EE56C0">
            <w:pPr>
              <w:pStyle w:val="afa"/>
              <w:rPr>
                <w:highlight w:val="yellow"/>
              </w:rPr>
            </w:pPr>
          </w:p>
        </w:tc>
        <w:tc>
          <w:tcPr>
            <w:tcW w:w="683" w:type="pct"/>
            <w:tcBorders>
              <w:top w:val="single" w:sz="4" w:space="0" w:color="auto"/>
              <w:left w:val="single" w:sz="4" w:space="0" w:color="auto"/>
              <w:bottom w:val="single" w:sz="4" w:space="0" w:color="auto"/>
              <w:right w:val="single" w:sz="4" w:space="0" w:color="000000"/>
            </w:tcBorders>
            <w:vAlign w:val="center"/>
          </w:tcPr>
          <w:p w:rsidR="00EE56C0" w:rsidRDefault="000F36A1">
            <w:pPr>
              <w:pStyle w:val="afa"/>
              <w:rPr>
                <w:highlight w:val="yellow"/>
              </w:rPr>
            </w:pPr>
            <w:r>
              <w:rPr>
                <w:rFonts w:hint="eastAsia"/>
              </w:rPr>
              <w:t>苯</w:t>
            </w:r>
          </w:p>
        </w:tc>
        <w:tc>
          <w:tcPr>
            <w:tcW w:w="1152" w:type="pct"/>
            <w:tcBorders>
              <w:top w:val="single" w:sz="4" w:space="0" w:color="auto"/>
              <w:left w:val="single" w:sz="4" w:space="0" w:color="auto"/>
              <w:bottom w:val="single" w:sz="4" w:space="0" w:color="auto"/>
              <w:right w:val="nil"/>
            </w:tcBorders>
            <w:vAlign w:val="center"/>
          </w:tcPr>
          <w:p w:rsidR="00EE56C0" w:rsidRDefault="000F36A1">
            <w:pPr>
              <w:pStyle w:val="afa"/>
              <w:rPr>
                <w:rFonts w:eastAsia="宋体"/>
                <w:u w:val="single"/>
              </w:rPr>
            </w:pPr>
            <w:r>
              <w:rPr>
                <w:rFonts w:eastAsia="宋体" w:hint="eastAsia"/>
                <w:u w:val="single"/>
              </w:rPr>
              <w:t>0.2688</w:t>
            </w:r>
          </w:p>
        </w:tc>
        <w:tc>
          <w:tcPr>
            <w:tcW w:w="1152" w:type="pct"/>
            <w:tcBorders>
              <w:top w:val="single" w:sz="4" w:space="0" w:color="auto"/>
              <w:left w:val="single" w:sz="4" w:space="0" w:color="auto"/>
              <w:bottom w:val="single" w:sz="4" w:space="0" w:color="auto"/>
              <w:right w:val="nil"/>
            </w:tcBorders>
            <w:vAlign w:val="center"/>
          </w:tcPr>
          <w:p w:rsidR="00EE56C0" w:rsidRDefault="000F36A1">
            <w:pPr>
              <w:pStyle w:val="afa"/>
              <w:rPr>
                <w:rFonts w:eastAsia="宋体"/>
                <w:u w:val="single"/>
              </w:rPr>
            </w:pPr>
            <w:r>
              <w:rPr>
                <w:rFonts w:eastAsia="宋体" w:hint="eastAsia"/>
                <w:u w:val="single"/>
              </w:rPr>
              <w:t>0.0373</w:t>
            </w:r>
          </w:p>
        </w:tc>
        <w:tc>
          <w:tcPr>
            <w:tcW w:w="1378"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rPr>
                <w:rFonts w:eastAsia="宋体"/>
              </w:rPr>
            </w:pPr>
            <w:r>
              <w:rPr>
                <w:rFonts w:eastAsia="宋体" w:hint="eastAsia"/>
              </w:rPr>
              <w:t>0.37</w:t>
            </w:r>
          </w:p>
        </w:tc>
      </w:tr>
      <w:tr w:rsidR="00EE56C0">
        <w:trPr>
          <w:trHeight w:val="454"/>
          <w:jc w:val="center"/>
        </w:trPr>
        <w:tc>
          <w:tcPr>
            <w:tcW w:w="635" w:type="pct"/>
            <w:vMerge/>
            <w:tcBorders>
              <w:left w:val="single" w:sz="4" w:space="0" w:color="auto"/>
              <w:right w:val="single" w:sz="4" w:space="0" w:color="auto"/>
            </w:tcBorders>
            <w:vAlign w:val="center"/>
          </w:tcPr>
          <w:p w:rsidR="00EE56C0" w:rsidRDefault="00EE56C0">
            <w:pPr>
              <w:pStyle w:val="afa"/>
            </w:pPr>
          </w:p>
        </w:tc>
        <w:tc>
          <w:tcPr>
            <w:tcW w:w="683" w:type="pct"/>
            <w:tcBorders>
              <w:top w:val="single" w:sz="4" w:space="0" w:color="auto"/>
              <w:left w:val="single" w:sz="4" w:space="0" w:color="auto"/>
              <w:bottom w:val="single" w:sz="4" w:space="0" w:color="auto"/>
              <w:right w:val="single" w:sz="4" w:space="0" w:color="000000"/>
            </w:tcBorders>
            <w:vAlign w:val="center"/>
          </w:tcPr>
          <w:p w:rsidR="00EE56C0" w:rsidRDefault="000F36A1">
            <w:pPr>
              <w:pStyle w:val="afa"/>
            </w:pPr>
            <w:r>
              <w:rPr>
                <w:rFonts w:hint="eastAsia"/>
              </w:rPr>
              <w:t>合计</w:t>
            </w:r>
          </w:p>
        </w:tc>
        <w:tc>
          <w:tcPr>
            <w:tcW w:w="1152" w:type="pct"/>
            <w:tcBorders>
              <w:top w:val="single" w:sz="4" w:space="0" w:color="auto"/>
              <w:left w:val="single" w:sz="4" w:space="0" w:color="auto"/>
              <w:bottom w:val="single" w:sz="4" w:space="0" w:color="auto"/>
              <w:right w:val="nil"/>
            </w:tcBorders>
            <w:vAlign w:val="center"/>
          </w:tcPr>
          <w:p w:rsidR="00EE56C0" w:rsidRDefault="000F36A1">
            <w:pPr>
              <w:pStyle w:val="afa"/>
            </w:pPr>
            <w:r>
              <w:rPr>
                <w:rFonts w:eastAsia="宋体" w:hint="eastAsia"/>
              </w:rPr>
              <w:t>14.0570</w:t>
            </w:r>
          </w:p>
        </w:tc>
        <w:tc>
          <w:tcPr>
            <w:tcW w:w="1152" w:type="pct"/>
            <w:tcBorders>
              <w:top w:val="single" w:sz="4" w:space="0" w:color="auto"/>
              <w:left w:val="single" w:sz="4" w:space="0" w:color="auto"/>
              <w:bottom w:val="single" w:sz="4" w:space="0" w:color="auto"/>
              <w:right w:val="nil"/>
            </w:tcBorders>
            <w:vAlign w:val="center"/>
          </w:tcPr>
          <w:p w:rsidR="00EE56C0" w:rsidRDefault="000F36A1">
            <w:pPr>
              <w:pStyle w:val="afa"/>
              <w:rPr>
                <w:rFonts w:eastAsia="宋体"/>
                <w:u w:val="single"/>
              </w:rPr>
            </w:pPr>
            <w:r>
              <w:rPr>
                <w:u w:val="single"/>
              </w:rPr>
              <w:t xml:space="preserve">0.0935 </w:t>
            </w:r>
          </w:p>
        </w:tc>
        <w:tc>
          <w:tcPr>
            <w:tcW w:w="1378"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t>/</w:t>
            </w:r>
          </w:p>
        </w:tc>
      </w:tr>
      <w:tr w:rsidR="00EE56C0">
        <w:trPr>
          <w:trHeight w:val="454"/>
          <w:jc w:val="center"/>
        </w:trPr>
        <w:tc>
          <w:tcPr>
            <w:tcW w:w="635" w:type="pct"/>
            <w:vMerge w:val="restart"/>
            <w:tcBorders>
              <w:left w:val="single" w:sz="4" w:space="0" w:color="auto"/>
              <w:right w:val="single" w:sz="4" w:space="0" w:color="auto"/>
            </w:tcBorders>
            <w:vAlign w:val="center"/>
          </w:tcPr>
          <w:p w:rsidR="00EE56C0" w:rsidRDefault="000F36A1">
            <w:pPr>
              <w:pStyle w:val="afa"/>
            </w:pPr>
            <w:r>
              <w:rPr>
                <w:rFonts w:hint="eastAsia"/>
              </w:rPr>
              <w:t>无组织</w:t>
            </w:r>
          </w:p>
        </w:tc>
        <w:tc>
          <w:tcPr>
            <w:tcW w:w="683" w:type="pct"/>
            <w:tcBorders>
              <w:top w:val="single" w:sz="4" w:space="0" w:color="auto"/>
              <w:left w:val="single" w:sz="4" w:space="0" w:color="auto"/>
              <w:bottom w:val="single" w:sz="4" w:space="0" w:color="auto"/>
              <w:right w:val="single" w:sz="4" w:space="0" w:color="000000"/>
            </w:tcBorders>
            <w:vAlign w:val="center"/>
          </w:tcPr>
          <w:p w:rsidR="00EE56C0" w:rsidRDefault="000F36A1">
            <w:pPr>
              <w:pStyle w:val="afa"/>
            </w:pPr>
            <w:r>
              <w:rPr>
                <w:rFonts w:hint="eastAsia"/>
              </w:rPr>
              <w:t>酚</w:t>
            </w:r>
          </w:p>
        </w:tc>
        <w:tc>
          <w:tcPr>
            <w:tcW w:w="1152" w:type="pct"/>
            <w:tcBorders>
              <w:top w:val="single" w:sz="4" w:space="0" w:color="auto"/>
              <w:left w:val="single" w:sz="4" w:space="0" w:color="auto"/>
              <w:bottom w:val="single" w:sz="4" w:space="0" w:color="auto"/>
              <w:right w:val="nil"/>
            </w:tcBorders>
            <w:vAlign w:val="center"/>
          </w:tcPr>
          <w:p w:rsidR="00EE56C0" w:rsidRDefault="000F36A1">
            <w:pPr>
              <w:pStyle w:val="afa"/>
              <w:rPr>
                <w:rFonts w:eastAsia="宋体"/>
              </w:rPr>
            </w:pPr>
            <w:r>
              <w:t xml:space="preserve">0.9267 </w:t>
            </w:r>
          </w:p>
        </w:tc>
        <w:tc>
          <w:tcPr>
            <w:tcW w:w="1152" w:type="pct"/>
            <w:tcBorders>
              <w:top w:val="single" w:sz="4" w:space="0" w:color="auto"/>
              <w:left w:val="single" w:sz="4" w:space="0" w:color="auto"/>
              <w:bottom w:val="single" w:sz="4" w:space="0" w:color="auto"/>
              <w:right w:val="nil"/>
            </w:tcBorders>
            <w:vAlign w:val="center"/>
          </w:tcPr>
          <w:p w:rsidR="00EE56C0" w:rsidRDefault="000F36A1">
            <w:pPr>
              <w:pStyle w:val="afa"/>
              <w:rPr>
                <w:rFonts w:eastAsia="宋体"/>
              </w:rPr>
            </w:pPr>
            <w:r>
              <w:t xml:space="preserve">0.9267 </w:t>
            </w:r>
          </w:p>
        </w:tc>
        <w:tc>
          <w:tcPr>
            <w:tcW w:w="1378"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rPr>
                <w:rFonts w:hint="eastAsia"/>
              </w:rPr>
              <w:t>/</w:t>
            </w:r>
          </w:p>
        </w:tc>
      </w:tr>
      <w:tr w:rsidR="00EE56C0">
        <w:trPr>
          <w:trHeight w:val="454"/>
          <w:jc w:val="center"/>
        </w:trPr>
        <w:tc>
          <w:tcPr>
            <w:tcW w:w="635" w:type="pct"/>
            <w:vMerge/>
            <w:tcBorders>
              <w:left w:val="single" w:sz="4" w:space="0" w:color="auto"/>
              <w:right w:val="single" w:sz="4" w:space="0" w:color="auto"/>
            </w:tcBorders>
            <w:vAlign w:val="center"/>
          </w:tcPr>
          <w:p w:rsidR="00EE56C0" w:rsidRDefault="00EE56C0">
            <w:pPr>
              <w:pStyle w:val="afa"/>
            </w:pPr>
          </w:p>
        </w:tc>
        <w:tc>
          <w:tcPr>
            <w:tcW w:w="683" w:type="pct"/>
            <w:tcBorders>
              <w:top w:val="single" w:sz="4" w:space="0" w:color="auto"/>
              <w:left w:val="single" w:sz="4" w:space="0" w:color="auto"/>
              <w:bottom w:val="single" w:sz="4" w:space="0" w:color="auto"/>
              <w:right w:val="single" w:sz="4" w:space="0" w:color="000000"/>
            </w:tcBorders>
            <w:vAlign w:val="center"/>
          </w:tcPr>
          <w:p w:rsidR="00EE56C0" w:rsidRDefault="000F36A1">
            <w:pPr>
              <w:pStyle w:val="afa"/>
            </w:pPr>
            <w:r>
              <w:t>非甲烷总烃</w:t>
            </w:r>
          </w:p>
        </w:tc>
        <w:tc>
          <w:tcPr>
            <w:tcW w:w="1152" w:type="pct"/>
            <w:tcBorders>
              <w:top w:val="single" w:sz="4" w:space="0" w:color="auto"/>
              <w:left w:val="single" w:sz="4" w:space="0" w:color="auto"/>
              <w:bottom w:val="single" w:sz="4" w:space="0" w:color="auto"/>
              <w:right w:val="nil"/>
            </w:tcBorders>
            <w:vAlign w:val="center"/>
          </w:tcPr>
          <w:p w:rsidR="00EE56C0" w:rsidRDefault="000F36A1">
            <w:pPr>
              <w:pStyle w:val="afa"/>
              <w:rPr>
                <w:rFonts w:eastAsia="宋体"/>
              </w:rPr>
            </w:pPr>
            <w:r>
              <w:t xml:space="preserve">0.6836 </w:t>
            </w:r>
          </w:p>
        </w:tc>
        <w:tc>
          <w:tcPr>
            <w:tcW w:w="1152" w:type="pct"/>
            <w:tcBorders>
              <w:top w:val="single" w:sz="4" w:space="0" w:color="auto"/>
              <w:left w:val="single" w:sz="4" w:space="0" w:color="auto"/>
              <w:bottom w:val="single" w:sz="4" w:space="0" w:color="auto"/>
              <w:right w:val="nil"/>
            </w:tcBorders>
            <w:vAlign w:val="center"/>
          </w:tcPr>
          <w:p w:rsidR="00EE56C0" w:rsidRDefault="000F36A1">
            <w:pPr>
              <w:pStyle w:val="afa"/>
              <w:rPr>
                <w:rFonts w:eastAsia="宋体"/>
              </w:rPr>
            </w:pPr>
            <w:r>
              <w:t xml:space="preserve">0.6836 </w:t>
            </w:r>
          </w:p>
        </w:tc>
        <w:tc>
          <w:tcPr>
            <w:tcW w:w="1378"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rPr>
                <w:rFonts w:hint="eastAsia"/>
              </w:rPr>
              <w:t>/</w:t>
            </w:r>
          </w:p>
        </w:tc>
      </w:tr>
      <w:tr w:rsidR="00EE56C0">
        <w:trPr>
          <w:trHeight w:val="454"/>
          <w:jc w:val="center"/>
        </w:trPr>
        <w:tc>
          <w:tcPr>
            <w:tcW w:w="635" w:type="pct"/>
            <w:vMerge/>
            <w:tcBorders>
              <w:left w:val="single" w:sz="4" w:space="0" w:color="auto"/>
              <w:right w:val="single" w:sz="4" w:space="0" w:color="auto"/>
            </w:tcBorders>
            <w:vAlign w:val="center"/>
          </w:tcPr>
          <w:p w:rsidR="00EE56C0" w:rsidRDefault="00EE56C0">
            <w:pPr>
              <w:pStyle w:val="afa"/>
            </w:pPr>
          </w:p>
        </w:tc>
        <w:tc>
          <w:tcPr>
            <w:tcW w:w="683" w:type="pct"/>
            <w:tcBorders>
              <w:top w:val="single" w:sz="4" w:space="0" w:color="auto"/>
              <w:left w:val="single" w:sz="4" w:space="0" w:color="auto"/>
              <w:bottom w:val="single" w:sz="4" w:space="0" w:color="auto"/>
              <w:right w:val="single" w:sz="4" w:space="0" w:color="000000"/>
            </w:tcBorders>
            <w:vAlign w:val="center"/>
          </w:tcPr>
          <w:p w:rsidR="00EE56C0" w:rsidRDefault="000F36A1">
            <w:pPr>
              <w:pStyle w:val="afa"/>
            </w:pPr>
            <w:r>
              <w:rPr>
                <w:rFonts w:hint="eastAsia"/>
              </w:rPr>
              <w:t>二甲苯</w:t>
            </w:r>
          </w:p>
        </w:tc>
        <w:tc>
          <w:tcPr>
            <w:tcW w:w="1152" w:type="pct"/>
            <w:tcBorders>
              <w:top w:val="single" w:sz="4" w:space="0" w:color="auto"/>
              <w:left w:val="single" w:sz="4" w:space="0" w:color="auto"/>
              <w:bottom w:val="single" w:sz="4" w:space="0" w:color="auto"/>
              <w:right w:val="nil"/>
            </w:tcBorders>
            <w:vAlign w:val="center"/>
          </w:tcPr>
          <w:p w:rsidR="00EE56C0" w:rsidRDefault="000F36A1">
            <w:pPr>
              <w:pStyle w:val="afa"/>
              <w:rPr>
                <w:rFonts w:eastAsia="宋体"/>
              </w:rPr>
            </w:pPr>
            <w:r>
              <w:t xml:space="preserve">0.1999 </w:t>
            </w:r>
          </w:p>
        </w:tc>
        <w:tc>
          <w:tcPr>
            <w:tcW w:w="1152" w:type="pct"/>
            <w:tcBorders>
              <w:top w:val="single" w:sz="4" w:space="0" w:color="auto"/>
              <w:left w:val="single" w:sz="4" w:space="0" w:color="auto"/>
              <w:bottom w:val="single" w:sz="4" w:space="0" w:color="auto"/>
              <w:right w:val="nil"/>
            </w:tcBorders>
            <w:vAlign w:val="center"/>
          </w:tcPr>
          <w:p w:rsidR="00EE56C0" w:rsidRDefault="000F36A1">
            <w:pPr>
              <w:pStyle w:val="afa"/>
              <w:rPr>
                <w:rFonts w:eastAsia="宋体"/>
              </w:rPr>
            </w:pPr>
            <w:r>
              <w:t xml:space="preserve">0.1999 </w:t>
            </w:r>
          </w:p>
        </w:tc>
        <w:tc>
          <w:tcPr>
            <w:tcW w:w="1378"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rPr>
                <w:rFonts w:hint="eastAsia"/>
              </w:rPr>
              <w:t>/</w:t>
            </w:r>
          </w:p>
        </w:tc>
      </w:tr>
      <w:tr w:rsidR="00EE56C0">
        <w:trPr>
          <w:trHeight w:val="454"/>
          <w:jc w:val="center"/>
        </w:trPr>
        <w:tc>
          <w:tcPr>
            <w:tcW w:w="635" w:type="pct"/>
            <w:vMerge/>
            <w:tcBorders>
              <w:left w:val="single" w:sz="4" w:space="0" w:color="auto"/>
              <w:right w:val="single" w:sz="4" w:space="0" w:color="auto"/>
            </w:tcBorders>
            <w:vAlign w:val="center"/>
          </w:tcPr>
          <w:p w:rsidR="00EE56C0" w:rsidRDefault="00EE56C0">
            <w:pPr>
              <w:pStyle w:val="afa"/>
            </w:pPr>
          </w:p>
        </w:tc>
        <w:tc>
          <w:tcPr>
            <w:tcW w:w="683" w:type="pct"/>
            <w:tcBorders>
              <w:top w:val="single" w:sz="4" w:space="0" w:color="auto"/>
              <w:left w:val="single" w:sz="4" w:space="0" w:color="auto"/>
              <w:bottom w:val="single" w:sz="4" w:space="0" w:color="auto"/>
              <w:right w:val="single" w:sz="4" w:space="0" w:color="000000"/>
            </w:tcBorders>
            <w:vAlign w:val="center"/>
          </w:tcPr>
          <w:p w:rsidR="00EE56C0" w:rsidRDefault="000F36A1">
            <w:pPr>
              <w:pStyle w:val="afa"/>
            </w:pPr>
            <w:r>
              <w:rPr>
                <w:rFonts w:hint="eastAsia"/>
              </w:rPr>
              <w:t>甲苯</w:t>
            </w:r>
          </w:p>
        </w:tc>
        <w:tc>
          <w:tcPr>
            <w:tcW w:w="1152" w:type="pct"/>
            <w:tcBorders>
              <w:top w:val="single" w:sz="4" w:space="0" w:color="auto"/>
              <w:left w:val="single" w:sz="4" w:space="0" w:color="auto"/>
              <w:bottom w:val="single" w:sz="4" w:space="0" w:color="auto"/>
              <w:right w:val="nil"/>
            </w:tcBorders>
            <w:vAlign w:val="center"/>
          </w:tcPr>
          <w:p w:rsidR="00EE56C0" w:rsidRDefault="000F36A1">
            <w:pPr>
              <w:pStyle w:val="afa"/>
              <w:rPr>
                <w:rFonts w:eastAsia="宋体"/>
              </w:rPr>
            </w:pPr>
            <w:r>
              <w:t xml:space="preserve">0.0994 </w:t>
            </w:r>
          </w:p>
        </w:tc>
        <w:tc>
          <w:tcPr>
            <w:tcW w:w="1152" w:type="pct"/>
            <w:tcBorders>
              <w:top w:val="single" w:sz="4" w:space="0" w:color="auto"/>
              <w:left w:val="single" w:sz="4" w:space="0" w:color="auto"/>
              <w:bottom w:val="single" w:sz="4" w:space="0" w:color="auto"/>
              <w:right w:val="nil"/>
            </w:tcBorders>
            <w:vAlign w:val="center"/>
          </w:tcPr>
          <w:p w:rsidR="00EE56C0" w:rsidRDefault="000F36A1">
            <w:pPr>
              <w:pStyle w:val="afa"/>
              <w:rPr>
                <w:rFonts w:eastAsia="宋体"/>
              </w:rPr>
            </w:pPr>
            <w:r>
              <w:t xml:space="preserve">0.0994 </w:t>
            </w:r>
          </w:p>
        </w:tc>
        <w:tc>
          <w:tcPr>
            <w:tcW w:w="1378"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rPr>
                <w:rFonts w:hint="eastAsia"/>
              </w:rPr>
              <w:t>/</w:t>
            </w:r>
          </w:p>
        </w:tc>
      </w:tr>
      <w:tr w:rsidR="00EE56C0">
        <w:trPr>
          <w:trHeight w:val="547"/>
          <w:jc w:val="center"/>
        </w:trPr>
        <w:tc>
          <w:tcPr>
            <w:tcW w:w="635" w:type="pct"/>
            <w:vMerge/>
            <w:tcBorders>
              <w:left w:val="single" w:sz="4" w:space="0" w:color="auto"/>
              <w:right w:val="single" w:sz="4" w:space="0" w:color="auto"/>
            </w:tcBorders>
            <w:vAlign w:val="center"/>
          </w:tcPr>
          <w:p w:rsidR="00EE56C0" w:rsidRDefault="00EE56C0">
            <w:pPr>
              <w:pStyle w:val="afa"/>
            </w:pPr>
          </w:p>
        </w:tc>
        <w:tc>
          <w:tcPr>
            <w:tcW w:w="683" w:type="pct"/>
            <w:tcBorders>
              <w:top w:val="single" w:sz="4" w:space="0" w:color="auto"/>
              <w:left w:val="single" w:sz="4" w:space="0" w:color="auto"/>
              <w:bottom w:val="single" w:sz="4" w:space="0" w:color="auto"/>
              <w:right w:val="single" w:sz="4" w:space="0" w:color="000000"/>
            </w:tcBorders>
            <w:vAlign w:val="center"/>
          </w:tcPr>
          <w:p w:rsidR="00EE56C0" w:rsidRDefault="000F36A1">
            <w:pPr>
              <w:pStyle w:val="afa"/>
              <w:rPr>
                <w:highlight w:val="yellow"/>
              </w:rPr>
            </w:pPr>
            <w:r>
              <w:rPr>
                <w:rFonts w:hint="eastAsia"/>
              </w:rPr>
              <w:t>苯</w:t>
            </w:r>
          </w:p>
        </w:tc>
        <w:tc>
          <w:tcPr>
            <w:tcW w:w="1152" w:type="pct"/>
            <w:tcBorders>
              <w:top w:val="single" w:sz="4" w:space="0" w:color="auto"/>
              <w:left w:val="single" w:sz="4" w:space="0" w:color="auto"/>
              <w:bottom w:val="single" w:sz="4" w:space="0" w:color="auto"/>
              <w:right w:val="nil"/>
            </w:tcBorders>
            <w:vAlign w:val="center"/>
          </w:tcPr>
          <w:p w:rsidR="00EE56C0" w:rsidRDefault="000F36A1">
            <w:pPr>
              <w:pStyle w:val="afa"/>
              <w:rPr>
                <w:rFonts w:eastAsia="宋体"/>
              </w:rPr>
            </w:pPr>
            <w:r>
              <w:t xml:space="preserve">0.0332 </w:t>
            </w:r>
          </w:p>
        </w:tc>
        <w:tc>
          <w:tcPr>
            <w:tcW w:w="1152" w:type="pct"/>
            <w:tcBorders>
              <w:top w:val="single" w:sz="4" w:space="0" w:color="auto"/>
              <w:left w:val="single" w:sz="4" w:space="0" w:color="auto"/>
              <w:bottom w:val="single" w:sz="4" w:space="0" w:color="auto"/>
              <w:right w:val="nil"/>
            </w:tcBorders>
            <w:vAlign w:val="center"/>
          </w:tcPr>
          <w:p w:rsidR="00EE56C0" w:rsidRDefault="000F36A1">
            <w:pPr>
              <w:pStyle w:val="afa"/>
              <w:rPr>
                <w:rFonts w:eastAsia="宋体"/>
              </w:rPr>
            </w:pPr>
            <w:r>
              <w:t xml:space="preserve">0.0332 </w:t>
            </w:r>
          </w:p>
        </w:tc>
        <w:tc>
          <w:tcPr>
            <w:tcW w:w="1378"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rPr>
                <w:rFonts w:hint="eastAsia"/>
              </w:rPr>
              <w:t>/</w:t>
            </w:r>
          </w:p>
        </w:tc>
      </w:tr>
      <w:tr w:rsidR="00EE56C0">
        <w:trPr>
          <w:trHeight w:val="454"/>
          <w:jc w:val="center"/>
        </w:trPr>
        <w:tc>
          <w:tcPr>
            <w:tcW w:w="635" w:type="pct"/>
            <w:vMerge/>
            <w:tcBorders>
              <w:left w:val="single" w:sz="4" w:space="0" w:color="auto"/>
              <w:bottom w:val="single" w:sz="4" w:space="0" w:color="auto"/>
              <w:right w:val="single" w:sz="4" w:space="0" w:color="auto"/>
            </w:tcBorders>
            <w:vAlign w:val="center"/>
          </w:tcPr>
          <w:p w:rsidR="00EE56C0" w:rsidRDefault="00EE56C0">
            <w:pPr>
              <w:pStyle w:val="afa"/>
            </w:pPr>
          </w:p>
        </w:tc>
        <w:tc>
          <w:tcPr>
            <w:tcW w:w="683" w:type="pct"/>
            <w:tcBorders>
              <w:top w:val="single" w:sz="4" w:space="0" w:color="auto"/>
              <w:left w:val="single" w:sz="4" w:space="0" w:color="auto"/>
              <w:bottom w:val="single" w:sz="4" w:space="0" w:color="auto"/>
              <w:right w:val="single" w:sz="4" w:space="0" w:color="000000"/>
            </w:tcBorders>
            <w:vAlign w:val="center"/>
          </w:tcPr>
          <w:p w:rsidR="00EE56C0" w:rsidRDefault="000F36A1">
            <w:pPr>
              <w:pStyle w:val="afa"/>
            </w:pPr>
            <w:r>
              <w:rPr>
                <w:rFonts w:hint="eastAsia"/>
              </w:rPr>
              <w:t>总计</w:t>
            </w:r>
          </w:p>
        </w:tc>
        <w:tc>
          <w:tcPr>
            <w:tcW w:w="1152" w:type="pct"/>
            <w:tcBorders>
              <w:top w:val="single" w:sz="4" w:space="0" w:color="auto"/>
              <w:left w:val="single" w:sz="4" w:space="0" w:color="auto"/>
              <w:bottom w:val="single" w:sz="4" w:space="0" w:color="auto"/>
              <w:right w:val="nil"/>
            </w:tcBorders>
            <w:vAlign w:val="center"/>
          </w:tcPr>
          <w:p w:rsidR="00EE56C0" w:rsidRDefault="000F36A1">
            <w:pPr>
              <w:pStyle w:val="afa"/>
            </w:pPr>
            <w:r>
              <w:rPr>
                <w:rFonts w:hint="eastAsia"/>
              </w:rPr>
              <w:t>1.9428</w:t>
            </w:r>
          </w:p>
        </w:tc>
        <w:tc>
          <w:tcPr>
            <w:tcW w:w="1152" w:type="pct"/>
            <w:tcBorders>
              <w:top w:val="single" w:sz="4" w:space="0" w:color="auto"/>
              <w:left w:val="single" w:sz="4" w:space="0" w:color="auto"/>
              <w:bottom w:val="single" w:sz="4" w:space="0" w:color="auto"/>
              <w:right w:val="nil"/>
            </w:tcBorders>
            <w:vAlign w:val="center"/>
          </w:tcPr>
          <w:p w:rsidR="00EE56C0" w:rsidRDefault="000F36A1">
            <w:pPr>
              <w:pStyle w:val="afa"/>
            </w:pPr>
            <w:r>
              <w:rPr>
                <w:rFonts w:hint="eastAsia"/>
              </w:rPr>
              <w:t>1.9428</w:t>
            </w:r>
          </w:p>
        </w:tc>
        <w:tc>
          <w:tcPr>
            <w:tcW w:w="1378" w:type="pct"/>
            <w:tcBorders>
              <w:top w:val="single" w:sz="4" w:space="0" w:color="auto"/>
              <w:left w:val="single" w:sz="4" w:space="0" w:color="auto"/>
              <w:bottom w:val="single" w:sz="4" w:space="0" w:color="auto"/>
              <w:right w:val="single" w:sz="4" w:space="0" w:color="auto"/>
            </w:tcBorders>
            <w:vAlign w:val="center"/>
          </w:tcPr>
          <w:p w:rsidR="00EE56C0" w:rsidRDefault="000F36A1">
            <w:pPr>
              <w:pStyle w:val="afa"/>
            </w:pPr>
            <w:r>
              <w:rPr>
                <w:rFonts w:hint="eastAsia"/>
              </w:rPr>
              <w:t>/</w:t>
            </w:r>
          </w:p>
        </w:tc>
      </w:tr>
    </w:tbl>
    <w:p w:rsidR="00EE56C0" w:rsidRDefault="00EE56C0">
      <w:pPr>
        <w:pStyle w:val="afd"/>
        <w:spacing w:before="120" w:after="120"/>
        <w:ind w:firstLine="482"/>
      </w:pPr>
    </w:p>
    <w:p w:rsidR="00EE56C0" w:rsidRDefault="00EE56C0">
      <w:pPr>
        <w:pStyle w:val="afd"/>
        <w:spacing w:before="120" w:after="120"/>
        <w:ind w:firstLine="482"/>
      </w:pPr>
    </w:p>
    <w:p w:rsidR="00EE56C0" w:rsidRDefault="00EE56C0">
      <w:pPr>
        <w:pStyle w:val="afd"/>
        <w:spacing w:before="120" w:after="120"/>
        <w:ind w:firstLine="482"/>
      </w:pPr>
    </w:p>
    <w:p w:rsidR="00EE56C0" w:rsidRDefault="00EE56C0">
      <w:pPr>
        <w:pStyle w:val="afd"/>
        <w:spacing w:before="120" w:after="120"/>
        <w:ind w:firstLine="482"/>
      </w:pPr>
    </w:p>
    <w:p w:rsidR="00EE56C0" w:rsidRDefault="00EE56C0">
      <w:pPr>
        <w:pStyle w:val="afd"/>
        <w:spacing w:before="120" w:after="120"/>
        <w:ind w:firstLine="482"/>
      </w:pPr>
    </w:p>
    <w:p w:rsidR="00EE56C0" w:rsidRDefault="000F36A1">
      <w:pPr>
        <w:pStyle w:val="afd"/>
        <w:spacing w:before="120" w:after="120"/>
        <w:ind w:firstLine="482"/>
      </w:pPr>
      <w:r>
        <w:rPr>
          <w:rFonts w:hint="eastAsia"/>
        </w:rPr>
        <w:lastRenderedPageBreak/>
        <w:t>表</w:t>
      </w:r>
      <w:r>
        <w:rPr>
          <w:rFonts w:hint="eastAsia"/>
        </w:rPr>
        <w:t>8-</w:t>
      </w:r>
      <w:r w:rsidR="005767FB">
        <w:rPr>
          <w:rFonts w:hint="eastAsia"/>
        </w:rPr>
        <w:t>7</w:t>
      </w:r>
      <w:r>
        <w:rPr>
          <w:rFonts w:hint="eastAsia"/>
        </w:rPr>
        <w:t xml:space="preserve">         </w:t>
      </w:r>
      <w:r>
        <w:rPr>
          <w:rFonts w:hint="eastAsia"/>
        </w:rPr>
        <w:t>一期新增废水污染物产排情况</w:t>
      </w:r>
      <w:r>
        <w:rPr>
          <w:rFonts w:hint="eastAsia"/>
        </w:rPr>
        <w:t xml:space="preserve">       </w:t>
      </w:r>
      <w:r>
        <w:rPr>
          <w:rFonts w:hint="eastAsia"/>
        </w:rPr>
        <w:t>单位：</w:t>
      </w:r>
      <w:r>
        <w:rPr>
          <w:rFonts w:hint="eastAsia"/>
        </w:rPr>
        <w:t>t/a</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1243"/>
        <w:gridCol w:w="1276"/>
        <w:gridCol w:w="1276"/>
        <w:gridCol w:w="1438"/>
        <w:gridCol w:w="1648"/>
        <w:gridCol w:w="1648"/>
      </w:tblGrid>
      <w:tr w:rsidR="00EE56C0">
        <w:trPr>
          <w:trHeight w:val="425"/>
          <w:jc w:val="center"/>
        </w:trPr>
        <w:tc>
          <w:tcPr>
            <w:tcW w:w="729" w:type="pct"/>
            <w:vAlign w:val="center"/>
          </w:tcPr>
          <w:p w:rsidR="00EE56C0" w:rsidRDefault="000F36A1">
            <w:pPr>
              <w:pStyle w:val="aff1"/>
              <w:rPr>
                <w:color w:val="auto"/>
              </w:rPr>
            </w:pPr>
            <w:r>
              <w:rPr>
                <w:rFonts w:hint="eastAsia"/>
                <w:color w:val="auto"/>
              </w:rPr>
              <w:t>污染物</w:t>
            </w:r>
          </w:p>
        </w:tc>
        <w:tc>
          <w:tcPr>
            <w:tcW w:w="748" w:type="pct"/>
            <w:vAlign w:val="center"/>
          </w:tcPr>
          <w:p w:rsidR="00EE56C0" w:rsidRDefault="000F36A1">
            <w:pPr>
              <w:pStyle w:val="aff1"/>
              <w:rPr>
                <w:color w:val="auto"/>
              </w:rPr>
            </w:pPr>
            <w:r>
              <w:rPr>
                <w:rFonts w:hint="eastAsia"/>
                <w:color w:val="auto"/>
              </w:rPr>
              <w:t>产生量</w:t>
            </w:r>
          </w:p>
        </w:tc>
        <w:tc>
          <w:tcPr>
            <w:tcW w:w="748" w:type="pct"/>
            <w:vAlign w:val="center"/>
          </w:tcPr>
          <w:p w:rsidR="00EE56C0" w:rsidRDefault="000F36A1">
            <w:pPr>
              <w:pStyle w:val="aff1"/>
              <w:rPr>
                <w:color w:val="auto"/>
              </w:rPr>
            </w:pPr>
            <w:r>
              <w:rPr>
                <w:rFonts w:hint="eastAsia"/>
                <w:color w:val="auto"/>
              </w:rPr>
              <w:t>削减量</w:t>
            </w:r>
          </w:p>
        </w:tc>
        <w:tc>
          <w:tcPr>
            <w:tcW w:w="843" w:type="pct"/>
            <w:vAlign w:val="center"/>
          </w:tcPr>
          <w:p w:rsidR="00EE56C0" w:rsidRDefault="000F36A1">
            <w:pPr>
              <w:pStyle w:val="aff1"/>
              <w:rPr>
                <w:color w:val="auto"/>
              </w:rPr>
            </w:pPr>
            <w:r>
              <w:rPr>
                <w:rFonts w:hint="eastAsia"/>
                <w:color w:val="auto"/>
              </w:rPr>
              <w:t>排放量</w:t>
            </w:r>
          </w:p>
          <w:p w:rsidR="00EE56C0" w:rsidRDefault="000F36A1">
            <w:pPr>
              <w:pStyle w:val="aff1"/>
              <w:rPr>
                <w:color w:val="auto"/>
              </w:rPr>
            </w:pPr>
            <w:r>
              <w:rPr>
                <w:rFonts w:hint="eastAsia"/>
                <w:color w:val="auto"/>
              </w:rPr>
              <w:t>（总排口）</w:t>
            </w:r>
          </w:p>
        </w:tc>
        <w:tc>
          <w:tcPr>
            <w:tcW w:w="966" w:type="pct"/>
            <w:vAlign w:val="center"/>
          </w:tcPr>
          <w:p w:rsidR="00EE56C0" w:rsidRDefault="000F36A1">
            <w:pPr>
              <w:pStyle w:val="aff1"/>
              <w:rPr>
                <w:color w:val="auto"/>
              </w:rPr>
            </w:pPr>
            <w:r>
              <w:rPr>
                <w:rFonts w:hint="eastAsia"/>
                <w:color w:val="auto"/>
              </w:rPr>
              <w:t>排放量（新乡县综合污水处理厂出口）</w:t>
            </w:r>
          </w:p>
        </w:tc>
        <w:tc>
          <w:tcPr>
            <w:tcW w:w="966" w:type="pct"/>
            <w:vAlign w:val="center"/>
          </w:tcPr>
          <w:p w:rsidR="00EE56C0" w:rsidRDefault="000F36A1">
            <w:pPr>
              <w:pStyle w:val="aff1"/>
              <w:rPr>
                <w:color w:val="auto"/>
              </w:rPr>
            </w:pPr>
            <w:r>
              <w:rPr>
                <w:rFonts w:hint="eastAsia"/>
                <w:color w:val="auto"/>
              </w:rPr>
              <w:t>总量指标</w:t>
            </w:r>
          </w:p>
        </w:tc>
      </w:tr>
      <w:tr w:rsidR="00EE56C0">
        <w:trPr>
          <w:trHeight w:val="425"/>
          <w:jc w:val="center"/>
        </w:trPr>
        <w:tc>
          <w:tcPr>
            <w:tcW w:w="729" w:type="pct"/>
            <w:vAlign w:val="center"/>
          </w:tcPr>
          <w:p w:rsidR="00EE56C0" w:rsidRDefault="000F36A1">
            <w:pPr>
              <w:pStyle w:val="afa"/>
            </w:pPr>
            <w:r>
              <w:rPr>
                <w:rFonts w:hint="eastAsia"/>
              </w:rPr>
              <w:t>COD</w:t>
            </w:r>
          </w:p>
        </w:tc>
        <w:tc>
          <w:tcPr>
            <w:tcW w:w="748" w:type="pct"/>
            <w:vAlign w:val="center"/>
          </w:tcPr>
          <w:p w:rsidR="00EE56C0" w:rsidRDefault="000F36A1">
            <w:pPr>
              <w:pStyle w:val="afa"/>
              <w:rPr>
                <w:rFonts w:eastAsia="宋体"/>
                <w:u w:val="single"/>
              </w:rPr>
            </w:pPr>
            <w:r>
              <w:rPr>
                <w:u w:val="single"/>
              </w:rPr>
              <w:t xml:space="preserve">0.1211 </w:t>
            </w:r>
          </w:p>
        </w:tc>
        <w:tc>
          <w:tcPr>
            <w:tcW w:w="748" w:type="pct"/>
            <w:vAlign w:val="center"/>
          </w:tcPr>
          <w:p w:rsidR="00EE56C0" w:rsidRDefault="000F36A1">
            <w:pPr>
              <w:pStyle w:val="afa"/>
              <w:rPr>
                <w:rFonts w:eastAsia="宋体"/>
                <w:u w:val="single"/>
              </w:rPr>
            </w:pPr>
            <w:r>
              <w:rPr>
                <w:u w:val="single"/>
              </w:rPr>
              <w:t xml:space="preserve">0.0374 </w:t>
            </w:r>
          </w:p>
        </w:tc>
        <w:tc>
          <w:tcPr>
            <w:tcW w:w="843" w:type="pct"/>
            <w:vAlign w:val="center"/>
          </w:tcPr>
          <w:p w:rsidR="00EE56C0" w:rsidRDefault="000F36A1">
            <w:pPr>
              <w:pStyle w:val="afa"/>
              <w:rPr>
                <w:rFonts w:eastAsia="宋体"/>
                <w:u w:val="single"/>
              </w:rPr>
            </w:pPr>
            <w:r>
              <w:rPr>
                <w:u w:val="single"/>
              </w:rPr>
              <w:t xml:space="preserve">0.0837 </w:t>
            </w:r>
          </w:p>
        </w:tc>
        <w:tc>
          <w:tcPr>
            <w:tcW w:w="966" w:type="pct"/>
            <w:vAlign w:val="center"/>
          </w:tcPr>
          <w:p w:rsidR="00EE56C0" w:rsidRDefault="000F36A1">
            <w:pPr>
              <w:pStyle w:val="afa"/>
              <w:rPr>
                <w:rFonts w:eastAsia="宋体"/>
                <w:u w:val="single"/>
              </w:rPr>
            </w:pPr>
            <w:r>
              <w:rPr>
                <w:u w:val="single"/>
              </w:rPr>
              <w:t xml:space="preserve">0.0178 </w:t>
            </w:r>
          </w:p>
        </w:tc>
        <w:tc>
          <w:tcPr>
            <w:tcW w:w="966" w:type="pct"/>
            <w:vAlign w:val="center"/>
          </w:tcPr>
          <w:p w:rsidR="00EE56C0" w:rsidRDefault="000F36A1">
            <w:pPr>
              <w:pStyle w:val="afa"/>
              <w:rPr>
                <w:rFonts w:ascii="宋体" w:eastAsia="宋体" w:hAnsi="宋体" w:cs="宋体"/>
                <w:u w:val="single"/>
              </w:rPr>
            </w:pPr>
            <w:r>
              <w:rPr>
                <w:rFonts w:hint="eastAsia"/>
                <w:u w:val="single"/>
              </w:rPr>
              <w:t xml:space="preserve">0.0178 </w:t>
            </w:r>
          </w:p>
        </w:tc>
      </w:tr>
      <w:tr w:rsidR="00EE56C0">
        <w:trPr>
          <w:trHeight w:val="425"/>
          <w:jc w:val="center"/>
        </w:trPr>
        <w:tc>
          <w:tcPr>
            <w:tcW w:w="729" w:type="pct"/>
            <w:vAlign w:val="center"/>
          </w:tcPr>
          <w:p w:rsidR="00EE56C0" w:rsidRDefault="000F36A1">
            <w:pPr>
              <w:pStyle w:val="afa"/>
            </w:pPr>
            <w:r>
              <w:rPr>
                <w:rFonts w:hint="eastAsia"/>
              </w:rPr>
              <w:t>NH</w:t>
            </w:r>
            <w:r>
              <w:rPr>
                <w:rFonts w:hint="eastAsia"/>
                <w:vertAlign w:val="subscript"/>
              </w:rPr>
              <w:t>3</w:t>
            </w:r>
            <w:r>
              <w:rPr>
                <w:rFonts w:hint="eastAsia"/>
              </w:rPr>
              <w:t>-N</w:t>
            </w:r>
          </w:p>
        </w:tc>
        <w:tc>
          <w:tcPr>
            <w:tcW w:w="748" w:type="pct"/>
            <w:vAlign w:val="center"/>
          </w:tcPr>
          <w:p w:rsidR="00EE56C0" w:rsidRDefault="000F36A1">
            <w:pPr>
              <w:pStyle w:val="afa"/>
              <w:rPr>
                <w:rFonts w:eastAsia="宋体"/>
                <w:u w:val="single"/>
              </w:rPr>
            </w:pPr>
            <w:r>
              <w:rPr>
                <w:u w:val="single"/>
              </w:rPr>
              <w:t xml:space="preserve">0.0086 </w:t>
            </w:r>
          </w:p>
        </w:tc>
        <w:tc>
          <w:tcPr>
            <w:tcW w:w="748" w:type="pct"/>
            <w:vAlign w:val="center"/>
          </w:tcPr>
          <w:p w:rsidR="00EE56C0" w:rsidRDefault="000F36A1">
            <w:pPr>
              <w:pStyle w:val="afa"/>
              <w:rPr>
                <w:rFonts w:eastAsia="宋体"/>
                <w:u w:val="single"/>
              </w:rPr>
            </w:pPr>
            <w:r>
              <w:rPr>
                <w:u w:val="single"/>
              </w:rPr>
              <w:t xml:space="preserve">0.0006 </w:t>
            </w:r>
          </w:p>
        </w:tc>
        <w:tc>
          <w:tcPr>
            <w:tcW w:w="843" w:type="pct"/>
            <w:vAlign w:val="center"/>
          </w:tcPr>
          <w:p w:rsidR="00EE56C0" w:rsidRDefault="000F36A1">
            <w:pPr>
              <w:pStyle w:val="afa"/>
              <w:rPr>
                <w:rFonts w:eastAsia="宋体"/>
                <w:u w:val="single"/>
              </w:rPr>
            </w:pPr>
            <w:r>
              <w:rPr>
                <w:u w:val="single"/>
              </w:rPr>
              <w:t xml:space="preserve">0.0080 </w:t>
            </w:r>
          </w:p>
        </w:tc>
        <w:tc>
          <w:tcPr>
            <w:tcW w:w="966" w:type="pct"/>
            <w:vAlign w:val="center"/>
          </w:tcPr>
          <w:p w:rsidR="00EE56C0" w:rsidRDefault="000F36A1">
            <w:pPr>
              <w:pStyle w:val="afa"/>
              <w:rPr>
                <w:rFonts w:eastAsia="宋体"/>
                <w:u w:val="single"/>
              </w:rPr>
            </w:pPr>
            <w:r>
              <w:rPr>
                <w:u w:val="single"/>
              </w:rPr>
              <w:t xml:space="preserve">0.0009 </w:t>
            </w:r>
          </w:p>
        </w:tc>
        <w:tc>
          <w:tcPr>
            <w:tcW w:w="966" w:type="pct"/>
            <w:vAlign w:val="center"/>
          </w:tcPr>
          <w:p w:rsidR="00EE56C0" w:rsidRDefault="000F36A1">
            <w:pPr>
              <w:pStyle w:val="afa"/>
              <w:rPr>
                <w:rFonts w:ascii="宋体" w:eastAsia="宋体" w:hAnsi="宋体" w:cs="宋体"/>
                <w:u w:val="single"/>
              </w:rPr>
            </w:pPr>
            <w:r>
              <w:rPr>
                <w:rFonts w:hint="eastAsia"/>
                <w:u w:val="single"/>
              </w:rPr>
              <w:t xml:space="preserve">0.0009 </w:t>
            </w:r>
          </w:p>
        </w:tc>
      </w:tr>
      <w:tr w:rsidR="00EE56C0">
        <w:trPr>
          <w:trHeight w:val="425"/>
          <w:jc w:val="center"/>
        </w:trPr>
        <w:tc>
          <w:tcPr>
            <w:tcW w:w="729" w:type="pct"/>
            <w:vAlign w:val="center"/>
          </w:tcPr>
          <w:p w:rsidR="00EE56C0" w:rsidRDefault="000F36A1">
            <w:pPr>
              <w:pStyle w:val="afa"/>
            </w:pPr>
            <w:r>
              <w:rPr>
                <w:rFonts w:hint="eastAsia"/>
              </w:rPr>
              <w:t>TP</w:t>
            </w:r>
          </w:p>
        </w:tc>
        <w:tc>
          <w:tcPr>
            <w:tcW w:w="748" w:type="pct"/>
            <w:vAlign w:val="center"/>
          </w:tcPr>
          <w:p w:rsidR="00EE56C0" w:rsidRDefault="000F36A1">
            <w:pPr>
              <w:pStyle w:val="afa"/>
              <w:rPr>
                <w:rFonts w:eastAsia="宋体"/>
                <w:u w:val="single"/>
              </w:rPr>
            </w:pPr>
            <w:r>
              <w:rPr>
                <w:u w:val="single"/>
              </w:rPr>
              <w:t xml:space="preserve">0.0014 </w:t>
            </w:r>
          </w:p>
        </w:tc>
        <w:tc>
          <w:tcPr>
            <w:tcW w:w="748" w:type="pct"/>
            <w:vAlign w:val="center"/>
          </w:tcPr>
          <w:p w:rsidR="00EE56C0" w:rsidRDefault="000F36A1">
            <w:pPr>
              <w:pStyle w:val="afa"/>
              <w:rPr>
                <w:rFonts w:eastAsia="宋体"/>
                <w:u w:val="single"/>
              </w:rPr>
            </w:pPr>
            <w:r>
              <w:rPr>
                <w:rFonts w:hint="eastAsia"/>
                <w:u w:val="single"/>
              </w:rPr>
              <w:t>0</w:t>
            </w:r>
          </w:p>
        </w:tc>
        <w:tc>
          <w:tcPr>
            <w:tcW w:w="843" w:type="pct"/>
            <w:vAlign w:val="center"/>
          </w:tcPr>
          <w:p w:rsidR="00EE56C0" w:rsidRDefault="000F36A1">
            <w:pPr>
              <w:pStyle w:val="afa"/>
              <w:rPr>
                <w:rFonts w:eastAsia="宋体"/>
                <w:u w:val="single"/>
              </w:rPr>
            </w:pPr>
            <w:r>
              <w:rPr>
                <w:u w:val="single"/>
              </w:rPr>
              <w:t xml:space="preserve">0.0014 </w:t>
            </w:r>
          </w:p>
        </w:tc>
        <w:tc>
          <w:tcPr>
            <w:tcW w:w="966" w:type="pct"/>
            <w:vAlign w:val="center"/>
          </w:tcPr>
          <w:p w:rsidR="00EE56C0" w:rsidRDefault="000F36A1">
            <w:pPr>
              <w:pStyle w:val="afa"/>
              <w:rPr>
                <w:rFonts w:eastAsia="宋体"/>
                <w:u w:val="single"/>
              </w:rPr>
            </w:pPr>
            <w:r>
              <w:rPr>
                <w:u w:val="single"/>
              </w:rPr>
              <w:t xml:space="preserve">0.0002 </w:t>
            </w:r>
          </w:p>
        </w:tc>
        <w:tc>
          <w:tcPr>
            <w:tcW w:w="966" w:type="pct"/>
            <w:vAlign w:val="center"/>
          </w:tcPr>
          <w:p w:rsidR="00EE56C0" w:rsidRDefault="000F36A1">
            <w:pPr>
              <w:pStyle w:val="afa"/>
              <w:rPr>
                <w:rFonts w:ascii="宋体" w:eastAsia="宋体" w:hAnsi="宋体" w:cs="宋体"/>
                <w:u w:val="single"/>
              </w:rPr>
            </w:pPr>
            <w:r>
              <w:rPr>
                <w:rFonts w:hint="eastAsia"/>
                <w:u w:val="single"/>
              </w:rPr>
              <w:t xml:space="preserve">0.0002 </w:t>
            </w:r>
          </w:p>
        </w:tc>
      </w:tr>
      <w:tr w:rsidR="00EE56C0">
        <w:trPr>
          <w:trHeight w:val="425"/>
          <w:jc w:val="center"/>
        </w:trPr>
        <w:tc>
          <w:tcPr>
            <w:tcW w:w="729" w:type="pct"/>
            <w:vAlign w:val="center"/>
          </w:tcPr>
          <w:p w:rsidR="00EE56C0" w:rsidRDefault="000F36A1">
            <w:pPr>
              <w:pStyle w:val="afa"/>
            </w:pPr>
            <w:r>
              <w:rPr>
                <w:rFonts w:hint="eastAsia"/>
              </w:rPr>
              <w:t>TN</w:t>
            </w:r>
          </w:p>
        </w:tc>
        <w:tc>
          <w:tcPr>
            <w:tcW w:w="748" w:type="pct"/>
            <w:vAlign w:val="center"/>
          </w:tcPr>
          <w:p w:rsidR="00EE56C0" w:rsidRDefault="000F36A1">
            <w:pPr>
              <w:pStyle w:val="afa"/>
              <w:rPr>
                <w:rFonts w:eastAsia="宋体"/>
                <w:u w:val="single"/>
              </w:rPr>
            </w:pPr>
            <w:r>
              <w:rPr>
                <w:u w:val="single"/>
              </w:rPr>
              <w:t xml:space="preserve">0.0103 </w:t>
            </w:r>
          </w:p>
        </w:tc>
        <w:tc>
          <w:tcPr>
            <w:tcW w:w="748" w:type="pct"/>
            <w:vAlign w:val="center"/>
          </w:tcPr>
          <w:p w:rsidR="00EE56C0" w:rsidRDefault="000F36A1">
            <w:pPr>
              <w:pStyle w:val="afa"/>
              <w:rPr>
                <w:rFonts w:eastAsia="宋体"/>
                <w:u w:val="single"/>
              </w:rPr>
            </w:pPr>
            <w:r>
              <w:rPr>
                <w:u w:val="single"/>
              </w:rPr>
              <w:t xml:space="preserve">0.0006 </w:t>
            </w:r>
          </w:p>
        </w:tc>
        <w:tc>
          <w:tcPr>
            <w:tcW w:w="843" w:type="pct"/>
            <w:vAlign w:val="center"/>
          </w:tcPr>
          <w:p w:rsidR="00EE56C0" w:rsidRDefault="000F36A1">
            <w:pPr>
              <w:pStyle w:val="afa"/>
              <w:rPr>
                <w:rFonts w:eastAsia="宋体"/>
                <w:u w:val="single"/>
              </w:rPr>
            </w:pPr>
            <w:r>
              <w:rPr>
                <w:u w:val="single"/>
              </w:rPr>
              <w:t xml:space="preserve">0.0098 </w:t>
            </w:r>
          </w:p>
        </w:tc>
        <w:tc>
          <w:tcPr>
            <w:tcW w:w="966" w:type="pct"/>
            <w:vAlign w:val="center"/>
          </w:tcPr>
          <w:p w:rsidR="00EE56C0" w:rsidRDefault="000F36A1">
            <w:pPr>
              <w:pStyle w:val="afa"/>
              <w:rPr>
                <w:rFonts w:eastAsia="宋体"/>
                <w:u w:val="single"/>
              </w:rPr>
            </w:pPr>
            <w:r>
              <w:rPr>
                <w:u w:val="single"/>
              </w:rPr>
              <w:t xml:space="preserve">0.0067 </w:t>
            </w:r>
          </w:p>
        </w:tc>
        <w:tc>
          <w:tcPr>
            <w:tcW w:w="966" w:type="pct"/>
            <w:vAlign w:val="center"/>
          </w:tcPr>
          <w:p w:rsidR="00EE56C0" w:rsidRDefault="000F36A1">
            <w:pPr>
              <w:pStyle w:val="afa"/>
              <w:rPr>
                <w:rFonts w:ascii="宋体" w:eastAsia="宋体" w:hAnsi="宋体" w:cs="宋体"/>
                <w:u w:val="single"/>
              </w:rPr>
            </w:pPr>
            <w:r>
              <w:rPr>
                <w:rFonts w:hint="eastAsia"/>
                <w:u w:val="single"/>
              </w:rPr>
              <w:t>0.0067</w:t>
            </w:r>
          </w:p>
        </w:tc>
      </w:tr>
      <w:tr w:rsidR="00EE56C0">
        <w:trPr>
          <w:trHeight w:val="425"/>
          <w:jc w:val="center"/>
        </w:trPr>
        <w:tc>
          <w:tcPr>
            <w:tcW w:w="729" w:type="pct"/>
            <w:vAlign w:val="center"/>
          </w:tcPr>
          <w:p w:rsidR="00EE56C0" w:rsidRDefault="000F36A1">
            <w:pPr>
              <w:pStyle w:val="afa"/>
            </w:pPr>
            <w:r>
              <w:rPr>
                <w:rFonts w:hint="eastAsia"/>
              </w:rPr>
              <w:t>水量（</w:t>
            </w:r>
            <w:r>
              <w:rPr>
                <w:rFonts w:hint="eastAsia"/>
              </w:rPr>
              <w:t>t/a</w:t>
            </w:r>
            <w:r>
              <w:rPr>
                <w:rFonts w:hint="eastAsia"/>
              </w:rPr>
              <w:t>）</w:t>
            </w:r>
          </w:p>
        </w:tc>
        <w:tc>
          <w:tcPr>
            <w:tcW w:w="748" w:type="pct"/>
            <w:vAlign w:val="center"/>
          </w:tcPr>
          <w:p w:rsidR="00EE56C0" w:rsidRDefault="000F36A1">
            <w:pPr>
              <w:pStyle w:val="afa"/>
              <w:rPr>
                <w:rFonts w:eastAsia="宋体"/>
                <w:u w:val="single"/>
              </w:rPr>
            </w:pPr>
            <w:r>
              <w:rPr>
                <w:u w:val="single"/>
              </w:rPr>
              <w:t>444</w:t>
            </w:r>
          </w:p>
        </w:tc>
        <w:tc>
          <w:tcPr>
            <w:tcW w:w="748" w:type="pct"/>
            <w:vAlign w:val="center"/>
          </w:tcPr>
          <w:p w:rsidR="00EE56C0" w:rsidRDefault="000F36A1">
            <w:pPr>
              <w:pStyle w:val="afa"/>
              <w:rPr>
                <w:rFonts w:eastAsia="宋体"/>
                <w:u w:val="single"/>
              </w:rPr>
            </w:pPr>
            <w:r>
              <w:rPr>
                <w:u w:val="single"/>
              </w:rPr>
              <w:t>0</w:t>
            </w:r>
          </w:p>
        </w:tc>
        <w:tc>
          <w:tcPr>
            <w:tcW w:w="843" w:type="pct"/>
            <w:vAlign w:val="center"/>
          </w:tcPr>
          <w:p w:rsidR="00EE56C0" w:rsidRDefault="000F36A1">
            <w:pPr>
              <w:pStyle w:val="afa"/>
              <w:rPr>
                <w:rFonts w:eastAsia="宋体"/>
                <w:u w:val="single"/>
              </w:rPr>
            </w:pPr>
            <w:r>
              <w:rPr>
                <w:u w:val="single"/>
              </w:rPr>
              <w:t>444</w:t>
            </w:r>
          </w:p>
        </w:tc>
        <w:tc>
          <w:tcPr>
            <w:tcW w:w="966" w:type="pct"/>
            <w:vAlign w:val="center"/>
          </w:tcPr>
          <w:p w:rsidR="00EE56C0" w:rsidRDefault="000F36A1">
            <w:pPr>
              <w:pStyle w:val="afa"/>
              <w:rPr>
                <w:rFonts w:eastAsia="宋体"/>
                <w:u w:val="single"/>
              </w:rPr>
            </w:pPr>
            <w:r>
              <w:rPr>
                <w:u w:val="single"/>
              </w:rPr>
              <w:t>444</w:t>
            </w:r>
          </w:p>
        </w:tc>
        <w:tc>
          <w:tcPr>
            <w:tcW w:w="966" w:type="pct"/>
            <w:vAlign w:val="center"/>
          </w:tcPr>
          <w:p w:rsidR="00EE56C0" w:rsidRDefault="000F36A1">
            <w:pPr>
              <w:pStyle w:val="afa"/>
              <w:rPr>
                <w:u w:val="single"/>
              </w:rPr>
            </w:pPr>
            <w:r>
              <w:rPr>
                <w:u w:val="single"/>
              </w:rPr>
              <w:t>444</w:t>
            </w:r>
          </w:p>
        </w:tc>
      </w:tr>
    </w:tbl>
    <w:p w:rsidR="00EE56C0" w:rsidRDefault="000F36A1">
      <w:pPr>
        <w:pStyle w:val="afd"/>
        <w:spacing w:before="120" w:after="120"/>
        <w:ind w:firstLine="482"/>
      </w:pPr>
      <w:r>
        <w:rPr>
          <w:rFonts w:hint="eastAsia"/>
        </w:rPr>
        <w:t>表</w:t>
      </w:r>
      <w:r>
        <w:rPr>
          <w:rFonts w:hint="eastAsia"/>
        </w:rPr>
        <w:t>8-</w:t>
      </w:r>
      <w:r w:rsidR="005767FB">
        <w:rPr>
          <w:rFonts w:hint="eastAsia"/>
        </w:rPr>
        <w:t>8</w:t>
      </w:r>
      <w:r>
        <w:rPr>
          <w:rFonts w:hint="eastAsia"/>
        </w:rPr>
        <w:t xml:space="preserve">       </w:t>
      </w:r>
      <w:r>
        <w:rPr>
          <w:rFonts w:hint="eastAsia"/>
        </w:rPr>
        <w:t>二期新增废水污染物产排情况</w:t>
      </w:r>
      <w:r>
        <w:rPr>
          <w:rFonts w:hint="eastAsia"/>
        </w:rPr>
        <w:t xml:space="preserve">     </w:t>
      </w:r>
      <w:r>
        <w:rPr>
          <w:rFonts w:hint="eastAsia"/>
        </w:rPr>
        <w:t>单位：</w:t>
      </w:r>
      <w:r>
        <w:rPr>
          <w:rFonts w:hint="eastAsia"/>
        </w:rPr>
        <w:t>t/a</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1313"/>
        <w:gridCol w:w="1406"/>
        <w:gridCol w:w="1257"/>
        <w:gridCol w:w="1257"/>
        <w:gridCol w:w="1648"/>
        <w:gridCol w:w="1648"/>
      </w:tblGrid>
      <w:tr w:rsidR="00EE56C0">
        <w:trPr>
          <w:trHeight w:val="425"/>
          <w:jc w:val="center"/>
        </w:trPr>
        <w:tc>
          <w:tcPr>
            <w:tcW w:w="770" w:type="pct"/>
            <w:vAlign w:val="center"/>
          </w:tcPr>
          <w:p w:rsidR="00EE56C0" w:rsidRDefault="000F36A1">
            <w:pPr>
              <w:pStyle w:val="aff1"/>
              <w:rPr>
                <w:color w:val="auto"/>
              </w:rPr>
            </w:pPr>
            <w:r>
              <w:rPr>
                <w:rFonts w:hint="eastAsia"/>
                <w:color w:val="auto"/>
              </w:rPr>
              <w:t>污染物</w:t>
            </w:r>
          </w:p>
        </w:tc>
        <w:tc>
          <w:tcPr>
            <w:tcW w:w="824" w:type="pct"/>
            <w:vAlign w:val="center"/>
          </w:tcPr>
          <w:p w:rsidR="00EE56C0" w:rsidRDefault="000F36A1">
            <w:pPr>
              <w:pStyle w:val="aff1"/>
              <w:rPr>
                <w:color w:val="auto"/>
              </w:rPr>
            </w:pPr>
            <w:r>
              <w:rPr>
                <w:rFonts w:hint="eastAsia"/>
                <w:color w:val="auto"/>
              </w:rPr>
              <w:t>产生量</w:t>
            </w:r>
          </w:p>
        </w:tc>
        <w:tc>
          <w:tcPr>
            <w:tcW w:w="737" w:type="pct"/>
            <w:vAlign w:val="center"/>
          </w:tcPr>
          <w:p w:rsidR="00EE56C0" w:rsidRDefault="000F36A1">
            <w:pPr>
              <w:pStyle w:val="aff1"/>
              <w:rPr>
                <w:color w:val="auto"/>
              </w:rPr>
            </w:pPr>
            <w:r>
              <w:rPr>
                <w:rFonts w:hint="eastAsia"/>
                <w:color w:val="auto"/>
              </w:rPr>
              <w:t>削减量</w:t>
            </w:r>
          </w:p>
        </w:tc>
        <w:tc>
          <w:tcPr>
            <w:tcW w:w="737" w:type="pct"/>
            <w:vAlign w:val="center"/>
          </w:tcPr>
          <w:p w:rsidR="00EE56C0" w:rsidRDefault="000F36A1">
            <w:pPr>
              <w:pStyle w:val="aff1"/>
              <w:rPr>
                <w:color w:val="auto"/>
              </w:rPr>
            </w:pPr>
            <w:r>
              <w:rPr>
                <w:rFonts w:hint="eastAsia"/>
                <w:color w:val="auto"/>
              </w:rPr>
              <w:t>排放量</w:t>
            </w:r>
          </w:p>
          <w:p w:rsidR="00EE56C0" w:rsidRDefault="000F36A1">
            <w:pPr>
              <w:pStyle w:val="aff1"/>
              <w:rPr>
                <w:color w:val="auto"/>
              </w:rPr>
            </w:pPr>
            <w:r>
              <w:rPr>
                <w:rFonts w:hint="eastAsia"/>
                <w:color w:val="auto"/>
              </w:rPr>
              <w:t>（总排口）</w:t>
            </w:r>
          </w:p>
        </w:tc>
        <w:tc>
          <w:tcPr>
            <w:tcW w:w="966" w:type="pct"/>
            <w:vAlign w:val="center"/>
          </w:tcPr>
          <w:p w:rsidR="00EE56C0" w:rsidRDefault="000F36A1">
            <w:pPr>
              <w:pStyle w:val="aff1"/>
              <w:rPr>
                <w:color w:val="auto"/>
              </w:rPr>
            </w:pPr>
            <w:r>
              <w:rPr>
                <w:rFonts w:hint="eastAsia"/>
                <w:color w:val="auto"/>
              </w:rPr>
              <w:t>排放量（新乡县综合污水处理厂出口）</w:t>
            </w:r>
          </w:p>
        </w:tc>
        <w:tc>
          <w:tcPr>
            <w:tcW w:w="966" w:type="pct"/>
            <w:vAlign w:val="center"/>
          </w:tcPr>
          <w:p w:rsidR="00EE56C0" w:rsidRDefault="000F36A1">
            <w:pPr>
              <w:pStyle w:val="aff1"/>
              <w:rPr>
                <w:color w:val="auto"/>
              </w:rPr>
            </w:pPr>
            <w:r>
              <w:rPr>
                <w:rFonts w:hint="eastAsia"/>
                <w:color w:val="auto"/>
              </w:rPr>
              <w:t>总量指标</w:t>
            </w:r>
          </w:p>
        </w:tc>
      </w:tr>
      <w:tr w:rsidR="00EE56C0">
        <w:trPr>
          <w:trHeight w:val="425"/>
          <w:jc w:val="center"/>
        </w:trPr>
        <w:tc>
          <w:tcPr>
            <w:tcW w:w="770" w:type="pct"/>
            <w:vAlign w:val="center"/>
          </w:tcPr>
          <w:p w:rsidR="00EE56C0" w:rsidRDefault="000F36A1">
            <w:pPr>
              <w:pStyle w:val="afa"/>
            </w:pPr>
            <w:r>
              <w:rPr>
                <w:rFonts w:hint="eastAsia"/>
              </w:rPr>
              <w:t>COD</w:t>
            </w:r>
          </w:p>
        </w:tc>
        <w:tc>
          <w:tcPr>
            <w:tcW w:w="824" w:type="pct"/>
            <w:vAlign w:val="center"/>
          </w:tcPr>
          <w:p w:rsidR="00EE56C0" w:rsidRDefault="000F36A1">
            <w:pPr>
              <w:pStyle w:val="afa"/>
              <w:rPr>
                <w:rFonts w:eastAsia="宋体"/>
                <w:u w:val="single"/>
              </w:rPr>
            </w:pPr>
            <w:r>
              <w:rPr>
                <w:u w:val="single"/>
              </w:rPr>
              <w:t xml:space="preserve">0.4428 </w:t>
            </w:r>
          </w:p>
        </w:tc>
        <w:tc>
          <w:tcPr>
            <w:tcW w:w="737" w:type="pct"/>
            <w:vAlign w:val="center"/>
          </w:tcPr>
          <w:p w:rsidR="00EE56C0" w:rsidRDefault="000F36A1">
            <w:pPr>
              <w:pStyle w:val="afa"/>
              <w:rPr>
                <w:rFonts w:eastAsia="宋体"/>
                <w:u w:val="single"/>
              </w:rPr>
            </w:pPr>
            <w:r>
              <w:rPr>
                <w:u w:val="single"/>
              </w:rPr>
              <w:t xml:space="preserve">0.1539 </w:t>
            </w:r>
          </w:p>
        </w:tc>
        <w:tc>
          <w:tcPr>
            <w:tcW w:w="737" w:type="pct"/>
            <w:vAlign w:val="center"/>
          </w:tcPr>
          <w:p w:rsidR="00EE56C0" w:rsidRDefault="000F36A1">
            <w:pPr>
              <w:pStyle w:val="afa"/>
              <w:rPr>
                <w:rFonts w:eastAsia="宋体"/>
                <w:u w:val="single"/>
              </w:rPr>
            </w:pPr>
            <w:r>
              <w:rPr>
                <w:u w:val="single"/>
              </w:rPr>
              <w:t xml:space="preserve">0.2889 </w:t>
            </w:r>
          </w:p>
        </w:tc>
        <w:tc>
          <w:tcPr>
            <w:tcW w:w="966" w:type="pct"/>
            <w:vAlign w:val="center"/>
          </w:tcPr>
          <w:p w:rsidR="00EE56C0" w:rsidRDefault="000F36A1">
            <w:pPr>
              <w:pStyle w:val="afa"/>
              <w:rPr>
                <w:rFonts w:eastAsia="宋体"/>
                <w:u w:val="single"/>
              </w:rPr>
            </w:pPr>
            <w:r>
              <w:rPr>
                <w:u w:val="single"/>
              </w:rPr>
              <w:t xml:space="preserve">0.0649 </w:t>
            </w:r>
          </w:p>
        </w:tc>
        <w:tc>
          <w:tcPr>
            <w:tcW w:w="966" w:type="pct"/>
            <w:vAlign w:val="center"/>
          </w:tcPr>
          <w:p w:rsidR="00EE56C0" w:rsidRDefault="000F36A1">
            <w:pPr>
              <w:pStyle w:val="afa"/>
              <w:rPr>
                <w:rFonts w:eastAsia="宋体"/>
                <w:u w:val="single"/>
              </w:rPr>
            </w:pPr>
            <w:r>
              <w:rPr>
                <w:u w:val="single"/>
              </w:rPr>
              <w:t xml:space="preserve">0.0649 </w:t>
            </w:r>
          </w:p>
        </w:tc>
      </w:tr>
      <w:tr w:rsidR="00EE56C0">
        <w:trPr>
          <w:trHeight w:val="425"/>
          <w:jc w:val="center"/>
        </w:trPr>
        <w:tc>
          <w:tcPr>
            <w:tcW w:w="770" w:type="pct"/>
            <w:vAlign w:val="center"/>
          </w:tcPr>
          <w:p w:rsidR="00EE56C0" w:rsidRDefault="000F36A1">
            <w:pPr>
              <w:pStyle w:val="afa"/>
            </w:pPr>
            <w:r>
              <w:rPr>
                <w:rFonts w:hint="eastAsia"/>
              </w:rPr>
              <w:t>NH</w:t>
            </w:r>
            <w:r>
              <w:rPr>
                <w:rFonts w:hint="eastAsia"/>
                <w:vertAlign w:val="subscript"/>
              </w:rPr>
              <w:t>3</w:t>
            </w:r>
            <w:r>
              <w:rPr>
                <w:rFonts w:hint="eastAsia"/>
              </w:rPr>
              <w:t>-N</w:t>
            </w:r>
          </w:p>
        </w:tc>
        <w:tc>
          <w:tcPr>
            <w:tcW w:w="824" w:type="pct"/>
            <w:vAlign w:val="center"/>
          </w:tcPr>
          <w:p w:rsidR="00EE56C0" w:rsidRDefault="000F36A1">
            <w:pPr>
              <w:pStyle w:val="afa"/>
              <w:rPr>
                <w:rFonts w:eastAsia="宋体"/>
                <w:u w:val="single"/>
              </w:rPr>
            </w:pPr>
            <w:r>
              <w:rPr>
                <w:u w:val="single"/>
              </w:rPr>
              <w:t xml:space="preserve">0.0313 </w:t>
            </w:r>
          </w:p>
        </w:tc>
        <w:tc>
          <w:tcPr>
            <w:tcW w:w="737" w:type="pct"/>
            <w:vAlign w:val="center"/>
          </w:tcPr>
          <w:p w:rsidR="00EE56C0" w:rsidRDefault="000F36A1">
            <w:pPr>
              <w:pStyle w:val="afa"/>
              <w:rPr>
                <w:rFonts w:eastAsia="宋体"/>
                <w:u w:val="single"/>
              </w:rPr>
            </w:pPr>
            <w:r>
              <w:rPr>
                <w:u w:val="single"/>
              </w:rPr>
              <w:t xml:space="preserve">0.0035 </w:t>
            </w:r>
          </w:p>
        </w:tc>
        <w:tc>
          <w:tcPr>
            <w:tcW w:w="737" w:type="pct"/>
            <w:vAlign w:val="center"/>
          </w:tcPr>
          <w:p w:rsidR="00EE56C0" w:rsidRDefault="000F36A1">
            <w:pPr>
              <w:pStyle w:val="afa"/>
              <w:rPr>
                <w:rFonts w:eastAsia="宋体"/>
                <w:u w:val="single"/>
              </w:rPr>
            </w:pPr>
            <w:r>
              <w:rPr>
                <w:u w:val="single"/>
              </w:rPr>
              <w:t xml:space="preserve">0.0278 </w:t>
            </w:r>
          </w:p>
        </w:tc>
        <w:tc>
          <w:tcPr>
            <w:tcW w:w="966" w:type="pct"/>
            <w:vAlign w:val="center"/>
          </w:tcPr>
          <w:p w:rsidR="00EE56C0" w:rsidRDefault="000F36A1">
            <w:pPr>
              <w:pStyle w:val="afa"/>
              <w:rPr>
                <w:rFonts w:eastAsia="宋体"/>
                <w:u w:val="single"/>
              </w:rPr>
            </w:pPr>
            <w:r>
              <w:rPr>
                <w:u w:val="single"/>
              </w:rPr>
              <w:t xml:space="preserve">0.0032 </w:t>
            </w:r>
          </w:p>
        </w:tc>
        <w:tc>
          <w:tcPr>
            <w:tcW w:w="966" w:type="pct"/>
            <w:vAlign w:val="center"/>
          </w:tcPr>
          <w:p w:rsidR="00EE56C0" w:rsidRDefault="000F36A1">
            <w:pPr>
              <w:pStyle w:val="afa"/>
              <w:rPr>
                <w:rFonts w:eastAsia="宋体"/>
                <w:u w:val="single"/>
              </w:rPr>
            </w:pPr>
            <w:r>
              <w:rPr>
                <w:u w:val="single"/>
              </w:rPr>
              <w:t xml:space="preserve">0.0032 </w:t>
            </w:r>
          </w:p>
        </w:tc>
      </w:tr>
      <w:tr w:rsidR="00EE56C0">
        <w:trPr>
          <w:trHeight w:val="425"/>
          <w:jc w:val="center"/>
        </w:trPr>
        <w:tc>
          <w:tcPr>
            <w:tcW w:w="770" w:type="pct"/>
            <w:vAlign w:val="center"/>
          </w:tcPr>
          <w:p w:rsidR="00EE56C0" w:rsidRDefault="000F36A1">
            <w:pPr>
              <w:pStyle w:val="afa"/>
            </w:pPr>
            <w:r>
              <w:rPr>
                <w:rFonts w:hint="eastAsia"/>
              </w:rPr>
              <w:t>TP</w:t>
            </w:r>
          </w:p>
        </w:tc>
        <w:tc>
          <w:tcPr>
            <w:tcW w:w="824" w:type="pct"/>
            <w:vAlign w:val="center"/>
          </w:tcPr>
          <w:p w:rsidR="00EE56C0" w:rsidRDefault="000F36A1">
            <w:pPr>
              <w:pStyle w:val="afa"/>
              <w:rPr>
                <w:rFonts w:eastAsia="宋体"/>
                <w:u w:val="single"/>
              </w:rPr>
            </w:pPr>
            <w:r>
              <w:rPr>
                <w:u w:val="single"/>
              </w:rPr>
              <w:t xml:space="preserve">0.0051 </w:t>
            </w:r>
          </w:p>
        </w:tc>
        <w:tc>
          <w:tcPr>
            <w:tcW w:w="737" w:type="pct"/>
            <w:vAlign w:val="center"/>
          </w:tcPr>
          <w:p w:rsidR="00EE56C0" w:rsidRDefault="000F36A1">
            <w:pPr>
              <w:pStyle w:val="afa"/>
              <w:rPr>
                <w:rFonts w:eastAsia="宋体"/>
                <w:u w:val="single"/>
              </w:rPr>
            </w:pPr>
            <w:r>
              <w:rPr>
                <w:u w:val="single"/>
              </w:rPr>
              <w:t xml:space="preserve">0.0000 </w:t>
            </w:r>
          </w:p>
        </w:tc>
        <w:tc>
          <w:tcPr>
            <w:tcW w:w="737" w:type="pct"/>
            <w:vAlign w:val="center"/>
          </w:tcPr>
          <w:p w:rsidR="00EE56C0" w:rsidRDefault="000F36A1">
            <w:pPr>
              <w:pStyle w:val="afa"/>
              <w:rPr>
                <w:rFonts w:eastAsia="宋体"/>
                <w:u w:val="single"/>
              </w:rPr>
            </w:pPr>
            <w:r>
              <w:rPr>
                <w:u w:val="single"/>
              </w:rPr>
              <w:t>0.005</w:t>
            </w:r>
            <w:r>
              <w:rPr>
                <w:rFonts w:hint="eastAsia"/>
                <w:u w:val="single"/>
              </w:rPr>
              <w:t>1</w:t>
            </w:r>
          </w:p>
        </w:tc>
        <w:tc>
          <w:tcPr>
            <w:tcW w:w="966" w:type="pct"/>
            <w:vAlign w:val="center"/>
          </w:tcPr>
          <w:p w:rsidR="00EE56C0" w:rsidRDefault="000F36A1">
            <w:pPr>
              <w:pStyle w:val="afa"/>
              <w:rPr>
                <w:rFonts w:eastAsia="宋体"/>
                <w:u w:val="single"/>
              </w:rPr>
            </w:pPr>
            <w:r>
              <w:rPr>
                <w:u w:val="single"/>
              </w:rPr>
              <w:t xml:space="preserve">0.0006 </w:t>
            </w:r>
          </w:p>
        </w:tc>
        <w:tc>
          <w:tcPr>
            <w:tcW w:w="966" w:type="pct"/>
            <w:vAlign w:val="center"/>
          </w:tcPr>
          <w:p w:rsidR="00EE56C0" w:rsidRDefault="000F36A1">
            <w:pPr>
              <w:pStyle w:val="afa"/>
              <w:rPr>
                <w:rFonts w:eastAsia="宋体"/>
                <w:u w:val="single"/>
              </w:rPr>
            </w:pPr>
            <w:r>
              <w:rPr>
                <w:u w:val="single"/>
              </w:rPr>
              <w:t xml:space="preserve">0.0006 </w:t>
            </w:r>
          </w:p>
        </w:tc>
      </w:tr>
      <w:tr w:rsidR="00EE56C0">
        <w:trPr>
          <w:trHeight w:val="425"/>
          <w:jc w:val="center"/>
        </w:trPr>
        <w:tc>
          <w:tcPr>
            <w:tcW w:w="770" w:type="pct"/>
            <w:vAlign w:val="center"/>
          </w:tcPr>
          <w:p w:rsidR="00EE56C0" w:rsidRDefault="000F36A1">
            <w:pPr>
              <w:pStyle w:val="afa"/>
            </w:pPr>
            <w:r>
              <w:rPr>
                <w:rFonts w:hint="eastAsia"/>
              </w:rPr>
              <w:t>TN</w:t>
            </w:r>
          </w:p>
        </w:tc>
        <w:tc>
          <w:tcPr>
            <w:tcW w:w="824" w:type="pct"/>
            <w:vAlign w:val="center"/>
          </w:tcPr>
          <w:p w:rsidR="00EE56C0" w:rsidRDefault="000F36A1">
            <w:pPr>
              <w:pStyle w:val="afa"/>
              <w:rPr>
                <w:rFonts w:eastAsia="宋体"/>
                <w:u w:val="single"/>
              </w:rPr>
            </w:pPr>
            <w:r>
              <w:rPr>
                <w:u w:val="single"/>
              </w:rPr>
              <w:t xml:space="preserve">0.0378 </w:t>
            </w:r>
          </w:p>
        </w:tc>
        <w:tc>
          <w:tcPr>
            <w:tcW w:w="737" w:type="pct"/>
            <w:vAlign w:val="center"/>
          </w:tcPr>
          <w:p w:rsidR="00EE56C0" w:rsidRDefault="000F36A1">
            <w:pPr>
              <w:pStyle w:val="afa"/>
              <w:rPr>
                <w:rFonts w:eastAsia="宋体"/>
                <w:u w:val="single"/>
              </w:rPr>
            </w:pPr>
            <w:r>
              <w:rPr>
                <w:u w:val="single"/>
              </w:rPr>
              <w:t xml:space="preserve">0.0035 </w:t>
            </w:r>
          </w:p>
        </w:tc>
        <w:tc>
          <w:tcPr>
            <w:tcW w:w="737" w:type="pct"/>
            <w:vAlign w:val="center"/>
          </w:tcPr>
          <w:p w:rsidR="00EE56C0" w:rsidRDefault="000F36A1">
            <w:pPr>
              <w:pStyle w:val="afa"/>
              <w:rPr>
                <w:rFonts w:eastAsia="宋体"/>
                <w:u w:val="single"/>
              </w:rPr>
            </w:pPr>
            <w:r>
              <w:rPr>
                <w:u w:val="single"/>
              </w:rPr>
              <w:t xml:space="preserve">0.0343 </w:t>
            </w:r>
          </w:p>
        </w:tc>
        <w:tc>
          <w:tcPr>
            <w:tcW w:w="966" w:type="pct"/>
            <w:vAlign w:val="center"/>
          </w:tcPr>
          <w:p w:rsidR="00EE56C0" w:rsidRDefault="000F36A1">
            <w:pPr>
              <w:pStyle w:val="afa"/>
              <w:rPr>
                <w:rFonts w:eastAsia="宋体"/>
                <w:u w:val="single"/>
              </w:rPr>
            </w:pPr>
            <w:r>
              <w:rPr>
                <w:u w:val="single"/>
              </w:rPr>
              <w:t xml:space="preserve">0.0243 </w:t>
            </w:r>
          </w:p>
        </w:tc>
        <w:tc>
          <w:tcPr>
            <w:tcW w:w="966" w:type="pct"/>
            <w:vAlign w:val="center"/>
          </w:tcPr>
          <w:p w:rsidR="00EE56C0" w:rsidRDefault="000F36A1">
            <w:pPr>
              <w:pStyle w:val="afa"/>
              <w:rPr>
                <w:rFonts w:eastAsia="宋体"/>
                <w:u w:val="single"/>
              </w:rPr>
            </w:pPr>
            <w:r>
              <w:rPr>
                <w:u w:val="single"/>
              </w:rPr>
              <w:t xml:space="preserve">0.0243 </w:t>
            </w:r>
          </w:p>
        </w:tc>
      </w:tr>
      <w:tr w:rsidR="00EE56C0">
        <w:trPr>
          <w:trHeight w:val="425"/>
          <w:jc w:val="center"/>
        </w:trPr>
        <w:tc>
          <w:tcPr>
            <w:tcW w:w="770" w:type="pct"/>
            <w:vAlign w:val="center"/>
          </w:tcPr>
          <w:p w:rsidR="00EE56C0" w:rsidRDefault="000F36A1">
            <w:pPr>
              <w:pStyle w:val="afa"/>
            </w:pPr>
            <w:r>
              <w:rPr>
                <w:rFonts w:hint="eastAsia"/>
              </w:rPr>
              <w:t>水量（</w:t>
            </w:r>
            <w:r>
              <w:rPr>
                <w:rFonts w:hint="eastAsia"/>
              </w:rPr>
              <w:t>t/a</w:t>
            </w:r>
            <w:r>
              <w:rPr>
                <w:rFonts w:hint="eastAsia"/>
              </w:rPr>
              <w:t>）</w:t>
            </w:r>
          </w:p>
        </w:tc>
        <w:tc>
          <w:tcPr>
            <w:tcW w:w="824" w:type="pct"/>
            <w:vAlign w:val="center"/>
          </w:tcPr>
          <w:p w:rsidR="00EE56C0" w:rsidRDefault="000F36A1">
            <w:pPr>
              <w:pStyle w:val="afa"/>
              <w:rPr>
                <w:rFonts w:eastAsia="宋体"/>
                <w:u w:val="single"/>
              </w:rPr>
            </w:pPr>
            <w:r>
              <w:rPr>
                <w:u w:val="single"/>
              </w:rPr>
              <w:t>1623</w:t>
            </w:r>
          </w:p>
        </w:tc>
        <w:tc>
          <w:tcPr>
            <w:tcW w:w="737" w:type="pct"/>
            <w:vAlign w:val="center"/>
          </w:tcPr>
          <w:p w:rsidR="00EE56C0" w:rsidRDefault="000F36A1">
            <w:pPr>
              <w:pStyle w:val="afa"/>
              <w:rPr>
                <w:rFonts w:eastAsia="宋体"/>
                <w:u w:val="single"/>
              </w:rPr>
            </w:pPr>
            <w:r>
              <w:rPr>
                <w:u w:val="single"/>
              </w:rPr>
              <w:t>0</w:t>
            </w:r>
          </w:p>
        </w:tc>
        <w:tc>
          <w:tcPr>
            <w:tcW w:w="737" w:type="pct"/>
            <w:vAlign w:val="center"/>
          </w:tcPr>
          <w:p w:rsidR="00EE56C0" w:rsidRDefault="000F36A1">
            <w:pPr>
              <w:pStyle w:val="afa"/>
              <w:rPr>
                <w:rFonts w:eastAsia="宋体"/>
                <w:u w:val="single"/>
              </w:rPr>
            </w:pPr>
            <w:r>
              <w:rPr>
                <w:u w:val="single"/>
              </w:rPr>
              <w:t>1623</w:t>
            </w:r>
          </w:p>
        </w:tc>
        <w:tc>
          <w:tcPr>
            <w:tcW w:w="966" w:type="pct"/>
            <w:vAlign w:val="center"/>
          </w:tcPr>
          <w:p w:rsidR="00EE56C0" w:rsidRDefault="000F36A1">
            <w:pPr>
              <w:pStyle w:val="afa"/>
              <w:rPr>
                <w:rFonts w:eastAsia="宋体"/>
                <w:u w:val="single"/>
              </w:rPr>
            </w:pPr>
            <w:r>
              <w:rPr>
                <w:u w:val="single"/>
              </w:rPr>
              <w:t>1623</w:t>
            </w:r>
          </w:p>
        </w:tc>
        <w:tc>
          <w:tcPr>
            <w:tcW w:w="966" w:type="pct"/>
            <w:vAlign w:val="center"/>
          </w:tcPr>
          <w:p w:rsidR="00EE56C0" w:rsidRDefault="000F36A1">
            <w:pPr>
              <w:pStyle w:val="afa"/>
              <w:rPr>
                <w:rFonts w:eastAsia="宋体"/>
                <w:u w:val="single"/>
              </w:rPr>
            </w:pPr>
            <w:r>
              <w:rPr>
                <w:u w:val="single"/>
              </w:rPr>
              <w:t>1623</w:t>
            </w:r>
          </w:p>
        </w:tc>
      </w:tr>
    </w:tbl>
    <w:p w:rsidR="00EE56C0" w:rsidRDefault="000F36A1">
      <w:pPr>
        <w:pStyle w:val="afd"/>
        <w:spacing w:before="120" w:after="120"/>
        <w:ind w:firstLine="482"/>
      </w:pPr>
      <w:r>
        <w:rPr>
          <w:rFonts w:hint="eastAsia"/>
        </w:rPr>
        <w:t>表</w:t>
      </w:r>
      <w:r>
        <w:rPr>
          <w:rFonts w:hint="eastAsia"/>
        </w:rPr>
        <w:t>8-</w:t>
      </w:r>
      <w:r w:rsidR="005767FB">
        <w:rPr>
          <w:rFonts w:hint="eastAsia"/>
        </w:rPr>
        <w:t>9</w:t>
      </w:r>
      <w:r>
        <w:rPr>
          <w:rFonts w:hint="eastAsia"/>
        </w:rPr>
        <w:t xml:space="preserve">     </w:t>
      </w:r>
      <w:r>
        <w:rPr>
          <w:rFonts w:hint="eastAsia"/>
        </w:rPr>
        <w:t>一期、二期合计新增废水污染物产排情况</w:t>
      </w:r>
      <w:r>
        <w:rPr>
          <w:rFonts w:hint="eastAsia"/>
        </w:rPr>
        <w:t xml:space="preserve">    </w:t>
      </w:r>
      <w:r>
        <w:rPr>
          <w:rFonts w:hint="eastAsia"/>
        </w:rPr>
        <w:t>单位：</w:t>
      </w:r>
      <w:r>
        <w:rPr>
          <w:rFonts w:hint="eastAsia"/>
        </w:rPr>
        <w:t>t/a</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tblPr>
      <w:tblGrid>
        <w:gridCol w:w="1313"/>
        <w:gridCol w:w="1406"/>
        <w:gridCol w:w="1257"/>
        <w:gridCol w:w="1257"/>
        <w:gridCol w:w="1648"/>
        <w:gridCol w:w="1648"/>
      </w:tblGrid>
      <w:tr w:rsidR="00EE56C0">
        <w:trPr>
          <w:trHeight w:val="425"/>
          <w:jc w:val="center"/>
        </w:trPr>
        <w:tc>
          <w:tcPr>
            <w:tcW w:w="770" w:type="pct"/>
            <w:vAlign w:val="center"/>
          </w:tcPr>
          <w:p w:rsidR="00EE56C0" w:rsidRDefault="000F36A1">
            <w:pPr>
              <w:pStyle w:val="aff1"/>
              <w:rPr>
                <w:color w:val="auto"/>
              </w:rPr>
            </w:pPr>
            <w:r>
              <w:rPr>
                <w:rFonts w:hint="eastAsia"/>
                <w:color w:val="auto"/>
              </w:rPr>
              <w:t>污染物</w:t>
            </w:r>
          </w:p>
        </w:tc>
        <w:tc>
          <w:tcPr>
            <w:tcW w:w="824" w:type="pct"/>
            <w:vAlign w:val="center"/>
          </w:tcPr>
          <w:p w:rsidR="00EE56C0" w:rsidRDefault="000F36A1">
            <w:pPr>
              <w:pStyle w:val="aff1"/>
              <w:rPr>
                <w:color w:val="auto"/>
              </w:rPr>
            </w:pPr>
            <w:r>
              <w:rPr>
                <w:rFonts w:hint="eastAsia"/>
                <w:color w:val="auto"/>
              </w:rPr>
              <w:t>产生量</w:t>
            </w:r>
          </w:p>
        </w:tc>
        <w:tc>
          <w:tcPr>
            <w:tcW w:w="737" w:type="pct"/>
            <w:vAlign w:val="center"/>
          </w:tcPr>
          <w:p w:rsidR="00EE56C0" w:rsidRDefault="000F36A1">
            <w:pPr>
              <w:pStyle w:val="aff1"/>
              <w:rPr>
                <w:color w:val="auto"/>
              </w:rPr>
            </w:pPr>
            <w:r>
              <w:rPr>
                <w:rFonts w:hint="eastAsia"/>
                <w:color w:val="auto"/>
              </w:rPr>
              <w:t>削减量</w:t>
            </w:r>
          </w:p>
        </w:tc>
        <w:tc>
          <w:tcPr>
            <w:tcW w:w="737" w:type="pct"/>
            <w:vAlign w:val="center"/>
          </w:tcPr>
          <w:p w:rsidR="00EE56C0" w:rsidRDefault="000F36A1">
            <w:pPr>
              <w:pStyle w:val="aff1"/>
              <w:rPr>
                <w:color w:val="auto"/>
              </w:rPr>
            </w:pPr>
            <w:r>
              <w:rPr>
                <w:rFonts w:hint="eastAsia"/>
                <w:color w:val="auto"/>
              </w:rPr>
              <w:t>排放量</w:t>
            </w:r>
          </w:p>
          <w:p w:rsidR="00EE56C0" w:rsidRDefault="000F36A1">
            <w:pPr>
              <w:pStyle w:val="aff1"/>
              <w:rPr>
                <w:color w:val="auto"/>
              </w:rPr>
            </w:pPr>
            <w:r>
              <w:rPr>
                <w:rFonts w:hint="eastAsia"/>
                <w:color w:val="auto"/>
              </w:rPr>
              <w:t>（总排口）</w:t>
            </w:r>
          </w:p>
        </w:tc>
        <w:tc>
          <w:tcPr>
            <w:tcW w:w="966" w:type="pct"/>
            <w:vAlign w:val="center"/>
          </w:tcPr>
          <w:p w:rsidR="00EE56C0" w:rsidRDefault="000F36A1">
            <w:pPr>
              <w:pStyle w:val="aff1"/>
              <w:rPr>
                <w:color w:val="auto"/>
              </w:rPr>
            </w:pPr>
            <w:r>
              <w:rPr>
                <w:rFonts w:hint="eastAsia"/>
                <w:color w:val="auto"/>
              </w:rPr>
              <w:t>排放量（新乡县综合污水处理厂出口）</w:t>
            </w:r>
          </w:p>
        </w:tc>
        <w:tc>
          <w:tcPr>
            <w:tcW w:w="966" w:type="pct"/>
            <w:vAlign w:val="center"/>
          </w:tcPr>
          <w:p w:rsidR="00EE56C0" w:rsidRDefault="000F36A1">
            <w:pPr>
              <w:pStyle w:val="aff1"/>
              <w:rPr>
                <w:color w:val="auto"/>
              </w:rPr>
            </w:pPr>
            <w:r>
              <w:rPr>
                <w:rFonts w:hint="eastAsia"/>
                <w:color w:val="auto"/>
              </w:rPr>
              <w:t>总量指标</w:t>
            </w:r>
          </w:p>
        </w:tc>
      </w:tr>
      <w:tr w:rsidR="00EE56C0">
        <w:trPr>
          <w:trHeight w:val="425"/>
          <w:jc w:val="center"/>
        </w:trPr>
        <w:tc>
          <w:tcPr>
            <w:tcW w:w="770" w:type="pct"/>
            <w:vAlign w:val="center"/>
          </w:tcPr>
          <w:p w:rsidR="00EE56C0" w:rsidRDefault="000F36A1">
            <w:pPr>
              <w:pStyle w:val="afa"/>
            </w:pPr>
            <w:r>
              <w:rPr>
                <w:rFonts w:hint="eastAsia"/>
              </w:rPr>
              <w:t>COD</w:t>
            </w:r>
          </w:p>
        </w:tc>
        <w:tc>
          <w:tcPr>
            <w:tcW w:w="824" w:type="pct"/>
            <w:vAlign w:val="center"/>
          </w:tcPr>
          <w:p w:rsidR="00EE56C0" w:rsidRDefault="000F36A1">
            <w:pPr>
              <w:pStyle w:val="afa"/>
              <w:rPr>
                <w:rFonts w:eastAsia="宋体"/>
                <w:u w:val="single"/>
              </w:rPr>
            </w:pPr>
            <w:r>
              <w:rPr>
                <w:u w:val="single"/>
              </w:rPr>
              <w:t xml:space="preserve">0.5461 </w:t>
            </w:r>
          </w:p>
        </w:tc>
        <w:tc>
          <w:tcPr>
            <w:tcW w:w="737" w:type="pct"/>
            <w:vAlign w:val="center"/>
          </w:tcPr>
          <w:p w:rsidR="00EE56C0" w:rsidRDefault="000F36A1">
            <w:pPr>
              <w:pStyle w:val="afa"/>
              <w:rPr>
                <w:rFonts w:eastAsia="宋体"/>
                <w:u w:val="single"/>
              </w:rPr>
            </w:pPr>
            <w:r>
              <w:rPr>
                <w:u w:val="single"/>
              </w:rPr>
              <w:t xml:space="preserve">0.1734 </w:t>
            </w:r>
          </w:p>
        </w:tc>
        <w:tc>
          <w:tcPr>
            <w:tcW w:w="737" w:type="pct"/>
            <w:vAlign w:val="center"/>
          </w:tcPr>
          <w:p w:rsidR="00EE56C0" w:rsidRDefault="000F36A1">
            <w:pPr>
              <w:pStyle w:val="afa"/>
              <w:rPr>
                <w:rFonts w:eastAsia="宋体"/>
                <w:u w:val="single"/>
              </w:rPr>
            </w:pPr>
            <w:r>
              <w:rPr>
                <w:u w:val="single"/>
              </w:rPr>
              <w:t xml:space="preserve">0.3726 </w:t>
            </w:r>
          </w:p>
        </w:tc>
        <w:tc>
          <w:tcPr>
            <w:tcW w:w="966" w:type="pct"/>
            <w:vAlign w:val="center"/>
          </w:tcPr>
          <w:p w:rsidR="00EE56C0" w:rsidRDefault="000F36A1">
            <w:pPr>
              <w:pStyle w:val="afa"/>
              <w:rPr>
                <w:rFonts w:eastAsia="宋体"/>
                <w:u w:val="single"/>
              </w:rPr>
            </w:pPr>
            <w:r>
              <w:rPr>
                <w:u w:val="single"/>
              </w:rPr>
              <w:t xml:space="preserve">0.0827 </w:t>
            </w:r>
          </w:p>
        </w:tc>
        <w:tc>
          <w:tcPr>
            <w:tcW w:w="966" w:type="pct"/>
            <w:vAlign w:val="center"/>
          </w:tcPr>
          <w:p w:rsidR="00EE56C0" w:rsidRDefault="000F36A1">
            <w:pPr>
              <w:pStyle w:val="afa"/>
              <w:rPr>
                <w:rFonts w:eastAsia="宋体"/>
                <w:u w:val="single"/>
              </w:rPr>
            </w:pPr>
            <w:r>
              <w:rPr>
                <w:u w:val="single"/>
              </w:rPr>
              <w:t xml:space="preserve">0.0827 </w:t>
            </w:r>
          </w:p>
        </w:tc>
      </w:tr>
      <w:tr w:rsidR="00EE56C0">
        <w:trPr>
          <w:trHeight w:val="425"/>
          <w:jc w:val="center"/>
        </w:trPr>
        <w:tc>
          <w:tcPr>
            <w:tcW w:w="770" w:type="pct"/>
            <w:vAlign w:val="center"/>
          </w:tcPr>
          <w:p w:rsidR="00EE56C0" w:rsidRDefault="000F36A1">
            <w:pPr>
              <w:pStyle w:val="afa"/>
            </w:pPr>
            <w:r>
              <w:rPr>
                <w:rFonts w:hint="eastAsia"/>
              </w:rPr>
              <w:t>NH</w:t>
            </w:r>
            <w:r>
              <w:rPr>
                <w:rFonts w:hint="eastAsia"/>
                <w:vertAlign w:val="subscript"/>
              </w:rPr>
              <w:t>3</w:t>
            </w:r>
            <w:r>
              <w:rPr>
                <w:rFonts w:hint="eastAsia"/>
              </w:rPr>
              <w:t>-N</w:t>
            </w:r>
          </w:p>
        </w:tc>
        <w:tc>
          <w:tcPr>
            <w:tcW w:w="824" w:type="pct"/>
            <w:vAlign w:val="center"/>
          </w:tcPr>
          <w:p w:rsidR="00EE56C0" w:rsidRDefault="000F36A1">
            <w:pPr>
              <w:pStyle w:val="afa"/>
              <w:rPr>
                <w:rFonts w:eastAsia="宋体"/>
                <w:u w:val="single"/>
              </w:rPr>
            </w:pPr>
            <w:r>
              <w:rPr>
                <w:u w:val="single"/>
              </w:rPr>
              <w:t xml:space="preserve">0.0399 </w:t>
            </w:r>
          </w:p>
        </w:tc>
        <w:tc>
          <w:tcPr>
            <w:tcW w:w="737" w:type="pct"/>
            <w:vAlign w:val="center"/>
          </w:tcPr>
          <w:p w:rsidR="00EE56C0" w:rsidRDefault="000F36A1">
            <w:pPr>
              <w:pStyle w:val="afa"/>
              <w:rPr>
                <w:rFonts w:eastAsia="宋体"/>
                <w:u w:val="single"/>
              </w:rPr>
            </w:pPr>
            <w:r>
              <w:rPr>
                <w:u w:val="single"/>
              </w:rPr>
              <w:t xml:space="preserve">0.0041 </w:t>
            </w:r>
          </w:p>
        </w:tc>
        <w:tc>
          <w:tcPr>
            <w:tcW w:w="737" w:type="pct"/>
            <w:vAlign w:val="center"/>
          </w:tcPr>
          <w:p w:rsidR="00EE56C0" w:rsidRDefault="000F36A1">
            <w:pPr>
              <w:pStyle w:val="afa"/>
              <w:rPr>
                <w:rFonts w:eastAsia="宋体"/>
                <w:u w:val="single"/>
              </w:rPr>
            </w:pPr>
            <w:r>
              <w:rPr>
                <w:u w:val="single"/>
              </w:rPr>
              <w:t xml:space="preserve">0.0357 </w:t>
            </w:r>
          </w:p>
        </w:tc>
        <w:tc>
          <w:tcPr>
            <w:tcW w:w="966" w:type="pct"/>
            <w:vAlign w:val="center"/>
          </w:tcPr>
          <w:p w:rsidR="00EE56C0" w:rsidRDefault="000F36A1">
            <w:pPr>
              <w:pStyle w:val="afa"/>
              <w:rPr>
                <w:rFonts w:eastAsia="宋体"/>
                <w:u w:val="single"/>
              </w:rPr>
            </w:pPr>
            <w:r>
              <w:rPr>
                <w:u w:val="single"/>
              </w:rPr>
              <w:t xml:space="preserve">0.0041 </w:t>
            </w:r>
          </w:p>
        </w:tc>
        <w:tc>
          <w:tcPr>
            <w:tcW w:w="966" w:type="pct"/>
            <w:vAlign w:val="center"/>
          </w:tcPr>
          <w:p w:rsidR="00EE56C0" w:rsidRDefault="000F36A1">
            <w:pPr>
              <w:pStyle w:val="afa"/>
              <w:rPr>
                <w:rFonts w:eastAsia="宋体"/>
                <w:u w:val="single"/>
              </w:rPr>
            </w:pPr>
            <w:r>
              <w:rPr>
                <w:u w:val="single"/>
              </w:rPr>
              <w:t xml:space="preserve">0.0041 </w:t>
            </w:r>
          </w:p>
        </w:tc>
      </w:tr>
      <w:tr w:rsidR="00EE56C0">
        <w:trPr>
          <w:trHeight w:val="425"/>
          <w:jc w:val="center"/>
        </w:trPr>
        <w:tc>
          <w:tcPr>
            <w:tcW w:w="770" w:type="pct"/>
            <w:vAlign w:val="center"/>
          </w:tcPr>
          <w:p w:rsidR="00EE56C0" w:rsidRDefault="000F36A1">
            <w:pPr>
              <w:pStyle w:val="afa"/>
            </w:pPr>
            <w:r>
              <w:rPr>
                <w:rFonts w:hint="eastAsia"/>
              </w:rPr>
              <w:t>TP</w:t>
            </w:r>
          </w:p>
        </w:tc>
        <w:tc>
          <w:tcPr>
            <w:tcW w:w="824" w:type="pct"/>
            <w:vAlign w:val="center"/>
          </w:tcPr>
          <w:p w:rsidR="00EE56C0" w:rsidRDefault="000F36A1">
            <w:pPr>
              <w:pStyle w:val="afa"/>
              <w:rPr>
                <w:rFonts w:eastAsia="宋体"/>
                <w:u w:val="single"/>
              </w:rPr>
            </w:pPr>
            <w:r>
              <w:rPr>
                <w:u w:val="single"/>
              </w:rPr>
              <w:t xml:space="preserve">0.0065 </w:t>
            </w:r>
          </w:p>
        </w:tc>
        <w:tc>
          <w:tcPr>
            <w:tcW w:w="737" w:type="pct"/>
            <w:vAlign w:val="center"/>
          </w:tcPr>
          <w:p w:rsidR="00EE56C0" w:rsidRDefault="000F36A1">
            <w:pPr>
              <w:pStyle w:val="afa"/>
              <w:rPr>
                <w:rFonts w:eastAsia="宋体"/>
                <w:u w:val="single"/>
              </w:rPr>
            </w:pPr>
            <w:r>
              <w:rPr>
                <w:u w:val="single"/>
              </w:rPr>
              <w:t>0.000</w:t>
            </w:r>
            <w:r>
              <w:rPr>
                <w:rFonts w:hint="eastAsia"/>
                <w:u w:val="single"/>
              </w:rPr>
              <w:t>0</w:t>
            </w:r>
          </w:p>
        </w:tc>
        <w:tc>
          <w:tcPr>
            <w:tcW w:w="737" w:type="pct"/>
            <w:vAlign w:val="center"/>
          </w:tcPr>
          <w:p w:rsidR="00EE56C0" w:rsidRDefault="000F36A1">
            <w:pPr>
              <w:pStyle w:val="afa"/>
              <w:rPr>
                <w:rFonts w:eastAsia="宋体"/>
                <w:u w:val="single"/>
              </w:rPr>
            </w:pPr>
            <w:r>
              <w:rPr>
                <w:u w:val="single"/>
              </w:rPr>
              <w:t>0.00</w:t>
            </w:r>
            <w:r>
              <w:rPr>
                <w:rFonts w:hint="eastAsia"/>
                <w:u w:val="single"/>
              </w:rPr>
              <w:t>65</w:t>
            </w:r>
          </w:p>
        </w:tc>
        <w:tc>
          <w:tcPr>
            <w:tcW w:w="966" w:type="pct"/>
            <w:vAlign w:val="center"/>
          </w:tcPr>
          <w:p w:rsidR="00EE56C0" w:rsidRDefault="000F36A1">
            <w:pPr>
              <w:pStyle w:val="afa"/>
              <w:rPr>
                <w:rFonts w:eastAsia="宋体"/>
                <w:u w:val="single"/>
              </w:rPr>
            </w:pPr>
            <w:r>
              <w:rPr>
                <w:u w:val="single"/>
              </w:rPr>
              <w:t xml:space="preserve">0.0008 </w:t>
            </w:r>
          </w:p>
        </w:tc>
        <w:tc>
          <w:tcPr>
            <w:tcW w:w="966" w:type="pct"/>
            <w:vAlign w:val="center"/>
          </w:tcPr>
          <w:p w:rsidR="00EE56C0" w:rsidRDefault="000F36A1">
            <w:pPr>
              <w:pStyle w:val="afa"/>
              <w:rPr>
                <w:rFonts w:eastAsia="宋体"/>
                <w:u w:val="single"/>
              </w:rPr>
            </w:pPr>
            <w:r>
              <w:rPr>
                <w:u w:val="single"/>
              </w:rPr>
              <w:t xml:space="preserve">0.0008 </w:t>
            </w:r>
          </w:p>
        </w:tc>
      </w:tr>
      <w:tr w:rsidR="00EE56C0">
        <w:trPr>
          <w:trHeight w:val="425"/>
          <w:jc w:val="center"/>
        </w:trPr>
        <w:tc>
          <w:tcPr>
            <w:tcW w:w="770" w:type="pct"/>
            <w:vAlign w:val="center"/>
          </w:tcPr>
          <w:p w:rsidR="00EE56C0" w:rsidRDefault="000F36A1">
            <w:pPr>
              <w:pStyle w:val="afa"/>
            </w:pPr>
            <w:r>
              <w:rPr>
                <w:rFonts w:hint="eastAsia"/>
              </w:rPr>
              <w:t>TN</w:t>
            </w:r>
          </w:p>
        </w:tc>
        <w:tc>
          <w:tcPr>
            <w:tcW w:w="824" w:type="pct"/>
            <w:vAlign w:val="center"/>
          </w:tcPr>
          <w:p w:rsidR="00EE56C0" w:rsidRDefault="000F36A1">
            <w:pPr>
              <w:pStyle w:val="afa"/>
              <w:rPr>
                <w:rFonts w:eastAsia="宋体"/>
                <w:u w:val="single"/>
              </w:rPr>
            </w:pPr>
            <w:r>
              <w:rPr>
                <w:u w:val="single"/>
              </w:rPr>
              <w:t xml:space="preserve">0.0481 </w:t>
            </w:r>
          </w:p>
        </w:tc>
        <w:tc>
          <w:tcPr>
            <w:tcW w:w="737" w:type="pct"/>
            <w:vAlign w:val="center"/>
          </w:tcPr>
          <w:p w:rsidR="00EE56C0" w:rsidRDefault="000F36A1">
            <w:pPr>
              <w:pStyle w:val="afa"/>
              <w:rPr>
                <w:rFonts w:eastAsia="宋体"/>
                <w:u w:val="single"/>
              </w:rPr>
            </w:pPr>
            <w:r>
              <w:rPr>
                <w:u w:val="single"/>
              </w:rPr>
              <w:t xml:space="preserve">0.0041 </w:t>
            </w:r>
          </w:p>
        </w:tc>
        <w:tc>
          <w:tcPr>
            <w:tcW w:w="737" w:type="pct"/>
            <w:vAlign w:val="center"/>
          </w:tcPr>
          <w:p w:rsidR="00EE56C0" w:rsidRDefault="000F36A1">
            <w:pPr>
              <w:pStyle w:val="afa"/>
              <w:rPr>
                <w:rFonts w:eastAsia="宋体"/>
                <w:u w:val="single"/>
              </w:rPr>
            </w:pPr>
            <w:r>
              <w:rPr>
                <w:u w:val="single"/>
              </w:rPr>
              <w:t xml:space="preserve">0.0441 </w:t>
            </w:r>
          </w:p>
        </w:tc>
        <w:tc>
          <w:tcPr>
            <w:tcW w:w="966" w:type="pct"/>
            <w:vAlign w:val="center"/>
          </w:tcPr>
          <w:p w:rsidR="00EE56C0" w:rsidRDefault="000F36A1">
            <w:pPr>
              <w:pStyle w:val="afa"/>
              <w:rPr>
                <w:rFonts w:eastAsia="宋体"/>
                <w:u w:val="single"/>
              </w:rPr>
            </w:pPr>
            <w:r>
              <w:rPr>
                <w:u w:val="single"/>
              </w:rPr>
              <w:t xml:space="preserve">0.0310 </w:t>
            </w:r>
          </w:p>
        </w:tc>
        <w:tc>
          <w:tcPr>
            <w:tcW w:w="966" w:type="pct"/>
            <w:vAlign w:val="center"/>
          </w:tcPr>
          <w:p w:rsidR="00EE56C0" w:rsidRDefault="000F36A1">
            <w:pPr>
              <w:pStyle w:val="afa"/>
              <w:rPr>
                <w:rFonts w:eastAsia="宋体"/>
                <w:u w:val="single"/>
              </w:rPr>
            </w:pPr>
            <w:r>
              <w:rPr>
                <w:u w:val="single"/>
              </w:rPr>
              <w:t xml:space="preserve">0.0310 </w:t>
            </w:r>
          </w:p>
        </w:tc>
      </w:tr>
      <w:tr w:rsidR="00EE56C0">
        <w:trPr>
          <w:trHeight w:val="425"/>
          <w:jc w:val="center"/>
        </w:trPr>
        <w:tc>
          <w:tcPr>
            <w:tcW w:w="770" w:type="pct"/>
            <w:vAlign w:val="center"/>
          </w:tcPr>
          <w:p w:rsidR="00EE56C0" w:rsidRDefault="000F36A1">
            <w:pPr>
              <w:pStyle w:val="afa"/>
            </w:pPr>
            <w:r>
              <w:rPr>
                <w:rFonts w:hint="eastAsia"/>
              </w:rPr>
              <w:t>水量（</w:t>
            </w:r>
            <w:r>
              <w:rPr>
                <w:rFonts w:hint="eastAsia"/>
              </w:rPr>
              <w:t>t/a</w:t>
            </w:r>
            <w:r>
              <w:rPr>
                <w:rFonts w:hint="eastAsia"/>
              </w:rPr>
              <w:t>）</w:t>
            </w:r>
          </w:p>
        </w:tc>
        <w:tc>
          <w:tcPr>
            <w:tcW w:w="824" w:type="pct"/>
            <w:vAlign w:val="center"/>
          </w:tcPr>
          <w:p w:rsidR="00EE56C0" w:rsidRDefault="000F36A1">
            <w:pPr>
              <w:pStyle w:val="afa"/>
              <w:rPr>
                <w:rFonts w:eastAsia="宋体"/>
                <w:u w:val="single"/>
              </w:rPr>
            </w:pPr>
            <w:r>
              <w:rPr>
                <w:u w:val="single"/>
              </w:rPr>
              <w:t>2067</w:t>
            </w:r>
          </w:p>
        </w:tc>
        <w:tc>
          <w:tcPr>
            <w:tcW w:w="737" w:type="pct"/>
            <w:vAlign w:val="center"/>
          </w:tcPr>
          <w:p w:rsidR="00EE56C0" w:rsidRDefault="000F36A1">
            <w:pPr>
              <w:pStyle w:val="afa"/>
              <w:rPr>
                <w:rFonts w:eastAsia="宋体"/>
                <w:u w:val="single"/>
              </w:rPr>
            </w:pPr>
            <w:r>
              <w:rPr>
                <w:u w:val="single"/>
              </w:rPr>
              <w:t>0</w:t>
            </w:r>
          </w:p>
        </w:tc>
        <w:tc>
          <w:tcPr>
            <w:tcW w:w="737" w:type="pct"/>
            <w:vAlign w:val="center"/>
          </w:tcPr>
          <w:p w:rsidR="00EE56C0" w:rsidRDefault="000F36A1">
            <w:pPr>
              <w:pStyle w:val="afa"/>
              <w:rPr>
                <w:rFonts w:eastAsia="宋体"/>
                <w:u w:val="single"/>
              </w:rPr>
            </w:pPr>
            <w:r>
              <w:rPr>
                <w:u w:val="single"/>
              </w:rPr>
              <w:t>2067</w:t>
            </w:r>
          </w:p>
        </w:tc>
        <w:tc>
          <w:tcPr>
            <w:tcW w:w="966" w:type="pct"/>
            <w:vAlign w:val="center"/>
          </w:tcPr>
          <w:p w:rsidR="00EE56C0" w:rsidRDefault="000F36A1">
            <w:pPr>
              <w:pStyle w:val="afa"/>
              <w:rPr>
                <w:rFonts w:eastAsia="宋体"/>
                <w:u w:val="single"/>
              </w:rPr>
            </w:pPr>
            <w:r>
              <w:rPr>
                <w:u w:val="single"/>
              </w:rPr>
              <w:t>2067</w:t>
            </w:r>
          </w:p>
        </w:tc>
        <w:tc>
          <w:tcPr>
            <w:tcW w:w="966" w:type="pct"/>
            <w:vAlign w:val="center"/>
          </w:tcPr>
          <w:p w:rsidR="00EE56C0" w:rsidRDefault="000F36A1">
            <w:pPr>
              <w:pStyle w:val="afa"/>
              <w:rPr>
                <w:u w:val="single"/>
              </w:rPr>
            </w:pPr>
            <w:r>
              <w:rPr>
                <w:u w:val="single"/>
              </w:rPr>
              <w:t>2067</w:t>
            </w:r>
          </w:p>
        </w:tc>
      </w:tr>
    </w:tbl>
    <w:p w:rsidR="00EE56C0" w:rsidRDefault="000F36A1">
      <w:pPr>
        <w:pStyle w:val="afd"/>
        <w:spacing w:before="120" w:after="120"/>
        <w:ind w:firstLine="482"/>
      </w:pPr>
      <w:r>
        <w:rPr>
          <w:rFonts w:hint="eastAsia"/>
        </w:rPr>
        <w:t>表</w:t>
      </w:r>
      <w:r>
        <w:rPr>
          <w:rFonts w:hint="eastAsia"/>
        </w:rPr>
        <w:t>8</w:t>
      </w:r>
      <w:r>
        <w:t>-</w:t>
      </w:r>
      <w:r>
        <w:rPr>
          <w:rFonts w:hint="eastAsia"/>
        </w:rPr>
        <w:t>1</w:t>
      </w:r>
      <w:r w:rsidR="005767FB">
        <w:rPr>
          <w:rFonts w:hint="eastAsia"/>
        </w:rPr>
        <w:t>0</w:t>
      </w:r>
      <w:r>
        <w:rPr>
          <w:rFonts w:hint="eastAsia"/>
        </w:rPr>
        <w:t xml:space="preserve">      </w:t>
      </w:r>
      <w:r>
        <w:rPr>
          <w:rFonts w:hint="eastAsia"/>
        </w:rPr>
        <w:t>工程固体废弃物产生及处置情况</w:t>
      </w:r>
    </w:p>
    <w:tbl>
      <w:tblPr>
        <w:tblW w:w="5000" w:type="pct"/>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Look w:val="04A0"/>
      </w:tblPr>
      <w:tblGrid>
        <w:gridCol w:w="676"/>
        <w:gridCol w:w="710"/>
        <w:gridCol w:w="1844"/>
        <w:gridCol w:w="1556"/>
        <w:gridCol w:w="993"/>
        <w:gridCol w:w="1138"/>
        <w:gridCol w:w="1612"/>
      </w:tblGrid>
      <w:tr w:rsidR="00EE56C0">
        <w:trPr>
          <w:trHeight w:val="454"/>
        </w:trPr>
        <w:tc>
          <w:tcPr>
            <w:tcW w:w="396" w:type="pct"/>
            <w:vMerge w:val="restart"/>
            <w:tcMar>
              <w:top w:w="28" w:type="dxa"/>
              <w:bottom w:w="28" w:type="dxa"/>
            </w:tcMar>
            <w:vAlign w:val="center"/>
          </w:tcPr>
          <w:p w:rsidR="00EE56C0" w:rsidRDefault="000F36A1">
            <w:pPr>
              <w:pStyle w:val="aff1"/>
              <w:rPr>
                <w:color w:val="auto"/>
              </w:rPr>
            </w:pPr>
            <w:r>
              <w:rPr>
                <w:color w:val="auto"/>
              </w:rPr>
              <w:t>项目</w:t>
            </w:r>
          </w:p>
        </w:tc>
        <w:tc>
          <w:tcPr>
            <w:tcW w:w="416" w:type="pct"/>
            <w:vMerge w:val="restart"/>
            <w:tcMar>
              <w:top w:w="28" w:type="dxa"/>
              <w:bottom w:w="28" w:type="dxa"/>
            </w:tcMar>
            <w:vAlign w:val="center"/>
          </w:tcPr>
          <w:p w:rsidR="00EE56C0" w:rsidRDefault="000F36A1">
            <w:pPr>
              <w:pStyle w:val="aff1"/>
              <w:rPr>
                <w:color w:val="auto"/>
              </w:rPr>
            </w:pPr>
            <w:r>
              <w:rPr>
                <w:color w:val="auto"/>
              </w:rPr>
              <w:t>序号</w:t>
            </w:r>
          </w:p>
        </w:tc>
        <w:tc>
          <w:tcPr>
            <w:tcW w:w="1081" w:type="pct"/>
            <w:vMerge w:val="restart"/>
            <w:tcMar>
              <w:top w:w="28" w:type="dxa"/>
              <w:bottom w:w="28" w:type="dxa"/>
            </w:tcMar>
            <w:vAlign w:val="center"/>
          </w:tcPr>
          <w:p w:rsidR="00EE56C0" w:rsidRDefault="000F36A1">
            <w:pPr>
              <w:pStyle w:val="aff1"/>
              <w:rPr>
                <w:color w:val="auto"/>
              </w:rPr>
            </w:pPr>
            <w:r>
              <w:rPr>
                <w:color w:val="auto"/>
              </w:rPr>
              <w:t>产污环节</w:t>
            </w:r>
          </w:p>
        </w:tc>
        <w:tc>
          <w:tcPr>
            <w:tcW w:w="912" w:type="pct"/>
            <w:vMerge w:val="restart"/>
            <w:tcMar>
              <w:top w:w="28" w:type="dxa"/>
              <w:bottom w:w="28" w:type="dxa"/>
            </w:tcMar>
            <w:vAlign w:val="center"/>
          </w:tcPr>
          <w:p w:rsidR="00EE56C0" w:rsidRDefault="000F36A1">
            <w:pPr>
              <w:pStyle w:val="aff1"/>
              <w:rPr>
                <w:color w:val="auto"/>
              </w:rPr>
            </w:pPr>
            <w:r>
              <w:rPr>
                <w:rFonts w:hint="eastAsia"/>
                <w:color w:val="auto"/>
              </w:rPr>
              <w:t>废物特性</w:t>
            </w:r>
          </w:p>
        </w:tc>
        <w:tc>
          <w:tcPr>
            <w:tcW w:w="1249" w:type="pct"/>
            <w:gridSpan w:val="2"/>
            <w:tcBorders>
              <w:bottom w:val="single" w:sz="4" w:space="0" w:color="auto"/>
            </w:tcBorders>
            <w:vAlign w:val="center"/>
          </w:tcPr>
          <w:p w:rsidR="00EE56C0" w:rsidRDefault="000F36A1">
            <w:pPr>
              <w:pStyle w:val="aff1"/>
              <w:rPr>
                <w:color w:val="auto"/>
              </w:rPr>
            </w:pPr>
            <w:r>
              <w:rPr>
                <w:rFonts w:hint="eastAsia"/>
                <w:color w:val="auto"/>
              </w:rPr>
              <w:t>产生量（</w:t>
            </w:r>
            <w:r>
              <w:rPr>
                <w:rFonts w:hint="eastAsia"/>
                <w:color w:val="auto"/>
              </w:rPr>
              <w:t>t/a</w:t>
            </w:r>
            <w:r>
              <w:rPr>
                <w:rFonts w:hint="eastAsia"/>
                <w:color w:val="auto"/>
              </w:rPr>
              <w:t>）</w:t>
            </w:r>
          </w:p>
        </w:tc>
        <w:tc>
          <w:tcPr>
            <w:tcW w:w="945" w:type="pct"/>
            <w:vMerge w:val="restart"/>
            <w:vAlign w:val="center"/>
          </w:tcPr>
          <w:p w:rsidR="00EE56C0" w:rsidRDefault="000F36A1">
            <w:pPr>
              <w:pStyle w:val="aff1"/>
              <w:rPr>
                <w:color w:val="auto"/>
              </w:rPr>
            </w:pPr>
            <w:r>
              <w:rPr>
                <w:rFonts w:hint="eastAsia"/>
                <w:color w:val="auto"/>
              </w:rPr>
              <w:t>治理措施</w:t>
            </w:r>
          </w:p>
        </w:tc>
      </w:tr>
      <w:tr w:rsidR="00EE56C0">
        <w:trPr>
          <w:trHeight w:val="454"/>
        </w:trPr>
        <w:tc>
          <w:tcPr>
            <w:tcW w:w="396" w:type="pct"/>
            <w:vMerge/>
            <w:tcMar>
              <w:top w:w="28" w:type="dxa"/>
              <w:bottom w:w="28" w:type="dxa"/>
            </w:tcMar>
            <w:vAlign w:val="center"/>
          </w:tcPr>
          <w:p w:rsidR="00EE56C0" w:rsidRDefault="00EE56C0">
            <w:pPr>
              <w:pStyle w:val="aff1"/>
              <w:rPr>
                <w:color w:val="auto"/>
              </w:rPr>
            </w:pPr>
          </w:p>
        </w:tc>
        <w:tc>
          <w:tcPr>
            <w:tcW w:w="416" w:type="pct"/>
            <w:vMerge/>
            <w:tcMar>
              <w:top w:w="28" w:type="dxa"/>
              <w:bottom w:w="28" w:type="dxa"/>
            </w:tcMar>
            <w:vAlign w:val="center"/>
          </w:tcPr>
          <w:p w:rsidR="00EE56C0" w:rsidRDefault="00EE56C0">
            <w:pPr>
              <w:pStyle w:val="aff1"/>
              <w:rPr>
                <w:color w:val="auto"/>
              </w:rPr>
            </w:pPr>
          </w:p>
        </w:tc>
        <w:tc>
          <w:tcPr>
            <w:tcW w:w="1081" w:type="pct"/>
            <w:vMerge/>
            <w:tcMar>
              <w:top w:w="28" w:type="dxa"/>
              <w:bottom w:w="28" w:type="dxa"/>
            </w:tcMar>
            <w:vAlign w:val="center"/>
          </w:tcPr>
          <w:p w:rsidR="00EE56C0" w:rsidRDefault="00EE56C0">
            <w:pPr>
              <w:pStyle w:val="aff1"/>
              <w:rPr>
                <w:color w:val="auto"/>
              </w:rPr>
            </w:pPr>
          </w:p>
        </w:tc>
        <w:tc>
          <w:tcPr>
            <w:tcW w:w="912" w:type="pct"/>
            <w:vMerge/>
            <w:tcMar>
              <w:top w:w="28" w:type="dxa"/>
              <w:bottom w:w="28" w:type="dxa"/>
            </w:tcMar>
            <w:vAlign w:val="center"/>
          </w:tcPr>
          <w:p w:rsidR="00EE56C0" w:rsidRDefault="00EE56C0">
            <w:pPr>
              <w:pStyle w:val="aff1"/>
              <w:rPr>
                <w:color w:val="auto"/>
              </w:rPr>
            </w:pPr>
          </w:p>
        </w:tc>
        <w:tc>
          <w:tcPr>
            <w:tcW w:w="582" w:type="pct"/>
            <w:tcBorders>
              <w:top w:val="single" w:sz="4" w:space="0" w:color="auto"/>
              <w:right w:val="single" w:sz="4" w:space="0" w:color="auto"/>
            </w:tcBorders>
            <w:vAlign w:val="center"/>
          </w:tcPr>
          <w:p w:rsidR="00EE56C0" w:rsidRDefault="000F36A1">
            <w:pPr>
              <w:pStyle w:val="aff1"/>
              <w:rPr>
                <w:color w:val="auto"/>
              </w:rPr>
            </w:pPr>
            <w:r>
              <w:rPr>
                <w:rFonts w:hint="eastAsia"/>
                <w:color w:val="auto"/>
              </w:rPr>
              <w:t>一期</w:t>
            </w:r>
          </w:p>
        </w:tc>
        <w:tc>
          <w:tcPr>
            <w:tcW w:w="667" w:type="pct"/>
            <w:tcBorders>
              <w:top w:val="single" w:sz="4" w:space="0" w:color="auto"/>
              <w:left w:val="single" w:sz="4" w:space="0" w:color="auto"/>
            </w:tcBorders>
            <w:vAlign w:val="center"/>
          </w:tcPr>
          <w:p w:rsidR="00EE56C0" w:rsidRDefault="000F36A1">
            <w:pPr>
              <w:pStyle w:val="aff1"/>
              <w:rPr>
                <w:color w:val="auto"/>
              </w:rPr>
            </w:pPr>
            <w:r>
              <w:rPr>
                <w:rFonts w:hint="eastAsia"/>
                <w:color w:val="auto"/>
              </w:rPr>
              <w:t>二期</w:t>
            </w:r>
          </w:p>
        </w:tc>
        <w:tc>
          <w:tcPr>
            <w:tcW w:w="945" w:type="pct"/>
            <w:vMerge/>
            <w:vAlign w:val="center"/>
          </w:tcPr>
          <w:p w:rsidR="00EE56C0" w:rsidRDefault="00EE56C0">
            <w:pPr>
              <w:pStyle w:val="aff1"/>
              <w:rPr>
                <w:color w:val="auto"/>
              </w:rPr>
            </w:pPr>
          </w:p>
        </w:tc>
      </w:tr>
      <w:tr w:rsidR="00EE56C0">
        <w:trPr>
          <w:trHeight w:val="454"/>
        </w:trPr>
        <w:tc>
          <w:tcPr>
            <w:tcW w:w="396" w:type="pct"/>
            <w:vMerge w:val="restart"/>
            <w:tcMar>
              <w:top w:w="28" w:type="dxa"/>
              <w:bottom w:w="28" w:type="dxa"/>
            </w:tcMar>
            <w:vAlign w:val="center"/>
          </w:tcPr>
          <w:p w:rsidR="00EE56C0" w:rsidRDefault="000F36A1">
            <w:pPr>
              <w:pStyle w:val="afa"/>
            </w:pPr>
            <w:r>
              <w:t>固体</w:t>
            </w:r>
          </w:p>
          <w:p w:rsidR="00EE56C0" w:rsidRDefault="000F36A1">
            <w:pPr>
              <w:pStyle w:val="afa"/>
            </w:pPr>
            <w:r>
              <w:t>废物</w:t>
            </w:r>
          </w:p>
        </w:tc>
        <w:tc>
          <w:tcPr>
            <w:tcW w:w="416" w:type="pct"/>
            <w:tcMar>
              <w:top w:w="28" w:type="dxa"/>
              <w:bottom w:w="28" w:type="dxa"/>
            </w:tcMar>
            <w:vAlign w:val="center"/>
          </w:tcPr>
          <w:p w:rsidR="00EE56C0" w:rsidRDefault="000F36A1">
            <w:pPr>
              <w:pStyle w:val="afa"/>
            </w:pPr>
            <w:r>
              <w:t>S1</w:t>
            </w:r>
          </w:p>
        </w:tc>
        <w:tc>
          <w:tcPr>
            <w:tcW w:w="1081" w:type="pct"/>
            <w:tcMar>
              <w:top w:w="28" w:type="dxa"/>
              <w:bottom w:w="28" w:type="dxa"/>
            </w:tcMar>
            <w:vAlign w:val="center"/>
          </w:tcPr>
          <w:p w:rsidR="00EE56C0" w:rsidRDefault="000F36A1">
            <w:pPr>
              <w:pStyle w:val="afa"/>
            </w:pPr>
            <w:r>
              <w:t>原料使用</w:t>
            </w:r>
            <w:r>
              <w:rPr>
                <w:rFonts w:hint="eastAsia"/>
              </w:rPr>
              <w:t>后的</w:t>
            </w:r>
            <w:r>
              <w:t>废包材</w:t>
            </w:r>
          </w:p>
        </w:tc>
        <w:tc>
          <w:tcPr>
            <w:tcW w:w="912" w:type="pct"/>
            <w:tcMar>
              <w:top w:w="28" w:type="dxa"/>
              <w:bottom w:w="28" w:type="dxa"/>
            </w:tcMar>
            <w:vAlign w:val="center"/>
          </w:tcPr>
          <w:p w:rsidR="00EE56C0" w:rsidRDefault="000F36A1">
            <w:pPr>
              <w:pStyle w:val="afa"/>
            </w:pPr>
            <w:r>
              <w:rPr>
                <w:rFonts w:hint="eastAsia"/>
              </w:rPr>
              <w:t>一般固废</w:t>
            </w:r>
          </w:p>
        </w:tc>
        <w:tc>
          <w:tcPr>
            <w:tcW w:w="582" w:type="pct"/>
            <w:tcBorders>
              <w:right w:val="single" w:sz="4" w:space="0" w:color="auto"/>
            </w:tcBorders>
            <w:vAlign w:val="center"/>
          </w:tcPr>
          <w:p w:rsidR="00EE56C0" w:rsidRDefault="000F36A1">
            <w:pPr>
              <w:pStyle w:val="afa"/>
            </w:pPr>
            <w:r>
              <w:t>0.3</w:t>
            </w:r>
          </w:p>
        </w:tc>
        <w:tc>
          <w:tcPr>
            <w:tcW w:w="667" w:type="pct"/>
            <w:tcBorders>
              <w:left w:val="single" w:sz="4" w:space="0" w:color="auto"/>
            </w:tcBorders>
            <w:vAlign w:val="center"/>
          </w:tcPr>
          <w:p w:rsidR="00EE56C0" w:rsidRDefault="000F36A1">
            <w:pPr>
              <w:pStyle w:val="afa"/>
            </w:pPr>
            <w:r>
              <w:t>0.5</w:t>
            </w:r>
          </w:p>
        </w:tc>
        <w:tc>
          <w:tcPr>
            <w:tcW w:w="945" w:type="pct"/>
            <w:vMerge w:val="restart"/>
            <w:vAlign w:val="center"/>
          </w:tcPr>
          <w:p w:rsidR="00EE56C0" w:rsidRDefault="000F36A1">
            <w:pPr>
              <w:pStyle w:val="afa"/>
            </w:pPr>
            <w:r>
              <w:rPr>
                <w:rFonts w:hint="eastAsia"/>
              </w:rPr>
              <w:t>一般固废间暂存，定期外售综</w:t>
            </w:r>
            <w:r>
              <w:rPr>
                <w:rFonts w:hint="eastAsia"/>
              </w:rPr>
              <w:lastRenderedPageBreak/>
              <w:t>合利用</w:t>
            </w:r>
          </w:p>
        </w:tc>
      </w:tr>
      <w:tr w:rsidR="00EE56C0">
        <w:trPr>
          <w:trHeight w:val="454"/>
        </w:trPr>
        <w:tc>
          <w:tcPr>
            <w:tcW w:w="396" w:type="pct"/>
            <w:vMerge/>
            <w:tcMar>
              <w:top w:w="28" w:type="dxa"/>
              <w:bottom w:w="28" w:type="dxa"/>
            </w:tcMar>
            <w:vAlign w:val="center"/>
          </w:tcPr>
          <w:p w:rsidR="00EE56C0" w:rsidRDefault="00EE56C0">
            <w:pPr>
              <w:pStyle w:val="afa"/>
            </w:pPr>
          </w:p>
        </w:tc>
        <w:tc>
          <w:tcPr>
            <w:tcW w:w="416" w:type="pct"/>
            <w:tcMar>
              <w:top w:w="28" w:type="dxa"/>
              <w:bottom w:w="28" w:type="dxa"/>
            </w:tcMar>
            <w:vAlign w:val="center"/>
          </w:tcPr>
          <w:p w:rsidR="00EE56C0" w:rsidRDefault="000F36A1">
            <w:pPr>
              <w:pStyle w:val="afa"/>
            </w:pPr>
            <w:r>
              <w:t>S2</w:t>
            </w:r>
          </w:p>
        </w:tc>
        <w:tc>
          <w:tcPr>
            <w:tcW w:w="1081" w:type="pct"/>
            <w:tcMar>
              <w:top w:w="28" w:type="dxa"/>
              <w:bottom w:w="28" w:type="dxa"/>
            </w:tcMar>
            <w:vAlign w:val="center"/>
          </w:tcPr>
          <w:p w:rsidR="00EE56C0" w:rsidRDefault="000F36A1">
            <w:pPr>
              <w:pStyle w:val="afa"/>
            </w:pPr>
            <w:r>
              <w:rPr>
                <w:rFonts w:hint="eastAsia"/>
              </w:rPr>
              <w:t>挤压工序废铜线</w:t>
            </w:r>
          </w:p>
        </w:tc>
        <w:tc>
          <w:tcPr>
            <w:tcW w:w="912" w:type="pct"/>
            <w:tcMar>
              <w:top w:w="28" w:type="dxa"/>
              <w:bottom w:w="28" w:type="dxa"/>
            </w:tcMar>
            <w:vAlign w:val="center"/>
          </w:tcPr>
          <w:p w:rsidR="00EE56C0" w:rsidRDefault="000F36A1">
            <w:pPr>
              <w:pStyle w:val="afa"/>
            </w:pPr>
            <w:r>
              <w:rPr>
                <w:rFonts w:hint="eastAsia"/>
              </w:rPr>
              <w:t>一般固废</w:t>
            </w:r>
          </w:p>
        </w:tc>
        <w:tc>
          <w:tcPr>
            <w:tcW w:w="582" w:type="pct"/>
            <w:tcBorders>
              <w:right w:val="single" w:sz="4" w:space="0" w:color="auto"/>
            </w:tcBorders>
            <w:vAlign w:val="center"/>
          </w:tcPr>
          <w:p w:rsidR="00EE56C0" w:rsidRDefault="000F36A1">
            <w:pPr>
              <w:pStyle w:val="afa"/>
            </w:pPr>
            <w:r>
              <w:t>10.18</w:t>
            </w:r>
          </w:p>
        </w:tc>
        <w:tc>
          <w:tcPr>
            <w:tcW w:w="667" w:type="pct"/>
            <w:tcBorders>
              <w:left w:val="single" w:sz="4" w:space="0" w:color="auto"/>
            </w:tcBorders>
            <w:vAlign w:val="center"/>
          </w:tcPr>
          <w:p w:rsidR="00EE56C0" w:rsidRDefault="000F36A1">
            <w:pPr>
              <w:pStyle w:val="afa"/>
            </w:pPr>
            <w:r>
              <w:t>29.05</w:t>
            </w:r>
          </w:p>
        </w:tc>
        <w:tc>
          <w:tcPr>
            <w:tcW w:w="945" w:type="pct"/>
            <w:vMerge/>
            <w:vAlign w:val="center"/>
          </w:tcPr>
          <w:p w:rsidR="00EE56C0" w:rsidRDefault="00EE56C0">
            <w:pPr>
              <w:pStyle w:val="afa"/>
            </w:pPr>
          </w:p>
        </w:tc>
      </w:tr>
      <w:tr w:rsidR="00EE56C0">
        <w:trPr>
          <w:trHeight w:val="432"/>
        </w:trPr>
        <w:tc>
          <w:tcPr>
            <w:tcW w:w="396" w:type="pct"/>
            <w:vMerge/>
            <w:tcMar>
              <w:top w:w="28" w:type="dxa"/>
              <w:bottom w:w="28" w:type="dxa"/>
            </w:tcMar>
            <w:vAlign w:val="center"/>
          </w:tcPr>
          <w:p w:rsidR="00EE56C0" w:rsidRDefault="00EE56C0">
            <w:pPr>
              <w:pStyle w:val="afa"/>
            </w:pPr>
          </w:p>
        </w:tc>
        <w:tc>
          <w:tcPr>
            <w:tcW w:w="416" w:type="pct"/>
            <w:tcMar>
              <w:top w:w="28" w:type="dxa"/>
              <w:bottom w:w="28" w:type="dxa"/>
            </w:tcMar>
            <w:vAlign w:val="center"/>
          </w:tcPr>
          <w:p w:rsidR="00EE56C0" w:rsidRDefault="000F36A1">
            <w:pPr>
              <w:pStyle w:val="afa"/>
            </w:pPr>
            <w:r>
              <w:t>S3</w:t>
            </w:r>
          </w:p>
        </w:tc>
        <w:tc>
          <w:tcPr>
            <w:tcW w:w="1081" w:type="pct"/>
            <w:tcMar>
              <w:top w:w="28" w:type="dxa"/>
              <w:bottom w:w="28" w:type="dxa"/>
            </w:tcMar>
            <w:vAlign w:val="center"/>
          </w:tcPr>
          <w:p w:rsidR="00EE56C0" w:rsidRDefault="000F36A1">
            <w:pPr>
              <w:pStyle w:val="afa"/>
            </w:pPr>
            <w:r>
              <w:t>检验残次品</w:t>
            </w:r>
          </w:p>
        </w:tc>
        <w:tc>
          <w:tcPr>
            <w:tcW w:w="912" w:type="pct"/>
            <w:tcMar>
              <w:top w:w="28" w:type="dxa"/>
              <w:bottom w:w="28" w:type="dxa"/>
            </w:tcMar>
            <w:vAlign w:val="center"/>
          </w:tcPr>
          <w:p w:rsidR="00EE56C0" w:rsidRDefault="000F36A1">
            <w:pPr>
              <w:pStyle w:val="afa"/>
            </w:pPr>
            <w:r>
              <w:rPr>
                <w:rFonts w:hint="eastAsia"/>
              </w:rPr>
              <w:t>一般固废</w:t>
            </w:r>
          </w:p>
        </w:tc>
        <w:tc>
          <w:tcPr>
            <w:tcW w:w="582" w:type="pct"/>
            <w:tcBorders>
              <w:right w:val="single" w:sz="4" w:space="0" w:color="auto"/>
            </w:tcBorders>
            <w:vAlign w:val="center"/>
          </w:tcPr>
          <w:p w:rsidR="00EE56C0" w:rsidRDefault="000F36A1">
            <w:pPr>
              <w:pStyle w:val="afa"/>
            </w:pPr>
            <w:r>
              <w:t>2.9</w:t>
            </w:r>
          </w:p>
        </w:tc>
        <w:tc>
          <w:tcPr>
            <w:tcW w:w="667" w:type="pct"/>
            <w:tcBorders>
              <w:left w:val="single" w:sz="4" w:space="0" w:color="auto"/>
            </w:tcBorders>
            <w:vAlign w:val="center"/>
          </w:tcPr>
          <w:p w:rsidR="00EE56C0" w:rsidRDefault="000F36A1">
            <w:pPr>
              <w:pStyle w:val="afa"/>
            </w:pPr>
            <w:r>
              <w:t>5.1</w:t>
            </w:r>
          </w:p>
        </w:tc>
        <w:tc>
          <w:tcPr>
            <w:tcW w:w="945" w:type="pct"/>
            <w:vMerge/>
            <w:vAlign w:val="center"/>
          </w:tcPr>
          <w:p w:rsidR="00EE56C0" w:rsidRDefault="00EE56C0">
            <w:pPr>
              <w:pStyle w:val="afa"/>
            </w:pPr>
          </w:p>
        </w:tc>
      </w:tr>
      <w:tr w:rsidR="00EE56C0">
        <w:trPr>
          <w:trHeight w:val="454"/>
        </w:trPr>
        <w:tc>
          <w:tcPr>
            <w:tcW w:w="396" w:type="pct"/>
            <w:vMerge/>
            <w:tcMar>
              <w:top w:w="28" w:type="dxa"/>
              <w:bottom w:w="28" w:type="dxa"/>
            </w:tcMar>
            <w:vAlign w:val="center"/>
          </w:tcPr>
          <w:p w:rsidR="00EE56C0" w:rsidRDefault="00EE56C0">
            <w:pPr>
              <w:pStyle w:val="afa"/>
            </w:pPr>
          </w:p>
        </w:tc>
        <w:tc>
          <w:tcPr>
            <w:tcW w:w="416" w:type="pct"/>
            <w:tcMar>
              <w:top w:w="28" w:type="dxa"/>
              <w:bottom w:w="28" w:type="dxa"/>
            </w:tcMar>
            <w:vAlign w:val="center"/>
          </w:tcPr>
          <w:p w:rsidR="00EE56C0" w:rsidRDefault="000F36A1">
            <w:pPr>
              <w:pStyle w:val="afa"/>
            </w:pPr>
            <w:r>
              <w:t>S4</w:t>
            </w:r>
          </w:p>
        </w:tc>
        <w:tc>
          <w:tcPr>
            <w:tcW w:w="1081" w:type="pct"/>
            <w:tcMar>
              <w:top w:w="28" w:type="dxa"/>
              <w:bottom w:w="28" w:type="dxa"/>
            </w:tcMar>
            <w:vAlign w:val="center"/>
          </w:tcPr>
          <w:p w:rsidR="00EE56C0" w:rsidRDefault="000F36A1">
            <w:pPr>
              <w:pStyle w:val="afa"/>
            </w:pPr>
            <w:r>
              <w:t>含铜油泥</w:t>
            </w:r>
          </w:p>
        </w:tc>
        <w:tc>
          <w:tcPr>
            <w:tcW w:w="912" w:type="pct"/>
            <w:tcMar>
              <w:top w:w="28" w:type="dxa"/>
              <w:bottom w:w="28" w:type="dxa"/>
            </w:tcMar>
            <w:vAlign w:val="center"/>
          </w:tcPr>
          <w:p w:rsidR="00EE56C0" w:rsidRDefault="000F36A1">
            <w:pPr>
              <w:pStyle w:val="afa"/>
            </w:pPr>
            <w:r>
              <w:rPr>
                <w:rFonts w:hint="eastAsia"/>
              </w:rPr>
              <w:t>危险废物</w:t>
            </w:r>
          </w:p>
        </w:tc>
        <w:tc>
          <w:tcPr>
            <w:tcW w:w="582" w:type="pct"/>
            <w:tcBorders>
              <w:right w:val="single" w:sz="4" w:space="0" w:color="auto"/>
            </w:tcBorders>
            <w:vAlign w:val="center"/>
          </w:tcPr>
          <w:p w:rsidR="00EE56C0" w:rsidRDefault="000F36A1">
            <w:pPr>
              <w:pStyle w:val="afa"/>
            </w:pPr>
            <w:r>
              <w:t>1.2</w:t>
            </w:r>
          </w:p>
        </w:tc>
        <w:tc>
          <w:tcPr>
            <w:tcW w:w="667" w:type="pct"/>
            <w:tcBorders>
              <w:left w:val="single" w:sz="4" w:space="0" w:color="auto"/>
            </w:tcBorders>
            <w:vAlign w:val="center"/>
          </w:tcPr>
          <w:p w:rsidR="00EE56C0" w:rsidRDefault="000F36A1">
            <w:pPr>
              <w:pStyle w:val="afa"/>
            </w:pPr>
            <w:r>
              <w:t>2.75</w:t>
            </w:r>
          </w:p>
        </w:tc>
        <w:tc>
          <w:tcPr>
            <w:tcW w:w="945" w:type="pct"/>
            <w:vMerge w:val="restart"/>
            <w:tcBorders>
              <w:top w:val="single" w:sz="4" w:space="0" w:color="auto"/>
            </w:tcBorders>
            <w:vAlign w:val="center"/>
          </w:tcPr>
          <w:p w:rsidR="00EE56C0" w:rsidRDefault="000F36A1">
            <w:pPr>
              <w:pStyle w:val="afa"/>
            </w:pPr>
            <w:r>
              <w:t>专用容器收集，在危废储存间分类暂存</w:t>
            </w:r>
            <w:r>
              <w:rPr>
                <w:rFonts w:hint="eastAsia"/>
              </w:rPr>
              <w:t>，</w:t>
            </w:r>
            <w:r>
              <w:t>定期送有</w:t>
            </w:r>
            <w:r>
              <w:rPr>
                <w:rFonts w:hint="eastAsia"/>
              </w:rPr>
              <w:t>相应</w:t>
            </w:r>
            <w:r>
              <w:t>危废</w:t>
            </w:r>
            <w:r>
              <w:rPr>
                <w:rFonts w:hint="eastAsia"/>
              </w:rPr>
              <w:t>处置</w:t>
            </w:r>
            <w:r>
              <w:t>资质的单位</w:t>
            </w:r>
            <w:r>
              <w:rPr>
                <w:rFonts w:hint="eastAsia"/>
              </w:rPr>
              <w:t>处置</w:t>
            </w:r>
          </w:p>
        </w:tc>
      </w:tr>
      <w:tr w:rsidR="00EE56C0">
        <w:trPr>
          <w:trHeight w:val="454"/>
        </w:trPr>
        <w:tc>
          <w:tcPr>
            <w:tcW w:w="396" w:type="pct"/>
            <w:vMerge/>
            <w:tcMar>
              <w:top w:w="28" w:type="dxa"/>
              <w:bottom w:w="28" w:type="dxa"/>
            </w:tcMar>
            <w:vAlign w:val="center"/>
          </w:tcPr>
          <w:p w:rsidR="00EE56C0" w:rsidRDefault="00EE56C0">
            <w:pPr>
              <w:pStyle w:val="afa"/>
            </w:pPr>
          </w:p>
        </w:tc>
        <w:tc>
          <w:tcPr>
            <w:tcW w:w="416" w:type="pct"/>
            <w:tcMar>
              <w:top w:w="28" w:type="dxa"/>
              <w:bottom w:w="28" w:type="dxa"/>
            </w:tcMar>
            <w:vAlign w:val="center"/>
          </w:tcPr>
          <w:p w:rsidR="00EE56C0" w:rsidRDefault="000F36A1">
            <w:pPr>
              <w:pStyle w:val="afa"/>
            </w:pPr>
            <w:r>
              <w:rPr>
                <w:rFonts w:hint="eastAsia"/>
              </w:rPr>
              <w:t>S5</w:t>
            </w:r>
          </w:p>
        </w:tc>
        <w:tc>
          <w:tcPr>
            <w:tcW w:w="1081" w:type="pct"/>
            <w:tcMar>
              <w:top w:w="28" w:type="dxa"/>
              <w:bottom w:w="28" w:type="dxa"/>
            </w:tcMar>
            <w:vAlign w:val="center"/>
          </w:tcPr>
          <w:p w:rsidR="00EE56C0" w:rsidRDefault="000F36A1">
            <w:pPr>
              <w:pStyle w:val="afa"/>
            </w:pPr>
            <w:r>
              <w:rPr>
                <w:rFonts w:hint="eastAsia"/>
              </w:rPr>
              <w:t>废拉丝油</w:t>
            </w:r>
          </w:p>
        </w:tc>
        <w:tc>
          <w:tcPr>
            <w:tcW w:w="912" w:type="pct"/>
            <w:tcMar>
              <w:top w:w="28" w:type="dxa"/>
              <w:bottom w:w="28" w:type="dxa"/>
            </w:tcMar>
            <w:vAlign w:val="center"/>
          </w:tcPr>
          <w:p w:rsidR="00EE56C0" w:rsidRDefault="000F36A1">
            <w:pPr>
              <w:pStyle w:val="afa"/>
            </w:pPr>
            <w:r>
              <w:rPr>
                <w:rFonts w:hint="eastAsia"/>
              </w:rPr>
              <w:t>危险废物</w:t>
            </w:r>
          </w:p>
        </w:tc>
        <w:tc>
          <w:tcPr>
            <w:tcW w:w="582" w:type="pct"/>
            <w:tcBorders>
              <w:right w:val="single" w:sz="4" w:space="0" w:color="auto"/>
            </w:tcBorders>
            <w:vAlign w:val="center"/>
          </w:tcPr>
          <w:p w:rsidR="00EE56C0" w:rsidRDefault="000F36A1">
            <w:pPr>
              <w:pStyle w:val="afa"/>
            </w:pPr>
            <w:r>
              <w:t>2.15</w:t>
            </w:r>
          </w:p>
        </w:tc>
        <w:tc>
          <w:tcPr>
            <w:tcW w:w="667" w:type="pct"/>
            <w:tcBorders>
              <w:left w:val="single" w:sz="4" w:space="0" w:color="auto"/>
            </w:tcBorders>
            <w:vAlign w:val="center"/>
          </w:tcPr>
          <w:p w:rsidR="00EE56C0" w:rsidRDefault="000F36A1">
            <w:pPr>
              <w:pStyle w:val="afa"/>
            </w:pPr>
            <w:r>
              <w:t>6.1</w:t>
            </w:r>
          </w:p>
        </w:tc>
        <w:tc>
          <w:tcPr>
            <w:tcW w:w="945" w:type="pct"/>
            <w:vMerge/>
            <w:tcBorders>
              <w:top w:val="single" w:sz="4" w:space="0" w:color="auto"/>
              <w:bottom w:val="single" w:sz="4" w:space="0" w:color="auto"/>
            </w:tcBorders>
            <w:vAlign w:val="center"/>
          </w:tcPr>
          <w:p w:rsidR="00EE56C0" w:rsidRDefault="00EE56C0">
            <w:pPr>
              <w:pStyle w:val="afa"/>
            </w:pPr>
          </w:p>
        </w:tc>
      </w:tr>
      <w:tr w:rsidR="00EE56C0">
        <w:trPr>
          <w:trHeight w:val="454"/>
        </w:trPr>
        <w:tc>
          <w:tcPr>
            <w:tcW w:w="396" w:type="pct"/>
            <w:vMerge/>
            <w:tcMar>
              <w:top w:w="28" w:type="dxa"/>
              <w:bottom w:w="28" w:type="dxa"/>
            </w:tcMar>
            <w:vAlign w:val="center"/>
          </w:tcPr>
          <w:p w:rsidR="00EE56C0" w:rsidRDefault="00EE56C0">
            <w:pPr>
              <w:pStyle w:val="afa"/>
            </w:pPr>
          </w:p>
        </w:tc>
        <w:tc>
          <w:tcPr>
            <w:tcW w:w="416" w:type="pct"/>
            <w:tcMar>
              <w:top w:w="28" w:type="dxa"/>
              <w:bottom w:w="28" w:type="dxa"/>
            </w:tcMar>
            <w:vAlign w:val="center"/>
          </w:tcPr>
          <w:p w:rsidR="00EE56C0" w:rsidRDefault="000F36A1">
            <w:pPr>
              <w:pStyle w:val="afa"/>
            </w:pPr>
            <w:r>
              <w:rPr>
                <w:rFonts w:hint="eastAsia"/>
              </w:rPr>
              <w:t>S6</w:t>
            </w:r>
          </w:p>
        </w:tc>
        <w:tc>
          <w:tcPr>
            <w:tcW w:w="1081" w:type="pct"/>
            <w:tcMar>
              <w:top w:w="28" w:type="dxa"/>
              <w:bottom w:w="28" w:type="dxa"/>
            </w:tcMar>
            <w:vAlign w:val="center"/>
          </w:tcPr>
          <w:p w:rsidR="00EE56C0" w:rsidRDefault="000F36A1">
            <w:pPr>
              <w:pStyle w:val="afa"/>
            </w:pPr>
            <w:r>
              <w:rPr>
                <w:rFonts w:hint="eastAsia"/>
              </w:rPr>
              <w:t>废丝包漆料桶</w:t>
            </w:r>
          </w:p>
        </w:tc>
        <w:tc>
          <w:tcPr>
            <w:tcW w:w="912" w:type="pct"/>
            <w:tcMar>
              <w:top w:w="28" w:type="dxa"/>
              <w:bottom w:w="28" w:type="dxa"/>
            </w:tcMar>
            <w:vAlign w:val="center"/>
          </w:tcPr>
          <w:p w:rsidR="00EE56C0" w:rsidRDefault="000F36A1">
            <w:pPr>
              <w:pStyle w:val="afa"/>
            </w:pPr>
            <w:r>
              <w:rPr>
                <w:rFonts w:hint="eastAsia"/>
              </w:rPr>
              <w:t>危险废物</w:t>
            </w:r>
          </w:p>
        </w:tc>
        <w:tc>
          <w:tcPr>
            <w:tcW w:w="582" w:type="pct"/>
            <w:tcBorders>
              <w:right w:val="single" w:sz="4" w:space="0" w:color="auto"/>
            </w:tcBorders>
            <w:vAlign w:val="center"/>
          </w:tcPr>
          <w:p w:rsidR="00EE56C0" w:rsidRDefault="000F36A1">
            <w:pPr>
              <w:pStyle w:val="afa"/>
            </w:pPr>
            <w:r>
              <w:t>0.6</w:t>
            </w:r>
          </w:p>
        </w:tc>
        <w:tc>
          <w:tcPr>
            <w:tcW w:w="667" w:type="pct"/>
            <w:tcBorders>
              <w:left w:val="single" w:sz="4" w:space="0" w:color="auto"/>
            </w:tcBorders>
            <w:vAlign w:val="center"/>
          </w:tcPr>
          <w:p w:rsidR="00EE56C0" w:rsidRDefault="000F36A1">
            <w:pPr>
              <w:pStyle w:val="afa"/>
            </w:pPr>
            <w:r>
              <w:t>0.5</w:t>
            </w:r>
          </w:p>
        </w:tc>
        <w:tc>
          <w:tcPr>
            <w:tcW w:w="945" w:type="pct"/>
            <w:vMerge/>
            <w:tcBorders>
              <w:top w:val="single" w:sz="4" w:space="0" w:color="auto"/>
              <w:bottom w:val="single" w:sz="4" w:space="0" w:color="auto"/>
            </w:tcBorders>
            <w:vAlign w:val="center"/>
          </w:tcPr>
          <w:p w:rsidR="00EE56C0" w:rsidRDefault="00EE56C0">
            <w:pPr>
              <w:pStyle w:val="afa"/>
            </w:pPr>
          </w:p>
        </w:tc>
      </w:tr>
      <w:tr w:rsidR="00EE56C0">
        <w:trPr>
          <w:trHeight w:val="454"/>
        </w:trPr>
        <w:tc>
          <w:tcPr>
            <w:tcW w:w="396" w:type="pct"/>
            <w:vMerge/>
            <w:tcMar>
              <w:top w:w="28" w:type="dxa"/>
              <w:bottom w:w="28" w:type="dxa"/>
            </w:tcMar>
            <w:vAlign w:val="center"/>
          </w:tcPr>
          <w:p w:rsidR="00EE56C0" w:rsidRDefault="00EE56C0">
            <w:pPr>
              <w:pStyle w:val="afa"/>
            </w:pPr>
          </w:p>
        </w:tc>
        <w:tc>
          <w:tcPr>
            <w:tcW w:w="416" w:type="pct"/>
            <w:tcMar>
              <w:top w:w="28" w:type="dxa"/>
              <w:bottom w:w="28" w:type="dxa"/>
            </w:tcMar>
            <w:vAlign w:val="center"/>
          </w:tcPr>
          <w:p w:rsidR="00EE56C0" w:rsidRDefault="000F36A1">
            <w:pPr>
              <w:pStyle w:val="afa"/>
            </w:pPr>
            <w:r>
              <w:rPr>
                <w:rFonts w:hint="eastAsia"/>
              </w:rPr>
              <w:t>S7</w:t>
            </w:r>
          </w:p>
        </w:tc>
        <w:tc>
          <w:tcPr>
            <w:tcW w:w="1081" w:type="pct"/>
            <w:tcMar>
              <w:top w:w="28" w:type="dxa"/>
              <w:bottom w:w="28" w:type="dxa"/>
            </w:tcMar>
            <w:vAlign w:val="center"/>
          </w:tcPr>
          <w:p w:rsidR="00EE56C0" w:rsidRDefault="000F36A1">
            <w:pPr>
              <w:pStyle w:val="afa"/>
            </w:pPr>
            <w:r>
              <w:rPr>
                <w:rFonts w:hint="eastAsia"/>
              </w:rPr>
              <w:t>含漆料</w:t>
            </w:r>
            <w:r>
              <w:rPr>
                <w:rFonts w:hint="eastAsia"/>
              </w:rPr>
              <w:t>/</w:t>
            </w:r>
            <w:r>
              <w:rPr>
                <w:rFonts w:hint="eastAsia"/>
              </w:rPr>
              <w:t>油的废毛毡</w:t>
            </w:r>
          </w:p>
        </w:tc>
        <w:tc>
          <w:tcPr>
            <w:tcW w:w="912" w:type="pct"/>
            <w:tcMar>
              <w:top w:w="28" w:type="dxa"/>
              <w:bottom w:w="28" w:type="dxa"/>
            </w:tcMar>
            <w:vAlign w:val="center"/>
          </w:tcPr>
          <w:p w:rsidR="00EE56C0" w:rsidRDefault="000F36A1">
            <w:pPr>
              <w:pStyle w:val="afa"/>
            </w:pPr>
            <w:r>
              <w:rPr>
                <w:rFonts w:hint="eastAsia"/>
              </w:rPr>
              <w:t>危险废物</w:t>
            </w:r>
          </w:p>
        </w:tc>
        <w:tc>
          <w:tcPr>
            <w:tcW w:w="582" w:type="pct"/>
            <w:tcBorders>
              <w:right w:val="single" w:sz="4" w:space="0" w:color="auto"/>
            </w:tcBorders>
            <w:vAlign w:val="center"/>
          </w:tcPr>
          <w:p w:rsidR="00EE56C0" w:rsidRDefault="000F36A1">
            <w:pPr>
              <w:pStyle w:val="afa"/>
            </w:pPr>
            <w:r>
              <w:t>0.3</w:t>
            </w:r>
          </w:p>
        </w:tc>
        <w:tc>
          <w:tcPr>
            <w:tcW w:w="667" w:type="pct"/>
            <w:tcBorders>
              <w:left w:val="single" w:sz="4" w:space="0" w:color="auto"/>
            </w:tcBorders>
            <w:vAlign w:val="center"/>
          </w:tcPr>
          <w:p w:rsidR="00EE56C0" w:rsidRDefault="000F36A1">
            <w:pPr>
              <w:pStyle w:val="afa"/>
            </w:pPr>
            <w:r>
              <w:t>0.7</w:t>
            </w:r>
          </w:p>
        </w:tc>
        <w:tc>
          <w:tcPr>
            <w:tcW w:w="945" w:type="pct"/>
            <w:vMerge/>
            <w:tcBorders>
              <w:top w:val="single" w:sz="4" w:space="0" w:color="auto"/>
              <w:bottom w:val="single" w:sz="4" w:space="0" w:color="auto"/>
            </w:tcBorders>
            <w:vAlign w:val="center"/>
          </w:tcPr>
          <w:p w:rsidR="00EE56C0" w:rsidRDefault="00EE56C0">
            <w:pPr>
              <w:pStyle w:val="afa"/>
            </w:pPr>
          </w:p>
        </w:tc>
      </w:tr>
      <w:tr w:rsidR="00EE56C0">
        <w:trPr>
          <w:trHeight w:val="454"/>
        </w:trPr>
        <w:tc>
          <w:tcPr>
            <w:tcW w:w="396" w:type="pct"/>
            <w:vMerge/>
            <w:tcMar>
              <w:top w:w="28" w:type="dxa"/>
              <w:bottom w:w="28" w:type="dxa"/>
            </w:tcMar>
            <w:vAlign w:val="center"/>
          </w:tcPr>
          <w:p w:rsidR="00EE56C0" w:rsidRDefault="00EE56C0">
            <w:pPr>
              <w:pStyle w:val="afa"/>
            </w:pPr>
          </w:p>
        </w:tc>
        <w:tc>
          <w:tcPr>
            <w:tcW w:w="416" w:type="pct"/>
            <w:tcMar>
              <w:top w:w="28" w:type="dxa"/>
              <w:bottom w:w="28" w:type="dxa"/>
            </w:tcMar>
            <w:vAlign w:val="center"/>
          </w:tcPr>
          <w:p w:rsidR="00EE56C0" w:rsidRDefault="000F36A1">
            <w:pPr>
              <w:pStyle w:val="afa"/>
            </w:pPr>
            <w:r>
              <w:rPr>
                <w:rFonts w:hint="eastAsia"/>
              </w:rPr>
              <w:t>S8</w:t>
            </w:r>
          </w:p>
        </w:tc>
        <w:tc>
          <w:tcPr>
            <w:tcW w:w="1081" w:type="pct"/>
            <w:tcMar>
              <w:top w:w="28" w:type="dxa"/>
              <w:bottom w:w="28" w:type="dxa"/>
            </w:tcMar>
            <w:vAlign w:val="center"/>
          </w:tcPr>
          <w:p w:rsidR="00EE56C0" w:rsidRDefault="000F36A1">
            <w:pPr>
              <w:pStyle w:val="afa"/>
            </w:pPr>
            <w:r>
              <w:rPr>
                <w:rFonts w:hint="eastAsia"/>
              </w:rPr>
              <w:t>废油</w:t>
            </w:r>
          </w:p>
        </w:tc>
        <w:tc>
          <w:tcPr>
            <w:tcW w:w="912" w:type="pct"/>
            <w:tcMar>
              <w:top w:w="28" w:type="dxa"/>
              <w:bottom w:w="28" w:type="dxa"/>
            </w:tcMar>
            <w:vAlign w:val="center"/>
          </w:tcPr>
          <w:p w:rsidR="00EE56C0" w:rsidRDefault="000F36A1">
            <w:pPr>
              <w:pStyle w:val="afa"/>
            </w:pPr>
            <w:r>
              <w:rPr>
                <w:rFonts w:hint="eastAsia"/>
              </w:rPr>
              <w:t>危险废物</w:t>
            </w:r>
          </w:p>
        </w:tc>
        <w:tc>
          <w:tcPr>
            <w:tcW w:w="582" w:type="pct"/>
            <w:tcBorders>
              <w:right w:val="single" w:sz="4" w:space="0" w:color="auto"/>
            </w:tcBorders>
            <w:vAlign w:val="center"/>
          </w:tcPr>
          <w:p w:rsidR="00EE56C0" w:rsidRDefault="000F36A1">
            <w:pPr>
              <w:pStyle w:val="afa"/>
            </w:pPr>
            <w:r>
              <w:t>0.3</w:t>
            </w:r>
          </w:p>
        </w:tc>
        <w:tc>
          <w:tcPr>
            <w:tcW w:w="667" w:type="pct"/>
            <w:tcBorders>
              <w:left w:val="single" w:sz="4" w:space="0" w:color="auto"/>
            </w:tcBorders>
            <w:vAlign w:val="center"/>
          </w:tcPr>
          <w:p w:rsidR="00EE56C0" w:rsidRDefault="000F36A1">
            <w:pPr>
              <w:pStyle w:val="afa"/>
            </w:pPr>
            <w:r>
              <w:t>0.7</w:t>
            </w:r>
          </w:p>
        </w:tc>
        <w:tc>
          <w:tcPr>
            <w:tcW w:w="945" w:type="pct"/>
            <w:vMerge/>
            <w:tcBorders>
              <w:top w:val="single" w:sz="4" w:space="0" w:color="auto"/>
              <w:bottom w:val="single" w:sz="4" w:space="0" w:color="auto"/>
            </w:tcBorders>
            <w:vAlign w:val="center"/>
          </w:tcPr>
          <w:p w:rsidR="00EE56C0" w:rsidRDefault="00EE56C0">
            <w:pPr>
              <w:pStyle w:val="afa"/>
            </w:pPr>
          </w:p>
        </w:tc>
      </w:tr>
      <w:tr w:rsidR="00EE56C0">
        <w:trPr>
          <w:trHeight w:val="454"/>
        </w:trPr>
        <w:tc>
          <w:tcPr>
            <w:tcW w:w="396" w:type="pct"/>
            <w:vMerge/>
            <w:tcMar>
              <w:top w:w="28" w:type="dxa"/>
              <w:bottom w:w="28" w:type="dxa"/>
            </w:tcMar>
            <w:vAlign w:val="center"/>
          </w:tcPr>
          <w:p w:rsidR="00EE56C0" w:rsidRDefault="00EE56C0">
            <w:pPr>
              <w:pStyle w:val="afa"/>
            </w:pPr>
          </w:p>
        </w:tc>
        <w:tc>
          <w:tcPr>
            <w:tcW w:w="416" w:type="pct"/>
            <w:tcMar>
              <w:top w:w="28" w:type="dxa"/>
              <w:bottom w:w="28" w:type="dxa"/>
            </w:tcMar>
            <w:vAlign w:val="center"/>
          </w:tcPr>
          <w:p w:rsidR="00EE56C0" w:rsidRDefault="000F36A1">
            <w:pPr>
              <w:pStyle w:val="afa"/>
            </w:pPr>
            <w:r>
              <w:rPr>
                <w:rFonts w:hint="eastAsia"/>
              </w:rPr>
              <w:t>S9</w:t>
            </w:r>
          </w:p>
        </w:tc>
        <w:tc>
          <w:tcPr>
            <w:tcW w:w="1081" w:type="pct"/>
            <w:tcMar>
              <w:top w:w="28" w:type="dxa"/>
              <w:bottom w:w="28" w:type="dxa"/>
            </w:tcMar>
            <w:vAlign w:val="center"/>
          </w:tcPr>
          <w:p w:rsidR="00EE56C0" w:rsidRDefault="000F36A1">
            <w:pPr>
              <w:pStyle w:val="afa"/>
            </w:pPr>
            <w:r>
              <w:rPr>
                <w:rFonts w:hint="eastAsia"/>
              </w:rPr>
              <w:t>废活性炭</w:t>
            </w:r>
          </w:p>
        </w:tc>
        <w:tc>
          <w:tcPr>
            <w:tcW w:w="912" w:type="pct"/>
            <w:tcMar>
              <w:top w:w="28" w:type="dxa"/>
              <w:bottom w:w="28" w:type="dxa"/>
            </w:tcMar>
            <w:vAlign w:val="center"/>
          </w:tcPr>
          <w:p w:rsidR="00EE56C0" w:rsidRDefault="000F36A1">
            <w:pPr>
              <w:pStyle w:val="afa"/>
            </w:pPr>
            <w:r>
              <w:rPr>
                <w:rFonts w:hint="eastAsia"/>
              </w:rPr>
              <w:t>危险废物</w:t>
            </w:r>
          </w:p>
        </w:tc>
        <w:tc>
          <w:tcPr>
            <w:tcW w:w="582" w:type="pct"/>
            <w:tcBorders>
              <w:right w:val="single" w:sz="4" w:space="0" w:color="auto"/>
            </w:tcBorders>
            <w:vAlign w:val="center"/>
          </w:tcPr>
          <w:p w:rsidR="00EE56C0" w:rsidRDefault="000F36A1">
            <w:pPr>
              <w:pStyle w:val="afa"/>
            </w:pPr>
            <w:r>
              <w:t>2.75</w:t>
            </w:r>
          </w:p>
        </w:tc>
        <w:tc>
          <w:tcPr>
            <w:tcW w:w="667" w:type="pct"/>
            <w:tcBorders>
              <w:left w:val="single" w:sz="4" w:space="0" w:color="auto"/>
            </w:tcBorders>
            <w:vAlign w:val="center"/>
          </w:tcPr>
          <w:p w:rsidR="00EE56C0" w:rsidRDefault="000F36A1">
            <w:pPr>
              <w:pStyle w:val="afa"/>
            </w:pPr>
            <w:r>
              <w:t>/</w:t>
            </w:r>
          </w:p>
        </w:tc>
        <w:tc>
          <w:tcPr>
            <w:tcW w:w="945" w:type="pct"/>
            <w:vMerge/>
            <w:tcBorders>
              <w:top w:val="single" w:sz="4" w:space="0" w:color="auto"/>
              <w:bottom w:val="single" w:sz="4" w:space="0" w:color="auto"/>
            </w:tcBorders>
            <w:vAlign w:val="center"/>
          </w:tcPr>
          <w:p w:rsidR="00EE56C0" w:rsidRDefault="00EE56C0">
            <w:pPr>
              <w:pStyle w:val="afa"/>
            </w:pPr>
          </w:p>
        </w:tc>
      </w:tr>
      <w:tr w:rsidR="00EE56C0">
        <w:trPr>
          <w:trHeight w:val="454"/>
        </w:trPr>
        <w:tc>
          <w:tcPr>
            <w:tcW w:w="396" w:type="pct"/>
            <w:vMerge/>
            <w:tcMar>
              <w:top w:w="28" w:type="dxa"/>
              <w:bottom w:w="28" w:type="dxa"/>
            </w:tcMar>
            <w:vAlign w:val="center"/>
          </w:tcPr>
          <w:p w:rsidR="00EE56C0" w:rsidRDefault="00EE56C0">
            <w:pPr>
              <w:pStyle w:val="afa"/>
            </w:pPr>
          </w:p>
        </w:tc>
        <w:tc>
          <w:tcPr>
            <w:tcW w:w="416" w:type="pct"/>
            <w:tcMar>
              <w:top w:w="28" w:type="dxa"/>
              <w:bottom w:w="28" w:type="dxa"/>
            </w:tcMar>
            <w:vAlign w:val="center"/>
          </w:tcPr>
          <w:p w:rsidR="00EE56C0" w:rsidRDefault="000F36A1">
            <w:pPr>
              <w:pStyle w:val="afa"/>
            </w:pPr>
            <w:r>
              <w:rPr>
                <w:rFonts w:hint="eastAsia"/>
              </w:rPr>
              <w:t>S10</w:t>
            </w:r>
          </w:p>
        </w:tc>
        <w:tc>
          <w:tcPr>
            <w:tcW w:w="1081" w:type="pct"/>
            <w:tcMar>
              <w:top w:w="28" w:type="dxa"/>
              <w:bottom w:w="28" w:type="dxa"/>
            </w:tcMar>
            <w:vAlign w:val="center"/>
          </w:tcPr>
          <w:p w:rsidR="00EE56C0" w:rsidRDefault="000F36A1">
            <w:pPr>
              <w:pStyle w:val="afa"/>
            </w:pPr>
            <w:r>
              <w:t>废催化剂</w:t>
            </w:r>
          </w:p>
        </w:tc>
        <w:tc>
          <w:tcPr>
            <w:tcW w:w="912" w:type="pct"/>
            <w:tcMar>
              <w:top w:w="28" w:type="dxa"/>
              <w:bottom w:w="28" w:type="dxa"/>
            </w:tcMar>
            <w:vAlign w:val="center"/>
          </w:tcPr>
          <w:p w:rsidR="00EE56C0" w:rsidRDefault="000F36A1">
            <w:pPr>
              <w:pStyle w:val="afa"/>
            </w:pPr>
            <w:r>
              <w:rPr>
                <w:rFonts w:hint="eastAsia"/>
              </w:rPr>
              <w:t>危险废物</w:t>
            </w:r>
          </w:p>
        </w:tc>
        <w:tc>
          <w:tcPr>
            <w:tcW w:w="582" w:type="pct"/>
            <w:tcBorders>
              <w:right w:val="single" w:sz="4" w:space="0" w:color="auto"/>
            </w:tcBorders>
            <w:vAlign w:val="center"/>
          </w:tcPr>
          <w:p w:rsidR="00EE56C0" w:rsidRDefault="000F36A1">
            <w:pPr>
              <w:pStyle w:val="afa"/>
            </w:pPr>
            <w:r>
              <w:t>0.2</w:t>
            </w:r>
          </w:p>
        </w:tc>
        <w:tc>
          <w:tcPr>
            <w:tcW w:w="667" w:type="pct"/>
            <w:tcBorders>
              <w:left w:val="single" w:sz="4" w:space="0" w:color="auto"/>
            </w:tcBorders>
            <w:vAlign w:val="center"/>
          </w:tcPr>
          <w:p w:rsidR="00EE56C0" w:rsidRDefault="000F36A1">
            <w:pPr>
              <w:pStyle w:val="afa"/>
            </w:pPr>
            <w:r>
              <w:t>0.4</w:t>
            </w:r>
          </w:p>
        </w:tc>
        <w:tc>
          <w:tcPr>
            <w:tcW w:w="945" w:type="pct"/>
            <w:vMerge/>
            <w:tcBorders>
              <w:top w:val="single" w:sz="4" w:space="0" w:color="auto"/>
              <w:bottom w:val="single" w:sz="4" w:space="0" w:color="auto"/>
            </w:tcBorders>
            <w:vAlign w:val="center"/>
          </w:tcPr>
          <w:p w:rsidR="00EE56C0" w:rsidRDefault="00EE56C0">
            <w:pPr>
              <w:pStyle w:val="afa"/>
            </w:pPr>
          </w:p>
        </w:tc>
      </w:tr>
      <w:tr w:rsidR="00EE56C0">
        <w:trPr>
          <w:trHeight w:val="454"/>
        </w:trPr>
        <w:tc>
          <w:tcPr>
            <w:tcW w:w="396" w:type="pct"/>
            <w:vMerge/>
            <w:tcMar>
              <w:top w:w="28" w:type="dxa"/>
              <w:bottom w:w="28" w:type="dxa"/>
            </w:tcMar>
            <w:vAlign w:val="center"/>
          </w:tcPr>
          <w:p w:rsidR="00EE56C0" w:rsidRDefault="00EE56C0">
            <w:pPr>
              <w:pStyle w:val="afa"/>
            </w:pPr>
          </w:p>
        </w:tc>
        <w:tc>
          <w:tcPr>
            <w:tcW w:w="416" w:type="pct"/>
            <w:tcMar>
              <w:top w:w="28" w:type="dxa"/>
              <w:bottom w:w="28" w:type="dxa"/>
            </w:tcMar>
            <w:vAlign w:val="center"/>
          </w:tcPr>
          <w:p w:rsidR="00EE56C0" w:rsidRDefault="000F36A1">
            <w:pPr>
              <w:pStyle w:val="afa"/>
            </w:pPr>
            <w:r>
              <w:rPr>
                <w:rFonts w:hint="eastAsia"/>
              </w:rPr>
              <w:t>S11</w:t>
            </w:r>
          </w:p>
        </w:tc>
        <w:tc>
          <w:tcPr>
            <w:tcW w:w="1081" w:type="pct"/>
            <w:tcMar>
              <w:top w:w="28" w:type="dxa"/>
              <w:bottom w:w="28" w:type="dxa"/>
            </w:tcMar>
            <w:vAlign w:val="center"/>
          </w:tcPr>
          <w:p w:rsidR="00EE56C0" w:rsidRDefault="000F36A1">
            <w:pPr>
              <w:pStyle w:val="afa"/>
            </w:pPr>
            <w:r>
              <w:rPr>
                <w:rFonts w:hint="eastAsia"/>
              </w:rPr>
              <w:t>废沸石分子筛</w:t>
            </w:r>
          </w:p>
        </w:tc>
        <w:tc>
          <w:tcPr>
            <w:tcW w:w="912" w:type="pct"/>
            <w:tcMar>
              <w:top w:w="28" w:type="dxa"/>
              <w:bottom w:w="28" w:type="dxa"/>
            </w:tcMar>
            <w:vAlign w:val="center"/>
          </w:tcPr>
          <w:p w:rsidR="00EE56C0" w:rsidRDefault="000F36A1">
            <w:pPr>
              <w:pStyle w:val="afa"/>
            </w:pPr>
            <w:r>
              <w:rPr>
                <w:rFonts w:hint="eastAsia"/>
              </w:rPr>
              <w:t>危险废物</w:t>
            </w:r>
          </w:p>
        </w:tc>
        <w:tc>
          <w:tcPr>
            <w:tcW w:w="582" w:type="pct"/>
            <w:tcBorders>
              <w:right w:val="single" w:sz="4" w:space="0" w:color="auto"/>
            </w:tcBorders>
            <w:vAlign w:val="center"/>
          </w:tcPr>
          <w:p w:rsidR="00EE56C0" w:rsidRDefault="000F36A1">
            <w:pPr>
              <w:pStyle w:val="afa"/>
            </w:pPr>
            <w:r>
              <w:t>3</w:t>
            </w:r>
          </w:p>
        </w:tc>
        <w:tc>
          <w:tcPr>
            <w:tcW w:w="667" w:type="pct"/>
            <w:tcBorders>
              <w:left w:val="single" w:sz="4" w:space="0" w:color="auto"/>
            </w:tcBorders>
            <w:vAlign w:val="center"/>
          </w:tcPr>
          <w:p w:rsidR="00EE56C0" w:rsidRDefault="000F36A1">
            <w:pPr>
              <w:pStyle w:val="afa"/>
            </w:pPr>
            <w:r>
              <w:t>/</w:t>
            </w:r>
          </w:p>
        </w:tc>
        <w:tc>
          <w:tcPr>
            <w:tcW w:w="945" w:type="pct"/>
            <w:vMerge/>
            <w:tcBorders>
              <w:top w:val="single" w:sz="4" w:space="0" w:color="auto"/>
              <w:bottom w:val="single" w:sz="4" w:space="0" w:color="auto"/>
            </w:tcBorders>
            <w:vAlign w:val="center"/>
          </w:tcPr>
          <w:p w:rsidR="00EE56C0" w:rsidRDefault="00EE56C0">
            <w:pPr>
              <w:pStyle w:val="afa"/>
            </w:pPr>
          </w:p>
        </w:tc>
      </w:tr>
    </w:tbl>
    <w:p w:rsidR="00EE56C0" w:rsidRDefault="000F36A1">
      <w:pPr>
        <w:pStyle w:val="2"/>
        <w:ind w:firstLine="301"/>
      </w:pPr>
      <w:bookmarkStart w:id="491" w:name="_Toc25400941"/>
      <w:r>
        <w:rPr>
          <w:rFonts w:hint="eastAsia"/>
        </w:rPr>
        <w:t>8.5</w:t>
      </w:r>
      <w:r>
        <w:t>工程污染物总量控制分析</w:t>
      </w:r>
      <w:bookmarkEnd w:id="491"/>
    </w:p>
    <w:p w:rsidR="00EE56C0" w:rsidRDefault="000F36A1">
      <w:pPr>
        <w:ind w:firstLine="480"/>
      </w:pPr>
      <w:r>
        <w:t>污染物排放总量控制是针对工程分析、环保治理措施及环境影响预测和分析的结果，贯彻</w:t>
      </w:r>
      <w:r>
        <w:t>“</w:t>
      </w:r>
      <w:r>
        <w:t>总量控制</w:t>
      </w:r>
      <w:r>
        <w:t>”</w:t>
      </w:r>
      <w:r>
        <w:t>、</w:t>
      </w:r>
      <w:r>
        <w:t>“</w:t>
      </w:r>
      <w:r>
        <w:t>达标排放</w:t>
      </w:r>
      <w:r>
        <w:t>”</w:t>
      </w:r>
      <w:r>
        <w:t>的原则，分析确定本项目废水、废气污染物排放总量控制指标，为环保部门监督管理提供依据。</w:t>
      </w:r>
    </w:p>
    <w:p w:rsidR="00EE56C0" w:rsidRDefault="000F36A1">
      <w:pPr>
        <w:pStyle w:val="4"/>
        <w:ind w:left="120" w:firstLine="241"/>
      </w:pPr>
      <w:bookmarkStart w:id="492" w:name="_Toc32352"/>
      <w:r>
        <w:rPr>
          <w:rFonts w:hint="eastAsia"/>
        </w:rPr>
        <w:t>8.5.1.1</w:t>
      </w:r>
      <w:r>
        <w:t>工程污染物排放情况</w:t>
      </w:r>
      <w:bookmarkEnd w:id="492"/>
    </w:p>
    <w:p w:rsidR="00EE56C0" w:rsidRDefault="000F36A1">
      <w:pPr>
        <w:ind w:firstLine="480"/>
      </w:pPr>
      <w:r>
        <w:t>根据工程分析，工程完成后污染物排放情况见表</w:t>
      </w:r>
      <w:r>
        <w:rPr>
          <w:rFonts w:hint="eastAsia"/>
        </w:rPr>
        <w:t>8-1</w:t>
      </w:r>
      <w:r w:rsidR="001F2747">
        <w:rPr>
          <w:rFonts w:hint="eastAsia"/>
        </w:rPr>
        <w:t>1</w:t>
      </w:r>
      <w:r>
        <w:t>。</w:t>
      </w:r>
      <w:bookmarkStart w:id="493" w:name="_Toc22795"/>
    </w:p>
    <w:p w:rsidR="00EE56C0" w:rsidRDefault="000F36A1">
      <w:pPr>
        <w:pStyle w:val="afd"/>
        <w:spacing w:before="120" w:after="120"/>
        <w:ind w:firstLine="482"/>
      </w:pPr>
      <w:r>
        <w:rPr>
          <w:rFonts w:hint="eastAsia"/>
        </w:rPr>
        <w:t>表</w:t>
      </w:r>
      <w:r>
        <w:rPr>
          <w:rFonts w:hint="eastAsia"/>
        </w:rPr>
        <w:t>8-1</w:t>
      </w:r>
      <w:r w:rsidR="001F2747">
        <w:rPr>
          <w:rFonts w:hint="eastAsia"/>
        </w:rPr>
        <w:t>1</w:t>
      </w:r>
      <w:r>
        <w:rPr>
          <w:rFonts w:hint="eastAsia"/>
        </w:rPr>
        <w:t xml:space="preserve">        </w:t>
      </w:r>
      <w:r>
        <w:rPr>
          <w:rFonts w:hint="eastAsia"/>
        </w:rPr>
        <w:t>项目一期新增污染物产排情况</w:t>
      </w:r>
      <w:r>
        <w:rPr>
          <w:rFonts w:hint="eastAsia"/>
        </w:rPr>
        <w:t xml:space="preserve">         </w:t>
      </w:r>
      <w:r>
        <w:rPr>
          <w:rFonts w:hint="eastAsia"/>
        </w:rPr>
        <w:t>单位：</w:t>
      </w:r>
      <w:r>
        <w:rPr>
          <w:rFonts w:hint="eastAsia"/>
        </w:rPr>
        <w:t>t/a</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tblPr>
      <w:tblGrid>
        <w:gridCol w:w="548"/>
        <w:gridCol w:w="455"/>
        <w:gridCol w:w="379"/>
        <w:gridCol w:w="960"/>
        <w:gridCol w:w="1189"/>
        <w:gridCol w:w="1293"/>
        <w:gridCol w:w="1238"/>
        <w:gridCol w:w="1237"/>
        <w:gridCol w:w="1230"/>
      </w:tblGrid>
      <w:tr w:rsidR="00EE56C0">
        <w:trPr>
          <w:trHeight w:val="397"/>
          <w:tblHeader/>
          <w:jc w:val="center"/>
        </w:trPr>
        <w:tc>
          <w:tcPr>
            <w:tcW w:w="1373" w:type="pct"/>
            <w:gridSpan w:val="4"/>
            <w:vAlign w:val="center"/>
          </w:tcPr>
          <w:p w:rsidR="00EE56C0" w:rsidRDefault="000F36A1">
            <w:pPr>
              <w:pStyle w:val="afa"/>
              <w:rPr>
                <w:b/>
                <w:u w:val="single"/>
              </w:rPr>
            </w:pPr>
            <w:r>
              <w:rPr>
                <w:b/>
                <w:u w:val="single"/>
              </w:rPr>
              <w:t>污染物</w:t>
            </w:r>
          </w:p>
        </w:tc>
        <w:tc>
          <w:tcPr>
            <w:tcW w:w="697" w:type="pct"/>
            <w:vAlign w:val="center"/>
          </w:tcPr>
          <w:p w:rsidR="00EE56C0" w:rsidRDefault="000F36A1">
            <w:pPr>
              <w:pStyle w:val="afa"/>
              <w:rPr>
                <w:b/>
                <w:u w:val="single"/>
              </w:rPr>
            </w:pPr>
            <w:r>
              <w:rPr>
                <w:b/>
                <w:u w:val="single"/>
              </w:rPr>
              <w:t>工程产生量</w:t>
            </w:r>
          </w:p>
        </w:tc>
        <w:tc>
          <w:tcPr>
            <w:tcW w:w="758" w:type="pct"/>
            <w:vAlign w:val="center"/>
          </w:tcPr>
          <w:p w:rsidR="00EE56C0" w:rsidRDefault="000F36A1">
            <w:pPr>
              <w:pStyle w:val="afa"/>
              <w:rPr>
                <w:b/>
                <w:u w:val="single"/>
              </w:rPr>
            </w:pPr>
            <w:r>
              <w:rPr>
                <w:b/>
                <w:u w:val="single"/>
              </w:rPr>
              <w:t>工程削减量</w:t>
            </w:r>
          </w:p>
        </w:tc>
        <w:tc>
          <w:tcPr>
            <w:tcW w:w="726" w:type="pct"/>
            <w:vAlign w:val="center"/>
          </w:tcPr>
          <w:p w:rsidR="00EE56C0" w:rsidRDefault="000F36A1">
            <w:pPr>
              <w:pStyle w:val="afa"/>
              <w:rPr>
                <w:b/>
                <w:u w:val="single"/>
              </w:rPr>
            </w:pPr>
            <w:r>
              <w:rPr>
                <w:rFonts w:hint="eastAsia"/>
                <w:b/>
                <w:u w:val="single"/>
              </w:rPr>
              <w:t>出厂总量</w:t>
            </w:r>
          </w:p>
        </w:tc>
        <w:tc>
          <w:tcPr>
            <w:tcW w:w="725" w:type="pct"/>
            <w:vAlign w:val="center"/>
          </w:tcPr>
          <w:p w:rsidR="00EE56C0" w:rsidRDefault="000F36A1">
            <w:pPr>
              <w:pStyle w:val="afa"/>
              <w:rPr>
                <w:b/>
                <w:u w:val="single"/>
              </w:rPr>
            </w:pPr>
            <w:r>
              <w:rPr>
                <w:rFonts w:hint="eastAsia"/>
                <w:b/>
                <w:u w:val="single"/>
              </w:rPr>
              <w:t>排入环境量</w:t>
            </w:r>
          </w:p>
        </w:tc>
        <w:tc>
          <w:tcPr>
            <w:tcW w:w="721" w:type="pct"/>
            <w:vAlign w:val="center"/>
          </w:tcPr>
          <w:p w:rsidR="00EE56C0" w:rsidRDefault="000F36A1">
            <w:pPr>
              <w:pStyle w:val="afa"/>
              <w:rPr>
                <w:b/>
                <w:u w:val="single"/>
              </w:rPr>
            </w:pPr>
            <w:r>
              <w:rPr>
                <w:rFonts w:hint="eastAsia"/>
                <w:b/>
                <w:u w:val="single"/>
              </w:rPr>
              <w:t>总量指标</w:t>
            </w:r>
          </w:p>
        </w:tc>
      </w:tr>
      <w:tr w:rsidR="00EE56C0">
        <w:trPr>
          <w:trHeight w:val="397"/>
          <w:jc w:val="center"/>
        </w:trPr>
        <w:tc>
          <w:tcPr>
            <w:tcW w:w="321" w:type="pct"/>
            <w:vMerge w:val="restart"/>
            <w:vAlign w:val="center"/>
          </w:tcPr>
          <w:p w:rsidR="00EE56C0" w:rsidRDefault="000F36A1">
            <w:pPr>
              <w:pStyle w:val="afa"/>
              <w:rPr>
                <w:u w:val="single"/>
              </w:rPr>
            </w:pPr>
            <w:r>
              <w:rPr>
                <w:u w:val="single"/>
              </w:rPr>
              <w:t>废水</w:t>
            </w:r>
          </w:p>
        </w:tc>
        <w:tc>
          <w:tcPr>
            <w:tcW w:w="1052" w:type="pct"/>
            <w:gridSpan w:val="3"/>
            <w:vAlign w:val="center"/>
          </w:tcPr>
          <w:p w:rsidR="00EE56C0" w:rsidRDefault="000F36A1">
            <w:pPr>
              <w:pStyle w:val="afa"/>
              <w:rPr>
                <w:u w:val="single"/>
              </w:rPr>
            </w:pPr>
            <w:r>
              <w:rPr>
                <w:u w:val="single"/>
              </w:rPr>
              <w:t>COD</w:t>
            </w:r>
          </w:p>
        </w:tc>
        <w:tc>
          <w:tcPr>
            <w:tcW w:w="697" w:type="pct"/>
            <w:vAlign w:val="center"/>
          </w:tcPr>
          <w:p w:rsidR="00EE56C0" w:rsidRDefault="000F36A1">
            <w:pPr>
              <w:pStyle w:val="afa"/>
              <w:rPr>
                <w:rFonts w:eastAsia="宋体"/>
                <w:u w:val="single"/>
              </w:rPr>
            </w:pPr>
            <w:r>
              <w:rPr>
                <w:u w:val="single"/>
              </w:rPr>
              <w:t xml:space="preserve">0.1033 </w:t>
            </w:r>
          </w:p>
        </w:tc>
        <w:tc>
          <w:tcPr>
            <w:tcW w:w="758" w:type="pct"/>
            <w:vAlign w:val="center"/>
          </w:tcPr>
          <w:p w:rsidR="00EE56C0" w:rsidRDefault="000F36A1">
            <w:pPr>
              <w:pStyle w:val="afa"/>
              <w:rPr>
                <w:rFonts w:eastAsia="宋体"/>
                <w:u w:val="single"/>
              </w:rPr>
            </w:pPr>
            <w:r>
              <w:rPr>
                <w:u w:val="single"/>
              </w:rPr>
              <w:t xml:space="preserve">0.0196 </w:t>
            </w:r>
          </w:p>
        </w:tc>
        <w:tc>
          <w:tcPr>
            <w:tcW w:w="726" w:type="pct"/>
            <w:vAlign w:val="center"/>
          </w:tcPr>
          <w:p w:rsidR="00EE56C0" w:rsidRDefault="000F36A1">
            <w:pPr>
              <w:pStyle w:val="afa"/>
              <w:rPr>
                <w:rFonts w:eastAsia="宋体"/>
                <w:u w:val="single"/>
              </w:rPr>
            </w:pPr>
            <w:r>
              <w:rPr>
                <w:u w:val="single"/>
              </w:rPr>
              <w:t xml:space="preserve">0.0837 </w:t>
            </w:r>
          </w:p>
        </w:tc>
        <w:tc>
          <w:tcPr>
            <w:tcW w:w="725" w:type="pct"/>
            <w:vAlign w:val="center"/>
          </w:tcPr>
          <w:p w:rsidR="00EE56C0" w:rsidRDefault="000F36A1">
            <w:pPr>
              <w:pStyle w:val="afa"/>
              <w:rPr>
                <w:rFonts w:eastAsia="宋体"/>
                <w:u w:val="single"/>
              </w:rPr>
            </w:pPr>
            <w:r>
              <w:rPr>
                <w:u w:val="single"/>
              </w:rPr>
              <w:t xml:space="preserve">0.0178 </w:t>
            </w:r>
          </w:p>
        </w:tc>
        <w:tc>
          <w:tcPr>
            <w:tcW w:w="721" w:type="pct"/>
            <w:vAlign w:val="center"/>
          </w:tcPr>
          <w:p w:rsidR="00EE56C0" w:rsidRDefault="000F36A1">
            <w:pPr>
              <w:pStyle w:val="afa"/>
              <w:rPr>
                <w:rFonts w:ascii="宋体" w:eastAsia="宋体" w:hAnsi="宋体" w:cs="宋体"/>
                <w:u w:val="single"/>
              </w:rPr>
            </w:pPr>
            <w:r>
              <w:rPr>
                <w:rFonts w:hint="eastAsia"/>
                <w:u w:val="single"/>
              </w:rPr>
              <w:t xml:space="preserve">0.0178 </w:t>
            </w:r>
          </w:p>
        </w:tc>
      </w:tr>
      <w:tr w:rsidR="00EE56C0">
        <w:trPr>
          <w:trHeight w:val="397"/>
          <w:jc w:val="center"/>
        </w:trPr>
        <w:tc>
          <w:tcPr>
            <w:tcW w:w="321" w:type="pct"/>
            <w:vMerge/>
            <w:vAlign w:val="center"/>
          </w:tcPr>
          <w:p w:rsidR="00EE56C0" w:rsidRDefault="00EE56C0">
            <w:pPr>
              <w:pStyle w:val="afa"/>
              <w:rPr>
                <w:u w:val="single"/>
              </w:rPr>
            </w:pPr>
          </w:p>
        </w:tc>
        <w:tc>
          <w:tcPr>
            <w:tcW w:w="1052" w:type="pct"/>
            <w:gridSpan w:val="3"/>
            <w:vAlign w:val="center"/>
          </w:tcPr>
          <w:p w:rsidR="00EE56C0" w:rsidRDefault="000F36A1">
            <w:pPr>
              <w:pStyle w:val="afa"/>
              <w:rPr>
                <w:u w:val="single"/>
              </w:rPr>
            </w:pPr>
            <w:r>
              <w:rPr>
                <w:rFonts w:hint="eastAsia"/>
                <w:u w:val="single"/>
              </w:rPr>
              <w:t>NH</w:t>
            </w:r>
            <w:r>
              <w:rPr>
                <w:rFonts w:hint="eastAsia"/>
                <w:u w:val="single"/>
                <w:vertAlign w:val="subscript"/>
              </w:rPr>
              <w:t>3</w:t>
            </w:r>
            <w:r>
              <w:rPr>
                <w:rFonts w:hint="eastAsia"/>
                <w:u w:val="single"/>
              </w:rPr>
              <w:t>-N</w:t>
            </w:r>
          </w:p>
        </w:tc>
        <w:tc>
          <w:tcPr>
            <w:tcW w:w="697" w:type="pct"/>
            <w:vAlign w:val="center"/>
          </w:tcPr>
          <w:p w:rsidR="00EE56C0" w:rsidRDefault="000F36A1">
            <w:pPr>
              <w:pStyle w:val="afa"/>
              <w:rPr>
                <w:rFonts w:eastAsia="宋体"/>
                <w:u w:val="single"/>
              </w:rPr>
            </w:pPr>
            <w:r>
              <w:rPr>
                <w:u w:val="single"/>
              </w:rPr>
              <w:t xml:space="preserve">0.0086 </w:t>
            </w:r>
          </w:p>
        </w:tc>
        <w:tc>
          <w:tcPr>
            <w:tcW w:w="758" w:type="pct"/>
            <w:vAlign w:val="center"/>
          </w:tcPr>
          <w:p w:rsidR="00EE56C0" w:rsidRDefault="000F36A1">
            <w:pPr>
              <w:pStyle w:val="afa"/>
              <w:rPr>
                <w:rFonts w:eastAsia="宋体"/>
                <w:u w:val="single"/>
              </w:rPr>
            </w:pPr>
            <w:r>
              <w:rPr>
                <w:u w:val="single"/>
              </w:rPr>
              <w:t xml:space="preserve">0.0006 </w:t>
            </w:r>
          </w:p>
        </w:tc>
        <w:tc>
          <w:tcPr>
            <w:tcW w:w="726" w:type="pct"/>
            <w:vAlign w:val="center"/>
          </w:tcPr>
          <w:p w:rsidR="00EE56C0" w:rsidRDefault="000F36A1">
            <w:pPr>
              <w:pStyle w:val="afa"/>
              <w:rPr>
                <w:rFonts w:eastAsia="宋体"/>
                <w:u w:val="single"/>
              </w:rPr>
            </w:pPr>
            <w:r>
              <w:rPr>
                <w:u w:val="single"/>
              </w:rPr>
              <w:t xml:space="preserve">0.0080 </w:t>
            </w:r>
          </w:p>
        </w:tc>
        <w:tc>
          <w:tcPr>
            <w:tcW w:w="725" w:type="pct"/>
            <w:vAlign w:val="center"/>
          </w:tcPr>
          <w:p w:rsidR="00EE56C0" w:rsidRDefault="000F36A1">
            <w:pPr>
              <w:pStyle w:val="afa"/>
              <w:rPr>
                <w:rFonts w:eastAsia="宋体"/>
                <w:u w:val="single"/>
              </w:rPr>
            </w:pPr>
            <w:r>
              <w:rPr>
                <w:u w:val="single"/>
              </w:rPr>
              <w:t xml:space="preserve">0.0009 </w:t>
            </w:r>
          </w:p>
        </w:tc>
        <w:tc>
          <w:tcPr>
            <w:tcW w:w="721" w:type="pct"/>
            <w:vAlign w:val="center"/>
          </w:tcPr>
          <w:p w:rsidR="00EE56C0" w:rsidRDefault="000F36A1">
            <w:pPr>
              <w:pStyle w:val="afa"/>
              <w:rPr>
                <w:rFonts w:ascii="宋体" w:eastAsia="宋体" w:hAnsi="宋体" w:cs="宋体"/>
                <w:u w:val="single"/>
              </w:rPr>
            </w:pPr>
            <w:r>
              <w:rPr>
                <w:rFonts w:hint="eastAsia"/>
                <w:u w:val="single"/>
              </w:rPr>
              <w:t xml:space="preserve">0.0009 </w:t>
            </w:r>
          </w:p>
        </w:tc>
      </w:tr>
      <w:tr w:rsidR="00EE56C0">
        <w:trPr>
          <w:trHeight w:val="397"/>
          <w:jc w:val="center"/>
        </w:trPr>
        <w:tc>
          <w:tcPr>
            <w:tcW w:w="321" w:type="pct"/>
            <w:vMerge/>
            <w:vAlign w:val="center"/>
          </w:tcPr>
          <w:p w:rsidR="00EE56C0" w:rsidRDefault="00EE56C0">
            <w:pPr>
              <w:pStyle w:val="afa"/>
              <w:rPr>
                <w:u w:val="single"/>
              </w:rPr>
            </w:pPr>
          </w:p>
        </w:tc>
        <w:tc>
          <w:tcPr>
            <w:tcW w:w="1052" w:type="pct"/>
            <w:gridSpan w:val="3"/>
            <w:vAlign w:val="center"/>
          </w:tcPr>
          <w:p w:rsidR="00EE56C0" w:rsidRDefault="000F36A1">
            <w:pPr>
              <w:pStyle w:val="afa"/>
              <w:rPr>
                <w:u w:val="single"/>
              </w:rPr>
            </w:pPr>
            <w:r>
              <w:rPr>
                <w:u w:val="single"/>
              </w:rPr>
              <w:t>T</w:t>
            </w:r>
            <w:r>
              <w:rPr>
                <w:rFonts w:hint="eastAsia"/>
                <w:u w:val="single"/>
              </w:rPr>
              <w:t>P</w:t>
            </w:r>
          </w:p>
        </w:tc>
        <w:tc>
          <w:tcPr>
            <w:tcW w:w="697" w:type="pct"/>
            <w:vAlign w:val="center"/>
          </w:tcPr>
          <w:p w:rsidR="00EE56C0" w:rsidRDefault="000F36A1">
            <w:pPr>
              <w:pStyle w:val="afa"/>
              <w:rPr>
                <w:rFonts w:eastAsia="宋体"/>
                <w:u w:val="single"/>
              </w:rPr>
            </w:pPr>
            <w:r>
              <w:rPr>
                <w:u w:val="single"/>
              </w:rPr>
              <w:t xml:space="preserve">0.0014 </w:t>
            </w:r>
          </w:p>
        </w:tc>
        <w:tc>
          <w:tcPr>
            <w:tcW w:w="758" w:type="pct"/>
            <w:vAlign w:val="center"/>
          </w:tcPr>
          <w:p w:rsidR="00EE56C0" w:rsidRDefault="000F36A1">
            <w:pPr>
              <w:pStyle w:val="afa"/>
              <w:rPr>
                <w:rFonts w:eastAsia="宋体"/>
                <w:u w:val="single"/>
              </w:rPr>
            </w:pPr>
            <w:r>
              <w:rPr>
                <w:u w:val="single"/>
              </w:rPr>
              <w:t xml:space="preserve">0.0000 </w:t>
            </w:r>
          </w:p>
        </w:tc>
        <w:tc>
          <w:tcPr>
            <w:tcW w:w="726" w:type="pct"/>
            <w:vAlign w:val="center"/>
          </w:tcPr>
          <w:p w:rsidR="00EE56C0" w:rsidRDefault="000F36A1">
            <w:pPr>
              <w:pStyle w:val="afa"/>
              <w:rPr>
                <w:rFonts w:eastAsia="宋体"/>
                <w:u w:val="single"/>
              </w:rPr>
            </w:pPr>
            <w:r>
              <w:rPr>
                <w:u w:val="single"/>
              </w:rPr>
              <w:t xml:space="preserve">0.0014 </w:t>
            </w:r>
          </w:p>
        </w:tc>
        <w:tc>
          <w:tcPr>
            <w:tcW w:w="725" w:type="pct"/>
            <w:vAlign w:val="center"/>
          </w:tcPr>
          <w:p w:rsidR="00EE56C0" w:rsidRDefault="000F36A1">
            <w:pPr>
              <w:pStyle w:val="afa"/>
              <w:rPr>
                <w:rFonts w:eastAsia="宋体"/>
                <w:u w:val="single"/>
              </w:rPr>
            </w:pPr>
            <w:r>
              <w:rPr>
                <w:u w:val="single"/>
              </w:rPr>
              <w:t xml:space="preserve">0.0002 </w:t>
            </w:r>
          </w:p>
        </w:tc>
        <w:tc>
          <w:tcPr>
            <w:tcW w:w="721" w:type="pct"/>
            <w:vAlign w:val="center"/>
          </w:tcPr>
          <w:p w:rsidR="00EE56C0" w:rsidRDefault="000F36A1">
            <w:pPr>
              <w:pStyle w:val="afa"/>
              <w:rPr>
                <w:rFonts w:ascii="宋体" w:eastAsia="宋体" w:hAnsi="宋体" w:cs="宋体"/>
                <w:u w:val="single"/>
              </w:rPr>
            </w:pPr>
            <w:r>
              <w:rPr>
                <w:rFonts w:hint="eastAsia"/>
                <w:u w:val="single"/>
              </w:rPr>
              <w:t xml:space="preserve">0.0002 </w:t>
            </w:r>
          </w:p>
        </w:tc>
      </w:tr>
      <w:tr w:rsidR="00EE56C0">
        <w:trPr>
          <w:trHeight w:val="397"/>
          <w:jc w:val="center"/>
        </w:trPr>
        <w:tc>
          <w:tcPr>
            <w:tcW w:w="321" w:type="pct"/>
            <w:vMerge/>
            <w:vAlign w:val="center"/>
          </w:tcPr>
          <w:p w:rsidR="00EE56C0" w:rsidRDefault="00EE56C0">
            <w:pPr>
              <w:pStyle w:val="afa"/>
              <w:rPr>
                <w:u w:val="single"/>
              </w:rPr>
            </w:pPr>
          </w:p>
        </w:tc>
        <w:tc>
          <w:tcPr>
            <w:tcW w:w="1052" w:type="pct"/>
            <w:gridSpan w:val="3"/>
            <w:vAlign w:val="center"/>
          </w:tcPr>
          <w:p w:rsidR="00EE56C0" w:rsidRDefault="000F36A1">
            <w:pPr>
              <w:pStyle w:val="afa"/>
              <w:rPr>
                <w:u w:val="single"/>
              </w:rPr>
            </w:pPr>
            <w:r>
              <w:rPr>
                <w:rFonts w:hint="eastAsia"/>
                <w:u w:val="single"/>
              </w:rPr>
              <w:t>TN</w:t>
            </w:r>
          </w:p>
        </w:tc>
        <w:tc>
          <w:tcPr>
            <w:tcW w:w="697" w:type="pct"/>
            <w:vAlign w:val="center"/>
          </w:tcPr>
          <w:p w:rsidR="00EE56C0" w:rsidRDefault="000F36A1">
            <w:pPr>
              <w:pStyle w:val="afa"/>
              <w:rPr>
                <w:rFonts w:eastAsia="宋体"/>
                <w:u w:val="single"/>
              </w:rPr>
            </w:pPr>
            <w:r>
              <w:rPr>
                <w:u w:val="single"/>
              </w:rPr>
              <w:t xml:space="preserve">0.0103 </w:t>
            </w:r>
          </w:p>
        </w:tc>
        <w:tc>
          <w:tcPr>
            <w:tcW w:w="758" w:type="pct"/>
            <w:vAlign w:val="center"/>
          </w:tcPr>
          <w:p w:rsidR="00EE56C0" w:rsidRDefault="000F36A1">
            <w:pPr>
              <w:pStyle w:val="afa"/>
              <w:rPr>
                <w:rFonts w:eastAsia="宋体"/>
                <w:u w:val="single"/>
              </w:rPr>
            </w:pPr>
            <w:r>
              <w:rPr>
                <w:u w:val="single"/>
              </w:rPr>
              <w:t xml:space="preserve">0.0006 </w:t>
            </w:r>
          </w:p>
        </w:tc>
        <w:tc>
          <w:tcPr>
            <w:tcW w:w="726" w:type="pct"/>
            <w:vAlign w:val="center"/>
          </w:tcPr>
          <w:p w:rsidR="00EE56C0" w:rsidRDefault="000F36A1">
            <w:pPr>
              <w:pStyle w:val="afa"/>
              <w:rPr>
                <w:rFonts w:eastAsia="宋体"/>
                <w:u w:val="single"/>
              </w:rPr>
            </w:pPr>
            <w:r>
              <w:rPr>
                <w:u w:val="single"/>
              </w:rPr>
              <w:t xml:space="preserve">0.0098 </w:t>
            </w:r>
          </w:p>
        </w:tc>
        <w:tc>
          <w:tcPr>
            <w:tcW w:w="725" w:type="pct"/>
            <w:vAlign w:val="center"/>
          </w:tcPr>
          <w:p w:rsidR="00EE56C0" w:rsidRDefault="000F36A1">
            <w:pPr>
              <w:pStyle w:val="afa"/>
              <w:rPr>
                <w:rFonts w:eastAsia="宋体"/>
                <w:u w:val="single"/>
              </w:rPr>
            </w:pPr>
            <w:r>
              <w:rPr>
                <w:u w:val="single"/>
              </w:rPr>
              <w:t xml:space="preserve">0.0067 </w:t>
            </w:r>
          </w:p>
        </w:tc>
        <w:tc>
          <w:tcPr>
            <w:tcW w:w="721" w:type="pct"/>
            <w:vAlign w:val="center"/>
          </w:tcPr>
          <w:p w:rsidR="00EE56C0" w:rsidRDefault="000F36A1">
            <w:pPr>
              <w:pStyle w:val="afa"/>
              <w:rPr>
                <w:rFonts w:ascii="宋体" w:eastAsia="宋体" w:hAnsi="宋体" w:cs="宋体"/>
                <w:u w:val="single"/>
              </w:rPr>
            </w:pPr>
            <w:r>
              <w:rPr>
                <w:rFonts w:hint="eastAsia"/>
                <w:u w:val="single"/>
              </w:rPr>
              <w:t xml:space="preserve">0.0067 </w:t>
            </w:r>
          </w:p>
        </w:tc>
      </w:tr>
      <w:tr w:rsidR="00EE56C0">
        <w:trPr>
          <w:trHeight w:val="397"/>
          <w:jc w:val="center"/>
        </w:trPr>
        <w:tc>
          <w:tcPr>
            <w:tcW w:w="321" w:type="pct"/>
            <w:vMerge/>
            <w:vAlign w:val="center"/>
          </w:tcPr>
          <w:p w:rsidR="00EE56C0" w:rsidRDefault="00EE56C0">
            <w:pPr>
              <w:pStyle w:val="afa"/>
              <w:rPr>
                <w:u w:val="single"/>
              </w:rPr>
            </w:pPr>
          </w:p>
        </w:tc>
        <w:tc>
          <w:tcPr>
            <w:tcW w:w="1052" w:type="pct"/>
            <w:gridSpan w:val="3"/>
            <w:vAlign w:val="center"/>
          </w:tcPr>
          <w:p w:rsidR="00EE56C0" w:rsidRDefault="000F36A1">
            <w:pPr>
              <w:pStyle w:val="afa"/>
              <w:rPr>
                <w:u w:val="single"/>
              </w:rPr>
            </w:pPr>
            <w:r>
              <w:rPr>
                <w:u w:val="single"/>
              </w:rPr>
              <w:t>水量（</w:t>
            </w:r>
            <w:r>
              <w:rPr>
                <w:u w:val="single"/>
              </w:rPr>
              <w:t>t/a</w:t>
            </w:r>
            <w:r>
              <w:rPr>
                <w:u w:val="single"/>
              </w:rPr>
              <w:t>）</w:t>
            </w:r>
          </w:p>
        </w:tc>
        <w:tc>
          <w:tcPr>
            <w:tcW w:w="697" w:type="pct"/>
            <w:vAlign w:val="center"/>
          </w:tcPr>
          <w:p w:rsidR="00EE56C0" w:rsidRDefault="000F36A1">
            <w:pPr>
              <w:pStyle w:val="afa"/>
              <w:rPr>
                <w:rFonts w:eastAsia="宋体"/>
                <w:u w:val="single"/>
              </w:rPr>
            </w:pPr>
            <w:r>
              <w:rPr>
                <w:u w:val="single"/>
              </w:rPr>
              <w:t>444</w:t>
            </w:r>
          </w:p>
        </w:tc>
        <w:tc>
          <w:tcPr>
            <w:tcW w:w="758" w:type="pct"/>
            <w:vAlign w:val="center"/>
          </w:tcPr>
          <w:p w:rsidR="00EE56C0" w:rsidRDefault="000F36A1">
            <w:pPr>
              <w:pStyle w:val="afa"/>
              <w:rPr>
                <w:rFonts w:eastAsia="宋体"/>
                <w:u w:val="single"/>
              </w:rPr>
            </w:pPr>
            <w:r>
              <w:rPr>
                <w:u w:val="single"/>
              </w:rPr>
              <w:t>0</w:t>
            </w:r>
          </w:p>
        </w:tc>
        <w:tc>
          <w:tcPr>
            <w:tcW w:w="726" w:type="pct"/>
            <w:vAlign w:val="center"/>
          </w:tcPr>
          <w:p w:rsidR="00EE56C0" w:rsidRDefault="000F36A1">
            <w:pPr>
              <w:pStyle w:val="afa"/>
              <w:rPr>
                <w:rFonts w:eastAsia="宋体"/>
                <w:u w:val="single"/>
              </w:rPr>
            </w:pPr>
            <w:r>
              <w:rPr>
                <w:u w:val="single"/>
              </w:rPr>
              <w:t>444</w:t>
            </w:r>
          </w:p>
        </w:tc>
        <w:tc>
          <w:tcPr>
            <w:tcW w:w="725" w:type="pct"/>
            <w:vAlign w:val="center"/>
          </w:tcPr>
          <w:p w:rsidR="00EE56C0" w:rsidRDefault="000F36A1">
            <w:pPr>
              <w:pStyle w:val="afa"/>
              <w:rPr>
                <w:rFonts w:eastAsia="宋体"/>
                <w:u w:val="single"/>
              </w:rPr>
            </w:pPr>
            <w:r>
              <w:rPr>
                <w:u w:val="single"/>
              </w:rPr>
              <w:t>444</w:t>
            </w:r>
          </w:p>
        </w:tc>
        <w:tc>
          <w:tcPr>
            <w:tcW w:w="721" w:type="pct"/>
            <w:vAlign w:val="center"/>
          </w:tcPr>
          <w:p w:rsidR="00EE56C0" w:rsidRDefault="000F36A1">
            <w:pPr>
              <w:pStyle w:val="afa"/>
              <w:rPr>
                <w:u w:val="single"/>
              </w:rPr>
            </w:pPr>
            <w:r>
              <w:rPr>
                <w:u w:val="single"/>
              </w:rPr>
              <w:t>444</w:t>
            </w:r>
          </w:p>
        </w:tc>
      </w:tr>
      <w:tr w:rsidR="00EE56C0">
        <w:trPr>
          <w:trHeight w:val="397"/>
          <w:jc w:val="center"/>
        </w:trPr>
        <w:tc>
          <w:tcPr>
            <w:tcW w:w="321" w:type="pct"/>
            <w:vMerge w:val="restart"/>
            <w:tcBorders>
              <w:top w:val="single" w:sz="4" w:space="0" w:color="auto"/>
            </w:tcBorders>
            <w:vAlign w:val="center"/>
          </w:tcPr>
          <w:p w:rsidR="00EE56C0" w:rsidRDefault="000F36A1">
            <w:pPr>
              <w:pStyle w:val="afa"/>
              <w:rPr>
                <w:u w:val="single"/>
              </w:rPr>
            </w:pPr>
            <w:r>
              <w:rPr>
                <w:u w:val="single"/>
              </w:rPr>
              <w:t>废气</w:t>
            </w:r>
          </w:p>
        </w:tc>
        <w:tc>
          <w:tcPr>
            <w:tcW w:w="267" w:type="pct"/>
            <w:vMerge w:val="restart"/>
            <w:tcBorders>
              <w:top w:val="single" w:sz="4" w:space="0" w:color="auto"/>
              <w:right w:val="single" w:sz="4" w:space="0" w:color="auto"/>
            </w:tcBorders>
            <w:vAlign w:val="center"/>
          </w:tcPr>
          <w:p w:rsidR="00EE56C0" w:rsidRDefault="000F36A1">
            <w:pPr>
              <w:pStyle w:val="afa"/>
              <w:rPr>
                <w:u w:val="single"/>
              </w:rPr>
            </w:pPr>
            <w:r>
              <w:rPr>
                <w:rFonts w:hint="eastAsia"/>
                <w:u w:val="single"/>
              </w:rPr>
              <w:t>有组织</w:t>
            </w:r>
          </w:p>
        </w:tc>
        <w:tc>
          <w:tcPr>
            <w:tcW w:w="222" w:type="pct"/>
            <w:vMerge w:val="restart"/>
            <w:tcBorders>
              <w:left w:val="single" w:sz="4" w:space="0" w:color="auto"/>
              <w:right w:val="single" w:sz="4" w:space="0" w:color="auto"/>
            </w:tcBorders>
            <w:vAlign w:val="center"/>
          </w:tcPr>
          <w:p w:rsidR="00EE56C0" w:rsidRDefault="000F36A1">
            <w:pPr>
              <w:pStyle w:val="afa"/>
              <w:rPr>
                <w:u w:val="single"/>
              </w:rPr>
            </w:pPr>
            <w:r>
              <w:rPr>
                <w:rFonts w:hint="eastAsia"/>
                <w:u w:val="single"/>
              </w:rPr>
              <w:t>VOC</w:t>
            </w:r>
            <w:r>
              <w:rPr>
                <w:rFonts w:hint="eastAsia"/>
                <w:u w:val="single"/>
              </w:rPr>
              <w:lastRenderedPageBreak/>
              <w:t>s</w:t>
            </w:r>
          </w:p>
        </w:tc>
        <w:tc>
          <w:tcPr>
            <w:tcW w:w="563" w:type="pct"/>
            <w:tcBorders>
              <w:left w:val="single" w:sz="4" w:space="0" w:color="auto"/>
            </w:tcBorders>
            <w:vAlign w:val="center"/>
          </w:tcPr>
          <w:p w:rsidR="00EE56C0" w:rsidRDefault="000F36A1">
            <w:pPr>
              <w:pStyle w:val="afa"/>
              <w:rPr>
                <w:u w:val="single"/>
              </w:rPr>
            </w:pPr>
            <w:r>
              <w:rPr>
                <w:rFonts w:hint="eastAsia"/>
                <w:u w:val="single"/>
              </w:rPr>
              <w:lastRenderedPageBreak/>
              <w:t>酚</w:t>
            </w:r>
          </w:p>
        </w:tc>
        <w:tc>
          <w:tcPr>
            <w:tcW w:w="697" w:type="pct"/>
            <w:vAlign w:val="center"/>
          </w:tcPr>
          <w:p w:rsidR="00EE56C0" w:rsidRDefault="000F36A1">
            <w:pPr>
              <w:pStyle w:val="afa"/>
              <w:rPr>
                <w:rFonts w:eastAsia="宋体"/>
                <w:u w:val="single"/>
              </w:rPr>
            </w:pPr>
            <w:r>
              <w:rPr>
                <w:u w:val="single"/>
              </w:rPr>
              <w:t>132.94</w:t>
            </w:r>
          </w:p>
        </w:tc>
        <w:tc>
          <w:tcPr>
            <w:tcW w:w="758" w:type="pct"/>
            <w:vAlign w:val="center"/>
          </w:tcPr>
          <w:p w:rsidR="00EE56C0" w:rsidRDefault="000F36A1">
            <w:pPr>
              <w:pStyle w:val="afa"/>
              <w:rPr>
                <w:rFonts w:eastAsia="宋体"/>
                <w:u w:val="single"/>
              </w:rPr>
            </w:pPr>
            <w:r>
              <w:rPr>
                <w:u w:val="single"/>
              </w:rPr>
              <w:t xml:space="preserve">132.9099 </w:t>
            </w:r>
          </w:p>
        </w:tc>
        <w:tc>
          <w:tcPr>
            <w:tcW w:w="726" w:type="pct"/>
            <w:vAlign w:val="center"/>
          </w:tcPr>
          <w:p w:rsidR="00EE56C0" w:rsidRDefault="000F36A1">
            <w:pPr>
              <w:pStyle w:val="afa"/>
              <w:rPr>
                <w:rFonts w:eastAsia="宋体"/>
                <w:u w:val="single"/>
              </w:rPr>
            </w:pPr>
            <w:r>
              <w:rPr>
                <w:u w:val="single"/>
              </w:rPr>
              <w:t xml:space="preserve">0.0301 </w:t>
            </w:r>
          </w:p>
        </w:tc>
        <w:tc>
          <w:tcPr>
            <w:tcW w:w="725" w:type="pct"/>
            <w:vAlign w:val="center"/>
          </w:tcPr>
          <w:p w:rsidR="00EE56C0" w:rsidRDefault="000F36A1">
            <w:pPr>
              <w:pStyle w:val="afa"/>
              <w:rPr>
                <w:rFonts w:eastAsia="宋体"/>
                <w:u w:val="single"/>
              </w:rPr>
            </w:pPr>
            <w:r>
              <w:rPr>
                <w:u w:val="single"/>
              </w:rPr>
              <w:t xml:space="preserve">0.0301 </w:t>
            </w:r>
          </w:p>
        </w:tc>
        <w:tc>
          <w:tcPr>
            <w:tcW w:w="721" w:type="pct"/>
            <w:vAlign w:val="center"/>
          </w:tcPr>
          <w:p w:rsidR="00EE56C0" w:rsidRDefault="000F36A1">
            <w:pPr>
              <w:pStyle w:val="afa"/>
              <w:rPr>
                <w:rFonts w:eastAsia="宋体"/>
                <w:u w:val="single"/>
              </w:rPr>
            </w:pPr>
            <w:r>
              <w:rPr>
                <w:u w:val="single"/>
              </w:rPr>
              <w:t xml:space="preserve">0.0301 </w:t>
            </w:r>
          </w:p>
        </w:tc>
      </w:tr>
      <w:tr w:rsidR="00EE56C0">
        <w:trPr>
          <w:trHeight w:val="397"/>
          <w:jc w:val="center"/>
        </w:trPr>
        <w:tc>
          <w:tcPr>
            <w:tcW w:w="321" w:type="pct"/>
            <w:vMerge/>
            <w:vAlign w:val="center"/>
          </w:tcPr>
          <w:p w:rsidR="00EE56C0" w:rsidRDefault="00EE56C0">
            <w:pPr>
              <w:pStyle w:val="afa"/>
              <w:rPr>
                <w:u w:val="single"/>
              </w:rPr>
            </w:pPr>
          </w:p>
        </w:tc>
        <w:tc>
          <w:tcPr>
            <w:tcW w:w="267" w:type="pct"/>
            <w:vMerge/>
            <w:tcBorders>
              <w:right w:val="single" w:sz="4" w:space="0" w:color="auto"/>
            </w:tcBorders>
            <w:vAlign w:val="center"/>
          </w:tcPr>
          <w:p w:rsidR="00EE56C0" w:rsidRDefault="00EE56C0">
            <w:pPr>
              <w:pStyle w:val="afa"/>
              <w:rPr>
                <w:u w:val="single"/>
              </w:rPr>
            </w:pPr>
          </w:p>
        </w:tc>
        <w:tc>
          <w:tcPr>
            <w:tcW w:w="222" w:type="pct"/>
            <w:vMerge/>
            <w:tcBorders>
              <w:left w:val="single" w:sz="4" w:space="0" w:color="auto"/>
              <w:right w:val="single" w:sz="4" w:space="0" w:color="auto"/>
            </w:tcBorders>
            <w:vAlign w:val="center"/>
          </w:tcPr>
          <w:p w:rsidR="00EE56C0" w:rsidRDefault="00EE56C0">
            <w:pPr>
              <w:pStyle w:val="afa"/>
              <w:rPr>
                <w:u w:val="single"/>
              </w:rPr>
            </w:pPr>
          </w:p>
        </w:tc>
        <w:tc>
          <w:tcPr>
            <w:tcW w:w="563" w:type="pct"/>
            <w:tcBorders>
              <w:left w:val="single" w:sz="4" w:space="0" w:color="auto"/>
            </w:tcBorders>
            <w:vAlign w:val="center"/>
          </w:tcPr>
          <w:p w:rsidR="00EE56C0" w:rsidRDefault="000F36A1">
            <w:pPr>
              <w:pStyle w:val="afa"/>
              <w:rPr>
                <w:u w:val="single"/>
              </w:rPr>
            </w:pPr>
            <w:r>
              <w:rPr>
                <w:u w:val="single"/>
              </w:rPr>
              <w:t>非甲烷总烃</w:t>
            </w:r>
          </w:p>
        </w:tc>
        <w:tc>
          <w:tcPr>
            <w:tcW w:w="697" w:type="pct"/>
            <w:vAlign w:val="center"/>
          </w:tcPr>
          <w:p w:rsidR="00EE56C0" w:rsidRDefault="000F36A1">
            <w:pPr>
              <w:pStyle w:val="afa"/>
              <w:rPr>
                <w:rFonts w:eastAsia="宋体"/>
                <w:u w:val="single"/>
              </w:rPr>
            </w:pPr>
            <w:r>
              <w:rPr>
                <w:u w:val="single"/>
              </w:rPr>
              <w:t xml:space="preserve">85.8750 </w:t>
            </w:r>
          </w:p>
        </w:tc>
        <w:tc>
          <w:tcPr>
            <w:tcW w:w="758" w:type="pct"/>
            <w:vAlign w:val="center"/>
          </w:tcPr>
          <w:p w:rsidR="00EE56C0" w:rsidRDefault="000F36A1">
            <w:pPr>
              <w:pStyle w:val="afa"/>
              <w:rPr>
                <w:rFonts w:eastAsia="宋体"/>
                <w:u w:val="single"/>
              </w:rPr>
            </w:pPr>
            <w:r>
              <w:rPr>
                <w:u w:val="single"/>
              </w:rPr>
              <w:t xml:space="preserve">85.7734 </w:t>
            </w:r>
          </w:p>
        </w:tc>
        <w:tc>
          <w:tcPr>
            <w:tcW w:w="726" w:type="pct"/>
            <w:vAlign w:val="center"/>
          </w:tcPr>
          <w:p w:rsidR="00EE56C0" w:rsidRDefault="000F36A1">
            <w:pPr>
              <w:pStyle w:val="afa"/>
              <w:rPr>
                <w:rFonts w:eastAsia="宋体"/>
                <w:u w:val="single"/>
              </w:rPr>
            </w:pPr>
            <w:r>
              <w:rPr>
                <w:u w:val="single"/>
              </w:rPr>
              <w:t xml:space="preserve">0.1016 </w:t>
            </w:r>
          </w:p>
        </w:tc>
        <w:tc>
          <w:tcPr>
            <w:tcW w:w="725" w:type="pct"/>
            <w:vAlign w:val="center"/>
          </w:tcPr>
          <w:p w:rsidR="00EE56C0" w:rsidRDefault="000F36A1">
            <w:pPr>
              <w:pStyle w:val="afa"/>
              <w:rPr>
                <w:rFonts w:eastAsia="宋体"/>
                <w:u w:val="single"/>
              </w:rPr>
            </w:pPr>
            <w:r>
              <w:rPr>
                <w:u w:val="single"/>
              </w:rPr>
              <w:t xml:space="preserve">0.1016 </w:t>
            </w:r>
          </w:p>
        </w:tc>
        <w:tc>
          <w:tcPr>
            <w:tcW w:w="721" w:type="pct"/>
            <w:vAlign w:val="center"/>
          </w:tcPr>
          <w:p w:rsidR="00EE56C0" w:rsidRDefault="000F36A1">
            <w:pPr>
              <w:pStyle w:val="afa"/>
              <w:rPr>
                <w:rFonts w:eastAsia="宋体"/>
                <w:u w:val="single"/>
              </w:rPr>
            </w:pPr>
            <w:r>
              <w:rPr>
                <w:u w:val="single"/>
              </w:rPr>
              <w:t xml:space="preserve">0.1016 </w:t>
            </w:r>
          </w:p>
        </w:tc>
      </w:tr>
      <w:tr w:rsidR="00EE56C0">
        <w:trPr>
          <w:trHeight w:val="397"/>
          <w:jc w:val="center"/>
        </w:trPr>
        <w:tc>
          <w:tcPr>
            <w:tcW w:w="321" w:type="pct"/>
            <w:vMerge/>
            <w:vAlign w:val="center"/>
          </w:tcPr>
          <w:p w:rsidR="00EE56C0" w:rsidRDefault="00EE56C0">
            <w:pPr>
              <w:pStyle w:val="afa"/>
              <w:rPr>
                <w:u w:val="single"/>
              </w:rPr>
            </w:pPr>
          </w:p>
        </w:tc>
        <w:tc>
          <w:tcPr>
            <w:tcW w:w="267" w:type="pct"/>
            <w:vMerge/>
            <w:tcBorders>
              <w:right w:val="single" w:sz="4" w:space="0" w:color="auto"/>
            </w:tcBorders>
            <w:vAlign w:val="center"/>
          </w:tcPr>
          <w:p w:rsidR="00EE56C0" w:rsidRDefault="00EE56C0">
            <w:pPr>
              <w:pStyle w:val="afa"/>
              <w:rPr>
                <w:u w:val="single"/>
              </w:rPr>
            </w:pPr>
          </w:p>
        </w:tc>
        <w:tc>
          <w:tcPr>
            <w:tcW w:w="222" w:type="pct"/>
            <w:vMerge/>
            <w:tcBorders>
              <w:left w:val="single" w:sz="4" w:space="0" w:color="auto"/>
              <w:right w:val="single" w:sz="4" w:space="0" w:color="auto"/>
            </w:tcBorders>
            <w:vAlign w:val="center"/>
          </w:tcPr>
          <w:p w:rsidR="00EE56C0" w:rsidRDefault="00EE56C0">
            <w:pPr>
              <w:pStyle w:val="afa"/>
              <w:rPr>
                <w:u w:val="single"/>
              </w:rPr>
            </w:pPr>
          </w:p>
        </w:tc>
        <w:tc>
          <w:tcPr>
            <w:tcW w:w="563" w:type="pct"/>
            <w:tcBorders>
              <w:left w:val="single" w:sz="4" w:space="0" w:color="auto"/>
            </w:tcBorders>
            <w:vAlign w:val="center"/>
          </w:tcPr>
          <w:p w:rsidR="00EE56C0" w:rsidRDefault="000F36A1">
            <w:pPr>
              <w:pStyle w:val="afa"/>
              <w:rPr>
                <w:u w:val="single"/>
              </w:rPr>
            </w:pPr>
            <w:r>
              <w:rPr>
                <w:rFonts w:hint="eastAsia"/>
                <w:u w:val="single"/>
              </w:rPr>
              <w:t>二甲苯</w:t>
            </w:r>
          </w:p>
        </w:tc>
        <w:tc>
          <w:tcPr>
            <w:tcW w:w="697" w:type="pct"/>
            <w:vAlign w:val="center"/>
          </w:tcPr>
          <w:p w:rsidR="00EE56C0" w:rsidRDefault="000F36A1">
            <w:pPr>
              <w:pStyle w:val="afa"/>
              <w:rPr>
                <w:rFonts w:eastAsia="宋体"/>
                <w:u w:val="single"/>
              </w:rPr>
            </w:pPr>
            <w:r>
              <w:rPr>
                <w:u w:val="single"/>
              </w:rPr>
              <w:t xml:space="preserve">25.5150 </w:t>
            </w:r>
          </w:p>
        </w:tc>
        <w:tc>
          <w:tcPr>
            <w:tcW w:w="758" w:type="pct"/>
            <w:vAlign w:val="center"/>
          </w:tcPr>
          <w:p w:rsidR="00EE56C0" w:rsidRDefault="000F36A1">
            <w:pPr>
              <w:pStyle w:val="afa"/>
              <w:rPr>
                <w:rFonts w:eastAsia="宋体"/>
                <w:u w:val="single"/>
              </w:rPr>
            </w:pPr>
            <w:r>
              <w:rPr>
                <w:u w:val="single"/>
              </w:rPr>
              <w:t xml:space="preserve">25.2906 </w:t>
            </w:r>
          </w:p>
        </w:tc>
        <w:tc>
          <w:tcPr>
            <w:tcW w:w="726" w:type="pct"/>
            <w:vAlign w:val="center"/>
          </w:tcPr>
          <w:p w:rsidR="00EE56C0" w:rsidRDefault="000F36A1">
            <w:pPr>
              <w:pStyle w:val="afa"/>
              <w:rPr>
                <w:rFonts w:eastAsia="宋体"/>
                <w:u w:val="single"/>
              </w:rPr>
            </w:pPr>
            <w:r>
              <w:rPr>
                <w:u w:val="single"/>
              </w:rPr>
              <w:t xml:space="preserve">0.2244 </w:t>
            </w:r>
          </w:p>
        </w:tc>
        <w:tc>
          <w:tcPr>
            <w:tcW w:w="725" w:type="pct"/>
            <w:vAlign w:val="center"/>
          </w:tcPr>
          <w:p w:rsidR="00EE56C0" w:rsidRDefault="000F36A1">
            <w:pPr>
              <w:pStyle w:val="afa"/>
              <w:rPr>
                <w:rFonts w:eastAsia="宋体"/>
                <w:u w:val="single"/>
              </w:rPr>
            </w:pPr>
            <w:r>
              <w:rPr>
                <w:u w:val="single"/>
              </w:rPr>
              <w:t xml:space="preserve">0.2244 </w:t>
            </w:r>
          </w:p>
        </w:tc>
        <w:tc>
          <w:tcPr>
            <w:tcW w:w="721" w:type="pct"/>
            <w:vAlign w:val="center"/>
          </w:tcPr>
          <w:p w:rsidR="00EE56C0" w:rsidRDefault="000F36A1">
            <w:pPr>
              <w:pStyle w:val="afa"/>
              <w:rPr>
                <w:rFonts w:eastAsia="宋体"/>
                <w:u w:val="single"/>
              </w:rPr>
            </w:pPr>
            <w:r>
              <w:rPr>
                <w:u w:val="single"/>
              </w:rPr>
              <w:t xml:space="preserve">0.2244 </w:t>
            </w:r>
          </w:p>
        </w:tc>
      </w:tr>
      <w:tr w:rsidR="00EE56C0">
        <w:trPr>
          <w:trHeight w:val="397"/>
          <w:jc w:val="center"/>
        </w:trPr>
        <w:tc>
          <w:tcPr>
            <w:tcW w:w="321" w:type="pct"/>
            <w:vMerge/>
            <w:vAlign w:val="center"/>
          </w:tcPr>
          <w:p w:rsidR="00EE56C0" w:rsidRDefault="00EE56C0">
            <w:pPr>
              <w:pStyle w:val="afa"/>
              <w:rPr>
                <w:u w:val="single"/>
              </w:rPr>
            </w:pPr>
          </w:p>
        </w:tc>
        <w:tc>
          <w:tcPr>
            <w:tcW w:w="267" w:type="pct"/>
            <w:vMerge/>
            <w:tcBorders>
              <w:right w:val="single" w:sz="4" w:space="0" w:color="auto"/>
            </w:tcBorders>
            <w:vAlign w:val="center"/>
          </w:tcPr>
          <w:p w:rsidR="00EE56C0" w:rsidRDefault="00EE56C0">
            <w:pPr>
              <w:pStyle w:val="afa"/>
              <w:rPr>
                <w:u w:val="single"/>
              </w:rPr>
            </w:pPr>
          </w:p>
        </w:tc>
        <w:tc>
          <w:tcPr>
            <w:tcW w:w="222" w:type="pct"/>
            <w:vMerge/>
            <w:tcBorders>
              <w:left w:val="single" w:sz="4" w:space="0" w:color="auto"/>
              <w:right w:val="single" w:sz="4" w:space="0" w:color="auto"/>
            </w:tcBorders>
            <w:vAlign w:val="center"/>
          </w:tcPr>
          <w:p w:rsidR="00EE56C0" w:rsidRDefault="00EE56C0">
            <w:pPr>
              <w:pStyle w:val="afa"/>
              <w:rPr>
                <w:u w:val="single"/>
              </w:rPr>
            </w:pPr>
          </w:p>
        </w:tc>
        <w:tc>
          <w:tcPr>
            <w:tcW w:w="563" w:type="pct"/>
            <w:tcBorders>
              <w:left w:val="single" w:sz="4" w:space="0" w:color="auto"/>
            </w:tcBorders>
            <w:vAlign w:val="center"/>
          </w:tcPr>
          <w:p w:rsidR="00EE56C0" w:rsidRDefault="000F36A1">
            <w:pPr>
              <w:pStyle w:val="afa"/>
              <w:rPr>
                <w:u w:val="single"/>
              </w:rPr>
            </w:pPr>
            <w:r>
              <w:rPr>
                <w:rFonts w:hint="eastAsia"/>
                <w:u w:val="single"/>
              </w:rPr>
              <w:t>甲苯</w:t>
            </w:r>
          </w:p>
        </w:tc>
        <w:tc>
          <w:tcPr>
            <w:tcW w:w="697" w:type="pct"/>
            <w:vAlign w:val="center"/>
          </w:tcPr>
          <w:p w:rsidR="00EE56C0" w:rsidRDefault="000F36A1">
            <w:pPr>
              <w:pStyle w:val="afa"/>
              <w:rPr>
                <w:rFonts w:eastAsia="宋体"/>
                <w:u w:val="single"/>
              </w:rPr>
            </w:pPr>
            <w:r>
              <w:rPr>
                <w:u w:val="single"/>
              </w:rPr>
              <w:t>17.595</w:t>
            </w:r>
          </w:p>
        </w:tc>
        <w:tc>
          <w:tcPr>
            <w:tcW w:w="758" w:type="pct"/>
            <w:vAlign w:val="center"/>
          </w:tcPr>
          <w:p w:rsidR="00EE56C0" w:rsidRDefault="000F36A1">
            <w:pPr>
              <w:pStyle w:val="afa"/>
              <w:rPr>
                <w:rFonts w:eastAsia="宋体"/>
                <w:u w:val="single"/>
              </w:rPr>
            </w:pPr>
            <w:r>
              <w:rPr>
                <w:u w:val="single"/>
              </w:rPr>
              <w:t xml:space="preserve">17.3738 </w:t>
            </w:r>
          </w:p>
        </w:tc>
        <w:tc>
          <w:tcPr>
            <w:tcW w:w="726" w:type="pct"/>
            <w:vAlign w:val="center"/>
          </w:tcPr>
          <w:p w:rsidR="00EE56C0" w:rsidRDefault="000F36A1">
            <w:pPr>
              <w:pStyle w:val="afa"/>
              <w:rPr>
                <w:rFonts w:eastAsia="宋体"/>
                <w:u w:val="single"/>
              </w:rPr>
            </w:pPr>
            <w:r>
              <w:rPr>
                <w:u w:val="single"/>
              </w:rPr>
              <w:t xml:space="preserve">0.2212 </w:t>
            </w:r>
          </w:p>
        </w:tc>
        <w:tc>
          <w:tcPr>
            <w:tcW w:w="725" w:type="pct"/>
            <w:vAlign w:val="center"/>
          </w:tcPr>
          <w:p w:rsidR="00EE56C0" w:rsidRDefault="000F36A1">
            <w:pPr>
              <w:pStyle w:val="afa"/>
              <w:rPr>
                <w:rFonts w:eastAsia="宋体"/>
                <w:u w:val="single"/>
              </w:rPr>
            </w:pPr>
            <w:r>
              <w:rPr>
                <w:u w:val="single"/>
              </w:rPr>
              <w:t xml:space="preserve">0.2212 </w:t>
            </w:r>
          </w:p>
        </w:tc>
        <w:tc>
          <w:tcPr>
            <w:tcW w:w="721" w:type="pct"/>
            <w:vAlign w:val="center"/>
          </w:tcPr>
          <w:p w:rsidR="00EE56C0" w:rsidRDefault="000F36A1">
            <w:pPr>
              <w:pStyle w:val="afa"/>
              <w:rPr>
                <w:rFonts w:eastAsia="宋体"/>
                <w:u w:val="single"/>
              </w:rPr>
            </w:pPr>
            <w:r>
              <w:rPr>
                <w:u w:val="single"/>
              </w:rPr>
              <w:t xml:space="preserve">0.2212 </w:t>
            </w:r>
          </w:p>
        </w:tc>
      </w:tr>
      <w:tr w:rsidR="00EE56C0">
        <w:trPr>
          <w:trHeight w:val="397"/>
          <w:jc w:val="center"/>
        </w:trPr>
        <w:tc>
          <w:tcPr>
            <w:tcW w:w="321" w:type="pct"/>
            <w:vMerge/>
            <w:vAlign w:val="center"/>
          </w:tcPr>
          <w:p w:rsidR="00EE56C0" w:rsidRDefault="00EE56C0">
            <w:pPr>
              <w:pStyle w:val="afa"/>
              <w:rPr>
                <w:u w:val="single"/>
              </w:rPr>
            </w:pPr>
          </w:p>
        </w:tc>
        <w:tc>
          <w:tcPr>
            <w:tcW w:w="267" w:type="pct"/>
            <w:vMerge/>
            <w:tcBorders>
              <w:right w:val="single" w:sz="4" w:space="0" w:color="auto"/>
            </w:tcBorders>
            <w:vAlign w:val="center"/>
          </w:tcPr>
          <w:p w:rsidR="00EE56C0" w:rsidRDefault="00EE56C0">
            <w:pPr>
              <w:pStyle w:val="afa"/>
              <w:rPr>
                <w:u w:val="single"/>
              </w:rPr>
            </w:pPr>
          </w:p>
        </w:tc>
        <w:tc>
          <w:tcPr>
            <w:tcW w:w="222" w:type="pct"/>
            <w:vMerge/>
            <w:tcBorders>
              <w:left w:val="single" w:sz="4" w:space="0" w:color="auto"/>
              <w:right w:val="single" w:sz="4" w:space="0" w:color="auto"/>
            </w:tcBorders>
            <w:vAlign w:val="center"/>
          </w:tcPr>
          <w:p w:rsidR="00EE56C0" w:rsidRDefault="00EE56C0">
            <w:pPr>
              <w:pStyle w:val="afa"/>
              <w:rPr>
                <w:highlight w:val="yellow"/>
                <w:u w:val="single"/>
              </w:rPr>
            </w:pPr>
          </w:p>
        </w:tc>
        <w:tc>
          <w:tcPr>
            <w:tcW w:w="563" w:type="pct"/>
            <w:tcBorders>
              <w:left w:val="single" w:sz="4" w:space="0" w:color="auto"/>
            </w:tcBorders>
            <w:vAlign w:val="center"/>
          </w:tcPr>
          <w:p w:rsidR="00EE56C0" w:rsidRDefault="000F36A1">
            <w:pPr>
              <w:pStyle w:val="afa"/>
              <w:rPr>
                <w:highlight w:val="yellow"/>
                <w:u w:val="single"/>
              </w:rPr>
            </w:pPr>
            <w:r>
              <w:rPr>
                <w:rFonts w:hint="eastAsia"/>
                <w:u w:val="single"/>
              </w:rPr>
              <w:t>苯</w:t>
            </w:r>
          </w:p>
        </w:tc>
        <w:tc>
          <w:tcPr>
            <w:tcW w:w="697" w:type="pct"/>
            <w:vAlign w:val="center"/>
          </w:tcPr>
          <w:p w:rsidR="00EE56C0" w:rsidRDefault="000F36A1">
            <w:pPr>
              <w:pStyle w:val="afa"/>
              <w:rPr>
                <w:rFonts w:eastAsia="宋体"/>
                <w:u w:val="single"/>
              </w:rPr>
            </w:pPr>
            <w:r>
              <w:rPr>
                <w:u w:val="single"/>
              </w:rPr>
              <w:t xml:space="preserve">3.7050 </w:t>
            </w:r>
          </w:p>
        </w:tc>
        <w:tc>
          <w:tcPr>
            <w:tcW w:w="758" w:type="pct"/>
            <w:vAlign w:val="center"/>
          </w:tcPr>
          <w:p w:rsidR="00EE56C0" w:rsidRDefault="000F36A1">
            <w:pPr>
              <w:pStyle w:val="afa"/>
              <w:rPr>
                <w:rFonts w:eastAsia="宋体"/>
                <w:u w:val="single"/>
              </w:rPr>
            </w:pPr>
            <w:r>
              <w:rPr>
                <w:u w:val="single"/>
              </w:rPr>
              <w:t xml:space="preserve">3.6313 </w:t>
            </w:r>
          </w:p>
        </w:tc>
        <w:tc>
          <w:tcPr>
            <w:tcW w:w="726" w:type="pct"/>
            <w:vAlign w:val="center"/>
          </w:tcPr>
          <w:p w:rsidR="00EE56C0" w:rsidRDefault="000F36A1">
            <w:pPr>
              <w:pStyle w:val="afa"/>
              <w:rPr>
                <w:rFonts w:eastAsia="宋体"/>
                <w:u w:val="single"/>
              </w:rPr>
            </w:pPr>
            <w:r>
              <w:rPr>
                <w:u w:val="single"/>
              </w:rPr>
              <w:t xml:space="preserve">0.0737 </w:t>
            </w:r>
          </w:p>
        </w:tc>
        <w:tc>
          <w:tcPr>
            <w:tcW w:w="725" w:type="pct"/>
            <w:vAlign w:val="center"/>
          </w:tcPr>
          <w:p w:rsidR="00EE56C0" w:rsidRDefault="000F36A1">
            <w:pPr>
              <w:pStyle w:val="afa"/>
              <w:rPr>
                <w:rFonts w:eastAsia="宋体"/>
                <w:u w:val="single"/>
              </w:rPr>
            </w:pPr>
            <w:r>
              <w:rPr>
                <w:u w:val="single"/>
              </w:rPr>
              <w:t xml:space="preserve">0.0737 </w:t>
            </w:r>
          </w:p>
        </w:tc>
        <w:tc>
          <w:tcPr>
            <w:tcW w:w="721" w:type="pct"/>
            <w:vAlign w:val="center"/>
          </w:tcPr>
          <w:p w:rsidR="00EE56C0" w:rsidRDefault="000F36A1">
            <w:pPr>
              <w:pStyle w:val="afa"/>
              <w:rPr>
                <w:rFonts w:eastAsia="宋体"/>
                <w:u w:val="single"/>
              </w:rPr>
            </w:pPr>
            <w:r>
              <w:rPr>
                <w:u w:val="single"/>
              </w:rPr>
              <w:t xml:space="preserve">0.0737 </w:t>
            </w:r>
          </w:p>
        </w:tc>
      </w:tr>
      <w:tr w:rsidR="00EE56C0">
        <w:trPr>
          <w:trHeight w:val="397"/>
          <w:jc w:val="center"/>
        </w:trPr>
        <w:tc>
          <w:tcPr>
            <w:tcW w:w="321" w:type="pct"/>
            <w:vMerge/>
            <w:vAlign w:val="center"/>
          </w:tcPr>
          <w:p w:rsidR="00EE56C0" w:rsidRDefault="00EE56C0">
            <w:pPr>
              <w:pStyle w:val="afa"/>
              <w:rPr>
                <w:u w:val="single"/>
              </w:rPr>
            </w:pPr>
          </w:p>
        </w:tc>
        <w:tc>
          <w:tcPr>
            <w:tcW w:w="267" w:type="pct"/>
            <w:vMerge/>
            <w:tcBorders>
              <w:right w:val="single" w:sz="4" w:space="0" w:color="auto"/>
            </w:tcBorders>
            <w:vAlign w:val="center"/>
          </w:tcPr>
          <w:p w:rsidR="00EE56C0" w:rsidRDefault="00EE56C0">
            <w:pPr>
              <w:pStyle w:val="afa"/>
              <w:rPr>
                <w:u w:val="single"/>
              </w:rPr>
            </w:pPr>
          </w:p>
        </w:tc>
        <w:tc>
          <w:tcPr>
            <w:tcW w:w="222" w:type="pct"/>
            <w:vMerge/>
            <w:tcBorders>
              <w:left w:val="single" w:sz="4" w:space="0" w:color="auto"/>
              <w:right w:val="single" w:sz="4" w:space="0" w:color="auto"/>
            </w:tcBorders>
            <w:vAlign w:val="center"/>
          </w:tcPr>
          <w:p w:rsidR="00EE56C0" w:rsidRDefault="00EE56C0">
            <w:pPr>
              <w:pStyle w:val="afa"/>
              <w:rPr>
                <w:u w:val="single"/>
              </w:rPr>
            </w:pPr>
          </w:p>
        </w:tc>
        <w:tc>
          <w:tcPr>
            <w:tcW w:w="563" w:type="pct"/>
            <w:tcBorders>
              <w:left w:val="single" w:sz="4" w:space="0" w:color="auto"/>
            </w:tcBorders>
            <w:vAlign w:val="center"/>
          </w:tcPr>
          <w:p w:rsidR="00EE56C0" w:rsidRDefault="000F36A1">
            <w:pPr>
              <w:pStyle w:val="afa"/>
              <w:rPr>
                <w:u w:val="single"/>
              </w:rPr>
            </w:pPr>
            <w:r>
              <w:rPr>
                <w:rFonts w:hint="eastAsia"/>
                <w:u w:val="single"/>
              </w:rPr>
              <w:t>合计</w:t>
            </w:r>
          </w:p>
        </w:tc>
        <w:tc>
          <w:tcPr>
            <w:tcW w:w="697" w:type="pct"/>
            <w:vAlign w:val="center"/>
          </w:tcPr>
          <w:p w:rsidR="00EE56C0" w:rsidRDefault="000F36A1">
            <w:pPr>
              <w:pStyle w:val="afa"/>
              <w:rPr>
                <w:rFonts w:eastAsia="宋体"/>
                <w:u w:val="single"/>
              </w:rPr>
            </w:pPr>
            <w:r>
              <w:rPr>
                <w:u w:val="single"/>
              </w:rPr>
              <w:t xml:space="preserve">265.6300 </w:t>
            </w:r>
          </w:p>
        </w:tc>
        <w:tc>
          <w:tcPr>
            <w:tcW w:w="758" w:type="pct"/>
            <w:vAlign w:val="center"/>
          </w:tcPr>
          <w:p w:rsidR="00EE56C0" w:rsidRDefault="000F36A1">
            <w:pPr>
              <w:pStyle w:val="afa"/>
              <w:rPr>
                <w:rFonts w:eastAsia="宋体"/>
                <w:u w:val="single"/>
              </w:rPr>
            </w:pPr>
            <w:r>
              <w:rPr>
                <w:u w:val="single"/>
              </w:rPr>
              <w:t xml:space="preserve">264.9790 </w:t>
            </w:r>
          </w:p>
        </w:tc>
        <w:tc>
          <w:tcPr>
            <w:tcW w:w="726" w:type="pct"/>
            <w:vAlign w:val="center"/>
          </w:tcPr>
          <w:p w:rsidR="00EE56C0" w:rsidRDefault="000F36A1">
            <w:pPr>
              <w:pStyle w:val="afa"/>
              <w:rPr>
                <w:rFonts w:eastAsia="宋体"/>
                <w:u w:val="single"/>
              </w:rPr>
            </w:pPr>
            <w:r>
              <w:rPr>
                <w:u w:val="single"/>
              </w:rPr>
              <w:t xml:space="preserve">0.6510 </w:t>
            </w:r>
          </w:p>
        </w:tc>
        <w:tc>
          <w:tcPr>
            <w:tcW w:w="725" w:type="pct"/>
            <w:vAlign w:val="center"/>
          </w:tcPr>
          <w:p w:rsidR="00EE56C0" w:rsidRDefault="000F36A1">
            <w:pPr>
              <w:pStyle w:val="afa"/>
              <w:rPr>
                <w:rFonts w:eastAsia="宋体"/>
                <w:u w:val="single"/>
              </w:rPr>
            </w:pPr>
            <w:r>
              <w:rPr>
                <w:u w:val="single"/>
              </w:rPr>
              <w:t xml:space="preserve">0.6510 </w:t>
            </w:r>
          </w:p>
        </w:tc>
        <w:tc>
          <w:tcPr>
            <w:tcW w:w="721" w:type="pct"/>
            <w:vAlign w:val="center"/>
          </w:tcPr>
          <w:p w:rsidR="00EE56C0" w:rsidRDefault="000F36A1">
            <w:pPr>
              <w:pStyle w:val="afa"/>
              <w:rPr>
                <w:rFonts w:eastAsia="宋体"/>
                <w:u w:val="single"/>
              </w:rPr>
            </w:pPr>
            <w:r>
              <w:rPr>
                <w:u w:val="single"/>
              </w:rPr>
              <w:t xml:space="preserve">0.6510 </w:t>
            </w:r>
          </w:p>
        </w:tc>
      </w:tr>
      <w:tr w:rsidR="00EE56C0">
        <w:trPr>
          <w:trHeight w:val="397"/>
          <w:jc w:val="center"/>
        </w:trPr>
        <w:tc>
          <w:tcPr>
            <w:tcW w:w="321" w:type="pct"/>
            <w:vMerge/>
            <w:vAlign w:val="center"/>
          </w:tcPr>
          <w:p w:rsidR="00EE56C0" w:rsidRDefault="00EE56C0">
            <w:pPr>
              <w:pStyle w:val="afa"/>
              <w:rPr>
                <w:u w:val="single"/>
              </w:rPr>
            </w:pPr>
          </w:p>
        </w:tc>
        <w:tc>
          <w:tcPr>
            <w:tcW w:w="267" w:type="pct"/>
            <w:vMerge w:val="restart"/>
            <w:tcBorders>
              <w:right w:val="single" w:sz="4" w:space="0" w:color="auto"/>
            </w:tcBorders>
            <w:vAlign w:val="center"/>
          </w:tcPr>
          <w:p w:rsidR="00EE56C0" w:rsidRDefault="000F36A1">
            <w:pPr>
              <w:pStyle w:val="afa"/>
              <w:rPr>
                <w:u w:val="single"/>
              </w:rPr>
            </w:pPr>
            <w:r>
              <w:rPr>
                <w:rFonts w:hint="eastAsia"/>
                <w:u w:val="single"/>
              </w:rPr>
              <w:t>无组织</w:t>
            </w:r>
          </w:p>
        </w:tc>
        <w:tc>
          <w:tcPr>
            <w:tcW w:w="222" w:type="pct"/>
            <w:vMerge w:val="restart"/>
            <w:tcBorders>
              <w:left w:val="single" w:sz="4" w:space="0" w:color="auto"/>
              <w:right w:val="single" w:sz="4" w:space="0" w:color="auto"/>
            </w:tcBorders>
            <w:vAlign w:val="center"/>
          </w:tcPr>
          <w:p w:rsidR="00EE56C0" w:rsidRDefault="000F36A1">
            <w:pPr>
              <w:pStyle w:val="afa"/>
              <w:rPr>
                <w:u w:val="single"/>
              </w:rPr>
            </w:pPr>
            <w:r>
              <w:rPr>
                <w:rFonts w:hint="eastAsia"/>
                <w:u w:val="single"/>
              </w:rPr>
              <w:t>VOCs</w:t>
            </w:r>
          </w:p>
        </w:tc>
        <w:tc>
          <w:tcPr>
            <w:tcW w:w="563" w:type="pct"/>
            <w:tcBorders>
              <w:left w:val="single" w:sz="4" w:space="0" w:color="auto"/>
            </w:tcBorders>
            <w:vAlign w:val="center"/>
          </w:tcPr>
          <w:p w:rsidR="00EE56C0" w:rsidRDefault="000F36A1">
            <w:pPr>
              <w:pStyle w:val="afa"/>
              <w:rPr>
                <w:u w:val="single"/>
              </w:rPr>
            </w:pPr>
            <w:r>
              <w:rPr>
                <w:rFonts w:hint="eastAsia"/>
                <w:u w:val="single"/>
              </w:rPr>
              <w:t>苯</w:t>
            </w:r>
          </w:p>
        </w:tc>
        <w:tc>
          <w:tcPr>
            <w:tcW w:w="697" w:type="pct"/>
            <w:vAlign w:val="center"/>
          </w:tcPr>
          <w:p w:rsidR="00EE56C0" w:rsidRDefault="000F36A1">
            <w:pPr>
              <w:pStyle w:val="afa"/>
              <w:rPr>
                <w:rFonts w:eastAsia="宋体"/>
                <w:u w:val="single"/>
              </w:rPr>
            </w:pPr>
            <w:r>
              <w:rPr>
                <w:u w:val="single"/>
              </w:rPr>
              <w:t xml:space="preserve">0.2216 </w:t>
            </w:r>
          </w:p>
        </w:tc>
        <w:tc>
          <w:tcPr>
            <w:tcW w:w="758" w:type="pct"/>
            <w:vAlign w:val="center"/>
          </w:tcPr>
          <w:p w:rsidR="00EE56C0" w:rsidRDefault="000F36A1">
            <w:pPr>
              <w:pStyle w:val="afa"/>
              <w:rPr>
                <w:rFonts w:eastAsia="宋体"/>
                <w:u w:val="single"/>
              </w:rPr>
            </w:pPr>
            <w:r>
              <w:rPr>
                <w:u w:val="single"/>
              </w:rPr>
              <w:t>0</w:t>
            </w:r>
          </w:p>
        </w:tc>
        <w:tc>
          <w:tcPr>
            <w:tcW w:w="726" w:type="pct"/>
            <w:vAlign w:val="center"/>
          </w:tcPr>
          <w:p w:rsidR="00EE56C0" w:rsidRDefault="000F36A1">
            <w:pPr>
              <w:pStyle w:val="afa"/>
              <w:rPr>
                <w:rFonts w:eastAsia="宋体"/>
                <w:u w:val="single"/>
              </w:rPr>
            </w:pPr>
            <w:r>
              <w:rPr>
                <w:u w:val="single"/>
              </w:rPr>
              <w:t xml:space="preserve">0.2216 </w:t>
            </w:r>
          </w:p>
        </w:tc>
        <w:tc>
          <w:tcPr>
            <w:tcW w:w="725" w:type="pct"/>
            <w:vAlign w:val="center"/>
          </w:tcPr>
          <w:p w:rsidR="00EE56C0" w:rsidRDefault="000F36A1">
            <w:pPr>
              <w:pStyle w:val="afa"/>
              <w:rPr>
                <w:rFonts w:eastAsia="宋体"/>
                <w:u w:val="single"/>
              </w:rPr>
            </w:pPr>
            <w:r>
              <w:rPr>
                <w:u w:val="single"/>
              </w:rPr>
              <w:t xml:space="preserve">0.2216 </w:t>
            </w:r>
          </w:p>
        </w:tc>
        <w:tc>
          <w:tcPr>
            <w:tcW w:w="721" w:type="pct"/>
            <w:vAlign w:val="center"/>
          </w:tcPr>
          <w:p w:rsidR="00EE56C0" w:rsidRDefault="000F36A1">
            <w:pPr>
              <w:pStyle w:val="afa"/>
              <w:rPr>
                <w:rFonts w:eastAsia="宋体"/>
                <w:u w:val="single"/>
              </w:rPr>
            </w:pPr>
            <w:r>
              <w:rPr>
                <w:u w:val="single"/>
              </w:rPr>
              <w:t xml:space="preserve">0.2216 </w:t>
            </w:r>
          </w:p>
        </w:tc>
      </w:tr>
      <w:tr w:rsidR="00EE56C0">
        <w:trPr>
          <w:trHeight w:val="397"/>
          <w:jc w:val="center"/>
        </w:trPr>
        <w:tc>
          <w:tcPr>
            <w:tcW w:w="321" w:type="pct"/>
            <w:vMerge/>
            <w:vAlign w:val="center"/>
          </w:tcPr>
          <w:p w:rsidR="00EE56C0" w:rsidRDefault="00EE56C0">
            <w:pPr>
              <w:pStyle w:val="afa"/>
              <w:rPr>
                <w:u w:val="single"/>
              </w:rPr>
            </w:pPr>
          </w:p>
        </w:tc>
        <w:tc>
          <w:tcPr>
            <w:tcW w:w="267" w:type="pct"/>
            <w:vMerge/>
            <w:tcBorders>
              <w:right w:val="single" w:sz="4" w:space="0" w:color="auto"/>
            </w:tcBorders>
            <w:vAlign w:val="center"/>
          </w:tcPr>
          <w:p w:rsidR="00EE56C0" w:rsidRDefault="00EE56C0">
            <w:pPr>
              <w:pStyle w:val="afa"/>
              <w:rPr>
                <w:u w:val="single"/>
              </w:rPr>
            </w:pPr>
          </w:p>
        </w:tc>
        <w:tc>
          <w:tcPr>
            <w:tcW w:w="222" w:type="pct"/>
            <w:vMerge/>
            <w:tcBorders>
              <w:left w:val="single" w:sz="4" w:space="0" w:color="auto"/>
              <w:right w:val="single" w:sz="4" w:space="0" w:color="auto"/>
            </w:tcBorders>
            <w:vAlign w:val="center"/>
          </w:tcPr>
          <w:p w:rsidR="00EE56C0" w:rsidRDefault="00EE56C0">
            <w:pPr>
              <w:pStyle w:val="afa"/>
              <w:rPr>
                <w:u w:val="single"/>
              </w:rPr>
            </w:pPr>
          </w:p>
        </w:tc>
        <w:tc>
          <w:tcPr>
            <w:tcW w:w="563" w:type="pct"/>
            <w:tcBorders>
              <w:left w:val="single" w:sz="4" w:space="0" w:color="auto"/>
            </w:tcBorders>
            <w:vAlign w:val="center"/>
          </w:tcPr>
          <w:p w:rsidR="00EE56C0" w:rsidRDefault="000F36A1">
            <w:pPr>
              <w:pStyle w:val="afa"/>
              <w:rPr>
                <w:u w:val="single"/>
              </w:rPr>
            </w:pPr>
            <w:r>
              <w:rPr>
                <w:rFonts w:hint="eastAsia"/>
                <w:u w:val="single"/>
              </w:rPr>
              <w:t>甲苯</w:t>
            </w:r>
          </w:p>
        </w:tc>
        <w:tc>
          <w:tcPr>
            <w:tcW w:w="697" w:type="pct"/>
            <w:vAlign w:val="center"/>
          </w:tcPr>
          <w:p w:rsidR="00EE56C0" w:rsidRDefault="000F36A1">
            <w:pPr>
              <w:pStyle w:val="afa"/>
              <w:rPr>
                <w:rFonts w:eastAsia="宋体"/>
                <w:u w:val="single"/>
              </w:rPr>
            </w:pPr>
            <w:r>
              <w:rPr>
                <w:u w:val="single"/>
              </w:rPr>
              <w:t xml:space="preserve">0.1547 </w:t>
            </w:r>
          </w:p>
        </w:tc>
        <w:tc>
          <w:tcPr>
            <w:tcW w:w="758" w:type="pct"/>
            <w:vAlign w:val="center"/>
          </w:tcPr>
          <w:p w:rsidR="00EE56C0" w:rsidRDefault="000F36A1">
            <w:pPr>
              <w:pStyle w:val="afa"/>
              <w:rPr>
                <w:rFonts w:eastAsia="宋体"/>
                <w:u w:val="single"/>
              </w:rPr>
            </w:pPr>
            <w:r>
              <w:rPr>
                <w:u w:val="single"/>
              </w:rPr>
              <w:t>0</w:t>
            </w:r>
          </w:p>
        </w:tc>
        <w:tc>
          <w:tcPr>
            <w:tcW w:w="726" w:type="pct"/>
            <w:vAlign w:val="center"/>
          </w:tcPr>
          <w:p w:rsidR="00EE56C0" w:rsidRDefault="000F36A1">
            <w:pPr>
              <w:pStyle w:val="afa"/>
              <w:rPr>
                <w:rFonts w:eastAsia="宋体"/>
                <w:u w:val="single"/>
              </w:rPr>
            </w:pPr>
            <w:r>
              <w:rPr>
                <w:u w:val="single"/>
              </w:rPr>
              <w:t xml:space="preserve">0.1547 </w:t>
            </w:r>
          </w:p>
        </w:tc>
        <w:tc>
          <w:tcPr>
            <w:tcW w:w="725" w:type="pct"/>
            <w:vAlign w:val="center"/>
          </w:tcPr>
          <w:p w:rsidR="00EE56C0" w:rsidRDefault="000F36A1">
            <w:pPr>
              <w:pStyle w:val="afa"/>
              <w:rPr>
                <w:rFonts w:eastAsia="宋体"/>
                <w:u w:val="single"/>
              </w:rPr>
            </w:pPr>
            <w:r>
              <w:rPr>
                <w:u w:val="single"/>
              </w:rPr>
              <w:t xml:space="preserve">0.1547 </w:t>
            </w:r>
          </w:p>
        </w:tc>
        <w:tc>
          <w:tcPr>
            <w:tcW w:w="721" w:type="pct"/>
            <w:vAlign w:val="center"/>
          </w:tcPr>
          <w:p w:rsidR="00EE56C0" w:rsidRDefault="000F36A1">
            <w:pPr>
              <w:pStyle w:val="afa"/>
              <w:rPr>
                <w:rFonts w:eastAsia="宋体"/>
                <w:u w:val="single"/>
              </w:rPr>
            </w:pPr>
            <w:r>
              <w:rPr>
                <w:u w:val="single"/>
              </w:rPr>
              <w:t xml:space="preserve">0.1547 </w:t>
            </w:r>
          </w:p>
        </w:tc>
      </w:tr>
      <w:tr w:rsidR="00EE56C0">
        <w:trPr>
          <w:trHeight w:val="397"/>
          <w:jc w:val="center"/>
        </w:trPr>
        <w:tc>
          <w:tcPr>
            <w:tcW w:w="321" w:type="pct"/>
            <w:vMerge/>
            <w:vAlign w:val="center"/>
          </w:tcPr>
          <w:p w:rsidR="00EE56C0" w:rsidRDefault="00EE56C0">
            <w:pPr>
              <w:pStyle w:val="afa"/>
              <w:rPr>
                <w:u w:val="single"/>
              </w:rPr>
            </w:pPr>
          </w:p>
        </w:tc>
        <w:tc>
          <w:tcPr>
            <w:tcW w:w="267" w:type="pct"/>
            <w:vMerge/>
            <w:tcBorders>
              <w:right w:val="single" w:sz="4" w:space="0" w:color="auto"/>
            </w:tcBorders>
            <w:vAlign w:val="center"/>
          </w:tcPr>
          <w:p w:rsidR="00EE56C0" w:rsidRDefault="00EE56C0">
            <w:pPr>
              <w:pStyle w:val="afa"/>
              <w:rPr>
                <w:u w:val="single"/>
              </w:rPr>
            </w:pPr>
          </w:p>
        </w:tc>
        <w:tc>
          <w:tcPr>
            <w:tcW w:w="222" w:type="pct"/>
            <w:vMerge/>
            <w:tcBorders>
              <w:left w:val="single" w:sz="4" w:space="0" w:color="auto"/>
              <w:right w:val="single" w:sz="4" w:space="0" w:color="auto"/>
            </w:tcBorders>
            <w:vAlign w:val="center"/>
          </w:tcPr>
          <w:p w:rsidR="00EE56C0" w:rsidRDefault="00EE56C0">
            <w:pPr>
              <w:pStyle w:val="afa"/>
              <w:rPr>
                <w:u w:val="single"/>
              </w:rPr>
            </w:pPr>
          </w:p>
        </w:tc>
        <w:tc>
          <w:tcPr>
            <w:tcW w:w="563" w:type="pct"/>
            <w:tcBorders>
              <w:left w:val="single" w:sz="4" w:space="0" w:color="auto"/>
            </w:tcBorders>
            <w:vAlign w:val="center"/>
          </w:tcPr>
          <w:p w:rsidR="00EE56C0" w:rsidRDefault="000F36A1">
            <w:pPr>
              <w:pStyle w:val="afa"/>
              <w:rPr>
                <w:u w:val="single"/>
              </w:rPr>
            </w:pPr>
            <w:r>
              <w:rPr>
                <w:rFonts w:hint="eastAsia"/>
                <w:u w:val="single"/>
              </w:rPr>
              <w:t>二甲苯</w:t>
            </w:r>
          </w:p>
        </w:tc>
        <w:tc>
          <w:tcPr>
            <w:tcW w:w="697" w:type="pct"/>
            <w:vAlign w:val="center"/>
          </w:tcPr>
          <w:p w:rsidR="00EE56C0" w:rsidRDefault="000F36A1">
            <w:pPr>
              <w:pStyle w:val="afa"/>
              <w:rPr>
                <w:rFonts w:eastAsia="宋体"/>
                <w:u w:val="single"/>
              </w:rPr>
            </w:pPr>
            <w:r>
              <w:rPr>
                <w:u w:val="single"/>
              </w:rPr>
              <w:t xml:space="preserve">0.0796 </w:t>
            </w:r>
          </w:p>
        </w:tc>
        <w:tc>
          <w:tcPr>
            <w:tcW w:w="758" w:type="pct"/>
            <w:vAlign w:val="center"/>
          </w:tcPr>
          <w:p w:rsidR="00EE56C0" w:rsidRDefault="000F36A1">
            <w:pPr>
              <w:pStyle w:val="afa"/>
              <w:rPr>
                <w:rFonts w:eastAsia="宋体"/>
                <w:u w:val="single"/>
              </w:rPr>
            </w:pPr>
            <w:r>
              <w:rPr>
                <w:u w:val="single"/>
              </w:rPr>
              <w:t>0</w:t>
            </w:r>
          </w:p>
        </w:tc>
        <w:tc>
          <w:tcPr>
            <w:tcW w:w="726" w:type="pct"/>
            <w:vAlign w:val="center"/>
          </w:tcPr>
          <w:p w:rsidR="00EE56C0" w:rsidRDefault="000F36A1">
            <w:pPr>
              <w:pStyle w:val="afa"/>
              <w:rPr>
                <w:rFonts w:eastAsia="宋体"/>
                <w:u w:val="single"/>
              </w:rPr>
            </w:pPr>
            <w:r>
              <w:rPr>
                <w:u w:val="single"/>
              </w:rPr>
              <w:t xml:space="preserve">0.0796 </w:t>
            </w:r>
          </w:p>
        </w:tc>
        <w:tc>
          <w:tcPr>
            <w:tcW w:w="725" w:type="pct"/>
            <w:vAlign w:val="center"/>
          </w:tcPr>
          <w:p w:rsidR="00EE56C0" w:rsidRDefault="000F36A1">
            <w:pPr>
              <w:pStyle w:val="afa"/>
              <w:rPr>
                <w:rFonts w:eastAsia="宋体"/>
                <w:u w:val="single"/>
              </w:rPr>
            </w:pPr>
            <w:r>
              <w:rPr>
                <w:u w:val="single"/>
              </w:rPr>
              <w:t xml:space="preserve">0.0796 </w:t>
            </w:r>
          </w:p>
        </w:tc>
        <w:tc>
          <w:tcPr>
            <w:tcW w:w="721" w:type="pct"/>
            <w:vAlign w:val="center"/>
          </w:tcPr>
          <w:p w:rsidR="00EE56C0" w:rsidRDefault="000F36A1">
            <w:pPr>
              <w:pStyle w:val="afa"/>
              <w:rPr>
                <w:rFonts w:eastAsia="宋体"/>
                <w:u w:val="single"/>
              </w:rPr>
            </w:pPr>
            <w:r>
              <w:rPr>
                <w:u w:val="single"/>
              </w:rPr>
              <w:t xml:space="preserve">0.0796 </w:t>
            </w:r>
          </w:p>
        </w:tc>
      </w:tr>
      <w:tr w:rsidR="00EE56C0">
        <w:trPr>
          <w:trHeight w:val="397"/>
          <w:jc w:val="center"/>
        </w:trPr>
        <w:tc>
          <w:tcPr>
            <w:tcW w:w="321" w:type="pct"/>
            <w:vMerge/>
            <w:vAlign w:val="center"/>
          </w:tcPr>
          <w:p w:rsidR="00EE56C0" w:rsidRDefault="00EE56C0">
            <w:pPr>
              <w:pStyle w:val="afa"/>
              <w:rPr>
                <w:u w:val="single"/>
              </w:rPr>
            </w:pPr>
          </w:p>
        </w:tc>
        <w:tc>
          <w:tcPr>
            <w:tcW w:w="267" w:type="pct"/>
            <w:vMerge/>
            <w:tcBorders>
              <w:right w:val="single" w:sz="4" w:space="0" w:color="auto"/>
            </w:tcBorders>
            <w:vAlign w:val="center"/>
          </w:tcPr>
          <w:p w:rsidR="00EE56C0" w:rsidRDefault="00EE56C0">
            <w:pPr>
              <w:pStyle w:val="afa"/>
              <w:rPr>
                <w:u w:val="single"/>
              </w:rPr>
            </w:pPr>
          </w:p>
        </w:tc>
        <w:tc>
          <w:tcPr>
            <w:tcW w:w="222" w:type="pct"/>
            <w:vMerge/>
            <w:tcBorders>
              <w:left w:val="single" w:sz="4" w:space="0" w:color="auto"/>
              <w:right w:val="single" w:sz="4" w:space="0" w:color="auto"/>
            </w:tcBorders>
            <w:vAlign w:val="center"/>
          </w:tcPr>
          <w:p w:rsidR="00EE56C0" w:rsidRDefault="00EE56C0">
            <w:pPr>
              <w:pStyle w:val="afa"/>
              <w:rPr>
                <w:u w:val="single"/>
              </w:rPr>
            </w:pPr>
          </w:p>
        </w:tc>
        <w:tc>
          <w:tcPr>
            <w:tcW w:w="563" w:type="pct"/>
            <w:tcBorders>
              <w:left w:val="single" w:sz="4" w:space="0" w:color="auto"/>
            </w:tcBorders>
            <w:vAlign w:val="center"/>
          </w:tcPr>
          <w:p w:rsidR="00EE56C0" w:rsidRDefault="000F36A1">
            <w:pPr>
              <w:pStyle w:val="afa"/>
              <w:rPr>
                <w:u w:val="single"/>
              </w:rPr>
            </w:pPr>
            <w:r>
              <w:rPr>
                <w:rFonts w:hint="eastAsia"/>
                <w:u w:val="single"/>
              </w:rPr>
              <w:t>酚</w:t>
            </w:r>
          </w:p>
        </w:tc>
        <w:tc>
          <w:tcPr>
            <w:tcW w:w="697" w:type="pct"/>
            <w:vAlign w:val="center"/>
          </w:tcPr>
          <w:p w:rsidR="00EE56C0" w:rsidRDefault="000F36A1">
            <w:pPr>
              <w:pStyle w:val="afa"/>
              <w:rPr>
                <w:rFonts w:eastAsia="宋体"/>
                <w:u w:val="single"/>
              </w:rPr>
            </w:pPr>
            <w:r>
              <w:rPr>
                <w:u w:val="single"/>
              </w:rPr>
              <w:t xml:space="preserve">0.0556 </w:t>
            </w:r>
          </w:p>
        </w:tc>
        <w:tc>
          <w:tcPr>
            <w:tcW w:w="758" w:type="pct"/>
            <w:vAlign w:val="center"/>
          </w:tcPr>
          <w:p w:rsidR="00EE56C0" w:rsidRDefault="000F36A1">
            <w:pPr>
              <w:pStyle w:val="afa"/>
              <w:rPr>
                <w:rFonts w:eastAsia="宋体"/>
                <w:u w:val="single"/>
              </w:rPr>
            </w:pPr>
            <w:r>
              <w:rPr>
                <w:u w:val="single"/>
              </w:rPr>
              <w:t>0</w:t>
            </w:r>
          </w:p>
        </w:tc>
        <w:tc>
          <w:tcPr>
            <w:tcW w:w="726" w:type="pct"/>
            <w:vAlign w:val="center"/>
          </w:tcPr>
          <w:p w:rsidR="00EE56C0" w:rsidRDefault="000F36A1">
            <w:pPr>
              <w:pStyle w:val="afa"/>
              <w:rPr>
                <w:rFonts w:eastAsia="宋体"/>
                <w:u w:val="single"/>
              </w:rPr>
            </w:pPr>
            <w:r>
              <w:rPr>
                <w:u w:val="single"/>
              </w:rPr>
              <w:t xml:space="preserve">0.0556 </w:t>
            </w:r>
          </w:p>
        </w:tc>
        <w:tc>
          <w:tcPr>
            <w:tcW w:w="725" w:type="pct"/>
            <w:vAlign w:val="center"/>
          </w:tcPr>
          <w:p w:rsidR="00EE56C0" w:rsidRDefault="000F36A1">
            <w:pPr>
              <w:pStyle w:val="afa"/>
              <w:rPr>
                <w:rFonts w:eastAsia="宋体"/>
                <w:u w:val="single"/>
              </w:rPr>
            </w:pPr>
            <w:r>
              <w:rPr>
                <w:u w:val="single"/>
              </w:rPr>
              <w:t xml:space="preserve">0.0556 </w:t>
            </w:r>
          </w:p>
        </w:tc>
        <w:tc>
          <w:tcPr>
            <w:tcW w:w="721" w:type="pct"/>
            <w:vAlign w:val="center"/>
          </w:tcPr>
          <w:p w:rsidR="00EE56C0" w:rsidRDefault="000F36A1">
            <w:pPr>
              <w:pStyle w:val="afa"/>
              <w:rPr>
                <w:rFonts w:eastAsia="宋体"/>
                <w:u w:val="single"/>
              </w:rPr>
            </w:pPr>
            <w:r>
              <w:rPr>
                <w:u w:val="single"/>
              </w:rPr>
              <w:t xml:space="preserve">0.0556 </w:t>
            </w:r>
          </w:p>
        </w:tc>
      </w:tr>
      <w:tr w:rsidR="00EE56C0">
        <w:trPr>
          <w:trHeight w:val="397"/>
          <w:jc w:val="center"/>
        </w:trPr>
        <w:tc>
          <w:tcPr>
            <w:tcW w:w="321" w:type="pct"/>
            <w:vMerge/>
            <w:vAlign w:val="center"/>
          </w:tcPr>
          <w:p w:rsidR="00EE56C0" w:rsidRDefault="00EE56C0">
            <w:pPr>
              <w:pStyle w:val="afa"/>
              <w:rPr>
                <w:u w:val="single"/>
              </w:rPr>
            </w:pPr>
          </w:p>
        </w:tc>
        <w:tc>
          <w:tcPr>
            <w:tcW w:w="267" w:type="pct"/>
            <w:vMerge/>
            <w:tcBorders>
              <w:right w:val="single" w:sz="4" w:space="0" w:color="auto"/>
            </w:tcBorders>
            <w:vAlign w:val="center"/>
          </w:tcPr>
          <w:p w:rsidR="00EE56C0" w:rsidRDefault="00EE56C0">
            <w:pPr>
              <w:pStyle w:val="afa"/>
              <w:rPr>
                <w:u w:val="single"/>
              </w:rPr>
            </w:pPr>
          </w:p>
        </w:tc>
        <w:tc>
          <w:tcPr>
            <w:tcW w:w="222" w:type="pct"/>
            <w:vMerge/>
            <w:tcBorders>
              <w:left w:val="single" w:sz="4" w:space="0" w:color="auto"/>
              <w:right w:val="single" w:sz="4" w:space="0" w:color="auto"/>
            </w:tcBorders>
            <w:vAlign w:val="center"/>
          </w:tcPr>
          <w:p w:rsidR="00EE56C0" w:rsidRDefault="00EE56C0">
            <w:pPr>
              <w:pStyle w:val="afa"/>
              <w:rPr>
                <w:u w:val="single"/>
              </w:rPr>
            </w:pPr>
          </w:p>
        </w:tc>
        <w:tc>
          <w:tcPr>
            <w:tcW w:w="563" w:type="pct"/>
            <w:tcBorders>
              <w:left w:val="single" w:sz="4" w:space="0" w:color="auto"/>
            </w:tcBorders>
            <w:vAlign w:val="center"/>
          </w:tcPr>
          <w:p w:rsidR="00EE56C0" w:rsidRDefault="000F36A1">
            <w:pPr>
              <w:pStyle w:val="afa"/>
              <w:rPr>
                <w:u w:val="single"/>
              </w:rPr>
            </w:pPr>
            <w:r>
              <w:rPr>
                <w:rFonts w:hint="eastAsia"/>
                <w:u w:val="single"/>
              </w:rPr>
              <w:t>非甲烷总烃</w:t>
            </w:r>
          </w:p>
        </w:tc>
        <w:tc>
          <w:tcPr>
            <w:tcW w:w="697" w:type="pct"/>
            <w:vAlign w:val="center"/>
          </w:tcPr>
          <w:p w:rsidR="00EE56C0" w:rsidRDefault="000F36A1">
            <w:pPr>
              <w:pStyle w:val="afa"/>
              <w:rPr>
                <w:rFonts w:eastAsia="宋体"/>
                <w:u w:val="single"/>
              </w:rPr>
            </w:pPr>
            <w:r>
              <w:rPr>
                <w:u w:val="single"/>
              </w:rPr>
              <w:t xml:space="preserve">0.0185 </w:t>
            </w:r>
          </w:p>
        </w:tc>
        <w:tc>
          <w:tcPr>
            <w:tcW w:w="758" w:type="pct"/>
            <w:vAlign w:val="center"/>
          </w:tcPr>
          <w:p w:rsidR="00EE56C0" w:rsidRDefault="000F36A1">
            <w:pPr>
              <w:pStyle w:val="afa"/>
              <w:rPr>
                <w:rFonts w:eastAsia="宋体"/>
                <w:u w:val="single"/>
              </w:rPr>
            </w:pPr>
            <w:r>
              <w:rPr>
                <w:u w:val="single"/>
              </w:rPr>
              <w:t>0</w:t>
            </w:r>
          </w:p>
        </w:tc>
        <w:tc>
          <w:tcPr>
            <w:tcW w:w="726" w:type="pct"/>
            <w:vAlign w:val="center"/>
          </w:tcPr>
          <w:p w:rsidR="00EE56C0" w:rsidRDefault="000F36A1">
            <w:pPr>
              <w:pStyle w:val="afa"/>
              <w:rPr>
                <w:rFonts w:eastAsia="宋体"/>
                <w:u w:val="single"/>
              </w:rPr>
            </w:pPr>
            <w:r>
              <w:rPr>
                <w:u w:val="single"/>
              </w:rPr>
              <w:t xml:space="preserve">0.0185 </w:t>
            </w:r>
          </w:p>
        </w:tc>
        <w:tc>
          <w:tcPr>
            <w:tcW w:w="725" w:type="pct"/>
            <w:vAlign w:val="center"/>
          </w:tcPr>
          <w:p w:rsidR="00EE56C0" w:rsidRDefault="000F36A1">
            <w:pPr>
              <w:pStyle w:val="afa"/>
              <w:rPr>
                <w:rFonts w:eastAsia="宋体"/>
                <w:u w:val="single"/>
              </w:rPr>
            </w:pPr>
            <w:r>
              <w:rPr>
                <w:u w:val="single"/>
              </w:rPr>
              <w:t xml:space="preserve">0.0185 </w:t>
            </w:r>
          </w:p>
        </w:tc>
        <w:tc>
          <w:tcPr>
            <w:tcW w:w="721" w:type="pct"/>
            <w:vAlign w:val="center"/>
          </w:tcPr>
          <w:p w:rsidR="00EE56C0" w:rsidRDefault="000F36A1">
            <w:pPr>
              <w:pStyle w:val="afa"/>
              <w:rPr>
                <w:rFonts w:eastAsia="宋体"/>
                <w:u w:val="single"/>
              </w:rPr>
            </w:pPr>
            <w:r>
              <w:rPr>
                <w:u w:val="single"/>
              </w:rPr>
              <w:t xml:space="preserve">0.0185 </w:t>
            </w:r>
          </w:p>
        </w:tc>
      </w:tr>
      <w:tr w:rsidR="00EE56C0">
        <w:trPr>
          <w:trHeight w:val="397"/>
          <w:jc w:val="center"/>
        </w:trPr>
        <w:tc>
          <w:tcPr>
            <w:tcW w:w="321" w:type="pct"/>
            <w:vMerge/>
            <w:vAlign w:val="center"/>
          </w:tcPr>
          <w:p w:rsidR="00EE56C0" w:rsidRDefault="00EE56C0">
            <w:pPr>
              <w:pStyle w:val="afa"/>
              <w:rPr>
                <w:u w:val="single"/>
              </w:rPr>
            </w:pPr>
          </w:p>
        </w:tc>
        <w:tc>
          <w:tcPr>
            <w:tcW w:w="267" w:type="pct"/>
            <w:vMerge/>
            <w:tcBorders>
              <w:right w:val="single" w:sz="4" w:space="0" w:color="auto"/>
            </w:tcBorders>
            <w:vAlign w:val="center"/>
          </w:tcPr>
          <w:p w:rsidR="00EE56C0" w:rsidRDefault="00EE56C0">
            <w:pPr>
              <w:pStyle w:val="afa"/>
              <w:rPr>
                <w:u w:val="single"/>
              </w:rPr>
            </w:pPr>
          </w:p>
        </w:tc>
        <w:tc>
          <w:tcPr>
            <w:tcW w:w="222" w:type="pct"/>
            <w:vMerge/>
            <w:tcBorders>
              <w:left w:val="single" w:sz="4" w:space="0" w:color="auto"/>
              <w:right w:val="single" w:sz="4" w:space="0" w:color="auto"/>
            </w:tcBorders>
            <w:vAlign w:val="center"/>
          </w:tcPr>
          <w:p w:rsidR="00EE56C0" w:rsidRDefault="00EE56C0">
            <w:pPr>
              <w:pStyle w:val="afa"/>
              <w:rPr>
                <w:u w:val="single"/>
              </w:rPr>
            </w:pPr>
          </w:p>
        </w:tc>
        <w:tc>
          <w:tcPr>
            <w:tcW w:w="563" w:type="pct"/>
            <w:tcBorders>
              <w:left w:val="single" w:sz="4" w:space="0" w:color="auto"/>
            </w:tcBorders>
            <w:vAlign w:val="center"/>
          </w:tcPr>
          <w:p w:rsidR="00EE56C0" w:rsidRDefault="000F36A1">
            <w:pPr>
              <w:pStyle w:val="afa"/>
              <w:rPr>
                <w:u w:val="single"/>
              </w:rPr>
            </w:pPr>
            <w:r>
              <w:rPr>
                <w:rFonts w:hint="eastAsia"/>
                <w:u w:val="single"/>
              </w:rPr>
              <w:t>合计</w:t>
            </w:r>
          </w:p>
        </w:tc>
        <w:tc>
          <w:tcPr>
            <w:tcW w:w="697" w:type="pct"/>
            <w:vAlign w:val="center"/>
          </w:tcPr>
          <w:p w:rsidR="00EE56C0" w:rsidRDefault="000F36A1">
            <w:pPr>
              <w:pStyle w:val="afa"/>
              <w:rPr>
                <w:rFonts w:eastAsia="宋体"/>
                <w:u w:val="single"/>
              </w:rPr>
            </w:pPr>
            <w:r>
              <w:rPr>
                <w:u w:val="single"/>
              </w:rPr>
              <w:t xml:space="preserve">0.5299 </w:t>
            </w:r>
          </w:p>
        </w:tc>
        <w:tc>
          <w:tcPr>
            <w:tcW w:w="758" w:type="pct"/>
            <w:vAlign w:val="center"/>
          </w:tcPr>
          <w:p w:rsidR="00EE56C0" w:rsidRDefault="000F36A1">
            <w:pPr>
              <w:pStyle w:val="afa"/>
              <w:rPr>
                <w:rFonts w:eastAsia="宋体"/>
                <w:u w:val="single"/>
              </w:rPr>
            </w:pPr>
            <w:r>
              <w:rPr>
                <w:u w:val="single"/>
              </w:rPr>
              <w:t>0</w:t>
            </w:r>
          </w:p>
        </w:tc>
        <w:tc>
          <w:tcPr>
            <w:tcW w:w="726" w:type="pct"/>
            <w:vAlign w:val="center"/>
          </w:tcPr>
          <w:p w:rsidR="00EE56C0" w:rsidRDefault="000F36A1">
            <w:pPr>
              <w:pStyle w:val="afa"/>
              <w:rPr>
                <w:rFonts w:eastAsia="宋体"/>
                <w:u w:val="single"/>
              </w:rPr>
            </w:pPr>
            <w:r>
              <w:rPr>
                <w:u w:val="single"/>
              </w:rPr>
              <w:t xml:space="preserve">0.5299 </w:t>
            </w:r>
          </w:p>
        </w:tc>
        <w:tc>
          <w:tcPr>
            <w:tcW w:w="725" w:type="pct"/>
            <w:vAlign w:val="center"/>
          </w:tcPr>
          <w:p w:rsidR="00EE56C0" w:rsidRDefault="000F36A1">
            <w:pPr>
              <w:pStyle w:val="afa"/>
              <w:rPr>
                <w:rFonts w:eastAsia="宋体"/>
                <w:u w:val="single"/>
              </w:rPr>
            </w:pPr>
            <w:r>
              <w:rPr>
                <w:u w:val="single"/>
              </w:rPr>
              <w:t xml:space="preserve">0.5299 </w:t>
            </w:r>
          </w:p>
        </w:tc>
        <w:tc>
          <w:tcPr>
            <w:tcW w:w="721" w:type="pct"/>
            <w:vAlign w:val="center"/>
          </w:tcPr>
          <w:p w:rsidR="00EE56C0" w:rsidRDefault="000F36A1">
            <w:pPr>
              <w:pStyle w:val="afa"/>
              <w:rPr>
                <w:rFonts w:eastAsia="宋体"/>
                <w:u w:val="single"/>
              </w:rPr>
            </w:pPr>
            <w:r>
              <w:rPr>
                <w:u w:val="single"/>
              </w:rPr>
              <w:t xml:space="preserve">0.5299 </w:t>
            </w:r>
          </w:p>
        </w:tc>
      </w:tr>
      <w:tr w:rsidR="00EE56C0">
        <w:trPr>
          <w:trHeight w:val="397"/>
          <w:jc w:val="center"/>
        </w:trPr>
        <w:tc>
          <w:tcPr>
            <w:tcW w:w="321" w:type="pct"/>
            <w:vMerge w:val="restart"/>
            <w:vAlign w:val="center"/>
          </w:tcPr>
          <w:p w:rsidR="00EE56C0" w:rsidRDefault="000F36A1">
            <w:pPr>
              <w:pStyle w:val="afa"/>
              <w:rPr>
                <w:u w:val="single"/>
              </w:rPr>
            </w:pPr>
            <w:r>
              <w:rPr>
                <w:u w:val="single"/>
              </w:rPr>
              <w:t>固废</w:t>
            </w:r>
          </w:p>
        </w:tc>
        <w:tc>
          <w:tcPr>
            <w:tcW w:w="1052" w:type="pct"/>
            <w:gridSpan w:val="3"/>
            <w:vAlign w:val="center"/>
          </w:tcPr>
          <w:p w:rsidR="00EE56C0" w:rsidRDefault="000F36A1">
            <w:pPr>
              <w:pStyle w:val="afa"/>
              <w:rPr>
                <w:u w:val="single"/>
              </w:rPr>
            </w:pPr>
            <w:r>
              <w:rPr>
                <w:rFonts w:hint="eastAsia"/>
                <w:u w:val="single"/>
              </w:rPr>
              <w:t>一般固废</w:t>
            </w:r>
          </w:p>
        </w:tc>
        <w:tc>
          <w:tcPr>
            <w:tcW w:w="697" w:type="pct"/>
            <w:vAlign w:val="center"/>
          </w:tcPr>
          <w:p w:rsidR="00EE56C0" w:rsidRDefault="000F36A1">
            <w:pPr>
              <w:pStyle w:val="afa"/>
              <w:rPr>
                <w:u w:val="single"/>
              </w:rPr>
            </w:pPr>
            <w:r>
              <w:rPr>
                <w:rFonts w:hint="eastAsia"/>
                <w:u w:val="single"/>
              </w:rPr>
              <w:t>13.48</w:t>
            </w:r>
          </w:p>
        </w:tc>
        <w:tc>
          <w:tcPr>
            <w:tcW w:w="758" w:type="pct"/>
            <w:vAlign w:val="center"/>
          </w:tcPr>
          <w:p w:rsidR="00EE56C0" w:rsidRDefault="000F36A1">
            <w:pPr>
              <w:pStyle w:val="afa"/>
              <w:rPr>
                <w:u w:val="single"/>
              </w:rPr>
            </w:pPr>
            <w:r>
              <w:rPr>
                <w:rFonts w:hint="eastAsia"/>
                <w:u w:val="single"/>
              </w:rPr>
              <w:t>13.48</w:t>
            </w:r>
          </w:p>
        </w:tc>
        <w:tc>
          <w:tcPr>
            <w:tcW w:w="726" w:type="pct"/>
            <w:vAlign w:val="center"/>
          </w:tcPr>
          <w:p w:rsidR="00EE56C0" w:rsidRDefault="000F36A1">
            <w:pPr>
              <w:pStyle w:val="afa"/>
              <w:rPr>
                <w:u w:val="single"/>
              </w:rPr>
            </w:pPr>
            <w:r>
              <w:rPr>
                <w:u w:val="single"/>
              </w:rPr>
              <w:t>0</w:t>
            </w:r>
          </w:p>
        </w:tc>
        <w:tc>
          <w:tcPr>
            <w:tcW w:w="725" w:type="pct"/>
            <w:vAlign w:val="center"/>
          </w:tcPr>
          <w:p w:rsidR="00EE56C0" w:rsidRDefault="000F36A1">
            <w:pPr>
              <w:pStyle w:val="afa"/>
              <w:rPr>
                <w:u w:val="single"/>
              </w:rPr>
            </w:pPr>
            <w:r>
              <w:rPr>
                <w:u w:val="single"/>
              </w:rPr>
              <w:t>/</w:t>
            </w:r>
          </w:p>
        </w:tc>
        <w:tc>
          <w:tcPr>
            <w:tcW w:w="721" w:type="pct"/>
            <w:vAlign w:val="center"/>
          </w:tcPr>
          <w:p w:rsidR="00EE56C0" w:rsidRDefault="000F36A1">
            <w:pPr>
              <w:pStyle w:val="afa"/>
              <w:rPr>
                <w:u w:val="single"/>
              </w:rPr>
            </w:pPr>
            <w:r>
              <w:rPr>
                <w:rFonts w:hint="eastAsia"/>
                <w:u w:val="single"/>
              </w:rPr>
              <w:t>0</w:t>
            </w:r>
          </w:p>
        </w:tc>
      </w:tr>
      <w:tr w:rsidR="00EE56C0">
        <w:trPr>
          <w:trHeight w:val="397"/>
          <w:jc w:val="center"/>
        </w:trPr>
        <w:tc>
          <w:tcPr>
            <w:tcW w:w="321" w:type="pct"/>
            <w:vMerge/>
            <w:vAlign w:val="center"/>
          </w:tcPr>
          <w:p w:rsidR="00EE56C0" w:rsidRDefault="00EE56C0">
            <w:pPr>
              <w:pStyle w:val="afa"/>
              <w:rPr>
                <w:u w:val="single"/>
              </w:rPr>
            </w:pPr>
          </w:p>
        </w:tc>
        <w:tc>
          <w:tcPr>
            <w:tcW w:w="1052" w:type="pct"/>
            <w:gridSpan w:val="3"/>
            <w:vAlign w:val="center"/>
          </w:tcPr>
          <w:p w:rsidR="00EE56C0" w:rsidRDefault="000F36A1">
            <w:pPr>
              <w:pStyle w:val="afa"/>
              <w:rPr>
                <w:u w:val="single"/>
              </w:rPr>
            </w:pPr>
            <w:r>
              <w:rPr>
                <w:rFonts w:hint="eastAsia"/>
                <w:u w:val="single"/>
              </w:rPr>
              <w:t>危险废物</w:t>
            </w:r>
          </w:p>
        </w:tc>
        <w:tc>
          <w:tcPr>
            <w:tcW w:w="697" w:type="pct"/>
            <w:vAlign w:val="center"/>
          </w:tcPr>
          <w:p w:rsidR="00EE56C0" w:rsidRDefault="000F36A1">
            <w:pPr>
              <w:pStyle w:val="afa"/>
              <w:rPr>
                <w:u w:val="single"/>
              </w:rPr>
            </w:pPr>
            <w:r>
              <w:rPr>
                <w:rFonts w:hint="eastAsia"/>
                <w:u w:val="single"/>
              </w:rPr>
              <w:t>10.74</w:t>
            </w:r>
          </w:p>
        </w:tc>
        <w:tc>
          <w:tcPr>
            <w:tcW w:w="758" w:type="pct"/>
            <w:vAlign w:val="center"/>
          </w:tcPr>
          <w:p w:rsidR="00EE56C0" w:rsidRDefault="000F36A1">
            <w:pPr>
              <w:pStyle w:val="afa"/>
              <w:rPr>
                <w:u w:val="single"/>
              </w:rPr>
            </w:pPr>
            <w:r>
              <w:rPr>
                <w:rFonts w:hint="eastAsia"/>
                <w:u w:val="single"/>
              </w:rPr>
              <w:t>10.74</w:t>
            </w:r>
          </w:p>
        </w:tc>
        <w:tc>
          <w:tcPr>
            <w:tcW w:w="726" w:type="pct"/>
            <w:vAlign w:val="center"/>
          </w:tcPr>
          <w:p w:rsidR="00EE56C0" w:rsidRDefault="000F36A1">
            <w:pPr>
              <w:pStyle w:val="afa"/>
              <w:rPr>
                <w:u w:val="single"/>
              </w:rPr>
            </w:pPr>
            <w:r>
              <w:rPr>
                <w:u w:val="single"/>
              </w:rPr>
              <w:t>0</w:t>
            </w:r>
          </w:p>
        </w:tc>
        <w:tc>
          <w:tcPr>
            <w:tcW w:w="725" w:type="pct"/>
            <w:vAlign w:val="center"/>
          </w:tcPr>
          <w:p w:rsidR="00EE56C0" w:rsidRDefault="000F36A1">
            <w:pPr>
              <w:pStyle w:val="afa"/>
              <w:rPr>
                <w:u w:val="single"/>
              </w:rPr>
            </w:pPr>
            <w:r>
              <w:rPr>
                <w:u w:val="single"/>
              </w:rPr>
              <w:t>/</w:t>
            </w:r>
          </w:p>
        </w:tc>
        <w:tc>
          <w:tcPr>
            <w:tcW w:w="721" w:type="pct"/>
            <w:vAlign w:val="center"/>
          </w:tcPr>
          <w:p w:rsidR="00EE56C0" w:rsidRDefault="000F36A1">
            <w:pPr>
              <w:pStyle w:val="afa"/>
              <w:rPr>
                <w:u w:val="single"/>
              </w:rPr>
            </w:pPr>
            <w:r>
              <w:rPr>
                <w:rFonts w:hint="eastAsia"/>
                <w:u w:val="single"/>
              </w:rPr>
              <w:t>0</w:t>
            </w:r>
          </w:p>
        </w:tc>
      </w:tr>
    </w:tbl>
    <w:p w:rsidR="00EE56C0" w:rsidRDefault="000F36A1">
      <w:pPr>
        <w:pStyle w:val="afd"/>
        <w:spacing w:before="120" w:after="120"/>
        <w:ind w:firstLine="482"/>
      </w:pPr>
      <w:r>
        <w:rPr>
          <w:rFonts w:hint="eastAsia"/>
        </w:rPr>
        <w:t>表</w:t>
      </w:r>
      <w:r>
        <w:rPr>
          <w:rFonts w:hint="eastAsia"/>
        </w:rPr>
        <w:t>8-1</w:t>
      </w:r>
      <w:r w:rsidR="001F2747">
        <w:rPr>
          <w:rFonts w:hint="eastAsia"/>
        </w:rPr>
        <w:t>2</w:t>
      </w:r>
      <w:r>
        <w:rPr>
          <w:rFonts w:hint="eastAsia"/>
        </w:rPr>
        <w:t xml:space="preserve">       </w:t>
      </w:r>
      <w:r>
        <w:rPr>
          <w:rFonts w:hint="eastAsia"/>
        </w:rPr>
        <w:t>项目二期新增污染物产排情况</w:t>
      </w:r>
      <w:r>
        <w:rPr>
          <w:rFonts w:hint="eastAsia"/>
        </w:rPr>
        <w:t xml:space="preserve">         </w:t>
      </w:r>
      <w:r>
        <w:rPr>
          <w:rFonts w:hint="eastAsia"/>
        </w:rPr>
        <w:t>单位：</w:t>
      </w:r>
      <w:r>
        <w:rPr>
          <w:rFonts w:hint="eastAsia"/>
        </w:rPr>
        <w:t>t/a</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tblPr>
      <w:tblGrid>
        <w:gridCol w:w="549"/>
        <w:gridCol w:w="454"/>
        <w:gridCol w:w="380"/>
        <w:gridCol w:w="969"/>
        <w:gridCol w:w="1215"/>
        <w:gridCol w:w="1220"/>
        <w:gridCol w:w="1279"/>
        <w:gridCol w:w="1233"/>
        <w:gridCol w:w="1230"/>
      </w:tblGrid>
      <w:tr w:rsidR="00EE56C0">
        <w:trPr>
          <w:trHeight w:val="454"/>
          <w:tblHeader/>
          <w:jc w:val="center"/>
        </w:trPr>
        <w:tc>
          <w:tcPr>
            <w:tcW w:w="1379" w:type="pct"/>
            <w:gridSpan w:val="4"/>
            <w:vAlign w:val="center"/>
          </w:tcPr>
          <w:p w:rsidR="00EE56C0" w:rsidRDefault="000F36A1">
            <w:pPr>
              <w:pStyle w:val="aff1"/>
              <w:rPr>
                <w:color w:val="auto"/>
                <w:u w:val="single"/>
              </w:rPr>
            </w:pPr>
            <w:r>
              <w:rPr>
                <w:color w:val="auto"/>
                <w:u w:val="single"/>
              </w:rPr>
              <w:t>污染物</w:t>
            </w:r>
          </w:p>
        </w:tc>
        <w:tc>
          <w:tcPr>
            <w:tcW w:w="712" w:type="pct"/>
            <w:vAlign w:val="center"/>
          </w:tcPr>
          <w:p w:rsidR="00EE56C0" w:rsidRDefault="000F36A1">
            <w:pPr>
              <w:pStyle w:val="aff1"/>
              <w:rPr>
                <w:color w:val="auto"/>
                <w:u w:val="single"/>
              </w:rPr>
            </w:pPr>
            <w:r>
              <w:rPr>
                <w:color w:val="auto"/>
                <w:u w:val="single"/>
              </w:rPr>
              <w:t>工程产生量</w:t>
            </w:r>
          </w:p>
        </w:tc>
        <w:tc>
          <w:tcPr>
            <w:tcW w:w="715" w:type="pct"/>
            <w:vAlign w:val="center"/>
          </w:tcPr>
          <w:p w:rsidR="00EE56C0" w:rsidRDefault="000F36A1">
            <w:pPr>
              <w:pStyle w:val="aff1"/>
              <w:rPr>
                <w:color w:val="auto"/>
                <w:u w:val="single"/>
              </w:rPr>
            </w:pPr>
            <w:r>
              <w:rPr>
                <w:color w:val="auto"/>
                <w:u w:val="single"/>
              </w:rPr>
              <w:t>工程削减量</w:t>
            </w:r>
          </w:p>
        </w:tc>
        <w:tc>
          <w:tcPr>
            <w:tcW w:w="750" w:type="pct"/>
            <w:vAlign w:val="center"/>
          </w:tcPr>
          <w:p w:rsidR="00EE56C0" w:rsidRDefault="000F36A1">
            <w:pPr>
              <w:pStyle w:val="afa"/>
              <w:rPr>
                <w:b/>
                <w:u w:val="single"/>
              </w:rPr>
            </w:pPr>
            <w:r>
              <w:rPr>
                <w:rFonts w:hint="eastAsia"/>
                <w:b/>
                <w:u w:val="single"/>
              </w:rPr>
              <w:t>出厂总量</w:t>
            </w:r>
          </w:p>
        </w:tc>
        <w:tc>
          <w:tcPr>
            <w:tcW w:w="723" w:type="pct"/>
            <w:vAlign w:val="center"/>
          </w:tcPr>
          <w:p w:rsidR="00EE56C0" w:rsidRDefault="000F36A1">
            <w:pPr>
              <w:pStyle w:val="afa"/>
              <w:rPr>
                <w:b/>
                <w:u w:val="single"/>
              </w:rPr>
            </w:pPr>
            <w:r>
              <w:rPr>
                <w:rFonts w:hint="eastAsia"/>
                <w:b/>
                <w:u w:val="single"/>
              </w:rPr>
              <w:t>排入环境量</w:t>
            </w:r>
          </w:p>
        </w:tc>
        <w:tc>
          <w:tcPr>
            <w:tcW w:w="721" w:type="pct"/>
            <w:vAlign w:val="center"/>
          </w:tcPr>
          <w:p w:rsidR="00EE56C0" w:rsidRDefault="000F36A1">
            <w:pPr>
              <w:pStyle w:val="aff1"/>
              <w:rPr>
                <w:color w:val="auto"/>
                <w:u w:val="single"/>
              </w:rPr>
            </w:pPr>
            <w:r>
              <w:rPr>
                <w:rFonts w:hint="eastAsia"/>
                <w:color w:val="auto"/>
                <w:u w:val="single"/>
              </w:rPr>
              <w:t>总量指标</w:t>
            </w:r>
          </w:p>
        </w:tc>
      </w:tr>
      <w:tr w:rsidR="00EE56C0">
        <w:trPr>
          <w:trHeight w:val="454"/>
          <w:jc w:val="center"/>
        </w:trPr>
        <w:tc>
          <w:tcPr>
            <w:tcW w:w="322" w:type="pct"/>
            <w:vMerge w:val="restart"/>
            <w:vAlign w:val="center"/>
          </w:tcPr>
          <w:p w:rsidR="00EE56C0" w:rsidRDefault="000F36A1">
            <w:pPr>
              <w:pStyle w:val="afa"/>
              <w:rPr>
                <w:u w:val="single"/>
              </w:rPr>
            </w:pPr>
            <w:r>
              <w:rPr>
                <w:u w:val="single"/>
              </w:rPr>
              <w:t>废水</w:t>
            </w:r>
          </w:p>
        </w:tc>
        <w:tc>
          <w:tcPr>
            <w:tcW w:w="1057" w:type="pct"/>
            <w:gridSpan w:val="3"/>
            <w:vAlign w:val="center"/>
          </w:tcPr>
          <w:p w:rsidR="00EE56C0" w:rsidRDefault="000F36A1">
            <w:pPr>
              <w:pStyle w:val="afa"/>
              <w:rPr>
                <w:u w:val="single"/>
              </w:rPr>
            </w:pPr>
            <w:r>
              <w:rPr>
                <w:u w:val="single"/>
              </w:rPr>
              <w:t>COD</w:t>
            </w:r>
          </w:p>
        </w:tc>
        <w:tc>
          <w:tcPr>
            <w:tcW w:w="712" w:type="pct"/>
            <w:vAlign w:val="center"/>
          </w:tcPr>
          <w:p w:rsidR="00EE56C0" w:rsidRDefault="000F36A1">
            <w:pPr>
              <w:pStyle w:val="afa"/>
              <w:rPr>
                <w:rFonts w:eastAsia="宋体"/>
                <w:u w:val="single"/>
              </w:rPr>
            </w:pPr>
            <w:r>
              <w:rPr>
                <w:u w:val="single"/>
              </w:rPr>
              <w:t xml:space="preserve">0.4416 </w:t>
            </w:r>
          </w:p>
        </w:tc>
        <w:tc>
          <w:tcPr>
            <w:tcW w:w="715" w:type="pct"/>
            <w:vAlign w:val="center"/>
          </w:tcPr>
          <w:p w:rsidR="00EE56C0" w:rsidRDefault="000F36A1">
            <w:pPr>
              <w:pStyle w:val="afa"/>
              <w:rPr>
                <w:rFonts w:eastAsia="宋体"/>
                <w:u w:val="single"/>
              </w:rPr>
            </w:pPr>
            <w:r>
              <w:rPr>
                <w:u w:val="single"/>
              </w:rPr>
              <w:t xml:space="preserve">0.3729 </w:t>
            </w:r>
          </w:p>
        </w:tc>
        <w:tc>
          <w:tcPr>
            <w:tcW w:w="750" w:type="pct"/>
            <w:vAlign w:val="center"/>
          </w:tcPr>
          <w:p w:rsidR="00EE56C0" w:rsidRDefault="000F36A1">
            <w:pPr>
              <w:pStyle w:val="afa"/>
              <w:rPr>
                <w:rFonts w:eastAsia="宋体"/>
                <w:u w:val="single"/>
              </w:rPr>
            </w:pPr>
            <w:r>
              <w:rPr>
                <w:u w:val="single"/>
              </w:rPr>
              <w:t xml:space="preserve">0.0687 </w:t>
            </w:r>
          </w:p>
        </w:tc>
        <w:tc>
          <w:tcPr>
            <w:tcW w:w="723" w:type="pct"/>
            <w:vAlign w:val="center"/>
          </w:tcPr>
          <w:p w:rsidR="00EE56C0" w:rsidRDefault="000F36A1">
            <w:pPr>
              <w:pStyle w:val="afa"/>
              <w:rPr>
                <w:rFonts w:eastAsia="宋体"/>
                <w:u w:val="single"/>
              </w:rPr>
            </w:pPr>
            <w:r>
              <w:rPr>
                <w:u w:val="single"/>
              </w:rPr>
              <w:t xml:space="preserve">0.0649 </w:t>
            </w:r>
          </w:p>
        </w:tc>
        <w:tc>
          <w:tcPr>
            <w:tcW w:w="721" w:type="pct"/>
            <w:vAlign w:val="center"/>
          </w:tcPr>
          <w:p w:rsidR="00EE56C0" w:rsidRDefault="000F36A1">
            <w:pPr>
              <w:pStyle w:val="afa"/>
              <w:rPr>
                <w:rFonts w:eastAsia="宋体"/>
                <w:u w:val="single"/>
              </w:rPr>
            </w:pPr>
            <w:r>
              <w:rPr>
                <w:u w:val="single"/>
              </w:rPr>
              <w:t xml:space="preserve">0.0649 </w:t>
            </w:r>
          </w:p>
        </w:tc>
      </w:tr>
      <w:tr w:rsidR="00EE56C0">
        <w:trPr>
          <w:trHeight w:val="454"/>
          <w:jc w:val="center"/>
        </w:trPr>
        <w:tc>
          <w:tcPr>
            <w:tcW w:w="322" w:type="pct"/>
            <w:vMerge/>
            <w:vAlign w:val="center"/>
          </w:tcPr>
          <w:p w:rsidR="00EE56C0" w:rsidRDefault="00EE56C0">
            <w:pPr>
              <w:pStyle w:val="afa"/>
              <w:rPr>
                <w:u w:val="single"/>
              </w:rPr>
            </w:pPr>
          </w:p>
        </w:tc>
        <w:tc>
          <w:tcPr>
            <w:tcW w:w="1057" w:type="pct"/>
            <w:gridSpan w:val="3"/>
            <w:vAlign w:val="center"/>
          </w:tcPr>
          <w:p w:rsidR="00EE56C0" w:rsidRDefault="000F36A1">
            <w:pPr>
              <w:pStyle w:val="afa"/>
              <w:rPr>
                <w:u w:val="single"/>
              </w:rPr>
            </w:pPr>
            <w:r>
              <w:rPr>
                <w:rFonts w:hint="eastAsia"/>
                <w:u w:val="single"/>
              </w:rPr>
              <w:t>NH</w:t>
            </w:r>
            <w:r>
              <w:rPr>
                <w:rFonts w:hint="eastAsia"/>
                <w:u w:val="single"/>
                <w:vertAlign w:val="subscript"/>
              </w:rPr>
              <w:t>3</w:t>
            </w:r>
            <w:r>
              <w:rPr>
                <w:rFonts w:hint="eastAsia"/>
                <w:u w:val="single"/>
              </w:rPr>
              <w:t>-N</w:t>
            </w:r>
          </w:p>
        </w:tc>
        <w:tc>
          <w:tcPr>
            <w:tcW w:w="712" w:type="pct"/>
            <w:vAlign w:val="center"/>
          </w:tcPr>
          <w:p w:rsidR="00EE56C0" w:rsidRDefault="000F36A1">
            <w:pPr>
              <w:pStyle w:val="afa"/>
              <w:rPr>
                <w:rFonts w:eastAsia="宋体"/>
                <w:u w:val="single"/>
              </w:rPr>
            </w:pPr>
            <w:r>
              <w:rPr>
                <w:u w:val="single"/>
              </w:rPr>
              <w:t xml:space="preserve">0.0313 </w:t>
            </w:r>
          </w:p>
        </w:tc>
        <w:tc>
          <w:tcPr>
            <w:tcW w:w="715" w:type="pct"/>
            <w:vAlign w:val="center"/>
          </w:tcPr>
          <w:p w:rsidR="00EE56C0" w:rsidRDefault="000F36A1">
            <w:pPr>
              <w:pStyle w:val="afa"/>
              <w:rPr>
                <w:rFonts w:eastAsia="宋体"/>
                <w:u w:val="single"/>
              </w:rPr>
            </w:pPr>
            <w:r>
              <w:rPr>
                <w:u w:val="single"/>
              </w:rPr>
              <w:t xml:space="preserve">0.0249 </w:t>
            </w:r>
          </w:p>
        </w:tc>
        <w:tc>
          <w:tcPr>
            <w:tcW w:w="750" w:type="pct"/>
            <w:vAlign w:val="center"/>
          </w:tcPr>
          <w:p w:rsidR="00EE56C0" w:rsidRDefault="000F36A1">
            <w:pPr>
              <w:pStyle w:val="afa"/>
              <w:rPr>
                <w:rFonts w:eastAsia="宋体"/>
                <w:u w:val="single"/>
              </w:rPr>
            </w:pPr>
            <w:r>
              <w:rPr>
                <w:u w:val="single"/>
              </w:rPr>
              <w:t xml:space="preserve">0.0064 </w:t>
            </w:r>
          </w:p>
        </w:tc>
        <w:tc>
          <w:tcPr>
            <w:tcW w:w="723" w:type="pct"/>
            <w:vAlign w:val="center"/>
          </w:tcPr>
          <w:p w:rsidR="00EE56C0" w:rsidRDefault="000F36A1">
            <w:pPr>
              <w:pStyle w:val="afa"/>
              <w:rPr>
                <w:rFonts w:eastAsia="宋体"/>
                <w:u w:val="single"/>
              </w:rPr>
            </w:pPr>
            <w:r>
              <w:rPr>
                <w:u w:val="single"/>
              </w:rPr>
              <w:t xml:space="preserve">0.0032 </w:t>
            </w:r>
          </w:p>
        </w:tc>
        <w:tc>
          <w:tcPr>
            <w:tcW w:w="721" w:type="pct"/>
            <w:vAlign w:val="center"/>
          </w:tcPr>
          <w:p w:rsidR="00EE56C0" w:rsidRDefault="000F36A1">
            <w:pPr>
              <w:pStyle w:val="afa"/>
              <w:rPr>
                <w:rFonts w:eastAsia="宋体"/>
                <w:u w:val="single"/>
              </w:rPr>
            </w:pPr>
            <w:r>
              <w:rPr>
                <w:u w:val="single"/>
              </w:rPr>
              <w:t xml:space="preserve">0.0032 </w:t>
            </w:r>
          </w:p>
        </w:tc>
      </w:tr>
      <w:tr w:rsidR="00EE56C0">
        <w:trPr>
          <w:trHeight w:val="454"/>
          <w:jc w:val="center"/>
        </w:trPr>
        <w:tc>
          <w:tcPr>
            <w:tcW w:w="322" w:type="pct"/>
            <w:vMerge/>
            <w:vAlign w:val="center"/>
          </w:tcPr>
          <w:p w:rsidR="00EE56C0" w:rsidRDefault="00EE56C0">
            <w:pPr>
              <w:pStyle w:val="afa"/>
              <w:rPr>
                <w:u w:val="single"/>
              </w:rPr>
            </w:pPr>
          </w:p>
        </w:tc>
        <w:tc>
          <w:tcPr>
            <w:tcW w:w="1057" w:type="pct"/>
            <w:gridSpan w:val="3"/>
            <w:vAlign w:val="center"/>
          </w:tcPr>
          <w:p w:rsidR="00EE56C0" w:rsidRDefault="000F36A1">
            <w:pPr>
              <w:pStyle w:val="afa"/>
              <w:rPr>
                <w:u w:val="single"/>
              </w:rPr>
            </w:pPr>
            <w:r>
              <w:rPr>
                <w:u w:val="single"/>
              </w:rPr>
              <w:t>T</w:t>
            </w:r>
            <w:r>
              <w:rPr>
                <w:rFonts w:hint="eastAsia"/>
                <w:u w:val="single"/>
              </w:rPr>
              <w:t xml:space="preserve">P </w:t>
            </w:r>
          </w:p>
        </w:tc>
        <w:tc>
          <w:tcPr>
            <w:tcW w:w="712" w:type="pct"/>
            <w:vAlign w:val="center"/>
          </w:tcPr>
          <w:p w:rsidR="00EE56C0" w:rsidRDefault="000F36A1">
            <w:pPr>
              <w:pStyle w:val="afa"/>
              <w:rPr>
                <w:rFonts w:eastAsia="宋体"/>
                <w:u w:val="single"/>
              </w:rPr>
            </w:pPr>
            <w:r>
              <w:rPr>
                <w:u w:val="single"/>
              </w:rPr>
              <w:t xml:space="preserve">0.0051 </w:t>
            </w:r>
          </w:p>
        </w:tc>
        <w:tc>
          <w:tcPr>
            <w:tcW w:w="715" w:type="pct"/>
            <w:vAlign w:val="center"/>
          </w:tcPr>
          <w:p w:rsidR="00EE56C0" w:rsidRDefault="000F36A1">
            <w:pPr>
              <w:pStyle w:val="afa"/>
              <w:rPr>
                <w:rFonts w:eastAsia="宋体"/>
                <w:u w:val="single"/>
              </w:rPr>
            </w:pPr>
            <w:r>
              <w:rPr>
                <w:u w:val="single"/>
              </w:rPr>
              <w:t xml:space="preserve">0.0029 </w:t>
            </w:r>
          </w:p>
        </w:tc>
        <w:tc>
          <w:tcPr>
            <w:tcW w:w="750" w:type="pct"/>
            <w:vAlign w:val="center"/>
          </w:tcPr>
          <w:p w:rsidR="00EE56C0" w:rsidRDefault="000F36A1">
            <w:pPr>
              <w:pStyle w:val="afa"/>
              <w:rPr>
                <w:rFonts w:eastAsia="宋体"/>
                <w:u w:val="single"/>
              </w:rPr>
            </w:pPr>
            <w:r>
              <w:rPr>
                <w:u w:val="single"/>
              </w:rPr>
              <w:t xml:space="preserve">0.0022 </w:t>
            </w:r>
          </w:p>
        </w:tc>
        <w:tc>
          <w:tcPr>
            <w:tcW w:w="723" w:type="pct"/>
            <w:vAlign w:val="center"/>
          </w:tcPr>
          <w:p w:rsidR="00EE56C0" w:rsidRDefault="000F36A1">
            <w:pPr>
              <w:pStyle w:val="afa"/>
              <w:rPr>
                <w:rFonts w:eastAsia="宋体"/>
                <w:u w:val="single"/>
              </w:rPr>
            </w:pPr>
            <w:r>
              <w:rPr>
                <w:u w:val="single"/>
              </w:rPr>
              <w:t xml:space="preserve">0.0006 </w:t>
            </w:r>
          </w:p>
        </w:tc>
        <w:tc>
          <w:tcPr>
            <w:tcW w:w="721" w:type="pct"/>
            <w:vAlign w:val="center"/>
          </w:tcPr>
          <w:p w:rsidR="00EE56C0" w:rsidRDefault="000F36A1">
            <w:pPr>
              <w:pStyle w:val="afa"/>
              <w:rPr>
                <w:rFonts w:eastAsia="宋体"/>
                <w:u w:val="single"/>
              </w:rPr>
            </w:pPr>
            <w:r>
              <w:rPr>
                <w:u w:val="single"/>
              </w:rPr>
              <w:t xml:space="preserve">0.0006 </w:t>
            </w:r>
          </w:p>
        </w:tc>
      </w:tr>
      <w:tr w:rsidR="00EE56C0">
        <w:trPr>
          <w:trHeight w:val="454"/>
          <w:jc w:val="center"/>
        </w:trPr>
        <w:tc>
          <w:tcPr>
            <w:tcW w:w="322" w:type="pct"/>
            <w:vMerge/>
            <w:vAlign w:val="center"/>
          </w:tcPr>
          <w:p w:rsidR="00EE56C0" w:rsidRDefault="00EE56C0">
            <w:pPr>
              <w:pStyle w:val="afa"/>
              <w:rPr>
                <w:u w:val="single"/>
              </w:rPr>
            </w:pPr>
          </w:p>
        </w:tc>
        <w:tc>
          <w:tcPr>
            <w:tcW w:w="1057" w:type="pct"/>
            <w:gridSpan w:val="3"/>
            <w:vAlign w:val="center"/>
          </w:tcPr>
          <w:p w:rsidR="00EE56C0" w:rsidRDefault="000F36A1">
            <w:pPr>
              <w:pStyle w:val="afa"/>
              <w:rPr>
                <w:u w:val="single"/>
              </w:rPr>
            </w:pPr>
            <w:r>
              <w:rPr>
                <w:rFonts w:hint="eastAsia"/>
                <w:u w:val="single"/>
              </w:rPr>
              <w:t>TN</w:t>
            </w:r>
          </w:p>
        </w:tc>
        <w:tc>
          <w:tcPr>
            <w:tcW w:w="712" w:type="pct"/>
            <w:vAlign w:val="center"/>
          </w:tcPr>
          <w:p w:rsidR="00EE56C0" w:rsidRDefault="000F36A1">
            <w:pPr>
              <w:pStyle w:val="afa"/>
              <w:rPr>
                <w:rFonts w:eastAsia="宋体"/>
                <w:u w:val="single"/>
              </w:rPr>
            </w:pPr>
            <w:r>
              <w:rPr>
                <w:u w:val="single"/>
              </w:rPr>
              <w:t xml:space="preserve">0.0378 </w:t>
            </w:r>
          </w:p>
        </w:tc>
        <w:tc>
          <w:tcPr>
            <w:tcW w:w="715" w:type="pct"/>
            <w:vAlign w:val="center"/>
          </w:tcPr>
          <w:p w:rsidR="00EE56C0" w:rsidRDefault="000F36A1">
            <w:pPr>
              <w:pStyle w:val="afa"/>
              <w:rPr>
                <w:rFonts w:eastAsia="宋体"/>
                <w:u w:val="single"/>
              </w:rPr>
            </w:pPr>
            <w:r>
              <w:rPr>
                <w:u w:val="single"/>
              </w:rPr>
              <w:t xml:space="preserve">0.0258 </w:t>
            </w:r>
          </w:p>
        </w:tc>
        <w:tc>
          <w:tcPr>
            <w:tcW w:w="750" w:type="pct"/>
            <w:vAlign w:val="center"/>
          </w:tcPr>
          <w:p w:rsidR="00EE56C0" w:rsidRDefault="000F36A1">
            <w:pPr>
              <w:pStyle w:val="afa"/>
              <w:rPr>
                <w:rFonts w:eastAsia="宋体"/>
                <w:u w:val="single"/>
              </w:rPr>
            </w:pPr>
            <w:r>
              <w:rPr>
                <w:u w:val="single"/>
              </w:rPr>
              <w:t xml:space="preserve">0.0120 </w:t>
            </w:r>
          </w:p>
        </w:tc>
        <w:tc>
          <w:tcPr>
            <w:tcW w:w="723" w:type="pct"/>
            <w:vAlign w:val="center"/>
          </w:tcPr>
          <w:p w:rsidR="00EE56C0" w:rsidRDefault="000F36A1">
            <w:pPr>
              <w:pStyle w:val="afa"/>
              <w:rPr>
                <w:rFonts w:eastAsia="宋体"/>
                <w:u w:val="single"/>
              </w:rPr>
            </w:pPr>
            <w:r>
              <w:rPr>
                <w:u w:val="single"/>
              </w:rPr>
              <w:t xml:space="preserve">0.0243 </w:t>
            </w:r>
          </w:p>
        </w:tc>
        <w:tc>
          <w:tcPr>
            <w:tcW w:w="721" w:type="pct"/>
            <w:vAlign w:val="center"/>
          </w:tcPr>
          <w:p w:rsidR="00EE56C0" w:rsidRDefault="000F36A1">
            <w:pPr>
              <w:pStyle w:val="afa"/>
              <w:rPr>
                <w:rFonts w:ascii="宋体" w:eastAsia="宋体" w:hAnsi="宋体" w:cs="宋体"/>
                <w:u w:val="single"/>
              </w:rPr>
            </w:pPr>
            <w:r>
              <w:rPr>
                <w:rFonts w:hint="eastAsia"/>
                <w:u w:val="single"/>
              </w:rPr>
              <w:t>0.0243</w:t>
            </w:r>
          </w:p>
        </w:tc>
      </w:tr>
      <w:tr w:rsidR="00EE56C0">
        <w:trPr>
          <w:trHeight w:val="454"/>
          <w:jc w:val="center"/>
        </w:trPr>
        <w:tc>
          <w:tcPr>
            <w:tcW w:w="322" w:type="pct"/>
            <w:vMerge/>
            <w:vAlign w:val="center"/>
          </w:tcPr>
          <w:p w:rsidR="00EE56C0" w:rsidRDefault="00EE56C0">
            <w:pPr>
              <w:pStyle w:val="afa"/>
              <w:rPr>
                <w:u w:val="single"/>
              </w:rPr>
            </w:pPr>
          </w:p>
        </w:tc>
        <w:tc>
          <w:tcPr>
            <w:tcW w:w="1057" w:type="pct"/>
            <w:gridSpan w:val="3"/>
            <w:vAlign w:val="center"/>
          </w:tcPr>
          <w:p w:rsidR="00EE56C0" w:rsidRDefault="000F36A1">
            <w:pPr>
              <w:pStyle w:val="afa"/>
              <w:rPr>
                <w:u w:val="single"/>
              </w:rPr>
            </w:pPr>
            <w:r>
              <w:rPr>
                <w:u w:val="single"/>
              </w:rPr>
              <w:t>水量（</w:t>
            </w:r>
            <w:r>
              <w:rPr>
                <w:u w:val="single"/>
              </w:rPr>
              <w:t>t/a</w:t>
            </w:r>
            <w:r>
              <w:rPr>
                <w:u w:val="single"/>
              </w:rPr>
              <w:t>）</w:t>
            </w:r>
          </w:p>
        </w:tc>
        <w:tc>
          <w:tcPr>
            <w:tcW w:w="712" w:type="pct"/>
            <w:vAlign w:val="center"/>
          </w:tcPr>
          <w:p w:rsidR="00EE56C0" w:rsidRDefault="000F36A1">
            <w:pPr>
              <w:pStyle w:val="afa"/>
              <w:rPr>
                <w:rFonts w:eastAsia="宋体"/>
                <w:u w:val="single"/>
              </w:rPr>
            </w:pPr>
            <w:r>
              <w:rPr>
                <w:u w:val="single"/>
              </w:rPr>
              <w:t>1623</w:t>
            </w:r>
          </w:p>
        </w:tc>
        <w:tc>
          <w:tcPr>
            <w:tcW w:w="715" w:type="pct"/>
            <w:vAlign w:val="center"/>
          </w:tcPr>
          <w:p w:rsidR="00EE56C0" w:rsidRDefault="000F36A1">
            <w:pPr>
              <w:pStyle w:val="afa"/>
              <w:rPr>
                <w:rFonts w:eastAsia="宋体"/>
                <w:u w:val="single"/>
              </w:rPr>
            </w:pPr>
            <w:r>
              <w:rPr>
                <w:u w:val="single"/>
              </w:rPr>
              <w:t>0</w:t>
            </w:r>
          </w:p>
        </w:tc>
        <w:tc>
          <w:tcPr>
            <w:tcW w:w="750" w:type="pct"/>
            <w:vAlign w:val="center"/>
          </w:tcPr>
          <w:p w:rsidR="00EE56C0" w:rsidRDefault="000F36A1">
            <w:pPr>
              <w:pStyle w:val="afa"/>
              <w:rPr>
                <w:rFonts w:eastAsia="宋体"/>
                <w:u w:val="single"/>
              </w:rPr>
            </w:pPr>
            <w:r>
              <w:rPr>
                <w:u w:val="single"/>
              </w:rPr>
              <w:t>1623</w:t>
            </w:r>
          </w:p>
        </w:tc>
        <w:tc>
          <w:tcPr>
            <w:tcW w:w="723" w:type="pct"/>
            <w:vAlign w:val="center"/>
          </w:tcPr>
          <w:p w:rsidR="00EE56C0" w:rsidRDefault="000F36A1">
            <w:pPr>
              <w:pStyle w:val="afa"/>
              <w:rPr>
                <w:rFonts w:eastAsia="宋体"/>
                <w:u w:val="single"/>
              </w:rPr>
            </w:pPr>
            <w:r>
              <w:rPr>
                <w:u w:val="single"/>
              </w:rPr>
              <w:t>1623</w:t>
            </w:r>
          </w:p>
        </w:tc>
        <w:tc>
          <w:tcPr>
            <w:tcW w:w="721" w:type="pct"/>
            <w:vAlign w:val="center"/>
          </w:tcPr>
          <w:p w:rsidR="00EE56C0" w:rsidRDefault="000F36A1">
            <w:pPr>
              <w:pStyle w:val="afa"/>
              <w:rPr>
                <w:u w:val="single"/>
              </w:rPr>
            </w:pPr>
            <w:r>
              <w:rPr>
                <w:u w:val="single"/>
              </w:rPr>
              <w:t>1623</w:t>
            </w:r>
          </w:p>
        </w:tc>
      </w:tr>
      <w:tr w:rsidR="00EE56C0">
        <w:trPr>
          <w:trHeight w:val="454"/>
          <w:jc w:val="center"/>
        </w:trPr>
        <w:tc>
          <w:tcPr>
            <w:tcW w:w="322" w:type="pct"/>
            <w:vMerge w:val="restart"/>
            <w:tcBorders>
              <w:top w:val="single" w:sz="4" w:space="0" w:color="auto"/>
            </w:tcBorders>
            <w:vAlign w:val="center"/>
          </w:tcPr>
          <w:p w:rsidR="00EE56C0" w:rsidRDefault="000F36A1">
            <w:pPr>
              <w:pStyle w:val="afa"/>
              <w:rPr>
                <w:u w:val="single"/>
              </w:rPr>
            </w:pPr>
            <w:r>
              <w:rPr>
                <w:u w:val="single"/>
              </w:rPr>
              <w:t>废气</w:t>
            </w:r>
          </w:p>
        </w:tc>
        <w:tc>
          <w:tcPr>
            <w:tcW w:w="266" w:type="pct"/>
            <w:vMerge w:val="restart"/>
            <w:tcBorders>
              <w:top w:val="single" w:sz="4" w:space="0" w:color="auto"/>
              <w:right w:val="single" w:sz="4" w:space="0" w:color="auto"/>
            </w:tcBorders>
            <w:vAlign w:val="center"/>
          </w:tcPr>
          <w:p w:rsidR="00EE56C0" w:rsidRDefault="000F36A1">
            <w:pPr>
              <w:pStyle w:val="afa"/>
              <w:rPr>
                <w:u w:val="single"/>
              </w:rPr>
            </w:pPr>
            <w:r>
              <w:rPr>
                <w:rFonts w:hint="eastAsia"/>
                <w:u w:val="single"/>
              </w:rPr>
              <w:t>有组织</w:t>
            </w:r>
          </w:p>
        </w:tc>
        <w:tc>
          <w:tcPr>
            <w:tcW w:w="223" w:type="pct"/>
            <w:vMerge w:val="restart"/>
            <w:tcBorders>
              <w:left w:val="single" w:sz="4" w:space="0" w:color="auto"/>
              <w:right w:val="single" w:sz="4" w:space="0" w:color="auto"/>
            </w:tcBorders>
            <w:vAlign w:val="center"/>
          </w:tcPr>
          <w:p w:rsidR="00EE56C0" w:rsidRDefault="000F36A1">
            <w:pPr>
              <w:pStyle w:val="afa"/>
              <w:rPr>
                <w:u w:val="single"/>
              </w:rPr>
            </w:pPr>
            <w:r>
              <w:rPr>
                <w:rFonts w:hint="eastAsia"/>
                <w:u w:val="single"/>
              </w:rPr>
              <w:t>VOCs</w:t>
            </w:r>
          </w:p>
        </w:tc>
        <w:tc>
          <w:tcPr>
            <w:tcW w:w="568" w:type="pct"/>
            <w:tcBorders>
              <w:left w:val="single" w:sz="4" w:space="0" w:color="auto"/>
            </w:tcBorders>
            <w:vAlign w:val="center"/>
          </w:tcPr>
          <w:p w:rsidR="00EE56C0" w:rsidRDefault="000F36A1">
            <w:pPr>
              <w:pStyle w:val="afa"/>
              <w:rPr>
                <w:u w:val="single"/>
              </w:rPr>
            </w:pPr>
            <w:r>
              <w:rPr>
                <w:rFonts w:hint="eastAsia"/>
                <w:u w:val="single"/>
              </w:rPr>
              <w:t>酚</w:t>
            </w:r>
          </w:p>
        </w:tc>
        <w:tc>
          <w:tcPr>
            <w:tcW w:w="712" w:type="pct"/>
            <w:vAlign w:val="center"/>
          </w:tcPr>
          <w:p w:rsidR="00EE56C0" w:rsidRDefault="000F36A1">
            <w:pPr>
              <w:pStyle w:val="afa"/>
              <w:rPr>
                <w:rFonts w:eastAsia="宋体"/>
                <w:u w:val="single"/>
              </w:rPr>
            </w:pPr>
            <w:r>
              <w:rPr>
                <w:u w:val="single"/>
              </w:rPr>
              <w:t>368</w:t>
            </w:r>
          </w:p>
        </w:tc>
        <w:tc>
          <w:tcPr>
            <w:tcW w:w="715" w:type="pct"/>
            <w:vAlign w:val="center"/>
          </w:tcPr>
          <w:p w:rsidR="00EE56C0" w:rsidRDefault="000F36A1">
            <w:pPr>
              <w:pStyle w:val="afa"/>
              <w:rPr>
                <w:rFonts w:eastAsia="宋体"/>
                <w:u w:val="single"/>
              </w:rPr>
            </w:pPr>
            <w:r>
              <w:rPr>
                <w:u w:val="single"/>
              </w:rPr>
              <w:t xml:space="preserve">367.9186 </w:t>
            </w:r>
          </w:p>
        </w:tc>
        <w:tc>
          <w:tcPr>
            <w:tcW w:w="750" w:type="pct"/>
            <w:vAlign w:val="center"/>
          </w:tcPr>
          <w:p w:rsidR="00EE56C0" w:rsidRDefault="000F36A1">
            <w:pPr>
              <w:pStyle w:val="afa"/>
              <w:rPr>
                <w:rFonts w:eastAsia="宋体"/>
                <w:u w:val="single"/>
              </w:rPr>
            </w:pPr>
            <w:r>
              <w:rPr>
                <w:u w:val="single"/>
              </w:rPr>
              <w:t xml:space="preserve">0.0814 </w:t>
            </w:r>
          </w:p>
        </w:tc>
        <w:tc>
          <w:tcPr>
            <w:tcW w:w="723" w:type="pct"/>
            <w:vAlign w:val="center"/>
          </w:tcPr>
          <w:p w:rsidR="00EE56C0" w:rsidRDefault="000F36A1">
            <w:pPr>
              <w:pStyle w:val="afa"/>
              <w:rPr>
                <w:rFonts w:eastAsia="宋体"/>
                <w:u w:val="single"/>
              </w:rPr>
            </w:pPr>
            <w:r>
              <w:rPr>
                <w:u w:val="single"/>
              </w:rPr>
              <w:t xml:space="preserve">0.0814 </w:t>
            </w:r>
          </w:p>
        </w:tc>
        <w:tc>
          <w:tcPr>
            <w:tcW w:w="721" w:type="pct"/>
            <w:vAlign w:val="center"/>
          </w:tcPr>
          <w:p w:rsidR="00EE56C0" w:rsidRDefault="000F36A1">
            <w:pPr>
              <w:pStyle w:val="afa"/>
              <w:rPr>
                <w:rFonts w:eastAsia="宋体"/>
                <w:u w:val="single"/>
              </w:rPr>
            </w:pPr>
            <w:r>
              <w:rPr>
                <w:u w:val="single"/>
              </w:rPr>
              <w:t xml:space="preserve">0.0814 </w:t>
            </w:r>
          </w:p>
        </w:tc>
      </w:tr>
      <w:tr w:rsidR="00EE56C0">
        <w:trPr>
          <w:trHeight w:val="454"/>
          <w:jc w:val="center"/>
        </w:trPr>
        <w:tc>
          <w:tcPr>
            <w:tcW w:w="322" w:type="pct"/>
            <w:vMerge/>
            <w:vAlign w:val="center"/>
          </w:tcPr>
          <w:p w:rsidR="00EE56C0" w:rsidRDefault="00EE56C0">
            <w:pPr>
              <w:pStyle w:val="afa"/>
              <w:rPr>
                <w:u w:val="single"/>
              </w:rPr>
            </w:pPr>
          </w:p>
        </w:tc>
        <w:tc>
          <w:tcPr>
            <w:tcW w:w="266" w:type="pct"/>
            <w:vMerge/>
            <w:tcBorders>
              <w:right w:val="single" w:sz="4" w:space="0" w:color="auto"/>
            </w:tcBorders>
            <w:vAlign w:val="center"/>
          </w:tcPr>
          <w:p w:rsidR="00EE56C0" w:rsidRDefault="00EE56C0">
            <w:pPr>
              <w:pStyle w:val="afa"/>
              <w:rPr>
                <w:u w:val="single"/>
              </w:rPr>
            </w:pPr>
          </w:p>
        </w:tc>
        <w:tc>
          <w:tcPr>
            <w:tcW w:w="223" w:type="pct"/>
            <w:vMerge/>
            <w:tcBorders>
              <w:left w:val="single" w:sz="4" w:space="0" w:color="auto"/>
              <w:right w:val="single" w:sz="4" w:space="0" w:color="auto"/>
            </w:tcBorders>
            <w:vAlign w:val="center"/>
          </w:tcPr>
          <w:p w:rsidR="00EE56C0" w:rsidRDefault="00EE56C0">
            <w:pPr>
              <w:pStyle w:val="afa"/>
              <w:rPr>
                <w:u w:val="single"/>
              </w:rPr>
            </w:pPr>
          </w:p>
        </w:tc>
        <w:tc>
          <w:tcPr>
            <w:tcW w:w="568" w:type="pct"/>
            <w:tcBorders>
              <w:left w:val="single" w:sz="4" w:space="0" w:color="auto"/>
            </w:tcBorders>
            <w:vAlign w:val="center"/>
          </w:tcPr>
          <w:p w:rsidR="00EE56C0" w:rsidRDefault="000F36A1">
            <w:pPr>
              <w:pStyle w:val="afa"/>
              <w:rPr>
                <w:u w:val="single"/>
              </w:rPr>
            </w:pPr>
            <w:r>
              <w:rPr>
                <w:u w:val="single"/>
              </w:rPr>
              <w:t>非甲烷总烃</w:t>
            </w:r>
          </w:p>
        </w:tc>
        <w:tc>
          <w:tcPr>
            <w:tcW w:w="712" w:type="pct"/>
            <w:vAlign w:val="center"/>
          </w:tcPr>
          <w:p w:rsidR="00EE56C0" w:rsidRDefault="000F36A1">
            <w:pPr>
              <w:pStyle w:val="afa"/>
              <w:rPr>
                <w:rFonts w:eastAsia="宋体"/>
                <w:u w:val="single"/>
              </w:rPr>
            </w:pPr>
            <w:r>
              <w:rPr>
                <w:u w:val="single"/>
              </w:rPr>
              <w:t>228.675</w:t>
            </w:r>
          </w:p>
        </w:tc>
        <w:tc>
          <w:tcPr>
            <w:tcW w:w="715" w:type="pct"/>
            <w:vAlign w:val="center"/>
          </w:tcPr>
          <w:p w:rsidR="00EE56C0" w:rsidRDefault="000F36A1">
            <w:pPr>
              <w:pStyle w:val="afa"/>
              <w:rPr>
                <w:rFonts w:eastAsia="宋体"/>
                <w:u w:val="single"/>
              </w:rPr>
            </w:pPr>
            <w:r>
              <w:rPr>
                <w:u w:val="single"/>
              </w:rPr>
              <w:t xml:space="preserve">228.5685 </w:t>
            </w:r>
          </w:p>
        </w:tc>
        <w:tc>
          <w:tcPr>
            <w:tcW w:w="750" w:type="pct"/>
            <w:vAlign w:val="center"/>
          </w:tcPr>
          <w:p w:rsidR="00EE56C0" w:rsidRDefault="000F36A1">
            <w:pPr>
              <w:pStyle w:val="afa"/>
              <w:rPr>
                <w:rFonts w:eastAsia="宋体"/>
                <w:u w:val="single"/>
              </w:rPr>
            </w:pPr>
            <w:r>
              <w:rPr>
                <w:u w:val="single"/>
              </w:rPr>
              <w:t xml:space="preserve">0.1065 </w:t>
            </w:r>
          </w:p>
        </w:tc>
        <w:tc>
          <w:tcPr>
            <w:tcW w:w="723" w:type="pct"/>
            <w:vAlign w:val="center"/>
          </w:tcPr>
          <w:p w:rsidR="00EE56C0" w:rsidRDefault="000F36A1">
            <w:pPr>
              <w:pStyle w:val="afa"/>
              <w:rPr>
                <w:rFonts w:eastAsia="宋体"/>
                <w:u w:val="single"/>
              </w:rPr>
            </w:pPr>
            <w:r>
              <w:rPr>
                <w:u w:val="single"/>
              </w:rPr>
              <w:t xml:space="preserve">0.1065 </w:t>
            </w:r>
          </w:p>
        </w:tc>
        <w:tc>
          <w:tcPr>
            <w:tcW w:w="721" w:type="pct"/>
            <w:vAlign w:val="center"/>
          </w:tcPr>
          <w:p w:rsidR="00EE56C0" w:rsidRDefault="000F36A1">
            <w:pPr>
              <w:pStyle w:val="afa"/>
              <w:rPr>
                <w:rFonts w:eastAsia="宋体"/>
                <w:u w:val="single"/>
              </w:rPr>
            </w:pPr>
            <w:r>
              <w:rPr>
                <w:u w:val="single"/>
              </w:rPr>
              <w:t xml:space="preserve">0.1065 </w:t>
            </w:r>
          </w:p>
        </w:tc>
      </w:tr>
      <w:tr w:rsidR="00EE56C0">
        <w:trPr>
          <w:trHeight w:val="454"/>
          <w:jc w:val="center"/>
        </w:trPr>
        <w:tc>
          <w:tcPr>
            <w:tcW w:w="322" w:type="pct"/>
            <w:vMerge/>
            <w:vAlign w:val="center"/>
          </w:tcPr>
          <w:p w:rsidR="00EE56C0" w:rsidRDefault="00EE56C0">
            <w:pPr>
              <w:pStyle w:val="afa"/>
              <w:rPr>
                <w:u w:val="single"/>
              </w:rPr>
            </w:pPr>
          </w:p>
        </w:tc>
        <w:tc>
          <w:tcPr>
            <w:tcW w:w="266" w:type="pct"/>
            <w:vMerge/>
            <w:tcBorders>
              <w:right w:val="single" w:sz="4" w:space="0" w:color="auto"/>
            </w:tcBorders>
            <w:vAlign w:val="center"/>
          </w:tcPr>
          <w:p w:rsidR="00EE56C0" w:rsidRDefault="00EE56C0">
            <w:pPr>
              <w:pStyle w:val="afa"/>
              <w:rPr>
                <w:u w:val="single"/>
              </w:rPr>
            </w:pPr>
          </w:p>
        </w:tc>
        <w:tc>
          <w:tcPr>
            <w:tcW w:w="223" w:type="pct"/>
            <w:vMerge/>
            <w:tcBorders>
              <w:left w:val="single" w:sz="4" w:space="0" w:color="auto"/>
              <w:right w:val="single" w:sz="4" w:space="0" w:color="auto"/>
            </w:tcBorders>
            <w:vAlign w:val="center"/>
          </w:tcPr>
          <w:p w:rsidR="00EE56C0" w:rsidRDefault="00EE56C0">
            <w:pPr>
              <w:pStyle w:val="afa"/>
              <w:rPr>
                <w:u w:val="single"/>
              </w:rPr>
            </w:pPr>
          </w:p>
        </w:tc>
        <w:tc>
          <w:tcPr>
            <w:tcW w:w="568" w:type="pct"/>
            <w:tcBorders>
              <w:left w:val="single" w:sz="4" w:space="0" w:color="auto"/>
            </w:tcBorders>
            <w:vAlign w:val="center"/>
          </w:tcPr>
          <w:p w:rsidR="00EE56C0" w:rsidRDefault="000F36A1">
            <w:pPr>
              <w:pStyle w:val="afa"/>
              <w:rPr>
                <w:u w:val="single"/>
              </w:rPr>
            </w:pPr>
            <w:r>
              <w:rPr>
                <w:rFonts w:hint="eastAsia"/>
                <w:u w:val="single"/>
              </w:rPr>
              <w:t>二甲苯</w:t>
            </w:r>
          </w:p>
        </w:tc>
        <w:tc>
          <w:tcPr>
            <w:tcW w:w="712" w:type="pct"/>
            <w:vAlign w:val="center"/>
          </w:tcPr>
          <w:p w:rsidR="00EE56C0" w:rsidRDefault="000F36A1">
            <w:pPr>
              <w:pStyle w:val="afa"/>
              <w:rPr>
                <w:rFonts w:eastAsia="宋体"/>
                <w:u w:val="single"/>
              </w:rPr>
            </w:pPr>
            <w:r>
              <w:rPr>
                <w:u w:val="single"/>
              </w:rPr>
              <w:t>48.525</w:t>
            </w:r>
          </w:p>
        </w:tc>
        <w:tc>
          <w:tcPr>
            <w:tcW w:w="715" w:type="pct"/>
            <w:vAlign w:val="center"/>
          </w:tcPr>
          <w:p w:rsidR="00EE56C0" w:rsidRDefault="000F36A1">
            <w:pPr>
              <w:pStyle w:val="afa"/>
              <w:rPr>
                <w:rFonts w:eastAsia="宋体"/>
                <w:u w:val="single"/>
              </w:rPr>
            </w:pPr>
            <w:r>
              <w:rPr>
                <w:u w:val="single"/>
              </w:rPr>
              <w:t xml:space="preserve">48.3414 </w:t>
            </w:r>
          </w:p>
        </w:tc>
        <w:tc>
          <w:tcPr>
            <w:tcW w:w="750" w:type="pct"/>
            <w:vAlign w:val="center"/>
          </w:tcPr>
          <w:p w:rsidR="00EE56C0" w:rsidRDefault="000F36A1">
            <w:pPr>
              <w:pStyle w:val="afa"/>
              <w:rPr>
                <w:rFonts w:eastAsia="宋体"/>
                <w:u w:val="single"/>
              </w:rPr>
            </w:pPr>
            <w:r>
              <w:rPr>
                <w:u w:val="single"/>
              </w:rPr>
              <w:t xml:space="preserve">0.1836 </w:t>
            </w:r>
          </w:p>
        </w:tc>
        <w:tc>
          <w:tcPr>
            <w:tcW w:w="723" w:type="pct"/>
            <w:vAlign w:val="center"/>
          </w:tcPr>
          <w:p w:rsidR="00EE56C0" w:rsidRDefault="000F36A1">
            <w:pPr>
              <w:pStyle w:val="afa"/>
              <w:rPr>
                <w:rFonts w:eastAsia="宋体"/>
                <w:u w:val="single"/>
              </w:rPr>
            </w:pPr>
            <w:r>
              <w:rPr>
                <w:u w:val="single"/>
              </w:rPr>
              <w:t xml:space="preserve">0.1836 </w:t>
            </w:r>
          </w:p>
        </w:tc>
        <w:tc>
          <w:tcPr>
            <w:tcW w:w="721" w:type="pct"/>
            <w:vAlign w:val="center"/>
          </w:tcPr>
          <w:p w:rsidR="00EE56C0" w:rsidRDefault="000F36A1">
            <w:pPr>
              <w:pStyle w:val="afa"/>
              <w:rPr>
                <w:rFonts w:eastAsia="宋体"/>
                <w:u w:val="single"/>
              </w:rPr>
            </w:pPr>
            <w:r>
              <w:rPr>
                <w:u w:val="single"/>
              </w:rPr>
              <w:t xml:space="preserve">0.1836 </w:t>
            </w:r>
          </w:p>
        </w:tc>
      </w:tr>
      <w:tr w:rsidR="00EE56C0">
        <w:trPr>
          <w:trHeight w:val="454"/>
          <w:jc w:val="center"/>
        </w:trPr>
        <w:tc>
          <w:tcPr>
            <w:tcW w:w="322" w:type="pct"/>
            <w:vMerge/>
            <w:vAlign w:val="center"/>
          </w:tcPr>
          <w:p w:rsidR="00EE56C0" w:rsidRDefault="00EE56C0">
            <w:pPr>
              <w:pStyle w:val="afa"/>
              <w:rPr>
                <w:u w:val="single"/>
              </w:rPr>
            </w:pPr>
          </w:p>
        </w:tc>
        <w:tc>
          <w:tcPr>
            <w:tcW w:w="266" w:type="pct"/>
            <w:vMerge/>
            <w:tcBorders>
              <w:right w:val="single" w:sz="4" w:space="0" w:color="auto"/>
            </w:tcBorders>
            <w:vAlign w:val="center"/>
          </w:tcPr>
          <w:p w:rsidR="00EE56C0" w:rsidRDefault="00EE56C0">
            <w:pPr>
              <w:pStyle w:val="afa"/>
              <w:rPr>
                <w:u w:val="single"/>
              </w:rPr>
            </w:pPr>
          </w:p>
        </w:tc>
        <w:tc>
          <w:tcPr>
            <w:tcW w:w="223" w:type="pct"/>
            <w:vMerge/>
            <w:tcBorders>
              <w:left w:val="single" w:sz="4" w:space="0" w:color="auto"/>
              <w:right w:val="single" w:sz="4" w:space="0" w:color="auto"/>
            </w:tcBorders>
            <w:vAlign w:val="center"/>
          </w:tcPr>
          <w:p w:rsidR="00EE56C0" w:rsidRDefault="00EE56C0">
            <w:pPr>
              <w:pStyle w:val="afa"/>
              <w:rPr>
                <w:u w:val="single"/>
              </w:rPr>
            </w:pPr>
          </w:p>
        </w:tc>
        <w:tc>
          <w:tcPr>
            <w:tcW w:w="568" w:type="pct"/>
            <w:tcBorders>
              <w:left w:val="single" w:sz="4" w:space="0" w:color="auto"/>
            </w:tcBorders>
            <w:vAlign w:val="center"/>
          </w:tcPr>
          <w:p w:rsidR="00EE56C0" w:rsidRDefault="000F36A1">
            <w:pPr>
              <w:pStyle w:val="afa"/>
              <w:rPr>
                <w:u w:val="single"/>
              </w:rPr>
            </w:pPr>
            <w:r>
              <w:rPr>
                <w:rFonts w:hint="eastAsia"/>
                <w:u w:val="single"/>
              </w:rPr>
              <w:t>甲苯</w:t>
            </w:r>
          </w:p>
        </w:tc>
        <w:tc>
          <w:tcPr>
            <w:tcW w:w="712" w:type="pct"/>
            <w:vAlign w:val="center"/>
          </w:tcPr>
          <w:p w:rsidR="00EE56C0" w:rsidRDefault="000F36A1">
            <w:pPr>
              <w:pStyle w:val="afa"/>
              <w:rPr>
                <w:rFonts w:eastAsia="宋体"/>
                <w:u w:val="single"/>
              </w:rPr>
            </w:pPr>
            <w:r>
              <w:rPr>
                <w:u w:val="single"/>
              </w:rPr>
              <w:t>8.775</w:t>
            </w:r>
          </w:p>
        </w:tc>
        <w:tc>
          <w:tcPr>
            <w:tcW w:w="715" w:type="pct"/>
            <w:vAlign w:val="center"/>
          </w:tcPr>
          <w:p w:rsidR="00EE56C0" w:rsidRDefault="000F36A1">
            <w:pPr>
              <w:pStyle w:val="afa"/>
              <w:rPr>
                <w:rFonts w:eastAsia="宋体"/>
                <w:u w:val="single"/>
              </w:rPr>
            </w:pPr>
            <w:r>
              <w:rPr>
                <w:u w:val="single"/>
              </w:rPr>
              <w:t xml:space="preserve">8.6004 </w:t>
            </w:r>
          </w:p>
        </w:tc>
        <w:tc>
          <w:tcPr>
            <w:tcW w:w="750" w:type="pct"/>
            <w:vAlign w:val="center"/>
          </w:tcPr>
          <w:p w:rsidR="00EE56C0" w:rsidRDefault="000F36A1">
            <w:pPr>
              <w:pStyle w:val="afa"/>
              <w:rPr>
                <w:rFonts w:eastAsia="宋体"/>
                <w:u w:val="single"/>
              </w:rPr>
            </w:pPr>
            <w:r>
              <w:rPr>
                <w:u w:val="single"/>
              </w:rPr>
              <w:t xml:space="preserve">0.1746 </w:t>
            </w:r>
          </w:p>
        </w:tc>
        <w:tc>
          <w:tcPr>
            <w:tcW w:w="723" w:type="pct"/>
            <w:vAlign w:val="center"/>
          </w:tcPr>
          <w:p w:rsidR="00EE56C0" w:rsidRDefault="000F36A1">
            <w:pPr>
              <w:pStyle w:val="afa"/>
              <w:rPr>
                <w:rFonts w:eastAsia="宋体"/>
                <w:u w:val="single"/>
              </w:rPr>
            </w:pPr>
            <w:r>
              <w:rPr>
                <w:u w:val="single"/>
              </w:rPr>
              <w:t xml:space="preserve">0.1746 </w:t>
            </w:r>
          </w:p>
        </w:tc>
        <w:tc>
          <w:tcPr>
            <w:tcW w:w="721" w:type="pct"/>
            <w:vAlign w:val="center"/>
          </w:tcPr>
          <w:p w:rsidR="00EE56C0" w:rsidRDefault="000F36A1">
            <w:pPr>
              <w:pStyle w:val="afa"/>
              <w:rPr>
                <w:rFonts w:eastAsia="宋体"/>
                <w:u w:val="single"/>
              </w:rPr>
            </w:pPr>
            <w:r>
              <w:rPr>
                <w:u w:val="single"/>
              </w:rPr>
              <w:t xml:space="preserve">0.1746 </w:t>
            </w:r>
          </w:p>
        </w:tc>
      </w:tr>
      <w:tr w:rsidR="00EE56C0">
        <w:trPr>
          <w:trHeight w:val="454"/>
          <w:jc w:val="center"/>
        </w:trPr>
        <w:tc>
          <w:tcPr>
            <w:tcW w:w="322" w:type="pct"/>
            <w:vMerge/>
            <w:vAlign w:val="center"/>
          </w:tcPr>
          <w:p w:rsidR="00EE56C0" w:rsidRDefault="00EE56C0">
            <w:pPr>
              <w:pStyle w:val="afa"/>
              <w:rPr>
                <w:u w:val="single"/>
              </w:rPr>
            </w:pPr>
          </w:p>
        </w:tc>
        <w:tc>
          <w:tcPr>
            <w:tcW w:w="266" w:type="pct"/>
            <w:vMerge/>
            <w:tcBorders>
              <w:right w:val="single" w:sz="4" w:space="0" w:color="auto"/>
            </w:tcBorders>
            <w:vAlign w:val="center"/>
          </w:tcPr>
          <w:p w:rsidR="00EE56C0" w:rsidRDefault="00EE56C0">
            <w:pPr>
              <w:pStyle w:val="afa"/>
              <w:rPr>
                <w:u w:val="single"/>
              </w:rPr>
            </w:pPr>
          </w:p>
        </w:tc>
        <w:tc>
          <w:tcPr>
            <w:tcW w:w="223" w:type="pct"/>
            <w:vMerge/>
            <w:tcBorders>
              <w:left w:val="single" w:sz="4" w:space="0" w:color="auto"/>
              <w:right w:val="single" w:sz="4" w:space="0" w:color="auto"/>
            </w:tcBorders>
            <w:vAlign w:val="center"/>
          </w:tcPr>
          <w:p w:rsidR="00EE56C0" w:rsidRDefault="00EE56C0">
            <w:pPr>
              <w:pStyle w:val="afa"/>
              <w:rPr>
                <w:highlight w:val="yellow"/>
                <w:u w:val="single"/>
              </w:rPr>
            </w:pPr>
          </w:p>
        </w:tc>
        <w:tc>
          <w:tcPr>
            <w:tcW w:w="568" w:type="pct"/>
            <w:tcBorders>
              <w:left w:val="single" w:sz="4" w:space="0" w:color="auto"/>
            </w:tcBorders>
            <w:vAlign w:val="center"/>
          </w:tcPr>
          <w:p w:rsidR="00EE56C0" w:rsidRDefault="000F36A1">
            <w:pPr>
              <w:pStyle w:val="afa"/>
              <w:rPr>
                <w:highlight w:val="yellow"/>
                <w:u w:val="single"/>
              </w:rPr>
            </w:pPr>
            <w:r>
              <w:rPr>
                <w:rFonts w:hint="eastAsia"/>
                <w:u w:val="single"/>
              </w:rPr>
              <w:t>苯</w:t>
            </w:r>
          </w:p>
        </w:tc>
        <w:tc>
          <w:tcPr>
            <w:tcW w:w="712" w:type="pct"/>
            <w:vAlign w:val="center"/>
          </w:tcPr>
          <w:p w:rsidR="00EE56C0" w:rsidRDefault="000F36A1">
            <w:pPr>
              <w:pStyle w:val="afa"/>
              <w:rPr>
                <w:rFonts w:eastAsia="宋体"/>
                <w:u w:val="single"/>
              </w:rPr>
            </w:pPr>
            <w:r>
              <w:rPr>
                <w:u w:val="single"/>
              </w:rPr>
              <w:t>2.925</w:t>
            </w:r>
          </w:p>
        </w:tc>
        <w:tc>
          <w:tcPr>
            <w:tcW w:w="715" w:type="pct"/>
            <w:vAlign w:val="center"/>
          </w:tcPr>
          <w:p w:rsidR="00EE56C0" w:rsidRDefault="000F36A1">
            <w:pPr>
              <w:pStyle w:val="afa"/>
              <w:rPr>
                <w:rFonts w:eastAsia="宋体"/>
                <w:u w:val="single"/>
              </w:rPr>
            </w:pPr>
            <w:r>
              <w:rPr>
                <w:u w:val="single"/>
              </w:rPr>
              <w:t xml:space="preserve">2.8668 </w:t>
            </w:r>
          </w:p>
        </w:tc>
        <w:tc>
          <w:tcPr>
            <w:tcW w:w="750" w:type="pct"/>
            <w:vAlign w:val="center"/>
          </w:tcPr>
          <w:p w:rsidR="00EE56C0" w:rsidRDefault="000F36A1">
            <w:pPr>
              <w:pStyle w:val="afa"/>
              <w:rPr>
                <w:rFonts w:eastAsia="宋体"/>
                <w:u w:val="single"/>
              </w:rPr>
            </w:pPr>
            <w:r>
              <w:rPr>
                <w:u w:val="single"/>
              </w:rPr>
              <w:t xml:space="preserve">0.0582 </w:t>
            </w:r>
          </w:p>
        </w:tc>
        <w:tc>
          <w:tcPr>
            <w:tcW w:w="723" w:type="pct"/>
            <w:vAlign w:val="center"/>
          </w:tcPr>
          <w:p w:rsidR="00EE56C0" w:rsidRDefault="000F36A1">
            <w:pPr>
              <w:pStyle w:val="afa"/>
              <w:rPr>
                <w:rFonts w:eastAsia="宋体"/>
                <w:u w:val="single"/>
              </w:rPr>
            </w:pPr>
            <w:r>
              <w:rPr>
                <w:u w:val="single"/>
              </w:rPr>
              <w:t xml:space="preserve">0.0582 </w:t>
            </w:r>
          </w:p>
        </w:tc>
        <w:tc>
          <w:tcPr>
            <w:tcW w:w="721" w:type="pct"/>
            <w:vAlign w:val="center"/>
          </w:tcPr>
          <w:p w:rsidR="00EE56C0" w:rsidRDefault="000F36A1">
            <w:pPr>
              <w:pStyle w:val="afa"/>
              <w:rPr>
                <w:rFonts w:eastAsia="宋体"/>
                <w:u w:val="single"/>
              </w:rPr>
            </w:pPr>
            <w:r>
              <w:rPr>
                <w:u w:val="single"/>
              </w:rPr>
              <w:t xml:space="preserve">0.0582 </w:t>
            </w:r>
          </w:p>
        </w:tc>
      </w:tr>
      <w:tr w:rsidR="00EE56C0">
        <w:trPr>
          <w:trHeight w:val="454"/>
          <w:jc w:val="center"/>
        </w:trPr>
        <w:tc>
          <w:tcPr>
            <w:tcW w:w="322" w:type="pct"/>
            <w:vMerge/>
            <w:vAlign w:val="center"/>
          </w:tcPr>
          <w:p w:rsidR="00EE56C0" w:rsidRDefault="00EE56C0">
            <w:pPr>
              <w:pStyle w:val="afa"/>
              <w:rPr>
                <w:u w:val="single"/>
              </w:rPr>
            </w:pPr>
          </w:p>
        </w:tc>
        <w:tc>
          <w:tcPr>
            <w:tcW w:w="266" w:type="pct"/>
            <w:vMerge/>
            <w:tcBorders>
              <w:right w:val="single" w:sz="4" w:space="0" w:color="auto"/>
            </w:tcBorders>
            <w:vAlign w:val="center"/>
          </w:tcPr>
          <w:p w:rsidR="00EE56C0" w:rsidRDefault="00EE56C0">
            <w:pPr>
              <w:pStyle w:val="afa"/>
              <w:rPr>
                <w:u w:val="single"/>
              </w:rPr>
            </w:pPr>
          </w:p>
        </w:tc>
        <w:tc>
          <w:tcPr>
            <w:tcW w:w="223" w:type="pct"/>
            <w:vMerge/>
            <w:tcBorders>
              <w:left w:val="single" w:sz="4" w:space="0" w:color="auto"/>
              <w:right w:val="single" w:sz="4" w:space="0" w:color="auto"/>
            </w:tcBorders>
            <w:vAlign w:val="center"/>
          </w:tcPr>
          <w:p w:rsidR="00EE56C0" w:rsidRDefault="00EE56C0">
            <w:pPr>
              <w:pStyle w:val="afa"/>
              <w:rPr>
                <w:u w:val="single"/>
              </w:rPr>
            </w:pPr>
          </w:p>
        </w:tc>
        <w:tc>
          <w:tcPr>
            <w:tcW w:w="568" w:type="pct"/>
            <w:tcBorders>
              <w:left w:val="single" w:sz="4" w:space="0" w:color="auto"/>
            </w:tcBorders>
            <w:vAlign w:val="center"/>
          </w:tcPr>
          <w:p w:rsidR="00EE56C0" w:rsidRDefault="000F36A1">
            <w:pPr>
              <w:pStyle w:val="afa"/>
              <w:rPr>
                <w:u w:val="single"/>
              </w:rPr>
            </w:pPr>
            <w:r>
              <w:rPr>
                <w:rFonts w:hint="eastAsia"/>
                <w:u w:val="single"/>
              </w:rPr>
              <w:t>合计</w:t>
            </w:r>
          </w:p>
        </w:tc>
        <w:tc>
          <w:tcPr>
            <w:tcW w:w="712" w:type="pct"/>
            <w:vAlign w:val="center"/>
          </w:tcPr>
          <w:p w:rsidR="00EE56C0" w:rsidRDefault="000F36A1">
            <w:pPr>
              <w:pStyle w:val="afa"/>
              <w:rPr>
                <w:rFonts w:eastAsia="宋体"/>
                <w:u w:val="single"/>
              </w:rPr>
            </w:pPr>
            <w:r>
              <w:rPr>
                <w:u w:val="single"/>
              </w:rPr>
              <w:t>656.9</w:t>
            </w:r>
          </w:p>
        </w:tc>
        <w:tc>
          <w:tcPr>
            <w:tcW w:w="715" w:type="pct"/>
            <w:vAlign w:val="center"/>
          </w:tcPr>
          <w:p w:rsidR="00EE56C0" w:rsidRDefault="000F36A1">
            <w:pPr>
              <w:pStyle w:val="afa"/>
              <w:rPr>
                <w:rFonts w:eastAsia="宋体"/>
                <w:u w:val="single"/>
              </w:rPr>
            </w:pPr>
            <w:r>
              <w:rPr>
                <w:u w:val="single"/>
              </w:rPr>
              <w:t xml:space="preserve">656.2958 </w:t>
            </w:r>
          </w:p>
        </w:tc>
        <w:tc>
          <w:tcPr>
            <w:tcW w:w="750" w:type="pct"/>
            <w:vAlign w:val="center"/>
          </w:tcPr>
          <w:p w:rsidR="00EE56C0" w:rsidRDefault="000F36A1">
            <w:pPr>
              <w:pStyle w:val="afa"/>
              <w:rPr>
                <w:rFonts w:eastAsia="宋体"/>
                <w:u w:val="single"/>
              </w:rPr>
            </w:pPr>
            <w:r>
              <w:rPr>
                <w:u w:val="single"/>
              </w:rPr>
              <w:t xml:space="preserve">0.6042 </w:t>
            </w:r>
          </w:p>
        </w:tc>
        <w:tc>
          <w:tcPr>
            <w:tcW w:w="723" w:type="pct"/>
            <w:vAlign w:val="center"/>
          </w:tcPr>
          <w:p w:rsidR="00EE56C0" w:rsidRDefault="000F36A1">
            <w:pPr>
              <w:pStyle w:val="afa"/>
              <w:rPr>
                <w:rFonts w:eastAsia="宋体"/>
                <w:u w:val="single"/>
              </w:rPr>
            </w:pPr>
            <w:r>
              <w:rPr>
                <w:u w:val="single"/>
              </w:rPr>
              <w:t xml:space="preserve">0.6042 </w:t>
            </w:r>
          </w:p>
        </w:tc>
        <w:tc>
          <w:tcPr>
            <w:tcW w:w="721" w:type="pct"/>
            <w:vAlign w:val="center"/>
          </w:tcPr>
          <w:p w:rsidR="00EE56C0" w:rsidRDefault="000F36A1">
            <w:pPr>
              <w:pStyle w:val="afa"/>
              <w:rPr>
                <w:rFonts w:eastAsia="宋体"/>
                <w:u w:val="single"/>
              </w:rPr>
            </w:pPr>
            <w:r>
              <w:rPr>
                <w:u w:val="single"/>
              </w:rPr>
              <w:t xml:space="preserve">0.6042 </w:t>
            </w:r>
          </w:p>
        </w:tc>
      </w:tr>
      <w:tr w:rsidR="00EE56C0">
        <w:trPr>
          <w:trHeight w:val="454"/>
          <w:jc w:val="center"/>
        </w:trPr>
        <w:tc>
          <w:tcPr>
            <w:tcW w:w="322" w:type="pct"/>
            <w:vMerge/>
            <w:vAlign w:val="center"/>
          </w:tcPr>
          <w:p w:rsidR="00EE56C0" w:rsidRDefault="00EE56C0">
            <w:pPr>
              <w:pStyle w:val="afa"/>
              <w:rPr>
                <w:u w:val="single"/>
              </w:rPr>
            </w:pPr>
          </w:p>
        </w:tc>
        <w:tc>
          <w:tcPr>
            <w:tcW w:w="266" w:type="pct"/>
            <w:vMerge w:val="restart"/>
            <w:tcBorders>
              <w:right w:val="single" w:sz="4" w:space="0" w:color="auto"/>
            </w:tcBorders>
            <w:vAlign w:val="center"/>
          </w:tcPr>
          <w:p w:rsidR="00EE56C0" w:rsidRDefault="000F36A1">
            <w:pPr>
              <w:pStyle w:val="afa"/>
              <w:rPr>
                <w:u w:val="single"/>
              </w:rPr>
            </w:pPr>
            <w:r>
              <w:rPr>
                <w:rFonts w:hint="eastAsia"/>
                <w:u w:val="single"/>
              </w:rPr>
              <w:t>无组织</w:t>
            </w:r>
          </w:p>
        </w:tc>
        <w:tc>
          <w:tcPr>
            <w:tcW w:w="223" w:type="pct"/>
            <w:vMerge w:val="restart"/>
            <w:tcBorders>
              <w:left w:val="single" w:sz="4" w:space="0" w:color="auto"/>
              <w:right w:val="single" w:sz="4" w:space="0" w:color="auto"/>
            </w:tcBorders>
            <w:vAlign w:val="center"/>
          </w:tcPr>
          <w:p w:rsidR="00EE56C0" w:rsidRDefault="000F36A1">
            <w:pPr>
              <w:pStyle w:val="afa"/>
              <w:rPr>
                <w:u w:val="single"/>
              </w:rPr>
            </w:pPr>
            <w:r>
              <w:rPr>
                <w:rFonts w:hint="eastAsia"/>
                <w:u w:val="single"/>
              </w:rPr>
              <w:t>VOCs</w:t>
            </w:r>
          </w:p>
        </w:tc>
        <w:tc>
          <w:tcPr>
            <w:tcW w:w="568" w:type="pct"/>
            <w:tcBorders>
              <w:left w:val="single" w:sz="4" w:space="0" w:color="auto"/>
            </w:tcBorders>
            <w:vAlign w:val="center"/>
          </w:tcPr>
          <w:p w:rsidR="00EE56C0" w:rsidRDefault="000F36A1">
            <w:pPr>
              <w:pStyle w:val="afa"/>
              <w:rPr>
                <w:u w:val="single"/>
              </w:rPr>
            </w:pPr>
            <w:r>
              <w:rPr>
                <w:rFonts w:hint="eastAsia"/>
                <w:u w:val="single"/>
              </w:rPr>
              <w:t>酚</w:t>
            </w:r>
          </w:p>
        </w:tc>
        <w:tc>
          <w:tcPr>
            <w:tcW w:w="712" w:type="pct"/>
            <w:vAlign w:val="center"/>
          </w:tcPr>
          <w:p w:rsidR="00EE56C0" w:rsidRDefault="000F36A1">
            <w:pPr>
              <w:pStyle w:val="afa"/>
              <w:rPr>
                <w:rFonts w:eastAsia="宋体"/>
                <w:u w:val="single"/>
              </w:rPr>
            </w:pPr>
            <w:r>
              <w:rPr>
                <w:u w:val="single"/>
              </w:rPr>
              <w:t xml:space="preserve">0.7051 </w:t>
            </w:r>
          </w:p>
        </w:tc>
        <w:tc>
          <w:tcPr>
            <w:tcW w:w="715" w:type="pct"/>
            <w:vAlign w:val="center"/>
          </w:tcPr>
          <w:p w:rsidR="00EE56C0" w:rsidRDefault="000F36A1">
            <w:pPr>
              <w:pStyle w:val="afa"/>
              <w:rPr>
                <w:rFonts w:eastAsia="宋体"/>
                <w:u w:val="single"/>
              </w:rPr>
            </w:pPr>
            <w:r>
              <w:rPr>
                <w:u w:val="single"/>
              </w:rPr>
              <w:t>0</w:t>
            </w:r>
          </w:p>
        </w:tc>
        <w:tc>
          <w:tcPr>
            <w:tcW w:w="750" w:type="pct"/>
            <w:vAlign w:val="center"/>
          </w:tcPr>
          <w:p w:rsidR="00EE56C0" w:rsidRDefault="000F36A1">
            <w:pPr>
              <w:pStyle w:val="afa"/>
              <w:rPr>
                <w:rFonts w:eastAsia="宋体"/>
                <w:u w:val="single"/>
              </w:rPr>
            </w:pPr>
            <w:r>
              <w:rPr>
                <w:u w:val="single"/>
              </w:rPr>
              <w:t xml:space="preserve">0.7051 </w:t>
            </w:r>
          </w:p>
        </w:tc>
        <w:tc>
          <w:tcPr>
            <w:tcW w:w="723" w:type="pct"/>
            <w:vAlign w:val="center"/>
          </w:tcPr>
          <w:p w:rsidR="00EE56C0" w:rsidRDefault="000F36A1">
            <w:pPr>
              <w:pStyle w:val="afa"/>
              <w:rPr>
                <w:rFonts w:eastAsia="宋体"/>
                <w:u w:val="single"/>
              </w:rPr>
            </w:pPr>
            <w:r>
              <w:rPr>
                <w:u w:val="single"/>
              </w:rPr>
              <w:t xml:space="preserve">0.7051 </w:t>
            </w:r>
          </w:p>
        </w:tc>
        <w:tc>
          <w:tcPr>
            <w:tcW w:w="721" w:type="pct"/>
            <w:vAlign w:val="center"/>
          </w:tcPr>
          <w:p w:rsidR="00EE56C0" w:rsidRDefault="000F36A1">
            <w:pPr>
              <w:pStyle w:val="afa"/>
              <w:rPr>
                <w:rFonts w:eastAsia="宋体"/>
                <w:u w:val="single"/>
              </w:rPr>
            </w:pPr>
            <w:r>
              <w:rPr>
                <w:u w:val="single"/>
              </w:rPr>
              <w:t xml:space="preserve">0.7051 </w:t>
            </w:r>
          </w:p>
        </w:tc>
      </w:tr>
      <w:tr w:rsidR="00EE56C0">
        <w:trPr>
          <w:trHeight w:val="454"/>
          <w:jc w:val="center"/>
        </w:trPr>
        <w:tc>
          <w:tcPr>
            <w:tcW w:w="322" w:type="pct"/>
            <w:vMerge/>
            <w:vAlign w:val="center"/>
          </w:tcPr>
          <w:p w:rsidR="00EE56C0" w:rsidRDefault="00EE56C0">
            <w:pPr>
              <w:pStyle w:val="afa"/>
              <w:rPr>
                <w:u w:val="single"/>
              </w:rPr>
            </w:pPr>
          </w:p>
        </w:tc>
        <w:tc>
          <w:tcPr>
            <w:tcW w:w="266" w:type="pct"/>
            <w:vMerge/>
            <w:tcBorders>
              <w:right w:val="single" w:sz="4" w:space="0" w:color="auto"/>
            </w:tcBorders>
            <w:vAlign w:val="center"/>
          </w:tcPr>
          <w:p w:rsidR="00EE56C0" w:rsidRDefault="00EE56C0">
            <w:pPr>
              <w:pStyle w:val="afa"/>
              <w:rPr>
                <w:u w:val="single"/>
              </w:rPr>
            </w:pPr>
          </w:p>
        </w:tc>
        <w:tc>
          <w:tcPr>
            <w:tcW w:w="223" w:type="pct"/>
            <w:vMerge/>
            <w:tcBorders>
              <w:left w:val="single" w:sz="4" w:space="0" w:color="auto"/>
              <w:right w:val="single" w:sz="4" w:space="0" w:color="auto"/>
            </w:tcBorders>
            <w:vAlign w:val="center"/>
          </w:tcPr>
          <w:p w:rsidR="00EE56C0" w:rsidRDefault="00EE56C0">
            <w:pPr>
              <w:pStyle w:val="afa"/>
              <w:rPr>
                <w:u w:val="single"/>
              </w:rPr>
            </w:pPr>
          </w:p>
        </w:tc>
        <w:tc>
          <w:tcPr>
            <w:tcW w:w="568" w:type="pct"/>
            <w:tcBorders>
              <w:left w:val="single" w:sz="4" w:space="0" w:color="auto"/>
            </w:tcBorders>
            <w:vAlign w:val="center"/>
          </w:tcPr>
          <w:p w:rsidR="00EE56C0" w:rsidRDefault="000F36A1">
            <w:pPr>
              <w:pStyle w:val="afa"/>
              <w:rPr>
                <w:u w:val="single"/>
              </w:rPr>
            </w:pPr>
            <w:r>
              <w:rPr>
                <w:u w:val="single"/>
              </w:rPr>
              <w:t>非甲烷总烃</w:t>
            </w:r>
          </w:p>
        </w:tc>
        <w:tc>
          <w:tcPr>
            <w:tcW w:w="712" w:type="pct"/>
            <w:vAlign w:val="center"/>
          </w:tcPr>
          <w:p w:rsidR="00EE56C0" w:rsidRDefault="000F36A1">
            <w:pPr>
              <w:pStyle w:val="afa"/>
              <w:rPr>
                <w:rFonts w:eastAsia="宋体"/>
                <w:u w:val="single"/>
              </w:rPr>
            </w:pPr>
            <w:r>
              <w:rPr>
                <w:u w:val="single"/>
              </w:rPr>
              <w:t xml:space="preserve">0.5289 </w:t>
            </w:r>
          </w:p>
        </w:tc>
        <w:tc>
          <w:tcPr>
            <w:tcW w:w="715" w:type="pct"/>
            <w:vAlign w:val="center"/>
          </w:tcPr>
          <w:p w:rsidR="00EE56C0" w:rsidRDefault="000F36A1">
            <w:pPr>
              <w:pStyle w:val="afa"/>
              <w:rPr>
                <w:rFonts w:eastAsia="宋体"/>
                <w:u w:val="single"/>
              </w:rPr>
            </w:pPr>
            <w:r>
              <w:rPr>
                <w:u w:val="single"/>
              </w:rPr>
              <w:t>0</w:t>
            </w:r>
          </w:p>
        </w:tc>
        <w:tc>
          <w:tcPr>
            <w:tcW w:w="750" w:type="pct"/>
            <w:vAlign w:val="center"/>
          </w:tcPr>
          <w:p w:rsidR="00EE56C0" w:rsidRDefault="000F36A1">
            <w:pPr>
              <w:pStyle w:val="afa"/>
              <w:rPr>
                <w:rFonts w:eastAsia="宋体"/>
                <w:u w:val="single"/>
              </w:rPr>
            </w:pPr>
            <w:r>
              <w:rPr>
                <w:u w:val="single"/>
              </w:rPr>
              <w:t xml:space="preserve">0.5289 </w:t>
            </w:r>
          </w:p>
        </w:tc>
        <w:tc>
          <w:tcPr>
            <w:tcW w:w="723" w:type="pct"/>
            <w:vAlign w:val="center"/>
          </w:tcPr>
          <w:p w:rsidR="00EE56C0" w:rsidRDefault="000F36A1">
            <w:pPr>
              <w:pStyle w:val="afa"/>
              <w:rPr>
                <w:rFonts w:eastAsia="宋体"/>
                <w:u w:val="single"/>
              </w:rPr>
            </w:pPr>
            <w:r>
              <w:rPr>
                <w:u w:val="single"/>
              </w:rPr>
              <w:t xml:space="preserve">0.5289 </w:t>
            </w:r>
          </w:p>
        </w:tc>
        <w:tc>
          <w:tcPr>
            <w:tcW w:w="721" w:type="pct"/>
            <w:vAlign w:val="center"/>
          </w:tcPr>
          <w:p w:rsidR="00EE56C0" w:rsidRDefault="000F36A1">
            <w:pPr>
              <w:pStyle w:val="afa"/>
              <w:rPr>
                <w:rFonts w:eastAsia="宋体"/>
                <w:u w:val="single"/>
              </w:rPr>
            </w:pPr>
            <w:r>
              <w:rPr>
                <w:u w:val="single"/>
              </w:rPr>
              <w:t xml:space="preserve">0.5289 </w:t>
            </w:r>
          </w:p>
        </w:tc>
      </w:tr>
      <w:tr w:rsidR="00EE56C0">
        <w:trPr>
          <w:trHeight w:val="454"/>
          <w:jc w:val="center"/>
        </w:trPr>
        <w:tc>
          <w:tcPr>
            <w:tcW w:w="322" w:type="pct"/>
            <w:vMerge/>
            <w:vAlign w:val="center"/>
          </w:tcPr>
          <w:p w:rsidR="00EE56C0" w:rsidRDefault="00EE56C0">
            <w:pPr>
              <w:pStyle w:val="afa"/>
              <w:rPr>
                <w:u w:val="single"/>
              </w:rPr>
            </w:pPr>
          </w:p>
        </w:tc>
        <w:tc>
          <w:tcPr>
            <w:tcW w:w="266" w:type="pct"/>
            <w:vMerge/>
            <w:tcBorders>
              <w:right w:val="single" w:sz="4" w:space="0" w:color="auto"/>
            </w:tcBorders>
            <w:vAlign w:val="center"/>
          </w:tcPr>
          <w:p w:rsidR="00EE56C0" w:rsidRDefault="00EE56C0">
            <w:pPr>
              <w:pStyle w:val="afa"/>
              <w:rPr>
                <w:u w:val="single"/>
              </w:rPr>
            </w:pPr>
          </w:p>
        </w:tc>
        <w:tc>
          <w:tcPr>
            <w:tcW w:w="223" w:type="pct"/>
            <w:vMerge/>
            <w:tcBorders>
              <w:left w:val="single" w:sz="4" w:space="0" w:color="auto"/>
              <w:right w:val="single" w:sz="4" w:space="0" w:color="auto"/>
            </w:tcBorders>
            <w:vAlign w:val="center"/>
          </w:tcPr>
          <w:p w:rsidR="00EE56C0" w:rsidRDefault="00EE56C0">
            <w:pPr>
              <w:pStyle w:val="afa"/>
              <w:rPr>
                <w:u w:val="single"/>
              </w:rPr>
            </w:pPr>
          </w:p>
        </w:tc>
        <w:tc>
          <w:tcPr>
            <w:tcW w:w="568" w:type="pct"/>
            <w:tcBorders>
              <w:left w:val="single" w:sz="4" w:space="0" w:color="auto"/>
            </w:tcBorders>
            <w:vAlign w:val="center"/>
          </w:tcPr>
          <w:p w:rsidR="00EE56C0" w:rsidRDefault="000F36A1">
            <w:pPr>
              <w:pStyle w:val="afa"/>
              <w:rPr>
                <w:u w:val="single"/>
              </w:rPr>
            </w:pPr>
            <w:r>
              <w:rPr>
                <w:rFonts w:hint="eastAsia"/>
                <w:u w:val="single"/>
              </w:rPr>
              <w:t>二甲苯</w:t>
            </w:r>
          </w:p>
        </w:tc>
        <w:tc>
          <w:tcPr>
            <w:tcW w:w="712" w:type="pct"/>
            <w:vAlign w:val="center"/>
          </w:tcPr>
          <w:p w:rsidR="00EE56C0" w:rsidRDefault="000F36A1">
            <w:pPr>
              <w:pStyle w:val="afa"/>
              <w:rPr>
                <w:rFonts w:eastAsia="宋体"/>
                <w:u w:val="single"/>
              </w:rPr>
            </w:pPr>
            <w:r>
              <w:rPr>
                <w:u w:val="single"/>
              </w:rPr>
              <w:t xml:space="preserve">0.1203 </w:t>
            </w:r>
          </w:p>
        </w:tc>
        <w:tc>
          <w:tcPr>
            <w:tcW w:w="715" w:type="pct"/>
            <w:vAlign w:val="center"/>
          </w:tcPr>
          <w:p w:rsidR="00EE56C0" w:rsidRDefault="000F36A1">
            <w:pPr>
              <w:pStyle w:val="afa"/>
              <w:rPr>
                <w:rFonts w:eastAsia="宋体"/>
                <w:u w:val="single"/>
              </w:rPr>
            </w:pPr>
            <w:r>
              <w:rPr>
                <w:u w:val="single"/>
              </w:rPr>
              <w:t>0</w:t>
            </w:r>
          </w:p>
        </w:tc>
        <w:tc>
          <w:tcPr>
            <w:tcW w:w="750" w:type="pct"/>
            <w:vAlign w:val="center"/>
          </w:tcPr>
          <w:p w:rsidR="00EE56C0" w:rsidRDefault="000F36A1">
            <w:pPr>
              <w:pStyle w:val="afa"/>
              <w:rPr>
                <w:rFonts w:eastAsia="宋体"/>
                <w:u w:val="single"/>
              </w:rPr>
            </w:pPr>
            <w:r>
              <w:rPr>
                <w:u w:val="single"/>
              </w:rPr>
              <w:t xml:space="preserve">0.1203 </w:t>
            </w:r>
          </w:p>
        </w:tc>
        <w:tc>
          <w:tcPr>
            <w:tcW w:w="723" w:type="pct"/>
            <w:vAlign w:val="center"/>
          </w:tcPr>
          <w:p w:rsidR="00EE56C0" w:rsidRDefault="000F36A1">
            <w:pPr>
              <w:pStyle w:val="afa"/>
              <w:rPr>
                <w:rFonts w:eastAsia="宋体"/>
                <w:u w:val="single"/>
              </w:rPr>
            </w:pPr>
            <w:r>
              <w:rPr>
                <w:u w:val="single"/>
              </w:rPr>
              <w:t xml:space="preserve">0.1203 </w:t>
            </w:r>
          </w:p>
        </w:tc>
        <w:tc>
          <w:tcPr>
            <w:tcW w:w="721" w:type="pct"/>
            <w:vAlign w:val="center"/>
          </w:tcPr>
          <w:p w:rsidR="00EE56C0" w:rsidRDefault="000F36A1">
            <w:pPr>
              <w:pStyle w:val="afa"/>
              <w:rPr>
                <w:rFonts w:eastAsia="宋体"/>
                <w:u w:val="single"/>
              </w:rPr>
            </w:pPr>
            <w:r>
              <w:rPr>
                <w:u w:val="single"/>
              </w:rPr>
              <w:t xml:space="preserve">0.1203 </w:t>
            </w:r>
          </w:p>
        </w:tc>
      </w:tr>
      <w:tr w:rsidR="00EE56C0">
        <w:trPr>
          <w:trHeight w:val="454"/>
          <w:jc w:val="center"/>
        </w:trPr>
        <w:tc>
          <w:tcPr>
            <w:tcW w:w="322" w:type="pct"/>
            <w:vMerge/>
            <w:vAlign w:val="center"/>
          </w:tcPr>
          <w:p w:rsidR="00EE56C0" w:rsidRDefault="00EE56C0">
            <w:pPr>
              <w:pStyle w:val="afa"/>
              <w:rPr>
                <w:u w:val="single"/>
              </w:rPr>
            </w:pPr>
          </w:p>
        </w:tc>
        <w:tc>
          <w:tcPr>
            <w:tcW w:w="266" w:type="pct"/>
            <w:vMerge/>
            <w:tcBorders>
              <w:right w:val="single" w:sz="4" w:space="0" w:color="auto"/>
            </w:tcBorders>
            <w:vAlign w:val="center"/>
          </w:tcPr>
          <w:p w:rsidR="00EE56C0" w:rsidRDefault="00EE56C0">
            <w:pPr>
              <w:pStyle w:val="afa"/>
              <w:rPr>
                <w:u w:val="single"/>
              </w:rPr>
            </w:pPr>
          </w:p>
        </w:tc>
        <w:tc>
          <w:tcPr>
            <w:tcW w:w="223" w:type="pct"/>
            <w:vMerge/>
            <w:tcBorders>
              <w:left w:val="single" w:sz="4" w:space="0" w:color="auto"/>
              <w:right w:val="single" w:sz="4" w:space="0" w:color="auto"/>
            </w:tcBorders>
            <w:vAlign w:val="center"/>
          </w:tcPr>
          <w:p w:rsidR="00EE56C0" w:rsidRDefault="00EE56C0">
            <w:pPr>
              <w:pStyle w:val="afa"/>
              <w:rPr>
                <w:u w:val="single"/>
              </w:rPr>
            </w:pPr>
          </w:p>
        </w:tc>
        <w:tc>
          <w:tcPr>
            <w:tcW w:w="568" w:type="pct"/>
            <w:tcBorders>
              <w:left w:val="single" w:sz="4" w:space="0" w:color="auto"/>
            </w:tcBorders>
            <w:vAlign w:val="center"/>
          </w:tcPr>
          <w:p w:rsidR="00EE56C0" w:rsidRDefault="000F36A1">
            <w:pPr>
              <w:pStyle w:val="afa"/>
              <w:rPr>
                <w:u w:val="single"/>
              </w:rPr>
            </w:pPr>
            <w:r>
              <w:rPr>
                <w:rFonts w:hint="eastAsia"/>
                <w:u w:val="single"/>
              </w:rPr>
              <w:t>甲苯</w:t>
            </w:r>
          </w:p>
        </w:tc>
        <w:tc>
          <w:tcPr>
            <w:tcW w:w="712" w:type="pct"/>
            <w:vAlign w:val="center"/>
          </w:tcPr>
          <w:p w:rsidR="00EE56C0" w:rsidRDefault="000F36A1">
            <w:pPr>
              <w:pStyle w:val="afa"/>
              <w:rPr>
                <w:rFonts w:eastAsia="宋体"/>
                <w:u w:val="single"/>
              </w:rPr>
            </w:pPr>
            <w:r>
              <w:rPr>
                <w:u w:val="single"/>
              </w:rPr>
              <w:t xml:space="preserve">0.0439 </w:t>
            </w:r>
          </w:p>
        </w:tc>
        <w:tc>
          <w:tcPr>
            <w:tcW w:w="715" w:type="pct"/>
            <w:vAlign w:val="center"/>
          </w:tcPr>
          <w:p w:rsidR="00EE56C0" w:rsidRDefault="000F36A1">
            <w:pPr>
              <w:pStyle w:val="afa"/>
              <w:rPr>
                <w:rFonts w:eastAsia="宋体"/>
                <w:u w:val="single"/>
              </w:rPr>
            </w:pPr>
            <w:r>
              <w:rPr>
                <w:u w:val="single"/>
              </w:rPr>
              <w:t>0</w:t>
            </w:r>
          </w:p>
        </w:tc>
        <w:tc>
          <w:tcPr>
            <w:tcW w:w="750" w:type="pct"/>
            <w:vAlign w:val="center"/>
          </w:tcPr>
          <w:p w:rsidR="00EE56C0" w:rsidRDefault="000F36A1">
            <w:pPr>
              <w:pStyle w:val="afa"/>
              <w:rPr>
                <w:rFonts w:eastAsia="宋体"/>
                <w:u w:val="single"/>
              </w:rPr>
            </w:pPr>
            <w:r>
              <w:rPr>
                <w:u w:val="single"/>
              </w:rPr>
              <w:t xml:space="preserve">0.0439 </w:t>
            </w:r>
          </w:p>
        </w:tc>
        <w:tc>
          <w:tcPr>
            <w:tcW w:w="723" w:type="pct"/>
            <w:vAlign w:val="center"/>
          </w:tcPr>
          <w:p w:rsidR="00EE56C0" w:rsidRDefault="000F36A1">
            <w:pPr>
              <w:pStyle w:val="afa"/>
              <w:rPr>
                <w:rFonts w:eastAsia="宋体"/>
                <w:u w:val="single"/>
              </w:rPr>
            </w:pPr>
            <w:r>
              <w:rPr>
                <w:u w:val="single"/>
              </w:rPr>
              <w:t xml:space="preserve">0.0439 </w:t>
            </w:r>
          </w:p>
        </w:tc>
        <w:tc>
          <w:tcPr>
            <w:tcW w:w="721" w:type="pct"/>
            <w:vAlign w:val="center"/>
          </w:tcPr>
          <w:p w:rsidR="00EE56C0" w:rsidRDefault="000F36A1">
            <w:pPr>
              <w:pStyle w:val="afa"/>
              <w:rPr>
                <w:rFonts w:eastAsia="宋体"/>
                <w:u w:val="single"/>
              </w:rPr>
            </w:pPr>
            <w:r>
              <w:rPr>
                <w:u w:val="single"/>
              </w:rPr>
              <w:t xml:space="preserve">0.0439 </w:t>
            </w:r>
          </w:p>
        </w:tc>
      </w:tr>
      <w:tr w:rsidR="00EE56C0">
        <w:trPr>
          <w:trHeight w:val="454"/>
          <w:jc w:val="center"/>
        </w:trPr>
        <w:tc>
          <w:tcPr>
            <w:tcW w:w="322" w:type="pct"/>
            <w:vMerge/>
            <w:vAlign w:val="center"/>
          </w:tcPr>
          <w:p w:rsidR="00EE56C0" w:rsidRDefault="00EE56C0">
            <w:pPr>
              <w:pStyle w:val="afa"/>
              <w:rPr>
                <w:u w:val="single"/>
              </w:rPr>
            </w:pPr>
          </w:p>
        </w:tc>
        <w:tc>
          <w:tcPr>
            <w:tcW w:w="266" w:type="pct"/>
            <w:vMerge/>
            <w:tcBorders>
              <w:right w:val="single" w:sz="4" w:space="0" w:color="auto"/>
            </w:tcBorders>
            <w:vAlign w:val="center"/>
          </w:tcPr>
          <w:p w:rsidR="00EE56C0" w:rsidRDefault="00EE56C0">
            <w:pPr>
              <w:pStyle w:val="afa"/>
              <w:rPr>
                <w:u w:val="single"/>
              </w:rPr>
            </w:pPr>
          </w:p>
        </w:tc>
        <w:tc>
          <w:tcPr>
            <w:tcW w:w="223" w:type="pct"/>
            <w:vMerge/>
            <w:tcBorders>
              <w:left w:val="single" w:sz="4" w:space="0" w:color="auto"/>
              <w:right w:val="single" w:sz="4" w:space="0" w:color="auto"/>
            </w:tcBorders>
            <w:vAlign w:val="center"/>
          </w:tcPr>
          <w:p w:rsidR="00EE56C0" w:rsidRDefault="00EE56C0">
            <w:pPr>
              <w:pStyle w:val="afa"/>
              <w:rPr>
                <w:highlight w:val="yellow"/>
                <w:u w:val="single"/>
              </w:rPr>
            </w:pPr>
          </w:p>
        </w:tc>
        <w:tc>
          <w:tcPr>
            <w:tcW w:w="568" w:type="pct"/>
            <w:tcBorders>
              <w:left w:val="single" w:sz="4" w:space="0" w:color="auto"/>
            </w:tcBorders>
            <w:vAlign w:val="center"/>
          </w:tcPr>
          <w:p w:rsidR="00EE56C0" w:rsidRDefault="000F36A1">
            <w:pPr>
              <w:pStyle w:val="afa"/>
              <w:rPr>
                <w:highlight w:val="yellow"/>
                <w:u w:val="single"/>
              </w:rPr>
            </w:pPr>
            <w:r>
              <w:rPr>
                <w:rFonts w:hint="eastAsia"/>
                <w:u w:val="single"/>
              </w:rPr>
              <w:t>苯</w:t>
            </w:r>
          </w:p>
        </w:tc>
        <w:tc>
          <w:tcPr>
            <w:tcW w:w="712" w:type="pct"/>
            <w:vAlign w:val="center"/>
          </w:tcPr>
          <w:p w:rsidR="00EE56C0" w:rsidRDefault="000F36A1">
            <w:pPr>
              <w:pStyle w:val="afa"/>
              <w:rPr>
                <w:rFonts w:eastAsia="宋体"/>
                <w:u w:val="single"/>
              </w:rPr>
            </w:pPr>
            <w:r>
              <w:rPr>
                <w:u w:val="single"/>
              </w:rPr>
              <w:t xml:space="preserve">0.0146 </w:t>
            </w:r>
          </w:p>
        </w:tc>
        <w:tc>
          <w:tcPr>
            <w:tcW w:w="715" w:type="pct"/>
            <w:vAlign w:val="center"/>
          </w:tcPr>
          <w:p w:rsidR="00EE56C0" w:rsidRDefault="000F36A1">
            <w:pPr>
              <w:pStyle w:val="afa"/>
              <w:rPr>
                <w:rFonts w:eastAsia="宋体"/>
                <w:u w:val="single"/>
              </w:rPr>
            </w:pPr>
            <w:r>
              <w:rPr>
                <w:u w:val="single"/>
              </w:rPr>
              <w:t>0</w:t>
            </w:r>
          </w:p>
        </w:tc>
        <w:tc>
          <w:tcPr>
            <w:tcW w:w="750" w:type="pct"/>
            <w:vAlign w:val="center"/>
          </w:tcPr>
          <w:p w:rsidR="00EE56C0" w:rsidRDefault="000F36A1">
            <w:pPr>
              <w:pStyle w:val="afa"/>
              <w:rPr>
                <w:rFonts w:eastAsia="宋体"/>
                <w:u w:val="single"/>
              </w:rPr>
            </w:pPr>
            <w:r>
              <w:rPr>
                <w:u w:val="single"/>
              </w:rPr>
              <w:t xml:space="preserve">0.0146 </w:t>
            </w:r>
          </w:p>
        </w:tc>
        <w:tc>
          <w:tcPr>
            <w:tcW w:w="723" w:type="pct"/>
            <w:vAlign w:val="center"/>
          </w:tcPr>
          <w:p w:rsidR="00EE56C0" w:rsidRDefault="000F36A1">
            <w:pPr>
              <w:pStyle w:val="afa"/>
              <w:rPr>
                <w:rFonts w:eastAsia="宋体"/>
                <w:u w:val="single"/>
              </w:rPr>
            </w:pPr>
            <w:r>
              <w:rPr>
                <w:u w:val="single"/>
              </w:rPr>
              <w:t xml:space="preserve">0.0146 </w:t>
            </w:r>
          </w:p>
        </w:tc>
        <w:tc>
          <w:tcPr>
            <w:tcW w:w="721" w:type="pct"/>
            <w:vAlign w:val="center"/>
          </w:tcPr>
          <w:p w:rsidR="00EE56C0" w:rsidRDefault="000F36A1">
            <w:pPr>
              <w:pStyle w:val="afa"/>
              <w:rPr>
                <w:rFonts w:eastAsia="宋体"/>
                <w:u w:val="single"/>
              </w:rPr>
            </w:pPr>
            <w:r>
              <w:rPr>
                <w:u w:val="single"/>
              </w:rPr>
              <w:t xml:space="preserve">0.0146 </w:t>
            </w:r>
          </w:p>
        </w:tc>
      </w:tr>
      <w:tr w:rsidR="00EE56C0">
        <w:trPr>
          <w:trHeight w:val="454"/>
          <w:jc w:val="center"/>
        </w:trPr>
        <w:tc>
          <w:tcPr>
            <w:tcW w:w="322" w:type="pct"/>
            <w:vMerge/>
            <w:vAlign w:val="center"/>
          </w:tcPr>
          <w:p w:rsidR="00EE56C0" w:rsidRDefault="00EE56C0">
            <w:pPr>
              <w:pStyle w:val="afa"/>
              <w:rPr>
                <w:u w:val="single"/>
              </w:rPr>
            </w:pPr>
          </w:p>
        </w:tc>
        <w:tc>
          <w:tcPr>
            <w:tcW w:w="266" w:type="pct"/>
            <w:vMerge/>
            <w:tcBorders>
              <w:right w:val="single" w:sz="4" w:space="0" w:color="auto"/>
            </w:tcBorders>
            <w:vAlign w:val="center"/>
          </w:tcPr>
          <w:p w:rsidR="00EE56C0" w:rsidRDefault="00EE56C0">
            <w:pPr>
              <w:pStyle w:val="afa"/>
              <w:rPr>
                <w:u w:val="single"/>
              </w:rPr>
            </w:pPr>
          </w:p>
        </w:tc>
        <w:tc>
          <w:tcPr>
            <w:tcW w:w="223" w:type="pct"/>
            <w:vMerge/>
            <w:tcBorders>
              <w:left w:val="single" w:sz="4" w:space="0" w:color="auto"/>
              <w:right w:val="single" w:sz="4" w:space="0" w:color="auto"/>
            </w:tcBorders>
            <w:vAlign w:val="center"/>
          </w:tcPr>
          <w:p w:rsidR="00EE56C0" w:rsidRDefault="00EE56C0">
            <w:pPr>
              <w:pStyle w:val="afa"/>
              <w:rPr>
                <w:u w:val="single"/>
              </w:rPr>
            </w:pPr>
          </w:p>
        </w:tc>
        <w:tc>
          <w:tcPr>
            <w:tcW w:w="568" w:type="pct"/>
            <w:tcBorders>
              <w:left w:val="single" w:sz="4" w:space="0" w:color="auto"/>
            </w:tcBorders>
            <w:vAlign w:val="center"/>
          </w:tcPr>
          <w:p w:rsidR="00EE56C0" w:rsidRDefault="000F36A1">
            <w:pPr>
              <w:pStyle w:val="afa"/>
              <w:rPr>
                <w:u w:val="single"/>
              </w:rPr>
            </w:pPr>
            <w:r>
              <w:rPr>
                <w:rFonts w:hint="eastAsia"/>
                <w:u w:val="single"/>
              </w:rPr>
              <w:t>合计</w:t>
            </w:r>
          </w:p>
        </w:tc>
        <w:tc>
          <w:tcPr>
            <w:tcW w:w="712" w:type="pct"/>
            <w:vAlign w:val="center"/>
          </w:tcPr>
          <w:p w:rsidR="00EE56C0" w:rsidRDefault="000F36A1">
            <w:pPr>
              <w:pStyle w:val="afa"/>
              <w:rPr>
                <w:rFonts w:eastAsia="宋体"/>
                <w:u w:val="single"/>
              </w:rPr>
            </w:pPr>
            <w:r>
              <w:rPr>
                <w:u w:val="single"/>
              </w:rPr>
              <w:t xml:space="preserve">1.4128 </w:t>
            </w:r>
          </w:p>
        </w:tc>
        <w:tc>
          <w:tcPr>
            <w:tcW w:w="715" w:type="pct"/>
            <w:vAlign w:val="center"/>
          </w:tcPr>
          <w:p w:rsidR="00EE56C0" w:rsidRDefault="000F36A1">
            <w:pPr>
              <w:pStyle w:val="afa"/>
              <w:rPr>
                <w:rFonts w:eastAsia="宋体"/>
                <w:u w:val="single"/>
              </w:rPr>
            </w:pPr>
            <w:r>
              <w:rPr>
                <w:u w:val="single"/>
              </w:rPr>
              <w:t>0</w:t>
            </w:r>
          </w:p>
        </w:tc>
        <w:tc>
          <w:tcPr>
            <w:tcW w:w="750" w:type="pct"/>
            <w:vAlign w:val="center"/>
          </w:tcPr>
          <w:p w:rsidR="00EE56C0" w:rsidRDefault="000F36A1">
            <w:pPr>
              <w:pStyle w:val="afa"/>
              <w:rPr>
                <w:rFonts w:eastAsia="宋体"/>
                <w:u w:val="single"/>
              </w:rPr>
            </w:pPr>
            <w:r>
              <w:rPr>
                <w:u w:val="single"/>
              </w:rPr>
              <w:t xml:space="preserve">1.4128 </w:t>
            </w:r>
          </w:p>
        </w:tc>
        <w:tc>
          <w:tcPr>
            <w:tcW w:w="723" w:type="pct"/>
            <w:vAlign w:val="center"/>
          </w:tcPr>
          <w:p w:rsidR="00EE56C0" w:rsidRDefault="000F36A1">
            <w:pPr>
              <w:pStyle w:val="afa"/>
              <w:rPr>
                <w:rFonts w:eastAsia="宋体"/>
                <w:u w:val="single"/>
              </w:rPr>
            </w:pPr>
            <w:r>
              <w:rPr>
                <w:u w:val="single"/>
              </w:rPr>
              <w:t xml:space="preserve">1.4128 </w:t>
            </w:r>
          </w:p>
        </w:tc>
        <w:tc>
          <w:tcPr>
            <w:tcW w:w="721" w:type="pct"/>
            <w:vAlign w:val="center"/>
          </w:tcPr>
          <w:p w:rsidR="00EE56C0" w:rsidRDefault="000F36A1">
            <w:pPr>
              <w:pStyle w:val="afa"/>
              <w:rPr>
                <w:rFonts w:eastAsia="宋体"/>
                <w:u w:val="single"/>
              </w:rPr>
            </w:pPr>
            <w:r>
              <w:rPr>
                <w:u w:val="single"/>
              </w:rPr>
              <w:t xml:space="preserve">1.4128 </w:t>
            </w:r>
          </w:p>
        </w:tc>
      </w:tr>
      <w:tr w:rsidR="00EE56C0">
        <w:trPr>
          <w:trHeight w:val="454"/>
          <w:jc w:val="center"/>
        </w:trPr>
        <w:tc>
          <w:tcPr>
            <w:tcW w:w="322" w:type="pct"/>
            <w:vMerge w:val="restart"/>
            <w:vAlign w:val="center"/>
          </w:tcPr>
          <w:p w:rsidR="00EE56C0" w:rsidRDefault="000F36A1">
            <w:pPr>
              <w:pStyle w:val="afa"/>
              <w:rPr>
                <w:u w:val="single"/>
              </w:rPr>
            </w:pPr>
            <w:r>
              <w:rPr>
                <w:u w:val="single"/>
              </w:rPr>
              <w:t>固废</w:t>
            </w:r>
          </w:p>
        </w:tc>
        <w:tc>
          <w:tcPr>
            <w:tcW w:w="1057" w:type="pct"/>
            <w:gridSpan w:val="3"/>
            <w:vAlign w:val="center"/>
          </w:tcPr>
          <w:p w:rsidR="00EE56C0" w:rsidRDefault="000F36A1">
            <w:pPr>
              <w:pStyle w:val="afa"/>
              <w:rPr>
                <w:u w:val="single"/>
              </w:rPr>
            </w:pPr>
            <w:r>
              <w:rPr>
                <w:rFonts w:hint="eastAsia"/>
                <w:u w:val="single"/>
              </w:rPr>
              <w:t>一般固废</w:t>
            </w:r>
          </w:p>
        </w:tc>
        <w:tc>
          <w:tcPr>
            <w:tcW w:w="712" w:type="pct"/>
            <w:vAlign w:val="center"/>
          </w:tcPr>
          <w:p w:rsidR="00EE56C0" w:rsidRDefault="000F36A1">
            <w:pPr>
              <w:pStyle w:val="afa"/>
              <w:rPr>
                <w:rFonts w:eastAsia="宋体"/>
                <w:u w:val="single"/>
              </w:rPr>
            </w:pPr>
            <w:r>
              <w:rPr>
                <w:u w:val="single"/>
              </w:rPr>
              <w:t>34.65</w:t>
            </w:r>
          </w:p>
        </w:tc>
        <w:tc>
          <w:tcPr>
            <w:tcW w:w="715" w:type="pct"/>
            <w:vAlign w:val="center"/>
          </w:tcPr>
          <w:p w:rsidR="00EE56C0" w:rsidRDefault="000F36A1">
            <w:pPr>
              <w:pStyle w:val="afa"/>
              <w:rPr>
                <w:rFonts w:eastAsia="宋体"/>
                <w:u w:val="single"/>
              </w:rPr>
            </w:pPr>
            <w:r>
              <w:rPr>
                <w:u w:val="single"/>
              </w:rPr>
              <w:t>34.65</w:t>
            </w:r>
          </w:p>
        </w:tc>
        <w:tc>
          <w:tcPr>
            <w:tcW w:w="750" w:type="pct"/>
            <w:vAlign w:val="center"/>
          </w:tcPr>
          <w:p w:rsidR="00EE56C0" w:rsidRDefault="000F36A1">
            <w:pPr>
              <w:pStyle w:val="afa"/>
              <w:rPr>
                <w:u w:val="single"/>
              </w:rPr>
            </w:pPr>
            <w:r>
              <w:rPr>
                <w:u w:val="single"/>
              </w:rPr>
              <w:t>0</w:t>
            </w:r>
          </w:p>
        </w:tc>
        <w:tc>
          <w:tcPr>
            <w:tcW w:w="723" w:type="pct"/>
            <w:vAlign w:val="center"/>
          </w:tcPr>
          <w:p w:rsidR="00EE56C0" w:rsidRDefault="000F36A1">
            <w:pPr>
              <w:pStyle w:val="afa"/>
              <w:rPr>
                <w:u w:val="single"/>
              </w:rPr>
            </w:pPr>
            <w:r>
              <w:rPr>
                <w:u w:val="single"/>
              </w:rPr>
              <w:t>/</w:t>
            </w:r>
          </w:p>
        </w:tc>
        <w:tc>
          <w:tcPr>
            <w:tcW w:w="721" w:type="pct"/>
            <w:vAlign w:val="center"/>
          </w:tcPr>
          <w:p w:rsidR="00EE56C0" w:rsidRDefault="000F36A1">
            <w:pPr>
              <w:pStyle w:val="afa"/>
              <w:rPr>
                <w:u w:val="single"/>
              </w:rPr>
            </w:pPr>
            <w:r>
              <w:rPr>
                <w:u w:val="single"/>
              </w:rPr>
              <w:t>0</w:t>
            </w:r>
          </w:p>
        </w:tc>
      </w:tr>
      <w:tr w:rsidR="00EE56C0">
        <w:trPr>
          <w:trHeight w:val="454"/>
          <w:jc w:val="center"/>
        </w:trPr>
        <w:tc>
          <w:tcPr>
            <w:tcW w:w="322" w:type="pct"/>
            <w:vMerge/>
            <w:vAlign w:val="center"/>
          </w:tcPr>
          <w:p w:rsidR="00EE56C0" w:rsidRDefault="00EE56C0">
            <w:pPr>
              <w:pStyle w:val="afa"/>
              <w:rPr>
                <w:u w:val="single"/>
              </w:rPr>
            </w:pPr>
          </w:p>
        </w:tc>
        <w:tc>
          <w:tcPr>
            <w:tcW w:w="1057" w:type="pct"/>
            <w:gridSpan w:val="3"/>
            <w:vAlign w:val="center"/>
          </w:tcPr>
          <w:p w:rsidR="00EE56C0" w:rsidRDefault="000F36A1">
            <w:pPr>
              <w:pStyle w:val="afa"/>
              <w:rPr>
                <w:u w:val="single"/>
              </w:rPr>
            </w:pPr>
            <w:r>
              <w:rPr>
                <w:rFonts w:hint="eastAsia"/>
                <w:u w:val="single"/>
              </w:rPr>
              <w:t>危险废物</w:t>
            </w:r>
          </w:p>
        </w:tc>
        <w:tc>
          <w:tcPr>
            <w:tcW w:w="712" w:type="pct"/>
            <w:vAlign w:val="center"/>
          </w:tcPr>
          <w:p w:rsidR="00EE56C0" w:rsidRDefault="000F36A1">
            <w:pPr>
              <w:pStyle w:val="afa"/>
              <w:rPr>
                <w:rFonts w:eastAsia="宋体"/>
                <w:u w:val="single"/>
              </w:rPr>
            </w:pPr>
            <w:r>
              <w:rPr>
                <w:u w:val="single"/>
              </w:rPr>
              <w:t>11.32</w:t>
            </w:r>
          </w:p>
        </w:tc>
        <w:tc>
          <w:tcPr>
            <w:tcW w:w="715" w:type="pct"/>
            <w:vAlign w:val="center"/>
          </w:tcPr>
          <w:p w:rsidR="00EE56C0" w:rsidRDefault="000F36A1">
            <w:pPr>
              <w:pStyle w:val="afa"/>
              <w:rPr>
                <w:rFonts w:eastAsia="宋体"/>
                <w:u w:val="single"/>
              </w:rPr>
            </w:pPr>
            <w:r>
              <w:rPr>
                <w:u w:val="single"/>
              </w:rPr>
              <w:t>11.32</w:t>
            </w:r>
          </w:p>
        </w:tc>
        <w:tc>
          <w:tcPr>
            <w:tcW w:w="750" w:type="pct"/>
            <w:vAlign w:val="center"/>
          </w:tcPr>
          <w:p w:rsidR="00EE56C0" w:rsidRDefault="000F36A1">
            <w:pPr>
              <w:pStyle w:val="afa"/>
              <w:rPr>
                <w:u w:val="single"/>
              </w:rPr>
            </w:pPr>
            <w:r>
              <w:rPr>
                <w:u w:val="single"/>
              </w:rPr>
              <w:t>0</w:t>
            </w:r>
          </w:p>
        </w:tc>
        <w:tc>
          <w:tcPr>
            <w:tcW w:w="723" w:type="pct"/>
            <w:vAlign w:val="center"/>
          </w:tcPr>
          <w:p w:rsidR="00EE56C0" w:rsidRDefault="000F36A1">
            <w:pPr>
              <w:pStyle w:val="afa"/>
              <w:rPr>
                <w:u w:val="single"/>
              </w:rPr>
            </w:pPr>
            <w:r>
              <w:rPr>
                <w:u w:val="single"/>
              </w:rPr>
              <w:t>/</w:t>
            </w:r>
          </w:p>
        </w:tc>
        <w:tc>
          <w:tcPr>
            <w:tcW w:w="721" w:type="pct"/>
            <w:vAlign w:val="center"/>
          </w:tcPr>
          <w:p w:rsidR="00EE56C0" w:rsidRDefault="000F36A1">
            <w:pPr>
              <w:pStyle w:val="afa"/>
              <w:rPr>
                <w:u w:val="single"/>
              </w:rPr>
            </w:pPr>
            <w:r>
              <w:rPr>
                <w:u w:val="single"/>
              </w:rPr>
              <w:t>0</w:t>
            </w:r>
          </w:p>
        </w:tc>
      </w:tr>
    </w:tbl>
    <w:p w:rsidR="00EE56C0" w:rsidRDefault="000F36A1">
      <w:pPr>
        <w:pStyle w:val="afd"/>
        <w:spacing w:before="120" w:after="120"/>
        <w:ind w:firstLine="482"/>
      </w:pPr>
      <w:r>
        <w:rPr>
          <w:rFonts w:hint="eastAsia"/>
        </w:rPr>
        <w:t>表</w:t>
      </w:r>
      <w:r>
        <w:rPr>
          <w:rFonts w:hint="eastAsia"/>
        </w:rPr>
        <w:t>8-1</w:t>
      </w:r>
      <w:r w:rsidR="001F2747">
        <w:rPr>
          <w:rFonts w:hint="eastAsia"/>
        </w:rPr>
        <w:t>3</w:t>
      </w:r>
      <w:r>
        <w:rPr>
          <w:rFonts w:hint="eastAsia"/>
        </w:rPr>
        <w:t xml:space="preserve">       </w:t>
      </w:r>
      <w:r>
        <w:rPr>
          <w:rFonts w:hint="eastAsia"/>
        </w:rPr>
        <w:t>一期、二期合计新增污染物产排情况</w:t>
      </w:r>
      <w:r>
        <w:rPr>
          <w:rFonts w:hint="eastAsia"/>
        </w:rPr>
        <w:t xml:space="preserve">         </w:t>
      </w:r>
      <w:r>
        <w:rPr>
          <w:rFonts w:hint="eastAsia"/>
        </w:rPr>
        <w:t>单位：</w:t>
      </w:r>
      <w:r>
        <w:rPr>
          <w:rFonts w:hint="eastAsia"/>
        </w:rPr>
        <w:t>t/a</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4A0"/>
      </w:tblPr>
      <w:tblGrid>
        <w:gridCol w:w="548"/>
        <w:gridCol w:w="411"/>
        <w:gridCol w:w="566"/>
        <w:gridCol w:w="819"/>
        <w:gridCol w:w="1167"/>
        <w:gridCol w:w="1312"/>
        <w:gridCol w:w="1238"/>
        <w:gridCol w:w="1238"/>
        <w:gridCol w:w="1230"/>
      </w:tblGrid>
      <w:tr w:rsidR="00EE56C0">
        <w:trPr>
          <w:trHeight w:val="397"/>
          <w:tblHeader/>
          <w:jc w:val="center"/>
        </w:trPr>
        <w:tc>
          <w:tcPr>
            <w:tcW w:w="1374" w:type="pct"/>
            <w:gridSpan w:val="4"/>
            <w:vAlign w:val="center"/>
          </w:tcPr>
          <w:p w:rsidR="00EE56C0" w:rsidRDefault="000F36A1">
            <w:pPr>
              <w:pStyle w:val="aff1"/>
              <w:rPr>
                <w:color w:val="auto"/>
                <w:u w:val="single"/>
              </w:rPr>
            </w:pPr>
            <w:r>
              <w:rPr>
                <w:color w:val="auto"/>
                <w:u w:val="single"/>
              </w:rPr>
              <w:t>污染物</w:t>
            </w:r>
          </w:p>
        </w:tc>
        <w:tc>
          <w:tcPr>
            <w:tcW w:w="684" w:type="pct"/>
            <w:vAlign w:val="center"/>
          </w:tcPr>
          <w:p w:rsidR="00EE56C0" w:rsidRDefault="000F36A1">
            <w:pPr>
              <w:pStyle w:val="aff1"/>
              <w:rPr>
                <w:color w:val="auto"/>
                <w:u w:val="single"/>
              </w:rPr>
            </w:pPr>
            <w:r>
              <w:rPr>
                <w:color w:val="auto"/>
                <w:u w:val="single"/>
              </w:rPr>
              <w:t>工程产生量</w:t>
            </w:r>
          </w:p>
        </w:tc>
        <w:tc>
          <w:tcPr>
            <w:tcW w:w="769" w:type="pct"/>
            <w:vAlign w:val="center"/>
          </w:tcPr>
          <w:p w:rsidR="00EE56C0" w:rsidRDefault="000F36A1">
            <w:pPr>
              <w:pStyle w:val="aff1"/>
              <w:rPr>
                <w:color w:val="auto"/>
                <w:u w:val="single"/>
              </w:rPr>
            </w:pPr>
            <w:r>
              <w:rPr>
                <w:color w:val="auto"/>
                <w:u w:val="single"/>
              </w:rPr>
              <w:t>工程削减量</w:t>
            </w:r>
          </w:p>
        </w:tc>
        <w:tc>
          <w:tcPr>
            <w:tcW w:w="726" w:type="pct"/>
            <w:vAlign w:val="center"/>
          </w:tcPr>
          <w:p w:rsidR="00EE56C0" w:rsidRDefault="000F36A1">
            <w:pPr>
              <w:pStyle w:val="afa"/>
              <w:rPr>
                <w:b/>
                <w:u w:val="single"/>
              </w:rPr>
            </w:pPr>
            <w:r>
              <w:rPr>
                <w:rFonts w:hint="eastAsia"/>
                <w:b/>
                <w:u w:val="single"/>
              </w:rPr>
              <w:t>出厂总量</w:t>
            </w:r>
          </w:p>
        </w:tc>
        <w:tc>
          <w:tcPr>
            <w:tcW w:w="726" w:type="pct"/>
            <w:vAlign w:val="center"/>
          </w:tcPr>
          <w:p w:rsidR="00EE56C0" w:rsidRDefault="000F36A1">
            <w:pPr>
              <w:pStyle w:val="afa"/>
              <w:rPr>
                <w:b/>
                <w:u w:val="single"/>
              </w:rPr>
            </w:pPr>
            <w:r>
              <w:rPr>
                <w:rFonts w:hint="eastAsia"/>
                <w:b/>
                <w:u w:val="single"/>
              </w:rPr>
              <w:t>排入环境量</w:t>
            </w:r>
          </w:p>
        </w:tc>
        <w:tc>
          <w:tcPr>
            <w:tcW w:w="721" w:type="pct"/>
            <w:vAlign w:val="center"/>
          </w:tcPr>
          <w:p w:rsidR="00EE56C0" w:rsidRDefault="000F36A1">
            <w:pPr>
              <w:pStyle w:val="aff1"/>
              <w:rPr>
                <w:color w:val="auto"/>
                <w:u w:val="single"/>
              </w:rPr>
            </w:pPr>
            <w:r>
              <w:rPr>
                <w:rFonts w:hint="eastAsia"/>
                <w:color w:val="auto"/>
                <w:u w:val="single"/>
              </w:rPr>
              <w:t>总量指标</w:t>
            </w:r>
          </w:p>
        </w:tc>
      </w:tr>
      <w:tr w:rsidR="00EE56C0">
        <w:trPr>
          <w:trHeight w:val="397"/>
          <w:jc w:val="center"/>
        </w:trPr>
        <w:tc>
          <w:tcPr>
            <w:tcW w:w="321" w:type="pct"/>
            <w:vMerge w:val="restart"/>
            <w:vAlign w:val="center"/>
          </w:tcPr>
          <w:p w:rsidR="00EE56C0" w:rsidRDefault="000F36A1">
            <w:pPr>
              <w:pStyle w:val="afa"/>
              <w:rPr>
                <w:u w:val="single"/>
              </w:rPr>
            </w:pPr>
            <w:r>
              <w:rPr>
                <w:u w:val="single"/>
              </w:rPr>
              <w:t>废水</w:t>
            </w:r>
          </w:p>
        </w:tc>
        <w:tc>
          <w:tcPr>
            <w:tcW w:w="1053" w:type="pct"/>
            <w:gridSpan w:val="3"/>
            <w:vAlign w:val="center"/>
          </w:tcPr>
          <w:p w:rsidR="00EE56C0" w:rsidRDefault="000F36A1">
            <w:pPr>
              <w:pStyle w:val="afa"/>
              <w:rPr>
                <w:u w:val="single"/>
              </w:rPr>
            </w:pPr>
            <w:r>
              <w:rPr>
                <w:u w:val="single"/>
              </w:rPr>
              <w:t>COD</w:t>
            </w:r>
          </w:p>
        </w:tc>
        <w:tc>
          <w:tcPr>
            <w:tcW w:w="684" w:type="pct"/>
            <w:vAlign w:val="center"/>
          </w:tcPr>
          <w:p w:rsidR="00EE56C0" w:rsidRDefault="000F36A1">
            <w:pPr>
              <w:pStyle w:val="afa"/>
              <w:rPr>
                <w:rFonts w:eastAsia="宋体"/>
                <w:u w:val="single"/>
              </w:rPr>
            </w:pPr>
            <w:r>
              <w:rPr>
                <w:u w:val="single"/>
              </w:rPr>
              <w:t xml:space="preserve">0.5449 </w:t>
            </w:r>
          </w:p>
        </w:tc>
        <w:tc>
          <w:tcPr>
            <w:tcW w:w="769" w:type="pct"/>
            <w:vAlign w:val="center"/>
          </w:tcPr>
          <w:p w:rsidR="00EE56C0" w:rsidRDefault="000F36A1">
            <w:pPr>
              <w:pStyle w:val="afa"/>
              <w:rPr>
                <w:rFonts w:eastAsia="宋体"/>
                <w:u w:val="single"/>
              </w:rPr>
            </w:pPr>
            <w:r>
              <w:rPr>
                <w:u w:val="single"/>
              </w:rPr>
              <w:t>0.4573</w:t>
            </w:r>
          </w:p>
        </w:tc>
        <w:tc>
          <w:tcPr>
            <w:tcW w:w="726" w:type="pct"/>
            <w:vAlign w:val="center"/>
          </w:tcPr>
          <w:p w:rsidR="00EE56C0" w:rsidRDefault="000F36A1">
            <w:pPr>
              <w:pStyle w:val="afa"/>
              <w:rPr>
                <w:rFonts w:eastAsia="宋体"/>
                <w:u w:val="single"/>
              </w:rPr>
            </w:pPr>
            <w:r>
              <w:rPr>
                <w:u w:val="single"/>
              </w:rPr>
              <w:t>0.0876</w:t>
            </w:r>
          </w:p>
        </w:tc>
        <w:tc>
          <w:tcPr>
            <w:tcW w:w="726" w:type="pct"/>
            <w:vAlign w:val="center"/>
          </w:tcPr>
          <w:p w:rsidR="00EE56C0" w:rsidRDefault="000F36A1">
            <w:pPr>
              <w:pStyle w:val="afa"/>
              <w:rPr>
                <w:rFonts w:eastAsia="宋体"/>
                <w:u w:val="single"/>
              </w:rPr>
            </w:pPr>
            <w:r>
              <w:rPr>
                <w:u w:val="single"/>
              </w:rPr>
              <w:t>0.0827</w:t>
            </w:r>
          </w:p>
        </w:tc>
        <w:tc>
          <w:tcPr>
            <w:tcW w:w="721" w:type="pct"/>
            <w:vAlign w:val="center"/>
          </w:tcPr>
          <w:p w:rsidR="00EE56C0" w:rsidRDefault="000F36A1">
            <w:pPr>
              <w:pStyle w:val="afa"/>
              <w:rPr>
                <w:rFonts w:ascii="宋体" w:eastAsia="宋体" w:hAnsi="宋体" w:cs="宋体"/>
                <w:u w:val="single"/>
              </w:rPr>
            </w:pPr>
            <w:r>
              <w:rPr>
                <w:rFonts w:hint="eastAsia"/>
                <w:u w:val="single"/>
              </w:rPr>
              <w:t>0.0827</w:t>
            </w:r>
          </w:p>
        </w:tc>
      </w:tr>
      <w:tr w:rsidR="00EE56C0">
        <w:trPr>
          <w:trHeight w:val="397"/>
          <w:jc w:val="center"/>
        </w:trPr>
        <w:tc>
          <w:tcPr>
            <w:tcW w:w="321" w:type="pct"/>
            <w:vMerge/>
            <w:vAlign w:val="center"/>
          </w:tcPr>
          <w:p w:rsidR="00EE56C0" w:rsidRDefault="00EE56C0">
            <w:pPr>
              <w:pStyle w:val="afa"/>
              <w:rPr>
                <w:u w:val="single"/>
              </w:rPr>
            </w:pPr>
          </w:p>
        </w:tc>
        <w:tc>
          <w:tcPr>
            <w:tcW w:w="1053" w:type="pct"/>
            <w:gridSpan w:val="3"/>
            <w:vAlign w:val="center"/>
          </w:tcPr>
          <w:p w:rsidR="00EE56C0" w:rsidRDefault="000F36A1">
            <w:pPr>
              <w:pStyle w:val="afa"/>
              <w:rPr>
                <w:u w:val="single"/>
              </w:rPr>
            </w:pPr>
            <w:r>
              <w:rPr>
                <w:rFonts w:hint="eastAsia"/>
                <w:u w:val="single"/>
              </w:rPr>
              <w:t>NH</w:t>
            </w:r>
            <w:r>
              <w:rPr>
                <w:rFonts w:hint="eastAsia"/>
                <w:u w:val="single"/>
                <w:vertAlign w:val="subscript"/>
              </w:rPr>
              <w:t>3</w:t>
            </w:r>
            <w:r>
              <w:rPr>
                <w:rFonts w:hint="eastAsia"/>
                <w:u w:val="single"/>
              </w:rPr>
              <w:t>-N</w:t>
            </w:r>
          </w:p>
        </w:tc>
        <w:tc>
          <w:tcPr>
            <w:tcW w:w="684" w:type="pct"/>
            <w:vAlign w:val="center"/>
          </w:tcPr>
          <w:p w:rsidR="00EE56C0" w:rsidRDefault="000F36A1">
            <w:pPr>
              <w:pStyle w:val="afa"/>
              <w:rPr>
                <w:rFonts w:eastAsia="宋体"/>
                <w:u w:val="single"/>
              </w:rPr>
            </w:pPr>
            <w:r>
              <w:rPr>
                <w:u w:val="single"/>
              </w:rPr>
              <w:t>0.0385</w:t>
            </w:r>
          </w:p>
        </w:tc>
        <w:tc>
          <w:tcPr>
            <w:tcW w:w="769" w:type="pct"/>
            <w:vAlign w:val="center"/>
          </w:tcPr>
          <w:p w:rsidR="00EE56C0" w:rsidRDefault="000F36A1">
            <w:pPr>
              <w:pStyle w:val="afa"/>
              <w:rPr>
                <w:rFonts w:eastAsia="宋体"/>
                <w:u w:val="single"/>
              </w:rPr>
            </w:pPr>
            <w:r>
              <w:rPr>
                <w:u w:val="single"/>
              </w:rPr>
              <w:t>0.0304</w:t>
            </w:r>
          </w:p>
        </w:tc>
        <w:tc>
          <w:tcPr>
            <w:tcW w:w="726" w:type="pct"/>
            <w:vAlign w:val="center"/>
          </w:tcPr>
          <w:p w:rsidR="00EE56C0" w:rsidRDefault="000F36A1">
            <w:pPr>
              <w:pStyle w:val="afa"/>
              <w:rPr>
                <w:rFonts w:eastAsia="宋体"/>
                <w:u w:val="single"/>
              </w:rPr>
            </w:pPr>
            <w:r>
              <w:rPr>
                <w:u w:val="single"/>
              </w:rPr>
              <w:t>0.0081</w:t>
            </w:r>
          </w:p>
        </w:tc>
        <w:tc>
          <w:tcPr>
            <w:tcW w:w="726" w:type="pct"/>
            <w:vAlign w:val="center"/>
          </w:tcPr>
          <w:p w:rsidR="00EE56C0" w:rsidRDefault="000F36A1">
            <w:pPr>
              <w:pStyle w:val="afa"/>
              <w:rPr>
                <w:rFonts w:eastAsia="宋体"/>
                <w:u w:val="single"/>
              </w:rPr>
            </w:pPr>
            <w:r>
              <w:rPr>
                <w:u w:val="single"/>
              </w:rPr>
              <w:t>0.0041</w:t>
            </w:r>
          </w:p>
        </w:tc>
        <w:tc>
          <w:tcPr>
            <w:tcW w:w="721" w:type="pct"/>
            <w:vAlign w:val="center"/>
          </w:tcPr>
          <w:p w:rsidR="00EE56C0" w:rsidRDefault="000F36A1">
            <w:pPr>
              <w:pStyle w:val="afa"/>
              <w:rPr>
                <w:rFonts w:ascii="宋体" w:eastAsia="宋体" w:hAnsi="宋体" w:cs="宋体"/>
                <w:u w:val="single"/>
              </w:rPr>
            </w:pPr>
            <w:r>
              <w:rPr>
                <w:rFonts w:hint="eastAsia"/>
                <w:u w:val="single"/>
              </w:rPr>
              <w:t>0.0041</w:t>
            </w:r>
          </w:p>
        </w:tc>
      </w:tr>
      <w:tr w:rsidR="00EE56C0">
        <w:trPr>
          <w:trHeight w:val="397"/>
          <w:jc w:val="center"/>
        </w:trPr>
        <w:tc>
          <w:tcPr>
            <w:tcW w:w="321" w:type="pct"/>
            <w:vMerge/>
            <w:vAlign w:val="center"/>
          </w:tcPr>
          <w:p w:rsidR="00EE56C0" w:rsidRDefault="00EE56C0">
            <w:pPr>
              <w:pStyle w:val="afa"/>
              <w:rPr>
                <w:u w:val="single"/>
              </w:rPr>
            </w:pPr>
          </w:p>
        </w:tc>
        <w:tc>
          <w:tcPr>
            <w:tcW w:w="1053" w:type="pct"/>
            <w:gridSpan w:val="3"/>
            <w:vAlign w:val="center"/>
          </w:tcPr>
          <w:p w:rsidR="00EE56C0" w:rsidRDefault="000F36A1">
            <w:pPr>
              <w:pStyle w:val="afa"/>
              <w:rPr>
                <w:u w:val="single"/>
              </w:rPr>
            </w:pPr>
            <w:r>
              <w:rPr>
                <w:u w:val="single"/>
              </w:rPr>
              <w:t>T</w:t>
            </w:r>
            <w:r>
              <w:rPr>
                <w:rFonts w:hint="eastAsia"/>
                <w:u w:val="single"/>
              </w:rPr>
              <w:t xml:space="preserve">P </w:t>
            </w:r>
          </w:p>
        </w:tc>
        <w:tc>
          <w:tcPr>
            <w:tcW w:w="684" w:type="pct"/>
            <w:vAlign w:val="center"/>
          </w:tcPr>
          <w:p w:rsidR="00EE56C0" w:rsidRDefault="000F36A1">
            <w:pPr>
              <w:pStyle w:val="afa"/>
              <w:rPr>
                <w:rFonts w:eastAsia="宋体"/>
                <w:u w:val="single"/>
              </w:rPr>
            </w:pPr>
            <w:r>
              <w:rPr>
                <w:u w:val="single"/>
              </w:rPr>
              <w:t>0.0063</w:t>
            </w:r>
          </w:p>
        </w:tc>
        <w:tc>
          <w:tcPr>
            <w:tcW w:w="769" w:type="pct"/>
            <w:vAlign w:val="center"/>
          </w:tcPr>
          <w:p w:rsidR="00EE56C0" w:rsidRDefault="000F36A1">
            <w:pPr>
              <w:pStyle w:val="afa"/>
              <w:rPr>
                <w:rFonts w:eastAsia="宋体"/>
                <w:u w:val="single"/>
              </w:rPr>
            </w:pPr>
            <w:r>
              <w:rPr>
                <w:u w:val="single"/>
              </w:rPr>
              <w:t>0.0036</w:t>
            </w:r>
          </w:p>
        </w:tc>
        <w:tc>
          <w:tcPr>
            <w:tcW w:w="726" w:type="pct"/>
            <w:vAlign w:val="center"/>
          </w:tcPr>
          <w:p w:rsidR="00EE56C0" w:rsidRDefault="000F36A1">
            <w:pPr>
              <w:pStyle w:val="afa"/>
              <w:rPr>
                <w:rFonts w:eastAsia="宋体"/>
                <w:u w:val="single"/>
              </w:rPr>
            </w:pPr>
            <w:r>
              <w:rPr>
                <w:u w:val="single"/>
              </w:rPr>
              <w:t>0.0028</w:t>
            </w:r>
          </w:p>
        </w:tc>
        <w:tc>
          <w:tcPr>
            <w:tcW w:w="726" w:type="pct"/>
            <w:vAlign w:val="center"/>
          </w:tcPr>
          <w:p w:rsidR="00EE56C0" w:rsidRDefault="000F36A1">
            <w:pPr>
              <w:pStyle w:val="afa"/>
              <w:rPr>
                <w:rFonts w:eastAsia="宋体"/>
                <w:u w:val="single"/>
              </w:rPr>
            </w:pPr>
            <w:r>
              <w:rPr>
                <w:u w:val="single"/>
              </w:rPr>
              <w:t>0.0008</w:t>
            </w:r>
          </w:p>
        </w:tc>
        <w:tc>
          <w:tcPr>
            <w:tcW w:w="721" w:type="pct"/>
            <w:vAlign w:val="center"/>
          </w:tcPr>
          <w:p w:rsidR="00EE56C0" w:rsidRDefault="000F36A1">
            <w:pPr>
              <w:pStyle w:val="afa"/>
              <w:rPr>
                <w:rFonts w:ascii="宋体" w:eastAsia="宋体" w:hAnsi="宋体" w:cs="宋体"/>
                <w:u w:val="single"/>
              </w:rPr>
            </w:pPr>
            <w:r>
              <w:rPr>
                <w:rFonts w:hint="eastAsia"/>
                <w:u w:val="single"/>
              </w:rPr>
              <w:t>0.0008</w:t>
            </w:r>
          </w:p>
        </w:tc>
      </w:tr>
      <w:tr w:rsidR="00EE56C0">
        <w:trPr>
          <w:trHeight w:val="397"/>
          <w:jc w:val="center"/>
        </w:trPr>
        <w:tc>
          <w:tcPr>
            <w:tcW w:w="321" w:type="pct"/>
            <w:vMerge/>
            <w:vAlign w:val="center"/>
          </w:tcPr>
          <w:p w:rsidR="00EE56C0" w:rsidRDefault="00EE56C0">
            <w:pPr>
              <w:pStyle w:val="afa"/>
              <w:rPr>
                <w:u w:val="single"/>
              </w:rPr>
            </w:pPr>
          </w:p>
        </w:tc>
        <w:tc>
          <w:tcPr>
            <w:tcW w:w="1053" w:type="pct"/>
            <w:gridSpan w:val="3"/>
            <w:vAlign w:val="center"/>
          </w:tcPr>
          <w:p w:rsidR="00EE56C0" w:rsidRDefault="000F36A1">
            <w:pPr>
              <w:pStyle w:val="afa"/>
              <w:rPr>
                <w:u w:val="single"/>
              </w:rPr>
            </w:pPr>
            <w:r>
              <w:rPr>
                <w:rFonts w:hint="eastAsia"/>
                <w:u w:val="single"/>
              </w:rPr>
              <w:t>TN</w:t>
            </w:r>
          </w:p>
        </w:tc>
        <w:tc>
          <w:tcPr>
            <w:tcW w:w="684" w:type="pct"/>
            <w:vAlign w:val="center"/>
          </w:tcPr>
          <w:p w:rsidR="00EE56C0" w:rsidRDefault="000F36A1">
            <w:pPr>
              <w:pStyle w:val="afa"/>
              <w:rPr>
                <w:rFonts w:eastAsia="宋体"/>
                <w:u w:val="single"/>
              </w:rPr>
            </w:pPr>
            <w:r>
              <w:rPr>
                <w:u w:val="single"/>
              </w:rPr>
              <w:t>0.0466</w:t>
            </w:r>
          </w:p>
        </w:tc>
        <w:tc>
          <w:tcPr>
            <w:tcW w:w="769" w:type="pct"/>
            <w:vAlign w:val="center"/>
          </w:tcPr>
          <w:p w:rsidR="00EE56C0" w:rsidRDefault="000F36A1">
            <w:pPr>
              <w:pStyle w:val="afa"/>
              <w:rPr>
                <w:rFonts w:eastAsia="宋体"/>
                <w:u w:val="single"/>
              </w:rPr>
            </w:pPr>
            <w:r>
              <w:rPr>
                <w:u w:val="single"/>
              </w:rPr>
              <w:t>0.031</w:t>
            </w:r>
            <w:r>
              <w:rPr>
                <w:rFonts w:hint="eastAsia"/>
                <w:u w:val="single"/>
              </w:rPr>
              <w:t>3</w:t>
            </w:r>
          </w:p>
        </w:tc>
        <w:tc>
          <w:tcPr>
            <w:tcW w:w="726" w:type="pct"/>
            <w:vAlign w:val="center"/>
          </w:tcPr>
          <w:p w:rsidR="00EE56C0" w:rsidRDefault="000F36A1">
            <w:pPr>
              <w:pStyle w:val="afa"/>
              <w:rPr>
                <w:rFonts w:eastAsia="宋体"/>
                <w:u w:val="single"/>
              </w:rPr>
            </w:pPr>
            <w:r>
              <w:rPr>
                <w:u w:val="single"/>
              </w:rPr>
              <w:t>0.015</w:t>
            </w:r>
            <w:r>
              <w:rPr>
                <w:rFonts w:hint="eastAsia"/>
                <w:u w:val="single"/>
              </w:rPr>
              <w:t>3</w:t>
            </w:r>
          </w:p>
        </w:tc>
        <w:tc>
          <w:tcPr>
            <w:tcW w:w="726" w:type="pct"/>
            <w:vAlign w:val="center"/>
          </w:tcPr>
          <w:p w:rsidR="00EE56C0" w:rsidRDefault="000F36A1">
            <w:pPr>
              <w:pStyle w:val="afa"/>
              <w:rPr>
                <w:rFonts w:eastAsia="宋体"/>
                <w:u w:val="single"/>
              </w:rPr>
            </w:pPr>
            <w:r>
              <w:rPr>
                <w:u w:val="single"/>
              </w:rPr>
              <w:t>0.0310</w:t>
            </w:r>
          </w:p>
        </w:tc>
        <w:tc>
          <w:tcPr>
            <w:tcW w:w="721" w:type="pct"/>
            <w:vAlign w:val="center"/>
          </w:tcPr>
          <w:p w:rsidR="00EE56C0" w:rsidRDefault="000F36A1">
            <w:pPr>
              <w:pStyle w:val="afa"/>
              <w:rPr>
                <w:rFonts w:ascii="宋体" w:eastAsia="宋体" w:hAnsi="宋体" w:cs="宋体"/>
                <w:u w:val="single"/>
              </w:rPr>
            </w:pPr>
            <w:r>
              <w:rPr>
                <w:u w:val="single"/>
              </w:rPr>
              <w:t>0.0310</w:t>
            </w:r>
          </w:p>
        </w:tc>
      </w:tr>
      <w:tr w:rsidR="00EE56C0">
        <w:trPr>
          <w:trHeight w:val="397"/>
          <w:jc w:val="center"/>
        </w:trPr>
        <w:tc>
          <w:tcPr>
            <w:tcW w:w="321" w:type="pct"/>
            <w:vMerge/>
            <w:vAlign w:val="center"/>
          </w:tcPr>
          <w:p w:rsidR="00EE56C0" w:rsidRDefault="00EE56C0">
            <w:pPr>
              <w:pStyle w:val="afa"/>
              <w:rPr>
                <w:u w:val="single"/>
              </w:rPr>
            </w:pPr>
          </w:p>
        </w:tc>
        <w:tc>
          <w:tcPr>
            <w:tcW w:w="1053" w:type="pct"/>
            <w:gridSpan w:val="3"/>
            <w:vAlign w:val="center"/>
          </w:tcPr>
          <w:p w:rsidR="00EE56C0" w:rsidRDefault="000F36A1">
            <w:pPr>
              <w:pStyle w:val="afa"/>
              <w:rPr>
                <w:u w:val="single"/>
              </w:rPr>
            </w:pPr>
            <w:r>
              <w:rPr>
                <w:u w:val="single"/>
              </w:rPr>
              <w:t>水量（</w:t>
            </w:r>
            <w:r>
              <w:rPr>
                <w:u w:val="single"/>
              </w:rPr>
              <w:t>t/a</w:t>
            </w:r>
            <w:r>
              <w:rPr>
                <w:u w:val="single"/>
              </w:rPr>
              <w:t>）</w:t>
            </w:r>
          </w:p>
        </w:tc>
        <w:tc>
          <w:tcPr>
            <w:tcW w:w="684" w:type="pct"/>
            <w:vAlign w:val="center"/>
          </w:tcPr>
          <w:p w:rsidR="00EE56C0" w:rsidRDefault="000F36A1">
            <w:pPr>
              <w:pStyle w:val="afa"/>
              <w:rPr>
                <w:rFonts w:eastAsia="宋体"/>
                <w:u w:val="single"/>
              </w:rPr>
            </w:pPr>
            <w:r>
              <w:rPr>
                <w:u w:val="single"/>
              </w:rPr>
              <w:t>2067</w:t>
            </w:r>
          </w:p>
        </w:tc>
        <w:tc>
          <w:tcPr>
            <w:tcW w:w="769" w:type="pct"/>
            <w:vAlign w:val="center"/>
          </w:tcPr>
          <w:p w:rsidR="00EE56C0" w:rsidRDefault="000F36A1">
            <w:pPr>
              <w:pStyle w:val="afa"/>
              <w:rPr>
                <w:rFonts w:eastAsia="宋体"/>
                <w:u w:val="single"/>
              </w:rPr>
            </w:pPr>
            <w:r>
              <w:rPr>
                <w:u w:val="single"/>
              </w:rPr>
              <w:t>0</w:t>
            </w:r>
          </w:p>
        </w:tc>
        <w:tc>
          <w:tcPr>
            <w:tcW w:w="726" w:type="pct"/>
            <w:vAlign w:val="center"/>
          </w:tcPr>
          <w:p w:rsidR="00EE56C0" w:rsidRDefault="000F36A1">
            <w:pPr>
              <w:pStyle w:val="afa"/>
              <w:rPr>
                <w:rFonts w:eastAsia="宋体"/>
                <w:u w:val="single"/>
              </w:rPr>
            </w:pPr>
            <w:r>
              <w:rPr>
                <w:u w:val="single"/>
              </w:rPr>
              <w:t>2067</w:t>
            </w:r>
          </w:p>
        </w:tc>
        <w:tc>
          <w:tcPr>
            <w:tcW w:w="726" w:type="pct"/>
            <w:vAlign w:val="center"/>
          </w:tcPr>
          <w:p w:rsidR="00EE56C0" w:rsidRDefault="000F36A1">
            <w:pPr>
              <w:pStyle w:val="afa"/>
              <w:rPr>
                <w:rFonts w:eastAsia="宋体"/>
                <w:u w:val="single"/>
              </w:rPr>
            </w:pPr>
            <w:r>
              <w:rPr>
                <w:u w:val="single"/>
              </w:rPr>
              <w:t>2067</w:t>
            </w:r>
          </w:p>
        </w:tc>
        <w:tc>
          <w:tcPr>
            <w:tcW w:w="721" w:type="pct"/>
            <w:vAlign w:val="center"/>
          </w:tcPr>
          <w:p w:rsidR="00EE56C0" w:rsidRDefault="000F36A1">
            <w:pPr>
              <w:pStyle w:val="afa"/>
              <w:rPr>
                <w:u w:val="single"/>
              </w:rPr>
            </w:pPr>
            <w:r>
              <w:rPr>
                <w:rFonts w:hint="eastAsia"/>
                <w:u w:val="single"/>
              </w:rPr>
              <w:t>/</w:t>
            </w:r>
          </w:p>
        </w:tc>
      </w:tr>
      <w:tr w:rsidR="00EE56C0">
        <w:trPr>
          <w:trHeight w:val="397"/>
          <w:jc w:val="center"/>
        </w:trPr>
        <w:tc>
          <w:tcPr>
            <w:tcW w:w="321" w:type="pct"/>
            <w:vMerge w:val="restart"/>
            <w:tcBorders>
              <w:top w:val="single" w:sz="4" w:space="0" w:color="auto"/>
            </w:tcBorders>
            <w:vAlign w:val="center"/>
          </w:tcPr>
          <w:p w:rsidR="00EE56C0" w:rsidRDefault="000F36A1">
            <w:pPr>
              <w:pStyle w:val="afa"/>
              <w:rPr>
                <w:u w:val="single"/>
              </w:rPr>
            </w:pPr>
            <w:r>
              <w:rPr>
                <w:u w:val="single"/>
              </w:rPr>
              <w:t>废气</w:t>
            </w:r>
          </w:p>
        </w:tc>
        <w:tc>
          <w:tcPr>
            <w:tcW w:w="241" w:type="pct"/>
            <w:vMerge w:val="restart"/>
            <w:tcBorders>
              <w:top w:val="single" w:sz="4" w:space="0" w:color="auto"/>
              <w:right w:val="single" w:sz="4" w:space="0" w:color="auto"/>
            </w:tcBorders>
            <w:vAlign w:val="center"/>
          </w:tcPr>
          <w:p w:rsidR="00EE56C0" w:rsidRDefault="000F36A1">
            <w:pPr>
              <w:pStyle w:val="afa"/>
              <w:rPr>
                <w:u w:val="single"/>
              </w:rPr>
            </w:pPr>
            <w:r>
              <w:rPr>
                <w:rFonts w:hint="eastAsia"/>
                <w:u w:val="single"/>
              </w:rPr>
              <w:t>有组织</w:t>
            </w:r>
          </w:p>
        </w:tc>
        <w:tc>
          <w:tcPr>
            <w:tcW w:w="332" w:type="pct"/>
            <w:vMerge w:val="restart"/>
            <w:tcBorders>
              <w:left w:val="single" w:sz="4" w:space="0" w:color="auto"/>
              <w:right w:val="single" w:sz="4" w:space="0" w:color="auto"/>
            </w:tcBorders>
            <w:vAlign w:val="center"/>
          </w:tcPr>
          <w:p w:rsidR="00EE56C0" w:rsidRDefault="000F36A1">
            <w:pPr>
              <w:pStyle w:val="afa"/>
              <w:rPr>
                <w:u w:val="single"/>
              </w:rPr>
            </w:pPr>
            <w:r>
              <w:rPr>
                <w:rFonts w:hint="eastAsia"/>
                <w:u w:val="single"/>
              </w:rPr>
              <w:t>VOCs</w:t>
            </w:r>
          </w:p>
        </w:tc>
        <w:tc>
          <w:tcPr>
            <w:tcW w:w="480" w:type="pct"/>
            <w:tcBorders>
              <w:left w:val="single" w:sz="4" w:space="0" w:color="auto"/>
            </w:tcBorders>
            <w:vAlign w:val="center"/>
          </w:tcPr>
          <w:p w:rsidR="00EE56C0" w:rsidRDefault="000F36A1">
            <w:pPr>
              <w:pStyle w:val="afa"/>
              <w:rPr>
                <w:u w:val="single"/>
              </w:rPr>
            </w:pPr>
            <w:r>
              <w:rPr>
                <w:rFonts w:hint="eastAsia"/>
                <w:u w:val="single"/>
              </w:rPr>
              <w:t>酚</w:t>
            </w:r>
          </w:p>
        </w:tc>
        <w:tc>
          <w:tcPr>
            <w:tcW w:w="684" w:type="pct"/>
            <w:vAlign w:val="center"/>
          </w:tcPr>
          <w:p w:rsidR="00EE56C0" w:rsidRDefault="000F36A1">
            <w:pPr>
              <w:pStyle w:val="afa"/>
              <w:rPr>
                <w:rFonts w:ascii="宋体" w:eastAsia="宋体" w:hAnsi="宋体" w:cs="宋体"/>
              </w:rPr>
            </w:pPr>
            <w:r>
              <w:rPr>
                <w:rFonts w:hint="eastAsia"/>
              </w:rPr>
              <w:t>500.94</w:t>
            </w:r>
          </w:p>
        </w:tc>
        <w:tc>
          <w:tcPr>
            <w:tcW w:w="769" w:type="pct"/>
            <w:vAlign w:val="center"/>
          </w:tcPr>
          <w:p w:rsidR="00EE56C0" w:rsidRDefault="000F36A1">
            <w:pPr>
              <w:pStyle w:val="afa"/>
              <w:rPr>
                <w:rFonts w:ascii="宋体" w:eastAsia="宋体" w:hAnsi="宋体" w:cs="宋体"/>
              </w:rPr>
            </w:pPr>
            <w:r>
              <w:rPr>
                <w:rFonts w:hint="eastAsia"/>
              </w:rPr>
              <w:t xml:space="preserve">500.8286 </w:t>
            </w:r>
          </w:p>
        </w:tc>
        <w:tc>
          <w:tcPr>
            <w:tcW w:w="726" w:type="pct"/>
            <w:vAlign w:val="center"/>
          </w:tcPr>
          <w:p w:rsidR="00EE56C0" w:rsidRDefault="000F36A1">
            <w:pPr>
              <w:pStyle w:val="afa"/>
              <w:rPr>
                <w:rFonts w:ascii="宋体" w:eastAsia="宋体" w:hAnsi="宋体" w:cs="宋体"/>
              </w:rPr>
            </w:pPr>
            <w:r>
              <w:rPr>
                <w:rFonts w:hint="eastAsia"/>
              </w:rPr>
              <w:t xml:space="preserve">0.1114 </w:t>
            </w:r>
          </w:p>
        </w:tc>
        <w:tc>
          <w:tcPr>
            <w:tcW w:w="726" w:type="pct"/>
            <w:vAlign w:val="center"/>
          </w:tcPr>
          <w:p w:rsidR="00EE56C0" w:rsidRDefault="000F36A1">
            <w:pPr>
              <w:pStyle w:val="afa"/>
              <w:rPr>
                <w:rFonts w:ascii="宋体" w:eastAsia="宋体" w:hAnsi="宋体" w:cs="宋体"/>
              </w:rPr>
            </w:pPr>
            <w:r>
              <w:rPr>
                <w:rFonts w:hint="eastAsia"/>
              </w:rPr>
              <w:t xml:space="preserve">0.1114 </w:t>
            </w:r>
          </w:p>
        </w:tc>
        <w:tc>
          <w:tcPr>
            <w:tcW w:w="721" w:type="pct"/>
            <w:vAlign w:val="center"/>
          </w:tcPr>
          <w:p w:rsidR="00EE56C0" w:rsidRDefault="000F36A1">
            <w:pPr>
              <w:pStyle w:val="afa"/>
              <w:rPr>
                <w:rFonts w:ascii="宋体" w:eastAsia="宋体" w:hAnsi="宋体" w:cs="宋体"/>
              </w:rPr>
            </w:pPr>
            <w:r>
              <w:rPr>
                <w:rFonts w:hint="eastAsia"/>
              </w:rPr>
              <w:t xml:space="preserve">0.1114 </w:t>
            </w:r>
          </w:p>
        </w:tc>
      </w:tr>
      <w:tr w:rsidR="00EE56C0">
        <w:trPr>
          <w:trHeight w:val="397"/>
          <w:jc w:val="center"/>
        </w:trPr>
        <w:tc>
          <w:tcPr>
            <w:tcW w:w="321" w:type="pct"/>
            <w:vMerge/>
            <w:vAlign w:val="center"/>
          </w:tcPr>
          <w:p w:rsidR="00EE56C0" w:rsidRDefault="00EE56C0">
            <w:pPr>
              <w:pStyle w:val="afa"/>
              <w:rPr>
                <w:u w:val="single"/>
              </w:rPr>
            </w:pPr>
          </w:p>
        </w:tc>
        <w:tc>
          <w:tcPr>
            <w:tcW w:w="241" w:type="pct"/>
            <w:vMerge/>
            <w:tcBorders>
              <w:right w:val="single" w:sz="4" w:space="0" w:color="auto"/>
            </w:tcBorders>
            <w:vAlign w:val="center"/>
          </w:tcPr>
          <w:p w:rsidR="00EE56C0" w:rsidRDefault="00EE56C0">
            <w:pPr>
              <w:pStyle w:val="afa"/>
              <w:rPr>
                <w:u w:val="single"/>
              </w:rPr>
            </w:pPr>
          </w:p>
        </w:tc>
        <w:tc>
          <w:tcPr>
            <w:tcW w:w="332" w:type="pct"/>
            <w:vMerge/>
            <w:tcBorders>
              <w:left w:val="single" w:sz="4" w:space="0" w:color="auto"/>
              <w:right w:val="single" w:sz="4" w:space="0" w:color="auto"/>
            </w:tcBorders>
            <w:vAlign w:val="center"/>
          </w:tcPr>
          <w:p w:rsidR="00EE56C0" w:rsidRDefault="00EE56C0">
            <w:pPr>
              <w:pStyle w:val="afa"/>
              <w:rPr>
                <w:u w:val="single"/>
              </w:rPr>
            </w:pPr>
          </w:p>
        </w:tc>
        <w:tc>
          <w:tcPr>
            <w:tcW w:w="480" w:type="pct"/>
            <w:tcBorders>
              <w:left w:val="single" w:sz="4" w:space="0" w:color="auto"/>
            </w:tcBorders>
            <w:vAlign w:val="center"/>
          </w:tcPr>
          <w:p w:rsidR="00EE56C0" w:rsidRDefault="000F36A1">
            <w:pPr>
              <w:pStyle w:val="afa"/>
              <w:rPr>
                <w:u w:val="single"/>
              </w:rPr>
            </w:pPr>
            <w:r>
              <w:rPr>
                <w:u w:val="single"/>
              </w:rPr>
              <w:t>非甲烷总烃</w:t>
            </w:r>
          </w:p>
        </w:tc>
        <w:tc>
          <w:tcPr>
            <w:tcW w:w="684" w:type="pct"/>
            <w:vAlign w:val="center"/>
          </w:tcPr>
          <w:p w:rsidR="00EE56C0" w:rsidRDefault="000F36A1">
            <w:pPr>
              <w:pStyle w:val="afa"/>
              <w:rPr>
                <w:rFonts w:ascii="宋体" w:eastAsia="宋体" w:hAnsi="宋体" w:cs="宋体"/>
              </w:rPr>
            </w:pPr>
            <w:r>
              <w:rPr>
                <w:rFonts w:hint="eastAsia"/>
              </w:rPr>
              <w:t>314.55</w:t>
            </w:r>
          </w:p>
        </w:tc>
        <w:tc>
          <w:tcPr>
            <w:tcW w:w="769" w:type="pct"/>
            <w:vAlign w:val="center"/>
          </w:tcPr>
          <w:p w:rsidR="00EE56C0" w:rsidRDefault="000F36A1">
            <w:pPr>
              <w:pStyle w:val="afa"/>
              <w:rPr>
                <w:rFonts w:ascii="宋体" w:eastAsia="宋体" w:hAnsi="宋体" w:cs="宋体"/>
              </w:rPr>
            </w:pPr>
            <w:r>
              <w:rPr>
                <w:rFonts w:hint="eastAsia"/>
              </w:rPr>
              <w:t xml:space="preserve">314.3419 </w:t>
            </w:r>
          </w:p>
        </w:tc>
        <w:tc>
          <w:tcPr>
            <w:tcW w:w="726" w:type="pct"/>
            <w:vAlign w:val="center"/>
          </w:tcPr>
          <w:p w:rsidR="00EE56C0" w:rsidRDefault="000F36A1">
            <w:pPr>
              <w:pStyle w:val="afa"/>
              <w:rPr>
                <w:rFonts w:ascii="宋体" w:eastAsia="宋体" w:hAnsi="宋体" w:cs="宋体"/>
              </w:rPr>
            </w:pPr>
            <w:r>
              <w:rPr>
                <w:rFonts w:hint="eastAsia"/>
              </w:rPr>
              <w:t xml:space="preserve">0.2081 </w:t>
            </w:r>
          </w:p>
        </w:tc>
        <w:tc>
          <w:tcPr>
            <w:tcW w:w="726" w:type="pct"/>
            <w:vAlign w:val="center"/>
          </w:tcPr>
          <w:p w:rsidR="00EE56C0" w:rsidRDefault="000F36A1">
            <w:pPr>
              <w:pStyle w:val="afa"/>
              <w:rPr>
                <w:rFonts w:ascii="宋体" w:eastAsia="宋体" w:hAnsi="宋体" w:cs="宋体"/>
              </w:rPr>
            </w:pPr>
            <w:r>
              <w:rPr>
                <w:rFonts w:hint="eastAsia"/>
              </w:rPr>
              <w:t xml:space="preserve">0.2081 </w:t>
            </w:r>
          </w:p>
        </w:tc>
        <w:tc>
          <w:tcPr>
            <w:tcW w:w="721" w:type="pct"/>
            <w:vAlign w:val="center"/>
          </w:tcPr>
          <w:p w:rsidR="00EE56C0" w:rsidRDefault="000F36A1">
            <w:pPr>
              <w:pStyle w:val="afa"/>
              <w:rPr>
                <w:rFonts w:ascii="宋体" w:eastAsia="宋体" w:hAnsi="宋体" w:cs="宋体"/>
              </w:rPr>
            </w:pPr>
            <w:r>
              <w:rPr>
                <w:rFonts w:hint="eastAsia"/>
              </w:rPr>
              <w:t xml:space="preserve">0.2081 </w:t>
            </w:r>
          </w:p>
        </w:tc>
      </w:tr>
      <w:tr w:rsidR="00EE56C0">
        <w:trPr>
          <w:trHeight w:val="397"/>
          <w:jc w:val="center"/>
        </w:trPr>
        <w:tc>
          <w:tcPr>
            <w:tcW w:w="321" w:type="pct"/>
            <w:vMerge/>
            <w:vAlign w:val="center"/>
          </w:tcPr>
          <w:p w:rsidR="00EE56C0" w:rsidRDefault="00EE56C0">
            <w:pPr>
              <w:pStyle w:val="afa"/>
              <w:rPr>
                <w:u w:val="single"/>
              </w:rPr>
            </w:pPr>
          </w:p>
        </w:tc>
        <w:tc>
          <w:tcPr>
            <w:tcW w:w="241" w:type="pct"/>
            <w:vMerge/>
            <w:tcBorders>
              <w:right w:val="single" w:sz="4" w:space="0" w:color="auto"/>
            </w:tcBorders>
            <w:vAlign w:val="center"/>
          </w:tcPr>
          <w:p w:rsidR="00EE56C0" w:rsidRDefault="00EE56C0">
            <w:pPr>
              <w:pStyle w:val="afa"/>
              <w:rPr>
                <w:u w:val="single"/>
              </w:rPr>
            </w:pPr>
          </w:p>
        </w:tc>
        <w:tc>
          <w:tcPr>
            <w:tcW w:w="332" w:type="pct"/>
            <w:vMerge/>
            <w:tcBorders>
              <w:left w:val="single" w:sz="4" w:space="0" w:color="auto"/>
              <w:right w:val="single" w:sz="4" w:space="0" w:color="auto"/>
            </w:tcBorders>
            <w:vAlign w:val="center"/>
          </w:tcPr>
          <w:p w:rsidR="00EE56C0" w:rsidRDefault="00EE56C0">
            <w:pPr>
              <w:pStyle w:val="afa"/>
              <w:rPr>
                <w:u w:val="single"/>
              </w:rPr>
            </w:pPr>
          </w:p>
        </w:tc>
        <w:tc>
          <w:tcPr>
            <w:tcW w:w="480" w:type="pct"/>
            <w:tcBorders>
              <w:left w:val="single" w:sz="4" w:space="0" w:color="auto"/>
            </w:tcBorders>
            <w:vAlign w:val="center"/>
          </w:tcPr>
          <w:p w:rsidR="00EE56C0" w:rsidRDefault="000F36A1">
            <w:pPr>
              <w:pStyle w:val="afa"/>
              <w:rPr>
                <w:u w:val="single"/>
              </w:rPr>
            </w:pPr>
            <w:r>
              <w:rPr>
                <w:rFonts w:hint="eastAsia"/>
                <w:u w:val="single"/>
              </w:rPr>
              <w:t>二甲苯</w:t>
            </w:r>
          </w:p>
        </w:tc>
        <w:tc>
          <w:tcPr>
            <w:tcW w:w="684" w:type="pct"/>
            <w:vAlign w:val="center"/>
          </w:tcPr>
          <w:p w:rsidR="00EE56C0" w:rsidRDefault="000F36A1">
            <w:pPr>
              <w:pStyle w:val="afa"/>
              <w:rPr>
                <w:rFonts w:ascii="宋体" w:eastAsia="宋体" w:hAnsi="宋体" w:cs="宋体"/>
              </w:rPr>
            </w:pPr>
            <w:r>
              <w:rPr>
                <w:rFonts w:hint="eastAsia"/>
              </w:rPr>
              <w:t>74.04</w:t>
            </w:r>
          </w:p>
        </w:tc>
        <w:tc>
          <w:tcPr>
            <w:tcW w:w="769" w:type="pct"/>
            <w:vAlign w:val="center"/>
          </w:tcPr>
          <w:p w:rsidR="00EE56C0" w:rsidRDefault="000F36A1">
            <w:pPr>
              <w:pStyle w:val="afa"/>
              <w:rPr>
                <w:rFonts w:ascii="宋体" w:eastAsia="宋体" w:hAnsi="宋体" w:cs="宋体"/>
              </w:rPr>
            </w:pPr>
            <w:r>
              <w:rPr>
                <w:rFonts w:hint="eastAsia"/>
              </w:rPr>
              <w:t xml:space="preserve">73.6320 </w:t>
            </w:r>
          </w:p>
        </w:tc>
        <w:tc>
          <w:tcPr>
            <w:tcW w:w="726" w:type="pct"/>
            <w:vAlign w:val="center"/>
          </w:tcPr>
          <w:p w:rsidR="00EE56C0" w:rsidRDefault="000F36A1">
            <w:pPr>
              <w:pStyle w:val="afa"/>
              <w:rPr>
                <w:rFonts w:ascii="宋体" w:eastAsia="宋体" w:hAnsi="宋体" w:cs="宋体"/>
              </w:rPr>
            </w:pPr>
            <w:r>
              <w:rPr>
                <w:rFonts w:hint="eastAsia"/>
              </w:rPr>
              <w:t xml:space="preserve">0.4080 </w:t>
            </w:r>
          </w:p>
        </w:tc>
        <w:tc>
          <w:tcPr>
            <w:tcW w:w="726" w:type="pct"/>
            <w:vAlign w:val="center"/>
          </w:tcPr>
          <w:p w:rsidR="00EE56C0" w:rsidRDefault="000F36A1">
            <w:pPr>
              <w:pStyle w:val="afa"/>
              <w:rPr>
                <w:rFonts w:ascii="宋体" w:eastAsia="宋体" w:hAnsi="宋体" w:cs="宋体"/>
              </w:rPr>
            </w:pPr>
            <w:r>
              <w:rPr>
                <w:rFonts w:hint="eastAsia"/>
              </w:rPr>
              <w:t xml:space="preserve">0.4080 </w:t>
            </w:r>
          </w:p>
        </w:tc>
        <w:tc>
          <w:tcPr>
            <w:tcW w:w="721" w:type="pct"/>
            <w:vAlign w:val="center"/>
          </w:tcPr>
          <w:p w:rsidR="00EE56C0" w:rsidRDefault="000F36A1">
            <w:pPr>
              <w:pStyle w:val="afa"/>
              <w:rPr>
                <w:rFonts w:ascii="宋体" w:eastAsia="宋体" w:hAnsi="宋体" w:cs="宋体"/>
              </w:rPr>
            </w:pPr>
            <w:r>
              <w:rPr>
                <w:rFonts w:hint="eastAsia"/>
              </w:rPr>
              <w:t xml:space="preserve">0.4080 </w:t>
            </w:r>
          </w:p>
        </w:tc>
      </w:tr>
      <w:tr w:rsidR="00EE56C0">
        <w:trPr>
          <w:trHeight w:val="397"/>
          <w:jc w:val="center"/>
        </w:trPr>
        <w:tc>
          <w:tcPr>
            <w:tcW w:w="321" w:type="pct"/>
            <w:vMerge/>
            <w:vAlign w:val="center"/>
          </w:tcPr>
          <w:p w:rsidR="00EE56C0" w:rsidRDefault="00EE56C0">
            <w:pPr>
              <w:pStyle w:val="afa"/>
              <w:rPr>
                <w:u w:val="single"/>
              </w:rPr>
            </w:pPr>
          </w:p>
        </w:tc>
        <w:tc>
          <w:tcPr>
            <w:tcW w:w="241" w:type="pct"/>
            <w:vMerge/>
            <w:tcBorders>
              <w:right w:val="single" w:sz="4" w:space="0" w:color="auto"/>
            </w:tcBorders>
            <w:vAlign w:val="center"/>
          </w:tcPr>
          <w:p w:rsidR="00EE56C0" w:rsidRDefault="00EE56C0">
            <w:pPr>
              <w:pStyle w:val="afa"/>
              <w:rPr>
                <w:u w:val="single"/>
              </w:rPr>
            </w:pPr>
          </w:p>
        </w:tc>
        <w:tc>
          <w:tcPr>
            <w:tcW w:w="332" w:type="pct"/>
            <w:vMerge/>
            <w:tcBorders>
              <w:left w:val="single" w:sz="4" w:space="0" w:color="auto"/>
              <w:right w:val="single" w:sz="4" w:space="0" w:color="auto"/>
            </w:tcBorders>
            <w:vAlign w:val="center"/>
          </w:tcPr>
          <w:p w:rsidR="00EE56C0" w:rsidRDefault="00EE56C0">
            <w:pPr>
              <w:pStyle w:val="afa"/>
              <w:rPr>
                <w:u w:val="single"/>
              </w:rPr>
            </w:pPr>
          </w:p>
        </w:tc>
        <w:tc>
          <w:tcPr>
            <w:tcW w:w="480" w:type="pct"/>
            <w:tcBorders>
              <w:left w:val="single" w:sz="4" w:space="0" w:color="auto"/>
            </w:tcBorders>
            <w:vAlign w:val="center"/>
          </w:tcPr>
          <w:p w:rsidR="00EE56C0" w:rsidRDefault="000F36A1">
            <w:pPr>
              <w:pStyle w:val="afa"/>
              <w:rPr>
                <w:u w:val="single"/>
              </w:rPr>
            </w:pPr>
            <w:r>
              <w:rPr>
                <w:rFonts w:hint="eastAsia"/>
                <w:u w:val="single"/>
              </w:rPr>
              <w:t>甲苯</w:t>
            </w:r>
          </w:p>
        </w:tc>
        <w:tc>
          <w:tcPr>
            <w:tcW w:w="684" w:type="pct"/>
            <w:vAlign w:val="center"/>
          </w:tcPr>
          <w:p w:rsidR="00EE56C0" w:rsidRDefault="000F36A1">
            <w:pPr>
              <w:pStyle w:val="afa"/>
              <w:rPr>
                <w:rFonts w:ascii="宋体" w:eastAsia="宋体" w:hAnsi="宋体" w:cs="宋体"/>
              </w:rPr>
            </w:pPr>
            <w:r>
              <w:rPr>
                <w:rFonts w:hint="eastAsia"/>
              </w:rPr>
              <w:t>26.37</w:t>
            </w:r>
          </w:p>
        </w:tc>
        <w:tc>
          <w:tcPr>
            <w:tcW w:w="769" w:type="pct"/>
            <w:vAlign w:val="center"/>
          </w:tcPr>
          <w:p w:rsidR="00EE56C0" w:rsidRDefault="000F36A1">
            <w:pPr>
              <w:pStyle w:val="afa"/>
              <w:rPr>
                <w:rFonts w:ascii="宋体" w:eastAsia="宋体" w:hAnsi="宋体" w:cs="宋体"/>
              </w:rPr>
            </w:pPr>
            <w:r>
              <w:rPr>
                <w:rFonts w:hint="eastAsia"/>
              </w:rPr>
              <w:t xml:space="preserve">25.9742 </w:t>
            </w:r>
          </w:p>
        </w:tc>
        <w:tc>
          <w:tcPr>
            <w:tcW w:w="726" w:type="pct"/>
            <w:vAlign w:val="center"/>
          </w:tcPr>
          <w:p w:rsidR="00EE56C0" w:rsidRDefault="000F36A1">
            <w:pPr>
              <w:pStyle w:val="afa"/>
              <w:rPr>
                <w:rFonts w:ascii="宋体" w:eastAsia="宋体" w:hAnsi="宋体" w:cs="宋体"/>
              </w:rPr>
            </w:pPr>
            <w:r>
              <w:rPr>
                <w:rFonts w:hint="eastAsia"/>
              </w:rPr>
              <w:t xml:space="preserve">0.3958 </w:t>
            </w:r>
          </w:p>
        </w:tc>
        <w:tc>
          <w:tcPr>
            <w:tcW w:w="726" w:type="pct"/>
            <w:vAlign w:val="center"/>
          </w:tcPr>
          <w:p w:rsidR="00EE56C0" w:rsidRDefault="000F36A1">
            <w:pPr>
              <w:pStyle w:val="afa"/>
              <w:rPr>
                <w:rFonts w:ascii="宋体" w:eastAsia="宋体" w:hAnsi="宋体" w:cs="宋体"/>
              </w:rPr>
            </w:pPr>
            <w:r>
              <w:rPr>
                <w:rFonts w:hint="eastAsia"/>
              </w:rPr>
              <w:t xml:space="preserve">0.3958 </w:t>
            </w:r>
          </w:p>
        </w:tc>
        <w:tc>
          <w:tcPr>
            <w:tcW w:w="721" w:type="pct"/>
            <w:vAlign w:val="center"/>
          </w:tcPr>
          <w:p w:rsidR="00EE56C0" w:rsidRDefault="000F36A1">
            <w:pPr>
              <w:pStyle w:val="afa"/>
              <w:rPr>
                <w:rFonts w:ascii="宋体" w:eastAsia="宋体" w:hAnsi="宋体" w:cs="宋体"/>
              </w:rPr>
            </w:pPr>
            <w:r>
              <w:rPr>
                <w:rFonts w:hint="eastAsia"/>
              </w:rPr>
              <w:t xml:space="preserve">0.3958 </w:t>
            </w:r>
          </w:p>
        </w:tc>
      </w:tr>
      <w:tr w:rsidR="00EE56C0">
        <w:trPr>
          <w:trHeight w:val="397"/>
          <w:jc w:val="center"/>
        </w:trPr>
        <w:tc>
          <w:tcPr>
            <w:tcW w:w="321" w:type="pct"/>
            <w:vMerge/>
            <w:vAlign w:val="center"/>
          </w:tcPr>
          <w:p w:rsidR="00EE56C0" w:rsidRDefault="00EE56C0">
            <w:pPr>
              <w:pStyle w:val="afa"/>
              <w:rPr>
                <w:u w:val="single"/>
              </w:rPr>
            </w:pPr>
          </w:p>
        </w:tc>
        <w:tc>
          <w:tcPr>
            <w:tcW w:w="241" w:type="pct"/>
            <w:vMerge/>
            <w:tcBorders>
              <w:right w:val="single" w:sz="4" w:space="0" w:color="auto"/>
            </w:tcBorders>
            <w:vAlign w:val="center"/>
          </w:tcPr>
          <w:p w:rsidR="00EE56C0" w:rsidRDefault="00EE56C0">
            <w:pPr>
              <w:pStyle w:val="afa"/>
              <w:rPr>
                <w:u w:val="single"/>
              </w:rPr>
            </w:pPr>
          </w:p>
        </w:tc>
        <w:tc>
          <w:tcPr>
            <w:tcW w:w="332" w:type="pct"/>
            <w:vMerge/>
            <w:tcBorders>
              <w:left w:val="single" w:sz="4" w:space="0" w:color="auto"/>
              <w:right w:val="single" w:sz="4" w:space="0" w:color="auto"/>
            </w:tcBorders>
            <w:vAlign w:val="center"/>
          </w:tcPr>
          <w:p w:rsidR="00EE56C0" w:rsidRDefault="00EE56C0">
            <w:pPr>
              <w:pStyle w:val="afa"/>
              <w:rPr>
                <w:highlight w:val="yellow"/>
                <w:u w:val="single"/>
              </w:rPr>
            </w:pPr>
          </w:p>
        </w:tc>
        <w:tc>
          <w:tcPr>
            <w:tcW w:w="480" w:type="pct"/>
            <w:tcBorders>
              <w:left w:val="single" w:sz="4" w:space="0" w:color="auto"/>
            </w:tcBorders>
            <w:vAlign w:val="center"/>
          </w:tcPr>
          <w:p w:rsidR="00EE56C0" w:rsidRDefault="000F36A1">
            <w:pPr>
              <w:pStyle w:val="afa"/>
              <w:rPr>
                <w:highlight w:val="yellow"/>
                <w:u w:val="single"/>
              </w:rPr>
            </w:pPr>
            <w:r>
              <w:rPr>
                <w:rFonts w:hint="eastAsia"/>
                <w:u w:val="single"/>
              </w:rPr>
              <w:t>苯</w:t>
            </w:r>
          </w:p>
        </w:tc>
        <w:tc>
          <w:tcPr>
            <w:tcW w:w="684" w:type="pct"/>
            <w:vAlign w:val="center"/>
          </w:tcPr>
          <w:p w:rsidR="00EE56C0" w:rsidRDefault="000F36A1">
            <w:pPr>
              <w:pStyle w:val="afa"/>
              <w:rPr>
                <w:rFonts w:ascii="宋体" w:eastAsia="宋体" w:hAnsi="宋体" w:cs="宋体"/>
              </w:rPr>
            </w:pPr>
            <w:r>
              <w:rPr>
                <w:rFonts w:hint="eastAsia"/>
              </w:rPr>
              <w:t>6.63</w:t>
            </w:r>
          </w:p>
        </w:tc>
        <w:tc>
          <w:tcPr>
            <w:tcW w:w="769" w:type="pct"/>
            <w:vAlign w:val="center"/>
          </w:tcPr>
          <w:p w:rsidR="00EE56C0" w:rsidRDefault="000F36A1">
            <w:pPr>
              <w:pStyle w:val="afa"/>
              <w:rPr>
                <w:rFonts w:ascii="宋体" w:eastAsia="宋体" w:hAnsi="宋体" w:cs="宋体"/>
              </w:rPr>
            </w:pPr>
            <w:r>
              <w:rPr>
                <w:rFonts w:hint="eastAsia"/>
              </w:rPr>
              <w:t xml:space="preserve">6.4981 </w:t>
            </w:r>
          </w:p>
        </w:tc>
        <w:tc>
          <w:tcPr>
            <w:tcW w:w="726" w:type="pct"/>
            <w:vAlign w:val="center"/>
          </w:tcPr>
          <w:p w:rsidR="00EE56C0" w:rsidRDefault="000F36A1">
            <w:pPr>
              <w:pStyle w:val="afa"/>
              <w:rPr>
                <w:rFonts w:ascii="宋体" w:eastAsia="宋体" w:hAnsi="宋体" w:cs="宋体"/>
              </w:rPr>
            </w:pPr>
            <w:r>
              <w:rPr>
                <w:rFonts w:hint="eastAsia"/>
              </w:rPr>
              <w:t xml:space="preserve">0.1319 </w:t>
            </w:r>
          </w:p>
        </w:tc>
        <w:tc>
          <w:tcPr>
            <w:tcW w:w="726" w:type="pct"/>
            <w:vAlign w:val="center"/>
          </w:tcPr>
          <w:p w:rsidR="00EE56C0" w:rsidRDefault="000F36A1">
            <w:pPr>
              <w:pStyle w:val="afa"/>
              <w:rPr>
                <w:rFonts w:ascii="宋体" w:eastAsia="宋体" w:hAnsi="宋体" w:cs="宋体"/>
              </w:rPr>
            </w:pPr>
            <w:r>
              <w:rPr>
                <w:rFonts w:hint="eastAsia"/>
              </w:rPr>
              <w:t xml:space="preserve">0.1319 </w:t>
            </w:r>
          </w:p>
        </w:tc>
        <w:tc>
          <w:tcPr>
            <w:tcW w:w="721" w:type="pct"/>
            <w:vAlign w:val="center"/>
          </w:tcPr>
          <w:p w:rsidR="00EE56C0" w:rsidRDefault="000F36A1">
            <w:pPr>
              <w:pStyle w:val="afa"/>
              <w:rPr>
                <w:rFonts w:ascii="宋体" w:eastAsia="宋体" w:hAnsi="宋体" w:cs="宋体"/>
              </w:rPr>
            </w:pPr>
            <w:r>
              <w:rPr>
                <w:rFonts w:hint="eastAsia"/>
              </w:rPr>
              <w:t xml:space="preserve">0.1319 </w:t>
            </w:r>
          </w:p>
        </w:tc>
      </w:tr>
      <w:tr w:rsidR="00EE56C0">
        <w:trPr>
          <w:trHeight w:val="397"/>
          <w:jc w:val="center"/>
        </w:trPr>
        <w:tc>
          <w:tcPr>
            <w:tcW w:w="321" w:type="pct"/>
            <w:vMerge/>
            <w:vAlign w:val="center"/>
          </w:tcPr>
          <w:p w:rsidR="00EE56C0" w:rsidRDefault="00EE56C0">
            <w:pPr>
              <w:pStyle w:val="afa"/>
              <w:rPr>
                <w:u w:val="single"/>
              </w:rPr>
            </w:pPr>
          </w:p>
        </w:tc>
        <w:tc>
          <w:tcPr>
            <w:tcW w:w="241" w:type="pct"/>
            <w:vMerge/>
            <w:tcBorders>
              <w:right w:val="single" w:sz="4" w:space="0" w:color="auto"/>
            </w:tcBorders>
            <w:vAlign w:val="center"/>
          </w:tcPr>
          <w:p w:rsidR="00EE56C0" w:rsidRDefault="00EE56C0">
            <w:pPr>
              <w:pStyle w:val="afa"/>
              <w:rPr>
                <w:u w:val="single"/>
              </w:rPr>
            </w:pPr>
          </w:p>
        </w:tc>
        <w:tc>
          <w:tcPr>
            <w:tcW w:w="332" w:type="pct"/>
            <w:vMerge/>
            <w:tcBorders>
              <w:left w:val="single" w:sz="4" w:space="0" w:color="auto"/>
              <w:right w:val="single" w:sz="4" w:space="0" w:color="auto"/>
            </w:tcBorders>
            <w:vAlign w:val="center"/>
          </w:tcPr>
          <w:p w:rsidR="00EE56C0" w:rsidRDefault="00EE56C0">
            <w:pPr>
              <w:pStyle w:val="afa"/>
              <w:rPr>
                <w:u w:val="single"/>
              </w:rPr>
            </w:pPr>
          </w:p>
        </w:tc>
        <w:tc>
          <w:tcPr>
            <w:tcW w:w="480" w:type="pct"/>
            <w:tcBorders>
              <w:left w:val="single" w:sz="4" w:space="0" w:color="auto"/>
            </w:tcBorders>
            <w:vAlign w:val="center"/>
          </w:tcPr>
          <w:p w:rsidR="00EE56C0" w:rsidRDefault="000F36A1">
            <w:pPr>
              <w:pStyle w:val="afa"/>
              <w:rPr>
                <w:u w:val="single"/>
              </w:rPr>
            </w:pPr>
            <w:r>
              <w:rPr>
                <w:rFonts w:hint="eastAsia"/>
                <w:u w:val="single"/>
              </w:rPr>
              <w:t>合计</w:t>
            </w:r>
          </w:p>
        </w:tc>
        <w:tc>
          <w:tcPr>
            <w:tcW w:w="684" w:type="pct"/>
            <w:vAlign w:val="center"/>
          </w:tcPr>
          <w:p w:rsidR="00EE56C0" w:rsidRDefault="000F36A1">
            <w:pPr>
              <w:pStyle w:val="afa"/>
              <w:rPr>
                <w:rFonts w:ascii="宋体" w:eastAsia="宋体" w:hAnsi="宋体" w:cs="宋体"/>
              </w:rPr>
            </w:pPr>
            <w:r>
              <w:rPr>
                <w:rFonts w:hint="eastAsia"/>
              </w:rPr>
              <w:t>922.53</w:t>
            </w:r>
          </w:p>
        </w:tc>
        <w:tc>
          <w:tcPr>
            <w:tcW w:w="769" w:type="pct"/>
            <w:vAlign w:val="center"/>
          </w:tcPr>
          <w:p w:rsidR="00EE56C0" w:rsidRDefault="000F36A1">
            <w:pPr>
              <w:pStyle w:val="afa"/>
              <w:rPr>
                <w:rFonts w:ascii="宋体" w:eastAsia="宋体" w:hAnsi="宋体" w:cs="宋体"/>
              </w:rPr>
            </w:pPr>
            <w:r>
              <w:rPr>
                <w:rFonts w:hint="eastAsia"/>
              </w:rPr>
              <w:t xml:space="preserve">921.2747 </w:t>
            </w:r>
          </w:p>
        </w:tc>
        <w:tc>
          <w:tcPr>
            <w:tcW w:w="726" w:type="pct"/>
            <w:vAlign w:val="center"/>
          </w:tcPr>
          <w:p w:rsidR="00EE56C0" w:rsidRDefault="000F36A1">
            <w:pPr>
              <w:pStyle w:val="afa"/>
              <w:rPr>
                <w:rFonts w:ascii="宋体" w:eastAsia="宋体" w:hAnsi="宋体" w:cs="宋体"/>
              </w:rPr>
            </w:pPr>
            <w:r>
              <w:rPr>
                <w:rFonts w:hint="eastAsia"/>
              </w:rPr>
              <w:t xml:space="preserve">1.2553 </w:t>
            </w:r>
          </w:p>
        </w:tc>
        <w:tc>
          <w:tcPr>
            <w:tcW w:w="726" w:type="pct"/>
            <w:vAlign w:val="center"/>
          </w:tcPr>
          <w:p w:rsidR="00EE56C0" w:rsidRDefault="000F36A1">
            <w:pPr>
              <w:pStyle w:val="afa"/>
              <w:rPr>
                <w:rFonts w:ascii="宋体" w:eastAsia="宋体" w:hAnsi="宋体" w:cs="宋体"/>
              </w:rPr>
            </w:pPr>
            <w:r>
              <w:rPr>
                <w:rFonts w:hint="eastAsia"/>
              </w:rPr>
              <w:t xml:space="preserve">1.2553 </w:t>
            </w:r>
          </w:p>
        </w:tc>
        <w:tc>
          <w:tcPr>
            <w:tcW w:w="721" w:type="pct"/>
            <w:vAlign w:val="center"/>
          </w:tcPr>
          <w:p w:rsidR="00EE56C0" w:rsidRDefault="000F36A1">
            <w:pPr>
              <w:pStyle w:val="afa"/>
              <w:rPr>
                <w:rFonts w:ascii="宋体" w:eastAsia="宋体" w:hAnsi="宋体" w:cs="宋体"/>
              </w:rPr>
            </w:pPr>
            <w:r>
              <w:rPr>
                <w:rFonts w:hint="eastAsia"/>
              </w:rPr>
              <w:t xml:space="preserve">1.2553 </w:t>
            </w:r>
          </w:p>
        </w:tc>
      </w:tr>
      <w:tr w:rsidR="00EE56C0">
        <w:trPr>
          <w:trHeight w:val="397"/>
          <w:jc w:val="center"/>
        </w:trPr>
        <w:tc>
          <w:tcPr>
            <w:tcW w:w="321" w:type="pct"/>
            <w:vMerge/>
            <w:vAlign w:val="center"/>
          </w:tcPr>
          <w:p w:rsidR="00EE56C0" w:rsidRDefault="00EE56C0">
            <w:pPr>
              <w:pStyle w:val="afa"/>
              <w:rPr>
                <w:u w:val="single"/>
              </w:rPr>
            </w:pPr>
          </w:p>
        </w:tc>
        <w:tc>
          <w:tcPr>
            <w:tcW w:w="241" w:type="pct"/>
            <w:vMerge w:val="restart"/>
            <w:tcBorders>
              <w:right w:val="single" w:sz="4" w:space="0" w:color="auto"/>
            </w:tcBorders>
            <w:vAlign w:val="center"/>
          </w:tcPr>
          <w:p w:rsidR="00EE56C0" w:rsidRDefault="000F36A1">
            <w:pPr>
              <w:pStyle w:val="afa"/>
              <w:rPr>
                <w:u w:val="single"/>
              </w:rPr>
            </w:pPr>
            <w:r>
              <w:rPr>
                <w:rFonts w:hint="eastAsia"/>
                <w:u w:val="single"/>
              </w:rPr>
              <w:t>无组织</w:t>
            </w:r>
          </w:p>
        </w:tc>
        <w:tc>
          <w:tcPr>
            <w:tcW w:w="332" w:type="pct"/>
            <w:vMerge w:val="restart"/>
            <w:tcBorders>
              <w:left w:val="single" w:sz="4" w:space="0" w:color="auto"/>
              <w:right w:val="single" w:sz="4" w:space="0" w:color="auto"/>
            </w:tcBorders>
            <w:vAlign w:val="center"/>
          </w:tcPr>
          <w:p w:rsidR="00EE56C0" w:rsidRDefault="000F36A1">
            <w:pPr>
              <w:pStyle w:val="afa"/>
              <w:rPr>
                <w:u w:val="single"/>
              </w:rPr>
            </w:pPr>
            <w:r>
              <w:rPr>
                <w:rFonts w:hint="eastAsia"/>
                <w:u w:val="single"/>
              </w:rPr>
              <w:t>VOCs</w:t>
            </w:r>
          </w:p>
        </w:tc>
        <w:tc>
          <w:tcPr>
            <w:tcW w:w="480" w:type="pct"/>
            <w:tcBorders>
              <w:left w:val="single" w:sz="4" w:space="0" w:color="auto"/>
            </w:tcBorders>
            <w:vAlign w:val="center"/>
          </w:tcPr>
          <w:p w:rsidR="00EE56C0" w:rsidRDefault="000F36A1">
            <w:pPr>
              <w:pStyle w:val="afa"/>
              <w:rPr>
                <w:u w:val="single"/>
              </w:rPr>
            </w:pPr>
            <w:r>
              <w:rPr>
                <w:rFonts w:hint="eastAsia"/>
                <w:u w:val="single"/>
              </w:rPr>
              <w:t>酚</w:t>
            </w:r>
          </w:p>
        </w:tc>
        <w:tc>
          <w:tcPr>
            <w:tcW w:w="684" w:type="pct"/>
            <w:vAlign w:val="center"/>
          </w:tcPr>
          <w:p w:rsidR="00EE56C0" w:rsidRDefault="000F36A1">
            <w:pPr>
              <w:pStyle w:val="afa"/>
              <w:rPr>
                <w:rFonts w:ascii="宋体" w:eastAsia="宋体" w:hAnsi="宋体" w:cs="宋体"/>
              </w:rPr>
            </w:pPr>
            <w:r>
              <w:rPr>
                <w:rFonts w:hint="eastAsia"/>
              </w:rPr>
              <w:t>0.9267</w:t>
            </w:r>
          </w:p>
        </w:tc>
        <w:tc>
          <w:tcPr>
            <w:tcW w:w="769" w:type="pct"/>
            <w:vAlign w:val="center"/>
          </w:tcPr>
          <w:p w:rsidR="00EE56C0" w:rsidRDefault="000F36A1">
            <w:pPr>
              <w:pStyle w:val="afa"/>
              <w:rPr>
                <w:rFonts w:ascii="宋体" w:eastAsia="宋体" w:hAnsi="宋体" w:cs="宋体"/>
              </w:rPr>
            </w:pPr>
            <w:r>
              <w:rPr>
                <w:rFonts w:hint="eastAsia"/>
              </w:rPr>
              <w:t xml:space="preserve">0.0000 </w:t>
            </w:r>
          </w:p>
        </w:tc>
        <w:tc>
          <w:tcPr>
            <w:tcW w:w="726" w:type="pct"/>
            <w:vAlign w:val="center"/>
          </w:tcPr>
          <w:p w:rsidR="00EE56C0" w:rsidRDefault="000F36A1">
            <w:pPr>
              <w:pStyle w:val="afa"/>
              <w:rPr>
                <w:rFonts w:ascii="宋体" w:eastAsia="宋体" w:hAnsi="宋体" w:cs="宋体"/>
              </w:rPr>
            </w:pPr>
            <w:r>
              <w:rPr>
                <w:rFonts w:hint="eastAsia"/>
              </w:rPr>
              <w:t xml:space="preserve">0.9267 </w:t>
            </w:r>
          </w:p>
        </w:tc>
        <w:tc>
          <w:tcPr>
            <w:tcW w:w="726" w:type="pct"/>
            <w:vAlign w:val="center"/>
          </w:tcPr>
          <w:p w:rsidR="00EE56C0" w:rsidRDefault="000F36A1">
            <w:pPr>
              <w:pStyle w:val="afa"/>
              <w:rPr>
                <w:rFonts w:ascii="宋体" w:eastAsia="宋体" w:hAnsi="宋体" w:cs="宋体"/>
              </w:rPr>
            </w:pPr>
            <w:r>
              <w:rPr>
                <w:rFonts w:hint="eastAsia"/>
              </w:rPr>
              <w:t xml:space="preserve">0.9267 </w:t>
            </w:r>
          </w:p>
        </w:tc>
        <w:tc>
          <w:tcPr>
            <w:tcW w:w="721" w:type="pct"/>
            <w:vAlign w:val="center"/>
          </w:tcPr>
          <w:p w:rsidR="00EE56C0" w:rsidRDefault="000F36A1">
            <w:pPr>
              <w:pStyle w:val="afa"/>
              <w:rPr>
                <w:rFonts w:ascii="宋体" w:eastAsia="宋体" w:hAnsi="宋体" w:cs="宋体"/>
              </w:rPr>
            </w:pPr>
            <w:r>
              <w:rPr>
                <w:rFonts w:hint="eastAsia"/>
              </w:rPr>
              <w:t xml:space="preserve">0.9267 </w:t>
            </w:r>
          </w:p>
        </w:tc>
      </w:tr>
      <w:tr w:rsidR="00EE56C0">
        <w:trPr>
          <w:trHeight w:val="397"/>
          <w:jc w:val="center"/>
        </w:trPr>
        <w:tc>
          <w:tcPr>
            <w:tcW w:w="321" w:type="pct"/>
            <w:vMerge/>
            <w:vAlign w:val="center"/>
          </w:tcPr>
          <w:p w:rsidR="00EE56C0" w:rsidRDefault="00EE56C0">
            <w:pPr>
              <w:pStyle w:val="afa"/>
              <w:rPr>
                <w:u w:val="single"/>
              </w:rPr>
            </w:pPr>
          </w:p>
        </w:tc>
        <w:tc>
          <w:tcPr>
            <w:tcW w:w="241" w:type="pct"/>
            <w:vMerge/>
            <w:tcBorders>
              <w:right w:val="single" w:sz="4" w:space="0" w:color="auto"/>
            </w:tcBorders>
            <w:vAlign w:val="center"/>
          </w:tcPr>
          <w:p w:rsidR="00EE56C0" w:rsidRDefault="00EE56C0">
            <w:pPr>
              <w:pStyle w:val="afa"/>
              <w:rPr>
                <w:u w:val="single"/>
              </w:rPr>
            </w:pPr>
          </w:p>
        </w:tc>
        <w:tc>
          <w:tcPr>
            <w:tcW w:w="332" w:type="pct"/>
            <w:vMerge/>
            <w:tcBorders>
              <w:left w:val="single" w:sz="4" w:space="0" w:color="auto"/>
              <w:right w:val="single" w:sz="4" w:space="0" w:color="auto"/>
            </w:tcBorders>
            <w:vAlign w:val="center"/>
          </w:tcPr>
          <w:p w:rsidR="00EE56C0" w:rsidRDefault="00EE56C0">
            <w:pPr>
              <w:pStyle w:val="afa"/>
              <w:rPr>
                <w:u w:val="single"/>
              </w:rPr>
            </w:pPr>
          </w:p>
        </w:tc>
        <w:tc>
          <w:tcPr>
            <w:tcW w:w="480" w:type="pct"/>
            <w:tcBorders>
              <w:left w:val="single" w:sz="4" w:space="0" w:color="auto"/>
            </w:tcBorders>
            <w:vAlign w:val="center"/>
          </w:tcPr>
          <w:p w:rsidR="00EE56C0" w:rsidRDefault="000F36A1">
            <w:pPr>
              <w:pStyle w:val="afa"/>
              <w:rPr>
                <w:u w:val="single"/>
              </w:rPr>
            </w:pPr>
            <w:r>
              <w:rPr>
                <w:u w:val="single"/>
              </w:rPr>
              <w:t>非甲烷总烃</w:t>
            </w:r>
          </w:p>
        </w:tc>
        <w:tc>
          <w:tcPr>
            <w:tcW w:w="684" w:type="pct"/>
            <w:vAlign w:val="center"/>
          </w:tcPr>
          <w:p w:rsidR="00EE56C0" w:rsidRDefault="000F36A1">
            <w:pPr>
              <w:pStyle w:val="afa"/>
              <w:rPr>
                <w:rFonts w:ascii="宋体" w:eastAsia="宋体" w:hAnsi="宋体" w:cs="宋体"/>
              </w:rPr>
            </w:pPr>
            <w:r>
              <w:rPr>
                <w:rFonts w:hint="eastAsia"/>
              </w:rPr>
              <w:t>0.6836</w:t>
            </w:r>
          </w:p>
        </w:tc>
        <w:tc>
          <w:tcPr>
            <w:tcW w:w="769" w:type="pct"/>
            <w:vAlign w:val="center"/>
          </w:tcPr>
          <w:p w:rsidR="00EE56C0" w:rsidRDefault="000F36A1">
            <w:pPr>
              <w:pStyle w:val="afa"/>
              <w:rPr>
                <w:rFonts w:ascii="宋体" w:eastAsia="宋体" w:hAnsi="宋体" w:cs="宋体"/>
              </w:rPr>
            </w:pPr>
            <w:r>
              <w:rPr>
                <w:rFonts w:hint="eastAsia"/>
              </w:rPr>
              <w:t xml:space="preserve">0.0000 </w:t>
            </w:r>
          </w:p>
        </w:tc>
        <w:tc>
          <w:tcPr>
            <w:tcW w:w="726" w:type="pct"/>
            <w:vAlign w:val="center"/>
          </w:tcPr>
          <w:p w:rsidR="00EE56C0" w:rsidRDefault="000F36A1">
            <w:pPr>
              <w:pStyle w:val="afa"/>
              <w:rPr>
                <w:rFonts w:ascii="宋体" w:eastAsia="宋体" w:hAnsi="宋体" w:cs="宋体"/>
              </w:rPr>
            </w:pPr>
            <w:r>
              <w:rPr>
                <w:rFonts w:hint="eastAsia"/>
              </w:rPr>
              <w:t xml:space="preserve">0.6836 </w:t>
            </w:r>
          </w:p>
        </w:tc>
        <w:tc>
          <w:tcPr>
            <w:tcW w:w="726" w:type="pct"/>
            <w:vAlign w:val="center"/>
          </w:tcPr>
          <w:p w:rsidR="00EE56C0" w:rsidRDefault="000F36A1">
            <w:pPr>
              <w:pStyle w:val="afa"/>
              <w:rPr>
                <w:rFonts w:ascii="宋体" w:eastAsia="宋体" w:hAnsi="宋体" w:cs="宋体"/>
              </w:rPr>
            </w:pPr>
            <w:r>
              <w:rPr>
                <w:rFonts w:hint="eastAsia"/>
              </w:rPr>
              <w:t xml:space="preserve">0.6836 </w:t>
            </w:r>
          </w:p>
        </w:tc>
        <w:tc>
          <w:tcPr>
            <w:tcW w:w="721" w:type="pct"/>
            <w:vAlign w:val="center"/>
          </w:tcPr>
          <w:p w:rsidR="00EE56C0" w:rsidRDefault="000F36A1">
            <w:pPr>
              <w:pStyle w:val="afa"/>
              <w:rPr>
                <w:rFonts w:ascii="宋体" w:eastAsia="宋体" w:hAnsi="宋体" w:cs="宋体"/>
              </w:rPr>
            </w:pPr>
            <w:r>
              <w:rPr>
                <w:rFonts w:hint="eastAsia"/>
              </w:rPr>
              <w:t xml:space="preserve">0.6836 </w:t>
            </w:r>
          </w:p>
        </w:tc>
      </w:tr>
      <w:tr w:rsidR="00EE56C0">
        <w:trPr>
          <w:trHeight w:val="397"/>
          <w:jc w:val="center"/>
        </w:trPr>
        <w:tc>
          <w:tcPr>
            <w:tcW w:w="321" w:type="pct"/>
            <w:vMerge/>
            <w:vAlign w:val="center"/>
          </w:tcPr>
          <w:p w:rsidR="00EE56C0" w:rsidRDefault="00EE56C0">
            <w:pPr>
              <w:pStyle w:val="afa"/>
              <w:rPr>
                <w:u w:val="single"/>
              </w:rPr>
            </w:pPr>
          </w:p>
        </w:tc>
        <w:tc>
          <w:tcPr>
            <w:tcW w:w="241" w:type="pct"/>
            <w:vMerge/>
            <w:tcBorders>
              <w:right w:val="single" w:sz="4" w:space="0" w:color="auto"/>
            </w:tcBorders>
            <w:vAlign w:val="center"/>
          </w:tcPr>
          <w:p w:rsidR="00EE56C0" w:rsidRDefault="00EE56C0">
            <w:pPr>
              <w:pStyle w:val="afa"/>
              <w:rPr>
                <w:u w:val="single"/>
              </w:rPr>
            </w:pPr>
          </w:p>
        </w:tc>
        <w:tc>
          <w:tcPr>
            <w:tcW w:w="332" w:type="pct"/>
            <w:vMerge/>
            <w:tcBorders>
              <w:left w:val="single" w:sz="4" w:space="0" w:color="auto"/>
              <w:right w:val="single" w:sz="4" w:space="0" w:color="auto"/>
            </w:tcBorders>
            <w:vAlign w:val="center"/>
          </w:tcPr>
          <w:p w:rsidR="00EE56C0" w:rsidRDefault="00EE56C0">
            <w:pPr>
              <w:pStyle w:val="afa"/>
              <w:rPr>
                <w:u w:val="single"/>
              </w:rPr>
            </w:pPr>
          </w:p>
        </w:tc>
        <w:tc>
          <w:tcPr>
            <w:tcW w:w="480" w:type="pct"/>
            <w:tcBorders>
              <w:left w:val="single" w:sz="4" w:space="0" w:color="auto"/>
            </w:tcBorders>
            <w:vAlign w:val="center"/>
          </w:tcPr>
          <w:p w:rsidR="00EE56C0" w:rsidRDefault="000F36A1">
            <w:pPr>
              <w:pStyle w:val="afa"/>
              <w:rPr>
                <w:u w:val="single"/>
              </w:rPr>
            </w:pPr>
            <w:r>
              <w:rPr>
                <w:rFonts w:hint="eastAsia"/>
                <w:u w:val="single"/>
              </w:rPr>
              <w:t>二甲苯</w:t>
            </w:r>
          </w:p>
        </w:tc>
        <w:tc>
          <w:tcPr>
            <w:tcW w:w="684" w:type="pct"/>
            <w:vAlign w:val="center"/>
          </w:tcPr>
          <w:p w:rsidR="00EE56C0" w:rsidRDefault="000F36A1">
            <w:pPr>
              <w:pStyle w:val="afa"/>
              <w:rPr>
                <w:rFonts w:ascii="宋体" w:eastAsia="宋体" w:hAnsi="宋体" w:cs="宋体"/>
              </w:rPr>
            </w:pPr>
            <w:r>
              <w:rPr>
                <w:rFonts w:hint="eastAsia"/>
              </w:rPr>
              <w:t>0.1999</w:t>
            </w:r>
          </w:p>
        </w:tc>
        <w:tc>
          <w:tcPr>
            <w:tcW w:w="769" w:type="pct"/>
            <w:vAlign w:val="center"/>
          </w:tcPr>
          <w:p w:rsidR="00EE56C0" w:rsidRDefault="000F36A1">
            <w:pPr>
              <w:pStyle w:val="afa"/>
              <w:rPr>
                <w:rFonts w:ascii="宋体" w:eastAsia="宋体" w:hAnsi="宋体" w:cs="宋体"/>
              </w:rPr>
            </w:pPr>
            <w:r>
              <w:rPr>
                <w:rFonts w:hint="eastAsia"/>
              </w:rPr>
              <w:t xml:space="preserve">0.0000 </w:t>
            </w:r>
          </w:p>
        </w:tc>
        <w:tc>
          <w:tcPr>
            <w:tcW w:w="726" w:type="pct"/>
            <w:vAlign w:val="center"/>
          </w:tcPr>
          <w:p w:rsidR="00EE56C0" w:rsidRDefault="000F36A1">
            <w:pPr>
              <w:pStyle w:val="afa"/>
              <w:rPr>
                <w:rFonts w:ascii="宋体" w:eastAsia="宋体" w:hAnsi="宋体" w:cs="宋体"/>
              </w:rPr>
            </w:pPr>
            <w:r>
              <w:rPr>
                <w:rFonts w:hint="eastAsia"/>
              </w:rPr>
              <w:t xml:space="preserve">0.1999 </w:t>
            </w:r>
          </w:p>
        </w:tc>
        <w:tc>
          <w:tcPr>
            <w:tcW w:w="726" w:type="pct"/>
            <w:vAlign w:val="center"/>
          </w:tcPr>
          <w:p w:rsidR="00EE56C0" w:rsidRDefault="000F36A1">
            <w:pPr>
              <w:pStyle w:val="afa"/>
              <w:rPr>
                <w:rFonts w:ascii="宋体" w:eastAsia="宋体" w:hAnsi="宋体" w:cs="宋体"/>
              </w:rPr>
            </w:pPr>
            <w:r>
              <w:rPr>
                <w:rFonts w:hint="eastAsia"/>
              </w:rPr>
              <w:t xml:space="preserve">0.1999 </w:t>
            </w:r>
          </w:p>
        </w:tc>
        <w:tc>
          <w:tcPr>
            <w:tcW w:w="721" w:type="pct"/>
            <w:vAlign w:val="center"/>
          </w:tcPr>
          <w:p w:rsidR="00EE56C0" w:rsidRDefault="000F36A1">
            <w:pPr>
              <w:pStyle w:val="afa"/>
              <w:rPr>
                <w:rFonts w:ascii="宋体" w:eastAsia="宋体" w:hAnsi="宋体" w:cs="宋体"/>
              </w:rPr>
            </w:pPr>
            <w:r>
              <w:rPr>
                <w:rFonts w:hint="eastAsia"/>
              </w:rPr>
              <w:t xml:space="preserve">0.1999 </w:t>
            </w:r>
          </w:p>
        </w:tc>
      </w:tr>
      <w:tr w:rsidR="00EE56C0">
        <w:trPr>
          <w:trHeight w:val="397"/>
          <w:jc w:val="center"/>
        </w:trPr>
        <w:tc>
          <w:tcPr>
            <w:tcW w:w="321" w:type="pct"/>
            <w:vMerge/>
            <w:vAlign w:val="center"/>
          </w:tcPr>
          <w:p w:rsidR="00EE56C0" w:rsidRDefault="00EE56C0">
            <w:pPr>
              <w:pStyle w:val="afa"/>
              <w:rPr>
                <w:u w:val="single"/>
              </w:rPr>
            </w:pPr>
          </w:p>
        </w:tc>
        <w:tc>
          <w:tcPr>
            <w:tcW w:w="241" w:type="pct"/>
            <w:vMerge/>
            <w:tcBorders>
              <w:right w:val="single" w:sz="4" w:space="0" w:color="auto"/>
            </w:tcBorders>
            <w:vAlign w:val="center"/>
          </w:tcPr>
          <w:p w:rsidR="00EE56C0" w:rsidRDefault="00EE56C0">
            <w:pPr>
              <w:pStyle w:val="afa"/>
              <w:rPr>
                <w:u w:val="single"/>
              </w:rPr>
            </w:pPr>
          </w:p>
        </w:tc>
        <w:tc>
          <w:tcPr>
            <w:tcW w:w="332" w:type="pct"/>
            <w:vMerge/>
            <w:tcBorders>
              <w:left w:val="single" w:sz="4" w:space="0" w:color="auto"/>
              <w:right w:val="single" w:sz="4" w:space="0" w:color="auto"/>
            </w:tcBorders>
            <w:vAlign w:val="center"/>
          </w:tcPr>
          <w:p w:rsidR="00EE56C0" w:rsidRDefault="00EE56C0">
            <w:pPr>
              <w:pStyle w:val="afa"/>
              <w:rPr>
                <w:u w:val="single"/>
              </w:rPr>
            </w:pPr>
          </w:p>
        </w:tc>
        <w:tc>
          <w:tcPr>
            <w:tcW w:w="480" w:type="pct"/>
            <w:tcBorders>
              <w:left w:val="single" w:sz="4" w:space="0" w:color="auto"/>
            </w:tcBorders>
            <w:vAlign w:val="center"/>
          </w:tcPr>
          <w:p w:rsidR="00EE56C0" w:rsidRDefault="000F36A1">
            <w:pPr>
              <w:pStyle w:val="afa"/>
              <w:rPr>
                <w:u w:val="single"/>
              </w:rPr>
            </w:pPr>
            <w:r>
              <w:rPr>
                <w:rFonts w:hint="eastAsia"/>
                <w:u w:val="single"/>
              </w:rPr>
              <w:t>甲苯</w:t>
            </w:r>
          </w:p>
        </w:tc>
        <w:tc>
          <w:tcPr>
            <w:tcW w:w="684" w:type="pct"/>
            <w:vAlign w:val="center"/>
          </w:tcPr>
          <w:p w:rsidR="00EE56C0" w:rsidRDefault="000F36A1">
            <w:pPr>
              <w:pStyle w:val="afa"/>
              <w:rPr>
                <w:rFonts w:ascii="宋体" w:eastAsia="宋体" w:hAnsi="宋体" w:cs="宋体"/>
              </w:rPr>
            </w:pPr>
            <w:r>
              <w:rPr>
                <w:rFonts w:hint="eastAsia"/>
              </w:rPr>
              <w:t>0.0995</w:t>
            </w:r>
          </w:p>
        </w:tc>
        <w:tc>
          <w:tcPr>
            <w:tcW w:w="769" w:type="pct"/>
            <w:vAlign w:val="center"/>
          </w:tcPr>
          <w:p w:rsidR="00EE56C0" w:rsidRDefault="000F36A1">
            <w:pPr>
              <w:pStyle w:val="afa"/>
              <w:rPr>
                <w:rFonts w:ascii="宋体" w:eastAsia="宋体" w:hAnsi="宋体" w:cs="宋体"/>
              </w:rPr>
            </w:pPr>
            <w:r>
              <w:rPr>
                <w:rFonts w:hint="eastAsia"/>
              </w:rPr>
              <w:t xml:space="preserve">0.0001 </w:t>
            </w:r>
          </w:p>
        </w:tc>
        <w:tc>
          <w:tcPr>
            <w:tcW w:w="726" w:type="pct"/>
            <w:vAlign w:val="center"/>
          </w:tcPr>
          <w:p w:rsidR="00EE56C0" w:rsidRDefault="000F36A1">
            <w:pPr>
              <w:pStyle w:val="afa"/>
              <w:rPr>
                <w:rFonts w:ascii="宋体" w:eastAsia="宋体" w:hAnsi="宋体" w:cs="宋体"/>
              </w:rPr>
            </w:pPr>
            <w:r>
              <w:rPr>
                <w:rFonts w:hint="eastAsia"/>
              </w:rPr>
              <w:t xml:space="preserve">0.0994 </w:t>
            </w:r>
          </w:p>
        </w:tc>
        <w:tc>
          <w:tcPr>
            <w:tcW w:w="726" w:type="pct"/>
            <w:vAlign w:val="center"/>
          </w:tcPr>
          <w:p w:rsidR="00EE56C0" w:rsidRDefault="000F36A1">
            <w:pPr>
              <w:pStyle w:val="afa"/>
              <w:rPr>
                <w:rFonts w:ascii="宋体" w:eastAsia="宋体" w:hAnsi="宋体" w:cs="宋体"/>
              </w:rPr>
            </w:pPr>
            <w:r>
              <w:rPr>
                <w:rFonts w:hint="eastAsia"/>
              </w:rPr>
              <w:t xml:space="preserve">0.0994 </w:t>
            </w:r>
          </w:p>
        </w:tc>
        <w:tc>
          <w:tcPr>
            <w:tcW w:w="721" w:type="pct"/>
            <w:vAlign w:val="center"/>
          </w:tcPr>
          <w:p w:rsidR="00EE56C0" w:rsidRDefault="000F36A1">
            <w:pPr>
              <w:pStyle w:val="afa"/>
              <w:rPr>
                <w:rFonts w:ascii="宋体" w:eastAsia="宋体" w:hAnsi="宋体" w:cs="宋体"/>
              </w:rPr>
            </w:pPr>
            <w:r>
              <w:rPr>
                <w:rFonts w:hint="eastAsia"/>
              </w:rPr>
              <w:t xml:space="preserve">0.0994 </w:t>
            </w:r>
          </w:p>
        </w:tc>
      </w:tr>
      <w:tr w:rsidR="00EE56C0">
        <w:trPr>
          <w:trHeight w:val="397"/>
          <w:jc w:val="center"/>
        </w:trPr>
        <w:tc>
          <w:tcPr>
            <w:tcW w:w="321" w:type="pct"/>
            <w:vMerge/>
            <w:vAlign w:val="center"/>
          </w:tcPr>
          <w:p w:rsidR="00EE56C0" w:rsidRDefault="00EE56C0">
            <w:pPr>
              <w:pStyle w:val="afa"/>
              <w:rPr>
                <w:u w:val="single"/>
              </w:rPr>
            </w:pPr>
          </w:p>
        </w:tc>
        <w:tc>
          <w:tcPr>
            <w:tcW w:w="241" w:type="pct"/>
            <w:vMerge/>
            <w:tcBorders>
              <w:right w:val="single" w:sz="4" w:space="0" w:color="auto"/>
            </w:tcBorders>
            <w:vAlign w:val="center"/>
          </w:tcPr>
          <w:p w:rsidR="00EE56C0" w:rsidRDefault="00EE56C0">
            <w:pPr>
              <w:pStyle w:val="afa"/>
              <w:rPr>
                <w:u w:val="single"/>
              </w:rPr>
            </w:pPr>
          </w:p>
        </w:tc>
        <w:tc>
          <w:tcPr>
            <w:tcW w:w="332" w:type="pct"/>
            <w:vMerge/>
            <w:tcBorders>
              <w:left w:val="single" w:sz="4" w:space="0" w:color="auto"/>
              <w:right w:val="single" w:sz="4" w:space="0" w:color="auto"/>
            </w:tcBorders>
            <w:vAlign w:val="center"/>
          </w:tcPr>
          <w:p w:rsidR="00EE56C0" w:rsidRDefault="00EE56C0">
            <w:pPr>
              <w:pStyle w:val="afa"/>
              <w:rPr>
                <w:highlight w:val="yellow"/>
                <w:u w:val="single"/>
              </w:rPr>
            </w:pPr>
          </w:p>
        </w:tc>
        <w:tc>
          <w:tcPr>
            <w:tcW w:w="480" w:type="pct"/>
            <w:tcBorders>
              <w:left w:val="single" w:sz="4" w:space="0" w:color="auto"/>
            </w:tcBorders>
            <w:vAlign w:val="center"/>
          </w:tcPr>
          <w:p w:rsidR="00EE56C0" w:rsidRDefault="000F36A1">
            <w:pPr>
              <w:pStyle w:val="afa"/>
              <w:rPr>
                <w:highlight w:val="yellow"/>
                <w:u w:val="single"/>
              </w:rPr>
            </w:pPr>
            <w:r>
              <w:rPr>
                <w:rFonts w:hint="eastAsia"/>
                <w:u w:val="single"/>
              </w:rPr>
              <w:t>苯</w:t>
            </w:r>
          </w:p>
        </w:tc>
        <w:tc>
          <w:tcPr>
            <w:tcW w:w="684" w:type="pct"/>
            <w:vAlign w:val="center"/>
          </w:tcPr>
          <w:p w:rsidR="00EE56C0" w:rsidRDefault="000F36A1">
            <w:pPr>
              <w:pStyle w:val="afa"/>
              <w:rPr>
                <w:rFonts w:ascii="宋体" w:eastAsia="宋体" w:hAnsi="宋体" w:cs="宋体"/>
              </w:rPr>
            </w:pPr>
            <w:r>
              <w:rPr>
                <w:rFonts w:hint="eastAsia"/>
              </w:rPr>
              <w:t>0.0331</w:t>
            </w:r>
          </w:p>
        </w:tc>
        <w:tc>
          <w:tcPr>
            <w:tcW w:w="769" w:type="pct"/>
            <w:vAlign w:val="center"/>
          </w:tcPr>
          <w:p w:rsidR="00EE56C0" w:rsidRDefault="000F36A1">
            <w:pPr>
              <w:pStyle w:val="afa"/>
              <w:rPr>
                <w:rFonts w:ascii="宋体" w:eastAsia="宋体" w:hAnsi="宋体" w:cs="宋体"/>
              </w:rPr>
            </w:pPr>
            <w:r>
              <w:rPr>
                <w:rFonts w:hint="eastAsia"/>
              </w:rPr>
              <w:t xml:space="preserve">0.0000 </w:t>
            </w:r>
          </w:p>
        </w:tc>
        <w:tc>
          <w:tcPr>
            <w:tcW w:w="726" w:type="pct"/>
            <w:vAlign w:val="center"/>
          </w:tcPr>
          <w:p w:rsidR="00EE56C0" w:rsidRDefault="000F36A1">
            <w:pPr>
              <w:pStyle w:val="afa"/>
              <w:rPr>
                <w:rFonts w:ascii="宋体" w:eastAsia="宋体" w:hAnsi="宋体" w:cs="宋体"/>
              </w:rPr>
            </w:pPr>
            <w:r>
              <w:rPr>
                <w:rFonts w:hint="eastAsia"/>
              </w:rPr>
              <w:t xml:space="preserve">0.0332 </w:t>
            </w:r>
          </w:p>
        </w:tc>
        <w:tc>
          <w:tcPr>
            <w:tcW w:w="726" w:type="pct"/>
            <w:vAlign w:val="center"/>
          </w:tcPr>
          <w:p w:rsidR="00EE56C0" w:rsidRDefault="000F36A1">
            <w:pPr>
              <w:pStyle w:val="afa"/>
              <w:rPr>
                <w:rFonts w:ascii="宋体" w:eastAsia="宋体" w:hAnsi="宋体" w:cs="宋体"/>
              </w:rPr>
            </w:pPr>
            <w:r>
              <w:rPr>
                <w:rFonts w:hint="eastAsia"/>
              </w:rPr>
              <w:t xml:space="preserve">0.0332 </w:t>
            </w:r>
          </w:p>
        </w:tc>
        <w:tc>
          <w:tcPr>
            <w:tcW w:w="721" w:type="pct"/>
            <w:vAlign w:val="center"/>
          </w:tcPr>
          <w:p w:rsidR="00EE56C0" w:rsidRDefault="000F36A1">
            <w:pPr>
              <w:pStyle w:val="afa"/>
              <w:rPr>
                <w:rFonts w:ascii="宋体" w:eastAsia="宋体" w:hAnsi="宋体" w:cs="宋体"/>
              </w:rPr>
            </w:pPr>
            <w:r>
              <w:rPr>
                <w:rFonts w:hint="eastAsia"/>
              </w:rPr>
              <w:t xml:space="preserve">0.0332 </w:t>
            </w:r>
          </w:p>
        </w:tc>
      </w:tr>
      <w:tr w:rsidR="00EE56C0">
        <w:trPr>
          <w:trHeight w:val="397"/>
          <w:jc w:val="center"/>
        </w:trPr>
        <w:tc>
          <w:tcPr>
            <w:tcW w:w="321" w:type="pct"/>
            <w:vMerge/>
            <w:vAlign w:val="center"/>
          </w:tcPr>
          <w:p w:rsidR="00EE56C0" w:rsidRDefault="00EE56C0">
            <w:pPr>
              <w:pStyle w:val="afa"/>
              <w:rPr>
                <w:u w:val="single"/>
              </w:rPr>
            </w:pPr>
          </w:p>
        </w:tc>
        <w:tc>
          <w:tcPr>
            <w:tcW w:w="241" w:type="pct"/>
            <w:vMerge/>
            <w:tcBorders>
              <w:right w:val="single" w:sz="4" w:space="0" w:color="auto"/>
            </w:tcBorders>
            <w:vAlign w:val="center"/>
          </w:tcPr>
          <w:p w:rsidR="00EE56C0" w:rsidRDefault="00EE56C0">
            <w:pPr>
              <w:pStyle w:val="afa"/>
              <w:rPr>
                <w:u w:val="single"/>
              </w:rPr>
            </w:pPr>
          </w:p>
        </w:tc>
        <w:tc>
          <w:tcPr>
            <w:tcW w:w="332" w:type="pct"/>
            <w:vMerge/>
            <w:tcBorders>
              <w:left w:val="single" w:sz="4" w:space="0" w:color="auto"/>
              <w:right w:val="single" w:sz="4" w:space="0" w:color="auto"/>
            </w:tcBorders>
            <w:vAlign w:val="center"/>
          </w:tcPr>
          <w:p w:rsidR="00EE56C0" w:rsidRDefault="00EE56C0">
            <w:pPr>
              <w:pStyle w:val="afa"/>
              <w:rPr>
                <w:u w:val="single"/>
              </w:rPr>
            </w:pPr>
          </w:p>
        </w:tc>
        <w:tc>
          <w:tcPr>
            <w:tcW w:w="480" w:type="pct"/>
            <w:tcBorders>
              <w:left w:val="single" w:sz="4" w:space="0" w:color="auto"/>
            </w:tcBorders>
            <w:vAlign w:val="center"/>
          </w:tcPr>
          <w:p w:rsidR="00EE56C0" w:rsidRDefault="000F36A1">
            <w:pPr>
              <w:pStyle w:val="afa"/>
              <w:rPr>
                <w:u w:val="single"/>
              </w:rPr>
            </w:pPr>
            <w:r>
              <w:rPr>
                <w:rFonts w:hint="eastAsia"/>
                <w:u w:val="single"/>
              </w:rPr>
              <w:t>合计</w:t>
            </w:r>
          </w:p>
        </w:tc>
        <w:tc>
          <w:tcPr>
            <w:tcW w:w="684" w:type="pct"/>
            <w:vAlign w:val="center"/>
          </w:tcPr>
          <w:p w:rsidR="00EE56C0" w:rsidRDefault="000F36A1">
            <w:pPr>
              <w:pStyle w:val="afa"/>
              <w:rPr>
                <w:rFonts w:ascii="宋体" w:eastAsia="宋体" w:hAnsi="宋体" w:cs="宋体"/>
              </w:rPr>
            </w:pPr>
            <w:r>
              <w:rPr>
                <w:rFonts w:hint="eastAsia"/>
              </w:rPr>
              <w:t>1.9427</w:t>
            </w:r>
          </w:p>
        </w:tc>
        <w:tc>
          <w:tcPr>
            <w:tcW w:w="769" w:type="pct"/>
            <w:vAlign w:val="center"/>
          </w:tcPr>
          <w:p w:rsidR="00EE56C0" w:rsidRDefault="000F36A1">
            <w:pPr>
              <w:pStyle w:val="afa"/>
              <w:rPr>
                <w:rFonts w:ascii="宋体" w:eastAsia="宋体" w:hAnsi="宋体" w:cs="宋体"/>
              </w:rPr>
            </w:pPr>
            <w:r>
              <w:rPr>
                <w:rFonts w:hint="eastAsia"/>
              </w:rPr>
              <w:t xml:space="preserve">0.0000 </w:t>
            </w:r>
          </w:p>
        </w:tc>
        <w:tc>
          <w:tcPr>
            <w:tcW w:w="726" w:type="pct"/>
            <w:vAlign w:val="center"/>
          </w:tcPr>
          <w:p w:rsidR="00EE56C0" w:rsidRDefault="000F36A1">
            <w:pPr>
              <w:pStyle w:val="afa"/>
              <w:rPr>
                <w:rFonts w:ascii="宋体" w:eastAsia="宋体" w:hAnsi="宋体" w:cs="宋体"/>
              </w:rPr>
            </w:pPr>
            <w:r>
              <w:rPr>
                <w:rFonts w:hint="eastAsia"/>
              </w:rPr>
              <w:t xml:space="preserve">1.9428 </w:t>
            </w:r>
          </w:p>
        </w:tc>
        <w:tc>
          <w:tcPr>
            <w:tcW w:w="726" w:type="pct"/>
            <w:vAlign w:val="center"/>
          </w:tcPr>
          <w:p w:rsidR="00EE56C0" w:rsidRDefault="000F36A1">
            <w:pPr>
              <w:pStyle w:val="afa"/>
              <w:rPr>
                <w:rFonts w:ascii="宋体" w:eastAsia="宋体" w:hAnsi="宋体" w:cs="宋体"/>
              </w:rPr>
            </w:pPr>
            <w:r>
              <w:rPr>
                <w:rFonts w:hint="eastAsia"/>
              </w:rPr>
              <w:t xml:space="preserve">1.9428 </w:t>
            </w:r>
          </w:p>
        </w:tc>
        <w:tc>
          <w:tcPr>
            <w:tcW w:w="721" w:type="pct"/>
            <w:vAlign w:val="center"/>
          </w:tcPr>
          <w:p w:rsidR="00EE56C0" w:rsidRDefault="000F36A1">
            <w:pPr>
              <w:pStyle w:val="afa"/>
              <w:rPr>
                <w:rFonts w:ascii="宋体" w:eastAsia="宋体" w:hAnsi="宋体" w:cs="宋体"/>
              </w:rPr>
            </w:pPr>
            <w:r>
              <w:rPr>
                <w:rFonts w:hint="eastAsia"/>
              </w:rPr>
              <w:t xml:space="preserve">1.9428 </w:t>
            </w:r>
          </w:p>
        </w:tc>
      </w:tr>
      <w:tr w:rsidR="00EE56C0">
        <w:trPr>
          <w:trHeight w:val="397"/>
          <w:jc w:val="center"/>
        </w:trPr>
        <w:tc>
          <w:tcPr>
            <w:tcW w:w="321" w:type="pct"/>
            <w:vMerge w:val="restart"/>
            <w:vAlign w:val="center"/>
          </w:tcPr>
          <w:p w:rsidR="00EE56C0" w:rsidRDefault="000F36A1">
            <w:pPr>
              <w:pStyle w:val="afa"/>
              <w:rPr>
                <w:u w:val="single"/>
              </w:rPr>
            </w:pPr>
            <w:r>
              <w:rPr>
                <w:u w:val="single"/>
              </w:rPr>
              <w:t>固</w:t>
            </w:r>
            <w:r>
              <w:rPr>
                <w:u w:val="single"/>
              </w:rPr>
              <w:lastRenderedPageBreak/>
              <w:t>废</w:t>
            </w:r>
          </w:p>
        </w:tc>
        <w:tc>
          <w:tcPr>
            <w:tcW w:w="1053" w:type="pct"/>
            <w:gridSpan w:val="3"/>
            <w:vAlign w:val="center"/>
          </w:tcPr>
          <w:p w:rsidR="00EE56C0" w:rsidRDefault="000F36A1">
            <w:pPr>
              <w:pStyle w:val="afa"/>
              <w:rPr>
                <w:u w:val="single"/>
              </w:rPr>
            </w:pPr>
            <w:r>
              <w:rPr>
                <w:rFonts w:hint="eastAsia"/>
                <w:u w:val="single"/>
              </w:rPr>
              <w:lastRenderedPageBreak/>
              <w:t>一般固废</w:t>
            </w:r>
          </w:p>
        </w:tc>
        <w:tc>
          <w:tcPr>
            <w:tcW w:w="684" w:type="pct"/>
            <w:vAlign w:val="center"/>
          </w:tcPr>
          <w:p w:rsidR="00EE56C0" w:rsidRDefault="000F36A1">
            <w:pPr>
              <w:pStyle w:val="afa"/>
              <w:rPr>
                <w:rFonts w:ascii="宋体" w:eastAsia="宋体" w:hAnsi="宋体" w:cs="宋体"/>
                <w:u w:val="single"/>
              </w:rPr>
            </w:pPr>
            <w:r>
              <w:rPr>
                <w:rFonts w:hint="eastAsia"/>
                <w:u w:val="single"/>
              </w:rPr>
              <w:t>48.13</w:t>
            </w:r>
          </w:p>
        </w:tc>
        <w:tc>
          <w:tcPr>
            <w:tcW w:w="769" w:type="pct"/>
            <w:vAlign w:val="center"/>
          </w:tcPr>
          <w:p w:rsidR="00EE56C0" w:rsidRDefault="000F36A1">
            <w:pPr>
              <w:pStyle w:val="afa"/>
              <w:rPr>
                <w:rFonts w:ascii="宋体" w:eastAsia="宋体" w:hAnsi="宋体" w:cs="宋体"/>
                <w:u w:val="single"/>
              </w:rPr>
            </w:pPr>
            <w:r>
              <w:rPr>
                <w:rFonts w:hint="eastAsia"/>
                <w:u w:val="single"/>
              </w:rPr>
              <w:t>48.13</w:t>
            </w:r>
          </w:p>
        </w:tc>
        <w:tc>
          <w:tcPr>
            <w:tcW w:w="726" w:type="pct"/>
            <w:vAlign w:val="center"/>
          </w:tcPr>
          <w:p w:rsidR="00EE56C0" w:rsidRDefault="000F36A1">
            <w:pPr>
              <w:pStyle w:val="afa"/>
              <w:rPr>
                <w:u w:val="single"/>
              </w:rPr>
            </w:pPr>
            <w:r>
              <w:rPr>
                <w:u w:val="single"/>
              </w:rPr>
              <w:t>0</w:t>
            </w:r>
          </w:p>
        </w:tc>
        <w:tc>
          <w:tcPr>
            <w:tcW w:w="726" w:type="pct"/>
            <w:vAlign w:val="center"/>
          </w:tcPr>
          <w:p w:rsidR="00EE56C0" w:rsidRDefault="000F36A1">
            <w:pPr>
              <w:pStyle w:val="afa"/>
              <w:rPr>
                <w:u w:val="single"/>
              </w:rPr>
            </w:pPr>
            <w:r>
              <w:rPr>
                <w:rFonts w:hint="eastAsia"/>
                <w:u w:val="single"/>
              </w:rPr>
              <w:t>/</w:t>
            </w:r>
          </w:p>
        </w:tc>
        <w:tc>
          <w:tcPr>
            <w:tcW w:w="721" w:type="pct"/>
            <w:vAlign w:val="center"/>
          </w:tcPr>
          <w:p w:rsidR="00EE56C0" w:rsidRDefault="000F36A1">
            <w:pPr>
              <w:pStyle w:val="afa"/>
              <w:rPr>
                <w:u w:val="single"/>
              </w:rPr>
            </w:pPr>
            <w:r>
              <w:rPr>
                <w:rFonts w:hint="eastAsia"/>
                <w:u w:val="single"/>
              </w:rPr>
              <w:t>0</w:t>
            </w:r>
          </w:p>
        </w:tc>
      </w:tr>
      <w:tr w:rsidR="00EE56C0">
        <w:trPr>
          <w:trHeight w:val="397"/>
          <w:jc w:val="center"/>
        </w:trPr>
        <w:tc>
          <w:tcPr>
            <w:tcW w:w="321" w:type="pct"/>
            <w:vMerge/>
            <w:vAlign w:val="center"/>
          </w:tcPr>
          <w:p w:rsidR="00EE56C0" w:rsidRDefault="00EE56C0">
            <w:pPr>
              <w:pStyle w:val="afa"/>
              <w:rPr>
                <w:u w:val="single"/>
              </w:rPr>
            </w:pPr>
          </w:p>
        </w:tc>
        <w:tc>
          <w:tcPr>
            <w:tcW w:w="1053" w:type="pct"/>
            <w:gridSpan w:val="3"/>
            <w:vAlign w:val="center"/>
          </w:tcPr>
          <w:p w:rsidR="00EE56C0" w:rsidRDefault="000F36A1">
            <w:pPr>
              <w:pStyle w:val="afa"/>
              <w:rPr>
                <w:u w:val="single"/>
              </w:rPr>
            </w:pPr>
            <w:r>
              <w:rPr>
                <w:rFonts w:hint="eastAsia"/>
                <w:u w:val="single"/>
              </w:rPr>
              <w:t>危险废物</w:t>
            </w:r>
          </w:p>
        </w:tc>
        <w:tc>
          <w:tcPr>
            <w:tcW w:w="684" w:type="pct"/>
            <w:vAlign w:val="center"/>
          </w:tcPr>
          <w:p w:rsidR="00EE56C0" w:rsidRDefault="000F36A1">
            <w:pPr>
              <w:pStyle w:val="afa"/>
              <w:rPr>
                <w:rFonts w:ascii="宋体" w:eastAsia="宋体" w:hAnsi="宋体" w:cs="宋体"/>
                <w:u w:val="single"/>
              </w:rPr>
            </w:pPr>
            <w:r>
              <w:rPr>
                <w:rFonts w:hint="eastAsia"/>
                <w:u w:val="single"/>
              </w:rPr>
              <w:t>22.06</w:t>
            </w:r>
          </w:p>
        </w:tc>
        <w:tc>
          <w:tcPr>
            <w:tcW w:w="769" w:type="pct"/>
            <w:vAlign w:val="center"/>
          </w:tcPr>
          <w:p w:rsidR="00EE56C0" w:rsidRDefault="000F36A1">
            <w:pPr>
              <w:pStyle w:val="afa"/>
              <w:rPr>
                <w:rFonts w:ascii="宋体" w:eastAsia="宋体" w:hAnsi="宋体" w:cs="宋体"/>
                <w:u w:val="single"/>
              </w:rPr>
            </w:pPr>
            <w:r>
              <w:rPr>
                <w:rFonts w:hint="eastAsia"/>
                <w:u w:val="single"/>
              </w:rPr>
              <w:t>22.06</w:t>
            </w:r>
          </w:p>
        </w:tc>
        <w:tc>
          <w:tcPr>
            <w:tcW w:w="726" w:type="pct"/>
            <w:vAlign w:val="center"/>
          </w:tcPr>
          <w:p w:rsidR="00EE56C0" w:rsidRDefault="000F36A1">
            <w:pPr>
              <w:pStyle w:val="afa"/>
              <w:rPr>
                <w:u w:val="single"/>
              </w:rPr>
            </w:pPr>
            <w:r>
              <w:rPr>
                <w:u w:val="single"/>
              </w:rPr>
              <w:t>0</w:t>
            </w:r>
          </w:p>
        </w:tc>
        <w:tc>
          <w:tcPr>
            <w:tcW w:w="726" w:type="pct"/>
            <w:vAlign w:val="center"/>
          </w:tcPr>
          <w:p w:rsidR="00EE56C0" w:rsidRDefault="000F36A1">
            <w:pPr>
              <w:pStyle w:val="afa"/>
              <w:rPr>
                <w:u w:val="single"/>
              </w:rPr>
            </w:pPr>
            <w:r>
              <w:rPr>
                <w:rFonts w:hint="eastAsia"/>
                <w:u w:val="single"/>
              </w:rPr>
              <w:t>/</w:t>
            </w:r>
          </w:p>
        </w:tc>
        <w:tc>
          <w:tcPr>
            <w:tcW w:w="721" w:type="pct"/>
            <w:vAlign w:val="center"/>
          </w:tcPr>
          <w:p w:rsidR="00EE56C0" w:rsidRDefault="000F36A1">
            <w:pPr>
              <w:pStyle w:val="afa"/>
              <w:rPr>
                <w:u w:val="single"/>
              </w:rPr>
            </w:pPr>
            <w:r>
              <w:rPr>
                <w:rFonts w:hint="eastAsia"/>
                <w:u w:val="single"/>
              </w:rPr>
              <w:t>0</w:t>
            </w:r>
          </w:p>
        </w:tc>
      </w:tr>
    </w:tbl>
    <w:p w:rsidR="00EE56C0" w:rsidRDefault="000F36A1">
      <w:pPr>
        <w:pStyle w:val="4"/>
        <w:ind w:left="120" w:firstLine="241"/>
      </w:pPr>
      <w:r>
        <w:rPr>
          <w:rFonts w:hint="eastAsia"/>
        </w:rPr>
        <w:lastRenderedPageBreak/>
        <w:t>8.5.1.2</w:t>
      </w:r>
      <w:r>
        <w:t>工程污染物排放总量控制建议指标</w:t>
      </w:r>
      <w:bookmarkEnd w:id="493"/>
    </w:p>
    <w:p w:rsidR="00EE56C0" w:rsidRDefault="000F36A1">
      <w:pPr>
        <w:ind w:firstLine="480"/>
      </w:pPr>
      <w:r>
        <w:t>国家对</w:t>
      </w:r>
      <w:r>
        <w:t>SO</w:t>
      </w:r>
      <w:r>
        <w:rPr>
          <w:vertAlign w:val="subscript"/>
        </w:rPr>
        <w:t>2</w:t>
      </w:r>
      <w:r>
        <w:t>、</w:t>
      </w:r>
      <w:r>
        <w:t>NOx</w:t>
      </w:r>
      <w:r>
        <w:t>、</w:t>
      </w:r>
      <w:r>
        <w:t>COD</w:t>
      </w:r>
      <w:r>
        <w:t>、</w:t>
      </w:r>
      <w:r>
        <w:t>NH</w:t>
      </w:r>
      <w:r>
        <w:rPr>
          <w:vertAlign w:val="subscript"/>
        </w:rPr>
        <w:t>3</w:t>
      </w:r>
      <w:r>
        <w:t>-N</w:t>
      </w:r>
      <w:r>
        <w:rPr>
          <w:rFonts w:hint="eastAsia"/>
        </w:rPr>
        <w:t>、</w:t>
      </w:r>
      <w:r>
        <w:rPr>
          <w:rFonts w:hint="eastAsia"/>
        </w:rPr>
        <w:t>TP</w:t>
      </w:r>
      <w:r>
        <w:rPr>
          <w:rFonts w:hint="eastAsia"/>
        </w:rPr>
        <w:t>、</w:t>
      </w:r>
      <w:r>
        <w:rPr>
          <w:rFonts w:hint="eastAsia"/>
        </w:rPr>
        <w:t>TN</w:t>
      </w:r>
      <w:r>
        <w:rPr>
          <w:rFonts w:hint="eastAsia"/>
        </w:rPr>
        <w:t>等</w:t>
      </w:r>
      <w:r>
        <w:t>主要污染物实行排放总量控制计划管理</w:t>
      </w:r>
      <w:r>
        <w:rPr>
          <w:rFonts w:hint="eastAsia"/>
        </w:rPr>
        <w:t>：</w:t>
      </w:r>
    </w:p>
    <w:p w:rsidR="00EE56C0" w:rsidRDefault="000F36A1">
      <w:pPr>
        <w:ind w:firstLine="482"/>
      </w:pPr>
      <w:r>
        <w:rPr>
          <w:b/>
        </w:rPr>
        <w:t>1</w:t>
      </w:r>
      <w:r>
        <w:rPr>
          <w:rFonts w:hint="eastAsia"/>
          <w:b/>
        </w:rPr>
        <w:t>、废水污染物的排放情况：</w:t>
      </w:r>
    </w:p>
    <w:p w:rsidR="00EE56C0" w:rsidRDefault="000F36A1">
      <w:pPr>
        <w:spacing w:line="480" w:lineRule="exact"/>
        <w:ind w:firstLine="480"/>
        <w:rPr>
          <w:u w:val="single"/>
        </w:rPr>
      </w:pPr>
      <w:r>
        <w:rPr>
          <w:rFonts w:hint="eastAsia"/>
          <w:u w:val="single"/>
        </w:rPr>
        <w:t>（</w:t>
      </w:r>
      <w:r>
        <w:rPr>
          <w:rFonts w:hint="eastAsia"/>
          <w:u w:val="single"/>
        </w:rPr>
        <w:t>1</w:t>
      </w:r>
      <w:r>
        <w:rPr>
          <w:rFonts w:hint="eastAsia"/>
          <w:u w:val="single"/>
        </w:rPr>
        <w:t>）一期工程</w:t>
      </w:r>
    </w:p>
    <w:p w:rsidR="00EE56C0" w:rsidRDefault="000F36A1">
      <w:pPr>
        <w:spacing w:line="480" w:lineRule="exact"/>
        <w:ind w:firstLine="480"/>
        <w:rPr>
          <w:u w:val="single"/>
        </w:rPr>
      </w:pPr>
      <w:r>
        <w:rPr>
          <w:rFonts w:hint="eastAsia"/>
          <w:u w:val="single"/>
        </w:rPr>
        <w:t>废水排放量</w:t>
      </w:r>
      <w:r>
        <w:rPr>
          <w:rFonts w:hint="eastAsia"/>
          <w:u w:val="single"/>
        </w:rPr>
        <w:t>0.0444</w:t>
      </w:r>
      <w:r>
        <w:rPr>
          <w:rFonts w:hint="eastAsia"/>
          <w:u w:val="single"/>
        </w:rPr>
        <w:t>万</w:t>
      </w:r>
      <w:r>
        <w:rPr>
          <w:u w:val="single"/>
        </w:rPr>
        <w:t>t/a</w:t>
      </w:r>
      <w:r>
        <w:rPr>
          <w:rFonts w:hint="eastAsia"/>
          <w:u w:val="single"/>
        </w:rPr>
        <w:t>。</w:t>
      </w:r>
    </w:p>
    <w:p w:rsidR="00EE56C0" w:rsidRDefault="000F36A1">
      <w:pPr>
        <w:spacing w:line="480" w:lineRule="exact"/>
        <w:ind w:firstLine="480"/>
        <w:rPr>
          <w:szCs w:val="22"/>
          <w:u w:val="single"/>
        </w:rPr>
      </w:pPr>
      <w:r>
        <w:rPr>
          <w:rFonts w:hint="eastAsia"/>
          <w:u w:val="single"/>
        </w:rPr>
        <w:t>废水污染物出厂排放量：</w:t>
      </w:r>
    </w:p>
    <w:p w:rsidR="00EE56C0" w:rsidRDefault="000F36A1">
      <w:pPr>
        <w:spacing w:line="480" w:lineRule="exact"/>
        <w:ind w:firstLine="480"/>
        <w:rPr>
          <w:u w:val="single"/>
        </w:rPr>
      </w:pPr>
      <w:r>
        <w:rPr>
          <w:u w:val="single"/>
        </w:rPr>
        <w:t xml:space="preserve">COD0.0837 </w:t>
      </w:r>
      <w:r>
        <w:rPr>
          <w:rFonts w:hint="eastAsia"/>
          <w:u w:val="single"/>
        </w:rPr>
        <w:t>t</w:t>
      </w:r>
      <w:r>
        <w:rPr>
          <w:u w:val="single"/>
        </w:rPr>
        <w:t>/a</w:t>
      </w:r>
      <w:r>
        <w:rPr>
          <w:rFonts w:hint="eastAsia"/>
          <w:u w:val="single"/>
        </w:rPr>
        <w:t>、</w:t>
      </w:r>
      <w:r>
        <w:rPr>
          <w:u w:val="single"/>
        </w:rPr>
        <w:t>NH</w:t>
      </w:r>
      <w:r>
        <w:rPr>
          <w:u w:val="single"/>
          <w:vertAlign w:val="subscript"/>
        </w:rPr>
        <w:t>3</w:t>
      </w:r>
      <w:r>
        <w:rPr>
          <w:u w:val="single"/>
        </w:rPr>
        <w:t>-N0.</w:t>
      </w:r>
      <w:r>
        <w:rPr>
          <w:rFonts w:hint="eastAsia"/>
          <w:u w:val="single"/>
        </w:rPr>
        <w:t>008</w:t>
      </w:r>
      <w:r>
        <w:rPr>
          <w:u w:val="single"/>
        </w:rPr>
        <w:t>t/a</w:t>
      </w:r>
      <w:r>
        <w:rPr>
          <w:rFonts w:hint="eastAsia"/>
          <w:u w:val="single"/>
        </w:rPr>
        <w:t>、</w:t>
      </w:r>
      <w:r>
        <w:rPr>
          <w:u w:val="single"/>
        </w:rPr>
        <w:t>TP0.00</w:t>
      </w:r>
      <w:r>
        <w:rPr>
          <w:rFonts w:hint="eastAsia"/>
          <w:u w:val="single"/>
        </w:rPr>
        <w:t>14</w:t>
      </w:r>
      <w:r>
        <w:rPr>
          <w:u w:val="single"/>
        </w:rPr>
        <w:t>t/a</w:t>
      </w:r>
      <w:r>
        <w:rPr>
          <w:rFonts w:hint="eastAsia"/>
          <w:u w:val="single"/>
        </w:rPr>
        <w:t>、</w:t>
      </w:r>
      <w:r>
        <w:rPr>
          <w:u w:val="single"/>
        </w:rPr>
        <w:t>TN</w:t>
      </w:r>
      <w:r>
        <w:rPr>
          <w:rFonts w:hint="eastAsia"/>
          <w:u w:val="single"/>
        </w:rPr>
        <w:t>0.0098</w:t>
      </w:r>
      <w:r>
        <w:rPr>
          <w:u w:val="single"/>
        </w:rPr>
        <w:t>t/a</w:t>
      </w:r>
      <w:r>
        <w:rPr>
          <w:rFonts w:hint="eastAsia"/>
          <w:u w:val="single"/>
        </w:rPr>
        <w:t>；</w:t>
      </w:r>
    </w:p>
    <w:p w:rsidR="00EE56C0" w:rsidRDefault="000F36A1">
      <w:pPr>
        <w:spacing w:line="480" w:lineRule="exact"/>
        <w:ind w:firstLine="480"/>
        <w:rPr>
          <w:u w:val="single"/>
        </w:rPr>
      </w:pPr>
      <w:r>
        <w:rPr>
          <w:rFonts w:hint="eastAsia"/>
          <w:u w:val="single"/>
        </w:rPr>
        <w:t>经新乡县综合污水处理厂处理后排放量：</w:t>
      </w:r>
    </w:p>
    <w:p w:rsidR="00EE56C0" w:rsidRDefault="000F36A1">
      <w:pPr>
        <w:spacing w:line="480" w:lineRule="exact"/>
        <w:ind w:firstLine="480"/>
        <w:rPr>
          <w:u w:val="single"/>
        </w:rPr>
      </w:pPr>
      <w:r>
        <w:rPr>
          <w:u w:val="single"/>
        </w:rPr>
        <w:t>COD</w:t>
      </w:r>
      <w:r>
        <w:rPr>
          <w:rFonts w:hint="eastAsia"/>
          <w:szCs w:val="22"/>
          <w:u w:val="single"/>
        </w:rPr>
        <w:t>0.0178</w:t>
      </w:r>
      <w:r>
        <w:rPr>
          <w:u w:val="single"/>
        </w:rPr>
        <w:t>t/a</w:t>
      </w:r>
      <w:r>
        <w:rPr>
          <w:rFonts w:hint="eastAsia"/>
          <w:u w:val="single"/>
        </w:rPr>
        <w:t>、</w:t>
      </w:r>
      <w:r>
        <w:rPr>
          <w:u w:val="single"/>
        </w:rPr>
        <w:t>NH</w:t>
      </w:r>
      <w:r>
        <w:rPr>
          <w:u w:val="single"/>
          <w:vertAlign w:val="subscript"/>
        </w:rPr>
        <w:t>3</w:t>
      </w:r>
      <w:r>
        <w:rPr>
          <w:u w:val="single"/>
        </w:rPr>
        <w:t>-N 0.0</w:t>
      </w:r>
      <w:r>
        <w:rPr>
          <w:rFonts w:hint="eastAsia"/>
          <w:u w:val="single"/>
        </w:rPr>
        <w:t>009</w:t>
      </w:r>
      <w:r>
        <w:rPr>
          <w:u w:val="single"/>
        </w:rPr>
        <w:t>t/a</w:t>
      </w:r>
      <w:r>
        <w:rPr>
          <w:rFonts w:hint="eastAsia"/>
          <w:u w:val="single"/>
        </w:rPr>
        <w:t>、</w:t>
      </w:r>
      <w:r>
        <w:rPr>
          <w:u w:val="single"/>
        </w:rPr>
        <w:t>TP0.00</w:t>
      </w:r>
      <w:r>
        <w:rPr>
          <w:rFonts w:hint="eastAsia"/>
          <w:u w:val="single"/>
        </w:rPr>
        <w:t>02</w:t>
      </w:r>
      <w:r>
        <w:rPr>
          <w:u w:val="single"/>
        </w:rPr>
        <w:t>t/a</w:t>
      </w:r>
      <w:r>
        <w:rPr>
          <w:rFonts w:hint="eastAsia"/>
          <w:u w:val="single"/>
        </w:rPr>
        <w:t>、</w:t>
      </w:r>
      <w:r>
        <w:rPr>
          <w:u w:val="single"/>
        </w:rPr>
        <w:t>TN 0.</w:t>
      </w:r>
      <w:r>
        <w:rPr>
          <w:rFonts w:hint="eastAsia"/>
          <w:u w:val="single"/>
        </w:rPr>
        <w:t>0067t</w:t>
      </w:r>
      <w:r>
        <w:rPr>
          <w:u w:val="single"/>
        </w:rPr>
        <w:t>/a</w:t>
      </w:r>
      <w:r>
        <w:rPr>
          <w:rFonts w:hint="eastAsia"/>
          <w:u w:val="single"/>
        </w:rPr>
        <w:t>；</w:t>
      </w:r>
    </w:p>
    <w:p w:rsidR="00EE56C0" w:rsidRDefault="000F36A1">
      <w:pPr>
        <w:spacing w:line="480" w:lineRule="exact"/>
        <w:ind w:firstLine="480"/>
        <w:rPr>
          <w:u w:val="single"/>
        </w:rPr>
      </w:pPr>
      <w:r>
        <w:rPr>
          <w:rFonts w:hint="eastAsia"/>
          <w:u w:val="single"/>
        </w:rPr>
        <w:t>（</w:t>
      </w:r>
      <w:r>
        <w:rPr>
          <w:rFonts w:hint="eastAsia"/>
          <w:u w:val="single"/>
        </w:rPr>
        <w:t>2</w:t>
      </w:r>
      <w:r>
        <w:rPr>
          <w:rFonts w:hint="eastAsia"/>
          <w:u w:val="single"/>
        </w:rPr>
        <w:t>）二期工程</w:t>
      </w:r>
    </w:p>
    <w:p w:rsidR="00EE56C0" w:rsidRDefault="000F36A1">
      <w:pPr>
        <w:spacing w:line="480" w:lineRule="exact"/>
        <w:ind w:firstLine="480"/>
        <w:rPr>
          <w:u w:val="single"/>
        </w:rPr>
      </w:pPr>
      <w:r>
        <w:rPr>
          <w:rFonts w:hint="eastAsia"/>
          <w:u w:val="single"/>
        </w:rPr>
        <w:t>废水排放量</w:t>
      </w:r>
      <w:r>
        <w:rPr>
          <w:rFonts w:hint="eastAsia"/>
          <w:u w:val="single"/>
        </w:rPr>
        <w:t>0.1623</w:t>
      </w:r>
      <w:r>
        <w:rPr>
          <w:rFonts w:hint="eastAsia"/>
          <w:u w:val="single"/>
        </w:rPr>
        <w:t>万</w:t>
      </w:r>
      <w:r>
        <w:rPr>
          <w:u w:val="single"/>
        </w:rPr>
        <w:t>t/a</w:t>
      </w:r>
      <w:r>
        <w:rPr>
          <w:rFonts w:hint="eastAsia"/>
          <w:u w:val="single"/>
        </w:rPr>
        <w:t>。</w:t>
      </w:r>
    </w:p>
    <w:p w:rsidR="00EE56C0" w:rsidRDefault="000F36A1">
      <w:pPr>
        <w:spacing w:line="480" w:lineRule="exact"/>
        <w:ind w:firstLine="480"/>
        <w:rPr>
          <w:szCs w:val="22"/>
          <w:u w:val="single"/>
        </w:rPr>
      </w:pPr>
      <w:r>
        <w:rPr>
          <w:rFonts w:hint="eastAsia"/>
          <w:u w:val="single"/>
        </w:rPr>
        <w:t>废水污染物出厂排放量：</w:t>
      </w:r>
    </w:p>
    <w:p w:rsidR="00EE56C0" w:rsidRDefault="000F36A1">
      <w:pPr>
        <w:spacing w:line="480" w:lineRule="exact"/>
        <w:ind w:firstLine="480"/>
        <w:rPr>
          <w:u w:val="single"/>
        </w:rPr>
      </w:pPr>
      <w:r>
        <w:rPr>
          <w:u w:val="single"/>
        </w:rPr>
        <w:t>COD0.0</w:t>
      </w:r>
      <w:r>
        <w:rPr>
          <w:rFonts w:hint="eastAsia"/>
          <w:u w:val="single"/>
        </w:rPr>
        <w:t>2889</w:t>
      </w:r>
      <w:r>
        <w:rPr>
          <w:u w:val="single"/>
        </w:rPr>
        <w:t>t/a</w:t>
      </w:r>
      <w:r>
        <w:rPr>
          <w:rFonts w:hint="eastAsia"/>
          <w:u w:val="single"/>
        </w:rPr>
        <w:t>、</w:t>
      </w:r>
      <w:r>
        <w:rPr>
          <w:u w:val="single"/>
        </w:rPr>
        <w:t>NH</w:t>
      </w:r>
      <w:r>
        <w:rPr>
          <w:u w:val="single"/>
          <w:vertAlign w:val="subscript"/>
        </w:rPr>
        <w:t>3</w:t>
      </w:r>
      <w:r>
        <w:rPr>
          <w:u w:val="single"/>
        </w:rPr>
        <w:t>-N0.0</w:t>
      </w:r>
      <w:r>
        <w:rPr>
          <w:rFonts w:hint="eastAsia"/>
          <w:u w:val="single"/>
        </w:rPr>
        <w:t>278</w:t>
      </w:r>
      <w:r>
        <w:rPr>
          <w:u w:val="single"/>
        </w:rPr>
        <w:t xml:space="preserve"> t/a</w:t>
      </w:r>
      <w:r>
        <w:rPr>
          <w:rFonts w:hint="eastAsia"/>
          <w:u w:val="single"/>
        </w:rPr>
        <w:t>、</w:t>
      </w:r>
      <w:r>
        <w:rPr>
          <w:u w:val="single"/>
        </w:rPr>
        <w:t>TP0.00</w:t>
      </w:r>
      <w:r>
        <w:rPr>
          <w:rFonts w:hint="eastAsia"/>
          <w:u w:val="single"/>
        </w:rPr>
        <w:t>51</w:t>
      </w:r>
      <w:r>
        <w:rPr>
          <w:u w:val="single"/>
        </w:rPr>
        <w:t>t/a</w:t>
      </w:r>
      <w:r>
        <w:rPr>
          <w:rFonts w:hint="eastAsia"/>
          <w:u w:val="single"/>
        </w:rPr>
        <w:t>、</w:t>
      </w:r>
      <w:r>
        <w:rPr>
          <w:u w:val="single"/>
        </w:rPr>
        <w:t>TN0.0</w:t>
      </w:r>
      <w:r>
        <w:rPr>
          <w:rFonts w:hint="eastAsia"/>
          <w:u w:val="single"/>
        </w:rPr>
        <w:t>343</w:t>
      </w:r>
      <w:r>
        <w:rPr>
          <w:u w:val="single"/>
        </w:rPr>
        <w:t>t/a</w:t>
      </w:r>
      <w:r>
        <w:rPr>
          <w:rFonts w:hint="eastAsia"/>
          <w:u w:val="single"/>
        </w:rPr>
        <w:t>；</w:t>
      </w:r>
    </w:p>
    <w:p w:rsidR="00EE56C0" w:rsidRDefault="000F36A1">
      <w:pPr>
        <w:spacing w:line="480" w:lineRule="exact"/>
        <w:ind w:firstLine="480"/>
        <w:rPr>
          <w:u w:val="single"/>
        </w:rPr>
      </w:pPr>
      <w:r>
        <w:rPr>
          <w:rFonts w:hint="eastAsia"/>
          <w:u w:val="single"/>
        </w:rPr>
        <w:t>经新乡县综合污水处理厂处理后排放量：</w:t>
      </w:r>
    </w:p>
    <w:p w:rsidR="00EE56C0" w:rsidRDefault="000F36A1">
      <w:pPr>
        <w:spacing w:line="480" w:lineRule="exact"/>
        <w:ind w:firstLine="480"/>
        <w:rPr>
          <w:u w:val="single"/>
        </w:rPr>
      </w:pPr>
      <w:r>
        <w:rPr>
          <w:u w:val="single"/>
        </w:rPr>
        <w:t>COD</w:t>
      </w:r>
      <w:r>
        <w:rPr>
          <w:rFonts w:hint="eastAsia"/>
          <w:u w:val="single"/>
        </w:rPr>
        <w:t>0.0649</w:t>
      </w:r>
      <w:r>
        <w:rPr>
          <w:u w:val="single"/>
        </w:rPr>
        <w:t>t/a</w:t>
      </w:r>
      <w:r>
        <w:rPr>
          <w:rFonts w:hint="eastAsia"/>
          <w:u w:val="single"/>
        </w:rPr>
        <w:t>、</w:t>
      </w:r>
      <w:r>
        <w:rPr>
          <w:u w:val="single"/>
        </w:rPr>
        <w:t>NH</w:t>
      </w:r>
      <w:r>
        <w:rPr>
          <w:u w:val="single"/>
          <w:vertAlign w:val="subscript"/>
        </w:rPr>
        <w:t>3</w:t>
      </w:r>
      <w:r>
        <w:rPr>
          <w:u w:val="single"/>
        </w:rPr>
        <w:t>-N 0.0</w:t>
      </w:r>
      <w:r>
        <w:rPr>
          <w:rFonts w:hint="eastAsia"/>
          <w:u w:val="single"/>
        </w:rPr>
        <w:t>032</w:t>
      </w:r>
      <w:r>
        <w:rPr>
          <w:u w:val="single"/>
        </w:rPr>
        <w:t>t/a</w:t>
      </w:r>
      <w:r>
        <w:rPr>
          <w:rFonts w:hint="eastAsia"/>
          <w:u w:val="single"/>
        </w:rPr>
        <w:t>、</w:t>
      </w:r>
      <w:r>
        <w:rPr>
          <w:u w:val="single"/>
        </w:rPr>
        <w:t>TP0.0</w:t>
      </w:r>
      <w:r>
        <w:rPr>
          <w:rFonts w:hint="eastAsia"/>
          <w:u w:val="single"/>
        </w:rPr>
        <w:t>006</w:t>
      </w:r>
      <w:r>
        <w:rPr>
          <w:u w:val="single"/>
        </w:rPr>
        <w:t>t/a</w:t>
      </w:r>
      <w:r>
        <w:rPr>
          <w:rFonts w:hint="eastAsia"/>
          <w:u w:val="single"/>
        </w:rPr>
        <w:t>、</w:t>
      </w:r>
      <w:r>
        <w:rPr>
          <w:u w:val="single"/>
        </w:rPr>
        <w:t>TN0.</w:t>
      </w:r>
      <w:r>
        <w:rPr>
          <w:rFonts w:hint="eastAsia"/>
          <w:u w:val="single"/>
        </w:rPr>
        <w:t>0243</w:t>
      </w:r>
      <w:r>
        <w:rPr>
          <w:u w:val="single"/>
        </w:rPr>
        <w:t>t/a</w:t>
      </w:r>
      <w:r>
        <w:rPr>
          <w:rFonts w:hint="eastAsia"/>
          <w:u w:val="single"/>
        </w:rPr>
        <w:t>；</w:t>
      </w:r>
    </w:p>
    <w:p w:rsidR="00EE56C0" w:rsidRDefault="000F36A1">
      <w:pPr>
        <w:spacing w:line="480" w:lineRule="exact"/>
        <w:ind w:firstLine="480"/>
        <w:rPr>
          <w:u w:val="single"/>
        </w:rPr>
      </w:pPr>
      <w:r>
        <w:rPr>
          <w:rFonts w:hint="eastAsia"/>
          <w:u w:val="single"/>
        </w:rPr>
        <w:t>（</w:t>
      </w:r>
      <w:r>
        <w:rPr>
          <w:rFonts w:hint="eastAsia"/>
          <w:u w:val="single"/>
        </w:rPr>
        <w:t>3</w:t>
      </w:r>
      <w:r>
        <w:rPr>
          <w:rFonts w:hint="eastAsia"/>
          <w:u w:val="single"/>
        </w:rPr>
        <w:t>）项目建成后，废水排放量</w:t>
      </w:r>
      <w:r>
        <w:rPr>
          <w:rFonts w:hint="eastAsia"/>
          <w:u w:val="single"/>
        </w:rPr>
        <w:t>0.2067</w:t>
      </w:r>
      <w:r>
        <w:rPr>
          <w:rFonts w:hint="eastAsia"/>
          <w:u w:val="single"/>
        </w:rPr>
        <w:t>万</w:t>
      </w:r>
      <w:r>
        <w:rPr>
          <w:u w:val="single"/>
        </w:rPr>
        <w:t>t/a</w:t>
      </w:r>
      <w:r>
        <w:rPr>
          <w:rFonts w:hint="eastAsia"/>
          <w:u w:val="single"/>
        </w:rPr>
        <w:t>。</w:t>
      </w:r>
    </w:p>
    <w:p w:rsidR="00EE56C0" w:rsidRDefault="000F36A1">
      <w:pPr>
        <w:spacing w:line="480" w:lineRule="exact"/>
        <w:ind w:firstLine="480"/>
        <w:rPr>
          <w:szCs w:val="22"/>
          <w:u w:val="single"/>
        </w:rPr>
      </w:pPr>
      <w:r>
        <w:rPr>
          <w:rFonts w:hint="eastAsia"/>
          <w:u w:val="single"/>
        </w:rPr>
        <w:t>项目建成后，废水污染物出厂排放量：</w:t>
      </w:r>
    </w:p>
    <w:p w:rsidR="00EE56C0" w:rsidRDefault="000F36A1">
      <w:pPr>
        <w:spacing w:line="480" w:lineRule="exact"/>
        <w:ind w:firstLine="480"/>
        <w:rPr>
          <w:u w:val="single"/>
        </w:rPr>
      </w:pPr>
      <w:r>
        <w:rPr>
          <w:u w:val="single"/>
        </w:rPr>
        <w:t>COD</w:t>
      </w:r>
      <w:r>
        <w:rPr>
          <w:rFonts w:hint="eastAsia"/>
          <w:u w:val="single"/>
        </w:rPr>
        <w:t>0.3726</w:t>
      </w:r>
      <w:r>
        <w:rPr>
          <w:u w:val="single"/>
        </w:rPr>
        <w:t>t/a</w:t>
      </w:r>
      <w:r>
        <w:rPr>
          <w:rFonts w:hint="eastAsia"/>
          <w:u w:val="single"/>
        </w:rPr>
        <w:t>、</w:t>
      </w:r>
      <w:r>
        <w:rPr>
          <w:u w:val="single"/>
        </w:rPr>
        <w:t>NH</w:t>
      </w:r>
      <w:r>
        <w:rPr>
          <w:u w:val="single"/>
          <w:vertAlign w:val="subscript"/>
        </w:rPr>
        <w:t>3</w:t>
      </w:r>
      <w:r>
        <w:rPr>
          <w:u w:val="single"/>
        </w:rPr>
        <w:t>-N0.</w:t>
      </w:r>
      <w:r>
        <w:rPr>
          <w:rFonts w:hint="eastAsia"/>
          <w:u w:val="single"/>
        </w:rPr>
        <w:t>0357</w:t>
      </w:r>
      <w:r>
        <w:rPr>
          <w:u w:val="single"/>
        </w:rPr>
        <w:t>t/a</w:t>
      </w:r>
      <w:r>
        <w:rPr>
          <w:rFonts w:hint="eastAsia"/>
          <w:u w:val="single"/>
        </w:rPr>
        <w:t>、</w:t>
      </w:r>
      <w:r>
        <w:rPr>
          <w:u w:val="single"/>
        </w:rPr>
        <w:t>TP 0.00</w:t>
      </w:r>
      <w:r>
        <w:rPr>
          <w:rFonts w:hint="eastAsia"/>
          <w:u w:val="single"/>
        </w:rPr>
        <w:t>65</w:t>
      </w:r>
      <w:r>
        <w:rPr>
          <w:u w:val="single"/>
        </w:rPr>
        <w:t>t/a</w:t>
      </w:r>
      <w:r>
        <w:rPr>
          <w:rFonts w:hint="eastAsia"/>
          <w:u w:val="single"/>
        </w:rPr>
        <w:t>、</w:t>
      </w:r>
      <w:r>
        <w:rPr>
          <w:u w:val="single"/>
        </w:rPr>
        <w:t>TN</w:t>
      </w:r>
      <w:r>
        <w:rPr>
          <w:rFonts w:hint="eastAsia"/>
          <w:u w:val="single"/>
        </w:rPr>
        <w:t>0.0441</w:t>
      </w:r>
      <w:r>
        <w:rPr>
          <w:u w:val="single"/>
        </w:rPr>
        <w:t>t/a</w:t>
      </w:r>
      <w:r>
        <w:rPr>
          <w:rFonts w:hint="eastAsia"/>
          <w:u w:val="single"/>
        </w:rPr>
        <w:t>；</w:t>
      </w:r>
    </w:p>
    <w:p w:rsidR="00EE56C0" w:rsidRDefault="000F36A1">
      <w:pPr>
        <w:spacing w:line="480" w:lineRule="exact"/>
        <w:ind w:firstLine="480"/>
        <w:rPr>
          <w:u w:val="single"/>
        </w:rPr>
      </w:pPr>
      <w:r>
        <w:rPr>
          <w:rFonts w:hint="eastAsia"/>
          <w:u w:val="single"/>
        </w:rPr>
        <w:t>经新乡县综合污水处理厂处理后排放量：</w:t>
      </w:r>
    </w:p>
    <w:p w:rsidR="00EE56C0" w:rsidRDefault="000F36A1">
      <w:pPr>
        <w:ind w:firstLine="480"/>
        <w:rPr>
          <w:u w:val="single"/>
        </w:rPr>
      </w:pPr>
      <w:r>
        <w:rPr>
          <w:u w:val="single"/>
        </w:rPr>
        <w:t>COD</w:t>
      </w:r>
      <w:r>
        <w:rPr>
          <w:rFonts w:hint="eastAsia"/>
          <w:u w:val="single"/>
        </w:rPr>
        <w:t>0.0827</w:t>
      </w:r>
      <w:r>
        <w:rPr>
          <w:u w:val="single"/>
        </w:rPr>
        <w:t>t/a</w:t>
      </w:r>
      <w:r>
        <w:rPr>
          <w:rFonts w:hint="eastAsia"/>
          <w:u w:val="single"/>
        </w:rPr>
        <w:t>、</w:t>
      </w:r>
      <w:r>
        <w:rPr>
          <w:u w:val="single"/>
        </w:rPr>
        <w:t>NH</w:t>
      </w:r>
      <w:r>
        <w:rPr>
          <w:u w:val="single"/>
          <w:vertAlign w:val="subscript"/>
        </w:rPr>
        <w:t>3</w:t>
      </w:r>
      <w:r>
        <w:rPr>
          <w:u w:val="single"/>
        </w:rPr>
        <w:t>-N0.0</w:t>
      </w:r>
      <w:r>
        <w:rPr>
          <w:rFonts w:hint="eastAsia"/>
          <w:u w:val="single"/>
        </w:rPr>
        <w:t>041</w:t>
      </w:r>
      <w:r>
        <w:rPr>
          <w:u w:val="single"/>
        </w:rPr>
        <w:t>t/a</w:t>
      </w:r>
      <w:r>
        <w:rPr>
          <w:rFonts w:hint="eastAsia"/>
          <w:u w:val="single"/>
        </w:rPr>
        <w:t>、</w:t>
      </w:r>
      <w:r>
        <w:rPr>
          <w:u w:val="single"/>
        </w:rPr>
        <w:t>TP0.00</w:t>
      </w:r>
      <w:r>
        <w:rPr>
          <w:rFonts w:hint="eastAsia"/>
          <w:u w:val="single"/>
        </w:rPr>
        <w:t>08</w:t>
      </w:r>
      <w:r>
        <w:rPr>
          <w:u w:val="single"/>
        </w:rPr>
        <w:t>t/a</w:t>
      </w:r>
      <w:r>
        <w:rPr>
          <w:rFonts w:hint="eastAsia"/>
          <w:u w:val="single"/>
        </w:rPr>
        <w:t>、</w:t>
      </w:r>
      <w:r>
        <w:rPr>
          <w:u w:val="single"/>
        </w:rPr>
        <w:t>TN</w:t>
      </w:r>
      <w:r>
        <w:rPr>
          <w:rFonts w:hint="eastAsia"/>
          <w:u w:val="single"/>
        </w:rPr>
        <w:t>0.031</w:t>
      </w:r>
      <w:r>
        <w:rPr>
          <w:u w:val="single"/>
        </w:rPr>
        <w:t>t/a</w:t>
      </w:r>
      <w:r>
        <w:rPr>
          <w:rFonts w:hint="eastAsia"/>
          <w:u w:val="single"/>
        </w:rPr>
        <w:t>；</w:t>
      </w:r>
    </w:p>
    <w:p w:rsidR="00EE56C0" w:rsidRDefault="000F36A1">
      <w:pPr>
        <w:spacing w:line="480" w:lineRule="exact"/>
        <w:ind w:firstLine="482"/>
        <w:rPr>
          <w:b/>
          <w:u w:val="single"/>
        </w:rPr>
      </w:pPr>
      <w:r>
        <w:rPr>
          <w:rFonts w:hint="eastAsia"/>
          <w:b/>
          <w:u w:val="single"/>
        </w:rPr>
        <w:t>废水污染物替代方案：</w:t>
      </w:r>
    </w:p>
    <w:p w:rsidR="00EE56C0" w:rsidRDefault="000F36A1">
      <w:pPr>
        <w:ind w:firstLine="480"/>
        <w:rPr>
          <w:u w:val="single"/>
        </w:rPr>
      </w:pPr>
      <w:r>
        <w:rPr>
          <w:rFonts w:hint="eastAsia"/>
          <w:bCs/>
          <w:u w:val="single"/>
        </w:rPr>
        <w:t>本项目达产建成后废水排放量为</w:t>
      </w:r>
      <w:r>
        <w:rPr>
          <w:rFonts w:hint="eastAsia"/>
          <w:bCs/>
          <w:u w:val="single"/>
        </w:rPr>
        <w:t>0.2067</w:t>
      </w:r>
      <w:r>
        <w:rPr>
          <w:rFonts w:hint="eastAsia"/>
          <w:bCs/>
          <w:u w:val="single"/>
        </w:rPr>
        <w:t>万</w:t>
      </w:r>
      <w:r>
        <w:rPr>
          <w:bCs/>
          <w:u w:val="single"/>
        </w:rPr>
        <w:t>t/a</w:t>
      </w:r>
      <w:r>
        <w:rPr>
          <w:rFonts w:hint="eastAsia"/>
          <w:bCs/>
          <w:u w:val="single"/>
        </w:rPr>
        <w:t>，</w:t>
      </w:r>
      <w:r>
        <w:rPr>
          <w:rFonts w:hint="eastAsia"/>
          <w:u w:val="single"/>
        </w:rPr>
        <w:t>新增水污染物排放量为</w:t>
      </w:r>
      <w:r>
        <w:rPr>
          <w:u w:val="single"/>
        </w:rPr>
        <w:t>COD</w:t>
      </w:r>
      <w:r>
        <w:rPr>
          <w:rFonts w:hint="eastAsia"/>
          <w:u w:val="single"/>
        </w:rPr>
        <w:t>0.0827</w:t>
      </w:r>
      <w:r>
        <w:rPr>
          <w:u w:val="single"/>
        </w:rPr>
        <w:t>t/a</w:t>
      </w:r>
      <w:r>
        <w:rPr>
          <w:rFonts w:hint="eastAsia"/>
          <w:u w:val="single"/>
        </w:rPr>
        <w:t>、</w:t>
      </w:r>
      <w:r>
        <w:rPr>
          <w:u w:val="single"/>
        </w:rPr>
        <w:t>NH</w:t>
      </w:r>
      <w:r>
        <w:rPr>
          <w:u w:val="single"/>
          <w:vertAlign w:val="subscript"/>
        </w:rPr>
        <w:t>3</w:t>
      </w:r>
      <w:r>
        <w:rPr>
          <w:u w:val="single"/>
        </w:rPr>
        <w:t>-N0.0</w:t>
      </w:r>
      <w:r>
        <w:rPr>
          <w:rFonts w:hint="eastAsia"/>
          <w:u w:val="single"/>
        </w:rPr>
        <w:t>041</w:t>
      </w:r>
      <w:r>
        <w:rPr>
          <w:u w:val="single"/>
        </w:rPr>
        <w:t>t/a</w:t>
      </w:r>
      <w:r>
        <w:rPr>
          <w:rFonts w:hint="eastAsia"/>
          <w:u w:val="single"/>
        </w:rPr>
        <w:t>，经双倍替代后所需替代量为：</w:t>
      </w:r>
      <w:r>
        <w:rPr>
          <w:u w:val="single"/>
        </w:rPr>
        <w:t>COD</w:t>
      </w:r>
      <w:r>
        <w:rPr>
          <w:rFonts w:hint="eastAsia"/>
          <w:u w:val="single"/>
        </w:rPr>
        <w:t>0.1654t/</w:t>
      </w:r>
      <w:r>
        <w:rPr>
          <w:u w:val="single"/>
        </w:rPr>
        <w:t>a</w:t>
      </w:r>
      <w:r>
        <w:rPr>
          <w:rFonts w:hint="eastAsia"/>
          <w:u w:val="single"/>
        </w:rPr>
        <w:t>、</w:t>
      </w:r>
      <w:r>
        <w:rPr>
          <w:u w:val="single"/>
        </w:rPr>
        <w:lastRenderedPageBreak/>
        <w:t>NH3-N</w:t>
      </w:r>
      <w:r>
        <w:rPr>
          <w:rFonts w:hint="eastAsia"/>
          <w:u w:val="single"/>
        </w:rPr>
        <w:t>0.0082</w:t>
      </w:r>
      <w:r>
        <w:rPr>
          <w:u w:val="single"/>
        </w:rPr>
        <w:t>t/a</w:t>
      </w:r>
      <w:r>
        <w:rPr>
          <w:rFonts w:hint="eastAsia"/>
          <w:u w:val="single"/>
        </w:rPr>
        <w:t>，拟从</w:t>
      </w:r>
      <w:r w:rsidR="00971E69" w:rsidRPr="00971E69">
        <w:rPr>
          <w:rFonts w:hint="eastAsia"/>
          <w:color w:val="000000"/>
          <w:u w:val="single"/>
        </w:rPr>
        <w:t>延津县新建农村污水处理站形成的削减量</w:t>
      </w:r>
      <w:r w:rsidR="00971E69" w:rsidRPr="00971E69">
        <w:rPr>
          <w:rFonts w:hint="eastAsia"/>
          <w:color w:val="000000"/>
          <w:u w:val="single"/>
        </w:rPr>
        <w:t>COD145.78t/a</w:t>
      </w:r>
      <w:r w:rsidR="00971E69" w:rsidRPr="00971E69">
        <w:rPr>
          <w:rFonts w:hint="eastAsia"/>
          <w:color w:val="000000"/>
          <w:u w:val="single"/>
        </w:rPr>
        <w:t>、氨氮</w:t>
      </w:r>
      <w:r w:rsidR="00971E69" w:rsidRPr="00971E69">
        <w:rPr>
          <w:rFonts w:hint="eastAsia"/>
          <w:color w:val="000000"/>
          <w:u w:val="single"/>
        </w:rPr>
        <w:t>20.52t/a</w:t>
      </w:r>
      <w:r w:rsidR="00971E69" w:rsidRPr="00971E69">
        <w:rPr>
          <w:rFonts w:hint="eastAsia"/>
          <w:color w:val="000000"/>
          <w:u w:val="single"/>
        </w:rPr>
        <w:t>中</w:t>
      </w:r>
      <w:r w:rsidR="00971E69" w:rsidRPr="00971E69">
        <w:rPr>
          <w:bCs/>
          <w:color w:val="000000"/>
          <w:u w:val="single"/>
        </w:rPr>
        <w:t>调剂给本项目</w:t>
      </w:r>
      <w:r w:rsidR="00971E69" w:rsidRPr="00971E69">
        <w:rPr>
          <w:rFonts w:hint="eastAsia"/>
          <w:bCs/>
          <w:color w:val="000000"/>
          <w:u w:val="single"/>
        </w:rPr>
        <w:t>COD0.1654</w:t>
      </w:r>
      <w:r w:rsidR="00971E69" w:rsidRPr="00971E69">
        <w:rPr>
          <w:bCs/>
          <w:color w:val="000000"/>
          <w:u w:val="single"/>
        </w:rPr>
        <w:t>t/a</w:t>
      </w:r>
      <w:r w:rsidR="00971E69" w:rsidRPr="00971E69">
        <w:rPr>
          <w:bCs/>
          <w:color w:val="000000"/>
          <w:u w:val="single"/>
        </w:rPr>
        <w:t>、氨氮</w:t>
      </w:r>
      <w:r w:rsidR="00971E69" w:rsidRPr="00971E69">
        <w:rPr>
          <w:rFonts w:hint="eastAsia"/>
          <w:bCs/>
          <w:color w:val="000000"/>
          <w:u w:val="single"/>
        </w:rPr>
        <w:t>0.0082t/a</w:t>
      </w:r>
      <w:r w:rsidR="00971E69" w:rsidRPr="00971E69">
        <w:rPr>
          <w:bCs/>
          <w:color w:val="000000"/>
          <w:u w:val="single"/>
        </w:rPr>
        <w:t>作为替代量</w:t>
      </w:r>
      <w:r w:rsidRPr="00971E69">
        <w:rPr>
          <w:rFonts w:hint="eastAsia"/>
          <w:u w:val="single"/>
        </w:rPr>
        <w:t>。</w:t>
      </w:r>
    </w:p>
    <w:p w:rsidR="00EE56C0" w:rsidRDefault="000F36A1">
      <w:pPr>
        <w:ind w:firstLine="480"/>
        <w:rPr>
          <w:u w:val="single"/>
        </w:rPr>
      </w:pPr>
      <w:r>
        <w:rPr>
          <w:rFonts w:hint="eastAsia"/>
          <w:u w:val="single"/>
        </w:rPr>
        <w:t>2</w:t>
      </w:r>
      <w:r>
        <w:rPr>
          <w:rFonts w:hint="eastAsia"/>
          <w:u w:val="single"/>
        </w:rPr>
        <w:t>、废气</w:t>
      </w:r>
    </w:p>
    <w:p w:rsidR="00EE56C0" w:rsidRDefault="000F36A1">
      <w:pPr>
        <w:spacing w:line="480" w:lineRule="exact"/>
        <w:ind w:firstLine="480"/>
        <w:rPr>
          <w:u w:val="single"/>
        </w:rPr>
      </w:pPr>
      <w:r>
        <w:rPr>
          <w:rFonts w:hint="eastAsia"/>
          <w:u w:val="single"/>
        </w:rPr>
        <w:t>（</w:t>
      </w:r>
      <w:r>
        <w:rPr>
          <w:rFonts w:hint="eastAsia"/>
          <w:u w:val="single"/>
        </w:rPr>
        <w:t>1</w:t>
      </w:r>
      <w:r>
        <w:rPr>
          <w:rFonts w:hint="eastAsia"/>
          <w:u w:val="single"/>
        </w:rPr>
        <w:t>）一期工程</w:t>
      </w:r>
    </w:p>
    <w:p w:rsidR="00EE56C0" w:rsidRDefault="000F36A1">
      <w:pPr>
        <w:spacing w:line="480" w:lineRule="exact"/>
        <w:ind w:firstLine="480"/>
        <w:rPr>
          <w:u w:val="single"/>
        </w:rPr>
      </w:pPr>
      <w:r>
        <w:rPr>
          <w:rFonts w:hint="eastAsia"/>
          <w:u w:val="single"/>
        </w:rPr>
        <w:t>废气污染物排放量：</w:t>
      </w:r>
      <w:r>
        <w:rPr>
          <w:rFonts w:hint="eastAsia"/>
          <w:u w:val="single"/>
        </w:rPr>
        <w:t>VOCs1.1809</w:t>
      </w:r>
      <w:r>
        <w:rPr>
          <w:u w:val="single"/>
        </w:rPr>
        <w:t>t/a</w:t>
      </w:r>
      <w:r>
        <w:rPr>
          <w:rFonts w:hint="eastAsia"/>
          <w:u w:val="single"/>
        </w:rPr>
        <w:t>（有组织</w:t>
      </w:r>
      <w:r>
        <w:rPr>
          <w:rFonts w:hint="eastAsia"/>
          <w:u w:val="single"/>
        </w:rPr>
        <w:t>0.651t/a</w:t>
      </w:r>
      <w:r>
        <w:rPr>
          <w:rFonts w:hint="eastAsia"/>
          <w:u w:val="single"/>
        </w:rPr>
        <w:t>，无组织</w:t>
      </w:r>
      <w:r>
        <w:rPr>
          <w:rFonts w:hint="eastAsia"/>
          <w:u w:val="single"/>
        </w:rPr>
        <w:t>0.5299t/a</w:t>
      </w:r>
      <w:r>
        <w:rPr>
          <w:rFonts w:hint="eastAsia"/>
          <w:u w:val="single"/>
        </w:rPr>
        <w:t>）</w:t>
      </w:r>
    </w:p>
    <w:p w:rsidR="00EE56C0" w:rsidRDefault="000F36A1">
      <w:pPr>
        <w:spacing w:line="480" w:lineRule="exact"/>
        <w:ind w:firstLine="480"/>
        <w:rPr>
          <w:u w:val="single"/>
        </w:rPr>
      </w:pPr>
      <w:r>
        <w:rPr>
          <w:rFonts w:hint="eastAsia"/>
          <w:u w:val="single"/>
        </w:rPr>
        <w:t>（</w:t>
      </w:r>
      <w:r>
        <w:rPr>
          <w:rFonts w:hint="eastAsia"/>
          <w:u w:val="single"/>
        </w:rPr>
        <w:t>2</w:t>
      </w:r>
      <w:r>
        <w:rPr>
          <w:rFonts w:hint="eastAsia"/>
          <w:u w:val="single"/>
        </w:rPr>
        <w:t>）二期工程</w:t>
      </w:r>
    </w:p>
    <w:p w:rsidR="00EE56C0" w:rsidRDefault="000F36A1">
      <w:pPr>
        <w:spacing w:line="480" w:lineRule="exact"/>
        <w:ind w:firstLine="480"/>
        <w:rPr>
          <w:u w:val="single"/>
        </w:rPr>
      </w:pPr>
      <w:r>
        <w:rPr>
          <w:rFonts w:hint="eastAsia"/>
          <w:u w:val="single"/>
        </w:rPr>
        <w:t>废气污染物排放量：</w:t>
      </w:r>
      <w:r>
        <w:rPr>
          <w:rFonts w:hint="eastAsia"/>
          <w:u w:val="single"/>
        </w:rPr>
        <w:t>VOCs2.0171t/a</w:t>
      </w:r>
      <w:r>
        <w:rPr>
          <w:rFonts w:hint="eastAsia"/>
          <w:u w:val="single"/>
        </w:rPr>
        <w:t>（有组织</w:t>
      </w:r>
      <w:r>
        <w:rPr>
          <w:rFonts w:hint="eastAsia"/>
          <w:u w:val="single"/>
        </w:rPr>
        <w:t>0.6042t/a</w:t>
      </w:r>
      <w:r>
        <w:rPr>
          <w:rFonts w:hint="eastAsia"/>
          <w:u w:val="single"/>
        </w:rPr>
        <w:t>，无组织</w:t>
      </w:r>
      <w:r>
        <w:rPr>
          <w:rFonts w:hint="eastAsia"/>
          <w:u w:val="single"/>
        </w:rPr>
        <w:t>1.4128t/a</w:t>
      </w:r>
      <w:r>
        <w:rPr>
          <w:rFonts w:hint="eastAsia"/>
          <w:u w:val="single"/>
        </w:rPr>
        <w:t>）。</w:t>
      </w:r>
    </w:p>
    <w:p w:rsidR="00EE56C0" w:rsidRDefault="000F36A1">
      <w:pPr>
        <w:spacing w:line="480" w:lineRule="exact"/>
        <w:ind w:firstLine="480"/>
        <w:rPr>
          <w:u w:val="single"/>
        </w:rPr>
      </w:pPr>
      <w:r>
        <w:rPr>
          <w:rFonts w:hint="eastAsia"/>
          <w:u w:val="single"/>
        </w:rPr>
        <w:t>（</w:t>
      </w:r>
      <w:r>
        <w:rPr>
          <w:rFonts w:hint="eastAsia"/>
          <w:u w:val="single"/>
        </w:rPr>
        <w:t>3</w:t>
      </w:r>
      <w:r>
        <w:rPr>
          <w:rFonts w:hint="eastAsia"/>
          <w:u w:val="single"/>
        </w:rPr>
        <w:t>）项目达产后</w:t>
      </w:r>
    </w:p>
    <w:p w:rsidR="00EE56C0" w:rsidRDefault="000F36A1">
      <w:pPr>
        <w:spacing w:line="480" w:lineRule="exact"/>
        <w:ind w:firstLine="480"/>
        <w:rPr>
          <w:highlight w:val="yellow"/>
          <w:u w:val="single"/>
        </w:rPr>
      </w:pPr>
      <w:r>
        <w:rPr>
          <w:rFonts w:hint="eastAsia"/>
          <w:u w:val="single"/>
        </w:rPr>
        <w:t>项目达产后，废气污染物的排放情况：</w:t>
      </w:r>
      <w:r>
        <w:rPr>
          <w:rFonts w:hint="eastAsia"/>
          <w:u w:val="single"/>
        </w:rPr>
        <w:t>VOCs3.198t/a</w:t>
      </w:r>
      <w:r>
        <w:rPr>
          <w:rFonts w:hint="eastAsia"/>
          <w:u w:val="single"/>
        </w:rPr>
        <w:t>（有组织</w:t>
      </w:r>
      <w:r>
        <w:rPr>
          <w:rFonts w:hint="eastAsia"/>
          <w:u w:val="single"/>
        </w:rPr>
        <w:t>1.2552t/a</w:t>
      </w:r>
      <w:r>
        <w:rPr>
          <w:rFonts w:hint="eastAsia"/>
          <w:u w:val="single"/>
        </w:rPr>
        <w:t>，无组织</w:t>
      </w:r>
      <w:r>
        <w:rPr>
          <w:rFonts w:hint="eastAsia"/>
          <w:u w:val="single"/>
        </w:rPr>
        <w:t>1.9428t/a</w:t>
      </w:r>
      <w:r>
        <w:rPr>
          <w:rFonts w:hint="eastAsia"/>
          <w:u w:val="single"/>
        </w:rPr>
        <w:t>）。</w:t>
      </w:r>
    </w:p>
    <w:p w:rsidR="00EE56C0" w:rsidRDefault="000F36A1">
      <w:pPr>
        <w:spacing w:line="480" w:lineRule="exact"/>
        <w:ind w:firstLine="480"/>
        <w:rPr>
          <w:u w:val="single"/>
        </w:rPr>
      </w:pPr>
      <w:r>
        <w:rPr>
          <w:rFonts w:hint="eastAsia"/>
          <w:u w:val="single"/>
        </w:rPr>
        <w:t>通过现有工程以新带老措施，现有工程</w:t>
      </w:r>
      <w:r>
        <w:rPr>
          <w:rFonts w:hint="eastAsia"/>
          <w:u w:val="single"/>
        </w:rPr>
        <w:t>VOCs</w:t>
      </w:r>
      <w:r>
        <w:rPr>
          <w:rFonts w:hint="eastAsia"/>
          <w:u w:val="single"/>
        </w:rPr>
        <w:t>削减量为</w:t>
      </w:r>
      <w:r>
        <w:rPr>
          <w:rFonts w:hint="eastAsia"/>
          <w:u w:val="single"/>
        </w:rPr>
        <w:t>2.0914</w:t>
      </w:r>
      <w:r>
        <w:rPr>
          <w:u w:val="single"/>
        </w:rPr>
        <w:t>t/a</w:t>
      </w:r>
      <w:r>
        <w:rPr>
          <w:rFonts w:hint="eastAsia"/>
          <w:u w:val="single"/>
        </w:rPr>
        <w:t>，本项目新增</w:t>
      </w:r>
      <w:r>
        <w:rPr>
          <w:rFonts w:hint="eastAsia"/>
          <w:u w:val="single"/>
        </w:rPr>
        <w:t>VOCs</w:t>
      </w:r>
      <w:r>
        <w:rPr>
          <w:rFonts w:hint="eastAsia"/>
          <w:u w:val="single"/>
        </w:rPr>
        <w:t>从以新削减量中替代后，新增</w:t>
      </w:r>
      <w:r>
        <w:rPr>
          <w:rFonts w:hint="eastAsia"/>
          <w:u w:val="single"/>
        </w:rPr>
        <w:t>VOCs1.1066</w:t>
      </w:r>
      <w:r>
        <w:rPr>
          <w:u w:val="single"/>
        </w:rPr>
        <w:t>t/a</w:t>
      </w:r>
      <w:r>
        <w:rPr>
          <w:rFonts w:hint="eastAsia"/>
          <w:u w:val="single"/>
        </w:rPr>
        <w:t>。</w:t>
      </w:r>
    </w:p>
    <w:p w:rsidR="00EE56C0" w:rsidRDefault="000F36A1">
      <w:pPr>
        <w:spacing w:line="500" w:lineRule="exact"/>
        <w:ind w:firstLine="482"/>
        <w:rPr>
          <w:b/>
          <w:u w:val="single"/>
        </w:rPr>
      </w:pPr>
      <w:r>
        <w:rPr>
          <w:rFonts w:hint="eastAsia"/>
          <w:b/>
          <w:u w:val="single"/>
        </w:rPr>
        <w:t>废气污染物替代方案：</w:t>
      </w:r>
    </w:p>
    <w:p w:rsidR="00EE56C0" w:rsidRDefault="000F36A1">
      <w:pPr>
        <w:ind w:firstLine="480"/>
        <w:rPr>
          <w:highlight w:val="yellow"/>
        </w:rPr>
      </w:pPr>
      <w:r>
        <w:rPr>
          <w:rFonts w:hint="eastAsia"/>
          <w:u w:val="single"/>
        </w:rPr>
        <w:t>该项目新增大气污染物排放量为：</w:t>
      </w:r>
      <w:r>
        <w:rPr>
          <w:rFonts w:hint="eastAsia"/>
          <w:u w:val="single"/>
        </w:rPr>
        <w:t>VOCs1.1066t/a</w:t>
      </w:r>
      <w:r>
        <w:rPr>
          <w:rFonts w:hint="eastAsia"/>
          <w:u w:val="single"/>
        </w:rPr>
        <w:t>。经双倍替代后所需替代量为：</w:t>
      </w:r>
      <w:r>
        <w:rPr>
          <w:rFonts w:hint="eastAsia"/>
          <w:u w:val="single"/>
        </w:rPr>
        <w:t>VOCs2.2132t/a</w:t>
      </w:r>
      <w:r w:rsidR="00971E69">
        <w:rPr>
          <w:rFonts w:hint="eastAsia"/>
          <w:u w:val="single"/>
        </w:rPr>
        <w:t>，</w:t>
      </w:r>
      <w:r w:rsidR="00971E69" w:rsidRPr="00971E69">
        <w:rPr>
          <w:rFonts w:hint="eastAsia"/>
          <w:color w:val="000000"/>
          <w:u w:val="single"/>
        </w:rPr>
        <w:t>VOC</w:t>
      </w:r>
      <w:r w:rsidR="00971E69" w:rsidRPr="00971E69">
        <w:rPr>
          <w:color w:val="000000"/>
          <w:u w:val="single"/>
        </w:rPr>
        <w:t>排放量</w:t>
      </w:r>
      <w:r w:rsidR="00971E69" w:rsidRPr="00971E69">
        <w:rPr>
          <w:rFonts w:hint="eastAsia"/>
          <w:color w:val="000000"/>
          <w:u w:val="single"/>
        </w:rPr>
        <w:t>从河南粮好仓储设备科技有限公司拆除喷漆房产生的减排量剩余量</w:t>
      </w:r>
      <w:r w:rsidR="00971E69" w:rsidRPr="00971E69">
        <w:rPr>
          <w:rFonts w:hint="eastAsia"/>
          <w:color w:val="000000"/>
          <w:u w:val="single"/>
        </w:rPr>
        <w:t>17.2116t</w:t>
      </w:r>
      <w:r w:rsidR="00971E69" w:rsidRPr="00971E69">
        <w:rPr>
          <w:rFonts w:hint="eastAsia"/>
          <w:color w:val="000000"/>
          <w:u w:val="single"/>
        </w:rPr>
        <w:t>中</w:t>
      </w:r>
      <w:r w:rsidR="00971E69" w:rsidRPr="00971E69">
        <w:rPr>
          <w:bCs/>
          <w:color w:val="000000"/>
          <w:u w:val="single"/>
        </w:rPr>
        <w:t>调剂给本项目</w:t>
      </w:r>
      <w:r w:rsidR="00971E69" w:rsidRPr="00971E69">
        <w:rPr>
          <w:rFonts w:hint="eastAsia"/>
          <w:color w:val="000000"/>
          <w:u w:val="single"/>
        </w:rPr>
        <w:t>VOC2.2132t/a</w:t>
      </w:r>
      <w:r w:rsidR="00971E69" w:rsidRPr="00971E69">
        <w:rPr>
          <w:bCs/>
          <w:color w:val="000000"/>
          <w:u w:val="single"/>
        </w:rPr>
        <w:t>作为替代量</w:t>
      </w:r>
      <w:r>
        <w:rPr>
          <w:rFonts w:hint="eastAsia"/>
        </w:rPr>
        <w:t>。</w:t>
      </w:r>
    </w:p>
    <w:p w:rsidR="00EE56C0" w:rsidRDefault="000F36A1">
      <w:pPr>
        <w:pStyle w:val="2"/>
        <w:ind w:firstLine="301"/>
      </w:pPr>
      <w:bookmarkStart w:id="494" w:name="_Toc25400942"/>
      <w:bookmarkStart w:id="495" w:name="_Toc489346020"/>
      <w:r>
        <w:rPr>
          <w:rFonts w:hint="eastAsia"/>
        </w:rPr>
        <w:t>8.6</w:t>
      </w:r>
      <w:r>
        <w:t>排污口标志管理</w:t>
      </w:r>
      <w:bookmarkEnd w:id="494"/>
      <w:bookmarkEnd w:id="495"/>
    </w:p>
    <w:p w:rsidR="00EE56C0" w:rsidRDefault="000F36A1">
      <w:pPr>
        <w:ind w:firstLine="480"/>
      </w:pPr>
      <w:r>
        <w:t>根据《环境保护图形标志－排放口（源）》（</w:t>
      </w:r>
      <w:r>
        <w:rPr>
          <w:rFonts w:eastAsia="Times New Roman"/>
        </w:rPr>
        <w:t>GB15562.1-1995</w:t>
      </w:r>
      <w:r>
        <w:t>）标准要求，本项目应在废气、废水排放口、固废贮存场所分别设置环境保护图形标志牌，便于污染源监督管理及常规监测工作的进行，具体见表</w:t>
      </w:r>
      <w:r>
        <w:rPr>
          <w:rFonts w:hint="eastAsia"/>
        </w:rPr>
        <w:t>8-14</w:t>
      </w:r>
      <w:r>
        <w:t>。</w:t>
      </w:r>
    </w:p>
    <w:p w:rsidR="00EE56C0" w:rsidRDefault="000F36A1">
      <w:pPr>
        <w:pStyle w:val="afd"/>
        <w:spacing w:before="120" w:after="120"/>
        <w:ind w:firstLine="482"/>
      </w:pPr>
      <w:r>
        <w:t>表</w:t>
      </w:r>
      <w:r>
        <w:rPr>
          <w:rFonts w:hint="eastAsia"/>
        </w:rPr>
        <w:t xml:space="preserve">8-14        </w:t>
      </w:r>
      <w:r>
        <w:t>厂区排污口图形标志一览表</w:t>
      </w:r>
    </w:p>
    <w:tbl>
      <w:tblPr>
        <w:tblW w:w="0" w:type="auto"/>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0" w:type="dxa"/>
          <w:right w:w="0" w:type="dxa"/>
        </w:tblCellMar>
        <w:tblLook w:val="04A0"/>
      </w:tblPr>
      <w:tblGrid>
        <w:gridCol w:w="569"/>
        <w:gridCol w:w="1100"/>
        <w:gridCol w:w="1809"/>
        <w:gridCol w:w="1696"/>
        <w:gridCol w:w="1740"/>
        <w:gridCol w:w="1827"/>
      </w:tblGrid>
      <w:tr w:rsidR="00EE56C0">
        <w:trPr>
          <w:trHeight w:val="454"/>
          <w:jc w:val="center"/>
        </w:trPr>
        <w:tc>
          <w:tcPr>
            <w:tcW w:w="569" w:type="dxa"/>
            <w:vMerge w:val="restart"/>
            <w:vAlign w:val="center"/>
          </w:tcPr>
          <w:p w:rsidR="00EE56C0" w:rsidRDefault="000F36A1">
            <w:pPr>
              <w:pStyle w:val="aff1"/>
              <w:rPr>
                <w:color w:val="auto"/>
              </w:rPr>
            </w:pPr>
            <w:r>
              <w:rPr>
                <w:color w:val="auto"/>
              </w:rPr>
              <w:t>序号</w:t>
            </w:r>
          </w:p>
        </w:tc>
        <w:tc>
          <w:tcPr>
            <w:tcW w:w="1100" w:type="dxa"/>
            <w:vMerge w:val="restart"/>
            <w:vAlign w:val="center"/>
          </w:tcPr>
          <w:p w:rsidR="00EE56C0" w:rsidRDefault="000F36A1">
            <w:pPr>
              <w:pStyle w:val="aff1"/>
              <w:rPr>
                <w:color w:val="auto"/>
              </w:rPr>
            </w:pPr>
            <w:r>
              <w:rPr>
                <w:color w:val="auto"/>
              </w:rPr>
              <w:t>要求</w:t>
            </w:r>
          </w:p>
        </w:tc>
        <w:tc>
          <w:tcPr>
            <w:tcW w:w="7072" w:type="dxa"/>
            <w:gridSpan w:val="4"/>
            <w:vAlign w:val="center"/>
          </w:tcPr>
          <w:p w:rsidR="00EE56C0" w:rsidRDefault="000F36A1">
            <w:pPr>
              <w:pStyle w:val="aff1"/>
              <w:rPr>
                <w:color w:val="auto"/>
              </w:rPr>
            </w:pPr>
            <w:r>
              <w:rPr>
                <w:color w:val="auto"/>
              </w:rPr>
              <w:t>排放部位</w:t>
            </w:r>
          </w:p>
        </w:tc>
      </w:tr>
      <w:tr w:rsidR="00EE56C0">
        <w:trPr>
          <w:trHeight w:val="454"/>
          <w:jc w:val="center"/>
        </w:trPr>
        <w:tc>
          <w:tcPr>
            <w:tcW w:w="569" w:type="dxa"/>
            <w:vMerge/>
            <w:vAlign w:val="center"/>
          </w:tcPr>
          <w:p w:rsidR="00EE56C0" w:rsidRDefault="00EE56C0">
            <w:pPr>
              <w:pStyle w:val="aff1"/>
              <w:rPr>
                <w:color w:val="auto"/>
              </w:rPr>
            </w:pPr>
          </w:p>
        </w:tc>
        <w:tc>
          <w:tcPr>
            <w:tcW w:w="1100" w:type="dxa"/>
            <w:vMerge/>
            <w:vAlign w:val="center"/>
          </w:tcPr>
          <w:p w:rsidR="00EE56C0" w:rsidRDefault="00EE56C0">
            <w:pPr>
              <w:pStyle w:val="aff1"/>
              <w:rPr>
                <w:color w:val="auto"/>
              </w:rPr>
            </w:pPr>
          </w:p>
        </w:tc>
        <w:tc>
          <w:tcPr>
            <w:tcW w:w="1809" w:type="dxa"/>
            <w:vAlign w:val="center"/>
          </w:tcPr>
          <w:p w:rsidR="00EE56C0" w:rsidRDefault="000F36A1">
            <w:pPr>
              <w:pStyle w:val="aff1"/>
              <w:rPr>
                <w:color w:val="auto"/>
              </w:rPr>
            </w:pPr>
            <w:r>
              <w:rPr>
                <w:color w:val="auto"/>
              </w:rPr>
              <w:t>废气排放口</w:t>
            </w:r>
          </w:p>
        </w:tc>
        <w:tc>
          <w:tcPr>
            <w:tcW w:w="1696" w:type="dxa"/>
            <w:vAlign w:val="center"/>
          </w:tcPr>
          <w:p w:rsidR="00EE56C0" w:rsidRDefault="000F36A1">
            <w:pPr>
              <w:pStyle w:val="aff1"/>
              <w:rPr>
                <w:color w:val="auto"/>
              </w:rPr>
            </w:pPr>
            <w:r>
              <w:rPr>
                <w:color w:val="auto"/>
              </w:rPr>
              <w:t>废水排放口</w:t>
            </w:r>
          </w:p>
        </w:tc>
        <w:tc>
          <w:tcPr>
            <w:tcW w:w="1740" w:type="dxa"/>
            <w:vAlign w:val="center"/>
          </w:tcPr>
          <w:p w:rsidR="00EE56C0" w:rsidRDefault="000F36A1">
            <w:pPr>
              <w:pStyle w:val="aff1"/>
              <w:rPr>
                <w:color w:val="auto"/>
              </w:rPr>
            </w:pPr>
            <w:r>
              <w:rPr>
                <w:color w:val="auto"/>
              </w:rPr>
              <w:t>危险固废</w:t>
            </w:r>
          </w:p>
        </w:tc>
        <w:tc>
          <w:tcPr>
            <w:tcW w:w="1827" w:type="dxa"/>
            <w:vAlign w:val="center"/>
          </w:tcPr>
          <w:p w:rsidR="00EE56C0" w:rsidRDefault="000F36A1">
            <w:pPr>
              <w:pStyle w:val="aff1"/>
              <w:rPr>
                <w:color w:val="auto"/>
              </w:rPr>
            </w:pPr>
            <w:r>
              <w:rPr>
                <w:rFonts w:hint="eastAsia"/>
                <w:color w:val="auto"/>
              </w:rPr>
              <w:t>噪声</w:t>
            </w:r>
          </w:p>
        </w:tc>
      </w:tr>
      <w:tr w:rsidR="00EE56C0">
        <w:trPr>
          <w:trHeight w:val="1151"/>
          <w:jc w:val="center"/>
        </w:trPr>
        <w:tc>
          <w:tcPr>
            <w:tcW w:w="569" w:type="dxa"/>
            <w:vAlign w:val="center"/>
          </w:tcPr>
          <w:p w:rsidR="00EE56C0" w:rsidRDefault="000F36A1">
            <w:pPr>
              <w:pStyle w:val="afa"/>
            </w:pPr>
            <w:r>
              <w:t>1</w:t>
            </w:r>
          </w:p>
        </w:tc>
        <w:tc>
          <w:tcPr>
            <w:tcW w:w="1100" w:type="dxa"/>
            <w:vAlign w:val="center"/>
          </w:tcPr>
          <w:p w:rsidR="00EE56C0" w:rsidRDefault="000F36A1">
            <w:pPr>
              <w:pStyle w:val="afa"/>
            </w:pPr>
            <w:r>
              <w:t>图形符号</w:t>
            </w:r>
          </w:p>
        </w:tc>
        <w:tc>
          <w:tcPr>
            <w:tcW w:w="1809" w:type="dxa"/>
            <w:vAlign w:val="center"/>
          </w:tcPr>
          <w:p w:rsidR="00EE56C0" w:rsidRDefault="000F36A1">
            <w:pPr>
              <w:pStyle w:val="afa"/>
            </w:pPr>
            <w:r>
              <w:rPr>
                <w:noProof/>
              </w:rPr>
              <w:drawing>
                <wp:inline distT="0" distB="0" distL="0" distR="0">
                  <wp:extent cx="851535" cy="678180"/>
                  <wp:effectExtent l="19050" t="0" r="5715" b="0"/>
                  <wp:docPr id="56" name="image1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174.jpeg"/>
                          <pic:cNvPicPr>
                            <a:picLocks noChangeAspect="1" noChangeArrowheads="1"/>
                          </pic:cNvPicPr>
                        </pic:nvPicPr>
                        <pic:blipFill>
                          <a:blip r:embed="rId120"/>
                          <a:srcRect/>
                          <a:stretch>
                            <a:fillRect/>
                          </a:stretch>
                        </pic:blipFill>
                        <pic:spPr>
                          <a:xfrm>
                            <a:off x="0" y="0"/>
                            <a:ext cx="851535" cy="678180"/>
                          </a:xfrm>
                          <a:prstGeom prst="rect">
                            <a:avLst/>
                          </a:prstGeom>
                          <a:noFill/>
                          <a:ln w="9525">
                            <a:noFill/>
                            <a:miter lim="800000"/>
                            <a:headEnd/>
                            <a:tailEnd/>
                          </a:ln>
                        </pic:spPr>
                      </pic:pic>
                    </a:graphicData>
                  </a:graphic>
                </wp:inline>
              </w:drawing>
            </w:r>
          </w:p>
        </w:tc>
        <w:tc>
          <w:tcPr>
            <w:tcW w:w="1696" w:type="dxa"/>
            <w:vAlign w:val="center"/>
          </w:tcPr>
          <w:p w:rsidR="00EE56C0" w:rsidRDefault="000F36A1">
            <w:pPr>
              <w:pStyle w:val="afa"/>
            </w:pPr>
            <w:r>
              <w:rPr>
                <w:noProof/>
              </w:rPr>
              <w:drawing>
                <wp:inline distT="0" distB="0" distL="0" distR="0">
                  <wp:extent cx="851535" cy="630555"/>
                  <wp:effectExtent l="19050" t="0" r="5715" b="0"/>
                  <wp:docPr id="57" name="image1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175.jpeg"/>
                          <pic:cNvPicPr>
                            <a:picLocks noChangeAspect="1" noChangeArrowheads="1"/>
                          </pic:cNvPicPr>
                        </pic:nvPicPr>
                        <pic:blipFill>
                          <a:blip r:embed="rId121"/>
                          <a:srcRect/>
                          <a:stretch>
                            <a:fillRect/>
                          </a:stretch>
                        </pic:blipFill>
                        <pic:spPr>
                          <a:xfrm>
                            <a:off x="0" y="0"/>
                            <a:ext cx="851535" cy="630555"/>
                          </a:xfrm>
                          <a:prstGeom prst="rect">
                            <a:avLst/>
                          </a:prstGeom>
                          <a:noFill/>
                          <a:ln w="9525">
                            <a:noFill/>
                            <a:miter lim="800000"/>
                            <a:headEnd/>
                            <a:tailEnd/>
                          </a:ln>
                        </pic:spPr>
                      </pic:pic>
                    </a:graphicData>
                  </a:graphic>
                </wp:inline>
              </w:drawing>
            </w:r>
          </w:p>
        </w:tc>
        <w:tc>
          <w:tcPr>
            <w:tcW w:w="1740" w:type="dxa"/>
            <w:vAlign w:val="center"/>
          </w:tcPr>
          <w:p w:rsidR="00EE56C0" w:rsidRDefault="000F36A1">
            <w:pPr>
              <w:pStyle w:val="afa"/>
            </w:pPr>
            <w:r>
              <w:rPr>
                <w:noProof/>
              </w:rPr>
              <w:drawing>
                <wp:inline distT="0" distB="0" distL="0" distR="0">
                  <wp:extent cx="803910" cy="598805"/>
                  <wp:effectExtent l="19050" t="0" r="0" b="0"/>
                  <wp:docPr id="58" name="image1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76.jpeg"/>
                          <pic:cNvPicPr>
                            <a:picLocks noChangeAspect="1" noChangeArrowheads="1"/>
                          </pic:cNvPicPr>
                        </pic:nvPicPr>
                        <pic:blipFill>
                          <a:blip r:embed="rId122"/>
                          <a:srcRect/>
                          <a:stretch>
                            <a:fillRect/>
                          </a:stretch>
                        </pic:blipFill>
                        <pic:spPr>
                          <a:xfrm>
                            <a:off x="0" y="0"/>
                            <a:ext cx="803910" cy="598805"/>
                          </a:xfrm>
                          <a:prstGeom prst="rect">
                            <a:avLst/>
                          </a:prstGeom>
                          <a:noFill/>
                          <a:ln w="9525">
                            <a:noFill/>
                            <a:miter lim="800000"/>
                            <a:headEnd/>
                            <a:tailEnd/>
                          </a:ln>
                        </pic:spPr>
                      </pic:pic>
                    </a:graphicData>
                  </a:graphic>
                </wp:inline>
              </w:drawing>
            </w:r>
          </w:p>
        </w:tc>
        <w:tc>
          <w:tcPr>
            <w:tcW w:w="1827" w:type="dxa"/>
            <w:vAlign w:val="center"/>
          </w:tcPr>
          <w:p w:rsidR="00EE56C0" w:rsidRDefault="000F36A1">
            <w:pPr>
              <w:pStyle w:val="afa"/>
            </w:pPr>
            <w:r>
              <w:rPr>
                <w:noProof/>
              </w:rPr>
              <w:drawing>
                <wp:inline distT="0" distB="0" distL="0" distR="0">
                  <wp:extent cx="835660" cy="678180"/>
                  <wp:effectExtent l="19050" t="0" r="2540" b="0"/>
                  <wp:docPr id="59" name="image1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177.jpeg"/>
                          <pic:cNvPicPr>
                            <a:picLocks noChangeAspect="1" noChangeArrowheads="1"/>
                          </pic:cNvPicPr>
                        </pic:nvPicPr>
                        <pic:blipFill>
                          <a:blip r:embed="rId123"/>
                          <a:srcRect/>
                          <a:stretch>
                            <a:fillRect/>
                          </a:stretch>
                        </pic:blipFill>
                        <pic:spPr>
                          <a:xfrm>
                            <a:off x="0" y="0"/>
                            <a:ext cx="835660" cy="678180"/>
                          </a:xfrm>
                          <a:prstGeom prst="rect">
                            <a:avLst/>
                          </a:prstGeom>
                          <a:noFill/>
                          <a:ln w="9525">
                            <a:noFill/>
                            <a:miter lim="800000"/>
                            <a:headEnd/>
                            <a:tailEnd/>
                          </a:ln>
                        </pic:spPr>
                      </pic:pic>
                    </a:graphicData>
                  </a:graphic>
                </wp:inline>
              </w:drawing>
            </w:r>
          </w:p>
        </w:tc>
      </w:tr>
      <w:tr w:rsidR="00EE56C0">
        <w:trPr>
          <w:trHeight w:val="454"/>
          <w:jc w:val="center"/>
        </w:trPr>
        <w:tc>
          <w:tcPr>
            <w:tcW w:w="569" w:type="dxa"/>
            <w:vAlign w:val="center"/>
          </w:tcPr>
          <w:p w:rsidR="00EE56C0" w:rsidRDefault="000F36A1">
            <w:pPr>
              <w:pStyle w:val="afa"/>
            </w:pPr>
            <w:r>
              <w:lastRenderedPageBreak/>
              <w:t>2</w:t>
            </w:r>
          </w:p>
        </w:tc>
        <w:tc>
          <w:tcPr>
            <w:tcW w:w="1100" w:type="dxa"/>
            <w:vAlign w:val="center"/>
          </w:tcPr>
          <w:p w:rsidR="00EE56C0" w:rsidRDefault="000F36A1">
            <w:pPr>
              <w:pStyle w:val="afa"/>
            </w:pPr>
            <w:r>
              <w:t>背景颜色</w:t>
            </w:r>
          </w:p>
        </w:tc>
        <w:tc>
          <w:tcPr>
            <w:tcW w:w="7072" w:type="dxa"/>
            <w:gridSpan w:val="4"/>
            <w:vAlign w:val="center"/>
          </w:tcPr>
          <w:p w:rsidR="00EE56C0" w:rsidRDefault="000F36A1">
            <w:pPr>
              <w:pStyle w:val="afa"/>
            </w:pPr>
            <w:r>
              <w:t>绿色，危险固废橙色</w:t>
            </w:r>
          </w:p>
        </w:tc>
      </w:tr>
      <w:tr w:rsidR="00EE56C0">
        <w:trPr>
          <w:trHeight w:val="454"/>
          <w:jc w:val="center"/>
        </w:trPr>
        <w:tc>
          <w:tcPr>
            <w:tcW w:w="569" w:type="dxa"/>
            <w:vAlign w:val="center"/>
          </w:tcPr>
          <w:p w:rsidR="00EE56C0" w:rsidRDefault="000F36A1">
            <w:pPr>
              <w:pStyle w:val="afa"/>
            </w:pPr>
            <w:r>
              <w:t>3</w:t>
            </w:r>
          </w:p>
        </w:tc>
        <w:tc>
          <w:tcPr>
            <w:tcW w:w="1100" w:type="dxa"/>
            <w:vAlign w:val="center"/>
          </w:tcPr>
          <w:p w:rsidR="00EE56C0" w:rsidRDefault="000F36A1">
            <w:pPr>
              <w:pStyle w:val="afa"/>
            </w:pPr>
            <w:r>
              <w:t>图形颜色</w:t>
            </w:r>
          </w:p>
        </w:tc>
        <w:tc>
          <w:tcPr>
            <w:tcW w:w="7072" w:type="dxa"/>
            <w:gridSpan w:val="4"/>
            <w:vAlign w:val="center"/>
          </w:tcPr>
          <w:p w:rsidR="00EE56C0" w:rsidRDefault="000F36A1">
            <w:pPr>
              <w:pStyle w:val="afa"/>
            </w:pPr>
            <w:r>
              <w:t>白色，危险固废黑色</w:t>
            </w:r>
          </w:p>
        </w:tc>
      </w:tr>
    </w:tbl>
    <w:p w:rsidR="00EE56C0" w:rsidRDefault="000F36A1">
      <w:pPr>
        <w:ind w:firstLine="480"/>
      </w:pPr>
      <w:r>
        <w:t>排污口标志牌设在醒目处，设置高度为上边缘距地面约</w:t>
      </w:r>
      <w:r>
        <w:rPr>
          <w:rFonts w:eastAsia="Times New Roman"/>
        </w:rPr>
        <w:t>2m</w:t>
      </w:r>
      <w:r>
        <w:t>。建议每年对标志牌进行检查和维护一次，确保标志牌清晰完整。</w:t>
      </w:r>
    </w:p>
    <w:p w:rsidR="00EE56C0" w:rsidRDefault="000F36A1">
      <w:pPr>
        <w:pStyle w:val="1"/>
        <w:numPr>
          <w:ilvl w:val="0"/>
          <w:numId w:val="3"/>
        </w:numPr>
        <w:spacing w:before="360" w:after="480"/>
      </w:pPr>
      <w:bookmarkStart w:id="496" w:name="_Toc324839668"/>
      <w:bookmarkStart w:id="497" w:name="_Toc25400943"/>
      <w:bookmarkStart w:id="498" w:name="_Toc311812694"/>
      <w:bookmarkStart w:id="499" w:name="_Toc324839385"/>
      <w:r>
        <w:rPr>
          <w:rFonts w:hint="eastAsia"/>
        </w:rPr>
        <w:lastRenderedPageBreak/>
        <w:t>环境影响评价结论</w:t>
      </w:r>
      <w:bookmarkEnd w:id="465"/>
      <w:bookmarkEnd w:id="466"/>
      <w:bookmarkEnd w:id="467"/>
      <w:bookmarkEnd w:id="468"/>
      <w:bookmarkEnd w:id="496"/>
      <w:bookmarkEnd w:id="497"/>
      <w:bookmarkEnd w:id="498"/>
      <w:bookmarkEnd w:id="499"/>
    </w:p>
    <w:p w:rsidR="00EE56C0" w:rsidRDefault="000F36A1">
      <w:pPr>
        <w:pStyle w:val="2"/>
        <w:ind w:firstLine="301"/>
      </w:pPr>
      <w:bookmarkStart w:id="500" w:name="_Toc324839669"/>
      <w:bookmarkStart w:id="501" w:name="_Toc324839386"/>
      <w:bookmarkStart w:id="502" w:name="_Toc311812696"/>
      <w:bookmarkStart w:id="503" w:name="_Toc25400944"/>
      <w:r>
        <w:rPr>
          <w:rFonts w:hint="eastAsia"/>
        </w:rPr>
        <w:t>9.1</w:t>
      </w:r>
      <w:r>
        <w:rPr>
          <w:rFonts w:hint="eastAsia"/>
        </w:rPr>
        <w:t>评价结论</w:t>
      </w:r>
      <w:bookmarkEnd w:id="500"/>
      <w:bookmarkEnd w:id="501"/>
      <w:bookmarkEnd w:id="502"/>
      <w:bookmarkEnd w:id="503"/>
    </w:p>
    <w:p w:rsidR="00EE56C0" w:rsidRDefault="000F36A1">
      <w:pPr>
        <w:pStyle w:val="3"/>
        <w:spacing w:before="240" w:after="120"/>
      </w:pPr>
      <w:bookmarkStart w:id="504" w:name="_Toc7939"/>
      <w:r>
        <w:rPr>
          <w:rFonts w:hint="eastAsia"/>
        </w:rPr>
        <w:t>9.1.1</w:t>
      </w:r>
      <w:r>
        <w:t>工程建设符合国家产业政策</w:t>
      </w:r>
      <w:bookmarkEnd w:id="504"/>
    </w:p>
    <w:p w:rsidR="00EE56C0" w:rsidRDefault="000F36A1">
      <w:pPr>
        <w:ind w:firstLine="480"/>
      </w:pPr>
      <w:r>
        <w:rPr>
          <w:rFonts w:hint="eastAsia"/>
        </w:rPr>
        <w:t>根据《产业结构调整指导目录（</w:t>
      </w:r>
      <w:r>
        <w:t>201</w:t>
      </w:r>
      <w:r>
        <w:rPr>
          <w:rFonts w:hint="eastAsia"/>
        </w:rPr>
        <w:t>9</w:t>
      </w:r>
      <w:r>
        <w:rPr>
          <w:rFonts w:hint="eastAsia"/>
        </w:rPr>
        <w:t>年本）》</w:t>
      </w:r>
      <w:r w:rsidR="00C96DE7">
        <w:rPr>
          <w:rFonts w:hint="eastAsia"/>
        </w:rPr>
        <w:t>及修改文件</w:t>
      </w:r>
      <w:r>
        <w:rPr>
          <w:rFonts w:hint="eastAsia"/>
        </w:rPr>
        <w:t>，该项目不属于鼓励类、限制类或淘汰类，属于允许类项目。该项目已经由新乡经济技术产业集聚区管理委员会经济发展局备案，项目代码：</w:t>
      </w:r>
      <w:r>
        <w:t>2020-410721-38-03-078138</w:t>
      </w:r>
      <w:r>
        <w:rPr>
          <w:rFonts w:hint="eastAsia"/>
        </w:rPr>
        <w:t>。</w:t>
      </w:r>
    </w:p>
    <w:p w:rsidR="00EE56C0" w:rsidRDefault="000F36A1">
      <w:pPr>
        <w:pStyle w:val="3"/>
        <w:spacing w:before="240" w:after="120"/>
      </w:pPr>
      <w:bookmarkStart w:id="505" w:name="_Toc2430"/>
      <w:r>
        <w:rPr>
          <w:rFonts w:hint="eastAsia"/>
        </w:rPr>
        <w:t>9.1.2</w:t>
      </w:r>
      <w:r>
        <w:t>工程选址</w:t>
      </w:r>
      <w:r>
        <w:rPr>
          <w:rFonts w:hint="eastAsia"/>
        </w:rPr>
        <w:t>符合</w:t>
      </w:r>
      <w:r>
        <w:t>规划要求，厂区平面布置较为合理</w:t>
      </w:r>
    </w:p>
    <w:p w:rsidR="00EE56C0" w:rsidRDefault="000F36A1">
      <w:pPr>
        <w:ind w:firstLine="480"/>
      </w:pPr>
      <w:r>
        <w:t>本项目为</w:t>
      </w:r>
      <w:r>
        <w:rPr>
          <w:rFonts w:hint="eastAsia"/>
        </w:rPr>
        <w:t>高可靠性抗高压耐热绕组线项目，选址</w:t>
      </w:r>
      <w:r>
        <w:t>位于</w:t>
      </w:r>
      <w:r>
        <w:rPr>
          <w:rFonts w:hint="eastAsia"/>
        </w:rPr>
        <w:t>新乡市新乡县新乡经济技术集聚区远大路西段，利用现有</w:t>
      </w:r>
      <w:r>
        <w:t>厂房</w:t>
      </w:r>
      <w:r>
        <w:rPr>
          <w:rFonts w:hint="eastAsia"/>
        </w:rPr>
        <w:t>生产。根据</w:t>
      </w:r>
      <w:r>
        <w:t>《新乡经济技术产业集聚区总体发展规划（</w:t>
      </w:r>
      <w:r>
        <w:t>201</w:t>
      </w:r>
      <w:r>
        <w:rPr>
          <w:rFonts w:hint="eastAsia"/>
        </w:rPr>
        <w:t>7</w:t>
      </w:r>
      <w:r>
        <w:t>-2025</w:t>
      </w:r>
      <w:r>
        <w:t>）》</w:t>
      </w:r>
      <w:r>
        <w:rPr>
          <w:rFonts w:hint="eastAsia"/>
        </w:rPr>
        <w:t>用地规划图，本项目用地属于二类工业用地，符合</w:t>
      </w:r>
      <w:r>
        <w:t>新乡经济技术产业集聚区</w:t>
      </w:r>
      <w:r>
        <w:rPr>
          <w:rFonts w:hint="eastAsia"/>
        </w:rPr>
        <w:t>总体发展规划和土地性质规划。</w:t>
      </w:r>
    </w:p>
    <w:p w:rsidR="00EE56C0" w:rsidRDefault="000F36A1">
      <w:pPr>
        <w:ind w:firstLine="480"/>
      </w:pPr>
      <w:r>
        <w:rPr>
          <w:rFonts w:hint="eastAsia"/>
        </w:rPr>
        <w:t>预测结果显示：项目对区域环境空气、地表水、地下水声及土壤环境无显著影响，从环保角度看工程选址可行。工程生产车间、辅助工程等设施在总体平面布置上可满足工艺流程合理、物料输送顺畅的原则，厂区平面布置较为合理。</w:t>
      </w:r>
    </w:p>
    <w:p w:rsidR="00EE56C0" w:rsidRDefault="000F36A1">
      <w:pPr>
        <w:pStyle w:val="3"/>
        <w:spacing w:before="240" w:after="120"/>
      </w:pPr>
      <w:bookmarkStart w:id="506" w:name="_Toc22293"/>
      <w:bookmarkEnd w:id="505"/>
      <w:r>
        <w:rPr>
          <w:rFonts w:hint="eastAsia"/>
        </w:rPr>
        <w:t>9.1.3</w:t>
      </w:r>
      <w:r>
        <w:t>评价区域内的环境质量现状</w:t>
      </w:r>
      <w:bookmarkEnd w:id="506"/>
    </w:p>
    <w:p w:rsidR="00EE56C0" w:rsidRDefault="000F36A1">
      <w:pPr>
        <w:pStyle w:val="4"/>
        <w:ind w:left="120" w:firstLine="241"/>
      </w:pPr>
      <w:r>
        <w:rPr>
          <w:rFonts w:hint="eastAsia"/>
        </w:rPr>
        <w:t>9.1.3.1</w:t>
      </w:r>
      <w:r>
        <w:t>环境空气质量现状</w:t>
      </w:r>
    </w:p>
    <w:p w:rsidR="00EE56C0" w:rsidRDefault="000F36A1">
      <w:pPr>
        <w:ind w:firstLine="480"/>
      </w:pPr>
      <w:r>
        <w:t>评价区</w:t>
      </w:r>
      <w:r>
        <w:rPr>
          <w:rFonts w:hint="eastAsia"/>
        </w:rPr>
        <w:t>基本污染物（</w:t>
      </w:r>
      <w:r>
        <w:t>SO</w:t>
      </w:r>
      <w:r>
        <w:rPr>
          <w:vertAlign w:val="subscript"/>
        </w:rPr>
        <w:t>2</w:t>
      </w:r>
      <w:r>
        <w:t>、</w:t>
      </w:r>
      <w:r>
        <w:t>NO</w:t>
      </w:r>
      <w:r>
        <w:rPr>
          <w:vertAlign w:val="subscript"/>
        </w:rPr>
        <w:t>2</w:t>
      </w:r>
      <w:r>
        <w:t>、</w:t>
      </w:r>
      <w:r>
        <w:t>PM</w:t>
      </w:r>
      <w:r>
        <w:rPr>
          <w:vertAlign w:val="subscript"/>
        </w:rPr>
        <w:t>10</w:t>
      </w:r>
      <w:r>
        <w:t>、</w:t>
      </w:r>
      <w:r>
        <w:t>PM</w:t>
      </w:r>
      <w:r>
        <w:rPr>
          <w:rFonts w:hint="eastAsia"/>
          <w:vertAlign w:val="subscript"/>
        </w:rPr>
        <w:t>2.5</w:t>
      </w:r>
      <w:r>
        <w:t>、</w:t>
      </w:r>
      <w:r>
        <w:rPr>
          <w:rFonts w:hint="eastAsia"/>
        </w:rPr>
        <w:t>CO</w:t>
      </w:r>
      <w:r>
        <w:rPr>
          <w:rFonts w:hint="eastAsia"/>
        </w:rPr>
        <w:t>、</w:t>
      </w:r>
      <w:r>
        <w:rPr>
          <w:rFonts w:hint="eastAsia"/>
        </w:rPr>
        <w:t>O</w:t>
      </w:r>
      <w:r>
        <w:rPr>
          <w:rFonts w:hint="eastAsia"/>
          <w:vertAlign w:val="subscript"/>
        </w:rPr>
        <w:t>3</w:t>
      </w:r>
      <w:r>
        <w:rPr>
          <w:rFonts w:hint="eastAsia"/>
        </w:rPr>
        <w:t>）环境质量现状</w:t>
      </w:r>
      <w:r>
        <w:t>监测结果</w:t>
      </w:r>
      <w:r>
        <w:rPr>
          <w:rFonts w:hint="eastAsia"/>
        </w:rPr>
        <w:t>不</w:t>
      </w:r>
      <w:r>
        <w:t>能满足《环境空气质量标准》（</w:t>
      </w:r>
      <w:r>
        <w:t>GB3095-2012</w:t>
      </w:r>
      <w:r>
        <w:t>）二级标准要求</w:t>
      </w:r>
      <w:r>
        <w:rPr>
          <w:rFonts w:hint="eastAsia"/>
        </w:rPr>
        <w:t>，属于不达标区</w:t>
      </w:r>
      <w:r>
        <w:t>；</w:t>
      </w:r>
      <w:r>
        <w:rPr>
          <w:rFonts w:hint="eastAsia"/>
        </w:rPr>
        <w:t>其他污染物：酚</w:t>
      </w:r>
      <w:r>
        <w:t>质量浓度限值执行</w:t>
      </w:r>
      <w:r>
        <w:rPr>
          <w:rFonts w:hint="eastAsia"/>
          <w:b/>
          <w:u w:val="single"/>
        </w:rPr>
        <w:t>《居住区大气中酚卫生标准》（</w:t>
      </w:r>
      <w:r>
        <w:rPr>
          <w:rFonts w:hint="eastAsia"/>
          <w:b/>
          <w:u w:val="single"/>
        </w:rPr>
        <w:t>GB18067-2000</w:t>
      </w:r>
      <w:r>
        <w:rPr>
          <w:rFonts w:hint="eastAsia"/>
          <w:b/>
          <w:u w:val="single"/>
        </w:rPr>
        <w:t>）小时</w:t>
      </w:r>
      <w:r>
        <w:rPr>
          <w:rFonts w:hint="eastAsia"/>
        </w:rPr>
        <w:t>浓度限值</w:t>
      </w:r>
      <w:r>
        <w:rPr>
          <w:snapToGrid w:val="0"/>
        </w:rPr>
        <w:t>。</w:t>
      </w:r>
      <w:r>
        <w:rPr>
          <w:rFonts w:hint="eastAsia"/>
        </w:rPr>
        <w:t>非甲烷总烃</w:t>
      </w:r>
      <w:r>
        <w:t>质量浓度限值执行</w:t>
      </w:r>
      <w:r>
        <w:rPr>
          <w:rFonts w:hint="eastAsia"/>
        </w:rPr>
        <w:t>《大气综合污染物排放标准详解》第四章标准值说明</w:t>
      </w:r>
      <w:r>
        <w:t>-</w:t>
      </w:r>
      <w:r>
        <w:rPr>
          <w:rFonts w:hint="eastAsia"/>
        </w:rPr>
        <w:t>三十一、非甲烷总烃。苯、甲苯、二甲苯</w:t>
      </w:r>
      <w:r>
        <w:t>质量浓度限值执行</w:t>
      </w:r>
      <w:r>
        <w:rPr>
          <w:rFonts w:hint="eastAsia"/>
        </w:rPr>
        <w:t>《环境影响评价技术导则</w:t>
      </w:r>
      <w:r>
        <w:rPr>
          <w:rFonts w:hint="eastAsia"/>
        </w:rPr>
        <w:t xml:space="preserve"> </w:t>
      </w:r>
      <w:r>
        <w:rPr>
          <w:rFonts w:hint="eastAsia"/>
        </w:rPr>
        <w:t>大气环境》（</w:t>
      </w:r>
      <w:r>
        <w:rPr>
          <w:rFonts w:hint="eastAsia"/>
        </w:rPr>
        <w:t>HJ2.2-2018</w:t>
      </w:r>
      <w:r>
        <w:rPr>
          <w:rFonts w:hint="eastAsia"/>
        </w:rPr>
        <w:t>）附录</w:t>
      </w:r>
      <w:r>
        <w:rPr>
          <w:rFonts w:hint="eastAsia"/>
        </w:rPr>
        <w:t>D</w:t>
      </w:r>
      <w:r>
        <w:rPr>
          <w:rFonts w:hint="eastAsia"/>
        </w:rPr>
        <w:lastRenderedPageBreak/>
        <w:t>中的空气质量浓度参考限值要求。</w:t>
      </w:r>
    </w:p>
    <w:p w:rsidR="00EE56C0" w:rsidRDefault="000F36A1">
      <w:pPr>
        <w:pStyle w:val="4"/>
        <w:ind w:left="120" w:firstLine="241"/>
      </w:pPr>
      <w:r>
        <w:rPr>
          <w:rFonts w:hint="eastAsia"/>
        </w:rPr>
        <w:t>9.1.3.2</w:t>
      </w:r>
      <w:r>
        <w:t>地表水环境质量现状</w:t>
      </w:r>
    </w:p>
    <w:p w:rsidR="00EE56C0" w:rsidRDefault="000F36A1">
      <w:pPr>
        <w:ind w:firstLine="480"/>
      </w:pPr>
      <w:r>
        <w:t>东孟姜女河</w:t>
      </w:r>
      <w:r>
        <w:rPr>
          <w:rFonts w:hint="eastAsia"/>
        </w:rPr>
        <w:t>地表水体</w:t>
      </w:r>
      <w:r>
        <w:rPr>
          <w:rFonts w:hint="eastAsia"/>
        </w:rPr>
        <w:t>COD</w:t>
      </w:r>
      <w:r>
        <w:rPr>
          <w:rFonts w:hint="eastAsia"/>
        </w:rPr>
        <w:t>、氨氮、总磷污染因子均不能满足《地表水环境质量标准》（</w:t>
      </w:r>
      <w:r>
        <w:t>GB3838-2002</w:t>
      </w:r>
      <w:r>
        <w:rPr>
          <w:rFonts w:hint="eastAsia"/>
        </w:rPr>
        <w:t>）Ⅳ类标准。</w:t>
      </w:r>
    </w:p>
    <w:p w:rsidR="00EE56C0" w:rsidRDefault="000F36A1">
      <w:pPr>
        <w:pStyle w:val="4"/>
        <w:ind w:left="120" w:firstLine="241"/>
      </w:pPr>
      <w:r>
        <w:rPr>
          <w:rFonts w:hint="eastAsia"/>
        </w:rPr>
        <w:t>9.1.3.3</w:t>
      </w:r>
      <w:r>
        <w:t>地下水环境质量现状</w:t>
      </w:r>
    </w:p>
    <w:p w:rsidR="00EE56C0" w:rsidRDefault="000F36A1">
      <w:pPr>
        <w:ind w:firstLine="480"/>
      </w:pPr>
      <w:r>
        <w:rPr>
          <w:rFonts w:hint="eastAsia"/>
        </w:rPr>
        <w:t>评价区域内三个监测点位的地下水水质因子</w:t>
      </w:r>
      <w:r>
        <w:rPr>
          <w:kern w:val="2"/>
          <w:szCs w:val="28"/>
        </w:rPr>
        <w:t>pH</w:t>
      </w:r>
      <w:r>
        <w:rPr>
          <w:kern w:val="2"/>
          <w:szCs w:val="28"/>
        </w:rPr>
        <w:t>、</w:t>
      </w:r>
      <w:r>
        <w:rPr>
          <w:kern w:val="2"/>
          <w:szCs w:val="28"/>
        </w:rPr>
        <w:t>K</w:t>
      </w:r>
      <w:r>
        <w:rPr>
          <w:kern w:val="2"/>
          <w:szCs w:val="28"/>
          <w:vertAlign w:val="superscript"/>
        </w:rPr>
        <w:t>+</w:t>
      </w:r>
      <w:r>
        <w:rPr>
          <w:kern w:val="2"/>
          <w:szCs w:val="28"/>
        </w:rPr>
        <w:t>、</w:t>
      </w:r>
      <w:r>
        <w:rPr>
          <w:kern w:val="2"/>
          <w:szCs w:val="28"/>
        </w:rPr>
        <w:t>Na</w:t>
      </w:r>
      <w:r>
        <w:rPr>
          <w:kern w:val="2"/>
          <w:szCs w:val="28"/>
          <w:vertAlign w:val="superscript"/>
        </w:rPr>
        <w:t>+</w:t>
      </w:r>
      <w:r>
        <w:rPr>
          <w:kern w:val="2"/>
          <w:szCs w:val="28"/>
        </w:rPr>
        <w:t>、</w:t>
      </w:r>
      <w:r>
        <w:rPr>
          <w:kern w:val="2"/>
          <w:szCs w:val="28"/>
        </w:rPr>
        <w:t>Ca</w:t>
      </w:r>
      <w:r>
        <w:rPr>
          <w:kern w:val="2"/>
          <w:szCs w:val="28"/>
          <w:vertAlign w:val="superscript"/>
        </w:rPr>
        <w:t>2+</w:t>
      </w:r>
      <w:r>
        <w:rPr>
          <w:kern w:val="2"/>
          <w:szCs w:val="28"/>
        </w:rPr>
        <w:t>、</w:t>
      </w:r>
      <w:r>
        <w:rPr>
          <w:kern w:val="2"/>
          <w:szCs w:val="28"/>
        </w:rPr>
        <w:t>Mg</w:t>
      </w:r>
      <w:r>
        <w:rPr>
          <w:kern w:val="2"/>
          <w:szCs w:val="28"/>
          <w:vertAlign w:val="superscript"/>
        </w:rPr>
        <w:t>2+</w:t>
      </w:r>
      <w:r>
        <w:rPr>
          <w:kern w:val="2"/>
          <w:szCs w:val="28"/>
        </w:rPr>
        <w:t>、</w:t>
      </w:r>
      <w:r>
        <w:rPr>
          <w:kern w:val="2"/>
          <w:szCs w:val="28"/>
        </w:rPr>
        <w:t>CO</w:t>
      </w:r>
      <w:r>
        <w:rPr>
          <w:kern w:val="2"/>
          <w:szCs w:val="28"/>
          <w:vertAlign w:val="subscript"/>
        </w:rPr>
        <w:t>3</w:t>
      </w:r>
      <w:r>
        <w:rPr>
          <w:kern w:val="2"/>
          <w:szCs w:val="28"/>
          <w:vertAlign w:val="superscript"/>
        </w:rPr>
        <w:t>2-</w:t>
      </w:r>
      <w:r>
        <w:rPr>
          <w:kern w:val="2"/>
          <w:szCs w:val="28"/>
        </w:rPr>
        <w:t>、</w:t>
      </w:r>
      <w:r>
        <w:rPr>
          <w:kern w:val="2"/>
          <w:szCs w:val="28"/>
        </w:rPr>
        <w:t>HCO</w:t>
      </w:r>
      <w:r>
        <w:rPr>
          <w:kern w:val="2"/>
          <w:szCs w:val="28"/>
          <w:vertAlign w:val="superscript"/>
        </w:rPr>
        <w:t>3-</w:t>
      </w:r>
      <w:r>
        <w:rPr>
          <w:rFonts w:hint="eastAsia"/>
          <w:kern w:val="2"/>
          <w:szCs w:val="28"/>
        </w:rPr>
        <w:t>、</w:t>
      </w:r>
      <w:r>
        <w:rPr>
          <w:rFonts w:hint="eastAsia"/>
          <w:kern w:val="2"/>
          <w:szCs w:val="28"/>
        </w:rPr>
        <w:t>Cl</w:t>
      </w:r>
      <w:r>
        <w:rPr>
          <w:rFonts w:hint="eastAsia"/>
          <w:kern w:val="2"/>
          <w:szCs w:val="28"/>
          <w:vertAlign w:val="superscript"/>
        </w:rPr>
        <w:t>-</w:t>
      </w:r>
      <w:r>
        <w:rPr>
          <w:rFonts w:hint="eastAsia"/>
          <w:kern w:val="2"/>
          <w:szCs w:val="28"/>
        </w:rPr>
        <w:t>、</w:t>
      </w:r>
      <w:r>
        <w:rPr>
          <w:rFonts w:hint="eastAsia"/>
          <w:kern w:val="2"/>
          <w:szCs w:val="28"/>
        </w:rPr>
        <w:t>S</w:t>
      </w:r>
      <w:r>
        <w:rPr>
          <w:kern w:val="2"/>
          <w:szCs w:val="28"/>
        </w:rPr>
        <w:t>O</w:t>
      </w:r>
      <w:r>
        <w:rPr>
          <w:rFonts w:hint="eastAsia"/>
          <w:kern w:val="2"/>
          <w:szCs w:val="28"/>
          <w:vertAlign w:val="subscript"/>
        </w:rPr>
        <w:t>4</w:t>
      </w:r>
      <w:r>
        <w:rPr>
          <w:kern w:val="2"/>
          <w:szCs w:val="28"/>
          <w:vertAlign w:val="superscript"/>
        </w:rPr>
        <w:t>2-</w:t>
      </w:r>
      <w:r>
        <w:rPr>
          <w:rFonts w:hint="eastAsia"/>
          <w:kern w:val="2"/>
          <w:szCs w:val="28"/>
        </w:rPr>
        <w:t>、</w:t>
      </w:r>
      <w:r>
        <w:rPr>
          <w:kern w:val="2"/>
          <w:szCs w:val="28"/>
        </w:rPr>
        <w:t>氨氮</w:t>
      </w:r>
      <w:r>
        <w:rPr>
          <w:rFonts w:hint="eastAsia"/>
          <w:kern w:val="2"/>
          <w:szCs w:val="28"/>
        </w:rPr>
        <w:t>、亚硝酸盐、硝酸盐、挥发性酚类、总硬度、汞、铬</w:t>
      </w:r>
      <w:r>
        <w:rPr>
          <w:kern w:val="2"/>
          <w:szCs w:val="28"/>
        </w:rPr>
        <w:t>(</w:t>
      </w:r>
      <w:r>
        <w:rPr>
          <w:rFonts w:hint="eastAsia"/>
          <w:kern w:val="2"/>
          <w:szCs w:val="28"/>
        </w:rPr>
        <w:t>六价</w:t>
      </w:r>
      <w:r>
        <w:rPr>
          <w:kern w:val="2"/>
          <w:szCs w:val="28"/>
        </w:rPr>
        <w:t>)</w:t>
      </w:r>
      <w:r>
        <w:rPr>
          <w:rFonts w:hint="eastAsia"/>
          <w:kern w:val="2"/>
          <w:szCs w:val="28"/>
        </w:rPr>
        <w:t>、铅、氟、镉、铁、锰、溶解性总固体、高锰酸盐指数、氰化物、砷、动植物油</w:t>
      </w:r>
      <w:r>
        <w:rPr>
          <w:rFonts w:hint="eastAsia"/>
        </w:rPr>
        <w:t>均能满足《地下水质量标准》（</w:t>
      </w:r>
      <w:r>
        <w:t>GB/T14843-2017</w:t>
      </w:r>
      <w:r>
        <w:rPr>
          <w:rFonts w:hint="eastAsia"/>
        </w:rPr>
        <w:t>）</w:t>
      </w:r>
      <w:r>
        <w:rPr>
          <w:rFonts w:cs="宋体" w:hint="eastAsia"/>
        </w:rPr>
        <w:t>Ⅲ</w:t>
      </w:r>
      <w:r>
        <w:rPr>
          <w:rFonts w:hint="eastAsia"/>
        </w:rPr>
        <w:t>类标准的要求。</w:t>
      </w:r>
    </w:p>
    <w:p w:rsidR="00EE56C0" w:rsidRDefault="000F36A1">
      <w:pPr>
        <w:pStyle w:val="4"/>
        <w:ind w:left="120" w:firstLine="241"/>
      </w:pPr>
      <w:r>
        <w:rPr>
          <w:rFonts w:hint="eastAsia"/>
        </w:rPr>
        <w:t>9.1.3.4</w:t>
      </w:r>
      <w:r>
        <w:t>声环境质量现状</w:t>
      </w:r>
    </w:p>
    <w:p w:rsidR="00EE56C0" w:rsidRDefault="000F36A1">
      <w:pPr>
        <w:ind w:firstLine="480"/>
      </w:pPr>
      <w:r>
        <w:rPr>
          <w:rFonts w:hint="eastAsia"/>
        </w:rPr>
        <w:t>目前项目各厂界处的噪声环境现状可以满足《声环境质量标准》（</w:t>
      </w:r>
      <w:r>
        <w:t>GB3096-2008</w:t>
      </w:r>
      <w:r>
        <w:rPr>
          <w:rFonts w:hint="eastAsia"/>
        </w:rPr>
        <w:t>）</w:t>
      </w:r>
      <w:r>
        <w:t>3</w:t>
      </w:r>
      <w:r>
        <w:rPr>
          <w:rFonts w:hint="eastAsia"/>
        </w:rPr>
        <w:t>类标准的要求，</w:t>
      </w:r>
      <w:r>
        <w:t>厂址区域声环境质量现状较好。</w:t>
      </w:r>
    </w:p>
    <w:p w:rsidR="00EE56C0" w:rsidRDefault="000F36A1">
      <w:pPr>
        <w:pStyle w:val="4"/>
        <w:ind w:left="120" w:firstLine="241"/>
      </w:pPr>
      <w:r>
        <w:rPr>
          <w:rFonts w:hint="eastAsia"/>
        </w:rPr>
        <w:t>9.1.3.5</w:t>
      </w:r>
      <w:r>
        <w:rPr>
          <w:rFonts w:hint="eastAsia"/>
        </w:rPr>
        <w:t>土壤</w:t>
      </w:r>
      <w:r>
        <w:t>环境质量现状</w:t>
      </w:r>
    </w:p>
    <w:p w:rsidR="00EE56C0" w:rsidRDefault="000F36A1">
      <w:pPr>
        <w:ind w:firstLine="480"/>
      </w:pPr>
      <w:r>
        <w:rPr>
          <w:rFonts w:hint="eastAsia"/>
        </w:rPr>
        <w:t>项目所在区域的土壤环境检测值均符合《土壤环境质量</w:t>
      </w:r>
      <w:r>
        <w:rPr>
          <w:rFonts w:hint="eastAsia"/>
        </w:rPr>
        <w:t xml:space="preserve"> </w:t>
      </w:r>
      <w:r>
        <w:rPr>
          <w:rFonts w:hint="eastAsia"/>
        </w:rPr>
        <w:t>建设用地土壤污染风险管控标准（试行）（</w:t>
      </w:r>
      <w:r>
        <w:t>GB36600-2018</w:t>
      </w:r>
      <w:r>
        <w:rPr>
          <w:rFonts w:hint="eastAsia"/>
        </w:rPr>
        <w:t>）表</w:t>
      </w:r>
      <w:r>
        <w:t>1</w:t>
      </w:r>
      <w:r w:rsidR="001F2747">
        <w:rPr>
          <w:rFonts w:hint="eastAsia"/>
        </w:rPr>
        <w:t>、</w:t>
      </w:r>
      <w:r w:rsidR="001F2747">
        <w:t>《土壤环境质量农用地土壤污染风险管控标准》（</w:t>
      </w:r>
      <w:r w:rsidR="001F2747">
        <w:t>GB15618-2018</w:t>
      </w:r>
      <w:r w:rsidR="001F2747">
        <w:t>）（试行）表</w:t>
      </w:r>
      <w:r w:rsidR="001F2747">
        <w:t>1</w:t>
      </w:r>
      <w:r>
        <w:rPr>
          <w:rFonts w:hint="eastAsia"/>
        </w:rPr>
        <w:t>限值要求。</w:t>
      </w:r>
    </w:p>
    <w:p w:rsidR="00EE56C0" w:rsidRDefault="000F36A1">
      <w:pPr>
        <w:pStyle w:val="3"/>
        <w:spacing w:before="240" w:after="120"/>
      </w:pPr>
      <w:bookmarkStart w:id="507" w:name="_Toc4331"/>
      <w:r>
        <w:rPr>
          <w:rFonts w:hint="eastAsia"/>
        </w:rPr>
        <w:t>9.1.4</w:t>
      </w:r>
      <w:r>
        <w:t>环境影响预测及评价结论</w:t>
      </w:r>
      <w:bookmarkEnd w:id="507"/>
    </w:p>
    <w:p w:rsidR="00EE56C0" w:rsidRDefault="000F36A1">
      <w:pPr>
        <w:pStyle w:val="4"/>
        <w:ind w:left="120" w:firstLine="241"/>
      </w:pPr>
      <w:r>
        <w:rPr>
          <w:rFonts w:hint="eastAsia"/>
        </w:rPr>
        <w:t>9.1.4.1</w:t>
      </w:r>
      <w:r>
        <w:t>大气环境影响评价结论</w:t>
      </w:r>
    </w:p>
    <w:p w:rsidR="00EE56C0" w:rsidRDefault="000F36A1">
      <w:pPr>
        <w:ind w:firstLine="480"/>
        <w:rPr>
          <w:u w:val="single"/>
        </w:rPr>
      </w:pPr>
      <w:r>
        <w:rPr>
          <w:rFonts w:hint="eastAsia"/>
        </w:rPr>
        <w:t>（</w:t>
      </w:r>
      <w:r>
        <w:rPr>
          <w:rFonts w:hint="eastAsia"/>
        </w:rPr>
        <w:t>1</w:t>
      </w:r>
      <w:r>
        <w:rPr>
          <w:rFonts w:hint="eastAsia"/>
        </w:rPr>
        <w:t>）</w:t>
      </w:r>
      <w:r>
        <w:t>本项目正常排放的主要污染物</w:t>
      </w:r>
      <w:r>
        <w:rPr>
          <w:rFonts w:hint="eastAsia"/>
        </w:rPr>
        <w:t>酚</w:t>
      </w:r>
      <w:r>
        <w:rPr>
          <w:rFonts w:hint="eastAsia"/>
        </w:rPr>
        <w:t>1</w:t>
      </w:r>
      <w:r>
        <w:rPr>
          <w:rFonts w:hint="eastAsia"/>
        </w:rPr>
        <w:t>小时浓度可以达到</w:t>
      </w:r>
      <w:r>
        <w:rPr>
          <w:rFonts w:hint="eastAsia"/>
          <w:b/>
          <w:u w:val="single"/>
        </w:rPr>
        <w:t>《居住区大气中酚卫生标准》（</w:t>
      </w:r>
      <w:r>
        <w:rPr>
          <w:rFonts w:hint="eastAsia"/>
          <w:b/>
          <w:u w:val="single"/>
        </w:rPr>
        <w:t>GB18067-2000</w:t>
      </w:r>
      <w:r>
        <w:rPr>
          <w:rFonts w:hint="eastAsia"/>
          <w:b/>
          <w:u w:val="single"/>
        </w:rPr>
        <w:t>）小时</w:t>
      </w:r>
      <w:r>
        <w:rPr>
          <w:rFonts w:hint="eastAsia"/>
        </w:rPr>
        <w:t>浓度限值，非甲烷总烃</w:t>
      </w:r>
      <w:r>
        <w:rPr>
          <w:rFonts w:hint="eastAsia"/>
        </w:rPr>
        <w:t>1</w:t>
      </w:r>
      <w:r>
        <w:rPr>
          <w:rFonts w:hint="eastAsia"/>
        </w:rPr>
        <w:t>小时浓度可以达到《大气综合污染物排放标准详解》第四章标准值说明</w:t>
      </w:r>
      <w:r>
        <w:t>-</w:t>
      </w:r>
      <w:r>
        <w:rPr>
          <w:rFonts w:hint="eastAsia"/>
        </w:rPr>
        <w:t>三十一、非甲烷总烃，苯、甲苯、二甲苯</w:t>
      </w:r>
      <w:r>
        <w:rPr>
          <w:rFonts w:hint="eastAsia"/>
        </w:rPr>
        <w:t>1</w:t>
      </w:r>
      <w:r>
        <w:rPr>
          <w:rFonts w:hint="eastAsia"/>
        </w:rPr>
        <w:t>小时浓度可以达到《环境影响评价技术导则</w:t>
      </w:r>
      <w:r>
        <w:rPr>
          <w:rFonts w:hint="eastAsia"/>
        </w:rPr>
        <w:t xml:space="preserve"> </w:t>
      </w:r>
      <w:r>
        <w:rPr>
          <w:rFonts w:hint="eastAsia"/>
        </w:rPr>
        <w:t>大气环境》（</w:t>
      </w:r>
      <w:r>
        <w:rPr>
          <w:rFonts w:hint="eastAsia"/>
        </w:rPr>
        <w:t>HJ2.2-2018</w:t>
      </w:r>
      <w:r>
        <w:rPr>
          <w:rFonts w:hint="eastAsia"/>
        </w:rPr>
        <w:t>）附录</w:t>
      </w:r>
      <w:r>
        <w:rPr>
          <w:rFonts w:hint="eastAsia"/>
        </w:rPr>
        <w:t>D</w:t>
      </w:r>
      <w:r>
        <w:rPr>
          <w:rFonts w:hint="eastAsia"/>
        </w:rPr>
        <w:t>要求；</w:t>
      </w:r>
    </w:p>
    <w:p w:rsidR="00EE56C0" w:rsidRDefault="000F36A1">
      <w:pPr>
        <w:ind w:firstLine="480"/>
      </w:pPr>
      <w:r>
        <w:rPr>
          <w:rFonts w:hint="eastAsia"/>
        </w:rPr>
        <w:t>（</w:t>
      </w:r>
      <w:r>
        <w:rPr>
          <w:rFonts w:hint="eastAsia"/>
        </w:rPr>
        <w:t>2</w:t>
      </w:r>
      <w:r>
        <w:rPr>
          <w:rFonts w:hint="eastAsia"/>
        </w:rPr>
        <w:t>）本项目排放的酚对四周厂界的贡献值能够满足</w:t>
      </w:r>
      <w:r>
        <w:t>《大气污染物综合排放</w:t>
      </w:r>
      <w:r>
        <w:lastRenderedPageBreak/>
        <w:t>标准》（</w:t>
      </w:r>
      <w:r>
        <w:t>GB16297-1996</w:t>
      </w:r>
      <w:r>
        <w:t>）</w:t>
      </w:r>
      <w:r>
        <w:rPr>
          <w:rFonts w:hint="eastAsia"/>
        </w:rPr>
        <w:t>表</w:t>
      </w:r>
      <w:r>
        <w:rPr>
          <w:rFonts w:hint="eastAsia"/>
        </w:rPr>
        <w:t>2</w:t>
      </w:r>
      <w:r>
        <w:rPr>
          <w:rFonts w:hint="eastAsia"/>
        </w:rPr>
        <w:t>酚</w:t>
      </w:r>
      <w:r>
        <w:rPr>
          <w:rFonts w:hint="eastAsia"/>
        </w:rPr>
        <w:t>0.08mg/m</w:t>
      </w:r>
      <w:r>
        <w:rPr>
          <w:rFonts w:hint="eastAsia"/>
          <w:vertAlign w:val="superscript"/>
        </w:rPr>
        <w:t>3</w:t>
      </w:r>
      <w:r>
        <w:rPr>
          <w:rFonts w:hint="eastAsia"/>
        </w:rPr>
        <w:t>的标准要求，非甲烷总烃、二甲苯、甲苯、苯对四周厂界的贡献值能够满足《关于全省开展工业企业挥发性有机物专项治理工作中排放建议值的通知》（豫环攻坚办（</w:t>
      </w:r>
      <w:r>
        <w:rPr>
          <w:rFonts w:hint="eastAsia"/>
        </w:rPr>
        <w:t>2017</w:t>
      </w:r>
      <w:r>
        <w:rPr>
          <w:rFonts w:hint="eastAsia"/>
        </w:rPr>
        <w:t>）</w:t>
      </w:r>
      <w:r>
        <w:rPr>
          <w:rFonts w:hint="eastAsia"/>
        </w:rPr>
        <w:t>162</w:t>
      </w:r>
      <w:r>
        <w:rPr>
          <w:rFonts w:hint="eastAsia"/>
        </w:rPr>
        <w:t>号）附件</w:t>
      </w:r>
      <w:r>
        <w:rPr>
          <w:rFonts w:hint="eastAsia"/>
        </w:rPr>
        <w:t>2</w:t>
      </w:r>
      <w:r>
        <w:rPr>
          <w:rFonts w:hint="eastAsia"/>
        </w:rPr>
        <w:t>非甲烷总烃</w:t>
      </w:r>
      <w:r>
        <w:rPr>
          <w:rFonts w:hint="eastAsia"/>
        </w:rPr>
        <w:t>2.0</w:t>
      </w:r>
      <w:r>
        <w:t>mg/m</w:t>
      </w:r>
      <w:r>
        <w:rPr>
          <w:vertAlign w:val="superscript"/>
        </w:rPr>
        <w:t>3</w:t>
      </w:r>
      <w:r>
        <w:rPr>
          <w:rFonts w:hint="eastAsia"/>
        </w:rPr>
        <w:t>、二甲苯</w:t>
      </w:r>
      <w:r>
        <w:rPr>
          <w:rFonts w:hint="eastAsia"/>
        </w:rPr>
        <w:t>0.2mg/m</w:t>
      </w:r>
      <w:r>
        <w:rPr>
          <w:rFonts w:hint="eastAsia"/>
          <w:vertAlign w:val="superscript"/>
        </w:rPr>
        <w:t>3</w:t>
      </w:r>
      <w:r>
        <w:rPr>
          <w:rFonts w:hint="eastAsia"/>
        </w:rPr>
        <w:t>、甲苯</w:t>
      </w:r>
      <w:r>
        <w:rPr>
          <w:rFonts w:hint="eastAsia"/>
        </w:rPr>
        <w:t>0.6</w:t>
      </w:r>
      <w:r>
        <w:t>mg/m</w:t>
      </w:r>
      <w:r>
        <w:rPr>
          <w:vertAlign w:val="superscript"/>
        </w:rPr>
        <w:t>3</w:t>
      </w:r>
      <w:r>
        <w:rPr>
          <w:rFonts w:hint="eastAsia"/>
        </w:rPr>
        <w:t>、苯</w:t>
      </w:r>
      <w:r>
        <w:rPr>
          <w:rFonts w:hint="eastAsia"/>
        </w:rPr>
        <w:t>0.1</w:t>
      </w:r>
      <w:r>
        <w:t>mg/m</w:t>
      </w:r>
      <w:r>
        <w:rPr>
          <w:vertAlign w:val="superscript"/>
        </w:rPr>
        <w:t>3</w:t>
      </w:r>
      <w:r>
        <w:rPr>
          <w:rFonts w:hint="eastAsia"/>
        </w:rPr>
        <w:t>的标准要求。</w:t>
      </w:r>
    </w:p>
    <w:p w:rsidR="00EE56C0" w:rsidRDefault="000F36A1">
      <w:pPr>
        <w:ind w:firstLine="480"/>
      </w:pPr>
      <w:r>
        <w:rPr>
          <w:rFonts w:hint="eastAsia"/>
        </w:rPr>
        <w:t>（</w:t>
      </w:r>
      <w:r>
        <w:rPr>
          <w:rFonts w:hint="eastAsia"/>
        </w:rPr>
        <w:t>3</w:t>
      </w:r>
      <w:r>
        <w:rPr>
          <w:rFonts w:hint="eastAsia"/>
        </w:rPr>
        <w:t>）根据导则要求，本项目无需设置大气环境防护距离。</w:t>
      </w:r>
    </w:p>
    <w:p w:rsidR="00EE56C0" w:rsidRDefault="000F36A1">
      <w:pPr>
        <w:ind w:firstLine="480"/>
      </w:pPr>
      <w:r>
        <w:rPr>
          <w:rFonts w:hint="eastAsia"/>
        </w:rPr>
        <w:t>（</w:t>
      </w:r>
      <w:r>
        <w:rPr>
          <w:rFonts w:hint="eastAsia"/>
        </w:rPr>
        <w:t>4</w:t>
      </w:r>
      <w:r>
        <w:rPr>
          <w:rFonts w:hint="eastAsia"/>
        </w:rPr>
        <w:t>）</w:t>
      </w:r>
      <w:r w:rsidRPr="001F2747">
        <w:rPr>
          <w:rFonts w:hint="eastAsia"/>
          <w:b/>
          <w:spacing w:val="4"/>
          <w:u w:val="single"/>
        </w:rPr>
        <w:t>本</w:t>
      </w:r>
      <w:r w:rsidRPr="001F2747">
        <w:rPr>
          <w:b/>
          <w:spacing w:val="4"/>
          <w:u w:val="single"/>
        </w:rPr>
        <w:t>项目</w:t>
      </w:r>
      <w:r w:rsidRPr="001F2747">
        <w:rPr>
          <w:rFonts w:hint="eastAsia"/>
          <w:b/>
          <w:spacing w:val="4"/>
          <w:u w:val="single"/>
        </w:rPr>
        <w:t>不设置</w:t>
      </w:r>
      <w:r w:rsidRPr="001F2747">
        <w:rPr>
          <w:b/>
          <w:spacing w:val="4"/>
          <w:u w:val="single"/>
        </w:rPr>
        <w:t>卫生防护距离，</w:t>
      </w:r>
      <w:r w:rsidRPr="001F2747">
        <w:rPr>
          <w:rFonts w:hint="eastAsia"/>
          <w:b/>
          <w:spacing w:val="4"/>
          <w:u w:val="single"/>
        </w:rPr>
        <w:t>现有卫生防护距离</w:t>
      </w:r>
      <w:r w:rsidRPr="001F2747">
        <w:rPr>
          <w:rFonts w:hint="eastAsia"/>
          <w:b/>
          <w:spacing w:val="4"/>
          <w:u w:val="single"/>
        </w:rPr>
        <w:t>200m</w:t>
      </w:r>
      <w:r w:rsidRPr="001F2747">
        <w:rPr>
          <w:rFonts w:hint="eastAsia"/>
          <w:b/>
          <w:spacing w:val="4"/>
          <w:u w:val="single"/>
        </w:rPr>
        <w:t>维持不变。</w:t>
      </w:r>
      <w:r w:rsidRPr="001F2747">
        <w:rPr>
          <w:rFonts w:hint="eastAsia"/>
          <w:b/>
          <w:u w:val="single"/>
        </w:rPr>
        <w:t>厂区</w:t>
      </w:r>
      <w:r w:rsidRPr="001F2747">
        <w:rPr>
          <w:b/>
          <w:u w:val="single"/>
        </w:rPr>
        <w:t>卫生防护距离内没有敏感点，满足设防要求。评价提出，防护距离内不宜再规划新建医院、学校、居住区等环境敏感点。</w:t>
      </w:r>
    </w:p>
    <w:p w:rsidR="00EE56C0" w:rsidRDefault="000F36A1">
      <w:pPr>
        <w:ind w:firstLine="480"/>
      </w:pPr>
      <w:r>
        <w:rPr>
          <w:rFonts w:hint="eastAsia"/>
        </w:rPr>
        <w:t>综上所述，</w:t>
      </w:r>
      <w:r>
        <w:t>在保证评价要求和工程设计的防治措施正常运行的条件下，本工程建设对周围大气环境影响可接受。</w:t>
      </w:r>
    </w:p>
    <w:p w:rsidR="00EE56C0" w:rsidRDefault="000F36A1">
      <w:pPr>
        <w:pStyle w:val="4"/>
        <w:ind w:left="120" w:firstLine="241"/>
      </w:pPr>
      <w:r>
        <w:rPr>
          <w:rFonts w:hint="eastAsia"/>
        </w:rPr>
        <w:t>9.1.4.2</w:t>
      </w:r>
      <w:r>
        <w:t>地表水环境影响评价结论</w:t>
      </w:r>
    </w:p>
    <w:p w:rsidR="00EE56C0" w:rsidRDefault="000F36A1" w:rsidP="001F2747">
      <w:pPr>
        <w:ind w:firstLine="482"/>
      </w:pPr>
      <w:r w:rsidRPr="001F2747">
        <w:rPr>
          <w:rFonts w:hint="eastAsia"/>
          <w:b/>
          <w:u w:val="single"/>
        </w:rPr>
        <w:t>项目废水包括生活污水和反渗透浓水。生活污水经</w:t>
      </w:r>
      <w:r w:rsidR="001F2747" w:rsidRPr="001F2747">
        <w:rPr>
          <w:rFonts w:hint="eastAsia"/>
          <w:b/>
          <w:u w:val="single"/>
        </w:rPr>
        <w:t>“隔油池</w:t>
      </w:r>
      <w:r w:rsidR="001F2747" w:rsidRPr="001F2747">
        <w:rPr>
          <w:rFonts w:hint="eastAsia"/>
          <w:b/>
          <w:u w:val="single"/>
        </w:rPr>
        <w:t>+</w:t>
      </w:r>
      <w:r w:rsidRPr="001F2747">
        <w:rPr>
          <w:rFonts w:hint="eastAsia"/>
          <w:b/>
          <w:u w:val="single"/>
        </w:rPr>
        <w:t>化粪池</w:t>
      </w:r>
      <w:r w:rsidR="001F2747" w:rsidRPr="001F2747">
        <w:rPr>
          <w:rFonts w:hint="eastAsia"/>
          <w:b/>
          <w:u w:val="single"/>
        </w:rPr>
        <w:t>”</w:t>
      </w:r>
      <w:r w:rsidRPr="001F2747">
        <w:rPr>
          <w:rFonts w:hint="eastAsia"/>
          <w:b/>
          <w:u w:val="single"/>
        </w:rPr>
        <w:t>处理后与反渗透浓水在厂区总排口外排，经管网排入新乡县综合污水处理站处理，污水处理厂出水进入东孟姜女河</w:t>
      </w:r>
      <w:r>
        <w:rPr>
          <w:rFonts w:hint="eastAsia"/>
        </w:rPr>
        <w:t>。</w:t>
      </w:r>
      <w:r>
        <w:rPr>
          <w:rFonts w:hint="eastAsia"/>
          <w:szCs w:val="24"/>
        </w:rPr>
        <w:t>厂区总排口出水水质</w:t>
      </w:r>
      <w:r>
        <w:t>满足</w:t>
      </w:r>
      <w:r>
        <w:rPr>
          <w:bCs/>
        </w:rPr>
        <w:t>《污水排污城镇下水道水质标准》（</w:t>
      </w:r>
      <w:r>
        <w:rPr>
          <w:bCs/>
        </w:rPr>
        <w:t>GB/T31962-2015</w:t>
      </w:r>
      <w:r>
        <w:rPr>
          <w:bCs/>
        </w:rPr>
        <w:t>）</w:t>
      </w:r>
      <w:r>
        <w:rPr>
          <w:bCs/>
        </w:rPr>
        <w:t>C</w:t>
      </w:r>
      <w:r>
        <w:rPr>
          <w:bCs/>
        </w:rPr>
        <w:t>级</w:t>
      </w:r>
      <w:r>
        <w:rPr>
          <w:rFonts w:cs="宋体" w:hint="eastAsia"/>
          <w:szCs w:val="24"/>
        </w:rPr>
        <w:t>及</w:t>
      </w:r>
      <w:r>
        <w:rPr>
          <w:rFonts w:cs="宋体" w:hint="eastAsia"/>
        </w:rPr>
        <w:t>新乡县综合污水处理厂收水标准要求</w:t>
      </w:r>
      <w:r>
        <w:rPr>
          <w:rFonts w:hint="eastAsia"/>
        </w:rPr>
        <w:t>，</w:t>
      </w:r>
      <w:r>
        <w:rPr>
          <w:rFonts w:hint="eastAsia"/>
          <w:szCs w:val="24"/>
        </w:rPr>
        <w:t>且</w:t>
      </w:r>
      <w:r>
        <w:rPr>
          <w:szCs w:val="24"/>
        </w:rPr>
        <w:t>项目排放废水量占其处理负荷量比例较小</w:t>
      </w:r>
      <w:r>
        <w:rPr>
          <w:rFonts w:hint="eastAsia"/>
          <w:szCs w:val="24"/>
        </w:rPr>
        <w:t>、</w:t>
      </w:r>
      <w:r>
        <w:rPr>
          <w:szCs w:val="24"/>
        </w:rPr>
        <w:t>总处理量未超出设计处理负荷量，</w:t>
      </w:r>
      <w:r>
        <w:rPr>
          <w:rFonts w:hint="eastAsia"/>
          <w:szCs w:val="24"/>
        </w:rPr>
        <w:t>不会对新乡县综合污水处理厂的出水水质产生影响</w:t>
      </w:r>
      <w:r>
        <w:t>。</w:t>
      </w:r>
      <w:r>
        <w:rPr>
          <w:rFonts w:hint="eastAsia"/>
          <w:szCs w:val="24"/>
        </w:rPr>
        <w:t>因此</w:t>
      </w:r>
      <w:r>
        <w:rPr>
          <w:szCs w:val="24"/>
        </w:rPr>
        <w:t>评价认为</w:t>
      </w:r>
      <w:r>
        <w:rPr>
          <w:rFonts w:hint="eastAsia"/>
          <w:szCs w:val="24"/>
        </w:rPr>
        <w:t>：</w:t>
      </w:r>
      <w:r>
        <w:rPr>
          <w:szCs w:val="24"/>
        </w:rPr>
        <w:t>项目</w:t>
      </w:r>
      <w:r>
        <w:rPr>
          <w:rFonts w:hint="eastAsia"/>
          <w:szCs w:val="24"/>
        </w:rPr>
        <w:t>废水经处理后，对地表水环境的影响可接受</w:t>
      </w:r>
      <w:r>
        <w:rPr>
          <w:szCs w:val="24"/>
        </w:rPr>
        <w:t>。</w:t>
      </w:r>
    </w:p>
    <w:p w:rsidR="00EE56C0" w:rsidRDefault="000F36A1">
      <w:pPr>
        <w:pStyle w:val="4"/>
        <w:ind w:left="120" w:firstLine="241"/>
      </w:pPr>
      <w:r>
        <w:rPr>
          <w:rFonts w:hint="eastAsia"/>
        </w:rPr>
        <w:t>9.1.4.3</w:t>
      </w:r>
      <w:r>
        <w:t>地下水环境影响预测与评价结论</w:t>
      </w:r>
    </w:p>
    <w:p w:rsidR="00EE56C0" w:rsidRDefault="000F36A1">
      <w:pPr>
        <w:ind w:firstLine="480"/>
      </w:pPr>
      <w:r>
        <w:rPr>
          <w:rFonts w:hint="eastAsia"/>
        </w:rPr>
        <w:t>在非正常工况下，该工程对厂址周围的地下水环境有一定的影响。但从泄漏概率、地面破损概率综合考虑，废水池渗入地下是概率很小的事件，如果采取适当的预防措施和应急处理措施，可以把对地下水环境的影响控制到地下水环境容量可以接受的程度。</w:t>
      </w:r>
    </w:p>
    <w:p w:rsidR="00EE56C0" w:rsidRDefault="000F36A1">
      <w:pPr>
        <w:pStyle w:val="4"/>
        <w:ind w:left="120" w:firstLine="241"/>
      </w:pPr>
      <w:r>
        <w:rPr>
          <w:rFonts w:hint="eastAsia"/>
        </w:rPr>
        <w:t>9.1.4.4</w:t>
      </w:r>
      <w:r>
        <w:t>声环境影响预测与评价结论</w:t>
      </w:r>
    </w:p>
    <w:p w:rsidR="00EE56C0" w:rsidRDefault="000F36A1">
      <w:pPr>
        <w:ind w:firstLine="480"/>
      </w:pPr>
      <w:r>
        <w:t>工程完成后，由于厂区内高噪声设备均采取了有效的降噪措施，工程噪声对</w:t>
      </w:r>
      <w:r>
        <w:lastRenderedPageBreak/>
        <w:t>厂界及周围敏感点的贡献影响不大，各厂界噪声均不超标。评价认为，工程建成后其噪声对周围声环境的影响可以接受。</w:t>
      </w:r>
    </w:p>
    <w:p w:rsidR="00EE56C0" w:rsidRDefault="000F36A1">
      <w:pPr>
        <w:pStyle w:val="3"/>
        <w:spacing w:before="240" w:after="120"/>
      </w:pPr>
      <w:bookmarkStart w:id="508" w:name="_Toc24199"/>
      <w:r>
        <w:rPr>
          <w:rFonts w:hint="eastAsia"/>
        </w:rPr>
        <w:t>9.1.5</w:t>
      </w:r>
      <w:r>
        <w:t>工程完成后，各项污染防治措施可行，固废采取了有效</w:t>
      </w:r>
      <w:r>
        <w:rPr>
          <w:rFonts w:hint="eastAsia"/>
        </w:rPr>
        <w:t>的</w:t>
      </w:r>
      <w:r>
        <w:t>处置措施，全厂废水、废气、噪声污染物能够做到达标排放。</w:t>
      </w:r>
    </w:p>
    <w:p w:rsidR="00EE56C0" w:rsidRDefault="000F36A1">
      <w:pPr>
        <w:ind w:firstLine="482"/>
        <w:rPr>
          <w:b/>
        </w:rPr>
      </w:pPr>
      <w:r>
        <w:rPr>
          <w:rFonts w:ascii="宋体" w:hAnsi="宋体"/>
          <w:b/>
        </w:rPr>
        <w:t>·</w:t>
      </w:r>
      <w:r>
        <w:rPr>
          <w:b/>
        </w:rPr>
        <w:t>废气：</w:t>
      </w:r>
    </w:p>
    <w:p w:rsidR="00EE56C0" w:rsidRDefault="000F36A1">
      <w:pPr>
        <w:ind w:firstLine="480"/>
        <w:rPr>
          <w:b/>
        </w:rPr>
      </w:pPr>
      <w:r>
        <w:rPr>
          <w:rFonts w:hint="eastAsia"/>
        </w:rPr>
        <w:t>本项目废气包括油水分离器冷凝过程产生的不凝气，漆包线及丝包线涂漆、烘干工序产生的有机废气。</w:t>
      </w:r>
    </w:p>
    <w:p w:rsidR="00EE56C0" w:rsidRDefault="000F36A1">
      <w:pPr>
        <w:ind w:firstLine="480"/>
        <w:rPr>
          <w:b/>
        </w:rPr>
      </w:pPr>
      <w:r>
        <w:rPr>
          <w:rFonts w:hint="eastAsia"/>
        </w:rPr>
        <w:t>油水分离器冷凝过程产生的不凝气：经管道引入现有“静电除油</w:t>
      </w:r>
      <w:r>
        <w:rPr>
          <w:rFonts w:hint="eastAsia"/>
        </w:rPr>
        <w:t>+</w:t>
      </w:r>
      <w:r>
        <w:rPr>
          <w:rFonts w:hint="eastAsia"/>
        </w:rPr>
        <w:t>活性炭吸附</w:t>
      </w:r>
      <w:r>
        <w:rPr>
          <w:rFonts w:hint="eastAsia"/>
        </w:rPr>
        <w:t>-</w:t>
      </w:r>
      <w:r>
        <w:rPr>
          <w:rFonts w:hint="eastAsia"/>
        </w:rPr>
        <w:t>脱附</w:t>
      </w:r>
      <w:r>
        <w:rPr>
          <w:rFonts w:hint="eastAsia"/>
        </w:rPr>
        <w:t>-</w:t>
      </w:r>
      <w:r>
        <w:rPr>
          <w:rFonts w:hint="eastAsia"/>
        </w:rPr>
        <w:t>催化燃烧装置</w:t>
      </w:r>
      <w:r>
        <w:rPr>
          <w:rFonts w:hint="eastAsia"/>
        </w:rPr>
        <w:t>T</w:t>
      </w:r>
      <w:r>
        <w:rPr>
          <w:rFonts w:hint="eastAsia"/>
        </w:rPr>
        <w:t>”处理。</w:t>
      </w:r>
    </w:p>
    <w:p w:rsidR="00EE56C0" w:rsidRDefault="000F36A1">
      <w:pPr>
        <w:ind w:firstLine="480"/>
        <w:rPr>
          <w:b/>
        </w:rPr>
      </w:pPr>
      <w:r>
        <w:rPr>
          <w:rFonts w:hint="eastAsia"/>
        </w:rPr>
        <w:t>漆包线及丝包线涂漆、烘干废气：漆包机涂漆、烘干工序产生的有机废气经炉内两次催化燃烧装置预处理后，与丝包线涂漆、烘干工序产生的有机废气一起进入后端的“活性炭吸附</w:t>
      </w:r>
      <w:r>
        <w:rPr>
          <w:rFonts w:hint="eastAsia"/>
        </w:rPr>
        <w:t>-</w:t>
      </w:r>
      <w:r>
        <w:rPr>
          <w:rFonts w:hint="eastAsia"/>
        </w:rPr>
        <w:t>脱附</w:t>
      </w:r>
      <w:r>
        <w:rPr>
          <w:rFonts w:hint="eastAsia"/>
        </w:rPr>
        <w:t>-</w:t>
      </w:r>
      <w:r>
        <w:rPr>
          <w:rFonts w:hint="eastAsia"/>
        </w:rPr>
        <w:t>催化燃烧装置</w:t>
      </w:r>
      <w:r>
        <w:rPr>
          <w:rFonts w:hint="eastAsia"/>
        </w:rPr>
        <w:t>T</w:t>
      </w:r>
      <w:r>
        <w:rPr>
          <w:rFonts w:hint="eastAsia"/>
        </w:rPr>
        <w:t>”进一步处理，拉包机废气及立炉二次封闭通道废气直接进入“沸石吸附</w:t>
      </w:r>
      <w:r>
        <w:rPr>
          <w:rFonts w:hint="eastAsia"/>
        </w:rPr>
        <w:t>-</w:t>
      </w:r>
      <w:r>
        <w:rPr>
          <w:rFonts w:hint="eastAsia"/>
        </w:rPr>
        <w:t>脱附</w:t>
      </w:r>
      <w:r>
        <w:rPr>
          <w:rFonts w:hint="eastAsia"/>
        </w:rPr>
        <w:t>-</w:t>
      </w:r>
      <w:r>
        <w:rPr>
          <w:rFonts w:hint="eastAsia"/>
        </w:rPr>
        <w:t>催化燃烧</w:t>
      </w:r>
      <w:r>
        <w:rPr>
          <w:rFonts w:hint="eastAsia"/>
        </w:rPr>
        <w:t>F</w:t>
      </w:r>
      <w:r>
        <w:rPr>
          <w:rFonts w:hint="eastAsia"/>
        </w:rPr>
        <w:t>”进行处理，尾气经一根</w:t>
      </w:r>
      <w:r>
        <w:rPr>
          <w:rFonts w:hint="eastAsia"/>
        </w:rPr>
        <w:t>26.5m</w:t>
      </w:r>
      <w:r>
        <w:rPr>
          <w:rFonts w:hint="eastAsia"/>
        </w:rPr>
        <w:t>高排气筒</w:t>
      </w:r>
      <w:r w:rsidR="001F2747">
        <w:rPr>
          <w:rFonts w:hint="eastAsia"/>
        </w:rPr>
        <w:t>P</w:t>
      </w:r>
      <w:r>
        <w:rPr>
          <w:rFonts w:hint="eastAsia"/>
        </w:rPr>
        <w:t>排放。酚</w:t>
      </w:r>
      <w:r>
        <w:t>排放浓度、排放速率</w:t>
      </w:r>
      <w:r>
        <w:rPr>
          <w:rFonts w:hint="eastAsia"/>
        </w:rPr>
        <w:t>满足</w:t>
      </w:r>
      <w:r>
        <w:t>《大气污染物综合排放标准》（</w:t>
      </w:r>
      <w:r>
        <w:t>GB16297-1996</w:t>
      </w:r>
      <w:r>
        <w:t>）表</w:t>
      </w:r>
      <w:r>
        <w:t>2</w:t>
      </w:r>
      <w:r>
        <w:t>二级：酚类排放浓度</w:t>
      </w:r>
      <w:r>
        <w:t>100mg/m</w:t>
      </w:r>
      <w:r>
        <w:rPr>
          <w:vertAlign w:val="superscript"/>
        </w:rPr>
        <w:t>3</w:t>
      </w:r>
      <w:r>
        <w:t>、排放速率</w:t>
      </w:r>
      <w:r>
        <w:t>0.1kg/h</w:t>
      </w:r>
      <w:r>
        <w:t>要求</w:t>
      </w:r>
      <w:r>
        <w:rPr>
          <w:rFonts w:hint="eastAsia"/>
        </w:rPr>
        <w:t>，非甲烷总烃、二甲苯、甲苯排放浓度《工业涂装工序挥发性有机物排放标准</w:t>
      </w:r>
      <w:r>
        <w:t>》（</w:t>
      </w:r>
      <w:r>
        <w:t>DB41/1951-2020</w:t>
      </w:r>
      <w:r>
        <w:t>）表</w:t>
      </w:r>
      <w:r>
        <w:t>1</w:t>
      </w:r>
      <w:r>
        <w:t>：非甲烷总烃</w:t>
      </w:r>
      <w:r>
        <w:t>50mg/m</w:t>
      </w:r>
      <w:r>
        <w:rPr>
          <w:vertAlign w:val="superscript"/>
        </w:rPr>
        <w:t>3</w:t>
      </w:r>
      <w:r>
        <w:t>、</w:t>
      </w:r>
      <w:r>
        <w:rPr>
          <w:rFonts w:hint="eastAsia"/>
        </w:rPr>
        <w:t>苯</w:t>
      </w:r>
      <w:r>
        <w:rPr>
          <w:rFonts w:hint="eastAsia"/>
        </w:rPr>
        <w:t>1</w:t>
      </w:r>
      <w:r>
        <w:t>mg/m</w:t>
      </w:r>
      <w:r>
        <w:rPr>
          <w:vertAlign w:val="superscript"/>
        </w:rPr>
        <w:t>3</w:t>
      </w:r>
      <w:r>
        <w:rPr>
          <w:rFonts w:hint="eastAsia"/>
        </w:rPr>
        <w:t>、</w:t>
      </w:r>
      <w:r>
        <w:t>甲苯与二甲苯合计</w:t>
      </w:r>
      <w:r>
        <w:t>20mg/m</w:t>
      </w:r>
      <w:r>
        <w:rPr>
          <w:vertAlign w:val="superscript"/>
        </w:rPr>
        <w:t>3</w:t>
      </w:r>
      <w:r>
        <w:t>要求。</w:t>
      </w:r>
    </w:p>
    <w:p w:rsidR="00EE56C0" w:rsidRDefault="000F36A1">
      <w:pPr>
        <w:ind w:firstLine="480"/>
      </w:pPr>
      <w:r>
        <w:t>经采取上述相应的治理措施治理后项目各废气均可实现稳定达标排放，满足相应排放标准要求。</w:t>
      </w:r>
    </w:p>
    <w:p w:rsidR="00EE56C0" w:rsidRDefault="000F36A1">
      <w:pPr>
        <w:ind w:firstLine="482"/>
        <w:rPr>
          <w:b/>
        </w:rPr>
      </w:pPr>
      <w:r>
        <w:rPr>
          <w:b/>
        </w:rPr>
        <w:t>·</w:t>
      </w:r>
      <w:r>
        <w:rPr>
          <w:b/>
        </w:rPr>
        <w:t>废水：</w:t>
      </w:r>
    </w:p>
    <w:p w:rsidR="00EE56C0" w:rsidRDefault="000F36A1">
      <w:pPr>
        <w:ind w:firstLine="480"/>
      </w:pPr>
      <w:r>
        <w:t>本项目废水主要为</w:t>
      </w:r>
      <w:r>
        <w:rPr>
          <w:rFonts w:hint="eastAsia"/>
        </w:rPr>
        <w:t>生活污水、反渗透浓水</w:t>
      </w:r>
      <w:r>
        <w:t>。</w:t>
      </w:r>
      <w:r>
        <w:rPr>
          <w:rFonts w:hint="eastAsia"/>
        </w:rPr>
        <w:t>本项目废水量为一期</w:t>
      </w:r>
      <w:r>
        <w:rPr>
          <w:rFonts w:hint="eastAsia"/>
        </w:rPr>
        <w:t>1.48m</w:t>
      </w:r>
      <w:r>
        <w:rPr>
          <w:vertAlign w:val="superscript"/>
        </w:rPr>
        <w:t>3</w:t>
      </w:r>
      <w:r>
        <w:t>/d</w:t>
      </w:r>
      <w:r>
        <w:rPr>
          <w:rFonts w:hint="eastAsia"/>
        </w:rPr>
        <w:t>、二期</w:t>
      </w:r>
      <w:r>
        <w:rPr>
          <w:rFonts w:hint="eastAsia"/>
        </w:rPr>
        <w:t>5.41</w:t>
      </w:r>
      <w:r>
        <w:t>m</w:t>
      </w:r>
      <w:r>
        <w:rPr>
          <w:vertAlign w:val="superscript"/>
        </w:rPr>
        <w:t>3</w:t>
      </w:r>
      <w:r>
        <w:t>/d</w:t>
      </w:r>
      <w:r>
        <w:rPr>
          <w:rFonts w:hint="eastAsia"/>
        </w:rPr>
        <w:t>。</w:t>
      </w:r>
    </w:p>
    <w:p w:rsidR="00EE56C0" w:rsidRPr="001F2747" w:rsidRDefault="000F36A1" w:rsidP="001F2747">
      <w:pPr>
        <w:ind w:firstLine="482"/>
        <w:rPr>
          <w:b/>
          <w:u w:val="single"/>
        </w:rPr>
      </w:pPr>
      <w:r w:rsidRPr="001F2747">
        <w:rPr>
          <w:rFonts w:hint="eastAsia"/>
          <w:b/>
          <w:u w:val="single"/>
        </w:rPr>
        <w:t>生活污水经“隔油池</w:t>
      </w:r>
      <w:r w:rsidRPr="001F2747">
        <w:rPr>
          <w:rFonts w:hint="eastAsia"/>
          <w:b/>
          <w:u w:val="single"/>
        </w:rPr>
        <w:t>+</w:t>
      </w:r>
      <w:r w:rsidRPr="001F2747">
        <w:rPr>
          <w:rFonts w:hint="eastAsia"/>
          <w:b/>
          <w:u w:val="single"/>
        </w:rPr>
        <w:t>化粪池”处理，与反渗透浓水在厂区总排口汇合，</w:t>
      </w:r>
      <w:r w:rsidRPr="001F2747">
        <w:rPr>
          <w:b/>
          <w:u w:val="single"/>
        </w:rPr>
        <w:t>出水水质满足《污水排入城镇下水道水质标准》（</w:t>
      </w:r>
      <w:r w:rsidRPr="001F2747">
        <w:rPr>
          <w:b/>
          <w:u w:val="single"/>
        </w:rPr>
        <w:t>GB/T31962-2015</w:t>
      </w:r>
      <w:r w:rsidRPr="001F2747">
        <w:rPr>
          <w:b/>
          <w:u w:val="single"/>
        </w:rPr>
        <w:t>）中</w:t>
      </w:r>
      <w:r w:rsidRPr="001F2747">
        <w:rPr>
          <w:b/>
          <w:u w:val="single"/>
        </w:rPr>
        <w:t>C</w:t>
      </w:r>
      <w:r w:rsidRPr="001F2747">
        <w:rPr>
          <w:b/>
          <w:u w:val="single"/>
        </w:rPr>
        <w:t>级标准</w:t>
      </w:r>
      <w:r w:rsidRPr="001F2747">
        <w:rPr>
          <w:b/>
          <w:u w:val="single"/>
        </w:rPr>
        <w:lastRenderedPageBreak/>
        <w:t>和</w:t>
      </w:r>
      <w:r w:rsidRPr="001F2747">
        <w:rPr>
          <w:rFonts w:hint="eastAsia"/>
          <w:b/>
          <w:u w:val="single"/>
        </w:rPr>
        <w:t>新乡县综合</w:t>
      </w:r>
      <w:r w:rsidRPr="001F2747">
        <w:rPr>
          <w:b/>
          <w:u w:val="single"/>
        </w:rPr>
        <w:t>污水处理厂收水水质要求</w:t>
      </w:r>
      <w:r w:rsidRPr="001F2747">
        <w:rPr>
          <w:rFonts w:hint="eastAsia"/>
          <w:b/>
          <w:u w:val="single"/>
        </w:rPr>
        <w:t>，经污水管网排入新乡县综合污水处理站处理，出水进入东孟姜女河。</w:t>
      </w:r>
    </w:p>
    <w:p w:rsidR="00EE56C0" w:rsidRDefault="000F36A1">
      <w:pPr>
        <w:ind w:firstLine="482"/>
        <w:rPr>
          <w:b/>
        </w:rPr>
      </w:pPr>
      <w:r>
        <w:rPr>
          <w:rFonts w:ascii="宋体" w:hAnsi="宋体"/>
          <w:b/>
        </w:rPr>
        <w:t>·</w:t>
      </w:r>
      <w:r>
        <w:rPr>
          <w:b/>
        </w:rPr>
        <w:t>噪声：</w:t>
      </w:r>
    </w:p>
    <w:p w:rsidR="00EE56C0" w:rsidRDefault="000F36A1">
      <w:pPr>
        <w:ind w:firstLine="480"/>
      </w:pPr>
      <w:r>
        <w:rPr>
          <w:rFonts w:hint="eastAsia"/>
        </w:rPr>
        <w:t>工程高噪声源主要为拉拔机、全自动拉丝机</w:t>
      </w:r>
      <w:r>
        <w:t>、</w:t>
      </w:r>
      <w:r>
        <w:rPr>
          <w:rFonts w:hint="eastAsia"/>
        </w:rPr>
        <w:t>漆包机、拉包机、挤压机、纸包机、烧结机、膜包机、丝包机、全自动小拉机等，</w:t>
      </w:r>
      <w:r>
        <w:t>经减振、厂房隔声等措施治理后，</w:t>
      </w:r>
      <w:r>
        <w:rPr>
          <w:rFonts w:hint="eastAsia"/>
        </w:rPr>
        <w:t>各厂界噪声均能够达到《工业企业厂界环境噪声排放标准》（</w:t>
      </w:r>
      <w:r>
        <w:rPr>
          <w:rFonts w:hint="eastAsia"/>
        </w:rPr>
        <w:t>GB12348-2008</w:t>
      </w:r>
      <w:r>
        <w:rPr>
          <w:rFonts w:hint="eastAsia"/>
        </w:rPr>
        <w:t>）</w:t>
      </w:r>
      <w:r>
        <w:rPr>
          <w:rFonts w:hint="eastAsia"/>
        </w:rPr>
        <w:t>3</w:t>
      </w:r>
      <w:r>
        <w:rPr>
          <w:rFonts w:hint="eastAsia"/>
        </w:rPr>
        <w:t>类昼间</w:t>
      </w:r>
      <w:r>
        <w:rPr>
          <w:rFonts w:hint="eastAsia"/>
        </w:rPr>
        <w:t>65dB(A)</w:t>
      </w:r>
      <w:r>
        <w:rPr>
          <w:rFonts w:hint="eastAsia"/>
        </w:rPr>
        <w:t>、夜间</w:t>
      </w:r>
      <w:r>
        <w:rPr>
          <w:rFonts w:hint="eastAsia"/>
        </w:rPr>
        <w:t>55dB(A)</w:t>
      </w:r>
      <w:r>
        <w:rPr>
          <w:rFonts w:hint="eastAsia"/>
        </w:rPr>
        <w:t>标准的要求。</w:t>
      </w:r>
    </w:p>
    <w:p w:rsidR="00EE56C0" w:rsidRDefault="000F36A1">
      <w:pPr>
        <w:ind w:firstLine="482"/>
        <w:rPr>
          <w:b/>
        </w:rPr>
      </w:pPr>
      <w:r>
        <w:rPr>
          <w:rFonts w:ascii="宋体" w:hAnsi="宋体"/>
          <w:b/>
        </w:rPr>
        <w:t>·</w:t>
      </w:r>
      <w:r>
        <w:rPr>
          <w:b/>
        </w:rPr>
        <w:t>固废：</w:t>
      </w:r>
    </w:p>
    <w:bookmarkEnd w:id="508"/>
    <w:p w:rsidR="00EE56C0" w:rsidRDefault="000F36A1">
      <w:pPr>
        <w:ind w:firstLine="480"/>
      </w:pPr>
      <w:r>
        <w:rPr>
          <w:rFonts w:hint="eastAsia"/>
        </w:rPr>
        <w:t>该工程营运期间产生的固废包括一般固废和危险废物两大类，其中</w:t>
      </w:r>
      <w:r>
        <w:t>一般固废包括原料使用产生的废包材</w:t>
      </w:r>
      <w:r>
        <w:rPr>
          <w:rFonts w:hint="eastAsia"/>
        </w:rPr>
        <w:t>、挤压工序产生的废铜线</w:t>
      </w:r>
      <w:r>
        <w:t>、检验产生的残次品</w:t>
      </w:r>
      <w:r>
        <w:rPr>
          <w:rFonts w:hint="eastAsia"/>
        </w:rPr>
        <w:t>。</w:t>
      </w:r>
      <w:r>
        <w:t>危险废物包括</w:t>
      </w:r>
      <w:r>
        <w:rPr>
          <w:rFonts w:hint="eastAsia"/>
        </w:rPr>
        <w:t>拉丝工序产生的</w:t>
      </w:r>
      <w:r>
        <w:t>含铜油泥</w:t>
      </w:r>
      <w:r>
        <w:rPr>
          <w:rFonts w:hint="eastAsia"/>
        </w:rPr>
        <w:t>、废拉丝油，丝包线涂料</w:t>
      </w:r>
      <w:r>
        <w:t>使用</w:t>
      </w:r>
      <w:r>
        <w:rPr>
          <w:rFonts w:hint="eastAsia"/>
        </w:rPr>
        <w:t>后产生的漆料桶，生产过程产生的含涂料的废毛毡，废气处理</w:t>
      </w:r>
      <w:r>
        <w:t>系统产生的</w:t>
      </w:r>
      <w:r>
        <w:rPr>
          <w:rFonts w:hint="eastAsia"/>
        </w:rPr>
        <w:t>废油、废活性炭、</w:t>
      </w:r>
      <w:r>
        <w:t>废催化剂</w:t>
      </w:r>
      <w:r>
        <w:rPr>
          <w:rFonts w:hint="eastAsia"/>
        </w:rPr>
        <w:t>、</w:t>
      </w:r>
      <w:r>
        <w:t>废</w:t>
      </w:r>
      <w:r>
        <w:rPr>
          <w:rFonts w:hint="eastAsia"/>
        </w:rPr>
        <w:t>沸石分子筛。</w:t>
      </w:r>
    </w:p>
    <w:p w:rsidR="00EE56C0" w:rsidRDefault="000F36A1">
      <w:pPr>
        <w:ind w:firstLine="480"/>
      </w:pPr>
      <w:r>
        <w:t>废包材</w:t>
      </w:r>
      <w:r>
        <w:rPr>
          <w:rFonts w:hint="eastAsia"/>
        </w:rPr>
        <w:t>、废铜线</w:t>
      </w:r>
      <w:r>
        <w:t>、残次品</w:t>
      </w:r>
      <w:r>
        <w:rPr>
          <w:rFonts w:hint="eastAsia"/>
        </w:rPr>
        <w:t>集中收集后出售，危险废物</w:t>
      </w:r>
      <w:r>
        <w:t>专用容器收集，在危废储存间分类暂存</w:t>
      </w:r>
      <w:r>
        <w:rPr>
          <w:rFonts w:hint="eastAsia"/>
        </w:rPr>
        <w:t>，</w:t>
      </w:r>
      <w:r>
        <w:t>定期送有</w:t>
      </w:r>
      <w:r>
        <w:rPr>
          <w:rFonts w:hint="eastAsia"/>
        </w:rPr>
        <w:t>相应</w:t>
      </w:r>
      <w:r>
        <w:t>危废</w:t>
      </w:r>
      <w:r>
        <w:rPr>
          <w:rFonts w:hint="eastAsia"/>
        </w:rPr>
        <w:t>处置</w:t>
      </w:r>
      <w:r>
        <w:t>资质的单位</w:t>
      </w:r>
      <w:r>
        <w:rPr>
          <w:rFonts w:hint="eastAsia"/>
        </w:rPr>
        <w:t>处置。</w:t>
      </w:r>
    </w:p>
    <w:p w:rsidR="00EE56C0" w:rsidRDefault="000F36A1">
      <w:pPr>
        <w:pStyle w:val="3"/>
        <w:spacing w:before="240" w:after="120"/>
      </w:pPr>
      <w:bookmarkStart w:id="509" w:name="_Toc7053"/>
      <w:r>
        <w:rPr>
          <w:rFonts w:hint="eastAsia"/>
        </w:rPr>
        <w:t>9.1.6</w:t>
      </w:r>
      <w:r>
        <w:rPr>
          <w:rFonts w:hint="eastAsia"/>
        </w:rPr>
        <w:t>大气环境防护距离和卫生防护距离</w:t>
      </w:r>
    </w:p>
    <w:p w:rsidR="00EE56C0" w:rsidRDefault="000F36A1">
      <w:pPr>
        <w:pStyle w:val="aff4"/>
      </w:pPr>
      <w:r>
        <w:rPr>
          <w:rFonts w:hint="eastAsia"/>
        </w:rPr>
        <w:t>本工程大气环境防护距离为无超标点，卫生防护距离维持现有</w:t>
      </w:r>
      <w:r>
        <w:rPr>
          <w:rFonts w:hint="eastAsia"/>
        </w:rPr>
        <w:t>20</w:t>
      </w:r>
      <w:r>
        <w:t>0m</w:t>
      </w:r>
      <w:r>
        <w:rPr>
          <w:rFonts w:hint="eastAsia"/>
        </w:rPr>
        <w:t>不变，即东、南、西、北四厂界外的防护距离分别为：</w:t>
      </w:r>
      <w:r>
        <w:rPr>
          <w:rFonts w:hint="eastAsia"/>
        </w:rPr>
        <w:t>186</w:t>
      </w:r>
      <w:r>
        <w:t>m</w:t>
      </w:r>
      <w:r>
        <w:rPr>
          <w:rFonts w:hint="eastAsia"/>
        </w:rPr>
        <w:t>、</w:t>
      </w:r>
      <w:r>
        <w:rPr>
          <w:rFonts w:hint="eastAsia"/>
        </w:rPr>
        <w:t>0</w:t>
      </w:r>
      <w:r>
        <w:t>m</w:t>
      </w:r>
      <w:r>
        <w:rPr>
          <w:rFonts w:hint="eastAsia"/>
        </w:rPr>
        <w:t>、</w:t>
      </w:r>
      <w:r>
        <w:t>0m</w:t>
      </w:r>
      <w:r>
        <w:rPr>
          <w:rFonts w:hint="eastAsia"/>
        </w:rPr>
        <w:t>、</w:t>
      </w:r>
      <w:r>
        <w:rPr>
          <w:rFonts w:hint="eastAsia"/>
        </w:rPr>
        <w:t>13</w:t>
      </w:r>
      <w:r>
        <w:t>0m</w:t>
      </w:r>
      <w:r>
        <w:rPr>
          <w:rFonts w:hint="eastAsia"/>
        </w:rPr>
        <w:t>，卫生防护距离范围内无医院、居民、学校等环境敏感点，项目厂址可以满足大气环境防护距离和卫生防护距离的要求。</w:t>
      </w:r>
    </w:p>
    <w:p w:rsidR="00EE56C0" w:rsidRDefault="000F36A1">
      <w:pPr>
        <w:pStyle w:val="3"/>
        <w:spacing w:before="240" w:after="120"/>
      </w:pPr>
      <w:r>
        <w:rPr>
          <w:rFonts w:hint="eastAsia"/>
        </w:rPr>
        <w:t>9.1.7</w:t>
      </w:r>
      <w:r>
        <w:t>工程可能产生的环境风险对周围环境影响可接受</w:t>
      </w:r>
      <w:bookmarkEnd w:id="509"/>
    </w:p>
    <w:p w:rsidR="00EE56C0" w:rsidRDefault="000F36A1">
      <w:pPr>
        <w:ind w:firstLine="480"/>
      </w:pPr>
      <w:r>
        <w:rPr>
          <w:rFonts w:hint="eastAsia"/>
        </w:rPr>
        <w:t>本项目的原料具有一定的毒性和易燃性，其生产、贮存过程中存在一定泄漏风险。但风险事故发生概率比较低，发生事故对周围敏感目标的危害后果较小，在采取风险防范措施后，项目的风险可防控。</w:t>
      </w:r>
    </w:p>
    <w:p w:rsidR="00EE56C0" w:rsidRDefault="000F36A1">
      <w:pPr>
        <w:pStyle w:val="3"/>
        <w:spacing w:before="240" w:after="120"/>
      </w:pPr>
      <w:bookmarkStart w:id="510" w:name="_Toc11794"/>
      <w:r>
        <w:rPr>
          <w:rFonts w:hint="eastAsia"/>
        </w:rPr>
        <w:lastRenderedPageBreak/>
        <w:t>9.1.8</w:t>
      </w:r>
      <w:r>
        <w:t>工程环保投资</w:t>
      </w:r>
      <w:bookmarkEnd w:id="510"/>
    </w:p>
    <w:p w:rsidR="00EE56C0" w:rsidRDefault="000F36A1">
      <w:pPr>
        <w:ind w:firstLine="480"/>
      </w:pPr>
      <w:r>
        <w:t>工程</w:t>
      </w:r>
      <w:r>
        <w:rPr>
          <w:rFonts w:hint="eastAsia"/>
        </w:rPr>
        <w:t>一期</w:t>
      </w:r>
      <w:r>
        <w:t>环保投资</w:t>
      </w:r>
      <w:r>
        <w:rPr>
          <w:rFonts w:hint="eastAsia"/>
        </w:rPr>
        <w:t>63</w:t>
      </w:r>
      <w:r>
        <w:rPr>
          <w:rFonts w:hint="eastAsia"/>
        </w:rPr>
        <w:t>万元</w:t>
      </w:r>
      <w:r>
        <w:t>，占工程总投资的</w:t>
      </w:r>
      <w:r>
        <w:rPr>
          <w:rFonts w:hint="eastAsia"/>
        </w:rPr>
        <w:t>2.1</w:t>
      </w:r>
      <w:r>
        <w:t>%</w:t>
      </w:r>
      <w:r>
        <w:rPr>
          <w:rFonts w:hint="eastAsia"/>
        </w:rPr>
        <w:t>。二期</w:t>
      </w:r>
      <w:r>
        <w:t>环保投资</w:t>
      </w:r>
      <w:r>
        <w:rPr>
          <w:rFonts w:hint="eastAsia"/>
        </w:rPr>
        <w:t>58</w:t>
      </w:r>
      <w:r>
        <w:rPr>
          <w:rFonts w:hint="eastAsia"/>
        </w:rPr>
        <w:t>万元</w:t>
      </w:r>
      <w:r>
        <w:t>，占工程总投资的</w:t>
      </w:r>
      <w:r>
        <w:rPr>
          <w:rFonts w:hint="eastAsia"/>
        </w:rPr>
        <w:t>0.5</w:t>
      </w:r>
      <w:r>
        <w:t>%</w:t>
      </w:r>
      <w:r>
        <w:rPr>
          <w:rFonts w:hint="eastAsia"/>
        </w:rPr>
        <w:t>。</w:t>
      </w:r>
      <w:r>
        <w:t>建设单位应认真落实评价提出的各项污染防治措施，确保落实到位，严格执行环保</w:t>
      </w:r>
      <w:r>
        <w:t>“</w:t>
      </w:r>
      <w:r>
        <w:t>三同时</w:t>
      </w:r>
      <w:r>
        <w:t>”</w:t>
      </w:r>
      <w:r>
        <w:t>制度。</w:t>
      </w:r>
    </w:p>
    <w:p w:rsidR="00EE56C0" w:rsidRDefault="000F36A1">
      <w:pPr>
        <w:pStyle w:val="3"/>
        <w:spacing w:before="240" w:after="120"/>
      </w:pPr>
      <w:r>
        <w:rPr>
          <w:rFonts w:hint="eastAsia"/>
        </w:rPr>
        <w:t>9.1.9</w:t>
      </w:r>
      <w:r>
        <w:t>工程符合清洁生产的要求</w:t>
      </w:r>
    </w:p>
    <w:p w:rsidR="00EE56C0" w:rsidRDefault="000F36A1">
      <w:pPr>
        <w:ind w:firstLine="480"/>
        <w:rPr>
          <w:szCs w:val="24"/>
        </w:rPr>
      </w:pPr>
      <w:r>
        <w:rPr>
          <w:rFonts w:hint="eastAsia"/>
        </w:rPr>
        <w:t>本项目属于漆包线行业，含浸漆及烘干工序，即将漆料涂覆于线材表面形成具有绝缘性等特定功能涂层的过程。参照《涂装行业清洁生产评价指标体系》（</w:t>
      </w:r>
      <w:r>
        <w:rPr>
          <w:rFonts w:hint="eastAsia"/>
        </w:rPr>
        <w:t>2016</w:t>
      </w:r>
      <w:r>
        <w:rPr>
          <w:rFonts w:hint="eastAsia"/>
        </w:rPr>
        <w:t>年第</w:t>
      </w:r>
      <w:r>
        <w:rPr>
          <w:rFonts w:hint="eastAsia"/>
        </w:rPr>
        <w:t>21</w:t>
      </w:r>
      <w:r w:rsidR="005338D5">
        <w:rPr>
          <w:rFonts w:hint="eastAsia"/>
        </w:rPr>
        <w:t>号）进行对比分析，</w:t>
      </w:r>
      <w:r w:rsidR="005338D5" w:rsidRPr="005338D5">
        <w:rPr>
          <w:rFonts w:hint="eastAsia"/>
          <w:b/>
          <w:u w:val="single"/>
        </w:rPr>
        <w:t>本项目清洁生产水平为</w:t>
      </w:r>
      <w:r w:rsidR="005338D5" w:rsidRPr="005338D5">
        <w:rPr>
          <w:rFonts w:hint="eastAsia"/>
          <w:b/>
          <w:szCs w:val="24"/>
          <w:u w:val="single"/>
        </w:rPr>
        <w:t>Ⅰ</w:t>
      </w:r>
      <w:r w:rsidRPr="005338D5">
        <w:rPr>
          <w:rFonts w:hint="eastAsia"/>
          <w:b/>
          <w:u w:val="single"/>
        </w:rPr>
        <w:t>级，即</w:t>
      </w:r>
      <w:r w:rsidR="005338D5" w:rsidRPr="005338D5">
        <w:rPr>
          <w:rFonts w:hint="eastAsia"/>
          <w:b/>
          <w:u w:val="single"/>
        </w:rPr>
        <w:t>国际</w:t>
      </w:r>
      <w:r w:rsidRPr="005338D5">
        <w:rPr>
          <w:rFonts w:hint="eastAsia"/>
          <w:b/>
          <w:u w:val="single"/>
        </w:rPr>
        <w:t>清洁生产</w:t>
      </w:r>
      <w:r w:rsidR="005338D5" w:rsidRPr="005338D5">
        <w:rPr>
          <w:rFonts w:hint="eastAsia"/>
          <w:b/>
          <w:u w:val="single"/>
        </w:rPr>
        <w:t>领先</w:t>
      </w:r>
      <w:r w:rsidRPr="005338D5">
        <w:rPr>
          <w:rFonts w:hint="eastAsia"/>
          <w:b/>
          <w:u w:val="single"/>
        </w:rPr>
        <w:t>水平</w:t>
      </w:r>
      <w:r w:rsidRPr="005338D5">
        <w:rPr>
          <w:b/>
          <w:szCs w:val="24"/>
          <w:u w:val="single"/>
        </w:rPr>
        <w:t>。</w:t>
      </w:r>
    </w:p>
    <w:p w:rsidR="00EE56C0" w:rsidRDefault="000F36A1">
      <w:pPr>
        <w:pStyle w:val="3"/>
        <w:spacing w:before="240" w:after="120"/>
      </w:pPr>
      <w:r>
        <w:rPr>
          <w:rFonts w:hint="eastAsia"/>
        </w:rPr>
        <w:t>9.1.10</w:t>
      </w:r>
      <w:r>
        <w:t>工程建成后将具有较好的社会效益和经济效益</w:t>
      </w:r>
    </w:p>
    <w:p w:rsidR="00EE56C0" w:rsidRDefault="000F36A1">
      <w:pPr>
        <w:ind w:firstLine="480"/>
      </w:pPr>
      <w:r>
        <w:t>由环境经济效益分析可知，项目采取的各种污染防治措施合理可行，可使项目生产过程中产生的污染物得到较大程度的削减，同时项目的建设将会促进当地经济发展，增加就业机会，具有较好的经济效益和社会效益。</w:t>
      </w:r>
    </w:p>
    <w:p w:rsidR="00EE56C0" w:rsidRDefault="000F36A1">
      <w:pPr>
        <w:pStyle w:val="3"/>
        <w:spacing w:before="240" w:after="120"/>
      </w:pPr>
      <w:r>
        <w:rPr>
          <w:rFonts w:hint="eastAsia"/>
        </w:rPr>
        <w:t>9.1.11</w:t>
      </w:r>
      <w:r>
        <w:t>公众参与调查结果表明，公众普遍支持该项目的建设</w:t>
      </w:r>
    </w:p>
    <w:p w:rsidR="00EE56C0" w:rsidRDefault="000F36A1" w:rsidP="0084643A">
      <w:pPr>
        <w:ind w:firstLine="466"/>
        <w:rPr>
          <w:spacing w:val="-4"/>
        </w:rPr>
      </w:pPr>
      <w:r w:rsidRPr="0084643A">
        <w:rPr>
          <w:rFonts w:hint="eastAsia"/>
          <w:b/>
          <w:spacing w:val="-4"/>
          <w:u w:val="single"/>
        </w:rPr>
        <w:t>河南华洋电工科技集团有限公司选址位于新乡市新乡县新乡经济技术集聚区远大路西段，</w:t>
      </w:r>
      <w:r>
        <w:rPr>
          <w:rFonts w:hint="eastAsia"/>
          <w:spacing w:val="-4"/>
        </w:rPr>
        <w:t>已</w:t>
      </w:r>
      <w:r>
        <w:rPr>
          <w:spacing w:val="-4"/>
        </w:rPr>
        <w:t>按照</w:t>
      </w:r>
      <w:r>
        <w:rPr>
          <w:rFonts w:hint="eastAsia"/>
          <w:spacing w:val="-4"/>
        </w:rPr>
        <w:t>《</w:t>
      </w:r>
      <w:r>
        <w:rPr>
          <w:spacing w:val="-4"/>
        </w:rPr>
        <w:t>环境影响评价公众参与办法</w:t>
      </w:r>
      <w:r>
        <w:rPr>
          <w:rFonts w:hint="eastAsia"/>
          <w:spacing w:val="-4"/>
        </w:rPr>
        <w:t>》</w:t>
      </w:r>
      <w:r>
        <w:rPr>
          <w:spacing w:val="-4"/>
        </w:rPr>
        <w:t>的要求，于</w:t>
      </w:r>
      <w:r>
        <w:t>202</w:t>
      </w:r>
      <w:r>
        <w:rPr>
          <w:rFonts w:hint="eastAsia"/>
        </w:rPr>
        <w:t>1</w:t>
      </w:r>
      <w:r>
        <w:rPr>
          <w:rFonts w:hint="eastAsia"/>
        </w:rPr>
        <w:t>年</w:t>
      </w:r>
      <w:r>
        <w:rPr>
          <w:rFonts w:hint="eastAsia"/>
        </w:rPr>
        <w:t>3</w:t>
      </w:r>
      <w:r>
        <w:rPr>
          <w:rFonts w:hint="eastAsia"/>
        </w:rPr>
        <w:t>月</w:t>
      </w:r>
      <w:r>
        <w:rPr>
          <w:rFonts w:hint="eastAsia"/>
        </w:rPr>
        <w:t>22</w:t>
      </w:r>
      <w:r>
        <w:rPr>
          <w:rFonts w:hint="eastAsia"/>
        </w:rPr>
        <w:t>日～</w:t>
      </w:r>
      <w:r>
        <w:t>202</w:t>
      </w:r>
      <w:r>
        <w:rPr>
          <w:rFonts w:hint="eastAsia"/>
        </w:rPr>
        <w:t>1</w:t>
      </w:r>
      <w:r>
        <w:rPr>
          <w:rFonts w:hint="eastAsia"/>
        </w:rPr>
        <w:t>年</w:t>
      </w:r>
      <w:r>
        <w:rPr>
          <w:rFonts w:hint="eastAsia"/>
        </w:rPr>
        <w:t>4</w:t>
      </w:r>
      <w:r>
        <w:rPr>
          <w:rFonts w:hint="eastAsia"/>
        </w:rPr>
        <w:t>月</w:t>
      </w:r>
      <w:r>
        <w:rPr>
          <w:rFonts w:hint="eastAsia"/>
        </w:rPr>
        <w:t>2</w:t>
      </w:r>
      <w:r>
        <w:rPr>
          <w:rFonts w:hint="eastAsia"/>
        </w:rPr>
        <w:t>日</w:t>
      </w:r>
      <w:r>
        <w:rPr>
          <w:rFonts w:hint="eastAsia"/>
          <w:spacing w:val="-4"/>
        </w:rPr>
        <w:t>在大豫环境保护网上</w:t>
      </w:r>
      <w:r>
        <w:rPr>
          <w:spacing w:val="-4"/>
        </w:rPr>
        <w:t>进行了</w:t>
      </w:r>
      <w:r>
        <w:rPr>
          <w:rFonts w:hint="eastAsia"/>
          <w:spacing w:val="-4"/>
        </w:rPr>
        <w:t>第一次</w:t>
      </w:r>
      <w:r>
        <w:rPr>
          <w:spacing w:val="-4"/>
        </w:rPr>
        <w:t>媒体公示</w:t>
      </w:r>
      <w:r>
        <w:rPr>
          <w:rFonts w:hint="eastAsia"/>
          <w:spacing w:val="-4"/>
        </w:rPr>
        <w:t>；并</w:t>
      </w:r>
      <w:r>
        <w:rPr>
          <w:spacing w:val="-4"/>
        </w:rPr>
        <w:t>于</w:t>
      </w:r>
      <w:r>
        <w:rPr>
          <w:rFonts w:hint="eastAsia"/>
          <w:spacing w:val="6"/>
          <w:szCs w:val="24"/>
        </w:rPr>
        <w:t>2021</w:t>
      </w:r>
      <w:r>
        <w:rPr>
          <w:rFonts w:hint="eastAsia"/>
          <w:spacing w:val="6"/>
          <w:szCs w:val="24"/>
        </w:rPr>
        <w:t>年</w:t>
      </w:r>
      <w:r>
        <w:rPr>
          <w:rFonts w:hint="eastAsia"/>
          <w:spacing w:val="6"/>
          <w:szCs w:val="24"/>
        </w:rPr>
        <w:t>7</w:t>
      </w:r>
      <w:r>
        <w:rPr>
          <w:rFonts w:hint="eastAsia"/>
          <w:spacing w:val="6"/>
          <w:szCs w:val="24"/>
        </w:rPr>
        <w:t>月</w:t>
      </w:r>
      <w:r>
        <w:rPr>
          <w:rFonts w:hint="eastAsia"/>
          <w:spacing w:val="6"/>
          <w:szCs w:val="24"/>
        </w:rPr>
        <w:t>29</w:t>
      </w:r>
      <w:r>
        <w:rPr>
          <w:rFonts w:hint="eastAsia"/>
          <w:spacing w:val="6"/>
          <w:szCs w:val="24"/>
        </w:rPr>
        <w:t>日</w:t>
      </w:r>
      <w:r>
        <w:rPr>
          <w:rFonts w:hint="eastAsia"/>
          <w:spacing w:val="6"/>
          <w:szCs w:val="24"/>
        </w:rPr>
        <w:t>~2021</w:t>
      </w:r>
      <w:r>
        <w:rPr>
          <w:rFonts w:hint="eastAsia"/>
          <w:spacing w:val="6"/>
          <w:szCs w:val="24"/>
        </w:rPr>
        <w:t>年</w:t>
      </w:r>
      <w:r>
        <w:rPr>
          <w:rFonts w:hint="eastAsia"/>
          <w:spacing w:val="6"/>
          <w:szCs w:val="24"/>
        </w:rPr>
        <w:t>8</w:t>
      </w:r>
      <w:r>
        <w:rPr>
          <w:rFonts w:hint="eastAsia"/>
          <w:spacing w:val="6"/>
          <w:szCs w:val="24"/>
        </w:rPr>
        <w:t>月</w:t>
      </w:r>
      <w:r>
        <w:rPr>
          <w:rFonts w:hint="eastAsia"/>
          <w:spacing w:val="6"/>
          <w:szCs w:val="24"/>
        </w:rPr>
        <w:t>11</w:t>
      </w:r>
      <w:r>
        <w:rPr>
          <w:rFonts w:hint="eastAsia"/>
          <w:spacing w:val="6"/>
          <w:szCs w:val="24"/>
        </w:rPr>
        <w:t>日</w:t>
      </w:r>
      <w:r>
        <w:rPr>
          <w:rFonts w:hint="eastAsia"/>
          <w:spacing w:val="-4"/>
        </w:rPr>
        <w:t>在新乡环境保护公示网</w:t>
      </w:r>
      <w:r>
        <w:rPr>
          <w:spacing w:val="-4"/>
        </w:rPr>
        <w:t>进行了</w:t>
      </w:r>
      <w:r>
        <w:rPr>
          <w:rFonts w:hint="eastAsia"/>
          <w:spacing w:val="-4"/>
        </w:rPr>
        <w:t>征求意见稿全文公示并征求公众意见，同时分别于</w:t>
      </w:r>
      <w:r>
        <w:t>202</w:t>
      </w:r>
      <w:r>
        <w:rPr>
          <w:rFonts w:hint="eastAsia"/>
        </w:rPr>
        <w:t>1</w:t>
      </w:r>
      <w:r>
        <w:rPr>
          <w:rFonts w:hint="eastAsia"/>
        </w:rPr>
        <w:t>年</w:t>
      </w:r>
      <w:r>
        <w:rPr>
          <w:rFonts w:hint="eastAsia"/>
        </w:rPr>
        <w:t>8</w:t>
      </w:r>
      <w:r>
        <w:rPr>
          <w:rFonts w:hint="eastAsia"/>
        </w:rPr>
        <w:t>月</w:t>
      </w:r>
      <w:r>
        <w:rPr>
          <w:rFonts w:hint="eastAsia"/>
        </w:rPr>
        <w:t>10</w:t>
      </w:r>
      <w:r>
        <w:rPr>
          <w:rFonts w:hint="eastAsia"/>
        </w:rPr>
        <w:t>日和</w:t>
      </w:r>
      <w:r>
        <w:rPr>
          <w:rFonts w:hint="eastAsia"/>
        </w:rPr>
        <w:t>8</w:t>
      </w:r>
      <w:r>
        <w:rPr>
          <w:rFonts w:hint="eastAsia"/>
        </w:rPr>
        <w:t>月</w:t>
      </w:r>
      <w:r>
        <w:rPr>
          <w:rFonts w:hint="eastAsia"/>
        </w:rPr>
        <w:t>11</w:t>
      </w:r>
      <w:r>
        <w:rPr>
          <w:rFonts w:hint="eastAsia"/>
        </w:rPr>
        <w:t>日</w:t>
      </w:r>
      <w:r>
        <w:rPr>
          <w:rFonts w:hint="eastAsia"/>
          <w:spacing w:val="-4"/>
        </w:rPr>
        <w:t>在《新乡日报》上进行了信息公示并征求公众意见。</w:t>
      </w:r>
    </w:p>
    <w:p w:rsidR="00EE56C0" w:rsidRDefault="000F36A1">
      <w:pPr>
        <w:ind w:firstLine="464"/>
        <w:rPr>
          <w:spacing w:val="-4"/>
        </w:rPr>
      </w:pPr>
      <w:r>
        <w:rPr>
          <w:rFonts w:hint="eastAsia"/>
          <w:spacing w:val="-4"/>
        </w:rPr>
        <w:t>建设单位的公参真实性、有效性、代表性、公正性符合相关环保要求。</w:t>
      </w:r>
    </w:p>
    <w:p w:rsidR="00EE56C0" w:rsidRDefault="000F36A1">
      <w:pPr>
        <w:pStyle w:val="3"/>
        <w:spacing w:before="240" w:after="120"/>
      </w:pPr>
      <w:r>
        <w:rPr>
          <w:rFonts w:hint="eastAsia"/>
        </w:rPr>
        <w:t>9.1.12</w:t>
      </w:r>
      <w:r>
        <w:t>总量控制指标建议</w:t>
      </w:r>
    </w:p>
    <w:p w:rsidR="00EE56C0" w:rsidRDefault="000F36A1">
      <w:pPr>
        <w:ind w:firstLine="480"/>
      </w:pPr>
      <w:r>
        <w:t>评价建议将项目污染物排放量纳入总量指标进行控制：</w:t>
      </w:r>
    </w:p>
    <w:p w:rsidR="00EE56C0" w:rsidRDefault="000F36A1">
      <w:pPr>
        <w:ind w:firstLine="482"/>
        <w:rPr>
          <w:b/>
        </w:rPr>
      </w:pPr>
      <w:bookmarkStart w:id="511" w:name="_Toc6020"/>
      <w:bookmarkStart w:id="512" w:name="_Toc489346023"/>
      <w:r>
        <w:rPr>
          <w:rFonts w:hint="eastAsia"/>
          <w:b/>
        </w:rPr>
        <w:lastRenderedPageBreak/>
        <w:t>（</w:t>
      </w:r>
      <w:r>
        <w:rPr>
          <w:rFonts w:hint="eastAsia"/>
          <w:b/>
        </w:rPr>
        <w:t>1</w:t>
      </w:r>
      <w:r>
        <w:rPr>
          <w:rFonts w:hint="eastAsia"/>
          <w:b/>
        </w:rPr>
        <w:t>）废水污染物总量指标</w:t>
      </w:r>
    </w:p>
    <w:p w:rsidR="00EE56C0" w:rsidRDefault="000F36A1">
      <w:pPr>
        <w:spacing w:line="480" w:lineRule="exact"/>
        <w:ind w:firstLine="480"/>
      </w:pPr>
      <w:r>
        <w:rPr>
          <w:rFonts w:hint="eastAsia"/>
        </w:rPr>
        <w:t>项目建成后，废水排放量</w:t>
      </w:r>
      <w:r>
        <w:rPr>
          <w:rFonts w:hint="eastAsia"/>
        </w:rPr>
        <w:t>0.2067</w:t>
      </w:r>
      <w:r>
        <w:rPr>
          <w:rFonts w:hint="eastAsia"/>
        </w:rPr>
        <w:t>万</w:t>
      </w:r>
      <w:r>
        <w:t>t/a</w:t>
      </w:r>
      <w:r>
        <w:rPr>
          <w:rFonts w:hint="eastAsia"/>
        </w:rPr>
        <w:t>。</w:t>
      </w:r>
    </w:p>
    <w:p w:rsidR="00EE56C0" w:rsidRDefault="000F36A1">
      <w:pPr>
        <w:spacing w:line="480" w:lineRule="exact"/>
        <w:ind w:firstLine="480"/>
        <w:rPr>
          <w:szCs w:val="22"/>
          <w:u w:val="single"/>
        </w:rPr>
      </w:pPr>
      <w:r>
        <w:rPr>
          <w:rFonts w:hint="eastAsia"/>
          <w:u w:val="single"/>
        </w:rPr>
        <w:t>项目建成后，废水污染物出厂排放量：</w:t>
      </w:r>
    </w:p>
    <w:p w:rsidR="00EE56C0" w:rsidRDefault="000F36A1">
      <w:pPr>
        <w:spacing w:line="480" w:lineRule="exact"/>
        <w:ind w:firstLine="480"/>
        <w:rPr>
          <w:u w:val="single"/>
        </w:rPr>
      </w:pPr>
      <w:r>
        <w:rPr>
          <w:u w:val="single"/>
        </w:rPr>
        <w:t>COD</w:t>
      </w:r>
      <w:r>
        <w:rPr>
          <w:rFonts w:hint="eastAsia"/>
          <w:u w:val="single"/>
        </w:rPr>
        <w:t>0.3726</w:t>
      </w:r>
      <w:r>
        <w:rPr>
          <w:u w:val="single"/>
        </w:rPr>
        <w:t>t/a</w:t>
      </w:r>
      <w:r>
        <w:rPr>
          <w:rFonts w:hint="eastAsia"/>
          <w:u w:val="single"/>
        </w:rPr>
        <w:t>、</w:t>
      </w:r>
      <w:r>
        <w:rPr>
          <w:u w:val="single"/>
        </w:rPr>
        <w:t>NH</w:t>
      </w:r>
      <w:r>
        <w:rPr>
          <w:u w:val="single"/>
          <w:vertAlign w:val="subscript"/>
        </w:rPr>
        <w:t>3</w:t>
      </w:r>
      <w:r>
        <w:rPr>
          <w:u w:val="single"/>
        </w:rPr>
        <w:t>-N0.</w:t>
      </w:r>
      <w:r>
        <w:rPr>
          <w:rFonts w:hint="eastAsia"/>
          <w:u w:val="single"/>
        </w:rPr>
        <w:t>0357</w:t>
      </w:r>
      <w:r>
        <w:rPr>
          <w:u w:val="single"/>
        </w:rPr>
        <w:t>t/a</w:t>
      </w:r>
      <w:r>
        <w:rPr>
          <w:rFonts w:hint="eastAsia"/>
          <w:u w:val="single"/>
        </w:rPr>
        <w:t>、</w:t>
      </w:r>
      <w:r>
        <w:rPr>
          <w:u w:val="single"/>
        </w:rPr>
        <w:t>TP 0.00</w:t>
      </w:r>
      <w:r>
        <w:rPr>
          <w:rFonts w:hint="eastAsia"/>
          <w:u w:val="single"/>
        </w:rPr>
        <w:t>65</w:t>
      </w:r>
      <w:r>
        <w:rPr>
          <w:u w:val="single"/>
        </w:rPr>
        <w:t>t/a</w:t>
      </w:r>
      <w:r>
        <w:rPr>
          <w:rFonts w:hint="eastAsia"/>
          <w:u w:val="single"/>
        </w:rPr>
        <w:t>、</w:t>
      </w:r>
      <w:r>
        <w:rPr>
          <w:u w:val="single"/>
        </w:rPr>
        <w:t>TN</w:t>
      </w:r>
      <w:r>
        <w:rPr>
          <w:rFonts w:hint="eastAsia"/>
          <w:u w:val="single"/>
        </w:rPr>
        <w:t>0.0441</w:t>
      </w:r>
      <w:r>
        <w:rPr>
          <w:u w:val="single"/>
        </w:rPr>
        <w:t>t/a</w:t>
      </w:r>
      <w:r>
        <w:rPr>
          <w:rFonts w:hint="eastAsia"/>
          <w:u w:val="single"/>
        </w:rPr>
        <w:t>；</w:t>
      </w:r>
    </w:p>
    <w:p w:rsidR="00EE56C0" w:rsidRDefault="000F36A1">
      <w:pPr>
        <w:spacing w:line="480" w:lineRule="exact"/>
        <w:ind w:firstLine="480"/>
        <w:rPr>
          <w:u w:val="single"/>
        </w:rPr>
      </w:pPr>
      <w:r>
        <w:rPr>
          <w:rFonts w:hint="eastAsia"/>
          <w:u w:val="single"/>
        </w:rPr>
        <w:t>经新乡县综合污水处理厂处理后排放量：</w:t>
      </w:r>
    </w:p>
    <w:p w:rsidR="00EE56C0" w:rsidRDefault="000F36A1">
      <w:pPr>
        <w:ind w:firstLine="480"/>
        <w:rPr>
          <w:u w:val="single"/>
        </w:rPr>
      </w:pPr>
      <w:r>
        <w:rPr>
          <w:u w:val="single"/>
        </w:rPr>
        <w:t>COD</w:t>
      </w:r>
      <w:r>
        <w:rPr>
          <w:rFonts w:hint="eastAsia"/>
          <w:u w:val="single"/>
        </w:rPr>
        <w:t>0.0827</w:t>
      </w:r>
      <w:r>
        <w:rPr>
          <w:u w:val="single"/>
        </w:rPr>
        <w:t>t/a</w:t>
      </w:r>
      <w:r>
        <w:rPr>
          <w:rFonts w:hint="eastAsia"/>
          <w:u w:val="single"/>
        </w:rPr>
        <w:t>、</w:t>
      </w:r>
      <w:r>
        <w:rPr>
          <w:u w:val="single"/>
        </w:rPr>
        <w:t>NH</w:t>
      </w:r>
      <w:r>
        <w:rPr>
          <w:u w:val="single"/>
          <w:vertAlign w:val="subscript"/>
        </w:rPr>
        <w:t>3</w:t>
      </w:r>
      <w:r>
        <w:rPr>
          <w:u w:val="single"/>
        </w:rPr>
        <w:t>-N0.0</w:t>
      </w:r>
      <w:r>
        <w:rPr>
          <w:rFonts w:hint="eastAsia"/>
          <w:u w:val="single"/>
        </w:rPr>
        <w:t>041</w:t>
      </w:r>
      <w:r>
        <w:rPr>
          <w:u w:val="single"/>
        </w:rPr>
        <w:t>t/a</w:t>
      </w:r>
      <w:r>
        <w:rPr>
          <w:rFonts w:hint="eastAsia"/>
          <w:u w:val="single"/>
        </w:rPr>
        <w:t>、</w:t>
      </w:r>
      <w:r>
        <w:rPr>
          <w:u w:val="single"/>
        </w:rPr>
        <w:t>TP0.00</w:t>
      </w:r>
      <w:r>
        <w:rPr>
          <w:rFonts w:hint="eastAsia"/>
          <w:u w:val="single"/>
        </w:rPr>
        <w:t>08</w:t>
      </w:r>
      <w:r>
        <w:rPr>
          <w:u w:val="single"/>
        </w:rPr>
        <w:t>t/a</w:t>
      </w:r>
      <w:r>
        <w:rPr>
          <w:rFonts w:hint="eastAsia"/>
          <w:u w:val="single"/>
        </w:rPr>
        <w:t>、</w:t>
      </w:r>
      <w:r>
        <w:rPr>
          <w:u w:val="single"/>
        </w:rPr>
        <w:t>TN</w:t>
      </w:r>
      <w:r>
        <w:rPr>
          <w:rFonts w:hint="eastAsia"/>
          <w:u w:val="single"/>
        </w:rPr>
        <w:t>0.031</w:t>
      </w:r>
      <w:r>
        <w:rPr>
          <w:u w:val="single"/>
        </w:rPr>
        <w:t>t/a</w:t>
      </w:r>
      <w:r>
        <w:rPr>
          <w:rFonts w:hint="eastAsia"/>
          <w:u w:val="single"/>
        </w:rPr>
        <w:t>；</w:t>
      </w:r>
    </w:p>
    <w:p w:rsidR="00EE56C0" w:rsidRDefault="000F36A1">
      <w:pPr>
        <w:spacing w:line="480" w:lineRule="exact"/>
        <w:ind w:firstLine="482"/>
        <w:rPr>
          <w:b/>
          <w:u w:val="single"/>
        </w:rPr>
      </w:pPr>
      <w:r>
        <w:rPr>
          <w:rFonts w:hint="eastAsia"/>
          <w:b/>
          <w:u w:val="single"/>
        </w:rPr>
        <w:t>废水污染物替代方案：</w:t>
      </w:r>
    </w:p>
    <w:p w:rsidR="00EE56C0" w:rsidRDefault="000F36A1">
      <w:pPr>
        <w:ind w:firstLine="480"/>
      </w:pPr>
      <w:r>
        <w:rPr>
          <w:rFonts w:hint="eastAsia"/>
          <w:bCs/>
          <w:u w:val="single"/>
        </w:rPr>
        <w:t>本项目达产建成后废水排放量为</w:t>
      </w:r>
      <w:r>
        <w:rPr>
          <w:rFonts w:hint="eastAsia"/>
          <w:bCs/>
          <w:u w:val="single"/>
        </w:rPr>
        <w:t>0.2067</w:t>
      </w:r>
      <w:r>
        <w:rPr>
          <w:rFonts w:hint="eastAsia"/>
          <w:bCs/>
          <w:u w:val="single"/>
        </w:rPr>
        <w:t>万</w:t>
      </w:r>
      <w:r>
        <w:rPr>
          <w:bCs/>
          <w:u w:val="single"/>
        </w:rPr>
        <w:t>t/a</w:t>
      </w:r>
      <w:r>
        <w:rPr>
          <w:rFonts w:hint="eastAsia"/>
          <w:bCs/>
          <w:u w:val="single"/>
        </w:rPr>
        <w:t>，</w:t>
      </w:r>
      <w:r>
        <w:rPr>
          <w:rFonts w:hint="eastAsia"/>
          <w:u w:val="single"/>
        </w:rPr>
        <w:t>新增水污染物排放量为</w:t>
      </w:r>
      <w:r>
        <w:rPr>
          <w:u w:val="single"/>
        </w:rPr>
        <w:t>COD</w:t>
      </w:r>
      <w:r>
        <w:rPr>
          <w:rFonts w:hint="eastAsia"/>
          <w:u w:val="single"/>
        </w:rPr>
        <w:t>0.0827</w:t>
      </w:r>
      <w:r>
        <w:rPr>
          <w:u w:val="single"/>
        </w:rPr>
        <w:t>t/a</w:t>
      </w:r>
      <w:r>
        <w:rPr>
          <w:rFonts w:hint="eastAsia"/>
          <w:u w:val="single"/>
        </w:rPr>
        <w:t>、</w:t>
      </w:r>
      <w:r>
        <w:rPr>
          <w:u w:val="single"/>
        </w:rPr>
        <w:t>NH</w:t>
      </w:r>
      <w:r>
        <w:rPr>
          <w:u w:val="single"/>
          <w:vertAlign w:val="subscript"/>
        </w:rPr>
        <w:t>3</w:t>
      </w:r>
      <w:r>
        <w:rPr>
          <w:u w:val="single"/>
        </w:rPr>
        <w:t>-N0.0</w:t>
      </w:r>
      <w:r>
        <w:rPr>
          <w:rFonts w:hint="eastAsia"/>
          <w:u w:val="single"/>
        </w:rPr>
        <w:t>041</w:t>
      </w:r>
      <w:r>
        <w:rPr>
          <w:u w:val="single"/>
        </w:rPr>
        <w:t>t/a</w:t>
      </w:r>
      <w:r>
        <w:rPr>
          <w:rFonts w:hint="eastAsia"/>
          <w:u w:val="single"/>
        </w:rPr>
        <w:t>，经双倍替代后所需替代量为：</w:t>
      </w:r>
      <w:r>
        <w:rPr>
          <w:u w:val="single"/>
        </w:rPr>
        <w:t>COD</w:t>
      </w:r>
      <w:r>
        <w:rPr>
          <w:rFonts w:hint="eastAsia"/>
          <w:u w:val="single"/>
        </w:rPr>
        <w:t>0.1654t/</w:t>
      </w:r>
      <w:r>
        <w:rPr>
          <w:u w:val="single"/>
        </w:rPr>
        <w:t>a</w:t>
      </w:r>
      <w:r>
        <w:rPr>
          <w:rFonts w:hint="eastAsia"/>
          <w:u w:val="single"/>
        </w:rPr>
        <w:t>、</w:t>
      </w:r>
      <w:r>
        <w:rPr>
          <w:u w:val="single"/>
        </w:rPr>
        <w:t>NH3-N</w:t>
      </w:r>
      <w:r>
        <w:rPr>
          <w:rFonts w:hint="eastAsia"/>
          <w:u w:val="single"/>
        </w:rPr>
        <w:t>0.0082</w:t>
      </w:r>
      <w:r>
        <w:rPr>
          <w:u w:val="single"/>
        </w:rPr>
        <w:t>t/a</w:t>
      </w:r>
      <w:r>
        <w:rPr>
          <w:rFonts w:hint="eastAsia"/>
          <w:u w:val="single"/>
        </w:rPr>
        <w:t>，拟从</w:t>
      </w:r>
      <w:r w:rsidR="00971E69" w:rsidRPr="00971E69">
        <w:rPr>
          <w:rFonts w:hint="eastAsia"/>
          <w:color w:val="000000"/>
          <w:u w:val="single"/>
        </w:rPr>
        <w:t>延津县新建农村污水处理站形成的削减量</w:t>
      </w:r>
      <w:r w:rsidR="00971E69" w:rsidRPr="00971E69">
        <w:rPr>
          <w:rFonts w:hint="eastAsia"/>
          <w:color w:val="000000"/>
          <w:u w:val="single"/>
        </w:rPr>
        <w:t>COD145.78t/a</w:t>
      </w:r>
      <w:r w:rsidR="00971E69" w:rsidRPr="00971E69">
        <w:rPr>
          <w:rFonts w:hint="eastAsia"/>
          <w:color w:val="000000"/>
          <w:u w:val="single"/>
        </w:rPr>
        <w:t>、氨氮</w:t>
      </w:r>
      <w:r w:rsidR="00971E69" w:rsidRPr="00971E69">
        <w:rPr>
          <w:rFonts w:hint="eastAsia"/>
          <w:color w:val="000000"/>
          <w:u w:val="single"/>
        </w:rPr>
        <w:t>20.52t/a</w:t>
      </w:r>
      <w:r w:rsidR="00971E69" w:rsidRPr="00971E69">
        <w:rPr>
          <w:rFonts w:hint="eastAsia"/>
          <w:color w:val="000000"/>
          <w:u w:val="single"/>
        </w:rPr>
        <w:t>中</w:t>
      </w:r>
      <w:r w:rsidR="00971E69" w:rsidRPr="00971E69">
        <w:rPr>
          <w:bCs/>
          <w:color w:val="000000"/>
          <w:u w:val="single"/>
        </w:rPr>
        <w:t>调剂给本项目</w:t>
      </w:r>
      <w:r w:rsidR="00971E69" w:rsidRPr="00971E69">
        <w:rPr>
          <w:rFonts w:hint="eastAsia"/>
          <w:bCs/>
          <w:color w:val="000000"/>
          <w:u w:val="single"/>
        </w:rPr>
        <w:t>COD0.1654</w:t>
      </w:r>
      <w:r w:rsidR="00971E69" w:rsidRPr="00971E69">
        <w:rPr>
          <w:bCs/>
          <w:color w:val="000000"/>
          <w:u w:val="single"/>
        </w:rPr>
        <w:t>t/a</w:t>
      </w:r>
      <w:r w:rsidR="00971E69" w:rsidRPr="00971E69">
        <w:rPr>
          <w:bCs/>
          <w:color w:val="000000"/>
          <w:u w:val="single"/>
        </w:rPr>
        <w:t>、氨氮</w:t>
      </w:r>
      <w:r w:rsidR="00971E69" w:rsidRPr="00971E69">
        <w:rPr>
          <w:rFonts w:hint="eastAsia"/>
          <w:bCs/>
          <w:color w:val="000000"/>
          <w:u w:val="single"/>
        </w:rPr>
        <w:t>0.0082t/a</w:t>
      </w:r>
      <w:r w:rsidR="00971E69" w:rsidRPr="00971E69">
        <w:rPr>
          <w:bCs/>
          <w:color w:val="000000"/>
          <w:u w:val="single"/>
        </w:rPr>
        <w:t>作为替代量</w:t>
      </w:r>
      <w:r w:rsidRPr="00971E69">
        <w:rPr>
          <w:rFonts w:hint="eastAsia"/>
          <w:u w:val="single"/>
        </w:rPr>
        <w:t>。</w:t>
      </w:r>
    </w:p>
    <w:p w:rsidR="00EE56C0" w:rsidRDefault="000F36A1">
      <w:pPr>
        <w:ind w:firstLine="482"/>
        <w:rPr>
          <w:b/>
        </w:rPr>
      </w:pPr>
      <w:r>
        <w:rPr>
          <w:rFonts w:hint="eastAsia"/>
          <w:b/>
        </w:rPr>
        <w:t>（</w:t>
      </w:r>
      <w:r>
        <w:rPr>
          <w:rFonts w:hint="eastAsia"/>
          <w:b/>
        </w:rPr>
        <w:t>2</w:t>
      </w:r>
      <w:r>
        <w:rPr>
          <w:rFonts w:hint="eastAsia"/>
          <w:b/>
        </w:rPr>
        <w:t>）废气污染物总量指标</w:t>
      </w:r>
    </w:p>
    <w:p w:rsidR="00EE56C0" w:rsidRDefault="000F36A1">
      <w:pPr>
        <w:spacing w:line="480" w:lineRule="exact"/>
        <w:ind w:firstLine="480"/>
        <w:rPr>
          <w:highlight w:val="yellow"/>
          <w:u w:val="single"/>
        </w:rPr>
      </w:pPr>
      <w:r>
        <w:rPr>
          <w:rFonts w:hint="eastAsia"/>
          <w:u w:val="single"/>
        </w:rPr>
        <w:t>项目达产后，废气污染物的排放情况：</w:t>
      </w:r>
      <w:r>
        <w:rPr>
          <w:rFonts w:hint="eastAsia"/>
          <w:u w:val="single"/>
        </w:rPr>
        <w:t>VOCs3.198t/a</w:t>
      </w:r>
      <w:r>
        <w:rPr>
          <w:rFonts w:hint="eastAsia"/>
          <w:u w:val="single"/>
        </w:rPr>
        <w:t>（有组织</w:t>
      </w:r>
      <w:r>
        <w:rPr>
          <w:rFonts w:hint="eastAsia"/>
          <w:u w:val="single"/>
        </w:rPr>
        <w:t>1.2552t/a</w:t>
      </w:r>
      <w:r>
        <w:rPr>
          <w:rFonts w:hint="eastAsia"/>
          <w:u w:val="single"/>
        </w:rPr>
        <w:t>，无组织</w:t>
      </w:r>
      <w:r>
        <w:rPr>
          <w:rFonts w:hint="eastAsia"/>
          <w:u w:val="single"/>
        </w:rPr>
        <w:t>1.9428t/a</w:t>
      </w:r>
      <w:r>
        <w:rPr>
          <w:rFonts w:hint="eastAsia"/>
          <w:u w:val="single"/>
        </w:rPr>
        <w:t>）。</w:t>
      </w:r>
    </w:p>
    <w:p w:rsidR="00EE56C0" w:rsidRDefault="000F36A1">
      <w:pPr>
        <w:spacing w:line="480" w:lineRule="exact"/>
        <w:ind w:firstLine="480"/>
        <w:rPr>
          <w:u w:val="single"/>
        </w:rPr>
      </w:pPr>
      <w:r>
        <w:rPr>
          <w:rFonts w:hint="eastAsia"/>
          <w:u w:val="single"/>
        </w:rPr>
        <w:t>通过现有工程以新带老措施，现有工程</w:t>
      </w:r>
      <w:r>
        <w:rPr>
          <w:rFonts w:hint="eastAsia"/>
          <w:u w:val="single"/>
        </w:rPr>
        <w:t>VOCs</w:t>
      </w:r>
      <w:r>
        <w:rPr>
          <w:rFonts w:hint="eastAsia"/>
          <w:u w:val="single"/>
        </w:rPr>
        <w:t>削减量为</w:t>
      </w:r>
      <w:r>
        <w:rPr>
          <w:rFonts w:hint="eastAsia"/>
          <w:u w:val="single"/>
        </w:rPr>
        <w:t>2.0914</w:t>
      </w:r>
      <w:r>
        <w:rPr>
          <w:u w:val="single"/>
        </w:rPr>
        <w:t>t/a</w:t>
      </w:r>
      <w:r>
        <w:rPr>
          <w:rFonts w:hint="eastAsia"/>
          <w:u w:val="single"/>
        </w:rPr>
        <w:t>，本项目新增</w:t>
      </w:r>
      <w:r>
        <w:rPr>
          <w:rFonts w:hint="eastAsia"/>
          <w:u w:val="single"/>
        </w:rPr>
        <w:t>VOCs</w:t>
      </w:r>
      <w:r>
        <w:rPr>
          <w:rFonts w:hint="eastAsia"/>
          <w:u w:val="single"/>
        </w:rPr>
        <w:t>从以新削减量中替代后，新增</w:t>
      </w:r>
      <w:r>
        <w:rPr>
          <w:rFonts w:hint="eastAsia"/>
          <w:u w:val="single"/>
        </w:rPr>
        <w:t>VOCs1.1066</w:t>
      </w:r>
      <w:r>
        <w:rPr>
          <w:u w:val="single"/>
        </w:rPr>
        <w:t>t/a</w:t>
      </w:r>
      <w:r>
        <w:rPr>
          <w:rFonts w:hint="eastAsia"/>
          <w:u w:val="single"/>
        </w:rPr>
        <w:t>。</w:t>
      </w:r>
    </w:p>
    <w:p w:rsidR="00EE56C0" w:rsidRDefault="000F36A1">
      <w:pPr>
        <w:spacing w:line="500" w:lineRule="exact"/>
        <w:ind w:firstLine="482"/>
        <w:rPr>
          <w:b/>
          <w:u w:val="single"/>
        </w:rPr>
      </w:pPr>
      <w:r>
        <w:rPr>
          <w:rFonts w:hint="eastAsia"/>
          <w:b/>
          <w:u w:val="single"/>
        </w:rPr>
        <w:t>废气污染物替代方案：</w:t>
      </w:r>
    </w:p>
    <w:p w:rsidR="00EE56C0" w:rsidRDefault="000F36A1">
      <w:pPr>
        <w:ind w:firstLine="480"/>
        <w:rPr>
          <w:highlight w:val="yellow"/>
        </w:rPr>
      </w:pPr>
      <w:r>
        <w:rPr>
          <w:rFonts w:hint="eastAsia"/>
          <w:u w:val="single"/>
        </w:rPr>
        <w:t>该项目新增大气污染物排放量为：</w:t>
      </w:r>
      <w:r>
        <w:rPr>
          <w:rFonts w:hint="eastAsia"/>
          <w:u w:val="single"/>
        </w:rPr>
        <w:t>VOCs1.1066t/a</w:t>
      </w:r>
      <w:r>
        <w:rPr>
          <w:rFonts w:hint="eastAsia"/>
          <w:u w:val="single"/>
        </w:rPr>
        <w:t>。经双倍替代后所需替代量为：</w:t>
      </w:r>
      <w:r>
        <w:rPr>
          <w:rFonts w:hint="eastAsia"/>
          <w:u w:val="single"/>
        </w:rPr>
        <w:t>VOCs2.2132t/a</w:t>
      </w:r>
      <w:r w:rsidR="00971E69">
        <w:rPr>
          <w:rFonts w:hint="eastAsia"/>
          <w:u w:val="single"/>
        </w:rPr>
        <w:t>，</w:t>
      </w:r>
      <w:r w:rsidR="00971E69" w:rsidRPr="00971E69">
        <w:rPr>
          <w:rFonts w:hint="eastAsia"/>
          <w:color w:val="000000"/>
          <w:u w:val="single"/>
        </w:rPr>
        <w:t>VOC</w:t>
      </w:r>
      <w:r w:rsidR="00971E69" w:rsidRPr="00971E69">
        <w:rPr>
          <w:color w:val="000000"/>
          <w:u w:val="single"/>
        </w:rPr>
        <w:t>排放量</w:t>
      </w:r>
      <w:r w:rsidR="00971E69" w:rsidRPr="00971E69">
        <w:rPr>
          <w:rFonts w:hint="eastAsia"/>
          <w:color w:val="000000"/>
          <w:u w:val="single"/>
        </w:rPr>
        <w:t>从河南粮好仓储设备科技有限公司拆除喷漆房产生的减排量剩余量</w:t>
      </w:r>
      <w:r w:rsidR="00971E69" w:rsidRPr="00971E69">
        <w:rPr>
          <w:rFonts w:hint="eastAsia"/>
          <w:color w:val="000000"/>
          <w:u w:val="single"/>
        </w:rPr>
        <w:t>17.2116t</w:t>
      </w:r>
      <w:r w:rsidR="00971E69" w:rsidRPr="00971E69">
        <w:rPr>
          <w:rFonts w:hint="eastAsia"/>
          <w:color w:val="000000"/>
          <w:u w:val="single"/>
        </w:rPr>
        <w:t>中</w:t>
      </w:r>
      <w:r w:rsidR="00971E69" w:rsidRPr="00971E69">
        <w:rPr>
          <w:bCs/>
          <w:color w:val="000000"/>
          <w:u w:val="single"/>
        </w:rPr>
        <w:t>调剂给本项目</w:t>
      </w:r>
      <w:r w:rsidR="00971E69" w:rsidRPr="00971E69">
        <w:rPr>
          <w:rFonts w:hint="eastAsia"/>
          <w:color w:val="000000"/>
          <w:u w:val="single"/>
        </w:rPr>
        <w:t>VOC2.2132t/a</w:t>
      </w:r>
      <w:r w:rsidR="00971E69" w:rsidRPr="00971E69">
        <w:rPr>
          <w:bCs/>
          <w:color w:val="000000"/>
          <w:u w:val="single"/>
        </w:rPr>
        <w:t>作为替代量</w:t>
      </w:r>
      <w:r>
        <w:rPr>
          <w:rFonts w:hint="eastAsia"/>
        </w:rPr>
        <w:t>。</w:t>
      </w:r>
    </w:p>
    <w:p w:rsidR="00EE56C0" w:rsidRDefault="000F36A1">
      <w:pPr>
        <w:pStyle w:val="2"/>
        <w:ind w:firstLine="301"/>
      </w:pPr>
      <w:bookmarkStart w:id="513" w:name="_Toc25400945"/>
      <w:r>
        <w:rPr>
          <w:rFonts w:hint="eastAsia"/>
        </w:rPr>
        <w:t>9.2</w:t>
      </w:r>
      <w:r>
        <w:t>建议</w:t>
      </w:r>
      <w:bookmarkEnd w:id="511"/>
      <w:bookmarkEnd w:id="512"/>
      <w:bookmarkEnd w:id="513"/>
    </w:p>
    <w:p w:rsidR="00EE56C0" w:rsidRDefault="000F36A1">
      <w:pPr>
        <w:ind w:firstLine="480"/>
      </w:pPr>
      <w:r>
        <w:rPr>
          <w:rFonts w:hint="eastAsia"/>
        </w:rPr>
        <w:t>（</w:t>
      </w:r>
      <w:r>
        <w:rPr>
          <w:rFonts w:hint="eastAsia"/>
        </w:rPr>
        <w:t>1</w:t>
      </w:r>
      <w:r>
        <w:rPr>
          <w:rFonts w:hint="eastAsia"/>
        </w:rPr>
        <w:t>）建设单位应严格执行环保“三同时”制度，确保环保资金落实到位。</w:t>
      </w:r>
    </w:p>
    <w:p w:rsidR="00EE56C0" w:rsidRDefault="000F36A1">
      <w:pPr>
        <w:ind w:firstLine="480"/>
      </w:pPr>
      <w:r>
        <w:rPr>
          <w:rFonts w:hint="eastAsia"/>
        </w:rPr>
        <w:t>（</w:t>
      </w:r>
      <w:r>
        <w:rPr>
          <w:rFonts w:hint="eastAsia"/>
        </w:rPr>
        <w:t>2</w:t>
      </w:r>
      <w:r>
        <w:rPr>
          <w:rFonts w:hint="eastAsia"/>
        </w:rPr>
        <w:t>）建立健全安全生产和管理制度，积极消除事故隐患，杜绝事故发生。</w:t>
      </w:r>
    </w:p>
    <w:p w:rsidR="00EE56C0" w:rsidRDefault="000F36A1">
      <w:pPr>
        <w:ind w:firstLine="480"/>
      </w:pPr>
      <w:r>
        <w:rPr>
          <w:rFonts w:hint="eastAsia"/>
        </w:rPr>
        <w:t>（</w:t>
      </w:r>
      <w:r>
        <w:rPr>
          <w:rFonts w:hint="eastAsia"/>
        </w:rPr>
        <w:t>3</w:t>
      </w:r>
      <w:r>
        <w:rPr>
          <w:rFonts w:hint="eastAsia"/>
        </w:rPr>
        <w:t>）加强公司清洁生产工作，认真实施各项清洁生产措施，提高原料利用率，减少污染物的排放量。</w:t>
      </w:r>
    </w:p>
    <w:p w:rsidR="00EE56C0" w:rsidRDefault="000F36A1">
      <w:pPr>
        <w:ind w:firstLine="480"/>
      </w:pPr>
      <w:r>
        <w:rPr>
          <w:rFonts w:hint="eastAsia"/>
        </w:rPr>
        <w:lastRenderedPageBreak/>
        <w:t>（</w:t>
      </w:r>
      <w:r>
        <w:rPr>
          <w:rFonts w:hint="eastAsia"/>
        </w:rPr>
        <w:t>4</w:t>
      </w:r>
      <w:r>
        <w:rPr>
          <w:rFonts w:hint="eastAsia"/>
        </w:rPr>
        <w:t>）加强厂区及周围的环境绿化，利用绿色植物阻滞粉尘、吸音降噪作用，有效降低噪声对外环境的影响。</w:t>
      </w:r>
    </w:p>
    <w:p w:rsidR="00EE56C0" w:rsidRDefault="000F36A1">
      <w:pPr>
        <w:ind w:firstLine="480"/>
      </w:pPr>
      <w:r>
        <w:rPr>
          <w:rFonts w:hint="eastAsia"/>
        </w:rPr>
        <w:t>（</w:t>
      </w:r>
      <w:r>
        <w:rPr>
          <w:rFonts w:hint="eastAsia"/>
        </w:rPr>
        <w:t>5</w:t>
      </w:r>
      <w:r>
        <w:rPr>
          <w:rFonts w:hint="eastAsia"/>
        </w:rPr>
        <w:t>）加强环境保护机构建设，健全环保规章制度，加强对各种污染防治设施的运行管理，定期维护检修，确保其正常稳定运行。</w:t>
      </w:r>
    </w:p>
    <w:p w:rsidR="00EE56C0" w:rsidRDefault="000F36A1">
      <w:pPr>
        <w:ind w:firstLine="480"/>
      </w:pPr>
      <w:r>
        <w:rPr>
          <w:rFonts w:hint="eastAsia"/>
        </w:rPr>
        <w:t>（</w:t>
      </w:r>
      <w:r>
        <w:rPr>
          <w:rFonts w:hint="eastAsia"/>
        </w:rPr>
        <w:t>6</w:t>
      </w:r>
      <w:r>
        <w:rPr>
          <w:rFonts w:hint="eastAsia"/>
        </w:rPr>
        <w:t>）规范员工的岗位操作章程制度、增强员工的安全意识。</w:t>
      </w:r>
    </w:p>
    <w:p w:rsidR="00EE56C0" w:rsidRDefault="000F36A1">
      <w:pPr>
        <w:ind w:firstLine="480"/>
      </w:pPr>
      <w:r>
        <w:rPr>
          <w:rFonts w:hint="eastAsia"/>
        </w:rPr>
        <w:t>（</w:t>
      </w:r>
      <w:r>
        <w:rPr>
          <w:rFonts w:hint="eastAsia"/>
        </w:rPr>
        <w:t>7</w:t>
      </w:r>
      <w:r>
        <w:rPr>
          <w:rFonts w:hint="eastAsia"/>
        </w:rPr>
        <w:t>）加强废气排放烟囱和固体废物暂存间地的规范化管理，按规定设置明显标志牌和便于监督监测的采样孔。</w:t>
      </w:r>
    </w:p>
    <w:p w:rsidR="00EE56C0" w:rsidRDefault="000F36A1">
      <w:pPr>
        <w:pStyle w:val="2"/>
        <w:ind w:firstLine="301"/>
      </w:pPr>
      <w:bookmarkStart w:id="514" w:name="_Toc489346024"/>
      <w:bookmarkStart w:id="515" w:name="_Toc25400946"/>
      <w:r>
        <w:rPr>
          <w:rFonts w:hint="eastAsia"/>
        </w:rPr>
        <w:t>9.3</w:t>
      </w:r>
      <w:r>
        <w:rPr>
          <w:rFonts w:hint="eastAsia"/>
        </w:rPr>
        <w:t>总结论</w:t>
      </w:r>
      <w:bookmarkEnd w:id="514"/>
      <w:bookmarkEnd w:id="515"/>
    </w:p>
    <w:p w:rsidR="00EE56C0" w:rsidRDefault="000F36A1">
      <w:pPr>
        <w:ind w:firstLine="480"/>
        <w:rPr>
          <w:sz w:val="21"/>
        </w:rPr>
      </w:pPr>
      <w:r>
        <w:rPr>
          <w:rFonts w:hint="eastAsia"/>
        </w:rPr>
        <w:t>河南华洋电工科技集团有限公司高可靠性抗高压耐热绕组线项目属于《产业结构调整指导目录（</w:t>
      </w:r>
      <w:r>
        <w:rPr>
          <w:rFonts w:hint="eastAsia"/>
        </w:rPr>
        <w:t>2019</w:t>
      </w:r>
      <w:r>
        <w:rPr>
          <w:rFonts w:hint="eastAsia"/>
        </w:rPr>
        <w:t>年本）》</w:t>
      </w:r>
      <w:r w:rsidR="00C96DE7">
        <w:rPr>
          <w:rFonts w:hint="eastAsia"/>
        </w:rPr>
        <w:t>及修改文件</w:t>
      </w:r>
      <w:r>
        <w:rPr>
          <w:rFonts w:hint="eastAsia"/>
        </w:rPr>
        <w:t>中的允许类，</w:t>
      </w:r>
      <w:r>
        <w:t>符合国家产业政策</w:t>
      </w:r>
      <w:r>
        <w:rPr>
          <w:rFonts w:hint="eastAsia"/>
        </w:rPr>
        <w:t>；项目用地为工业用地，符合园区总体发展规划要求；根据环境影响预测结果：</w:t>
      </w:r>
      <w:r>
        <w:t>在保证评价要求和工程设计的防治措施正常运行的条件下，</w:t>
      </w:r>
      <w:r>
        <w:rPr>
          <w:rFonts w:hint="eastAsia"/>
        </w:rPr>
        <w:t>本项目</w:t>
      </w:r>
      <w:r>
        <w:t>对周围大气环境</w:t>
      </w:r>
      <w:r>
        <w:rPr>
          <w:rFonts w:hint="eastAsia"/>
        </w:rPr>
        <w:t>、地表水环境、地下水环境以及声环境的</w:t>
      </w:r>
      <w:r>
        <w:t>影响可接受</w:t>
      </w:r>
      <w:r>
        <w:rPr>
          <w:rFonts w:hint="eastAsia"/>
        </w:rPr>
        <w:t>；</w:t>
      </w:r>
      <w:r>
        <w:t>工程环境风险可接受</w:t>
      </w:r>
      <w:r>
        <w:rPr>
          <w:rFonts w:hint="eastAsia"/>
        </w:rPr>
        <w:t>；工程完成后，各项污染防治措施可行，全厂废水、废气、噪声污染物能够做到达标排放，固废采取了有效的处置措施；公众参与调查结果表明，公众对项目的建设无反对意见。</w:t>
      </w:r>
      <w:r>
        <w:t>从环保角度而言，该项目建设可行。</w:t>
      </w:r>
    </w:p>
    <w:p w:rsidR="00EE56C0" w:rsidRDefault="00EE56C0">
      <w:pPr>
        <w:ind w:firstLine="480"/>
      </w:pPr>
    </w:p>
    <w:p w:rsidR="00EE56C0" w:rsidRDefault="00EE56C0">
      <w:pPr>
        <w:ind w:firstLine="480"/>
      </w:pPr>
    </w:p>
    <w:p w:rsidR="00EE56C0" w:rsidRDefault="00EE56C0">
      <w:pPr>
        <w:ind w:firstLine="480"/>
      </w:pPr>
    </w:p>
    <w:p w:rsidR="00EE56C0" w:rsidRDefault="00EE56C0">
      <w:pPr>
        <w:ind w:firstLine="480"/>
      </w:pPr>
    </w:p>
    <w:p w:rsidR="006C1E91" w:rsidRDefault="006C1E91">
      <w:pPr>
        <w:ind w:firstLine="480"/>
        <w:sectPr w:rsidR="006C1E91" w:rsidSect="00EE56C0">
          <w:pgSz w:w="11907" w:h="16840"/>
          <w:pgMar w:top="1440" w:right="1797" w:bottom="1440" w:left="1797" w:header="907" w:footer="907" w:gutter="0"/>
          <w:cols w:space="720"/>
          <w:docGrid w:linePitch="380"/>
        </w:sectPr>
      </w:pPr>
    </w:p>
    <w:p w:rsidR="006C1E91" w:rsidRDefault="006C1E91">
      <w:pPr>
        <w:ind w:firstLine="480"/>
        <w:sectPr w:rsidR="006C1E91" w:rsidSect="006C1E91">
          <w:type w:val="continuous"/>
          <w:pgSz w:w="11907" w:h="16840"/>
          <w:pgMar w:top="1440" w:right="1797" w:bottom="1440" w:left="1797" w:header="907" w:footer="907" w:gutter="0"/>
          <w:cols w:space="720"/>
          <w:docGrid w:linePitch="380"/>
        </w:sectPr>
      </w:pPr>
    </w:p>
    <w:p w:rsidR="006C1E91" w:rsidRDefault="002E51FB">
      <w:pPr>
        <w:ind w:firstLine="480"/>
        <w:sectPr w:rsidR="006C1E91" w:rsidSect="00EE56C0">
          <w:headerReference w:type="default" r:id="rId124"/>
          <w:footerReference w:type="default" r:id="rId125"/>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29408" behindDoc="0" locked="0" layoutInCell="1" allowOverlap="1">
            <wp:simplePos x="0" y="0"/>
            <wp:positionH relativeFrom="column">
              <wp:posOffset>48387</wp:posOffset>
            </wp:positionH>
            <wp:positionV relativeFrom="paragraph">
              <wp:posOffset>-249116</wp:posOffset>
            </wp:positionV>
            <wp:extent cx="5625592" cy="8778240"/>
            <wp:effectExtent l="19050" t="0" r="0" b="0"/>
            <wp:wrapNone/>
            <wp:docPr id="12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6"/>
                    <a:srcRect/>
                    <a:stretch>
                      <a:fillRect/>
                    </a:stretch>
                  </pic:blipFill>
                  <pic:spPr bwMode="auto">
                    <a:xfrm>
                      <a:off x="0" y="0"/>
                      <a:ext cx="5625592" cy="8778240"/>
                    </a:xfrm>
                    <a:prstGeom prst="rect">
                      <a:avLst/>
                    </a:prstGeom>
                    <a:noFill/>
                    <a:ln w="9525">
                      <a:noFill/>
                      <a:miter lim="800000"/>
                      <a:headEnd/>
                      <a:tailEnd/>
                    </a:ln>
                  </pic:spPr>
                </pic:pic>
              </a:graphicData>
            </a:graphic>
          </wp:anchor>
        </w:drawing>
      </w:r>
    </w:p>
    <w:p w:rsidR="006C1E91" w:rsidRDefault="006C1E91">
      <w:pPr>
        <w:ind w:firstLine="480"/>
        <w:sectPr w:rsidR="006C1E91" w:rsidSect="006C1E91">
          <w:type w:val="continuous"/>
          <w:pgSz w:w="11907" w:h="16840"/>
          <w:pgMar w:top="1440" w:right="1797" w:bottom="1440" w:left="1797" w:header="907" w:footer="907" w:gutter="0"/>
          <w:cols w:space="720"/>
          <w:docGrid w:linePitch="380"/>
        </w:sectPr>
      </w:pPr>
    </w:p>
    <w:p w:rsidR="002E51FB" w:rsidRDefault="002E51FB">
      <w:pPr>
        <w:ind w:firstLine="480"/>
        <w:sectPr w:rsidR="002E51FB" w:rsidSect="002E51FB">
          <w:pgSz w:w="16840" w:h="11907" w:orient="landscape"/>
          <w:pgMar w:top="1797" w:right="1440" w:bottom="1797" w:left="1440" w:header="907" w:footer="907" w:gutter="0"/>
          <w:cols w:space="720"/>
          <w:docGrid w:linePitch="380"/>
        </w:sectPr>
      </w:pPr>
      <w:r>
        <w:rPr>
          <w:noProof/>
        </w:rPr>
        <w:lastRenderedPageBreak/>
        <w:drawing>
          <wp:anchor distT="0" distB="0" distL="114300" distR="114300" simplePos="0" relativeHeight="251730432" behindDoc="0" locked="0" layoutInCell="1" allowOverlap="1">
            <wp:simplePos x="0" y="0"/>
            <wp:positionH relativeFrom="column">
              <wp:posOffset>476250</wp:posOffset>
            </wp:positionH>
            <wp:positionV relativeFrom="paragraph">
              <wp:posOffset>-478155</wp:posOffset>
            </wp:positionV>
            <wp:extent cx="8004810" cy="6296538"/>
            <wp:effectExtent l="19050" t="0" r="0" b="0"/>
            <wp:wrapNone/>
            <wp:docPr id="12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7"/>
                    <a:srcRect/>
                    <a:stretch>
                      <a:fillRect/>
                    </a:stretch>
                  </pic:blipFill>
                  <pic:spPr bwMode="auto">
                    <a:xfrm>
                      <a:off x="0" y="0"/>
                      <a:ext cx="8008757" cy="6299643"/>
                    </a:xfrm>
                    <a:prstGeom prst="rect">
                      <a:avLst/>
                    </a:prstGeom>
                    <a:noFill/>
                    <a:ln w="9525">
                      <a:noFill/>
                      <a:miter lim="800000"/>
                      <a:headEnd/>
                      <a:tailEnd/>
                    </a:ln>
                  </pic:spPr>
                </pic:pic>
              </a:graphicData>
            </a:graphic>
          </wp:anchor>
        </w:drawing>
      </w:r>
    </w:p>
    <w:p w:rsidR="002E51FB" w:rsidRDefault="002E51FB">
      <w:pPr>
        <w:ind w:firstLine="480"/>
        <w:sectPr w:rsidR="002E51FB" w:rsidSect="002E51FB">
          <w:pgSz w:w="16840" w:h="11907" w:orient="landscape"/>
          <w:pgMar w:top="1797" w:right="1440" w:bottom="1797" w:left="1440" w:header="907" w:footer="907" w:gutter="0"/>
          <w:cols w:space="720"/>
          <w:docGrid w:linePitch="380"/>
        </w:sectPr>
      </w:pPr>
      <w:r>
        <w:rPr>
          <w:noProof/>
        </w:rPr>
        <w:lastRenderedPageBreak/>
        <w:drawing>
          <wp:anchor distT="0" distB="0" distL="114300" distR="114300" simplePos="0" relativeHeight="251731456" behindDoc="0" locked="0" layoutInCell="1" allowOverlap="1">
            <wp:simplePos x="0" y="0"/>
            <wp:positionH relativeFrom="column">
              <wp:posOffset>224790</wp:posOffset>
            </wp:positionH>
            <wp:positionV relativeFrom="paragraph">
              <wp:posOffset>-318135</wp:posOffset>
            </wp:positionV>
            <wp:extent cx="8439150" cy="5806440"/>
            <wp:effectExtent l="19050" t="0" r="0" b="0"/>
            <wp:wrapNone/>
            <wp:docPr id="13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8"/>
                    <a:srcRect/>
                    <a:stretch>
                      <a:fillRect/>
                    </a:stretch>
                  </pic:blipFill>
                  <pic:spPr bwMode="auto">
                    <a:xfrm>
                      <a:off x="0" y="0"/>
                      <a:ext cx="8439150" cy="5806440"/>
                    </a:xfrm>
                    <a:prstGeom prst="rect">
                      <a:avLst/>
                    </a:prstGeom>
                    <a:noFill/>
                    <a:ln w="9525">
                      <a:noFill/>
                      <a:miter lim="800000"/>
                      <a:headEnd/>
                      <a:tailEnd/>
                    </a:ln>
                  </pic:spPr>
                </pic:pic>
              </a:graphicData>
            </a:graphic>
          </wp:anchor>
        </w:drawing>
      </w:r>
    </w:p>
    <w:p w:rsidR="002E51FB" w:rsidRDefault="002E51FB">
      <w:pPr>
        <w:ind w:firstLine="480"/>
        <w:sectPr w:rsidR="002E51FB" w:rsidSect="002E51FB">
          <w:pgSz w:w="16840" w:h="11907" w:orient="landscape"/>
          <w:pgMar w:top="1797" w:right="1440" w:bottom="1797" w:left="1440" w:header="907" w:footer="907" w:gutter="0"/>
          <w:cols w:space="720"/>
          <w:docGrid w:linePitch="380"/>
        </w:sectPr>
      </w:pPr>
      <w:r>
        <w:rPr>
          <w:noProof/>
        </w:rPr>
        <w:lastRenderedPageBreak/>
        <w:drawing>
          <wp:anchor distT="0" distB="0" distL="114300" distR="114300" simplePos="0" relativeHeight="251732480" behindDoc="0" locked="0" layoutInCell="1" allowOverlap="1">
            <wp:simplePos x="0" y="0"/>
            <wp:positionH relativeFrom="column">
              <wp:posOffset>613410</wp:posOffset>
            </wp:positionH>
            <wp:positionV relativeFrom="paragraph">
              <wp:posOffset>-478155</wp:posOffset>
            </wp:positionV>
            <wp:extent cx="8027670" cy="6263640"/>
            <wp:effectExtent l="19050" t="0" r="0" b="0"/>
            <wp:wrapNone/>
            <wp:docPr id="133"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9"/>
                    <a:srcRect/>
                    <a:stretch>
                      <a:fillRect/>
                    </a:stretch>
                  </pic:blipFill>
                  <pic:spPr bwMode="auto">
                    <a:xfrm>
                      <a:off x="0" y="0"/>
                      <a:ext cx="8027670" cy="6263640"/>
                    </a:xfrm>
                    <a:prstGeom prst="rect">
                      <a:avLst/>
                    </a:prstGeom>
                    <a:noFill/>
                    <a:ln w="9525">
                      <a:noFill/>
                      <a:miter lim="800000"/>
                      <a:headEnd/>
                      <a:tailEnd/>
                    </a:ln>
                  </pic:spPr>
                </pic:pic>
              </a:graphicData>
            </a:graphic>
          </wp:anchor>
        </w:drawing>
      </w:r>
    </w:p>
    <w:p w:rsidR="002E51FB" w:rsidRDefault="002E51FB">
      <w:pPr>
        <w:ind w:firstLine="480"/>
        <w:sectPr w:rsidR="002E51FB" w:rsidSect="002E51FB">
          <w:pgSz w:w="16840" w:h="11907" w:orient="landscape"/>
          <w:pgMar w:top="1797" w:right="1440" w:bottom="1797" w:left="1440" w:header="907" w:footer="907" w:gutter="0"/>
          <w:cols w:space="720"/>
          <w:docGrid w:linePitch="380"/>
        </w:sectPr>
      </w:pPr>
      <w:r>
        <w:rPr>
          <w:noProof/>
        </w:rPr>
        <w:lastRenderedPageBreak/>
        <w:drawing>
          <wp:anchor distT="0" distB="0" distL="114300" distR="114300" simplePos="0" relativeHeight="251733504" behindDoc="0" locked="0" layoutInCell="1" allowOverlap="1">
            <wp:simplePos x="0" y="0"/>
            <wp:positionH relativeFrom="column">
              <wp:posOffset>95250</wp:posOffset>
            </wp:positionH>
            <wp:positionV relativeFrom="paragraph">
              <wp:posOffset>-478155</wp:posOffset>
            </wp:positionV>
            <wp:extent cx="8393430" cy="5783580"/>
            <wp:effectExtent l="19050" t="0" r="7620" b="0"/>
            <wp:wrapNone/>
            <wp:docPr id="134"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30"/>
                    <a:srcRect/>
                    <a:stretch>
                      <a:fillRect/>
                    </a:stretch>
                  </pic:blipFill>
                  <pic:spPr bwMode="auto">
                    <a:xfrm>
                      <a:off x="0" y="0"/>
                      <a:ext cx="8393430" cy="5783580"/>
                    </a:xfrm>
                    <a:prstGeom prst="rect">
                      <a:avLst/>
                    </a:prstGeom>
                    <a:noFill/>
                    <a:ln w="9525">
                      <a:noFill/>
                      <a:miter lim="800000"/>
                      <a:headEnd/>
                      <a:tailEnd/>
                    </a:ln>
                  </pic:spPr>
                </pic:pic>
              </a:graphicData>
            </a:graphic>
          </wp:anchor>
        </w:drawing>
      </w:r>
    </w:p>
    <w:p w:rsidR="002E51FB" w:rsidRDefault="002E51FB">
      <w:pPr>
        <w:ind w:firstLine="480"/>
        <w:sectPr w:rsidR="002E51FB"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34528" behindDoc="0" locked="0" layoutInCell="1" allowOverlap="1">
            <wp:simplePos x="0" y="0"/>
            <wp:positionH relativeFrom="column">
              <wp:posOffset>-427565</wp:posOffset>
            </wp:positionH>
            <wp:positionV relativeFrom="paragraph">
              <wp:posOffset>69448</wp:posOffset>
            </wp:positionV>
            <wp:extent cx="5918763" cy="9235668"/>
            <wp:effectExtent l="19050" t="0" r="5787" b="0"/>
            <wp:wrapNone/>
            <wp:docPr id="14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1"/>
                    <a:srcRect/>
                    <a:stretch>
                      <a:fillRect/>
                    </a:stretch>
                  </pic:blipFill>
                  <pic:spPr bwMode="auto">
                    <a:xfrm>
                      <a:off x="0" y="0"/>
                      <a:ext cx="5918763" cy="9235668"/>
                    </a:xfrm>
                    <a:prstGeom prst="rect">
                      <a:avLst/>
                    </a:prstGeom>
                    <a:noFill/>
                    <a:ln w="9525">
                      <a:noFill/>
                      <a:miter lim="800000"/>
                      <a:headEnd/>
                      <a:tailEnd/>
                    </a:ln>
                  </pic:spPr>
                </pic:pic>
              </a:graphicData>
            </a:graphic>
          </wp:anchor>
        </w:drawing>
      </w:r>
    </w:p>
    <w:p w:rsidR="002E51FB" w:rsidRDefault="002E51FB">
      <w:pPr>
        <w:ind w:firstLine="480"/>
        <w:sectPr w:rsidR="002E51FB"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35552" behindDoc="0" locked="0" layoutInCell="1" allowOverlap="1">
            <wp:simplePos x="0" y="0"/>
            <wp:positionH relativeFrom="column">
              <wp:posOffset>-427101</wp:posOffset>
            </wp:positionH>
            <wp:positionV relativeFrom="paragraph">
              <wp:posOffset>-365760</wp:posOffset>
            </wp:positionV>
            <wp:extent cx="6064504" cy="9820656"/>
            <wp:effectExtent l="19050" t="0" r="0" b="0"/>
            <wp:wrapNone/>
            <wp:docPr id="142"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2"/>
                    <a:srcRect/>
                    <a:stretch>
                      <a:fillRect/>
                    </a:stretch>
                  </pic:blipFill>
                  <pic:spPr bwMode="auto">
                    <a:xfrm>
                      <a:off x="0" y="0"/>
                      <a:ext cx="6064504" cy="9820656"/>
                    </a:xfrm>
                    <a:prstGeom prst="rect">
                      <a:avLst/>
                    </a:prstGeom>
                    <a:noFill/>
                    <a:ln w="9525">
                      <a:noFill/>
                      <a:miter lim="800000"/>
                      <a:headEnd/>
                      <a:tailEnd/>
                    </a:ln>
                  </pic:spPr>
                </pic:pic>
              </a:graphicData>
            </a:graphic>
          </wp:anchor>
        </w:drawing>
      </w:r>
    </w:p>
    <w:p w:rsidR="002E51FB" w:rsidRDefault="002E51FB">
      <w:pPr>
        <w:ind w:firstLine="480"/>
        <w:sectPr w:rsidR="002E51FB"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36576" behindDoc="0" locked="0" layoutInCell="1" allowOverlap="1">
            <wp:simplePos x="0" y="0"/>
            <wp:positionH relativeFrom="column">
              <wp:posOffset>-317374</wp:posOffset>
            </wp:positionH>
            <wp:positionV relativeFrom="paragraph">
              <wp:posOffset>-73152</wp:posOffset>
            </wp:positionV>
            <wp:extent cx="5738791" cy="4389120"/>
            <wp:effectExtent l="19050" t="0" r="0" b="0"/>
            <wp:wrapNone/>
            <wp:docPr id="143"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33"/>
                    <a:srcRect/>
                    <a:stretch>
                      <a:fillRect/>
                    </a:stretch>
                  </pic:blipFill>
                  <pic:spPr bwMode="auto">
                    <a:xfrm>
                      <a:off x="0" y="0"/>
                      <a:ext cx="5738791" cy="4389120"/>
                    </a:xfrm>
                    <a:prstGeom prst="rect">
                      <a:avLst/>
                    </a:prstGeom>
                    <a:noFill/>
                    <a:ln w="9525">
                      <a:noFill/>
                      <a:miter lim="800000"/>
                      <a:headEnd/>
                      <a:tailEnd/>
                    </a:ln>
                  </pic:spPr>
                </pic:pic>
              </a:graphicData>
            </a:graphic>
          </wp:anchor>
        </w:drawing>
      </w:r>
    </w:p>
    <w:p w:rsidR="002E51FB" w:rsidRDefault="002E51FB">
      <w:pPr>
        <w:ind w:firstLine="480"/>
        <w:sectPr w:rsidR="002E51FB"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37600" behindDoc="0" locked="0" layoutInCell="1" allowOverlap="1">
            <wp:simplePos x="0" y="0"/>
            <wp:positionH relativeFrom="column">
              <wp:posOffset>-116205</wp:posOffset>
            </wp:positionH>
            <wp:positionV relativeFrom="paragraph">
              <wp:posOffset>-73153</wp:posOffset>
            </wp:positionV>
            <wp:extent cx="5759958" cy="8815873"/>
            <wp:effectExtent l="19050" t="0" r="0" b="0"/>
            <wp:wrapNone/>
            <wp:docPr id="144"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34"/>
                    <a:srcRect/>
                    <a:stretch>
                      <a:fillRect/>
                    </a:stretch>
                  </pic:blipFill>
                  <pic:spPr bwMode="auto">
                    <a:xfrm>
                      <a:off x="0" y="0"/>
                      <a:ext cx="5759958" cy="8815873"/>
                    </a:xfrm>
                    <a:prstGeom prst="rect">
                      <a:avLst/>
                    </a:prstGeom>
                    <a:noFill/>
                    <a:ln w="9525">
                      <a:noFill/>
                      <a:miter lim="800000"/>
                      <a:headEnd/>
                      <a:tailEnd/>
                    </a:ln>
                  </pic:spPr>
                </pic:pic>
              </a:graphicData>
            </a:graphic>
          </wp:anchor>
        </w:drawing>
      </w:r>
    </w:p>
    <w:p w:rsidR="002E51FB" w:rsidRDefault="002E51FB">
      <w:pPr>
        <w:ind w:firstLine="480"/>
        <w:sectPr w:rsidR="002E51FB"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38624" behindDoc="0" locked="0" layoutInCell="1" allowOverlap="1">
            <wp:simplePos x="0" y="0"/>
            <wp:positionH relativeFrom="column">
              <wp:posOffset>-427101</wp:posOffset>
            </wp:positionH>
            <wp:positionV relativeFrom="paragraph">
              <wp:posOffset>-237745</wp:posOffset>
            </wp:positionV>
            <wp:extent cx="6070854" cy="8487815"/>
            <wp:effectExtent l="19050" t="0" r="6096" b="0"/>
            <wp:wrapNone/>
            <wp:docPr id="145"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5"/>
                    <a:srcRect/>
                    <a:stretch>
                      <a:fillRect/>
                    </a:stretch>
                  </pic:blipFill>
                  <pic:spPr bwMode="auto">
                    <a:xfrm>
                      <a:off x="0" y="0"/>
                      <a:ext cx="6070854" cy="8487815"/>
                    </a:xfrm>
                    <a:prstGeom prst="rect">
                      <a:avLst/>
                    </a:prstGeom>
                    <a:noFill/>
                    <a:ln w="9525">
                      <a:noFill/>
                      <a:miter lim="800000"/>
                      <a:headEnd/>
                      <a:tailEnd/>
                    </a:ln>
                  </pic:spPr>
                </pic:pic>
              </a:graphicData>
            </a:graphic>
          </wp:anchor>
        </w:drawing>
      </w:r>
    </w:p>
    <w:p w:rsidR="002E51FB" w:rsidRDefault="002E51FB">
      <w:pPr>
        <w:ind w:firstLine="480"/>
        <w:sectPr w:rsidR="002E51FB"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39648" behindDoc="0" locked="0" layoutInCell="1" allowOverlap="1">
            <wp:simplePos x="0" y="0"/>
            <wp:positionH relativeFrom="column">
              <wp:posOffset>-317373</wp:posOffset>
            </wp:positionH>
            <wp:positionV relativeFrom="paragraph">
              <wp:posOffset>-237744</wp:posOffset>
            </wp:positionV>
            <wp:extent cx="5814822" cy="8774892"/>
            <wp:effectExtent l="19050" t="0" r="0" b="0"/>
            <wp:wrapNone/>
            <wp:docPr id="14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36"/>
                    <a:srcRect/>
                    <a:stretch>
                      <a:fillRect/>
                    </a:stretch>
                  </pic:blipFill>
                  <pic:spPr bwMode="auto">
                    <a:xfrm>
                      <a:off x="0" y="0"/>
                      <a:ext cx="5821966" cy="8785673"/>
                    </a:xfrm>
                    <a:prstGeom prst="rect">
                      <a:avLst/>
                    </a:prstGeom>
                    <a:noFill/>
                    <a:ln w="9525">
                      <a:noFill/>
                      <a:miter lim="800000"/>
                      <a:headEnd/>
                      <a:tailEnd/>
                    </a:ln>
                  </pic:spPr>
                </pic:pic>
              </a:graphicData>
            </a:graphic>
          </wp:anchor>
        </w:drawing>
      </w:r>
    </w:p>
    <w:p w:rsidR="002E51FB" w:rsidRDefault="002E51FB">
      <w:pPr>
        <w:ind w:firstLine="480"/>
        <w:sectPr w:rsidR="002E51FB"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40672" behindDoc="0" locked="0" layoutInCell="1" allowOverlap="1">
            <wp:simplePos x="0" y="0"/>
            <wp:positionH relativeFrom="column">
              <wp:posOffset>-317373</wp:posOffset>
            </wp:positionH>
            <wp:positionV relativeFrom="paragraph">
              <wp:posOffset>-73152</wp:posOffset>
            </wp:positionV>
            <wp:extent cx="5814822" cy="7860742"/>
            <wp:effectExtent l="19050" t="0" r="0" b="0"/>
            <wp:wrapNone/>
            <wp:docPr id="147"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37"/>
                    <a:srcRect/>
                    <a:stretch>
                      <a:fillRect/>
                    </a:stretch>
                  </pic:blipFill>
                  <pic:spPr bwMode="auto">
                    <a:xfrm>
                      <a:off x="0" y="0"/>
                      <a:ext cx="5814822" cy="7860742"/>
                    </a:xfrm>
                    <a:prstGeom prst="rect">
                      <a:avLst/>
                    </a:prstGeom>
                    <a:noFill/>
                    <a:ln w="9525">
                      <a:noFill/>
                      <a:miter lim="800000"/>
                      <a:headEnd/>
                      <a:tailEnd/>
                    </a:ln>
                  </pic:spPr>
                </pic:pic>
              </a:graphicData>
            </a:graphic>
          </wp:anchor>
        </w:drawing>
      </w:r>
    </w:p>
    <w:p w:rsidR="002E51FB" w:rsidRDefault="002E51FB">
      <w:pPr>
        <w:ind w:firstLine="480"/>
        <w:sectPr w:rsidR="002E51FB"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41696" behindDoc="0" locked="0" layoutInCell="1" allowOverlap="1">
            <wp:simplePos x="0" y="0"/>
            <wp:positionH relativeFrom="column">
              <wp:posOffset>-61341</wp:posOffset>
            </wp:positionH>
            <wp:positionV relativeFrom="paragraph">
              <wp:posOffset>128015</wp:posOffset>
            </wp:positionV>
            <wp:extent cx="5558790" cy="6529001"/>
            <wp:effectExtent l="19050" t="0" r="3810" b="0"/>
            <wp:wrapNone/>
            <wp:docPr id="148"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38"/>
                    <a:srcRect/>
                    <a:stretch>
                      <a:fillRect/>
                    </a:stretch>
                  </pic:blipFill>
                  <pic:spPr bwMode="auto">
                    <a:xfrm>
                      <a:off x="0" y="0"/>
                      <a:ext cx="5558790" cy="6529001"/>
                    </a:xfrm>
                    <a:prstGeom prst="rect">
                      <a:avLst/>
                    </a:prstGeom>
                    <a:noFill/>
                    <a:ln w="9525">
                      <a:noFill/>
                      <a:miter lim="800000"/>
                      <a:headEnd/>
                      <a:tailEnd/>
                    </a:ln>
                  </pic:spPr>
                </pic:pic>
              </a:graphicData>
            </a:graphic>
          </wp:anchor>
        </w:drawing>
      </w:r>
    </w:p>
    <w:p w:rsidR="002E51FB" w:rsidRDefault="002E51FB">
      <w:pPr>
        <w:ind w:firstLine="480"/>
        <w:sectPr w:rsidR="002E51FB" w:rsidSect="002E51FB">
          <w:pgSz w:w="16840" w:h="11907" w:orient="landscape"/>
          <w:pgMar w:top="1797" w:right="1440" w:bottom="1797" w:left="1440" w:header="907" w:footer="907" w:gutter="0"/>
          <w:cols w:space="720"/>
          <w:docGrid w:linePitch="380"/>
        </w:sectPr>
      </w:pPr>
      <w:r>
        <w:rPr>
          <w:noProof/>
        </w:rPr>
        <w:lastRenderedPageBreak/>
        <w:drawing>
          <wp:anchor distT="0" distB="0" distL="114300" distR="114300" simplePos="0" relativeHeight="251742720" behindDoc="0" locked="0" layoutInCell="1" allowOverlap="1">
            <wp:simplePos x="0" y="0"/>
            <wp:positionH relativeFrom="column">
              <wp:posOffset>329946</wp:posOffset>
            </wp:positionH>
            <wp:positionV relativeFrom="paragraph">
              <wp:posOffset>-464440</wp:posOffset>
            </wp:positionV>
            <wp:extent cx="8173974" cy="5758573"/>
            <wp:effectExtent l="19050" t="0" r="0" b="0"/>
            <wp:wrapNone/>
            <wp:docPr id="149"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39"/>
                    <a:srcRect/>
                    <a:stretch>
                      <a:fillRect/>
                    </a:stretch>
                  </pic:blipFill>
                  <pic:spPr bwMode="auto">
                    <a:xfrm>
                      <a:off x="0" y="0"/>
                      <a:ext cx="8173974" cy="5758573"/>
                    </a:xfrm>
                    <a:prstGeom prst="rect">
                      <a:avLst/>
                    </a:prstGeom>
                    <a:noFill/>
                    <a:ln w="9525">
                      <a:noFill/>
                      <a:miter lim="800000"/>
                      <a:headEnd/>
                      <a:tailEnd/>
                    </a:ln>
                  </pic:spPr>
                </pic:pic>
              </a:graphicData>
            </a:graphic>
          </wp:anchor>
        </w:drawing>
      </w:r>
    </w:p>
    <w:p w:rsidR="002E51FB" w:rsidRDefault="002E51FB">
      <w:pPr>
        <w:ind w:firstLine="480"/>
        <w:sectPr w:rsidR="002E51FB"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43744" behindDoc="0" locked="0" layoutInCell="1" allowOverlap="1">
            <wp:simplePos x="0" y="0"/>
            <wp:positionH relativeFrom="column">
              <wp:posOffset>-353949</wp:posOffset>
            </wp:positionH>
            <wp:positionV relativeFrom="paragraph">
              <wp:posOffset>-236106</wp:posOffset>
            </wp:positionV>
            <wp:extent cx="6047486" cy="8540496"/>
            <wp:effectExtent l="19050" t="0" r="0" b="0"/>
            <wp:wrapNone/>
            <wp:docPr id="150"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40"/>
                    <a:srcRect/>
                    <a:stretch>
                      <a:fillRect/>
                    </a:stretch>
                  </pic:blipFill>
                  <pic:spPr bwMode="auto">
                    <a:xfrm>
                      <a:off x="0" y="0"/>
                      <a:ext cx="6047486" cy="8540496"/>
                    </a:xfrm>
                    <a:prstGeom prst="rect">
                      <a:avLst/>
                    </a:prstGeom>
                    <a:noFill/>
                    <a:ln w="9525">
                      <a:noFill/>
                      <a:miter lim="800000"/>
                      <a:headEnd/>
                      <a:tailEnd/>
                    </a:ln>
                  </pic:spPr>
                </pic:pic>
              </a:graphicData>
            </a:graphic>
          </wp:anchor>
        </w:drawing>
      </w:r>
    </w:p>
    <w:p w:rsidR="002E51FB" w:rsidRDefault="002E51FB">
      <w:pPr>
        <w:ind w:firstLine="480"/>
        <w:sectPr w:rsidR="002E51FB"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44768" behindDoc="0" locked="0" layoutInCell="1" allowOverlap="1">
            <wp:simplePos x="0" y="0"/>
            <wp:positionH relativeFrom="column">
              <wp:posOffset>-152781</wp:posOffset>
            </wp:positionH>
            <wp:positionV relativeFrom="paragraph">
              <wp:posOffset>-237744</wp:posOffset>
            </wp:positionV>
            <wp:extent cx="5781900" cy="8339328"/>
            <wp:effectExtent l="19050" t="0" r="9300" b="0"/>
            <wp:wrapNone/>
            <wp:docPr id="15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41"/>
                    <a:srcRect/>
                    <a:stretch>
                      <a:fillRect/>
                    </a:stretch>
                  </pic:blipFill>
                  <pic:spPr bwMode="auto">
                    <a:xfrm>
                      <a:off x="0" y="0"/>
                      <a:ext cx="5791073" cy="8352559"/>
                    </a:xfrm>
                    <a:prstGeom prst="rect">
                      <a:avLst/>
                    </a:prstGeom>
                    <a:noFill/>
                    <a:ln w="9525">
                      <a:noFill/>
                      <a:miter lim="800000"/>
                      <a:headEnd/>
                      <a:tailEnd/>
                    </a:ln>
                  </pic:spPr>
                </pic:pic>
              </a:graphicData>
            </a:graphic>
          </wp:anchor>
        </w:drawing>
      </w:r>
    </w:p>
    <w:p w:rsidR="002E51FB" w:rsidRDefault="002E51FB">
      <w:pPr>
        <w:ind w:firstLine="480"/>
        <w:sectPr w:rsidR="002E51FB"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45792" behindDoc="0" locked="0" layoutInCell="1" allowOverlap="1">
            <wp:simplePos x="0" y="0"/>
            <wp:positionH relativeFrom="column">
              <wp:posOffset>-207645</wp:posOffset>
            </wp:positionH>
            <wp:positionV relativeFrom="paragraph">
              <wp:posOffset>-237744</wp:posOffset>
            </wp:positionV>
            <wp:extent cx="5906262" cy="9137498"/>
            <wp:effectExtent l="19050" t="0" r="0" b="0"/>
            <wp:wrapNone/>
            <wp:docPr id="153"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42"/>
                    <a:srcRect/>
                    <a:stretch>
                      <a:fillRect/>
                    </a:stretch>
                  </pic:blipFill>
                  <pic:spPr bwMode="auto">
                    <a:xfrm>
                      <a:off x="0" y="0"/>
                      <a:ext cx="5906063" cy="9137191"/>
                    </a:xfrm>
                    <a:prstGeom prst="rect">
                      <a:avLst/>
                    </a:prstGeom>
                    <a:noFill/>
                    <a:ln w="9525">
                      <a:noFill/>
                      <a:miter lim="800000"/>
                      <a:headEnd/>
                      <a:tailEnd/>
                    </a:ln>
                  </pic:spPr>
                </pic:pic>
              </a:graphicData>
            </a:graphic>
          </wp:anchor>
        </w:drawing>
      </w:r>
    </w:p>
    <w:p w:rsidR="002E51FB" w:rsidRDefault="002E51FB">
      <w:pPr>
        <w:ind w:firstLine="480"/>
        <w:sectPr w:rsidR="002E51FB"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46816" behindDoc="0" locked="0" layoutInCell="1" allowOverlap="1">
            <wp:simplePos x="0" y="0"/>
            <wp:positionH relativeFrom="column">
              <wp:posOffset>-7112</wp:posOffset>
            </wp:positionH>
            <wp:positionV relativeFrom="paragraph">
              <wp:posOffset>-237744</wp:posOffset>
            </wp:positionV>
            <wp:extent cx="5650230" cy="8869680"/>
            <wp:effectExtent l="19050" t="0" r="7620" b="0"/>
            <wp:wrapNone/>
            <wp:docPr id="154"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43"/>
                    <a:srcRect/>
                    <a:stretch>
                      <a:fillRect/>
                    </a:stretch>
                  </pic:blipFill>
                  <pic:spPr bwMode="auto">
                    <a:xfrm>
                      <a:off x="0" y="0"/>
                      <a:ext cx="5650230" cy="8869680"/>
                    </a:xfrm>
                    <a:prstGeom prst="rect">
                      <a:avLst/>
                    </a:prstGeom>
                    <a:noFill/>
                    <a:ln w="9525">
                      <a:noFill/>
                      <a:miter lim="800000"/>
                      <a:headEnd/>
                      <a:tailEnd/>
                    </a:ln>
                  </pic:spPr>
                </pic:pic>
              </a:graphicData>
            </a:graphic>
          </wp:anchor>
        </w:drawing>
      </w:r>
    </w:p>
    <w:p w:rsidR="002E51FB" w:rsidRDefault="002E51FB">
      <w:pPr>
        <w:ind w:firstLine="480"/>
        <w:sectPr w:rsidR="002E51FB"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47840" behindDoc="0" locked="0" layoutInCell="1" allowOverlap="1">
            <wp:simplePos x="0" y="0"/>
            <wp:positionH relativeFrom="column">
              <wp:posOffset>-481965</wp:posOffset>
            </wp:positionH>
            <wp:positionV relativeFrom="paragraph">
              <wp:posOffset>-237744</wp:posOffset>
            </wp:positionV>
            <wp:extent cx="6454902" cy="9337502"/>
            <wp:effectExtent l="19050" t="0" r="3048" b="0"/>
            <wp:wrapNone/>
            <wp:docPr id="155"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44"/>
                    <a:srcRect/>
                    <a:stretch>
                      <a:fillRect/>
                    </a:stretch>
                  </pic:blipFill>
                  <pic:spPr bwMode="auto">
                    <a:xfrm>
                      <a:off x="0" y="0"/>
                      <a:ext cx="6454902" cy="9337502"/>
                    </a:xfrm>
                    <a:prstGeom prst="rect">
                      <a:avLst/>
                    </a:prstGeom>
                    <a:noFill/>
                    <a:ln w="9525">
                      <a:noFill/>
                      <a:miter lim="800000"/>
                      <a:headEnd/>
                      <a:tailEnd/>
                    </a:ln>
                  </pic:spPr>
                </pic:pic>
              </a:graphicData>
            </a:graphic>
          </wp:anchor>
        </w:drawing>
      </w:r>
    </w:p>
    <w:p w:rsidR="002E51FB" w:rsidRDefault="002E51FB">
      <w:pPr>
        <w:ind w:firstLine="480"/>
        <w:sectPr w:rsidR="002E51FB"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48864" behindDoc="0" locked="0" layoutInCell="1" allowOverlap="1">
            <wp:simplePos x="0" y="0"/>
            <wp:positionH relativeFrom="column">
              <wp:posOffset>-244475</wp:posOffset>
            </wp:positionH>
            <wp:positionV relativeFrom="paragraph">
              <wp:posOffset>-165100</wp:posOffset>
            </wp:positionV>
            <wp:extent cx="6070600" cy="8869680"/>
            <wp:effectExtent l="19050" t="0" r="6350" b="0"/>
            <wp:wrapNone/>
            <wp:docPr id="15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45"/>
                    <a:srcRect/>
                    <a:stretch>
                      <a:fillRect/>
                    </a:stretch>
                  </pic:blipFill>
                  <pic:spPr bwMode="auto">
                    <a:xfrm>
                      <a:off x="0" y="0"/>
                      <a:ext cx="6070600" cy="8869680"/>
                    </a:xfrm>
                    <a:prstGeom prst="rect">
                      <a:avLst/>
                    </a:prstGeom>
                    <a:noFill/>
                    <a:ln w="9525">
                      <a:noFill/>
                      <a:miter lim="800000"/>
                      <a:headEnd/>
                      <a:tailEnd/>
                    </a:ln>
                  </pic:spPr>
                </pic:pic>
              </a:graphicData>
            </a:graphic>
          </wp:anchor>
        </w:drawing>
      </w:r>
    </w:p>
    <w:p w:rsidR="002E51FB" w:rsidRDefault="00B52717">
      <w:pPr>
        <w:ind w:firstLine="480"/>
        <w:sectPr w:rsidR="002E51FB"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49888" behindDoc="0" locked="0" layoutInCell="1" allowOverlap="1">
            <wp:simplePos x="0" y="0"/>
            <wp:positionH relativeFrom="column">
              <wp:posOffset>-152781</wp:posOffset>
            </wp:positionH>
            <wp:positionV relativeFrom="paragraph">
              <wp:posOffset>-164593</wp:posOffset>
            </wp:positionV>
            <wp:extent cx="5778246" cy="9177373"/>
            <wp:effectExtent l="19050" t="0" r="0" b="0"/>
            <wp:wrapNone/>
            <wp:docPr id="157"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46"/>
                    <a:srcRect/>
                    <a:stretch>
                      <a:fillRect/>
                    </a:stretch>
                  </pic:blipFill>
                  <pic:spPr bwMode="auto">
                    <a:xfrm>
                      <a:off x="0" y="0"/>
                      <a:ext cx="5778246" cy="9177373"/>
                    </a:xfrm>
                    <a:prstGeom prst="rect">
                      <a:avLst/>
                    </a:prstGeom>
                    <a:noFill/>
                    <a:ln w="9525">
                      <a:noFill/>
                      <a:miter lim="800000"/>
                      <a:headEnd/>
                      <a:tailEnd/>
                    </a:ln>
                  </pic:spPr>
                </pic:pic>
              </a:graphicData>
            </a:graphic>
          </wp:anchor>
        </w:drawing>
      </w:r>
    </w:p>
    <w:p w:rsidR="00B52717" w:rsidRDefault="00B52717">
      <w:pPr>
        <w:ind w:firstLine="480"/>
        <w:sectPr w:rsidR="00B52717"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50912" behindDoc="0" locked="0" layoutInCell="1" allowOverlap="1">
            <wp:simplePos x="0" y="0"/>
            <wp:positionH relativeFrom="column">
              <wp:posOffset>-171450</wp:posOffset>
            </wp:positionH>
            <wp:positionV relativeFrom="paragraph">
              <wp:posOffset>-55245</wp:posOffset>
            </wp:positionV>
            <wp:extent cx="5642610" cy="8211185"/>
            <wp:effectExtent l="19050" t="0" r="0" b="0"/>
            <wp:wrapNone/>
            <wp:docPr id="158"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47"/>
                    <a:srcRect/>
                    <a:stretch>
                      <a:fillRect/>
                    </a:stretch>
                  </pic:blipFill>
                  <pic:spPr bwMode="auto">
                    <a:xfrm>
                      <a:off x="0" y="0"/>
                      <a:ext cx="5642610" cy="8211185"/>
                    </a:xfrm>
                    <a:prstGeom prst="rect">
                      <a:avLst/>
                    </a:prstGeom>
                    <a:noFill/>
                    <a:ln w="9525">
                      <a:noFill/>
                      <a:miter lim="800000"/>
                      <a:headEnd/>
                      <a:tailEnd/>
                    </a:ln>
                  </pic:spPr>
                </pic:pic>
              </a:graphicData>
            </a:graphic>
          </wp:anchor>
        </w:drawing>
      </w:r>
    </w:p>
    <w:p w:rsidR="00B52717" w:rsidRDefault="00B52717">
      <w:pPr>
        <w:ind w:firstLine="480"/>
        <w:sectPr w:rsidR="00B52717"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51936" behindDoc="0" locked="0" layoutInCell="1" allowOverlap="1">
            <wp:simplePos x="0" y="0"/>
            <wp:positionH relativeFrom="column">
              <wp:posOffset>105156</wp:posOffset>
            </wp:positionH>
            <wp:positionV relativeFrom="paragraph">
              <wp:posOffset>-194504</wp:posOffset>
            </wp:positionV>
            <wp:extent cx="5520309" cy="9217152"/>
            <wp:effectExtent l="19050" t="0" r="4191" b="0"/>
            <wp:wrapNone/>
            <wp:docPr id="159"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48"/>
                    <a:srcRect/>
                    <a:stretch>
                      <a:fillRect/>
                    </a:stretch>
                  </pic:blipFill>
                  <pic:spPr bwMode="auto">
                    <a:xfrm>
                      <a:off x="0" y="0"/>
                      <a:ext cx="5520309" cy="9217152"/>
                    </a:xfrm>
                    <a:prstGeom prst="rect">
                      <a:avLst/>
                    </a:prstGeom>
                    <a:noFill/>
                    <a:ln w="9525">
                      <a:noFill/>
                      <a:miter lim="800000"/>
                      <a:headEnd/>
                      <a:tailEnd/>
                    </a:ln>
                  </pic:spPr>
                </pic:pic>
              </a:graphicData>
            </a:graphic>
          </wp:anchor>
        </w:drawing>
      </w:r>
    </w:p>
    <w:p w:rsidR="00B52717" w:rsidRDefault="00B52717">
      <w:pPr>
        <w:ind w:firstLine="480"/>
        <w:sectPr w:rsidR="00B52717"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52960" behindDoc="0" locked="0" layoutInCell="1" allowOverlap="1">
            <wp:simplePos x="0" y="0"/>
            <wp:positionH relativeFrom="column">
              <wp:posOffset>103251</wp:posOffset>
            </wp:positionH>
            <wp:positionV relativeFrom="paragraph">
              <wp:posOffset>-164593</wp:posOffset>
            </wp:positionV>
            <wp:extent cx="5375910" cy="8857499"/>
            <wp:effectExtent l="19050" t="0" r="0" b="0"/>
            <wp:wrapNone/>
            <wp:docPr id="160"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49"/>
                    <a:srcRect/>
                    <a:stretch>
                      <a:fillRect/>
                    </a:stretch>
                  </pic:blipFill>
                  <pic:spPr bwMode="auto">
                    <a:xfrm>
                      <a:off x="0" y="0"/>
                      <a:ext cx="5375910" cy="8857499"/>
                    </a:xfrm>
                    <a:prstGeom prst="rect">
                      <a:avLst/>
                    </a:prstGeom>
                    <a:noFill/>
                    <a:ln w="9525">
                      <a:noFill/>
                      <a:miter lim="800000"/>
                      <a:headEnd/>
                      <a:tailEnd/>
                    </a:ln>
                  </pic:spPr>
                </pic:pic>
              </a:graphicData>
            </a:graphic>
          </wp:anchor>
        </w:drawing>
      </w:r>
    </w:p>
    <w:p w:rsidR="001F1BDE" w:rsidRDefault="001F1BDE">
      <w:pPr>
        <w:ind w:firstLine="480"/>
        <w:sectPr w:rsidR="001F1BDE"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53984" behindDoc="0" locked="0" layoutInCell="1" allowOverlap="1">
            <wp:simplePos x="0" y="0"/>
            <wp:positionH relativeFrom="column">
              <wp:posOffset>85090</wp:posOffset>
            </wp:positionH>
            <wp:positionV relativeFrom="paragraph">
              <wp:posOffset>17780</wp:posOffset>
            </wp:positionV>
            <wp:extent cx="5502275" cy="6894195"/>
            <wp:effectExtent l="19050" t="0" r="3175" b="0"/>
            <wp:wrapNone/>
            <wp:docPr id="16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50"/>
                    <a:srcRect/>
                    <a:stretch>
                      <a:fillRect/>
                    </a:stretch>
                  </pic:blipFill>
                  <pic:spPr bwMode="auto">
                    <a:xfrm>
                      <a:off x="0" y="0"/>
                      <a:ext cx="5502275" cy="6894195"/>
                    </a:xfrm>
                    <a:prstGeom prst="rect">
                      <a:avLst/>
                    </a:prstGeom>
                    <a:noFill/>
                    <a:ln w="9525">
                      <a:noFill/>
                      <a:miter lim="800000"/>
                      <a:headEnd/>
                      <a:tailEnd/>
                    </a:ln>
                  </pic:spPr>
                </pic:pic>
              </a:graphicData>
            </a:graphic>
          </wp:anchor>
        </w:drawing>
      </w:r>
    </w:p>
    <w:p w:rsidR="001F1BDE" w:rsidRDefault="001F1BDE">
      <w:pPr>
        <w:ind w:firstLine="480"/>
      </w:pPr>
      <w:r>
        <w:rPr>
          <w:rFonts w:hint="eastAsia"/>
          <w:noProof/>
        </w:rPr>
        <w:lastRenderedPageBreak/>
        <w:drawing>
          <wp:anchor distT="0" distB="0" distL="114300" distR="114300" simplePos="0" relativeHeight="251755008" behindDoc="0" locked="0" layoutInCell="1" allowOverlap="1">
            <wp:simplePos x="0" y="0"/>
            <wp:positionH relativeFrom="column">
              <wp:posOffset>-73025</wp:posOffset>
            </wp:positionH>
            <wp:positionV relativeFrom="paragraph">
              <wp:posOffset>-172085</wp:posOffset>
            </wp:positionV>
            <wp:extent cx="8923655" cy="5229860"/>
            <wp:effectExtent l="19050" t="0" r="0" b="0"/>
            <wp:wrapNone/>
            <wp:docPr id="162"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51"/>
                    <a:srcRect/>
                    <a:stretch>
                      <a:fillRect/>
                    </a:stretch>
                  </pic:blipFill>
                  <pic:spPr bwMode="auto">
                    <a:xfrm>
                      <a:off x="0" y="0"/>
                      <a:ext cx="8923655" cy="5229860"/>
                    </a:xfrm>
                    <a:prstGeom prst="rect">
                      <a:avLst/>
                    </a:prstGeom>
                    <a:noFill/>
                    <a:ln w="9525">
                      <a:noFill/>
                      <a:miter lim="800000"/>
                      <a:headEnd/>
                      <a:tailEnd/>
                    </a:ln>
                  </pic:spPr>
                </pic:pic>
              </a:graphicData>
            </a:graphic>
          </wp:anchor>
        </w:drawing>
      </w:r>
    </w:p>
    <w:p w:rsidR="001F1BDE" w:rsidRDefault="001F1BDE">
      <w:pPr>
        <w:ind w:firstLine="480"/>
      </w:pPr>
    </w:p>
    <w:p w:rsidR="001F1BDE" w:rsidRDefault="001F1BDE">
      <w:pPr>
        <w:ind w:firstLine="480"/>
      </w:pPr>
    </w:p>
    <w:p w:rsidR="001F1BDE" w:rsidRDefault="001F1BDE">
      <w:pPr>
        <w:ind w:firstLine="480"/>
      </w:pPr>
    </w:p>
    <w:p w:rsidR="001F1BDE" w:rsidRDefault="001F1BDE">
      <w:pPr>
        <w:ind w:firstLine="480"/>
      </w:pPr>
    </w:p>
    <w:p w:rsidR="001F1BDE" w:rsidRDefault="001F1BDE">
      <w:pPr>
        <w:ind w:firstLine="480"/>
      </w:pPr>
    </w:p>
    <w:p w:rsidR="001F1BDE" w:rsidRDefault="001F1BDE">
      <w:pPr>
        <w:ind w:firstLine="480"/>
      </w:pPr>
    </w:p>
    <w:p w:rsidR="001F1BDE" w:rsidRDefault="001F1BDE">
      <w:pPr>
        <w:ind w:firstLine="480"/>
      </w:pPr>
    </w:p>
    <w:p w:rsidR="001F1BDE" w:rsidRDefault="001F1BDE">
      <w:pPr>
        <w:ind w:firstLine="480"/>
      </w:pPr>
    </w:p>
    <w:p w:rsidR="001F1BDE" w:rsidRDefault="001F1BDE">
      <w:pPr>
        <w:ind w:firstLine="480"/>
      </w:pPr>
    </w:p>
    <w:p w:rsidR="001F1BDE" w:rsidRDefault="001F1BDE">
      <w:pPr>
        <w:ind w:firstLine="480"/>
      </w:pPr>
    </w:p>
    <w:p w:rsidR="001F1BDE" w:rsidRDefault="001F1BDE">
      <w:pPr>
        <w:ind w:firstLine="480"/>
      </w:pPr>
    </w:p>
    <w:p w:rsidR="001F1BDE" w:rsidRDefault="001F1BDE">
      <w:pPr>
        <w:ind w:firstLine="480"/>
      </w:pPr>
    </w:p>
    <w:p w:rsidR="001F1BDE" w:rsidRDefault="001F1BDE">
      <w:pPr>
        <w:ind w:firstLine="480"/>
      </w:pPr>
    </w:p>
    <w:p w:rsidR="001F1BDE" w:rsidRDefault="001F1BDE">
      <w:pPr>
        <w:ind w:firstLine="480"/>
      </w:pPr>
    </w:p>
    <w:p w:rsidR="001F1BDE" w:rsidRDefault="001F1BDE">
      <w:pPr>
        <w:ind w:firstLine="480"/>
      </w:pPr>
      <w:r>
        <w:rPr>
          <w:rFonts w:hint="eastAsia"/>
          <w:noProof/>
        </w:rPr>
        <w:lastRenderedPageBreak/>
        <w:drawing>
          <wp:anchor distT="0" distB="0" distL="114300" distR="114300" simplePos="0" relativeHeight="251756032" behindDoc="0" locked="0" layoutInCell="1" allowOverlap="1">
            <wp:simplePos x="0" y="0"/>
            <wp:positionH relativeFrom="column">
              <wp:posOffset>201930</wp:posOffset>
            </wp:positionH>
            <wp:positionV relativeFrom="paragraph">
              <wp:posOffset>-464439</wp:posOffset>
            </wp:positionV>
            <wp:extent cx="8649462" cy="6071616"/>
            <wp:effectExtent l="19050" t="0" r="0" b="0"/>
            <wp:wrapNone/>
            <wp:docPr id="163"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52"/>
                    <a:srcRect/>
                    <a:stretch>
                      <a:fillRect/>
                    </a:stretch>
                  </pic:blipFill>
                  <pic:spPr bwMode="auto">
                    <a:xfrm>
                      <a:off x="0" y="0"/>
                      <a:ext cx="8649462" cy="6071616"/>
                    </a:xfrm>
                    <a:prstGeom prst="rect">
                      <a:avLst/>
                    </a:prstGeom>
                    <a:noFill/>
                    <a:ln w="9525">
                      <a:noFill/>
                      <a:miter lim="800000"/>
                      <a:headEnd/>
                      <a:tailEnd/>
                    </a:ln>
                  </pic:spPr>
                </pic:pic>
              </a:graphicData>
            </a:graphic>
          </wp:anchor>
        </w:drawing>
      </w:r>
    </w:p>
    <w:p w:rsidR="001F1BDE" w:rsidRDefault="001F1BDE">
      <w:pPr>
        <w:ind w:firstLine="480"/>
        <w:sectPr w:rsidR="001F1BDE" w:rsidSect="001F1BDE">
          <w:pgSz w:w="16840" w:h="11907" w:orient="landscape"/>
          <w:pgMar w:top="1797" w:right="1440" w:bottom="1797" w:left="1440" w:header="907" w:footer="907" w:gutter="0"/>
          <w:cols w:space="720"/>
          <w:docGrid w:linePitch="380"/>
        </w:sectPr>
      </w:pPr>
    </w:p>
    <w:p w:rsidR="008C1581" w:rsidRDefault="008C1581">
      <w:pPr>
        <w:ind w:firstLine="480"/>
        <w:sectPr w:rsidR="008C1581"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57056" behindDoc="0" locked="0" layoutInCell="1" allowOverlap="1">
            <wp:simplePos x="0" y="0"/>
            <wp:positionH relativeFrom="column">
              <wp:posOffset>-244221</wp:posOffset>
            </wp:positionH>
            <wp:positionV relativeFrom="paragraph">
              <wp:posOffset>36575</wp:posOffset>
            </wp:positionV>
            <wp:extent cx="5997702" cy="8602745"/>
            <wp:effectExtent l="19050" t="0" r="3048" b="0"/>
            <wp:wrapNone/>
            <wp:docPr id="14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3"/>
                    <a:srcRect/>
                    <a:stretch>
                      <a:fillRect/>
                    </a:stretch>
                  </pic:blipFill>
                  <pic:spPr bwMode="auto">
                    <a:xfrm>
                      <a:off x="0" y="0"/>
                      <a:ext cx="6005786" cy="8614340"/>
                    </a:xfrm>
                    <a:prstGeom prst="rect">
                      <a:avLst/>
                    </a:prstGeom>
                    <a:noFill/>
                    <a:ln w="9525">
                      <a:noFill/>
                      <a:miter lim="800000"/>
                      <a:headEnd/>
                      <a:tailEnd/>
                    </a:ln>
                  </pic:spPr>
                </pic:pic>
              </a:graphicData>
            </a:graphic>
          </wp:anchor>
        </w:drawing>
      </w:r>
    </w:p>
    <w:p w:rsidR="008C1581" w:rsidRDefault="008C1581">
      <w:pPr>
        <w:ind w:firstLine="480"/>
        <w:sectPr w:rsidR="008C1581"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58080" behindDoc="0" locked="0" layoutInCell="1" allowOverlap="1">
            <wp:simplePos x="0" y="0"/>
            <wp:positionH relativeFrom="column">
              <wp:posOffset>-116205</wp:posOffset>
            </wp:positionH>
            <wp:positionV relativeFrom="paragraph">
              <wp:posOffset>-237744</wp:posOffset>
            </wp:positionV>
            <wp:extent cx="5578325" cy="8540496"/>
            <wp:effectExtent l="19050" t="0" r="3325" b="0"/>
            <wp:wrapNone/>
            <wp:docPr id="152"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4"/>
                    <a:srcRect/>
                    <a:stretch>
                      <a:fillRect/>
                    </a:stretch>
                  </pic:blipFill>
                  <pic:spPr bwMode="auto">
                    <a:xfrm>
                      <a:off x="0" y="0"/>
                      <a:ext cx="5588028" cy="8555351"/>
                    </a:xfrm>
                    <a:prstGeom prst="rect">
                      <a:avLst/>
                    </a:prstGeom>
                    <a:noFill/>
                    <a:ln w="9525">
                      <a:noFill/>
                      <a:miter lim="800000"/>
                      <a:headEnd/>
                      <a:tailEnd/>
                    </a:ln>
                  </pic:spPr>
                </pic:pic>
              </a:graphicData>
            </a:graphic>
          </wp:anchor>
        </w:drawing>
      </w:r>
    </w:p>
    <w:p w:rsidR="008C1581" w:rsidRDefault="008C1581">
      <w:pPr>
        <w:ind w:firstLine="480"/>
        <w:sectPr w:rsidR="008C1581"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59104" behindDoc="0" locked="0" layoutInCell="1" allowOverlap="1">
            <wp:simplePos x="0" y="0"/>
            <wp:positionH relativeFrom="column">
              <wp:posOffset>-372237</wp:posOffset>
            </wp:positionH>
            <wp:positionV relativeFrom="paragraph">
              <wp:posOffset>-109728</wp:posOffset>
            </wp:positionV>
            <wp:extent cx="6123178" cy="9128008"/>
            <wp:effectExtent l="19050" t="0" r="0" b="0"/>
            <wp:wrapNone/>
            <wp:docPr id="16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5"/>
                    <a:srcRect/>
                    <a:stretch>
                      <a:fillRect/>
                    </a:stretch>
                  </pic:blipFill>
                  <pic:spPr bwMode="auto">
                    <a:xfrm>
                      <a:off x="0" y="0"/>
                      <a:ext cx="6123178" cy="9128008"/>
                    </a:xfrm>
                    <a:prstGeom prst="rect">
                      <a:avLst/>
                    </a:prstGeom>
                    <a:noFill/>
                    <a:ln w="9525">
                      <a:noFill/>
                      <a:miter lim="800000"/>
                      <a:headEnd/>
                      <a:tailEnd/>
                    </a:ln>
                  </pic:spPr>
                </pic:pic>
              </a:graphicData>
            </a:graphic>
          </wp:anchor>
        </w:drawing>
      </w:r>
    </w:p>
    <w:p w:rsidR="00EE56C0" w:rsidRDefault="008C1581">
      <w:pPr>
        <w:ind w:firstLine="480"/>
      </w:pPr>
      <w:r>
        <w:rPr>
          <w:noProof/>
        </w:rPr>
        <w:lastRenderedPageBreak/>
        <w:drawing>
          <wp:anchor distT="0" distB="0" distL="114300" distR="114300" simplePos="0" relativeHeight="251760128" behindDoc="0" locked="0" layoutInCell="1" allowOverlap="1">
            <wp:simplePos x="0" y="0"/>
            <wp:positionH relativeFrom="column">
              <wp:posOffset>-116205</wp:posOffset>
            </wp:positionH>
            <wp:positionV relativeFrom="paragraph">
              <wp:posOffset>-237744</wp:posOffset>
            </wp:positionV>
            <wp:extent cx="5991400" cy="9034272"/>
            <wp:effectExtent l="19050" t="0" r="9350" b="0"/>
            <wp:wrapNone/>
            <wp:docPr id="165"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6"/>
                    <a:srcRect/>
                    <a:stretch>
                      <a:fillRect/>
                    </a:stretch>
                  </pic:blipFill>
                  <pic:spPr bwMode="auto">
                    <a:xfrm>
                      <a:off x="0" y="0"/>
                      <a:ext cx="5991400" cy="9034272"/>
                    </a:xfrm>
                    <a:prstGeom prst="rect">
                      <a:avLst/>
                    </a:prstGeom>
                    <a:noFill/>
                    <a:ln w="9525">
                      <a:noFill/>
                      <a:miter lim="800000"/>
                      <a:headEnd/>
                      <a:tailEnd/>
                    </a:ln>
                  </pic:spPr>
                </pic:pic>
              </a:graphicData>
            </a:graphic>
          </wp:anchor>
        </w:drawing>
      </w:r>
    </w:p>
    <w:p w:rsidR="008C1581" w:rsidRDefault="008C1581">
      <w:pPr>
        <w:ind w:firstLine="480"/>
        <w:sectPr w:rsidR="008C1581" w:rsidSect="00EE56C0">
          <w:pgSz w:w="11907" w:h="16840"/>
          <w:pgMar w:top="1440" w:right="1797" w:bottom="1440" w:left="1797" w:header="907" w:footer="907" w:gutter="0"/>
          <w:cols w:space="720"/>
          <w:docGrid w:linePitch="380"/>
        </w:sectPr>
      </w:pPr>
    </w:p>
    <w:p w:rsidR="008C1581" w:rsidRDefault="008C1581">
      <w:pPr>
        <w:ind w:firstLine="480"/>
        <w:sectPr w:rsidR="008C1581"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61152" behindDoc="0" locked="0" layoutInCell="1" allowOverlap="1">
            <wp:simplePos x="0" y="0"/>
            <wp:positionH relativeFrom="column">
              <wp:posOffset>-372237</wp:posOffset>
            </wp:positionH>
            <wp:positionV relativeFrom="paragraph">
              <wp:posOffset>-109728</wp:posOffset>
            </wp:positionV>
            <wp:extent cx="6125718" cy="9525128"/>
            <wp:effectExtent l="19050" t="0" r="8382" b="0"/>
            <wp:wrapNone/>
            <wp:docPr id="16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7"/>
                    <a:srcRect/>
                    <a:stretch>
                      <a:fillRect/>
                    </a:stretch>
                  </pic:blipFill>
                  <pic:spPr bwMode="auto">
                    <a:xfrm>
                      <a:off x="0" y="0"/>
                      <a:ext cx="6132373" cy="9535476"/>
                    </a:xfrm>
                    <a:prstGeom prst="rect">
                      <a:avLst/>
                    </a:prstGeom>
                    <a:noFill/>
                    <a:ln w="9525">
                      <a:noFill/>
                      <a:miter lim="800000"/>
                      <a:headEnd/>
                      <a:tailEnd/>
                    </a:ln>
                  </pic:spPr>
                </pic:pic>
              </a:graphicData>
            </a:graphic>
          </wp:anchor>
        </w:drawing>
      </w:r>
    </w:p>
    <w:p w:rsidR="008C1581" w:rsidRDefault="008C1581">
      <w:pPr>
        <w:ind w:firstLine="480"/>
        <w:sectPr w:rsidR="008C1581"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62176" behindDoc="0" locked="0" layoutInCell="1" allowOverlap="1">
            <wp:simplePos x="0" y="0"/>
            <wp:positionH relativeFrom="column">
              <wp:posOffset>-226695</wp:posOffset>
            </wp:positionH>
            <wp:positionV relativeFrom="paragraph">
              <wp:posOffset>-110490</wp:posOffset>
            </wp:positionV>
            <wp:extent cx="5848985" cy="8905875"/>
            <wp:effectExtent l="19050" t="0" r="0" b="0"/>
            <wp:wrapNone/>
            <wp:docPr id="16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8"/>
                    <a:srcRect/>
                    <a:stretch>
                      <a:fillRect/>
                    </a:stretch>
                  </pic:blipFill>
                  <pic:spPr bwMode="auto">
                    <a:xfrm>
                      <a:off x="0" y="0"/>
                      <a:ext cx="5848985" cy="8905875"/>
                    </a:xfrm>
                    <a:prstGeom prst="rect">
                      <a:avLst/>
                    </a:prstGeom>
                    <a:noFill/>
                    <a:ln w="9525">
                      <a:noFill/>
                      <a:miter lim="800000"/>
                      <a:headEnd/>
                      <a:tailEnd/>
                    </a:ln>
                  </pic:spPr>
                </pic:pic>
              </a:graphicData>
            </a:graphic>
          </wp:anchor>
        </w:drawing>
      </w:r>
    </w:p>
    <w:p w:rsidR="008C1581" w:rsidRDefault="008C1581">
      <w:pPr>
        <w:ind w:firstLine="480"/>
        <w:sectPr w:rsidR="008C1581"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63200" behindDoc="0" locked="0" layoutInCell="1" allowOverlap="1">
            <wp:simplePos x="0" y="0"/>
            <wp:positionH relativeFrom="column">
              <wp:posOffset>-225933</wp:posOffset>
            </wp:positionH>
            <wp:positionV relativeFrom="paragraph">
              <wp:posOffset>-109728</wp:posOffset>
            </wp:positionV>
            <wp:extent cx="6089142" cy="9485154"/>
            <wp:effectExtent l="19050" t="0" r="6858" b="0"/>
            <wp:wrapNone/>
            <wp:docPr id="16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59"/>
                    <a:srcRect/>
                    <a:stretch>
                      <a:fillRect/>
                    </a:stretch>
                  </pic:blipFill>
                  <pic:spPr bwMode="auto">
                    <a:xfrm>
                      <a:off x="0" y="0"/>
                      <a:ext cx="6089142" cy="9485154"/>
                    </a:xfrm>
                    <a:prstGeom prst="rect">
                      <a:avLst/>
                    </a:prstGeom>
                    <a:noFill/>
                    <a:ln w="9525">
                      <a:noFill/>
                      <a:miter lim="800000"/>
                      <a:headEnd/>
                      <a:tailEnd/>
                    </a:ln>
                  </pic:spPr>
                </pic:pic>
              </a:graphicData>
            </a:graphic>
          </wp:anchor>
        </w:drawing>
      </w:r>
    </w:p>
    <w:p w:rsidR="008C1581" w:rsidRDefault="008C1581">
      <w:pPr>
        <w:ind w:firstLine="480"/>
        <w:sectPr w:rsidR="008C1581"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64224" behindDoc="0" locked="0" layoutInCell="1" allowOverlap="1">
            <wp:simplePos x="0" y="0"/>
            <wp:positionH relativeFrom="column">
              <wp:posOffset>121538</wp:posOffset>
            </wp:positionH>
            <wp:positionV relativeFrom="paragraph">
              <wp:posOffset>-109728</wp:posOffset>
            </wp:positionV>
            <wp:extent cx="5503949" cy="8467344"/>
            <wp:effectExtent l="19050" t="0" r="1501" b="0"/>
            <wp:wrapNone/>
            <wp:docPr id="169"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60"/>
                    <a:srcRect/>
                    <a:stretch>
                      <a:fillRect/>
                    </a:stretch>
                  </pic:blipFill>
                  <pic:spPr bwMode="auto">
                    <a:xfrm>
                      <a:off x="0" y="0"/>
                      <a:ext cx="5503949" cy="8467344"/>
                    </a:xfrm>
                    <a:prstGeom prst="rect">
                      <a:avLst/>
                    </a:prstGeom>
                    <a:noFill/>
                    <a:ln w="9525">
                      <a:noFill/>
                      <a:miter lim="800000"/>
                      <a:headEnd/>
                      <a:tailEnd/>
                    </a:ln>
                  </pic:spPr>
                </pic:pic>
              </a:graphicData>
            </a:graphic>
          </wp:anchor>
        </w:drawing>
      </w:r>
    </w:p>
    <w:p w:rsidR="008C1581" w:rsidRDefault="008C1581">
      <w:pPr>
        <w:ind w:firstLine="480"/>
        <w:sectPr w:rsidR="008C1581"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65248" behindDoc="0" locked="0" layoutInCell="1" allowOverlap="1">
            <wp:simplePos x="0" y="0"/>
            <wp:positionH relativeFrom="column">
              <wp:posOffset>-225933</wp:posOffset>
            </wp:positionH>
            <wp:positionV relativeFrom="paragraph">
              <wp:posOffset>-201168</wp:posOffset>
            </wp:positionV>
            <wp:extent cx="6082792" cy="9523238"/>
            <wp:effectExtent l="19050" t="0" r="0" b="0"/>
            <wp:wrapNone/>
            <wp:docPr id="170"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61"/>
                    <a:srcRect/>
                    <a:stretch>
                      <a:fillRect/>
                    </a:stretch>
                  </pic:blipFill>
                  <pic:spPr bwMode="auto">
                    <a:xfrm>
                      <a:off x="0" y="0"/>
                      <a:ext cx="6082792" cy="9523238"/>
                    </a:xfrm>
                    <a:prstGeom prst="rect">
                      <a:avLst/>
                    </a:prstGeom>
                    <a:noFill/>
                    <a:ln w="9525">
                      <a:noFill/>
                      <a:miter lim="800000"/>
                      <a:headEnd/>
                      <a:tailEnd/>
                    </a:ln>
                  </pic:spPr>
                </pic:pic>
              </a:graphicData>
            </a:graphic>
          </wp:anchor>
        </w:drawing>
      </w:r>
    </w:p>
    <w:p w:rsidR="008C1581" w:rsidRDefault="008C1581">
      <w:pPr>
        <w:ind w:firstLine="480"/>
        <w:sectPr w:rsidR="008C1581"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66272" behindDoc="0" locked="0" layoutInCell="1" allowOverlap="1">
            <wp:simplePos x="0" y="0"/>
            <wp:positionH relativeFrom="column">
              <wp:posOffset>-299085</wp:posOffset>
            </wp:positionH>
            <wp:positionV relativeFrom="paragraph">
              <wp:posOffset>-201168</wp:posOffset>
            </wp:positionV>
            <wp:extent cx="5740400" cy="8997696"/>
            <wp:effectExtent l="19050" t="0" r="0" b="0"/>
            <wp:wrapNone/>
            <wp:docPr id="171"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62"/>
                    <a:srcRect/>
                    <a:stretch>
                      <a:fillRect/>
                    </a:stretch>
                  </pic:blipFill>
                  <pic:spPr bwMode="auto">
                    <a:xfrm>
                      <a:off x="0" y="0"/>
                      <a:ext cx="5740400" cy="8997696"/>
                    </a:xfrm>
                    <a:prstGeom prst="rect">
                      <a:avLst/>
                    </a:prstGeom>
                    <a:noFill/>
                    <a:ln w="9525">
                      <a:noFill/>
                      <a:miter lim="800000"/>
                      <a:headEnd/>
                      <a:tailEnd/>
                    </a:ln>
                  </pic:spPr>
                </pic:pic>
              </a:graphicData>
            </a:graphic>
          </wp:anchor>
        </w:drawing>
      </w:r>
    </w:p>
    <w:p w:rsidR="008C1581" w:rsidRDefault="008C1581">
      <w:pPr>
        <w:ind w:firstLine="480"/>
        <w:sectPr w:rsidR="008C1581"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67296" behindDoc="0" locked="0" layoutInCell="1" allowOverlap="1">
            <wp:simplePos x="0" y="0"/>
            <wp:positionH relativeFrom="column">
              <wp:posOffset>-97917</wp:posOffset>
            </wp:positionH>
            <wp:positionV relativeFrom="paragraph">
              <wp:posOffset>-201169</wp:posOffset>
            </wp:positionV>
            <wp:extent cx="5869686" cy="9063747"/>
            <wp:effectExtent l="19050" t="0" r="0" b="0"/>
            <wp:wrapNone/>
            <wp:docPr id="172"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3"/>
                    <a:srcRect/>
                    <a:stretch>
                      <a:fillRect/>
                    </a:stretch>
                  </pic:blipFill>
                  <pic:spPr bwMode="auto">
                    <a:xfrm>
                      <a:off x="0" y="0"/>
                      <a:ext cx="5869686" cy="9063747"/>
                    </a:xfrm>
                    <a:prstGeom prst="rect">
                      <a:avLst/>
                    </a:prstGeom>
                    <a:noFill/>
                    <a:ln w="9525">
                      <a:noFill/>
                      <a:miter lim="800000"/>
                      <a:headEnd/>
                      <a:tailEnd/>
                    </a:ln>
                  </pic:spPr>
                </pic:pic>
              </a:graphicData>
            </a:graphic>
          </wp:anchor>
        </w:drawing>
      </w:r>
    </w:p>
    <w:p w:rsidR="008C1581" w:rsidRDefault="008C1581">
      <w:pPr>
        <w:ind w:firstLine="480"/>
        <w:sectPr w:rsidR="008C1581"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68320" behindDoc="0" locked="0" layoutInCell="1" allowOverlap="1">
            <wp:simplePos x="0" y="0"/>
            <wp:positionH relativeFrom="column">
              <wp:posOffset>-189865</wp:posOffset>
            </wp:positionH>
            <wp:positionV relativeFrom="paragraph">
              <wp:posOffset>-238125</wp:posOffset>
            </wp:positionV>
            <wp:extent cx="5704840" cy="8887460"/>
            <wp:effectExtent l="19050" t="0" r="0" b="0"/>
            <wp:wrapNone/>
            <wp:docPr id="173"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64"/>
                    <a:srcRect/>
                    <a:stretch>
                      <a:fillRect/>
                    </a:stretch>
                  </pic:blipFill>
                  <pic:spPr bwMode="auto">
                    <a:xfrm>
                      <a:off x="0" y="0"/>
                      <a:ext cx="5704840" cy="8887460"/>
                    </a:xfrm>
                    <a:prstGeom prst="rect">
                      <a:avLst/>
                    </a:prstGeom>
                    <a:noFill/>
                    <a:ln w="9525">
                      <a:noFill/>
                      <a:miter lim="800000"/>
                      <a:headEnd/>
                      <a:tailEnd/>
                    </a:ln>
                  </pic:spPr>
                </pic:pic>
              </a:graphicData>
            </a:graphic>
          </wp:anchor>
        </w:drawing>
      </w:r>
    </w:p>
    <w:p w:rsidR="008C1581" w:rsidRDefault="008C1581">
      <w:pPr>
        <w:ind w:firstLine="480"/>
        <w:sectPr w:rsidR="008C1581"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69344" behindDoc="0" locked="0" layoutInCell="1" allowOverlap="1">
            <wp:simplePos x="0" y="0"/>
            <wp:positionH relativeFrom="column">
              <wp:posOffset>-518541</wp:posOffset>
            </wp:positionH>
            <wp:positionV relativeFrom="paragraph">
              <wp:posOffset>-329184</wp:posOffset>
            </wp:positionV>
            <wp:extent cx="6290310" cy="9290304"/>
            <wp:effectExtent l="19050" t="0" r="0" b="0"/>
            <wp:wrapNone/>
            <wp:docPr id="174"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65"/>
                    <a:srcRect/>
                    <a:stretch>
                      <a:fillRect/>
                    </a:stretch>
                  </pic:blipFill>
                  <pic:spPr bwMode="auto">
                    <a:xfrm>
                      <a:off x="0" y="0"/>
                      <a:ext cx="6290310" cy="9290304"/>
                    </a:xfrm>
                    <a:prstGeom prst="rect">
                      <a:avLst/>
                    </a:prstGeom>
                    <a:noFill/>
                    <a:ln w="9525">
                      <a:noFill/>
                      <a:miter lim="800000"/>
                      <a:headEnd/>
                      <a:tailEnd/>
                    </a:ln>
                  </pic:spPr>
                </pic:pic>
              </a:graphicData>
            </a:graphic>
          </wp:anchor>
        </w:drawing>
      </w:r>
    </w:p>
    <w:p w:rsidR="008C1581" w:rsidRDefault="008C1581">
      <w:pPr>
        <w:ind w:firstLine="480"/>
        <w:sectPr w:rsidR="008C1581"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70368" behindDoc="0" locked="0" layoutInCell="1" allowOverlap="1">
            <wp:simplePos x="0" y="0"/>
            <wp:positionH relativeFrom="column">
              <wp:posOffset>-208280</wp:posOffset>
            </wp:positionH>
            <wp:positionV relativeFrom="paragraph">
              <wp:posOffset>-421005</wp:posOffset>
            </wp:positionV>
            <wp:extent cx="6029325" cy="9070340"/>
            <wp:effectExtent l="19050" t="0" r="9525" b="0"/>
            <wp:wrapNone/>
            <wp:docPr id="175"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66"/>
                    <a:srcRect/>
                    <a:stretch>
                      <a:fillRect/>
                    </a:stretch>
                  </pic:blipFill>
                  <pic:spPr bwMode="auto">
                    <a:xfrm>
                      <a:off x="0" y="0"/>
                      <a:ext cx="6029325" cy="9070340"/>
                    </a:xfrm>
                    <a:prstGeom prst="rect">
                      <a:avLst/>
                    </a:prstGeom>
                    <a:noFill/>
                    <a:ln w="9525">
                      <a:noFill/>
                      <a:miter lim="800000"/>
                      <a:headEnd/>
                      <a:tailEnd/>
                    </a:ln>
                  </pic:spPr>
                </pic:pic>
              </a:graphicData>
            </a:graphic>
          </wp:anchor>
        </w:drawing>
      </w:r>
    </w:p>
    <w:p w:rsidR="008C1581" w:rsidRDefault="008C1581">
      <w:pPr>
        <w:ind w:firstLine="480"/>
        <w:sectPr w:rsidR="008C1581"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71392" behindDoc="0" locked="0" layoutInCell="1" allowOverlap="1">
            <wp:simplePos x="0" y="0"/>
            <wp:positionH relativeFrom="column">
              <wp:posOffset>-518541</wp:posOffset>
            </wp:positionH>
            <wp:positionV relativeFrom="paragraph">
              <wp:posOffset>-329185</wp:posOffset>
            </wp:positionV>
            <wp:extent cx="6107430" cy="9162591"/>
            <wp:effectExtent l="19050" t="0" r="7620" b="0"/>
            <wp:wrapNone/>
            <wp:docPr id="176"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67"/>
                    <a:srcRect/>
                    <a:stretch>
                      <a:fillRect/>
                    </a:stretch>
                  </pic:blipFill>
                  <pic:spPr bwMode="auto">
                    <a:xfrm>
                      <a:off x="0" y="0"/>
                      <a:ext cx="6107430" cy="9162591"/>
                    </a:xfrm>
                    <a:prstGeom prst="rect">
                      <a:avLst/>
                    </a:prstGeom>
                    <a:noFill/>
                    <a:ln w="9525">
                      <a:noFill/>
                      <a:miter lim="800000"/>
                      <a:headEnd/>
                      <a:tailEnd/>
                    </a:ln>
                  </pic:spPr>
                </pic:pic>
              </a:graphicData>
            </a:graphic>
          </wp:anchor>
        </w:drawing>
      </w:r>
    </w:p>
    <w:p w:rsidR="008C1581" w:rsidRDefault="008C1581">
      <w:pPr>
        <w:ind w:firstLine="480"/>
        <w:sectPr w:rsidR="008C1581"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72416" behindDoc="0" locked="0" layoutInCell="1" allowOverlap="1">
            <wp:simplePos x="0" y="0"/>
            <wp:positionH relativeFrom="column">
              <wp:posOffset>-390525</wp:posOffset>
            </wp:positionH>
            <wp:positionV relativeFrom="paragraph">
              <wp:posOffset>-329184</wp:posOffset>
            </wp:positionV>
            <wp:extent cx="5971794" cy="8936798"/>
            <wp:effectExtent l="19050" t="0" r="0" b="0"/>
            <wp:wrapNone/>
            <wp:docPr id="177"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68"/>
                    <a:srcRect/>
                    <a:stretch>
                      <a:fillRect/>
                    </a:stretch>
                  </pic:blipFill>
                  <pic:spPr bwMode="auto">
                    <a:xfrm>
                      <a:off x="0" y="0"/>
                      <a:ext cx="5971794" cy="8936798"/>
                    </a:xfrm>
                    <a:prstGeom prst="rect">
                      <a:avLst/>
                    </a:prstGeom>
                    <a:noFill/>
                    <a:ln w="9525">
                      <a:noFill/>
                      <a:miter lim="800000"/>
                      <a:headEnd/>
                      <a:tailEnd/>
                    </a:ln>
                  </pic:spPr>
                </pic:pic>
              </a:graphicData>
            </a:graphic>
          </wp:anchor>
        </w:drawing>
      </w:r>
    </w:p>
    <w:p w:rsidR="008C1581" w:rsidRDefault="008C1581">
      <w:pPr>
        <w:ind w:firstLine="480"/>
        <w:sectPr w:rsidR="008C1581"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73440" behindDoc="0" locked="0" layoutInCell="1" allowOverlap="1">
            <wp:simplePos x="0" y="0"/>
            <wp:positionH relativeFrom="column">
              <wp:posOffset>-518542</wp:posOffset>
            </wp:positionH>
            <wp:positionV relativeFrom="paragraph">
              <wp:posOffset>-329184</wp:posOffset>
            </wp:positionV>
            <wp:extent cx="6214663" cy="9162288"/>
            <wp:effectExtent l="19050" t="0" r="0" b="0"/>
            <wp:wrapNone/>
            <wp:docPr id="178"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69"/>
                    <a:srcRect/>
                    <a:stretch>
                      <a:fillRect/>
                    </a:stretch>
                  </pic:blipFill>
                  <pic:spPr bwMode="auto">
                    <a:xfrm>
                      <a:off x="0" y="0"/>
                      <a:ext cx="6214663" cy="9162288"/>
                    </a:xfrm>
                    <a:prstGeom prst="rect">
                      <a:avLst/>
                    </a:prstGeom>
                    <a:noFill/>
                    <a:ln w="9525">
                      <a:noFill/>
                      <a:miter lim="800000"/>
                      <a:headEnd/>
                      <a:tailEnd/>
                    </a:ln>
                  </pic:spPr>
                </pic:pic>
              </a:graphicData>
            </a:graphic>
          </wp:anchor>
        </w:drawing>
      </w:r>
    </w:p>
    <w:p w:rsidR="008C1581" w:rsidRDefault="008C1581">
      <w:pPr>
        <w:ind w:firstLine="480"/>
        <w:sectPr w:rsidR="008C1581"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74464" behindDoc="0" locked="0" layoutInCell="1" allowOverlap="1">
            <wp:simplePos x="0" y="0"/>
            <wp:positionH relativeFrom="column">
              <wp:posOffset>-318135</wp:posOffset>
            </wp:positionH>
            <wp:positionV relativeFrom="paragraph">
              <wp:posOffset>-347980</wp:posOffset>
            </wp:positionV>
            <wp:extent cx="5942330" cy="8851265"/>
            <wp:effectExtent l="19050" t="0" r="1270" b="0"/>
            <wp:wrapNone/>
            <wp:docPr id="179"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70"/>
                    <a:srcRect/>
                    <a:stretch>
                      <a:fillRect/>
                    </a:stretch>
                  </pic:blipFill>
                  <pic:spPr bwMode="auto">
                    <a:xfrm>
                      <a:off x="0" y="0"/>
                      <a:ext cx="5942330" cy="8851265"/>
                    </a:xfrm>
                    <a:prstGeom prst="rect">
                      <a:avLst/>
                    </a:prstGeom>
                    <a:noFill/>
                    <a:ln w="9525">
                      <a:noFill/>
                      <a:miter lim="800000"/>
                      <a:headEnd/>
                      <a:tailEnd/>
                    </a:ln>
                  </pic:spPr>
                </pic:pic>
              </a:graphicData>
            </a:graphic>
          </wp:anchor>
        </w:drawing>
      </w:r>
    </w:p>
    <w:p w:rsidR="008C1581" w:rsidRDefault="008C1581">
      <w:pPr>
        <w:ind w:firstLine="480"/>
        <w:sectPr w:rsidR="008C1581"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75488" behindDoc="0" locked="0" layoutInCell="1" allowOverlap="1">
            <wp:simplePos x="0" y="0"/>
            <wp:positionH relativeFrom="column">
              <wp:posOffset>-317373</wp:posOffset>
            </wp:positionH>
            <wp:positionV relativeFrom="paragraph">
              <wp:posOffset>-164592</wp:posOffset>
            </wp:positionV>
            <wp:extent cx="6015990" cy="8815730"/>
            <wp:effectExtent l="19050" t="0" r="3810" b="0"/>
            <wp:wrapNone/>
            <wp:docPr id="180"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71"/>
                    <a:srcRect/>
                    <a:stretch>
                      <a:fillRect/>
                    </a:stretch>
                  </pic:blipFill>
                  <pic:spPr bwMode="auto">
                    <a:xfrm>
                      <a:off x="0" y="0"/>
                      <a:ext cx="6015990" cy="8815730"/>
                    </a:xfrm>
                    <a:prstGeom prst="rect">
                      <a:avLst/>
                    </a:prstGeom>
                    <a:noFill/>
                    <a:ln w="9525">
                      <a:noFill/>
                      <a:miter lim="800000"/>
                      <a:headEnd/>
                      <a:tailEnd/>
                    </a:ln>
                  </pic:spPr>
                </pic:pic>
              </a:graphicData>
            </a:graphic>
          </wp:anchor>
        </w:drawing>
      </w:r>
    </w:p>
    <w:p w:rsidR="008C1581" w:rsidRDefault="008C1581">
      <w:pPr>
        <w:ind w:firstLine="480"/>
        <w:rPr>
          <w:rFonts w:hint="eastAsia"/>
        </w:rPr>
      </w:pPr>
      <w:r>
        <w:rPr>
          <w:rFonts w:hint="eastAsia"/>
          <w:noProof/>
        </w:rPr>
        <w:lastRenderedPageBreak/>
        <w:drawing>
          <wp:anchor distT="0" distB="0" distL="114300" distR="114300" simplePos="0" relativeHeight="251776512" behindDoc="0" locked="0" layoutInCell="1" allowOverlap="1">
            <wp:simplePos x="0" y="0"/>
            <wp:positionH relativeFrom="column">
              <wp:posOffset>-386080</wp:posOffset>
            </wp:positionH>
            <wp:positionV relativeFrom="paragraph">
              <wp:posOffset>-165100</wp:posOffset>
            </wp:positionV>
            <wp:extent cx="6012180" cy="8851265"/>
            <wp:effectExtent l="19050" t="0" r="7620" b="0"/>
            <wp:wrapNone/>
            <wp:docPr id="181"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72"/>
                    <a:srcRect/>
                    <a:stretch>
                      <a:fillRect/>
                    </a:stretch>
                  </pic:blipFill>
                  <pic:spPr bwMode="auto">
                    <a:xfrm>
                      <a:off x="0" y="0"/>
                      <a:ext cx="6012180" cy="8851265"/>
                    </a:xfrm>
                    <a:prstGeom prst="rect">
                      <a:avLst/>
                    </a:prstGeom>
                    <a:noFill/>
                    <a:ln w="9525">
                      <a:noFill/>
                      <a:miter lim="800000"/>
                      <a:headEnd/>
                      <a:tailEnd/>
                    </a:ln>
                  </pic:spPr>
                </pic:pic>
              </a:graphicData>
            </a:graphic>
          </wp:anchor>
        </w:drawing>
      </w:r>
    </w:p>
    <w:p w:rsidR="001F1BDE" w:rsidRDefault="001F1BDE">
      <w:pPr>
        <w:ind w:firstLine="480"/>
        <w:rPr>
          <w:rFonts w:hint="eastAsia"/>
        </w:rPr>
      </w:pPr>
    </w:p>
    <w:p w:rsidR="008C1581" w:rsidRDefault="008C1581">
      <w:pPr>
        <w:ind w:firstLine="480"/>
        <w:rPr>
          <w:rFonts w:hint="eastAsia"/>
        </w:rPr>
      </w:pPr>
    </w:p>
    <w:p w:rsidR="008C1581" w:rsidRDefault="008C1581">
      <w:pPr>
        <w:ind w:firstLine="480"/>
        <w:rPr>
          <w:rFonts w:hint="eastAsia"/>
        </w:rPr>
      </w:pPr>
    </w:p>
    <w:p w:rsidR="008C1581" w:rsidRDefault="008C1581">
      <w:pPr>
        <w:ind w:firstLine="480"/>
        <w:rPr>
          <w:rFonts w:hint="eastAsia"/>
        </w:rPr>
      </w:pPr>
    </w:p>
    <w:p w:rsidR="008C1581" w:rsidRDefault="008C1581">
      <w:pPr>
        <w:ind w:firstLine="480"/>
        <w:rPr>
          <w:rFonts w:hint="eastAsia"/>
        </w:rPr>
      </w:pPr>
    </w:p>
    <w:p w:rsidR="008C1581" w:rsidRDefault="008C1581">
      <w:pPr>
        <w:ind w:firstLine="480"/>
        <w:rPr>
          <w:rFonts w:hint="eastAsia"/>
        </w:rPr>
      </w:pPr>
    </w:p>
    <w:p w:rsidR="008C1581" w:rsidRDefault="008C1581">
      <w:pPr>
        <w:ind w:firstLine="480"/>
        <w:rPr>
          <w:rFonts w:hint="eastAsia"/>
        </w:rPr>
      </w:pPr>
    </w:p>
    <w:p w:rsidR="008C1581" w:rsidRDefault="008C1581">
      <w:pPr>
        <w:ind w:firstLine="480"/>
        <w:rPr>
          <w:rFonts w:hint="eastAsia"/>
        </w:rPr>
      </w:pPr>
    </w:p>
    <w:p w:rsidR="008C1581" w:rsidRDefault="008C1581">
      <w:pPr>
        <w:ind w:firstLine="480"/>
        <w:rPr>
          <w:rFonts w:hint="eastAsia"/>
        </w:rPr>
      </w:pPr>
    </w:p>
    <w:p w:rsidR="008C1581" w:rsidRDefault="008C1581">
      <w:pPr>
        <w:ind w:firstLine="480"/>
        <w:rPr>
          <w:rFonts w:hint="eastAsia"/>
        </w:rPr>
      </w:pPr>
    </w:p>
    <w:p w:rsidR="008C1581" w:rsidRDefault="008C1581">
      <w:pPr>
        <w:ind w:firstLine="480"/>
        <w:rPr>
          <w:rFonts w:hint="eastAsia"/>
        </w:rPr>
      </w:pPr>
    </w:p>
    <w:p w:rsidR="008C1581" w:rsidRDefault="008C1581">
      <w:pPr>
        <w:ind w:firstLine="480"/>
        <w:rPr>
          <w:rFonts w:hint="eastAsia"/>
        </w:rPr>
      </w:pPr>
    </w:p>
    <w:p w:rsidR="008C1581" w:rsidRDefault="008C1581">
      <w:pPr>
        <w:ind w:firstLine="480"/>
        <w:rPr>
          <w:rFonts w:hint="eastAsia"/>
        </w:rPr>
      </w:pPr>
    </w:p>
    <w:p w:rsidR="008C1581" w:rsidRDefault="008C1581">
      <w:pPr>
        <w:ind w:firstLine="480"/>
        <w:rPr>
          <w:rFonts w:hint="eastAsia"/>
        </w:rPr>
      </w:pPr>
    </w:p>
    <w:p w:rsidR="008C1581" w:rsidRDefault="008C1581">
      <w:pPr>
        <w:ind w:firstLine="480"/>
        <w:rPr>
          <w:rFonts w:hint="eastAsia"/>
        </w:rPr>
      </w:pPr>
    </w:p>
    <w:p w:rsidR="008C1581" w:rsidRDefault="008C1581">
      <w:pPr>
        <w:ind w:firstLine="480"/>
        <w:rPr>
          <w:rFonts w:hint="eastAsia"/>
        </w:rPr>
      </w:pPr>
    </w:p>
    <w:p w:rsidR="008C1581" w:rsidRDefault="008C1581">
      <w:pPr>
        <w:ind w:firstLine="480"/>
        <w:rPr>
          <w:rFonts w:hint="eastAsia"/>
        </w:rPr>
      </w:pPr>
    </w:p>
    <w:p w:rsidR="008C1581" w:rsidRDefault="008C1581">
      <w:pPr>
        <w:ind w:firstLine="480"/>
        <w:rPr>
          <w:rFonts w:hint="eastAsia"/>
        </w:rPr>
      </w:pPr>
    </w:p>
    <w:p w:rsidR="008C1581" w:rsidRDefault="008C1581">
      <w:pPr>
        <w:ind w:firstLine="480"/>
        <w:rPr>
          <w:rFonts w:hint="eastAsia"/>
        </w:rPr>
      </w:pPr>
    </w:p>
    <w:p w:rsidR="008C1581" w:rsidRDefault="008C1581">
      <w:pPr>
        <w:ind w:firstLine="480"/>
        <w:rPr>
          <w:rFonts w:hint="eastAsia"/>
        </w:rPr>
      </w:pPr>
    </w:p>
    <w:p w:rsidR="008C1581" w:rsidRDefault="008C1581">
      <w:pPr>
        <w:ind w:firstLine="480"/>
        <w:rPr>
          <w:rFonts w:hint="eastAsia"/>
        </w:rPr>
      </w:pPr>
    </w:p>
    <w:p w:rsidR="008C1581" w:rsidRDefault="008C1581">
      <w:pPr>
        <w:ind w:firstLine="480"/>
        <w:rPr>
          <w:rFonts w:hint="eastAsia"/>
        </w:rPr>
      </w:pPr>
    </w:p>
    <w:p w:rsidR="008C1581" w:rsidRDefault="008C1581">
      <w:pPr>
        <w:ind w:firstLine="480"/>
        <w:rPr>
          <w:rFonts w:hint="eastAsia"/>
        </w:rPr>
      </w:pPr>
    </w:p>
    <w:p w:rsidR="008C1581" w:rsidRDefault="008C1581">
      <w:pPr>
        <w:ind w:firstLine="480"/>
        <w:rPr>
          <w:rFonts w:hint="eastAsia"/>
        </w:rPr>
      </w:pPr>
    </w:p>
    <w:p w:rsidR="008C1581" w:rsidRDefault="008C1581">
      <w:pPr>
        <w:ind w:firstLine="480"/>
        <w:rPr>
          <w:rFonts w:hint="eastAsia"/>
        </w:rPr>
      </w:pPr>
      <w:r>
        <w:rPr>
          <w:rFonts w:hint="eastAsia"/>
          <w:noProof/>
        </w:rPr>
        <w:lastRenderedPageBreak/>
        <w:drawing>
          <wp:anchor distT="0" distB="0" distL="114300" distR="114300" simplePos="0" relativeHeight="251777536" behindDoc="0" locked="0" layoutInCell="1" allowOverlap="1">
            <wp:simplePos x="0" y="0"/>
            <wp:positionH relativeFrom="column">
              <wp:posOffset>-317373</wp:posOffset>
            </wp:positionH>
            <wp:positionV relativeFrom="paragraph">
              <wp:posOffset>-164592</wp:posOffset>
            </wp:positionV>
            <wp:extent cx="6156906" cy="9034272"/>
            <wp:effectExtent l="19050" t="0" r="0" b="0"/>
            <wp:wrapNone/>
            <wp:docPr id="182"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73"/>
                    <a:srcRect/>
                    <a:stretch>
                      <a:fillRect/>
                    </a:stretch>
                  </pic:blipFill>
                  <pic:spPr bwMode="auto">
                    <a:xfrm>
                      <a:off x="0" y="0"/>
                      <a:ext cx="6156906" cy="9034272"/>
                    </a:xfrm>
                    <a:prstGeom prst="rect">
                      <a:avLst/>
                    </a:prstGeom>
                    <a:noFill/>
                    <a:ln w="9525">
                      <a:noFill/>
                      <a:miter lim="800000"/>
                      <a:headEnd/>
                      <a:tailEnd/>
                    </a:ln>
                  </pic:spPr>
                </pic:pic>
              </a:graphicData>
            </a:graphic>
          </wp:anchor>
        </w:drawing>
      </w:r>
    </w:p>
    <w:p w:rsidR="008C1581" w:rsidRDefault="008C1581">
      <w:pPr>
        <w:ind w:firstLine="480"/>
        <w:rPr>
          <w:rFonts w:hint="eastAsia"/>
        </w:rPr>
      </w:pPr>
    </w:p>
    <w:p w:rsidR="008C1581" w:rsidRDefault="008C1581">
      <w:pPr>
        <w:ind w:firstLine="480"/>
        <w:rPr>
          <w:rFonts w:hint="eastAsia"/>
        </w:rPr>
      </w:pPr>
    </w:p>
    <w:p w:rsidR="008C1581" w:rsidRDefault="008C1581">
      <w:pPr>
        <w:ind w:firstLine="480"/>
        <w:rPr>
          <w:rFonts w:hint="eastAsia"/>
        </w:rPr>
      </w:pPr>
    </w:p>
    <w:p w:rsidR="008C1581" w:rsidRDefault="008C1581">
      <w:pPr>
        <w:ind w:firstLine="480"/>
        <w:rPr>
          <w:rFonts w:hint="eastAsia"/>
        </w:rPr>
      </w:pPr>
    </w:p>
    <w:p w:rsidR="008C1581" w:rsidRDefault="008C1581">
      <w:pPr>
        <w:ind w:firstLine="480"/>
        <w:rPr>
          <w:rFonts w:hint="eastAsia"/>
        </w:rPr>
      </w:pPr>
    </w:p>
    <w:p w:rsidR="008C1581" w:rsidRDefault="008C1581">
      <w:pPr>
        <w:ind w:firstLine="480"/>
        <w:rPr>
          <w:rFonts w:hint="eastAsia"/>
        </w:rPr>
      </w:pPr>
    </w:p>
    <w:p w:rsidR="008C1581" w:rsidRDefault="008C1581">
      <w:pPr>
        <w:ind w:firstLine="480"/>
        <w:rPr>
          <w:rFonts w:hint="eastAsia"/>
        </w:rPr>
      </w:pPr>
    </w:p>
    <w:p w:rsidR="008C1581" w:rsidRDefault="008C1581">
      <w:pPr>
        <w:ind w:firstLine="480"/>
        <w:rPr>
          <w:rFonts w:hint="eastAsia"/>
        </w:rPr>
      </w:pPr>
    </w:p>
    <w:p w:rsidR="008C1581" w:rsidRDefault="008C1581">
      <w:pPr>
        <w:ind w:firstLine="480"/>
        <w:rPr>
          <w:rFonts w:hint="eastAsia"/>
        </w:rPr>
      </w:pPr>
    </w:p>
    <w:p w:rsidR="008C1581" w:rsidRDefault="008C1581">
      <w:pPr>
        <w:ind w:firstLine="480"/>
        <w:rPr>
          <w:rFonts w:hint="eastAsia"/>
        </w:rPr>
      </w:pPr>
    </w:p>
    <w:p w:rsidR="008C1581" w:rsidRDefault="008C1581">
      <w:pPr>
        <w:ind w:firstLine="480"/>
        <w:rPr>
          <w:rFonts w:hint="eastAsia"/>
        </w:rPr>
      </w:pPr>
    </w:p>
    <w:p w:rsidR="008C1581" w:rsidRDefault="008C1581">
      <w:pPr>
        <w:ind w:firstLine="480"/>
        <w:rPr>
          <w:rFonts w:hint="eastAsia"/>
        </w:rPr>
      </w:pPr>
    </w:p>
    <w:p w:rsidR="008C1581" w:rsidRDefault="008C1581">
      <w:pPr>
        <w:ind w:firstLine="480"/>
        <w:rPr>
          <w:rFonts w:hint="eastAsia"/>
        </w:rPr>
      </w:pPr>
    </w:p>
    <w:p w:rsidR="008C1581" w:rsidRDefault="008C1581">
      <w:pPr>
        <w:ind w:firstLine="480"/>
        <w:rPr>
          <w:rFonts w:hint="eastAsia"/>
        </w:rPr>
      </w:pPr>
    </w:p>
    <w:p w:rsidR="008C1581" w:rsidRDefault="008C1581">
      <w:pPr>
        <w:ind w:firstLine="480"/>
        <w:rPr>
          <w:rFonts w:hint="eastAsia"/>
        </w:rPr>
      </w:pPr>
    </w:p>
    <w:p w:rsidR="008C1581" w:rsidRDefault="008C1581">
      <w:pPr>
        <w:ind w:firstLine="480"/>
        <w:rPr>
          <w:rFonts w:hint="eastAsia"/>
        </w:rPr>
      </w:pPr>
    </w:p>
    <w:p w:rsidR="008C1581" w:rsidRDefault="008C1581">
      <w:pPr>
        <w:ind w:firstLine="480"/>
        <w:rPr>
          <w:rFonts w:hint="eastAsia"/>
        </w:rPr>
      </w:pPr>
    </w:p>
    <w:p w:rsidR="008C1581" w:rsidRDefault="008C1581">
      <w:pPr>
        <w:ind w:firstLine="480"/>
        <w:rPr>
          <w:rFonts w:hint="eastAsia"/>
        </w:rPr>
      </w:pPr>
    </w:p>
    <w:p w:rsidR="008C1581" w:rsidRDefault="008C1581">
      <w:pPr>
        <w:ind w:firstLine="480"/>
        <w:rPr>
          <w:rFonts w:hint="eastAsia"/>
        </w:rPr>
      </w:pPr>
    </w:p>
    <w:p w:rsidR="008C1581" w:rsidRDefault="008C1581">
      <w:pPr>
        <w:ind w:firstLine="480"/>
        <w:rPr>
          <w:rFonts w:hint="eastAsia"/>
        </w:rPr>
      </w:pPr>
    </w:p>
    <w:p w:rsidR="008C1581" w:rsidRDefault="008C1581">
      <w:pPr>
        <w:ind w:firstLine="480"/>
        <w:rPr>
          <w:rFonts w:hint="eastAsia"/>
        </w:rPr>
      </w:pPr>
    </w:p>
    <w:p w:rsidR="008C1581" w:rsidRDefault="008C1581">
      <w:pPr>
        <w:ind w:firstLine="480"/>
        <w:rPr>
          <w:rFonts w:hint="eastAsia"/>
        </w:rPr>
      </w:pPr>
    </w:p>
    <w:p w:rsidR="008C1581" w:rsidRDefault="008C1581">
      <w:pPr>
        <w:ind w:firstLine="480"/>
        <w:rPr>
          <w:rFonts w:hint="eastAsia"/>
        </w:rPr>
      </w:pPr>
    </w:p>
    <w:p w:rsidR="008C1581" w:rsidRDefault="008C1581">
      <w:pPr>
        <w:ind w:firstLine="480"/>
        <w:rPr>
          <w:rFonts w:hint="eastAsia"/>
        </w:rPr>
      </w:pPr>
    </w:p>
    <w:p w:rsidR="008C1581" w:rsidRDefault="008C1581">
      <w:pPr>
        <w:ind w:firstLine="480"/>
        <w:rPr>
          <w:rFonts w:hint="eastAsia"/>
        </w:rPr>
      </w:pPr>
      <w:r>
        <w:rPr>
          <w:rFonts w:hint="eastAsia"/>
          <w:noProof/>
        </w:rPr>
        <w:lastRenderedPageBreak/>
        <w:drawing>
          <wp:anchor distT="0" distB="0" distL="114300" distR="114300" simplePos="0" relativeHeight="251778560" behindDoc="0" locked="0" layoutInCell="1" allowOverlap="1">
            <wp:simplePos x="0" y="0"/>
            <wp:positionH relativeFrom="column">
              <wp:posOffset>-317373</wp:posOffset>
            </wp:positionH>
            <wp:positionV relativeFrom="paragraph">
              <wp:posOffset>-164592</wp:posOffset>
            </wp:positionV>
            <wp:extent cx="5875682" cy="8814816"/>
            <wp:effectExtent l="19050" t="0" r="0" b="0"/>
            <wp:wrapNone/>
            <wp:docPr id="183"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74"/>
                    <a:srcRect/>
                    <a:stretch>
                      <a:fillRect/>
                    </a:stretch>
                  </pic:blipFill>
                  <pic:spPr bwMode="auto">
                    <a:xfrm>
                      <a:off x="0" y="0"/>
                      <a:ext cx="5884316" cy="8827769"/>
                    </a:xfrm>
                    <a:prstGeom prst="rect">
                      <a:avLst/>
                    </a:prstGeom>
                    <a:noFill/>
                    <a:ln w="9525">
                      <a:noFill/>
                      <a:miter lim="800000"/>
                      <a:headEnd/>
                      <a:tailEnd/>
                    </a:ln>
                  </pic:spPr>
                </pic:pic>
              </a:graphicData>
            </a:graphic>
          </wp:anchor>
        </w:drawing>
      </w:r>
    </w:p>
    <w:p w:rsidR="008C1581" w:rsidRDefault="008C1581">
      <w:pPr>
        <w:ind w:firstLine="480"/>
        <w:rPr>
          <w:rFonts w:hint="eastAsia"/>
        </w:rPr>
      </w:pPr>
    </w:p>
    <w:p w:rsidR="008C1581" w:rsidRDefault="008C1581">
      <w:pPr>
        <w:ind w:firstLine="480"/>
        <w:rPr>
          <w:rFonts w:hint="eastAsia"/>
        </w:rPr>
      </w:pPr>
    </w:p>
    <w:p w:rsidR="008C1581" w:rsidRDefault="008C1581">
      <w:pPr>
        <w:ind w:firstLine="480"/>
        <w:rPr>
          <w:rFonts w:hint="eastAsia"/>
        </w:rPr>
      </w:pPr>
    </w:p>
    <w:p w:rsidR="008C1581" w:rsidRDefault="008C1581">
      <w:pPr>
        <w:ind w:firstLine="480"/>
        <w:rPr>
          <w:rFonts w:hint="eastAsia"/>
        </w:rPr>
      </w:pPr>
    </w:p>
    <w:p w:rsidR="008C1581" w:rsidRDefault="008C1581">
      <w:pPr>
        <w:ind w:firstLine="480"/>
        <w:rPr>
          <w:rFonts w:hint="eastAsia"/>
        </w:rPr>
      </w:pPr>
    </w:p>
    <w:p w:rsidR="008C1581" w:rsidRDefault="008C1581">
      <w:pPr>
        <w:ind w:firstLine="480"/>
        <w:rPr>
          <w:rFonts w:hint="eastAsia"/>
        </w:rPr>
      </w:pPr>
    </w:p>
    <w:p w:rsidR="008C1581" w:rsidRDefault="008C1581">
      <w:pPr>
        <w:ind w:firstLine="480"/>
        <w:rPr>
          <w:rFonts w:hint="eastAsia"/>
        </w:rPr>
      </w:pPr>
    </w:p>
    <w:p w:rsidR="008C1581" w:rsidRDefault="008C1581">
      <w:pPr>
        <w:ind w:firstLine="480"/>
        <w:sectPr w:rsidR="008C1581" w:rsidSect="00EE56C0">
          <w:pgSz w:w="11907" w:h="16840"/>
          <w:pgMar w:top="1440" w:right="1797" w:bottom="1440" w:left="1797" w:header="907" w:footer="907" w:gutter="0"/>
          <w:cols w:space="720"/>
          <w:docGrid w:linePitch="380"/>
        </w:sectPr>
      </w:pPr>
    </w:p>
    <w:p w:rsidR="008C1581" w:rsidRDefault="008C1581">
      <w:pPr>
        <w:ind w:firstLine="480"/>
        <w:sectPr w:rsidR="008C1581"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79584" behindDoc="0" locked="0" layoutInCell="1" allowOverlap="1">
            <wp:simplePos x="0" y="0"/>
            <wp:positionH relativeFrom="column">
              <wp:posOffset>-225933</wp:posOffset>
            </wp:positionH>
            <wp:positionV relativeFrom="paragraph">
              <wp:posOffset>-164592</wp:posOffset>
            </wp:positionV>
            <wp:extent cx="6198870" cy="9354048"/>
            <wp:effectExtent l="19050" t="0" r="0" b="0"/>
            <wp:wrapNone/>
            <wp:docPr id="184"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75"/>
                    <a:srcRect/>
                    <a:stretch>
                      <a:fillRect/>
                    </a:stretch>
                  </pic:blipFill>
                  <pic:spPr bwMode="auto">
                    <a:xfrm>
                      <a:off x="0" y="0"/>
                      <a:ext cx="6208705" cy="9368889"/>
                    </a:xfrm>
                    <a:prstGeom prst="rect">
                      <a:avLst/>
                    </a:prstGeom>
                    <a:noFill/>
                    <a:ln w="9525">
                      <a:noFill/>
                      <a:miter lim="800000"/>
                      <a:headEnd/>
                      <a:tailEnd/>
                    </a:ln>
                  </pic:spPr>
                </pic:pic>
              </a:graphicData>
            </a:graphic>
          </wp:anchor>
        </w:drawing>
      </w:r>
    </w:p>
    <w:p w:rsidR="008C1581" w:rsidRDefault="008C1581">
      <w:pPr>
        <w:ind w:firstLine="480"/>
        <w:sectPr w:rsidR="008C1581"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80608" behindDoc="0" locked="0" layoutInCell="1" allowOverlap="1">
            <wp:simplePos x="0" y="0"/>
            <wp:positionH relativeFrom="column">
              <wp:posOffset>-317373</wp:posOffset>
            </wp:positionH>
            <wp:positionV relativeFrom="paragraph">
              <wp:posOffset>-164592</wp:posOffset>
            </wp:positionV>
            <wp:extent cx="5961126" cy="8602588"/>
            <wp:effectExtent l="19050" t="0" r="1524" b="0"/>
            <wp:wrapNone/>
            <wp:docPr id="185"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76"/>
                    <a:srcRect/>
                    <a:stretch>
                      <a:fillRect/>
                    </a:stretch>
                  </pic:blipFill>
                  <pic:spPr bwMode="auto">
                    <a:xfrm>
                      <a:off x="0" y="0"/>
                      <a:ext cx="5961126" cy="8602588"/>
                    </a:xfrm>
                    <a:prstGeom prst="rect">
                      <a:avLst/>
                    </a:prstGeom>
                    <a:noFill/>
                    <a:ln w="9525">
                      <a:noFill/>
                      <a:miter lim="800000"/>
                      <a:headEnd/>
                      <a:tailEnd/>
                    </a:ln>
                  </pic:spPr>
                </pic:pic>
              </a:graphicData>
            </a:graphic>
          </wp:anchor>
        </w:drawing>
      </w:r>
    </w:p>
    <w:p w:rsidR="008C1581" w:rsidRDefault="008C1581">
      <w:pPr>
        <w:ind w:firstLine="480"/>
        <w:sectPr w:rsidR="008C1581"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81632" behindDoc="0" locked="0" layoutInCell="1" allowOverlap="1">
            <wp:simplePos x="0" y="0"/>
            <wp:positionH relativeFrom="column">
              <wp:posOffset>-225934</wp:posOffset>
            </wp:positionH>
            <wp:positionV relativeFrom="paragraph">
              <wp:posOffset>-164592</wp:posOffset>
            </wp:positionV>
            <wp:extent cx="5927687" cy="8595360"/>
            <wp:effectExtent l="19050" t="0" r="0" b="0"/>
            <wp:wrapNone/>
            <wp:docPr id="186"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77"/>
                    <a:srcRect/>
                    <a:stretch>
                      <a:fillRect/>
                    </a:stretch>
                  </pic:blipFill>
                  <pic:spPr bwMode="auto">
                    <a:xfrm>
                      <a:off x="0" y="0"/>
                      <a:ext cx="5927687" cy="8595360"/>
                    </a:xfrm>
                    <a:prstGeom prst="rect">
                      <a:avLst/>
                    </a:prstGeom>
                    <a:noFill/>
                    <a:ln w="9525">
                      <a:noFill/>
                      <a:miter lim="800000"/>
                      <a:headEnd/>
                      <a:tailEnd/>
                    </a:ln>
                  </pic:spPr>
                </pic:pic>
              </a:graphicData>
            </a:graphic>
          </wp:anchor>
        </w:drawing>
      </w:r>
    </w:p>
    <w:p w:rsidR="008C1581" w:rsidRDefault="008C1581">
      <w:pPr>
        <w:ind w:firstLine="480"/>
        <w:sectPr w:rsidR="008C1581"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82656" behindDoc="0" locked="0" layoutInCell="1" allowOverlap="1">
            <wp:simplePos x="0" y="0"/>
            <wp:positionH relativeFrom="column">
              <wp:posOffset>-335915</wp:posOffset>
            </wp:positionH>
            <wp:positionV relativeFrom="paragraph">
              <wp:posOffset>-238125</wp:posOffset>
            </wp:positionV>
            <wp:extent cx="6143625" cy="8174355"/>
            <wp:effectExtent l="19050" t="0" r="9525" b="0"/>
            <wp:wrapNone/>
            <wp:docPr id="187"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78"/>
                    <a:srcRect/>
                    <a:stretch>
                      <a:fillRect/>
                    </a:stretch>
                  </pic:blipFill>
                  <pic:spPr bwMode="auto">
                    <a:xfrm>
                      <a:off x="0" y="0"/>
                      <a:ext cx="6143625" cy="8174355"/>
                    </a:xfrm>
                    <a:prstGeom prst="rect">
                      <a:avLst/>
                    </a:prstGeom>
                    <a:noFill/>
                    <a:ln w="9525">
                      <a:noFill/>
                      <a:miter lim="800000"/>
                      <a:headEnd/>
                      <a:tailEnd/>
                    </a:ln>
                  </pic:spPr>
                </pic:pic>
              </a:graphicData>
            </a:graphic>
          </wp:anchor>
        </w:drawing>
      </w:r>
    </w:p>
    <w:p w:rsidR="008C1581" w:rsidRDefault="008C1581">
      <w:pPr>
        <w:ind w:firstLine="480"/>
        <w:sectPr w:rsidR="008C1581"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83680" behindDoc="0" locked="0" layoutInCell="1" allowOverlap="1">
            <wp:simplePos x="0" y="0"/>
            <wp:positionH relativeFrom="column">
              <wp:posOffset>-280797</wp:posOffset>
            </wp:positionH>
            <wp:positionV relativeFrom="paragraph">
              <wp:posOffset>-237744</wp:posOffset>
            </wp:positionV>
            <wp:extent cx="5979414" cy="7470172"/>
            <wp:effectExtent l="19050" t="0" r="2286" b="0"/>
            <wp:wrapNone/>
            <wp:docPr id="188"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79"/>
                    <a:srcRect/>
                    <a:stretch>
                      <a:fillRect/>
                    </a:stretch>
                  </pic:blipFill>
                  <pic:spPr bwMode="auto">
                    <a:xfrm>
                      <a:off x="0" y="0"/>
                      <a:ext cx="5979414" cy="7470172"/>
                    </a:xfrm>
                    <a:prstGeom prst="rect">
                      <a:avLst/>
                    </a:prstGeom>
                    <a:noFill/>
                    <a:ln w="9525">
                      <a:noFill/>
                      <a:miter lim="800000"/>
                      <a:headEnd/>
                      <a:tailEnd/>
                    </a:ln>
                  </pic:spPr>
                </pic:pic>
              </a:graphicData>
            </a:graphic>
          </wp:anchor>
        </w:drawing>
      </w:r>
    </w:p>
    <w:p w:rsidR="008C1581" w:rsidRDefault="008C1581">
      <w:pPr>
        <w:ind w:firstLine="480"/>
        <w:sectPr w:rsidR="008C1581"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84704" behindDoc="0" locked="0" layoutInCell="1" allowOverlap="1">
            <wp:simplePos x="0" y="0"/>
            <wp:positionH relativeFrom="column">
              <wp:posOffset>-262890</wp:posOffset>
            </wp:positionH>
            <wp:positionV relativeFrom="paragraph">
              <wp:posOffset>-238125</wp:posOffset>
            </wp:positionV>
            <wp:extent cx="5887720" cy="8942705"/>
            <wp:effectExtent l="19050" t="0" r="0" b="0"/>
            <wp:wrapNone/>
            <wp:docPr id="189"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80"/>
                    <a:srcRect/>
                    <a:stretch>
                      <a:fillRect/>
                    </a:stretch>
                  </pic:blipFill>
                  <pic:spPr bwMode="auto">
                    <a:xfrm>
                      <a:off x="0" y="0"/>
                      <a:ext cx="5887720" cy="8942705"/>
                    </a:xfrm>
                    <a:prstGeom prst="rect">
                      <a:avLst/>
                    </a:prstGeom>
                    <a:noFill/>
                    <a:ln w="9525">
                      <a:noFill/>
                      <a:miter lim="800000"/>
                      <a:headEnd/>
                      <a:tailEnd/>
                    </a:ln>
                  </pic:spPr>
                </pic:pic>
              </a:graphicData>
            </a:graphic>
          </wp:anchor>
        </w:drawing>
      </w:r>
    </w:p>
    <w:p w:rsidR="008C1581" w:rsidRDefault="008C1581">
      <w:pPr>
        <w:ind w:firstLine="480"/>
        <w:sectPr w:rsidR="008C1581"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85728" behindDoc="0" locked="0" layoutInCell="1" allowOverlap="1">
            <wp:simplePos x="0" y="0"/>
            <wp:positionH relativeFrom="column">
              <wp:posOffset>-280798</wp:posOffset>
            </wp:positionH>
            <wp:positionV relativeFrom="paragraph">
              <wp:posOffset>-237745</wp:posOffset>
            </wp:positionV>
            <wp:extent cx="5977509" cy="8750349"/>
            <wp:effectExtent l="19050" t="0" r="4191" b="0"/>
            <wp:wrapNone/>
            <wp:docPr id="190"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81"/>
                    <a:srcRect/>
                    <a:stretch>
                      <a:fillRect/>
                    </a:stretch>
                  </pic:blipFill>
                  <pic:spPr bwMode="auto">
                    <a:xfrm>
                      <a:off x="0" y="0"/>
                      <a:ext cx="5977509" cy="8750349"/>
                    </a:xfrm>
                    <a:prstGeom prst="rect">
                      <a:avLst/>
                    </a:prstGeom>
                    <a:noFill/>
                    <a:ln w="9525">
                      <a:noFill/>
                      <a:miter lim="800000"/>
                      <a:headEnd/>
                      <a:tailEnd/>
                    </a:ln>
                  </pic:spPr>
                </pic:pic>
              </a:graphicData>
            </a:graphic>
          </wp:anchor>
        </w:drawing>
      </w:r>
    </w:p>
    <w:p w:rsidR="008C1581" w:rsidRDefault="008C1581">
      <w:pPr>
        <w:ind w:firstLine="480"/>
        <w:sectPr w:rsidR="008C1581"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86752" behindDoc="0" locked="0" layoutInCell="1" allowOverlap="1">
            <wp:simplePos x="0" y="0"/>
            <wp:positionH relativeFrom="column">
              <wp:posOffset>-335915</wp:posOffset>
            </wp:positionH>
            <wp:positionV relativeFrom="paragraph">
              <wp:posOffset>-73660</wp:posOffset>
            </wp:positionV>
            <wp:extent cx="6125210" cy="8851265"/>
            <wp:effectExtent l="19050" t="0" r="8890" b="0"/>
            <wp:wrapNone/>
            <wp:docPr id="191"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82"/>
                    <a:srcRect/>
                    <a:stretch>
                      <a:fillRect/>
                    </a:stretch>
                  </pic:blipFill>
                  <pic:spPr bwMode="auto">
                    <a:xfrm>
                      <a:off x="0" y="0"/>
                      <a:ext cx="6125210" cy="8851265"/>
                    </a:xfrm>
                    <a:prstGeom prst="rect">
                      <a:avLst/>
                    </a:prstGeom>
                    <a:noFill/>
                    <a:ln w="9525">
                      <a:noFill/>
                      <a:miter lim="800000"/>
                      <a:headEnd/>
                      <a:tailEnd/>
                    </a:ln>
                  </pic:spPr>
                </pic:pic>
              </a:graphicData>
            </a:graphic>
          </wp:anchor>
        </w:drawing>
      </w:r>
    </w:p>
    <w:p w:rsidR="008C1581" w:rsidRDefault="008C1581">
      <w:pPr>
        <w:ind w:firstLine="480"/>
        <w:sectPr w:rsidR="008C1581"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87776" behindDoc="0" locked="0" layoutInCell="1" allowOverlap="1">
            <wp:simplePos x="0" y="0"/>
            <wp:positionH relativeFrom="column">
              <wp:posOffset>-463678</wp:posOffset>
            </wp:positionH>
            <wp:positionV relativeFrom="paragraph">
              <wp:posOffset>-237744</wp:posOffset>
            </wp:positionV>
            <wp:extent cx="5950399" cy="5065776"/>
            <wp:effectExtent l="19050" t="0" r="0" b="0"/>
            <wp:wrapNone/>
            <wp:docPr id="192"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83"/>
                    <a:srcRect/>
                    <a:stretch>
                      <a:fillRect/>
                    </a:stretch>
                  </pic:blipFill>
                  <pic:spPr bwMode="auto">
                    <a:xfrm>
                      <a:off x="0" y="0"/>
                      <a:ext cx="5950399" cy="5065776"/>
                    </a:xfrm>
                    <a:prstGeom prst="rect">
                      <a:avLst/>
                    </a:prstGeom>
                    <a:noFill/>
                    <a:ln w="9525">
                      <a:noFill/>
                      <a:miter lim="800000"/>
                      <a:headEnd/>
                      <a:tailEnd/>
                    </a:ln>
                  </pic:spPr>
                </pic:pic>
              </a:graphicData>
            </a:graphic>
          </wp:anchor>
        </w:drawing>
      </w:r>
    </w:p>
    <w:p w:rsidR="00E00318" w:rsidRDefault="00E00318">
      <w:pPr>
        <w:ind w:firstLine="480"/>
        <w:sectPr w:rsidR="00E00318"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88800" behindDoc="0" locked="0" layoutInCell="1" allowOverlap="1">
            <wp:simplePos x="0" y="0"/>
            <wp:positionH relativeFrom="column">
              <wp:posOffset>-171069</wp:posOffset>
            </wp:positionH>
            <wp:positionV relativeFrom="paragraph">
              <wp:posOffset>-217550</wp:posOffset>
            </wp:positionV>
            <wp:extent cx="5500751" cy="5047488"/>
            <wp:effectExtent l="19050" t="0" r="4699" b="0"/>
            <wp:wrapNone/>
            <wp:docPr id="193"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84"/>
                    <a:srcRect/>
                    <a:stretch>
                      <a:fillRect/>
                    </a:stretch>
                  </pic:blipFill>
                  <pic:spPr bwMode="auto">
                    <a:xfrm>
                      <a:off x="0" y="0"/>
                      <a:ext cx="5500751" cy="5047488"/>
                    </a:xfrm>
                    <a:prstGeom prst="rect">
                      <a:avLst/>
                    </a:prstGeom>
                    <a:noFill/>
                    <a:ln w="9525">
                      <a:noFill/>
                      <a:miter lim="800000"/>
                      <a:headEnd/>
                      <a:tailEnd/>
                    </a:ln>
                  </pic:spPr>
                </pic:pic>
              </a:graphicData>
            </a:graphic>
          </wp:anchor>
        </w:drawing>
      </w:r>
    </w:p>
    <w:p w:rsidR="00E00318" w:rsidRDefault="00E00318">
      <w:pPr>
        <w:ind w:firstLine="480"/>
        <w:sectPr w:rsidR="00E00318"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89824" behindDoc="0" locked="0" layoutInCell="1" allowOverlap="1">
            <wp:simplePos x="0" y="0"/>
            <wp:positionH relativeFrom="column">
              <wp:posOffset>-463677</wp:posOffset>
            </wp:positionH>
            <wp:positionV relativeFrom="paragraph">
              <wp:posOffset>-329185</wp:posOffset>
            </wp:positionV>
            <wp:extent cx="6107430" cy="9173035"/>
            <wp:effectExtent l="19050" t="0" r="7620" b="0"/>
            <wp:wrapNone/>
            <wp:docPr id="194"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85"/>
                    <a:srcRect/>
                    <a:stretch>
                      <a:fillRect/>
                    </a:stretch>
                  </pic:blipFill>
                  <pic:spPr bwMode="auto">
                    <a:xfrm>
                      <a:off x="0" y="0"/>
                      <a:ext cx="6108307" cy="9174353"/>
                    </a:xfrm>
                    <a:prstGeom prst="rect">
                      <a:avLst/>
                    </a:prstGeom>
                    <a:noFill/>
                    <a:ln w="9525">
                      <a:noFill/>
                      <a:miter lim="800000"/>
                      <a:headEnd/>
                      <a:tailEnd/>
                    </a:ln>
                  </pic:spPr>
                </pic:pic>
              </a:graphicData>
            </a:graphic>
          </wp:anchor>
        </w:drawing>
      </w:r>
    </w:p>
    <w:p w:rsidR="00E00318" w:rsidRDefault="00E00318">
      <w:pPr>
        <w:ind w:firstLine="480"/>
        <w:sectPr w:rsidR="00E00318"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90848" behindDoc="0" locked="0" layoutInCell="1" allowOverlap="1">
            <wp:simplePos x="0" y="0"/>
            <wp:positionH relativeFrom="column">
              <wp:posOffset>-153035</wp:posOffset>
            </wp:positionH>
            <wp:positionV relativeFrom="paragraph">
              <wp:posOffset>-603885</wp:posOffset>
            </wp:positionV>
            <wp:extent cx="5814695" cy="9381490"/>
            <wp:effectExtent l="19050" t="0" r="0" b="0"/>
            <wp:wrapNone/>
            <wp:docPr id="195"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86"/>
                    <a:srcRect/>
                    <a:stretch>
                      <a:fillRect/>
                    </a:stretch>
                  </pic:blipFill>
                  <pic:spPr bwMode="auto">
                    <a:xfrm>
                      <a:off x="0" y="0"/>
                      <a:ext cx="5814695" cy="9381490"/>
                    </a:xfrm>
                    <a:prstGeom prst="rect">
                      <a:avLst/>
                    </a:prstGeom>
                    <a:noFill/>
                    <a:ln w="9525">
                      <a:noFill/>
                      <a:miter lim="800000"/>
                      <a:headEnd/>
                      <a:tailEnd/>
                    </a:ln>
                  </pic:spPr>
                </pic:pic>
              </a:graphicData>
            </a:graphic>
          </wp:anchor>
        </w:drawing>
      </w:r>
    </w:p>
    <w:p w:rsidR="00E00318" w:rsidRDefault="00E00318">
      <w:pPr>
        <w:ind w:firstLine="480"/>
        <w:sectPr w:rsidR="00E00318"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91872" behindDoc="0" locked="0" layoutInCell="1" allowOverlap="1">
            <wp:simplePos x="0" y="0"/>
            <wp:positionH relativeFrom="column">
              <wp:posOffset>-463677</wp:posOffset>
            </wp:positionH>
            <wp:positionV relativeFrom="paragraph">
              <wp:posOffset>-475489</wp:posOffset>
            </wp:positionV>
            <wp:extent cx="6099810" cy="9162285"/>
            <wp:effectExtent l="19050" t="0" r="0" b="0"/>
            <wp:wrapNone/>
            <wp:docPr id="196"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87"/>
                    <a:srcRect/>
                    <a:stretch>
                      <a:fillRect/>
                    </a:stretch>
                  </pic:blipFill>
                  <pic:spPr bwMode="auto">
                    <a:xfrm>
                      <a:off x="0" y="0"/>
                      <a:ext cx="6099810" cy="9162285"/>
                    </a:xfrm>
                    <a:prstGeom prst="rect">
                      <a:avLst/>
                    </a:prstGeom>
                    <a:noFill/>
                    <a:ln w="9525">
                      <a:noFill/>
                      <a:miter lim="800000"/>
                      <a:headEnd/>
                      <a:tailEnd/>
                    </a:ln>
                  </pic:spPr>
                </pic:pic>
              </a:graphicData>
            </a:graphic>
          </wp:anchor>
        </w:drawing>
      </w:r>
    </w:p>
    <w:p w:rsidR="004428CD" w:rsidRDefault="004428CD">
      <w:pPr>
        <w:ind w:firstLine="480"/>
        <w:sectPr w:rsidR="004428CD"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92896" behindDoc="0" locked="0" layoutInCell="1" allowOverlap="1">
            <wp:simplePos x="0" y="0"/>
            <wp:positionH relativeFrom="column">
              <wp:posOffset>-208280</wp:posOffset>
            </wp:positionH>
            <wp:positionV relativeFrom="paragraph">
              <wp:posOffset>-146685</wp:posOffset>
            </wp:positionV>
            <wp:extent cx="5977255" cy="2120900"/>
            <wp:effectExtent l="19050" t="0" r="4445" b="0"/>
            <wp:wrapNone/>
            <wp:docPr id="197"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88"/>
                    <a:srcRect/>
                    <a:stretch>
                      <a:fillRect/>
                    </a:stretch>
                  </pic:blipFill>
                  <pic:spPr bwMode="auto">
                    <a:xfrm>
                      <a:off x="0" y="0"/>
                      <a:ext cx="5977255" cy="2120900"/>
                    </a:xfrm>
                    <a:prstGeom prst="rect">
                      <a:avLst/>
                    </a:prstGeom>
                    <a:noFill/>
                    <a:ln w="9525">
                      <a:noFill/>
                      <a:miter lim="800000"/>
                      <a:headEnd/>
                      <a:tailEnd/>
                    </a:ln>
                  </pic:spPr>
                </pic:pic>
              </a:graphicData>
            </a:graphic>
          </wp:anchor>
        </w:drawing>
      </w:r>
    </w:p>
    <w:p w:rsidR="004428CD" w:rsidRDefault="004428CD">
      <w:pPr>
        <w:ind w:firstLine="480"/>
        <w:sectPr w:rsidR="004428CD"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93920" behindDoc="0" locked="0" layoutInCell="1" allowOverlap="1">
            <wp:simplePos x="0" y="0"/>
            <wp:positionH relativeFrom="column">
              <wp:posOffset>-24765</wp:posOffset>
            </wp:positionH>
            <wp:positionV relativeFrom="paragraph">
              <wp:posOffset>-146685</wp:posOffset>
            </wp:positionV>
            <wp:extent cx="5589905" cy="4389120"/>
            <wp:effectExtent l="19050" t="0" r="0" b="0"/>
            <wp:wrapNone/>
            <wp:docPr id="198"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89"/>
                    <a:srcRect/>
                    <a:stretch>
                      <a:fillRect/>
                    </a:stretch>
                  </pic:blipFill>
                  <pic:spPr bwMode="auto">
                    <a:xfrm>
                      <a:off x="0" y="0"/>
                      <a:ext cx="5589905" cy="4389120"/>
                    </a:xfrm>
                    <a:prstGeom prst="rect">
                      <a:avLst/>
                    </a:prstGeom>
                    <a:noFill/>
                    <a:ln w="9525">
                      <a:noFill/>
                      <a:miter lim="800000"/>
                      <a:headEnd/>
                      <a:tailEnd/>
                    </a:ln>
                  </pic:spPr>
                </pic:pic>
              </a:graphicData>
            </a:graphic>
          </wp:anchor>
        </w:drawing>
      </w:r>
    </w:p>
    <w:p w:rsidR="004428CD" w:rsidRDefault="004428CD">
      <w:pPr>
        <w:ind w:firstLine="480"/>
        <w:sectPr w:rsidR="004428CD"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94944" behindDoc="0" locked="0" layoutInCell="1" allowOverlap="1">
            <wp:simplePos x="0" y="0"/>
            <wp:positionH relativeFrom="column">
              <wp:posOffset>-354330</wp:posOffset>
            </wp:positionH>
            <wp:positionV relativeFrom="paragraph">
              <wp:posOffset>-329565</wp:posOffset>
            </wp:positionV>
            <wp:extent cx="6029325" cy="9454515"/>
            <wp:effectExtent l="19050" t="0" r="9525" b="0"/>
            <wp:wrapNone/>
            <wp:docPr id="199"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90"/>
                    <a:srcRect/>
                    <a:stretch>
                      <a:fillRect/>
                    </a:stretch>
                  </pic:blipFill>
                  <pic:spPr bwMode="auto">
                    <a:xfrm>
                      <a:off x="0" y="0"/>
                      <a:ext cx="6029325" cy="9454515"/>
                    </a:xfrm>
                    <a:prstGeom prst="rect">
                      <a:avLst/>
                    </a:prstGeom>
                    <a:noFill/>
                    <a:ln w="9525">
                      <a:noFill/>
                      <a:miter lim="800000"/>
                      <a:headEnd/>
                      <a:tailEnd/>
                    </a:ln>
                  </pic:spPr>
                </pic:pic>
              </a:graphicData>
            </a:graphic>
          </wp:anchor>
        </w:drawing>
      </w:r>
    </w:p>
    <w:p w:rsidR="004428CD" w:rsidRDefault="004428CD">
      <w:pPr>
        <w:ind w:firstLine="480"/>
        <w:sectPr w:rsidR="004428CD"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95968" behindDoc="0" locked="0" layoutInCell="1" allowOverlap="1">
            <wp:simplePos x="0" y="0"/>
            <wp:positionH relativeFrom="column">
              <wp:posOffset>-207646</wp:posOffset>
            </wp:positionH>
            <wp:positionV relativeFrom="paragraph">
              <wp:posOffset>-146304</wp:posOffset>
            </wp:positionV>
            <wp:extent cx="5699171" cy="8796528"/>
            <wp:effectExtent l="19050" t="0" r="0" b="0"/>
            <wp:wrapNone/>
            <wp:docPr id="200"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91"/>
                    <a:srcRect/>
                    <a:stretch>
                      <a:fillRect/>
                    </a:stretch>
                  </pic:blipFill>
                  <pic:spPr bwMode="auto">
                    <a:xfrm>
                      <a:off x="0" y="0"/>
                      <a:ext cx="5699171" cy="8796528"/>
                    </a:xfrm>
                    <a:prstGeom prst="rect">
                      <a:avLst/>
                    </a:prstGeom>
                    <a:noFill/>
                    <a:ln w="9525">
                      <a:noFill/>
                      <a:miter lim="800000"/>
                      <a:headEnd/>
                      <a:tailEnd/>
                    </a:ln>
                  </pic:spPr>
                </pic:pic>
              </a:graphicData>
            </a:graphic>
          </wp:anchor>
        </w:drawing>
      </w:r>
    </w:p>
    <w:p w:rsidR="004428CD" w:rsidRDefault="004428CD">
      <w:pPr>
        <w:ind w:firstLine="480"/>
        <w:sectPr w:rsidR="004428CD"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96992" behindDoc="0" locked="0" layoutInCell="1" allowOverlap="1">
            <wp:simplePos x="0" y="0"/>
            <wp:positionH relativeFrom="column">
              <wp:posOffset>-445390</wp:posOffset>
            </wp:positionH>
            <wp:positionV relativeFrom="paragraph">
              <wp:posOffset>-329185</wp:posOffset>
            </wp:positionV>
            <wp:extent cx="6116193" cy="9122697"/>
            <wp:effectExtent l="19050" t="0" r="0" b="0"/>
            <wp:wrapNone/>
            <wp:docPr id="201"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92"/>
                    <a:srcRect/>
                    <a:stretch>
                      <a:fillRect/>
                    </a:stretch>
                  </pic:blipFill>
                  <pic:spPr bwMode="auto">
                    <a:xfrm>
                      <a:off x="0" y="0"/>
                      <a:ext cx="6116193" cy="9122697"/>
                    </a:xfrm>
                    <a:prstGeom prst="rect">
                      <a:avLst/>
                    </a:prstGeom>
                    <a:noFill/>
                    <a:ln w="9525">
                      <a:noFill/>
                      <a:miter lim="800000"/>
                      <a:headEnd/>
                      <a:tailEnd/>
                    </a:ln>
                  </pic:spPr>
                </pic:pic>
              </a:graphicData>
            </a:graphic>
          </wp:anchor>
        </w:drawing>
      </w:r>
    </w:p>
    <w:p w:rsidR="004428CD" w:rsidRDefault="004428CD">
      <w:pPr>
        <w:ind w:firstLine="480"/>
        <w:sectPr w:rsidR="004428CD"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98016" behindDoc="0" locked="0" layoutInCell="1" allowOverlap="1">
            <wp:simplePos x="0" y="0"/>
            <wp:positionH relativeFrom="column">
              <wp:posOffset>-408940</wp:posOffset>
            </wp:positionH>
            <wp:positionV relativeFrom="paragraph">
              <wp:posOffset>-329565</wp:posOffset>
            </wp:positionV>
            <wp:extent cx="5941695" cy="7772400"/>
            <wp:effectExtent l="19050" t="0" r="1905" b="0"/>
            <wp:wrapNone/>
            <wp:docPr id="202"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93"/>
                    <a:srcRect/>
                    <a:stretch>
                      <a:fillRect/>
                    </a:stretch>
                  </pic:blipFill>
                  <pic:spPr bwMode="auto">
                    <a:xfrm>
                      <a:off x="0" y="0"/>
                      <a:ext cx="5941695" cy="7772400"/>
                    </a:xfrm>
                    <a:prstGeom prst="rect">
                      <a:avLst/>
                    </a:prstGeom>
                    <a:noFill/>
                    <a:ln w="9525">
                      <a:noFill/>
                      <a:miter lim="800000"/>
                      <a:headEnd/>
                      <a:tailEnd/>
                    </a:ln>
                  </pic:spPr>
                </pic:pic>
              </a:graphicData>
            </a:graphic>
          </wp:anchor>
        </w:drawing>
      </w:r>
    </w:p>
    <w:p w:rsidR="004428CD" w:rsidRDefault="004428CD">
      <w:pPr>
        <w:ind w:firstLine="480"/>
        <w:sectPr w:rsidR="004428CD"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799040" behindDoc="0" locked="0" layoutInCell="1" allowOverlap="1">
            <wp:simplePos x="0" y="0"/>
            <wp:positionH relativeFrom="column">
              <wp:posOffset>-189865</wp:posOffset>
            </wp:positionH>
            <wp:positionV relativeFrom="paragraph">
              <wp:posOffset>-128270</wp:posOffset>
            </wp:positionV>
            <wp:extent cx="5540375" cy="2029460"/>
            <wp:effectExtent l="19050" t="0" r="3175" b="0"/>
            <wp:wrapNone/>
            <wp:docPr id="203"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94"/>
                    <a:srcRect/>
                    <a:stretch>
                      <a:fillRect/>
                    </a:stretch>
                  </pic:blipFill>
                  <pic:spPr bwMode="auto">
                    <a:xfrm>
                      <a:off x="0" y="0"/>
                      <a:ext cx="5540375" cy="2029460"/>
                    </a:xfrm>
                    <a:prstGeom prst="rect">
                      <a:avLst/>
                    </a:prstGeom>
                    <a:noFill/>
                    <a:ln w="9525">
                      <a:noFill/>
                      <a:miter lim="800000"/>
                      <a:headEnd/>
                      <a:tailEnd/>
                    </a:ln>
                  </pic:spPr>
                </pic:pic>
              </a:graphicData>
            </a:graphic>
          </wp:anchor>
        </w:drawing>
      </w:r>
    </w:p>
    <w:p w:rsidR="004428CD" w:rsidRDefault="004428CD">
      <w:pPr>
        <w:ind w:firstLine="480"/>
        <w:sectPr w:rsidR="004428CD"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800064" behindDoc="0" locked="0" layoutInCell="1" allowOverlap="1">
            <wp:simplePos x="0" y="0"/>
            <wp:positionH relativeFrom="column">
              <wp:posOffset>-317373</wp:posOffset>
            </wp:positionH>
            <wp:positionV relativeFrom="paragraph">
              <wp:posOffset>-329184</wp:posOffset>
            </wp:positionV>
            <wp:extent cx="5940298" cy="8906256"/>
            <wp:effectExtent l="19050" t="0" r="3302" b="0"/>
            <wp:wrapNone/>
            <wp:docPr id="204"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95"/>
                    <a:srcRect/>
                    <a:stretch>
                      <a:fillRect/>
                    </a:stretch>
                  </pic:blipFill>
                  <pic:spPr bwMode="auto">
                    <a:xfrm>
                      <a:off x="0" y="0"/>
                      <a:ext cx="5940298" cy="8906256"/>
                    </a:xfrm>
                    <a:prstGeom prst="rect">
                      <a:avLst/>
                    </a:prstGeom>
                    <a:noFill/>
                    <a:ln w="9525">
                      <a:noFill/>
                      <a:miter lim="800000"/>
                      <a:headEnd/>
                      <a:tailEnd/>
                    </a:ln>
                  </pic:spPr>
                </pic:pic>
              </a:graphicData>
            </a:graphic>
          </wp:anchor>
        </w:drawing>
      </w:r>
    </w:p>
    <w:p w:rsidR="004428CD" w:rsidRDefault="004428CD">
      <w:pPr>
        <w:ind w:firstLine="480"/>
        <w:sectPr w:rsidR="004428CD"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801088" behindDoc="0" locked="0" layoutInCell="1" allowOverlap="1">
            <wp:simplePos x="0" y="0"/>
            <wp:positionH relativeFrom="column">
              <wp:posOffset>-427355</wp:posOffset>
            </wp:positionH>
            <wp:positionV relativeFrom="paragraph">
              <wp:posOffset>-110490</wp:posOffset>
            </wp:positionV>
            <wp:extent cx="5995035" cy="9088755"/>
            <wp:effectExtent l="19050" t="0" r="5715" b="0"/>
            <wp:wrapNone/>
            <wp:docPr id="205"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96"/>
                    <a:srcRect/>
                    <a:stretch>
                      <a:fillRect/>
                    </a:stretch>
                  </pic:blipFill>
                  <pic:spPr bwMode="auto">
                    <a:xfrm>
                      <a:off x="0" y="0"/>
                      <a:ext cx="5995035" cy="9088755"/>
                    </a:xfrm>
                    <a:prstGeom prst="rect">
                      <a:avLst/>
                    </a:prstGeom>
                    <a:noFill/>
                    <a:ln w="9525">
                      <a:noFill/>
                      <a:miter lim="800000"/>
                      <a:headEnd/>
                      <a:tailEnd/>
                    </a:ln>
                  </pic:spPr>
                </pic:pic>
              </a:graphicData>
            </a:graphic>
          </wp:anchor>
        </w:drawing>
      </w:r>
    </w:p>
    <w:p w:rsidR="004428CD" w:rsidRDefault="004428CD">
      <w:pPr>
        <w:ind w:firstLine="480"/>
        <w:sectPr w:rsidR="004428CD"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802112" behindDoc="0" locked="0" layoutInCell="1" allowOverlap="1">
            <wp:simplePos x="0" y="0"/>
            <wp:positionH relativeFrom="column">
              <wp:posOffset>-317374</wp:posOffset>
            </wp:positionH>
            <wp:positionV relativeFrom="paragraph">
              <wp:posOffset>-329184</wp:posOffset>
            </wp:positionV>
            <wp:extent cx="5982175" cy="8467344"/>
            <wp:effectExtent l="19050" t="0" r="0" b="0"/>
            <wp:wrapNone/>
            <wp:docPr id="206"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97"/>
                    <a:srcRect/>
                    <a:stretch>
                      <a:fillRect/>
                    </a:stretch>
                  </pic:blipFill>
                  <pic:spPr bwMode="auto">
                    <a:xfrm>
                      <a:off x="0" y="0"/>
                      <a:ext cx="5982175" cy="8467344"/>
                    </a:xfrm>
                    <a:prstGeom prst="rect">
                      <a:avLst/>
                    </a:prstGeom>
                    <a:noFill/>
                    <a:ln w="9525">
                      <a:noFill/>
                      <a:miter lim="800000"/>
                      <a:headEnd/>
                      <a:tailEnd/>
                    </a:ln>
                  </pic:spPr>
                </pic:pic>
              </a:graphicData>
            </a:graphic>
          </wp:anchor>
        </w:drawing>
      </w:r>
    </w:p>
    <w:p w:rsidR="004428CD" w:rsidRDefault="004428CD">
      <w:pPr>
        <w:ind w:firstLine="480"/>
        <w:sectPr w:rsidR="004428CD"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803136" behindDoc="0" locked="0" layoutInCell="1" allowOverlap="1">
            <wp:simplePos x="0" y="0"/>
            <wp:positionH relativeFrom="column">
              <wp:posOffset>-317373</wp:posOffset>
            </wp:positionH>
            <wp:positionV relativeFrom="paragraph">
              <wp:posOffset>-219457</wp:posOffset>
            </wp:positionV>
            <wp:extent cx="6107430" cy="8538953"/>
            <wp:effectExtent l="19050" t="0" r="7620" b="0"/>
            <wp:wrapNone/>
            <wp:docPr id="207"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98"/>
                    <a:srcRect/>
                    <a:stretch>
                      <a:fillRect/>
                    </a:stretch>
                  </pic:blipFill>
                  <pic:spPr bwMode="auto">
                    <a:xfrm>
                      <a:off x="0" y="0"/>
                      <a:ext cx="6107430" cy="8538953"/>
                    </a:xfrm>
                    <a:prstGeom prst="rect">
                      <a:avLst/>
                    </a:prstGeom>
                    <a:noFill/>
                    <a:ln w="9525">
                      <a:noFill/>
                      <a:miter lim="800000"/>
                      <a:headEnd/>
                      <a:tailEnd/>
                    </a:ln>
                  </pic:spPr>
                </pic:pic>
              </a:graphicData>
            </a:graphic>
          </wp:anchor>
        </w:drawing>
      </w:r>
    </w:p>
    <w:p w:rsidR="00DD0727" w:rsidRDefault="00DD0727">
      <w:pPr>
        <w:ind w:firstLine="480"/>
        <w:sectPr w:rsidR="00DD0727"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804160" behindDoc="0" locked="0" layoutInCell="1" allowOverlap="1">
            <wp:simplePos x="0" y="0"/>
            <wp:positionH relativeFrom="column">
              <wp:posOffset>-317373</wp:posOffset>
            </wp:positionH>
            <wp:positionV relativeFrom="paragraph">
              <wp:posOffset>-219456</wp:posOffset>
            </wp:positionV>
            <wp:extent cx="5851398" cy="8998484"/>
            <wp:effectExtent l="19050" t="0" r="0" b="0"/>
            <wp:wrapNone/>
            <wp:docPr id="208"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99"/>
                    <a:srcRect/>
                    <a:stretch>
                      <a:fillRect/>
                    </a:stretch>
                  </pic:blipFill>
                  <pic:spPr bwMode="auto">
                    <a:xfrm>
                      <a:off x="0" y="0"/>
                      <a:ext cx="5851398" cy="8998484"/>
                    </a:xfrm>
                    <a:prstGeom prst="rect">
                      <a:avLst/>
                    </a:prstGeom>
                    <a:noFill/>
                    <a:ln w="9525">
                      <a:noFill/>
                      <a:miter lim="800000"/>
                      <a:headEnd/>
                      <a:tailEnd/>
                    </a:ln>
                  </pic:spPr>
                </pic:pic>
              </a:graphicData>
            </a:graphic>
          </wp:anchor>
        </w:drawing>
      </w:r>
    </w:p>
    <w:p w:rsidR="00DD0727" w:rsidRDefault="00DD0727">
      <w:pPr>
        <w:ind w:firstLine="480"/>
        <w:sectPr w:rsidR="00DD0727"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805184" behindDoc="0" locked="0" layoutInCell="1" allowOverlap="1">
            <wp:simplePos x="0" y="0"/>
            <wp:positionH relativeFrom="column">
              <wp:posOffset>-171450</wp:posOffset>
            </wp:positionH>
            <wp:positionV relativeFrom="paragraph">
              <wp:posOffset>-256540</wp:posOffset>
            </wp:positionV>
            <wp:extent cx="5704840" cy="9070340"/>
            <wp:effectExtent l="19050" t="0" r="0" b="0"/>
            <wp:wrapNone/>
            <wp:docPr id="209"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00"/>
                    <a:srcRect/>
                    <a:stretch>
                      <a:fillRect/>
                    </a:stretch>
                  </pic:blipFill>
                  <pic:spPr bwMode="auto">
                    <a:xfrm>
                      <a:off x="0" y="0"/>
                      <a:ext cx="5704840" cy="9070340"/>
                    </a:xfrm>
                    <a:prstGeom prst="rect">
                      <a:avLst/>
                    </a:prstGeom>
                    <a:noFill/>
                    <a:ln w="9525">
                      <a:noFill/>
                      <a:miter lim="800000"/>
                      <a:headEnd/>
                      <a:tailEnd/>
                    </a:ln>
                  </pic:spPr>
                </pic:pic>
              </a:graphicData>
            </a:graphic>
          </wp:anchor>
        </w:drawing>
      </w:r>
    </w:p>
    <w:p w:rsidR="00DD0727" w:rsidRDefault="00DD0727">
      <w:pPr>
        <w:ind w:firstLine="480"/>
        <w:sectPr w:rsidR="00DD0727"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806208" behindDoc="0" locked="0" layoutInCell="1" allowOverlap="1">
            <wp:simplePos x="0" y="0"/>
            <wp:positionH relativeFrom="column">
              <wp:posOffset>-372110</wp:posOffset>
            </wp:positionH>
            <wp:positionV relativeFrom="paragraph">
              <wp:posOffset>-256540</wp:posOffset>
            </wp:positionV>
            <wp:extent cx="5958205" cy="9454515"/>
            <wp:effectExtent l="19050" t="0" r="4445" b="0"/>
            <wp:wrapNone/>
            <wp:docPr id="210"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01"/>
                    <a:srcRect/>
                    <a:stretch>
                      <a:fillRect/>
                    </a:stretch>
                  </pic:blipFill>
                  <pic:spPr bwMode="auto">
                    <a:xfrm>
                      <a:off x="0" y="0"/>
                      <a:ext cx="5958205" cy="9454515"/>
                    </a:xfrm>
                    <a:prstGeom prst="rect">
                      <a:avLst/>
                    </a:prstGeom>
                    <a:noFill/>
                    <a:ln w="9525">
                      <a:noFill/>
                      <a:miter lim="800000"/>
                      <a:headEnd/>
                      <a:tailEnd/>
                    </a:ln>
                  </pic:spPr>
                </pic:pic>
              </a:graphicData>
            </a:graphic>
          </wp:anchor>
        </w:drawing>
      </w:r>
    </w:p>
    <w:p w:rsidR="00D94554" w:rsidRDefault="00D94554">
      <w:pPr>
        <w:ind w:firstLine="480"/>
        <w:sectPr w:rsidR="00D94554" w:rsidSect="00EE56C0">
          <w:pgSz w:w="11907" w:h="16840"/>
          <w:pgMar w:top="1440" w:right="1797" w:bottom="1440" w:left="1797" w:header="907" w:footer="907" w:gutter="0"/>
          <w:cols w:space="720"/>
          <w:docGrid w:linePitch="380"/>
        </w:sectPr>
      </w:pPr>
      <w:r>
        <w:rPr>
          <w:noProof/>
        </w:rPr>
        <w:lastRenderedPageBreak/>
        <w:drawing>
          <wp:anchor distT="0" distB="0" distL="114300" distR="114300" simplePos="0" relativeHeight="251807232" behindDoc="0" locked="0" layoutInCell="1" allowOverlap="1">
            <wp:simplePos x="0" y="0"/>
            <wp:positionH relativeFrom="column">
              <wp:posOffset>-372237</wp:posOffset>
            </wp:positionH>
            <wp:positionV relativeFrom="paragraph">
              <wp:posOffset>-237744</wp:posOffset>
            </wp:positionV>
            <wp:extent cx="5951601" cy="7571232"/>
            <wp:effectExtent l="19050" t="0" r="0" b="0"/>
            <wp:wrapNone/>
            <wp:docPr id="211"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02"/>
                    <a:srcRect/>
                    <a:stretch>
                      <a:fillRect/>
                    </a:stretch>
                  </pic:blipFill>
                  <pic:spPr bwMode="auto">
                    <a:xfrm>
                      <a:off x="0" y="0"/>
                      <a:ext cx="5951601" cy="7571232"/>
                    </a:xfrm>
                    <a:prstGeom prst="rect">
                      <a:avLst/>
                    </a:prstGeom>
                    <a:noFill/>
                    <a:ln w="9525">
                      <a:noFill/>
                      <a:miter lim="800000"/>
                      <a:headEnd/>
                      <a:tailEnd/>
                    </a:ln>
                  </pic:spPr>
                </pic:pic>
              </a:graphicData>
            </a:graphic>
          </wp:anchor>
        </w:drawing>
      </w:r>
    </w:p>
    <w:p w:rsidR="00D94554" w:rsidRPr="00D94554" w:rsidRDefault="00D94554" w:rsidP="00D94554">
      <w:pPr>
        <w:widowControl/>
        <w:adjustRightInd/>
        <w:snapToGrid/>
        <w:spacing w:line="240" w:lineRule="auto"/>
        <w:ind w:firstLineChars="0" w:firstLine="0"/>
        <w:jc w:val="center"/>
        <w:textAlignment w:val="auto"/>
        <w:rPr>
          <w:rFonts w:ascii="黑体" w:eastAsia="黑体" w:hAnsi="黑体" w:cs="Arial"/>
          <w:sz w:val="21"/>
        </w:rPr>
      </w:pPr>
      <w:r w:rsidRPr="00D94554">
        <w:rPr>
          <w:rFonts w:ascii="黑体" w:eastAsia="黑体" w:hAnsi="黑体" w:cs="Arial" w:hint="eastAsia"/>
          <w:sz w:val="21"/>
        </w:rPr>
        <w:lastRenderedPageBreak/>
        <w:t>附表</w:t>
      </w:r>
      <w:r w:rsidRPr="00D94554">
        <w:rPr>
          <w:rFonts w:eastAsia="Times New Roman" w:cs="Arial"/>
          <w:sz w:val="21"/>
        </w:rPr>
        <w:t>1</w:t>
      </w:r>
      <w:r w:rsidRPr="00D94554">
        <w:rPr>
          <w:rFonts w:eastAsiaTheme="minorEastAsia" w:cs="Arial" w:hint="eastAsia"/>
          <w:sz w:val="21"/>
        </w:rPr>
        <w:t xml:space="preserve"> </w:t>
      </w:r>
      <w:r w:rsidRPr="00D94554">
        <w:rPr>
          <w:rFonts w:ascii="黑体" w:eastAsia="黑体" w:hAnsi="黑体" w:cs="Arial" w:hint="eastAsia"/>
          <w:sz w:val="21"/>
        </w:rPr>
        <w:t xml:space="preserve"> 建设项目大气环境影响评价自查表</w:t>
      </w:r>
    </w:p>
    <w:p w:rsidR="00D94554" w:rsidRPr="00D94554" w:rsidRDefault="00D94554" w:rsidP="00D94554">
      <w:pPr>
        <w:widowControl/>
        <w:adjustRightInd/>
        <w:snapToGrid/>
        <w:spacing w:line="16" w:lineRule="exact"/>
        <w:ind w:firstLineChars="0" w:firstLine="0"/>
        <w:jc w:val="left"/>
        <w:textAlignment w:val="auto"/>
        <w:rPr>
          <w:rFonts w:eastAsia="Times New Roman" w:cs="Arial"/>
          <w:b/>
          <w:sz w:val="20"/>
        </w:rPr>
      </w:pPr>
    </w:p>
    <w:tbl>
      <w:tblPr>
        <w:tblW w:w="9520" w:type="dxa"/>
        <w:jc w:val="center"/>
        <w:tblInd w:w="10"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0" w:type="dxa"/>
          <w:right w:w="0" w:type="dxa"/>
        </w:tblCellMar>
        <w:tblLook w:val="04A0"/>
      </w:tblPr>
      <w:tblGrid>
        <w:gridCol w:w="1033"/>
        <w:gridCol w:w="1842"/>
        <w:gridCol w:w="851"/>
        <w:gridCol w:w="567"/>
        <w:gridCol w:w="67"/>
        <w:gridCol w:w="520"/>
        <w:gridCol w:w="405"/>
        <w:gridCol w:w="425"/>
        <w:gridCol w:w="426"/>
        <w:gridCol w:w="1701"/>
        <w:gridCol w:w="423"/>
        <w:gridCol w:w="500"/>
        <w:gridCol w:w="760"/>
      </w:tblGrid>
      <w:tr w:rsidR="00D94554" w:rsidRPr="00D94554" w:rsidTr="00C66914">
        <w:trPr>
          <w:trHeight w:val="369"/>
          <w:jc w:val="center"/>
        </w:trPr>
        <w:tc>
          <w:tcPr>
            <w:tcW w:w="2875" w:type="dxa"/>
            <w:gridSpan w:val="2"/>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b/>
                <w:sz w:val="18"/>
              </w:rPr>
            </w:pPr>
            <w:r w:rsidRPr="00D94554">
              <w:rPr>
                <w:rFonts w:ascii="宋体" w:hAnsi="宋体"/>
                <w:b/>
                <w:sz w:val="18"/>
              </w:rPr>
              <w:t>工作内容</w:t>
            </w:r>
          </w:p>
        </w:tc>
        <w:tc>
          <w:tcPr>
            <w:tcW w:w="6645" w:type="dxa"/>
            <w:gridSpan w:val="11"/>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b/>
                <w:sz w:val="22"/>
              </w:rPr>
            </w:pPr>
            <w:r w:rsidRPr="00D94554">
              <w:rPr>
                <w:rFonts w:ascii="宋体" w:hAnsi="宋体"/>
                <w:b/>
                <w:sz w:val="18"/>
              </w:rPr>
              <w:t>自查项目</w:t>
            </w:r>
          </w:p>
        </w:tc>
      </w:tr>
      <w:tr w:rsidR="00D94554" w:rsidRPr="00D94554" w:rsidTr="00C66914">
        <w:trPr>
          <w:trHeight w:val="369"/>
          <w:jc w:val="center"/>
        </w:trPr>
        <w:tc>
          <w:tcPr>
            <w:tcW w:w="1033" w:type="dxa"/>
            <w:vMerge w:val="restart"/>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评价等级与</w:t>
            </w:r>
          </w:p>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范围</w:t>
            </w:r>
          </w:p>
        </w:tc>
        <w:tc>
          <w:tcPr>
            <w:tcW w:w="1842" w:type="dxa"/>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评价等级</w:t>
            </w:r>
          </w:p>
        </w:tc>
        <w:tc>
          <w:tcPr>
            <w:tcW w:w="2835" w:type="dxa"/>
            <w:gridSpan w:val="6"/>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一级</w:t>
            </w:r>
            <w:r w:rsidRPr="00D94554">
              <w:rPr>
                <w:rFonts w:ascii="宋体" w:hAnsi="宋体"/>
                <w:w w:val="99"/>
                <w:sz w:val="18"/>
              </w:rPr>
              <w:sym w:font="Wingdings" w:char="F0FE"/>
            </w:r>
          </w:p>
        </w:tc>
        <w:tc>
          <w:tcPr>
            <w:tcW w:w="2127" w:type="dxa"/>
            <w:gridSpan w:val="2"/>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二级□</w:t>
            </w:r>
          </w:p>
        </w:tc>
        <w:tc>
          <w:tcPr>
            <w:tcW w:w="1683" w:type="dxa"/>
            <w:gridSpan w:val="3"/>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三级□</w:t>
            </w:r>
          </w:p>
        </w:tc>
      </w:tr>
      <w:tr w:rsidR="00D94554" w:rsidRPr="00D94554" w:rsidTr="00C66914">
        <w:trPr>
          <w:trHeight w:val="369"/>
          <w:jc w:val="center"/>
        </w:trPr>
        <w:tc>
          <w:tcPr>
            <w:tcW w:w="1033" w:type="dxa"/>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p>
        </w:tc>
        <w:tc>
          <w:tcPr>
            <w:tcW w:w="1842" w:type="dxa"/>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评价范围</w:t>
            </w:r>
          </w:p>
        </w:tc>
        <w:tc>
          <w:tcPr>
            <w:tcW w:w="2835" w:type="dxa"/>
            <w:gridSpan w:val="6"/>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边长=50km□</w:t>
            </w:r>
          </w:p>
        </w:tc>
        <w:tc>
          <w:tcPr>
            <w:tcW w:w="2127" w:type="dxa"/>
            <w:gridSpan w:val="2"/>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边长5～50km</w:t>
            </w:r>
            <w:r w:rsidRPr="00D94554">
              <w:rPr>
                <w:rFonts w:ascii="宋体" w:hAnsi="宋体"/>
                <w:w w:val="99"/>
                <w:sz w:val="18"/>
              </w:rPr>
              <w:sym w:font="Wingdings" w:char="F0FE"/>
            </w:r>
          </w:p>
        </w:tc>
        <w:tc>
          <w:tcPr>
            <w:tcW w:w="1683" w:type="dxa"/>
            <w:gridSpan w:val="3"/>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边长=5km□</w:t>
            </w:r>
          </w:p>
        </w:tc>
      </w:tr>
      <w:tr w:rsidR="00D94554" w:rsidRPr="00D94554" w:rsidTr="00C66914">
        <w:trPr>
          <w:trHeight w:val="369"/>
          <w:jc w:val="center"/>
        </w:trPr>
        <w:tc>
          <w:tcPr>
            <w:tcW w:w="1033" w:type="dxa"/>
            <w:vMerge w:val="restart"/>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评价因子</w:t>
            </w:r>
          </w:p>
        </w:tc>
        <w:tc>
          <w:tcPr>
            <w:tcW w:w="1842" w:type="dxa"/>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SO</w:t>
            </w:r>
            <w:r w:rsidRPr="00D94554">
              <w:rPr>
                <w:rFonts w:ascii="宋体" w:hAnsi="宋体"/>
                <w:w w:val="99"/>
                <w:sz w:val="18"/>
                <w:vertAlign w:val="subscript"/>
              </w:rPr>
              <w:t>2</w:t>
            </w:r>
            <w:r w:rsidRPr="00D94554">
              <w:rPr>
                <w:rFonts w:ascii="宋体" w:hAnsi="宋体"/>
                <w:w w:val="99"/>
                <w:sz w:val="18"/>
              </w:rPr>
              <w:t>+NO</w:t>
            </w:r>
            <w:r w:rsidRPr="00D94554">
              <w:rPr>
                <w:rFonts w:ascii="宋体" w:hAnsi="宋体"/>
                <w:w w:val="99"/>
                <w:sz w:val="18"/>
                <w:vertAlign w:val="subscript"/>
              </w:rPr>
              <w:t>x</w:t>
            </w:r>
            <w:r w:rsidRPr="00D94554">
              <w:rPr>
                <w:rFonts w:ascii="宋体" w:hAnsi="宋体"/>
                <w:w w:val="99"/>
                <w:sz w:val="18"/>
              </w:rPr>
              <w:t>排放量</w:t>
            </w:r>
          </w:p>
        </w:tc>
        <w:tc>
          <w:tcPr>
            <w:tcW w:w="2835" w:type="dxa"/>
            <w:gridSpan w:val="6"/>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2000t/a□</w:t>
            </w:r>
          </w:p>
        </w:tc>
        <w:tc>
          <w:tcPr>
            <w:tcW w:w="2127" w:type="dxa"/>
            <w:gridSpan w:val="2"/>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500～2000t/a□</w:t>
            </w:r>
          </w:p>
        </w:tc>
        <w:tc>
          <w:tcPr>
            <w:tcW w:w="1683" w:type="dxa"/>
            <w:gridSpan w:val="3"/>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＜500t/a</w:t>
            </w:r>
            <w:r w:rsidRPr="00D94554">
              <w:rPr>
                <w:rFonts w:ascii="宋体" w:hAnsi="宋体"/>
                <w:w w:val="99"/>
                <w:sz w:val="18"/>
              </w:rPr>
              <w:sym w:font="Wingdings" w:char="F0FE"/>
            </w:r>
          </w:p>
        </w:tc>
      </w:tr>
      <w:tr w:rsidR="00D94554" w:rsidRPr="00D94554" w:rsidTr="00C66914">
        <w:trPr>
          <w:trHeight w:val="369"/>
          <w:jc w:val="center"/>
        </w:trPr>
        <w:tc>
          <w:tcPr>
            <w:tcW w:w="1033" w:type="dxa"/>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p>
        </w:tc>
        <w:tc>
          <w:tcPr>
            <w:tcW w:w="1842" w:type="dxa"/>
            <w:vAlign w:val="center"/>
            <w:hideMark/>
          </w:tcPr>
          <w:p w:rsidR="00D94554" w:rsidRPr="00D94554" w:rsidRDefault="00D94554" w:rsidP="00D94554">
            <w:pPr>
              <w:widowControl/>
              <w:adjustRightInd/>
              <w:snapToGrid/>
              <w:spacing w:line="240" w:lineRule="exact"/>
              <w:ind w:firstLineChars="0" w:firstLine="0"/>
              <w:jc w:val="center"/>
              <w:textAlignment w:val="auto"/>
              <w:rPr>
                <w:rFonts w:ascii="宋体" w:hAnsi="宋体"/>
                <w:w w:val="99"/>
                <w:sz w:val="18"/>
              </w:rPr>
            </w:pPr>
            <w:r w:rsidRPr="00D94554">
              <w:rPr>
                <w:rFonts w:ascii="宋体" w:hAnsi="宋体"/>
                <w:w w:val="99"/>
                <w:sz w:val="18"/>
              </w:rPr>
              <w:t>评价因子</w:t>
            </w:r>
          </w:p>
        </w:tc>
        <w:tc>
          <w:tcPr>
            <w:tcW w:w="3261" w:type="dxa"/>
            <w:gridSpan w:val="7"/>
            <w:vAlign w:val="center"/>
            <w:hideMark/>
          </w:tcPr>
          <w:p w:rsidR="00D94554" w:rsidRPr="00D94554" w:rsidRDefault="00D94554" w:rsidP="00D94554">
            <w:pPr>
              <w:widowControl/>
              <w:adjustRightInd/>
              <w:snapToGrid/>
              <w:spacing w:line="280" w:lineRule="exact"/>
              <w:ind w:firstLineChars="0" w:firstLine="0"/>
              <w:jc w:val="center"/>
              <w:textAlignment w:val="auto"/>
              <w:rPr>
                <w:rFonts w:ascii="宋体" w:hAnsi="宋体"/>
                <w:w w:val="99"/>
                <w:sz w:val="18"/>
              </w:rPr>
            </w:pPr>
            <w:r w:rsidRPr="00D94554">
              <w:rPr>
                <w:rFonts w:ascii="宋体" w:hAnsi="宋体"/>
                <w:w w:val="99"/>
                <w:sz w:val="18"/>
              </w:rPr>
              <w:t>基本污染物()</w:t>
            </w:r>
          </w:p>
          <w:p w:rsidR="00D94554" w:rsidRPr="00D94554" w:rsidRDefault="00D94554" w:rsidP="00D94554">
            <w:pPr>
              <w:widowControl/>
              <w:adjustRightInd/>
              <w:snapToGrid/>
              <w:spacing w:line="280" w:lineRule="exact"/>
              <w:ind w:firstLineChars="0" w:firstLine="532"/>
              <w:jc w:val="center"/>
              <w:textAlignment w:val="auto"/>
              <w:rPr>
                <w:rFonts w:ascii="宋体" w:hAnsi="宋体"/>
                <w:w w:val="99"/>
                <w:sz w:val="18"/>
              </w:rPr>
            </w:pPr>
            <w:r w:rsidRPr="00D94554">
              <w:rPr>
                <w:rFonts w:ascii="宋体" w:hAnsi="宋体"/>
                <w:w w:val="99"/>
                <w:sz w:val="18"/>
              </w:rPr>
              <w:t>其他污染物（</w:t>
            </w:r>
            <w:r w:rsidRPr="00D94554">
              <w:rPr>
                <w:rFonts w:hint="eastAsia"/>
                <w:w w:val="99"/>
                <w:sz w:val="18"/>
              </w:rPr>
              <w:t>非甲烷总烃、酚、二甲苯、甲苯、苯</w:t>
            </w:r>
            <w:r w:rsidRPr="00D94554">
              <w:rPr>
                <w:rFonts w:ascii="宋体" w:hAnsi="宋体"/>
                <w:w w:val="99"/>
                <w:sz w:val="18"/>
              </w:rPr>
              <w:t>）</w:t>
            </w:r>
          </w:p>
        </w:tc>
        <w:tc>
          <w:tcPr>
            <w:tcW w:w="3384" w:type="dxa"/>
            <w:gridSpan w:val="4"/>
            <w:vAlign w:val="center"/>
          </w:tcPr>
          <w:p w:rsidR="00D94554" w:rsidRPr="00D94554" w:rsidRDefault="00D94554" w:rsidP="00D94554">
            <w:pPr>
              <w:widowControl/>
              <w:adjustRightInd/>
              <w:snapToGrid/>
              <w:spacing w:line="240" w:lineRule="exact"/>
              <w:ind w:firstLineChars="0" w:firstLine="0"/>
              <w:jc w:val="center"/>
              <w:textAlignment w:val="auto"/>
              <w:rPr>
                <w:rFonts w:ascii="宋体" w:hAnsi="宋体"/>
                <w:w w:val="99"/>
                <w:sz w:val="18"/>
              </w:rPr>
            </w:pPr>
            <w:r w:rsidRPr="00D94554">
              <w:rPr>
                <w:rFonts w:ascii="宋体" w:hAnsi="宋体"/>
                <w:w w:val="99"/>
                <w:sz w:val="18"/>
              </w:rPr>
              <w:t>包括二次PM</w:t>
            </w:r>
            <w:r w:rsidRPr="00D94554">
              <w:rPr>
                <w:rFonts w:ascii="宋体" w:hAnsi="宋体"/>
                <w:w w:val="99"/>
                <w:sz w:val="18"/>
                <w:vertAlign w:val="subscript"/>
              </w:rPr>
              <w:t>2.5</w:t>
            </w:r>
            <w:r w:rsidRPr="00D94554">
              <w:rPr>
                <w:rFonts w:ascii="宋体" w:hAnsi="宋体"/>
                <w:w w:val="99"/>
                <w:sz w:val="18"/>
              </w:rPr>
              <w:t>□</w:t>
            </w:r>
          </w:p>
          <w:p w:rsidR="00D94554" w:rsidRPr="00D94554" w:rsidRDefault="00D94554" w:rsidP="00D94554">
            <w:pPr>
              <w:widowControl/>
              <w:adjustRightInd/>
              <w:snapToGrid/>
              <w:spacing w:line="240" w:lineRule="exact"/>
              <w:ind w:firstLineChars="0" w:firstLine="0"/>
              <w:jc w:val="center"/>
              <w:textAlignment w:val="auto"/>
              <w:rPr>
                <w:rFonts w:ascii="宋体" w:hAnsi="宋体"/>
                <w:w w:val="99"/>
                <w:sz w:val="18"/>
              </w:rPr>
            </w:pPr>
            <w:r w:rsidRPr="00D94554">
              <w:rPr>
                <w:rFonts w:ascii="宋体" w:hAnsi="宋体"/>
                <w:w w:val="99"/>
                <w:sz w:val="18"/>
              </w:rPr>
              <w:t>不包括二次PM</w:t>
            </w:r>
            <w:r w:rsidRPr="00D94554">
              <w:rPr>
                <w:rFonts w:ascii="宋体" w:hAnsi="宋体"/>
                <w:w w:val="99"/>
                <w:sz w:val="18"/>
                <w:vertAlign w:val="subscript"/>
              </w:rPr>
              <w:t>2.5</w:t>
            </w:r>
            <w:r w:rsidRPr="00D94554">
              <w:rPr>
                <w:rFonts w:ascii="宋体" w:hAnsi="宋体"/>
                <w:w w:val="99"/>
                <w:sz w:val="18"/>
              </w:rPr>
              <w:sym w:font="Wingdings" w:char="F0FE"/>
            </w:r>
          </w:p>
        </w:tc>
      </w:tr>
      <w:tr w:rsidR="00D94554" w:rsidRPr="00D94554" w:rsidTr="00C66914">
        <w:trPr>
          <w:trHeight w:val="369"/>
          <w:jc w:val="center"/>
        </w:trPr>
        <w:tc>
          <w:tcPr>
            <w:tcW w:w="1033" w:type="dxa"/>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评价标准</w:t>
            </w:r>
          </w:p>
        </w:tc>
        <w:tc>
          <w:tcPr>
            <w:tcW w:w="1842" w:type="dxa"/>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评价标准</w:t>
            </w:r>
          </w:p>
        </w:tc>
        <w:tc>
          <w:tcPr>
            <w:tcW w:w="2005" w:type="dxa"/>
            <w:gridSpan w:val="4"/>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国家标准</w:t>
            </w:r>
            <w:r w:rsidRPr="00D94554">
              <w:rPr>
                <w:rFonts w:ascii="宋体" w:hAnsi="宋体"/>
                <w:w w:val="99"/>
                <w:sz w:val="18"/>
              </w:rPr>
              <w:sym w:font="Wingdings" w:char="F0FE"/>
            </w:r>
          </w:p>
        </w:tc>
        <w:tc>
          <w:tcPr>
            <w:tcW w:w="1256" w:type="dxa"/>
            <w:gridSpan w:val="3"/>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地方标准□</w:t>
            </w:r>
          </w:p>
        </w:tc>
        <w:tc>
          <w:tcPr>
            <w:tcW w:w="2124" w:type="dxa"/>
            <w:gridSpan w:val="2"/>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附录D</w:t>
            </w:r>
            <w:r w:rsidRPr="00D94554">
              <w:rPr>
                <w:rFonts w:ascii="宋体" w:hAnsi="宋体"/>
                <w:w w:val="99"/>
                <w:sz w:val="18"/>
              </w:rPr>
              <w:sym w:font="Wingdings" w:char="F0FE"/>
            </w:r>
          </w:p>
        </w:tc>
        <w:tc>
          <w:tcPr>
            <w:tcW w:w="1260" w:type="dxa"/>
            <w:gridSpan w:val="2"/>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其他标准</w:t>
            </w:r>
            <w:r w:rsidRPr="00D94554">
              <w:rPr>
                <w:rFonts w:ascii="宋体" w:hAnsi="宋体"/>
                <w:w w:val="99"/>
                <w:sz w:val="18"/>
              </w:rPr>
              <w:sym w:font="Wingdings" w:char="F0FE"/>
            </w:r>
          </w:p>
        </w:tc>
      </w:tr>
      <w:tr w:rsidR="00D94554" w:rsidRPr="00D94554" w:rsidTr="00C66914">
        <w:trPr>
          <w:trHeight w:val="369"/>
          <w:jc w:val="center"/>
        </w:trPr>
        <w:tc>
          <w:tcPr>
            <w:tcW w:w="1033" w:type="dxa"/>
            <w:vMerge w:val="restart"/>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现状评价</w:t>
            </w:r>
          </w:p>
        </w:tc>
        <w:tc>
          <w:tcPr>
            <w:tcW w:w="1842" w:type="dxa"/>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环境功能区</w:t>
            </w:r>
          </w:p>
        </w:tc>
        <w:tc>
          <w:tcPr>
            <w:tcW w:w="2835" w:type="dxa"/>
            <w:gridSpan w:val="6"/>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一类区□</w:t>
            </w:r>
          </w:p>
        </w:tc>
        <w:tc>
          <w:tcPr>
            <w:tcW w:w="2127" w:type="dxa"/>
            <w:gridSpan w:val="2"/>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二类区</w:t>
            </w:r>
            <w:r w:rsidRPr="00D94554">
              <w:rPr>
                <w:rFonts w:ascii="宋体" w:hAnsi="宋体"/>
                <w:w w:val="99"/>
                <w:sz w:val="18"/>
              </w:rPr>
              <w:sym w:font="Wingdings" w:char="F0FE"/>
            </w:r>
          </w:p>
        </w:tc>
        <w:tc>
          <w:tcPr>
            <w:tcW w:w="1683" w:type="dxa"/>
            <w:gridSpan w:val="3"/>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一类区和二类区□</w:t>
            </w:r>
          </w:p>
        </w:tc>
      </w:tr>
      <w:tr w:rsidR="00D94554" w:rsidRPr="00D94554" w:rsidTr="00C66914">
        <w:trPr>
          <w:trHeight w:val="369"/>
          <w:jc w:val="center"/>
        </w:trPr>
        <w:tc>
          <w:tcPr>
            <w:tcW w:w="1033" w:type="dxa"/>
            <w:vMerge/>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p>
        </w:tc>
        <w:tc>
          <w:tcPr>
            <w:tcW w:w="1842" w:type="dxa"/>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评价基准年</w:t>
            </w:r>
          </w:p>
        </w:tc>
        <w:tc>
          <w:tcPr>
            <w:tcW w:w="6645" w:type="dxa"/>
            <w:gridSpan w:val="11"/>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（20</w:t>
            </w:r>
            <w:r w:rsidRPr="00D94554">
              <w:rPr>
                <w:rFonts w:ascii="宋体" w:hAnsi="宋体" w:hint="eastAsia"/>
                <w:w w:val="99"/>
                <w:sz w:val="18"/>
              </w:rPr>
              <w:t>20</w:t>
            </w:r>
            <w:r w:rsidRPr="00D94554">
              <w:rPr>
                <w:rFonts w:ascii="宋体" w:hAnsi="宋体"/>
                <w:w w:val="99"/>
                <w:sz w:val="18"/>
              </w:rPr>
              <w:t>）年</w:t>
            </w:r>
          </w:p>
        </w:tc>
      </w:tr>
      <w:tr w:rsidR="00D94554" w:rsidRPr="00D94554" w:rsidTr="00C66914">
        <w:trPr>
          <w:trHeight w:val="369"/>
          <w:jc w:val="center"/>
        </w:trPr>
        <w:tc>
          <w:tcPr>
            <w:tcW w:w="1033" w:type="dxa"/>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p>
        </w:tc>
        <w:tc>
          <w:tcPr>
            <w:tcW w:w="1842" w:type="dxa"/>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环境空气质量</w:t>
            </w:r>
          </w:p>
        </w:tc>
        <w:tc>
          <w:tcPr>
            <w:tcW w:w="2835" w:type="dxa"/>
            <w:gridSpan w:val="6"/>
            <w:vMerge w:val="restart"/>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长期例行监测数据□</w:t>
            </w:r>
          </w:p>
        </w:tc>
        <w:tc>
          <w:tcPr>
            <w:tcW w:w="2127" w:type="dxa"/>
            <w:gridSpan w:val="2"/>
            <w:vMerge w:val="restart"/>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主管部门发布的数据</w:t>
            </w:r>
            <w:r w:rsidRPr="00D94554">
              <w:rPr>
                <w:rFonts w:ascii="宋体" w:hAnsi="宋体"/>
                <w:w w:val="99"/>
                <w:sz w:val="18"/>
              </w:rPr>
              <w:sym w:font="Wingdings" w:char="F0FE"/>
            </w:r>
          </w:p>
        </w:tc>
        <w:tc>
          <w:tcPr>
            <w:tcW w:w="1683" w:type="dxa"/>
            <w:gridSpan w:val="3"/>
            <w:vMerge w:val="restart"/>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现状补充监测</w:t>
            </w:r>
            <w:r w:rsidRPr="00D94554">
              <w:rPr>
                <w:rFonts w:ascii="宋体" w:hAnsi="宋体"/>
                <w:w w:val="99"/>
                <w:sz w:val="18"/>
              </w:rPr>
              <w:sym w:font="Wingdings" w:char="F0FE"/>
            </w:r>
          </w:p>
        </w:tc>
      </w:tr>
      <w:tr w:rsidR="00D94554" w:rsidRPr="00D94554" w:rsidTr="00C66914">
        <w:trPr>
          <w:trHeight w:val="369"/>
          <w:jc w:val="center"/>
        </w:trPr>
        <w:tc>
          <w:tcPr>
            <w:tcW w:w="1033" w:type="dxa"/>
            <w:vMerge/>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p>
        </w:tc>
        <w:tc>
          <w:tcPr>
            <w:tcW w:w="1842" w:type="dxa"/>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现状调查数据来源</w:t>
            </w:r>
          </w:p>
        </w:tc>
        <w:tc>
          <w:tcPr>
            <w:tcW w:w="2835" w:type="dxa"/>
            <w:gridSpan w:val="6"/>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p>
        </w:tc>
        <w:tc>
          <w:tcPr>
            <w:tcW w:w="2127" w:type="dxa"/>
            <w:gridSpan w:val="2"/>
            <w:vMerge/>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p>
        </w:tc>
        <w:tc>
          <w:tcPr>
            <w:tcW w:w="1683" w:type="dxa"/>
            <w:gridSpan w:val="3"/>
            <w:vMerge/>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p>
        </w:tc>
      </w:tr>
      <w:tr w:rsidR="00D94554" w:rsidRPr="00D94554" w:rsidTr="00C66914">
        <w:trPr>
          <w:trHeight w:val="369"/>
          <w:jc w:val="center"/>
        </w:trPr>
        <w:tc>
          <w:tcPr>
            <w:tcW w:w="1033" w:type="dxa"/>
            <w:vMerge/>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p>
        </w:tc>
        <w:tc>
          <w:tcPr>
            <w:tcW w:w="1842" w:type="dxa"/>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现状评价</w:t>
            </w:r>
          </w:p>
        </w:tc>
        <w:tc>
          <w:tcPr>
            <w:tcW w:w="3261" w:type="dxa"/>
            <w:gridSpan w:val="7"/>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达标区□</w:t>
            </w:r>
          </w:p>
        </w:tc>
        <w:tc>
          <w:tcPr>
            <w:tcW w:w="3384" w:type="dxa"/>
            <w:gridSpan w:val="4"/>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不达标区</w:t>
            </w:r>
            <w:r w:rsidRPr="00D94554">
              <w:rPr>
                <w:rFonts w:ascii="宋体" w:hAnsi="宋体"/>
                <w:w w:val="99"/>
                <w:sz w:val="18"/>
              </w:rPr>
              <w:sym w:font="Wingdings" w:char="F0FE"/>
            </w:r>
          </w:p>
        </w:tc>
      </w:tr>
      <w:tr w:rsidR="00D94554" w:rsidRPr="00D94554" w:rsidTr="00C66914">
        <w:trPr>
          <w:trHeight w:val="369"/>
          <w:jc w:val="center"/>
        </w:trPr>
        <w:tc>
          <w:tcPr>
            <w:tcW w:w="1033" w:type="dxa"/>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污染源调查</w:t>
            </w:r>
          </w:p>
        </w:tc>
        <w:tc>
          <w:tcPr>
            <w:tcW w:w="1842" w:type="dxa"/>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调查内容</w:t>
            </w:r>
          </w:p>
        </w:tc>
        <w:tc>
          <w:tcPr>
            <w:tcW w:w="2005" w:type="dxa"/>
            <w:gridSpan w:val="4"/>
            <w:vAlign w:val="center"/>
            <w:hideMark/>
          </w:tcPr>
          <w:p w:rsidR="00D94554" w:rsidRPr="00D94554" w:rsidRDefault="00D94554" w:rsidP="00D94554">
            <w:pPr>
              <w:widowControl/>
              <w:adjustRightInd/>
              <w:snapToGrid/>
              <w:spacing w:line="320" w:lineRule="exact"/>
              <w:ind w:firstLineChars="0" w:firstLine="0"/>
              <w:jc w:val="center"/>
              <w:textAlignment w:val="auto"/>
              <w:rPr>
                <w:rFonts w:ascii="宋体" w:hAnsi="宋体"/>
                <w:w w:val="99"/>
                <w:sz w:val="18"/>
              </w:rPr>
            </w:pPr>
            <w:r w:rsidRPr="00D94554">
              <w:rPr>
                <w:rFonts w:ascii="宋体" w:hAnsi="宋体"/>
                <w:w w:val="99"/>
                <w:sz w:val="18"/>
              </w:rPr>
              <w:t xml:space="preserve">本项目正常排放源 </w:t>
            </w:r>
            <w:r w:rsidRPr="00D94554">
              <w:rPr>
                <w:rFonts w:ascii="宋体" w:hAnsi="宋体"/>
                <w:w w:val="99"/>
                <w:sz w:val="18"/>
              </w:rPr>
              <w:sym w:font="Wingdings" w:char="F0FE"/>
            </w:r>
          </w:p>
          <w:p w:rsidR="00D94554" w:rsidRPr="00D94554" w:rsidRDefault="00D94554" w:rsidP="00D94554">
            <w:pPr>
              <w:widowControl/>
              <w:adjustRightInd/>
              <w:snapToGrid/>
              <w:spacing w:line="320" w:lineRule="exact"/>
              <w:ind w:firstLineChars="0" w:firstLine="0"/>
              <w:jc w:val="center"/>
              <w:textAlignment w:val="auto"/>
              <w:rPr>
                <w:rFonts w:ascii="宋体" w:hAnsi="宋体"/>
                <w:w w:val="99"/>
                <w:sz w:val="18"/>
              </w:rPr>
            </w:pPr>
            <w:r w:rsidRPr="00D94554">
              <w:rPr>
                <w:rFonts w:ascii="宋体" w:hAnsi="宋体"/>
                <w:w w:val="99"/>
                <w:sz w:val="18"/>
              </w:rPr>
              <w:t>本项目非正常排放源</w:t>
            </w:r>
            <w:r w:rsidRPr="00D94554">
              <w:rPr>
                <w:rFonts w:ascii="宋体" w:hAnsi="宋体"/>
                <w:w w:val="99"/>
                <w:sz w:val="18"/>
              </w:rPr>
              <w:sym w:font="Wingdings" w:char="F0FE"/>
            </w:r>
          </w:p>
          <w:p w:rsidR="00D94554" w:rsidRPr="00D94554" w:rsidRDefault="00D94554" w:rsidP="00D94554">
            <w:pPr>
              <w:widowControl/>
              <w:adjustRightInd/>
              <w:snapToGrid/>
              <w:spacing w:line="320" w:lineRule="exact"/>
              <w:ind w:firstLineChars="0" w:firstLine="0"/>
              <w:jc w:val="center"/>
              <w:textAlignment w:val="auto"/>
              <w:rPr>
                <w:rFonts w:ascii="宋体" w:hAnsi="宋体"/>
                <w:w w:val="99"/>
                <w:sz w:val="18"/>
              </w:rPr>
            </w:pPr>
            <w:r w:rsidRPr="00D94554">
              <w:rPr>
                <w:rFonts w:ascii="宋体" w:hAnsi="宋体"/>
                <w:w w:val="99"/>
                <w:sz w:val="18"/>
              </w:rPr>
              <w:t>现有污染源</w:t>
            </w:r>
            <w:r w:rsidRPr="00D94554">
              <w:rPr>
                <w:rFonts w:ascii="宋体" w:hAnsi="宋体"/>
                <w:w w:val="99"/>
                <w:sz w:val="18"/>
              </w:rPr>
              <w:sym w:font="Wingdings" w:char="F0FE"/>
            </w:r>
          </w:p>
        </w:tc>
        <w:tc>
          <w:tcPr>
            <w:tcW w:w="1256" w:type="dxa"/>
            <w:gridSpan w:val="3"/>
            <w:vAlign w:val="center"/>
          </w:tcPr>
          <w:p w:rsidR="00D94554" w:rsidRPr="00D94554" w:rsidRDefault="00D94554" w:rsidP="00D94554">
            <w:pPr>
              <w:widowControl/>
              <w:adjustRightInd/>
              <w:snapToGrid/>
              <w:spacing w:line="220" w:lineRule="exact"/>
              <w:ind w:firstLineChars="0" w:firstLine="0"/>
              <w:jc w:val="center"/>
              <w:textAlignment w:val="auto"/>
              <w:rPr>
                <w:rFonts w:ascii="宋体" w:hAnsi="宋体"/>
                <w:w w:val="99"/>
                <w:sz w:val="18"/>
              </w:rPr>
            </w:pPr>
            <w:r w:rsidRPr="00D94554">
              <w:rPr>
                <w:rFonts w:ascii="宋体" w:hAnsi="宋体"/>
                <w:w w:val="99"/>
                <w:sz w:val="18"/>
              </w:rPr>
              <w:t>拟替代的污染源</w:t>
            </w:r>
            <w:r w:rsidRPr="00D94554">
              <w:rPr>
                <w:rFonts w:ascii="宋体" w:hAnsi="宋体"/>
                <w:w w:val="99"/>
                <w:sz w:val="18"/>
              </w:rPr>
              <w:sym w:font="Wingdings" w:char="F0FE"/>
            </w:r>
          </w:p>
        </w:tc>
        <w:tc>
          <w:tcPr>
            <w:tcW w:w="2124" w:type="dxa"/>
            <w:gridSpan w:val="2"/>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其他在建、拟建项目污染源</w:t>
            </w:r>
            <w:r w:rsidRPr="00D94554">
              <w:rPr>
                <w:rFonts w:ascii="宋体" w:hAnsi="宋体"/>
                <w:w w:val="99"/>
                <w:sz w:val="18"/>
              </w:rPr>
              <w:sym w:font="Wingdings" w:char="F0FE"/>
            </w:r>
          </w:p>
        </w:tc>
        <w:tc>
          <w:tcPr>
            <w:tcW w:w="1260" w:type="dxa"/>
            <w:gridSpan w:val="2"/>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区域污染源□</w:t>
            </w:r>
          </w:p>
        </w:tc>
      </w:tr>
      <w:tr w:rsidR="00D94554" w:rsidRPr="00D94554" w:rsidTr="00C66914">
        <w:trPr>
          <w:trHeight w:val="369"/>
          <w:jc w:val="center"/>
        </w:trPr>
        <w:tc>
          <w:tcPr>
            <w:tcW w:w="1033" w:type="dxa"/>
            <w:vMerge w:val="restart"/>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大气环境影</w:t>
            </w:r>
          </w:p>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响预测与评价</w:t>
            </w:r>
          </w:p>
        </w:tc>
        <w:tc>
          <w:tcPr>
            <w:tcW w:w="1842" w:type="dxa"/>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预测模型</w:t>
            </w:r>
          </w:p>
        </w:tc>
        <w:tc>
          <w:tcPr>
            <w:tcW w:w="851" w:type="dxa"/>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AERMOD</w:t>
            </w:r>
          </w:p>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sym w:font="Wingdings" w:char="F0FE"/>
            </w:r>
          </w:p>
        </w:tc>
        <w:tc>
          <w:tcPr>
            <w:tcW w:w="567" w:type="dxa"/>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ADMS</w:t>
            </w:r>
          </w:p>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w:t>
            </w:r>
          </w:p>
        </w:tc>
        <w:tc>
          <w:tcPr>
            <w:tcW w:w="992" w:type="dxa"/>
            <w:gridSpan w:val="3"/>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AUSTAL2000</w:t>
            </w:r>
          </w:p>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w:t>
            </w:r>
          </w:p>
        </w:tc>
        <w:tc>
          <w:tcPr>
            <w:tcW w:w="851" w:type="dxa"/>
            <w:gridSpan w:val="2"/>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EDMS/AEDT</w:t>
            </w:r>
          </w:p>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w:t>
            </w:r>
          </w:p>
        </w:tc>
        <w:tc>
          <w:tcPr>
            <w:tcW w:w="1701" w:type="dxa"/>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CALPUFF</w:t>
            </w:r>
          </w:p>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w:t>
            </w:r>
          </w:p>
        </w:tc>
        <w:tc>
          <w:tcPr>
            <w:tcW w:w="923" w:type="dxa"/>
            <w:gridSpan w:val="2"/>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网格模型</w:t>
            </w:r>
          </w:p>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w:t>
            </w:r>
          </w:p>
        </w:tc>
        <w:tc>
          <w:tcPr>
            <w:tcW w:w="760" w:type="dxa"/>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其他</w:t>
            </w:r>
          </w:p>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w:t>
            </w:r>
          </w:p>
        </w:tc>
      </w:tr>
      <w:tr w:rsidR="00D94554" w:rsidRPr="00D94554" w:rsidTr="00C66914">
        <w:trPr>
          <w:trHeight w:val="369"/>
          <w:jc w:val="center"/>
        </w:trPr>
        <w:tc>
          <w:tcPr>
            <w:tcW w:w="1033" w:type="dxa"/>
            <w:vMerge/>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p>
        </w:tc>
        <w:tc>
          <w:tcPr>
            <w:tcW w:w="1842" w:type="dxa"/>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预测范围</w:t>
            </w:r>
          </w:p>
        </w:tc>
        <w:tc>
          <w:tcPr>
            <w:tcW w:w="1418" w:type="dxa"/>
            <w:gridSpan w:val="2"/>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边长≥50km□</w:t>
            </w:r>
          </w:p>
        </w:tc>
        <w:tc>
          <w:tcPr>
            <w:tcW w:w="3544" w:type="dxa"/>
            <w:gridSpan w:val="6"/>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边长5～50km</w:t>
            </w:r>
            <w:r w:rsidRPr="00D94554">
              <w:rPr>
                <w:rFonts w:ascii="宋体" w:hAnsi="宋体"/>
                <w:w w:val="99"/>
                <w:sz w:val="18"/>
              </w:rPr>
              <w:sym w:font="Wingdings" w:char="F0FE"/>
            </w:r>
          </w:p>
        </w:tc>
        <w:tc>
          <w:tcPr>
            <w:tcW w:w="1683" w:type="dxa"/>
            <w:gridSpan w:val="3"/>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边长5km□</w:t>
            </w:r>
          </w:p>
        </w:tc>
      </w:tr>
      <w:tr w:rsidR="00D94554" w:rsidRPr="00D94554" w:rsidTr="00C66914">
        <w:trPr>
          <w:trHeight w:val="369"/>
          <w:jc w:val="center"/>
        </w:trPr>
        <w:tc>
          <w:tcPr>
            <w:tcW w:w="1033" w:type="dxa"/>
            <w:vMerge/>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p>
        </w:tc>
        <w:tc>
          <w:tcPr>
            <w:tcW w:w="1842" w:type="dxa"/>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预测因子</w:t>
            </w:r>
          </w:p>
        </w:tc>
        <w:tc>
          <w:tcPr>
            <w:tcW w:w="3261" w:type="dxa"/>
            <w:gridSpan w:val="7"/>
            <w:vAlign w:val="center"/>
          </w:tcPr>
          <w:p w:rsidR="00D94554" w:rsidRPr="00D94554" w:rsidRDefault="00D94554" w:rsidP="00D94554">
            <w:pPr>
              <w:widowControl/>
              <w:adjustRightInd/>
              <w:snapToGrid/>
              <w:spacing w:line="240" w:lineRule="auto"/>
              <w:ind w:firstLineChars="0" w:firstLine="532"/>
              <w:jc w:val="center"/>
              <w:textAlignment w:val="auto"/>
              <w:rPr>
                <w:rFonts w:ascii="宋体" w:hAnsi="宋体"/>
                <w:w w:val="99"/>
                <w:sz w:val="18"/>
              </w:rPr>
            </w:pPr>
            <w:r w:rsidRPr="00D94554">
              <w:rPr>
                <w:rFonts w:ascii="宋体" w:hAnsi="宋体"/>
                <w:w w:val="99"/>
                <w:sz w:val="18"/>
              </w:rPr>
              <w:t>预测因子（</w:t>
            </w:r>
            <w:r w:rsidRPr="00D94554">
              <w:rPr>
                <w:rFonts w:hint="eastAsia"/>
                <w:w w:val="99"/>
                <w:sz w:val="18"/>
              </w:rPr>
              <w:t>非甲烷总烃、酚、二甲苯、甲苯、苯</w:t>
            </w:r>
            <w:r w:rsidRPr="00D94554">
              <w:rPr>
                <w:rFonts w:ascii="宋体" w:hAnsi="宋体"/>
                <w:w w:val="99"/>
                <w:sz w:val="18"/>
              </w:rPr>
              <w:t>）</w:t>
            </w:r>
          </w:p>
        </w:tc>
        <w:tc>
          <w:tcPr>
            <w:tcW w:w="3384" w:type="dxa"/>
            <w:gridSpan w:val="4"/>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包括二次 PM</w:t>
            </w:r>
            <w:r w:rsidRPr="00D94554">
              <w:rPr>
                <w:rFonts w:ascii="宋体" w:hAnsi="宋体"/>
                <w:w w:val="99"/>
                <w:sz w:val="18"/>
                <w:vertAlign w:val="subscript"/>
              </w:rPr>
              <w:t>2.5</w:t>
            </w:r>
            <w:r w:rsidRPr="00D94554">
              <w:rPr>
                <w:rFonts w:ascii="宋体" w:hAnsi="宋体"/>
                <w:w w:val="99"/>
                <w:sz w:val="18"/>
              </w:rPr>
              <w:t>□</w:t>
            </w:r>
          </w:p>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不包括二次 PM</w:t>
            </w:r>
            <w:r w:rsidRPr="00D94554">
              <w:rPr>
                <w:rFonts w:ascii="宋体" w:hAnsi="宋体"/>
                <w:w w:val="99"/>
                <w:sz w:val="18"/>
                <w:vertAlign w:val="subscript"/>
              </w:rPr>
              <w:t>2.5</w:t>
            </w:r>
            <w:r w:rsidRPr="00D94554">
              <w:rPr>
                <w:rFonts w:ascii="宋体" w:hAnsi="宋体"/>
                <w:w w:val="99"/>
                <w:sz w:val="18"/>
              </w:rPr>
              <w:t>□</w:t>
            </w:r>
          </w:p>
        </w:tc>
      </w:tr>
      <w:tr w:rsidR="00D94554" w:rsidRPr="00D94554" w:rsidTr="00C66914">
        <w:trPr>
          <w:trHeight w:val="369"/>
          <w:jc w:val="center"/>
        </w:trPr>
        <w:tc>
          <w:tcPr>
            <w:tcW w:w="1033" w:type="dxa"/>
            <w:vMerge/>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p>
        </w:tc>
        <w:tc>
          <w:tcPr>
            <w:tcW w:w="1842" w:type="dxa"/>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正常排放短期浓度</w:t>
            </w:r>
          </w:p>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贡献值</w:t>
            </w:r>
          </w:p>
        </w:tc>
        <w:tc>
          <w:tcPr>
            <w:tcW w:w="3261" w:type="dxa"/>
            <w:gridSpan w:val="7"/>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本项目最大占标率≤100%</w:t>
            </w:r>
            <w:r w:rsidRPr="00D94554">
              <w:rPr>
                <w:rFonts w:ascii="宋体" w:hAnsi="宋体"/>
                <w:w w:val="99"/>
                <w:sz w:val="18"/>
              </w:rPr>
              <w:sym w:font="Wingdings" w:char="F0FE"/>
            </w:r>
          </w:p>
        </w:tc>
        <w:tc>
          <w:tcPr>
            <w:tcW w:w="3384" w:type="dxa"/>
            <w:gridSpan w:val="4"/>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本项目最大占标率＞100%□</w:t>
            </w:r>
          </w:p>
        </w:tc>
      </w:tr>
      <w:tr w:rsidR="00D94554" w:rsidRPr="00D94554" w:rsidTr="00C66914">
        <w:trPr>
          <w:trHeight w:val="369"/>
          <w:jc w:val="center"/>
        </w:trPr>
        <w:tc>
          <w:tcPr>
            <w:tcW w:w="1033" w:type="dxa"/>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p>
        </w:tc>
        <w:tc>
          <w:tcPr>
            <w:tcW w:w="1842" w:type="dxa"/>
            <w:vMerge w:val="restart"/>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正常排放年均浓度</w:t>
            </w:r>
          </w:p>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贡献值</w:t>
            </w:r>
          </w:p>
        </w:tc>
        <w:tc>
          <w:tcPr>
            <w:tcW w:w="851" w:type="dxa"/>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一类区</w:t>
            </w:r>
          </w:p>
        </w:tc>
        <w:tc>
          <w:tcPr>
            <w:tcW w:w="2410" w:type="dxa"/>
            <w:gridSpan w:val="6"/>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本项目最大占标率≤10%□</w:t>
            </w:r>
          </w:p>
        </w:tc>
        <w:tc>
          <w:tcPr>
            <w:tcW w:w="3384" w:type="dxa"/>
            <w:gridSpan w:val="4"/>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本项目最大标率＞10%□</w:t>
            </w:r>
          </w:p>
        </w:tc>
      </w:tr>
      <w:tr w:rsidR="00D94554" w:rsidRPr="00D94554" w:rsidTr="00C66914">
        <w:trPr>
          <w:trHeight w:val="369"/>
          <w:jc w:val="center"/>
        </w:trPr>
        <w:tc>
          <w:tcPr>
            <w:tcW w:w="1033" w:type="dxa"/>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p>
        </w:tc>
        <w:tc>
          <w:tcPr>
            <w:tcW w:w="1842" w:type="dxa"/>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p>
        </w:tc>
        <w:tc>
          <w:tcPr>
            <w:tcW w:w="851" w:type="dxa"/>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二类区</w:t>
            </w:r>
          </w:p>
        </w:tc>
        <w:tc>
          <w:tcPr>
            <w:tcW w:w="2410" w:type="dxa"/>
            <w:gridSpan w:val="6"/>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本项目最大占标率≤30%□</w:t>
            </w:r>
          </w:p>
        </w:tc>
        <w:tc>
          <w:tcPr>
            <w:tcW w:w="3384" w:type="dxa"/>
            <w:gridSpan w:val="4"/>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本项目最大标率＞30%□</w:t>
            </w:r>
          </w:p>
        </w:tc>
      </w:tr>
      <w:tr w:rsidR="00D94554" w:rsidRPr="00D94554" w:rsidTr="00C66914">
        <w:trPr>
          <w:trHeight w:val="369"/>
          <w:jc w:val="center"/>
        </w:trPr>
        <w:tc>
          <w:tcPr>
            <w:tcW w:w="1033" w:type="dxa"/>
            <w:vMerge/>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p>
        </w:tc>
        <w:tc>
          <w:tcPr>
            <w:tcW w:w="1842" w:type="dxa"/>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非正常排放1h浓度</w:t>
            </w:r>
          </w:p>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贡献值</w:t>
            </w:r>
          </w:p>
        </w:tc>
        <w:tc>
          <w:tcPr>
            <w:tcW w:w="1485" w:type="dxa"/>
            <w:gridSpan w:val="3"/>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非正常持续时长（</w:t>
            </w:r>
            <w:r w:rsidRPr="00D94554">
              <w:rPr>
                <w:rFonts w:ascii="宋体" w:hAnsi="宋体" w:hint="eastAsia"/>
                <w:w w:val="99"/>
                <w:sz w:val="18"/>
              </w:rPr>
              <w:t>0.25</w:t>
            </w:r>
            <w:r w:rsidRPr="00D94554">
              <w:rPr>
                <w:rFonts w:ascii="宋体" w:hAnsi="宋体"/>
                <w:w w:val="99"/>
                <w:sz w:val="18"/>
              </w:rPr>
              <w:t>）h</w:t>
            </w:r>
          </w:p>
        </w:tc>
        <w:tc>
          <w:tcPr>
            <w:tcW w:w="1776" w:type="dxa"/>
            <w:gridSpan w:val="4"/>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非正常占标率≤100%</w:t>
            </w:r>
            <w:r w:rsidRPr="00D94554">
              <w:rPr>
                <w:rFonts w:ascii="宋体" w:hAnsi="宋体"/>
                <w:w w:val="99"/>
                <w:sz w:val="18"/>
              </w:rPr>
              <w:sym w:font="Wingdings" w:char="F0FE"/>
            </w:r>
          </w:p>
        </w:tc>
        <w:tc>
          <w:tcPr>
            <w:tcW w:w="3384" w:type="dxa"/>
            <w:gridSpan w:val="4"/>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非正常占标率＞100%□</w:t>
            </w:r>
          </w:p>
        </w:tc>
      </w:tr>
      <w:tr w:rsidR="00D94554" w:rsidRPr="00D94554" w:rsidTr="00C66914">
        <w:trPr>
          <w:trHeight w:val="369"/>
          <w:jc w:val="center"/>
        </w:trPr>
        <w:tc>
          <w:tcPr>
            <w:tcW w:w="1033" w:type="dxa"/>
            <w:vMerge/>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p>
        </w:tc>
        <w:tc>
          <w:tcPr>
            <w:tcW w:w="1842" w:type="dxa"/>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保证率日平均浓度和</w:t>
            </w:r>
          </w:p>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年平均浓度叠加值</w:t>
            </w:r>
          </w:p>
        </w:tc>
        <w:tc>
          <w:tcPr>
            <w:tcW w:w="2835" w:type="dxa"/>
            <w:gridSpan w:val="6"/>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叠加达标</w:t>
            </w:r>
            <w:r w:rsidRPr="00D94554">
              <w:rPr>
                <w:rFonts w:ascii="宋体" w:hAnsi="宋体"/>
                <w:w w:val="99"/>
                <w:sz w:val="18"/>
              </w:rPr>
              <w:sym w:font="Wingdings" w:char="F0FE"/>
            </w:r>
          </w:p>
        </w:tc>
        <w:tc>
          <w:tcPr>
            <w:tcW w:w="3810" w:type="dxa"/>
            <w:gridSpan w:val="5"/>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叠加不达标□</w:t>
            </w:r>
          </w:p>
        </w:tc>
      </w:tr>
      <w:tr w:rsidR="00D94554" w:rsidRPr="00D94554" w:rsidTr="00C66914">
        <w:trPr>
          <w:trHeight w:val="369"/>
          <w:jc w:val="center"/>
        </w:trPr>
        <w:tc>
          <w:tcPr>
            <w:tcW w:w="1033" w:type="dxa"/>
            <w:vMerge/>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p>
        </w:tc>
        <w:tc>
          <w:tcPr>
            <w:tcW w:w="1842" w:type="dxa"/>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区域环境质量的整体</w:t>
            </w:r>
          </w:p>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变化情况</w:t>
            </w:r>
          </w:p>
        </w:tc>
        <w:tc>
          <w:tcPr>
            <w:tcW w:w="2835" w:type="dxa"/>
            <w:gridSpan w:val="6"/>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k ≤-20%□</w:t>
            </w:r>
          </w:p>
        </w:tc>
        <w:tc>
          <w:tcPr>
            <w:tcW w:w="3810" w:type="dxa"/>
            <w:gridSpan w:val="5"/>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k ＞-20%□</w:t>
            </w:r>
          </w:p>
        </w:tc>
      </w:tr>
      <w:tr w:rsidR="00D94554" w:rsidRPr="00D94554" w:rsidTr="00C66914">
        <w:trPr>
          <w:trHeight w:val="369"/>
          <w:jc w:val="center"/>
        </w:trPr>
        <w:tc>
          <w:tcPr>
            <w:tcW w:w="1033" w:type="dxa"/>
            <w:vMerge w:val="restart"/>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环境监测</w:t>
            </w:r>
          </w:p>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计划</w:t>
            </w:r>
          </w:p>
        </w:tc>
        <w:tc>
          <w:tcPr>
            <w:tcW w:w="1842" w:type="dxa"/>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污染源监测</w:t>
            </w:r>
          </w:p>
        </w:tc>
        <w:tc>
          <w:tcPr>
            <w:tcW w:w="2835" w:type="dxa"/>
            <w:gridSpan w:val="6"/>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监测因子：（</w:t>
            </w:r>
            <w:r w:rsidRPr="00D94554">
              <w:rPr>
                <w:rFonts w:hint="eastAsia"/>
                <w:w w:val="99"/>
                <w:sz w:val="18"/>
              </w:rPr>
              <w:t>非甲烷总烃、苯、甲苯、二甲苯、酚</w:t>
            </w:r>
            <w:r w:rsidRPr="00D94554">
              <w:rPr>
                <w:rFonts w:ascii="宋体" w:hAnsi="宋体"/>
                <w:w w:val="99"/>
                <w:sz w:val="18"/>
              </w:rPr>
              <w:t>）</w:t>
            </w:r>
          </w:p>
        </w:tc>
        <w:tc>
          <w:tcPr>
            <w:tcW w:w="2550" w:type="dxa"/>
            <w:gridSpan w:val="3"/>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 xml:space="preserve">有组织废气监测 </w:t>
            </w:r>
            <w:r w:rsidRPr="00D94554">
              <w:rPr>
                <w:rFonts w:ascii="宋体" w:hAnsi="宋体"/>
                <w:w w:val="99"/>
                <w:sz w:val="18"/>
              </w:rPr>
              <w:sym w:font="Wingdings" w:char="F0FE"/>
            </w:r>
          </w:p>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 xml:space="preserve">无组织废气监测 </w:t>
            </w:r>
            <w:r w:rsidRPr="00D94554">
              <w:rPr>
                <w:rFonts w:ascii="宋体" w:hAnsi="宋体"/>
                <w:w w:val="99"/>
                <w:sz w:val="18"/>
              </w:rPr>
              <w:sym w:font="Wingdings" w:char="F0FE"/>
            </w:r>
          </w:p>
        </w:tc>
        <w:tc>
          <w:tcPr>
            <w:tcW w:w="1260" w:type="dxa"/>
            <w:gridSpan w:val="2"/>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无监测□</w:t>
            </w:r>
          </w:p>
        </w:tc>
      </w:tr>
      <w:tr w:rsidR="00D94554" w:rsidRPr="00D94554" w:rsidTr="00C66914">
        <w:trPr>
          <w:trHeight w:val="369"/>
          <w:jc w:val="center"/>
        </w:trPr>
        <w:tc>
          <w:tcPr>
            <w:tcW w:w="1033" w:type="dxa"/>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p>
        </w:tc>
        <w:tc>
          <w:tcPr>
            <w:tcW w:w="1842" w:type="dxa"/>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环境质量监测</w:t>
            </w:r>
          </w:p>
        </w:tc>
        <w:tc>
          <w:tcPr>
            <w:tcW w:w="2835" w:type="dxa"/>
            <w:gridSpan w:val="6"/>
            <w:vAlign w:val="center"/>
            <w:hideMark/>
          </w:tcPr>
          <w:p w:rsidR="00D94554" w:rsidRPr="00D94554" w:rsidRDefault="00D94554" w:rsidP="00D94554">
            <w:pPr>
              <w:widowControl/>
              <w:adjustRightInd/>
              <w:snapToGrid/>
              <w:spacing w:line="240" w:lineRule="auto"/>
              <w:ind w:firstLineChars="0" w:firstLine="177"/>
              <w:jc w:val="center"/>
              <w:textAlignment w:val="auto"/>
              <w:rPr>
                <w:rFonts w:ascii="宋体" w:hAnsi="宋体"/>
                <w:w w:val="99"/>
                <w:sz w:val="18"/>
              </w:rPr>
            </w:pPr>
            <w:r w:rsidRPr="00D94554">
              <w:rPr>
                <w:rFonts w:ascii="宋体" w:hAnsi="宋体"/>
                <w:w w:val="99"/>
                <w:sz w:val="18"/>
              </w:rPr>
              <w:t>监测因子：（</w:t>
            </w:r>
            <w:r w:rsidRPr="00D94554">
              <w:rPr>
                <w:rFonts w:ascii="宋体" w:hAnsi="宋体" w:hint="eastAsia"/>
                <w:w w:val="99"/>
                <w:sz w:val="18"/>
              </w:rPr>
              <w:t xml:space="preserve">   </w:t>
            </w:r>
            <w:r w:rsidRPr="00D94554">
              <w:rPr>
                <w:rFonts w:ascii="宋体" w:hAnsi="宋体"/>
                <w:w w:val="99"/>
                <w:sz w:val="18"/>
              </w:rPr>
              <w:t>）</w:t>
            </w:r>
          </w:p>
        </w:tc>
        <w:tc>
          <w:tcPr>
            <w:tcW w:w="2550" w:type="dxa"/>
            <w:gridSpan w:val="3"/>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监测点位数（</w:t>
            </w:r>
            <w:r w:rsidRPr="00D94554">
              <w:rPr>
                <w:rFonts w:ascii="宋体" w:hAnsi="宋体" w:hint="eastAsia"/>
                <w:w w:val="99"/>
                <w:sz w:val="18"/>
              </w:rPr>
              <w:t xml:space="preserve">  </w:t>
            </w:r>
            <w:r w:rsidRPr="00D94554">
              <w:rPr>
                <w:rFonts w:ascii="宋体" w:hAnsi="宋体"/>
                <w:w w:val="99"/>
                <w:sz w:val="18"/>
              </w:rPr>
              <w:t>）</w:t>
            </w:r>
          </w:p>
        </w:tc>
        <w:tc>
          <w:tcPr>
            <w:tcW w:w="1260" w:type="dxa"/>
            <w:gridSpan w:val="2"/>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无监测</w:t>
            </w:r>
            <w:r w:rsidRPr="00D94554">
              <w:rPr>
                <w:rFonts w:ascii="宋体" w:hAnsi="宋体"/>
                <w:w w:val="99"/>
                <w:sz w:val="18"/>
              </w:rPr>
              <w:sym w:font="Wingdings" w:char="F0FE"/>
            </w:r>
          </w:p>
        </w:tc>
      </w:tr>
      <w:tr w:rsidR="00D94554" w:rsidRPr="00D94554" w:rsidTr="00C66914">
        <w:trPr>
          <w:trHeight w:val="369"/>
          <w:jc w:val="center"/>
        </w:trPr>
        <w:tc>
          <w:tcPr>
            <w:tcW w:w="1033" w:type="dxa"/>
            <w:vMerge w:val="restart"/>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评价结论</w:t>
            </w:r>
          </w:p>
        </w:tc>
        <w:tc>
          <w:tcPr>
            <w:tcW w:w="1842" w:type="dxa"/>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环境影响</w:t>
            </w:r>
          </w:p>
        </w:tc>
        <w:tc>
          <w:tcPr>
            <w:tcW w:w="6645" w:type="dxa"/>
            <w:gridSpan w:val="11"/>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 xml:space="preserve">可以接受 </w:t>
            </w:r>
            <w:r w:rsidRPr="00D94554">
              <w:rPr>
                <w:rFonts w:ascii="宋体" w:hAnsi="宋体"/>
                <w:w w:val="99"/>
                <w:sz w:val="18"/>
              </w:rPr>
              <w:sym w:font="Wingdings" w:char="F0FE"/>
            </w:r>
            <w:r w:rsidRPr="00D94554">
              <w:rPr>
                <w:rFonts w:ascii="宋体" w:hAnsi="宋体"/>
                <w:w w:val="99"/>
                <w:sz w:val="18"/>
              </w:rPr>
              <w:t xml:space="preserve">                       不可以接受 □</w:t>
            </w:r>
          </w:p>
        </w:tc>
      </w:tr>
      <w:tr w:rsidR="00D94554" w:rsidRPr="00D94554" w:rsidTr="00C66914">
        <w:trPr>
          <w:trHeight w:val="369"/>
          <w:jc w:val="center"/>
        </w:trPr>
        <w:tc>
          <w:tcPr>
            <w:tcW w:w="1033" w:type="dxa"/>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p>
        </w:tc>
        <w:tc>
          <w:tcPr>
            <w:tcW w:w="1842" w:type="dxa"/>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大气环境防护距离</w:t>
            </w:r>
          </w:p>
        </w:tc>
        <w:tc>
          <w:tcPr>
            <w:tcW w:w="6645" w:type="dxa"/>
            <w:gridSpan w:val="11"/>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hint="eastAsia"/>
                <w:w w:val="99"/>
                <w:sz w:val="18"/>
              </w:rPr>
              <w:t>无</w:t>
            </w:r>
          </w:p>
        </w:tc>
      </w:tr>
      <w:tr w:rsidR="00D94554" w:rsidRPr="00D94554" w:rsidTr="00C66914">
        <w:trPr>
          <w:trHeight w:val="522"/>
          <w:jc w:val="center"/>
        </w:trPr>
        <w:tc>
          <w:tcPr>
            <w:tcW w:w="1033" w:type="dxa"/>
            <w:vMerge/>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p>
        </w:tc>
        <w:tc>
          <w:tcPr>
            <w:tcW w:w="1842" w:type="dxa"/>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污染源年排放量</w:t>
            </w:r>
          </w:p>
        </w:tc>
        <w:tc>
          <w:tcPr>
            <w:tcW w:w="1418" w:type="dxa"/>
            <w:gridSpan w:val="2"/>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hint="eastAsia"/>
                <w:w w:val="99"/>
                <w:sz w:val="18"/>
              </w:rPr>
              <w:t>/</w:t>
            </w:r>
          </w:p>
        </w:tc>
        <w:tc>
          <w:tcPr>
            <w:tcW w:w="1843" w:type="dxa"/>
            <w:gridSpan w:val="5"/>
            <w:vAlign w:val="center"/>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hint="eastAsia"/>
                <w:w w:val="99"/>
                <w:sz w:val="18"/>
              </w:rPr>
              <w:t>/</w:t>
            </w:r>
          </w:p>
        </w:tc>
        <w:tc>
          <w:tcPr>
            <w:tcW w:w="1701" w:type="dxa"/>
            <w:vAlign w:val="center"/>
            <w:hideMark/>
          </w:tcPr>
          <w:p w:rsidR="00D94554" w:rsidRPr="00D94554" w:rsidRDefault="00D94554" w:rsidP="00D94554">
            <w:pPr>
              <w:widowControl/>
              <w:adjustRightInd/>
              <w:snapToGrid/>
              <w:spacing w:line="280" w:lineRule="exact"/>
              <w:ind w:firstLineChars="0" w:firstLine="0"/>
              <w:jc w:val="center"/>
              <w:textAlignment w:val="auto"/>
              <w:rPr>
                <w:rFonts w:ascii="宋体" w:hAnsi="宋体"/>
                <w:w w:val="99"/>
                <w:sz w:val="18"/>
              </w:rPr>
            </w:pPr>
            <w:r w:rsidRPr="00D94554">
              <w:rPr>
                <w:rFonts w:ascii="宋体" w:hAnsi="宋体" w:hint="eastAsia"/>
                <w:w w:val="99"/>
                <w:sz w:val="18"/>
              </w:rPr>
              <w:t>/</w:t>
            </w:r>
          </w:p>
        </w:tc>
        <w:tc>
          <w:tcPr>
            <w:tcW w:w="1683" w:type="dxa"/>
            <w:gridSpan w:val="3"/>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VOCs:（</w:t>
            </w:r>
            <w:r w:rsidRPr="00D94554">
              <w:rPr>
                <w:rFonts w:ascii="宋体" w:hAnsi="宋体" w:hint="eastAsia"/>
                <w:w w:val="99"/>
                <w:sz w:val="18"/>
              </w:rPr>
              <w:t>3.198</w:t>
            </w:r>
            <w:r w:rsidRPr="00D94554">
              <w:rPr>
                <w:rFonts w:ascii="宋体" w:hAnsi="宋体"/>
                <w:w w:val="99"/>
                <w:sz w:val="18"/>
              </w:rPr>
              <w:t>）t/a</w:t>
            </w:r>
          </w:p>
        </w:tc>
      </w:tr>
      <w:tr w:rsidR="00D94554" w:rsidRPr="00D94554" w:rsidTr="00C66914">
        <w:trPr>
          <w:trHeight w:val="369"/>
          <w:jc w:val="center"/>
        </w:trPr>
        <w:tc>
          <w:tcPr>
            <w:tcW w:w="9520" w:type="dxa"/>
            <w:gridSpan w:val="13"/>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w w:val="99"/>
                <w:sz w:val="18"/>
              </w:rPr>
            </w:pPr>
            <w:r w:rsidRPr="00D94554">
              <w:rPr>
                <w:rFonts w:ascii="宋体" w:hAnsi="宋体"/>
                <w:w w:val="99"/>
                <w:sz w:val="18"/>
              </w:rPr>
              <w:t>注：“□” 为勾选项 ，填“√” ；“（）”为内容填写项</w:t>
            </w:r>
          </w:p>
        </w:tc>
      </w:tr>
    </w:tbl>
    <w:p w:rsidR="00D94554" w:rsidRPr="00D94554" w:rsidRDefault="00D94554">
      <w:pPr>
        <w:ind w:firstLine="480"/>
        <w:sectPr w:rsidR="00D94554" w:rsidRPr="00D94554" w:rsidSect="00EE56C0">
          <w:pgSz w:w="11907" w:h="16840"/>
          <w:pgMar w:top="1440" w:right="1797" w:bottom="1440" w:left="1797" w:header="907" w:footer="907" w:gutter="0"/>
          <w:cols w:space="720"/>
          <w:docGrid w:linePitch="380"/>
        </w:sectPr>
      </w:pPr>
    </w:p>
    <w:p w:rsidR="00D94554" w:rsidRPr="00D94554" w:rsidRDefault="00D94554" w:rsidP="00D94554">
      <w:pPr>
        <w:adjustRightInd/>
        <w:snapToGrid/>
        <w:spacing w:line="240" w:lineRule="auto"/>
        <w:ind w:firstLineChars="0" w:firstLine="0"/>
        <w:jc w:val="center"/>
        <w:textAlignment w:val="auto"/>
        <w:rPr>
          <w:rFonts w:eastAsia="黑体"/>
          <w:kern w:val="2"/>
          <w:sz w:val="21"/>
          <w:szCs w:val="22"/>
        </w:rPr>
      </w:pPr>
      <w:r w:rsidRPr="00D94554">
        <w:rPr>
          <w:rFonts w:eastAsia="黑体" w:hAnsi="黑体" w:hint="eastAsia"/>
          <w:kern w:val="2"/>
          <w:sz w:val="21"/>
          <w:szCs w:val="22"/>
        </w:rPr>
        <w:lastRenderedPageBreak/>
        <w:t>附表</w:t>
      </w:r>
      <w:r w:rsidRPr="00D94554">
        <w:rPr>
          <w:rFonts w:asciiTheme="minorEastAsia" w:eastAsiaTheme="minorEastAsia" w:hAnsiTheme="minorEastAsia" w:hint="eastAsia"/>
          <w:kern w:val="2"/>
          <w:sz w:val="21"/>
          <w:szCs w:val="22"/>
        </w:rPr>
        <w:t>2</w:t>
      </w:r>
      <w:r w:rsidRPr="00D94554">
        <w:rPr>
          <w:rFonts w:eastAsiaTheme="minorEastAsia"/>
          <w:kern w:val="2"/>
          <w:sz w:val="21"/>
          <w:szCs w:val="22"/>
        </w:rPr>
        <w:t xml:space="preserve"> </w:t>
      </w:r>
      <w:r w:rsidRPr="00D94554">
        <w:rPr>
          <w:rFonts w:eastAsia="黑体"/>
          <w:kern w:val="2"/>
          <w:sz w:val="21"/>
          <w:szCs w:val="22"/>
        </w:rPr>
        <w:t xml:space="preserve">  </w:t>
      </w:r>
      <w:r w:rsidRPr="00D94554">
        <w:rPr>
          <w:rFonts w:eastAsia="黑体" w:hAnsi="黑体" w:hint="eastAsia"/>
          <w:kern w:val="2"/>
          <w:sz w:val="21"/>
          <w:szCs w:val="22"/>
        </w:rPr>
        <w:t>地表水环境影响评价自查表</w:t>
      </w:r>
    </w:p>
    <w:tbl>
      <w:tblPr>
        <w:tblStyle w:val="TableNormal"/>
        <w:tblW w:w="5000" w:type="pct"/>
        <w:jc w:val="center"/>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tblPr>
      <w:tblGrid>
        <w:gridCol w:w="572"/>
        <w:gridCol w:w="2842"/>
        <w:gridCol w:w="2162"/>
        <w:gridCol w:w="540"/>
        <w:gridCol w:w="417"/>
        <w:gridCol w:w="443"/>
        <w:gridCol w:w="701"/>
        <w:gridCol w:w="1124"/>
        <w:gridCol w:w="975"/>
        <w:gridCol w:w="268"/>
        <w:gridCol w:w="434"/>
        <w:gridCol w:w="1398"/>
        <w:gridCol w:w="40"/>
        <w:gridCol w:w="577"/>
        <w:gridCol w:w="1487"/>
      </w:tblGrid>
      <w:tr w:rsidR="00D94554" w:rsidRPr="00D94554" w:rsidTr="00C66914">
        <w:trPr>
          <w:trHeight w:val="397"/>
          <w:jc w:val="center"/>
        </w:trPr>
        <w:tc>
          <w:tcPr>
            <w:tcW w:w="3412" w:type="dxa"/>
            <w:gridSpan w:val="2"/>
            <w:vAlign w:val="center"/>
            <w:hideMark/>
          </w:tcPr>
          <w:p w:rsidR="00D94554" w:rsidRPr="00D94554" w:rsidRDefault="00D94554" w:rsidP="00D94554">
            <w:pPr>
              <w:adjustRightInd/>
              <w:snapToGrid/>
              <w:spacing w:line="240" w:lineRule="auto"/>
              <w:ind w:firstLineChars="0" w:firstLine="0"/>
              <w:jc w:val="center"/>
              <w:textAlignment w:val="auto"/>
              <w:rPr>
                <w:rFonts w:eastAsiaTheme="minorEastAsia"/>
                <w:sz w:val="18"/>
                <w:szCs w:val="18"/>
              </w:rPr>
            </w:pPr>
            <w:r w:rsidRPr="00D94554">
              <w:rPr>
                <w:rFonts w:eastAsiaTheme="minorEastAsia" w:hAnsiTheme="minorEastAsia"/>
                <w:sz w:val="18"/>
                <w:szCs w:val="18"/>
              </w:rPr>
              <w:t>工作内容</w:t>
            </w:r>
          </w:p>
        </w:tc>
        <w:tc>
          <w:tcPr>
            <w:tcW w:w="10566" w:type="dxa"/>
            <w:gridSpan w:val="13"/>
            <w:vAlign w:val="center"/>
            <w:hideMark/>
          </w:tcPr>
          <w:p w:rsidR="00D94554" w:rsidRPr="00D94554" w:rsidRDefault="00D94554" w:rsidP="00D94554">
            <w:pPr>
              <w:adjustRightInd/>
              <w:snapToGrid/>
              <w:spacing w:line="240" w:lineRule="auto"/>
              <w:ind w:firstLineChars="0" w:firstLine="0"/>
              <w:jc w:val="center"/>
              <w:textAlignment w:val="auto"/>
              <w:rPr>
                <w:rFonts w:eastAsiaTheme="minorEastAsia"/>
                <w:sz w:val="18"/>
                <w:szCs w:val="18"/>
              </w:rPr>
            </w:pPr>
            <w:r w:rsidRPr="00D94554">
              <w:rPr>
                <w:rFonts w:eastAsiaTheme="minorEastAsia" w:hAnsiTheme="minorEastAsia"/>
                <w:sz w:val="18"/>
                <w:szCs w:val="18"/>
              </w:rPr>
              <w:t>自查项目</w:t>
            </w:r>
          </w:p>
        </w:tc>
      </w:tr>
      <w:tr w:rsidR="00D94554" w:rsidRPr="00D94554" w:rsidTr="00C66914">
        <w:trPr>
          <w:trHeight w:val="397"/>
          <w:jc w:val="center"/>
        </w:trPr>
        <w:tc>
          <w:tcPr>
            <w:tcW w:w="571" w:type="dxa"/>
            <w:vMerge w:val="restart"/>
            <w:vAlign w:val="center"/>
          </w:tcPr>
          <w:p w:rsidR="00D94554" w:rsidRPr="00D94554" w:rsidRDefault="00D94554" w:rsidP="00D94554">
            <w:pPr>
              <w:adjustRightInd/>
              <w:snapToGrid/>
              <w:spacing w:line="240" w:lineRule="auto"/>
              <w:ind w:firstLineChars="0" w:firstLine="0"/>
              <w:jc w:val="center"/>
              <w:textAlignment w:val="auto"/>
              <w:rPr>
                <w:rFonts w:eastAsiaTheme="minorEastAsia"/>
                <w:sz w:val="18"/>
                <w:szCs w:val="18"/>
              </w:rPr>
            </w:pPr>
            <w:r w:rsidRPr="00D94554">
              <w:rPr>
                <w:rFonts w:eastAsiaTheme="minorEastAsia" w:hAnsiTheme="minorEastAsia"/>
                <w:sz w:val="18"/>
                <w:szCs w:val="18"/>
              </w:rPr>
              <w:t>影响</w:t>
            </w:r>
            <w:r w:rsidRPr="00D94554">
              <w:rPr>
                <w:rFonts w:eastAsiaTheme="minorEastAsia"/>
                <w:sz w:val="18"/>
                <w:szCs w:val="18"/>
              </w:rPr>
              <w:t xml:space="preserve"> </w:t>
            </w:r>
            <w:r w:rsidRPr="00D94554">
              <w:rPr>
                <w:rFonts w:eastAsiaTheme="minorEastAsia" w:hAnsiTheme="minorEastAsia"/>
                <w:sz w:val="18"/>
                <w:szCs w:val="18"/>
              </w:rPr>
              <w:t>识别</w:t>
            </w:r>
          </w:p>
        </w:tc>
        <w:tc>
          <w:tcPr>
            <w:tcW w:w="2841" w:type="dxa"/>
            <w:vAlign w:val="center"/>
            <w:hideMark/>
          </w:tcPr>
          <w:p w:rsidR="00D94554" w:rsidRPr="00D94554" w:rsidRDefault="00D94554" w:rsidP="00D94554">
            <w:pPr>
              <w:adjustRightInd/>
              <w:snapToGrid/>
              <w:spacing w:line="240" w:lineRule="auto"/>
              <w:ind w:firstLineChars="0" w:firstLine="0"/>
              <w:jc w:val="center"/>
              <w:textAlignment w:val="auto"/>
              <w:rPr>
                <w:rFonts w:eastAsiaTheme="minorEastAsia"/>
                <w:sz w:val="18"/>
                <w:szCs w:val="18"/>
              </w:rPr>
            </w:pPr>
            <w:r w:rsidRPr="00D94554">
              <w:rPr>
                <w:rFonts w:eastAsiaTheme="minorEastAsia" w:hAnsiTheme="minorEastAsia"/>
                <w:sz w:val="18"/>
                <w:szCs w:val="18"/>
              </w:rPr>
              <w:t>影响类型</w:t>
            </w:r>
          </w:p>
        </w:tc>
        <w:tc>
          <w:tcPr>
            <w:tcW w:w="10566" w:type="dxa"/>
            <w:gridSpan w:val="13"/>
            <w:vAlign w:val="center"/>
            <w:hideMark/>
          </w:tcPr>
          <w:p w:rsidR="00D94554" w:rsidRPr="00D94554" w:rsidRDefault="00D94554" w:rsidP="00D94554">
            <w:pPr>
              <w:adjustRightInd/>
              <w:snapToGrid/>
              <w:spacing w:line="240" w:lineRule="auto"/>
              <w:ind w:firstLineChars="0" w:firstLine="0"/>
              <w:jc w:val="left"/>
              <w:textAlignment w:val="auto"/>
              <w:rPr>
                <w:rFonts w:eastAsiaTheme="minorEastAsia"/>
                <w:sz w:val="18"/>
                <w:szCs w:val="18"/>
                <w:lang w:eastAsia="zh-CN"/>
              </w:rPr>
            </w:pPr>
            <w:r w:rsidRPr="00D94554">
              <w:rPr>
                <w:rFonts w:eastAsiaTheme="minorEastAsia" w:hAnsiTheme="minorEastAsia"/>
                <w:sz w:val="18"/>
                <w:szCs w:val="18"/>
                <w:lang w:eastAsia="zh-CN"/>
              </w:rPr>
              <w:t>水污染影响型</w:t>
            </w:r>
            <w:r w:rsidRPr="00D94554">
              <w:rPr>
                <w:rFonts w:eastAsiaTheme="minorEastAsia"/>
                <w:sz w:val="18"/>
                <w:szCs w:val="18"/>
                <w:lang w:eastAsia="zh-CN"/>
              </w:rPr>
              <w:t xml:space="preserve"> </w:t>
            </w:r>
            <w:r w:rsidRPr="00D94554">
              <w:rPr>
                <w:w w:val="99"/>
                <w:sz w:val="18"/>
              </w:rPr>
              <w:sym w:font="Wingdings" w:char="00FE"/>
            </w:r>
            <w:r w:rsidRPr="00D94554">
              <w:rPr>
                <w:rFonts w:eastAsiaTheme="minorEastAsia" w:hAnsiTheme="minorEastAsia"/>
                <w:sz w:val="18"/>
                <w:szCs w:val="18"/>
                <w:lang w:eastAsia="zh-CN"/>
              </w:rPr>
              <w:t>；水文要素影响型</w:t>
            </w:r>
            <w:r w:rsidRPr="00D94554">
              <w:rPr>
                <w:rFonts w:eastAsiaTheme="minorEastAsia"/>
                <w:spacing w:val="2"/>
                <w:sz w:val="18"/>
                <w:szCs w:val="18"/>
                <w:lang w:eastAsia="zh-CN"/>
              </w:rPr>
              <w:t xml:space="preserve"> </w:t>
            </w:r>
            <w:r w:rsidRPr="00D94554">
              <w:rPr>
                <w:rFonts w:eastAsiaTheme="minorEastAsia"/>
                <w:sz w:val="18"/>
                <w:szCs w:val="18"/>
                <w:lang w:eastAsia="zh-CN"/>
              </w:rPr>
              <w:t>□</w:t>
            </w:r>
          </w:p>
        </w:tc>
      </w:tr>
      <w:tr w:rsidR="00D94554" w:rsidRPr="00D94554" w:rsidTr="00C66914">
        <w:trPr>
          <w:trHeight w:val="397"/>
          <w:jc w:val="center"/>
        </w:trPr>
        <w:tc>
          <w:tcPr>
            <w:tcW w:w="571" w:type="dxa"/>
            <w:vMerge/>
            <w:vAlign w:val="center"/>
            <w:hideMark/>
          </w:tcPr>
          <w:p w:rsidR="00D94554" w:rsidRPr="00D94554" w:rsidRDefault="00D94554" w:rsidP="00D94554">
            <w:pPr>
              <w:widowControl/>
              <w:adjustRightInd/>
              <w:snapToGrid/>
              <w:spacing w:line="240" w:lineRule="auto"/>
              <w:ind w:firstLineChars="0" w:firstLine="0"/>
              <w:textAlignment w:val="auto"/>
              <w:rPr>
                <w:rFonts w:eastAsiaTheme="minorEastAsia"/>
                <w:sz w:val="18"/>
                <w:szCs w:val="18"/>
                <w:lang w:eastAsia="zh-CN"/>
              </w:rPr>
            </w:pPr>
          </w:p>
        </w:tc>
        <w:tc>
          <w:tcPr>
            <w:tcW w:w="2841" w:type="dxa"/>
            <w:vAlign w:val="center"/>
          </w:tcPr>
          <w:p w:rsidR="00D94554" w:rsidRPr="00D94554" w:rsidRDefault="00D94554" w:rsidP="00D94554">
            <w:pPr>
              <w:adjustRightInd/>
              <w:snapToGrid/>
              <w:spacing w:line="240" w:lineRule="auto"/>
              <w:ind w:firstLineChars="0" w:firstLine="0"/>
              <w:jc w:val="center"/>
              <w:textAlignment w:val="auto"/>
              <w:rPr>
                <w:rFonts w:eastAsiaTheme="minorEastAsia"/>
                <w:sz w:val="18"/>
                <w:szCs w:val="18"/>
              </w:rPr>
            </w:pPr>
            <w:r w:rsidRPr="00D94554">
              <w:rPr>
                <w:rFonts w:eastAsiaTheme="minorEastAsia" w:hAnsiTheme="minorEastAsia"/>
                <w:sz w:val="18"/>
                <w:szCs w:val="18"/>
              </w:rPr>
              <w:t>水环境保护目标</w:t>
            </w:r>
          </w:p>
        </w:tc>
        <w:tc>
          <w:tcPr>
            <w:tcW w:w="10566" w:type="dxa"/>
            <w:gridSpan w:val="13"/>
            <w:vAlign w:val="center"/>
            <w:hideMark/>
          </w:tcPr>
          <w:p w:rsidR="00D94554" w:rsidRPr="00D94554" w:rsidRDefault="00D94554" w:rsidP="00D94554">
            <w:pPr>
              <w:adjustRightInd/>
              <w:snapToGrid/>
              <w:spacing w:line="240" w:lineRule="auto"/>
              <w:ind w:firstLineChars="0" w:firstLine="0"/>
              <w:jc w:val="left"/>
              <w:textAlignment w:val="auto"/>
              <w:rPr>
                <w:rFonts w:eastAsiaTheme="minorEastAsia"/>
                <w:sz w:val="18"/>
                <w:szCs w:val="18"/>
                <w:lang w:eastAsia="zh-CN"/>
              </w:rPr>
            </w:pPr>
            <w:r w:rsidRPr="00D94554">
              <w:rPr>
                <w:rFonts w:eastAsiaTheme="minorEastAsia" w:hAnsiTheme="minorEastAsia"/>
                <w:sz w:val="18"/>
                <w:szCs w:val="18"/>
                <w:lang w:eastAsia="zh-CN"/>
              </w:rPr>
              <w:t>饮用水水源保护区</w:t>
            </w:r>
            <w:r w:rsidRPr="00D94554">
              <w:rPr>
                <w:rFonts w:eastAsiaTheme="minorEastAsia"/>
                <w:sz w:val="18"/>
                <w:szCs w:val="18"/>
                <w:lang w:eastAsia="zh-CN"/>
              </w:rPr>
              <w:t xml:space="preserve"> □</w:t>
            </w:r>
            <w:r w:rsidRPr="00D94554">
              <w:rPr>
                <w:rFonts w:eastAsiaTheme="minorEastAsia" w:hAnsiTheme="minorEastAsia"/>
                <w:sz w:val="18"/>
                <w:szCs w:val="18"/>
                <w:lang w:eastAsia="zh-CN"/>
              </w:rPr>
              <w:t>；饮用水取水口</w:t>
            </w:r>
            <w:r w:rsidRPr="00D94554">
              <w:rPr>
                <w:rFonts w:eastAsiaTheme="minorEastAsia"/>
                <w:sz w:val="18"/>
                <w:szCs w:val="18"/>
                <w:lang w:eastAsia="zh-CN"/>
              </w:rPr>
              <w:t xml:space="preserve"> □</w:t>
            </w:r>
            <w:r w:rsidRPr="00D94554">
              <w:rPr>
                <w:rFonts w:eastAsiaTheme="minorEastAsia" w:hAnsiTheme="minorEastAsia"/>
                <w:sz w:val="18"/>
                <w:szCs w:val="18"/>
                <w:lang w:eastAsia="zh-CN"/>
              </w:rPr>
              <w:t>；涉水的自然保护区</w:t>
            </w:r>
            <w:r w:rsidRPr="00D94554">
              <w:rPr>
                <w:rFonts w:eastAsiaTheme="minorEastAsia"/>
                <w:sz w:val="18"/>
                <w:szCs w:val="18"/>
                <w:lang w:eastAsia="zh-CN"/>
              </w:rPr>
              <w:t xml:space="preserve"> □</w:t>
            </w:r>
            <w:r w:rsidRPr="00D94554">
              <w:rPr>
                <w:rFonts w:eastAsiaTheme="minorEastAsia" w:hAnsiTheme="minorEastAsia"/>
                <w:sz w:val="18"/>
                <w:szCs w:val="18"/>
                <w:lang w:eastAsia="zh-CN"/>
              </w:rPr>
              <w:t>；重要湿地</w:t>
            </w:r>
            <w:r w:rsidRPr="00D94554">
              <w:rPr>
                <w:rFonts w:eastAsiaTheme="minorEastAsia"/>
                <w:spacing w:val="4"/>
                <w:sz w:val="18"/>
                <w:szCs w:val="18"/>
                <w:lang w:eastAsia="zh-CN"/>
              </w:rPr>
              <w:t xml:space="preserve"> </w:t>
            </w:r>
            <w:r w:rsidRPr="00D94554">
              <w:rPr>
                <w:rFonts w:eastAsiaTheme="minorEastAsia"/>
                <w:sz w:val="18"/>
                <w:szCs w:val="18"/>
                <w:lang w:eastAsia="zh-CN"/>
              </w:rPr>
              <w:t>□</w:t>
            </w:r>
            <w:r w:rsidRPr="00D94554">
              <w:rPr>
                <w:rFonts w:eastAsiaTheme="minorEastAsia" w:hAnsiTheme="minorEastAsia"/>
                <w:sz w:val="18"/>
                <w:szCs w:val="18"/>
                <w:lang w:eastAsia="zh-CN"/>
              </w:rPr>
              <w:t>；</w:t>
            </w:r>
          </w:p>
          <w:p w:rsidR="00D94554" w:rsidRPr="00D94554" w:rsidRDefault="00D94554" w:rsidP="00D94554">
            <w:pPr>
              <w:adjustRightInd/>
              <w:snapToGrid/>
              <w:spacing w:line="240" w:lineRule="auto"/>
              <w:ind w:firstLineChars="0" w:firstLine="0"/>
              <w:jc w:val="left"/>
              <w:textAlignment w:val="auto"/>
              <w:rPr>
                <w:rFonts w:eastAsiaTheme="minorEastAsia"/>
                <w:sz w:val="18"/>
                <w:szCs w:val="18"/>
                <w:lang w:eastAsia="zh-CN"/>
              </w:rPr>
            </w:pPr>
            <w:r w:rsidRPr="00D94554">
              <w:rPr>
                <w:rFonts w:eastAsiaTheme="minorEastAsia" w:hAnsiTheme="minorEastAsia"/>
                <w:sz w:val="18"/>
                <w:szCs w:val="18"/>
                <w:lang w:eastAsia="zh-CN"/>
              </w:rPr>
              <w:t>重点保护与珍稀水生生物的栖息地</w:t>
            </w:r>
            <w:r w:rsidRPr="00D94554">
              <w:rPr>
                <w:rFonts w:eastAsiaTheme="minorEastAsia"/>
                <w:sz w:val="18"/>
                <w:szCs w:val="18"/>
                <w:lang w:eastAsia="zh-CN"/>
              </w:rPr>
              <w:t xml:space="preserve"> □</w:t>
            </w:r>
            <w:r w:rsidRPr="00D94554">
              <w:rPr>
                <w:rFonts w:eastAsiaTheme="minorEastAsia" w:hAnsiTheme="minorEastAsia"/>
                <w:sz w:val="18"/>
                <w:szCs w:val="18"/>
                <w:lang w:eastAsia="zh-CN"/>
              </w:rPr>
              <w:t>；重要水生生物的自然产卵场及索饵场、越冬场和洄游通道、天然渔场等渔业水体</w:t>
            </w:r>
            <w:r w:rsidRPr="00D94554">
              <w:rPr>
                <w:rFonts w:eastAsiaTheme="minorEastAsia"/>
                <w:spacing w:val="-37"/>
                <w:sz w:val="18"/>
                <w:szCs w:val="18"/>
                <w:lang w:eastAsia="zh-CN"/>
              </w:rPr>
              <w:t xml:space="preserve"> </w:t>
            </w:r>
            <w:r w:rsidRPr="00D94554">
              <w:rPr>
                <w:rFonts w:eastAsiaTheme="minorEastAsia"/>
                <w:spacing w:val="-5"/>
                <w:sz w:val="18"/>
                <w:szCs w:val="18"/>
                <w:lang w:eastAsia="zh-CN"/>
              </w:rPr>
              <w:t>□</w:t>
            </w:r>
            <w:r w:rsidRPr="00D94554">
              <w:rPr>
                <w:rFonts w:eastAsiaTheme="minorEastAsia" w:hAnsiTheme="minorEastAsia"/>
                <w:spacing w:val="-5"/>
                <w:sz w:val="18"/>
                <w:szCs w:val="18"/>
                <w:lang w:eastAsia="zh-CN"/>
              </w:rPr>
              <w:t>；涉</w:t>
            </w:r>
            <w:r w:rsidRPr="00D94554">
              <w:rPr>
                <w:rFonts w:eastAsiaTheme="minorEastAsia" w:hAnsiTheme="minorEastAsia"/>
                <w:sz w:val="18"/>
                <w:szCs w:val="18"/>
                <w:lang w:eastAsia="zh-CN"/>
              </w:rPr>
              <w:t>水的风景名胜区</w:t>
            </w:r>
            <w:r w:rsidRPr="00D94554">
              <w:rPr>
                <w:rFonts w:eastAsiaTheme="minorEastAsia"/>
                <w:sz w:val="18"/>
                <w:szCs w:val="18"/>
                <w:lang w:eastAsia="zh-CN"/>
              </w:rPr>
              <w:t xml:space="preserve"> □</w:t>
            </w:r>
            <w:r w:rsidRPr="00D94554">
              <w:rPr>
                <w:rFonts w:eastAsiaTheme="minorEastAsia" w:hAnsiTheme="minorEastAsia"/>
                <w:sz w:val="18"/>
                <w:szCs w:val="18"/>
                <w:lang w:eastAsia="zh-CN"/>
              </w:rPr>
              <w:t>；其他</w:t>
            </w:r>
            <w:r w:rsidRPr="00D94554">
              <w:rPr>
                <w:rFonts w:eastAsiaTheme="minorEastAsia"/>
                <w:spacing w:val="2"/>
                <w:sz w:val="18"/>
                <w:szCs w:val="18"/>
                <w:lang w:eastAsia="zh-CN"/>
              </w:rPr>
              <w:t xml:space="preserve"> </w:t>
            </w:r>
            <w:r w:rsidRPr="00D94554">
              <w:rPr>
                <w:rFonts w:eastAsiaTheme="minorEastAsia"/>
                <w:sz w:val="18"/>
                <w:szCs w:val="18"/>
                <w:lang w:eastAsia="zh-CN"/>
              </w:rPr>
              <w:t>□</w:t>
            </w:r>
          </w:p>
        </w:tc>
      </w:tr>
      <w:tr w:rsidR="00D94554" w:rsidRPr="00D94554" w:rsidTr="00C66914">
        <w:trPr>
          <w:trHeight w:val="397"/>
          <w:jc w:val="center"/>
        </w:trPr>
        <w:tc>
          <w:tcPr>
            <w:tcW w:w="571" w:type="dxa"/>
            <w:vMerge/>
            <w:vAlign w:val="center"/>
            <w:hideMark/>
          </w:tcPr>
          <w:p w:rsidR="00D94554" w:rsidRPr="00D94554" w:rsidRDefault="00D94554" w:rsidP="00D94554">
            <w:pPr>
              <w:widowControl/>
              <w:adjustRightInd/>
              <w:snapToGrid/>
              <w:spacing w:line="240" w:lineRule="auto"/>
              <w:ind w:firstLineChars="0" w:firstLine="0"/>
              <w:textAlignment w:val="auto"/>
              <w:rPr>
                <w:rFonts w:eastAsiaTheme="minorEastAsia"/>
                <w:sz w:val="18"/>
                <w:szCs w:val="18"/>
                <w:lang w:eastAsia="zh-CN"/>
              </w:rPr>
            </w:pPr>
          </w:p>
        </w:tc>
        <w:tc>
          <w:tcPr>
            <w:tcW w:w="2841" w:type="dxa"/>
            <w:vMerge w:val="restart"/>
            <w:vAlign w:val="center"/>
          </w:tcPr>
          <w:p w:rsidR="00D94554" w:rsidRPr="00D94554" w:rsidRDefault="00D94554" w:rsidP="00D94554">
            <w:pPr>
              <w:adjustRightInd/>
              <w:snapToGrid/>
              <w:spacing w:line="240" w:lineRule="auto"/>
              <w:ind w:firstLineChars="0" w:firstLine="0"/>
              <w:jc w:val="center"/>
              <w:textAlignment w:val="auto"/>
              <w:rPr>
                <w:rFonts w:eastAsiaTheme="minorEastAsia"/>
                <w:sz w:val="18"/>
                <w:szCs w:val="18"/>
              </w:rPr>
            </w:pPr>
            <w:r w:rsidRPr="00D94554">
              <w:rPr>
                <w:rFonts w:eastAsiaTheme="minorEastAsia" w:hAnsiTheme="minorEastAsia"/>
                <w:sz w:val="18"/>
                <w:szCs w:val="18"/>
              </w:rPr>
              <w:t>影响途径</w:t>
            </w:r>
          </w:p>
        </w:tc>
        <w:tc>
          <w:tcPr>
            <w:tcW w:w="5387" w:type="dxa"/>
            <w:gridSpan w:val="6"/>
            <w:vAlign w:val="center"/>
            <w:hideMark/>
          </w:tcPr>
          <w:p w:rsidR="00D94554" w:rsidRPr="00D94554" w:rsidRDefault="00D94554" w:rsidP="00D94554">
            <w:pPr>
              <w:adjustRightInd/>
              <w:snapToGrid/>
              <w:spacing w:line="240" w:lineRule="auto"/>
              <w:ind w:firstLineChars="0" w:firstLine="0"/>
              <w:jc w:val="center"/>
              <w:textAlignment w:val="auto"/>
              <w:rPr>
                <w:rFonts w:eastAsiaTheme="minorEastAsia"/>
                <w:sz w:val="18"/>
                <w:szCs w:val="18"/>
              </w:rPr>
            </w:pPr>
            <w:r w:rsidRPr="00D94554">
              <w:rPr>
                <w:rFonts w:eastAsiaTheme="minorEastAsia" w:hAnsiTheme="minorEastAsia"/>
                <w:sz w:val="18"/>
                <w:szCs w:val="18"/>
              </w:rPr>
              <w:t>水污染影响型</w:t>
            </w:r>
          </w:p>
        </w:tc>
        <w:tc>
          <w:tcPr>
            <w:tcW w:w="5179" w:type="dxa"/>
            <w:gridSpan w:val="7"/>
            <w:vAlign w:val="center"/>
            <w:hideMark/>
          </w:tcPr>
          <w:p w:rsidR="00D94554" w:rsidRPr="00D94554" w:rsidRDefault="00D94554" w:rsidP="00D94554">
            <w:pPr>
              <w:adjustRightInd/>
              <w:snapToGrid/>
              <w:spacing w:line="240" w:lineRule="auto"/>
              <w:ind w:firstLineChars="0" w:firstLine="0"/>
              <w:jc w:val="center"/>
              <w:textAlignment w:val="auto"/>
              <w:rPr>
                <w:rFonts w:eastAsiaTheme="minorEastAsia"/>
                <w:sz w:val="18"/>
                <w:szCs w:val="18"/>
              </w:rPr>
            </w:pPr>
            <w:r w:rsidRPr="00D94554">
              <w:rPr>
                <w:rFonts w:eastAsiaTheme="minorEastAsia" w:hAnsiTheme="minorEastAsia"/>
                <w:sz w:val="18"/>
                <w:szCs w:val="18"/>
              </w:rPr>
              <w:t>水文要素影响型</w:t>
            </w:r>
          </w:p>
        </w:tc>
      </w:tr>
      <w:tr w:rsidR="00D94554" w:rsidRPr="00D94554" w:rsidTr="00C66914">
        <w:trPr>
          <w:trHeight w:val="397"/>
          <w:jc w:val="center"/>
        </w:trPr>
        <w:tc>
          <w:tcPr>
            <w:tcW w:w="571" w:type="dxa"/>
            <w:vMerge/>
            <w:vAlign w:val="center"/>
            <w:hideMark/>
          </w:tcPr>
          <w:p w:rsidR="00D94554" w:rsidRPr="00D94554" w:rsidRDefault="00D94554" w:rsidP="00D94554">
            <w:pPr>
              <w:widowControl/>
              <w:adjustRightInd/>
              <w:snapToGrid/>
              <w:spacing w:line="240" w:lineRule="auto"/>
              <w:ind w:firstLineChars="0" w:firstLine="0"/>
              <w:textAlignment w:val="auto"/>
              <w:rPr>
                <w:rFonts w:eastAsiaTheme="minorEastAsia"/>
                <w:sz w:val="18"/>
                <w:szCs w:val="18"/>
              </w:rPr>
            </w:pPr>
          </w:p>
        </w:tc>
        <w:tc>
          <w:tcPr>
            <w:tcW w:w="2841" w:type="dxa"/>
            <w:vMerge/>
            <w:vAlign w:val="center"/>
            <w:hideMark/>
          </w:tcPr>
          <w:p w:rsidR="00D94554" w:rsidRPr="00D94554" w:rsidRDefault="00D94554" w:rsidP="00D94554">
            <w:pPr>
              <w:widowControl/>
              <w:adjustRightInd/>
              <w:snapToGrid/>
              <w:spacing w:line="240" w:lineRule="auto"/>
              <w:ind w:firstLineChars="0" w:firstLine="0"/>
              <w:textAlignment w:val="auto"/>
              <w:rPr>
                <w:rFonts w:eastAsiaTheme="minorEastAsia"/>
                <w:sz w:val="18"/>
                <w:szCs w:val="18"/>
              </w:rPr>
            </w:pPr>
          </w:p>
        </w:tc>
        <w:tc>
          <w:tcPr>
            <w:tcW w:w="5387" w:type="dxa"/>
            <w:gridSpan w:val="6"/>
            <w:vAlign w:val="center"/>
            <w:hideMark/>
          </w:tcPr>
          <w:p w:rsidR="00D94554" w:rsidRPr="00D94554" w:rsidRDefault="00D94554" w:rsidP="00D94554">
            <w:pPr>
              <w:adjustRightInd/>
              <w:snapToGrid/>
              <w:spacing w:line="240" w:lineRule="auto"/>
              <w:ind w:firstLineChars="0" w:firstLine="0"/>
              <w:jc w:val="left"/>
              <w:textAlignment w:val="auto"/>
              <w:rPr>
                <w:rFonts w:eastAsiaTheme="minorEastAsia"/>
                <w:sz w:val="18"/>
                <w:szCs w:val="18"/>
                <w:lang w:eastAsia="zh-CN"/>
              </w:rPr>
            </w:pPr>
            <w:r w:rsidRPr="00D94554">
              <w:rPr>
                <w:rFonts w:eastAsiaTheme="minorEastAsia" w:hAnsiTheme="minorEastAsia"/>
                <w:sz w:val="18"/>
                <w:szCs w:val="18"/>
                <w:lang w:eastAsia="zh-CN"/>
              </w:rPr>
              <w:t>直接排放</w:t>
            </w:r>
            <w:r w:rsidRPr="00D94554">
              <w:rPr>
                <w:rFonts w:eastAsiaTheme="minorEastAsia"/>
                <w:sz w:val="18"/>
                <w:szCs w:val="18"/>
                <w:lang w:eastAsia="zh-CN"/>
              </w:rPr>
              <w:t xml:space="preserve"> □</w:t>
            </w:r>
            <w:r w:rsidRPr="00D94554">
              <w:rPr>
                <w:rFonts w:eastAsiaTheme="minorEastAsia" w:hAnsiTheme="minorEastAsia"/>
                <w:sz w:val="18"/>
                <w:szCs w:val="18"/>
                <w:lang w:eastAsia="zh-CN"/>
              </w:rPr>
              <w:t>；间接排放</w:t>
            </w:r>
            <w:r w:rsidRPr="00D94554">
              <w:rPr>
                <w:rFonts w:eastAsiaTheme="minorEastAsia"/>
                <w:sz w:val="18"/>
                <w:szCs w:val="18"/>
                <w:lang w:eastAsia="zh-CN"/>
              </w:rPr>
              <w:t xml:space="preserve"> </w:t>
            </w:r>
            <w:r w:rsidRPr="00D94554">
              <w:rPr>
                <w:w w:val="99"/>
                <w:sz w:val="18"/>
              </w:rPr>
              <w:sym w:font="Wingdings" w:char="00FE"/>
            </w:r>
            <w:r w:rsidRPr="00D94554">
              <w:rPr>
                <w:rFonts w:eastAsiaTheme="minorEastAsia" w:hAnsiTheme="minorEastAsia"/>
                <w:sz w:val="18"/>
                <w:szCs w:val="18"/>
                <w:lang w:eastAsia="zh-CN"/>
              </w:rPr>
              <w:t>；其他</w:t>
            </w:r>
            <w:r w:rsidRPr="00D94554">
              <w:rPr>
                <w:rFonts w:eastAsiaTheme="minorEastAsia"/>
                <w:sz w:val="18"/>
                <w:szCs w:val="18"/>
                <w:lang w:eastAsia="zh-CN"/>
              </w:rPr>
              <w:t xml:space="preserve"> □</w:t>
            </w:r>
          </w:p>
        </w:tc>
        <w:tc>
          <w:tcPr>
            <w:tcW w:w="5179" w:type="dxa"/>
            <w:gridSpan w:val="7"/>
            <w:vAlign w:val="center"/>
            <w:hideMark/>
          </w:tcPr>
          <w:p w:rsidR="00D94554" w:rsidRPr="00D94554" w:rsidRDefault="00D94554" w:rsidP="00D94554">
            <w:pPr>
              <w:adjustRightInd/>
              <w:snapToGrid/>
              <w:spacing w:line="240" w:lineRule="auto"/>
              <w:ind w:firstLineChars="0" w:firstLine="0"/>
              <w:jc w:val="left"/>
              <w:textAlignment w:val="auto"/>
              <w:rPr>
                <w:rFonts w:eastAsiaTheme="minorEastAsia"/>
                <w:sz w:val="18"/>
                <w:szCs w:val="18"/>
                <w:lang w:eastAsia="zh-CN"/>
              </w:rPr>
            </w:pPr>
            <w:r w:rsidRPr="00D94554">
              <w:rPr>
                <w:rFonts w:eastAsiaTheme="minorEastAsia" w:hAnsiTheme="minorEastAsia"/>
                <w:sz w:val="18"/>
                <w:szCs w:val="18"/>
                <w:lang w:eastAsia="zh-CN"/>
              </w:rPr>
              <w:t>水温</w:t>
            </w:r>
            <w:r w:rsidRPr="00D94554">
              <w:rPr>
                <w:rFonts w:eastAsiaTheme="minorEastAsia"/>
                <w:sz w:val="18"/>
                <w:szCs w:val="18"/>
                <w:lang w:eastAsia="zh-CN"/>
              </w:rPr>
              <w:t xml:space="preserve"> □</w:t>
            </w:r>
            <w:r w:rsidRPr="00D94554">
              <w:rPr>
                <w:rFonts w:eastAsiaTheme="minorEastAsia" w:hAnsiTheme="minorEastAsia"/>
                <w:sz w:val="18"/>
                <w:szCs w:val="18"/>
                <w:lang w:eastAsia="zh-CN"/>
              </w:rPr>
              <w:t>；径流</w:t>
            </w:r>
            <w:r w:rsidRPr="00D94554">
              <w:rPr>
                <w:rFonts w:eastAsiaTheme="minorEastAsia"/>
                <w:sz w:val="18"/>
                <w:szCs w:val="18"/>
                <w:lang w:eastAsia="zh-CN"/>
              </w:rPr>
              <w:t xml:space="preserve"> □</w:t>
            </w:r>
            <w:r w:rsidRPr="00D94554">
              <w:rPr>
                <w:rFonts w:eastAsiaTheme="minorEastAsia" w:hAnsiTheme="minorEastAsia"/>
                <w:sz w:val="18"/>
                <w:szCs w:val="18"/>
                <w:lang w:eastAsia="zh-CN"/>
              </w:rPr>
              <w:t>；水域面积</w:t>
            </w:r>
            <w:r w:rsidRPr="00D94554">
              <w:rPr>
                <w:rFonts w:eastAsiaTheme="minorEastAsia"/>
                <w:sz w:val="18"/>
                <w:szCs w:val="18"/>
                <w:lang w:eastAsia="zh-CN"/>
              </w:rPr>
              <w:t xml:space="preserve"> □</w:t>
            </w:r>
          </w:p>
        </w:tc>
      </w:tr>
      <w:tr w:rsidR="00D94554" w:rsidRPr="00D94554" w:rsidTr="00C66914">
        <w:trPr>
          <w:trHeight w:val="397"/>
          <w:jc w:val="center"/>
        </w:trPr>
        <w:tc>
          <w:tcPr>
            <w:tcW w:w="571" w:type="dxa"/>
            <w:vMerge/>
            <w:vAlign w:val="center"/>
            <w:hideMark/>
          </w:tcPr>
          <w:p w:rsidR="00D94554" w:rsidRPr="00D94554" w:rsidRDefault="00D94554" w:rsidP="00D94554">
            <w:pPr>
              <w:widowControl/>
              <w:adjustRightInd/>
              <w:snapToGrid/>
              <w:spacing w:line="240" w:lineRule="auto"/>
              <w:ind w:firstLineChars="0" w:firstLine="0"/>
              <w:textAlignment w:val="auto"/>
              <w:rPr>
                <w:rFonts w:eastAsiaTheme="minorEastAsia"/>
                <w:sz w:val="18"/>
                <w:szCs w:val="18"/>
                <w:lang w:eastAsia="zh-CN"/>
              </w:rPr>
            </w:pPr>
          </w:p>
        </w:tc>
        <w:tc>
          <w:tcPr>
            <w:tcW w:w="2841" w:type="dxa"/>
            <w:vAlign w:val="center"/>
          </w:tcPr>
          <w:p w:rsidR="00D94554" w:rsidRPr="00D94554" w:rsidRDefault="00D94554" w:rsidP="00D94554">
            <w:pPr>
              <w:adjustRightInd/>
              <w:snapToGrid/>
              <w:spacing w:line="240" w:lineRule="auto"/>
              <w:ind w:firstLineChars="0" w:firstLine="0"/>
              <w:jc w:val="center"/>
              <w:textAlignment w:val="auto"/>
              <w:rPr>
                <w:rFonts w:eastAsiaTheme="minorEastAsia"/>
                <w:sz w:val="18"/>
                <w:szCs w:val="18"/>
              </w:rPr>
            </w:pPr>
            <w:r w:rsidRPr="00D94554">
              <w:rPr>
                <w:rFonts w:eastAsiaTheme="minorEastAsia" w:hAnsiTheme="minorEastAsia"/>
                <w:sz w:val="18"/>
                <w:szCs w:val="18"/>
              </w:rPr>
              <w:t>影响因子</w:t>
            </w:r>
          </w:p>
        </w:tc>
        <w:tc>
          <w:tcPr>
            <w:tcW w:w="5387" w:type="dxa"/>
            <w:gridSpan w:val="6"/>
            <w:vAlign w:val="center"/>
            <w:hideMark/>
          </w:tcPr>
          <w:p w:rsidR="00D94554" w:rsidRPr="00D94554" w:rsidRDefault="00D94554" w:rsidP="00D94554">
            <w:pPr>
              <w:adjustRightInd/>
              <w:snapToGrid/>
              <w:spacing w:line="240" w:lineRule="auto"/>
              <w:ind w:firstLineChars="0" w:firstLine="0"/>
              <w:jc w:val="left"/>
              <w:textAlignment w:val="auto"/>
              <w:rPr>
                <w:rFonts w:eastAsiaTheme="minorEastAsia"/>
                <w:sz w:val="18"/>
                <w:szCs w:val="18"/>
              </w:rPr>
            </w:pPr>
            <w:r w:rsidRPr="00D94554">
              <w:rPr>
                <w:rFonts w:eastAsiaTheme="minorEastAsia" w:hAnsiTheme="minorEastAsia"/>
                <w:sz w:val="18"/>
                <w:szCs w:val="18"/>
              </w:rPr>
              <w:t>持久性污染物</w:t>
            </w:r>
            <w:r w:rsidRPr="00D94554">
              <w:rPr>
                <w:w w:val="99"/>
                <w:sz w:val="18"/>
              </w:rPr>
              <w:sym w:font="Wingdings" w:char="00FE"/>
            </w:r>
            <w:r w:rsidRPr="00D94554">
              <w:rPr>
                <w:rFonts w:eastAsiaTheme="minorEastAsia" w:hAnsiTheme="minorEastAsia"/>
                <w:sz w:val="18"/>
                <w:szCs w:val="18"/>
              </w:rPr>
              <w:t>；有毒有害污染物</w:t>
            </w:r>
            <w:r w:rsidRPr="00D94554">
              <w:rPr>
                <w:rFonts w:eastAsiaTheme="minorEastAsia"/>
                <w:sz w:val="18"/>
                <w:szCs w:val="18"/>
              </w:rPr>
              <w:t xml:space="preserve"> □</w:t>
            </w:r>
            <w:r w:rsidRPr="00D94554">
              <w:rPr>
                <w:rFonts w:eastAsiaTheme="minorEastAsia" w:hAnsiTheme="minorEastAsia"/>
                <w:sz w:val="18"/>
                <w:szCs w:val="18"/>
              </w:rPr>
              <w:t>；非持久性污染物</w:t>
            </w:r>
            <w:r w:rsidRPr="00D94554">
              <w:rPr>
                <w:w w:val="99"/>
                <w:sz w:val="18"/>
              </w:rPr>
              <w:sym w:font="Wingdings" w:char="00FE"/>
            </w:r>
            <w:r w:rsidRPr="00D94554">
              <w:rPr>
                <w:rFonts w:eastAsiaTheme="minorEastAsia" w:hAnsiTheme="minorEastAsia"/>
                <w:sz w:val="18"/>
                <w:szCs w:val="18"/>
              </w:rPr>
              <w:t>；</w:t>
            </w:r>
          </w:p>
          <w:p w:rsidR="00D94554" w:rsidRPr="00D94554" w:rsidRDefault="00D94554" w:rsidP="00D94554">
            <w:pPr>
              <w:adjustRightInd/>
              <w:snapToGrid/>
              <w:spacing w:line="240" w:lineRule="auto"/>
              <w:ind w:firstLineChars="0" w:firstLine="0"/>
              <w:jc w:val="left"/>
              <w:textAlignment w:val="auto"/>
              <w:rPr>
                <w:rFonts w:eastAsiaTheme="minorEastAsia"/>
                <w:sz w:val="18"/>
                <w:szCs w:val="18"/>
                <w:lang w:eastAsia="zh-CN"/>
              </w:rPr>
            </w:pPr>
            <w:r w:rsidRPr="00D94554">
              <w:rPr>
                <w:rFonts w:eastAsiaTheme="minorEastAsia"/>
                <w:sz w:val="18"/>
                <w:szCs w:val="18"/>
                <w:lang w:eastAsia="zh-CN"/>
              </w:rPr>
              <w:t>pH</w:t>
            </w:r>
            <w:r w:rsidRPr="00D94554">
              <w:rPr>
                <w:rFonts w:eastAsiaTheme="minorEastAsia" w:hAnsiTheme="minorEastAsia"/>
                <w:sz w:val="18"/>
                <w:szCs w:val="18"/>
                <w:lang w:eastAsia="zh-CN"/>
              </w:rPr>
              <w:t>值</w:t>
            </w:r>
            <w:r w:rsidRPr="00D94554">
              <w:rPr>
                <w:rFonts w:eastAsiaTheme="minorEastAsia"/>
                <w:sz w:val="18"/>
                <w:szCs w:val="18"/>
                <w:lang w:eastAsia="zh-CN"/>
              </w:rPr>
              <w:t xml:space="preserve"> □</w:t>
            </w:r>
            <w:r w:rsidRPr="00D94554">
              <w:rPr>
                <w:rFonts w:eastAsiaTheme="minorEastAsia" w:hAnsiTheme="minorEastAsia"/>
                <w:sz w:val="18"/>
                <w:szCs w:val="18"/>
                <w:lang w:eastAsia="zh-CN"/>
              </w:rPr>
              <w:t>；热污染</w:t>
            </w:r>
            <w:r w:rsidRPr="00D94554">
              <w:rPr>
                <w:rFonts w:eastAsiaTheme="minorEastAsia"/>
                <w:sz w:val="18"/>
                <w:szCs w:val="18"/>
                <w:lang w:eastAsia="zh-CN"/>
              </w:rPr>
              <w:t xml:space="preserve"> □</w:t>
            </w:r>
            <w:r w:rsidRPr="00D94554">
              <w:rPr>
                <w:rFonts w:eastAsiaTheme="minorEastAsia" w:hAnsiTheme="minorEastAsia"/>
                <w:sz w:val="18"/>
                <w:szCs w:val="18"/>
                <w:lang w:eastAsia="zh-CN"/>
              </w:rPr>
              <w:t>；富营养化</w:t>
            </w:r>
            <w:r w:rsidRPr="00D94554">
              <w:rPr>
                <w:rFonts w:eastAsiaTheme="minorEastAsia"/>
                <w:sz w:val="18"/>
                <w:szCs w:val="18"/>
                <w:lang w:eastAsia="zh-CN"/>
              </w:rPr>
              <w:t xml:space="preserve"> □</w:t>
            </w:r>
            <w:r w:rsidRPr="00D94554">
              <w:rPr>
                <w:rFonts w:eastAsiaTheme="minorEastAsia" w:hAnsiTheme="minorEastAsia"/>
                <w:sz w:val="18"/>
                <w:szCs w:val="18"/>
                <w:lang w:eastAsia="zh-CN"/>
              </w:rPr>
              <w:t>；其他</w:t>
            </w:r>
            <w:r w:rsidRPr="00D94554">
              <w:rPr>
                <w:rFonts w:eastAsiaTheme="minorEastAsia"/>
                <w:spacing w:val="-1"/>
                <w:sz w:val="18"/>
                <w:szCs w:val="18"/>
                <w:lang w:eastAsia="zh-CN"/>
              </w:rPr>
              <w:t xml:space="preserve"> </w:t>
            </w:r>
            <w:r w:rsidRPr="00D94554">
              <w:rPr>
                <w:rFonts w:eastAsiaTheme="minorEastAsia"/>
                <w:sz w:val="18"/>
                <w:szCs w:val="18"/>
                <w:lang w:eastAsia="zh-CN"/>
              </w:rPr>
              <w:t>□</w:t>
            </w:r>
          </w:p>
        </w:tc>
        <w:tc>
          <w:tcPr>
            <w:tcW w:w="5179" w:type="dxa"/>
            <w:gridSpan w:val="7"/>
            <w:vAlign w:val="center"/>
          </w:tcPr>
          <w:p w:rsidR="00D94554" w:rsidRPr="00D94554" w:rsidRDefault="00D94554" w:rsidP="00D94554">
            <w:pPr>
              <w:adjustRightInd/>
              <w:snapToGrid/>
              <w:spacing w:line="240" w:lineRule="auto"/>
              <w:ind w:firstLineChars="0" w:firstLine="0"/>
              <w:jc w:val="left"/>
              <w:textAlignment w:val="auto"/>
              <w:rPr>
                <w:rFonts w:eastAsiaTheme="minorEastAsia"/>
                <w:sz w:val="18"/>
                <w:szCs w:val="18"/>
                <w:lang w:eastAsia="zh-CN"/>
              </w:rPr>
            </w:pPr>
            <w:r w:rsidRPr="00D94554">
              <w:rPr>
                <w:rFonts w:eastAsiaTheme="minorEastAsia" w:hAnsiTheme="minorEastAsia"/>
                <w:sz w:val="18"/>
                <w:szCs w:val="18"/>
                <w:lang w:eastAsia="zh-CN"/>
              </w:rPr>
              <w:t>水温</w:t>
            </w:r>
            <w:r w:rsidRPr="00D94554">
              <w:rPr>
                <w:rFonts w:eastAsiaTheme="minorEastAsia"/>
                <w:sz w:val="18"/>
                <w:szCs w:val="18"/>
                <w:lang w:eastAsia="zh-CN"/>
              </w:rPr>
              <w:t xml:space="preserve"> □</w:t>
            </w:r>
            <w:r w:rsidRPr="00D94554">
              <w:rPr>
                <w:rFonts w:eastAsiaTheme="minorEastAsia" w:hAnsiTheme="minorEastAsia"/>
                <w:sz w:val="18"/>
                <w:szCs w:val="18"/>
                <w:lang w:eastAsia="zh-CN"/>
              </w:rPr>
              <w:t>；水位（水深）</w:t>
            </w:r>
            <w:r w:rsidRPr="00D94554">
              <w:rPr>
                <w:rFonts w:eastAsiaTheme="minorEastAsia"/>
                <w:sz w:val="18"/>
                <w:szCs w:val="18"/>
                <w:lang w:eastAsia="zh-CN"/>
              </w:rPr>
              <w:t xml:space="preserve"> □</w:t>
            </w:r>
            <w:r w:rsidRPr="00D94554">
              <w:rPr>
                <w:rFonts w:eastAsiaTheme="minorEastAsia" w:hAnsiTheme="minorEastAsia"/>
                <w:sz w:val="18"/>
                <w:szCs w:val="18"/>
                <w:lang w:eastAsia="zh-CN"/>
              </w:rPr>
              <w:t>；流速</w:t>
            </w:r>
            <w:r w:rsidRPr="00D94554">
              <w:rPr>
                <w:rFonts w:eastAsiaTheme="minorEastAsia"/>
                <w:sz w:val="18"/>
                <w:szCs w:val="18"/>
                <w:lang w:eastAsia="zh-CN"/>
              </w:rPr>
              <w:t xml:space="preserve"> □</w:t>
            </w:r>
            <w:r w:rsidRPr="00D94554">
              <w:rPr>
                <w:rFonts w:eastAsiaTheme="minorEastAsia" w:hAnsiTheme="minorEastAsia"/>
                <w:sz w:val="18"/>
                <w:szCs w:val="18"/>
                <w:lang w:eastAsia="zh-CN"/>
              </w:rPr>
              <w:t>；流量</w:t>
            </w:r>
            <w:r w:rsidRPr="00D94554">
              <w:rPr>
                <w:rFonts w:eastAsiaTheme="minorEastAsia"/>
                <w:sz w:val="18"/>
                <w:szCs w:val="18"/>
                <w:lang w:eastAsia="zh-CN"/>
              </w:rPr>
              <w:t xml:space="preserve"> □</w:t>
            </w:r>
            <w:r w:rsidRPr="00D94554">
              <w:rPr>
                <w:rFonts w:eastAsiaTheme="minorEastAsia" w:hAnsiTheme="minorEastAsia"/>
                <w:sz w:val="18"/>
                <w:szCs w:val="18"/>
                <w:lang w:eastAsia="zh-CN"/>
              </w:rPr>
              <w:t>；其他</w:t>
            </w:r>
            <w:r w:rsidRPr="00D94554">
              <w:rPr>
                <w:rFonts w:eastAsiaTheme="minorEastAsia"/>
                <w:spacing w:val="2"/>
                <w:sz w:val="18"/>
                <w:szCs w:val="18"/>
                <w:lang w:eastAsia="zh-CN"/>
              </w:rPr>
              <w:t xml:space="preserve"> </w:t>
            </w:r>
            <w:r w:rsidRPr="00D94554">
              <w:rPr>
                <w:rFonts w:eastAsiaTheme="minorEastAsia"/>
                <w:sz w:val="18"/>
                <w:szCs w:val="18"/>
                <w:lang w:eastAsia="zh-CN"/>
              </w:rPr>
              <w:t>□</w:t>
            </w:r>
          </w:p>
        </w:tc>
      </w:tr>
      <w:tr w:rsidR="00D94554" w:rsidRPr="00D94554" w:rsidTr="00C66914">
        <w:trPr>
          <w:trHeight w:val="397"/>
          <w:jc w:val="center"/>
        </w:trPr>
        <w:tc>
          <w:tcPr>
            <w:tcW w:w="3412" w:type="dxa"/>
            <w:gridSpan w:val="2"/>
            <w:vMerge w:val="restart"/>
            <w:vAlign w:val="center"/>
          </w:tcPr>
          <w:p w:rsidR="00D94554" w:rsidRPr="00D94554" w:rsidRDefault="00D94554" w:rsidP="00D94554">
            <w:pPr>
              <w:adjustRightInd/>
              <w:snapToGrid/>
              <w:spacing w:line="240" w:lineRule="auto"/>
              <w:ind w:firstLineChars="0" w:firstLine="0"/>
              <w:jc w:val="center"/>
              <w:textAlignment w:val="auto"/>
              <w:rPr>
                <w:rFonts w:eastAsiaTheme="minorEastAsia"/>
                <w:sz w:val="18"/>
                <w:szCs w:val="18"/>
              </w:rPr>
            </w:pPr>
            <w:r w:rsidRPr="00D94554">
              <w:rPr>
                <w:rFonts w:eastAsiaTheme="minorEastAsia" w:hAnsiTheme="minorEastAsia"/>
                <w:sz w:val="18"/>
                <w:szCs w:val="18"/>
              </w:rPr>
              <w:t>评价等级</w:t>
            </w:r>
          </w:p>
        </w:tc>
        <w:tc>
          <w:tcPr>
            <w:tcW w:w="5387" w:type="dxa"/>
            <w:gridSpan w:val="6"/>
            <w:vAlign w:val="center"/>
            <w:hideMark/>
          </w:tcPr>
          <w:p w:rsidR="00D94554" w:rsidRPr="00D94554" w:rsidRDefault="00D94554" w:rsidP="00D94554">
            <w:pPr>
              <w:adjustRightInd/>
              <w:snapToGrid/>
              <w:spacing w:line="240" w:lineRule="auto"/>
              <w:ind w:firstLineChars="0" w:firstLine="0"/>
              <w:jc w:val="center"/>
              <w:textAlignment w:val="auto"/>
              <w:rPr>
                <w:rFonts w:eastAsiaTheme="minorEastAsia"/>
                <w:sz w:val="18"/>
                <w:szCs w:val="18"/>
              </w:rPr>
            </w:pPr>
            <w:r w:rsidRPr="00D94554">
              <w:rPr>
                <w:rFonts w:eastAsiaTheme="minorEastAsia" w:hAnsiTheme="minorEastAsia"/>
                <w:sz w:val="18"/>
                <w:szCs w:val="18"/>
              </w:rPr>
              <w:t>水污染影响型</w:t>
            </w:r>
          </w:p>
        </w:tc>
        <w:tc>
          <w:tcPr>
            <w:tcW w:w="5179" w:type="dxa"/>
            <w:gridSpan w:val="7"/>
            <w:vAlign w:val="center"/>
            <w:hideMark/>
          </w:tcPr>
          <w:p w:rsidR="00D94554" w:rsidRPr="00D94554" w:rsidRDefault="00D94554" w:rsidP="00D94554">
            <w:pPr>
              <w:adjustRightInd/>
              <w:snapToGrid/>
              <w:spacing w:line="240" w:lineRule="auto"/>
              <w:ind w:firstLineChars="0" w:firstLine="0"/>
              <w:jc w:val="center"/>
              <w:textAlignment w:val="auto"/>
              <w:rPr>
                <w:rFonts w:eastAsiaTheme="minorEastAsia"/>
                <w:sz w:val="18"/>
                <w:szCs w:val="18"/>
              </w:rPr>
            </w:pPr>
            <w:r w:rsidRPr="00D94554">
              <w:rPr>
                <w:rFonts w:eastAsiaTheme="minorEastAsia" w:hAnsiTheme="minorEastAsia"/>
                <w:sz w:val="18"/>
                <w:szCs w:val="18"/>
              </w:rPr>
              <w:t>水文要素影响型</w:t>
            </w:r>
          </w:p>
        </w:tc>
      </w:tr>
      <w:tr w:rsidR="00D94554" w:rsidRPr="00D94554" w:rsidTr="00C66914">
        <w:trPr>
          <w:trHeight w:val="397"/>
          <w:jc w:val="center"/>
        </w:trPr>
        <w:tc>
          <w:tcPr>
            <w:tcW w:w="3412" w:type="dxa"/>
            <w:gridSpan w:val="2"/>
            <w:vMerge/>
            <w:vAlign w:val="center"/>
            <w:hideMark/>
          </w:tcPr>
          <w:p w:rsidR="00D94554" w:rsidRPr="00D94554" w:rsidRDefault="00D94554" w:rsidP="00D94554">
            <w:pPr>
              <w:widowControl/>
              <w:adjustRightInd/>
              <w:snapToGrid/>
              <w:spacing w:line="240" w:lineRule="auto"/>
              <w:ind w:firstLineChars="0" w:firstLine="0"/>
              <w:textAlignment w:val="auto"/>
              <w:rPr>
                <w:rFonts w:eastAsiaTheme="minorEastAsia"/>
                <w:sz w:val="18"/>
                <w:szCs w:val="18"/>
              </w:rPr>
            </w:pPr>
          </w:p>
        </w:tc>
        <w:tc>
          <w:tcPr>
            <w:tcW w:w="5387" w:type="dxa"/>
            <w:gridSpan w:val="6"/>
            <w:vAlign w:val="center"/>
            <w:hideMark/>
          </w:tcPr>
          <w:p w:rsidR="00D94554" w:rsidRPr="00D94554" w:rsidRDefault="00D94554" w:rsidP="00D94554">
            <w:pPr>
              <w:adjustRightInd/>
              <w:snapToGrid/>
              <w:spacing w:line="240" w:lineRule="auto"/>
              <w:ind w:firstLineChars="0" w:firstLine="0"/>
              <w:jc w:val="left"/>
              <w:textAlignment w:val="auto"/>
              <w:rPr>
                <w:rFonts w:eastAsiaTheme="minorEastAsia"/>
                <w:sz w:val="18"/>
                <w:szCs w:val="18"/>
              </w:rPr>
            </w:pPr>
            <w:r w:rsidRPr="00D94554">
              <w:rPr>
                <w:rFonts w:eastAsiaTheme="minorEastAsia" w:hAnsiTheme="minorEastAsia"/>
                <w:sz w:val="18"/>
                <w:szCs w:val="18"/>
              </w:rPr>
              <w:t>一级</w:t>
            </w:r>
            <w:r w:rsidRPr="00D94554">
              <w:rPr>
                <w:rFonts w:eastAsiaTheme="minorEastAsia"/>
                <w:spacing w:val="1"/>
                <w:sz w:val="18"/>
                <w:szCs w:val="18"/>
              </w:rPr>
              <w:t xml:space="preserve"> </w:t>
            </w:r>
            <w:r w:rsidRPr="00D94554">
              <w:rPr>
                <w:rFonts w:eastAsiaTheme="minorEastAsia"/>
                <w:sz w:val="18"/>
                <w:szCs w:val="18"/>
              </w:rPr>
              <w:t>□</w:t>
            </w:r>
            <w:r w:rsidRPr="00D94554">
              <w:rPr>
                <w:rFonts w:eastAsiaTheme="minorEastAsia" w:hAnsiTheme="minorEastAsia"/>
                <w:sz w:val="18"/>
                <w:szCs w:val="18"/>
              </w:rPr>
              <w:t>；二级</w:t>
            </w:r>
            <w:r w:rsidRPr="00D94554">
              <w:rPr>
                <w:rFonts w:eastAsiaTheme="minorEastAsia"/>
                <w:spacing w:val="1"/>
                <w:sz w:val="18"/>
                <w:szCs w:val="18"/>
              </w:rPr>
              <w:t xml:space="preserve"> </w:t>
            </w:r>
            <w:r w:rsidRPr="00D94554">
              <w:rPr>
                <w:rFonts w:eastAsiaTheme="minorEastAsia"/>
                <w:sz w:val="18"/>
                <w:szCs w:val="18"/>
              </w:rPr>
              <w:t>□</w:t>
            </w:r>
            <w:r w:rsidRPr="00D94554">
              <w:rPr>
                <w:rFonts w:eastAsiaTheme="minorEastAsia" w:hAnsiTheme="minorEastAsia"/>
                <w:sz w:val="18"/>
                <w:szCs w:val="18"/>
              </w:rPr>
              <w:t>；三级</w:t>
            </w:r>
            <w:r w:rsidRPr="00D94554">
              <w:rPr>
                <w:rFonts w:eastAsiaTheme="minorEastAsia"/>
                <w:spacing w:val="-45"/>
                <w:sz w:val="18"/>
                <w:szCs w:val="18"/>
              </w:rPr>
              <w:t xml:space="preserve"> </w:t>
            </w:r>
            <w:r w:rsidRPr="00D94554">
              <w:rPr>
                <w:rFonts w:eastAsiaTheme="minorEastAsia"/>
                <w:sz w:val="18"/>
                <w:szCs w:val="18"/>
              </w:rPr>
              <w:t>A</w:t>
            </w:r>
            <w:r w:rsidRPr="00D94554">
              <w:rPr>
                <w:rFonts w:eastAsiaTheme="minorEastAsia"/>
                <w:spacing w:val="-3"/>
                <w:sz w:val="18"/>
                <w:szCs w:val="18"/>
              </w:rPr>
              <w:t xml:space="preserve"> </w:t>
            </w:r>
            <w:r w:rsidRPr="00D94554">
              <w:rPr>
                <w:rFonts w:eastAsiaTheme="minorEastAsia"/>
                <w:sz w:val="18"/>
                <w:szCs w:val="18"/>
              </w:rPr>
              <w:t>□</w:t>
            </w:r>
            <w:r w:rsidRPr="00D94554">
              <w:rPr>
                <w:rFonts w:eastAsiaTheme="minorEastAsia" w:hAnsiTheme="minorEastAsia"/>
                <w:sz w:val="18"/>
                <w:szCs w:val="18"/>
              </w:rPr>
              <w:t>；三级</w:t>
            </w:r>
            <w:r w:rsidRPr="00D94554">
              <w:rPr>
                <w:rFonts w:eastAsiaTheme="minorEastAsia"/>
                <w:spacing w:val="-45"/>
                <w:sz w:val="18"/>
                <w:szCs w:val="18"/>
              </w:rPr>
              <w:t xml:space="preserve"> </w:t>
            </w:r>
            <w:r w:rsidRPr="00D94554">
              <w:rPr>
                <w:rFonts w:eastAsiaTheme="minorEastAsia"/>
                <w:sz w:val="18"/>
                <w:szCs w:val="18"/>
              </w:rPr>
              <w:t xml:space="preserve">B </w:t>
            </w:r>
            <w:r w:rsidRPr="00D94554">
              <w:rPr>
                <w:w w:val="99"/>
                <w:sz w:val="18"/>
              </w:rPr>
              <w:sym w:font="Wingdings" w:char="00FE"/>
            </w:r>
          </w:p>
        </w:tc>
        <w:tc>
          <w:tcPr>
            <w:tcW w:w="5179" w:type="dxa"/>
            <w:gridSpan w:val="7"/>
            <w:vAlign w:val="center"/>
            <w:hideMark/>
          </w:tcPr>
          <w:p w:rsidR="00D94554" w:rsidRPr="00D94554" w:rsidRDefault="00D94554" w:rsidP="00D94554">
            <w:pPr>
              <w:adjustRightInd/>
              <w:snapToGrid/>
              <w:spacing w:line="240" w:lineRule="auto"/>
              <w:ind w:firstLineChars="0" w:firstLine="0"/>
              <w:jc w:val="left"/>
              <w:textAlignment w:val="auto"/>
              <w:rPr>
                <w:rFonts w:eastAsiaTheme="minorEastAsia"/>
                <w:sz w:val="18"/>
                <w:szCs w:val="18"/>
                <w:lang w:eastAsia="zh-CN"/>
              </w:rPr>
            </w:pPr>
            <w:r w:rsidRPr="00D94554">
              <w:rPr>
                <w:rFonts w:eastAsiaTheme="minorEastAsia" w:hAnsiTheme="minorEastAsia"/>
                <w:sz w:val="18"/>
                <w:szCs w:val="18"/>
                <w:lang w:eastAsia="zh-CN"/>
              </w:rPr>
              <w:t>一级</w:t>
            </w:r>
            <w:r w:rsidRPr="00D94554">
              <w:rPr>
                <w:rFonts w:eastAsiaTheme="minorEastAsia"/>
                <w:sz w:val="18"/>
                <w:szCs w:val="18"/>
                <w:lang w:eastAsia="zh-CN"/>
              </w:rPr>
              <w:t xml:space="preserve"> □</w:t>
            </w:r>
            <w:r w:rsidRPr="00D94554">
              <w:rPr>
                <w:rFonts w:eastAsiaTheme="minorEastAsia" w:hAnsiTheme="minorEastAsia"/>
                <w:sz w:val="18"/>
                <w:szCs w:val="18"/>
                <w:lang w:eastAsia="zh-CN"/>
              </w:rPr>
              <w:t>；二级</w:t>
            </w:r>
            <w:r w:rsidRPr="00D94554">
              <w:rPr>
                <w:rFonts w:eastAsiaTheme="minorEastAsia"/>
                <w:sz w:val="18"/>
                <w:szCs w:val="18"/>
                <w:lang w:eastAsia="zh-CN"/>
              </w:rPr>
              <w:t xml:space="preserve"> □</w:t>
            </w:r>
            <w:r w:rsidRPr="00D94554">
              <w:rPr>
                <w:rFonts w:eastAsiaTheme="minorEastAsia" w:hAnsiTheme="minorEastAsia"/>
                <w:sz w:val="18"/>
                <w:szCs w:val="18"/>
                <w:lang w:eastAsia="zh-CN"/>
              </w:rPr>
              <w:t>；三级</w:t>
            </w:r>
            <w:r w:rsidRPr="00D94554">
              <w:rPr>
                <w:rFonts w:eastAsiaTheme="minorEastAsia"/>
                <w:spacing w:val="3"/>
                <w:sz w:val="18"/>
                <w:szCs w:val="18"/>
                <w:lang w:eastAsia="zh-CN"/>
              </w:rPr>
              <w:t xml:space="preserve"> </w:t>
            </w:r>
            <w:r w:rsidRPr="00D94554">
              <w:rPr>
                <w:rFonts w:eastAsiaTheme="minorEastAsia"/>
                <w:sz w:val="18"/>
                <w:szCs w:val="18"/>
                <w:lang w:eastAsia="zh-CN"/>
              </w:rPr>
              <w:t>□</w:t>
            </w:r>
          </w:p>
        </w:tc>
      </w:tr>
      <w:tr w:rsidR="00D94554" w:rsidRPr="00D94554" w:rsidTr="00C66914">
        <w:trPr>
          <w:trHeight w:val="397"/>
          <w:jc w:val="center"/>
        </w:trPr>
        <w:tc>
          <w:tcPr>
            <w:tcW w:w="571" w:type="dxa"/>
            <w:vMerge w:val="restart"/>
            <w:vAlign w:val="center"/>
          </w:tcPr>
          <w:p w:rsidR="00D94554" w:rsidRPr="00D94554" w:rsidRDefault="00D94554" w:rsidP="00D94554">
            <w:pPr>
              <w:adjustRightInd/>
              <w:snapToGrid/>
              <w:spacing w:line="240" w:lineRule="auto"/>
              <w:ind w:firstLineChars="0" w:firstLine="0"/>
              <w:jc w:val="center"/>
              <w:textAlignment w:val="auto"/>
              <w:rPr>
                <w:rFonts w:eastAsiaTheme="minorEastAsia"/>
                <w:sz w:val="18"/>
                <w:szCs w:val="18"/>
              </w:rPr>
            </w:pPr>
            <w:r w:rsidRPr="00D94554">
              <w:rPr>
                <w:rFonts w:eastAsiaTheme="minorEastAsia" w:hAnsiTheme="minorEastAsia"/>
                <w:sz w:val="18"/>
                <w:szCs w:val="18"/>
              </w:rPr>
              <w:t>现状</w:t>
            </w:r>
            <w:r w:rsidRPr="00D94554">
              <w:rPr>
                <w:rFonts w:eastAsiaTheme="minorEastAsia"/>
                <w:sz w:val="18"/>
                <w:szCs w:val="18"/>
              </w:rPr>
              <w:t xml:space="preserve"> </w:t>
            </w:r>
            <w:r w:rsidRPr="00D94554">
              <w:rPr>
                <w:rFonts w:eastAsiaTheme="minorEastAsia" w:hAnsiTheme="minorEastAsia"/>
                <w:sz w:val="18"/>
                <w:szCs w:val="18"/>
              </w:rPr>
              <w:t>调查</w:t>
            </w:r>
          </w:p>
        </w:tc>
        <w:tc>
          <w:tcPr>
            <w:tcW w:w="2841" w:type="dxa"/>
            <w:vMerge w:val="restart"/>
            <w:vAlign w:val="center"/>
          </w:tcPr>
          <w:p w:rsidR="00D94554" w:rsidRPr="00D94554" w:rsidRDefault="00D94554" w:rsidP="00D94554">
            <w:pPr>
              <w:adjustRightInd/>
              <w:snapToGrid/>
              <w:spacing w:line="240" w:lineRule="auto"/>
              <w:ind w:firstLineChars="0" w:firstLine="0"/>
              <w:jc w:val="center"/>
              <w:textAlignment w:val="auto"/>
              <w:rPr>
                <w:rFonts w:eastAsiaTheme="minorEastAsia"/>
                <w:sz w:val="18"/>
                <w:szCs w:val="18"/>
              </w:rPr>
            </w:pPr>
            <w:r w:rsidRPr="00D94554">
              <w:rPr>
                <w:rFonts w:eastAsiaTheme="minorEastAsia" w:hAnsiTheme="minorEastAsia"/>
                <w:sz w:val="18"/>
                <w:szCs w:val="18"/>
              </w:rPr>
              <w:t>区域污染源</w:t>
            </w:r>
          </w:p>
        </w:tc>
        <w:tc>
          <w:tcPr>
            <w:tcW w:w="5387" w:type="dxa"/>
            <w:gridSpan w:val="6"/>
            <w:vAlign w:val="center"/>
            <w:hideMark/>
          </w:tcPr>
          <w:p w:rsidR="00D94554" w:rsidRPr="00D94554" w:rsidRDefault="00D94554" w:rsidP="00D94554">
            <w:pPr>
              <w:adjustRightInd/>
              <w:snapToGrid/>
              <w:spacing w:line="240" w:lineRule="auto"/>
              <w:ind w:firstLineChars="0" w:firstLine="0"/>
              <w:jc w:val="center"/>
              <w:textAlignment w:val="auto"/>
              <w:rPr>
                <w:rFonts w:eastAsiaTheme="minorEastAsia"/>
                <w:sz w:val="18"/>
                <w:szCs w:val="18"/>
              </w:rPr>
            </w:pPr>
            <w:r w:rsidRPr="00D94554">
              <w:rPr>
                <w:rFonts w:eastAsiaTheme="minorEastAsia" w:hAnsiTheme="minorEastAsia"/>
                <w:sz w:val="18"/>
                <w:szCs w:val="18"/>
              </w:rPr>
              <w:t>调查项目</w:t>
            </w:r>
          </w:p>
        </w:tc>
        <w:tc>
          <w:tcPr>
            <w:tcW w:w="5179" w:type="dxa"/>
            <w:gridSpan w:val="7"/>
            <w:vAlign w:val="center"/>
            <w:hideMark/>
          </w:tcPr>
          <w:p w:rsidR="00D94554" w:rsidRPr="00D94554" w:rsidRDefault="00D94554" w:rsidP="00D94554">
            <w:pPr>
              <w:adjustRightInd/>
              <w:snapToGrid/>
              <w:spacing w:line="240" w:lineRule="auto"/>
              <w:ind w:firstLineChars="0" w:firstLine="0"/>
              <w:jc w:val="center"/>
              <w:textAlignment w:val="auto"/>
              <w:rPr>
                <w:rFonts w:eastAsiaTheme="minorEastAsia"/>
                <w:sz w:val="18"/>
                <w:szCs w:val="18"/>
              </w:rPr>
            </w:pPr>
            <w:r w:rsidRPr="00D94554">
              <w:rPr>
                <w:rFonts w:eastAsiaTheme="minorEastAsia" w:hAnsiTheme="minorEastAsia"/>
                <w:sz w:val="18"/>
                <w:szCs w:val="18"/>
              </w:rPr>
              <w:t>数据来源</w:t>
            </w:r>
          </w:p>
        </w:tc>
      </w:tr>
      <w:tr w:rsidR="00D94554" w:rsidRPr="00D94554" w:rsidTr="00C66914">
        <w:trPr>
          <w:trHeight w:val="397"/>
          <w:jc w:val="center"/>
        </w:trPr>
        <w:tc>
          <w:tcPr>
            <w:tcW w:w="571" w:type="dxa"/>
            <w:vMerge/>
            <w:vAlign w:val="center"/>
            <w:hideMark/>
          </w:tcPr>
          <w:p w:rsidR="00D94554" w:rsidRPr="00D94554" w:rsidRDefault="00D94554" w:rsidP="00D94554">
            <w:pPr>
              <w:widowControl/>
              <w:adjustRightInd/>
              <w:snapToGrid/>
              <w:spacing w:line="240" w:lineRule="auto"/>
              <w:ind w:firstLineChars="0" w:firstLine="0"/>
              <w:textAlignment w:val="auto"/>
              <w:rPr>
                <w:rFonts w:eastAsiaTheme="minorEastAsia"/>
                <w:sz w:val="18"/>
                <w:szCs w:val="18"/>
              </w:rPr>
            </w:pPr>
          </w:p>
        </w:tc>
        <w:tc>
          <w:tcPr>
            <w:tcW w:w="2841" w:type="dxa"/>
            <w:vMerge/>
            <w:vAlign w:val="center"/>
            <w:hideMark/>
          </w:tcPr>
          <w:p w:rsidR="00D94554" w:rsidRPr="00D94554" w:rsidRDefault="00D94554" w:rsidP="00D94554">
            <w:pPr>
              <w:widowControl/>
              <w:adjustRightInd/>
              <w:snapToGrid/>
              <w:spacing w:line="240" w:lineRule="auto"/>
              <w:ind w:firstLineChars="0" w:firstLine="0"/>
              <w:textAlignment w:val="auto"/>
              <w:rPr>
                <w:rFonts w:eastAsiaTheme="minorEastAsia"/>
                <w:sz w:val="18"/>
                <w:szCs w:val="18"/>
              </w:rPr>
            </w:pPr>
          </w:p>
        </w:tc>
        <w:tc>
          <w:tcPr>
            <w:tcW w:w="3119" w:type="dxa"/>
            <w:gridSpan w:val="3"/>
            <w:vAlign w:val="center"/>
            <w:hideMark/>
          </w:tcPr>
          <w:p w:rsidR="00D94554" w:rsidRPr="00D94554" w:rsidRDefault="00D94554" w:rsidP="00D94554">
            <w:pPr>
              <w:adjustRightInd/>
              <w:snapToGrid/>
              <w:spacing w:line="240" w:lineRule="auto"/>
              <w:ind w:firstLineChars="0" w:firstLine="0"/>
              <w:jc w:val="left"/>
              <w:textAlignment w:val="auto"/>
              <w:rPr>
                <w:rFonts w:eastAsiaTheme="minorEastAsia"/>
                <w:sz w:val="18"/>
                <w:szCs w:val="18"/>
                <w:lang w:eastAsia="zh-CN"/>
              </w:rPr>
            </w:pPr>
            <w:r w:rsidRPr="00D94554">
              <w:rPr>
                <w:rFonts w:eastAsiaTheme="minorEastAsia" w:hAnsiTheme="minorEastAsia"/>
                <w:sz w:val="18"/>
                <w:szCs w:val="18"/>
                <w:lang w:eastAsia="zh-CN"/>
              </w:rPr>
              <w:t>已建</w:t>
            </w:r>
            <w:r w:rsidRPr="00D94554">
              <w:rPr>
                <w:rFonts w:eastAsiaTheme="minorEastAsia"/>
                <w:sz w:val="18"/>
                <w:szCs w:val="18"/>
                <w:lang w:eastAsia="zh-CN"/>
              </w:rPr>
              <w:t xml:space="preserve"> □</w:t>
            </w:r>
            <w:r w:rsidRPr="00D94554">
              <w:rPr>
                <w:rFonts w:eastAsiaTheme="minorEastAsia" w:hAnsiTheme="minorEastAsia"/>
                <w:sz w:val="18"/>
                <w:szCs w:val="18"/>
                <w:lang w:eastAsia="zh-CN"/>
              </w:rPr>
              <w:t>；在建</w:t>
            </w:r>
            <w:r w:rsidRPr="00D94554">
              <w:rPr>
                <w:rFonts w:eastAsiaTheme="minorEastAsia"/>
                <w:sz w:val="18"/>
                <w:szCs w:val="18"/>
                <w:lang w:eastAsia="zh-CN"/>
              </w:rPr>
              <w:t xml:space="preserve"> □</w:t>
            </w:r>
            <w:r w:rsidRPr="00D94554">
              <w:rPr>
                <w:rFonts w:eastAsiaTheme="minorEastAsia" w:hAnsiTheme="minorEastAsia"/>
                <w:sz w:val="18"/>
                <w:szCs w:val="18"/>
                <w:lang w:eastAsia="zh-CN"/>
              </w:rPr>
              <w:t>；拟建</w:t>
            </w:r>
            <w:r w:rsidRPr="00D94554">
              <w:rPr>
                <w:rFonts w:eastAsiaTheme="minorEastAsia"/>
                <w:spacing w:val="3"/>
                <w:sz w:val="18"/>
                <w:szCs w:val="18"/>
                <w:lang w:eastAsia="zh-CN"/>
              </w:rPr>
              <w:t xml:space="preserve"> </w:t>
            </w:r>
            <w:r w:rsidRPr="00D94554">
              <w:rPr>
                <w:rFonts w:eastAsiaTheme="minorEastAsia"/>
                <w:sz w:val="18"/>
                <w:szCs w:val="18"/>
                <w:lang w:eastAsia="zh-CN"/>
              </w:rPr>
              <w:t>□</w:t>
            </w:r>
            <w:r w:rsidRPr="00D94554">
              <w:rPr>
                <w:rFonts w:eastAsiaTheme="minorEastAsia" w:hAnsiTheme="minorEastAsia"/>
                <w:sz w:val="18"/>
                <w:szCs w:val="18"/>
                <w:lang w:eastAsia="zh-CN"/>
              </w:rPr>
              <w:t>；</w:t>
            </w:r>
            <w:r w:rsidRPr="00D94554">
              <w:rPr>
                <w:rFonts w:eastAsiaTheme="minorEastAsia"/>
                <w:sz w:val="18"/>
                <w:szCs w:val="18"/>
                <w:lang w:eastAsia="zh-CN"/>
              </w:rPr>
              <w:t xml:space="preserve"> </w:t>
            </w:r>
            <w:r w:rsidRPr="00D94554">
              <w:rPr>
                <w:rFonts w:eastAsiaTheme="minorEastAsia" w:hAnsiTheme="minorEastAsia"/>
                <w:sz w:val="18"/>
                <w:szCs w:val="18"/>
                <w:lang w:eastAsia="zh-CN"/>
              </w:rPr>
              <w:t>其他</w:t>
            </w:r>
            <w:r w:rsidRPr="00D94554">
              <w:rPr>
                <w:rFonts w:eastAsiaTheme="minorEastAsia"/>
                <w:spacing w:val="1"/>
                <w:sz w:val="18"/>
                <w:szCs w:val="18"/>
                <w:lang w:eastAsia="zh-CN"/>
              </w:rPr>
              <w:t xml:space="preserve"> </w:t>
            </w:r>
            <w:r w:rsidRPr="00D94554">
              <w:rPr>
                <w:rFonts w:eastAsiaTheme="minorEastAsia"/>
                <w:sz w:val="18"/>
                <w:szCs w:val="18"/>
                <w:lang w:eastAsia="zh-CN"/>
              </w:rPr>
              <w:t>□</w:t>
            </w:r>
          </w:p>
        </w:tc>
        <w:tc>
          <w:tcPr>
            <w:tcW w:w="2268" w:type="dxa"/>
            <w:gridSpan w:val="3"/>
            <w:vAlign w:val="center"/>
          </w:tcPr>
          <w:p w:rsidR="00D94554" w:rsidRPr="00D94554" w:rsidRDefault="00D94554" w:rsidP="00D94554">
            <w:pPr>
              <w:adjustRightInd/>
              <w:snapToGrid/>
              <w:spacing w:line="240" w:lineRule="auto"/>
              <w:ind w:firstLineChars="0" w:firstLine="0"/>
              <w:jc w:val="left"/>
              <w:textAlignment w:val="auto"/>
              <w:rPr>
                <w:rFonts w:eastAsiaTheme="minorEastAsia"/>
                <w:sz w:val="18"/>
                <w:szCs w:val="18"/>
              </w:rPr>
            </w:pPr>
            <w:r w:rsidRPr="00D94554">
              <w:rPr>
                <w:rFonts w:eastAsiaTheme="minorEastAsia" w:hAnsiTheme="minorEastAsia"/>
                <w:sz w:val="18"/>
                <w:szCs w:val="18"/>
              </w:rPr>
              <w:t>拟替代的污染源</w:t>
            </w:r>
            <w:r w:rsidRPr="00D94554">
              <w:rPr>
                <w:rFonts w:eastAsiaTheme="minorEastAsia"/>
                <w:spacing w:val="1"/>
                <w:sz w:val="18"/>
                <w:szCs w:val="18"/>
              </w:rPr>
              <w:t xml:space="preserve"> </w:t>
            </w:r>
            <w:r w:rsidRPr="00D94554">
              <w:rPr>
                <w:rFonts w:eastAsiaTheme="minorEastAsia"/>
                <w:sz w:val="18"/>
                <w:szCs w:val="18"/>
              </w:rPr>
              <w:t>□</w:t>
            </w:r>
          </w:p>
        </w:tc>
        <w:tc>
          <w:tcPr>
            <w:tcW w:w="5179" w:type="dxa"/>
            <w:gridSpan w:val="7"/>
            <w:vAlign w:val="center"/>
            <w:hideMark/>
          </w:tcPr>
          <w:p w:rsidR="00D94554" w:rsidRPr="00D94554" w:rsidRDefault="00D94554" w:rsidP="00D94554">
            <w:pPr>
              <w:adjustRightInd/>
              <w:snapToGrid/>
              <w:spacing w:line="240" w:lineRule="auto"/>
              <w:ind w:firstLineChars="0" w:firstLine="0"/>
              <w:jc w:val="left"/>
              <w:textAlignment w:val="auto"/>
              <w:rPr>
                <w:rFonts w:eastAsiaTheme="minorEastAsia"/>
                <w:sz w:val="18"/>
                <w:szCs w:val="18"/>
                <w:lang w:eastAsia="zh-CN"/>
              </w:rPr>
            </w:pPr>
            <w:r w:rsidRPr="00D94554">
              <w:rPr>
                <w:rFonts w:eastAsiaTheme="minorEastAsia" w:hAnsiTheme="minorEastAsia"/>
                <w:sz w:val="18"/>
                <w:szCs w:val="18"/>
                <w:lang w:eastAsia="zh-CN"/>
              </w:rPr>
              <w:t>排污许可证</w:t>
            </w:r>
            <w:r w:rsidRPr="00D94554">
              <w:rPr>
                <w:rFonts w:eastAsiaTheme="minorEastAsia"/>
                <w:sz w:val="18"/>
                <w:szCs w:val="18"/>
                <w:lang w:eastAsia="zh-CN"/>
              </w:rPr>
              <w:t xml:space="preserve"> □</w:t>
            </w:r>
            <w:r w:rsidRPr="00D94554">
              <w:rPr>
                <w:rFonts w:eastAsiaTheme="minorEastAsia" w:hAnsiTheme="minorEastAsia"/>
                <w:sz w:val="18"/>
                <w:szCs w:val="18"/>
                <w:lang w:eastAsia="zh-CN"/>
              </w:rPr>
              <w:t>；环评</w:t>
            </w:r>
            <w:r w:rsidRPr="00D94554">
              <w:rPr>
                <w:rFonts w:eastAsiaTheme="minorEastAsia"/>
                <w:sz w:val="18"/>
                <w:szCs w:val="18"/>
                <w:lang w:eastAsia="zh-CN"/>
              </w:rPr>
              <w:t xml:space="preserve"> □</w:t>
            </w:r>
            <w:r w:rsidRPr="00D94554">
              <w:rPr>
                <w:rFonts w:eastAsiaTheme="minorEastAsia" w:hAnsiTheme="minorEastAsia"/>
                <w:sz w:val="18"/>
                <w:szCs w:val="18"/>
                <w:lang w:eastAsia="zh-CN"/>
              </w:rPr>
              <w:t>；环保验收</w:t>
            </w:r>
            <w:r w:rsidRPr="00D94554">
              <w:rPr>
                <w:rFonts w:eastAsiaTheme="minorEastAsia"/>
                <w:sz w:val="18"/>
                <w:szCs w:val="18"/>
                <w:lang w:eastAsia="zh-CN"/>
              </w:rPr>
              <w:t xml:space="preserve"> □</w:t>
            </w:r>
            <w:r w:rsidRPr="00D94554">
              <w:rPr>
                <w:rFonts w:eastAsiaTheme="minorEastAsia" w:hAnsiTheme="minorEastAsia"/>
                <w:sz w:val="18"/>
                <w:szCs w:val="18"/>
                <w:lang w:eastAsia="zh-CN"/>
              </w:rPr>
              <w:t>；既有实测</w:t>
            </w:r>
            <w:r w:rsidRPr="00D94554">
              <w:rPr>
                <w:rFonts w:eastAsiaTheme="minorEastAsia"/>
                <w:spacing w:val="-5"/>
                <w:sz w:val="18"/>
                <w:szCs w:val="18"/>
                <w:lang w:eastAsia="zh-CN"/>
              </w:rPr>
              <w:t xml:space="preserve"> </w:t>
            </w:r>
            <w:r w:rsidRPr="00D94554">
              <w:rPr>
                <w:rFonts w:eastAsiaTheme="minorEastAsia"/>
                <w:sz w:val="18"/>
                <w:szCs w:val="18"/>
                <w:lang w:eastAsia="zh-CN"/>
              </w:rPr>
              <w:t>□</w:t>
            </w:r>
            <w:r w:rsidRPr="00D94554">
              <w:rPr>
                <w:rFonts w:eastAsiaTheme="minorEastAsia" w:hAnsiTheme="minorEastAsia"/>
                <w:sz w:val="18"/>
                <w:szCs w:val="18"/>
                <w:lang w:eastAsia="zh-CN"/>
              </w:rPr>
              <w:t>；现场监测</w:t>
            </w:r>
            <w:r w:rsidRPr="00D94554">
              <w:rPr>
                <w:rFonts w:eastAsiaTheme="minorEastAsia"/>
                <w:sz w:val="18"/>
                <w:szCs w:val="18"/>
                <w:lang w:eastAsia="zh-CN"/>
              </w:rPr>
              <w:t xml:space="preserve"> □</w:t>
            </w:r>
            <w:r w:rsidRPr="00D94554">
              <w:rPr>
                <w:rFonts w:eastAsiaTheme="minorEastAsia" w:hAnsiTheme="minorEastAsia"/>
                <w:sz w:val="18"/>
                <w:szCs w:val="18"/>
                <w:lang w:eastAsia="zh-CN"/>
              </w:rPr>
              <w:t>；入河排放口数据</w:t>
            </w:r>
            <w:r w:rsidRPr="00D94554">
              <w:rPr>
                <w:rFonts w:eastAsiaTheme="minorEastAsia"/>
                <w:sz w:val="18"/>
                <w:szCs w:val="18"/>
                <w:lang w:eastAsia="zh-CN"/>
              </w:rPr>
              <w:t xml:space="preserve"> □</w:t>
            </w:r>
            <w:r w:rsidRPr="00D94554">
              <w:rPr>
                <w:rFonts w:eastAsiaTheme="minorEastAsia" w:hAnsiTheme="minorEastAsia"/>
                <w:sz w:val="18"/>
                <w:szCs w:val="18"/>
                <w:lang w:eastAsia="zh-CN"/>
              </w:rPr>
              <w:t>；其他</w:t>
            </w:r>
            <w:r w:rsidRPr="00D94554">
              <w:rPr>
                <w:rFonts w:eastAsiaTheme="minorEastAsia"/>
                <w:sz w:val="18"/>
                <w:szCs w:val="18"/>
                <w:lang w:eastAsia="zh-CN"/>
              </w:rPr>
              <w:t xml:space="preserve"> □</w:t>
            </w:r>
          </w:p>
        </w:tc>
      </w:tr>
      <w:tr w:rsidR="00D94554" w:rsidRPr="00D94554" w:rsidTr="00C66914">
        <w:trPr>
          <w:trHeight w:val="397"/>
          <w:jc w:val="center"/>
        </w:trPr>
        <w:tc>
          <w:tcPr>
            <w:tcW w:w="571" w:type="dxa"/>
            <w:vMerge/>
            <w:vAlign w:val="center"/>
            <w:hideMark/>
          </w:tcPr>
          <w:p w:rsidR="00D94554" w:rsidRPr="00D94554" w:rsidRDefault="00D94554" w:rsidP="00D94554">
            <w:pPr>
              <w:widowControl/>
              <w:adjustRightInd/>
              <w:snapToGrid/>
              <w:spacing w:line="240" w:lineRule="auto"/>
              <w:ind w:firstLineChars="0" w:firstLine="0"/>
              <w:textAlignment w:val="auto"/>
              <w:rPr>
                <w:rFonts w:eastAsiaTheme="minorEastAsia"/>
                <w:sz w:val="18"/>
                <w:szCs w:val="18"/>
                <w:lang w:eastAsia="zh-CN"/>
              </w:rPr>
            </w:pPr>
          </w:p>
        </w:tc>
        <w:tc>
          <w:tcPr>
            <w:tcW w:w="2841" w:type="dxa"/>
            <w:vMerge w:val="restart"/>
            <w:vAlign w:val="center"/>
          </w:tcPr>
          <w:p w:rsidR="00D94554" w:rsidRPr="00D94554" w:rsidRDefault="00D94554" w:rsidP="00D94554">
            <w:pPr>
              <w:adjustRightInd/>
              <w:snapToGrid/>
              <w:spacing w:line="240" w:lineRule="auto"/>
              <w:ind w:firstLineChars="0" w:firstLine="0"/>
              <w:jc w:val="center"/>
              <w:textAlignment w:val="auto"/>
              <w:rPr>
                <w:rFonts w:eastAsiaTheme="minorEastAsia"/>
                <w:sz w:val="18"/>
                <w:szCs w:val="18"/>
                <w:lang w:eastAsia="zh-CN"/>
              </w:rPr>
            </w:pPr>
            <w:r w:rsidRPr="00D94554">
              <w:rPr>
                <w:rFonts w:eastAsiaTheme="minorEastAsia" w:hAnsiTheme="minorEastAsia"/>
                <w:sz w:val="18"/>
                <w:szCs w:val="18"/>
                <w:lang w:eastAsia="zh-CN"/>
              </w:rPr>
              <w:t>受影响水体水环境质量</w:t>
            </w:r>
          </w:p>
        </w:tc>
        <w:tc>
          <w:tcPr>
            <w:tcW w:w="5387" w:type="dxa"/>
            <w:gridSpan w:val="6"/>
            <w:vAlign w:val="center"/>
            <w:hideMark/>
          </w:tcPr>
          <w:p w:rsidR="00D94554" w:rsidRPr="00D94554" w:rsidRDefault="00D94554" w:rsidP="00D94554">
            <w:pPr>
              <w:adjustRightInd/>
              <w:snapToGrid/>
              <w:spacing w:line="240" w:lineRule="auto"/>
              <w:ind w:firstLineChars="0" w:firstLine="0"/>
              <w:jc w:val="center"/>
              <w:textAlignment w:val="auto"/>
              <w:rPr>
                <w:rFonts w:eastAsiaTheme="minorEastAsia"/>
                <w:sz w:val="18"/>
                <w:szCs w:val="18"/>
              </w:rPr>
            </w:pPr>
            <w:r w:rsidRPr="00D94554">
              <w:rPr>
                <w:rFonts w:eastAsiaTheme="minorEastAsia" w:hAnsiTheme="minorEastAsia"/>
                <w:sz w:val="18"/>
                <w:szCs w:val="18"/>
              </w:rPr>
              <w:t>调查时期</w:t>
            </w:r>
          </w:p>
        </w:tc>
        <w:tc>
          <w:tcPr>
            <w:tcW w:w="5179" w:type="dxa"/>
            <w:gridSpan w:val="7"/>
            <w:vAlign w:val="center"/>
            <w:hideMark/>
          </w:tcPr>
          <w:p w:rsidR="00D94554" w:rsidRPr="00D94554" w:rsidRDefault="00D94554" w:rsidP="00D94554">
            <w:pPr>
              <w:adjustRightInd/>
              <w:snapToGrid/>
              <w:spacing w:line="240" w:lineRule="auto"/>
              <w:ind w:firstLineChars="0" w:firstLine="0"/>
              <w:jc w:val="center"/>
              <w:textAlignment w:val="auto"/>
              <w:rPr>
                <w:rFonts w:eastAsiaTheme="minorEastAsia"/>
                <w:sz w:val="18"/>
                <w:szCs w:val="18"/>
              </w:rPr>
            </w:pPr>
            <w:r w:rsidRPr="00D94554">
              <w:rPr>
                <w:rFonts w:eastAsiaTheme="minorEastAsia" w:hAnsiTheme="minorEastAsia"/>
                <w:sz w:val="18"/>
                <w:szCs w:val="18"/>
              </w:rPr>
              <w:t>数据来源</w:t>
            </w:r>
          </w:p>
        </w:tc>
      </w:tr>
      <w:tr w:rsidR="00D94554" w:rsidRPr="00D94554" w:rsidTr="00C66914">
        <w:trPr>
          <w:trHeight w:val="397"/>
          <w:jc w:val="center"/>
        </w:trPr>
        <w:tc>
          <w:tcPr>
            <w:tcW w:w="571" w:type="dxa"/>
            <w:vMerge/>
            <w:vAlign w:val="center"/>
            <w:hideMark/>
          </w:tcPr>
          <w:p w:rsidR="00D94554" w:rsidRPr="00D94554" w:rsidRDefault="00D94554" w:rsidP="00D94554">
            <w:pPr>
              <w:widowControl/>
              <w:adjustRightInd/>
              <w:snapToGrid/>
              <w:spacing w:line="240" w:lineRule="auto"/>
              <w:ind w:firstLineChars="0" w:firstLine="0"/>
              <w:textAlignment w:val="auto"/>
              <w:rPr>
                <w:rFonts w:eastAsiaTheme="minorEastAsia"/>
                <w:sz w:val="18"/>
                <w:szCs w:val="18"/>
              </w:rPr>
            </w:pPr>
          </w:p>
        </w:tc>
        <w:tc>
          <w:tcPr>
            <w:tcW w:w="2841" w:type="dxa"/>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eastAsiaTheme="minorEastAsia"/>
                <w:sz w:val="18"/>
                <w:szCs w:val="18"/>
              </w:rPr>
            </w:pPr>
          </w:p>
        </w:tc>
        <w:tc>
          <w:tcPr>
            <w:tcW w:w="5387" w:type="dxa"/>
            <w:gridSpan w:val="6"/>
            <w:vAlign w:val="center"/>
            <w:hideMark/>
          </w:tcPr>
          <w:p w:rsidR="00D94554" w:rsidRPr="00D94554" w:rsidRDefault="00D94554" w:rsidP="00D94554">
            <w:pPr>
              <w:adjustRightInd/>
              <w:snapToGrid/>
              <w:spacing w:line="240" w:lineRule="auto"/>
              <w:ind w:firstLineChars="0" w:firstLine="0"/>
              <w:jc w:val="left"/>
              <w:textAlignment w:val="auto"/>
              <w:rPr>
                <w:rFonts w:eastAsiaTheme="minorEastAsia"/>
                <w:sz w:val="18"/>
                <w:szCs w:val="18"/>
              </w:rPr>
            </w:pPr>
            <w:r w:rsidRPr="00D94554">
              <w:rPr>
                <w:rFonts w:eastAsiaTheme="minorEastAsia" w:hAnsiTheme="minorEastAsia"/>
                <w:sz w:val="18"/>
                <w:szCs w:val="18"/>
              </w:rPr>
              <w:t>丰水期</w:t>
            </w:r>
            <w:r w:rsidRPr="00D94554">
              <w:rPr>
                <w:rFonts w:eastAsiaTheme="minorEastAsia"/>
                <w:sz w:val="18"/>
                <w:szCs w:val="18"/>
              </w:rPr>
              <w:t xml:space="preserve"> □</w:t>
            </w:r>
            <w:r w:rsidRPr="00D94554">
              <w:rPr>
                <w:rFonts w:eastAsiaTheme="minorEastAsia" w:hAnsiTheme="minorEastAsia"/>
                <w:sz w:val="18"/>
                <w:szCs w:val="18"/>
              </w:rPr>
              <w:t>；平水期</w:t>
            </w:r>
            <w:r w:rsidRPr="00D94554">
              <w:rPr>
                <w:rFonts w:eastAsiaTheme="minorEastAsia"/>
                <w:sz w:val="18"/>
                <w:szCs w:val="18"/>
              </w:rPr>
              <w:t xml:space="preserve"> □</w:t>
            </w:r>
            <w:r w:rsidRPr="00D94554">
              <w:rPr>
                <w:rFonts w:eastAsiaTheme="minorEastAsia" w:hAnsiTheme="minorEastAsia"/>
                <w:sz w:val="18"/>
                <w:szCs w:val="18"/>
              </w:rPr>
              <w:t>；枯水期</w:t>
            </w:r>
            <w:r w:rsidRPr="00D94554">
              <w:rPr>
                <w:rFonts w:eastAsiaTheme="minorEastAsia"/>
                <w:sz w:val="18"/>
                <w:szCs w:val="18"/>
              </w:rPr>
              <w:t xml:space="preserve"> □</w:t>
            </w:r>
            <w:r w:rsidRPr="00D94554">
              <w:rPr>
                <w:rFonts w:eastAsiaTheme="minorEastAsia" w:hAnsiTheme="minorEastAsia"/>
                <w:sz w:val="18"/>
                <w:szCs w:val="18"/>
              </w:rPr>
              <w:t>；冰封期</w:t>
            </w:r>
            <w:r w:rsidRPr="00D94554">
              <w:rPr>
                <w:rFonts w:eastAsiaTheme="minorEastAsia"/>
                <w:spacing w:val="1"/>
                <w:sz w:val="18"/>
                <w:szCs w:val="18"/>
              </w:rPr>
              <w:t xml:space="preserve"> </w:t>
            </w:r>
            <w:r w:rsidRPr="00D94554">
              <w:rPr>
                <w:rFonts w:eastAsiaTheme="minorEastAsia"/>
                <w:sz w:val="18"/>
                <w:szCs w:val="18"/>
              </w:rPr>
              <w:t xml:space="preserve">□ </w:t>
            </w:r>
            <w:r w:rsidRPr="00D94554">
              <w:rPr>
                <w:rFonts w:eastAsiaTheme="minorEastAsia" w:hAnsiTheme="minorEastAsia"/>
                <w:sz w:val="18"/>
                <w:szCs w:val="18"/>
              </w:rPr>
              <w:t>春季</w:t>
            </w:r>
            <w:r w:rsidRPr="00D94554">
              <w:rPr>
                <w:rFonts w:eastAsiaTheme="minorEastAsia"/>
                <w:sz w:val="18"/>
                <w:szCs w:val="18"/>
              </w:rPr>
              <w:t xml:space="preserve"> □</w:t>
            </w:r>
            <w:r w:rsidRPr="00D94554">
              <w:rPr>
                <w:rFonts w:eastAsiaTheme="minorEastAsia" w:hAnsiTheme="minorEastAsia"/>
                <w:sz w:val="18"/>
                <w:szCs w:val="18"/>
              </w:rPr>
              <w:t>；夏季</w:t>
            </w:r>
            <w:r w:rsidRPr="00D94554">
              <w:rPr>
                <w:rFonts w:eastAsiaTheme="minorEastAsia"/>
                <w:sz w:val="18"/>
                <w:szCs w:val="18"/>
              </w:rPr>
              <w:t xml:space="preserve"> □</w:t>
            </w:r>
            <w:r w:rsidRPr="00D94554">
              <w:rPr>
                <w:rFonts w:eastAsiaTheme="minorEastAsia" w:hAnsiTheme="minorEastAsia"/>
                <w:sz w:val="18"/>
                <w:szCs w:val="18"/>
              </w:rPr>
              <w:t>；秋季</w:t>
            </w:r>
            <w:r w:rsidRPr="00D94554">
              <w:rPr>
                <w:rFonts w:eastAsiaTheme="minorEastAsia"/>
                <w:sz w:val="18"/>
                <w:szCs w:val="18"/>
              </w:rPr>
              <w:t xml:space="preserve"> □</w:t>
            </w:r>
            <w:r w:rsidRPr="00D94554">
              <w:rPr>
                <w:rFonts w:eastAsiaTheme="minorEastAsia" w:hAnsiTheme="minorEastAsia"/>
                <w:sz w:val="18"/>
                <w:szCs w:val="18"/>
              </w:rPr>
              <w:t>；冬季</w:t>
            </w:r>
            <w:r w:rsidRPr="00D94554">
              <w:rPr>
                <w:rFonts w:eastAsiaTheme="minorEastAsia"/>
                <w:spacing w:val="1"/>
                <w:sz w:val="18"/>
                <w:szCs w:val="18"/>
              </w:rPr>
              <w:t xml:space="preserve"> </w:t>
            </w:r>
            <w:r w:rsidRPr="00D94554">
              <w:rPr>
                <w:rFonts w:eastAsiaTheme="minorEastAsia"/>
                <w:sz w:val="18"/>
                <w:szCs w:val="18"/>
              </w:rPr>
              <w:t>□</w:t>
            </w:r>
          </w:p>
        </w:tc>
        <w:tc>
          <w:tcPr>
            <w:tcW w:w="5179" w:type="dxa"/>
            <w:gridSpan w:val="7"/>
            <w:vAlign w:val="center"/>
          </w:tcPr>
          <w:p w:rsidR="00D94554" w:rsidRPr="00D94554" w:rsidRDefault="00D94554" w:rsidP="00D94554">
            <w:pPr>
              <w:adjustRightInd/>
              <w:snapToGrid/>
              <w:spacing w:line="240" w:lineRule="auto"/>
              <w:ind w:firstLineChars="0" w:firstLine="0"/>
              <w:jc w:val="left"/>
              <w:textAlignment w:val="auto"/>
              <w:rPr>
                <w:rFonts w:eastAsiaTheme="minorEastAsia"/>
                <w:sz w:val="18"/>
                <w:szCs w:val="18"/>
                <w:lang w:eastAsia="zh-CN"/>
              </w:rPr>
            </w:pPr>
            <w:r w:rsidRPr="00D94554">
              <w:rPr>
                <w:rFonts w:eastAsiaTheme="minorEastAsia" w:hAnsiTheme="minorEastAsia"/>
                <w:sz w:val="18"/>
                <w:szCs w:val="18"/>
                <w:lang w:eastAsia="zh-CN"/>
              </w:rPr>
              <w:t>生态环境保护主管部门</w:t>
            </w:r>
            <w:r w:rsidRPr="00D94554">
              <w:rPr>
                <w:rFonts w:eastAsiaTheme="minorEastAsia"/>
                <w:sz w:val="18"/>
                <w:szCs w:val="18"/>
                <w:lang w:eastAsia="zh-CN"/>
              </w:rPr>
              <w:t xml:space="preserve"> </w:t>
            </w:r>
            <w:r w:rsidRPr="00D94554">
              <w:rPr>
                <w:w w:val="99"/>
                <w:sz w:val="18"/>
              </w:rPr>
              <w:sym w:font="Wingdings" w:char="00FE"/>
            </w:r>
            <w:r w:rsidRPr="00D94554">
              <w:rPr>
                <w:rFonts w:eastAsiaTheme="minorEastAsia" w:hAnsiTheme="minorEastAsia"/>
                <w:sz w:val="18"/>
                <w:szCs w:val="18"/>
                <w:lang w:eastAsia="zh-CN"/>
              </w:rPr>
              <w:t>；补充监测</w:t>
            </w:r>
            <w:r w:rsidRPr="00D94554">
              <w:rPr>
                <w:rFonts w:eastAsiaTheme="minorEastAsia"/>
                <w:sz w:val="18"/>
                <w:szCs w:val="18"/>
                <w:lang w:eastAsia="zh-CN"/>
              </w:rPr>
              <w:t xml:space="preserve"> □</w:t>
            </w:r>
            <w:r w:rsidRPr="00D94554">
              <w:rPr>
                <w:rFonts w:eastAsiaTheme="minorEastAsia" w:hAnsiTheme="minorEastAsia"/>
                <w:sz w:val="18"/>
                <w:szCs w:val="18"/>
                <w:lang w:eastAsia="zh-CN"/>
              </w:rPr>
              <w:t>；其他</w:t>
            </w:r>
            <w:r w:rsidRPr="00D94554">
              <w:rPr>
                <w:rFonts w:eastAsiaTheme="minorEastAsia"/>
                <w:spacing w:val="3"/>
                <w:sz w:val="18"/>
                <w:szCs w:val="18"/>
                <w:lang w:eastAsia="zh-CN"/>
              </w:rPr>
              <w:t xml:space="preserve"> </w:t>
            </w:r>
            <w:r w:rsidRPr="00D94554">
              <w:rPr>
                <w:rFonts w:eastAsiaTheme="minorEastAsia"/>
                <w:sz w:val="18"/>
                <w:szCs w:val="18"/>
                <w:lang w:eastAsia="zh-CN"/>
              </w:rPr>
              <w:t>□</w:t>
            </w:r>
          </w:p>
        </w:tc>
      </w:tr>
      <w:tr w:rsidR="00D94554" w:rsidRPr="00D94554" w:rsidTr="00C66914">
        <w:trPr>
          <w:trHeight w:val="397"/>
          <w:jc w:val="center"/>
        </w:trPr>
        <w:tc>
          <w:tcPr>
            <w:tcW w:w="571" w:type="dxa"/>
            <w:vMerge/>
            <w:vAlign w:val="center"/>
            <w:hideMark/>
          </w:tcPr>
          <w:p w:rsidR="00D94554" w:rsidRPr="00D94554" w:rsidRDefault="00D94554" w:rsidP="00D94554">
            <w:pPr>
              <w:widowControl/>
              <w:adjustRightInd/>
              <w:snapToGrid/>
              <w:spacing w:line="240" w:lineRule="auto"/>
              <w:ind w:firstLineChars="0" w:firstLine="0"/>
              <w:textAlignment w:val="auto"/>
              <w:rPr>
                <w:rFonts w:eastAsiaTheme="minorEastAsia"/>
                <w:sz w:val="18"/>
                <w:szCs w:val="18"/>
                <w:lang w:eastAsia="zh-CN"/>
              </w:rPr>
            </w:pPr>
          </w:p>
        </w:tc>
        <w:tc>
          <w:tcPr>
            <w:tcW w:w="2841" w:type="dxa"/>
            <w:vAlign w:val="center"/>
            <w:hideMark/>
          </w:tcPr>
          <w:p w:rsidR="00D94554" w:rsidRPr="00D94554" w:rsidRDefault="00D94554" w:rsidP="00D94554">
            <w:pPr>
              <w:adjustRightInd/>
              <w:snapToGrid/>
              <w:spacing w:line="240" w:lineRule="auto"/>
              <w:ind w:firstLineChars="0" w:firstLine="0"/>
              <w:jc w:val="center"/>
              <w:textAlignment w:val="auto"/>
              <w:rPr>
                <w:rFonts w:eastAsiaTheme="minorEastAsia"/>
                <w:sz w:val="18"/>
                <w:szCs w:val="18"/>
                <w:lang w:eastAsia="zh-CN"/>
              </w:rPr>
            </w:pPr>
            <w:r w:rsidRPr="00D94554">
              <w:rPr>
                <w:rFonts w:eastAsiaTheme="minorEastAsia" w:hAnsiTheme="minorEastAsia"/>
                <w:sz w:val="18"/>
                <w:szCs w:val="18"/>
                <w:lang w:eastAsia="zh-CN"/>
              </w:rPr>
              <w:t>区域水资源开发利用状况</w:t>
            </w:r>
          </w:p>
        </w:tc>
        <w:tc>
          <w:tcPr>
            <w:tcW w:w="10566" w:type="dxa"/>
            <w:gridSpan w:val="13"/>
            <w:vAlign w:val="center"/>
            <w:hideMark/>
          </w:tcPr>
          <w:p w:rsidR="00D94554" w:rsidRPr="00D94554" w:rsidRDefault="00D94554" w:rsidP="00D94554">
            <w:pPr>
              <w:adjustRightInd/>
              <w:snapToGrid/>
              <w:spacing w:line="240" w:lineRule="auto"/>
              <w:ind w:firstLineChars="0" w:firstLine="0"/>
              <w:jc w:val="left"/>
              <w:textAlignment w:val="auto"/>
              <w:rPr>
                <w:rFonts w:eastAsiaTheme="minorEastAsia"/>
                <w:sz w:val="18"/>
                <w:szCs w:val="18"/>
                <w:lang w:eastAsia="zh-CN"/>
              </w:rPr>
            </w:pPr>
            <w:r w:rsidRPr="00D94554">
              <w:rPr>
                <w:rFonts w:eastAsiaTheme="minorEastAsia" w:hAnsiTheme="minorEastAsia"/>
                <w:sz w:val="18"/>
                <w:szCs w:val="18"/>
                <w:lang w:eastAsia="zh-CN"/>
              </w:rPr>
              <w:t>未开发</w:t>
            </w:r>
            <w:r w:rsidRPr="00D94554">
              <w:rPr>
                <w:rFonts w:eastAsiaTheme="minorEastAsia"/>
                <w:sz w:val="18"/>
                <w:szCs w:val="18"/>
                <w:lang w:eastAsia="zh-CN"/>
              </w:rPr>
              <w:t xml:space="preserve"> □</w:t>
            </w:r>
            <w:r w:rsidRPr="00D94554">
              <w:rPr>
                <w:rFonts w:eastAsiaTheme="minorEastAsia" w:hAnsiTheme="minorEastAsia"/>
                <w:sz w:val="18"/>
                <w:szCs w:val="18"/>
                <w:lang w:eastAsia="zh-CN"/>
              </w:rPr>
              <w:t>；开发量</w:t>
            </w:r>
            <w:r w:rsidRPr="00D94554">
              <w:rPr>
                <w:rFonts w:eastAsiaTheme="minorEastAsia"/>
                <w:spacing w:val="-46"/>
                <w:sz w:val="18"/>
                <w:szCs w:val="18"/>
                <w:lang w:eastAsia="zh-CN"/>
              </w:rPr>
              <w:t xml:space="preserve"> </w:t>
            </w:r>
            <w:r w:rsidRPr="00D94554">
              <w:rPr>
                <w:rFonts w:eastAsiaTheme="minorEastAsia"/>
                <w:sz w:val="18"/>
                <w:szCs w:val="18"/>
                <w:lang w:eastAsia="zh-CN"/>
              </w:rPr>
              <w:t>40%</w:t>
            </w:r>
            <w:r w:rsidRPr="00D94554">
              <w:rPr>
                <w:rFonts w:eastAsiaTheme="minorEastAsia" w:hAnsiTheme="minorEastAsia"/>
                <w:sz w:val="18"/>
                <w:szCs w:val="18"/>
                <w:lang w:eastAsia="zh-CN"/>
              </w:rPr>
              <w:t>以下</w:t>
            </w:r>
            <w:r w:rsidRPr="00D94554">
              <w:rPr>
                <w:rFonts w:eastAsiaTheme="minorEastAsia"/>
                <w:spacing w:val="-3"/>
                <w:sz w:val="18"/>
                <w:szCs w:val="18"/>
                <w:lang w:eastAsia="zh-CN"/>
              </w:rPr>
              <w:t xml:space="preserve"> </w:t>
            </w:r>
            <w:r w:rsidRPr="00D94554">
              <w:rPr>
                <w:rFonts w:eastAsiaTheme="minorEastAsia"/>
                <w:sz w:val="18"/>
                <w:szCs w:val="18"/>
                <w:lang w:eastAsia="zh-CN"/>
              </w:rPr>
              <w:t>□</w:t>
            </w:r>
            <w:r w:rsidRPr="00D94554">
              <w:rPr>
                <w:rFonts w:eastAsiaTheme="minorEastAsia" w:hAnsiTheme="minorEastAsia"/>
                <w:sz w:val="18"/>
                <w:szCs w:val="18"/>
                <w:lang w:eastAsia="zh-CN"/>
              </w:rPr>
              <w:t>；开发量</w:t>
            </w:r>
            <w:r w:rsidRPr="00D94554">
              <w:rPr>
                <w:rFonts w:eastAsiaTheme="minorEastAsia"/>
                <w:spacing w:val="-46"/>
                <w:sz w:val="18"/>
                <w:szCs w:val="18"/>
                <w:lang w:eastAsia="zh-CN"/>
              </w:rPr>
              <w:t xml:space="preserve"> </w:t>
            </w:r>
            <w:r w:rsidRPr="00D94554">
              <w:rPr>
                <w:rFonts w:eastAsiaTheme="minorEastAsia"/>
                <w:sz w:val="18"/>
                <w:szCs w:val="18"/>
                <w:lang w:eastAsia="zh-CN"/>
              </w:rPr>
              <w:t>40%</w:t>
            </w:r>
            <w:r w:rsidRPr="00D94554">
              <w:rPr>
                <w:rFonts w:eastAsiaTheme="minorEastAsia" w:hAnsiTheme="minorEastAsia"/>
                <w:sz w:val="18"/>
                <w:szCs w:val="18"/>
                <w:lang w:eastAsia="zh-CN"/>
              </w:rPr>
              <w:t>以上</w:t>
            </w:r>
            <w:r w:rsidRPr="00D94554">
              <w:rPr>
                <w:rFonts w:eastAsiaTheme="minorEastAsia"/>
                <w:sz w:val="18"/>
                <w:szCs w:val="18"/>
                <w:lang w:eastAsia="zh-CN"/>
              </w:rPr>
              <w:t xml:space="preserve"> □</w:t>
            </w:r>
          </w:p>
        </w:tc>
      </w:tr>
      <w:tr w:rsidR="00D94554" w:rsidRPr="00D94554" w:rsidTr="00C66914">
        <w:trPr>
          <w:trHeight w:val="397"/>
          <w:jc w:val="center"/>
        </w:trPr>
        <w:tc>
          <w:tcPr>
            <w:tcW w:w="571" w:type="dxa"/>
            <w:vMerge/>
            <w:vAlign w:val="center"/>
            <w:hideMark/>
          </w:tcPr>
          <w:p w:rsidR="00D94554" w:rsidRPr="00D94554" w:rsidRDefault="00D94554" w:rsidP="00D94554">
            <w:pPr>
              <w:widowControl/>
              <w:adjustRightInd/>
              <w:snapToGrid/>
              <w:spacing w:line="240" w:lineRule="auto"/>
              <w:ind w:firstLineChars="0" w:firstLine="0"/>
              <w:textAlignment w:val="auto"/>
              <w:rPr>
                <w:rFonts w:eastAsiaTheme="minorEastAsia"/>
                <w:sz w:val="18"/>
                <w:szCs w:val="18"/>
                <w:lang w:eastAsia="zh-CN"/>
              </w:rPr>
            </w:pPr>
          </w:p>
        </w:tc>
        <w:tc>
          <w:tcPr>
            <w:tcW w:w="2841" w:type="dxa"/>
            <w:vMerge w:val="restart"/>
            <w:vAlign w:val="center"/>
            <w:hideMark/>
          </w:tcPr>
          <w:p w:rsidR="00D94554" w:rsidRPr="00D94554" w:rsidRDefault="00D94554" w:rsidP="00D94554">
            <w:pPr>
              <w:adjustRightInd/>
              <w:snapToGrid/>
              <w:spacing w:line="240" w:lineRule="auto"/>
              <w:ind w:firstLineChars="0" w:firstLine="0"/>
              <w:jc w:val="center"/>
              <w:textAlignment w:val="auto"/>
              <w:rPr>
                <w:rFonts w:eastAsiaTheme="minorEastAsia"/>
                <w:sz w:val="18"/>
                <w:szCs w:val="18"/>
              </w:rPr>
            </w:pPr>
            <w:r w:rsidRPr="00D94554">
              <w:rPr>
                <w:rFonts w:eastAsiaTheme="minorEastAsia" w:hAnsiTheme="minorEastAsia"/>
                <w:sz w:val="18"/>
                <w:szCs w:val="18"/>
              </w:rPr>
              <w:t>水文情势调查</w:t>
            </w:r>
          </w:p>
        </w:tc>
        <w:tc>
          <w:tcPr>
            <w:tcW w:w="5387" w:type="dxa"/>
            <w:gridSpan w:val="6"/>
            <w:vAlign w:val="center"/>
            <w:hideMark/>
          </w:tcPr>
          <w:p w:rsidR="00D94554" w:rsidRPr="00D94554" w:rsidRDefault="00D94554" w:rsidP="00D94554">
            <w:pPr>
              <w:adjustRightInd/>
              <w:snapToGrid/>
              <w:spacing w:line="240" w:lineRule="auto"/>
              <w:ind w:firstLineChars="0" w:firstLine="0"/>
              <w:jc w:val="center"/>
              <w:textAlignment w:val="auto"/>
              <w:rPr>
                <w:rFonts w:eastAsiaTheme="minorEastAsia"/>
                <w:sz w:val="18"/>
                <w:szCs w:val="18"/>
              </w:rPr>
            </w:pPr>
            <w:r w:rsidRPr="00D94554">
              <w:rPr>
                <w:rFonts w:eastAsiaTheme="minorEastAsia" w:hAnsiTheme="minorEastAsia"/>
                <w:sz w:val="18"/>
                <w:szCs w:val="18"/>
              </w:rPr>
              <w:t>调查时期</w:t>
            </w:r>
          </w:p>
        </w:tc>
        <w:tc>
          <w:tcPr>
            <w:tcW w:w="5179" w:type="dxa"/>
            <w:gridSpan w:val="7"/>
            <w:vAlign w:val="center"/>
            <w:hideMark/>
          </w:tcPr>
          <w:p w:rsidR="00D94554" w:rsidRPr="00D94554" w:rsidRDefault="00D94554" w:rsidP="00D94554">
            <w:pPr>
              <w:adjustRightInd/>
              <w:snapToGrid/>
              <w:spacing w:line="240" w:lineRule="auto"/>
              <w:ind w:firstLineChars="0" w:firstLine="0"/>
              <w:jc w:val="center"/>
              <w:textAlignment w:val="auto"/>
              <w:rPr>
                <w:rFonts w:eastAsiaTheme="minorEastAsia"/>
                <w:sz w:val="18"/>
                <w:szCs w:val="18"/>
              </w:rPr>
            </w:pPr>
            <w:r w:rsidRPr="00D94554">
              <w:rPr>
                <w:rFonts w:eastAsiaTheme="minorEastAsia" w:hAnsiTheme="minorEastAsia"/>
                <w:sz w:val="18"/>
                <w:szCs w:val="18"/>
              </w:rPr>
              <w:t>数据来源</w:t>
            </w:r>
          </w:p>
        </w:tc>
      </w:tr>
      <w:tr w:rsidR="00D94554" w:rsidRPr="00D94554" w:rsidTr="00C66914">
        <w:trPr>
          <w:trHeight w:val="397"/>
          <w:jc w:val="center"/>
        </w:trPr>
        <w:tc>
          <w:tcPr>
            <w:tcW w:w="571" w:type="dxa"/>
            <w:vMerge/>
            <w:vAlign w:val="center"/>
          </w:tcPr>
          <w:p w:rsidR="00D94554" w:rsidRPr="00D94554" w:rsidRDefault="00D94554" w:rsidP="00D94554">
            <w:pPr>
              <w:adjustRightInd/>
              <w:snapToGrid/>
              <w:spacing w:line="240" w:lineRule="auto"/>
              <w:ind w:firstLineChars="0" w:firstLine="0"/>
              <w:textAlignment w:val="auto"/>
              <w:rPr>
                <w:rFonts w:asciiTheme="minorHAnsi" w:eastAsiaTheme="minorEastAsia" w:hAnsiTheme="minorHAnsi" w:cstheme="minorBidi"/>
                <w:sz w:val="18"/>
                <w:szCs w:val="18"/>
              </w:rPr>
            </w:pPr>
          </w:p>
        </w:tc>
        <w:tc>
          <w:tcPr>
            <w:tcW w:w="2841" w:type="dxa"/>
            <w:vMerge/>
            <w:vAlign w:val="center"/>
          </w:tcPr>
          <w:p w:rsidR="00D94554" w:rsidRPr="00D94554" w:rsidRDefault="00D94554" w:rsidP="00D94554">
            <w:pPr>
              <w:adjustRightInd/>
              <w:snapToGrid/>
              <w:spacing w:line="240" w:lineRule="auto"/>
              <w:ind w:firstLineChars="0" w:firstLine="0"/>
              <w:textAlignment w:val="auto"/>
              <w:rPr>
                <w:rFonts w:asciiTheme="minorHAnsi" w:eastAsiaTheme="minorEastAsia" w:hAnsiTheme="minorHAnsi" w:cstheme="minorBidi"/>
                <w:sz w:val="18"/>
                <w:szCs w:val="18"/>
              </w:rPr>
            </w:pPr>
          </w:p>
        </w:tc>
        <w:tc>
          <w:tcPr>
            <w:tcW w:w="5387" w:type="dxa"/>
            <w:gridSpan w:val="6"/>
            <w:vAlign w:val="center"/>
            <w:hideMark/>
          </w:tcPr>
          <w:p w:rsidR="00D94554" w:rsidRPr="00D94554" w:rsidRDefault="00D94554" w:rsidP="00D94554">
            <w:pPr>
              <w:adjustRightInd/>
              <w:snapToGrid/>
              <w:spacing w:line="240" w:lineRule="auto"/>
              <w:ind w:firstLineChars="0" w:firstLine="0"/>
              <w:jc w:val="left"/>
              <w:textAlignment w:val="auto"/>
              <w:rPr>
                <w:rFonts w:ascii="宋体" w:hAnsi="宋体" w:cs="宋体"/>
                <w:sz w:val="18"/>
                <w:szCs w:val="18"/>
              </w:rPr>
            </w:pPr>
            <w:r w:rsidRPr="00D94554">
              <w:rPr>
                <w:rFonts w:ascii="宋体" w:hAnsi="宋体" w:cs="宋体" w:hint="eastAsia"/>
                <w:sz w:val="18"/>
                <w:szCs w:val="18"/>
              </w:rPr>
              <w:t>丰水期 □；平水期 □；枯水期 □；冰封期</w:t>
            </w:r>
            <w:r w:rsidRPr="00D94554">
              <w:rPr>
                <w:rFonts w:ascii="宋体" w:hAnsi="宋体" w:cs="宋体" w:hint="eastAsia"/>
                <w:spacing w:val="1"/>
                <w:sz w:val="18"/>
                <w:szCs w:val="18"/>
              </w:rPr>
              <w:t xml:space="preserve"> </w:t>
            </w:r>
            <w:r w:rsidRPr="00D94554">
              <w:rPr>
                <w:rFonts w:ascii="宋体" w:hAnsi="宋体" w:cs="宋体" w:hint="eastAsia"/>
                <w:sz w:val="18"/>
                <w:szCs w:val="18"/>
              </w:rPr>
              <w:t xml:space="preserve">□ </w:t>
            </w:r>
          </w:p>
          <w:p w:rsidR="00D94554" w:rsidRPr="00D94554" w:rsidRDefault="00D94554" w:rsidP="00D94554">
            <w:pPr>
              <w:adjustRightInd/>
              <w:snapToGrid/>
              <w:spacing w:line="240" w:lineRule="auto"/>
              <w:ind w:firstLineChars="0" w:firstLine="0"/>
              <w:jc w:val="left"/>
              <w:textAlignment w:val="auto"/>
              <w:rPr>
                <w:rFonts w:ascii="宋体" w:hAnsi="宋体" w:cs="宋体"/>
                <w:sz w:val="18"/>
                <w:szCs w:val="18"/>
              </w:rPr>
            </w:pPr>
            <w:r w:rsidRPr="00D94554">
              <w:rPr>
                <w:rFonts w:ascii="宋体" w:hAnsi="宋体" w:cs="宋体" w:hint="eastAsia"/>
                <w:sz w:val="18"/>
                <w:szCs w:val="18"/>
              </w:rPr>
              <w:t>春季 □；夏季 □；秋季 □；冬季</w:t>
            </w:r>
            <w:r w:rsidRPr="00D94554">
              <w:rPr>
                <w:rFonts w:ascii="宋体" w:hAnsi="宋体" w:cs="宋体" w:hint="eastAsia"/>
                <w:spacing w:val="1"/>
                <w:sz w:val="18"/>
                <w:szCs w:val="18"/>
              </w:rPr>
              <w:t xml:space="preserve"> </w:t>
            </w:r>
            <w:r w:rsidRPr="00D94554">
              <w:rPr>
                <w:rFonts w:ascii="宋体" w:hAnsi="宋体" w:cs="宋体" w:hint="eastAsia"/>
                <w:sz w:val="18"/>
                <w:szCs w:val="18"/>
              </w:rPr>
              <w:t>□</w:t>
            </w:r>
          </w:p>
        </w:tc>
        <w:tc>
          <w:tcPr>
            <w:tcW w:w="5179" w:type="dxa"/>
            <w:gridSpan w:val="7"/>
            <w:vAlign w:val="center"/>
          </w:tcPr>
          <w:p w:rsidR="00D94554" w:rsidRPr="00D94554" w:rsidRDefault="00D94554" w:rsidP="00D94554">
            <w:pPr>
              <w:adjustRightInd/>
              <w:snapToGrid/>
              <w:spacing w:line="240" w:lineRule="auto"/>
              <w:ind w:firstLineChars="0" w:firstLine="0"/>
              <w:jc w:val="left"/>
              <w:textAlignment w:val="auto"/>
              <w:rPr>
                <w:rFonts w:ascii="宋体" w:hAnsi="宋体" w:cs="宋体"/>
                <w:sz w:val="18"/>
                <w:szCs w:val="18"/>
                <w:lang w:eastAsia="zh-CN"/>
              </w:rPr>
            </w:pPr>
            <w:r w:rsidRPr="00D94554">
              <w:rPr>
                <w:rFonts w:ascii="宋体" w:hAnsi="宋体" w:cs="宋体" w:hint="eastAsia"/>
                <w:sz w:val="18"/>
                <w:szCs w:val="18"/>
                <w:lang w:eastAsia="zh-CN"/>
              </w:rPr>
              <w:t>水行政主管部门 □；补充监测 □；其他</w:t>
            </w:r>
            <w:r w:rsidRPr="00D94554">
              <w:rPr>
                <w:rFonts w:ascii="宋体" w:hAnsi="宋体" w:cs="宋体" w:hint="eastAsia"/>
                <w:spacing w:val="3"/>
                <w:sz w:val="18"/>
                <w:szCs w:val="18"/>
                <w:lang w:eastAsia="zh-CN"/>
              </w:rPr>
              <w:t xml:space="preserve"> </w:t>
            </w:r>
            <w:r w:rsidRPr="00D94554">
              <w:rPr>
                <w:rFonts w:ascii="宋体" w:hAnsi="宋体" w:cs="宋体" w:hint="eastAsia"/>
                <w:sz w:val="18"/>
                <w:szCs w:val="18"/>
                <w:lang w:eastAsia="zh-CN"/>
              </w:rPr>
              <w:t>□</w:t>
            </w:r>
          </w:p>
        </w:tc>
      </w:tr>
      <w:tr w:rsidR="00D94554" w:rsidRPr="00D94554" w:rsidTr="00C66914">
        <w:trPr>
          <w:trHeight w:val="397"/>
          <w:jc w:val="center"/>
        </w:trPr>
        <w:tc>
          <w:tcPr>
            <w:tcW w:w="571" w:type="dxa"/>
            <w:vMerge/>
            <w:vAlign w:val="center"/>
            <w:hideMark/>
          </w:tcPr>
          <w:p w:rsidR="00D94554" w:rsidRPr="00D94554" w:rsidRDefault="00D94554" w:rsidP="00D94554">
            <w:pPr>
              <w:widowControl/>
              <w:adjustRightInd/>
              <w:snapToGrid/>
              <w:spacing w:line="240" w:lineRule="auto"/>
              <w:ind w:firstLineChars="0" w:firstLine="0"/>
              <w:textAlignment w:val="auto"/>
              <w:rPr>
                <w:rFonts w:asciiTheme="minorHAnsi" w:eastAsiaTheme="minorEastAsia" w:hAnsiTheme="minorHAnsi" w:cstheme="minorBidi"/>
                <w:sz w:val="18"/>
                <w:szCs w:val="18"/>
                <w:lang w:eastAsia="zh-CN"/>
              </w:rPr>
            </w:pPr>
          </w:p>
        </w:tc>
        <w:tc>
          <w:tcPr>
            <w:tcW w:w="2841" w:type="dxa"/>
            <w:vMerge w:val="restart"/>
            <w:vAlign w:val="center"/>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 xml:space="preserve">补充监测 </w:t>
            </w:r>
          </w:p>
        </w:tc>
        <w:tc>
          <w:tcPr>
            <w:tcW w:w="5387" w:type="dxa"/>
            <w:gridSpan w:val="6"/>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监测时期</w:t>
            </w:r>
          </w:p>
        </w:tc>
        <w:tc>
          <w:tcPr>
            <w:tcW w:w="3115" w:type="dxa"/>
            <w:gridSpan w:val="5"/>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监测因子</w:t>
            </w:r>
          </w:p>
        </w:tc>
        <w:tc>
          <w:tcPr>
            <w:tcW w:w="2064" w:type="dxa"/>
            <w:gridSpan w:val="2"/>
            <w:vAlign w:val="center"/>
            <w:hideMark/>
          </w:tcPr>
          <w:p w:rsidR="00D94554" w:rsidRPr="00D94554" w:rsidRDefault="00D94554" w:rsidP="00D94554">
            <w:pPr>
              <w:adjustRightInd/>
              <w:snapToGrid/>
              <w:spacing w:line="240" w:lineRule="auto"/>
              <w:ind w:firstLineChars="0" w:firstLine="0"/>
              <w:jc w:val="left"/>
              <w:textAlignment w:val="auto"/>
              <w:rPr>
                <w:rFonts w:ascii="宋体" w:hAnsi="宋体" w:cs="宋体"/>
                <w:sz w:val="18"/>
                <w:szCs w:val="18"/>
              </w:rPr>
            </w:pPr>
            <w:r w:rsidRPr="00D94554">
              <w:rPr>
                <w:rFonts w:ascii="宋体" w:hAnsi="宋体" w:cs="宋体" w:hint="eastAsia"/>
                <w:sz w:val="18"/>
                <w:szCs w:val="18"/>
              </w:rPr>
              <w:t>监测断面或点位</w:t>
            </w:r>
          </w:p>
        </w:tc>
      </w:tr>
      <w:tr w:rsidR="00D94554" w:rsidRPr="00D94554" w:rsidTr="00C66914">
        <w:trPr>
          <w:trHeight w:val="397"/>
          <w:jc w:val="center"/>
        </w:trPr>
        <w:tc>
          <w:tcPr>
            <w:tcW w:w="571" w:type="dxa"/>
            <w:vMerge/>
            <w:vAlign w:val="center"/>
            <w:hideMark/>
          </w:tcPr>
          <w:p w:rsidR="00D94554" w:rsidRPr="00D94554" w:rsidRDefault="00D94554" w:rsidP="00D94554">
            <w:pPr>
              <w:widowControl/>
              <w:adjustRightInd/>
              <w:snapToGrid/>
              <w:spacing w:line="240" w:lineRule="auto"/>
              <w:ind w:firstLineChars="0" w:firstLine="0"/>
              <w:textAlignment w:val="auto"/>
              <w:rPr>
                <w:rFonts w:asciiTheme="minorHAnsi" w:eastAsiaTheme="minorEastAsia" w:hAnsiTheme="minorHAnsi" w:cstheme="minorBidi"/>
                <w:sz w:val="18"/>
                <w:szCs w:val="18"/>
              </w:rPr>
            </w:pPr>
          </w:p>
        </w:tc>
        <w:tc>
          <w:tcPr>
            <w:tcW w:w="2841" w:type="dxa"/>
            <w:vMerge/>
            <w:vAlign w:val="center"/>
            <w:hideMark/>
          </w:tcPr>
          <w:p w:rsidR="00D94554" w:rsidRPr="00D94554" w:rsidRDefault="00D94554" w:rsidP="00D94554">
            <w:pPr>
              <w:widowControl/>
              <w:adjustRightInd/>
              <w:snapToGrid/>
              <w:spacing w:line="240" w:lineRule="auto"/>
              <w:ind w:firstLineChars="0" w:firstLine="0"/>
              <w:textAlignment w:val="auto"/>
              <w:rPr>
                <w:rFonts w:ascii="宋体" w:hAnsi="宋体" w:cs="宋体"/>
                <w:sz w:val="18"/>
                <w:szCs w:val="18"/>
              </w:rPr>
            </w:pPr>
          </w:p>
        </w:tc>
        <w:tc>
          <w:tcPr>
            <w:tcW w:w="5387" w:type="dxa"/>
            <w:gridSpan w:val="6"/>
            <w:vAlign w:val="center"/>
            <w:hideMark/>
          </w:tcPr>
          <w:p w:rsidR="00D94554" w:rsidRPr="00D94554" w:rsidRDefault="00D94554" w:rsidP="00D94554">
            <w:pPr>
              <w:adjustRightInd/>
              <w:snapToGrid/>
              <w:spacing w:line="240" w:lineRule="auto"/>
              <w:ind w:firstLineChars="0" w:firstLine="0"/>
              <w:jc w:val="left"/>
              <w:textAlignment w:val="auto"/>
              <w:rPr>
                <w:rFonts w:ascii="宋体" w:hAnsi="宋体" w:cs="宋体"/>
                <w:sz w:val="18"/>
                <w:szCs w:val="18"/>
              </w:rPr>
            </w:pPr>
            <w:r w:rsidRPr="00D94554">
              <w:rPr>
                <w:rFonts w:ascii="宋体" w:hAnsi="宋体" w:cs="宋体" w:hint="eastAsia"/>
                <w:sz w:val="18"/>
                <w:szCs w:val="18"/>
              </w:rPr>
              <w:t>丰水期 □；平水期 □；枯水期 □；冰封期</w:t>
            </w:r>
            <w:r w:rsidRPr="00D94554">
              <w:rPr>
                <w:rFonts w:ascii="宋体" w:hAnsi="宋体" w:cs="宋体" w:hint="eastAsia"/>
                <w:spacing w:val="1"/>
                <w:sz w:val="18"/>
                <w:szCs w:val="18"/>
              </w:rPr>
              <w:t xml:space="preserve"> </w:t>
            </w:r>
            <w:r w:rsidRPr="00D94554">
              <w:rPr>
                <w:rFonts w:ascii="宋体" w:hAnsi="宋体" w:cs="宋体" w:hint="eastAsia"/>
                <w:sz w:val="18"/>
                <w:szCs w:val="18"/>
              </w:rPr>
              <w:t xml:space="preserve">□ </w:t>
            </w:r>
          </w:p>
          <w:p w:rsidR="00D94554" w:rsidRPr="00D94554" w:rsidRDefault="00D94554" w:rsidP="00D94554">
            <w:pPr>
              <w:adjustRightInd/>
              <w:snapToGrid/>
              <w:spacing w:line="240" w:lineRule="auto"/>
              <w:ind w:firstLineChars="0" w:firstLine="0"/>
              <w:jc w:val="left"/>
              <w:textAlignment w:val="auto"/>
              <w:rPr>
                <w:rFonts w:ascii="宋体" w:hAnsi="宋体" w:cs="宋体"/>
                <w:sz w:val="18"/>
                <w:szCs w:val="18"/>
              </w:rPr>
            </w:pPr>
            <w:r w:rsidRPr="00D94554">
              <w:rPr>
                <w:rFonts w:ascii="宋体" w:hAnsi="宋体" w:cs="宋体" w:hint="eastAsia"/>
                <w:sz w:val="18"/>
                <w:szCs w:val="18"/>
              </w:rPr>
              <w:t>春季 □；夏季 □；秋季 □；冬季</w:t>
            </w:r>
            <w:r w:rsidRPr="00D94554">
              <w:rPr>
                <w:rFonts w:ascii="宋体" w:hAnsi="宋体" w:cs="宋体" w:hint="eastAsia"/>
                <w:spacing w:val="1"/>
                <w:sz w:val="18"/>
                <w:szCs w:val="18"/>
              </w:rPr>
              <w:t xml:space="preserve"> </w:t>
            </w:r>
            <w:r w:rsidRPr="00D94554">
              <w:rPr>
                <w:rFonts w:ascii="宋体" w:hAnsi="宋体" w:cs="宋体" w:hint="eastAsia"/>
                <w:sz w:val="18"/>
                <w:szCs w:val="18"/>
              </w:rPr>
              <w:t>□</w:t>
            </w:r>
          </w:p>
        </w:tc>
        <w:tc>
          <w:tcPr>
            <w:tcW w:w="3115" w:type="dxa"/>
            <w:gridSpan w:val="5"/>
            <w:vAlign w:val="center"/>
          </w:tcPr>
          <w:p w:rsidR="00D94554" w:rsidRPr="00D94554" w:rsidRDefault="00D94554" w:rsidP="00D94554">
            <w:pPr>
              <w:tabs>
                <w:tab w:val="left" w:pos="551"/>
              </w:tabs>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w:t>
            </w:r>
            <w:r w:rsidRPr="00D94554">
              <w:rPr>
                <w:rFonts w:ascii="宋体" w:hAnsi="宋体" w:cs="宋体" w:hint="eastAsia"/>
                <w:sz w:val="18"/>
                <w:szCs w:val="18"/>
              </w:rPr>
              <w:tab/>
              <w:t>）</w:t>
            </w:r>
          </w:p>
        </w:tc>
        <w:tc>
          <w:tcPr>
            <w:tcW w:w="2064" w:type="dxa"/>
            <w:gridSpan w:val="2"/>
            <w:vAlign w:val="center"/>
            <w:hideMark/>
          </w:tcPr>
          <w:p w:rsidR="00D94554" w:rsidRPr="00D94554" w:rsidRDefault="00D94554" w:rsidP="00D94554">
            <w:pPr>
              <w:adjustRightInd/>
              <w:snapToGrid/>
              <w:spacing w:line="240" w:lineRule="auto"/>
              <w:ind w:firstLineChars="0" w:firstLine="0"/>
              <w:jc w:val="left"/>
              <w:textAlignment w:val="auto"/>
              <w:rPr>
                <w:rFonts w:ascii="宋体" w:hAnsi="宋体" w:cs="宋体"/>
                <w:sz w:val="18"/>
                <w:szCs w:val="18"/>
                <w:lang w:eastAsia="zh-CN"/>
              </w:rPr>
            </w:pPr>
            <w:r w:rsidRPr="00D94554">
              <w:rPr>
                <w:rFonts w:ascii="宋体" w:hAnsi="宋体" w:cs="宋体" w:hint="eastAsia"/>
                <w:sz w:val="18"/>
                <w:szCs w:val="18"/>
                <w:lang w:eastAsia="zh-CN"/>
              </w:rPr>
              <w:t>监测断面或点位个数</w:t>
            </w:r>
          </w:p>
          <w:p w:rsidR="00D94554" w:rsidRPr="00D94554" w:rsidRDefault="00D94554" w:rsidP="00D94554">
            <w:pPr>
              <w:tabs>
                <w:tab w:val="left" w:pos="554"/>
              </w:tabs>
              <w:adjustRightInd/>
              <w:snapToGrid/>
              <w:spacing w:line="240" w:lineRule="auto"/>
              <w:ind w:firstLineChars="0" w:firstLine="0"/>
              <w:jc w:val="left"/>
              <w:textAlignment w:val="auto"/>
              <w:rPr>
                <w:rFonts w:ascii="宋体" w:hAnsi="宋体" w:cs="宋体"/>
                <w:sz w:val="18"/>
                <w:szCs w:val="18"/>
                <w:lang w:eastAsia="zh-CN"/>
              </w:rPr>
            </w:pPr>
            <w:r w:rsidRPr="00D94554">
              <w:rPr>
                <w:rFonts w:ascii="宋体" w:hAnsi="宋体" w:cs="宋体" w:hint="eastAsia"/>
                <w:sz w:val="18"/>
                <w:szCs w:val="18"/>
                <w:lang w:eastAsia="zh-CN"/>
              </w:rPr>
              <w:t>（</w:t>
            </w:r>
            <w:r w:rsidRPr="00D94554">
              <w:rPr>
                <w:rFonts w:ascii="宋体" w:hAnsi="宋体" w:cs="宋体" w:hint="eastAsia"/>
                <w:sz w:val="18"/>
                <w:szCs w:val="18"/>
                <w:lang w:eastAsia="zh-CN"/>
              </w:rPr>
              <w:tab/>
              <w:t>）个</w:t>
            </w:r>
          </w:p>
        </w:tc>
      </w:tr>
      <w:tr w:rsidR="00D94554" w:rsidRPr="00D94554" w:rsidTr="00C66914">
        <w:trPr>
          <w:trHeight w:val="397"/>
          <w:jc w:val="center"/>
        </w:trPr>
        <w:tc>
          <w:tcPr>
            <w:tcW w:w="571" w:type="dxa"/>
            <w:vMerge w:val="restart"/>
            <w:vAlign w:val="center"/>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lastRenderedPageBreak/>
              <w:t>现状 评价</w:t>
            </w:r>
          </w:p>
        </w:tc>
        <w:tc>
          <w:tcPr>
            <w:tcW w:w="2841" w:type="dxa"/>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评价范围</w:t>
            </w:r>
          </w:p>
        </w:tc>
        <w:tc>
          <w:tcPr>
            <w:tcW w:w="10566" w:type="dxa"/>
            <w:gridSpan w:val="13"/>
            <w:vAlign w:val="center"/>
            <w:hideMark/>
          </w:tcPr>
          <w:p w:rsidR="00D94554" w:rsidRPr="00D94554" w:rsidRDefault="00D94554" w:rsidP="00D94554">
            <w:pPr>
              <w:tabs>
                <w:tab w:val="left" w:pos="1454"/>
                <w:tab w:val="left" w:pos="4832"/>
              </w:tabs>
              <w:adjustRightInd/>
              <w:snapToGrid/>
              <w:spacing w:line="240" w:lineRule="auto"/>
              <w:ind w:firstLineChars="0" w:firstLine="0"/>
              <w:jc w:val="left"/>
              <w:textAlignment w:val="auto"/>
              <w:rPr>
                <w:rFonts w:eastAsia="Times New Roman"/>
                <w:sz w:val="18"/>
                <w:szCs w:val="18"/>
                <w:lang w:eastAsia="zh-CN"/>
              </w:rPr>
            </w:pPr>
            <w:r w:rsidRPr="00D94554">
              <w:rPr>
                <w:rFonts w:ascii="宋体" w:hAnsi="宋体" w:cs="宋体" w:hint="eastAsia"/>
                <w:sz w:val="18"/>
                <w:szCs w:val="18"/>
                <w:lang w:eastAsia="zh-CN"/>
              </w:rPr>
              <w:t>河流：长度（</w:t>
            </w:r>
            <w:r w:rsidRPr="00D94554">
              <w:rPr>
                <w:rFonts w:ascii="宋体" w:hAnsi="宋体" w:cs="宋体" w:hint="eastAsia"/>
                <w:sz w:val="18"/>
                <w:szCs w:val="18"/>
                <w:lang w:eastAsia="zh-CN"/>
              </w:rPr>
              <w:tab/>
            </w:r>
            <w:r w:rsidRPr="00D94554">
              <w:rPr>
                <w:rFonts w:ascii="宋体" w:hAnsi="宋体" w:cs="宋体" w:hint="eastAsia"/>
                <w:spacing w:val="-1"/>
                <w:sz w:val="18"/>
                <w:szCs w:val="18"/>
                <w:lang w:eastAsia="zh-CN"/>
              </w:rPr>
              <w:t>）</w:t>
            </w:r>
            <w:r w:rsidRPr="00D94554">
              <w:rPr>
                <w:rFonts w:eastAsia="Times New Roman"/>
                <w:spacing w:val="-1"/>
                <w:sz w:val="18"/>
                <w:szCs w:val="18"/>
                <w:lang w:eastAsia="zh-CN"/>
              </w:rPr>
              <w:t>km</w:t>
            </w:r>
            <w:r w:rsidRPr="00D94554">
              <w:rPr>
                <w:rFonts w:ascii="宋体" w:hAnsi="宋体" w:cs="宋体" w:hint="eastAsia"/>
                <w:spacing w:val="-1"/>
                <w:sz w:val="18"/>
                <w:szCs w:val="18"/>
                <w:lang w:eastAsia="zh-CN"/>
              </w:rPr>
              <w:t>；湖库、河口及近岸海域：面积（</w:t>
            </w:r>
            <w:r w:rsidRPr="00D94554">
              <w:rPr>
                <w:rFonts w:ascii="宋体" w:hAnsi="宋体" w:cs="宋体" w:hint="eastAsia"/>
                <w:spacing w:val="-1"/>
                <w:sz w:val="18"/>
                <w:szCs w:val="18"/>
                <w:lang w:eastAsia="zh-CN"/>
              </w:rPr>
              <w:tab/>
              <w:t>）</w:t>
            </w:r>
            <w:r w:rsidRPr="00D94554">
              <w:rPr>
                <w:rFonts w:eastAsia="Times New Roman"/>
                <w:spacing w:val="-1"/>
                <w:sz w:val="18"/>
                <w:szCs w:val="18"/>
                <w:lang w:eastAsia="zh-CN"/>
              </w:rPr>
              <w:t>km</w:t>
            </w:r>
            <w:r w:rsidRPr="00D94554">
              <w:rPr>
                <w:rFonts w:eastAsia="Times New Roman"/>
                <w:spacing w:val="-1"/>
                <w:position w:val="6"/>
                <w:sz w:val="18"/>
                <w:szCs w:val="18"/>
                <w:lang w:eastAsia="zh-CN"/>
              </w:rPr>
              <w:t>2</w:t>
            </w:r>
          </w:p>
        </w:tc>
      </w:tr>
      <w:tr w:rsidR="00D94554" w:rsidRPr="00D94554" w:rsidTr="00C66914">
        <w:trPr>
          <w:trHeight w:val="397"/>
          <w:jc w:val="center"/>
        </w:trPr>
        <w:tc>
          <w:tcPr>
            <w:tcW w:w="571" w:type="dxa"/>
            <w:vMerge/>
            <w:vAlign w:val="center"/>
            <w:hideMark/>
          </w:tcPr>
          <w:p w:rsidR="00D94554" w:rsidRPr="00D94554" w:rsidRDefault="00D94554" w:rsidP="00D94554">
            <w:pPr>
              <w:widowControl/>
              <w:adjustRightInd/>
              <w:snapToGrid/>
              <w:spacing w:line="240" w:lineRule="auto"/>
              <w:ind w:firstLineChars="0" w:firstLine="0"/>
              <w:textAlignment w:val="auto"/>
              <w:rPr>
                <w:rFonts w:ascii="宋体" w:hAnsi="宋体" w:cs="宋体"/>
                <w:sz w:val="18"/>
                <w:szCs w:val="18"/>
                <w:lang w:eastAsia="zh-CN"/>
              </w:rPr>
            </w:pPr>
          </w:p>
        </w:tc>
        <w:tc>
          <w:tcPr>
            <w:tcW w:w="2841" w:type="dxa"/>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评价因子</w:t>
            </w:r>
          </w:p>
        </w:tc>
        <w:tc>
          <w:tcPr>
            <w:tcW w:w="10566" w:type="dxa"/>
            <w:gridSpan w:val="13"/>
            <w:vAlign w:val="center"/>
            <w:hideMark/>
          </w:tcPr>
          <w:p w:rsidR="00D94554" w:rsidRPr="00D94554" w:rsidRDefault="00D94554" w:rsidP="00D94554">
            <w:pPr>
              <w:tabs>
                <w:tab w:val="left" w:pos="554"/>
              </w:tabs>
              <w:adjustRightInd/>
              <w:snapToGrid/>
              <w:spacing w:line="240" w:lineRule="auto"/>
              <w:ind w:firstLineChars="0" w:firstLine="0"/>
              <w:jc w:val="left"/>
              <w:textAlignment w:val="auto"/>
              <w:rPr>
                <w:rFonts w:ascii="宋体" w:hAnsi="宋体" w:cs="宋体"/>
                <w:sz w:val="18"/>
                <w:szCs w:val="18"/>
              </w:rPr>
            </w:pPr>
            <w:r w:rsidRPr="00D94554">
              <w:rPr>
                <w:rFonts w:ascii="宋体" w:hAnsi="宋体" w:cs="宋体" w:hint="eastAsia"/>
                <w:sz w:val="18"/>
                <w:szCs w:val="18"/>
              </w:rPr>
              <w:t>（</w:t>
            </w:r>
            <w:r w:rsidRPr="00D94554">
              <w:rPr>
                <w:rFonts w:ascii="宋体" w:hAnsi="宋体" w:cs="宋体" w:hint="eastAsia"/>
                <w:sz w:val="18"/>
                <w:szCs w:val="18"/>
              </w:rPr>
              <w:tab/>
              <w:t>）</w:t>
            </w:r>
          </w:p>
        </w:tc>
      </w:tr>
      <w:tr w:rsidR="00D94554" w:rsidRPr="00D94554" w:rsidTr="00C66914">
        <w:trPr>
          <w:trHeight w:val="397"/>
          <w:jc w:val="center"/>
        </w:trPr>
        <w:tc>
          <w:tcPr>
            <w:tcW w:w="571" w:type="dxa"/>
            <w:vMerge/>
            <w:vAlign w:val="center"/>
            <w:hideMark/>
          </w:tcPr>
          <w:p w:rsidR="00D94554" w:rsidRPr="00D94554" w:rsidRDefault="00D94554" w:rsidP="00D94554">
            <w:pPr>
              <w:widowControl/>
              <w:adjustRightInd/>
              <w:snapToGrid/>
              <w:spacing w:line="240" w:lineRule="auto"/>
              <w:ind w:firstLineChars="0" w:firstLine="0"/>
              <w:textAlignment w:val="auto"/>
              <w:rPr>
                <w:rFonts w:ascii="宋体" w:hAnsi="宋体" w:cs="宋体"/>
                <w:sz w:val="18"/>
                <w:szCs w:val="18"/>
              </w:rPr>
            </w:pPr>
          </w:p>
        </w:tc>
        <w:tc>
          <w:tcPr>
            <w:tcW w:w="2841" w:type="dxa"/>
            <w:vAlign w:val="center"/>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评价标准</w:t>
            </w:r>
          </w:p>
        </w:tc>
        <w:tc>
          <w:tcPr>
            <w:tcW w:w="10566" w:type="dxa"/>
            <w:gridSpan w:val="13"/>
            <w:vAlign w:val="center"/>
            <w:hideMark/>
          </w:tcPr>
          <w:p w:rsidR="00D94554" w:rsidRPr="00D94554" w:rsidRDefault="00D94554" w:rsidP="00D94554">
            <w:pPr>
              <w:tabs>
                <w:tab w:val="left" w:pos="1814"/>
              </w:tabs>
              <w:adjustRightInd/>
              <w:snapToGrid/>
              <w:spacing w:line="240" w:lineRule="auto"/>
              <w:ind w:firstLineChars="0" w:firstLine="0"/>
              <w:jc w:val="left"/>
              <w:textAlignment w:val="auto"/>
              <w:rPr>
                <w:rFonts w:ascii="宋体" w:hAnsi="宋体" w:cs="宋体"/>
                <w:sz w:val="18"/>
                <w:szCs w:val="18"/>
                <w:lang w:eastAsia="zh-CN"/>
              </w:rPr>
            </w:pPr>
            <w:r w:rsidRPr="00D94554">
              <w:rPr>
                <w:rFonts w:ascii="宋体" w:hAnsi="宋体" w:cs="宋体" w:hint="eastAsia"/>
                <w:sz w:val="18"/>
                <w:szCs w:val="18"/>
                <w:lang w:eastAsia="zh-CN"/>
              </w:rPr>
              <w:t xml:space="preserve">河流、湖库、河口：Ⅰ类 □；Ⅱ类 □；Ⅲ类 □；Ⅳ类 □；Ⅴ类 </w:t>
            </w:r>
            <w:r w:rsidRPr="00D94554">
              <w:rPr>
                <w:w w:val="99"/>
                <w:sz w:val="18"/>
              </w:rPr>
              <w:sym w:font="Wingdings" w:char="00FE"/>
            </w:r>
            <w:r w:rsidRPr="00D94554">
              <w:rPr>
                <w:rFonts w:ascii="宋体" w:hAnsi="宋体" w:cs="宋体" w:hint="eastAsia"/>
                <w:sz w:val="18"/>
                <w:szCs w:val="18"/>
                <w:lang w:eastAsia="zh-CN"/>
              </w:rPr>
              <w:t xml:space="preserve"> 近岸海域：第一类 □；第二类 □；第三类 □；第四类</w:t>
            </w:r>
            <w:r w:rsidRPr="00D94554">
              <w:rPr>
                <w:rFonts w:ascii="宋体" w:hAnsi="宋体" w:cs="宋体" w:hint="eastAsia"/>
                <w:spacing w:val="4"/>
                <w:sz w:val="18"/>
                <w:szCs w:val="18"/>
                <w:lang w:eastAsia="zh-CN"/>
              </w:rPr>
              <w:t xml:space="preserve"> </w:t>
            </w:r>
            <w:r w:rsidRPr="00D94554">
              <w:rPr>
                <w:rFonts w:ascii="宋体" w:hAnsi="宋体" w:cs="宋体" w:hint="eastAsia"/>
                <w:sz w:val="18"/>
                <w:szCs w:val="18"/>
                <w:lang w:eastAsia="zh-CN"/>
              </w:rPr>
              <w:t xml:space="preserve">□ </w:t>
            </w:r>
          </w:p>
          <w:p w:rsidR="00D94554" w:rsidRPr="00D94554" w:rsidRDefault="00D94554" w:rsidP="00D94554">
            <w:pPr>
              <w:tabs>
                <w:tab w:val="left" w:pos="1814"/>
              </w:tabs>
              <w:adjustRightInd/>
              <w:snapToGrid/>
              <w:spacing w:line="240" w:lineRule="auto"/>
              <w:ind w:firstLineChars="0" w:firstLine="0"/>
              <w:jc w:val="left"/>
              <w:textAlignment w:val="auto"/>
              <w:rPr>
                <w:rFonts w:ascii="宋体" w:hAnsi="宋体" w:cs="宋体"/>
                <w:sz w:val="18"/>
                <w:szCs w:val="18"/>
              </w:rPr>
            </w:pPr>
            <w:r w:rsidRPr="00D94554">
              <w:rPr>
                <w:rFonts w:ascii="宋体" w:hAnsi="宋体" w:cs="宋体" w:hint="eastAsia"/>
                <w:sz w:val="18"/>
                <w:szCs w:val="18"/>
              </w:rPr>
              <w:t>规划年评价标准（</w:t>
            </w:r>
            <w:r w:rsidRPr="00D94554">
              <w:rPr>
                <w:rFonts w:ascii="宋体" w:hAnsi="宋体" w:cs="宋体" w:hint="eastAsia"/>
                <w:sz w:val="18"/>
                <w:szCs w:val="18"/>
              </w:rPr>
              <w:tab/>
              <w:t>）</w:t>
            </w:r>
          </w:p>
        </w:tc>
      </w:tr>
      <w:tr w:rsidR="00D94554" w:rsidRPr="00D94554" w:rsidTr="00C66914">
        <w:trPr>
          <w:trHeight w:val="397"/>
          <w:jc w:val="center"/>
        </w:trPr>
        <w:tc>
          <w:tcPr>
            <w:tcW w:w="571" w:type="dxa"/>
            <w:vMerge/>
            <w:vAlign w:val="center"/>
            <w:hideMark/>
          </w:tcPr>
          <w:p w:rsidR="00D94554" w:rsidRPr="00D94554" w:rsidRDefault="00D94554" w:rsidP="00D94554">
            <w:pPr>
              <w:widowControl/>
              <w:adjustRightInd/>
              <w:snapToGrid/>
              <w:spacing w:line="240" w:lineRule="auto"/>
              <w:ind w:firstLineChars="0" w:firstLine="0"/>
              <w:textAlignment w:val="auto"/>
              <w:rPr>
                <w:rFonts w:ascii="宋体" w:hAnsi="宋体" w:cs="宋体"/>
                <w:sz w:val="18"/>
                <w:szCs w:val="18"/>
              </w:rPr>
            </w:pPr>
          </w:p>
        </w:tc>
        <w:tc>
          <w:tcPr>
            <w:tcW w:w="2841" w:type="dxa"/>
            <w:vAlign w:val="center"/>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评价时期</w:t>
            </w:r>
          </w:p>
        </w:tc>
        <w:tc>
          <w:tcPr>
            <w:tcW w:w="10566" w:type="dxa"/>
            <w:gridSpan w:val="13"/>
            <w:vAlign w:val="center"/>
            <w:hideMark/>
          </w:tcPr>
          <w:p w:rsidR="00D94554" w:rsidRPr="00D94554" w:rsidRDefault="00D94554" w:rsidP="00D94554">
            <w:pPr>
              <w:adjustRightInd/>
              <w:snapToGrid/>
              <w:spacing w:line="240" w:lineRule="auto"/>
              <w:ind w:firstLineChars="0" w:firstLine="0"/>
              <w:jc w:val="left"/>
              <w:textAlignment w:val="auto"/>
              <w:rPr>
                <w:rFonts w:ascii="宋体" w:hAnsi="宋体" w:cs="宋体"/>
                <w:sz w:val="18"/>
                <w:szCs w:val="18"/>
              </w:rPr>
            </w:pPr>
            <w:r w:rsidRPr="00D94554">
              <w:rPr>
                <w:rFonts w:ascii="宋体" w:hAnsi="宋体" w:cs="宋体" w:hint="eastAsia"/>
                <w:sz w:val="18"/>
                <w:szCs w:val="18"/>
              </w:rPr>
              <w:t>丰水期 □；平水期 □；枯水期 □；冰封期</w:t>
            </w:r>
            <w:r w:rsidRPr="00D94554">
              <w:rPr>
                <w:rFonts w:ascii="宋体" w:hAnsi="宋体" w:cs="宋体" w:hint="eastAsia"/>
                <w:spacing w:val="1"/>
                <w:sz w:val="18"/>
                <w:szCs w:val="18"/>
              </w:rPr>
              <w:t xml:space="preserve"> </w:t>
            </w:r>
            <w:r w:rsidRPr="00D94554">
              <w:rPr>
                <w:rFonts w:ascii="宋体" w:hAnsi="宋体" w:cs="宋体" w:hint="eastAsia"/>
                <w:sz w:val="18"/>
                <w:szCs w:val="18"/>
              </w:rPr>
              <w:t xml:space="preserve">□ </w:t>
            </w:r>
          </w:p>
          <w:p w:rsidR="00D94554" w:rsidRPr="00D94554" w:rsidRDefault="00D94554" w:rsidP="00D94554">
            <w:pPr>
              <w:adjustRightInd/>
              <w:snapToGrid/>
              <w:spacing w:line="240" w:lineRule="auto"/>
              <w:ind w:firstLineChars="0" w:firstLine="0"/>
              <w:jc w:val="left"/>
              <w:textAlignment w:val="auto"/>
              <w:rPr>
                <w:rFonts w:ascii="宋体" w:hAnsi="宋体" w:cs="宋体"/>
                <w:sz w:val="18"/>
                <w:szCs w:val="18"/>
              </w:rPr>
            </w:pPr>
            <w:r w:rsidRPr="00D94554">
              <w:rPr>
                <w:rFonts w:ascii="宋体" w:hAnsi="宋体" w:cs="宋体" w:hint="eastAsia"/>
                <w:sz w:val="18"/>
                <w:szCs w:val="18"/>
              </w:rPr>
              <w:t>春季 □；夏季 □；秋季 □；冬季</w:t>
            </w:r>
            <w:r w:rsidRPr="00D94554">
              <w:rPr>
                <w:rFonts w:ascii="宋体" w:hAnsi="宋体" w:cs="宋体" w:hint="eastAsia"/>
                <w:spacing w:val="1"/>
                <w:sz w:val="18"/>
                <w:szCs w:val="18"/>
              </w:rPr>
              <w:t xml:space="preserve"> </w:t>
            </w:r>
            <w:r w:rsidRPr="00D94554">
              <w:rPr>
                <w:rFonts w:ascii="宋体" w:hAnsi="宋体" w:cs="宋体" w:hint="eastAsia"/>
                <w:sz w:val="18"/>
                <w:szCs w:val="18"/>
              </w:rPr>
              <w:t>□</w:t>
            </w:r>
          </w:p>
        </w:tc>
      </w:tr>
      <w:tr w:rsidR="00D94554" w:rsidRPr="00D94554" w:rsidTr="00C66914">
        <w:trPr>
          <w:trHeight w:val="397"/>
          <w:jc w:val="center"/>
        </w:trPr>
        <w:tc>
          <w:tcPr>
            <w:tcW w:w="571" w:type="dxa"/>
            <w:vMerge/>
            <w:vAlign w:val="center"/>
            <w:hideMark/>
          </w:tcPr>
          <w:p w:rsidR="00D94554" w:rsidRPr="00D94554" w:rsidRDefault="00D94554" w:rsidP="00D94554">
            <w:pPr>
              <w:widowControl/>
              <w:adjustRightInd/>
              <w:snapToGrid/>
              <w:spacing w:line="240" w:lineRule="auto"/>
              <w:ind w:firstLineChars="0" w:firstLine="0"/>
              <w:textAlignment w:val="auto"/>
              <w:rPr>
                <w:rFonts w:ascii="宋体" w:hAnsi="宋体" w:cs="宋体"/>
                <w:sz w:val="18"/>
                <w:szCs w:val="18"/>
              </w:rPr>
            </w:pPr>
          </w:p>
        </w:tc>
        <w:tc>
          <w:tcPr>
            <w:tcW w:w="2841" w:type="dxa"/>
            <w:vAlign w:val="center"/>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评价结论</w:t>
            </w:r>
          </w:p>
        </w:tc>
        <w:tc>
          <w:tcPr>
            <w:tcW w:w="9079" w:type="dxa"/>
            <w:gridSpan w:val="12"/>
            <w:vAlign w:val="center"/>
            <w:hideMark/>
          </w:tcPr>
          <w:p w:rsidR="00D94554" w:rsidRPr="00D94554" w:rsidRDefault="00D94554" w:rsidP="00D94554">
            <w:pPr>
              <w:adjustRightInd/>
              <w:snapToGrid/>
              <w:spacing w:line="240" w:lineRule="auto"/>
              <w:ind w:firstLineChars="0" w:firstLine="0"/>
              <w:jc w:val="left"/>
              <w:textAlignment w:val="auto"/>
              <w:rPr>
                <w:rFonts w:ascii="宋体" w:hAnsi="宋体" w:cs="宋体"/>
                <w:sz w:val="18"/>
                <w:szCs w:val="18"/>
                <w:lang w:eastAsia="zh-CN"/>
              </w:rPr>
            </w:pPr>
            <w:r w:rsidRPr="00D94554">
              <w:rPr>
                <w:rFonts w:ascii="宋体" w:hAnsi="宋体" w:cs="宋体" w:hint="eastAsia"/>
                <w:sz w:val="18"/>
                <w:szCs w:val="18"/>
                <w:lang w:eastAsia="zh-CN"/>
              </w:rPr>
              <w:t>水环境功能区或水功能区、近岸海域环境功能区水质达标状况 □：达标 □；不达标</w:t>
            </w:r>
            <w:r w:rsidRPr="00D94554">
              <w:rPr>
                <w:rFonts w:ascii="宋体" w:hAnsi="宋体" w:cs="宋体" w:hint="eastAsia"/>
                <w:spacing w:val="3"/>
                <w:sz w:val="18"/>
                <w:szCs w:val="18"/>
                <w:lang w:eastAsia="zh-CN"/>
              </w:rPr>
              <w:t xml:space="preserve"> </w:t>
            </w:r>
            <w:r w:rsidRPr="00D94554">
              <w:rPr>
                <w:w w:val="99"/>
                <w:sz w:val="18"/>
              </w:rPr>
              <w:sym w:font="Wingdings" w:char="00FE"/>
            </w:r>
            <w:r w:rsidRPr="00D94554">
              <w:rPr>
                <w:rFonts w:ascii="宋体" w:hAnsi="宋体" w:cs="宋体" w:hint="eastAsia"/>
                <w:sz w:val="18"/>
                <w:szCs w:val="18"/>
                <w:lang w:eastAsia="zh-CN"/>
              </w:rPr>
              <w:t xml:space="preserve"> </w:t>
            </w:r>
          </w:p>
          <w:p w:rsidR="00D94554" w:rsidRPr="00D94554" w:rsidRDefault="00D94554" w:rsidP="00D94554">
            <w:pPr>
              <w:adjustRightInd/>
              <w:snapToGrid/>
              <w:spacing w:line="240" w:lineRule="auto"/>
              <w:ind w:firstLineChars="0" w:firstLine="0"/>
              <w:jc w:val="left"/>
              <w:textAlignment w:val="auto"/>
              <w:rPr>
                <w:rFonts w:ascii="宋体" w:hAnsi="宋体" w:cs="宋体"/>
                <w:sz w:val="18"/>
                <w:szCs w:val="18"/>
                <w:lang w:eastAsia="zh-CN"/>
              </w:rPr>
            </w:pPr>
            <w:r w:rsidRPr="00D94554">
              <w:rPr>
                <w:rFonts w:ascii="宋体" w:hAnsi="宋体" w:cs="宋体" w:hint="eastAsia"/>
                <w:sz w:val="18"/>
                <w:szCs w:val="18"/>
                <w:lang w:eastAsia="zh-CN"/>
              </w:rPr>
              <w:t xml:space="preserve">水环境控制单元或断面水质达标状况 □：达标 □；不达标 </w:t>
            </w:r>
            <w:r w:rsidRPr="00D94554">
              <w:rPr>
                <w:w w:val="99"/>
                <w:sz w:val="18"/>
              </w:rPr>
              <w:sym w:font="Wingdings" w:char="00FE"/>
            </w:r>
          </w:p>
          <w:p w:rsidR="00D94554" w:rsidRPr="00D94554" w:rsidRDefault="00D94554" w:rsidP="00D94554">
            <w:pPr>
              <w:adjustRightInd/>
              <w:snapToGrid/>
              <w:spacing w:line="240" w:lineRule="auto"/>
              <w:ind w:firstLineChars="0" w:firstLine="0"/>
              <w:jc w:val="left"/>
              <w:textAlignment w:val="auto"/>
              <w:rPr>
                <w:rFonts w:ascii="宋体" w:hAnsi="宋体" w:cs="宋体"/>
                <w:sz w:val="18"/>
                <w:szCs w:val="18"/>
                <w:lang w:eastAsia="zh-CN"/>
              </w:rPr>
            </w:pPr>
            <w:r w:rsidRPr="00D94554">
              <w:rPr>
                <w:rFonts w:ascii="宋体" w:hAnsi="宋体" w:cs="宋体" w:hint="eastAsia"/>
                <w:sz w:val="18"/>
                <w:szCs w:val="18"/>
                <w:lang w:eastAsia="zh-CN"/>
              </w:rPr>
              <w:t>水环境保护目标质量状况 □：达标 □；不达标</w:t>
            </w:r>
            <w:r w:rsidRPr="00D94554">
              <w:rPr>
                <w:rFonts w:ascii="宋体" w:hAnsi="宋体" w:cs="宋体" w:hint="eastAsia"/>
                <w:spacing w:val="3"/>
                <w:sz w:val="18"/>
                <w:szCs w:val="18"/>
                <w:lang w:eastAsia="zh-CN"/>
              </w:rPr>
              <w:t xml:space="preserve"> </w:t>
            </w:r>
            <w:r w:rsidRPr="00D94554">
              <w:rPr>
                <w:rFonts w:ascii="宋体" w:hAnsi="宋体" w:cs="宋体" w:hint="eastAsia"/>
                <w:sz w:val="18"/>
                <w:szCs w:val="18"/>
                <w:lang w:eastAsia="zh-CN"/>
              </w:rPr>
              <w:t xml:space="preserve">□ </w:t>
            </w:r>
          </w:p>
          <w:p w:rsidR="00D94554" w:rsidRPr="00D94554" w:rsidRDefault="00D94554" w:rsidP="00D94554">
            <w:pPr>
              <w:adjustRightInd/>
              <w:snapToGrid/>
              <w:spacing w:line="240" w:lineRule="auto"/>
              <w:ind w:firstLineChars="0" w:firstLine="0"/>
              <w:jc w:val="left"/>
              <w:textAlignment w:val="auto"/>
              <w:rPr>
                <w:rFonts w:ascii="宋体" w:hAnsi="宋体" w:cs="宋体"/>
                <w:sz w:val="18"/>
                <w:szCs w:val="18"/>
                <w:lang w:eastAsia="zh-CN"/>
              </w:rPr>
            </w:pPr>
            <w:r w:rsidRPr="00D94554">
              <w:rPr>
                <w:rFonts w:ascii="宋体" w:hAnsi="宋体" w:cs="宋体" w:hint="eastAsia"/>
                <w:sz w:val="18"/>
                <w:szCs w:val="18"/>
                <w:lang w:eastAsia="zh-CN"/>
              </w:rPr>
              <w:t xml:space="preserve">对照断面、控制断面等代表性断面的水质状况 □：达标 □；不达标 □ </w:t>
            </w:r>
          </w:p>
          <w:p w:rsidR="00D94554" w:rsidRPr="00D94554" w:rsidRDefault="00D94554" w:rsidP="00D94554">
            <w:pPr>
              <w:adjustRightInd/>
              <w:snapToGrid/>
              <w:spacing w:line="240" w:lineRule="auto"/>
              <w:ind w:firstLineChars="0" w:firstLine="0"/>
              <w:jc w:val="left"/>
              <w:textAlignment w:val="auto"/>
              <w:rPr>
                <w:rFonts w:ascii="宋体" w:hAnsi="宋体" w:cs="宋体"/>
                <w:sz w:val="18"/>
                <w:szCs w:val="18"/>
                <w:lang w:eastAsia="zh-CN"/>
              </w:rPr>
            </w:pPr>
            <w:r w:rsidRPr="00D94554">
              <w:rPr>
                <w:rFonts w:ascii="宋体" w:hAnsi="宋体" w:cs="宋体" w:hint="eastAsia"/>
                <w:sz w:val="18"/>
                <w:szCs w:val="18"/>
                <w:lang w:eastAsia="zh-CN"/>
              </w:rPr>
              <w:t>底泥污染评价</w:t>
            </w:r>
            <w:r w:rsidRPr="00D94554">
              <w:rPr>
                <w:rFonts w:ascii="宋体" w:hAnsi="宋体" w:cs="宋体" w:hint="eastAsia"/>
                <w:spacing w:val="1"/>
                <w:sz w:val="18"/>
                <w:szCs w:val="18"/>
                <w:lang w:eastAsia="zh-CN"/>
              </w:rPr>
              <w:t xml:space="preserve"> </w:t>
            </w:r>
            <w:r w:rsidRPr="00D94554">
              <w:rPr>
                <w:rFonts w:ascii="宋体" w:hAnsi="宋体" w:cs="宋体" w:hint="eastAsia"/>
                <w:sz w:val="18"/>
                <w:szCs w:val="18"/>
                <w:lang w:eastAsia="zh-CN"/>
              </w:rPr>
              <w:t>□</w:t>
            </w:r>
          </w:p>
          <w:p w:rsidR="00D94554" w:rsidRPr="00D94554" w:rsidRDefault="00D94554" w:rsidP="00D94554">
            <w:pPr>
              <w:adjustRightInd/>
              <w:snapToGrid/>
              <w:spacing w:line="240" w:lineRule="auto"/>
              <w:ind w:firstLineChars="0" w:firstLine="0"/>
              <w:jc w:val="left"/>
              <w:textAlignment w:val="auto"/>
              <w:rPr>
                <w:rFonts w:ascii="宋体" w:hAnsi="宋体" w:cs="宋体"/>
                <w:sz w:val="18"/>
                <w:szCs w:val="18"/>
                <w:lang w:eastAsia="zh-CN"/>
              </w:rPr>
            </w:pPr>
            <w:r w:rsidRPr="00D94554">
              <w:rPr>
                <w:rFonts w:ascii="宋体" w:hAnsi="宋体" w:cs="宋体" w:hint="eastAsia"/>
                <w:sz w:val="18"/>
                <w:szCs w:val="18"/>
                <w:lang w:eastAsia="zh-CN"/>
              </w:rPr>
              <w:t>水资源与开发利用程度及其水文情势评价</w:t>
            </w:r>
            <w:r w:rsidRPr="00D94554">
              <w:rPr>
                <w:rFonts w:ascii="宋体" w:hAnsi="宋体" w:cs="宋体" w:hint="eastAsia"/>
                <w:spacing w:val="1"/>
                <w:sz w:val="18"/>
                <w:szCs w:val="18"/>
                <w:lang w:eastAsia="zh-CN"/>
              </w:rPr>
              <w:t xml:space="preserve"> </w:t>
            </w:r>
            <w:r w:rsidRPr="00D94554">
              <w:rPr>
                <w:rFonts w:ascii="宋体" w:hAnsi="宋体" w:cs="宋体" w:hint="eastAsia"/>
                <w:sz w:val="18"/>
                <w:szCs w:val="18"/>
                <w:lang w:eastAsia="zh-CN"/>
              </w:rPr>
              <w:t xml:space="preserve">□ </w:t>
            </w:r>
          </w:p>
          <w:p w:rsidR="00D94554" w:rsidRPr="00D94554" w:rsidRDefault="00D94554" w:rsidP="00D94554">
            <w:pPr>
              <w:adjustRightInd/>
              <w:snapToGrid/>
              <w:spacing w:line="240" w:lineRule="auto"/>
              <w:ind w:firstLineChars="0" w:firstLine="0"/>
              <w:jc w:val="left"/>
              <w:textAlignment w:val="auto"/>
              <w:rPr>
                <w:rFonts w:ascii="宋体" w:hAnsi="宋体" w:cs="宋体"/>
                <w:sz w:val="18"/>
                <w:szCs w:val="18"/>
                <w:lang w:eastAsia="zh-CN"/>
              </w:rPr>
            </w:pPr>
            <w:r w:rsidRPr="00D94554">
              <w:rPr>
                <w:rFonts w:ascii="宋体" w:hAnsi="宋体" w:cs="宋体" w:hint="eastAsia"/>
                <w:sz w:val="18"/>
                <w:szCs w:val="18"/>
                <w:lang w:eastAsia="zh-CN"/>
              </w:rPr>
              <w:t>水环境质量回顾评价</w:t>
            </w:r>
            <w:r w:rsidRPr="00D94554">
              <w:rPr>
                <w:rFonts w:ascii="宋体" w:hAnsi="宋体" w:cs="宋体" w:hint="eastAsia"/>
                <w:spacing w:val="1"/>
                <w:sz w:val="18"/>
                <w:szCs w:val="18"/>
                <w:lang w:eastAsia="zh-CN"/>
              </w:rPr>
              <w:t xml:space="preserve"> </w:t>
            </w:r>
            <w:r w:rsidRPr="00D94554">
              <w:rPr>
                <w:rFonts w:ascii="宋体" w:hAnsi="宋体" w:cs="宋体" w:hint="eastAsia"/>
                <w:sz w:val="18"/>
                <w:szCs w:val="18"/>
                <w:lang w:eastAsia="zh-CN"/>
              </w:rPr>
              <w:t>□</w:t>
            </w:r>
          </w:p>
          <w:p w:rsidR="00D94554" w:rsidRPr="00D94554" w:rsidRDefault="00D94554" w:rsidP="00D94554">
            <w:pPr>
              <w:adjustRightInd/>
              <w:snapToGrid/>
              <w:spacing w:line="240" w:lineRule="auto"/>
              <w:ind w:firstLineChars="0" w:firstLine="0"/>
              <w:jc w:val="left"/>
              <w:textAlignment w:val="auto"/>
              <w:rPr>
                <w:rFonts w:ascii="宋体" w:hAnsi="宋体" w:cs="宋体"/>
                <w:sz w:val="18"/>
                <w:szCs w:val="18"/>
                <w:lang w:eastAsia="zh-CN"/>
              </w:rPr>
            </w:pPr>
            <w:r w:rsidRPr="00D94554">
              <w:rPr>
                <w:rFonts w:ascii="宋体" w:hAnsi="宋体" w:cs="宋体" w:hint="eastAsia"/>
                <w:spacing w:val="-2"/>
                <w:sz w:val="18"/>
                <w:szCs w:val="18"/>
                <w:lang w:eastAsia="zh-CN"/>
              </w:rPr>
              <w:t>流域（区域）水资源（包括水能资源）与开发利用总体状况、生态流量管理要求与现状满足程度、建设项目占</w:t>
            </w:r>
            <w:r w:rsidRPr="00D94554">
              <w:rPr>
                <w:rFonts w:ascii="宋体" w:hAnsi="宋体" w:cs="宋体" w:hint="eastAsia"/>
                <w:spacing w:val="-45"/>
                <w:sz w:val="18"/>
                <w:szCs w:val="18"/>
                <w:lang w:eastAsia="zh-CN"/>
              </w:rPr>
              <w:t xml:space="preserve"> </w:t>
            </w:r>
            <w:r w:rsidRPr="00D94554">
              <w:rPr>
                <w:rFonts w:ascii="宋体" w:hAnsi="宋体" w:cs="宋体" w:hint="eastAsia"/>
                <w:sz w:val="18"/>
                <w:szCs w:val="18"/>
                <w:lang w:eastAsia="zh-CN"/>
              </w:rPr>
              <w:t>用水域空间的水流状况与河湖演变状况</w:t>
            </w:r>
            <w:r w:rsidRPr="00D94554">
              <w:rPr>
                <w:rFonts w:ascii="宋体" w:hAnsi="宋体" w:cs="宋体" w:hint="eastAsia"/>
                <w:spacing w:val="1"/>
                <w:sz w:val="18"/>
                <w:szCs w:val="18"/>
                <w:lang w:eastAsia="zh-CN"/>
              </w:rPr>
              <w:t xml:space="preserve"> </w:t>
            </w:r>
            <w:r w:rsidRPr="00D94554">
              <w:rPr>
                <w:rFonts w:ascii="宋体" w:hAnsi="宋体" w:cs="宋体" w:hint="eastAsia"/>
                <w:sz w:val="18"/>
                <w:szCs w:val="18"/>
                <w:lang w:eastAsia="zh-CN"/>
              </w:rPr>
              <w:t>□</w:t>
            </w:r>
          </w:p>
        </w:tc>
        <w:tc>
          <w:tcPr>
            <w:tcW w:w="1487" w:type="dxa"/>
            <w:vAlign w:val="center"/>
          </w:tcPr>
          <w:p w:rsidR="00D94554" w:rsidRPr="00D94554" w:rsidRDefault="00D94554" w:rsidP="00D94554">
            <w:pPr>
              <w:adjustRightInd/>
              <w:snapToGrid/>
              <w:spacing w:line="240" w:lineRule="auto"/>
              <w:ind w:firstLineChars="0" w:firstLine="0"/>
              <w:jc w:val="left"/>
              <w:textAlignment w:val="auto"/>
              <w:rPr>
                <w:rFonts w:ascii="宋体" w:hAnsi="宋体" w:cs="宋体"/>
                <w:sz w:val="18"/>
                <w:szCs w:val="18"/>
              </w:rPr>
            </w:pPr>
            <w:r w:rsidRPr="00D94554">
              <w:rPr>
                <w:rFonts w:ascii="宋体" w:hAnsi="宋体" w:cs="宋体" w:hint="eastAsia"/>
                <w:sz w:val="18"/>
                <w:szCs w:val="18"/>
              </w:rPr>
              <w:t>达标区</w:t>
            </w:r>
            <w:r w:rsidRPr="00D94554">
              <w:rPr>
                <w:rFonts w:ascii="宋体" w:hAnsi="宋体" w:cs="宋体" w:hint="eastAsia"/>
                <w:spacing w:val="1"/>
                <w:sz w:val="18"/>
                <w:szCs w:val="18"/>
              </w:rPr>
              <w:t xml:space="preserve"> </w:t>
            </w:r>
            <w:r w:rsidRPr="00D94554">
              <w:rPr>
                <w:rFonts w:ascii="宋体" w:hAnsi="宋体" w:cs="宋体" w:hint="eastAsia"/>
                <w:sz w:val="18"/>
                <w:szCs w:val="18"/>
              </w:rPr>
              <w:t xml:space="preserve">□ </w:t>
            </w:r>
          </w:p>
          <w:p w:rsidR="00D94554" w:rsidRPr="00D94554" w:rsidRDefault="00D94554" w:rsidP="00D94554">
            <w:pPr>
              <w:adjustRightInd/>
              <w:snapToGrid/>
              <w:spacing w:line="240" w:lineRule="auto"/>
              <w:ind w:firstLineChars="0" w:firstLine="0"/>
              <w:jc w:val="left"/>
              <w:textAlignment w:val="auto"/>
              <w:rPr>
                <w:rFonts w:ascii="宋体" w:hAnsi="宋体" w:cs="宋体"/>
                <w:sz w:val="18"/>
                <w:szCs w:val="18"/>
              </w:rPr>
            </w:pPr>
            <w:r w:rsidRPr="00D94554">
              <w:rPr>
                <w:rFonts w:ascii="宋体" w:hAnsi="宋体" w:cs="宋体" w:hint="eastAsia"/>
                <w:sz w:val="18"/>
                <w:szCs w:val="18"/>
              </w:rPr>
              <w:t>不达标区</w:t>
            </w:r>
            <w:r w:rsidRPr="00D94554">
              <w:rPr>
                <w:rFonts w:ascii="宋体" w:hAnsi="宋体" w:cs="宋体" w:hint="eastAsia"/>
                <w:spacing w:val="1"/>
                <w:sz w:val="18"/>
                <w:szCs w:val="18"/>
              </w:rPr>
              <w:t xml:space="preserve"> </w:t>
            </w:r>
            <w:r w:rsidRPr="00D94554">
              <w:rPr>
                <w:rFonts w:ascii="宋体" w:hAnsi="宋体" w:cs="宋体" w:hint="eastAsia"/>
                <w:sz w:val="18"/>
                <w:szCs w:val="18"/>
              </w:rPr>
              <w:t>□</w:t>
            </w:r>
          </w:p>
        </w:tc>
      </w:tr>
      <w:tr w:rsidR="00D94554" w:rsidRPr="00D94554" w:rsidTr="00C66914">
        <w:trPr>
          <w:trHeight w:val="397"/>
          <w:jc w:val="center"/>
        </w:trPr>
        <w:tc>
          <w:tcPr>
            <w:tcW w:w="571" w:type="dxa"/>
            <w:vMerge w:val="restart"/>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影响 预测</w:t>
            </w:r>
          </w:p>
        </w:tc>
        <w:tc>
          <w:tcPr>
            <w:tcW w:w="2841" w:type="dxa"/>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预测范围</w:t>
            </w:r>
          </w:p>
        </w:tc>
        <w:tc>
          <w:tcPr>
            <w:tcW w:w="10566" w:type="dxa"/>
            <w:gridSpan w:val="13"/>
            <w:vAlign w:val="center"/>
            <w:hideMark/>
          </w:tcPr>
          <w:p w:rsidR="00D94554" w:rsidRPr="00D94554" w:rsidRDefault="00D94554" w:rsidP="00D94554">
            <w:pPr>
              <w:tabs>
                <w:tab w:val="left" w:pos="1454"/>
                <w:tab w:val="left" w:pos="4832"/>
              </w:tabs>
              <w:adjustRightInd/>
              <w:snapToGrid/>
              <w:spacing w:line="240" w:lineRule="auto"/>
              <w:ind w:firstLineChars="0" w:firstLine="0"/>
              <w:jc w:val="left"/>
              <w:textAlignment w:val="auto"/>
              <w:rPr>
                <w:rFonts w:eastAsia="Times New Roman"/>
                <w:sz w:val="18"/>
                <w:szCs w:val="18"/>
                <w:lang w:eastAsia="zh-CN"/>
              </w:rPr>
            </w:pPr>
            <w:r w:rsidRPr="00D94554">
              <w:rPr>
                <w:rFonts w:ascii="宋体" w:hAnsi="宋体" w:cs="宋体" w:hint="eastAsia"/>
                <w:sz w:val="18"/>
                <w:szCs w:val="18"/>
                <w:lang w:eastAsia="zh-CN"/>
              </w:rPr>
              <w:t>河流：长度（</w:t>
            </w:r>
            <w:r w:rsidRPr="00D94554">
              <w:rPr>
                <w:rFonts w:ascii="宋体" w:hAnsi="宋体" w:cs="宋体" w:hint="eastAsia"/>
                <w:sz w:val="18"/>
                <w:szCs w:val="18"/>
                <w:lang w:eastAsia="zh-CN"/>
              </w:rPr>
              <w:tab/>
            </w:r>
            <w:r w:rsidRPr="00D94554">
              <w:rPr>
                <w:rFonts w:ascii="宋体" w:hAnsi="宋体" w:cs="宋体" w:hint="eastAsia"/>
                <w:spacing w:val="-1"/>
                <w:sz w:val="18"/>
                <w:szCs w:val="18"/>
                <w:lang w:eastAsia="zh-CN"/>
              </w:rPr>
              <w:t>）</w:t>
            </w:r>
            <w:r w:rsidRPr="00D94554">
              <w:rPr>
                <w:rFonts w:eastAsia="Times New Roman"/>
                <w:spacing w:val="-1"/>
                <w:sz w:val="18"/>
                <w:szCs w:val="18"/>
                <w:lang w:eastAsia="zh-CN"/>
              </w:rPr>
              <w:t>km</w:t>
            </w:r>
            <w:r w:rsidRPr="00D94554">
              <w:rPr>
                <w:rFonts w:ascii="宋体" w:hAnsi="宋体" w:cs="宋体" w:hint="eastAsia"/>
                <w:spacing w:val="-1"/>
                <w:sz w:val="18"/>
                <w:szCs w:val="18"/>
                <w:lang w:eastAsia="zh-CN"/>
              </w:rPr>
              <w:t>；湖库、河口及近岸海域：面积（</w:t>
            </w:r>
            <w:r w:rsidRPr="00D94554">
              <w:rPr>
                <w:rFonts w:ascii="宋体" w:hAnsi="宋体" w:cs="宋体" w:hint="eastAsia"/>
                <w:spacing w:val="-1"/>
                <w:sz w:val="18"/>
                <w:szCs w:val="18"/>
                <w:lang w:eastAsia="zh-CN"/>
              </w:rPr>
              <w:tab/>
              <w:t>）</w:t>
            </w:r>
            <w:r w:rsidRPr="00D94554">
              <w:rPr>
                <w:rFonts w:eastAsia="Times New Roman"/>
                <w:spacing w:val="-1"/>
                <w:sz w:val="18"/>
                <w:szCs w:val="18"/>
                <w:lang w:eastAsia="zh-CN"/>
              </w:rPr>
              <w:t>km</w:t>
            </w:r>
            <w:r w:rsidRPr="00D94554">
              <w:rPr>
                <w:rFonts w:eastAsia="Times New Roman"/>
                <w:spacing w:val="-1"/>
                <w:position w:val="6"/>
                <w:sz w:val="18"/>
                <w:szCs w:val="18"/>
                <w:lang w:eastAsia="zh-CN"/>
              </w:rPr>
              <w:t>2</w:t>
            </w:r>
          </w:p>
        </w:tc>
      </w:tr>
      <w:tr w:rsidR="00D94554" w:rsidRPr="00D94554" w:rsidTr="00C66914">
        <w:trPr>
          <w:trHeight w:val="397"/>
          <w:jc w:val="center"/>
        </w:trPr>
        <w:tc>
          <w:tcPr>
            <w:tcW w:w="571" w:type="dxa"/>
            <w:vMerge/>
            <w:vAlign w:val="center"/>
            <w:hideMark/>
          </w:tcPr>
          <w:p w:rsidR="00D94554" w:rsidRPr="00D94554" w:rsidRDefault="00D94554" w:rsidP="00D94554">
            <w:pPr>
              <w:widowControl/>
              <w:adjustRightInd/>
              <w:snapToGrid/>
              <w:spacing w:line="240" w:lineRule="auto"/>
              <w:ind w:firstLineChars="0" w:firstLine="0"/>
              <w:textAlignment w:val="auto"/>
              <w:rPr>
                <w:rFonts w:ascii="宋体" w:hAnsi="宋体" w:cs="宋体"/>
                <w:sz w:val="18"/>
                <w:szCs w:val="18"/>
                <w:lang w:eastAsia="zh-CN"/>
              </w:rPr>
            </w:pPr>
          </w:p>
        </w:tc>
        <w:tc>
          <w:tcPr>
            <w:tcW w:w="2841" w:type="dxa"/>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预测因子</w:t>
            </w:r>
          </w:p>
        </w:tc>
        <w:tc>
          <w:tcPr>
            <w:tcW w:w="10566" w:type="dxa"/>
            <w:gridSpan w:val="13"/>
            <w:vAlign w:val="center"/>
            <w:hideMark/>
          </w:tcPr>
          <w:p w:rsidR="00D94554" w:rsidRPr="00D94554" w:rsidRDefault="00D94554" w:rsidP="00D94554">
            <w:pPr>
              <w:tabs>
                <w:tab w:val="left" w:pos="554"/>
              </w:tabs>
              <w:adjustRightInd/>
              <w:snapToGrid/>
              <w:spacing w:line="240" w:lineRule="auto"/>
              <w:ind w:firstLineChars="0" w:firstLine="0"/>
              <w:jc w:val="left"/>
              <w:textAlignment w:val="auto"/>
              <w:rPr>
                <w:rFonts w:ascii="宋体" w:hAnsi="宋体" w:cs="宋体"/>
                <w:sz w:val="18"/>
                <w:szCs w:val="18"/>
              </w:rPr>
            </w:pPr>
            <w:r w:rsidRPr="00D94554">
              <w:rPr>
                <w:rFonts w:ascii="宋体" w:hAnsi="宋体" w:cs="宋体" w:hint="eastAsia"/>
                <w:sz w:val="18"/>
                <w:szCs w:val="18"/>
              </w:rPr>
              <w:t>（</w:t>
            </w:r>
            <w:r w:rsidRPr="00D94554">
              <w:rPr>
                <w:rFonts w:ascii="宋体" w:hAnsi="宋体" w:cs="宋体" w:hint="eastAsia"/>
                <w:sz w:val="18"/>
                <w:szCs w:val="18"/>
              </w:rPr>
              <w:tab/>
              <w:t>）</w:t>
            </w:r>
          </w:p>
        </w:tc>
      </w:tr>
      <w:tr w:rsidR="00D94554" w:rsidRPr="00D94554" w:rsidTr="00C66914">
        <w:trPr>
          <w:cantSplit/>
          <w:trHeight w:val="397"/>
          <w:jc w:val="center"/>
        </w:trPr>
        <w:tc>
          <w:tcPr>
            <w:tcW w:w="571" w:type="dxa"/>
            <w:vMerge/>
            <w:vAlign w:val="center"/>
            <w:hideMark/>
          </w:tcPr>
          <w:p w:rsidR="00D94554" w:rsidRPr="00D94554" w:rsidRDefault="00D94554" w:rsidP="00D94554">
            <w:pPr>
              <w:widowControl/>
              <w:adjustRightInd/>
              <w:snapToGrid/>
              <w:spacing w:line="240" w:lineRule="auto"/>
              <w:ind w:firstLineChars="0" w:firstLine="0"/>
              <w:textAlignment w:val="auto"/>
              <w:rPr>
                <w:rFonts w:ascii="宋体" w:hAnsi="宋体" w:cs="宋体"/>
                <w:sz w:val="18"/>
                <w:szCs w:val="18"/>
              </w:rPr>
            </w:pPr>
          </w:p>
        </w:tc>
        <w:tc>
          <w:tcPr>
            <w:tcW w:w="2841" w:type="dxa"/>
            <w:vMerge w:val="restart"/>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预测时期</w:t>
            </w:r>
          </w:p>
        </w:tc>
        <w:tc>
          <w:tcPr>
            <w:tcW w:w="10566" w:type="dxa"/>
            <w:gridSpan w:val="13"/>
            <w:vAlign w:val="center"/>
            <w:hideMark/>
          </w:tcPr>
          <w:p w:rsidR="00D94554" w:rsidRPr="00D94554" w:rsidRDefault="00D94554" w:rsidP="00D94554">
            <w:pPr>
              <w:adjustRightInd/>
              <w:snapToGrid/>
              <w:spacing w:line="240" w:lineRule="auto"/>
              <w:ind w:firstLineChars="0" w:firstLine="0"/>
              <w:jc w:val="left"/>
              <w:textAlignment w:val="auto"/>
              <w:rPr>
                <w:rFonts w:ascii="宋体" w:hAnsi="宋体" w:cs="宋体"/>
                <w:sz w:val="18"/>
                <w:szCs w:val="18"/>
              </w:rPr>
            </w:pPr>
            <w:r w:rsidRPr="00D94554">
              <w:rPr>
                <w:rFonts w:ascii="宋体" w:hAnsi="宋体" w:cs="宋体" w:hint="eastAsia"/>
                <w:sz w:val="18"/>
                <w:szCs w:val="18"/>
              </w:rPr>
              <w:t>丰水期 □；平水期 □；枯水期 □；冰封期</w:t>
            </w:r>
            <w:r w:rsidRPr="00D94554">
              <w:rPr>
                <w:rFonts w:ascii="宋体" w:hAnsi="宋体" w:cs="宋体" w:hint="eastAsia"/>
                <w:spacing w:val="1"/>
                <w:sz w:val="18"/>
                <w:szCs w:val="18"/>
              </w:rPr>
              <w:t xml:space="preserve"> </w:t>
            </w:r>
            <w:r w:rsidRPr="00D94554">
              <w:rPr>
                <w:rFonts w:ascii="宋体" w:hAnsi="宋体" w:cs="宋体" w:hint="eastAsia"/>
                <w:sz w:val="18"/>
                <w:szCs w:val="18"/>
              </w:rPr>
              <w:t>□</w:t>
            </w:r>
          </w:p>
        </w:tc>
      </w:tr>
      <w:tr w:rsidR="00D94554" w:rsidRPr="00D94554" w:rsidTr="00C66914">
        <w:trPr>
          <w:cantSplit/>
          <w:trHeight w:val="397"/>
          <w:jc w:val="center"/>
        </w:trPr>
        <w:tc>
          <w:tcPr>
            <w:tcW w:w="571" w:type="dxa"/>
            <w:vMerge/>
            <w:vAlign w:val="center"/>
          </w:tcPr>
          <w:p w:rsidR="00D94554" w:rsidRPr="00D94554" w:rsidRDefault="00D94554" w:rsidP="00D94554">
            <w:pPr>
              <w:adjustRightInd/>
              <w:snapToGrid/>
              <w:spacing w:line="240" w:lineRule="auto"/>
              <w:ind w:firstLineChars="0" w:firstLine="0"/>
              <w:jc w:val="center"/>
              <w:textAlignment w:val="auto"/>
              <w:rPr>
                <w:rFonts w:asciiTheme="minorHAnsi" w:eastAsiaTheme="minorEastAsia" w:hAnsiTheme="minorHAnsi" w:cstheme="minorBidi"/>
                <w:sz w:val="22"/>
              </w:rPr>
            </w:pPr>
          </w:p>
        </w:tc>
        <w:tc>
          <w:tcPr>
            <w:tcW w:w="2841" w:type="dxa"/>
            <w:vMerge/>
            <w:vAlign w:val="center"/>
          </w:tcPr>
          <w:p w:rsidR="00D94554" w:rsidRPr="00D94554" w:rsidRDefault="00D94554" w:rsidP="00D94554">
            <w:pPr>
              <w:adjustRightInd/>
              <w:snapToGrid/>
              <w:spacing w:line="240" w:lineRule="auto"/>
              <w:ind w:firstLineChars="0" w:firstLine="0"/>
              <w:textAlignment w:val="auto"/>
              <w:rPr>
                <w:rFonts w:asciiTheme="minorHAnsi" w:eastAsiaTheme="minorEastAsia" w:hAnsiTheme="minorHAnsi" w:cstheme="minorBidi"/>
                <w:sz w:val="22"/>
              </w:rPr>
            </w:pPr>
          </w:p>
        </w:tc>
        <w:tc>
          <w:tcPr>
            <w:tcW w:w="10566" w:type="dxa"/>
            <w:gridSpan w:val="13"/>
            <w:vAlign w:val="center"/>
            <w:hideMark/>
          </w:tcPr>
          <w:p w:rsidR="00D94554" w:rsidRPr="00D94554" w:rsidRDefault="00D94554" w:rsidP="00D94554">
            <w:pPr>
              <w:adjustRightInd/>
              <w:snapToGrid/>
              <w:spacing w:line="240" w:lineRule="auto"/>
              <w:ind w:firstLineChars="0" w:firstLine="0"/>
              <w:jc w:val="left"/>
              <w:textAlignment w:val="auto"/>
              <w:rPr>
                <w:rFonts w:ascii="宋体" w:hAnsi="宋体" w:cs="宋体"/>
                <w:sz w:val="18"/>
                <w:szCs w:val="18"/>
              </w:rPr>
            </w:pPr>
            <w:r w:rsidRPr="00D94554">
              <w:rPr>
                <w:rFonts w:ascii="宋体" w:hAnsi="宋体" w:cs="宋体" w:hint="eastAsia"/>
                <w:sz w:val="18"/>
                <w:szCs w:val="18"/>
              </w:rPr>
              <w:t>春季 □；夏季 □；秋季 □；冬季</w:t>
            </w:r>
            <w:r w:rsidRPr="00D94554">
              <w:rPr>
                <w:rFonts w:ascii="宋体" w:hAnsi="宋体" w:cs="宋体" w:hint="eastAsia"/>
                <w:spacing w:val="1"/>
                <w:sz w:val="18"/>
                <w:szCs w:val="18"/>
              </w:rPr>
              <w:t xml:space="preserve"> </w:t>
            </w:r>
            <w:r w:rsidRPr="00D94554">
              <w:rPr>
                <w:rFonts w:ascii="宋体" w:hAnsi="宋体" w:cs="宋体" w:hint="eastAsia"/>
                <w:sz w:val="18"/>
                <w:szCs w:val="18"/>
              </w:rPr>
              <w:t xml:space="preserve">□ </w:t>
            </w:r>
          </w:p>
          <w:p w:rsidR="00D94554" w:rsidRPr="00D94554" w:rsidRDefault="00D94554" w:rsidP="00D94554">
            <w:pPr>
              <w:adjustRightInd/>
              <w:snapToGrid/>
              <w:spacing w:line="240" w:lineRule="auto"/>
              <w:ind w:firstLineChars="0" w:firstLine="0"/>
              <w:jc w:val="left"/>
              <w:textAlignment w:val="auto"/>
              <w:rPr>
                <w:rFonts w:ascii="宋体" w:hAnsi="宋体" w:cs="宋体"/>
                <w:sz w:val="18"/>
                <w:szCs w:val="18"/>
              </w:rPr>
            </w:pPr>
            <w:r w:rsidRPr="00D94554">
              <w:rPr>
                <w:rFonts w:ascii="宋体" w:hAnsi="宋体" w:cs="宋体" w:hint="eastAsia"/>
                <w:sz w:val="18"/>
                <w:szCs w:val="18"/>
              </w:rPr>
              <w:t>设计水文条件</w:t>
            </w:r>
            <w:r w:rsidRPr="00D94554">
              <w:rPr>
                <w:rFonts w:ascii="宋体" w:hAnsi="宋体" w:cs="宋体" w:hint="eastAsia"/>
                <w:spacing w:val="1"/>
                <w:sz w:val="18"/>
                <w:szCs w:val="18"/>
              </w:rPr>
              <w:t xml:space="preserve"> </w:t>
            </w:r>
            <w:r w:rsidRPr="00D94554">
              <w:rPr>
                <w:rFonts w:ascii="宋体" w:hAnsi="宋体" w:cs="宋体" w:hint="eastAsia"/>
                <w:sz w:val="18"/>
                <w:szCs w:val="18"/>
              </w:rPr>
              <w:t>□</w:t>
            </w:r>
          </w:p>
        </w:tc>
      </w:tr>
      <w:tr w:rsidR="00D94554" w:rsidRPr="00D94554" w:rsidTr="00C66914">
        <w:trPr>
          <w:trHeight w:val="397"/>
          <w:jc w:val="center"/>
        </w:trPr>
        <w:tc>
          <w:tcPr>
            <w:tcW w:w="571" w:type="dxa"/>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Theme="minorHAnsi" w:eastAsiaTheme="minorEastAsia" w:hAnsiTheme="minorHAnsi" w:cstheme="minorBidi"/>
                <w:sz w:val="22"/>
              </w:rPr>
            </w:pPr>
          </w:p>
        </w:tc>
        <w:tc>
          <w:tcPr>
            <w:tcW w:w="2841" w:type="dxa"/>
            <w:vAlign w:val="center"/>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预测情景</w:t>
            </w:r>
          </w:p>
        </w:tc>
        <w:tc>
          <w:tcPr>
            <w:tcW w:w="10566" w:type="dxa"/>
            <w:gridSpan w:val="13"/>
            <w:vAlign w:val="center"/>
            <w:hideMark/>
          </w:tcPr>
          <w:p w:rsidR="00D94554" w:rsidRPr="00D94554" w:rsidRDefault="00D94554" w:rsidP="00D94554">
            <w:pPr>
              <w:adjustRightInd/>
              <w:snapToGrid/>
              <w:spacing w:line="240" w:lineRule="auto"/>
              <w:ind w:firstLineChars="0" w:firstLine="0"/>
              <w:jc w:val="left"/>
              <w:textAlignment w:val="auto"/>
              <w:rPr>
                <w:rFonts w:ascii="宋体" w:hAnsi="宋体" w:cs="宋体"/>
                <w:sz w:val="18"/>
                <w:szCs w:val="18"/>
                <w:lang w:eastAsia="zh-CN"/>
              </w:rPr>
            </w:pPr>
            <w:r w:rsidRPr="00D94554">
              <w:rPr>
                <w:rFonts w:ascii="宋体" w:hAnsi="宋体" w:cs="宋体" w:hint="eastAsia"/>
                <w:sz w:val="18"/>
                <w:szCs w:val="18"/>
                <w:lang w:eastAsia="zh-CN"/>
              </w:rPr>
              <w:t xml:space="preserve">建设期 □；生产运行期 □；服务期满后 □ </w:t>
            </w:r>
          </w:p>
          <w:p w:rsidR="00D94554" w:rsidRPr="00D94554" w:rsidRDefault="00D94554" w:rsidP="00D94554">
            <w:pPr>
              <w:adjustRightInd/>
              <w:snapToGrid/>
              <w:spacing w:line="240" w:lineRule="auto"/>
              <w:ind w:firstLineChars="0" w:firstLine="0"/>
              <w:jc w:val="left"/>
              <w:textAlignment w:val="auto"/>
              <w:rPr>
                <w:rFonts w:ascii="宋体" w:hAnsi="宋体" w:cs="宋体"/>
                <w:sz w:val="18"/>
                <w:szCs w:val="18"/>
                <w:lang w:eastAsia="zh-CN"/>
              </w:rPr>
            </w:pPr>
            <w:r w:rsidRPr="00D94554">
              <w:rPr>
                <w:rFonts w:ascii="宋体" w:hAnsi="宋体" w:cs="宋体" w:hint="eastAsia"/>
                <w:sz w:val="18"/>
                <w:szCs w:val="18"/>
                <w:lang w:eastAsia="zh-CN"/>
              </w:rPr>
              <w:t>正常工况 □；非正常工况</w:t>
            </w:r>
            <w:r w:rsidRPr="00D94554">
              <w:rPr>
                <w:rFonts w:ascii="宋体" w:hAnsi="宋体" w:cs="宋体" w:hint="eastAsia"/>
                <w:spacing w:val="2"/>
                <w:sz w:val="18"/>
                <w:szCs w:val="18"/>
                <w:lang w:eastAsia="zh-CN"/>
              </w:rPr>
              <w:t xml:space="preserve"> </w:t>
            </w:r>
            <w:r w:rsidRPr="00D94554">
              <w:rPr>
                <w:rFonts w:ascii="宋体" w:hAnsi="宋体" w:cs="宋体" w:hint="eastAsia"/>
                <w:sz w:val="18"/>
                <w:szCs w:val="18"/>
                <w:lang w:eastAsia="zh-CN"/>
              </w:rPr>
              <w:t xml:space="preserve">□ </w:t>
            </w:r>
          </w:p>
          <w:p w:rsidR="00D94554" w:rsidRPr="00D94554" w:rsidRDefault="00D94554" w:rsidP="00D94554">
            <w:pPr>
              <w:adjustRightInd/>
              <w:snapToGrid/>
              <w:spacing w:line="240" w:lineRule="auto"/>
              <w:ind w:firstLineChars="0" w:firstLine="0"/>
              <w:jc w:val="left"/>
              <w:textAlignment w:val="auto"/>
              <w:rPr>
                <w:rFonts w:ascii="宋体" w:hAnsi="宋体" w:cs="宋体"/>
                <w:sz w:val="18"/>
                <w:szCs w:val="18"/>
                <w:lang w:eastAsia="zh-CN"/>
              </w:rPr>
            </w:pPr>
            <w:r w:rsidRPr="00D94554">
              <w:rPr>
                <w:rFonts w:ascii="宋体" w:hAnsi="宋体" w:cs="宋体" w:hint="eastAsia"/>
                <w:sz w:val="18"/>
                <w:szCs w:val="18"/>
                <w:lang w:eastAsia="zh-CN"/>
              </w:rPr>
              <w:t>污染控制和减缓措施方案</w:t>
            </w:r>
            <w:r w:rsidRPr="00D94554">
              <w:rPr>
                <w:rFonts w:ascii="宋体" w:hAnsi="宋体" w:cs="宋体" w:hint="eastAsia"/>
                <w:spacing w:val="1"/>
                <w:sz w:val="18"/>
                <w:szCs w:val="18"/>
                <w:lang w:eastAsia="zh-CN"/>
              </w:rPr>
              <w:t xml:space="preserve"> </w:t>
            </w:r>
            <w:r w:rsidRPr="00D94554">
              <w:rPr>
                <w:rFonts w:ascii="宋体" w:hAnsi="宋体" w:cs="宋体" w:hint="eastAsia"/>
                <w:sz w:val="18"/>
                <w:szCs w:val="18"/>
                <w:lang w:eastAsia="zh-CN"/>
              </w:rPr>
              <w:t xml:space="preserve">□ </w:t>
            </w:r>
          </w:p>
          <w:p w:rsidR="00D94554" w:rsidRPr="00D94554" w:rsidRDefault="00D94554" w:rsidP="00D94554">
            <w:pPr>
              <w:adjustRightInd/>
              <w:snapToGrid/>
              <w:spacing w:line="240" w:lineRule="auto"/>
              <w:ind w:firstLineChars="0" w:firstLine="0"/>
              <w:jc w:val="left"/>
              <w:textAlignment w:val="auto"/>
              <w:rPr>
                <w:rFonts w:ascii="宋体" w:hAnsi="宋体" w:cs="宋体"/>
                <w:sz w:val="18"/>
                <w:szCs w:val="18"/>
                <w:lang w:eastAsia="zh-CN"/>
              </w:rPr>
            </w:pPr>
            <w:r w:rsidRPr="00D94554">
              <w:rPr>
                <w:rFonts w:ascii="宋体" w:hAnsi="宋体" w:cs="宋体" w:hint="eastAsia"/>
                <w:sz w:val="18"/>
                <w:szCs w:val="18"/>
                <w:lang w:eastAsia="zh-CN"/>
              </w:rPr>
              <w:t>区（流）域环境质量改善目标要求情景</w:t>
            </w:r>
            <w:r w:rsidRPr="00D94554">
              <w:rPr>
                <w:rFonts w:ascii="宋体" w:hAnsi="宋体" w:cs="宋体" w:hint="eastAsia"/>
                <w:spacing w:val="1"/>
                <w:sz w:val="18"/>
                <w:szCs w:val="18"/>
                <w:lang w:eastAsia="zh-CN"/>
              </w:rPr>
              <w:t xml:space="preserve"> </w:t>
            </w:r>
            <w:r w:rsidRPr="00D94554">
              <w:rPr>
                <w:rFonts w:ascii="宋体" w:hAnsi="宋体" w:cs="宋体" w:hint="eastAsia"/>
                <w:sz w:val="18"/>
                <w:szCs w:val="18"/>
                <w:lang w:eastAsia="zh-CN"/>
              </w:rPr>
              <w:t>□</w:t>
            </w:r>
          </w:p>
        </w:tc>
      </w:tr>
      <w:tr w:rsidR="00D94554" w:rsidRPr="00D94554" w:rsidTr="00C66914">
        <w:trPr>
          <w:trHeight w:val="397"/>
          <w:jc w:val="center"/>
        </w:trPr>
        <w:tc>
          <w:tcPr>
            <w:tcW w:w="571" w:type="dxa"/>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Theme="minorHAnsi" w:eastAsiaTheme="minorEastAsia" w:hAnsiTheme="minorHAnsi" w:cstheme="minorBidi"/>
                <w:sz w:val="22"/>
                <w:lang w:eastAsia="zh-CN"/>
              </w:rPr>
            </w:pPr>
          </w:p>
        </w:tc>
        <w:tc>
          <w:tcPr>
            <w:tcW w:w="2841" w:type="dxa"/>
            <w:vAlign w:val="center"/>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预测方法</w:t>
            </w:r>
          </w:p>
        </w:tc>
        <w:tc>
          <w:tcPr>
            <w:tcW w:w="10566" w:type="dxa"/>
            <w:gridSpan w:val="13"/>
            <w:vAlign w:val="center"/>
            <w:hideMark/>
          </w:tcPr>
          <w:p w:rsidR="00D94554" w:rsidRPr="00D94554" w:rsidRDefault="00D94554" w:rsidP="00D94554">
            <w:pPr>
              <w:adjustRightInd/>
              <w:snapToGrid/>
              <w:spacing w:line="240" w:lineRule="auto"/>
              <w:ind w:firstLineChars="0" w:firstLine="0"/>
              <w:jc w:val="left"/>
              <w:textAlignment w:val="auto"/>
              <w:rPr>
                <w:rFonts w:ascii="宋体" w:hAnsi="宋体" w:cs="宋体"/>
                <w:sz w:val="18"/>
                <w:szCs w:val="18"/>
                <w:lang w:eastAsia="zh-CN"/>
              </w:rPr>
            </w:pPr>
            <w:r w:rsidRPr="00D94554">
              <w:rPr>
                <w:rFonts w:ascii="宋体" w:hAnsi="宋体" w:cs="宋体" w:hint="eastAsia"/>
                <w:sz w:val="18"/>
                <w:szCs w:val="18"/>
                <w:lang w:eastAsia="zh-CN"/>
              </w:rPr>
              <w:t xml:space="preserve">数值解 □：解析解 □；其他 □ </w:t>
            </w:r>
          </w:p>
          <w:p w:rsidR="00D94554" w:rsidRPr="00D94554" w:rsidRDefault="00D94554" w:rsidP="00D94554">
            <w:pPr>
              <w:adjustRightInd/>
              <w:snapToGrid/>
              <w:spacing w:line="240" w:lineRule="auto"/>
              <w:ind w:firstLineChars="0" w:firstLine="0"/>
              <w:jc w:val="left"/>
              <w:textAlignment w:val="auto"/>
              <w:rPr>
                <w:rFonts w:ascii="宋体" w:hAnsi="宋体" w:cs="宋体"/>
                <w:sz w:val="18"/>
                <w:szCs w:val="18"/>
                <w:lang w:eastAsia="zh-CN"/>
              </w:rPr>
            </w:pPr>
            <w:r w:rsidRPr="00D94554">
              <w:rPr>
                <w:rFonts w:ascii="宋体" w:hAnsi="宋体" w:cs="宋体" w:hint="eastAsia"/>
                <w:sz w:val="18"/>
                <w:szCs w:val="18"/>
                <w:lang w:eastAsia="zh-CN"/>
              </w:rPr>
              <w:t>导则推荐模式 □：其他</w:t>
            </w:r>
            <w:r w:rsidRPr="00D94554">
              <w:rPr>
                <w:rFonts w:ascii="宋体" w:hAnsi="宋体" w:cs="宋体" w:hint="eastAsia"/>
                <w:spacing w:val="2"/>
                <w:sz w:val="18"/>
                <w:szCs w:val="18"/>
                <w:lang w:eastAsia="zh-CN"/>
              </w:rPr>
              <w:t xml:space="preserve"> </w:t>
            </w:r>
            <w:r w:rsidRPr="00D94554">
              <w:rPr>
                <w:rFonts w:ascii="宋体" w:hAnsi="宋体" w:cs="宋体" w:hint="eastAsia"/>
                <w:sz w:val="18"/>
                <w:szCs w:val="18"/>
                <w:lang w:eastAsia="zh-CN"/>
              </w:rPr>
              <w:t>□</w:t>
            </w:r>
          </w:p>
        </w:tc>
      </w:tr>
      <w:tr w:rsidR="00D94554" w:rsidRPr="00D94554" w:rsidTr="00C66914">
        <w:trPr>
          <w:trHeight w:val="397"/>
          <w:jc w:val="center"/>
        </w:trPr>
        <w:tc>
          <w:tcPr>
            <w:tcW w:w="571" w:type="dxa"/>
            <w:vMerge w:val="restart"/>
            <w:vAlign w:val="center"/>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影响 评价</w:t>
            </w:r>
          </w:p>
        </w:tc>
        <w:tc>
          <w:tcPr>
            <w:tcW w:w="2841" w:type="dxa"/>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lang w:eastAsia="zh-CN"/>
              </w:rPr>
            </w:pPr>
            <w:r w:rsidRPr="00D94554">
              <w:rPr>
                <w:rFonts w:ascii="宋体" w:hAnsi="宋体" w:cs="宋体" w:hint="eastAsia"/>
                <w:sz w:val="18"/>
                <w:szCs w:val="18"/>
                <w:lang w:eastAsia="zh-CN"/>
              </w:rPr>
              <w:t>水污染控制和水环境影响减缓措 施有效性评价</w:t>
            </w:r>
          </w:p>
        </w:tc>
        <w:tc>
          <w:tcPr>
            <w:tcW w:w="10566" w:type="dxa"/>
            <w:gridSpan w:val="13"/>
            <w:vAlign w:val="center"/>
          </w:tcPr>
          <w:p w:rsidR="00D94554" w:rsidRPr="00D94554" w:rsidRDefault="00D94554" w:rsidP="00D94554">
            <w:pPr>
              <w:adjustRightInd/>
              <w:snapToGrid/>
              <w:spacing w:line="240" w:lineRule="auto"/>
              <w:ind w:firstLineChars="0" w:firstLine="0"/>
              <w:jc w:val="left"/>
              <w:textAlignment w:val="auto"/>
              <w:rPr>
                <w:rFonts w:ascii="宋体" w:hAnsi="宋体" w:cs="宋体"/>
                <w:sz w:val="18"/>
                <w:szCs w:val="18"/>
                <w:lang w:eastAsia="zh-CN"/>
              </w:rPr>
            </w:pPr>
            <w:r w:rsidRPr="00D94554">
              <w:rPr>
                <w:rFonts w:ascii="宋体" w:hAnsi="宋体" w:cs="宋体" w:hint="eastAsia"/>
                <w:sz w:val="18"/>
                <w:szCs w:val="18"/>
                <w:lang w:eastAsia="zh-CN"/>
              </w:rPr>
              <w:t>区（流）域水环境质量改善目标 □；替代削减源</w:t>
            </w:r>
            <w:r w:rsidRPr="00D94554">
              <w:rPr>
                <w:rFonts w:ascii="宋体" w:hAnsi="宋体" w:cs="宋体" w:hint="eastAsia"/>
                <w:spacing w:val="2"/>
                <w:sz w:val="18"/>
                <w:szCs w:val="18"/>
                <w:lang w:eastAsia="zh-CN"/>
              </w:rPr>
              <w:t xml:space="preserve"> </w:t>
            </w:r>
            <w:r w:rsidRPr="00D94554">
              <w:rPr>
                <w:rFonts w:ascii="宋体" w:hAnsi="宋体" w:cs="宋体" w:hint="eastAsia"/>
                <w:sz w:val="18"/>
                <w:szCs w:val="18"/>
                <w:lang w:eastAsia="zh-CN"/>
              </w:rPr>
              <w:t>□</w:t>
            </w:r>
          </w:p>
        </w:tc>
      </w:tr>
      <w:tr w:rsidR="00D94554" w:rsidRPr="00D94554" w:rsidTr="00C66914">
        <w:trPr>
          <w:trHeight w:val="397"/>
          <w:jc w:val="center"/>
        </w:trPr>
        <w:tc>
          <w:tcPr>
            <w:tcW w:w="571" w:type="dxa"/>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cs="宋体"/>
                <w:sz w:val="18"/>
                <w:szCs w:val="18"/>
                <w:lang w:eastAsia="zh-CN"/>
              </w:rPr>
            </w:pPr>
          </w:p>
        </w:tc>
        <w:tc>
          <w:tcPr>
            <w:tcW w:w="2841" w:type="dxa"/>
            <w:vAlign w:val="center"/>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水环境影响评价</w:t>
            </w:r>
          </w:p>
        </w:tc>
        <w:tc>
          <w:tcPr>
            <w:tcW w:w="10566" w:type="dxa"/>
            <w:gridSpan w:val="13"/>
            <w:vAlign w:val="center"/>
            <w:hideMark/>
          </w:tcPr>
          <w:p w:rsidR="00D94554" w:rsidRPr="00D94554" w:rsidRDefault="00D94554" w:rsidP="00D94554">
            <w:pPr>
              <w:adjustRightInd/>
              <w:snapToGrid/>
              <w:spacing w:line="240" w:lineRule="auto"/>
              <w:ind w:firstLineChars="0" w:firstLine="0"/>
              <w:jc w:val="left"/>
              <w:textAlignment w:val="auto"/>
              <w:rPr>
                <w:rFonts w:ascii="宋体" w:hAnsi="宋体" w:cs="宋体"/>
                <w:sz w:val="18"/>
                <w:szCs w:val="18"/>
                <w:lang w:eastAsia="zh-CN"/>
              </w:rPr>
            </w:pPr>
            <w:r w:rsidRPr="00D94554">
              <w:rPr>
                <w:rFonts w:ascii="宋体" w:hAnsi="宋体" w:cs="宋体" w:hint="eastAsia"/>
                <w:sz w:val="18"/>
                <w:szCs w:val="18"/>
                <w:lang w:eastAsia="zh-CN"/>
              </w:rPr>
              <w:t>排放口混合区外满足水环境管理要求</w:t>
            </w:r>
            <w:r w:rsidRPr="00D94554">
              <w:rPr>
                <w:rFonts w:ascii="宋体" w:hAnsi="宋体" w:cs="宋体" w:hint="eastAsia"/>
                <w:spacing w:val="1"/>
                <w:sz w:val="18"/>
                <w:szCs w:val="18"/>
                <w:lang w:eastAsia="zh-CN"/>
              </w:rPr>
              <w:t xml:space="preserve"> </w:t>
            </w:r>
            <w:r w:rsidRPr="00D94554">
              <w:rPr>
                <w:rFonts w:ascii="宋体" w:hAnsi="宋体" w:cs="宋体" w:hint="eastAsia"/>
                <w:sz w:val="18"/>
                <w:szCs w:val="18"/>
                <w:lang w:eastAsia="zh-CN"/>
              </w:rPr>
              <w:t xml:space="preserve">□ </w:t>
            </w:r>
          </w:p>
          <w:p w:rsidR="00D94554" w:rsidRPr="00D94554" w:rsidRDefault="00D94554" w:rsidP="00D94554">
            <w:pPr>
              <w:adjustRightInd/>
              <w:snapToGrid/>
              <w:spacing w:line="240" w:lineRule="auto"/>
              <w:ind w:firstLineChars="0" w:firstLine="0"/>
              <w:jc w:val="left"/>
              <w:textAlignment w:val="auto"/>
              <w:rPr>
                <w:rFonts w:ascii="宋体" w:hAnsi="宋体" w:cs="宋体"/>
                <w:sz w:val="18"/>
                <w:szCs w:val="18"/>
                <w:lang w:eastAsia="zh-CN"/>
              </w:rPr>
            </w:pPr>
            <w:r w:rsidRPr="00D94554">
              <w:rPr>
                <w:rFonts w:ascii="宋体" w:hAnsi="宋体" w:cs="宋体" w:hint="eastAsia"/>
                <w:sz w:val="18"/>
                <w:szCs w:val="18"/>
                <w:lang w:eastAsia="zh-CN"/>
              </w:rPr>
              <w:t>水环境功能区或水功能区、近岸海域环境功能区水质达标</w:t>
            </w:r>
            <w:r w:rsidRPr="00D94554">
              <w:rPr>
                <w:rFonts w:ascii="宋体" w:hAnsi="宋体" w:cs="宋体" w:hint="eastAsia"/>
                <w:spacing w:val="1"/>
                <w:sz w:val="18"/>
                <w:szCs w:val="18"/>
                <w:lang w:eastAsia="zh-CN"/>
              </w:rPr>
              <w:t xml:space="preserve"> </w:t>
            </w:r>
            <w:r w:rsidRPr="00D94554">
              <w:rPr>
                <w:rFonts w:ascii="宋体" w:hAnsi="宋体" w:cs="宋体" w:hint="eastAsia"/>
                <w:sz w:val="18"/>
                <w:szCs w:val="18"/>
                <w:lang w:eastAsia="zh-CN"/>
              </w:rPr>
              <w:t xml:space="preserve">□ </w:t>
            </w:r>
          </w:p>
          <w:p w:rsidR="00D94554" w:rsidRPr="00D94554" w:rsidRDefault="00D94554" w:rsidP="00D94554">
            <w:pPr>
              <w:adjustRightInd/>
              <w:snapToGrid/>
              <w:spacing w:line="240" w:lineRule="auto"/>
              <w:ind w:firstLineChars="0" w:firstLine="0"/>
              <w:jc w:val="left"/>
              <w:textAlignment w:val="auto"/>
              <w:rPr>
                <w:rFonts w:ascii="宋体" w:hAnsi="宋体" w:cs="宋体"/>
                <w:sz w:val="18"/>
                <w:szCs w:val="18"/>
                <w:lang w:eastAsia="zh-CN"/>
              </w:rPr>
            </w:pPr>
            <w:r w:rsidRPr="00D94554">
              <w:rPr>
                <w:rFonts w:ascii="宋体" w:hAnsi="宋体" w:cs="宋体" w:hint="eastAsia"/>
                <w:sz w:val="18"/>
                <w:szCs w:val="18"/>
                <w:lang w:eastAsia="zh-CN"/>
              </w:rPr>
              <w:lastRenderedPageBreak/>
              <w:t>满足水环境保护目标水域水环境质量要求</w:t>
            </w:r>
            <w:r w:rsidRPr="00D94554">
              <w:rPr>
                <w:rFonts w:ascii="宋体" w:hAnsi="宋体" w:cs="宋体" w:hint="eastAsia"/>
                <w:spacing w:val="1"/>
                <w:sz w:val="18"/>
                <w:szCs w:val="18"/>
                <w:lang w:eastAsia="zh-CN"/>
              </w:rPr>
              <w:t xml:space="preserve"> </w:t>
            </w:r>
            <w:r w:rsidRPr="00D94554">
              <w:rPr>
                <w:rFonts w:ascii="宋体" w:hAnsi="宋体" w:cs="宋体" w:hint="eastAsia"/>
                <w:sz w:val="18"/>
                <w:szCs w:val="18"/>
                <w:lang w:eastAsia="zh-CN"/>
              </w:rPr>
              <w:t xml:space="preserve">□ </w:t>
            </w:r>
          </w:p>
          <w:p w:rsidR="00D94554" w:rsidRPr="00D94554" w:rsidRDefault="00D94554" w:rsidP="00D94554">
            <w:pPr>
              <w:adjustRightInd/>
              <w:snapToGrid/>
              <w:spacing w:line="240" w:lineRule="auto"/>
              <w:ind w:firstLineChars="0" w:firstLine="0"/>
              <w:jc w:val="left"/>
              <w:textAlignment w:val="auto"/>
              <w:rPr>
                <w:rFonts w:ascii="宋体" w:hAnsi="宋体" w:cs="宋体"/>
                <w:sz w:val="18"/>
                <w:szCs w:val="18"/>
                <w:lang w:eastAsia="zh-CN"/>
              </w:rPr>
            </w:pPr>
            <w:r w:rsidRPr="00D94554">
              <w:rPr>
                <w:rFonts w:ascii="宋体" w:hAnsi="宋体" w:cs="宋体" w:hint="eastAsia"/>
                <w:sz w:val="18"/>
                <w:szCs w:val="18"/>
                <w:lang w:eastAsia="zh-CN"/>
              </w:rPr>
              <w:t>水环境控制单元或断面水质达标</w:t>
            </w:r>
            <w:r w:rsidRPr="00D94554">
              <w:rPr>
                <w:rFonts w:ascii="宋体" w:hAnsi="宋体" w:cs="宋体" w:hint="eastAsia"/>
                <w:spacing w:val="1"/>
                <w:sz w:val="18"/>
                <w:szCs w:val="18"/>
                <w:lang w:eastAsia="zh-CN"/>
              </w:rPr>
              <w:t xml:space="preserve"> </w:t>
            </w:r>
            <w:r w:rsidRPr="00D94554">
              <w:rPr>
                <w:rFonts w:ascii="宋体" w:hAnsi="宋体" w:cs="宋体" w:hint="eastAsia"/>
                <w:sz w:val="18"/>
                <w:szCs w:val="18"/>
                <w:lang w:eastAsia="zh-CN"/>
              </w:rPr>
              <w:t xml:space="preserve">□ </w:t>
            </w:r>
          </w:p>
          <w:p w:rsidR="00D94554" w:rsidRPr="00D94554" w:rsidRDefault="00D94554" w:rsidP="00D94554">
            <w:pPr>
              <w:adjustRightInd/>
              <w:snapToGrid/>
              <w:spacing w:line="240" w:lineRule="auto"/>
              <w:ind w:firstLineChars="0" w:firstLine="0"/>
              <w:jc w:val="left"/>
              <w:textAlignment w:val="auto"/>
              <w:rPr>
                <w:rFonts w:ascii="宋体" w:hAnsi="宋体" w:cs="宋体"/>
                <w:sz w:val="18"/>
                <w:szCs w:val="18"/>
                <w:lang w:eastAsia="zh-CN"/>
              </w:rPr>
            </w:pPr>
            <w:r w:rsidRPr="00D94554">
              <w:rPr>
                <w:rFonts w:ascii="宋体" w:hAnsi="宋体" w:cs="宋体" w:hint="eastAsia"/>
                <w:sz w:val="18"/>
                <w:szCs w:val="18"/>
                <w:lang w:eastAsia="zh-CN"/>
              </w:rPr>
              <w:t>满足重点水污染物排放总量控制指标要求，重点行业建设项目， 主要污染物排放满足等量或减量替代要求</w:t>
            </w:r>
            <w:r w:rsidRPr="00D94554">
              <w:rPr>
                <w:rFonts w:ascii="宋体" w:hAnsi="宋体" w:cs="宋体" w:hint="eastAsia"/>
                <w:spacing w:val="2"/>
                <w:sz w:val="18"/>
                <w:szCs w:val="18"/>
                <w:lang w:eastAsia="zh-CN"/>
              </w:rPr>
              <w:t xml:space="preserve"> </w:t>
            </w:r>
            <w:r w:rsidRPr="00D94554">
              <w:rPr>
                <w:rFonts w:ascii="宋体" w:hAnsi="宋体" w:cs="宋体" w:hint="eastAsia"/>
                <w:sz w:val="18"/>
                <w:szCs w:val="18"/>
                <w:lang w:eastAsia="zh-CN"/>
              </w:rPr>
              <w:t xml:space="preserve">□ </w:t>
            </w:r>
          </w:p>
          <w:p w:rsidR="00D94554" w:rsidRPr="00D94554" w:rsidRDefault="00D94554" w:rsidP="00D94554">
            <w:pPr>
              <w:adjustRightInd/>
              <w:snapToGrid/>
              <w:spacing w:line="240" w:lineRule="auto"/>
              <w:ind w:firstLineChars="0" w:firstLine="0"/>
              <w:jc w:val="left"/>
              <w:textAlignment w:val="auto"/>
              <w:rPr>
                <w:rFonts w:ascii="宋体" w:hAnsi="宋体" w:cs="宋体"/>
                <w:sz w:val="18"/>
                <w:szCs w:val="18"/>
                <w:lang w:eastAsia="zh-CN"/>
              </w:rPr>
            </w:pPr>
            <w:r w:rsidRPr="00D94554">
              <w:rPr>
                <w:rFonts w:ascii="宋体" w:hAnsi="宋体" w:cs="宋体" w:hint="eastAsia"/>
                <w:sz w:val="18"/>
                <w:szCs w:val="18"/>
                <w:lang w:eastAsia="zh-CN"/>
              </w:rPr>
              <w:t>满足区（流）域水环境质量改善目标要求</w:t>
            </w:r>
            <w:r w:rsidRPr="00D94554">
              <w:rPr>
                <w:rFonts w:ascii="宋体" w:hAnsi="宋体" w:cs="宋体" w:hint="eastAsia"/>
                <w:spacing w:val="1"/>
                <w:sz w:val="18"/>
                <w:szCs w:val="18"/>
                <w:lang w:eastAsia="zh-CN"/>
              </w:rPr>
              <w:t xml:space="preserve"> </w:t>
            </w:r>
            <w:r w:rsidRPr="00D94554">
              <w:rPr>
                <w:rFonts w:ascii="宋体" w:hAnsi="宋体" w:cs="宋体" w:hint="eastAsia"/>
                <w:sz w:val="18"/>
                <w:szCs w:val="18"/>
                <w:lang w:eastAsia="zh-CN"/>
              </w:rPr>
              <w:t xml:space="preserve">□ </w:t>
            </w:r>
          </w:p>
          <w:p w:rsidR="00D94554" w:rsidRPr="00D94554" w:rsidRDefault="00D94554" w:rsidP="00D94554">
            <w:pPr>
              <w:adjustRightInd/>
              <w:snapToGrid/>
              <w:spacing w:line="240" w:lineRule="auto"/>
              <w:ind w:firstLineChars="0" w:firstLine="0"/>
              <w:jc w:val="left"/>
              <w:textAlignment w:val="auto"/>
              <w:rPr>
                <w:rFonts w:ascii="宋体" w:hAnsi="宋体" w:cs="宋体"/>
                <w:sz w:val="18"/>
                <w:szCs w:val="18"/>
                <w:lang w:eastAsia="zh-CN"/>
              </w:rPr>
            </w:pPr>
            <w:r w:rsidRPr="00D94554">
              <w:rPr>
                <w:rFonts w:ascii="宋体" w:hAnsi="宋体" w:cs="宋体" w:hint="eastAsia"/>
                <w:sz w:val="18"/>
                <w:szCs w:val="18"/>
                <w:lang w:eastAsia="zh-CN"/>
              </w:rPr>
              <w:t>水文要素影响型建设项目同时应包括水文情势变化评价、主要水文特征值影响评价、生态流量符合性评价</w:t>
            </w:r>
            <w:r w:rsidRPr="00D94554">
              <w:rPr>
                <w:rFonts w:ascii="宋体" w:hAnsi="宋体" w:cs="宋体" w:hint="eastAsia"/>
                <w:spacing w:val="1"/>
                <w:sz w:val="18"/>
                <w:szCs w:val="18"/>
                <w:lang w:eastAsia="zh-CN"/>
              </w:rPr>
              <w:t xml:space="preserve"> </w:t>
            </w:r>
            <w:r w:rsidRPr="00D94554">
              <w:rPr>
                <w:rFonts w:ascii="宋体" w:hAnsi="宋体" w:cs="宋体" w:hint="eastAsia"/>
                <w:sz w:val="18"/>
                <w:szCs w:val="18"/>
                <w:lang w:eastAsia="zh-CN"/>
              </w:rPr>
              <w:t xml:space="preserve">□ </w:t>
            </w:r>
          </w:p>
          <w:p w:rsidR="00D94554" w:rsidRPr="00D94554" w:rsidRDefault="00D94554" w:rsidP="00D94554">
            <w:pPr>
              <w:adjustRightInd/>
              <w:snapToGrid/>
              <w:spacing w:line="240" w:lineRule="auto"/>
              <w:ind w:firstLineChars="0" w:firstLine="0"/>
              <w:jc w:val="left"/>
              <w:textAlignment w:val="auto"/>
              <w:rPr>
                <w:rFonts w:ascii="宋体" w:hAnsi="宋体" w:cs="宋体"/>
                <w:sz w:val="18"/>
                <w:szCs w:val="18"/>
                <w:lang w:eastAsia="zh-CN"/>
              </w:rPr>
            </w:pPr>
            <w:r w:rsidRPr="00D94554">
              <w:rPr>
                <w:rFonts w:ascii="宋体" w:hAnsi="宋体" w:cs="宋体" w:hint="eastAsia"/>
                <w:sz w:val="18"/>
                <w:szCs w:val="18"/>
                <w:lang w:eastAsia="zh-CN"/>
              </w:rPr>
              <w:t>对于新设或调整入河（湖库、近岸海域）排放口的建设项目，应包括排放口设置的环境合理性评价</w:t>
            </w:r>
            <w:r w:rsidRPr="00D94554">
              <w:rPr>
                <w:rFonts w:ascii="宋体" w:hAnsi="宋体" w:cs="宋体" w:hint="eastAsia"/>
                <w:spacing w:val="1"/>
                <w:sz w:val="18"/>
                <w:szCs w:val="18"/>
                <w:lang w:eastAsia="zh-CN"/>
              </w:rPr>
              <w:t xml:space="preserve"> </w:t>
            </w:r>
            <w:r w:rsidRPr="00D94554">
              <w:rPr>
                <w:rFonts w:ascii="宋体" w:hAnsi="宋体" w:cs="宋体" w:hint="eastAsia"/>
                <w:sz w:val="18"/>
                <w:szCs w:val="18"/>
                <w:lang w:eastAsia="zh-CN"/>
              </w:rPr>
              <w:t xml:space="preserve">□ </w:t>
            </w:r>
          </w:p>
          <w:p w:rsidR="00D94554" w:rsidRPr="00D94554" w:rsidRDefault="00D94554" w:rsidP="00D94554">
            <w:pPr>
              <w:adjustRightInd/>
              <w:snapToGrid/>
              <w:spacing w:line="240" w:lineRule="auto"/>
              <w:ind w:firstLineChars="0" w:firstLine="0"/>
              <w:jc w:val="left"/>
              <w:textAlignment w:val="auto"/>
              <w:rPr>
                <w:rFonts w:ascii="宋体" w:hAnsi="宋体" w:cs="宋体"/>
                <w:sz w:val="18"/>
                <w:szCs w:val="18"/>
                <w:lang w:eastAsia="zh-CN"/>
              </w:rPr>
            </w:pPr>
            <w:r w:rsidRPr="00D94554">
              <w:rPr>
                <w:rFonts w:ascii="宋体" w:hAnsi="宋体" w:cs="宋体" w:hint="eastAsia"/>
                <w:sz w:val="18"/>
                <w:szCs w:val="18"/>
                <w:lang w:eastAsia="zh-CN"/>
              </w:rPr>
              <w:t>满足生态保护红线、水环境质量底线、资源利用上线和环境准入清单管理要求</w:t>
            </w:r>
            <w:r w:rsidRPr="00D94554">
              <w:rPr>
                <w:rFonts w:ascii="宋体" w:hAnsi="宋体" w:cs="宋体" w:hint="eastAsia"/>
                <w:spacing w:val="2"/>
                <w:sz w:val="18"/>
                <w:szCs w:val="18"/>
                <w:lang w:eastAsia="zh-CN"/>
              </w:rPr>
              <w:t xml:space="preserve"> </w:t>
            </w:r>
            <w:r w:rsidRPr="00D94554">
              <w:rPr>
                <w:rFonts w:ascii="宋体" w:hAnsi="宋体" w:cs="宋体" w:hint="eastAsia"/>
                <w:sz w:val="18"/>
                <w:szCs w:val="18"/>
                <w:lang w:eastAsia="zh-CN"/>
              </w:rPr>
              <w:t>□</w:t>
            </w:r>
          </w:p>
        </w:tc>
      </w:tr>
      <w:tr w:rsidR="00D94554" w:rsidRPr="00D94554" w:rsidTr="00C66914">
        <w:trPr>
          <w:trHeight w:val="397"/>
          <w:jc w:val="center"/>
        </w:trPr>
        <w:tc>
          <w:tcPr>
            <w:tcW w:w="571" w:type="dxa"/>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cs="宋体"/>
                <w:sz w:val="18"/>
                <w:szCs w:val="18"/>
                <w:lang w:eastAsia="zh-CN"/>
              </w:rPr>
            </w:pPr>
          </w:p>
        </w:tc>
        <w:tc>
          <w:tcPr>
            <w:tcW w:w="2841" w:type="dxa"/>
            <w:vMerge w:val="restart"/>
            <w:vAlign w:val="center"/>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污染源排放量核算</w:t>
            </w:r>
          </w:p>
        </w:tc>
        <w:tc>
          <w:tcPr>
            <w:tcW w:w="3562" w:type="dxa"/>
            <w:gridSpan w:val="4"/>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污染物名称</w:t>
            </w:r>
          </w:p>
        </w:tc>
        <w:tc>
          <w:tcPr>
            <w:tcW w:w="3502" w:type="dxa"/>
            <w:gridSpan w:val="5"/>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排放量</w:t>
            </w:r>
            <w:r w:rsidRPr="00D94554">
              <w:rPr>
                <w:rFonts w:eastAsia="Times New Roman"/>
                <w:sz w:val="18"/>
                <w:szCs w:val="18"/>
              </w:rPr>
              <w:t>/</w:t>
            </w:r>
            <w:r w:rsidRPr="00D94554">
              <w:rPr>
                <w:rFonts w:ascii="宋体" w:hAnsi="宋体" w:cs="宋体" w:hint="eastAsia"/>
                <w:sz w:val="18"/>
                <w:szCs w:val="18"/>
              </w:rPr>
              <w:t>（t/a）</w:t>
            </w:r>
          </w:p>
        </w:tc>
        <w:tc>
          <w:tcPr>
            <w:tcW w:w="3502" w:type="dxa"/>
            <w:gridSpan w:val="4"/>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排放浓度</w:t>
            </w:r>
            <w:r w:rsidRPr="00D94554">
              <w:rPr>
                <w:rFonts w:eastAsia="Times New Roman"/>
                <w:sz w:val="18"/>
                <w:szCs w:val="18"/>
              </w:rPr>
              <w:t>/</w:t>
            </w:r>
            <w:r w:rsidRPr="00D94554">
              <w:rPr>
                <w:rFonts w:ascii="宋体" w:hAnsi="宋体" w:cs="宋体" w:hint="eastAsia"/>
                <w:sz w:val="18"/>
                <w:szCs w:val="18"/>
              </w:rPr>
              <w:t>（</w:t>
            </w:r>
            <w:r w:rsidRPr="00D94554">
              <w:rPr>
                <w:rFonts w:eastAsia="Times New Roman"/>
                <w:sz w:val="18"/>
                <w:szCs w:val="18"/>
              </w:rPr>
              <w:t>mg/L</w:t>
            </w:r>
            <w:r w:rsidRPr="00D94554">
              <w:rPr>
                <w:rFonts w:ascii="宋体" w:hAnsi="宋体" w:cs="宋体" w:hint="eastAsia"/>
                <w:sz w:val="18"/>
                <w:szCs w:val="18"/>
              </w:rPr>
              <w:t>）</w:t>
            </w:r>
          </w:p>
        </w:tc>
      </w:tr>
      <w:tr w:rsidR="00D94554" w:rsidRPr="00D94554" w:rsidTr="00C66914">
        <w:trPr>
          <w:trHeight w:val="397"/>
          <w:jc w:val="center"/>
        </w:trPr>
        <w:tc>
          <w:tcPr>
            <w:tcW w:w="571" w:type="dxa"/>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cs="宋体"/>
                <w:sz w:val="18"/>
                <w:szCs w:val="18"/>
              </w:rPr>
            </w:pPr>
          </w:p>
        </w:tc>
        <w:tc>
          <w:tcPr>
            <w:tcW w:w="2841" w:type="dxa"/>
            <w:vMerge/>
            <w:vAlign w:val="center"/>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p>
        </w:tc>
        <w:tc>
          <w:tcPr>
            <w:tcW w:w="3562" w:type="dxa"/>
            <w:gridSpan w:val="4"/>
            <w:vAlign w:val="center"/>
            <w:hideMark/>
          </w:tcPr>
          <w:p w:rsidR="00D94554" w:rsidRPr="00D94554" w:rsidRDefault="00D94554" w:rsidP="00D94554">
            <w:pPr>
              <w:tabs>
                <w:tab w:val="left" w:pos="554"/>
              </w:tabs>
              <w:adjustRightInd/>
              <w:snapToGrid/>
              <w:spacing w:line="240" w:lineRule="auto"/>
              <w:ind w:firstLineChars="0" w:firstLine="0"/>
              <w:jc w:val="center"/>
              <w:textAlignment w:val="auto"/>
              <w:rPr>
                <w:sz w:val="18"/>
                <w:szCs w:val="18"/>
              </w:rPr>
            </w:pPr>
            <w:r w:rsidRPr="00D94554">
              <w:rPr>
                <w:rFonts w:hAnsi="宋体"/>
                <w:sz w:val="18"/>
                <w:szCs w:val="18"/>
              </w:rPr>
              <w:t>（</w:t>
            </w:r>
            <w:r w:rsidRPr="00D94554">
              <w:rPr>
                <w:sz w:val="18"/>
                <w:szCs w:val="18"/>
              </w:rPr>
              <w:t>SS</w:t>
            </w:r>
            <w:r w:rsidRPr="00D94554">
              <w:rPr>
                <w:rFonts w:hAnsi="宋体"/>
                <w:sz w:val="18"/>
                <w:szCs w:val="18"/>
              </w:rPr>
              <w:t>）</w:t>
            </w:r>
          </w:p>
        </w:tc>
        <w:tc>
          <w:tcPr>
            <w:tcW w:w="3502" w:type="dxa"/>
            <w:gridSpan w:val="5"/>
            <w:vAlign w:val="center"/>
            <w:hideMark/>
          </w:tcPr>
          <w:p w:rsidR="00D94554" w:rsidRPr="00D94554" w:rsidRDefault="00D94554" w:rsidP="00D94554">
            <w:pPr>
              <w:tabs>
                <w:tab w:val="left" w:pos="554"/>
              </w:tabs>
              <w:adjustRightInd/>
              <w:snapToGrid/>
              <w:spacing w:line="240" w:lineRule="auto"/>
              <w:ind w:firstLineChars="0" w:firstLine="0"/>
              <w:jc w:val="center"/>
              <w:textAlignment w:val="auto"/>
              <w:rPr>
                <w:sz w:val="18"/>
                <w:szCs w:val="18"/>
              </w:rPr>
            </w:pPr>
            <w:r w:rsidRPr="00D94554">
              <w:rPr>
                <w:sz w:val="18"/>
                <w:szCs w:val="18"/>
              </w:rPr>
              <w:t>（</w:t>
            </w:r>
            <w:r w:rsidRPr="00D94554">
              <w:rPr>
                <w:rFonts w:hint="eastAsia"/>
                <w:sz w:val="18"/>
                <w:szCs w:val="18"/>
              </w:rPr>
              <w:t>0.0207</w:t>
            </w:r>
            <w:r w:rsidRPr="00D94554">
              <w:rPr>
                <w:sz w:val="18"/>
                <w:szCs w:val="18"/>
              </w:rPr>
              <w:t>）</w:t>
            </w:r>
          </w:p>
        </w:tc>
        <w:tc>
          <w:tcPr>
            <w:tcW w:w="3502" w:type="dxa"/>
            <w:gridSpan w:val="4"/>
            <w:vAlign w:val="center"/>
            <w:hideMark/>
          </w:tcPr>
          <w:p w:rsidR="00D94554" w:rsidRPr="00D94554" w:rsidRDefault="00D94554" w:rsidP="00D94554">
            <w:pPr>
              <w:tabs>
                <w:tab w:val="left" w:pos="554"/>
              </w:tabs>
              <w:adjustRightInd/>
              <w:snapToGrid/>
              <w:spacing w:line="240" w:lineRule="auto"/>
              <w:ind w:firstLineChars="0" w:firstLine="0"/>
              <w:jc w:val="center"/>
              <w:textAlignment w:val="auto"/>
              <w:rPr>
                <w:sz w:val="18"/>
                <w:szCs w:val="18"/>
              </w:rPr>
            </w:pPr>
            <w:r w:rsidRPr="00D94554">
              <w:rPr>
                <w:sz w:val="18"/>
                <w:szCs w:val="18"/>
              </w:rPr>
              <w:t>（</w:t>
            </w:r>
            <w:r w:rsidRPr="00D94554">
              <w:rPr>
                <w:rFonts w:hint="eastAsia"/>
                <w:sz w:val="18"/>
                <w:szCs w:val="18"/>
              </w:rPr>
              <w:t>10</w:t>
            </w:r>
            <w:r w:rsidRPr="00D94554">
              <w:rPr>
                <w:sz w:val="18"/>
                <w:szCs w:val="18"/>
              </w:rPr>
              <w:t>）</w:t>
            </w:r>
          </w:p>
        </w:tc>
      </w:tr>
      <w:tr w:rsidR="00D94554" w:rsidRPr="00D94554" w:rsidTr="00C66914">
        <w:trPr>
          <w:trHeight w:val="397"/>
          <w:jc w:val="center"/>
        </w:trPr>
        <w:tc>
          <w:tcPr>
            <w:tcW w:w="571" w:type="dxa"/>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cs="宋体"/>
                <w:sz w:val="18"/>
                <w:szCs w:val="18"/>
              </w:rPr>
            </w:pPr>
          </w:p>
        </w:tc>
        <w:tc>
          <w:tcPr>
            <w:tcW w:w="2841" w:type="dxa"/>
            <w:vMerge/>
            <w:vAlign w:val="center"/>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p>
        </w:tc>
        <w:tc>
          <w:tcPr>
            <w:tcW w:w="3562" w:type="dxa"/>
            <w:gridSpan w:val="4"/>
            <w:vAlign w:val="center"/>
            <w:hideMark/>
          </w:tcPr>
          <w:p w:rsidR="00D94554" w:rsidRPr="00D94554" w:rsidRDefault="00D94554" w:rsidP="00D94554">
            <w:pPr>
              <w:tabs>
                <w:tab w:val="left" w:pos="554"/>
              </w:tabs>
              <w:adjustRightInd/>
              <w:snapToGrid/>
              <w:spacing w:line="240" w:lineRule="auto"/>
              <w:ind w:firstLineChars="0" w:firstLine="0"/>
              <w:jc w:val="center"/>
              <w:textAlignment w:val="auto"/>
              <w:rPr>
                <w:sz w:val="18"/>
                <w:szCs w:val="18"/>
              </w:rPr>
            </w:pPr>
            <w:r w:rsidRPr="00D94554">
              <w:rPr>
                <w:rFonts w:hAnsi="宋体"/>
                <w:sz w:val="18"/>
                <w:szCs w:val="18"/>
              </w:rPr>
              <w:t>（</w:t>
            </w:r>
            <w:r w:rsidRPr="00D94554">
              <w:rPr>
                <w:sz w:val="18"/>
                <w:szCs w:val="18"/>
              </w:rPr>
              <w:t>COD</w:t>
            </w:r>
            <w:r w:rsidRPr="00D94554">
              <w:rPr>
                <w:rFonts w:hAnsi="宋体"/>
                <w:sz w:val="18"/>
                <w:szCs w:val="18"/>
              </w:rPr>
              <w:t>）</w:t>
            </w:r>
          </w:p>
        </w:tc>
        <w:tc>
          <w:tcPr>
            <w:tcW w:w="3502" w:type="dxa"/>
            <w:gridSpan w:val="5"/>
            <w:vAlign w:val="center"/>
            <w:hideMark/>
          </w:tcPr>
          <w:p w:rsidR="00D94554" w:rsidRPr="00D94554" w:rsidRDefault="00D94554" w:rsidP="00D94554">
            <w:pPr>
              <w:tabs>
                <w:tab w:val="left" w:pos="554"/>
              </w:tabs>
              <w:adjustRightInd/>
              <w:snapToGrid/>
              <w:spacing w:line="240" w:lineRule="auto"/>
              <w:ind w:firstLineChars="0" w:firstLine="0"/>
              <w:jc w:val="center"/>
              <w:textAlignment w:val="auto"/>
              <w:rPr>
                <w:sz w:val="18"/>
                <w:szCs w:val="18"/>
              </w:rPr>
            </w:pPr>
            <w:r w:rsidRPr="00D94554">
              <w:rPr>
                <w:sz w:val="18"/>
                <w:szCs w:val="18"/>
              </w:rPr>
              <w:t>（</w:t>
            </w:r>
            <w:r w:rsidRPr="00D94554">
              <w:rPr>
                <w:rFonts w:eastAsiaTheme="minorEastAsia" w:hint="eastAsia"/>
                <w:sz w:val="18"/>
                <w:szCs w:val="18"/>
              </w:rPr>
              <w:t>0.0827</w:t>
            </w:r>
            <w:r w:rsidRPr="00D94554">
              <w:rPr>
                <w:sz w:val="18"/>
                <w:szCs w:val="18"/>
              </w:rPr>
              <w:t>）</w:t>
            </w:r>
          </w:p>
        </w:tc>
        <w:tc>
          <w:tcPr>
            <w:tcW w:w="3502" w:type="dxa"/>
            <w:gridSpan w:val="4"/>
            <w:vAlign w:val="center"/>
            <w:hideMark/>
          </w:tcPr>
          <w:p w:rsidR="00D94554" w:rsidRPr="00D94554" w:rsidRDefault="00D94554" w:rsidP="00D94554">
            <w:pPr>
              <w:tabs>
                <w:tab w:val="left" w:pos="554"/>
              </w:tabs>
              <w:adjustRightInd/>
              <w:snapToGrid/>
              <w:spacing w:line="240" w:lineRule="auto"/>
              <w:ind w:firstLineChars="0" w:firstLine="0"/>
              <w:jc w:val="center"/>
              <w:textAlignment w:val="auto"/>
              <w:rPr>
                <w:sz w:val="18"/>
                <w:szCs w:val="18"/>
              </w:rPr>
            </w:pPr>
            <w:r w:rsidRPr="00D94554">
              <w:rPr>
                <w:sz w:val="18"/>
                <w:szCs w:val="18"/>
              </w:rPr>
              <w:t>（</w:t>
            </w:r>
            <w:r w:rsidRPr="00D94554">
              <w:rPr>
                <w:rFonts w:eastAsiaTheme="minorEastAsia" w:hint="eastAsia"/>
                <w:sz w:val="18"/>
                <w:szCs w:val="18"/>
              </w:rPr>
              <w:t>40</w:t>
            </w:r>
            <w:r w:rsidRPr="00D94554">
              <w:rPr>
                <w:sz w:val="18"/>
                <w:szCs w:val="18"/>
              </w:rPr>
              <w:t>）</w:t>
            </w:r>
          </w:p>
        </w:tc>
      </w:tr>
      <w:tr w:rsidR="00D94554" w:rsidRPr="00D94554" w:rsidTr="00C66914">
        <w:trPr>
          <w:trHeight w:val="397"/>
          <w:jc w:val="center"/>
        </w:trPr>
        <w:tc>
          <w:tcPr>
            <w:tcW w:w="571" w:type="dxa"/>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cs="宋体"/>
                <w:sz w:val="18"/>
                <w:szCs w:val="18"/>
              </w:rPr>
            </w:pPr>
          </w:p>
        </w:tc>
        <w:tc>
          <w:tcPr>
            <w:tcW w:w="2841" w:type="dxa"/>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cs="宋体"/>
                <w:sz w:val="18"/>
                <w:szCs w:val="18"/>
              </w:rPr>
            </w:pPr>
          </w:p>
        </w:tc>
        <w:tc>
          <w:tcPr>
            <w:tcW w:w="3562" w:type="dxa"/>
            <w:gridSpan w:val="4"/>
            <w:vAlign w:val="center"/>
            <w:hideMark/>
          </w:tcPr>
          <w:p w:rsidR="00D94554" w:rsidRPr="00D94554" w:rsidRDefault="00D94554" w:rsidP="00D94554">
            <w:pPr>
              <w:tabs>
                <w:tab w:val="left" w:pos="554"/>
              </w:tabs>
              <w:adjustRightInd/>
              <w:snapToGrid/>
              <w:spacing w:line="240" w:lineRule="auto"/>
              <w:ind w:firstLineChars="0" w:firstLine="0"/>
              <w:jc w:val="center"/>
              <w:textAlignment w:val="auto"/>
              <w:rPr>
                <w:sz w:val="18"/>
                <w:szCs w:val="18"/>
              </w:rPr>
            </w:pPr>
            <w:r w:rsidRPr="00D94554">
              <w:rPr>
                <w:rFonts w:hAnsi="宋体"/>
                <w:sz w:val="18"/>
                <w:szCs w:val="18"/>
              </w:rPr>
              <w:t>（</w:t>
            </w:r>
            <w:r w:rsidRPr="00D94554">
              <w:rPr>
                <w:sz w:val="18"/>
                <w:szCs w:val="18"/>
              </w:rPr>
              <w:t>NH</w:t>
            </w:r>
            <w:r w:rsidRPr="00D94554">
              <w:rPr>
                <w:sz w:val="18"/>
                <w:szCs w:val="18"/>
                <w:vertAlign w:val="subscript"/>
              </w:rPr>
              <w:t>3</w:t>
            </w:r>
            <w:r w:rsidRPr="00D94554">
              <w:rPr>
                <w:sz w:val="18"/>
                <w:szCs w:val="18"/>
              </w:rPr>
              <w:t>-N</w:t>
            </w:r>
            <w:r w:rsidRPr="00D94554">
              <w:rPr>
                <w:rFonts w:hAnsi="宋体"/>
                <w:sz w:val="18"/>
                <w:szCs w:val="18"/>
              </w:rPr>
              <w:t>）</w:t>
            </w:r>
          </w:p>
        </w:tc>
        <w:tc>
          <w:tcPr>
            <w:tcW w:w="3502" w:type="dxa"/>
            <w:gridSpan w:val="5"/>
            <w:vAlign w:val="center"/>
            <w:hideMark/>
          </w:tcPr>
          <w:p w:rsidR="00D94554" w:rsidRPr="00D94554" w:rsidRDefault="00D94554" w:rsidP="00D94554">
            <w:pPr>
              <w:tabs>
                <w:tab w:val="left" w:pos="554"/>
              </w:tabs>
              <w:adjustRightInd/>
              <w:snapToGrid/>
              <w:spacing w:line="240" w:lineRule="auto"/>
              <w:ind w:firstLineChars="0" w:firstLine="0"/>
              <w:jc w:val="center"/>
              <w:textAlignment w:val="auto"/>
              <w:rPr>
                <w:sz w:val="18"/>
                <w:szCs w:val="18"/>
              </w:rPr>
            </w:pPr>
            <w:r w:rsidRPr="00D94554">
              <w:rPr>
                <w:sz w:val="18"/>
                <w:szCs w:val="18"/>
              </w:rPr>
              <w:t>（</w:t>
            </w:r>
            <w:r w:rsidRPr="00D94554">
              <w:rPr>
                <w:rFonts w:eastAsiaTheme="minorEastAsia" w:hint="eastAsia"/>
                <w:sz w:val="18"/>
                <w:szCs w:val="18"/>
              </w:rPr>
              <w:t>0.0041</w:t>
            </w:r>
            <w:r w:rsidRPr="00D94554">
              <w:rPr>
                <w:sz w:val="18"/>
                <w:szCs w:val="18"/>
              </w:rPr>
              <w:t>）</w:t>
            </w:r>
          </w:p>
        </w:tc>
        <w:tc>
          <w:tcPr>
            <w:tcW w:w="3502" w:type="dxa"/>
            <w:gridSpan w:val="4"/>
            <w:vAlign w:val="center"/>
            <w:hideMark/>
          </w:tcPr>
          <w:p w:rsidR="00D94554" w:rsidRPr="00D94554" w:rsidRDefault="00D94554" w:rsidP="00D94554">
            <w:pPr>
              <w:tabs>
                <w:tab w:val="left" w:pos="554"/>
              </w:tabs>
              <w:adjustRightInd/>
              <w:snapToGrid/>
              <w:spacing w:line="240" w:lineRule="auto"/>
              <w:ind w:firstLineChars="0" w:firstLine="0"/>
              <w:jc w:val="center"/>
              <w:textAlignment w:val="auto"/>
              <w:rPr>
                <w:sz w:val="18"/>
                <w:szCs w:val="18"/>
              </w:rPr>
            </w:pPr>
            <w:r w:rsidRPr="00D94554">
              <w:rPr>
                <w:sz w:val="18"/>
                <w:szCs w:val="18"/>
              </w:rPr>
              <w:t>（</w:t>
            </w:r>
            <w:r w:rsidRPr="00D94554">
              <w:rPr>
                <w:rFonts w:eastAsiaTheme="minorEastAsia" w:hint="eastAsia"/>
                <w:sz w:val="18"/>
                <w:szCs w:val="18"/>
              </w:rPr>
              <w:t>2</w:t>
            </w:r>
            <w:r w:rsidRPr="00D94554">
              <w:rPr>
                <w:sz w:val="18"/>
                <w:szCs w:val="18"/>
              </w:rPr>
              <w:t>）</w:t>
            </w:r>
          </w:p>
        </w:tc>
      </w:tr>
      <w:tr w:rsidR="00D94554" w:rsidRPr="00D94554" w:rsidTr="00C66914">
        <w:trPr>
          <w:trHeight w:val="397"/>
          <w:jc w:val="center"/>
        </w:trPr>
        <w:tc>
          <w:tcPr>
            <w:tcW w:w="571" w:type="dxa"/>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cs="宋体"/>
                <w:sz w:val="18"/>
                <w:szCs w:val="18"/>
              </w:rPr>
            </w:pPr>
          </w:p>
        </w:tc>
        <w:tc>
          <w:tcPr>
            <w:tcW w:w="2841" w:type="dxa"/>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cs="宋体"/>
                <w:sz w:val="18"/>
                <w:szCs w:val="18"/>
              </w:rPr>
            </w:pPr>
          </w:p>
        </w:tc>
        <w:tc>
          <w:tcPr>
            <w:tcW w:w="3562" w:type="dxa"/>
            <w:gridSpan w:val="4"/>
            <w:vAlign w:val="center"/>
            <w:hideMark/>
          </w:tcPr>
          <w:p w:rsidR="00D94554" w:rsidRPr="00D94554" w:rsidRDefault="00D94554" w:rsidP="00D94554">
            <w:pPr>
              <w:tabs>
                <w:tab w:val="left" w:pos="554"/>
              </w:tabs>
              <w:adjustRightInd/>
              <w:snapToGrid/>
              <w:spacing w:line="240" w:lineRule="auto"/>
              <w:ind w:firstLineChars="0" w:firstLine="0"/>
              <w:jc w:val="center"/>
              <w:textAlignment w:val="auto"/>
              <w:rPr>
                <w:sz w:val="18"/>
                <w:szCs w:val="18"/>
              </w:rPr>
            </w:pPr>
            <w:r w:rsidRPr="00D94554">
              <w:rPr>
                <w:rFonts w:hAnsi="宋体"/>
                <w:sz w:val="18"/>
                <w:szCs w:val="18"/>
              </w:rPr>
              <w:t>（</w:t>
            </w:r>
            <w:r w:rsidRPr="00D94554">
              <w:rPr>
                <w:sz w:val="18"/>
                <w:szCs w:val="18"/>
              </w:rPr>
              <w:t>TP</w:t>
            </w:r>
            <w:r w:rsidRPr="00D94554">
              <w:rPr>
                <w:rFonts w:hAnsi="宋体"/>
                <w:sz w:val="18"/>
                <w:szCs w:val="18"/>
              </w:rPr>
              <w:t>）</w:t>
            </w:r>
          </w:p>
        </w:tc>
        <w:tc>
          <w:tcPr>
            <w:tcW w:w="3502" w:type="dxa"/>
            <w:gridSpan w:val="5"/>
            <w:vAlign w:val="center"/>
            <w:hideMark/>
          </w:tcPr>
          <w:p w:rsidR="00D94554" w:rsidRPr="00D94554" w:rsidRDefault="00D94554" w:rsidP="00D94554">
            <w:pPr>
              <w:tabs>
                <w:tab w:val="left" w:pos="554"/>
              </w:tabs>
              <w:adjustRightInd/>
              <w:snapToGrid/>
              <w:spacing w:line="240" w:lineRule="auto"/>
              <w:ind w:firstLineChars="0" w:firstLine="0"/>
              <w:jc w:val="center"/>
              <w:textAlignment w:val="auto"/>
              <w:rPr>
                <w:sz w:val="18"/>
                <w:szCs w:val="18"/>
              </w:rPr>
            </w:pPr>
            <w:r w:rsidRPr="00D94554">
              <w:rPr>
                <w:sz w:val="18"/>
                <w:szCs w:val="18"/>
              </w:rPr>
              <w:t>（</w:t>
            </w:r>
            <w:r w:rsidRPr="00D94554">
              <w:rPr>
                <w:rFonts w:eastAsiaTheme="minorEastAsia" w:hint="eastAsia"/>
                <w:sz w:val="18"/>
                <w:szCs w:val="18"/>
              </w:rPr>
              <w:t>0.0008</w:t>
            </w:r>
            <w:r w:rsidRPr="00D94554">
              <w:rPr>
                <w:sz w:val="18"/>
                <w:szCs w:val="18"/>
              </w:rPr>
              <w:t>）</w:t>
            </w:r>
          </w:p>
        </w:tc>
        <w:tc>
          <w:tcPr>
            <w:tcW w:w="3502" w:type="dxa"/>
            <w:gridSpan w:val="4"/>
            <w:vAlign w:val="center"/>
            <w:hideMark/>
          </w:tcPr>
          <w:p w:rsidR="00D94554" w:rsidRPr="00D94554" w:rsidRDefault="00D94554" w:rsidP="00D94554">
            <w:pPr>
              <w:tabs>
                <w:tab w:val="left" w:pos="554"/>
              </w:tabs>
              <w:adjustRightInd/>
              <w:snapToGrid/>
              <w:spacing w:line="240" w:lineRule="auto"/>
              <w:ind w:firstLineChars="0" w:firstLine="0"/>
              <w:jc w:val="center"/>
              <w:textAlignment w:val="auto"/>
              <w:rPr>
                <w:sz w:val="18"/>
                <w:szCs w:val="18"/>
              </w:rPr>
            </w:pPr>
            <w:r w:rsidRPr="00D94554">
              <w:rPr>
                <w:sz w:val="18"/>
                <w:szCs w:val="18"/>
              </w:rPr>
              <w:t>（</w:t>
            </w:r>
            <w:r w:rsidRPr="00D94554">
              <w:rPr>
                <w:rFonts w:eastAsiaTheme="minorEastAsia" w:hint="eastAsia"/>
                <w:sz w:val="18"/>
                <w:szCs w:val="18"/>
              </w:rPr>
              <w:t>0.4</w:t>
            </w:r>
            <w:r w:rsidRPr="00D94554">
              <w:rPr>
                <w:sz w:val="18"/>
                <w:szCs w:val="18"/>
              </w:rPr>
              <w:t>）</w:t>
            </w:r>
          </w:p>
        </w:tc>
      </w:tr>
      <w:tr w:rsidR="00D94554" w:rsidRPr="00D94554" w:rsidTr="00C66914">
        <w:trPr>
          <w:trHeight w:val="397"/>
          <w:jc w:val="center"/>
        </w:trPr>
        <w:tc>
          <w:tcPr>
            <w:tcW w:w="571" w:type="dxa"/>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cs="宋体"/>
                <w:sz w:val="18"/>
                <w:szCs w:val="18"/>
              </w:rPr>
            </w:pPr>
          </w:p>
        </w:tc>
        <w:tc>
          <w:tcPr>
            <w:tcW w:w="2841" w:type="dxa"/>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cs="宋体"/>
                <w:sz w:val="18"/>
                <w:szCs w:val="18"/>
              </w:rPr>
            </w:pPr>
          </w:p>
        </w:tc>
        <w:tc>
          <w:tcPr>
            <w:tcW w:w="3562" w:type="dxa"/>
            <w:gridSpan w:val="4"/>
            <w:vAlign w:val="center"/>
            <w:hideMark/>
          </w:tcPr>
          <w:p w:rsidR="00D94554" w:rsidRPr="00D94554" w:rsidRDefault="00D94554" w:rsidP="00D94554">
            <w:pPr>
              <w:tabs>
                <w:tab w:val="left" w:pos="554"/>
              </w:tabs>
              <w:adjustRightInd/>
              <w:snapToGrid/>
              <w:spacing w:line="240" w:lineRule="auto"/>
              <w:ind w:firstLineChars="0" w:firstLine="0"/>
              <w:jc w:val="center"/>
              <w:textAlignment w:val="auto"/>
              <w:rPr>
                <w:sz w:val="18"/>
                <w:szCs w:val="18"/>
              </w:rPr>
            </w:pPr>
            <w:r w:rsidRPr="00D94554">
              <w:rPr>
                <w:rFonts w:hAnsi="宋体"/>
                <w:sz w:val="18"/>
                <w:szCs w:val="18"/>
              </w:rPr>
              <w:t>（</w:t>
            </w:r>
            <w:r w:rsidRPr="00D94554">
              <w:rPr>
                <w:sz w:val="18"/>
                <w:szCs w:val="18"/>
              </w:rPr>
              <w:t>TN</w:t>
            </w:r>
            <w:r w:rsidRPr="00D94554">
              <w:rPr>
                <w:rFonts w:hAnsi="宋体"/>
                <w:sz w:val="18"/>
                <w:szCs w:val="18"/>
              </w:rPr>
              <w:t>）</w:t>
            </w:r>
          </w:p>
        </w:tc>
        <w:tc>
          <w:tcPr>
            <w:tcW w:w="3502" w:type="dxa"/>
            <w:gridSpan w:val="5"/>
            <w:vAlign w:val="center"/>
            <w:hideMark/>
          </w:tcPr>
          <w:p w:rsidR="00D94554" w:rsidRPr="00D94554" w:rsidRDefault="00D94554" w:rsidP="00D94554">
            <w:pPr>
              <w:tabs>
                <w:tab w:val="left" w:pos="554"/>
              </w:tabs>
              <w:adjustRightInd/>
              <w:snapToGrid/>
              <w:spacing w:line="240" w:lineRule="auto"/>
              <w:ind w:firstLineChars="0" w:firstLine="0"/>
              <w:jc w:val="center"/>
              <w:textAlignment w:val="auto"/>
              <w:rPr>
                <w:sz w:val="18"/>
                <w:szCs w:val="18"/>
              </w:rPr>
            </w:pPr>
            <w:r w:rsidRPr="00D94554">
              <w:rPr>
                <w:sz w:val="18"/>
                <w:szCs w:val="18"/>
              </w:rPr>
              <w:t>（</w:t>
            </w:r>
            <w:r w:rsidRPr="00D94554">
              <w:rPr>
                <w:rFonts w:eastAsiaTheme="minorEastAsia" w:hint="eastAsia"/>
                <w:sz w:val="18"/>
                <w:szCs w:val="18"/>
              </w:rPr>
              <w:t>0.0310</w:t>
            </w:r>
            <w:r w:rsidRPr="00D94554">
              <w:rPr>
                <w:sz w:val="18"/>
                <w:szCs w:val="18"/>
              </w:rPr>
              <w:t>）</w:t>
            </w:r>
          </w:p>
        </w:tc>
        <w:tc>
          <w:tcPr>
            <w:tcW w:w="3502" w:type="dxa"/>
            <w:gridSpan w:val="4"/>
            <w:vAlign w:val="center"/>
            <w:hideMark/>
          </w:tcPr>
          <w:p w:rsidR="00D94554" w:rsidRPr="00D94554" w:rsidRDefault="00D94554" w:rsidP="00D94554">
            <w:pPr>
              <w:tabs>
                <w:tab w:val="left" w:pos="554"/>
              </w:tabs>
              <w:adjustRightInd/>
              <w:snapToGrid/>
              <w:spacing w:line="240" w:lineRule="auto"/>
              <w:ind w:firstLineChars="0" w:firstLine="0"/>
              <w:jc w:val="center"/>
              <w:textAlignment w:val="auto"/>
              <w:rPr>
                <w:sz w:val="18"/>
                <w:szCs w:val="18"/>
              </w:rPr>
            </w:pPr>
            <w:r w:rsidRPr="00D94554">
              <w:rPr>
                <w:sz w:val="18"/>
                <w:szCs w:val="18"/>
              </w:rPr>
              <w:t>（</w:t>
            </w:r>
            <w:r w:rsidRPr="00D94554">
              <w:rPr>
                <w:rFonts w:hint="eastAsia"/>
                <w:sz w:val="18"/>
                <w:szCs w:val="18"/>
              </w:rPr>
              <w:t>1</w:t>
            </w:r>
            <w:r w:rsidRPr="00D94554">
              <w:rPr>
                <w:rFonts w:eastAsiaTheme="minorEastAsia" w:hint="eastAsia"/>
                <w:sz w:val="18"/>
                <w:szCs w:val="18"/>
              </w:rPr>
              <w:t>5</w:t>
            </w:r>
            <w:r w:rsidRPr="00D94554">
              <w:rPr>
                <w:sz w:val="18"/>
                <w:szCs w:val="18"/>
              </w:rPr>
              <w:t>）</w:t>
            </w:r>
          </w:p>
        </w:tc>
      </w:tr>
      <w:tr w:rsidR="00D94554" w:rsidRPr="00D94554" w:rsidTr="00C66914">
        <w:trPr>
          <w:trHeight w:val="397"/>
          <w:jc w:val="center"/>
        </w:trPr>
        <w:tc>
          <w:tcPr>
            <w:tcW w:w="571" w:type="dxa"/>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cs="宋体"/>
                <w:sz w:val="18"/>
                <w:szCs w:val="18"/>
              </w:rPr>
            </w:pPr>
          </w:p>
        </w:tc>
        <w:tc>
          <w:tcPr>
            <w:tcW w:w="2841" w:type="dxa"/>
            <w:vMerge w:val="restart"/>
            <w:vAlign w:val="center"/>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替代源排放情况</w:t>
            </w:r>
          </w:p>
        </w:tc>
        <w:tc>
          <w:tcPr>
            <w:tcW w:w="2162" w:type="dxa"/>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污染源名称</w:t>
            </w:r>
          </w:p>
        </w:tc>
        <w:tc>
          <w:tcPr>
            <w:tcW w:w="2101" w:type="dxa"/>
            <w:gridSpan w:val="4"/>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排污许可证编号</w:t>
            </w:r>
          </w:p>
        </w:tc>
        <w:tc>
          <w:tcPr>
            <w:tcW w:w="2099" w:type="dxa"/>
            <w:gridSpan w:val="2"/>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污染物名称</w:t>
            </w:r>
          </w:p>
        </w:tc>
        <w:tc>
          <w:tcPr>
            <w:tcW w:w="2100" w:type="dxa"/>
            <w:gridSpan w:val="3"/>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排放量</w:t>
            </w:r>
            <w:r w:rsidRPr="00D94554">
              <w:rPr>
                <w:rFonts w:eastAsia="Times New Roman"/>
                <w:sz w:val="18"/>
                <w:szCs w:val="18"/>
              </w:rPr>
              <w:t>/</w:t>
            </w:r>
            <w:r w:rsidRPr="00D94554">
              <w:rPr>
                <w:rFonts w:ascii="宋体" w:hAnsi="宋体" w:cs="宋体" w:hint="eastAsia"/>
                <w:sz w:val="18"/>
                <w:szCs w:val="18"/>
              </w:rPr>
              <w:t>（t/a）</w:t>
            </w:r>
          </w:p>
        </w:tc>
        <w:tc>
          <w:tcPr>
            <w:tcW w:w="2104" w:type="dxa"/>
            <w:gridSpan w:val="3"/>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排放浓度</w:t>
            </w:r>
            <w:r w:rsidRPr="00D94554">
              <w:rPr>
                <w:rFonts w:eastAsia="Times New Roman"/>
                <w:sz w:val="18"/>
                <w:szCs w:val="18"/>
              </w:rPr>
              <w:t>/</w:t>
            </w:r>
            <w:r w:rsidRPr="00D94554">
              <w:rPr>
                <w:rFonts w:ascii="宋体" w:hAnsi="宋体" w:cs="宋体" w:hint="eastAsia"/>
                <w:sz w:val="18"/>
                <w:szCs w:val="18"/>
              </w:rPr>
              <w:t>（</w:t>
            </w:r>
            <w:r w:rsidRPr="00D94554">
              <w:rPr>
                <w:rFonts w:eastAsia="Times New Roman"/>
                <w:sz w:val="18"/>
                <w:szCs w:val="18"/>
              </w:rPr>
              <w:t>mg/L</w:t>
            </w:r>
            <w:r w:rsidRPr="00D94554">
              <w:rPr>
                <w:rFonts w:ascii="宋体" w:hAnsi="宋体" w:cs="宋体" w:hint="eastAsia"/>
                <w:sz w:val="18"/>
                <w:szCs w:val="18"/>
              </w:rPr>
              <w:t>）</w:t>
            </w:r>
          </w:p>
        </w:tc>
      </w:tr>
      <w:tr w:rsidR="00D94554" w:rsidRPr="00D94554" w:rsidTr="00C66914">
        <w:trPr>
          <w:trHeight w:val="397"/>
          <w:jc w:val="center"/>
        </w:trPr>
        <w:tc>
          <w:tcPr>
            <w:tcW w:w="571" w:type="dxa"/>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cs="宋体"/>
                <w:sz w:val="18"/>
                <w:szCs w:val="18"/>
              </w:rPr>
            </w:pPr>
          </w:p>
        </w:tc>
        <w:tc>
          <w:tcPr>
            <w:tcW w:w="2841" w:type="dxa"/>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cs="宋体"/>
                <w:sz w:val="18"/>
                <w:szCs w:val="18"/>
              </w:rPr>
            </w:pPr>
          </w:p>
        </w:tc>
        <w:tc>
          <w:tcPr>
            <w:tcW w:w="2162" w:type="dxa"/>
            <w:vAlign w:val="center"/>
            <w:hideMark/>
          </w:tcPr>
          <w:p w:rsidR="00D94554" w:rsidRPr="00D94554" w:rsidRDefault="00D94554" w:rsidP="00D94554">
            <w:pPr>
              <w:tabs>
                <w:tab w:val="left" w:pos="554"/>
              </w:tabs>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w:t>
            </w:r>
            <w:r w:rsidRPr="00D94554">
              <w:rPr>
                <w:rFonts w:ascii="宋体" w:hAnsi="宋体" w:cs="宋体" w:hint="eastAsia"/>
                <w:sz w:val="18"/>
                <w:szCs w:val="18"/>
              </w:rPr>
              <w:tab/>
              <w:t>）</w:t>
            </w:r>
          </w:p>
        </w:tc>
        <w:tc>
          <w:tcPr>
            <w:tcW w:w="2101" w:type="dxa"/>
            <w:gridSpan w:val="4"/>
            <w:vAlign w:val="center"/>
            <w:hideMark/>
          </w:tcPr>
          <w:p w:rsidR="00D94554" w:rsidRPr="00D94554" w:rsidRDefault="00D94554" w:rsidP="00D94554">
            <w:pPr>
              <w:tabs>
                <w:tab w:val="left" w:pos="554"/>
              </w:tabs>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w:t>
            </w:r>
            <w:r w:rsidRPr="00D94554">
              <w:rPr>
                <w:rFonts w:ascii="宋体" w:hAnsi="宋体" w:cs="宋体" w:hint="eastAsia"/>
                <w:sz w:val="18"/>
                <w:szCs w:val="18"/>
              </w:rPr>
              <w:tab/>
              <w:t>）</w:t>
            </w:r>
          </w:p>
        </w:tc>
        <w:tc>
          <w:tcPr>
            <w:tcW w:w="2099" w:type="dxa"/>
            <w:gridSpan w:val="2"/>
            <w:vAlign w:val="center"/>
            <w:hideMark/>
          </w:tcPr>
          <w:p w:rsidR="00D94554" w:rsidRPr="00D94554" w:rsidRDefault="00D94554" w:rsidP="00D94554">
            <w:pPr>
              <w:tabs>
                <w:tab w:val="left" w:pos="552"/>
              </w:tabs>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w:t>
            </w:r>
            <w:r w:rsidRPr="00D94554">
              <w:rPr>
                <w:rFonts w:ascii="宋体" w:hAnsi="宋体" w:cs="宋体" w:hint="eastAsia"/>
                <w:sz w:val="18"/>
                <w:szCs w:val="18"/>
              </w:rPr>
              <w:tab/>
              <w:t>）</w:t>
            </w:r>
          </w:p>
        </w:tc>
        <w:tc>
          <w:tcPr>
            <w:tcW w:w="2100" w:type="dxa"/>
            <w:gridSpan w:val="3"/>
            <w:vAlign w:val="center"/>
            <w:hideMark/>
          </w:tcPr>
          <w:p w:rsidR="00D94554" w:rsidRPr="00D94554" w:rsidRDefault="00D94554" w:rsidP="00D94554">
            <w:pPr>
              <w:tabs>
                <w:tab w:val="left" w:pos="554"/>
              </w:tabs>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w:t>
            </w:r>
            <w:r w:rsidRPr="00D94554">
              <w:rPr>
                <w:rFonts w:ascii="宋体" w:hAnsi="宋体" w:cs="宋体" w:hint="eastAsia"/>
                <w:sz w:val="18"/>
                <w:szCs w:val="18"/>
              </w:rPr>
              <w:tab/>
              <w:t>）</w:t>
            </w:r>
          </w:p>
        </w:tc>
        <w:tc>
          <w:tcPr>
            <w:tcW w:w="2104" w:type="dxa"/>
            <w:gridSpan w:val="3"/>
            <w:vAlign w:val="center"/>
            <w:hideMark/>
          </w:tcPr>
          <w:p w:rsidR="00D94554" w:rsidRPr="00D94554" w:rsidRDefault="00D94554" w:rsidP="00D94554">
            <w:pPr>
              <w:tabs>
                <w:tab w:val="left" w:pos="551"/>
              </w:tabs>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w:t>
            </w:r>
            <w:r w:rsidRPr="00D94554">
              <w:rPr>
                <w:rFonts w:ascii="宋体" w:hAnsi="宋体" w:cs="宋体" w:hint="eastAsia"/>
                <w:sz w:val="18"/>
                <w:szCs w:val="18"/>
              </w:rPr>
              <w:tab/>
              <w:t>）</w:t>
            </w:r>
          </w:p>
        </w:tc>
      </w:tr>
      <w:tr w:rsidR="00D94554" w:rsidRPr="00D94554" w:rsidTr="00C66914">
        <w:trPr>
          <w:trHeight w:val="397"/>
          <w:jc w:val="center"/>
        </w:trPr>
        <w:tc>
          <w:tcPr>
            <w:tcW w:w="571" w:type="dxa"/>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cs="宋体"/>
                <w:sz w:val="18"/>
                <w:szCs w:val="18"/>
              </w:rPr>
            </w:pPr>
          </w:p>
        </w:tc>
        <w:tc>
          <w:tcPr>
            <w:tcW w:w="2841" w:type="dxa"/>
            <w:vAlign w:val="center"/>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生态流量确定</w:t>
            </w:r>
          </w:p>
        </w:tc>
        <w:tc>
          <w:tcPr>
            <w:tcW w:w="10566" w:type="dxa"/>
            <w:gridSpan w:val="13"/>
            <w:vAlign w:val="center"/>
            <w:hideMark/>
          </w:tcPr>
          <w:p w:rsidR="00D94554" w:rsidRPr="00D94554" w:rsidRDefault="00D94554" w:rsidP="00D94554">
            <w:pPr>
              <w:tabs>
                <w:tab w:val="left" w:pos="2174"/>
                <w:tab w:val="left" w:pos="4025"/>
                <w:tab w:val="left" w:pos="4205"/>
                <w:tab w:val="left" w:pos="5336"/>
                <w:tab w:val="left" w:pos="5696"/>
              </w:tabs>
              <w:adjustRightInd/>
              <w:snapToGrid/>
              <w:spacing w:line="240" w:lineRule="auto"/>
              <w:ind w:firstLineChars="0" w:firstLine="0"/>
              <w:jc w:val="left"/>
              <w:textAlignment w:val="auto"/>
              <w:rPr>
                <w:rFonts w:eastAsiaTheme="minorEastAsia"/>
                <w:sz w:val="18"/>
                <w:szCs w:val="18"/>
                <w:lang w:eastAsia="zh-CN"/>
              </w:rPr>
            </w:pPr>
            <w:r w:rsidRPr="00D94554">
              <w:rPr>
                <w:rFonts w:ascii="宋体" w:hAnsi="宋体" w:cs="宋体" w:hint="eastAsia"/>
                <w:sz w:val="18"/>
                <w:szCs w:val="18"/>
                <w:lang w:eastAsia="zh-CN"/>
              </w:rPr>
              <w:t>生态流量：一般水期（</w:t>
            </w:r>
            <w:r w:rsidRPr="00D94554">
              <w:rPr>
                <w:rFonts w:ascii="宋体" w:hAnsi="宋体" w:cs="宋体" w:hint="eastAsia"/>
                <w:sz w:val="18"/>
                <w:szCs w:val="18"/>
                <w:lang w:eastAsia="zh-CN"/>
              </w:rPr>
              <w:tab/>
            </w:r>
            <w:r w:rsidRPr="00D94554">
              <w:rPr>
                <w:rFonts w:ascii="宋体" w:hAnsi="宋体" w:cs="宋体" w:hint="eastAsia"/>
                <w:spacing w:val="-1"/>
                <w:sz w:val="18"/>
                <w:szCs w:val="18"/>
                <w:lang w:eastAsia="zh-CN"/>
              </w:rPr>
              <w:t>）</w:t>
            </w:r>
            <w:r w:rsidRPr="00D94554">
              <w:rPr>
                <w:rFonts w:eastAsia="Times New Roman"/>
                <w:spacing w:val="-1"/>
                <w:sz w:val="18"/>
                <w:szCs w:val="18"/>
                <w:lang w:eastAsia="zh-CN"/>
              </w:rPr>
              <w:t>m</w:t>
            </w:r>
            <w:r w:rsidRPr="00D94554">
              <w:rPr>
                <w:rFonts w:eastAsia="Times New Roman"/>
                <w:spacing w:val="-1"/>
                <w:position w:val="6"/>
                <w:sz w:val="12"/>
                <w:szCs w:val="12"/>
                <w:lang w:eastAsia="zh-CN"/>
              </w:rPr>
              <w:t>3</w:t>
            </w:r>
            <w:r w:rsidRPr="00D94554">
              <w:rPr>
                <w:rFonts w:eastAsia="Times New Roman"/>
                <w:spacing w:val="-1"/>
                <w:sz w:val="18"/>
                <w:szCs w:val="18"/>
                <w:lang w:eastAsia="zh-CN"/>
              </w:rPr>
              <w:t>/s</w:t>
            </w:r>
            <w:r w:rsidRPr="00D94554">
              <w:rPr>
                <w:rFonts w:ascii="宋体" w:hAnsi="宋体" w:cs="宋体" w:hint="eastAsia"/>
                <w:spacing w:val="-1"/>
                <w:sz w:val="18"/>
                <w:szCs w:val="18"/>
                <w:lang w:eastAsia="zh-CN"/>
              </w:rPr>
              <w:t>；鱼类繁殖期（</w:t>
            </w:r>
            <w:r w:rsidRPr="00D94554">
              <w:rPr>
                <w:rFonts w:ascii="宋体" w:hAnsi="宋体" w:cs="宋体" w:hint="eastAsia"/>
                <w:spacing w:val="-1"/>
                <w:sz w:val="18"/>
                <w:szCs w:val="18"/>
                <w:lang w:eastAsia="zh-CN"/>
              </w:rPr>
              <w:tab/>
            </w:r>
            <w:r w:rsidRPr="00D94554">
              <w:rPr>
                <w:rFonts w:ascii="宋体" w:hAnsi="宋体" w:cs="宋体" w:hint="eastAsia"/>
                <w:spacing w:val="-1"/>
                <w:sz w:val="18"/>
                <w:szCs w:val="18"/>
                <w:lang w:eastAsia="zh-CN"/>
              </w:rPr>
              <w:tab/>
              <w:t>）</w:t>
            </w:r>
            <w:r w:rsidRPr="00D94554">
              <w:rPr>
                <w:rFonts w:eastAsia="Times New Roman"/>
                <w:spacing w:val="-1"/>
                <w:sz w:val="18"/>
                <w:szCs w:val="18"/>
                <w:lang w:eastAsia="zh-CN"/>
              </w:rPr>
              <w:t>m</w:t>
            </w:r>
            <w:r w:rsidRPr="00D94554">
              <w:rPr>
                <w:rFonts w:eastAsia="Times New Roman"/>
                <w:spacing w:val="-1"/>
                <w:position w:val="6"/>
                <w:sz w:val="12"/>
                <w:szCs w:val="12"/>
                <w:lang w:eastAsia="zh-CN"/>
              </w:rPr>
              <w:t>3</w:t>
            </w:r>
            <w:r w:rsidRPr="00D94554">
              <w:rPr>
                <w:rFonts w:eastAsia="Times New Roman"/>
                <w:spacing w:val="-1"/>
                <w:sz w:val="18"/>
                <w:szCs w:val="18"/>
                <w:lang w:eastAsia="zh-CN"/>
              </w:rPr>
              <w:t>/s</w:t>
            </w:r>
            <w:r w:rsidRPr="00D94554">
              <w:rPr>
                <w:rFonts w:ascii="宋体" w:hAnsi="宋体" w:cs="宋体" w:hint="eastAsia"/>
                <w:spacing w:val="-1"/>
                <w:sz w:val="18"/>
                <w:szCs w:val="18"/>
                <w:lang w:eastAsia="zh-CN"/>
              </w:rPr>
              <w:t>；其他（</w:t>
            </w:r>
            <w:r w:rsidRPr="00D94554">
              <w:rPr>
                <w:rFonts w:ascii="宋体" w:hAnsi="宋体" w:cs="宋体" w:hint="eastAsia"/>
                <w:spacing w:val="-1"/>
                <w:sz w:val="18"/>
                <w:szCs w:val="18"/>
                <w:lang w:eastAsia="zh-CN"/>
              </w:rPr>
              <w:tab/>
              <w:t>）</w:t>
            </w:r>
            <w:r w:rsidRPr="00D94554">
              <w:rPr>
                <w:rFonts w:eastAsia="Times New Roman"/>
                <w:spacing w:val="-1"/>
                <w:sz w:val="18"/>
                <w:szCs w:val="18"/>
                <w:lang w:eastAsia="zh-CN"/>
              </w:rPr>
              <w:t>m</w:t>
            </w:r>
            <w:r w:rsidRPr="00D94554">
              <w:rPr>
                <w:rFonts w:eastAsia="Times New Roman"/>
                <w:spacing w:val="-1"/>
                <w:position w:val="6"/>
                <w:sz w:val="12"/>
                <w:szCs w:val="12"/>
                <w:lang w:eastAsia="zh-CN"/>
              </w:rPr>
              <w:t>3</w:t>
            </w:r>
            <w:r w:rsidRPr="00D94554">
              <w:rPr>
                <w:rFonts w:eastAsia="Times New Roman"/>
                <w:spacing w:val="-1"/>
                <w:sz w:val="18"/>
                <w:szCs w:val="18"/>
                <w:lang w:eastAsia="zh-CN"/>
              </w:rPr>
              <w:t>/s</w:t>
            </w:r>
            <w:r w:rsidRPr="00D94554">
              <w:rPr>
                <w:rFonts w:eastAsia="Times New Roman"/>
                <w:sz w:val="18"/>
                <w:szCs w:val="18"/>
                <w:lang w:eastAsia="zh-CN"/>
              </w:rPr>
              <w:t xml:space="preserve"> </w:t>
            </w:r>
          </w:p>
          <w:p w:rsidR="00D94554" w:rsidRPr="00D94554" w:rsidRDefault="00D94554" w:rsidP="00D94554">
            <w:pPr>
              <w:tabs>
                <w:tab w:val="left" w:pos="2174"/>
                <w:tab w:val="left" w:pos="4025"/>
                <w:tab w:val="left" w:pos="4205"/>
                <w:tab w:val="left" w:pos="5336"/>
                <w:tab w:val="left" w:pos="5696"/>
              </w:tabs>
              <w:adjustRightInd/>
              <w:snapToGrid/>
              <w:spacing w:line="240" w:lineRule="auto"/>
              <w:ind w:firstLineChars="0" w:firstLine="0"/>
              <w:jc w:val="left"/>
              <w:textAlignment w:val="auto"/>
              <w:rPr>
                <w:rFonts w:ascii="宋体" w:hAnsi="宋体" w:cs="宋体"/>
                <w:sz w:val="18"/>
                <w:szCs w:val="18"/>
                <w:lang w:eastAsia="zh-CN"/>
              </w:rPr>
            </w:pPr>
            <w:r w:rsidRPr="00D94554">
              <w:rPr>
                <w:rFonts w:ascii="宋体" w:hAnsi="宋体" w:cs="宋体" w:hint="eastAsia"/>
                <w:sz w:val="18"/>
                <w:szCs w:val="18"/>
                <w:lang w:eastAsia="zh-CN"/>
              </w:rPr>
              <w:t>生态水位：一般水期（</w:t>
            </w:r>
            <w:r w:rsidRPr="00D94554">
              <w:rPr>
                <w:rFonts w:ascii="宋体" w:hAnsi="宋体" w:cs="宋体" w:hint="eastAsia"/>
                <w:sz w:val="18"/>
                <w:szCs w:val="18"/>
                <w:lang w:eastAsia="zh-CN"/>
              </w:rPr>
              <w:tab/>
            </w:r>
            <w:r w:rsidRPr="00D94554">
              <w:rPr>
                <w:rFonts w:ascii="宋体" w:hAnsi="宋体" w:cs="宋体" w:hint="eastAsia"/>
                <w:spacing w:val="-1"/>
                <w:sz w:val="18"/>
                <w:szCs w:val="18"/>
                <w:lang w:eastAsia="zh-CN"/>
              </w:rPr>
              <w:t>）</w:t>
            </w:r>
            <w:r w:rsidRPr="00D94554">
              <w:rPr>
                <w:rFonts w:eastAsia="Times New Roman"/>
                <w:spacing w:val="-1"/>
                <w:sz w:val="18"/>
                <w:szCs w:val="18"/>
                <w:lang w:eastAsia="zh-CN"/>
              </w:rPr>
              <w:t>m</w:t>
            </w:r>
            <w:r w:rsidRPr="00D94554">
              <w:rPr>
                <w:rFonts w:ascii="宋体" w:hAnsi="宋体" w:cs="宋体" w:hint="eastAsia"/>
                <w:spacing w:val="-1"/>
                <w:sz w:val="18"/>
                <w:szCs w:val="18"/>
                <w:lang w:eastAsia="zh-CN"/>
              </w:rPr>
              <w:t>；鱼类繁殖期（</w:t>
            </w:r>
            <w:r w:rsidRPr="00D94554">
              <w:rPr>
                <w:rFonts w:ascii="宋体" w:hAnsi="宋体" w:cs="宋体" w:hint="eastAsia"/>
                <w:spacing w:val="-1"/>
                <w:sz w:val="18"/>
                <w:szCs w:val="18"/>
                <w:lang w:eastAsia="zh-CN"/>
              </w:rPr>
              <w:tab/>
              <w:t>）</w:t>
            </w:r>
            <w:r w:rsidRPr="00D94554">
              <w:rPr>
                <w:rFonts w:eastAsia="Times New Roman"/>
                <w:spacing w:val="-1"/>
                <w:sz w:val="18"/>
                <w:szCs w:val="18"/>
                <w:lang w:eastAsia="zh-CN"/>
              </w:rPr>
              <w:t>m</w:t>
            </w:r>
            <w:r w:rsidRPr="00D94554">
              <w:rPr>
                <w:rFonts w:ascii="宋体" w:hAnsi="宋体" w:cs="宋体" w:hint="eastAsia"/>
                <w:spacing w:val="-1"/>
                <w:sz w:val="18"/>
                <w:szCs w:val="18"/>
                <w:lang w:eastAsia="zh-CN"/>
              </w:rPr>
              <w:t>；其他（</w:t>
            </w:r>
            <w:r w:rsidRPr="00D94554">
              <w:rPr>
                <w:rFonts w:ascii="宋体" w:hAnsi="宋体" w:cs="宋体" w:hint="eastAsia"/>
                <w:spacing w:val="-1"/>
                <w:sz w:val="18"/>
                <w:szCs w:val="18"/>
                <w:lang w:eastAsia="zh-CN"/>
              </w:rPr>
              <w:tab/>
            </w:r>
            <w:r w:rsidRPr="00D94554">
              <w:rPr>
                <w:rFonts w:ascii="宋体" w:hAnsi="宋体" w:cs="宋体" w:hint="eastAsia"/>
                <w:sz w:val="18"/>
                <w:szCs w:val="18"/>
                <w:lang w:eastAsia="zh-CN"/>
              </w:rPr>
              <w:t>）</w:t>
            </w:r>
            <w:r w:rsidRPr="00D94554">
              <w:rPr>
                <w:rFonts w:eastAsia="Times New Roman"/>
                <w:sz w:val="18"/>
                <w:szCs w:val="18"/>
                <w:lang w:eastAsia="zh-CN"/>
              </w:rPr>
              <w:t>m</w:t>
            </w:r>
          </w:p>
        </w:tc>
      </w:tr>
      <w:tr w:rsidR="00D94554" w:rsidRPr="00D94554" w:rsidTr="00C66914">
        <w:trPr>
          <w:trHeight w:val="397"/>
          <w:jc w:val="center"/>
        </w:trPr>
        <w:tc>
          <w:tcPr>
            <w:tcW w:w="571" w:type="dxa"/>
            <w:vMerge w:val="restart"/>
            <w:vAlign w:val="center"/>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防治</w:t>
            </w:r>
          </w:p>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措施</w:t>
            </w:r>
          </w:p>
        </w:tc>
        <w:tc>
          <w:tcPr>
            <w:tcW w:w="2841" w:type="dxa"/>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环保措施</w:t>
            </w:r>
          </w:p>
        </w:tc>
        <w:tc>
          <w:tcPr>
            <w:tcW w:w="10566" w:type="dxa"/>
            <w:gridSpan w:val="13"/>
            <w:vAlign w:val="center"/>
            <w:hideMark/>
          </w:tcPr>
          <w:p w:rsidR="00D94554" w:rsidRPr="00D94554" w:rsidRDefault="00D94554" w:rsidP="00D94554">
            <w:pPr>
              <w:adjustRightInd/>
              <w:snapToGrid/>
              <w:spacing w:line="240" w:lineRule="auto"/>
              <w:ind w:firstLineChars="0" w:firstLine="0"/>
              <w:jc w:val="left"/>
              <w:textAlignment w:val="auto"/>
              <w:rPr>
                <w:rFonts w:ascii="宋体" w:hAnsi="宋体" w:cs="宋体"/>
                <w:sz w:val="18"/>
                <w:szCs w:val="18"/>
                <w:lang w:eastAsia="zh-CN"/>
              </w:rPr>
            </w:pPr>
            <w:r w:rsidRPr="00D94554">
              <w:rPr>
                <w:rFonts w:ascii="宋体" w:hAnsi="宋体" w:cs="宋体" w:hint="eastAsia"/>
                <w:sz w:val="18"/>
                <w:szCs w:val="18"/>
                <w:lang w:eastAsia="zh-CN"/>
              </w:rPr>
              <w:t>污水处理设施 □；水文减缓设施 □；生态流量保障设施 □；区域削减 □；依托其他工程措施 □；其他</w:t>
            </w:r>
            <w:r w:rsidRPr="00D94554">
              <w:rPr>
                <w:rFonts w:ascii="宋体" w:hAnsi="宋体" w:cs="宋体" w:hint="eastAsia"/>
                <w:spacing w:val="3"/>
                <w:sz w:val="18"/>
                <w:szCs w:val="18"/>
                <w:lang w:eastAsia="zh-CN"/>
              </w:rPr>
              <w:t xml:space="preserve"> </w:t>
            </w:r>
            <w:r w:rsidRPr="00D94554">
              <w:rPr>
                <w:rFonts w:ascii="宋体" w:hAnsi="宋体" w:cs="宋体" w:hint="eastAsia"/>
                <w:sz w:val="18"/>
                <w:szCs w:val="18"/>
                <w:lang w:eastAsia="zh-CN"/>
              </w:rPr>
              <w:t>□</w:t>
            </w:r>
          </w:p>
        </w:tc>
      </w:tr>
      <w:tr w:rsidR="00D94554" w:rsidRPr="00D94554" w:rsidTr="00C66914">
        <w:trPr>
          <w:trHeight w:val="397"/>
          <w:jc w:val="center"/>
        </w:trPr>
        <w:tc>
          <w:tcPr>
            <w:tcW w:w="571" w:type="dxa"/>
            <w:vMerge/>
            <w:vAlign w:val="center"/>
            <w:hideMark/>
          </w:tcPr>
          <w:p w:rsidR="00D94554" w:rsidRPr="00D94554" w:rsidRDefault="00D94554" w:rsidP="00D94554">
            <w:pPr>
              <w:widowControl/>
              <w:adjustRightInd/>
              <w:snapToGrid/>
              <w:spacing w:line="240" w:lineRule="auto"/>
              <w:ind w:firstLineChars="0" w:firstLine="0"/>
              <w:textAlignment w:val="auto"/>
              <w:rPr>
                <w:rFonts w:ascii="宋体" w:hAnsi="宋体" w:cs="宋体"/>
                <w:sz w:val="18"/>
                <w:szCs w:val="18"/>
                <w:lang w:eastAsia="zh-CN"/>
              </w:rPr>
            </w:pPr>
          </w:p>
        </w:tc>
        <w:tc>
          <w:tcPr>
            <w:tcW w:w="2841" w:type="dxa"/>
            <w:vMerge w:val="restart"/>
            <w:vAlign w:val="center"/>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监测计划</w:t>
            </w:r>
          </w:p>
        </w:tc>
        <w:tc>
          <w:tcPr>
            <w:tcW w:w="2702" w:type="dxa"/>
            <w:gridSpan w:val="2"/>
            <w:vAlign w:val="center"/>
          </w:tcPr>
          <w:p w:rsidR="00D94554" w:rsidRPr="00D94554" w:rsidRDefault="00D94554" w:rsidP="00D94554">
            <w:pPr>
              <w:adjustRightInd/>
              <w:snapToGrid/>
              <w:spacing w:line="240" w:lineRule="auto"/>
              <w:ind w:firstLineChars="0" w:firstLine="0"/>
              <w:textAlignment w:val="auto"/>
              <w:rPr>
                <w:rFonts w:asciiTheme="minorHAnsi" w:eastAsiaTheme="minorEastAsia" w:hAnsiTheme="minorHAnsi" w:cstheme="minorBidi"/>
                <w:sz w:val="22"/>
              </w:rPr>
            </w:pPr>
          </w:p>
        </w:tc>
        <w:tc>
          <w:tcPr>
            <w:tcW w:w="3928" w:type="dxa"/>
            <w:gridSpan w:val="6"/>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环境质量</w:t>
            </w:r>
          </w:p>
        </w:tc>
        <w:tc>
          <w:tcPr>
            <w:tcW w:w="3936" w:type="dxa"/>
            <w:gridSpan w:val="5"/>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污染源</w:t>
            </w:r>
          </w:p>
        </w:tc>
      </w:tr>
      <w:tr w:rsidR="00D94554" w:rsidRPr="00D94554" w:rsidTr="00C66914">
        <w:trPr>
          <w:trHeight w:val="397"/>
          <w:jc w:val="center"/>
        </w:trPr>
        <w:tc>
          <w:tcPr>
            <w:tcW w:w="571" w:type="dxa"/>
            <w:vMerge/>
            <w:vAlign w:val="center"/>
            <w:hideMark/>
          </w:tcPr>
          <w:p w:rsidR="00D94554" w:rsidRPr="00D94554" w:rsidRDefault="00D94554" w:rsidP="00D94554">
            <w:pPr>
              <w:widowControl/>
              <w:adjustRightInd/>
              <w:snapToGrid/>
              <w:spacing w:line="240" w:lineRule="auto"/>
              <w:ind w:firstLineChars="0" w:firstLine="0"/>
              <w:textAlignment w:val="auto"/>
              <w:rPr>
                <w:rFonts w:ascii="宋体" w:hAnsi="宋体" w:cs="宋体"/>
                <w:sz w:val="18"/>
                <w:szCs w:val="18"/>
              </w:rPr>
            </w:pPr>
          </w:p>
        </w:tc>
        <w:tc>
          <w:tcPr>
            <w:tcW w:w="2841" w:type="dxa"/>
            <w:vMerge/>
            <w:vAlign w:val="center"/>
            <w:hideMark/>
          </w:tcPr>
          <w:p w:rsidR="00D94554" w:rsidRPr="00D94554" w:rsidRDefault="00D94554" w:rsidP="00D94554">
            <w:pPr>
              <w:widowControl/>
              <w:adjustRightInd/>
              <w:snapToGrid/>
              <w:spacing w:line="240" w:lineRule="auto"/>
              <w:ind w:firstLineChars="0" w:firstLine="0"/>
              <w:textAlignment w:val="auto"/>
              <w:rPr>
                <w:rFonts w:ascii="宋体" w:hAnsi="宋体" w:cs="宋体"/>
                <w:sz w:val="18"/>
                <w:szCs w:val="18"/>
              </w:rPr>
            </w:pPr>
          </w:p>
        </w:tc>
        <w:tc>
          <w:tcPr>
            <w:tcW w:w="2702" w:type="dxa"/>
            <w:gridSpan w:val="2"/>
            <w:vAlign w:val="center"/>
            <w:hideMark/>
          </w:tcPr>
          <w:p w:rsidR="00D94554" w:rsidRPr="00D94554" w:rsidRDefault="00D94554" w:rsidP="00D94554">
            <w:pPr>
              <w:adjustRightInd/>
              <w:snapToGrid/>
              <w:spacing w:line="240" w:lineRule="auto"/>
              <w:ind w:firstLineChars="0" w:firstLine="0"/>
              <w:jc w:val="left"/>
              <w:textAlignment w:val="auto"/>
              <w:rPr>
                <w:rFonts w:ascii="宋体" w:hAnsi="宋体" w:cs="宋体"/>
                <w:sz w:val="18"/>
                <w:szCs w:val="18"/>
              </w:rPr>
            </w:pPr>
            <w:r w:rsidRPr="00D94554">
              <w:rPr>
                <w:rFonts w:ascii="宋体" w:hAnsi="宋体" w:cs="宋体" w:hint="eastAsia"/>
                <w:sz w:val="18"/>
                <w:szCs w:val="18"/>
              </w:rPr>
              <w:t xml:space="preserve">监测方式 </w:t>
            </w:r>
          </w:p>
        </w:tc>
        <w:tc>
          <w:tcPr>
            <w:tcW w:w="3928" w:type="dxa"/>
            <w:gridSpan w:val="6"/>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lang w:eastAsia="zh-CN"/>
              </w:rPr>
            </w:pPr>
            <w:r w:rsidRPr="00D94554">
              <w:rPr>
                <w:rFonts w:ascii="宋体" w:hAnsi="宋体" w:cs="宋体" w:hint="eastAsia"/>
                <w:sz w:val="18"/>
                <w:szCs w:val="18"/>
                <w:lang w:eastAsia="zh-CN"/>
              </w:rPr>
              <w:t>手动 □；自动 □；无监测</w:t>
            </w:r>
            <w:r w:rsidRPr="00D94554">
              <w:rPr>
                <w:rFonts w:ascii="宋体" w:hAnsi="宋体" w:cs="宋体" w:hint="eastAsia"/>
                <w:spacing w:val="3"/>
                <w:sz w:val="18"/>
                <w:szCs w:val="18"/>
                <w:lang w:eastAsia="zh-CN"/>
              </w:rPr>
              <w:t xml:space="preserve"> </w:t>
            </w:r>
            <w:r w:rsidRPr="00D94554">
              <w:rPr>
                <w:w w:val="99"/>
                <w:sz w:val="18"/>
              </w:rPr>
              <w:sym w:font="Wingdings" w:char="00FE"/>
            </w:r>
          </w:p>
        </w:tc>
        <w:tc>
          <w:tcPr>
            <w:tcW w:w="3936" w:type="dxa"/>
            <w:gridSpan w:val="5"/>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lang w:eastAsia="zh-CN"/>
              </w:rPr>
            </w:pPr>
            <w:r w:rsidRPr="00D94554">
              <w:rPr>
                <w:rFonts w:ascii="宋体" w:hAnsi="宋体" w:cs="宋体" w:hint="eastAsia"/>
                <w:sz w:val="18"/>
                <w:szCs w:val="18"/>
                <w:lang w:eastAsia="zh-CN"/>
              </w:rPr>
              <w:t>手动</w:t>
            </w:r>
            <w:r w:rsidRPr="00D94554">
              <w:rPr>
                <w:w w:val="99"/>
                <w:sz w:val="18"/>
              </w:rPr>
              <w:sym w:font="Wingdings" w:char="00FE"/>
            </w:r>
            <w:r w:rsidRPr="00D94554">
              <w:rPr>
                <w:rFonts w:ascii="宋体" w:hAnsi="宋体" w:cs="宋体" w:hint="eastAsia"/>
                <w:sz w:val="18"/>
                <w:szCs w:val="18"/>
                <w:lang w:eastAsia="zh-CN"/>
              </w:rPr>
              <w:t>；自动□；无监测 □</w:t>
            </w:r>
          </w:p>
        </w:tc>
      </w:tr>
      <w:tr w:rsidR="00D94554" w:rsidRPr="00D94554" w:rsidTr="00C66914">
        <w:trPr>
          <w:trHeight w:val="397"/>
          <w:jc w:val="center"/>
        </w:trPr>
        <w:tc>
          <w:tcPr>
            <w:tcW w:w="571" w:type="dxa"/>
            <w:vMerge/>
            <w:vAlign w:val="center"/>
            <w:hideMark/>
          </w:tcPr>
          <w:p w:rsidR="00D94554" w:rsidRPr="00D94554" w:rsidRDefault="00D94554" w:rsidP="00D94554">
            <w:pPr>
              <w:widowControl/>
              <w:adjustRightInd/>
              <w:snapToGrid/>
              <w:spacing w:line="240" w:lineRule="auto"/>
              <w:ind w:firstLineChars="0" w:firstLine="0"/>
              <w:textAlignment w:val="auto"/>
              <w:rPr>
                <w:rFonts w:ascii="宋体" w:hAnsi="宋体" w:cs="宋体"/>
                <w:sz w:val="18"/>
                <w:szCs w:val="18"/>
                <w:lang w:eastAsia="zh-CN"/>
              </w:rPr>
            </w:pPr>
          </w:p>
        </w:tc>
        <w:tc>
          <w:tcPr>
            <w:tcW w:w="2841" w:type="dxa"/>
            <w:vMerge/>
            <w:vAlign w:val="center"/>
            <w:hideMark/>
          </w:tcPr>
          <w:p w:rsidR="00D94554" w:rsidRPr="00D94554" w:rsidRDefault="00D94554" w:rsidP="00D94554">
            <w:pPr>
              <w:widowControl/>
              <w:adjustRightInd/>
              <w:snapToGrid/>
              <w:spacing w:line="240" w:lineRule="auto"/>
              <w:ind w:firstLineChars="0" w:firstLine="0"/>
              <w:textAlignment w:val="auto"/>
              <w:rPr>
                <w:rFonts w:ascii="宋体" w:hAnsi="宋体" w:cs="宋体"/>
                <w:sz w:val="18"/>
                <w:szCs w:val="18"/>
                <w:lang w:eastAsia="zh-CN"/>
              </w:rPr>
            </w:pPr>
          </w:p>
        </w:tc>
        <w:tc>
          <w:tcPr>
            <w:tcW w:w="2702" w:type="dxa"/>
            <w:gridSpan w:val="2"/>
            <w:vAlign w:val="center"/>
            <w:hideMark/>
          </w:tcPr>
          <w:p w:rsidR="00D94554" w:rsidRPr="00D94554" w:rsidRDefault="00D94554" w:rsidP="00D94554">
            <w:pPr>
              <w:adjustRightInd/>
              <w:snapToGrid/>
              <w:spacing w:line="240" w:lineRule="auto"/>
              <w:ind w:firstLineChars="0" w:firstLine="0"/>
              <w:jc w:val="left"/>
              <w:textAlignment w:val="auto"/>
              <w:rPr>
                <w:rFonts w:ascii="宋体" w:hAnsi="宋体" w:cs="宋体"/>
                <w:sz w:val="18"/>
                <w:szCs w:val="18"/>
              </w:rPr>
            </w:pPr>
            <w:r w:rsidRPr="00D94554">
              <w:rPr>
                <w:rFonts w:ascii="宋体" w:hAnsi="宋体" w:cs="宋体" w:hint="eastAsia"/>
                <w:sz w:val="18"/>
                <w:szCs w:val="18"/>
              </w:rPr>
              <w:t xml:space="preserve">监测点位 </w:t>
            </w:r>
          </w:p>
        </w:tc>
        <w:tc>
          <w:tcPr>
            <w:tcW w:w="3928" w:type="dxa"/>
            <w:gridSpan w:val="6"/>
            <w:vAlign w:val="center"/>
            <w:hideMark/>
          </w:tcPr>
          <w:p w:rsidR="00D94554" w:rsidRPr="00D94554" w:rsidRDefault="00D94554" w:rsidP="00D94554">
            <w:pPr>
              <w:tabs>
                <w:tab w:val="left" w:pos="536"/>
              </w:tabs>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w:t>
            </w:r>
            <w:r w:rsidRPr="00D94554">
              <w:rPr>
                <w:rFonts w:ascii="宋体" w:hAnsi="宋体" w:cs="宋体" w:hint="eastAsia"/>
                <w:sz w:val="18"/>
                <w:szCs w:val="18"/>
              </w:rPr>
              <w:tab/>
            </w:r>
            <w:r w:rsidRPr="00D94554">
              <w:rPr>
                <w:rFonts w:ascii="宋体" w:hAnsi="宋体" w:cs="宋体" w:hint="eastAsia"/>
                <w:spacing w:val="-3"/>
                <w:sz w:val="18"/>
                <w:szCs w:val="18"/>
              </w:rPr>
              <w:t>）</w:t>
            </w:r>
            <w:r w:rsidRPr="00D94554">
              <w:rPr>
                <w:rFonts w:ascii="宋体" w:hAnsi="宋体" w:cs="宋体" w:hint="eastAsia"/>
                <w:sz w:val="18"/>
                <w:szCs w:val="18"/>
              </w:rPr>
              <w:t xml:space="preserve"> </w:t>
            </w:r>
          </w:p>
        </w:tc>
        <w:tc>
          <w:tcPr>
            <w:tcW w:w="3936" w:type="dxa"/>
            <w:gridSpan w:val="5"/>
            <w:vAlign w:val="center"/>
            <w:hideMark/>
          </w:tcPr>
          <w:p w:rsidR="00D94554" w:rsidRPr="00D94554" w:rsidRDefault="00D94554" w:rsidP="00D94554">
            <w:pPr>
              <w:tabs>
                <w:tab w:val="left" w:pos="548"/>
              </w:tabs>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（总排口</w:t>
            </w:r>
            <w:r w:rsidRPr="00D94554">
              <w:rPr>
                <w:rFonts w:ascii="宋体" w:hAnsi="宋体" w:cs="宋体" w:hint="eastAsia"/>
                <w:spacing w:val="-3"/>
                <w:sz w:val="18"/>
                <w:szCs w:val="18"/>
              </w:rPr>
              <w:t>）</w:t>
            </w:r>
            <w:r w:rsidRPr="00D94554">
              <w:rPr>
                <w:rFonts w:ascii="宋体" w:hAnsi="宋体" w:cs="宋体" w:hint="eastAsia"/>
                <w:sz w:val="18"/>
                <w:szCs w:val="18"/>
              </w:rPr>
              <w:t xml:space="preserve"> </w:t>
            </w:r>
          </w:p>
        </w:tc>
      </w:tr>
      <w:tr w:rsidR="00D94554" w:rsidRPr="00D94554" w:rsidTr="00C66914">
        <w:trPr>
          <w:trHeight w:val="397"/>
          <w:jc w:val="center"/>
        </w:trPr>
        <w:tc>
          <w:tcPr>
            <w:tcW w:w="571" w:type="dxa"/>
            <w:vMerge/>
            <w:vAlign w:val="center"/>
            <w:hideMark/>
          </w:tcPr>
          <w:p w:rsidR="00D94554" w:rsidRPr="00D94554" w:rsidRDefault="00D94554" w:rsidP="00D94554">
            <w:pPr>
              <w:widowControl/>
              <w:adjustRightInd/>
              <w:snapToGrid/>
              <w:spacing w:line="240" w:lineRule="auto"/>
              <w:ind w:firstLineChars="0" w:firstLine="0"/>
              <w:textAlignment w:val="auto"/>
              <w:rPr>
                <w:rFonts w:ascii="宋体" w:hAnsi="宋体" w:cs="宋体"/>
                <w:sz w:val="18"/>
                <w:szCs w:val="18"/>
              </w:rPr>
            </w:pPr>
          </w:p>
        </w:tc>
        <w:tc>
          <w:tcPr>
            <w:tcW w:w="2841" w:type="dxa"/>
            <w:vMerge/>
            <w:vAlign w:val="center"/>
            <w:hideMark/>
          </w:tcPr>
          <w:p w:rsidR="00D94554" w:rsidRPr="00D94554" w:rsidRDefault="00D94554" w:rsidP="00D94554">
            <w:pPr>
              <w:widowControl/>
              <w:adjustRightInd/>
              <w:snapToGrid/>
              <w:spacing w:line="240" w:lineRule="auto"/>
              <w:ind w:firstLineChars="0" w:firstLine="0"/>
              <w:textAlignment w:val="auto"/>
              <w:rPr>
                <w:rFonts w:ascii="宋体" w:hAnsi="宋体" w:cs="宋体"/>
                <w:sz w:val="18"/>
                <w:szCs w:val="18"/>
              </w:rPr>
            </w:pPr>
          </w:p>
        </w:tc>
        <w:tc>
          <w:tcPr>
            <w:tcW w:w="2702" w:type="dxa"/>
            <w:gridSpan w:val="2"/>
            <w:vAlign w:val="center"/>
            <w:hideMark/>
          </w:tcPr>
          <w:p w:rsidR="00D94554" w:rsidRPr="00D94554" w:rsidRDefault="00D94554" w:rsidP="00D94554">
            <w:pPr>
              <w:adjustRightInd/>
              <w:snapToGrid/>
              <w:spacing w:line="240" w:lineRule="auto"/>
              <w:ind w:firstLineChars="0" w:firstLine="0"/>
              <w:jc w:val="left"/>
              <w:textAlignment w:val="auto"/>
              <w:rPr>
                <w:rFonts w:ascii="宋体" w:hAnsi="宋体" w:cs="宋体"/>
                <w:sz w:val="18"/>
                <w:szCs w:val="18"/>
              </w:rPr>
            </w:pPr>
            <w:r w:rsidRPr="00D94554">
              <w:rPr>
                <w:rFonts w:ascii="宋体" w:hAnsi="宋体" w:cs="宋体" w:hint="eastAsia"/>
                <w:sz w:val="18"/>
                <w:szCs w:val="18"/>
              </w:rPr>
              <w:t xml:space="preserve">监测因子 </w:t>
            </w:r>
          </w:p>
        </w:tc>
        <w:tc>
          <w:tcPr>
            <w:tcW w:w="3928" w:type="dxa"/>
            <w:gridSpan w:val="6"/>
            <w:vAlign w:val="center"/>
            <w:hideMark/>
          </w:tcPr>
          <w:p w:rsidR="00D94554" w:rsidRPr="00D94554" w:rsidRDefault="00D94554" w:rsidP="00D94554">
            <w:pPr>
              <w:tabs>
                <w:tab w:val="left" w:pos="536"/>
              </w:tabs>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w:t>
            </w:r>
            <w:r w:rsidRPr="00D94554">
              <w:rPr>
                <w:rFonts w:ascii="宋体" w:hAnsi="宋体" w:cs="宋体" w:hint="eastAsia"/>
                <w:sz w:val="18"/>
                <w:szCs w:val="18"/>
              </w:rPr>
              <w:tab/>
            </w:r>
            <w:r w:rsidRPr="00D94554">
              <w:rPr>
                <w:rFonts w:ascii="宋体" w:hAnsi="宋体" w:cs="宋体" w:hint="eastAsia"/>
                <w:spacing w:val="-3"/>
                <w:sz w:val="18"/>
                <w:szCs w:val="18"/>
              </w:rPr>
              <w:t>）</w:t>
            </w:r>
            <w:r w:rsidRPr="00D94554">
              <w:rPr>
                <w:rFonts w:ascii="宋体" w:hAnsi="宋体" w:cs="宋体" w:hint="eastAsia"/>
                <w:sz w:val="18"/>
                <w:szCs w:val="18"/>
              </w:rPr>
              <w:t xml:space="preserve"> </w:t>
            </w:r>
          </w:p>
        </w:tc>
        <w:tc>
          <w:tcPr>
            <w:tcW w:w="3936" w:type="dxa"/>
            <w:gridSpan w:val="5"/>
            <w:vAlign w:val="center"/>
            <w:hideMark/>
          </w:tcPr>
          <w:p w:rsidR="00D94554" w:rsidRPr="00D94554" w:rsidRDefault="00D94554" w:rsidP="00D94554">
            <w:pPr>
              <w:tabs>
                <w:tab w:val="left" w:pos="548"/>
              </w:tabs>
              <w:adjustRightInd/>
              <w:snapToGrid/>
              <w:spacing w:line="240" w:lineRule="auto"/>
              <w:ind w:firstLineChars="0" w:firstLine="0"/>
              <w:jc w:val="center"/>
              <w:textAlignment w:val="auto"/>
              <w:rPr>
                <w:rFonts w:ascii="宋体" w:hAnsi="宋体" w:cs="宋体"/>
                <w:sz w:val="18"/>
                <w:szCs w:val="18"/>
                <w:lang w:eastAsia="zh-CN"/>
              </w:rPr>
            </w:pPr>
            <w:r w:rsidRPr="00D94554">
              <w:rPr>
                <w:rFonts w:ascii="宋体" w:hAnsi="宋体" w:cs="宋体" w:hint="eastAsia"/>
                <w:sz w:val="18"/>
                <w:szCs w:val="18"/>
                <w:lang w:eastAsia="zh-CN"/>
              </w:rPr>
              <w:t>（COD、SS、氨氮、总磷、总氮、动植物油</w:t>
            </w:r>
            <w:r w:rsidRPr="00D94554">
              <w:rPr>
                <w:rFonts w:ascii="宋体" w:hAnsi="宋体" w:cs="宋体" w:hint="eastAsia"/>
                <w:spacing w:val="-3"/>
                <w:sz w:val="18"/>
                <w:szCs w:val="18"/>
                <w:lang w:eastAsia="zh-CN"/>
              </w:rPr>
              <w:t>）</w:t>
            </w:r>
          </w:p>
        </w:tc>
      </w:tr>
      <w:tr w:rsidR="00D94554" w:rsidRPr="00D94554" w:rsidTr="00C66914">
        <w:trPr>
          <w:trHeight w:val="397"/>
          <w:jc w:val="center"/>
        </w:trPr>
        <w:tc>
          <w:tcPr>
            <w:tcW w:w="571" w:type="dxa"/>
            <w:vMerge/>
            <w:vAlign w:val="center"/>
            <w:hideMark/>
          </w:tcPr>
          <w:p w:rsidR="00D94554" w:rsidRPr="00D94554" w:rsidRDefault="00D94554" w:rsidP="00D94554">
            <w:pPr>
              <w:widowControl/>
              <w:adjustRightInd/>
              <w:snapToGrid/>
              <w:spacing w:line="240" w:lineRule="auto"/>
              <w:ind w:firstLineChars="0" w:firstLine="0"/>
              <w:textAlignment w:val="auto"/>
              <w:rPr>
                <w:rFonts w:ascii="宋体" w:hAnsi="宋体" w:cs="宋体"/>
                <w:sz w:val="18"/>
                <w:szCs w:val="18"/>
                <w:lang w:eastAsia="zh-CN"/>
              </w:rPr>
            </w:pPr>
          </w:p>
        </w:tc>
        <w:tc>
          <w:tcPr>
            <w:tcW w:w="2841" w:type="dxa"/>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污染物排放清单</w:t>
            </w:r>
          </w:p>
        </w:tc>
        <w:tc>
          <w:tcPr>
            <w:tcW w:w="10566" w:type="dxa"/>
            <w:gridSpan w:val="13"/>
            <w:vAlign w:val="center"/>
            <w:hideMark/>
          </w:tcPr>
          <w:p w:rsidR="00D94554" w:rsidRPr="00D94554" w:rsidRDefault="00D94554" w:rsidP="00D94554">
            <w:pPr>
              <w:adjustRightInd/>
              <w:snapToGrid/>
              <w:spacing w:line="240" w:lineRule="auto"/>
              <w:ind w:firstLineChars="0" w:firstLine="0"/>
              <w:jc w:val="left"/>
              <w:textAlignment w:val="auto"/>
              <w:rPr>
                <w:rFonts w:ascii="宋体" w:hAnsi="宋体" w:cs="宋体"/>
                <w:sz w:val="18"/>
                <w:szCs w:val="18"/>
              </w:rPr>
            </w:pPr>
            <w:r w:rsidRPr="00D94554">
              <w:rPr>
                <w:rFonts w:ascii="宋体" w:hAnsi="宋体" w:cs="宋体" w:hint="eastAsia"/>
                <w:sz w:val="18"/>
                <w:szCs w:val="18"/>
              </w:rPr>
              <w:t>□</w:t>
            </w:r>
          </w:p>
        </w:tc>
      </w:tr>
      <w:tr w:rsidR="00D94554" w:rsidRPr="00D94554" w:rsidTr="00C66914">
        <w:trPr>
          <w:trHeight w:val="397"/>
          <w:jc w:val="center"/>
        </w:trPr>
        <w:tc>
          <w:tcPr>
            <w:tcW w:w="3412" w:type="dxa"/>
            <w:gridSpan w:val="2"/>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lastRenderedPageBreak/>
              <w:t>评价结论</w:t>
            </w:r>
          </w:p>
        </w:tc>
        <w:tc>
          <w:tcPr>
            <w:tcW w:w="10566" w:type="dxa"/>
            <w:gridSpan w:val="13"/>
            <w:vAlign w:val="center"/>
            <w:hideMark/>
          </w:tcPr>
          <w:p w:rsidR="00D94554" w:rsidRPr="00D94554" w:rsidRDefault="00D94554" w:rsidP="00D94554">
            <w:pPr>
              <w:adjustRightInd/>
              <w:snapToGrid/>
              <w:spacing w:line="240" w:lineRule="auto"/>
              <w:ind w:firstLineChars="0" w:firstLine="0"/>
              <w:jc w:val="left"/>
              <w:textAlignment w:val="auto"/>
              <w:rPr>
                <w:rFonts w:ascii="宋体" w:hAnsi="宋体" w:cs="宋体"/>
                <w:sz w:val="18"/>
                <w:szCs w:val="18"/>
              </w:rPr>
            </w:pPr>
            <w:r w:rsidRPr="00D94554">
              <w:rPr>
                <w:rFonts w:ascii="宋体" w:hAnsi="宋体" w:cs="宋体" w:hint="eastAsia"/>
                <w:sz w:val="18"/>
                <w:szCs w:val="18"/>
              </w:rPr>
              <w:t>可以接受</w:t>
            </w:r>
            <w:r w:rsidRPr="00D94554">
              <w:rPr>
                <w:w w:val="99"/>
                <w:sz w:val="18"/>
              </w:rPr>
              <w:sym w:font="Wingdings" w:char="00FE"/>
            </w:r>
            <w:r w:rsidRPr="00D94554">
              <w:rPr>
                <w:rFonts w:ascii="宋体" w:hAnsi="宋体" w:cs="宋体" w:hint="eastAsia"/>
                <w:sz w:val="18"/>
                <w:szCs w:val="18"/>
              </w:rPr>
              <w:t>；不可以接受</w:t>
            </w:r>
            <w:r w:rsidRPr="00D94554">
              <w:rPr>
                <w:rFonts w:ascii="宋体" w:hAnsi="宋体" w:cs="宋体" w:hint="eastAsia"/>
                <w:spacing w:val="2"/>
                <w:sz w:val="18"/>
                <w:szCs w:val="18"/>
              </w:rPr>
              <w:t xml:space="preserve"> </w:t>
            </w:r>
            <w:r w:rsidRPr="00D94554">
              <w:rPr>
                <w:rFonts w:ascii="宋体" w:hAnsi="宋体" w:cs="宋体" w:hint="eastAsia"/>
                <w:sz w:val="18"/>
                <w:szCs w:val="18"/>
              </w:rPr>
              <w:t>□</w:t>
            </w:r>
          </w:p>
        </w:tc>
      </w:tr>
      <w:tr w:rsidR="00D94554" w:rsidRPr="00D94554" w:rsidTr="00C66914">
        <w:trPr>
          <w:trHeight w:val="397"/>
          <w:jc w:val="center"/>
        </w:trPr>
        <w:tc>
          <w:tcPr>
            <w:tcW w:w="13978" w:type="dxa"/>
            <w:gridSpan w:val="15"/>
            <w:vAlign w:val="center"/>
            <w:hideMark/>
          </w:tcPr>
          <w:p w:rsidR="00D94554" w:rsidRPr="00D94554" w:rsidRDefault="00D94554" w:rsidP="00D94554">
            <w:pPr>
              <w:tabs>
                <w:tab w:val="left" w:pos="3067"/>
              </w:tabs>
              <w:adjustRightInd/>
              <w:snapToGrid/>
              <w:spacing w:line="240" w:lineRule="auto"/>
              <w:ind w:firstLineChars="0" w:firstLine="0"/>
              <w:jc w:val="left"/>
              <w:textAlignment w:val="auto"/>
              <w:rPr>
                <w:rFonts w:ascii="宋体" w:hAnsi="宋体" w:cs="宋体"/>
                <w:sz w:val="18"/>
                <w:szCs w:val="18"/>
                <w:lang w:eastAsia="zh-CN"/>
              </w:rPr>
            </w:pPr>
            <w:r w:rsidRPr="00D94554">
              <w:rPr>
                <w:rFonts w:ascii="宋体" w:hAnsi="宋体" w:cs="宋体" w:hint="eastAsia"/>
                <w:spacing w:val="-1"/>
                <w:sz w:val="18"/>
                <w:szCs w:val="18"/>
                <w:lang w:eastAsia="zh-CN"/>
              </w:rPr>
              <w:t>注：“□”为勾选项，可√；“（</w:t>
            </w:r>
            <w:r w:rsidRPr="00D94554">
              <w:rPr>
                <w:rFonts w:ascii="宋体" w:hAnsi="宋体" w:cs="宋体" w:hint="eastAsia"/>
                <w:spacing w:val="-1"/>
                <w:sz w:val="18"/>
                <w:szCs w:val="18"/>
                <w:lang w:eastAsia="zh-CN"/>
              </w:rPr>
              <w:tab/>
              <w:t>）”为内容填写项；“备注”为其他补充内容。</w:t>
            </w:r>
          </w:p>
        </w:tc>
      </w:tr>
    </w:tbl>
    <w:p w:rsidR="00D94554" w:rsidRDefault="00D94554">
      <w:pPr>
        <w:ind w:firstLine="480"/>
        <w:sectPr w:rsidR="00D94554" w:rsidSect="00D94554">
          <w:pgSz w:w="16840" w:h="11907" w:orient="landscape"/>
          <w:pgMar w:top="1797" w:right="1440" w:bottom="1797" w:left="1440" w:header="907" w:footer="907" w:gutter="0"/>
          <w:cols w:space="720"/>
          <w:docGrid w:linePitch="380"/>
        </w:sectPr>
      </w:pPr>
    </w:p>
    <w:p w:rsidR="00D94554" w:rsidRPr="00D94554" w:rsidRDefault="00D94554" w:rsidP="00D94554">
      <w:pPr>
        <w:widowControl/>
        <w:adjustRightInd/>
        <w:snapToGrid/>
        <w:spacing w:line="240" w:lineRule="auto"/>
        <w:ind w:firstLineChars="0" w:firstLine="0"/>
        <w:jc w:val="center"/>
        <w:textAlignment w:val="auto"/>
        <w:rPr>
          <w:rFonts w:eastAsia="黑体"/>
          <w:sz w:val="21"/>
        </w:rPr>
      </w:pPr>
      <w:r w:rsidRPr="00D94554">
        <w:rPr>
          <w:rFonts w:eastAsia="黑体" w:hAnsi="黑体"/>
          <w:sz w:val="21"/>
        </w:rPr>
        <w:lastRenderedPageBreak/>
        <w:t>附表</w:t>
      </w:r>
      <w:r w:rsidRPr="00D94554">
        <w:rPr>
          <w:rFonts w:eastAsiaTheme="minorEastAsia" w:hint="eastAsia"/>
          <w:sz w:val="21"/>
        </w:rPr>
        <w:t>3</w:t>
      </w:r>
      <w:r w:rsidRPr="00D94554">
        <w:rPr>
          <w:rFonts w:eastAsiaTheme="minorEastAsia"/>
          <w:sz w:val="21"/>
        </w:rPr>
        <w:t xml:space="preserve"> </w:t>
      </w:r>
      <w:r w:rsidRPr="00D94554">
        <w:rPr>
          <w:rFonts w:eastAsia="黑体"/>
          <w:sz w:val="21"/>
        </w:rPr>
        <w:t xml:space="preserve"> </w:t>
      </w:r>
      <w:r w:rsidRPr="00D94554">
        <w:rPr>
          <w:rFonts w:eastAsia="黑体" w:hint="eastAsia"/>
          <w:sz w:val="21"/>
        </w:rPr>
        <w:t xml:space="preserve"> </w:t>
      </w:r>
      <w:r w:rsidRPr="00D94554">
        <w:rPr>
          <w:rFonts w:eastAsia="黑体" w:hAnsi="黑体" w:hint="eastAsia"/>
          <w:sz w:val="21"/>
        </w:rPr>
        <w:t>环境风险</w:t>
      </w:r>
      <w:r w:rsidRPr="00D94554">
        <w:rPr>
          <w:rFonts w:eastAsia="黑体" w:hAnsi="黑体"/>
          <w:sz w:val="21"/>
        </w:rPr>
        <w:t>评价自查表</w:t>
      </w:r>
    </w:p>
    <w:p w:rsidR="00D94554" w:rsidRPr="00D94554" w:rsidRDefault="00D94554" w:rsidP="00D94554">
      <w:pPr>
        <w:widowControl/>
        <w:adjustRightInd/>
        <w:snapToGrid/>
        <w:spacing w:line="16" w:lineRule="exact"/>
        <w:ind w:firstLineChars="0" w:firstLine="0"/>
        <w:jc w:val="left"/>
        <w:textAlignment w:val="auto"/>
        <w:rPr>
          <w:rFonts w:eastAsia="Times New Roman"/>
          <w:b/>
          <w:sz w:val="20"/>
        </w:rPr>
      </w:pPr>
    </w:p>
    <w:tbl>
      <w:tblPr>
        <w:tblStyle w:val="TableNormal"/>
        <w:tblW w:w="5000" w:type="pct"/>
        <w:jc w:val="center"/>
        <w:tblInd w:w="0" w:type="dxa"/>
        <w:tblBorders>
          <w:top w:val="single" w:sz="8" w:space="0" w:color="000000"/>
          <w:left w:val="single" w:sz="8" w:space="0" w:color="000000"/>
          <w:bottom w:val="single" w:sz="8" w:space="0" w:color="000000"/>
          <w:right w:val="single" w:sz="8" w:space="0" w:color="000000"/>
          <w:insideH w:val="single" w:sz="4" w:space="0" w:color="000000"/>
          <w:insideV w:val="single" w:sz="4" w:space="0" w:color="000000"/>
        </w:tblBorders>
        <w:tblLook w:val="01E0"/>
      </w:tblPr>
      <w:tblGrid>
        <w:gridCol w:w="279"/>
        <w:gridCol w:w="1151"/>
        <w:gridCol w:w="832"/>
        <w:gridCol w:w="245"/>
        <w:gridCol w:w="427"/>
        <w:gridCol w:w="715"/>
        <w:gridCol w:w="780"/>
        <w:gridCol w:w="552"/>
        <w:gridCol w:w="98"/>
        <w:gridCol w:w="648"/>
        <w:gridCol w:w="593"/>
        <w:gridCol w:w="32"/>
        <w:gridCol w:w="712"/>
        <w:gridCol w:w="642"/>
        <w:gridCol w:w="627"/>
      </w:tblGrid>
      <w:tr w:rsidR="00D94554" w:rsidRPr="00D94554" w:rsidTr="00C66914">
        <w:trPr>
          <w:trHeight w:val="397"/>
          <w:jc w:val="center"/>
        </w:trPr>
        <w:tc>
          <w:tcPr>
            <w:tcW w:w="859" w:type="pct"/>
            <w:gridSpan w:val="2"/>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工作内容</w:t>
            </w:r>
          </w:p>
        </w:tc>
        <w:tc>
          <w:tcPr>
            <w:tcW w:w="4141" w:type="pct"/>
            <w:gridSpan w:val="13"/>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完成情况</w:t>
            </w:r>
          </w:p>
        </w:tc>
      </w:tr>
      <w:tr w:rsidR="00D94554" w:rsidRPr="00D94554" w:rsidTr="00C66914">
        <w:trPr>
          <w:trHeight w:val="397"/>
          <w:jc w:val="center"/>
        </w:trPr>
        <w:tc>
          <w:tcPr>
            <w:tcW w:w="168" w:type="pct"/>
            <w:vMerge w:val="restart"/>
            <w:vAlign w:val="center"/>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风 险 调 查</w:t>
            </w:r>
          </w:p>
        </w:tc>
        <w:tc>
          <w:tcPr>
            <w:tcW w:w="691" w:type="pct"/>
            <w:vMerge w:val="restart"/>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危险物质</w:t>
            </w:r>
          </w:p>
        </w:tc>
        <w:tc>
          <w:tcPr>
            <w:tcW w:w="499" w:type="pct"/>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名称</w:t>
            </w:r>
          </w:p>
        </w:tc>
        <w:tc>
          <w:tcPr>
            <w:tcW w:w="403" w:type="pct"/>
            <w:gridSpan w:val="2"/>
            <w:vAlign w:val="center"/>
          </w:tcPr>
          <w:p w:rsidR="00D94554" w:rsidRPr="00D94554" w:rsidRDefault="00D94554" w:rsidP="00D94554">
            <w:pPr>
              <w:adjustRightInd/>
              <w:snapToGrid/>
              <w:spacing w:line="240" w:lineRule="auto"/>
              <w:ind w:firstLineChars="0" w:firstLine="0"/>
              <w:contextualSpacing/>
              <w:jc w:val="center"/>
              <w:textAlignment w:val="auto"/>
              <w:rPr>
                <w:rFonts w:eastAsia="Times New Roman"/>
                <w:sz w:val="18"/>
                <w:szCs w:val="18"/>
              </w:rPr>
            </w:pPr>
            <w:r w:rsidRPr="00D94554">
              <w:rPr>
                <w:rFonts w:ascii="宋体" w:hAnsi="宋体" w:cs="宋体" w:hint="eastAsia"/>
                <w:sz w:val="18"/>
                <w:szCs w:val="18"/>
              </w:rPr>
              <w:t>聚酯底漆</w:t>
            </w:r>
          </w:p>
          <w:p w:rsidR="00D94554" w:rsidRPr="00D94554" w:rsidRDefault="00D94554" w:rsidP="00D94554">
            <w:pPr>
              <w:adjustRightInd/>
              <w:snapToGrid/>
              <w:spacing w:line="240" w:lineRule="auto"/>
              <w:ind w:firstLineChars="0" w:firstLine="0"/>
              <w:jc w:val="left"/>
              <w:textAlignment w:val="auto"/>
              <w:rPr>
                <w:rFonts w:ascii="Calibri" w:eastAsia="Times New Roman" w:hAnsi="Calibri" w:cs="Arial"/>
                <w:sz w:val="18"/>
                <w:szCs w:val="18"/>
              </w:rPr>
            </w:pPr>
          </w:p>
          <w:p w:rsidR="00D94554" w:rsidRPr="00D94554" w:rsidRDefault="00D94554" w:rsidP="00D94554">
            <w:pPr>
              <w:adjustRightInd/>
              <w:snapToGrid/>
              <w:spacing w:line="240" w:lineRule="auto"/>
              <w:ind w:firstLineChars="0" w:firstLine="0"/>
              <w:jc w:val="left"/>
              <w:textAlignment w:val="auto"/>
              <w:rPr>
                <w:rFonts w:ascii="Calibri" w:eastAsia="Times New Roman" w:hAnsi="Calibri" w:cs="Arial"/>
                <w:sz w:val="18"/>
                <w:szCs w:val="18"/>
              </w:rPr>
            </w:pPr>
          </w:p>
        </w:tc>
        <w:tc>
          <w:tcPr>
            <w:tcW w:w="429" w:type="pct"/>
            <w:vAlign w:val="center"/>
          </w:tcPr>
          <w:p w:rsidR="00D94554" w:rsidRPr="00D94554" w:rsidRDefault="00D94554" w:rsidP="00D94554">
            <w:pPr>
              <w:adjustRightInd/>
              <w:snapToGrid/>
              <w:spacing w:line="240" w:lineRule="auto"/>
              <w:ind w:firstLineChars="0" w:firstLine="0"/>
              <w:jc w:val="center"/>
              <w:textAlignment w:val="auto"/>
              <w:rPr>
                <w:rFonts w:cs="宋体"/>
                <w:sz w:val="18"/>
                <w:szCs w:val="18"/>
                <w:u w:val="single"/>
              </w:rPr>
            </w:pPr>
            <w:r w:rsidRPr="00D94554">
              <w:rPr>
                <w:rFonts w:cs="宋体" w:hint="eastAsia"/>
                <w:sz w:val="18"/>
                <w:szCs w:val="18"/>
                <w:u w:val="single"/>
              </w:rPr>
              <w:t>芳烃溶剂油</w:t>
            </w:r>
          </w:p>
        </w:tc>
        <w:tc>
          <w:tcPr>
            <w:tcW w:w="468" w:type="pct"/>
            <w:tcBorders>
              <w:right w:val="single" w:sz="4" w:space="0" w:color="auto"/>
            </w:tcBorders>
            <w:vAlign w:val="center"/>
          </w:tcPr>
          <w:p w:rsidR="00D94554" w:rsidRPr="00D94554" w:rsidRDefault="00D94554" w:rsidP="00D94554">
            <w:pPr>
              <w:adjustRightInd/>
              <w:snapToGrid/>
              <w:spacing w:line="240" w:lineRule="auto"/>
              <w:ind w:firstLineChars="0" w:firstLine="0"/>
              <w:jc w:val="center"/>
              <w:textAlignment w:val="auto"/>
              <w:rPr>
                <w:rFonts w:cs="宋体"/>
                <w:sz w:val="18"/>
                <w:szCs w:val="18"/>
              </w:rPr>
            </w:pPr>
            <w:r w:rsidRPr="00D94554">
              <w:rPr>
                <w:rFonts w:cs="宋体" w:hint="eastAsia"/>
                <w:sz w:val="18"/>
                <w:szCs w:val="18"/>
              </w:rPr>
              <w:t>丝包专用漆</w:t>
            </w:r>
          </w:p>
        </w:tc>
        <w:tc>
          <w:tcPr>
            <w:tcW w:w="390" w:type="pct"/>
            <w:gridSpan w:val="2"/>
            <w:tcBorders>
              <w:left w:val="single" w:sz="4" w:space="0" w:color="auto"/>
              <w:right w:val="single" w:sz="4" w:space="0" w:color="auto"/>
            </w:tcBorders>
            <w:vAlign w:val="center"/>
          </w:tcPr>
          <w:p w:rsidR="00D94554" w:rsidRPr="00D94554" w:rsidRDefault="00D94554" w:rsidP="00D94554">
            <w:pPr>
              <w:adjustRightInd/>
              <w:snapToGrid/>
              <w:spacing w:line="240" w:lineRule="auto"/>
              <w:ind w:firstLineChars="0" w:firstLine="0"/>
              <w:jc w:val="center"/>
              <w:textAlignment w:val="auto"/>
              <w:rPr>
                <w:rFonts w:cs="宋体"/>
                <w:sz w:val="18"/>
                <w:szCs w:val="18"/>
              </w:rPr>
            </w:pPr>
            <w:r w:rsidRPr="00D94554">
              <w:rPr>
                <w:rFonts w:cs="宋体" w:hint="eastAsia"/>
                <w:sz w:val="18"/>
                <w:szCs w:val="18"/>
              </w:rPr>
              <w:t>聚酰胺酰亚胺漆面漆</w:t>
            </w:r>
          </w:p>
        </w:tc>
        <w:tc>
          <w:tcPr>
            <w:tcW w:w="389" w:type="pct"/>
            <w:tcBorders>
              <w:left w:val="single" w:sz="4" w:space="0" w:color="auto"/>
            </w:tcBorders>
            <w:vAlign w:val="center"/>
          </w:tcPr>
          <w:p w:rsidR="00D94554" w:rsidRPr="00D94554" w:rsidRDefault="00D94554" w:rsidP="00D94554">
            <w:pPr>
              <w:adjustRightInd/>
              <w:snapToGrid/>
              <w:spacing w:line="240" w:lineRule="auto"/>
              <w:ind w:firstLineChars="0" w:firstLine="0"/>
              <w:jc w:val="center"/>
              <w:textAlignment w:val="auto"/>
              <w:rPr>
                <w:rFonts w:cs="宋体"/>
                <w:sz w:val="18"/>
                <w:szCs w:val="18"/>
              </w:rPr>
            </w:pPr>
            <w:r w:rsidRPr="00D94554">
              <w:rPr>
                <w:rFonts w:cs="宋体" w:hint="eastAsia"/>
                <w:color w:val="000000"/>
                <w:sz w:val="18"/>
                <w:szCs w:val="18"/>
                <w:u w:val="single"/>
              </w:rPr>
              <w:t>N,N-</w:t>
            </w:r>
            <w:r w:rsidRPr="00D94554">
              <w:rPr>
                <w:rFonts w:cs="宋体" w:hint="eastAsia"/>
                <w:color w:val="000000"/>
                <w:sz w:val="18"/>
                <w:szCs w:val="18"/>
                <w:u w:val="single"/>
              </w:rPr>
              <w:t>二甲基甲酰胺</w:t>
            </w:r>
          </w:p>
        </w:tc>
        <w:tc>
          <w:tcPr>
            <w:tcW w:w="375" w:type="pct"/>
            <w:gridSpan w:val="2"/>
            <w:vAlign w:val="center"/>
          </w:tcPr>
          <w:p w:rsidR="00D94554" w:rsidRPr="00D94554" w:rsidRDefault="00D94554" w:rsidP="00D94554">
            <w:pPr>
              <w:adjustRightInd/>
              <w:snapToGrid/>
              <w:spacing w:line="240" w:lineRule="auto"/>
              <w:ind w:firstLineChars="0" w:firstLine="0"/>
              <w:jc w:val="center"/>
              <w:textAlignment w:val="auto"/>
              <w:rPr>
                <w:rFonts w:cs="宋体"/>
                <w:color w:val="000000"/>
                <w:sz w:val="18"/>
                <w:szCs w:val="18"/>
                <w:u w:val="single"/>
              </w:rPr>
            </w:pPr>
            <w:r w:rsidRPr="00D94554">
              <w:rPr>
                <w:rFonts w:cs="宋体" w:hint="eastAsia"/>
                <w:color w:val="000000"/>
                <w:sz w:val="18"/>
                <w:szCs w:val="18"/>
                <w:u w:val="single"/>
              </w:rPr>
              <w:t>苯</w:t>
            </w:r>
          </w:p>
        </w:tc>
        <w:tc>
          <w:tcPr>
            <w:tcW w:w="427" w:type="pct"/>
            <w:vAlign w:val="center"/>
          </w:tcPr>
          <w:p w:rsidR="00D94554" w:rsidRPr="00D94554" w:rsidRDefault="00D94554" w:rsidP="00D94554">
            <w:pPr>
              <w:adjustRightInd/>
              <w:snapToGrid/>
              <w:spacing w:line="240" w:lineRule="auto"/>
              <w:ind w:firstLineChars="0" w:firstLine="0"/>
              <w:jc w:val="center"/>
              <w:textAlignment w:val="auto"/>
              <w:rPr>
                <w:rFonts w:cs="宋体"/>
                <w:color w:val="000000"/>
                <w:sz w:val="18"/>
                <w:szCs w:val="18"/>
                <w:u w:val="single"/>
              </w:rPr>
            </w:pPr>
            <w:r w:rsidRPr="00D94554">
              <w:rPr>
                <w:rFonts w:cs="宋体" w:hint="eastAsia"/>
                <w:color w:val="000000"/>
                <w:sz w:val="18"/>
                <w:szCs w:val="18"/>
                <w:u w:val="single"/>
              </w:rPr>
              <w:t>甲苯</w:t>
            </w:r>
          </w:p>
        </w:tc>
        <w:tc>
          <w:tcPr>
            <w:tcW w:w="385" w:type="pct"/>
            <w:vAlign w:val="center"/>
          </w:tcPr>
          <w:p w:rsidR="00D94554" w:rsidRPr="00D94554" w:rsidRDefault="00D94554" w:rsidP="00D94554">
            <w:pPr>
              <w:adjustRightInd/>
              <w:snapToGrid/>
              <w:spacing w:line="240" w:lineRule="auto"/>
              <w:ind w:firstLineChars="0" w:firstLine="0"/>
              <w:jc w:val="center"/>
              <w:textAlignment w:val="auto"/>
              <w:rPr>
                <w:rFonts w:cs="宋体"/>
                <w:color w:val="000000"/>
                <w:sz w:val="18"/>
                <w:szCs w:val="18"/>
                <w:u w:val="single"/>
              </w:rPr>
            </w:pPr>
            <w:r w:rsidRPr="00D94554">
              <w:rPr>
                <w:rFonts w:cs="宋体" w:hint="eastAsia"/>
                <w:color w:val="000000"/>
                <w:sz w:val="18"/>
                <w:szCs w:val="18"/>
                <w:u w:val="single"/>
              </w:rPr>
              <w:t>二甲苯</w:t>
            </w:r>
          </w:p>
        </w:tc>
        <w:tc>
          <w:tcPr>
            <w:tcW w:w="377" w:type="pct"/>
            <w:vAlign w:val="center"/>
          </w:tcPr>
          <w:p w:rsidR="00D94554" w:rsidRPr="00D94554" w:rsidRDefault="00D94554" w:rsidP="00D94554">
            <w:pPr>
              <w:adjustRightInd/>
              <w:snapToGrid/>
              <w:spacing w:line="240" w:lineRule="auto"/>
              <w:ind w:firstLineChars="0" w:firstLine="0"/>
              <w:jc w:val="center"/>
              <w:textAlignment w:val="auto"/>
              <w:rPr>
                <w:rFonts w:cs="宋体"/>
                <w:color w:val="000000"/>
                <w:sz w:val="18"/>
                <w:szCs w:val="18"/>
                <w:u w:val="single"/>
              </w:rPr>
            </w:pPr>
            <w:r w:rsidRPr="00D94554">
              <w:rPr>
                <w:rFonts w:cs="宋体" w:hint="eastAsia"/>
                <w:color w:val="000000"/>
                <w:sz w:val="18"/>
                <w:szCs w:val="18"/>
                <w:u w:val="single"/>
              </w:rPr>
              <w:t>丁醇</w:t>
            </w:r>
          </w:p>
        </w:tc>
      </w:tr>
      <w:tr w:rsidR="00D94554" w:rsidRPr="00D94554" w:rsidTr="00C66914">
        <w:trPr>
          <w:trHeight w:val="397"/>
          <w:jc w:val="center"/>
        </w:trPr>
        <w:tc>
          <w:tcPr>
            <w:tcW w:w="168" w:type="pct"/>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cs="宋体"/>
                <w:sz w:val="18"/>
                <w:szCs w:val="18"/>
              </w:rPr>
            </w:pPr>
          </w:p>
        </w:tc>
        <w:tc>
          <w:tcPr>
            <w:tcW w:w="691" w:type="pct"/>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cs="宋体"/>
                <w:sz w:val="18"/>
                <w:szCs w:val="18"/>
              </w:rPr>
            </w:pPr>
          </w:p>
        </w:tc>
        <w:tc>
          <w:tcPr>
            <w:tcW w:w="499" w:type="pct"/>
            <w:vAlign w:val="center"/>
            <w:hideMark/>
          </w:tcPr>
          <w:p w:rsidR="00D94554" w:rsidRPr="00D94554" w:rsidRDefault="00D94554" w:rsidP="00D94554">
            <w:pPr>
              <w:adjustRightInd/>
              <w:snapToGrid/>
              <w:spacing w:line="240" w:lineRule="auto"/>
              <w:ind w:firstLineChars="0" w:firstLine="0"/>
              <w:jc w:val="center"/>
              <w:textAlignment w:val="auto"/>
              <w:rPr>
                <w:rFonts w:eastAsia="Times New Roman"/>
                <w:sz w:val="18"/>
                <w:szCs w:val="18"/>
              </w:rPr>
            </w:pPr>
            <w:r w:rsidRPr="00D94554">
              <w:rPr>
                <w:rFonts w:ascii="宋体" w:hAnsi="宋体" w:cs="宋体" w:hint="eastAsia"/>
                <w:sz w:val="18"/>
                <w:szCs w:val="18"/>
              </w:rPr>
              <w:t>存在总量</w:t>
            </w:r>
            <w:r w:rsidRPr="00D94554">
              <w:rPr>
                <w:rFonts w:eastAsia="Times New Roman"/>
                <w:sz w:val="18"/>
                <w:szCs w:val="18"/>
              </w:rPr>
              <w:t>/t</w:t>
            </w:r>
          </w:p>
        </w:tc>
        <w:tc>
          <w:tcPr>
            <w:tcW w:w="403" w:type="pct"/>
            <w:gridSpan w:val="2"/>
            <w:vAlign w:val="center"/>
          </w:tcPr>
          <w:p w:rsidR="00D94554" w:rsidRPr="00D94554" w:rsidRDefault="00D94554" w:rsidP="00D94554">
            <w:pPr>
              <w:adjustRightInd/>
              <w:snapToGrid/>
              <w:spacing w:line="240" w:lineRule="auto"/>
              <w:ind w:firstLineChars="0" w:firstLine="0"/>
              <w:contextualSpacing/>
              <w:jc w:val="center"/>
              <w:textAlignment w:val="auto"/>
              <w:rPr>
                <w:rFonts w:eastAsia="Times New Roman"/>
                <w:sz w:val="18"/>
                <w:szCs w:val="18"/>
              </w:rPr>
            </w:pPr>
            <w:r w:rsidRPr="00D94554">
              <w:rPr>
                <w:rFonts w:eastAsia="Times New Roman" w:hint="eastAsia"/>
                <w:sz w:val="18"/>
                <w:szCs w:val="18"/>
              </w:rPr>
              <w:t>13</w:t>
            </w:r>
          </w:p>
        </w:tc>
        <w:tc>
          <w:tcPr>
            <w:tcW w:w="429" w:type="pct"/>
            <w:vAlign w:val="center"/>
          </w:tcPr>
          <w:p w:rsidR="00D94554" w:rsidRPr="00D94554" w:rsidRDefault="00D94554" w:rsidP="00D94554">
            <w:pPr>
              <w:adjustRightInd/>
              <w:snapToGrid/>
              <w:spacing w:line="240" w:lineRule="auto"/>
              <w:ind w:firstLineChars="0" w:firstLine="0"/>
              <w:contextualSpacing/>
              <w:jc w:val="center"/>
              <w:textAlignment w:val="auto"/>
              <w:rPr>
                <w:sz w:val="18"/>
                <w:szCs w:val="18"/>
              </w:rPr>
            </w:pPr>
            <w:r w:rsidRPr="00D94554">
              <w:rPr>
                <w:rFonts w:hint="eastAsia"/>
                <w:sz w:val="18"/>
                <w:szCs w:val="18"/>
              </w:rPr>
              <w:t>1.3</w:t>
            </w:r>
          </w:p>
        </w:tc>
        <w:tc>
          <w:tcPr>
            <w:tcW w:w="468" w:type="pct"/>
            <w:tcBorders>
              <w:right w:val="single" w:sz="4" w:space="0" w:color="auto"/>
            </w:tcBorders>
            <w:vAlign w:val="center"/>
          </w:tcPr>
          <w:p w:rsidR="00D94554" w:rsidRPr="00D94554" w:rsidRDefault="00D94554" w:rsidP="00D94554">
            <w:pPr>
              <w:adjustRightInd/>
              <w:snapToGrid/>
              <w:spacing w:line="240" w:lineRule="auto"/>
              <w:ind w:firstLineChars="0" w:firstLine="0"/>
              <w:contextualSpacing/>
              <w:jc w:val="center"/>
              <w:textAlignment w:val="auto"/>
              <w:rPr>
                <w:sz w:val="18"/>
                <w:szCs w:val="18"/>
              </w:rPr>
            </w:pPr>
            <w:r w:rsidRPr="00D94554">
              <w:rPr>
                <w:rFonts w:hint="eastAsia"/>
                <w:sz w:val="18"/>
                <w:szCs w:val="18"/>
              </w:rPr>
              <w:t>1.4</w:t>
            </w:r>
          </w:p>
        </w:tc>
        <w:tc>
          <w:tcPr>
            <w:tcW w:w="390" w:type="pct"/>
            <w:gridSpan w:val="2"/>
            <w:tcBorders>
              <w:left w:val="single" w:sz="4" w:space="0" w:color="auto"/>
              <w:right w:val="single" w:sz="4" w:space="0" w:color="auto"/>
            </w:tcBorders>
            <w:vAlign w:val="center"/>
          </w:tcPr>
          <w:p w:rsidR="00D94554" w:rsidRPr="00D94554" w:rsidRDefault="00D94554" w:rsidP="00D94554">
            <w:pPr>
              <w:adjustRightInd/>
              <w:snapToGrid/>
              <w:spacing w:line="240" w:lineRule="auto"/>
              <w:ind w:firstLineChars="0" w:firstLine="0"/>
              <w:contextualSpacing/>
              <w:jc w:val="center"/>
              <w:textAlignment w:val="auto"/>
              <w:rPr>
                <w:sz w:val="18"/>
                <w:szCs w:val="18"/>
              </w:rPr>
            </w:pPr>
            <w:r w:rsidRPr="00D94554">
              <w:rPr>
                <w:rFonts w:hint="eastAsia"/>
                <w:sz w:val="18"/>
                <w:szCs w:val="18"/>
              </w:rPr>
              <w:t>4</w:t>
            </w:r>
          </w:p>
        </w:tc>
        <w:tc>
          <w:tcPr>
            <w:tcW w:w="389" w:type="pct"/>
            <w:tcBorders>
              <w:left w:val="single" w:sz="4" w:space="0" w:color="auto"/>
            </w:tcBorders>
            <w:vAlign w:val="center"/>
          </w:tcPr>
          <w:p w:rsidR="00D94554" w:rsidRPr="00D94554" w:rsidRDefault="00D94554" w:rsidP="00D94554">
            <w:pPr>
              <w:adjustRightInd/>
              <w:snapToGrid/>
              <w:spacing w:line="240" w:lineRule="auto"/>
              <w:ind w:firstLineChars="0" w:firstLine="0"/>
              <w:contextualSpacing/>
              <w:jc w:val="center"/>
              <w:textAlignment w:val="auto"/>
              <w:rPr>
                <w:sz w:val="18"/>
                <w:szCs w:val="18"/>
              </w:rPr>
            </w:pPr>
            <w:r w:rsidRPr="00D94554">
              <w:rPr>
                <w:rFonts w:hint="eastAsia"/>
                <w:sz w:val="18"/>
                <w:szCs w:val="18"/>
              </w:rPr>
              <w:t>2.2</w:t>
            </w:r>
          </w:p>
        </w:tc>
        <w:tc>
          <w:tcPr>
            <w:tcW w:w="375" w:type="pct"/>
            <w:gridSpan w:val="2"/>
            <w:vAlign w:val="center"/>
          </w:tcPr>
          <w:p w:rsidR="00D94554" w:rsidRPr="00D94554" w:rsidRDefault="00D94554" w:rsidP="00D94554">
            <w:pPr>
              <w:adjustRightInd/>
              <w:snapToGrid/>
              <w:spacing w:line="240" w:lineRule="auto"/>
              <w:ind w:firstLineChars="0" w:firstLine="0"/>
              <w:contextualSpacing/>
              <w:jc w:val="center"/>
              <w:textAlignment w:val="auto"/>
              <w:rPr>
                <w:sz w:val="18"/>
                <w:szCs w:val="18"/>
              </w:rPr>
            </w:pPr>
            <w:r w:rsidRPr="00D94554">
              <w:rPr>
                <w:rFonts w:hint="eastAsia"/>
                <w:sz w:val="18"/>
                <w:szCs w:val="18"/>
              </w:rPr>
              <w:t>0.11</w:t>
            </w:r>
          </w:p>
        </w:tc>
        <w:tc>
          <w:tcPr>
            <w:tcW w:w="427" w:type="pct"/>
            <w:vAlign w:val="center"/>
          </w:tcPr>
          <w:p w:rsidR="00D94554" w:rsidRPr="00D94554" w:rsidRDefault="00D94554" w:rsidP="00D94554">
            <w:pPr>
              <w:adjustRightInd/>
              <w:snapToGrid/>
              <w:spacing w:line="240" w:lineRule="auto"/>
              <w:ind w:firstLineChars="0" w:firstLine="0"/>
              <w:contextualSpacing/>
              <w:jc w:val="center"/>
              <w:textAlignment w:val="auto"/>
              <w:rPr>
                <w:sz w:val="18"/>
                <w:szCs w:val="18"/>
              </w:rPr>
            </w:pPr>
            <w:r w:rsidRPr="00D94554">
              <w:rPr>
                <w:rFonts w:hint="eastAsia"/>
                <w:sz w:val="18"/>
                <w:szCs w:val="18"/>
              </w:rPr>
              <w:t>0.21</w:t>
            </w:r>
          </w:p>
        </w:tc>
        <w:tc>
          <w:tcPr>
            <w:tcW w:w="385" w:type="pct"/>
            <w:vAlign w:val="center"/>
          </w:tcPr>
          <w:p w:rsidR="00D94554" w:rsidRPr="00D94554" w:rsidRDefault="00D94554" w:rsidP="00D94554">
            <w:pPr>
              <w:adjustRightInd/>
              <w:snapToGrid/>
              <w:spacing w:line="240" w:lineRule="auto"/>
              <w:ind w:firstLineChars="0" w:firstLine="0"/>
              <w:contextualSpacing/>
              <w:jc w:val="center"/>
              <w:textAlignment w:val="auto"/>
              <w:rPr>
                <w:sz w:val="18"/>
                <w:szCs w:val="18"/>
              </w:rPr>
            </w:pPr>
            <w:r w:rsidRPr="00D94554">
              <w:rPr>
                <w:rFonts w:hint="eastAsia"/>
                <w:sz w:val="18"/>
                <w:szCs w:val="18"/>
              </w:rPr>
              <w:t>0.27</w:t>
            </w:r>
          </w:p>
        </w:tc>
        <w:tc>
          <w:tcPr>
            <w:tcW w:w="377" w:type="pct"/>
            <w:vAlign w:val="center"/>
          </w:tcPr>
          <w:p w:rsidR="00D94554" w:rsidRPr="00D94554" w:rsidRDefault="00D94554" w:rsidP="00D94554">
            <w:pPr>
              <w:adjustRightInd/>
              <w:snapToGrid/>
              <w:spacing w:line="240" w:lineRule="auto"/>
              <w:ind w:firstLineChars="0" w:firstLine="0"/>
              <w:contextualSpacing/>
              <w:jc w:val="center"/>
              <w:textAlignment w:val="auto"/>
              <w:rPr>
                <w:sz w:val="18"/>
                <w:szCs w:val="18"/>
              </w:rPr>
            </w:pPr>
            <w:r w:rsidRPr="00D94554">
              <w:rPr>
                <w:rFonts w:hint="eastAsia"/>
                <w:sz w:val="18"/>
                <w:szCs w:val="18"/>
              </w:rPr>
              <w:t>0.11</w:t>
            </w:r>
          </w:p>
        </w:tc>
      </w:tr>
      <w:tr w:rsidR="00D94554" w:rsidRPr="00D94554" w:rsidTr="00C66914">
        <w:trPr>
          <w:trHeight w:val="397"/>
          <w:jc w:val="center"/>
        </w:trPr>
        <w:tc>
          <w:tcPr>
            <w:tcW w:w="168" w:type="pct"/>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cs="宋体"/>
                <w:sz w:val="18"/>
                <w:szCs w:val="18"/>
              </w:rPr>
            </w:pPr>
          </w:p>
        </w:tc>
        <w:tc>
          <w:tcPr>
            <w:tcW w:w="691" w:type="pct"/>
            <w:vMerge w:val="restart"/>
            <w:vAlign w:val="center"/>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环境敏感性</w:t>
            </w:r>
          </w:p>
        </w:tc>
        <w:tc>
          <w:tcPr>
            <w:tcW w:w="499" w:type="pct"/>
            <w:vMerge w:val="restart"/>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大气</w:t>
            </w:r>
          </w:p>
        </w:tc>
        <w:tc>
          <w:tcPr>
            <w:tcW w:w="2079" w:type="pct"/>
            <w:gridSpan w:val="7"/>
            <w:vAlign w:val="center"/>
            <w:hideMark/>
          </w:tcPr>
          <w:p w:rsidR="00D94554" w:rsidRPr="00D94554" w:rsidRDefault="00D94554" w:rsidP="00D94554">
            <w:pPr>
              <w:tabs>
                <w:tab w:val="left" w:pos="2611"/>
              </w:tabs>
              <w:adjustRightInd/>
              <w:snapToGrid/>
              <w:spacing w:line="240" w:lineRule="auto"/>
              <w:ind w:firstLineChars="0" w:firstLine="0"/>
              <w:jc w:val="center"/>
              <w:textAlignment w:val="auto"/>
              <w:rPr>
                <w:rFonts w:ascii="宋体" w:hAnsi="宋体" w:cs="宋体"/>
                <w:sz w:val="18"/>
                <w:szCs w:val="18"/>
              </w:rPr>
            </w:pPr>
            <w:r w:rsidRPr="00D94554">
              <w:rPr>
                <w:rFonts w:eastAsia="Times New Roman"/>
                <w:sz w:val="18"/>
                <w:szCs w:val="18"/>
              </w:rPr>
              <w:t>500 m</w:t>
            </w:r>
            <w:r w:rsidRPr="00D94554">
              <w:rPr>
                <w:rFonts w:eastAsia="Times New Roman"/>
                <w:spacing w:val="-2"/>
                <w:sz w:val="18"/>
                <w:szCs w:val="18"/>
              </w:rPr>
              <w:t xml:space="preserve"> </w:t>
            </w:r>
            <w:r w:rsidRPr="00D94554">
              <w:rPr>
                <w:rFonts w:ascii="宋体" w:hAnsi="宋体" w:cs="宋体" w:hint="eastAsia"/>
                <w:sz w:val="18"/>
                <w:szCs w:val="18"/>
              </w:rPr>
              <w:t>范围内人口数</w:t>
            </w:r>
            <w:r w:rsidRPr="00D94554">
              <w:rPr>
                <w:rFonts w:ascii="宋体" w:hAnsi="宋体" w:cs="宋体" w:hint="eastAsia"/>
                <w:sz w:val="18"/>
                <w:szCs w:val="18"/>
              </w:rPr>
              <w:tab/>
              <w:t>人</w:t>
            </w:r>
          </w:p>
        </w:tc>
        <w:tc>
          <w:tcPr>
            <w:tcW w:w="1564" w:type="pct"/>
            <w:gridSpan w:val="5"/>
            <w:vAlign w:val="center"/>
            <w:hideMark/>
          </w:tcPr>
          <w:p w:rsidR="00D94554" w:rsidRPr="00D94554" w:rsidRDefault="00D94554" w:rsidP="00D94554">
            <w:pPr>
              <w:tabs>
                <w:tab w:val="left" w:pos="2603"/>
              </w:tabs>
              <w:adjustRightInd/>
              <w:snapToGrid/>
              <w:spacing w:line="240" w:lineRule="auto"/>
              <w:ind w:firstLineChars="0" w:firstLine="0"/>
              <w:jc w:val="center"/>
              <w:textAlignment w:val="auto"/>
              <w:rPr>
                <w:rFonts w:ascii="宋体" w:hAnsi="宋体" w:cs="宋体"/>
                <w:sz w:val="18"/>
                <w:szCs w:val="18"/>
              </w:rPr>
            </w:pPr>
            <w:r w:rsidRPr="00D94554">
              <w:rPr>
                <w:rFonts w:eastAsia="Times New Roman"/>
                <w:sz w:val="18"/>
                <w:szCs w:val="18"/>
              </w:rPr>
              <w:t>5 km</w:t>
            </w:r>
            <w:r w:rsidRPr="00D94554">
              <w:rPr>
                <w:rFonts w:eastAsia="Times New Roman"/>
                <w:spacing w:val="-2"/>
                <w:sz w:val="18"/>
                <w:szCs w:val="18"/>
              </w:rPr>
              <w:t xml:space="preserve"> </w:t>
            </w:r>
            <w:r w:rsidRPr="00D94554">
              <w:rPr>
                <w:rFonts w:ascii="宋体" w:hAnsi="宋体" w:cs="宋体" w:hint="eastAsia"/>
                <w:sz w:val="18"/>
                <w:szCs w:val="18"/>
              </w:rPr>
              <w:t>范围内人口数</w:t>
            </w:r>
            <w:r w:rsidRPr="00D94554">
              <w:rPr>
                <w:rFonts w:ascii="宋体" w:hAnsi="宋体" w:cs="宋体" w:hint="eastAsia"/>
                <w:sz w:val="18"/>
                <w:szCs w:val="18"/>
              </w:rPr>
              <w:tab/>
              <w:t>人</w:t>
            </w:r>
          </w:p>
        </w:tc>
      </w:tr>
      <w:tr w:rsidR="00D94554" w:rsidRPr="00D94554" w:rsidTr="00C66914">
        <w:trPr>
          <w:trHeight w:val="397"/>
          <w:jc w:val="center"/>
        </w:trPr>
        <w:tc>
          <w:tcPr>
            <w:tcW w:w="168" w:type="pct"/>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cs="宋体"/>
                <w:sz w:val="18"/>
                <w:szCs w:val="18"/>
              </w:rPr>
            </w:pPr>
          </w:p>
        </w:tc>
        <w:tc>
          <w:tcPr>
            <w:tcW w:w="691" w:type="pct"/>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cs="宋体"/>
                <w:sz w:val="18"/>
                <w:szCs w:val="18"/>
              </w:rPr>
            </w:pPr>
          </w:p>
        </w:tc>
        <w:tc>
          <w:tcPr>
            <w:tcW w:w="499" w:type="pct"/>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cs="宋体"/>
                <w:sz w:val="18"/>
                <w:szCs w:val="18"/>
              </w:rPr>
            </w:pPr>
          </w:p>
        </w:tc>
        <w:tc>
          <w:tcPr>
            <w:tcW w:w="2881" w:type="pct"/>
            <w:gridSpan w:val="10"/>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lang w:eastAsia="zh-CN"/>
              </w:rPr>
            </w:pPr>
            <w:r w:rsidRPr="00D94554">
              <w:rPr>
                <w:rFonts w:ascii="宋体" w:hAnsi="宋体" w:cs="宋体" w:hint="eastAsia"/>
                <w:sz w:val="18"/>
                <w:szCs w:val="18"/>
                <w:lang w:eastAsia="zh-CN"/>
              </w:rPr>
              <w:t>每公里管段周边</w:t>
            </w:r>
            <w:r w:rsidRPr="00D94554">
              <w:rPr>
                <w:rFonts w:ascii="宋体" w:hAnsi="宋体" w:cs="宋体" w:hint="eastAsia"/>
                <w:spacing w:val="-46"/>
                <w:sz w:val="18"/>
                <w:szCs w:val="18"/>
                <w:lang w:eastAsia="zh-CN"/>
              </w:rPr>
              <w:t xml:space="preserve"> </w:t>
            </w:r>
            <w:r w:rsidRPr="00D94554">
              <w:rPr>
                <w:rFonts w:eastAsia="Times New Roman"/>
                <w:sz w:val="18"/>
                <w:szCs w:val="18"/>
                <w:lang w:eastAsia="zh-CN"/>
              </w:rPr>
              <w:t>200 m</w:t>
            </w:r>
            <w:r w:rsidRPr="00D94554">
              <w:rPr>
                <w:rFonts w:eastAsia="Times New Roman"/>
                <w:spacing w:val="-2"/>
                <w:sz w:val="18"/>
                <w:szCs w:val="18"/>
                <w:lang w:eastAsia="zh-CN"/>
              </w:rPr>
              <w:t xml:space="preserve"> </w:t>
            </w:r>
            <w:r w:rsidRPr="00D94554">
              <w:rPr>
                <w:rFonts w:ascii="宋体" w:hAnsi="宋体" w:cs="宋体" w:hint="eastAsia"/>
                <w:sz w:val="18"/>
                <w:szCs w:val="18"/>
                <w:lang w:eastAsia="zh-CN"/>
              </w:rPr>
              <w:t>范围内人口数（最大）</w:t>
            </w:r>
          </w:p>
        </w:tc>
        <w:tc>
          <w:tcPr>
            <w:tcW w:w="762" w:type="pct"/>
            <w:gridSpan w:val="2"/>
            <w:vAlign w:val="center"/>
            <w:hideMark/>
          </w:tcPr>
          <w:p w:rsidR="00D94554" w:rsidRPr="00D94554" w:rsidRDefault="00D94554" w:rsidP="00D94554">
            <w:pPr>
              <w:tabs>
                <w:tab w:val="left" w:pos="1070"/>
              </w:tabs>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u w:val="single" w:color="000000"/>
                <w:lang w:eastAsia="zh-CN"/>
              </w:rPr>
              <w:t xml:space="preserve"> </w:t>
            </w:r>
            <w:r w:rsidRPr="00D94554">
              <w:rPr>
                <w:rFonts w:ascii="宋体" w:hAnsi="宋体" w:cs="宋体" w:hint="eastAsia"/>
                <w:sz w:val="18"/>
                <w:szCs w:val="18"/>
                <w:lang w:eastAsia="zh-CN"/>
              </w:rPr>
              <w:tab/>
            </w:r>
            <w:r w:rsidRPr="00D94554">
              <w:rPr>
                <w:rFonts w:ascii="宋体" w:hAnsi="宋体" w:cs="宋体" w:hint="eastAsia"/>
                <w:sz w:val="18"/>
                <w:szCs w:val="18"/>
              </w:rPr>
              <w:t>人</w:t>
            </w:r>
          </w:p>
        </w:tc>
      </w:tr>
      <w:tr w:rsidR="00D94554" w:rsidRPr="00D94554" w:rsidTr="00C66914">
        <w:trPr>
          <w:trHeight w:val="397"/>
          <w:jc w:val="center"/>
        </w:trPr>
        <w:tc>
          <w:tcPr>
            <w:tcW w:w="168" w:type="pct"/>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cs="宋体"/>
                <w:sz w:val="18"/>
                <w:szCs w:val="18"/>
              </w:rPr>
            </w:pPr>
          </w:p>
        </w:tc>
        <w:tc>
          <w:tcPr>
            <w:tcW w:w="691" w:type="pct"/>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cs="宋体"/>
                <w:sz w:val="18"/>
                <w:szCs w:val="18"/>
              </w:rPr>
            </w:pPr>
          </w:p>
        </w:tc>
        <w:tc>
          <w:tcPr>
            <w:tcW w:w="499" w:type="pct"/>
            <w:vMerge w:val="restart"/>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地表水</w:t>
            </w:r>
          </w:p>
        </w:tc>
        <w:tc>
          <w:tcPr>
            <w:tcW w:w="1300" w:type="pct"/>
            <w:gridSpan w:val="4"/>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地表水功能敏感性</w:t>
            </w:r>
          </w:p>
        </w:tc>
        <w:tc>
          <w:tcPr>
            <w:tcW w:w="779" w:type="pct"/>
            <w:gridSpan w:val="3"/>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eastAsia="Times New Roman"/>
                <w:sz w:val="18"/>
                <w:szCs w:val="18"/>
              </w:rPr>
              <w:t>F1</w:t>
            </w:r>
            <w:r w:rsidRPr="00D94554">
              <w:rPr>
                <w:rFonts w:eastAsia="Times New Roman"/>
                <w:spacing w:val="43"/>
                <w:sz w:val="18"/>
                <w:szCs w:val="18"/>
              </w:rPr>
              <w:t xml:space="preserve"> </w:t>
            </w:r>
            <w:r w:rsidRPr="00D94554">
              <w:rPr>
                <w:rFonts w:ascii="宋体" w:hAnsi="宋体" w:cs="宋体" w:hint="eastAsia"/>
                <w:sz w:val="18"/>
                <w:szCs w:val="18"/>
              </w:rPr>
              <w:t>□</w:t>
            </w:r>
          </w:p>
        </w:tc>
        <w:tc>
          <w:tcPr>
            <w:tcW w:w="802" w:type="pct"/>
            <w:gridSpan w:val="3"/>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eastAsia="Times New Roman"/>
                <w:sz w:val="18"/>
                <w:szCs w:val="18"/>
              </w:rPr>
              <w:t>F2</w:t>
            </w:r>
            <w:r w:rsidRPr="00D94554">
              <w:rPr>
                <w:rFonts w:eastAsia="Times New Roman"/>
                <w:spacing w:val="43"/>
                <w:sz w:val="18"/>
                <w:szCs w:val="18"/>
              </w:rPr>
              <w:t xml:space="preserve"> </w:t>
            </w:r>
            <w:r w:rsidRPr="00D94554">
              <w:rPr>
                <w:rFonts w:ascii="宋体" w:hAnsi="宋体" w:cs="宋体" w:hint="eastAsia"/>
                <w:sz w:val="18"/>
                <w:szCs w:val="18"/>
              </w:rPr>
              <w:t>□</w:t>
            </w:r>
          </w:p>
        </w:tc>
        <w:tc>
          <w:tcPr>
            <w:tcW w:w="762" w:type="pct"/>
            <w:gridSpan w:val="2"/>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eastAsia="Times New Roman"/>
                <w:sz w:val="18"/>
                <w:szCs w:val="18"/>
              </w:rPr>
              <w:t>F3</w:t>
            </w:r>
            <w:r w:rsidRPr="00D94554">
              <w:rPr>
                <w:rFonts w:eastAsia="Times New Roman"/>
                <w:spacing w:val="43"/>
                <w:sz w:val="18"/>
                <w:szCs w:val="18"/>
              </w:rPr>
              <w:t xml:space="preserve"> </w:t>
            </w:r>
            <w:r w:rsidRPr="00D94554">
              <w:rPr>
                <w:rFonts w:ascii="宋体" w:hAnsi="宋体" w:cs="宋体" w:hint="eastAsia"/>
                <w:sz w:val="18"/>
                <w:szCs w:val="18"/>
              </w:rPr>
              <w:t>□</w:t>
            </w:r>
          </w:p>
        </w:tc>
      </w:tr>
      <w:tr w:rsidR="00D94554" w:rsidRPr="00D94554" w:rsidTr="00C66914">
        <w:trPr>
          <w:trHeight w:val="397"/>
          <w:jc w:val="center"/>
        </w:trPr>
        <w:tc>
          <w:tcPr>
            <w:tcW w:w="168" w:type="pct"/>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cs="宋体"/>
                <w:sz w:val="18"/>
                <w:szCs w:val="18"/>
              </w:rPr>
            </w:pPr>
          </w:p>
        </w:tc>
        <w:tc>
          <w:tcPr>
            <w:tcW w:w="691" w:type="pct"/>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cs="宋体"/>
                <w:sz w:val="18"/>
                <w:szCs w:val="18"/>
              </w:rPr>
            </w:pPr>
          </w:p>
        </w:tc>
        <w:tc>
          <w:tcPr>
            <w:tcW w:w="499" w:type="pct"/>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cs="宋体"/>
                <w:sz w:val="18"/>
                <w:szCs w:val="18"/>
              </w:rPr>
            </w:pPr>
          </w:p>
        </w:tc>
        <w:tc>
          <w:tcPr>
            <w:tcW w:w="1300" w:type="pct"/>
            <w:gridSpan w:val="4"/>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环境敏感目标分级</w:t>
            </w:r>
          </w:p>
        </w:tc>
        <w:tc>
          <w:tcPr>
            <w:tcW w:w="779" w:type="pct"/>
            <w:gridSpan w:val="3"/>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eastAsia="Times New Roman"/>
                <w:sz w:val="18"/>
                <w:szCs w:val="18"/>
              </w:rPr>
              <w:t>S1</w:t>
            </w:r>
            <w:r w:rsidRPr="00D94554">
              <w:rPr>
                <w:rFonts w:eastAsia="Times New Roman"/>
                <w:spacing w:val="43"/>
                <w:sz w:val="18"/>
                <w:szCs w:val="18"/>
              </w:rPr>
              <w:t xml:space="preserve"> </w:t>
            </w:r>
            <w:r w:rsidRPr="00D94554">
              <w:rPr>
                <w:rFonts w:ascii="宋体" w:hAnsi="宋体" w:cs="宋体" w:hint="eastAsia"/>
                <w:sz w:val="18"/>
                <w:szCs w:val="18"/>
              </w:rPr>
              <w:t>□</w:t>
            </w:r>
          </w:p>
        </w:tc>
        <w:tc>
          <w:tcPr>
            <w:tcW w:w="802" w:type="pct"/>
            <w:gridSpan w:val="3"/>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eastAsia="Times New Roman"/>
                <w:sz w:val="18"/>
                <w:szCs w:val="18"/>
              </w:rPr>
              <w:t>S2</w:t>
            </w:r>
            <w:r w:rsidRPr="00D94554">
              <w:rPr>
                <w:rFonts w:eastAsia="Times New Roman"/>
                <w:spacing w:val="43"/>
                <w:sz w:val="18"/>
                <w:szCs w:val="18"/>
              </w:rPr>
              <w:t xml:space="preserve"> </w:t>
            </w:r>
            <w:r w:rsidRPr="00D94554">
              <w:rPr>
                <w:rFonts w:ascii="宋体" w:hAnsi="宋体" w:cs="宋体" w:hint="eastAsia"/>
                <w:sz w:val="18"/>
                <w:szCs w:val="18"/>
              </w:rPr>
              <w:t>□</w:t>
            </w:r>
          </w:p>
        </w:tc>
        <w:tc>
          <w:tcPr>
            <w:tcW w:w="762" w:type="pct"/>
            <w:gridSpan w:val="2"/>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eastAsia="Times New Roman"/>
                <w:sz w:val="18"/>
                <w:szCs w:val="18"/>
              </w:rPr>
              <w:t>S3</w:t>
            </w:r>
            <w:r w:rsidRPr="00D94554">
              <w:rPr>
                <w:rFonts w:eastAsia="Times New Roman"/>
                <w:spacing w:val="43"/>
                <w:sz w:val="18"/>
                <w:szCs w:val="18"/>
              </w:rPr>
              <w:t xml:space="preserve"> </w:t>
            </w:r>
            <w:r w:rsidRPr="00D94554">
              <w:rPr>
                <w:rFonts w:ascii="宋体" w:hAnsi="宋体" w:cs="宋体" w:hint="eastAsia"/>
                <w:sz w:val="18"/>
                <w:szCs w:val="18"/>
              </w:rPr>
              <w:t>□</w:t>
            </w:r>
          </w:p>
        </w:tc>
      </w:tr>
      <w:tr w:rsidR="00D94554" w:rsidRPr="00D94554" w:rsidTr="00C66914">
        <w:trPr>
          <w:trHeight w:val="397"/>
          <w:jc w:val="center"/>
        </w:trPr>
        <w:tc>
          <w:tcPr>
            <w:tcW w:w="168" w:type="pct"/>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cs="宋体"/>
                <w:sz w:val="18"/>
                <w:szCs w:val="18"/>
              </w:rPr>
            </w:pPr>
          </w:p>
        </w:tc>
        <w:tc>
          <w:tcPr>
            <w:tcW w:w="691" w:type="pct"/>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cs="宋体"/>
                <w:sz w:val="18"/>
                <w:szCs w:val="18"/>
              </w:rPr>
            </w:pPr>
          </w:p>
        </w:tc>
        <w:tc>
          <w:tcPr>
            <w:tcW w:w="499" w:type="pct"/>
            <w:vMerge w:val="restart"/>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地下水</w:t>
            </w:r>
          </w:p>
        </w:tc>
        <w:tc>
          <w:tcPr>
            <w:tcW w:w="1300" w:type="pct"/>
            <w:gridSpan w:val="4"/>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地下水功能敏感性</w:t>
            </w:r>
          </w:p>
        </w:tc>
        <w:tc>
          <w:tcPr>
            <w:tcW w:w="779" w:type="pct"/>
            <w:gridSpan w:val="3"/>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eastAsia="Times New Roman"/>
                <w:sz w:val="18"/>
                <w:szCs w:val="18"/>
              </w:rPr>
              <w:t>G1</w:t>
            </w:r>
            <w:r w:rsidRPr="00D94554">
              <w:rPr>
                <w:rFonts w:eastAsia="Times New Roman"/>
                <w:spacing w:val="43"/>
                <w:sz w:val="18"/>
                <w:szCs w:val="18"/>
              </w:rPr>
              <w:t xml:space="preserve"> </w:t>
            </w:r>
            <w:r w:rsidRPr="00D94554">
              <w:rPr>
                <w:rFonts w:ascii="宋体" w:hAnsi="宋体" w:cs="宋体" w:hint="eastAsia"/>
                <w:sz w:val="18"/>
                <w:szCs w:val="18"/>
              </w:rPr>
              <w:t>□</w:t>
            </w:r>
          </w:p>
        </w:tc>
        <w:tc>
          <w:tcPr>
            <w:tcW w:w="802" w:type="pct"/>
            <w:gridSpan w:val="3"/>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eastAsia="Times New Roman"/>
                <w:sz w:val="18"/>
                <w:szCs w:val="18"/>
              </w:rPr>
              <w:t>G2</w:t>
            </w:r>
            <w:r w:rsidRPr="00D94554">
              <w:rPr>
                <w:rFonts w:eastAsia="Times New Roman"/>
                <w:spacing w:val="43"/>
                <w:sz w:val="18"/>
                <w:szCs w:val="18"/>
              </w:rPr>
              <w:t xml:space="preserve"> </w:t>
            </w:r>
            <w:r w:rsidRPr="00D94554">
              <w:rPr>
                <w:rFonts w:ascii="宋体" w:hAnsi="宋体" w:cs="宋体" w:hint="eastAsia"/>
                <w:sz w:val="18"/>
                <w:szCs w:val="18"/>
              </w:rPr>
              <w:t>□</w:t>
            </w:r>
          </w:p>
        </w:tc>
        <w:tc>
          <w:tcPr>
            <w:tcW w:w="762" w:type="pct"/>
            <w:gridSpan w:val="2"/>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eastAsia="Times New Roman"/>
                <w:sz w:val="18"/>
                <w:szCs w:val="18"/>
              </w:rPr>
              <w:t>G3</w:t>
            </w:r>
            <w:r w:rsidRPr="00D94554">
              <w:rPr>
                <w:rFonts w:eastAsia="Times New Roman"/>
                <w:spacing w:val="43"/>
                <w:sz w:val="18"/>
                <w:szCs w:val="18"/>
              </w:rPr>
              <w:t xml:space="preserve"> </w:t>
            </w:r>
            <w:r w:rsidRPr="00D94554">
              <w:rPr>
                <w:rFonts w:ascii="宋体" w:hAnsi="宋体" w:cs="宋体" w:hint="eastAsia"/>
                <w:sz w:val="18"/>
                <w:szCs w:val="18"/>
              </w:rPr>
              <w:t>□</w:t>
            </w:r>
          </w:p>
        </w:tc>
      </w:tr>
      <w:tr w:rsidR="00D94554" w:rsidRPr="00D94554" w:rsidTr="00C66914">
        <w:trPr>
          <w:trHeight w:val="397"/>
          <w:jc w:val="center"/>
        </w:trPr>
        <w:tc>
          <w:tcPr>
            <w:tcW w:w="168" w:type="pct"/>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cs="宋体"/>
                <w:sz w:val="18"/>
                <w:szCs w:val="18"/>
              </w:rPr>
            </w:pPr>
          </w:p>
        </w:tc>
        <w:tc>
          <w:tcPr>
            <w:tcW w:w="691" w:type="pct"/>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cs="宋体"/>
                <w:sz w:val="18"/>
                <w:szCs w:val="18"/>
              </w:rPr>
            </w:pPr>
          </w:p>
        </w:tc>
        <w:tc>
          <w:tcPr>
            <w:tcW w:w="499" w:type="pct"/>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cs="宋体"/>
                <w:sz w:val="18"/>
                <w:szCs w:val="18"/>
              </w:rPr>
            </w:pPr>
          </w:p>
        </w:tc>
        <w:tc>
          <w:tcPr>
            <w:tcW w:w="1300" w:type="pct"/>
            <w:gridSpan w:val="4"/>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包气带防污性能</w:t>
            </w:r>
          </w:p>
        </w:tc>
        <w:tc>
          <w:tcPr>
            <w:tcW w:w="779" w:type="pct"/>
            <w:gridSpan w:val="3"/>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eastAsia="Times New Roman"/>
                <w:sz w:val="18"/>
                <w:szCs w:val="18"/>
              </w:rPr>
              <w:t>D1</w:t>
            </w:r>
            <w:r w:rsidRPr="00D94554">
              <w:rPr>
                <w:rFonts w:eastAsia="Times New Roman"/>
                <w:spacing w:val="43"/>
                <w:sz w:val="18"/>
                <w:szCs w:val="18"/>
              </w:rPr>
              <w:t xml:space="preserve"> </w:t>
            </w:r>
            <w:r w:rsidRPr="00D94554">
              <w:rPr>
                <w:rFonts w:ascii="宋体" w:hAnsi="宋体" w:cs="宋体" w:hint="eastAsia"/>
                <w:sz w:val="18"/>
                <w:szCs w:val="18"/>
              </w:rPr>
              <w:t>□</w:t>
            </w:r>
          </w:p>
        </w:tc>
        <w:tc>
          <w:tcPr>
            <w:tcW w:w="802" w:type="pct"/>
            <w:gridSpan w:val="3"/>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eastAsia="Times New Roman"/>
                <w:sz w:val="18"/>
                <w:szCs w:val="18"/>
              </w:rPr>
              <w:t>D2</w:t>
            </w:r>
            <w:r w:rsidRPr="00D94554">
              <w:rPr>
                <w:rFonts w:eastAsia="Times New Roman"/>
                <w:spacing w:val="43"/>
                <w:sz w:val="18"/>
                <w:szCs w:val="18"/>
              </w:rPr>
              <w:t xml:space="preserve"> </w:t>
            </w:r>
            <w:r w:rsidRPr="00D94554">
              <w:rPr>
                <w:rFonts w:ascii="宋体" w:hAnsi="宋体" w:cs="宋体" w:hint="eastAsia"/>
                <w:sz w:val="18"/>
                <w:szCs w:val="18"/>
              </w:rPr>
              <w:t>□</w:t>
            </w:r>
          </w:p>
        </w:tc>
        <w:tc>
          <w:tcPr>
            <w:tcW w:w="762" w:type="pct"/>
            <w:gridSpan w:val="2"/>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eastAsia="Times New Roman"/>
                <w:sz w:val="18"/>
                <w:szCs w:val="18"/>
              </w:rPr>
              <w:t>D3</w:t>
            </w:r>
            <w:r w:rsidRPr="00D94554">
              <w:rPr>
                <w:rFonts w:eastAsia="Times New Roman"/>
                <w:spacing w:val="43"/>
                <w:sz w:val="18"/>
                <w:szCs w:val="18"/>
              </w:rPr>
              <w:t xml:space="preserve"> </w:t>
            </w:r>
            <w:r w:rsidRPr="00D94554">
              <w:rPr>
                <w:rFonts w:ascii="宋体" w:hAnsi="宋体" w:cs="宋体" w:hint="eastAsia"/>
                <w:sz w:val="18"/>
                <w:szCs w:val="18"/>
              </w:rPr>
              <w:t>□</w:t>
            </w:r>
          </w:p>
        </w:tc>
      </w:tr>
      <w:tr w:rsidR="00D94554" w:rsidRPr="00D94554" w:rsidTr="00C66914">
        <w:trPr>
          <w:trHeight w:val="397"/>
          <w:jc w:val="center"/>
        </w:trPr>
        <w:tc>
          <w:tcPr>
            <w:tcW w:w="859" w:type="pct"/>
            <w:gridSpan w:val="2"/>
            <w:vMerge w:val="restart"/>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lang w:eastAsia="zh-CN"/>
              </w:rPr>
            </w:pPr>
            <w:r w:rsidRPr="00D94554">
              <w:rPr>
                <w:rFonts w:ascii="宋体" w:hAnsi="宋体" w:cs="宋体" w:hint="eastAsia"/>
                <w:sz w:val="18"/>
                <w:szCs w:val="18"/>
                <w:lang w:eastAsia="zh-CN"/>
              </w:rPr>
              <w:t>物质及工艺系统 危险性</w:t>
            </w:r>
          </w:p>
        </w:tc>
        <w:tc>
          <w:tcPr>
            <w:tcW w:w="499" w:type="pct"/>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eastAsia="Times New Roman"/>
                <w:i/>
                <w:sz w:val="18"/>
                <w:szCs w:val="18"/>
              </w:rPr>
              <w:t>Q</w:t>
            </w:r>
            <w:r w:rsidRPr="00D94554">
              <w:rPr>
                <w:rFonts w:eastAsia="Times New Roman"/>
                <w:i/>
                <w:spacing w:val="-1"/>
                <w:sz w:val="18"/>
                <w:szCs w:val="18"/>
              </w:rPr>
              <w:t xml:space="preserve"> </w:t>
            </w:r>
            <w:r w:rsidRPr="00D94554">
              <w:rPr>
                <w:rFonts w:ascii="宋体" w:hAnsi="宋体" w:cs="宋体" w:hint="eastAsia"/>
                <w:sz w:val="18"/>
                <w:szCs w:val="18"/>
              </w:rPr>
              <w:t>值</w:t>
            </w:r>
          </w:p>
        </w:tc>
        <w:tc>
          <w:tcPr>
            <w:tcW w:w="1300" w:type="pct"/>
            <w:gridSpan w:val="4"/>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eastAsia="Times New Roman"/>
                <w:i/>
                <w:sz w:val="18"/>
                <w:szCs w:val="18"/>
              </w:rPr>
              <w:t>Q</w:t>
            </w:r>
            <w:r w:rsidRPr="00D94554">
              <w:rPr>
                <w:rFonts w:ascii="宋体" w:hAnsi="宋体" w:cs="宋体" w:hint="eastAsia"/>
                <w:sz w:val="18"/>
                <w:szCs w:val="18"/>
              </w:rPr>
              <w:t>＜</w:t>
            </w:r>
            <w:r w:rsidRPr="00D94554">
              <w:rPr>
                <w:rFonts w:eastAsia="Times New Roman"/>
                <w:sz w:val="18"/>
                <w:szCs w:val="18"/>
              </w:rPr>
              <w:t>1</w:t>
            </w:r>
            <w:r w:rsidRPr="00D94554">
              <w:rPr>
                <w:rFonts w:eastAsia="Times New Roman"/>
                <w:spacing w:val="44"/>
                <w:sz w:val="18"/>
                <w:szCs w:val="18"/>
              </w:rPr>
              <w:t xml:space="preserve"> </w:t>
            </w:r>
            <w:r w:rsidRPr="00D94554">
              <w:rPr>
                <w:w w:val="99"/>
                <w:sz w:val="18"/>
              </w:rPr>
              <w:sym w:font="Wingdings" w:char="00FE"/>
            </w:r>
          </w:p>
        </w:tc>
        <w:tc>
          <w:tcPr>
            <w:tcW w:w="779" w:type="pct"/>
            <w:gridSpan w:val="3"/>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eastAsia="Times New Roman"/>
                <w:sz w:val="18"/>
                <w:szCs w:val="18"/>
              </w:rPr>
              <w:t>1</w:t>
            </w:r>
            <w:r w:rsidRPr="00D94554">
              <w:rPr>
                <w:rFonts w:ascii="宋体" w:hAnsi="宋体" w:cs="宋体" w:hint="eastAsia"/>
                <w:sz w:val="18"/>
                <w:szCs w:val="18"/>
              </w:rPr>
              <w:t>≤</w:t>
            </w:r>
            <w:r w:rsidRPr="00D94554">
              <w:rPr>
                <w:rFonts w:eastAsia="Times New Roman"/>
                <w:i/>
                <w:sz w:val="18"/>
                <w:szCs w:val="18"/>
              </w:rPr>
              <w:t>Q</w:t>
            </w:r>
            <w:r w:rsidRPr="00D94554">
              <w:rPr>
                <w:rFonts w:ascii="宋体" w:hAnsi="宋体" w:cs="宋体" w:hint="eastAsia"/>
                <w:sz w:val="18"/>
                <w:szCs w:val="18"/>
              </w:rPr>
              <w:t>＜</w:t>
            </w:r>
            <w:r w:rsidRPr="00D94554">
              <w:rPr>
                <w:rFonts w:eastAsia="Times New Roman"/>
                <w:sz w:val="18"/>
                <w:szCs w:val="18"/>
              </w:rPr>
              <w:t>10</w:t>
            </w:r>
            <w:r w:rsidRPr="00D94554">
              <w:rPr>
                <w:rFonts w:eastAsia="Times New Roman"/>
                <w:spacing w:val="44"/>
                <w:sz w:val="18"/>
                <w:szCs w:val="18"/>
              </w:rPr>
              <w:t xml:space="preserve"> </w:t>
            </w:r>
            <w:r w:rsidRPr="00D94554">
              <w:rPr>
                <w:rFonts w:ascii="宋体" w:hAnsi="宋体" w:cs="宋体" w:hint="eastAsia"/>
                <w:sz w:val="18"/>
                <w:szCs w:val="18"/>
              </w:rPr>
              <w:t>□</w:t>
            </w:r>
          </w:p>
        </w:tc>
        <w:tc>
          <w:tcPr>
            <w:tcW w:w="802" w:type="pct"/>
            <w:gridSpan w:val="3"/>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eastAsia="Times New Roman"/>
                <w:sz w:val="18"/>
                <w:szCs w:val="18"/>
              </w:rPr>
              <w:t>10</w:t>
            </w:r>
            <w:r w:rsidRPr="00D94554">
              <w:rPr>
                <w:rFonts w:ascii="宋体" w:hAnsi="宋体" w:cs="宋体" w:hint="eastAsia"/>
                <w:sz w:val="18"/>
                <w:szCs w:val="18"/>
              </w:rPr>
              <w:t>≤</w:t>
            </w:r>
            <w:r w:rsidRPr="00D94554">
              <w:rPr>
                <w:rFonts w:eastAsia="Times New Roman"/>
                <w:i/>
                <w:sz w:val="18"/>
                <w:szCs w:val="18"/>
              </w:rPr>
              <w:t>Q</w:t>
            </w:r>
            <w:r w:rsidRPr="00D94554">
              <w:rPr>
                <w:rFonts w:ascii="宋体" w:hAnsi="宋体" w:cs="宋体" w:hint="eastAsia"/>
                <w:sz w:val="18"/>
                <w:szCs w:val="18"/>
              </w:rPr>
              <w:t>＜</w:t>
            </w:r>
            <w:r w:rsidRPr="00D94554">
              <w:rPr>
                <w:rFonts w:eastAsia="Times New Roman"/>
                <w:sz w:val="18"/>
                <w:szCs w:val="18"/>
              </w:rPr>
              <w:t>100</w:t>
            </w:r>
            <w:r w:rsidRPr="00D94554">
              <w:rPr>
                <w:rFonts w:eastAsia="Times New Roman"/>
                <w:spacing w:val="44"/>
                <w:sz w:val="18"/>
                <w:szCs w:val="18"/>
              </w:rPr>
              <w:t xml:space="preserve"> </w:t>
            </w:r>
            <w:r w:rsidRPr="00D94554">
              <w:rPr>
                <w:rFonts w:ascii="宋体" w:hAnsi="宋体" w:cs="宋体" w:hint="eastAsia"/>
                <w:sz w:val="18"/>
                <w:szCs w:val="18"/>
              </w:rPr>
              <w:t>□</w:t>
            </w:r>
          </w:p>
        </w:tc>
        <w:tc>
          <w:tcPr>
            <w:tcW w:w="762" w:type="pct"/>
            <w:gridSpan w:val="2"/>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eastAsia="Times New Roman"/>
                <w:i/>
                <w:sz w:val="18"/>
                <w:szCs w:val="18"/>
              </w:rPr>
              <w:t>Q</w:t>
            </w:r>
            <w:r w:rsidRPr="00D94554">
              <w:rPr>
                <w:rFonts w:ascii="宋体" w:hAnsi="宋体" w:cs="宋体" w:hint="eastAsia"/>
                <w:sz w:val="18"/>
                <w:szCs w:val="18"/>
              </w:rPr>
              <w:t>＞</w:t>
            </w:r>
            <w:r w:rsidRPr="00D94554">
              <w:rPr>
                <w:rFonts w:eastAsia="Times New Roman"/>
                <w:sz w:val="18"/>
                <w:szCs w:val="18"/>
              </w:rPr>
              <w:t>100</w:t>
            </w:r>
            <w:r w:rsidRPr="00D94554">
              <w:rPr>
                <w:rFonts w:eastAsia="Times New Roman"/>
                <w:spacing w:val="44"/>
                <w:sz w:val="18"/>
                <w:szCs w:val="18"/>
              </w:rPr>
              <w:t xml:space="preserve"> </w:t>
            </w:r>
            <w:r w:rsidRPr="00D94554">
              <w:rPr>
                <w:rFonts w:ascii="宋体" w:hAnsi="宋体" w:cs="宋体" w:hint="eastAsia"/>
                <w:sz w:val="18"/>
                <w:szCs w:val="18"/>
              </w:rPr>
              <w:t>□</w:t>
            </w:r>
          </w:p>
        </w:tc>
      </w:tr>
      <w:tr w:rsidR="00D94554" w:rsidRPr="00D94554" w:rsidTr="00C66914">
        <w:trPr>
          <w:trHeight w:val="397"/>
          <w:jc w:val="center"/>
        </w:trPr>
        <w:tc>
          <w:tcPr>
            <w:tcW w:w="859" w:type="pct"/>
            <w:gridSpan w:val="2"/>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cs="宋体"/>
                <w:sz w:val="18"/>
                <w:szCs w:val="18"/>
              </w:rPr>
            </w:pPr>
          </w:p>
        </w:tc>
        <w:tc>
          <w:tcPr>
            <w:tcW w:w="499" w:type="pct"/>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eastAsia="Times New Roman"/>
                <w:sz w:val="18"/>
                <w:szCs w:val="18"/>
              </w:rPr>
              <w:t>M</w:t>
            </w:r>
            <w:r w:rsidRPr="00D94554">
              <w:rPr>
                <w:rFonts w:eastAsia="Times New Roman"/>
                <w:spacing w:val="-2"/>
                <w:sz w:val="18"/>
                <w:szCs w:val="18"/>
              </w:rPr>
              <w:t xml:space="preserve"> </w:t>
            </w:r>
            <w:r w:rsidRPr="00D94554">
              <w:rPr>
                <w:rFonts w:ascii="宋体" w:hAnsi="宋体" w:cs="宋体" w:hint="eastAsia"/>
                <w:sz w:val="18"/>
                <w:szCs w:val="18"/>
              </w:rPr>
              <w:t>值</w:t>
            </w:r>
          </w:p>
        </w:tc>
        <w:tc>
          <w:tcPr>
            <w:tcW w:w="1300" w:type="pct"/>
            <w:gridSpan w:val="4"/>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eastAsia="Times New Roman"/>
                <w:sz w:val="18"/>
                <w:szCs w:val="18"/>
              </w:rPr>
              <w:t>M1</w:t>
            </w:r>
            <w:r w:rsidRPr="00D94554">
              <w:rPr>
                <w:rFonts w:eastAsia="Times New Roman"/>
                <w:spacing w:val="43"/>
                <w:sz w:val="18"/>
                <w:szCs w:val="18"/>
              </w:rPr>
              <w:t xml:space="preserve"> </w:t>
            </w:r>
            <w:r w:rsidRPr="00D94554">
              <w:rPr>
                <w:rFonts w:ascii="宋体" w:hAnsi="宋体" w:cs="宋体" w:hint="eastAsia"/>
                <w:sz w:val="18"/>
                <w:szCs w:val="18"/>
              </w:rPr>
              <w:t>□</w:t>
            </w:r>
          </w:p>
        </w:tc>
        <w:tc>
          <w:tcPr>
            <w:tcW w:w="779" w:type="pct"/>
            <w:gridSpan w:val="3"/>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eastAsia="Times New Roman"/>
                <w:sz w:val="18"/>
                <w:szCs w:val="18"/>
              </w:rPr>
              <w:t>M2</w:t>
            </w:r>
            <w:r w:rsidRPr="00D94554">
              <w:rPr>
                <w:rFonts w:eastAsia="Times New Roman"/>
                <w:spacing w:val="43"/>
                <w:sz w:val="18"/>
                <w:szCs w:val="18"/>
              </w:rPr>
              <w:t xml:space="preserve"> </w:t>
            </w:r>
            <w:r w:rsidRPr="00D94554">
              <w:rPr>
                <w:rFonts w:ascii="宋体" w:hAnsi="宋体" w:cs="宋体" w:hint="eastAsia"/>
                <w:sz w:val="18"/>
                <w:szCs w:val="18"/>
              </w:rPr>
              <w:t>□</w:t>
            </w:r>
          </w:p>
        </w:tc>
        <w:tc>
          <w:tcPr>
            <w:tcW w:w="802" w:type="pct"/>
            <w:gridSpan w:val="3"/>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eastAsia="Times New Roman"/>
                <w:sz w:val="18"/>
                <w:szCs w:val="18"/>
              </w:rPr>
              <w:t>M3</w:t>
            </w:r>
            <w:r w:rsidRPr="00D94554">
              <w:rPr>
                <w:rFonts w:eastAsia="Times New Roman"/>
                <w:spacing w:val="43"/>
                <w:sz w:val="18"/>
                <w:szCs w:val="18"/>
              </w:rPr>
              <w:t xml:space="preserve"> </w:t>
            </w:r>
            <w:r w:rsidRPr="00D94554">
              <w:rPr>
                <w:rFonts w:ascii="宋体" w:hAnsi="宋体" w:cs="宋体" w:hint="eastAsia"/>
                <w:sz w:val="18"/>
                <w:szCs w:val="18"/>
              </w:rPr>
              <w:t>□</w:t>
            </w:r>
          </w:p>
        </w:tc>
        <w:tc>
          <w:tcPr>
            <w:tcW w:w="762" w:type="pct"/>
            <w:gridSpan w:val="2"/>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eastAsia="Times New Roman"/>
                <w:sz w:val="18"/>
                <w:szCs w:val="18"/>
              </w:rPr>
              <w:t>M4</w:t>
            </w:r>
            <w:r w:rsidRPr="00D94554">
              <w:rPr>
                <w:rFonts w:eastAsia="Times New Roman"/>
                <w:spacing w:val="43"/>
                <w:sz w:val="18"/>
                <w:szCs w:val="18"/>
              </w:rPr>
              <w:t xml:space="preserve"> </w:t>
            </w:r>
            <w:r w:rsidRPr="00D94554">
              <w:rPr>
                <w:rFonts w:ascii="宋体" w:hAnsi="宋体" w:cs="宋体" w:hint="eastAsia"/>
                <w:sz w:val="18"/>
                <w:szCs w:val="18"/>
              </w:rPr>
              <w:t>□</w:t>
            </w:r>
          </w:p>
        </w:tc>
      </w:tr>
      <w:tr w:rsidR="00D94554" w:rsidRPr="00D94554" w:rsidTr="00C66914">
        <w:trPr>
          <w:trHeight w:val="397"/>
          <w:jc w:val="center"/>
        </w:trPr>
        <w:tc>
          <w:tcPr>
            <w:tcW w:w="859" w:type="pct"/>
            <w:gridSpan w:val="2"/>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cs="宋体"/>
                <w:sz w:val="18"/>
                <w:szCs w:val="18"/>
              </w:rPr>
            </w:pPr>
          </w:p>
        </w:tc>
        <w:tc>
          <w:tcPr>
            <w:tcW w:w="499" w:type="pct"/>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eastAsia="Times New Roman"/>
                <w:sz w:val="18"/>
                <w:szCs w:val="18"/>
              </w:rPr>
              <w:t>P</w:t>
            </w:r>
            <w:r w:rsidRPr="00D94554">
              <w:rPr>
                <w:rFonts w:eastAsia="Times New Roman"/>
                <w:spacing w:val="-2"/>
                <w:sz w:val="18"/>
                <w:szCs w:val="18"/>
              </w:rPr>
              <w:t xml:space="preserve"> </w:t>
            </w:r>
            <w:r w:rsidRPr="00D94554">
              <w:rPr>
                <w:rFonts w:ascii="宋体" w:hAnsi="宋体" w:cs="宋体" w:hint="eastAsia"/>
                <w:sz w:val="18"/>
                <w:szCs w:val="18"/>
              </w:rPr>
              <w:t>值</w:t>
            </w:r>
          </w:p>
        </w:tc>
        <w:tc>
          <w:tcPr>
            <w:tcW w:w="1300" w:type="pct"/>
            <w:gridSpan w:val="4"/>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eastAsia="Times New Roman"/>
                <w:sz w:val="18"/>
                <w:szCs w:val="18"/>
              </w:rPr>
              <w:t>P1</w:t>
            </w:r>
            <w:r w:rsidRPr="00D94554">
              <w:rPr>
                <w:rFonts w:eastAsia="Times New Roman"/>
                <w:spacing w:val="43"/>
                <w:sz w:val="18"/>
                <w:szCs w:val="18"/>
              </w:rPr>
              <w:t xml:space="preserve"> </w:t>
            </w:r>
            <w:r w:rsidRPr="00D94554">
              <w:rPr>
                <w:rFonts w:ascii="宋体" w:hAnsi="宋体" w:cs="宋体" w:hint="eastAsia"/>
                <w:sz w:val="18"/>
                <w:szCs w:val="18"/>
              </w:rPr>
              <w:t>□</w:t>
            </w:r>
          </w:p>
        </w:tc>
        <w:tc>
          <w:tcPr>
            <w:tcW w:w="779" w:type="pct"/>
            <w:gridSpan w:val="3"/>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eastAsia="Times New Roman"/>
                <w:sz w:val="18"/>
                <w:szCs w:val="18"/>
              </w:rPr>
              <w:t>P2</w:t>
            </w:r>
            <w:r w:rsidRPr="00D94554">
              <w:rPr>
                <w:rFonts w:eastAsia="Times New Roman"/>
                <w:spacing w:val="43"/>
                <w:sz w:val="18"/>
                <w:szCs w:val="18"/>
              </w:rPr>
              <w:t xml:space="preserve"> </w:t>
            </w:r>
            <w:r w:rsidRPr="00D94554">
              <w:rPr>
                <w:rFonts w:ascii="宋体" w:hAnsi="宋体" w:cs="宋体" w:hint="eastAsia"/>
                <w:sz w:val="18"/>
                <w:szCs w:val="18"/>
              </w:rPr>
              <w:t>□</w:t>
            </w:r>
          </w:p>
        </w:tc>
        <w:tc>
          <w:tcPr>
            <w:tcW w:w="802" w:type="pct"/>
            <w:gridSpan w:val="3"/>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eastAsia="Times New Roman"/>
                <w:sz w:val="18"/>
                <w:szCs w:val="18"/>
              </w:rPr>
              <w:t>P3</w:t>
            </w:r>
            <w:r w:rsidRPr="00D94554">
              <w:rPr>
                <w:rFonts w:eastAsia="Times New Roman"/>
                <w:spacing w:val="43"/>
                <w:sz w:val="18"/>
                <w:szCs w:val="18"/>
              </w:rPr>
              <w:t xml:space="preserve"> </w:t>
            </w:r>
            <w:r w:rsidRPr="00D94554">
              <w:rPr>
                <w:rFonts w:ascii="宋体" w:hAnsi="宋体" w:cs="宋体" w:hint="eastAsia"/>
                <w:sz w:val="18"/>
                <w:szCs w:val="18"/>
              </w:rPr>
              <w:t>□</w:t>
            </w:r>
          </w:p>
        </w:tc>
        <w:tc>
          <w:tcPr>
            <w:tcW w:w="762" w:type="pct"/>
            <w:gridSpan w:val="2"/>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eastAsia="Times New Roman"/>
                <w:sz w:val="18"/>
                <w:szCs w:val="18"/>
              </w:rPr>
              <w:t>P4</w:t>
            </w:r>
            <w:r w:rsidRPr="00D94554">
              <w:rPr>
                <w:rFonts w:eastAsia="Times New Roman"/>
                <w:spacing w:val="43"/>
                <w:sz w:val="18"/>
                <w:szCs w:val="18"/>
              </w:rPr>
              <w:t xml:space="preserve"> </w:t>
            </w:r>
            <w:r w:rsidRPr="00D94554">
              <w:rPr>
                <w:rFonts w:ascii="宋体" w:hAnsi="宋体" w:cs="宋体" w:hint="eastAsia"/>
                <w:sz w:val="18"/>
                <w:szCs w:val="18"/>
              </w:rPr>
              <w:t>□</w:t>
            </w:r>
          </w:p>
        </w:tc>
      </w:tr>
      <w:tr w:rsidR="00D94554" w:rsidRPr="00D94554" w:rsidTr="00C66914">
        <w:trPr>
          <w:trHeight w:val="397"/>
          <w:jc w:val="center"/>
        </w:trPr>
        <w:tc>
          <w:tcPr>
            <w:tcW w:w="859" w:type="pct"/>
            <w:gridSpan w:val="2"/>
            <w:vMerge w:val="restart"/>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环境敏感 程度</w:t>
            </w:r>
          </w:p>
        </w:tc>
        <w:tc>
          <w:tcPr>
            <w:tcW w:w="499" w:type="pct"/>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大气</w:t>
            </w:r>
          </w:p>
        </w:tc>
        <w:tc>
          <w:tcPr>
            <w:tcW w:w="1300" w:type="pct"/>
            <w:gridSpan w:val="4"/>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eastAsia="Times New Roman"/>
                <w:sz w:val="18"/>
                <w:szCs w:val="18"/>
              </w:rPr>
              <w:t>E1</w:t>
            </w:r>
            <w:r w:rsidRPr="00D94554">
              <w:rPr>
                <w:rFonts w:eastAsia="Times New Roman"/>
                <w:spacing w:val="44"/>
                <w:sz w:val="18"/>
                <w:szCs w:val="18"/>
              </w:rPr>
              <w:t xml:space="preserve"> </w:t>
            </w:r>
            <w:r w:rsidRPr="00D94554">
              <w:rPr>
                <w:rFonts w:ascii="宋体" w:hAnsi="宋体" w:cs="宋体" w:hint="eastAsia"/>
                <w:sz w:val="18"/>
                <w:szCs w:val="18"/>
              </w:rPr>
              <w:t>□</w:t>
            </w:r>
          </w:p>
        </w:tc>
        <w:tc>
          <w:tcPr>
            <w:tcW w:w="1135" w:type="pct"/>
            <w:gridSpan w:val="4"/>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eastAsia="Times New Roman"/>
                <w:sz w:val="18"/>
                <w:szCs w:val="18"/>
              </w:rPr>
              <w:t>E2</w:t>
            </w:r>
            <w:r w:rsidRPr="00D94554">
              <w:rPr>
                <w:rFonts w:eastAsia="Times New Roman"/>
                <w:spacing w:val="44"/>
                <w:sz w:val="18"/>
                <w:szCs w:val="18"/>
              </w:rPr>
              <w:t xml:space="preserve"> </w:t>
            </w:r>
            <w:r w:rsidRPr="00D94554">
              <w:rPr>
                <w:rFonts w:ascii="宋体" w:hAnsi="宋体" w:cs="宋体" w:hint="eastAsia"/>
                <w:sz w:val="18"/>
                <w:szCs w:val="18"/>
              </w:rPr>
              <w:t>□</w:t>
            </w:r>
          </w:p>
        </w:tc>
        <w:tc>
          <w:tcPr>
            <w:tcW w:w="1208" w:type="pct"/>
            <w:gridSpan w:val="4"/>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eastAsia="Times New Roman"/>
                <w:sz w:val="18"/>
                <w:szCs w:val="18"/>
              </w:rPr>
              <w:t>E3</w:t>
            </w:r>
            <w:r w:rsidRPr="00D94554">
              <w:rPr>
                <w:rFonts w:eastAsia="Times New Roman"/>
                <w:spacing w:val="44"/>
                <w:sz w:val="18"/>
                <w:szCs w:val="18"/>
              </w:rPr>
              <w:t xml:space="preserve"> </w:t>
            </w:r>
            <w:r w:rsidRPr="00D94554">
              <w:rPr>
                <w:rFonts w:ascii="宋体" w:hAnsi="宋体" w:cs="宋体" w:hint="eastAsia"/>
                <w:sz w:val="18"/>
                <w:szCs w:val="18"/>
              </w:rPr>
              <w:t>□</w:t>
            </w:r>
          </w:p>
        </w:tc>
      </w:tr>
      <w:tr w:rsidR="00D94554" w:rsidRPr="00D94554" w:rsidTr="00C66914">
        <w:trPr>
          <w:trHeight w:val="397"/>
          <w:jc w:val="center"/>
        </w:trPr>
        <w:tc>
          <w:tcPr>
            <w:tcW w:w="859" w:type="pct"/>
            <w:gridSpan w:val="2"/>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cs="宋体"/>
                <w:sz w:val="18"/>
                <w:szCs w:val="18"/>
              </w:rPr>
            </w:pPr>
          </w:p>
        </w:tc>
        <w:tc>
          <w:tcPr>
            <w:tcW w:w="499" w:type="pct"/>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地表水</w:t>
            </w:r>
          </w:p>
        </w:tc>
        <w:tc>
          <w:tcPr>
            <w:tcW w:w="1300" w:type="pct"/>
            <w:gridSpan w:val="4"/>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eastAsia="Times New Roman"/>
                <w:sz w:val="18"/>
                <w:szCs w:val="18"/>
              </w:rPr>
              <w:t>E1</w:t>
            </w:r>
            <w:r w:rsidRPr="00D94554">
              <w:rPr>
                <w:rFonts w:eastAsia="Times New Roman"/>
                <w:spacing w:val="44"/>
                <w:sz w:val="18"/>
                <w:szCs w:val="18"/>
              </w:rPr>
              <w:t xml:space="preserve"> </w:t>
            </w:r>
            <w:r w:rsidRPr="00D94554">
              <w:rPr>
                <w:rFonts w:ascii="宋体" w:hAnsi="宋体" w:cs="宋体" w:hint="eastAsia"/>
                <w:sz w:val="18"/>
                <w:szCs w:val="18"/>
              </w:rPr>
              <w:t>□</w:t>
            </w:r>
          </w:p>
        </w:tc>
        <w:tc>
          <w:tcPr>
            <w:tcW w:w="1135" w:type="pct"/>
            <w:gridSpan w:val="4"/>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eastAsia="Times New Roman"/>
                <w:sz w:val="18"/>
                <w:szCs w:val="18"/>
              </w:rPr>
              <w:t>E2</w:t>
            </w:r>
            <w:r w:rsidRPr="00D94554">
              <w:rPr>
                <w:rFonts w:eastAsia="Times New Roman"/>
                <w:spacing w:val="44"/>
                <w:sz w:val="18"/>
                <w:szCs w:val="18"/>
              </w:rPr>
              <w:t xml:space="preserve"> </w:t>
            </w:r>
            <w:r w:rsidRPr="00D94554">
              <w:rPr>
                <w:rFonts w:ascii="宋体" w:hAnsi="宋体" w:cs="宋体" w:hint="eastAsia"/>
                <w:sz w:val="18"/>
                <w:szCs w:val="18"/>
              </w:rPr>
              <w:t>□</w:t>
            </w:r>
          </w:p>
        </w:tc>
        <w:tc>
          <w:tcPr>
            <w:tcW w:w="1208" w:type="pct"/>
            <w:gridSpan w:val="4"/>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eastAsia="Times New Roman"/>
                <w:sz w:val="18"/>
                <w:szCs w:val="18"/>
              </w:rPr>
              <w:t>E3</w:t>
            </w:r>
            <w:r w:rsidRPr="00D94554">
              <w:rPr>
                <w:rFonts w:eastAsia="Times New Roman"/>
                <w:spacing w:val="44"/>
                <w:sz w:val="18"/>
                <w:szCs w:val="18"/>
              </w:rPr>
              <w:t xml:space="preserve"> </w:t>
            </w:r>
            <w:r w:rsidRPr="00D94554">
              <w:rPr>
                <w:rFonts w:ascii="宋体" w:hAnsi="宋体" w:cs="宋体" w:hint="eastAsia"/>
                <w:sz w:val="18"/>
                <w:szCs w:val="18"/>
              </w:rPr>
              <w:t>□</w:t>
            </w:r>
          </w:p>
        </w:tc>
      </w:tr>
      <w:tr w:rsidR="00D94554" w:rsidRPr="00D94554" w:rsidTr="00C66914">
        <w:trPr>
          <w:trHeight w:val="397"/>
          <w:jc w:val="center"/>
        </w:trPr>
        <w:tc>
          <w:tcPr>
            <w:tcW w:w="859" w:type="pct"/>
            <w:gridSpan w:val="2"/>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cs="宋体"/>
                <w:sz w:val="18"/>
                <w:szCs w:val="18"/>
              </w:rPr>
            </w:pPr>
          </w:p>
        </w:tc>
        <w:tc>
          <w:tcPr>
            <w:tcW w:w="499" w:type="pct"/>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地下水</w:t>
            </w:r>
          </w:p>
        </w:tc>
        <w:tc>
          <w:tcPr>
            <w:tcW w:w="1300" w:type="pct"/>
            <w:gridSpan w:val="4"/>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eastAsia="Times New Roman"/>
                <w:sz w:val="18"/>
                <w:szCs w:val="18"/>
              </w:rPr>
              <w:t>E1</w:t>
            </w:r>
            <w:r w:rsidRPr="00D94554">
              <w:rPr>
                <w:rFonts w:eastAsia="Times New Roman"/>
                <w:spacing w:val="44"/>
                <w:sz w:val="18"/>
                <w:szCs w:val="18"/>
              </w:rPr>
              <w:t xml:space="preserve"> </w:t>
            </w:r>
            <w:r w:rsidRPr="00D94554">
              <w:rPr>
                <w:rFonts w:ascii="宋体" w:hAnsi="宋体" w:cs="宋体" w:hint="eastAsia"/>
                <w:sz w:val="18"/>
                <w:szCs w:val="18"/>
              </w:rPr>
              <w:t>□</w:t>
            </w:r>
          </w:p>
        </w:tc>
        <w:tc>
          <w:tcPr>
            <w:tcW w:w="1135" w:type="pct"/>
            <w:gridSpan w:val="4"/>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eastAsia="Times New Roman"/>
                <w:sz w:val="18"/>
                <w:szCs w:val="18"/>
              </w:rPr>
              <w:t>E2</w:t>
            </w:r>
            <w:r w:rsidRPr="00D94554">
              <w:rPr>
                <w:rFonts w:eastAsia="Times New Roman"/>
                <w:spacing w:val="44"/>
                <w:sz w:val="18"/>
                <w:szCs w:val="18"/>
              </w:rPr>
              <w:t xml:space="preserve"> </w:t>
            </w:r>
            <w:r w:rsidRPr="00D94554">
              <w:rPr>
                <w:rFonts w:ascii="宋体" w:hAnsi="宋体" w:cs="宋体" w:hint="eastAsia"/>
                <w:sz w:val="18"/>
                <w:szCs w:val="18"/>
              </w:rPr>
              <w:t>□</w:t>
            </w:r>
          </w:p>
        </w:tc>
        <w:tc>
          <w:tcPr>
            <w:tcW w:w="1208" w:type="pct"/>
            <w:gridSpan w:val="4"/>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eastAsia="Times New Roman"/>
                <w:sz w:val="18"/>
                <w:szCs w:val="18"/>
              </w:rPr>
              <w:t>E3</w:t>
            </w:r>
            <w:r w:rsidRPr="00D94554">
              <w:rPr>
                <w:rFonts w:eastAsia="Times New Roman"/>
                <w:spacing w:val="44"/>
                <w:sz w:val="18"/>
                <w:szCs w:val="18"/>
              </w:rPr>
              <w:t xml:space="preserve"> </w:t>
            </w:r>
            <w:r w:rsidRPr="00D94554">
              <w:rPr>
                <w:rFonts w:ascii="宋体" w:hAnsi="宋体" w:cs="宋体" w:hint="eastAsia"/>
                <w:sz w:val="18"/>
                <w:szCs w:val="18"/>
              </w:rPr>
              <w:t>□</w:t>
            </w:r>
          </w:p>
        </w:tc>
      </w:tr>
      <w:tr w:rsidR="00D94554" w:rsidRPr="00D94554" w:rsidTr="00C66914">
        <w:trPr>
          <w:trHeight w:val="397"/>
          <w:jc w:val="center"/>
        </w:trPr>
        <w:tc>
          <w:tcPr>
            <w:tcW w:w="859" w:type="pct"/>
            <w:gridSpan w:val="2"/>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环境风险潜势</w:t>
            </w:r>
          </w:p>
        </w:tc>
        <w:tc>
          <w:tcPr>
            <w:tcW w:w="646" w:type="pct"/>
            <w:gridSpan w:val="2"/>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Ⅳ</w:t>
            </w:r>
            <w:r w:rsidRPr="00D94554">
              <w:rPr>
                <w:rFonts w:eastAsia="Times New Roman"/>
                <w:position w:val="8"/>
                <w:sz w:val="18"/>
                <w:szCs w:val="18"/>
              </w:rPr>
              <w:t xml:space="preserve">+ </w:t>
            </w:r>
            <w:r w:rsidRPr="00D94554">
              <w:rPr>
                <w:rFonts w:eastAsia="Times New Roman"/>
                <w:spacing w:val="29"/>
                <w:position w:val="8"/>
                <w:sz w:val="18"/>
                <w:szCs w:val="18"/>
              </w:rPr>
              <w:t xml:space="preserve"> </w:t>
            </w:r>
            <w:r w:rsidRPr="00D94554">
              <w:rPr>
                <w:rFonts w:ascii="宋体" w:hAnsi="宋体" w:cs="宋体" w:hint="eastAsia"/>
                <w:sz w:val="18"/>
                <w:szCs w:val="18"/>
              </w:rPr>
              <w:t>□</w:t>
            </w:r>
          </w:p>
        </w:tc>
        <w:tc>
          <w:tcPr>
            <w:tcW w:w="1153" w:type="pct"/>
            <w:gridSpan w:val="3"/>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Ⅳ □</w:t>
            </w:r>
          </w:p>
        </w:tc>
        <w:tc>
          <w:tcPr>
            <w:tcW w:w="779" w:type="pct"/>
            <w:gridSpan w:val="3"/>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Ⅲ □</w:t>
            </w:r>
          </w:p>
        </w:tc>
        <w:tc>
          <w:tcPr>
            <w:tcW w:w="802" w:type="pct"/>
            <w:gridSpan w:val="3"/>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Ⅱ □</w:t>
            </w:r>
          </w:p>
        </w:tc>
        <w:tc>
          <w:tcPr>
            <w:tcW w:w="762" w:type="pct"/>
            <w:gridSpan w:val="2"/>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eastAsia="Times New Roman"/>
                <w:sz w:val="18"/>
                <w:szCs w:val="18"/>
              </w:rPr>
              <w:t xml:space="preserve">I </w:t>
            </w:r>
            <w:r w:rsidRPr="00D94554">
              <w:rPr>
                <w:w w:val="99"/>
                <w:sz w:val="18"/>
              </w:rPr>
              <w:sym w:font="Wingdings" w:char="00FE"/>
            </w:r>
          </w:p>
        </w:tc>
      </w:tr>
      <w:tr w:rsidR="00D94554" w:rsidRPr="00D94554" w:rsidTr="00C66914">
        <w:trPr>
          <w:trHeight w:val="397"/>
          <w:jc w:val="center"/>
        </w:trPr>
        <w:tc>
          <w:tcPr>
            <w:tcW w:w="859" w:type="pct"/>
            <w:gridSpan w:val="2"/>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评价等级</w:t>
            </w:r>
          </w:p>
        </w:tc>
        <w:tc>
          <w:tcPr>
            <w:tcW w:w="1799" w:type="pct"/>
            <w:gridSpan w:val="5"/>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一级 □</w:t>
            </w:r>
          </w:p>
        </w:tc>
        <w:tc>
          <w:tcPr>
            <w:tcW w:w="779" w:type="pct"/>
            <w:gridSpan w:val="3"/>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二级 □</w:t>
            </w:r>
          </w:p>
        </w:tc>
        <w:tc>
          <w:tcPr>
            <w:tcW w:w="802" w:type="pct"/>
            <w:gridSpan w:val="3"/>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三级 □</w:t>
            </w:r>
          </w:p>
        </w:tc>
        <w:tc>
          <w:tcPr>
            <w:tcW w:w="762" w:type="pct"/>
            <w:gridSpan w:val="2"/>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简单分析</w:t>
            </w:r>
            <w:r w:rsidRPr="00D94554">
              <w:rPr>
                <w:w w:val="99"/>
                <w:sz w:val="18"/>
              </w:rPr>
              <w:sym w:font="Wingdings" w:char="00FE"/>
            </w:r>
          </w:p>
        </w:tc>
      </w:tr>
      <w:tr w:rsidR="00D94554" w:rsidRPr="00D94554" w:rsidTr="00C66914">
        <w:trPr>
          <w:trHeight w:val="397"/>
          <w:jc w:val="center"/>
        </w:trPr>
        <w:tc>
          <w:tcPr>
            <w:tcW w:w="168" w:type="pct"/>
            <w:vMerge w:val="restart"/>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风 险 识 别</w:t>
            </w:r>
          </w:p>
        </w:tc>
        <w:tc>
          <w:tcPr>
            <w:tcW w:w="691" w:type="pct"/>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物质危险性</w:t>
            </w:r>
          </w:p>
        </w:tc>
        <w:tc>
          <w:tcPr>
            <w:tcW w:w="2130" w:type="pct"/>
            <w:gridSpan w:val="6"/>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 xml:space="preserve">有毒有害 </w:t>
            </w:r>
            <w:r w:rsidRPr="00D94554">
              <w:rPr>
                <w:w w:val="99"/>
                <w:sz w:val="18"/>
              </w:rPr>
              <w:sym w:font="Wingdings" w:char="00FE"/>
            </w:r>
          </w:p>
        </w:tc>
        <w:tc>
          <w:tcPr>
            <w:tcW w:w="2012" w:type="pct"/>
            <w:gridSpan w:val="7"/>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易燃易爆</w:t>
            </w:r>
            <w:r w:rsidRPr="00D94554">
              <w:rPr>
                <w:w w:val="99"/>
                <w:sz w:val="18"/>
              </w:rPr>
              <w:sym w:font="Wingdings" w:char="00FE"/>
            </w:r>
          </w:p>
        </w:tc>
      </w:tr>
      <w:tr w:rsidR="00D94554" w:rsidRPr="00D94554" w:rsidTr="00C66914">
        <w:trPr>
          <w:trHeight w:val="397"/>
          <w:jc w:val="center"/>
        </w:trPr>
        <w:tc>
          <w:tcPr>
            <w:tcW w:w="168" w:type="pct"/>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cs="宋体"/>
                <w:sz w:val="18"/>
                <w:szCs w:val="18"/>
              </w:rPr>
            </w:pPr>
          </w:p>
        </w:tc>
        <w:tc>
          <w:tcPr>
            <w:tcW w:w="691" w:type="pct"/>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环境风险类型</w:t>
            </w:r>
          </w:p>
        </w:tc>
        <w:tc>
          <w:tcPr>
            <w:tcW w:w="1799" w:type="pct"/>
            <w:gridSpan w:val="5"/>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 xml:space="preserve">泄漏 </w:t>
            </w:r>
            <w:r w:rsidRPr="00D94554">
              <w:rPr>
                <w:w w:val="99"/>
                <w:sz w:val="18"/>
              </w:rPr>
              <w:sym w:font="Wingdings" w:char="00FE"/>
            </w:r>
          </w:p>
        </w:tc>
        <w:tc>
          <w:tcPr>
            <w:tcW w:w="2343" w:type="pct"/>
            <w:gridSpan w:val="8"/>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lang w:eastAsia="zh-CN"/>
              </w:rPr>
            </w:pPr>
            <w:r w:rsidRPr="00D94554">
              <w:rPr>
                <w:rFonts w:ascii="宋体" w:hAnsi="宋体" w:cs="宋体" w:hint="eastAsia"/>
                <w:sz w:val="18"/>
                <w:szCs w:val="18"/>
                <w:lang w:eastAsia="zh-CN"/>
              </w:rPr>
              <w:t>火灾、爆炸引发伴生</w:t>
            </w:r>
            <w:r w:rsidRPr="00D94554">
              <w:rPr>
                <w:rFonts w:eastAsia="Times New Roman"/>
                <w:sz w:val="18"/>
                <w:szCs w:val="18"/>
                <w:lang w:eastAsia="zh-CN"/>
              </w:rPr>
              <w:t>/</w:t>
            </w:r>
            <w:r w:rsidRPr="00D94554">
              <w:rPr>
                <w:rFonts w:ascii="宋体" w:hAnsi="宋体" w:cs="宋体" w:hint="eastAsia"/>
                <w:sz w:val="18"/>
                <w:szCs w:val="18"/>
                <w:lang w:eastAsia="zh-CN"/>
              </w:rPr>
              <w:t>次生污染物排放 □</w:t>
            </w:r>
          </w:p>
        </w:tc>
      </w:tr>
      <w:tr w:rsidR="00D94554" w:rsidRPr="00D94554" w:rsidTr="00C66914">
        <w:trPr>
          <w:trHeight w:val="397"/>
          <w:jc w:val="center"/>
        </w:trPr>
        <w:tc>
          <w:tcPr>
            <w:tcW w:w="168" w:type="pct"/>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cs="宋体"/>
                <w:sz w:val="18"/>
                <w:szCs w:val="18"/>
                <w:lang w:eastAsia="zh-CN"/>
              </w:rPr>
            </w:pPr>
          </w:p>
        </w:tc>
        <w:tc>
          <w:tcPr>
            <w:tcW w:w="691" w:type="pct"/>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影响途径</w:t>
            </w:r>
          </w:p>
        </w:tc>
        <w:tc>
          <w:tcPr>
            <w:tcW w:w="1799" w:type="pct"/>
            <w:gridSpan w:val="5"/>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 xml:space="preserve">大气 </w:t>
            </w:r>
            <w:r w:rsidRPr="00D94554">
              <w:rPr>
                <w:w w:val="99"/>
                <w:sz w:val="18"/>
              </w:rPr>
              <w:sym w:font="Wingdings" w:char="00FE"/>
            </w:r>
          </w:p>
        </w:tc>
        <w:tc>
          <w:tcPr>
            <w:tcW w:w="1135" w:type="pct"/>
            <w:gridSpan w:val="4"/>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地表水 □</w:t>
            </w:r>
          </w:p>
        </w:tc>
        <w:tc>
          <w:tcPr>
            <w:tcW w:w="1208" w:type="pct"/>
            <w:gridSpan w:val="4"/>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地下水 □</w:t>
            </w:r>
          </w:p>
        </w:tc>
      </w:tr>
      <w:tr w:rsidR="00D94554" w:rsidRPr="00D94554" w:rsidTr="00C66914">
        <w:trPr>
          <w:trHeight w:val="397"/>
          <w:jc w:val="center"/>
        </w:trPr>
        <w:tc>
          <w:tcPr>
            <w:tcW w:w="859" w:type="pct"/>
            <w:gridSpan w:val="2"/>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事故情形分析</w:t>
            </w:r>
          </w:p>
        </w:tc>
        <w:tc>
          <w:tcPr>
            <w:tcW w:w="646" w:type="pct"/>
            <w:gridSpan w:val="2"/>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源强设定方法</w:t>
            </w:r>
          </w:p>
        </w:tc>
        <w:tc>
          <w:tcPr>
            <w:tcW w:w="1153" w:type="pct"/>
            <w:gridSpan w:val="3"/>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计算法 □</w:t>
            </w:r>
          </w:p>
        </w:tc>
        <w:tc>
          <w:tcPr>
            <w:tcW w:w="1135" w:type="pct"/>
            <w:gridSpan w:val="4"/>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经验估算法 □</w:t>
            </w:r>
          </w:p>
        </w:tc>
        <w:tc>
          <w:tcPr>
            <w:tcW w:w="1208" w:type="pct"/>
            <w:gridSpan w:val="4"/>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其他估算法 □</w:t>
            </w:r>
          </w:p>
        </w:tc>
      </w:tr>
      <w:tr w:rsidR="00D94554" w:rsidRPr="00D94554" w:rsidTr="00C66914">
        <w:trPr>
          <w:trHeight w:val="397"/>
          <w:jc w:val="center"/>
        </w:trPr>
        <w:tc>
          <w:tcPr>
            <w:tcW w:w="168" w:type="pct"/>
            <w:vMerge w:val="restart"/>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风 险 预 测 与 评 价</w:t>
            </w:r>
          </w:p>
        </w:tc>
        <w:tc>
          <w:tcPr>
            <w:tcW w:w="691" w:type="pct"/>
            <w:vMerge w:val="restart"/>
            <w:vAlign w:val="center"/>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大气</w:t>
            </w:r>
          </w:p>
        </w:tc>
        <w:tc>
          <w:tcPr>
            <w:tcW w:w="646" w:type="pct"/>
            <w:gridSpan w:val="2"/>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预测模型</w:t>
            </w:r>
          </w:p>
        </w:tc>
        <w:tc>
          <w:tcPr>
            <w:tcW w:w="1153" w:type="pct"/>
            <w:gridSpan w:val="3"/>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eastAsia="Times New Roman"/>
                <w:sz w:val="18"/>
                <w:szCs w:val="18"/>
              </w:rPr>
              <w:t>SLAB</w:t>
            </w:r>
            <w:r w:rsidRPr="00D94554">
              <w:rPr>
                <w:rFonts w:eastAsia="Times New Roman"/>
                <w:spacing w:val="42"/>
                <w:sz w:val="18"/>
                <w:szCs w:val="18"/>
              </w:rPr>
              <w:t xml:space="preserve"> </w:t>
            </w:r>
            <w:r w:rsidRPr="00D94554">
              <w:rPr>
                <w:rFonts w:ascii="宋体" w:hAnsi="宋体" w:cs="宋体" w:hint="eastAsia"/>
                <w:sz w:val="18"/>
                <w:szCs w:val="18"/>
              </w:rPr>
              <w:t>□</w:t>
            </w:r>
          </w:p>
        </w:tc>
        <w:tc>
          <w:tcPr>
            <w:tcW w:w="1135" w:type="pct"/>
            <w:gridSpan w:val="4"/>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eastAsia="Times New Roman"/>
                <w:sz w:val="18"/>
                <w:szCs w:val="18"/>
              </w:rPr>
              <w:t>AFTOX</w:t>
            </w:r>
            <w:r w:rsidRPr="00D94554">
              <w:rPr>
                <w:rFonts w:eastAsia="Times New Roman"/>
                <w:spacing w:val="37"/>
                <w:sz w:val="18"/>
                <w:szCs w:val="18"/>
              </w:rPr>
              <w:t xml:space="preserve"> </w:t>
            </w:r>
            <w:r w:rsidRPr="00D94554">
              <w:rPr>
                <w:rFonts w:ascii="宋体" w:hAnsi="宋体" w:cs="宋体" w:hint="eastAsia"/>
                <w:sz w:val="18"/>
                <w:szCs w:val="18"/>
              </w:rPr>
              <w:t>□</w:t>
            </w:r>
          </w:p>
        </w:tc>
        <w:tc>
          <w:tcPr>
            <w:tcW w:w="1208" w:type="pct"/>
            <w:gridSpan w:val="4"/>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其他 □</w:t>
            </w:r>
          </w:p>
        </w:tc>
      </w:tr>
      <w:tr w:rsidR="00D94554" w:rsidRPr="00D94554" w:rsidTr="00C66914">
        <w:trPr>
          <w:trHeight w:val="397"/>
          <w:jc w:val="center"/>
        </w:trPr>
        <w:tc>
          <w:tcPr>
            <w:tcW w:w="168" w:type="pct"/>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cs="宋体"/>
                <w:sz w:val="18"/>
                <w:szCs w:val="18"/>
              </w:rPr>
            </w:pPr>
          </w:p>
        </w:tc>
        <w:tc>
          <w:tcPr>
            <w:tcW w:w="691" w:type="pct"/>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cs="宋体"/>
                <w:sz w:val="18"/>
                <w:szCs w:val="18"/>
              </w:rPr>
            </w:pPr>
          </w:p>
        </w:tc>
        <w:tc>
          <w:tcPr>
            <w:tcW w:w="646" w:type="pct"/>
            <w:gridSpan w:val="2"/>
            <w:vMerge w:val="restart"/>
            <w:vAlign w:val="center"/>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预测结果</w:t>
            </w:r>
          </w:p>
        </w:tc>
        <w:tc>
          <w:tcPr>
            <w:tcW w:w="3496" w:type="pct"/>
            <w:gridSpan w:val="11"/>
            <w:vAlign w:val="center"/>
            <w:hideMark/>
          </w:tcPr>
          <w:p w:rsidR="00D94554" w:rsidRPr="00D94554" w:rsidRDefault="00D94554" w:rsidP="00D94554">
            <w:pPr>
              <w:tabs>
                <w:tab w:val="left" w:pos="4612"/>
              </w:tabs>
              <w:adjustRightInd/>
              <w:snapToGrid/>
              <w:spacing w:line="240" w:lineRule="auto"/>
              <w:ind w:firstLineChars="0" w:firstLine="0"/>
              <w:jc w:val="center"/>
              <w:textAlignment w:val="auto"/>
              <w:rPr>
                <w:rFonts w:eastAsia="Times New Roman"/>
                <w:sz w:val="18"/>
                <w:szCs w:val="18"/>
                <w:lang w:eastAsia="zh-CN"/>
              </w:rPr>
            </w:pPr>
            <w:r w:rsidRPr="00D94554">
              <w:rPr>
                <w:rFonts w:ascii="宋体" w:hAnsi="宋体" w:cs="宋体" w:hint="eastAsia"/>
                <w:sz w:val="18"/>
                <w:szCs w:val="18"/>
                <w:lang w:eastAsia="zh-CN"/>
              </w:rPr>
              <w:t>大气毒性终点浓度</w:t>
            </w:r>
            <w:r w:rsidRPr="00D94554">
              <w:rPr>
                <w:rFonts w:eastAsia="Times New Roman"/>
                <w:sz w:val="18"/>
                <w:szCs w:val="18"/>
                <w:lang w:eastAsia="zh-CN"/>
              </w:rPr>
              <w:t xml:space="preserve">-1  </w:t>
            </w:r>
            <w:r w:rsidRPr="00D94554">
              <w:rPr>
                <w:rFonts w:ascii="宋体" w:hAnsi="宋体" w:cs="宋体" w:hint="eastAsia"/>
                <w:sz w:val="18"/>
                <w:szCs w:val="18"/>
                <w:lang w:eastAsia="zh-CN"/>
              </w:rPr>
              <w:t>最大影响范围</w:t>
            </w:r>
            <w:r w:rsidRPr="00D94554">
              <w:rPr>
                <w:rFonts w:eastAsia="Times New Roman"/>
                <w:sz w:val="18"/>
                <w:szCs w:val="18"/>
                <w:u w:val="single" w:color="000000"/>
                <w:lang w:eastAsia="zh-CN"/>
              </w:rPr>
              <w:tab/>
            </w:r>
            <w:r w:rsidRPr="00D94554">
              <w:rPr>
                <w:rFonts w:eastAsia="Times New Roman"/>
                <w:sz w:val="18"/>
                <w:szCs w:val="18"/>
                <w:lang w:eastAsia="zh-CN"/>
              </w:rPr>
              <w:t>m</w:t>
            </w:r>
          </w:p>
        </w:tc>
      </w:tr>
      <w:tr w:rsidR="00D94554" w:rsidRPr="00D94554" w:rsidTr="00C66914">
        <w:trPr>
          <w:trHeight w:val="397"/>
          <w:jc w:val="center"/>
        </w:trPr>
        <w:tc>
          <w:tcPr>
            <w:tcW w:w="168" w:type="pct"/>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cs="宋体"/>
                <w:sz w:val="18"/>
                <w:szCs w:val="18"/>
                <w:lang w:eastAsia="zh-CN"/>
              </w:rPr>
            </w:pPr>
          </w:p>
        </w:tc>
        <w:tc>
          <w:tcPr>
            <w:tcW w:w="691" w:type="pct"/>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cs="宋体"/>
                <w:sz w:val="18"/>
                <w:szCs w:val="18"/>
                <w:lang w:eastAsia="zh-CN"/>
              </w:rPr>
            </w:pPr>
          </w:p>
        </w:tc>
        <w:tc>
          <w:tcPr>
            <w:tcW w:w="646" w:type="pct"/>
            <w:gridSpan w:val="2"/>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cs="宋体"/>
                <w:sz w:val="18"/>
                <w:szCs w:val="18"/>
                <w:lang w:eastAsia="zh-CN"/>
              </w:rPr>
            </w:pPr>
          </w:p>
        </w:tc>
        <w:tc>
          <w:tcPr>
            <w:tcW w:w="3496" w:type="pct"/>
            <w:gridSpan w:val="11"/>
            <w:vAlign w:val="center"/>
            <w:hideMark/>
          </w:tcPr>
          <w:p w:rsidR="00D94554" w:rsidRPr="00D94554" w:rsidRDefault="00D94554" w:rsidP="00D94554">
            <w:pPr>
              <w:tabs>
                <w:tab w:val="left" w:pos="4612"/>
              </w:tabs>
              <w:adjustRightInd/>
              <w:snapToGrid/>
              <w:spacing w:line="240" w:lineRule="auto"/>
              <w:ind w:firstLineChars="0" w:firstLine="0"/>
              <w:jc w:val="center"/>
              <w:textAlignment w:val="auto"/>
              <w:rPr>
                <w:rFonts w:eastAsia="Times New Roman"/>
                <w:sz w:val="18"/>
                <w:szCs w:val="18"/>
                <w:lang w:eastAsia="zh-CN"/>
              </w:rPr>
            </w:pPr>
            <w:r w:rsidRPr="00D94554">
              <w:rPr>
                <w:rFonts w:ascii="宋体" w:hAnsi="宋体" w:cs="宋体" w:hint="eastAsia"/>
                <w:sz w:val="18"/>
                <w:szCs w:val="18"/>
                <w:lang w:eastAsia="zh-CN"/>
              </w:rPr>
              <w:t>大气毒性终点浓度</w:t>
            </w:r>
            <w:r w:rsidRPr="00D94554">
              <w:rPr>
                <w:rFonts w:eastAsia="Times New Roman"/>
                <w:sz w:val="18"/>
                <w:szCs w:val="18"/>
                <w:lang w:eastAsia="zh-CN"/>
              </w:rPr>
              <w:t xml:space="preserve">-2  </w:t>
            </w:r>
            <w:r w:rsidRPr="00D94554">
              <w:rPr>
                <w:rFonts w:ascii="宋体" w:hAnsi="宋体" w:cs="宋体" w:hint="eastAsia"/>
                <w:sz w:val="18"/>
                <w:szCs w:val="18"/>
                <w:lang w:eastAsia="zh-CN"/>
              </w:rPr>
              <w:t>最大影响范围</w:t>
            </w:r>
            <w:r w:rsidRPr="00D94554">
              <w:rPr>
                <w:rFonts w:eastAsia="Times New Roman"/>
                <w:sz w:val="18"/>
                <w:szCs w:val="18"/>
                <w:u w:val="single" w:color="000000"/>
                <w:lang w:eastAsia="zh-CN"/>
              </w:rPr>
              <w:tab/>
            </w:r>
            <w:r w:rsidRPr="00D94554">
              <w:rPr>
                <w:rFonts w:eastAsia="Times New Roman"/>
                <w:sz w:val="18"/>
                <w:szCs w:val="18"/>
                <w:lang w:eastAsia="zh-CN"/>
              </w:rPr>
              <w:t>m</w:t>
            </w:r>
          </w:p>
        </w:tc>
      </w:tr>
      <w:tr w:rsidR="00D94554" w:rsidRPr="00D94554" w:rsidTr="00C66914">
        <w:trPr>
          <w:trHeight w:val="397"/>
          <w:jc w:val="center"/>
        </w:trPr>
        <w:tc>
          <w:tcPr>
            <w:tcW w:w="168" w:type="pct"/>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cs="宋体"/>
                <w:sz w:val="18"/>
                <w:szCs w:val="18"/>
                <w:lang w:eastAsia="zh-CN"/>
              </w:rPr>
            </w:pPr>
          </w:p>
        </w:tc>
        <w:tc>
          <w:tcPr>
            <w:tcW w:w="691" w:type="pct"/>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地表水</w:t>
            </w:r>
          </w:p>
        </w:tc>
        <w:tc>
          <w:tcPr>
            <w:tcW w:w="4141" w:type="pct"/>
            <w:gridSpan w:val="13"/>
            <w:vAlign w:val="center"/>
            <w:hideMark/>
          </w:tcPr>
          <w:p w:rsidR="00D94554" w:rsidRPr="00D94554" w:rsidRDefault="00D94554" w:rsidP="00D94554">
            <w:pPr>
              <w:tabs>
                <w:tab w:val="left" w:pos="4168"/>
                <w:tab w:val="left" w:pos="5518"/>
              </w:tabs>
              <w:adjustRightInd/>
              <w:snapToGrid/>
              <w:spacing w:line="240" w:lineRule="auto"/>
              <w:ind w:firstLineChars="0" w:firstLine="0"/>
              <w:jc w:val="center"/>
              <w:textAlignment w:val="auto"/>
              <w:rPr>
                <w:rFonts w:eastAsia="Times New Roman"/>
                <w:sz w:val="18"/>
                <w:szCs w:val="18"/>
                <w:lang w:eastAsia="zh-CN"/>
              </w:rPr>
            </w:pPr>
            <w:r w:rsidRPr="00D94554">
              <w:rPr>
                <w:rFonts w:ascii="宋体" w:hAnsi="宋体" w:cs="宋体" w:hint="eastAsia"/>
                <w:sz w:val="18"/>
                <w:szCs w:val="18"/>
                <w:lang w:eastAsia="zh-CN"/>
              </w:rPr>
              <w:t>最近环境敏感目标</w:t>
            </w:r>
            <w:r w:rsidRPr="00D94554">
              <w:rPr>
                <w:rFonts w:ascii="宋体" w:hAnsi="宋体" w:cs="宋体" w:hint="eastAsia"/>
                <w:sz w:val="18"/>
                <w:szCs w:val="18"/>
                <w:lang w:eastAsia="zh-CN"/>
              </w:rPr>
              <w:tab/>
              <w:t>，到达时间</w:t>
            </w:r>
            <w:r w:rsidRPr="00D94554">
              <w:rPr>
                <w:rFonts w:ascii="宋体" w:hAnsi="宋体" w:cs="宋体" w:hint="eastAsia"/>
                <w:sz w:val="18"/>
                <w:szCs w:val="18"/>
                <w:lang w:eastAsia="zh-CN"/>
              </w:rPr>
              <w:tab/>
            </w:r>
            <w:r w:rsidRPr="00D94554">
              <w:rPr>
                <w:rFonts w:eastAsia="Times New Roman"/>
                <w:sz w:val="18"/>
                <w:szCs w:val="18"/>
                <w:lang w:eastAsia="zh-CN"/>
              </w:rPr>
              <w:t>h</w:t>
            </w:r>
          </w:p>
        </w:tc>
      </w:tr>
      <w:tr w:rsidR="00D94554" w:rsidRPr="00D94554" w:rsidTr="00C66914">
        <w:trPr>
          <w:trHeight w:val="397"/>
          <w:jc w:val="center"/>
        </w:trPr>
        <w:tc>
          <w:tcPr>
            <w:tcW w:w="168" w:type="pct"/>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cs="宋体"/>
                <w:sz w:val="18"/>
                <w:szCs w:val="18"/>
                <w:lang w:eastAsia="zh-CN"/>
              </w:rPr>
            </w:pPr>
          </w:p>
        </w:tc>
        <w:tc>
          <w:tcPr>
            <w:tcW w:w="691" w:type="pct"/>
            <w:vMerge w:val="restart"/>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地下水</w:t>
            </w:r>
          </w:p>
        </w:tc>
        <w:tc>
          <w:tcPr>
            <w:tcW w:w="4141" w:type="pct"/>
            <w:gridSpan w:val="13"/>
            <w:vAlign w:val="center"/>
            <w:hideMark/>
          </w:tcPr>
          <w:p w:rsidR="00D94554" w:rsidRPr="00D94554" w:rsidRDefault="00D94554" w:rsidP="00D94554">
            <w:pPr>
              <w:tabs>
                <w:tab w:val="left" w:pos="2276"/>
              </w:tabs>
              <w:adjustRightInd/>
              <w:snapToGrid/>
              <w:spacing w:line="240" w:lineRule="auto"/>
              <w:ind w:firstLineChars="0" w:firstLine="0"/>
              <w:jc w:val="center"/>
              <w:textAlignment w:val="auto"/>
              <w:rPr>
                <w:rFonts w:eastAsia="Times New Roman"/>
                <w:sz w:val="18"/>
                <w:szCs w:val="18"/>
                <w:lang w:eastAsia="zh-CN"/>
              </w:rPr>
            </w:pPr>
            <w:r w:rsidRPr="00D94554">
              <w:rPr>
                <w:rFonts w:ascii="宋体" w:hAnsi="宋体" w:cs="宋体" w:hint="eastAsia"/>
                <w:sz w:val="18"/>
                <w:szCs w:val="18"/>
                <w:lang w:eastAsia="zh-CN"/>
              </w:rPr>
              <w:t>下游厂区边界到达时间</w:t>
            </w:r>
            <w:r w:rsidRPr="00D94554">
              <w:rPr>
                <w:rFonts w:eastAsia="Times New Roman"/>
                <w:sz w:val="18"/>
                <w:szCs w:val="18"/>
                <w:u w:val="single" w:color="000000"/>
                <w:lang w:eastAsia="zh-CN"/>
              </w:rPr>
              <w:tab/>
            </w:r>
            <w:r w:rsidRPr="00D94554">
              <w:rPr>
                <w:rFonts w:eastAsia="Times New Roman"/>
                <w:sz w:val="18"/>
                <w:szCs w:val="18"/>
                <w:lang w:eastAsia="zh-CN"/>
              </w:rPr>
              <w:t>d</w:t>
            </w:r>
          </w:p>
        </w:tc>
      </w:tr>
      <w:tr w:rsidR="00D94554" w:rsidRPr="00D94554" w:rsidTr="00C66914">
        <w:trPr>
          <w:trHeight w:val="397"/>
          <w:jc w:val="center"/>
        </w:trPr>
        <w:tc>
          <w:tcPr>
            <w:tcW w:w="168" w:type="pct"/>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cs="宋体"/>
                <w:sz w:val="18"/>
                <w:szCs w:val="18"/>
                <w:lang w:eastAsia="zh-CN"/>
              </w:rPr>
            </w:pPr>
          </w:p>
        </w:tc>
        <w:tc>
          <w:tcPr>
            <w:tcW w:w="691" w:type="pct"/>
            <w:vMerge/>
            <w:vAlign w:val="center"/>
            <w:hideMark/>
          </w:tcPr>
          <w:p w:rsidR="00D94554" w:rsidRPr="00D94554" w:rsidRDefault="00D94554" w:rsidP="00D94554">
            <w:pPr>
              <w:widowControl/>
              <w:adjustRightInd/>
              <w:snapToGrid/>
              <w:spacing w:line="240" w:lineRule="auto"/>
              <w:ind w:firstLineChars="0" w:firstLine="0"/>
              <w:jc w:val="center"/>
              <w:textAlignment w:val="auto"/>
              <w:rPr>
                <w:rFonts w:ascii="宋体" w:hAnsi="宋体" w:cs="宋体"/>
                <w:sz w:val="18"/>
                <w:szCs w:val="18"/>
                <w:lang w:eastAsia="zh-CN"/>
              </w:rPr>
            </w:pPr>
          </w:p>
        </w:tc>
        <w:tc>
          <w:tcPr>
            <w:tcW w:w="4141" w:type="pct"/>
            <w:gridSpan w:val="13"/>
            <w:vAlign w:val="center"/>
            <w:hideMark/>
          </w:tcPr>
          <w:p w:rsidR="00D94554" w:rsidRPr="00D94554" w:rsidRDefault="00D94554" w:rsidP="00D94554">
            <w:pPr>
              <w:tabs>
                <w:tab w:val="left" w:pos="4168"/>
                <w:tab w:val="left" w:pos="5518"/>
              </w:tabs>
              <w:adjustRightInd/>
              <w:snapToGrid/>
              <w:spacing w:line="240" w:lineRule="auto"/>
              <w:ind w:firstLineChars="0" w:firstLine="0"/>
              <w:jc w:val="center"/>
              <w:textAlignment w:val="auto"/>
              <w:rPr>
                <w:rFonts w:eastAsia="Times New Roman"/>
                <w:sz w:val="18"/>
                <w:szCs w:val="18"/>
                <w:lang w:eastAsia="zh-CN"/>
              </w:rPr>
            </w:pPr>
            <w:r w:rsidRPr="00D94554">
              <w:rPr>
                <w:rFonts w:ascii="宋体" w:hAnsi="宋体" w:cs="宋体" w:hint="eastAsia"/>
                <w:sz w:val="18"/>
                <w:szCs w:val="18"/>
                <w:lang w:eastAsia="zh-CN"/>
              </w:rPr>
              <w:t>最近环境敏感目标</w:t>
            </w:r>
            <w:r w:rsidRPr="00D94554">
              <w:rPr>
                <w:rFonts w:ascii="宋体" w:hAnsi="宋体" w:cs="宋体" w:hint="eastAsia"/>
                <w:sz w:val="18"/>
                <w:szCs w:val="18"/>
                <w:lang w:eastAsia="zh-CN"/>
              </w:rPr>
              <w:tab/>
              <w:t>，到达时间</w:t>
            </w:r>
            <w:r w:rsidRPr="00D94554">
              <w:rPr>
                <w:rFonts w:eastAsia="Times New Roman"/>
                <w:sz w:val="18"/>
                <w:szCs w:val="18"/>
                <w:u w:val="single" w:color="000000"/>
                <w:lang w:eastAsia="zh-CN"/>
              </w:rPr>
              <w:tab/>
              <w:t>d</w:t>
            </w:r>
          </w:p>
        </w:tc>
      </w:tr>
      <w:tr w:rsidR="00D94554" w:rsidRPr="00D94554" w:rsidTr="00C66914">
        <w:trPr>
          <w:trHeight w:val="397"/>
          <w:jc w:val="center"/>
        </w:trPr>
        <w:tc>
          <w:tcPr>
            <w:tcW w:w="859" w:type="pct"/>
            <w:gridSpan w:val="2"/>
            <w:vAlign w:val="center"/>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重点风险防范措施</w:t>
            </w:r>
          </w:p>
        </w:tc>
        <w:tc>
          <w:tcPr>
            <w:tcW w:w="4141" w:type="pct"/>
            <w:gridSpan w:val="13"/>
            <w:vAlign w:val="center"/>
          </w:tcPr>
          <w:p w:rsidR="00D94554" w:rsidRPr="00D94554" w:rsidRDefault="00D94554" w:rsidP="00D94554">
            <w:pPr>
              <w:adjustRightInd/>
              <w:snapToGrid/>
              <w:spacing w:line="240" w:lineRule="auto"/>
              <w:ind w:firstLineChars="0" w:firstLine="0"/>
              <w:textAlignment w:val="auto"/>
              <w:rPr>
                <w:rFonts w:asciiTheme="minorHAnsi" w:eastAsiaTheme="minorEastAsia" w:hAnsiTheme="minorHAnsi" w:cs="Arial"/>
                <w:sz w:val="18"/>
                <w:szCs w:val="18"/>
                <w:lang w:eastAsia="zh-CN"/>
              </w:rPr>
            </w:pPr>
            <w:r w:rsidRPr="00D94554">
              <w:rPr>
                <w:rFonts w:ascii="宋体" w:hAnsi="宋体" w:cs="宋体" w:hint="eastAsia"/>
                <w:sz w:val="20"/>
                <w:szCs w:val="21"/>
                <w:lang w:eastAsia="zh-CN"/>
              </w:rPr>
              <w:t>健全安全管理制度，人员专业培训。原料贮存区域四周建设防泄漏围堰，发生火灾事故后立即采取紧急工程措施，防止火灾扩大，并对受伤人员救护和疏散人员撤离，并报告上级管理部门，同时向消防系统报警。在火灾尚未扩大至不可控制之前应使用移动式灭火器扑灭初期火灾或控制火源等。</w:t>
            </w:r>
          </w:p>
        </w:tc>
      </w:tr>
      <w:tr w:rsidR="00D94554" w:rsidRPr="00D94554" w:rsidTr="00C66914">
        <w:trPr>
          <w:trHeight w:val="397"/>
          <w:jc w:val="center"/>
        </w:trPr>
        <w:tc>
          <w:tcPr>
            <w:tcW w:w="859" w:type="pct"/>
            <w:gridSpan w:val="2"/>
            <w:vAlign w:val="center"/>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rPr>
            </w:pPr>
            <w:r w:rsidRPr="00D94554">
              <w:rPr>
                <w:rFonts w:ascii="宋体" w:hAnsi="宋体" w:cs="宋体" w:hint="eastAsia"/>
                <w:sz w:val="18"/>
                <w:szCs w:val="18"/>
              </w:rPr>
              <w:t>评价结论与建议</w:t>
            </w:r>
          </w:p>
        </w:tc>
        <w:tc>
          <w:tcPr>
            <w:tcW w:w="4141" w:type="pct"/>
            <w:gridSpan w:val="13"/>
            <w:vAlign w:val="center"/>
          </w:tcPr>
          <w:p w:rsidR="00D94554" w:rsidRPr="00D94554" w:rsidRDefault="00D94554" w:rsidP="00D94554">
            <w:pPr>
              <w:adjustRightInd/>
              <w:snapToGrid/>
              <w:spacing w:line="240" w:lineRule="auto"/>
              <w:ind w:firstLineChars="0" w:firstLine="0"/>
              <w:jc w:val="center"/>
              <w:textAlignment w:val="auto"/>
              <w:rPr>
                <w:rFonts w:asciiTheme="minorHAnsi" w:eastAsiaTheme="minorEastAsia" w:hAnsiTheme="minorHAnsi" w:cs="Arial"/>
                <w:sz w:val="18"/>
                <w:szCs w:val="18"/>
              </w:rPr>
            </w:pPr>
            <w:r w:rsidRPr="00D94554">
              <w:rPr>
                <w:rFonts w:asciiTheme="minorHAnsi" w:eastAsiaTheme="minorEastAsia" w:hAnsiTheme="minorHAnsi" w:cs="Arial" w:hint="eastAsia"/>
                <w:sz w:val="18"/>
                <w:szCs w:val="18"/>
              </w:rPr>
              <w:t>环境风险可防控</w:t>
            </w:r>
          </w:p>
        </w:tc>
      </w:tr>
      <w:tr w:rsidR="00D94554" w:rsidRPr="00D94554" w:rsidTr="00C66914">
        <w:trPr>
          <w:trHeight w:val="397"/>
          <w:jc w:val="center"/>
        </w:trPr>
        <w:tc>
          <w:tcPr>
            <w:tcW w:w="5000" w:type="pct"/>
            <w:gridSpan w:val="15"/>
            <w:vAlign w:val="center"/>
            <w:hideMark/>
          </w:tcPr>
          <w:p w:rsidR="00D94554" w:rsidRPr="00D94554" w:rsidRDefault="00D94554" w:rsidP="00D94554">
            <w:pPr>
              <w:adjustRightInd/>
              <w:snapToGrid/>
              <w:spacing w:line="240" w:lineRule="auto"/>
              <w:ind w:firstLineChars="0" w:firstLine="0"/>
              <w:jc w:val="center"/>
              <w:textAlignment w:val="auto"/>
              <w:rPr>
                <w:rFonts w:ascii="宋体" w:hAnsi="宋体" w:cs="宋体"/>
                <w:sz w:val="18"/>
                <w:szCs w:val="18"/>
                <w:lang w:eastAsia="zh-CN"/>
              </w:rPr>
            </w:pPr>
            <w:r w:rsidRPr="00D94554">
              <w:rPr>
                <w:rFonts w:ascii="宋体" w:hAnsi="宋体" w:cs="宋体" w:hint="eastAsia"/>
                <w:sz w:val="18"/>
                <w:szCs w:val="18"/>
                <w:lang w:eastAsia="zh-CN"/>
              </w:rPr>
              <w:lastRenderedPageBreak/>
              <w:t>注：“□”为勾选项，“   ”为填写项。</w:t>
            </w:r>
          </w:p>
        </w:tc>
      </w:tr>
    </w:tbl>
    <w:p w:rsidR="00D94554" w:rsidRDefault="00D94554">
      <w:pPr>
        <w:ind w:firstLine="480"/>
        <w:sectPr w:rsidR="00D94554" w:rsidSect="00D94554">
          <w:pgSz w:w="11907" w:h="16840"/>
          <w:pgMar w:top="1440" w:right="1797" w:bottom="1440" w:left="1797" w:header="907" w:footer="907" w:gutter="0"/>
          <w:cols w:space="720"/>
          <w:docGrid w:linePitch="380"/>
        </w:sectPr>
      </w:pPr>
    </w:p>
    <w:p w:rsidR="00D94554" w:rsidRPr="00D94554" w:rsidRDefault="00D94554" w:rsidP="00D94554">
      <w:pPr>
        <w:tabs>
          <w:tab w:val="left" w:pos="787"/>
        </w:tabs>
        <w:autoSpaceDE w:val="0"/>
        <w:autoSpaceDN w:val="0"/>
        <w:adjustRightInd/>
        <w:snapToGrid/>
        <w:spacing w:line="240" w:lineRule="auto"/>
        <w:ind w:firstLineChars="0" w:firstLine="0"/>
        <w:jc w:val="center"/>
        <w:textAlignment w:val="auto"/>
        <w:rPr>
          <w:rFonts w:ascii="黑体" w:eastAsia="黑体" w:hAnsi="宋体" w:cs="宋体"/>
          <w:sz w:val="21"/>
          <w:szCs w:val="21"/>
          <w:lang w:bidi="en-US"/>
        </w:rPr>
      </w:pPr>
      <w:r w:rsidRPr="00D94554">
        <w:rPr>
          <w:rFonts w:eastAsia="黑体" w:hAnsi="黑体"/>
          <w:sz w:val="21"/>
          <w:szCs w:val="21"/>
          <w:lang w:bidi="en-US"/>
        </w:rPr>
        <w:lastRenderedPageBreak/>
        <w:t>附表</w:t>
      </w:r>
      <w:r w:rsidRPr="00D94554">
        <w:rPr>
          <w:rFonts w:hint="eastAsia"/>
          <w:sz w:val="21"/>
          <w:szCs w:val="21"/>
          <w:lang w:bidi="en-US"/>
        </w:rPr>
        <w:t>4</w:t>
      </w:r>
      <w:r w:rsidRPr="00D94554">
        <w:rPr>
          <w:sz w:val="21"/>
          <w:szCs w:val="21"/>
          <w:lang w:bidi="en-US"/>
        </w:rPr>
        <w:t xml:space="preserve"> </w:t>
      </w:r>
      <w:r w:rsidRPr="00D94554">
        <w:rPr>
          <w:rFonts w:eastAsia="黑体"/>
          <w:sz w:val="21"/>
          <w:szCs w:val="21"/>
          <w:lang w:bidi="en-US"/>
        </w:rPr>
        <w:t xml:space="preserve"> </w:t>
      </w:r>
      <w:r w:rsidRPr="00D94554">
        <w:rPr>
          <w:rFonts w:eastAsia="黑体" w:hint="eastAsia"/>
          <w:sz w:val="21"/>
          <w:szCs w:val="21"/>
          <w:lang w:bidi="en-US"/>
        </w:rPr>
        <w:t xml:space="preserve"> </w:t>
      </w:r>
      <w:r w:rsidRPr="00D94554">
        <w:rPr>
          <w:rFonts w:ascii="黑体" w:eastAsia="黑体" w:hAnsi="宋体" w:cs="宋体" w:hint="eastAsia"/>
          <w:sz w:val="21"/>
          <w:szCs w:val="21"/>
          <w:lang w:bidi="en-US"/>
        </w:rPr>
        <w:t>土壤环境影响评价自查表</w:t>
      </w:r>
    </w:p>
    <w:tbl>
      <w:tblPr>
        <w:tblW w:w="5000" w:type="pct"/>
        <w:jc w:val="center"/>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CellMar>
          <w:left w:w="0" w:type="dxa"/>
          <w:right w:w="0" w:type="dxa"/>
        </w:tblCellMar>
        <w:tblLook w:val="04A0"/>
      </w:tblPr>
      <w:tblGrid>
        <w:gridCol w:w="381"/>
        <w:gridCol w:w="1338"/>
        <w:gridCol w:w="1438"/>
        <w:gridCol w:w="1007"/>
        <w:gridCol w:w="1017"/>
        <w:gridCol w:w="812"/>
        <w:gridCol w:w="1108"/>
        <w:gridCol w:w="1232"/>
      </w:tblGrid>
      <w:tr w:rsidR="00D94554" w:rsidRPr="00D94554" w:rsidTr="00C66914">
        <w:trPr>
          <w:trHeight w:val="340"/>
          <w:jc w:val="center"/>
        </w:trPr>
        <w:tc>
          <w:tcPr>
            <w:tcW w:w="1032" w:type="pct"/>
            <w:gridSpan w:val="2"/>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b/>
                <w:sz w:val="18"/>
                <w:szCs w:val="18"/>
                <w:lang w:eastAsia="en-US" w:bidi="en-US"/>
              </w:rPr>
            </w:pPr>
            <w:r w:rsidRPr="00D94554">
              <w:rPr>
                <w:rFonts w:hAnsi="宋体"/>
                <w:b/>
                <w:sz w:val="18"/>
                <w:szCs w:val="18"/>
                <w:lang w:eastAsia="en-US" w:bidi="en-US"/>
              </w:rPr>
              <w:t>工作内容</w:t>
            </w:r>
          </w:p>
        </w:tc>
        <w:tc>
          <w:tcPr>
            <w:tcW w:w="3229" w:type="pct"/>
            <w:gridSpan w:val="5"/>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b/>
                <w:sz w:val="18"/>
                <w:szCs w:val="18"/>
                <w:lang w:eastAsia="en-US" w:bidi="en-US"/>
              </w:rPr>
            </w:pPr>
            <w:r w:rsidRPr="00D94554">
              <w:rPr>
                <w:rFonts w:hAnsi="宋体"/>
                <w:b/>
                <w:sz w:val="18"/>
                <w:szCs w:val="18"/>
                <w:lang w:eastAsia="en-US" w:bidi="en-US"/>
              </w:rPr>
              <w:t>完成情况</w:t>
            </w:r>
          </w:p>
        </w:tc>
        <w:tc>
          <w:tcPr>
            <w:tcW w:w="738"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b/>
                <w:sz w:val="18"/>
                <w:szCs w:val="18"/>
                <w:lang w:eastAsia="en-US" w:bidi="en-US"/>
              </w:rPr>
            </w:pPr>
            <w:r w:rsidRPr="00D94554">
              <w:rPr>
                <w:rFonts w:hAnsi="宋体"/>
                <w:b/>
                <w:sz w:val="18"/>
                <w:szCs w:val="18"/>
                <w:lang w:eastAsia="en-US" w:bidi="en-US"/>
              </w:rPr>
              <w:t>备注</w:t>
            </w:r>
          </w:p>
        </w:tc>
      </w:tr>
      <w:tr w:rsidR="00D94554" w:rsidRPr="00D94554" w:rsidTr="00C66914">
        <w:trPr>
          <w:trHeight w:val="340"/>
          <w:jc w:val="center"/>
        </w:trPr>
        <w:tc>
          <w:tcPr>
            <w:tcW w:w="229" w:type="pct"/>
            <w:vMerge w:val="restar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r w:rsidRPr="00D94554">
              <w:rPr>
                <w:rFonts w:hAnsi="宋体"/>
                <w:sz w:val="18"/>
                <w:szCs w:val="18"/>
                <w:lang w:eastAsia="en-US" w:bidi="en-US"/>
              </w:rPr>
              <w:t>影响识别</w:t>
            </w:r>
          </w:p>
        </w:tc>
        <w:tc>
          <w:tcPr>
            <w:tcW w:w="803"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r w:rsidRPr="00D94554">
              <w:rPr>
                <w:rFonts w:hAnsi="宋体"/>
                <w:sz w:val="18"/>
                <w:szCs w:val="18"/>
                <w:lang w:eastAsia="en-US" w:bidi="en-US"/>
              </w:rPr>
              <w:t>影响类型</w:t>
            </w:r>
          </w:p>
        </w:tc>
        <w:tc>
          <w:tcPr>
            <w:tcW w:w="3229" w:type="pct"/>
            <w:gridSpan w:val="5"/>
            <w:vAlign w:val="center"/>
          </w:tcPr>
          <w:p w:rsidR="00D94554" w:rsidRPr="00D94554" w:rsidRDefault="00D94554" w:rsidP="00D94554">
            <w:pPr>
              <w:autoSpaceDE w:val="0"/>
              <w:autoSpaceDN w:val="0"/>
              <w:adjustRightInd/>
              <w:snapToGrid/>
              <w:spacing w:line="240" w:lineRule="auto"/>
              <w:ind w:leftChars="50" w:left="120" w:firstLineChars="0" w:firstLine="0"/>
              <w:jc w:val="center"/>
              <w:textAlignment w:val="auto"/>
              <w:rPr>
                <w:sz w:val="18"/>
                <w:szCs w:val="18"/>
                <w:lang w:bidi="en-US"/>
              </w:rPr>
            </w:pPr>
            <w:r w:rsidRPr="00D94554">
              <w:rPr>
                <w:rFonts w:hAnsi="宋体"/>
                <w:sz w:val="18"/>
                <w:szCs w:val="18"/>
                <w:lang w:bidi="en-US"/>
              </w:rPr>
              <w:t>污染影响型</w:t>
            </w:r>
            <w:r w:rsidRPr="00D94554">
              <w:rPr>
                <w:rFonts w:eastAsia="MS Mincho" w:hAnsi="MS Mincho"/>
                <w:sz w:val="18"/>
                <w:szCs w:val="18"/>
                <w:lang w:bidi="en-US"/>
              </w:rPr>
              <w:t>☑</w:t>
            </w:r>
            <w:r w:rsidRPr="00D94554">
              <w:rPr>
                <w:rFonts w:hAnsi="宋体"/>
                <w:sz w:val="18"/>
                <w:szCs w:val="18"/>
                <w:lang w:bidi="en-US"/>
              </w:rPr>
              <w:t>；生态影响型</w:t>
            </w:r>
            <w:r w:rsidRPr="00D94554">
              <w:rPr>
                <w:rFonts w:hint="eastAsia"/>
                <w:sz w:val="18"/>
                <w:szCs w:val="18"/>
                <w:lang w:bidi="en-US"/>
              </w:rPr>
              <w:t>□</w:t>
            </w:r>
            <w:r w:rsidRPr="00D94554">
              <w:rPr>
                <w:rFonts w:hAnsi="宋体"/>
                <w:sz w:val="18"/>
                <w:szCs w:val="18"/>
                <w:lang w:bidi="en-US"/>
              </w:rPr>
              <w:t>；两种兼有</w:t>
            </w:r>
            <w:r w:rsidRPr="00D94554">
              <w:rPr>
                <w:rFonts w:hint="eastAsia"/>
                <w:sz w:val="18"/>
                <w:szCs w:val="18"/>
                <w:lang w:bidi="en-US"/>
              </w:rPr>
              <w:t>□</w:t>
            </w:r>
          </w:p>
        </w:tc>
        <w:tc>
          <w:tcPr>
            <w:tcW w:w="738"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bidi="en-US"/>
              </w:rPr>
            </w:pPr>
          </w:p>
        </w:tc>
      </w:tr>
      <w:tr w:rsidR="00D94554" w:rsidRPr="00D94554" w:rsidTr="00C66914">
        <w:trPr>
          <w:trHeight w:val="340"/>
          <w:jc w:val="center"/>
        </w:trPr>
        <w:tc>
          <w:tcPr>
            <w:tcW w:w="229" w:type="pct"/>
            <w:vMerge/>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bidi="en-US"/>
              </w:rPr>
            </w:pPr>
          </w:p>
        </w:tc>
        <w:tc>
          <w:tcPr>
            <w:tcW w:w="803"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r w:rsidRPr="00D94554">
              <w:rPr>
                <w:rFonts w:hAnsi="宋体"/>
                <w:sz w:val="18"/>
                <w:szCs w:val="18"/>
                <w:lang w:eastAsia="en-US" w:bidi="en-US"/>
              </w:rPr>
              <w:t>土地利用类型</w:t>
            </w:r>
          </w:p>
        </w:tc>
        <w:tc>
          <w:tcPr>
            <w:tcW w:w="3229" w:type="pct"/>
            <w:gridSpan w:val="5"/>
            <w:vAlign w:val="center"/>
          </w:tcPr>
          <w:p w:rsidR="00D94554" w:rsidRPr="00D94554" w:rsidRDefault="00D94554" w:rsidP="00D94554">
            <w:pPr>
              <w:autoSpaceDE w:val="0"/>
              <w:autoSpaceDN w:val="0"/>
              <w:adjustRightInd/>
              <w:snapToGrid/>
              <w:spacing w:line="240" w:lineRule="auto"/>
              <w:ind w:leftChars="50" w:left="120" w:firstLineChars="0" w:firstLine="0"/>
              <w:jc w:val="center"/>
              <w:textAlignment w:val="auto"/>
              <w:rPr>
                <w:sz w:val="18"/>
                <w:szCs w:val="18"/>
                <w:lang w:bidi="en-US"/>
              </w:rPr>
            </w:pPr>
            <w:r w:rsidRPr="00D94554">
              <w:rPr>
                <w:rFonts w:hAnsi="宋体"/>
                <w:sz w:val="18"/>
                <w:szCs w:val="18"/>
                <w:lang w:bidi="en-US"/>
              </w:rPr>
              <w:t>建设用地</w:t>
            </w:r>
            <w:r w:rsidRPr="00D94554">
              <w:rPr>
                <w:rFonts w:eastAsia="MS Mincho" w:hAnsi="MS Mincho"/>
                <w:sz w:val="18"/>
                <w:szCs w:val="18"/>
                <w:lang w:bidi="en-US"/>
              </w:rPr>
              <w:t>☑</w:t>
            </w:r>
            <w:r w:rsidRPr="00D94554">
              <w:rPr>
                <w:rFonts w:hAnsi="宋体"/>
                <w:sz w:val="18"/>
                <w:szCs w:val="18"/>
                <w:lang w:bidi="en-US"/>
              </w:rPr>
              <w:t>；农用地</w:t>
            </w:r>
            <w:r w:rsidRPr="00D94554">
              <w:rPr>
                <w:rFonts w:hint="eastAsia"/>
                <w:sz w:val="18"/>
                <w:szCs w:val="18"/>
                <w:lang w:bidi="en-US"/>
              </w:rPr>
              <w:t>□</w:t>
            </w:r>
            <w:r w:rsidRPr="00D94554">
              <w:rPr>
                <w:rFonts w:hAnsi="宋体"/>
                <w:sz w:val="18"/>
                <w:szCs w:val="18"/>
                <w:lang w:bidi="en-US"/>
              </w:rPr>
              <w:t>；未利用地</w:t>
            </w:r>
            <w:r w:rsidRPr="00D94554">
              <w:rPr>
                <w:rFonts w:hint="eastAsia"/>
                <w:sz w:val="18"/>
                <w:szCs w:val="18"/>
                <w:lang w:bidi="en-US"/>
              </w:rPr>
              <w:t>□</w:t>
            </w:r>
          </w:p>
        </w:tc>
        <w:tc>
          <w:tcPr>
            <w:tcW w:w="738"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r w:rsidRPr="00D94554">
              <w:rPr>
                <w:rFonts w:hAnsi="宋体"/>
                <w:sz w:val="18"/>
                <w:szCs w:val="18"/>
                <w:lang w:eastAsia="en-US" w:bidi="en-US"/>
              </w:rPr>
              <w:t>土地利用类型图</w:t>
            </w:r>
          </w:p>
        </w:tc>
      </w:tr>
      <w:tr w:rsidR="00D94554" w:rsidRPr="00D94554" w:rsidTr="00C66914">
        <w:trPr>
          <w:trHeight w:val="340"/>
          <w:jc w:val="center"/>
        </w:trPr>
        <w:tc>
          <w:tcPr>
            <w:tcW w:w="229" w:type="pct"/>
            <w:vMerge/>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p>
        </w:tc>
        <w:tc>
          <w:tcPr>
            <w:tcW w:w="803"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r w:rsidRPr="00D94554">
              <w:rPr>
                <w:rFonts w:hAnsi="宋体"/>
                <w:sz w:val="18"/>
                <w:szCs w:val="18"/>
                <w:lang w:eastAsia="en-US" w:bidi="en-US"/>
              </w:rPr>
              <w:t>占地规模</w:t>
            </w:r>
          </w:p>
        </w:tc>
        <w:tc>
          <w:tcPr>
            <w:tcW w:w="3229" w:type="pct"/>
            <w:gridSpan w:val="5"/>
            <w:vAlign w:val="center"/>
          </w:tcPr>
          <w:p w:rsidR="00D94554" w:rsidRPr="00D94554" w:rsidRDefault="00D94554" w:rsidP="00D94554">
            <w:pPr>
              <w:tabs>
                <w:tab w:val="left" w:pos="1370"/>
              </w:tabs>
              <w:autoSpaceDE w:val="0"/>
              <w:autoSpaceDN w:val="0"/>
              <w:adjustRightInd/>
              <w:snapToGrid/>
              <w:spacing w:line="240" w:lineRule="auto"/>
              <w:ind w:leftChars="50" w:left="120" w:firstLineChars="0" w:firstLine="0"/>
              <w:jc w:val="center"/>
              <w:textAlignment w:val="auto"/>
              <w:rPr>
                <w:rFonts w:eastAsia="Times New Roman"/>
                <w:sz w:val="18"/>
                <w:szCs w:val="18"/>
                <w:lang w:eastAsia="en-US" w:bidi="en-US"/>
              </w:rPr>
            </w:pPr>
            <w:r w:rsidRPr="00D94554">
              <w:rPr>
                <w:rFonts w:hAnsi="宋体"/>
                <w:sz w:val="18"/>
                <w:szCs w:val="18"/>
                <w:lang w:eastAsia="en-US" w:bidi="en-US"/>
              </w:rPr>
              <w:t>（</w:t>
            </w:r>
            <w:r w:rsidRPr="00D94554">
              <w:rPr>
                <w:rFonts w:hint="eastAsia"/>
                <w:sz w:val="18"/>
                <w:szCs w:val="18"/>
                <w:lang w:bidi="en-US"/>
              </w:rPr>
              <w:t>8.574</w:t>
            </w:r>
            <w:r w:rsidRPr="00D94554">
              <w:rPr>
                <w:rFonts w:hAnsi="宋体"/>
                <w:sz w:val="18"/>
                <w:szCs w:val="18"/>
                <w:lang w:eastAsia="en-US" w:bidi="en-US"/>
              </w:rPr>
              <w:t>）</w:t>
            </w:r>
            <w:r w:rsidRPr="00D94554">
              <w:rPr>
                <w:rFonts w:eastAsia="Times New Roman"/>
                <w:sz w:val="18"/>
                <w:szCs w:val="18"/>
                <w:lang w:eastAsia="en-US" w:bidi="en-US"/>
              </w:rPr>
              <w:t>hm</w:t>
            </w:r>
            <w:r w:rsidRPr="00D94554">
              <w:rPr>
                <w:rFonts w:eastAsia="Times New Roman"/>
                <w:position w:val="6"/>
                <w:sz w:val="18"/>
                <w:szCs w:val="18"/>
                <w:lang w:eastAsia="en-US" w:bidi="en-US"/>
              </w:rPr>
              <w:t>2</w:t>
            </w:r>
          </w:p>
        </w:tc>
        <w:tc>
          <w:tcPr>
            <w:tcW w:w="738"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p>
        </w:tc>
      </w:tr>
      <w:tr w:rsidR="00D94554" w:rsidRPr="00D94554" w:rsidTr="00C66914">
        <w:trPr>
          <w:trHeight w:val="340"/>
          <w:jc w:val="center"/>
        </w:trPr>
        <w:tc>
          <w:tcPr>
            <w:tcW w:w="229" w:type="pct"/>
            <w:vMerge/>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p>
        </w:tc>
        <w:tc>
          <w:tcPr>
            <w:tcW w:w="803"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r w:rsidRPr="00D94554">
              <w:rPr>
                <w:rFonts w:hAnsi="宋体"/>
                <w:sz w:val="18"/>
                <w:szCs w:val="18"/>
                <w:lang w:eastAsia="en-US" w:bidi="en-US"/>
              </w:rPr>
              <w:t>敏感目标信息</w:t>
            </w:r>
          </w:p>
        </w:tc>
        <w:tc>
          <w:tcPr>
            <w:tcW w:w="3229" w:type="pct"/>
            <w:gridSpan w:val="5"/>
            <w:vAlign w:val="center"/>
          </w:tcPr>
          <w:p w:rsidR="00D94554" w:rsidRPr="00D94554" w:rsidRDefault="00D94554" w:rsidP="00D94554">
            <w:pPr>
              <w:tabs>
                <w:tab w:val="left" w:pos="1639"/>
                <w:tab w:val="left" w:pos="3530"/>
              </w:tabs>
              <w:autoSpaceDE w:val="0"/>
              <w:autoSpaceDN w:val="0"/>
              <w:adjustRightInd/>
              <w:snapToGrid/>
              <w:spacing w:line="240" w:lineRule="auto"/>
              <w:ind w:leftChars="50" w:left="120" w:firstLineChars="0" w:firstLine="0"/>
              <w:jc w:val="center"/>
              <w:textAlignment w:val="auto"/>
              <w:rPr>
                <w:sz w:val="18"/>
                <w:szCs w:val="18"/>
                <w:lang w:bidi="en-US"/>
              </w:rPr>
            </w:pPr>
            <w:r w:rsidRPr="00D94554">
              <w:rPr>
                <w:rFonts w:hAnsi="宋体"/>
                <w:sz w:val="18"/>
                <w:szCs w:val="18"/>
                <w:lang w:bidi="en-US"/>
              </w:rPr>
              <w:t>敏感目标（</w:t>
            </w:r>
            <w:r w:rsidRPr="00D94554">
              <w:rPr>
                <w:sz w:val="18"/>
                <w:szCs w:val="18"/>
                <w:lang w:bidi="en-US"/>
              </w:rPr>
              <w:t xml:space="preserve"> </w:t>
            </w:r>
            <w:r w:rsidRPr="00D94554">
              <w:rPr>
                <w:rFonts w:hint="eastAsia"/>
                <w:sz w:val="18"/>
                <w:szCs w:val="18"/>
                <w:lang w:bidi="en-US"/>
              </w:rPr>
              <w:t>农田</w:t>
            </w:r>
            <w:r w:rsidRPr="00D94554">
              <w:rPr>
                <w:sz w:val="18"/>
                <w:szCs w:val="18"/>
                <w:lang w:bidi="en-US"/>
              </w:rPr>
              <w:t xml:space="preserve">  </w:t>
            </w:r>
            <w:r w:rsidRPr="00D94554">
              <w:rPr>
                <w:rFonts w:hAnsi="宋体"/>
                <w:sz w:val="18"/>
                <w:szCs w:val="18"/>
                <w:lang w:bidi="en-US"/>
              </w:rPr>
              <w:t>）、方位（</w:t>
            </w:r>
            <w:r w:rsidRPr="00D94554">
              <w:rPr>
                <w:rFonts w:hAnsi="宋体" w:hint="eastAsia"/>
                <w:sz w:val="18"/>
                <w:szCs w:val="18"/>
                <w:lang w:bidi="en-US"/>
              </w:rPr>
              <w:t xml:space="preserve"> </w:t>
            </w:r>
            <w:r w:rsidRPr="00D94554">
              <w:rPr>
                <w:rFonts w:hAnsi="宋体" w:hint="eastAsia"/>
                <w:sz w:val="18"/>
                <w:szCs w:val="18"/>
                <w:lang w:bidi="en-US"/>
              </w:rPr>
              <w:t>西侧和北侧</w:t>
            </w:r>
            <w:r w:rsidRPr="00D94554">
              <w:rPr>
                <w:rFonts w:hAnsi="宋体"/>
                <w:sz w:val="18"/>
                <w:szCs w:val="18"/>
                <w:lang w:bidi="en-US"/>
              </w:rPr>
              <w:t>）、距离（</w:t>
            </w:r>
            <w:r w:rsidRPr="00D94554">
              <w:rPr>
                <w:rFonts w:hAnsi="宋体" w:hint="eastAsia"/>
                <w:sz w:val="18"/>
                <w:szCs w:val="18"/>
                <w:lang w:bidi="en-US"/>
              </w:rPr>
              <w:t>西侧</w:t>
            </w:r>
            <w:r w:rsidRPr="00D94554">
              <w:rPr>
                <w:rFonts w:hAnsi="宋体" w:hint="eastAsia"/>
                <w:sz w:val="18"/>
                <w:szCs w:val="18"/>
                <w:lang w:bidi="en-US"/>
              </w:rPr>
              <w:t>5</w:t>
            </w:r>
            <w:r w:rsidRPr="00D94554">
              <w:rPr>
                <w:rFonts w:hint="eastAsia"/>
                <w:sz w:val="18"/>
                <w:szCs w:val="18"/>
                <w:lang w:bidi="en-US"/>
              </w:rPr>
              <w:t>5</w:t>
            </w:r>
            <w:r w:rsidRPr="00D94554">
              <w:rPr>
                <w:rFonts w:hint="eastAsia"/>
                <w:sz w:val="18"/>
                <w:szCs w:val="18"/>
                <w:lang w:bidi="en-US"/>
              </w:rPr>
              <w:t>米，北侧紧邻</w:t>
            </w:r>
            <w:r w:rsidRPr="00D94554">
              <w:rPr>
                <w:rFonts w:hAnsi="宋体"/>
                <w:sz w:val="18"/>
                <w:szCs w:val="18"/>
                <w:lang w:bidi="en-US"/>
              </w:rPr>
              <w:t>）</w:t>
            </w:r>
          </w:p>
        </w:tc>
        <w:tc>
          <w:tcPr>
            <w:tcW w:w="738"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bidi="en-US"/>
              </w:rPr>
            </w:pPr>
          </w:p>
        </w:tc>
      </w:tr>
      <w:tr w:rsidR="00D94554" w:rsidRPr="00D94554" w:rsidTr="00C66914">
        <w:trPr>
          <w:trHeight w:val="340"/>
          <w:jc w:val="center"/>
        </w:trPr>
        <w:tc>
          <w:tcPr>
            <w:tcW w:w="229" w:type="pct"/>
            <w:vMerge/>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bidi="en-US"/>
              </w:rPr>
            </w:pPr>
          </w:p>
        </w:tc>
        <w:tc>
          <w:tcPr>
            <w:tcW w:w="803"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r w:rsidRPr="00D94554">
              <w:rPr>
                <w:rFonts w:hAnsi="宋体"/>
                <w:sz w:val="18"/>
                <w:szCs w:val="18"/>
                <w:lang w:eastAsia="en-US" w:bidi="en-US"/>
              </w:rPr>
              <w:t>影响途径</w:t>
            </w:r>
          </w:p>
        </w:tc>
        <w:tc>
          <w:tcPr>
            <w:tcW w:w="3229" w:type="pct"/>
            <w:gridSpan w:val="5"/>
            <w:vAlign w:val="center"/>
          </w:tcPr>
          <w:p w:rsidR="00D94554" w:rsidRPr="00D94554" w:rsidRDefault="00D94554" w:rsidP="00D94554">
            <w:pPr>
              <w:autoSpaceDE w:val="0"/>
              <w:autoSpaceDN w:val="0"/>
              <w:adjustRightInd/>
              <w:snapToGrid/>
              <w:spacing w:line="240" w:lineRule="auto"/>
              <w:ind w:leftChars="50" w:left="120" w:firstLineChars="0" w:firstLine="0"/>
              <w:jc w:val="center"/>
              <w:textAlignment w:val="auto"/>
              <w:rPr>
                <w:sz w:val="18"/>
                <w:szCs w:val="18"/>
                <w:lang w:bidi="en-US"/>
              </w:rPr>
            </w:pPr>
            <w:r w:rsidRPr="00D94554">
              <w:rPr>
                <w:rFonts w:hAnsi="宋体"/>
                <w:sz w:val="18"/>
                <w:szCs w:val="18"/>
                <w:lang w:bidi="en-US"/>
              </w:rPr>
              <w:t>大气沉降</w:t>
            </w:r>
            <w:r w:rsidRPr="00D94554">
              <w:rPr>
                <w:rFonts w:eastAsia="MS Mincho" w:hAnsi="MS Mincho"/>
                <w:sz w:val="18"/>
                <w:szCs w:val="18"/>
                <w:lang w:bidi="en-US"/>
              </w:rPr>
              <w:t>☑</w:t>
            </w:r>
            <w:r w:rsidRPr="00D94554">
              <w:rPr>
                <w:rFonts w:hAnsi="宋体"/>
                <w:sz w:val="18"/>
                <w:szCs w:val="18"/>
                <w:lang w:bidi="en-US"/>
              </w:rPr>
              <w:t>；地面漫流</w:t>
            </w:r>
            <w:r w:rsidRPr="00D94554">
              <w:rPr>
                <w:rFonts w:hint="eastAsia"/>
                <w:sz w:val="18"/>
                <w:szCs w:val="18"/>
                <w:lang w:bidi="en-US"/>
              </w:rPr>
              <w:t>□</w:t>
            </w:r>
            <w:r w:rsidRPr="00D94554">
              <w:rPr>
                <w:rFonts w:hAnsi="宋体"/>
                <w:sz w:val="18"/>
                <w:szCs w:val="18"/>
                <w:lang w:bidi="en-US"/>
              </w:rPr>
              <w:t>；垂直入渗</w:t>
            </w:r>
            <w:r w:rsidRPr="00D94554">
              <w:rPr>
                <w:rFonts w:eastAsia="MS Mincho" w:hAnsi="MS Mincho"/>
                <w:sz w:val="18"/>
                <w:szCs w:val="18"/>
                <w:lang w:bidi="en-US"/>
              </w:rPr>
              <w:t>☑</w:t>
            </w:r>
            <w:r w:rsidRPr="00D94554">
              <w:rPr>
                <w:rFonts w:hAnsi="宋体"/>
                <w:sz w:val="18"/>
                <w:szCs w:val="18"/>
                <w:lang w:bidi="en-US"/>
              </w:rPr>
              <w:t>；地下水位</w:t>
            </w:r>
            <w:r w:rsidRPr="00D94554">
              <w:rPr>
                <w:rFonts w:hint="eastAsia"/>
                <w:sz w:val="18"/>
                <w:szCs w:val="18"/>
                <w:lang w:bidi="en-US"/>
              </w:rPr>
              <w:t>□</w:t>
            </w:r>
            <w:r w:rsidRPr="00D94554">
              <w:rPr>
                <w:rFonts w:hAnsi="宋体"/>
                <w:sz w:val="18"/>
                <w:szCs w:val="18"/>
                <w:lang w:bidi="en-US"/>
              </w:rPr>
              <w:t>；其他（</w:t>
            </w:r>
            <w:r w:rsidRPr="00D94554">
              <w:rPr>
                <w:sz w:val="18"/>
                <w:szCs w:val="18"/>
                <w:lang w:bidi="en-US"/>
              </w:rPr>
              <w:t xml:space="preserve">    </w:t>
            </w:r>
            <w:r w:rsidRPr="00D94554">
              <w:rPr>
                <w:rFonts w:hAnsi="宋体"/>
                <w:sz w:val="18"/>
                <w:szCs w:val="18"/>
                <w:lang w:bidi="en-US"/>
              </w:rPr>
              <w:t>）</w:t>
            </w:r>
          </w:p>
        </w:tc>
        <w:tc>
          <w:tcPr>
            <w:tcW w:w="738"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bidi="en-US"/>
              </w:rPr>
            </w:pPr>
          </w:p>
        </w:tc>
      </w:tr>
      <w:tr w:rsidR="00D94554" w:rsidRPr="00D94554" w:rsidTr="00C66914">
        <w:trPr>
          <w:trHeight w:val="340"/>
          <w:jc w:val="center"/>
        </w:trPr>
        <w:tc>
          <w:tcPr>
            <w:tcW w:w="229" w:type="pct"/>
            <w:vMerge/>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bidi="en-US"/>
              </w:rPr>
            </w:pPr>
          </w:p>
        </w:tc>
        <w:tc>
          <w:tcPr>
            <w:tcW w:w="803"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r w:rsidRPr="00D94554">
              <w:rPr>
                <w:rFonts w:hAnsi="宋体"/>
                <w:sz w:val="18"/>
                <w:szCs w:val="18"/>
                <w:lang w:eastAsia="en-US" w:bidi="en-US"/>
              </w:rPr>
              <w:t>全部污染物</w:t>
            </w:r>
          </w:p>
        </w:tc>
        <w:tc>
          <w:tcPr>
            <w:tcW w:w="3229" w:type="pct"/>
            <w:gridSpan w:val="5"/>
            <w:vAlign w:val="center"/>
          </w:tcPr>
          <w:p w:rsidR="00D94554" w:rsidRPr="00D94554" w:rsidRDefault="00D94554" w:rsidP="00D94554">
            <w:pPr>
              <w:autoSpaceDE w:val="0"/>
              <w:autoSpaceDN w:val="0"/>
              <w:adjustRightInd/>
              <w:snapToGrid/>
              <w:spacing w:line="240" w:lineRule="auto"/>
              <w:ind w:leftChars="50" w:left="120" w:firstLineChars="0" w:firstLine="0"/>
              <w:jc w:val="center"/>
              <w:textAlignment w:val="auto"/>
              <w:rPr>
                <w:sz w:val="18"/>
                <w:szCs w:val="18"/>
                <w:lang w:bidi="en-US"/>
              </w:rPr>
            </w:pPr>
            <w:r w:rsidRPr="00D94554">
              <w:rPr>
                <w:rFonts w:hint="eastAsia"/>
                <w:sz w:val="18"/>
                <w:szCs w:val="18"/>
                <w:lang w:bidi="en-US"/>
              </w:rPr>
              <w:t>二甲苯、甲苯、苯、石油烃</w:t>
            </w:r>
          </w:p>
        </w:tc>
        <w:tc>
          <w:tcPr>
            <w:tcW w:w="738"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bidi="en-US"/>
              </w:rPr>
            </w:pPr>
          </w:p>
        </w:tc>
      </w:tr>
      <w:tr w:rsidR="00D94554" w:rsidRPr="00D94554" w:rsidTr="00C66914">
        <w:trPr>
          <w:trHeight w:val="340"/>
          <w:jc w:val="center"/>
        </w:trPr>
        <w:tc>
          <w:tcPr>
            <w:tcW w:w="229" w:type="pct"/>
            <w:vMerge/>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bidi="en-US"/>
              </w:rPr>
            </w:pPr>
          </w:p>
        </w:tc>
        <w:tc>
          <w:tcPr>
            <w:tcW w:w="803"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r w:rsidRPr="00D94554">
              <w:rPr>
                <w:rFonts w:hAnsi="宋体"/>
                <w:sz w:val="18"/>
                <w:szCs w:val="18"/>
                <w:lang w:eastAsia="en-US" w:bidi="en-US"/>
              </w:rPr>
              <w:t>特征因子</w:t>
            </w:r>
          </w:p>
        </w:tc>
        <w:tc>
          <w:tcPr>
            <w:tcW w:w="3229" w:type="pct"/>
            <w:gridSpan w:val="5"/>
            <w:vAlign w:val="center"/>
          </w:tcPr>
          <w:p w:rsidR="00D94554" w:rsidRPr="00D94554" w:rsidRDefault="00D94554" w:rsidP="00D94554">
            <w:pPr>
              <w:autoSpaceDE w:val="0"/>
              <w:autoSpaceDN w:val="0"/>
              <w:adjustRightInd/>
              <w:snapToGrid/>
              <w:spacing w:line="240" w:lineRule="auto"/>
              <w:ind w:leftChars="50" w:left="120" w:firstLineChars="0" w:firstLine="0"/>
              <w:jc w:val="center"/>
              <w:textAlignment w:val="auto"/>
              <w:rPr>
                <w:sz w:val="18"/>
                <w:szCs w:val="18"/>
                <w:lang w:bidi="en-US"/>
              </w:rPr>
            </w:pPr>
            <w:r w:rsidRPr="00D94554">
              <w:rPr>
                <w:rFonts w:hint="eastAsia"/>
                <w:sz w:val="18"/>
                <w:szCs w:val="18"/>
                <w:lang w:bidi="en-US"/>
              </w:rPr>
              <w:t>二甲苯、甲苯、苯、石油烃</w:t>
            </w:r>
          </w:p>
        </w:tc>
        <w:tc>
          <w:tcPr>
            <w:tcW w:w="738"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bidi="en-US"/>
              </w:rPr>
            </w:pPr>
          </w:p>
        </w:tc>
      </w:tr>
      <w:tr w:rsidR="00D94554" w:rsidRPr="00D94554" w:rsidTr="00C66914">
        <w:trPr>
          <w:trHeight w:val="340"/>
          <w:jc w:val="center"/>
        </w:trPr>
        <w:tc>
          <w:tcPr>
            <w:tcW w:w="229" w:type="pct"/>
            <w:vMerge/>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bidi="en-US"/>
              </w:rPr>
            </w:pPr>
          </w:p>
        </w:tc>
        <w:tc>
          <w:tcPr>
            <w:tcW w:w="803"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bidi="en-US"/>
              </w:rPr>
            </w:pPr>
            <w:r w:rsidRPr="00D94554">
              <w:rPr>
                <w:rFonts w:hAnsi="宋体"/>
                <w:sz w:val="18"/>
                <w:szCs w:val="18"/>
                <w:lang w:bidi="en-US"/>
              </w:rPr>
              <w:t>所属土壤环境影响</w:t>
            </w:r>
          </w:p>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bidi="en-US"/>
              </w:rPr>
            </w:pPr>
            <w:r w:rsidRPr="00D94554">
              <w:rPr>
                <w:rFonts w:hAnsi="宋体"/>
                <w:sz w:val="18"/>
                <w:szCs w:val="18"/>
                <w:lang w:bidi="en-US"/>
              </w:rPr>
              <w:t>评价项目类别</w:t>
            </w:r>
          </w:p>
        </w:tc>
        <w:tc>
          <w:tcPr>
            <w:tcW w:w="3229" w:type="pct"/>
            <w:gridSpan w:val="5"/>
            <w:vAlign w:val="center"/>
          </w:tcPr>
          <w:p w:rsidR="00D94554" w:rsidRPr="00D94554" w:rsidRDefault="00D94554" w:rsidP="00D94554">
            <w:pPr>
              <w:autoSpaceDE w:val="0"/>
              <w:autoSpaceDN w:val="0"/>
              <w:adjustRightInd/>
              <w:snapToGrid/>
              <w:spacing w:line="240" w:lineRule="auto"/>
              <w:ind w:leftChars="50" w:left="120" w:firstLineChars="0" w:firstLine="0"/>
              <w:jc w:val="center"/>
              <w:textAlignment w:val="auto"/>
              <w:rPr>
                <w:sz w:val="18"/>
                <w:szCs w:val="18"/>
                <w:lang w:bidi="en-US"/>
              </w:rPr>
            </w:pPr>
            <w:r w:rsidRPr="00D94554">
              <w:rPr>
                <w:rFonts w:ascii="宋体" w:hAnsi="宋体"/>
                <w:sz w:val="18"/>
                <w:szCs w:val="18"/>
                <w:lang w:bidi="en-US"/>
              </w:rPr>
              <w:t>Ⅰ</w:t>
            </w:r>
            <w:r w:rsidRPr="00D94554">
              <w:rPr>
                <w:rFonts w:hAnsi="宋体"/>
                <w:sz w:val="18"/>
                <w:szCs w:val="18"/>
                <w:lang w:bidi="en-US"/>
              </w:rPr>
              <w:t>类</w:t>
            </w:r>
            <w:r w:rsidRPr="00D94554">
              <w:rPr>
                <w:rFonts w:eastAsia="MS Mincho" w:hAnsi="MS Mincho"/>
                <w:sz w:val="18"/>
                <w:szCs w:val="18"/>
                <w:lang w:bidi="en-US"/>
              </w:rPr>
              <w:t>☑</w:t>
            </w:r>
            <w:r w:rsidRPr="00D94554">
              <w:rPr>
                <w:rFonts w:hAnsi="宋体"/>
                <w:sz w:val="18"/>
                <w:szCs w:val="18"/>
                <w:lang w:bidi="en-US"/>
              </w:rPr>
              <w:t>；</w:t>
            </w:r>
            <w:r w:rsidRPr="00D94554">
              <w:rPr>
                <w:rFonts w:ascii="宋体" w:hAnsi="宋体"/>
                <w:sz w:val="18"/>
                <w:szCs w:val="18"/>
                <w:lang w:bidi="en-US"/>
              </w:rPr>
              <w:t>Ⅱ</w:t>
            </w:r>
            <w:r w:rsidRPr="00D94554">
              <w:rPr>
                <w:rFonts w:hAnsi="宋体"/>
                <w:sz w:val="18"/>
                <w:szCs w:val="18"/>
                <w:lang w:bidi="en-US"/>
              </w:rPr>
              <w:t>类</w:t>
            </w:r>
            <w:r w:rsidRPr="00D94554">
              <w:rPr>
                <w:rFonts w:hint="eastAsia"/>
                <w:sz w:val="18"/>
                <w:szCs w:val="18"/>
                <w:lang w:bidi="en-US"/>
              </w:rPr>
              <w:t>□</w:t>
            </w:r>
            <w:r w:rsidRPr="00D94554">
              <w:rPr>
                <w:rFonts w:hAnsi="宋体"/>
                <w:sz w:val="18"/>
                <w:szCs w:val="18"/>
                <w:lang w:bidi="en-US"/>
              </w:rPr>
              <w:t>；</w:t>
            </w:r>
            <w:r w:rsidRPr="00D94554">
              <w:rPr>
                <w:rFonts w:ascii="宋体" w:hAnsi="宋体"/>
                <w:sz w:val="18"/>
                <w:szCs w:val="18"/>
                <w:lang w:bidi="en-US"/>
              </w:rPr>
              <w:t>Ⅲ</w:t>
            </w:r>
            <w:r w:rsidRPr="00D94554">
              <w:rPr>
                <w:rFonts w:hAnsi="宋体"/>
                <w:sz w:val="18"/>
                <w:szCs w:val="18"/>
                <w:lang w:bidi="en-US"/>
              </w:rPr>
              <w:t>类</w:t>
            </w:r>
            <w:r w:rsidRPr="00D94554">
              <w:rPr>
                <w:rFonts w:hint="eastAsia"/>
                <w:sz w:val="18"/>
                <w:szCs w:val="18"/>
                <w:lang w:bidi="en-US"/>
              </w:rPr>
              <w:t>□</w:t>
            </w:r>
            <w:r w:rsidRPr="00D94554">
              <w:rPr>
                <w:rFonts w:hAnsi="宋体"/>
                <w:sz w:val="18"/>
                <w:szCs w:val="18"/>
                <w:lang w:bidi="en-US"/>
              </w:rPr>
              <w:t>；</w:t>
            </w:r>
            <w:r w:rsidRPr="00D94554">
              <w:rPr>
                <w:rFonts w:ascii="宋体" w:hAnsi="宋体"/>
                <w:sz w:val="18"/>
                <w:szCs w:val="18"/>
                <w:lang w:bidi="en-US"/>
              </w:rPr>
              <w:t>Ⅳ</w:t>
            </w:r>
            <w:r w:rsidRPr="00D94554">
              <w:rPr>
                <w:rFonts w:hAnsi="宋体"/>
                <w:sz w:val="18"/>
                <w:szCs w:val="18"/>
                <w:lang w:bidi="en-US"/>
              </w:rPr>
              <w:t>类</w:t>
            </w:r>
            <w:r w:rsidRPr="00D94554">
              <w:rPr>
                <w:rFonts w:hint="eastAsia"/>
                <w:sz w:val="18"/>
                <w:szCs w:val="18"/>
                <w:lang w:bidi="en-US"/>
              </w:rPr>
              <w:t>□</w:t>
            </w:r>
          </w:p>
        </w:tc>
        <w:tc>
          <w:tcPr>
            <w:tcW w:w="738"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bidi="en-US"/>
              </w:rPr>
            </w:pPr>
          </w:p>
        </w:tc>
      </w:tr>
      <w:tr w:rsidR="00D94554" w:rsidRPr="00D94554" w:rsidTr="00C66914">
        <w:trPr>
          <w:trHeight w:val="340"/>
          <w:jc w:val="center"/>
        </w:trPr>
        <w:tc>
          <w:tcPr>
            <w:tcW w:w="229" w:type="pct"/>
            <w:vMerge/>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bidi="en-US"/>
              </w:rPr>
            </w:pPr>
          </w:p>
        </w:tc>
        <w:tc>
          <w:tcPr>
            <w:tcW w:w="803"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r w:rsidRPr="00D94554">
              <w:rPr>
                <w:rFonts w:hAnsi="宋体"/>
                <w:sz w:val="18"/>
                <w:szCs w:val="18"/>
                <w:lang w:eastAsia="en-US" w:bidi="en-US"/>
              </w:rPr>
              <w:t>敏感程度</w:t>
            </w:r>
          </w:p>
        </w:tc>
        <w:tc>
          <w:tcPr>
            <w:tcW w:w="3229" w:type="pct"/>
            <w:gridSpan w:val="5"/>
            <w:vAlign w:val="center"/>
          </w:tcPr>
          <w:p w:rsidR="00D94554" w:rsidRPr="00D94554" w:rsidRDefault="00D94554" w:rsidP="00D94554">
            <w:pPr>
              <w:autoSpaceDE w:val="0"/>
              <w:autoSpaceDN w:val="0"/>
              <w:adjustRightInd/>
              <w:snapToGrid/>
              <w:spacing w:line="240" w:lineRule="auto"/>
              <w:ind w:leftChars="50" w:left="120" w:firstLineChars="0" w:firstLine="0"/>
              <w:jc w:val="center"/>
              <w:textAlignment w:val="auto"/>
              <w:rPr>
                <w:sz w:val="18"/>
                <w:szCs w:val="18"/>
                <w:lang w:bidi="en-US"/>
              </w:rPr>
            </w:pPr>
            <w:r w:rsidRPr="00D94554">
              <w:rPr>
                <w:rFonts w:hAnsi="宋体"/>
                <w:sz w:val="18"/>
                <w:szCs w:val="18"/>
                <w:lang w:bidi="en-US"/>
              </w:rPr>
              <w:t>敏感</w:t>
            </w:r>
            <w:r w:rsidRPr="00D94554">
              <w:rPr>
                <w:rFonts w:hint="eastAsia"/>
                <w:sz w:val="18"/>
                <w:szCs w:val="18"/>
                <w:lang w:bidi="en-US"/>
              </w:rPr>
              <w:t>□</w:t>
            </w:r>
            <w:r w:rsidRPr="00D94554">
              <w:rPr>
                <w:rFonts w:hAnsi="宋体"/>
                <w:sz w:val="18"/>
                <w:szCs w:val="18"/>
                <w:lang w:bidi="en-US"/>
              </w:rPr>
              <w:t>；较敏感</w:t>
            </w:r>
            <w:r w:rsidRPr="00D94554">
              <w:rPr>
                <w:rFonts w:hint="eastAsia"/>
                <w:sz w:val="18"/>
                <w:szCs w:val="18"/>
                <w:lang w:bidi="en-US"/>
              </w:rPr>
              <w:t>□</w:t>
            </w:r>
            <w:r w:rsidRPr="00D94554">
              <w:rPr>
                <w:rFonts w:hAnsi="宋体"/>
                <w:sz w:val="18"/>
                <w:szCs w:val="18"/>
                <w:lang w:bidi="en-US"/>
              </w:rPr>
              <w:t>；不敏感</w:t>
            </w:r>
            <w:r w:rsidRPr="00D94554">
              <w:rPr>
                <w:rFonts w:eastAsia="MS Mincho" w:hAnsi="MS Mincho"/>
                <w:sz w:val="18"/>
                <w:szCs w:val="18"/>
                <w:lang w:bidi="en-US"/>
              </w:rPr>
              <w:t>☑</w:t>
            </w:r>
          </w:p>
        </w:tc>
        <w:tc>
          <w:tcPr>
            <w:tcW w:w="738"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bidi="en-US"/>
              </w:rPr>
            </w:pPr>
          </w:p>
        </w:tc>
      </w:tr>
      <w:tr w:rsidR="00D94554" w:rsidRPr="00D94554" w:rsidTr="00C66914">
        <w:trPr>
          <w:trHeight w:val="340"/>
          <w:jc w:val="center"/>
        </w:trPr>
        <w:tc>
          <w:tcPr>
            <w:tcW w:w="1032" w:type="pct"/>
            <w:gridSpan w:val="2"/>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r w:rsidRPr="00D94554">
              <w:rPr>
                <w:rFonts w:hAnsi="宋体"/>
                <w:sz w:val="18"/>
                <w:szCs w:val="18"/>
                <w:lang w:eastAsia="en-US" w:bidi="en-US"/>
              </w:rPr>
              <w:t>评价工作等级</w:t>
            </w:r>
          </w:p>
        </w:tc>
        <w:tc>
          <w:tcPr>
            <w:tcW w:w="3229" w:type="pct"/>
            <w:gridSpan w:val="5"/>
            <w:vAlign w:val="center"/>
          </w:tcPr>
          <w:p w:rsidR="00D94554" w:rsidRPr="00D94554" w:rsidRDefault="00D94554" w:rsidP="00D94554">
            <w:pPr>
              <w:autoSpaceDE w:val="0"/>
              <w:autoSpaceDN w:val="0"/>
              <w:adjustRightInd/>
              <w:snapToGrid/>
              <w:spacing w:line="240" w:lineRule="auto"/>
              <w:ind w:leftChars="50" w:left="120" w:firstLineChars="0" w:firstLine="0"/>
              <w:jc w:val="center"/>
              <w:textAlignment w:val="auto"/>
              <w:rPr>
                <w:sz w:val="18"/>
                <w:szCs w:val="18"/>
                <w:lang w:bidi="en-US"/>
              </w:rPr>
            </w:pPr>
            <w:r w:rsidRPr="00D94554">
              <w:rPr>
                <w:rFonts w:hAnsi="宋体"/>
                <w:sz w:val="18"/>
                <w:szCs w:val="18"/>
                <w:lang w:bidi="en-US"/>
              </w:rPr>
              <w:t>一级</w:t>
            </w:r>
            <w:r w:rsidRPr="00D94554">
              <w:rPr>
                <w:rFonts w:hint="eastAsia"/>
                <w:sz w:val="18"/>
                <w:szCs w:val="18"/>
                <w:lang w:bidi="en-US"/>
              </w:rPr>
              <w:t>□</w:t>
            </w:r>
            <w:r w:rsidRPr="00D94554">
              <w:rPr>
                <w:rFonts w:hAnsi="宋体"/>
                <w:sz w:val="18"/>
                <w:szCs w:val="18"/>
                <w:lang w:bidi="en-US"/>
              </w:rPr>
              <w:t>；二级</w:t>
            </w:r>
            <w:r w:rsidRPr="00D94554">
              <w:rPr>
                <w:rFonts w:eastAsia="MS Mincho" w:hAnsi="MS Mincho"/>
                <w:sz w:val="18"/>
                <w:szCs w:val="18"/>
                <w:lang w:bidi="en-US"/>
              </w:rPr>
              <w:t>☑</w:t>
            </w:r>
            <w:r w:rsidRPr="00D94554">
              <w:rPr>
                <w:rFonts w:hAnsi="宋体"/>
                <w:sz w:val="18"/>
                <w:szCs w:val="18"/>
                <w:lang w:bidi="en-US"/>
              </w:rPr>
              <w:t>；三级</w:t>
            </w:r>
            <w:r w:rsidRPr="00D94554">
              <w:rPr>
                <w:rFonts w:hint="eastAsia"/>
                <w:sz w:val="18"/>
                <w:szCs w:val="18"/>
                <w:lang w:bidi="en-US"/>
              </w:rPr>
              <w:t>□</w:t>
            </w:r>
          </w:p>
        </w:tc>
        <w:tc>
          <w:tcPr>
            <w:tcW w:w="738"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bidi="en-US"/>
              </w:rPr>
            </w:pPr>
          </w:p>
        </w:tc>
      </w:tr>
      <w:tr w:rsidR="00D94554" w:rsidRPr="00D94554" w:rsidTr="00C66914">
        <w:trPr>
          <w:trHeight w:val="340"/>
          <w:jc w:val="center"/>
        </w:trPr>
        <w:tc>
          <w:tcPr>
            <w:tcW w:w="229" w:type="pct"/>
            <w:vMerge w:val="restar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r w:rsidRPr="00D94554">
              <w:rPr>
                <w:rFonts w:hAnsi="宋体"/>
                <w:sz w:val="18"/>
                <w:szCs w:val="18"/>
                <w:lang w:eastAsia="en-US" w:bidi="en-US"/>
              </w:rPr>
              <w:t>现状调查内容</w:t>
            </w:r>
          </w:p>
        </w:tc>
        <w:tc>
          <w:tcPr>
            <w:tcW w:w="803"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r w:rsidRPr="00D94554">
              <w:rPr>
                <w:rFonts w:hAnsi="宋体"/>
                <w:sz w:val="18"/>
                <w:szCs w:val="18"/>
                <w:lang w:eastAsia="en-US" w:bidi="en-US"/>
              </w:rPr>
              <w:t>资料收集</w:t>
            </w:r>
          </w:p>
        </w:tc>
        <w:tc>
          <w:tcPr>
            <w:tcW w:w="3229" w:type="pct"/>
            <w:gridSpan w:val="5"/>
            <w:vAlign w:val="center"/>
          </w:tcPr>
          <w:p w:rsidR="00D94554" w:rsidRPr="00D94554" w:rsidRDefault="00D94554" w:rsidP="00D94554">
            <w:pPr>
              <w:autoSpaceDE w:val="0"/>
              <w:autoSpaceDN w:val="0"/>
              <w:adjustRightInd/>
              <w:snapToGrid/>
              <w:spacing w:line="240" w:lineRule="auto"/>
              <w:ind w:leftChars="50" w:left="120" w:firstLineChars="0" w:firstLine="0"/>
              <w:jc w:val="center"/>
              <w:textAlignment w:val="auto"/>
              <w:rPr>
                <w:sz w:val="18"/>
                <w:szCs w:val="18"/>
                <w:lang w:eastAsia="en-US" w:bidi="en-US"/>
              </w:rPr>
            </w:pPr>
            <w:r w:rsidRPr="00D94554">
              <w:rPr>
                <w:rFonts w:eastAsia="Times New Roman"/>
                <w:sz w:val="18"/>
                <w:szCs w:val="18"/>
                <w:lang w:eastAsia="en-US" w:bidi="en-US"/>
              </w:rPr>
              <w:t>a</w:t>
            </w:r>
            <w:r w:rsidRPr="00D94554">
              <w:rPr>
                <w:rFonts w:hAnsi="宋体"/>
                <w:sz w:val="18"/>
                <w:szCs w:val="18"/>
                <w:lang w:eastAsia="en-US" w:bidi="en-US"/>
              </w:rPr>
              <w:t>）</w:t>
            </w:r>
            <w:r w:rsidRPr="00D94554">
              <w:rPr>
                <w:rFonts w:eastAsia="MS Mincho" w:hAnsi="MS Mincho"/>
                <w:sz w:val="18"/>
                <w:szCs w:val="18"/>
                <w:lang w:eastAsia="en-US" w:bidi="en-US"/>
              </w:rPr>
              <w:t>☑</w:t>
            </w:r>
            <w:r w:rsidRPr="00D94554">
              <w:rPr>
                <w:rFonts w:hAnsi="宋体"/>
                <w:sz w:val="18"/>
                <w:szCs w:val="18"/>
                <w:lang w:eastAsia="en-US" w:bidi="en-US"/>
              </w:rPr>
              <w:t>；</w:t>
            </w:r>
            <w:r w:rsidRPr="00D94554">
              <w:rPr>
                <w:rFonts w:eastAsia="Times New Roman"/>
                <w:sz w:val="18"/>
                <w:szCs w:val="18"/>
                <w:lang w:eastAsia="en-US" w:bidi="en-US"/>
              </w:rPr>
              <w:t>b</w:t>
            </w:r>
            <w:r w:rsidRPr="00D94554">
              <w:rPr>
                <w:rFonts w:hAnsi="宋体"/>
                <w:sz w:val="18"/>
                <w:szCs w:val="18"/>
                <w:lang w:eastAsia="en-US" w:bidi="en-US"/>
              </w:rPr>
              <w:t>）</w:t>
            </w:r>
            <w:r w:rsidRPr="00D94554">
              <w:rPr>
                <w:rFonts w:eastAsia="MS Mincho" w:hAnsi="MS Mincho"/>
                <w:sz w:val="18"/>
                <w:szCs w:val="18"/>
                <w:lang w:eastAsia="en-US" w:bidi="en-US"/>
              </w:rPr>
              <w:t>☑</w:t>
            </w:r>
            <w:r w:rsidRPr="00D94554">
              <w:rPr>
                <w:rFonts w:hAnsi="宋体"/>
                <w:sz w:val="18"/>
                <w:szCs w:val="18"/>
                <w:lang w:eastAsia="en-US" w:bidi="en-US"/>
              </w:rPr>
              <w:t>；</w:t>
            </w:r>
            <w:r w:rsidRPr="00D94554">
              <w:rPr>
                <w:rFonts w:eastAsia="Times New Roman"/>
                <w:sz w:val="18"/>
                <w:szCs w:val="18"/>
                <w:lang w:eastAsia="en-US" w:bidi="en-US"/>
              </w:rPr>
              <w:t>c</w:t>
            </w:r>
            <w:r w:rsidRPr="00D94554">
              <w:rPr>
                <w:rFonts w:hAnsi="宋体"/>
                <w:sz w:val="18"/>
                <w:szCs w:val="18"/>
                <w:lang w:eastAsia="en-US" w:bidi="en-US"/>
              </w:rPr>
              <w:t>）</w:t>
            </w:r>
            <w:r w:rsidRPr="00D94554">
              <w:rPr>
                <w:rFonts w:hint="eastAsia"/>
                <w:sz w:val="18"/>
                <w:szCs w:val="18"/>
                <w:lang w:eastAsia="en-US" w:bidi="en-US"/>
              </w:rPr>
              <w:t>□</w:t>
            </w:r>
            <w:r w:rsidRPr="00D94554">
              <w:rPr>
                <w:rFonts w:hAnsi="宋体"/>
                <w:sz w:val="18"/>
                <w:szCs w:val="18"/>
                <w:lang w:eastAsia="en-US" w:bidi="en-US"/>
              </w:rPr>
              <w:t>；</w:t>
            </w:r>
            <w:r w:rsidRPr="00D94554">
              <w:rPr>
                <w:sz w:val="18"/>
                <w:szCs w:val="18"/>
                <w:lang w:eastAsia="en-US" w:bidi="en-US"/>
              </w:rPr>
              <w:t>d</w:t>
            </w:r>
            <w:r w:rsidRPr="00D94554">
              <w:rPr>
                <w:rFonts w:hAnsi="宋体"/>
                <w:sz w:val="18"/>
                <w:szCs w:val="18"/>
                <w:lang w:eastAsia="en-US" w:bidi="en-US"/>
              </w:rPr>
              <w:t>）</w:t>
            </w:r>
            <w:r w:rsidRPr="00D94554">
              <w:rPr>
                <w:rFonts w:hint="eastAsia"/>
                <w:sz w:val="18"/>
                <w:szCs w:val="18"/>
                <w:lang w:eastAsia="en-US" w:bidi="en-US"/>
              </w:rPr>
              <w:t>□</w:t>
            </w:r>
          </w:p>
        </w:tc>
        <w:tc>
          <w:tcPr>
            <w:tcW w:w="738"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p>
        </w:tc>
      </w:tr>
      <w:tr w:rsidR="00D94554" w:rsidRPr="00D94554" w:rsidTr="00C66914">
        <w:trPr>
          <w:trHeight w:val="340"/>
          <w:jc w:val="center"/>
        </w:trPr>
        <w:tc>
          <w:tcPr>
            <w:tcW w:w="229" w:type="pct"/>
            <w:vMerge/>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p>
        </w:tc>
        <w:tc>
          <w:tcPr>
            <w:tcW w:w="803"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r w:rsidRPr="00D94554">
              <w:rPr>
                <w:rFonts w:hAnsi="宋体"/>
                <w:sz w:val="18"/>
                <w:szCs w:val="18"/>
                <w:lang w:eastAsia="en-US" w:bidi="en-US"/>
              </w:rPr>
              <w:t>理化特性</w:t>
            </w:r>
          </w:p>
        </w:tc>
        <w:tc>
          <w:tcPr>
            <w:tcW w:w="3229" w:type="pct"/>
            <w:gridSpan w:val="5"/>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bidi="en-US"/>
              </w:rPr>
            </w:pPr>
            <w:r w:rsidRPr="00D94554">
              <w:rPr>
                <w:sz w:val="18"/>
                <w:szCs w:val="18"/>
                <w:lang w:bidi="en-US"/>
              </w:rPr>
              <w:t>颜色、质地、</w:t>
            </w:r>
            <w:r w:rsidRPr="00D94554">
              <w:rPr>
                <w:sz w:val="18"/>
                <w:szCs w:val="18"/>
                <w:lang w:bidi="en-US"/>
              </w:rPr>
              <w:t>pH</w:t>
            </w:r>
            <w:r w:rsidRPr="00D94554">
              <w:rPr>
                <w:sz w:val="18"/>
                <w:szCs w:val="18"/>
                <w:lang w:bidi="en-US"/>
              </w:rPr>
              <w:t>、全盐量、土壤容重、含水率</w:t>
            </w:r>
          </w:p>
        </w:tc>
        <w:tc>
          <w:tcPr>
            <w:tcW w:w="738"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rFonts w:eastAsia="Times New Roman"/>
                <w:sz w:val="18"/>
                <w:szCs w:val="18"/>
                <w:lang w:eastAsia="en-US" w:bidi="en-US"/>
              </w:rPr>
            </w:pPr>
            <w:r w:rsidRPr="00D94554">
              <w:rPr>
                <w:rFonts w:hAnsi="宋体"/>
                <w:sz w:val="18"/>
                <w:szCs w:val="18"/>
                <w:lang w:eastAsia="en-US" w:bidi="en-US"/>
              </w:rPr>
              <w:t>同附录</w:t>
            </w:r>
            <w:r w:rsidRPr="00D94554">
              <w:rPr>
                <w:sz w:val="18"/>
                <w:szCs w:val="18"/>
                <w:lang w:eastAsia="en-US" w:bidi="en-US"/>
              </w:rPr>
              <w:t xml:space="preserve"> </w:t>
            </w:r>
            <w:r w:rsidRPr="00D94554">
              <w:rPr>
                <w:rFonts w:eastAsia="Times New Roman"/>
                <w:sz w:val="18"/>
                <w:szCs w:val="18"/>
                <w:lang w:eastAsia="en-US" w:bidi="en-US"/>
              </w:rPr>
              <w:t>C</w:t>
            </w:r>
          </w:p>
        </w:tc>
      </w:tr>
      <w:tr w:rsidR="00D94554" w:rsidRPr="00D94554" w:rsidTr="00C66914">
        <w:trPr>
          <w:trHeight w:val="340"/>
          <w:jc w:val="center"/>
        </w:trPr>
        <w:tc>
          <w:tcPr>
            <w:tcW w:w="229" w:type="pct"/>
            <w:vMerge/>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p>
        </w:tc>
        <w:tc>
          <w:tcPr>
            <w:tcW w:w="803" w:type="pct"/>
            <w:vMerge w:val="restar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r w:rsidRPr="00D94554">
              <w:rPr>
                <w:rFonts w:hAnsi="宋体"/>
                <w:sz w:val="18"/>
                <w:szCs w:val="18"/>
                <w:lang w:eastAsia="en-US" w:bidi="en-US"/>
              </w:rPr>
              <w:t>现状监测点位</w:t>
            </w:r>
          </w:p>
        </w:tc>
        <w:tc>
          <w:tcPr>
            <w:tcW w:w="863"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p>
        </w:tc>
        <w:tc>
          <w:tcPr>
            <w:tcW w:w="604"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r w:rsidRPr="00D94554">
              <w:rPr>
                <w:rFonts w:hAnsi="宋体"/>
                <w:sz w:val="18"/>
                <w:szCs w:val="18"/>
                <w:lang w:eastAsia="en-US" w:bidi="en-US"/>
              </w:rPr>
              <w:t>占地范围内</w:t>
            </w:r>
          </w:p>
        </w:tc>
        <w:tc>
          <w:tcPr>
            <w:tcW w:w="610"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r w:rsidRPr="00D94554">
              <w:rPr>
                <w:rFonts w:hAnsi="宋体"/>
                <w:sz w:val="18"/>
                <w:szCs w:val="18"/>
                <w:lang w:eastAsia="en-US" w:bidi="en-US"/>
              </w:rPr>
              <w:t>占地范围外</w:t>
            </w:r>
          </w:p>
        </w:tc>
        <w:tc>
          <w:tcPr>
            <w:tcW w:w="1152" w:type="pct"/>
            <w:gridSpan w:val="2"/>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r w:rsidRPr="00D94554">
              <w:rPr>
                <w:rFonts w:hAnsi="宋体"/>
                <w:sz w:val="18"/>
                <w:szCs w:val="18"/>
                <w:lang w:eastAsia="en-US" w:bidi="en-US"/>
              </w:rPr>
              <w:t>深度</w:t>
            </w:r>
          </w:p>
        </w:tc>
        <w:tc>
          <w:tcPr>
            <w:tcW w:w="738" w:type="pct"/>
            <w:vMerge w:val="restar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r w:rsidRPr="00D94554">
              <w:rPr>
                <w:rFonts w:hAnsi="宋体"/>
                <w:sz w:val="18"/>
                <w:szCs w:val="18"/>
                <w:lang w:eastAsia="en-US" w:bidi="en-US"/>
              </w:rPr>
              <w:t>点位布置图</w:t>
            </w:r>
          </w:p>
        </w:tc>
      </w:tr>
      <w:tr w:rsidR="00D94554" w:rsidRPr="00D94554" w:rsidTr="00C66914">
        <w:trPr>
          <w:trHeight w:val="340"/>
          <w:jc w:val="center"/>
        </w:trPr>
        <w:tc>
          <w:tcPr>
            <w:tcW w:w="229" w:type="pct"/>
            <w:vMerge/>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p>
        </w:tc>
        <w:tc>
          <w:tcPr>
            <w:tcW w:w="803" w:type="pct"/>
            <w:vMerge/>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p>
        </w:tc>
        <w:tc>
          <w:tcPr>
            <w:tcW w:w="863"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r w:rsidRPr="00D94554">
              <w:rPr>
                <w:rFonts w:hAnsi="宋体"/>
                <w:sz w:val="18"/>
                <w:szCs w:val="18"/>
                <w:lang w:eastAsia="en-US" w:bidi="en-US"/>
              </w:rPr>
              <w:t>表层样点数</w:t>
            </w:r>
          </w:p>
        </w:tc>
        <w:tc>
          <w:tcPr>
            <w:tcW w:w="604"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bidi="en-US"/>
              </w:rPr>
            </w:pPr>
            <w:r w:rsidRPr="00D94554">
              <w:rPr>
                <w:rFonts w:hint="eastAsia"/>
                <w:sz w:val="18"/>
                <w:szCs w:val="18"/>
                <w:lang w:bidi="en-US"/>
              </w:rPr>
              <w:t>2</w:t>
            </w:r>
          </w:p>
        </w:tc>
        <w:tc>
          <w:tcPr>
            <w:tcW w:w="610"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bidi="en-US"/>
              </w:rPr>
            </w:pPr>
            <w:r w:rsidRPr="00D94554">
              <w:rPr>
                <w:rFonts w:hint="eastAsia"/>
                <w:sz w:val="18"/>
                <w:szCs w:val="18"/>
                <w:lang w:bidi="en-US"/>
              </w:rPr>
              <w:t>4</w:t>
            </w:r>
          </w:p>
        </w:tc>
        <w:tc>
          <w:tcPr>
            <w:tcW w:w="1152" w:type="pct"/>
            <w:gridSpan w:val="2"/>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r w:rsidRPr="00D94554">
              <w:rPr>
                <w:sz w:val="18"/>
                <w:szCs w:val="18"/>
                <w:lang w:eastAsia="en-US" w:bidi="en-US"/>
              </w:rPr>
              <w:t>0-0.</w:t>
            </w:r>
            <w:r w:rsidRPr="00D94554">
              <w:rPr>
                <w:sz w:val="18"/>
                <w:szCs w:val="18"/>
                <w:lang w:bidi="en-US"/>
              </w:rPr>
              <w:t>2</w:t>
            </w:r>
            <w:r w:rsidRPr="00D94554">
              <w:rPr>
                <w:sz w:val="18"/>
                <w:szCs w:val="18"/>
                <w:lang w:eastAsia="en-US" w:bidi="en-US"/>
              </w:rPr>
              <w:t>m</w:t>
            </w:r>
          </w:p>
        </w:tc>
        <w:tc>
          <w:tcPr>
            <w:tcW w:w="738" w:type="pct"/>
            <w:vMerge/>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p>
        </w:tc>
      </w:tr>
      <w:tr w:rsidR="00D94554" w:rsidRPr="00D94554" w:rsidTr="00C66914">
        <w:trPr>
          <w:trHeight w:val="340"/>
          <w:jc w:val="center"/>
        </w:trPr>
        <w:tc>
          <w:tcPr>
            <w:tcW w:w="229" w:type="pct"/>
            <w:vMerge/>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p>
        </w:tc>
        <w:tc>
          <w:tcPr>
            <w:tcW w:w="803" w:type="pct"/>
            <w:vMerge/>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p>
        </w:tc>
        <w:tc>
          <w:tcPr>
            <w:tcW w:w="863"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r w:rsidRPr="00D94554">
              <w:rPr>
                <w:rFonts w:hAnsi="宋体"/>
                <w:sz w:val="18"/>
                <w:szCs w:val="18"/>
                <w:lang w:eastAsia="en-US" w:bidi="en-US"/>
              </w:rPr>
              <w:t>柱状样点数</w:t>
            </w:r>
          </w:p>
        </w:tc>
        <w:tc>
          <w:tcPr>
            <w:tcW w:w="604"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bidi="en-US"/>
              </w:rPr>
            </w:pPr>
            <w:r w:rsidRPr="00D94554">
              <w:rPr>
                <w:rFonts w:hint="eastAsia"/>
                <w:sz w:val="18"/>
                <w:szCs w:val="18"/>
                <w:lang w:bidi="en-US"/>
              </w:rPr>
              <w:t>5</w:t>
            </w:r>
          </w:p>
        </w:tc>
        <w:tc>
          <w:tcPr>
            <w:tcW w:w="610"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bidi="en-US"/>
              </w:rPr>
            </w:pPr>
            <w:r w:rsidRPr="00D94554">
              <w:rPr>
                <w:rFonts w:hint="eastAsia"/>
                <w:sz w:val="18"/>
                <w:szCs w:val="18"/>
                <w:lang w:bidi="en-US"/>
              </w:rPr>
              <w:t>0</w:t>
            </w:r>
          </w:p>
        </w:tc>
        <w:tc>
          <w:tcPr>
            <w:tcW w:w="1152" w:type="pct"/>
            <w:gridSpan w:val="2"/>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r w:rsidRPr="00D94554">
              <w:rPr>
                <w:sz w:val="18"/>
                <w:szCs w:val="18"/>
                <w:lang w:eastAsia="en-US" w:bidi="en-US"/>
              </w:rPr>
              <w:t>0-0.5m</w:t>
            </w:r>
            <w:r w:rsidRPr="00D94554">
              <w:rPr>
                <w:rFonts w:hAnsi="宋体"/>
                <w:sz w:val="18"/>
                <w:szCs w:val="18"/>
                <w:lang w:eastAsia="en-US" w:bidi="en-US"/>
              </w:rPr>
              <w:t>、</w:t>
            </w:r>
            <w:r w:rsidRPr="00D94554">
              <w:rPr>
                <w:sz w:val="18"/>
                <w:szCs w:val="18"/>
                <w:lang w:eastAsia="en-US" w:bidi="en-US"/>
              </w:rPr>
              <w:t>0.5-1.5m</w:t>
            </w:r>
            <w:r w:rsidRPr="00D94554">
              <w:rPr>
                <w:rFonts w:hAnsi="宋体"/>
                <w:sz w:val="18"/>
                <w:szCs w:val="18"/>
                <w:lang w:eastAsia="en-US" w:bidi="en-US"/>
              </w:rPr>
              <w:t>、</w:t>
            </w:r>
            <w:r w:rsidRPr="00D94554">
              <w:rPr>
                <w:sz w:val="18"/>
                <w:szCs w:val="18"/>
                <w:lang w:eastAsia="en-US" w:bidi="en-US"/>
              </w:rPr>
              <w:t>1.5-3m</w:t>
            </w:r>
          </w:p>
        </w:tc>
        <w:tc>
          <w:tcPr>
            <w:tcW w:w="738" w:type="pct"/>
            <w:vMerge/>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p>
        </w:tc>
      </w:tr>
      <w:tr w:rsidR="00D94554" w:rsidRPr="00D94554" w:rsidTr="00C66914">
        <w:trPr>
          <w:trHeight w:val="340"/>
          <w:jc w:val="center"/>
        </w:trPr>
        <w:tc>
          <w:tcPr>
            <w:tcW w:w="229" w:type="pct"/>
            <w:vMerge/>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p>
        </w:tc>
        <w:tc>
          <w:tcPr>
            <w:tcW w:w="803"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r w:rsidRPr="00D94554">
              <w:rPr>
                <w:rFonts w:hAnsi="宋体"/>
                <w:sz w:val="18"/>
                <w:szCs w:val="18"/>
                <w:lang w:eastAsia="en-US" w:bidi="en-US"/>
              </w:rPr>
              <w:t>现状监测因子</w:t>
            </w:r>
          </w:p>
        </w:tc>
        <w:tc>
          <w:tcPr>
            <w:tcW w:w="3229" w:type="pct"/>
            <w:gridSpan w:val="5"/>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bidi="en-US"/>
              </w:rPr>
            </w:pPr>
            <w:r w:rsidRPr="00D94554">
              <w:rPr>
                <w:rFonts w:hint="eastAsia"/>
                <w:sz w:val="18"/>
                <w:szCs w:val="18"/>
                <w:lang w:bidi="en-US"/>
              </w:rPr>
              <w:t>《土壤环境质量</w:t>
            </w:r>
            <w:r w:rsidRPr="00D94554">
              <w:rPr>
                <w:sz w:val="18"/>
                <w:szCs w:val="18"/>
                <w:lang w:bidi="en-US"/>
              </w:rPr>
              <w:t>-</w:t>
            </w:r>
            <w:r w:rsidRPr="00D94554">
              <w:rPr>
                <w:sz w:val="18"/>
                <w:szCs w:val="18"/>
                <w:lang w:bidi="en-US"/>
              </w:rPr>
              <w:t>建设用地土壤污染风险管控标准（试行）》（</w:t>
            </w:r>
            <w:r w:rsidRPr="00D94554">
              <w:rPr>
                <w:sz w:val="18"/>
                <w:szCs w:val="18"/>
                <w:lang w:bidi="en-US"/>
              </w:rPr>
              <w:t>GB36600-2018</w:t>
            </w:r>
            <w:r w:rsidRPr="00D94554">
              <w:rPr>
                <w:sz w:val="18"/>
                <w:szCs w:val="18"/>
                <w:lang w:bidi="en-US"/>
              </w:rPr>
              <w:t>）表</w:t>
            </w:r>
            <w:r w:rsidRPr="00D94554">
              <w:rPr>
                <w:sz w:val="18"/>
                <w:szCs w:val="18"/>
                <w:lang w:bidi="en-US"/>
              </w:rPr>
              <w:t>1</w:t>
            </w:r>
            <w:r w:rsidRPr="00D94554">
              <w:rPr>
                <w:rFonts w:hint="eastAsia"/>
                <w:sz w:val="18"/>
                <w:szCs w:val="18"/>
                <w:lang w:bidi="en-US"/>
              </w:rPr>
              <w:t>、表</w:t>
            </w:r>
            <w:r w:rsidRPr="00D94554">
              <w:rPr>
                <w:rFonts w:hint="eastAsia"/>
                <w:sz w:val="18"/>
                <w:szCs w:val="18"/>
                <w:lang w:bidi="en-US"/>
              </w:rPr>
              <w:t>2</w:t>
            </w:r>
          </w:p>
        </w:tc>
        <w:tc>
          <w:tcPr>
            <w:tcW w:w="738"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bidi="en-US"/>
              </w:rPr>
            </w:pPr>
          </w:p>
        </w:tc>
      </w:tr>
      <w:tr w:rsidR="00D94554" w:rsidRPr="00D94554" w:rsidTr="00C66914">
        <w:trPr>
          <w:trHeight w:val="340"/>
          <w:jc w:val="center"/>
        </w:trPr>
        <w:tc>
          <w:tcPr>
            <w:tcW w:w="229" w:type="pct"/>
            <w:vMerge w:val="restar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r w:rsidRPr="00D94554">
              <w:rPr>
                <w:rFonts w:hAnsi="宋体"/>
                <w:sz w:val="18"/>
                <w:szCs w:val="18"/>
                <w:lang w:eastAsia="en-US" w:bidi="en-US"/>
              </w:rPr>
              <w:t>现状评价</w:t>
            </w:r>
          </w:p>
        </w:tc>
        <w:tc>
          <w:tcPr>
            <w:tcW w:w="803"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r w:rsidRPr="00D94554">
              <w:rPr>
                <w:rFonts w:hAnsi="宋体"/>
                <w:sz w:val="18"/>
                <w:szCs w:val="18"/>
                <w:lang w:eastAsia="en-US" w:bidi="en-US"/>
              </w:rPr>
              <w:t>评价因子</w:t>
            </w:r>
          </w:p>
        </w:tc>
        <w:tc>
          <w:tcPr>
            <w:tcW w:w="3229" w:type="pct"/>
            <w:gridSpan w:val="5"/>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bidi="en-US"/>
              </w:rPr>
            </w:pPr>
            <w:r w:rsidRPr="00D94554">
              <w:rPr>
                <w:rFonts w:hint="eastAsia"/>
                <w:sz w:val="18"/>
                <w:szCs w:val="18"/>
                <w:lang w:bidi="en-US"/>
              </w:rPr>
              <w:t>《土壤环境质量</w:t>
            </w:r>
            <w:r w:rsidRPr="00D94554">
              <w:rPr>
                <w:sz w:val="18"/>
                <w:szCs w:val="18"/>
                <w:lang w:bidi="en-US"/>
              </w:rPr>
              <w:t>-</w:t>
            </w:r>
            <w:r w:rsidRPr="00D94554">
              <w:rPr>
                <w:sz w:val="18"/>
                <w:szCs w:val="18"/>
                <w:lang w:bidi="en-US"/>
              </w:rPr>
              <w:t>建设用地土壤污染风险管控标准（试行）》（</w:t>
            </w:r>
            <w:r w:rsidRPr="00D94554">
              <w:rPr>
                <w:sz w:val="18"/>
                <w:szCs w:val="18"/>
                <w:lang w:bidi="en-US"/>
              </w:rPr>
              <w:t>GB36600-2018</w:t>
            </w:r>
            <w:r w:rsidRPr="00D94554">
              <w:rPr>
                <w:sz w:val="18"/>
                <w:szCs w:val="18"/>
                <w:lang w:bidi="en-US"/>
              </w:rPr>
              <w:t>）表</w:t>
            </w:r>
            <w:r w:rsidRPr="00D94554">
              <w:rPr>
                <w:sz w:val="18"/>
                <w:szCs w:val="18"/>
                <w:lang w:bidi="en-US"/>
              </w:rPr>
              <w:t>1</w:t>
            </w:r>
            <w:r w:rsidRPr="00D94554">
              <w:rPr>
                <w:sz w:val="18"/>
                <w:szCs w:val="18"/>
                <w:lang w:bidi="en-US"/>
              </w:rPr>
              <w:t>基本项目</w:t>
            </w:r>
          </w:p>
        </w:tc>
        <w:tc>
          <w:tcPr>
            <w:tcW w:w="738"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bidi="en-US"/>
              </w:rPr>
            </w:pPr>
          </w:p>
        </w:tc>
      </w:tr>
      <w:tr w:rsidR="00D94554" w:rsidRPr="00D94554" w:rsidTr="00C66914">
        <w:trPr>
          <w:trHeight w:val="340"/>
          <w:jc w:val="center"/>
        </w:trPr>
        <w:tc>
          <w:tcPr>
            <w:tcW w:w="229" w:type="pct"/>
            <w:vMerge/>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bidi="en-US"/>
              </w:rPr>
            </w:pPr>
          </w:p>
        </w:tc>
        <w:tc>
          <w:tcPr>
            <w:tcW w:w="803"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r w:rsidRPr="00D94554">
              <w:rPr>
                <w:rFonts w:hAnsi="宋体"/>
                <w:sz w:val="18"/>
                <w:szCs w:val="18"/>
                <w:lang w:eastAsia="en-US" w:bidi="en-US"/>
              </w:rPr>
              <w:t>评价标准</w:t>
            </w:r>
          </w:p>
        </w:tc>
        <w:tc>
          <w:tcPr>
            <w:tcW w:w="3229" w:type="pct"/>
            <w:gridSpan w:val="5"/>
            <w:vAlign w:val="center"/>
          </w:tcPr>
          <w:p w:rsidR="00D94554" w:rsidRPr="00D94554" w:rsidRDefault="00D94554" w:rsidP="00D94554">
            <w:pPr>
              <w:autoSpaceDE w:val="0"/>
              <w:autoSpaceDN w:val="0"/>
              <w:adjustRightInd/>
              <w:snapToGrid/>
              <w:spacing w:line="240" w:lineRule="auto"/>
              <w:ind w:leftChars="50" w:left="120" w:firstLineChars="0" w:firstLine="0"/>
              <w:jc w:val="center"/>
              <w:textAlignment w:val="auto"/>
              <w:rPr>
                <w:sz w:val="18"/>
                <w:szCs w:val="18"/>
                <w:lang w:eastAsia="en-US" w:bidi="en-US"/>
              </w:rPr>
            </w:pPr>
            <w:r w:rsidRPr="00D94554">
              <w:rPr>
                <w:rFonts w:eastAsia="Times New Roman"/>
                <w:sz w:val="18"/>
                <w:szCs w:val="18"/>
                <w:lang w:eastAsia="en-US" w:bidi="en-US"/>
              </w:rPr>
              <w:t>GB 15618</w:t>
            </w:r>
            <w:r w:rsidRPr="00D94554">
              <w:rPr>
                <w:rFonts w:eastAsia="MS Mincho" w:hAnsi="MS Mincho"/>
                <w:sz w:val="18"/>
                <w:szCs w:val="18"/>
                <w:lang w:eastAsia="en-US" w:bidi="en-US"/>
              </w:rPr>
              <w:t>☑</w:t>
            </w:r>
            <w:r w:rsidRPr="00D94554">
              <w:rPr>
                <w:rFonts w:hAnsi="宋体"/>
                <w:sz w:val="18"/>
                <w:szCs w:val="18"/>
                <w:lang w:eastAsia="en-US" w:bidi="en-US"/>
              </w:rPr>
              <w:t>；</w:t>
            </w:r>
            <w:r w:rsidRPr="00D94554">
              <w:rPr>
                <w:rFonts w:eastAsia="Times New Roman"/>
                <w:sz w:val="18"/>
                <w:szCs w:val="18"/>
                <w:lang w:eastAsia="en-US" w:bidi="en-US"/>
              </w:rPr>
              <w:t>GB 36600</w:t>
            </w:r>
            <w:r w:rsidRPr="00D94554">
              <w:rPr>
                <w:rFonts w:hint="eastAsia"/>
                <w:sz w:val="18"/>
                <w:szCs w:val="18"/>
                <w:lang w:eastAsia="en-US" w:bidi="en-US"/>
              </w:rPr>
              <w:t>□</w:t>
            </w:r>
            <w:r w:rsidRPr="00D94554">
              <w:rPr>
                <w:rFonts w:hAnsi="宋体"/>
                <w:sz w:val="18"/>
                <w:szCs w:val="18"/>
                <w:lang w:eastAsia="en-US" w:bidi="en-US"/>
              </w:rPr>
              <w:t>；表</w:t>
            </w:r>
            <w:r w:rsidRPr="00D94554">
              <w:rPr>
                <w:rFonts w:eastAsia="Times New Roman"/>
                <w:sz w:val="18"/>
                <w:szCs w:val="18"/>
                <w:lang w:eastAsia="en-US" w:bidi="en-US"/>
              </w:rPr>
              <w:t>D.1</w:t>
            </w:r>
            <w:r w:rsidRPr="00D94554">
              <w:rPr>
                <w:rFonts w:hint="eastAsia"/>
                <w:sz w:val="18"/>
                <w:szCs w:val="18"/>
                <w:lang w:eastAsia="en-US" w:bidi="en-US"/>
              </w:rPr>
              <w:t>□</w:t>
            </w:r>
            <w:r w:rsidRPr="00D94554">
              <w:rPr>
                <w:rFonts w:hAnsi="宋体"/>
                <w:sz w:val="18"/>
                <w:szCs w:val="18"/>
                <w:lang w:eastAsia="en-US" w:bidi="en-US"/>
              </w:rPr>
              <w:t>；表</w:t>
            </w:r>
            <w:r w:rsidRPr="00D94554">
              <w:rPr>
                <w:sz w:val="18"/>
                <w:szCs w:val="18"/>
                <w:lang w:eastAsia="en-US" w:bidi="en-US"/>
              </w:rPr>
              <w:t xml:space="preserve"> </w:t>
            </w:r>
            <w:r w:rsidRPr="00D94554">
              <w:rPr>
                <w:rFonts w:eastAsia="Times New Roman"/>
                <w:sz w:val="18"/>
                <w:szCs w:val="18"/>
                <w:lang w:eastAsia="en-US" w:bidi="en-US"/>
              </w:rPr>
              <w:t>D.2</w:t>
            </w:r>
            <w:r w:rsidRPr="00D94554">
              <w:rPr>
                <w:rFonts w:hint="eastAsia"/>
                <w:sz w:val="18"/>
                <w:szCs w:val="18"/>
                <w:lang w:eastAsia="en-US" w:bidi="en-US"/>
              </w:rPr>
              <w:t>□</w:t>
            </w:r>
            <w:r w:rsidRPr="00D94554">
              <w:rPr>
                <w:rFonts w:hAnsi="宋体"/>
                <w:sz w:val="18"/>
                <w:szCs w:val="18"/>
                <w:lang w:eastAsia="en-US" w:bidi="en-US"/>
              </w:rPr>
              <w:t>；其他（</w:t>
            </w:r>
            <w:r w:rsidRPr="00D94554">
              <w:rPr>
                <w:sz w:val="18"/>
                <w:szCs w:val="18"/>
                <w:lang w:bidi="en-US"/>
              </w:rPr>
              <w:t xml:space="preserve">    </w:t>
            </w:r>
            <w:r w:rsidRPr="00D94554">
              <w:rPr>
                <w:rFonts w:hAnsi="宋体"/>
                <w:sz w:val="18"/>
                <w:szCs w:val="18"/>
                <w:lang w:eastAsia="en-US" w:bidi="en-US"/>
              </w:rPr>
              <w:t>）</w:t>
            </w:r>
          </w:p>
        </w:tc>
        <w:tc>
          <w:tcPr>
            <w:tcW w:w="738"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p>
        </w:tc>
      </w:tr>
      <w:tr w:rsidR="00D94554" w:rsidRPr="00D94554" w:rsidTr="00C66914">
        <w:trPr>
          <w:trHeight w:val="340"/>
          <w:jc w:val="center"/>
        </w:trPr>
        <w:tc>
          <w:tcPr>
            <w:tcW w:w="229" w:type="pct"/>
            <w:vMerge/>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p>
        </w:tc>
        <w:tc>
          <w:tcPr>
            <w:tcW w:w="803"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r w:rsidRPr="00D94554">
              <w:rPr>
                <w:rFonts w:hAnsi="宋体"/>
                <w:sz w:val="18"/>
                <w:szCs w:val="18"/>
                <w:lang w:eastAsia="en-US" w:bidi="en-US"/>
              </w:rPr>
              <w:t>现状评价结论</w:t>
            </w:r>
          </w:p>
        </w:tc>
        <w:tc>
          <w:tcPr>
            <w:tcW w:w="3229" w:type="pct"/>
            <w:gridSpan w:val="5"/>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bidi="en-US"/>
              </w:rPr>
            </w:pPr>
            <w:r w:rsidRPr="00D94554">
              <w:rPr>
                <w:rFonts w:hint="eastAsia"/>
                <w:sz w:val="18"/>
                <w:szCs w:val="18"/>
                <w:lang w:bidi="en-US"/>
              </w:rPr>
              <w:t>厂址内土壤中各监测点位的各监测因子均符合《土壤环境质量</w:t>
            </w:r>
            <w:r w:rsidRPr="00D94554">
              <w:rPr>
                <w:sz w:val="18"/>
                <w:szCs w:val="18"/>
                <w:lang w:bidi="en-US"/>
              </w:rPr>
              <w:t xml:space="preserve"> </w:t>
            </w:r>
            <w:r w:rsidRPr="00D94554">
              <w:rPr>
                <w:sz w:val="18"/>
                <w:szCs w:val="18"/>
                <w:lang w:bidi="en-US"/>
              </w:rPr>
              <w:t>建设用地土壤污染风险管控标准（试行）（</w:t>
            </w:r>
            <w:r w:rsidRPr="00D94554">
              <w:rPr>
                <w:sz w:val="18"/>
                <w:szCs w:val="18"/>
                <w:lang w:bidi="en-US"/>
              </w:rPr>
              <w:t>GB36600-2018</w:t>
            </w:r>
            <w:r w:rsidRPr="00D94554">
              <w:rPr>
                <w:sz w:val="18"/>
                <w:szCs w:val="18"/>
                <w:lang w:bidi="en-US"/>
              </w:rPr>
              <w:t>）表</w:t>
            </w:r>
            <w:r w:rsidRPr="00D94554">
              <w:rPr>
                <w:sz w:val="18"/>
                <w:szCs w:val="18"/>
                <w:lang w:bidi="en-US"/>
              </w:rPr>
              <w:t>1</w:t>
            </w:r>
            <w:r w:rsidRPr="00D94554">
              <w:rPr>
                <w:sz w:val="18"/>
                <w:szCs w:val="18"/>
                <w:lang w:bidi="en-US"/>
              </w:rPr>
              <w:t>标准限值要求</w:t>
            </w:r>
          </w:p>
        </w:tc>
        <w:tc>
          <w:tcPr>
            <w:tcW w:w="738"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bidi="en-US"/>
              </w:rPr>
            </w:pPr>
          </w:p>
        </w:tc>
      </w:tr>
      <w:tr w:rsidR="00D94554" w:rsidRPr="00D94554" w:rsidTr="00C66914">
        <w:trPr>
          <w:trHeight w:val="340"/>
          <w:jc w:val="center"/>
        </w:trPr>
        <w:tc>
          <w:tcPr>
            <w:tcW w:w="229" w:type="pct"/>
            <w:vMerge w:val="restar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r w:rsidRPr="00D94554">
              <w:rPr>
                <w:rFonts w:hAnsi="宋体"/>
                <w:sz w:val="18"/>
                <w:szCs w:val="18"/>
                <w:lang w:eastAsia="en-US" w:bidi="en-US"/>
              </w:rPr>
              <w:t>影响预测</w:t>
            </w:r>
          </w:p>
        </w:tc>
        <w:tc>
          <w:tcPr>
            <w:tcW w:w="803"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r w:rsidRPr="00D94554">
              <w:rPr>
                <w:rFonts w:hAnsi="宋体"/>
                <w:sz w:val="18"/>
                <w:szCs w:val="18"/>
                <w:lang w:eastAsia="en-US" w:bidi="en-US"/>
              </w:rPr>
              <w:t>预测因子</w:t>
            </w:r>
          </w:p>
        </w:tc>
        <w:tc>
          <w:tcPr>
            <w:tcW w:w="3229" w:type="pct"/>
            <w:gridSpan w:val="5"/>
            <w:vAlign w:val="center"/>
          </w:tcPr>
          <w:p w:rsidR="00D94554" w:rsidRPr="00D94554" w:rsidRDefault="00D94554" w:rsidP="00D94554">
            <w:pPr>
              <w:autoSpaceDE w:val="0"/>
              <w:autoSpaceDN w:val="0"/>
              <w:adjustRightInd/>
              <w:snapToGrid/>
              <w:spacing w:line="240" w:lineRule="auto"/>
              <w:ind w:leftChars="50" w:left="120" w:firstLineChars="0" w:firstLine="0"/>
              <w:jc w:val="center"/>
              <w:textAlignment w:val="auto"/>
              <w:rPr>
                <w:sz w:val="18"/>
                <w:szCs w:val="18"/>
                <w:lang w:bidi="en-US"/>
              </w:rPr>
            </w:pPr>
            <w:r w:rsidRPr="00D94554">
              <w:rPr>
                <w:rFonts w:hint="eastAsia"/>
                <w:sz w:val="18"/>
                <w:szCs w:val="18"/>
                <w:lang w:bidi="en-US"/>
              </w:rPr>
              <w:t>/</w:t>
            </w:r>
          </w:p>
        </w:tc>
        <w:tc>
          <w:tcPr>
            <w:tcW w:w="738"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bidi="en-US"/>
              </w:rPr>
            </w:pPr>
          </w:p>
        </w:tc>
      </w:tr>
      <w:tr w:rsidR="00D94554" w:rsidRPr="00D94554" w:rsidTr="00C66914">
        <w:trPr>
          <w:trHeight w:val="340"/>
          <w:jc w:val="center"/>
        </w:trPr>
        <w:tc>
          <w:tcPr>
            <w:tcW w:w="229" w:type="pct"/>
            <w:vMerge/>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bidi="en-US"/>
              </w:rPr>
            </w:pPr>
          </w:p>
        </w:tc>
        <w:tc>
          <w:tcPr>
            <w:tcW w:w="803"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r w:rsidRPr="00D94554">
              <w:rPr>
                <w:rFonts w:hAnsi="宋体"/>
                <w:sz w:val="18"/>
                <w:szCs w:val="18"/>
                <w:lang w:eastAsia="en-US" w:bidi="en-US"/>
              </w:rPr>
              <w:t>预测方法</w:t>
            </w:r>
          </w:p>
        </w:tc>
        <w:tc>
          <w:tcPr>
            <w:tcW w:w="3229" w:type="pct"/>
            <w:gridSpan w:val="5"/>
            <w:vAlign w:val="center"/>
          </w:tcPr>
          <w:p w:rsidR="00D94554" w:rsidRPr="00D94554" w:rsidRDefault="00D94554" w:rsidP="00D94554">
            <w:pPr>
              <w:tabs>
                <w:tab w:val="left" w:pos="2930"/>
              </w:tabs>
              <w:autoSpaceDE w:val="0"/>
              <w:autoSpaceDN w:val="0"/>
              <w:adjustRightInd/>
              <w:snapToGrid/>
              <w:spacing w:line="240" w:lineRule="auto"/>
              <w:ind w:leftChars="50" w:left="120" w:firstLineChars="0" w:firstLine="0"/>
              <w:jc w:val="center"/>
              <w:textAlignment w:val="auto"/>
              <w:rPr>
                <w:sz w:val="18"/>
                <w:szCs w:val="18"/>
                <w:lang w:bidi="en-US"/>
              </w:rPr>
            </w:pPr>
            <w:r w:rsidRPr="00D94554">
              <w:rPr>
                <w:rFonts w:hAnsi="宋体"/>
                <w:sz w:val="18"/>
                <w:szCs w:val="18"/>
                <w:lang w:bidi="en-US"/>
              </w:rPr>
              <w:t>附录</w:t>
            </w:r>
            <w:r w:rsidRPr="00D94554">
              <w:rPr>
                <w:spacing w:val="-46"/>
                <w:sz w:val="18"/>
                <w:szCs w:val="18"/>
                <w:lang w:bidi="en-US"/>
              </w:rPr>
              <w:t xml:space="preserve"> </w:t>
            </w:r>
            <w:r w:rsidRPr="00D94554">
              <w:rPr>
                <w:rFonts w:eastAsia="Times New Roman"/>
                <w:sz w:val="18"/>
                <w:szCs w:val="18"/>
                <w:lang w:bidi="en-US"/>
              </w:rPr>
              <w:t>E</w:t>
            </w:r>
            <w:r w:rsidRPr="00D94554">
              <w:rPr>
                <w:rFonts w:hint="eastAsia"/>
                <w:sz w:val="18"/>
                <w:szCs w:val="18"/>
                <w:lang w:bidi="en-US"/>
              </w:rPr>
              <w:t>□</w:t>
            </w:r>
            <w:r w:rsidRPr="00D94554">
              <w:rPr>
                <w:rFonts w:hAnsi="宋体"/>
                <w:sz w:val="18"/>
                <w:szCs w:val="18"/>
                <w:lang w:bidi="en-US"/>
              </w:rPr>
              <w:t>；附录</w:t>
            </w:r>
            <w:r w:rsidRPr="00D94554">
              <w:rPr>
                <w:spacing w:val="-45"/>
                <w:sz w:val="18"/>
                <w:szCs w:val="18"/>
                <w:lang w:bidi="en-US"/>
              </w:rPr>
              <w:t xml:space="preserve"> </w:t>
            </w:r>
            <w:r w:rsidRPr="00D94554">
              <w:rPr>
                <w:rFonts w:eastAsia="Times New Roman"/>
                <w:sz w:val="18"/>
                <w:szCs w:val="18"/>
                <w:lang w:bidi="en-US"/>
              </w:rPr>
              <w:t>F</w:t>
            </w:r>
            <w:r w:rsidRPr="00D94554">
              <w:rPr>
                <w:rFonts w:hint="eastAsia"/>
                <w:sz w:val="18"/>
                <w:szCs w:val="18"/>
                <w:lang w:bidi="en-US"/>
              </w:rPr>
              <w:t>□</w:t>
            </w:r>
            <w:r w:rsidRPr="00D94554">
              <w:rPr>
                <w:rFonts w:hAnsi="宋体"/>
                <w:sz w:val="18"/>
                <w:szCs w:val="18"/>
                <w:lang w:bidi="en-US"/>
              </w:rPr>
              <w:t>；其他（</w:t>
            </w:r>
            <w:r w:rsidRPr="00D94554">
              <w:rPr>
                <w:sz w:val="18"/>
                <w:szCs w:val="18"/>
                <w:lang w:bidi="en-US"/>
              </w:rPr>
              <w:t xml:space="preserve">    </w:t>
            </w:r>
            <w:r w:rsidRPr="00D94554">
              <w:rPr>
                <w:rFonts w:hAnsi="宋体"/>
                <w:sz w:val="18"/>
                <w:szCs w:val="18"/>
                <w:lang w:bidi="en-US"/>
              </w:rPr>
              <w:t>）</w:t>
            </w:r>
          </w:p>
        </w:tc>
        <w:tc>
          <w:tcPr>
            <w:tcW w:w="738"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bidi="en-US"/>
              </w:rPr>
            </w:pPr>
          </w:p>
        </w:tc>
      </w:tr>
      <w:tr w:rsidR="00D94554" w:rsidRPr="00D94554" w:rsidTr="00C66914">
        <w:trPr>
          <w:trHeight w:val="340"/>
          <w:jc w:val="center"/>
        </w:trPr>
        <w:tc>
          <w:tcPr>
            <w:tcW w:w="229" w:type="pct"/>
            <w:vMerge/>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bidi="en-US"/>
              </w:rPr>
            </w:pPr>
          </w:p>
        </w:tc>
        <w:tc>
          <w:tcPr>
            <w:tcW w:w="803"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r w:rsidRPr="00D94554">
              <w:rPr>
                <w:rFonts w:hAnsi="宋体"/>
                <w:sz w:val="18"/>
                <w:szCs w:val="18"/>
                <w:lang w:eastAsia="en-US" w:bidi="en-US"/>
              </w:rPr>
              <w:t>预测分析内容</w:t>
            </w:r>
          </w:p>
        </w:tc>
        <w:tc>
          <w:tcPr>
            <w:tcW w:w="3229" w:type="pct"/>
            <w:gridSpan w:val="5"/>
            <w:vAlign w:val="center"/>
          </w:tcPr>
          <w:p w:rsidR="00D94554" w:rsidRPr="00D94554" w:rsidRDefault="00D94554" w:rsidP="00D94554">
            <w:pPr>
              <w:tabs>
                <w:tab w:val="left" w:pos="1639"/>
              </w:tabs>
              <w:autoSpaceDE w:val="0"/>
              <w:autoSpaceDN w:val="0"/>
              <w:adjustRightInd/>
              <w:snapToGrid/>
              <w:spacing w:line="240" w:lineRule="auto"/>
              <w:ind w:leftChars="50" w:left="120" w:firstLineChars="0" w:firstLine="0"/>
              <w:jc w:val="center"/>
              <w:textAlignment w:val="auto"/>
              <w:rPr>
                <w:b/>
                <w:sz w:val="18"/>
                <w:szCs w:val="18"/>
                <w:lang w:bidi="en-US"/>
              </w:rPr>
            </w:pPr>
            <w:r w:rsidRPr="00D94554">
              <w:rPr>
                <w:rFonts w:hint="eastAsia"/>
                <w:sz w:val="18"/>
                <w:szCs w:val="18"/>
                <w:lang w:bidi="en-US"/>
              </w:rPr>
              <w:t>类比现有工程，项目生产对项目厂区土壤和厂界外土壤影响很小，基本不会改变土壤的背景值，</w:t>
            </w:r>
            <w:r w:rsidRPr="00D94554">
              <w:rPr>
                <w:sz w:val="18"/>
                <w:szCs w:val="18"/>
                <w:lang w:bidi="en-US"/>
              </w:rPr>
              <w:t>本项目建设可行</w:t>
            </w:r>
          </w:p>
        </w:tc>
        <w:tc>
          <w:tcPr>
            <w:tcW w:w="738"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bidi="en-US"/>
              </w:rPr>
            </w:pPr>
          </w:p>
        </w:tc>
      </w:tr>
      <w:tr w:rsidR="00D94554" w:rsidRPr="00D94554" w:rsidTr="00C66914">
        <w:trPr>
          <w:trHeight w:val="340"/>
          <w:jc w:val="center"/>
        </w:trPr>
        <w:tc>
          <w:tcPr>
            <w:tcW w:w="229" w:type="pct"/>
            <w:vMerge/>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bidi="en-US"/>
              </w:rPr>
            </w:pPr>
          </w:p>
        </w:tc>
        <w:tc>
          <w:tcPr>
            <w:tcW w:w="803"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r w:rsidRPr="00D94554">
              <w:rPr>
                <w:rFonts w:hAnsi="宋体"/>
                <w:sz w:val="18"/>
                <w:szCs w:val="18"/>
                <w:lang w:eastAsia="en-US" w:bidi="en-US"/>
              </w:rPr>
              <w:t>预测结论</w:t>
            </w:r>
          </w:p>
        </w:tc>
        <w:tc>
          <w:tcPr>
            <w:tcW w:w="3229" w:type="pct"/>
            <w:gridSpan w:val="5"/>
            <w:vAlign w:val="center"/>
          </w:tcPr>
          <w:p w:rsidR="00D94554" w:rsidRPr="00D94554" w:rsidRDefault="00D94554" w:rsidP="00D94554">
            <w:pPr>
              <w:autoSpaceDE w:val="0"/>
              <w:autoSpaceDN w:val="0"/>
              <w:adjustRightInd/>
              <w:snapToGrid/>
              <w:spacing w:line="240" w:lineRule="auto"/>
              <w:ind w:leftChars="50" w:left="120" w:firstLineChars="0" w:firstLine="0"/>
              <w:jc w:val="center"/>
              <w:textAlignment w:val="auto"/>
              <w:rPr>
                <w:sz w:val="18"/>
                <w:szCs w:val="18"/>
                <w:lang w:bidi="en-US"/>
              </w:rPr>
            </w:pPr>
            <w:r w:rsidRPr="00D94554">
              <w:rPr>
                <w:rFonts w:hAnsi="宋体"/>
                <w:sz w:val="18"/>
                <w:szCs w:val="18"/>
                <w:lang w:bidi="en-US"/>
              </w:rPr>
              <w:t>达标结论：</w:t>
            </w:r>
            <w:r w:rsidRPr="00D94554">
              <w:rPr>
                <w:rFonts w:eastAsia="Times New Roman"/>
                <w:sz w:val="18"/>
                <w:szCs w:val="18"/>
                <w:lang w:bidi="en-US"/>
              </w:rPr>
              <w:t>a</w:t>
            </w:r>
            <w:r w:rsidRPr="00D94554">
              <w:rPr>
                <w:rFonts w:hAnsi="宋体"/>
                <w:sz w:val="18"/>
                <w:szCs w:val="18"/>
                <w:lang w:bidi="en-US"/>
              </w:rPr>
              <w:t>）</w:t>
            </w:r>
            <w:r w:rsidRPr="00D94554">
              <w:rPr>
                <w:rFonts w:eastAsia="MS Mincho" w:hAnsi="MS Mincho"/>
                <w:sz w:val="18"/>
                <w:szCs w:val="18"/>
                <w:lang w:bidi="en-US"/>
              </w:rPr>
              <w:t>☑</w:t>
            </w:r>
            <w:r w:rsidRPr="00D94554">
              <w:rPr>
                <w:rFonts w:hAnsi="宋体"/>
                <w:sz w:val="18"/>
                <w:szCs w:val="18"/>
                <w:lang w:bidi="en-US"/>
              </w:rPr>
              <w:t>；</w:t>
            </w:r>
            <w:r w:rsidRPr="00D94554">
              <w:rPr>
                <w:rFonts w:eastAsia="Times New Roman"/>
                <w:sz w:val="18"/>
                <w:szCs w:val="18"/>
                <w:lang w:bidi="en-US"/>
              </w:rPr>
              <w:t>b</w:t>
            </w:r>
            <w:r w:rsidRPr="00D94554">
              <w:rPr>
                <w:rFonts w:hAnsi="宋体"/>
                <w:sz w:val="18"/>
                <w:szCs w:val="18"/>
                <w:lang w:bidi="en-US"/>
              </w:rPr>
              <w:t>）</w:t>
            </w:r>
            <w:r w:rsidRPr="00D94554">
              <w:rPr>
                <w:rFonts w:hint="eastAsia"/>
                <w:sz w:val="18"/>
                <w:szCs w:val="18"/>
                <w:lang w:bidi="en-US"/>
              </w:rPr>
              <w:t>□</w:t>
            </w:r>
            <w:r w:rsidRPr="00D94554">
              <w:rPr>
                <w:rFonts w:hAnsi="宋体"/>
                <w:sz w:val="18"/>
                <w:szCs w:val="18"/>
                <w:lang w:bidi="en-US"/>
              </w:rPr>
              <w:t>；</w:t>
            </w:r>
            <w:r w:rsidRPr="00D94554">
              <w:rPr>
                <w:rFonts w:eastAsia="Times New Roman"/>
                <w:sz w:val="18"/>
                <w:szCs w:val="18"/>
                <w:lang w:bidi="en-US"/>
              </w:rPr>
              <w:t>c</w:t>
            </w:r>
            <w:r w:rsidRPr="00D94554">
              <w:rPr>
                <w:rFonts w:hAnsi="宋体"/>
                <w:sz w:val="18"/>
                <w:szCs w:val="18"/>
                <w:lang w:bidi="en-US"/>
              </w:rPr>
              <w:t>）</w:t>
            </w:r>
            <w:r w:rsidRPr="00D94554">
              <w:rPr>
                <w:rFonts w:hint="eastAsia"/>
                <w:sz w:val="18"/>
                <w:szCs w:val="18"/>
                <w:lang w:bidi="en-US"/>
              </w:rPr>
              <w:t>□</w:t>
            </w:r>
          </w:p>
          <w:p w:rsidR="00D94554" w:rsidRPr="00D94554" w:rsidRDefault="00D94554" w:rsidP="00D94554">
            <w:pPr>
              <w:autoSpaceDE w:val="0"/>
              <w:autoSpaceDN w:val="0"/>
              <w:adjustRightInd/>
              <w:snapToGrid/>
              <w:spacing w:line="240" w:lineRule="auto"/>
              <w:ind w:leftChars="50" w:left="120" w:firstLineChars="0" w:firstLine="0"/>
              <w:jc w:val="center"/>
              <w:textAlignment w:val="auto"/>
              <w:rPr>
                <w:sz w:val="18"/>
                <w:szCs w:val="18"/>
                <w:lang w:bidi="en-US"/>
              </w:rPr>
            </w:pPr>
            <w:r w:rsidRPr="00D94554">
              <w:rPr>
                <w:rFonts w:hAnsi="宋体"/>
                <w:sz w:val="18"/>
                <w:szCs w:val="18"/>
                <w:lang w:bidi="en-US"/>
              </w:rPr>
              <w:t>不达标结论：</w:t>
            </w:r>
            <w:r w:rsidRPr="00D94554">
              <w:rPr>
                <w:rFonts w:eastAsia="Times New Roman"/>
                <w:sz w:val="18"/>
                <w:szCs w:val="18"/>
                <w:lang w:bidi="en-US"/>
              </w:rPr>
              <w:t>a</w:t>
            </w:r>
            <w:r w:rsidRPr="00D94554">
              <w:rPr>
                <w:rFonts w:hAnsi="宋体"/>
                <w:sz w:val="18"/>
                <w:szCs w:val="18"/>
                <w:lang w:bidi="en-US"/>
              </w:rPr>
              <w:t>）</w:t>
            </w:r>
            <w:r w:rsidRPr="00D94554">
              <w:rPr>
                <w:rFonts w:hint="eastAsia"/>
                <w:sz w:val="18"/>
                <w:szCs w:val="18"/>
                <w:lang w:bidi="en-US"/>
              </w:rPr>
              <w:t>□</w:t>
            </w:r>
            <w:r w:rsidRPr="00D94554">
              <w:rPr>
                <w:rFonts w:hAnsi="宋体"/>
                <w:sz w:val="18"/>
                <w:szCs w:val="18"/>
                <w:lang w:bidi="en-US"/>
              </w:rPr>
              <w:t>；</w:t>
            </w:r>
            <w:r w:rsidRPr="00D94554">
              <w:rPr>
                <w:rFonts w:eastAsia="Times New Roman"/>
                <w:sz w:val="18"/>
                <w:szCs w:val="18"/>
                <w:lang w:bidi="en-US"/>
              </w:rPr>
              <w:t>b</w:t>
            </w:r>
            <w:r w:rsidRPr="00D94554">
              <w:rPr>
                <w:rFonts w:hAnsi="宋体"/>
                <w:sz w:val="18"/>
                <w:szCs w:val="18"/>
                <w:lang w:bidi="en-US"/>
              </w:rPr>
              <w:t>）</w:t>
            </w:r>
            <w:r w:rsidRPr="00D94554">
              <w:rPr>
                <w:rFonts w:hint="eastAsia"/>
                <w:sz w:val="18"/>
                <w:szCs w:val="18"/>
                <w:lang w:bidi="en-US"/>
              </w:rPr>
              <w:t>□</w:t>
            </w:r>
          </w:p>
        </w:tc>
        <w:tc>
          <w:tcPr>
            <w:tcW w:w="738"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bidi="en-US"/>
              </w:rPr>
            </w:pPr>
          </w:p>
        </w:tc>
      </w:tr>
      <w:tr w:rsidR="00D94554" w:rsidRPr="00D94554" w:rsidTr="00C66914">
        <w:trPr>
          <w:trHeight w:val="340"/>
          <w:jc w:val="center"/>
        </w:trPr>
        <w:tc>
          <w:tcPr>
            <w:tcW w:w="229" w:type="pct"/>
            <w:vMerge w:val="restar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r w:rsidRPr="00D94554">
              <w:rPr>
                <w:rFonts w:hAnsi="宋体"/>
                <w:sz w:val="18"/>
                <w:szCs w:val="18"/>
                <w:lang w:eastAsia="en-US" w:bidi="en-US"/>
              </w:rPr>
              <w:t>防治措施</w:t>
            </w:r>
          </w:p>
        </w:tc>
        <w:tc>
          <w:tcPr>
            <w:tcW w:w="803"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r w:rsidRPr="00D94554">
              <w:rPr>
                <w:rFonts w:hAnsi="宋体"/>
                <w:sz w:val="18"/>
                <w:szCs w:val="18"/>
                <w:lang w:eastAsia="en-US" w:bidi="en-US"/>
              </w:rPr>
              <w:t>防控措施</w:t>
            </w:r>
          </w:p>
        </w:tc>
        <w:tc>
          <w:tcPr>
            <w:tcW w:w="3229" w:type="pct"/>
            <w:gridSpan w:val="5"/>
            <w:vAlign w:val="center"/>
          </w:tcPr>
          <w:p w:rsidR="00D94554" w:rsidRPr="00D94554" w:rsidRDefault="00D94554" w:rsidP="00D94554">
            <w:pPr>
              <w:autoSpaceDE w:val="0"/>
              <w:autoSpaceDN w:val="0"/>
              <w:adjustRightInd/>
              <w:snapToGrid/>
              <w:spacing w:line="240" w:lineRule="auto"/>
              <w:ind w:leftChars="50" w:left="120" w:firstLineChars="0" w:firstLine="0"/>
              <w:jc w:val="center"/>
              <w:textAlignment w:val="auto"/>
              <w:rPr>
                <w:sz w:val="18"/>
                <w:szCs w:val="18"/>
                <w:lang w:bidi="en-US"/>
              </w:rPr>
            </w:pPr>
            <w:r w:rsidRPr="00D94554">
              <w:rPr>
                <w:rFonts w:hAnsi="宋体"/>
                <w:sz w:val="18"/>
                <w:szCs w:val="18"/>
                <w:lang w:bidi="en-US"/>
              </w:rPr>
              <w:t>土壤环境质量现状保障</w:t>
            </w:r>
            <w:r w:rsidRPr="00D94554">
              <w:rPr>
                <w:rFonts w:hint="eastAsia"/>
                <w:sz w:val="18"/>
                <w:szCs w:val="18"/>
                <w:lang w:bidi="en-US"/>
              </w:rPr>
              <w:t>□</w:t>
            </w:r>
            <w:r w:rsidRPr="00D94554">
              <w:rPr>
                <w:rFonts w:hAnsi="宋体"/>
                <w:sz w:val="18"/>
                <w:szCs w:val="18"/>
                <w:lang w:bidi="en-US"/>
              </w:rPr>
              <w:t>；源头控制</w:t>
            </w:r>
            <w:r w:rsidRPr="00D94554">
              <w:rPr>
                <w:rFonts w:eastAsia="MS Mincho" w:hAnsi="MS Mincho"/>
                <w:sz w:val="18"/>
                <w:szCs w:val="18"/>
                <w:lang w:bidi="en-US"/>
              </w:rPr>
              <w:t>☑</w:t>
            </w:r>
            <w:r w:rsidRPr="00D94554">
              <w:rPr>
                <w:rFonts w:hAnsi="宋体"/>
                <w:sz w:val="18"/>
                <w:szCs w:val="18"/>
                <w:lang w:bidi="en-US"/>
              </w:rPr>
              <w:t>；过程防控</w:t>
            </w:r>
            <w:r w:rsidRPr="00D94554">
              <w:rPr>
                <w:rFonts w:eastAsia="MS Mincho" w:hAnsi="MS Mincho"/>
                <w:sz w:val="18"/>
                <w:szCs w:val="18"/>
                <w:lang w:bidi="en-US"/>
              </w:rPr>
              <w:t>☑</w:t>
            </w:r>
            <w:r w:rsidRPr="00D94554">
              <w:rPr>
                <w:rFonts w:hAnsi="宋体"/>
                <w:sz w:val="18"/>
                <w:szCs w:val="18"/>
                <w:lang w:bidi="en-US"/>
              </w:rPr>
              <w:t>；其他（</w:t>
            </w:r>
            <w:r w:rsidRPr="00D94554">
              <w:rPr>
                <w:sz w:val="18"/>
                <w:szCs w:val="18"/>
                <w:lang w:bidi="en-US"/>
              </w:rPr>
              <w:t xml:space="preserve">     </w:t>
            </w:r>
            <w:r w:rsidRPr="00D94554">
              <w:rPr>
                <w:rFonts w:hAnsi="宋体"/>
                <w:sz w:val="18"/>
                <w:szCs w:val="18"/>
                <w:lang w:bidi="en-US"/>
              </w:rPr>
              <w:t>）</w:t>
            </w:r>
          </w:p>
        </w:tc>
        <w:tc>
          <w:tcPr>
            <w:tcW w:w="738"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bidi="en-US"/>
              </w:rPr>
            </w:pPr>
          </w:p>
        </w:tc>
      </w:tr>
      <w:tr w:rsidR="00D94554" w:rsidRPr="00D94554" w:rsidTr="00C66914">
        <w:trPr>
          <w:trHeight w:val="340"/>
          <w:jc w:val="center"/>
        </w:trPr>
        <w:tc>
          <w:tcPr>
            <w:tcW w:w="229" w:type="pct"/>
            <w:vMerge/>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bidi="en-US"/>
              </w:rPr>
            </w:pPr>
          </w:p>
        </w:tc>
        <w:tc>
          <w:tcPr>
            <w:tcW w:w="803" w:type="pct"/>
            <w:vMerge w:val="restar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r w:rsidRPr="00D94554">
              <w:rPr>
                <w:rFonts w:hAnsi="宋体"/>
                <w:sz w:val="18"/>
                <w:szCs w:val="18"/>
                <w:lang w:eastAsia="en-US" w:bidi="en-US"/>
              </w:rPr>
              <w:t>跟踪监测</w:t>
            </w:r>
          </w:p>
        </w:tc>
        <w:tc>
          <w:tcPr>
            <w:tcW w:w="1467" w:type="pct"/>
            <w:gridSpan w:val="2"/>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r w:rsidRPr="00D94554">
              <w:rPr>
                <w:rFonts w:hAnsi="宋体"/>
                <w:sz w:val="18"/>
                <w:szCs w:val="18"/>
                <w:lang w:eastAsia="en-US" w:bidi="en-US"/>
              </w:rPr>
              <w:t>监测点数</w:t>
            </w:r>
          </w:p>
        </w:tc>
        <w:tc>
          <w:tcPr>
            <w:tcW w:w="1097" w:type="pct"/>
            <w:gridSpan w:val="2"/>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r w:rsidRPr="00D94554">
              <w:rPr>
                <w:rFonts w:hAnsi="宋体"/>
                <w:sz w:val="18"/>
                <w:szCs w:val="18"/>
                <w:lang w:eastAsia="en-US" w:bidi="en-US"/>
              </w:rPr>
              <w:t>监测指标</w:t>
            </w:r>
          </w:p>
        </w:tc>
        <w:tc>
          <w:tcPr>
            <w:tcW w:w="665"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r w:rsidRPr="00D94554">
              <w:rPr>
                <w:rFonts w:hAnsi="宋体"/>
                <w:sz w:val="18"/>
                <w:szCs w:val="18"/>
                <w:lang w:eastAsia="en-US" w:bidi="en-US"/>
              </w:rPr>
              <w:t>监测频次</w:t>
            </w:r>
          </w:p>
        </w:tc>
        <w:tc>
          <w:tcPr>
            <w:tcW w:w="738" w:type="pct"/>
            <w:vMerge w:val="restar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p>
        </w:tc>
      </w:tr>
      <w:tr w:rsidR="00D94554" w:rsidRPr="00D94554" w:rsidTr="00C66914">
        <w:trPr>
          <w:trHeight w:val="340"/>
          <w:jc w:val="center"/>
        </w:trPr>
        <w:tc>
          <w:tcPr>
            <w:tcW w:w="229" w:type="pct"/>
            <w:vMerge/>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p>
        </w:tc>
        <w:tc>
          <w:tcPr>
            <w:tcW w:w="803" w:type="pct"/>
            <w:vMerge/>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p>
        </w:tc>
        <w:tc>
          <w:tcPr>
            <w:tcW w:w="1467" w:type="pct"/>
            <w:gridSpan w:val="2"/>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bidi="en-US"/>
              </w:rPr>
            </w:pPr>
            <w:r w:rsidRPr="00D94554">
              <w:rPr>
                <w:rFonts w:hint="eastAsia"/>
                <w:sz w:val="18"/>
                <w:szCs w:val="18"/>
                <w:lang w:bidi="en-US"/>
              </w:rPr>
              <w:t>1</w:t>
            </w:r>
          </w:p>
        </w:tc>
        <w:tc>
          <w:tcPr>
            <w:tcW w:w="1097" w:type="pct"/>
            <w:gridSpan w:val="2"/>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bidi="en-US"/>
              </w:rPr>
            </w:pPr>
            <w:r w:rsidRPr="00D94554">
              <w:rPr>
                <w:rFonts w:hint="eastAsia"/>
                <w:sz w:val="18"/>
                <w:szCs w:val="18"/>
                <w:lang w:bidi="en-US"/>
              </w:rPr>
              <w:t>二甲苯、甲苯、苯、石油烃</w:t>
            </w:r>
          </w:p>
        </w:tc>
        <w:tc>
          <w:tcPr>
            <w:tcW w:w="665"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r w:rsidRPr="00D94554">
              <w:rPr>
                <w:sz w:val="18"/>
                <w:szCs w:val="18"/>
                <w:lang w:eastAsia="en-US" w:bidi="en-US"/>
              </w:rPr>
              <w:t>1</w:t>
            </w:r>
            <w:r w:rsidRPr="00D94554">
              <w:rPr>
                <w:sz w:val="18"/>
                <w:szCs w:val="18"/>
                <w:lang w:eastAsia="en-US" w:bidi="en-US"/>
              </w:rPr>
              <w:t>次</w:t>
            </w:r>
            <w:r w:rsidRPr="00D94554">
              <w:rPr>
                <w:sz w:val="18"/>
                <w:szCs w:val="18"/>
                <w:lang w:eastAsia="en-US" w:bidi="en-US"/>
              </w:rPr>
              <w:t>/</w:t>
            </w:r>
            <w:r w:rsidRPr="00D94554">
              <w:rPr>
                <w:rFonts w:hint="eastAsia"/>
                <w:sz w:val="18"/>
                <w:szCs w:val="18"/>
                <w:lang w:bidi="en-US"/>
              </w:rPr>
              <w:t>5</w:t>
            </w:r>
            <w:r w:rsidRPr="00D94554">
              <w:rPr>
                <w:sz w:val="18"/>
                <w:szCs w:val="18"/>
                <w:lang w:eastAsia="en-US" w:bidi="en-US"/>
              </w:rPr>
              <w:t>年</w:t>
            </w:r>
          </w:p>
        </w:tc>
        <w:tc>
          <w:tcPr>
            <w:tcW w:w="738" w:type="pct"/>
            <w:vMerge/>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p>
        </w:tc>
      </w:tr>
      <w:tr w:rsidR="00D94554" w:rsidRPr="00D94554" w:rsidTr="00C66914">
        <w:trPr>
          <w:trHeight w:val="340"/>
          <w:jc w:val="center"/>
        </w:trPr>
        <w:tc>
          <w:tcPr>
            <w:tcW w:w="229" w:type="pct"/>
            <w:vMerge/>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p>
        </w:tc>
        <w:tc>
          <w:tcPr>
            <w:tcW w:w="803"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r w:rsidRPr="00D94554">
              <w:rPr>
                <w:rFonts w:hAnsi="宋体"/>
                <w:sz w:val="18"/>
                <w:szCs w:val="18"/>
                <w:lang w:eastAsia="en-US" w:bidi="en-US"/>
              </w:rPr>
              <w:t>信息公开指标</w:t>
            </w:r>
          </w:p>
        </w:tc>
        <w:tc>
          <w:tcPr>
            <w:tcW w:w="3229" w:type="pct"/>
            <w:gridSpan w:val="5"/>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bidi="en-US"/>
              </w:rPr>
            </w:pPr>
            <w:r w:rsidRPr="00D94554">
              <w:rPr>
                <w:rFonts w:hint="eastAsia"/>
                <w:sz w:val="18"/>
                <w:szCs w:val="18"/>
                <w:lang w:bidi="en-US"/>
              </w:rPr>
              <w:t>二甲苯、甲苯、苯、石油烃</w:t>
            </w:r>
          </w:p>
        </w:tc>
        <w:tc>
          <w:tcPr>
            <w:tcW w:w="738" w:type="pct"/>
            <w:vMerge/>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bidi="en-US"/>
              </w:rPr>
            </w:pPr>
          </w:p>
        </w:tc>
      </w:tr>
      <w:tr w:rsidR="00D94554" w:rsidRPr="00D94554" w:rsidTr="00C66914">
        <w:trPr>
          <w:trHeight w:val="340"/>
          <w:jc w:val="center"/>
        </w:trPr>
        <w:tc>
          <w:tcPr>
            <w:tcW w:w="1032" w:type="pct"/>
            <w:gridSpan w:val="2"/>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eastAsia="en-US" w:bidi="en-US"/>
              </w:rPr>
            </w:pPr>
            <w:r w:rsidRPr="00D94554">
              <w:rPr>
                <w:rFonts w:hAnsi="宋体"/>
                <w:sz w:val="18"/>
                <w:szCs w:val="18"/>
                <w:lang w:eastAsia="en-US" w:bidi="en-US"/>
              </w:rPr>
              <w:t>评价结论</w:t>
            </w:r>
          </w:p>
        </w:tc>
        <w:tc>
          <w:tcPr>
            <w:tcW w:w="3229" w:type="pct"/>
            <w:gridSpan w:val="5"/>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bidi="en-US"/>
              </w:rPr>
            </w:pPr>
            <w:r w:rsidRPr="00D94554">
              <w:rPr>
                <w:rFonts w:hint="eastAsia"/>
                <w:sz w:val="18"/>
                <w:szCs w:val="18"/>
                <w:lang w:bidi="en-US"/>
              </w:rPr>
              <w:t>本项目建成后，采取必要的措施后，对土壤环境影响较小，本项目建设可行</w:t>
            </w:r>
          </w:p>
        </w:tc>
        <w:tc>
          <w:tcPr>
            <w:tcW w:w="738" w:type="pct"/>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bidi="en-US"/>
              </w:rPr>
            </w:pPr>
          </w:p>
        </w:tc>
      </w:tr>
      <w:tr w:rsidR="00D94554" w:rsidRPr="00D94554" w:rsidTr="00C66914">
        <w:trPr>
          <w:trHeight w:val="340"/>
          <w:jc w:val="center"/>
        </w:trPr>
        <w:tc>
          <w:tcPr>
            <w:tcW w:w="5000" w:type="pct"/>
            <w:gridSpan w:val="8"/>
            <w:vAlign w:val="center"/>
          </w:tcPr>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bidi="en-US"/>
              </w:rPr>
            </w:pPr>
            <w:r w:rsidRPr="00D94554">
              <w:rPr>
                <w:rFonts w:hAnsi="宋体"/>
                <w:sz w:val="18"/>
                <w:szCs w:val="18"/>
                <w:lang w:bidi="en-US"/>
              </w:rPr>
              <w:t>注</w:t>
            </w:r>
            <w:r w:rsidRPr="00D94554">
              <w:rPr>
                <w:sz w:val="18"/>
                <w:szCs w:val="18"/>
                <w:lang w:bidi="en-US"/>
              </w:rPr>
              <w:t xml:space="preserve"> </w:t>
            </w:r>
            <w:r w:rsidRPr="00D94554">
              <w:rPr>
                <w:rFonts w:eastAsia="Times New Roman"/>
                <w:sz w:val="18"/>
                <w:szCs w:val="18"/>
                <w:lang w:bidi="en-US"/>
              </w:rPr>
              <w:t>1</w:t>
            </w:r>
            <w:r w:rsidRPr="00D94554">
              <w:rPr>
                <w:rFonts w:hAnsi="宋体"/>
                <w:sz w:val="18"/>
                <w:szCs w:val="18"/>
                <w:lang w:bidi="en-US"/>
              </w:rPr>
              <w:t>：</w:t>
            </w:r>
            <w:r w:rsidRPr="00D94554">
              <w:rPr>
                <w:sz w:val="18"/>
                <w:szCs w:val="18"/>
                <w:lang w:bidi="en-US"/>
              </w:rPr>
              <w:t>“</w:t>
            </w:r>
            <w:r w:rsidRPr="00D94554">
              <w:rPr>
                <w:rFonts w:hint="eastAsia"/>
                <w:sz w:val="18"/>
                <w:szCs w:val="18"/>
                <w:lang w:bidi="en-US"/>
              </w:rPr>
              <w:t>□</w:t>
            </w:r>
            <w:r w:rsidRPr="00D94554">
              <w:rPr>
                <w:sz w:val="18"/>
                <w:szCs w:val="18"/>
                <w:lang w:bidi="en-US"/>
              </w:rPr>
              <w:t>”</w:t>
            </w:r>
            <w:r w:rsidRPr="00D94554">
              <w:rPr>
                <w:rFonts w:hAnsi="宋体"/>
                <w:sz w:val="18"/>
                <w:szCs w:val="18"/>
                <w:lang w:bidi="en-US"/>
              </w:rPr>
              <w:t>为勾选项，可</w:t>
            </w:r>
            <w:r w:rsidRPr="00D94554">
              <w:rPr>
                <w:sz w:val="18"/>
                <w:szCs w:val="18"/>
                <w:lang w:bidi="en-US"/>
              </w:rPr>
              <w:t>√</w:t>
            </w:r>
            <w:r w:rsidRPr="00D94554">
              <w:rPr>
                <w:rFonts w:hAnsi="宋体"/>
                <w:sz w:val="18"/>
                <w:szCs w:val="18"/>
                <w:lang w:bidi="en-US"/>
              </w:rPr>
              <w:t>；</w:t>
            </w:r>
            <w:r w:rsidRPr="00D94554">
              <w:rPr>
                <w:sz w:val="18"/>
                <w:szCs w:val="18"/>
                <w:lang w:bidi="en-US"/>
              </w:rPr>
              <w:t>“</w:t>
            </w:r>
            <w:r w:rsidRPr="00D94554">
              <w:rPr>
                <w:rFonts w:hAnsi="宋体"/>
                <w:sz w:val="18"/>
                <w:szCs w:val="18"/>
                <w:lang w:bidi="en-US"/>
              </w:rPr>
              <w:t>（</w:t>
            </w:r>
            <w:r w:rsidRPr="00D94554">
              <w:rPr>
                <w:sz w:val="18"/>
                <w:szCs w:val="18"/>
                <w:lang w:bidi="en-US"/>
              </w:rPr>
              <w:t xml:space="preserve"> </w:t>
            </w:r>
            <w:r w:rsidRPr="00D94554">
              <w:rPr>
                <w:rFonts w:hAnsi="宋体"/>
                <w:sz w:val="18"/>
                <w:szCs w:val="18"/>
                <w:lang w:bidi="en-US"/>
              </w:rPr>
              <w:t>）</w:t>
            </w:r>
            <w:r w:rsidRPr="00D94554">
              <w:rPr>
                <w:sz w:val="18"/>
                <w:szCs w:val="18"/>
                <w:lang w:bidi="en-US"/>
              </w:rPr>
              <w:t>”</w:t>
            </w:r>
            <w:r w:rsidRPr="00D94554">
              <w:rPr>
                <w:rFonts w:hAnsi="宋体"/>
                <w:sz w:val="18"/>
                <w:szCs w:val="18"/>
                <w:lang w:bidi="en-US"/>
              </w:rPr>
              <w:t>为内容填写项；</w:t>
            </w:r>
            <w:r w:rsidRPr="00D94554">
              <w:rPr>
                <w:sz w:val="18"/>
                <w:szCs w:val="18"/>
                <w:lang w:bidi="en-US"/>
              </w:rPr>
              <w:t>“</w:t>
            </w:r>
            <w:r w:rsidRPr="00D94554">
              <w:rPr>
                <w:rFonts w:hAnsi="宋体"/>
                <w:sz w:val="18"/>
                <w:szCs w:val="18"/>
                <w:lang w:bidi="en-US"/>
              </w:rPr>
              <w:t>备注</w:t>
            </w:r>
            <w:r w:rsidRPr="00D94554">
              <w:rPr>
                <w:sz w:val="18"/>
                <w:szCs w:val="18"/>
                <w:lang w:bidi="en-US"/>
              </w:rPr>
              <w:t>”</w:t>
            </w:r>
            <w:r w:rsidRPr="00D94554">
              <w:rPr>
                <w:rFonts w:hAnsi="宋体"/>
                <w:sz w:val="18"/>
                <w:szCs w:val="18"/>
                <w:lang w:bidi="en-US"/>
              </w:rPr>
              <w:t>为其他补充内容。</w:t>
            </w:r>
          </w:p>
          <w:p w:rsidR="00D94554" w:rsidRPr="00D94554" w:rsidRDefault="00D94554" w:rsidP="00D94554">
            <w:pPr>
              <w:autoSpaceDE w:val="0"/>
              <w:autoSpaceDN w:val="0"/>
              <w:adjustRightInd/>
              <w:snapToGrid/>
              <w:spacing w:line="240" w:lineRule="auto"/>
              <w:ind w:firstLineChars="0" w:firstLine="0"/>
              <w:jc w:val="center"/>
              <w:textAlignment w:val="auto"/>
              <w:rPr>
                <w:sz w:val="18"/>
                <w:szCs w:val="18"/>
                <w:lang w:bidi="en-US"/>
              </w:rPr>
            </w:pPr>
            <w:r w:rsidRPr="00D94554">
              <w:rPr>
                <w:rFonts w:hAnsi="宋体"/>
                <w:sz w:val="18"/>
                <w:szCs w:val="18"/>
                <w:lang w:bidi="en-US"/>
              </w:rPr>
              <w:t>注</w:t>
            </w:r>
            <w:r w:rsidRPr="00D94554">
              <w:rPr>
                <w:sz w:val="18"/>
                <w:szCs w:val="18"/>
                <w:lang w:bidi="en-US"/>
              </w:rPr>
              <w:t xml:space="preserve"> </w:t>
            </w:r>
            <w:r w:rsidRPr="00D94554">
              <w:rPr>
                <w:rFonts w:eastAsia="Times New Roman"/>
                <w:sz w:val="18"/>
                <w:szCs w:val="18"/>
                <w:lang w:bidi="en-US"/>
              </w:rPr>
              <w:t>2</w:t>
            </w:r>
            <w:r w:rsidRPr="00D94554">
              <w:rPr>
                <w:rFonts w:hAnsi="宋体"/>
                <w:sz w:val="18"/>
                <w:szCs w:val="18"/>
                <w:lang w:bidi="en-US"/>
              </w:rPr>
              <w:t>：需要分别开展土壤环境影响评级工作的，分别填写自查表。</w:t>
            </w:r>
          </w:p>
        </w:tc>
      </w:tr>
    </w:tbl>
    <w:p w:rsidR="00D94554" w:rsidRPr="00D94554" w:rsidRDefault="00D94554">
      <w:pPr>
        <w:ind w:firstLine="480"/>
        <w:sectPr w:rsidR="00D94554" w:rsidRPr="00D94554" w:rsidSect="00D94554">
          <w:pgSz w:w="11907" w:h="16840"/>
          <w:pgMar w:top="1440" w:right="1797" w:bottom="1440" w:left="1797" w:header="907" w:footer="907" w:gutter="0"/>
          <w:cols w:space="720"/>
          <w:docGrid w:linePitch="380"/>
        </w:sectPr>
      </w:pPr>
    </w:p>
    <w:p w:rsidR="00D94554" w:rsidRDefault="00D94554">
      <w:pPr>
        <w:ind w:firstLine="480"/>
        <w:sectPr w:rsidR="00D94554" w:rsidSect="00D94554">
          <w:pgSz w:w="16840" w:h="11907" w:orient="landscape"/>
          <w:pgMar w:top="1797" w:right="1440" w:bottom="1797" w:left="1440" w:header="907" w:footer="907" w:gutter="0"/>
          <w:cols w:space="720"/>
          <w:docGrid w:linePitch="380"/>
        </w:sectPr>
      </w:pPr>
      <w:r>
        <w:rPr>
          <w:noProof/>
        </w:rPr>
        <w:lastRenderedPageBreak/>
        <w:drawing>
          <wp:anchor distT="0" distB="0" distL="114300" distR="114300" simplePos="0" relativeHeight="251810304" behindDoc="0" locked="0" layoutInCell="1" allowOverlap="1">
            <wp:simplePos x="0" y="0"/>
            <wp:positionH relativeFrom="column">
              <wp:posOffset>-218694</wp:posOffset>
            </wp:positionH>
            <wp:positionV relativeFrom="paragraph">
              <wp:posOffset>-464439</wp:posOffset>
            </wp:positionV>
            <wp:extent cx="9218670" cy="5650992"/>
            <wp:effectExtent l="19050" t="0" r="1530" b="0"/>
            <wp:wrapNone/>
            <wp:docPr id="214"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03"/>
                    <a:srcRect/>
                    <a:stretch>
                      <a:fillRect/>
                    </a:stretch>
                  </pic:blipFill>
                  <pic:spPr bwMode="auto">
                    <a:xfrm>
                      <a:off x="0" y="0"/>
                      <a:ext cx="9218670" cy="5650992"/>
                    </a:xfrm>
                    <a:prstGeom prst="rect">
                      <a:avLst/>
                    </a:prstGeom>
                    <a:noFill/>
                    <a:ln w="9525">
                      <a:noFill/>
                      <a:miter lim="800000"/>
                      <a:headEnd/>
                      <a:tailEnd/>
                    </a:ln>
                  </pic:spPr>
                </pic:pic>
              </a:graphicData>
            </a:graphic>
          </wp:anchor>
        </w:drawing>
      </w:r>
    </w:p>
    <w:p w:rsidR="00D94554" w:rsidRDefault="00D94554">
      <w:pPr>
        <w:ind w:firstLine="480"/>
        <w:sectPr w:rsidR="00D94554" w:rsidSect="00D94554">
          <w:pgSz w:w="16840" w:h="11907" w:orient="landscape"/>
          <w:pgMar w:top="1797" w:right="1440" w:bottom="1797" w:left="1440" w:header="907" w:footer="907" w:gutter="0"/>
          <w:cols w:space="720"/>
          <w:docGrid w:linePitch="380"/>
        </w:sectPr>
      </w:pPr>
      <w:r>
        <w:rPr>
          <w:noProof/>
        </w:rPr>
        <w:lastRenderedPageBreak/>
        <w:drawing>
          <wp:anchor distT="0" distB="0" distL="114300" distR="114300" simplePos="0" relativeHeight="251811328" behindDoc="0" locked="0" layoutInCell="1" allowOverlap="1">
            <wp:simplePos x="0" y="0"/>
            <wp:positionH relativeFrom="column">
              <wp:posOffset>-108966</wp:posOffset>
            </wp:positionH>
            <wp:positionV relativeFrom="paragraph">
              <wp:posOffset>-116967</wp:posOffset>
            </wp:positionV>
            <wp:extent cx="8860663" cy="5596128"/>
            <wp:effectExtent l="19050" t="0" r="0" b="0"/>
            <wp:wrapNone/>
            <wp:docPr id="215"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204"/>
                    <a:srcRect/>
                    <a:stretch>
                      <a:fillRect/>
                    </a:stretch>
                  </pic:blipFill>
                  <pic:spPr bwMode="auto">
                    <a:xfrm>
                      <a:off x="0" y="0"/>
                      <a:ext cx="8860663" cy="5596128"/>
                    </a:xfrm>
                    <a:prstGeom prst="rect">
                      <a:avLst/>
                    </a:prstGeom>
                    <a:noFill/>
                    <a:ln w="9525">
                      <a:noFill/>
                      <a:miter lim="800000"/>
                      <a:headEnd/>
                      <a:tailEnd/>
                    </a:ln>
                  </pic:spPr>
                </pic:pic>
              </a:graphicData>
            </a:graphic>
          </wp:anchor>
        </w:drawing>
      </w:r>
    </w:p>
    <w:p w:rsidR="008C1581" w:rsidRDefault="00D94554">
      <w:pPr>
        <w:ind w:firstLine="480"/>
      </w:pPr>
      <w:r>
        <w:rPr>
          <w:noProof/>
        </w:rPr>
        <w:lastRenderedPageBreak/>
        <w:drawing>
          <wp:anchor distT="0" distB="0" distL="114300" distR="114300" simplePos="0" relativeHeight="251812352" behindDoc="0" locked="0" layoutInCell="1" allowOverlap="1">
            <wp:simplePos x="0" y="0"/>
            <wp:positionH relativeFrom="column">
              <wp:posOffset>-200406</wp:posOffset>
            </wp:positionH>
            <wp:positionV relativeFrom="paragraph">
              <wp:posOffset>-116967</wp:posOffset>
            </wp:positionV>
            <wp:extent cx="9205244" cy="3419856"/>
            <wp:effectExtent l="19050" t="0" r="0" b="0"/>
            <wp:wrapNone/>
            <wp:docPr id="216"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05"/>
                    <a:srcRect/>
                    <a:stretch>
                      <a:fillRect/>
                    </a:stretch>
                  </pic:blipFill>
                  <pic:spPr bwMode="auto">
                    <a:xfrm>
                      <a:off x="0" y="0"/>
                      <a:ext cx="9205244" cy="3419856"/>
                    </a:xfrm>
                    <a:prstGeom prst="rect">
                      <a:avLst/>
                    </a:prstGeom>
                    <a:noFill/>
                    <a:ln w="9525">
                      <a:noFill/>
                      <a:miter lim="800000"/>
                      <a:headEnd/>
                      <a:tailEnd/>
                    </a:ln>
                  </pic:spPr>
                </pic:pic>
              </a:graphicData>
            </a:graphic>
          </wp:anchor>
        </w:drawing>
      </w:r>
    </w:p>
    <w:sectPr w:rsidR="008C1581" w:rsidSect="00D94554">
      <w:pgSz w:w="16840" w:h="11907" w:orient="landscape"/>
      <w:pgMar w:top="1797" w:right="1440" w:bottom="1797" w:left="1440" w:header="907" w:footer="907" w:gutter="0"/>
      <w:cols w:space="720"/>
      <w:docGrid w:linePitch="38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70047" w:rsidRDefault="00270047">
      <w:pPr>
        <w:spacing w:line="240" w:lineRule="auto"/>
        <w:ind w:firstLine="480"/>
      </w:pPr>
      <w:r>
        <w:separator/>
      </w:r>
    </w:p>
  </w:endnote>
  <w:endnote w:type="continuationSeparator" w:id="1">
    <w:p w:rsidR="00270047" w:rsidRDefault="00270047">
      <w:pPr>
        <w:spacing w:line="240" w:lineRule="auto"/>
        <w:ind w:firstLine="480"/>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楷体">
    <w:panose1 w:val="02010609060101010101"/>
    <w:charset w:val="86"/>
    <w:family w:val="modern"/>
    <w:pitch w:val="fixed"/>
    <w:sig w:usb0="800002BF" w:usb1="38CF7CFA" w:usb2="00000016" w:usb3="00000000" w:csb0="00040001" w:csb1="00000000"/>
  </w:font>
  <w:font w:name="方正小标宋简体">
    <w:altName w:val="微软雅黑"/>
    <w:charset w:val="86"/>
    <w:family w:val="script"/>
    <w:pitch w:val="default"/>
    <w:sig w:usb0="00000001" w:usb1="080E0000" w:usb2="00000000" w:usb3="00000000" w:csb0="0004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仿宋">
    <w:panose1 w:val="02010609060101010101"/>
    <w:charset w:val="86"/>
    <w:family w:val="modern"/>
    <w:pitch w:val="fixed"/>
    <w:sig w:usb0="800002BF" w:usb1="38CF7CFA" w:usb2="00000016" w:usb3="00000000" w:csb0="00040001" w:csb1="00000000"/>
  </w:font>
  <w:font w:name="KaiTi_GB2312">
    <w:altName w:val="MS Gothic"/>
    <w:panose1 w:val="02010609060101010101"/>
    <w:charset w:val="86"/>
    <w:family w:val="modern"/>
    <w:pitch w:val="fixed"/>
    <w:sig w:usb0="800002BF" w:usb1="38CF7CFA" w:usb2="00000016" w:usb3="00000000" w:csb0="00040001" w:csb1="00000000"/>
  </w:font>
  <w:font w:name="华文行楷">
    <w:panose1 w:val="02010800040101010101"/>
    <w:charset w:val="86"/>
    <w:family w:val="auto"/>
    <w:pitch w:val="variable"/>
    <w:sig w:usb0="00000001" w:usb1="080F0000" w:usb2="00000010" w:usb3="00000000" w:csb0="00040000" w:csb1="00000000"/>
  </w:font>
  <w:font w:name="MS Mincho">
    <w:altName w:val="ＭＳ 明朝"/>
    <w:panose1 w:val="02020609040205080304"/>
    <w:charset w:val="80"/>
    <w:family w:val="modern"/>
    <w:pitch w:val="fixed"/>
    <w:sig w:usb0="E00002FF" w:usb1="6AC7FDFB" w:usb2="00000012" w:usb3="00000000" w:csb0="0002009F" w:csb1="00000000"/>
  </w:font>
  <w:font w:name="Wingdings">
    <w:panose1 w:val="05000000000000000000"/>
    <w:charset w:val="02"/>
    <w:family w:val="auto"/>
    <w:pitch w:val="variable"/>
    <w:sig w:usb0="00000000" w:usb1="10000000" w:usb2="00000000" w:usb3="00000000" w:csb0="80000000" w:csb1="00000000"/>
  </w:font>
  <w:font w:name="TimesNewRomanPSMT">
    <w:altName w:val="宋体"/>
    <w:charset w:val="86"/>
    <w:family w:val="auto"/>
    <w:pitch w:val="default"/>
    <w:sig w:usb0="00000000" w:usb1="00000000" w:usb2="00000010" w:usb3="00000000" w:csb0="00060001" w:csb1="00000000"/>
  </w:font>
  <w:font w:name="宋体e眠副浡渀.">
    <w:altName w:val="宋体"/>
    <w:charset w:val="86"/>
    <w:family w:val="roman"/>
    <w:pitch w:val="default"/>
    <w:sig w:usb0="00000000" w:usb1="00000000" w:usb2="00000010" w:usb3="00000000" w:csb0="0004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C6BD9" w:rsidRDefault="009C6BD9">
    <w:pPr>
      <w:ind w:firstLine="48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C6BD9" w:rsidRDefault="009C6BD9">
    <w:pPr>
      <w:ind w:firstLineChars="0" w:firstLine="0"/>
      <w:jc w:val="center"/>
      <w:rPr>
        <w:sz w:val="21"/>
        <w:szCs w:val="21"/>
      </w:rPr>
    </w:pPr>
  </w:p>
  <w:p w:rsidR="009C6BD9" w:rsidRDefault="009C6BD9">
    <w:pPr>
      <w:ind w:firstLine="48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C6BD9" w:rsidRDefault="009C6BD9">
    <w:pPr>
      <w:ind w:firstLine="48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1E91" w:rsidRDefault="00340837">
    <w:pPr>
      <w:ind w:firstLineChars="0" w:firstLine="0"/>
      <w:jc w:val="center"/>
      <w:rPr>
        <w:sz w:val="21"/>
        <w:szCs w:val="21"/>
      </w:rPr>
    </w:pPr>
    <w:r>
      <w:rPr>
        <w:sz w:val="21"/>
        <w:szCs w:val="21"/>
      </w:rPr>
      <w:fldChar w:fldCharType="begin"/>
    </w:r>
    <w:r w:rsidR="006C1E91">
      <w:rPr>
        <w:sz w:val="21"/>
        <w:szCs w:val="21"/>
      </w:rPr>
      <w:instrText xml:space="preserve"> PAGE   \* MERGEFORMAT </w:instrText>
    </w:r>
    <w:r>
      <w:rPr>
        <w:sz w:val="21"/>
        <w:szCs w:val="21"/>
      </w:rPr>
      <w:fldChar w:fldCharType="separate"/>
    </w:r>
    <w:r w:rsidR="00D94554" w:rsidRPr="00D94554">
      <w:rPr>
        <w:noProof/>
        <w:sz w:val="21"/>
        <w:szCs w:val="21"/>
        <w:lang w:val="zh-CN"/>
      </w:rPr>
      <w:t>IV</w:t>
    </w:r>
    <w:r>
      <w:rPr>
        <w:sz w:val="21"/>
        <w:szCs w:val="21"/>
      </w:rPr>
      <w:fldChar w:fldCharType="end"/>
    </w:r>
  </w:p>
  <w:p w:rsidR="006C1E91" w:rsidRDefault="006C1E91">
    <w:pPr>
      <w:ind w:firstLine="480"/>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C6BD9" w:rsidRDefault="00340837">
    <w:pPr>
      <w:framePr w:wrap="around" w:vAnchor="text" w:hAnchor="margin" w:xAlign="center" w:y="1"/>
      <w:ind w:firstLine="480"/>
    </w:pPr>
    <w:r>
      <w:fldChar w:fldCharType="begin"/>
    </w:r>
    <w:r w:rsidR="009C6BD9">
      <w:instrText xml:space="preserve">PAGE  </w:instrText>
    </w:r>
    <w:r>
      <w:fldChar w:fldCharType="end"/>
    </w:r>
  </w:p>
  <w:p w:rsidR="009C6BD9" w:rsidRDefault="009C6BD9">
    <w:pPr>
      <w:ind w:firstLine="480"/>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C6BD9" w:rsidRDefault="00340837">
    <w:pPr>
      <w:framePr w:wrap="around" w:vAnchor="text" w:hAnchor="margin" w:xAlign="center" w:y="1"/>
      <w:ind w:firstLine="420"/>
      <w:rPr>
        <w:sz w:val="21"/>
        <w:szCs w:val="21"/>
      </w:rPr>
    </w:pPr>
    <w:r>
      <w:rPr>
        <w:sz w:val="21"/>
        <w:szCs w:val="21"/>
      </w:rPr>
      <w:fldChar w:fldCharType="begin"/>
    </w:r>
    <w:r w:rsidR="009C6BD9">
      <w:rPr>
        <w:sz w:val="21"/>
        <w:szCs w:val="21"/>
      </w:rPr>
      <w:instrText xml:space="preserve">PAGE  </w:instrText>
    </w:r>
    <w:r>
      <w:rPr>
        <w:sz w:val="21"/>
        <w:szCs w:val="21"/>
      </w:rPr>
      <w:fldChar w:fldCharType="separate"/>
    </w:r>
    <w:r w:rsidR="00D94554">
      <w:rPr>
        <w:noProof/>
        <w:sz w:val="21"/>
        <w:szCs w:val="21"/>
      </w:rPr>
      <w:t>181</w:t>
    </w:r>
    <w:r>
      <w:rPr>
        <w:sz w:val="21"/>
        <w:szCs w:val="21"/>
      </w:rPr>
      <w:fldChar w:fldCharType="end"/>
    </w:r>
  </w:p>
  <w:p w:rsidR="009C6BD9" w:rsidRDefault="009C6BD9">
    <w:pPr>
      <w:ind w:firstLine="480"/>
      <w:jc w:val="cen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C6BD9" w:rsidRDefault="009C6BD9">
    <w:pPr>
      <w:ind w:firstLine="480"/>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C6BD9" w:rsidRDefault="00340837">
    <w:pPr>
      <w:spacing w:before="24"/>
      <w:ind w:firstLine="420"/>
      <w:jc w:val="center"/>
      <w:rPr>
        <w:sz w:val="21"/>
        <w:szCs w:val="21"/>
      </w:rPr>
    </w:pPr>
    <w:r>
      <w:rPr>
        <w:sz w:val="21"/>
        <w:szCs w:val="21"/>
      </w:rPr>
      <w:fldChar w:fldCharType="begin"/>
    </w:r>
    <w:r w:rsidR="009C6BD9">
      <w:rPr>
        <w:sz w:val="21"/>
        <w:szCs w:val="21"/>
      </w:rPr>
      <w:instrText xml:space="preserve"> PAGE   \* MERGEFORMAT </w:instrText>
    </w:r>
    <w:r>
      <w:rPr>
        <w:sz w:val="21"/>
        <w:szCs w:val="21"/>
      </w:rPr>
      <w:fldChar w:fldCharType="separate"/>
    </w:r>
    <w:r w:rsidR="00D94554" w:rsidRPr="00D94554">
      <w:rPr>
        <w:noProof/>
        <w:sz w:val="21"/>
        <w:szCs w:val="21"/>
        <w:lang w:val="zh-CN"/>
      </w:rPr>
      <w:t>316</w:t>
    </w:r>
    <w:r>
      <w:rPr>
        <w:sz w:val="21"/>
        <w:szCs w:val="21"/>
      </w:rPr>
      <w:fldChar w:fldCharType="end"/>
    </w:r>
  </w:p>
  <w:p w:rsidR="009C6BD9" w:rsidRDefault="009C6BD9">
    <w:pPr>
      <w:spacing w:line="14" w:lineRule="auto"/>
      <w:ind w:firstLine="400"/>
      <w:rPr>
        <w:sz w:val="20"/>
      </w:rPr>
    </w:pPr>
  </w:p>
  <w:p w:rsidR="009C6BD9" w:rsidRDefault="009C6BD9">
    <w:pPr>
      <w:ind w:firstLine="480"/>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1E91" w:rsidRDefault="006C1E91">
    <w:pPr>
      <w:spacing w:before="24"/>
      <w:ind w:firstLine="420"/>
      <w:jc w:val="center"/>
      <w:rPr>
        <w:sz w:val="21"/>
        <w:szCs w:val="21"/>
      </w:rPr>
    </w:pPr>
  </w:p>
  <w:p w:rsidR="006C1E91" w:rsidRDefault="006C1E91">
    <w:pPr>
      <w:spacing w:line="14" w:lineRule="auto"/>
      <w:ind w:firstLine="400"/>
      <w:rPr>
        <w:sz w:val="20"/>
      </w:rPr>
    </w:pPr>
  </w:p>
  <w:p w:rsidR="006C1E91" w:rsidRDefault="006C1E91">
    <w:pPr>
      <w:ind w:firstLine="48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70047" w:rsidRDefault="00270047">
      <w:pPr>
        <w:spacing w:line="240" w:lineRule="auto"/>
        <w:ind w:firstLine="480"/>
      </w:pPr>
      <w:r>
        <w:separator/>
      </w:r>
    </w:p>
  </w:footnote>
  <w:footnote w:type="continuationSeparator" w:id="1">
    <w:p w:rsidR="00270047" w:rsidRDefault="00270047">
      <w:pPr>
        <w:spacing w:line="240" w:lineRule="auto"/>
        <w:ind w:firstLine="48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C6BD9" w:rsidRDefault="009C6BD9">
    <w:pPr>
      <w:ind w:firstLine="48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C6BD9" w:rsidRDefault="009C6BD9">
    <w:pPr>
      <w:pStyle w:val="ae"/>
      <w:pBdr>
        <w:bottom w:val="none" w:sz="0" w:space="0" w:color="auto"/>
      </w:pBdr>
      <w:ind w:firstLine="36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C6BD9" w:rsidRDefault="009C6BD9">
    <w:pPr>
      <w:ind w:firstLine="480"/>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C6BD9" w:rsidRDefault="009C6BD9">
    <w:pPr>
      <w:ind w:firstLine="480"/>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C6BD9" w:rsidRDefault="009C6BD9" w:rsidP="008C1581">
    <w:pPr>
      <w:pStyle w:val="ae"/>
      <w:spacing w:afterLines="100"/>
      <w:ind w:firstLine="420"/>
    </w:pPr>
    <w:r>
      <w:rPr>
        <w:rFonts w:hAnsi="宋体" w:hint="eastAsia"/>
        <w:sz w:val="21"/>
        <w:szCs w:val="21"/>
      </w:rPr>
      <w:t>河南华洋电工科技集团有限公司高可靠性抗高压耐热绕组线项目环境影响报告书</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C6BD9" w:rsidRDefault="009C6BD9">
    <w:pPr>
      <w:ind w:firstLine="480"/>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C1E91" w:rsidRPr="002E51FB" w:rsidRDefault="006C1E91" w:rsidP="002E51FB">
    <w:pPr>
      <w:pStyle w:val="ae"/>
      <w:pBdr>
        <w:bottom w:val="none" w:sz="0" w:space="0" w:color="auto"/>
      </w:pBdr>
      <w:ind w:firstLine="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6553CD9"/>
    <w:multiLevelType w:val="multilevel"/>
    <w:tmpl w:val="26553CD9"/>
    <w:lvl w:ilvl="0">
      <w:start w:val="3"/>
      <w:numFmt w:val="decimal"/>
      <w:lvlText w:val="第 %1 章"/>
      <w:lvlJc w:val="center"/>
      <w:pPr>
        <w:tabs>
          <w:tab w:val="left" w:pos="360"/>
        </w:tabs>
        <w:ind w:left="0" w:firstLine="0"/>
      </w:pPr>
      <w:rPr>
        <w:rFonts w:ascii="Times New Roman" w:hAnsi="Times New Roman" w:cs="Times New Roman" w:hint="eastAsia"/>
        <w:b w:val="0"/>
        <w:bCs w:val="0"/>
        <w:i w:val="0"/>
        <w:iCs w:val="0"/>
        <w:caps w:val="0"/>
        <w:smallCaps w:val="0"/>
        <w:strike w:val="0"/>
        <w:dstrike w:val="0"/>
        <w:outline w:val="0"/>
        <w:shadow w:val="0"/>
        <w:emboss w:val="0"/>
        <w:imprint w:val="0"/>
        <w:snapToGrid w:val="0"/>
        <w:vanish w:val="0"/>
        <w:color w:val="000000"/>
        <w:spacing w:val="0"/>
        <w:w w:val="0"/>
        <w:kern w:val="0"/>
        <w:position w:val="0"/>
        <w:szCs w:val="0"/>
        <w:u w:val="none"/>
        <w:vertAlign w:val="baseline"/>
      </w:rPr>
    </w:lvl>
    <w:lvl w:ilvl="1">
      <w:start w:val="10"/>
      <w:numFmt w:val="decimal"/>
      <w:lvlText w:val="%1.%2"/>
      <w:lvlJc w:val="left"/>
      <w:pPr>
        <w:tabs>
          <w:tab w:val="left" w:pos="3131"/>
        </w:tabs>
        <w:ind w:left="2411" w:firstLine="0"/>
      </w:pPr>
      <w:rPr>
        <w:rFonts w:ascii="Times New Roman" w:hAnsi="Times New Roman" w:cs="Times New Roman" w:hint="eastAsia"/>
        <w:b w:val="0"/>
        <w:bCs w:val="0"/>
        <w:i w:val="0"/>
        <w:iCs w:val="0"/>
        <w:caps w:val="0"/>
        <w:smallCaps w:val="0"/>
        <w:strike w:val="0"/>
        <w:dstrike w:val="0"/>
        <w:outline w:val="0"/>
        <w:shadow w:val="0"/>
        <w:emboss w:val="0"/>
        <w:imprint w:val="0"/>
        <w:snapToGrid w:val="0"/>
        <w:vanish w:val="0"/>
        <w:color w:val="000000"/>
        <w:spacing w:val="0"/>
        <w:w w:val="0"/>
        <w:kern w:val="0"/>
        <w:position w:val="0"/>
        <w:szCs w:val="0"/>
        <w:u w:val="none"/>
        <w:vertAlign w:val="baseline"/>
      </w:rPr>
    </w:lvl>
    <w:lvl w:ilvl="2">
      <w:start w:val="1"/>
      <w:numFmt w:val="decimal"/>
      <w:lvlText w:val="%1.%2.%3"/>
      <w:lvlJc w:val="left"/>
      <w:pPr>
        <w:tabs>
          <w:tab w:val="left" w:pos="1571"/>
        </w:tabs>
        <w:ind w:left="851" w:firstLine="0"/>
      </w:pPr>
      <w:rPr>
        <w:rFonts w:hint="eastAsia"/>
      </w:rPr>
    </w:lvl>
    <w:lvl w:ilvl="3">
      <w:start w:val="1"/>
      <w:numFmt w:val="decimal"/>
      <w:lvlText w:val="%1.%2.%3.%4"/>
      <w:lvlJc w:val="left"/>
      <w:pPr>
        <w:tabs>
          <w:tab w:val="left" w:pos="2214"/>
        </w:tabs>
        <w:ind w:left="1134" w:firstLine="0"/>
      </w:pPr>
      <w:rPr>
        <w:rFonts w:hint="eastAsia"/>
      </w:rPr>
    </w:lvl>
    <w:lvl w:ilvl="4">
      <w:start w:val="1"/>
      <w:numFmt w:val="decimal"/>
      <w:lvlText w:val="%1.%2.%3.%4.%5"/>
      <w:lvlJc w:val="left"/>
      <w:pPr>
        <w:tabs>
          <w:tab w:val="left" w:pos="1008"/>
        </w:tabs>
        <w:ind w:left="1008" w:hanging="1008"/>
      </w:pPr>
      <w:rPr>
        <w:rFonts w:hint="eastAsia"/>
      </w:rPr>
    </w:lvl>
    <w:lvl w:ilvl="5">
      <w:start w:val="1"/>
      <w:numFmt w:val="decimal"/>
      <w:lvlText w:val="%1.%2.%3.%4.%5.%6"/>
      <w:lvlJc w:val="left"/>
      <w:pPr>
        <w:tabs>
          <w:tab w:val="left" w:pos="1152"/>
        </w:tabs>
        <w:ind w:left="1152" w:hanging="1152"/>
      </w:pPr>
      <w:rPr>
        <w:rFonts w:hint="eastAsia"/>
      </w:rPr>
    </w:lvl>
    <w:lvl w:ilvl="6">
      <w:start w:val="1"/>
      <w:numFmt w:val="decimal"/>
      <w:lvlText w:val="%1.%2.%3.%4.%5.%6.%7"/>
      <w:lvlJc w:val="left"/>
      <w:pPr>
        <w:tabs>
          <w:tab w:val="left" w:pos="1296"/>
        </w:tabs>
        <w:ind w:left="1296" w:hanging="1296"/>
      </w:pPr>
      <w:rPr>
        <w:rFonts w:hint="eastAsia"/>
      </w:rPr>
    </w:lvl>
    <w:lvl w:ilvl="7">
      <w:start w:val="1"/>
      <w:numFmt w:val="decimal"/>
      <w:lvlText w:val="%1.%2.%3.%4.%5.%6.%7.%8"/>
      <w:lvlJc w:val="left"/>
      <w:pPr>
        <w:tabs>
          <w:tab w:val="left" w:pos="1440"/>
        </w:tabs>
        <w:ind w:left="1440" w:hanging="1440"/>
      </w:pPr>
      <w:rPr>
        <w:rFonts w:hint="eastAsia"/>
      </w:rPr>
    </w:lvl>
    <w:lvl w:ilvl="8">
      <w:start w:val="1"/>
      <w:numFmt w:val="decimal"/>
      <w:lvlText w:val="%1.%2.%3.%4.%5.%6.%7.%8.%9"/>
      <w:lvlJc w:val="left"/>
      <w:pPr>
        <w:tabs>
          <w:tab w:val="left" w:pos="1584"/>
        </w:tabs>
        <w:ind w:left="1584" w:hanging="1584"/>
      </w:pPr>
      <w:rPr>
        <w:rFonts w:hint="eastAsia"/>
      </w:rPr>
    </w:lvl>
  </w:abstractNum>
  <w:abstractNum w:abstractNumId="1">
    <w:nsid w:val="3D56461C"/>
    <w:multiLevelType w:val="multilevel"/>
    <w:tmpl w:val="3D56461C"/>
    <w:lvl w:ilvl="0">
      <w:start w:val="1"/>
      <w:numFmt w:val="decimal"/>
      <w:lvlText w:val="第 %1 章"/>
      <w:lvlJc w:val="center"/>
      <w:pPr>
        <w:tabs>
          <w:tab w:val="left" w:pos="360"/>
        </w:tabs>
        <w:ind w:left="0" w:firstLine="0"/>
      </w:pPr>
      <w:rPr>
        <w:rFonts w:ascii="Times New Roman" w:hAnsi="Times New Roman" w:cs="Times New Roman" w:hint="eastAsia"/>
        <w:b w:val="0"/>
        <w:bCs w:val="0"/>
        <w:i w:val="0"/>
        <w:iCs w:val="0"/>
        <w:caps w:val="0"/>
        <w:smallCaps w:val="0"/>
        <w:strike w:val="0"/>
        <w:dstrike w:val="0"/>
        <w:outline w:val="0"/>
        <w:shadow w:val="0"/>
        <w:emboss w:val="0"/>
        <w:imprint w:val="0"/>
        <w:snapToGrid w:val="0"/>
        <w:vanish w:val="0"/>
        <w:color w:val="000000"/>
        <w:spacing w:val="0"/>
        <w:w w:val="0"/>
        <w:kern w:val="0"/>
        <w:position w:val="0"/>
        <w:szCs w:val="0"/>
        <w:u w:val="none"/>
        <w:vertAlign w:val="baseline"/>
      </w:rPr>
    </w:lvl>
    <w:lvl w:ilvl="1">
      <w:start w:val="1"/>
      <w:numFmt w:val="decimal"/>
      <w:lvlText w:val="%1.%2"/>
      <w:lvlJc w:val="left"/>
      <w:pPr>
        <w:tabs>
          <w:tab w:val="left" w:pos="3131"/>
        </w:tabs>
        <w:ind w:left="2411" w:firstLine="0"/>
      </w:pPr>
      <w:rPr>
        <w:rFonts w:ascii="Times New Roman" w:hAnsi="Times New Roman" w:cs="Times New Roman" w:hint="eastAsia"/>
        <w:b w:val="0"/>
        <w:bCs w:val="0"/>
        <w:i w:val="0"/>
        <w:iCs w:val="0"/>
        <w:caps w:val="0"/>
        <w:smallCaps w:val="0"/>
        <w:strike w:val="0"/>
        <w:dstrike w:val="0"/>
        <w:outline w:val="0"/>
        <w:shadow w:val="0"/>
        <w:emboss w:val="0"/>
        <w:imprint w:val="0"/>
        <w:snapToGrid w:val="0"/>
        <w:vanish w:val="0"/>
        <w:color w:val="000000"/>
        <w:spacing w:val="0"/>
        <w:w w:val="0"/>
        <w:kern w:val="0"/>
        <w:position w:val="0"/>
        <w:szCs w:val="0"/>
        <w:u w:val="none"/>
        <w:vertAlign w:val="baseline"/>
      </w:rPr>
    </w:lvl>
    <w:lvl w:ilvl="2">
      <w:start w:val="1"/>
      <w:numFmt w:val="decimal"/>
      <w:lvlText w:val="%1.%2.%3"/>
      <w:lvlJc w:val="left"/>
      <w:pPr>
        <w:tabs>
          <w:tab w:val="left" w:pos="1571"/>
        </w:tabs>
        <w:ind w:left="851" w:firstLine="0"/>
      </w:pPr>
      <w:rPr>
        <w:rFonts w:hint="eastAsia"/>
      </w:rPr>
    </w:lvl>
    <w:lvl w:ilvl="3">
      <w:start w:val="1"/>
      <w:numFmt w:val="decimal"/>
      <w:lvlText w:val="%1.%2.%3.%4"/>
      <w:lvlJc w:val="left"/>
      <w:pPr>
        <w:tabs>
          <w:tab w:val="left" w:pos="2214"/>
        </w:tabs>
        <w:ind w:left="1134" w:firstLine="0"/>
      </w:pPr>
      <w:rPr>
        <w:rFonts w:hint="eastAsia"/>
      </w:rPr>
    </w:lvl>
    <w:lvl w:ilvl="4">
      <w:start w:val="1"/>
      <w:numFmt w:val="decimal"/>
      <w:lvlText w:val="%1.%2.%3.%4.%5"/>
      <w:lvlJc w:val="left"/>
      <w:pPr>
        <w:tabs>
          <w:tab w:val="left" w:pos="1008"/>
        </w:tabs>
        <w:ind w:left="1008" w:hanging="1008"/>
      </w:pPr>
      <w:rPr>
        <w:rFonts w:hint="eastAsia"/>
      </w:rPr>
    </w:lvl>
    <w:lvl w:ilvl="5">
      <w:start w:val="1"/>
      <w:numFmt w:val="decimal"/>
      <w:lvlText w:val="%1.%2.%3.%4.%5.%6"/>
      <w:lvlJc w:val="left"/>
      <w:pPr>
        <w:tabs>
          <w:tab w:val="left" w:pos="1152"/>
        </w:tabs>
        <w:ind w:left="1152" w:hanging="1152"/>
      </w:pPr>
      <w:rPr>
        <w:rFonts w:hint="eastAsia"/>
      </w:rPr>
    </w:lvl>
    <w:lvl w:ilvl="6">
      <w:start w:val="1"/>
      <w:numFmt w:val="decimal"/>
      <w:lvlText w:val="%1.%2.%3.%4.%5.%6.%7"/>
      <w:lvlJc w:val="left"/>
      <w:pPr>
        <w:tabs>
          <w:tab w:val="left" w:pos="1296"/>
        </w:tabs>
        <w:ind w:left="1296" w:hanging="1296"/>
      </w:pPr>
      <w:rPr>
        <w:rFonts w:hint="eastAsia"/>
      </w:rPr>
    </w:lvl>
    <w:lvl w:ilvl="7">
      <w:start w:val="1"/>
      <w:numFmt w:val="decimal"/>
      <w:lvlText w:val="%1.%2.%3.%4.%5.%6.%7.%8"/>
      <w:lvlJc w:val="left"/>
      <w:pPr>
        <w:tabs>
          <w:tab w:val="left" w:pos="1440"/>
        </w:tabs>
        <w:ind w:left="1440" w:hanging="1440"/>
      </w:pPr>
      <w:rPr>
        <w:rFonts w:hint="eastAsia"/>
      </w:rPr>
    </w:lvl>
    <w:lvl w:ilvl="8">
      <w:start w:val="1"/>
      <w:numFmt w:val="decimal"/>
      <w:lvlText w:val="%1.%2.%3.%4.%5.%6.%7.%8.%9"/>
      <w:lvlJc w:val="left"/>
      <w:pPr>
        <w:tabs>
          <w:tab w:val="left" w:pos="1584"/>
        </w:tabs>
        <w:ind w:left="1584" w:hanging="1584"/>
      </w:pPr>
      <w:rPr>
        <w:rFonts w:hint="eastAsia"/>
      </w:rPr>
    </w:lvl>
  </w:abstractNum>
  <w:abstractNum w:abstractNumId="2">
    <w:nsid w:val="4CF758AB"/>
    <w:multiLevelType w:val="multilevel"/>
    <w:tmpl w:val="4CF758AB"/>
    <w:lvl w:ilvl="0">
      <w:start w:val="4"/>
      <w:numFmt w:val="decimal"/>
      <w:lvlText w:val="第 %1 章"/>
      <w:lvlJc w:val="center"/>
      <w:pPr>
        <w:tabs>
          <w:tab w:val="left" w:pos="360"/>
        </w:tabs>
        <w:ind w:left="0" w:firstLine="0"/>
      </w:pPr>
      <w:rPr>
        <w:rFonts w:ascii="Times New Roman" w:hAnsi="Times New Roman" w:cs="Times New Roman" w:hint="eastAsia"/>
        <w:b w:val="0"/>
        <w:bCs w:val="0"/>
        <w:i w:val="0"/>
        <w:iCs w:val="0"/>
        <w:caps w:val="0"/>
        <w:smallCaps w:val="0"/>
        <w:strike w:val="0"/>
        <w:dstrike w:val="0"/>
        <w:outline w:val="0"/>
        <w:shadow w:val="0"/>
        <w:emboss w:val="0"/>
        <w:imprint w:val="0"/>
        <w:snapToGrid w:val="0"/>
        <w:vanish w:val="0"/>
        <w:color w:val="000000"/>
        <w:spacing w:val="0"/>
        <w:w w:val="0"/>
        <w:kern w:val="0"/>
        <w:position w:val="0"/>
        <w:szCs w:val="0"/>
        <w:u w:val="none"/>
        <w:vertAlign w:val="baseline"/>
      </w:rPr>
    </w:lvl>
    <w:lvl w:ilvl="1">
      <w:start w:val="1"/>
      <w:numFmt w:val="decimal"/>
      <w:lvlText w:val="%1.%2"/>
      <w:lvlJc w:val="left"/>
      <w:pPr>
        <w:tabs>
          <w:tab w:val="left" w:pos="3131"/>
        </w:tabs>
        <w:ind w:left="2411" w:firstLine="0"/>
      </w:pPr>
      <w:rPr>
        <w:rFonts w:ascii="Times New Roman" w:hAnsi="Times New Roman" w:cs="Times New Roman" w:hint="eastAsia"/>
        <w:b w:val="0"/>
        <w:bCs w:val="0"/>
        <w:i w:val="0"/>
        <w:iCs w:val="0"/>
        <w:caps w:val="0"/>
        <w:smallCaps w:val="0"/>
        <w:strike w:val="0"/>
        <w:dstrike w:val="0"/>
        <w:outline w:val="0"/>
        <w:shadow w:val="0"/>
        <w:emboss w:val="0"/>
        <w:imprint w:val="0"/>
        <w:snapToGrid w:val="0"/>
        <w:vanish w:val="0"/>
        <w:color w:val="000000"/>
        <w:spacing w:val="0"/>
        <w:w w:val="0"/>
        <w:kern w:val="0"/>
        <w:position w:val="0"/>
        <w:szCs w:val="0"/>
        <w:u w:val="none"/>
        <w:vertAlign w:val="baseline"/>
      </w:rPr>
    </w:lvl>
    <w:lvl w:ilvl="2">
      <w:start w:val="1"/>
      <w:numFmt w:val="decimal"/>
      <w:lvlText w:val="%1.%2.%3"/>
      <w:lvlJc w:val="left"/>
      <w:pPr>
        <w:tabs>
          <w:tab w:val="left" w:pos="1571"/>
        </w:tabs>
        <w:ind w:left="851" w:firstLine="0"/>
      </w:pPr>
      <w:rPr>
        <w:rFonts w:hint="eastAsia"/>
      </w:rPr>
    </w:lvl>
    <w:lvl w:ilvl="3">
      <w:start w:val="1"/>
      <w:numFmt w:val="decimal"/>
      <w:lvlText w:val="%1.%2.%3.%4"/>
      <w:lvlJc w:val="left"/>
      <w:pPr>
        <w:tabs>
          <w:tab w:val="left" w:pos="2214"/>
        </w:tabs>
        <w:ind w:left="1134" w:firstLine="0"/>
      </w:pPr>
      <w:rPr>
        <w:rFonts w:hint="eastAsia"/>
      </w:rPr>
    </w:lvl>
    <w:lvl w:ilvl="4">
      <w:start w:val="1"/>
      <w:numFmt w:val="decimal"/>
      <w:lvlText w:val="%1.%2.%3.%4.%5"/>
      <w:lvlJc w:val="left"/>
      <w:pPr>
        <w:tabs>
          <w:tab w:val="left" w:pos="1008"/>
        </w:tabs>
        <w:ind w:left="1008" w:hanging="1008"/>
      </w:pPr>
      <w:rPr>
        <w:rFonts w:hint="eastAsia"/>
      </w:rPr>
    </w:lvl>
    <w:lvl w:ilvl="5">
      <w:start w:val="1"/>
      <w:numFmt w:val="decimal"/>
      <w:lvlText w:val="%1.%2.%3.%4.%5.%6"/>
      <w:lvlJc w:val="left"/>
      <w:pPr>
        <w:tabs>
          <w:tab w:val="left" w:pos="1152"/>
        </w:tabs>
        <w:ind w:left="1152" w:hanging="1152"/>
      </w:pPr>
      <w:rPr>
        <w:rFonts w:hint="eastAsia"/>
      </w:rPr>
    </w:lvl>
    <w:lvl w:ilvl="6">
      <w:start w:val="1"/>
      <w:numFmt w:val="decimal"/>
      <w:lvlText w:val="%1.%2.%3.%4.%5.%6.%7"/>
      <w:lvlJc w:val="left"/>
      <w:pPr>
        <w:tabs>
          <w:tab w:val="left" w:pos="1296"/>
        </w:tabs>
        <w:ind w:left="1296" w:hanging="1296"/>
      </w:pPr>
      <w:rPr>
        <w:rFonts w:hint="eastAsia"/>
      </w:rPr>
    </w:lvl>
    <w:lvl w:ilvl="7">
      <w:start w:val="1"/>
      <w:numFmt w:val="decimal"/>
      <w:lvlText w:val="%1.%2.%3.%4.%5.%6.%7.%8"/>
      <w:lvlJc w:val="left"/>
      <w:pPr>
        <w:tabs>
          <w:tab w:val="left" w:pos="1440"/>
        </w:tabs>
        <w:ind w:left="1440" w:hanging="1440"/>
      </w:pPr>
      <w:rPr>
        <w:rFonts w:hint="eastAsia"/>
      </w:rPr>
    </w:lvl>
    <w:lvl w:ilvl="8">
      <w:start w:val="1"/>
      <w:numFmt w:val="decimal"/>
      <w:lvlText w:val="%1.%2.%3.%4.%5.%6.%7.%8.%9"/>
      <w:lvlJc w:val="left"/>
      <w:pPr>
        <w:tabs>
          <w:tab w:val="left" w:pos="1584"/>
        </w:tabs>
        <w:ind w:left="1584" w:hanging="1584"/>
      </w:pPr>
      <w:rPr>
        <w:rFonts w:hint="eastAsia"/>
      </w:rPr>
    </w:lvl>
  </w:abstractNum>
  <w:abstractNum w:abstractNumId="3">
    <w:nsid w:val="65617F5B"/>
    <w:multiLevelType w:val="multilevel"/>
    <w:tmpl w:val="65617F5B"/>
    <w:lvl w:ilvl="0">
      <w:start w:val="1"/>
      <w:numFmt w:val="chineseCountingThousand"/>
      <w:lvlText w:val="%1、"/>
      <w:lvlJc w:val="left"/>
      <w:pPr>
        <w:ind w:left="620" w:hanging="420"/>
      </w:pPr>
      <w:rPr>
        <w:rFonts w:hint="eastAsia"/>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num w:numId="1">
    <w:abstractNumId w:val="1"/>
  </w:num>
  <w:num w:numId="2">
    <w:abstractNumId w:val="0"/>
  </w:num>
  <w:num w:numId="3">
    <w:abstractNumId w:val="2"/>
  </w:num>
  <w:num w:numId="4">
    <w:abstractNumId w:val="3"/>
    <w:lvlOverride w:ilvl="0">
      <w:startOverride w:val="1"/>
    </w:lvlOverride>
  </w:num>
  <w:num w:numId="5">
    <w:abstractNumId w:val="3"/>
    <w:lvlOverride w:ilvl="0">
      <w:startOverride w:val="1"/>
    </w:lvlOverride>
  </w:num>
  <w:num w:numId="6">
    <w:abstractNumId w:val="3"/>
    <w:lvlOverride w:ilvl="0">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2"/>
  <w:bordersDoNotSurroundHeader/>
  <w:bordersDoNotSurroundFooter/>
  <w:hideSpellingErrors/>
  <w:defaultTabStop w:val="420"/>
  <w:drawingGridHorizontalSpacing w:val="120"/>
  <w:drawingGridVerticalSpacing w:val="156"/>
  <w:displayHorizontalDrawingGridEvery w:val="0"/>
  <w:displayVerticalDrawingGridEvery w:val="2"/>
  <w:characterSpacingControl w:val="compressPunctuation"/>
  <w:hdrShapeDefaults>
    <o:shapedefaults v:ext="edit" spidmax="16386" fillcolor="white">
      <v:fill color="white"/>
    </o:shapedefaults>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F46CC6"/>
    <w:rsid w:val="00000BCA"/>
    <w:rsid w:val="00001CFE"/>
    <w:rsid w:val="00003DCE"/>
    <w:rsid w:val="000050B6"/>
    <w:rsid w:val="0000591A"/>
    <w:rsid w:val="0001095A"/>
    <w:rsid w:val="00011147"/>
    <w:rsid w:val="00011AA3"/>
    <w:rsid w:val="0001202E"/>
    <w:rsid w:val="00014230"/>
    <w:rsid w:val="000146AE"/>
    <w:rsid w:val="0002045B"/>
    <w:rsid w:val="00020C7D"/>
    <w:rsid w:val="000258EB"/>
    <w:rsid w:val="000262E8"/>
    <w:rsid w:val="000271F3"/>
    <w:rsid w:val="00027359"/>
    <w:rsid w:val="000306D4"/>
    <w:rsid w:val="00031005"/>
    <w:rsid w:val="00043345"/>
    <w:rsid w:val="00043A20"/>
    <w:rsid w:val="00044A08"/>
    <w:rsid w:val="0004623F"/>
    <w:rsid w:val="000465AF"/>
    <w:rsid w:val="00047457"/>
    <w:rsid w:val="00050138"/>
    <w:rsid w:val="000507AD"/>
    <w:rsid w:val="00050C2C"/>
    <w:rsid w:val="000548EB"/>
    <w:rsid w:val="0005540B"/>
    <w:rsid w:val="000620D2"/>
    <w:rsid w:val="0006221B"/>
    <w:rsid w:val="00064A9E"/>
    <w:rsid w:val="000650D9"/>
    <w:rsid w:val="00065BF7"/>
    <w:rsid w:val="00067EE8"/>
    <w:rsid w:val="000710C9"/>
    <w:rsid w:val="00072FA0"/>
    <w:rsid w:val="00073698"/>
    <w:rsid w:val="00073B5A"/>
    <w:rsid w:val="00074F67"/>
    <w:rsid w:val="000759B2"/>
    <w:rsid w:val="00076025"/>
    <w:rsid w:val="00083B6A"/>
    <w:rsid w:val="000842BA"/>
    <w:rsid w:val="0008466E"/>
    <w:rsid w:val="00084D78"/>
    <w:rsid w:val="0008593E"/>
    <w:rsid w:val="00085BB7"/>
    <w:rsid w:val="00085BE2"/>
    <w:rsid w:val="00086696"/>
    <w:rsid w:val="00092EBF"/>
    <w:rsid w:val="0009365D"/>
    <w:rsid w:val="00093F1C"/>
    <w:rsid w:val="00093F9B"/>
    <w:rsid w:val="000951CF"/>
    <w:rsid w:val="00096667"/>
    <w:rsid w:val="000A1B8E"/>
    <w:rsid w:val="000A2805"/>
    <w:rsid w:val="000A2B31"/>
    <w:rsid w:val="000A2D97"/>
    <w:rsid w:val="000A3CFC"/>
    <w:rsid w:val="000A3D08"/>
    <w:rsid w:val="000A4C5E"/>
    <w:rsid w:val="000A5B4A"/>
    <w:rsid w:val="000A5FA7"/>
    <w:rsid w:val="000A62AD"/>
    <w:rsid w:val="000B0178"/>
    <w:rsid w:val="000B2CFF"/>
    <w:rsid w:val="000B30CF"/>
    <w:rsid w:val="000B3FBC"/>
    <w:rsid w:val="000B5CB1"/>
    <w:rsid w:val="000B64BD"/>
    <w:rsid w:val="000C0C76"/>
    <w:rsid w:val="000C1411"/>
    <w:rsid w:val="000C1A81"/>
    <w:rsid w:val="000C41D0"/>
    <w:rsid w:val="000D1617"/>
    <w:rsid w:val="000D48CE"/>
    <w:rsid w:val="000D5F28"/>
    <w:rsid w:val="000E1889"/>
    <w:rsid w:val="000E31A9"/>
    <w:rsid w:val="000E360B"/>
    <w:rsid w:val="000E5AE1"/>
    <w:rsid w:val="000E6EB9"/>
    <w:rsid w:val="000E78AF"/>
    <w:rsid w:val="000F1F25"/>
    <w:rsid w:val="000F31E0"/>
    <w:rsid w:val="000F36A1"/>
    <w:rsid w:val="000F3710"/>
    <w:rsid w:val="000F684D"/>
    <w:rsid w:val="000F6FFA"/>
    <w:rsid w:val="000F783A"/>
    <w:rsid w:val="000F7951"/>
    <w:rsid w:val="0010484E"/>
    <w:rsid w:val="00106C73"/>
    <w:rsid w:val="00106F8C"/>
    <w:rsid w:val="00112587"/>
    <w:rsid w:val="00112DE3"/>
    <w:rsid w:val="00114BBF"/>
    <w:rsid w:val="00115D82"/>
    <w:rsid w:val="00115FB1"/>
    <w:rsid w:val="00120197"/>
    <w:rsid w:val="0012144C"/>
    <w:rsid w:val="001233BF"/>
    <w:rsid w:val="001247F7"/>
    <w:rsid w:val="00131A6E"/>
    <w:rsid w:val="00132261"/>
    <w:rsid w:val="001324E2"/>
    <w:rsid w:val="00132D10"/>
    <w:rsid w:val="00133253"/>
    <w:rsid w:val="00134865"/>
    <w:rsid w:val="00135693"/>
    <w:rsid w:val="0013667E"/>
    <w:rsid w:val="001370A6"/>
    <w:rsid w:val="00140BA6"/>
    <w:rsid w:val="00141A56"/>
    <w:rsid w:val="00143017"/>
    <w:rsid w:val="001501B3"/>
    <w:rsid w:val="00150705"/>
    <w:rsid w:val="00150C1C"/>
    <w:rsid w:val="0015183A"/>
    <w:rsid w:val="00151999"/>
    <w:rsid w:val="00151A7C"/>
    <w:rsid w:val="00151AAF"/>
    <w:rsid w:val="001528CC"/>
    <w:rsid w:val="00153ACD"/>
    <w:rsid w:val="00155324"/>
    <w:rsid w:val="001555F3"/>
    <w:rsid w:val="00156641"/>
    <w:rsid w:val="00156AFC"/>
    <w:rsid w:val="0016076A"/>
    <w:rsid w:val="0016205F"/>
    <w:rsid w:val="00162525"/>
    <w:rsid w:val="00162622"/>
    <w:rsid w:val="001646F6"/>
    <w:rsid w:val="001705C4"/>
    <w:rsid w:val="00176977"/>
    <w:rsid w:val="0017723B"/>
    <w:rsid w:val="001800BA"/>
    <w:rsid w:val="00181BF3"/>
    <w:rsid w:val="00181D9A"/>
    <w:rsid w:val="00182456"/>
    <w:rsid w:val="00184870"/>
    <w:rsid w:val="00184974"/>
    <w:rsid w:val="001878FB"/>
    <w:rsid w:val="00187F8A"/>
    <w:rsid w:val="0019121A"/>
    <w:rsid w:val="00192E02"/>
    <w:rsid w:val="00192EED"/>
    <w:rsid w:val="001932F2"/>
    <w:rsid w:val="00196B7E"/>
    <w:rsid w:val="00197C02"/>
    <w:rsid w:val="001A03D7"/>
    <w:rsid w:val="001A0D62"/>
    <w:rsid w:val="001A17E4"/>
    <w:rsid w:val="001A5978"/>
    <w:rsid w:val="001A6CA1"/>
    <w:rsid w:val="001A6D8F"/>
    <w:rsid w:val="001B0004"/>
    <w:rsid w:val="001B0A73"/>
    <w:rsid w:val="001B0A9F"/>
    <w:rsid w:val="001B0BF5"/>
    <w:rsid w:val="001B25A4"/>
    <w:rsid w:val="001B4D17"/>
    <w:rsid w:val="001B6ECF"/>
    <w:rsid w:val="001B7FA8"/>
    <w:rsid w:val="001C14CB"/>
    <w:rsid w:val="001C2249"/>
    <w:rsid w:val="001C3252"/>
    <w:rsid w:val="001C3B7E"/>
    <w:rsid w:val="001C5BB3"/>
    <w:rsid w:val="001C7C4A"/>
    <w:rsid w:val="001C7F87"/>
    <w:rsid w:val="001D1D35"/>
    <w:rsid w:val="001D58FB"/>
    <w:rsid w:val="001D71EC"/>
    <w:rsid w:val="001D7E24"/>
    <w:rsid w:val="001E0DD1"/>
    <w:rsid w:val="001E1797"/>
    <w:rsid w:val="001E1A74"/>
    <w:rsid w:val="001E3A1E"/>
    <w:rsid w:val="001E582D"/>
    <w:rsid w:val="001E6959"/>
    <w:rsid w:val="001F1BDE"/>
    <w:rsid w:val="001F23F5"/>
    <w:rsid w:val="001F2747"/>
    <w:rsid w:val="001F31BA"/>
    <w:rsid w:val="001F49F8"/>
    <w:rsid w:val="00201440"/>
    <w:rsid w:val="00202C2E"/>
    <w:rsid w:val="002047C4"/>
    <w:rsid w:val="00204B62"/>
    <w:rsid w:val="00206032"/>
    <w:rsid w:val="00210316"/>
    <w:rsid w:val="00211841"/>
    <w:rsid w:val="00211891"/>
    <w:rsid w:val="00211E44"/>
    <w:rsid w:val="0021235A"/>
    <w:rsid w:val="00212B58"/>
    <w:rsid w:val="00213514"/>
    <w:rsid w:val="00215153"/>
    <w:rsid w:val="0021529A"/>
    <w:rsid w:val="00220139"/>
    <w:rsid w:val="00223BBA"/>
    <w:rsid w:val="00224C19"/>
    <w:rsid w:val="00224FE5"/>
    <w:rsid w:val="00227790"/>
    <w:rsid w:val="0023030B"/>
    <w:rsid w:val="0023119A"/>
    <w:rsid w:val="00231298"/>
    <w:rsid w:val="0023213A"/>
    <w:rsid w:val="0023465E"/>
    <w:rsid w:val="00237738"/>
    <w:rsid w:val="00240434"/>
    <w:rsid w:val="00241FCE"/>
    <w:rsid w:val="00245925"/>
    <w:rsid w:val="0024685E"/>
    <w:rsid w:val="00247A52"/>
    <w:rsid w:val="00247E77"/>
    <w:rsid w:val="00251B6D"/>
    <w:rsid w:val="002523D3"/>
    <w:rsid w:val="0025243A"/>
    <w:rsid w:val="00252828"/>
    <w:rsid w:val="002533B4"/>
    <w:rsid w:val="00257A96"/>
    <w:rsid w:val="002611EC"/>
    <w:rsid w:val="0026256A"/>
    <w:rsid w:val="00265A86"/>
    <w:rsid w:val="00265C25"/>
    <w:rsid w:val="00267E8D"/>
    <w:rsid w:val="00270047"/>
    <w:rsid w:val="002706B2"/>
    <w:rsid w:val="00270E65"/>
    <w:rsid w:val="002729DE"/>
    <w:rsid w:val="00273587"/>
    <w:rsid w:val="00275990"/>
    <w:rsid w:val="0027601E"/>
    <w:rsid w:val="002774BF"/>
    <w:rsid w:val="00280633"/>
    <w:rsid w:val="00282019"/>
    <w:rsid w:val="002830BA"/>
    <w:rsid w:val="00284520"/>
    <w:rsid w:val="002864C7"/>
    <w:rsid w:val="00293342"/>
    <w:rsid w:val="0029380B"/>
    <w:rsid w:val="00293B4B"/>
    <w:rsid w:val="002950F2"/>
    <w:rsid w:val="00296E2A"/>
    <w:rsid w:val="002A017C"/>
    <w:rsid w:val="002A3171"/>
    <w:rsid w:val="002A3287"/>
    <w:rsid w:val="002A4ED8"/>
    <w:rsid w:val="002B079B"/>
    <w:rsid w:val="002B0A40"/>
    <w:rsid w:val="002B210B"/>
    <w:rsid w:val="002B3345"/>
    <w:rsid w:val="002B43EC"/>
    <w:rsid w:val="002B459D"/>
    <w:rsid w:val="002B56BE"/>
    <w:rsid w:val="002B6188"/>
    <w:rsid w:val="002B7F97"/>
    <w:rsid w:val="002C04D8"/>
    <w:rsid w:val="002C1F20"/>
    <w:rsid w:val="002C35EF"/>
    <w:rsid w:val="002C4342"/>
    <w:rsid w:val="002C48FE"/>
    <w:rsid w:val="002C4E98"/>
    <w:rsid w:val="002C79D0"/>
    <w:rsid w:val="002D0075"/>
    <w:rsid w:val="002D3D6D"/>
    <w:rsid w:val="002D4A1D"/>
    <w:rsid w:val="002D62B8"/>
    <w:rsid w:val="002D75B7"/>
    <w:rsid w:val="002D78E6"/>
    <w:rsid w:val="002D78EB"/>
    <w:rsid w:val="002D7D8F"/>
    <w:rsid w:val="002E07BF"/>
    <w:rsid w:val="002E25EF"/>
    <w:rsid w:val="002E277F"/>
    <w:rsid w:val="002E2D34"/>
    <w:rsid w:val="002E3611"/>
    <w:rsid w:val="002E3995"/>
    <w:rsid w:val="002E4C1D"/>
    <w:rsid w:val="002E51FB"/>
    <w:rsid w:val="002E57AB"/>
    <w:rsid w:val="002E6859"/>
    <w:rsid w:val="002E74AE"/>
    <w:rsid w:val="002F1653"/>
    <w:rsid w:val="002F307C"/>
    <w:rsid w:val="002F4C43"/>
    <w:rsid w:val="002F520B"/>
    <w:rsid w:val="002F5FB6"/>
    <w:rsid w:val="00300376"/>
    <w:rsid w:val="00301D8C"/>
    <w:rsid w:val="003027DE"/>
    <w:rsid w:val="0030587F"/>
    <w:rsid w:val="00310D72"/>
    <w:rsid w:val="003172F9"/>
    <w:rsid w:val="00320E5E"/>
    <w:rsid w:val="00320E70"/>
    <w:rsid w:val="00321D45"/>
    <w:rsid w:val="00322941"/>
    <w:rsid w:val="00323B51"/>
    <w:rsid w:val="00323E3F"/>
    <w:rsid w:val="00324A14"/>
    <w:rsid w:val="00324C14"/>
    <w:rsid w:val="00330955"/>
    <w:rsid w:val="00336133"/>
    <w:rsid w:val="00337497"/>
    <w:rsid w:val="00340837"/>
    <w:rsid w:val="00340D93"/>
    <w:rsid w:val="00341517"/>
    <w:rsid w:val="003427C1"/>
    <w:rsid w:val="00343DDD"/>
    <w:rsid w:val="0035059C"/>
    <w:rsid w:val="00350CE0"/>
    <w:rsid w:val="003519E4"/>
    <w:rsid w:val="00352A49"/>
    <w:rsid w:val="00352C40"/>
    <w:rsid w:val="00352E18"/>
    <w:rsid w:val="00353696"/>
    <w:rsid w:val="00354508"/>
    <w:rsid w:val="0035465D"/>
    <w:rsid w:val="00354E91"/>
    <w:rsid w:val="00357D52"/>
    <w:rsid w:val="00361FF4"/>
    <w:rsid w:val="0036297E"/>
    <w:rsid w:val="00363DF0"/>
    <w:rsid w:val="0036522E"/>
    <w:rsid w:val="00367F71"/>
    <w:rsid w:val="003704B5"/>
    <w:rsid w:val="003710F9"/>
    <w:rsid w:val="00371104"/>
    <w:rsid w:val="003729D6"/>
    <w:rsid w:val="0037377B"/>
    <w:rsid w:val="00373C21"/>
    <w:rsid w:val="00374088"/>
    <w:rsid w:val="00374332"/>
    <w:rsid w:val="00374ACB"/>
    <w:rsid w:val="00377A40"/>
    <w:rsid w:val="00381C4E"/>
    <w:rsid w:val="00381F45"/>
    <w:rsid w:val="0038249D"/>
    <w:rsid w:val="00384123"/>
    <w:rsid w:val="0038640B"/>
    <w:rsid w:val="003865BD"/>
    <w:rsid w:val="003905B7"/>
    <w:rsid w:val="0039088A"/>
    <w:rsid w:val="00390D57"/>
    <w:rsid w:val="00391BD6"/>
    <w:rsid w:val="00392A81"/>
    <w:rsid w:val="00392EEF"/>
    <w:rsid w:val="0039468A"/>
    <w:rsid w:val="00394D38"/>
    <w:rsid w:val="0039540B"/>
    <w:rsid w:val="00396763"/>
    <w:rsid w:val="0039763C"/>
    <w:rsid w:val="003A090B"/>
    <w:rsid w:val="003A1FA1"/>
    <w:rsid w:val="003A2F1E"/>
    <w:rsid w:val="003A4C92"/>
    <w:rsid w:val="003A54C0"/>
    <w:rsid w:val="003B0135"/>
    <w:rsid w:val="003B0BB3"/>
    <w:rsid w:val="003B13BD"/>
    <w:rsid w:val="003B19FA"/>
    <w:rsid w:val="003B3747"/>
    <w:rsid w:val="003B3BE2"/>
    <w:rsid w:val="003B423D"/>
    <w:rsid w:val="003B437B"/>
    <w:rsid w:val="003B7B73"/>
    <w:rsid w:val="003C192B"/>
    <w:rsid w:val="003C3F78"/>
    <w:rsid w:val="003C4C37"/>
    <w:rsid w:val="003C5B0F"/>
    <w:rsid w:val="003D104C"/>
    <w:rsid w:val="003D3C59"/>
    <w:rsid w:val="003D4256"/>
    <w:rsid w:val="003D6BDA"/>
    <w:rsid w:val="003E0E58"/>
    <w:rsid w:val="003E1A31"/>
    <w:rsid w:val="003E3437"/>
    <w:rsid w:val="003E6834"/>
    <w:rsid w:val="003E7AD4"/>
    <w:rsid w:val="003F1F2E"/>
    <w:rsid w:val="003F3FB8"/>
    <w:rsid w:val="003F4505"/>
    <w:rsid w:val="003F4B62"/>
    <w:rsid w:val="003F50B3"/>
    <w:rsid w:val="003F5748"/>
    <w:rsid w:val="00400BF9"/>
    <w:rsid w:val="004014DD"/>
    <w:rsid w:val="00401FED"/>
    <w:rsid w:val="0040203E"/>
    <w:rsid w:val="004043D2"/>
    <w:rsid w:val="004064D2"/>
    <w:rsid w:val="0040656B"/>
    <w:rsid w:val="00407360"/>
    <w:rsid w:val="00410D41"/>
    <w:rsid w:val="0041174C"/>
    <w:rsid w:val="00411A41"/>
    <w:rsid w:val="00411CC2"/>
    <w:rsid w:val="004121A7"/>
    <w:rsid w:val="004122D0"/>
    <w:rsid w:val="00412752"/>
    <w:rsid w:val="00412E82"/>
    <w:rsid w:val="00413E5D"/>
    <w:rsid w:val="004142F9"/>
    <w:rsid w:val="004149F1"/>
    <w:rsid w:val="00415CF3"/>
    <w:rsid w:val="0042060C"/>
    <w:rsid w:val="0042136E"/>
    <w:rsid w:val="00421CD2"/>
    <w:rsid w:val="00422094"/>
    <w:rsid w:val="00422589"/>
    <w:rsid w:val="00423B75"/>
    <w:rsid w:val="00424B28"/>
    <w:rsid w:val="00426FF1"/>
    <w:rsid w:val="00427FFB"/>
    <w:rsid w:val="00431CD4"/>
    <w:rsid w:val="00431F55"/>
    <w:rsid w:val="00431FFB"/>
    <w:rsid w:val="00435789"/>
    <w:rsid w:val="00437ADF"/>
    <w:rsid w:val="00437D02"/>
    <w:rsid w:val="004400F7"/>
    <w:rsid w:val="00440E46"/>
    <w:rsid w:val="00440F5F"/>
    <w:rsid w:val="0044106E"/>
    <w:rsid w:val="00441B94"/>
    <w:rsid w:val="004428CD"/>
    <w:rsid w:val="00443ADF"/>
    <w:rsid w:val="004475AA"/>
    <w:rsid w:val="00453E15"/>
    <w:rsid w:val="00455B67"/>
    <w:rsid w:val="00457C34"/>
    <w:rsid w:val="00460B0A"/>
    <w:rsid w:val="0046204B"/>
    <w:rsid w:val="00463B55"/>
    <w:rsid w:val="00463B8A"/>
    <w:rsid w:val="004655D8"/>
    <w:rsid w:val="004666BA"/>
    <w:rsid w:val="00466B89"/>
    <w:rsid w:val="00467037"/>
    <w:rsid w:val="00470CC7"/>
    <w:rsid w:val="0047313B"/>
    <w:rsid w:val="00474C5A"/>
    <w:rsid w:val="004754F2"/>
    <w:rsid w:val="00477625"/>
    <w:rsid w:val="00480116"/>
    <w:rsid w:val="00480EFE"/>
    <w:rsid w:val="00483441"/>
    <w:rsid w:val="0048424E"/>
    <w:rsid w:val="004846B2"/>
    <w:rsid w:val="004872AF"/>
    <w:rsid w:val="00490373"/>
    <w:rsid w:val="0049114A"/>
    <w:rsid w:val="004921DF"/>
    <w:rsid w:val="004948DF"/>
    <w:rsid w:val="00494E15"/>
    <w:rsid w:val="004970FE"/>
    <w:rsid w:val="004A155A"/>
    <w:rsid w:val="004A180B"/>
    <w:rsid w:val="004A18E3"/>
    <w:rsid w:val="004A2799"/>
    <w:rsid w:val="004A3292"/>
    <w:rsid w:val="004A38DC"/>
    <w:rsid w:val="004A3A45"/>
    <w:rsid w:val="004B38A8"/>
    <w:rsid w:val="004B4857"/>
    <w:rsid w:val="004B5413"/>
    <w:rsid w:val="004B59CF"/>
    <w:rsid w:val="004B6FF9"/>
    <w:rsid w:val="004B732D"/>
    <w:rsid w:val="004C2CE8"/>
    <w:rsid w:val="004C481C"/>
    <w:rsid w:val="004C6E33"/>
    <w:rsid w:val="004D125B"/>
    <w:rsid w:val="004D182D"/>
    <w:rsid w:val="004D4F61"/>
    <w:rsid w:val="004D5EFF"/>
    <w:rsid w:val="004D64C8"/>
    <w:rsid w:val="004D67AA"/>
    <w:rsid w:val="004D7525"/>
    <w:rsid w:val="004D7A35"/>
    <w:rsid w:val="004E3748"/>
    <w:rsid w:val="004E4833"/>
    <w:rsid w:val="004E7040"/>
    <w:rsid w:val="004E7257"/>
    <w:rsid w:val="004E7F9C"/>
    <w:rsid w:val="004F16A2"/>
    <w:rsid w:val="004F1C28"/>
    <w:rsid w:val="004F2FBB"/>
    <w:rsid w:val="004F32BE"/>
    <w:rsid w:val="004F414A"/>
    <w:rsid w:val="004F4D09"/>
    <w:rsid w:val="004F6F6E"/>
    <w:rsid w:val="004F710F"/>
    <w:rsid w:val="004F7642"/>
    <w:rsid w:val="00501867"/>
    <w:rsid w:val="00501B2A"/>
    <w:rsid w:val="00502D17"/>
    <w:rsid w:val="00504528"/>
    <w:rsid w:val="00504B4A"/>
    <w:rsid w:val="00505AD2"/>
    <w:rsid w:val="00505BA8"/>
    <w:rsid w:val="00505EAD"/>
    <w:rsid w:val="00506E11"/>
    <w:rsid w:val="00507D10"/>
    <w:rsid w:val="00510327"/>
    <w:rsid w:val="00511B12"/>
    <w:rsid w:val="005158E6"/>
    <w:rsid w:val="00516405"/>
    <w:rsid w:val="00517D79"/>
    <w:rsid w:val="00521344"/>
    <w:rsid w:val="005224FA"/>
    <w:rsid w:val="00523C4E"/>
    <w:rsid w:val="00525DA7"/>
    <w:rsid w:val="00526735"/>
    <w:rsid w:val="0053154B"/>
    <w:rsid w:val="00531E82"/>
    <w:rsid w:val="005320FC"/>
    <w:rsid w:val="00532A06"/>
    <w:rsid w:val="005338D5"/>
    <w:rsid w:val="0053581E"/>
    <w:rsid w:val="00536A32"/>
    <w:rsid w:val="00537AEA"/>
    <w:rsid w:val="00540317"/>
    <w:rsid w:val="00541255"/>
    <w:rsid w:val="00542C43"/>
    <w:rsid w:val="005439E3"/>
    <w:rsid w:val="00543D44"/>
    <w:rsid w:val="00545DAC"/>
    <w:rsid w:val="00547007"/>
    <w:rsid w:val="0054715B"/>
    <w:rsid w:val="00547470"/>
    <w:rsid w:val="005500F4"/>
    <w:rsid w:val="00550C7D"/>
    <w:rsid w:val="00553875"/>
    <w:rsid w:val="00561621"/>
    <w:rsid w:val="00564E5B"/>
    <w:rsid w:val="005655EB"/>
    <w:rsid w:val="0056569D"/>
    <w:rsid w:val="005723E4"/>
    <w:rsid w:val="0057463A"/>
    <w:rsid w:val="0057478E"/>
    <w:rsid w:val="005767FB"/>
    <w:rsid w:val="00581874"/>
    <w:rsid w:val="00587993"/>
    <w:rsid w:val="005879E4"/>
    <w:rsid w:val="00590E17"/>
    <w:rsid w:val="005929C6"/>
    <w:rsid w:val="00593CEA"/>
    <w:rsid w:val="0059634C"/>
    <w:rsid w:val="00596689"/>
    <w:rsid w:val="00596F3A"/>
    <w:rsid w:val="0059727C"/>
    <w:rsid w:val="00597406"/>
    <w:rsid w:val="00597DA0"/>
    <w:rsid w:val="005A0AAB"/>
    <w:rsid w:val="005A1D97"/>
    <w:rsid w:val="005A1FC0"/>
    <w:rsid w:val="005A39E9"/>
    <w:rsid w:val="005A65F6"/>
    <w:rsid w:val="005A6E74"/>
    <w:rsid w:val="005B19A6"/>
    <w:rsid w:val="005B1F87"/>
    <w:rsid w:val="005B258C"/>
    <w:rsid w:val="005B2CF0"/>
    <w:rsid w:val="005B3048"/>
    <w:rsid w:val="005B382D"/>
    <w:rsid w:val="005B4E13"/>
    <w:rsid w:val="005B526C"/>
    <w:rsid w:val="005B6278"/>
    <w:rsid w:val="005B7632"/>
    <w:rsid w:val="005B7B39"/>
    <w:rsid w:val="005C1784"/>
    <w:rsid w:val="005C2B2D"/>
    <w:rsid w:val="005C4429"/>
    <w:rsid w:val="005C4586"/>
    <w:rsid w:val="005C4A31"/>
    <w:rsid w:val="005C5B79"/>
    <w:rsid w:val="005C6EFC"/>
    <w:rsid w:val="005D0531"/>
    <w:rsid w:val="005D2EDF"/>
    <w:rsid w:val="005D3194"/>
    <w:rsid w:val="005D45E9"/>
    <w:rsid w:val="005D59B2"/>
    <w:rsid w:val="005E07DE"/>
    <w:rsid w:val="005E3971"/>
    <w:rsid w:val="005E6D36"/>
    <w:rsid w:val="005F06A4"/>
    <w:rsid w:val="005F10AD"/>
    <w:rsid w:val="005F1283"/>
    <w:rsid w:val="005F412A"/>
    <w:rsid w:val="005F5B10"/>
    <w:rsid w:val="00600FDF"/>
    <w:rsid w:val="0060101E"/>
    <w:rsid w:val="00601416"/>
    <w:rsid w:val="00603054"/>
    <w:rsid w:val="006053BA"/>
    <w:rsid w:val="00606EAC"/>
    <w:rsid w:val="0061143A"/>
    <w:rsid w:val="00611A52"/>
    <w:rsid w:val="00612A3D"/>
    <w:rsid w:val="00613B1A"/>
    <w:rsid w:val="006148B2"/>
    <w:rsid w:val="00614C7C"/>
    <w:rsid w:val="006152E8"/>
    <w:rsid w:val="006160C1"/>
    <w:rsid w:val="0061676A"/>
    <w:rsid w:val="0061755C"/>
    <w:rsid w:val="0062274E"/>
    <w:rsid w:val="00622A10"/>
    <w:rsid w:val="006232B9"/>
    <w:rsid w:val="0062372A"/>
    <w:rsid w:val="0062719D"/>
    <w:rsid w:val="006302E3"/>
    <w:rsid w:val="00637C56"/>
    <w:rsid w:val="00640296"/>
    <w:rsid w:val="00640771"/>
    <w:rsid w:val="00640905"/>
    <w:rsid w:val="00641776"/>
    <w:rsid w:val="0064305F"/>
    <w:rsid w:val="006442BB"/>
    <w:rsid w:val="006453A1"/>
    <w:rsid w:val="00645976"/>
    <w:rsid w:val="00646C50"/>
    <w:rsid w:val="00650490"/>
    <w:rsid w:val="006514AF"/>
    <w:rsid w:val="00651671"/>
    <w:rsid w:val="00652B99"/>
    <w:rsid w:val="00652E46"/>
    <w:rsid w:val="00656CC3"/>
    <w:rsid w:val="006570CB"/>
    <w:rsid w:val="0066348B"/>
    <w:rsid w:val="0066453F"/>
    <w:rsid w:val="006727E1"/>
    <w:rsid w:val="00673171"/>
    <w:rsid w:val="00675346"/>
    <w:rsid w:val="00675EE1"/>
    <w:rsid w:val="00676EF6"/>
    <w:rsid w:val="006770E4"/>
    <w:rsid w:val="00680C6E"/>
    <w:rsid w:val="00680DCD"/>
    <w:rsid w:val="00683E8F"/>
    <w:rsid w:val="00685840"/>
    <w:rsid w:val="00685949"/>
    <w:rsid w:val="00685AE7"/>
    <w:rsid w:val="0069099B"/>
    <w:rsid w:val="006913DF"/>
    <w:rsid w:val="006920D4"/>
    <w:rsid w:val="00693302"/>
    <w:rsid w:val="00693C8D"/>
    <w:rsid w:val="00694AD3"/>
    <w:rsid w:val="00695704"/>
    <w:rsid w:val="00696ED0"/>
    <w:rsid w:val="006A1D81"/>
    <w:rsid w:val="006A3679"/>
    <w:rsid w:val="006A3EB5"/>
    <w:rsid w:val="006A46DB"/>
    <w:rsid w:val="006A4A22"/>
    <w:rsid w:val="006A4D6C"/>
    <w:rsid w:val="006A61B9"/>
    <w:rsid w:val="006A6711"/>
    <w:rsid w:val="006A6BF4"/>
    <w:rsid w:val="006A758A"/>
    <w:rsid w:val="006A7674"/>
    <w:rsid w:val="006A7A0E"/>
    <w:rsid w:val="006B0927"/>
    <w:rsid w:val="006B32CA"/>
    <w:rsid w:val="006B32E5"/>
    <w:rsid w:val="006B332B"/>
    <w:rsid w:val="006B4294"/>
    <w:rsid w:val="006B6729"/>
    <w:rsid w:val="006B6DA2"/>
    <w:rsid w:val="006C0FD9"/>
    <w:rsid w:val="006C1E91"/>
    <w:rsid w:val="006C2334"/>
    <w:rsid w:val="006C35A6"/>
    <w:rsid w:val="006C408C"/>
    <w:rsid w:val="006C70B1"/>
    <w:rsid w:val="006D2CFF"/>
    <w:rsid w:val="006D3C49"/>
    <w:rsid w:val="006D3DDD"/>
    <w:rsid w:val="006D3F75"/>
    <w:rsid w:val="006D6F96"/>
    <w:rsid w:val="006D7C73"/>
    <w:rsid w:val="006E180A"/>
    <w:rsid w:val="006E25B3"/>
    <w:rsid w:val="006E2C33"/>
    <w:rsid w:val="006E39AE"/>
    <w:rsid w:val="006E3D14"/>
    <w:rsid w:val="006E4A3E"/>
    <w:rsid w:val="006E4AE1"/>
    <w:rsid w:val="006E69EB"/>
    <w:rsid w:val="006F018C"/>
    <w:rsid w:val="006F1935"/>
    <w:rsid w:val="006F1C8F"/>
    <w:rsid w:val="006F3228"/>
    <w:rsid w:val="006F52E1"/>
    <w:rsid w:val="006F67DE"/>
    <w:rsid w:val="006F70EA"/>
    <w:rsid w:val="006F7FAB"/>
    <w:rsid w:val="00700249"/>
    <w:rsid w:val="00701046"/>
    <w:rsid w:val="007020EF"/>
    <w:rsid w:val="0070283D"/>
    <w:rsid w:val="00702FE4"/>
    <w:rsid w:val="00703212"/>
    <w:rsid w:val="00703EEE"/>
    <w:rsid w:val="0070784F"/>
    <w:rsid w:val="007079EB"/>
    <w:rsid w:val="00711AD3"/>
    <w:rsid w:val="00711D7B"/>
    <w:rsid w:val="00720A1A"/>
    <w:rsid w:val="00720BC3"/>
    <w:rsid w:val="0072344A"/>
    <w:rsid w:val="00725410"/>
    <w:rsid w:val="00727062"/>
    <w:rsid w:val="007303E6"/>
    <w:rsid w:val="00730538"/>
    <w:rsid w:val="007308B0"/>
    <w:rsid w:val="00731954"/>
    <w:rsid w:val="00732772"/>
    <w:rsid w:val="00734A48"/>
    <w:rsid w:val="00734F91"/>
    <w:rsid w:val="00736375"/>
    <w:rsid w:val="00736EC0"/>
    <w:rsid w:val="00737816"/>
    <w:rsid w:val="0074001A"/>
    <w:rsid w:val="00741030"/>
    <w:rsid w:val="00741239"/>
    <w:rsid w:val="0074188E"/>
    <w:rsid w:val="00741BAE"/>
    <w:rsid w:val="007421B0"/>
    <w:rsid w:val="00743E3B"/>
    <w:rsid w:val="00747CCF"/>
    <w:rsid w:val="007504D9"/>
    <w:rsid w:val="00750A17"/>
    <w:rsid w:val="00750AE6"/>
    <w:rsid w:val="00752839"/>
    <w:rsid w:val="00753E34"/>
    <w:rsid w:val="00753F1D"/>
    <w:rsid w:val="00754659"/>
    <w:rsid w:val="00755C64"/>
    <w:rsid w:val="00756C1F"/>
    <w:rsid w:val="007573D1"/>
    <w:rsid w:val="00761A49"/>
    <w:rsid w:val="00762857"/>
    <w:rsid w:val="0076336D"/>
    <w:rsid w:val="00764B40"/>
    <w:rsid w:val="007659B4"/>
    <w:rsid w:val="007659ED"/>
    <w:rsid w:val="00765BA5"/>
    <w:rsid w:val="007668CD"/>
    <w:rsid w:val="00771569"/>
    <w:rsid w:val="00773FB9"/>
    <w:rsid w:val="00774310"/>
    <w:rsid w:val="00775E41"/>
    <w:rsid w:val="007764D3"/>
    <w:rsid w:val="0078445C"/>
    <w:rsid w:val="00784B65"/>
    <w:rsid w:val="0078592C"/>
    <w:rsid w:val="007869FF"/>
    <w:rsid w:val="00790872"/>
    <w:rsid w:val="00790D3A"/>
    <w:rsid w:val="007910D9"/>
    <w:rsid w:val="00791842"/>
    <w:rsid w:val="00792170"/>
    <w:rsid w:val="00792375"/>
    <w:rsid w:val="0079479A"/>
    <w:rsid w:val="00794991"/>
    <w:rsid w:val="00797C53"/>
    <w:rsid w:val="007A0510"/>
    <w:rsid w:val="007A09E9"/>
    <w:rsid w:val="007A3B3B"/>
    <w:rsid w:val="007A3E98"/>
    <w:rsid w:val="007A54DA"/>
    <w:rsid w:val="007A7C3B"/>
    <w:rsid w:val="007A7EBD"/>
    <w:rsid w:val="007B2328"/>
    <w:rsid w:val="007B2F15"/>
    <w:rsid w:val="007B3B74"/>
    <w:rsid w:val="007B4CC3"/>
    <w:rsid w:val="007B69C1"/>
    <w:rsid w:val="007C1507"/>
    <w:rsid w:val="007C1566"/>
    <w:rsid w:val="007C157E"/>
    <w:rsid w:val="007C2C10"/>
    <w:rsid w:val="007C40B9"/>
    <w:rsid w:val="007C60D2"/>
    <w:rsid w:val="007C75BF"/>
    <w:rsid w:val="007C7BDC"/>
    <w:rsid w:val="007D0687"/>
    <w:rsid w:val="007D092D"/>
    <w:rsid w:val="007D1512"/>
    <w:rsid w:val="007D1E19"/>
    <w:rsid w:val="007D1E4D"/>
    <w:rsid w:val="007D5616"/>
    <w:rsid w:val="007D674C"/>
    <w:rsid w:val="007D7B4E"/>
    <w:rsid w:val="007E0884"/>
    <w:rsid w:val="007E0C4E"/>
    <w:rsid w:val="007E1957"/>
    <w:rsid w:val="007E1D06"/>
    <w:rsid w:val="007E2266"/>
    <w:rsid w:val="007E26D1"/>
    <w:rsid w:val="007E327C"/>
    <w:rsid w:val="007E3A4A"/>
    <w:rsid w:val="007E5525"/>
    <w:rsid w:val="007E5526"/>
    <w:rsid w:val="007F038F"/>
    <w:rsid w:val="007F17CE"/>
    <w:rsid w:val="007F19C5"/>
    <w:rsid w:val="007F340B"/>
    <w:rsid w:val="007F5C6C"/>
    <w:rsid w:val="00800219"/>
    <w:rsid w:val="00800798"/>
    <w:rsid w:val="0080213D"/>
    <w:rsid w:val="008053CB"/>
    <w:rsid w:val="008073C6"/>
    <w:rsid w:val="00807DF6"/>
    <w:rsid w:val="0081085C"/>
    <w:rsid w:val="00810A4F"/>
    <w:rsid w:val="008128DB"/>
    <w:rsid w:val="00821B27"/>
    <w:rsid w:val="008223D7"/>
    <w:rsid w:val="008240FC"/>
    <w:rsid w:val="00825814"/>
    <w:rsid w:val="00825C5D"/>
    <w:rsid w:val="00826846"/>
    <w:rsid w:val="0082786C"/>
    <w:rsid w:val="0083017A"/>
    <w:rsid w:val="00830C69"/>
    <w:rsid w:val="00831CA8"/>
    <w:rsid w:val="0083281D"/>
    <w:rsid w:val="00833ACD"/>
    <w:rsid w:val="0083408A"/>
    <w:rsid w:val="00835036"/>
    <w:rsid w:val="008356FD"/>
    <w:rsid w:val="00835D32"/>
    <w:rsid w:val="00835E03"/>
    <w:rsid w:val="008378E9"/>
    <w:rsid w:val="00837C62"/>
    <w:rsid w:val="008428DD"/>
    <w:rsid w:val="00844ABC"/>
    <w:rsid w:val="00844FBB"/>
    <w:rsid w:val="0084643A"/>
    <w:rsid w:val="008500F6"/>
    <w:rsid w:val="00851F29"/>
    <w:rsid w:val="00853A42"/>
    <w:rsid w:val="008567E5"/>
    <w:rsid w:val="00857F49"/>
    <w:rsid w:val="00860138"/>
    <w:rsid w:val="0086195F"/>
    <w:rsid w:val="008660AC"/>
    <w:rsid w:val="00866B84"/>
    <w:rsid w:val="00867D15"/>
    <w:rsid w:val="00870DBE"/>
    <w:rsid w:val="00872005"/>
    <w:rsid w:val="00872391"/>
    <w:rsid w:val="00872432"/>
    <w:rsid w:val="008770DF"/>
    <w:rsid w:val="0087756C"/>
    <w:rsid w:val="0088004E"/>
    <w:rsid w:val="008816CA"/>
    <w:rsid w:val="00881E62"/>
    <w:rsid w:val="00882DB6"/>
    <w:rsid w:val="00883558"/>
    <w:rsid w:val="00884516"/>
    <w:rsid w:val="008857C2"/>
    <w:rsid w:val="00886959"/>
    <w:rsid w:val="00891F24"/>
    <w:rsid w:val="008965AD"/>
    <w:rsid w:val="00896C8C"/>
    <w:rsid w:val="008A08CB"/>
    <w:rsid w:val="008A241B"/>
    <w:rsid w:val="008A425B"/>
    <w:rsid w:val="008A5121"/>
    <w:rsid w:val="008B2440"/>
    <w:rsid w:val="008B276D"/>
    <w:rsid w:val="008B2984"/>
    <w:rsid w:val="008B3D73"/>
    <w:rsid w:val="008B4D51"/>
    <w:rsid w:val="008B5843"/>
    <w:rsid w:val="008B5C84"/>
    <w:rsid w:val="008B71C3"/>
    <w:rsid w:val="008C02CD"/>
    <w:rsid w:val="008C0C2F"/>
    <w:rsid w:val="008C14A8"/>
    <w:rsid w:val="008C1581"/>
    <w:rsid w:val="008C1F5A"/>
    <w:rsid w:val="008C3EEB"/>
    <w:rsid w:val="008C3FF3"/>
    <w:rsid w:val="008C4DDE"/>
    <w:rsid w:val="008C7916"/>
    <w:rsid w:val="008D15B8"/>
    <w:rsid w:val="008D2B5E"/>
    <w:rsid w:val="008D3026"/>
    <w:rsid w:val="008D605F"/>
    <w:rsid w:val="008D6B16"/>
    <w:rsid w:val="008E0BC9"/>
    <w:rsid w:val="008E1751"/>
    <w:rsid w:val="008E1C2D"/>
    <w:rsid w:val="008E22F8"/>
    <w:rsid w:val="008F1699"/>
    <w:rsid w:val="008F3E56"/>
    <w:rsid w:val="008F445E"/>
    <w:rsid w:val="008F5D90"/>
    <w:rsid w:val="008F6063"/>
    <w:rsid w:val="008F647F"/>
    <w:rsid w:val="00900311"/>
    <w:rsid w:val="00901162"/>
    <w:rsid w:val="00906F50"/>
    <w:rsid w:val="00907DFD"/>
    <w:rsid w:val="0091165F"/>
    <w:rsid w:val="00912CA6"/>
    <w:rsid w:val="00913E3D"/>
    <w:rsid w:val="00917C58"/>
    <w:rsid w:val="009202E5"/>
    <w:rsid w:val="009240EB"/>
    <w:rsid w:val="00924864"/>
    <w:rsid w:val="00925DD9"/>
    <w:rsid w:val="00925FC1"/>
    <w:rsid w:val="00930530"/>
    <w:rsid w:val="009331EC"/>
    <w:rsid w:val="009363DD"/>
    <w:rsid w:val="00937B6D"/>
    <w:rsid w:val="0094221F"/>
    <w:rsid w:val="009425CF"/>
    <w:rsid w:val="0094311B"/>
    <w:rsid w:val="009448D7"/>
    <w:rsid w:val="009453F5"/>
    <w:rsid w:val="00946E36"/>
    <w:rsid w:val="00950148"/>
    <w:rsid w:val="00952A61"/>
    <w:rsid w:val="00952AE5"/>
    <w:rsid w:val="009533CD"/>
    <w:rsid w:val="00954C6F"/>
    <w:rsid w:val="009551B8"/>
    <w:rsid w:val="0095600B"/>
    <w:rsid w:val="009572EF"/>
    <w:rsid w:val="00957C13"/>
    <w:rsid w:val="009621BA"/>
    <w:rsid w:val="0096245B"/>
    <w:rsid w:val="0096276A"/>
    <w:rsid w:val="00964C1A"/>
    <w:rsid w:val="00964D16"/>
    <w:rsid w:val="009652B9"/>
    <w:rsid w:val="0096684A"/>
    <w:rsid w:val="00967BAE"/>
    <w:rsid w:val="00970026"/>
    <w:rsid w:val="00971E69"/>
    <w:rsid w:val="00973A69"/>
    <w:rsid w:val="009746B0"/>
    <w:rsid w:val="009750FB"/>
    <w:rsid w:val="009751AC"/>
    <w:rsid w:val="00975CE6"/>
    <w:rsid w:val="00976AEB"/>
    <w:rsid w:val="00977E38"/>
    <w:rsid w:val="0098119A"/>
    <w:rsid w:val="00981CDC"/>
    <w:rsid w:val="00983ABD"/>
    <w:rsid w:val="00987C15"/>
    <w:rsid w:val="00990177"/>
    <w:rsid w:val="00990D8E"/>
    <w:rsid w:val="00991378"/>
    <w:rsid w:val="0099230E"/>
    <w:rsid w:val="0099303C"/>
    <w:rsid w:val="00993BBC"/>
    <w:rsid w:val="009A18BF"/>
    <w:rsid w:val="009A1AC1"/>
    <w:rsid w:val="009A30EA"/>
    <w:rsid w:val="009A388F"/>
    <w:rsid w:val="009A39D0"/>
    <w:rsid w:val="009A3FBD"/>
    <w:rsid w:val="009A5FDA"/>
    <w:rsid w:val="009B2EA3"/>
    <w:rsid w:val="009B32D8"/>
    <w:rsid w:val="009B5E2E"/>
    <w:rsid w:val="009C030E"/>
    <w:rsid w:val="009C2B92"/>
    <w:rsid w:val="009C5D5E"/>
    <w:rsid w:val="009C6BD9"/>
    <w:rsid w:val="009D40E0"/>
    <w:rsid w:val="009D50EF"/>
    <w:rsid w:val="009D64D8"/>
    <w:rsid w:val="009D748F"/>
    <w:rsid w:val="009E16E3"/>
    <w:rsid w:val="009E1DF6"/>
    <w:rsid w:val="009E29BF"/>
    <w:rsid w:val="009E2F94"/>
    <w:rsid w:val="009E357D"/>
    <w:rsid w:val="009E35EB"/>
    <w:rsid w:val="009E3FA8"/>
    <w:rsid w:val="009E5B46"/>
    <w:rsid w:val="009E7522"/>
    <w:rsid w:val="009E7F31"/>
    <w:rsid w:val="009F2CB1"/>
    <w:rsid w:val="009F2F48"/>
    <w:rsid w:val="009F504F"/>
    <w:rsid w:val="009F66FE"/>
    <w:rsid w:val="009F686C"/>
    <w:rsid w:val="00A0282A"/>
    <w:rsid w:val="00A03102"/>
    <w:rsid w:val="00A03A70"/>
    <w:rsid w:val="00A05A36"/>
    <w:rsid w:val="00A077B4"/>
    <w:rsid w:val="00A10664"/>
    <w:rsid w:val="00A164ED"/>
    <w:rsid w:val="00A165C0"/>
    <w:rsid w:val="00A17204"/>
    <w:rsid w:val="00A2510C"/>
    <w:rsid w:val="00A26403"/>
    <w:rsid w:val="00A27E4B"/>
    <w:rsid w:val="00A30C46"/>
    <w:rsid w:val="00A32C30"/>
    <w:rsid w:val="00A342CC"/>
    <w:rsid w:val="00A348C8"/>
    <w:rsid w:val="00A35B37"/>
    <w:rsid w:val="00A4144F"/>
    <w:rsid w:val="00A423EC"/>
    <w:rsid w:val="00A4321D"/>
    <w:rsid w:val="00A43DD6"/>
    <w:rsid w:val="00A45A50"/>
    <w:rsid w:val="00A502D9"/>
    <w:rsid w:val="00A54179"/>
    <w:rsid w:val="00A557A9"/>
    <w:rsid w:val="00A55FD3"/>
    <w:rsid w:val="00A5671D"/>
    <w:rsid w:val="00A57AA4"/>
    <w:rsid w:val="00A620BD"/>
    <w:rsid w:val="00A6228B"/>
    <w:rsid w:val="00A645CC"/>
    <w:rsid w:val="00A6524A"/>
    <w:rsid w:val="00A67604"/>
    <w:rsid w:val="00A67963"/>
    <w:rsid w:val="00A70047"/>
    <w:rsid w:val="00A70BE4"/>
    <w:rsid w:val="00A71700"/>
    <w:rsid w:val="00A73FAB"/>
    <w:rsid w:val="00A74600"/>
    <w:rsid w:val="00A74F1E"/>
    <w:rsid w:val="00A74F56"/>
    <w:rsid w:val="00A75739"/>
    <w:rsid w:val="00A776CE"/>
    <w:rsid w:val="00A80377"/>
    <w:rsid w:val="00A80DC7"/>
    <w:rsid w:val="00A81C72"/>
    <w:rsid w:val="00A856F9"/>
    <w:rsid w:val="00A8747B"/>
    <w:rsid w:val="00A90374"/>
    <w:rsid w:val="00A90AEA"/>
    <w:rsid w:val="00A929DD"/>
    <w:rsid w:val="00A9372F"/>
    <w:rsid w:val="00A9401F"/>
    <w:rsid w:val="00A95BDA"/>
    <w:rsid w:val="00A95FA4"/>
    <w:rsid w:val="00A95FFD"/>
    <w:rsid w:val="00A9704A"/>
    <w:rsid w:val="00AA1C64"/>
    <w:rsid w:val="00AA27B1"/>
    <w:rsid w:val="00AA2B99"/>
    <w:rsid w:val="00AA639F"/>
    <w:rsid w:val="00AA705B"/>
    <w:rsid w:val="00AB1307"/>
    <w:rsid w:val="00AB24BC"/>
    <w:rsid w:val="00AB3DD7"/>
    <w:rsid w:val="00AB465B"/>
    <w:rsid w:val="00AB6EA6"/>
    <w:rsid w:val="00AB77CB"/>
    <w:rsid w:val="00AB7E05"/>
    <w:rsid w:val="00AC07BD"/>
    <w:rsid w:val="00AC0C68"/>
    <w:rsid w:val="00AC2716"/>
    <w:rsid w:val="00AC5205"/>
    <w:rsid w:val="00AC62B0"/>
    <w:rsid w:val="00AC72CF"/>
    <w:rsid w:val="00AC7EC9"/>
    <w:rsid w:val="00AD1534"/>
    <w:rsid w:val="00AD5C34"/>
    <w:rsid w:val="00AE006F"/>
    <w:rsid w:val="00AE0D59"/>
    <w:rsid w:val="00AE1F9A"/>
    <w:rsid w:val="00AE2855"/>
    <w:rsid w:val="00AE2A0E"/>
    <w:rsid w:val="00AE3138"/>
    <w:rsid w:val="00AE4660"/>
    <w:rsid w:val="00AE7A40"/>
    <w:rsid w:val="00AF22B9"/>
    <w:rsid w:val="00AF5057"/>
    <w:rsid w:val="00AF5457"/>
    <w:rsid w:val="00AF55C9"/>
    <w:rsid w:val="00AF6520"/>
    <w:rsid w:val="00AF6A5D"/>
    <w:rsid w:val="00B02491"/>
    <w:rsid w:val="00B035A9"/>
    <w:rsid w:val="00B044B8"/>
    <w:rsid w:val="00B04855"/>
    <w:rsid w:val="00B064AE"/>
    <w:rsid w:val="00B11A6F"/>
    <w:rsid w:val="00B11D6F"/>
    <w:rsid w:val="00B12800"/>
    <w:rsid w:val="00B14A5B"/>
    <w:rsid w:val="00B154E7"/>
    <w:rsid w:val="00B15EA1"/>
    <w:rsid w:val="00B16320"/>
    <w:rsid w:val="00B20616"/>
    <w:rsid w:val="00B20871"/>
    <w:rsid w:val="00B21B29"/>
    <w:rsid w:val="00B223B0"/>
    <w:rsid w:val="00B2501E"/>
    <w:rsid w:val="00B2742F"/>
    <w:rsid w:val="00B332D7"/>
    <w:rsid w:val="00B33BB4"/>
    <w:rsid w:val="00B36D12"/>
    <w:rsid w:val="00B37ED3"/>
    <w:rsid w:val="00B4054A"/>
    <w:rsid w:val="00B4129B"/>
    <w:rsid w:val="00B41704"/>
    <w:rsid w:val="00B43250"/>
    <w:rsid w:val="00B437DC"/>
    <w:rsid w:val="00B450F0"/>
    <w:rsid w:val="00B46371"/>
    <w:rsid w:val="00B4787A"/>
    <w:rsid w:val="00B50178"/>
    <w:rsid w:val="00B510C8"/>
    <w:rsid w:val="00B51CA8"/>
    <w:rsid w:val="00B52599"/>
    <w:rsid w:val="00B52717"/>
    <w:rsid w:val="00B53D4C"/>
    <w:rsid w:val="00B5470D"/>
    <w:rsid w:val="00B54965"/>
    <w:rsid w:val="00B65E31"/>
    <w:rsid w:val="00B66168"/>
    <w:rsid w:val="00B66A7D"/>
    <w:rsid w:val="00B67512"/>
    <w:rsid w:val="00B71150"/>
    <w:rsid w:val="00B724CD"/>
    <w:rsid w:val="00B7310E"/>
    <w:rsid w:val="00B74F28"/>
    <w:rsid w:val="00B76462"/>
    <w:rsid w:val="00B76911"/>
    <w:rsid w:val="00B76DD6"/>
    <w:rsid w:val="00B77A1B"/>
    <w:rsid w:val="00B802E2"/>
    <w:rsid w:val="00B8076E"/>
    <w:rsid w:val="00B80B48"/>
    <w:rsid w:val="00B81F1F"/>
    <w:rsid w:val="00B82F07"/>
    <w:rsid w:val="00B83A99"/>
    <w:rsid w:val="00B846B0"/>
    <w:rsid w:val="00B85EC4"/>
    <w:rsid w:val="00B87518"/>
    <w:rsid w:val="00B9172C"/>
    <w:rsid w:val="00B92542"/>
    <w:rsid w:val="00B92740"/>
    <w:rsid w:val="00B92AE5"/>
    <w:rsid w:val="00B963F6"/>
    <w:rsid w:val="00B96827"/>
    <w:rsid w:val="00BA1485"/>
    <w:rsid w:val="00BA25FE"/>
    <w:rsid w:val="00BA29DD"/>
    <w:rsid w:val="00BA41E7"/>
    <w:rsid w:val="00BA441F"/>
    <w:rsid w:val="00BA442D"/>
    <w:rsid w:val="00BA5156"/>
    <w:rsid w:val="00BA568A"/>
    <w:rsid w:val="00BA7569"/>
    <w:rsid w:val="00BA7BE9"/>
    <w:rsid w:val="00BB01E1"/>
    <w:rsid w:val="00BB10F9"/>
    <w:rsid w:val="00BB386C"/>
    <w:rsid w:val="00BB4FA0"/>
    <w:rsid w:val="00BB4FAD"/>
    <w:rsid w:val="00BB5841"/>
    <w:rsid w:val="00BB5911"/>
    <w:rsid w:val="00BC1C51"/>
    <w:rsid w:val="00BC30B8"/>
    <w:rsid w:val="00BC45B7"/>
    <w:rsid w:val="00BC50B3"/>
    <w:rsid w:val="00BC6312"/>
    <w:rsid w:val="00BC6383"/>
    <w:rsid w:val="00BD1795"/>
    <w:rsid w:val="00BD24D4"/>
    <w:rsid w:val="00BD26E9"/>
    <w:rsid w:val="00BD332F"/>
    <w:rsid w:val="00BD35D1"/>
    <w:rsid w:val="00BD3B51"/>
    <w:rsid w:val="00BD3B76"/>
    <w:rsid w:val="00BD7B7F"/>
    <w:rsid w:val="00BE0722"/>
    <w:rsid w:val="00BE09FE"/>
    <w:rsid w:val="00BE2D5E"/>
    <w:rsid w:val="00BE4D2F"/>
    <w:rsid w:val="00BE6C1B"/>
    <w:rsid w:val="00BE6C6E"/>
    <w:rsid w:val="00BE7E1E"/>
    <w:rsid w:val="00BF2751"/>
    <w:rsid w:val="00C00CFB"/>
    <w:rsid w:val="00C021BF"/>
    <w:rsid w:val="00C0225D"/>
    <w:rsid w:val="00C02597"/>
    <w:rsid w:val="00C02BAB"/>
    <w:rsid w:val="00C033BD"/>
    <w:rsid w:val="00C03944"/>
    <w:rsid w:val="00C04755"/>
    <w:rsid w:val="00C06EE5"/>
    <w:rsid w:val="00C07084"/>
    <w:rsid w:val="00C10130"/>
    <w:rsid w:val="00C12ABE"/>
    <w:rsid w:val="00C151EC"/>
    <w:rsid w:val="00C15A15"/>
    <w:rsid w:val="00C15E9C"/>
    <w:rsid w:val="00C217DB"/>
    <w:rsid w:val="00C22DCA"/>
    <w:rsid w:val="00C24177"/>
    <w:rsid w:val="00C245E3"/>
    <w:rsid w:val="00C2607D"/>
    <w:rsid w:val="00C26DA4"/>
    <w:rsid w:val="00C2758B"/>
    <w:rsid w:val="00C3057E"/>
    <w:rsid w:val="00C3166C"/>
    <w:rsid w:val="00C31BC6"/>
    <w:rsid w:val="00C324F8"/>
    <w:rsid w:val="00C32C8C"/>
    <w:rsid w:val="00C33375"/>
    <w:rsid w:val="00C36CEF"/>
    <w:rsid w:val="00C36D83"/>
    <w:rsid w:val="00C408CA"/>
    <w:rsid w:val="00C421FE"/>
    <w:rsid w:val="00C44108"/>
    <w:rsid w:val="00C45A60"/>
    <w:rsid w:val="00C46313"/>
    <w:rsid w:val="00C508AC"/>
    <w:rsid w:val="00C5091C"/>
    <w:rsid w:val="00C50EB9"/>
    <w:rsid w:val="00C51C37"/>
    <w:rsid w:val="00C527D3"/>
    <w:rsid w:val="00C53F0D"/>
    <w:rsid w:val="00C53FE3"/>
    <w:rsid w:val="00C56B6E"/>
    <w:rsid w:val="00C6413E"/>
    <w:rsid w:val="00C64412"/>
    <w:rsid w:val="00C64F55"/>
    <w:rsid w:val="00C6510C"/>
    <w:rsid w:val="00C65CAE"/>
    <w:rsid w:val="00C65E32"/>
    <w:rsid w:val="00C65F63"/>
    <w:rsid w:val="00C67B27"/>
    <w:rsid w:val="00C71912"/>
    <w:rsid w:val="00C7309D"/>
    <w:rsid w:val="00C74A62"/>
    <w:rsid w:val="00C74CF0"/>
    <w:rsid w:val="00C75C13"/>
    <w:rsid w:val="00C77523"/>
    <w:rsid w:val="00C80117"/>
    <w:rsid w:val="00C8168F"/>
    <w:rsid w:val="00C82366"/>
    <w:rsid w:val="00C845C1"/>
    <w:rsid w:val="00C8465E"/>
    <w:rsid w:val="00C8597D"/>
    <w:rsid w:val="00C86576"/>
    <w:rsid w:val="00C92E88"/>
    <w:rsid w:val="00C93A8E"/>
    <w:rsid w:val="00C94118"/>
    <w:rsid w:val="00C944C7"/>
    <w:rsid w:val="00C95B65"/>
    <w:rsid w:val="00C95FBC"/>
    <w:rsid w:val="00C96705"/>
    <w:rsid w:val="00C969E9"/>
    <w:rsid w:val="00C96DE7"/>
    <w:rsid w:val="00C97E2B"/>
    <w:rsid w:val="00CA49B9"/>
    <w:rsid w:val="00CA4F14"/>
    <w:rsid w:val="00CA5020"/>
    <w:rsid w:val="00CA794F"/>
    <w:rsid w:val="00CB04E0"/>
    <w:rsid w:val="00CB117D"/>
    <w:rsid w:val="00CB2479"/>
    <w:rsid w:val="00CB24AC"/>
    <w:rsid w:val="00CB261F"/>
    <w:rsid w:val="00CB580B"/>
    <w:rsid w:val="00CB72F2"/>
    <w:rsid w:val="00CC0042"/>
    <w:rsid w:val="00CC0C59"/>
    <w:rsid w:val="00CC0CF1"/>
    <w:rsid w:val="00CC1163"/>
    <w:rsid w:val="00CC14F1"/>
    <w:rsid w:val="00CC255F"/>
    <w:rsid w:val="00CC4E99"/>
    <w:rsid w:val="00CD68F8"/>
    <w:rsid w:val="00CE0DC1"/>
    <w:rsid w:val="00CE1D55"/>
    <w:rsid w:val="00CE1F69"/>
    <w:rsid w:val="00CE3EE8"/>
    <w:rsid w:val="00CE475A"/>
    <w:rsid w:val="00CE5288"/>
    <w:rsid w:val="00CF4F19"/>
    <w:rsid w:val="00CF7383"/>
    <w:rsid w:val="00CF785C"/>
    <w:rsid w:val="00D0075A"/>
    <w:rsid w:val="00D0108D"/>
    <w:rsid w:val="00D029D5"/>
    <w:rsid w:val="00D02D9C"/>
    <w:rsid w:val="00D0312C"/>
    <w:rsid w:val="00D048CE"/>
    <w:rsid w:val="00D04D0E"/>
    <w:rsid w:val="00D06A51"/>
    <w:rsid w:val="00D1100C"/>
    <w:rsid w:val="00D125FA"/>
    <w:rsid w:val="00D149DB"/>
    <w:rsid w:val="00D15345"/>
    <w:rsid w:val="00D1607E"/>
    <w:rsid w:val="00D16845"/>
    <w:rsid w:val="00D16C10"/>
    <w:rsid w:val="00D173C7"/>
    <w:rsid w:val="00D201A4"/>
    <w:rsid w:val="00D20E88"/>
    <w:rsid w:val="00D2142F"/>
    <w:rsid w:val="00D22833"/>
    <w:rsid w:val="00D23015"/>
    <w:rsid w:val="00D231B3"/>
    <w:rsid w:val="00D24434"/>
    <w:rsid w:val="00D25061"/>
    <w:rsid w:val="00D26D21"/>
    <w:rsid w:val="00D31D74"/>
    <w:rsid w:val="00D4291E"/>
    <w:rsid w:val="00D42A6A"/>
    <w:rsid w:val="00D42E94"/>
    <w:rsid w:val="00D46DAD"/>
    <w:rsid w:val="00D505E2"/>
    <w:rsid w:val="00D50B8F"/>
    <w:rsid w:val="00D5301D"/>
    <w:rsid w:val="00D535F0"/>
    <w:rsid w:val="00D53769"/>
    <w:rsid w:val="00D53B66"/>
    <w:rsid w:val="00D561A1"/>
    <w:rsid w:val="00D5636A"/>
    <w:rsid w:val="00D565CC"/>
    <w:rsid w:val="00D567AA"/>
    <w:rsid w:val="00D56FFA"/>
    <w:rsid w:val="00D624C9"/>
    <w:rsid w:val="00D62FBE"/>
    <w:rsid w:val="00D631A5"/>
    <w:rsid w:val="00D6396B"/>
    <w:rsid w:val="00D664DC"/>
    <w:rsid w:val="00D66B2C"/>
    <w:rsid w:val="00D7027E"/>
    <w:rsid w:val="00D71155"/>
    <w:rsid w:val="00D73843"/>
    <w:rsid w:val="00D73AD6"/>
    <w:rsid w:val="00D74FED"/>
    <w:rsid w:val="00D75078"/>
    <w:rsid w:val="00D7548E"/>
    <w:rsid w:val="00D7767C"/>
    <w:rsid w:val="00D81A74"/>
    <w:rsid w:val="00D823D6"/>
    <w:rsid w:val="00D82B0E"/>
    <w:rsid w:val="00D844FB"/>
    <w:rsid w:val="00D85BFF"/>
    <w:rsid w:val="00D85F69"/>
    <w:rsid w:val="00D9051F"/>
    <w:rsid w:val="00D92999"/>
    <w:rsid w:val="00D92EBB"/>
    <w:rsid w:val="00D9334E"/>
    <w:rsid w:val="00D94554"/>
    <w:rsid w:val="00D94DB0"/>
    <w:rsid w:val="00DA063B"/>
    <w:rsid w:val="00DA1C3B"/>
    <w:rsid w:val="00DA2A1A"/>
    <w:rsid w:val="00DA420B"/>
    <w:rsid w:val="00DA4A2B"/>
    <w:rsid w:val="00DA589E"/>
    <w:rsid w:val="00DB2261"/>
    <w:rsid w:val="00DB2583"/>
    <w:rsid w:val="00DB26C3"/>
    <w:rsid w:val="00DB314F"/>
    <w:rsid w:val="00DB36EE"/>
    <w:rsid w:val="00DB3D71"/>
    <w:rsid w:val="00DB443C"/>
    <w:rsid w:val="00DB5C8C"/>
    <w:rsid w:val="00DB6AF1"/>
    <w:rsid w:val="00DC1124"/>
    <w:rsid w:val="00DC2468"/>
    <w:rsid w:val="00DC3945"/>
    <w:rsid w:val="00DC404F"/>
    <w:rsid w:val="00DC7521"/>
    <w:rsid w:val="00DD0727"/>
    <w:rsid w:val="00DD3440"/>
    <w:rsid w:val="00DD3473"/>
    <w:rsid w:val="00DD4FC1"/>
    <w:rsid w:val="00DD7317"/>
    <w:rsid w:val="00DD740C"/>
    <w:rsid w:val="00DD7B1B"/>
    <w:rsid w:val="00DE0EBB"/>
    <w:rsid w:val="00DE1896"/>
    <w:rsid w:val="00DE30FA"/>
    <w:rsid w:val="00DE4A2C"/>
    <w:rsid w:val="00DE6033"/>
    <w:rsid w:val="00DE6521"/>
    <w:rsid w:val="00DF0DFB"/>
    <w:rsid w:val="00DF0E06"/>
    <w:rsid w:val="00DF466A"/>
    <w:rsid w:val="00DF5374"/>
    <w:rsid w:val="00DF7C24"/>
    <w:rsid w:val="00DF7DD8"/>
    <w:rsid w:val="00E00140"/>
    <w:rsid w:val="00E00318"/>
    <w:rsid w:val="00E021C4"/>
    <w:rsid w:val="00E0656E"/>
    <w:rsid w:val="00E06EDF"/>
    <w:rsid w:val="00E14A43"/>
    <w:rsid w:val="00E15279"/>
    <w:rsid w:val="00E16D0F"/>
    <w:rsid w:val="00E201A1"/>
    <w:rsid w:val="00E267A3"/>
    <w:rsid w:val="00E305DE"/>
    <w:rsid w:val="00E35D4A"/>
    <w:rsid w:val="00E35DC7"/>
    <w:rsid w:val="00E3658A"/>
    <w:rsid w:val="00E36BBC"/>
    <w:rsid w:val="00E4342F"/>
    <w:rsid w:val="00E44124"/>
    <w:rsid w:val="00E4693D"/>
    <w:rsid w:val="00E4727F"/>
    <w:rsid w:val="00E50399"/>
    <w:rsid w:val="00E50AF0"/>
    <w:rsid w:val="00E5207E"/>
    <w:rsid w:val="00E558D7"/>
    <w:rsid w:val="00E55B53"/>
    <w:rsid w:val="00E60F58"/>
    <w:rsid w:val="00E619F7"/>
    <w:rsid w:val="00E63EB1"/>
    <w:rsid w:val="00E64270"/>
    <w:rsid w:val="00E65641"/>
    <w:rsid w:val="00E6618E"/>
    <w:rsid w:val="00E66F16"/>
    <w:rsid w:val="00E66FF1"/>
    <w:rsid w:val="00E670B2"/>
    <w:rsid w:val="00E70E94"/>
    <w:rsid w:val="00E71311"/>
    <w:rsid w:val="00E726D6"/>
    <w:rsid w:val="00E7361E"/>
    <w:rsid w:val="00E74212"/>
    <w:rsid w:val="00E744AF"/>
    <w:rsid w:val="00E77B58"/>
    <w:rsid w:val="00E80211"/>
    <w:rsid w:val="00E8047C"/>
    <w:rsid w:val="00E82568"/>
    <w:rsid w:val="00E82A2B"/>
    <w:rsid w:val="00E84852"/>
    <w:rsid w:val="00E852EB"/>
    <w:rsid w:val="00E869C0"/>
    <w:rsid w:val="00E9037C"/>
    <w:rsid w:val="00E914A0"/>
    <w:rsid w:val="00E919EA"/>
    <w:rsid w:val="00E9253F"/>
    <w:rsid w:val="00E93F0B"/>
    <w:rsid w:val="00E95CF1"/>
    <w:rsid w:val="00E97974"/>
    <w:rsid w:val="00EA1B2D"/>
    <w:rsid w:val="00EA206C"/>
    <w:rsid w:val="00EA23C1"/>
    <w:rsid w:val="00EA29B2"/>
    <w:rsid w:val="00EA6BF3"/>
    <w:rsid w:val="00EA7816"/>
    <w:rsid w:val="00EB0C6D"/>
    <w:rsid w:val="00EB12C9"/>
    <w:rsid w:val="00EB18EF"/>
    <w:rsid w:val="00EB619F"/>
    <w:rsid w:val="00EC08AF"/>
    <w:rsid w:val="00EC69E3"/>
    <w:rsid w:val="00EC7C08"/>
    <w:rsid w:val="00EC7F4A"/>
    <w:rsid w:val="00ED17E3"/>
    <w:rsid w:val="00ED302E"/>
    <w:rsid w:val="00ED535F"/>
    <w:rsid w:val="00ED64B7"/>
    <w:rsid w:val="00ED7531"/>
    <w:rsid w:val="00EE080B"/>
    <w:rsid w:val="00EE0D79"/>
    <w:rsid w:val="00EE2A4A"/>
    <w:rsid w:val="00EE2CFD"/>
    <w:rsid w:val="00EE56C0"/>
    <w:rsid w:val="00EE71EF"/>
    <w:rsid w:val="00EF1348"/>
    <w:rsid w:val="00EF25F1"/>
    <w:rsid w:val="00EF6F5E"/>
    <w:rsid w:val="00F008DC"/>
    <w:rsid w:val="00F009D8"/>
    <w:rsid w:val="00F00AF0"/>
    <w:rsid w:val="00F00EA4"/>
    <w:rsid w:val="00F017CF"/>
    <w:rsid w:val="00F02A00"/>
    <w:rsid w:val="00F02FEA"/>
    <w:rsid w:val="00F0372E"/>
    <w:rsid w:val="00F03FC2"/>
    <w:rsid w:val="00F06D07"/>
    <w:rsid w:val="00F10370"/>
    <w:rsid w:val="00F10F9B"/>
    <w:rsid w:val="00F11C85"/>
    <w:rsid w:val="00F13A87"/>
    <w:rsid w:val="00F151F7"/>
    <w:rsid w:val="00F15D66"/>
    <w:rsid w:val="00F15EE0"/>
    <w:rsid w:val="00F20FA2"/>
    <w:rsid w:val="00F21011"/>
    <w:rsid w:val="00F227C0"/>
    <w:rsid w:val="00F238B9"/>
    <w:rsid w:val="00F23A38"/>
    <w:rsid w:val="00F24342"/>
    <w:rsid w:val="00F27FC9"/>
    <w:rsid w:val="00F31E25"/>
    <w:rsid w:val="00F32B81"/>
    <w:rsid w:val="00F34C7B"/>
    <w:rsid w:val="00F367D4"/>
    <w:rsid w:val="00F4001D"/>
    <w:rsid w:val="00F4077D"/>
    <w:rsid w:val="00F40D0F"/>
    <w:rsid w:val="00F41C27"/>
    <w:rsid w:val="00F4206D"/>
    <w:rsid w:val="00F44957"/>
    <w:rsid w:val="00F44D9A"/>
    <w:rsid w:val="00F46549"/>
    <w:rsid w:val="00F46CC6"/>
    <w:rsid w:val="00F46E59"/>
    <w:rsid w:val="00F47B04"/>
    <w:rsid w:val="00F52BEF"/>
    <w:rsid w:val="00F5577C"/>
    <w:rsid w:val="00F55AC3"/>
    <w:rsid w:val="00F56AC9"/>
    <w:rsid w:val="00F56FE0"/>
    <w:rsid w:val="00F57CE6"/>
    <w:rsid w:val="00F60CE5"/>
    <w:rsid w:val="00F62628"/>
    <w:rsid w:val="00F63401"/>
    <w:rsid w:val="00F64661"/>
    <w:rsid w:val="00F674CF"/>
    <w:rsid w:val="00F702ED"/>
    <w:rsid w:val="00F75F26"/>
    <w:rsid w:val="00F75F2F"/>
    <w:rsid w:val="00F766DF"/>
    <w:rsid w:val="00F778F8"/>
    <w:rsid w:val="00F800DB"/>
    <w:rsid w:val="00F830C2"/>
    <w:rsid w:val="00F83CAE"/>
    <w:rsid w:val="00F8485D"/>
    <w:rsid w:val="00F85139"/>
    <w:rsid w:val="00F87A57"/>
    <w:rsid w:val="00F87F4D"/>
    <w:rsid w:val="00F930E2"/>
    <w:rsid w:val="00F9455D"/>
    <w:rsid w:val="00F94B8D"/>
    <w:rsid w:val="00FA09B0"/>
    <w:rsid w:val="00FA19C6"/>
    <w:rsid w:val="00FA29AD"/>
    <w:rsid w:val="00FA3096"/>
    <w:rsid w:val="00FA7D2E"/>
    <w:rsid w:val="00FB041E"/>
    <w:rsid w:val="00FB133C"/>
    <w:rsid w:val="00FB2B88"/>
    <w:rsid w:val="00FB2CC3"/>
    <w:rsid w:val="00FB46F8"/>
    <w:rsid w:val="00FB521E"/>
    <w:rsid w:val="00FB553E"/>
    <w:rsid w:val="00FB577C"/>
    <w:rsid w:val="00FB7EDE"/>
    <w:rsid w:val="00FC0553"/>
    <w:rsid w:val="00FC0C32"/>
    <w:rsid w:val="00FC18FA"/>
    <w:rsid w:val="00FC1F23"/>
    <w:rsid w:val="00FC2F21"/>
    <w:rsid w:val="00FC35DE"/>
    <w:rsid w:val="00FC45B2"/>
    <w:rsid w:val="00FC4DC7"/>
    <w:rsid w:val="00FC7FFA"/>
    <w:rsid w:val="00FD3AD4"/>
    <w:rsid w:val="00FD3B02"/>
    <w:rsid w:val="00FE0140"/>
    <w:rsid w:val="00FE0D0A"/>
    <w:rsid w:val="00FE1A80"/>
    <w:rsid w:val="00FE1E1A"/>
    <w:rsid w:val="00FE33E2"/>
    <w:rsid w:val="00FE4681"/>
    <w:rsid w:val="00FE5060"/>
    <w:rsid w:val="00FE5971"/>
    <w:rsid w:val="00FE5F1E"/>
    <w:rsid w:val="00FE6590"/>
    <w:rsid w:val="00FE7E65"/>
    <w:rsid w:val="00FF2AFB"/>
    <w:rsid w:val="00FF2EDE"/>
    <w:rsid w:val="00FF4DA3"/>
    <w:rsid w:val="00FF5F3F"/>
    <w:rsid w:val="028C7EFC"/>
    <w:rsid w:val="48645826"/>
    <w:rsid w:val="5FE37E5B"/>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6386" fillcolor="white">
      <v:fill color="white"/>
    </o:shapedefaults>
    <o:shapelayout v:ext="edit">
      <o:idmap v:ext="edit" data="2"/>
      <o:rules v:ext="edit">
        <o:r id="V:Rule4" type="callout" idref="#自选图形 3770"/>
        <o:r id="V:Rule7" type="connector" idref="#自选图形 3479"/>
        <o:r id="V:Rule8" type="connector" idref="#自选图形 3516"/>
        <o:r id="V:Rule9" type="connector" idref="#自选图形 3480"/>
        <o:r id="V:Rule10" type="connector" idref="#自选图形 3517"/>
        <o:r id="V:Rule11" type="connector" idref="#自选图形 376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1" w:defQFormat="0" w:count="267">
    <w:lsdException w:name="Normal" w:uiPriority="0" w:unhideWhenUsed="0" w:qFormat="1"/>
    <w:lsdException w:name="heading 1" w:uiPriority="0" w:unhideWhenUsed="0" w:qFormat="1"/>
    <w:lsdException w:name="heading 2" w:uiPriority="0" w:unhideWhenUsed="0" w:qFormat="1"/>
    <w:lsdException w:name="heading 3" w:uiPriority="0" w:unhideWhenUsed="0" w:qFormat="1"/>
    <w:lsdException w:name="heading 4" w:uiPriority="0" w:unhideWhenUsed="0" w:qFormat="1"/>
    <w:lsdException w:name="heading 5" w:uiPriority="0" w:unhideWhenUsed="0" w:qFormat="1"/>
    <w:lsdException w:name="heading 6" w:uiPriority="0" w:unhideWhenUsed="0" w:qFormat="1"/>
    <w:lsdException w:name="heading 7" w:uiPriority="0" w:unhideWhenUsed="0" w:qFormat="1"/>
    <w:lsdException w:name="heading 8" w:uiPriority="0" w:unhideWhenUsed="0" w:qFormat="1"/>
    <w:lsdException w:name="heading 9" w:uiPriority="0" w:unhideWhenUsed="0"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uiPriority="39" w:unhideWhenUsed="0" w:qFormat="1"/>
    <w:lsdException w:name="toc 2" w:uiPriority="39" w:unhideWhenUsed="0" w:qFormat="1"/>
    <w:lsdException w:name="toc 3" w:uiPriority="39" w:unhideWhenUsed="0" w:qFormat="1"/>
    <w:lsdException w:name="toc 4" w:uiPriority="39" w:unhideWhenUsed="0" w:qFormat="1"/>
    <w:lsdException w:name="toc 5" w:uiPriority="39" w:qFormat="1"/>
    <w:lsdException w:name="toc 6" w:semiHidden="1" w:uiPriority="39"/>
    <w:lsdException w:name="toc 7" w:semiHidden="1" w:uiPriority="39"/>
    <w:lsdException w:name="toc 8" w:semiHidden="1" w:uiPriority="39"/>
    <w:lsdException w:name="toc 9" w:semiHidden="1" w:uiPriority="39"/>
    <w:lsdException w:name="Normal Indent" w:uiPriority="0" w:unhideWhenUsed="0" w:qFormat="1"/>
    <w:lsdException w:name="footnote text" w:semiHidden="1"/>
    <w:lsdException w:name="annotation text" w:uiPriority="0" w:qFormat="1"/>
    <w:lsdException w:name="header" w:qFormat="1"/>
    <w:lsdException w:name="footer" w:qFormat="1"/>
    <w:lsdException w:name="index heading" w:semiHidden="1"/>
    <w:lsdException w:name="caption" w:uiPriority="0" w:unhideWhenUsed="0" w:qFormat="1"/>
    <w:lsdException w:name="table of figures" w:semiHidden="1"/>
    <w:lsdException w:name="envelope address" w:semiHidden="1"/>
    <w:lsdException w:name="envelope return" w:semiHidden="1"/>
    <w:lsdException w:name="footnote reference" w:semiHidden="1"/>
    <w:lsdException w:name="annotation reference" w:qFormat="1"/>
    <w:lsdException w:name="line number" w:qFormat="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uiPriority="0" w:qFormat="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0" w:unhideWhenUsed="0" w:qFormat="1"/>
    <w:lsdException w:name="Closing" w:semiHidden="1"/>
    <w:lsdException w:name="Signature" w:semiHidden="1"/>
    <w:lsdException w:name="Default Paragraph Font" w:semiHidden="1" w:uiPriority="1" w:qFormat="1"/>
    <w:lsdException w:name="Body Text" w:uiPriority="0" w:qFormat="1"/>
    <w:lsdException w:name="Body Text Indent" w:uiPriority="0" w:qFormat="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0" w:unhideWhenUsed="0" w:qFormat="1"/>
    <w:lsdException w:name="Salutation" w:semiHidden="1"/>
    <w:lsdException w:name="Date" w:semiHidden="1"/>
    <w:lsdException w:name="Body Text First Indent" w:uiPriority="0" w:qFormat="1"/>
    <w:lsdException w:name="Body Text First Indent 2" w:uiPriority="0" w:qFormat="1"/>
    <w:lsdException w:name="Note Heading" w:semiHidden="1"/>
    <w:lsdException w:name="Body Text 2" w:semiHidden="1"/>
    <w:lsdException w:name="Body Text 3" w:semiHidden="1"/>
    <w:lsdException w:name="Body Text Indent 2" w:semiHidden="1"/>
    <w:lsdException w:name="Body Text Indent 3" w:semiHidden="1"/>
    <w:lsdException w:name="Block Text" w:qFormat="1"/>
    <w:lsdException w:name="Hyperlink" w:qFormat="1"/>
    <w:lsdException w:name="FollowedHyperlink" w:semiHidden="1"/>
    <w:lsdException w:name="Strong" w:uiPriority="22" w:unhideWhenUsed="0" w:qFormat="1"/>
    <w:lsdException w:name="Emphasis" w:uiPriority="0" w:unhideWhenUsed="0" w:qFormat="1"/>
    <w:lsdException w:name="Document Map" w:qFormat="1"/>
    <w:lsdException w:name="Plain Text" w:uiPriority="0" w:qFormat="1"/>
    <w:lsdException w:name="E-mail Signature" w:semiHidden="1"/>
    <w:lsdException w:name="HTML Top of Form" w:semiHidden="1"/>
    <w:lsdException w:name="HTML Bottom of Form" w:semiHidden="1"/>
    <w:lsdException w:name="Normal (Web)" w:uiPriority="0" w:unhideWhenUsed="0" w:qFormat="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qFormat="1"/>
    <w:lsdException w:name="annotation subject" w:uiPriority="0" w:qFormat="1"/>
    <w:lsdException w:name="No List" w:semiHidden="1"/>
    <w:lsdException w:name="Outline List 1" w:semiHidden="1"/>
    <w:lsdException w:name="Outline List 2" w:semiHidden="1"/>
    <w:lsdException w:name="Outline List 3" w:semiHidden="1"/>
    <w:lsdException w:name="Table Simple 1" w:semiHidden="1"/>
    <w:lsdException w:name="Table Simple 2" w:semiHidden="1"/>
    <w:lsdException w:name="Table Simple 3" w:semiHidden="1"/>
    <w:lsdException w:name="Table Classic 1" w:semiHidden="1"/>
    <w:lsdException w:name="Table Classic 2" w:semiHidden="1"/>
    <w:lsdException w:name="Table Classic 3" w:semiHidden="1"/>
    <w:lsdException w:name="Table Classic 4" w:semiHidden="1"/>
    <w:lsdException w:name="Table Colorful 1" w:semiHidden="1"/>
    <w:lsdException w:name="Table Colorful 2" w:semiHidden="1"/>
    <w:lsdException w:name="Table Colorful 3" w:semiHidden="1"/>
    <w:lsdException w:name="Table Columns 1" w:semiHidden="1"/>
    <w:lsdException w:name="Table Columns 2" w:semiHidden="1"/>
    <w:lsdException w:name="Table Columns 3" w:semiHidden="1"/>
    <w:lsdException w:name="Table Columns 4" w:semiHidden="1"/>
    <w:lsdException w:name="Table Columns 5" w:semiHidden="1"/>
    <w:lsdException w:name="Table Grid 1" w:semiHidden="1"/>
    <w:lsdException w:name="Table Grid 2" w:semiHidden="1"/>
    <w:lsdException w:name="Table Grid 3" w:semiHidden="1"/>
    <w:lsdException w:name="Table Grid 4" w:semiHidden="1"/>
    <w:lsdException w:name="Table Grid 5" w:semiHidden="1"/>
    <w:lsdException w:name="Table Grid 6" w:semiHidden="1"/>
    <w:lsdException w:name="Table Grid 7" w:semiHidden="1"/>
    <w:lsdException w:name="Table Grid 8" w:semiHidden="1"/>
    <w:lsdException w:name="Table List 1" w:semiHidden="1"/>
    <w:lsdException w:name="Table List 2" w:semiHidden="1"/>
    <w:lsdException w:name="Table List 3" w:semiHidden="1"/>
    <w:lsdException w:name="Table List 4" w:semiHidden="1"/>
    <w:lsdException w:name="Table List 5" w:semiHidden="1"/>
    <w:lsdException w:name="Table List 6" w:semiHidden="1"/>
    <w:lsdException w:name="Table List 7" w:semiHidden="1"/>
    <w:lsdException w:name="Table List 8" w:semiHidden="1"/>
    <w:lsdException w:name="Table 3D effects 1" w:semiHidden="1"/>
    <w:lsdException w:name="Table 3D effects 2" w:semiHidden="1"/>
    <w:lsdException w:name="Table 3D effects 3" w:semiHidden="1"/>
    <w:lsdException w:name="Table Contemporary" w:semiHidden="1"/>
    <w:lsdException w:name="Table Elegant" w:semiHidden="1"/>
    <w:lsdException w:name="Table Professional" w:semiHidden="1"/>
    <w:lsdException w:name="Table Subtle 1" w:semiHidden="1"/>
    <w:lsdException w:name="Table Subtle 2" w:semiHidden="1"/>
    <w:lsdException w:name="Table Web 1" w:semiHidden="1"/>
    <w:lsdException w:name="Table Web 2" w:semiHidden="1"/>
    <w:lsdException w:name="Table Web 3" w:semiHidden="1"/>
    <w:lsdException w:name="Balloon Text" w:uiPriority="0" w:qFormat="1"/>
    <w:lsdException w:name="Table Grid" w:uiPriority="59" w:unhideWhenUsed="0" w:qFormat="1"/>
    <w:lsdException w:name="Table Theme" w:semiHidden="1"/>
    <w:lsdException w:name="Placeholder Text" w:semiHidden="1"/>
    <w:lsdException w:name="No Spacing" w:uiPriority="0" w:unhideWhenUsed="0" w:qFormat="1"/>
    <w:lsdException w:name="Light Shading" w:uiPriority="60" w:unhideWhenUsed="0"/>
    <w:lsdException w:name="Light List" w:uiPriority="61" w:unhideWhenUsed="0"/>
    <w:lsdException w:name="Light Grid" w:uiPriority="62" w:unhideWhenUsed="0"/>
    <w:lsdException w:name="Medium Shading 1" w:uiPriority="63" w:unhideWhenUsed="0"/>
    <w:lsdException w:name="Medium Shading 2" w:uiPriority="64" w:unhideWhenUsed="0"/>
    <w:lsdException w:name="Medium List 1" w:uiPriority="65" w:unhideWhenUsed="0"/>
    <w:lsdException w:name="Medium List 2" w:uiPriority="66" w:unhideWhenUsed="0"/>
    <w:lsdException w:name="Medium Grid 1" w:uiPriority="67" w:unhideWhenUsed="0"/>
    <w:lsdException w:name="Medium Grid 2" w:uiPriority="68" w:unhideWhenUsed="0"/>
    <w:lsdException w:name="Medium Grid 3" w:uiPriority="69" w:unhideWhenUsed="0"/>
    <w:lsdException w:name="Dark List" w:uiPriority="70" w:unhideWhenUsed="0"/>
    <w:lsdException w:name="Colorful Shading" w:uiPriority="71" w:unhideWhenUsed="0"/>
    <w:lsdException w:name="Colorful List" w:uiPriority="72" w:unhideWhenUsed="0"/>
    <w:lsdException w:name="Colorful Grid" w:uiPriority="73" w:unhideWhenUsed="0"/>
    <w:lsdException w:name="Light Shading Accent 1" w:uiPriority="60" w:unhideWhenUsed="0"/>
    <w:lsdException w:name="Light List Accent 1" w:uiPriority="61" w:unhideWhenUsed="0"/>
    <w:lsdException w:name="Light Grid Accent 1" w:uiPriority="62" w:unhideWhenUsed="0"/>
    <w:lsdException w:name="Medium Shading 1 Accent 1" w:uiPriority="63" w:unhideWhenUsed="0"/>
    <w:lsdException w:name="Medium Shading 2 Accent 1" w:uiPriority="64" w:unhideWhenUsed="0"/>
    <w:lsdException w:name="Medium List 1 Accent 1" w:uiPriority="65" w:unhideWhenUsed="0"/>
    <w:lsdException w:name="Revision" w:semiHidden="1"/>
    <w:lsdException w:name="List Paragraph" w:uiPriority="1" w:unhideWhenUsed="0" w:qFormat="1"/>
    <w:lsdException w:name="Quote" w:uiPriority="29" w:unhideWhenUsed="0" w:qFormat="1"/>
    <w:lsdException w:name="Intense Quote" w:uiPriority="30" w:unhideWhenUsed="0" w:qFormat="1"/>
    <w:lsdException w:name="Medium List 2 Accent 1" w:uiPriority="66" w:unhideWhenUsed="0"/>
    <w:lsdException w:name="Medium Grid 1 Accent 1" w:uiPriority="67" w:unhideWhenUsed="0"/>
    <w:lsdException w:name="Medium Grid 2 Accent 1" w:uiPriority="68" w:unhideWhenUsed="0"/>
    <w:lsdException w:name="Medium Grid 3 Accent 1" w:uiPriority="69" w:unhideWhenUsed="0"/>
    <w:lsdException w:name="Dark List Accent 1" w:uiPriority="70" w:unhideWhenUsed="0"/>
    <w:lsdException w:name="Colorful Shading Accent 1" w:uiPriority="71" w:unhideWhenUsed="0"/>
    <w:lsdException w:name="Colorful List Accent 1" w:uiPriority="72" w:unhideWhenUsed="0"/>
    <w:lsdException w:name="Colorful Grid Accent 1" w:uiPriority="73" w:unhideWhenUsed="0"/>
    <w:lsdException w:name="Light Shading Accent 2" w:uiPriority="60" w:unhideWhenUsed="0"/>
    <w:lsdException w:name="Light List Accent 2" w:uiPriority="61" w:unhideWhenUsed="0"/>
    <w:lsdException w:name="Light Grid Accent 2" w:uiPriority="62" w:unhideWhenUsed="0"/>
    <w:lsdException w:name="Medium Shading 1 Accent 2" w:uiPriority="63" w:unhideWhenUsed="0"/>
    <w:lsdException w:name="Medium Shading 2 Accent 2" w:uiPriority="64" w:unhideWhenUsed="0"/>
    <w:lsdException w:name="Medium List 1 Accent 2" w:uiPriority="65" w:unhideWhenUsed="0"/>
    <w:lsdException w:name="Medium List 2 Accent 2" w:uiPriority="66" w:unhideWhenUsed="0"/>
    <w:lsdException w:name="Medium Grid 1 Accent 2" w:uiPriority="67" w:unhideWhenUsed="0"/>
    <w:lsdException w:name="Medium Grid 2 Accent 2" w:uiPriority="68" w:unhideWhenUsed="0"/>
    <w:lsdException w:name="Medium Grid 3 Accent 2" w:uiPriority="69" w:unhideWhenUsed="0"/>
    <w:lsdException w:name="Dark List Accent 2" w:uiPriority="70" w:unhideWhenUsed="0"/>
    <w:lsdException w:name="Colorful Shading Accent 2" w:uiPriority="71" w:unhideWhenUsed="0"/>
    <w:lsdException w:name="Colorful List Accent 2" w:uiPriority="72" w:unhideWhenUsed="0"/>
    <w:lsdException w:name="Colorful Grid Accent 2" w:uiPriority="73" w:unhideWhenUsed="0"/>
    <w:lsdException w:name="Light Shading Accent 3" w:uiPriority="60" w:unhideWhenUsed="0"/>
    <w:lsdException w:name="Light List Accent 3" w:uiPriority="61" w:unhideWhenUsed="0"/>
    <w:lsdException w:name="Light Grid Accent 3" w:uiPriority="62" w:unhideWhenUsed="0"/>
    <w:lsdException w:name="Medium Shading 1 Accent 3" w:uiPriority="63" w:unhideWhenUsed="0"/>
    <w:lsdException w:name="Medium Shading 2 Accent 3" w:uiPriority="64" w:unhideWhenUsed="0"/>
    <w:lsdException w:name="Medium List 1 Accent 3" w:uiPriority="65" w:unhideWhenUsed="0"/>
    <w:lsdException w:name="Medium List 2 Accent 3" w:uiPriority="66" w:unhideWhenUsed="0"/>
    <w:lsdException w:name="Medium Grid 1 Accent 3" w:uiPriority="67" w:unhideWhenUsed="0"/>
    <w:lsdException w:name="Medium Grid 2 Accent 3" w:uiPriority="68" w:unhideWhenUsed="0"/>
    <w:lsdException w:name="Medium Grid 3 Accent 3" w:uiPriority="69" w:unhideWhenUsed="0"/>
    <w:lsdException w:name="Dark List Accent 3" w:uiPriority="70" w:unhideWhenUsed="0"/>
    <w:lsdException w:name="Colorful Shading Accent 3" w:uiPriority="71" w:unhideWhenUsed="0"/>
    <w:lsdException w:name="Colorful List Accent 3" w:uiPriority="72" w:unhideWhenUsed="0"/>
    <w:lsdException w:name="Colorful Grid Accent 3" w:uiPriority="73" w:unhideWhenUsed="0"/>
    <w:lsdException w:name="Light Shading Accent 4" w:uiPriority="60" w:unhideWhenUsed="0"/>
    <w:lsdException w:name="Light List Accent 4" w:uiPriority="61" w:unhideWhenUsed="0"/>
    <w:lsdException w:name="Light Grid Accent 4" w:uiPriority="62" w:unhideWhenUsed="0"/>
    <w:lsdException w:name="Medium Shading 1 Accent 4" w:uiPriority="63" w:unhideWhenUsed="0"/>
    <w:lsdException w:name="Medium Shading 2 Accent 4" w:uiPriority="64" w:unhideWhenUsed="0"/>
    <w:lsdException w:name="Medium List 1 Accent 4" w:uiPriority="65" w:unhideWhenUsed="0"/>
    <w:lsdException w:name="Medium List 2 Accent 4" w:uiPriority="66" w:unhideWhenUsed="0"/>
    <w:lsdException w:name="Medium Grid 1 Accent 4" w:uiPriority="67" w:unhideWhenUsed="0"/>
    <w:lsdException w:name="Medium Grid 2 Accent 4" w:uiPriority="68" w:unhideWhenUsed="0"/>
    <w:lsdException w:name="Medium Grid 3 Accent 4" w:uiPriority="69" w:unhideWhenUsed="0"/>
    <w:lsdException w:name="Dark List Accent 4" w:uiPriority="70" w:unhideWhenUsed="0"/>
    <w:lsdException w:name="Colorful Shading Accent 4" w:uiPriority="71" w:unhideWhenUsed="0"/>
    <w:lsdException w:name="Colorful List Accent 4" w:uiPriority="72" w:unhideWhenUsed="0"/>
    <w:lsdException w:name="Colorful Grid Accent 4" w:uiPriority="73" w:unhideWhenUsed="0"/>
    <w:lsdException w:name="Light Shading Accent 5" w:uiPriority="60" w:unhideWhenUsed="0"/>
    <w:lsdException w:name="Light List Accent 5" w:uiPriority="61" w:unhideWhenUsed="0"/>
    <w:lsdException w:name="Light Grid Accent 5" w:uiPriority="62" w:unhideWhenUsed="0"/>
    <w:lsdException w:name="Medium Shading 1 Accent 5" w:uiPriority="63" w:unhideWhenUsed="0"/>
    <w:lsdException w:name="Medium Shading 2 Accent 5" w:uiPriority="64" w:unhideWhenUsed="0"/>
    <w:lsdException w:name="Medium List 1 Accent 5" w:uiPriority="65" w:unhideWhenUsed="0"/>
    <w:lsdException w:name="Medium List 2 Accent 5" w:uiPriority="66" w:unhideWhenUsed="0"/>
    <w:lsdException w:name="Medium Grid 1 Accent 5" w:uiPriority="67" w:unhideWhenUsed="0"/>
    <w:lsdException w:name="Medium Grid 2 Accent 5" w:uiPriority="68" w:unhideWhenUsed="0"/>
    <w:lsdException w:name="Medium Grid 3 Accent 5" w:uiPriority="69" w:unhideWhenUsed="0"/>
    <w:lsdException w:name="Dark List Accent 5" w:uiPriority="70" w:unhideWhenUsed="0"/>
    <w:lsdException w:name="Colorful Shading Accent 5" w:uiPriority="71" w:unhideWhenUsed="0"/>
    <w:lsdException w:name="Colorful List Accent 5" w:uiPriority="72" w:unhideWhenUsed="0"/>
    <w:lsdException w:name="Colorful Grid Accent 5" w:uiPriority="73" w:unhideWhenUsed="0"/>
    <w:lsdException w:name="Light Shading Accent 6" w:uiPriority="60" w:unhideWhenUsed="0"/>
    <w:lsdException w:name="Light List Accent 6" w:uiPriority="61" w:unhideWhenUsed="0"/>
    <w:lsdException w:name="Light Grid Accent 6" w:uiPriority="62" w:unhideWhenUsed="0"/>
    <w:lsdException w:name="Medium Shading 1 Accent 6" w:uiPriority="63" w:unhideWhenUsed="0"/>
    <w:lsdException w:name="Medium Shading 2 Accent 6" w:uiPriority="64" w:unhideWhenUsed="0"/>
    <w:lsdException w:name="Medium List 1 Accent 6" w:uiPriority="65" w:unhideWhenUsed="0"/>
    <w:lsdException w:name="Medium List 2 Accent 6" w:uiPriority="66" w:unhideWhenUsed="0"/>
    <w:lsdException w:name="Medium Grid 1 Accent 6" w:uiPriority="67" w:unhideWhenUsed="0"/>
    <w:lsdException w:name="Medium Grid 2 Accent 6" w:uiPriority="68" w:unhideWhenUsed="0"/>
    <w:lsdException w:name="Medium Grid 3 Accent 6" w:uiPriority="69" w:unhideWhenUsed="0"/>
    <w:lsdException w:name="Dark List Accent 6" w:uiPriority="70" w:unhideWhenUsed="0"/>
    <w:lsdException w:name="Colorful Shading Accent 6" w:uiPriority="71" w:unhideWhenUsed="0"/>
    <w:lsdException w:name="Colorful List Accent 6" w:uiPriority="72" w:unhideWhenUsed="0"/>
    <w:lsdException w:name="Colorful Grid Accent 6"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semiHidden="1" w:uiPriority="37"/>
    <w:lsdException w:name="TOC Heading" w:semiHidden="1" w:uiPriority="39" w:qFormat="1"/>
  </w:latentStyles>
  <w:style w:type="paragraph" w:default="1" w:styleId="a">
    <w:name w:val="Normal"/>
    <w:qFormat/>
    <w:rsid w:val="00EE56C0"/>
    <w:pPr>
      <w:widowControl w:val="0"/>
      <w:adjustRightInd w:val="0"/>
      <w:snapToGrid w:val="0"/>
      <w:spacing w:line="520" w:lineRule="exact"/>
      <w:ind w:firstLineChars="200" w:firstLine="200"/>
      <w:jc w:val="both"/>
      <w:textAlignment w:val="baseline"/>
    </w:pPr>
    <w:rPr>
      <w:rFonts w:ascii="Times New Roman" w:eastAsia="宋体" w:hAnsi="Times New Roman" w:cs="Times New Roman"/>
      <w:sz w:val="24"/>
    </w:rPr>
  </w:style>
  <w:style w:type="paragraph" w:styleId="1">
    <w:name w:val="heading 1"/>
    <w:basedOn w:val="a"/>
    <w:next w:val="a"/>
    <w:link w:val="1Char"/>
    <w:qFormat/>
    <w:rsid w:val="00EE56C0"/>
    <w:pPr>
      <w:keepNext/>
      <w:keepLines/>
      <w:pageBreakBefore/>
      <w:tabs>
        <w:tab w:val="left" w:pos="360"/>
      </w:tabs>
      <w:adjustRightInd/>
      <w:snapToGrid/>
      <w:spacing w:beforeLines="150" w:afterLines="200" w:line="500" w:lineRule="exact"/>
      <w:ind w:firstLineChars="0" w:firstLine="0"/>
      <w:contextualSpacing/>
      <w:jc w:val="center"/>
      <w:outlineLvl w:val="0"/>
    </w:pPr>
    <w:rPr>
      <w:rFonts w:eastAsia="黑体"/>
      <w:kern w:val="44"/>
      <w:sz w:val="36"/>
    </w:rPr>
  </w:style>
  <w:style w:type="paragraph" w:styleId="2">
    <w:name w:val="heading 2"/>
    <w:basedOn w:val="a"/>
    <w:next w:val="a"/>
    <w:link w:val="2Char"/>
    <w:qFormat/>
    <w:rsid w:val="00EE56C0"/>
    <w:pPr>
      <w:keepNext/>
      <w:keepLines/>
      <w:tabs>
        <w:tab w:val="left" w:pos="960"/>
        <w:tab w:val="left" w:pos="1200"/>
        <w:tab w:val="left" w:pos="3131"/>
      </w:tabs>
      <w:adjustRightInd/>
      <w:snapToGrid/>
      <w:spacing w:before="240" w:after="240" w:line="240" w:lineRule="auto"/>
      <w:ind w:firstLineChars="100" w:firstLine="100"/>
      <w:contextualSpacing/>
      <w:jc w:val="left"/>
      <w:outlineLvl w:val="1"/>
    </w:pPr>
    <w:rPr>
      <w:b/>
      <w:sz w:val="30"/>
    </w:rPr>
  </w:style>
  <w:style w:type="paragraph" w:styleId="3">
    <w:name w:val="heading 3"/>
    <w:basedOn w:val="a"/>
    <w:next w:val="a"/>
    <w:link w:val="3Char"/>
    <w:qFormat/>
    <w:rsid w:val="00EE56C0"/>
    <w:pPr>
      <w:keepNext/>
      <w:keepLines/>
      <w:tabs>
        <w:tab w:val="left" w:pos="1200"/>
        <w:tab w:val="left" w:pos="1571"/>
        <w:tab w:val="left" w:pos="1680"/>
      </w:tabs>
      <w:spacing w:beforeLines="100" w:afterLines="50" w:line="240" w:lineRule="auto"/>
      <w:ind w:left="454" w:firstLineChars="0" w:firstLine="0"/>
      <w:jc w:val="left"/>
      <w:outlineLvl w:val="2"/>
    </w:pPr>
    <w:rPr>
      <w:rFonts w:eastAsia="楷体"/>
      <w:b/>
      <w:sz w:val="28"/>
    </w:rPr>
  </w:style>
  <w:style w:type="paragraph" w:styleId="4">
    <w:name w:val="heading 4"/>
    <w:basedOn w:val="a"/>
    <w:next w:val="a"/>
    <w:link w:val="4Char"/>
    <w:qFormat/>
    <w:rsid w:val="00EE56C0"/>
    <w:pPr>
      <w:keepNext/>
      <w:tabs>
        <w:tab w:val="left" w:pos="1080"/>
      </w:tabs>
      <w:ind w:leftChars="50" w:left="50" w:firstLineChars="100" w:firstLine="100"/>
      <w:outlineLvl w:val="3"/>
    </w:pPr>
    <w:rPr>
      <w:b/>
      <w:snapToGrid w:val="0"/>
    </w:rPr>
  </w:style>
  <w:style w:type="paragraph" w:styleId="5">
    <w:name w:val="heading 5"/>
    <w:basedOn w:val="a"/>
    <w:next w:val="a"/>
    <w:link w:val="5Char"/>
    <w:qFormat/>
    <w:rsid w:val="00EE56C0"/>
    <w:pPr>
      <w:keepNext/>
      <w:keepLines/>
      <w:tabs>
        <w:tab w:val="left" w:pos="0"/>
        <w:tab w:val="left" w:pos="240"/>
        <w:tab w:val="left" w:pos="480"/>
        <w:tab w:val="left" w:pos="600"/>
      </w:tabs>
      <w:autoSpaceDE w:val="0"/>
      <w:autoSpaceDN w:val="0"/>
      <w:spacing w:before="120" w:after="120"/>
      <w:ind w:left="620" w:firstLineChars="0" w:firstLine="0"/>
      <w:jc w:val="left"/>
      <w:outlineLvl w:val="4"/>
    </w:pPr>
    <w:rPr>
      <w:rFonts w:eastAsia="方正小标宋简体"/>
      <w:b/>
    </w:rPr>
  </w:style>
  <w:style w:type="paragraph" w:styleId="6">
    <w:name w:val="heading 6"/>
    <w:basedOn w:val="a"/>
    <w:next w:val="a"/>
    <w:link w:val="6Char"/>
    <w:qFormat/>
    <w:rsid w:val="00EE56C0"/>
    <w:pPr>
      <w:keepNext/>
      <w:keepLines/>
      <w:spacing w:before="120" w:after="120" w:line="240" w:lineRule="auto"/>
      <w:ind w:firstLine="0"/>
      <w:jc w:val="left"/>
      <w:outlineLvl w:val="5"/>
    </w:pPr>
    <w:rPr>
      <w:rFonts w:eastAsia="黑体"/>
      <w:b/>
    </w:rPr>
  </w:style>
  <w:style w:type="paragraph" w:styleId="7">
    <w:name w:val="heading 7"/>
    <w:basedOn w:val="a"/>
    <w:next w:val="a"/>
    <w:link w:val="7Char"/>
    <w:qFormat/>
    <w:rsid w:val="00EE56C0"/>
    <w:pPr>
      <w:keepNext/>
      <w:keepLines/>
      <w:snapToGrid/>
      <w:spacing w:before="240" w:after="64" w:line="320" w:lineRule="auto"/>
      <w:ind w:firstLine="0"/>
      <w:outlineLvl w:val="6"/>
    </w:pPr>
    <w:rPr>
      <w:b/>
    </w:rPr>
  </w:style>
  <w:style w:type="paragraph" w:styleId="8">
    <w:name w:val="heading 8"/>
    <w:basedOn w:val="a"/>
    <w:next w:val="a"/>
    <w:link w:val="8Char"/>
    <w:qFormat/>
    <w:rsid w:val="00EE56C0"/>
    <w:pPr>
      <w:keepNext/>
      <w:keepLines/>
      <w:snapToGrid/>
      <w:spacing w:before="240" w:after="64" w:line="320" w:lineRule="auto"/>
      <w:ind w:firstLine="0"/>
      <w:outlineLvl w:val="7"/>
    </w:pPr>
    <w:rPr>
      <w:rFonts w:ascii="Arial" w:eastAsia="黑体" w:hAnsi="Arial"/>
    </w:rPr>
  </w:style>
  <w:style w:type="paragraph" w:styleId="9">
    <w:name w:val="heading 9"/>
    <w:basedOn w:val="a"/>
    <w:next w:val="a"/>
    <w:link w:val="9Char"/>
    <w:qFormat/>
    <w:rsid w:val="00EE56C0"/>
    <w:pPr>
      <w:keepNext/>
      <w:keepLines/>
      <w:snapToGrid/>
      <w:spacing w:before="240" w:after="64" w:line="320" w:lineRule="auto"/>
      <w:ind w:firstLine="0"/>
      <w:outlineLvl w:val="8"/>
    </w:pPr>
    <w:rPr>
      <w:rFonts w:ascii="Arial" w:eastAsia="黑体" w:hAnsi="Arial"/>
      <w:sz w:val="2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Indent"/>
    <w:basedOn w:val="a"/>
    <w:link w:val="Char"/>
    <w:qFormat/>
    <w:rsid w:val="00EE56C0"/>
    <w:pPr>
      <w:adjustRightInd/>
      <w:snapToGrid/>
      <w:spacing w:line="240" w:lineRule="auto"/>
      <w:ind w:firstLine="420"/>
      <w:textAlignment w:val="auto"/>
    </w:pPr>
    <w:rPr>
      <w:rFonts w:asciiTheme="minorHAnsi" w:eastAsiaTheme="minorEastAsia" w:hAnsiTheme="minorHAnsi" w:cs="Calibri"/>
      <w:kern w:val="2"/>
      <w:sz w:val="21"/>
      <w:szCs w:val="24"/>
    </w:rPr>
  </w:style>
  <w:style w:type="paragraph" w:styleId="a4">
    <w:name w:val="caption"/>
    <w:basedOn w:val="a"/>
    <w:next w:val="a"/>
    <w:qFormat/>
    <w:rsid w:val="00EE56C0"/>
    <w:pPr>
      <w:spacing w:line="360" w:lineRule="exact"/>
    </w:pPr>
    <w:rPr>
      <w:b/>
      <w:sz w:val="21"/>
    </w:rPr>
  </w:style>
  <w:style w:type="paragraph" w:styleId="a5">
    <w:name w:val="List Bullet"/>
    <w:basedOn w:val="a"/>
    <w:unhideWhenUsed/>
    <w:qFormat/>
    <w:rsid w:val="00EE56C0"/>
    <w:pPr>
      <w:tabs>
        <w:tab w:val="left" w:pos="360"/>
      </w:tabs>
      <w:ind w:left="360" w:hangingChars="200" w:hanging="360"/>
      <w:contextualSpacing/>
    </w:pPr>
  </w:style>
  <w:style w:type="paragraph" w:styleId="a6">
    <w:name w:val="Document Map"/>
    <w:basedOn w:val="a"/>
    <w:link w:val="Char1"/>
    <w:uiPriority w:val="99"/>
    <w:unhideWhenUsed/>
    <w:qFormat/>
    <w:rsid w:val="00EE56C0"/>
    <w:rPr>
      <w:rFonts w:ascii="宋体" w:eastAsiaTheme="minorEastAsia" w:cstheme="minorBidi"/>
      <w:kern w:val="2"/>
      <w:sz w:val="18"/>
      <w:szCs w:val="18"/>
    </w:rPr>
  </w:style>
  <w:style w:type="paragraph" w:styleId="a7">
    <w:name w:val="annotation text"/>
    <w:basedOn w:val="a"/>
    <w:link w:val="Char10"/>
    <w:unhideWhenUsed/>
    <w:qFormat/>
    <w:rsid w:val="00EE56C0"/>
    <w:pPr>
      <w:jc w:val="left"/>
    </w:pPr>
    <w:rPr>
      <w:rFonts w:eastAsiaTheme="minorEastAsia" w:cstheme="minorBidi"/>
      <w:kern w:val="2"/>
      <w:szCs w:val="22"/>
    </w:rPr>
  </w:style>
  <w:style w:type="paragraph" w:styleId="a8">
    <w:name w:val="Body Text"/>
    <w:basedOn w:val="a"/>
    <w:link w:val="Char11"/>
    <w:unhideWhenUsed/>
    <w:qFormat/>
    <w:rsid w:val="00EE56C0"/>
    <w:pPr>
      <w:spacing w:after="120"/>
    </w:pPr>
    <w:rPr>
      <w:rFonts w:eastAsiaTheme="minorEastAsia" w:cstheme="minorBidi"/>
      <w:kern w:val="2"/>
      <w:szCs w:val="22"/>
    </w:rPr>
  </w:style>
  <w:style w:type="paragraph" w:styleId="a9">
    <w:name w:val="Body Text Indent"/>
    <w:basedOn w:val="a"/>
    <w:link w:val="Char12"/>
    <w:unhideWhenUsed/>
    <w:qFormat/>
    <w:rsid w:val="00EE56C0"/>
    <w:pPr>
      <w:spacing w:after="120"/>
      <w:ind w:leftChars="200" w:left="420"/>
    </w:pPr>
    <w:rPr>
      <w:rFonts w:eastAsiaTheme="minorEastAsia" w:cstheme="minorBidi"/>
      <w:kern w:val="2"/>
      <w:szCs w:val="22"/>
    </w:rPr>
  </w:style>
  <w:style w:type="paragraph" w:styleId="aa">
    <w:name w:val="Block Text"/>
    <w:basedOn w:val="a"/>
    <w:next w:val="a"/>
    <w:uiPriority w:val="99"/>
    <w:unhideWhenUsed/>
    <w:qFormat/>
    <w:rsid w:val="00EE56C0"/>
    <w:pPr>
      <w:widowControl/>
      <w:adjustRightInd/>
      <w:spacing w:line="408" w:lineRule="auto"/>
      <w:ind w:left="-113" w:right="-510" w:firstLineChars="0" w:firstLine="510"/>
      <w:jc w:val="left"/>
      <w:textAlignment w:val="auto"/>
    </w:pPr>
    <w:rPr>
      <w:sz w:val="20"/>
    </w:rPr>
  </w:style>
  <w:style w:type="paragraph" w:styleId="50">
    <w:name w:val="toc 5"/>
    <w:basedOn w:val="a"/>
    <w:next w:val="a"/>
    <w:uiPriority w:val="39"/>
    <w:unhideWhenUsed/>
    <w:qFormat/>
    <w:rsid w:val="00EE56C0"/>
    <w:pPr>
      <w:ind w:leftChars="800" w:left="1680"/>
    </w:pPr>
  </w:style>
  <w:style w:type="paragraph" w:styleId="30">
    <w:name w:val="toc 3"/>
    <w:basedOn w:val="a"/>
    <w:next w:val="a"/>
    <w:uiPriority w:val="39"/>
    <w:qFormat/>
    <w:rsid w:val="00EE56C0"/>
    <w:pPr>
      <w:adjustRightInd/>
      <w:snapToGrid/>
      <w:spacing w:line="240" w:lineRule="auto"/>
      <w:ind w:leftChars="400" w:left="840" w:firstLineChars="0" w:firstLine="0"/>
      <w:textAlignment w:val="auto"/>
    </w:pPr>
    <w:rPr>
      <w:kern w:val="2"/>
      <w:sz w:val="21"/>
      <w:szCs w:val="24"/>
    </w:rPr>
  </w:style>
  <w:style w:type="paragraph" w:styleId="ab">
    <w:name w:val="Plain Text"/>
    <w:basedOn w:val="a"/>
    <w:link w:val="Char13"/>
    <w:unhideWhenUsed/>
    <w:qFormat/>
    <w:rsid w:val="00EE56C0"/>
    <w:rPr>
      <w:rFonts w:ascii="宋体" w:eastAsiaTheme="minorEastAsia" w:hAnsi="Courier New" w:cs="Courier New"/>
      <w:kern w:val="2"/>
      <w:sz w:val="21"/>
      <w:szCs w:val="21"/>
    </w:rPr>
  </w:style>
  <w:style w:type="paragraph" w:styleId="ac">
    <w:name w:val="Balloon Text"/>
    <w:basedOn w:val="a"/>
    <w:link w:val="Char14"/>
    <w:unhideWhenUsed/>
    <w:qFormat/>
    <w:rsid w:val="00EE56C0"/>
    <w:pPr>
      <w:spacing w:line="240" w:lineRule="auto"/>
    </w:pPr>
    <w:rPr>
      <w:rFonts w:eastAsiaTheme="minorEastAsia" w:cstheme="minorBidi"/>
      <w:kern w:val="2"/>
      <w:sz w:val="18"/>
      <w:szCs w:val="18"/>
    </w:rPr>
  </w:style>
  <w:style w:type="paragraph" w:styleId="ad">
    <w:name w:val="footer"/>
    <w:basedOn w:val="a"/>
    <w:link w:val="Char0"/>
    <w:uiPriority w:val="99"/>
    <w:unhideWhenUsed/>
    <w:qFormat/>
    <w:rsid w:val="00EE56C0"/>
    <w:pPr>
      <w:tabs>
        <w:tab w:val="center" w:pos="4153"/>
        <w:tab w:val="right" w:pos="8306"/>
      </w:tabs>
      <w:jc w:val="left"/>
    </w:pPr>
    <w:rPr>
      <w:sz w:val="18"/>
      <w:szCs w:val="18"/>
    </w:rPr>
  </w:style>
  <w:style w:type="paragraph" w:styleId="ae">
    <w:name w:val="header"/>
    <w:basedOn w:val="a"/>
    <w:link w:val="Char2"/>
    <w:uiPriority w:val="99"/>
    <w:unhideWhenUsed/>
    <w:qFormat/>
    <w:rsid w:val="00EE56C0"/>
    <w:pPr>
      <w:pBdr>
        <w:bottom w:val="single" w:sz="6" w:space="1" w:color="auto"/>
      </w:pBdr>
      <w:tabs>
        <w:tab w:val="center" w:pos="4153"/>
        <w:tab w:val="right" w:pos="8306"/>
      </w:tabs>
      <w:jc w:val="center"/>
    </w:pPr>
    <w:rPr>
      <w:sz w:val="18"/>
      <w:szCs w:val="18"/>
    </w:rPr>
  </w:style>
  <w:style w:type="paragraph" w:styleId="10">
    <w:name w:val="toc 1"/>
    <w:basedOn w:val="a"/>
    <w:next w:val="a"/>
    <w:uiPriority w:val="39"/>
    <w:qFormat/>
    <w:rsid w:val="00EE56C0"/>
    <w:pPr>
      <w:tabs>
        <w:tab w:val="left" w:pos="1120"/>
        <w:tab w:val="right" w:leader="dot" w:pos="8505"/>
      </w:tabs>
      <w:spacing w:before="120" w:after="120"/>
      <w:ind w:firstLineChars="0" w:firstLine="0"/>
      <w:jc w:val="left"/>
    </w:pPr>
    <w:rPr>
      <w:b/>
      <w:bCs/>
      <w:caps/>
      <w:sz w:val="28"/>
      <w:szCs w:val="28"/>
    </w:rPr>
  </w:style>
  <w:style w:type="paragraph" w:styleId="40">
    <w:name w:val="toc 4"/>
    <w:basedOn w:val="a"/>
    <w:next w:val="a"/>
    <w:uiPriority w:val="39"/>
    <w:qFormat/>
    <w:rsid w:val="00EE56C0"/>
    <w:pPr>
      <w:ind w:left="840"/>
      <w:jc w:val="left"/>
    </w:pPr>
    <w:rPr>
      <w:rFonts w:ascii="Calibri" w:hAnsi="Calibri"/>
      <w:sz w:val="18"/>
      <w:szCs w:val="18"/>
    </w:rPr>
  </w:style>
  <w:style w:type="paragraph" w:styleId="af">
    <w:name w:val="Subtitle"/>
    <w:basedOn w:val="a"/>
    <w:next w:val="a"/>
    <w:link w:val="Char15"/>
    <w:qFormat/>
    <w:rsid w:val="00EE56C0"/>
    <w:pPr>
      <w:spacing w:before="240" w:after="480" w:line="240" w:lineRule="auto"/>
      <w:ind w:firstLineChars="0" w:firstLine="0"/>
      <w:jc w:val="center"/>
    </w:pPr>
    <w:rPr>
      <w:rFonts w:ascii="Cambria" w:eastAsiaTheme="minorEastAsia" w:hAnsi="Cambria"/>
      <w:b/>
      <w:bCs/>
      <w:kern w:val="28"/>
      <w:sz w:val="48"/>
      <w:szCs w:val="32"/>
    </w:rPr>
  </w:style>
  <w:style w:type="paragraph" w:styleId="20">
    <w:name w:val="toc 2"/>
    <w:basedOn w:val="a"/>
    <w:next w:val="a"/>
    <w:uiPriority w:val="39"/>
    <w:qFormat/>
    <w:rsid w:val="00EE56C0"/>
    <w:pPr>
      <w:tabs>
        <w:tab w:val="left" w:pos="560"/>
        <w:tab w:val="left" w:pos="709"/>
        <w:tab w:val="left" w:pos="1120"/>
        <w:tab w:val="right" w:leader="dot" w:pos="8505"/>
      </w:tabs>
      <w:spacing w:line="440" w:lineRule="exact"/>
      <w:ind w:firstLine="480"/>
    </w:pPr>
    <w:rPr>
      <w:smallCaps/>
      <w:szCs w:val="21"/>
    </w:rPr>
  </w:style>
  <w:style w:type="paragraph" w:styleId="21">
    <w:name w:val="Body Text 2"/>
    <w:basedOn w:val="a"/>
    <w:link w:val="2Char0"/>
    <w:uiPriority w:val="99"/>
    <w:semiHidden/>
    <w:unhideWhenUsed/>
    <w:rsid w:val="00EE56C0"/>
    <w:pPr>
      <w:spacing w:after="120" w:line="480" w:lineRule="auto"/>
    </w:pPr>
  </w:style>
  <w:style w:type="paragraph" w:styleId="af0">
    <w:name w:val="Normal (Web)"/>
    <w:basedOn w:val="a"/>
    <w:link w:val="Char3"/>
    <w:qFormat/>
    <w:rsid w:val="00EE56C0"/>
    <w:pPr>
      <w:widowControl/>
      <w:adjustRightInd/>
      <w:snapToGrid/>
      <w:spacing w:before="100" w:beforeAutospacing="1" w:after="100" w:afterAutospacing="1" w:line="240" w:lineRule="auto"/>
      <w:ind w:firstLineChars="0" w:firstLine="0"/>
      <w:jc w:val="left"/>
      <w:textAlignment w:val="auto"/>
    </w:pPr>
    <w:rPr>
      <w:rFonts w:ascii="宋体" w:eastAsiaTheme="minorEastAsia" w:hAnsi="宋体" w:cstheme="minorBidi"/>
      <w:kern w:val="2"/>
      <w:szCs w:val="22"/>
    </w:rPr>
  </w:style>
  <w:style w:type="paragraph" w:styleId="af1">
    <w:name w:val="Title"/>
    <w:basedOn w:val="a"/>
    <w:next w:val="a"/>
    <w:link w:val="Char16"/>
    <w:qFormat/>
    <w:rsid w:val="00EE56C0"/>
    <w:pPr>
      <w:spacing w:before="240" w:after="60"/>
      <w:jc w:val="center"/>
      <w:outlineLvl w:val="0"/>
    </w:pPr>
    <w:rPr>
      <w:rFonts w:ascii="Cambria" w:eastAsiaTheme="minorEastAsia" w:hAnsi="Cambria"/>
      <w:b/>
      <w:bCs/>
      <w:kern w:val="2"/>
      <w:sz w:val="32"/>
      <w:szCs w:val="32"/>
    </w:rPr>
  </w:style>
  <w:style w:type="paragraph" w:styleId="af2">
    <w:name w:val="annotation subject"/>
    <w:basedOn w:val="a7"/>
    <w:next w:val="a7"/>
    <w:link w:val="Char17"/>
    <w:unhideWhenUsed/>
    <w:qFormat/>
    <w:rsid w:val="00EE56C0"/>
    <w:rPr>
      <w:b/>
      <w:bCs/>
    </w:rPr>
  </w:style>
  <w:style w:type="paragraph" w:styleId="af3">
    <w:name w:val="Body Text First Indent"/>
    <w:basedOn w:val="a8"/>
    <w:link w:val="Char18"/>
    <w:unhideWhenUsed/>
    <w:qFormat/>
    <w:rsid w:val="00EE56C0"/>
    <w:pPr>
      <w:ind w:firstLineChars="100" w:firstLine="420"/>
    </w:pPr>
  </w:style>
  <w:style w:type="paragraph" w:styleId="22">
    <w:name w:val="Body Text First Indent 2"/>
    <w:basedOn w:val="a9"/>
    <w:link w:val="2Char1"/>
    <w:unhideWhenUsed/>
    <w:qFormat/>
    <w:rsid w:val="00EE56C0"/>
    <w:pPr>
      <w:ind w:firstLine="420"/>
    </w:pPr>
  </w:style>
  <w:style w:type="table" w:styleId="af4">
    <w:name w:val="Table Grid"/>
    <w:basedOn w:val="a1"/>
    <w:uiPriority w:val="59"/>
    <w:qFormat/>
    <w:rsid w:val="00EE56C0"/>
    <w:rPr>
      <w:rFonts w:ascii="Calibri" w:eastAsia="宋体"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5">
    <w:name w:val="Strong"/>
    <w:basedOn w:val="a0"/>
    <w:uiPriority w:val="22"/>
    <w:qFormat/>
    <w:rsid w:val="00EE56C0"/>
    <w:rPr>
      <w:b/>
      <w:bCs/>
    </w:rPr>
  </w:style>
  <w:style w:type="character" w:styleId="af6">
    <w:name w:val="Emphasis"/>
    <w:basedOn w:val="a0"/>
    <w:qFormat/>
    <w:rsid w:val="00EE56C0"/>
    <w:rPr>
      <w:i/>
      <w:iCs/>
    </w:rPr>
  </w:style>
  <w:style w:type="character" w:styleId="af7">
    <w:name w:val="line number"/>
    <w:basedOn w:val="a0"/>
    <w:uiPriority w:val="99"/>
    <w:unhideWhenUsed/>
    <w:qFormat/>
    <w:rsid w:val="00EE56C0"/>
  </w:style>
  <w:style w:type="character" w:styleId="af8">
    <w:name w:val="Hyperlink"/>
    <w:basedOn w:val="a0"/>
    <w:uiPriority w:val="99"/>
    <w:unhideWhenUsed/>
    <w:qFormat/>
    <w:rsid w:val="00EE56C0"/>
    <w:rPr>
      <w:color w:val="0000FF"/>
      <w:u w:val="single"/>
    </w:rPr>
  </w:style>
  <w:style w:type="character" w:styleId="af9">
    <w:name w:val="annotation reference"/>
    <w:basedOn w:val="a0"/>
    <w:uiPriority w:val="99"/>
    <w:unhideWhenUsed/>
    <w:qFormat/>
    <w:rsid w:val="00EE56C0"/>
    <w:rPr>
      <w:sz w:val="21"/>
      <w:szCs w:val="21"/>
    </w:rPr>
  </w:style>
  <w:style w:type="character" w:customStyle="1" w:styleId="1Char">
    <w:name w:val="标题 1 Char"/>
    <w:basedOn w:val="a0"/>
    <w:link w:val="1"/>
    <w:qFormat/>
    <w:rsid w:val="00EE56C0"/>
    <w:rPr>
      <w:rFonts w:ascii="Times New Roman" w:eastAsia="黑体" w:hAnsi="Times New Roman" w:cs="Times New Roman"/>
      <w:kern w:val="44"/>
      <w:sz w:val="36"/>
      <w:szCs w:val="20"/>
    </w:rPr>
  </w:style>
  <w:style w:type="character" w:customStyle="1" w:styleId="2Char">
    <w:name w:val="标题 2 Char"/>
    <w:basedOn w:val="a0"/>
    <w:link w:val="2"/>
    <w:qFormat/>
    <w:rsid w:val="00EE56C0"/>
    <w:rPr>
      <w:rFonts w:ascii="Times New Roman" w:eastAsia="宋体" w:hAnsi="Times New Roman" w:cs="Times New Roman"/>
      <w:b/>
      <w:kern w:val="0"/>
      <w:sz w:val="30"/>
      <w:szCs w:val="20"/>
    </w:rPr>
  </w:style>
  <w:style w:type="character" w:customStyle="1" w:styleId="3Char">
    <w:name w:val="标题 3 Char"/>
    <w:basedOn w:val="a0"/>
    <w:link w:val="3"/>
    <w:qFormat/>
    <w:rsid w:val="00EE56C0"/>
    <w:rPr>
      <w:rFonts w:ascii="Times New Roman" w:eastAsia="楷体" w:hAnsi="Times New Roman" w:cs="Times New Roman"/>
      <w:b/>
      <w:kern w:val="0"/>
      <w:sz w:val="28"/>
      <w:szCs w:val="20"/>
    </w:rPr>
  </w:style>
  <w:style w:type="character" w:customStyle="1" w:styleId="4Char">
    <w:name w:val="标题 4 Char"/>
    <w:basedOn w:val="a0"/>
    <w:link w:val="4"/>
    <w:qFormat/>
    <w:rsid w:val="00EE56C0"/>
    <w:rPr>
      <w:rFonts w:ascii="Times New Roman" w:eastAsia="宋体" w:hAnsi="Times New Roman" w:cs="Times New Roman"/>
      <w:b/>
      <w:snapToGrid w:val="0"/>
      <w:kern w:val="0"/>
      <w:sz w:val="24"/>
      <w:szCs w:val="20"/>
    </w:rPr>
  </w:style>
  <w:style w:type="character" w:customStyle="1" w:styleId="5Char">
    <w:name w:val="标题 5 Char"/>
    <w:basedOn w:val="a0"/>
    <w:link w:val="5"/>
    <w:qFormat/>
    <w:rsid w:val="00EE56C0"/>
    <w:rPr>
      <w:rFonts w:ascii="Times New Roman" w:eastAsia="方正小标宋简体" w:hAnsi="Times New Roman" w:cs="Times New Roman"/>
      <w:b/>
      <w:kern w:val="0"/>
      <w:sz w:val="24"/>
      <w:szCs w:val="20"/>
    </w:rPr>
  </w:style>
  <w:style w:type="character" w:customStyle="1" w:styleId="6Char">
    <w:name w:val="标题 6 Char"/>
    <w:basedOn w:val="a0"/>
    <w:link w:val="6"/>
    <w:qFormat/>
    <w:rsid w:val="00EE56C0"/>
    <w:rPr>
      <w:rFonts w:ascii="Times New Roman" w:eastAsia="黑体" w:hAnsi="Times New Roman" w:cs="Times New Roman"/>
      <w:b/>
      <w:kern w:val="0"/>
      <w:sz w:val="24"/>
      <w:szCs w:val="20"/>
    </w:rPr>
  </w:style>
  <w:style w:type="character" w:customStyle="1" w:styleId="7Char">
    <w:name w:val="标题 7 Char"/>
    <w:basedOn w:val="a0"/>
    <w:link w:val="7"/>
    <w:qFormat/>
    <w:rsid w:val="00EE56C0"/>
    <w:rPr>
      <w:rFonts w:ascii="Times New Roman" w:eastAsia="宋体" w:hAnsi="Times New Roman" w:cs="Times New Roman"/>
      <w:b/>
      <w:kern w:val="0"/>
      <w:sz w:val="24"/>
      <w:szCs w:val="20"/>
    </w:rPr>
  </w:style>
  <w:style w:type="character" w:customStyle="1" w:styleId="8Char">
    <w:name w:val="标题 8 Char"/>
    <w:basedOn w:val="a0"/>
    <w:link w:val="8"/>
    <w:qFormat/>
    <w:rsid w:val="00EE56C0"/>
    <w:rPr>
      <w:rFonts w:ascii="Arial" w:eastAsia="黑体" w:hAnsi="Arial" w:cs="Times New Roman"/>
      <w:kern w:val="0"/>
      <w:sz w:val="24"/>
      <w:szCs w:val="20"/>
    </w:rPr>
  </w:style>
  <w:style w:type="character" w:customStyle="1" w:styleId="9Char">
    <w:name w:val="标题 9 Char"/>
    <w:basedOn w:val="a0"/>
    <w:link w:val="9"/>
    <w:qFormat/>
    <w:rsid w:val="00EE56C0"/>
    <w:rPr>
      <w:rFonts w:ascii="Arial" w:eastAsia="黑体" w:hAnsi="Arial" w:cs="Times New Roman"/>
      <w:kern w:val="0"/>
      <w:szCs w:val="20"/>
    </w:rPr>
  </w:style>
  <w:style w:type="character" w:customStyle="1" w:styleId="Char2">
    <w:name w:val="页眉 Char"/>
    <w:basedOn w:val="a0"/>
    <w:link w:val="ae"/>
    <w:uiPriority w:val="99"/>
    <w:qFormat/>
    <w:rsid w:val="00EE56C0"/>
    <w:rPr>
      <w:sz w:val="18"/>
      <w:szCs w:val="18"/>
    </w:rPr>
  </w:style>
  <w:style w:type="character" w:customStyle="1" w:styleId="Char0">
    <w:name w:val="页脚 Char"/>
    <w:basedOn w:val="a0"/>
    <w:link w:val="ad"/>
    <w:uiPriority w:val="99"/>
    <w:qFormat/>
    <w:rsid w:val="00EE56C0"/>
    <w:rPr>
      <w:sz w:val="18"/>
      <w:szCs w:val="18"/>
    </w:rPr>
  </w:style>
  <w:style w:type="character" w:customStyle="1" w:styleId="Char4">
    <w:name w:val="鸿达表格文字 Char"/>
    <w:link w:val="afa"/>
    <w:qFormat/>
    <w:locked/>
    <w:rsid w:val="00EE56C0"/>
    <w:rPr>
      <w:rFonts w:ascii="Times New Roman" w:hAnsi="Times New Roman"/>
      <w:szCs w:val="21"/>
    </w:rPr>
  </w:style>
  <w:style w:type="paragraph" w:customStyle="1" w:styleId="afa">
    <w:name w:val="鸿达表格文字"/>
    <w:basedOn w:val="a"/>
    <w:link w:val="Char4"/>
    <w:qFormat/>
    <w:rsid w:val="00EE56C0"/>
    <w:pPr>
      <w:adjustRightInd/>
      <w:snapToGrid/>
      <w:spacing w:line="240" w:lineRule="auto"/>
      <w:ind w:firstLineChars="0" w:firstLine="0"/>
      <w:contextualSpacing/>
      <w:jc w:val="center"/>
    </w:pPr>
    <w:rPr>
      <w:rFonts w:eastAsiaTheme="minorEastAsia" w:cstheme="minorBidi"/>
      <w:kern w:val="2"/>
      <w:sz w:val="21"/>
      <w:szCs w:val="21"/>
    </w:rPr>
  </w:style>
  <w:style w:type="character" w:customStyle="1" w:styleId="Char5">
    <w:name w:val="正文文本缩进 Char"/>
    <w:basedOn w:val="a0"/>
    <w:link w:val="a9"/>
    <w:qFormat/>
    <w:rsid w:val="00EE56C0"/>
    <w:rPr>
      <w:rFonts w:ascii="Times New Roman" w:hAnsi="Times New Roman"/>
      <w:sz w:val="24"/>
    </w:rPr>
  </w:style>
  <w:style w:type="character" w:customStyle="1" w:styleId="Char12">
    <w:name w:val="正文文本缩进 Char1"/>
    <w:basedOn w:val="a0"/>
    <w:link w:val="a9"/>
    <w:uiPriority w:val="99"/>
    <w:semiHidden/>
    <w:qFormat/>
    <w:rsid w:val="00EE56C0"/>
    <w:rPr>
      <w:rFonts w:ascii="Times New Roman" w:eastAsia="宋体" w:hAnsi="Times New Roman" w:cs="Times New Roman"/>
      <w:kern w:val="0"/>
      <w:sz w:val="24"/>
      <w:szCs w:val="20"/>
    </w:rPr>
  </w:style>
  <w:style w:type="character" w:customStyle="1" w:styleId="2Char10">
    <w:name w:val="标题 2 Char1"/>
    <w:basedOn w:val="a0"/>
    <w:qFormat/>
    <w:rsid w:val="00EE56C0"/>
    <w:rPr>
      <w:rFonts w:ascii="Times New Roman" w:hAnsi="Times New Roman"/>
      <w:b/>
      <w:sz w:val="30"/>
    </w:rPr>
  </w:style>
  <w:style w:type="character" w:customStyle="1" w:styleId="Char6">
    <w:name w:val="正文首行缩进 Char"/>
    <w:basedOn w:val="Char7"/>
    <w:link w:val="af3"/>
    <w:qFormat/>
    <w:rsid w:val="00EE56C0"/>
  </w:style>
  <w:style w:type="character" w:customStyle="1" w:styleId="Char7">
    <w:name w:val="正文文本 Char"/>
    <w:basedOn w:val="a0"/>
    <w:link w:val="a8"/>
    <w:qFormat/>
    <w:rsid w:val="00EE56C0"/>
    <w:rPr>
      <w:rFonts w:ascii="Times New Roman" w:hAnsi="Times New Roman"/>
      <w:sz w:val="24"/>
    </w:rPr>
  </w:style>
  <w:style w:type="character" w:customStyle="1" w:styleId="Char11">
    <w:name w:val="正文文本 Char1"/>
    <w:basedOn w:val="a0"/>
    <w:link w:val="a8"/>
    <w:uiPriority w:val="99"/>
    <w:semiHidden/>
    <w:qFormat/>
    <w:rsid w:val="00EE56C0"/>
    <w:rPr>
      <w:rFonts w:ascii="Times New Roman" w:eastAsia="宋体" w:hAnsi="Times New Roman" w:cs="Times New Roman"/>
      <w:kern w:val="0"/>
      <w:sz w:val="24"/>
      <w:szCs w:val="20"/>
    </w:rPr>
  </w:style>
  <w:style w:type="character" w:customStyle="1" w:styleId="Char18">
    <w:name w:val="正文首行缩进 Char1"/>
    <w:basedOn w:val="Char11"/>
    <w:link w:val="af3"/>
    <w:uiPriority w:val="99"/>
    <w:semiHidden/>
    <w:qFormat/>
    <w:rsid w:val="00EE56C0"/>
  </w:style>
  <w:style w:type="character" w:customStyle="1" w:styleId="3Char1">
    <w:name w:val="标题 3 Char1"/>
    <w:basedOn w:val="a0"/>
    <w:qFormat/>
    <w:rsid w:val="00EE56C0"/>
    <w:rPr>
      <w:rFonts w:ascii="Times New Roman" w:eastAsia="楷体" w:hAnsi="Times New Roman"/>
      <w:b/>
      <w:sz w:val="28"/>
    </w:rPr>
  </w:style>
  <w:style w:type="character" w:customStyle="1" w:styleId="Char8">
    <w:name w:val="明显引用 Char"/>
    <w:basedOn w:val="a0"/>
    <w:link w:val="afb"/>
    <w:uiPriority w:val="30"/>
    <w:qFormat/>
    <w:rsid w:val="00EE56C0"/>
    <w:rPr>
      <w:rFonts w:ascii="Times New Roman" w:hAnsi="Times New Roman"/>
      <w:b/>
      <w:bCs/>
      <w:i/>
      <w:iCs/>
      <w:color w:val="4F81BD"/>
      <w:sz w:val="24"/>
    </w:rPr>
  </w:style>
  <w:style w:type="paragraph" w:styleId="afb">
    <w:name w:val="Intense Quote"/>
    <w:basedOn w:val="a"/>
    <w:next w:val="a"/>
    <w:link w:val="Char19"/>
    <w:uiPriority w:val="30"/>
    <w:qFormat/>
    <w:rsid w:val="00EE56C0"/>
    <w:pPr>
      <w:pBdr>
        <w:bottom w:val="single" w:sz="4" w:space="4" w:color="4F81BD"/>
      </w:pBdr>
      <w:spacing w:before="200" w:after="280"/>
      <w:ind w:left="936" w:right="936"/>
    </w:pPr>
    <w:rPr>
      <w:rFonts w:eastAsiaTheme="minorEastAsia" w:cstheme="minorBidi"/>
      <w:b/>
      <w:bCs/>
      <w:i/>
      <w:iCs/>
      <w:color w:val="4F81BD"/>
      <w:kern w:val="2"/>
      <w:szCs w:val="22"/>
    </w:rPr>
  </w:style>
  <w:style w:type="character" w:customStyle="1" w:styleId="Char19">
    <w:name w:val="明显引用 Char1"/>
    <w:basedOn w:val="a0"/>
    <w:link w:val="afb"/>
    <w:uiPriority w:val="30"/>
    <w:qFormat/>
    <w:rsid w:val="00EE56C0"/>
    <w:rPr>
      <w:rFonts w:ascii="Times New Roman" w:eastAsia="宋体" w:hAnsi="Times New Roman" w:cs="Times New Roman"/>
      <w:b/>
      <w:bCs/>
      <w:i/>
      <w:iCs/>
      <w:color w:val="4F81BD" w:themeColor="accent1"/>
      <w:kern w:val="0"/>
      <w:sz w:val="24"/>
      <w:szCs w:val="20"/>
    </w:rPr>
  </w:style>
  <w:style w:type="character" w:customStyle="1" w:styleId="Char9">
    <w:name w:val="纯文本 Char"/>
    <w:basedOn w:val="a0"/>
    <w:link w:val="ab"/>
    <w:qFormat/>
    <w:rsid w:val="00EE56C0"/>
    <w:rPr>
      <w:rFonts w:ascii="宋体" w:hAnsi="Courier New" w:cs="Courier New"/>
      <w:szCs w:val="21"/>
    </w:rPr>
  </w:style>
  <w:style w:type="character" w:customStyle="1" w:styleId="Char13">
    <w:name w:val="纯文本 Char1"/>
    <w:basedOn w:val="a0"/>
    <w:link w:val="ab"/>
    <w:semiHidden/>
    <w:qFormat/>
    <w:rsid w:val="00EE56C0"/>
    <w:rPr>
      <w:rFonts w:ascii="宋体" w:eastAsia="宋体" w:hAnsi="Courier New" w:cs="Courier New"/>
      <w:kern w:val="0"/>
      <w:szCs w:val="21"/>
    </w:rPr>
  </w:style>
  <w:style w:type="character" w:customStyle="1" w:styleId="11">
    <w:name w:val="明显参考1"/>
    <w:basedOn w:val="a0"/>
    <w:uiPriority w:val="32"/>
    <w:qFormat/>
    <w:rsid w:val="00EE56C0"/>
    <w:rPr>
      <w:b/>
      <w:bCs/>
      <w:smallCaps/>
      <w:color w:val="C0504D"/>
      <w:spacing w:val="5"/>
      <w:u w:val="single"/>
    </w:rPr>
  </w:style>
  <w:style w:type="character" w:customStyle="1" w:styleId="Chara">
    <w:name w:val="标题 Char"/>
    <w:basedOn w:val="a0"/>
    <w:link w:val="af1"/>
    <w:qFormat/>
    <w:rsid w:val="00EE56C0"/>
    <w:rPr>
      <w:rFonts w:ascii="Cambria" w:hAnsi="Cambria" w:cs="Times New Roman"/>
      <w:b/>
      <w:bCs/>
      <w:sz w:val="32"/>
      <w:szCs w:val="32"/>
    </w:rPr>
  </w:style>
  <w:style w:type="character" w:customStyle="1" w:styleId="Char16">
    <w:name w:val="标题 Char1"/>
    <w:basedOn w:val="a0"/>
    <w:link w:val="af1"/>
    <w:uiPriority w:val="10"/>
    <w:qFormat/>
    <w:rsid w:val="00EE56C0"/>
    <w:rPr>
      <w:rFonts w:asciiTheme="majorHAnsi" w:eastAsia="宋体" w:hAnsiTheme="majorHAnsi" w:cstheme="majorBidi"/>
      <w:b/>
      <w:bCs/>
      <w:kern w:val="0"/>
      <w:sz w:val="32"/>
      <w:szCs w:val="32"/>
    </w:rPr>
  </w:style>
  <w:style w:type="character" w:customStyle="1" w:styleId="Charb">
    <w:name w:val="表内 定 Char"/>
    <w:basedOn w:val="a0"/>
    <w:link w:val="afc"/>
    <w:qFormat/>
    <w:rsid w:val="00EE56C0"/>
    <w:rPr>
      <w:rFonts w:ascii="Times New Roman" w:eastAsia="仿宋" w:hAnsi="Times New Roman"/>
      <w:snapToGrid w:val="0"/>
      <w:color w:val="000000"/>
    </w:rPr>
  </w:style>
  <w:style w:type="paragraph" w:customStyle="1" w:styleId="afc">
    <w:name w:val="表内 定"/>
    <w:basedOn w:val="a"/>
    <w:link w:val="Charb"/>
    <w:qFormat/>
    <w:rsid w:val="00EE56C0"/>
    <w:pPr>
      <w:adjustRightInd/>
      <w:snapToGrid/>
      <w:spacing w:line="240" w:lineRule="auto"/>
      <w:ind w:firstLineChars="0" w:firstLine="0"/>
      <w:jc w:val="left"/>
      <w:textAlignment w:val="auto"/>
    </w:pPr>
    <w:rPr>
      <w:rFonts w:eastAsia="仿宋" w:cstheme="minorBidi"/>
      <w:snapToGrid w:val="0"/>
      <w:color w:val="000000"/>
      <w:kern w:val="2"/>
      <w:sz w:val="21"/>
      <w:szCs w:val="22"/>
    </w:rPr>
  </w:style>
  <w:style w:type="character" w:customStyle="1" w:styleId="Charc">
    <w:name w:val="鸿达表头 Char"/>
    <w:basedOn w:val="a0"/>
    <w:link w:val="afd"/>
    <w:qFormat/>
    <w:rsid w:val="00EE56C0"/>
    <w:rPr>
      <w:rFonts w:ascii="Times New Roman" w:hAnsi="Times New Roman"/>
      <w:b/>
      <w:sz w:val="24"/>
      <w:szCs w:val="24"/>
    </w:rPr>
  </w:style>
  <w:style w:type="paragraph" w:customStyle="1" w:styleId="afd">
    <w:name w:val="鸿达表头"/>
    <w:basedOn w:val="a"/>
    <w:link w:val="Charc"/>
    <w:qFormat/>
    <w:rsid w:val="00EE56C0"/>
    <w:pPr>
      <w:adjustRightInd/>
      <w:snapToGrid/>
      <w:spacing w:beforeLines="50" w:afterLines="50" w:line="240" w:lineRule="auto"/>
      <w:textAlignment w:val="auto"/>
    </w:pPr>
    <w:rPr>
      <w:rFonts w:eastAsiaTheme="minorEastAsia" w:cstheme="minorBidi"/>
      <w:b/>
      <w:kern w:val="2"/>
      <w:szCs w:val="24"/>
    </w:rPr>
  </w:style>
  <w:style w:type="character" w:customStyle="1" w:styleId="Chard">
    <w:name w:val="文档结构图 Char"/>
    <w:basedOn w:val="a0"/>
    <w:link w:val="a6"/>
    <w:uiPriority w:val="99"/>
    <w:qFormat/>
    <w:rsid w:val="00EE56C0"/>
    <w:rPr>
      <w:rFonts w:ascii="宋体" w:hAnsi="Times New Roman"/>
      <w:sz w:val="18"/>
      <w:szCs w:val="18"/>
    </w:rPr>
  </w:style>
  <w:style w:type="character" w:customStyle="1" w:styleId="Char1">
    <w:name w:val="文档结构图 Char1"/>
    <w:basedOn w:val="a0"/>
    <w:link w:val="a6"/>
    <w:uiPriority w:val="99"/>
    <w:semiHidden/>
    <w:rsid w:val="00EE56C0"/>
    <w:rPr>
      <w:rFonts w:ascii="宋体" w:eastAsia="宋体" w:hAnsi="Times New Roman" w:cs="Times New Roman"/>
      <w:kern w:val="0"/>
      <w:sz w:val="18"/>
      <w:szCs w:val="18"/>
    </w:rPr>
  </w:style>
  <w:style w:type="character" w:customStyle="1" w:styleId="Chare">
    <w:name w:val="段落 Char"/>
    <w:link w:val="afe"/>
    <w:qFormat/>
    <w:rsid w:val="00EE56C0"/>
    <w:rPr>
      <w:rFonts w:cs="Courier New"/>
      <w:sz w:val="28"/>
      <w:szCs w:val="24"/>
    </w:rPr>
  </w:style>
  <w:style w:type="paragraph" w:customStyle="1" w:styleId="afe">
    <w:name w:val="段落"/>
    <w:basedOn w:val="ab"/>
    <w:link w:val="Chare"/>
    <w:qFormat/>
    <w:rsid w:val="00EE56C0"/>
    <w:rPr>
      <w:rFonts w:asciiTheme="minorHAnsi" w:hAnsiTheme="minorHAnsi"/>
      <w:sz w:val="28"/>
      <w:szCs w:val="24"/>
    </w:rPr>
  </w:style>
  <w:style w:type="character" w:customStyle="1" w:styleId="12">
    <w:name w:val="不明显参考1"/>
    <w:basedOn w:val="a0"/>
    <w:uiPriority w:val="31"/>
    <w:qFormat/>
    <w:rsid w:val="00EE56C0"/>
    <w:rPr>
      <w:smallCaps/>
      <w:color w:val="C0504D"/>
      <w:u w:val="single"/>
    </w:rPr>
  </w:style>
  <w:style w:type="character" w:customStyle="1" w:styleId="1Char0">
    <w:name w:val="正文1 Char"/>
    <w:link w:val="13"/>
    <w:qFormat/>
    <w:rsid w:val="00EE56C0"/>
    <w:rPr>
      <w:rFonts w:ascii="KaiTi_GB2312" w:eastAsia="KaiTi_GB2312"/>
      <w:b/>
      <w:sz w:val="28"/>
      <w:szCs w:val="24"/>
    </w:rPr>
  </w:style>
  <w:style w:type="paragraph" w:customStyle="1" w:styleId="13">
    <w:name w:val="正文1"/>
    <w:basedOn w:val="a"/>
    <w:link w:val="1Char0"/>
    <w:qFormat/>
    <w:rsid w:val="00EE56C0"/>
    <w:pPr>
      <w:adjustRightInd/>
      <w:snapToGrid/>
      <w:spacing w:line="240" w:lineRule="auto"/>
      <w:ind w:firstLineChars="0" w:firstLine="552"/>
      <w:textAlignment w:val="auto"/>
    </w:pPr>
    <w:rPr>
      <w:rFonts w:ascii="KaiTi_GB2312" w:eastAsia="KaiTi_GB2312" w:hAnsiTheme="minorHAnsi" w:cstheme="minorBidi"/>
      <w:b/>
      <w:kern w:val="2"/>
      <w:sz w:val="28"/>
      <w:szCs w:val="24"/>
    </w:rPr>
  </w:style>
  <w:style w:type="character" w:customStyle="1" w:styleId="Charf">
    <w:name w:val="批注文字 Char"/>
    <w:basedOn w:val="a0"/>
    <w:link w:val="a7"/>
    <w:qFormat/>
    <w:rsid w:val="00EE56C0"/>
    <w:rPr>
      <w:rFonts w:ascii="Times New Roman" w:hAnsi="Times New Roman"/>
      <w:sz w:val="24"/>
    </w:rPr>
  </w:style>
  <w:style w:type="character" w:customStyle="1" w:styleId="Char10">
    <w:name w:val="批注文字 Char1"/>
    <w:basedOn w:val="a0"/>
    <w:link w:val="a7"/>
    <w:uiPriority w:val="99"/>
    <w:semiHidden/>
    <w:rsid w:val="00EE56C0"/>
    <w:rPr>
      <w:rFonts w:ascii="Times New Roman" w:eastAsia="宋体" w:hAnsi="Times New Roman" w:cs="Times New Roman"/>
      <w:kern w:val="0"/>
      <w:sz w:val="24"/>
      <w:szCs w:val="20"/>
    </w:rPr>
  </w:style>
  <w:style w:type="character" w:customStyle="1" w:styleId="4Char1">
    <w:name w:val="标题 4 Char1"/>
    <w:basedOn w:val="a0"/>
    <w:qFormat/>
    <w:rsid w:val="00EE56C0"/>
    <w:rPr>
      <w:rFonts w:ascii="Times New Roman" w:hAnsi="Times New Roman"/>
      <w:b/>
      <w:snapToGrid w:val="0"/>
      <w:sz w:val="24"/>
    </w:rPr>
  </w:style>
  <w:style w:type="character" w:customStyle="1" w:styleId="14">
    <w:name w:val="明显强调1"/>
    <w:basedOn w:val="a0"/>
    <w:uiPriority w:val="21"/>
    <w:qFormat/>
    <w:rsid w:val="00EE56C0"/>
    <w:rPr>
      <w:b/>
      <w:bCs/>
      <w:i/>
      <w:iCs/>
      <w:color w:val="4F81BD"/>
    </w:rPr>
  </w:style>
  <w:style w:type="character" w:customStyle="1" w:styleId="Charf0">
    <w:name w:val="批注主题 Char"/>
    <w:basedOn w:val="Charf"/>
    <w:link w:val="af2"/>
    <w:qFormat/>
    <w:rsid w:val="00EE56C0"/>
    <w:rPr>
      <w:b/>
      <w:bCs/>
    </w:rPr>
  </w:style>
  <w:style w:type="character" w:customStyle="1" w:styleId="Char17">
    <w:name w:val="批注主题 Char1"/>
    <w:basedOn w:val="Char10"/>
    <w:link w:val="af2"/>
    <w:uiPriority w:val="99"/>
    <w:semiHidden/>
    <w:rsid w:val="00EE56C0"/>
    <w:rPr>
      <w:b/>
      <w:bCs/>
    </w:rPr>
  </w:style>
  <w:style w:type="character" w:customStyle="1" w:styleId="Char">
    <w:name w:val="正文缩进 Char"/>
    <w:link w:val="a3"/>
    <w:qFormat/>
    <w:rsid w:val="00EE56C0"/>
    <w:rPr>
      <w:rFonts w:cs="Calibri"/>
      <w:szCs w:val="24"/>
    </w:rPr>
  </w:style>
  <w:style w:type="character" w:customStyle="1" w:styleId="15">
    <w:name w:val="不明显强调1"/>
    <w:basedOn w:val="a0"/>
    <w:uiPriority w:val="19"/>
    <w:qFormat/>
    <w:rsid w:val="00EE56C0"/>
    <w:rPr>
      <w:i/>
      <w:iCs/>
      <w:color w:val="7F7F7F"/>
    </w:rPr>
  </w:style>
  <w:style w:type="character" w:customStyle="1" w:styleId="Charf1">
    <w:name w:val="引用 Char"/>
    <w:basedOn w:val="a0"/>
    <w:link w:val="aff"/>
    <w:uiPriority w:val="29"/>
    <w:qFormat/>
    <w:rsid w:val="00EE56C0"/>
    <w:rPr>
      <w:rFonts w:ascii="Times New Roman" w:hAnsi="Times New Roman"/>
      <w:i/>
      <w:iCs/>
      <w:color w:val="000000"/>
      <w:sz w:val="24"/>
    </w:rPr>
  </w:style>
  <w:style w:type="paragraph" w:styleId="aff">
    <w:name w:val="Quote"/>
    <w:basedOn w:val="a"/>
    <w:next w:val="a"/>
    <w:link w:val="Char1a"/>
    <w:uiPriority w:val="29"/>
    <w:qFormat/>
    <w:rsid w:val="00EE56C0"/>
    <w:rPr>
      <w:rFonts w:eastAsiaTheme="minorEastAsia" w:cstheme="minorBidi"/>
      <w:i/>
      <w:iCs/>
      <w:color w:val="000000"/>
      <w:kern w:val="2"/>
      <w:szCs w:val="22"/>
    </w:rPr>
  </w:style>
  <w:style w:type="character" w:customStyle="1" w:styleId="Char1a">
    <w:name w:val="引用 Char1"/>
    <w:basedOn w:val="a0"/>
    <w:link w:val="aff"/>
    <w:uiPriority w:val="29"/>
    <w:rsid w:val="00EE56C0"/>
    <w:rPr>
      <w:rFonts w:ascii="Times New Roman" w:eastAsia="宋体" w:hAnsi="Times New Roman" w:cs="Times New Roman"/>
      <w:i/>
      <w:iCs/>
      <w:color w:val="000000" w:themeColor="text1"/>
      <w:kern w:val="0"/>
      <w:sz w:val="24"/>
      <w:szCs w:val="20"/>
    </w:rPr>
  </w:style>
  <w:style w:type="character" w:customStyle="1" w:styleId="Charf2">
    <w:name w:val="副标题 Char"/>
    <w:basedOn w:val="a0"/>
    <w:link w:val="af"/>
    <w:qFormat/>
    <w:rsid w:val="00EE56C0"/>
    <w:rPr>
      <w:rFonts w:ascii="Cambria" w:hAnsi="Cambria" w:cs="Times New Roman"/>
      <w:b/>
      <w:bCs/>
      <w:kern w:val="28"/>
      <w:sz w:val="48"/>
      <w:szCs w:val="32"/>
    </w:rPr>
  </w:style>
  <w:style w:type="character" w:customStyle="1" w:styleId="Char15">
    <w:name w:val="副标题 Char1"/>
    <w:basedOn w:val="a0"/>
    <w:link w:val="af"/>
    <w:uiPriority w:val="11"/>
    <w:rsid w:val="00EE56C0"/>
    <w:rPr>
      <w:rFonts w:asciiTheme="majorHAnsi" w:eastAsia="宋体" w:hAnsiTheme="majorHAnsi" w:cstheme="majorBidi"/>
      <w:b/>
      <w:bCs/>
      <w:kern w:val="28"/>
      <w:sz w:val="32"/>
      <w:szCs w:val="32"/>
    </w:rPr>
  </w:style>
  <w:style w:type="character" w:customStyle="1" w:styleId="Charf3">
    <w:name w:val="批注框文本 Char"/>
    <w:basedOn w:val="a0"/>
    <w:link w:val="ac"/>
    <w:qFormat/>
    <w:rsid w:val="00EE56C0"/>
    <w:rPr>
      <w:rFonts w:ascii="Times New Roman" w:hAnsi="Times New Roman"/>
      <w:sz w:val="18"/>
      <w:szCs w:val="18"/>
    </w:rPr>
  </w:style>
  <w:style w:type="character" w:customStyle="1" w:styleId="Char14">
    <w:name w:val="批注框文本 Char1"/>
    <w:basedOn w:val="a0"/>
    <w:link w:val="ac"/>
    <w:uiPriority w:val="99"/>
    <w:semiHidden/>
    <w:rsid w:val="00EE56C0"/>
    <w:rPr>
      <w:rFonts w:ascii="Times New Roman" w:eastAsia="宋体" w:hAnsi="Times New Roman" w:cs="Times New Roman"/>
      <w:kern w:val="0"/>
      <w:sz w:val="18"/>
      <w:szCs w:val="18"/>
    </w:rPr>
  </w:style>
  <w:style w:type="character" w:customStyle="1" w:styleId="2Char2">
    <w:name w:val="正文首行缩进 2 Char"/>
    <w:basedOn w:val="Char5"/>
    <w:link w:val="22"/>
    <w:qFormat/>
    <w:rsid w:val="00EE56C0"/>
  </w:style>
  <w:style w:type="character" w:customStyle="1" w:styleId="2Char1">
    <w:name w:val="正文首行缩进 2 Char1"/>
    <w:basedOn w:val="Char12"/>
    <w:link w:val="22"/>
    <w:uiPriority w:val="99"/>
    <w:semiHidden/>
    <w:rsid w:val="00EE56C0"/>
  </w:style>
  <w:style w:type="character" w:customStyle="1" w:styleId="Char3">
    <w:name w:val="普通(网站) Char"/>
    <w:link w:val="af0"/>
    <w:qFormat/>
    <w:locked/>
    <w:rsid w:val="00EE56C0"/>
    <w:rPr>
      <w:rFonts w:ascii="宋体" w:hAnsi="宋体"/>
      <w:sz w:val="24"/>
    </w:rPr>
  </w:style>
  <w:style w:type="character" w:customStyle="1" w:styleId="5Char0">
    <w:name w:val="5文章(治) Char"/>
    <w:link w:val="51"/>
    <w:qFormat/>
    <w:rsid w:val="00EE56C0"/>
    <w:rPr>
      <w:sz w:val="24"/>
    </w:rPr>
  </w:style>
  <w:style w:type="paragraph" w:customStyle="1" w:styleId="51">
    <w:name w:val="5文章(治)"/>
    <w:basedOn w:val="a"/>
    <w:link w:val="5Char0"/>
    <w:qFormat/>
    <w:rsid w:val="00EE56C0"/>
    <w:pPr>
      <w:adjustRightInd/>
      <w:snapToGrid/>
      <w:spacing w:line="360" w:lineRule="auto"/>
      <w:ind w:firstLine="560"/>
      <w:textAlignment w:val="auto"/>
    </w:pPr>
    <w:rPr>
      <w:rFonts w:asciiTheme="minorHAnsi" w:eastAsiaTheme="minorEastAsia" w:hAnsiTheme="minorHAnsi" w:cstheme="minorBidi"/>
      <w:kern w:val="2"/>
      <w:szCs w:val="22"/>
    </w:rPr>
  </w:style>
  <w:style w:type="paragraph" w:customStyle="1" w:styleId="TableParagraph">
    <w:name w:val="Table Paragraph"/>
    <w:basedOn w:val="a"/>
    <w:qFormat/>
    <w:rsid w:val="00EE56C0"/>
    <w:pPr>
      <w:autoSpaceDE w:val="0"/>
      <w:autoSpaceDN w:val="0"/>
      <w:adjustRightInd/>
      <w:snapToGrid/>
      <w:spacing w:line="240" w:lineRule="auto"/>
      <w:ind w:firstLineChars="0" w:firstLine="0"/>
      <w:jc w:val="left"/>
      <w:textAlignment w:val="auto"/>
    </w:pPr>
    <w:rPr>
      <w:rFonts w:ascii="宋体" w:hAnsi="宋体" w:cs="宋体"/>
      <w:sz w:val="22"/>
      <w:szCs w:val="22"/>
      <w:lang w:val="zh-CN" w:bidi="zh-CN"/>
    </w:rPr>
  </w:style>
  <w:style w:type="paragraph" w:customStyle="1" w:styleId="16">
    <w:name w:val="1.表头"/>
    <w:basedOn w:val="a"/>
    <w:qFormat/>
    <w:rsid w:val="00EE56C0"/>
    <w:pPr>
      <w:adjustRightInd/>
      <w:snapToGrid/>
      <w:spacing w:line="440" w:lineRule="exact"/>
      <w:ind w:firstLineChars="150" w:firstLine="360"/>
      <w:textAlignment w:val="auto"/>
    </w:pPr>
    <w:rPr>
      <w:rFonts w:eastAsia="黑体" w:cs="宋体"/>
      <w:kern w:val="2"/>
    </w:rPr>
  </w:style>
  <w:style w:type="paragraph" w:customStyle="1" w:styleId="110">
    <w:name w:val="1.1章节后"/>
    <w:basedOn w:val="2"/>
    <w:qFormat/>
    <w:rsid w:val="00EE56C0"/>
    <w:pPr>
      <w:keepNext w:val="0"/>
      <w:keepLines w:val="0"/>
      <w:tabs>
        <w:tab w:val="clear" w:pos="3131"/>
        <w:tab w:val="left" w:pos="-340"/>
      </w:tabs>
      <w:spacing w:beforeLines="50" w:afterLines="50" w:line="500" w:lineRule="exact"/>
      <w:ind w:leftChars="150" w:left="360"/>
    </w:pPr>
    <w:rPr>
      <w:rFonts w:ascii="Arial" w:hAnsi="Arial" w:cs="宋体"/>
      <w:bCs/>
      <w:kern w:val="2"/>
    </w:rPr>
  </w:style>
  <w:style w:type="paragraph" w:customStyle="1" w:styleId="aff0">
    <w:name w:val="鸿达表格段落"/>
    <w:basedOn w:val="a"/>
    <w:qFormat/>
    <w:rsid w:val="00EE56C0"/>
    <w:pPr>
      <w:spacing w:line="240" w:lineRule="auto"/>
      <w:ind w:firstLineChars="100" w:firstLine="100"/>
      <w:jc w:val="left"/>
      <w:textAlignment w:val="auto"/>
    </w:pPr>
    <w:rPr>
      <w:snapToGrid w:val="0"/>
      <w:sz w:val="21"/>
      <w:szCs w:val="24"/>
    </w:rPr>
  </w:style>
  <w:style w:type="paragraph" w:customStyle="1" w:styleId="aff1">
    <w:name w:val="鸿达表加粗"/>
    <w:basedOn w:val="a"/>
    <w:qFormat/>
    <w:rsid w:val="00EE56C0"/>
    <w:pPr>
      <w:adjustRightInd/>
      <w:snapToGrid/>
      <w:spacing w:line="240" w:lineRule="auto"/>
      <w:ind w:firstLineChars="0" w:firstLine="0"/>
      <w:jc w:val="center"/>
      <w:textAlignment w:val="auto"/>
    </w:pPr>
    <w:rPr>
      <w:rFonts w:cs="宋体"/>
      <w:b/>
      <w:color w:val="000000"/>
      <w:kern w:val="2"/>
      <w:sz w:val="21"/>
    </w:rPr>
  </w:style>
  <w:style w:type="paragraph" w:customStyle="1" w:styleId="aff2">
    <w:name w:val="蓝天报告表正文"/>
    <w:basedOn w:val="a"/>
    <w:qFormat/>
    <w:rsid w:val="00EE56C0"/>
    <w:pPr>
      <w:adjustRightInd/>
      <w:snapToGrid/>
      <w:spacing w:line="460" w:lineRule="exact"/>
      <w:jc w:val="left"/>
      <w:textAlignment w:val="auto"/>
    </w:pPr>
    <w:rPr>
      <w:rFonts w:cs="宋体"/>
      <w:color w:val="000000"/>
      <w:kern w:val="2"/>
    </w:rPr>
  </w:style>
  <w:style w:type="paragraph" w:customStyle="1" w:styleId="aff3">
    <w:name w:val="报告书表格表头"/>
    <w:basedOn w:val="a"/>
    <w:qFormat/>
    <w:rsid w:val="00EE56C0"/>
    <w:pPr>
      <w:textAlignment w:val="auto"/>
    </w:pPr>
    <w:rPr>
      <w:rFonts w:eastAsia="黑体"/>
      <w:color w:val="000000"/>
      <w:kern w:val="2"/>
      <w:szCs w:val="22"/>
    </w:rPr>
  </w:style>
  <w:style w:type="paragraph" w:customStyle="1" w:styleId="aff4">
    <w:name w:val="鸿达正文"/>
    <w:basedOn w:val="a"/>
    <w:link w:val="Charf4"/>
    <w:qFormat/>
    <w:rsid w:val="00EE56C0"/>
    <w:pPr>
      <w:ind w:firstLine="480"/>
    </w:pPr>
  </w:style>
  <w:style w:type="character" w:customStyle="1" w:styleId="Charf4">
    <w:name w:val="鸿达正文 Char"/>
    <w:link w:val="aff4"/>
    <w:qFormat/>
    <w:rsid w:val="00EE56C0"/>
    <w:rPr>
      <w:rFonts w:ascii="Times New Roman" w:eastAsia="宋体" w:hAnsi="Times New Roman" w:cs="Times New Roman"/>
      <w:kern w:val="0"/>
      <w:sz w:val="24"/>
      <w:szCs w:val="20"/>
    </w:rPr>
  </w:style>
  <w:style w:type="paragraph" w:customStyle="1" w:styleId="aff5">
    <w:name w:val="偶数页页眉"/>
    <w:basedOn w:val="aff6"/>
    <w:qFormat/>
    <w:rsid w:val="00EE56C0"/>
    <w:pPr>
      <w:jc w:val="left"/>
    </w:pPr>
  </w:style>
  <w:style w:type="paragraph" w:customStyle="1" w:styleId="aff6">
    <w:name w:val="奇数页页眉"/>
    <w:basedOn w:val="a"/>
    <w:qFormat/>
    <w:rsid w:val="00EE56C0"/>
    <w:pPr>
      <w:pBdr>
        <w:bottom w:val="single" w:sz="6" w:space="1" w:color="auto"/>
      </w:pBdr>
      <w:tabs>
        <w:tab w:val="center" w:pos="4153"/>
        <w:tab w:val="right" w:pos="8306"/>
      </w:tabs>
      <w:adjustRightInd/>
      <w:spacing w:line="240" w:lineRule="atLeast"/>
      <w:ind w:firstLineChars="0" w:firstLine="0"/>
      <w:jc w:val="right"/>
      <w:textAlignment w:val="auto"/>
    </w:pPr>
    <w:rPr>
      <w:rFonts w:eastAsia="华文行楷"/>
      <w:kern w:val="2"/>
      <w:sz w:val="18"/>
      <w:szCs w:val="18"/>
    </w:rPr>
  </w:style>
  <w:style w:type="paragraph" w:styleId="aff7">
    <w:name w:val="No Spacing"/>
    <w:qFormat/>
    <w:rsid w:val="00EE56C0"/>
    <w:pPr>
      <w:widowControl w:val="0"/>
      <w:adjustRightInd w:val="0"/>
      <w:snapToGrid w:val="0"/>
      <w:ind w:firstLineChars="200" w:firstLine="200"/>
      <w:jc w:val="both"/>
      <w:textAlignment w:val="baseline"/>
    </w:pPr>
    <w:rPr>
      <w:rFonts w:ascii="Times New Roman" w:eastAsia="宋体" w:hAnsi="Times New Roman" w:cs="Times New Roman"/>
      <w:sz w:val="24"/>
    </w:rPr>
  </w:style>
  <w:style w:type="paragraph" w:customStyle="1" w:styleId="aff8">
    <w:name w:val="鸿达图标"/>
    <w:basedOn w:val="a"/>
    <w:qFormat/>
    <w:rsid w:val="00EE56C0"/>
    <w:pPr>
      <w:adjustRightInd/>
      <w:snapToGrid/>
      <w:spacing w:line="240" w:lineRule="auto"/>
      <w:ind w:firstLineChars="0" w:firstLine="0"/>
      <w:jc w:val="center"/>
      <w:textAlignment w:val="auto"/>
    </w:pPr>
    <w:rPr>
      <w:b/>
      <w:kern w:val="2"/>
    </w:rPr>
  </w:style>
  <w:style w:type="paragraph" w:customStyle="1" w:styleId="17">
    <w:name w:val="1.正文"/>
    <w:basedOn w:val="a"/>
    <w:qFormat/>
    <w:rsid w:val="00EE56C0"/>
    <w:pPr>
      <w:adjustRightInd/>
      <w:snapToGrid/>
      <w:textAlignment w:val="auto"/>
    </w:pPr>
    <w:rPr>
      <w:rFonts w:cs="宋体"/>
      <w:kern w:val="2"/>
    </w:rPr>
  </w:style>
  <w:style w:type="paragraph" w:customStyle="1" w:styleId="aff9">
    <w:name w:val="鸿达公式"/>
    <w:basedOn w:val="a"/>
    <w:qFormat/>
    <w:rsid w:val="00EE56C0"/>
    <w:pPr>
      <w:adjustRightInd/>
      <w:snapToGrid/>
      <w:spacing w:beforeLines="100" w:afterLines="50" w:line="240" w:lineRule="auto"/>
      <w:ind w:firstLineChars="0" w:firstLine="0"/>
      <w:jc w:val="center"/>
      <w:textAlignment w:val="auto"/>
    </w:pPr>
    <w:rPr>
      <w:kern w:val="2"/>
      <w:szCs w:val="28"/>
    </w:rPr>
  </w:style>
  <w:style w:type="paragraph" w:styleId="affa">
    <w:name w:val="List Paragraph"/>
    <w:basedOn w:val="a"/>
    <w:uiPriority w:val="1"/>
    <w:qFormat/>
    <w:rsid w:val="00EE56C0"/>
    <w:pPr>
      <w:ind w:firstLine="420"/>
    </w:pPr>
  </w:style>
  <w:style w:type="paragraph" w:customStyle="1" w:styleId="affb">
    <w:name w:val="蓝天报告表表格文字居中"/>
    <w:basedOn w:val="a"/>
    <w:qFormat/>
    <w:rsid w:val="00EE56C0"/>
    <w:pPr>
      <w:adjustRightInd/>
      <w:snapToGrid/>
      <w:spacing w:line="240" w:lineRule="auto"/>
      <w:ind w:firstLineChars="0" w:firstLine="0"/>
      <w:jc w:val="center"/>
      <w:textAlignment w:val="auto"/>
    </w:pPr>
    <w:rPr>
      <w:rFonts w:cs="宋体"/>
      <w:color w:val="000000"/>
      <w:kern w:val="2"/>
      <w:sz w:val="21"/>
    </w:rPr>
  </w:style>
  <w:style w:type="character" w:customStyle="1" w:styleId="2Char0">
    <w:name w:val="正文文本 2 Char"/>
    <w:basedOn w:val="a0"/>
    <w:link w:val="21"/>
    <w:uiPriority w:val="99"/>
    <w:semiHidden/>
    <w:rsid w:val="00EE56C0"/>
    <w:rPr>
      <w:rFonts w:ascii="Times New Roman" w:eastAsia="宋体" w:hAnsi="Times New Roman" w:cs="Times New Roman"/>
      <w:kern w:val="0"/>
      <w:sz w:val="24"/>
      <w:szCs w:val="20"/>
    </w:rPr>
  </w:style>
  <w:style w:type="paragraph" w:customStyle="1" w:styleId="CharChar">
    <w:name w:val="段落 Char Char"/>
    <w:basedOn w:val="a"/>
    <w:link w:val="CharCharCharChar"/>
    <w:qFormat/>
    <w:rsid w:val="00EE56C0"/>
    <w:pPr>
      <w:adjustRightInd/>
      <w:snapToGrid/>
      <w:spacing w:line="500" w:lineRule="exact"/>
      <w:ind w:firstLineChars="0" w:firstLine="578"/>
      <w:textAlignment w:val="auto"/>
    </w:pPr>
    <w:rPr>
      <w:sz w:val="28"/>
      <w:szCs w:val="28"/>
    </w:rPr>
  </w:style>
  <w:style w:type="character" w:customStyle="1" w:styleId="CharCharCharChar">
    <w:name w:val="段落 Char Char Char Char"/>
    <w:link w:val="CharChar"/>
    <w:qFormat/>
    <w:rsid w:val="00EE56C0"/>
    <w:rPr>
      <w:rFonts w:ascii="Times New Roman" w:eastAsia="宋体" w:hAnsi="Times New Roman" w:cs="Times New Roman"/>
      <w:kern w:val="0"/>
      <w:sz w:val="28"/>
      <w:szCs w:val="28"/>
    </w:rPr>
  </w:style>
  <w:style w:type="character" w:customStyle="1" w:styleId="Char1b">
    <w:name w:val="表头 Char1"/>
    <w:link w:val="affc"/>
    <w:qFormat/>
    <w:rsid w:val="00EE56C0"/>
    <w:rPr>
      <w:rFonts w:ascii="黑体" w:eastAsia="黑体" w:hAnsi="Times New Roman" w:cs="Times New Roman"/>
      <w:spacing w:val="20"/>
      <w:sz w:val="24"/>
      <w:szCs w:val="24"/>
    </w:rPr>
  </w:style>
  <w:style w:type="paragraph" w:customStyle="1" w:styleId="affc">
    <w:name w:val="表头"/>
    <w:basedOn w:val="a"/>
    <w:link w:val="Char1b"/>
    <w:qFormat/>
    <w:rsid w:val="00EE56C0"/>
    <w:pPr>
      <w:adjustRightInd/>
      <w:snapToGrid/>
      <w:spacing w:before="200" w:line="500" w:lineRule="exact"/>
      <w:ind w:firstLineChars="0" w:firstLine="0"/>
      <w:textAlignment w:val="auto"/>
    </w:pPr>
    <w:rPr>
      <w:rFonts w:ascii="黑体" w:eastAsia="黑体"/>
      <w:spacing w:val="20"/>
      <w:kern w:val="2"/>
      <w:szCs w:val="24"/>
    </w:rPr>
  </w:style>
  <w:style w:type="character" w:customStyle="1" w:styleId="CharCharChar">
    <w:name w:val="段落 Char Char Char"/>
    <w:qFormat/>
    <w:rsid w:val="00EE56C0"/>
    <w:rPr>
      <w:rFonts w:ascii="Times New Roman" w:eastAsia="宋体" w:hAnsi="Times New Roman" w:cs="Times New Roman"/>
      <w:sz w:val="28"/>
      <w:szCs w:val="28"/>
    </w:rPr>
  </w:style>
  <w:style w:type="paragraph" w:customStyle="1" w:styleId="affd">
    <w:name w:val="样式 居中"/>
    <w:basedOn w:val="a"/>
    <w:qFormat/>
    <w:rsid w:val="00EE56C0"/>
    <w:pPr>
      <w:spacing w:line="240" w:lineRule="auto"/>
      <w:ind w:firstLineChars="0" w:firstLine="0"/>
      <w:jc w:val="center"/>
      <w:textAlignment w:val="auto"/>
    </w:pPr>
    <w:rPr>
      <w:rFonts w:hAnsi="宋体"/>
      <w:kern w:val="2"/>
      <w:sz w:val="21"/>
      <w:szCs w:val="21"/>
    </w:rPr>
  </w:style>
  <w:style w:type="paragraph" w:styleId="affe">
    <w:name w:val="Date"/>
    <w:basedOn w:val="a"/>
    <w:next w:val="a"/>
    <w:link w:val="Charf5"/>
    <w:uiPriority w:val="99"/>
    <w:semiHidden/>
    <w:unhideWhenUsed/>
    <w:rsid w:val="009C6BD9"/>
    <w:pPr>
      <w:ind w:leftChars="2500" w:left="100"/>
    </w:pPr>
  </w:style>
  <w:style w:type="character" w:customStyle="1" w:styleId="Charf5">
    <w:name w:val="日期 Char"/>
    <w:basedOn w:val="a0"/>
    <w:link w:val="affe"/>
    <w:uiPriority w:val="99"/>
    <w:semiHidden/>
    <w:rsid w:val="009C6BD9"/>
    <w:rPr>
      <w:rFonts w:ascii="Times New Roman" w:eastAsia="宋体" w:hAnsi="Times New Roman" w:cs="Times New Roman"/>
      <w:sz w:val="24"/>
    </w:rPr>
  </w:style>
  <w:style w:type="table" w:customStyle="1" w:styleId="TableNormal">
    <w:name w:val="Table Normal"/>
    <w:uiPriority w:val="2"/>
    <w:semiHidden/>
    <w:qFormat/>
    <w:rsid w:val="00D94554"/>
    <w:pPr>
      <w:widowControl w:val="0"/>
    </w:pPr>
    <w:rPr>
      <w:rFonts w:eastAsia="Times New Roman"/>
      <w:sz w:val="22"/>
      <w:szCs w:val="22"/>
      <w:lang w:eastAsia="en-US"/>
    </w:rPr>
    <w:tblPr>
      <w:tblCellMar>
        <w:top w:w="0" w:type="dxa"/>
        <w:left w:w="0" w:type="dxa"/>
        <w:bottom w:w="0" w:type="dxa"/>
        <w:right w:w="0" w:type="dxa"/>
      </w:tblCellMar>
    </w:tbl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17" Type="http://schemas.openxmlformats.org/officeDocument/2006/relationships/image" Target="media/image75.wmf"/><Relationship Id="rId21" Type="http://schemas.openxmlformats.org/officeDocument/2006/relationships/footer" Target="footer4.xml"/><Relationship Id="rId42" Type="http://schemas.openxmlformats.org/officeDocument/2006/relationships/oleObject" Target="embeddings/oleObject5.bin"/><Relationship Id="rId63" Type="http://schemas.openxmlformats.org/officeDocument/2006/relationships/image" Target="media/image27.wmf"/><Relationship Id="rId84" Type="http://schemas.openxmlformats.org/officeDocument/2006/relationships/image" Target="media/image45.png"/><Relationship Id="rId138" Type="http://schemas.openxmlformats.org/officeDocument/2006/relationships/image" Target="media/image94.png"/><Relationship Id="rId159" Type="http://schemas.openxmlformats.org/officeDocument/2006/relationships/image" Target="media/image115.png"/><Relationship Id="rId170" Type="http://schemas.openxmlformats.org/officeDocument/2006/relationships/image" Target="media/image126.png"/><Relationship Id="rId191" Type="http://schemas.openxmlformats.org/officeDocument/2006/relationships/image" Target="media/image147.png"/><Relationship Id="rId205" Type="http://schemas.openxmlformats.org/officeDocument/2006/relationships/image" Target="media/image161.png"/><Relationship Id="rId16" Type="http://schemas.openxmlformats.org/officeDocument/2006/relationships/footer" Target="footer3.xml"/><Relationship Id="rId107" Type="http://schemas.openxmlformats.org/officeDocument/2006/relationships/image" Target="media/image65.wmf"/><Relationship Id="rId11" Type="http://schemas.openxmlformats.org/officeDocument/2006/relationships/header" Target="header1.xml"/><Relationship Id="rId32" Type="http://schemas.openxmlformats.org/officeDocument/2006/relationships/oleObject" Target="embeddings/oleObject3.bin"/><Relationship Id="rId37" Type="http://schemas.openxmlformats.org/officeDocument/2006/relationships/header" Target="header6.xml"/><Relationship Id="rId53" Type="http://schemas.openxmlformats.org/officeDocument/2006/relationships/image" Target="media/image22.emf"/><Relationship Id="rId58" Type="http://schemas.openxmlformats.org/officeDocument/2006/relationships/oleObject" Target="embeddings/oleObject13.bin"/><Relationship Id="rId74" Type="http://schemas.openxmlformats.org/officeDocument/2006/relationships/image" Target="media/image35.png"/><Relationship Id="rId79" Type="http://schemas.openxmlformats.org/officeDocument/2006/relationships/image" Target="media/image40.png"/><Relationship Id="rId102" Type="http://schemas.openxmlformats.org/officeDocument/2006/relationships/image" Target="media/image60.wmf"/><Relationship Id="rId123" Type="http://schemas.openxmlformats.org/officeDocument/2006/relationships/image" Target="media/image81.jpeg"/><Relationship Id="rId128" Type="http://schemas.openxmlformats.org/officeDocument/2006/relationships/image" Target="media/image84.png"/><Relationship Id="rId144" Type="http://schemas.openxmlformats.org/officeDocument/2006/relationships/image" Target="media/image100.png"/><Relationship Id="rId149" Type="http://schemas.openxmlformats.org/officeDocument/2006/relationships/image" Target="media/image105.png"/><Relationship Id="rId5" Type="http://schemas.openxmlformats.org/officeDocument/2006/relationships/settings" Target="settings.xml"/><Relationship Id="rId90" Type="http://schemas.openxmlformats.org/officeDocument/2006/relationships/image" Target="media/image51.png"/><Relationship Id="rId95" Type="http://schemas.openxmlformats.org/officeDocument/2006/relationships/image" Target="media/image54.png"/><Relationship Id="rId160" Type="http://schemas.openxmlformats.org/officeDocument/2006/relationships/image" Target="media/image116.png"/><Relationship Id="rId165" Type="http://schemas.openxmlformats.org/officeDocument/2006/relationships/image" Target="media/image121.png"/><Relationship Id="rId181" Type="http://schemas.openxmlformats.org/officeDocument/2006/relationships/image" Target="media/image137.png"/><Relationship Id="rId186" Type="http://schemas.openxmlformats.org/officeDocument/2006/relationships/image" Target="media/image142.png"/><Relationship Id="rId22" Type="http://schemas.openxmlformats.org/officeDocument/2006/relationships/image" Target="media/image7.png"/><Relationship Id="rId27" Type="http://schemas.openxmlformats.org/officeDocument/2006/relationships/image" Target="media/image12.wmf"/><Relationship Id="rId43" Type="http://schemas.openxmlformats.org/officeDocument/2006/relationships/image" Target="media/image17.emf"/><Relationship Id="rId48" Type="http://schemas.openxmlformats.org/officeDocument/2006/relationships/oleObject" Target="embeddings/oleObject8.bin"/><Relationship Id="rId64" Type="http://schemas.openxmlformats.org/officeDocument/2006/relationships/oleObject" Target="embeddings/oleObject16.bin"/><Relationship Id="rId69" Type="http://schemas.openxmlformats.org/officeDocument/2006/relationships/image" Target="media/image31.emf"/><Relationship Id="rId113" Type="http://schemas.openxmlformats.org/officeDocument/2006/relationships/image" Target="media/image71.wmf"/><Relationship Id="rId118" Type="http://schemas.openxmlformats.org/officeDocument/2006/relationships/image" Target="media/image76.wmf"/><Relationship Id="rId134" Type="http://schemas.openxmlformats.org/officeDocument/2006/relationships/image" Target="media/image90.png"/><Relationship Id="rId139" Type="http://schemas.openxmlformats.org/officeDocument/2006/relationships/image" Target="media/image95.png"/><Relationship Id="rId80" Type="http://schemas.openxmlformats.org/officeDocument/2006/relationships/image" Target="media/image41.png"/><Relationship Id="rId85" Type="http://schemas.openxmlformats.org/officeDocument/2006/relationships/image" Target="media/image46.png"/><Relationship Id="rId150" Type="http://schemas.openxmlformats.org/officeDocument/2006/relationships/image" Target="media/image106.png"/><Relationship Id="rId155" Type="http://schemas.openxmlformats.org/officeDocument/2006/relationships/image" Target="media/image111.png"/><Relationship Id="rId171" Type="http://schemas.openxmlformats.org/officeDocument/2006/relationships/image" Target="media/image127.png"/><Relationship Id="rId176" Type="http://schemas.openxmlformats.org/officeDocument/2006/relationships/image" Target="media/image132.png"/><Relationship Id="rId192" Type="http://schemas.openxmlformats.org/officeDocument/2006/relationships/image" Target="media/image148.png"/><Relationship Id="rId197" Type="http://schemas.openxmlformats.org/officeDocument/2006/relationships/image" Target="media/image153.png"/><Relationship Id="rId206" Type="http://schemas.openxmlformats.org/officeDocument/2006/relationships/fontTable" Target="fontTable.xml"/><Relationship Id="rId201" Type="http://schemas.openxmlformats.org/officeDocument/2006/relationships/image" Target="media/image157.png"/><Relationship Id="rId12" Type="http://schemas.openxmlformats.org/officeDocument/2006/relationships/header" Target="header2.xml"/><Relationship Id="rId17" Type="http://schemas.openxmlformats.org/officeDocument/2006/relationships/image" Target="media/image3.png"/><Relationship Id="rId33" Type="http://schemas.openxmlformats.org/officeDocument/2006/relationships/header" Target="header4.xml"/><Relationship Id="rId38" Type="http://schemas.openxmlformats.org/officeDocument/2006/relationships/footer" Target="footer7.xml"/><Relationship Id="rId59" Type="http://schemas.openxmlformats.org/officeDocument/2006/relationships/image" Target="media/image25.emf"/><Relationship Id="rId103" Type="http://schemas.openxmlformats.org/officeDocument/2006/relationships/image" Target="media/image61.wmf"/><Relationship Id="rId108" Type="http://schemas.openxmlformats.org/officeDocument/2006/relationships/image" Target="media/image66.wmf"/><Relationship Id="rId124" Type="http://schemas.openxmlformats.org/officeDocument/2006/relationships/header" Target="header7.xml"/><Relationship Id="rId129" Type="http://schemas.openxmlformats.org/officeDocument/2006/relationships/image" Target="media/image85.png"/><Relationship Id="rId54" Type="http://schemas.openxmlformats.org/officeDocument/2006/relationships/oleObject" Target="embeddings/oleObject11.bin"/><Relationship Id="rId70" Type="http://schemas.openxmlformats.org/officeDocument/2006/relationships/oleObject" Target="embeddings/oleObject18.bin"/><Relationship Id="rId75" Type="http://schemas.openxmlformats.org/officeDocument/2006/relationships/image" Target="media/image36.png"/><Relationship Id="rId91" Type="http://schemas.openxmlformats.org/officeDocument/2006/relationships/image" Target="media/image52.png"/><Relationship Id="rId96" Type="http://schemas.openxmlformats.org/officeDocument/2006/relationships/image" Target="media/image55.jpeg"/><Relationship Id="rId140" Type="http://schemas.openxmlformats.org/officeDocument/2006/relationships/image" Target="media/image96.png"/><Relationship Id="rId145" Type="http://schemas.openxmlformats.org/officeDocument/2006/relationships/image" Target="media/image101.png"/><Relationship Id="rId161" Type="http://schemas.openxmlformats.org/officeDocument/2006/relationships/image" Target="media/image117.png"/><Relationship Id="rId166" Type="http://schemas.openxmlformats.org/officeDocument/2006/relationships/image" Target="media/image122.png"/><Relationship Id="rId182" Type="http://schemas.openxmlformats.org/officeDocument/2006/relationships/image" Target="media/image138.png"/><Relationship Id="rId187" Type="http://schemas.openxmlformats.org/officeDocument/2006/relationships/image" Target="media/image143.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8.jpeg"/><Relationship Id="rId28" Type="http://schemas.openxmlformats.org/officeDocument/2006/relationships/oleObject" Target="embeddings/oleObject1.bin"/><Relationship Id="rId49" Type="http://schemas.openxmlformats.org/officeDocument/2006/relationships/image" Target="media/image20.emf"/><Relationship Id="rId114" Type="http://schemas.openxmlformats.org/officeDocument/2006/relationships/image" Target="media/image72.wmf"/><Relationship Id="rId119" Type="http://schemas.openxmlformats.org/officeDocument/2006/relationships/image" Target="media/image77.png"/><Relationship Id="rId44" Type="http://schemas.openxmlformats.org/officeDocument/2006/relationships/oleObject" Target="embeddings/oleObject6.bin"/><Relationship Id="rId60" Type="http://schemas.openxmlformats.org/officeDocument/2006/relationships/oleObject" Target="embeddings/oleObject14.bin"/><Relationship Id="rId65" Type="http://schemas.openxmlformats.org/officeDocument/2006/relationships/image" Target="media/image28.wmf"/><Relationship Id="rId81" Type="http://schemas.openxmlformats.org/officeDocument/2006/relationships/image" Target="media/image42.png"/><Relationship Id="rId86" Type="http://schemas.openxmlformats.org/officeDocument/2006/relationships/image" Target="media/image47.png"/><Relationship Id="rId130" Type="http://schemas.openxmlformats.org/officeDocument/2006/relationships/image" Target="media/image86.png"/><Relationship Id="rId135" Type="http://schemas.openxmlformats.org/officeDocument/2006/relationships/image" Target="media/image91.png"/><Relationship Id="rId151" Type="http://schemas.openxmlformats.org/officeDocument/2006/relationships/image" Target="media/image107.png"/><Relationship Id="rId156" Type="http://schemas.openxmlformats.org/officeDocument/2006/relationships/image" Target="media/image112.png"/><Relationship Id="rId177" Type="http://schemas.openxmlformats.org/officeDocument/2006/relationships/image" Target="media/image133.png"/><Relationship Id="rId198" Type="http://schemas.openxmlformats.org/officeDocument/2006/relationships/image" Target="media/image154.png"/><Relationship Id="rId172" Type="http://schemas.openxmlformats.org/officeDocument/2006/relationships/image" Target="media/image128.png"/><Relationship Id="rId193" Type="http://schemas.openxmlformats.org/officeDocument/2006/relationships/image" Target="media/image149.png"/><Relationship Id="rId202" Type="http://schemas.openxmlformats.org/officeDocument/2006/relationships/image" Target="media/image158.png"/><Relationship Id="rId207" Type="http://schemas.openxmlformats.org/officeDocument/2006/relationships/theme" Target="theme/theme1.xml"/><Relationship Id="rId13" Type="http://schemas.openxmlformats.org/officeDocument/2006/relationships/footer" Target="footer1.xml"/><Relationship Id="rId18" Type="http://schemas.openxmlformats.org/officeDocument/2006/relationships/image" Target="media/image4.png"/><Relationship Id="rId39" Type="http://schemas.openxmlformats.org/officeDocument/2006/relationships/image" Target="media/image15.emf"/><Relationship Id="rId109" Type="http://schemas.openxmlformats.org/officeDocument/2006/relationships/image" Target="media/image67.wmf"/><Relationship Id="rId34" Type="http://schemas.openxmlformats.org/officeDocument/2006/relationships/header" Target="header5.xml"/><Relationship Id="rId50" Type="http://schemas.openxmlformats.org/officeDocument/2006/relationships/oleObject" Target="embeddings/oleObject9.bin"/><Relationship Id="rId55" Type="http://schemas.openxmlformats.org/officeDocument/2006/relationships/image" Target="media/image23.emf"/><Relationship Id="rId76" Type="http://schemas.openxmlformats.org/officeDocument/2006/relationships/image" Target="media/image37.png"/><Relationship Id="rId97" Type="http://schemas.openxmlformats.org/officeDocument/2006/relationships/image" Target="media/image56.png"/><Relationship Id="rId104" Type="http://schemas.openxmlformats.org/officeDocument/2006/relationships/image" Target="media/image62.wmf"/><Relationship Id="rId120" Type="http://schemas.openxmlformats.org/officeDocument/2006/relationships/image" Target="media/image78.jpeg"/><Relationship Id="rId125" Type="http://schemas.openxmlformats.org/officeDocument/2006/relationships/footer" Target="footer9.xml"/><Relationship Id="rId141" Type="http://schemas.openxmlformats.org/officeDocument/2006/relationships/image" Target="media/image97.png"/><Relationship Id="rId146" Type="http://schemas.openxmlformats.org/officeDocument/2006/relationships/image" Target="media/image102.png"/><Relationship Id="rId167" Type="http://schemas.openxmlformats.org/officeDocument/2006/relationships/image" Target="media/image123.png"/><Relationship Id="rId188" Type="http://schemas.openxmlformats.org/officeDocument/2006/relationships/image" Target="media/image144.png"/><Relationship Id="rId7" Type="http://schemas.openxmlformats.org/officeDocument/2006/relationships/footnotes" Target="footnotes.xml"/><Relationship Id="rId71" Type="http://schemas.openxmlformats.org/officeDocument/2006/relationships/image" Target="media/image32.png"/><Relationship Id="rId92" Type="http://schemas.openxmlformats.org/officeDocument/2006/relationships/image" Target="media/image53.emf"/><Relationship Id="rId162" Type="http://schemas.openxmlformats.org/officeDocument/2006/relationships/image" Target="media/image118.png"/><Relationship Id="rId183" Type="http://schemas.openxmlformats.org/officeDocument/2006/relationships/image" Target="media/image139.png"/><Relationship Id="rId2" Type="http://schemas.openxmlformats.org/officeDocument/2006/relationships/customXml" Target="../customXml/item2.xml"/><Relationship Id="rId29" Type="http://schemas.openxmlformats.org/officeDocument/2006/relationships/image" Target="media/image13.emf"/><Relationship Id="rId24" Type="http://schemas.openxmlformats.org/officeDocument/2006/relationships/image" Target="media/image9.jpeg"/><Relationship Id="rId40" Type="http://schemas.openxmlformats.org/officeDocument/2006/relationships/oleObject" Target="embeddings/oleObject4.bin"/><Relationship Id="rId45" Type="http://schemas.openxmlformats.org/officeDocument/2006/relationships/image" Target="media/image18.emf"/><Relationship Id="rId66" Type="http://schemas.openxmlformats.org/officeDocument/2006/relationships/oleObject" Target="embeddings/oleObject17.bin"/><Relationship Id="rId87" Type="http://schemas.openxmlformats.org/officeDocument/2006/relationships/image" Target="media/image48.jpeg"/><Relationship Id="rId110" Type="http://schemas.openxmlformats.org/officeDocument/2006/relationships/image" Target="media/image68.wmf"/><Relationship Id="rId115" Type="http://schemas.openxmlformats.org/officeDocument/2006/relationships/image" Target="media/image73.wmf"/><Relationship Id="rId131" Type="http://schemas.openxmlformats.org/officeDocument/2006/relationships/image" Target="media/image87.png"/><Relationship Id="rId136" Type="http://schemas.openxmlformats.org/officeDocument/2006/relationships/image" Target="media/image92.png"/><Relationship Id="rId157" Type="http://schemas.openxmlformats.org/officeDocument/2006/relationships/image" Target="media/image113.png"/><Relationship Id="rId178" Type="http://schemas.openxmlformats.org/officeDocument/2006/relationships/image" Target="media/image134.png"/><Relationship Id="rId61" Type="http://schemas.openxmlformats.org/officeDocument/2006/relationships/image" Target="media/image26.emf"/><Relationship Id="rId82" Type="http://schemas.openxmlformats.org/officeDocument/2006/relationships/image" Target="media/image43.png"/><Relationship Id="rId152" Type="http://schemas.openxmlformats.org/officeDocument/2006/relationships/image" Target="media/image108.png"/><Relationship Id="rId173" Type="http://schemas.openxmlformats.org/officeDocument/2006/relationships/image" Target="media/image129.png"/><Relationship Id="rId194" Type="http://schemas.openxmlformats.org/officeDocument/2006/relationships/image" Target="media/image150.png"/><Relationship Id="rId199" Type="http://schemas.openxmlformats.org/officeDocument/2006/relationships/image" Target="media/image155.png"/><Relationship Id="rId203" Type="http://schemas.openxmlformats.org/officeDocument/2006/relationships/image" Target="media/image159.png"/><Relationship Id="rId19" Type="http://schemas.openxmlformats.org/officeDocument/2006/relationships/image" Target="media/image5.png"/><Relationship Id="rId14" Type="http://schemas.openxmlformats.org/officeDocument/2006/relationships/footer" Target="footer2.xml"/><Relationship Id="rId30" Type="http://schemas.openxmlformats.org/officeDocument/2006/relationships/oleObject" Target="embeddings/oleObject2.bin"/><Relationship Id="rId35" Type="http://schemas.openxmlformats.org/officeDocument/2006/relationships/footer" Target="footer5.xml"/><Relationship Id="rId56" Type="http://schemas.openxmlformats.org/officeDocument/2006/relationships/oleObject" Target="embeddings/oleObject12.bin"/><Relationship Id="rId77" Type="http://schemas.openxmlformats.org/officeDocument/2006/relationships/image" Target="media/image38.png"/><Relationship Id="rId100" Type="http://schemas.openxmlformats.org/officeDocument/2006/relationships/image" Target="media/image58.wmf"/><Relationship Id="rId105" Type="http://schemas.openxmlformats.org/officeDocument/2006/relationships/image" Target="media/image63.wmf"/><Relationship Id="rId126" Type="http://schemas.openxmlformats.org/officeDocument/2006/relationships/image" Target="media/image82.png"/><Relationship Id="rId147" Type="http://schemas.openxmlformats.org/officeDocument/2006/relationships/image" Target="media/image103.png"/><Relationship Id="rId168" Type="http://schemas.openxmlformats.org/officeDocument/2006/relationships/image" Target="media/image124.png"/><Relationship Id="rId8" Type="http://schemas.openxmlformats.org/officeDocument/2006/relationships/endnotes" Target="endnotes.xml"/><Relationship Id="rId51" Type="http://schemas.openxmlformats.org/officeDocument/2006/relationships/image" Target="media/image21.emf"/><Relationship Id="rId72" Type="http://schemas.openxmlformats.org/officeDocument/2006/relationships/image" Target="media/image33.jpeg"/><Relationship Id="rId93" Type="http://schemas.openxmlformats.org/officeDocument/2006/relationships/oleObject" Target="embeddings/oleObject19.bin"/><Relationship Id="rId98" Type="http://schemas.openxmlformats.org/officeDocument/2006/relationships/image" Target="media/image57.wmf"/><Relationship Id="rId121" Type="http://schemas.openxmlformats.org/officeDocument/2006/relationships/image" Target="media/image79.jpeg"/><Relationship Id="rId142" Type="http://schemas.openxmlformats.org/officeDocument/2006/relationships/image" Target="media/image98.png"/><Relationship Id="rId163" Type="http://schemas.openxmlformats.org/officeDocument/2006/relationships/image" Target="media/image119.png"/><Relationship Id="rId184" Type="http://schemas.openxmlformats.org/officeDocument/2006/relationships/image" Target="media/image140.png"/><Relationship Id="rId189" Type="http://schemas.openxmlformats.org/officeDocument/2006/relationships/image" Target="media/image145.png"/><Relationship Id="rId3" Type="http://schemas.openxmlformats.org/officeDocument/2006/relationships/numbering" Target="numbering.xml"/><Relationship Id="rId25" Type="http://schemas.openxmlformats.org/officeDocument/2006/relationships/image" Target="media/image10.png"/><Relationship Id="rId46" Type="http://schemas.openxmlformats.org/officeDocument/2006/relationships/oleObject" Target="embeddings/oleObject7.bin"/><Relationship Id="rId67" Type="http://schemas.openxmlformats.org/officeDocument/2006/relationships/image" Target="media/image29.jpeg"/><Relationship Id="rId116" Type="http://schemas.openxmlformats.org/officeDocument/2006/relationships/image" Target="media/image74.wmf"/><Relationship Id="rId137" Type="http://schemas.openxmlformats.org/officeDocument/2006/relationships/image" Target="media/image93.png"/><Relationship Id="rId158" Type="http://schemas.openxmlformats.org/officeDocument/2006/relationships/image" Target="media/image114.png"/><Relationship Id="rId20" Type="http://schemas.openxmlformats.org/officeDocument/2006/relationships/image" Target="media/image6.png"/><Relationship Id="rId41" Type="http://schemas.openxmlformats.org/officeDocument/2006/relationships/image" Target="media/image16.wmf"/><Relationship Id="rId62" Type="http://schemas.openxmlformats.org/officeDocument/2006/relationships/oleObject" Target="embeddings/oleObject15.bin"/><Relationship Id="rId83" Type="http://schemas.openxmlformats.org/officeDocument/2006/relationships/image" Target="media/image44.png"/><Relationship Id="rId88" Type="http://schemas.openxmlformats.org/officeDocument/2006/relationships/image" Target="media/image49.jpeg"/><Relationship Id="rId111" Type="http://schemas.openxmlformats.org/officeDocument/2006/relationships/image" Target="media/image69.wmf"/><Relationship Id="rId132" Type="http://schemas.openxmlformats.org/officeDocument/2006/relationships/image" Target="media/image88.png"/><Relationship Id="rId153" Type="http://schemas.openxmlformats.org/officeDocument/2006/relationships/image" Target="media/image109.png"/><Relationship Id="rId174" Type="http://schemas.openxmlformats.org/officeDocument/2006/relationships/image" Target="media/image130.png"/><Relationship Id="rId179" Type="http://schemas.openxmlformats.org/officeDocument/2006/relationships/image" Target="media/image135.png"/><Relationship Id="rId195" Type="http://schemas.openxmlformats.org/officeDocument/2006/relationships/image" Target="media/image151.png"/><Relationship Id="rId190" Type="http://schemas.openxmlformats.org/officeDocument/2006/relationships/image" Target="media/image146.png"/><Relationship Id="rId204" Type="http://schemas.openxmlformats.org/officeDocument/2006/relationships/image" Target="media/image160.png"/><Relationship Id="rId15" Type="http://schemas.openxmlformats.org/officeDocument/2006/relationships/header" Target="header3.xml"/><Relationship Id="rId36" Type="http://schemas.openxmlformats.org/officeDocument/2006/relationships/footer" Target="footer6.xml"/><Relationship Id="rId57" Type="http://schemas.openxmlformats.org/officeDocument/2006/relationships/image" Target="media/image24.emf"/><Relationship Id="rId106" Type="http://schemas.openxmlformats.org/officeDocument/2006/relationships/image" Target="media/image64.wmf"/><Relationship Id="rId127" Type="http://schemas.openxmlformats.org/officeDocument/2006/relationships/image" Target="media/image83.png"/><Relationship Id="rId10" Type="http://schemas.openxmlformats.org/officeDocument/2006/relationships/image" Target="media/image2.png"/><Relationship Id="rId31" Type="http://schemas.openxmlformats.org/officeDocument/2006/relationships/image" Target="media/image14.emf"/><Relationship Id="rId52" Type="http://schemas.openxmlformats.org/officeDocument/2006/relationships/oleObject" Target="embeddings/oleObject10.bin"/><Relationship Id="rId73" Type="http://schemas.openxmlformats.org/officeDocument/2006/relationships/image" Target="media/image34.jpeg"/><Relationship Id="rId78" Type="http://schemas.openxmlformats.org/officeDocument/2006/relationships/image" Target="media/image39.png"/><Relationship Id="rId94" Type="http://schemas.openxmlformats.org/officeDocument/2006/relationships/footer" Target="footer8.xml"/><Relationship Id="rId99" Type="http://schemas.openxmlformats.org/officeDocument/2006/relationships/oleObject" Target="embeddings/oleObject20.bin"/><Relationship Id="rId101" Type="http://schemas.openxmlformats.org/officeDocument/2006/relationships/image" Target="media/image59.wmf"/><Relationship Id="rId122" Type="http://schemas.openxmlformats.org/officeDocument/2006/relationships/image" Target="media/image80.jpeg"/><Relationship Id="rId143" Type="http://schemas.openxmlformats.org/officeDocument/2006/relationships/image" Target="media/image99.png"/><Relationship Id="rId148" Type="http://schemas.openxmlformats.org/officeDocument/2006/relationships/image" Target="media/image104.png"/><Relationship Id="rId164" Type="http://schemas.openxmlformats.org/officeDocument/2006/relationships/image" Target="media/image120.png"/><Relationship Id="rId169" Type="http://schemas.openxmlformats.org/officeDocument/2006/relationships/image" Target="media/image125.png"/><Relationship Id="rId185" Type="http://schemas.openxmlformats.org/officeDocument/2006/relationships/image" Target="media/image141.png"/><Relationship Id="rId4" Type="http://schemas.openxmlformats.org/officeDocument/2006/relationships/styles" Target="styles.xml"/><Relationship Id="rId9" Type="http://schemas.openxmlformats.org/officeDocument/2006/relationships/image" Target="media/image1.png"/><Relationship Id="rId180" Type="http://schemas.openxmlformats.org/officeDocument/2006/relationships/image" Target="media/image136.png"/><Relationship Id="rId26" Type="http://schemas.openxmlformats.org/officeDocument/2006/relationships/image" Target="media/image11.png"/><Relationship Id="rId47" Type="http://schemas.openxmlformats.org/officeDocument/2006/relationships/image" Target="media/image19.emf"/><Relationship Id="rId68" Type="http://schemas.openxmlformats.org/officeDocument/2006/relationships/image" Target="media/image30.jpeg"/><Relationship Id="rId89" Type="http://schemas.openxmlformats.org/officeDocument/2006/relationships/image" Target="media/image50.jpeg"/><Relationship Id="rId112" Type="http://schemas.openxmlformats.org/officeDocument/2006/relationships/image" Target="media/image70.wmf"/><Relationship Id="rId133" Type="http://schemas.openxmlformats.org/officeDocument/2006/relationships/image" Target="media/image89.png"/><Relationship Id="rId154" Type="http://schemas.openxmlformats.org/officeDocument/2006/relationships/image" Target="media/image110.png"/><Relationship Id="rId175" Type="http://schemas.openxmlformats.org/officeDocument/2006/relationships/image" Target="media/image131.png"/><Relationship Id="rId196" Type="http://schemas.openxmlformats.org/officeDocument/2006/relationships/image" Target="media/image152.png"/><Relationship Id="rId200" Type="http://schemas.openxmlformats.org/officeDocument/2006/relationships/image" Target="media/image156.png"/></Relationships>
</file>

<file path=word/theme/theme1.xml><?xml version="1.0" encoding="utf-8"?>
<a:theme xmlns:a="http://schemas.openxmlformats.org/drawingml/2006/main" name="Office 主题">
  <a:themeElements>
    <a:clrScheme name="Office">
      <a:dk1>
        <a:sysClr val="windowText" lastClr="000000"/>
      </a:dk1>
      <a:lt1>
        <a:sysClr val="window" lastClr="C7EDCC"/>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customShpExts>
    <customShpInfo spid="_x0000_s2142"/>
    <customShpInfo spid="_x0000_s2141"/>
    <customShpInfo spid="_x0000_s2145"/>
    <customShpInfo spid="_x0000_s2144"/>
    <customShpInfo spid="_x0000_s2143"/>
    <customShpInfo spid="_x0000_s2179"/>
    <customShpInfo spid="_x0000_s2156"/>
    <customShpInfo spid="_x0000_s2152"/>
    <customShpInfo spid="_x0000_s2153"/>
    <customShpInfo spid="_x0000_s2154"/>
    <customShpInfo spid="_x0000_s2164"/>
    <customShpInfo spid="_x0000_s2162"/>
    <customShpInfo spid="_x0000_s2163"/>
    <customShpInfo spid="_x0000_s2159"/>
    <customShpInfo spid="_x0000_s2160"/>
    <customShpInfo spid="_x0000_s2161"/>
    <customShpInfo spid="_x0000_s2167"/>
    <customShpInfo spid="_x0000_s2166"/>
    <customShpInfo spid="_x0000_s2168"/>
    <customShpInfo spid="_x0000_s2146"/>
    <customShpInfo spid="_x0000_s2147"/>
    <customShpInfo spid="_x0000_s2149"/>
    <customShpInfo spid="_x0000_s2148"/>
    <customShpInfo spid="_x0000_s2176"/>
    <customShpInfo spid="_x0000_s2208"/>
    <customShpInfo spid="_x0000_s2209"/>
    <customShpInfo spid="_x0000_s2210"/>
    <customShpInfo spid="_x0000_s2211"/>
    <customShpInfo spid="_x0000_s2212"/>
    <customShpInfo spid="_x0000_s2259"/>
    <customShpInfo spid="_x0000_s2260"/>
    <customShpInfo spid="_x0000_s2262"/>
    <customShpInfo spid="_x0000_s2263"/>
    <customShpInfo spid="_x0000_s2264"/>
    <customShpInfo spid="_x0000_s2121"/>
    <customShpInfo spid="_x0000_s2122"/>
    <customShpInfo spid="_x0000_s2120"/>
    <customShpInfo spid="_x0000_s2135"/>
    <customShpInfo spid="_x0000_s2137"/>
    <customShpInfo spid="_x0000_s2136"/>
    <customShpInfo spid="_x0000_s2140"/>
    <customShpInfo spid="_x0000_s2139"/>
    <customShpInfo spid="_x0000_s2138"/>
    <customShpInfo spid="_x0000_s225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099FF4A-D753-4661-9FF5-26205957EA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968</TotalTime>
  <Pages>414</Pages>
  <Words>34672</Words>
  <Characters>197637</Characters>
  <Application>Microsoft Office Word</Application>
  <DocSecurity>0</DocSecurity>
  <Lines>1646</Lines>
  <Paragraphs>463</Paragraphs>
  <ScaleCrop>false</ScaleCrop>
  <Company>LTGROUP</Company>
  <LinksUpToDate>false</LinksUpToDate>
  <CharactersWithSpaces>231846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115</cp:revision>
  <cp:lastPrinted>2022-01-06T08:47:00Z</cp:lastPrinted>
  <dcterms:created xsi:type="dcterms:W3CDTF">2021-12-30T06:46:00Z</dcterms:created>
  <dcterms:modified xsi:type="dcterms:W3CDTF">2022-02-08T09:57:00Z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2052-11.1.0.11194</vt:lpwstr>
  </property>
  <property fmtid="{D5CDD505-2E9C-101B-9397-08002B2CF9AE}" pid="3" name="ICV">
    <vt:lpwstr>243A0D84691541C2928157FB7934B260</vt:lpwstr>
  </property>
</Properties>
</file>